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4469E6" w:rsidRPr="00815738" w:rsidTr="00BD4F37">
        <w:tc>
          <w:tcPr>
            <w:tcW w:w="6522" w:type="dxa"/>
          </w:tcPr>
          <w:p w:rsidR="004469E6" w:rsidRPr="00AC2883" w:rsidRDefault="004469E6" w:rsidP="00BD4F37">
            <w:r>
              <w:rPr>
                <w:noProof/>
                <w:lang w:val="en-US"/>
              </w:rPr>
              <w:drawing>
                <wp:inline distT="0" distB="0" distL="0" distR="0" wp14:anchorId="63F7596C" wp14:editId="232E5DC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4469E6" w:rsidRPr="007C1D92" w:rsidRDefault="004469E6" w:rsidP="00BD4F37">
            <w:pPr>
              <w:pStyle w:val="Lettrine"/>
            </w:pPr>
            <w:r>
              <w:t>F</w:t>
            </w:r>
          </w:p>
        </w:tc>
      </w:tr>
      <w:tr w:rsidR="004469E6" w:rsidRPr="00DA4973" w:rsidTr="00BD4F37">
        <w:trPr>
          <w:trHeight w:val="219"/>
        </w:trPr>
        <w:tc>
          <w:tcPr>
            <w:tcW w:w="6522" w:type="dxa"/>
          </w:tcPr>
          <w:p w:rsidR="004469E6" w:rsidRPr="00AC2883" w:rsidRDefault="004469E6" w:rsidP="00BD4F37">
            <w:pPr>
              <w:pStyle w:val="upove"/>
            </w:pPr>
            <w:r>
              <w:t>Union internationale pour la protection des obtentions végétales</w:t>
            </w:r>
          </w:p>
        </w:tc>
        <w:tc>
          <w:tcPr>
            <w:tcW w:w="3117" w:type="dxa"/>
          </w:tcPr>
          <w:p w:rsidR="004469E6" w:rsidRPr="00DA4973" w:rsidRDefault="004469E6" w:rsidP="00BD4F37"/>
        </w:tc>
      </w:tr>
    </w:tbl>
    <w:p w:rsidR="004469E6" w:rsidRDefault="004469E6" w:rsidP="004469E6"/>
    <w:p w:rsidR="004469E6" w:rsidRPr="00365DC1" w:rsidRDefault="004469E6" w:rsidP="004469E6"/>
    <w:tbl>
      <w:tblPr>
        <w:tblW w:w="5216"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7380"/>
        <w:gridCol w:w="2675"/>
      </w:tblGrid>
      <w:tr w:rsidR="004469E6" w:rsidRPr="00C5280D" w:rsidTr="00B029C1">
        <w:tc>
          <w:tcPr>
            <w:tcW w:w="7380" w:type="dxa"/>
          </w:tcPr>
          <w:p w:rsidR="004469E6" w:rsidRPr="00AC2883" w:rsidRDefault="004469E6" w:rsidP="00BD4F37">
            <w:pPr>
              <w:pStyle w:val="Sessiontc"/>
              <w:spacing w:line="240" w:lineRule="auto"/>
            </w:pPr>
            <w:r w:rsidRPr="00345107">
              <w:t>Groupe de travail sur les orientations concernant les petits exploitants agricoles en lien avec l</w:t>
            </w:r>
            <w:r w:rsidR="00A11EFB">
              <w:t>’</w:t>
            </w:r>
            <w:r w:rsidRPr="00345107">
              <w:t>utilisation à des fins privées</w:t>
            </w:r>
            <w:r w:rsidR="00B029C1">
              <w:t xml:space="preserve"> </w:t>
            </w:r>
            <w:r w:rsidRPr="00345107">
              <w:t>et non commerciales</w:t>
            </w:r>
          </w:p>
          <w:p w:rsidR="004469E6" w:rsidRDefault="004469E6" w:rsidP="00BD4F37">
            <w:pPr>
              <w:pStyle w:val="Sessiontcplacedate"/>
            </w:pPr>
            <w:r>
              <w:t>Troisième réunion</w:t>
            </w:r>
          </w:p>
          <w:p w:rsidR="004469E6" w:rsidRPr="00DC3802" w:rsidRDefault="004469E6" w:rsidP="00BD4F37">
            <w:pPr>
              <w:pStyle w:val="Sessiontcplacedate"/>
              <w:rPr>
                <w:sz w:val="22"/>
              </w:rPr>
            </w:pPr>
            <w:r>
              <w:t>Genève, 24 mars 2023</w:t>
            </w:r>
          </w:p>
        </w:tc>
        <w:tc>
          <w:tcPr>
            <w:tcW w:w="2675" w:type="dxa"/>
          </w:tcPr>
          <w:p w:rsidR="004469E6" w:rsidRDefault="004469E6" w:rsidP="00BD4F37">
            <w:pPr>
              <w:pStyle w:val="Doccode"/>
            </w:pPr>
            <w:r>
              <w:t>WG</w:t>
            </w:r>
            <w:r w:rsidR="00E22FCB">
              <w:noBreakHyphen/>
            </w:r>
            <w:r>
              <w:t>SHF/3/</w:t>
            </w:r>
            <w:r w:rsidR="00CE3B71">
              <w:t>2</w:t>
            </w:r>
          </w:p>
          <w:p w:rsidR="004469E6" w:rsidRPr="003C7FBE" w:rsidRDefault="004469E6" w:rsidP="00BD4F37">
            <w:pPr>
              <w:pStyle w:val="Doccode"/>
            </w:pPr>
          </w:p>
          <w:p w:rsidR="004469E6" w:rsidRPr="00744F00" w:rsidRDefault="004469E6" w:rsidP="00BD4F37">
            <w:pPr>
              <w:pStyle w:val="Docoriginal"/>
            </w:pPr>
            <w:r>
              <w:t>Original</w:t>
            </w:r>
            <w:r w:rsidR="00A11EFB">
              <w:t> :</w:t>
            </w:r>
            <w:r>
              <w:rPr>
                <w:b w:val="0"/>
              </w:rPr>
              <w:t xml:space="preserve"> anglais</w:t>
            </w:r>
          </w:p>
          <w:p w:rsidR="004469E6" w:rsidRPr="007C1D92" w:rsidRDefault="004469E6" w:rsidP="00BD4F37">
            <w:pPr>
              <w:pStyle w:val="Docoriginal"/>
            </w:pPr>
            <w:r>
              <w:t>Date</w:t>
            </w:r>
            <w:r w:rsidR="00A11EFB">
              <w:t> :</w:t>
            </w:r>
            <w:r>
              <w:rPr>
                <w:b w:val="0"/>
              </w:rPr>
              <w:t xml:space="preserve"> 17 mars 2023</w:t>
            </w:r>
          </w:p>
        </w:tc>
      </w:tr>
    </w:tbl>
    <w:p w:rsidR="004469E6" w:rsidRPr="009906F1" w:rsidRDefault="004469E6" w:rsidP="00C94D9C">
      <w:pPr>
        <w:pStyle w:val="Titleofdoc"/>
      </w:pPr>
      <w:r>
        <w:t>Options relatives au traitement des questions examinées lors des première et deuxième réunions du wg</w:t>
      </w:r>
      <w:r w:rsidR="00E22FCB">
        <w:noBreakHyphen/>
      </w:r>
      <w:r>
        <w:t>shf</w:t>
      </w:r>
    </w:p>
    <w:p w:rsidR="004469E6" w:rsidRPr="009906F1" w:rsidRDefault="004469E6" w:rsidP="004469E6">
      <w:pPr>
        <w:pStyle w:val="preparedby"/>
        <w:jc w:val="left"/>
      </w:pPr>
      <w:bookmarkStart w:id="0" w:name="Prepared"/>
      <w:bookmarkEnd w:id="0"/>
      <w:r>
        <w:t>Document établi par le Bureau de l</w:t>
      </w:r>
      <w:r w:rsidR="00A11EFB">
        <w:t>’</w:t>
      </w:r>
      <w:r>
        <w:t>Union</w:t>
      </w:r>
    </w:p>
    <w:p w:rsidR="004469E6" w:rsidRPr="006A644A" w:rsidRDefault="004469E6" w:rsidP="004469E6">
      <w:pPr>
        <w:pStyle w:val="Disclaimer"/>
      </w:pPr>
      <w:r>
        <w:t>Avertissement</w:t>
      </w:r>
      <w:r w:rsidR="00A11EFB">
        <w:t> :</w:t>
      </w:r>
      <w:r>
        <w:t xml:space="preserve"> le présent document ne représente pas les principes ou les orientations de l</w:t>
      </w:r>
      <w:r w:rsidR="00A11EFB">
        <w:t>’</w:t>
      </w:r>
      <w:r>
        <w:t>UPOV</w:t>
      </w:r>
    </w:p>
    <w:p w:rsidR="004469E6" w:rsidRPr="00CE3B71" w:rsidRDefault="00CE3B71" w:rsidP="00CE3B71">
      <w:pPr>
        <w:spacing w:after="160"/>
        <w:rPr>
          <w:caps/>
        </w:rPr>
      </w:pPr>
      <w:r w:rsidRPr="00CE3B71">
        <w:rPr>
          <w:caps/>
        </w:rPr>
        <w:t>Résumé</w:t>
      </w:r>
    </w:p>
    <w:p w:rsidR="004469E6" w:rsidRPr="00B029C1" w:rsidRDefault="004469E6" w:rsidP="004469E6">
      <w:pPr>
        <w:rPr>
          <w:spacing w:val="-2"/>
        </w:rPr>
      </w:pPr>
      <w:r w:rsidRPr="00B029C1">
        <w:rPr>
          <w:color w:val="212121"/>
          <w:spacing w:val="-2"/>
        </w:rPr>
        <w:fldChar w:fldCharType="begin"/>
      </w:r>
      <w:r w:rsidRPr="00B029C1">
        <w:rPr>
          <w:color w:val="212121"/>
          <w:spacing w:val="-2"/>
        </w:rPr>
        <w:instrText xml:space="preserve"> AUTONUM  </w:instrText>
      </w:r>
      <w:r w:rsidRPr="00B029C1">
        <w:rPr>
          <w:color w:val="212121"/>
          <w:spacing w:val="-2"/>
        </w:rPr>
        <w:fldChar w:fldCharType="end"/>
      </w:r>
      <w:r w:rsidRPr="00B029C1">
        <w:rPr>
          <w:spacing w:val="-2"/>
        </w:rPr>
        <w:tab/>
        <w:t xml:space="preserve">Le présent document a pour objet de proposer des options pour aider </w:t>
      </w:r>
      <w:r w:rsidR="007C2C77" w:rsidRPr="00B029C1">
        <w:rPr>
          <w:spacing w:val="-2"/>
        </w:rPr>
        <w:t>l</w:t>
      </w:r>
      <w:r w:rsidR="0092755F" w:rsidRPr="00B029C1">
        <w:rPr>
          <w:spacing w:val="-2"/>
        </w:rPr>
        <w:t>e WG</w:t>
      </w:r>
      <w:r w:rsidR="00E22FCB" w:rsidRPr="00B029C1">
        <w:rPr>
          <w:spacing w:val="-2"/>
        </w:rPr>
        <w:noBreakHyphen/>
      </w:r>
      <w:r w:rsidR="0092755F" w:rsidRPr="00B029C1">
        <w:rPr>
          <w:spacing w:val="-2"/>
        </w:rPr>
        <w:t>SHF</w:t>
      </w:r>
      <w:r w:rsidRPr="00B029C1">
        <w:rPr>
          <w:spacing w:val="-2"/>
        </w:rPr>
        <w:t xml:space="preserve"> à fournir les orientations demandées pour la rédaction d</w:t>
      </w:r>
      <w:r w:rsidR="00A11EFB" w:rsidRPr="00B029C1">
        <w:rPr>
          <w:spacing w:val="-2"/>
        </w:rPr>
        <w:t>’</w:t>
      </w:r>
      <w:r w:rsidRPr="00B029C1">
        <w:rPr>
          <w:spacing w:val="-2"/>
        </w:rPr>
        <w:t xml:space="preserve">une version révisée du </w:t>
      </w:r>
      <w:r w:rsidR="00A11EFB" w:rsidRPr="00B029C1">
        <w:rPr>
          <w:spacing w:val="-2"/>
        </w:rPr>
        <w:t>document</w:t>
      </w:r>
      <w:r w:rsidR="006F4F99" w:rsidRPr="00B029C1">
        <w:rPr>
          <w:spacing w:val="-2"/>
        </w:rPr>
        <w:t> </w:t>
      </w:r>
      <w:r w:rsidR="00A11EFB" w:rsidRPr="00B029C1">
        <w:rPr>
          <w:spacing w:val="-2"/>
        </w:rPr>
        <w:t>UP</w:t>
      </w:r>
      <w:r w:rsidRPr="00B029C1">
        <w:rPr>
          <w:spacing w:val="-2"/>
        </w:rPr>
        <w:t>OV/EX</w:t>
      </w:r>
      <w:r w:rsidR="00B029C1">
        <w:rPr>
          <w:spacing w:val="-2"/>
        </w:rPr>
        <w:t>N/EXC, à élaborer par le Comité </w:t>
      </w:r>
      <w:r w:rsidRPr="00B029C1">
        <w:rPr>
          <w:spacing w:val="-2"/>
        </w:rPr>
        <w:t>administratif et juridique, ainsi que d</w:t>
      </w:r>
      <w:r w:rsidR="00A11EFB" w:rsidRPr="00B029C1">
        <w:rPr>
          <w:spacing w:val="-2"/>
        </w:rPr>
        <w:t>’</w:t>
      </w:r>
      <w:r w:rsidRPr="00B029C1">
        <w:rPr>
          <w:spacing w:val="-2"/>
        </w:rPr>
        <w:t>une version révisée des questions</w:t>
      </w:r>
      <w:r w:rsidR="00E22FCB" w:rsidRPr="00B029C1">
        <w:rPr>
          <w:spacing w:val="-2"/>
        </w:rPr>
        <w:noBreakHyphen/>
      </w:r>
      <w:r w:rsidRPr="00B029C1">
        <w:rPr>
          <w:spacing w:val="-2"/>
        </w:rPr>
        <w:t>réponses sur les exceptions au droit d</w:t>
      </w:r>
      <w:r w:rsidR="00A11EFB" w:rsidRPr="00B029C1">
        <w:rPr>
          <w:spacing w:val="-2"/>
        </w:rPr>
        <w:t>’</w:t>
      </w:r>
      <w:r w:rsidRPr="00B029C1">
        <w:rPr>
          <w:spacing w:val="-2"/>
        </w:rPr>
        <w:t>obtenteur, sur la base des débats qui ont eu lieu lo</w:t>
      </w:r>
      <w:r w:rsidR="00CE3B71" w:rsidRPr="00B029C1">
        <w:rPr>
          <w:spacing w:val="-2"/>
        </w:rPr>
        <w:t>rs des première et </w:t>
      </w:r>
      <w:r w:rsidRPr="00B029C1">
        <w:rPr>
          <w:spacing w:val="-2"/>
        </w:rPr>
        <w:t>deuxième réunions du</w:t>
      </w:r>
      <w:r w:rsidR="00CE3B71" w:rsidRPr="00B029C1">
        <w:rPr>
          <w:spacing w:val="-2"/>
        </w:rPr>
        <w:t> </w:t>
      </w:r>
      <w:r w:rsidRPr="00B029C1">
        <w:rPr>
          <w:spacing w:val="-2"/>
        </w:rPr>
        <w:t>WG</w:t>
      </w:r>
      <w:r w:rsidR="00E22FCB" w:rsidRPr="00B029C1">
        <w:rPr>
          <w:spacing w:val="-2"/>
        </w:rPr>
        <w:noBreakHyphen/>
      </w:r>
      <w:r w:rsidRPr="00B029C1">
        <w:rPr>
          <w:spacing w:val="-2"/>
        </w:rPr>
        <w:t>SHF.</w:t>
      </w:r>
    </w:p>
    <w:p w:rsidR="00B029C1" w:rsidRDefault="00B029C1" w:rsidP="004469E6"/>
    <w:p w:rsidR="00B029C1" w:rsidRDefault="00B029C1" w:rsidP="004469E6"/>
    <w:p w:rsidR="00B029C1" w:rsidRPr="004469E6" w:rsidRDefault="00B029C1" w:rsidP="004469E6">
      <w:pPr>
        <w:rPr>
          <w:rFonts w:cs="Arial"/>
        </w:rPr>
      </w:pPr>
    </w:p>
    <w:p w:rsidR="004469E6" w:rsidRDefault="00CE3B71" w:rsidP="00B029C1">
      <w:pPr>
        <w:rPr>
          <w:caps/>
        </w:rPr>
      </w:pPr>
      <w:r w:rsidRPr="00CE3B71">
        <w:rPr>
          <w:caps/>
        </w:rPr>
        <w:t>Rappel</w:t>
      </w:r>
    </w:p>
    <w:p w:rsidR="00B029C1" w:rsidRPr="00CE3B71" w:rsidRDefault="00B029C1" w:rsidP="00B029C1">
      <w:pPr>
        <w:rPr>
          <w:caps/>
        </w:rPr>
      </w:pPr>
    </w:p>
    <w:p w:rsidR="004469E6" w:rsidRPr="00B029C1" w:rsidRDefault="004469E6" w:rsidP="00CE3B71">
      <w:pPr>
        <w:keepNext/>
        <w:spacing w:after="160"/>
        <w:outlineLvl w:val="1"/>
        <w:rPr>
          <w:rFonts w:cs="Arial"/>
          <w:spacing w:val="-4"/>
          <w:u w:val="single"/>
        </w:rPr>
      </w:pPr>
      <w:bookmarkStart w:id="1" w:name="_Toc115946633"/>
      <w:r w:rsidRPr="00B029C1">
        <w:rPr>
          <w:spacing w:val="-4"/>
          <w:u w:val="single"/>
        </w:rPr>
        <w:t>Première réunion du</w:t>
      </w:r>
      <w:r w:rsidR="006F4F99" w:rsidRPr="00B029C1">
        <w:rPr>
          <w:spacing w:val="-4"/>
          <w:u w:val="single"/>
        </w:rPr>
        <w:t> </w:t>
      </w:r>
      <w:r w:rsidRPr="00B029C1">
        <w:rPr>
          <w:spacing w:val="-4"/>
          <w:u w:val="single"/>
        </w:rPr>
        <w:t>WG</w:t>
      </w:r>
      <w:r w:rsidR="00E22FCB" w:rsidRPr="00B029C1">
        <w:rPr>
          <w:spacing w:val="-4"/>
          <w:u w:val="single"/>
        </w:rPr>
        <w:noBreakHyphen/>
      </w:r>
      <w:r w:rsidRPr="00B029C1">
        <w:rPr>
          <w:spacing w:val="-4"/>
          <w:u w:val="single"/>
        </w:rPr>
        <w:t>SHF (17 mars 2022)</w:t>
      </w:r>
      <w:bookmarkEnd w:id="1"/>
    </w:p>
    <w:p w:rsidR="00A11EFB" w:rsidRPr="00B029C1" w:rsidRDefault="004469E6" w:rsidP="00B029C1">
      <w:pPr>
        <w:keepNext/>
        <w:rPr>
          <w:spacing w:val="-4"/>
        </w:rPr>
      </w:pPr>
      <w:r w:rsidRPr="00B029C1">
        <w:rPr>
          <w:rFonts w:cs="Arial"/>
          <w:snapToGrid w:val="0"/>
          <w:spacing w:val="-4"/>
        </w:rPr>
        <w:fldChar w:fldCharType="begin"/>
      </w:r>
      <w:r w:rsidRPr="00B029C1">
        <w:rPr>
          <w:rFonts w:cs="Arial"/>
          <w:snapToGrid w:val="0"/>
          <w:spacing w:val="-4"/>
        </w:rPr>
        <w:instrText xml:space="preserve"> AUTONUM  </w:instrText>
      </w:r>
      <w:r w:rsidRPr="00B029C1">
        <w:rPr>
          <w:rFonts w:cs="Arial"/>
          <w:snapToGrid w:val="0"/>
          <w:spacing w:val="-4"/>
        </w:rPr>
        <w:fldChar w:fldCharType="end"/>
      </w:r>
      <w:r w:rsidRPr="00B029C1">
        <w:rPr>
          <w:snapToGrid w:val="0"/>
          <w:spacing w:val="-4"/>
        </w:rPr>
        <w:tab/>
      </w:r>
      <w:r w:rsidRPr="00B029C1">
        <w:rPr>
          <w:spacing w:val="-4"/>
        </w:rPr>
        <w:t>À sa première réunion tenue par voie électronique le</w:t>
      </w:r>
      <w:r w:rsidR="00CE3B71" w:rsidRPr="00B029C1">
        <w:rPr>
          <w:spacing w:val="-4"/>
        </w:rPr>
        <w:t> </w:t>
      </w:r>
      <w:r w:rsidRPr="00B029C1">
        <w:rPr>
          <w:spacing w:val="-4"/>
        </w:rPr>
        <w:t xml:space="preserve">17 mars 2022, </w:t>
      </w:r>
      <w:r w:rsidR="007C2C77" w:rsidRPr="00B029C1">
        <w:rPr>
          <w:spacing w:val="-4"/>
        </w:rPr>
        <w:t>l</w:t>
      </w:r>
      <w:r w:rsidR="0092755F" w:rsidRPr="00B029C1">
        <w:rPr>
          <w:spacing w:val="-4"/>
        </w:rPr>
        <w:t>e WG</w:t>
      </w:r>
      <w:r w:rsidR="00E22FCB" w:rsidRPr="00B029C1">
        <w:rPr>
          <w:spacing w:val="-4"/>
        </w:rPr>
        <w:noBreakHyphen/>
      </w:r>
      <w:r w:rsidR="0092755F" w:rsidRPr="00B029C1">
        <w:rPr>
          <w:spacing w:val="-4"/>
        </w:rPr>
        <w:t>SHF</w:t>
      </w:r>
      <w:r w:rsidRPr="00B029C1">
        <w:rPr>
          <w:spacing w:val="-4"/>
        </w:rPr>
        <w:t xml:space="preserve"> a pris note des informations contenues dans le </w:t>
      </w:r>
      <w:r w:rsidR="00A11EFB" w:rsidRPr="00B029C1">
        <w:rPr>
          <w:spacing w:val="-4"/>
        </w:rPr>
        <w:t>document</w:t>
      </w:r>
      <w:r w:rsidR="006F4F99" w:rsidRPr="00B029C1">
        <w:rPr>
          <w:spacing w:val="-4"/>
        </w:rPr>
        <w:t> </w:t>
      </w:r>
      <w:r w:rsidR="00A11EFB" w:rsidRPr="00B029C1">
        <w:rPr>
          <w:spacing w:val="-4"/>
        </w:rPr>
        <w:t>WG</w:t>
      </w:r>
      <w:r w:rsidR="00E22FCB" w:rsidRPr="00B029C1">
        <w:rPr>
          <w:spacing w:val="-4"/>
        </w:rPr>
        <w:noBreakHyphen/>
      </w:r>
      <w:r w:rsidRPr="00B029C1">
        <w:rPr>
          <w:spacing w:val="-4"/>
        </w:rPr>
        <w:t>SHF/1/2 “Informations générales” et dans le compendium des contributions sur les données d</w:t>
      </w:r>
      <w:r w:rsidR="00A11EFB" w:rsidRPr="00B029C1">
        <w:rPr>
          <w:spacing w:val="-4"/>
        </w:rPr>
        <w:t>’</w:t>
      </w:r>
      <w:r w:rsidRPr="00B029C1">
        <w:rPr>
          <w:spacing w:val="-4"/>
        </w:rPr>
        <w:t>expérience et les avis concernant la mise en œuvre des exceptions relatives aux actes accomplis dans un cadre privé et à des fins non commerciales en faveur des petits exploitants agricoles, reçues en réponse à la circulaire E20/246 du</w:t>
      </w:r>
      <w:r w:rsidR="006F4F99" w:rsidRPr="00B029C1">
        <w:rPr>
          <w:spacing w:val="-4"/>
        </w:rPr>
        <w:t> </w:t>
      </w:r>
      <w:r w:rsidRPr="00B029C1">
        <w:rPr>
          <w:spacing w:val="-4"/>
        </w:rPr>
        <w:t>22 décembre 2020 qui figurent à l</w:t>
      </w:r>
      <w:r w:rsidR="00A11EFB" w:rsidRPr="00B029C1">
        <w:rPr>
          <w:spacing w:val="-4"/>
        </w:rPr>
        <w:t>’</w:t>
      </w:r>
      <w:r w:rsidRPr="00B029C1">
        <w:rPr>
          <w:spacing w:val="-4"/>
        </w:rPr>
        <w:t xml:space="preserve">annexe II du </w:t>
      </w:r>
      <w:r w:rsidR="00A11EFB" w:rsidRPr="00B029C1">
        <w:rPr>
          <w:spacing w:val="-4"/>
        </w:rPr>
        <w:t>document</w:t>
      </w:r>
      <w:r w:rsidR="006F4F99" w:rsidRPr="00B029C1">
        <w:rPr>
          <w:spacing w:val="-4"/>
        </w:rPr>
        <w:t> </w:t>
      </w:r>
      <w:r w:rsidR="00A11EFB" w:rsidRPr="00B029C1">
        <w:rPr>
          <w:spacing w:val="-4"/>
        </w:rPr>
        <w:t>WG</w:t>
      </w:r>
      <w:r w:rsidR="00E22FCB" w:rsidRPr="00B029C1">
        <w:rPr>
          <w:spacing w:val="-4"/>
        </w:rPr>
        <w:noBreakHyphen/>
      </w:r>
      <w:r w:rsidRPr="00B029C1">
        <w:rPr>
          <w:spacing w:val="-4"/>
        </w:rPr>
        <w:t>SHF/1/2 disponible à l</w:t>
      </w:r>
      <w:r w:rsidR="00A11EFB" w:rsidRPr="00B029C1">
        <w:rPr>
          <w:spacing w:val="-4"/>
        </w:rPr>
        <w:t>’</w:t>
      </w:r>
      <w:r w:rsidRPr="00B029C1">
        <w:rPr>
          <w:spacing w:val="-4"/>
        </w:rPr>
        <w:t>adresse</w:t>
      </w:r>
      <w:r w:rsidR="009E0B81" w:rsidRPr="00B029C1">
        <w:rPr>
          <w:spacing w:val="-4"/>
        </w:rPr>
        <w:t> </w:t>
      </w:r>
      <w:hyperlink r:id="rId9" w:history="1">
        <w:r w:rsidRPr="00B029C1">
          <w:rPr>
            <w:color w:val="0000FF"/>
            <w:spacing w:val="-4"/>
            <w:u w:val="single"/>
          </w:rPr>
          <w:t>https://www.upov.int/edocs/mdocs/upov/fr/wg_shf_1/wg_shf_1_2.pdf</w:t>
        </w:r>
      </w:hyperlink>
      <w:r w:rsidRPr="00B029C1">
        <w:rPr>
          <w:spacing w:val="-4"/>
        </w:rPr>
        <w:t>.</w:t>
      </w:r>
    </w:p>
    <w:p w:rsidR="00B029C1" w:rsidRDefault="00B029C1" w:rsidP="00B029C1">
      <w:pPr>
        <w:keepNext/>
      </w:pPr>
    </w:p>
    <w:p w:rsidR="004469E6" w:rsidRDefault="004469E6" w:rsidP="00B029C1">
      <w:r w:rsidRPr="004469E6">
        <w:rPr>
          <w:rFonts w:cs="Arial"/>
        </w:rPr>
        <w:fldChar w:fldCharType="begin"/>
      </w:r>
      <w:r w:rsidRPr="004469E6">
        <w:rPr>
          <w:rFonts w:cs="Arial"/>
        </w:rPr>
        <w:instrText xml:space="preserve"> AUTONUM  </w:instrText>
      </w:r>
      <w:r w:rsidRPr="004469E6">
        <w:rPr>
          <w:rFonts w:cs="Arial"/>
        </w:rPr>
        <w:fldChar w:fldCharType="end"/>
      </w:r>
      <w:r w:rsidRPr="004469E6">
        <w:tab/>
      </w:r>
      <w:r w:rsidR="0092755F">
        <w:t>Le WG</w:t>
      </w:r>
      <w:r w:rsidR="00E22FCB">
        <w:noBreakHyphen/>
      </w:r>
      <w:r w:rsidR="0092755F">
        <w:t>SHF</w:t>
      </w:r>
      <w:r w:rsidRPr="004469E6">
        <w:t xml:space="preserve"> a assisté à un exposé présenté par l</w:t>
      </w:r>
      <w:r w:rsidR="00A11EFB">
        <w:t>’</w:t>
      </w:r>
      <w:r w:rsidRPr="004469E6">
        <w:t xml:space="preserve">équipe de projet qui proposait un aperçu des principaux aspects du </w:t>
      </w:r>
      <w:r w:rsidR="00A11EFB" w:rsidRPr="004469E6">
        <w:t>document</w:t>
      </w:r>
      <w:r w:rsidR="006F4F99">
        <w:t> </w:t>
      </w:r>
      <w:r w:rsidR="00A11EFB" w:rsidRPr="004469E6">
        <w:t>WG</w:t>
      </w:r>
      <w:r w:rsidR="00E22FCB">
        <w:noBreakHyphen/>
      </w:r>
      <w:r w:rsidRPr="004469E6">
        <w:t>SHF/1/3 “Analyse et rapport contenant des propositions établies par l</w:t>
      </w:r>
      <w:r w:rsidR="00A11EFB">
        <w:t>’</w:t>
      </w:r>
      <w:r w:rsidRPr="004469E6">
        <w:t>équipe de projet” (voir les paragraphes 5</w:t>
      </w:r>
      <w:r w:rsidR="006F4F99">
        <w:t> </w:t>
      </w:r>
      <w:r w:rsidRPr="004469E6">
        <w:t xml:space="preserve">à 7 du </w:t>
      </w:r>
      <w:r w:rsidR="00A11EFB" w:rsidRPr="004469E6">
        <w:t>document</w:t>
      </w:r>
      <w:r w:rsidR="006F4F99">
        <w:t> </w:t>
      </w:r>
      <w:r w:rsidR="00A11EFB" w:rsidRPr="004469E6">
        <w:t>WG</w:t>
      </w:r>
      <w:r w:rsidR="00E22FCB">
        <w:noBreakHyphen/>
      </w:r>
      <w:r w:rsidRPr="004469E6">
        <w:t>SHF/1/4 “Compte rendu”</w:t>
      </w:r>
      <w:r w:rsidR="00B029C1">
        <w:t>)</w:t>
      </w:r>
      <w:r w:rsidRPr="004469E6">
        <w:t>.</w:t>
      </w:r>
    </w:p>
    <w:p w:rsidR="00B029C1" w:rsidRPr="004469E6" w:rsidRDefault="00B029C1" w:rsidP="00B029C1">
      <w:pPr>
        <w:rPr>
          <w:rFonts w:cs="Arial"/>
        </w:rPr>
      </w:pPr>
    </w:p>
    <w:p w:rsidR="004469E6" w:rsidRDefault="004469E6" w:rsidP="00B029C1">
      <w:r w:rsidRPr="004469E6">
        <w:rPr>
          <w:rFonts w:eastAsiaTheme="minorEastAsia" w:cs="Arial"/>
        </w:rPr>
        <w:fldChar w:fldCharType="begin"/>
      </w:r>
      <w:r w:rsidRPr="004469E6">
        <w:rPr>
          <w:rFonts w:eastAsiaTheme="minorEastAsia" w:cs="Arial"/>
        </w:rPr>
        <w:instrText xml:space="preserve"> AUTONUM  </w:instrText>
      </w:r>
      <w:r w:rsidRPr="004469E6">
        <w:rPr>
          <w:rFonts w:eastAsiaTheme="minorEastAsia" w:cs="Arial"/>
        </w:rPr>
        <w:fldChar w:fldCharType="end"/>
      </w:r>
      <w:r w:rsidRPr="004469E6">
        <w:tab/>
        <w:t xml:space="preserve">À sa première réunion, </w:t>
      </w:r>
      <w:r w:rsidR="007C2C77">
        <w:t>l</w:t>
      </w:r>
      <w:r w:rsidR="0092755F">
        <w:t>e WG</w:t>
      </w:r>
      <w:r w:rsidR="00E22FCB">
        <w:noBreakHyphen/>
      </w:r>
      <w:r w:rsidR="0092755F">
        <w:t>SHF</w:t>
      </w:r>
      <w:r w:rsidRPr="004469E6">
        <w:t xml:space="preserve"> a examiné les recommandations n</w:t>
      </w:r>
      <w:r w:rsidRPr="004469E6">
        <w:rPr>
          <w:vertAlign w:val="superscript"/>
        </w:rPr>
        <w:t>os</w:t>
      </w:r>
      <w:r w:rsidRPr="004469E6">
        <w:t> 1</w:t>
      </w:r>
      <w:r w:rsidR="006F4F99">
        <w:t> </w:t>
      </w:r>
      <w:r w:rsidRPr="004469E6">
        <w:t>et 2 figurant dans le document</w:t>
      </w:r>
      <w:r w:rsidR="006F4F99">
        <w:t> </w:t>
      </w:r>
      <w:r w:rsidRPr="004469E6">
        <w:t>WG</w:t>
      </w:r>
      <w:r w:rsidR="00E22FCB">
        <w:noBreakHyphen/>
      </w:r>
      <w:r w:rsidRPr="004469E6">
        <w:t>SHF/1/3.</w:t>
      </w:r>
    </w:p>
    <w:p w:rsidR="00B029C1" w:rsidRPr="004469E6" w:rsidRDefault="00B029C1" w:rsidP="00B029C1">
      <w:pPr>
        <w:rPr>
          <w:rFonts w:eastAsiaTheme="minorEastAsia" w:cs="Arial"/>
        </w:rPr>
      </w:pPr>
    </w:p>
    <w:p w:rsidR="00A11EFB" w:rsidRDefault="004469E6" w:rsidP="00B029C1">
      <w:r w:rsidRPr="004469E6">
        <w:rPr>
          <w:rFonts w:cs="Arial"/>
        </w:rPr>
        <w:fldChar w:fldCharType="begin"/>
      </w:r>
      <w:r w:rsidRPr="004469E6">
        <w:rPr>
          <w:rFonts w:cs="Arial"/>
        </w:rPr>
        <w:instrText xml:space="preserve"> AUTONUM  </w:instrText>
      </w:r>
      <w:r w:rsidRPr="004469E6">
        <w:rPr>
          <w:rFonts w:cs="Arial"/>
        </w:rPr>
        <w:fldChar w:fldCharType="end"/>
      </w:r>
      <w:r w:rsidRPr="004469E6">
        <w:tab/>
        <w:t>Les documents et le compte rendu de la première réunion du</w:t>
      </w:r>
      <w:r w:rsidR="006F4F99">
        <w:t> </w:t>
      </w:r>
      <w:r w:rsidRPr="004469E6">
        <w:t>WG</w:t>
      </w:r>
      <w:r w:rsidR="00E22FCB">
        <w:noBreakHyphen/>
      </w:r>
      <w:r w:rsidRPr="004469E6">
        <w:t>SHF sont disponibles à l</w:t>
      </w:r>
      <w:r w:rsidR="00A11EFB">
        <w:t>’</w:t>
      </w:r>
      <w:r w:rsidRPr="004469E6">
        <w:t>adresse suivante</w:t>
      </w:r>
      <w:r w:rsidR="00A11EFB">
        <w:t> :</w:t>
      </w:r>
      <w:r w:rsidR="006F4F99">
        <w:t xml:space="preserve"> </w:t>
      </w:r>
      <w:hyperlink r:id="rId10" w:history="1">
        <w:r w:rsidRPr="004469E6">
          <w:rPr>
            <w:color w:val="0000FF"/>
            <w:u w:val="single"/>
          </w:rPr>
          <w:t>https://www.upov.int/meetings/fr/details.jsp?meeting_id=67775</w:t>
        </w:r>
      </w:hyperlink>
      <w:r w:rsidRPr="004469E6">
        <w:t>.</w:t>
      </w:r>
    </w:p>
    <w:p w:rsidR="00B029C1" w:rsidRDefault="00B029C1" w:rsidP="00B029C1"/>
    <w:p w:rsidR="00B029C1" w:rsidRDefault="00B029C1" w:rsidP="00B029C1"/>
    <w:p w:rsidR="004469E6" w:rsidRPr="004469E6" w:rsidRDefault="004469E6" w:rsidP="006F4F99">
      <w:pPr>
        <w:keepNext/>
        <w:spacing w:after="160"/>
        <w:outlineLvl w:val="1"/>
        <w:rPr>
          <w:rFonts w:cs="Arial"/>
          <w:u w:val="single"/>
        </w:rPr>
      </w:pPr>
      <w:bookmarkStart w:id="2" w:name="_Toc115946634"/>
      <w:r w:rsidRPr="004469E6">
        <w:rPr>
          <w:u w:val="single"/>
        </w:rPr>
        <w:t>Deuxième réunion du</w:t>
      </w:r>
      <w:r w:rsidR="006F4F99">
        <w:rPr>
          <w:u w:val="single"/>
        </w:rPr>
        <w:t> </w:t>
      </w:r>
      <w:r w:rsidRPr="004469E6">
        <w:rPr>
          <w:u w:val="single"/>
        </w:rPr>
        <w:t>WG</w:t>
      </w:r>
      <w:r w:rsidR="00E22FCB">
        <w:rPr>
          <w:u w:val="single"/>
        </w:rPr>
        <w:noBreakHyphen/>
      </w:r>
      <w:r w:rsidRPr="004469E6">
        <w:rPr>
          <w:u w:val="single"/>
        </w:rPr>
        <w:t>SHF (7 septembre 2022)</w:t>
      </w:r>
      <w:bookmarkEnd w:id="2"/>
    </w:p>
    <w:p w:rsidR="00B029C1" w:rsidRDefault="004469E6" w:rsidP="00B029C1">
      <w:pPr>
        <w:jc w:val="left"/>
      </w:pPr>
      <w:r w:rsidRPr="004469E6">
        <w:rPr>
          <w:rFonts w:cs="Arial"/>
        </w:rPr>
        <w:fldChar w:fldCharType="begin"/>
      </w:r>
      <w:r w:rsidRPr="004469E6">
        <w:rPr>
          <w:rFonts w:cs="Arial"/>
        </w:rPr>
        <w:instrText xml:space="preserve"> AUTONUM  </w:instrText>
      </w:r>
      <w:r w:rsidRPr="004469E6">
        <w:rPr>
          <w:rFonts w:cs="Arial"/>
        </w:rPr>
        <w:fldChar w:fldCharType="end"/>
      </w:r>
      <w:r w:rsidRPr="004469E6">
        <w:tab/>
        <w:t>À sa deuxième réunion tenue par voie électronique le</w:t>
      </w:r>
      <w:r w:rsidR="006F4F99">
        <w:t> </w:t>
      </w:r>
      <w:r w:rsidRPr="004469E6">
        <w:t xml:space="preserve">7 septembre 2022, </w:t>
      </w:r>
      <w:r w:rsidR="007C2C77">
        <w:t>l</w:t>
      </w:r>
      <w:r w:rsidR="0092755F">
        <w:t>e WG</w:t>
      </w:r>
      <w:r w:rsidR="00E22FCB">
        <w:noBreakHyphen/>
      </w:r>
      <w:r w:rsidR="0092755F">
        <w:t>SHF</w:t>
      </w:r>
      <w:r w:rsidRPr="004469E6">
        <w:t xml:space="preserve"> a examiné les recommandations n</w:t>
      </w:r>
      <w:r w:rsidRPr="004469E6">
        <w:rPr>
          <w:vertAlign w:val="superscript"/>
        </w:rPr>
        <w:t>os</w:t>
      </w:r>
      <w:r w:rsidRPr="004469E6">
        <w:t> 3</w:t>
      </w:r>
      <w:r w:rsidR="006F4F99">
        <w:t> </w:t>
      </w:r>
      <w:r w:rsidRPr="004469E6">
        <w:t xml:space="preserve">à 6 figurant dans le </w:t>
      </w:r>
      <w:r w:rsidR="00A11EFB" w:rsidRPr="004469E6">
        <w:t>document</w:t>
      </w:r>
      <w:r w:rsidR="006F4F99">
        <w:t> </w:t>
      </w:r>
      <w:r w:rsidR="00A11EFB" w:rsidRPr="004469E6">
        <w:t>WG</w:t>
      </w:r>
      <w:r w:rsidR="00E22FCB">
        <w:noBreakHyphen/>
      </w:r>
      <w:r w:rsidRPr="004469E6">
        <w:t>SHF/1/3.</w:t>
      </w:r>
    </w:p>
    <w:p w:rsidR="00B029C1" w:rsidRDefault="00B029C1" w:rsidP="00B029C1">
      <w:pPr>
        <w:jc w:val="left"/>
      </w:pPr>
    </w:p>
    <w:p w:rsidR="004469E6" w:rsidRDefault="004469E6" w:rsidP="00B029C1">
      <w:pPr>
        <w:jc w:val="left"/>
        <w:rPr>
          <w:color w:val="0000FF"/>
        </w:rPr>
      </w:pPr>
      <w:r w:rsidRPr="004469E6">
        <w:rPr>
          <w:rFonts w:cs="Arial"/>
        </w:rPr>
        <w:fldChar w:fldCharType="begin"/>
      </w:r>
      <w:r w:rsidRPr="004469E6">
        <w:rPr>
          <w:rFonts w:cs="Arial"/>
        </w:rPr>
        <w:instrText xml:space="preserve"> AUTONUM  </w:instrText>
      </w:r>
      <w:r w:rsidRPr="004469E6">
        <w:rPr>
          <w:rFonts w:cs="Arial"/>
        </w:rPr>
        <w:fldChar w:fldCharType="end"/>
      </w:r>
      <w:r w:rsidRPr="004469E6">
        <w:tab/>
        <w:t>Les documents et le compte rendu de la première réunion du</w:t>
      </w:r>
      <w:r w:rsidR="006F4F99">
        <w:t> </w:t>
      </w:r>
      <w:r w:rsidRPr="004469E6">
        <w:t>WG</w:t>
      </w:r>
      <w:r w:rsidR="00E22FCB">
        <w:noBreakHyphen/>
      </w:r>
      <w:r w:rsidRPr="004469E6">
        <w:t>SHF sont disponibles à l</w:t>
      </w:r>
      <w:r w:rsidR="00A11EFB">
        <w:t>’</w:t>
      </w:r>
      <w:r w:rsidRPr="004469E6">
        <w:t>adresse suivante</w:t>
      </w:r>
      <w:r w:rsidR="00A11EFB">
        <w:t> :</w:t>
      </w:r>
      <w:r w:rsidR="006F4F99">
        <w:rPr>
          <w:rFonts w:cs="Arial"/>
        </w:rPr>
        <w:t xml:space="preserve"> </w:t>
      </w:r>
      <w:hyperlink r:id="rId11" w:history="1">
        <w:r w:rsidRPr="004469E6">
          <w:rPr>
            <w:color w:val="0000FF"/>
            <w:u w:val="single"/>
          </w:rPr>
          <w:t>https://www.upov.int/meetings/fr/details.jsp?meeting_id=70189</w:t>
        </w:r>
      </w:hyperlink>
      <w:r w:rsidRPr="006F4F99">
        <w:rPr>
          <w:color w:val="0000FF"/>
        </w:rPr>
        <w:t>.</w:t>
      </w:r>
    </w:p>
    <w:p w:rsidR="00B029C1" w:rsidRPr="006F4F99" w:rsidRDefault="00B029C1" w:rsidP="00B029C1">
      <w:pPr>
        <w:jc w:val="left"/>
        <w:rPr>
          <w:rFonts w:cs="Arial"/>
        </w:rPr>
      </w:pPr>
    </w:p>
    <w:p w:rsidR="004469E6" w:rsidRPr="005760AB" w:rsidRDefault="004469E6" w:rsidP="00B029C1">
      <w:pPr>
        <w:keepNext/>
        <w:keepLines/>
        <w:rPr>
          <w:spacing w:val="-2"/>
        </w:rPr>
      </w:pPr>
      <w:r w:rsidRPr="005760AB">
        <w:rPr>
          <w:rFonts w:cs="Arial"/>
          <w:spacing w:val="-2"/>
        </w:rPr>
        <w:lastRenderedPageBreak/>
        <w:fldChar w:fldCharType="begin"/>
      </w:r>
      <w:r w:rsidRPr="005760AB">
        <w:rPr>
          <w:rFonts w:cs="Arial"/>
          <w:spacing w:val="-2"/>
        </w:rPr>
        <w:instrText xml:space="preserve"> AUTONUM  </w:instrText>
      </w:r>
      <w:r w:rsidRPr="005760AB">
        <w:rPr>
          <w:rFonts w:cs="Arial"/>
          <w:spacing w:val="-2"/>
        </w:rPr>
        <w:fldChar w:fldCharType="end"/>
      </w:r>
      <w:r w:rsidRPr="005760AB">
        <w:rPr>
          <w:spacing w:val="-2"/>
        </w:rPr>
        <w:tab/>
        <w:t>Au terme de la deuxième réunion, le président du</w:t>
      </w:r>
      <w:r w:rsidR="007C2C77" w:rsidRPr="005760AB">
        <w:rPr>
          <w:spacing w:val="-2"/>
        </w:rPr>
        <w:t> </w:t>
      </w:r>
      <w:r w:rsidRPr="005760AB">
        <w:rPr>
          <w:spacing w:val="-2"/>
        </w:rPr>
        <w:t>WG</w:t>
      </w:r>
      <w:r w:rsidR="00E22FCB" w:rsidRPr="005760AB">
        <w:rPr>
          <w:spacing w:val="-2"/>
        </w:rPr>
        <w:noBreakHyphen/>
      </w:r>
      <w:r w:rsidRPr="005760AB">
        <w:rPr>
          <w:spacing w:val="-2"/>
        </w:rPr>
        <w:t>SHF a fait remarquer que, le sujet étant sensible, il ne s</w:t>
      </w:r>
      <w:r w:rsidR="00A11EFB" w:rsidRPr="005760AB">
        <w:rPr>
          <w:spacing w:val="-2"/>
        </w:rPr>
        <w:t>’</w:t>
      </w:r>
      <w:r w:rsidRPr="005760AB">
        <w:rPr>
          <w:spacing w:val="-2"/>
        </w:rPr>
        <w:t>attendait pas à un processus facile lorsqu</w:t>
      </w:r>
      <w:r w:rsidR="00A11EFB" w:rsidRPr="005760AB">
        <w:rPr>
          <w:spacing w:val="-2"/>
        </w:rPr>
        <w:t>’</w:t>
      </w:r>
      <w:r w:rsidRPr="005760AB">
        <w:rPr>
          <w:spacing w:val="-2"/>
        </w:rPr>
        <w:t>il a commencé, il y a quelques années, à examiner la question de la fourniture d</w:t>
      </w:r>
      <w:r w:rsidR="00A11EFB" w:rsidRPr="005760AB">
        <w:rPr>
          <w:spacing w:val="-2"/>
        </w:rPr>
        <w:t>’</w:t>
      </w:r>
      <w:r w:rsidRPr="005760AB">
        <w:rPr>
          <w:spacing w:val="-2"/>
        </w:rPr>
        <w:t>orientations concernant les petits exploitants agricoles en lien avec l</w:t>
      </w:r>
      <w:r w:rsidR="00A11EFB" w:rsidRPr="005760AB">
        <w:rPr>
          <w:spacing w:val="-2"/>
        </w:rPr>
        <w:t>’</w:t>
      </w:r>
      <w:r w:rsidRPr="005760AB">
        <w:rPr>
          <w:spacing w:val="-2"/>
        </w:rPr>
        <w:t>utilisation à des fins privées et non commercial</w:t>
      </w:r>
      <w:r w:rsidR="00CE3B71" w:rsidRPr="005760AB">
        <w:rPr>
          <w:spacing w:val="-2"/>
        </w:rPr>
        <w:t>es.  Il</w:t>
      </w:r>
      <w:r w:rsidRPr="005760AB">
        <w:rPr>
          <w:spacing w:val="-2"/>
        </w:rPr>
        <w:t xml:space="preserve"> a noté que les interventions avaient montré que certains s</w:t>
      </w:r>
      <w:r w:rsidR="00A11EFB" w:rsidRPr="005760AB">
        <w:rPr>
          <w:spacing w:val="-2"/>
        </w:rPr>
        <w:t>’</w:t>
      </w:r>
      <w:r w:rsidRPr="005760AB">
        <w:rPr>
          <w:spacing w:val="-2"/>
        </w:rPr>
        <w:t>interrogeaient sur l</w:t>
      </w:r>
      <w:r w:rsidR="00A11EFB" w:rsidRPr="005760AB">
        <w:rPr>
          <w:spacing w:val="-2"/>
        </w:rPr>
        <w:t>’</w:t>
      </w:r>
      <w:r w:rsidRPr="005760AB">
        <w:rPr>
          <w:spacing w:val="-2"/>
        </w:rPr>
        <w:t>existence même d</w:t>
      </w:r>
      <w:r w:rsidR="00A11EFB" w:rsidRPr="005760AB">
        <w:rPr>
          <w:spacing w:val="-2"/>
        </w:rPr>
        <w:t>’</w:t>
      </w:r>
      <w:r w:rsidRPr="005760AB">
        <w:rPr>
          <w:spacing w:val="-2"/>
        </w:rPr>
        <w:t>un problème, tandis que d</w:t>
      </w:r>
      <w:r w:rsidR="00A11EFB" w:rsidRPr="005760AB">
        <w:rPr>
          <w:spacing w:val="-2"/>
        </w:rPr>
        <w:t>’</w:t>
      </w:r>
      <w:r w:rsidRPr="005760AB">
        <w:rPr>
          <w:spacing w:val="-2"/>
        </w:rPr>
        <w:t>autres soulignaient que le manque de clarté pouvait empêcher les petits exploitants agricoles d</w:t>
      </w:r>
      <w:r w:rsidR="00A11EFB" w:rsidRPr="005760AB">
        <w:rPr>
          <w:spacing w:val="-2"/>
        </w:rPr>
        <w:t>’</w:t>
      </w:r>
      <w:r w:rsidRPr="005760AB">
        <w:rPr>
          <w:spacing w:val="-2"/>
        </w:rPr>
        <w:t>utiliser des semences de quali</w:t>
      </w:r>
      <w:r w:rsidR="00CE3B71" w:rsidRPr="005760AB">
        <w:rPr>
          <w:spacing w:val="-2"/>
        </w:rPr>
        <w:t>té.  Il</w:t>
      </w:r>
      <w:r w:rsidRPr="005760AB">
        <w:rPr>
          <w:spacing w:val="-2"/>
        </w:rPr>
        <w:t xml:space="preserve"> a conclu qu</w:t>
      </w:r>
      <w:r w:rsidR="00A11EFB" w:rsidRPr="005760AB">
        <w:rPr>
          <w:spacing w:val="-2"/>
        </w:rPr>
        <w:t>’</w:t>
      </w:r>
      <w:r w:rsidRPr="005760AB">
        <w:rPr>
          <w:spacing w:val="-2"/>
        </w:rPr>
        <w:t>il y avait un consensus au sein du</w:t>
      </w:r>
      <w:r w:rsidR="007C2C77" w:rsidRPr="005760AB">
        <w:rPr>
          <w:spacing w:val="-2"/>
        </w:rPr>
        <w:t> </w:t>
      </w:r>
      <w:r w:rsidRPr="005760AB">
        <w:rPr>
          <w:spacing w:val="-2"/>
        </w:rPr>
        <w:t>WG</w:t>
      </w:r>
      <w:r w:rsidR="00E22FCB" w:rsidRPr="005760AB">
        <w:rPr>
          <w:spacing w:val="-2"/>
        </w:rPr>
        <w:noBreakHyphen/>
      </w:r>
      <w:r w:rsidRPr="005760AB">
        <w:rPr>
          <w:spacing w:val="-2"/>
        </w:rPr>
        <w:t>SHF sur le fait que tous les agriculteurs devaient avoir accès à de bonnes semences et qu</w:t>
      </w:r>
      <w:r w:rsidR="00A11EFB" w:rsidRPr="005760AB">
        <w:rPr>
          <w:spacing w:val="-2"/>
        </w:rPr>
        <w:t>’</w:t>
      </w:r>
      <w:r w:rsidRPr="005760AB">
        <w:rPr>
          <w:spacing w:val="-2"/>
        </w:rPr>
        <w:t>il était important de faire un effort pour améliorer les moyens de subsistance des agriculteurs du monde enti</w:t>
      </w:r>
      <w:r w:rsidR="00CE3B71" w:rsidRPr="005760AB">
        <w:rPr>
          <w:spacing w:val="-2"/>
        </w:rPr>
        <w:t>er.  Le</w:t>
      </w:r>
      <w:r w:rsidR="00B029C1" w:rsidRPr="005760AB">
        <w:rPr>
          <w:spacing w:val="-2"/>
        </w:rPr>
        <w:t> </w:t>
      </w:r>
      <w:r w:rsidRPr="005760AB">
        <w:rPr>
          <w:spacing w:val="-2"/>
        </w:rPr>
        <w:t>président a exprimé ses remerciements, au nom du</w:t>
      </w:r>
      <w:r w:rsidR="007C2C77" w:rsidRPr="005760AB">
        <w:rPr>
          <w:spacing w:val="-2"/>
        </w:rPr>
        <w:t> </w:t>
      </w:r>
      <w:r w:rsidRPr="005760AB">
        <w:rPr>
          <w:spacing w:val="-2"/>
        </w:rPr>
        <w:t>WG</w:t>
      </w:r>
      <w:r w:rsidR="00E22FCB" w:rsidRPr="005760AB">
        <w:rPr>
          <w:spacing w:val="-2"/>
        </w:rPr>
        <w:noBreakHyphen/>
      </w:r>
      <w:r w:rsidRPr="005760AB">
        <w:rPr>
          <w:spacing w:val="-2"/>
        </w:rPr>
        <w:t>SHF, à l</w:t>
      </w:r>
      <w:r w:rsidR="00A11EFB" w:rsidRPr="005760AB">
        <w:rPr>
          <w:spacing w:val="-2"/>
        </w:rPr>
        <w:t>’</w:t>
      </w:r>
      <w:r w:rsidRPr="005760AB">
        <w:rPr>
          <w:spacing w:val="-2"/>
        </w:rPr>
        <w:t>équipe de projet pour son rapport et ses recommandatio</w:t>
      </w:r>
      <w:r w:rsidR="00CE3B71" w:rsidRPr="005760AB">
        <w:rPr>
          <w:spacing w:val="-2"/>
        </w:rPr>
        <w:t>ns.  Il</w:t>
      </w:r>
      <w:r w:rsidRPr="005760AB">
        <w:rPr>
          <w:spacing w:val="-2"/>
        </w:rPr>
        <w:t xml:space="preserve"> a noté que </w:t>
      </w:r>
      <w:r w:rsidR="007C2C77" w:rsidRPr="005760AB">
        <w:rPr>
          <w:spacing w:val="-2"/>
        </w:rPr>
        <w:t>l</w:t>
      </w:r>
      <w:r w:rsidR="0092755F" w:rsidRPr="005760AB">
        <w:rPr>
          <w:spacing w:val="-2"/>
        </w:rPr>
        <w:t>e WG</w:t>
      </w:r>
      <w:r w:rsidR="00E22FCB" w:rsidRPr="005760AB">
        <w:rPr>
          <w:spacing w:val="-2"/>
        </w:rPr>
        <w:noBreakHyphen/>
      </w:r>
      <w:r w:rsidR="0092755F" w:rsidRPr="005760AB">
        <w:rPr>
          <w:spacing w:val="-2"/>
        </w:rPr>
        <w:t>SHF</w:t>
      </w:r>
      <w:r w:rsidRPr="005760AB">
        <w:rPr>
          <w:spacing w:val="-2"/>
        </w:rPr>
        <w:t xml:space="preserve"> avait examiné toutes les recommandatio</w:t>
      </w:r>
      <w:r w:rsidR="00CE3B71" w:rsidRPr="005760AB">
        <w:rPr>
          <w:spacing w:val="-2"/>
        </w:rPr>
        <w:t>ns.  Le</w:t>
      </w:r>
      <w:r w:rsidR="00B029C1" w:rsidRPr="005760AB">
        <w:rPr>
          <w:spacing w:val="-2"/>
        </w:rPr>
        <w:t xml:space="preserve"> président a </w:t>
      </w:r>
      <w:r w:rsidRPr="005760AB">
        <w:rPr>
          <w:spacing w:val="-2"/>
        </w:rPr>
        <w:t>reconnu que, bien que des progrès aient été réalisés au sein du</w:t>
      </w:r>
      <w:r w:rsidR="007C2C77" w:rsidRPr="005760AB">
        <w:rPr>
          <w:spacing w:val="-2"/>
        </w:rPr>
        <w:t> </w:t>
      </w:r>
      <w:r w:rsidRPr="005760AB">
        <w:rPr>
          <w:spacing w:val="-2"/>
        </w:rPr>
        <w:t>WG</w:t>
      </w:r>
      <w:r w:rsidR="00E22FCB" w:rsidRPr="005760AB">
        <w:rPr>
          <w:spacing w:val="-2"/>
        </w:rPr>
        <w:noBreakHyphen/>
      </w:r>
      <w:r w:rsidRPr="005760AB">
        <w:rPr>
          <w:spacing w:val="-2"/>
        </w:rPr>
        <w:t>SHF pour accroître la compréhension mutuelle sur le sujet, le groupe de travail n</w:t>
      </w:r>
      <w:r w:rsidR="00A11EFB" w:rsidRPr="005760AB">
        <w:rPr>
          <w:spacing w:val="-2"/>
        </w:rPr>
        <w:t>’</w:t>
      </w:r>
      <w:r w:rsidRPr="005760AB">
        <w:rPr>
          <w:spacing w:val="-2"/>
        </w:rPr>
        <w:t>était pas encore prêt à tirer des conclusions et à commencer la rédaction d</w:t>
      </w:r>
      <w:r w:rsidR="00A11EFB" w:rsidRPr="005760AB">
        <w:rPr>
          <w:spacing w:val="-2"/>
        </w:rPr>
        <w:t>’</w:t>
      </w:r>
      <w:r w:rsidRPr="005760AB">
        <w:rPr>
          <w:spacing w:val="-2"/>
        </w:rPr>
        <w:t>une note explicati</w:t>
      </w:r>
      <w:r w:rsidR="00CE3B71" w:rsidRPr="005760AB">
        <w:rPr>
          <w:spacing w:val="-2"/>
        </w:rPr>
        <w:t>ve.  Il</w:t>
      </w:r>
      <w:r w:rsidRPr="005760AB">
        <w:rPr>
          <w:spacing w:val="-2"/>
        </w:rPr>
        <w:t xml:space="preserve"> a rappelé que, lors de sa première réunion, </w:t>
      </w:r>
      <w:r w:rsidR="007C2C77" w:rsidRPr="005760AB">
        <w:rPr>
          <w:spacing w:val="-2"/>
        </w:rPr>
        <w:t>l</w:t>
      </w:r>
      <w:r w:rsidR="0092755F" w:rsidRPr="005760AB">
        <w:rPr>
          <w:spacing w:val="-2"/>
        </w:rPr>
        <w:t>e WG</w:t>
      </w:r>
      <w:r w:rsidR="00E22FCB" w:rsidRPr="005760AB">
        <w:rPr>
          <w:spacing w:val="-2"/>
        </w:rPr>
        <w:noBreakHyphen/>
      </w:r>
      <w:r w:rsidR="0092755F" w:rsidRPr="005760AB">
        <w:rPr>
          <w:spacing w:val="-2"/>
        </w:rPr>
        <w:t>SHF</w:t>
      </w:r>
      <w:r w:rsidRPr="005760AB">
        <w:rPr>
          <w:spacing w:val="-2"/>
        </w:rPr>
        <w:t xml:space="preserve"> était convenu que davantage de précisions sur le sujet devaient être fournies avant de commencer la rédacti</w:t>
      </w:r>
      <w:r w:rsidR="00CE3B71" w:rsidRPr="005760AB">
        <w:rPr>
          <w:spacing w:val="-2"/>
        </w:rPr>
        <w:t>on.  Il</w:t>
      </w:r>
      <w:r w:rsidRPr="005760AB">
        <w:rPr>
          <w:spacing w:val="-2"/>
        </w:rPr>
        <w:t xml:space="preserve"> a noté qu</w:t>
      </w:r>
      <w:r w:rsidR="00A11EFB" w:rsidRPr="005760AB">
        <w:rPr>
          <w:spacing w:val="-2"/>
        </w:rPr>
        <w:t>’</w:t>
      </w:r>
      <w:r w:rsidRPr="005760AB">
        <w:rPr>
          <w:spacing w:val="-2"/>
        </w:rPr>
        <w:t>il avait été reconnu que la restriction perçue ou réelle concernant certains actes en rapport avec les variétés protégées n</w:t>
      </w:r>
      <w:r w:rsidR="00A11EFB" w:rsidRPr="005760AB">
        <w:rPr>
          <w:spacing w:val="-2"/>
        </w:rPr>
        <w:t>’</w:t>
      </w:r>
      <w:r w:rsidRPr="005760AB">
        <w:rPr>
          <w:spacing w:val="-2"/>
        </w:rPr>
        <w:t>était pas toujours liée au droit d</w:t>
      </w:r>
      <w:r w:rsidR="00A11EFB" w:rsidRPr="005760AB">
        <w:rPr>
          <w:spacing w:val="-2"/>
        </w:rPr>
        <w:t>’</w:t>
      </w:r>
      <w:r w:rsidRPr="005760AB">
        <w:rPr>
          <w:spacing w:val="-2"/>
        </w:rPr>
        <w:t>obtenteur car d</w:t>
      </w:r>
      <w:r w:rsidR="00A11EFB" w:rsidRPr="005760AB">
        <w:rPr>
          <w:spacing w:val="-2"/>
        </w:rPr>
        <w:t>’</w:t>
      </w:r>
      <w:r w:rsidRPr="005760AB">
        <w:rPr>
          <w:spacing w:val="-2"/>
        </w:rPr>
        <w:t>autres textes législatifs sur les semences pouvaient limiter ces act</w:t>
      </w:r>
      <w:r w:rsidR="00CE3B71" w:rsidRPr="005760AB">
        <w:rPr>
          <w:spacing w:val="-2"/>
        </w:rPr>
        <w:t xml:space="preserve">es.  </w:t>
      </w:r>
      <w:r w:rsidR="00CE3B71" w:rsidRPr="005760AB">
        <w:rPr>
          <w:spacing w:val="-4"/>
        </w:rPr>
        <w:t>Le</w:t>
      </w:r>
      <w:r w:rsidR="005760AB" w:rsidRPr="005760AB">
        <w:rPr>
          <w:spacing w:val="-4"/>
        </w:rPr>
        <w:t> </w:t>
      </w:r>
      <w:r w:rsidRPr="005760AB">
        <w:rPr>
          <w:spacing w:val="-4"/>
        </w:rPr>
        <w:t>président a rappelé que l</w:t>
      </w:r>
      <w:r w:rsidR="00A11EFB" w:rsidRPr="005760AB">
        <w:rPr>
          <w:spacing w:val="-4"/>
        </w:rPr>
        <w:t>’</w:t>
      </w:r>
      <w:r w:rsidRPr="005760AB">
        <w:rPr>
          <w:spacing w:val="-4"/>
        </w:rPr>
        <w:t>enquête menée auprès des membres et observateurs de l</w:t>
      </w:r>
      <w:r w:rsidR="00A11EFB" w:rsidRPr="005760AB">
        <w:rPr>
          <w:spacing w:val="-4"/>
        </w:rPr>
        <w:t>’</w:t>
      </w:r>
      <w:r w:rsidRPr="005760AB">
        <w:rPr>
          <w:spacing w:val="-4"/>
        </w:rPr>
        <w:t>UPOV avait révélé qu</w:t>
      </w:r>
      <w:r w:rsidR="00A11EFB" w:rsidRPr="005760AB">
        <w:rPr>
          <w:spacing w:val="-4"/>
        </w:rPr>
        <w:t>’</w:t>
      </w:r>
      <w:r w:rsidRPr="005760AB">
        <w:rPr>
          <w:spacing w:val="-4"/>
        </w:rPr>
        <w:t>aucune action en justice relative au droit d</w:t>
      </w:r>
      <w:r w:rsidR="00A11EFB" w:rsidRPr="005760AB">
        <w:rPr>
          <w:spacing w:val="-4"/>
        </w:rPr>
        <w:t>’</w:t>
      </w:r>
      <w:r w:rsidRPr="005760AB">
        <w:rPr>
          <w:spacing w:val="-4"/>
        </w:rPr>
        <w:t>obtenteur contre des petits exploitants agricoles n</w:t>
      </w:r>
      <w:r w:rsidR="00A11EFB" w:rsidRPr="005760AB">
        <w:rPr>
          <w:spacing w:val="-4"/>
        </w:rPr>
        <w:t>’</w:t>
      </w:r>
      <w:r w:rsidRPr="005760AB">
        <w:rPr>
          <w:spacing w:val="-4"/>
        </w:rPr>
        <w:t>avait été signalée.</w:t>
      </w:r>
    </w:p>
    <w:p w:rsidR="00B029C1" w:rsidRPr="004469E6" w:rsidRDefault="00B029C1" w:rsidP="00B029C1">
      <w:pPr>
        <w:keepNext/>
        <w:keepLines/>
        <w:rPr>
          <w:rFonts w:cs="Arial"/>
          <w:spacing w:val="-4"/>
        </w:rPr>
      </w:pPr>
    </w:p>
    <w:p w:rsidR="004469E6" w:rsidRPr="00B029C1" w:rsidRDefault="004469E6" w:rsidP="00B029C1">
      <w:pPr>
        <w:rPr>
          <w:spacing w:val="-2"/>
        </w:rPr>
      </w:pPr>
      <w:r w:rsidRPr="00B029C1">
        <w:rPr>
          <w:rFonts w:cs="Arial"/>
          <w:spacing w:val="-2"/>
        </w:rPr>
        <w:fldChar w:fldCharType="begin"/>
      </w:r>
      <w:r w:rsidRPr="00B029C1">
        <w:rPr>
          <w:rFonts w:cs="Arial"/>
          <w:spacing w:val="-2"/>
        </w:rPr>
        <w:instrText xml:space="preserve"> AUTONUM  </w:instrText>
      </w:r>
      <w:r w:rsidRPr="00B029C1">
        <w:rPr>
          <w:rFonts w:cs="Arial"/>
          <w:spacing w:val="-2"/>
        </w:rPr>
        <w:fldChar w:fldCharType="end"/>
      </w:r>
      <w:r w:rsidRPr="00B029C1">
        <w:rPr>
          <w:spacing w:val="-2"/>
        </w:rPr>
        <w:tab/>
        <w:t>En ce qui concerne les prochaines étapes, le président du</w:t>
      </w:r>
      <w:r w:rsidR="007C2C77" w:rsidRPr="00B029C1">
        <w:rPr>
          <w:spacing w:val="-2"/>
        </w:rPr>
        <w:t> </w:t>
      </w:r>
      <w:r w:rsidRPr="00B029C1">
        <w:rPr>
          <w:spacing w:val="-2"/>
        </w:rPr>
        <w:t>WG</w:t>
      </w:r>
      <w:r w:rsidR="00E22FCB" w:rsidRPr="00B029C1">
        <w:rPr>
          <w:spacing w:val="-2"/>
        </w:rPr>
        <w:noBreakHyphen/>
      </w:r>
      <w:r w:rsidRPr="00B029C1">
        <w:rPr>
          <w:spacing w:val="-2"/>
        </w:rPr>
        <w:t>SHF a estimé, sur la base des discussions qui ont eu lieu lors de la deuxième réunion du</w:t>
      </w:r>
      <w:r w:rsidR="007C2C77" w:rsidRPr="00B029C1">
        <w:rPr>
          <w:spacing w:val="-2"/>
        </w:rPr>
        <w:t> </w:t>
      </w:r>
      <w:r w:rsidRPr="00B029C1">
        <w:rPr>
          <w:spacing w:val="-2"/>
        </w:rPr>
        <w:t>WG</w:t>
      </w:r>
      <w:r w:rsidR="00E22FCB" w:rsidRPr="00B029C1">
        <w:rPr>
          <w:spacing w:val="-2"/>
        </w:rPr>
        <w:noBreakHyphen/>
      </w:r>
      <w:r w:rsidRPr="00B029C1">
        <w:rPr>
          <w:spacing w:val="-2"/>
        </w:rPr>
        <w:t>SHF, que le groupe de travail progressait tout en reconnaissant qu</w:t>
      </w:r>
      <w:r w:rsidR="00A11EFB" w:rsidRPr="00B029C1">
        <w:rPr>
          <w:spacing w:val="-2"/>
        </w:rPr>
        <w:t>’</w:t>
      </w:r>
      <w:r w:rsidRPr="00B029C1">
        <w:rPr>
          <w:spacing w:val="-2"/>
        </w:rPr>
        <w:t>il restait beaucoup à fai</w:t>
      </w:r>
      <w:r w:rsidR="00CE3B71" w:rsidRPr="00B029C1">
        <w:rPr>
          <w:spacing w:val="-2"/>
        </w:rPr>
        <w:t>re.  Il</w:t>
      </w:r>
      <w:r w:rsidRPr="00B029C1">
        <w:rPr>
          <w:spacing w:val="-2"/>
        </w:rPr>
        <w:t xml:space="preserve"> a proposé qu</w:t>
      </w:r>
      <w:r w:rsidR="00A11EFB" w:rsidRPr="00B029C1">
        <w:rPr>
          <w:spacing w:val="-2"/>
        </w:rPr>
        <w:t>’</w:t>
      </w:r>
      <w:r w:rsidRPr="00B029C1">
        <w:rPr>
          <w:spacing w:val="-2"/>
        </w:rPr>
        <w:t xml:space="preserve">un rapport sur les progrès réalisés par </w:t>
      </w:r>
      <w:r w:rsidR="007C2C77" w:rsidRPr="00B029C1">
        <w:rPr>
          <w:spacing w:val="-2"/>
        </w:rPr>
        <w:t>l</w:t>
      </w:r>
      <w:r w:rsidR="0092755F" w:rsidRPr="00B029C1">
        <w:rPr>
          <w:spacing w:val="-2"/>
        </w:rPr>
        <w:t>e WG</w:t>
      </w:r>
      <w:r w:rsidR="00E22FCB" w:rsidRPr="00B029C1">
        <w:rPr>
          <w:spacing w:val="-2"/>
        </w:rPr>
        <w:noBreakHyphen/>
      </w:r>
      <w:r w:rsidR="0092755F" w:rsidRPr="00B029C1">
        <w:rPr>
          <w:spacing w:val="-2"/>
        </w:rPr>
        <w:t>SHF</w:t>
      </w:r>
      <w:r w:rsidRPr="00B029C1">
        <w:rPr>
          <w:spacing w:val="-2"/>
        </w:rPr>
        <w:t xml:space="preserve"> soit établi pour informer le Comité administratif et juridique</w:t>
      </w:r>
      <w:r w:rsidR="007C2C77" w:rsidRPr="00B029C1">
        <w:rPr>
          <w:spacing w:val="-2"/>
        </w:rPr>
        <w:t> </w:t>
      </w:r>
      <w:r w:rsidRPr="00B029C1">
        <w:rPr>
          <w:spacing w:val="-2"/>
        </w:rPr>
        <w:t>(CAJ) à sa soixante</w:t>
      </w:r>
      <w:r w:rsidR="00E22FCB" w:rsidRPr="00B029C1">
        <w:rPr>
          <w:spacing w:val="-2"/>
        </w:rPr>
        <w:noBreakHyphen/>
      </w:r>
      <w:r w:rsidRPr="00B029C1">
        <w:rPr>
          <w:spacing w:val="-2"/>
        </w:rPr>
        <w:t>dix</w:t>
      </w:r>
      <w:r w:rsidR="00E22FCB" w:rsidRPr="00B029C1">
        <w:rPr>
          <w:rFonts w:cs="Arial"/>
          <w:spacing w:val="-2"/>
        </w:rPr>
        <w:noBreakHyphen/>
      </w:r>
      <w:r w:rsidRPr="00B029C1">
        <w:rPr>
          <w:spacing w:val="-2"/>
        </w:rPr>
        <w:t>neuv</w:t>
      </w:r>
      <w:r w:rsidR="00A11EFB" w:rsidRPr="00B029C1">
        <w:rPr>
          <w:spacing w:val="-2"/>
        </w:rPr>
        <w:t>ième session</w:t>
      </w:r>
      <w:r w:rsidRPr="00B029C1">
        <w:rPr>
          <w:spacing w:val="-2"/>
        </w:rPr>
        <w:t xml:space="preserve"> qui se tiendra le</w:t>
      </w:r>
      <w:r w:rsidR="00E22FCB" w:rsidRPr="00B029C1">
        <w:rPr>
          <w:spacing w:val="-2"/>
        </w:rPr>
        <w:t> </w:t>
      </w:r>
      <w:r w:rsidRPr="00B029C1">
        <w:rPr>
          <w:spacing w:val="-2"/>
        </w:rPr>
        <w:t>26 octobre 2022.  Le président était d</w:t>
      </w:r>
      <w:r w:rsidR="00A11EFB" w:rsidRPr="00B029C1">
        <w:rPr>
          <w:spacing w:val="-2"/>
        </w:rPr>
        <w:t>’</w:t>
      </w:r>
      <w:r w:rsidRPr="00B029C1">
        <w:rPr>
          <w:spacing w:val="-2"/>
        </w:rPr>
        <w:t>avis qu</w:t>
      </w:r>
      <w:r w:rsidR="00A11EFB" w:rsidRPr="00B029C1">
        <w:rPr>
          <w:spacing w:val="-2"/>
        </w:rPr>
        <w:t>’</w:t>
      </w:r>
      <w:r w:rsidRPr="00B029C1">
        <w:rPr>
          <w:spacing w:val="-2"/>
        </w:rPr>
        <w:t>il était important de poursuivre les travaux sur le suj</w:t>
      </w:r>
      <w:r w:rsidR="00CE3B71" w:rsidRPr="00B029C1">
        <w:rPr>
          <w:spacing w:val="-2"/>
        </w:rPr>
        <w:t>et.  En</w:t>
      </w:r>
      <w:r w:rsidRPr="00B029C1">
        <w:rPr>
          <w:spacing w:val="-2"/>
        </w:rPr>
        <w:t xml:space="preserve"> ce qui concerne la voie à suivre, il a proposé de demander conseil au Comité consultatif, à sa quatre</w:t>
      </w:r>
      <w:r w:rsidR="00E22FCB" w:rsidRPr="00B029C1">
        <w:rPr>
          <w:spacing w:val="-2"/>
        </w:rPr>
        <w:noBreakHyphen/>
      </w:r>
      <w:r w:rsidRPr="00B029C1">
        <w:rPr>
          <w:spacing w:val="-2"/>
        </w:rPr>
        <w:t>vingt</w:t>
      </w:r>
      <w:r w:rsidR="00E22FCB" w:rsidRPr="00B029C1">
        <w:rPr>
          <w:spacing w:val="-2"/>
        </w:rPr>
        <w:noBreakHyphen/>
      </w:r>
      <w:r w:rsidRPr="00B029C1">
        <w:rPr>
          <w:spacing w:val="-2"/>
        </w:rPr>
        <w:t>dix</w:t>
      </w:r>
      <w:r w:rsidR="00E22FCB" w:rsidRPr="00B029C1">
        <w:rPr>
          <w:spacing w:val="-2"/>
        </w:rPr>
        <w:noBreakHyphen/>
      </w:r>
      <w:r w:rsidRPr="00B029C1">
        <w:rPr>
          <w:spacing w:val="-2"/>
        </w:rPr>
        <w:t>neuv</w:t>
      </w:r>
      <w:r w:rsidR="00A11EFB" w:rsidRPr="00B029C1">
        <w:rPr>
          <w:spacing w:val="-2"/>
        </w:rPr>
        <w:t>ième session</w:t>
      </w:r>
      <w:r w:rsidRPr="00B029C1">
        <w:rPr>
          <w:spacing w:val="-2"/>
        </w:rPr>
        <w:t xml:space="preserve"> qui se tiendra le</w:t>
      </w:r>
      <w:r w:rsidR="00E22FCB" w:rsidRPr="00B029C1">
        <w:rPr>
          <w:spacing w:val="-2"/>
        </w:rPr>
        <w:t> </w:t>
      </w:r>
      <w:r w:rsidRPr="00B029C1">
        <w:rPr>
          <w:spacing w:val="-2"/>
        </w:rPr>
        <w:t xml:space="preserve">27 octobre 2022.  Il formulera sa recommandation et invitera le Comité consultatif à décider si et comment </w:t>
      </w:r>
      <w:r w:rsidR="00E22FCB" w:rsidRPr="00B029C1">
        <w:rPr>
          <w:spacing w:val="-2"/>
        </w:rPr>
        <w:t>l</w:t>
      </w:r>
      <w:r w:rsidR="0092755F" w:rsidRPr="00B029C1">
        <w:rPr>
          <w:spacing w:val="-2"/>
        </w:rPr>
        <w:t>e WG</w:t>
      </w:r>
      <w:r w:rsidR="00E22FCB" w:rsidRPr="00B029C1">
        <w:rPr>
          <w:spacing w:val="-2"/>
        </w:rPr>
        <w:noBreakHyphen/>
      </w:r>
      <w:r w:rsidR="0092755F" w:rsidRPr="00B029C1">
        <w:rPr>
          <w:spacing w:val="-2"/>
        </w:rPr>
        <w:t>SHF</w:t>
      </w:r>
      <w:r w:rsidRPr="00B029C1">
        <w:rPr>
          <w:spacing w:val="-2"/>
        </w:rPr>
        <w:t xml:space="preserve"> doit poursuivre ses travaux.</w:t>
      </w:r>
    </w:p>
    <w:p w:rsidR="00B029C1" w:rsidRPr="005760AB" w:rsidRDefault="00B029C1" w:rsidP="00B029C1">
      <w:pPr>
        <w:rPr>
          <w:sz w:val="18"/>
        </w:rPr>
      </w:pPr>
    </w:p>
    <w:p w:rsidR="00B029C1" w:rsidRPr="005760AB" w:rsidRDefault="00B029C1" w:rsidP="00B029C1">
      <w:pPr>
        <w:rPr>
          <w:rFonts w:cs="Arial"/>
          <w:sz w:val="18"/>
        </w:rPr>
      </w:pPr>
    </w:p>
    <w:p w:rsidR="004469E6" w:rsidRDefault="004469E6" w:rsidP="00B029C1">
      <w:pPr>
        <w:keepNext/>
        <w:outlineLvl w:val="1"/>
        <w:rPr>
          <w:u w:val="single"/>
        </w:rPr>
      </w:pPr>
      <w:r w:rsidRPr="004469E6">
        <w:rPr>
          <w:u w:val="single"/>
        </w:rPr>
        <w:t>Quatre</w:t>
      </w:r>
      <w:r w:rsidR="00E22FCB">
        <w:rPr>
          <w:u w:val="single"/>
        </w:rPr>
        <w:noBreakHyphen/>
      </w:r>
      <w:r w:rsidRPr="004469E6">
        <w:rPr>
          <w:u w:val="single"/>
        </w:rPr>
        <w:t>vingt</w:t>
      </w:r>
      <w:r w:rsidR="00E22FCB">
        <w:rPr>
          <w:u w:val="single"/>
        </w:rPr>
        <w:noBreakHyphen/>
      </w:r>
      <w:r w:rsidRPr="004469E6">
        <w:rPr>
          <w:u w:val="single"/>
        </w:rPr>
        <w:t>dix</w:t>
      </w:r>
      <w:r w:rsidR="00E22FCB">
        <w:rPr>
          <w:u w:val="single"/>
        </w:rPr>
        <w:noBreakHyphen/>
      </w:r>
      <w:r w:rsidRPr="004469E6">
        <w:rPr>
          <w:u w:val="single"/>
        </w:rPr>
        <w:t>neuv</w:t>
      </w:r>
      <w:r w:rsidR="00A11EFB">
        <w:rPr>
          <w:u w:val="single"/>
        </w:rPr>
        <w:t>ième session</w:t>
      </w:r>
      <w:r w:rsidR="006A279E">
        <w:rPr>
          <w:u w:val="single"/>
        </w:rPr>
        <w:t xml:space="preserve"> du Comité C</w:t>
      </w:r>
      <w:r w:rsidRPr="004469E6">
        <w:rPr>
          <w:u w:val="single"/>
        </w:rPr>
        <w:t>onsultatif, tenue le</w:t>
      </w:r>
      <w:r w:rsidR="00E22FCB">
        <w:rPr>
          <w:u w:val="single"/>
        </w:rPr>
        <w:t> </w:t>
      </w:r>
      <w:r w:rsidRPr="004469E6">
        <w:rPr>
          <w:u w:val="single"/>
        </w:rPr>
        <w:t>2</w:t>
      </w:r>
      <w:r w:rsidR="00A11EFB" w:rsidRPr="004469E6">
        <w:rPr>
          <w:u w:val="single"/>
        </w:rPr>
        <w:t>7</w:t>
      </w:r>
      <w:r w:rsidR="00A11EFB">
        <w:rPr>
          <w:u w:val="single"/>
        </w:rPr>
        <w:t> </w:t>
      </w:r>
      <w:r w:rsidR="00A11EFB" w:rsidRPr="004469E6">
        <w:rPr>
          <w:u w:val="single"/>
        </w:rPr>
        <w:t>octobre</w:t>
      </w:r>
      <w:r w:rsidR="00A11EFB">
        <w:rPr>
          <w:u w:val="single"/>
        </w:rPr>
        <w:t> </w:t>
      </w:r>
      <w:r w:rsidR="00A11EFB" w:rsidRPr="004469E6">
        <w:rPr>
          <w:u w:val="single"/>
        </w:rPr>
        <w:t>20</w:t>
      </w:r>
      <w:r w:rsidRPr="004469E6">
        <w:rPr>
          <w:u w:val="single"/>
        </w:rPr>
        <w:t>22</w:t>
      </w:r>
    </w:p>
    <w:p w:rsidR="00B029C1" w:rsidRPr="005760AB" w:rsidRDefault="00B029C1" w:rsidP="00B029C1">
      <w:pPr>
        <w:keepNext/>
        <w:rPr>
          <w:sz w:val="18"/>
        </w:rPr>
      </w:pPr>
    </w:p>
    <w:p w:rsidR="004469E6" w:rsidRDefault="004469E6" w:rsidP="00B029C1">
      <w:pPr>
        <w:keepNext/>
      </w:pPr>
      <w:r w:rsidRPr="004469E6">
        <w:fldChar w:fldCharType="begin"/>
      </w:r>
      <w:r w:rsidRPr="004469E6">
        <w:instrText xml:space="preserve"> AUTONUM  </w:instrText>
      </w:r>
      <w:r w:rsidRPr="004469E6">
        <w:fldChar w:fldCharType="end"/>
      </w:r>
      <w:r w:rsidRPr="004469E6">
        <w:tab/>
        <w:t>À sa quatre</w:t>
      </w:r>
      <w:r w:rsidR="00E22FCB">
        <w:noBreakHyphen/>
      </w:r>
      <w:r w:rsidRPr="004469E6">
        <w:t>vingt</w:t>
      </w:r>
      <w:r w:rsidR="00E22FCB">
        <w:noBreakHyphen/>
      </w:r>
      <w:r w:rsidRPr="004469E6">
        <w:t>dix</w:t>
      </w:r>
      <w:r w:rsidR="00E22FCB">
        <w:noBreakHyphen/>
      </w:r>
      <w:r w:rsidRPr="004469E6">
        <w:t>neuv</w:t>
      </w:r>
      <w:r w:rsidR="00A11EFB">
        <w:t>ième session</w:t>
      </w:r>
      <w:r w:rsidRPr="004469E6">
        <w:t xml:space="preserve"> tenue le</w:t>
      </w:r>
      <w:r w:rsidR="00E22FCB">
        <w:t> </w:t>
      </w:r>
      <w:r w:rsidRPr="004469E6">
        <w:t>2</w:t>
      </w:r>
      <w:r w:rsidR="00A11EFB" w:rsidRPr="004469E6">
        <w:t>7</w:t>
      </w:r>
      <w:r w:rsidR="00A11EFB">
        <w:t> </w:t>
      </w:r>
      <w:r w:rsidR="00A11EFB" w:rsidRPr="004469E6">
        <w:t>octobre</w:t>
      </w:r>
      <w:r w:rsidR="00A11EFB">
        <w:t> </w:t>
      </w:r>
      <w:r w:rsidR="00A11EFB" w:rsidRPr="004469E6">
        <w:t>20</w:t>
      </w:r>
      <w:r w:rsidRPr="004469E6">
        <w:t>22, le Comité consultatif a pris note des faits nouveaux en rapport avec les orientations possibles concernant les petits exploitants agricoles en lien avec l</w:t>
      </w:r>
      <w:r w:rsidR="00A11EFB">
        <w:t>’</w:t>
      </w:r>
      <w:r w:rsidRPr="004469E6">
        <w:t xml:space="preserve">utilisation à des fins privées et non commerciales, dont il était rendu compte dans le </w:t>
      </w:r>
      <w:r w:rsidR="00A11EFB" w:rsidRPr="004469E6">
        <w:t>document</w:t>
      </w:r>
      <w:r w:rsidR="00E22FCB">
        <w:t> </w:t>
      </w:r>
      <w:r w:rsidR="00A11EFB" w:rsidRPr="004469E6">
        <w:t>CC</w:t>
      </w:r>
      <w:r w:rsidRPr="004469E6">
        <w:t xml:space="preserve">/99/11, </w:t>
      </w:r>
      <w:bookmarkStart w:id="3" w:name="_Toc115946636"/>
      <w:r w:rsidRPr="004469E6">
        <w:t>et des prochaines étapes proposées par le président du</w:t>
      </w:r>
      <w:r w:rsidR="00E22FCB">
        <w:t> </w:t>
      </w:r>
      <w:r w:rsidRPr="004469E6">
        <w:t>WG</w:t>
      </w:r>
      <w:r w:rsidR="00E22FCB">
        <w:noBreakHyphen/>
      </w:r>
      <w:r w:rsidRPr="004469E6">
        <w:t xml:space="preserve">SHF pour examen par le </w:t>
      </w:r>
      <w:bookmarkEnd w:id="3"/>
      <w:r w:rsidRPr="004469E6">
        <w:t>Comité consultatif</w:t>
      </w:r>
      <w:r w:rsidR="00A11EFB">
        <w:t> :</w:t>
      </w:r>
    </w:p>
    <w:p w:rsidR="00B029C1" w:rsidRPr="005760AB" w:rsidRDefault="00B029C1" w:rsidP="00B029C1">
      <w:pPr>
        <w:keepNext/>
        <w:rPr>
          <w:spacing w:val="-4"/>
          <w:sz w:val="16"/>
        </w:rPr>
      </w:pPr>
    </w:p>
    <w:p w:rsidR="004469E6" w:rsidRDefault="004469E6" w:rsidP="00B029C1">
      <w:pPr>
        <w:ind w:firstLine="567"/>
      </w:pPr>
      <w:r w:rsidRPr="004469E6">
        <w:t>a)</w:t>
      </w:r>
      <w:r w:rsidRPr="004469E6">
        <w:tab/>
        <w:t xml:space="preserve">noter que </w:t>
      </w:r>
      <w:r w:rsidR="00E22FCB">
        <w:t>l</w:t>
      </w:r>
      <w:r w:rsidR="0092755F">
        <w:t>e WG</w:t>
      </w:r>
      <w:r w:rsidR="00E22FCB">
        <w:noBreakHyphen/>
      </w:r>
      <w:r w:rsidR="0092755F">
        <w:t>SHF</w:t>
      </w:r>
      <w:r w:rsidRPr="004469E6">
        <w:t xml:space="preserve"> n</w:t>
      </w:r>
      <w:r w:rsidR="00A11EFB">
        <w:t>’</w:t>
      </w:r>
      <w:r w:rsidRPr="004469E6">
        <w:t>a pas encore atteint les objectifs fixés dans son mandat;  il est donc proposé qu</w:t>
      </w:r>
      <w:r w:rsidR="00A11EFB">
        <w:t>’</w:t>
      </w:r>
      <w:r w:rsidRPr="004469E6">
        <w:t>il poursuive ses travaux conformément à son mandat et, en particulier, qu</w:t>
      </w:r>
      <w:r w:rsidR="00A11EFB">
        <w:t>’</w:t>
      </w:r>
      <w:r w:rsidRPr="004469E6">
        <w:t>il s</w:t>
      </w:r>
      <w:r w:rsidR="00A11EFB">
        <w:t>’</w:t>
      </w:r>
      <w:r w:rsidRPr="004469E6">
        <w:t>efforce de fournir des orientations pour la rédaction d</w:t>
      </w:r>
      <w:r w:rsidR="00A11EFB">
        <w:t>’</w:t>
      </w:r>
      <w:r w:rsidRPr="004469E6">
        <w:t>une version révisée du document</w:t>
      </w:r>
      <w:r w:rsidR="00E22FCB">
        <w:t> </w:t>
      </w:r>
      <w:r w:rsidRPr="004469E6">
        <w:t>UPOV/EXN/EXC, à élaborer par le Comité administratif et juridique, ainsi que d</w:t>
      </w:r>
      <w:r w:rsidR="00A11EFB">
        <w:t>’</w:t>
      </w:r>
      <w:r w:rsidRPr="004469E6">
        <w:t>une version révisée des questions</w:t>
      </w:r>
      <w:r w:rsidR="00E22FCB">
        <w:noBreakHyphen/>
      </w:r>
      <w:r w:rsidRPr="004469E6">
        <w:t>réponses sur les exceptions au droit d</w:t>
      </w:r>
      <w:r w:rsidR="00A11EFB">
        <w:t>’</w:t>
      </w:r>
      <w:r w:rsidRPr="004469E6">
        <w:t>obtenteur, à élaborer par le Bureau de l</w:t>
      </w:r>
      <w:r w:rsidR="00A11EFB">
        <w:t>’</w:t>
      </w:r>
      <w:r w:rsidRPr="004469E6">
        <w:t>Union (point c) “</w:t>
      </w:r>
      <w:r w:rsidR="00B029C1">
        <w:t>Modus Operandi” du mandat [voir </w:t>
      </w:r>
      <w:r w:rsidRPr="004469E6">
        <w:t>l</w:t>
      </w:r>
      <w:r w:rsidR="00A11EFB">
        <w:t>’</w:t>
      </w:r>
      <w:r w:rsidRPr="004469E6">
        <w:t>annexe</w:t>
      </w:r>
      <w:r w:rsidR="00E22FCB">
        <w:t> </w:t>
      </w:r>
      <w:r w:rsidRPr="004469E6">
        <w:t>du présent document]);</w:t>
      </w:r>
    </w:p>
    <w:p w:rsidR="00B029C1" w:rsidRPr="005760AB" w:rsidRDefault="00B029C1" w:rsidP="00B029C1">
      <w:pPr>
        <w:ind w:firstLine="567"/>
        <w:rPr>
          <w:rFonts w:cs="Arial"/>
          <w:sz w:val="18"/>
        </w:rPr>
      </w:pPr>
    </w:p>
    <w:p w:rsidR="004469E6" w:rsidRDefault="004469E6" w:rsidP="00B029C1">
      <w:pPr>
        <w:ind w:firstLine="567"/>
      </w:pPr>
      <w:r w:rsidRPr="004469E6">
        <w:t>b)</w:t>
      </w:r>
      <w:r w:rsidRPr="004469E6">
        <w:tab/>
        <w:t>inviter le Bureau de l</w:t>
      </w:r>
      <w:r w:rsidR="00A11EFB">
        <w:t>’</w:t>
      </w:r>
      <w:r w:rsidRPr="004469E6">
        <w:t>Union à élaborer, pour la troisième réunion du</w:t>
      </w:r>
      <w:r w:rsidR="00E22FCB">
        <w:t> </w:t>
      </w:r>
      <w:r w:rsidRPr="004469E6">
        <w:t>WG</w:t>
      </w:r>
      <w:r w:rsidR="00E22FCB">
        <w:noBreakHyphen/>
      </w:r>
      <w:r w:rsidRPr="004469E6">
        <w:t>SHF, un document destiné à aider le groupe de travail à fournir les orientations demandées, sur la base des débats qui ont eu lieu lors de ses première et</w:t>
      </w:r>
      <w:r w:rsidR="00E22FCB">
        <w:t> </w:t>
      </w:r>
      <w:r w:rsidRPr="004469E6">
        <w:t>deuxième réunions;  et</w:t>
      </w:r>
    </w:p>
    <w:p w:rsidR="00B029C1" w:rsidRPr="005760AB" w:rsidRDefault="00B029C1" w:rsidP="00B029C1">
      <w:pPr>
        <w:ind w:firstLine="567"/>
        <w:rPr>
          <w:rFonts w:cs="Arial"/>
          <w:spacing w:val="-4"/>
          <w:sz w:val="18"/>
        </w:rPr>
      </w:pPr>
    </w:p>
    <w:p w:rsidR="004469E6" w:rsidRDefault="004469E6" w:rsidP="00B029C1">
      <w:pPr>
        <w:ind w:firstLine="567"/>
      </w:pPr>
      <w:r w:rsidRPr="004469E6">
        <w:t>c)</w:t>
      </w:r>
      <w:r w:rsidRPr="004469E6">
        <w:tab/>
        <w:t xml:space="preserve">inviter </w:t>
      </w:r>
      <w:r w:rsidR="00E22FCB">
        <w:t>l</w:t>
      </w:r>
      <w:r w:rsidR="0092755F">
        <w:t>e WG</w:t>
      </w:r>
      <w:r w:rsidR="00E22FCB">
        <w:noBreakHyphen/>
      </w:r>
      <w:r w:rsidR="0092755F">
        <w:t>SHF</w:t>
      </w:r>
      <w:r w:rsidRPr="004469E6">
        <w:t>, à sa troisième réunion, sur la base des débats tenus lors des première et</w:t>
      </w:r>
      <w:r w:rsidR="00E22FCB">
        <w:t> </w:t>
      </w:r>
      <w:r w:rsidRPr="004469E6">
        <w:t>deuxième</w:t>
      </w:r>
      <w:r w:rsidR="00E22FCB">
        <w:t> </w:t>
      </w:r>
      <w:r w:rsidRPr="004469E6">
        <w:t>réunions, à donner au Comité consultatif, à sa cent un</w:t>
      </w:r>
      <w:r w:rsidR="00A11EFB">
        <w:t>ième session</w:t>
      </w:r>
      <w:r w:rsidRPr="004469E6">
        <w:t>, des indications sur les options possibles</w:t>
      </w:r>
      <w:r w:rsidR="00A11EFB">
        <w:t> :</w:t>
      </w:r>
    </w:p>
    <w:p w:rsidR="00B029C1" w:rsidRPr="005760AB" w:rsidRDefault="00B029C1" w:rsidP="00B029C1">
      <w:pPr>
        <w:ind w:firstLine="567"/>
        <w:rPr>
          <w:rFonts w:cs="Arial"/>
          <w:spacing w:val="-2"/>
          <w:sz w:val="12"/>
        </w:rPr>
      </w:pPr>
    </w:p>
    <w:p w:rsidR="004469E6" w:rsidRDefault="004469E6" w:rsidP="00B029C1">
      <w:pPr>
        <w:ind w:left="1710" w:hanging="540"/>
      </w:pPr>
      <w:r w:rsidRPr="004469E6">
        <w:t>i)</w:t>
      </w:r>
      <w:r w:rsidRPr="004469E6">
        <w:tab/>
        <w:t xml:space="preserve">procéder à une révision du </w:t>
      </w:r>
      <w:r w:rsidR="00A11EFB" w:rsidRPr="004469E6">
        <w:t>document</w:t>
      </w:r>
      <w:r w:rsidR="00E22FCB">
        <w:t> </w:t>
      </w:r>
      <w:r w:rsidR="00A11EFB" w:rsidRPr="004469E6">
        <w:t>UP</w:t>
      </w:r>
      <w:r w:rsidRPr="004469E6">
        <w:t>OV/EXN/EXC,</w:t>
      </w:r>
      <w:r w:rsidR="00B029C1">
        <w:t xml:space="preserve"> qui sera établie par le Comité </w:t>
      </w:r>
      <w:r w:rsidRPr="004469E6">
        <w:t>administratif et juridique;  et</w:t>
      </w:r>
    </w:p>
    <w:p w:rsidR="00B029C1" w:rsidRPr="005760AB" w:rsidRDefault="00B029C1" w:rsidP="00B029C1">
      <w:pPr>
        <w:ind w:left="1710" w:hanging="540"/>
        <w:rPr>
          <w:rFonts w:cs="Arial"/>
          <w:sz w:val="16"/>
        </w:rPr>
      </w:pPr>
    </w:p>
    <w:p w:rsidR="004469E6" w:rsidRDefault="004469E6" w:rsidP="00B029C1">
      <w:pPr>
        <w:ind w:left="1134"/>
      </w:pPr>
      <w:r w:rsidRPr="004469E6">
        <w:t>ii)</w:t>
      </w:r>
      <w:r w:rsidRPr="004469E6">
        <w:tab/>
        <w:t>établir une révision des questions</w:t>
      </w:r>
      <w:r w:rsidR="00E22FCB">
        <w:noBreakHyphen/>
      </w:r>
      <w:r w:rsidRPr="004469E6">
        <w:t>réponses sur les exceptions au droit d</w:t>
      </w:r>
      <w:r w:rsidR="00A11EFB">
        <w:t>’</w:t>
      </w:r>
      <w:r w:rsidRPr="004469E6">
        <w:t>obtenteur</w:t>
      </w:r>
    </w:p>
    <w:p w:rsidR="00B029C1" w:rsidRPr="005760AB" w:rsidRDefault="00B029C1" w:rsidP="00B029C1">
      <w:pPr>
        <w:ind w:left="1134"/>
        <w:rPr>
          <w:rFonts w:cs="Arial"/>
          <w:sz w:val="12"/>
        </w:rPr>
      </w:pPr>
    </w:p>
    <w:p w:rsidR="004469E6" w:rsidRDefault="004469E6" w:rsidP="00B029C1">
      <w:r w:rsidRPr="004469E6">
        <w:t xml:space="preserve">(voir le </w:t>
      </w:r>
      <w:r w:rsidR="00A11EFB" w:rsidRPr="004469E6">
        <w:t>paragraphe</w:t>
      </w:r>
      <w:r w:rsidR="00A11EFB">
        <w:t> </w:t>
      </w:r>
      <w:r w:rsidR="00A11EFB" w:rsidRPr="004469E6">
        <w:t>2</w:t>
      </w:r>
      <w:r w:rsidRPr="004469E6">
        <w:t>1 du document</w:t>
      </w:r>
      <w:r w:rsidR="009E0B81">
        <w:t> </w:t>
      </w:r>
      <w:r w:rsidRPr="004469E6">
        <w:t>CC/99/11).</w:t>
      </w:r>
    </w:p>
    <w:p w:rsidR="00B029C1" w:rsidRPr="005760AB" w:rsidRDefault="00B029C1" w:rsidP="00B029C1">
      <w:pPr>
        <w:rPr>
          <w:sz w:val="16"/>
        </w:rPr>
      </w:pPr>
    </w:p>
    <w:p w:rsidR="00A11EFB" w:rsidRPr="005760AB" w:rsidRDefault="004469E6" w:rsidP="005760AB">
      <w:pPr>
        <w:keepNext/>
        <w:rPr>
          <w:spacing w:val="-4"/>
        </w:rPr>
      </w:pPr>
      <w:r w:rsidRPr="005760AB">
        <w:rPr>
          <w:spacing w:val="-4"/>
        </w:rPr>
        <w:fldChar w:fldCharType="begin"/>
      </w:r>
      <w:r w:rsidRPr="005760AB">
        <w:rPr>
          <w:spacing w:val="-4"/>
        </w:rPr>
        <w:instrText xml:space="preserve"> AUTONUM  </w:instrText>
      </w:r>
      <w:r w:rsidRPr="005760AB">
        <w:rPr>
          <w:spacing w:val="-4"/>
        </w:rPr>
        <w:fldChar w:fldCharType="end"/>
      </w:r>
      <w:r w:rsidR="006A279E">
        <w:rPr>
          <w:spacing w:val="-4"/>
        </w:rPr>
        <w:tab/>
        <w:t>Le Comité C</w:t>
      </w:r>
      <w:r w:rsidRPr="005760AB">
        <w:rPr>
          <w:spacing w:val="-4"/>
        </w:rPr>
        <w:t xml:space="preserve">onsultatif est convenu de ce qui suit en ce qui concerne les prochaines étapes pour </w:t>
      </w:r>
      <w:r w:rsidR="00E22FCB" w:rsidRPr="005760AB">
        <w:rPr>
          <w:spacing w:val="-4"/>
        </w:rPr>
        <w:t>l</w:t>
      </w:r>
      <w:r w:rsidR="0092755F" w:rsidRPr="005760AB">
        <w:rPr>
          <w:spacing w:val="-4"/>
        </w:rPr>
        <w:t>e WG</w:t>
      </w:r>
      <w:r w:rsidR="00E22FCB" w:rsidRPr="005760AB">
        <w:rPr>
          <w:spacing w:val="-4"/>
        </w:rPr>
        <w:noBreakHyphen/>
      </w:r>
      <w:r w:rsidR="0092755F" w:rsidRPr="005760AB">
        <w:rPr>
          <w:spacing w:val="-4"/>
        </w:rPr>
        <w:t>SHF</w:t>
      </w:r>
      <w:r w:rsidR="00A11EFB" w:rsidRPr="005760AB">
        <w:rPr>
          <w:spacing w:val="-4"/>
        </w:rPr>
        <w:t> :</w:t>
      </w:r>
    </w:p>
    <w:p w:rsidR="00B029C1" w:rsidRPr="005760AB" w:rsidRDefault="00B029C1" w:rsidP="005760AB">
      <w:pPr>
        <w:keepNext/>
        <w:rPr>
          <w:sz w:val="16"/>
        </w:rPr>
      </w:pPr>
    </w:p>
    <w:p w:rsidR="004469E6" w:rsidRDefault="004469E6" w:rsidP="005760AB">
      <w:pPr>
        <w:keepNext/>
        <w:ind w:firstLine="567"/>
      </w:pPr>
      <w:r w:rsidRPr="004469E6">
        <w:t>a)</w:t>
      </w:r>
      <w:r w:rsidRPr="004469E6">
        <w:tab/>
        <w:t>d</w:t>
      </w:r>
      <w:r w:rsidR="00A11EFB">
        <w:t>’</w:t>
      </w:r>
      <w:r w:rsidRPr="004469E6">
        <w:t>inviter le Bureau de l</w:t>
      </w:r>
      <w:r w:rsidR="00A11EFB">
        <w:t>’</w:t>
      </w:r>
      <w:r w:rsidRPr="004469E6">
        <w:t>Union à élaborer, pour la troisième réunion du</w:t>
      </w:r>
      <w:r w:rsidR="00E22FCB">
        <w:t> </w:t>
      </w:r>
      <w:r w:rsidRPr="004469E6">
        <w:t>WG</w:t>
      </w:r>
      <w:r w:rsidR="00E22FCB">
        <w:noBreakHyphen/>
      </w:r>
      <w:r w:rsidRPr="004469E6">
        <w:t>SHF, un document destiné à aider le groupe de travail à fournir les orientations demandées, sur la base des débats qui ont eu lieu lors de ses première et deuxième réunions;</w:t>
      </w:r>
    </w:p>
    <w:p w:rsidR="00B029C1" w:rsidRPr="005760AB" w:rsidRDefault="00B029C1" w:rsidP="005760AB">
      <w:pPr>
        <w:ind w:firstLine="567"/>
        <w:rPr>
          <w:rFonts w:cs="Arial"/>
          <w:spacing w:val="-4"/>
          <w:sz w:val="16"/>
        </w:rPr>
      </w:pPr>
    </w:p>
    <w:p w:rsidR="004469E6" w:rsidRDefault="004469E6" w:rsidP="00B029C1">
      <w:pPr>
        <w:ind w:firstLine="567"/>
      </w:pPr>
      <w:r w:rsidRPr="004469E6">
        <w:lastRenderedPageBreak/>
        <w:t>b)</w:t>
      </w:r>
      <w:r w:rsidRPr="004469E6">
        <w:tab/>
        <w:t>d</w:t>
      </w:r>
      <w:r w:rsidR="00A11EFB">
        <w:t>’</w:t>
      </w:r>
      <w:r w:rsidRPr="004469E6">
        <w:t xml:space="preserve">inviter </w:t>
      </w:r>
      <w:r w:rsidR="00E22FCB">
        <w:t>l</w:t>
      </w:r>
      <w:r w:rsidR="0092755F">
        <w:t>e WG</w:t>
      </w:r>
      <w:r w:rsidR="00E22FCB">
        <w:noBreakHyphen/>
      </w:r>
      <w:r w:rsidR="0092755F">
        <w:t>SHF</w:t>
      </w:r>
      <w:r w:rsidRPr="004469E6">
        <w:t>, à sa troisième réunion, sur la base des débats tenus lors des première et</w:t>
      </w:r>
      <w:r w:rsidR="00E22FCB">
        <w:t> </w:t>
      </w:r>
      <w:r w:rsidRPr="004469E6">
        <w:t>deuxième réunions, à donner au Comité consultatif, à sa cent un</w:t>
      </w:r>
      <w:r w:rsidR="00A11EFB">
        <w:t>ième session</w:t>
      </w:r>
      <w:r w:rsidRPr="004469E6">
        <w:t>, des indications sur les options possibles</w:t>
      </w:r>
      <w:r w:rsidR="00A11EFB">
        <w:t> :</w:t>
      </w:r>
    </w:p>
    <w:p w:rsidR="00B029C1" w:rsidRPr="005760AB" w:rsidRDefault="00B029C1" w:rsidP="00B029C1">
      <w:pPr>
        <w:ind w:firstLine="567"/>
        <w:rPr>
          <w:rFonts w:cs="Arial"/>
          <w:spacing w:val="-2"/>
          <w:sz w:val="12"/>
        </w:rPr>
      </w:pPr>
    </w:p>
    <w:p w:rsidR="004469E6" w:rsidRDefault="004469E6" w:rsidP="00B029C1">
      <w:pPr>
        <w:ind w:left="1707" w:hanging="539"/>
      </w:pPr>
      <w:r w:rsidRPr="004469E6">
        <w:t>i)</w:t>
      </w:r>
      <w:r w:rsidRPr="004469E6">
        <w:tab/>
        <w:t xml:space="preserve">procéder à une révision du </w:t>
      </w:r>
      <w:r w:rsidR="00A11EFB" w:rsidRPr="004469E6">
        <w:t>document</w:t>
      </w:r>
      <w:r w:rsidR="00E22FCB">
        <w:t> </w:t>
      </w:r>
      <w:r w:rsidR="00A11EFB" w:rsidRPr="004469E6">
        <w:t>UP</w:t>
      </w:r>
      <w:r w:rsidRPr="004469E6">
        <w:t>OV/EXN/EXC, qui sera établie par le Comité administratif et juridique;</w:t>
      </w:r>
    </w:p>
    <w:p w:rsidR="00B029C1" w:rsidRPr="005760AB" w:rsidRDefault="00B029C1" w:rsidP="00B029C1">
      <w:pPr>
        <w:ind w:left="1707" w:hanging="539"/>
        <w:rPr>
          <w:rFonts w:cs="Arial"/>
          <w:sz w:val="14"/>
        </w:rPr>
      </w:pPr>
    </w:p>
    <w:p w:rsidR="004469E6" w:rsidRDefault="004469E6" w:rsidP="00B029C1">
      <w:pPr>
        <w:ind w:left="1134"/>
        <w:rPr>
          <w:rFonts w:eastAsia="Calibri"/>
          <w:szCs w:val="22"/>
          <w:lang w:eastAsia="fr-FR"/>
        </w:rPr>
      </w:pPr>
      <w:r w:rsidRPr="004469E6">
        <w:rPr>
          <w:rFonts w:eastAsia="Calibri"/>
          <w:szCs w:val="22"/>
          <w:lang w:eastAsia="fr-FR"/>
        </w:rPr>
        <w:t>ii)</w:t>
      </w:r>
      <w:r w:rsidRPr="004469E6">
        <w:rPr>
          <w:rFonts w:eastAsia="Calibri"/>
          <w:szCs w:val="22"/>
          <w:lang w:eastAsia="fr-FR"/>
        </w:rPr>
        <w:tab/>
        <w:t>établir une révision des questions</w:t>
      </w:r>
      <w:r w:rsidR="00E22FCB">
        <w:rPr>
          <w:rFonts w:eastAsia="Calibri"/>
          <w:szCs w:val="22"/>
          <w:lang w:eastAsia="fr-FR"/>
        </w:rPr>
        <w:noBreakHyphen/>
      </w:r>
      <w:r w:rsidRPr="004469E6">
        <w:rPr>
          <w:rFonts w:eastAsia="Calibri"/>
          <w:szCs w:val="22"/>
          <w:lang w:eastAsia="fr-FR"/>
        </w:rPr>
        <w:t>réponses sur les exceptions au droit d</w:t>
      </w:r>
      <w:r w:rsidR="00A11EFB">
        <w:rPr>
          <w:rFonts w:eastAsia="Calibri"/>
          <w:szCs w:val="22"/>
          <w:lang w:eastAsia="fr-FR"/>
        </w:rPr>
        <w:t>’</w:t>
      </w:r>
      <w:r w:rsidRPr="004469E6">
        <w:rPr>
          <w:rFonts w:eastAsia="Calibri"/>
          <w:szCs w:val="22"/>
          <w:lang w:eastAsia="fr-FR"/>
        </w:rPr>
        <w:t>obtenteur</w:t>
      </w:r>
    </w:p>
    <w:p w:rsidR="00B029C1" w:rsidRPr="005760AB" w:rsidRDefault="00B029C1" w:rsidP="00B029C1">
      <w:pPr>
        <w:ind w:left="1134"/>
        <w:rPr>
          <w:rFonts w:cs="Arial"/>
          <w:sz w:val="12"/>
          <w:lang w:eastAsia="fr-FR"/>
        </w:rPr>
      </w:pPr>
    </w:p>
    <w:p w:rsidR="00A11EFB" w:rsidRDefault="004469E6" w:rsidP="00B029C1">
      <w:r w:rsidRPr="004469E6">
        <w:t xml:space="preserve">(voir les </w:t>
      </w:r>
      <w:r w:rsidR="00A11EFB" w:rsidRPr="004469E6">
        <w:t>paragraphes</w:t>
      </w:r>
      <w:r w:rsidR="00A11EFB">
        <w:t> </w:t>
      </w:r>
      <w:r w:rsidR="00A11EFB" w:rsidRPr="004469E6">
        <w:t>8</w:t>
      </w:r>
      <w:r w:rsidRPr="004469E6">
        <w:t>5 et</w:t>
      </w:r>
      <w:r w:rsidR="00E22FCB">
        <w:t> </w:t>
      </w:r>
      <w:r w:rsidRPr="004469E6">
        <w:t>87 du document</w:t>
      </w:r>
      <w:r w:rsidR="009E0B81">
        <w:t> </w:t>
      </w:r>
      <w:r w:rsidRPr="004469E6">
        <w:t>CC/99/13 “Compte rendu”).</w:t>
      </w:r>
    </w:p>
    <w:p w:rsidR="00B029C1" w:rsidRPr="005760AB" w:rsidRDefault="00B029C1" w:rsidP="00B029C1">
      <w:pPr>
        <w:rPr>
          <w:sz w:val="18"/>
        </w:rPr>
      </w:pPr>
    </w:p>
    <w:p w:rsidR="00B029C1" w:rsidRPr="005760AB" w:rsidRDefault="00B029C1" w:rsidP="00B029C1">
      <w:pPr>
        <w:rPr>
          <w:sz w:val="18"/>
        </w:rPr>
      </w:pPr>
    </w:p>
    <w:p w:rsidR="00B029C1" w:rsidRPr="005760AB" w:rsidRDefault="00B029C1" w:rsidP="00B029C1">
      <w:pPr>
        <w:rPr>
          <w:sz w:val="18"/>
        </w:rPr>
      </w:pPr>
    </w:p>
    <w:p w:rsidR="004469E6" w:rsidRDefault="00E22FCB" w:rsidP="00B029C1">
      <w:pPr>
        <w:rPr>
          <w:caps/>
          <w:snapToGrid w:val="0"/>
          <w:color w:val="000000" w:themeColor="text1"/>
        </w:rPr>
      </w:pPr>
      <w:r w:rsidRPr="00E22FCB">
        <w:rPr>
          <w:caps/>
          <w:snapToGrid w:val="0"/>
          <w:color w:val="000000" w:themeColor="text1"/>
        </w:rPr>
        <w:t>Options relatives au traitement des questions examinées lors des première et deuxième réunions du WG</w:t>
      </w:r>
      <w:r w:rsidRPr="00E22FCB">
        <w:rPr>
          <w:caps/>
          <w:snapToGrid w:val="0"/>
          <w:color w:val="000000" w:themeColor="text1"/>
        </w:rPr>
        <w:noBreakHyphen/>
        <w:t>SHF</w:t>
      </w:r>
    </w:p>
    <w:p w:rsidR="00B029C1" w:rsidRPr="00E22FCB" w:rsidRDefault="00B029C1" w:rsidP="00B029C1">
      <w:pPr>
        <w:rPr>
          <w:caps/>
          <w:snapToGrid w:val="0"/>
          <w:color w:val="000000" w:themeColor="text1"/>
        </w:rPr>
      </w:pPr>
    </w:p>
    <w:p w:rsidR="00A11EFB" w:rsidRPr="005760AB" w:rsidRDefault="004469E6" w:rsidP="00B029C1">
      <w:pPr>
        <w:rPr>
          <w:snapToGrid w:val="0"/>
          <w:color w:val="000000" w:themeColor="text1"/>
          <w:spacing w:val="-2"/>
        </w:rPr>
      </w:pPr>
      <w:r w:rsidRPr="005760AB">
        <w:rPr>
          <w:snapToGrid w:val="0"/>
          <w:color w:val="000000" w:themeColor="text1"/>
          <w:spacing w:val="-2"/>
        </w:rPr>
        <w:fldChar w:fldCharType="begin"/>
      </w:r>
      <w:r w:rsidRPr="005760AB">
        <w:rPr>
          <w:snapToGrid w:val="0"/>
          <w:color w:val="000000" w:themeColor="text1"/>
          <w:spacing w:val="-2"/>
        </w:rPr>
        <w:instrText xml:space="preserve"> AUTONUM  </w:instrText>
      </w:r>
      <w:r w:rsidRPr="005760AB">
        <w:rPr>
          <w:snapToGrid w:val="0"/>
          <w:color w:val="000000" w:themeColor="text1"/>
          <w:spacing w:val="-2"/>
        </w:rPr>
        <w:fldChar w:fldCharType="end"/>
      </w:r>
      <w:r w:rsidRPr="005760AB">
        <w:rPr>
          <w:snapToGrid w:val="0"/>
          <w:color w:val="000000" w:themeColor="text1"/>
          <w:spacing w:val="-2"/>
        </w:rPr>
        <w:tab/>
        <w:t>On trouvera ci</w:t>
      </w:r>
      <w:r w:rsidR="00E22FCB" w:rsidRPr="005760AB">
        <w:rPr>
          <w:snapToGrid w:val="0"/>
          <w:color w:val="000000" w:themeColor="text1"/>
          <w:spacing w:val="-2"/>
        </w:rPr>
        <w:noBreakHyphen/>
      </w:r>
      <w:r w:rsidR="006A279E">
        <w:rPr>
          <w:snapToGrid w:val="0"/>
          <w:color w:val="000000" w:themeColor="text1"/>
          <w:spacing w:val="-2"/>
        </w:rPr>
        <w:t xml:space="preserve">après </w:t>
      </w:r>
      <w:r w:rsidRPr="005760AB">
        <w:rPr>
          <w:snapToGrid w:val="0"/>
          <w:color w:val="000000" w:themeColor="text1"/>
          <w:spacing w:val="-2"/>
        </w:rPr>
        <w:t xml:space="preserve">des options concernant les questions examinées par </w:t>
      </w:r>
      <w:r w:rsidR="00E22FCB" w:rsidRPr="005760AB">
        <w:rPr>
          <w:snapToGrid w:val="0"/>
          <w:color w:val="000000" w:themeColor="text1"/>
          <w:spacing w:val="-2"/>
        </w:rPr>
        <w:t>l</w:t>
      </w:r>
      <w:r w:rsidR="0092755F" w:rsidRPr="005760AB">
        <w:rPr>
          <w:snapToGrid w:val="0"/>
          <w:color w:val="000000" w:themeColor="text1"/>
          <w:spacing w:val="-2"/>
        </w:rPr>
        <w:t>e WG</w:t>
      </w:r>
      <w:r w:rsidR="00E22FCB" w:rsidRPr="005760AB">
        <w:rPr>
          <w:snapToGrid w:val="0"/>
          <w:color w:val="000000" w:themeColor="text1"/>
          <w:spacing w:val="-2"/>
        </w:rPr>
        <w:noBreakHyphen/>
      </w:r>
      <w:r w:rsidR="0092755F" w:rsidRPr="005760AB">
        <w:rPr>
          <w:snapToGrid w:val="0"/>
          <w:color w:val="000000" w:themeColor="text1"/>
          <w:spacing w:val="-2"/>
        </w:rPr>
        <w:t>SHF</w:t>
      </w:r>
      <w:r w:rsidRPr="005760AB">
        <w:rPr>
          <w:snapToGrid w:val="0"/>
          <w:color w:val="000000" w:themeColor="text1"/>
          <w:spacing w:val="-2"/>
        </w:rPr>
        <w:t xml:space="preserve"> lors de ses première et</w:t>
      </w:r>
      <w:r w:rsidR="00E22FCB" w:rsidRPr="005760AB">
        <w:rPr>
          <w:snapToGrid w:val="0"/>
          <w:color w:val="000000" w:themeColor="text1"/>
          <w:spacing w:val="-2"/>
        </w:rPr>
        <w:t> </w:t>
      </w:r>
      <w:r w:rsidRPr="005760AB">
        <w:rPr>
          <w:snapToGrid w:val="0"/>
          <w:color w:val="000000" w:themeColor="text1"/>
          <w:spacing w:val="-2"/>
        </w:rPr>
        <w:t>deuxième</w:t>
      </w:r>
      <w:r w:rsidR="00E22FCB" w:rsidRPr="005760AB">
        <w:rPr>
          <w:snapToGrid w:val="0"/>
          <w:color w:val="000000" w:themeColor="text1"/>
          <w:spacing w:val="-2"/>
        </w:rPr>
        <w:t> </w:t>
      </w:r>
      <w:r w:rsidRPr="005760AB">
        <w:rPr>
          <w:snapToGrid w:val="0"/>
          <w:color w:val="000000" w:themeColor="text1"/>
          <w:spacing w:val="-2"/>
        </w:rPr>
        <w:t>réunions,</w:t>
      </w:r>
      <w:r w:rsidR="006A279E">
        <w:rPr>
          <w:snapToGrid w:val="0"/>
          <w:color w:val="000000" w:themeColor="text1"/>
          <w:spacing w:val="-2"/>
        </w:rPr>
        <w:t xml:space="preserve"> </w:t>
      </w:r>
      <w:r w:rsidR="006A279E" w:rsidRPr="005760AB">
        <w:rPr>
          <w:snapToGrid w:val="0"/>
          <w:color w:val="000000" w:themeColor="text1"/>
          <w:spacing w:val="-2"/>
        </w:rPr>
        <w:t>dans l’</w:t>
      </w:r>
      <w:r w:rsidR="006A279E">
        <w:rPr>
          <w:snapToGrid w:val="0"/>
          <w:color w:val="000000" w:themeColor="text1"/>
          <w:spacing w:val="-2"/>
        </w:rPr>
        <w:t>ordre chronologique,</w:t>
      </w:r>
      <w:r w:rsidRPr="005760AB">
        <w:rPr>
          <w:snapToGrid w:val="0"/>
          <w:color w:val="000000" w:themeColor="text1"/>
          <w:spacing w:val="-2"/>
        </w:rPr>
        <w:t xml:space="preserve"> susceptibles d</w:t>
      </w:r>
      <w:r w:rsidR="00A11EFB" w:rsidRPr="005760AB">
        <w:rPr>
          <w:snapToGrid w:val="0"/>
          <w:color w:val="000000" w:themeColor="text1"/>
          <w:spacing w:val="-2"/>
        </w:rPr>
        <w:t>’</w:t>
      </w:r>
      <w:r w:rsidRPr="005760AB">
        <w:rPr>
          <w:snapToGrid w:val="0"/>
          <w:color w:val="000000" w:themeColor="text1"/>
          <w:spacing w:val="-2"/>
        </w:rPr>
        <w:t>être traitées dans le cadre d</w:t>
      </w:r>
      <w:r w:rsidR="00A11EFB" w:rsidRPr="005760AB">
        <w:rPr>
          <w:snapToGrid w:val="0"/>
          <w:color w:val="000000" w:themeColor="text1"/>
          <w:spacing w:val="-2"/>
        </w:rPr>
        <w:t>’</w:t>
      </w:r>
      <w:r w:rsidRPr="005760AB">
        <w:rPr>
          <w:snapToGrid w:val="0"/>
          <w:color w:val="000000" w:themeColor="text1"/>
          <w:spacing w:val="-2"/>
        </w:rPr>
        <w:t>une révision du document</w:t>
      </w:r>
      <w:r w:rsidR="00E22FCB" w:rsidRPr="005760AB">
        <w:rPr>
          <w:snapToGrid w:val="0"/>
          <w:color w:val="000000" w:themeColor="text1"/>
          <w:spacing w:val="-2"/>
        </w:rPr>
        <w:t> </w:t>
      </w:r>
      <w:r w:rsidRPr="005760AB">
        <w:rPr>
          <w:snapToGrid w:val="0"/>
          <w:color w:val="000000" w:themeColor="text1"/>
          <w:spacing w:val="-2"/>
        </w:rPr>
        <w:t>UPOV/EXN/EXC ou d</w:t>
      </w:r>
      <w:r w:rsidR="00A11EFB" w:rsidRPr="005760AB">
        <w:rPr>
          <w:snapToGrid w:val="0"/>
          <w:color w:val="000000" w:themeColor="text1"/>
          <w:spacing w:val="-2"/>
        </w:rPr>
        <w:t>’</w:t>
      </w:r>
      <w:r w:rsidRPr="005760AB">
        <w:rPr>
          <w:snapToGrid w:val="0"/>
          <w:color w:val="000000" w:themeColor="text1"/>
          <w:spacing w:val="-2"/>
        </w:rPr>
        <w:t xml:space="preserve">une révision </w:t>
      </w:r>
      <w:r w:rsidRPr="005760AB">
        <w:rPr>
          <w:spacing w:val="-2"/>
        </w:rPr>
        <w:t>des questions</w:t>
      </w:r>
      <w:r w:rsidR="00E22FCB" w:rsidRPr="005760AB">
        <w:rPr>
          <w:spacing w:val="-2"/>
        </w:rPr>
        <w:noBreakHyphen/>
      </w:r>
      <w:r w:rsidRPr="005760AB">
        <w:rPr>
          <w:spacing w:val="-2"/>
        </w:rPr>
        <w:t>réponses sur les exceptions au droit d</w:t>
      </w:r>
      <w:r w:rsidR="00A11EFB" w:rsidRPr="005760AB">
        <w:rPr>
          <w:spacing w:val="-2"/>
        </w:rPr>
        <w:t>’</w:t>
      </w:r>
      <w:r w:rsidRPr="005760AB">
        <w:rPr>
          <w:spacing w:val="-2"/>
        </w:rPr>
        <w:t>obtenteur</w:t>
      </w:r>
      <w:r w:rsidRPr="005760AB">
        <w:rPr>
          <w:snapToGrid w:val="0"/>
          <w:color w:val="000000" w:themeColor="text1"/>
          <w:spacing w:val="-2"/>
        </w:rPr>
        <w:t>.</w:t>
      </w:r>
    </w:p>
    <w:p w:rsidR="00B029C1" w:rsidRDefault="00B029C1" w:rsidP="00B029C1">
      <w:pPr>
        <w:rPr>
          <w:snapToGrid w:val="0"/>
          <w:color w:val="000000" w:themeColor="text1"/>
        </w:rPr>
      </w:pPr>
    </w:p>
    <w:p w:rsidR="00A11EFB" w:rsidRPr="005760AB" w:rsidRDefault="004469E6" w:rsidP="00B029C1">
      <w:pPr>
        <w:rPr>
          <w:spacing w:val="-4"/>
        </w:rPr>
      </w:pPr>
      <w:r w:rsidRPr="005760AB">
        <w:rPr>
          <w:snapToGrid w:val="0"/>
          <w:color w:val="000000" w:themeColor="text1"/>
          <w:spacing w:val="-4"/>
        </w:rPr>
        <w:fldChar w:fldCharType="begin"/>
      </w:r>
      <w:r w:rsidRPr="005760AB">
        <w:rPr>
          <w:snapToGrid w:val="0"/>
          <w:color w:val="000000" w:themeColor="text1"/>
          <w:spacing w:val="-4"/>
        </w:rPr>
        <w:instrText xml:space="preserve"> AUTONUM  </w:instrText>
      </w:r>
      <w:r w:rsidRPr="005760AB">
        <w:rPr>
          <w:snapToGrid w:val="0"/>
          <w:color w:val="000000" w:themeColor="text1"/>
          <w:spacing w:val="-4"/>
        </w:rPr>
        <w:fldChar w:fldCharType="end"/>
      </w:r>
      <w:r w:rsidRPr="005760AB">
        <w:rPr>
          <w:snapToGrid w:val="0"/>
          <w:color w:val="000000" w:themeColor="text1"/>
          <w:spacing w:val="-4"/>
        </w:rPr>
        <w:tab/>
        <w:t>À des fins de référence, les versions des rapports des première et deuxième réunions du</w:t>
      </w:r>
      <w:r w:rsidR="00E22FCB" w:rsidRPr="005760AB">
        <w:rPr>
          <w:snapToGrid w:val="0"/>
          <w:color w:val="000000" w:themeColor="text1"/>
          <w:spacing w:val="-4"/>
        </w:rPr>
        <w:t> </w:t>
      </w:r>
      <w:r w:rsidRPr="005760AB">
        <w:rPr>
          <w:snapToGrid w:val="0"/>
          <w:color w:val="000000" w:themeColor="text1"/>
          <w:spacing w:val="-4"/>
        </w:rPr>
        <w:t>WG</w:t>
      </w:r>
      <w:r w:rsidR="00E22FCB" w:rsidRPr="005760AB">
        <w:rPr>
          <w:snapToGrid w:val="0"/>
          <w:color w:val="000000" w:themeColor="text1"/>
          <w:spacing w:val="-4"/>
        </w:rPr>
        <w:noBreakHyphen/>
      </w:r>
      <w:r w:rsidRPr="005760AB">
        <w:rPr>
          <w:snapToGrid w:val="0"/>
          <w:color w:val="000000" w:themeColor="text1"/>
          <w:spacing w:val="-4"/>
        </w:rPr>
        <w:t>SHF indiquant la source des questions ci</w:t>
      </w:r>
      <w:r w:rsidR="00E22FCB" w:rsidRPr="005760AB">
        <w:rPr>
          <w:snapToGrid w:val="0"/>
          <w:color w:val="000000" w:themeColor="text1"/>
          <w:spacing w:val="-4"/>
        </w:rPr>
        <w:noBreakHyphen/>
      </w:r>
      <w:r w:rsidRPr="005760AB">
        <w:rPr>
          <w:snapToGrid w:val="0"/>
          <w:color w:val="000000" w:themeColor="text1"/>
          <w:spacing w:val="-4"/>
        </w:rPr>
        <w:t>dessous ont été publiées sur le site</w:t>
      </w:r>
      <w:r w:rsidR="00384F35" w:rsidRPr="005760AB">
        <w:rPr>
          <w:snapToGrid w:val="0"/>
          <w:color w:val="000000" w:themeColor="text1"/>
          <w:spacing w:val="-4"/>
        </w:rPr>
        <w:t> </w:t>
      </w:r>
      <w:r w:rsidRPr="005760AB">
        <w:rPr>
          <w:snapToGrid w:val="0"/>
          <w:color w:val="000000" w:themeColor="text1"/>
          <w:spacing w:val="-4"/>
        </w:rPr>
        <w:t>Web consacré à la troisième</w:t>
      </w:r>
      <w:r w:rsidR="00E22FCB" w:rsidRPr="005760AB">
        <w:rPr>
          <w:snapToGrid w:val="0"/>
          <w:color w:val="000000" w:themeColor="text1"/>
          <w:spacing w:val="-4"/>
        </w:rPr>
        <w:t> </w:t>
      </w:r>
      <w:r w:rsidRPr="005760AB">
        <w:rPr>
          <w:snapToGrid w:val="0"/>
          <w:color w:val="000000" w:themeColor="text1"/>
          <w:spacing w:val="-4"/>
        </w:rPr>
        <w:t>réunion du</w:t>
      </w:r>
      <w:r w:rsidR="00E22FCB" w:rsidRPr="005760AB">
        <w:rPr>
          <w:snapToGrid w:val="0"/>
          <w:color w:val="000000" w:themeColor="text1"/>
          <w:spacing w:val="-4"/>
        </w:rPr>
        <w:t> </w:t>
      </w:r>
      <w:hyperlink r:id="rId12" w:history="1">
        <w:r w:rsidRPr="005760AB">
          <w:rPr>
            <w:snapToGrid w:val="0"/>
            <w:color w:val="0000FF"/>
            <w:spacing w:val="-4"/>
            <w:u w:val="single"/>
          </w:rPr>
          <w:t>WG</w:t>
        </w:r>
        <w:r w:rsidR="00E22FCB" w:rsidRPr="005760AB">
          <w:rPr>
            <w:snapToGrid w:val="0"/>
            <w:color w:val="0000FF"/>
            <w:spacing w:val="-4"/>
            <w:u w:val="single"/>
          </w:rPr>
          <w:noBreakHyphen/>
        </w:r>
        <w:r w:rsidRPr="005760AB">
          <w:rPr>
            <w:snapToGrid w:val="0"/>
            <w:color w:val="0000FF"/>
            <w:spacing w:val="-4"/>
            <w:u w:val="single"/>
          </w:rPr>
          <w:t>SHF/3</w:t>
        </w:r>
      </w:hyperlink>
      <w:r w:rsidRPr="005760AB">
        <w:rPr>
          <w:spacing w:val="-4"/>
        </w:rPr>
        <w:t>.</w:t>
      </w:r>
    </w:p>
    <w:p w:rsidR="00B029C1" w:rsidRPr="005760AB" w:rsidRDefault="00B029C1" w:rsidP="00B029C1">
      <w:pPr>
        <w:rPr>
          <w:sz w:val="18"/>
        </w:rPr>
      </w:pPr>
    </w:p>
    <w:p w:rsidR="00B029C1" w:rsidRPr="005760AB" w:rsidRDefault="00B029C1" w:rsidP="00B029C1">
      <w:pPr>
        <w:rPr>
          <w:snapToGrid w:val="0"/>
          <w:color w:val="000000" w:themeColor="text1"/>
          <w:sz w:val="18"/>
        </w:rPr>
      </w:pPr>
    </w:p>
    <w:p w:rsidR="004469E6" w:rsidRPr="004469E6" w:rsidRDefault="004469E6" w:rsidP="00E22FCB">
      <w:pPr>
        <w:spacing w:after="160"/>
        <w:rPr>
          <w:snapToGrid w:val="0"/>
          <w:color w:val="000000" w:themeColor="text1"/>
          <w:u w:val="single"/>
        </w:rPr>
      </w:pPr>
      <w:r w:rsidRPr="004469E6">
        <w:rPr>
          <w:snapToGrid w:val="0"/>
          <w:color w:val="000000" w:themeColor="text1"/>
          <w:u w:val="single"/>
        </w:rPr>
        <w:t>Options concernant les questions susceptibles d</w:t>
      </w:r>
      <w:r w:rsidR="00A11EFB">
        <w:rPr>
          <w:snapToGrid w:val="0"/>
          <w:color w:val="000000" w:themeColor="text1"/>
          <w:u w:val="single"/>
        </w:rPr>
        <w:t>’</w:t>
      </w:r>
      <w:r w:rsidRPr="004469E6">
        <w:rPr>
          <w:snapToGrid w:val="0"/>
          <w:color w:val="000000" w:themeColor="text1"/>
          <w:u w:val="single"/>
        </w:rPr>
        <w:t>être examinées dans le cadre d</w:t>
      </w:r>
      <w:r w:rsidR="00A11EFB">
        <w:rPr>
          <w:snapToGrid w:val="0"/>
          <w:color w:val="000000" w:themeColor="text1"/>
          <w:u w:val="single"/>
        </w:rPr>
        <w:t>’</w:t>
      </w:r>
      <w:r w:rsidR="00E22FCB">
        <w:rPr>
          <w:snapToGrid w:val="0"/>
          <w:color w:val="000000" w:themeColor="text1"/>
          <w:u w:val="single"/>
        </w:rPr>
        <w:t>une révision du document </w:t>
      </w:r>
      <w:r w:rsidRPr="004469E6">
        <w:rPr>
          <w:snapToGrid w:val="0"/>
          <w:color w:val="000000" w:themeColor="text1"/>
          <w:u w:val="single"/>
        </w:rPr>
        <w:t>UPOV/EXN/EXC</w:t>
      </w:r>
    </w:p>
    <w:tbl>
      <w:tblPr>
        <w:tblW w:w="0" w:type="auto"/>
        <w:tblCellMar>
          <w:top w:w="57" w:type="dxa"/>
          <w:left w:w="85" w:type="dxa"/>
          <w:right w:w="113" w:type="dxa"/>
        </w:tblCellMar>
        <w:tblLook w:val="0000" w:firstRow="0" w:lastRow="0" w:firstColumn="0" w:lastColumn="0" w:noHBand="0" w:noVBand="0"/>
      </w:tblPr>
      <w:tblGrid>
        <w:gridCol w:w="9633"/>
      </w:tblGrid>
      <w:tr w:rsidR="004469E6" w:rsidRPr="004469E6" w:rsidTr="00BD4F37">
        <w:tc>
          <w:tcPr>
            <w:tcW w:w="9633" w:type="dxa"/>
          </w:tcPr>
          <w:p w:rsidR="00A11EFB" w:rsidRDefault="004469E6" w:rsidP="00E22FCB">
            <w:pPr>
              <w:spacing w:after="120"/>
            </w:pPr>
            <w:r w:rsidRPr="004469E6">
              <w:t>Examiner les possibilités</w:t>
            </w:r>
            <w:r w:rsidR="00E22FCB">
              <w:t> :</w:t>
            </w:r>
          </w:p>
          <w:p w:rsidR="004469E6" w:rsidRPr="004469E6" w:rsidRDefault="004469E6" w:rsidP="004469E6">
            <w:pPr>
              <w:numPr>
                <w:ilvl w:val="0"/>
                <w:numId w:val="9"/>
              </w:numPr>
              <w:spacing w:before="120" w:after="120"/>
              <w:ind w:left="1080" w:hanging="630"/>
              <w:rPr>
                <w:rFonts w:eastAsia="Calibri" w:cs="Arial"/>
                <w:lang w:eastAsia="fr-FR"/>
              </w:rPr>
            </w:pPr>
            <w:r w:rsidRPr="004469E6">
              <w:rPr>
                <w:rFonts w:eastAsia="Calibri"/>
                <w:szCs w:val="22"/>
                <w:lang w:eastAsia="fr-FR"/>
              </w:rPr>
              <w:t>de préciser la portée de l</w:t>
            </w:r>
            <w:r w:rsidR="00A11EFB">
              <w:rPr>
                <w:rFonts w:eastAsia="Calibri"/>
                <w:szCs w:val="22"/>
                <w:lang w:eastAsia="fr-FR"/>
              </w:rPr>
              <w:t>’</w:t>
            </w:r>
            <w:r w:rsidRPr="004469E6">
              <w:rPr>
                <w:rFonts w:eastAsia="Calibri"/>
                <w:szCs w:val="22"/>
                <w:lang w:eastAsia="fr-FR"/>
              </w:rPr>
              <w:t>exception obligatoire relative aux actes accomplis dans un cadre privé et à des fins non commerciales selon l</w:t>
            </w:r>
            <w:r w:rsidR="00A11EFB">
              <w:rPr>
                <w:rFonts w:eastAsia="Calibri"/>
                <w:szCs w:val="22"/>
                <w:lang w:eastAsia="fr-FR"/>
              </w:rPr>
              <w:t>’</w:t>
            </w:r>
            <w:r w:rsidR="00A11EFB" w:rsidRPr="004469E6">
              <w:rPr>
                <w:rFonts w:eastAsia="Calibri"/>
                <w:szCs w:val="22"/>
                <w:lang w:eastAsia="fr-FR"/>
              </w:rPr>
              <w:t>article</w:t>
            </w:r>
            <w:r w:rsidR="00A11EFB">
              <w:rPr>
                <w:rFonts w:eastAsia="Calibri"/>
                <w:szCs w:val="22"/>
                <w:lang w:eastAsia="fr-FR"/>
              </w:rPr>
              <w:t> </w:t>
            </w:r>
            <w:r w:rsidR="00A11EFB" w:rsidRPr="004469E6">
              <w:rPr>
                <w:rFonts w:eastAsia="Calibri"/>
                <w:szCs w:val="22"/>
                <w:lang w:eastAsia="fr-FR"/>
              </w:rPr>
              <w:t>1</w:t>
            </w:r>
            <w:r w:rsidRPr="004469E6">
              <w:rPr>
                <w:rFonts w:eastAsia="Calibri"/>
                <w:szCs w:val="22"/>
                <w:lang w:eastAsia="fr-FR"/>
              </w:rPr>
              <w:t>5.1)i) de l</w:t>
            </w:r>
            <w:r w:rsidR="00A11EFB">
              <w:rPr>
                <w:rFonts w:eastAsia="Calibri"/>
                <w:szCs w:val="22"/>
                <w:lang w:eastAsia="fr-FR"/>
              </w:rPr>
              <w:t>’</w:t>
            </w:r>
            <w:r w:rsidRPr="004469E6">
              <w:rPr>
                <w:rFonts w:eastAsia="Calibri"/>
                <w:szCs w:val="22"/>
                <w:lang w:eastAsia="fr-FR"/>
              </w:rPr>
              <w:t xml:space="preserve">Acte </w:t>
            </w:r>
            <w:r w:rsidR="00A11EFB" w:rsidRPr="004469E6">
              <w:rPr>
                <w:rFonts w:eastAsia="Calibri"/>
                <w:szCs w:val="22"/>
                <w:lang w:eastAsia="fr-FR"/>
              </w:rPr>
              <w:t>de</w:t>
            </w:r>
            <w:r w:rsidR="00A11EFB">
              <w:rPr>
                <w:rFonts w:eastAsia="Calibri"/>
                <w:szCs w:val="22"/>
                <w:lang w:eastAsia="fr-FR"/>
              </w:rPr>
              <w:t> </w:t>
            </w:r>
            <w:r w:rsidR="00A11EFB" w:rsidRPr="004469E6">
              <w:rPr>
                <w:rFonts w:eastAsia="Calibri"/>
                <w:szCs w:val="22"/>
                <w:lang w:eastAsia="fr-FR"/>
              </w:rPr>
              <w:t>1991</w:t>
            </w:r>
            <w:r w:rsidRPr="004469E6">
              <w:rPr>
                <w:rFonts w:eastAsia="Calibri"/>
                <w:szCs w:val="22"/>
                <w:lang w:eastAsia="fr-FR"/>
              </w:rPr>
              <w:t xml:space="preserve"> et de l</w:t>
            </w:r>
            <w:r w:rsidR="00A11EFB">
              <w:rPr>
                <w:rFonts w:eastAsia="Calibri"/>
                <w:szCs w:val="22"/>
                <w:lang w:eastAsia="fr-FR"/>
              </w:rPr>
              <w:t>’</w:t>
            </w:r>
            <w:r w:rsidRPr="004469E6">
              <w:rPr>
                <w:rFonts w:eastAsia="Calibri"/>
                <w:szCs w:val="22"/>
                <w:lang w:eastAsia="fr-FR"/>
              </w:rPr>
              <w:t>exception facultative selon l</w:t>
            </w:r>
            <w:r w:rsidR="00A11EFB">
              <w:rPr>
                <w:rFonts w:eastAsia="Calibri"/>
                <w:szCs w:val="22"/>
                <w:lang w:eastAsia="fr-FR"/>
              </w:rPr>
              <w:t>’</w:t>
            </w:r>
            <w:r w:rsidR="00A11EFB" w:rsidRPr="004469E6">
              <w:rPr>
                <w:rFonts w:eastAsia="Calibri"/>
                <w:szCs w:val="22"/>
                <w:lang w:eastAsia="fr-FR"/>
              </w:rPr>
              <w:t>article</w:t>
            </w:r>
            <w:r w:rsidR="00A11EFB">
              <w:rPr>
                <w:rFonts w:eastAsia="Calibri"/>
                <w:szCs w:val="22"/>
                <w:lang w:eastAsia="fr-FR"/>
              </w:rPr>
              <w:t> </w:t>
            </w:r>
            <w:r w:rsidR="00A11EFB" w:rsidRPr="004469E6">
              <w:rPr>
                <w:rFonts w:eastAsia="Calibri"/>
                <w:szCs w:val="22"/>
                <w:lang w:eastAsia="fr-FR"/>
              </w:rPr>
              <w:t>1</w:t>
            </w:r>
            <w:r w:rsidRPr="004469E6">
              <w:rPr>
                <w:rFonts w:eastAsia="Calibri"/>
                <w:szCs w:val="22"/>
                <w:lang w:eastAsia="fr-FR"/>
              </w:rPr>
              <w:t>5.2) de l</w:t>
            </w:r>
            <w:r w:rsidR="00A11EFB">
              <w:rPr>
                <w:rFonts w:eastAsia="Calibri"/>
                <w:szCs w:val="22"/>
                <w:lang w:eastAsia="fr-FR"/>
              </w:rPr>
              <w:t>’</w:t>
            </w:r>
            <w:r w:rsidRPr="004469E6">
              <w:rPr>
                <w:rFonts w:eastAsia="Calibri"/>
                <w:szCs w:val="22"/>
                <w:lang w:eastAsia="fr-FR"/>
              </w:rPr>
              <w:t xml:space="preserve">Acte </w:t>
            </w:r>
            <w:r w:rsidR="00A11EFB" w:rsidRPr="004469E6">
              <w:rPr>
                <w:rFonts w:eastAsia="Calibri"/>
                <w:szCs w:val="22"/>
                <w:lang w:eastAsia="fr-FR"/>
              </w:rPr>
              <w:t>de</w:t>
            </w:r>
            <w:r w:rsidR="00A11EFB">
              <w:rPr>
                <w:rFonts w:eastAsia="Calibri"/>
                <w:szCs w:val="22"/>
                <w:lang w:eastAsia="fr-FR"/>
              </w:rPr>
              <w:t> </w:t>
            </w:r>
            <w:r w:rsidR="00A11EFB" w:rsidRPr="004469E6">
              <w:rPr>
                <w:rFonts w:eastAsia="Calibri"/>
                <w:szCs w:val="22"/>
                <w:lang w:eastAsia="fr-FR"/>
              </w:rPr>
              <w:t>1991</w:t>
            </w:r>
            <w:r w:rsidRPr="004469E6">
              <w:rPr>
                <w:rFonts w:eastAsia="Calibri"/>
                <w:szCs w:val="22"/>
                <w:lang w:eastAsia="fr-FR"/>
              </w:rPr>
              <w:t xml:space="preserve"> et de proposer des options sur la manière de mettre en œuvre ces dispositions dans la législation nationale ou régionale;</w:t>
            </w:r>
          </w:p>
          <w:p w:rsidR="004469E6" w:rsidRPr="004469E6" w:rsidRDefault="004469E6" w:rsidP="004469E6">
            <w:pPr>
              <w:numPr>
                <w:ilvl w:val="0"/>
                <w:numId w:val="9"/>
              </w:numPr>
              <w:spacing w:before="120" w:after="120"/>
              <w:ind w:left="1080" w:hanging="630"/>
              <w:rPr>
                <w:rFonts w:eastAsia="Calibri" w:cs="Arial"/>
                <w:spacing w:val="-2"/>
                <w:lang w:eastAsia="fr-FR"/>
              </w:rPr>
            </w:pPr>
            <w:r w:rsidRPr="004469E6">
              <w:rPr>
                <w:rFonts w:eastAsia="Calibri"/>
                <w:szCs w:val="22"/>
                <w:lang w:eastAsia="fr-FR"/>
              </w:rPr>
              <w:t>de préciser, en ce qui concerne l</w:t>
            </w:r>
            <w:r w:rsidR="00A11EFB">
              <w:rPr>
                <w:rFonts w:eastAsia="Calibri"/>
                <w:szCs w:val="22"/>
                <w:lang w:eastAsia="fr-FR"/>
              </w:rPr>
              <w:t>’</w:t>
            </w:r>
            <w:r w:rsidR="00A11EFB" w:rsidRPr="004469E6">
              <w:rPr>
                <w:rFonts w:eastAsia="Calibri"/>
                <w:szCs w:val="22"/>
                <w:lang w:eastAsia="fr-FR"/>
              </w:rPr>
              <w:t>article</w:t>
            </w:r>
            <w:r w:rsidR="00A11EFB">
              <w:rPr>
                <w:rFonts w:eastAsia="Calibri"/>
                <w:szCs w:val="22"/>
                <w:lang w:eastAsia="fr-FR"/>
              </w:rPr>
              <w:t> </w:t>
            </w:r>
            <w:r w:rsidR="00A11EFB" w:rsidRPr="004469E6">
              <w:rPr>
                <w:rFonts w:eastAsia="Calibri"/>
                <w:szCs w:val="22"/>
                <w:lang w:eastAsia="fr-FR"/>
              </w:rPr>
              <w:t>1</w:t>
            </w:r>
            <w:r w:rsidRPr="004469E6">
              <w:rPr>
                <w:rFonts w:eastAsia="Calibri"/>
                <w:szCs w:val="22"/>
                <w:lang w:eastAsia="fr-FR"/>
              </w:rPr>
              <w:t>5.1)i), que la question est de savoir si l</w:t>
            </w:r>
            <w:r w:rsidR="00A11EFB">
              <w:rPr>
                <w:rFonts w:eastAsia="Calibri"/>
                <w:szCs w:val="22"/>
                <w:lang w:eastAsia="fr-FR"/>
              </w:rPr>
              <w:t>’</w:t>
            </w:r>
            <w:r w:rsidRPr="004469E6">
              <w:rPr>
                <w:rFonts w:eastAsia="Calibri"/>
                <w:szCs w:val="22"/>
                <w:lang w:eastAsia="fr-FR"/>
              </w:rPr>
              <w:t>acte est accompli dans un cadre privé et à des fins non commerciales, et non de savoir quelle est l</w:t>
            </w:r>
            <w:r w:rsidR="00A11EFB">
              <w:rPr>
                <w:rFonts w:eastAsia="Calibri"/>
                <w:szCs w:val="22"/>
                <w:lang w:eastAsia="fr-FR"/>
              </w:rPr>
              <w:t>’</w:t>
            </w:r>
            <w:r w:rsidRPr="004469E6">
              <w:rPr>
                <w:rFonts w:eastAsia="Calibri"/>
                <w:szCs w:val="22"/>
                <w:lang w:eastAsia="fr-FR"/>
              </w:rPr>
              <w:t>ampleur de l</w:t>
            </w:r>
            <w:r w:rsidR="00A11EFB">
              <w:rPr>
                <w:rFonts w:eastAsia="Calibri"/>
                <w:szCs w:val="22"/>
                <w:lang w:eastAsia="fr-FR"/>
              </w:rPr>
              <w:t>’</w:t>
            </w:r>
            <w:r w:rsidRPr="004469E6">
              <w:rPr>
                <w:rFonts w:eastAsia="Calibri"/>
                <w:szCs w:val="22"/>
                <w:lang w:eastAsia="fr-FR"/>
              </w:rPr>
              <w:t>acte ou par qui il est accompli;</w:t>
            </w:r>
          </w:p>
          <w:p w:rsidR="004469E6" w:rsidRPr="004469E6" w:rsidRDefault="004469E6" w:rsidP="004469E6">
            <w:pPr>
              <w:numPr>
                <w:ilvl w:val="0"/>
                <w:numId w:val="9"/>
              </w:numPr>
              <w:spacing w:before="120" w:after="120"/>
              <w:ind w:left="1080" w:hanging="630"/>
              <w:rPr>
                <w:rFonts w:eastAsia="Calibri" w:cs="Arial"/>
                <w:lang w:eastAsia="fr-FR"/>
              </w:rPr>
            </w:pPr>
            <w:r w:rsidRPr="004469E6">
              <w:rPr>
                <w:rFonts w:eastAsia="Calibri"/>
                <w:szCs w:val="22"/>
                <w:lang w:eastAsia="fr-FR"/>
              </w:rPr>
              <w:t>de préciser, en ce qui concerne l</w:t>
            </w:r>
            <w:r w:rsidR="00A11EFB">
              <w:rPr>
                <w:rFonts w:eastAsia="Calibri"/>
                <w:szCs w:val="22"/>
                <w:lang w:eastAsia="fr-FR"/>
              </w:rPr>
              <w:t>’</w:t>
            </w:r>
            <w:r w:rsidR="00A11EFB" w:rsidRPr="004469E6">
              <w:rPr>
                <w:rFonts w:eastAsia="Calibri"/>
                <w:szCs w:val="22"/>
                <w:lang w:eastAsia="fr-FR"/>
              </w:rPr>
              <w:t>article</w:t>
            </w:r>
            <w:r w:rsidR="00A11EFB">
              <w:rPr>
                <w:rFonts w:eastAsia="Calibri"/>
                <w:szCs w:val="22"/>
                <w:lang w:eastAsia="fr-FR"/>
              </w:rPr>
              <w:t> </w:t>
            </w:r>
            <w:r w:rsidR="00A11EFB" w:rsidRPr="004469E6">
              <w:rPr>
                <w:rFonts w:eastAsia="Calibri"/>
                <w:szCs w:val="22"/>
                <w:lang w:eastAsia="fr-FR"/>
              </w:rPr>
              <w:t>1</w:t>
            </w:r>
            <w:r w:rsidRPr="004469E6">
              <w:rPr>
                <w:rFonts w:eastAsia="Calibri"/>
                <w:szCs w:val="22"/>
                <w:lang w:eastAsia="fr-FR"/>
              </w:rPr>
              <w:t xml:space="preserve">5.1)i), que </w:t>
            </w:r>
            <w:r w:rsidRPr="004469E6">
              <w:rPr>
                <w:rFonts w:eastAsia="Calibri"/>
                <w:snapToGrid w:val="0"/>
                <w:color w:val="000000" w:themeColor="text1"/>
                <w:szCs w:val="22"/>
                <w:lang w:eastAsia="fr-FR"/>
              </w:rPr>
              <w:t>l</w:t>
            </w:r>
            <w:r w:rsidR="00A11EFB">
              <w:rPr>
                <w:rFonts w:eastAsia="Calibri"/>
                <w:snapToGrid w:val="0"/>
                <w:color w:val="000000" w:themeColor="text1"/>
                <w:szCs w:val="22"/>
                <w:lang w:eastAsia="fr-FR"/>
              </w:rPr>
              <w:t>’</w:t>
            </w:r>
            <w:r w:rsidRPr="004469E6">
              <w:rPr>
                <w:rFonts w:eastAsia="Calibri"/>
                <w:snapToGrid w:val="0"/>
                <w:color w:val="000000" w:themeColor="text1"/>
                <w:szCs w:val="22"/>
                <w:lang w:eastAsia="fr-FR"/>
              </w:rPr>
              <w:t>exception relative à l</w:t>
            </w:r>
            <w:r w:rsidR="00A11EFB">
              <w:rPr>
                <w:rFonts w:eastAsia="Calibri"/>
                <w:snapToGrid w:val="0"/>
                <w:color w:val="000000" w:themeColor="text1"/>
                <w:szCs w:val="22"/>
                <w:lang w:eastAsia="fr-FR"/>
              </w:rPr>
              <w:t>’</w:t>
            </w:r>
            <w:r w:rsidRPr="004469E6">
              <w:rPr>
                <w:rFonts w:eastAsia="Calibri"/>
                <w:snapToGrid w:val="0"/>
                <w:color w:val="000000" w:themeColor="text1"/>
                <w:szCs w:val="22"/>
                <w:lang w:eastAsia="fr-FR"/>
              </w:rPr>
              <w:t>utilisation dans le cadre privé et à des fins non commerciales s</w:t>
            </w:r>
            <w:r w:rsidR="00A11EFB">
              <w:rPr>
                <w:rFonts w:eastAsia="Calibri"/>
                <w:snapToGrid w:val="0"/>
                <w:color w:val="000000" w:themeColor="text1"/>
                <w:szCs w:val="22"/>
                <w:lang w:eastAsia="fr-FR"/>
              </w:rPr>
              <w:t>’</w:t>
            </w:r>
            <w:r w:rsidRPr="004469E6">
              <w:rPr>
                <w:rFonts w:eastAsia="Calibri"/>
                <w:snapToGrid w:val="0"/>
                <w:color w:val="000000" w:themeColor="text1"/>
                <w:szCs w:val="22"/>
                <w:lang w:eastAsia="fr-FR"/>
              </w:rPr>
              <w:t>applique à tout type de personnes et pas uniquement aux petits exploitants agricoles ou aux agriculteurs de subsistance;</w:t>
            </w:r>
          </w:p>
          <w:p w:rsidR="004469E6" w:rsidRPr="004469E6" w:rsidRDefault="004469E6" w:rsidP="004469E6">
            <w:pPr>
              <w:numPr>
                <w:ilvl w:val="0"/>
                <w:numId w:val="9"/>
              </w:numPr>
              <w:spacing w:before="120" w:after="120"/>
              <w:ind w:left="1080" w:hanging="630"/>
              <w:rPr>
                <w:rFonts w:eastAsia="Calibri" w:cs="Arial"/>
                <w:lang w:eastAsia="fr-FR"/>
              </w:rPr>
            </w:pPr>
            <w:r w:rsidRPr="004469E6">
              <w:rPr>
                <w:rFonts w:eastAsia="Calibri"/>
                <w:szCs w:val="22"/>
                <w:lang w:eastAsia="fr-FR"/>
              </w:rPr>
              <w:t>de préciser</w:t>
            </w:r>
            <w:r w:rsidRPr="004469E6">
              <w:rPr>
                <w:rFonts w:eastAsia="Calibri"/>
                <w:snapToGrid w:val="0"/>
                <w:color w:val="000000" w:themeColor="text1"/>
                <w:szCs w:val="22"/>
                <w:lang w:eastAsia="fr-FR"/>
              </w:rPr>
              <w:t xml:space="preserve"> que l</w:t>
            </w:r>
            <w:r w:rsidR="00A11EFB">
              <w:rPr>
                <w:rFonts w:eastAsia="Calibri"/>
                <w:snapToGrid w:val="0"/>
                <w:color w:val="000000" w:themeColor="text1"/>
                <w:szCs w:val="22"/>
                <w:lang w:eastAsia="fr-FR"/>
              </w:rPr>
              <w:t>’</w:t>
            </w:r>
            <w:r w:rsidRPr="004469E6">
              <w:rPr>
                <w:rFonts w:eastAsia="Calibri"/>
                <w:snapToGrid w:val="0"/>
                <w:color w:val="000000" w:themeColor="text1"/>
                <w:szCs w:val="22"/>
                <w:lang w:eastAsia="fr-FR"/>
              </w:rPr>
              <w:t>exportation de matériel d</w:t>
            </w:r>
            <w:r w:rsidR="00A11EFB">
              <w:rPr>
                <w:rFonts w:eastAsia="Calibri"/>
                <w:snapToGrid w:val="0"/>
                <w:color w:val="000000" w:themeColor="text1"/>
                <w:szCs w:val="22"/>
                <w:lang w:eastAsia="fr-FR"/>
              </w:rPr>
              <w:t>’</w:t>
            </w:r>
            <w:r w:rsidRPr="004469E6">
              <w:rPr>
                <w:rFonts w:eastAsia="Calibri"/>
                <w:snapToGrid w:val="0"/>
                <w:color w:val="000000" w:themeColor="text1"/>
                <w:szCs w:val="22"/>
                <w:lang w:eastAsia="fr-FR"/>
              </w:rPr>
              <w:t>une variété protégée sans l</w:t>
            </w:r>
            <w:r w:rsidR="00A11EFB">
              <w:rPr>
                <w:rFonts w:eastAsia="Calibri"/>
                <w:snapToGrid w:val="0"/>
                <w:color w:val="000000" w:themeColor="text1"/>
                <w:szCs w:val="22"/>
                <w:lang w:eastAsia="fr-FR"/>
              </w:rPr>
              <w:t>’</w:t>
            </w:r>
            <w:r w:rsidRPr="004469E6">
              <w:rPr>
                <w:rFonts w:eastAsia="Calibri"/>
                <w:snapToGrid w:val="0"/>
                <w:color w:val="000000" w:themeColor="text1"/>
                <w:szCs w:val="22"/>
                <w:lang w:eastAsia="fr-FR"/>
              </w:rPr>
              <w:t>autorisation ou le consentement de l</w:t>
            </w:r>
            <w:r w:rsidR="00A11EFB">
              <w:rPr>
                <w:rFonts w:eastAsia="Calibri"/>
                <w:snapToGrid w:val="0"/>
                <w:color w:val="000000" w:themeColor="text1"/>
                <w:szCs w:val="22"/>
                <w:lang w:eastAsia="fr-FR"/>
              </w:rPr>
              <w:t>’</w:t>
            </w:r>
            <w:r w:rsidRPr="004469E6">
              <w:rPr>
                <w:rFonts w:eastAsia="Calibri"/>
                <w:snapToGrid w:val="0"/>
                <w:color w:val="000000" w:themeColor="text1"/>
                <w:szCs w:val="22"/>
                <w:lang w:eastAsia="fr-FR"/>
              </w:rPr>
              <w:t>obtenteur peut avoir lieu indépendamment de la taille de l</w:t>
            </w:r>
            <w:r w:rsidR="00A11EFB">
              <w:rPr>
                <w:rFonts w:eastAsia="Calibri"/>
                <w:snapToGrid w:val="0"/>
                <w:color w:val="000000" w:themeColor="text1"/>
                <w:szCs w:val="22"/>
                <w:lang w:eastAsia="fr-FR"/>
              </w:rPr>
              <w:t>’</w:t>
            </w:r>
            <w:r w:rsidRPr="004469E6">
              <w:rPr>
                <w:rFonts w:eastAsia="Calibri"/>
                <w:snapToGrid w:val="0"/>
                <w:color w:val="000000" w:themeColor="text1"/>
                <w:szCs w:val="22"/>
                <w:lang w:eastAsia="fr-FR"/>
              </w:rPr>
              <w:t>agriculteur ou du type d</w:t>
            </w:r>
            <w:r w:rsidR="00A11EFB">
              <w:rPr>
                <w:rFonts w:eastAsia="Calibri"/>
                <w:snapToGrid w:val="0"/>
                <w:color w:val="000000" w:themeColor="text1"/>
                <w:szCs w:val="22"/>
                <w:lang w:eastAsia="fr-FR"/>
              </w:rPr>
              <w:t>’</w:t>
            </w:r>
            <w:r w:rsidRPr="004469E6">
              <w:rPr>
                <w:rFonts w:eastAsia="Calibri"/>
                <w:snapToGrid w:val="0"/>
                <w:color w:val="000000" w:themeColor="text1"/>
                <w:szCs w:val="22"/>
                <w:lang w:eastAsia="fr-FR"/>
              </w:rPr>
              <w:t>agriculture, même s</w:t>
            </w:r>
            <w:r w:rsidR="00A11EFB">
              <w:rPr>
                <w:rFonts w:eastAsia="Calibri"/>
                <w:snapToGrid w:val="0"/>
                <w:color w:val="000000" w:themeColor="text1"/>
                <w:szCs w:val="22"/>
                <w:lang w:eastAsia="fr-FR"/>
              </w:rPr>
              <w:t>’</w:t>
            </w:r>
            <w:r w:rsidRPr="004469E6">
              <w:rPr>
                <w:rFonts w:eastAsia="Calibri"/>
                <w:snapToGrid w:val="0"/>
                <w:color w:val="000000" w:themeColor="text1"/>
                <w:szCs w:val="22"/>
                <w:lang w:eastAsia="fr-FR"/>
              </w:rPr>
              <w:t>il s</w:t>
            </w:r>
            <w:r w:rsidR="00A11EFB">
              <w:rPr>
                <w:rFonts w:eastAsia="Calibri"/>
                <w:snapToGrid w:val="0"/>
                <w:color w:val="000000" w:themeColor="text1"/>
                <w:szCs w:val="22"/>
                <w:lang w:eastAsia="fr-FR"/>
              </w:rPr>
              <w:t>’</w:t>
            </w:r>
            <w:r w:rsidRPr="004469E6">
              <w:rPr>
                <w:rFonts w:eastAsia="Calibri"/>
                <w:snapToGrid w:val="0"/>
                <w:color w:val="000000" w:themeColor="text1"/>
                <w:szCs w:val="22"/>
                <w:lang w:eastAsia="fr-FR"/>
              </w:rPr>
              <w:t>agit de petits exploitants;</w:t>
            </w:r>
          </w:p>
          <w:p w:rsidR="004469E6" w:rsidRPr="004469E6" w:rsidRDefault="004469E6" w:rsidP="004469E6">
            <w:pPr>
              <w:numPr>
                <w:ilvl w:val="0"/>
                <w:numId w:val="9"/>
              </w:numPr>
              <w:spacing w:before="120" w:after="120"/>
              <w:ind w:left="1080" w:hanging="630"/>
              <w:rPr>
                <w:rFonts w:eastAsia="Calibri" w:cs="Arial"/>
                <w:lang w:eastAsia="fr-FR"/>
              </w:rPr>
            </w:pPr>
            <w:r w:rsidRPr="004469E6">
              <w:rPr>
                <w:rFonts w:eastAsia="Calibri"/>
                <w:szCs w:val="22"/>
                <w:lang w:eastAsia="fr-FR"/>
              </w:rPr>
              <w:t>d</w:t>
            </w:r>
            <w:r w:rsidR="00A11EFB">
              <w:rPr>
                <w:rFonts w:eastAsia="Calibri"/>
                <w:szCs w:val="22"/>
                <w:lang w:eastAsia="fr-FR"/>
              </w:rPr>
              <w:t>’</w:t>
            </w:r>
            <w:r w:rsidRPr="004469E6">
              <w:rPr>
                <w:rFonts w:eastAsia="Calibri"/>
                <w:szCs w:val="22"/>
                <w:lang w:eastAsia="fr-FR"/>
              </w:rPr>
              <w:t>examiner les questions relatives à l</w:t>
            </w:r>
            <w:r w:rsidR="00A11EFB">
              <w:rPr>
                <w:rFonts w:eastAsia="Calibri"/>
                <w:szCs w:val="22"/>
                <w:lang w:eastAsia="fr-FR"/>
              </w:rPr>
              <w:t>’</w:t>
            </w:r>
            <w:r w:rsidRPr="004469E6">
              <w:rPr>
                <w:rFonts w:eastAsia="Calibri"/>
                <w:szCs w:val="22"/>
                <w:lang w:eastAsia="fr-FR"/>
              </w:rPr>
              <w:t>application de la loi lorsque des actes sont accomplis outre les exceptions et portent atteinte aux droits des obtenteurs;</w:t>
            </w:r>
          </w:p>
          <w:p w:rsidR="00A11EFB" w:rsidRDefault="004469E6" w:rsidP="004469E6">
            <w:pPr>
              <w:numPr>
                <w:ilvl w:val="0"/>
                <w:numId w:val="9"/>
              </w:numPr>
              <w:spacing w:before="120" w:after="120"/>
              <w:ind w:left="1080" w:hanging="630"/>
              <w:rPr>
                <w:rFonts w:eastAsia="Calibri"/>
                <w:szCs w:val="22"/>
                <w:lang w:eastAsia="fr-FR"/>
              </w:rPr>
            </w:pPr>
            <w:r w:rsidRPr="004469E6">
              <w:rPr>
                <w:rFonts w:eastAsia="Calibri"/>
                <w:szCs w:val="22"/>
                <w:lang w:eastAsia="fr-FR"/>
              </w:rPr>
              <w:t>de préciser que l</w:t>
            </w:r>
            <w:r w:rsidR="00A11EFB">
              <w:rPr>
                <w:rFonts w:eastAsia="Calibri"/>
                <w:szCs w:val="22"/>
                <w:lang w:eastAsia="fr-FR"/>
              </w:rPr>
              <w:t>’</w:t>
            </w:r>
            <w:r w:rsidR="00A11EFB" w:rsidRPr="004469E6">
              <w:rPr>
                <w:rFonts w:eastAsia="Calibri"/>
                <w:szCs w:val="22"/>
                <w:lang w:eastAsia="fr-FR"/>
              </w:rPr>
              <w:t>article</w:t>
            </w:r>
            <w:r w:rsidR="00A11EFB">
              <w:rPr>
                <w:rFonts w:eastAsia="Calibri"/>
                <w:szCs w:val="22"/>
                <w:lang w:eastAsia="fr-FR"/>
              </w:rPr>
              <w:t> </w:t>
            </w:r>
            <w:r w:rsidR="00A11EFB" w:rsidRPr="004469E6">
              <w:rPr>
                <w:rFonts w:eastAsia="Calibri"/>
                <w:szCs w:val="22"/>
                <w:lang w:eastAsia="fr-FR"/>
              </w:rPr>
              <w:t>1</w:t>
            </w:r>
            <w:r w:rsidRPr="004469E6">
              <w:rPr>
                <w:rFonts w:eastAsia="Calibri"/>
                <w:szCs w:val="22"/>
                <w:lang w:eastAsia="fr-FR"/>
              </w:rPr>
              <w:t xml:space="preserve">5.1)i) concerne les </w:t>
            </w:r>
            <w:r w:rsidRPr="004469E6">
              <w:rPr>
                <w:rFonts w:eastAsia="Calibri"/>
                <w:snapToGrid w:val="0"/>
                <w:color w:val="000000" w:themeColor="text1"/>
                <w:szCs w:val="22"/>
                <w:lang w:eastAsia="fr-FR"/>
              </w:rPr>
              <w:t>actes privés et non commerciaux</w:t>
            </w:r>
            <w:r w:rsidRPr="004469E6">
              <w:rPr>
                <w:rFonts w:eastAsia="Calibri"/>
                <w:szCs w:val="22"/>
                <w:lang w:eastAsia="fr-FR"/>
              </w:rPr>
              <w:t xml:space="preserve"> et que l</w:t>
            </w:r>
            <w:r w:rsidR="00A11EFB">
              <w:rPr>
                <w:rFonts w:eastAsia="Calibri"/>
                <w:szCs w:val="22"/>
                <w:lang w:eastAsia="fr-FR"/>
              </w:rPr>
              <w:t>’</w:t>
            </w:r>
            <w:r w:rsidR="00A11EFB" w:rsidRPr="004469E6">
              <w:rPr>
                <w:rFonts w:eastAsia="Calibri"/>
                <w:szCs w:val="22"/>
                <w:lang w:eastAsia="fr-FR"/>
              </w:rPr>
              <w:t>article</w:t>
            </w:r>
            <w:r w:rsidR="00A11EFB">
              <w:rPr>
                <w:rFonts w:eastAsia="Calibri"/>
                <w:szCs w:val="22"/>
                <w:lang w:eastAsia="fr-FR"/>
              </w:rPr>
              <w:t> </w:t>
            </w:r>
            <w:r w:rsidR="00A11EFB" w:rsidRPr="004469E6">
              <w:rPr>
                <w:rFonts w:eastAsia="Calibri"/>
                <w:szCs w:val="22"/>
                <w:lang w:eastAsia="fr-FR"/>
              </w:rPr>
              <w:t>1</w:t>
            </w:r>
            <w:r w:rsidRPr="004469E6">
              <w:rPr>
                <w:rFonts w:eastAsia="Calibri"/>
                <w:szCs w:val="22"/>
                <w:lang w:eastAsia="fr-FR"/>
              </w:rPr>
              <w:t>5.2) se rapporte aux activités professionnelles à une échelle commerciale;</w:t>
            </w:r>
          </w:p>
          <w:p w:rsidR="004469E6" w:rsidRPr="004469E6" w:rsidRDefault="004469E6" w:rsidP="004469E6">
            <w:pPr>
              <w:numPr>
                <w:ilvl w:val="0"/>
                <w:numId w:val="9"/>
              </w:numPr>
              <w:spacing w:before="120" w:after="120"/>
              <w:ind w:left="1080" w:hanging="630"/>
              <w:rPr>
                <w:rFonts w:eastAsia="Calibri" w:cs="Arial"/>
                <w:lang w:eastAsia="fr-FR"/>
              </w:rPr>
            </w:pPr>
            <w:r w:rsidRPr="004469E6">
              <w:rPr>
                <w:rFonts w:eastAsia="Calibri"/>
                <w:szCs w:val="22"/>
                <w:lang w:eastAsia="fr-FR"/>
              </w:rPr>
              <w:t>de considérer que, dans la mise en œuvre de l</w:t>
            </w:r>
            <w:r w:rsidR="00A11EFB">
              <w:rPr>
                <w:rFonts w:eastAsia="Calibri"/>
                <w:szCs w:val="22"/>
                <w:lang w:eastAsia="fr-FR"/>
              </w:rPr>
              <w:t>’</w:t>
            </w:r>
            <w:r w:rsidR="00A11EFB" w:rsidRPr="004469E6">
              <w:rPr>
                <w:rFonts w:eastAsia="Calibri"/>
                <w:szCs w:val="22"/>
                <w:lang w:eastAsia="fr-FR"/>
              </w:rPr>
              <w:t>article</w:t>
            </w:r>
            <w:r w:rsidR="00A11EFB">
              <w:rPr>
                <w:rFonts w:eastAsia="Calibri"/>
                <w:szCs w:val="22"/>
                <w:lang w:eastAsia="fr-FR"/>
              </w:rPr>
              <w:t> </w:t>
            </w:r>
            <w:r w:rsidR="00A11EFB" w:rsidRPr="004469E6">
              <w:rPr>
                <w:rFonts w:eastAsia="Calibri"/>
                <w:szCs w:val="22"/>
                <w:lang w:eastAsia="fr-FR"/>
              </w:rPr>
              <w:t>1</w:t>
            </w:r>
            <w:r w:rsidRPr="004469E6">
              <w:rPr>
                <w:rFonts w:eastAsia="Calibri"/>
                <w:szCs w:val="22"/>
                <w:lang w:eastAsia="fr-FR"/>
              </w:rPr>
              <w:t>5.1)i), les membres de l</w:t>
            </w:r>
            <w:r w:rsidR="00A11EFB">
              <w:rPr>
                <w:rFonts w:eastAsia="Calibri"/>
                <w:szCs w:val="22"/>
                <w:lang w:eastAsia="fr-FR"/>
              </w:rPr>
              <w:t>’</w:t>
            </w:r>
            <w:r w:rsidRPr="004469E6">
              <w:rPr>
                <w:rFonts w:eastAsia="Calibri"/>
                <w:szCs w:val="22"/>
                <w:lang w:eastAsia="fr-FR"/>
              </w:rPr>
              <w:t>UPOV concernés souhaiteront peut</w:t>
            </w:r>
            <w:r w:rsidR="00E22FCB">
              <w:rPr>
                <w:rFonts w:eastAsia="Calibri"/>
                <w:szCs w:val="22"/>
                <w:lang w:eastAsia="fr-FR"/>
              </w:rPr>
              <w:noBreakHyphen/>
            </w:r>
            <w:r w:rsidRPr="004469E6">
              <w:rPr>
                <w:rFonts w:eastAsia="Calibri"/>
                <w:szCs w:val="22"/>
                <w:lang w:eastAsia="fr-FR"/>
              </w:rPr>
              <w:t>être mettre davantage l</w:t>
            </w:r>
            <w:r w:rsidR="00A11EFB">
              <w:rPr>
                <w:rFonts w:eastAsia="Calibri"/>
                <w:szCs w:val="22"/>
                <w:lang w:eastAsia="fr-FR"/>
              </w:rPr>
              <w:t>’</w:t>
            </w:r>
            <w:r w:rsidRPr="004469E6">
              <w:rPr>
                <w:rFonts w:eastAsia="Calibri"/>
                <w:szCs w:val="22"/>
                <w:lang w:eastAsia="fr-FR"/>
              </w:rPr>
              <w:t>accent sur les plantes qui sont importantes au niveau national ou régional pour la sécurité alimentaire et les moyens de subsistance des agriculteurs;</w:t>
            </w:r>
          </w:p>
          <w:p w:rsidR="004469E6" w:rsidRPr="004469E6" w:rsidRDefault="004469E6" w:rsidP="005760AB">
            <w:pPr>
              <w:keepLines/>
              <w:numPr>
                <w:ilvl w:val="0"/>
                <w:numId w:val="9"/>
              </w:numPr>
              <w:spacing w:before="120" w:after="120"/>
              <w:ind w:left="1080" w:hanging="630"/>
              <w:rPr>
                <w:rFonts w:eastAsia="Calibri" w:cs="Arial"/>
                <w:lang w:eastAsia="fr-FR"/>
              </w:rPr>
            </w:pPr>
            <w:r w:rsidRPr="004469E6">
              <w:rPr>
                <w:rFonts w:eastAsia="Calibri"/>
                <w:szCs w:val="22"/>
                <w:lang w:eastAsia="fr-FR"/>
              </w:rPr>
              <w:t>de considérer que, dans la mise en œuvre de l</w:t>
            </w:r>
            <w:r w:rsidR="00A11EFB">
              <w:rPr>
                <w:rFonts w:eastAsia="Calibri"/>
                <w:szCs w:val="22"/>
                <w:lang w:eastAsia="fr-FR"/>
              </w:rPr>
              <w:t>’</w:t>
            </w:r>
            <w:r w:rsidR="00A11EFB" w:rsidRPr="004469E6">
              <w:rPr>
                <w:rFonts w:eastAsia="Calibri"/>
                <w:szCs w:val="22"/>
                <w:lang w:eastAsia="fr-FR"/>
              </w:rPr>
              <w:t>article</w:t>
            </w:r>
            <w:r w:rsidR="00A11EFB">
              <w:rPr>
                <w:rFonts w:eastAsia="Calibri"/>
                <w:szCs w:val="22"/>
                <w:lang w:eastAsia="fr-FR"/>
              </w:rPr>
              <w:t> </w:t>
            </w:r>
            <w:r w:rsidR="00A11EFB" w:rsidRPr="004469E6">
              <w:rPr>
                <w:rFonts w:eastAsia="Calibri"/>
                <w:szCs w:val="22"/>
                <w:lang w:eastAsia="fr-FR"/>
              </w:rPr>
              <w:t>1</w:t>
            </w:r>
            <w:r w:rsidRPr="004469E6">
              <w:rPr>
                <w:rFonts w:eastAsia="Calibri"/>
                <w:szCs w:val="22"/>
                <w:lang w:eastAsia="fr-FR"/>
              </w:rPr>
              <w:t>5.1)i), les membres de l</w:t>
            </w:r>
            <w:r w:rsidR="00A11EFB">
              <w:rPr>
                <w:rFonts w:eastAsia="Calibri"/>
                <w:szCs w:val="22"/>
                <w:lang w:eastAsia="fr-FR"/>
              </w:rPr>
              <w:t>’</w:t>
            </w:r>
            <w:r w:rsidRPr="004469E6">
              <w:rPr>
                <w:rFonts w:eastAsia="Calibri"/>
                <w:szCs w:val="22"/>
                <w:lang w:eastAsia="fr-FR"/>
              </w:rPr>
              <w:t>UPOV concernés souhaiteront peut</w:t>
            </w:r>
            <w:r w:rsidR="00E22FCB">
              <w:rPr>
                <w:rFonts w:eastAsia="Calibri"/>
                <w:szCs w:val="22"/>
                <w:lang w:eastAsia="fr-FR"/>
              </w:rPr>
              <w:noBreakHyphen/>
            </w:r>
            <w:r w:rsidRPr="004469E6">
              <w:rPr>
                <w:rFonts w:eastAsia="Calibri"/>
                <w:szCs w:val="22"/>
                <w:lang w:eastAsia="fr-FR"/>
              </w:rPr>
              <w:t>être exclure les variétés à multiplication végétative, telles que les plantes ornementales et les frui</w:t>
            </w:r>
            <w:r w:rsidR="00CE3B71" w:rsidRPr="004469E6">
              <w:rPr>
                <w:rFonts w:eastAsia="Calibri"/>
                <w:szCs w:val="22"/>
                <w:lang w:eastAsia="fr-FR"/>
              </w:rPr>
              <w:t>ts</w:t>
            </w:r>
            <w:r w:rsidR="00CE3B71">
              <w:rPr>
                <w:rFonts w:eastAsia="Calibri"/>
                <w:szCs w:val="22"/>
                <w:lang w:eastAsia="fr-FR"/>
              </w:rPr>
              <w:t xml:space="preserve">.  </w:t>
            </w:r>
            <w:r w:rsidR="00CE3B71" w:rsidRPr="004469E6">
              <w:rPr>
                <w:rFonts w:eastAsia="Calibri"/>
                <w:szCs w:val="22"/>
                <w:lang w:eastAsia="fr-FR"/>
              </w:rPr>
              <w:t>Si</w:t>
            </w:r>
            <w:r w:rsidRPr="004469E6">
              <w:rPr>
                <w:rFonts w:eastAsia="Calibri"/>
                <w:szCs w:val="22"/>
                <w:lang w:eastAsia="fr-FR"/>
              </w:rPr>
              <w:t xml:space="preserve"> l</w:t>
            </w:r>
            <w:r w:rsidR="00A11EFB">
              <w:rPr>
                <w:rFonts w:eastAsia="Calibri"/>
                <w:szCs w:val="22"/>
                <w:lang w:eastAsia="fr-FR"/>
              </w:rPr>
              <w:t>’</w:t>
            </w:r>
            <w:r w:rsidRPr="004469E6">
              <w:rPr>
                <w:rFonts w:eastAsia="Calibri"/>
                <w:szCs w:val="22"/>
                <w:lang w:eastAsia="fr-FR"/>
              </w:rPr>
              <w:t>on considère que ces plantes sont restées dans le sol pendant quelques années et que les arbres fruitiers peuvent donner des fruits pendant des décennies, la valeur du droit d</w:t>
            </w:r>
            <w:r w:rsidR="00A11EFB">
              <w:rPr>
                <w:rFonts w:eastAsia="Calibri"/>
                <w:szCs w:val="22"/>
                <w:lang w:eastAsia="fr-FR"/>
              </w:rPr>
              <w:t>’</w:t>
            </w:r>
            <w:r w:rsidRPr="004469E6">
              <w:rPr>
                <w:rFonts w:eastAsia="Calibri"/>
                <w:szCs w:val="22"/>
                <w:lang w:eastAsia="fr-FR"/>
              </w:rPr>
              <w:t>obtenteur pourrait être considérablement réduite;</w:t>
            </w:r>
          </w:p>
          <w:p w:rsidR="004469E6" w:rsidRPr="004469E6" w:rsidRDefault="004469E6" w:rsidP="004469E6">
            <w:pPr>
              <w:numPr>
                <w:ilvl w:val="0"/>
                <w:numId w:val="9"/>
              </w:numPr>
              <w:spacing w:before="120" w:after="120"/>
              <w:ind w:left="1080" w:hanging="630"/>
              <w:rPr>
                <w:rFonts w:eastAsia="Calibri" w:cs="Arial"/>
                <w:lang w:eastAsia="fr-FR"/>
              </w:rPr>
            </w:pPr>
            <w:r w:rsidRPr="004469E6">
              <w:rPr>
                <w:rFonts w:eastAsia="Calibri"/>
                <w:szCs w:val="22"/>
                <w:lang w:eastAsia="fr-FR"/>
              </w:rPr>
              <w:t>de considérer, en ce qui concerne l</w:t>
            </w:r>
            <w:r w:rsidR="00A11EFB">
              <w:rPr>
                <w:rFonts w:eastAsia="Calibri"/>
                <w:szCs w:val="22"/>
                <w:lang w:eastAsia="fr-FR"/>
              </w:rPr>
              <w:t>’</w:t>
            </w:r>
            <w:r w:rsidR="00A11EFB" w:rsidRPr="004469E6">
              <w:rPr>
                <w:rFonts w:eastAsia="Calibri"/>
                <w:szCs w:val="22"/>
                <w:lang w:eastAsia="fr-FR"/>
              </w:rPr>
              <w:t>article</w:t>
            </w:r>
            <w:r w:rsidR="00A11EFB">
              <w:rPr>
                <w:rFonts w:eastAsia="Calibri"/>
                <w:szCs w:val="22"/>
                <w:lang w:eastAsia="fr-FR"/>
              </w:rPr>
              <w:t> </w:t>
            </w:r>
            <w:r w:rsidR="00A11EFB" w:rsidRPr="004469E6">
              <w:rPr>
                <w:rFonts w:eastAsia="Calibri"/>
                <w:szCs w:val="22"/>
                <w:lang w:eastAsia="fr-FR"/>
              </w:rPr>
              <w:t>1</w:t>
            </w:r>
            <w:r w:rsidRPr="004469E6">
              <w:rPr>
                <w:rFonts w:eastAsia="Calibri"/>
                <w:szCs w:val="22"/>
                <w:lang w:eastAsia="fr-FR"/>
              </w:rPr>
              <w:t xml:space="preserve">5.1)i), que les plantes médicinales sont des plantes non alimentaires qui sont souvent destinées à la consommation </w:t>
            </w:r>
            <w:r w:rsidR="006A279E">
              <w:rPr>
                <w:rFonts w:eastAsia="Calibri"/>
                <w:szCs w:val="22"/>
                <w:lang w:eastAsia="fr-FR"/>
              </w:rPr>
              <w:t>domestique</w:t>
            </w:r>
            <w:r w:rsidRPr="004469E6">
              <w:rPr>
                <w:rFonts w:eastAsia="Calibri"/>
                <w:szCs w:val="22"/>
                <w:lang w:eastAsia="fr-FR"/>
              </w:rPr>
              <w:t>;</w:t>
            </w:r>
          </w:p>
          <w:p w:rsidR="00A11EFB" w:rsidRDefault="004469E6" w:rsidP="004469E6">
            <w:pPr>
              <w:numPr>
                <w:ilvl w:val="0"/>
                <w:numId w:val="9"/>
              </w:numPr>
              <w:spacing w:before="120" w:after="120"/>
              <w:ind w:left="1080" w:hanging="630"/>
              <w:rPr>
                <w:rFonts w:eastAsia="Calibri"/>
                <w:szCs w:val="22"/>
                <w:lang w:eastAsia="fr-FR"/>
              </w:rPr>
            </w:pPr>
            <w:r w:rsidRPr="004469E6">
              <w:rPr>
                <w:rFonts w:eastAsia="Calibri"/>
                <w:szCs w:val="22"/>
                <w:lang w:eastAsia="fr-FR"/>
              </w:rPr>
              <w:t>clarifier les notions de “territoire” et “lieu” en ce qui concerne la mise en œuvre de l</w:t>
            </w:r>
            <w:r w:rsidR="00A11EFB">
              <w:rPr>
                <w:rFonts w:eastAsia="Calibri"/>
                <w:szCs w:val="22"/>
                <w:lang w:eastAsia="fr-FR"/>
              </w:rPr>
              <w:t>’</w:t>
            </w:r>
            <w:r w:rsidR="00A11EFB" w:rsidRPr="004469E6">
              <w:rPr>
                <w:rFonts w:eastAsia="Calibri"/>
                <w:szCs w:val="22"/>
                <w:lang w:eastAsia="fr-FR"/>
              </w:rPr>
              <w:t>article</w:t>
            </w:r>
            <w:r w:rsidR="00A11EFB">
              <w:rPr>
                <w:rFonts w:eastAsia="Calibri"/>
                <w:szCs w:val="22"/>
                <w:lang w:eastAsia="fr-FR"/>
              </w:rPr>
              <w:t> </w:t>
            </w:r>
            <w:r w:rsidR="00A11EFB" w:rsidRPr="004469E6">
              <w:rPr>
                <w:rFonts w:eastAsia="Calibri"/>
                <w:szCs w:val="22"/>
                <w:lang w:eastAsia="fr-FR"/>
              </w:rPr>
              <w:t>1</w:t>
            </w:r>
            <w:r w:rsidRPr="004469E6">
              <w:rPr>
                <w:rFonts w:eastAsia="Calibri"/>
                <w:szCs w:val="22"/>
                <w:lang w:eastAsia="fr-FR"/>
              </w:rPr>
              <w:t>5.1)i);</w:t>
            </w:r>
          </w:p>
          <w:p w:rsidR="004469E6" w:rsidRPr="004469E6" w:rsidRDefault="004469E6" w:rsidP="004469E6">
            <w:pPr>
              <w:numPr>
                <w:ilvl w:val="0"/>
                <w:numId w:val="9"/>
              </w:numPr>
              <w:spacing w:before="120" w:after="120"/>
              <w:ind w:left="1080" w:hanging="630"/>
              <w:rPr>
                <w:rFonts w:eastAsia="Calibri" w:cs="Arial"/>
                <w:lang w:eastAsia="fr-FR"/>
              </w:rPr>
            </w:pPr>
            <w:r w:rsidRPr="004469E6">
              <w:rPr>
                <w:rFonts w:eastAsia="Calibri"/>
                <w:szCs w:val="22"/>
                <w:lang w:eastAsia="fr-FR"/>
              </w:rPr>
              <w:lastRenderedPageBreak/>
              <w:t xml:space="preserve">de considérer que </w:t>
            </w:r>
            <w:r w:rsidRPr="004469E6">
              <w:rPr>
                <w:rFonts w:eastAsia="Calibri"/>
                <w:snapToGrid w:val="0"/>
                <w:szCs w:val="22"/>
                <w:lang w:eastAsia="fr-FR"/>
              </w:rPr>
              <w:t>l</w:t>
            </w:r>
            <w:r w:rsidR="00A11EFB">
              <w:rPr>
                <w:rFonts w:eastAsia="Calibri"/>
                <w:snapToGrid w:val="0"/>
                <w:szCs w:val="22"/>
                <w:lang w:eastAsia="fr-FR"/>
              </w:rPr>
              <w:t>’</w:t>
            </w:r>
            <w:r w:rsidRPr="004469E6">
              <w:rPr>
                <w:rFonts w:eastAsia="Calibri"/>
                <w:snapToGrid w:val="0"/>
                <w:szCs w:val="22"/>
                <w:lang w:eastAsia="fr-FR"/>
              </w:rPr>
              <w:t>échange et la vente de matériel de la variété protégée seraient contraires à l</w:t>
            </w:r>
            <w:r w:rsidR="00A11EFB">
              <w:rPr>
                <w:rFonts w:eastAsia="Calibri"/>
                <w:snapToGrid w:val="0"/>
                <w:szCs w:val="22"/>
                <w:lang w:eastAsia="fr-FR"/>
              </w:rPr>
              <w:t>’</w:t>
            </w:r>
            <w:r w:rsidRPr="004469E6">
              <w:rPr>
                <w:rFonts w:eastAsia="Calibri"/>
                <w:snapToGrid w:val="0"/>
                <w:szCs w:val="22"/>
                <w:lang w:eastAsia="fr-FR"/>
              </w:rPr>
              <w:t>article 15.1)i);</w:t>
            </w:r>
          </w:p>
          <w:p w:rsidR="004469E6" w:rsidRPr="004469E6" w:rsidRDefault="004469E6" w:rsidP="004469E6">
            <w:pPr>
              <w:numPr>
                <w:ilvl w:val="0"/>
                <w:numId w:val="9"/>
              </w:numPr>
              <w:spacing w:before="120" w:after="120"/>
              <w:ind w:left="1080" w:hanging="630"/>
              <w:rPr>
                <w:rFonts w:eastAsia="Calibri" w:cs="Arial"/>
                <w:lang w:eastAsia="fr-FR"/>
              </w:rPr>
            </w:pPr>
            <w:r w:rsidRPr="004469E6">
              <w:rPr>
                <w:rFonts w:eastAsia="Calibri"/>
                <w:szCs w:val="22"/>
                <w:lang w:eastAsia="fr-FR"/>
              </w:rPr>
              <w:t>de préciser aux obtenteurs et aux agriculteurs quels actes relèveraient de l</w:t>
            </w:r>
            <w:r w:rsidR="00A11EFB">
              <w:rPr>
                <w:rFonts w:eastAsia="Calibri"/>
                <w:szCs w:val="22"/>
                <w:lang w:eastAsia="fr-FR"/>
              </w:rPr>
              <w:t>’</w:t>
            </w:r>
            <w:r w:rsidRPr="004469E6">
              <w:rPr>
                <w:rFonts w:eastAsia="Calibri"/>
                <w:szCs w:val="22"/>
                <w:lang w:eastAsia="fr-FR"/>
              </w:rPr>
              <w:t>exception facultative “pour les actes commerciaux” ou de l</w:t>
            </w:r>
            <w:r w:rsidR="00A11EFB">
              <w:rPr>
                <w:rFonts w:eastAsia="Calibri"/>
                <w:szCs w:val="22"/>
                <w:lang w:eastAsia="fr-FR"/>
              </w:rPr>
              <w:t>’</w:t>
            </w:r>
            <w:r w:rsidRPr="004469E6">
              <w:rPr>
                <w:rFonts w:eastAsia="Calibri"/>
                <w:szCs w:val="22"/>
                <w:lang w:eastAsia="fr-FR"/>
              </w:rPr>
              <w:t>exception obligatoire “pour les actes non commerciaux”;</w:t>
            </w:r>
          </w:p>
          <w:p w:rsidR="004469E6" w:rsidRPr="004469E6" w:rsidRDefault="004469E6" w:rsidP="004469E6">
            <w:pPr>
              <w:numPr>
                <w:ilvl w:val="0"/>
                <w:numId w:val="9"/>
              </w:numPr>
              <w:spacing w:before="120" w:after="120"/>
              <w:ind w:left="1080" w:hanging="630"/>
              <w:rPr>
                <w:rFonts w:eastAsia="Calibri" w:cs="Arial"/>
                <w:lang w:eastAsia="fr-FR"/>
              </w:rPr>
            </w:pPr>
            <w:r w:rsidRPr="004469E6">
              <w:rPr>
                <w:rFonts w:eastAsia="Calibri"/>
                <w:szCs w:val="22"/>
                <w:lang w:eastAsia="fr-FR"/>
              </w:rPr>
              <w:t>d</w:t>
            </w:r>
            <w:r w:rsidR="00A11EFB">
              <w:rPr>
                <w:rFonts w:eastAsia="Calibri"/>
                <w:szCs w:val="22"/>
                <w:lang w:eastAsia="fr-FR"/>
              </w:rPr>
              <w:t>’</w:t>
            </w:r>
            <w:r w:rsidRPr="004469E6">
              <w:rPr>
                <w:rFonts w:eastAsia="Calibri"/>
                <w:szCs w:val="22"/>
                <w:lang w:eastAsia="fr-FR"/>
              </w:rPr>
              <w:t>énumérer, en ce qui concerne l</w:t>
            </w:r>
            <w:r w:rsidR="00A11EFB">
              <w:rPr>
                <w:rFonts w:eastAsia="Calibri"/>
                <w:szCs w:val="22"/>
                <w:lang w:eastAsia="fr-FR"/>
              </w:rPr>
              <w:t>’</w:t>
            </w:r>
            <w:r w:rsidR="00A11EFB" w:rsidRPr="004469E6">
              <w:rPr>
                <w:rFonts w:eastAsia="Calibri"/>
                <w:szCs w:val="22"/>
                <w:lang w:eastAsia="fr-FR"/>
              </w:rPr>
              <w:t>article</w:t>
            </w:r>
            <w:r w:rsidR="00A11EFB">
              <w:rPr>
                <w:rFonts w:eastAsia="Calibri"/>
                <w:szCs w:val="22"/>
                <w:lang w:eastAsia="fr-FR"/>
              </w:rPr>
              <w:t> </w:t>
            </w:r>
            <w:r w:rsidR="00A11EFB" w:rsidRPr="004469E6">
              <w:rPr>
                <w:rFonts w:eastAsia="Calibri"/>
                <w:szCs w:val="22"/>
                <w:lang w:eastAsia="fr-FR"/>
              </w:rPr>
              <w:t>1</w:t>
            </w:r>
            <w:r w:rsidRPr="004469E6">
              <w:rPr>
                <w:rFonts w:eastAsia="Calibri"/>
                <w:szCs w:val="22"/>
                <w:lang w:eastAsia="fr-FR"/>
              </w:rPr>
              <w:t>5.1)i), tous les facteurs de ce qui pourrait être considéré comme une utilisation légitime à des fins non commerciales et quand cela pourrait être considéré comme ayant un impact sur l</w:t>
            </w:r>
            <w:r w:rsidR="00A11EFB">
              <w:rPr>
                <w:rFonts w:eastAsia="Calibri"/>
                <w:szCs w:val="22"/>
                <w:lang w:eastAsia="fr-FR"/>
              </w:rPr>
              <w:t>’</w:t>
            </w:r>
            <w:r w:rsidRPr="004469E6">
              <w:rPr>
                <w:rFonts w:eastAsia="Calibri"/>
                <w:szCs w:val="22"/>
                <w:lang w:eastAsia="fr-FR"/>
              </w:rPr>
              <w:t>intérêt légitime de l</w:t>
            </w:r>
            <w:r w:rsidR="00A11EFB">
              <w:rPr>
                <w:rFonts w:eastAsia="Calibri"/>
                <w:szCs w:val="22"/>
                <w:lang w:eastAsia="fr-FR"/>
              </w:rPr>
              <w:t>’</w:t>
            </w:r>
            <w:r w:rsidRPr="004469E6">
              <w:rPr>
                <w:rFonts w:eastAsia="Calibri"/>
                <w:szCs w:val="22"/>
                <w:lang w:eastAsia="fr-FR"/>
              </w:rPr>
              <w:t>obtenteur à récupérer son investissement dans les activités de sélection;</w:t>
            </w:r>
          </w:p>
          <w:p w:rsidR="004469E6" w:rsidRPr="004469E6" w:rsidRDefault="004469E6" w:rsidP="004469E6">
            <w:pPr>
              <w:numPr>
                <w:ilvl w:val="0"/>
                <w:numId w:val="9"/>
              </w:numPr>
              <w:spacing w:before="120" w:after="120"/>
              <w:ind w:left="1080" w:hanging="630"/>
              <w:rPr>
                <w:rFonts w:eastAsia="Calibri" w:cs="Arial"/>
                <w:lang w:eastAsia="fr-FR"/>
              </w:rPr>
            </w:pPr>
            <w:r w:rsidRPr="004469E6">
              <w:rPr>
                <w:rFonts w:eastAsia="Calibri"/>
                <w:szCs w:val="22"/>
                <w:lang w:eastAsia="fr-FR"/>
              </w:rPr>
              <w:t>de préciser, en ce qui concerne l</w:t>
            </w:r>
            <w:r w:rsidR="00A11EFB">
              <w:rPr>
                <w:rFonts w:eastAsia="Calibri"/>
                <w:szCs w:val="22"/>
                <w:lang w:eastAsia="fr-FR"/>
              </w:rPr>
              <w:t>’</w:t>
            </w:r>
            <w:r w:rsidR="00A11EFB" w:rsidRPr="004469E6">
              <w:rPr>
                <w:rFonts w:eastAsia="Calibri"/>
                <w:szCs w:val="22"/>
                <w:lang w:eastAsia="fr-FR"/>
              </w:rPr>
              <w:t>article</w:t>
            </w:r>
            <w:r w:rsidR="00A11EFB">
              <w:rPr>
                <w:rFonts w:eastAsia="Calibri"/>
                <w:szCs w:val="22"/>
                <w:lang w:eastAsia="fr-FR"/>
              </w:rPr>
              <w:t> </w:t>
            </w:r>
            <w:r w:rsidR="00A11EFB" w:rsidRPr="004469E6">
              <w:rPr>
                <w:rFonts w:eastAsia="Calibri"/>
                <w:szCs w:val="22"/>
                <w:lang w:eastAsia="fr-FR"/>
              </w:rPr>
              <w:t>1</w:t>
            </w:r>
            <w:r w:rsidRPr="004469E6">
              <w:rPr>
                <w:rFonts w:eastAsia="Calibri"/>
                <w:szCs w:val="22"/>
                <w:lang w:eastAsia="fr-FR"/>
              </w:rPr>
              <w:t>5.1)i), que la vente de semences de variétés protégées ne répondrait pas à l</w:t>
            </w:r>
            <w:r w:rsidR="00A11EFB">
              <w:rPr>
                <w:rFonts w:eastAsia="Calibri"/>
                <w:szCs w:val="22"/>
                <w:lang w:eastAsia="fr-FR"/>
              </w:rPr>
              <w:t>’</w:t>
            </w:r>
            <w:r w:rsidRPr="004469E6">
              <w:rPr>
                <w:rFonts w:eastAsia="Calibri"/>
                <w:szCs w:val="22"/>
                <w:lang w:eastAsia="fr-FR"/>
              </w:rPr>
              <w:t>exigence d</w:t>
            </w:r>
            <w:r w:rsidR="00A11EFB">
              <w:rPr>
                <w:rFonts w:eastAsia="Calibri"/>
                <w:szCs w:val="22"/>
                <w:lang w:eastAsia="fr-FR"/>
              </w:rPr>
              <w:t>’</w:t>
            </w:r>
            <w:r w:rsidRPr="004469E6">
              <w:rPr>
                <w:rFonts w:eastAsia="Calibri"/>
                <w:szCs w:val="22"/>
                <w:lang w:eastAsia="fr-FR"/>
              </w:rPr>
              <w:t>une utilisation privée et non commerciale;</w:t>
            </w:r>
          </w:p>
          <w:p w:rsidR="004469E6" w:rsidRPr="004469E6" w:rsidRDefault="004469E6" w:rsidP="004469E6">
            <w:pPr>
              <w:numPr>
                <w:ilvl w:val="0"/>
                <w:numId w:val="9"/>
              </w:numPr>
              <w:spacing w:before="120" w:after="120"/>
              <w:ind w:left="1080" w:hanging="630"/>
              <w:rPr>
                <w:rFonts w:eastAsia="Calibri" w:cs="Arial"/>
                <w:lang w:eastAsia="fr-FR"/>
              </w:rPr>
            </w:pPr>
            <w:r w:rsidRPr="004469E6">
              <w:rPr>
                <w:rFonts w:eastAsia="Calibri"/>
                <w:szCs w:val="22"/>
                <w:lang w:eastAsia="fr-FR"/>
              </w:rPr>
              <w:t>d</w:t>
            </w:r>
            <w:r w:rsidR="00A11EFB">
              <w:rPr>
                <w:rFonts w:eastAsia="Calibri"/>
                <w:szCs w:val="22"/>
                <w:lang w:eastAsia="fr-FR"/>
              </w:rPr>
              <w:t>’</w:t>
            </w:r>
            <w:r w:rsidRPr="004469E6">
              <w:rPr>
                <w:rFonts w:eastAsia="Calibri"/>
                <w:szCs w:val="22"/>
                <w:lang w:eastAsia="fr-FR"/>
              </w:rPr>
              <w:t xml:space="preserve">envisager, en </w:t>
            </w:r>
            <w:r w:rsidRPr="004469E6">
              <w:rPr>
                <w:rFonts w:eastAsia="Calibri"/>
                <w:snapToGrid w:val="0"/>
                <w:szCs w:val="22"/>
                <w:lang w:eastAsia="fr-FR"/>
              </w:rPr>
              <w:t>ce qui concerne l</w:t>
            </w:r>
            <w:r w:rsidR="00A11EFB">
              <w:rPr>
                <w:rFonts w:eastAsia="Calibri"/>
                <w:snapToGrid w:val="0"/>
                <w:szCs w:val="22"/>
                <w:lang w:eastAsia="fr-FR"/>
              </w:rPr>
              <w:t>’</w:t>
            </w:r>
            <w:r w:rsidR="00A11EFB" w:rsidRPr="004469E6">
              <w:rPr>
                <w:rFonts w:eastAsia="Calibri"/>
                <w:snapToGrid w:val="0"/>
                <w:szCs w:val="22"/>
                <w:lang w:eastAsia="fr-FR"/>
              </w:rPr>
              <w:t>article</w:t>
            </w:r>
            <w:r w:rsidR="00A11EFB">
              <w:rPr>
                <w:rFonts w:eastAsia="Calibri"/>
                <w:snapToGrid w:val="0"/>
                <w:szCs w:val="22"/>
                <w:lang w:eastAsia="fr-FR"/>
              </w:rPr>
              <w:t> </w:t>
            </w:r>
            <w:r w:rsidR="00A11EFB" w:rsidRPr="004469E6">
              <w:rPr>
                <w:rFonts w:eastAsia="Calibri"/>
                <w:snapToGrid w:val="0"/>
                <w:szCs w:val="22"/>
                <w:lang w:eastAsia="fr-FR"/>
              </w:rPr>
              <w:t>1</w:t>
            </w:r>
            <w:r w:rsidRPr="004469E6">
              <w:rPr>
                <w:rFonts w:eastAsia="Calibri"/>
                <w:snapToGrid w:val="0"/>
                <w:szCs w:val="22"/>
                <w:lang w:eastAsia="fr-FR"/>
              </w:rPr>
              <w:t>5.1)i),</w:t>
            </w:r>
            <w:r w:rsidRPr="004469E6">
              <w:rPr>
                <w:rFonts w:eastAsia="Calibri"/>
                <w:szCs w:val="22"/>
                <w:lang w:eastAsia="fr-FR"/>
              </w:rPr>
              <w:t xml:space="preserve"> </w:t>
            </w:r>
            <w:r w:rsidRPr="004469E6">
              <w:rPr>
                <w:rFonts w:eastAsia="Calibri"/>
                <w:snapToGrid w:val="0"/>
                <w:szCs w:val="22"/>
                <w:lang w:eastAsia="fr-FR"/>
              </w:rPr>
              <w:t>d</w:t>
            </w:r>
            <w:r w:rsidR="00A11EFB">
              <w:rPr>
                <w:rFonts w:eastAsia="Calibri"/>
                <w:snapToGrid w:val="0"/>
                <w:szCs w:val="22"/>
                <w:lang w:eastAsia="fr-FR"/>
              </w:rPr>
              <w:t>’</w:t>
            </w:r>
            <w:r w:rsidRPr="004469E6">
              <w:rPr>
                <w:rFonts w:eastAsia="Calibri"/>
                <w:snapToGrid w:val="0"/>
                <w:szCs w:val="22"/>
                <w:lang w:eastAsia="fr-FR"/>
              </w:rPr>
              <w:t>inclure plusieurs exemples reposant sur des cas particuliers fournis par des membres de l</w:t>
            </w:r>
            <w:r w:rsidR="00A11EFB">
              <w:rPr>
                <w:rFonts w:eastAsia="Calibri"/>
                <w:snapToGrid w:val="0"/>
                <w:szCs w:val="22"/>
                <w:lang w:eastAsia="fr-FR"/>
              </w:rPr>
              <w:t>’</w:t>
            </w:r>
            <w:r w:rsidRPr="004469E6">
              <w:rPr>
                <w:rFonts w:eastAsia="Calibri"/>
                <w:snapToGrid w:val="0"/>
                <w:szCs w:val="22"/>
                <w:lang w:eastAsia="fr-FR"/>
              </w:rPr>
              <w:t>UPOV;</w:t>
            </w:r>
            <w:r w:rsidR="00384F35">
              <w:rPr>
                <w:rFonts w:eastAsia="Calibri"/>
                <w:snapToGrid w:val="0"/>
                <w:szCs w:val="22"/>
                <w:lang w:eastAsia="fr-FR"/>
              </w:rPr>
              <w:t xml:space="preserve"> </w:t>
            </w:r>
            <w:r w:rsidRPr="004469E6">
              <w:rPr>
                <w:rFonts w:eastAsia="Calibri"/>
                <w:snapToGrid w:val="0"/>
                <w:szCs w:val="22"/>
                <w:lang w:eastAsia="fr-FR"/>
              </w:rPr>
              <w:t xml:space="preserve"> et</w:t>
            </w:r>
          </w:p>
          <w:p w:rsidR="004469E6" w:rsidRPr="004469E6" w:rsidRDefault="004469E6" w:rsidP="004469E6">
            <w:pPr>
              <w:numPr>
                <w:ilvl w:val="0"/>
                <w:numId w:val="9"/>
              </w:numPr>
              <w:spacing w:before="120" w:after="120"/>
              <w:ind w:left="1080" w:hanging="630"/>
              <w:rPr>
                <w:rFonts w:eastAsia="Calibri" w:cs="Arial"/>
                <w:lang w:eastAsia="fr-FR"/>
              </w:rPr>
            </w:pPr>
            <w:r w:rsidRPr="004469E6">
              <w:rPr>
                <w:rFonts w:eastAsia="Calibri"/>
                <w:szCs w:val="22"/>
                <w:lang w:eastAsia="fr-FR"/>
              </w:rPr>
              <w:t>d</w:t>
            </w:r>
            <w:r w:rsidR="00A11EFB">
              <w:rPr>
                <w:rFonts w:eastAsia="Calibri"/>
                <w:szCs w:val="22"/>
                <w:lang w:eastAsia="fr-FR"/>
              </w:rPr>
              <w:t>’</w:t>
            </w:r>
            <w:r w:rsidRPr="004469E6">
              <w:rPr>
                <w:rFonts w:eastAsia="Calibri"/>
                <w:szCs w:val="22"/>
                <w:lang w:eastAsia="fr-FR"/>
              </w:rPr>
              <w:t>expliquer que les obtenteurs peuvent choisir de ne pas intenter une action en justice contre les petits exploitants agricoles, car leurs actes ne sont pas considérés comme faisant partie de leur activité principale.</w:t>
            </w:r>
          </w:p>
        </w:tc>
      </w:tr>
    </w:tbl>
    <w:p w:rsidR="004469E6" w:rsidRPr="004469E6" w:rsidRDefault="004469E6" w:rsidP="0004023C">
      <w:pPr>
        <w:spacing w:before="160" w:after="160"/>
        <w:rPr>
          <w:snapToGrid w:val="0"/>
          <w:color w:val="000000" w:themeColor="text1"/>
          <w:u w:val="single"/>
        </w:rPr>
      </w:pPr>
      <w:r w:rsidRPr="004469E6">
        <w:rPr>
          <w:snapToGrid w:val="0"/>
          <w:color w:val="000000" w:themeColor="text1"/>
          <w:u w:val="single"/>
        </w:rPr>
        <w:lastRenderedPageBreak/>
        <w:t>Options concernant les questions susceptibles d</w:t>
      </w:r>
      <w:r w:rsidR="00A11EFB">
        <w:rPr>
          <w:snapToGrid w:val="0"/>
          <w:color w:val="000000" w:themeColor="text1"/>
          <w:u w:val="single"/>
        </w:rPr>
        <w:t>’</w:t>
      </w:r>
      <w:r w:rsidRPr="004469E6">
        <w:rPr>
          <w:snapToGrid w:val="0"/>
          <w:color w:val="000000" w:themeColor="text1"/>
          <w:u w:val="single"/>
        </w:rPr>
        <w:t>être examinées dans le cadre d</w:t>
      </w:r>
      <w:r w:rsidR="00A11EFB">
        <w:rPr>
          <w:snapToGrid w:val="0"/>
          <w:color w:val="000000" w:themeColor="text1"/>
          <w:u w:val="single"/>
        </w:rPr>
        <w:t>’</w:t>
      </w:r>
      <w:r w:rsidRPr="004469E6">
        <w:rPr>
          <w:snapToGrid w:val="0"/>
          <w:color w:val="000000" w:themeColor="text1"/>
          <w:u w:val="single"/>
        </w:rPr>
        <w:t>une révision des questions</w:t>
      </w:r>
      <w:r w:rsidR="00E22FCB">
        <w:rPr>
          <w:snapToGrid w:val="0"/>
          <w:color w:val="000000" w:themeColor="text1"/>
          <w:u w:val="single"/>
        </w:rPr>
        <w:noBreakHyphen/>
      </w:r>
      <w:r w:rsidRPr="004469E6">
        <w:rPr>
          <w:snapToGrid w:val="0"/>
          <w:color w:val="000000" w:themeColor="text1"/>
          <w:u w:val="single"/>
        </w:rPr>
        <w:t>réponses sur les exceptions au droit d</w:t>
      </w:r>
      <w:r w:rsidR="00A11EFB">
        <w:rPr>
          <w:snapToGrid w:val="0"/>
          <w:color w:val="000000" w:themeColor="text1"/>
          <w:u w:val="single"/>
        </w:rPr>
        <w:t>’</w:t>
      </w:r>
      <w:r w:rsidRPr="004469E6">
        <w:rPr>
          <w:snapToGrid w:val="0"/>
          <w:color w:val="000000" w:themeColor="text1"/>
          <w:u w:val="single"/>
        </w:rPr>
        <w:t>obtenteur</w:t>
      </w:r>
    </w:p>
    <w:tbl>
      <w:tblPr>
        <w:tblW w:w="0" w:type="auto"/>
        <w:tblInd w:w="2" w:type="dxa"/>
        <w:tblCellMar>
          <w:top w:w="57" w:type="dxa"/>
          <w:left w:w="85" w:type="dxa"/>
          <w:right w:w="113" w:type="dxa"/>
        </w:tblCellMar>
        <w:tblLook w:val="0000" w:firstRow="0" w:lastRow="0" w:firstColumn="0" w:lastColumn="0" w:noHBand="0" w:noVBand="0"/>
      </w:tblPr>
      <w:tblGrid>
        <w:gridCol w:w="9629"/>
      </w:tblGrid>
      <w:tr w:rsidR="004469E6" w:rsidRPr="004469E6" w:rsidTr="00BD4F37">
        <w:tc>
          <w:tcPr>
            <w:tcW w:w="9629" w:type="dxa"/>
          </w:tcPr>
          <w:p w:rsidR="004469E6" w:rsidRPr="004469E6" w:rsidRDefault="004469E6" w:rsidP="0004023C">
            <w:pPr>
              <w:spacing w:after="120"/>
              <w:rPr>
                <w:rFonts w:cs="Arial"/>
              </w:rPr>
            </w:pPr>
            <w:r w:rsidRPr="004469E6">
              <w:t>Examiner les possibilités</w:t>
            </w:r>
            <w:r w:rsidR="0004023C">
              <w:t> :</w:t>
            </w:r>
          </w:p>
          <w:p w:rsidR="002C27FF" w:rsidRDefault="004469E6" w:rsidP="002C27FF">
            <w:pPr>
              <w:numPr>
                <w:ilvl w:val="0"/>
                <w:numId w:val="10"/>
              </w:numPr>
              <w:spacing w:before="120" w:after="120"/>
              <w:ind w:left="1080" w:hanging="630"/>
              <w:rPr>
                <w:rFonts w:eastAsia="Calibri" w:cs="Arial"/>
                <w:lang w:eastAsia="fr-FR"/>
              </w:rPr>
            </w:pPr>
            <w:r w:rsidRPr="004469E6">
              <w:rPr>
                <w:rFonts w:eastAsia="Calibri"/>
                <w:szCs w:val="22"/>
                <w:lang w:eastAsia="fr-FR"/>
              </w:rPr>
              <w:t>d</w:t>
            </w:r>
            <w:r w:rsidR="00A11EFB">
              <w:rPr>
                <w:rFonts w:eastAsia="Calibri"/>
                <w:szCs w:val="22"/>
                <w:lang w:eastAsia="fr-FR"/>
              </w:rPr>
              <w:t>’</w:t>
            </w:r>
            <w:r w:rsidRPr="004469E6">
              <w:rPr>
                <w:rFonts w:eastAsia="Calibri"/>
                <w:szCs w:val="22"/>
                <w:lang w:eastAsia="fr-FR"/>
              </w:rPr>
              <w:t>expliquer que les actes autorisés en vertu des exceptions au droit d</w:t>
            </w:r>
            <w:r w:rsidR="00A11EFB">
              <w:rPr>
                <w:rFonts w:eastAsia="Calibri"/>
                <w:szCs w:val="22"/>
                <w:lang w:eastAsia="fr-FR"/>
              </w:rPr>
              <w:t>’</w:t>
            </w:r>
            <w:r w:rsidRPr="004469E6">
              <w:rPr>
                <w:rFonts w:eastAsia="Calibri"/>
                <w:szCs w:val="22"/>
                <w:lang w:eastAsia="fr-FR"/>
              </w:rPr>
              <w:t>obtenteur peuvent néanmoins être restreints par d</w:t>
            </w:r>
            <w:r w:rsidR="00A11EFB">
              <w:rPr>
                <w:rFonts w:eastAsia="Calibri"/>
                <w:szCs w:val="22"/>
                <w:lang w:eastAsia="fr-FR"/>
              </w:rPr>
              <w:t>’</w:t>
            </w:r>
            <w:r w:rsidRPr="004469E6">
              <w:rPr>
                <w:rFonts w:eastAsia="Calibri"/>
                <w:szCs w:val="22"/>
                <w:lang w:eastAsia="fr-FR"/>
              </w:rPr>
              <w:t>autres législations nationales ou régionales (par exemple</w:t>
            </w:r>
            <w:r w:rsidR="00A11EFB">
              <w:rPr>
                <w:rFonts w:eastAsia="Calibri"/>
                <w:szCs w:val="22"/>
                <w:lang w:eastAsia="fr-FR"/>
              </w:rPr>
              <w:t> :</w:t>
            </w:r>
            <w:r w:rsidRPr="004469E6">
              <w:rPr>
                <w:rFonts w:eastAsia="Calibri"/>
                <w:szCs w:val="22"/>
                <w:lang w:eastAsia="fr-FR"/>
              </w:rPr>
              <w:t xml:space="preserve"> lois sur les semences, législation phytosanitaire ou législation en matière de biosécurité </w:t>
            </w:r>
            <w:r w:rsidR="00D5078E">
              <w:rPr>
                <w:rFonts w:eastAsia="Calibri"/>
                <w:szCs w:val="22"/>
                <w:lang w:eastAsia="fr-FR"/>
              </w:rPr>
              <w:t>(</w:t>
            </w:r>
            <w:r w:rsidR="00D5078E" w:rsidRPr="00D5078E">
              <w:rPr>
                <w:rFonts w:cs="Arial"/>
                <w:i/>
                <w:lang w:val="fr-CH"/>
              </w:rPr>
              <w:t>biosecurity</w:t>
            </w:r>
            <w:r w:rsidR="00D5078E">
              <w:rPr>
                <w:rFonts w:cs="Arial"/>
                <w:lang w:val="fr-CH"/>
              </w:rPr>
              <w:t>)</w:t>
            </w:r>
            <w:r w:rsidR="00D5078E" w:rsidRPr="004469E6">
              <w:rPr>
                <w:rFonts w:eastAsia="Calibri"/>
                <w:szCs w:val="22"/>
                <w:lang w:eastAsia="fr-FR"/>
              </w:rPr>
              <w:t xml:space="preserve"> </w:t>
            </w:r>
            <w:r w:rsidRPr="004469E6">
              <w:rPr>
                <w:rFonts w:eastAsia="Calibri"/>
                <w:szCs w:val="22"/>
                <w:lang w:eastAsia="fr-FR"/>
              </w:rPr>
              <w:t xml:space="preserve">ou de sûreté biologique </w:t>
            </w:r>
            <w:r w:rsidR="00D5078E">
              <w:rPr>
                <w:rFonts w:eastAsia="Calibri"/>
                <w:szCs w:val="22"/>
                <w:lang w:eastAsia="fr-FR"/>
              </w:rPr>
              <w:t>(</w:t>
            </w:r>
            <w:r w:rsidR="00D5078E" w:rsidRPr="00D5078E">
              <w:rPr>
                <w:rFonts w:cs="Arial"/>
                <w:i/>
                <w:lang w:val="fr-CH"/>
              </w:rPr>
              <w:t>biosafety</w:t>
            </w:r>
            <w:r w:rsidR="00D5078E">
              <w:rPr>
                <w:rFonts w:eastAsia="Calibri"/>
                <w:szCs w:val="22"/>
                <w:lang w:eastAsia="fr-FR"/>
              </w:rPr>
              <w:t xml:space="preserve">) </w:t>
            </w:r>
            <w:r w:rsidRPr="004469E6">
              <w:rPr>
                <w:rFonts w:eastAsia="Calibri"/>
                <w:szCs w:val="22"/>
                <w:lang w:eastAsia="fr-FR"/>
              </w:rPr>
              <w:t>des OGM);</w:t>
            </w:r>
            <w:bookmarkStart w:id="4" w:name="_GoBack"/>
            <w:bookmarkEnd w:id="4"/>
          </w:p>
          <w:p w:rsidR="00214BD3" w:rsidRPr="002C27FF" w:rsidRDefault="00214BD3" w:rsidP="002C27FF">
            <w:pPr>
              <w:numPr>
                <w:ilvl w:val="0"/>
                <w:numId w:val="10"/>
              </w:numPr>
              <w:spacing w:before="120" w:after="120"/>
              <w:ind w:left="1080" w:hanging="630"/>
              <w:rPr>
                <w:rFonts w:eastAsia="Calibri" w:cs="Arial"/>
                <w:lang w:eastAsia="fr-FR"/>
              </w:rPr>
            </w:pPr>
            <w:r w:rsidRPr="002C27FF">
              <w:rPr>
                <w:rFonts w:eastAsia="Calibri" w:cs="Arial"/>
                <w:lang w:val="fr-CH" w:eastAsia="fr-FR"/>
              </w:rPr>
              <w:t xml:space="preserve">d’expliquer que si une production excédentaire de semences de variétés protégées pouvait être échangée et/ou vendue sans étiquetage officiel ou sans la marque du titulaire du droit, cela </w:t>
            </w:r>
            <w:r w:rsidRPr="002C27FF">
              <w:rPr>
                <w:rFonts w:eastAsia="Calibri"/>
                <w:szCs w:val="22"/>
                <w:lang w:eastAsia="fr-FR"/>
              </w:rPr>
              <w:t xml:space="preserve">reviendrait, dans les faits, à permettre le </w:t>
            </w:r>
            <w:r w:rsidRPr="002C27FF">
              <w:rPr>
                <w:rFonts w:cs="Arial"/>
                <w:lang w:val="fr-CH"/>
              </w:rPr>
              <w:t xml:space="preserve">“brown bagging” et </w:t>
            </w:r>
            <w:r w:rsidRPr="002C27FF">
              <w:rPr>
                <w:rFonts w:eastAsia="Calibri"/>
                <w:szCs w:val="22"/>
                <w:lang w:eastAsia="fr-FR"/>
              </w:rPr>
              <w:t>la vente illégale de semences;</w:t>
            </w:r>
          </w:p>
          <w:p w:rsidR="004469E6" w:rsidRPr="004469E6" w:rsidRDefault="004469E6" w:rsidP="004469E6">
            <w:pPr>
              <w:numPr>
                <w:ilvl w:val="0"/>
                <w:numId w:val="10"/>
              </w:numPr>
              <w:spacing w:before="120" w:after="120"/>
              <w:ind w:left="1080" w:hanging="630"/>
              <w:rPr>
                <w:rFonts w:eastAsia="Calibri" w:cs="Arial"/>
                <w:lang w:eastAsia="fr-FR"/>
              </w:rPr>
            </w:pPr>
            <w:r w:rsidRPr="004469E6">
              <w:rPr>
                <w:rFonts w:eastAsia="Calibri"/>
                <w:szCs w:val="22"/>
                <w:lang w:eastAsia="fr-FR"/>
              </w:rPr>
              <w:t>d</w:t>
            </w:r>
            <w:r w:rsidR="00A11EFB">
              <w:rPr>
                <w:rFonts w:eastAsia="Calibri"/>
                <w:szCs w:val="22"/>
                <w:lang w:eastAsia="fr-FR"/>
              </w:rPr>
              <w:t>’</w:t>
            </w:r>
            <w:r w:rsidRPr="004469E6">
              <w:rPr>
                <w:rFonts w:eastAsia="Calibri"/>
                <w:szCs w:val="22"/>
                <w:lang w:eastAsia="fr-FR"/>
              </w:rPr>
              <w:t xml:space="preserve">expliquer comment [fournir]/[donner accès à] des variétés améliorées aux agriculteurs, </w:t>
            </w:r>
            <w:r w:rsidR="00A11EFB">
              <w:rPr>
                <w:rFonts w:eastAsia="Calibri"/>
                <w:szCs w:val="22"/>
                <w:lang w:eastAsia="fr-FR"/>
              </w:rPr>
              <w:t>y compris</w:t>
            </w:r>
            <w:r w:rsidRPr="004469E6">
              <w:rPr>
                <w:rFonts w:eastAsia="Calibri"/>
                <w:szCs w:val="22"/>
                <w:lang w:eastAsia="fr-FR"/>
              </w:rPr>
              <w:t xml:space="preserve"> aux petits exploitants agricoles, lorsqu</w:t>
            </w:r>
            <w:r w:rsidR="00A11EFB">
              <w:rPr>
                <w:rFonts w:eastAsia="Calibri"/>
                <w:szCs w:val="22"/>
                <w:lang w:eastAsia="fr-FR"/>
              </w:rPr>
              <w:t>’</w:t>
            </w:r>
            <w:r w:rsidRPr="004469E6">
              <w:rPr>
                <w:rFonts w:eastAsia="Calibri"/>
                <w:szCs w:val="22"/>
                <w:lang w:eastAsia="fr-FR"/>
              </w:rPr>
              <w:t>elles tombent dans le domaine public après leur période de protection;</w:t>
            </w:r>
          </w:p>
          <w:p w:rsidR="004469E6" w:rsidRPr="004469E6" w:rsidRDefault="004469E6" w:rsidP="004469E6">
            <w:pPr>
              <w:numPr>
                <w:ilvl w:val="0"/>
                <w:numId w:val="10"/>
              </w:numPr>
              <w:spacing w:before="120" w:after="120"/>
              <w:ind w:left="1080" w:hanging="630"/>
              <w:rPr>
                <w:rFonts w:eastAsia="Calibri" w:cs="Arial"/>
                <w:lang w:eastAsia="fr-FR"/>
              </w:rPr>
            </w:pPr>
            <w:r w:rsidRPr="004469E6">
              <w:rPr>
                <w:rFonts w:eastAsia="Calibri"/>
                <w:szCs w:val="22"/>
                <w:lang w:eastAsia="fr-FR"/>
              </w:rPr>
              <w:t>d</w:t>
            </w:r>
            <w:r w:rsidR="00A11EFB">
              <w:rPr>
                <w:rFonts w:eastAsia="Calibri"/>
                <w:szCs w:val="22"/>
                <w:lang w:eastAsia="fr-FR"/>
              </w:rPr>
              <w:t>’</w:t>
            </w:r>
            <w:r w:rsidRPr="004469E6">
              <w:rPr>
                <w:rFonts w:eastAsia="Calibri"/>
                <w:szCs w:val="22"/>
                <w:lang w:eastAsia="fr-FR"/>
              </w:rPr>
              <w:t>expliquer comment améliorer la situation des agriculteurs de subsistance dans les domaines relevant du mandat de l</w:t>
            </w:r>
            <w:r w:rsidR="00A11EFB">
              <w:rPr>
                <w:rFonts w:eastAsia="Calibri"/>
                <w:szCs w:val="22"/>
                <w:lang w:eastAsia="fr-FR"/>
              </w:rPr>
              <w:t>’</w:t>
            </w:r>
            <w:r w:rsidRPr="004469E6">
              <w:rPr>
                <w:rFonts w:eastAsia="Calibri"/>
                <w:szCs w:val="22"/>
                <w:lang w:eastAsia="fr-FR"/>
              </w:rPr>
              <w:t>UPOV, tout en évitant de répéter les travaux d</w:t>
            </w:r>
            <w:r w:rsidR="00A11EFB">
              <w:rPr>
                <w:rFonts w:eastAsia="Calibri"/>
                <w:szCs w:val="22"/>
                <w:lang w:eastAsia="fr-FR"/>
              </w:rPr>
              <w:t>’</w:t>
            </w:r>
            <w:r w:rsidRPr="004469E6">
              <w:rPr>
                <w:rFonts w:eastAsia="Calibri"/>
                <w:szCs w:val="22"/>
                <w:lang w:eastAsia="fr-FR"/>
              </w:rPr>
              <w:t>autres organismes internationaux, tels que l</w:t>
            </w:r>
            <w:r w:rsidR="00A11EFB">
              <w:rPr>
                <w:rFonts w:eastAsia="Calibri"/>
                <w:szCs w:val="22"/>
                <w:lang w:eastAsia="fr-FR"/>
              </w:rPr>
              <w:t>’</w:t>
            </w:r>
            <w:r w:rsidRPr="004469E6">
              <w:rPr>
                <w:rFonts w:eastAsia="Calibri"/>
                <w:szCs w:val="22"/>
                <w:lang w:eastAsia="fr-FR"/>
              </w:rPr>
              <w:t xml:space="preserve">Organisation des </w:t>
            </w:r>
            <w:r w:rsidR="00A11EFB">
              <w:rPr>
                <w:rFonts w:eastAsia="Calibri"/>
                <w:szCs w:val="22"/>
                <w:lang w:eastAsia="fr-FR"/>
              </w:rPr>
              <w:t>Nations Unies</w:t>
            </w:r>
            <w:r w:rsidRPr="004469E6">
              <w:rPr>
                <w:rFonts w:eastAsia="Calibri"/>
                <w:szCs w:val="22"/>
                <w:lang w:eastAsia="fr-FR"/>
              </w:rPr>
              <w:t xml:space="preserve"> pour l</w:t>
            </w:r>
            <w:r w:rsidR="00A11EFB">
              <w:rPr>
                <w:rFonts w:eastAsia="Calibri"/>
                <w:szCs w:val="22"/>
                <w:lang w:eastAsia="fr-FR"/>
              </w:rPr>
              <w:t>’</w:t>
            </w:r>
            <w:r w:rsidRPr="004469E6">
              <w:rPr>
                <w:rFonts w:eastAsia="Calibri"/>
                <w:szCs w:val="22"/>
                <w:lang w:eastAsia="fr-FR"/>
              </w:rPr>
              <w:t>alimentation et l</w:t>
            </w:r>
            <w:r w:rsidR="00A11EFB">
              <w:rPr>
                <w:rFonts w:eastAsia="Calibri"/>
                <w:szCs w:val="22"/>
                <w:lang w:eastAsia="fr-FR"/>
              </w:rPr>
              <w:t>’</w:t>
            </w:r>
            <w:r w:rsidRPr="004469E6">
              <w:rPr>
                <w:rFonts w:eastAsia="Calibri"/>
                <w:szCs w:val="22"/>
                <w:lang w:eastAsia="fr-FR"/>
              </w:rPr>
              <w:t>agriculture</w:t>
            </w:r>
            <w:r w:rsidR="0004023C">
              <w:rPr>
                <w:rFonts w:eastAsia="Calibri"/>
                <w:szCs w:val="22"/>
                <w:lang w:eastAsia="fr-FR"/>
              </w:rPr>
              <w:t> </w:t>
            </w:r>
            <w:r w:rsidRPr="004469E6">
              <w:rPr>
                <w:rFonts w:eastAsia="Calibri"/>
                <w:szCs w:val="22"/>
                <w:lang w:eastAsia="fr-FR"/>
              </w:rPr>
              <w:t>(FAO) et le Traité international sur les ressources phytogénétiques pour l</w:t>
            </w:r>
            <w:r w:rsidR="00A11EFB">
              <w:rPr>
                <w:rFonts w:eastAsia="Calibri"/>
                <w:szCs w:val="22"/>
                <w:lang w:eastAsia="fr-FR"/>
              </w:rPr>
              <w:t>’</w:t>
            </w:r>
            <w:r w:rsidRPr="004469E6">
              <w:rPr>
                <w:rFonts w:eastAsia="Calibri"/>
                <w:szCs w:val="22"/>
                <w:lang w:eastAsia="fr-FR"/>
              </w:rPr>
              <w:t>alimentation et l</w:t>
            </w:r>
            <w:r w:rsidR="00A11EFB">
              <w:rPr>
                <w:rFonts w:eastAsia="Calibri"/>
                <w:szCs w:val="22"/>
                <w:lang w:eastAsia="fr-FR"/>
              </w:rPr>
              <w:t>’</w:t>
            </w:r>
            <w:r w:rsidRPr="004469E6">
              <w:rPr>
                <w:rFonts w:eastAsia="Calibri"/>
                <w:szCs w:val="22"/>
                <w:lang w:eastAsia="fr-FR"/>
              </w:rPr>
              <w:t>agriculture</w:t>
            </w:r>
            <w:r w:rsidR="0004023C">
              <w:rPr>
                <w:rFonts w:eastAsia="Calibri"/>
                <w:szCs w:val="22"/>
                <w:lang w:eastAsia="fr-FR"/>
              </w:rPr>
              <w:t> </w:t>
            </w:r>
            <w:r w:rsidRPr="004469E6">
              <w:rPr>
                <w:rFonts w:eastAsia="Calibri"/>
                <w:szCs w:val="22"/>
                <w:lang w:eastAsia="fr-FR"/>
              </w:rPr>
              <w:t>(TIRPAA);</w:t>
            </w:r>
          </w:p>
          <w:p w:rsidR="004469E6" w:rsidRPr="004469E6" w:rsidRDefault="004469E6" w:rsidP="004469E6">
            <w:pPr>
              <w:numPr>
                <w:ilvl w:val="0"/>
                <w:numId w:val="10"/>
              </w:numPr>
              <w:spacing w:before="120" w:after="120"/>
              <w:ind w:left="1080" w:hanging="630"/>
              <w:rPr>
                <w:rFonts w:eastAsia="Calibri" w:cs="Arial"/>
                <w:lang w:eastAsia="fr-FR"/>
              </w:rPr>
            </w:pPr>
            <w:r w:rsidRPr="004469E6">
              <w:rPr>
                <w:rFonts w:eastAsia="Calibri"/>
                <w:szCs w:val="22"/>
                <w:lang w:eastAsia="fr-FR"/>
              </w:rPr>
              <w:t>d</w:t>
            </w:r>
            <w:r w:rsidR="00A11EFB">
              <w:rPr>
                <w:rFonts w:eastAsia="Calibri"/>
                <w:szCs w:val="22"/>
                <w:lang w:eastAsia="fr-FR"/>
              </w:rPr>
              <w:t>’</w:t>
            </w:r>
            <w:r w:rsidRPr="004469E6">
              <w:rPr>
                <w:rFonts w:eastAsia="Calibri"/>
                <w:szCs w:val="22"/>
                <w:lang w:eastAsia="fr-FR"/>
              </w:rPr>
              <w:t>expliquer que l</w:t>
            </w:r>
            <w:r w:rsidR="00A11EFB">
              <w:rPr>
                <w:rFonts w:eastAsia="Calibri"/>
                <w:szCs w:val="22"/>
                <w:lang w:eastAsia="fr-FR"/>
              </w:rPr>
              <w:t>’</w:t>
            </w:r>
            <w:r w:rsidRPr="004469E6">
              <w:rPr>
                <w:rFonts w:eastAsia="Calibri"/>
                <w:szCs w:val="22"/>
                <w:lang w:eastAsia="fr-FR"/>
              </w:rPr>
              <w:t>enquête menée auprès des membres de l</w:t>
            </w:r>
            <w:r w:rsidR="00A11EFB">
              <w:rPr>
                <w:rFonts w:eastAsia="Calibri"/>
                <w:szCs w:val="22"/>
                <w:lang w:eastAsia="fr-FR"/>
              </w:rPr>
              <w:t>’</w:t>
            </w:r>
            <w:r w:rsidRPr="004469E6">
              <w:rPr>
                <w:rFonts w:eastAsia="Calibri"/>
                <w:szCs w:val="22"/>
                <w:lang w:eastAsia="fr-FR"/>
              </w:rPr>
              <w:t>UPOV a révélé qu</w:t>
            </w:r>
            <w:r w:rsidR="00A11EFB">
              <w:rPr>
                <w:rFonts w:eastAsia="Calibri"/>
                <w:szCs w:val="22"/>
                <w:lang w:eastAsia="fr-FR"/>
              </w:rPr>
              <w:t>’</w:t>
            </w:r>
            <w:r w:rsidRPr="004469E6">
              <w:rPr>
                <w:rFonts w:eastAsia="Calibri"/>
                <w:szCs w:val="22"/>
                <w:lang w:eastAsia="fr-FR"/>
              </w:rPr>
              <w:t>il n</w:t>
            </w:r>
            <w:r w:rsidR="00A11EFB">
              <w:rPr>
                <w:rFonts w:eastAsia="Calibri"/>
                <w:szCs w:val="22"/>
                <w:lang w:eastAsia="fr-FR"/>
              </w:rPr>
              <w:t>’</w:t>
            </w:r>
            <w:r w:rsidRPr="004469E6">
              <w:rPr>
                <w:rFonts w:eastAsia="Calibri"/>
                <w:szCs w:val="22"/>
                <w:lang w:eastAsia="fr-FR"/>
              </w:rPr>
              <w:t>existe aucun exemple d</w:t>
            </w:r>
            <w:r w:rsidR="00A11EFB">
              <w:rPr>
                <w:rFonts w:eastAsia="Calibri"/>
                <w:szCs w:val="22"/>
                <w:lang w:eastAsia="fr-FR"/>
              </w:rPr>
              <w:t>’</w:t>
            </w:r>
            <w:r w:rsidRPr="004469E6">
              <w:rPr>
                <w:rFonts w:eastAsia="Calibri"/>
                <w:szCs w:val="22"/>
                <w:lang w:eastAsia="fr-FR"/>
              </w:rPr>
              <w:t>action en justice contre de petits exploitants agricoles pour atteinte aux droits d</w:t>
            </w:r>
            <w:r w:rsidR="00A11EFB">
              <w:rPr>
                <w:rFonts w:eastAsia="Calibri"/>
                <w:szCs w:val="22"/>
                <w:lang w:eastAsia="fr-FR"/>
              </w:rPr>
              <w:t>’</w:t>
            </w:r>
            <w:r w:rsidRPr="004469E6">
              <w:rPr>
                <w:rFonts w:eastAsia="Calibri"/>
                <w:szCs w:val="22"/>
                <w:lang w:eastAsia="fr-FR"/>
              </w:rPr>
              <w:t>obtenteur au sein des membres de l</w:t>
            </w:r>
            <w:r w:rsidR="00A11EFB">
              <w:rPr>
                <w:rFonts w:eastAsia="Calibri"/>
                <w:szCs w:val="22"/>
                <w:lang w:eastAsia="fr-FR"/>
              </w:rPr>
              <w:t>’</w:t>
            </w:r>
            <w:r w:rsidRPr="004469E6">
              <w:rPr>
                <w:rFonts w:eastAsia="Calibri"/>
                <w:szCs w:val="22"/>
                <w:lang w:eastAsia="fr-FR"/>
              </w:rPr>
              <w:t>UPOV;</w:t>
            </w:r>
          </w:p>
          <w:p w:rsidR="004469E6" w:rsidRPr="004469E6" w:rsidRDefault="004469E6" w:rsidP="004469E6">
            <w:pPr>
              <w:numPr>
                <w:ilvl w:val="0"/>
                <w:numId w:val="10"/>
              </w:numPr>
              <w:spacing w:before="120" w:after="120"/>
              <w:ind w:left="1080" w:hanging="630"/>
              <w:rPr>
                <w:rFonts w:eastAsia="Calibri" w:cs="Arial"/>
                <w:lang w:eastAsia="fr-FR"/>
              </w:rPr>
            </w:pPr>
            <w:r w:rsidRPr="004469E6">
              <w:rPr>
                <w:rFonts w:eastAsia="Calibri"/>
                <w:szCs w:val="22"/>
                <w:lang w:eastAsia="fr-FR"/>
              </w:rPr>
              <w:t>d</w:t>
            </w:r>
            <w:r w:rsidR="00A11EFB">
              <w:rPr>
                <w:rFonts w:eastAsia="Calibri"/>
                <w:szCs w:val="22"/>
                <w:lang w:eastAsia="fr-FR"/>
              </w:rPr>
              <w:t>’</w:t>
            </w:r>
            <w:r w:rsidRPr="004469E6">
              <w:rPr>
                <w:rFonts w:eastAsia="Calibri"/>
                <w:szCs w:val="22"/>
                <w:lang w:eastAsia="fr-FR"/>
              </w:rPr>
              <w:t>expliquer qu</w:t>
            </w:r>
            <w:r w:rsidR="00A11EFB">
              <w:rPr>
                <w:rFonts w:eastAsia="Calibri"/>
                <w:szCs w:val="22"/>
                <w:lang w:eastAsia="fr-FR"/>
              </w:rPr>
              <w:t>’</w:t>
            </w:r>
            <w:r w:rsidRPr="004469E6">
              <w:rPr>
                <w:rFonts w:eastAsia="Calibri"/>
                <w:szCs w:val="22"/>
                <w:lang w:eastAsia="fr-FR"/>
              </w:rPr>
              <w:t>il serait problématique de définir le terme “petit exploitant agricole”;</w:t>
            </w:r>
          </w:p>
          <w:p w:rsidR="004469E6" w:rsidRPr="004469E6" w:rsidRDefault="004469E6" w:rsidP="004469E6">
            <w:pPr>
              <w:numPr>
                <w:ilvl w:val="0"/>
                <w:numId w:val="10"/>
              </w:numPr>
              <w:spacing w:before="120" w:after="120"/>
              <w:ind w:left="1080" w:hanging="630"/>
              <w:rPr>
                <w:rFonts w:eastAsia="Calibri" w:cs="Arial"/>
                <w:lang w:eastAsia="fr-FR"/>
              </w:rPr>
            </w:pPr>
            <w:r w:rsidRPr="004469E6">
              <w:rPr>
                <w:rFonts w:eastAsia="Calibri"/>
                <w:szCs w:val="22"/>
                <w:lang w:eastAsia="fr-FR"/>
              </w:rPr>
              <w:t>d</w:t>
            </w:r>
            <w:r w:rsidR="00A11EFB">
              <w:rPr>
                <w:rFonts w:eastAsia="Calibri"/>
                <w:szCs w:val="22"/>
                <w:lang w:eastAsia="fr-FR"/>
              </w:rPr>
              <w:t>’</w:t>
            </w:r>
            <w:r w:rsidRPr="004469E6">
              <w:rPr>
                <w:rFonts w:eastAsia="Calibri"/>
                <w:szCs w:val="22"/>
                <w:lang w:eastAsia="fr-FR"/>
              </w:rPr>
              <w:t>expliquer que tous les agriculteurs doivent avoir accès à de bonnes semences et qu</w:t>
            </w:r>
            <w:r w:rsidR="00A11EFB">
              <w:rPr>
                <w:rFonts w:eastAsia="Calibri"/>
                <w:szCs w:val="22"/>
                <w:lang w:eastAsia="fr-FR"/>
              </w:rPr>
              <w:t>’</w:t>
            </w:r>
            <w:r w:rsidRPr="004469E6">
              <w:rPr>
                <w:rFonts w:eastAsia="Calibri"/>
                <w:szCs w:val="22"/>
                <w:lang w:eastAsia="fr-FR"/>
              </w:rPr>
              <w:t>il est important d</w:t>
            </w:r>
            <w:r w:rsidR="00A11EFB">
              <w:rPr>
                <w:rFonts w:eastAsia="Calibri"/>
                <w:szCs w:val="22"/>
                <w:lang w:eastAsia="fr-FR"/>
              </w:rPr>
              <w:t>’</w:t>
            </w:r>
            <w:r w:rsidRPr="004469E6">
              <w:rPr>
                <w:rFonts w:eastAsia="Calibri"/>
                <w:szCs w:val="22"/>
                <w:lang w:eastAsia="fr-FR"/>
              </w:rPr>
              <w:t>améliorer les moyens de subsistance des agriculteurs du monde entier et de faciliter l</w:t>
            </w:r>
            <w:r w:rsidR="00A11EFB">
              <w:rPr>
                <w:rFonts w:eastAsia="Calibri"/>
                <w:szCs w:val="22"/>
                <w:lang w:eastAsia="fr-FR"/>
              </w:rPr>
              <w:t>’</w:t>
            </w:r>
            <w:r w:rsidRPr="004469E6">
              <w:rPr>
                <w:rFonts w:eastAsia="Calibri"/>
                <w:szCs w:val="22"/>
                <w:lang w:eastAsia="fr-FR"/>
              </w:rPr>
              <w:t xml:space="preserve">accès des petits exploitants agricoles à des semences de qualité; </w:t>
            </w:r>
            <w:r w:rsidR="00384F35">
              <w:rPr>
                <w:rFonts w:eastAsia="Calibri"/>
                <w:szCs w:val="22"/>
                <w:lang w:eastAsia="fr-FR"/>
              </w:rPr>
              <w:t xml:space="preserve"> </w:t>
            </w:r>
            <w:r w:rsidRPr="004469E6">
              <w:rPr>
                <w:rFonts w:eastAsia="Calibri"/>
                <w:szCs w:val="22"/>
                <w:lang w:eastAsia="fr-FR"/>
              </w:rPr>
              <w:t>et</w:t>
            </w:r>
          </w:p>
          <w:p w:rsidR="004469E6" w:rsidRPr="004469E6" w:rsidRDefault="004469E6" w:rsidP="004469E6">
            <w:pPr>
              <w:numPr>
                <w:ilvl w:val="0"/>
                <w:numId w:val="10"/>
              </w:numPr>
              <w:spacing w:before="120" w:after="120"/>
              <w:ind w:left="1080" w:hanging="630"/>
              <w:rPr>
                <w:rFonts w:eastAsia="Calibri" w:cs="Arial"/>
                <w:lang w:eastAsia="fr-FR"/>
              </w:rPr>
            </w:pPr>
            <w:r w:rsidRPr="004469E6">
              <w:rPr>
                <w:rFonts w:eastAsia="Calibri"/>
                <w:szCs w:val="22"/>
                <w:lang w:eastAsia="fr-FR"/>
              </w:rPr>
              <w:t>d</w:t>
            </w:r>
            <w:r w:rsidR="00A11EFB">
              <w:rPr>
                <w:rFonts w:eastAsia="Calibri"/>
                <w:szCs w:val="22"/>
                <w:lang w:eastAsia="fr-FR"/>
              </w:rPr>
              <w:t>’</w:t>
            </w:r>
            <w:r w:rsidRPr="004469E6">
              <w:rPr>
                <w:rFonts w:eastAsia="Calibri"/>
                <w:szCs w:val="22"/>
                <w:lang w:eastAsia="fr-FR"/>
              </w:rPr>
              <w:t>expliquer comment le système de protection des obtentions végétales pourrait fournir une aide concernant l</w:t>
            </w:r>
            <w:r w:rsidR="00A11EFB">
              <w:rPr>
                <w:rFonts w:eastAsia="Calibri"/>
                <w:szCs w:val="22"/>
                <w:lang w:eastAsia="fr-FR"/>
              </w:rPr>
              <w:t>’</w:t>
            </w:r>
            <w:r w:rsidRPr="004469E6">
              <w:rPr>
                <w:rFonts w:eastAsia="Calibri"/>
                <w:szCs w:val="22"/>
                <w:lang w:eastAsia="fr-FR"/>
              </w:rPr>
              <w:t>accès aux variétés protégées et le choix de celles</w:t>
            </w:r>
            <w:r w:rsidR="00E22FCB">
              <w:rPr>
                <w:rFonts w:eastAsia="Calibri"/>
                <w:szCs w:val="22"/>
                <w:lang w:eastAsia="fr-FR"/>
              </w:rPr>
              <w:noBreakHyphen/>
            </w:r>
            <w:r w:rsidRPr="004469E6">
              <w:rPr>
                <w:rFonts w:eastAsia="Calibri"/>
                <w:szCs w:val="22"/>
                <w:lang w:eastAsia="fr-FR"/>
              </w:rPr>
              <w:t>ci pour tous les types d</w:t>
            </w:r>
            <w:r w:rsidR="00A11EFB">
              <w:rPr>
                <w:rFonts w:eastAsia="Calibri"/>
                <w:szCs w:val="22"/>
                <w:lang w:eastAsia="fr-FR"/>
              </w:rPr>
              <w:t>’</w:t>
            </w:r>
            <w:r w:rsidRPr="004469E6">
              <w:rPr>
                <w:rFonts w:eastAsia="Calibri"/>
                <w:szCs w:val="22"/>
                <w:lang w:eastAsia="fr-FR"/>
              </w:rPr>
              <w:t xml:space="preserve">agriculteurs, </w:t>
            </w:r>
            <w:r w:rsidR="00A11EFB">
              <w:rPr>
                <w:rFonts w:eastAsia="Calibri"/>
                <w:szCs w:val="22"/>
                <w:lang w:eastAsia="fr-FR"/>
              </w:rPr>
              <w:t>y compris</w:t>
            </w:r>
            <w:r w:rsidRPr="004469E6">
              <w:rPr>
                <w:rFonts w:eastAsia="Calibri"/>
                <w:szCs w:val="22"/>
                <w:lang w:eastAsia="fr-FR"/>
              </w:rPr>
              <w:t xml:space="preserve"> les petits exploitants agricoles.  </w:t>
            </w:r>
          </w:p>
        </w:tc>
      </w:tr>
    </w:tbl>
    <w:p w:rsidR="004469E6" w:rsidRPr="005760AB" w:rsidRDefault="004469E6" w:rsidP="004469E6">
      <w:pPr>
        <w:rPr>
          <w:snapToGrid w:val="0"/>
          <w:color w:val="000000" w:themeColor="text1"/>
          <w:sz w:val="18"/>
        </w:rPr>
      </w:pPr>
    </w:p>
    <w:p w:rsidR="00080B61" w:rsidRDefault="004469E6" w:rsidP="00080B61">
      <w:pPr>
        <w:ind w:left="5670"/>
        <w:rPr>
          <w:i/>
        </w:rPr>
      </w:pPr>
      <w:r w:rsidRPr="004469E6">
        <w:rPr>
          <w:i/>
        </w:rPr>
        <w:fldChar w:fldCharType="begin"/>
      </w:r>
      <w:r w:rsidRPr="004469E6">
        <w:rPr>
          <w:i/>
        </w:rPr>
        <w:instrText xml:space="preserve"> AUTONUM  </w:instrText>
      </w:r>
      <w:r w:rsidRPr="004469E6">
        <w:rPr>
          <w:i/>
        </w:rPr>
        <w:fldChar w:fldCharType="end"/>
      </w:r>
      <w:r w:rsidRPr="004469E6">
        <w:rPr>
          <w:i/>
        </w:rPr>
        <w:tab/>
      </w:r>
      <w:r w:rsidR="0092755F">
        <w:rPr>
          <w:i/>
        </w:rPr>
        <w:t>Le WG</w:t>
      </w:r>
      <w:r w:rsidR="00E22FCB">
        <w:rPr>
          <w:i/>
        </w:rPr>
        <w:noBreakHyphen/>
      </w:r>
      <w:r w:rsidR="0092755F">
        <w:rPr>
          <w:i/>
        </w:rPr>
        <w:t>SHF</w:t>
      </w:r>
      <w:r w:rsidRPr="004469E6">
        <w:rPr>
          <w:i/>
        </w:rPr>
        <w:t xml:space="preserve"> est invité à examiner les options envisageables présentées dans ce document, sur la base des débats qui ont eu lieu lors des première et</w:t>
      </w:r>
      <w:r w:rsidR="0004023C">
        <w:rPr>
          <w:i/>
        </w:rPr>
        <w:t> </w:t>
      </w:r>
      <w:r w:rsidRPr="004469E6">
        <w:rPr>
          <w:i/>
        </w:rPr>
        <w:t>deuxième</w:t>
      </w:r>
      <w:r w:rsidR="0004023C">
        <w:rPr>
          <w:i/>
        </w:rPr>
        <w:t> </w:t>
      </w:r>
      <w:r w:rsidRPr="004469E6">
        <w:rPr>
          <w:i/>
        </w:rPr>
        <w:t>réunions, en ce qui concerne les prochaines étapes pour fournir les orientations demandées conformément à son mandat.</w:t>
      </w:r>
    </w:p>
    <w:p w:rsidR="00080B61" w:rsidRDefault="00080B61" w:rsidP="00080B61">
      <w:pPr>
        <w:ind w:left="5670"/>
        <w:rPr>
          <w:i/>
        </w:rPr>
      </w:pPr>
    </w:p>
    <w:p w:rsidR="004469E6" w:rsidRPr="004469E6" w:rsidRDefault="00080B61" w:rsidP="00080B61">
      <w:pPr>
        <w:ind w:left="7371" w:firstLine="567"/>
      </w:pPr>
      <w:r w:rsidRPr="004469E6">
        <w:t xml:space="preserve"> </w:t>
      </w:r>
      <w:r w:rsidR="004469E6" w:rsidRPr="004469E6">
        <w:t>[L</w:t>
      </w:r>
      <w:r w:rsidR="00A11EFB">
        <w:t>’</w:t>
      </w:r>
      <w:r w:rsidR="004469E6" w:rsidRPr="004469E6">
        <w:t>annexe suit]</w:t>
      </w:r>
    </w:p>
    <w:p w:rsidR="004469E6" w:rsidRPr="004469E6" w:rsidRDefault="004469E6" w:rsidP="004469E6">
      <w:pPr>
        <w:jc w:val="left"/>
        <w:sectPr w:rsidR="004469E6" w:rsidRPr="004469E6" w:rsidSect="005760AB">
          <w:headerReference w:type="even" r:id="rId13"/>
          <w:headerReference w:type="default" r:id="rId14"/>
          <w:footerReference w:type="even" r:id="rId15"/>
          <w:footerReference w:type="first" r:id="rId16"/>
          <w:pgSz w:w="11907" w:h="16840" w:code="9"/>
          <w:pgMar w:top="510" w:right="1134" w:bottom="1134" w:left="1134" w:header="510" w:footer="498" w:gutter="0"/>
          <w:pgNumType w:start="1"/>
          <w:cols w:space="720"/>
          <w:titlePg/>
          <w:docGrid w:linePitch="272"/>
        </w:sectPr>
      </w:pPr>
    </w:p>
    <w:p w:rsidR="004469E6" w:rsidRPr="0004023C" w:rsidRDefault="0004023C" w:rsidP="0004023C">
      <w:pPr>
        <w:spacing w:after="480"/>
        <w:jc w:val="center"/>
        <w:rPr>
          <w:rFonts w:cs="Arial"/>
          <w:caps/>
        </w:rPr>
      </w:pPr>
      <w:r w:rsidRPr="0004023C">
        <w:rPr>
          <w:caps/>
        </w:rPr>
        <w:lastRenderedPageBreak/>
        <w:t>Mandat et composition du groupe de travail sur</w:t>
      </w:r>
      <w:r w:rsidRPr="0004023C">
        <w:rPr>
          <w:caps/>
        </w:rPr>
        <w:br/>
        <w:t>les orientations concernant les petits exploitants agricoles</w:t>
      </w:r>
      <w:r w:rsidRPr="0004023C">
        <w:rPr>
          <w:caps/>
        </w:rPr>
        <w:br/>
        <w:t>en lien avec l</w:t>
      </w:r>
      <w:r w:rsidR="00A11EFB" w:rsidRPr="0004023C">
        <w:rPr>
          <w:caps/>
        </w:rPr>
        <w:t>’</w:t>
      </w:r>
      <w:r w:rsidRPr="0004023C">
        <w:rPr>
          <w:caps/>
        </w:rPr>
        <w:t>utilisation à des fins privées et non commerciales</w:t>
      </w:r>
      <w:r>
        <w:rPr>
          <w:caps/>
        </w:rPr>
        <w:t xml:space="preserve"> </w:t>
      </w:r>
      <w:r w:rsidRPr="0004023C">
        <w:rPr>
          <w:caps/>
        </w:rPr>
        <w:t>(WG</w:t>
      </w:r>
      <w:r w:rsidR="00E22FCB" w:rsidRPr="0004023C">
        <w:rPr>
          <w:caps/>
        </w:rPr>
        <w:noBreakHyphen/>
      </w:r>
      <w:r w:rsidRPr="0004023C">
        <w:rPr>
          <w:caps/>
        </w:rPr>
        <w:t>SHF)</w:t>
      </w:r>
    </w:p>
    <w:p w:rsidR="004469E6" w:rsidRPr="004469E6" w:rsidRDefault="004469E6" w:rsidP="0004023C">
      <w:pPr>
        <w:spacing w:after="160"/>
        <w:rPr>
          <w:snapToGrid w:val="0"/>
          <w:spacing w:val="-2"/>
        </w:rPr>
      </w:pPr>
      <w:r w:rsidRPr="004469E6">
        <w:t>À sa quatre</w:t>
      </w:r>
      <w:r w:rsidR="00E22FCB">
        <w:noBreakHyphen/>
      </w:r>
      <w:r w:rsidRPr="004469E6">
        <w:t>vingt</w:t>
      </w:r>
      <w:r w:rsidR="00E22FCB">
        <w:noBreakHyphen/>
      </w:r>
      <w:r w:rsidRPr="004469E6">
        <w:t>dix</w:t>
      </w:r>
      <w:r w:rsidR="00E22FCB">
        <w:noBreakHyphen/>
      </w:r>
      <w:r w:rsidRPr="004469E6">
        <w:t>huit</w:t>
      </w:r>
      <w:r w:rsidR="00A11EFB">
        <w:t>ième session</w:t>
      </w:r>
      <w:r w:rsidRPr="004469E6">
        <w:t xml:space="preserve"> tenue par voie électronique le</w:t>
      </w:r>
      <w:r w:rsidR="0004023C">
        <w:t> </w:t>
      </w:r>
      <w:r w:rsidRPr="004469E6">
        <w:t>2</w:t>
      </w:r>
      <w:r w:rsidR="00A11EFB" w:rsidRPr="004469E6">
        <w:t>8</w:t>
      </w:r>
      <w:r w:rsidR="00A11EFB">
        <w:t> </w:t>
      </w:r>
      <w:r w:rsidR="00A11EFB" w:rsidRPr="004469E6">
        <w:t>octobre</w:t>
      </w:r>
      <w:r w:rsidR="00A11EFB">
        <w:t> </w:t>
      </w:r>
      <w:r w:rsidR="00A11EFB" w:rsidRPr="004469E6">
        <w:t>20</w:t>
      </w:r>
      <w:r w:rsidRPr="004469E6">
        <w:t>21, le Comité consultatif a décidé de créer un groupe de travail chargé d</w:t>
      </w:r>
      <w:r w:rsidR="00A11EFB">
        <w:t>’</w:t>
      </w:r>
      <w:r w:rsidRPr="004469E6">
        <w:t>élaborer des orientations concernant les petits exploitants agricoles en lien avec l</w:t>
      </w:r>
      <w:r w:rsidR="00A11EFB">
        <w:t>’</w:t>
      </w:r>
      <w:r w:rsidRPr="004469E6">
        <w:t>utilisation à des fins privées et non commerciales</w:t>
      </w:r>
      <w:r w:rsidR="0004023C">
        <w:t> </w:t>
      </w:r>
      <w:r w:rsidRPr="004469E6">
        <w:t>(WG</w:t>
      </w:r>
      <w:r w:rsidR="00E22FCB">
        <w:noBreakHyphen/>
      </w:r>
      <w:r w:rsidRPr="004469E6">
        <w:t xml:space="preserve">SHF) et </w:t>
      </w:r>
      <w:r w:rsidR="0004023C">
        <w:t>il est convenu que le mandat du </w:t>
      </w:r>
      <w:r w:rsidRPr="004469E6">
        <w:t>WG</w:t>
      </w:r>
      <w:r w:rsidR="00E22FCB">
        <w:noBreakHyphen/>
      </w:r>
      <w:r w:rsidRPr="004469E6">
        <w:t>SHF soit approuvé par le Comité consultatif par correspondance (voir le paragraphe 19 du document</w:t>
      </w:r>
      <w:r w:rsidR="009E0B81">
        <w:t> </w:t>
      </w:r>
      <w:hyperlink r:id="rId17" w:history="1">
        <w:r w:rsidRPr="004469E6">
          <w:rPr>
            <w:color w:val="0000FF"/>
            <w:u w:val="single"/>
          </w:rPr>
          <w:t>C/55/18</w:t>
        </w:r>
      </w:hyperlink>
      <w:r w:rsidRPr="004469E6">
        <w:t xml:space="preserve"> “Compte rendu”).  Le Comité consultatif</w:t>
      </w:r>
      <w:r w:rsidRPr="004469E6">
        <w:rPr>
          <w:color w:val="000000"/>
        </w:rPr>
        <w:t xml:space="preserve"> </w:t>
      </w:r>
      <w:r w:rsidRPr="004469E6">
        <w:t xml:space="preserve">a </w:t>
      </w:r>
      <w:r w:rsidRPr="004469E6">
        <w:rPr>
          <w:snapToGrid w:val="0"/>
        </w:rPr>
        <w:t xml:space="preserve">approuvé </w:t>
      </w:r>
      <w:r w:rsidRPr="004469E6">
        <w:t>par correspondance, le</w:t>
      </w:r>
      <w:r w:rsidR="0004023C">
        <w:t> </w:t>
      </w:r>
      <w:r w:rsidRPr="004469E6">
        <w:t>1</w:t>
      </w:r>
      <w:r w:rsidR="00A11EFB" w:rsidRPr="004469E6">
        <w:t>9</w:t>
      </w:r>
      <w:r w:rsidR="00A11EFB">
        <w:t> </w:t>
      </w:r>
      <w:r w:rsidR="00A11EFB" w:rsidRPr="004469E6">
        <w:t>décembre</w:t>
      </w:r>
      <w:r w:rsidR="00A11EFB">
        <w:t> </w:t>
      </w:r>
      <w:r w:rsidR="00A11EFB" w:rsidRPr="004469E6">
        <w:t>20</w:t>
      </w:r>
      <w:r w:rsidRPr="004469E6">
        <w:t xml:space="preserve">21, </w:t>
      </w:r>
      <w:r w:rsidRPr="004469E6">
        <w:rPr>
          <w:snapToGrid w:val="0"/>
        </w:rPr>
        <w:t>le mandat du</w:t>
      </w:r>
      <w:r w:rsidR="0004023C">
        <w:rPr>
          <w:snapToGrid w:val="0"/>
        </w:rPr>
        <w:t> </w:t>
      </w:r>
      <w:r w:rsidRPr="004469E6">
        <w:rPr>
          <w:snapToGrid w:val="0"/>
        </w:rPr>
        <w:t>WG</w:t>
      </w:r>
      <w:r w:rsidR="00E22FCB">
        <w:rPr>
          <w:snapToGrid w:val="0"/>
        </w:rPr>
        <w:noBreakHyphen/>
      </w:r>
      <w:r w:rsidRPr="004469E6">
        <w:rPr>
          <w:snapToGrid w:val="0"/>
        </w:rPr>
        <w:t xml:space="preserve">SHF </w:t>
      </w:r>
      <w:r w:rsidRPr="004469E6">
        <w:t>(voir ci</w:t>
      </w:r>
      <w:r w:rsidR="00E22FCB">
        <w:noBreakHyphen/>
      </w:r>
      <w:r w:rsidRPr="004469E6">
        <w:t>dessous le mandat).</w:t>
      </w:r>
    </w:p>
    <w:p w:rsidR="004469E6" w:rsidRPr="004469E6" w:rsidRDefault="004469E6" w:rsidP="0004023C">
      <w:pPr>
        <w:spacing w:after="480"/>
        <w:rPr>
          <w:rFonts w:cs="Arial"/>
        </w:rPr>
      </w:pPr>
      <w:r w:rsidRPr="004469E6">
        <w:t>À sa quatre</w:t>
      </w:r>
      <w:r w:rsidR="00E22FCB">
        <w:noBreakHyphen/>
      </w:r>
      <w:r w:rsidRPr="004469E6">
        <w:t>vingt</w:t>
      </w:r>
      <w:r w:rsidR="00E22FCB">
        <w:noBreakHyphen/>
      </w:r>
      <w:r w:rsidRPr="004469E6">
        <w:t>dix</w:t>
      </w:r>
      <w:r w:rsidR="00E22FCB">
        <w:noBreakHyphen/>
      </w:r>
      <w:r w:rsidRPr="004469E6">
        <w:t>huit</w:t>
      </w:r>
      <w:r w:rsidR="00A11EFB">
        <w:t>ième session</w:t>
      </w:r>
      <w:r w:rsidRPr="004469E6">
        <w:t xml:space="preserve">, le Comité consultatif est convenu que </w:t>
      </w:r>
      <w:r w:rsidR="0004023C">
        <w:t>l</w:t>
      </w:r>
      <w:r w:rsidR="0092755F">
        <w:t>e WG</w:t>
      </w:r>
      <w:r w:rsidR="00E22FCB">
        <w:noBreakHyphen/>
      </w:r>
      <w:r w:rsidR="0092755F">
        <w:t>SHF</w:t>
      </w:r>
      <w:r w:rsidRPr="004469E6">
        <w:t xml:space="preserve"> </w:t>
      </w:r>
      <w:r w:rsidR="009E0B81">
        <w:t>es</w:t>
      </w:r>
      <w:r w:rsidRPr="004469E6">
        <w:t>t composé des membres de l</w:t>
      </w:r>
      <w:r w:rsidR="00A11EFB">
        <w:t>’</w:t>
      </w:r>
      <w:r w:rsidRPr="004469E6">
        <w:t>Union et des observateurs auprès du Conseil qui répondent à une circulaire en exprimant leur intérêt à faire partie du groupe de travail (voir le paragraphe 19 du document</w:t>
      </w:r>
      <w:r w:rsidR="009E0B81">
        <w:t> </w:t>
      </w:r>
      <w:hyperlink r:id="rId18" w:history="1">
        <w:r w:rsidRPr="004469E6">
          <w:rPr>
            <w:color w:val="0000FF"/>
            <w:u w:val="single"/>
          </w:rPr>
          <w:t>C/55/18</w:t>
        </w:r>
      </w:hyperlink>
      <w:r w:rsidRPr="004469E6">
        <w:t xml:space="preserve"> “Compte rendu”).  La circulaire E</w:t>
      </w:r>
      <w:r w:rsidR="00E22FCB">
        <w:noBreakHyphen/>
      </w:r>
      <w:r w:rsidRPr="004469E6">
        <w:t>21/230 du</w:t>
      </w:r>
      <w:r w:rsidR="0004023C">
        <w:t> </w:t>
      </w:r>
      <w:r w:rsidRPr="004469E6">
        <w:t>19 novembre 2021 invitait les membres de l</w:t>
      </w:r>
      <w:r w:rsidR="00A11EFB">
        <w:t>’</w:t>
      </w:r>
      <w:r w:rsidRPr="004469E6">
        <w:t>Union et les observateurs auprès du Conseil à faire part de leur souhait d</w:t>
      </w:r>
      <w:r w:rsidR="00A11EFB">
        <w:t>’</w:t>
      </w:r>
      <w:r w:rsidRPr="004469E6">
        <w:t>être membres du WG</w:t>
      </w:r>
      <w:r w:rsidR="00E22FCB">
        <w:noBreakHyphen/>
      </w:r>
      <w:r w:rsidRPr="004469E6">
        <w:t>SHF avant le</w:t>
      </w:r>
      <w:r w:rsidR="0004023C">
        <w:t> </w:t>
      </w:r>
      <w:r w:rsidRPr="004469E6">
        <w:t>19 décembre 2021 (voir ci</w:t>
      </w:r>
      <w:r w:rsidR="00E22FCB">
        <w:noBreakHyphen/>
      </w:r>
      <w:r w:rsidRPr="004469E6">
        <w:t>dessous “Composition”).</w:t>
      </w:r>
    </w:p>
    <w:p w:rsidR="004469E6" w:rsidRPr="0004023C" w:rsidRDefault="0004023C" w:rsidP="0004023C">
      <w:pPr>
        <w:spacing w:after="480"/>
        <w:jc w:val="center"/>
        <w:rPr>
          <w:caps/>
          <w:u w:val="single"/>
        </w:rPr>
      </w:pPr>
      <w:r w:rsidRPr="0004023C">
        <w:rPr>
          <w:caps/>
          <w:u w:val="single"/>
        </w:rPr>
        <w:t>Mandat et composition du WG</w:t>
      </w:r>
      <w:r w:rsidR="00E22FCB" w:rsidRPr="0004023C">
        <w:rPr>
          <w:caps/>
          <w:u w:val="single"/>
        </w:rPr>
        <w:noBreakHyphen/>
      </w:r>
      <w:r w:rsidRPr="0004023C">
        <w:rPr>
          <w:caps/>
          <w:u w:val="single"/>
        </w:rPr>
        <w:t>SHF</w:t>
      </w:r>
    </w:p>
    <w:p w:rsidR="00A11EFB" w:rsidRDefault="0004023C" w:rsidP="0004023C">
      <w:pPr>
        <w:spacing w:after="160"/>
      </w:pPr>
      <w:r w:rsidRPr="0004023C">
        <w:rPr>
          <w:caps/>
        </w:rPr>
        <w:t>Objectif</w:t>
      </w:r>
      <w:r w:rsidR="00A11EFB">
        <w:t> :</w:t>
      </w:r>
    </w:p>
    <w:p w:rsidR="004469E6" w:rsidRPr="004469E6" w:rsidRDefault="0092755F" w:rsidP="0004023C">
      <w:pPr>
        <w:spacing w:after="480"/>
        <w:rPr>
          <w:rFonts w:cs="Arial"/>
          <w:szCs w:val="18"/>
        </w:rPr>
      </w:pPr>
      <w:r>
        <w:t>Le WG</w:t>
      </w:r>
      <w:r w:rsidR="00E22FCB">
        <w:noBreakHyphen/>
      </w:r>
      <w:r>
        <w:t>SHF</w:t>
      </w:r>
      <w:r w:rsidR="004469E6" w:rsidRPr="004469E6">
        <w:t xml:space="preserve"> a pour objectif d</w:t>
      </w:r>
      <w:r w:rsidR="00A11EFB">
        <w:t>’</w:t>
      </w:r>
      <w:r w:rsidR="004469E6" w:rsidRPr="004469E6">
        <w:t>élaborer des orientations concernant les petits exploitants agricoles en lien avec l</w:t>
      </w:r>
      <w:r w:rsidR="00A11EFB">
        <w:t>’</w:t>
      </w:r>
      <w:r w:rsidR="004469E6" w:rsidRPr="004469E6">
        <w:t>utilisation à des fins privées et non commerciales, qui serviraient de base à une révision des “Notes explicatives sur les exceptions au droit d</w:t>
      </w:r>
      <w:r w:rsidR="00A11EFB">
        <w:t>’</w:t>
      </w:r>
      <w:r w:rsidR="004469E6" w:rsidRPr="004469E6">
        <w:t>obtenteur selon l</w:t>
      </w:r>
      <w:r w:rsidR="00A11EFB">
        <w:t>’</w:t>
      </w:r>
      <w:r w:rsidR="004469E6" w:rsidRPr="004469E6">
        <w:t xml:space="preserve">Acte </w:t>
      </w:r>
      <w:r w:rsidR="00A11EFB" w:rsidRPr="004469E6">
        <w:t>de</w:t>
      </w:r>
      <w:r w:rsidR="00A11EFB">
        <w:t> </w:t>
      </w:r>
      <w:r w:rsidR="00A11EFB" w:rsidRPr="004469E6">
        <w:t>1991</w:t>
      </w:r>
      <w:r w:rsidR="004469E6" w:rsidRPr="004469E6">
        <w:t xml:space="preserve"> de la </w:t>
      </w:r>
      <w:r w:rsidR="00A11EFB">
        <w:t>Convention UPOV</w:t>
      </w:r>
      <w:r w:rsidR="004469E6" w:rsidRPr="004469E6">
        <w:t>” (document</w:t>
      </w:r>
      <w:r w:rsidR="0004023C">
        <w:t> </w:t>
      </w:r>
      <w:r w:rsidR="004469E6" w:rsidRPr="004469E6">
        <w:t>UPOV/EXN/EXC) et à une version révisée des questions</w:t>
      </w:r>
      <w:r w:rsidR="00E22FCB">
        <w:noBreakHyphen/>
      </w:r>
      <w:r w:rsidR="004469E6" w:rsidRPr="004469E6">
        <w:t>réponses sur les exceptions au droit d</w:t>
      </w:r>
      <w:r w:rsidR="00A11EFB">
        <w:t>’</w:t>
      </w:r>
      <w:r w:rsidR="004469E6" w:rsidRPr="004469E6">
        <w:t>obtenteur.</w:t>
      </w:r>
    </w:p>
    <w:p w:rsidR="004469E6" w:rsidRPr="004469E6" w:rsidRDefault="0004023C" w:rsidP="0004023C">
      <w:pPr>
        <w:spacing w:after="160"/>
        <w:rPr>
          <w:szCs w:val="18"/>
        </w:rPr>
      </w:pPr>
      <w:r w:rsidRPr="0004023C">
        <w:rPr>
          <w:caps/>
        </w:rPr>
        <w:t>Composition</w:t>
      </w:r>
      <w:r w:rsidR="00A11EFB">
        <w:t> :</w:t>
      </w:r>
    </w:p>
    <w:p w:rsidR="004469E6" w:rsidRPr="004469E6" w:rsidRDefault="004469E6" w:rsidP="0004023C">
      <w:pPr>
        <w:spacing w:after="160"/>
        <w:ind w:firstLine="567"/>
        <w:rPr>
          <w:rFonts w:cs="Arial"/>
          <w:color w:val="000000"/>
          <w:szCs w:val="18"/>
        </w:rPr>
      </w:pPr>
      <w:r w:rsidRPr="004469E6">
        <w:t>a)</w:t>
      </w:r>
      <w:r w:rsidRPr="004469E6">
        <w:tab/>
        <w:t>les membres de l</w:t>
      </w:r>
      <w:r w:rsidR="00A11EFB">
        <w:t>’</w:t>
      </w:r>
      <w:r w:rsidRPr="004469E6">
        <w:t>Union et les observateurs auprès du Conseil ayant exprimé le souhait de faire partie du</w:t>
      </w:r>
      <w:r w:rsidR="0004023C">
        <w:t> </w:t>
      </w:r>
      <w:r w:rsidRPr="004469E6">
        <w:t>WG</w:t>
      </w:r>
      <w:r w:rsidR="00E22FCB">
        <w:noBreakHyphen/>
      </w:r>
      <w:r w:rsidRPr="004469E6">
        <w:t>SHF en réponse à la circulaire E</w:t>
      </w:r>
      <w:r w:rsidR="00E22FCB">
        <w:noBreakHyphen/>
      </w:r>
      <w:r w:rsidRPr="004469E6">
        <w:t>21/230 du</w:t>
      </w:r>
      <w:r w:rsidR="0004023C">
        <w:t> </w:t>
      </w:r>
      <w:r w:rsidRPr="004469E6">
        <w:t>19 novembre 2021 sont les suivants</w:t>
      </w:r>
      <w:r w:rsidR="00A11EFB">
        <w:t> :</w:t>
      </w:r>
    </w:p>
    <w:p w:rsidR="005760AB" w:rsidRPr="00B97DDF" w:rsidRDefault="005760AB" w:rsidP="005760AB">
      <w:pPr>
        <w:ind w:left="540"/>
        <w:rPr>
          <w:lang w:val="fr-CH"/>
        </w:rPr>
      </w:pPr>
      <w:r w:rsidRPr="00B97DDF">
        <w:rPr>
          <w:lang w:val="fr-CH"/>
        </w:rPr>
        <w:t xml:space="preserve">Argentine, Autriche, Belgique, Canada, Chili, Colombie, États-Unis d’Amérique, France, Ghana, Japon, Mexique, Norvège, Pays-Bas, République tchèque, Royaume-Uni, Suisse, Tunisie, Union européenne, Zimbabwe, Centre Sud, Association africaine du commerce des semences (AFSTA), Association Asie Pacifique pour les semences (APSA), </w:t>
      </w:r>
      <w:r w:rsidRPr="00B97DDF">
        <w:rPr>
          <w:i/>
          <w:lang w:val="fr-CH"/>
        </w:rPr>
        <w:t xml:space="preserve">Association for Plant Breeding for the Benefit of Society </w:t>
      </w:r>
      <w:r w:rsidRPr="00B97DDF">
        <w:rPr>
          <w:lang w:val="fr-CH"/>
        </w:rPr>
        <w:t xml:space="preserve">(APBREBES), Communauté internationale des obtenteurs de plantes horticoles de reproduction asexuée (CIOPORA), Coordination européenne Via Campesina (ECVC), </w:t>
      </w:r>
      <w:r w:rsidRPr="00B97DDF">
        <w:rPr>
          <w:i/>
          <w:lang w:val="fr-CH"/>
        </w:rPr>
        <w:t>CropLife International</w:t>
      </w:r>
      <w:r w:rsidRPr="00B97DDF">
        <w:rPr>
          <w:lang w:val="fr-CH"/>
        </w:rPr>
        <w:t xml:space="preserve">, Euroseeds, </w:t>
      </w:r>
      <w:r w:rsidRPr="00B97DDF">
        <w:rPr>
          <w:i/>
          <w:lang w:val="fr-CH"/>
        </w:rPr>
        <w:t>International Seed Federation</w:t>
      </w:r>
      <w:r w:rsidRPr="00B97DDF">
        <w:rPr>
          <w:lang w:val="fr-CH"/>
        </w:rPr>
        <w:t xml:space="preserve"> (ISF) et </w:t>
      </w:r>
      <w:r w:rsidR="00B97DDF">
        <w:rPr>
          <w:i/>
          <w:lang w:val="fr-CH"/>
        </w:rPr>
        <w:t>Seed </w:t>
      </w:r>
      <w:r w:rsidR="00B97DDF" w:rsidRPr="00B97DDF">
        <w:rPr>
          <w:i/>
          <w:lang w:val="fr-CH"/>
        </w:rPr>
        <w:t>Association of the </w:t>
      </w:r>
      <w:r w:rsidRPr="00B97DDF">
        <w:rPr>
          <w:i/>
          <w:lang w:val="fr-CH"/>
        </w:rPr>
        <w:t>Americas</w:t>
      </w:r>
      <w:r w:rsidRPr="00B97DDF">
        <w:rPr>
          <w:lang w:val="fr-CH"/>
        </w:rPr>
        <w:t xml:space="preserve"> (SAA).</w:t>
      </w:r>
    </w:p>
    <w:p w:rsidR="005760AB" w:rsidRDefault="005760AB" w:rsidP="0004023C">
      <w:pPr>
        <w:spacing w:after="160"/>
        <w:ind w:firstLine="567"/>
      </w:pPr>
    </w:p>
    <w:p w:rsidR="004469E6" w:rsidRPr="004469E6" w:rsidRDefault="004469E6" w:rsidP="0004023C">
      <w:pPr>
        <w:spacing w:after="160"/>
        <w:ind w:firstLine="567"/>
        <w:rPr>
          <w:rFonts w:cs="Arial"/>
          <w:szCs w:val="18"/>
        </w:rPr>
      </w:pPr>
      <w:r w:rsidRPr="004469E6">
        <w:t>b)</w:t>
      </w:r>
      <w:r w:rsidRPr="004469E6">
        <w:tab/>
        <w:t>les autres membres de l</w:t>
      </w:r>
      <w:r w:rsidR="00A11EFB">
        <w:t>’</w:t>
      </w:r>
      <w:r w:rsidRPr="004469E6">
        <w:t>Union sont libres de participer à toute réunion du</w:t>
      </w:r>
      <w:r w:rsidR="0004023C">
        <w:t> </w:t>
      </w:r>
      <w:r w:rsidRPr="004469E6">
        <w:t>WG</w:t>
      </w:r>
      <w:r w:rsidR="00E22FCB">
        <w:noBreakHyphen/>
      </w:r>
      <w:r w:rsidRPr="004469E6">
        <w:t>SHF;</w:t>
      </w:r>
    </w:p>
    <w:p w:rsidR="004469E6" w:rsidRPr="004469E6" w:rsidRDefault="004469E6" w:rsidP="002C3359">
      <w:pPr>
        <w:keepLines/>
        <w:spacing w:after="160"/>
        <w:ind w:firstLine="567"/>
        <w:rPr>
          <w:rFonts w:cs="Arial"/>
          <w:szCs w:val="18"/>
        </w:rPr>
      </w:pPr>
      <w:r w:rsidRPr="004469E6">
        <w:t>c)</w:t>
      </w:r>
      <w:r w:rsidRPr="004469E6">
        <w:tab/>
        <w:t>Les membres du projet “Options d</w:t>
      </w:r>
      <w:r w:rsidR="00A11EFB">
        <w:t>’</w:t>
      </w:r>
      <w:r w:rsidRPr="004469E6">
        <w:t>interprétation de la notion d</w:t>
      </w:r>
      <w:r w:rsidR="00A11EFB">
        <w:t>’</w:t>
      </w:r>
      <w:r w:rsidRPr="004469E6">
        <w:t>utilisation dans un cadre privé à des fins non commerciales, visée</w:t>
      </w:r>
      <w:r w:rsidR="009E0B81">
        <w:t xml:space="preserve"> </w:t>
      </w:r>
      <w:r w:rsidRPr="004469E6">
        <w:t>à l</w:t>
      </w:r>
      <w:r w:rsidR="00A11EFB">
        <w:t>’</w:t>
      </w:r>
      <w:r w:rsidRPr="004469E6">
        <w:t>article 15.1</w:t>
      </w:r>
      <w:r w:rsidR="009E0B81">
        <w:t>)</w:t>
      </w:r>
      <w:r w:rsidRPr="004469E6">
        <w:t xml:space="preserve">i) de la </w:t>
      </w:r>
      <w:r w:rsidR="00A11EFB">
        <w:t>Convention UPOV</w:t>
      </w:r>
      <w:r w:rsidRPr="004469E6">
        <w:t>” (Euroseeds, Plantum et Oxfam</w:t>
      </w:r>
      <w:r w:rsidR="00A11EFB">
        <w:t> :</w:t>
      </w:r>
      <w:r w:rsidRPr="004469E6">
        <w:t xml:space="preserve"> “équipe de projet”) seront invités à participer à la première</w:t>
      </w:r>
      <w:r w:rsidR="002C3359">
        <w:t> </w:t>
      </w:r>
      <w:r w:rsidRPr="004469E6">
        <w:t>réunion du</w:t>
      </w:r>
      <w:r w:rsidR="002C3359">
        <w:t> </w:t>
      </w:r>
      <w:r w:rsidRPr="004469E6">
        <w:t>WG</w:t>
      </w:r>
      <w:r w:rsidR="00E22FCB">
        <w:noBreakHyphen/>
      </w:r>
      <w:r w:rsidR="00CE3B71" w:rsidRPr="004469E6">
        <w:t>SHF</w:t>
      </w:r>
      <w:r w:rsidR="00CE3B71">
        <w:t xml:space="preserve">.  </w:t>
      </w:r>
      <w:r w:rsidR="00CE3B71" w:rsidRPr="004469E6">
        <w:t>De</w:t>
      </w:r>
      <w:r w:rsidRPr="004469E6">
        <w:t>s</w:t>
      </w:r>
      <w:r w:rsidR="00B97DDF">
        <w:t> </w:t>
      </w:r>
      <w:r w:rsidRPr="004469E6">
        <w:t>invitations spéciales à d</w:t>
      </w:r>
      <w:r w:rsidR="00A11EFB">
        <w:t>’</w:t>
      </w:r>
      <w:r w:rsidRPr="004469E6">
        <w:t>autres réunions du</w:t>
      </w:r>
      <w:r w:rsidR="0004023C">
        <w:t> </w:t>
      </w:r>
      <w:r w:rsidRPr="004469E6">
        <w:t>WG</w:t>
      </w:r>
      <w:r w:rsidR="00E22FCB">
        <w:noBreakHyphen/>
      </w:r>
      <w:r w:rsidRPr="004469E6">
        <w:t>SHF pourraient être envoyées à l</w:t>
      </w:r>
      <w:r w:rsidR="00A11EFB">
        <w:t>’</w:t>
      </w:r>
      <w:r w:rsidRPr="004469E6">
        <w:t xml:space="preserve">équipe de projet, si </w:t>
      </w:r>
      <w:r w:rsidR="002C3359">
        <w:t>l</w:t>
      </w:r>
      <w:r w:rsidR="0092755F">
        <w:t>e WG</w:t>
      </w:r>
      <w:r w:rsidR="00E22FCB">
        <w:noBreakHyphen/>
      </w:r>
      <w:r w:rsidR="0092755F">
        <w:t>SHF</w:t>
      </w:r>
      <w:r w:rsidRPr="004469E6">
        <w:t xml:space="preserve"> juge cette démarche appropriée; </w:t>
      </w:r>
      <w:r w:rsidR="00384F35">
        <w:t xml:space="preserve"> </w:t>
      </w:r>
      <w:r w:rsidRPr="004469E6">
        <w:t>et</w:t>
      </w:r>
    </w:p>
    <w:p w:rsidR="00A11EFB" w:rsidRDefault="004469E6" w:rsidP="002C3359">
      <w:pPr>
        <w:ind w:left="567"/>
      </w:pPr>
      <w:r w:rsidRPr="004469E6">
        <w:t>d)</w:t>
      </w:r>
      <w:r w:rsidRPr="004469E6">
        <w:tab/>
        <w:t>les réunions sont présidées par le président du Conseil.</w:t>
      </w:r>
    </w:p>
    <w:p w:rsidR="004469E6" w:rsidRPr="004469E6" w:rsidRDefault="002C3359" w:rsidP="002C3359">
      <w:pPr>
        <w:keepNext/>
        <w:keepLines/>
        <w:tabs>
          <w:tab w:val="center" w:pos="4819"/>
        </w:tabs>
        <w:spacing w:before="600" w:after="160"/>
        <w:rPr>
          <w:szCs w:val="18"/>
        </w:rPr>
      </w:pPr>
      <w:r w:rsidRPr="002C3359">
        <w:rPr>
          <w:caps/>
        </w:rPr>
        <w:lastRenderedPageBreak/>
        <w:t>Modus operandi</w:t>
      </w:r>
      <w:r w:rsidR="00A11EFB">
        <w:t> :</w:t>
      </w:r>
    </w:p>
    <w:p w:rsidR="00A11EFB" w:rsidRDefault="004469E6" w:rsidP="001F2BAC">
      <w:pPr>
        <w:keepNext/>
        <w:keepLines/>
        <w:numPr>
          <w:ilvl w:val="0"/>
          <w:numId w:val="8"/>
        </w:numPr>
        <w:spacing w:after="160"/>
        <w:ind w:left="0" w:firstLine="567"/>
      </w:pPr>
      <w:r w:rsidRPr="004469E6">
        <w:t>l</w:t>
      </w:r>
      <w:r w:rsidR="00A11EFB">
        <w:t>’</w:t>
      </w:r>
      <w:r w:rsidRPr="004469E6">
        <w:t>analyse des contributions figurant dans le compendium avec les réponses à la circulaire E</w:t>
      </w:r>
      <w:r w:rsidR="00E22FCB">
        <w:noBreakHyphen/>
      </w:r>
      <w:r w:rsidRPr="004469E6">
        <w:t>20/246 de l</w:t>
      </w:r>
      <w:r w:rsidR="00A11EFB">
        <w:t>’</w:t>
      </w:r>
      <w:r w:rsidRPr="004469E6">
        <w:t>UPOV et un rapport contenant des propositions établi par l</w:t>
      </w:r>
      <w:r w:rsidR="00A11EFB">
        <w:t>’</w:t>
      </w:r>
      <w:r w:rsidRPr="004469E6">
        <w:t>équipe de projet, en collaboration avec le Bureau de l</w:t>
      </w:r>
      <w:r w:rsidR="00A11EFB">
        <w:t>’</w:t>
      </w:r>
      <w:r w:rsidRPr="004469E6">
        <w:t>Union, serviront de base initiale aux discussions sur l</w:t>
      </w:r>
      <w:r w:rsidR="00A11EFB">
        <w:t>’</w:t>
      </w:r>
      <w:r w:rsidRPr="004469E6">
        <w:t>élaboration d</w:t>
      </w:r>
      <w:r w:rsidR="00A11EFB">
        <w:t>’</w:t>
      </w:r>
      <w:r w:rsidRPr="004469E6">
        <w:t>orientations concernant les petits exploitants agricoles en lien avec l</w:t>
      </w:r>
      <w:r w:rsidR="00A11EFB">
        <w:t>’</w:t>
      </w:r>
      <w:r w:rsidRPr="004469E6">
        <w:t>utilisation à des fins privées et non commerciales;</w:t>
      </w:r>
    </w:p>
    <w:p w:rsidR="004469E6" w:rsidRPr="004469E6" w:rsidRDefault="002C3359" w:rsidP="001F2BAC">
      <w:pPr>
        <w:numPr>
          <w:ilvl w:val="0"/>
          <w:numId w:val="8"/>
        </w:numPr>
        <w:spacing w:after="160"/>
        <w:ind w:left="0" w:firstLine="567"/>
        <w:rPr>
          <w:rFonts w:cs="Arial"/>
          <w:szCs w:val="18"/>
        </w:rPr>
      </w:pPr>
      <w:r>
        <w:t>l</w:t>
      </w:r>
      <w:r w:rsidR="0092755F">
        <w:t>e WG</w:t>
      </w:r>
      <w:r w:rsidR="00E22FCB">
        <w:noBreakHyphen/>
      </w:r>
      <w:r w:rsidR="0092755F">
        <w:t>SHF</w:t>
      </w:r>
      <w:r w:rsidR="004469E6" w:rsidRPr="004469E6">
        <w:t xml:space="preserve"> se réunira selon une périodicité lui permettant de remplir son mandat, par des moyens physiques ou virtuels, tel que convenu par </w:t>
      </w:r>
      <w:r>
        <w:t>l</w:t>
      </w:r>
      <w:r w:rsidR="0092755F">
        <w:t>e WG</w:t>
      </w:r>
      <w:r w:rsidR="00E22FCB">
        <w:noBreakHyphen/>
      </w:r>
      <w:r w:rsidR="0092755F">
        <w:t>SHF</w:t>
      </w:r>
      <w:r w:rsidR="004469E6" w:rsidRPr="004469E6">
        <w:t>;</w:t>
      </w:r>
    </w:p>
    <w:p w:rsidR="004469E6" w:rsidRPr="004469E6" w:rsidRDefault="002C3359" w:rsidP="001F2BAC">
      <w:pPr>
        <w:numPr>
          <w:ilvl w:val="0"/>
          <w:numId w:val="8"/>
        </w:numPr>
        <w:spacing w:after="160"/>
        <w:ind w:left="0" w:firstLine="567"/>
        <w:rPr>
          <w:rFonts w:cs="Arial"/>
          <w:szCs w:val="18"/>
        </w:rPr>
      </w:pPr>
      <w:r>
        <w:t>l</w:t>
      </w:r>
      <w:r w:rsidR="0092755F">
        <w:t>e WG</w:t>
      </w:r>
      <w:r w:rsidR="00E22FCB">
        <w:noBreakHyphen/>
      </w:r>
      <w:r w:rsidR="0092755F">
        <w:t>SHF</w:t>
      </w:r>
      <w:r w:rsidR="004469E6" w:rsidRPr="004469E6">
        <w:t xml:space="preserve"> fournira des orientations pour la rédaction d</w:t>
      </w:r>
      <w:r w:rsidR="00A11EFB">
        <w:t>’</w:t>
      </w:r>
      <w:r w:rsidR="004469E6" w:rsidRPr="004469E6">
        <w:t xml:space="preserve">une version révisée du </w:t>
      </w:r>
      <w:r w:rsidR="00A11EFB" w:rsidRPr="004469E6">
        <w:t>document</w:t>
      </w:r>
      <w:r>
        <w:t> </w:t>
      </w:r>
      <w:r w:rsidR="00A11EFB" w:rsidRPr="004469E6">
        <w:t>UP</w:t>
      </w:r>
      <w:r w:rsidR="004469E6" w:rsidRPr="004469E6">
        <w:t>OV/EXN/EXC, à élaborer par le Comité administratif et juridique, ainsi que d</w:t>
      </w:r>
      <w:r w:rsidR="00A11EFB">
        <w:t>’</w:t>
      </w:r>
      <w:r w:rsidR="004469E6" w:rsidRPr="004469E6">
        <w:t>une version révisée des questions</w:t>
      </w:r>
      <w:r w:rsidR="00E22FCB">
        <w:noBreakHyphen/>
      </w:r>
      <w:r w:rsidR="004469E6" w:rsidRPr="004469E6">
        <w:t>réponses sur les exceptions au droit d</w:t>
      </w:r>
      <w:r w:rsidR="00A11EFB">
        <w:t>’</w:t>
      </w:r>
      <w:r w:rsidR="004469E6" w:rsidRPr="004469E6">
        <w:t>obtenteur, à élaborer par le Bureau de l</w:t>
      </w:r>
      <w:r w:rsidR="00A11EFB">
        <w:t>’</w:t>
      </w:r>
      <w:r w:rsidR="004469E6" w:rsidRPr="004469E6">
        <w:t>Union;</w:t>
      </w:r>
    </w:p>
    <w:p w:rsidR="004469E6" w:rsidRPr="004469E6" w:rsidRDefault="002C3359" w:rsidP="001F2BAC">
      <w:pPr>
        <w:numPr>
          <w:ilvl w:val="0"/>
          <w:numId w:val="8"/>
        </w:numPr>
        <w:spacing w:after="160"/>
        <w:ind w:left="0" w:firstLine="567"/>
        <w:rPr>
          <w:rFonts w:cs="Arial"/>
          <w:szCs w:val="18"/>
        </w:rPr>
      </w:pPr>
      <w:r>
        <w:t>l</w:t>
      </w:r>
      <w:r w:rsidR="0092755F">
        <w:t>e WG</w:t>
      </w:r>
      <w:r w:rsidR="00E22FCB">
        <w:noBreakHyphen/>
      </w:r>
      <w:r w:rsidR="0092755F">
        <w:t>SHF</w:t>
      </w:r>
      <w:r w:rsidR="004469E6" w:rsidRPr="004469E6">
        <w:t xml:space="preserve"> présentera au Comité consultatif un rapport sur l</w:t>
      </w:r>
      <w:r w:rsidR="00A11EFB">
        <w:t>’</w:t>
      </w:r>
      <w:r w:rsidR="004469E6" w:rsidRPr="004469E6">
        <w:t>état d</w:t>
      </w:r>
      <w:r w:rsidR="00A11EFB">
        <w:t>’</w:t>
      </w:r>
      <w:r w:rsidR="004469E6" w:rsidRPr="004469E6">
        <w:t>avancement de ses travaux et lui demandera des orientations supplémentaires, le cas échéant;  et</w:t>
      </w:r>
    </w:p>
    <w:p w:rsidR="004469E6" w:rsidRPr="004469E6" w:rsidRDefault="004469E6" w:rsidP="001F2BAC">
      <w:pPr>
        <w:numPr>
          <w:ilvl w:val="0"/>
          <w:numId w:val="8"/>
        </w:numPr>
        <w:ind w:left="0" w:firstLine="567"/>
        <w:contextualSpacing/>
        <w:rPr>
          <w:rFonts w:cs="Arial"/>
          <w:szCs w:val="18"/>
        </w:rPr>
      </w:pPr>
      <w:r w:rsidRPr="004469E6">
        <w:t>les documents du</w:t>
      </w:r>
      <w:r w:rsidR="002C3359">
        <w:t> </w:t>
      </w:r>
      <w:r w:rsidRPr="004469E6">
        <w:t>WG</w:t>
      </w:r>
      <w:r w:rsidR="00E22FCB">
        <w:noBreakHyphen/>
      </w:r>
      <w:r w:rsidRPr="004469E6">
        <w:t>SHF seront mis à la disposition des membres de l</w:t>
      </w:r>
      <w:r w:rsidR="00A11EFB">
        <w:t>’</w:t>
      </w:r>
      <w:r w:rsidRPr="004469E6">
        <w:t>Union et des observateurs auprès du Conseil.</w:t>
      </w:r>
    </w:p>
    <w:p w:rsidR="004469E6" w:rsidRPr="004469E6" w:rsidRDefault="004469E6" w:rsidP="002C3359">
      <w:pPr>
        <w:spacing w:before="480"/>
        <w:jc w:val="right"/>
      </w:pPr>
      <w:r w:rsidRPr="004469E6">
        <w:t>[Fin de l</w:t>
      </w:r>
      <w:r w:rsidR="00A11EFB">
        <w:t>’</w:t>
      </w:r>
      <w:r w:rsidRPr="004469E6">
        <w:t>annexe et du document]</w:t>
      </w:r>
    </w:p>
    <w:sectPr w:rsidR="004469E6" w:rsidRPr="004469E6" w:rsidSect="00804DB7">
      <w:headerReference w:type="even" r:id="rId19"/>
      <w:headerReference w:type="default" r:id="rId20"/>
      <w:footerReference w:type="even" r:id="rId21"/>
      <w:footerReference w:type="default" r:id="rId22"/>
      <w:headerReference w:type="first" r:id="rId23"/>
      <w:footerReference w:type="first" r:id="rId24"/>
      <w:pgSz w:w="11907" w:h="16840"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9E6" w:rsidRDefault="004469E6" w:rsidP="004469E6">
      <w:r>
        <w:separator/>
      </w:r>
    </w:p>
  </w:endnote>
  <w:endnote w:type="continuationSeparator" w:id="0">
    <w:p w:rsidR="004469E6" w:rsidRDefault="004469E6" w:rsidP="004469E6">
      <w:r>
        <w:continuationSeparator/>
      </w:r>
    </w:p>
  </w:endnote>
  <w:endnote w:type="continuationNotice" w:id="1">
    <w:p w:rsidR="00CE3B71" w:rsidRDefault="00CE3B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EFB" w:rsidRDefault="00A11EFB" w:rsidP="00A11EFB">
    <w:pPr>
      <w:pStyle w:val="Footer"/>
    </w:pPr>
    <w:r>
      <w:rPr>
        <w:noProof/>
        <w:lang w:val="en-US"/>
      </w:rPr>
      <mc:AlternateContent>
        <mc:Choice Requires="wps">
          <w:drawing>
            <wp:anchor distT="558800" distB="0" distL="114300" distR="114300" simplePos="0" relativeHeight="25166950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0"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11EFB" w:rsidRDefault="00A11EFB" w:rsidP="00A11EFB">
                          <w:pPr>
                            <w:jc w:val="center"/>
                          </w:pPr>
                          <w:r w:rsidRPr="00A11EF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950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pbF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O6ClsWmAgAAXgUAAA4AAAAAAAAAAAAAAAAALgIA&#10;AGRycy9lMm9Eb2MueG1sUEsBAi0AFAAGAAgAAAAhAM3y8yjaAAAACAEAAA8AAAAAAAAAAAAAAAAA&#10;AAUAAGRycy9kb3ducmV2LnhtbFBLBQYAAAAABAAEAPMAAAAHBgAAAAA=&#10;" o:allowincell="f" filled="f" stroked="f" strokeweight=".5pt">
              <v:path arrowok="t"/>
              <v:textbox>
                <w:txbxContent>
                  <w:p w:rsidR="00A11EFB" w:rsidRDefault="00A11EFB" w:rsidP="00A11EFB">
                    <w:pPr>
                      <w:jc w:val="center"/>
                    </w:pPr>
                    <w:r w:rsidRPr="00A11EFB">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F76" w:rsidRPr="0030498D" w:rsidRDefault="00A11EFB" w:rsidP="00CF3064">
    <w:pPr>
      <w:tabs>
        <w:tab w:val="left" w:pos="2552"/>
      </w:tabs>
      <w:spacing w:before="60"/>
      <w:rPr>
        <w:sz w:val="16"/>
        <w:u w:val="single"/>
      </w:rPr>
    </w:pPr>
    <w:r>
      <w:rPr>
        <w:sz w:val="16"/>
        <w:u w:val="single"/>
      </w:rPr>
      <w:tab/>
    </w:r>
  </w:p>
  <w:p w:rsidR="00565F76" w:rsidRPr="00365917" w:rsidRDefault="00A11EFB" w:rsidP="00AA5D4C">
    <w:pPr>
      <w:spacing w:before="120"/>
      <w:rPr>
        <w:sz w:val="16"/>
        <w:szCs w:val="16"/>
        <w:u w:val="single"/>
      </w:rPr>
    </w:pPr>
    <w:r>
      <w:rPr>
        <w:sz w:val="16"/>
        <w:u w:val="single"/>
      </w:rPr>
      <w:t xml:space="preserve">La réunion se tiendra au siège de l’UPOV (34, chemin des Colombettes, </w:t>
    </w:r>
    <w:r w:rsidR="006F4F99">
      <w:rPr>
        <w:sz w:val="16"/>
        <w:u w:val="single"/>
      </w:rPr>
      <w:t>Genève, Suisse</w:t>
    </w:r>
    <w:r>
      <w:rPr>
        <w:sz w:val="16"/>
        <w:u w:val="single"/>
      </w:rPr>
      <w:t>), le vendredi</w:t>
    </w:r>
    <w:r w:rsidR="006F4F99">
      <w:rPr>
        <w:sz w:val="16"/>
        <w:u w:val="single"/>
      </w:rPr>
      <w:t> </w:t>
    </w:r>
    <w:r>
      <w:rPr>
        <w:sz w:val="16"/>
        <w:u w:val="single"/>
      </w:rPr>
      <w:t>24</w:t>
    </w:r>
    <w:r w:rsidR="006F4F99">
      <w:rPr>
        <w:sz w:val="16"/>
        <w:u w:val="single"/>
      </w:rPr>
      <w:t> </w:t>
    </w:r>
    <w:r>
      <w:rPr>
        <w:sz w:val="16"/>
        <w:u w:val="single"/>
      </w:rPr>
      <w:t>mars</w:t>
    </w:r>
    <w:r w:rsidR="006F4F99">
      <w:rPr>
        <w:sz w:val="16"/>
        <w:u w:val="single"/>
      </w:rPr>
      <w:t> </w:t>
    </w:r>
    <w:r>
      <w:rPr>
        <w:sz w:val="16"/>
        <w:u w:val="single"/>
      </w:rPr>
      <w:t>2023, dans la salle A.  Pour les participants ne pouvant assister à la réunion en personne à Genève, des dispositions seront prises afin de faciliter leur participation à distance par l’intermédiaire de la plateforme en ligne</w:t>
    </w:r>
    <w:r w:rsidR="006F4F99">
      <w:rPr>
        <w:sz w:val="16"/>
        <w:u w:val="single"/>
      </w:rPr>
      <w:t xml:space="preserve"> Zoom. La réunion se tiendra de </w:t>
    </w:r>
    <w:r>
      <w:rPr>
        <w:sz w:val="16"/>
        <w:u w:val="single"/>
      </w:rPr>
      <w:t>13</w:t>
    </w:r>
    <w:r w:rsidR="006F4F99">
      <w:rPr>
        <w:sz w:val="16"/>
        <w:u w:val="single"/>
      </w:rPr>
      <w:t> </w:t>
    </w:r>
    <w:r>
      <w:rPr>
        <w:sz w:val="16"/>
        <w:u w:val="single"/>
      </w:rPr>
      <w:t>h</w:t>
    </w:r>
    <w:r w:rsidR="006F4F99">
      <w:rPr>
        <w:sz w:val="16"/>
        <w:u w:val="single"/>
      </w:rPr>
      <w:t> 00 </w:t>
    </w:r>
    <w:r>
      <w:rPr>
        <w:sz w:val="16"/>
        <w:u w:val="single"/>
      </w:rPr>
      <w:t>à</w:t>
    </w:r>
    <w:r w:rsidR="006F4F99">
      <w:rPr>
        <w:sz w:val="16"/>
        <w:u w:val="single"/>
      </w:rPr>
      <w:t> </w:t>
    </w:r>
    <w:r>
      <w:rPr>
        <w:sz w:val="16"/>
        <w:u w:val="single"/>
      </w:rPr>
      <w:t>16</w:t>
    </w:r>
    <w:r w:rsidR="006F4F99">
      <w:rPr>
        <w:sz w:val="16"/>
        <w:u w:val="single"/>
      </w:rPr>
      <w:t> </w:t>
    </w:r>
    <w:r>
      <w:rPr>
        <w:sz w:val="16"/>
        <w:u w:val="single"/>
      </w:rPr>
      <w:t>h</w:t>
    </w:r>
    <w:r w:rsidR="006F4F99">
      <w:rPr>
        <w:sz w:val="16"/>
        <w:u w:val="single"/>
      </w:rPr>
      <w:t> 00</w:t>
    </w:r>
    <w:r>
      <w:rPr>
        <w:sz w:val="16"/>
        <w:u w:val="single"/>
      </w:rPr>
      <w:t xml:space="preserve"> (heure de </w:t>
    </w:r>
    <w:r w:rsidR="0092755F">
      <w:rPr>
        <w:sz w:val="16"/>
        <w:u w:val="single"/>
      </w:rPr>
      <w:t>Genève [heure d’Europe centrale]</w:t>
    </w:r>
    <w:r>
      <w:rPr>
        <w:sz w:val="16"/>
        <w:u w:val="single"/>
      </w:rPr>
      <w:t>)</w:t>
    </w:r>
    <w:r w:rsidRPr="0092755F">
      <w:rPr>
        <w:sz w:val="16"/>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EFB" w:rsidRDefault="00A11EFB" w:rsidP="00A11EFB">
    <w:pPr>
      <w:pStyle w:val="Footer"/>
    </w:pPr>
    <w:r>
      <w:rPr>
        <w:noProof/>
        <w:lang w:val="en-US"/>
      </w:rPr>
      <mc:AlternateContent>
        <mc:Choice Requires="wps">
          <w:drawing>
            <wp:anchor distT="558800" distB="0" distL="114300" distR="114300" simplePos="0" relativeHeight="25167052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1"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11EFB" w:rsidRDefault="00A11EFB" w:rsidP="00A11EFB">
                          <w:pPr>
                            <w:jc w:val="center"/>
                          </w:pPr>
                          <w:r w:rsidRPr="00A11EF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7" type="#_x0000_t202" style="position:absolute;left:0;text-align:left;margin-left:0;margin-top:44pt;width:600pt;height:25pt;z-index:25167052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NLA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f8NLAqgIAAGUFAAAOAAAAAAAAAAAAAAAA&#10;AC4CAABkcnMvZTJvRG9jLnhtbFBLAQItABQABgAIAAAAIQDN8vMo2gAAAAgBAAAPAAAAAAAAAAAA&#10;AAAAAAQFAABkcnMvZG93bnJldi54bWxQSwUGAAAAAAQABADzAAAACwYAAAAA&#10;" o:allowincell="f" filled="f" stroked="f" strokeweight=".5pt">
              <v:path arrowok="t"/>
              <v:textbox>
                <w:txbxContent>
                  <w:p w:rsidR="00A11EFB" w:rsidRDefault="00A11EFB" w:rsidP="00A11EFB">
                    <w:pPr>
                      <w:jc w:val="center"/>
                    </w:pPr>
                    <w:r w:rsidRPr="00A11EFB">
                      <w:rPr>
                        <w:color w:val="000000"/>
                        <w:sz w:val="17"/>
                      </w:rPr>
                      <w:t>WIPO FOR OFFICIAL USE ONLY</w:t>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9E6" w:rsidRDefault="004469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9E6" w:rsidRPr="00B97DDF" w:rsidRDefault="004469E6" w:rsidP="00B97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9E6" w:rsidRDefault="004469E6" w:rsidP="004469E6">
      <w:r>
        <w:separator/>
      </w:r>
    </w:p>
  </w:footnote>
  <w:footnote w:type="continuationSeparator" w:id="0">
    <w:p w:rsidR="004469E6" w:rsidRDefault="004469E6" w:rsidP="004469E6">
      <w:r>
        <w:continuationSeparator/>
      </w:r>
    </w:p>
  </w:footnote>
  <w:footnote w:type="continuationNotice" w:id="1">
    <w:p w:rsidR="00CE3B71" w:rsidRDefault="00CE3B7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EFB" w:rsidRPr="00C5280D" w:rsidRDefault="00A11EFB" w:rsidP="00A11EFB">
    <w:pPr>
      <w:pStyle w:val="Header"/>
      <w:rPr>
        <w:rStyle w:val="PageNumber"/>
      </w:rPr>
    </w:pPr>
    <w:r>
      <w:rPr>
        <w:rStyle w:val="PageNumber"/>
      </w:rPr>
      <w:t>WG-SHF/3/2</w:t>
    </w:r>
  </w:p>
  <w:p w:rsidR="00A11EFB" w:rsidRPr="00C5280D" w:rsidRDefault="0092755F" w:rsidP="00A11EFB">
    <w:pPr>
      <w:pStyle w:val="Header"/>
    </w:pPr>
    <w:r>
      <w:t>page </w:t>
    </w:r>
    <w:r w:rsidR="00A11EFB" w:rsidRPr="00C5280D">
      <w:rPr>
        <w:rStyle w:val="PageNumber"/>
      </w:rPr>
      <w:fldChar w:fldCharType="begin"/>
    </w:r>
    <w:r w:rsidR="00A11EFB" w:rsidRPr="00C5280D">
      <w:rPr>
        <w:rStyle w:val="PageNumber"/>
      </w:rPr>
      <w:instrText xml:space="preserve"> PAGE </w:instrText>
    </w:r>
    <w:r w:rsidR="00A11EFB" w:rsidRPr="00C5280D">
      <w:rPr>
        <w:rStyle w:val="PageNumber"/>
      </w:rPr>
      <w:fldChar w:fldCharType="separate"/>
    </w:r>
    <w:r>
      <w:rPr>
        <w:rStyle w:val="PageNumber"/>
        <w:noProof/>
      </w:rPr>
      <w:t>2</w:t>
    </w:r>
    <w:r w:rsidR="00A11EFB" w:rsidRPr="00C5280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A11EFB" w:rsidP="0092755F">
    <w:pPr>
      <w:pStyle w:val="Header"/>
      <w:jc w:val="center"/>
      <w:rPr>
        <w:rStyle w:val="PageNumber"/>
      </w:rPr>
    </w:pPr>
    <w:r>
      <w:rPr>
        <w:rStyle w:val="PageNumber"/>
      </w:rPr>
      <w:t>WG-SHF/3/2</w:t>
    </w:r>
  </w:p>
  <w:p w:rsidR="0004198B" w:rsidRPr="00C5280D" w:rsidRDefault="00A11EFB" w:rsidP="0092755F">
    <w:pPr>
      <w:pStyle w:val="Header"/>
      <w:spacing w:after="160"/>
      <w:jc w:val="center"/>
    </w:pPr>
    <w:r>
      <w:t>page</w:t>
    </w:r>
    <w:r w:rsidR="009E0B81">
      <w:t>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D5078E">
      <w:rPr>
        <w:rStyle w:val="PageNumber"/>
        <w:noProof/>
      </w:rPr>
      <w:t>4</w:t>
    </w:r>
    <w:r w:rsidRPr="00C5280D">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EFB" w:rsidRPr="00C5280D" w:rsidRDefault="00A11EFB" w:rsidP="00A11EFB">
    <w:pPr>
      <w:pStyle w:val="Header"/>
      <w:rPr>
        <w:rStyle w:val="PageNumber"/>
      </w:rPr>
    </w:pPr>
    <w:r>
      <w:rPr>
        <w:rStyle w:val="PageNumber"/>
      </w:rPr>
      <w:t>WG-SHF/3/2</w:t>
    </w:r>
  </w:p>
  <w:p w:rsidR="00A11EFB" w:rsidRPr="00C5280D" w:rsidRDefault="00A11EFB" w:rsidP="00A11EFB">
    <w:pPr>
      <w:pStyle w:val="Header"/>
    </w:pPr>
    <w:r>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7</w:t>
    </w:r>
    <w:r w:rsidRPr="00C5280D">
      <w:rPr>
        <w:rStyle w:val="PageNumber"/>
      </w:rPr>
      <w:fldChar w:fldCharType="end"/>
    </w:r>
  </w:p>
  <w:p w:rsidR="00A11EFB" w:rsidRPr="00770B4D" w:rsidRDefault="00A11EFB" w:rsidP="00A11EFB">
    <w:pPr>
      <w:rPr>
        <w:sz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9E6" w:rsidRPr="00C5280D" w:rsidRDefault="004469E6" w:rsidP="002C3359">
    <w:pPr>
      <w:pStyle w:val="Header"/>
      <w:jc w:val="center"/>
      <w:rPr>
        <w:rStyle w:val="PageNumber"/>
      </w:rPr>
    </w:pPr>
    <w:r>
      <w:rPr>
        <w:rStyle w:val="PageNumber"/>
      </w:rPr>
      <w:t>WG-SHF/3/2</w:t>
    </w:r>
  </w:p>
  <w:p w:rsidR="004469E6" w:rsidRPr="002C3359" w:rsidRDefault="002C3359" w:rsidP="002C3359">
    <w:pPr>
      <w:pStyle w:val="Header"/>
      <w:spacing w:after="160"/>
      <w:jc w:val="center"/>
    </w:pPr>
    <w:r>
      <w:t>Annexe, page 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23C" w:rsidRDefault="0004023C" w:rsidP="0004023C">
    <w:pPr>
      <w:pStyle w:val="Header"/>
      <w:jc w:val="center"/>
      <w:rPr>
        <w:rStyle w:val="PageNumber"/>
        <w:lang w:val="en-US"/>
      </w:rPr>
    </w:pPr>
    <w:r>
      <w:rPr>
        <w:rStyle w:val="PageNumber"/>
        <w:lang w:val="en-US"/>
      </w:rPr>
      <w:t>WG-SHF/3/2</w:t>
    </w:r>
  </w:p>
  <w:p w:rsidR="005760AB" w:rsidRPr="00C5280D" w:rsidRDefault="005760AB" w:rsidP="0004023C">
    <w:pPr>
      <w:pStyle w:val="Header"/>
      <w:jc w:val="center"/>
      <w:rPr>
        <w:rStyle w:val="PageNumber"/>
        <w:lang w:val="en-US"/>
      </w:rPr>
    </w:pPr>
  </w:p>
  <w:p w:rsidR="0004023C" w:rsidRPr="0004023C" w:rsidRDefault="0004023C" w:rsidP="0004023C">
    <w:pPr>
      <w:pStyle w:val="Header"/>
      <w:spacing w:after="160"/>
      <w:jc w:val="center"/>
      <w:rPr>
        <w:caps/>
        <w:lang w:val="en-US"/>
      </w:rPr>
    </w:pPr>
    <w:r w:rsidRPr="0004023C">
      <w:rPr>
        <w:caps/>
        <w:lang w:val="en-US"/>
      </w:rPr>
      <w:t>A</w:t>
    </w:r>
    <w:r>
      <w:rPr>
        <w:caps/>
        <w:lang w:val="en-US"/>
      </w:rPr>
      <w:t>nnexe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5183355"/>
    <w:multiLevelType w:val="hybridMultilevel"/>
    <w:tmpl w:val="587E72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2EA7F4E"/>
    <w:multiLevelType w:val="hybridMultilevel"/>
    <w:tmpl w:val="99302B68"/>
    <w:lvl w:ilvl="0" w:tplc="E1F2A9CC">
      <w:start w:val="2"/>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15:restartNumberingAfterBreak="0">
    <w:nsid w:val="6FD80C4F"/>
    <w:multiLevelType w:val="hybridMultilevel"/>
    <w:tmpl w:val="18B654F0"/>
    <w:lvl w:ilvl="0" w:tplc="04090017">
      <w:start w:val="1"/>
      <w:numFmt w:val="lowerLetter"/>
      <w:lvlText w:val="%1)"/>
      <w:lvlJc w:val="left"/>
      <w:pPr>
        <w:ind w:left="2828" w:hanging="5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8"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 w15:restartNumberingAfterBreak="0">
    <w:nsid w:val="7E3B0437"/>
    <w:multiLevelType w:val="hybridMultilevel"/>
    <w:tmpl w:val="77240B6C"/>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8"/>
  </w:num>
  <w:num w:numId="4">
    <w:abstractNumId w:val="6"/>
  </w:num>
  <w:num w:numId="5">
    <w:abstractNumId w:val="0"/>
  </w:num>
  <w:num w:numId="6">
    <w:abstractNumId w:val="4"/>
  </w:num>
  <w:num w:numId="7">
    <w:abstractNumId w:val="5"/>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9E6"/>
    <w:rsid w:val="0004023C"/>
    <w:rsid w:val="00080B61"/>
    <w:rsid w:val="000F5E56"/>
    <w:rsid w:val="00103586"/>
    <w:rsid w:val="001F2BAC"/>
    <w:rsid w:val="00214BD3"/>
    <w:rsid w:val="00257342"/>
    <w:rsid w:val="002C27FF"/>
    <w:rsid w:val="002C3359"/>
    <w:rsid w:val="00384F35"/>
    <w:rsid w:val="003E6531"/>
    <w:rsid w:val="00431118"/>
    <w:rsid w:val="004469E6"/>
    <w:rsid w:val="004D3EFC"/>
    <w:rsid w:val="005760AB"/>
    <w:rsid w:val="006A279E"/>
    <w:rsid w:val="006F4F99"/>
    <w:rsid w:val="007B240C"/>
    <w:rsid w:val="007C2C77"/>
    <w:rsid w:val="007D53C7"/>
    <w:rsid w:val="00804DB7"/>
    <w:rsid w:val="00925DEE"/>
    <w:rsid w:val="0092755F"/>
    <w:rsid w:val="009E0B81"/>
    <w:rsid w:val="009E1598"/>
    <w:rsid w:val="00A11EFB"/>
    <w:rsid w:val="00A12BD9"/>
    <w:rsid w:val="00B029C1"/>
    <w:rsid w:val="00B97DDF"/>
    <w:rsid w:val="00BD5923"/>
    <w:rsid w:val="00C554EC"/>
    <w:rsid w:val="00C94D9C"/>
    <w:rsid w:val="00CE3B71"/>
    <w:rsid w:val="00D3773B"/>
    <w:rsid w:val="00D5078E"/>
    <w:rsid w:val="00E22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462256A"/>
  <w15:chartTrackingRefBased/>
  <w15:docId w15:val="{2AED3235-9951-4D36-8533-E0D5E2A0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E6"/>
    <w:pPr>
      <w:jc w:val="both"/>
    </w:pPr>
    <w:rPr>
      <w:rFonts w:ascii="Arial" w:hAnsi="Arial"/>
      <w:lang w:val="fr-FR"/>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Docoriginal">
    <w:name w:val="Doc_original"/>
    <w:basedOn w:val="Normal"/>
    <w:link w:val="DocoriginalChar"/>
    <w:rsid w:val="004469E6"/>
    <w:pPr>
      <w:spacing w:before="240" w:line="240" w:lineRule="exact"/>
      <w:contextualSpacing/>
      <w:jc w:val="left"/>
    </w:pPr>
    <w:rPr>
      <w:b/>
      <w:bCs/>
      <w:spacing w:val="10"/>
      <w:sz w:val="18"/>
    </w:rPr>
  </w:style>
  <w:style w:type="paragraph" w:customStyle="1" w:styleId="Disclaimer">
    <w:name w:val="Disclaimer"/>
    <w:next w:val="Normal"/>
    <w:qFormat/>
    <w:rsid w:val="004469E6"/>
    <w:pPr>
      <w:spacing w:after="600"/>
    </w:pPr>
    <w:rPr>
      <w:rFonts w:ascii="Arial" w:hAnsi="Arial"/>
      <w:i/>
      <w:iCs/>
      <w:color w:val="A6A6A6" w:themeColor="background1" w:themeShade="A6"/>
      <w:lang w:val="fr-FR"/>
    </w:rPr>
  </w:style>
  <w:style w:type="paragraph" w:customStyle="1" w:styleId="upove">
    <w:name w:val="upov_e"/>
    <w:basedOn w:val="Normal"/>
    <w:rsid w:val="004469E6"/>
    <w:pPr>
      <w:spacing w:before="120"/>
    </w:pPr>
    <w:rPr>
      <w:sz w:val="16"/>
    </w:rPr>
  </w:style>
  <w:style w:type="paragraph" w:customStyle="1" w:styleId="Lettrine">
    <w:name w:val="Lettrine"/>
    <w:basedOn w:val="Normal"/>
    <w:rsid w:val="004469E6"/>
    <w:pPr>
      <w:spacing w:line="340" w:lineRule="atLeast"/>
      <w:jc w:val="right"/>
    </w:pPr>
    <w:rPr>
      <w:b/>
      <w:bCs/>
      <w:sz w:val="36"/>
    </w:rPr>
  </w:style>
  <w:style w:type="paragraph" w:customStyle="1" w:styleId="Sessiontc">
    <w:name w:val="Session_tc"/>
    <w:basedOn w:val="Normal"/>
    <w:rsid w:val="004469E6"/>
    <w:pPr>
      <w:spacing w:line="280" w:lineRule="exact"/>
      <w:jc w:val="left"/>
    </w:pPr>
    <w:rPr>
      <w:b/>
      <w:bCs/>
      <w:kern w:val="28"/>
    </w:rPr>
  </w:style>
  <w:style w:type="paragraph" w:customStyle="1" w:styleId="Sessiontcplacedate">
    <w:name w:val="Session_tc_place_date"/>
    <w:basedOn w:val="Normal"/>
    <w:rsid w:val="004469E6"/>
    <w:pPr>
      <w:spacing w:before="240"/>
      <w:contextualSpacing/>
      <w:jc w:val="left"/>
    </w:pPr>
    <w:rPr>
      <w:b/>
      <w:bCs/>
      <w:kern w:val="28"/>
    </w:rPr>
  </w:style>
  <w:style w:type="paragraph" w:customStyle="1" w:styleId="Titleofdoc">
    <w:name w:val="Title_of_doc"/>
    <w:basedOn w:val="Normal"/>
    <w:rsid w:val="004469E6"/>
    <w:pPr>
      <w:spacing w:before="600" w:after="240"/>
      <w:jc w:val="left"/>
    </w:pPr>
    <w:rPr>
      <w:b/>
      <w:caps/>
    </w:rPr>
  </w:style>
  <w:style w:type="paragraph" w:customStyle="1" w:styleId="preparedby">
    <w:name w:val="prepared_by"/>
    <w:basedOn w:val="Normal"/>
    <w:rsid w:val="004469E6"/>
    <w:pPr>
      <w:spacing w:after="240"/>
      <w:jc w:val="center"/>
    </w:pPr>
    <w:rPr>
      <w:i/>
      <w:iCs/>
    </w:rPr>
  </w:style>
  <w:style w:type="character" w:customStyle="1" w:styleId="DocoriginalChar">
    <w:name w:val="Doc_original Char"/>
    <w:basedOn w:val="DefaultParagraphFont"/>
    <w:link w:val="Docoriginal"/>
    <w:rsid w:val="004469E6"/>
    <w:rPr>
      <w:rFonts w:ascii="Arial" w:hAnsi="Arial"/>
      <w:b/>
      <w:bCs/>
      <w:spacing w:val="10"/>
      <w:sz w:val="18"/>
      <w:lang w:val="fr-FR"/>
    </w:rPr>
  </w:style>
  <w:style w:type="paragraph" w:customStyle="1" w:styleId="Doccode">
    <w:name w:val="Doc_code"/>
    <w:qFormat/>
    <w:rsid w:val="004469E6"/>
    <w:rPr>
      <w:rFonts w:ascii="Arial" w:hAnsi="Arial"/>
      <w:b/>
      <w:bCs/>
      <w:spacing w:val="10"/>
      <w:sz w:val="18"/>
      <w:lang w:val="fr-FR"/>
    </w:rPr>
  </w:style>
  <w:style w:type="character" w:styleId="PageNumber">
    <w:name w:val="page number"/>
    <w:basedOn w:val="DefaultParagraphFont"/>
    <w:rsid w:val="004469E6"/>
    <w:rPr>
      <w:rFonts w:ascii="Arial" w:hAnsi="Arial"/>
      <w:sz w:val="20"/>
    </w:rPr>
  </w:style>
  <w:style w:type="character" w:styleId="Hyperlink">
    <w:name w:val="Hyperlink"/>
    <w:basedOn w:val="DefaultParagraphFont"/>
    <w:semiHidden/>
    <w:unhideWhenUsed/>
    <w:rsid w:val="00CE3B71"/>
    <w:rPr>
      <w:color w:val="0000FF" w:themeColor="hyperlink"/>
      <w:u w:val="single"/>
    </w:rPr>
  </w:style>
  <w:style w:type="paragraph" w:styleId="ListParagraph">
    <w:name w:val="List Paragraph"/>
    <w:aliases w:val="auto_list_(i),List Paragraph1"/>
    <w:basedOn w:val="Normal"/>
    <w:link w:val="ListParagraphChar"/>
    <w:uiPriority w:val="34"/>
    <w:qFormat/>
    <w:rsid w:val="0004023C"/>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214BD3"/>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44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www.upov.int/edocs/mdocs/upov/fr/c_55/c_55_18.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upov.int/meetings/fr/details.jsp?meeting_id=74772" TargetMode="External"/><Relationship Id="rId17" Type="http://schemas.openxmlformats.org/officeDocument/2006/relationships/hyperlink" Target="https://www.upov.int/edocs/mdocs/upov/fr/c_55/c_55_18.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fr/details.jsp?meeting_id=70189"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hyperlink" Target="https://www.upov.int/meetings/fr/details.jsp?meeting_id=67775"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pov.int/edocs/mdocs/upov/fr/wg_shf_1/wg_shf_1_2.pdf" TargetMode="External"/><Relationship Id="rId14" Type="http://schemas.openxmlformats.org/officeDocument/2006/relationships/header" Target="head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56A14-2511-4504-B085-CBA9023AE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2978</Words>
  <Characters>17076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WG-SHF/3/2</vt:lpstr>
    </vt:vector>
  </TitlesOfParts>
  <Company>World Intellectual Property Organization</Company>
  <LinksUpToDate>false</LinksUpToDate>
  <CharactersWithSpaces>20014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WG-SHF/3/2</dc:title>
  <dc:subject>Wipo Templates</dc:subject>
  <dc:creator>AUBERT Annaelle</dc:creator>
  <cp:keywords/>
  <dc:description/>
  <cp:lastModifiedBy>HUERTA-CASADO Yolanda</cp:lastModifiedBy>
  <cp:revision>15</cp:revision>
  <dcterms:created xsi:type="dcterms:W3CDTF">2023-03-21T14:45:00Z</dcterms:created>
  <dcterms:modified xsi:type="dcterms:W3CDTF">2023-03-22T19:37:00Z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a2a238cd-7c65-4fac-b5bb-55367ad9bf11</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