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6522"/>
        <w:gridCol w:w="3117"/>
      </w:tblGrid>
      <w:tr w:rsidR="00CB661B" w:rsidRPr="00CB661B" w14:paraId="46DDF529" w14:textId="77777777">
        <w:tc>
          <w:tcPr>
            <w:tcW w:w="6522" w:type="dxa"/>
            <w:hideMark/>
          </w:tcPr>
          <w:p w14:paraId="0F9B9B8D" w14:textId="77777777" w:rsidR="00CB661B" w:rsidRPr="00CB661B" w:rsidRDefault="00CB661B" w:rsidP="00CB661B">
            <w:pPr>
              <w:widowControl/>
              <w:autoSpaceDE/>
              <w:autoSpaceDN/>
              <w:jc w:val="both"/>
              <w:rPr>
                <w:rFonts w:ascii="Arial" w:hAnsi="Arial"/>
                <w:sz w:val="20"/>
                <w:szCs w:val="20"/>
                <w:lang w:val="fr-FR"/>
              </w:rPr>
            </w:pPr>
            <w:bookmarkStart w:id="0" w:name="_Hlk221803309"/>
            <w:r w:rsidRPr="00CB661B">
              <w:rPr>
                <w:rFonts w:ascii="Arial" w:hAnsi="Arial"/>
                <w:noProof/>
                <w:sz w:val="20"/>
                <w:szCs w:val="20"/>
                <w:lang w:val="fr-FR"/>
              </w:rPr>
              <w:drawing>
                <wp:inline distT="0" distB="0" distL="0" distR="0" wp14:anchorId="7E968E5F" wp14:editId="70E0D1AA">
                  <wp:extent cx="933450" cy="2667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p>
        </w:tc>
        <w:tc>
          <w:tcPr>
            <w:tcW w:w="3117" w:type="dxa"/>
            <w:hideMark/>
          </w:tcPr>
          <w:p w14:paraId="5FAB3A07" w14:textId="77777777" w:rsidR="00CB661B" w:rsidRPr="00CB661B" w:rsidRDefault="00CB661B" w:rsidP="00CB661B">
            <w:pPr>
              <w:widowControl/>
              <w:autoSpaceDE/>
              <w:autoSpaceDN/>
              <w:spacing w:line="340" w:lineRule="atLeast"/>
              <w:jc w:val="right"/>
              <w:rPr>
                <w:rFonts w:ascii="Arial" w:hAnsi="Arial"/>
                <w:b/>
                <w:bCs/>
                <w:sz w:val="36"/>
                <w:szCs w:val="20"/>
                <w:lang w:val="fr-FR"/>
              </w:rPr>
            </w:pPr>
            <w:r w:rsidRPr="00CB661B">
              <w:rPr>
                <w:rFonts w:ascii="Arial" w:hAnsi="Arial"/>
                <w:b/>
                <w:bCs/>
                <w:sz w:val="36"/>
                <w:szCs w:val="20"/>
                <w:lang w:val="fr-FR"/>
              </w:rPr>
              <w:t>F</w:t>
            </w:r>
          </w:p>
        </w:tc>
      </w:tr>
      <w:tr w:rsidR="00CB661B" w:rsidRPr="009B5FF6" w14:paraId="65842CCB" w14:textId="77777777">
        <w:trPr>
          <w:trHeight w:val="219"/>
        </w:trPr>
        <w:tc>
          <w:tcPr>
            <w:tcW w:w="6522" w:type="dxa"/>
            <w:hideMark/>
          </w:tcPr>
          <w:p w14:paraId="4C12FED6" w14:textId="77777777" w:rsidR="00CB661B" w:rsidRPr="00CB661B" w:rsidRDefault="00CB661B" w:rsidP="00CB661B">
            <w:pPr>
              <w:widowControl/>
              <w:autoSpaceDE/>
              <w:autoSpaceDN/>
              <w:spacing w:before="120"/>
              <w:jc w:val="both"/>
              <w:rPr>
                <w:rFonts w:ascii="Arial" w:hAnsi="Arial"/>
                <w:sz w:val="16"/>
                <w:szCs w:val="20"/>
                <w:lang w:val="fr-FR"/>
              </w:rPr>
            </w:pPr>
            <w:r w:rsidRPr="00CB661B">
              <w:rPr>
                <w:rFonts w:ascii="Arial" w:hAnsi="Arial"/>
                <w:sz w:val="16"/>
                <w:szCs w:val="20"/>
                <w:lang w:val="fr-FR"/>
              </w:rPr>
              <w:t>Union internationale pour la protection des obtentions végétales</w:t>
            </w:r>
          </w:p>
        </w:tc>
        <w:tc>
          <w:tcPr>
            <w:tcW w:w="3117" w:type="dxa"/>
          </w:tcPr>
          <w:p w14:paraId="0FC72286" w14:textId="77777777" w:rsidR="00CB661B" w:rsidRPr="00CB661B" w:rsidRDefault="00CB661B" w:rsidP="00CB661B">
            <w:pPr>
              <w:widowControl/>
              <w:autoSpaceDE/>
              <w:autoSpaceDN/>
              <w:jc w:val="both"/>
              <w:rPr>
                <w:rFonts w:ascii="Arial" w:hAnsi="Arial"/>
                <w:sz w:val="20"/>
                <w:szCs w:val="20"/>
                <w:lang w:val="fr-FR"/>
              </w:rPr>
            </w:pPr>
          </w:p>
        </w:tc>
      </w:tr>
    </w:tbl>
    <w:p w14:paraId="1AB757D7" w14:textId="77777777" w:rsidR="00CB661B" w:rsidRPr="00CB661B" w:rsidRDefault="00CB661B" w:rsidP="00CB661B">
      <w:pPr>
        <w:widowControl/>
        <w:autoSpaceDE/>
        <w:autoSpaceDN/>
        <w:jc w:val="both"/>
        <w:rPr>
          <w:rFonts w:ascii="Arial" w:hAnsi="Arial"/>
          <w:sz w:val="20"/>
          <w:szCs w:val="20"/>
          <w:lang w:val="fr-FR"/>
        </w:rPr>
      </w:pPr>
    </w:p>
    <w:p w14:paraId="06B1A2C2" w14:textId="77777777" w:rsidR="00CB661B" w:rsidRPr="00CB661B" w:rsidRDefault="00CB661B" w:rsidP="00CB661B">
      <w:pPr>
        <w:widowControl/>
        <w:autoSpaceDE/>
        <w:autoSpaceDN/>
        <w:jc w:val="both"/>
        <w:rPr>
          <w:rFonts w:ascii="Arial" w:hAnsi="Arial"/>
          <w:sz w:val="20"/>
          <w:szCs w:val="20"/>
          <w:lang w:val="fr-FR"/>
        </w:rPr>
      </w:pPr>
    </w:p>
    <w:tbl>
      <w:tblPr>
        <w:tblW w:w="5000" w:type="pct"/>
        <w:tblBorders>
          <w:bottom w:val="single" w:sz="4" w:space="0" w:color="auto"/>
        </w:tblBorders>
        <w:tblLayout w:type="fixed"/>
        <w:tblCellMar>
          <w:top w:w="113" w:type="dxa"/>
          <w:left w:w="0" w:type="dxa"/>
          <w:bottom w:w="113" w:type="dxa"/>
          <w:right w:w="0" w:type="dxa"/>
        </w:tblCellMar>
        <w:tblLook w:val="04A0" w:firstRow="1" w:lastRow="0" w:firstColumn="1" w:lastColumn="0" w:noHBand="0" w:noVBand="1"/>
      </w:tblPr>
      <w:tblGrid>
        <w:gridCol w:w="6512"/>
        <w:gridCol w:w="3127"/>
      </w:tblGrid>
      <w:tr w:rsidR="00CB661B" w:rsidRPr="009B5FF6" w14:paraId="0A7CA41E" w14:textId="77777777">
        <w:tc>
          <w:tcPr>
            <w:tcW w:w="6512" w:type="dxa"/>
            <w:tcBorders>
              <w:top w:val="nil"/>
              <w:left w:val="nil"/>
              <w:bottom w:val="single" w:sz="4" w:space="0" w:color="auto"/>
              <w:right w:val="nil"/>
            </w:tcBorders>
            <w:hideMark/>
          </w:tcPr>
          <w:p w14:paraId="67BDA32C" w14:textId="77777777" w:rsidR="00CB661B" w:rsidRDefault="00CB661B" w:rsidP="00CB661B">
            <w:pPr>
              <w:widowControl/>
              <w:autoSpaceDE/>
              <w:autoSpaceDN/>
              <w:rPr>
                <w:rFonts w:ascii="Arial" w:hAnsi="Arial"/>
                <w:b/>
                <w:bCs/>
                <w:kern w:val="28"/>
                <w:sz w:val="20"/>
                <w:szCs w:val="20"/>
                <w:lang w:val="fr-FR"/>
              </w:rPr>
            </w:pPr>
            <w:r w:rsidRPr="00CB661B">
              <w:rPr>
                <w:rFonts w:ascii="Arial" w:hAnsi="Arial"/>
                <w:b/>
                <w:bCs/>
                <w:kern w:val="28"/>
                <w:sz w:val="20"/>
                <w:szCs w:val="20"/>
                <w:lang w:val="fr-FR"/>
              </w:rPr>
              <w:t>Groupe de travail sur le produit de la récolte et l’utilisation non autorisée de matériel de reproduction ou de multiplication</w:t>
            </w:r>
          </w:p>
          <w:p w14:paraId="0B6733C2" w14:textId="77777777" w:rsidR="00670EF3" w:rsidRPr="00CB661B" w:rsidRDefault="00670EF3" w:rsidP="00CB661B">
            <w:pPr>
              <w:widowControl/>
              <w:autoSpaceDE/>
              <w:autoSpaceDN/>
              <w:rPr>
                <w:rFonts w:ascii="Arial" w:hAnsi="Arial"/>
                <w:b/>
                <w:bCs/>
                <w:kern w:val="28"/>
                <w:sz w:val="20"/>
                <w:szCs w:val="20"/>
                <w:lang w:val="fr-FR"/>
              </w:rPr>
            </w:pPr>
          </w:p>
          <w:p w14:paraId="7129BFC0" w14:textId="77777777" w:rsidR="00CB661B" w:rsidRPr="00CB661B" w:rsidRDefault="00CB661B" w:rsidP="00CB661B">
            <w:pPr>
              <w:widowControl/>
              <w:autoSpaceDE/>
              <w:autoSpaceDN/>
              <w:spacing w:before="240"/>
              <w:contextualSpacing/>
              <w:rPr>
                <w:rFonts w:ascii="Arial" w:hAnsi="Arial"/>
                <w:b/>
                <w:bCs/>
                <w:kern w:val="28"/>
                <w:sz w:val="20"/>
                <w:szCs w:val="20"/>
                <w:lang w:val="fr-FR"/>
              </w:rPr>
            </w:pPr>
            <w:r w:rsidRPr="00CB661B">
              <w:rPr>
                <w:rFonts w:ascii="Arial" w:hAnsi="Arial"/>
                <w:b/>
                <w:bCs/>
                <w:kern w:val="28"/>
                <w:sz w:val="20"/>
                <w:szCs w:val="20"/>
                <w:lang w:val="fr-FR"/>
              </w:rPr>
              <w:t>Neuvième réunion</w:t>
            </w:r>
          </w:p>
          <w:p w14:paraId="69AE10C0" w14:textId="77777777" w:rsidR="00CB661B" w:rsidRPr="00CB661B" w:rsidRDefault="00CB661B" w:rsidP="00CB661B">
            <w:pPr>
              <w:widowControl/>
              <w:autoSpaceDE/>
              <w:autoSpaceDN/>
              <w:spacing w:before="240"/>
              <w:contextualSpacing/>
              <w:rPr>
                <w:rFonts w:ascii="Arial" w:hAnsi="Arial"/>
                <w:b/>
                <w:bCs/>
                <w:kern w:val="28"/>
                <w:szCs w:val="20"/>
                <w:lang w:val="fr-FR"/>
              </w:rPr>
            </w:pPr>
            <w:r w:rsidRPr="00CB661B">
              <w:rPr>
                <w:rFonts w:ascii="Arial" w:hAnsi="Arial"/>
                <w:b/>
                <w:bCs/>
                <w:kern w:val="28"/>
                <w:sz w:val="20"/>
                <w:szCs w:val="20"/>
                <w:lang w:val="fr-FR"/>
              </w:rPr>
              <w:t>Genève, 19 mars 2026</w:t>
            </w:r>
          </w:p>
        </w:tc>
        <w:tc>
          <w:tcPr>
            <w:tcW w:w="3127" w:type="dxa"/>
            <w:tcBorders>
              <w:top w:val="nil"/>
              <w:left w:val="nil"/>
              <w:bottom w:val="single" w:sz="4" w:space="0" w:color="auto"/>
              <w:right w:val="nil"/>
            </w:tcBorders>
          </w:tcPr>
          <w:p w14:paraId="55C57415" w14:textId="77777777" w:rsidR="00CB661B" w:rsidRPr="00CB661B" w:rsidRDefault="00CB661B" w:rsidP="00CB661B">
            <w:pPr>
              <w:widowControl/>
              <w:autoSpaceDE/>
              <w:autoSpaceDN/>
              <w:rPr>
                <w:rFonts w:ascii="Arial" w:hAnsi="Arial"/>
                <w:b/>
                <w:bCs/>
                <w:spacing w:val="10"/>
                <w:sz w:val="18"/>
                <w:szCs w:val="20"/>
                <w:lang w:val="fr-FR"/>
              </w:rPr>
            </w:pPr>
            <w:r w:rsidRPr="00CB661B">
              <w:rPr>
                <w:rFonts w:ascii="Arial" w:hAnsi="Arial"/>
                <w:b/>
                <w:bCs/>
                <w:spacing w:val="10"/>
                <w:sz w:val="18"/>
                <w:szCs w:val="20"/>
                <w:lang w:val="fr-FR"/>
              </w:rPr>
              <w:t>WG-HRV/9/2</w:t>
            </w:r>
          </w:p>
          <w:p w14:paraId="13033DC5" w14:textId="77777777" w:rsidR="00CB661B" w:rsidRDefault="00CB661B" w:rsidP="00CB661B">
            <w:pPr>
              <w:widowControl/>
              <w:autoSpaceDE/>
              <w:autoSpaceDN/>
              <w:rPr>
                <w:rFonts w:ascii="Arial" w:hAnsi="Arial"/>
                <w:b/>
                <w:bCs/>
                <w:spacing w:val="10"/>
                <w:sz w:val="18"/>
                <w:szCs w:val="20"/>
                <w:lang w:val="fr-FR"/>
              </w:rPr>
            </w:pPr>
          </w:p>
          <w:p w14:paraId="0C73005E" w14:textId="77777777" w:rsidR="00192B44" w:rsidRPr="00CB661B" w:rsidRDefault="00192B44" w:rsidP="00CB661B">
            <w:pPr>
              <w:widowControl/>
              <w:autoSpaceDE/>
              <w:autoSpaceDN/>
              <w:rPr>
                <w:rFonts w:ascii="Arial" w:hAnsi="Arial"/>
                <w:b/>
                <w:bCs/>
                <w:spacing w:val="10"/>
                <w:sz w:val="18"/>
                <w:szCs w:val="20"/>
                <w:lang w:val="fr-FR"/>
              </w:rPr>
            </w:pPr>
          </w:p>
          <w:p w14:paraId="7E6576DE" w14:textId="77777777" w:rsidR="00CB661B" w:rsidRPr="00CB661B" w:rsidRDefault="00CB661B" w:rsidP="00CB661B">
            <w:pPr>
              <w:widowControl/>
              <w:autoSpaceDE/>
              <w:autoSpaceDN/>
              <w:spacing w:before="240" w:line="240" w:lineRule="exact"/>
              <w:contextualSpacing/>
              <w:rPr>
                <w:rFonts w:ascii="Arial" w:eastAsia="Calibri" w:hAnsi="Arial" w:cs="Arial"/>
                <w:b/>
                <w:bCs/>
                <w:spacing w:val="10"/>
                <w:sz w:val="18"/>
                <w:lang w:val="fr-FR"/>
              </w:rPr>
            </w:pPr>
            <w:proofErr w:type="gramStart"/>
            <w:r w:rsidRPr="00CB661B">
              <w:rPr>
                <w:rFonts w:ascii="Arial" w:eastAsia="Calibri" w:hAnsi="Arial" w:cs="Arial"/>
                <w:b/>
                <w:bCs/>
                <w:spacing w:val="10"/>
                <w:sz w:val="18"/>
                <w:lang w:val="fr-FR"/>
              </w:rPr>
              <w:t>Original:</w:t>
            </w:r>
            <w:proofErr w:type="gramEnd"/>
            <w:r w:rsidRPr="00CB661B">
              <w:rPr>
                <w:rFonts w:ascii="Arial" w:eastAsia="Calibri" w:hAnsi="Arial" w:cs="Arial"/>
                <w:bCs/>
                <w:sz w:val="18"/>
                <w:lang w:val="fr-FR"/>
              </w:rPr>
              <w:t xml:space="preserve">  anglais</w:t>
            </w:r>
          </w:p>
          <w:p w14:paraId="158E2DB8" w14:textId="77777777" w:rsidR="00CB661B" w:rsidRPr="00CB661B" w:rsidRDefault="00CB661B" w:rsidP="00CB661B">
            <w:pPr>
              <w:widowControl/>
              <w:autoSpaceDE/>
              <w:autoSpaceDN/>
              <w:spacing w:before="240" w:line="240" w:lineRule="exact"/>
              <w:contextualSpacing/>
              <w:rPr>
                <w:rFonts w:ascii="Arial" w:eastAsia="Calibri" w:hAnsi="Arial" w:cs="Arial"/>
                <w:b/>
                <w:bCs/>
                <w:spacing w:val="10"/>
                <w:sz w:val="18"/>
                <w:lang w:val="fr-FR"/>
              </w:rPr>
            </w:pPr>
            <w:proofErr w:type="gramStart"/>
            <w:r w:rsidRPr="00CB661B">
              <w:rPr>
                <w:rFonts w:ascii="Arial" w:eastAsia="Calibri" w:hAnsi="Arial" w:cs="Arial"/>
                <w:b/>
                <w:bCs/>
                <w:spacing w:val="10"/>
                <w:sz w:val="18"/>
                <w:lang w:val="fr-FR"/>
              </w:rPr>
              <w:t>Date:</w:t>
            </w:r>
            <w:proofErr w:type="gramEnd"/>
            <w:r w:rsidRPr="00CB661B">
              <w:rPr>
                <w:rFonts w:ascii="Arial" w:eastAsia="Calibri" w:hAnsi="Arial" w:cs="Arial"/>
                <w:bCs/>
                <w:sz w:val="18"/>
                <w:lang w:val="fr-FR"/>
              </w:rPr>
              <w:t xml:space="preserve">  22 janvier 2026</w:t>
            </w:r>
          </w:p>
        </w:tc>
      </w:tr>
    </w:tbl>
    <w:p w14:paraId="6AB0D62F" w14:textId="77777777" w:rsidR="00CB661B" w:rsidRPr="00CB661B" w:rsidRDefault="00CB661B" w:rsidP="00CB661B">
      <w:pPr>
        <w:widowControl/>
        <w:autoSpaceDE/>
        <w:autoSpaceDN/>
        <w:spacing w:before="600" w:after="240"/>
        <w:rPr>
          <w:rFonts w:ascii="Arial" w:hAnsi="Arial"/>
          <w:b/>
          <w:caps/>
          <w:sz w:val="20"/>
          <w:szCs w:val="20"/>
          <w:lang w:val="fr-FR"/>
        </w:rPr>
      </w:pPr>
      <w:r w:rsidRPr="00CB661B">
        <w:rPr>
          <w:rFonts w:ascii="Arial" w:hAnsi="Arial"/>
          <w:b/>
          <w:caps/>
          <w:sz w:val="20"/>
          <w:szCs w:val="20"/>
          <w:lang w:val="fr-FR"/>
        </w:rPr>
        <w:t>Étude sur l’“Étendue du droit d’obtenteur” et le rapport avec l’“Épuisement du droit d’obtenteur”</w:t>
      </w:r>
    </w:p>
    <w:p w14:paraId="1D15A743" w14:textId="77777777" w:rsidR="00CB661B" w:rsidRPr="00CB661B" w:rsidRDefault="00CB661B" w:rsidP="00CB661B">
      <w:pPr>
        <w:widowControl/>
        <w:autoSpaceDE/>
        <w:autoSpaceDN/>
        <w:spacing w:after="240"/>
        <w:rPr>
          <w:rFonts w:ascii="Arial" w:hAnsi="Arial"/>
          <w:i/>
          <w:iCs/>
          <w:sz w:val="20"/>
          <w:szCs w:val="20"/>
          <w:lang w:val="fr-FR"/>
        </w:rPr>
      </w:pPr>
      <w:r w:rsidRPr="00CB661B">
        <w:rPr>
          <w:rFonts w:ascii="Arial" w:hAnsi="Arial"/>
          <w:i/>
          <w:iCs/>
          <w:sz w:val="20"/>
          <w:szCs w:val="20"/>
          <w:lang w:val="fr-FR"/>
        </w:rPr>
        <w:t>Document établi par le Bureau de l’Union</w:t>
      </w:r>
    </w:p>
    <w:p w14:paraId="62BE752D" w14:textId="77777777" w:rsidR="00CB661B" w:rsidRPr="00CB661B" w:rsidRDefault="00CB661B" w:rsidP="00CB661B">
      <w:pPr>
        <w:widowControl/>
        <w:autoSpaceDE/>
        <w:autoSpaceDN/>
        <w:spacing w:after="600"/>
        <w:rPr>
          <w:rFonts w:ascii="Arial" w:hAnsi="Arial"/>
          <w:i/>
          <w:iCs/>
          <w:color w:val="A6A6A6"/>
          <w:sz w:val="20"/>
          <w:szCs w:val="20"/>
          <w:lang w:val="fr-FR"/>
        </w:rPr>
      </w:pPr>
      <w:r w:rsidRPr="00CB661B">
        <w:rPr>
          <w:rFonts w:ascii="Arial" w:hAnsi="Arial"/>
          <w:i/>
          <w:iCs/>
          <w:color w:val="A6A6A6"/>
          <w:sz w:val="20"/>
          <w:szCs w:val="20"/>
          <w:lang w:val="fr-FR"/>
        </w:rPr>
        <w:t>Avertissement : le présent document ne représente pas les principes ou les orientations de l’UPOV</w:t>
      </w:r>
      <w:r w:rsidRPr="00CB661B">
        <w:rPr>
          <w:rFonts w:ascii="Arial" w:hAnsi="Arial"/>
          <w:i/>
          <w:iCs/>
          <w:color w:val="A6A6A6"/>
          <w:sz w:val="20"/>
          <w:szCs w:val="20"/>
          <w:lang w:val="fr-FR"/>
        </w:rPr>
        <w:br/>
      </w:r>
      <w:r w:rsidRPr="00CB661B">
        <w:rPr>
          <w:rFonts w:ascii="Arial" w:hAnsi="Arial"/>
          <w:i/>
          <w:iCs/>
          <w:color w:val="A6A6A6"/>
          <w:sz w:val="20"/>
          <w:szCs w:val="20"/>
          <w:lang w:val="fr-FR"/>
        </w:rPr>
        <w:br/>
        <w:t>Ce document a été généré à l'aide d'une traduction automatique dont l'exactitude ne peut être garantie. Par conséquent, le texte dans la langue originale est la seule version authentique.</w:t>
      </w:r>
    </w:p>
    <w:p w14:paraId="3FA23642" w14:textId="77777777" w:rsidR="00CB661B" w:rsidRPr="00CB661B" w:rsidRDefault="00CB661B" w:rsidP="00CB661B">
      <w:pPr>
        <w:keepNext/>
        <w:widowControl/>
        <w:autoSpaceDE/>
        <w:autoSpaceDN/>
        <w:jc w:val="both"/>
        <w:outlineLvl w:val="0"/>
        <w:rPr>
          <w:rFonts w:ascii="Arial" w:hAnsi="Arial"/>
          <w:caps/>
          <w:sz w:val="20"/>
          <w:szCs w:val="20"/>
          <w:lang w:val="fr-FR"/>
        </w:rPr>
      </w:pPr>
      <w:r w:rsidRPr="00CB661B">
        <w:rPr>
          <w:rFonts w:ascii="Arial" w:hAnsi="Arial"/>
          <w:caps/>
          <w:sz w:val="20"/>
          <w:szCs w:val="20"/>
          <w:lang w:val="fr-FR"/>
        </w:rPr>
        <w:t>CONTEXTE</w:t>
      </w:r>
    </w:p>
    <w:p w14:paraId="4D0865EE" w14:textId="77777777" w:rsidR="00CB661B" w:rsidRPr="00CB661B" w:rsidRDefault="00CB661B" w:rsidP="00CB661B">
      <w:pPr>
        <w:widowControl/>
        <w:autoSpaceDE/>
        <w:autoSpaceDN/>
        <w:jc w:val="both"/>
        <w:rPr>
          <w:rFonts w:ascii="Arial" w:hAnsi="Arial" w:cs="Arial"/>
          <w:sz w:val="20"/>
          <w:szCs w:val="20"/>
          <w:lang w:val="fr-FR"/>
        </w:rPr>
      </w:pPr>
    </w:p>
    <w:p w14:paraId="563B4123" w14:textId="729B4741" w:rsidR="00CB661B" w:rsidRPr="00CB661B" w:rsidRDefault="00CB661B" w:rsidP="00CB661B">
      <w:pPr>
        <w:widowControl/>
        <w:autoSpaceDE/>
        <w:autoSpaceDN/>
        <w:jc w:val="both"/>
        <w:rPr>
          <w:rFonts w:ascii="Arial" w:hAnsi="Arial" w:cs="Arial"/>
          <w:sz w:val="20"/>
          <w:szCs w:val="20"/>
          <w:lang w:val="fr-FR"/>
        </w:rPr>
      </w:pPr>
      <w:r w:rsidRPr="00CB661B">
        <w:rPr>
          <w:rFonts w:ascii="Arial" w:hAnsi="Arial" w:cs="Arial"/>
          <w:sz w:val="20"/>
          <w:szCs w:val="20"/>
          <w:lang w:val="fr-FR"/>
        </w:rPr>
        <w:fldChar w:fldCharType="begin"/>
      </w:r>
      <w:r w:rsidRPr="00CB661B">
        <w:rPr>
          <w:rFonts w:ascii="Arial" w:hAnsi="Arial" w:cs="Arial"/>
          <w:sz w:val="20"/>
          <w:szCs w:val="20"/>
          <w:lang w:val="fr-FR"/>
        </w:rPr>
        <w:instrText xml:space="preserve"> AUTONUM  </w:instrText>
      </w:r>
      <w:r w:rsidRPr="00CB661B">
        <w:rPr>
          <w:rFonts w:ascii="Arial" w:hAnsi="Arial" w:cs="Arial"/>
          <w:sz w:val="20"/>
          <w:szCs w:val="20"/>
          <w:lang w:val="fr-FR"/>
        </w:rPr>
        <w:fldChar w:fldCharType="end"/>
      </w:r>
      <w:r w:rsidRPr="00CB661B">
        <w:rPr>
          <w:rFonts w:ascii="Arial" w:hAnsi="Arial" w:cs="Arial"/>
          <w:sz w:val="20"/>
          <w:szCs w:val="20"/>
          <w:lang w:val="fr-FR"/>
        </w:rPr>
        <w:tab/>
        <w:t xml:space="preserve">Le présent document a pour objet d'inviter le Groupe de travail sur le produit de la récolte et l’utilisation non autorisée de matériel de reproduction ou de multiplication (WG-HRV) à examiner la version finale de l'étude des auteurs sur « l'étendue du droit d'obtenteur » et </w:t>
      </w:r>
      <w:r w:rsidR="000C6C0B">
        <w:rPr>
          <w:rFonts w:ascii="Arial" w:hAnsi="Arial" w:cs="Arial"/>
          <w:sz w:val="20"/>
          <w:szCs w:val="20"/>
          <w:lang w:val="fr-FR"/>
        </w:rPr>
        <w:t>le</w:t>
      </w:r>
      <w:r w:rsidRPr="00CB661B">
        <w:rPr>
          <w:rFonts w:ascii="Arial" w:hAnsi="Arial" w:cs="Arial"/>
          <w:sz w:val="20"/>
          <w:szCs w:val="20"/>
          <w:lang w:val="fr-FR"/>
        </w:rPr>
        <w:t xml:space="preserve"> rapport avec « l'épuisement du droit d'obtenteur</w:t>
      </w:r>
      <w:r w:rsidR="000C6C0B">
        <w:rPr>
          <w:rFonts w:ascii="Arial" w:hAnsi="Arial" w:cs="Arial"/>
          <w:sz w:val="20"/>
          <w:szCs w:val="20"/>
          <w:lang w:val="fr-FR"/>
        </w:rPr>
        <w:t> </w:t>
      </w:r>
      <w:r w:rsidRPr="00CB661B">
        <w:rPr>
          <w:rFonts w:ascii="Arial" w:hAnsi="Arial" w:cs="Arial"/>
          <w:sz w:val="20"/>
          <w:szCs w:val="20"/>
          <w:lang w:val="fr-FR"/>
        </w:rPr>
        <w:t>».</w:t>
      </w:r>
    </w:p>
    <w:p w14:paraId="3A3EC836" w14:textId="77777777" w:rsidR="00CB661B" w:rsidRPr="00CB661B" w:rsidRDefault="00CB661B" w:rsidP="00CB661B">
      <w:pPr>
        <w:widowControl/>
        <w:autoSpaceDE/>
        <w:autoSpaceDN/>
        <w:jc w:val="both"/>
        <w:rPr>
          <w:rFonts w:ascii="Arial" w:hAnsi="Arial" w:cs="Arial"/>
          <w:sz w:val="20"/>
          <w:szCs w:val="20"/>
          <w:lang w:val="fr-FR"/>
        </w:rPr>
      </w:pPr>
    </w:p>
    <w:p w14:paraId="15939A0F" w14:textId="3384822D" w:rsidR="00CB661B" w:rsidRPr="00CB661B" w:rsidRDefault="00CB661B" w:rsidP="00CB661B">
      <w:pPr>
        <w:widowControl/>
        <w:autoSpaceDE/>
        <w:autoSpaceDN/>
        <w:jc w:val="both"/>
        <w:rPr>
          <w:rFonts w:ascii="Arial" w:hAnsi="Arial" w:cs="Arial"/>
          <w:sz w:val="20"/>
          <w:szCs w:val="20"/>
          <w:lang w:val="fr-FR"/>
        </w:rPr>
      </w:pPr>
      <w:r w:rsidRPr="00CB661B">
        <w:rPr>
          <w:rFonts w:ascii="Arial" w:hAnsi="Arial" w:cs="Arial"/>
          <w:sz w:val="20"/>
          <w:szCs w:val="20"/>
          <w:lang w:val="fr-FR"/>
        </w:rPr>
        <w:fldChar w:fldCharType="begin"/>
      </w:r>
      <w:r w:rsidRPr="00CB661B">
        <w:rPr>
          <w:rFonts w:ascii="Arial" w:hAnsi="Arial" w:cs="Arial"/>
          <w:sz w:val="20"/>
          <w:szCs w:val="20"/>
          <w:lang w:val="fr-FR"/>
        </w:rPr>
        <w:instrText xml:space="preserve"> AUTONUM  </w:instrText>
      </w:r>
      <w:r w:rsidRPr="00CB661B">
        <w:rPr>
          <w:rFonts w:ascii="Arial" w:hAnsi="Arial" w:cs="Arial"/>
          <w:sz w:val="20"/>
          <w:szCs w:val="20"/>
          <w:lang w:val="fr-FR"/>
        </w:rPr>
        <w:fldChar w:fldCharType="end"/>
      </w:r>
      <w:r w:rsidRPr="00CB661B">
        <w:rPr>
          <w:rFonts w:ascii="Arial" w:hAnsi="Arial" w:cs="Arial"/>
          <w:sz w:val="20"/>
          <w:szCs w:val="20"/>
          <w:lang w:val="fr-FR"/>
        </w:rPr>
        <w:tab/>
        <w:t>La présentation du projet d'étude faite par M. Huib Ghijsen lors de la huitième réunion</w:t>
      </w:r>
      <w:r w:rsidRPr="00CB661B">
        <w:rPr>
          <w:rFonts w:ascii="Arial" w:hAnsi="Arial" w:cs="Arial"/>
          <w:sz w:val="20"/>
          <w:szCs w:val="20"/>
          <w:vertAlign w:val="superscript"/>
          <w:lang w:val="fr-FR"/>
        </w:rPr>
        <w:footnoteReference w:id="1"/>
      </w:r>
      <w:r w:rsidRPr="00CB661B">
        <w:rPr>
          <w:rFonts w:ascii="Arial" w:hAnsi="Arial" w:cs="Arial"/>
          <w:sz w:val="20"/>
          <w:szCs w:val="20"/>
          <w:lang w:val="fr-FR"/>
        </w:rPr>
        <w:t xml:space="preserve"> du WG-HRV a porté principalement sur l'analyse préliminaire des intentions des rédacteurs de la Convention de 1991 concernant les notions d</w:t>
      </w:r>
      <w:proofErr w:type="gramStart"/>
      <w:r w:rsidRPr="00CB661B">
        <w:rPr>
          <w:rFonts w:ascii="Arial" w:hAnsi="Arial" w:cs="Arial"/>
          <w:sz w:val="20"/>
          <w:szCs w:val="20"/>
          <w:lang w:val="fr-FR"/>
        </w:rPr>
        <w:t>'«</w:t>
      </w:r>
      <w:proofErr w:type="gramEnd"/>
      <w:r w:rsidRPr="00CB661B">
        <w:rPr>
          <w:rFonts w:ascii="Arial" w:hAnsi="Arial" w:cs="Arial"/>
          <w:sz w:val="20"/>
          <w:szCs w:val="20"/>
          <w:lang w:val="fr-FR"/>
        </w:rPr>
        <w:t xml:space="preserve"> utilisation non autorisée » et d</w:t>
      </w:r>
      <w:proofErr w:type="gramStart"/>
      <w:r w:rsidRPr="00CB661B">
        <w:rPr>
          <w:rFonts w:ascii="Arial" w:hAnsi="Arial" w:cs="Arial"/>
          <w:sz w:val="20"/>
          <w:szCs w:val="20"/>
          <w:lang w:val="fr-FR"/>
        </w:rPr>
        <w:t>'«</w:t>
      </w:r>
      <w:proofErr w:type="gramEnd"/>
      <w:r w:rsidRPr="00CB661B">
        <w:rPr>
          <w:rFonts w:ascii="Arial" w:hAnsi="Arial" w:cs="Arial"/>
          <w:sz w:val="20"/>
          <w:szCs w:val="20"/>
          <w:lang w:val="fr-FR"/>
        </w:rPr>
        <w:t xml:space="preserve"> opportunité raisonnable ».  Il a indiqué que la relation avec « l'Épuisement du droit d'obtenteur » prévu à l'article 16 de l'Acte de 1991 ainsi que des résumés d'affaires judiciaires pertinentes provenant de membres de l'UPOV liés par l'Acte de 1991 feraient partie de la version finale de l'étude.</w:t>
      </w:r>
    </w:p>
    <w:p w14:paraId="5A89EE24" w14:textId="77777777" w:rsidR="00CB661B" w:rsidRPr="00CB661B" w:rsidRDefault="00CB661B" w:rsidP="00CB661B">
      <w:pPr>
        <w:widowControl/>
        <w:autoSpaceDE/>
        <w:autoSpaceDN/>
        <w:jc w:val="both"/>
        <w:rPr>
          <w:rFonts w:ascii="Arial" w:hAnsi="Arial" w:cs="Arial"/>
          <w:sz w:val="20"/>
          <w:szCs w:val="20"/>
          <w:lang w:val="fr-FR"/>
        </w:rPr>
      </w:pPr>
    </w:p>
    <w:p w14:paraId="7881B9DC" w14:textId="77777777" w:rsidR="00CB661B" w:rsidRPr="00CB661B" w:rsidRDefault="00CB661B" w:rsidP="00CB661B">
      <w:pPr>
        <w:widowControl/>
        <w:autoSpaceDE/>
        <w:autoSpaceDN/>
        <w:jc w:val="both"/>
        <w:rPr>
          <w:rFonts w:ascii="Arial" w:hAnsi="Arial" w:cs="Arial"/>
          <w:sz w:val="20"/>
          <w:szCs w:val="20"/>
          <w:lang w:val="fr-FR"/>
        </w:rPr>
      </w:pPr>
      <w:r w:rsidRPr="00CB661B">
        <w:rPr>
          <w:rFonts w:ascii="Arial" w:hAnsi="Arial" w:cs="Arial"/>
          <w:sz w:val="20"/>
          <w:szCs w:val="20"/>
          <w:lang w:val="fr-FR"/>
        </w:rPr>
        <w:fldChar w:fldCharType="begin"/>
      </w:r>
      <w:r w:rsidRPr="00CB661B">
        <w:rPr>
          <w:rFonts w:ascii="Arial" w:hAnsi="Arial" w:cs="Arial"/>
          <w:sz w:val="20"/>
          <w:szCs w:val="20"/>
          <w:lang w:val="fr-FR"/>
        </w:rPr>
        <w:instrText xml:space="preserve"> AUTONUM  </w:instrText>
      </w:r>
      <w:r w:rsidRPr="00CB661B">
        <w:rPr>
          <w:rFonts w:ascii="Arial" w:hAnsi="Arial" w:cs="Arial"/>
          <w:sz w:val="20"/>
          <w:szCs w:val="20"/>
          <w:lang w:val="fr-FR"/>
        </w:rPr>
        <w:fldChar w:fldCharType="end"/>
      </w:r>
      <w:r w:rsidRPr="00CB661B">
        <w:rPr>
          <w:rFonts w:ascii="Arial" w:hAnsi="Arial" w:cs="Arial"/>
          <w:sz w:val="20"/>
          <w:szCs w:val="20"/>
          <w:lang w:val="fr-FR"/>
        </w:rPr>
        <w:tab/>
        <w:t>Lors de sa huitième réunion, le WG-HRV a convenu que la version finale de l'étude serait remise au Bureau de l'Union le 15 décembre 2025.  Il a été convenu que l'étude serait mise à la disposition du WG-HRV en janvier 2026, ce qui laisserait au WG-HRV le temps d'examiner la version finale de l'étude avant la neuvième réunion du WG-HRV.</w:t>
      </w:r>
    </w:p>
    <w:p w14:paraId="23C42482" w14:textId="77777777" w:rsidR="00CB661B" w:rsidRPr="00CB661B" w:rsidRDefault="00CB661B" w:rsidP="00CB661B">
      <w:pPr>
        <w:widowControl/>
        <w:autoSpaceDE/>
        <w:autoSpaceDN/>
        <w:jc w:val="both"/>
        <w:rPr>
          <w:rFonts w:ascii="Arial" w:hAnsi="Arial" w:cs="Arial"/>
          <w:sz w:val="20"/>
          <w:szCs w:val="20"/>
          <w:lang w:val="fr-FR"/>
        </w:rPr>
      </w:pPr>
    </w:p>
    <w:p w14:paraId="36B9652C" w14:textId="77777777" w:rsidR="00CB661B" w:rsidRPr="00CB661B" w:rsidRDefault="00CB661B" w:rsidP="00CB661B">
      <w:pPr>
        <w:widowControl/>
        <w:autoSpaceDE/>
        <w:autoSpaceDN/>
        <w:jc w:val="both"/>
        <w:rPr>
          <w:rFonts w:ascii="Arial" w:hAnsi="Arial" w:cs="Arial"/>
          <w:sz w:val="20"/>
          <w:szCs w:val="20"/>
          <w:lang w:val="fr-FR"/>
        </w:rPr>
      </w:pPr>
      <w:r w:rsidRPr="00CB661B">
        <w:rPr>
          <w:rFonts w:ascii="Arial" w:hAnsi="Arial" w:cs="Arial"/>
          <w:sz w:val="20"/>
          <w:szCs w:val="20"/>
          <w:lang w:val="fr-FR"/>
        </w:rPr>
        <w:fldChar w:fldCharType="begin"/>
      </w:r>
      <w:r w:rsidRPr="00CB661B">
        <w:rPr>
          <w:rFonts w:ascii="Arial" w:hAnsi="Arial" w:cs="Arial"/>
          <w:sz w:val="20"/>
          <w:szCs w:val="20"/>
          <w:lang w:val="fr-FR"/>
        </w:rPr>
        <w:instrText xml:space="preserve"> AUTONUM  </w:instrText>
      </w:r>
      <w:r w:rsidRPr="00CB661B">
        <w:rPr>
          <w:rFonts w:ascii="Arial" w:hAnsi="Arial" w:cs="Arial"/>
          <w:sz w:val="20"/>
          <w:szCs w:val="20"/>
          <w:lang w:val="fr-FR"/>
        </w:rPr>
        <w:fldChar w:fldCharType="end"/>
      </w:r>
      <w:r w:rsidRPr="00CB661B">
        <w:rPr>
          <w:rFonts w:ascii="Arial" w:hAnsi="Arial" w:cs="Arial"/>
          <w:sz w:val="20"/>
          <w:szCs w:val="20"/>
          <w:lang w:val="fr-FR"/>
        </w:rPr>
        <w:tab/>
        <w:t xml:space="preserve">La version finale de l'étude fournie par les auteurs est reproduite dans l'annexe du présent document. </w:t>
      </w:r>
    </w:p>
    <w:p w14:paraId="016B0994" w14:textId="77777777" w:rsidR="00CB661B" w:rsidRPr="00CB661B" w:rsidRDefault="00CB661B" w:rsidP="00CB661B">
      <w:pPr>
        <w:widowControl/>
        <w:autoSpaceDE/>
        <w:autoSpaceDN/>
        <w:jc w:val="both"/>
        <w:rPr>
          <w:rFonts w:ascii="Arial" w:hAnsi="Arial"/>
          <w:sz w:val="20"/>
          <w:szCs w:val="20"/>
          <w:lang w:val="fr-FR"/>
        </w:rPr>
      </w:pPr>
    </w:p>
    <w:p w14:paraId="025B15E9" w14:textId="77777777" w:rsidR="00CB661B" w:rsidRPr="00CB661B" w:rsidRDefault="00CB661B" w:rsidP="00CB661B">
      <w:pPr>
        <w:widowControl/>
        <w:autoSpaceDE/>
        <w:autoSpaceDN/>
        <w:jc w:val="both"/>
        <w:rPr>
          <w:rFonts w:ascii="Arial" w:hAnsi="Arial"/>
          <w:sz w:val="20"/>
          <w:szCs w:val="20"/>
          <w:lang w:val="fr-FR"/>
        </w:rPr>
      </w:pPr>
    </w:p>
    <w:p w14:paraId="7B644663" w14:textId="77777777" w:rsidR="00CB661B" w:rsidRPr="00CB661B" w:rsidRDefault="00CB661B" w:rsidP="00CB661B">
      <w:pPr>
        <w:widowControl/>
        <w:tabs>
          <w:tab w:val="left" w:pos="5387"/>
          <w:tab w:val="left" w:pos="5954"/>
        </w:tabs>
        <w:autoSpaceDE/>
        <w:autoSpaceDN/>
        <w:ind w:left="4820"/>
        <w:jc w:val="both"/>
        <w:rPr>
          <w:rFonts w:ascii="Arial" w:hAnsi="Arial"/>
          <w:i/>
          <w:sz w:val="20"/>
          <w:szCs w:val="20"/>
          <w:lang w:val="fr-FR"/>
        </w:rPr>
      </w:pPr>
      <w:r w:rsidRPr="00CB661B">
        <w:rPr>
          <w:rFonts w:ascii="Arial" w:hAnsi="Arial" w:cs="Arial"/>
          <w:i/>
          <w:sz w:val="20"/>
          <w:szCs w:val="20"/>
          <w:lang w:val="fr-FR"/>
        </w:rPr>
        <w:fldChar w:fldCharType="begin"/>
      </w:r>
      <w:r w:rsidRPr="00CB661B">
        <w:rPr>
          <w:rFonts w:ascii="Arial" w:hAnsi="Arial" w:cs="Arial"/>
          <w:i/>
          <w:sz w:val="20"/>
          <w:szCs w:val="20"/>
          <w:lang w:val="fr-FR"/>
        </w:rPr>
        <w:instrText xml:space="preserve"> AUTONUM  </w:instrText>
      </w:r>
      <w:r w:rsidRPr="00CB661B">
        <w:rPr>
          <w:rFonts w:ascii="Arial" w:hAnsi="Arial" w:cs="Arial"/>
          <w:i/>
          <w:sz w:val="20"/>
          <w:szCs w:val="20"/>
          <w:lang w:val="fr-FR"/>
        </w:rPr>
        <w:fldChar w:fldCharType="end"/>
      </w:r>
      <w:r w:rsidRPr="00CB661B">
        <w:rPr>
          <w:rFonts w:ascii="Arial" w:hAnsi="Arial" w:cs="Arial"/>
          <w:i/>
          <w:sz w:val="20"/>
          <w:szCs w:val="20"/>
          <w:lang w:val="fr-FR"/>
        </w:rPr>
        <w:tab/>
        <w:t>Le WG-HRV est invité à examiner la version finale de l'étude fournie dans l'annexe du présent document.</w:t>
      </w:r>
    </w:p>
    <w:p w14:paraId="50ED38E3" w14:textId="77777777" w:rsidR="00CB661B" w:rsidRPr="00CB661B" w:rsidRDefault="00CB661B" w:rsidP="00CB661B">
      <w:pPr>
        <w:widowControl/>
        <w:autoSpaceDE/>
        <w:autoSpaceDN/>
        <w:rPr>
          <w:rFonts w:ascii="Arial" w:hAnsi="Arial"/>
          <w:sz w:val="20"/>
          <w:szCs w:val="20"/>
          <w:lang w:val="fr-FR"/>
        </w:rPr>
      </w:pPr>
    </w:p>
    <w:p w14:paraId="37AC43CB" w14:textId="77777777" w:rsidR="00CB661B" w:rsidRPr="00CB661B" w:rsidRDefault="00CB661B" w:rsidP="00CB661B">
      <w:pPr>
        <w:widowControl/>
        <w:autoSpaceDE/>
        <w:autoSpaceDN/>
        <w:rPr>
          <w:rFonts w:ascii="Arial" w:hAnsi="Arial"/>
          <w:sz w:val="20"/>
          <w:szCs w:val="20"/>
          <w:lang w:val="fr-FR"/>
        </w:rPr>
      </w:pPr>
    </w:p>
    <w:p w14:paraId="66B188BA" w14:textId="77777777" w:rsidR="00CB661B" w:rsidRPr="00CB661B" w:rsidRDefault="00CB661B" w:rsidP="00CB661B">
      <w:pPr>
        <w:widowControl/>
        <w:autoSpaceDE/>
        <w:autoSpaceDN/>
        <w:jc w:val="both"/>
        <w:rPr>
          <w:rFonts w:ascii="Arial" w:hAnsi="Arial"/>
          <w:sz w:val="20"/>
          <w:szCs w:val="20"/>
          <w:lang w:val="fr-FR"/>
        </w:rPr>
      </w:pPr>
    </w:p>
    <w:p w14:paraId="43D73A6F" w14:textId="77777777" w:rsidR="00CB661B" w:rsidRPr="00CB661B" w:rsidRDefault="00CB661B" w:rsidP="00CB661B">
      <w:pPr>
        <w:widowControl/>
        <w:autoSpaceDE/>
        <w:autoSpaceDN/>
        <w:jc w:val="right"/>
        <w:rPr>
          <w:rFonts w:ascii="Arial" w:hAnsi="Arial"/>
          <w:sz w:val="20"/>
          <w:szCs w:val="20"/>
          <w:lang w:val="fr-FR"/>
        </w:rPr>
      </w:pPr>
      <w:r w:rsidRPr="00CB661B">
        <w:rPr>
          <w:rFonts w:ascii="Arial" w:hAnsi="Arial"/>
          <w:sz w:val="20"/>
          <w:szCs w:val="20"/>
          <w:lang w:val="fr-FR"/>
        </w:rPr>
        <w:t>[L'annexe suit]</w:t>
      </w:r>
    </w:p>
    <w:p w14:paraId="32E99F9F" w14:textId="77777777" w:rsidR="00CB661B" w:rsidRPr="00CB661B" w:rsidRDefault="00CB661B" w:rsidP="00CB661B">
      <w:pPr>
        <w:widowControl/>
        <w:autoSpaceDE/>
        <w:autoSpaceDN/>
        <w:jc w:val="right"/>
        <w:rPr>
          <w:rFonts w:ascii="Arial" w:hAnsi="Arial"/>
          <w:sz w:val="20"/>
          <w:szCs w:val="20"/>
          <w:lang w:val="fr-FR"/>
        </w:rPr>
      </w:pPr>
    </w:p>
    <w:p w14:paraId="479D74CC" w14:textId="77777777" w:rsidR="00CB661B" w:rsidRPr="00CB661B" w:rsidRDefault="00CB661B" w:rsidP="00CB661B">
      <w:pPr>
        <w:widowControl/>
        <w:autoSpaceDE/>
        <w:autoSpaceDN/>
        <w:rPr>
          <w:rFonts w:ascii="Arial" w:hAnsi="Arial"/>
          <w:sz w:val="20"/>
          <w:szCs w:val="20"/>
          <w:lang w:val="fr-FR"/>
        </w:rPr>
        <w:sectPr w:rsidR="00CB661B" w:rsidRPr="00CB661B" w:rsidSect="00CB661B">
          <w:type w:val="continuous"/>
          <w:pgSz w:w="11907" w:h="16840"/>
          <w:pgMar w:top="510" w:right="1134" w:bottom="1134" w:left="1134" w:header="510" w:footer="680" w:gutter="0"/>
          <w:cols w:space="720"/>
        </w:sectPr>
      </w:pPr>
    </w:p>
    <w:p w14:paraId="2C1F6A2A" w14:textId="7DD58AC1" w:rsidR="006B758D" w:rsidRPr="005D24B7" w:rsidRDefault="0076224E" w:rsidP="0076224E">
      <w:pPr>
        <w:pStyle w:val="BodyText"/>
        <w:jc w:val="center"/>
        <w:rPr>
          <w:i/>
          <w:iCs/>
          <w:sz w:val="20"/>
          <w:lang w:val="fr-FR"/>
        </w:rPr>
      </w:pPr>
      <w:r w:rsidRPr="005D24B7">
        <w:rPr>
          <w:i/>
          <w:iCs/>
          <w:sz w:val="20"/>
          <w:lang w:val="fr-FR"/>
        </w:rPr>
        <w:lastRenderedPageBreak/>
        <w:t>Ce document a été généré à l'aide d'une traduction automatique dont l'exactitude ne peut être garantie. Par conséquent, le texte dans la langue originale est la seule version authentique.</w:t>
      </w:r>
    </w:p>
    <w:p w14:paraId="4C38889A" w14:textId="77777777" w:rsidR="006B758D" w:rsidRPr="0076224E" w:rsidRDefault="006B758D">
      <w:pPr>
        <w:pStyle w:val="BodyText"/>
        <w:rPr>
          <w:sz w:val="20"/>
          <w:lang w:val="fr-FR"/>
        </w:rPr>
      </w:pPr>
    </w:p>
    <w:p w14:paraId="2FDD5064" w14:textId="77777777" w:rsidR="006B758D" w:rsidRPr="0076224E" w:rsidRDefault="006B758D">
      <w:pPr>
        <w:pStyle w:val="BodyText"/>
        <w:rPr>
          <w:sz w:val="20"/>
          <w:lang w:val="fr-FR"/>
        </w:rPr>
      </w:pPr>
    </w:p>
    <w:p w14:paraId="5861DB00" w14:textId="77777777" w:rsidR="006B758D" w:rsidRPr="0076224E" w:rsidRDefault="006B758D">
      <w:pPr>
        <w:pStyle w:val="BodyText"/>
        <w:rPr>
          <w:sz w:val="20"/>
          <w:lang w:val="fr-FR"/>
        </w:rPr>
      </w:pPr>
    </w:p>
    <w:p w14:paraId="3D1B8490" w14:textId="77777777" w:rsidR="006B758D" w:rsidRPr="0076224E" w:rsidRDefault="006B758D">
      <w:pPr>
        <w:pStyle w:val="BodyText"/>
        <w:rPr>
          <w:sz w:val="20"/>
          <w:lang w:val="fr-FR"/>
        </w:rPr>
      </w:pPr>
    </w:p>
    <w:p w14:paraId="63B961ED" w14:textId="77777777" w:rsidR="006B758D" w:rsidRPr="0076224E" w:rsidRDefault="006B758D">
      <w:pPr>
        <w:pStyle w:val="BodyText"/>
        <w:rPr>
          <w:sz w:val="20"/>
          <w:lang w:val="fr-FR"/>
        </w:rPr>
      </w:pPr>
    </w:p>
    <w:p w14:paraId="59EEA43A" w14:textId="77777777" w:rsidR="006B758D" w:rsidRPr="0076224E" w:rsidRDefault="006B758D">
      <w:pPr>
        <w:pStyle w:val="BodyText"/>
        <w:rPr>
          <w:sz w:val="20"/>
          <w:lang w:val="fr-FR"/>
        </w:rPr>
      </w:pPr>
    </w:p>
    <w:p w14:paraId="331F2AD3" w14:textId="77777777" w:rsidR="006B758D" w:rsidRPr="0076224E" w:rsidRDefault="006B758D">
      <w:pPr>
        <w:pStyle w:val="BodyText"/>
        <w:rPr>
          <w:sz w:val="20"/>
          <w:lang w:val="fr-FR"/>
        </w:rPr>
      </w:pPr>
    </w:p>
    <w:p w14:paraId="4DBAADC1" w14:textId="77777777" w:rsidR="006B758D" w:rsidRPr="0076224E" w:rsidRDefault="006B758D">
      <w:pPr>
        <w:pStyle w:val="BodyText"/>
        <w:rPr>
          <w:sz w:val="20"/>
          <w:lang w:val="fr-FR"/>
        </w:rPr>
      </w:pPr>
    </w:p>
    <w:p w14:paraId="0DA89B6F" w14:textId="77777777" w:rsidR="006B758D" w:rsidRPr="0076224E" w:rsidRDefault="006B758D">
      <w:pPr>
        <w:pStyle w:val="BodyText"/>
        <w:rPr>
          <w:sz w:val="20"/>
          <w:lang w:val="fr-FR"/>
        </w:rPr>
      </w:pPr>
    </w:p>
    <w:p w14:paraId="185FAE65" w14:textId="77777777" w:rsidR="006B758D" w:rsidRPr="0076224E" w:rsidRDefault="006B758D">
      <w:pPr>
        <w:pStyle w:val="BodyText"/>
        <w:rPr>
          <w:sz w:val="20"/>
          <w:lang w:val="fr-FR"/>
        </w:rPr>
      </w:pPr>
    </w:p>
    <w:p w14:paraId="29B20D98" w14:textId="77777777" w:rsidR="006B758D" w:rsidRPr="0076224E" w:rsidRDefault="006B758D">
      <w:pPr>
        <w:pStyle w:val="BodyText"/>
        <w:spacing w:before="11"/>
        <w:rPr>
          <w:sz w:val="22"/>
          <w:lang w:val="fr-FR"/>
        </w:rPr>
      </w:pPr>
    </w:p>
    <w:p w14:paraId="2EC03CD6" w14:textId="77777777" w:rsidR="006B758D" w:rsidRPr="00EA2AB9" w:rsidRDefault="0023308C">
      <w:pPr>
        <w:pStyle w:val="Title"/>
        <w:ind w:left="811"/>
        <w:rPr>
          <w:lang w:val="fr-FR"/>
        </w:rPr>
      </w:pPr>
      <w:r w:rsidRPr="00EA2AB9">
        <w:rPr>
          <w:smallCaps/>
          <w:lang w:val="fr-FR"/>
        </w:rPr>
        <w:t>Groupe de travail sur le produit de la récolte et l’utilisation non autorisée de matériel de reproduction ou de multiplication</w:t>
      </w:r>
    </w:p>
    <w:p w14:paraId="1FEAB58F" w14:textId="77777777" w:rsidR="006B758D" w:rsidRPr="00EA2AB9" w:rsidRDefault="006B758D">
      <w:pPr>
        <w:pStyle w:val="BodyText"/>
        <w:rPr>
          <w:b/>
          <w:sz w:val="30"/>
          <w:lang w:val="fr-FR"/>
        </w:rPr>
      </w:pPr>
    </w:p>
    <w:p w14:paraId="0A44044C" w14:textId="77777777" w:rsidR="006B758D" w:rsidRPr="00EA2AB9" w:rsidRDefault="0023308C">
      <w:pPr>
        <w:pStyle w:val="Title"/>
        <w:spacing w:before="208"/>
        <w:rPr>
          <w:lang w:val="fr-FR"/>
        </w:rPr>
      </w:pPr>
      <w:r w:rsidRPr="00EA2AB9">
        <w:rPr>
          <w:smallCaps/>
          <w:spacing w:val="-2"/>
          <w:lang w:val="fr-FR"/>
        </w:rPr>
        <w:t xml:space="preserve">Compte rendu </w:t>
      </w:r>
      <w:r w:rsidRPr="00EA2AB9">
        <w:rPr>
          <w:smallCaps/>
          <w:lang w:val="fr-FR"/>
        </w:rPr>
        <w:t>final</w:t>
      </w:r>
    </w:p>
    <w:p w14:paraId="6E6586D0" w14:textId="77777777" w:rsidR="006B758D" w:rsidRPr="00EA2AB9" w:rsidRDefault="0023308C">
      <w:pPr>
        <w:spacing w:before="161"/>
        <w:ind w:left="804" w:right="525"/>
        <w:jc w:val="center"/>
        <w:rPr>
          <w:sz w:val="28"/>
          <w:lang w:val="fr-FR"/>
        </w:rPr>
      </w:pPr>
      <w:r w:rsidRPr="00EA2AB9">
        <w:rPr>
          <w:sz w:val="28"/>
          <w:lang w:val="fr-FR"/>
        </w:rPr>
        <w:t>15 décembre</w:t>
      </w:r>
      <w:r w:rsidRPr="00EA2AB9">
        <w:rPr>
          <w:spacing w:val="-4"/>
          <w:sz w:val="28"/>
          <w:lang w:val="fr-FR"/>
        </w:rPr>
        <w:t xml:space="preserve"> 2025</w:t>
      </w:r>
    </w:p>
    <w:p w14:paraId="47F1C409" w14:textId="77777777" w:rsidR="006B758D" w:rsidRPr="00EA2AB9" w:rsidRDefault="006B758D">
      <w:pPr>
        <w:pStyle w:val="BodyText"/>
        <w:rPr>
          <w:sz w:val="30"/>
          <w:lang w:val="fr-FR"/>
        </w:rPr>
      </w:pPr>
    </w:p>
    <w:p w14:paraId="20FA6B75" w14:textId="77777777" w:rsidR="006B758D" w:rsidRPr="00EA2AB9" w:rsidRDefault="006B758D">
      <w:pPr>
        <w:pStyle w:val="BodyText"/>
        <w:spacing w:before="10"/>
        <w:rPr>
          <w:sz w:val="25"/>
          <w:lang w:val="fr-FR"/>
        </w:rPr>
      </w:pPr>
    </w:p>
    <w:p w14:paraId="41F92758" w14:textId="77777777" w:rsidR="006B758D" w:rsidRPr="00EA2AB9" w:rsidRDefault="0023308C">
      <w:pPr>
        <w:ind w:left="804" w:right="525"/>
        <w:jc w:val="center"/>
        <w:rPr>
          <w:sz w:val="28"/>
          <w:lang w:val="fr-FR"/>
        </w:rPr>
      </w:pPr>
      <w:r w:rsidRPr="00EA2AB9">
        <w:rPr>
          <w:smallCaps/>
          <w:spacing w:val="-2"/>
          <w:sz w:val="28"/>
          <w:lang w:val="fr-FR"/>
        </w:rPr>
        <w:t xml:space="preserve">Groupe </w:t>
      </w:r>
      <w:r w:rsidRPr="00EA2AB9">
        <w:rPr>
          <w:smallCaps/>
          <w:sz w:val="28"/>
          <w:lang w:val="fr-FR"/>
        </w:rPr>
        <w:t>d'experts de l'UPOV</w:t>
      </w:r>
    </w:p>
    <w:p w14:paraId="0E672B85" w14:textId="77777777" w:rsidR="006B758D" w:rsidRPr="00EA2AB9" w:rsidRDefault="0023308C">
      <w:pPr>
        <w:spacing w:before="163" w:line="360" w:lineRule="auto"/>
        <w:ind w:left="2064" w:right="1785"/>
        <w:jc w:val="center"/>
        <w:rPr>
          <w:sz w:val="28"/>
          <w:lang w:val="fr-FR"/>
        </w:rPr>
      </w:pPr>
      <w:r w:rsidRPr="00EA2AB9">
        <w:rPr>
          <w:sz w:val="28"/>
          <w:lang w:val="fr-FR"/>
        </w:rPr>
        <w:t>Huib Ghijsen, Viviane Kunisawa, Charles Lawson, Axel Metzger et Joseph Straus</w:t>
      </w:r>
    </w:p>
    <w:p w14:paraId="26FD4AE9" w14:textId="77777777" w:rsidR="006B758D" w:rsidRPr="00EA2AB9" w:rsidRDefault="006B758D">
      <w:pPr>
        <w:spacing w:line="360" w:lineRule="auto"/>
        <w:jc w:val="center"/>
        <w:rPr>
          <w:sz w:val="28"/>
          <w:lang w:val="fr-FR"/>
        </w:rPr>
        <w:sectPr w:rsidR="006B758D" w:rsidRPr="00EA2AB9" w:rsidSect="00CB661B">
          <w:headerReference w:type="default" r:id="rId9"/>
          <w:footerReference w:type="default" r:id="rId10"/>
          <w:pgSz w:w="11910" w:h="16840"/>
          <w:pgMar w:top="1920" w:right="1300" w:bottom="1240" w:left="1020" w:header="0" w:footer="1049" w:gutter="0"/>
          <w:pgNumType w:start="1"/>
          <w:cols w:space="720"/>
        </w:sectPr>
      </w:pPr>
    </w:p>
    <w:p w14:paraId="5E2F8BF5" w14:textId="7CE4699B" w:rsidR="006B758D" w:rsidRPr="00EA2AB9" w:rsidRDefault="0023308C">
      <w:pPr>
        <w:spacing w:before="76"/>
        <w:ind w:left="807" w:right="525"/>
        <w:jc w:val="center"/>
        <w:rPr>
          <w:b/>
          <w:sz w:val="24"/>
          <w:lang w:val="fr-FR"/>
        </w:rPr>
      </w:pPr>
      <w:bookmarkStart w:id="1" w:name="_Hlk221803374"/>
      <w:r w:rsidRPr="00EA2AB9">
        <w:rPr>
          <w:b/>
          <w:smallCaps/>
          <w:sz w:val="24"/>
          <w:lang w:val="fr-FR"/>
        </w:rPr>
        <w:lastRenderedPageBreak/>
        <w:t xml:space="preserve">Groupe de travail sur les produits de la récolte et l'utilisation non autorisée </w:t>
      </w:r>
      <w:r w:rsidRPr="00EA2AB9">
        <w:rPr>
          <w:b/>
          <w:smallCaps/>
          <w:spacing w:val="-5"/>
          <w:sz w:val="24"/>
          <w:lang w:val="fr-FR"/>
        </w:rPr>
        <w:t>de matériel de reproduction ou de multiplication</w:t>
      </w:r>
    </w:p>
    <w:p w14:paraId="61192280" w14:textId="61B44AFB" w:rsidR="006B758D" w:rsidRPr="00EA2AB9" w:rsidRDefault="0023308C">
      <w:pPr>
        <w:spacing w:before="1"/>
        <w:ind w:left="3637" w:right="3354"/>
        <w:jc w:val="center"/>
        <w:rPr>
          <w:b/>
          <w:sz w:val="24"/>
          <w:lang w:val="fr-FR"/>
        </w:rPr>
      </w:pPr>
      <w:r w:rsidRPr="00EA2AB9">
        <w:rPr>
          <w:b/>
          <w:smallCaps/>
          <w:sz w:val="24"/>
          <w:lang w:val="fr-FR"/>
        </w:rPr>
        <w:t>Table des matières</w:t>
      </w:r>
    </w:p>
    <w:sdt>
      <w:sdtPr>
        <w:id w:val="144711762"/>
        <w:docPartObj>
          <w:docPartGallery w:val="Table of Contents"/>
          <w:docPartUnique/>
        </w:docPartObj>
      </w:sdtPr>
      <w:sdtEndPr>
        <w:rPr>
          <w:strike/>
          <w:highlight w:val="yellow"/>
        </w:rPr>
      </w:sdtEndPr>
      <w:sdtContent>
        <w:p w14:paraId="1C4D62F1" w14:textId="77777777" w:rsidR="006B758D" w:rsidRPr="00EA2AB9" w:rsidRDefault="0023308C">
          <w:pPr>
            <w:pStyle w:val="TOC1"/>
            <w:tabs>
              <w:tab w:val="left" w:leader="dot" w:pos="9057"/>
            </w:tabs>
            <w:spacing w:before="276"/>
            <w:rPr>
              <w:lang w:val="fr-FR"/>
            </w:rPr>
          </w:pPr>
          <w:hyperlink w:anchor="_bookmark0" w:history="1">
            <w:r w:rsidRPr="00EA2AB9">
              <w:rPr>
                <w:spacing w:val="-2"/>
                <w:lang w:val="fr-FR"/>
              </w:rPr>
              <w:t>Préface</w:t>
            </w:r>
            <w:r w:rsidRPr="00EA2AB9">
              <w:rPr>
                <w:lang w:val="fr-FR"/>
              </w:rPr>
              <w:tab/>
            </w:r>
            <w:r w:rsidRPr="00EA2AB9">
              <w:rPr>
                <w:spacing w:val="-10"/>
                <w:lang w:val="fr-FR"/>
              </w:rPr>
              <w:t>3</w:t>
            </w:r>
          </w:hyperlink>
        </w:p>
        <w:p w14:paraId="5FD9743E" w14:textId="77777777" w:rsidR="006B758D" w:rsidRPr="00EA2AB9" w:rsidRDefault="0023308C">
          <w:pPr>
            <w:pStyle w:val="TOC1"/>
            <w:tabs>
              <w:tab w:val="left" w:leader="dot" w:pos="9057"/>
            </w:tabs>
            <w:rPr>
              <w:lang w:val="fr-FR"/>
            </w:rPr>
          </w:pPr>
          <w:hyperlink w:anchor="_bookmark2" w:history="1">
            <w:r w:rsidRPr="00EA2AB9">
              <w:rPr>
                <w:lang w:val="fr-FR"/>
              </w:rPr>
              <w:t xml:space="preserve">Portée du </w:t>
            </w:r>
            <w:r w:rsidRPr="00EA2AB9">
              <w:rPr>
                <w:spacing w:val="-2"/>
                <w:lang w:val="fr-FR"/>
              </w:rPr>
              <w:t>compte rendu</w:t>
            </w:r>
            <w:r w:rsidRPr="00EA2AB9">
              <w:rPr>
                <w:lang w:val="fr-FR"/>
              </w:rPr>
              <w:tab/>
            </w:r>
            <w:r w:rsidRPr="00EA2AB9">
              <w:rPr>
                <w:spacing w:val="-10"/>
                <w:lang w:val="fr-FR"/>
              </w:rPr>
              <w:t>4</w:t>
            </w:r>
          </w:hyperlink>
        </w:p>
        <w:p w14:paraId="344D4D4F" w14:textId="77777777" w:rsidR="006B758D" w:rsidRPr="00EA2AB9" w:rsidRDefault="0023308C">
          <w:pPr>
            <w:pStyle w:val="TOC1"/>
            <w:tabs>
              <w:tab w:val="left" w:leader="dot" w:pos="9057"/>
            </w:tabs>
            <w:rPr>
              <w:lang w:val="fr-FR"/>
            </w:rPr>
          </w:pPr>
          <w:hyperlink w:anchor="_bookmark3" w:history="1">
            <w:r w:rsidRPr="00EA2AB9">
              <w:rPr>
                <w:spacing w:val="-5"/>
                <w:lang w:val="fr-FR"/>
              </w:rPr>
              <w:t xml:space="preserve">PREMIÈRE </w:t>
            </w:r>
            <w:r w:rsidRPr="00EA2AB9">
              <w:rPr>
                <w:lang w:val="fr-FR"/>
              </w:rPr>
              <w:t>PARTIE</w:t>
            </w:r>
            <w:r w:rsidRPr="00EA2AB9">
              <w:rPr>
                <w:lang w:val="fr-FR"/>
              </w:rPr>
              <w:tab/>
            </w:r>
            <w:r w:rsidRPr="00EA2AB9">
              <w:rPr>
                <w:spacing w:val="-10"/>
                <w:lang w:val="fr-FR"/>
              </w:rPr>
              <w:t>5</w:t>
            </w:r>
          </w:hyperlink>
        </w:p>
        <w:p w14:paraId="149BA0ED" w14:textId="77777777" w:rsidR="006B758D" w:rsidRPr="00EA2AB9" w:rsidRDefault="0023308C">
          <w:pPr>
            <w:pStyle w:val="TOC1"/>
            <w:tabs>
              <w:tab w:val="left" w:leader="dot" w:pos="9057"/>
            </w:tabs>
            <w:spacing w:before="98"/>
            <w:ind w:right="407"/>
            <w:rPr>
              <w:lang w:val="fr-FR"/>
            </w:rPr>
          </w:pPr>
          <w:hyperlink w:anchor="_bookmark4" w:history="1">
            <w:r w:rsidRPr="00EA2AB9">
              <w:rPr>
                <w:lang w:val="fr-FR"/>
              </w:rPr>
              <w:t xml:space="preserve">Premier chapitre : Produit de la récolte : autorisation/utilisation non autorisée, exercice du </w:t>
            </w:r>
          </w:hyperlink>
          <w:hyperlink w:anchor="_bookmark4" w:history="1">
            <w:r w:rsidRPr="00EA2AB9">
              <w:rPr>
                <w:lang w:val="fr-FR"/>
              </w:rPr>
              <w:t>droit et violation</w:t>
            </w:r>
            <w:r w:rsidRPr="00EA2AB9">
              <w:rPr>
                <w:lang w:val="fr-FR"/>
              </w:rPr>
              <w:tab/>
            </w:r>
            <w:r w:rsidRPr="00EA2AB9">
              <w:rPr>
                <w:spacing w:val="-10"/>
                <w:lang w:val="fr-FR"/>
              </w:rPr>
              <w:t>5</w:t>
            </w:r>
          </w:hyperlink>
        </w:p>
        <w:p w14:paraId="317953AE" w14:textId="77777777" w:rsidR="006B758D" w:rsidRPr="00EA2AB9" w:rsidRDefault="0023308C">
          <w:pPr>
            <w:pStyle w:val="TOC2"/>
            <w:numPr>
              <w:ilvl w:val="0"/>
              <w:numId w:val="25"/>
            </w:numPr>
            <w:tabs>
              <w:tab w:val="left" w:pos="1119"/>
              <w:tab w:val="left" w:leader="dot" w:pos="9057"/>
            </w:tabs>
            <w:ind w:right="407" w:firstLine="0"/>
            <w:rPr>
              <w:lang w:val="fr-FR"/>
            </w:rPr>
          </w:pPr>
          <w:hyperlink w:anchor="_bookmark5" w:history="1">
            <w:r w:rsidRPr="00EA2AB9">
              <w:rPr>
                <w:lang w:val="fr-FR"/>
              </w:rPr>
              <w:t>Les notions d</w:t>
            </w:r>
            <w:proofErr w:type="gramStart"/>
            <w:r w:rsidRPr="00EA2AB9">
              <w:rPr>
                <w:lang w:val="fr-FR"/>
              </w:rPr>
              <w:t>'«</w:t>
            </w:r>
            <w:proofErr w:type="gramEnd"/>
            <w:r w:rsidRPr="00EA2AB9">
              <w:rPr>
                <w:lang w:val="fr-FR"/>
              </w:rPr>
              <w:t xml:space="preserve"> utilisation non autorisée de matériel de reproduction ou de multiplication » et d</w:t>
            </w:r>
            <w:proofErr w:type="gramStart"/>
            <w:r w:rsidRPr="00EA2AB9">
              <w:rPr>
                <w:lang w:val="fr-FR"/>
              </w:rPr>
              <w:t>'«</w:t>
            </w:r>
            <w:proofErr w:type="gramEnd"/>
            <w:r w:rsidRPr="00EA2AB9">
              <w:rPr>
                <w:lang w:val="fr-FR"/>
              </w:rPr>
              <w:t xml:space="preserve"> </w:t>
            </w:r>
          </w:hyperlink>
          <w:hyperlink w:anchor="_bookmark5" w:history="1">
            <w:r w:rsidRPr="00EA2AB9">
              <w:rPr>
                <w:lang w:val="fr-FR"/>
              </w:rPr>
              <w:t xml:space="preserve">opportunité </w:t>
            </w:r>
          </w:hyperlink>
          <w:hyperlink w:anchor="_bookmark5" w:history="1">
            <w:r w:rsidRPr="00EA2AB9">
              <w:rPr>
                <w:lang w:val="fr-FR"/>
              </w:rPr>
              <w:t xml:space="preserve">raisonnable </w:t>
            </w:r>
          </w:hyperlink>
          <w:hyperlink w:anchor="_bookmark5" w:history="1">
            <w:r w:rsidRPr="00EA2AB9">
              <w:rPr>
                <w:lang w:val="fr-FR"/>
              </w:rPr>
              <w:t xml:space="preserve">» et leur </w:t>
            </w:r>
            <w:r w:rsidRPr="00EA2AB9">
              <w:rPr>
                <w:spacing w:val="-2"/>
                <w:lang w:val="fr-FR"/>
              </w:rPr>
              <w:t xml:space="preserve">application </w:t>
            </w:r>
            <w:r w:rsidRPr="00EA2AB9">
              <w:rPr>
                <w:lang w:val="fr-FR"/>
              </w:rPr>
              <w:t>pratique</w:t>
            </w:r>
            <w:r w:rsidRPr="00EA2AB9">
              <w:rPr>
                <w:lang w:val="fr-FR"/>
              </w:rPr>
              <w:tab/>
            </w:r>
            <w:r w:rsidRPr="00EA2AB9">
              <w:rPr>
                <w:spacing w:val="-10"/>
                <w:lang w:val="fr-FR"/>
              </w:rPr>
              <w:t>5</w:t>
            </w:r>
          </w:hyperlink>
        </w:p>
        <w:p w14:paraId="168BFACD" w14:textId="17085318" w:rsidR="006B758D" w:rsidRDefault="0023308C">
          <w:pPr>
            <w:pStyle w:val="TOC2"/>
            <w:numPr>
              <w:ilvl w:val="0"/>
              <w:numId w:val="25"/>
            </w:numPr>
            <w:tabs>
              <w:tab w:val="left" w:pos="1201"/>
              <w:tab w:val="left" w:leader="dot" w:pos="8937"/>
            </w:tabs>
            <w:ind w:left="1200" w:hanging="279"/>
          </w:pPr>
          <w:hyperlink w:anchor="_bookmark70" w:history="1">
            <w:proofErr w:type="spellStart"/>
            <w:r>
              <w:t>Principales</w:t>
            </w:r>
            <w:proofErr w:type="spellEnd"/>
            <w:r>
              <w:t xml:space="preserve"> </w:t>
            </w:r>
            <w:proofErr w:type="gramStart"/>
            <w:r>
              <w:rPr>
                <w:spacing w:val="-2"/>
              </w:rPr>
              <w:t>conclusions :</w:t>
            </w:r>
            <w:proofErr w:type="gramEnd"/>
            <w:r>
              <w:tab/>
            </w:r>
            <w:r w:rsidR="0048721B">
              <w:rPr>
                <w:spacing w:val="-5"/>
              </w:rPr>
              <w:t>23</w:t>
            </w:r>
          </w:hyperlink>
        </w:p>
        <w:p w14:paraId="132153FB" w14:textId="06794FEA" w:rsidR="006B758D" w:rsidRDefault="0023308C">
          <w:pPr>
            <w:pStyle w:val="TOC1"/>
            <w:tabs>
              <w:tab w:val="left" w:leader="dot" w:pos="8937"/>
            </w:tabs>
            <w:spacing w:before="99"/>
          </w:pPr>
          <w:hyperlink w:anchor="_bookmark72" w:history="1">
            <w:r>
              <w:t xml:space="preserve">Deuxième </w:t>
            </w:r>
            <w:proofErr w:type="spellStart"/>
            <w:proofErr w:type="gramStart"/>
            <w:r>
              <w:t>chapitre</w:t>
            </w:r>
            <w:proofErr w:type="spellEnd"/>
            <w:r>
              <w:t xml:space="preserve"> :</w:t>
            </w:r>
            <w:proofErr w:type="gramEnd"/>
            <w:r>
              <w:t xml:space="preserve"> </w:t>
            </w:r>
            <w:proofErr w:type="spellStart"/>
            <w:r>
              <w:rPr>
                <w:spacing w:val="-2"/>
              </w:rPr>
              <w:t>Opportunité</w:t>
            </w:r>
            <w:proofErr w:type="spellEnd"/>
            <w:r>
              <w:rPr>
                <w:spacing w:val="-2"/>
              </w:rPr>
              <w:t xml:space="preserve"> </w:t>
            </w:r>
            <w:proofErr w:type="spellStart"/>
            <w:r>
              <w:t>raisonnable</w:t>
            </w:r>
            <w:proofErr w:type="spellEnd"/>
            <w:r>
              <w:tab/>
            </w:r>
            <w:r>
              <w:rPr>
                <w:spacing w:val="-5"/>
              </w:rPr>
              <w:t>2</w:t>
            </w:r>
            <w:r w:rsidR="0048721B">
              <w:rPr>
                <w:spacing w:val="-5"/>
              </w:rPr>
              <w:t>5</w:t>
            </w:r>
          </w:hyperlink>
        </w:p>
        <w:p w14:paraId="009F7EEE" w14:textId="77777777" w:rsidR="006B758D" w:rsidRPr="00EA2AB9" w:rsidRDefault="0023308C">
          <w:pPr>
            <w:pStyle w:val="TOC2"/>
            <w:numPr>
              <w:ilvl w:val="0"/>
              <w:numId w:val="24"/>
            </w:numPr>
            <w:tabs>
              <w:tab w:val="left" w:pos="1119"/>
              <w:tab w:val="left" w:leader="dot" w:pos="8937"/>
            </w:tabs>
            <w:rPr>
              <w:lang w:val="fr-FR"/>
            </w:rPr>
          </w:pPr>
          <w:hyperlink w:anchor="_bookmark73" w:history="1">
            <w:r w:rsidRPr="00EA2AB9">
              <w:rPr>
                <w:lang w:val="fr-FR"/>
              </w:rPr>
              <w:t>La notion d</w:t>
            </w:r>
            <w:proofErr w:type="gramStart"/>
            <w:r w:rsidRPr="00EA2AB9">
              <w:rPr>
                <w:lang w:val="fr-FR"/>
              </w:rPr>
              <w:t>'«</w:t>
            </w:r>
            <w:proofErr w:type="gramEnd"/>
            <w:r w:rsidRPr="00EA2AB9">
              <w:rPr>
                <w:lang w:val="fr-FR"/>
              </w:rPr>
              <w:t xml:space="preserve"> opportunité raisonnable » : </w:t>
            </w:r>
            <w:r w:rsidRPr="00EA2AB9">
              <w:rPr>
                <w:spacing w:val="-2"/>
                <w:lang w:val="fr-FR"/>
              </w:rPr>
              <w:t>introduction</w:t>
            </w:r>
            <w:r w:rsidRPr="00EA2AB9">
              <w:rPr>
                <w:lang w:val="fr-FR"/>
              </w:rPr>
              <w:tab/>
            </w:r>
            <w:r w:rsidRPr="00EA2AB9">
              <w:rPr>
                <w:spacing w:val="-5"/>
                <w:lang w:val="fr-FR"/>
              </w:rPr>
              <w:t>25</w:t>
            </w:r>
          </w:hyperlink>
        </w:p>
        <w:p w14:paraId="01D53387" w14:textId="6C2A6F62" w:rsidR="006B758D" w:rsidRPr="00EA2AB9" w:rsidRDefault="0023308C">
          <w:pPr>
            <w:pStyle w:val="TOC2"/>
            <w:numPr>
              <w:ilvl w:val="0"/>
              <w:numId w:val="24"/>
            </w:numPr>
            <w:tabs>
              <w:tab w:val="left" w:pos="1201"/>
              <w:tab w:val="left" w:leader="dot" w:pos="8937"/>
            </w:tabs>
            <w:spacing w:before="100"/>
            <w:ind w:left="1200" w:hanging="279"/>
            <w:rPr>
              <w:lang w:val="fr-FR"/>
            </w:rPr>
          </w:pPr>
          <w:hyperlink w:anchor="_bookmark74" w:history="1">
            <w:r w:rsidRPr="00EA2AB9">
              <w:rPr>
                <w:lang w:val="fr-FR"/>
              </w:rPr>
              <w:t>Évolution de la clause relative à l</w:t>
            </w:r>
            <w:proofErr w:type="gramStart"/>
            <w:r w:rsidRPr="00EA2AB9">
              <w:rPr>
                <w:lang w:val="fr-FR"/>
              </w:rPr>
              <w:t>'«</w:t>
            </w:r>
            <w:proofErr w:type="gramEnd"/>
            <w:r w:rsidRPr="00EA2AB9">
              <w:rPr>
                <w:lang w:val="fr-FR"/>
              </w:rPr>
              <w:t xml:space="preserve"> opportunité raisonnable » dans l'article</w:t>
            </w:r>
            <w:r w:rsidRPr="00EA2AB9">
              <w:rPr>
                <w:spacing w:val="-2"/>
                <w:lang w:val="fr-FR"/>
              </w:rPr>
              <w:t xml:space="preserve"> 14, paragraphe 2</w:t>
            </w:r>
            <w:r w:rsidRPr="00EA2AB9">
              <w:rPr>
                <w:lang w:val="fr-FR"/>
              </w:rPr>
              <w:tab/>
            </w:r>
            <w:r w:rsidRPr="00EA2AB9">
              <w:rPr>
                <w:spacing w:val="-5"/>
                <w:lang w:val="fr-FR"/>
              </w:rPr>
              <w:t>2</w:t>
            </w:r>
            <w:r w:rsidR="0048721B">
              <w:rPr>
                <w:spacing w:val="-5"/>
                <w:lang w:val="fr-FR"/>
              </w:rPr>
              <w:t>8</w:t>
            </w:r>
          </w:hyperlink>
        </w:p>
        <w:p w14:paraId="6B2664F5" w14:textId="1C2C2C16" w:rsidR="006B758D" w:rsidRPr="00EA2AB9" w:rsidRDefault="0023308C">
          <w:pPr>
            <w:pStyle w:val="TOC2"/>
            <w:numPr>
              <w:ilvl w:val="0"/>
              <w:numId w:val="24"/>
            </w:numPr>
            <w:tabs>
              <w:tab w:val="left" w:pos="1281"/>
              <w:tab w:val="left" w:leader="dot" w:pos="8937"/>
            </w:tabs>
            <w:spacing w:before="99"/>
            <w:ind w:left="1280" w:hanging="359"/>
            <w:rPr>
              <w:lang w:val="fr-FR"/>
            </w:rPr>
          </w:pPr>
          <w:hyperlink w:anchor="_bookmark84" w:history="1">
            <w:r w:rsidRPr="00EA2AB9">
              <w:rPr>
                <w:lang w:val="fr-FR"/>
              </w:rPr>
              <w:t xml:space="preserve">Réflexions sur la perception des redevances et les limites de </w:t>
            </w:r>
            <w:r w:rsidR="002775B0">
              <w:rPr>
                <w:lang w:val="fr-FR"/>
              </w:rPr>
              <w:t xml:space="preserve">la défense des </w:t>
            </w:r>
            <w:r w:rsidR="009B5FF6">
              <w:rPr>
                <w:lang w:val="fr-FR"/>
              </w:rPr>
              <w:br/>
            </w:r>
            <w:r w:rsidR="002775B0">
              <w:rPr>
                <w:lang w:val="fr-FR"/>
              </w:rPr>
              <w:t xml:space="preserve">droits </w:t>
            </w:r>
            <w:r w:rsidRPr="00EA2AB9">
              <w:rPr>
                <w:lang w:val="fr-FR"/>
              </w:rPr>
              <w:tab/>
            </w:r>
            <w:r w:rsidR="0048721B">
              <w:rPr>
                <w:spacing w:val="-5"/>
                <w:lang w:val="fr-FR"/>
              </w:rPr>
              <w:t>28</w:t>
            </w:r>
          </w:hyperlink>
        </w:p>
        <w:p w14:paraId="3AFC0912" w14:textId="1FF7675A" w:rsidR="006B758D" w:rsidRPr="00EA2AB9" w:rsidRDefault="0023308C">
          <w:pPr>
            <w:pStyle w:val="TOC2"/>
            <w:numPr>
              <w:ilvl w:val="0"/>
              <w:numId w:val="24"/>
            </w:numPr>
            <w:tabs>
              <w:tab w:val="left" w:pos="1295"/>
              <w:tab w:val="left" w:leader="dot" w:pos="8937"/>
            </w:tabs>
            <w:ind w:left="1294" w:hanging="373"/>
            <w:rPr>
              <w:lang w:val="fr-FR"/>
            </w:rPr>
          </w:pPr>
          <w:hyperlink w:anchor="_bookmark91" w:history="1">
            <w:r w:rsidRPr="00EA2AB9">
              <w:rPr>
                <w:lang w:val="fr-FR"/>
              </w:rPr>
              <w:t xml:space="preserve">Structure et fonction du </w:t>
            </w:r>
            <w:r w:rsidRPr="00EA2AB9">
              <w:rPr>
                <w:spacing w:val="-2"/>
                <w:lang w:val="fr-FR"/>
              </w:rPr>
              <w:t xml:space="preserve">« </w:t>
            </w:r>
            <w:r w:rsidRPr="00EA2AB9">
              <w:rPr>
                <w:lang w:val="fr-FR"/>
              </w:rPr>
              <w:t xml:space="preserve">principe de cascade </w:t>
            </w:r>
            <w:r w:rsidRPr="00EA2AB9">
              <w:rPr>
                <w:spacing w:val="-2"/>
                <w:lang w:val="fr-FR"/>
              </w:rPr>
              <w:t>»</w:t>
            </w:r>
            <w:r w:rsidRPr="00EA2AB9">
              <w:rPr>
                <w:lang w:val="fr-FR"/>
              </w:rPr>
              <w:tab/>
            </w:r>
            <w:r w:rsidR="00C12411">
              <w:rPr>
                <w:spacing w:val="-5"/>
                <w:lang w:val="fr-FR"/>
              </w:rPr>
              <w:t>3</w:t>
            </w:r>
            <w:r w:rsidR="0048721B">
              <w:rPr>
                <w:spacing w:val="-5"/>
                <w:lang w:val="fr-FR"/>
              </w:rPr>
              <w:t>0</w:t>
            </w:r>
          </w:hyperlink>
        </w:p>
        <w:p w14:paraId="71F4BEA5" w14:textId="6FAE5C67" w:rsidR="006B758D" w:rsidRDefault="0023308C">
          <w:pPr>
            <w:pStyle w:val="TOC2"/>
            <w:numPr>
              <w:ilvl w:val="0"/>
              <w:numId w:val="24"/>
            </w:numPr>
            <w:tabs>
              <w:tab w:val="left" w:pos="1216"/>
              <w:tab w:val="left" w:leader="dot" w:pos="8937"/>
            </w:tabs>
            <w:spacing w:before="100"/>
            <w:ind w:left="1215" w:hanging="294"/>
          </w:pPr>
          <w:hyperlink w:anchor="_bookmark92" w:history="1">
            <w:proofErr w:type="spellStart"/>
            <w:r>
              <w:t>Principales</w:t>
            </w:r>
            <w:proofErr w:type="spellEnd"/>
            <w:r>
              <w:t xml:space="preserve"> </w:t>
            </w:r>
            <w:r>
              <w:rPr>
                <w:spacing w:val="-2"/>
              </w:rPr>
              <w:t>conclusions</w:t>
            </w:r>
            <w:r>
              <w:tab/>
            </w:r>
            <w:r w:rsidR="00C12411">
              <w:rPr>
                <w:spacing w:val="-5"/>
              </w:rPr>
              <w:t>3</w:t>
            </w:r>
            <w:r w:rsidR="0048721B">
              <w:rPr>
                <w:spacing w:val="-5"/>
              </w:rPr>
              <w:t>1</w:t>
            </w:r>
          </w:hyperlink>
        </w:p>
        <w:p w14:paraId="5542A83E" w14:textId="2626D89C" w:rsidR="006B758D" w:rsidRPr="00EA2AB9" w:rsidRDefault="0023308C">
          <w:pPr>
            <w:pStyle w:val="TOC1"/>
            <w:tabs>
              <w:tab w:val="left" w:leader="dot" w:pos="8937"/>
            </w:tabs>
            <w:spacing w:before="99"/>
            <w:ind w:right="407"/>
            <w:rPr>
              <w:lang w:val="fr-FR"/>
            </w:rPr>
          </w:pPr>
          <w:hyperlink w:anchor="_bookmark95" w:history="1">
            <w:r w:rsidRPr="00EA2AB9">
              <w:rPr>
                <w:lang w:val="fr-FR"/>
              </w:rPr>
              <w:t xml:space="preserve">Chapitre III : L'évolution de la disposition relative à l'épuisement dans la </w:t>
            </w:r>
          </w:hyperlink>
          <w:hyperlink w:anchor="_bookmark95" w:history="1">
            <w:r w:rsidRPr="00EA2AB9">
              <w:rPr>
                <w:lang w:val="fr-FR"/>
              </w:rPr>
              <w:t xml:space="preserve">Convention </w:t>
            </w:r>
          </w:hyperlink>
          <w:hyperlink w:anchor="_bookmark95" w:history="1">
            <w:r w:rsidRPr="00EA2AB9">
              <w:rPr>
                <w:lang w:val="fr-FR"/>
              </w:rPr>
              <w:t xml:space="preserve">UPOV de 1991 </w:t>
            </w:r>
          </w:hyperlink>
          <w:hyperlink w:anchor="_bookmark95" w:history="1">
            <w:r w:rsidRPr="00EA2AB9">
              <w:rPr>
                <w:lang w:val="fr-FR"/>
              </w:rPr>
              <w:t>et son interaction avec l'étendue de la protection</w:t>
            </w:r>
            <w:r w:rsidRPr="00EA2AB9">
              <w:rPr>
                <w:lang w:val="fr-FR"/>
              </w:rPr>
              <w:tab/>
            </w:r>
            <w:r w:rsidR="0048721B">
              <w:rPr>
                <w:spacing w:val="-6"/>
                <w:lang w:val="fr-FR"/>
              </w:rPr>
              <w:t>33</w:t>
            </w:r>
          </w:hyperlink>
        </w:p>
        <w:p w14:paraId="793D265D" w14:textId="40B6DF77" w:rsidR="006B758D" w:rsidRPr="00EA2AB9" w:rsidRDefault="0023308C">
          <w:pPr>
            <w:pStyle w:val="TOC2"/>
            <w:numPr>
              <w:ilvl w:val="0"/>
              <w:numId w:val="23"/>
            </w:numPr>
            <w:tabs>
              <w:tab w:val="left" w:pos="1119"/>
            </w:tabs>
            <w:rPr>
              <w:lang w:val="fr-FR"/>
            </w:rPr>
          </w:pPr>
          <w:hyperlink w:anchor="_bookmark96" w:history="1">
            <w:r w:rsidRPr="00EA2AB9">
              <w:rPr>
                <w:lang w:val="fr-FR"/>
              </w:rPr>
              <w:t>Évolution de la clause d'épuisement dans le processus de révision de l'UPOV (1986-</w:t>
            </w:r>
            <w:proofErr w:type="gramStart"/>
            <w:r w:rsidRPr="00EA2AB9">
              <w:rPr>
                <w:lang w:val="fr-FR"/>
              </w:rPr>
              <w:t>1991)</w:t>
            </w:r>
            <w:r w:rsidR="00EA2AB9">
              <w:rPr>
                <w:spacing w:val="-5"/>
                <w:lang w:val="fr-FR"/>
              </w:rPr>
              <w:t>…</w:t>
            </w:r>
            <w:proofErr w:type="gramEnd"/>
            <w:r w:rsidR="00EA2AB9">
              <w:rPr>
                <w:spacing w:val="-5"/>
                <w:lang w:val="fr-FR"/>
              </w:rPr>
              <w:t>………………………………………………………………………………</w:t>
            </w:r>
            <w:r w:rsidR="0048721B">
              <w:rPr>
                <w:spacing w:val="-5"/>
                <w:lang w:val="fr-FR"/>
              </w:rPr>
              <w:t>33</w:t>
            </w:r>
          </w:hyperlink>
        </w:p>
        <w:p w14:paraId="39F5C7CE" w14:textId="349CF394" w:rsidR="006B758D" w:rsidRPr="00EA2AB9" w:rsidRDefault="0023308C">
          <w:pPr>
            <w:pStyle w:val="TOC2"/>
            <w:numPr>
              <w:ilvl w:val="0"/>
              <w:numId w:val="23"/>
            </w:numPr>
            <w:tabs>
              <w:tab w:val="left" w:pos="1201"/>
              <w:tab w:val="left" w:leader="dot" w:pos="8937"/>
            </w:tabs>
            <w:ind w:left="1200" w:hanging="279"/>
            <w:rPr>
              <w:lang w:val="fr-FR"/>
            </w:rPr>
          </w:pPr>
          <w:hyperlink w:anchor="_bookmark111" w:history="1">
            <w:r w:rsidRPr="00EA2AB9">
              <w:rPr>
                <w:lang w:val="fr-FR"/>
              </w:rPr>
              <w:t xml:space="preserve">Délibérations finales lors de la Conférence diplomatique et adoption de </w:t>
            </w:r>
            <w:r w:rsidR="009B5FF6">
              <w:rPr>
                <w:lang w:val="fr-FR"/>
              </w:rPr>
              <w:br/>
            </w:r>
            <w:r w:rsidRPr="00EA2AB9">
              <w:rPr>
                <w:lang w:val="fr-FR"/>
              </w:rPr>
              <w:t>l'article</w:t>
            </w:r>
            <w:r w:rsidRPr="00EA2AB9">
              <w:rPr>
                <w:spacing w:val="-5"/>
                <w:lang w:val="fr-FR"/>
              </w:rPr>
              <w:t xml:space="preserve"> 16</w:t>
            </w:r>
            <w:r w:rsidRPr="00EA2AB9">
              <w:rPr>
                <w:lang w:val="fr-FR"/>
              </w:rPr>
              <w:tab/>
            </w:r>
            <w:r w:rsidR="0048721B">
              <w:rPr>
                <w:spacing w:val="-5"/>
                <w:lang w:val="fr-FR"/>
              </w:rPr>
              <w:t>36</w:t>
            </w:r>
          </w:hyperlink>
        </w:p>
        <w:p w14:paraId="24FEF3CB" w14:textId="03BA5901" w:rsidR="006B758D" w:rsidRDefault="0023308C">
          <w:pPr>
            <w:pStyle w:val="TOC2"/>
            <w:numPr>
              <w:ilvl w:val="0"/>
              <w:numId w:val="23"/>
            </w:numPr>
            <w:tabs>
              <w:tab w:val="left" w:pos="1281"/>
              <w:tab w:val="left" w:leader="dot" w:pos="8937"/>
            </w:tabs>
            <w:spacing w:before="98"/>
            <w:ind w:left="1280" w:hanging="359"/>
          </w:pPr>
          <w:hyperlink w:anchor="_bookmark119" w:history="1">
            <w:proofErr w:type="spellStart"/>
            <w:r>
              <w:t>Principales</w:t>
            </w:r>
            <w:proofErr w:type="spellEnd"/>
            <w:r>
              <w:t xml:space="preserve"> </w:t>
            </w:r>
            <w:r>
              <w:rPr>
                <w:spacing w:val="-2"/>
              </w:rPr>
              <w:t>conclusions</w:t>
            </w:r>
            <w:r>
              <w:tab/>
            </w:r>
            <w:r w:rsidR="0048721B">
              <w:rPr>
                <w:spacing w:val="-5"/>
              </w:rPr>
              <w:t>37</w:t>
            </w:r>
          </w:hyperlink>
        </w:p>
        <w:p w14:paraId="63DB70EF" w14:textId="14B6DB8D" w:rsidR="006B758D" w:rsidRDefault="0023308C">
          <w:pPr>
            <w:pStyle w:val="TOC1"/>
            <w:tabs>
              <w:tab w:val="left" w:leader="dot" w:pos="8937"/>
            </w:tabs>
          </w:pPr>
          <w:hyperlink w:anchor="_bookmark120" w:history="1">
            <w:r>
              <w:rPr>
                <w:spacing w:val="-2"/>
              </w:rPr>
              <w:t>Conclusions</w:t>
            </w:r>
            <w:r>
              <w:tab/>
            </w:r>
            <w:r w:rsidR="0048721B">
              <w:rPr>
                <w:spacing w:val="-5"/>
              </w:rPr>
              <w:t>39</w:t>
            </w:r>
          </w:hyperlink>
        </w:p>
        <w:p w14:paraId="748877E2" w14:textId="586B36BF" w:rsidR="006B758D" w:rsidRDefault="0023308C">
          <w:pPr>
            <w:pStyle w:val="TOC1"/>
            <w:tabs>
              <w:tab w:val="left" w:leader="dot" w:pos="8937"/>
            </w:tabs>
          </w:pPr>
          <w:hyperlink w:anchor="_bookmark121" w:history="1">
            <w:r>
              <w:t xml:space="preserve">DEUXIÈME PARTIE – </w:t>
            </w:r>
            <w:r>
              <w:rPr>
                <w:spacing w:val="-5"/>
              </w:rPr>
              <w:t>J</w:t>
            </w:r>
            <w:r>
              <w:t>URISPRUDENCE</w:t>
            </w:r>
            <w:r>
              <w:tab/>
            </w:r>
            <w:r w:rsidR="0048721B">
              <w:rPr>
                <w:spacing w:val="-5"/>
              </w:rPr>
              <w:t>43</w:t>
            </w:r>
          </w:hyperlink>
        </w:p>
        <w:p w14:paraId="326C0AFE" w14:textId="77B4A702" w:rsidR="006B758D" w:rsidRDefault="0023308C">
          <w:pPr>
            <w:pStyle w:val="TOC1"/>
            <w:numPr>
              <w:ilvl w:val="0"/>
              <w:numId w:val="22"/>
            </w:numPr>
            <w:tabs>
              <w:tab w:val="left" w:pos="882"/>
              <w:tab w:val="left" w:leader="dot" w:pos="8937"/>
            </w:tabs>
            <w:spacing w:before="98"/>
            <w:ind w:hanging="200"/>
          </w:pPr>
          <w:hyperlink w:anchor="_bookmark122" w:history="1">
            <w:r>
              <w:t xml:space="preserve">« Melanie » et « </w:t>
            </w:r>
            <w:r>
              <w:rPr>
                <w:spacing w:val="-2"/>
              </w:rPr>
              <w:t>Amethyst »</w:t>
            </w:r>
            <w:r>
              <w:tab/>
            </w:r>
            <w:r w:rsidR="0048721B">
              <w:rPr>
                <w:spacing w:val="-7"/>
              </w:rPr>
              <w:t>43</w:t>
            </w:r>
          </w:hyperlink>
        </w:p>
        <w:p w14:paraId="75EE8FB5" w14:textId="3DC08B6E" w:rsidR="006B758D" w:rsidRDefault="0023308C">
          <w:pPr>
            <w:pStyle w:val="TOC1"/>
            <w:numPr>
              <w:ilvl w:val="0"/>
              <w:numId w:val="22"/>
            </w:numPr>
            <w:tabs>
              <w:tab w:val="left" w:pos="961"/>
              <w:tab w:val="left" w:leader="dot" w:pos="8937"/>
            </w:tabs>
            <w:ind w:left="960" w:hanging="279"/>
          </w:pPr>
          <w:hyperlink w:anchor="_bookmark123" w:history="1">
            <w:r>
              <w:rPr>
                <w:spacing w:val="-2"/>
              </w:rPr>
              <w:t xml:space="preserve">« </w:t>
            </w:r>
            <w:proofErr w:type="spellStart"/>
            <w:r>
              <w:rPr>
                <w:spacing w:val="-2"/>
              </w:rPr>
              <w:t>Erntegut</w:t>
            </w:r>
            <w:proofErr w:type="spellEnd"/>
            <w:r>
              <w:rPr>
                <w:spacing w:val="-2"/>
              </w:rPr>
              <w:t xml:space="preserve"> »</w:t>
            </w:r>
            <w:r>
              <w:tab/>
            </w:r>
            <w:r w:rsidR="0048721B">
              <w:rPr>
                <w:spacing w:val="-5"/>
              </w:rPr>
              <w:t>43</w:t>
            </w:r>
          </w:hyperlink>
        </w:p>
        <w:p w14:paraId="5C0BFFFF" w14:textId="68720FD9" w:rsidR="006B758D" w:rsidRDefault="0023308C">
          <w:pPr>
            <w:pStyle w:val="TOC1"/>
            <w:numPr>
              <w:ilvl w:val="0"/>
              <w:numId w:val="22"/>
            </w:numPr>
            <w:tabs>
              <w:tab w:val="left" w:pos="1041"/>
              <w:tab w:val="left" w:leader="dot" w:pos="8937"/>
            </w:tabs>
            <w:spacing w:before="99"/>
            <w:ind w:left="1040" w:hanging="359"/>
          </w:pPr>
          <w:hyperlink w:anchor="_bookmark125" w:history="1">
            <w:r>
              <w:rPr>
                <w:spacing w:val="-2"/>
              </w:rPr>
              <w:t xml:space="preserve">« </w:t>
            </w:r>
            <w:proofErr w:type="spellStart"/>
            <w:r>
              <w:rPr>
                <w:spacing w:val="-2"/>
              </w:rPr>
              <w:t>Cilena</w:t>
            </w:r>
            <w:proofErr w:type="spellEnd"/>
            <w:r>
              <w:rPr>
                <w:spacing w:val="-2"/>
              </w:rPr>
              <w:t xml:space="preserve"> »</w:t>
            </w:r>
            <w:r>
              <w:tab/>
            </w:r>
            <w:r w:rsidR="0048721B">
              <w:rPr>
                <w:spacing w:val="-5"/>
              </w:rPr>
              <w:t>44</w:t>
            </w:r>
          </w:hyperlink>
        </w:p>
        <w:p w14:paraId="5368D38B" w14:textId="27F7951F" w:rsidR="006B758D" w:rsidRDefault="0023308C">
          <w:pPr>
            <w:pStyle w:val="TOC1"/>
            <w:numPr>
              <w:ilvl w:val="0"/>
              <w:numId w:val="22"/>
            </w:numPr>
            <w:tabs>
              <w:tab w:val="left" w:pos="1055"/>
              <w:tab w:val="left" w:leader="dot" w:pos="8937"/>
            </w:tabs>
            <w:spacing w:before="100"/>
            <w:ind w:left="1054" w:hanging="373"/>
          </w:pPr>
          <w:hyperlink w:anchor="_bookmark126" w:history="1">
            <w:r>
              <w:rPr>
                <w:spacing w:val="-2"/>
              </w:rPr>
              <w:t>« Goldfinger »</w:t>
            </w:r>
            <w:r>
              <w:tab/>
            </w:r>
            <w:r w:rsidR="0048721B">
              <w:rPr>
                <w:spacing w:val="-5"/>
              </w:rPr>
              <w:t>45</w:t>
            </w:r>
          </w:hyperlink>
        </w:p>
        <w:p w14:paraId="778869A3" w14:textId="5B68CA9B" w:rsidR="006B758D" w:rsidRDefault="0023308C">
          <w:pPr>
            <w:pStyle w:val="TOC1"/>
            <w:numPr>
              <w:ilvl w:val="0"/>
              <w:numId w:val="22"/>
            </w:numPr>
            <w:tabs>
              <w:tab w:val="left" w:pos="976"/>
              <w:tab w:val="left" w:leader="dot" w:pos="8937"/>
            </w:tabs>
            <w:ind w:left="975" w:hanging="294"/>
          </w:pPr>
          <w:hyperlink w:anchor="_bookmark128" w:history="1">
            <w:r>
              <w:rPr>
                <w:spacing w:val="-2"/>
              </w:rPr>
              <w:t>« Amaryllis »</w:t>
            </w:r>
            <w:r>
              <w:tab/>
            </w:r>
            <w:r w:rsidR="0048721B">
              <w:rPr>
                <w:spacing w:val="-5"/>
              </w:rPr>
              <w:t>46</w:t>
            </w:r>
          </w:hyperlink>
        </w:p>
        <w:p w14:paraId="474992DE" w14:textId="16EA4E52" w:rsidR="006B758D" w:rsidRDefault="0023308C">
          <w:pPr>
            <w:pStyle w:val="TOC1"/>
            <w:numPr>
              <w:ilvl w:val="0"/>
              <w:numId w:val="22"/>
            </w:numPr>
            <w:tabs>
              <w:tab w:val="left" w:pos="1054"/>
              <w:tab w:val="left" w:leader="dot" w:pos="8937"/>
            </w:tabs>
            <w:spacing w:before="99"/>
            <w:ind w:left="1053" w:hanging="372"/>
          </w:pPr>
          <w:hyperlink w:anchor="_bookmark129" w:history="1">
            <w:r>
              <w:rPr>
                <w:spacing w:val="-2"/>
              </w:rPr>
              <w:t>« Franklin »</w:t>
            </w:r>
            <w:r>
              <w:tab/>
            </w:r>
            <w:r w:rsidR="0048721B">
              <w:rPr>
                <w:spacing w:val="-5"/>
              </w:rPr>
              <w:t>46</w:t>
            </w:r>
          </w:hyperlink>
        </w:p>
        <w:p w14:paraId="6C9423D7" w14:textId="29EC5A33" w:rsidR="006B758D" w:rsidRDefault="0023308C">
          <w:pPr>
            <w:pStyle w:val="TOC1"/>
            <w:numPr>
              <w:ilvl w:val="0"/>
              <w:numId w:val="22"/>
            </w:numPr>
            <w:tabs>
              <w:tab w:val="left" w:pos="1134"/>
              <w:tab w:val="left" w:leader="dot" w:pos="8937"/>
            </w:tabs>
            <w:ind w:left="1133" w:hanging="452"/>
          </w:pPr>
          <w:hyperlink w:anchor="_bookmark132" w:history="1">
            <w:r>
              <w:rPr>
                <w:spacing w:val="-2"/>
              </w:rPr>
              <w:t>« Shitake »</w:t>
            </w:r>
            <w:r>
              <w:tab/>
            </w:r>
            <w:r w:rsidR="0048721B">
              <w:rPr>
                <w:spacing w:val="-5"/>
              </w:rPr>
              <w:t>48</w:t>
            </w:r>
          </w:hyperlink>
        </w:p>
        <w:p w14:paraId="0A2FDD1B" w14:textId="4A9ECEB2" w:rsidR="006B758D" w:rsidRDefault="0023308C">
          <w:pPr>
            <w:pStyle w:val="TOC1"/>
            <w:numPr>
              <w:ilvl w:val="0"/>
              <w:numId w:val="22"/>
            </w:numPr>
            <w:tabs>
              <w:tab w:val="left" w:pos="1215"/>
              <w:tab w:val="left" w:leader="dot" w:pos="8937"/>
            </w:tabs>
            <w:ind w:left="1214" w:hanging="533"/>
          </w:pPr>
          <w:hyperlink w:anchor="_bookmark133" w:history="1">
            <w:r>
              <w:rPr>
                <w:spacing w:val="-2"/>
              </w:rPr>
              <w:t xml:space="preserve">« </w:t>
            </w:r>
            <w:proofErr w:type="spellStart"/>
            <w:r>
              <w:rPr>
                <w:spacing w:val="-2"/>
              </w:rPr>
              <w:t>Nardocott</w:t>
            </w:r>
            <w:proofErr w:type="spellEnd"/>
            <w:r>
              <w:rPr>
                <w:spacing w:val="-2"/>
              </w:rPr>
              <w:t xml:space="preserve"> »</w:t>
            </w:r>
            <w:r>
              <w:tab/>
            </w:r>
            <w:r w:rsidR="0048721B">
              <w:rPr>
                <w:spacing w:val="-5"/>
              </w:rPr>
              <w:t>49</w:t>
            </w:r>
          </w:hyperlink>
        </w:p>
        <w:p w14:paraId="6941FACC" w14:textId="6013D0C8" w:rsidR="006B758D" w:rsidRDefault="0023308C">
          <w:pPr>
            <w:pStyle w:val="TOC1"/>
            <w:numPr>
              <w:ilvl w:val="0"/>
              <w:numId w:val="22"/>
            </w:numPr>
            <w:tabs>
              <w:tab w:val="left" w:pos="1055"/>
              <w:tab w:val="left" w:leader="dot" w:pos="8937"/>
            </w:tabs>
            <w:spacing w:before="98"/>
            <w:ind w:left="1054" w:hanging="373"/>
          </w:pPr>
          <w:hyperlink w:anchor="_bookmark134" w:history="1">
            <w:r>
              <w:t xml:space="preserve">« Greenstar </w:t>
            </w:r>
            <w:r>
              <w:rPr>
                <w:spacing w:val="-2"/>
              </w:rPr>
              <w:t>Kanzi »</w:t>
            </w:r>
            <w:r>
              <w:tab/>
            </w:r>
            <w:r w:rsidR="00C12411">
              <w:rPr>
                <w:spacing w:val="-5"/>
              </w:rPr>
              <w:t>5</w:t>
            </w:r>
            <w:r w:rsidR="0048721B">
              <w:rPr>
                <w:spacing w:val="-5"/>
              </w:rPr>
              <w:t>0</w:t>
            </w:r>
          </w:hyperlink>
        </w:p>
        <w:p w14:paraId="233F4179" w14:textId="5ECBBC14" w:rsidR="006B758D" w:rsidRDefault="0023308C">
          <w:pPr>
            <w:pStyle w:val="TOC1"/>
            <w:numPr>
              <w:ilvl w:val="0"/>
              <w:numId w:val="22"/>
            </w:numPr>
            <w:tabs>
              <w:tab w:val="left" w:pos="976"/>
              <w:tab w:val="left" w:leader="dot" w:pos="8937"/>
            </w:tabs>
            <w:ind w:left="975" w:hanging="294"/>
          </w:pPr>
          <w:hyperlink w:anchor="_bookmark135" w:history="1">
            <w:r>
              <w:rPr>
                <w:spacing w:val="-2"/>
              </w:rPr>
              <w:t xml:space="preserve">« </w:t>
            </w:r>
            <w:r>
              <w:t xml:space="preserve">IFG </w:t>
            </w:r>
            <w:r>
              <w:rPr>
                <w:spacing w:val="-2"/>
              </w:rPr>
              <w:t>Vine »</w:t>
            </w:r>
            <w:r>
              <w:tab/>
            </w:r>
            <w:r w:rsidR="0048721B">
              <w:rPr>
                <w:spacing w:val="-5"/>
              </w:rPr>
              <w:t>5</w:t>
            </w:r>
            <w:r w:rsidR="00700691">
              <w:rPr>
                <w:spacing w:val="-5"/>
              </w:rPr>
              <w:t>1</w:t>
            </w:r>
          </w:hyperlink>
        </w:p>
        <w:p w14:paraId="69730887" w14:textId="4427301F" w:rsidR="006B758D" w:rsidRPr="004304CC" w:rsidRDefault="0023308C" w:rsidP="004304CC">
          <w:pPr>
            <w:pStyle w:val="TOC1"/>
            <w:numPr>
              <w:ilvl w:val="0"/>
              <w:numId w:val="22"/>
            </w:numPr>
            <w:tabs>
              <w:tab w:val="left" w:pos="1054"/>
              <w:tab w:val="left" w:leader="dot" w:pos="8937"/>
            </w:tabs>
            <w:ind w:left="1053" w:hanging="372"/>
          </w:pPr>
          <w:hyperlink w:anchor="_bookmark136" w:history="1">
            <w:r>
              <w:t xml:space="preserve">« Sun </w:t>
            </w:r>
            <w:r>
              <w:rPr>
                <w:spacing w:val="-2"/>
              </w:rPr>
              <w:t>World »</w:t>
            </w:r>
            <w:r>
              <w:tab/>
            </w:r>
            <w:r w:rsidR="0048721B">
              <w:rPr>
                <w:spacing w:val="-5"/>
              </w:rPr>
              <w:t>52</w:t>
            </w:r>
          </w:hyperlink>
        </w:p>
      </w:sdtContent>
    </w:sdt>
    <w:bookmarkEnd w:id="1" w:displacedByCustomXml="prev"/>
    <w:p w14:paraId="7D1B02DF" w14:textId="77777777" w:rsidR="006B758D" w:rsidRDefault="006B758D">
      <w:pPr>
        <w:sectPr w:rsidR="006B758D">
          <w:headerReference w:type="default" r:id="rId11"/>
          <w:pgSz w:w="11910" w:h="16840"/>
          <w:pgMar w:top="1320" w:right="1300" w:bottom="1240" w:left="1020" w:header="0" w:footer="1049" w:gutter="0"/>
          <w:cols w:space="720"/>
        </w:sectPr>
      </w:pPr>
    </w:p>
    <w:p w14:paraId="09570BBA" w14:textId="47D1650C" w:rsidR="006B758D" w:rsidRPr="00EA2AB9" w:rsidRDefault="0023308C" w:rsidP="00431BED">
      <w:pPr>
        <w:spacing w:before="76"/>
        <w:ind w:left="807" w:right="525"/>
        <w:jc w:val="center"/>
        <w:rPr>
          <w:b/>
          <w:sz w:val="24"/>
          <w:lang w:val="fr-FR"/>
        </w:rPr>
      </w:pPr>
      <w:r w:rsidRPr="00EA2AB9">
        <w:rPr>
          <w:b/>
          <w:smallCaps/>
          <w:sz w:val="24"/>
          <w:lang w:val="fr-FR"/>
        </w:rPr>
        <w:lastRenderedPageBreak/>
        <w:t xml:space="preserve">Groupe de travail sur le produit de la récolte et l'utilisation non autorisée </w:t>
      </w:r>
      <w:r w:rsidRPr="00EA2AB9">
        <w:rPr>
          <w:b/>
          <w:smallCaps/>
          <w:spacing w:val="-5"/>
          <w:sz w:val="24"/>
          <w:lang w:val="fr-FR"/>
        </w:rPr>
        <w:t>d</w:t>
      </w:r>
      <w:r w:rsidR="00EA2AB9">
        <w:rPr>
          <w:b/>
          <w:smallCaps/>
          <w:spacing w:val="-5"/>
          <w:sz w:val="24"/>
          <w:lang w:val="fr-FR"/>
        </w:rPr>
        <w:t xml:space="preserve">e </w:t>
      </w:r>
      <w:r w:rsidRPr="00EA2AB9">
        <w:rPr>
          <w:b/>
          <w:smallCaps/>
          <w:spacing w:val="-2"/>
          <w:sz w:val="24"/>
          <w:lang w:val="fr-FR"/>
        </w:rPr>
        <w:t>matériel de reproduction ou de multiplication</w:t>
      </w:r>
    </w:p>
    <w:p w14:paraId="6B698BF9" w14:textId="77777777" w:rsidR="006B758D" w:rsidRPr="00EA2AB9" w:rsidRDefault="006B758D">
      <w:pPr>
        <w:pStyle w:val="BodyText"/>
        <w:rPr>
          <w:b/>
          <w:lang w:val="fr-FR"/>
        </w:rPr>
      </w:pPr>
    </w:p>
    <w:p w14:paraId="4B2BD282" w14:textId="77777777" w:rsidR="006B758D" w:rsidRPr="00EA2AB9" w:rsidRDefault="0023308C">
      <w:pPr>
        <w:ind w:left="801" w:right="525"/>
        <w:jc w:val="center"/>
        <w:rPr>
          <w:b/>
          <w:sz w:val="24"/>
          <w:lang w:val="fr-FR"/>
        </w:rPr>
      </w:pPr>
      <w:r w:rsidRPr="00EA2AB9">
        <w:rPr>
          <w:b/>
          <w:smallCaps/>
          <w:spacing w:val="-2"/>
          <w:sz w:val="24"/>
          <w:lang w:val="fr-FR"/>
        </w:rPr>
        <w:t xml:space="preserve">Compte rendu </w:t>
      </w:r>
      <w:r w:rsidRPr="00EA2AB9">
        <w:rPr>
          <w:b/>
          <w:smallCaps/>
          <w:sz w:val="24"/>
          <w:lang w:val="fr-FR"/>
        </w:rPr>
        <w:t>final</w:t>
      </w:r>
    </w:p>
    <w:p w14:paraId="6B379339" w14:textId="77777777" w:rsidR="006B758D" w:rsidRPr="00EA2AB9" w:rsidRDefault="0023308C">
      <w:pPr>
        <w:pStyle w:val="BodyText"/>
        <w:spacing w:before="139"/>
        <w:ind w:left="804" w:right="525"/>
        <w:jc w:val="center"/>
        <w:rPr>
          <w:lang w:val="fr-FR"/>
        </w:rPr>
      </w:pPr>
      <w:r w:rsidRPr="00EA2AB9">
        <w:rPr>
          <w:lang w:val="fr-FR"/>
        </w:rPr>
        <w:t>15 décembre</w:t>
      </w:r>
      <w:r w:rsidRPr="00EA2AB9">
        <w:rPr>
          <w:spacing w:val="-4"/>
          <w:lang w:val="fr-FR"/>
        </w:rPr>
        <w:t xml:space="preserve"> 2025</w:t>
      </w:r>
    </w:p>
    <w:p w14:paraId="4E17F548" w14:textId="77777777" w:rsidR="006B758D" w:rsidRPr="00EA2AB9" w:rsidRDefault="006B758D">
      <w:pPr>
        <w:pStyle w:val="BodyText"/>
        <w:rPr>
          <w:sz w:val="20"/>
          <w:lang w:val="fr-FR"/>
        </w:rPr>
      </w:pPr>
    </w:p>
    <w:p w14:paraId="0829A380" w14:textId="77777777" w:rsidR="006B758D" w:rsidRPr="00EA2AB9" w:rsidRDefault="006B758D">
      <w:pPr>
        <w:pStyle w:val="BodyText"/>
        <w:spacing w:before="2"/>
        <w:rPr>
          <w:sz w:val="20"/>
          <w:lang w:val="fr-FR"/>
        </w:rPr>
      </w:pPr>
    </w:p>
    <w:p w14:paraId="40721EE5" w14:textId="77777777" w:rsidR="006B758D" w:rsidRPr="00EA2AB9" w:rsidRDefault="006B758D">
      <w:pPr>
        <w:rPr>
          <w:sz w:val="20"/>
          <w:lang w:val="fr-FR"/>
        </w:rPr>
        <w:sectPr w:rsidR="006B758D" w:rsidRPr="00EA2AB9">
          <w:pgSz w:w="11910" w:h="16840"/>
          <w:pgMar w:top="1320" w:right="1300" w:bottom="1240" w:left="1020" w:header="0" w:footer="1049" w:gutter="0"/>
          <w:cols w:space="720"/>
        </w:sectPr>
      </w:pPr>
    </w:p>
    <w:p w14:paraId="75181646" w14:textId="77777777" w:rsidR="006B758D" w:rsidRPr="00EA2AB9" w:rsidRDefault="006B758D">
      <w:pPr>
        <w:pStyle w:val="BodyText"/>
        <w:rPr>
          <w:sz w:val="26"/>
          <w:lang w:val="fr-FR"/>
        </w:rPr>
      </w:pPr>
    </w:p>
    <w:p w14:paraId="381B6887" w14:textId="77777777" w:rsidR="006B758D" w:rsidRPr="00EA2AB9" w:rsidRDefault="006B758D">
      <w:pPr>
        <w:pStyle w:val="BodyText"/>
        <w:rPr>
          <w:sz w:val="26"/>
          <w:lang w:val="fr-FR"/>
        </w:rPr>
      </w:pPr>
    </w:p>
    <w:p w14:paraId="0E85C881" w14:textId="77777777" w:rsidR="006B758D" w:rsidRPr="00EA2AB9" w:rsidRDefault="006B758D">
      <w:pPr>
        <w:pStyle w:val="BodyText"/>
        <w:rPr>
          <w:sz w:val="26"/>
          <w:lang w:val="fr-FR"/>
        </w:rPr>
      </w:pPr>
    </w:p>
    <w:p w14:paraId="3D69BEF3" w14:textId="77777777" w:rsidR="006B758D" w:rsidRPr="00EA2AB9" w:rsidRDefault="006B758D">
      <w:pPr>
        <w:pStyle w:val="BodyText"/>
        <w:spacing w:before="8"/>
        <w:rPr>
          <w:sz w:val="37"/>
          <w:lang w:val="fr-FR"/>
        </w:rPr>
      </w:pPr>
    </w:p>
    <w:p w14:paraId="1CCF5210" w14:textId="77777777" w:rsidR="006B758D" w:rsidRPr="00EA2AB9" w:rsidRDefault="0023308C">
      <w:pPr>
        <w:pStyle w:val="Heading1"/>
        <w:spacing w:before="1"/>
        <w:ind w:left="682"/>
        <w:rPr>
          <w:lang w:val="fr-FR"/>
        </w:rPr>
      </w:pPr>
      <w:bookmarkStart w:id="2" w:name="_bookmark0"/>
      <w:bookmarkEnd w:id="2"/>
      <w:r w:rsidRPr="00EA2AB9">
        <w:rPr>
          <w:spacing w:val="-2"/>
          <w:lang w:val="fr-FR"/>
        </w:rPr>
        <w:t>Préface</w:t>
      </w:r>
    </w:p>
    <w:p w14:paraId="588BE4DC" w14:textId="77777777" w:rsidR="006B758D" w:rsidRPr="00EA2AB9" w:rsidRDefault="0023308C">
      <w:pPr>
        <w:pStyle w:val="BodyText"/>
        <w:spacing w:before="90"/>
        <w:ind w:left="683" w:right="2191"/>
        <w:jc w:val="center"/>
        <w:rPr>
          <w:lang w:val="fr-FR"/>
        </w:rPr>
      </w:pPr>
      <w:r w:rsidRPr="00EA2AB9">
        <w:rPr>
          <w:lang w:val="fr-FR"/>
        </w:rPr>
        <w:br w:type="column"/>
      </w:r>
      <w:r w:rsidRPr="00EA2AB9">
        <w:rPr>
          <w:smallCaps/>
          <w:spacing w:val="-4"/>
          <w:lang w:val="fr-FR"/>
        </w:rPr>
        <w:t xml:space="preserve">Groupe </w:t>
      </w:r>
      <w:r w:rsidRPr="00EA2AB9">
        <w:rPr>
          <w:smallCaps/>
          <w:spacing w:val="-2"/>
          <w:lang w:val="fr-FR"/>
        </w:rPr>
        <w:t>d'experts de l'UPOV</w:t>
      </w:r>
    </w:p>
    <w:p w14:paraId="09D7BCD8" w14:textId="77777777" w:rsidR="006B758D" w:rsidRPr="00EA2AB9" w:rsidRDefault="0023308C">
      <w:pPr>
        <w:pStyle w:val="BodyText"/>
        <w:spacing w:before="137" w:line="360" w:lineRule="auto"/>
        <w:ind w:left="683" w:right="2195"/>
        <w:jc w:val="center"/>
        <w:rPr>
          <w:lang w:val="fr-FR"/>
        </w:rPr>
      </w:pPr>
      <w:r w:rsidRPr="00EA2AB9">
        <w:rPr>
          <w:lang w:val="fr-FR"/>
        </w:rPr>
        <w:t>Huib Ghijsen, Viviane Kunisawa, Charles Lawson, Axel Metzger et Joseph Straus</w:t>
      </w:r>
    </w:p>
    <w:p w14:paraId="347453AE" w14:textId="77777777" w:rsidR="006B758D" w:rsidRPr="00EA2AB9" w:rsidRDefault="006B758D">
      <w:pPr>
        <w:spacing w:line="360" w:lineRule="auto"/>
        <w:jc w:val="center"/>
        <w:rPr>
          <w:lang w:val="fr-FR"/>
        </w:rPr>
        <w:sectPr w:rsidR="006B758D" w:rsidRPr="00EA2AB9">
          <w:type w:val="continuous"/>
          <w:pgSz w:w="11910" w:h="16840"/>
          <w:pgMar w:top="1920" w:right="1300" w:bottom="1240" w:left="1020" w:header="0" w:footer="1049" w:gutter="0"/>
          <w:cols w:num="2" w:space="720" w:equalWidth="0">
            <w:col w:w="1494" w:space="297"/>
            <w:col w:w="7799"/>
          </w:cols>
        </w:sectPr>
      </w:pPr>
    </w:p>
    <w:p w14:paraId="6DBB104D" w14:textId="77777777" w:rsidR="006B758D" w:rsidRPr="00EA2AB9" w:rsidRDefault="0023308C">
      <w:pPr>
        <w:pStyle w:val="BodyText"/>
        <w:spacing w:before="139" w:line="360" w:lineRule="auto"/>
        <w:ind w:left="682" w:right="395" w:firstLine="707"/>
        <w:jc w:val="both"/>
        <w:rPr>
          <w:lang w:val="fr-FR"/>
        </w:rPr>
      </w:pPr>
      <w:r w:rsidRPr="00EA2AB9">
        <w:rPr>
          <w:lang w:val="fr-FR"/>
        </w:rPr>
        <w:t>Nous comprenons que notre groupe d'étude avait pour mission de travailler indépendamment des positions adoptées par les États membres qui nous avaient respectivement désignés pour cette tâche, ainsi que du Groupe de travail de l'UPOV sur le produit de la récolte et l’utilisation non autorisée de matériel de reproduction ou de multiplication.</w:t>
      </w:r>
    </w:p>
    <w:p w14:paraId="3C6D4EDD" w14:textId="563D8D70" w:rsidR="006B758D" w:rsidRPr="00EA2AB9" w:rsidRDefault="0023308C">
      <w:pPr>
        <w:pStyle w:val="BodyText"/>
        <w:spacing w:before="1" w:line="360" w:lineRule="auto"/>
        <w:ind w:left="682" w:right="397" w:firstLine="707"/>
        <w:jc w:val="both"/>
        <w:rPr>
          <w:lang w:val="fr-FR"/>
        </w:rPr>
      </w:pPr>
      <w:r w:rsidRPr="00EA2AB9">
        <w:rPr>
          <w:lang w:val="fr-FR"/>
        </w:rPr>
        <w:t>Nous nous sommes efforcés d'adopter notre (nos) position(s) par consensus, mais n'avons pas exclu la possibilité que des positions divergentes puissent apparaître au cours de l'étude.</w:t>
      </w:r>
    </w:p>
    <w:p w14:paraId="4877358C" w14:textId="77777777" w:rsidR="006B758D" w:rsidRPr="00EA2AB9" w:rsidRDefault="0023308C">
      <w:pPr>
        <w:pStyle w:val="BodyText"/>
        <w:spacing w:line="360" w:lineRule="auto"/>
        <w:ind w:left="682" w:right="396" w:firstLine="707"/>
        <w:jc w:val="both"/>
        <w:rPr>
          <w:lang w:val="fr-FR"/>
        </w:rPr>
      </w:pPr>
      <w:r w:rsidRPr="00EA2AB9">
        <w:rPr>
          <w:lang w:val="fr-FR"/>
        </w:rPr>
        <w:t>Notre analyse de l'article 14 (1), (2) et de l'article 16 de la Convention UPOV 1991, une convention de droit international public, repose sur un examen approfondi des comptes rendus de la Conférence diplomatique pour la révision de la Convention internationale pour la protection des variétés végétales, qui s'est tenue à Genève en mars 1991, ainsi que des documents qui ont précédé ces comptes rendus</w:t>
      </w:r>
      <w:hyperlink w:anchor="_bookmark1" w:history="1">
        <w:r w:rsidRPr="00EA2AB9">
          <w:rPr>
            <w:vertAlign w:val="superscript"/>
            <w:lang w:val="fr-FR"/>
          </w:rPr>
          <w:t>1</w:t>
        </w:r>
        <w:r w:rsidRPr="00EA2AB9">
          <w:rPr>
            <w:lang w:val="fr-FR"/>
          </w:rPr>
          <w:t xml:space="preserve">. </w:t>
        </w:r>
      </w:hyperlink>
    </w:p>
    <w:p w14:paraId="204E1DB8" w14:textId="77777777" w:rsidR="006B758D" w:rsidRPr="00EA2AB9" w:rsidRDefault="0023308C">
      <w:pPr>
        <w:pStyle w:val="BodyText"/>
        <w:spacing w:line="360" w:lineRule="auto"/>
        <w:ind w:left="682" w:right="399" w:firstLine="707"/>
        <w:jc w:val="both"/>
        <w:rPr>
          <w:lang w:val="fr-FR"/>
        </w:rPr>
      </w:pPr>
      <w:r w:rsidRPr="00EA2AB9">
        <w:rPr>
          <w:lang w:val="fr-FR"/>
        </w:rPr>
        <w:t>Enfin, nous déclarons n'avoir aucun conflit d'intérêts susceptible de compromettre notre travail dans le cadre de l'étude.</w:t>
      </w:r>
    </w:p>
    <w:p w14:paraId="6FD6D7DC" w14:textId="77777777" w:rsidR="006B758D" w:rsidRPr="00EA2AB9" w:rsidRDefault="006B758D">
      <w:pPr>
        <w:pStyle w:val="BodyText"/>
        <w:rPr>
          <w:sz w:val="20"/>
          <w:lang w:val="fr-FR"/>
        </w:rPr>
      </w:pPr>
    </w:p>
    <w:p w14:paraId="2023FFB8" w14:textId="77777777" w:rsidR="006B758D" w:rsidRPr="00EA2AB9" w:rsidRDefault="006B758D">
      <w:pPr>
        <w:pStyle w:val="BodyText"/>
        <w:rPr>
          <w:sz w:val="20"/>
          <w:lang w:val="fr-FR"/>
        </w:rPr>
      </w:pPr>
    </w:p>
    <w:p w14:paraId="12FD76B6" w14:textId="29B8B7AF" w:rsidR="006B758D" w:rsidRPr="00EA2AB9" w:rsidRDefault="005C7D52">
      <w:pPr>
        <w:pStyle w:val="BodyText"/>
        <w:spacing w:before="10"/>
        <w:rPr>
          <w:sz w:val="21"/>
          <w:lang w:val="fr-FR"/>
        </w:rPr>
      </w:pPr>
      <w:r>
        <w:rPr>
          <w:noProof/>
        </w:rPr>
        <mc:AlternateContent>
          <mc:Choice Requires="wps">
            <w:drawing>
              <wp:anchor distT="0" distB="0" distL="0" distR="0" simplePos="0" relativeHeight="487587840" behindDoc="1" locked="0" layoutInCell="1" allowOverlap="1" wp14:anchorId="1365B585" wp14:editId="2FA1C5A3">
                <wp:simplePos x="0" y="0"/>
                <wp:positionH relativeFrom="page">
                  <wp:posOffset>1080770</wp:posOffset>
                </wp:positionH>
                <wp:positionV relativeFrom="paragraph">
                  <wp:posOffset>175260</wp:posOffset>
                </wp:positionV>
                <wp:extent cx="1828800" cy="7620"/>
                <wp:effectExtent l="0" t="0" r="0" b="0"/>
                <wp:wrapTopAndBottom/>
                <wp:docPr id="1111061390"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 style="position:absolute;margin-left:85.1pt;margin-top:13.8pt;width:2in;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" w14:anchorId="447D59F6">
                <w10:wrap type="topAndBottom" anchorx="page"/>
              </v:rect>
            </w:pict>
          </mc:Fallback>
        </mc:AlternateContent>
      </w:r>
    </w:p>
    <w:p w14:paraId="20BFE741" w14:textId="77777777" w:rsidR="006B758D" w:rsidRPr="00EA2AB9" w:rsidRDefault="0023308C">
      <w:pPr>
        <w:spacing w:before="101"/>
        <w:ind w:left="682" w:right="397"/>
        <w:jc w:val="both"/>
        <w:rPr>
          <w:sz w:val="20"/>
          <w:lang w:val="fr-FR"/>
        </w:rPr>
      </w:pPr>
      <w:bookmarkStart w:id="3" w:name="_bookmark1"/>
      <w:bookmarkEnd w:id="3"/>
      <w:proofErr w:type="gramStart"/>
      <w:r w:rsidRPr="00EA2AB9">
        <w:rPr>
          <w:sz w:val="20"/>
          <w:vertAlign w:val="superscript"/>
          <w:lang w:val="fr-FR"/>
        </w:rPr>
        <w:t>1</w:t>
      </w:r>
      <w:r w:rsidRPr="00EA2AB9">
        <w:rPr>
          <w:sz w:val="20"/>
          <w:lang w:val="fr-FR"/>
        </w:rPr>
        <w:t xml:space="preserve">  UPOV</w:t>
      </w:r>
      <w:proofErr w:type="gramEnd"/>
      <w:r w:rsidRPr="00EA2AB9">
        <w:rPr>
          <w:sz w:val="20"/>
          <w:lang w:val="fr-FR"/>
        </w:rPr>
        <w:t>, Actes de la Conférence diplomatique pour la révision de la Convention internationale pour la protection des variétés végétales, publication UPOV n° 346 (E), Genève, 1992.</w:t>
      </w:r>
      <w:r w:rsidRPr="00EA2AB9">
        <w:rPr>
          <w:spacing w:val="-5"/>
          <w:sz w:val="20"/>
          <w:lang w:val="fr-FR"/>
        </w:rPr>
        <w:t xml:space="preserve"> </w:t>
      </w:r>
      <w:r w:rsidRPr="00EA2AB9">
        <w:rPr>
          <w:sz w:val="20"/>
          <w:lang w:val="fr-FR"/>
        </w:rPr>
        <w:t>L'analyse se fonde également sur les documents préparatoires officiels de l'UPOV précédant la Conférence diplomatique de 1991, notamment les comptes rendus et rapports du Comité administratif et juridique (CAJ), en particulier CAJ/VIII/5 (juin 1981) ; CAJ/XVI/3 (14-15 novembre 1985) ; CAJ/18/6 (novembre 1986, y compris le projet de recommandation annexé sur l'extension et l'harmonisation des droits d'obtenteur) ; CAJ/XXII/2 (avril 1988) ; CAJ/XXIII/2 (octobre 1988) ;</w:t>
      </w:r>
      <w:r w:rsidRPr="00EA2AB9">
        <w:rPr>
          <w:spacing w:val="75"/>
          <w:sz w:val="20"/>
          <w:lang w:val="fr-FR"/>
        </w:rPr>
        <w:t xml:space="preserve"> </w:t>
      </w:r>
      <w:r w:rsidRPr="00EA2AB9">
        <w:rPr>
          <w:sz w:val="20"/>
          <w:lang w:val="fr-FR"/>
        </w:rPr>
        <w:t>CAJ/XXIV/6 (avril 1989) ; CAJ/XXV/ANNEXE II (octobre 1989) ;</w:t>
      </w:r>
    </w:p>
    <w:p w14:paraId="7D1778DC" w14:textId="77777777" w:rsidR="006B758D" w:rsidRPr="00EA2AB9" w:rsidRDefault="0023308C">
      <w:pPr>
        <w:spacing w:before="1"/>
        <w:ind w:left="682" w:right="396"/>
        <w:jc w:val="both"/>
        <w:rPr>
          <w:sz w:val="20"/>
          <w:lang w:val="fr-FR"/>
        </w:rPr>
      </w:pPr>
      <w:r w:rsidRPr="00EA2AB9">
        <w:rPr>
          <w:sz w:val="20"/>
          <w:lang w:val="fr-FR"/>
        </w:rPr>
        <w:t>CAJ/XXVI (11-13 octobre 1989) ; CAJ/27/2 et CAJ/27/8 (juin 1990) ; et CAJ/28/6 (12-16 octobre 1990). Il est également fait référence aux documents des réunions avec les organisations internationales (IOM), notamment IOM IV/2 (quatrième réunion, 9-10 octobre 1989) et IOM/5/2 Rev. (</w:t>
      </w:r>
      <w:proofErr w:type="gramStart"/>
      <w:r w:rsidRPr="00EA2AB9">
        <w:rPr>
          <w:sz w:val="20"/>
          <w:lang w:val="fr-FR"/>
        </w:rPr>
        <w:t>cinquième</w:t>
      </w:r>
      <w:proofErr w:type="gramEnd"/>
      <w:r w:rsidRPr="00EA2AB9">
        <w:rPr>
          <w:sz w:val="20"/>
          <w:lang w:val="fr-FR"/>
        </w:rPr>
        <w:t xml:space="preserve"> réunion, 10-11 octobre 1990) ; aux documents de la réunion préparatoire, en particulier PM 1/2 (avril 1990) ; ainsi qu'aux documents du Conseil de l'UPOV, notamment le document C/XXI/13 (15-16 octobre 1987).</w:t>
      </w:r>
    </w:p>
    <w:p w14:paraId="08847E5F" w14:textId="77777777" w:rsidR="006B758D" w:rsidRPr="00EA2AB9" w:rsidRDefault="006B758D">
      <w:pPr>
        <w:jc w:val="both"/>
        <w:rPr>
          <w:sz w:val="20"/>
          <w:lang w:val="fr-FR"/>
        </w:rPr>
        <w:sectPr w:rsidR="006B758D" w:rsidRPr="00EA2AB9">
          <w:type w:val="continuous"/>
          <w:pgSz w:w="11910" w:h="16840"/>
          <w:pgMar w:top="1920" w:right="1300" w:bottom="1240" w:left="1020" w:header="0" w:footer="1049" w:gutter="0"/>
          <w:cols w:space="720"/>
        </w:sectPr>
      </w:pPr>
    </w:p>
    <w:p w14:paraId="5DF0AC18" w14:textId="77777777" w:rsidR="006B758D" w:rsidRPr="00EA2AB9" w:rsidRDefault="0023308C">
      <w:pPr>
        <w:pStyle w:val="Heading1"/>
        <w:ind w:left="682"/>
        <w:rPr>
          <w:lang w:val="fr-FR"/>
        </w:rPr>
      </w:pPr>
      <w:bookmarkStart w:id="4" w:name="_bookmark2"/>
      <w:bookmarkEnd w:id="4"/>
      <w:r w:rsidRPr="00EA2AB9">
        <w:rPr>
          <w:lang w:val="fr-FR"/>
        </w:rPr>
        <w:lastRenderedPageBreak/>
        <w:t xml:space="preserve">Portée du </w:t>
      </w:r>
      <w:r w:rsidRPr="00EA2AB9">
        <w:rPr>
          <w:spacing w:val="-2"/>
          <w:lang w:val="fr-FR"/>
        </w:rPr>
        <w:t>compte rendu</w:t>
      </w:r>
    </w:p>
    <w:p w14:paraId="75070DA6" w14:textId="77777777" w:rsidR="006B758D" w:rsidRPr="00EA2AB9" w:rsidRDefault="0023308C">
      <w:pPr>
        <w:pStyle w:val="BodyText"/>
        <w:spacing w:before="140"/>
        <w:ind w:left="1390"/>
        <w:jc w:val="both"/>
        <w:rPr>
          <w:lang w:val="fr-FR"/>
        </w:rPr>
      </w:pPr>
      <w:r w:rsidRPr="00EA2AB9">
        <w:rPr>
          <w:lang w:val="fr-FR"/>
        </w:rPr>
        <w:t xml:space="preserve">Selon le mandat, l'étude devrait </w:t>
      </w:r>
      <w:r w:rsidRPr="00EA2AB9">
        <w:rPr>
          <w:spacing w:val="-2"/>
          <w:lang w:val="fr-FR"/>
        </w:rPr>
        <w:t>comprendre :</w:t>
      </w:r>
    </w:p>
    <w:p w14:paraId="2AA39FF4" w14:textId="77777777" w:rsidR="006B758D" w:rsidRPr="00EA2AB9" w:rsidRDefault="0023308C">
      <w:pPr>
        <w:pStyle w:val="ListParagraph"/>
        <w:numPr>
          <w:ilvl w:val="0"/>
          <w:numId w:val="21"/>
        </w:numPr>
        <w:tabs>
          <w:tab w:val="left" w:pos="1599"/>
        </w:tabs>
        <w:spacing w:before="137" w:line="360" w:lineRule="auto"/>
        <w:ind w:right="397" w:firstLine="707"/>
        <w:rPr>
          <w:sz w:val="24"/>
          <w:lang w:val="fr-FR"/>
        </w:rPr>
      </w:pPr>
      <w:proofErr w:type="gramStart"/>
      <w:r w:rsidRPr="00EA2AB9">
        <w:rPr>
          <w:sz w:val="24"/>
          <w:lang w:val="fr-FR"/>
        </w:rPr>
        <w:t>une</w:t>
      </w:r>
      <w:proofErr w:type="gramEnd"/>
      <w:r w:rsidRPr="00EA2AB9">
        <w:rPr>
          <w:sz w:val="24"/>
          <w:lang w:val="fr-FR"/>
        </w:rPr>
        <w:t xml:space="preserve"> </w:t>
      </w:r>
      <w:r w:rsidRPr="00EA2AB9">
        <w:rPr>
          <w:b/>
          <w:sz w:val="24"/>
          <w:lang w:val="fr-FR"/>
        </w:rPr>
        <w:t xml:space="preserve">première partie </w:t>
      </w:r>
      <w:r w:rsidRPr="00EA2AB9">
        <w:rPr>
          <w:sz w:val="24"/>
          <w:lang w:val="fr-FR"/>
        </w:rPr>
        <w:t>analysant les intentions des rédacteurs de l'Acte de 1991 de la Convention UPOV en ce qui concerne l</w:t>
      </w:r>
      <w:proofErr w:type="gramStart"/>
      <w:r w:rsidRPr="00EA2AB9">
        <w:rPr>
          <w:sz w:val="24"/>
          <w:lang w:val="fr-FR"/>
        </w:rPr>
        <w:t>'«</w:t>
      </w:r>
      <w:proofErr w:type="gramEnd"/>
      <w:r w:rsidRPr="00EA2AB9">
        <w:rPr>
          <w:sz w:val="24"/>
          <w:lang w:val="fr-FR"/>
        </w:rPr>
        <w:t xml:space="preserve"> Étendue du droit d'obtenteur » visée à l'article 14</w:t>
      </w:r>
      <w:r w:rsidRPr="00EA2AB9">
        <w:rPr>
          <w:spacing w:val="-2"/>
          <w:sz w:val="24"/>
          <w:lang w:val="fr-FR"/>
        </w:rPr>
        <w:t xml:space="preserve"> </w:t>
      </w:r>
      <w:r w:rsidRPr="00EA2AB9">
        <w:rPr>
          <w:sz w:val="24"/>
          <w:lang w:val="fr-FR"/>
        </w:rPr>
        <w:t>(1) et (2) de l'Acte de 1991, y compris les notions d'utilisation non autorisée et d</w:t>
      </w:r>
      <w:proofErr w:type="gramStart"/>
      <w:r w:rsidRPr="00EA2AB9">
        <w:rPr>
          <w:sz w:val="24"/>
          <w:lang w:val="fr-FR"/>
        </w:rPr>
        <w:t>'«</w:t>
      </w:r>
      <w:proofErr w:type="gramEnd"/>
      <w:r w:rsidRPr="00EA2AB9">
        <w:rPr>
          <w:sz w:val="24"/>
          <w:lang w:val="fr-FR"/>
        </w:rPr>
        <w:t xml:space="preserve"> opportunité raisonnable », ainsi que la relation avec l</w:t>
      </w:r>
      <w:proofErr w:type="gramStart"/>
      <w:r w:rsidRPr="00EA2AB9">
        <w:rPr>
          <w:sz w:val="24"/>
          <w:lang w:val="fr-FR"/>
        </w:rPr>
        <w:t>'«</w:t>
      </w:r>
      <w:proofErr w:type="gramEnd"/>
      <w:r w:rsidRPr="00EA2AB9">
        <w:rPr>
          <w:sz w:val="24"/>
          <w:lang w:val="fr-FR"/>
        </w:rPr>
        <w:t xml:space="preserve"> Épuisement du droit d'obtenteur » visé à l'article 16 de l'Acte de 1991 ; et</w:t>
      </w:r>
    </w:p>
    <w:p w14:paraId="623C16D9" w14:textId="77777777" w:rsidR="006B758D" w:rsidRPr="00EA2AB9" w:rsidRDefault="0023308C">
      <w:pPr>
        <w:pStyle w:val="ListParagraph"/>
        <w:numPr>
          <w:ilvl w:val="0"/>
          <w:numId w:val="21"/>
        </w:numPr>
        <w:tabs>
          <w:tab w:val="left" w:pos="1664"/>
        </w:tabs>
        <w:spacing w:before="1"/>
        <w:ind w:right="589" w:firstLine="707"/>
        <w:rPr>
          <w:sz w:val="24"/>
          <w:lang w:val="fr-FR"/>
        </w:rPr>
      </w:pPr>
      <w:proofErr w:type="gramStart"/>
      <w:r w:rsidRPr="00EA2AB9">
        <w:rPr>
          <w:sz w:val="24"/>
          <w:lang w:val="fr-FR"/>
        </w:rPr>
        <w:t>une</w:t>
      </w:r>
      <w:proofErr w:type="gramEnd"/>
      <w:r w:rsidRPr="00EA2AB9">
        <w:rPr>
          <w:sz w:val="24"/>
          <w:lang w:val="fr-FR"/>
        </w:rPr>
        <w:t xml:space="preserve"> </w:t>
      </w:r>
      <w:r w:rsidRPr="00EA2AB9">
        <w:rPr>
          <w:b/>
          <w:sz w:val="24"/>
          <w:lang w:val="fr-FR"/>
        </w:rPr>
        <w:t xml:space="preserve">deuxième partie </w:t>
      </w:r>
      <w:r w:rsidRPr="00EA2AB9">
        <w:rPr>
          <w:sz w:val="24"/>
          <w:lang w:val="fr-FR"/>
        </w:rPr>
        <w:t>contenant des résumés d'affaires judiciaires pertinentes provenant de membres de l'UPOV liés par l'Acte de 1991.</w:t>
      </w:r>
    </w:p>
    <w:p w14:paraId="3645806A" w14:textId="77777777" w:rsidR="006B758D" w:rsidRPr="00EA2AB9" w:rsidRDefault="006B758D">
      <w:pPr>
        <w:jc w:val="both"/>
        <w:rPr>
          <w:sz w:val="24"/>
          <w:lang w:val="fr-FR"/>
        </w:rPr>
        <w:sectPr w:rsidR="006B758D" w:rsidRPr="00EA2AB9">
          <w:pgSz w:w="11910" w:h="16840"/>
          <w:pgMar w:top="1320" w:right="1300" w:bottom="1240" w:left="1020" w:header="0" w:footer="1049" w:gutter="0"/>
          <w:cols w:space="720"/>
        </w:sectPr>
      </w:pPr>
    </w:p>
    <w:p w14:paraId="235C2678" w14:textId="77777777" w:rsidR="006B758D" w:rsidRPr="00EA2AB9" w:rsidRDefault="0023308C">
      <w:pPr>
        <w:pStyle w:val="Heading1"/>
        <w:ind w:left="804" w:right="525"/>
        <w:jc w:val="center"/>
        <w:rPr>
          <w:lang w:val="fr-FR"/>
        </w:rPr>
      </w:pPr>
      <w:bookmarkStart w:id="5" w:name="_bookmark3"/>
      <w:bookmarkEnd w:id="5"/>
      <w:r w:rsidRPr="00EA2AB9">
        <w:rPr>
          <w:spacing w:val="-5"/>
          <w:u w:val="single"/>
          <w:lang w:val="fr-FR"/>
        </w:rPr>
        <w:lastRenderedPageBreak/>
        <w:t xml:space="preserve">PREMIÈRE </w:t>
      </w:r>
      <w:r w:rsidRPr="00EA2AB9">
        <w:rPr>
          <w:u w:val="single"/>
          <w:lang w:val="fr-FR"/>
        </w:rPr>
        <w:t>PARTIE</w:t>
      </w:r>
    </w:p>
    <w:p w14:paraId="213C99C5" w14:textId="77777777" w:rsidR="006B758D" w:rsidRPr="00EA2AB9" w:rsidRDefault="006B758D">
      <w:pPr>
        <w:pStyle w:val="BodyText"/>
        <w:rPr>
          <w:b/>
          <w:sz w:val="20"/>
          <w:lang w:val="fr-FR"/>
        </w:rPr>
      </w:pPr>
    </w:p>
    <w:p w14:paraId="2CE3DBAE" w14:textId="77777777" w:rsidR="006B758D" w:rsidRPr="00EA2AB9" w:rsidRDefault="006B758D">
      <w:pPr>
        <w:pStyle w:val="BodyText"/>
        <w:spacing w:before="3"/>
        <w:rPr>
          <w:b/>
          <w:sz w:val="20"/>
          <w:lang w:val="fr-FR"/>
        </w:rPr>
      </w:pPr>
    </w:p>
    <w:p w14:paraId="3C6F7622" w14:textId="77777777" w:rsidR="006B758D" w:rsidRPr="00EA2AB9" w:rsidRDefault="0023308C">
      <w:pPr>
        <w:pStyle w:val="Heading1"/>
        <w:spacing w:before="90" w:line="360" w:lineRule="auto"/>
        <w:ind w:left="682" w:right="316"/>
        <w:rPr>
          <w:lang w:val="fr-FR"/>
        </w:rPr>
      </w:pPr>
      <w:bookmarkStart w:id="6" w:name="_bookmark4"/>
      <w:bookmarkEnd w:id="6"/>
      <w:r w:rsidRPr="00EA2AB9">
        <w:rPr>
          <w:u w:val="single"/>
          <w:lang w:val="fr-FR"/>
        </w:rPr>
        <w:t xml:space="preserve">Chapitre premier </w:t>
      </w:r>
      <w:r w:rsidRPr="00EA2AB9">
        <w:rPr>
          <w:lang w:val="fr-FR"/>
        </w:rPr>
        <w:t>: Produit de la récolte : autorisation/utilisation non autorisée, exercice du droit et contrefaçon</w:t>
      </w:r>
    </w:p>
    <w:p w14:paraId="1B13BA9D" w14:textId="77777777" w:rsidR="006B758D" w:rsidRPr="00EA2AB9" w:rsidRDefault="006B758D">
      <w:pPr>
        <w:pStyle w:val="BodyText"/>
        <w:rPr>
          <w:b/>
          <w:lang w:val="fr-FR"/>
        </w:rPr>
      </w:pPr>
    </w:p>
    <w:p w14:paraId="5EEADEB8" w14:textId="77777777" w:rsidR="006B758D" w:rsidRPr="00EA2AB9" w:rsidRDefault="0023308C">
      <w:pPr>
        <w:pStyle w:val="ListParagraph"/>
        <w:numPr>
          <w:ilvl w:val="0"/>
          <w:numId w:val="20"/>
        </w:numPr>
        <w:tabs>
          <w:tab w:val="left" w:pos="992"/>
        </w:tabs>
        <w:spacing w:line="360" w:lineRule="auto"/>
        <w:ind w:right="404" w:firstLine="0"/>
        <w:rPr>
          <w:sz w:val="24"/>
          <w:lang w:val="fr-FR"/>
        </w:rPr>
      </w:pPr>
      <w:bookmarkStart w:id="7" w:name="_bookmark5"/>
      <w:bookmarkEnd w:id="7"/>
      <w:r w:rsidRPr="00EA2AB9">
        <w:rPr>
          <w:sz w:val="24"/>
          <w:u w:val="single"/>
          <w:lang w:val="fr-FR"/>
        </w:rPr>
        <w:t>Les notions d</w:t>
      </w:r>
      <w:proofErr w:type="gramStart"/>
      <w:r w:rsidRPr="00EA2AB9">
        <w:rPr>
          <w:sz w:val="24"/>
          <w:u w:val="single"/>
          <w:lang w:val="fr-FR"/>
        </w:rPr>
        <w:t>'«</w:t>
      </w:r>
      <w:proofErr w:type="gramEnd"/>
      <w:r w:rsidRPr="00EA2AB9">
        <w:rPr>
          <w:sz w:val="24"/>
          <w:u w:val="single"/>
          <w:lang w:val="fr-FR"/>
        </w:rPr>
        <w:t xml:space="preserve"> utilisation non autorisée de matériel de reproduction ou de multiplication » et d</w:t>
      </w:r>
      <w:proofErr w:type="gramStart"/>
      <w:r w:rsidRPr="00EA2AB9">
        <w:rPr>
          <w:sz w:val="24"/>
          <w:u w:val="single"/>
          <w:lang w:val="fr-FR"/>
        </w:rPr>
        <w:t>'«</w:t>
      </w:r>
      <w:proofErr w:type="gramEnd"/>
      <w:r w:rsidRPr="00EA2AB9">
        <w:rPr>
          <w:sz w:val="24"/>
          <w:u w:val="single"/>
          <w:lang w:val="fr-FR"/>
        </w:rPr>
        <w:t xml:space="preserve"> opportunité raisonnable » et leur application pratique</w:t>
      </w:r>
    </w:p>
    <w:p w14:paraId="75F2B36E" w14:textId="77777777" w:rsidR="006B758D" w:rsidRPr="00EA2AB9" w:rsidRDefault="006B758D">
      <w:pPr>
        <w:pStyle w:val="BodyText"/>
        <w:spacing w:before="2"/>
        <w:rPr>
          <w:lang w:val="fr-FR"/>
        </w:rPr>
      </w:pPr>
    </w:p>
    <w:p w14:paraId="18A0ED3E" w14:textId="466774FA" w:rsidR="00EA2AB9" w:rsidRPr="00EA2AB9" w:rsidRDefault="0023308C" w:rsidP="00EA2AB9">
      <w:pPr>
        <w:pStyle w:val="ListParagraph"/>
        <w:numPr>
          <w:ilvl w:val="0"/>
          <w:numId w:val="10"/>
        </w:numPr>
        <w:tabs>
          <w:tab w:val="left" w:pos="1652"/>
        </w:tabs>
        <w:spacing w:before="90" w:line="360" w:lineRule="auto"/>
        <w:ind w:right="394" w:firstLine="707"/>
        <w:rPr>
          <w:i/>
          <w:sz w:val="20"/>
          <w:lang w:val="fr-FR"/>
        </w:rPr>
      </w:pPr>
      <w:r w:rsidRPr="00EA2AB9">
        <w:rPr>
          <w:sz w:val="24"/>
          <w:lang w:val="fr-FR"/>
        </w:rPr>
        <w:t>Pour notre analyse, il semble opportun de rappeler tout d'abord que la limitation de la portée de la protection aux actes liés au matériel de reproduction ou de multiplication de la variété protégée, telle qu'elle était conçue dans les Actes de l'UPOV de 1961 et de 1978, était considérée, bien avant le début des travaux préparatoires de l'Acte de 1991, comme insuffisante, en particulier par les obtenteurs de plantes fruitières et ornementales multipliées par voie végétative</w:t>
      </w:r>
      <w:hyperlink w:anchor="_bookmark6" w:history="1">
        <w:r w:rsidRPr="00EA2AB9">
          <w:rPr>
            <w:sz w:val="24"/>
            <w:vertAlign w:val="superscript"/>
            <w:lang w:val="fr-FR"/>
          </w:rPr>
          <w:t>2</w:t>
        </w:r>
      </w:hyperlink>
      <w:r w:rsidRPr="00EA2AB9">
        <w:rPr>
          <w:sz w:val="24"/>
          <w:lang w:val="fr-FR"/>
        </w:rPr>
        <w:t xml:space="preserve">.   Elle semblait également inadéquate pour les obtenteurs de nouveaux cultivars développés à l'aide de méthodes de sélection traditionnelles, parfois après trente ans de travail, et destinés à fournir non seulement des denrées alimentaires et </w:t>
      </w:r>
      <w:r w:rsidR="00BF7146" w:rsidRPr="00EA2AB9">
        <w:rPr>
          <w:sz w:val="24"/>
          <w:lang w:val="fr-FR"/>
        </w:rPr>
        <w:t>des fibres</w:t>
      </w:r>
      <w:r w:rsidRPr="00EA2AB9">
        <w:rPr>
          <w:sz w:val="24"/>
          <w:lang w:val="fr-FR"/>
        </w:rPr>
        <w:t xml:space="preserve">, mais aussi un grand nombre de produits industriels utiles, destinés par exemple à servir de source de diesel, d'éthanol ou d'acides </w:t>
      </w:r>
      <w:proofErr w:type="spellStart"/>
      <w:r w:rsidRPr="00EA2AB9">
        <w:rPr>
          <w:sz w:val="24"/>
          <w:lang w:val="fr-FR"/>
        </w:rPr>
        <w:t>éructiques</w:t>
      </w:r>
      <w:proofErr w:type="spellEnd"/>
      <w:r w:rsidRPr="00EA2AB9">
        <w:rPr>
          <w:sz w:val="24"/>
          <w:lang w:val="fr-FR"/>
        </w:rPr>
        <w:t xml:space="preserve"> utilisés dans la fabrication de lubrifiants et de plastifiants, ou d'esters de cire liquide pour les cosmétiques et les lubrifiants de haute qualité.</w:t>
      </w:r>
      <w:hyperlink w:anchor="_bookmark7" w:history="1">
        <w:r w:rsidRPr="00EA2AB9">
          <w:rPr>
            <w:sz w:val="24"/>
            <w:vertAlign w:val="superscript"/>
            <w:lang w:val="fr-FR"/>
          </w:rPr>
          <w:t>3</w:t>
        </w:r>
      </w:hyperlink>
      <w:r w:rsidRPr="00EA2AB9">
        <w:rPr>
          <w:sz w:val="24"/>
          <w:lang w:val="fr-FR"/>
        </w:rPr>
        <w:t xml:space="preserve">Bien que controversée, l'extension de l'étendue du droit d'obtenteur pour le produit de la récolte a été l'une des principales raisons de la révision de l'UPOV en 1991, qui visait notamment à renforcer la protection des obtenteurs pour la rapprocher du niveau de protection offert par les brevets, tout en l'adaptant spécifiquement aux particularités de la sélection végétale et aux besoins spécifiques des obtenteurs. Finalement, la Conférence diplomatique a adopté le compromis énoncé à l'article 14(2) de l'UPOV 1991. Celui-ci subordonne </w:t>
      </w:r>
      <w:r w:rsidRPr="00EA2AB9">
        <w:rPr>
          <w:b/>
          <w:sz w:val="24"/>
          <w:lang w:val="fr-FR"/>
        </w:rPr>
        <w:t xml:space="preserve">l'autorisation </w:t>
      </w:r>
      <w:r w:rsidRPr="00EA2AB9">
        <w:rPr>
          <w:sz w:val="24"/>
          <w:lang w:val="fr-FR"/>
        </w:rPr>
        <w:t xml:space="preserve">du sélectionneur pour les actes énumérés à l'article 14(1) en ce qui concerne le produit de la récolte, c'est-à-dire l'extension de la portée de la protection au produit de la récolte, à deux conditions. D'une part, que le produit de la récolte ait été obtenu par </w:t>
      </w:r>
      <w:r w:rsidR="00431BED" w:rsidRPr="00EA2AB9">
        <w:rPr>
          <w:sz w:val="24"/>
          <w:lang w:val="fr-FR"/>
        </w:rPr>
        <w:t xml:space="preserve">une </w:t>
      </w:r>
      <w:r w:rsidRPr="00EA2AB9">
        <w:rPr>
          <w:b/>
          <w:i/>
          <w:sz w:val="24"/>
          <w:lang w:val="fr-FR"/>
        </w:rPr>
        <w:t xml:space="preserve">utilisation non autorisée de matériel de reproduction ou de multiplication de la variété protégée </w:t>
      </w:r>
      <w:r w:rsidRPr="00EA2AB9">
        <w:rPr>
          <w:sz w:val="24"/>
          <w:lang w:val="fr-FR"/>
        </w:rPr>
        <w:t xml:space="preserve">et, d'autre part, que </w:t>
      </w:r>
    </w:p>
    <w:p w14:paraId="2FB29664" w14:textId="2D51A3E9" w:rsidR="006B758D" w:rsidRPr="00EA2AB9" w:rsidRDefault="005C7D52">
      <w:pPr>
        <w:pStyle w:val="BodyText"/>
        <w:spacing w:before="1"/>
        <w:rPr>
          <w:i/>
          <w:sz w:val="14"/>
          <w:lang w:val="fr-FR"/>
        </w:rPr>
      </w:pPr>
      <w:r>
        <w:rPr>
          <w:noProof/>
        </w:rPr>
        <mc:AlternateContent>
          <mc:Choice Requires="wps">
            <w:drawing>
              <wp:anchor distT="0" distB="0" distL="0" distR="0" simplePos="0" relativeHeight="487588352" behindDoc="1" locked="0" layoutInCell="1" allowOverlap="1" wp14:anchorId="3FF17021" wp14:editId="6C27C4A5">
                <wp:simplePos x="0" y="0"/>
                <wp:positionH relativeFrom="page">
                  <wp:posOffset>1080770</wp:posOffset>
                </wp:positionH>
                <wp:positionV relativeFrom="paragraph">
                  <wp:posOffset>118110</wp:posOffset>
                </wp:positionV>
                <wp:extent cx="1828800" cy="7620"/>
                <wp:effectExtent l="0" t="0" r="0" b="0"/>
                <wp:wrapTopAndBottom/>
                <wp:docPr id="1499878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3" style="position:absolute;margin-left:85.1pt;margin-top:9.3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" w14:anchorId="35C3EA92">
                <w10:wrap type="topAndBottom" anchorx="page"/>
              </v:rect>
            </w:pict>
          </mc:Fallback>
        </mc:AlternateContent>
      </w:r>
    </w:p>
    <w:p w14:paraId="7140391E" w14:textId="77777777" w:rsidR="006B758D" w:rsidRPr="00EA2AB9" w:rsidRDefault="0023308C">
      <w:pPr>
        <w:spacing w:before="101"/>
        <w:ind w:left="682" w:right="400"/>
        <w:jc w:val="both"/>
        <w:rPr>
          <w:sz w:val="20"/>
          <w:lang w:val="fr-FR"/>
        </w:rPr>
      </w:pPr>
      <w:bookmarkStart w:id="8" w:name="_bookmark6"/>
      <w:bookmarkEnd w:id="8"/>
      <w:proofErr w:type="gramStart"/>
      <w:r w:rsidRPr="00EA2AB9">
        <w:rPr>
          <w:sz w:val="20"/>
          <w:vertAlign w:val="superscript"/>
          <w:lang w:val="fr-FR"/>
        </w:rPr>
        <w:t>2</w:t>
      </w:r>
      <w:r w:rsidRPr="00EA2AB9">
        <w:rPr>
          <w:sz w:val="20"/>
          <w:lang w:val="fr-FR"/>
        </w:rPr>
        <w:t xml:space="preserve">  Cf.</w:t>
      </w:r>
      <w:proofErr w:type="gramEnd"/>
      <w:r w:rsidRPr="00EA2AB9">
        <w:rPr>
          <w:sz w:val="20"/>
          <w:lang w:val="fr-FR"/>
        </w:rPr>
        <w:t xml:space="preserve"> notamment les commentaires formulés par René Royon, secrétaire général de longue date de la CIOPORA, à l'occasion de la deuxième session du Comité d'experts sur les inventions biotechnologiques et la propriété industrielle, en février 1986 (document OMPI BIOT/</w:t>
      </w:r>
      <w:proofErr w:type="gramStart"/>
      <w:r w:rsidRPr="00EA2AB9">
        <w:rPr>
          <w:sz w:val="20"/>
          <w:lang w:val="fr-FR"/>
        </w:rPr>
        <w:t>CE(</w:t>
      </w:r>
      <w:proofErr w:type="gramEnd"/>
      <w:r w:rsidRPr="00EA2AB9">
        <w:rPr>
          <w:sz w:val="20"/>
          <w:lang w:val="fr-FR"/>
        </w:rPr>
        <w:t xml:space="preserve">II/3 du 2 février 1986), et idem, Die </w:t>
      </w:r>
      <w:proofErr w:type="spellStart"/>
      <w:r w:rsidRPr="00EA2AB9">
        <w:rPr>
          <w:sz w:val="20"/>
          <w:lang w:val="fr-FR"/>
        </w:rPr>
        <w:t>Schutzbedürfnisse</w:t>
      </w:r>
      <w:proofErr w:type="spellEnd"/>
      <w:r w:rsidRPr="00EA2AB9">
        <w:rPr>
          <w:sz w:val="20"/>
          <w:lang w:val="fr-FR"/>
        </w:rPr>
        <w:t xml:space="preserve"> der </w:t>
      </w:r>
      <w:proofErr w:type="spellStart"/>
      <w:r w:rsidRPr="00EA2AB9">
        <w:rPr>
          <w:sz w:val="20"/>
          <w:lang w:val="fr-FR"/>
        </w:rPr>
        <w:t>Züchter</w:t>
      </w:r>
      <w:proofErr w:type="spellEnd"/>
      <w:r w:rsidRPr="00EA2AB9">
        <w:rPr>
          <w:sz w:val="20"/>
          <w:lang w:val="fr-FR"/>
        </w:rPr>
        <w:t xml:space="preserve"> von Obst- </w:t>
      </w:r>
      <w:proofErr w:type="spellStart"/>
      <w:r w:rsidRPr="00EA2AB9">
        <w:rPr>
          <w:sz w:val="20"/>
          <w:lang w:val="fr-FR"/>
        </w:rPr>
        <w:t>und</w:t>
      </w:r>
      <w:proofErr w:type="spellEnd"/>
      <w:r w:rsidRPr="00EA2AB9">
        <w:rPr>
          <w:sz w:val="20"/>
          <w:lang w:val="fr-FR"/>
        </w:rPr>
        <w:t xml:space="preserve"> </w:t>
      </w:r>
      <w:proofErr w:type="spellStart"/>
      <w:r w:rsidRPr="00EA2AB9">
        <w:rPr>
          <w:sz w:val="20"/>
          <w:lang w:val="fr-FR"/>
        </w:rPr>
        <w:t>Zierpflanzen</w:t>
      </w:r>
      <w:proofErr w:type="spellEnd"/>
      <w:r w:rsidRPr="00EA2AB9">
        <w:rPr>
          <w:sz w:val="20"/>
          <w:lang w:val="fr-FR"/>
        </w:rPr>
        <w:t xml:space="preserve">. GRUR Int. (1987), 329 </w:t>
      </w:r>
      <w:proofErr w:type="spellStart"/>
      <w:r w:rsidRPr="00EA2AB9">
        <w:rPr>
          <w:sz w:val="20"/>
          <w:lang w:val="fr-FR"/>
        </w:rPr>
        <w:t>ss</w:t>
      </w:r>
      <w:proofErr w:type="spellEnd"/>
      <w:r w:rsidRPr="00EA2AB9">
        <w:rPr>
          <w:sz w:val="20"/>
          <w:lang w:val="fr-FR"/>
        </w:rPr>
        <w:t>.</w:t>
      </w:r>
    </w:p>
    <w:p w14:paraId="47DC15FB" w14:textId="77777777" w:rsidR="006B758D" w:rsidRPr="00EA2AB9" w:rsidRDefault="0023308C">
      <w:pPr>
        <w:spacing w:before="2"/>
        <w:ind w:left="682" w:right="405"/>
        <w:jc w:val="both"/>
        <w:rPr>
          <w:sz w:val="20"/>
          <w:lang w:val="fr-FR"/>
        </w:rPr>
      </w:pPr>
      <w:bookmarkStart w:id="9" w:name="_bookmark7"/>
      <w:bookmarkEnd w:id="9"/>
      <w:proofErr w:type="gramStart"/>
      <w:r w:rsidRPr="00EA2AB9">
        <w:rPr>
          <w:sz w:val="20"/>
          <w:vertAlign w:val="superscript"/>
          <w:lang w:val="fr-FR"/>
        </w:rPr>
        <w:t>3</w:t>
      </w:r>
      <w:r w:rsidRPr="00EA2AB9">
        <w:rPr>
          <w:sz w:val="20"/>
          <w:lang w:val="fr-FR"/>
        </w:rPr>
        <w:t xml:space="preserve">  Cf.</w:t>
      </w:r>
      <w:proofErr w:type="gramEnd"/>
      <w:r w:rsidRPr="00EA2AB9">
        <w:rPr>
          <w:sz w:val="20"/>
          <w:lang w:val="fr-FR"/>
        </w:rPr>
        <w:t xml:space="preserve"> J. Straus, The Relationship </w:t>
      </w:r>
      <w:proofErr w:type="spellStart"/>
      <w:r w:rsidRPr="00EA2AB9">
        <w:rPr>
          <w:sz w:val="20"/>
          <w:lang w:val="fr-FR"/>
        </w:rPr>
        <w:t>Between</w:t>
      </w:r>
      <w:proofErr w:type="spellEnd"/>
      <w:r w:rsidRPr="00EA2AB9">
        <w:rPr>
          <w:sz w:val="20"/>
          <w:lang w:val="fr-FR"/>
        </w:rPr>
        <w:t xml:space="preserve"> Protection des obtentions végétales et Patent Protection for </w:t>
      </w:r>
      <w:proofErr w:type="spellStart"/>
      <w:r w:rsidRPr="00EA2AB9">
        <w:rPr>
          <w:sz w:val="20"/>
          <w:lang w:val="fr-FR"/>
        </w:rPr>
        <w:t>Biotechnological</w:t>
      </w:r>
      <w:proofErr w:type="spellEnd"/>
      <w:r w:rsidRPr="00EA2AB9">
        <w:rPr>
          <w:sz w:val="20"/>
          <w:lang w:val="fr-FR"/>
        </w:rPr>
        <w:t xml:space="preserve"> Inventions </w:t>
      </w:r>
      <w:proofErr w:type="spellStart"/>
      <w:r w:rsidRPr="00EA2AB9">
        <w:rPr>
          <w:sz w:val="20"/>
          <w:lang w:val="fr-FR"/>
        </w:rPr>
        <w:t>from</w:t>
      </w:r>
      <w:proofErr w:type="spellEnd"/>
      <w:r w:rsidRPr="00EA2AB9">
        <w:rPr>
          <w:sz w:val="20"/>
          <w:lang w:val="fr-FR"/>
        </w:rPr>
        <w:t xml:space="preserve"> </w:t>
      </w:r>
      <w:proofErr w:type="spellStart"/>
      <w:r w:rsidRPr="00EA2AB9">
        <w:rPr>
          <w:sz w:val="20"/>
          <w:lang w:val="fr-FR"/>
        </w:rPr>
        <w:t>an</w:t>
      </w:r>
      <w:proofErr w:type="spellEnd"/>
      <w:r w:rsidRPr="00EA2AB9">
        <w:rPr>
          <w:sz w:val="20"/>
          <w:lang w:val="fr-FR"/>
        </w:rPr>
        <w:t xml:space="preserve"> International </w:t>
      </w:r>
      <w:proofErr w:type="spellStart"/>
      <w:r w:rsidRPr="00EA2AB9">
        <w:rPr>
          <w:sz w:val="20"/>
          <w:lang w:val="fr-FR"/>
        </w:rPr>
        <w:t>Viewpoint</w:t>
      </w:r>
      <w:proofErr w:type="spellEnd"/>
      <w:r w:rsidRPr="00EA2AB9">
        <w:rPr>
          <w:sz w:val="20"/>
          <w:lang w:val="fr-FR"/>
        </w:rPr>
        <w:t xml:space="preserve">, IIC 1987, 723 </w:t>
      </w:r>
      <w:proofErr w:type="spellStart"/>
      <w:r w:rsidRPr="00EA2AB9">
        <w:rPr>
          <w:sz w:val="20"/>
          <w:lang w:val="fr-FR"/>
        </w:rPr>
        <w:t>ss</w:t>
      </w:r>
      <w:proofErr w:type="spellEnd"/>
      <w:r w:rsidRPr="00EA2AB9">
        <w:rPr>
          <w:sz w:val="20"/>
          <w:lang w:val="fr-FR"/>
        </w:rPr>
        <w:t>. (</w:t>
      </w:r>
      <w:proofErr w:type="gramStart"/>
      <w:r w:rsidRPr="00EA2AB9">
        <w:rPr>
          <w:sz w:val="20"/>
          <w:lang w:val="fr-FR"/>
        </w:rPr>
        <w:t>à</w:t>
      </w:r>
      <w:proofErr w:type="gramEnd"/>
      <w:r w:rsidRPr="00EA2AB9">
        <w:rPr>
          <w:sz w:val="20"/>
          <w:lang w:val="fr-FR"/>
        </w:rPr>
        <w:t xml:space="preserve"> la page 726, avec d'autres </w:t>
      </w:r>
      <w:r w:rsidRPr="00EA2AB9">
        <w:rPr>
          <w:spacing w:val="-2"/>
          <w:sz w:val="20"/>
          <w:lang w:val="fr-FR"/>
        </w:rPr>
        <w:t>références).</w:t>
      </w:r>
    </w:p>
    <w:p w14:paraId="61440F2E" w14:textId="77777777" w:rsidR="006B758D" w:rsidRPr="00EA2AB9" w:rsidRDefault="006B758D">
      <w:pPr>
        <w:jc w:val="both"/>
        <w:rPr>
          <w:sz w:val="20"/>
          <w:lang w:val="fr-FR"/>
        </w:rPr>
        <w:sectPr w:rsidR="006B758D" w:rsidRPr="00EA2AB9">
          <w:pgSz w:w="11910" w:h="16840"/>
          <w:pgMar w:top="1320" w:right="1300" w:bottom="1240" w:left="1020" w:header="0" w:footer="1049" w:gutter="0"/>
          <w:cols w:space="720"/>
        </w:sectPr>
      </w:pPr>
    </w:p>
    <w:p w14:paraId="0B073F1E" w14:textId="77777777" w:rsidR="006B758D" w:rsidRPr="00EA2AB9" w:rsidRDefault="0023308C">
      <w:pPr>
        <w:spacing w:before="76" w:line="360" w:lineRule="auto"/>
        <w:ind w:left="682" w:right="398"/>
        <w:jc w:val="both"/>
        <w:rPr>
          <w:b/>
          <w:i/>
          <w:sz w:val="24"/>
          <w:lang w:val="fr-FR"/>
        </w:rPr>
      </w:pPr>
      <w:proofErr w:type="gramStart"/>
      <w:r w:rsidRPr="00EA2AB9">
        <w:rPr>
          <w:i/>
          <w:sz w:val="24"/>
          <w:lang w:val="fr-FR"/>
        </w:rPr>
        <w:lastRenderedPageBreak/>
        <w:t>l'obtenteur</w:t>
      </w:r>
      <w:proofErr w:type="gramEnd"/>
      <w:r w:rsidRPr="00EA2AB9">
        <w:rPr>
          <w:i/>
          <w:sz w:val="24"/>
          <w:lang w:val="fr-FR"/>
        </w:rPr>
        <w:t xml:space="preserve"> n'a pas eu </w:t>
      </w:r>
      <w:r w:rsidRPr="00EA2AB9">
        <w:rPr>
          <w:b/>
          <w:i/>
          <w:sz w:val="24"/>
          <w:lang w:val="fr-FR"/>
        </w:rPr>
        <w:t>l'opportunité raisonnable d'exercer son droit sur ledit matériel de reproduction ou de multiplication</w:t>
      </w:r>
      <w:r w:rsidRPr="00EA2AB9">
        <w:rPr>
          <w:i/>
          <w:sz w:val="24"/>
          <w:lang w:val="fr-FR"/>
        </w:rPr>
        <w:t xml:space="preserve">. </w:t>
      </w:r>
      <w:r w:rsidRPr="00EA2AB9">
        <w:rPr>
          <w:sz w:val="24"/>
          <w:lang w:val="fr-FR"/>
        </w:rPr>
        <w:t xml:space="preserve">En d'autres termes, sur </w:t>
      </w:r>
      <w:r w:rsidRPr="00EA2AB9">
        <w:rPr>
          <w:b/>
          <w:i/>
          <w:sz w:val="24"/>
          <w:lang w:val="fr-FR"/>
        </w:rPr>
        <w:t xml:space="preserve">le matériel de reproduction ou de multiplication de cette </w:t>
      </w:r>
      <w:r w:rsidRPr="00EA2AB9">
        <w:rPr>
          <w:b/>
          <w:i/>
          <w:spacing w:val="-2"/>
          <w:sz w:val="24"/>
          <w:lang w:val="fr-FR"/>
        </w:rPr>
        <w:t>variété</w:t>
      </w:r>
      <w:r w:rsidRPr="00EA2AB9">
        <w:rPr>
          <w:b/>
          <w:i/>
          <w:sz w:val="24"/>
          <w:lang w:val="fr-FR"/>
        </w:rPr>
        <w:t xml:space="preserve"> protégée</w:t>
      </w:r>
      <w:r w:rsidRPr="00EA2AB9">
        <w:rPr>
          <w:i/>
          <w:sz w:val="24"/>
          <w:lang w:val="fr-FR"/>
        </w:rPr>
        <w:t>.</w:t>
      </w:r>
    </w:p>
    <w:p w14:paraId="300D087D" w14:textId="77777777" w:rsidR="006B758D" w:rsidRPr="00EA2AB9" w:rsidRDefault="006B758D">
      <w:pPr>
        <w:pStyle w:val="BodyText"/>
        <w:spacing w:before="1"/>
        <w:rPr>
          <w:b/>
          <w:i/>
          <w:sz w:val="20"/>
          <w:szCs w:val="20"/>
          <w:lang w:val="fr-FR"/>
        </w:rPr>
      </w:pPr>
    </w:p>
    <w:p w14:paraId="7F0B6BCA" w14:textId="31A0B5E7" w:rsidR="006B758D" w:rsidRPr="00EA2AB9" w:rsidRDefault="0023308C">
      <w:pPr>
        <w:pStyle w:val="ListParagraph"/>
        <w:numPr>
          <w:ilvl w:val="0"/>
          <w:numId w:val="10"/>
        </w:numPr>
        <w:tabs>
          <w:tab w:val="left" w:pos="1666"/>
        </w:tabs>
        <w:spacing w:line="360" w:lineRule="auto"/>
        <w:ind w:right="400" w:firstLine="707"/>
        <w:rPr>
          <w:sz w:val="24"/>
          <w:lang w:val="fr-FR"/>
        </w:rPr>
      </w:pPr>
      <w:r w:rsidRPr="00EA2AB9">
        <w:rPr>
          <w:sz w:val="24"/>
          <w:lang w:val="fr-FR"/>
        </w:rPr>
        <w:t xml:space="preserve">Avant </w:t>
      </w:r>
      <w:r w:rsidRPr="00EA2AB9">
        <w:rPr>
          <w:i/>
          <w:sz w:val="24"/>
          <w:lang w:val="fr-FR"/>
        </w:rPr>
        <w:t xml:space="preserve">d'analyser </w:t>
      </w:r>
      <w:r w:rsidRPr="00EA2AB9">
        <w:rPr>
          <w:sz w:val="24"/>
          <w:lang w:val="fr-FR"/>
        </w:rPr>
        <w:t xml:space="preserve">les négociations qui, lors de la Conférence diplomatique, ont abouti à la formulation de l'article </w:t>
      </w:r>
      <w:r w:rsidR="0080353C" w:rsidRPr="00EA2AB9">
        <w:rPr>
          <w:sz w:val="24"/>
          <w:lang w:val="fr-FR"/>
        </w:rPr>
        <w:t>14</w:t>
      </w:r>
      <w:r w:rsidR="0080353C">
        <w:rPr>
          <w:sz w:val="24"/>
          <w:lang w:val="fr-FR"/>
        </w:rPr>
        <w:t>(</w:t>
      </w:r>
      <w:r w:rsidR="0080353C" w:rsidRPr="00EA2AB9">
        <w:rPr>
          <w:sz w:val="24"/>
          <w:lang w:val="fr-FR"/>
        </w:rPr>
        <w:t>1)</w:t>
      </w:r>
      <w:r w:rsidR="0080353C">
        <w:rPr>
          <w:sz w:val="24"/>
          <w:lang w:val="fr-FR"/>
        </w:rPr>
        <w:t>(</w:t>
      </w:r>
      <w:r w:rsidR="0080353C" w:rsidRPr="00EA2AB9">
        <w:rPr>
          <w:sz w:val="24"/>
          <w:lang w:val="fr-FR"/>
        </w:rPr>
        <w:t>b)</w:t>
      </w:r>
      <w:r w:rsidRPr="00EA2AB9">
        <w:rPr>
          <w:sz w:val="24"/>
          <w:lang w:val="fr-FR"/>
        </w:rPr>
        <w:t xml:space="preserve"> de la proposition de base adoptée par le Conseil de l'UPOV le 19 octobre 1990</w:t>
      </w:r>
      <w:hyperlink w:anchor="_bookmark8" w:history="1">
        <w:r w:rsidRPr="00EA2AB9">
          <w:rPr>
            <w:sz w:val="24"/>
            <w:vertAlign w:val="superscript"/>
            <w:lang w:val="fr-FR"/>
          </w:rPr>
          <w:t>4</w:t>
        </w:r>
      </w:hyperlink>
      <w:r w:rsidRPr="00EA2AB9">
        <w:rPr>
          <w:sz w:val="24"/>
          <w:lang w:val="fr-FR"/>
        </w:rPr>
        <w:t xml:space="preserve"> qui se lit comme suit :</w:t>
      </w:r>
    </w:p>
    <w:p w14:paraId="7433100D" w14:textId="77777777" w:rsidR="006B758D" w:rsidRPr="00EA2AB9" w:rsidRDefault="006B758D">
      <w:pPr>
        <w:pStyle w:val="BodyText"/>
        <w:rPr>
          <w:sz w:val="20"/>
          <w:szCs w:val="20"/>
          <w:lang w:val="fr-FR"/>
        </w:rPr>
      </w:pPr>
    </w:p>
    <w:p w14:paraId="65FBC3AC" w14:textId="1801BF33" w:rsidR="006B758D" w:rsidRPr="00EA2AB9" w:rsidRDefault="0023308C" w:rsidP="00EA2AB9">
      <w:pPr>
        <w:pStyle w:val="BodyText"/>
        <w:spacing w:line="360" w:lineRule="auto"/>
        <w:ind w:left="1402" w:right="400"/>
        <w:jc w:val="both"/>
        <w:rPr>
          <w:lang w:val="fr-FR"/>
        </w:rPr>
      </w:pPr>
      <w:r w:rsidRPr="00EA2AB9">
        <w:rPr>
          <w:lang w:val="fr-FR"/>
        </w:rPr>
        <w:t xml:space="preserve">« </w:t>
      </w:r>
      <w:r w:rsidR="00EA2AB9" w:rsidRPr="00EA2AB9">
        <w:rPr>
          <w:lang w:val="fr-FR"/>
        </w:rPr>
        <w:t xml:space="preserve">a l' </w:t>
      </w:r>
      <w:proofErr w:type="spellStart"/>
      <w:r w:rsidR="00EA2AB9" w:rsidRPr="00EA2AB9">
        <w:rPr>
          <w:lang w:val="fr-FR"/>
        </w:rPr>
        <w:t>egard</w:t>
      </w:r>
      <w:proofErr w:type="spellEnd"/>
      <w:r w:rsidR="00EA2AB9" w:rsidRPr="00EA2AB9">
        <w:rPr>
          <w:lang w:val="fr-FR"/>
        </w:rPr>
        <w:t xml:space="preserve"> du produit de la </w:t>
      </w:r>
      <w:proofErr w:type="spellStart"/>
      <w:r w:rsidR="00EA2AB9" w:rsidRPr="00EA2AB9">
        <w:rPr>
          <w:lang w:val="fr-FR"/>
        </w:rPr>
        <w:t>recolte</w:t>
      </w:r>
      <w:proofErr w:type="spellEnd"/>
      <w:r w:rsidR="00EA2AB9" w:rsidRPr="00EA2AB9">
        <w:rPr>
          <w:lang w:val="fr-FR"/>
        </w:rPr>
        <w:t xml:space="preserve"> de la </w:t>
      </w:r>
      <w:proofErr w:type="spellStart"/>
      <w:r w:rsidR="00EA2AB9" w:rsidRPr="00EA2AB9">
        <w:rPr>
          <w:lang w:val="fr-FR"/>
        </w:rPr>
        <w:t>variete</w:t>
      </w:r>
      <w:proofErr w:type="spellEnd"/>
      <w:r w:rsidR="00EA2AB9" w:rsidRPr="00EA2AB9">
        <w:rPr>
          <w:lang w:val="fr-FR"/>
        </w:rPr>
        <w:t xml:space="preserve"> </w:t>
      </w:r>
      <w:proofErr w:type="spellStart"/>
      <w:r w:rsidR="00EA2AB9" w:rsidRPr="00EA2AB9">
        <w:rPr>
          <w:lang w:val="fr-FR"/>
        </w:rPr>
        <w:t>protegée</w:t>
      </w:r>
      <w:proofErr w:type="spellEnd"/>
      <w:r w:rsidR="00EA2AB9" w:rsidRPr="00EA2AB9">
        <w:rPr>
          <w:lang w:val="fr-FR"/>
        </w:rPr>
        <w:t>, pour l'un quelconque des actes</w:t>
      </w:r>
      <w:r w:rsidR="00EA2AB9">
        <w:rPr>
          <w:lang w:val="fr-FR"/>
        </w:rPr>
        <w:t xml:space="preserve"> </w:t>
      </w:r>
      <w:r w:rsidR="00EA2AB9" w:rsidRPr="00EA2AB9">
        <w:rPr>
          <w:lang w:val="fr-FR"/>
        </w:rPr>
        <w:t xml:space="preserve">mentionnés sous a), ci-dessus, pour autant que le produit de la </w:t>
      </w:r>
      <w:proofErr w:type="spellStart"/>
      <w:r w:rsidR="00EA2AB9" w:rsidRPr="00EA2AB9">
        <w:rPr>
          <w:lang w:val="fr-FR"/>
        </w:rPr>
        <w:t>recolte</w:t>
      </w:r>
      <w:proofErr w:type="spellEnd"/>
      <w:r w:rsidR="00EA2AB9" w:rsidRPr="00EA2AB9">
        <w:rPr>
          <w:lang w:val="fr-FR"/>
        </w:rPr>
        <w:t xml:space="preserve"> ait été obtenu par</w:t>
      </w:r>
      <w:r w:rsidR="00EA2AB9">
        <w:rPr>
          <w:lang w:val="fr-FR"/>
        </w:rPr>
        <w:t xml:space="preserve"> </w:t>
      </w:r>
      <w:r w:rsidR="00EA2AB9" w:rsidRPr="00EA2AB9">
        <w:rPr>
          <w:lang w:val="fr-FR"/>
        </w:rPr>
        <w:t>utilisation d'un matériel de reproduction ou de multiplication dont l'utilisation, aux fins de la</w:t>
      </w:r>
      <w:r w:rsidR="00EA2AB9">
        <w:rPr>
          <w:lang w:val="fr-FR"/>
        </w:rPr>
        <w:t xml:space="preserve"> </w:t>
      </w:r>
      <w:r w:rsidR="00EA2AB9" w:rsidRPr="00EA2AB9">
        <w:rPr>
          <w:lang w:val="fr-FR"/>
        </w:rPr>
        <w:t>production du produit de la récolte, n'a pas été autorisée par l'obtenteur [et si, mais seulement</w:t>
      </w:r>
      <w:r w:rsidR="00EA2AB9">
        <w:rPr>
          <w:lang w:val="fr-FR"/>
        </w:rPr>
        <w:t xml:space="preserve"> </w:t>
      </w:r>
      <w:r w:rsidR="00EA2AB9" w:rsidRPr="00EA2AB9">
        <w:rPr>
          <w:lang w:val="fr-FR"/>
        </w:rPr>
        <w:t xml:space="preserve">si, l'obtenteur n'a pas eu la possibilité juridique d'exercer son droit en relation avec </w:t>
      </w:r>
      <w:proofErr w:type="spellStart"/>
      <w:r w:rsidR="00EA2AB9" w:rsidRPr="00EA2AB9">
        <w:rPr>
          <w:lang w:val="fr-FR"/>
        </w:rPr>
        <w:t>lematériel</w:t>
      </w:r>
      <w:proofErr w:type="spellEnd"/>
      <w:r w:rsidR="00EA2AB9" w:rsidRPr="00EA2AB9">
        <w:rPr>
          <w:lang w:val="fr-FR"/>
        </w:rPr>
        <w:t xml:space="preserve"> de reproduction ou de multiplication]</w:t>
      </w:r>
      <w:r w:rsidRPr="00EA2AB9">
        <w:rPr>
          <w:lang w:val="fr-FR"/>
        </w:rPr>
        <w:t>. »</w:t>
      </w:r>
    </w:p>
    <w:p w14:paraId="068E8E8E" w14:textId="77777777" w:rsidR="006B758D" w:rsidRPr="00EA2AB9" w:rsidRDefault="006B758D">
      <w:pPr>
        <w:pStyle w:val="BodyText"/>
        <w:spacing w:before="2"/>
        <w:rPr>
          <w:sz w:val="20"/>
          <w:szCs w:val="20"/>
          <w:lang w:val="fr-FR"/>
        </w:rPr>
      </w:pPr>
    </w:p>
    <w:p w14:paraId="25FF94BC" w14:textId="77777777" w:rsidR="006B758D" w:rsidRPr="00EA2AB9" w:rsidRDefault="0023308C">
      <w:pPr>
        <w:pStyle w:val="BodyText"/>
        <w:ind w:left="1390"/>
        <w:jc w:val="both"/>
        <w:rPr>
          <w:lang w:val="fr-FR"/>
        </w:rPr>
      </w:pPr>
      <w:r w:rsidRPr="00EA2AB9">
        <w:rPr>
          <w:lang w:val="fr-FR"/>
        </w:rPr>
        <w:t>Au texte finalement adopté comme article 14 (2) UPOV</w:t>
      </w:r>
      <w:r w:rsidRPr="00EA2AB9">
        <w:rPr>
          <w:spacing w:val="-2"/>
          <w:lang w:val="fr-FR"/>
        </w:rPr>
        <w:t xml:space="preserve"> 1991 :</w:t>
      </w:r>
    </w:p>
    <w:p w14:paraId="00008715" w14:textId="77777777" w:rsidR="006B758D" w:rsidRPr="00EA2AB9" w:rsidRDefault="006B758D">
      <w:pPr>
        <w:pStyle w:val="BodyText"/>
        <w:rPr>
          <w:sz w:val="22"/>
          <w:lang w:val="fr-FR"/>
        </w:rPr>
      </w:pPr>
    </w:p>
    <w:p w14:paraId="05A0A1DD" w14:textId="77777777" w:rsidR="00EA2AB9" w:rsidRPr="00EA2AB9" w:rsidRDefault="0023308C" w:rsidP="00EA2AB9">
      <w:pPr>
        <w:spacing w:line="360" w:lineRule="auto"/>
        <w:ind w:left="1402" w:right="397"/>
        <w:jc w:val="both"/>
        <w:rPr>
          <w:i/>
          <w:iCs/>
          <w:sz w:val="24"/>
          <w:lang w:val="fr-FR"/>
        </w:rPr>
      </w:pPr>
      <w:r w:rsidRPr="00EA2AB9">
        <w:rPr>
          <w:i/>
          <w:sz w:val="24"/>
          <w:lang w:val="fr-FR"/>
        </w:rPr>
        <w:t xml:space="preserve">« </w:t>
      </w:r>
      <w:r w:rsidR="00EA2AB9" w:rsidRPr="00EA2AB9">
        <w:rPr>
          <w:i/>
          <w:iCs/>
          <w:sz w:val="24"/>
          <w:lang w:val="fr-FR"/>
        </w:rPr>
        <w:t>[Actes à l’égard du produit de la récolte] Sous réserve des articles 15 et 16,</w:t>
      </w:r>
    </w:p>
    <w:p w14:paraId="2F4AEAD9" w14:textId="356517AC" w:rsidR="006B758D" w:rsidRPr="00EA2AB9" w:rsidRDefault="00EA2AB9" w:rsidP="00EA2AB9">
      <w:pPr>
        <w:spacing w:line="360" w:lineRule="auto"/>
        <w:ind w:left="1402" w:right="397"/>
        <w:jc w:val="both"/>
        <w:rPr>
          <w:i/>
          <w:sz w:val="24"/>
          <w:lang w:val="fr-FR"/>
        </w:rPr>
      </w:pPr>
      <w:proofErr w:type="gramStart"/>
      <w:r w:rsidRPr="00EA2AB9">
        <w:rPr>
          <w:i/>
          <w:iCs/>
          <w:sz w:val="24"/>
          <w:lang w:val="fr-FR"/>
        </w:rPr>
        <w:t>l’autorisation</w:t>
      </w:r>
      <w:proofErr w:type="gramEnd"/>
      <w:r w:rsidRPr="00EA2AB9">
        <w:rPr>
          <w:i/>
          <w:iCs/>
          <w:sz w:val="24"/>
          <w:lang w:val="fr-FR"/>
        </w:rPr>
        <w:t xml:space="preserve"> de l’obtenteur est requise pour les actes mentionnés aux points i) à vii) du</w:t>
      </w:r>
      <w:r>
        <w:rPr>
          <w:i/>
          <w:iCs/>
          <w:sz w:val="24"/>
          <w:lang w:val="fr-FR"/>
        </w:rPr>
        <w:t xml:space="preserve"> </w:t>
      </w:r>
      <w:r w:rsidRPr="00EA2AB9">
        <w:rPr>
          <w:i/>
          <w:iCs/>
          <w:sz w:val="24"/>
          <w:lang w:val="fr-FR"/>
        </w:rPr>
        <w:t xml:space="preserve">paragraphe </w:t>
      </w:r>
      <w:proofErr w:type="gramStart"/>
      <w:r w:rsidRPr="00EA2AB9">
        <w:rPr>
          <w:i/>
          <w:iCs/>
          <w:sz w:val="24"/>
          <w:lang w:val="fr-FR"/>
        </w:rPr>
        <w:t>1)a</w:t>
      </w:r>
      <w:proofErr w:type="gramEnd"/>
      <w:r w:rsidRPr="00EA2AB9">
        <w:rPr>
          <w:i/>
          <w:iCs/>
          <w:sz w:val="24"/>
          <w:lang w:val="fr-FR"/>
        </w:rPr>
        <w:t>) accomplis à l’égard du produit de la récolte, y compris des plantes entières</w:t>
      </w:r>
      <w:r>
        <w:rPr>
          <w:i/>
          <w:iCs/>
          <w:sz w:val="24"/>
          <w:lang w:val="fr-FR"/>
        </w:rPr>
        <w:t xml:space="preserve"> </w:t>
      </w:r>
      <w:r w:rsidRPr="00EA2AB9">
        <w:rPr>
          <w:i/>
          <w:iCs/>
          <w:sz w:val="24"/>
          <w:lang w:val="fr-FR"/>
        </w:rPr>
        <w:t>et des parties de plantes, obtenu par utilisation non autorisée de matériel de reproduction ou</w:t>
      </w:r>
      <w:r>
        <w:rPr>
          <w:i/>
          <w:iCs/>
          <w:sz w:val="24"/>
          <w:lang w:val="fr-FR"/>
        </w:rPr>
        <w:t xml:space="preserve"> </w:t>
      </w:r>
      <w:r w:rsidRPr="00EA2AB9">
        <w:rPr>
          <w:i/>
          <w:iCs/>
          <w:sz w:val="24"/>
          <w:lang w:val="fr-FR"/>
        </w:rPr>
        <w:t>de multiplication de la variété protégée, à moins que l’obtenteur ait raisonnablement pu</w:t>
      </w:r>
      <w:r>
        <w:rPr>
          <w:i/>
          <w:iCs/>
          <w:sz w:val="24"/>
          <w:lang w:val="fr-FR"/>
        </w:rPr>
        <w:t xml:space="preserve"> </w:t>
      </w:r>
      <w:r w:rsidRPr="00EA2AB9">
        <w:rPr>
          <w:i/>
          <w:iCs/>
          <w:sz w:val="24"/>
          <w:lang w:val="fr-FR"/>
        </w:rPr>
        <w:t>exercer son droit en relation avec ledit matériel de reproduction ou de multiplication.</w:t>
      </w:r>
      <w:r>
        <w:rPr>
          <w:i/>
          <w:iCs/>
          <w:sz w:val="24"/>
          <w:lang w:val="fr-FR"/>
        </w:rPr>
        <w:t xml:space="preserve"> </w:t>
      </w:r>
      <w:r w:rsidR="0023308C" w:rsidRPr="00EA2AB9">
        <w:rPr>
          <w:i/>
          <w:sz w:val="24"/>
          <w:lang w:val="fr-FR"/>
        </w:rPr>
        <w:t>»</w:t>
      </w:r>
    </w:p>
    <w:p w14:paraId="682065D7" w14:textId="77777777" w:rsidR="006B758D" w:rsidRPr="00EA2AB9" w:rsidRDefault="006B758D">
      <w:pPr>
        <w:pStyle w:val="BodyText"/>
        <w:spacing w:before="11"/>
        <w:rPr>
          <w:i/>
          <w:sz w:val="35"/>
          <w:lang w:val="fr-FR"/>
        </w:rPr>
      </w:pPr>
    </w:p>
    <w:p w14:paraId="3DEFDD05" w14:textId="77777777" w:rsidR="006B758D" w:rsidRPr="00EA2AB9" w:rsidRDefault="0023308C">
      <w:pPr>
        <w:pStyle w:val="BodyText"/>
        <w:spacing w:line="360" w:lineRule="auto"/>
        <w:ind w:left="682" w:firstLine="707"/>
        <w:rPr>
          <w:lang w:val="fr-FR"/>
        </w:rPr>
      </w:pPr>
      <w:r w:rsidRPr="00EA2AB9">
        <w:rPr>
          <w:lang w:val="fr-FR"/>
        </w:rPr>
        <w:t xml:space="preserve">Il semble également </w:t>
      </w:r>
      <w:r w:rsidRPr="00EA2AB9">
        <w:rPr>
          <w:spacing w:val="-2"/>
          <w:lang w:val="fr-FR"/>
        </w:rPr>
        <w:t xml:space="preserve">approprié </w:t>
      </w:r>
      <w:r w:rsidRPr="00EA2AB9">
        <w:rPr>
          <w:lang w:val="fr-FR"/>
        </w:rPr>
        <w:t xml:space="preserve">d'apporter les précisions suivantes concernant certains principes fondamentaux du droit </w:t>
      </w:r>
      <w:r w:rsidRPr="00EA2AB9">
        <w:rPr>
          <w:spacing w:val="-2"/>
          <w:lang w:val="fr-FR"/>
        </w:rPr>
        <w:t>:</w:t>
      </w:r>
    </w:p>
    <w:p w14:paraId="35FEE295" w14:textId="77777777" w:rsidR="006B758D" w:rsidRPr="00EA2AB9" w:rsidRDefault="006B758D">
      <w:pPr>
        <w:pStyle w:val="BodyText"/>
        <w:spacing w:before="2"/>
        <w:rPr>
          <w:sz w:val="36"/>
          <w:lang w:val="fr-FR"/>
        </w:rPr>
      </w:pPr>
    </w:p>
    <w:p w14:paraId="0E4738D6" w14:textId="77777777" w:rsidR="006B758D" w:rsidRPr="00EA2AB9" w:rsidRDefault="0023308C">
      <w:pPr>
        <w:pStyle w:val="ListParagraph"/>
        <w:numPr>
          <w:ilvl w:val="1"/>
          <w:numId w:val="10"/>
        </w:numPr>
        <w:tabs>
          <w:tab w:val="left" w:pos="1782"/>
        </w:tabs>
        <w:rPr>
          <w:sz w:val="24"/>
          <w:lang w:val="fr-FR"/>
        </w:rPr>
      </w:pPr>
      <w:r w:rsidRPr="00EA2AB9">
        <w:rPr>
          <w:sz w:val="24"/>
          <w:lang w:val="fr-FR"/>
        </w:rPr>
        <w:t xml:space="preserve">Les effets du droit d'obtenteur accordé par une partie contractante à l'UPOV </w:t>
      </w:r>
      <w:r w:rsidRPr="00EA2AB9">
        <w:rPr>
          <w:spacing w:val="-5"/>
          <w:sz w:val="24"/>
          <w:lang w:val="fr-FR"/>
        </w:rPr>
        <w:t>sont</w:t>
      </w:r>
    </w:p>
    <w:p w14:paraId="5D5C20E3" w14:textId="77777777" w:rsidR="006B758D" w:rsidRPr="00EA2AB9" w:rsidRDefault="0023308C">
      <w:pPr>
        <w:pStyle w:val="BodyText"/>
        <w:spacing w:before="137"/>
        <w:ind w:left="682"/>
        <w:jc w:val="both"/>
        <w:rPr>
          <w:lang w:val="fr-FR"/>
        </w:rPr>
      </w:pPr>
      <w:proofErr w:type="gramStart"/>
      <w:r w:rsidRPr="00EA2AB9">
        <w:rPr>
          <w:lang w:val="fr-FR"/>
        </w:rPr>
        <w:t>limités</w:t>
      </w:r>
      <w:proofErr w:type="gramEnd"/>
      <w:r w:rsidRPr="00EA2AB9">
        <w:rPr>
          <w:lang w:val="fr-FR"/>
        </w:rPr>
        <w:t xml:space="preserve"> au </w:t>
      </w:r>
      <w:r w:rsidRPr="00EA2AB9">
        <w:rPr>
          <w:spacing w:val="-2"/>
          <w:lang w:val="fr-FR"/>
        </w:rPr>
        <w:t xml:space="preserve">territoire </w:t>
      </w:r>
      <w:r w:rsidRPr="00EA2AB9">
        <w:rPr>
          <w:lang w:val="fr-FR"/>
        </w:rPr>
        <w:t>de cette Partie contractante</w:t>
      </w:r>
      <w:r w:rsidRPr="00EA2AB9">
        <w:rPr>
          <w:spacing w:val="-2"/>
          <w:lang w:val="fr-FR"/>
        </w:rPr>
        <w:t>.</w:t>
      </w:r>
    </w:p>
    <w:p w14:paraId="24FC1A7D" w14:textId="77777777" w:rsidR="006B758D" w:rsidRPr="00EA2AB9" w:rsidRDefault="006B758D">
      <w:pPr>
        <w:pStyle w:val="BodyText"/>
        <w:rPr>
          <w:sz w:val="22"/>
          <w:lang w:val="fr-FR"/>
        </w:rPr>
      </w:pPr>
    </w:p>
    <w:p w14:paraId="7690E7A0" w14:textId="77777777" w:rsidR="006B758D" w:rsidRPr="00EA2AB9" w:rsidRDefault="0023308C">
      <w:pPr>
        <w:pStyle w:val="ListParagraph"/>
        <w:numPr>
          <w:ilvl w:val="1"/>
          <w:numId w:val="10"/>
        </w:numPr>
        <w:tabs>
          <w:tab w:val="left" w:pos="1770"/>
        </w:tabs>
        <w:spacing w:line="360" w:lineRule="auto"/>
        <w:ind w:left="682" w:right="397" w:firstLine="707"/>
        <w:rPr>
          <w:sz w:val="24"/>
          <w:lang w:val="fr-FR"/>
        </w:rPr>
      </w:pPr>
      <w:r w:rsidRPr="00EA2AB9">
        <w:rPr>
          <w:sz w:val="24"/>
          <w:lang w:val="fr-FR"/>
        </w:rPr>
        <w:t>En ce qui concerne l'étendue du droit d'obtenteur déterminée à l'article 14 de l'Acte de 1991 de l'UPOV, ses paragraphes 1) et 2) se rapportent</w:t>
      </w:r>
      <w:r w:rsidRPr="00EA2AB9">
        <w:rPr>
          <w:spacing w:val="-2"/>
          <w:sz w:val="24"/>
          <w:lang w:val="fr-FR"/>
        </w:rPr>
        <w:t xml:space="preserve">, </w:t>
      </w:r>
      <w:r w:rsidRPr="00EA2AB9">
        <w:rPr>
          <w:sz w:val="24"/>
          <w:lang w:val="fr-FR"/>
        </w:rPr>
        <w:t>dans chaque cas</w:t>
      </w:r>
      <w:r w:rsidRPr="00EA2AB9">
        <w:rPr>
          <w:spacing w:val="-2"/>
          <w:sz w:val="24"/>
          <w:lang w:val="fr-FR"/>
        </w:rPr>
        <w:t xml:space="preserve">, </w:t>
      </w:r>
      <w:r w:rsidRPr="00EA2AB9">
        <w:rPr>
          <w:sz w:val="24"/>
          <w:lang w:val="fr-FR"/>
        </w:rPr>
        <w:t xml:space="preserve">à la « variété protégée </w:t>
      </w:r>
      <w:r w:rsidRPr="00EA2AB9">
        <w:rPr>
          <w:spacing w:val="-2"/>
          <w:sz w:val="24"/>
          <w:lang w:val="fr-FR"/>
        </w:rPr>
        <w:t>»</w:t>
      </w:r>
    </w:p>
    <w:p w14:paraId="3012EA80" w14:textId="77777777" w:rsidR="006B758D" w:rsidRPr="00EA2AB9" w:rsidRDefault="006B758D">
      <w:pPr>
        <w:pStyle w:val="BodyText"/>
        <w:rPr>
          <w:sz w:val="20"/>
          <w:lang w:val="fr-FR"/>
        </w:rPr>
      </w:pPr>
    </w:p>
    <w:p w14:paraId="60BAF043" w14:textId="27C43944" w:rsidR="006B758D" w:rsidRPr="00EA2AB9" w:rsidRDefault="005C7D52">
      <w:pPr>
        <w:pStyle w:val="BodyText"/>
        <w:spacing w:before="10"/>
        <w:rPr>
          <w:sz w:val="13"/>
          <w:lang w:val="fr-FR"/>
        </w:rPr>
      </w:pPr>
      <w:r>
        <w:rPr>
          <w:noProof/>
        </w:rPr>
        <mc:AlternateContent>
          <mc:Choice Requires="wps">
            <w:drawing>
              <wp:anchor distT="0" distB="0" distL="0" distR="0" simplePos="0" relativeHeight="487588864" behindDoc="1" locked="0" layoutInCell="1" allowOverlap="1" wp14:anchorId="2C678066" wp14:editId="4CAFE441">
                <wp:simplePos x="0" y="0"/>
                <wp:positionH relativeFrom="page">
                  <wp:posOffset>1080770</wp:posOffset>
                </wp:positionH>
                <wp:positionV relativeFrom="paragraph">
                  <wp:posOffset>116840</wp:posOffset>
                </wp:positionV>
                <wp:extent cx="1828800" cy="7620"/>
                <wp:effectExtent l="0" t="0" r="0" b="0"/>
                <wp:wrapTopAndBottom/>
                <wp:docPr id="16534358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4" style="position:absolute;margin-left:85.1pt;margin-top:9.2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" w14:anchorId="2E9051BA">
                <w10:wrap type="topAndBottom" anchorx="page"/>
              </v:rect>
            </w:pict>
          </mc:Fallback>
        </mc:AlternateContent>
      </w:r>
    </w:p>
    <w:p w14:paraId="7EA02A47" w14:textId="77777777" w:rsidR="006B758D" w:rsidRPr="00EA2AB9" w:rsidRDefault="0023308C">
      <w:pPr>
        <w:spacing w:before="101"/>
        <w:ind w:left="682"/>
        <w:rPr>
          <w:sz w:val="20"/>
          <w:lang w:val="fr-FR"/>
        </w:rPr>
      </w:pPr>
      <w:proofErr w:type="gramStart"/>
      <w:r w:rsidRPr="00EA2AB9">
        <w:rPr>
          <w:sz w:val="20"/>
          <w:vertAlign w:val="superscript"/>
          <w:lang w:val="fr-FR"/>
        </w:rPr>
        <w:t>4</w:t>
      </w:r>
      <w:r w:rsidRPr="00EA2AB9">
        <w:rPr>
          <w:spacing w:val="-2"/>
          <w:sz w:val="20"/>
          <w:lang w:val="fr-FR"/>
        </w:rPr>
        <w:t xml:space="preserve">  DC</w:t>
      </w:r>
      <w:proofErr w:type="gramEnd"/>
      <w:r w:rsidRPr="00EA2AB9">
        <w:rPr>
          <w:spacing w:val="-2"/>
          <w:sz w:val="20"/>
          <w:lang w:val="fr-FR"/>
        </w:rPr>
        <w:t>/91/3.</w:t>
      </w:r>
    </w:p>
    <w:p w14:paraId="6182F43B" w14:textId="77777777" w:rsidR="006B758D" w:rsidRPr="00EA2AB9" w:rsidRDefault="006B758D">
      <w:pPr>
        <w:rPr>
          <w:sz w:val="20"/>
          <w:lang w:val="fr-FR"/>
        </w:rPr>
        <w:sectPr w:rsidR="006B758D" w:rsidRPr="00EA2AB9">
          <w:pgSz w:w="11910" w:h="16840"/>
          <w:pgMar w:top="1320" w:right="1300" w:bottom="1240" w:left="1020" w:header="0" w:footer="1049" w:gutter="0"/>
          <w:cols w:space="720"/>
        </w:sectPr>
      </w:pPr>
    </w:p>
    <w:p w14:paraId="77E060CF" w14:textId="77777777" w:rsidR="006B758D" w:rsidRPr="00EA2AB9" w:rsidRDefault="0023308C">
      <w:pPr>
        <w:pStyle w:val="BodyText"/>
        <w:spacing w:before="76" w:line="360" w:lineRule="auto"/>
        <w:ind w:left="682" w:right="404"/>
        <w:jc w:val="both"/>
        <w:rPr>
          <w:lang w:val="fr-FR"/>
        </w:rPr>
      </w:pPr>
      <w:proofErr w:type="gramStart"/>
      <w:r w:rsidRPr="00EA2AB9">
        <w:rPr>
          <w:lang w:val="fr-FR"/>
        </w:rPr>
        <w:lastRenderedPageBreak/>
        <w:t>ce</w:t>
      </w:r>
      <w:proofErr w:type="gramEnd"/>
      <w:r w:rsidRPr="00EA2AB9">
        <w:rPr>
          <w:lang w:val="fr-FR"/>
        </w:rPr>
        <w:t xml:space="preserve"> qui signifie la variété pour laquelle la Partie contractante où la protection du produit de la récolte est demandée a accordé le droit d'obtenteur relatif à la variété protégée, dont le matériel de reproduction ou de multiplication a été utilisé sans l'autorisation du titulaire du droit d'obtenteur.</w:t>
      </w:r>
    </w:p>
    <w:p w14:paraId="75EEDC2F" w14:textId="77777777" w:rsidR="006B758D" w:rsidRPr="00EA2AB9" w:rsidRDefault="006B758D">
      <w:pPr>
        <w:pStyle w:val="BodyText"/>
        <w:spacing w:before="2"/>
        <w:rPr>
          <w:sz w:val="36"/>
          <w:lang w:val="fr-FR"/>
        </w:rPr>
      </w:pPr>
    </w:p>
    <w:p w14:paraId="6781E1FF" w14:textId="77777777" w:rsidR="006B758D" w:rsidRPr="00EA2AB9" w:rsidRDefault="0023308C">
      <w:pPr>
        <w:pStyle w:val="ListParagraph"/>
        <w:numPr>
          <w:ilvl w:val="1"/>
          <w:numId w:val="10"/>
        </w:numPr>
        <w:tabs>
          <w:tab w:val="left" w:pos="1789"/>
        </w:tabs>
        <w:spacing w:line="360" w:lineRule="auto"/>
        <w:ind w:left="682" w:right="398" w:firstLine="707"/>
        <w:rPr>
          <w:sz w:val="24"/>
          <w:lang w:val="fr-FR"/>
        </w:rPr>
      </w:pPr>
      <w:r w:rsidRPr="00EA2AB9">
        <w:rPr>
          <w:sz w:val="24"/>
          <w:lang w:val="fr-FR"/>
        </w:rPr>
        <w:t xml:space="preserve">Les actes énumérés au paragraphe (1), points (i) à (vii), en ce qui concerne le matériel de reproduction ou de multiplication de la variété protégée, nécessitent </w:t>
      </w:r>
      <w:r w:rsidRPr="00EA2AB9">
        <w:rPr>
          <w:b/>
          <w:sz w:val="24"/>
          <w:lang w:val="fr-FR"/>
        </w:rPr>
        <w:t>l'autorisation du titulaire du droit d'obtenteur</w:t>
      </w:r>
      <w:r w:rsidRPr="00EA2AB9">
        <w:rPr>
          <w:sz w:val="24"/>
          <w:lang w:val="fr-FR"/>
        </w:rPr>
        <w:t>, faute de quoi ils constituent sans condition (sauf dans les cas visés à l'article 15 et/ou à l'article 16) un acte de contrefaçon dans le pays où la protection a été demandée et où le droit correspondant est valable.</w:t>
      </w:r>
    </w:p>
    <w:p w14:paraId="7CC7D544" w14:textId="77777777" w:rsidR="006B758D" w:rsidRPr="00EA2AB9" w:rsidRDefault="006B758D">
      <w:pPr>
        <w:pStyle w:val="BodyText"/>
        <w:spacing w:before="1"/>
        <w:rPr>
          <w:sz w:val="36"/>
          <w:lang w:val="fr-FR"/>
        </w:rPr>
      </w:pPr>
    </w:p>
    <w:p w14:paraId="194D858C" w14:textId="77777777" w:rsidR="006B758D" w:rsidRPr="00EA2AB9" w:rsidRDefault="0023308C">
      <w:pPr>
        <w:pStyle w:val="ListParagraph"/>
        <w:numPr>
          <w:ilvl w:val="1"/>
          <w:numId w:val="10"/>
        </w:numPr>
        <w:tabs>
          <w:tab w:val="left" w:pos="1741"/>
        </w:tabs>
        <w:spacing w:line="360" w:lineRule="auto"/>
        <w:ind w:left="682" w:right="399" w:firstLine="707"/>
        <w:rPr>
          <w:sz w:val="24"/>
          <w:lang w:val="fr-FR"/>
        </w:rPr>
      </w:pPr>
      <w:r w:rsidRPr="00EA2AB9">
        <w:rPr>
          <w:sz w:val="24"/>
          <w:lang w:val="fr-FR"/>
        </w:rPr>
        <w:t>Ces mêmes actes, toutefois, en ce qui concerne le produit de la récolte de la variété protégée, ne nécessitent l'autorisation du titulaire du droit que si le produit de la récolte a été obtenu par une utilisation non autorisée du matériel de reproduction ou de multiplication de la variété protégée et que le titulaire du droit n'a pas eu l'opportunité raisonnable d'exercer son droit à l'égard dudit matériel de reproduction ou de multiplication dans le pays où la protection est demandée et où le droit correspondant est valable.</w:t>
      </w:r>
    </w:p>
    <w:p w14:paraId="4E08F871" w14:textId="77777777" w:rsidR="006B758D" w:rsidRPr="00EA2AB9" w:rsidRDefault="006B758D">
      <w:pPr>
        <w:pStyle w:val="BodyText"/>
        <w:spacing w:before="11"/>
        <w:rPr>
          <w:sz w:val="35"/>
          <w:lang w:val="fr-FR"/>
        </w:rPr>
      </w:pPr>
    </w:p>
    <w:p w14:paraId="492FE3D0" w14:textId="77777777" w:rsidR="006B758D" w:rsidRPr="00EA2AB9" w:rsidRDefault="0023308C">
      <w:pPr>
        <w:pStyle w:val="ListParagraph"/>
        <w:numPr>
          <w:ilvl w:val="0"/>
          <w:numId w:val="10"/>
        </w:numPr>
        <w:tabs>
          <w:tab w:val="left" w:pos="1638"/>
        </w:tabs>
        <w:spacing w:line="360" w:lineRule="auto"/>
        <w:ind w:right="398" w:firstLine="707"/>
        <w:rPr>
          <w:i/>
          <w:sz w:val="24"/>
          <w:lang w:val="fr-FR"/>
        </w:rPr>
      </w:pPr>
      <w:r w:rsidRPr="00EA2AB9">
        <w:rPr>
          <w:sz w:val="24"/>
          <w:lang w:val="fr-FR"/>
        </w:rPr>
        <w:t xml:space="preserve">Le point d'attache décisif dans l'article 14 (1) et l'article 14 (2) de l'UPOV est le même, à savoir la </w:t>
      </w:r>
      <w:r w:rsidRPr="00EA2AB9">
        <w:rPr>
          <w:i/>
          <w:sz w:val="24"/>
          <w:lang w:val="fr-FR"/>
        </w:rPr>
        <w:t>variété protégée</w:t>
      </w:r>
      <w:r w:rsidRPr="00EA2AB9">
        <w:rPr>
          <w:sz w:val="24"/>
          <w:lang w:val="fr-FR"/>
        </w:rPr>
        <w:t xml:space="preserve">. Il s'agit de la variété pour laquelle la partie contractante, où la protection a été demandée, a accordé le droit d'obtenteur correspondant, et où les actes, par exemple la mise en vente, la vente ou toute autre commercialisation, l'importation du produit de la récolte produit à partir du matériel de reproduction ou de multiplication de la variété protégée, n'ont pas été autorisés par le titulaire du droit d'obtenteur en question. Ainsi, les deux conditions préalables à </w:t>
      </w:r>
      <w:r w:rsidRPr="00EA2AB9">
        <w:rPr>
          <w:i/>
          <w:sz w:val="24"/>
          <w:lang w:val="fr-FR"/>
        </w:rPr>
        <w:t xml:space="preserve">l'autorisation </w:t>
      </w:r>
      <w:r w:rsidRPr="00EA2AB9">
        <w:rPr>
          <w:sz w:val="24"/>
          <w:lang w:val="fr-FR"/>
        </w:rPr>
        <w:t xml:space="preserve">en cause, à savoir </w:t>
      </w:r>
      <w:r w:rsidRPr="00EA2AB9">
        <w:rPr>
          <w:i/>
          <w:sz w:val="24"/>
          <w:lang w:val="fr-FR"/>
        </w:rPr>
        <w:t xml:space="preserve">l'utilisation non autorisée du matériel de reproduction ou de multiplication de la variété protégée et l'opportunité raisonnable d'exercer ce droit en relation avec ledit matériel de reproduction ou de multiplication, sont évaluées en vertu de la législation de la partie contractante où la protection a été demandée et où le droit prétendument violé est </w:t>
      </w:r>
      <w:r w:rsidRPr="00EA2AB9">
        <w:rPr>
          <w:i/>
          <w:spacing w:val="-2"/>
          <w:sz w:val="24"/>
          <w:lang w:val="fr-FR"/>
        </w:rPr>
        <w:t>valide.</w:t>
      </w:r>
    </w:p>
    <w:p w14:paraId="4D437775" w14:textId="77777777" w:rsidR="006B758D" w:rsidRPr="00EA2AB9" w:rsidRDefault="006B758D">
      <w:pPr>
        <w:pStyle w:val="BodyText"/>
        <w:rPr>
          <w:i/>
          <w:sz w:val="36"/>
          <w:lang w:val="fr-FR"/>
        </w:rPr>
      </w:pPr>
    </w:p>
    <w:p w14:paraId="0E62C970" w14:textId="06326F53" w:rsidR="006B758D" w:rsidRPr="00EA2AB9" w:rsidRDefault="0023308C" w:rsidP="006D14B8">
      <w:pPr>
        <w:pStyle w:val="ListParagraph"/>
        <w:numPr>
          <w:ilvl w:val="0"/>
          <w:numId w:val="10"/>
        </w:numPr>
        <w:tabs>
          <w:tab w:val="left" w:pos="1630"/>
        </w:tabs>
        <w:spacing w:line="360" w:lineRule="auto"/>
        <w:ind w:right="397" w:firstLine="707"/>
        <w:rPr>
          <w:lang w:val="fr-FR"/>
        </w:rPr>
      </w:pPr>
      <w:r w:rsidRPr="00EA2AB9">
        <w:rPr>
          <w:sz w:val="24"/>
          <w:lang w:val="fr-FR"/>
        </w:rPr>
        <w:t xml:space="preserve">Cette interprétation fondamentale des effets du droit d'obtenteur accordé par une partie contractante à l'UPOV est illustrée par la Cour fédérale suprême allemande. </w:t>
      </w:r>
      <w:r w:rsidRPr="00EA2AB9">
        <w:rPr>
          <w:sz w:val="24"/>
          <w:lang w:val="fr-FR"/>
        </w:rPr>
        <w:lastRenderedPageBreak/>
        <w:t>Dans une affaire concernant la distribution (en Allemagne) de produits de la récolte obtenus par l'utilisation [</w:t>
      </w:r>
      <w:r w:rsidR="00DD202E" w:rsidRPr="00EA2AB9">
        <w:rPr>
          <w:sz w:val="24"/>
          <w:lang w:val="fr-FR"/>
        </w:rPr>
        <w:t>non autorisée</w:t>
      </w:r>
      <w:r w:rsidRPr="00EA2AB9">
        <w:rPr>
          <w:sz w:val="24"/>
          <w:lang w:val="fr-FR"/>
        </w:rPr>
        <w:t xml:space="preserve">] en France de matériel de reproduction ou de multiplication d'une variété protégée [en Allemagne], la Cour a conclu à une violation du droit d'obtenteur accordé en Allemagne. Le </w:t>
      </w:r>
      <w:r w:rsidRPr="00EA2AB9">
        <w:rPr>
          <w:spacing w:val="-2"/>
          <w:sz w:val="24"/>
          <w:lang w:val="fr-FR"/>
        </w:rPr>
        <w:t>demandeur</w:t>
      </w:r>
      <w:r w:rsidR="00EA2AB9" w:rsidRPr="00EA2AB9">
        <w:rPr>
          <w:spacing w:val="-2"/>
          <w:sz w:val="24"/>
          <w:lang w:val="fr-FR"/>
        </w:rPr>
        <w:t xml:space="preserve"> </w:t>
      </w:r>
      <w:r w:rsidRPr="00EA2AB9">
        <w:rPr>
          <w:sz w:val="24"/>
          <w:lang w:val="fr-FR"/>
        </w:rPr>
        <w:t xml:space="preserve">n'a pas pu faire valoir son droit contre la production en France de produits de la récolte issus de sa </w:t>
      </w:r>
      <w:r w:rsidR="00DD202E" w:rsidRPr="00EA2AB9">
        <w:rPr>
          <w:sz w:val="24"/>
          <w:lang w:val="fr-FR"/>
        </w:rPr>
        <w:t>variété</w:t>
      </w:r>
      <w:r w:rsidRPr="00EA2AB9">
        <w:rPr>
          <w:sz w:val="24"/>
          <w:lang w:val="fr-FR"/>
        </w:rPr>
        <w:t xml:space="preserve"> protégée « Melanie », car les effets du droit d'obtenteur concerné étaient limités au territoire allemand. En raison de la distribution en Allemagne de produits de la récolte (plantes</w:t>
      </w:r>
      <w:r w:rsidRPr="00EA2AB9">
        <w:rPr>
          <w:lang w:val="fr-FR"/>
        </w:rPr>
        <w:t xml:space="preserve">) </w:t>
      </w:r>
      <w:r w:rsidRPr="00EA2AB9">
        <w:rPr>
          <w:sz w:val="24"/>
          <w:szCs w:val="24"/>
          <w:lang w:val="fr-FR"/>
        </w:rPr>
        <w:t xml:space="preserve">obtenus par l'utilisation [non autorisée] en France de matériel de reproduction ou de multiplication de la variété protégée [en Allemagne], la Cour a conclu à une violation du droit d'obtenteur </w:t>
      </w:r>
      <w:r w:rsidRPr="00EA2AB9">
        <w:rPr>
          <w:spacing w:val="-2"/>
          <w:sz w:val="24"/>
          <w:szCs w:val="24"/>
          <w:lang w:val="fr-FR"/>
        </w:rPr>
        <w:t>en vertu de</w:t>
      </w:r>
      <w:r w:rsidR="00EA2AB9" w:rsidRPr="00EA2AB9">
        <w:rPr>
          <w:spacing w:val="-2"/>
          <w:sz w:val="24"/>
          <w:szCs w:val="24"/>
          <w:lang w:val="fr-FR"/>
        </w:rPr>
        <w:t xml:space="preserve"> </w:t>
      </w:r>
      <w:r w:rsidRPr="00EA2AB9">
        <w:rPr>
          <w:sz w:val="24"/>
          <w:szCs w:val="24"/>
          <w:lang w:val="fr-FR"/>
        </w:rPr>
        <w:t xml:space="preserve">§ 10 (2) n° 2 de la loi allemande sur la protection des obtentions végétales </w:t>
      </w:r>
      <w:hyperlink w:anchor="_bookmark9" w:history="1">
        <w:r w:rsidRPr="00EA2AB9">
          <w:rPr>
            <w:sz w:val="24"/>
            <w:szCs w:val="24"/>
            <w:vertAlign w:val="superscript"/>
            <w:lang w:val="fr-FR"/>
          </w:rPr>
          <w:t>5</w:t>
        </w:r>
      </w:hyperlink>
      <w:r w:rsidRPr="00EA2AB9">
        <w:rPr>
          <w:sz w:val="24"/>
          <w:szCs w:val="24"/>
          <w:lang w:val="fr-FR"/>
        </w:rPr>
        <w:t>.</w:t>
      </w:r>
      <w:r w:rsidR="00EA2AB9">
        <w:rPr>
          <w:sz w:val="24"/>
          <w:szCs w:val="24"/>
          <w:lang w:val="fr-FR"/>
        </w:rPr>
        <w:t xml:space="preserve"> </w:t>
      </w:r>
      <w:hyperlink w:anchor="_bookmark9" w:history="1"/>
      <w:r w:rsidRPr="00EA2AB9">
        <w:rPr>
          <w:sz w:val="24"/>
          <w:szCs w:val="24"/>
          <w:lang w:val="fr-FR"/>
        </w:rPr>
        <w:t xml:space="preserve">Le demandeur n'avait pas la possibilité de faire valoir ses droits d'obtenteur en ce qui concerne l'utilisation du matériel de reproduction ou de multiplication de la variété végétale « Melanie » pour la production du produit de la récolte distribué par le défendeur </w:t>
      </w:r>
      <w:hyperlink w:anchor="_bookmark10" w:history="1">
        <w:r w:rsidRPr="00EA2AB9">
          <w:rPr>
            <w:sz w:val="24"/>
            <w:szCs w:val="24"/>
            <w:vertAlign w:val="superscript"/>
            <w:lang w:val="fr-FR"/>
          </w:rPr>
          <w:t>6</w:t>
        </w:r>
      </w:hyperlink>
      <w:r w:rsidRPr="00EA2AB9">
        <w:rPr>
          <w:sz w:val="24"/>
          <w:szCs w:val="24"/>
          <w:lang w:val="fr-FR"/>
        </w:rPr>
        <w:t xml:space="preserve">. </w:t>
      </w:r>
      <w:hyperlink w:anchor="_bookmark10" w:history="1"/>
    </w:p>
    <w:p w14:paraId="7ED68488" w14:textId="77777777" w:rsidR="006B758D" w:rsidRPr="0076224E" w:rsidRDefault="006B758D" w:rsidP="006D14B8">
      <w:pPr>
        <w:pStyle w:val="BodyText"/>
        <w:rPr>
          <w:sz w:val="16"/>
          <w:szCs w:val="16"/>
          <w:lang w:val="fr-FR"/>
        </w:rPr>
      </w:pPr>
    </w:p>
    <w:p w14:paraId="06A7541D" w14:textId="05B0B04B" w:rsidR="006B758D" w:rsidRPr="00EA2AB9" w:rsidRDefault="0023308C" w:rsidP="006D14B8">
      <w:pPr>
        <w:pStyle w:val="BodyText"/>
        <w:spacing w:line="276" w:lineRule="auto"/>
        <w:ind w:left="682" w:right="395" w:firstLine="707"/>
        <w:jc w:val="both"/>
        <w:rPr>
          <w:lang w:val="fr-FR"/>
        </w:rPr>
      </w:pPr>
      <w:r w:rsidRPr="00EA2AB9">
        <w:rPr>
          <w:lang w:val="fr-FR"/>
        </w:rPr>
        <w:t>Ainsi, l'utilisation du matériel de reproduction ou de multiplication de la variété «</w:t>
      </w:r>
      <w:r w:rsidR="00EA2AB9">
        <w:rPr>
          <w:lang w:val="fr-FR"/>
        </w:rPr>
        <w:t> </w:t>
      </w:r>
      <w:r w:rsidRPr="00EA2AB9">
        <w:rPr>
          <w:lang w:val="fr-FR"/>
        </w:rPr>
        <w:t>Melanie » en France a été considérée par le tribunal comme non autorisée, et la distribution des plantes attaquées, comprises comme du produit de la récolte, en Allemagne a constitué une violation du droit d'obtenteur sur la variété protégée «</w:t>
      </w:r>
      <w:r w:rsidR="00EA2AB9">
        <w:rPr>
          <w:lang w:val="fr-FR"/>
        </w:rPr>
        <w:t> </w:t>
      </w:r>
      <w:r w:rsidRPr="00EA2AB9">
        <w:rPr>
          <w:lang w:val="fr-FR"/>
        </w:rPr>
        <w:t>Melanie</w:t>
      </w:r>
      <w:r w:rsidR="00EA2AB9">
        <w:rPr>
          <w:lang w:val="fr-FR"/>
        </w:rPr>
        <w:t> </w:t>
      </w:r>
      <w:r w:rsidRPr="00EA2AB9">
        <w:rPr>
          <w:lang w:val="fr-FR"/>
        </w:rPr>
        <w:t xml:space="preserve">». </w:t>
      </w:r>
      <w:hyperlink w:anchor="_bookmark11" w:history="1">
        <w:r w:rsidRPr="00EA2AB9">
          <w:rPr>
            <w:vertAlign w:val="superscript"/>
            <w:lang w:val="fr-FR"/>
          </w:rPr>
          <w:t>7</w:t>
        </w:r>
      </w:hyperlink>
    </w:p>
    <w:p w14:paraId="5C529601" w14:textId="77777777" w:rsidR="006B758D" w:rsidRPr="0076224E" w:rsidRDefault="006B758D" w:rsidP="006D14B8">
      <w:pPr>
        <w:pStyle w:val="BodyText"/>
        <w:spacing w:line="276" w:lineRule="auto"/>
        <w:rPr>
          <w:sz w:val="16"/>
          <w:szCs w:val="16"/>
          <w:lang w:val="fr-FR"/>
        </w:rPr>
      </w:pPr>
    </w:p>
    <w:p w14:paraId="67518A6A" w14:textId="77777777" w:rsidR="006B758D" w:rsidRPr="00EA2AB9" w:rsidRDefault="0023308C" w:rsidP="006D14B8">
      <w:pPr>
        <w:pStyle w:val="ListParagraph"/>
        <w:numPr>
          <w:ilvl w:val="0"/>
          <w:numId w:val="10"/>
        </w:numPr>
        <w:tabs>
          <w:tab w:val="left" w:pos="1647"/>
        </w:tabs>
        <w:spacing w:line="276" w:lineRule="auto"/>
        <w:ind w:right="400" w:firstLine="707"/>
        <w:rPr>
          <w:sz w:val="24"/>
          <w:lang w:val="fr-FR"/>
        </w:rPr>
      </w:pPr>
      <w:r w:rsidRPr="00EA2AB9">
        <w:rPr>
          <w:sz w:val="24"/>
          <w:lang w:val="fr-FR"/>
        </w:rPr>
        <w:t xml:space="preserve">Ce qui précède découle également du principe de « </w:t>
      </w:r>
      <w:r w:rsidRPr="00EA2AB9">
        <w:rPr>
          <w:i/>
          <w:sz w:val="24"/>
          <w:lang w:val="fr-FR"/>
        </w:rPr>
        <w:t xml:space="preserve">l'indépendance du droit d'obtenteur </w:t>
      </w:r>
      <w:r w:rsidRPr="00EA2AB9">
        <w:rPr>
          <w:sz w:val="24"/>
          <w:lang w:val="fr-FR"/>
        </w:rPr>
        <w:t>», énoncé à l'article 10 (3) de l'UPOV 1991. En vertu de celui-ci, « aucune Partie contractante ne peut refuser d'accorder un droit d'obtenteur ou en limiter la durée au motif que la protection de la même variété n'a pas été demandée, a été refusée ou a expiré dans un autre État ou une organisation intergouvernementale ».</w:t>
      </w:r>
    </w:p>
    <w:p w14:paraId="3E37ED7C" w14:textId="77777777" w:rsidR="006B758D" w:rsidRPr="0076224E" w:rsidRDefault="006B758D" w:rsidP="006D14B8">
      <w:pPr>
        <w:pStyle w:val="BodyText"/>
        <w:rPr>
          <w:sz w:val="16"/>
          <w:szCs w:val="16"/>
          <w:lang w:val="fr-FR"/>
        </w:rPr>
      </w:pPr>
    </w:p>
    <w:p w14:paraId="13D063AB" w14:textId="171A9339" w:rsidR="006B758D" w:rsidRPr="00B071A2" w:rsidRDefault="0023308C" w:rsidP="006D14B8">
      <w:pPr>
        <w:pStyle w:val="ListParagraph"/>
        <w:numPr>
          <w:ilvl w:val="0"/>
          <w:numId w:val="10"/>
        </w:numPr>
        <w:tabs>
          <w:tab w:val="left" w:pos="1630"/>
        </w:tabs>
        <w:ind w:left="1630" w:hanging="240"/>
        <w:rPr>
          <w:sz w:val="24"/>
        </w:rPr>
      </w:pPr>
      <w:proofErr w:type="spellStart"/>
      <w:r>
        <w:rPr>
          <w:sz w:val="24"/>
        </w:rPr>
        <w:t>L'article</w:t>
      </w:r>
      <w:proofErr w:type="spellEnd"/>
      <w:r>
        <w:rPr>
          <w:sz w:val="24"/>
        </w:rPr>
        <w:t xml:space="preserve"> 16 de </w:t>
      </w:r>
      <w:proofErr w:type="spellStart"/>
      <w:r>
        <w:rPr>
          <w:sz w:val="24"/>
        </w:rPr>
        <w:t>l'UPOV</w:t>
      </w:r>
      <w:proofErr w:type="spellEnd"/>
      <w:r>
        <w:rPr>
          <w:sz w:val="24"/>
        </w:rPr>
        <w:t xml:space="preserve"> 1991 </w:t>
      </w:r>
      <w:proofErr w:type="gramStart"/>
      <w:r>
        <w:rPr>
          <w:spacing w:val="-2"/>
          <w:sz w:val="24"/>
        </w:rPr>
        <w:t>dispose :</w:t>
      </w:r>
      <w:proofErr w:type="gramEnd"/>
    </w:p>
    <w:p w14:paraId="0FBF6F3A" w14:textId="77777777" w:rsidR="00B071A2" w:rsidRPr="0076224E" w:rsidRDefault="00B071A2" w:rsidP="006D14B8">
      <w:pPr>
        <w:pStyle w:val="BodyText"/>
        <w:rPr>
          <w:sz w:val="18"/>
          <w:szCs w:val="18"/>
        </w:rPr>
      </w:pPr>
    </w:p>
    <w:p w14:paraId="70F0ABE5" w14:textId="6478F61A" w:rsidR="006B758D" w:rsidRPr="00B071A2" w:rsidRDefault="0023308C" w:rsidP="006D14B8">
      <w:pPr>
        <w:pStyle w:val="ListParagraph"/>
        <w:numPr>
          <w:ilvl w:val="0"/>
          <w:numId w:val="19"/>
        </w:numPr>
        <w:tabs>
          <w:tab w:val="left" w:pos="1748"/>
        </w:tabs>
        <w:spacing w:line="276" w:lineRule="auto"/>
        <w:ind w:right="396" w:firstLine="0"/>
        <w:rPr>
          <w:i/>
          <w:sz w:val="24"/>
          <w:lang w:val="fr-FR"/>
        </w:rPr>
      </w:pPr>
      <w:r w:rsidRPr="00B071A2">
        <w:rPr>
          <w:i/>
          <w:sz w:val="24"/>
          <w:lang w:val="fr-FR"/>
        </w:rPr>
        <w:t>[</w:t>
      </w:r>
      <w:r w:rsidR="00B071A2" w:rsidRPr="00B071A2">
        <w:rPr>
          <w:i/>
          <w:iCs/>
          <w:sz w:val="24"/>
          <w:lang w:val="fr-FR"/>
        </w:rPr>
        <w:t>Épuisement du droit] Le droit d'obtenteur ne s'étend pas aux actes concernant du matériel de sa variété ou d’une variété visée à l’article 14</w:t>
      </w:r>
      <w:r w:rsidR="0080353C">
        <w:rPr>
          <w:i/>
          <w:iCs/>
          <w:sz w:val="24"/>
          <w:lang w:val="fr-FR"/>
        </w:rPr>
        <w:t>(</w:t>
      </w:r>
      <w:r w:rsidR="00B071A2" w:rsidRPr="00B071A2">
        <w:rPr>
          <w:i/>
          <w:iCs/>
          <w:sz w:val="24"/>
          <w:lang w:val="fr-FR"/>
        </w:rPr>
        <w:t xml:space="preserve">5) qui a été vendu ou commercialisé d’une autre manière sur le territoire de la Partie contractante concernée par l’obtenteur ou </w:t>
      </w:r>
      <w:r w:rsidR="00B071A2" w:rsidRPr="00B071A2">
        <w:rPr>
          <w:b/>
          <w:bCs/>
          <w:i/>
          <w:iCs/>
          <w:sz w:val="24"/>
          <w:lang w:val="fr-FR"/>
        </w:rPr>
        <w:t>avec son consentement</w:t>
      </w:r>
      <w:r w:rsidR="00B071A2" w:rsidRPr="00B071A2">
        <w:rPr>
          <w:i/>
          <w:iCs/>
          <w:sz w:val="24"/>
          <w:lang w:val="fr-FR"/>
        </w:rPr>
        <w:t>, ou du matériel dérivé dudit matériel, à moins que ces</w:t>
      </w:r>
      <w:r w:rsidR="00B071A2">
        <w:rPr>
          <w:i/>
          <w:iCs/>
          <w:sz w:val="24"/>
          <w:lang w:val="fr-FR"/>
        </w:rPr>
        <w:t xml:space="preserve"> </w:t>
      </w:r>
      <w:r w:rsidR="00B071A2" w:rsidRPr="00B071A2">
        <w:rPr>
          <w:i/>
          <w:iCs/>
          <w:sz w:val="24"/>
          <w:lang w:val="fr-FR"/>
        </w:rPr>
        <w:t>actes</w:t>
      </w:r>
    </w:p>
    <w:p w14:paraId="5BFF6CCC" w14:textId="77777777" w:rsidR="006B758D" w:rsidRPr="0076224E" w:rsidRDefault="006B758D" w:rsidP="006D14B8">
      <w:pPr>
        <w:pStyle w:val="BodyText"/>
        <w:spacing w:before="1" w:line="276" w:lineRule="auto"/>
        <w:rPr>
          <w:i/>
          <w:sz w:val="16"/>
          <w:szCs w:val="16"/>
          <w:lang w:val="fr-FR"/>
        </w:rPr>
      </w:pPr>
    </w:p>
    <w:p w14:paraId="367EE833" w14:textId="44407BB6" w:rsidR="00B071A2" w:rsidRPr="0076224E" w:rsidRDefault="0023308C" w:rsidP="006D14B8">
      <w:pPr>
        <w:pStyle w:val="ListParagraph"/>
        <w:keepNext/>
        <w:keepLines/>
        <w:numPr>
          <w:ilvl w:val="1"/>
          <w:numId w:val="19"/>
        </w:numPr>
        <w:tabs>
          <w:tab w:val="left" w:pos="2526"/>
        </w:tabs>
        <w:spacing w:line="276" w:lineRule="auto"/>
        <w:rPr>
          <w:i/>
          <w:sz w:val="24"/>
          <w:lang w:val="fr-FR"/>
        </w:rPr>
      </w:pPr>
      <w:proofErr w:type="gramStart"/>
      <w:r w:rsidRPr="00B071A2">
        <w:rPr>
          <w:i/>
          <w:sz w:val="24"/>
          <w:lang w:val="fr-FR"/>
        </w:rPr>
        <w:t>impliquent</w:t>
      </w:r>
      <w:proofErr w:type="gramEnd"/>
      <w:r w:rsidRPr="00B071A2">
        <w:rPr>
          <w:i/>
          <w:sz w:val="24"/>
          <w:lang w:val="fr-FR"/>
        </w:rPr>
        <w:t xml:space="preserve"> </w:t>
      </w:r>
      <w:proofErr w:type="spellStart"/>
      <w:r w:rsidR="00B071A2" w:rsidRPr="00B071A2">
        <w:rPr>
          <w:i/>
          <w:sz w:val="24"/>
          <w:lang w:val="fr-FR"/>
        </w:rPr>
        <w:t>impliquent</w:t>
      </w:r>
      <w:proofErr w:type="spellEnd"/>
      <w:r w:rsidR="00B071A2" w:rsidRPr="00B071A2">
        <w:rPr>
          <w:i/>
          <w:sz w:val="24"/>
          <w:lang w:val="fr-FR"/>
        </w:rPr>
        <w:t xml:space="preserve"> une nouvelle reproduction ou multiplication de la variété en cause</w:t>
      </w:r>
      <w:r w:rsidR="00B071A2">
        <w:rPr>
          <w:i/>
          <w:sz w:val="24"/>
          <w:lang w:val="fr-FR"/>
        </w:rPr>
        <w:t xml:space="preserve"> </w:t>
      </w:r>
      <w:proofErr w:type="gramStart"/>
      <w:r w:rsidR="00B071A2" w:rsidRPr="00B071A2">
        <w:rPr>
          <w:i/>
          <w:sz w:val="24"/>
          <w:lang w:val="fr-FR"/>
        </w:rPr>
        <w:t>ou</w:t>
      </w:r>
      <w:proofErr w:type="gramEnd"/>
    </w:p>
    <w:p w14:paraId="4EAAEE15" w14:textId="279FBF69" w:rsidR="006B758D" w:rsidRPr="00EA2AB9" w:rsidRDefault="005C7D52" w:rsidP="0076224E">
      <w:pPr>
        <w:pStyle w:val="BodyText"/>
        <w:keepNext/>
        <w:keepLines/>
        <w:spacing w:before="9"/>
        <w:rPr>
          <w:i/>
          <w:sz w:val="13"/>
          <w:lang w:val="fr-FR"/>
        </w:rPr>
      </w:pPr>
      <w:r>
        <w:rPr>
          <w:noProof/>
        </w:rPr>
        <mc:AlternateContent>
          <mc:Choice Requires="wps">
            <w:drawing>
              <wp:anchor distT="0" distB="0" distL="0" distR="0" simplePos="0" relativeHeight="487589376" behindDoc="1" locked="0" layoutInCell="1" allowOverlap="1" wp14:anchorId="19B59DCD" wp14:editId="12D46443">
                <wp:simplePos x="0" y="0"/>
                <wp:positionH relativeFrom="page">
                  <wp:posOffset>1080770</wp:posOffset>
                </wp:positionH>
                <wp:positionV relativeFrom="paragraph">
                  <wp:posOffset>116205</wp:posOffset>
                </wp:positionV>
                <wp:extent cx="1828800" cy="7620"/>
                <wp:effectExtent l="0" t="0" r="0" b="0"/>
                <wp:wrapTopAndBottom/>
                <wp:docPr id="168827511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5" style="position:absolute;margin-left:85.1pt;margin-top:9.1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" w14:anchorId="412AADBE">
                <w10:wrap type="topAndBottom" anchorx="page"/>
              </v:rect>
            </w:pict>
          </mc:Fallback>
        </mc:AlternateContent>
      </w:r>
      <w:bookmarkStart w:id="10" w:name="_bookmark9"/>
      <w:bookmarkEnd w:id="10"/>
    </w:p>
    <w:p w14:paraId="0E7C7339" w14:textId="77777777" w:rsidR="006B758D" w:rsidRPr="0076224E" w:rsidRDefault="0023308C" w:rsidP="0076224E">
      <w:pPr>
        <w:keepNext/>
        <w:keepLines/>
        <w:spacing w:before="103"/>
        <w:ind w:left="682"/>
        <w:rPr>
          <w:sz w:val="20"/>
          <w:szCs w:val="20"/>
          <w:lang w:val="fr-FR"/>
        </w:rPr>
      </w:pPr>
      <w:bookmarkStart w:id="11" w:name="_Hlk219721737"/>
      <w:proofErr w:type="gramStart"/>
      <w:r w:rsidRPr="0076224E">
        <w:rPr>
          <w:sz w:val="20"/>
          <w:szCs w:val="20"/>
          <w:vertAlign w:val="superscript"/>
          <w:lang w:val="fr-FR"/>
        </w:rPr>
        <w:t>5</w:t>
      </w:r>
      <w:r w:rsidRPr="0076224E">
        <w:rPr>
          <w:sz w:val="20"/>
          <w:szCs w:val="20"/>
          <w:lang w:val="fr-FR"/>
        </w:rPr>
        <w:t xml:space="preserve">  Article</w:t>
      </w:r>
      <w:proofErr w:type="gramEnd"/>
      <w:r w:rsidRPr="0076224E">
        <w:rPr>
          <w:sz w:val="20"/>
          <w:szCs w:val="20"/>
          <w:lang w:val="fr-FR"/>
        </w:rPr>
        <w:t xml:space="preserve"> 14(2) correspondant de l'UPOV 1991 </w:t>
      </w:r>
      <w:r w:rsidRPr="0076224E">
        <w:rPr>
          <w:spacing w:val="-2"/>
          <w:sz w:val="20"/>
          <w:szCs w:val="20"/>
          <w:lang w:val="fr-FR"/>
        </w:rPr>
        <w:t>[J.S.].</w:t>
      </w:r>
    </w:p>
    <w:p w14:paraId="575D1225" w14:textId="77777777" w:rsidR="006B758D" w:rsidRPr="0076224E" w:rsidRDefault="0023308C" w:rsidP="0076224E">
      <w:pPr>
        <w:keepNext/>
        <w:keepLines/>
        <w:spacing w:before="1"/>
        <w:ind w:left="682"/>
        <w:rPr>
          <w:sz w:val="20"/>
          <w:szCs w:val="20"/>
          <w:lang w:val="fr-FR"/>
        </w:rPr>
      </w:pPr>
      <w:bookmarkStart w:id="12" w:name="_bookmark10"/>
      <w:bookmarkEnd w:id="12"/>
      <w:proofErr w:type="gramStart"/>
      <w:r w:rsidRPr="0076224E">
        <w:rPr>
          <w:sz w:val="20"/>
          <w:szCs w:val="20"/>
          <w:vertAlign w:val="superscript"/>
          <w:lang w:val="fr-FR"/>
        </w:rPr>
        <w:t>6</w:t>
      </w:r>
      <w:r w:rsidRPr="0076224E">
        <w:rPr>
          <w:sz w:val="20"/>
          <w:szCs w:val="20"/>
          <w:lang w:val="fr-FR"/>
        </w:rPr>
        <w:t xml:space="preserve">  Arrêt</w:t>
      </w:r>
      <w:proofErr w:type="gramEnd"/>
      <w:r w:rsidRPr="0076224E">
        <w:rPr>
          <w:sz w:val="20"/>
          <w:szCs w:val="20"/>
          <w:lang w:val="fr-FR"/>
        </w:rPr>
        <w:t xml:space="preserve"> du 14 février 2006, affaire X ZR 93/04, n° 12 des motifs, p. 6-7 de </w:t>
      </w:r>
      <w:proofErr w:type="gramStart"/>
      <w:r w:rsidRPr="0076224E">
        <w:rPr>
          <w:sz w:val="20"/>
          <w:szCs w:val="20"/>
          <w:lang w:val="fr-FR"/>
        </w:rPr>
        <w:t xml:space="preserve">l'original </w:t>
      </w:r>
      <w:r w:rsidRPr="0076224E">
        <w:rPr>
          <w:spacing w:val="-10"/>
          <w:sz w:val="20"/>
          <w:szCs w:val="20"/>
          <w:lang w:val="fr-FR"/>
        </w:rPr>
        <w:t>.</w:t>
      </w:r>
      <w:proofErr w:type="gramEnd"/>
    </w:p>
    <w:p w14:paraId="288DF760" w14:textId="77777777" w:rsidR="006B758D" w:rsidRPr="0076224E" w:rsidRDefault="0023308C" w:rsidP="0076224E">
      <w:pPr>
        <w:keepNext/>
        <w:keepLines/>
        <w:ind w:left="682" w:right="316"/>
        <w:rPr>
          <w:sz w:val="20"/>
          <w:szCs w:val="20"/>
          <w:lang w:val="fr-FR"/>
        </w:rPr>
      </w:pPr>
      <w:bookmarkStart w:id="13" w:name="_bookmark11"/>
      <w:bookmarkEnd w:id="13"/>
      <w:proofErr w:type="gramStart"/>
      <w:r w:rsidRPr="0076224E">
        <w:rPr>
          <w:sz w:val="20"/>
          <w:szCs w:val="20"/>
          <w:vertAlign w:val="superscript"/>
          <w:lang w:val="fr-FR"/>
        </w:rPr>
        <w:t>7</w:t>
      </w:r>
      <w:r w:rsidRPr="0076224E">
        <w:rPr>
          <w:sz w:val="20"/>
          <w:szCs w:val="20"/>
          <w:lang w:val="fr-FR"/>
        </w:rPr>
        <w:t xml:space="preserve">  Cette</w:t>
      </w:r>
      <w:proofErr w:type="gramEnd"/>
      <w:r w:rsidRPr="0076224E">
        <w:rPr>
          <w:sz w:val="20"/>
          <w:szCs w:val="20"/>
          <w:lang w:val="fr-FR"/>
        </w:rPr>
        <w:t xml:space="preserve"> interprétation fondamentale est également partagée par le tribunal de district de Tokyo dans son jugement du 8 juin 2018 et par la Haute Cour de propriété intellectuelle du Japon dans son jugement du 6 mars 2019, dans l'affaire « </w:t>
      </w:r>
      <w:proofErr w:type="spellStart"/>
      <w:r w:rsidRPr="0076224E">
        <w:rPr>
          <w:sz w:val="20"/>
          <w:szCs w:val="20"/>
          <w:lang w:val="fr-FR"/>
        </w:rPr>
        <w:t>Shitaki</w:t>
      </w:r>
      <w:proofErr w:type="spellEnd"/>
      <w:r w:rsidRPr="0076224E">
        <w:rPr>
          <w:sz w:val="20"/>
          <w:szCs w:val="20"/>
          <w:lang w:val="fr-FR"/>
        </w:rPr>
        <w:t xml:space="preserve"> ».</w:t>
      </w:r>
      <w:bookmarkEnd w:id="11"/>
    </w:p>
    <w:p w14:paraId="6957E0DC" w14:textId="77777777" w:rsidR="006B758D" w:rsidRPr="00EA2AB9" w:rsidRDefault="006B758D">
      <w:pPr>
        <w:rPr>
          <w:sz w:val="20"/>
          <w:lang w:val="fr-FR"/>
        </w:rPr>
        <w:sectPr w:rsidR="006B758D" w:rsidRPr="00EA2AB9">
          <w:pgSz w:w="11910" w:h="16840"/>
          <w:pgMar w:top="1320" w:right="1300" w:bottom="1240" w:left="1020" w:header="0" w:footer="1049" w:gutter="0"/>
          <w:cols w:space="720"/>
        </w:sectPr>
      </w:pPr>
    </w:p>
    <w:p w14:paraId="6B5A4098" w14:textId="194F8207" w:rsidR="006B758D" w:rsidRPr="00B071A2" w:rsidRDefault="00B071A2" w:rsidP="00B071A2">
      <w:pPr>
        <w:pStyle w:val="ListParagraph"/>
        <w:numPr>
          <w:ilvl w:val="1"/>
          <w:numId w:val="19"/>
        </w:numPr>
        <w:tabs>
          <w:tab w:val="left" w:pos="2526"/>
        </w:tabs>
        <w:spacing w:before="76" w:line="360" w:lineRule="auto"/>
        <w:ind w:right="395"/>
        <w:rPr>
          <w:i/>
          <w:sz w:val="24"/>
          <w:lang w:val="fr-FR"/>
        </w:rPr>
      </w:pPr>
      <w:proofErr w:type="gramStart"/>
      <w:r w:rsidRPr="00B071A2">
        <w:rPr>
          <w:i/>
          <w:sz w:val="24"/>
          <w:lang w:val="fr-FR"/>
        </w:rPr>
        <w:lastRenderedPageBreak/>
        <w:t>implique</w:t>
      </w:r>
      <w:proofErr w:type="gramEnd"/>
      <w:r w:rsidRPr="00B071A2">
        <w:rPr>
          <w:i/>
          <w:sz w:val="24"/>
          <w:lang w:val="fr-FR"/>
        </w:rPr>
        <w:t xml:space="preserve"> une exportation de matériel de la variété permettant de reproduire la variété vers un pays qui ne protège pas les variétés du genre végétal ou de l’espèce végétale dont la variété fait partie, sauf si le matériel exporté est</w:t>
      </w:r>
      <w:r>
        <w:rPr>
          <w:i/>
          <w:sz w:val="24"/>
          <w:lang w:val="fr-FR"/>
        </w:rPr>
        <w:t xml:space="preserve"> </w:t>
      </w:r>
      <w:r w:rsidRPr="00B071A2">
        <w:rPr>
          <w:i/>
          <w:sz w:val="24"/>
          <w:lang w:val="fr-FR"/>
        </w:rPr>
        <w:t>destiné à la consommation.</w:t>
      </w:r>
    </w:p>
    <w:p w14:paraId="006CFDE9" w14:textId="77777777" w:rsidR="006B758D" w:rsidRPr="00B071A2" w:rsidRDefault="006B758D">
      <w:pPr>
        <w:pStyle w:val="BodyText"/>
        <w:spacing w:before="2"/>
        <w:rPr>
          <w:i/>
          <w:sz w:val="20"/>
          <w:szCs w:val="20"/>
          <w:lang w:val="fr-FR"/>
        </w:rPr>
      </w:pPr>
    </w:p>
    <w:p w14:paraId="11430280" w14:textId="796410FA" w:rsidR="006B758D" w:rsidRPr="00B071A2" w:rsidRDefault="0023308C" w:rsidP="00B071A2">
      <w:pPr>
        <w:pStyle w:val="ListParagraph"/>
        <w:numPr>
          <w:ilvl w:val="0"/>
          <w:numId w:val="19"/>
        </w:numPr>
        <w:tabs>
          <w:tab w:val="left" w:pos="1786"/>
        </w:tabs>
        <w:rPr>
          <w:i/>
          <w:sz w:val="26"/>
          <w:lang w:val="fr-FR"/>
        </w:rPr>
      </w:pPr>
      <w:r w:rsidRPr="00B071A2">
        <w:rPr>
          <w:i/>
          <w:sz w:val="24"/>
          <w:lang w:val="fr-FR"/>
        </w:rPr>
        <w:t>[</w:t>
      </w:r>
      <w:r w:rsidR="00B071A2" w:rsidRPr="00B071A2">
        <w:rPr>
          <w:i/>
          <w:sz w:val="24"/>
          <w:lang w:val="fr-FR"/>
        </w:rPr>
        <w:t>Sens de “matériel”] Aux fins du paragraphe 1), on entend par “matériel”, en</w:t>
      </w:r>
      <w:r w:rsidR="00B071A2">
        <w:rPr>
          <w:i/>
          <w:sz w:val="24"/>
          <w:lang w:val="fr-FR"/>
        </w:rPr>
        <w:t xml:space="preserve"> </w:t>
      </w:r>
      <w:r w:rsidR="00B071A2" w:rsidRPr="00B071A2">
        <w:rPr>
          <w:i/>
          <w:sz w:val="24"/>
          <w:lang w:val="fr-FR"/>
        </w:rPr>
        <w:t>relation avec une variété,</w:t>
      </w:r>
    </w:p>
    <w:p w14:paraId="52C3A617" w14:textId="77777777" w:rsidR="006B758D" w:rsidRPr="00EA2AB9" w:rsidRDefault="006B758D">
      <w:pPr>
        <w:pStyle w:val="BodyText"/>
        <w:rPr>
          <w:i/>
          <w:sz w:val="22"/>
          <w:lang w:val="fr-FR"/>
        </w:rPr>
      </w:pPr>
    </w:p>
    <w:p w14:paraId="36C7A609" w14:textId="74E29B2A" w:rsidR="006B758D" w:rsidRPr="00B071A2" w:rsidRDefault="00B071A2" w:rsidP="00B071A2">
      <w:pPr>
        <w:pStyle w:val="ListParagraph"/>
        <w:numPr>
          <w:ilvl w:val="1"/>
          <w:numId w:val="19"/>
        </w:numPr>
        <w:tabs>
          <w:tab w:val="left" w:pos="2585"/>
          <w:tab w:val="left" w:pos="2586"/>
        </w:tabs>
        <w:ind w:left="2585" w:hanging="464"/>
        <w:rPr>
          <w:i/>
          <w:sz w:val="24"/>
          <w:lang w:val="fr-FR"/>
        </w:rPr>
      </w:pPr>
      <w:proofErr w:type="gramStart"/>
      <w:r w:rsidRPr="00B071A2">
        <w:rPr>
          <w:i/>
          <w:iCs/>
          <w:sz w:val="24"/>
          <w:lang w:val="fr-FR"/>
        </w:rPr>
        <w:t>le</w:t>
      </w:r>
      <w:proofErr w:type="gramEnd"/>
      <w:r w:rsidRPr="00B071A2">
        <w:rPr>
          <w:i/>
          <w:iCs/>
          <w:sz w:val="24"/>
          <w:lang w:val="fr-FR"/>
        </w:rPr>
        <w:t xml:space="preserve"> matériel de reproduction ou de multiplication végétative, sous quelque</w:t>
      </w:r>
      <w:r>
        <w:rPr>
          <w:i/>
          <w:iCs/>
          <w:sz w:val="24"/>
          <w:lang w:val="fr-FR"/>
        </w:rPr>
        <w:t xml:space="preserve"> </w:t>
      </w:r>
      <w:r w:rsidRPr="00B071A2">
        <w:rPr>
          <w:i/>
          <w:iCs/>
          <w:sz w:val="24"/>
          <w:lang w:val="fr-FR"/>
        </w:rPr>
        <w:t xml:space="preserve">forme que ce </w:t>
      </w:r>
      <w:proofErr w:type="gramStart"/>
      <w:r w:rsidRPr="00B071A2">
        <w:rPr>
          <w:i/>
          <w:iCs/>
          <w:sz w:val="24"/>
          <w:lang w:val="fr-FR"/>
        </w:rPr>
        <w:t>soit,</w:t>
      </w:r>
      <w:r w:rsidR="0023308C" w:rsidRPr="00B071A2">
        <w:rPr>
          <w:i/>
          <w:spacing w:val="-2"/>
          <w:sz w:val="24"/>
          <w:lang w:val="fr-FR"/>
        </w:rPr>
        <w:t>,</w:t>
      </w:r>
      <w:proofErr w:type="gramEnd"/>
    </w:p>
    <w:p w14:paraId="24396D68" w14:textId="1AA04C1C" w:rsidR="006B758D" w:rsidRPr="00B071A2" w:rsidRDefault="00B071A2" w:rsidP="00B071A2">
      <w:pPr>
        <w:pStyle w:val="ListParagraph"/>
        <w:numPr>
          <w:ilvl w:val="0"/>
          <w:numId w:val="27"/>
        </w:numPr>
        <w:tabs>
          <w:tab w:val="left" w:pos="2586"/>
        </w:tabs>
        <w:spacing w:before="140"/>
        <w:rPr>
          <w:i/>
          <w:sz w:val="24"/>
          <w:lang w:val="fr-FR"/>
        </w:rPr>
      </w:pPr>
      <w:proofErr w:type="gramStart"/>
      <w:r w:rsidRPr="00B071A2">
        <w:rPr>
          <w:i/>
          <w:iCs/>
          <w:sz w:val="24"/>
          <w:lang w:val="fr-FR"/>
        </w:rPr>
        <w:t>le</w:t>
      </w:r>
      <w:proofErr w:type="gramEnd"/>
      <w:r w:rsidRPr="00B071A2">
        <w:rPr>
          <w:i/>
          <w:iCs/>
          <w:sz w:val="24"/>
          <w:lang w:val="fr-FR"/>
        </w:rPr>
        <w:t xml:space="preserve"> produit de la récolte, y compris les plantes entières et les parties de</w:t>
      </w:r>
      <w:r>
        <w:rPr>
          <w:i/>
          <w:iCs/>
          <w:sz w:val="24"/>
          <w:lang w:val="fr-FR"/>
        </w:rPr>
        <w:t xml:space="preserve"> </w:t>
      </w:r>
      <w:r w:rsidRPr="00B071A2">
        <w:rPr>
          <w:i/>
          <w:iCs/>
          <w:sz w:val="24"/>
          <w:lang w:val="fr-FR"/>
        </w:rPr>
        <w:t>plantes, et</w:t>
      </w:r>
    </w:p>
    <w:p w14:paraId="4A26E2DB" w14:textId="77777777" w:rsidR="006B758D" w:rsidRDefault="0023308C" w:rsidP="00B071A2">
      <w:pPr>
        <w:pStyle w:val="ListParagraph"/>
        <w:numPr>
          <w:ilvl w:val="0"/>
          <w:numId w:val="27"/>
        </w:numPr>
        <w:tabs>
          <w:tab w:val="left" w:pos="2586"/>
        </w:tabs>
        <w:spacing w:before="137"/>
        <w:rPr>
          <w:sz w:val="24"/>
        </w:rPr>
      </w:pPr>
      <w:proofErr w:type="gramStart"/>
      <w:r w:rsidRPr="00EA2AB9">
        <w:rPr>
          <w:i/>
          <w:sz w:val="24"/>
          <w:lang w:val="fr-FR"/>
        </w:rPr>
        <w:t>tout</w:t>
      </w:r>
      <w:proofErr w:type="gramEnd"/>
      <w:r w:rsidRPr="00EA2AB9">
        <w:rPr>
          <w:i/>
          <w:sz w:val="24"/>
          <w:lang w:val="fr-FR"/>
        </w:rPr>
        <w:t xml:space="preserve"> produit fabriqué directement à partir du </w:t>
      </w:r>
      <w:r w:rsidRPr="00EA2AB9">
        <w:rPr>
          <w:i/>
          <w:spacing w:val="-2"/>
          <w:sz w:val="24"/>
          <w:lang w:val="fr-FR"/>
        </w:rPr>
        <w:t xml:space="preserve">produit </w:t>
      </w:r>
      <w:r w:rsidRPr="00EA2AB9">
        <w:rPr>
          <w:i/>
          <w:sz w:val="24"/>
          <w:lang w:val="fr-FR"/>
        </w:rPr>
        <w:t>de la récolte</w:t>
      </w:r>
      <w:r w:rsidRPr="00EA2AB9">
        <w:rPr>
          <w:i/>
          <w:spacing w:val="-2"/>
          <w:sz w:val="24"/>
          <w:lang w:val="fr-FR"/>
        </w:rPr>
        <w:t>.</w:t>
      </w:r>
      <w:hyperlink w:anchor="_bookmark12" w:history="1">
        <w:r>
          <w:rPr>
            <w:spacing w:val="-2"/>
            <w:sz w:val="24"/>
            <w:vertAlign w:val="superscript"/>
          </w:rPr>
          <w:t>8</w:t>
        </w:r>
      </w:hyperlink>
    </w:p>
    <w:p w14:paraId="50D9CE9D" w14:textId="77777777" w:rsidR="006B758D" w:rsidRDefault="006B758D">
      <w:pPr>
        <w:pStyle w:val="BodyText"/>
        <w:rPr>
          <w:sz w:val="28"/>
        </w:rPr>
      </w:pPr>
    </w:p>
    <w:p w14:paraId="4ED83BD2" w14:textId="77777777" w:rsidR="006B758D" w:rsidRPr="00EA2AB9" w:rsidRDefault="0023308C">
      <w:pPr>
        <w:spacing w:before="230" w:line="360" w:lineRule="auto"/>
        <w:ind w:left="682" w:right="396" w:firstLine="707"/>
        <w:jc w:val="both"/>
        <w:rPr>
          <w:sz w:val="24"/>
          <w:lang w:val="fr-FR"/>
        </w:rPr>
      </w:pPr>
      <w:r w:rsidRPr="00EA2AB9">
        <w:rPr>
          <w:sz w:val="24"/>
          <w:lang w:val="fr-FR"/>
        </w:rPr>
        <w:t xml:space="preserve">Ainsi, l'épuisement prévu à l'article 16 de l'UPOV 1991 ne prend également effet que si le matériel de la variété protégée « a été vendu ou commercialisé d'une autre manière par l'obtenteur ou avec son </w:t>
      </w:r>
      <w:r w:rsidRPr="00EA2AB9">
        <w:rPr>
          <w:b/>
          <w:sz w:val="24"/>
          <w:lang w:val="fr-FR"/>
        </w:rPr>
        <w:t xml:space="preserve">consentement sur le territoire de la partie contractante concernée </w:t>
      </w:r>
      <w:r w:rsidRPr="00EA2AB9">
        <w:rPr>
          <w:sz w:val="24"/>
          <w:lang w:val="fr-FR"/>
        </w:rPr>
        <w:t>».</w:t>
      </w:r>
    </w:p>
    <w:p w14:paraId="587BB883" w14:textId="77777777" w:rsidR="006B758D" w:rsidRPr="00B071A2" w:rsidRDefault="006B758D">
      <w:pPr>
        <w:pStyle w:val="BodyText"/>
        <w:rPr>
          <w:sz w:val="20"/>
          <w:szCs w:val="20"/>
          <w:lang w:val="fr-FR"/>
        </w:rPr>
      </w:pPr>
    </w:p>
    <w:p w14:paraId="1D624F89" w14:textId="37333DC1" w:rsidR="006B758D" w:rsidRPr="00EA2AB9" w:rsidRDefault="0023308C">
      <w:pPr>
        <w:pStyle w:val="ListParagraph"/>
        <w:numPr>
          <w:ilvl w:val="0"/>
          <w:numId w:val="10"/>
        </w:numPr>
        <w:tabs>
          <w:tab w:val="left" w:pos="1616"/>
        </w:tabs>
        <w:spacing w:line="360" w:lineRule="auto"/>
        <w:ind w:right="396" w:firstLine="707"/>
        <w:rPr>
          <w:sz w:val="24"/>
          <w:lang w:val="fr-FR"/>
        </w:rPr>
      </w:pPr>
      <w:r w:rsidRPr="00EA2AB9">
        <w:rPr>
          <w:sz w:val="24"/>
          <w:lang w:val="fr-FR"/>
        </w:rPr>
        <w:t xml:space="preserve">Une </w:t>
      </w:r>
      <w:r w:rsidRPr="00EA2AB9">
        <w:rPr>
          <w:b/>
          <w:sz w:val="24"/>
          <w:lang w:val="fr-FR"/>
        </w:rPr>
        <w:t xml:space="preserve">analyse </w:t>
      </w:r>
      <w:r w:rsidRPr="00EA2AB9">
        <w:rPr>
          <w:sz w:val="24"/>
          <w:lang w:val="fr-FR"/>
        </w:rPr>
        <w:t xml:space="preserve">de la compréhension et des intentions des rédacteurs de l'UPOV 1991 concernant l'utilisation de la notion </w:t>
      </w:r>
      <w:r w:rsidRPr="00EA2AB9">
        <w:rPr>
          <w:b/>
          <w:sz w:val="24"/>
          <w:lang w:val="fr-FR"/>
        </w:rPr>
        <w:t>d</w:t>
      </w:r>
      <w:proofErr w:type="gramStart"/>
      <w:r w:rsidRPr="00EA2AB9">
        <w:rPr>
          <w:b/>
          <w:sz w:val="24"/>
          <w:lang w:val="fr-FR"/>
        </w:rPr>
        <w:t>'«</w:t>
      </w:r>
      <w:proofErr w:type="gramEnd"/>
      <w:r w:rsidRPr="00EA2AB9">
        <w:rPr>
          <w:b/>
          <w:sz w:val="24"/>
          <w:lang w:val="fr-FR"/>
        </w:rPr>
        <w:t xml:space="preserve"> utilisation non autorisée » </w:t>
      </w:r>
      <w:r w:rsidRPr="00EA2AB9">
        <w:rPr>
          <w:sz w:val="24"/>
          <w:lang w:val="fr-FR"/>
        </w:rPr>
        <w:t>à l'article 14 (2)</w:t>
      </w:r>
      <w:r w:rsidRPr="00EA2AB9">
        <w:rPr>
          <w:b/>
          <w:sz w:val="24"/>
          <w:lang w:val="fr-FR"/>
        </w:rPr>
        <w:t xml:space="preserve">, </w:t>
      </w:r>
      <w:r w:rsidRPr="00EA2AB9">
        <w:rPr>
          <w:sz w:val="24"/>
          <w:lang w:val="fr-FR"/>
        </w:rPr>
        <w:t xml:space="preserve">telle qu'elle a été développée au cours des négociations entre les parties contractantes et les « parties prenantes » intéressées, et telle qu'elle est consignée dans les documents préparatoires et les comptes rendus de la conférence diplomatique, ne peut traiter cette notion de manière isolée. C'est-à-dire isolée au sens d'une compréhension essentiellement sémantique du terme « autorisation ». Le point d'attachement constitue plutôt le lien indissociable entre </w:t>
      </w:r>
      <w:r w:rsidRPr="00EA2AB9">
        <w:rPr>
          <w:b/>
          <w:sz w:val="24"/>
          <w:lang w:val="fr-FR"/>
        </w:rPr>
        <w:t xml:space="preserve">« utilisation non autorisée » </w:t>
      </w:r>
      <w:r w:rsidRPr="00EA2AB9">
        <w:rPr>
          <w:sz w:val="24"/>
          <w:lang w:val="fr-FR"/>
        </w:rPr>
        <w:t xml:space="preserve">et « </w:t>
      </w:r>
      <w:r w:rsidRPr="00EA2AB9">
        <w:rPr>
          <w:b/>
          <w:sz w:val="24"/>
          <w:lang w:val="fr-FR"/>
        </w:rPr>
        <w:t>opportunité raisonnable d'exercer le droit »</w:t>
      </w:r>
      <w:r w:rsidRPr="00EA2AB9">
        <w:rPr>
          <w:sz w:val="24"/>
          <w:lang w:val="fr-FR"/>
        </w:rPr>
        <w:t>, cette dernière notion ayant évolué au cours de la rédaction.</w:t>
      </w:r>
    </w:p>
    <w:p w14:paraId="5F91FB5B" w14:textId="77777777" w:rsidR="006B758D" w:rsidRPr="00EA2AB9" w:rsidRDefault="006B758D">
      <w:pPr>
        <w:pStyle w:val="BodyText"/>
        <w:spacing w:before="2"/>
        <w:rPr>
          <w:sz w:val="36"/>
          <w:lang w:val="fr-FR"/>
        </w:rPr>
      </w:pPr>
    </w:p>
    <w:p w14:paraId="6E2865D3" w14:textId="2E88F0AA" w:rsidR="006B758D" w:rsidRPr="00B071A2" w:rsidRDefault="0023308C" w:rsidP="00B071A2">
      <w:pPr>
        <w:pStyle w:val="ListParagraph"/>
        <w:numPr>
          <w:ilvl w:val="1"/>
          <w:numId w:val="10"/>
        </w:numPr>
        <w:tabs>
          <w:tab w:val="left" w:pos="1770"/>
        </w:tabs>
        <w:spacing w:line="360" w:lineRule="auto"/>
        <w:ind w:left="682" w:right="396" w:firstLine="707"/>
        <w:rPr>
          <w:sz w:val="20"/>
          <w:lang w:val="fr-FR"/>
        </w:rPr>
      </w:pPr>
      <w:r w:rsidRPr="00B071A2">
        <w:rPr>
          <w:sz w:val="24"/>
          <w:lang w:val="fr-FR"/>
        </w:rPr>
        <w:t>L'extension prévue du champ d'application de la protection, c'est-à-dire de l'étendue du droit d'obtenteur dans l'Acte de 1991 de l'UPOV, avait fait l'objet de discussions intensives avant même la présentation de la proposition de base. En raison de l'ampleur des modifications proposées et de la complexité de sa méthodologie juridique, cette dernière a incité 22 délégations à proposer des modifications/amendements à l'article 14 de la proposition de base.</w:t>
      </w:r>
    </w:p>
    <w:p w14:paraId="1ED74152" w14:textId="67E69BB5" w:rsidR="006B758D" w:rsidRPr="00EA2AB9" w:rsidRDefault="005C7D52">
      <w:pPr>
        <w:pStyle w:val="BodyText"/>
        <w:spacing w:before="9"/>
        <w:rPr>
          <w:sz w:val="25"/>
          <w:lang w:val="fr-FR"/>
        </w:rPr>
      </w:pPr>
      <w:r>
        <w:rPr>
          <w:noProof/>
        </w:rPr>
        <mc:AlternateContent>
          <mc:Choice Requires="wps">
            <w:drawing>
              <wp:anchor distT="0" distB="0" distL="0" distR="0" simplePos="0" relativeHeight="487589888" behindDoc="1" locked="0" layoutInCell="1" allowOverlap="1" wp14:anchorId="677385A8" wp14:editId="79171F39">
                <wp:simplePos x="0" y="0"/>
                <wp:positionH relativeFrom="page">
                  <wp:posOffset>1080770</wp:posOffset>
                </wp:positionH>
                <wp:positionV relativeFrom="paragraph">
                  <wp:posOffset>203835</wp:posOffset>
                </wp:positionV>
                <wp:extent cx="1828800" cy="7620"/>
                <wp:effectExtent l="0" t="0" r="0" b="0"/>
                <wp:wrapTopAndBottom/>
                <wp:docPr id="58012353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6" style="position:absolute;margin-left:85.1pt;margin-top:16.05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I7fXJTeAAAACQEAAA8AAAAAAAAAAAAAAAAAPwQAAGRycy9kb3ducmV2Lnht&#10;bFBLBQYAAAAABAAEAPMAAABKBQAAAAA=&#10;" w14:anchorId="40BAE463">
                <w10:wrap type="topAndBottom" anchorx="page"/>
              </v:rect>
            </w:pict>
          </mc:Fallback>
        </mc:AlternateContent>
      </w:r>
    </w:p>
    <w:p w14:paraId="42F1AF65" w14:textId="77777777" w:rsidR="006B758D" w:rsidRDefault="0023308C">
      <w:pPr>
        <w:spacing w:before="101"/>
        <w:ind w:left="682"/>
        <w:rPr>
          <w:sz w:val="20"/>
        </w:rPr>
      </w:pPr>
      <w:bookmarkStart w:id="14" w:name="_bookmark12"/>
      <w:bookmarkEnd w:id="14"/>
      <w:r>
        <w:rPr>
          <w:sz w:val="20"/>
          <w:vertAlign w:val="superscript"/>
        </w:rPr>
        <w:t xml:space="preserve">(8)   </w:t>
      </w:r>
      <w:r w:rsidRPr="00B071A2">
        <w:rPr>
          <w:sz w:val="20"/>
        </w:rPr>
        <w:t>C'est</w:t>
      </w:r>
      <w:r>
        <w:rPr>
          <w:sz w:val="20"/>
        </w:rPr>
        <w:t xml:space="preserve">nous qui </w:t>
      </w:r>
      <w:r>
        <w:rPr>
          <w:spacing w:val="-2"/>
          <w:sz w:val="20"/>
        </w:rPr>
        <w:t>soulignons.</w:t>
      </w:r>
    </w:p>
    <w:p w14:paraId="4CE28FE8" w14:textId="77777777" w:rsidR="006B758D" w:rsidRDefault="006B758D">
      <w:pPr>
        <w:rPr>
          <w:sz w:val="20"/>
        </w:rPr>
        <w:sectPr w:rsidR="006B758D" w:rsidSect="0076224E">
          <w:pgSz w:w="11910" w:h="16840"/>
          <w:pgMar w:top="1321" w:right="1298" w:bottom="1242" w:left="1021" w:header="0" w:footer="1049" w:gutter="0"/>
          <w:cols w:space="720"/>
        </w:sectPr>
      </w:pPr>
    </w:p>
    <w:p w14:paraId="2AB7856F" w14:textId="77777777" w:rsidR="006B758D" w:rsidRPr="00EA2AB9" w:rsidRDefault="0023308C">
      <w:pPr>
        <w:pStyle w:val="ListParagraph"/>
        <w:numPr>
          <w:ilvl w:val="1"/>
          <w:numId w:val="10"/>
        </w:numPr>
        <w:tabs>
          <w:tab w:val="left" w:pos="1743"/>
        </w:tabs>
        <w:spacing w:before="76" w:line="360" w:lineRule="auto"/>
        <w:ind w:left="682" w:right="399" w:firstLine="707"/>
        <w:rPr>
          <w:sz w:val="24"/>
          <w:lang w:val="fr-FR"/>
        </w:rPr>
      </w:pPr>
      <w:r w:rsidRPr="00EA2AB9">
        <w:rPr>
          <w:sz w:val="24"/>
          <w:lang w:val="fr-FR"/>
        </w:rPr>
        <w:lastRenderedPageBreak/>
        <w:t xml:space="preserve">Parmi les développements qui ont précédé la conférence diplomatique de 1991 et qui ont traité expressément ou implicitement de </w:t>
      </w:r>
      <w:r w:rsidRPr="00EA2AB9">
        <w:rPr>
          <w:i/>
          <w:sz w:val="24"/>
          <w:lang w:val="fr-FR"/>
        </w:rPr>
        <w:t>l'autorisation ou du consentement du titulaire du droit d'obtenteur</w:t>
      </w:r>
      <w:r w:rsidRPr="00EA2AB9">
        <w:rPr>
          <w:sz w:val="24"/>
          <w:lang w:val="fr-FR"/>
        </w:rPr>
        <w:t>, les documents suivants sont pertinents :</w:t>
      </w:r>
    </w:p>
    <w:p w14:paraId="5D86B81B" w14:textId="77777777" w:rsidR="006B758D" w:rsidRPr="00EA2AB9" w:rsidRDefault="006B758D">
      <w:pPr>
        <w:pStyle w:val="BodyText"/>
        <w:spacing w:before="1"/>
        <w:rPr>
          <w:sz w:val="36"/>
          <w:lang w:val="fr-FR"/>
        </w:rPr>
      </w:pPr>
    </w:p>
    <w:p w14:paraId="1451DA46" w14:textId="31E2B857" w:rsidR="006B758D" w:rsidRPr="00EA2AB9" w:rsidRDefault="0023308C">
      <w:pPr>
        <w:pStyle w:val="ListParagraph"/>
        <w:numPr>
          <w:ilvl w:val="0"/>
          <w:numId w:val="18"/>
        </w:numPr>
        <w:tabs>
          <w:tab w:val="left" w:pos="1741"/>
        </w:tabs>
        <w:spacing w:line="360" w:lineRule="auto"/>
        <w:ind w:right="395" w:firstLine="0"/>
        <w:rPr>
          <w:sz w:val="24"/>
          <w:lang w:val="fr-FR"/>
        </w:rPr>
      </w:pPr>
      <w:r w:rsidRPr="00EA2AB9">
        <w:rPr>
          <w:sz w:val="24"/>
          <w:lang w:val="fr-FR"/>
        </w:rPr>
        <w:t>Lors de la</w:t>
      </w:r>
      <w:r w:rsidR="0076224E">
        <w:rPr>
          <w:sz w:val="24"/>
          <w:lang w:val="fr-FR"/>
        </w:rPr>
        <w:t xml:space="preserve"> </w:t>
      </w:r>
      <w:r w:rsidRPr="00EA2AB9">
        <w:rPr>
          <w:sz w:val="24"/>
          <w:vertAlign w:val="superscript"/>
          <w:lang w:val="fr-FR"/>
        </w:rPr>
        <w:t>16e</w:t>
      </w:r>
      <w:r w:rsidRPr="00EA2AB9">
        <w:rPr>
          <w:sz w:val="24"/>
          <w:lang w:val="fr-FR"/>
        </w:rPr>
        <w:t>session du Comité administratif et juridique (CAJ) des 14 et 15 novembre 1985, au cours de laquelle l'extension de la portée de la protection a été examinée, le procès-verbal de la session stipule</w:t>
      </w:r>
      <w:r w:rsidRPr="00EA2AB9">
        <w:rPr>
          <w:i/>
          <w:sz w:val="24"/>
          <w:lang w:val="fr-FR"/>
        </w:rPr>
        <w:t xml:space="preserve"> notamment </w:t>
      </w:r>
      <w:r w:rsidRPr="00EA2AB9">
        <w:rPr>
          <w:sz w:val="24"/>
          <w:lang w:val="fr-FR"/>
        </w:rPr>
        <w:t>ce qui suit :</w:t>
      </w:r>
    </w:p>
    <w:p w14:paraId="232F6993" w14:textId="77777777" w:rsidR="006B758D" w:rsidRPr="005D00F1" w:rsidRDefault="0023308C">
      <w:pPr>
        <w:spacing w:before="121" w:line="360" w:lineRule="auto"/>
        <w:ind w:left="1402" w:right="397"/>
        <w:jc w:val="both"/>
        <w:rPr>
          <w:sz w:val="24"/>
          <w:lang w:val="fr-FR"/>
        </w:rPr>
      </w:pPr>
      <w:r w:rsidRPr="00EA2AB9">
        <w:rPr>
          <w:sz w:val="24"/>
          <w:lang w:val="fr-FR"/>
        </w:rPr>
        <w:t xml:space="preserve">« 18. Cas couverts par l'extension au produit final - Les arguments en faveur de la protection du produit final dans le cas des plantes ornementales, principalement avancés par la CIOPORA, sont bien connus. Il convient de rappeler que l'objectif n'est pas de permettre aux obtenteurs de percevoir des redevances à chaque occasion imaginable, à différents stades de l'exploitation de la variété, </w:t>
      </w:r>
      <w:r w:rsidRPr="00EA2AB9">
        <w:rPr>
          <w:i/>
          <w:sz w:val="24"/>
          <w:lang w:val="fr-FR"/>
        </w:rPr>
        <w:t xml:space="preserve">mais de les percevoir également en relation avec certains types d'exploitation qui échappent à la protection. Le cas principal visé est l'importation de fleurs coupées en provenance de pays qui ne disposent pas d'un système de protection des obtentions végétales. </w:t>
      </w:r>
      <w:r w:rsidRPr="00EA2AB9">
        <w:rPr>
          <w:sz w:val="24"/>
          <w:lang w:val="fr-FR"/>
        </w:rPr>
        <w:t xml:space="preserve">Il convient également de noter que la majorité de ces pays, en raison de leur situation </w:t>
      </w:r>
      <w:proofErr w:type="spellStart"/>
      <w:r w:rsidRPr="00EA2AB9">
        <w:rPr>
          <w:sz w:val="24"/>
          <w:lang w:val="fr-FR"/>
        </w:rPr>
        <w:t>agro-économique</w:t>
      </w:r>
      <w:proofErr w:type="spellEnd"/>
      <w:r w:rsidRPr="00EA2AB9">
        <w:rPr>
          <w:sz w:val="24"/>
          <w:lang w:val="fr-FR"/>
        </w:rPr>
        <w:t>, permettent la production de fleurs coupées à des prix défiant toute concurrence, même si l'on tient compte du coût du transport (par avion spécial). »</w:t>
      </w:r>
      <w:hyperlink w:anchor="_bookmark13" w:history="1">
        <w:r w:rsidRPr="005D00F1">
          <w:rPr>
            <w:sz w:val="24"/>
            <w:vertAlign w:val="superscript"/>
            <w:lang w:val="fr-FR"/>
          </w:rPr>
          <w:t>9</w:t>
        </w:r>
      </w:hyperlink>
    </w:p>
    <w:p w14:paraId="6CF20471" w14:textId="58D7CE4A" w:rsidR="006B758D" w:rsidRPr="00EA2AB9" w:rsidRDefault="0023308C">
      <w:pPr>
        <w:pStyle w:val="ListParagraph"/>
        <w:numPr>
          <w:ilvl w:val="0"/>
          <w:numId w:val="18"/>
        </w:numPr>
        <w:tabs>
          <w:tab w:val="left" w:pos="1760"/>
        </w:tabs>
        <w:spacing w:before="120" w:line="360" w:lineRule="auto"/>
        <w:ind w:right="396" w:firstLine="0"/>
        <w:rPr>
          <w:sz w:val="24"/>
          <w:lang w:val="fr-FR"/>
        </w:rPr>
      </w:pPr>
      <w:r w:rsidRPr="00EA2AB9">
        <w:rPr>
          <w:sz w:val="24"/>
          <w:lang w:val="fr-FR"/>
        </w:rPr>
        <w:t>Lors de la</w:t>
      </w:r>
      <w:r w:rsidR="0076224E">
        <w:rPr>
          <w:sz w:val="24"/>
          <w:lang w:val="fr-FR"/>
        </w:rPr>
        <w:t xml:space="preserve"> </w:t>
      </w:r>
      <w:r w:rsidRPr="00EA2AB9">
        <w:rPr>
          <w:sz w:val="24"/>
          <w:vertAlign w:val="superscript"/>
          <w:lang w:val="fr-FR"/>
        </w:rPr>
        <w:t>4e</w:t>
      </w:r>
      <w:r w:rsidRPr="00EA2AB9">
        <w:rPr>
          <w:sz w:val="24"/>
          <w:lang w:val="fr-FR"/>
        </w:rPr>
        <w:t>réunion entre le Comité administratif et juridique (CAJ) et les organisations internationales d'obtenteurs et de spécialistes des brevets (IOM) les 9 et 10 octobre 1989, le nouveau texte suivant pour l'article 5 [Effets du droit accordé à l'obtenteur] a été proposé :</w:t>
      </w:r>
    </w:p>
    <w:p w14:paraId="1BA14D4D" w14:textId="77777777" w:rsidR="006B758D" w:rsidRPr="00EA2AB9" w:rsidRDefault="0023308C">
      <w:pPr>
        <w:pStyle w:val="BodyText"/>
        <w:spacing w:before="121" w:line="360" w:lineRule="auto"/>
        <w:ind w:left="2122" w:right="398"/>
        <w:jc w:val="both"/>
        <w:rPr>
          <w:lang w:val="fr-FR"/>
        </w:rPr>
      </w:pPr>
      <w:r w:rsidRPr="00EA2AB9">
        <w:rPr>
          <w:lang w:val="fr-FR"/>
        </w:rPr>
        <w:t xml:space="preserve">« (1) Un droit octroyé conformément aux dispositions de la présente Convention confère à son titulaire le droit d'empêcher toute personne </w:t>
      </w:r>
      <w:r w:rsidRPr="00EA2AB9">
        <w:rPr>
          <w:i/>
          <w:lang w:val="fr-FR"/>
        </w:rPr>
        <w:t xml:space="preserve">n'ayant pas son </w:t>
      </w:r>
      <w:r w:rsidRPr="00EA2AB9">
        <w:rPr>
          <w:i/>
          <w:spacing w:val="-2"/>
          <w:lang w:val="fr-FR"/>
        </w:rPr>
        <w:t xml:space="preserve">consentement </w:t>
      </w:r>
      <w:r w:rsidRPr="00EA2AB9">
        <w:rPr>
          <w:spacing w:val="-2"/>
          <w:lang w:val="fr-FR"/>
        </w:rPr>
        <w:t>:</w:t>
      </w:r>
    </w:p>
    <w:p w14:paraId="161F4C55" w14:textId="77777777" w:rsidR="006B758D" w:rsidRPr="00EA2AB9" w:rsidRDefault="0023308C">
      <w:pPr>
        <w:pStyle w:val="ListParagraph"/>
        <w:numPr>
          <w:ilvl w:val="1"/>
          <w:numId w:val="18"/>
        </w:numPr>
        <w:tabs>
          <w:tab w:val="left" w:pos="2408"/>
        </w:tabs>
        <w:spacing w:before="122"/>
        <w:rPr>
          <w:sz w:val="24"/>
          <w:lang w:val="fr-FR"/>
        </w:rPr>
      </w:pPr>
      <w:proofErr w:type="gramStart"/>
      <w:r w:rsidRPr="00EA2AB9">
        <w:rPr>
          <w:sz w:val="24"/>
          <w:lang w:val="fr-FR"/>
        </w:rPr>
        <w:t>de</w:t>
      </w:r>
      <w:proofErr w:type="gramEnd"/>
      <w:r w:rsidRPr="00EA2AB9">
        <w:rPr>
          <w:sz w:val="24"/>
          <w:lang w:val="fr-FR"/>
        </w:rPr>
        <w:t xml:space="preserve"> reproduire ou de multiplier la </w:t>
      </w:r>
      <w:r w:rsidRPr="00EA2AB9">
        <w:rPr>
          <w:spacing w:val="-2"/>
          <w:sz w:val="24"/>
          <w:lang w:val="fr-FR"/>
        </w:rPr>
        <w:t>variété,</w:t>
      </w:r>
    </w:p>
    <w:p w14:paraId="49C005B0" w14:textId="77777777" w:rsidR="006B758D" w:rsidRPr="00EA2AB9" w:rsidRDefault="006B758D">
      <w:pPr>
        <w:pStyle w:val="BodyText"/>
        <w:spacing w:before="3"/>
        <w:rPr>
          <w:sz w:val="22"/>
          <w:lang w:val="fr-FR"/>
        </w:rPr>
      </w:pPr>
    </w:p>
    <w:p w14:paraId="66A6FC3D" w14:textId="77777777" w:rsidR="006B758D" w:rsidRPr="00EA2AB9" w:rsidRDefault="0023308C">
      <w:pPr>
        <w:pStyle w:val="ListParagraph"/>
        <w:numPr>
          <w:ilvl w:val="1"/>
          <w:numId w:val="18"/>
        </w:numPr>
        <w:tabs>
          <w:tab w:val="left" w:pos="2528"/>
        </w:tabs>
        <w:spacing w:line="360" w:lineRule="auto"/>
        <w:ind w:left="2122" w:right="402" w:firstLine="0"/>
        <w:rPr>
          <w:sz w:val="24"/>
          <w:lang w:val="fr-FR"/>
        </w:rPr>
      </w:pPr>
      <w:proofErr w:type="gramStart"/>
      <w:r w:rsidRPr="00EA2AB9">
        <w:rPr>
          <w:sz w:val="24"/>
          <w:lang w:val="fr-FR"/>
        </w:rPr>
        <w:t>de</w:t>
      </w:r>
      <w:proofErr w:type="gramEnd"/>
      <w:r w:rsidRPr="00EA2AB9">
        <w:rPr>
          <w:sz w:val="24"/>
          <w:lang w:val="fr-FR"/>
        </w:rPr>
        <w:t xml:space="preserve"> mettre en vente, de commercialiser, d'exporter ou d'utiliser du matériel de la variété,</w:t>
      </w:r>
    </w:p>
    <w:p w14:paraId="2F279F0E" w14:textId="77777777" w:rsidR="006B758D" w:rsidRPr="00EA2AB9" w:rsidRDefault="0023308C">
      <w:pPr>
        <w:pStyle w:val="ListParagraph"/>
        <w:numPr>
          <w:ilvl w:val="1"/>
          <w:numId w:val="18"/>
        </w:numPr>
        <w:tabs>
          <w:tab w:val="left" w:pos="2583"/>
        </w:tabs>
        <w:spacing w:before="120" w:line="360" w:lineRule="auto"/>
        <w:ind w:left="2122" w:right="402" w:firstLine="0"/>
        <w:rPr>
          <w:sz w:val="24"/>
          <w:lang w:val="fr-FR"/>
        </w:rPr>
      </w:pPr>
      <w:proofErr w:type="gramStart"/>
      <w:r w:rsidRPr="00EA2AB9">
        <w:rPr>
          <w:sz w:val="24"/>
          <w:lang w:val="fr-FR"/>
        </w:rPr>
        <w:t>d'importer</w:t>
      </w:r>
      <w:proofErr w:type="gramEnd"/>
      <w:r w:rsidRPr="00EA2AB9">
        <w:rPr>
          <w:sz w:val="24"/>
          <w:lang w:val="fr-FR"/>
        </w:rPr>
        <w:t xml:space="preserve"> ou de stocker du matériel de la variété à l'une des fins susmentionnées.</w:t>
      </w:r>
    </w:p>
    <w:p w14:paraId="0E0C2227" w14:textId="75F68AAE" w:rsidR="006B758D" w:rsidRPr="00EA2AB9" w:rsidRDefault="005C7D52">
      <w:pPr>
        <w:pStyle w:val="BodyText"/>
        <w:spacing w:before="3"/>
        <w:rPr>
          <w:sz w:val="23"/>
          <w:lang w:val="fr-FR"/>
        </w:rPr>
      </w:pPr>
      <w:r>
        <w:rPr>
          <w:noProof/>
        </w:rPr>
        <mc:AlternateContent>
          <mc:Choice Requires="wps">
            <w:drawing>
              <wp:anchor distT="0" distB="0" distL="0" distR="0" simplePos="0" relativeHeight="487590400" behindDoc="1" locked="0" layoutInCell="1" allowOverlap="1" wp14:anchorId="55DB631C" wp14:editId="0715D974">
                <wp:simplePos x="0" y="0"/>
                <wp:positionH relativeFrom="page">
                  <wp:posOffset>1080770</wp:posOffset>
                </wp:positionH>
                <wp:positionV relativeFrom="paragraph">
                  <wp:posOffset>185420</wp:posOffset>
                </wp:positionV>
                <wp:extent cx="1828800" cy="7620"/>
                <wp:effectExtent l="0" t="0" r="0" b="0"/>
                <wp:wrapTopAndBottom/>
                <wp:docPr id="28517607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8" style="position:absolute;margin-left:85.1pt;margin-top:14.6pt;width:2in;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" w14:anchorId="3077ED52">
                <w10:wrap type="topAndBottom" anchorx="page"/>
              </v:rect>
            </w:pict>
          </mc:Fallback>
        </mc:AlternateContent>
      </w:r>
    </w:p>
    <w:p w14:paraId="0286F695" w14:textId="77777777" w:rsidR="006B758D" w:rsidRPr="00EA2AB9" w:rsidRDefault="0023308C">
      <w:pPr>
        <w:spacing w:before="101"/>
        <w:ind w:left="682"/>
        <w:rPr>
          <w:sz w:val="20"/>
          <w:lang w:val="fr-FR"/>
        </w:rPr>
      </w:pPr>
      <w:bookmarkStart w:id="15" w:name="_bookmark13"/>
      <w:bookmarkEnd w:id="15"/>
      <w:proofErr w:type="gramStart"/>
      <w:r w:rsidRPr="00EA2AB9">
        <w:rPr>
          <w:sz w:val="20"/>
          <w:vertAlign w:val="superscript"/>
          <w:lang w:val="fr-FR"/>
        </w:rPr>
        <w:t>9</w:t>
      </w:r>
      <w:r w:rsidRPr="00EA2AB9">
        <w:rPr>
          <w:sz w:val="20"/>
          <w:lang w:val="fr-FR"/>
        </w:rPr>
        <w:t xml:space="preserve">  CAJ</w:t>
      </w:r>
      <w:proofErr w:type="gramEnd"/>
      <w:r w:rsidRPr="00EA2AB9">
        <w:rPr>
          <w:sz w:val="20"/>
          <w:lang w:val="fr-FR"/>
        </w:rPr>
        <w:t xml:space="preserve">/XVI/3, paragraphe 18 (c'est nous qui </w:t>
      </w:r>
      <w:r w:rsidRPr="00EA2AB9">
        <w:rPr>
          <w:spacing w:val="-2"/>
          <w:sz w:val="20"/>
          <w:lang w:val="fr-FR"/>
        </w:rPr>
        <w:t>soulignons).</w:t>
      </w:r>
    </w:p>
    <w:p w14:paraId="0EAE5F64" w14:textId="77777777" w:rsidR="006B758D" w:rsidRPr="00EA2AB9" w:rsidRDefault="006B758D">
      <w:pPr>
        <w:rPr>
          <w:sz w:val="20"/>
          <w:lang w:val="fr-FR"/>
        </w:rPr>
        <w:sectPr w:rsidR="006B758D" w:rsidRPr="00EA2AB9">
          <w:footerReference w:type="default" r:id="rId12"/>
          <w:pgSz w:w="11910" w:h="16840"/>
          <w:pgMar w:top="1320" w:right="1300" w:bottom="1240" w:left="1020" w:header="0" w:footer="1049" w:gutter="0"/>
          <w:cols w:space="720"/>
        </w:sectPr>
      </w:pPr>
    </w:p>
    <w:p w14:paraId="528E27B7" w14:textId="77777777" w:rsidR="006B758D" w:rsidRPr="00EA2AB9" w:rsidRDefault="0023308C">
      <w:pPr>
        <w:pStyle w:val="BodyText"/>
        <w:spacing w:before="76"/>
        <w:ind w:left="2122"/>
        <w:jc w:val="both"/>
        <w:rPr>
          <w:lang w:val="fr-FR"/>
        </w:rPr>
      </w:pPr>
      <w:r w:rsidRPr="00EA2AB9">
        <w:rPr>
          <w:lang w:val="fr-FR"/>
        </w:rPr>
        <w:lastRenderedPageBreak/>
        <w:t xml:space="preserve">(2) Le droit ne s'étend pas aux (i) actes décrits au paragraphe (1)(ii) </w:t>
      </w:r>
      <w:r w:rsidRPr="00EA2AB9">
        <w:rPr>
          <w:spacing w:val="-5"/>
          <w:lang w:val="fr-FR"/>
        </w:rPr>
        <w:t>et</w:t>
      </w:r>
    </w:p>
    <w:p w14:paraId="329684A7" w14:textId="77777777" w:rsidR="006B758D" w:rsidRPr="005D00F1" w:rsidRDefault="0023308C">
      <w:pPr>
        <w:pStyle w:val="BodyText"/>
        <w:spacing w:before="140" w:line="360" w:lineRule="auto"/>
        <w:ind w:left="2122" w:right="398"/>
        <w:jc w:val="both"/>
        <w:rPr>
          <w:lang w:val="fr-FR"/>
        </w:rPr>
      </w:pPr>
      <w:r w:rsidRPr="00EA2AB9">
        <w:rPr>
          <w:lang w:val="fr-FR"/>
        </w:rPr>
        <w:t xml:space="preserve">(iii) ci-dessus concernant tout matériel qui a été mis sur le marché dans l'État membre de l'Union concerné par l'obtenteur ou avec </w:t>
      </w:r>
      <w:r w:rsidRPr="00EA2AB9">
        <w:rPr>
          <w:i/>
          <w:lang w:val="fr-FR"/>
        </w:rPr>
        <w:t>son consentement exprès</w:t>
      </w:r>
      <w:r w:rsidRPr="00EA2AB9">
        <w:rPr>
          <w:lang w:val="fr-FR"/>
        </w:rPr>
        <w:t xml:space="preserve">, ou tout matériel dérivé dudit matériel conformément à l'objectif prévu lors de sa mise sur le marché. » </w:t>
      </w:r>
      <w:hyperlink w:anchor="_bookmark14" w:history="1">
        <w:r w:rsidRPr="005D00F1">
          <w:rPr>
            <w:vertAlign w:val="superscript"/>
            <w:lang w:val="fr-FR"/>
          </w:rPr>
          <w:t>10</w:t>
        </w:r>
      </w:hyperlink>
    </w:p>
    <w:p w14:paraId="68C1C80C" w14:textId="77777777" w:rsidR="006B758D" w:rsidRPr="005D00F1" w:rsidRDefault="006B758D">
      <w:pPr>
        <w:pStyle w:val="BodyText"/>
        <w:spacing w:before="9"/>
        <w:rPr>
          <w:sz w:val="20"/>
          <w:szCs w:val="20"/>
          <w:lang w:val="fr-FR"/>
        </w:rPr>
      </w:pPr>
    </w:p>
    <w:p w14:paraId="6D245683" w14:textId="77777777" w:rsidR="006B758D" w:rsidRPr="00EA2AB9" w:rsidRDefault="0023308C">
      <w:pPr>
        <w:pStyle w:val="ListParagraph"/>
        <w:numPr>
          <w:ilvl w:val="0"/>
          <w:numId w:val="18"/>
        </w:numPr>
        <w:tabs>
          <w:tab w:val="left" w:pos="1789"/>
        </w:tabs>
        <w:spacing w:line="360" w:lineRule="auto"/>
        <w:ind w:right="397" w:firstLine="0"/>
        <w:rPr>
          <w:sz w:val="24"/>
          <w:lang w:val="fr-FR"/>
        </w:rPr>
      </w:pPr>
      <w:r w:rsidRPr="00EA2AB9">
        <w:rPr>
          <w:sz w:val="24"/>
          <w:lang w:val="fr-FR"/>
        </w:rPr>
        <w:t xml:space="preserve">Lors de la réunion de l'IOM d'octobre 1989, la </w:t>
      </w:r>
      <w:r w:rsidRPr="00EA2AB9">
        <w:rPr>
          <w:i/>
          <w:sz w:val="24"/>
          <w:lang w:val="fr-FR"/>
        </w:rPr>
        <w:t xml:space="preserve">délégation allemande </w:t>
      </w:r>
      <w:r w:rsidRPr="00EA2AB9">
        <w:rPr>
          <w:sz w:val="24"/>
          <w:lang w:val="fr-FR"/>
        </w:rPr>
        <w:t>a présenté une proposition pour le paragraphe 2 de l'article 5 alors en discussion, qui contenait pour la première fois l'approche en cascade et se lit comme suit :</w:t>
      </w:r>
    </w:p>
    <w:p w14:paraId="2617DDD9" w14:textId="77777777" w:rsidR="006B758D" w:rsidRPr="00EA2AB9" w:rsidRDefault="0023308C">
      <w:pPr>
        <w:spacing w:before="122" w:line="360" w:lineRule="auto"/>
        <w:ind w:left="2122" w:right="396"/>
        <w:jc w:val="both"/>
        <w:rPr>
          <w:i/>
          <w:sz w:val="24"/>
          <w:lang w:val="fr-FR"/>
        </w:rPr>
      </w:pPr>
      <w:r w:rsidRPr="00EA2AB9">
        <w:rPr>
          <w:sz w:val="24"/>
          <w:lang w:val="fr-FR"/>
        </w:rPr>
        <w:t xml:space="preserve">« (2) Lorsque le </w:t>
      </w:r>
      <w:r w:rsidRPr="00EA2AB9">
        <w:rPr>
          <w:i/>
          <w:sz w:val="24"/>
          <w:lang w:val="fr-FR"/>
        </w:rPr>
        <w:t xml:space="preserve">titulaire du droit d'obtenteur </w:t>
      </w:r>
      <w:r w:rsidRPr="00EA2AB9">
        <w:rPr>
          <w:b/>
          <w:i/>
          <w:sz w:val="24"/>
          <w:lang w:val="fr-FR"/>
        </w:rPr>
        <w:t xml:space="preserve">n'est pas en mesure d'exercer ses droits </w:t>
      </w:r>
      <w:r w:rsidRPr="00EA2AB9">
        <w:rPr>
          <w:i/>
          <w:sz w:val="24"/>
          <w:lang w:val="fr-FR"/>
        </w:rPr>
        <w:t>conformément au paragraphe (1) (i) (ii), son droit s'étend au produit de la récolte de la variété.</w:t>
      </w:r>
    </w:p>
    <w:p w14:paraId="7CA683DA" w14:textId="77777777" w:rsidR="006B758D" w:rsidRPr="005D00F1" w:rsidRDefault="0023308C">
      <w:pPr>
        <w:pStyle w:val="BodyText"/>
        <w:spacing w:before="119" w:line="360" w:lineRule="auto"/>
        <w:ind w:left="2122" w:right="403"/>
        <w:jc w:val="both"/>
        <w:rPr>
          <w:lang w:val="fr-FR"/>
        </w:rPr>
      </w:pPr>
      <w:r w:rsidRPr="00EA2AB9">
        <w:rPr>
          <w:lang w:val="fr-FR"/>
        </w:rPr>
        <w:t>Lorsque le titulaire du droit d'obtenteur n'est pas en mesure d'exercer son droit conformément au paragraphe 1) ii) ou à l'égard des produits de la récolte, son droit s'étend aux produits directement obtenus à partir des produits de la récolte de la variété. »</w:t>
      </w:r>
      <w:hyperlink w:anchor="_bookmark15" w:history="1">
        <w:r w:rsidRPr="005D00F1">
          <w:rPr>
            <w:vertAlign w:val="superscript"/>
            <w:lang w:val="fr-FR"/>
          </w:rPr>
          <w:t>11</w:t>
        </w:r>
      </w:hyperlink>
    </w:p>
    <w:p w14:paraId="1B1D40FA" w14:textId="77777777" w:rsidR="006B758D" w:rsidRPr="00EA2AB9" w:rsidRDefault="0023308C">
      <w:pPr>
        <w:pStyle w:val="ListParagraph"/>
        <w:numPr>
          <w:ilvl w:val="0"/>
          <w:numId w:val="18"/>
        </w:numPr>
        <w:tabs>
          <w:tab w:val="left" w:pos="1738"/>
        </w:tabs>
        <w:spacing w:before="120" w:line="360" w:lineRule="auto"/>
        <w:ind w:right="397" w:firstLine="0"/>
        <w:rPr>
          <w:i/>
          <w:sz w:val="24"/>
          <w:lang w:val="fr-FR"/>
        </w:rPr>
      </w:pPr>
      <w:r w:rsidRPr="00EA2AB9">
        <w:rPr>
          <w:sz w:val="24"/>
          <w:lang w:val="fr-FR"/>
        </w:rPr>
        <w:t>Le compte rendu de cette réunion de l'IOM préparé par le bureau de l'UPOV est intéressant à cet égard.</w:t>
      </w:r>
      <w:hyperlink w:anchor="_bookmark16" w:history="1">
        <w:r w:rsidRPr="00EA2AB9">
          <w:rPr>
            <w:sz w:val="24"/>
            <w:vertAlign w:val="superscript"/>
            <w:lang w:val="fr-FR"/>
          </w:rPr>
          <w:t>12</w:t>
        </w:r>
      </w:hyperlink>
      <w:r w:rsidRPr="00EA2AB9">
        <w:rPr>
          <w:sz w:val="24"/>
          <w:lang w:val="fr-FR"/>
        </w:rPr>
        <w:t xml:space="preserve">  De nombreuses délégations se sont déclarées satisfaites de la proposition allemande. L'Espagne a émis une réserve, tandis que les Pays-Bas et la Suède ont émis des doutes quant à la deuxième phrase, notamment à la lumière des discussions antérieures sur la portée du terme « matériel ». Dans le contexte de l'objectif de la présente étude, le passage du compte rendu est reproduit </w:t>
      </w:r>
      <w:r w:rsidRPr="00EA2AB9">
        <w:rPr>
          <w:i/>
          <w:sz w:val="24"/>
          <w:lang w:val="fr-FR"/>
        </w:rPr>
        <w:t>mot pour mot :</w:t>
      </w:r>
    </w:p>
    <w:p w14:paraId="4C52772F" w14:textId="77777777" w:rsidR="006B758D" w:rsidRPr="00EA2AB9" w:rsidRDefault="0023308C">
      <w:pPr>
        <w:pStyle w:val="BodyText"/>
        <w:spacing w:before="121" w:line="360" w:lineRule="auto"/>
        <w:ind w:left="2122" w:right="399"/>
        <w:jc w:val="both"/>
        <w:rPr>
          <w:lang w:val="fr-FR"/>
        </w:rPr>
      </w:pPr>
      <w:r w:rsidRPr="00EA2AB9">
        <w:rPr>
          <w:lang w:val="fr-FR"/>
        </w:rPr>
        <w:t>« 75. Le Vice-Secrétaire général a estimé que si le Comité s'écartait de la structure définie dans le document IOM/IV/2, il risquait de ne pas atteindre son objectif, qui était de renforcer le droit de l'obtenteur, notamment en l'adaptant aux évolutions prévisibles récentes dans le domaine technique et économique considéré.</w:t>
      </w:r>
    </w:p>
    <w:p w14:paraId="12B3210A" w14:textId="47AE754B" w:rsidR="006B758D" w:rsidRPr="00EA2AB9" w:rsidRDefault="0023308C" w:rsidP="0076224E">
      <w:pPr>
        <w:pStyle w:val="ListParagraph"/>
        <w:numPr>
          <w:ilvl w:val="0"/>
          <w:numId w:val="17"/>
        </w:numPr>
        <w:tabs>
          <w:tab w:val="left" w:pos="2506"/>
        </w:tabs>
        <w:spacing w:before="122" w:line="276" w:lineRule="auto"/>
        <w:ind w:right="403" w:firstLine="0"/>
        <w:rPr>
          <w:sz w:val="24"/>
          <w:lang w:val="fr-FR"/>
        </w:rPr>
      </w:pPr>
      <w:r w:rsidRPr="00EA2AB9">
        <w:rPr>
          <w:sz w:val="24"/>
          <w:lang w:val="fr-FR"/>
        </w:rPr>
        <w:t xml:space="preserve">Les délégations du Danemark et de la République fédérale d'Allemagne ont souligné que la proposition visait simplement à énoncer </w:t>
      </w:r>
      <w:r w:rsidR="007976EE">
        <w:rPr>
          <w:sz w:val="24"/>
          <w:lang w:val="fr-FR"/>
        </w:rPr>
        <w:t>les mêmes droits sous une forme différente.</w:t>
      </w:r>
    </w:p>
    <w:p w14:paraId="7D0743BD" w14:textId="0EC6CCBE" w:rsidR="006B758D" w:rsidRPr="0076224E" w:rsidRDefault="005C7D52" w:rsidP="0076224E">
      <w:pPr>
        <w:pStyle w:val="BodyText"/>
        <w:rPr>
          <w:sz w:val="16"/>
          <w:szCs w:val="16"/>
          <w:lang w:val="fr-FR"/>
        </w:rPr>
      </w:pPr>
      <w:r>
        <w:rPr>
          <w:noProof/>
        </w:rPr>
        <mc:AlternateContent>
          <mc:Choice Requires="wps">
            <w:drawing>
              <wp:anchor distT="0" distB="0" distL="0" distR="0" simplePos="0" relativeHeight="487590912" behindDoc="1" locked="0" layoutInCell="1" allowOverlap="1" wp14:anchorId="5C760449" wp14:editId="6C43E179">
                <wp:simplePos x="0" y="0"/>
                <wp:positionH relativeFrom="page">
                  <wp:posOffset>1080770</wp:posOffset>
                </wp:positionH>
                <wp:positionV relativeFrom="paragraph">
                  <wp:posOffset>224790</wp:posOffset>
                </wp:positionV>
                <wp:extent cx="1828800" cy="7620"/>
                <wp:effectExtent l="0" t="0" r="0" b="0"/>
                <wp:wrapTopAndBottom/>
                <wp:docPr id="100877108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0" style="position:absolute;margin-left:85.1pt;margin-top:17.7pt;width:2in;height:.6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" w14:anchorId="7C65D27C">
                <w10:wrap type="topAndBottom" anchorx="page"/>
              </v:rect>
            </w:pict>
          </mc:Fallback>
        </mc:AlternateContent>
      </w:r>
    </w:p>
    <w:p w14:paraId="1ABE91F7" w14:textId="77777777" w:rsidR="006B758D" w:rsidRPr="00EA2AB9" w:rsidRDefault="0023308C">
      <w:pPr>
        <w:spacing w:before="103"/>
        <w:ind w:left="682"/>
        <w:rPr>
          <w:sz w:val="20"/>
          <w:lang w:val="fr-FR"/>
        </w:rPr>
      </w:pPr>
      <w:bookmarkStart w:id="16" w:name="_bookmark14"/>
      <w:bookmarkEnd w:id="16"/>
      <w:proofErr w:type="gramStart"/>
      <w:r w:rsidRPr="00EA2AB9">
        <w:rPr>
          <w:sz w:val="20"/>
          <w:vertAlign w:val="superscript"/>
          <w:lang w:val="fr-FR"/>
        </w:rPr>
        <w:t>10</w:t>
      </w:r>
      <w:r w:rsidRPr="00EA2AB9">
        <w:rPr>
          <w:sz w:val="20"/>
          <w:lang w:val="fr-FR"/>
        </w:rPr>
        <w:t xml:space="preserve">  IOM</w:t>
      </w:r>
      <w:proofErr w:type="gramEnd"/>
      <w:r w:rsidRPr="00EA2AB9">
        <w:rPr>
          <w:sz w:val="20"/>
          <w:lang w:val="fr-FR"/>
        </w:rPr>
        <w:t xml:space="preserve">/IV/2, p. 10 (c'est nous qui </w:t>
      </w:r>
      <w:r w:rsidRPr="00EA2AB9">
        <w:rPr>
          <w:spacing w:val="-2"/>
          <w:sz w:val="20"/>
          <w:lang w:val="fr-FR"/>
        </w:rPr>
        <w:t>soulignons).</w:t>
      </w:r>
    </w:p>
    <w:p w14:paraId="1BF25E37" w14:textId="77777777" w:rsidR="006B758D" w:rsidRPr="00EA2AB9" w:rsidRDefault="0023308C">
      <w:pPr>
        <w:spacing w:before="1" w:line="229" w:lineRule="exact"/>
        <w:ind w:left="682"/>
        <w:rPr>
          <w:sz w:val="20"/>
          <w:lang w:val="fr-FR"/>
        </w:rPr>
      </w:pPr>
      <w:bookmarkStart w:id="17" w:name="_bookmark15"/>
      <w:bookmarkEnd w:id="17"/>
      <w:proofErr w:type="gramStart"/>
      <w:r w:rsidRPr="00EA2AB9">
        <w:rPr>
          <w:sz w:val="20"/>
          <w:vertAlign w:val="superscript"/>
          <w:lang w:val="fr-FR"/>
        </w:rPr>
        <w:t>11</w:t>
      </w:r>
      <w:r w:rsidRPr="00EA2AB9">
        <w:rPr>
          <w:sz w:val="20"/>
          <w:lang w:val="fr-FR"/>
        </w:rPr>
        <w:t xml:space="preserve">  CAJ</w:t>
      </w:r>
      <w:proofErr w:type="gramEnd"/>
      <w:r w:rsidRPr="00EA2AB9">
        <w:rPr>
          <w:sz w:val="20"/>
          <w:lang w:val="fr-FR"/>
        </w:rPr>
        <w:t xml:space="preserve">/XXV/2, ANNEXE II (c'est nous qui </w:t>
      </w:r>
      <w:r w:rsidRPr="00EA2AB9">
        <w:rPr>
          <w:spacing w:val="-2"/>
          <w:sz w:val="20"/>
          <w:lang w:val="fr-FR"/>
        </w:rPr>
        <w:t>soulignons).</w:t>
      </w:r>
    </w:p>
    <w:p w14:paraId="3C152146" w14:textId="77777777" w:rsidR="006B758D" w:rsidRPr="00EA2AB9" w:rsidRDefault="0023308C">
      <w:pPr>
        <w:spacing w:line="229" w:lineRule="exact"/>
        <w:ind w:left="682"/>
        <w:rPr>
          <w:sz w:val="20"/>
          <w:lang w:val="fr-FR"/>
        </w:rPr>
      </w:pPr>
      <w:bookmarkStart w:id="18" w:name="_bookmark16"/>
      <w:bookmarkEnd w:id="18"/>
      <w:proofErr w:type="gramStart"/>
      <w:r w:rsidRPr="00EA2AB9">
        <w:rPr>
          <w:sz w:val="20"/>
          <w:vertAlign w:val="superscript"/>
          <w:lang w:val="fr-FR"/>
        </w:rPr>
        <w:t>12</w:t>
      </w:r>
      <w:r w:rsidRPr="00EA2AB9">
        <w:rPr>
          <w:sz w:val="20"/>
          <w:lang w:val="fr-FR"/>
        </w:rPr>
        <w:t xml:space="preserve">  CAJ</w:t>
      </w:r>
      <w:proofErr w:type="gramEnd"/>
      <w:r w:rsidRPr="00EA2AB9">
        <w:rPr>
          <w:sz w:val="20"/>
          <w:lang w:val="fr-FR"/>
        </w:rPr>
        <w:t>/XXV/2, pp.</w:t>
      </w:r>
      <w:r w:rsidRPr="00EA2AB9">
        <w:rPr>
          <w:spacing w:val="-5"/>
          <w:sz w:val="20"/>
          <w:lang w:val="fr-FR"/>
        </w:rPr>
        <w:t xml:space="preserve"> 11-12.</w:t>
      </w:r>
    </w:p>
    <w:p w14:paraId="11AA443D" w14:textId="77777777" w:rsidR="006B758D" w:rsidRPr="00EA2AB9" w:rsidRDefault="006B758D">
      <w:pPr>
        <w:spacing w:line="229" w:lineRule="exact"/>
        <w:rPr>
          <w:sz w:val="20"/>
          <w:lang w:val="fr-FR"/>
        </w:rPr>
        <w:sectPr w:rsidR="006B758D" w:rsidRPr="00EA2AB9" w:rsidSect="0076224E">
          <w:footerReference w:type="default" r:id="rId13"/>
          <w:pgSz w:w="11910" w:h="16840"/>
          <w:pgMar w:top="1320" w:right="1300" w:bottom="1240" w:left="1020" w:header="0" w:footer="1049" w:gutter="0"/>
          <w:cols w:space="720"/>
        </w:sectPr>
      </w:pPr>
    </w:p>
    <w:p w14:paraId="4C08886A" w14:textId="0AD69B03" w:rsidR="006B758D" w:rsidRDefault="0023308C">
      <w:pPr>
        <w:spacing w:before="76" w:line="360" w:lineRule="auto"/>
        <w:ind w:left="2122" w:right="395"/>
        <w:jc w:val="both"/>
        <w:rPr>
          <w:sz w:val="24"/>
        </w:rPr>
      </w:pPr>
      <w:r w:rsidRPr="00EA2AB9">
        <w:rPr>
          <w:i/>
          <w:sz w:val="24"/>
          <w:lang w:val="fr-FR"/>
        </w:rPr>
        <w:lastRenderedPageBreak/>
        <w:t xml:space="preserve">La délégation de la République fédérale d'Allemagne a souligné que l'objectif était d'indiquer clairement que le titulaire du droit ne pouvait l'exercer qu'une seule fois et ne pouvait percevoir des redevances qu'une seule fois, et qu'il devait le faire au stade le plus précoce possible. </w:t>
      </w:r>
      <w:r w:rsidRPr="00EA2AB9">
        <w:rPr>
          <w:sz w:val="24"/>
          <w:lang w:val="fr-FR"/>
        </w:rPr>
        <w:t>À son avis, il n'avait jamais été question de laisser le choix du stade au titulaire – si le texte proposé dans le document IOM/IV/2 donnait cette impression, il fallait impérativement le modifier.</w:t>
      </w:r>
      <w:hyperlink w:anchor="_bookmark17" w:history="1">
        <w:r>
          <w:rPr>
            <w:sz w:val="24"/>
            <w:vertAlign w:val="superscript"/>
          </w:rPr>
          <w:t>13</w:t>
        </w:r>
      </w:hyperlink>
    </w:p>
    <w:p w14:paraId="7E662372" w14:textId="77777777" w:rsidR="006B758D" w:rsidRPr="005D00F1" w:rsidRDefault="0023308C">
      <w:pPr>
        <w:pStyle w:val="ListParagraph"/>
        <w:numPr>
          <w:ilvl w:val="0"/>
          <w:numId w:val="17"/>
        </w:numPr>
        <w:tabs>
          <w:tab w:val="left" w:pos="2485"/>
        </w:tabs>
        <w:spacing w:before="122" w:line="360" w:lineRule="auto"/>
        <w:ind w:right="397" w:firstLine="0"/>
        <w:rPr>
          <w:sz w:val="24"/>
          <w:lang w:val="fr-FR"/>
        </w:rPr>
      </w:pPr>
      <w:r w:rsidRPr="00EA2AB9">
        <w:rPr>
          <w:sz w:val="24"/>
          <w:lang w:val="fr-FR"/>
        </w:rPr>
        <w:t xml:space="preserve">La délégation française craignait que le titulaire d'un droit ne puisse l'exercer à l'égard du produit de la récolte importé, tel que les fleurs coupées, car le droit d'interdire ces importations n'était pas prévu. La délégation de la République fédérale d'Allemagne a répondu que ce droit devait être prévu et que le libellé du texte proposé devait être réexaminé et amélioré, par exemple en précisant les motifs pour lesquels l'exercice du droit a été empêché. » </w:t>
      </w:r>
      <w:hyperlink w:anchor="_bookmark18" w:history="1">
        <w:r w:rsidRPr="005D00F1">
          <w:rPr>
            <w:sz w:val="24"/>
            <w:vertAlign w:val="superscript"/>
            <w:lang w:val="fr-FR"/>
          </w:rPr>
          <w:t>14</w:t>
        </w:r>
      </w:hyperlink>
    </w:p>
    <w:p w14:paraId="2F6ABD8F" w14:textId="6605709E" w:rsidR="006B758D" w:rsidRPr="00EA2AB9" w:rsidRDefault="0023308C">
      <w:pPr>
        <w:pStyle w:val="ListParagraph"/>
        <w:numPr>
          <w:ilvl w:val="0"/>
          <w:numId w:val="18"/>
        </w:numPr>
        <w:tabs>
          <w:tab w:val="left" w:pos="1729"/>
        </w:tabs>
        <w:spacing w:before="120" w:line="360" w:lineRule="auto"/>
        <w:ind w:right="399" w:firstLine="0"/>
        <w:rPr>
          <w:sz w:val="24"/>
          <w:lang w:val="fr-FR"/>
        </w:rPr>
      </w:pPr>
      <w:r w:rsidRPr="00EA2AB9">
        <w:rPr>
          <w:sz w:val="24"/>
          <w:lang w:val="fr-FR"/>
        </w:rPr>
        <w:t>La</w:t>
      </w:r>
      <w:r w:rsidR="007976EE">
        <w:rPr>
          <w:sz w:val="24"/>
          <w:lang w:val="fr-FR"/>
        </w:rPr>
        <w:t xml:space="preserve"> </w:t>
      </w:r>
      <w:r w:rsidRPr="00EA2AB9">
        <w:rPr>
          <w:sz w:val="24"/>
          <w:vertAlign w:val="superscript"/>
          <w:lang w:val="fr-FR"/>
        </w:rPr>
        <w:t>27e</w:t>
      </w:r>
      <w:r w:rsidRPr="00EA2AB9">
        <w:rPr>
          <w:sz w:val="24"/>
          <w:lang w:val="fr-FR"/>
        </w:rPr>
        <w:t>session du CAJ, qui s'est tenue du 25 au 29 juin 1990, a examiné le projet d'Acte de révision de l'UPOV de 1991. L'article 14 : « Effets du droit d'obtenteur », qui était libellé comme suit :</w:t>
      </w:r>
    </w:p>
    <w:p w14:paraId="2CF6D537" w14:textId="77777777" w:rsidR="006B758D" w:rsidRPr="00EA2AB9" w:rsidRDefault="0023308C">
      <w:pPr>
        <w:pStyle w:val="BodyText"/>
        <w:spacing w:before="122" w:line="360" w:lineRule="auto"/>
        <w:ind w:left="2122" w:right="400"/>
        <w:jc w:val="both"/>
        <w:rPr>
          <w:lang w:val="fr-FR"/>
        </w:rPr>
      </w:pPr>
      <w:r w:rsidRPr="00EA2AB9">
        <w:rPr>
          <w:lang w:val="fr-FR"/>
        </w:rPr>
        <w:t xml:space="preserve">« (1) Le droit d'obtenteur confère à son titulaire le droit d'empêcher toute personne n'ayant pas son </w:t>
      </w:r>
      <w:r w:rsidRPr="00EA2AB9">
        <w:rPr>
          <w:b/>
          <w:lang w:val="fr-FR"/>
        </w:rPr>
        <w:t xml:space="preserve">consentement </w:t>
      </w:r>
      <w:r w:rsidRPr="00EA2AB9">
        <w:rPr>
          <w:lang w:val="fr-FR"/>
        </w:rPr>
        <w:t>[d'exploiter la variété et</w:t>
      </w:r>
      <w:r w:rsidRPr="00EA2AB9">
        <w:rPr>
          <w:spacing w:val="-2"/>
          <w:lang w:val="fr-FR"/>
        </w:rPr>
        <w:t>,</w:t>
      </w:r>
      <w:r w:rsidRPr="00EA2AB9">
        <w:rPr>
          <w:lang w:val="fr-FR"/>
        </w:rPr>
        <w:t xml:space="preserve"> en </w:t>
      </w:r>
      <w:r w:rsidRPr="00EA2AB9">
        <w:rPr>
          <w:spacing w:val="-2"/>
          <w:lang w:val="fr-FR"/>
        </w:rPr>
        <w:t>particulier,]</w:t>
      </w:r>
    </w:p>
    <w:p w14:paraId="145E76A6" w14:textId="77777777" w:rsidR="006B758D" w:rsidRPr="00EA2AB9" w:rsidRDefault="0023308C">
      <w:pPr>
        <w:pStyle w:val="ListParagraph"/>
        <w:numPr>
          <w:ilvl w:val="1"/>
          <w:numId w:val="18"/>
        </w:numPr>
        <w:tabs>
          <w:tab w:val="left" w:pos="2456"/>
        </w:tabs>
        <w:spacing w:before="119" w:line="360" w:lineRule="auto"/>
        <w:ind w:left="2122" w:right="399" w:firstLine="0"/>
        <w:rPr>
          <w:sz w:val="24"/>
          <w:lang w:val="fr-FR"/>
        </w:rPr>
      </w:pPr>
      <w:proofErr w:type="gramStart"/>
      <w:r w:rsidRPr="00EA2AB9">
        <w:rPr>
          <w:sz w:val="24"/>
          <w:lang w:val="fr-FR"/>
        </w:rPr>
        <w:t>de</w:t>
      </w:r>
      <w:proofErr w:type="gramEnd"/>
      <w:r w:rsidRPr="00EA2AB9">
        <w:rPr>
          <w:sz w:val="24"/>
          <w:lang w:val="fr-FR"/>
        </w:rPr>
        <w:t xml:space="preserve"> reproduire ou de multiplier la variété, ou de conditionner du matériel de reproduction ou de multiplication de la variété,</w:t>
      </w:r>
    </w:p>
    <w:p w14:paraId="06FA85B7" w14:textId="77777777" w:rsidR="006B758D" w:rsidRPr="00EA2AB9" w:rsidRDefault="0023308C">
      <w:pPr>
        <w:pStyle w:val="ListParagraph"/>
        <w:numPr>
          <w:ilvl w:val="1"/>
          <w:numId w:val="18"/>
        </w:numPr>
        <w:tabs>
          <w:tab w:val="left" w:pos="2487"/>
        </w:tabs>
        <w:spacing w:before="120" w:line="360" w:lineRule="auto"/>
        <w:ind w:left="2122" w:right="402" w:firstLine="0"/>
        <w:rPr>
          <w:sz w:val="24"/>
          <w:lang w:val="fr-FR"/>
        </w:rPr>
      </w:pPr>
      <w:proofErr w:type="gramStart"/>
      <w:r w:rsidRPr="00EA2AB9">
        <w:rPr>
          <w:sz w:val="24"/>
          <w:lang w:val="fr-FR"/>
        </w:rPr>
        <w:t>de</w:t>
      </w:r>
      <w:proofErr w:type="gramEnd"/>
      <w:r w:rsidRPr="00EA2AB9">
        <w:rPr>
          <w:sz w:val="24"/>
          <w:lang w:val="fr-FR"/>
        </w:rPr>
        <w:t xml:space="preserve"> mettre en vente, de commercialiser ou d'utiliser du matériel de la </w:t>
      </w:r>
      <w:r w:rsidRPr="00EA2AB9">
        <w:rPr>
          <w:spacing w:val="-2"/>
          <w:sz w:val="24"/>
          <w:lang w:val="fr-FR"/>
        </w:rPr>
        <w:t>variété,</w:t>
      </w:r>
    </w:p>
    <w:p w14:paraId="53E874ED" w14:textId="77777777" w:rsidR="006B758D" w:rsidRPr="00EA2AB9" w:rsidRDefault="0023308C">
      <w:pPr>
        <w:pStyle w:val="ListParagraph"/>
        <w:numPr>
          <w:ilvl w:val="1"/>
          <w:numId w:val="18"/>
        </w:numPr>
        <w:tabs>
          <w:tab w:val="left" w:pos="2542"/>
        </w:tabs>
        <w:spacing w:before="120"/>
        <w:ind w:left="2542" w:hanging="420"/>
        <w:rPr>
          <w:sz w:val="24"/>
          <w:lang w:val="fr-FR"/>
        </w:rPr>
      </w:pPr>
      <w:proofErr w:type="gramStart"/>
      <w:r w:rsidRPr="00EA2AB9">
        <w:rPr>
          <w:sz w:val="24"/>
          <w:lang w:val="fr-FR"/>
        </w:rPr>
        <w:t>d'exporter</w:t>
      </w:r>
      <w:proofErr w:type="gramEnd"/>
      <w:r w:rsidRPr="00EA2AB9">
        <w:rPr>
          <w:sz w:val="24"/>
          <w:lang w:val="fr-FR"/>
        </w:rPr>
        <w:t xml:space="preserve"> du matériel de la </w:t>
      </w:r>
      <w:r w:rsidRPr="00EA2AB9">
        <w:rPr>
          <w:spacing w:val="-2"/>
          <w:sz w:val="24"/>
          <w:lang w:val="fr-FR"/>
        </w:rPr>
        <w:t>variété,</w:t>
      </w:r>
    </w:p>
    <w:p w14:paraId="17DA91D3" w14:textId="77777777" w:rsidR="006B758D" w:rsidRPr="00EA2AB9" w:rsidRDefault="006B758D">
      <w:pPr>
        <w:pStyle w:val="BodyText"/>
        <w:spacing w:before="6"/>
        <w:rPr>
          <w:sz w:val="22"/>
          <w:lang w:val="fr-FR"/>
        </w:rPr>
      </w:pPr>
    </w:p>
    <w:p w14:paraId="56B27321" w14:textId="32058CBA" w:rsidR="006B758D" w:rsidRPr="007976EE" w:rsidRDefault="0023308C" w:rsidP="007976EE">
      <w:pPr>
        <w:pStyle w:val="ListParagraph"/>
        <w:numPr>
          <w:ilvl w:val="1"/>
          <w:numId w:val="18"/>
        </w:numPr>
        <w:tabs>
          <w:tab w:val="left" w:pos="2523"/>
        </w:tabs>
        <w:spacing w:before="136"/>
        <w:ind w:left="2122" w:hanging="401"/>
        <w:rPr>
          <w:lang w:val="fr-FR"/>
        </w:rPr>
      </w:pPr>
      <w:proofErr w:type="gramStart"/>
      <w:r w:rsidRPr="007976EE">
        <w:rPr>
          <w:sz w:val="24"/>
          <w:lang w:val="fr-FR"/>
        </w:rPr>
        <w:t>d'importer</w:t>
      </w:r>
      <w:proofErr w:type="gramEnd"/>
      <w:r w:rsidRPr="007976EE">
        <w:rPr>
          <w:sz w:val="24"/>
          <w:lang w:val="fr-FR"/>
        </w:rPr>
        <w:t xml:space="preserve"> ou de stocker du matériel de la variété à l'une des fins </w:t>
      </w:r>
      <w:r w:rsidRPr="007976EE">
        <w:rPr>
          <w:spacing w:val="-2"/>
          <w:sz w:val="24"/>
          <w:lang w:val="fr-FR"/>
        </w:rPr>
        <w:t>susmentionnées</w:t>
      </w:r>
      <w:r w:rsidRPr="007976EE">
        <w:rPr>
          <w:lang w:val="fr-FR"/>
        </w:rPr>
        <w:t xml:space="preserve"> </w:t>
      </w:r>
      <w:r w:rsidRPr="007976EE">
        <w:rPr>
          <w:spacing w:val="-2"/>
          <w:lang w:val="fr-FR"/>
        </w:rPr>
        <w:t>ci-dessus. »</w:t>
      </w:r>
      <w:hyperlink w:anchor="_bookmark19" w:history="1">
        <w:r w:rsidRPr="007976EE">
          <w:rPr>
            <w:spacing w:val="-2"/>
            <w:vertAlign w:val="superscript"/>
            <w:lang w:val="fr-FR"/>
          </w:rPr>
          <w:t>15</w:t>
        </w:r>
      </w:hyperlink>
    </w:p>
    <w:p w14:paraId="16F7B047" w14:textId="77777777" w:rsidR="006B758D" w:rsidRPr="00EA2AB9" w:rsidRDefault="006B758D">
      <w:pPr>
        <w:pStyle w:val="BodyText"/>
        <w:spacing w:before="6"/>
        <w:rPr>
          <w:sz w:val="22"/>
          <w:lang w:val="fr-FR"/>
        </w:rPr>
      </w:pPr>
    </w:p>
    <w:p w14:paraId="389BD96E" w14:textId="12DC3972" w:rsidR="006B758D" w:rsidRPr="007976EE" w:rsidRDefault="0023308C" w:rsidP="007976EE">
      <w:pPr>
        <w:pStyle w:val="BodyText"/>
        <w:spacing w:before="1"/>
        <w:ind w:left="1402"/>
        <w:rPr>
          <w:lang w:val="fr-FR"/>
        </w:rPr>
      </w:pPr>
      <w:r w:rsidRPr="00EA2AB9">
        <w:rPr>
          <w:lang w:val="fr-FR"/>
        </w:rPr>
        <w:t xml:space="preserve">En ce qui concerne les définitions proposées pour l'Acte de 1991 de l'UPOV, le projet à </w:t>
      </w:r>
      <w:r w:rsidRPr="00EA2AB9">
        <w:rPr>
          <w:spacing w:val="-2"/>
          <w:lang w:val="fr-FR"/>
        </w:rPr>
        <w:t>l'article</w:t>
      </w:r>
      <w:r w:rsidR="007976EE">
        <w:rPr>
          <w:spacing w:val="-2"/>
          <w:lang w:val="fr-FR"/>
        </w:rPr>
        <w:t xml:space="preserve"> </w:t>
      </w:r>
      <w:r w:rsidRPr="00EA2AB9">
        <w:rPr>
          <w:lang w:val="fr-FR"/>
        </w:rPr>
        <w:t xml:space="preserve">1 (x) définit le terme « matériel d'une variété » comme désignant </w:t>
      </w:r>
      <w:r w:rsidR="007976EE" w:rsidRPr="007976EE">
        <w:rPr>
          <w:lang w:val="fr-FR"/>
        </w:rPr>
        <w:t>tout type de matériel de reproduction ou de multiplication végétative</w:t>
      </w:r>
      <w:r w:rsidR="007976EE">
        <w:rPr>
          <w:lang w:val="fr-FR"/>
        </w:rPr>
        <w:t>, produit de</w:t>
      </w:r>
    </w:p>
    <w:p w14:paraId="0502D5F2" w14:textId="77777777" w:rsidR="007976EE" w:rsidRDefault="007976EE">
      <w:pPr>
        <w:pStyle w:val="BodyText"/>
        <w:spacing w:before="4"/>
        <w:rPr>
          <w:sz w:val="10"/>
          <w:lang w:val="fr-FR"/>
        </w:rPr>
      </w:pPr>
    </w:p>
    <w:p w14:paraId="4DF119CA" w14:textId="06123EE0" w:rsidR="006B758D" w:rsidRPr="00EA2AB9" w:rsidRDefault="005C7D52">
      <w:pPr>
        <w:pStyle w:val="BodyText"/>
        <w:spacing w:before="4"/>
        <w:rPr>
          <w:sz w:val="10"/>
          <w:lang w:val="fr-FR"/>
        </w:rPr>
      </w:pPr>
      <w:r>
        <w:rPr>
          <w:noProof/>
        </w:rPr>
        <mc:AlternateContent>
          <mc:Choice Requires="wps">
            <w:drawing>
              <wp:anchor distT="0" distB="0" distL="0" distR="0" simplePos="0" relativeHeight="487591424" behindDoc="1" locked="0" layoutInCell="1" allowOverlap="1" wp14:anchorId="368F3990" wp14:editId="032DD0DA">
                <wp:simplePos x="0" y="0"/>
                <wp:positionH relativeFrom="page">
                  <wp:posOffset>1080770</wp:posOffset>
                </wp:positionH>
                <wp:positionV relativeFrom="paragraph">
                  <wp:posOffset>91440</wp:posOffset>
                </wp:positionV>
                <wp:extent cx="1828800" cy="7620"/>
                <wp:effectExtent l="0" t="0" r="0" b="0"/>
                <wp:wrapTopAndBottom/>
                <wp:docPr id="44328805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1" style="position:absolute;margin-left:85.1pt;margin-top:7.2pt;width:2in;height:.6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" w14:anchorId="20720CCE">
                <w10:wrap type="topAndBottom" anchorx="page"/>
              </v:rect>
            </w:pict>
          </mc:Fallback>
        </mc:AlternateContent>
      </w:r>
    </w:p>
    <w:p w14:paraId="35774981" w14:textId="77777777" w:rsidR="006B758D" w:rsidRPr="00EA2AB9" w:rsidRDefault="0023308C">
      <w:pPr>
        <w:spacing w:before="103"/>
        <w:ind w:left="682"/>
        <w:rPr>
          <w:sz w:val="20"/>
          <w:lang w:val="fr-FR"/>
        </w:rPr>
      </w:pPr>
      <w:proofErr w:type="gramStart"/>
      <w:r w:rsidRPr="00EA2AB9">
        <w:rPr>
          <w:sz w:val="20"/>
          <w:vertAlign w:val="superscript"/>
          <w:lang w:val="fr-FR"/>
        </w:rPr>
        <w:t>13</w:t>
      </w:r>
      <w:r w:rsidRPr="00EA2AB9">
        <w:rPr>
          <w:sz w:val="20"/>
          <w:lang w:val="fr-FR"/>
        </w:rPr>
        <w:t xml:space="preserve">  Ibid.</w:t>
      </w:r>
      <w:proofErr w:type="gramEnd"/>
      <w:r w:rsidRPr="00EA2AB9">
        <w:rPr>
          <w:sz w:val="20"/>
          <w:lang w:val="fr-FR"/>
        </w:rPr>
        <w:t xml:space="preserve">, p. 12 (c'est nous qui </w:t>
      </w:r>
      <w:r w:rsidRPr="00EA2AB9">
        <w:rPr>
          <w:spacing w:val="-2"/>
          <w:sz w:val="20"/>
          <w:lang w:val="fr-FR"/>
        </w:rPr>
        <w:t>soulignons).</w:t>
      </w:r>
    </w:p>
    <w:p w14:paraId="3C4B9BA7" w14:textId="77777777" w:rsidR="006B758D" w:rsidRPr="00EA2AB9" w:rsidRDefault="0023308C">
      <w:pPr>
        <w:spacing w:before="1" w:line="229" w:lineRule="exact"/>
        <w:ind w:left="682"/>
        <w:rPr>
          <w:sz w:val="20"/>
          <w:lang w:val="fr-FR"/>
        </w:rPr>
      </w:pPr>
      <w:bookmarkStart w:id="19" w:name="_bookmark18"/>
      <w:bookmarkEnd w:id="19"/>
      <w:proofErr w:type="gramStart"/>
      <w:r w:rsidRPr="00EA2AB9">
        <w:rPr>
          <w:sz w:val="20"/>
          <w:vertAlign w:val="superscript"/>
          <w:lang w:val="fr-FR"/>
        </w:rPr>
        <w:t>14</w:t>
      </w:r>
      <w:r w:rsidRPr="00EA2AB9">
        <w:rPr>
          <w:sz w:val="20"/>
          <w:lang w:val="fr-FR"/>
        </w:rPr>
        <w:t xml:space="preserve">  Ibid.</w:t>
      </w:r>
      <w:proofErr w:type="gramEnd"/>
      <w:r w:rsidRPr="00EA2AB9">
        <w:rPr>
          <w:sz w:val="20"/>
          <w:lang w:val="fr-FR"/>
        </w:rPr>
        <w:t xml:space="preserve">, </w:t>
      </w:r>
      <w:r w:rsidRPr="00EA2AB9">
        <w:rPr>
          <w:spacing w:val="-2"/>
          <w:sz w:val="20"/>
          <w:lang w:val="fr-FR"/>
        </w:rPr>
        <w:t>p. 12.</w:t>
      </w:r>
    </w:p>
    <w:p w14:paraId="3B9F1B94" w14:textId="77777777" w:rsidR="006B758D" w:rsidRPr="00EA2AB9" w:rsidRDefault="0023308C">
      <w:pPr>
        <w:spacing w:line="229" w:lineRule="exact"/>
        <w:ind w:left="682"/>
        <w:rPr>
          <w:sz w:val="20"/>
          <w:lang w:val="fr-FR"/>
        </w:rPr>
      </w:pPr>
      <w:bookmarkStart w:id="20" w:name="_bookmark19"/>
      <w:bookmarkEnd w:id="20"/>
      <w:proofErr w:type="gramStart"/>
      <w:r w:rsidRPr="00EA2AB9">
        <w:rPr>
          <w:sz w:val="20"/>
          <w:vertAlign w:val="superscript"/>
          <w:lang w:val="fr-FR"/>
        </w:rPr>
        <w:t>15</w:t>
      </w:r>
      <w:r w:rsidRPr="00EA2AB9">
        <w:rPr>
          <w:sz w:val="20"/>
          <w:lang w:val="fr-FR"/>
        </w:rPr>
        <w:t xml:space="preserve">  CAJ</w:t>
      </w:r>
      <w:proofErr w:type="gramEnd"/>
      <w:r w:rsidRPr="00EA2AB9">
        <w:rPr>
          <w:sz w:val="20"/>
          <w:lang w:val="fr-FR"/>
        </w:rPr>
        <w:t xml:space="preserve">/27/2, </w:t>
      </w:r>
      <w:r w:rsidRPr="00EA2AB9">
        <w:rPr>
          <w:spacing w:val="-2"/>
          <w:sz w:val="20"/>
          <w:lang w:val="fr-FR"/>
        </w:rPr>
        <w:t>p. 51.</w:t>
      </w:r>
    </w:p>
    <w:p w14:paraId="61F1C24C" w14:textId="77777777" w:rsidR="006B758D" w:rsidRPr="00EA2AB9" w:rsidRDefault="006B758D">
      <w:pPr>
        <w:spacing w:line="229" w:lineRule="exact"/>
        <w:rPr>
          <w:sz w:val="20"/>
          <w:lang w:val="fr-FR"/>
        </w:rPr>
        <w:sectPr w:rsidR="006B758D" w:rsidRPr="00EA2AB9">
          <w:pgSz w:w="11910" w:h="16840"/>
          <w:pgMar w:top="1320" w:right="1300" w:bottom="1240" w:left="1020" w:header="0" w:footer="1049" w:gutter="0"/>
          <w:cols w:space="720"/>
        </w:sectPr>
      </w:pPr>
    </w:p>
    <w:p w14:paraId="12B7CD08" w14:textId="6F10F1E4" w:rsidR="006B758D" w:rsidRDefault="0023308C">
      <w:pPr>
        <w:pStyle w:val="BodyText"/>
        <w:spacing w:before="76" w:line="362" w:lineRule="auto"/>
        <w:ind w:left="1402" w:right="403"/>
        <w:jc w:val="both"/>
      </w:pPr>
      <w:proofErr w:type="gramStart"/>
      <w:r w:rsidRPr="00EA2AB9">
        <w:rPr>
          <w:lang w:val="fr-FR"/>
        </w:rPr>
        <w:lastRenderedPageBreak/>
        <w:t>la</w:t>
      </w:r>
      <w:proofErr w:type="gramEnd"/>
      <w:r w:rsidRPr="00EA2AB9">
        <w:rPr>
          <w:lang w:val="fr-FR"/>
        </w:rPr>
        <w:t xml:space="preserve"> </w:t>
      </w:r>
      <w:proofErr w:type="gramStart"/>
      <w:r w:rsidRPr="00EA2AB9">
        <w:rPr>
          <w:lang w:val="fr-FR"/>
        </w:rPr>
        <w:t>récolte;</w:t>
      </w:r>
      <w:proofErr w:type="gramEnd"/>
      <w:r w:rsidRPr="00EA2AB9">
        <w:rPr>
          <w:lang w:val="fr-FR"/>
        </w:rPr>
        <w:t xml:space="preserve"> [le produit obtenu directement à partir du produit de la récolte].</w:t>
      </w:r>
      <w:hyperlink w:anchor="_bookmark20" w:history="1">
        <w:r>
          <w:rPr>
            <w:vertAlign w:val="superscript"/>
          </w:rPr>
          <w:t>16</w:t>
        </w:r>
      </w:hyperlink>
    </w:p>
    <w:p w14:paraId="30416334" w14:textId="77777777" w:rsidR="006B758D" w:rsidRPr="00EA2AB9" w:rsidRDefault="0023308C">
      <w:pPr>
        <w:pStyle w:val="ListParagraph"/>
        <w:numPr>
          <w:ilvl w:val="0"/>
          <w:numId w:val="18"/>
        </w:numPr>
        <w:tabs>
          <w:tab w:val="left" w:pos="1743"/>
        </w:tabs>
        <w:spacing w:before="115" w:line="360" w:lineRule="auto"/>
        <w:ind w:right="395" w:firstLine="0"/>
        <w:rPr>
          <w:sz w:val="24"/>
          <w:lang w:val="fr-FR"/>
        </w:rPr>
      </w:pPr>
      <w:r w:rsidRPr="00EA2AB9">
        <w:rPr>
          <w:sz w:val="24"/>
          <w:lang w:val="fr-FR"/>
        </w:rPr>
        <w:t>Les passages suivants, tirés du compte rendu du Bureau de l'UPOV sur la</w:t>
      </w:r>
      <w:r w:rsidRPr="00EA2AB9">
        <w:rPr>
          <w:sz w:val="24"/>
          <w:vertAlign w:val="superscript"/>
          <w:lang w:val="fr-FR"/>
        </w:rPr>
        <w:t>27e</w:t>
      </w:r>
      <w:r w:rsidRPr="00EA2AB9">
        <w:rPr>
          <w:sz w:val="24"/>
          <w:lang w:val="fr-FR"/>
        </w:rPr>
        <w:t>session du CAJ</w:t>
      </w:r>
      <w:hyperlink w:anchor="_bookmark21" w:history="1">
        <w:r w:rsidRPr="00EA2AB9">
          <w:rPr>
            <w:sz w:val="24"/>
            <w:vertAlign w:val="superscript"/>
            <w:lang w:val="fr-FR"/>
          </w:rPr>
          <w:t>17</w:t>
        </w:r>
      </w:hyperlink>
      <w:r w:rsidRPr="00EA2AB9">
        <w:rPr>
          <w:sz w:val="24"/>
          <w:vertAlign w:val="superscript"/>
          <w:lang w:val="fr-FR"/>
        </w:rPr>
        <w:t>,</w:t>
      </w:r>
      <w:r w:rsidRPr="00EA2AB9">
        <w:rPr>
          <w:sz w:val="24"/>
          <w:lang w:val="fr-FR"/>
        </w:rPr>
        <w:t>sont intéressants et sont reproduits ci-dessous :</w:t>
      </w:r>
    </w:p>
    <w:p w14:paraId="57879DAD" w14:textId="77777777" w:rsidR="006B758D" w:rsidRPr="00EA2AB9" w:rsidRDefault="0023308C">
      <w:pPr>
        <w:pStyle w:val="BodyText"/>
        <w:spacing w:before="120" w:line="360" w:lineRule="auto"/>
        <w:ind w:left="2122" w:right="397"/>
        <w:jc w:val="both"/>
        <w:rPr>
          <w:lang w:val="fr-FR"/>
        </w:rPr>
      </w:pPr>
      <w:r w:rsidRPr="00EA2AB9">
        <w:rPr>
          <w:lang w:val="fr-FR"/>
        </w:rPr>
        <w:t>« 69. Au cours du premier échange de vues, plusieurs délégations ont souligné les difficultés que l'extension des droits accordés à l'obtenteur entraînerait pour les pays.</w:t>
      </w:r>
    </w:p>
    <w:p w14:paraId="08B8E33F" w14:textId="77777777" w:rsidR="006B758D" w:rsidRPr="00EA2AB9" w:rsidRDefault="0023308C">
      <w:pPr>
        <w:pStyle w:val="ListParagraph"/>
        <w:numPr>
          <w:ilvl w:val="0"/>
          <w:numId w:val="16"/>
        </w:numPr>
        <w:tabs>
          <w:tab w:val="left" w:pos="2482"/>
        </w:tabs>
        <w:spacing w:before="122"/>
        <w:rPr>
          <w:sz w:val="24"/>
          <w:lang w:val="fr-FR"/>
        </w:rPr>
      </w:pPr>
      <w:r w:rsidRPr="00EA2AB9">
        <w:rPr>
          <w:sz w:val="24"/>
          <w:lang w:val="fr-FR"/>
        </w:rPr>
        <w:t xml:space="preserve">Les principales difficultés mentionnées </w:t>
      </w:r>
      <w:r w:rsidRPr="00EA2AB9">
        <w:rPr>
          <w:spacing w:val="-2"/>
          <w:sz w:val="24"/>
          <w:lang w:val="fr-FR"/>
        </w:rPr>
        <w:t>concernaient :</w:t>
      </w:r>
    </w:p>
    <w:p w14:paraId="37F2A2DB" w14:textId="77777777" w:rsidR="006B758D" w:rsidRPr="00EA2AB9" w:rsidRDefault="006B758D">
      <w:pPr>
        <w:pStyle w:val="BodyText"/>
        <w:spacing w:before="4"/>
        <w:rPr>
          <w:sz w:val="22"/>
          <w:lang w:val="fr-FR"/>
        </w:rPr>
      </w:pPr>
    </w:p>
    <w:p w14:paraId="725E8386" w14:textId="77777777" w:rsidR="006B758D" w:rsidRPr="00EA2AB9" w:rsidRDefault="0023308C">
      <w:pPr>
        <w:pStyle w:val="ListParagraph"/>
        <w:numPr>
          <w:ilvl w:val="1"/>
          <w:numId w:val="16"/>
        </w:numPr>
        <w:tabs>
          <w:tab w:val="left" w:pos="3138"/>
        </w:tabs>
        <w:spacing w:line="360" w:lineRule="auto"/>
        <w:ind w:right="396" w:firstLine="0"/>
        <w:rPr>
          <w:sz w:val="24"/>
          <w:lang w:val="fr-FR"/>
        </w:rPr>
      </w:pPr>
      <w:r w:rsidRPr="00EA2AB9">
        <w:rPr>
          <w:sz w:val="24"/>
          <w:lang w:val="fr-FR"/>
        </w:rPr>
        <w:t xml:space="preserve">Le fait, selon certaines délégations, que le texte n'indiquait pas clairement </w:t>
      </w:r>
      <w:r w:rsidRPr="00EA2AB9">
        <w:rPr>
          <w:i/>
          <w:sz w:val="24"/>
          <w:lang w:val="fr-FR"/>
        </w:rPr>
        <w:t xml:space="preserve">que l'obtenteur devait « exercer ses droits » et percevoir des redevances dès la première étape d'exploitation </w:t>
      </w:r>
      <w:r w:rsidRPr="00EA2AB9">
        <w:rPr>
          <w:b/>
          <w:sz w:val="24"/>
          <w:lang w:val="fr-FR"/>
        </w:rPr>
        <w:t xml:space="preserve">possible </w:t>
      </w:r>
      <w:r w:rsidRPr="00EA2AB9">
        <w:rPr>
          <w:sz w:val="24"/>
          <w:lang w:val="fr-FR"/>
        </w:rPr>
        <w:t>: ces délégations souhaitaient une « hiérarchie » des droits.</w:t>
      </w:r>
    </w:p>
    <w:p w14:paraId="2EE88EF6" w14:textId="77777777" w:rsidR="006B758D" w:rsidRPr="00EA2AB9" w:rsidRDefault="0023308C">
      <w:pPr>
        <w:pStyle w:val="ListParagraph"/>
        <w:numPr>
          <w:ilvl w:val="0"/>
          <w:numId w:val="16"/>
        </w:numPr>
        <w:tabs>
          <w:tab w:val="left" w:pos="2480"/>
        </w:tabs>
        <w:spacing w:before="120" w:line="360" w:lineRule="auto"/>
        <w:ind w:left="2122" w:right="398" w:firstLine="0"/>
        <w:rPr>
          <w:sz w:val="24"/>
          <w:lang w:val="fr-FR"/>
        </w:rPr>
      </w:pPr>
      <w:r w:rsidRPr="00EA2AB9">
        <w:rPr>
          <w:sz w:val="24"/>
          <w:lang w:val="fr-FR"/>
        </w:rPr>
        <w:t>Afin de lever la première difficulté, les délégations de la République fédérale d'Allemagne et de la Suisse ont chacune présenté une proposition écrite pour un nouveau texte. Sur la base des discussions relatives à ces deux propositions, le Bureau de l'Union a ensuite présenté une nouvelle proposition rédigée comme suit :</w:t>
      </w:r>
    </w:p>
    <w:p w14:paraId="2AC140C5" w14:textId="77777777" w:rsidR="006B758D" w:rsidRPr="00EA2AB9" w:rsidRDefault="0023308C">
      <w:pPr>
        <w:pStyle w:val="BodyText"/>
        <w:spacing w:before="121"/>
        <w:ind w:left="2482"/>
        <w:jc w:val="both"/>
        <w:rPr>
          <w:lang w:val="fr-FR"/>
        </w:rPr>
      </w:pPr>
      <w:r w:rsidRPr="00EA2AB9">
        <w:rPr>
          <w:lang w:val="fr-FR"/>
        </w:rPr>
        <w:t xml:space="preserve">« (1) Sous réserve des paragraphes (3) et (4), les actes suivants </w:t>
      </w:r>
      <w:r w:rsidRPr="00EA2AB9">
        <w:rPr>
          <w:spacing w:val="-2"/>
          <w:lang w:val="fr-FR"/>
        </w:rPr>
        <w:t>nécessitent l'</w:t>
      </w:r>
    </w:p>
    <w:p w14:paraId="52DE9165" w14:textId="77777777" w:rsidR="006B758D" w:rsidRDefault="0023308C">
      <w:pPr>
        <w:spacing w:before="139"/>
        <w:ind w:left="2482"/>
        <w:jc w:val="both"/>
        <w:rPr>
          <w:sz w:val="24"/>
        </w:rPr>
      </w:pPr>
      <w:proofErr w:type="spellStart"/>
      <w:r>
        <w:rPr>
          <w:b/>
          <w:sz w:val="24"/>
        </w:rPr>
        <w:t>l'autorisation</w:t>
      </w:r>
      <w:proofErr w:type="spellEnd"/>
      <w:r>
        <w:rPr>
          <w:b/>
          <w:sz w:val="24"/>
        </w:rPr>
        <w:t xml:space="preserve"> </w:t>
      </w:r>
      <w:r>
        <w:rPr>
          <w:sz w:val="24"/>
        </w:rPr>
        <w:t xml:space="preserve">de </w:t>
      </w:r>
      <w:proofErr w:type="spellStart"/>
      <w:proofErr w:type="gramStart"/>
      <w:r>
        <w:rPr>
          <w:sz w:val="24"/>
        </w:rPr>
        <w:t>l'</w:t>
      </w:r>
      <w:r>
        <w:rPr>
          <w:spacing w:val="-2"/>
          <w:sz w:val="24"/>
        </w:rPr>
        <w:t>obtenteur</w:t>
      </w:r>
      <w:proofErr w:type="spellEnd"/>
      <w:r>
        <w:rPr>
          <w:spacing w:val="-2"/>
          <w:sz w:val="24"/>
        </w:rPr>
        <w:t xml:space="preserve"> :</w:t>
      </w:r>
      <w:proofErr w:type="gramEnd"/>
    </w:p>
    <w:p w14:paraId="3F7CA2A3" w14:textId="77777777" w:rsidR="006B758D" w:rsidRDefault="006B758D">
      <w:pPr>
        <w:pStyle w:val="BodyText"/>
        <w:spacing w:before="4"/>
        <w:rPr>
          <w:sz w:val="22"/>
        </w:rPr>
      </w:pPr>
    </w:p>
    <w:p w14:paraId="2B7823FA" w14:textId="77777777" w:rsidR="006B758D" w:rsidRPr="00EA2AB9" w:rsidRDefault="0023308C">
      <w:pPr>
        <w:pStyle w:val="ListParagraph"/>
        <w:numPr>
          <w:ilvl w:val="0"/>
          <w:numId w:val="15"/>
        </w:numPr>
        <w:tabs>
          <w:tab w:val="left" w:pos="2843"/>
        </w:tabs>
        <w:rPr>
          <w:sz w:val="24"/>
          <w:lang w:val="fr-FR"/>
        </w:rPr>
      </w:pPr>
      <w:proofErr w:type="gramStart"/>
      <w:r w:rsidRPr="00EA2AB9">
        <w:rPr>
          <w:sz w:val="24"/>
          <w:lang w:val="fr-FR"/>
        </w:rPr>
        <w:t>en</w:t>
      </w:r>
      <w:proofErr w:type="gramEnd"/>
      <w:r w:rsidRPr="00EA2AB9">
        <w:rPr>
          <w:sz w:val="24"/>
          <w:lang w:val="fr-FR"/>
        </w:rPr>
        <w:t xml:space="preserve"> ce qui concerne le matériel</w:t>
      </w:r>
      <w:r w:rsidRPr="00EA2AB9">
        <w:rPr>
          <w:b/>
          <w:sz w:val="24"/>
          <w:lang w:val="fr-FR"/>
        </w:rPr>
        <w:t xml:space="preserve"> de reproduction ou de multiplication </w:t>
      </w:r>
      <w:r w:rsidRPr="00EA2AB9">
        <w:rPr>
          <w:sz w:val="24"/>
          <w:lang w:val="fr-FR"/>
        </w:rPr>
        <w:t xml:space="preserve">de la </w:t>
      </w:r>
      <w:r w:rsidRPr="00EA2AB9">
        <w:rPr>
          <w:spacing w:val="-2"/>
          <w:sz w:val="24"/>
          <w:lang w:val="fr-FR"/>
        </w:rPr>
        <w:t xml:space="preserve">variété </w:t>
      </w:r>
      <w:r w:rsidRPr="00EA2AB9">
        <w:rPr>
          <w:sz w:val="24"/>
          <w:lang w:val="fr-FR"/>
        </w:rPr>
        <w:t>protégée</w:t>
      </w:r>
    </w:p>
    <w:p w14:paraId="3B0902B7" w14:textId="77777777" w:rsidR="006B758D" w:rsidRPr="007976EE" w:rsidRDefault="006B758D">
      <w:pPr>
        <w:pStyle w:val="BodyText"/>
        <w:spacing w:before="6"/>
        <w:rPr>
          <w:sz w:val="18"/>
          <w:szCs w:val="18"/>
          <w:lang w:val="fr-FR"/>
        </w:rPr>
      </w:pPr>
    </w:p>
    <w:p w14:paraId="63B9F89A" w14:textId="77777777" w:rsidR="006B758D" w:rsidRDefault="0023308C">
      <w:pPr>
        <w:pStyle w:val="BodyText"/>
        <w:ind w:left="2482"/>
      </w:pPr>
      <w:r>
        <w:t xml:space="preserve">(i) </w:t>
      </w:r>
      <w:r>
        <w:rPr>
          <w:spacing w:val="-10"/>
        </w:rPr>
        <w:t>…</w:t>
      </w:r>
    </w:p>
    <w:p w14:paraId="708308C7" w14:textId="77777777" w:rsidR="006B758D" w:rsidRPr="007976EE" w:rsidRDefault="006B758D">
      <w:pPr>
        <w:pStyle w:val="BodyText"/>
        <w:spacing w:before="4"/>
        <w:rPr>
          <w:sz w:val="18"/>
          <w:szCs w:val="18"/>
        </w:rPr>
      </w:pPr>
    </w:p>
    <w:p w14:paraId="6DF4BC84" w14:textId="77777777" w:rsidR="006B758D" w:rsidRDefault="0023308C">
      <w:pPr>
        <w:ind w:left="2482"/>
        <w:rPr>
          <w:sz w:val="24"/>
        </w:rPr>
      </w:pPr>
      <w:r>
        <w:rPr>
          <w:sz w:val="24"/>
        </w:rPr>
        <w:t>…</w:t>
      </w:r>
    </w:p>
    <w:p w14:paraId="60F10877" w14:textId="77777777" w:rsidR="006B758D" w:rsidRDefault="006B758D">
      <w:pPr>
        <w:pStyle w:val="BodyText"/>
        <w:spacing w:before="6"/>
        <w:rPr>
          <w:sz w:val="22"/>
        </w:rPr>
      </w:pPr>
    </w:p>
    <w:p w14:paraId="19DEA875" w14:textId="0F97FE1B" w:rsidR="006B758D" w:rsidRPr="00EA2AB9" w:rsidRDefault="0023308C">
      <w:pPr>
        <w:pStyle w:val="ListParagraph"/>
        <w:numPr>
          <w:ilvl w:val="0"/>
          <w:numId w:val="15"/>
        </w:numPr>
        <w:tabs>
          <w:tab w:val="left" w:pos="2843"/>
        </w:tabs>
        <w:spacing w:line="360" w:lineRule="auto"/>
        <w:ind w:right="399"/>
        <w:rPr>
          <w:sz w:val="24"/>
          <w:lang w:val="fr-FR"/>
        </w:rPr>
      </w:pPr>
      <w:proofErr w:type="gramStart"/>
      <w:r w:rsidRPr="00EA2AB9">
        <w:rPr>
          <w:sz w:val="24"/>
          <w:lang w:val="fr-FR"/>
        </w:rPr>
        <w:t>en</w:t>
      </w:r>
      <w:proofErr w:type="gramEnd"/>
      <w:r w:rsidRPr="00EA2AB9">
        <w:rPr>
          <w:sz w:val="24"/>
          <w:lang w:val="fr-FR"/>
        </w:rPr>
        <w:t xml:space="preserve"> ce qui concerne le produit de la récolte de la variété protégée, l'un quelconque des actes visés au point a) ci-dessus, à condition que le produit de la récolte ait été obtenu à partir d'un matériel de reproduction ou de multiplication dont l'utilisation, aux fins d'obtenir le produit de la récolte, </w:t>
      </w:r>
      <w:r w:rsidRPr="00EA2AB9">
        <w:rPr>
          <w:b/>
          <w:sz w:val="24"/>
          <w:lang w:val="fr-FR"/>
        </w:rPr>
        <w:t>n'</w:t>
      </w:r>
      <w:r w:rsidRPr="00EA2AB9">
        <w:rPr>
          <w:sz w:val="24"/>
          <w:lang w:val="fr-FR"/>
        </w:rPr>
        <w:t xml:space="preserve">était </w:t>
      </w:r>
      <w:r w:rsidRPr="00EA2AB9">
        <w:rPr>
          <w:b/>
          <w:sz w:val="24"/>
          <w:lang w:val="fr-FR"/>
        </w:rPr>
        <w:t xml:space="preserve">pas autorisée </w:t>
      </w:r>
      <w:r w:rsidRPr="00EA2AB9">
        <w:rPr>
          <w:sz w:val="24"/>
          <w:lang w:val="fr-FR"/>
        </w:rPr>
        <w:t>par l'obtenteur …</w:t>
      </w:r>
    </w:p>
    <w:p w14:paraId="6AD90FFF" w14:textId="781CA538" w:rsidR="006B758D" w:rsidRPr="007976EE" w:rsidRDefault="0023308C" w:rsidP="007976EE">
      <w:pPr>
        <w:spacing w:before="120"/>
        <w:ind w:left="2100"/>
        <w:rPr>
          <w:sz w:val="24"/>
          <w:lang w:val="fr-FR"/>
        </w:rPr>
      </w:pPr>
      <w:r w:rsidRPr="00EA2AB9">
        <w:rPr>
          <w:sz w:val="24"/>
          <w:lang w:val="fr-FR"/>
        </w:rPr>
        <w:t>…</w:t>
      </w:r>
    </w:p>
    <w:p w14:paraId="2447AAF7" w14:textId="6A90E6DF" w:rsidR="006B758D" w:rsidRPr="00EA2AB9" w:rsidRDefault="005C7D52">
      <w:pPr>
        <w:pStyle w:val="BodyText"/>
        <w:rPr>
          <w:sz w:val="11"/>
          <w:lang w:val="fr-FR"/>
        </w:rPr>
      </w:pPr>
      <w:r>
        <w:rPr>
          <w:noProof/>
        </w:rPr>
        <mc:AlternateContent>
          <mc:Choice Requires="wps">
            <w:drawing>
              <wp:anchor distT="0" distB="0" distL="0" distR="0" simplePos="0" relativeHeight="487591936" behindDoc="1" locked="0" layoutInCell="1" allowOverlap="1" wp14:anchorId="2FA0295F" wp14:editId="0FB1F245">
                <wp:simplePos x="0" y="0"/>
                <wp:positionH relativeFrom="page">
                  <wp:posOffset>1080770</wp:posOffset>
                </wp:positionH>
                <wp:positionV relativeFrom="paragraph">
                  <wp:posOffset>95885</wp:posOffset>
                </wp:positionV>
                <wp:extent cx="1828800" cy="7620"/>
                <wp:effectExtent l="0" t="0" r="0" b="0"/>
                <wp:wrapTopAndBottom/>
                <wp:docPr id="48409865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2" style="position:absolute;margin-left:85.1pt;margin-top:7.55pt;width:2in;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" w14:anchorId="75431EAE">
                <w10:wrap type="topAndBottom" anchorx="page"/>
              </v:rect>
            </w:pict>
          </mc:Fallback>
        </mc:AlternateContent>
      </w:r>
    </w:p>
    <w:p w14:paraId="6C768CFC" w14:textId="77777777" w:rsidR="006B758D" w:rsidRPr="00EA2AB9" w:rsidRDefault="0023308C">
      <w:pPr>
        <w:spacing w:before="103"/>
        <w:ind w:left="682" w:right="316"/>
        <w:rPr>
          <w:sz w:val="20"/>
          <w:lang w:val="fr-FR"/>
        </w:rPr>
      </w:pPr>
      <w:bookmarkStart w:id="21" w:name="_bookmark20"/>
      <w:bookmarkEnd w:id="21"/>
      <w:proofErr w:type="gramStart"/>
      <w:r w:rsidRPr="00EA2AB9">
        <w:rPr>
          <w:sz w:val="20"/>
          <w:vertAlign w:val="superscript"/>
          <w:lang w:val="fr-FR"/>
        </w:rPr>
        <w:t>16</w:t>
      </w:r>
      <w:r w:rsidRPr="00EA2AB9">
        <w:rPr>
          <w:sz w:val="20"/>
          <w:lang w:val="fr-FR"/>
        </w:rPr>
        <w:t xml:space="preserve">  CAJ</w:t>
      </w:r>
      <w:proofErr w:type="gramEnd"/>
      <w:r w:rsidRPr="00EA2AB9">
        <w:rPr>
          <w:sz w:val="20"/>
          <w:lang w:val="fr-FR"/>
        </w:rPr>
        <w:t>/27/2, p. 11. Ainsi, la protection du produit de la récolte n'était soumise à aucune condition différente de celles relatives au matériel de reproduction ou de multiplication.</w:t>
      </w:r>
    </w:p>
    <w:p w14:paraId="1B0B95C9" w14:textId="77777777" w:rsidR="006B758D" w:rsidRPr="00EA2AB9" w:rsidRDefault="0023308C">
      <w:pPr>
        <w:spacing w:line="228" w:lineRule="exact"/>
        <w:ind w:left="682"/>
        <w:rPr>
          <w:sz w:val="20"/>
          <w:lang w:val="fr-FR"/>
        </w:rPr>
      </w:pPr>
      <w:bookmarkStart w:id="22" w:name="_bookmark21"/>
      <w:bookmarkEnd w:id="22"/>
      <w:proofErr w:type="gramStart"/>
      <w:r w:rsidRPr="00EA2AB9">
        <w:rPr>
          <w:sz w:val="20"/>
          <w:vertAlign w:val="superscript"/>
          <w:lang w:val="fr-FR"/>
        </w:rPr>
        <w:t>17</w:t>
      </w:r>
      <w:r w:rsidRPr="00EA2AB9">
        <w:rPr>
          <w:sz w:val="20"/>
          <w:lang w:val="fr-FR"/>
        </w:rPr>
        <w:t xml:space="preserve">  CAJ</w:t>
      </w:r>
      <w:proofErr w:type="gramEnd"/>
      <w:r w:rsidRPr="00EA2AB9">
        <w:rPr>
          <w:sz w:val="20"/>
          <w:lang w:val="fr-FR"/>
        </w:rPr>
        <w:t xml:space="preserve"> 27/8,</w:t>
      </w:r>
      <w:r w:rsidRPr="00EA2AB9">
        <w:rPr>
          <w:spacing w:val="-2"/>
          <w:sz w:val="20"/>
          <w:lang w:val="fr-FR"/>
        </w:rPr>
        <w:t xml:space="preserve"> 1990.</w:t>
      </w:r>
    </w:p>
    <w:p w14:paraId="267E0BC6" w14:textId="77777777" w:rsidR="006B758D" w:rsidRPr="00EA2AB9" w:rsidRDefault="006B758D">
      <w:pPr>
        <w:spacing w:line="228" w:lineRule="exact"/>
        <w:rPr>
          <w:sz w:val="20"/>
          <w:lang w:val="fr-FR"/>
        </w:rPr>
        <w:sectPr w:rsidR="006B758D" w:rsidRPr="00EA2AB9">
          <w:pgSz w:w="11910" w:h="16840"/>
          <w:pgMar w:top="1320" w:right="1300" w:bottom="1240" w:left="1020" w:header="0" w:footer="1049" w:gutter="0"/>
          <w:cols w:space="720"/>
        </w:sectPr>
      </w:pPr>
    </w:p>
    <w:p w14:paraId="4C9676E8" w14:textId="77777777" w:rsidR="006B758D" w:rsidRDefault="0023308C">
      <w:pPr>
        <w:pStyle w:val="BodyText"/>
        <w:spacing w:before="76" w:line="360" w:lineRule="auto"/>
        <w:ind w:left="2122" w:right="395"/>
        <w:jc w:val="both"/>
      </w:pPr>
      <w:r w:rsidRPr="00EA2AB9">
        <w:rPr>
          <w:lang w:val="fr-FR"/>
        </w:rPr>
        <w:lastRenderedPageBreak/>
        <w:t>74.</w:t>
      </w:r>
      <w:r w:rsidRPr="00EA2AB9">
        <w:rPr>
          <w:spacing w:val="-3"/>
          <w:lang w:val="fr-FR"/>
        </w:rPr>
        <w:t xml:space="preserve"> </w:t>
      </w:r>
      <w:r w:rsidRPr="00EA2AB9">
        <w:rPr>
          <w:lang w:val="fr-FR"/>
        </w:rPr>
        <w:t xml:space="preserve">Plusieurs délégations ont fait remarquer que le libellé proposé par le Bureau de l'Union faisait désormais référence à </w:t>
      </w:r>
      <w:r w:rsidRPr="00EA2AB9">
        <w:rPr>
          <w:b/>
          <w:lang w:val="fr-FR"/>
        </w:rPr>
        <w:t xml:space="preserve">une « autorisation », alors que le projet était fondé sur la notion de « consentement ». </w:t>
      </w:r>
      <w:r w:rsidRPr="00EA2AB9">
        <w:rPr>
          <w:lang w:val="fr-FR"/>
        </w:rPr>
        <w:t xml:space="preserve">Certains membres du Comité ont estimé que le terme « autorisation » – utilisé dans le texte actuel de la Convention – pouvait avoir une connotation plus formelle et, par exemple, exclure le consentement implicite, tandis que d'autres ont estimé que les deux notions pouvaient être utilisées </w:t>
      </w:r>
      <w:r w:rsidRPr="00EA2AB9">
        <w:rPr>
          <w:spacing w:val="-2"/>
          <w:lang w:val="fr-FR"/>
        </w:rPr>
        <w:t xml:space="preserve">indifféremment. </w:t>
      </w:r>
      <w:hyperlink w:anchor="_bookmark22" w:history="1">
        <w:r>
          <w:rPr>
            <w:spacing w:val="-2"/>
            <w:vertAlign w:val="superscript"/>
          </w:rPr>
          <w:t>18</w:t>
        </w:r>
      </w:hyperlink>
    </w:p>
    <w:p w14:paraId="435C832A" w14:textId="77777777" w:rsidR="006B758D" w:rsidRPr="00EA2AB9" w:rsidRDefault="0023308C">
      <w:pPr>
        <w:pStyle w:val="ListParagraph"/>
        <w:numPr>
          <w:ilvl w:val="0"/>
          <w:numId w:val="18"/>
        </w:numPr>
        <w:tabs>
          <w:tab w:val="left" w:pos="1734"/>
        </w:tabs>
        <w:spacing w:before="122" w:line="360" w:lineRule="auto"/>
        <w:ind w:right="396" w:firstLine="0"/>
        <w:rPr>
          <w:sz w:val="24"/>
          <w:lang w:val="fr-FR"/>
        </w:rPr>
      </w:pPr>
      <w:r w:rsidRPr="00EA2AB9">
        <w:rPr>
          <w:sz w:val="24"/>
          <w:lang w:val="fr-FR"/>
        </w:rPr>
        <w:t>Lors de la dernière réunion du CAJ avant la Conférence diplomatique, plusieurs délégations se sont déclarées favorables à l'introduction d'une notion d</w:t>
      </w:r>
      <w:proofErr w:type="gramStart"/>
      <w:r w:rsidRPr="00EA2AB9">
        <w:rPr>
          <w:sz w:val="24"/>
          <w:lang w:val="fr-FR"/>
        </w:rPr>
        <w:t>'«</w:t>
      </w:r>
      <w:proofErr w:type="gramEnd"/>
      <w:r w:rsidRPr="00EA2AB9">
        <w:rPr>
          <w:sz w:val="24"/>
          <w:lang w:val="fr-FR"/>
        </w:rPr>
        <w:t xml:space="preserve"> application en cascade » du droit d'obtenteur, que le secrétaire général a jugée techniquement difficile à formuler. Le compte rendu de la réunion du Bureau de l'UPOV indique à cet égard :</w:t>
      </w:r>
    </w:p>
    <w:p w14:paraId="4F20B6C7" w14:textId="77777777" w:rsidR="006B758D" w:rsidRDefault="0023308C" w:rsidP="005D00F1">
      <w:pPr>
        <w:spacing w:before="121" w:line="276" w:lineRule="auto"/>
        <w:ind w:left="2122" w:right="395"/>
        <w:jc w:val="both"/>
        <w:rPr>
          <w:sz w:val="24"/>
        </w:rPr>
      </w:pPr>
      <w:r w:rsidRPr="00EA2AB9">
        <w:rPr>
          <w:sz w:val="24"/>
          <w:lang w:val="fr-FR"/>
        </w:rPr>
        <w:t>« Le Comité a finalement accepté d'inclure la notion de cascade comme option dans le projet final en ajoutant entre crochets à la fin de l'alinéa</w:t>
      </w:r>
      <w:r w:rsidRPr="00EA2AB9">
        <w:rPr>
          <w:spacing w:val="-1"/>
          <w:sz w:val="24"/>
          <w:lang w:val="fr-FR"/>
        </w:rPr>
        <w:t xml:space="preserve"> </w:t>
      </w:r>
      <w:r w:rsidRPr="00EA2AB9">
        <w:rPr>
          <w:sz w:val="24"/>
          <w:lang w:val="fr-FR"/>
        </w:rPr>
        <w:t xml:space="preserve">b) les mots </w:t>
      </w:r>
      <w:r w:rsidRPr="00EA2AB9">
        <w:rPr>
          <w:b/>
          <w:sz w:val="24"/>
          <w:lang w:val="fr-FR"/>
        </w:rPr>
        <w:t xml:space="preserve">« et si, mais seulement si, l'obtenteur n'a eu aucune possibilité légale d'exercer son droit en ce qui concerne le matériel de reproduction ou de multiplication » </w:t>
      </w:r>
      <w:r w:rsidRPr="00EA2AB9">
        <w:rPr>
          <w:sz w:val="24"/>
          <w:lang w:val="fr-FR"/>
        </w:rPr>
        <w:t>et à la fin de l'alinéa c) les mots « et si, mais seulement si l'obtenteur n'a eu aucune possibilité légale d'exercer son droit en ce qui concerne le produit de la récolte ».</w:t>
      </w:r>
      <w:hyperlink w:anchor="_bookmark23" w:history="1">
        <w:r>
          <w:rPr>
            <w:sz w:val="24"/>
            <w:vertAlign w:val="superscript"/>
          </w:rPr>
          <w:t>19</w:t>
        </w:r>
      </w:hyperlink>
    </w:p>
    <w:p w14:paraId="5F865344" w14:textId="77777777" w:rsidR="006B758D" w:rsidRPr="00685F68" w:rsidRDefault="006B758D">
      <w:pPr>
        <w:pStyle w:val="BodyText"/>
        <w:spacing w:before="11"/>
        <w:rPr>
          <w:sz w:val="18"/>
          <w:szCs w:val="18"/>
        </w:rPr>
      </w:pPr>
    </w:p>
    <w:p w14:paraId="3F3531B1" w14:textId="43914BD5" w:rsidR="006B758D" w:rsidRPr="00EA2AB9" w:rsidRDefault="0023308C" w:rsidP="005D00F1">
      <w:pPr>
        <w:pStyle w:val="ListParagraph"/>
        <w:numPr>
          <w:ilvl w:val="0"/>
          <w:numId w:val="10"/>
        </w:numPr>
        <w:tabs>
          <w:tab w:val="left" w:pos="1662"/>
        </w:tabs>
        <w:spacing w:line="276" w:lineRule="auto"/>
        <w:ind w:right="396" w:firstLine="707"/>
        <w:rPr>
          <w:sz w:val="24"/>
          <w:lang w:val="fr-FR"/>
        </w:rPr>
      </w:pPr>
      <w:r w:rsidRPr="00EA2AB9">
        <w:rPr>
          <w:sz w:val="24"/>
          <w:lang w:val="fr-FR"/>
        </w:rPr>
        <w:t>Comme indiqué ci-dessus</w:t>
      </w:r>
      <w:hyperlink w:anchor="_bookmark24" w:history="1">
        <w:r w:rsidRPr="00EA2AB9">
          <w:rPr>
            <w:sz w:val="24"/>
            <w:vertAlign w:val="superscript"/>
            <w:lang w:val="fr-FR"/>
          </w:rPr>
          <w:t>20</w:t>
        </w:r>
      </w:hyperlink>
      <w:r w:rsidRPr="00EA2AB9">
        <w:rPr>
          <w:sz w:val="24"/>
          <w:lang w:val="fr-FR"/>
        </w:rPr>
        <w:t xml:space="preserve"> lors de la Conférence diplomatique de 1991, 22 délégations ont présenté des propositions de modification, d'amendement ou de suppression de dispositions figurant dans la proposition de base du Conseil. Dans les paragraphes qui suivent, il n'est fait référence qu'aux propositions, aux discussions qui s'y rapportent et à leurs résultats, qui sont pertinents pour l'analyse de la notion d</w:t>
      </w:r>
      <w:proofErr w:type="gramStart"/>
      <w:r w:rsidRPr="00EA2AB9">
        <w:rPr>
          <w:sz w:val="24"/>
          <w:lang w:val="fr-FR"/>
        </w:rPr>
        <w:t>'«</w:t>
      </w:r>
      <w:proofErr w:type="gramEnd"/>
      <w:r w:rsidRPr="00EA2AB9">
        <w:rPr>
          <w:sz w:val="24"/>
          <w:lang w:val="fr-FR"/>
        </w:rPr>
        <w:t xml:space="preserve"> obtenu par l'utilisation non autorisée de matériel de reproduction ou de multiplication de la </w:t>
      </w:r>
      <w:r w:rsidRPr="00EA2AB9">
        <w:rPr>
          <w:spacing w:val="-2"/>
          <w:sz w:val="24"/>
          <w:lang w:val="fr-FR"/>
        </w:rPr>
        <w:t xml:space="preserve">variété </w:t>
      </w:r>
      <w:r w:rsidRPr="00EA2AB9">
        <w:rPr>
          <w:sz w:val="24"/>
          <w:lang w:val="fr-FR"/>
        </w:rPr>
        <w:t xml:space="preserve">protégée </w:t>
      </w:r>
      <w:r w:rsidRPr="00EA2AB9">
        <w:rPr>
          <w:spacing w:val="-2"/>
          <w:sz w:val="24"/>
          <w:lang w:val="fr-FR"/>
        </w:rPr>
        <w:t>».</w:t>
      </w:r>
    </w:p>
    <w:p w14:paraId="76C032E8" w14:textId="77777777" w:rsidR="006B758D" w:rsidRPr="00C71F47" w:rsidRDefault="006B758D">
      <w:pPr>
        <w:pStyle w:val="BodyText"/>
        <w:rPr>
          <w:sz w:val="20"/>
          <w:szCs w:val="20"/>
          <w:lang w:val="fr-FR"/>
        </w:rPr>
      </w:pPr>
    </w:p>
    <w:p w14:paraId="466DE5CB" w14:textId="77777777" w:rsidR="006B758D" w:rsidRDefault="0023308C" w:rsidP="005D00F1">
      <w:pPr>
        <w:pStyle w:val="ListParagraph"/>
        <w:numPr>
          <w:ilvl w:val="1"/>
          <w:numId w:val="10"/>
        </w:numPr>
        <w:tabs>
          <w:tab w:val="left" w:pos="1748"/>
        </w:tabs>
        <w:spacing w:before="1" w:line="276" w:lineRule="auto"/>
        <w:ind w:left="682" w:right="396" w:firstLine="707"/>
        <w:rPr>
          <w:sz w:val="24"/>
        </w:rPr>
      </w:pPr>
      <w:r w:rsidRPr="00EA2AB9">
        <w:rPr>
          <w:sz w:val="24"/>
          <w:lang w:val="fr-FR"/>
        </w:rPr>
        <w:t xml:space="preserve">La délégation de </w:t>
      </w:r>
      <w:r w:rsidRPr="00EA2AB9">
        <w:rPr>
          <w:i/>
          <w:sz w:val="24"/>
          <w:lang w:val="fr-FR"/>
        </w:rPr>
        <w:t xml:space="preserve">l'Espagne </w:t>
      </w:r>
      <w:r w:rsidRPr="00EA2AB9">
        <w:rPr>
          <w:sz w:val="24"/>
          <w:lang w:val="fr-FR"/>
        </w:rPr>
        <w:t xml:space="preserve">a présenté une proposition en deux parties </w:t>
      </w:r>
      <w:hyperlink w:anchor="_bookmark25" w:history="1">
        <w:r w:rsidRPr="00EA2AB9">
          <w:rPr>
            <w:sz w:val="24"/>
            <w:vertAlign w:val="superscript"/>
            <w:lang w:val="fr-FR"/>
          </w:rPr>
          <w:t>21</w:t>
        </w:r>
        <w:r w:rsidRPr="00EA2AB9">
          <w:rPr>
            <w:sz w:val="24"/>
            <w:lang w:val="fr-FR"/>
          </w:rPr>
          <w:t>.</w:t>
        </w:r>
      </w:hyperlink>
      <w:r w:rsidRPr="00EA2AB9">
        <w:rPr>
          <w:sz w:val="24"/>
          <w:lang w:val="fr-FR"/>
        </w:rPr>
        <w:t xml:space="preserve">Premièrement, elle a proposé de rendre facultative l'extension de la protection du droit d'obtenteur au produit de la récolte de la variété protégée. Deuxièmement, dans tous les cas, « d'ajouter la phrase qui figure actuellement entre crochets dans la proposition de base, tant au sous-paragraphe (b) ... </w:t>
      </w:r>
      <w:r>
        <w:rPr>
          <w:sz w:val="24"/>
        </w:rPr>
        <w:t xml:space="preserve">Il </w:t>
      </w:r>
      <w:proofErr w:type="spellStart"/>
      <w:r>
        <w:rPr>
          <w:sz w:val="24"/>
        </w:rPr>
        <w:t>fallait</w:t>
      </w:r>
      <w:proofErr w:type="spellEnd"/>
      <w:r>
        <w:rPr>
          <w:sz w:val="24"/>
        </w:rPr>
        <w:t xml:space="preserve"> </w:t>
      </w:r>
      <w:proofErr w:type="spellStart"/>
      <w:r>
        <w:rPr>
          <w:spacing w:val="-4"/>
          <w:sz w:val="24"/>
        </w:rPr>
        <w:t>également</w:t>
      </w:r>
      <w:proofErr w:type="spellEnd"/>
      <w:r>
        <w:rPr>
          <w:spacing w:val="-4"/>
          <w:sz w:val="24"/>
        </w:rPr>
        <w:t xml:space="preserve"> </w:t>
      </w:r>
      <w:proofErr w:type="spellStart"/>
      <w:r>
        <w:rPr>
          <w:sz w:val="24"/>
        </w:rPr>
        <w:t>que</w:t>
      </w:r>
      <w:proofErr w:type="spellEnd"/>
      <w:r>
        <w:rPr>
          <w:sz w:val="24"/>
        </w:rPr>
        <w:t xml:space="preserve"> </w:t>
      </w:r>
      <w:proofErr w:type="spellStart"/>
      <w:r>
        <w:rPr>
          <w:sz w:val="24"/>
        </w:rPr>
        <w:t>cela</w:t>
      </w:r>
      <w:proofErr w:type="spellEnd"/>
      <w:r>
        <w:rPr>
          <w:sz w:val="24"/>
        </w:rPr>
        <w:t xml:space="preserve"> </w:t>
      </w:r>
      <w:proofErr w:type="spellStart"/>
      <w:r>
        <w:rPr>
          <w:sz w:val="24"/>
        </w:rPr>
        <w:t>soit</w:t>
      </w:r>
      <w:proofErr w:type="spellEnd"/>
      <w:r>
        <w:rPr>
          <w:sz w:val="24"/>
        </w:rPr>
        <w:t xml:space="preserve"> </w:t>
      </w:r>
      <w:proofErr w:type="spellStart"/>
      <w:r>
        <w:rPr>
          <w:sz w:val="24"/>
        </w:rPr>
        <w:t>clair</w:t>
      </w:r>
      <w:proofErr w:type="spellEnd"/>
    </w:p>
    <w:p w14:paraId="01156BCD" w14:textId="77777777" w:rsidR="006B758D" w:rsidRDefault="006B758D">
      <w:pPr>
        <w:pStyle w:val="BodyText"/>
        <w:rPr>
          <w:sz w:val="20"/>
        </w:rPr>
      </w:pPr>
    </w:p>
    <w:p w14:paraId="2DD53CCA" w14:textId="694C92E7" w:rsidR="006B758D" w:rsidRDefault="005C7D52">
      <w:pPr>
        <w:pStyle w:val="BodyText"/>
        <w:spacing w:before="10"/>
        <w:rPr>
          <w:sz w:val="19"/>
        </w:rPr>
      </w:pPr>
      <w:r>
        <w:rPr>
          <w:noProof/>
        </w:rPr>
        <mc:AlternateContent>
          <mc:Choice Requires="wps">
            <w:drawing>
              <wp:anchor distT="0" distB="0" distL="0" distR="0" simplePos="0" relativeHeight="487592448" behindDoc="1" locked="0" layoutInCell="1" allowOverlap="1" wp14:anchorId="2E5FF61B" wp14:editId="38A807F4">
                <wp:simplePos x="0" y="0"/>
                <wp:positionH relativeFrom="page">
                  <wp:posOffset>1080770</wp:posOffset>
                </wp:positionH>
                <wp:positionV relativeFrom="paragraph">
                  <wp:posOffset>160655</wp:posOffset>
                </wp:positionV>
                <wp:extent cx="1828800" cy="7620"/>
                <wp:effectExtent l="0" t="0" r="0" b="0"/>
                <wp:wrapTopAndBottom/>
                <wp:docPr id="18758527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3" style="position:absolute;margin-left:85.1pt;margin-top:12.65pt;width:2in;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" w14:anchorId="7F067F21">
                <w10:wrap type="topAndBottom" anchorx="page"/>
              </v:rect>
            </w:pict>
          </mc:Fallback>
        </mc:AlternateContent>
      </w:r>
    </w:p>
    <w:p w14:paraId="6889D664" w14:textId="77777777" w:rsidR="006B758D" w:rsidRPr="00EA2AB9" w:rsidRDefault="0023308C">
      <w:pPr>
        <w:spacing w:before="103"/>
        <w:ind w:left="682"/>
        <w:rPr>
          <w:sz w:val="20"/>
          <w:lang w:val="fr-FR"/>
        </w:rPr>
      </w:pPr>
      <w:bookmarkStart w:id="23" w:name="_bookmark22"/>
      <w:bookmarkEnd w:id="23"/>
      <w:proofErr w:type="gramStart"/>
      <w:r w:rsidRPr="00EA2AB9">
        <w:rPr>
          <w:sz w:val="20"/>
          <w:vertAlign w:val="superscript"/>
          <w:lang w:val="fr-FR"/>
        </w:rPr>
        <w:t>18</w:t>
      </w:r>
      <w:r w:rsidRPr="00EA2AB9">
        <w:rPr>
          <w:sz w:val="20"/>
          <w:lang w:val="fr-FR"/>
        </w:rPr>
        <w:t xml:space="preserve">  Ibid.</w:t>
      </w:r>
      <w:proofErr w:type="gramEnd"/>
      <w:r w:rsidRPr="00EA2AB9">
        <w:rPr>
          <w:sz w:val="20"/>
          <w:lang w:val="fr-FR"/>
        </w:rPr>
        <w:t xml:space="preserve">, pages 11/12 (c'est nous qui </w:t>
      </w:r>
      <w:r w:rsidRPr="00EA2AB9">
        <w:rPr>
          <w:spacing w:val="-2"/>
          <w:sz w:val="20"/>
          <w:lang w:val="fr-FR"/>
        </w:rPr>
        <w:t>soulignons).</w:t>
      </w:r>
    </w:p>
    <w:p w14:paraId="0AF2AAD6" w14:textId="77777777" w:rsidR="006B758D" w:rsidRPr="00EA2AB9" w:rsidRDefault="0023308C">
      <w:pPr>
        <w:spacing w:before="1" w:line="228" w:lineRule="exact"/>
        <w:ind w:left="682"/>
        <w:rPr>
          <w:sz w:val="20"/>
          <w:lang w:val="fr-FR"/>
        </w:rPr>
      </w:pPr>
      <w:bookmarkStart w:id="24" w:name="_bookmark23"/>
      <w:bookmarkEnd w:id="24"/>
      <w:proofErr w:type="gramStart"/>
      <w:r w:rsidRPr="00EA2AB9">
        <w:rPr>
          <w:sz w:val="20"/>
          <w:vertAlign w:val="superscript"/>
          <w:lang w:val="fr-FR"/>
        </w:rPr>
        <w:t>19</w:t>
      </w:r>
      <w:r w:rsidRPr="00EA2AB9">
        <w:rPr>
          <w:sz w:val="20"/>
          <w:lang w:val="fr-FR"/>
        </w:rPr>
        <w:t xml:space="preserve">  CAJ</w:t>
      </w:r>
      <w:proofErr w:type="gramEnd"/>
      <w:r w:rsidRPr="00EA2AB9">
        <w:rPr>
          <w:sz w:val="20"/>
          <w:lang w:val="fr-FR"/>
        </w:rPr>
        <w:t xml:space="preserve"> 28/6, compte rendu du 12 au 16 octobre 1990, p. 7, n° 41, deuxième paragraphe (c'est nous qui </w:t>
      </w:r>
      <w:r w:rsidRPr="00EA2AB9">
        <w:rPr>
          <w:spacing w:val="-2"/>
          <w:sz w:val="20"/>
          <w:lang w:val="fr-FR"/>
        </w:rPr>
        <w:t>soulignons).</w:t>
      </w:r>
    </w:p>
    <w:p w14:paraId="1A909023" w14:textId="77777777" w:rsidR="006B758D" w:rsidRPr="00EF1AEC" w:rsidRDefault="0023308C">
      <w:pPr>
        <w:spacing w:before="40" w:line="151" w:lineRule="auto"/>
        <w:ind w:left="682"/>
        <w:rPr>
          <w:sz w:val="20"/>
          <w:lang w:val="fr-FR"/>
        </w:rPr>
      </w:pPr>
      <w:bookmarkStart w:id="25" w:name="_bookmark24"/>
      <w:bookmarkEnd w:id="25"/>
      <w:r w:rsidRPr="00EF1AEC">
        <w:rPr>
          <w:sz w:val="13"/>
          <w:lang w:val="fr-FR"/>
        </w:rPr>
        <w:t xml:space="preserve">20 </w:t>
      </w:r>
      <w:r w:rsidRPr="00EF1AEC">
        <w:rPr>
          <w:spacing w:val="-5"/>
          <w:position w:val="-6"/>
          <w:sz w:val="20"/>
          <w:lang w:val="fr-FR"/>
        </w:rPr>
        <w:t>8.</w:t>
      </w:r>
    </w:p>
    <w:p w14:paraId="36F651A0" w14:textId="77777777" w:rsidR="006B758D" w:rsidRPr="00C12411" w:rsidRDefault="0023308C">
      <w:pPr>
        <w:spacing w:before="38"/>
        <w:ind w:left="682"/>
        <w:rPr>
          <w:sz w:val="20"/>
          <w:lang w:val="fr-FR"/>
        </w:rPr>
      </w:pPr>
      <w:bookmarkStart w:id="26" w:name="_bookmark25"/>
      <w:bookmarkEnd w:id="26"/>
      <w:proofErr w:type="gramStart"/>
      <w:r w:rsidRPr="00C12411">
        <w:rPr>
          <w:sz w:val="20"/>
          <w:vertAlign w:val="superscript"/>
          <w:lang w:val="fr-FR"/>
        </w:rPr>
        <w:t>21</w:t>
      </w:r>
      <w:r w:rsidRPr="00C12411">
        <w:rPr>
          <w:sz w:val="20"/>
          <w:lang w:val="fr-FR"/>
        </w:rPr>
        <w:t xml:space="preserve">  Doc</w:t>
      </w:r>
      <w:proofErr w:type="gramEnd"/>
      <w:r w:rsidRPr="00C12411">
        <w:rPr>
          <w:sz w:val="20"/>
          <w:lang w:val="fr-FR"/>
        </w:rPr>
        <w:t xml:space="preserve"> </w:t>
      </w:r>
      <w:r w:rsidRPr="00C12411">
        <w:rPr>
          <w:spacing w:val="-2"/>
          <w:sz w:val="20"/>
          <w:lang w:val="fr-FR"/>
        </w:rPr>
        <w:t>DC/91/82.</w:t>
      </w:r>
    </w:p>
    <w:p w14:paraId="22A648D5" w14:textId="77777777" w:rsidR="006B758D" w:rsidRPr="00C12411" w:rsidRDefault="006B758D">
      <w:pPr>
        <w:rPr>
          <w:sz w:val="20"/>
          <w:lang w:val="fr-FR"/>
        </w:rPr>
        <w:sectPr w:rsidR="006B758D" w:rsidRPr="00C12411">
          <w:pgSz w:w="11910" w:h="16840"/>
          <w:pgMar w:top="1320" w:right="1300" w:bottom="1240" w:left="1020" w:header="0" w:footer="1049" w:gutter="0"/>
          <w:cols w:space="720"/>
        </w:sectPr>
      </w:pPr>
    </w:p>
    <w:p w14:paraId="6044E7D2" w14:textId="1651B29F" w:rsidR="006B758D" w:rsidRPr="00EA2AB9" w:rsidRDefault="0023308C">
      <w:pPr>
        <w:pStyle w:val="BodyText"/>
        <w:spacing w:before="96" w:line="360" w:lineRule="auto"/>
        <w:ind w:left="682" w:right="396"/>
        <w:jc w:val="both"/>
        <w:rPr>
          <w:lang w:val="fr-FR"/>
        </w:rPr>
      </w:pPr>
      <w:proofErr w:type="gramStart"/>
      <w:r w:rsidRPr="009B50CC">
        <w:rPr>
          <w:lang w:val="fr-FR"/>
        </w:rPr>
        <w:lastRenderedPageBreak/>
        <w:t>dans</w:t>
      </w:r>
      <w:proofErr w:type="gramEnd"/>
      <w:r w:rsidRPr="009B50CC">
        <w:rPr>
          <w:lang w:val="fr-FR"/>
        </w:rPr>
        <w:t xml:space="preserve"> quels cas ces deux options pourraient être utilisées », dans le texte révisé </w:t>
      </w:r>
      <w:hyperlink w:anchor="_bookmark26" w:history="1">
        <w:r w:rsidRPr="009B50CC">
          <w:rPr>
            <w:vertAlign w:val="superscript"/>
            <w:lang w:val="fr-FR"/>
          </w:rPr>
          <w:t>22</w:t>
        </w:r>
      </w:hyperlink>
      <w:r w:rsidRPr="009B50CC">
        <w:rPr>
          <w:lang w:val="fr-FR"/>
        </w:rPr>
        <w:t>.</w:t>
      </w:r>
      <w:r w:rsidR="00685F68">
        <w:rPr>
          <w:lang w:val="fr-FR"/>
        </w:rPr>
        <w:t xml:space="preserve"> </w:t>
      </w:r>
      <w:hyperlink w:anchor="_bookmark26" w:history="1"/>
      <w:r w:rsidRPr="00EA2AB9">
        <w:rPr>
          <w:lang w:val="fr-FR"/>
        </w:rPr>
        <w:t xml:space="preserve">En d'autres termes, l'Espagne a proposé de subordonner la protection du produit de la récolte à la condition que l'obtenteur « </w:t>
      </w:r>
      <w:r w:rsidRPr="00EA2AB9">
        <w:rPr>
          <w:b/>
          <w:lang w:val="fr-FR"/>
        </w:rPr>
        <w:t>n'</w:t>
      </w:r>
      <w:r w:rsidRPr="00EA2AB9">
        <w:rPr>
          <w:lang w:val="fr-FR"/>
        </w:rPr>
        <w:t xml:space="preserve">ait eu </w:t>
      </w:r>
      <w:r w:rsidRPr="00EA2AB9">
        <w:rPr>
          <w:b/>
          <w:lang w:val="fr-FR"/>
        </w:rPr>
        <w:t xml:space="preserve">aucune possibilité légale </w:t>
      </w:r>
      <w:r w:rsidRPr="00EA2AB9">
        <w:rPr>
          <w:lang w:val="fr-FR"/>
        </w:rPr>
        <w:t xml:space="preserve">d'exercer son droit sur le </w:t>
      </w:r>
      <w:r w:rsidRPr="00EA2AB9">
        <w:rPr>
          <w:spacing w:val="-2"/>
          <w:lang w:val="fr-FR"/>
        </w:rPr>
        <w:t>produit</w:t>
      </w:r>
      <w:r w:rsidRPr="00EA2AB9">
        <w:rPr>
          <w:lang w:val="fr-FR"/>
        </w:rPr>
        <w:t xml:space="preserve"> de la récolte </w:t>
      </w:r>
      <w:r w:rsidRPr="00EA2AB9">
        <w:rPr>
          <w:spacing w:val="-2"/>
          <w:lang w:val="fr-FR"/>
        </w:rPr>
        <w:t>».</w:t>
      </w:r>
    </w:p>
    <w:p w14:paraId="4E7E5854" w14:textId="77777777" w:rsidR="006B758D" w:rsidRPr="00685F68" w:rsidRDefault="006B758D">
      <w:pPr>
        <w:pStyle w:val="BodyText"/>
        <w:spacing w:before="2"/>
        <w:rPr>
          <w:sz w:val="18"/>
          <w:szCs w:val="18"/>
          <w:lang w:val="fr-FR"/>
        </w:rPr>
      </w:pPr>
    </w:p>
    <w:p w14:paraId="600F5DB7" w14:textId="77777777" w:rsidR="006B758D" w:rsidRPr="00C12411" w:rsidRDefault="0023308C">
      <w:pPr>
        <w:pStyle w:val="BodyText"/>
        <w:spacing w:line="360" w:lineRule="auto"/>
        <w:ind w:left="682" w:right="403" w:firstLine="707"/>
        <w:jc w:val="both"/>
        <w:rPr>
          <w:lang w:val="fr-FR"/>
        </w:rPr>
      </w:pPr>
      <w:r w:rsidRPr="00EA2AB9">
        <w:rPr>
          <w:lang w:val="fr-FR"/>
        </w:rPr>
        <w:t>La proposition de l'Espagne visant à rendre facultative la protection du produit de la récolte d'une variété protégée a été rejetée par 13 voix contre, 4 voix pour et 1 abstention.</w:t>
      </w:r>
      <w:hyperlink w:anchor="_bookmark27" w:history="1">
        <w:r w:rsidRPr="00C12411">
          <w:rPr>
            <w:vertAlign w:val="superscript"/>
            <w:lang w:val="fr-FR"/>
          </w:rPr>
          <w:t>23</w:t>
        </w:r>
      </w:hyperlink>
    </w:p>
    <w:p w14:paraId="488B0F18" w14:textId="77777777" w:rsidR="006B758D" w:rsidRPr="00C12411" w:rsidRDefault="006B758D">
      <w:pPr>
        <w:pStyle w:val="BodyText"/>
        <w:spacing w:before="10"/>
        <w:rPr>
          <w:sz w:val="18"/>
          <w:szCs w:val="18"/>
          <w:lang w:val="fr-FR"/>
        </w:rPr>
      </w:pPr>
    </w:p>
    <w:p w14:paraId="19CEEEDA" w14:textId="3D2C6958" w:rsidR="006B758D" w:rsidRPr="009B50CC" w:rsidRDefault="0023308C">
      <w:pPr>
        <w:spacing w:before="1" w:line="360" w:lineRule="auto"/>
        <w:ind w:left="682" w:right="395" w:firstLine="707"/>
        <w:jc w:val="both"/>
        <w:rPr>
          <w:sz w:val="24"/>
          <w:lang w:val="fr-FR"/>
        </w:rPr>
      </w:pPr>
      <w:r w:rsidRPr="009B50CC">
        <w:rPr>
          <w:sz w:val="24"/>
          <w:lang w:val="fr-FR"/>
        </w:rPr>
        <w:t xml:space="preserve">La deuxième partie a reçu le soutien actif de la délégation du </w:t>
      </w:r>
      <w:r w:rsidRPr="009B50CC">
        <w:rPr>
          <w:i/>
          <w:sz w:val="24"/>
          <w:lang w:val="fr-FR"/>
        </w:rPr>
        <w:t xml:space="preserve">Japon </w:t>
      </w:r>
      <w:hyperlink w:anchor="_bookmark28" w:history="1">
        <w:r w:rsidRPr="009B50CC">
          <w:rPr>
            <w:sz w:val="24"/>
            <w:vertAlign w:val="superscript"/>
            <w:lang w:val="fr-FR"/>
          </w:rPr>
          <w:t>24</w:t>
        </w:r>
      </w:hyperlink>
      <w:r w:rsidR="005D00F1" w:rsidRPr="005D00F1">
        <w:rPr>
          <w:lang w:val="fr-FR"/>
        </w:rPr>
        <w:t xml:space="preserve"> </w:t>
      </w:r>
      <w:r w:rsidRPr="009B50CC">
        <w:rPr>
          <w:sz w:val="24"/>
          <w:lang w:val="fr-FR"/>
        </w:rPr>
        <w:t>qui</w:t>
      </w:r>
      <w:hyperlink w:anchor="_bookmark28" w:history="1">
        <w:r w:rsidRPr="009B50CC">
          <w:rPr>
            <w:sz w:val="24"/>
            <w:lang w:val="fr-FR"/>
          </w:rPr>
          <w:t>,</w:t>
        </w:r>
      </w:hyperlink>
      <w:r w:rsidRPr="009B50CC">
        <w:rPr>
          <w:sz w:val="24"/>
          <w:lang w:val="fr-FR"/>
        </w:rPr>
        <w:t xml:space="preserve"> dans sa propre proposition d'amendement à l'article 14 (1)(b)</w:t>
      </w:r>
      <w:hyperlink w:anchor="_bookmark29" w:history="1">
        <w:r w:rsidRPr="009B50CC">
          <w:rPr>
            <w:sz w:val="24"/>
            <w:vertAlign w:val="superscript"/>
            <w:lang w:val="fr-FR"/>
          </w:rPr>
          <w:t>25</w:t>
        </w:r>
      </w:hyperlink>
      <w:r w:rsidRPr="009B50CC">
        <w:rPr>
          <w:sz w:val="24"/>
          <w:lang w:val="fr-FR"/>
        </w:rPr>
        <w:t>,</w:t>
      </w:r>
      <w:hyperlink w:anchor="_bookmark29" w:history="1"/>
      <w:r w:rsidRPr="009B50CC">
        <w:rPr>
          <w:sz w:val="24"/>
          <w:lang w:val="fr-FR"/>
        </w:rPr>
        <w:t xml:space="preserve">avait d'abord proposé que le texte entre crochets, à savoir « et si, mais uniquement si, l'obtenteur </w:t>
      </w:r>
      <w:r w:rsidRPr="009B50CC">
        <w:rPr>
          <w:b/>
          <w:sz w:val="24"/>
          <w:lang w:val="fr-FR"/>
        </w:rPr>
        <w:t xml:space="preserve">n'a eu aucune possibilité légale d'exercer son droit </w:t>
      </w:r>
      <w:r w:rsidRPr="009B50CC">
        <w:rPr>
          <w:sz w:val="24"/>
          <w:lang w:val="fr-FR"/>
        </w:rPr>
        <w:t xml:space="preserve">en ce qui concerne le matériel de reproduction ou de multiplication », soit intégré au texte de la Convention. En outre, le Japon a proposé de préciser les actes nécessitant l'autorisation du titulaire du droit d'obtenteur en ce qui concerne le produit de la récolte </w:t>
      </w:r>
      <w:hyperlink w:anchor="_bookmark30" w:history="1">
        <w:r w:rsidRPr="009B50CC">
          <w:rPr>
            <w:sz w:val="24"/>
            <w:vertAlign w:val="superscript"/>
            <w:lang w:val="fr-FR"/>
          </w:rPr>
          <w:t>26</w:t>
        </w:r>
      </w:hyperlink>
      <w:r w:rsidRPr="009B50CC">
        <w:rPr>
          <w:sz w:val="24"/>
          <w:lang w:val="fr-FR"/>
        </w:rPr>
        <w:t>et</w:t>
      </w:r>
      <w:r w:rsidR="005D00F1">
        <w:rPr>
          <w:sz w:val="24"/>
          <w:lang w:val="fr-FR"/>
        </w:rPr>
        <w:t xml:space="preserve"> </w:t>
      </w:r>
      <w:hyperlink w:anchor="_bookmark30" w:history="1"/>
      <w:r w:rsidRPr="009B50CC">
        <w:rPr>
          <w:sz w:val="24"/>
          <w:lang w:val="fr-FR"/>
        </w:rPr>
        <w:t xml:space="preserve">de subordonner également l'autorisation à </w:t>
      </w:r>
      <w:r w:rsidRPr="009B50CC">
        <w:rPr>
          <w:i/>
          <w:sz w:val="24"/>
          <w:lang w:val="fr-FR"/>
        </w:rPr>
        <w:t>la condition suivante :</w:t>
      </w:r>
      <w:r w:rsidRPr="009B50CC">
        <w:rPr>
          <w:sz w:val="24"/>
          <w:lang w:val="fr-FR"/>
        </w:rPr>
        <w:t xml:space="preserve"> « </w:t>
      </w:r>
      <w:r w:rsidRPr="009B50CC">
        <w:rPr>
          <w:i/>
          <w:sz w:val="24"/>
          <w:lang w:val="fr-FR"/>
        </w:rPr>
        <w:t xml:space="preserve">à condition que, malgré toute la diligence requise par les circonstances, l'obtenteur n'ait pas pu exercer son droit en ce qui concerne l'un des actes relatifs au matériel de reproduction ou de multiplication de la variété protégée visée au point a) ci-dessus </w:t>
      </w:r>
      <w:r w:rsidRPr="009B50CC">
        <w:rPr>
          <w:sz w:val="24"/>
          <w:lang w:val="fr-FR"/>
        </w:rPr>
        <w:t xml:space="preserve">» </w:t>
      </w:r>
      <w:hyperlink w:anchor="_bookmark31" w:history="1">
        <w:r w:rsidRPr="009B50CC">
          <w:rPr>
            <w:sz w:val="24"/>
            <w:vertAlign w:val="superscript"/>
            <w:lang w:val="fr-FR"/>
          </w:rPr>
          <w:t>(27).</w:t>
        </w:r>
      </w:hyperlink>
    </w:p>
    <w:p w14:paraId="32ADE096" w14:textId="77777777" w:rsidR="006B758D" w:rsidRPr="00685F68" w:rsidRDefault="006B758D">
      <w:pPr>
        <w:pStyle w:val="BodyText"/>
        <w:spacing w:before="1"/>
        <w:rPr>
          <w:sz w:val="18"/>
          <w:szCs w:val="18"/>
          <w:lang w:val="fr-FR"/>
        </w:rPr>
      </w:pPr>
    </w:p>
    <w:p w14:paraId="538DA798" w14:textId="77777777" w:rsidR="006B758D" w:rsidRPr="00EA2AB9" w:rsidRDefault="0023308C">
      <w:pPr>
        <w:pStyle w:val="BodyText"/>
        <w:spacing w:line="360" w:lineRule="auto"/>
        <w:ind w:left="682" w:right="401" w:firstLine="707"/>
        <w:jc w:val="both"/>
        <w:rPr>
          <w:lang w:val="fr-FR"/>
        </w:rPr>
      </w:pPr>
      <w:r w:rsidRPr="00EA2AB9">
        <w:rPr>
          <w:lang w:val="fr-FR"/>
        </w:rPr>
        <w:t>La discussion suscitée par ces deux propositions a donné lieu à des réactions positives et critiques, ainsi qu'à des suggestions d'amendements supplémentaires. Dans l'ensemble, les délégués se sont déclarés favorables au renforcement du droit d'obtenteur. Le président a proposé de clore le débat et de laisser au comité de rédaction le soin de finaliser le libellé si les propositions étaient acceptées. Les procès-verbaux font état du résultat suivant :</w:t>
      </w:r>
    </w:p>
    <w:p w14:paraId="7C634888" w14:textId="77777777" w:rsidR="006B758D" w:rsidRPr="00685F68" w:rsidRDefault="006B758D">
      <w:pPr>
        <w:pStyle w:val="BodyText"/>
        <w:rPr>
          <w:sz w:val="18"/>
          <w:szCs w:val="18"/>
          <w:lang w:val="fr-FR"/>
        </w:rPr>
      </w:pPr>
    </w:p>
    <w:p w14:paraId="2ADC6A7E" w14:textId="5B7A1671" w:rsidR="006B758D" w:rsidRPr="00685F68" w:rsidRDefault="0023308C" w:rsidP="00685F68">
      <w:pPr>
        <w:spacing w:line="360" w:lineRule="auto"/>
        <w:ind w:left="1402" w:right="400"/>
        <w:jc w:val="both"/>
        <w:rPr>
          <w:i/>
          <w:sz w:val="24"/>
          <w:lang w:val="fr-FR"/>
        </w:rPr>
      </w:pPr>
      <w:r w:rsidRPr="00EA2AB9">
        <w:rPr>
          <w:sz w:val="24"/>
          <w:lang w:val="fr-FR"/>
        </w:rPr>
        <w:t xml:space="preserve">« </w:t>
      </w:r>
      <w:r w:rsidRPr="00EA2AB9">
        <w:rPr>
          <w:i/>
          <w:sz w:val="24"/>
          <w:lang w:val="fr-FR"/>
        </w:rPr>
        <w:t xml:space="preserve">Le principe des propositions des délégations du Japon et de l'Espagne, reproduites dans les documents DC/91/61 et DC/01/82, visant à subordonner l'exercice du droit d'obtenteur à l'égard du produit de la récolte au fait </w:t>
      </w:r>
      <w:r w:rsidRPr="00EA2AB9">
        <w:rPr>
          <w:i/>
          <w:spacing w:val="-4"/>
          <w:sz w:val="24"/>
          <w:lang w:val="fr-FR"/>
        </w:rPr>
        <w:t>qu</w:t>
      </w:r>
      <w:r w:rsidR="00BA120F">
        <w:rPr>
          <w:i/>
          <w:spacing w:val="-4"/>
          <w:sz w:val="24"/>
          <w:lang w:val="fr-FR"/>
        </w:rPr>
        <w:t>’</w:t>
      </w:r>
    </w:p>
    <w:p w14:paraId="64EE35D1" w14:textId="5D39BE3F" w:rsidR="006B758D" w:rsidRPr="00EA2AB9" w:rsidRDefault="005C7D52">
      <w:pPr>
        <w:pStyle w:val="BodyText"/>
        <w:spacing w:before="11"/>
        <w:rPr>
          <w:i/>
          <w:sz w:val="13"/>
          <w:lang w:val="fr-FR"/>
        </w:rPr>
      </w:pPr>
      <w:r>
        <w:rPr>
          <w:noProof/>
        </w:rPr>
        <mc:AlternateContent>
          <mc:Choice Requires="wps">
            <w:drawing>
              <wp:anchor distT="0" distB="0" distL="0" distR="0" simplePos="0" relativeHeight="487592960" behindDoc="1" locked="0" layoutInCell="1" allowOverlap="1" wp14:anchorId="3271466C" wp14:editId="2145DFAD">
                <wp:simplePos x="0" y="0"/>
                <wp:positionH relativeFrom="page">
                  <wp:posOffset>1080770</wp:posOffset>
                </wp:positionH>
                <wp:positionV relativeFrom="paragraph">
                  <wp:posOffset>117475</wp:posOffset>
                </wp:positionV>
                <wp:extent cx="1828800" cy="7620"/>
                <wp:effectExtent l="0" t="0" r="0" b="0"/>
                <wp:wrapTopAndBottom/>
                <wp:docPr id="210159883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4" style="position:absolute;margin-left:85.1pt;margin-top:9.25pt;width:2in;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" w14:anchorId="2F610C45">
                <w10:wrap type="topAndBottom" anchorx="page"/>
              </v:rect>
            </w:pict>
          </mc:Fallback>
        </mc:AlternateContent>
      </w:r>
    </w:p>
    <w:p w14:paraId="21938F29" w14:textId="77777777" w:rsidR="006B758D" w:rsidRPr="00EA2AB9" w:rsidRDefault="0023308C">
      <w:pPr>
        <w:spacing w:before="101"/>
        <w:ind w:left="682"/>
        <w:rPr>
          <w:sz w:val="20"/>
          <w:lang w:val="fr-FR"/>
        </w:rPr>
      </w:pPr>
      <w:bookmarkStart w:id="27" w:name="_bookmark26"/>
      <w:bookmarkEnd w:id="27"/>
      <w:proofErr w:type="gramStart"/>
      <w:r w:rsidRPr="00EA2AB9">
        <w:rPr>
          <w:sz w:val="20"/>
          <w:vertAlign w:val="superscript"/>
          <w:lang w:val="fr-FR"/>
        </w:rPr>
        <w:t>22</w:t>
      </w:r>
      <w:r w:rsidRPr="00EA2AB9">
        <w:rPr>
          <w:sz w:val="20"/>
          <w:lang w:val="fr-FR"/>
        </w:rPr>
        <w:t xml:space="preserve">  Registres</w:t>
      </w:r>
      <w:proofErr w:type="gramEnd"/>
      <w:r w:rsidRPr="00EA2AB9">
        <w:rPr>
          <w:sz w:val="20"/>
          <w:lang w:val="fr-FR"/>
        </w:rPr>
        <w:t xml:space="preserve"> (ci-après dénommés « R »), n° 894.2, </w:t>
      </w:r>
      <w:r w:rsidRPr="00EA2AB9">
        <w:rPr>
          <w:spacing w:val="-2"/>
          <w:sz w:val="20"/>
          <w:lang w:val="fr-FR"/>
        </w:rPr>
        <w:t>p. 311.</w:t>
      </w:r>
    </w:p>
    <w:p w14:paraId="34E7D184" w14:textId="77777777" w:rsidR="006B758D" w:rsidRPr="00E33696" w:rsidRDefault="0023308C">
      <w:pPr>
        <w:ind w:left="682"/>
        <w:rPr>
          <w:sz w:val="20"/>
          <w:lang w:val="de-DE"/>
        </w:rPr>
      </w:pPr>
      <w:bookmarkStart w:id="28" w:name="_bookmark27"/>
      <w:bookmarkEnd w:id="28"/>
      <w:proofErr w:type="gramStart"/>
      <w:r w:rsidRPr="00E33696">
        <w:rPr>
          <w:sz w:val="20"/>
          <w:vertAlign w:val="superscript"/>
          <w:lang w:val="de-DE"/>
        </w:rPr>
        <w:t>23</w:t>
      </w:r>
      <w:r w:rsidRPr="00E33696">
        <w:rPr>
          <w:sz w:val="20"/>
          <w:lang w:val="de-DE"/>
        </w:rPr>
        <w:t xml:space="preserve">  R</w:t>
      </w:r>
      <w:proofErr w:type="gramEnd"/>
      <w:r w:rsidRPr="00E33696">
        <w:rPr>
          <w:sz w:val="20"/>
          <w:lang w:val="de-DE"/>
        </w:rPr>
        <w:t xml:space="preserve"> n° 914, </w:t>
      </w:r>
      <w:r w:rsidRPr="00E33696">
        <w:rPr>
          <w:spacing w:val="-2"/>
          <w:sz w:val="20"/>
          <w:lang w:val="de-DE"/>
        </w:rPr>
        <w:t>p. 314.</w:t>
      </w:r>
    </w:p>
    <w:p w14:paraId="3C5D8294" w14:textId="77777777" w:rsidR="006B758D" w:rsidRPr="00E33696" w:rsidRDefault="0023308C">
      <w:pPr>
        <w:spacing w:before="1"/>
        <w:ind w:left="682"/>
        <w:rPr>
          <w:sz w:val="20"/>
          <w:lang w:val="de-DE"/>
        </w:rPr>
      </w:pPr>
      <w:bookmarkStart w:id="29" w:name="_bookmark28"/>
      <w:bookmarkEnd w:id="29"/>
      <w:proofErr w:type="gramStart"/>
      <w:r w:rsidRPr="00E33696">
        <w:rPr>
          <w:sz w:val="20"/>
          <w:vertAlign w:val="superscript"/>
          <w:lang w:val="de-DE"/>
        </w:rPr>
        <w:t>24</w:t>
      </w:r>
      <w:r w:rsidRPr="00E33696">
        <w:rPr>
          <w:sz w:val="20"/>
          <w:lang w:val="de-DE"/>
        </w:rPr>
        <w:t xml:space="preserve">  R</w:t>
      </w:r>
      <w:proofErr w:type="gramEnd"/>
      <w:r w:rsidRPr="00E33696">
        <w:rPr>
          <w:sz w:val="20"/>
          <w:lang w:val="de-DE"/>
        </w:rPr>
        <w:t xml:space="preserve"> n° 916, </w:t>
      </w:r>
      <w:r w:rsidRPr="00E33696">
        <w:rPr>
          <w:spacing w:val="-2"/>
          <w:sz w:val="20"/>
          <w:lang w:val="de-DE"/>
        </w:rPr>
        <w:t>p. 314.</w:t>
      </w:r>
    </w:p>
    <w:p w14:paraId="6A67487F" w14:textId="77777777" w:rsidR="006B758D" w:rsidRPr="00E33696" w:rsidRDefault="0023308C">
      <w:pPr>
        <w:ind w:left="682"/>
        <w:rPr>
          <w:sz w:val="20"/>
          <w:lang w:val="de-DE"/>
        </w:rPr>
      </w:pPr>
      <w:bookmarkStart w:id="30" w:name="_bookmark29"/>
      <w:bookmarkEnd w:id="30"/>
      <w:proofErr w:type="gramStart"/>
      <w:r w:rsidRPr="00E33696">
        <w:rPr>
          <w:sz w:val="20"/>
          <w:vertAlign w:val="superscript"/>
          <w:lang w:val="de-DE"/>
        </w:rPr>
        <w:t>25</w:t>
      </w:r>
      <w:r w:rsidRPr="00E33696">
        <w:rPr>
          <w:sz w:val="20"/>
          <w:lang w:val="de-DE"/>
        </w:rPr>
        <w:t xml:space="preserve">  Doc</w:t>
      </w:r>
      <w:proofErr w:type="gramEnd"/>
      <w:r w:rsidRPr="00E33696">
        <w:rPr>
          <w:sz w:val="20"/>
          <w:lang w:val="de-DE"/>
        </w:rPr>
        <w:t xml:space="preserve"> DC/91/61, R, pp.</w:t>
      </w:r>
      <w:r w:rsidRPr="00E33696">
        <w:rPr>
          <w:spacing w:val="-5"/>
          <w:sz w:val="20"/>
          <w:lang w:val="de-DE"/>
        </w:rPr>
        <w:t xml:space="preserve"> 119-120</w:t>
      </w:r>
    </w:p>
    <w:p w14:paraId="17551D16" w14:textId="77777777" w:rsidR="006B758D" w:rsidRPr="00EA2AB9" w:rsidRDefault="0023308C">
      <w:pPr>
        <w:spacing w:before="1"/>
        <w:ind w:left="682"/>
        <w:rPr>
          <w:sz w:val="20"/>
          <w:lang w:val="fr-FR"/>
        </w:rPr>
      </w:pPr>
      <w:bookmarkStart w:id="31" w:name="_bookmark30"/>
      <w:bookmarkEnd w:id="31"/>
      <w:proofErr w:type="gramStart"/>
      <w:r w:rsidRPr="00EA2AB9">
        <w:rPr>
          <w:sz w:val="20"/>
          <w:vertAlign w:val="superscript"/>
          <w:lang w:val="fr-FR"/>
        </w:rPr>
        <w:t>26</w:t>
      </w:r>
      <w:r w:rsidRPr="00EA2AB9">
        <w:rPr>
          <w:sz w:val="20"/>
          <w:lang w:val="fr-FR"/>
        </w:rPr>
        <w:t xml:space="preserve">  Cette</w:t>
      </w:r>
      <w:proofErr w:type="gramEnd"/>
      <w:r w:rsidRPr="00EA2AB9">
        <w:rPr>
          <w:sz w:val="20"/>
          <w:lang w:val="fr-FR"/>
        </w:rPr>
        <w:t xml:space="preserve"> proposition du Japon a été rejetée par cinq voix pour, huit voix contre et quatre abstentions (R n° 942, </w:t>
      </w:r>
      <w:r w:rsidRPr="00EA2AB9">
        <w:rPr>
          <w:spacing w:val="-2"/>
          <w:sz w:val="20"/>
          <w:lang w:val="fr-FR"/>
        </w:rPr>
        <w:t>p. 318.</w:t>
      </w:r>
    </w:p>
    <w:p w14:paraId="37498C84" w14:textId="77777777" w:rsidR="006B758D" w:rsidRPr="00EA2AB9" w:rsidRDefault="0023308C">
      <w:pPr>
        <w:spacing w:line="228" w:lineRule="exact"/>
        <w:ind w:left="682"/>
        <w:rPr>
          <w:sz w:val="20"/>
          <w:lang w:val="fr-FR"/>
        </w:rPr>
      </w:pPr>
      <w:bookmarkStart w:id="32" w:name="_bookmark31"/>
      <w:bookmarkEnd w:id="32"/>
      <w:proofErr w:type="gramStart"/>
      <w:r w:rsidRPr="00EA2AB9">
        <w:rPr>
          <w:sz w:val="20"/>
          <w:vertAlign w:val="superscript"/>
          <w:lang w:val="fr-FR"/>
        </w:rPr>
        <w:t>27</w:t>
      </w:r>
      <w:r w:rsidRPr="00EA2AB9">
        <w:rPr>
          <w:sz w:val="20"/>
          <w:lang w:val="fr-FR"/>
        </w:rPr>
        <w:t xml:space="preserve">  Id.</w:t>
      </w:r>
      <w:proofErr w:type="gramEnd"/>
      <w:r w:rsidRPr="00EA2AB9">
        <w:rPr>
          <w:sz w:val="20"/>
          <w:lang w:val="fr-FR"/>
        </w:rPr>
        <w:t xml:space="preserve"> p. 120 (c'est nous qui </w:t>
      </w:r>
      <w:r w:rsidRPr="00EA2AB9">
        <w:rPr>
          <w:spacing w:val="-2"/>
          <w:sz w:val="20"/>
          <w:lang w:val="fr-FR"/>
        </w:rPr>
        <w:t>soulignons).</w:t>
      </w:r>
    </w:p>
    <w:p w14:paraId="1BA06E49" w14:textId="77777777" w:rsidR="006B758D" w:rsidRPr="00EA2AB9" w:rsidRDefault="006B758D">
      <w:pPr>
        <w:spacing w:line="228" w:lineRule="exact"/>
        <w:rPr>
          <w:sz w:val="20"/>
          <w:lang w:val="fr-FR"/>
        </w:rPr>
        <w:sectPr w:rsidR="006B758D" w:rsidRPr="00EA2AB9">
          <w:pgSz w:w="11910" w:h="16840"/>
          <w:pgMar w:top="1300" w:right="1300" w:bottom="1240" w:left="1020" w:header="0" w:footer="1049" w:gutter="0"/>
          <w:cols w:space="720"/>
        </w:sectPr>
      </w:pPr>
    </w:p>
    <w:p w14:paraId="74B3A12F" w14:textId="3F990CB3" w:rsidR="006B758D" w:rsidRPr="00BA120F" w:rsidRDefault="00BA120F">
      <w:pPr>
        <w:spacing w:before="76" w:line="362" w:lineRule="auto"/>
        <w:ind w:left="1402" w:right="395"/>
        <w:jc w:val="both"/>
        <w:rPr>
          <w:sz w:val="24"/>
          <w:lang w:val="fr-FR"/>
        </w:rPr>
      </w:pPr>
      <w:proofErr w:type="gramStart"/>
      <w:r>
        <w:rPr>
          <w:b/>
          <w:i/>
          <w:sz w:val="24"/>
          <w:lang w:val="fr-FR"/>
        </w:rPr>
        <w:lastRenderedPageBreak/>
        <w:t>i</w:t>
      </w:r>
      <w:r w:rsidR="0023308C" w:rsidRPr="00EA2AB9">
        <w:rPr>
          <w:b/>
          <w:i/>
          <w:sz w:val="24"/>
          <w:lang w:val="fr-FR"/>
        </w:rPr>
        <w:t>l</w:t>
      </w:r>
      <w:proofErr w:type="gramEnd"/>
      <w:r w:rsidR="0023308C" w:rsidRPr="00EA2AB9">
        <w:rPr>
          <w:b/>
          <w:i/>
          <w:sz w:val="24"/>
          <w:lang w:val="fr-FR"/>
        </w:rPr>
        <w:t xml:space="preserve"> avait été impossible </w:t>
      </w:r>
      <w:r w:rsidR="0023308C" w:rsidRPr="00EA2AB9">
        <w:rPr>
          <w:i/>
          <w:sz w:val="24"/>
          <w:lang w:val="fr-FR"/>
        </w:rPr>
        <w:t xml:space="preserve">de l'exercer en ce qui concerne le matériel de reproduction ou de multiplication </w:t>
      </w:r>
      <w:r w:rsidR="0023308C" w:rsidRPr="00EA2AB9">
        <w:rPr>
          <w:b/>
          <w:i/>
          <w:sz w:val="24"/>
          <w:lang w:val="fr-FR"/>
        </w:rPr>
        <w:t>a été acceptée par 10 voix pour et 8 voix contre</w:t>
      </w:r>
      <w:r w:rsidR="0023308C" w:rsidRPr="00EA2AB9">
        <w:rPr>
          <w:sz w:val="24"/>
          <w:lang w:val="fr-FR"/>
        </w:rPr>
        <w:t xml:space="preserve">. » </w:t>
      </w:r>
      <w:hyperlink w:anchor="_bookmark32" w:history="1">
        <w:r w:rsidR="0023308C" w:rsidRPr="00BA120F">
          <w:rPr>
            <w:sz w:val="24"/>
            <w:vertAlign w:val="superscript"/>
            <w:lang w:val="fr-FR"/>
          </w:rPr>
          <w:t>28</w:t>
        </w:r>
      </w:hyperlink>
    </w:p>
    <w:p w14:paraId="2A3B90E5" w14:textId="77777777" w:rsidR="006B758D" w:rsidRPr="00BA120F" w:rsidRDefault="006B758D">
      <w:pPr>
        <w:pStyle w:val="BodyText"/>
        <w:spacing w:before="8"/>
        <w:rPr>
          <w:sz w:val="35"/>
          <w:lang w:val="fr-FR"/>
        </w:rPr>
      </w:pPr>
    </w:p>
    <w:p w14:paraId="4A326EBE" w14:textId="3F287372" w:rsidR="006B758D" w:rsidRPr="00EA2AB9" w:rsidRDefault="0023308C">
      <w:pPr>
        <w:pStyle w:val="ListParagraph"/>
        <w:numPr>
          <w:ilvl w:val="2"/>
          <w:numId w:val="14"/>
        </w:numPr>
        <w:tabs>
          <w:tab w:val="left" w:pos="1974"/>
        </w:tabs>
        <w:spacing w:line="360" w:lineRule="auto"/>
        <w:ind w:right="396" w:firstLine="707"/>
        <w:rPr>
          <w:sz w:val="24"/>
          <w:lang w:val="fr-FR"/>
        </w:rPr>
      </w:pPr>
      <w:r w:rsidRPr="00EA2AB9">
        <w:rPr>
          <w:sz w:val="24"/>
          <w:lang w:val="fr-FR"/>
        </w:rPr>
        <w:t xml:space="preserve">La délégation des </w:t>
      </w:r>
      <w:r w:rsidRPr="00EA2AB9">
        <w:rPr>
          <w:i/>
          <w:sz w:val="24"/>
          <w:lang w:val="fr-FR"/>
        </w:rPr>
        <w:t xml:space="preserve">États Unis d'Amérique, </w:t>
      </w:r>
      <w:r w:rsidRPr="00EA2AB9">
        <w:rPr>
          <w:sz w:val="24"/>
          <w:lang w:val="fr-FR"/>
        </w:rPr>
        <w:t xml:space="preserve">dans sa proposition d'amendement à l'article </w:t>
      </w:r>
      <w:r w:rsidR="0080353C" w:rsidRPr="00EA2AB9">
        <w:rPr>
          <w:sz w:val="24"/>
          <w:lang w:val="fr-FR"/>
        </w:rPr>
        <w:t>14</w:t>
      </w:r>
      <w:r w:rsidR="0080353C">
        <w:rPr>
          <w:sz w:val="24"/>
          <w:lang w:val="fr-FR"/>
        </w:rPr>
        <w:t>(</w:t>
      </w:r>
      <w:r w:rsidR="0080353C" w:rsidRPr="00EA2AB9">
        <w:rPr>
          <w:sz w:val="24"/>
          <w:lang w:val="fr-FR"/>
        </w:rPr>
        <w:t>1)</w:t>
      </w:r>
      <w:r w:rsidR="0080353C">
        <w:rPr>
          <w:sz w:val="24"/>
          <w:lang w:val="fr-FR"/>
        </w:rPr>
        <w:t>(</w:t>
      </w:r>
      <w:r w:rsidR="0080353C" w:rsidRPr="00EA2AB9">
        <w:rPr>
          <w:sz w:val="24"/>
          <w:lang w:val="fr-FR"/>
        </w:rPr>
        <w:t>b)</w:t>
      </w:r>
      <w:hyperlink w:anchor="_bookmark33" w:history="1">
        <w:r w:rsidRPr="00EA2AB9">
          <w:rPr>
            <w:sz w:val="24"/>
            <w:vertAlign w:val="superscript"/>
            <w:lang w:val="fr-FR"/>
          </w:rPr>
          <w:t>29,</w:t>
        </w:r>
      </w:hyperlink>
      <w:r w:rsidRPr="00EA2AB9">
        <w:rPr>
          <w:sz w:val="24"/>
          <w:lang w:val="fr-FR"/>
        </w:rPr>
        <w:t>a proposé le libellé suivant :</w:t>
      </w:r>
    </w:p>
    <w:p w14:paraId="0BCF48CB" w14:textId="77777777" w:rsidR="006B758D" w:rsidRPr="00EA2AB9" w:rsidRDefault="006B758D">
      <w:pPr>
        <w:pStyle w:val="BodyText"/>
        <w:spacing w:before="10"/>
        <w:rPr>
          <w:sz w:val="35"/>
          <w:lang w:val="fr-FR"/>
        </w:rPr>
      </w:pPr>
    </w:p>
    <w:p w14:paraId="2A283817" w14:textId="77777777" w:rsidR="006B758D" w:rsidRDefault="0023308C">
      <w:pPr>
        <w:pStyle w:val="BodyText"/>
        <w:spacing w:before="1" w:line="360" w:lineRule="auto"/>
        <w:ind w:left="1402" w:right="398"/>
        <w:jc w:val="both"/>
      </w:pPr>
      <w:r w:rsidRPr="00EA2AB9">
        <w:rPr>
          <w:lang w:val="fr-FR"/>
        </w:rPr>
        <w:t xml:space="preserve">« b) en ce qui concerne le produit de la récolte de la variété protégée, tout acte visé au point a) ci-dessus, à condition que le produit de la récolte ait été obtenu par l'utilisation </w:t>
      </w:r>
      <w:r w:rsidRPr="00EA2AB9">
        <w:rPr>
          <w:b/>
          <w:lang w:val="fr-FR"/>
        </w:rPr>
        <w:t xml:space="preserve">non autorisée </w:t>
      </w:r>
      <w:r w:rsidRPr="00EA2AB9">
        <w:rPr>
          <w:lang w:val="fr-FR"/>
        </w:rPr>
        <w:t>de matériel de reproduction ou de multiplication [dont l'utilisation, aux fins d'obtenir le produit de la récolte, n'était pas autorisée par l'obtenteur [et si, et seulement si, l'obtenteur n'avait aucune possibilité</w:t>
      </w:r>
      <w:r w:rsidRPr="00EA2AB9">
        <w:rPr>
          <w:b/>
          <w:lang w:val="fr-FR"/>
        </w:rPr>
        <w:t xml:space="preserve"> légale </w:t>
      </w:r>
      <w:r w:rsidRPr="00EA2AB9">
        <w:rPr>
          <w:lang w:val="fr-FR"/>
        </w:rPr>
        <w:t>d'exercer son droit sur le matériel de reproduction ou de multiplication]] ».</w:t>
      </w:r>
      <w:hyperlink w:anchor="_bookmark34" w:history="1">
        <w:r>
          <w:rPr>
            <w:vertAlign w:val="superscript"/>
          </w:rPr>
          <w:t>30</w:t>
        </w:r>
      </w:hyperlink>
    </w:p>
    <w:p w14:paraId="63FC8180" w14:textId="77777777" w:rsidR="006B758D" w:rsidRDefault="006B758D">
      <w:pPr>
        <w:pStyle w:val="BodyText"/>
        <w:spacing w:before="1"/>
        <w:rPr>
          <w:sz w:val="36"/>
        </w:rPr>
      </w:pPr>
    </w:p>
    <w:p w14:paraId="6900FFB6" w14:textId="192A5C72" w:rsidR="006B758D" w:rsidRPr="00EA2AB9" w:rsidRDefault="0023308C">
      <w:pPr>
        <w:pStyle w:val="ListParagraph"/>
        <w:numPr>
          <w:ilvl w:val="2"/>
          <w:numId w:val="14"/>
        </w:numPr>
        <w:tabs>
          <w:tab w:val="left" w:pos="1938"/>
        </w:tabs>
        <w:spacing w:before="1" w:line="360" w:lineRule="auto"/>
        <w:ind w:right="397" w:firstLine="707"/>
        <w:rPr>
          <w:sz w:val="24"/>
          <w:lang w:val="fr-FR"/>
        </w:rPr>
      </w:pPr>
      <w:r w:rsidRPr="00EA2AB9">
        <w:rPr>
          <w:sz w:val="24"/>
          <w:lang w:val="fr-FR"/>
        </w:rPr>
        <w:t>Dans sa proposition d'amendement à l'article 14</w:t>
      </w:r>
      <w:r w:rsidR="0080353C">
        <w:rPr>
          <w:sz w:val="24"/>
          <w:lang w:val="fr-FR"/>
        </w:rPr>
        <w:t xml:space="preserve"> (</w:t>
      </w:r>
      <w:r w:rsidRPr="00EA2AB9">
        <w:rPr>
          <w:sz w:val="24"/>
          <w:lang w:val="fr-FR"/>
        </w:rPr>
        <w:t xml:space="preserve">1), la délégation de la </w:t>
      </w:r>
      <w:r w:rsidRPr="00EA2AB9">
        <w:rPr>
          <w:i/>
          <w:sz w:val="24"/>
          <w:lang w:val="fr-FR"/>
        </w:rPr>
        <w:t xml:space="preserve">République fédérale d'Allemagne </w:t>
      </w:r>
      <w:r w:rsidRPr="00EA2AB9">
        <w:rPr>
          <w:sz w:val="24"/>
          <w:lang w:val="fr-FR"/>
        </w:rPr>
        <w:t>a proposé le libellé suivant pour l'alinéa b) :</w:t>
      </w:r>
      <w:hyperlink w:anchor="_bookmark35" w:history="1">
        <w:r w:rsidRPr="00EA2AB9">
          <w:rPr>
            <w:sz w:val="24"/>
            <w:vertAlign w:val="superscript"/>
            <w:lang w:val="fr-FR"/>
          </w:rPr>
          <w:t>31</w:t>
        </w:r>
      </w:hyperlink>
    </w:p>
    <w:p w14:paraId="665EDEC1" w14:textId="77777777" w:rsidR="006B758D" w:rsidRPr="00EA2AB9" w:rsidRDefault="006B758D">
      <w:pPr>
        <w:pStyle w:val="BodyText"/>
        <w:spacing w:before="10"/>
        <w:rPr>
          <w:sz w:val="35"/>
          <w:lang w:val="fr-FR"/>
        </w:rPr>
      </w:pPr>
    </w:p>
    <w:p w14:paraId="609472B2" w14:textId="77777777" w:rsidR="006B758D" w:rsidRDefault="0023308C">
      <w:pPr>
        <w:pStyle w:val="BodyText"/>
        <w:spacing w:line="360" w:lineRule="auto"/>
        <w:ind w:left="1402" w:right="397"/>
        <w:jc w:val="both"/>
      </w:pPr>
      <w:r w:rsidRPr="00EA2AB9">
        <w:rPr>
          <w:lang w:val="fr-FR"/>
        </w:rPr>
        <w:t>«En ce qui concerne le produit de la récolte, y compris les plantes entières, de la variété protégée, par l'un des actes visés au point a) ci-dessus, à condition que le produit de la récolte ait été obtenu par l'utilisation</w:t>
      </w:r>
      <w:r w:rsidRPr="00EA2AB9">
        <w:rPr>
          <w:b/>
          <w:lang w:val="fr-FR"/>
        </w:rPr>
        <w:t xml:space="preserve"> non autorisée </w:t>
      </w:r>
      <w:r w:rsidRPr="00EA2AB9">
        <w:rPr>
          <w:lang w:val="fr-FR"/>
        </w:rPr>
        <w:t xml:space="preserve">de matériel de reproduction ou de multiplication [dont l'utilisation, dans le but d'obtenir du produit de la récolte, </w:t>
      </w:r>
      <w:r w:rsidRPr="00EA2AB9">
        <w:rPr>
          <w:b/>
          <w:lang w:val="fr-FR"/>
        </w:rPr>
        <w:t>n'</w:t>
      </w:r>
      <w:r w:rsidRPr="00EA2AB9">
        <w:rPr>
          <w:lang w:val="fr-FR"/>
        </w:rPr>
        <w:t xml:space="preserve">a </w:t>
      </w:r>
      <w:r w:rsidRPr="00EA2AB9">
        <w:rPr>
          <w:b/>
          <w:lang w:val="fr-FR"/>
        </w:rPr>
        <w:t xml:space="preserve">pas été autorisée </w:t>
      </w:r>
      <w:r w:rsidRPr="00EA2AB9">
        <w:rPr>
          <w:lang w:val="fr-FR"/>
        </w:rPr>
        <w:t xml:space="preserve">par l'obtenteur [et si, mais seulement si, l'obtenteur </w:t>
      </w:r>
      <w:r w:rsidRPr="00EA2AB9">
        <w:rPr>
          <w:b/>
          <w:lang w:val="fr-FR"/>
        </w:rPr>
        <w:t>n'</w:t>
      </w:r>
      <w:r w:rsidRPr="00EA2AB9">
        <w:rPr>
          <w:lang w:val="fr-FR"/>
        </w:rPr>
        <w:t xml:space="preserve">a eu </w:t>
      </w:r>
      <w:r w:rsidRPr="00EA2AB9">
        <w:rPr>
          <w:b/>
          <w:lang w:val="fr-FR"/>
        </w:rPr>
        <w:t xml:space="preserve">aucune possibilité légale </w:t>
      </w:r>
      <w:r w:rsidRPr="00EA2AB9">
        <w:rPr>
          <w:lang w:val="fr-FR"/>
        </w:rPr>
        <w:t xml:space="preserve">d'exercer son droit en relation avec le matériel de reproduction ou de multiplication] ;] ». </w:t>
      </w:r>
      <w:hyperlink w:anchor="_bookmark36" w:history="1">
        <w:r>
          <w:rPr>
            <w:vertAlign w:val="superscript"/>
          </w:rPr>
          <w:t>32</w:t>
        </w:r>
      </w:hyperlink>
    </w:p>
    <w:p w14:paraId="3A00F5AC" w14:textId="77777777" w:rsidR="006B758D" w:rsidRDefault="006B758D">
      <w:pPr>
        <w:pStyle w:val="BodyText"/>
        <w:spacing w:before="4"/>
        <w:rPr>
          <w:sz w:val="28"/>
        </w:rPr>
      </w:pPr>
    </w:p>
    <w:p w14:paraId="51DDAD9C" w14:textId="77777777" w:rsidR="006B758D" w:rsidRPr="00EA2AB9" w:rsidRDefault="0023308C">
      <w:pPr>
        <w:pStyle w:val="ListParagraph"/>
        <w:numPr>
          <w:ilvl w:val="2"/>
          <w:numId w:val="14"/>
        </w:numPr>
        <w:tabs>
          <w:tab w:val="left" w:pos="1935"/>
        </w:tabs>
        <w:spacing w:before="90"/>
        <w:ind w:left="1934" w:hanging="545"/>
        <w:rPr>
          <w:sz w:val="24"/>
          <w:lang w:val="fr-FR"/>
        </w:rPr>
      </w:pPr>
      <w:r w:rsidRPr="00EA2AB9">
        <w:rPr>
          <w:sz w:val="24"/>
          <w:lang w:val="fr-FR"/>
        </w:rPr>
        <w:t xml:space="preserve">La délégation du </w:t>
      </w:r>
      <w:r w:rsidRPr="00EA2AB9">
        <w:rPr>
          <w:i/>
          <w:sz w:val="24"/>
          <w:lang w:val="fr-FR"/>
        </w:rPr>
        <w:t xml:space="preserve">Danemark </w:t>
      </w:r>
      <w:r w:rsidRPr="00EA2AB9">
        <w:rPr>
          <w:sz w:val="24"/>
          <w:lang w:val="fr-FR"/>
        </w:rPr>
        <w:t>a proposé la formulation suivante pour l'article</w:t>
      </w:r>
      <w:r w:rsidRPr="00EA2AB9">
        <w:rPr>
          <w:spacing w:val="-5"/>
          <w:sz w:val="24"/>
          <w:lang w:val="fr-FR"/>
        </w:rPr>
        <w:t xml:space="preserve"> 14</w:t>
      </w:r>
    </w:p>
    <w:p w14:paraId="0DD69B7A" w14:textId="7ED1B867" w:rsidR="006B758D" w:rsidRPr="00BA120F" w:rsidRDefault="0080353C" w:rsidP="00BA120F">
      <w:pPr>
        <w:pStyle w:val="ListParagraph"/>
        <w:numPr>
          <w:ilvl w:val="0"/>
          <w:numId w:val="13"/>
        </w:numPr>
        <w:tabs>
          <w:tab w:val="left" w:pos="1021"/>
        </w:tabs>
        <w:spacing w:before="137"/>
        <w:rPr>
          <w:sz w:val="24"/>
        </w:rPr>
      </w:pPr>
      <w:r>
        <w:rPr>
          <w:spacing w:val="-4"/>
          <w:sz w:val="24"/>
          <w:lang w:val="fr-FR"/>
        </w:rPr>
        <w:t>(</w:t>
      </w:r>
      <w:r w:rsidR="0023308C">
        <w:rPr>
          <w:spacing w:val="-4"/>
          <w:sz w:val="24"/>
        </w:rPr>
        <w:t>b) :</w:t>
      </w:r>
    </w:p>
    <w:p w14:paraId="04F01F81" w14:textId="646179A0" w:rsidR="006B758D" w:rsidRPr="00EA2AB9" w:rsidRDefault="0023308C" w:rsidP="00BA120F">
      <w:pPr>
        <w:pStyle w:val="BodyText"/>
        <w:spacing w:before="90"/>
        <w:ind w:left="1402"/>
        <w:rPr>
          <w:lang w:val="fr-FR"/>
        </w:rPr>
      </w:pPr>
      <w:r w:rsidRPr="00EA2AB9">
        <w:rPr>
          <w:lang w:val="fr-FR"/>
        </w:rPr>
        <w:t xml:space="preserve">« </w:t>
      </w:r>
      <w:proofErr w:type="gramStart"/>
      <w:r w:rsidRPr="00EA2AB9">
        <w:rPr>
          <w:lang w:val="fr-FR"/>
        </w:rPr>
        <w:t>b</w:t>
      </w:r>
      <w:proofErr w:type="gramEnd"/>
      <w:r w:rsidRPr="00EA2AB9">
        <w:rPr>
          <w:lang w:val="fr-FR"/>
        </w:rPr>
        <w:t xml:space="preserve">) en ce qui concerne les autres parties des plantes ou le produit de la récolte de la variété </w:t>
      </w:r>
      <w:r w:rsidRPr="00EA2AB9">
        <w:rPr>
          <w:spacing w:val="-2"/>
          <w:lang w:val="fr-FR"/>
        </w:rPr>
        <w:t>protégée</w:t>
      </w:r>
      <w:r w:rsidRPr="00EA2AB9">
        <w:rPr>
          <w:lang w:val="fr-FR"/>
        </w:rPr>
        <w:t xml:space="preserve">, tout acte visé au point a) ci-dessus, à condition que le produit </w:t>
      </w:r>
      <w:r w:rsidRPr="00EA2AB9">
        <w:rPr>
          <w:spacing w:val="-2"/>
          <w:lang w:val="fr-FR"/>
        </w:rPr>
        <w:t>récolté</w:t>
      </w:r>
    </w:p>
    <w:p w14:paraId="0AF552D6" w14:textId="2AF0A673" w:rsidR="006B758D" w:rsidRPr="00EA2AB9" w:rsidRDefault="005C7D52">
      <w:pPr>
        <w:pStyle w:val="BodyText"/>
        <w:spacing w:before="8"/>
        <w:rPr>
          <w:sz w:val="29"/>
          <w:lang w:val="fr-FR"/>
        </w:rPr>
      </w:pPr>
      <w:r>
        <w:rPr>
          <w:noProof/>
        </w:rPr>
        <mc:AlternateContent>
          <mc:Choice Requires="wps">
            <w:drawing>
              <wp:anchor distT="0" distB="0" distL="0" distR="0" simplePos="0" relativeHeight="487593472" behindDoc="1" locked="0" layoutInCell="1" allowOverlap="1" wp14:anchorId="3EA76431" wp14:editId="10A2C6FE">
                <wp:simplePos x="0" y="0"/>
                <wp:positionH relativeFrom="page">
                  <wp:posOffset>1080770</wp:posOffset>
                </wp:positionH>
                <wp:positionV relativeFrom="paragraph">
                  <wp:posOffset>232410</wp:posOffset>
                </wp:positionV>
                <wp:extent cx="1828800" cy="7620"/>
                <wp:effectExtent l="0" t="0" r="0" b="0"/>
                <wp:wrapTopAndBottom/>
                <wp:docPr id="62475065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5" style="position:absolute;margin-left:85.1pt;margin-top:18.3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C3apULeAAAACQEAAA8AAAAAAAAAAAAAAAAAPwQAAGRycy9kb3ducmV2Lnht&#10;bFBLBQYAAAAABAAEAPMAAABKBQAAAAA=&#10;" w14:anchorId="55A44726">
                <w10:wrap type="topAndBottom" anchorx="page"/>
              </v:rect>
            </w:pict>
          </mc:Fallback>
        </mc:AlternateContent>
      </w:r>
    </w:p>
    <w:p w14:paraId="00778D59" w14:textId="77777777" w:rsidR="006B758D" w:rsidRPr="00EA2AB9" w:rsidRDefault="0023308C">
      <w:pPr>
        <w:spacing w:before="103"/>
        <w:ind w:left="682"/>
        <w:jc w:val="both"/>
        <w:rPr>
          <w:sz w:val="20"/>
          <w:lang w:val="fr-FR"/>
        </w:rPr>
      </w:pPr>
      <w:bookmarkStart w:id="33" w:name="_bookmark32"/>
      <w:bookmarkEnd w:id="33"/>
      <w:proofErr w:type="gramStart"/>
      <w:r w:rsidRPr="00EA2AB9">
        <w:rPr>
          <w:sz w:val="20"/>
          <w:vertAlign w:val="superscript"/>
          <w:lang w:val="fr-FR"/>
        </w:rPr>
        <w:t>28</w:t>
      </w:r>
      <w:r w:rsidRPr="00EA2AB9">
        <w:rPr>
          <w:sz w:val="20"/>
          <w:lang w:val="fr-FR"/>
        </w:rPr>
        <w:t xml:space="preserve">  R</w:t>
      </w:r>
      <w:proofErr w:type="gramEnd"/>
      <w:r w:rsidRPr="00EA2AB9">
        <w:rPr>
          <w:sz w:val="20"/>
          <w:lang w:val="fr-FR"/>
        </w:rPr>
        <w:t xml:space="preserve"> n° 934, p. 317 (c'est nous qui </w:t>
      </w:r>
      <w:r w:rsidRPr="00EA2AB9">
        <w:rPr>
          <w:spacing w:val="-2"/>
          <w:sz w:val="20"/>
          <w:lang w:val="fr-FR"/>
        </w:rPr>
        <w:t>soulignons).</w:t>
      </w:r>
    </w:p>
    <w:p w14:paraId="05764C41" w14:textId="77777777" w:rsidR="006B758D" w:rsidRPr="00EA2AB9" w:rsidRDefault="0023308C">
      <w:pPr>
        <w:spacing w:before="1" w:line="229" w:lineRule="exact"/>
        <w:ind w:left="682"/>
        <w:jc w:val="both"/>
        <w:rPr>
          <w:sz w:val="20"/>
          <w:lang w:val="fr-FR"/>
        </w:rPr>
      </w:pPr>
      <w:bookmarkStart w:id="34" w:name="_bookmark33"/>
      <w:bookmarkEnd w:id="34"/>
      <w:proofErr w:type="gramStart"/>
      <w:r w:rsidRPr="00EA2AB9">
        <w:rPr>
          <w:sz w:val="20"/>
          <w:vertAlign w:val="superscript"/>
          <w:lang w:val="fr-FR"/>
        </w:rPr>
        <w:t>29</w:t>
      </w:r>
      <w:r w:rsidRPr="00EA2AB9">
        <w:rPr>
          <w:sz w:val="20"/>
          <w:lang w:val="fr-FR"/>
        </w:rPr>
        <w:t xml:space="preserve">  Doc</w:t>
      </w:r>
      <w:proofErr w:type="gramEnd"/>
      <w:r w:rsidRPr="00EA2AB9">
        <w:rPr>
          <w:sz w:val="20"/>
          <w:lang w:val="fr-FR"/>
        </w:rPr>
        <w:t xml:space="preserve"> DC/91/12, R </w:t>
      </w:r>
      <w:r w:rsidRPr="00EA2AB9">
        <w:rPr>
          <w:spacing w:val="-2"/>
          <w:sz w:val="20"/>
          <w:lang w:val="fr-FR"/>
        </w:rPr>
        <w:t>p. 101.</w:t>
      </w:r>
    </w:p>
    <w:p w14:paraId="26580094" w14:textId="77777777" w:rsidR="006B758D" w:rsidRPr="00EA2AB9" w:rsidRDefault="0023308C">
      <w:pPr>
        <w:spacing w:line="229" w:lineRule="exact"/>
        <w:ind w:left="682"/>
        <w:jc w:val="both"/>
        <w:rPr>
          <w:sz w:val="20"/>
          <w:lang w:val="fr-FR"/>
        </w:rPr>
      </w:pPr>
      <w:bookmarkStart w:id="35" w:name="_bookmark34"/>
      <w:bookmarkEnd w:id="35"/>
      <w:proofErr w:type="gramStart"/>
      <w:r w:rsidRPr="00EA2AB9">
        <w:rPr>
          <w:sz w:val="20"/>
          <w:vertAlign w:val="superscript"/>
          <w:lang w:val="fr-FR"/>
        </w:rPr>
        <w:t>30</w:t>
      </w:r>
      <w:r w:rsidRPr="00EA2AB9">
        <w:rPr>
          <w:sz w:val="20"/>
          <w:lang w:val="fr-FR"/>
        </w:rPr>
        <w:t xml:space="preserve">  Id.</w:t>
      </w:r>
      <w:proofErr w:type="gramEnd"/>
      <w:r w:rsidRPr="00EA2AB9">
        <w:rPr>
          <w:sz w:val="20"/>
          <w:lang w:val="fr-FR"/>
        </w:rPr>
        <w:t xml:space="preserve">, deuxième </w:t>
      </w:r>
      <w:r w:rsidRPr="00EA2AB9">
        <w:rPr>
          <w:spacing w:val="-2"/>
          <w:sz w:val="20"/>
          <w:lang w:val="fr-FR"/>
        </w:rPr>
        <w:t>soulignement ajouté.</w:t>
      </w:r>
    </w:p>
    <w:p w14:paraId="191AFE20" w14:textId="77777777" w:rsidR="006B758D" w:rsidRPr="00EA2AB9" w:rsidRDefault="0023308C">
      <w:pPr>
        <w:ind w:left="682"/>
        <w:jc w:val="both"/>
        <w:rPr>
          <w:sz w:val="20"/>
          <w:lang w:val="fr-FR"/>
        </w:rPr>
      </w:pPr>
      <w:bookmarkStart w:id="36" w:name="_bookmark35"/>
      <w:bookmarkEnd w:id="36"/>
      <w:proofErr w:type="gramStart"/>
      <w:r w:rsidRPr="00EA2AB9">
        <w:rPr>
          <w:sz w:val="20"/>
          <w:vertAlign w:val="superscript"/>
          <w:lang w:val="fr-FR"/>
        </w:rPr>
        <w:t>31</w:t>
      </w:r>
      <w:r w:rsidRPr="00EA2AB9">
        <w:rPr>
          <w:sz w:val="20"/>
          <w:lang w:val="fr-FR"/>
        </w:rPr>
        <w:t xml:space="preserve">  Doc</w:t>
      </w:r>
      <w:proofErr w:type="gramEnd"/>
      <w:r w:rsidRPr="00EA2AB9">
        <w:rPr>
          <w:sz w:val="20"/>
          <w:lang w:val="fr-FR"/>
        </w:rPr>
        <w:t xml:space="preserve"> DC/91/91, R </w:t>
      </w:r>
      <w:r w:rsidRPr="00EA2AB9">
        <w:rPr>
          <w:spacing w:val="-2"/>
          <w:sz w:val="20"/>
          <w:lang w:val="fr-FR"/>
        </w:rPr>
        <w:t>p. 131.</w:t>
      </w:r>
    </w:p>
    <w:p w14:paraId="3B93C956" w14:textId="618F0845" w:rsidR="006B758D" w:rsidRPr="00EA2AB9" w:rsidRDefault="0023308C">
      <w:pPr>
        <w:spacing w:before="1"/>
        <w:ind w:left="682" w:right="400"/>
        <w:jc w:val="both"/>
        <w:rPr>
          <w:sz w:val="20"/>
          <w:lang w:val="fr-FR"/>
        </w:rPr>
      </w:pPr>
      <w:bookmarkStart w:id="37" w:name="_bookmark36"/>
      <w:bookmarkEnd w:id="37"/>
      <w:proofErr w:type="gramStart"/>
      <w:r w:rsidRPr="00EA2AB9">
        <w:rPr>
          <w:sz w:val="20"/>
          <w:vertAlign w:val="superscript"/>
          <w:lang w:val="fr-FR"/>
        </w:rPr>
        <w:t>32</w:t>
      </w:r>
      <w:r w:rsidRPr="00EA2AB9">
        <w:rPr>
          <w:sz w:val="20"/>
          <w:lang w:val="fr-FR"/>
        </w:rPr>
        <w:t xml:space="preserve">  Id.</w:t>
      </w:r>
      <w:proofErr w:type="gramEnd"/>
      <w:r w:rsidRPr="00EA2AB9">
        <w:rPr>
          <w:sz w:val="20"/>
          <w:lang w:val="fr-FR"/>
        </w:rPr>
        <w:t xml:space="preserve"> C'est nous qui soulignons. [Les notions « non autorisé » et « non autorisé » reflètent la formulation entre crochets du paragraphe (1), à savoir : </w:t>
      </w:r>
      <w:r w:rsidR="00DD202E" w:rsidRPr="00EA2AB9">
        <w:rPr>
          <w:sz w:val="20"/>
          <w:lang w:val="fr-FR"/>
        </w:rPr>
        <w:t xml:space="preserve">« </w:t>
      </w:r>
      <w:r w:rsidRPr="00EA2AB9">
        <w:rPr>
          <w:sz w:val="20"/>
          <w:lang w:val="fr-FR"/>
        </w:rPr>
        <w:t xml:space="preserve">Actes nécessitant l'autorisation de l'obtenteur », qui correspond à la formulation de la proposition de base, mais pas au texte finalement adopté de la Convention. Elles précisent également que la règle en cascade est limitée aux variétés protégées, dans le but de garantir l'exercice du droit </w:t>
      </w:r>
      <w:r w:rsidR="00DD202E" w:rsidRPr="00EA2AB9">
        <w:rPr>
          <w:sz w:val="20"/>
          <w:lang w:val="fr-FR"/>
        </w:rPr>
        <w:t xml:space="preserve">correspondant </w:t>
      </w:r>
      <w:r w:rsidRPr="00EA2AB9">
        <w:rPr>
          <w:sz w:val="20"/>
          <w:lang w:val="fr-FR"/>
        </w:rPr>
        <w:t>dès le stade le plus précoce de l'exploitation commerciale.].</w:t>
      </w:r>
    </w:p>
    <w:p w14:paraId="2F9FB0D0" w14:textId="77777777" w:rsidR="006B758D" w:rsidRPr="00EA2AB9" w:rsidRDefault="006B758D">
      <w:pPr>
        <w:jc w:val="both"/>
        <w:rPr>
          <w:sz w:val="20"/>
          <w:lang w:val="fr-FR"/>
        </w:rPr>
        <w:sectPr w:rsidR="006B758D" w:rsidRPr="00EA2AB9">
          <w:pgSz w:w="11910" w:h="16840"/>
          <w:pgMar w:top="1320" w:right="1300" w:bottom="1240" w:left="1020" w:header="0" w:footer="1049" w:gutter="0"/>
          <w:cols w:space="720"/>
        </w:sectPr>
      </w:pPr>
    </w:p>
    <w:p w14:paraId="1C4EDF26" w14:textId="0A83CA77" w:rsidR="006B758D" w:rsidRPr="00BA120F" w:rsidRDefault="0023308C" w:rsidP="00B91E8A">
      <w:pPr>
        <w:pStyle w:val="BodyText"/>
        <w:spacing w:line="360" w:lineRule="auto"/>
        <w:ind w:left="1402" w:right="397"/>
        <w:jc w:val="both"/>
        <w:rPr>
          <w:lang w:val="fr-FR"/>
        </w:rPr>
      </w:pPr>
      <w:proofErr w:type="gramStart"/>
      <w:r w:rsidRPr="00EA2AB9">
        <w:rPr>
          <w:lang w:val="fr-FR"/>
        </w:rPr>
        <w:lastRenderedPageBreak/>
        <w:t>a</w:t>
      </w:r>
      <w:proofErr w:type="gramEnd"/>
      <w:r w:rsidRPr="00EA2AB9">
        <w:rPr>
          <w:lang w:val="fr-FR"/>
        </w:rPr>
        <w:t xml:space="preserve"> été obtenu à partir de matériel de reproduction ou de multiplication dont l'utilisation, aux fins d'obtention du produit de la récolte, n'était pas autorisée par l'obtenteur, et si, et seulement si, l'obtenteur n'avait aucune </w:t>
      </w:r>
      <w:r w:rsidRPr="00EA2AB9">
        <w:rPr>
          <w:b/>
          <w:lang w:val="fr-FR"/>
        </w:rPr>
        <w:t xml:space="preserve">possibilité légale </w:t>
      </w:r>
      <w:r w:rsidRPr="00EA2AB9">
        <w:rPr>
          <w:lang w:val="fr-FR"/>
        </w:rPr>
        <w:t>d'exercer son droit en ce qui concerne le matériel de reproduction ou de multiplication. »</w:t>
      </w:r>
      <w:hyperlink w:anchor="_bookmark37" w:history="1">
        <w:r w:rsidRPr="00BA120F">
          <w:rPr>
            <w:vertAlign w:val="superscript"/>
            <w:lang w:val="fr-FR"/>
          </w:rPr>
          <w:t>33</w:t>
        </w:r>
      </w:hyperlink>
    </w:p>
    <w:p w14:paraId="18D38881" w14:textId="77777777" w:rsidR="006B758D" w:rsidRPr="00BA120F" w:rsidRDefault="006B758D">
      <w:pPr>
        <w:pStyle w:val="BodyText"/>
        <w:spacing w:before="2"/>
        <w:rPr>
          <w:sz w:val="16"/>
          <w:szCs w:val="16"/>
          <w:lang w:val="fr-FR"/>
        </w:rPr>
      </w:pPr>
    </w:p>
    <w:p w14:paraId="06286C39" w14:textId="77777777" w:rsidR="006B758D" w:rsidRPr="00EA2AB9" w:rsidRDefault="0023308C">
      <w:pPr>
        <w:pStyle w:val="ListParagraph"/>
        <w:numPr>
          <w:ilvl w:val="2"/>
          <w:numId w:val="14"/>
        </w:numPr>
        <w:tabs>
          <w:tab w:val="left" w:pos="1926"/>
        </w:tabs>
        <w:ind w:left="1925" w:hanging="536"/>
        <w:rPr>
          <w:sz w:val="24"/>
          <w:lang w:val="fr-FR"/>
        </w:rPr>
      </w:pPr>
      <w:r w:rsidRPr="00EA2AB9">
        <w:rPr>
          <w:sz w:val="24"/>
          <w:lang w:val="fr-FR"/>
        </w:rPr>
        <w:t xml:space="preserve">Proposition de la délégation du </w:t>
      </w:r>
      <w:r w:rsidRPr="00EA2AB9">
        <w:rPr>
          <w:i/>
          <w:sz w:val="24"/>
          <w:lang w:val="fr-FR"/>
        </w:rPr>
        <w:t xml:space="preserve">Royaume-Uni </w:t>
      </w:r>
      <w:r w:rsidRPr="00EA2AB9">
        <w:rPr>
          <w:sz w:val="24"/>
          <w:lang w:val="fr-FR"/>
        </w:rPr>
        <w:t xml:space="preserve">visant à ajouter à l'article 14 </w:t>
      </w:r>
      <w:r w:rsidRPr="00EA2AB9">
        <w:rPr>
          <w:spacing w:val="-5"/>
          <w:sz w:val="24"/>
          <w:lang w:val="fr-FR"/>
        </w:rPr>
        <w:t>(1)</w:t>
      </w:r>
    </w:p>
    <w:p w14:paraId="57CC7264" w14:textId="4374F79F" w:rsidR="006B758D" w:rsidRPr="009B50CC" w:rsidRDefault="0023308C">
      <w:pPr>
        <w:pStyle w:val="BodyText"/>
        <w:spacing w:before="137" w:line="360" w:lineRule="auto"/>
        <w:ind w:left="682" w:right="396"/>
        <w:jc w:val="both"/>
        <w:rPr>
          <w:lang w:val="fr-FR"/>
        </w:rPr>
      </w:pPr>
      <w:r w:rsidRPr="009B50CC">
        <w:rPr>
          <w:lang w:val="fr-FR"/>
        </w:rPr>
        <w:t>(a) un sous-paragraphe (viii) libellé comme suit : « utilisation pour la production commerciale de fleurs coupées et de fruits »</w:t>
      </w:r>
      <w:hyperlink w:anchor="_bookmark38" w:history="1">
        <w:r w:rsidRPr="009B50CC">
          <w:rPr>
            <w:vertAlign w:val="superscript"/>
            <w:lang w:val="fr-FR"/>
          </w:rPr>
          <w:t>34</w:t>
        </w:r>
      </w:hyperlink>
      <w:r w:rsidRPr="009B50CC">
        <w:rPr>
          <w:lang w:val="fr-FR"/>
        </w:rPr>
        <w:t xml:space="preserve"> a donné lieu à des débats approfondis et en partie controversés en séance plénière</w:t>
      </w:r>
      <w:hyperlink w:anchor="_bookmark39" w:history="1">
        <w:r w:rsidRPr="009B50CC">
          <w:rPr>
            <w:vertAlign w:val="superscript"/>
            <w:lang w:val="fr-FR"/>
          </w:rPr>
          <w:t>35</w:t>
        </w:r>
      </w:hyperlink>
      <w:r w:rsidRPr="009B50CC">
        <w:rPr>
          <w:lang w:val="fr-FR"/>
        </w:rPr>
        <w:t>.  À l'issue du débat, le président a fait remarquer qu</w:t>
      </w:r>
      <w:proofErr w:type="gramStart"/>
      <w:r w:rsidRPr="009B50CC">
        <w:rPr>
          <w:lang w:val="fr-FR"/>
        </w:rPr>
        <w:t>'«</w:t>
      </w:r>
      <w:proofErr w:type="gramEnd"/>
      <w:r w:rsidRPr="009B50CC">
        <w:rPr>
          <w:lang w:val="fr-FR"/>
        </w:rPr>
        <w:t xml:space="preserve"> à ce stade du débat, plusieurs questions interdépendantes étaient examinées simultanément et que plusieurs pistes pouvaient être envisagées : proposer un nouvel article 14 (1) (a) (viii), puis revenir à l'article 14 (1) (b</w:t>
      </w:r>
      <w:proofErr w:type="gramStart"/>
      <w:r w:rsidRPr="009B50CC">
        <w:rPr>
          <w:lang w:val="fr-FR"/>
        </w:rPr>
        <w:t>);</w:t>
      </w:r>
      <w:proofErr w:type="gramEnd"/>
      <w:r w:rsidRPr="009B50CC">
        <w:rPr>
          <w:lang w:val="fr-FR"/>
        </w:rPr>
        <w:t xml:space="preserve"> se prononcer sur ce dernier, puis réexaminer le premier ; créer un groupe de travail</w:t>
      </w:r>
      <w:proofErr w:type="gramStart"/>
      <w:r w:rsidRPr="009B50CC">
        <w:rPr>
          <w:lang w:val="fr-FR"/>
        </w:rPr>
        <w:t>.»</w:t>
      </w:r>
      <w:proofErr w:type="gramEnd"/>
      <w:r w:rsidRPr="009B50CC">
        <w:rPr>
          <w:lang w:val="fr-FR"/>
        </w:rPr>
        <w:t xml:space="preserve"> </w:t>
      </w:r>
      <w:hyperlink w:anchor="_bookmark40" w:history="1">
        <w:r w:rsidRPr="009B50CC">
          <w:rPr>
            <w:vertAlign w:val="superscript"/>
            <w:lang w:val="fr-FR"/>
          </w:rPr>
          <w:t>36</w:t>
        </w:r>
      </w:hyperlink>
      <w:r w:rsidRPr="009B50CC">
        <w:rPr>
          <w:lang w:val="fr-FR"/>
        </w:rPr>
        <w:t xml:space="preserve">  Ce groupe de travail a ensuite été créé par consensus par la Conférence le 11 mars 1991 </w:t>
      </w:r>
      <w:hyperlink w:anchor="_bookmark41" w:history="1">
        <w:r w:rsidRPr="009B50CC">
          <w:rPr>
            <w:vertAlign w:val="superscript"/>
            <w:lang w:val="fr-FR"/>
          </w:rPr>
          <w:t>37</w:t>
        </w:r>
      </w:hyperlink>
      <w:r w:rsidRPr="009B50CC">
        <w:rPr>
          <w:lang w:val="fr-FR"/>
        </w:rPr>
        <w:t xml:space="preserve">. </w:t>
      </w:r>
      <w:hyperlink w:anchor="_bookmark41" w:history="1"/>
    </w:p>
    <w:p w14:paraId="594D3C32" w14:textId="77777777" w:rsidR="006B758D" w:rsidRPr="00BA120F" w:rsidRDefault="006B758D">
      <w:pPr>
        <w:pStyle w:val="BodyText"/>
        <w:spacing w:before="2"/>
        <w:rPr>
          <w:sz w:val="18"/>
          <w:szCs w:val="18"/>
          <w:lang w:val="fr-FR"/>
        </w:rPr>
      </w:pPr>
    </w:p>
    <w:p w14:paraId="030B2A27" w14:textId="77777777" w:rsidR="006B758D" w:rsidRPr="00B91E8A" w:rsidRDefault="0023308C">
      <w:pPr>
        <w:pStyle w:val="ListParagraph"/>
        <w:numPr>
          <w:ilvl w:val="3"/>
          <w:numId w:val="12"/>
        </w:numPr>
        <w:tabs>
          <w:tab w:val="left" w:pos="2115"/>
        </w:tabs>
        <w:spacing w:line="360" w:lineRule="auto"/>
        <w:ind w:right="397" w:firstLine="707"/>
        <w:rPr>
          <w:sz w:val="24"/>
          <w:lang w:val="fr-FR"/>
        </w:rPr>
      </w:pPr>
      <w:r w:rsidRPr="00EA2AB9">
        <w:rPr>
          <w:sz w:val="24"/>
          <w:lang w:val="fr-FR"/>
        </w:rPr>
        <w:t xml:space="preserve">Le compte rendu du </w:t>
      </w:r>
      <w:r w:rsidRPr="00EA2AB9">
        <w:rPr>
          <w:i/>
          <w:sz w:val="24"/>
          <w:lang w:val="fr-FR"/>
        </w:rPr>
        <w:t xml:space="preserve">groupe de travail </w:t>
      </w:r>
      <w:r w:rsidRPr="00EA2AB9">
        <w:rPr>
          <w:sz w:val="24"/>
          <w:lang w:val="fr-FR"/>
        </w:rPr>
        <w:t>sur l'article 14, paragraphe 1, points a) et b), a été présenté par le président du groupe, M. J. Harvey, du Royaume-Uni</w:t>
      </w:r>
      <w:hyperlink w:anchor="_bookmark42" w:history="1">
        <w:r w:rsidRPr="00EA2AB9">
          <w:rPr>
            <w:sz w:val="24"/>
            <w:vertAlign w:val="superscript"/>
            <w:lang w:val="fr-FR"/>
          </w:rPr>
          <w:t>38</w:t>
        </w:r>
        <w:r w:rsidRPr="00EA2AB9">
          <w:rPr>
            <w:sz w:val="24"/>
            <w:lang w:val="fr-FR"/>
          </w:rPr>
          <w:t>.</w:t>
        </w:r>
      </w:hyperlink>
      <w:r w:rsidRPr="00EA2AB9">
        <w:rPr>
          <w:sz w:val="24"/>
          <w:lang w:val="fr-FR"/>
        </w:rPr>
        <w:t>M. Harvey a noté que la Conférence, réunie en séance plénière, avait donné au groupe de travail le mandat de modifier l'article 14, paragraphe 1</w:t>
      </w:r>
      <w:r w:rsidRPr="00EA2AB9">
        <w:rPr>
          <w:spacing w:val="-9"/>
          <w:sz w:val="24"/>
          <w:lang w:val="fr-FR"/>
        </w:rPr>
        <w:t xml:space="preserve"> </w:t>
      </w:r>
      <w:r w:rsidRPr="00EA2AB9">
        <w:rPr>
          <w:sz w:val="24"/>
          <w:lang w:val="fr-FR"/>
        </w:rPr>
        <w:t>b) afin de tenir compte des aspects techniques et juridiques en jeu et de son lien avec l'article 14 (1) (a) de la proposition de base telle que modifiée par la Conférence en séance plénière conformément aux documents DC/91/10 et DC/91/11</w:t>
      </w:r>
      <w:hyperlink w:anchor="_bookmark43" w:history="1">
        <w:r w:rsidRPr="00EA2AB9">
          <w:rPr>
            <w:sz w:val="24"/>
            <w:vertAlign w:val="superscript"/>
            <w:lang w:val="fr-FR"/>
          </w:rPr>
          <w:t>39</w:t>
        </w:r>
      </w:hyperlink>
      <w:r w:rsidRPr="00EA2AB9">
        <w:rPr>
          <w:sz w:val="24"/>
          <w:lang w:val="fr-FR"/>
        </w:rPr>
        <w:t xml:space="preserve"> et en gardant à l'esprit le principe de « cascade » adopté par la Conférence en séance plénière.</w:t>
      </w:r>
      <w:hyperlink w:anchor="_bookmark44" w:history="1">
        <w:r w:rsidRPr="00B91E8A">
          <w:rPr>
            <w:sz w:val="24"/>
            <w:vertAlign w:val="superscript"/>
            <w:lang w:val="fr-FR"/>
          </w:rPr>
          <w:t>40</w:t>
        </w:r>
      </w:hyperlink>
    </w:p>
    <w:p w14:paraId="5E5CC16E" w14:textId="77777777" w:rsidR="006B758D" w:rsidRPr="00B91E8A" w:rsidRDefault="006B758D" w:rsidP="00B91E8A">
      <w:pPr>
        <w:pStyle w:val="BodyText"/>
        <w:rPr>
          <w:sz w:val="18"/>
          <w:szCs w:val="18"/>
          <w:lang w:val="fr-FR"/>
        </w:rPr>
      </w:pPr>
    </w:p>
    <w:p w14:paraId="277579B3" w14:textId="653E6AF3" w:rsidR="006B758D" w:rsidRDefault="0023308C" w:rsidP="00B91E8A">
      <w:pPr>
        <w:pStyle w:val="ListParagraph"/>
        <w:numPr>
          <w:ilvl w:val="3"/>
          <w:numId w:val="12"/>
        </w:numPr>
        <w:tabs>
          <w:tab w:val="left" w:pos="2139"/>
        </w:tabs>
        <w:spacing w:line="276" w:lineRule="auto"/>
        <w:ind w:right="399" w:firstLine="707"/>
        <w:rPr>
          <w:sz w:val="24"/>
        </w:rPr>
      </w:pPr>
      <w:r w:rsidRPr="00EA2AB9">
        <w:rPr>
          <w:sz w:val="24"/>
          <w:lang w:val="fr-FR"/>
        </w:rPr>
        <w:t>En ce qui concerne la modification proposée à l'article 14</w:t>
      </w:r>
      <w:r w:rsidR="0080353C">
        <w:rPr>
          <w:sz w:val="24"/>
          <w:lang w:val="fr-FR"/>
        </w:rPr>
        <w:t xml:space="preserve"> (</w:t>
      </w:r>
      <w:r w:rsidRPr="00EA2AB9">
        <w:rPr>
          <w:sz w:val="24"/>
          <w:lang w:val="fr-FR"/>
        </w:rPr>
        <w:t>1)</w:t>
      </w:r>
      <w:r w:rsidR="0080353C">
        <w:rPr>
          <w:sz w:val="24"/>
          <w:lang w:val="fr-FR"/>
        </w:rPr>
        <w:t>(</w:t>
      </w:r>
      <w:r w:rsidRPr="00EA2AB9">
        <w:rPr>
          <w:sz w:val="24"/>
          <w:lang w:val="fr-FR"/>
        </w:rPr>
        <w:t xml:space="preserve">a), le Groupe de travail a rappelé que l'article </w:t>
      </w:r>
      <w:r w:rsidR="0080353C" w:rsidRPr="00EA2AB9">
        <w:rPr>
          <w:sz w:val="24"/>
          <w:lang w:val="fr-FR"/>
        </w:rPr>
        <w:t>14</w:t>
      </w:r>
      <w:r w:rsidR="0080353C">
        <w:rPr>
          <w:sz w:val="24"/>
          <w:lang w:val="fr-FR"/>
        </w:rPr>
        <w:t xml:space="preserve"> (</w:t>
      </w:r>
      <w:r w:rsidR="0080353C" w:rsidRPr="00EA2AB9">
        <w:rPr>
          <w:sz w:val="24"/>
          <w:lang w:val="fr-FR"/>
        </w:rPr>
        <w:t>1)</w:t>
      </w:r>
      <w:r w:rsidR="0080353C">
        <w:rPr>
          <w:sz w:val="24"/>
          <w:lang w:val="fr-FR"/>
        </w:rPr>
        <w:t>(</w:t>
      </w:r>
      <w:r w:rsidR="0080353C" w:rsidRPr="00EA2AB9">
        <w:rPr>
          <w:sz w:val="24"/>
          <w:lang w:val="fr-FR"/>
        </w:rPr>
        <w:t>a)</w:t>
      </w:r>
      <w:r w:rsidRPr="00EA2AB9">
        <w:rPr>
          <w:sz w:val="24"/>
          <w:lang w:val="fr-FR"/>
        </w:rPr>
        <w:t xml:space="preserve"> ne précisait plus si l'autorisation de l'obtenteur était nécessaire pour la production de produits de la récolte à partir de matériel de reproduction ou de multiplication. De même, il ne mentionnait pas si l'obtenteur pouvait subordonner son autorisation à certaines conditions pour les actes mentionnés aux alinéas (1) (a) (i) à (vii). </w:t>
      </w:r>
      <w:r>
        <w:rPr>
          <w:sz w:val="24"/>
        </w:rPr>
        <w:t xml:space="preserve">Bien </w:t>
      </w:r>
      <w:proofErr w:type="spellStart"/>
      <w:r>
        <w:rPr>
          <w:sz w:val="24"/>
        </w:rPr>
        <w:t>que</w:t>
      </w:r>
      <w:proofErr w:type="spellEnd"/>
      <w:r>
        <w:rPr>
          <w:sz w:val="24"/>
        </w:rPr>
        <w:t xml:space="preserve"> le</w:t>
      </w:r>
    </w:p>
    <w:p w14:paraId="60CA7F3F" w14:textId="1A176DF0" w:rsidR="006B758D" w:rsidRDefault="005C7D52">
      <w:pPr>
        <w:pStyle w:val="BodyText"/>
        <w:spacing w:before="9"/>
        <w:rPr>
          <w:sz w:val="17"/>
        </w:rPr>
      </w:pPr>
      <w:r>
        <w:rPr>
          <w:noProof/>
        </w:rPr>
        <mc:AlternateContent>
          <mc:Choice Requires="wps">
            <w:drawing>
              <wp:anchor distT="0" distB="0" distL="0" distR="0" simplePos="0" relativeHeight="487593984" behindDoc="1" locked="0" layoutInCell="1" allowOverlap="1" wp14:anchorId="36BB862A" wp14:editId="4FB8BB44">
                <wp:simplePos x="0" y="0"/>
                <wp:positionH relativeFrom="page">
                  <wp:posOffset>1080770</wp:posOffset>
                </wp:positionH>
                <wp:positionV relativeFrom="paragraph">
                  <wp:posOffset>145415</wp:posOffset>
                </wp:positionV>
                <wp:extent cx="1828800" cy="7620"/>
                <wp:effectExtent l="0" t="0" r="0" b="0"/>
                <wp:wrapTopAndBottom/>
                <wp:docPr id="163003707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6" style="position:absolute;margin-left:85.1pt;margin-top:11.45pt;width:2in;height:.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" w14:anchorId="409094D9">
                <w10:wrap type="topAndBottom" anchorx="page"/>
              </v:rect>
            </w:pict>
          </mc:Fallback>
        </mc:AlternateContent>
      </w:r>
    </w:p>
    <w:p w14:paraId="53808F11" w14:textId="77777777" w:rsidR="006B758D" w:rsidRPr="00EA2AB9" w:rsidRDefault="0023308C">
      <w:pPr>
        <w:spacing w:before="103"/>
        <w:ind w:left="682"/>
        <w:rPr>
          <w:sz w:val="20"/>
          <w:lang w:val="fr-FR"/>
        </w:rPr>
      </w:pPr>
      <w:proofErr w:type="gramStart"/>
      <w:r w:rsidRPr="00EA2AB9">
        <w:rPr>
          <w:sz w:val="20"/>
          <w:vertAlign w:val="superscript"/>
          <w:lang w:val="fr-FR"/>
        </w:rPr>
        <w:t>33</w:t>
      </w:r>
      <w:r w:rsidRPr="00EA2AB9">
        <w:rPr>
          <w:sz w:val="20"/>
          <w:lang w:val="fr-FR"/>
        </w:rPr>
        <w:t xml:space="preserve">  Doc</w:t>
      </w:r>
      <w:proofErr w:type="gramEnd"/>
      <w:r w:rsidRPr="00EA2AB9">
        <w:rPr>
          <w:sz w:val="20"/>
          <w:lang w:val="fr-FR"/>
        </w:rPr>
        <w:t xml:space="preserve"> DC/91/97, R p. 134 (c'est nous qui </w:t>
      </w:r>
      <w:r w:rsidRPr="00EA2AB9">
        <w:rPr>
          <w:spacing w:val="-2"/>
          <w:sz w:val="20"/>
          <w:lang w:val="fr-FR"/>
        </w:rPr>
        <w:t>soulignons).</w:t>
      </w:r>
    </w:p>
    <w:p w14:paraId="05FD70B2" w14:textId="77777777" w:rsidR="006B758D" w:rsidRPr="00EA2AB9" w:rsidRDefault="0023308C">
      <w:pPr>
        <w:spacing w:before="1" w:line="229" w:lineRule="exact"/>
        <w:ind w:left="682"/>
        <w:rPr>
          <w:sz w:val="20"/>
          <w:lang w:val="es-ES"/>
        </w:rPr>
      </w:pPr>
      <w:bookmarkStart w:id="38" w:name="_bookmark38"/>
      <w:bookmarkEnd w:id="38"/>
      <w:proofErr w:type="gramStart"/>
      <w:r w:rsidRPr="00EA2AB9">
        <w:rPr>
          <w:sz w:val="20"/>
          <w:vertAlign w:val="superscript"/>
          <w:lang w:val="es-ES"/>
        </w:rPr>
        <w:t>34</w:t>
      </w:r>
      <w:r w:rsidRPr="00EA2AB9">
        <w:rPr>
          <w:sz w:val="20"/>
          <w:lang w:val="es-ES"/>
        </w:rPr>
        <w:t xml:space="preserve">  Doc</w:t>
      </w:r>
      <w:proofErr w:type="gramEnd"/>
      <w:r w:rsidRPr="00EA2AB9">
        <w:rPr>
          <w:sz w:val="20"/>
          <w:lang w:val="es-ES"/>
        </w:rPr>
        <w:t xml:space="preserve"> DC/91/110, R </w:t>
      </w:r>
      <w:r w:rsidRPr="00EA2AB9">
        <w:rPr>
          <w:spacing w:val="-2"/>
          <w:sz w:val="20"/>
          <w:lang w:val="es-ES"/>
        </w:rPr>
        <w:t>p. 141.</w:t>
      </w:r>
    </w:p>
    <w:p w14:paraId="66D91742" w14:textId="77777777" w:rsidR="006B758D" w:rsidRPr="00EA2AB9" w:rsidRDefault="0023308C">
      <w:pPr>
        <w:spacing w:line="229" w:lineRule="exact"/>
        <w:ind w:left="682"/>
        <w:rPr>
          <w:sz w:val="20"/>
          <w:lang w:val="es-ES"/>
        </w:rPr>
      </w:pPr>
      <w:bookmarkStart w:id="39" w:name="_bookmark39"/>
      <w:bookmarkEnd w:id="39"/>
      <w:r w:rsidRPr="00EA2AB9">
        <w:rPr>
          <w:sz w:val="20"/>
          <w:lang w:val="es-ES"/>
        </w:rPr>
        <w:t>(</w:t>
      </w:r>
      <w:r w:rsidRPr="00EA2AB9">
        <w:rPr>
          <w:sz w:val="20"/>
          <w:vertAlign w:val="superscript"/>
          <w:lang w:val="es-ES"/>
        </w:rPr>
        <w:t>35)</w:t>
      </w:r>
      <w:r w:rsidRPr="00EA2AB9">
        <w:rPr>
          <w:sz w:val="20"/>
          <w:lang w:val="es-ES"/>
        </w:rPr>
        <w:t xml:space="preserve">  R nos 955-968, p. 321-324, nos 1005-1048, p.</w:t>
      </w:r>
      <w:r w:rsidRPr="00EA2AB9">
        <w:rPr>
          <w:spacing w:val="-4"/>
          <w:sz w:val="20"/>
          <w:lang w:val="es-ES"/>
        </w:rPr>
        <w:t xml:space="preserve"> 331-338.</w:t>
      </w:r>
    </w:p>
    <w:p w14:paraId="315E1A77" w14:textId="77777777" w:rsidR="006B758D" w:rsidRPr="00E33696" w:rsidRDefault="0023308C">
      <w:pPr>
        <w:ind w:left="682"/>
        <w:rPr>
          <w:sz w:val="20"/>
          <w:lang w:val="de-DE"/>
        </w:rPr>
      </w:pPr>
      <w:bookmarkStart w:id="40" w:name="_bookmark40"/>
      <w:bookmarkEnd w:id="40"/>
      <w:proofErr w:type="gramStart"/>
      <w:r w:rsidRPr="00E33696">
        <w:rPr>
          <w:sz w:val="20"/>
          <w:vertAlign w:val="superscript"/>
          <w:lang w:val="de-DE"/>
        </w:rPr>
        <w:t>36</w:t>
      </w:r>
      <w:r w:rsidRPr="00E33696">
        <w:rPr>
          <w:sz w:val="20"/>
          <w:lang w:val="de-DE"/>
        </w:rPr>
        <w:t xml:space="preserve">  R</w:t>
      </w:r>
      <w:proofErr w:type="gramEnd"/>
      <w:r w:rsidRPr="00E33696">
        <w:rPr>
          <w:sz w:val="20"/>
          <w:lang w:val="de-DE"/>
        </w:rPr>
        <w:t xml:space="preserve"> n° 1027, p.</w:t>
      </w:r>
      <w:r w:rsidRPr="00E33696">
        <w:rPr>
          <w:spacing w:val="-4"/>
          <w:sz w:val="20"/>
          <w:lang w:val="de-DE"/>
        </w:rPr>
        <w:t xml:space="preserve"> 336.</w:t>
      </w:r>
    </w:p>
    <w:p w14:paraId="022A18C2" w14:textId="77777777" w:rsidR="006B758D" w:rsidRPr="00E33696" w:rsidRDefault="0023308C">
      <w:pPr>
        <w:spacing w:before="1"/>
        <w:ind w:left="682"/>
        <w:rPr>
          <w:sz w:val="20"/>
          <w:lang w:val="de-DE"/>
        </w:rPr>
      </w:pPr>
      <w:bookmarkStart w:id="41" w:name="_bookmark41"/>
      <w:bookmarkEnd w:id="41"/>
      <w:proofErr w:type="gramStart"/>
      <w:r w:rsidRPr="00E33696">
        <w:rPr>
          <w:sz w:val="20"/>
          <w:vertAlign w:val="superscript"/>
          <w:lang w:val="de-DE"/>
        </w:rPr>
        <w:t>37</w:t>
      </w:r>
      <w:r w:rsidRPr="00E33696">
        <w:rPr>
          <w:sz w:val="20"/>
          <w:lang w:val="de-DE"/>
        </w:rPr>
        <w:t xml:space="preserve">  R</w:t>
      </w:r>
      <w:proofErr w:type="gramEnd"/>
      <w:r w:rsidRPr="00E33696">
        <w:rPr>
          <w:sz w:val="20"/>
          <w:lang w:val="de-DE"/>
        </w:rPr>
        <w:t xml:space="preserve"> n° 1030, </w:t>
      </w:r>
      <w:r w:rsidRPr="00E33696">
        <w:rPr>
          <w:spacing w:val="-2"/>
          <w:sz w:val="20"/>
          <w:lang w:val="de-DE"/>
        </w:rPr>
        <w:t>p. 336.</w:t>
      </w:r>
    </w:p>
    <w:p w14:paraId="24046F91" w14:textId="77777777" w:rsidR="006B758D" w:rsidRPr="00E33696" w:rsidRDefault="0023308C">
      <w:pPr>
        <w:ind w:left="682"/>
        <w:rPr>
          <w:sz w:val="20"/>
          <w:lang w:val="de-DE"/>
        </w:rPr>
      </w:pPr>
      <w:bookmarkStart w:id="42" w:name="_bookmark42"/>
      <w:bookmarkEnd w:id="42"/>
      <w:proofErr w:type="gramStart"/>
      <w:r w:rsidRPr="00E33696">
        <w:rPr>
          <w:sz w:val="20"/>
          <w:vertAlign w:val="superscript"/>
          <w:lang w:val="de-DE"/>
        </w:rPr>
        <w:t>38</w:t>
      </w:r>
      <w:r w:rsidRPr="00E33696">
        <w:rPr>
          <w:sz w:val="20"/>
          <w:lang w:val="de-DE"/>
        </w:rPr>
        <w:t xml:space="preserve">  Doc</w:t>
      </w:r>
      <w:proofErr w:type="gramEnd"/>
      <w:r w:rsidRPr="00E33696">
        <w:rPr>
          <w:sz w:val="20"/>
          <w:lang w:val="de-DE"/>
        </w:rPr>
        <w:t xml:space="preserve"> DC/91/118, R pp.</w:t>
      </w:r>
      <w:r w:rsidRPr="00E33696">
        <w:rPr>
          <w:spacing w:val="-4"/>
          <w:sz w:val="20"/>
          <w:lang w:val="de-DE"/>
        </w:rPr>
        <w:t xml:space="preserve"> 144-146.</w:t>
      </w:r>
    </w:p>
    <w:p w14:paraId="5938E425" w14:textId="77777777" w:rsidR="006B758D" w:rsidRPr="00EA2AB9" w:rsidRDefault="0023308C">
      <w:pPr>
        <w:ind w:left="682" w:right="316"/>
        <w:rPr>
          <w:sz w:val="20"/>
          <w:lang w:val="fr-FR"/>
        </w:rPr>
      </w:pPr>
      <w:bookmarkStart w:id="43" w:name="_bookmark43"/>
      <w:bookmarkEnd w:id="43"/>
      <w:proofErr w:type="gramStart"/>
      <w:r w:rsidRPr="00EA2AB9">
        <w:rPr>
          <w:sz w:val="20"/>
          <w:vertAlign w:val="superscript"/>
          <w:lang w:val="fr-FR"/>
        </w:rPr>
        <w:t>39</w:t>
      </w:r>
      <w:r w:rsidRPr="00EA2AB9">
        <w:rPr>
          <w:sz w:val="20"/>
          <w:lang w:val="fr-FR"/>
        </w:rPr>
        <w:t xml:space="preserve">  Propositions</w:t>
      </w:r>
      <w:proofErr w:type="gramEnd"/>
      <w:r w:rsidRPr="00EA2AB9">
        <w:rPr>
          <w:sz w:val="20"/>
          <w:lang w:val="fr-FR"/>
        </w:rPr>
        <w:t xml:space="preserve"> de la délégation des États-Unis : remplacer l'article 14, paragraphe 1, point a) iv), par « la vente ou toute autre forme de commercialisation [la vente ou toute autre forme de mise sur le marché] » et supprimer l'article 14, paragraphe 1, point a) viii), proposé (R p. 100 et p. 101).</w:t>
      </w:r>
    </w:p>
    <w:p w14:paraId="76954172" w14:textId="77777777" w:rsidR="006B758D" w:rsidRPr="00EA2AB9" w:rsidRDefault="0023308C">
      <w:pPr>
        <w:spacing w:line="228" w:lineRule="exact"/>
        <w:ind w:left="682"/>
        <w:rPr>
          <w:sz w:val="20"/>
          <w:lang w:val="fr-FR"/>
        </w:rPr>
      </w:pPr>
      <w:bookmarkStart w:id="44" w:name="_bookmark44"/>
      <w:bookmarkEnd w:id="44"/>
      <w:proofErr w:type="gramStart"/>
      <w:r w:rsidRPr="00EA2AB9">
        <w:rPr>
          <w:sz w:val="20"/>
          <w:vertAlign w:val="superscript"/>
          <w:lang w:val="fr-FR"/>
        </w:rPr>
        <w:t>40</w:t>
      </w:r>
      <w:r w:rsidRPr="00EA2AB9">
        <w:rPr>
          <w:sz w:val="20"/>
          <w:lang w:val="fr-FR"/>
        </w:rPr>
        <w:t xml:space="preserve">  N</w:t>
      </w:r>
      <w:proofErr w:type="gramEnd"/>
      <w:r w:rsidRPr="00EA2AB9">
        <w:rPr>
          <w:sz w:val="20"/>
          <w:lang w:val="fr-FR"/>
        </w:rPr>
        <w:t>° 5, R p.</w:t>
      </w:r>
      <w:r w:rsidRPr="00EA2AB9">
        <w:rPr>
          <w:spacing w:val="-4"/>
          <w:sz w:val="20"/>
          <w:lang w:val="fr-FR"/>
        </w:rPr>
        <w:t xml:space="preserve"> 144.</w:t>
      </w:r>
    </w:p>
    <w:p w14:paraId="56FCA2BB" w14:textId="77777777" w:rsidR="006B758D" w:rsidRPr="00EA2AB9" w:rsidRDefault="006B758D">
      <w:pPr>
        <w:spacing w:line="228" w:lineRule="exact"/>
        <w:rPr>
          <w:sz w:val="20"/>
          <w:lang w:val="fr-FR"/>
        </w:rPr>
        <w:sectPr w:rsidR="006B758D" w:rsidRPr="00EA2AB9">
          <w:pgSz w:w="11910" w:h="16840"/>
          <w:pgMar w:top="1320" w:right="1300" w:bottom="1240" w:left="1020" w:header="0" w:footer="1049" w:gutter="0"/>
          <w:cols w:space="720"/>
        </w:sectPr>
      </w:pPr>
    </w:p>
    <w:p w14:paraId="34FBC490" w14:textId="461809B1" w:rsidR="006B758D" w:rsidRPr="00EA2AB9" w:rsidRDefault="0023308C">
      <w:pPr>
        <w:pStyle w:val="BodyText"/>
        <w:spacing w:before="76" w:line="360" w:lineRule="auto"/>
        <w:ind w:left="682" w:right="394"/>
        <w:jc w:val="both"/>
        <w:rPr>
          <w:lang w:val="fr-FR"/>
        </w:rPr>
      </w:pPr>
      <w:proofErr w:type="gramStart"/>
      <w:r w:rsidRPr="00EA2AB9">
        <w:rPr>
          <w:lang w:val="fr-FR"/>
        </w:rPr>
        <w:lastRenderedPageBreak/>
        <w:t>groupe</w:t>
      </w:r>
      <w:proofErr w:type="gramEnd"/>
      <w:r w:rsidRPr="00EA2AB9">
        <w:rPr>
          <w:lang w:val="fr-FR"/>
        </w:rPr>
        <w:t xml:space="preserve"> de travail a compris que la liberté contractuelle du sélectionneur était implicite, et a finalement accepté d'ajouter à la fin du paragraphe (1) (a) une phrase supplémentaire libellée comme suit :</w:t>
      </w:r>
    </w:p>
    <w:p w14:paraId="39B09FFB" w14:textId="77777777" w:rsidR="006B758D" w:rsidRPr="00EA2AB9" w:rsidRDefault="006B758D">
      <w:pPr>
        <w:pStyle w:val="BodyText"/>
        <w:spacing w:before="1"/>
        <w:rPr>
          <w:sz w:val="36"/>
          <w:lang w:val="fr-FR"/>
        </w:rPr>
      </w:pPr>
    </w:p>
    <w:p w14:paraId="47F62797" w14:textId="77777777" w:rsidR="006B758D" w:rsidRDefault="0023308C">
      <w:pPr>
        <w:pStyle w:val="BodyText"/>
        <w:spacing w:line="360" w:lineRule="auto"/>
        <w:ind w:left="1402" w:right="404"/>
        <w:jc w:val="both"/>
      </w:pPr>
      <w:r w:rsidRPr="00EA2AB9">
        <w:rPr>
          <w:lang w:val="fr-FR"/>
        </w:rPr>
        <w:t>« L'obtenteur peut subordonner son autorisation des actes visés aux alinéas (1) (a) (i) à (vii) à des conditions et limitations. »</w:t>
      </w:r>
      <w:hyperlink w:anchor="_bookmark45" w:history="1">
        <w:r>
          <w:rPr>
            <w:vertAlign w:val="superscript"/>
          </w:rPr>
          <w:t>41</w:t>
        </w:r>
      </w:hyperlink>
    </w:p>
    <w:p w14:paraId="4959A9AA" w14:textId="77777777" w:rsidR="006B758D" w:rsidRDefault="006B758D">
      <w:pPr>
        <w:pStyle w:val="BodyText"/>
        <w:spacing w:before="1"/>
        <w:rPr>
          <w:sz w:val="36"/>
        </w:rPr>
      </w:pPr>
    </w:p>
    <w:p w14:paraId="0FCEC87C" w14:textId="77777777" w:rsidR="006B758D" w:rsidRDefault="0023308C">
      <w:pPr>
        <w:pStyle w:val="ListParagraph"/>
        <w:numPr>
          <w:ilvl w:val="3"/>
          <w:numId w:val="12"/>
        </w:numPr>
        <w:tabs>
          <w:tab w:val="left" w:pos="2130"/>
        </w:tabs>
        <w:spacing w:line="360" w:lineRule="auto"/>
        <w:ind w:right="393" w:firstLine="707"/>
        <w:rPr>
          <w:sz w:val="24"/>
        </w:rPr>
      </w:pPr>
      <w:r w:rsidRPr="00EA2AB9">
        <w:rPr>
          <w:sz w:val="24"/>
          <w:lang w:val="fr-FR"/>
        </w:rPr>
        <w:t>Pour l'examen de la modification de l'article 14 (1) (b), le groupe de travail s'est appuyé sur la proposition de la délégation des États Unis d'Amérique</w:t>
      </w:r>
      <w:hyperlink w:anchor="_bookmark46" w:history="1">
        <w:r w:rsidRPr="00EA2AB9">
          <w:rPr>
            <w:sz w:val="24"/>
            <w:lang w:val="fr-FR"/>
          </w:rPr>
          <w:t>.</w:t>
        </w:r>
        <w:r w:rsidRPr="00EA2AB9">
          <w:rPr>
            <w:sz w:val="24"/>
            <w:vertAlign w:val="superscript"/>
            <w:lang w:val="fr-FR"/>
          </w:rPr>
          <w:t>42</w:t>
        </w:r>
      </w:hyperlink>
      <w:r w:rsidRPr="00EA2AB9">
        <w:rPr>
          <w:sz w:val="24"/>
          <w:lang w:val="fr-FR"/>
        </w:rPr>
        <w:t xml:space="preserve"> Il a ensuite examiné la proposition présentée par la délégation du Japon</w:t>
      </w:r>
      <w:hyperlink w:anchor="_bookmark47" w:history="1">
        <w:r w:rsidRPr="00EA2AB9">
          <w:rPr>
            <w:sz w:val="24"/>
            <w:vertAlign w:val="superscript"/>
            <w:lang w:val="fr-FR"/>
          </w:rPr>
          <w:t>43</w:t>
        </w:r>
      </w:hyperlink>
      <w:r w:rsidRPr="00EA2AB9">
        <w:rPr>
          <w:sz w:val="24"/>
          <w:lang w:val="fr-FR"/>
        </w:rPr>
        <w:t xml:space="preserve">  visant à introduire la notion de « diligence raisonnable » dans l'article 14 (1) (b), a accepté le principe, mais a convenu qu'il était déjà inclus dans le texte par l'utilisation du mot « raisonnable ».</w:t>
      </w:r>
      <w:hyperlink w:anchor="_bookmark48" w:history="1">
        <w:r w:rsidRPr="00B91E8A">
          <w:rPr>
            <w:sz w:val="24"/>
            <w:vertAlign w:val="superscript"/>
            <w:lang w:val="fr-FR"/>
          </w:rPr>
          <w:t>44</w:t>
        </w:r>
      </w:hyperlink>
      <w:r w:rsidRPr="00B91E8A">
        <w:rPr>
          <w:sz w:val="24"/>
          <w:lang w:val="fr-FR"/>
        </w:rPr>
        <w:t xml:space="preserve">  </w:t>
      </w:r>
      <w:r>
        <w:rPr>
          <w:sz w:val="24"/>
        </w:rPr>
        <w:t xml:space="preserve">Le </w:t>
      </w:r>
      <w:proofErr w:type="spellStart"/>
      <w:r>
        <w:rPr>
          <w:sz w:val="24"/>
        </w:rPr>
        <w:t>groupe</w:t>
      </w:r>
      <w:proofErr w:type="spellEnd"/>
      <w:r>
        <w:rPr>
          <w:sz w:val="24"/>
        </w:rPr>
        <w:t xml:space="preserve"> de travail a ensuite résumé :</w:t>
      </w:r>
    </w:p>
    <w:p w14:paraId="0AEDFBD7" w14:textId="77777777" w:rsidR="006B758D" w:rsidRDefault="006B758D">
      <w:pPr>
        <w:pStyle w:val="BodyText"/>
        <w:rPr>
          <w:sz w:val="36"/>
        </w:rPr>
      </w:pPr>
    </w:p>
    <w:p w14:paraId="66E322D2" w14:textId="77777777" w:rsidR="006B758D" w:rsidRPr="00EA2AB9" w:rsidRDefault="0023308C">
      <w:pPr>
        <w:pStyle w:val="BodyText"/>
        <w:ind w:left="1402"/>
        <w:jc w:val="both"/>
        <w:rPr>
          <w:lang w:val="fr-FR"/>
        </w:rPr>
      </w:pPr>
      <w:r w:rsidRPr="00EA2AB9">
        <w:rPr>
          <w:lang w:val="fr-FR"/>
        </w:rPr>
        <w:t xml:space="preserve">« </w:t>
      </w:r>
      <w:r w:rsidRPr="00EA2AB9">
        <w:rPr>
          <w:spacing w:val="18"/>
          <w:lang w:val="fr-FR"/>
        </w:rPr>
        <w:t>1</w:t>
      </w:r>
      <w:r w:rsidRPr="00EA2AB9">
        <w:rPr>
          <w:lang w:val="fr-FR"/>
        </w:rPr>
        <w:t>8. Le Groupe de travail a examiné attentivement la dernière clause du paragraphe</w:t>
      </w:r>
      <w:r w:rsidRPr="00EA2AB9">
        <w:rPr>
          <w:spacing w:val="-5"/>
          <w:lang w:val="fr-FR"/>
        </w:rPr>
        <w:t xml:space="preserve"> 1</w:t>
      </w:r>
    </w:p>
    <w:p w14:paraId="32BBC993" w14:textId="77777777" w:rsidR="006B758D" w:rsidRPr="00B91E8A" w:rsidRDefault="0023308C">
      <w:pPr>
        <w:pStyle w:val="BodyText"/>
        <w:spacing w:before="139" w:line="360" w:lineRule="auto"/>
        <w:ind w:left="1402" w:right="395"/>
        <w:jc w:val="both"/>
        <w:rPr>
          <w:lang w:val="fr-FR"/>
        </w:rPr>
      </w:pPr>
      <w:r w:rsidRPr="00EA2AB9">
        <w:rPr>
          <w:lang w:val="fr-FR"/>
        </w:rPr>
        <w:t>(b) approuvé par la Conférence réunie en séance plénière. Il a pris note de la décision de la Conférence de supprimer les crochets du texte</w:t>
      </w:r>
      <w:hyperlink w:anchor="_bookmark49" w:history="1">
        <w:r w:rsidRPr="00EA2AB9">
          <w:rPr>
            <w:vertAlign w:val="superscript"/>
            <w:lang w:val="fr-FR"/>
          </w:rPr>
          <w:t>45</w:t>
        </w:r>
      </w:hyperlink>
      <w:r w:rsidRPr="00EA2AB9">
        <w:rPr>
          <w:lang w:val="fr-FR"/>
        </w:rPr>
        <w:t xml:space="preserve">  et de sa demande au Comité de rédaction de proposer un texte final exprimant les principes contenus dans la clause. Le Groupe de travail a noté que le texte était initialement destiné à couvrir une situation spécifique, mais que les discussions avaient montré </w:t>
      </w:r>
      <w:r w:rsidRPr="00EA2AB9">
        <w:rPr>
          <w:b/>
          <w:lang w:val="fr-FR"/>
        </w:rPr>
        <w:t>la nécessité d'élargir le texte au-delà de l'intention initiale tout en préservant cette intention</w:t>
      </w:r>
      <w:r w:rsidRPr="00EA2AB9">
        <w:rPr>
          <w:lang w:val="fr-FR"/>
        </w:rPr>
        <w:t>. Le groupe de travail a convenu que cela relevait de son mandat et que la proposition du groupe de travail contenait un amendement approprié. »</w:t>
      </w:r>
      <w:hyperlink w:anchor="_bookmark50" w:history="1">
        <w:r w:rsidRPr="00B91E8A">
          <w:rPr>
            <w:vertAlign w:val="superscript"/>
            <w:lang w:val="fr-FR"/>
          </w:rPr>
          <w:t>46</w:t>
        </w:r>
      </w:hyperlink>
    </w:p>
    <w:p w14:paraId="6930ECD5" w14:textId="77777777" w:rsidR="006B758D" w:rsidRPr="00B91E8A" w:rsidRDefault="006B758D">
      <w:pPr>
        <w:pStyle w:val="BodyText"/>
        <w:spacing w:before="11"/>
        <w:rPr>
          <w:sz w:val="35"/>
          <w:lang w:val="fr-FR"/>
        </w:rPr>
      </w:pPr>
    </w:p>
    <w:p w14:paraId="6DAB7FEE" w14:textId="70AC90C7" w:rsidR="006B758D" w:rsidRPr="008B5A49" w:rsidRDefault="0023308C" w:rsidP="008B5A49">
      <w:pPr>
        <w:pStyle w:val="ListParagraph"/>
        <w:numPr>
          <w:ilvl w:val="3"/>
          <w:numId w:val="12"/>
        </w:numPr>
        <w:tabs>
          <w:tab w:val="left" w:pos="2110"/>
        </w:tabs>
        <w:ind w:left="2110" w:hanging="720"/>
        <w:rPr>
          <w:sz w:val="24"/>
          <w:lang w:val="fr-FR"/>
        </w:rPr>
      </w:pPr>
      <w:r w:rsidRPr="00EA2AB9">
        <w:rPr>
          <w:sz w:val="24"/>
          <w:lang w:val="fr-FR"/>
        </w:rPr>
        <w:t>Le groupe a proposé la formulation suivante pour l'article 14</w:t>
      </w:r>
      <w:r w:rsidR="0080353C">
        <w:rPr>
          <w:sz w:val="24"/>
          <w:lang w:val="fr-FR"/>
        </w:rPr>
        <w:t xml:space="preserve"> (</w:t>
      </w:r>
      <w:r w:rsidRPr="00EA2AB9">
        <w:rPr>
          <w:sz w:val="24"/>
          <w:lang w:val="fr-FR"/>
        </w:rPr>
        <w:t>1)</w:t>
      </w:r>
      <w:r w:rsidR="0080353C">
        <w:rPr>
          <w:sz w:val="24"/>
          <w:lang w:val="fr-FR"/>
        </w:rPr>
        <w:t>(</w:t>
      </w:r>
      <w:r w:rsidRPr="00EA2AB9">
        <w:rPr>
          <w:spacing w:val="-4"/>
          <w:sz w:val="24"/>
          <w:lang w:val="fr-FR"/>
        </w:rPr>
        <w:t>b) :</w:t>
      </w:r>
    </w:p>
    <w:p w14:paraId="6757BCA7" w14:textId="77777777" w:rsidR="006B758D" w:rsidRPr="00EA2AB9" w:rsidRDefault="006B758D">
      <w:pPr>
        <w:pStyle w:val="BodyText"/>
        <w:spacing w:before="1"/>
        <w:rPr>
          <w:sz w:val="22"/>
          <w:lang w:val="fr-FR"/>
        </w:rPr>
      </w:pPr>
    </w:p>
    <w:p w14:paraId="4801A42B" w14:textId="5CFF9A67" w:rsidR="006B758D" w:rsidRPr="008B5A49" w:rsidRDefault="0023308C" w:rsidP="008B5A49">
      <w:pPr>
        <w:pStyle w:val="BodyText"/>
        <w:spacing w:line="360" w:lineRule="auto"/>
        <w:ind w:left="1402" w:right="400"/>
        <w:jc w:val="both"/>
        <w:rPr>
          <w:lang w:val="fr-FR"/>
        </w:rPr>
      </w:pPr>
      <w:r w:rsidRPr="00EA2AB9">
        <w:rPr>
          <w:lang w:val="fr-FR"/>
        </w:rPr>
        <w:t xml:space="preserve">« </w:t>
      </w:r>
      <w:proofErr w:type="gramStart"/>
      <w:r w:rsidRPr="00EA2AB9">
        <w:rPr>
          <w:lang w:val="fr-FR"/>
        </w:rPr>
        <w:t>b</w:t>
      </w:r>
      <w:proofErr w:type="gramEnd"/>
      <w:r w:rsidRPr="00EA2AB9">
        <w:rPr>
          <w:lang w:val="fr-FR"/>
        </w:rPr>
        <w:t xml:space="preserve">) En ce qui concerne le produit de la récolte de la variété protégée, y compris les plantes entières et les parties de plantes, tout acte visé au paragraphe a) ci-dessus, à condition que ce produit de la récolte ait été obtenu par </w:t>
      </w:r>
      <w:r w:rsidRPr="00EA2AB9">
        <w:rPr>
          <w:spacing w:val="-5"/>
          <w:lang w:val="fr-FR"/>
        </w:rPr>
        <w:t>utilisation</w:t>
      </w:r>
      <w:r w:rsidRPr="00EA2AB9">
        <w:rPr>
          <w:lang w:val="fr-FR"/>
        </w:rPr>
        <w:t xml:space="preserve"> non autorisée</w:t>
      </w:r>
    </w:p>
    <w:p w14:paraId="0203F1E6" w14:textId="22E4EA5F" w:rsidR="006B758D" w:rsidRPr="00EA2AB9" w:rsidRDefault="005C7D52">
      <w:pPr>
        <w:pStyle w:val="BodyText"/>
        <w:spacing w:before="8"/>
        <w:rPr>
          <w:sz w:val="21"/>
          <w:lang w:val="fr-FR"/>
        </w:rPr>
      </w:pPr>
      <w:r>
        <w:rPr>
          <w:noProof/>
        </w:rPr>
        <mc:AlternateContent>
          <mc:Choice Requires="wps">
            <w:drawing>
              <wp:anchor distT="0" distB="0" distL="0" distR="0" simplePos="0" relativeHeight="487594496" behindDoc="1" locked="0" layoutInCell="1" allowOverlap="1" wp14:anchorId="5316D558" wp14:editId="7CF4F3FE">
                <wp:simplePos x="0" y="0"/>
                <wp:positionH relativeFrom="page">
                  <wp:posOffset>1080770</wp:posOffset>
                </wp:positionH>
                <wp:positionV relativeFrom="paragraph">
                  <wp:posOffset>173990</wp:posOffset>
                </wp:positionV>
                <wp:extent cx="1828800" cy="7620"/>
                <wp:effectExtent l="0" t="0" r="0" b="0"/>
                <wp:wrapTopAndBottom/>
                <wp:docPr id="126368789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7" style="position:absolute;margin-left:85.1pt;margin-top:13.7pt;width:2in;height:.6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" w14:anchorId="44B82C00">
                <w10:wrap type="topAndBottom" anchorx="page"/>
              </v:rect>
            </w:pict>
          </mc:Fallback>
        </mc:AlternateContent>
      </w:r>
    </w:p>
    <w:p w14:paraId="6C63A3B9" w14:textId="77777777" w:rsidR="006B758D" w:rsidRPr="00EA2AB9" w:rsidRDefault="0023308C">
      <w:pPr>
        <w:spacing w:before="103"/>
        <w:ind w:left="682"/>
        <w:rPr>
          <w:sz w:val="20"/>
          <w:lang w:val="fr-FR"/>
        </w:rPr>
      </w:pPr>
      <w:bookmarkStart w:id="45" w:name="_bookmark45"/>
      <w:bookmarkEnd w:id="45"/>
      <w:proofErr w:type="gramStart"/>
      <w:r w:rsidRPr="00EA2AB9">
        <w:rPr>
          <w:sz w:val="20"/>
          <w:vertAlign w:val="superscript"/>
          <w:lang w:val="fr-FR"/>
        </w:rPr>
        <w:t>41</w:t>
      </w:r>
      <w:r w:rsidRPr="00EA2AB9">
        <w:rPr>
          <w:sz w:val="20"/>
          <w:lang w:val="fr-FR"/>
        </w:rPr>
        <w:t xml:space="preserve">  N</w:t>
      </w:r>
      <w:proofErr w:type="gramEnd"/>
      <w:r w:rsidRPr="00EA2AB9">
        <w:rPr>
          <w:sz w:val="20"/>
          <w:lang w:val="fr-FR"/>
        </w:rPr>
        <w:t xml:space="preserve">° 10, R </w:t>
      </w:r>
      <w:r w:rsidRPr="00EA2AB9">
        <w:rPr>
          <w:spacing w:val="-2"/>
          <w:sz w:val="20"/>
          <w:lang w:val="fr-FR"/>
        </w:rPr>
        <w:t>p. 145.</w:t>
      </w:r>
    </w:p>
    <w:p w14:paraId="458CDFA1" w14:textId="77777777" w:rsidR="006B758D" w:rsidRPr="00EA2AB9" w:rsidRDefault="0023308C">
      <w:pPr>
        <w:spacing w:before="1"/>
        <w:ind w:left="682"/>
        <w:rPr>
          <w:sz w:val="20"/>
          <w:lang w:val="fr-FR"/>
        </w:rPr>
      </w:pPr>
      <w:bookmarkStart w:id="46" w:name="_bookmark46"/>
      <w:bookmarkEnd w:id="46"/>
      <w:proofErr w:type="gramStart"/>
      <w:r w:rsidRPr="00EA2AB9">
        <w:rPr>
          <w:sz w:val="20"/>
          <w:vertAlign w:val="superscript"/>
          <w:lang w:val="fr-FR"/>
        </w:rPr>
        <w:t>42</w:t>
      </w:r>
      <w:r w:rsidRPr="00EA2AB9">
        <w:rPr>
          <w:sz w:val="20"/>
          <w:lang w:val="fr-FR"/>
        </w:rPr>
        <w:t xml:space="preserve">  Voir</w:t>
      </w:r>
      <w:proofErr w:type="gramEnd"/>
      <w:r w:rsidRPr="00EA2AB9">
        <w:rPr>
          <w:sz w:val="20"/>
          <w:lang w:val="fr-FR"/>
        </w:rPr>
        <w:t xml:space="preserve"> </w:t>
      </w:r>
      <w:r w:rsidRPr="00EA2AB9">
        <w:rPr>
          <w:i/>
          <w:sz w:val="20"/>
          <w:lang w:val="fr-FR"/>
        </w:rPr>
        <w:t xml:space="preserve">supra </w:t>
      </w:r>
      <w:r w:rsidRPr="00EA2AB9">
        <w:rPr>
          <w:sz w:val="20"/>
          <w:lang w:val="fr-FR"/>
        </w:rPr>
        <w:t>n°</w:t>
      </w:r>
      <w:r w:rsidRPr="00EA2AB9">
        <w:rPr>
          <w:spacing w:val="-2"/>
          <w:sz w:val="20"/>
          <w:lang w:val="fr-FR"/>
        </w:rPr>
        <w:t xml:space="preserve"> 10.2.1.</w:t>
      </w:r>
    </w:p>
    <w:p w14:paraId="486BF1CA" w14:textId="77777777" w:rsidR="006B758D" w:rsidRPr="00EA2AB9" w:rsidRDefault="0023308C">
      <w:pPr>
        <w:ind w:left="682"/>
        <w:rPr>
          <w:sz w:val="20"/>
          <w:lang w:val="fr-FR"/>
        </w:rPr>
      </w:pPr>
      <w:bookmarkStart w:id="47" w:name="_bookmark47"/>
      <w:bookmarkEnd w:id="47"/>
      <w:proofErr w:type="gramStart"/>
      <w:r w:rsidRPr="00EA2AB9">
        <w:rPr>
          <w:sz w:val="20"/>
          <w:vertAlign w:val="superscript"/>
          <w:lang w:val="fr-FR"/>
        </w:rPr>
        <w:t>43</w:t>
      </w:r>
      <w:r w:rsidRPr="00EA2AB9">
        <w:rPr>
          <w:sz w:val="20"/>
          <w:lang w:val="fr-FR"/>
        </w:rPr>
        <w:t xml:space="preserve">  Voir</w:t>
      </w:r>
      <w:proofErr w:type="gramEnd"/>
      <w:r w:rsidRPr="00EA2AB9">
        <w:rPr>
          <w:sz w:val="20"/>
          <w:lang w:val="fr-FR"/>
        </w:rPr>
        <w:t xml:space="preserve"> </w:t>
      </w:r>
      <w:r w:rsidRPr="00EA2AB9">
        <w:rPr>
          <w:i/>
          <w:sz w:val="20"/>
          <w:lang w:val="fr-FR"/>
        </w:rPr>
        <w:t xml:space="preserve">supra </w:t>
      </w:r>
      <w:r w:rsidRPr="00EA2AB9">
        <w:rPr>
          <w:sz w:val="20"/>
          <w:lang w:val="fr-FR"/>
        </w:rPr>
        <w:t xml:space="preserve">n° 10.1, 3e </w:t>
      </w:r>
      <w:r w:rsidRPr="00EA2AB9">
        <w:rPr>
          <w:spacing w:val="-2"/>
          <w:sz w:val="20"/>
          <w:lang w:val="fr-FR"/>
        </w:rPr>
        <w:t>paragraphe.</w:t>
      </w:r>
    </w:p>
    <w:p w14:paraId="7027A51A" w14:textId="77777777" w:rsidR="006B758D" w:rsidRPr="00EA2AB9" w:rsidRDefault="0023308C">
      <w:pPr>
        <w:spacing w:before="1"/>
        <w:ind w:left="682"/>
        <w:rPr>
          <w:sz w:val="20"/>
          <w:lang w:val="fr-FR"/>
        </w:rPr>
      </w:pPr>
      <w:bookmarkStart w:id="48" w:name="_bookmark48"/>
      <w:bookmarkEnd w:id="48"/>
      <w:proofErr w:type="gramStart"/>
      <w:r w:rsidRPr="00EA2AB9">
        <w:rPr>
          <w:sz w:val="20"/>
          <w:vertAlign w:val="superscript"/>
          <w:lang w:val="fr-FR"/>
        </w:rPr>
        <w:t>44</w:t>
      </w:r>
      <w:r w:rsidRPr="00EA2AB9">
        <w:rPr>
          <w:sz w:val="20"/>
          <w:lang w:val="fr-FR"/>
        </w:rPr>
        <w:t xml:space="preserve">  N</w:t>
      </w:r>
      <w:proofErr w:type="gramEnd"/>
      <w:r w:rsidRPr="00EA2AB9">
        <w:rPr>
          <w:sz w:val="20"/>
          <w:lang w:val="fr-FR"/>
        </w:rPr>
        <w:t xml:space="preserve">° 15, R </w:t>
      </w:r>
      <w:r w:rsidRPr="00EA2AB9">
        <w:rPr>
          <w:spacing w:val="-2"/>
          <w:sz w:val="20"/>
          <w:lang w:val="fr-FR"/>
        </w:rPr>
        <w:t>p. 146.</w:t>
      </w:r>
    </w:p>
    <w:p w14:paraId="3BF5C4AA" w14:textId="77777777" w:rsidR="006B758D" w:rsidRPr="00EA2AB9" w:rsidRDefault="0023308C">
      <w:pPr>
        <w:spacing w:line="229" w:lineRule="exact"/>
        <w:ind w:left="682"/>
        <w:rPr>
          <w:sz w:val="20"/>
          <w:lang w:val="fr-FR"/>
        </w:rPr>
      </w:pPr>
      <w:bookmarkStart w:id="49" w:name="_bookmark49"/>
      <w:bookmarkEnd w:id="49"/>
      <w:proofErr w:type="gramStart"/>
      <w:r w:rsidRPr="00EA2AB9">
        <w:rPr>
          <w:sz w:val="20"/>
          <w:vertAlign w:val="superscript"/>
          <w:lang w:val="fr-FR"/>
        </w:rPr>
        <w:t>45</w:t>
      </w:r>
      <w:r w:rsidRPr="00EA2AB9">
        <w:rPr>
          <w:sz w:val="20"/>
          <w:lang w:val="fr-FR"/>
        </w:rPr>
        <w:t xml:space="preserve">  Voir</w:t>
      </w:r>
      <w:proofErr w:type="gramEnd"/>
      <w:r w:rsidRPr="00EA2AB9">
        <w:rPr>
          <w:sz w:val="20"/>
          <w:lang w:val="fr-FR"/>
        </w:rPr>
        <w:t xml:space="preserve"> </w:t>
      </w:r>
      <w:r w:rsidRPr="00EA2AB9">
        <w:rPr>
          <w:i/>
          <w:sz w:val="20"/>
          <w:lang w:val="fr-FR"/>
        </w:rPr>
        <w:t xml:space="preserve">supra </w:t>
      </w:r>
      <w:r w:rsidRPr="00EA2AB9">
        <w:rPr>
          <w:sz w:val="20"/>
          <w:lang w:val="fr-FR"/>
        </w:rPr>
        <w:t xml:space="preserve">n° 10.1, citation dans le dernier paragraphe, renvoyant à R n° 934, </w:t>
      </w:r>
      <w:r w:rsidRPr="00EA2AB9">
        <w:rPr>
          <w:spacing w:val="-2"/>
          <w:sz w:val="20"/>
          <w:lang w:val="fr-FR"/>
        </w:rPr>
        <w:t>p. 317.</w:t>
      </w:r>
    </w:p>
    <w:p w14:paraId="5E868F17" w14:textId="77777777" w:rsidR="006B758D" w:rsidRPr="00EA2AB9" w:rsidRDefault="0023308C">
      <w:pPr>
        <w:spacing w:line="229" w:lineRule="exact"/>
        <w:ind w:left="682"/>
        <w:rPr>
          <w:sz w:val="20"/>
          <w:lang w:val="fr-FR"/>
        </w:rPr>
      </w:pPr>
      <w:bookmarkStart w:id="50" w:name="_bookmark50"/>
      <w:bookmarkEnd w:id="50"/>
      <w:proofErr w:type="gramStart"/>
      <w:r w:rsidRPr="00EA2AB9">
        <w:rPr>
          <w:sz w:val="20"/>
          <w:vertAlign w:val="superscript"/>
          <w:lang w:val="fr-FR"/>
        </w:rPr>
        <w:t>46</w:t>
      </w:r>
      <w:r w:rsidRPr="00EA2AB9">
        <w:rPr>
          <w:sz w:val="20"/>
          <w:lang w:val="fr-FR"/>
        </w:rPr>
        <w:t xml:space="preserve">  N</w:t>
      </w:r>
      <w:proofErr w:type="gramEnd"/>
      <w:r w:rsidRPr="00EA2AB9">
        <w:rPr>
          <w:sz w:val="20"/>
          <w:lang w:val="fr-FR"/>
        </w:rPr>
        <w:t xml:space="preserve">° 16, R p. 146 (c'est nous qui </w:t>
      </w:r>
      <w:r w:rsidRPr="00EA2AB9">
        <w:rPr>
          <w:spacing w:val="-2"/>
          <w:sz w:val="20"/>
          <w:lang w:val="fr-FR"/>
        </w:rPr>
        <w:t>soulignons).</w:t>
      </w:r>
    </w:p>
    <w:p w14:paraId="6B2C3D52" w14:textId="77777777" w:rsidR="006B758D" w:rsidRPr="00EA2AB9" w:rsidRDefault="006B758D">
      <w:pPr>
        <w:spacing w:line="229" w:lineRule="exact"/>
        <w:rPr>
          <w:sz w:val="20"/>
          <w:lang w:val="fr-FR"/>
        </w:rPr>
        <w:sectPr w:rsidR="006B758D" w:rsidRPr="00EA2AB9">
          <w:pgSz w:w="11910" w:h="16840"/>
          <w:pgMar w:top="1320" w:right="1300" w:bottom="1240" w:left="1020" w:header="0" w:footer="1049" w:gutter="0"/>
          <w:cols w:space="720"/>
        </w:sectPr>
      </w:pPr>
    </w:p>
    <w:p w14:paraId="1B395612" w14:textId="77777777" w:rsidR="006B758D" w:rsidRPr="00B91E8A" w:rsidRDefault="0023308C">
      <w:pPr>
        <w:pStyle w:val="BodyText"/>
        <w:spacing w:before="76" w:line="362" w:lineRule="auto"/>
        <w:ind w:left="1402" w:right="402"/>
        <w:jc w:val="both"/>
        <w:rPr>
          <w:lang w:val="fr-FR"/>
        </w:rPr>
      </w:pPr>
      <w:proofErr w:type="gramStart"/>
      <w:r w:rsidRPr="00EA2AB9">
        <w:rPr>
          <w:lang w:val="fr-FR"/>
        </w:rPr>
        <w:lastRenderedPageBreak/>
        <w:t>de</w:t>
      </w:r>
      <w:proofErr w:type="gramEnd"/>
      <w:r w:rsidRPr="00EA2AB9">
        <w:rPr>
          <w:lang w:val="fr-FR"/>
        </w:rPr>
        <w:t xml:space="preserve"> matériel de reproduction ou de multiplication, à moins que l'obtenteur n'ait eu des opportunités raisonnables d'exercer son droit en ce qui concerne le matériel de reproduction ou de multiplication. » </w:t>
      </w:r>
      <w:hyperlink w:anchor="_bookmark51" w:history="1">
        <w:r w:rsidRPr="00B91E8A">
          <w:rPr>
            <w:vertAlign w:val="superscript"/>
            <w:lang w:val="fr-FR"/>
          </w:rPr>
          <w:t>47</w:t>
        </w:r>
      </w:hyperlink>
    </w:p>
    <w:p w14:paraId="01A7BDF2" w14:textId="77777777" w:rsidR="006B758D" w:rsidRPr="00B91E8A" w:rsidRDefault="006B758D">
      <w:pPr>
        <w:pStyle w:val="BodyText"/>
        <w:spacing w:before="8"/>
        <w:rPr>
          <w:sz w:val="18"/>
          <w:szCs w:val="18"/>
          <w:lang w:val="fr-FR"/>
        </w:rPr>
      </w:pPr>
    </w:p>
    <w:p w14:paraId="1B2E9261" w14:textId="77777777" w:rsidR="006B758D" w:rsidRDefault="0023308C">
      <w:pPr>
        <w:pStyle w:val="ListParagraph"/>
        <w:numPr>
          <w:ilvl w:val="3"/>
          <w:numId w:val="11"/>
        </w:numPr>
        <w:tabs>
          <w:tab w:val="left" w:pos="2098"/>
        </w:tabs>
        <w:spacing w:line="360" w:lineRule="auto"/>
        <w:ind w:right="398" w:firstLine="707"/>
        <w:rPr>
          <w:sz w:val="24"/>
        </w:rPr>
      </w:pPr>
      <w:r w:rsidRPr="00EA2AB9">
        <w:rPr>
          <w:sz w:val="24"/>
          <w:lang w:val="fr-FR"/>
        </w:rPr>
        <w:t xml:space="preserve">Cette proposition du groupe de travail a été examinée lors de la quinzième réunion de la plénière, le 13 mars 1991. M. Harvey, président du groupe, a </w:t>
      </w:r>
      <w:r w:rsidRPr="00EA2AB9">
        <w:rPr>
          <w:i/>
          <w:sz w:val="24"/>
          <w:lang w:val="fr-FR"/>
        </w:rPr>
        <w:t>notamment</w:t>
      </w:r>
      <w:r w:rsidRPr="00EA2AB9">
        <w:rPr>
          <w:sz w:val="24"/>
          <w:lang w:val="fr-FR"/>
        </w:rPr>
        <w:t xml:space="preserve"> expliqué que le groupe avait proposé quelques modifications très légères du texte « qui n'en modifiaient pas le sens ». </w:t>
      </w:r>
      <w:r>
        <w:rPr>
          <w:sz w:val="24"/>
        </w:rPr>
        <w:t xml:space="preserve">Il a </w:t>
      </w:r>
      <w:proofErr w:type="spellStart"/>
      <w:proofErr w:type="gramStart"/>
      <w:r>
        <w:rPr>
          <w:sz w:val="24"/>
        </w:rPr>
        <w:t>ajouté</w:t>
      </w:r>
      <w:proofErr w:type="spellEnd"/>
      <w:r>
        <w:rPr>
          <w:sz w:val="24"/>
        </w:rPr>
        <w:t xml:space="preserve"> :</w:t>
      </w:r>
      <w:proofErr w:type="gramEnd"/>
    </w:p>
    <w:p w14:paraId="64B2662F" w14:textId="77777777" w:rsidR="006B758D" w:rsidRPr="008B5A49" w:rsidRDefault="006B758D">
      <w:pPr>
        <w:pStyle w:val="BodyText"/>
        <w:spacing w:before="10"/>
        <w:rPr>
          <w:sz w:val="18"/>
          <w:szCs w:val="18"/>
        </w:rPr>
      </w:pPr>
    </w:p>
    <w:p w14:paraId="2B070157" w14:textId="77777777" w:rsidR="006B758D" w:rsidRPr="00B91E8A" w:rsidRDefault="0023308C">
      <w:pPr>
        <w:spacing w:before="1" w:line="360" w:lineRule="auto"/>
        <w:ind w:left="1402" w:right="397"/>
        <w:jc w:val="both"/>
        <w:rPr>
          <w:sz w:val="24"/>
          <w:lang w:val="fr-FR"/>
        </w:rPr>
      </w:pPr>
      <w:r w:rsidRPr="00EA2AB9">
        <w:rPr>
          <w:sz w:val="24"/>
          <w:lang w:val="fr-FR"/>
        </w:rPr>
        <w:t xml:space="preserve">« Les modifications concernaient la fin de l'article 14 (1) (b), qui devrait se lire comme suit : « à condition que ce produit de la récolte ait été obtenu par l'utilisation non autorisée de matériel de reproduction ou de multiplication </w:t>
      </w:r>
      <w:r w:rsidRPr="00EA2AB9">
        <w:rPr>
          <w:sz w:val="24"/>
          <w:u w:val="single"/>
          <w:lang w:val="fr-FR"/>
        </w:rPr>
        <w:t xml:space="preserve">et que </w:t>
      </w:r>
      <w:r w:rsidRPr="00EA2AB9">
        <w:rPr>
          <w:sz w:val="24"/>
          <w:lang w:val="fr-FR"/>
        </w:rPr>
        <w:t xml:space="preserve">[à moins que l'obtenteur n'ait </w:t>
      </w:r>
      <w:r w:rsidRPr="00EA2AB9">
        <w:rPr>
          <w:sz w:val="24"/>
          <w:u w:val="single"/>
          <w:lang w:val="fr-FR"/>
        </w:rPr>
        <w:t xml:space="preserve">pas </w:t>
      </w:r>
      <w:r w:rsidRPr="00EA2AB9">
        <w:rPr>
          <w:sz w:val="24"/>
          <w:lang w:val="fr-FR"/>
        </w:rPr>
        <w:t xml:space="preserve">eu </w:t>
      </w:r>
      <w:r w:rsidRPr="00EA2AB9">
        <w:rPr>
          <w:sz w:val="24"/>
          <w:u w:val="single"/>
          <w:lang w:val="fr-FR"/>
        </w:rPr>
        <w:t>une opportunité</w:t>
      </w:r>
      <w:r w:rsidRPr="00EA2AB9">
        <w:rPr>
          <w:sz w:val="24"/>
          <w:lang w:val="fr-FR"/>
        </w:rPr>
        <w:t xml:space="preserve"> raisonnable [les possibilités] d'exercer son droit sur le matériel de reproduction ou de multiplication. » Ces modifications permettraient de préciser que la deuxième disposition (« et que... ») </w:t>
      </w:r>
      <w:r w:rsidRPr="00EA2AB9">
        <w:rPr>
          <w:b/>
          <w:sz w:val="24"/>
          <w:lang w:val="fr-FR"/>
        </w:rPr>
        <w:t xml:space="preserve">se réfère à l'ensemble de la disposition plutôt qu'à la clause qui la précède immédiatement et qui commence par « à condition que </w:t>
      </w:r>
      <w:r w:rsidRPr="00EA2AB9">
        <w:rPr>
          <w:sz w:val="24"/>
          <w:lang w:val="fr-FR"/>
        </w:rPr>
        <w:t>». »</w:t>
      </w:r>
      <w:hyperlink w:anchor="_bookmark52" w:history="1">
        <w:r w:rsidRPr="00B91E8A">
          <w:rPr>
            <w:sz w:val="24"/>
            <w:vertAlign w:val="superscript"/>
            <w:lang w:val="fr-FR"/>
          </w:rPr>
          <w:t>48</w:t>
        </w:r>
      </w:hyperlink>
    </w:p>
    <w:p w14:paraId="46CB23BF" w14:textId="77777777" w:rsidR="006B758D" w:rsidRPr="00B91E8A" w:rsidRDefault="006B758D">
      <w:pPr>
        <w:pStyle w:val="BodyText"/>
        <w:rPr>
          <w:sz w:val="18"/>
          <w:szCs w:val="18"/>
          <w:lang w:val="fr-FR"/>
        </w:rPr>
      </w:pPr>
    </w:p>
    <w:p w14:paraId="7A27389D" w14:textId="77777777" w:rsidR="006B758D" w:rsidRDefault="0023308C">
      <w:pPr>
        <w:pStyle w:val="ListParagraph"/>
        <w:numPr>
          <w:ilvl w:val="3"/>
          <w:numId w:val="11"/>
        </w:numPr>
        <w:tabs>
          <w:tab w:val="left" w:pos="2144"/>
        </w:tabs>
        <w:spacing w:line="360" w:lineRule="auto"/>
        <w:ind w:right="396" w:firstLine="707"/>
        <w:rPr>
          <w:sz w:val="24"/>
        </w:rPr>
      </w:pPr>
      <w:r w:rsidRPr="00EA2AB9">
        <w:rPr>
          <w:sz w:val="24"/>
          <w:lang w:val="fr-FR"/>
        </w:rPr>
        <w:t>Après que la plénière eut examiné le compte rendu du groupe de travail, le président a noté qu</w:t>
      </w:r>
      <w:proofErr w:type="gramStart"/>
      <w:r w:rsidRPr="00EA2AB9">
        <w:rPr>
          <w:sz w:val="24"/>
          <w:lang w:val="fr-FR"/>
        </w:rPr>
        <w:t>'«</w:t>
      </w:r>
      <w:proofErr w:type="gramEnd"/>
      <w:r w:rsidRPr="00EA2AB9">
        <w:rPr>
          <w:sz w:val="24"/>
          <w:lang w:val="fr-FR"/>
        </w:rPr>
        <w:t xml:space="preserve"> il n'y avait pas de véritable opposition à la proposition. </w:t>
      </w:r>
      <w:r>
        <w:rPr>
          <w:b/>
          <w:sz w:val="24"/>
        </w:rPr>
        <w:t xml:space="preserve">Il a </w:t>
      </w:r>
      <w:proofErr w:type="spellStart"/>
      <w:r>
        <w:rPr>
          <w:b/>
          <w:sz w:val="24"/>
        </w:rPr>
        <w:t>conclu</w:t>
      </w:r>
      <w:proofErr w:type="spellEnd"/>
      <w:r>
        <w:rPr>
          <w:b/>
          <w:sz w:val="24"/>
        </w:rPr>
        <w:t xml:space="preserve"> </w:t>
      </w:r>
      <w:proofErr w:type="spellStart"/>
      <w:r>
        <w:rPr>
          <w:b/>
          <w:sz w:val="24"/>
        </w:rPr>
        <w:t>qu'elle</w:t>
      </w:r>
      <w:proofErr w:type="spellEnd"/>
      <w:r>
        <w:rPr>
          <w:b/>
          <w:sz w:val="24"/>
        </w:rPr>
        <w:t xml:space="preserve"> </w:t>
      </w:r>
      <w:proofErr w:type="spellStart"/>
      <w:r>
        <w:rPr>
          <w:b/>
          <w:sz w:val="24"/>
        </w:rPr>
        <w:t>était</w:t>
      </w:r>
      <w:proofErr w:type="spellEnd"/>
      <w:r>
        <w:rPr>
          <w:b/>
          <w:sz w:val="24"/>
        </w:rPr>
        <w:t xml:space="preserve"> </w:t>
      </w:r>
      <w:proofErr w:type="spellStart"/>
      <w:r>
        <w:rPr>
          <w:b/>
          <w:sz w:val="24"/>
        </w:rPr>
        <w:t>donc</w:t>
      </w:r>
      <w:proofErr w:type="spellEnd"/>
      <w:r>
        <w:rPr>
          <w:b/>
          <w:sz w:val="24"/>
        </w:rPr>
        <w:t xml:space="preserve"> </w:t>
      </w:r>
      <w:r>
        <w:rPr>
          <w:sz w:val="24"/>
        </w:rPr>
        <w:t>acceptée. »</w:t>
      </w:r>
      <w:hyperlink w:anchor="_bookmark53" w:history="1">
        <w:r>
          <w:rPr>
            <w:sz w:val="24"/>
            <w:vertAlign w:val="superscript"/>
          </w:rPr>
          <w:t>49</w:t>
        </w:r>
      </w:hyperlink>
    </w:p>
    <w:p w14:paraId="4DB3E442" w14:textId="77777777" w:rsidR="006B758D" w:rsidRPr="008B5A49" w:rsidRDefault="006B758D">
      <w:pPr>
        <w:pStyle w:val="BodyText"/>
        <w:spacing w:before="1"/>
        <w:rPr>
          <w:sz w:val="18"/>
          <w:szCs w:val="18"/>
        </w:rPr>
      </w:pPr>
    </w:p>
    <w:p w14:paraId="09489052" w14:textId="4851C3FF" w:rsidR="006B758D" w:rsidRPr="00EA2AB9" w:rsidRDefault="0023308C">
      <w:pPr>
        <w:pStyle w:val="ListParagraph"/>
        <w:numPr>
          <w:ilvl w:val="0"/>
          <w:numId w:val="10"/>
        </w:numPr>
        <w:tabs>
          <w:tab w:val="left" w:pos="1630"/>
        </w:tabs>
        <w:spacing w:line="360" w:lineRule="auto"/>
        <w:ind w:right="397" w:firstLine="707"/>
        <w:rPr>
          <w:sz w:val="24"/>
          <w:lang w:val="fr-FR"/>
        </w:rPr>
      </w:pPr>
      <w:r w:rsidRPr="00EA2AB9">
        <w:rPr>
          <w:b/>
          <w:sz w:val="24"/>
          <w:lang w:val="fr-FR"/>
        </w:rPr>
        <w:t xml:space="preserve">L'analyse </w:t>
      </w:r>
      <w:r w:rsidRPr="00EA2AB9">
        <w:rPr>
          <w:sz w:val="24"/>
          <w:lang w:val="fr-FR"/>
        </w:rPr>
        <w:t>des documents préparatoires et des comptes rendus de la Conférence diplomatique concernant la notion d</w:t>
      </w:r>
      <w:proofErr w:type="gramStart"/>
      <w:r w:rsidRPr="00EA2AB9">
        <w:rPr>
          <w:sz w:val="24"/>
          <w:lang w:val="fr-FR"/>
        </w:rPr>
        <w:t>'«</w:t>
      </w:r>
      <w:proofErr w:type="gramEnd"/>
      <w:r w:rsidRPr="00EA2AB9">
        <w:rPr>
          <w:sz w:val="24"/>
          <w:lang w:val="fr-FR"/>
        </w:rPr>
        <w:t xml:space="preserve"> </w:t>
      </w:r>
      <w:r w:rsidRPr="00EA2AB9">
        <w:rPr>
          <w:b/>
          <w:sz w:val="24"/>
          <w:lang w:val="fr-FR"/>
        </w:rPr>
        <w:t xml:space="preserve">utilisation non autorisée du </w:t>
      </w:r>
      <w:r w:rsidRPr="00EA2AB9">
        <w:rPr>
          <w:sz w:val="24"/>
          <w:lang w:val="fr-FR"/>
        </w:rPr>
        <w:t>matériel</w:t>
      </w:r>
      <w:r w:rsidRPr="00EA2AB9">
        <w:rPr>
          <w:b/>
          <w:sz w:val="24"/>
          <w:lang w:val="fr-FR"/>
        </w:rPr>
        <w:t xml:space="preserve"> de reproduction ou de </w:t>
      </w:r>
      <w:r w:rsidRPr="00EA2AB9">
        <w:rPr>
          <w:sz w:val="24"/>
          <w:lang w:val="fr-FR"/>
        </w:rPr>
        <w:t xml:space="preserve">multiplication » de la variété protégée visée à l'article </w:t>
      </w:r>
      <w:r w:rsidR="0080353C" w:rsidRPr="00EA2AB9">
        <w:rPr>
          <w:sz w:val="24"/>
          <w:lang w:val="fr-FR"/>
        </w:rPr>
        <w:t>14</w:t>
      </w:r>
      <w:r w:rsidR="0080353C">
        <w:rPr>
          <w:sz w:val="24"/>
          <w:lang w:val="fr-FR"/>
        </w:rPr>
        <w:t>(</w:t>
      </w:r>
      <w:r w:rsidR="0080353C" w:rsidRPr="00EA2AB9">
        <w:rPr>
          <w:sz w:val="24"/>
          <w:lang w:val="fr-FR"/>
        </w:rPr>
        <w:t>1)</w:t>
      </w:r>
      <w:r w:rsidR="0080353C">
        <w:rPr>
          <w:sz w:val="24"/>
          <w:lang w:val="fr-FR"/>
        </w:rPr>
        <w:t>(</w:t>
      </w:r>
      <w:r w:rsidR="0080353C" w:rsidRPr="00EA2AB9">
        <w:rPr>
          <w:spacing w:val="-4"/>
          <w:sz w:val="24"/>
          <w:lang w:val="fr-FR"/>
        </w:rPr>
        <w:t>b)</w:t>
      </w:r>
      <w:r w:rsidRPr="00EA2AB9">
        <w:rPr>
          <w:sz w:val="24"/>
          <w:lang w:val="fr-FR"/>
        </w:rPr>
        <w:t>, désormais article 14</w:t>
      </w:r>
      <w:r w:rsidR="0080353C">
        <w:rPr>
          <w:sz w:val="24"/>
          <w:lang w:val="fr-FR"/>
        </w:rPr>
        <w:t>(</w:t>
      </w:r>
      <w:r w:rsidRPr="00EA2AB9">
        <w:rPr>
          <w:sz w:val="24"/>
          <w:lang w:val="fr-FR"/>
        </w:rPr>
        <w:t>2) de l'Acte de 1991 de l'UPOV, conduit aux conclusions suivantes :</w:t>
      </w:r>
    </w:p>
    <w:p w14:paraId="3FD5532F" w14:textId="77777777" w:rsidR="006B758D" w:rsidRPr="008B5A49" w:rsidRDefault="006B758D">
      <w:pPr>
        <w:pStyle w:val="BodyText"/>
        <w:spacing w:before="1"/>
        <w:rPr>
          <w:sz w:val="18"/>
          <w:szCs w:val="18"/>
          <w:lang w:val="fr-FR"/>
        </w:rPr>
      </w:pPr>
    </w:p>
    <w:p w14:paraId="75E51128" w14:textId="4CF3D6D6" w:rsidR="006B758D" w:rsidRPr="00EA2AB9" w:rsidRDefault="0023308C">
      <w:pPr>
        <w:pStyle w:val="ListParagraph"/>
        <w:numPr>
          <w:ilvl w:val="1"/>
          <w:numId w:val="10"/>
        </w:numPr>
        <w:tabs>
          <w:tab w:val="left" w:pos="1741"/>
        </w:tabs>
        <w:spacing w:line="360" w:lineRule="auto"/>
        <w:ind w:left="682" w:right="396" w:firstLine="707"/>
        <w:rPr>
          <w:b/>
          <w:sz w:val="24"/>
          <w:lang w:val="fr-FR"/>
        </w:rPr>
      </w:pPr>
      <w:r w:rsidRPr="00EA2AB9">
        <w:rPr>
          <w:b/>
          <w:sz w:val="24"/>
          <w:lang w:val="fr-FR"/>
        </w:rPr>
        <w:t xml:space="preserve">Toute utilisation </w:t>
      </w:r>
      <w:r w:rsidRPr="00EA2AB9">
        <w:rPr>
          <w:sz w:val="24"/>
          <w:lang w:val="fr-FR"/>
        </w:rPr>
        <w:t xml:space="preserve">visée à l'article </w:t>
      </w:r>
      <w:r w:rsidR="0080353C" w:rsidRPr="00EA2AB9">
        <w:rPr>
          <w:sz w:val="24"/>
          <w:lang w:val="fr-FR"/>
        </w:rPr>
        <w:t>14</w:t>
      </w:r>
      <w:r w:rsidR="0080353C">
        <w:rPr>
          <w:sz w:val="24"/>
          <w:lang w:val="fr-FR"/>
        </w:rPr>
        <w:t xml:space="preserve"> (</w:t>
      </w:r>
      <w:r w:rsidR="0080353C" w:rsidRPr="00EA2AB9">
        <w:rPr>
          <w:sz w:val="24"/>
          <w:lang w:val="fr-FR"/>
        </w:rPr>
        <w:t>1)</w:t>
      </w:r>
      <w:r w:rsidR="0080353C">
        <w:rPr>
          <w:sz w:val="24"/>
          <w:lang w:val="fr-FR"/>
        </w:rPr>
        <w:t>(</w:t>
      </w:r>
      <w:r w:rsidR="0080353C">
        <w:rPr>
          <w:spacing w:val="-4"/>
          <w:sz w:val="24"/>
          <w:lang w:val="fr-FR"/>
        </w:rPr>
        <w:t>a</w:t>
      </w:r>
      <w:r w:rsidR="0080353C" w:rsidRPr="00EA2AB9">
        <w:rPr>
          <w:spacing w:val="-4"/>
          <w:sz w:val="24"/>
          <w:lang w:val="fr-FR"/>
        </w:rPr>
        <w:t>)</w:t>
      </w:r>
      <w:r w:rsidRPr="00EA2AB9">
        <w:rPr>
          <w:sz w:val="24"/>
          <w:lang w:val="fr-FR"/>
        </w:rPr>
        <w:t xml:space="preserve"> de l'Acte de 1991 de l'UPOV, y compris toute utilisation soumise aux conditions prévues à l'article </w:t>
      </w:r>
      <w:r w:rsidR="0080353C" w:rsidRPr="00EA2AB9">
        <w:rPr>
          <w:sz w:val="24"/>
          <w:lang w:val="fr-FR"/>
        </w:rPr>
        <w:t>14</w:t>
      </w:r>
      <w:r w:rsidR="0080353C">
        <w:rPr>
          <w:sz w:val="24"/>
          <w:lang w:val="fr-FR"/>
        </w:rPr>
        <w:t xml:space="preserve"> (</w:t>
      </w:r>
      <w:r w:rsidR="0080353C" w:rsidRPr="00EA2AB9">
        <w:rPr>
          <w:sz w:val="24"/>
          <w:lang w:val="fr-FR"/>
        </w:rPr>
        <w:t>1)</w:t>
      </w:r>
      <w:r w:rsidR="0080353C">
        <w:rPr>
          <w:sz w:val="24"/>
          <w:lang w:val="fr-FR"/>
        </w:rPr>
        <w:t>(</w:t>
      </w:r>
      <w:r w:rsidR="0080353C" w:rsidRPr="00EA2AB9">
        <w:rPr>
          <w:spacing w:val="-4"/>
          <w:sz w:val="24"/>
          <w:lang w:val="fr-FR"/>
        </w:rPr>
        <w:t>b)</w:t>
      </w:r>
      <w:r w:rsidRPr="00EA2AB9">
        <w:rPr>
          <w:sz w:val="24"/>
          <w:lang w:val="fr-FR"/>
        </w:rPr>
        <w:t xml:space="preserve">, </w:t>
      </w:r>
      <w:r w:rsidRPr="00EA2AB9">
        <w:rPr>
          <w:b/>
          <w:sz w:val="24"/>
          <w:lang w:val="fr-FR"/>
        </w:rPr>
        <w:t xml:space="preserve">de matériel de reproduction ou de multiplication d'une variété protégée </w:t>
      </w:r>
      <w:r w:rsidRPr="00EA2AB9">
        <w:rPr>
          <w:sz w:val="24"/>
          <w:lang w:val="fr-FR"/>
        </w:rPr>
        <w:t xml:space="preserve">nécessite </w:t>
      </w:r>
      <w:r w:rsidRPr="00EA2AB9">
        <w:rPr>
          <w:b/>
          <w:sz w:val="24"/>
          <w:lang w:val="fr-FR"/>
        </w:rPr>
        <w:t xml:space="preserve">l'autorisation du titulaire du droit d'obtenteur relatif à cette variété. </w:t>
      </w:r>
      <w:r w:rsidRPr="00EA2AB9">
        <w:rPr>
          <w:sz w:val="24"/>
          <w:lang w:val="fr-FR"/>
        </w:rPr>
        <w:t>Dans le cas contraire</w:t>
      </w:r>
      <w:r w:rsidRPr="00EA2AB9">
        <w:rPr>
          <w:b/>
          <w:sz w:val="24"/>
          <w:lang w:val="fr-FR"/>
        </w:rPr>
        <w:t xml:space="preserve">, </w:t>
      </w:r>
      <w:r w:rsidRPr="00EA2AB9">
        <w:rPr>
          <w:sz w:val="24"/>
          <w:lang w:val="fr-FR"/>
        </w:rPr>
        <w:t xml:space="preserve">il s'agit d'une </w:t>
      </w:r>
      <w:r w:rsidRPr="00EA2AB9">
        <w:rPr>
          <w:b/>
          <w:sz w:val="24"/>
          <w:lang w:val="fr-FR"/>
        </w:rPr>
        <w:t>utilisation non autorisée.</w:t>
      </w:r>
    </w:p>
    <w:p w14:paraId="6FD018A0" w14:textId="77777777" w:rsidR="006B758D" w:rsidRPr="00EA2AB9" w:rsidRDefault="006B758D">
      <w:pPr>
        <w:pStyle w:val="BodyText"/>
        <w:rPr>
          <w:b/>
          <w:sz w:val="20"/>
          <w:lang w:val="fr-FR"/>
        </w:rPr>
      </w:pPr>
    </w:p>
    <w:p w14:paraId="3A5BF270" w14:textId="693180B6" w:rsidR="006B758D" w:rsidRPr="00EA2AB9" w:rsidRDefault="006B758D">
      <w:pPr>
        <w:pStyle w:val="BodyText"/>
        <w:rPr>
          <w:b/>
          <w:sz w:val="20"/>
          <w:lang w:val="fr-FR"/>
        </w:rPr>
      </w:pPr>
    </w:p>
    <w:p w14:paraId="747089FA" w14:textId="0073C049" w:rsidR="006B758D" w:rsidRPr="00EA2AB9" w:rsidRDefault="005C7D52">
      <w:pPr>
        <w:pStyle w:val="BodyText"/>
        <w:spacing w:before="9"/>
        <w:rPr>
          <w:b/>
          <w:sz w:val="21"/>
          <w:lang w:val="fr-FR"/>
        </w:rPr>
      </w:pPr>
      <w:r>
        <w:rPr>
          <w:noProof/>
        </w:rPr>
        <mc:AlternateContent>
          <mc:Choice Requires="wps">
            <w:drawing>
              <wp:anchor distT="0" distB="0" distL="0" distR="0" simplePos="0" relativeHeight="487595008" behindDoc="1" locked="0" layoutInCell="1" allowOverlap="1" wp14:anchorId="2E0373E0" wp14:editId="5C4164BD">
                <wp:simplePos x="0" y="0"/>
                <wp:positionH relativeFrom="page">
                  <wp:posOffset>1080770</wp:posOffset>
                </wp:positionH>
                <wp:positionV relativeFrom="paragraph">
                  <wp:posOffset>174625</wp:posOffset>
                </wp:positionV>
                <wp:extent cx="1828800" cy="7620"/>
                <wp:effectExtent l="0" t="0" r="0" b="0"/>
                <wp:wrapTopAndBottom/>
                <wp:docPr id="108493021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8" style="position:absolute;margin-left:85.1pt;margin-top:13.75pt;width:2in;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F8u54veAAAACQEAAA8AAAAAAAAAAAAAAAAAPwQAAGRycy9kb3ducmV2Lnht&#10;bFBLBQYAAAAABAAEAPMAAABKBQAAAAA=&#10;" w14:anchorId="79AF35EC">
                <w10:wrap type="topAndBottom" anchorx="page"/>
              </v:rect>
            </w:pict>
          </mc:Fallback>
        </mc:AlternateContent>
      </w:r>
    </w:p>
    <w:p w14:paraId="1C6A2D1D" w14:textId="77777777" w:rsidR="006B758D" w:rsidRPr="00EA2AB9" w:rsidRDefault="0023308C">
      <w:pPr>
        <w:spacing w:before="103"/>
        <w:ind w:left="682"/>
        <w:rPr>
          <w:sz w:val="20"/>
          <w:lang w:val="fr-FR"/>
        </w:rPr>
      </w:pPr>
      <w:bookmarkStart w:id="51" w:name="_bookmark51"/>
      <w:bookmarkEnd w:id="51"/>
      <w:proofErr w:type="gramStart"/>
      <w:r w:rsidRPr="00EA2AB9">
        <w:rPr>
          <w:sz w:val="20"/>
          <w:vertAlign w:val="superscript"/>
          <w:lang w:val="fr-FR"/>
        </w:rPr>
        <w:t>47</w:t>
      </w:r>
      <w:r w:rsidRPr="00EA2AB9">
        <w:rPr>
          <w:sz w:val="20"/>
          <w:lang w:val="fr-FR"/>
        </w:rPr>
        <w:t xml:space="preserve">  N</w:t>
      </w:r>
      <w:proofErr w:type="gramEnd"/>
      <w:r w:rsidRPr="00EA2AB9">
        <w:rPr>
          <w:sz w:val="20"/>
          <w:lang w:val="fr-FR"/>
        </w:rPr>
        <w:t xml:space="preserve">° 18, R </w:t>
      </w:r>
      <w:r w:rsidRPr="00EA2AB9">
        <w:rPr>
          <w:spacing w:val="-2"/>
          <w:sz w:val="20"/>
          <w:lang w:val="fr-FR"/>
        </w:rPr>
        <w:t>p. 146.</w:t>
      </w:r>
    </w:p>
    <w:p w14:paraId="30517D97" w14:textId="433E2E3E" w:rsidR="006B758D" w:rsidRPr="00EA2AB9" w:rsidRDefault="0023308C">
      <w:pPr>
        <w:spacing w:before="1" w:line="229" w:lineRule="exact"/>
        <w:ind w:left="682"/>
        <w:rPr>
          <w:sz w:val="20"/>
          <w:lang w:val="fr-FR"/>
        </w:rPr>
      </w:pPr>
      <w:bookmarkStart w:id="52" w:name="_bookmark52"/>
      <w:bookmarkEnd w:id="52"/>
      <w:proofErr w:type="gramStart"/>
      <w:r w:rsidRPr="00EA2AB9">
        <w:rPr>
          <w:sz w:val="20"/>
          <w:vertAlign w:val="superscript"/>
          <w:lang w:val="fr-FR"/>
        </w:rPr>
        <w:t>48</w:t>
      </w:r>
      <w:r w:rsidRPr="00EA2AB9">
        <w:rPr>
          <w:sz w:val="20"/>
          <w:lang w:val="fr-FR"/>
        </w:rPr>
        <w:t xml:space="preserve">  R</w:t>
      </w:r>
      <w:proofErr w:type="gramEnd"/>
      <w:r w:rsidRPr="00EA2AB9">
        <w:rPr>
          <w:sz w:val="20"/>
          <w:lang w:val="fr-FR"/>
        </w:rPr>
        <w:t xml:space="preserve"> n° 1529.5, p. 403. (</w:t>
      </w:r>
      <w:proofErr w:type="gramStart"/>
      <w:r w:rsidRPr="00EA2AB9">
        <w:rPr>
          <w:sz w:val="20"/>
          <w:lang w:val="fr-FR"/>
        </w:rPr>
        <w:t>c'est</w:t>
      </w:r>
      <w:proofErr w:type="gramEnd"/>
      <w:r w:rsidRPr="00EA2AB9">
        <w:rPr>
          <w:sz w:val="20"/>
          <w:lang w:val="fr-FR"/>
        </w:rPr>
        <w:t xml:space="preserve"> nous qui </w:t>
      </w:r>
      <w:r w:rsidRPr="00EA2AB9">
        <w:rPr>
          <w:spacing w:val="-2"/>
          <w:sz w:val="20"/>
          <w:lang w:val="fr-FR"/>
        </w:rPr>
        <w:t>soulignons).</w:t>
      </w:r>
    </w:p>
    <w:p w14:paraId="414BCB58" w14:textId="77777777" w:rsidR="006B758D" w:rsidRPr="00EA2AB9" w:rsidRDefault="0023308C">
      <w:pPr>
        <w:spacing w:line="229" w:lineRule="exact"/>
        <w:ind w:left="682"/>
        <w:rPr>
          <w:sz w:val="20"/>
          <w:lang w:val="fr-FR"/>
        </w:rPr>
      </w:pPr>
      <w:bookmarkStart w:id="53" w:name="_bookmark53"/>
      <w:bookmarkEnd w:id="53"/>
      <w:proofErr w:type="gramStart"/>
      <w:r w:rsidRPr="00EA2AB9">
        <w:rPr>
          <w:sz w:val="20"/>
          <w:vertAlign w:val="superscript"/>
          <w:lang w:val="fr-FR"/>
        </w:rPr>
        <w:t>49</w:t>
      </w:r>
      <w:r w:rsidRPr="00EA2AB9">
        <w:rPr>
          <w:sz w:val="20"/>
          <w:lang w:val="fr-FR"/>
        </w:rPr>
        <w:t xml:space="preserve">  R</w:t>
      </w:r>
      <w:proofErr w:type="gramEnd"/>
      <w:r w:rsidRPr="00EA2AB9">
        <w:rPr>
          <w:sz w:val="20"/>
          <w:lang w:val="fr-FR"/>
        </w:rPr>
        <w:t xml:space="preserve"> n° 1543, p. 405. Il a donc soumis au Comité de rédaction (R n° 1537, p.</w:t>
      </w:r>
      <w:r w:rsidRPr="00EA2AB9">
        <w:rPr>
          <w:spacing w:val="-2"/>
          <w:sz w:val="20"/>
          <w:lang w:val="fr-FR"/>
        </w:rPr>
        <w:t xml:space="preserve"> 404).</w:t>
      </w:r>
    </w:p>
    <w:p w14:paraId="13C4BF5F" w14:textId="77777777" w:rsidR="006B758D" w:rsidRPr="00EA2AB9" w:rsidRDefault="006B758D">
      <w:pPr>
        <w:spacing w:line="229" w:lineRule="exact"/>
        <w:rPr>
          <w:sz w:val="20"/>
          <w:lang w:val="fr-FR"/>
        </w:rPr>
        <w:sectPr w:rsidR="006B758D" w:rsidRPr="00EA2AB9">
          <w:pgSz w:w="11910" w:h="16840"/>
          <w:pgMar w:top="1320" w:right="1300" w:bottom="1240" w:left="1020" w:header="0" w:footer="1049" w:gutter="0"/>
          <w:cols w:space="720"/>
        </w:sectPr>
      </w:pPr>
    </w:p>
    <w:p w14:paraId="7DEE4F2A" w14:textId="4E940073" w:rsidR="006B758D" w:rsidRPr="009B50CC" w:rsidRDefault="0023308C">
      <w:pPr>
        <w:pStyle w:val="ListParagraph"/>
        <w:numPr>
          <w:ilvl w:val="1"/>
          <w:numId w:val="10"/>
        </w:numPr>
        <w:tabs>
          <w:tab w:val="left" w:pos="1772"/>
        </w:tabs>
        <w:spacing w:before="76" w:line="360" w:lineRule="auto"/>
        <w:ind w:left="682" w:right="395" w:firstLine="707"/>
        <w:rPr>
          <w:sz w:val="24"/>
          <w:lang w:val="fr-FR"/>
        </w:rPr>
      </w:pPr>
      <w:r w:rsidRPr="009B50CC">
        <w:rPr>
          <w:sz w:val="24"/>
          <w:lang w:val="fr-FR"/>
        </w:rPr>
        <w:lastRenderedPageBreak/>
        <w:t xml:space="preserve">Comme il ressort des comptes rendus de la Conférence diplomatique, la notion </w:t>
      </w:r>
      <w:r w:rsidRPr="009B50CC">
        <w:rPr>
          <w:b/>
          <w:sz w:val="24"/>
          <w:lang w:val="fr-FR"/>
        </w:rPr>
        <w:t>d</w:t>
      </w:r>
      <w:proofErr w:type="gramStart"/>
      <w:r w:rsidRPr="009B50CC">
        <w:rPr>
          <w:b/>
          <w:sz w:val="24"/>
          <w:lang w:val="fr-FR"/>
        </w:rPr>
        <w:t>'«</w:t>
      </w:r>
      <w:proofErr w:type="gramEnd"/>
      <w:r w:rsidRPr="009B50CC">
        <w:rPr>
          <w:b/>
          <w:sz w:val="24"/>
          <w:lang w:val="fr-FR"/>
        </w:rPr>
        <w:t xml:space="preserve"> autorisation non autorisée » </w:t>
      </w:r>
      <w:r w:rsidRPr="009B50CC">
        <w:rPr>
          <w:sz w:val="24"/>
          <w:lang w:val="fr-FR"/>
        </w:rPr>
        <w:t>visée à l'article 14</w:t>
      </w:r>
      <w:r w:rsidR="0080353C">
        <w:rPr>
          <w:sz w:val="24"/>
          <w:lang w:val="fr-FR"/>
        </w:rPr>
        <w:t>(</w:t>
      </w:r>
      <w:r w:rsidRPr="009B50CC">
        <w:rPr>
          <w:sz w:val="24"/>
          <w:lang w:val="fr-FR"/>
        </w:rPr>
        <w:t xml:space="preserve">2) de l'Acte d'UPOV de 1991 se rapporte à </w:t>
      </w:r>
      <w:r w:rsidRPr="009B50CC">
        <w:rPr>
          <w:b/>
          <w:sz w:val="24"/>
          <w:lang w:val="fr-FR"/>
        </w:rPr>
        <w:t xml:space="preserve">l'autorisation du titulaire du droit d'obtenteur en cause et non au statut juridique du matériel de reproduction ou de multiplication utilisé pour obtenir le produit de la récolte. </w:t>
      </w:r>
      <w:r w:rsidRPr="009B50CC">
        <w:rPr>
          <w:sz w:val="24"/>
          <w:lang w:val="fr-FR"/>
        </w:rPr>
        <w:t xml:space="preserve">Le libellé finalement adopté trouve son origine dans la décision de la plénière de « subordonner l'exercice </w:t>
      </w:r>
      <w:r w:rsidRPr="009B50CC">
        <w:rPr>
          <w:b/>
          <w:sz w:val="24"/>
          <w:lang w:val="fr-FR"/>
        </w:rPr>
        <w:t xml:space="preserve">du droit d'obtenteur </w:t>
      </w:r>
      <w:r w:rsidRPr="009B50CC">
        <w:rPr>
          <w:sz w:val="24"/>
          <w:lang w:val="fr-FR"/>
        </w:rPr>
        <w:t xml:space="preserve">à l'égard du produit de la récolte à </w:t>
      </w:r>
      <w:r w:rsidRPr="009B50CC">
        <w:rPr>
          <w:b/>
          <w:sz w:val="24"/>
          <w:lang w:val="fr-FR"/>
        </w:rPr>
        <w:t xml:space="preserve">l'impossibilité de </w:t>
      </w:r>
      <w:r w:rsidRPr="009B50CC">
        <w:rPr>
          <w:b/>
          <w:i/>
          <w:sz w:val="24"/>
          <w:lang w:val="fr-FR"/>
        </w:rPr>
        <w:t xml:space="preserve">l'exercer </w:t>
      </w:r>
      <w:r w:rsidRPr="009B50CC">
        <w:rPr>
          <w:sz w:val="24"/>
          <w:lang w:val="fr-FR"/>
        </w:rPr>
        <w:t xml:space="preserve">à l'égard du </w:t>
      </w:r>
      <w:r w:rsidRPr="009B50CC">
        <w:rPr>
          <w:b/>
          <w:sz w:val="24"/>
          <w:lang w:val="fr-FR"/>
        </w:rPr>
        <w:t xml:space="preserve">matériel de reproduction ou </w:t>
      </w:r>
      <w:r w:rsidRPr="009B50CC">
        <w:rPr>
          <w:sz w:val="24"/>
          <w:lang w:val="fr-FR"/>
        </w:rPr>
        <w:t>de multiplication »</w:t>
      </w:r>
      <w:hyperlink w:anchor="_bookmark54" w:history="1">
        <w:r w:rsidRPr="009B50CC">
          <w:rPr>
            <w:sz w:val="24"/>
            <w:vertAlign w:val="superscript"/>
            <w:lang w:val="fr-FR"/>
          </w:rPr>
          <w:t>50</w:t>
        </w:r>
      </w:hyperlink>
      <w:r w:rsidRPr="009B50CC">
        <w:rPr>
          <w:sz w:val="24"/>
          <w:lang w:val="fr-FR"/>
        </w:rPr>
        <w:t xml:space="preserve">. </w:t>
      </w:r>
      <w:hyperlink w:anchor="_bookmark54" w:history="1"/>
    </w:p>
    <w:p w14:paraId="3A5FEC2E" w14:textId="77777777" w:rsidR="006B758D" w:rsidRPr="00D277E1" w:rsidRDefault="006B758D">
      <w:pPr>
        <w:pStyle w:val="BodyText"/>
        <w:spacing w:before="1"/>
        <w:rPr>
          <w:sz w:val="18"/>
          <w:szCs w:val="18"/>
          <w:lang w:val="fr-FR"/>
        </w:rPr>
      </w:pPr>
    </w:p>
    <w:p w14:paraId="0CF4662C" w14:textId="523CDC34" w:rsidR="006B758D" w:rsidRPr="00EA2AB9" w:rsidRDefault="0023308C">
      <w:pPr>
        <w:pStyle w:val="ListParagraph"/>
        <w:numPr>
          <w:ilvl w:val="1"/>
          <w:numId w:val="10"/>
        </w:numPr>
        <w:tabs>
          <w:tab w:val="left" w:pos="1777"/>
        </w:tabs>
        <w:spacing w:line="360" w:lineRule="auto"/>
        <w:ind w:left="682" w:right="394" w:firstLine="707"/>
        <w:rPr>
          <w:b/>
          <w:sz w:val="24"/>
          <w:lang w:val="fr-FR"/>
        </w:rPr>
      </w:pPr>
      <w:r w:rsidRPr="009B50CC">
        <w:rPr>
          <w:sz w:val="24"/>
          <w:lang w:val="fr-FR"/>
        </w:rPr>
        <w:t xml:space="preserve">Le groupe de travail chargé de la rédaction de l'article 14(2) de l'Acte d'UPOV de 1991 a utilisé, pour examiner la modification de l'ancien article </w:t>
      </w:r>
      <w:r w:rsidR="0080353C" w:rsidRPr="00EA2AB9">
        <w:rPr>
          <w:sz w:val="24"/>
          <w:lang w:val="fr-FR"/>
        </w:rPr>
        <w:t>14</w:t>
      </w:r>
      <w:r w:rsidR="0080353C">
        <w:rPr>
          <w:sz w:val="24"/>
          <w:lang w:val="fr-FR"/>
        </w:rPr>
        <w:t xml:space="preserve"> (</w:t>
      </w:r>
      <w:r w:rsidR="0080353C" w:rsidRPr="00EA2AB9">
        <w:rPr>
          <w:sz w:val="24"/>
          <w:lang w:val="fr-FR"/>
        </w:rPr>
        <w:t>1)</w:t>
      </w:r>
      <w:r w:rsidR="0080353C">
        <w:rPr>
          <w:sz w:val="24"/>
          <w:lang w:val="fr-FR"/>
        </w:rPr>
        <w:t>(</w:t>
      </w:r>
      <w:r w:rsidR="0080353C" w:rsidRPr="00EA2AB9">
        <w:rPr>
          <w:spacing w:val="-4"/>
          <w:sz w:val="24"/>
          <w:lang w:val="fr-FR"/>
        </w:rPr>
        <w:t>b)</w:t>
      </w:r>
      <w:r w:rsidRPr="009B50CC">
        <w:rPr>
          <w:sz w:val="24"/>
          <w:lang w:val="fr-FR"/>
        </w:rPr>
        <w:t>, la proposition de la délégation des États-Unis</w:t>
      </w:r>
      <w:hyperlink w:anchor="_bookmark55" w:history="1">
        <w:r w:rsidRPr="009B50CC">
          <w:rPr>
            <w:sz w:val="24"/>
            <w:vertAlign w:val="superscript"/>
            <w:lang w:val="fr-FR"/>
          </w:rPr>
          <w:t>51</w:t>
        </w:r>
      </w:hyperlink>
      <w:r w:rsidRPr="009B50CC">
        <w:rPr>
          <w:sz w:val="24"/>
          <w:lang w:val="fr-FR"/>
        </w:rPr>
        <w:t>.</w:t>
      </w:r>
      <w:hyperlink w:anchor="_bookmark55" w:history="1"/>
      <w:r w:rsidRPr="00EA2AB9">
        <w:rPr>
          <w:sz w:val="24"/>
          <w:lang w:val="fr-FR"/>
        </w:rPr>
        <w:t>Dans ce contexte, il est rappelé que la proposition était libellée comme suit : « ...</w:t>
      </w:r>
      <w:r w:rsidRPr="00EA2AB9">
        <w:rPr>
          <w:spacing w:val="-12"/>
          <w:sz w:val="24"/>
          <w:lang w:val="fr-FR"/>
        </w:rPr>
        <w:t xml:space="preserve"> </w:t>
      </w:r>
      <w:r w:rsidRPr="00EA2AB9">
        <w:rPr>
          <w:sz w:val="24"/>
          <w:lang w:val="fr-FR"/>
        </w:rPr>
        <w:t xml:space="preserve">à condition que le produit de la récolte ait été obtenu par l'utilisation non autorisée de matériel de reproduction ou de multiplication [dont l'utilisation, dans le but d'obtenir le produit de la récolte, </w:t>
      </w:r>
      <w:r w:rsidRPr="00EA2AB9">
        <w:rPr>
          <w:b/>
          <w:sz w:val="24"/>
          <w:lang w:val="fr-FR"/>
        </w:rPr>
        <w:t>n'était pas autorisée par l'obtenteur [et si, et seulement si, l'obtenteur n'</w:t>
      </w:r>
      <w:r w:rsidRPr="00EA2AB9">
        <w:rPr>
          <w:sz w:val="24"/>
          <w:lang w:val="fr-FR"/>
        </w:rPr>
        <w:t xml:space="preserve">avait </w:t>
      </w:r>
      <w:r w:rsidRPr="00EA2AB9">
        <w:rPr>
          <w:b/>
          <w:sz w:val="24"/>
          <w:lang w:val="fr-FR"/>
        </w:rPr>
        <w:t xml:space="preserve">aucune possibilité légale </w:t>
      </w:r>
      <w:r w:rsidRPr="00EA2AB9">
        <w:rPr>
          <w:sz w:val="24"/>
          <w:lang w:val="fr-FR"/>
        </w:rPr>
        <w:t xml:space="preserve">d'exercer </w:t>
      </w:r>
      <w:r w:rsidRPr="00EA2AB9">
        <w:rPr>
          <w:b/>
          <w:sz w:val="24"/>
          <w:lang w:val="fr-FR"/>
        </w:rPr>
        <w:t xml:space="preserve">son droit [...] </w:t>
      </w:r>
      <w:hyperlink w:anchor="_bookmark56" w:history="1">
        <w:r w:rsidRPr="00EA2AB9">
          <w:rPr>
            <w:sz w:val="24"/>
            <w:lang w:val="fr-FR"/>
          </w:rPr>
          <w:t xml:space="preserve">». </w:t>
        </w:r>
        <w:r w:rsidRPr="00EA2AB9">
          <w:rPr>
            <w:sz w:val="24"/>
            <w:vertAlign w:val="superscript"/>
            <w:lang w:val="fr-FR"/>
          </w:rPr>
          <w:t>52</w:t>
        </w:r>
      </w:hyperlink>
      <w:r w:rsidRPr="00EA2AB9">
        <w:rPr>
          <w:sz w:val="24"/>
          <w:lang w:val="fr-FR"/>
        </w:rPr>
        <w:t xml:space="preserve">  La proposition présentée par la délégation allemande comportait une formulation correspondante : « [...] n'était pas autorisée par l'obtenteur [...] ».</w:t>
      </w:r>
      <w:hyperlink w:anchor="_bookmark57" w:history="1">
        <w:r w:rsidRPr="00EA2AB9">
          <w:rPr>
            <w:sz w:val="24"/>
            <w:vertAlign w:val="superscript"/>
            <w:lang w:val="fr-FR"/>
          </w:rPr>
          <w:t>53</w:t>
        </w:r>
      </w:hyperlink>
      <w:r w:rsidRPr="00EA2AB9">
        <w:rPr>
          <w:sz w:val="24"/>
          <w:lang w:val="fr-FR"/>
        </w:rPr>
        <w:t xml:space="preserve">  Il en allait de même pour la proposition du Danemark</w:t>
      </w:r>
      <w:hyperlink w:anchor="_bookmark58" w:history="1">
        <w:r w:rsidRPr="00EA2AB9">
          <w:rPr>
            <w:sz w:val="24"/>
            <w:lang w:val="fr-FR"/>
          </w:rPr>
          <w:t>.</w:t>
        </w:r>
        <w:r w:rsidRPr="00EA2AB9">
          <w:rPr>
            <w:sz w:val="24"/>
            <w:vertAlign w:val="superscript"/>
            <w:lang w:val="fr-FR"/>
          </w:rPr>
          <w:t>54</w:t>
        </w:r>
      </w:hyperlink>
      <w:r w:rsidRPr="00EA2AB9">
        <w:rPr>
          <w:sz w:val="24"/>
          <w:lang w:val="fr-FR"/>
        </w:rPr>
        <w:t xml:space="preserve">  En d'autres termes, dans le contexte de l'article 14</w:t>
      </w:r>
      <w:r w:rsidR="0080353C">
        <w:rPr>
          <w:sz w:val="24"/>
          <w:lang w:val="fr-FR"/>
        </w:rPr>
        <w:t>(</w:t>
      </w:r>
      <w:r w:rsidRPr="00EA2AB9">
        <w:rPr>
          <w:sz w:val="24"/>
          <w:lang w:val="fr-FR"/>
        </w:rPr>
        <w:t xml:space="preserve">2) de l'Acte de 1991 de l'UPOV, il importe </w:t>
      </w:r>
      <w:r w:rsidRPr="00EA2AB9">
        <w:rPr>
          <w:b/>
          <w:sz w:val="24"/>
          <w:lang w:val="fr-FR"/>
        </w:rPr>
        <w:t>peu que l'utilisation du matériel de reproduction ou de multiplication en dehors du territoire où le droit d'obtenteur est accordé, valide et appliqué soit couverte ou non par un droit de propriété, c'est-à-dire qu'elle soit légale ou illégale.</w:t>
      </w:r>
    </w:p>
    <w:p w14:paraId="17006813" w14:textId="77777777" w:rsidR="006B758D" w:rsidRPr="00D277E1" w:rsidRDefault="006B758D">
      <w:pPr>
        <w:pStyle w:val="BodyText"/>
        <w:spacing w:before="1"/>
        <w:rPr>
          <w:b/>
          <w:sz w:val="18"/>
          <w:szCs w:val="18"/>
          <w:lang w:val="fr-FR"/>
        </w:rPr>
      </w:pPr>
    </w:p>
    <w:p w14:paraId="11DFDEFE" w14:textId="20787BC9" w:rsidR="006B758D" w:rsidRPr="00D277E1" w:rsidRDefault="0023308C" w:rsidP="00D277E1">
      <w:pPr>
        <w:pStyle w:val="ListParagraph"/>
        <w:numPr>
          <w:ilvl w:val="1"/>
          <w:numId w:val="10"/>
        </w:numPr>
        <w:tabs>
          <w:tab w:val="left" w:pos="1808"/>
        </w:tabs>
        <w:spacing w:before="1" w:line="360" w:lineRule="auto"/>
        <w:ind w:left="682" w:right="396" w:firstLine="707"/>
        <w:rPr>
          <w:sz w:val="24"/>
          <w:lang w:val="fr-FR"/>
        </w:rPr>
      </w:pPr>
      <w:r w:rsidRPr="009B50CC">
        <w:rPr>
          <w:sz w:val="24"/>
          <w:lang w:val="fr-FR"/>
        </w:rPr>
        <w:t>La notion d</w:t>
      </w:r>
      <w:proofErr w:type="gramStart"/>
      <w:r w:rsidRPr="009B50CC">
        <w:rPr>
          <w:sz w:val="24"/>
          <w:lang w:val="fr-FR"/>
        </w:rPr>
        <w:t>'«</w:t>
      </w:r>
      <w:proofErr w:type="gramEnd"/>
      <w:r w:rsidRPr="009B50CC">
        <w:rPr>
          <w:sz w:val="24"/>
          <w:lang w:val="fr-FR"/>
        </w:rPr>
        <w:t xml:space="preserve"> utilisation</w:t>
      </w:r>
      <w:r w:rsidRPr="009B50CC">
        <w:rPr>
          <w:b/>
          <w:sz w:val="24"/>
          <w:lang w:val="fr-FR"/>
        </w:rPr>
        <w:t xml:space="preserve"> non autorisée </w:t>
      </w:r>
      <w:r w:rsidRPr="009B50CC">
        <w:rPr>
          <w:sz w:val="24"/>
          <w:lang w:val="fr-FR"/>
        </w:rPr>
        <w:t xml:space="preserve">» visée à l'article 14(2) de la Convention UPOV, qui constitue l'une des conditions de l'extension du droit d'obtenteur au produit de la récolte, est indissociable de la seconde condition, à savoir que « </w:t>
      </w:r>
      <w:r w:rsidRPr="009B50CC">
        <w:rPr>
          <w:b/>
          <w:sz w:val="24"/>
          <w:lang w:val="fr-FR"/>
        </w:rPr>
        <w:t xml:space="preserve">l'obtenteur n'a pas eu l'opportunité raisonnable d'exercer son droit sur ledit matériel de reproduction ou de multiplication </w:t>
      </w:r>
      <w:r w:rsidRPr="009B50CC">
        <w:rPr>
          <w:sz w:val="24"/>
          <w:lang w:val="fr-FR"/>
        </w:rPr>
        <w:t xml:space="preserve">». Ces deux conditions constituent </w:t>
      </w:r>
      <w:r w:rsidRPr="009B50CC">
        <w:rPr>
          <w:b/>
          <w:sz w:val="24"/>
          <w:lang w:val="fr-FR"/>
        </w:rPr>
        <w:t xml:space="preserve">un tout indissociable, </w:t>
      </w:r>
      <w:r w:rsidRPr="009B50CC">
        <w:rPr>
          <w:sz w:val="24"/>
          <w:lang w:val="fr-FR"/>
        </w:rPr>
        <w:t xml:space="preserve">comme l'a précisé M. Harvey, président du groupe de travail en séance plénière </w:t>
      </w:r>
      <w:hyperlink w:anchor="_bookmark59" w:history="1">
        <w:r w:rsidRPr="009B50CC">
          <w:rPr>
            <w:sz w:val="24"/>
            <w:vertAlign w:val="superscript"/>
            <w:lang w:val="fr-FR"/>
          </w:rPr>
          <w:t>55</w:t>
        </w:r>
      </w:hyperlink>
      <w:r w:rsidRPr="009B50CC">
        <w:rPr>
          <w:sz w:val="24"/>
          <w:lang w:val="fr-FR"/>
        </w:rPr>
        <w:t xml:space="preserve">. </w:t>
      </w:r>
      <w:hyperlink w:anchor="_bookmark59" w:history="1"/>
    </w:p>
    <w:p w14:paraId="547A6600" w14:textId="3D910737" w:rsidR="006B758D" w:rsidRPr="009B50CC" w:rsidRDefault="005C7D52">
      <w:pPr>
        <w:pStyle w:val="BodyText"/>
        <w:spacing w:before="8"/>
        <w:rPr>
          <w:sz w:val="17"/>
          <w:lang w:val="fr-FR"/>
        </w:rPr>
      </w:pPr>
      <w:r>
        <w:rPr>
          <w:noProof/>
        </w:rPr>
        <mc:AlternateContent>
          <mc:Choice Requires="wps">
            <w:drawing>
              <wp:anchor distT="0" distB="0" distL="0" distR="0" simplePos="0" relativeHeight="487595520" behindDoc="1" locked="0" layoutInCell="1" allowOverlap="1" wp14:anchorId="55812939" wp14:editId="53C27E1A">
                <wp:simplePos x="0" y="0"/>
                <wp:positionH relativeFrom="page">
                  <wp:posOffset>1080770</wp:posOffset>
                </wp:positionH>
                <wp:positionV relativeFrom="paragraph">
                  <wp:posOffset>144780</wp:posOffset>
                </wp:positionV>
                <wp:extent cx="1828800" cy="7620"/>
                <wp:effectExtent l="0" t="0" r="0" b="0"/>
                <wp:wrapTopAndBottom/>
                <wp:docPr id="184417695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19" style="position:absolute;margin-left:85.1pt;margin-top:11.4pt;width:2in;height:.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c+TMId0AAAAJAQAADwAAAAAAAAAAAAAAAAA/BAAAZHJzL2Rvd25yZXYueG1s&#10;UEsFBgAAAAAEAAQA8wAAAEkFAAAAAA==&#10;" w14:anchorId="0624E158">
                <w10:wrap type="topAndBottom" anchorx="page"/>
              </v:rect>
            </w:pict>
          </mc:Fallback>
        </mc:AlternateContent>
      </w:r>
    </w:p>
    <w:p w14:paraId="76A802E3" w14:textId="77777777" w:rsidR="006B758D" w:rsidRDefault="0023308C">
      <w:pPr>
        <w:spacing w:before="103"/>
        <w:ind w:left="682"/>
        <w:rPr>
          <w:i/>
          <w:sz w:val="20"/>
        </w:rPr>
      </w:pPr>
      <w:bookmarkStart w:id="54" w:name="_bookmark54"/>
      <w:bookmarkEnd w:id="54"/>
      <w:proofErr w:type="gramStart"/>
      <w:r w:rsidRPr="00EA2AB9">
        <w:rPr>
          <w:sz w:val="20"/>
          <w:vertAlign w:val="superscript"/>
          <w:lang w:val="fr-FR"/>
        </w:rPr>
        <w:t>50</w:t>
      </w:r>
      <w:r w:rsidRPr="00EA2AB9">
        <w:rPr>
          <w:sz w:val="20"/>
          <w:lang w:val="fr-FR"/>
        </w:rPr>
        <w:t xml:space="preserve">  R</w:t>
      </w:r>
      <w:proofErr w:type="gramEnd"/>
      <w:r w:rsidRPr="00EA2AB9">
        <w:rPr>
          <w:sz w:val="20"/>
          <w:lang w:val="fr-FR"/>
        </w:rPr>
        <w:t xml:space="preserve"> n° 934, p. 317 (c'est nous qui soulignons). </w:t>
      </w:r>
      <w:r>
        <w:rPr>
          <w:sz w:val="20"/>
        </w:rPr>
        <w:t xml:space="preserve">Cf. </w:t>
      </w:r>
      <w:r>
        <w:rPr>
          <w:i/>
          <w:sz w:val="20"/>
        </w:rPr>
        <w:t>supra</w:t>
      </w:r>
      <w:r>
        <w:rPr>
          <w:sz w:val="20"/>
        </w:rPr>
        <w:t xml:space="preserve"> 10.1 </w:t>
      </w:r>
      <w:r>
        <w:rPr>
          <w:i/>
          <w:sz w:val="20"/>
        </w:rPr>
        <w:t xml:space="preserve">in </w:t>
      </w:r>
      <w:r>
        <w:rPr>
          <w:i/>
          <w:spacing w:val="-4"/>
          <w:sz w:val="20"/>
        </w:rPr>
        <w:t>fine.</w:t>
      </w:r>
    </w:p>
    <w:p w14:paraId="2683A618" w14:textId="77777777" w:rsidR="006B758D" w:rsidRPr="009B5FF6" w:rsidRDefault="0023308C">
      <w:pPr>
        <w:spacing w:before="1"/>
        <w:ind w:left="682"/>
        <w:rPr>
          <w:i/>
          <w:sz w:val="20"/>
        </w:rPr>
      </w:pPr>
      <w:bookmarkStart w:id="55" w:name="_bookmark55"/>
      <w:bookmarkEnd w:id="55"/>
      <w:proofErr w:type="gramStart"/>
      <w:r w:rsidRPr="009B5FF6">
        <w:rPr>
          <w:sz w:val="20"/>
          <w:vertAlign w:val="superscript"/>
        </w:rPr>
        <w:t>51</w:t>
      </w:r>
      <w:r w:rsidRPr="009B5FF6">
        <w:rPr>
          <w:sz w:val="20"/>
        </w:rPr>
        <w:t xml:space="preserve">  Cf.</w:t>
      </w:r>
      <w:proofErr w:type="gramEnd"/>
      <w:r w:rsidRPr="009B5FF6">
        <w:rPr>
          <w:sz w:val="20"/>
        </w:rPr>
        <w:t xml:space="preserve"> infra</w:t>
      </w:r>
      <w:r w:rsidRPr="009B5FF6">
        <w:rPr>
          <w:i/>
          <w:spacing w:val="-2"/>
          <w:sz w:val="20"/>
        </w:rPr>
        <w:t>...</w:t>
      </w:r>
    </w:p>
    <w:p w14:paraId="2387A24A" w14:textId="77777777" w:rsidR="006B758D" w:rsidRPr="005D00F1" w:rsidRDefault="0023308C">
      <w:pPr>
        <w:ind w:left="682"/>
        <w:rPr>
          <w:sz w:val="20"/>
          <w:lang w:val="fr-FR"/>
        </w:rPr>
      </w:pPr>
      <w:bookmarkStart w:id="56" w:name="_bookmark56"/>
      <w:bookmarkEnd w:id="56"/>
      <w:proofErr w:type="gramStart"/>
      <w:r w:rsidRPr="005D00F1">
        <w:rPr>
          <w:sz w:val="20"/>
          <w:vertAlign w:val="superscript"/>
          <w:lang w:val="fr-FR"/>
        </w:rPr>
        <w:t>52</w:t>
      </w:r>
      <w:r w:rsidRPr="005D00F1">
        <w:rPr>
          <w:sz w:val="20"/>
          <w:lang w:val="fr-FR"/>
        </w:rPr>
        <w:t xml:space="preserve">  Doc</w:t>
      </w:r>
      <w:proofErr w:type="gramEnd"/>
      <w:r w:rsidRPr="005D00F1">
        <w:rPr>
          <w:sz w:val="20"/>
          <w:lang w:val="fr-FR"/>
        </w:rPr>
        <w:t xml:space="preserve"> DC/91/12, R </w:t>
      </w:r>
      <w:r w:rsidRPr="005D00F1">
        <w:rPr>
          <w:spacing w:val="-2"/>
          <w:sz w:val="20"/>
          <w:lang w:val="fr-FR"/>
        </w:rPr>
        <w:t>p. 101.</w:t>
      </w:r>
    </w:p>
    <w:p w14:paraId="2569B3DF" w14:textId="77777777" w:rsidR="006B758D" w:rsidRPr="005D00F1" w:rsidRDefault="0023308C">
      <w:pPr>
        <w:spacing w:before="1"/>
        <w:ind w:left="682"/>
        <w:rPr>
          <w:sz w:val="20"/>
          <w:lang w:val="fr-FR"/>
        </w:rPr>
      </w:pPr>
      <w:bookmarkStart w:id="57" w:name="_bookmark57"/>
      <w:bookmarkEnd w:id="57"/>
      <w:proofErr w:type="gramStart"/>
      <w:r w:rsidRPr="005D00F1">
        <w:rPr>
          <w:sz w:val="20"/>
          <w:vertAlign w:val="superscript"/>
          <w:lang w:val="fr-FR"/>
        </w:rPr>
        <w:t>53</w:t>
      </w:r>
      <w:r w:rsidRPr="005D00F1">
        <w:rPr>
          <w:sz w:val="20"/>
          <w:lang w:val="fr-FR"/>
        </w:rPr>
        <w:t xml:space="preserve">  Doc</w:t>
      </w:r>
      <w:proofErr w:type="gramEnd"/>
      <w:r w:rsidRPr="005D00F1">
        <w:rPr>
          <w:sz w:val="20"/>
          <w:lang w:val="fr-FR"/>
        </w:rPr>
        <w:t xml:space="preserve"> DC/91/91, R </w:t>
      </w:r>
      <w:r w:rsidRPr="005D00F1">
        <w:rPr>
          <w:spacing w:val="-2"/>
          <w:sz w:val="20"/>
          <w:lang w:val="fr-FR"/>
        </w:rPr>
        <w:t>p. 131.</w:t>
      </w:r>
    </w:p>
    <w:p w14:paraId="63263452" w14:textId="77777777" w:rsidR="006B758D" w:rsidRPr="00EA2AB9" w:rsidRDefault="0023308C">
      <w:pPr>
        <w:spacing w:line="229" w:lineRule="exact"/>
        <w:ind w:left="682"/>
        <w:rPr>
          <w:sz w:val="20"/>
          <w:lang w:val="fr-FR"/>
        </w:rPr>
      </w:pPr>
      <w:bookmarkStart w:id="58" w:name="_bookmark58"/>
      <w:bookmarkEnd w:id="58"/>
      <w:proofErr w:type="gramStart"/>
      <w:r w:rsidRPr="00EA2AB9">
        <w:rPr>
          <w:sz w:val="20"/>
          <w:vertAlign w:val="superscript"/>
          <w:lang w:val="fr-FR"/>
        </w:rPr>
        <w:t>54</w:t>
      </w:r>
      <w:r w:rsidRPr="00EA2AB9">
        <w:rPr>
          <w:sz w:val="20"/>
          <w:lang w:val="fr-FR"/>
        </w:rPr>
        <w:t xml:space="preserve">  Doc</w:t>
      </w:r>
      <w:proofErr w:type="gramEnd"/>
      <w:r w:rsidRPr="00EA2AB9">
        <w:rPr>
          <w:sz w:val="20"/>
          <w:lang w:val="fr-FR"/>
        </w:rPr>
        <w:t xml:space="preserve"> DC/91/97, R </w:t>
      </w:r>
      <w:r w:rsidRPr="00EA2AB9">
        <w:rPr>
          <w:spacing w:val="-2"/>
          <w:sz w:val="20"/>
          <w:lang w:val="fr-FR"/>
        </w:rPr>
        <w:t>p. 134.</w:t>
      </w:r>
    </w:p>
    <w:p w14:paraId="4BB2247A" w14:textId="77777777" w:rsidR="006B758D" w:rsidRPr="00EA2AB9" w:rsidRDefault="0023308C">
      <w:pPr>
        <w:spacing w:line="229" w:lineRule="exact"/>
        <w:ind w:left="682"/>
        <w:rPr>
          <w:sz w:val="20"/>
          <w:lang w:val="fr-FR"/>
        </w:rPr>
      </w:pPr>
      <w:bookmarkStart w:id="59" w:name="_bookmark59"/>
      <w:bookmarkEnd w:id="59"/>
      <w:proofErr w:type="gramStart"/>
      <w:r w:rsidRPr="00EA2AB9">
        <w:rPr>
          <w:sz w:val="20"/>
          <w:vertAlign w:val="superscript"/>
          <w:lang w:val="fr-FR"/>
        </w:rPr>
        <w:t>55</w:t>
      </w:r>
      <w:r w:rsidRPr="00EA2AB9">
        <w:rPr>
          <w:sz w:val="20"/>
          <w:lang w:val="fr-FR"/>
        </w:rPr>
        <w:t xml:space="preserve">  R</w:t>
      </w:r>
      <w:proofErr w:type="gramEnd"/>
      <w:r w:rsidRPr="00EA2AB9">
        <w:rPr>
          <w:sz w:val="20"/>
          <w:lang w:val="fr-FR"/>
        </w:rPr>
        <w:t xml:space="preserve"> n° 1529, p. 403 ; voir également </w:t>
      </w:r>
      <w:r w:rsidRPr="00EA2AB9">
        <w:rPr>
          <w:i/>
          <w:sz w:val="20"/>
          <w:lang w:val="fr-FR"/>
        </w:rPr>
        <w:t xml:space="preserve">supra </w:t>
      </w:r>
      <w:r w:rsidRPr="00EA2AB9">
        <w:rPr>
          <w:spacing w:val="-2"/>
          <w:sz w:val="20"/>
          <w:lang w:val="fr-FR"/>
        </w:rPr>
        <w:t>n° 10.2.6.1.</w:t>
      </w:r>
    </w:p>
    <w:p w14:paraId="0C2E2B60" w14:textId="77777777" w:rsidR="006B758D" w:rsidRPr="00EA2AB9" w:rsidRDefault="006B758D">
      <w:pPr>
        <w:spacing w:line="229" w:lineRule="exact"/>
        <w:rPr>
          <w:sz w:val="20"/>
          <w:lang w:val="fr-FR"/>
        </w:rPr>
        <w:sectPr w:rsidR="006B758D" w:rsidRPr="00EA2AB9">
          <w:pgSz w:w="11910" w:h="16840"/>
          <w:pgMar w:top="1320" w:right="1300" w:bottom="1240" w:left="1020" w:header="0" w:footer="1049" w:gutter="0"/>
          <w:cols w:space="720"/>
        </w:sectPr>
      </w:pPr>
    </w:p>
    <w:p w14:paraId="6242A730" w14:textId="78BC312B" w:rsidR="006B758D" w:rsidRPr="00EA2AB9" w:rsidRDefault="0023308C">
      <w:pPr>
        <w:pStyle w:val="ListParagraph"/>
        <w:numPr>
          <w:ilvl w:val="1"/>
          <w:numId w:val="10"/>
        </w:numPr>
        <w:tabs>
          <w:tab w:val="left" w:pos="1830"/>
        </w:tabs>
        <w:spacing w:before="76" w:line="360" w:lineRule="auto"/>
        <w:ind w:left="682" w:right="396" w:firstLine="707"/>
        <w:rPr>
          <w:sz w:val="24"/>
          <w:lang w:val="fr-FR"/>
        </w:rPr>
      </w:pPr>
      <w:r w:rsidRPr="00EA2AB9">
        <w:rPr>
          <w:sz w:val="24"/>
          <w:lang w:val="fr-FR"/>
        </w:rPr>
        <w:lastRenderedPageBreak/>
        <w:t>Il ressort des documents préparatoires et des comptes rendus de la conférence diplomatique, en particulier de la déclaration de M. Harvey, que la raison pour laquelle la notion d</w:t>
      </w:r>
      <w:proofErr w:type="gramStart"/>
      <w:r w:rsidRPr="00EA2AB9">
        <w:rPr>
          <w:sz w:val="24"/>
          <w:lang w:val="fr-FR"/>
        </w:rPr>
        <w:t>'«</w:t>
      </w:r>
      <w:proofErr w:type="gramEnd"/>
      <w:r w:rsidRPr="00EA2AB9">
        <w:rPr>
          <w:sz w:val="24"/>
          <w:lang w:val="fr-FR"/>
        </w:rPr>
        <w:t xml:space="preserve"> opportunité </w:t>
      </w:r>
      <w:r w:rsidRPr="00EA2AB9">
        <w:rPr>
          <w:b/>
          <w:sz w:val="24"/>
          <w:lang w:val="fr-FR"/>
        </w:rPr>
        <w:t xml:space="preserve">raisonnable </w:t>
      </w:r>
      <w:r w:rsidRPr="00EA2AB9">
        <w:rPr>
          <w:sz w:val="24"/>
          <w:lang w:val="fr-FR"/>
        </w:rPr>
        <w:t>»</w:t>
      </w:r>
      <w:hyperlink w:anchor="_bookmark60" w:history="1">
        <w:r w:rsidRPr="00EA2AB9">
          <w:rPr>
            <w:sz w:val="24"/>
            <w:vertAlign w:val="superscript"/>
            <w:lang w:val="fr-FR"/>
          </w:rPr>
          <w:t>56</w:t>
        </w:r>
      </w:hyperlink>
      <w:r w:rsidRPr="00EA2AB9">
        <w:rPr>
          <w:sz w:val="24"/>
          <w:lang w:val="fr-FR"/>
        </w:rPr>
        <w:t xml:space="preserve"> a été introduite dans le libellé de l'article</w:t>
      </w:r>
      <w:r w:rsidRPr="00EA2AB9">
        <w:rPr>
          <w:spacing w:val="-5"/>
          <w:sz w:val="24"/>
          <w:lang w:val="fr-FR"/>
        </w:rPr>
        <w:t xml:space="preserve"> 14 </w:t>
      </w:r>
      <w:r w:rsidRPr="00EA2AB9">
        <w:rPr>
          <w:sz w:val="24"/>
          <w:lang w:val="fr-FR"/>
        </w:rPr>
        <w:t>(actuel)</w:t>
      </w:r>
    </w:p>
    <w:p w14:paraId="3214C7D0" w14:textId="77777777" w:rsidR="006B758D" w:rsidRPr="00EA2AB9" w:rsidRDefault="0023308C" w:rsidP="00B91E8A">
      <w:pPr>
        <w:pStyle w:val="ListParagraph"/>
        <w:numPr>
          <w:ilvl w:val="0"/>
          <w:numId w:val="13"/>
        </w:numPr>
        <w:tabs>
          <w:tab w:val="left" w:pos="1054"/>
        </w:tabs>
        <w:spacing w:before="2" w:line="276" w:lineRule="auto"/>
        <w:ind w:left="682" w:right="394" w:firstLine="0"/>
        <w:rPr>
          <w:sz w:val="24"/>
          <w:lang w:val="fr-FR"/>
        </w:rPr>
      </w:pPr>
      <w:proofErr w:type="gramStart"/>
      <w:r w:rsidRPr="009B50CC">
        <w:rPr>
          <w:sz w:val="24"/>
          <w:lang w:val="fr-FR"/>
        </w:rPr>
        <w:t>était</w:t>
      </w:r>
      <w:proofErr w:type="gramEnd"/>
      <w:r w:rsidRPr="009B50CC">
        <w:rPr>
          <w:sz w:val="24"/>
          <w:lang w:val="fr-FR"/>
        </w:rPr>
        <w:t xml:space="preserve"> que « la discussion avait montré </w:t>
      </w:r>
      <w:r w:rsidRPr="009B50CC">
        <w:rPr>
          <w:b/>
          <w:sz w:val="24"/>
          <w:lang w:val="fr-FR"/>
        </w:rPr>
        <w:t xml:space="preserve">la nécessité </w:t>
      </w:r>
      <w:r w:rsidRPr="009B50CC">
        <w:rPr>
          <w:b/>
          <w:i/>
          <w:sz w:val="24"/>
          <w:lang w:val="fr-FR"/>
        </w:rPr>
        <w:t xml:space="preserve">d'élargir </w:t>
      </w:r>
      <w:r w:rsidRPr="009B50CC">
        <w:rPr>
          <w:b/>
          <w:sz w:val="24"/>
          <w:lang w:val="fr-FR"/>
        </w:rPr>
        <w:t xml:space="preserve">le texte au-delà de l'intention initiale tout en préservant cette intention </w:t>
      </w:r>
      <w:r w:rsidRPr="009B50CC">
        <w:rPr>
          <w:sz w:val="24"/>
          <w:lang w:val="fr-FR"/>
        </w:rPr>
        <w:t>»</w:t>
      </w:r>
      <w:hyperlink w:anchor="_bookmark61" w:history="1">
        <w:r w:rsidRPr="009B50CC">
          <w:rPr>
            <w:sz w:val="24"/>
            <w:vertAlign w:val="superscript"/>
            <w:lang w:val="fr-FR"/>
          </w:rPr>
          <w:t>57</w:t>
        </w:r>
      </w:hyperlink>
      <w:r w:rsidRPr="009B50CC">
        <w:rPr>
          <w:sz w:val="24"/>
          <w:lang w:val="fr-FR"/>
        </w:rPr>
        <w:t>.</w:t>
      </w:r>
      <w:hyperlink w:anchor="_bookmark61" w:history="1"/>
      <w:r w:rsidRPr="00EA2AB9">
        <w:rPr>
          <w:sz w:val="24"/>
          <w:lang w:val="fr-FR"/>
        </w:rPr>
        <w:t xml:space="preserve">Il ne fait aucun doute qu'il n'existe pas de </w:t>
      </w:r>
      <w:r w:rsidRPr="00EA2AB9">
        <w:rPr>
          <w:b/>
          <w:sz w:val="24"/>
          <w:lang w:val="fr-FR"/>
        </w:rPr>
        <w:t xml:space="preserve">« </w:t>
      </w:r>
      <w:r w:rsidRPr="00EA2AB9">
        <w:rPr>
          <w:sz w:val="24"/>
          <w:lang w:val="fr-FR"/>
        </w:rPr>
        <w:t>possibilité</w:t>
      </w:r>
      <w:r w:rsidRPr="00EA2AB9">
        <w:rPr>
          <w:b/>
          <w:sz w:val="24"/>
          <w:lang w:val="fr-FR"/>
        </w:rPr>
        <w:t xml:space="preserve"> raisonnable </w:t>
      </w:r>
      <w:r w:rsidRPr="00EA2AB9">
        <w:rPr>
          <w:sz w:val="24"/>
          <w:lang w:val="fr-FR"/>
        </w:rPr>
        <w:t xml:space="preserve">» si « l'obtenteur </w:t>
      </w:r>
      <w:r w:rsidRPr="00EA2AB9">
        <w:rPr>
          <w:b/>
          <w:sz w:val="24"/>
          <w:lang w:val="fr-FR"/>
        </w:rPr>
        <w:t xml:space="preserve">n'a eu aucune possibilité légale d'exercer son droit en ce qui concerne le matériel de reproduction </w:t>
      </w:r>
      <w:r w:rsidRPr="00EA2AB9">
        <w:rPr>
          <w:sz w:val="24"/>
          <w:lang w:val="fr-FR"/>
        </w:rPr>
        <w:t>ou de multiplication »</w:t>
      </w:r>
      <w:hyperlink w:anchor="_bookmark62" w:history="1">
        <w:r w:rsidRPr="00EA2AB9">
          <w:rPr>
            <w:sz w:val="24"/>
            <w:vertAlign w:val="superscript"/>
            <w:lang w:val="fr-FR"/>
          </w:rPr>
          <w:t>58</w:t>
        </w:r>
      </w:hyperlink>
      <w:r w:rsidRPr="00EA2AB9">
        <w:rPr>
          <w:sz w:val="24"/>
          <w:lang w:val="fr-FR"/>
        </w:rPr>
        <w:t xml:space="preserve">. </w:t>
      </w:r>
      <w:hyperlink w:anchor="_bookmark62" w:history="1"/>
    </w:p>
    <w:p w14:paraId="62423533" w14:textId="77777777" w:rsidR="006B758D" w:rsidRPr="00B91E8A" w:rsidRDefault="006B758D">
      <w:pPr>
        <w:pStyle w:val="BodyText"/>
        <w:spacing w:before="10"/>
        <w:rPr>
          <w:sz w:val="16"/>
          <w:szCs w:val="16"/>
          <w:lang w:val="fr-FR"/>
        </w:rPr>
      </w:pPr>
    </w:p>
    <w:p w14:paraId="20FFE00A" w14:textId="77777777" w:rsidR="006B758D" w:rsidRPr="00EA2AB9" w:rsidRDefault="0023308C" w:rsidP="00B91E8A">
      <w:pPr>
        <w:pStyle w:val="ListParagraph"/>
        <w:numPr>
          <w:ilvl w:val="2"/>
          <w:numId w:val="10"/>
        </w:numPr>
        <w:tabs>
          <w:tab w:val="left" w:pos="1916"/>
        </w:tabs>
        <w:spacing w:before="1" w:line="276" w:lineRule="auto"/>
        <w:ind w:right="399" w:firstLine="707"/>
        <w:rPr>
          <w:sz w:val="24"/>
          <w:lang w:val="fr-FR"/>
        </w:rPr>
      </w:pPr>
      <w:r w:rsidRPr="00EA2AB9">
        <w:rPr>
          <w:spacing w:val="-2"/>
          <w:sz w:val="24"/>
          <w:lang w:val="fr-FR"/>
        </w:rPr>
        <w:t xml:space="preserve">En ce qui concerne l'application pratique de la combinaison </w:t>
      </w:r>
      <w:r w:rsidRPr="00EA2AB9">
        <w:rPr>
          <w:sz w:val="24"/>
          <w:lang w:val="fr-FR"/>
        </w:rPr>
        <w:t xml:space="preserve">des conditions préalables à l'extension des effets du droit d'obtenteur sur le produit de la récolte, à savoir </w:t>
      </w:r>
      <w:r w:rsidRPr="00EA2AB9">
        <w:rPr>
          <w:spacing w:val="-2"/>
          <w:sz w:val="24"/>
          <w:lang w:val="fr-FR"/>
        </w:rPr>
        <w:t xml:space="preserve">« l'utilisation non autorisée » </w:t>
      </w:r>
      <w:r w:rsidRPr="00EA2AB9">
        <w:rPr>
          <w:sz w:val="24"/>
          <w:lang w:val="fr-FR"/>
        </w:rPr>
        <w:t>et « l'opportunité raisonnable d'exercer le droit », il convient de rappeler ce qui suit.</w:t>
      </w:r>
    </w:p>
    <w:p w14:paraId="13429270" w14:textId="77777777" w:rsidR="006B758D" w:rsidRPr="00B91E8A" w:rsidRDefault="006B758D">
      <w:pPr>
        <w:pStyle w:val="BodyText"/>
        <w:rPr>
          <w:sz w:val="16"/>
          <w:szCs w:val="16"/>
          <w:lang w:val="fr-FR"/>
        </w:rPr>
      </w:pPr>
    </w:p>
    <w:p w14:paraId="7BF88C01" w14:textId="301CCD92" w:rsidR="006B758D" w:rsidRPr="00EA2AB9" w:rsidRDefault="0023308C">
      <w:pPr>
        <w:pStyle w:val="ListParagraph"/>
        <w:numPr>
          <w:ilvl w:val="2"/>
          <w:numId w:val="10"/>
        </w:numPr>
        <w:tabs>
          <w:tab w:val="left" w:pos="1923"/>
        </w:tabs>
        <w:spacing w:line="360" w:lineRule="auto"/>
        <w:ind w:right="395" w:firstLine="707"/>
        <w:rPr>
          <w:b/>
          <w:sz w:val="24"/>
          <w:lang w:val="fr-FR"/>
        </w:rPr>
      </w:pPr>
      <w:r w:rsidRPr="00EA2AB9">
        <w:rPr>
          <w:sz w:val="24"/>
          <w:lang w:val="fr-FR"/>
        </w:rPr>
        <w:t xml:space="preserve">Lorsque, en octobre 1989, la délégation allemande a présenté sa proposition, qui a finalement abouti à l'article 14(2) de l'UPOV 1991, son « objectif était de préciser clairement que </w:t>
      </w:r>
      <w:r w:rsidRPr="00EA2AB9">
        <w:rPr>
          <w:b/>
          <w:sz w:val="24"/>
          <w:lang w:val="fr-FR"/>
        </w:rPr>
        <w:t>le titulaire du droit ne</w:t>
      </w:r>
      <w:r w:rsidRPr="00EA2AB9">
        <w:rPr>
          <w:sz w:val="24"/>
          <w:lang w:val="fr-FR"/>
        </w:rPr>
        <w:t xml:space="preserve"> pouvait </w:t>
      </w:r>
      <w:r w:rsidRPr="00EA2AB9">
        <w:rPr>
          <w:b/>
          <w:sz w:val="24"/>
          <w:lang w:val="fr-FR"/>
        </w:rPr>
        <w:t xml:space="preserve">l'exercer qu'une seule fois et ne pouvait percevoir une redevance qu'une seule fois, et qu'il devait le faire au stade le plus précoce possible </w:t>
      </w:r>
      <w:r w:rsidRPr="00EA2AB9">
        <w:rPr>
          <w:sz w:val="24"/>
          <w:lang w:val="fr-FR"/>
        </w:rPr>
        <w:t>»</w:t>
      </w:r>
      <w:hyperlink w:anchor="_bookmark63" w:history="1">
        <w:r w:rsidRPr="00EA2AB9">
          <w:rPr>
            <w:sz w:val="24"/>
            <w:vertAlign w:val="superscript"/>
            <w:lang w:val="fr-FR"/>
          </w:rPr>
          <w:t>59</w:t>
        </w:r>
      </w:hyperlink>
      <w:r w:rsidRPr="00EA2AB9">
        <w:rPr>
          <w:sz w:val="24"/>
          <w:lang w:val="fr-FR"/>
        </w:rPr>
        <w:t xml:space="preserve">. De nombreuses délégations ont partagé cette approche. Bien qu'il n'y ait pas eu de discussion sur le territoire où ces étapes de l'exploitation commerciale ont lieu, il ne fait aucun doute que l'exigence selon laquelle « </w:t>
      </w:r>
      <w:r w:rsidRPr="00EA2AB9">
        <w:rPr>
          <w:b/>
          <w:sz w:val="24"/>
          <w:lang w:val="fr-FR"/>
        </w:rPr>
        <w:t xml:space="preserve">le titulaire du droit </w:t>
      </w:r>
      <w:r w:rsidRPr="00EA2AB9">
        <w:rPr>
          <w:sz w:val="24"/>
          <w:lang w:val="fr-FR"/>
        </w:rPr>
        <w:t xml:space="preserve">» </w:t>
      </w:r>
      <w:r w:rsidRPr="00EA2AB9">
        <w:rPr>
          <w:b/>
          <w:sz w:val="24"/>
          <w:lang w:val="fr-FR"/>
        </w:rPr>
        <w:t xml:space="preserve">exerce son droit d'obtenteur au stade le plus précoce possible en ce qui concerne le matériel de reproduction ou de multiplication de la variété protégée et ne perçoive une redevance qu'une seule fois ne peut, par définition, s'appliquer que </w:t>
      </w:r>
      <w:r w:rsidRPr="00EA2AB9">
        <w:rPr>
          <w:b/>
          <w:i/>
          <w:sz w:val="24"/>
          <w:lang w:val="fr-FR"/>
        </w:rPr>
        <w:t>dans le pays où le droit est accordé et valide</w:t>
      </w:r>
      <w:r w:rsidRPr="00EA2AB9">
        <w:rPr>
          <w:b/>
          <w:sz w:val="24"/>
          <w:lang w:val="fr-FR"/>
        </w:rPr>
        <w:t>.</w:t>
      </w:r>
    </w:p>
    <w:p w14:paraId="092000D9" w14:textId="77777777" w:rsidR="006B758D" w:rsidRPr="00B91E8A" w:rsidRDefault="006B758D">
      <w:pPr>
        <w:pStyle w:val="BodyText"/>
        <w:spacing w:before="2"/>
        <w:rPr>
          <w:b/>
          <w:sz w:val="16"/>
          <w:szCs w:val="16"/>
          <w:lang w:val="fr-FR"/>
        </w:rPr>
      </w:pPr>
    </w:p>
    <w:p w14:paraId="2BCD2953" w14:textId="77777777" w:rsidR="006B758D" w:rsidRPr="00EA2AB9" w:rsidRDefault="0023308C" w:rsidP="00B91E8A">
      <w:pPr>
        <w:pStyle w:val="ListParagraph"/>
        <w:numPr>
          <w:ilvl w:val="2"/>
          <w:numId w:val="10"/>
        </w:numPr>
        <w:tabs>
          <w:tab w:val="left" w:pos="1957"/>
        </w:tabs>
        <w:spacing w:line="276" w:lineRule="auto"/>
        <w:ind w:right="396" w:firstLine="707"/>
        <w:rPr>
          <w:sz w:val="24"/>
          <w:lang w:val="fr-FR"/>
        </w:rPr>
      </w:pPr>
      <w:r w:rsidRPr="00EA2AB9">
        <w:rPr>
          <w:sz w:val="24"/>
          <w:lang w:val="fr-FR"/>
        </w:rPr>
        <w:t xml:space="preserve">Lors de sa dernière réunion avant la Conférence diplomatique, plusieurs délégations se sont prononcées en faveur de l'approche dite « d'application en cascade ». Cependant, comme le montre le compte rendu de la réunion, certaines délégations ont critiqué « </w:t>
      </w:r>
      <w:r w:rsidRPr="00EA2AB9">
        <w:rPr>
          <w:i/>
          <w:sz w:val="24"/>
          <w:lang w:val="fr-FR"/>
        </w:rPr>
        <w:t xml:space="preserve">le fait que le texte n'indiquait pas clairement que l'obtenteur devait « exercer ses droits » et percevoir des redevances dès la première étape d'exploitation </w:t>
      </w:r>
      <w:r w:rsidRPr="00EA2AB9">
        <w:rPr>
          <w:b/>
          <w:i/>
          <w:sz w:val="24"/>
          <w:lang w:val="fr-FR"/>
        </w:rPr>
        <w:t xml:space="preserve">possible </w:t>
      </w:r>
      <w:r w:rsidRPr="00EA2AB9">
        <w:rPr>
          <w:sz w:val="24"/>
          <w:lang w:val="fr-FR"/>
        </w:rPr>
        <w:t>»</w:t>
      </w:r>
      <w:hyperlink w:anchor="_bookmark64" w:history="1">
        <w:r w:rsidRPr="00EA2AB9">
          <w:rPr>
            <w:sz w:val="24"/>
            <w:vertAlign w:val="superscript"/>
            <w:lang w:val="fr-FR"/>
          </w:rPr>
          <w:t>60</w:t>
        </w:r>
      </w:hyperlink>
      <w:r w:rsidRPr="00EA2AB9">
        <w:rPr>
          <w:sz w:val="24"/>
          <w:lang w:val="fr-FR"/>
        </w:rPr>
        <w:t xml:space="preserve">. Il </w:t>
      </w:r>
      <w:r w:rsidRPr="00EA2AB9">
        <w:rPr>
          <w:b/>
          <w:sz w:val="24"/>
          <w:lang w:val="fr-FR"/>
        </w:rPr>
        <w:t>n'</w:t>
      </w:r>
      <w:r w:rsidRPr="00EA2AB9">
        <w:rPr>
          <w:sz w:val="24"/>
          <w:lang w:val="fr-FR"/>
        </w:rPr>
        <w:t xml:space="preserve">est </w:t>
      </w:r>
      <w:r w:rsidRPr="00EA2AB9">
        <w:rPr>
          <w:b/>
          <w:sz w:val="24"/>
          <w:lang w:val="fr-FR"/>
        </w:rPr>
        <w:t xml:space="preserve">pas possible </w:t>
      </w:r>
      <w:r w:rsidRPr="00EA2AB9">
        <w:rPr>
          <w:sz w:val="24"/>
          <w:lang w:val="fr-FR"/>
        </w:rPr>
        <w:t xml:space="preserve">pour le titulaire d'un droit d'obtenteur d'exercer son </w:t>
      </w:r>
      <w:r w:rsidRPr="00EA2AB9">
        <w:rPr>
          <w:spacing w:val="-2"/>
          <w:sz w:val="24"/>
          <w:lang w:val="fr-FR"/>
        </w:rPr>
        <w:t>droit</w:t>
      </w:r>
    </w:p>
    <w:p w14:paraId="23765BC5" w14:textId="4030EFAF" w:rsidR="006B758D" w:rsidRPr="00EA2AB9" w:rsidRDefault="005C7D52">
      <w:pPr>
        <w:pStyle w:val="BodyText"/>
        <w:spacing w:before="10"/>
        <w:rPr>
          <w:sz w:val="17"/>
          <w:lang w:val="fr-FR"/>
        </w:rPr>
      </w:pPr>
      <w:r>
        <w:rPr>
          <w:noProof/>
        </w:rPr>
        <mc:AlternateContent>
          <mc:Choice Requires="wps">
            <w:drawing>
              <wp:anchor distT="0" distB="0" distL="0" distR="0" simplePos="0" relativeHeight="487596032" behindDoc="1" locked="0" layoutInCell="1" allowOverlap="1" wp14:anchorId="5717492C" wp14:editId="676C844F">
                <wp:simplePos x="0" y="0"/>
                <wp:positionH relativeFrom="page">
                  <wp:posOffset>1080770</wp:posOffset>
                </wp:positionH>
                <wp:positionV relativeFrom="paragraph">
                  <wp:posOffset>146050</wp:posOffset>
                </wp:positionV>
                <wp:extent cx="1828800" cy="7620"/>
                <wp:effectExtent l="0" t="0" r="0" b="0"/>
                <wp:wrapTopAndBottom/>
                <wp:docPr id="101153959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0" style="position:absolute;margin-left:85.1pt;margin-top:11.5pt;width:2in;height:.6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" w14:anchorId="71B96314">
                <w10:wrap type="topAndBottom" anchorx="page"/>
              </v:rect>
            </w:pict>
          </mc:Fallback>
        </mc:AlternateContent>
      </w:r>
    </w:p>
    <w:p w14:paraId="0EAB64AB" w14:textId="77777777" w:rsidR="006B758D" w:rsidRPr="00EA2AB9" w:rsidRDefault="0023308C">
      <w:pPr>
        <w:spacing w:before="103" w:line="229" w:lineRule="exact"/>
        <w:ind w:left="682"/>
        <w:jc w:val="both"/>
        <w:rPr>
          <w:sz w:val="20"/>
          <w:lang w:val="fr-FR"/>
        </w:rPr>
      </w:pPr>
      <w:bookmarkStart w:id="60" w:name="_bookmark60"/>
      <w:bookmarkEnd w:id="60"/>
      <w:proofErr w:type="gramStart"/>
      <w:r w:rsidRPr="00EA2AB9">
        <w:rPr>
          <w:sz w:val="20"/>
          <w:vertAlign w:val="superscript"/>
          <w:lang w:val="fr-FR"/>
        </w:rPr>
        <w:t>56</w:t>
      </w:r>
      <w:r w:rsidRPr="00EA2AB9">
        <w:rPr>
          <w:sz w:val="20"/>
          <w:lang w:val="fr-FR"/>
        </w:rPr>
        <w:t xml:space="preserve">  C'est</w:t>
      </w:r>
      <w:proofErr w:type="gramEnd"/>
      <w:r w:rsidRPr="00EA2AB9">
        <w:rPr>
          <w:sz w:val="20"/>
          <w:lang w:val="fr-FR"/>
        </w:rPr>
        <w:t xml:space="preserve">-à-dire pour remplacer « et si, mais seulement si, l'obtenteur n'avait aucune possibilité légale d'exercer son </w:t>
      </w:r>
      <w:r w:rsidRPr="00EA2AB9">
        <w:rPr>
          <w:spacing w:val="-2"/>
          <w:sz w:val="20"/>
          <w:lang w:val="fr-FR"/>
        </w:rPr>
        <w:t>droit ».</w:t>
      </w:r>
    </w:p>
    <w:p w14:paraId="6041AE44" w14:textId="77777777" w:rsidR="006B758D" w:rsidRPr="004304CC" w:rsidRDefault="0023308C">
      <w:pPr>
        <w:spacing w:line="229" w:lineRule="exact"/>
        <w:ind w:left="682"/>
        <w:jc w:val="both"/>
        <w:rPr>
          <w:sz w:val="20"/>
          <w:lang w:val="es-ES"/>
        </w:rPr>
      </w:pPr>
      <w:bookmarkStart w:id="61" w:name="_bookmark61"/>
      <w:bookmarkEnd w:id="61"/>
      <w:proofErr w:type="gramStart"/>
      <w:r w:rsidRPr="004304CC">
        <w:rPr>
          <w:sz w:val="20"/>
          <w:vertAlign w:val="superscript"/>
          <w:lang w:val="es-ES"/>
        </w:rPr>
        <w:t>57</w:t>
      </w:r>
      <w:r w:rsidRPr="004304CC">
        <w:rPr>
          <w:sz w:val="20"/>
          <w:lang w:val="es-ES"/>
        </w:rPr>
        <w:t xml:space="preserve">  R</w:t>
      </w:r>
      <w:proofErr w:type="gramEnd"/>
      <w:r w:rsidRPr="004304CC">
        <w:rPr>
          <w:sz w:val="20"/>
          <w:lang w:val="es-ES"/>
        </w:rPr>
        <w:t xml:space="preserve"> </w:t>
      </w:r>
      <w:proofErr w:type="spellStart"/>
      <w:r w:rsidRPr="004304CC">
        <w:rPr>
          <w:sz w:val="20"/>
          <w:lang w:val="es-ES"/>
        </w:rPr>
        <w:t>n°</w:t>
      </w:r>
      <w:proofErr w:type="spellEnd"/>
      <w:r w:rsidRPr="004304CC">
        <w:rPr>
          <w:sz w:val="20"/>
          <w:lang w:val="es-ES"/>
        </w:rPr>
        <w:t xml:space="preserve"> 15, R p. 146 (</w:t>
      </w:r>
      <w:r w:rsidRPr="004304CC">
        <w:rPr>
          <w:i/>
          <w:sz w:val="20"/>
          <w:lang w:val="es-ES"/>
        </w:rPr>
        <w:t xml:space="preserve">supra </w:t>
      </w:r>
      <w:r w:rsidRPr="004304CC">
        <w:rPr>
          <w:sz w:val="20"/>
          <w:lang w:val="es-ES"/>
        </w:rPr>
        <w:t>n°</w:t>
      </w:r>
      <w:r w:rsidRPr="004304CC">
        <w:rPr>
          <w:spacing w:val="-2"/>
          <w:sz w:val="20"/>
          <w:lang w:val="es-ES"/>
        </w:rPr>
        <w:t xml:space="preserve"> 10.2.5.3).</w:t>
      </w:r>
    </w:p>
    <w:p w14:paraId="52C73EBE" w14:textId="77777777" w:rsidR="006B758D" w:rsidRPr="00EA2AB9" w:rsidRDefault="0023308C">
      <w:pPr>
        <w:spacing w:before="1"/>
        <w:ind w:left="682" w:right="393"/>
        <w:jc w:val="both"/>
        <w:rPr>
          <w:sz w:val="20"/>
          <w:lang w:val="fr-FR"/>
        </w:rPr>
      </w:pPr>
      <w:bookmarkStart w:id="62" w:name="_bookmark62"/>
      <w:bookmarkEnd w:id="62"/>
      <w:r w:rsidRPr="00EA2AB9">
        <w:rPr>
          <w:sz w:val="20"/>
          <w:vertAlign w:val="superscript"/>
          <w:lang w:val="fr-FR"/>
        </w:rPr>
        <w:t>58</w:t>
      </w:r>
      <w:r w:rsidRPr="00EA2AB9">
        <w:rPr>
          <w:sz w:val="20"/>
          <w:lang w:val="fr-FR"/>
        </w:rPr>
        <w:t xml:space="preserve">  La Cour fédérale de justice allemande, dans un arrêt rendu en novembre 2023 .X ZR 70/22 –</w:t>
      </w:r>
      <w:r w:rsidRPr="00EA2AB9">
        <w:rPr>
          <w:spacing w:val="-5"/>
          <w:sz w:val="20"/>
          <w:lang w:val="fr-FR"/>
        </w:rPr>
        <w:t xml:space="preserve"> </w:t>
      </w:r>
      <w:r w:rsidRPr="00EA2AB9">
        <w:rPr>
          <w:sz w:val="20"/>
          <w:lang w:val="fr-FR"/>
        </w:rPr>
        <w:t>« Récolte », a soigneusement analysé l'historique de la rédaction de l'article 14 (2) de l'UPOV, n° 51-54, et a conclu que « ... il ressort de l'historique législatif que non seulement les possibilités juridiques, mais aussi les possibilités factuelles qui existaient jusqu'au moment où le consentement est requis au plus tard en ce qui concerne le matériel de reproduction ou de multiplication sont pertinentes » (id. n° 55).</w:t>
      </w:r>
    </w:p>
    <w:p w14:paraId="40BEE946" w14:textId="77777777" w:rsidR="006B758D" w:rsidRPr="00EA2AB9" w:rsidRDefault="0023308C">
      <w:pPr>
        <w:spacing w:before="1" w:line="229" w:lineRule="exact"/>
        <w:ind w:left="682"/>
        <w:jc w:val="both"/>
        <w:rPr>
          <w:sz w:val="20"/>
          <w:lang w:val="fr-FR"/>
        </w:rPr>
      </w:pPr>
      <w:bookmarkStart w:id="63" w:name="_bookmark63"/>
      <w:bookmarkEnd w:id="63"/>
      <w:proofErr w:type="gramStart"/>
      <w:r w:rsidRPr="00EA2AB9">
        <w:rPr>
          <w:sz w:val="20"/>
          <w:vertAlign w:val="superscript"/>
          <w:lang w:val="es-ES"/>
        </w:rPr>
        <w:t>59</w:t>
      </w:r>
      <w:r w:rsidRPr="00EA2AB9">
        <w:rPr>
          <w:sz w:val="20"/>
          <w:lang w:val="es-ES"/>
        </w:rPr>
        <w:t xml:space="preserve">  Cf.</w:t>
      </w:r>
      <w:proofErr w:type="gramEnd"/>
      <w:r w:rsidRPr="00EA2AB9">
        <w:rPr>
          <w:sz w:val="20"/>
          <w:lang w:val="es-ES"/>
        </w:rPr>
        <w:t xml:space="preserve"> </w:t>
      </w:r>
      <w:r w:rsidRPr="00EA2AB9">
        <w:rPr>
          <w:i/>
          <w:sz w:val="20"/>
          <w:lang w:val="es-ES"/>
        </w:rPr>
        <w:t xml:space="preserve">supra </w:t>
      </w:r>
      <w:proofErr w:type="spellStart"/>
      <w:r w:rsidRPr="00EA2AB9">
        <w:rPr>
          <w:sz w:val="20"/>
          <w:lang w:val="es-ES"/>
        </w:rPr>
        <w:t>n°</w:t>
      </w:r>
      <w:proofErr w:type="spellEnd"/>
      <w:r w:rsidRPr="00EA2AB9">
        <w:rPr>
          <w:sz w:val="20"/>
          <w:lang w:val="es-ES"/>
        </w:rPr>
        <w:t xml:space="preserve"> 9.2 (d), 3e </w:t>
      </w:r>
      <w:proofErr w:type="spellStart"/>
      <w:r w:rsidRPr="00EA2AB9">
        <w:rPr>
          <w:sz w:val="20"/>
          <w:lang w:val="es-ES"/>
        </w:rPr>
        <w:t>tiret</w:t>
      </w:r>
      <w:proofErr w:type="spellEnd"/>
      <w:r w:rsidRPr="00EA2AB9">
        <w:rPr>
          <w:sz w:val="20"/>
          <w:lang w:val="es-ES"/>
        </w:rPr>
        <w:t xml:space="preserve">. </w:t>
      </w:r>
      <w:r w:rsidRPr="00EA2AB9">
        <w:rPr>
          <w:sz w:val="20"/>
          <w:lang w:val="fr-FR"/>
        </w:rPr>
        <w:t xml:space="preserve">Le Danemark a partagé cette </w:t>
      </w:r>
      <w:r w:rsidRPr="00EA2AB9">
        <w:rPr>
          <w:spacing w:val="-2"/>
          <w:sz w:val="20"/>
          <w:lang w:val="fr-FR"/>
        </w:rPr>
        <w:t>position.</w:t>
      </w:r>
    </w:p>
    <w:p w14:paraId="7707EBA2" w14:textId="77777777" w:rsidR="006B758D" w:rsidRPr="00EA2AB9" w:rsidRDefault="0023308C">
      <w:pPr>
        <w:spacing w:line="229" w:lineRule="exact"/>
        <w:ind w:left="682"/>
        <w:jc w:val="both"/>
        <w:rPr>
          <w:sz w:val="20"/>
          <w:lang w:val="fr-FR"/>
        </w:rPr>
      </w:pPr>
      <w:bookmarkStart w:id="64" w:name="_bookmark64"/>
      <w:bookmarkEnd w:id="64"/>
      <w:proofErr w:type="gramStart"/>
      <w:r w:rsidRPr="00EA2AB9">
        <w:rPr>
          <w:sz w:val="20"/>
          <w:vertAlign w:val="superscript"/>
          <w:lang w:val="fr-FR"/>
        </w:rPr>
        <w:t>60</w:t>
      </w:r>
      <w:r w:rsidRPr="00EA2AB9">
        <w:rPr>
          <w:sz w:val="20"/>
          <w:lang w:val="fr-FR"/>
        </w:rPr>
        <w:t xml:space="preserve">  CAJ</w:t>
      </w:r>
      <w:proofErr w:type="gramEnd"/>
      <w:r w:rsidRPr="00EA2AB9">
        <w:rPr>
          <w:sz w:val="20"/>
          <w:lang w:val="fr-FR"/>
        </w:rPr>
        <w:t xml:space="preserve"> 27/8, 25-29 juin 1990, n° 70 (i) (souligné par HG &amp; JS), voir également </w:t>
      </w:r>
      <w:r w:rsidRPr="00EA2AB9">
        <w:rPr>
          <w:i/>
          <w:sz w:val="20"/>
          <w:lang w:val="fr-FR"/>
        </w:rPr>
        <w:t xml:space="preserve">supra </w:t>
      </w:r>
      <w:r w:rsidRPr="00EA2AB9">
        <w:rPr>
          <w:sz w:val="20"/>
          <w:lang w:val="fr-FR"/>
        </w:rPr>
        <w:t xml:space="preserve">n° 9.2 </w:t>
      </w:r>
      <w:r w:rsidRPr="00EA2AB9">
        <w:rPr>
          <w:spacing w:val="-4"/>
          <w:sz w:val="20"/>
          <w:lang w:val="fr-FR"/>
        </w:rPr>
        <w:t>(f).</w:t>
      </w:r>
    </w:p>
    <w:p w14:paraId="05E79174" w14:textId="77777777" w:rsidR="006B758D" w:rsidRPr="00EA2AB9" w:rsidRDefault="006B758D">
      <w:pPr>
        <w:spacing w:line="229" w:lineRule="exact"/>
        <w:jc w:val="both"/>
        <w:rPr>
          <w:sz w:val="20"/>
          <w:lang w:val="fr-FR"/>
        </w:rPr>
        <w:sectPr w:rsidR="006B758D" w:rsidRPr="00EA2AB9">
          <w:pgSz w:w="11910" w:h="16840"/>
          <w:pgMar w:top="1320" w:right="1300" w:bottom="1240" w:left="1020" w:header="0" w:footer="1049" w:gutter="0"/>
          <w:cols w:space="720"/>
        </w:sectPr>
      </w:pPr>
    </w:p>
    <w:p w14:paraId="1FC3BC53" w14:textId="77777777" w:rsidR="006B758D" w:rsidRPr="00EA2AB9" w:rsidRDefault="0023308C">
      <w:pPr>
        <w:pStyle w:val="BodyText"/>
        <w:spacing w:before="76" w:line="362" w:lineRule="auto"/>
        <w:ind w:left="682"/>
        <w:rPr>
          <w:lang w:val="fr-FR"/>
        </w:rPr>
      </w:pPr>
      <w:proofErr w:type="gramStart"/>
      <w:r w:rsidRPr="00EA2AB9">
        <w:rPr>
          <w:lang w:val="fr-FR"/>
        </w:rPr>
        <w:lastRenderedPageBreak/>
        <w:t>en</w:t>
      </w:r>
      <w:proofErr w:type="gramEnd"/>
      <w:r w:rsidRPr="00EA2AB9">
        <w:rPr>
          <w:lang w:val="fr-FR"/>
        </w:rPr>
        <w:t xml:space="preserve"> ce qui concerne le matériel de reproduction ou de multiplication de la variété protégée, dans les cas où l'acte en question a été commis en dehors du territoire de validité de la protection, cela va sans dire.</w:t>
      </w:r>
    </w:p>
    <w:p w14:paraId="331C83EF" w14:textId="77777777" w:rsidR="006B758D" w:rsidRPr="00D277E1" w:rsidRDefault="006B758D">
      <w:pPr>
        <w:pStyle w:val="BodyText"/>
        <w:spacing w:before="8"/>
        <w:rPr>
          <w:sz w:val="18"/>
          <w:szCs w:val="18"/>
          <w:lang w:val="fr-FR"/>
        </w:rPr>
      </w:pPr>
    </w:p>
    <w:p w14:paraId="67FE421C" w14:textId="77777777" w:rsidR="006B758D" w:rsidRPr="00E7034A" w:rsidRDefault="0023308C">
      <w:pPr>
        <w:pStyle w:val="ListParagraph"/>
        <w:numPr>
          <w:ilvl w:val="2"/>
          <w:numId w:val="10"/>
        </w:numPr>
        <w:tabs>
          <w:tab w:val="left" w:pos="1930"/>
        </w:tabs>
        <w:spacing w:line="360" w:lineRule="auto"/>
        <w:ind w:right="395" w:firstLine="707"/>
        <w:rPr>
          <w:sz w:val="24"/>
          <w:lang w:val="fr-FR"/>
        </w:rPr>
      </w:pPr>
      <w:r w:rsidRPr="00EA2AB9">
        <w:rPr>
          <w:sz w:val="24"/>
          <w:lang w:val="fr-FR"/>
        </w:rPr>
        <w:t xml:space="preserve">La décision ultérieure du CAJ, comprise dans le contexte de cette discussion, a finalement accepté d'inclure la notion de cascade comme option en ajoutant entre crochets à la fin de l'alinéa b) les mots « </w:t>
      </w:r>
      <w:r w:rsidRPr="00EA2AB9">
        <w:rPr>
          <w:b/>
          <w:sz w:val="24"/>
          <w:lang w:val="fr-FR"/>
        </w:rPr>
        <w:t>et si, mais seulement si, l'obtenteur n'a eu aucune possibilité légale d'exercer son droit en ce qui concerne le matériel de reproduction ou de multiplication</w:t>
      </w:r>
      <w:r w:rsidRPr="00EA2AB9">
        <w:rPr>
          <w:sz w:val="24"/>
          <w:lang w:val="fr-FR"/>
        </w:rPr>
        <w:t>. »</w:t>
      </w:r>
      <w:hyperlink w:anchor="_bookmark65" w:history="1">
        <w:r w:rsidRPr="00EA2AB9">
          <w:rPr>
            <w:sz w:val="24"/>
            <w:vertAlign w:val="superscript"/>
            <w:lang w:val="fr-FR"/>
          </w:rPr>
          <w:t>61</w:t>
        </w:r>
      </w:hyperlink>
      <w:r w:rsidRPr="00EA2AB9">
        <w:rPr>
          <w:sz w:val="24"/>
          <w:lang w:val="fr-FR"/>
        </w:rPr>
        <w:t xml:space="preserve">  Cette formulation a été expressément soutenue par de nombreuses </w:t>
      </w:r>
      <w:r w:rsidRPr="00EA2AB9">
        <w:rPr>
          <w:spacing w:val="-2"/>
          <w:sz w:val="24"/>
          <w:lang w:val="fr-FR"/>
        </w:rPr>
        <w:t xml:space="preserve">délégations </w:t>
      </w:r>
      <w:r w:rsidRPr="00EA2AB9">
        <w:rPr>
          <w:sz w:val="24"/>
          <w:lang w:val="fr-FR"/>
        </w:rPr>
        <w:t>lors de la Conférence diplomatique</w:t>
      </w:r>
      <w:r w:rsidRPr="00EA2AB9">
        <w:rPr>
          <w:spacing w:val="-2"/>
          <w:sz w:val="24"/>
          <w:lang w:val="fr-FR"/>
        </w:rPr>
        <w:t>.</w:t>
      </w:r>
      <w:hyperlink w:anchor="_bookmark66" w:history="1">
        <w:r w:rsidRPr="00E7034A">
          <w:rPr>
            <w:spacing w:val="-2"/>
            <w:sz w:val="24"/>
            <w:vertAlign w:val="superscript"/>
            <w:lang w:val="fr-FR"/>
          </w:rPr>
          <w:t>62</w:t>
        </w:r>
      </w:hyperlink>
    </w:p>
    <w:p w14:paraId="203B27A8" w14:textId="77777777" w:rsidR="006B758D" w:rsidRPr="00E7034A" w:rsidRDefault="006B758D">
      <w:pPr>
        <w:pStyle w:val="BodyText"/>
        <w:rPr>
          <w:sz w:val="18"/>
          <w:szCs w:val="18"/>
          <w:lang w:val="fr-FR"/>
        </w:rPr>
      </w:pPr>
    </w:p>
    <w:p w14:paraId="186D18B2" w14:textId="77777777" w:rsidR="006B758D" w:rsidRPr="00EA2AB9" w:rsidRDefault="0023308C">
      <w:pPr>
        <w:pStyle w:val="ListParagraph"/>
        <w:numPr>
          <w:ilvl w:val="2"/>
          <w:numId w:val="10"/>
        </w:numPr>
        <w:tabs>
          <w:tab w:val="left" w:pos="1942"/>
        </w:tabs>
        <w:spacing w:line="360" w:lineRule="auto"/>
        <w:ind w:right="394" w:firstLine="707"/>
        <w:rPr>
          <w:sz w:val="24"/>
          <w:lang w:val="fr-FR"/>
        </w:rPr>
      </w:pPr>
      <w:r w:rsidRPr="00EA2AB9">
        <w:rPr>
          <w:sz w:val="24"/>
          <w:lang w:val="fr-FR"/>
        </w:rPr>
        <w:t xml:space="preserve">La condition explicite, voire renforcée, « </w:t>
      </w:r>
      <w:r w:rsidRPr="00EA2AB9">
        <w:rPr>
          <w:b/>
          <w:sz w:val="24"/>
          <w:lang w:val="fr-FR"/>
        </w:rPr>
        <w:t xml:space="preserve">et si, </w:t>
      </w:r>
      <w:r w:rsidRPr="00EA2AB9">
        <w:rPr>
          <w:b/>
          <w:i/>
          <w:sz w:val="24"/>
          <w:lang w:val="fr-FR"/>
        </w:rPr>
        <w:t xml:space="preserve">mais uniquement si </w:t>
      </w:r>
      <w:r w:rsidRPr="00EA2AB9">
        <w:rPr>
          <w:b/>
          <w:sz w:val="24"/>
          <w:lang w:val="fr-FR"/>
        </w:rPr>
        <w:t xml:space="preserve">l'obtenteur n'avait aucune </w:t>
      </w:r>
      <w:r w:rsidRPr="00EA2AB9">
        <w:rPr>
          <w:b/>
          <w:i/>
          <w:sz w:val="24"/>
          <w:lang w:val="fr-FR"/>
        </w:rPr>
        <w:t xml:space="preserve">possibilité légale </w:t>
      </w:r>
      <w:r w:rsidRPr="00EA2AB9">
        <w:rPr>
          <w:sz w:val="24"/>
          <w:lang w:val="fr-FR"/>
        </w:rPr>
        <w:t xml:space="preserve">», à la lumière des développements rédactionnels, ne laisse aucun doute sur le fait que « </w:t>
      </w:r>
      <w:r w:rsidRPr="00EA2AB9">
        <w:rPr>
          <w:b/>
          <w:sz w:val="24"/>
          <w:lang w:val="fr-FR"/>
        </w:rPr>
        <w:t xml:space="preserve">aucune </w:t>
      </w:r>
      <w:r w:rsidRPr="00EA2AB9">
        <w:rPr>
          <w:sz w:val="24"/>
          <w:lang w:val="fr-FR"/>
        </w:rPr>
        <w:t>possibilité</w:t>
      </w:r>
      <w:r w:rsidRPr="00EA2AB9">
        <w:rPr>
          <w:b/>
          <w:sz w:val="24"/>
          <w:lang w:val="fr-FR"/>
        </w:rPr>
        <w:t xml:space="preserve"> légale </w:t>
      </w:r>
      <w:r w:rsidRPr="00EA2AB9">
        <w:rPr>
          <w:sz w:val="24"/>
          <w:lang w:val="fr-FR"/>
        </w:rPr>
        <w:t xml:space="preserve">» </w:t>
      </w:r>
      <w:r w:rsidRPr="00EA2AB9">
        <w:rPr>
          <w:b/>
          <w:sz w:val="24"/>
          <w:lang w:val="fr-FR"/>
        </w:rPr>
        <w:t>signifie que les effets du droit d'obtenteur concerné n'avaient aucun effet sur le territoire où les actes relatifs au matériel de reproduction ou de multiplication de la variété protégée ont été accomplis, de sorte que l'obtenteur avait la première possibilité d'exercer son droit d'obtenteur.</w:t>
      </w:r>
      <w:r w:rsidRPr="00EA2AB9">
        <w:rPr>
          <w:b/>
          <w:spacing w:val="-1"/>
          <w:sz w:val="24"/>
          <w:lang w:val="fr-FR"/>
        </w:rPr>
        <w:t xml:space="preserve"> </w:t>
      </w:r>
      <w:r w:rsidRPr="00EA2AB9">
        <w:rPr>
          <w:sz w:val="24"/>
          <w:lang w:val="fr-FR"/>
        </w:rPr>
        <w:t xml:space="preserve">Le comité de rédaction a ensuite adopté la formulation « il était </w:t>
      </w:r>
      <w:r w:rsidRPr="00EA2AB9">
        <w:rPr>
          <w:b/>
          <w:sz w:val="24"/>
          <w:lang w:val="fr-FR"/>
        </w:rPr>
        <w:t xml:space="preserve">impossible d'exercer le droit </w:t>
      </w:r>
      <w:r w:rsidRPr="00EA2AB9">
        <w:rPr>
          <w:sz w:val="24"/>
          <w:lang w:val="fr-FR"/>
        </w:rPr>
        <w:t>»</w:t>
      </w:r>
      <w:hyperlink w:anchor="_bookmark67" w:history="1">
        <w:r w:rsidRPr="00EA2AB9">
          <w:rPr>
            <w:sz w:val="24"/>
            <w:vertAlign w:val="superscript"/>
            <w:lang w:val="fr-FR"/>
          </w:rPr>
          <w:t>(63).</w:t>
        </w:r>
      </w:hyperlink>
      <w:r w:rsidRPr="00EA2AB9">
        <w:rPr>
          <w:sz w:val="24"/>
          <w:lang w:val="fr-FR"/>
        </w:rPr>
        <w:t xml:space="preserve">  Comme indiqué ci-dessus, la formulation finalement adoptée « aucune opportunité raisonnable » a été choisie </w:t>
      </w:r>
      <w:r w:rsidRPr="00EA2AB9">
        <w:rPr>
          <w:b/>
          <w:sz w:val="24"/>
          <w:lang w:val="fr-FR"/>
        </w:rPr>
        <w:t xml:space="preserve">afin d'élargir la possibilité de revendiquer la protection du produit de la récolte </w:t>
      </w:r>
      <w:r w:rsidRPr="00EA2AB9">
        <w:rPr>
          <w:sz w:val="24"/>
          <w:lang w:val="fr-FR"/>
        </w:rPr>
        <w:t xml:space="preserve">dans certaines circonstances non spécifiées, mais elle a conservé l'intention exprimée et imposée par « n'a eu aucune possibilité légale » dans la proposition de base et « était impossible » dans la formulation utilisée par le comité de rédaction </w:t>
      </w:r>
      <w:hyperlink w:anchor="_bookmark68" w:history="1">
        <w:r w:rsidRPr="00EA2AB9">
          <w:rPr>
            <w:sz w:val="24"/>
            <w:vertAlign w:val="superscript"/>
            <w:lang w:val="fr-FR"/>
          </w:rPr>
          <w:t>64</w:t>
        </w:r>
        <w:r w:rsidRPr="00EA2AB9">
          <w:rPr>
            <w:sz w:val="24"/>
            <w:lang w:val="fr-FR"/>
          </w:rPr>
          <w:t xml:space="preserve">. </w:t>
        </w:r>
      </w:hyperlink>
    </w:p>
    <w:p w14:paraId="2C593523" w14:textId="77777777" w:rsidR="006B758D" w:rsidRPr="00D277E1" w:rsidRDefault="006B758D">
      <w:pPr>
        <w:pStyle w:val="BodyText"/>
        <w:rPr>
          <w:sz w:val="18"/>
          <w:szCs w:val="18"/>
          <w:lang w:val="fr-FR"/>
        </w:rPr>
      </w:pPr>
    </w:p>
    <w:p w14:paraId="60D012C6" w14:textId="4FBB60C3" w:rsidR="006B758D" w:rsidRPr="00D277E1" w:rsidRDefault="0023308C" w:rsidP="00D277E1">
      <w:pPr>
        <w:pStyle w:val="ListParagraph"/>
        <w:numPr>
          <w:ilvl w:val="2"/>
          <w:numId w:val="10"/>
        </w:numPr>
        <w:tabs>
          <w:tab w:val="left" w:pos="2010"/>
        </w:tabs>
        <w:spacing w:before="1"/>
        <w:ind w:right="394" w:firstLine="707"/>
        <w:rPr>
          <w:sz w:val="24"/>
          <w:lang w:val="fr-FR"/>
        </w:rPr>
      </w:pPr>
      <w:r w:rsidRPr="00EA2AB9">
        <w:rPr>
          <w:sz w:val="24"/>
          <w:lang w:val="fr-FR"/>
        </w:rPr>
        <w:t xml:space="preserve">À titre d'exhaustivité, la formulation « </w:t>
      </w:r>
      <w:r w:rsidRPr="00EA2AB9">
        <w:rPr>
          <w:b/>
          <w:sz w:val="24"/>
          <w:lang w:val="fr-FR"/>
        </w:rPr>
        <w:t>n'</w:t>
      </w:r>
      <w:r w:rsidRPr="00EA2AB9">
        <w:rPr>
          <w:sz w:val="24"/>
          <w:lang w:val="fr-FR"/>
        </w:rPr>
        <w:t xml:space="preserve">a eu </w:t>
      </w:r>
      <w:r w:rsidRPr="00EA2AB9">
        <w:rPr>
          <w:b/>
          <w:sz w:val="24"/>
          <w:lang w:val="fr-FR"/>
        </w:rPr>
        <w:t xml:space="preserve">aucune </w:t>
      </w:r>
      <w:r w:rsidRPr="00EA2AB9">
        <w:rPr>
          <w:sz w:val="24"/>
          <w:lang w:val="fr-FR"/>
        </w:rPr>
        <w:t>possibilité</w:t>
      </w:r>
      <w:r w:rsidRPr="00EA2AB9">
        <w:rPr>
          <w:b/>
          <w:sz w:val="24"/>
          <w:lang w:val="fr-FR"/>
        </w:rPr>
        <w:t xml:space="preserve"> légale </w:t>
      </w:r>
      <w:r w:rsidRPr="00EA2AB9">
        <w:rPr>
          <w:sz w:val="24"/>
          <w:lang w:val="fr-FR"/>
        </w:rPr>
        <w:t xml:space="preserve">» indique implicitement qu'en règle générale, une telle situation juridique ne peut se produire </w:t>
      </w:r>
      <w:r w:rsidRPr="00EA2AB9">
        <w:rPr>
          <w:b/>
          <w:sz w:val="24"/>
          <w:lang w:val="fr-FR"/>
        </w:rPr>
        <w:t xml:space="preserve">sur le territoire où le droit est accordé et valide, et où la protection est recherchée </w:t>
      </w:r>
      <w:r w:rsidRPr="00EA2AB9">
        <w:rPr>
          <w:sz w:val="24"/>
          <w:lang w:val="fr-FR"/>
        </w:rPr>
        <w:t xml:space="preserve">! </w:t>
      </w:r>
      <w:hyperlink w:anchor="_bookmark69" w:history="1">
        <w:r w:rsidRPr="00EA2AB9">
          <w:rPr>
            <w:sz w:val="24"/>
            <w:vertAlign w:val="superscript"/>
            <w:lang w:val="fr-FR"/>
          </w:rPr>
          <w:t>65</w:t>
        </w:r>
      </w:hyperlink>
      <w:r w:rsidRPr="00EA2AB9">
        <w:rPr>
          <w:sz w:val="24"/>
          <w:lang w:val="fr-FR"/>
        </w:rPr>
        <w:t xml:space="preserve"> Le titulaire d'un droit d'obtenteur valide ne pouvait, que dans des circonstances exceptionnelles, telles qu'une guerre, </w:t>
      </w:r>
      <w:r w:rsidR="0088570C">
        <w:rPr>
          <w:sz w:val="24"/>
          <w:lang w:val="fr-FR"/>
        </w:rPr>
        <w:t>des</w:t>
      </w:r>
      <w:r w:rsidR="00E7034A">
        <w:rPr>
          <w:sz w:val="24"/>
          <w:lang w:val="fr-FR"/>
        </w:rPr>
        <w:t xml:space="preserve"> </w:t>
      </w:r>
      <w:r w:rsidR="00E7034A" w:rsidRPr="00EA2AB9">
        <w:rPr>
          <w:lang w:val="fr-FR"/>
        </w:rPr>
        <w:t>sanctions imposées</w:t>
      </w:r>
      <w:r w:rsidR="00E7034A">
        <w:rPr>
          <w:lang w:val="fr-FR"/>
        </w:rPr>
        <w:t xml:space="preserve"> par la loi,</w:t>
      </w:r>
      <w:r w:rsidR="00E7034A" w:rsidRPr="00EA2AB9">
        <w:rPr>
          <w:lang w:val="fr-FR"/>
        </w:rPr>
        <w:t xml:space="preserve"> etc.,</w:t>
      </w:r>
    </w:p>
    <w:p w14:paraId="296D13E4" w14:textId="32E3A969" w:rsidR="006B758D" w:rsidRPr="00D277E1" w:rsidRDefault="005C7D52" w:rsidP="00D277E1">
      <w:pPr>
        <w:pStyle w:val="BodyText"/>
        <w:rPr>
          <w:sz w:val="16"/>
          <w:szCs w:val="16"/>
          <w:lang w:val="fr-FR"/>
        </w:rPr>
      </w:pPr>
      <w:r>
        <w:rPr>
          <w:noProof/>
        </w:rPr>
        <mc:AlternateContent>
          <mc:Choice Requires="wps">
            <w:drawing>
              <wp:anchor distT="0" distB="0" distL="0" distR="0" simplePos="0" relativeHeight="487596544" behindDoc="1" locked="0" layoutInCell="1" allowOverlap="1" wp14:anchorId="335EF22E" wp14:editId="491CB4DF">
                <wp:simplePos x="0" y="0"/>
                <wp:positionH relativeFrom="page">
                  <wp:posOffset>1080770</wp:posOffset>
                </wp:positionH>
                <wp:positionV relativeFrom="paragraph">
                  <wp:posOffset>233045</wp:posOffset>
                </wp:positionV>
                <wp:extent cx="1828800" cy="7620"/>
                <wp:effectExtent l="0" t="0" r="0" b="0"/>
                <wp:wrapTopAndBottom/>
                <wp:docPr id="189736211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1" style="position:absolute;margin-left:85.1pt;margin-top:18.35pt;width:2in;height:.6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" w14:anchorId="4D059B49">
                <w10:wrap type="topAndBottom" anchorx="page"/>
              </v:rect>
            </w:pict>
          </mc:Fallback>
        </mc:AlternateContent>
      </w:r>
    </w:p>
    <w:p w14:paraId="58A0E320" w14:textId="77777777" w:rsidR="006B758D" w:rsidRPr="00EA2AB9" w:rsidRDefault="0023308C">
      <w:pPr>
        <w:spacing w:before="103"/>
        <w:ind w:left="682"/>
        <w:jc w:val="both"/>
        <w:rPr>
          <w:sz w:val="20"/>
          <w:lang w:val="fr-FR"/>
        </w:rPr>
      </w:pPr>
      <w:bookmarkStart w:id="65" w:name="_bookmark65"/>
      <w:bookmarkEnd w:id="65"/>
      <w:proofErr w:type="gramStart"/>
      <w:r w:rsidRPr="00EA2AB9">
        <w:rPr>
          <w:sz w:val="20"/>
          <w:vertAlign w:val="superscript"/>
          <w:lang w:val="fr-FR"/>
        </w:rPr>
        <w:t>61</w:t>
      </w:r>
      <w:r w:rsidRPr="00EA2AB9">
        <w:rPr>
          <w:sz w:val="20"/>
          <w:lang w:val="fr-FR"/>
        </w:rPr>
        <w:t xml:space="preserve">  Cf.</w:t>
      </w:r>
      <w:proofErr w:type="gramEnd"/>
      <w:r w:rsidRPr="00EA2AB9">
        <w:rPr>
          <w:sz w:val="20"/>
          <w:lang w:val="fr-FR"/>
        </w:rPr>
        <w:t xml:space="preserve"> </w:t>
      </w:r>
      <w:r w:rsidRPr="00EA2AB9">
        <w:rPr>
          <w:i/>
          <w:sz w:val="20"/>
          <w:lang w:val="fr-FR"/>
        </w:rPr>
        <w:t xml:space="preserve">supra </w:t>
      </w:r>
      <w:r w:rsidRPr="00EA2AB9">
        <w:rPr>
          <w:sz w:val="20"/>
          <w:lang w:val="fr-FR"/>
        </w:rPr>
        <w:t xml:space="preserve">n° 9.2 </w:t>
      </w:r>
      <w:r w:rsidRPr="00EA2AB9">
        <w:rPr>
          <w:spacing w:val="-4"/>
          <w:sz w:val="20"/>
          <w:lang w:val="fr-FR"/>
        </w:rPr>
        <w:t>(g).</w:t>
      </w:r>
    </w:p>
    <w:p w14:paraId="2F361F8A" w14:textId="77777777" w:rsidR="006B758D" w:rsidRPr="00EA2AB9" w:rsidRDefault="0023308C">
      <w:pPr>
        <w:spacing w:before="1"/>
        <w:ind w:left="682" w:right="401"/>
        <w:jc w:val="both"/>
        <w:rPr>
          <w:sz w:val="20"/>
          <w:lang w:val="fr-FR"/>
        </w:rPr>
      </w:pPr>
      <w:bookmarkStart w:id="66" w:name="_bookmark66"/>
      <w:bookmarkEnd w:id="66"/>
      <w:proofErr w:type="gramStart"/>
      <w:r w:rsidRPr="00EA2AB9">
        <w:rPr>
          <w:sz w:val="20"/>
          <w:vertAlign w:val="superscript"/>
          <w:lang w:val="fr-FR"/>
        </w:rPr>
        <w:t>62</w:t>
      </w:r>
      <w:r w:rsidRPr="00EA2AB9">
        <w:rPr>
          <w:sz w:val="20"/>
          <w:lang w:val="fr-FR"/>
        </w:rPr>
        <w:t xml:space="preserve">  Par</w:t>
      </w:r>
      <w:proofErr w:type="gramEnd"/>
      <w:r w:rsidRPr="00EA2AB9">
        <w:rPr>
          <w:sz w:val="20"/>
          <w:lang w:val="fr-FR"/>
        </w:rPr>
        <w:t xml:space="preserve"> exemple, l'Espagne (Doc DC/91/82), le Japon (Doc /91/61), les États Unis d'Amérique (DC/91/12), la République fédérale d'Allemagne (Doc DC/91/91) et le Danemark (Doc DC/91/97).</w:t>
      </w:r>
      <w:r w:rsidRPr="00EA2AB9">
        <w:rPr>
          <w:spacing w:val="-11"/>
          <w:sz w:val="20"/>
          <w:lang w:val="fr-FR"/>
        </w:rPr>
        <w:t xml:space="preserve"> </w:t>
      </w:r>
      <w:r w:rsidRPr="00EA2AB9">
        <w:rPr>
          <w:sz w:val="20"/>
          <w:lang w:val="fr-FR"/>
        </w:rPr>
        <w:t>Les délégations françaises (R n° 918, p. 315) et des Pays-Bas (R n° 920, p. 315) s'y sont toutefois opposées, arguant qu'il s'agissait d'une limitation inacceptable du droit d'obtenteur respectif, entraînant des complications inutiles.</w:t>
      </w:r>
    </w:p>
    <w:p w14:paraId="4A64AD9A" w14:textId="77777777" w:rsidR="006B758D" w:rsidRPr="00EA2AB9" w:rsidRDefault="0023308C">
      <w:pPr>
        <w:spacing w:line="229" w:lineRule="exact"/>
        <w:ind w:left="682"/>
        <w:jc w:val="both"/>
        <w:rPr>
          <w:sz w:val="20"/>
          <w:lang w:val="fr-FR"/>
        </w:rPr>
      </w:pPr>
      <w:bookmarkStart w:id="67" w:name="_bookmark67"/>
      <w:bookmarkEnd w:id="67"/>
      <w:proofErr w:type="gramStart"/>
      <w:r w:rsidRPr="00EA2AB9">
        <w:rPr>
          <w:sz w:val="20"/>
          <w:vertAlign w:val="superscript"/>
          <w:lang w:val="fr-FR"/>
        </w:rPr>
        <w:t>63</w:t>
      </w:r>
      <w:r w:rsidRPr="00EA2AB9">
        <w:rPr>
          <w:sz w:val="20"/>
          <w:lang w:val="fr-FR"/>
        </w:rPr>
        <w:t xml:space="preserve">  Cf.</w:t>
      </w:r>
      <w:proofErr w:type="gramEnd"/>
      <w:r w:rsidRPr="00EA2AB9">
        <w:rPr>
          <w:sz w:val="20"/>
          <w:lang w:val="fr-FR"/>
        </w:rPr>
        <w:t xml:space="preserve"> </w:t>
      </w:r>
      <w:r w:rsidRPr="00EA2AB9">
        <w:rPr>
          <w:i/>
          <w:sz w:val="20"/>
          <w:lang w:val="fr-FR"/>
        </w:rPr>
        <w:t xml:space="preserve">supra </w:t>
      </w:r>
      <w:r w:rsidRPr="00EA2AB9">
        <w:rPr>
          <w:sz w:val="20"/>
          <w:lang w:val="fr-FR"/>
        </w:rPr>
        <w:t xml:space="preserve">n° 11.2, se référant au R n° 934, </w:t>
      </w:r>
      <w:r w:rsidRPr="00EA2AB9">
        <w:rPr>
          <w:spacing w:val="-2"/>
          <w:sz w:val="20"/>
          <w:lang w:val="fr-FR"/>
        </w:rPr>
        <w:t>p. 317.</w:t>
      </w:r>
    </w:p>
    <w:p w14:paraId="1364B6D4" w14:textId="77777777" w:rsidR="006B758D" w:rsidRPr="00EA2AB9" w:rsidRDefault="0023308C">
      <w:pPr>
        <w:ind w:left="682"/>
        <w:jc w:val="both"/>
        <w:rPr>
          <w:sz w:val="20"/>
          <w:lang w:val="fr-FR"/>
        </w:rPr>
      </w:pPr>
      <w:bookmarkStart w:id="68" w:name="_bookmark68"/>
      <w:bookmarkEnd w:id="68"/>
      <w:proofErr w:type="gramStart"/>
      <w:r w:rsidRPr="00EA2AB9">
        <w:rPr>
          <w:sz w:val="20"/>
          <w:vertAlign w:val="superscript"/>
          <w:lang w:val="fr-FR"/>
        </w:rPr>
        <w:t>64</w:t>
      </w:r>
      <w:r w:rsidRPr="00EA2AB9">
        <w:rPr>
          <w:sz w:val="20"/>
          <w:lang w:val="fr-FR"/>
        </w:rPr>
        <w:t xml:space="preserve">  Cf.</w:t>
      </w:r>
      <w:proofErr w:type="gramEnd"/>
      <w:r w:rsidRPr="00EA2AB9">
        <w:rPr>
          <w:sz w:val="20"/>
          <w:lang w:val="fr-FR"/>
        </w:rPr>
        <w:t xml:space="preserve"> </w:t>
      </w:r>
      <w:r w:rsidRPr="00EA2AB9">
        <w:rPr>
          <w:i/>
          <w:sz w:val="20"/>
          <w:lang w:val="fr-FR"/>
        </w:rPr>
        <w:t xml:space="preserve">supra </w:t>
      </w:r>
      <w:r w:rsidRPr="00EA2AB9">
        <w:rPr>
          <w:sz w:val="20"/>
          <w:lang w:val="fr-FR"/>
        </w:rPr>
        <w:t>n°</w:t>
      </w:r>
      <w:r w:rsidRPr="00EA2AB9">
        <w:rPr>
          <w:spacing w:val="-2"/>
          <w:sz w:val="20"/>
          <w:lang w:val="fr-FR"/>
        </w:rPr>
        <w:t xml:space="preserve"> 10.2.5.3</w:t>
      </w:r>
    </w:p>
    <w:p w14:paraId="19C69A3E" w14:textId="10CE4CFA" w:rsidR="006B758D" w:rsidRPr="00EA2AB9" w:rsidRDefault="0023308C">
      <w:pPr>
        <w:spacing w:before="1"/>
        <w:ind w:left="682" w:right="399"/>
        <w:jc w:val="both"/>
        <w:rPr>
          <w:sz w:val="20"/>
          <w:lang w:val="fr-FR"/>
        </w:rPr>
      </w:pPr>
      <w:bookmarkStart w:id="69" w:name="_bookmark69"/>
      <w:bookmarkEnd w:id="69"/>
      <w:proofErr w:type="gramStart"/>
      <w:r w:rsidRPr="00EA2AB9">
        <w:rPr>
          <w:sz w:val="20"/>
          <w:vertAlign w:val="superscript"/>
          <w:lang w:val="fr-FR"/>
        </w:rPr>
        <w:t>65</w:t>
      </w:r>
      <w:r w:rsidRPr="00EA2AB9">
        <w:rPr>
          <w:sz w:val="20"/>
          <w:lang w:val="fr-FR"/>
        </w:rPr>
        <w:t xml:space="preserve">  Dans</w:t>
      </w:r>
      <w:proofErr w:type="gramEnd"/>
      <w:r w:rsidRPr="00EA2AB9">
        <w:rPr>
          <w:sz w:val="20"/>
          <w:lang w:val="fr-FR"/>
        </w:rPr>
        <w:t xml:space="preserve"> le cas particulier où un tiers utilise le matériel de reproduction ou de multiplication d'une variété dans le pays où le droit d'obtenteur pour cette variété a été demandé mais n'a pas encore été accordé, c'est-à-dire lorsque le demandeur ne bénéficie que d'une protection provisoire en vertu de l'article 13 de l'Acte de 1991 de l'UPOV, voir notre analyse séparée (cf. </w:t>
      </w:r>
      <w:r w:rsidRPr="00EA2AB9">
        <w:rPr>
          <w:i/>
          <w:sz w:val="20"/>
          <w:lang w:val="fr-FR"/>
        </w:rPr>
        <w:t xml:space="preserve">infra </w:t>
      </w:r>
      <w:r w:rsidRPr="00EA2AB9">
        <w:rPr>
          <w:sz w:val="20"/>
          <w:lang w:val="fr-FR"/>
        </w:rPr>
        <w:t>n°...).</w:t>
      </w:r>
    </w:p>
    <w:p w14:paraId="7317EAFA" w14:textId="77777777" w:rsidR="006B758D" w:rsidRPr="00EA2AB9" w:rsidRDefault="006B758D">
      <w:pPr>
        <w:jc w:val="both"/>
        <w:rPr>
          <w:sz w:val="20"/>
          <w:lang w:val="fr-FR"/>
        </w:rPr>
        <w:sectPr w:rsidR="006B758D" w:rsidRPr="00EA2AB9">
          <w:pgSz w:w="11910" w:h="16840"/>
          <w:pgMar w:top="1320" w:right="1300" w:bottom="1240" w:left="1020" w:header="0" w:footer="1049" w:gutter="0"/>
          <w:cols w:space="720"/>
        </w:sectPr>
      </w:pPr>
    </w:p>
    <w:p w14:paraId="779E6A55" w14:textId="19C59021" w:rsidR="006B758D" w:rsidRPr="00EA2AB9" w:rsidRDefault="0023308C">
      <w:pPr>
        <w:pStyle w:val="BodyText"/>
        <w:spacing w:before="76" w:line="362" w:lineRule="auto"/>
        <w:ind w:left="682"/>
        <w:rPr>
          <w:lang w:val="fr-FR"/>
        </w:rPr>
      </w:pPr>
      <w:proofErr w:type="gramStart"/>
      <w:r w:rsidRPr="00EA2AB9">
        <w:rPr>
          <w:lang w:val="fr-FR"/>
        </w:rPr>
        <w:lastRenderedPageBreak/>
        <w:t>se</w:t>
      </w:r>
      <w:proofErr w:type="gramEnd"/>
      <w:r w:rsidRPr="00EA2AB9">
        <w:rPr>
          <w:lang w:val="fr-FR"/>
        </w:rPr>
        <w:t xml:space="preserve"> voi</w:t>
      </w:r>
      <w:r w:rsidR="0088570C">
        <w:rPr>
          <w:lang w:val="fr-FR"/>
        </w:rPr>
        <w:t>r</w:t>
      </w:r>
      <w:r w:rsidRPr="00EA2AB9">
        <w:rPr>
          <w:lang w:val="fr-FR"/>
        </w:rPr>
        <w:t xml:space="preserve"> refuser par la loi l'exercice de leur droit valide à l'égard du matériel de reproduction ou de multiplication de la variété protégée.</w:t>
      </w:r>
    </w:p>
    <w:p w14:paraId="13624647" w14:textId="77777777" w:rsidR="006B758D" w:rsidRPr="00E7034A" w:rsidRDefault="006B758D">
      <w:pPr>
        <w:pStyle w:val="BodyText"/>
        <w:spacing w:before="8"/>
        <w:rPr>
          <w:sz w:val="16"/>
          <w:szCs w:val="16"/>
          <w:lang w:val="fr-FR"/>
        </w:rPr>
      </w:pPr>
    </w:p>
    <w:p w14:paraId="3C2ECDF6" w14:textId="77777777" w:rsidR="006B758D" w:rsidRPr="00EA2AB9" w:rsidRDefault="0023308C">
      <w:pPr>
        <w:pStyle w:val="ListParagraph"/>
        <w:numPr>
          <w:ilvl w:val="2"/>
          <w:numId w:val="10"/>
        </w:numPr>
        <w:tabs>
          <w:tab w:val="left" w:pos="1957"/>
        </w:tabs>
        <w:spacing w:line="360" w:lineRule="auto"/>
        <w:ind w:right="397" w:firstLine="707"/>
        <w:rPr>
          <w:sz w:val="24"/>
          <w:lang w:val="fr-FR"/>
        </w:rPr>
      </w:pPr>
      <w:r w:rsidRPr="009B50CC">
        <w:rPr>
          <w:sz w:val="24"/>
          <w:lang w:val="fr-FR"/>
        </w:rPr>
        <w:t xml:space="preserve">En d'autres termes, sont en cause et visés les cas dans lesquels les actes spécifiés à l'article 14(1) de l'UPOV 1991 en ce qui concerne le produit de la récolte nécessitent l'autorisation du titulaire du droit d'obtenteur dans les conditions prévues à l'article 14(2) de l'UPOV 1991. L'idée, la notion « obtenue par </w:t>
      </w:r>
      <w:r w:rsidRPr="009B50CC">
        <w:rPr>
          <w:b/>
          <w:sz w:val="24"/>
          <w:lang w:val="fr-FR"/>
        </w:rPr>
        <w:t xml:space="preserve">l'utilisation non autorisée </w:t>
      </w:r>
      <w:r w:rsidRPr="009B50CC">
        <w:rPr>
          <w:sz w:val="24"/>
          <w:lang w:val="fr-FR"/>
        </w:rPr>
        <w:t xml:space="preserve">de matériel de reproduction ou de multiplication de la variété protégée » à l'article 14 (2), signifierait que la variété </w:t>
      </w:r>
      <w:r w:rsidRPr="009B50CC">
        <w:rPr>
          <w:b/>
          <w:sz w:val="24"/>
          <w:lang w:val="fr-FR"/>
        </w:rPr>
        <w:t xml:space="preserve">doit être protégée par </w:t>
      </w:r>
      <w:r w:rsidRPr="009B50CC">
        <w:rPr>
          <w:b/>
          <w:i/>
          <w:sz w:val="24"/>
          <w:lang w:val="fr-FR"/>
        </w:rPr>
        <w:t xml:space="preserve">un </w:t>
      </w:r>
      <w:r w:rsidRPr="009B50CC">
        <w:rPr>
          <w:b/>
          <w:sz w:val="24"/>
          <w:lang w:val="fr-FR"/>
        </w:rPr>
        <w:t>droit d'obtenteur sur le territoire où les actes concernant le matériel de reproduction ou de multiplication ont eu lieu</w:t>
      </w:r>
      <w:r w:rsidRPr="009B50CC">
        <w:rPr>
          <w:sz w:val="24"/>
          <w:lang w:val="fr-FR"/>
        </w:rPr>
        <w:t xml:space="preserve">, ne résiste pas à un examen minutieux </w:t>
      </w:r>
      <w:hyperlink w:anchor="_bookmark71" w:history="1">
        <w:r w:rsidRPr="009B50CC">
          <w:rPr>
            <w:sz w:val="24"/>
            <w:vertAlign w:val="superscript"/>
            <w:lang w:val="fr-FR"/>
          </w:rPr>
          <w:t>66</w:t>
        </w:r>
      </w:hyperlink>
      <w:r w:rsidRPr="009B50CC">
        <w:rPr>
          <w:sz w:val="24"/>
          <w:lang w:val="fr-FR"/>
        </w:rPr>
        <w:t>.</w:t>
      </w:r>
      <w:hyperlink w:anchor="_bookmark71" w:history="1"/>
      <w:r w:rsidRPr="00EA2AB9">
        <w:rPr>
          <w:sz w:val="24"/>
          <w:lang w:val="fr-FR"/>
        </w:rPr>
        <w:t>Les documents préparatoires analysés et les comptes rendus de la conférence diplomatique révèlent le contraire ! Cela va clairement à l'encontre des intentions manifestes des rédacteurs de l'UPOV 1991 et, si cela était accepté, cela priverait l'étendue du droit d'obtenteur du produit de la récolte dans le pays où le droit est accordé et valide, et la protection recherchée de tout effet.</w:t>
      </w:r>
    </w:p>
    <w:p w14:paraId="6AA02ABC" w14:textId="77777777" w:rsidR="006B758D" w:rsidRPr="00E7034A" w:rsidRDefault="006B758D">
      <w:pPr>
        <w:pStyle w:val="BodyText"/>
        <w:spacing w:before="1"/>
        <w:rPr>
          <w:sz w:val="16"/>
          <w:szCs w:val="16"/>
          <w:lang w:val="fr-FR"/>
        </w:rPr>
      </w:pPr>
    </w:p>
    <w:p w14:paraId="1D945C5E" w14:textId="77777777" w:rsidR="006B758D" w:rsidRDefault="0023308C">
      <w:pPr>
        <w:pStyle w:val="ListParagraph"/>
        <w:numPr>
          <w:ilvl w:val="0"/>
          <w:numId w:val="20"/>
        </w:numPr>
        <w:tabs>
          <w:tab w:val="left" w:pos="961"/>
        </w:tabs>
        <w:ind w:left="960" w:hanging="279"/>
        <w:rPr>
          <w:sz w:val="24"/>
        </w:rPr>
      </w:pPr>
      <w:bookmarkStart w:id="70" w:name="_bookmark70"/>
      <w:bookmarkEnd w:id="70"/>
      <w:proofErr w:type="spellStart"/>
      <w:r>
        <w:rPr>
          <w:sz w:val="24"/>
          <w:u w:val="single"/>
        </w:rPr>
        <w:t>Principales</w:t>
      </w:r>
      <w:proofErr w:type="spellEnd"/>
      <w:r>
        <w:rPr>
          <w:sz w:val="24"/>
          <w:u w:val="single"/>
        </w:rPr>
        <w:t xml:space="preserve"> </w:t>
      </w:r>
      <w:proofErr w:type="gramStart"/>
      <w:r>
        <w:rPr>
          <w:spacing w:val="-2"/>
          <w:sz w:val="24"/>
          <w:u w:val="single"/>
        </w:rPr>
        <w:t>conclusions :</w:t>
      </w:r>
      <w:proofErr w:type="gramEnd"/>
    </w:p>
    <w:p w14:paraId="5FA85578" w14:textId="77777777" w:rsidR="006B758D" w:rsidRDefault="006B758D">
      <w:pPr>
        <w:pStyle w:val="BodyText"/>
        <w:rPr>
          <w:sz w:val="20"/>
        </w:rPr>
      </w:pPr>
    </w:p>
    <w:p w14:paraId="57E3B5D5" w14:textId="77777777" w:rsidR="006B758D" w:rsidRDefault="006B758D">
      <w:pPr>
        <w:pStyle w:val="BodyText"/>
        <w:spacing w:before="2"/>
        <w:rPr>
          <w:sz w:val="20"/>
        </w:rPr>
      </w:pPr>
    </w:p>
    <w:p w14:paraId="55C39308" w14:textId="77777777" w:rsidR="006B758D" w:rsidRPr="00EA2AB9" w:rsidRDefault="0023308C">
      <w:pPr>
        <w:pStyle w:val="ListParagraph"/>
        <w:numPr>
          <w:ilvl w:val="1"/>
          <w:numId w:val="9"/>
        </w:numPr>
        <w:tabs>
          <w:tab w:val="left" w:pos="1882"/>
        </w:tabs>
        <w:spacing w:before="90" w:line="360" w:lineRule="auto"/>
        <w:ind w:right="401" w:firstLine="707"/>
        <w:rPr>
          <w:b/>
          <w:sz w:val="24"/>
          <w:lang w:val="fr-FR"/>
        </w:rPr>
      </w:pPr>
      <w:r w:rsidRPr="00EA2AB9">
        <w:rPr>
          <w:sz w:val="24"/>
          <w:lang w:val="fr-FR"/>
        </w:rPr>
        <w:t>La notion d</w:t>
      </w:r>
      <w:proofErr w:type="gramStart"/>
      <w:r w:rsidRPr="00EA2AB9">
        <w:rPr>
          <w:sz w:val="24"/>
          <w:lang w:val="fr-FR"/>
        </w:rPr>
        <w:t>'«</w:t>
      </w:r>
      <w:proofErr w:type="gramEnd"/>
      <w:r w:rsidRPr="00EA2AB9">
        <w:rPr>
          <w:sz w:val="24"/>
          <w:lang w:val="fr-FR"/>
        </w:rPr>
        <w:t xml:space="preserve"> utilisation</w:t>
      </w:r>
      <w:r w:rsidRPr="00EA2AB9">
        <w:rPr>
          <w:b/>
          <w:sz w:val="24"/>
          <w:lang w:val="fr-FR"/>
        </w:rPr>
        <w:t xml:space="preserve"> non autorisée </w:t>
      </w:r>
      <w:r w:rsidRPr="00EA2AB9">
        <w:rPr>
          <w:sz w:val="24"/>
          <w:lang w:val="fr-FR"/>
        </w:rPr>
        <w:t xml:space="preserve">» à l'article 14 (2) de l'UPOV 1991 se rapporte à </w:t>
      </w:r>
      <w:r w:rsidRPr="00EA2AB9">
        <w:rPr>
          <w:b/>
          <w:sz w:val="24"/>
          <w:lang w:val="fr-FR"/>
        </w:rPr>
        <w:t>l'autorisation du titulaire du droit d'obtenteur sur la variété protégée, et non au statut juridique du matériel de reproduction ou de multiplication utilisé.</w:t>
      </w:r>
    </w:p>
    <w:p w14:paraId="4AEC6DE7" w14:textId="77777777" w:rsidR="006B758D" w:rsidRPr="00E7034A" w:rsidRDefault="006B758D">
      <w:pPr>
        <w:pStyle w:val="BodyText"/>
        <w:spacing w:before="1"/>
        <w:rPr>
          <w:b/>
          <w:sz w:val="16"/>
          <w:szCs w:val="16"/>
          <w:lang w:val="fr-FR"/>
        </w:rPr>
      </w:pPr>
    </w:p>
    <w:p w14:paraId="6B410225" w14:textId="77777777" w:rsidR="006B758D" w:rsidRPr="00EA2AB9" w:rsidRDefault="0023308C">
      <w:pPr>
        <w:pStyle w:val="ListParagraph"/>
        <w:numPr>
          <w:ilvl w:val="1"/>
          <w:numId w:val="9"/>
        </w:numPr>
        <w:tabs>
          <w:tab w:val="left" w:pos="1870"/>
        </w:tabs>
        <w:spacing w:line="360" w:lineRule="auto"/>
        <w:ind w:right="397" w:firstLine="707"/>
        <w:rPr>
          <w:b/>
          <w:sz w:val="24"/>
          <w:lang w:val="fr-FR"/>
        </w:rPr>
      </w:pPr>
      <w:r w:rsidRPr="00EA2AB9">
        <w:rPr>
          <w:sz w:val="24"/>
          <w:lang w:val="fr-FR"/>
        </w:rPr>
        <w:t xml:space="preserve">Les effets du droit d'obtenteur sont limités au territoire de l'État contractant où il est accordé. </w:t>
      </w:r>
      <w:r w:rsidRPr="00EA2AB9">
        <w:rPr>
          <w:b/>
          <w:sz w:val="24"/>
          <w:lang w:val="fr-FR"/>
        </w:rPr>
        <w:t>Ils n'ont aucun effet juridique en dehors de ce territoire.</w:t>
      </w:r>
    </w:p>
    <w:p w14:paraId="37FC2D5E" w14:textId="77777777" w:rsidR="006B758D" w:rsidRPr="00026738" w:rsidRDefault="006B758D">
      <w:pPr>
        <w:pStyle w:val="BodyText"/>
        <w:spacing w:before="10"/>
        <w:rPr>
          <w:b/>
          <w:sz w:val="20"/>
          <w:szCs w:val="20"/>
          <w:lang w:val="fr-FR"/>
        </w:rPr>
      </w:pPr>
    </w:p>
    <w:p w14:paraId="69336804" w14:textId="0866EE3E" w:rsidR="006B758D" w:rsidRPr="00026738" w:rsidRDefault="0023308C" w:rsidP="00026738">
      <w:pPr>
        <w:pStyle w:val="ListParagraph"/>
        <w:numPr>
          <w:ilvl w:val="1"/>
          <w:numId w:val="9"/>
        </w:numPr>
        <w:tabs>
          <w:tab w:val="left" w:pos="1945"/>
        </w:tabs>
        <w:spacing w:line="360" w:lineRule="auto"/>
        <w:ind w:right="395" w:firstLine="707"/>
        <w:rPr>
          <w:sz w:val="24"/>
        </w:rPr>
      </w:pPr>
      <w:r w:rsidRPr="00EA2AB9">
        <w:rPr>
          <w:sz w:val="24"/>
          <w:lang w:val="fr-FR"/>
        </w:rPr>
        <w:t xml:space="preserve">Le </w:t>
      </w:r>
      <w:r w:rsidRPr="00EA2AB9">
        <w:rPr>
          <w:b/>
          <w:sz w:val="24"/>
          <w:lang w:val="fr-FR"/>
        </w:rPr>
        <w:t>lien</w:t>
      </w:r>
      <w:r w:rsidRPr="00EA2AB9">
        <w:rPr>
          <w:sz w:val="24"/>
          <w:lang w:val="fr-FR"/>
        </w:rPr>
        <w:t xml:space="preserve"> indissociable </w:t>
      </w:r>
      <w:r w:rsidRPr="00EA2AB9">
        <w:rPr>
          <w:b/>
          <w:sz w:val="24"/>
          <w:lang w:val="fr-FR"/>
        </w:rPr>
        <w:t xml:space="preserve">entre </w:t>
      </w:r>
      <w:r w:rsidRPr="00EA2AB9">
        <w:rPr>
          <w:sz w:val="24"/>
          <w:lang w:val="fr-FR"/>
        </w:rPr>
        <w:t>« utilisation</w:t>
      </w:r>
      <w:r w:rsidRPr="00EA2AB9">
        <w:rPr>
          <w:b/>
          <w:i/>
          <w:sz w:val="24"/>
          <w:lang w:val="fr-FR"/>
        </w:rPr>
        <w:t xml:space="preserve"> non autorisée </w:t>
      </w:r>
      <w:r w:rsidRPr="00EA2AB9">
        <w:rPr>
          <w:sz w:val="24"/>
          <w:lang w:val="fr-FR"/>
        </w:rPr>
        <w:t>» et «</w:t>
      </w:r>
      <w:r w:rsidRPr="00EA2AB9">
        <w:rPr>
          <w:b/>
          <w:i/>
          <w:sz w:val="24"/>
          <w:lang w:val="fr-FR"/>
        </w:rPr>
        <w:t xml:space="preserve"> opportunité raisonnable d'exercer le </w:t>
      </w:r>
      <w:r w:rsidRPr="00EA2AB9">
        <w:rPr>
          <w:sz w:val="24"/>
          <w:lang w:val="fr-FR"/>
        </w:rPr>
        <w:t xml:space="preserve">droit » [du sélectionneur concerné par rapport à la variété protégée dont il est propriétaire] implique par définition une situation dans laquelle le </w:t>
      </w:r>
      <w:r w:rsidRPr="00EA2AB9">
        <w:rPr>
          <w:b/>
          <w:sz w:val="24"/>
          <w:lang w:val="fr-FR"/>
        </w:rPr>
        <w:t xml:space="preserve">sélectionneur n'avait aucune possibilité légale d'exercer son droit </w:t>
      </w:r>
      <w:r w:rsidRPr="00EA2AB9">
        <w:rPr>
          <w:sz w:val="24"/>
          <w:lang w:val="fr-FR"/>
        </w:rPr>
        <w:t xml:space="preserve">en ce qui concerne l'utilisation du matériel de reproduction ou de multiplication de sa variété protégée pour obtenir le </w:t>
      </w:r>
      <w:r w:rsidRPr="00EA2AB9">
        <w:rPr>
          <w:b/>
          <w:sz w:val="24"/>
          <w:lang w:val="fr-FR"/>
        </w:rPr>
        <w:t xml:space="preserve">produit de la récolte. </w:t>
      </w:r>
      <w:proofErr w:type="spellStart"/>
      <w:r>
        <w:rPr>
          <w:sz w:val="24"/>
        </w:rPr>
        <w:t>C'est</w:t>
      </w:r>
      <w:proofErr w:type="spellEnd"/>
      <w:r>
        <w:rPr>
          <w:sz w:val="24"/>
        </w:rPr>
        <w:t xml:space="preserve"> le </w:t>
      </w:r>
      <w:proofErr w:type="spellStart"/>
      <w:r>
        <w:rPr>
          <w:sz w:val="24"/>
        </w:rPr>
        <w:t>cas</w:t>
      </w:r>
      <w:proofErr w:type="spellEnd"/>
      <w:r>
        <w:rPr>
          <w:sz w:val="24"/>
        </w:rPr>
        <w:t xml:space="preserve"> </w:t>
      </w:r>
      <w:proofErr w:type="spellStart"/>
      <w:r>
        <w:rPr>
          <w:spacing w:val="-5"/>
          <w:sz w:val="24"/>
        </w:rPr>
        <w:t>lorsque</w:t>
      </w:r>
      <w:proofErr w:type="spellEnd"/>
    </w:p>
    <w:p w14:paraId="742A4A0D" w14:textId="7330D6BC" w:rsidR="006B758D" w:rsidRDefault="005C7D52">
      <w:pPr>
        <w:pStyle w:val="BodyText"/>
        <w:spacing w:before="9"/>
        <w:rPr>
          <w:sz w:val="21"/>
        </w:rPr>
      </w:pPr>
      <w:r>
        <w:rPr>
          <w:noProof/>
        </w:rPr>
        <mc:AlternateContent>
          <mc:Choice Requires="wps">
            <w:drawing>
              <wp:anchor distT="0" distB="0" distL="0" distR="0" simplePos="0" relativeHeight="487597056" behindDoc="1" locked="0" layoutInCell="1" allowOverlap="1" wp14:anchorId="5C7D9657" wp14:editId="6D53B79C">
                <wp:simplePos x="0" y="0"/>
                <wp:positionH relativeFrom="page">
                  <wp:posOffset>1080770</wp:posOffset>
                </wp:positionH>
                <wp:positionV relativeFrom="paragraph">
                  <wp:posOffset>174625</wp:posOffset>
                </wp:positionV>
                <wp:extent cx="1828800" cy="7620"/>
                <wp:effectExtent l="0" t="0" r="0" b="0"/>
                <wp:wrapTopAndBottom/>
                <wp:docPr id="150243407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2" style="position:absolute;margin-left:85.1pt;margin-top:13.75pt;width:2in;height:.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F8u54veAAAACQEAAA8AAAAAAAAAAAAAAAAAPwQAAGRycy9kb3ducmV2Lnht&#10;bFBLBQYAAAAABAAEAPMAAABKBQAAAAA=&#10;" w14:anchorId="7518F149">
                <w10:wrap type="topAndBottom" anchorx="page"/>
              </v:rect>
            </w:pict>
          </mc:Fallback>
        </mc:AlternateContent>
      </w:r>
    </w:p>
    <w:p w14:paraId="1567C472" w14:textId="00E21477" w:rsidR="006B758D" w:rsidRPr="00EA2AB9" w:rsidRDefault="0023308C">
      <w:pPr>
        <w:spacing w:before="103"/>
        <w:ind w:left="682" w:right="403"/>
        <w:jc w:val="both"/>
        <w:rPr>
          <w:sz w:val="20"/>
          <w:lang w:val="fr-FR"/>
        </w:rPr>
      </w:pPr>
      <w:bookmarkStart w:id="71" w:name="_bookmark71"/>
      <w:bookmarkEnd w:id="71"/>
      <w:r w:rsidRPr="00EA2AB9">
        <w:rPr>
          <w:sz w:val="20"/>
          <w:vertAlign w:val="superscript"/>
          <w:lang w:val="fr-FR"/>
        </w:rPr>
        <w:t>66</w:t>
      </w:r>
      <w:r w:rsidRPr="00EA2AB9">
        <w:rPr>
          <w:sz w:val="20"/>
          <w:lang w:val="fr-FR"/>
        </w:rPr>
        <w:t xml:space="preserve">  La déclaration figurant dans les </w:t>
      </w:r>
      <w:r w:rsidR="00DD202E" w:rsidRPr="00EA2AB9">
        <w:rPr>
          <w:sz w:val="20"/>
          <w:lang w:val="fr-FR"/>
        </w:rPr>
        <w:t xml:space="preserve">« </w:t>
      </w:r>
      <w:r w:rsidRPr="00EA2AB9">
        <w:rPr>
          <w:sz w:val="20"/>
          <w:lang w:val="fr-FR"/>
        </w:rPr>
        <w:t xml:space="preserve">Notes explicatives sur les actes relatifs au produit de la récolte en vertu de la Convention UPOV </w:t>
      </w:r>
      <w:r w:rsidR="00DD202E" w:rsidRPr="00EA2AB9">
        <w:rPr>
          <w:sz w:val="20"/>
          <w:lang w:val="fr-FR"/>
        </w:rPr>
        <w:t xml:space="preserve">» </w:t>
      </w:r>
      <w:r w:rsidRPr="00EA2AB9">
        <w:rPr>
          <w:sz w:val="20"/>
          <w:lang w:val="fr-FR"/>
        </w:rPr>
        <w:t xml:space="preserve">du 28 septembre 2007, préparée par le Bureau de l'Union (UPOV/EXN/HRV Draft 1), selon laquelle </w:t>
      </w:r>
      <w:r w:rsidR="00DD202E" w:rsidRPr="00EA2AB9">
        <w:rPr>
          <w:sz w:val="20"/>
          <w:lang w:val="fr-FR"/>
        </w:rPr>
        <w:t xml:space="preserve">« </w:t>
      </w:r>
      <w:r w:rsidRPr="00EA2AB9">
        <w:rPr>
          <w:sz w:val="20"/>
          <w:lang w:val="fr-FR"/>
        </w:rPr>
        <w:t xml:space="preserve">les actes non autorisés ne peuvent se produire que sur le territoire de l'Union où le droit d'obtenteur a été accordé et est en vigueur </w:t>
      </w:r>
      <w:r w:rsidR="00DD202E" w:rsidRPr="00EA2AB9">
        <w:rPr>
          <w:sz w:val="20"/>
          <w:lang w:val="fr-FR"/>
        </w:rPr>
        <w:t>»</w:t>
      </w:r>
      <w:r w:rsidRPr="00EA2AB9">
        <w:rPr>
          <w:sz w:val="20"/>
          <w:lang w:val="fr-FR"/>
        </w:rPr>
        <w:t xml:space="preserve">, ne reflète pas le sens et l'étendue du </w:t>
      </w:r>
      <w:r w:rsidR="00DD202E" w:rsidRPr="00EA2AB9">
        <w:rPr>
          <w:sz w:val="20"/>
          <w:lang w:val="fr-FR"/>
        </w:rPr>
        <w:t xml:space="preserve">droit d'obtenteur </w:t>
      </w:r>
      <w:r w:rsidRPr="00EA2AB9">
        <w:rPr>
          <w:sz w:val="20"/>
          <w:lang w:val="fr-FR"/>
        </w:rPr>
        <w:t xml:space="preserve">au sens de l'article 14.2) de la Convention UPOV de 1991 (cf. </w:t>
      </w:r>
      <w:r w:rsidRPr="00EA2AB9">
        <w:rPr>
          <w:i/>
          <w:sz w:val="20"/>
          <w:lang w:val="fr-FR"/>
        </w:rPr>
        <w:t xml:space="preserve">supra </w:t>
      </w:r>
      <w:r w:rsidRPr="00EA2AB9">
        <w:rPr>
          <w:sz w:val="20"/>
          <w:lang w:val="fr-FR"/>
        </w:rPr>
        <w:t>nos 11.2 à 11.4).</w:t>
      </w:r>
    </w:p>
    <w:p w14:paraId="48E7F64C" w14:textId="77777777" w:rsidR="006B758D" w:rsidRPr="00EA2AB9" w:rsidRDefault="006B758D">
      <w:pPr>
        <w:jc w:val="both"/>
        <w:rPr>
          <w:sz w:val="20"/>
          <w:lang w:val="fr-FR"/>
        </w:rPr>
        <w:sectPr w:rsidR="006B758D" w:rsidRPr="00EA2AB9">
          <w:pgSz w:w="11910" w:h="16840"/>
          <w:pgMar w:top="1320" w:right="1300" w:bottom="1240" w:left="1020" w:header="0" w:footer="1049" w:gutter="0"/>
          <w:cols w:space="720"/>
        </w:sectPr>
      </w:pPr>
    </w:p>
    <w:p w14:paraId="05E093E2" w14:textId="2FF114E9" w:rsidR="006B758D" w:rsidRPr="00EA2AB9" w:rsidRDefault="00026738">
      <w:pPr>
        <w:spacing w:before="76" w:line="362" w:lineRule="auto"/>
        <w:ind w:left="682"/>
        <w:rPr>
          <w:sz w:val="24"/>
          <w:lang w:val="fr-FR"/>
        </w:rPr>
      </w:pPr>
      <w:proofErr w:type="gramStart"/>
      <w:r>
        <w:rPr>
          <w:sz w:val="24"/>
          <w:lang w:val="fr-FR"/>
        </w:rPr>
        <w:lastRenderedPageBreak/>
        <w:t>l</w:t>
      </w:r>
      <w:r w:rsidR="0023308C" w:rsidRPr="00EA2AB9">
        <w:rPr>
          <w:sz w:val="24"/>
          <w:lang w:val="fr-FR"/>
        </w:rPr>
        <w:t>'acte</w:t>
      </w:r>
      <w:proofErr w:type="gramEnd"/>
      <w:r w:rsidR="0023308C" w:rsidRPr="00EA2AB9">
        <w:rPr>
          <w:sz w:val="24"/>
          <w:lang w:val="fr-FR"/>
        </w:rPr>
        <w:t xml:space="preserve"> d'utilisation du matériel de reproduction ou de multiplication de la variété protégée </w:t>
      </w:r>
      <w:r w:rsidR="0023308C" w:rsidRPr="00EA2AB9">
        <w:rPr>
          <w:b/>
          <w:sz w:val="24"/>
          <w:lang w:val="fr-FR"/>
        </w:rPr>
        <w:t>a lieu sur un territoire situé en dehors du champ d'application du droit d'obtenteur correspondant</w:t>
      </w:r>
      <w:r w:rsidR="0023308C" w:rsidRPr="00EA2AB9">
        <w:rPr>
          <w:sz w:val="24"/>
          <w:lang w:val="fr-FR"/>
        </w:rPr>
        <w:t>.</w:t>
      </w:r>
    </w:p>
    <w:p w14:paraId="13960984" w14:textId="77777777" w:rsidR="006B758D" w:rsidRPr="00EA2AB9" w:rsidRDefault="006B758D">
      <w:pPr>
        <w:pStyle w:val="BodyText"/>
        <w:spacing w:before="8"/>
        <w:rPr>
          <w:sz w:val="35"/>
          <w:lang w:val="fr-FR"/>
        </w:rPr>
      </w:pPr>
    </w:p>
    <w:p w14:paraId="7DF7BA35" w14:textId="26C45C19" w:rsidR="006B758D" w:rsidRPr="00EA2AB9" w:rsidRDefault="0023308C">
      <w:pPr>
        <w:pStyle w:val="Heading1"/>
        <w:numPr>
          <w:ilvl w:val="1"/>
          <w:numId w:val="9"/>
        </w:numPr>
        <w:tabs>
          <w:tab w:val="left" w:pos="1921"/>
        </w:tabs>
        <w:spacing w:before="0" w:line="360" w:lineRule="auto"/>
        <w:ind w:right="396" w:firstLine="707"/>
        <w:jc w:val="both"/>
        <w:rPr>
          <w:lang w:val="fr-FR"/>
        </w:rPr>
      </w:pPr>
      <w:r w:rsidRPr="00EA2AB9">
        <w:rPr>
          <w:b w:val="0"/>
          <w:lang w:val="fr-FR"/>
        </w:rPr>
        <w:t xml:space="preserve">En conséquence, </w:t>
      </w:r>
      <w:r w:rsidRPr="00EA2AB9">
        <w:rPr>
          <w:lang w:val="fr-FR"/>
        </w:rPr>
        <w:t xml:space="preserve">l'autorisation du titulaire du droit d'obtenteur est </w:t>
      </w:r>
      <w:r w:rsidRPr="00EA2AB9">
        <w:rPr>
          <w:i/>
          <w:lang w:val="fr-FR"/>
        </w:rPr>
        <w:t xml:space="preserve">requise </w:t>
      </w:r>
      <w:r w:rsidRPr="00EA2AB9">
        <w:rPr>
          <w:b w:val="0"/>
          <w:lang w:val="fr-FR"/>
        </w:rPr>
        <w:t xml:space="preserve">pour </w:t>
      </w:r>
      <w:r w:rsidRPr="00EA2AB9">
        <w:rPr>
          <w:lang w:val="fr-FR"/>
        </w:rPr>
        <w:t xml:space="preserve">tous les actes visés à l'article 14.1) i) à vii) de l'Acte de 1991 de l'UPOV concernant le produit de la récolte obtenu ainsi en dehors de la validité du droit d'obtenteur correspondant, lorsque ce produit de la récolte entre et est distribué sur le territoire où le droit d'obtenteur correspondant est valable. Le produit de la récolte remplit alors les conditions cumulatives « sans autorisation et sans opportunité raisonnable d'exercer son droit ». </w:t>
      </w:r>
      <w:r w:rsidR="002775B0">
        <w:rPr>
          <w:lang w:val="fr-FR"/>
        </w:rPr>
        <w:t>La défense des droits</w:t>
      </w:r>
      <w:r w:rsidR="002775B0" w:rsidRPr="00EA2AB9">
        <w:rPr>
          <w:lang w:val="fr-FR"/>
        </w:rPr>
        <w:t xml:space="preserve"> </w:t>
      </w:r>
      <w:r w:rsidRPr="00EA2AB9">
        <w:rPr>
          <w:lang w:val="fr-FR"/>
        </w:rPr>
        <w:t>ou tout autre exercice de ce droit, par exemple en réclamant des redevances, constitue en même temps « l'exercice du droit d'obtenteur au stade le plus précoce possible » dans la cascade.</w:t>
      </w:r>
    </w:p>
    <w:p w14:paraId="23AF785E" w14:textId="77777777" w:rsidR="006B758D" w:rsidRPr="00EA2AB9" w:rsidRDefault="006B758D">
      <w:pPr>
        <w:spacing w:line="360" w:lineRule="auto"/>
        <w:jc w:val="both"/>
        <w:rPr>
          <w:lang w:val="fr-FR"/>
        </w:rPr>
        <w:sectPr w:rsidR="006B758D" w:rsidRPr="00EA2AB9">
          <w:pgSz w:w="11910" w:h="16840"/>
          <w:pgMar w:top="1320" w:right="1300" w:bottom="1240" w:left="1020" w:header="0" w:footer="1049" w:gutter="0"/>
          <w:cols w:space="720"/>
        </w:sectPr>
      </w:pPr>
    </w:p>
    <w:p w14:paraId="1DA98465" w14:textId="77777777" w:rsidR="006B758D" w:rsidRDefault="0023308C">
      <w:pPr>
        <w:pStyle w:val="Heading1"/>
        <w:ind w:left="682"/>
      </w:pPr>
      <w:bookmarkStart w:id="72" w:name="_bookmark72"/>
      <w:bookmarkEnd w:id="72"/>
      <w:proofErr w:type="spellStart"/>
      <w:r>
        <w:rPr>
          <w:u w:val="single"/>
        </w:rPr>
        <w:lastRenderedPageBreak/>
        <w:t>Chapitre</w:t>
      </w:r>
      <w:proofErr w:type="spellEnd"/>
      <w:r>
        <w:rPr>
          <w:u w:val="single"/>
        </w:rPr>
        <w:t xml:space="preserve"> </w:t>
      </w:r>
      <w:proofErr w:type="gramStart"/>
      <w:r>
        <w:rPr>
          <w:u w:val="single"/>
        </w:rPr>
        <w:t xml:space="preserve">II </w:t>
      </w:r>
      <w:r>
        <w:t>:</w:t>
      </w:r>
      <w:proofErr w:type="gramEnd"/>
      <w:r>
        <w:t xml:space="preserve"> </w:t>
      </w:r>
      <w:proofErr w:type="spellStart"/>
      <w:r>
        <w:rPr>
          <w:spacing w:val="-2"/>
        </w:rPr>
        <w:t>Opportunité</w:t>
      </w:r>
      <w:proofErr w:type="spellEnd"/>
      <w:r>
        <w:rPr>
          <w:spacing w:val="-2"/>
        </w:rPr>
        <w:t xml:space="preserve"> </w:t>
      </w:r>
      <w:r>
        <w:t>raisonnable</w:t>
      </w:r>
    </w:p>
    <w:p w14:paraId="0B48CCCB" w14:textId="77777777" w:rsidR="006B758D" w:rsidRDefault="006B758D">
      <w:pPr>
        <w:pStyle w:val="BodyText"/>
        <w:spacing w:before="4"/>
        <w:rPr>
          <w:b/>
          <w:sz w:val="28"/>
        </w:rPr>
      </w:pPr>
    </w:p>
    <w:p w14:paraId="02E540C5" w14:textId="55BF4F5D" w:rsidR="006B758D" w:rsidRPr="00EA2AB9" w:rsidRDefault="0023308C">
      <w:pPr>
        <w:pStyle w:val="ListParagraph"/>
        <w:numPr>
          <w:ilvl w:val="0"/>
          <w:numId w:val="8"/>
        </w:numPr>
        <w:tabs>
          <w:tab w:val="left" w:pos="879"/>
        </w:tabs>
        <w:spacing w:before="90"/>
        <w:rPr>
          <w:sz w:val="24"/>
          <w:u w:val="single"/>
          <w:lang w:val="fr-FR"/>
        </w:rPr>
      </w:pPr>
      <w:bookmarkStart w:id="73" w:name="_bookmark73"/>
      <w:bookmarkEnd w:id="73"/>
      <w:r w:rsidRPr="00EA2AB9">
        <w:rPr>
          <w:sz w:val="24"/>
          <w:u w:val="single"/>
          <w:lang w:val="fr-FR"/>
        </w:rPr>
        <w:t xml:space="preserve">La notion </w:t>
      </w:r>
      <w:proofErr w:type="gramStart"/>
      <w:r w:rsidRPr="00EA2AB9">
        <w:rPr>
          <w:sz w:val="24"/>
          <w:u w:val="single"/>
          <w:lang w:val="fr-FR"/>
        </w:rPr>
        <w:t>d</w:t>
      </w:r>
      <w:r w:rsidR="00CE7EDF">
        <w:rPr>
          <w:sz w:val="24"/>
          <w:u w:val="single"/>
          <w:lang w:val="fr-FR"/>
        </w:rPr>
        <w:t>’</w:t>
      </w:r>
      <w:r w:rsidRPr="00EA2AB9">
        <w:rPr>
          <w:sz w:val="24"/>
          <w:u w:val="single"/>
          <w:lang w:val="fr-FR"/>
        </w:rPr>
        <w:t xml:space="preserve"> «</w:t>
      </w:r>
      <w:proofErr w:type="gramEnd"/>
      <w:r w:rsidRPr="00EA2AB9">
        <w:rPr>
          <w:sz w:val="24"/>
          <w:u w:val="single"/>
          <w:lang w:val="fr-FR"/>
        </w:rPr>
        <w:t xml:space="preserve"> opportunité raisonnable » : </w:t>
      </w:r>
      <w:r w:rsidRPr="00EA2AB9">
        <w:rPr>
          <w:spacing w:val="-2"/>
          <w:sz w:val="24"/>
          <w:u w:val="single"/>
          <w:lang w:val="fr-FR"/>
        </w:rPr>
        <w:t>introduction</w:t>
      </w:r>
    </w:p>
    <w:p w14:paraId="2FF281CF" w14:textId="77777777" w:rsidR="006B758D" w:rsidRPr="00EA2AB9" w:rsidRDefault="006B758D">
      <w:pPr>
        <w:pStyle w:val="BodyText"/>
        <w:rPr>
          <w:sz w:val="20"/>
          <w:lang w:val="fr-FR"/>
        </w:rPr>
      </w:pPr>
    </w:p>
    <w:p w14:paraId="056ABD8B" w14:textId="77777777" w:rsidR="006B758D" w:rsidRPr="00EA2AB9" w:rsidRDefault="006B758D">
      <w:pPr>
        <w:pStyle w:val="BodyText"/>
        <w:rPr>
          <w:sz w:val="20"/>
          <w:lang w:val="fr-FR"/>
        </w:rPr>
      </w:pPr>
    </w:p>
    <w:p w14:paraId="6AF631B8" w14:textId="77777777" w:rsidR="006B758D" w:rsidRPr="00EA2AB9" w:rsidRDefault="006B758D">
      <w:pPr>
        <w:pStyle w:val="BodyText"/>
        <w:spacing w:before="8"/>
        <w:rPr>
          <w:sz w:val="27"/>
          <w:lang w:val="fr-FR"/>
        </w:rPr>
      </w:pPr>
    </w:p>
    <w:p w14:paraId="01DE50D7" w14:textId="77777777" w:rsidR="006B758D" w:rsidRPr="00EA2AB9" w:rsidRDefault="0023308C">
      <w:pPr>
        <w:pStyle w:val="ListParagraph"/>
        <w:numPr>
          <w:ilvl w:val="1"/>
          <w:numId w:val="8"/>
        </w:numPr>
        <w:tabs>
          <w:tab w:val="left" w:pos="1676"/>
        </w:tabs>
        <w:spacing w:before="90" w:line="360" w:lineRule="auto"/>
        <w:ind w:right="401" w:firstLine="707"/>
        <w:rPr>
          <w:sz w:val="24"/>
          <w:lang w:val="fr-FR"/>
        </w:rPr>
      </w:pPr>
      <w:r w:rsidRPr="00EA2AB9">
        <w:rPr>
          <w:sz w:val="24"/>
          <w:lang w:val="fr-FR"/>
        </w:rPr>
        <w:t>Cette section analyse l'historique de la rédaction et la trajectoire interprétative de ces dispositions, en s'appuyant sur les comptes rendus des négociations de l'UPOV. L'objectif est de situer l'exigence d'une opportunité raisonnable dans le cadre plus large des articles 14 et 16, tel qu'il est développé tout au long du rapport.</w:t>
      </w:r>
    </w:p>
    <w:p w14:paraId="48CFF849" w14:textId="77777777" w:rsidR="006B758D" w:rsidRPr="00EA2AB9" w:rsidRDefault="006B758D">
      <w:pPr>
        <w:pStyle w:val="BodyText"/>
        <w:rPr>
          <w:sz w:val="36"/>
          <w:lang w:val="fr-FR"/>
        </w:rPr>
      </w:pPr>
    </w:p>
    <w:p w14:paraId="6D74DA7E" w14:textId="77777777" w:rsidR="006B758D" w:rsidRPr="00EA2AB9" w:rsidRDefault="0023308C">
      <w:pPr>
        <w:pStyle w:val="ListParagraph"/>
        <w:numPr>
          <w:ilvl w:val="0"/>
          <w:numId w:val="8"/>
        </w:numPr>
        <w:tabs>
          <w:tab w:val="left" w:pos="961"/>
        </w:tabs>
        <w:ind w:left="960" w:hanging="279"/>
        <w:rPr>
          <w:sz w:val="24"/>
          <w:u w:val="single"/>
          <w:lang w:val="fr-FR"/>
        </w:rPr>
      </w:pPr>
      <w:bookmarkStart w:id="74" w:name="_bookmark74"/>
      <w:bookmarkEnd w:id="74"/>
      <w:r w:rsidRPr="00EA2AB9">
        <w:rPr>
          <w:sz w:val="24"/>
          <w:u w:val="single"/>
          <w:lang w:val="fr-FR"/>
        </w:rPr>
        <w:t>Évolution de la clause relative à l</w:t>
      </w:r>
      <w:proofErr w:type="gramStart"/>
      <w:r w:rsidRPr="00EA2AB9">
        <w:rPr>
          <w:sz w:val="24"/>
          <w:u w:val="single"/>
          <w:lang w:val="fr-FR"/>
        </w:rPr>
        <w:t>'«</w:t>
      </w:r>
      <w:proofErr w:type="gramEnd"/>
      <w:r w:rsidRPr="00EA2AB9">
        <w:rPr>
          <w:sz w:val="24"/>
          <w:u w:val="single"/>
          <w:lang w:val="fr-FR"/>
        </w:rPr>
        <w:t xml:space="preserve"> opportunité raisonnable » à l'article</w:t>
      </w:r>
      <w:r w:rsidRPr="00EA2AB9">
        <w:rPr>
          <w:spacing w:val="-2"/>
          <w:sz w:val="24"/>
          <w:u w:val="single"/>
          <w:lang w:val="fr-FR"/>
        </w:rPr>
        <w:t xml:space="preserve"> 14(2)</w:t>
      </w:r>
    </w:p>
    <w:p w14:paraId="36EEF9AD" w14:textId="77777777" w:rsidR="006B758D" w:rsidRPr="00EA2AB9" w:rsidRDefault="006B758D">
      <w:pPr>
        <w:pStyle w:val="BodyText"/>
        <w:rPr>
          <w:sz w:val="20"/>
          <w:lang w:val="fr-FR"/>
        </w:rPr>
      </w:pPr>
    </w:p>
    <w:p w14:paraId="08ED3CE4" w14:textId="3DCA864E" w:rsidR="006B758D" w:rsidRPr="00EA2AB9" w:rsidRDefault="0023308C">
      <w:pPr>
        <w:pStyle w:val="ListParagraph"/>
        <w:numPr>
          <w:ilvl w:val="0"/>
          <w:numId w:val="7"/>
        </w:numPr>
        <w:tabs>
          <w:tab w:val="left" w:pos="1815"/>
        </w:tabs>
        <w:spacing w:before="224" w:line="360" w:lineRule="auto"/>
        <w:ind w:right="395" w:firstLine="707"/>
        <w:rPr>
          <w:sz w:val="24"/>
          <w:lang w:val="fr-FR"/>
        </w:rPr>
      </w:pPr>
      <w:r w:rsidRPr="00EA2AB9">
        <w:rPr>
          <w:sz w:val="24"/>
          <w:lang w:val="fr-FR"/>
        </w:rPr>
        <w:t>La Convention UPOV de 1991 a introduit plusieurs modifications substantielles dans l'étendue et la structure des droits d'obtenteur. Parmi celles-ci, l'insertion de l'expression « opportunité raisonnable » à l'article 14(2) et (3)</w:t>
      </w:r>
      <w:hyperlink w:anchor="_bookmark75" w:history="1">
        <w:r w:rsidRPr="00EA2AB9">
          <w:rPr>
            <w:sz w:val="24"/>
            <w:vertAlign w:val="superscript"/>
            <w:lang w:val="fr-FR"/>
          </w:rPr>
          <w:t>67</w:t>
        </w:r>
      </w:hyperlink>
      <w:r w:rsidRPr="00EA2AB9">
        <w:rPr>
          <w:sz w:val="24"/>
          <w:lang w:val="fr-FR"/>
        </w:rPr>
        <w:t xml:space="preserve">  constitue une avancée significative</w:t>
      </w:r>
      <w:hyperlink w:anchor="_bookmark76" w:history="1">
        <w:r w:rsidRPr="00EA2AB9">
          <w:rPr>
            <w:sz w:val="24"/>
            <w:vertAlign w:val="superscript"/>
            <w:lang w:val="fr-FR"/>
          </w:rPr>
          <w:t>68</w:t>
        </w:r>
      </w:hyperlink>
      <w:r w:rsidRPr="00EA2AB9">
        <w:rPr>
          <w:sz w:val="24"/>
          <w:lang w:val="fr-FR"/>
        </w:rPr>
        <w:t>. Cette clause joue un rôle crucial dans la délimitation des limites du droit d'obtenteur sur le produit de la récolte et les produits dérivés de ce matériel.</w:t>
      </w:r>
      <w:r w:rsidRPr="00EA2AB9">
        <w:rPr>
          <w:spacing w:val="-13"/>
          <w:sz w:val="24"/>
          <w:lang w:val="fr-FR"/>
        </w:rPr>
        <w:t xml:space="preserve"> </w:t>
      </w:r>
      <w:r w:rsidRPr="00EA2AB9">
        <w:rPr>
          <w:sz w:val="24"/>
          <w:lang w:val="fr-FR"/>
        </w:rPr>
        <w:t xml:space="preserve">Étroitement lié à cela, le « principe de cascade » est un concept qui a été expressément reconnu par plusieurs délégations comme une garantie assurant que </w:t>
      </w:r>
      <w:r w:rsidR="002775B0">
        <w:rPr>
          <w:lang w:val="fr-FR"/>
        </w:rPr>
        <w:t>la défense des droits</w:t>
      </w:r>
      <w:r w:rsidR="002775B0" w:rsidRPr="00EA2AB9">
        <w:rPr>
          <w:lang w:val="fr-FR"/>
        </w:rPr>
        <w:t xml:space="preserve"> </w:t>
      </w:r>
      <w:r w:rsidRPr="00EA2AB9">
        <w:rPr>
          <w:sz w:val="24"/>
          <w:lang w:val="fr-FR"/>
        </w:rPr>
        <w:t>ne s'applique que lorsque l'exercice préalable n'était pas possible.</w:t>
      </w:r>
    </w:p>
    <w:p w14:paraId="10459E8B" w14:textId="77777777" w:rsidR="006B758D" w:rsidRPr="00E7034A" w:rsidRDefault="006B758D">
      <w:pPr>
        <w:pStyle w:val="BodyText"/>
        <w:spacing w:before="11"/>
        <w:rPr>
          <w:sz w:val="16"/>
          <w:szCs w:val="16"/>
          <w:lang w:val="fr-FR"/>
        </w:rPr>
      </w:pPr>
    </w:p>
    <w:p w14:paraId="59DFF850" w14:textId="084BFAF7" w:rsidR="006B758D" w:rsidRPr="00EA2AB9" w:rsidRDefault="0023308C">
      <w:pPr>
        <w:pStyle w:val="ListParagraph"/>
        <w:numPr>
          <w:ilvl w:val="0"/>
          <w:numId w:val="7"/>
        </w:numPr>
        <w:tabs>
          <w:tab w:val="left" w:pos="1815"/>
        </w:tabs>
        <w:spacing w:line="360" w:lineRule="auto"/>
        <w:ind w:right="396" w:firstLine="707"/>
        <w:rPr>
          <w:sz w:val="24"/>
          <w:lang w:val="fr-FR"/>
        </w:rPr>
      </w:pPr>
      <w:r w:rsidRPr="00EA2AB9">
        <w:rPr>
          <w:sz w:val="24"/>
          <w:lang w:val="fr-FR"/>
        </w:rPr>
        <w:t xml:space="preserve">Les paragraphes (2) et (3) étendent ce droit au-delà du matériel de reproduction ou de multiplication pour inclure les produits de la récolte et, à titre facultatif, les produits fabriqués directement à partir de ces produits de la récolte. Toutefois, ces extensions sont soumises à une limitation : l'obtenteur ne doit pas avoir eu l'opportunité raisonnable d'exercer son droit à un stade antérieur. Cette clause sert de garantie contre une </w:t>
      </w:r>
      <w:r w:rsidR="002775B0">
        <w:rPr>
          <w:lang w:val="fr-FR"/>
        </w:rPr>
        <w:t>défense des droits</w:t>
      </w:r>
      <w:r w:rsidRPr="00EA2AB9">
        <w:rPr>
          <w:sz w:val="24"/>
          <w:lang w:val="fr-FR"/>
        </w:rPr>
        <w:t xml:space="preserve"> disproportionnée et des revendications rétroactives lorsque l'obtenteur a eu l'opportunité d'agir plus tôt mais ne l'a pas fait.</w:t>
      </w:r>
    </w:p>
    <w:p w14:paraId="0045E949" w14:textId="77777777" w:rsidR="006B758D" w:rsidRPr="00E7034A" w:rsidRDefault="006B758D">
      <w:pPr>
        <w:pStyle w:val="BodyText"/>
        <w:spacing w:before="2"/>
        <w:rPr>
          <w:sz w:val="16"/>
          <w:szCs w:val="16"/>
          <w:lang w:val="fr-FR"/>
        </w:rPr>
      </w:pPr>
    </w:p>
    <w:p w14:paraId="20D5A573" w14:textId="65E780BD" w:rsidR="006B758D" w:rsidRPr="00E7034A" w:rsidRDefault="0023308C" w:rsidP="002C2D0F">
      <w:pPr>
        <w:pStyle w:val="ListParagraph"/>
        <w:numPr>
          <w:ilvl w:val="0"/>
          <w:numId w:val="7"/>
        </w:numPr>
        <w:tabs>
          <w:tab w:val="left" w:pos="1815"/>
        </w:tabs>
        <w:spacing w:line="360" w:lineRule="auto"/>
        <w:ind w:right="397" w:firstLine="707"/>
        <w:rPr>
          <w:sz w:val="24"/>
          <w:lang w:val="fr-FR"/>
        </w:rPr>
      </w:pPr>
      <w:r w:rsidRPr="00EA2AB9">
        <w:rPr>
          <w:sz w:val="24"/>
          <w:lang w:val="fr-FR"/>
        </w:rPr>
        <w:t xml:space="preserve">Comme le montrent les archives, ces conditions sont cumulatives et visaient à empêcher une </w:t>
      </w:r>
      <w:r w:rsidR="002775B0">
        <w:rPr>
          <w:lang w:val="fr-FR"/>
        </w:rPr>
        <w:t>défense des droits</w:t>
      </w:r>
      <w:r w:rsidRPr="00EA2AB9">
        <w:rPr>
          <w:sz w:val="24"/>
          <w:lang w:val="fr-FR"/>
        </w:rPr>
        <w:t xml:space="preserve"> rétroactive ou disproportionnée. </w:t>
      </w:r>
      <w:r w:rsidRPr="00E7034A">
        <w:rPr>
          <w:sz w:val="24"/>
          <w:lang w:val="fr-FR"/>
        </w:rPr>
        <w:t>Ce</w:t>
      </w:r>
      <w:r w:rsidR="00C9210F" w:rsidRPr="00E7034A">
        <w:rPr>
          <w:sz w:val="24"/>
          <w:lang w:val="fr-FR"/>
        </w:rPr>
        <w:t>tte structure</w:t>
      </w:r>
      <w:r w:rsidRPr="00E7034A">
        <w:rPr>
          <w:sz w:val="24"/>
          <w:lang w:val="fr-FR"/>
        </w:rPr>
        <w:t xml:space="preserve"> cumulati</w:t>
      </w:r>
      <w:r w:rsidR="00C9210F" w:rsidRPr="00E7034A">
        <w:rPr>
          <w:sz w:val="24"/>
          <w:lang w:val="fr-FR"/>
        </w:rPr>
        <w:t>ve,</w:t>
      </w:r>
    </w:p>
    <w:p w14:paraId="3F38ED46" w14:textId="3A9764CF" w:rsidR="006B758D" w:rsidRPr="00E7034A" w:rsidRDefault="005C7D52">
      <w:pPr>
        <w:pStyle w:val="BodyText"/>
        <w:spacing w:before="8"/>
        <w:rPr>
          <w:sz w:val="14"/>
          <w:lang w:val="fr-FR"/>
        </w:rPr>
      </w:pPr>
      <w:r>
        <w:rPr>
          <w:noProof/>
        </w:rPr>
        <mc:AlternateContent>
          <mc:Choice Requires="wps">
            <w:drawing>
              <wp:anchor distT="0" distB="0" distL="0" distR="0" simplePos="0" relativeHeight="487597568" behindDoc="1" locked="0" layoutInCell="1" allowOverlap="1" wp14:anchorId="58FD7A52" wp14:editId="3FB7CB64">
                <wp:simplePos x="0" y="0"/>
                <wp:positionH relativeFrom="page">
                  <wp:posOffset>1080770</wp:posOffset>
                </wp:positionH>
                <wp:positionV relativeFrom="paragraph">
                  <wp:posOffset>122555</wp:posOffset>
                </wp:positionV>
                <wp:extent cx="1828800" cy="7620"/>
                <wp:effectExtent l="0" t="0" r="0" b="0"/>
                <wp:wrapTopAndBottom/>
                <wp:docPr id="25468991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3" style="position:absolute;margin-left:85.1pt;margin-top:9.65pt;width:2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" w14:anchorId="614A5011">
                <w10:wrap type="topAndBottom" anchorx="page"/>
              </v:rect>
            </w:pict>
          </mc:Fallback>
        </mc:AlternateContent>
      </w:r>
    </w:p>
    <w:p w14:paraId="05F360D6" w14:textId="77777777" w:rsidR="006B758D" w:rsidRPr="00EA2AB9" w:rsidRDefault="0023308C">
      <w:pPr>
        <w:spacing w:before="103"/>
        <w:ind w:left="682" w:right="403"/>
        <w:jc w:val="both"/>
        <w:rPr>
          <w:sz w:val="20"/>
          <w:lang w:val="fr-FR"/>
        </w:rPr>
      </w:pPr>
      <w:bookmarkStart w:id="75" w:name="_bookmark75"/>
      <w:bookmarkEnd w:id="75"/>
      <w:proofErr w:type="gramStart"/>
      <w:r w:rsidRPr="00EA2AB9">
        <w:rPr>
          <w:sz w:val="20"/>
          <w:vertAlign w:val="superscript"/>
          <w:lang w:val="fr-FR"/>
        </w:rPr>
        <w:t>67</w:t>
      </w:r>
      <w:r w:rsidRPr="00EA2AB9">
        <w:rPr>
          <w:sz w:val="20"/>
          <w:lang w:val="fr-FR"/>
        </w:rPr>
        <w:t xml:space="preserve">  Pour</w:t>
      </w:r>
      <w:proofErr w:type="gramEnd"/>
      <w:r w:rsidRPr="00EA2AB9">
        <w:rPr>
          <w:sz w:val="20"/>
          <w:lang w:val="fr-FR"/>
        </w:rPr>
        <w:t xml:space="preserve"> plus de clarté, il est important de noter que la notion d</w:t>
      </w:r>
      <w:proofErr w:type="gramStart"/>
      <w:r w:rsidRPr="00EA2AB9">
        <w:rPr>
          <w:sz w:val="20"/>
          <w:lang w:val="fr-FR"/>
        </w:rPr>
        <w:t>'«</w:t>
      </w:r>
      <w:proofErr w:type="gramEnd"/>
      <w:r w:rsidRPr="00EA2AB9">
        <w:rPr>
          <w:sz w:val="20"/>
          <w:lang w:val="fr-FR"/>
        </w:rPr>
        <w:t xml:space="preserve"> opportunité raisonnable » ne faisait pas partie des discussions initiales lors de la rédaction de l'Acte de 1978 de la Convention UPOV. Il n'y a aucune référence à cette expression dans les Actes de 1978 de la Conférence diplomatique de Genève sur la révision de la Convention internationale pour la protection des obtentions végétales.</w:t>
      </w:r>
    </w:p>
    <w:p w14:paraId="64D6B361" w14:textId="77777777" w:rsidR="006B758D" w:rsidRPr="00EA2AB9" w:rsidRDefault="0023308C">
      <w:pPr>
        <w:spacing w:before="2"/>
        <w:ind w:left="682" w:right="409"/>
        <w:jc w:val="both"/>
        <w:rPr>
          <w:sz w:val="20"/>
          <w:lang w:val="fr-FR"/>
        </w:rPr>
      </w:pPr>
      <w:bookmarkStart w:id="76" w:name="_bookmark76"/>
      <w:bookmarkEnd w:id="76"/>
      <w:proofErr w:type="gramStart"/>
      <w:r w:rsidRPr="00EA2AB9">
        <w:rPr>
          <w:sz w:val="20"/>
          <w:vertAlign w:val="superscript"/>
          <w:lang w:val="fr-FR"/>
        </w:rPr>
        <w:t>68</w:t>
      </w:r>
      <w:r w:rsidRPr="00EA2AB9">
        <w:rPr>
          <w:sz w:val="20"/>
          <w:lang w:val="fr-FR"/>
        </w:rPr>
        <w:t xml:space="preserve">  UPOV</w:t>
      </w:r>
      <w:proofErr w:type="gramEnd"/>
      <w:r w:rsidRPr="00EA2AB9">
        <w:rPr>
          <w:sz w:val="20"/>
          <w:lang w:val="fr-FR"/>
        </w:rPr>
        <w:t>, Actes de la Conférence diplomatique de Genève de 1991, publication UPOV n° 346(E) (UPOV, 1992), p. 314-320 ; p. 403-414.</w:t>
      </w:r>
    </w:p>
    <w:p w14:paraId="1BAC6E93" w14:textId="77777777" w:rsidR="006B758D" w:rsidRPr="00EA2AB9" w:rsidRDefault="006B758D">
      <w:pPr>
        <w:jc w:val="both"/>
        <w:rPr>
          <w:sz w:val="20"/>
          <w:lang w:val="fr-FR"/>
        </w:rPr>
        <w:sectPr w:rsidR="006B758D" w:rsidRPr="00EA2AB9">
          <w:pgSz w:w="11910" w:h="16840"/>
          <w:pgMar w:top="1320" w:right="1300" w:bottom="1240" w:left="1020" w:header="0" w:footer="1049" w:gutter="0"/>
          <w:cols w:space="720"/>
        </w:sectPr>
      </w:pPr>
    </w:p>
    <w:p w14:paraId="411ACB2E" w14:textId="3A39D48D" w:rsidR="006B758D" w:rsidRPr="00EA2AB9" w:rsidRDefault="0023308C">
      <w:pPr>
        <w:pStyle w:val="BodyText"/>
        <w:spacing w:before="76" w:line="360" w:lineRule="auto"/>
        <w:ind w:left="682" w:right="401"/>
        <w:jc w:val="both"/>
        <w:rPr>
          <w:lang w:val="fr-FR"/>
        </w:rPr>
      </w:pPr>
      <w:proofErr w:type="gramStart"/>
      <w:r w:rsidRPr="00EA2AB9">
        <w:rPr>
          <w:lang w:val="fr-FR"/>
        </w:rPr>
        <w:lastRenderedPageBreak/>
        <w:t>confirmée</w:t>
      </w:r>
      <w:proofErr w:type="gramEnd"/>
      <w:r w:rsidRPr="00EA2AB9">
        <w:rPr>
          <w:lang w:val="fr-FR"/>
        </w:rPr>
        <w:t xml:space="preserve"> lors de la Conférence diplomatique, aligne ce chapitre à la fois sur l'analyse de l'utilisation non autorisée et sur les implications en aval abordées dans le chapitre sur </w:t>
      </w:r>
      <w:r w:rsidRPr="00EA2AB9">
        <w:rPr>
          <w:spacing w:val="-2"/>
          <w:lang w:val="fr-FR"/>
        </w:rPr>
        <w:t>l'épuisement.</w:t>
      </w:r>
    </w:p>
    <w:p w14:paraId="3BF16C04" w14:textId="77777777" w:rsidR="006B758D" w:rsidRPr="00EA2AB9" w:rsidRDefault="006B758D">
      <w:pPr>
        <w:pStyle w:val="BodyText"/>
        <w:spacing w:before="1"/>
        <w:rPr>
          <w:sz w:val="36"/>
          <w:lang w:val="fr-FR"/>
        </w:rPr>
      </w:pPr>
    </w:p>
    <w:p w14:paraId="37C9BA28" w14:textId="77777777" w:rsidR="006B758D" w:rsidRPr="00EA2AB9" w:rsidRDefault="0023308C">
      <w:pPr>
        <w:pStyle w:val="ListParagraph"/>
        <w:numPr>
          <w:ilvl w:val="0"/>
          <w:numId w:val="7"/>
        </w:numPr>
        <w:tabs>
          <w:tab w:val="left" w:pos="1815"/>
        </w:tabs>
        <w:spacing w:line="360" w:lineRule="auto"/>
        <w:ind w:right="397" w:firstLine="707"/>
        <w:rPr>
          <w:sz w:val="24"/>
          <w:lang w:val="fr-FR"/>
        </w:rPr>
      </w:pPr>
      <w:r w:rsidRPr="00EA2AB9">
        <w:rPr>
          <w:sz w:val="24"/>
          <w:lang w:val="fr-FR"/>
        </w:rPr>
        <w:t>L'inclusion de la clause relative à l</w:t>
      </w:r>
      <w:proofErr w:type="gramStart"/>
      <w:r w:rsidRPr="00EA2AB9">
        <w:rPr>
          <w:sz w:val="24"/>
          <w:lang w:val="fr-FR"/>
        </w:rPr>
        <w:t>'«</w:t>
      </w:r>
      <w:proofErr w:type="gramEnd"/>
      <w:r w:rsidRPr="00EA2AB9">
        <w:rPr>
          <w:sz w:val="24"/>
          <w:lang w:val="fr-FR"/>
        </w:rPr>
        <w:t xml:space="preserve"> opportunité raisonnable » est le résultat de négociations complexes.</w:t>
      </w:r>
      <w:r w:rsidRPr="00EA2AB9">
        <w:rPr>
          <w:spacing w:val="-8"/>
          <w:sz w:val="24"/>
          <w:lang w:val="fr-FR"/>
        </w:rPr>
        <w:t xml:space="preserve"> </w:t>
      </w:r>
      <w:r w:rsidRPr="00EA2AB9">
        <w:rPr>
          <w:sz w:val="24"/>
          <w:lang w:val="fr-FR"/>
        </w:rPr>
        <w:t xml:space="preserve">Les premières ébauches, telles que les propositions de l'Espagne et du Japon (documents DC/91/82 et DC/91/61), utilisaient un langage plus rigide : « aucune possibilité légale » ou « malgré toute la diligence requise [...] l'obtenteur ne pouvait exercer son droit ». Ces formulations ont été jugées trop strictes et ont soulevé des inquiétudes quant à leur interprétation judiciaire et </w:t>
      </w:r>
      <w:r w:rsidRPr="00EA2AB9">
        <w:rPr>
          <w:spacing w:val="-2"/>
          <w:sz w:val="24"/>
          <w:lang w:val="fr-FR"/>
        </w:rPr>
        <w:t>leur faisabilité</w:t>
      </w:r>
      <w:hyperlink w:anchor="_bookmark77" w:history="1">
        <w:r w:rsidRPr="00EA2AB9">
          <w:rPr>
            <w:spacing w:val="-2"/>
            <w:sz w:val="24"/>
            <w:vertAlign w:val="superscript"/>
            <w:lang w:val="fr-FR"/>
          </w:rPr>
          <w:t>69</w:t>
        </w:r>
      </w:hyperlink>
      <w:r w:rsidRPr="00EA2AB9">
        <w:rPr>
          <w:spacing w:val="-2"/>
          <w:sz w:val="24"/>
          <w:lang w:val="fr-FR"/>
        </w:rPr>
        <w:t>.</w:t>
      </w:r>
    </w:p>
    <w:p w14:paraId="50F76F2A" w14:textId="77777777" w:rsidR="006B758D" w:rsidRPr="00EA2AB9" w:rsidRDefault="006B758D">
      <w:pPr>
        <w:pStyle w:val="BodyText"/>
        <w:spacing w:before="2"/>
        <w:rPr>
          <w:sz w:val="36"/>
          <w:lang w:val="fr-FR"/>
        </w:rPr>
      </w:pPr>
    </w:p>
    <w:p w14:paraId="3F7087E8" w14:textId="77777777" w:rsidR="006B758D" w:rsidRPr="00EA2AB9" w:rsidRDefault="0023308C">
      <w:pPr>
        <w:pStyle w:val="ListParagraph"/>
        <w:numPr>
          <w:ilvl w:val="0"/>
          <w:numId w:val="7"/>
        </w:numPr>
        <w:tabs>
          <w:tab w:val="left" w:pos="1815"/>
        </w:tabs>
        <w:spacing w:line="360" w:lineRule="auto"/>
        <w:ind w:right="395" w:firstLine="707"/>
        <w:rPr>
          <w:sz w:val="24"/>
          <w:lang w:val="fr-FR"/>
        </w:rPr>
      </w:pPr>
      <w:r w:rsidRPr="00EA2AB9">
        <w:rPr>
          <w:sz w:val="24"/>
          <w:lang w:val="fr-FR"/>
        </w:rPr>
        <w:t>Bien que l'auteur exact de l'expression « opportunité raisonnable » ne puisse être attribué de manière définitive, il ressort des comptes rendus que cette expression a été introduite dans la discussion et officiellement intégrée dans les projets de travail finaux au cours des négociations auxquelles a participé la délégation des États-Unis</w:t>
      </w:r>
      <w:hyperlink w:anchor="_bookmark78" w:history="1">
        <w:r w:rsidRPr="00EA2AB9">
          <w:rPr>
            <w:sz w:val="24"/>
            <w:vertAlign w:val="superscript"/>
            <w:lang w:val="fr-FR"/>
          </w:rPr>
          <w:t>70</w:t>
        </w:r>
      </w:hyperlink>
      <w:r w:rsidRPr="00EA2AB9">
        <w:rPr>
          <w:sz w:val="24"/>
          <w:lang w:val="fr-FR"/>
        </w:rPr>
        <w:t>. La délégation des États-Unis a proposé de remplacer ces termes restrictifs par l'expression plus souple « opportunité raisonnable ».</w:t>
      </w:r>
    </w:p>
    <w:p w14:paraId="5B1AAD77" w14:textId="77777777" w:rsidR="006B758D" w:rsidRPr="00EA2AB9" w:rsidRDefault="006B758D">
      <w:pPr>
        <w:pStyle w:val="BodyText"/>
        <w:spacing w:before="9"/>
        <w:rPr>
          <w:sz w:val="25"/>
          <w:lang w:val="fr-FR"/>
        </w:rPr>
      </w:pPr>
    </w:p>
    <w:p w14:paraId="297D946F" w14:textId="7B4FC589" w:rsidR="006B758D" w:rsidRPr="00EA2AB9" w:rsidRDefault="0023308C">
      <w:pPr>
        <w:pStyle w:val="ListParagraph"/>
        <w:numPr>
          <w:ilvl w:val="0"/>
          <w:numId w:val="7"/>
        </w:numPr>
        <w:tabs>
          <w:tab w:val="left" w:pos="1815"/>
        </w:tabs>
        <w:spacing w:line="360" w:lineRule="auto"/>
        <w:ind w:right="395" w:firstLine="707"/>
        <w:rPr>
          <w:sz w:val="24"/>
          <w:lang w:val="fr-FR"/>
        </w:rPr>
      </w:pPr>
      <w:r w:rsidRPr="00EA2AB9">
        <w:rPr>
          <w:sz w:val="24"/>
          <w:lang w:val="fr-FR"/>
        </w:rPr>
        <w:t xml:space="preserve">M. </w:t>
      </w:r>
      <w:proofErr w:type="spellStart"/>
      <w:r w:rsidRPr="00EA2AB9">
        <w:rPr>
          <w:sz w:val="24"/>
          <w:lang w:val="fr-FR"/>
        </w:rPr>
        <w:t>Hoinkes</w:t>
      </w:r>
      <w:proofErr w:type="spellEnd"/>
      <w:r w:rsidRPr="00EA2AB9">
        <w:rPr>
          <w:sz w:val="24"/>
          <w:lang w:val="fr-FR"/>
        </w:rPr>
        <w:t xml:space="preserve"> (États-Unis) a participé activement à la clarification de la portée de l'article 14(1)(b), et ses réponses aux questions des autres délégations ont renforcé l'idée que cette disposition devait inclure la condition d'une « opportunité raisonnable », comme proposé par le groupe de travail : « M. </w:t>
      </w:r>
      <w:proofErr w:type="spellStart"/>
      <w:r w:rsidRPr="00EA2AB9">
        <w:rPr>
          <w:sz w:val="24"/>
          <w:lang w:val="fr-FR"/>
        </w:rPr>
        <w:t>Hoinkes</w:t>
      </w:r>
      <w:proofErr w:type="spellEnd"/>
      <w:r w:rsidRPr="00EA2AB9">
        <w:rPr>
          <w:sz w:val="24"/>
          <w:lang w:val="fr-FR"/>
        </w:rPr>
        <w:t xml:space="preserve"> (États-Unis) a répondu [...] qu'un renvoi aux dispositions du paragraphe 1 b) ne permettait pas une approche sélective limitée aux termes « produit de la récolte ». [...] Ces dispositions devaient être considérées dans leur ensemble »</w:t>
      </w:r>
      <w:hyperlink w:anchor="_bookmark79" w:history="1">
        <w:r w:rsidRPr="00EA2AB9">
          <w:rPr>
            <w:sz w:val="24"/>
            <w:vertAlign w:val="superscript"/>
            <w:lang w:val="fr-FR"/>
          </w:rPr>
          <w:t>71</w:t>
        </w:r>
      </w:hyperlink>
      <w:r w:rsidRPr="00EA2AB9">
        <w:rPr>
          <w:sz w:val="24"/>
          <w:lang w:val="fr-FR"/>
        </w:rPr>
        <w:t xml:space="preserve">. Les négociateurs ont compris que cette proposition préservait la structure séquentielle de </w:t>
      </w:r>
      <w:r w:rsidR="002775B0" w:rsidRPr="002775B0">
        <w:rPr>
          <w:sz w:val="24"/>
          <w:lang w:val="fr-FR"/>
        </w:rPr>
        <w:t xml:space="preserve">la défense des </w:t>
      </w:r>
      <w:proofErr w:type="gramStart"/>
      <w:r w:rsidR="002775B0" w:rsidRPr="002775B0">
        <w:rPr>
          <w:sz w:val="24"/>
          <w:lang w:val="fr-FR"/>
        </w:rPr>
        <w:t xml:space="preserve">droits </w:t>
      </w:r>
      <w:r w:rsidRPr="00EA2AB9">
        <w:rPr>
          <w:sz w:val="24"/>
          <w:lang w:val="fr-FR"/>
        </w:rPr>
        <w:t xml:space="preserve"> tout</w:t>
      </w:r>
      <w:proofErr w:type="gramEnd"/>
      <w:r w:rsidRPr="00EA2AB9">
        <w:rPr>
          <w:sz w:val="24"/>
          <w:lang w:val="fr-FR"/>
        </w:rPr>
        <w:t xml:space="preserve"> en permettant aux autorités nationales d'évaluer les contraintes pratiques au cas par cas.</w:t>
      </w:r>
    </w:p>
    <w:p w14:paraId="51B436DF" w14:textId="77777777" w:rsidR="006B758D" w:rsidRPr="00EA2AB9" w:rsidRDefault="006B758D">
      <w:pPr>
        <w:pStyle w:val="BodyText"/>
        <w:rPr>
          <w:sz w:val="20"/>
          <w:lang w:val="fr-FR"/>
        </w:rPr>
      </w:pPr>
    </w:p>
    <w:p w14:paraId="027A7348" w14:textId="77777777" w:rsidR="006B758D" w:rsidRPr="00EA2AB9" w:rsidRDefault="006B758D">
      <w:pPr>
        <w:pStyle w:val="BodyText"/>
        <w:rPr>
          <w:sz w:val="20"/>
          <w:lang w:val="fr-FR"/>
        </w:rPr>
      </w:pPr>
    </w:p>
    <w:p w14:paraId="155DCB7E" w14:textId="77777777" w:rsidR="006B758D" w:rsidRPr="00EA2AB9" w:rsidRDefault="006B758D">
      <w:pPr>
        <w:pStyle w:val="BodyText"/>
        <w:rPr>
          <w:sz w:val="20"/>
          <w:lang w:val="fr-FR"/>
        </w:rPr>
      </w:pPr>
    </w:p>
    <w:p w14:paraId="4A547032" w14:textId="1F5EA764" w:rsidR="006B758D" w:rsidRPr="00EA2AB9" w:rsidRDefault="005C7D52">
      <w:pPr>
        <w:pStyle w:val="BodyText"/>
        <w:spacing w:before="1"/>
        <w:rPr>
          <w:sz w:val="20"/>
          <w:lang w:val="fr-FR"/>
        </w:rPr>
      </w:pPr>
      <w:r>
        <w:rPr>
          <w:noProof/>
        </w:rPr>
        <mc:AlternateContent>
          <mc:Choice Requires="wps">
            <w:drawing>
              <wp:anchor distT="0" distB="0" distL="0" distR="0" simplePos="0" relativeHeight="487598080" behindDoc="1" locked="0" layoutInCell="1" allowOverlap="1" wp14:anchorId="0F4A7927" wp14:editId="09028E94">
                <wp:simplePos x="0" y="0"/>
                <wp:positionH relativeFrom="page">
                  <wp:posOffset>1080770</wp:posOffset>
                </wp:positionH>
                <wp:positionV relativeFrom="paragraph">
                  <wp:posOffset>162560</wp:posOffset>
                </wp:positionV>
                <wp:extent cx="1828800" cy="7620"/>
                <wp:effectExtent l="0" t="0" r="0" b="0"/>
                <wp:wrapTopAndBottom/>
                <wp:docPr id="67647367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4" style="position:absolute;margin-left:85.1pt;margin-top:12.8pt;width:2in;height:.6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" w14:anchorId="3C0CA4CE">
                <w10:wrap type="topAndBottom" anchorx="page"/>
              </v:rect>
            </w:pict>
          </mc:Fallback>
        </mc:AlternateContent>
      </w:r>
    </w:p>
    <w:p w14:paraId="24611CAF" w14:textId="77777777" w:rsidR="006B758D" w:rsidRPr="00EA2AB9" w:rsidRDefault="0023308C">
      <w:pPr>
        <w:spacing w:before="101"/>
        <w:ind w:left="682" w:right="402"/>
        <w:jc w:val="both"/>
        <w:rPr>
          <w:sz w:val="20"/>
          <w:lang w:val="fr-FR"/>
        </w:rPr>
      </w:pPr>
      <w:bookmarkStart w:id="77" w:name="_bookmark77"/>
      <w:bookmarkEnd w:id="77"/>
      <w:r w:rsidRPr="00EA2AB9">
        <w:rPr>
          <w:sz w:val="20"/>
          <w:vertAlign w:val="superscript"/>
          <w:lang w:val="fr-FR"/>
        </w:rPr>
        <w:t>69</w:t>
      </w:r>
      <w:r w:rsidRPr="00EA2AB9">
        <w:rPr>
          <w:sz w:val="20"/>
          <w:lang w:val="fr-FR"/>
        </w:rPr>
        <w:t xml:space="preserve">« La proposition de la délégation du Japon, reproduite dans le document DC/91/61, visant à énumérer à l'article 14(1)(b) les actes relatifs au produit de la récolte couvert par le droit d'obtenteur </w:t>
      </w:r>
      <w:proofErr w:type="gramStart"/>
      <w:r w:rsidRPr="00EA2AB9">
        <w:rPr>
          <w:sz w:val="20"/>
          <w:lang w:val="fr-FR"/>
        </w:rPr>
        <w:t>a</w:t>
      </w:r>
      <w:proofErr w:type="gramEnd"/>
      <w:r w:rsidRPr="00EA2AB9">
        <w:rPr>
          <w:sz w:val="20"/>
          <w:lang w:val="fr-FR"/>
        </w:rPr>
        <w:t xml:space="preserve"> été rejetée par cinq voix pour, huit voix contre et quatre abstentions ». UPOV, Actes de la Conférence diplomatique de Genève de 1991, publication UPOV n° 346(E), p. 318.</w:t>
      </w:r>
    </w:p>
    <w:p w14:paraId="3C963C57" w14:textId="77777777" w:rsidR="006B758D" w:rsidRPr="00EA2AB9" w:rsidRDefault="0023308C">
      <w:pPr>
        <w:spacing w:before="2"/>
        <w:ind w:left="682" w:right="393"/>
        <w:jc w:val="both"/>
        <w:rPr>
          <w:sz w:val="20"/>
          <w:lang w:val="fr-FR"/>
        </w:rPr>
      </w:pPr>
      <w:bookmarkStart w:id="78" w:name="_bookmark78"/>
      <w:bookmarkEnd w:id="78"/>
      <w:proofErr w:type="gramStart"/>
      <w:r w:rsidRPr="00EA2AB9">
        <w:rPr>
          <w:sz w:val="20"/>
          <w:vertAlign w:val="superscript"/>
          <w:lang w:val="fr-FR"/>
        </w:rPr>
        <w:t>70</w:t>
      </w:r>
      <w:r w:rsidRPr="00EA2AB9">
        <w:rPr>
          <w:sz w:val="20"/>
          <w:lang w:val="fr-FR"/>
        </w:rPr>
        <w:t xml:space="preserve">  UPOV</w:t>
      </w:r>
      <w:proofErr w:type="gramEnd"/>
      <w:r w:rsidRPr="00EA2AB9">
        <w:rPr>
          <w:sz w:val="20"/>
          <w:lang w:val="fr-FR"/>
        </w:rPr>
        <w:t>, Actes de la Conférence diplomatique de Genève de 1991, publication UPOV n° 346(E), p.</w:t>
      </w:r>
      <w:r w:rsidRPr="00EA2AB9">
        <w:rPr>
          <w:spacing w:val="-4"/>
          <w:sz w:val="20"/>
          <w:lang w:val="fr-FR"/>
        </w:rPr>
        <w:t xml:space="preserve"> 403-414.</w:t>
      </w:r>
    </w:p>
    <w:p w14:paraId="6A95BC7B" w14:textId="77777777" w:rsidR="006B758D" w:rsidRPr="00EA2AB9" w:rsidRDefault="0023308C">
      <w:pPr>
        <w:spacing w:line="228" w:lineRule="exact"/>
        <w:ind w:left="682"/>
        <w:jc w:val="both"/>
        <w:rPr>
          <w:sz w:val="20"/>
          <w:lang w:val="fr-FR"/>
        </w:rPr>
      </w:pPr>
      <w:bookmarkStart w:id="79" w:name="_bookmark79"/>
      <w:bookmarkEnd w:id="79"/>
      <w:proofErr w:type="gramStart"/>
      <w:r w:rsidRPr="00EA2AB9">
        <w:rPr>
          <w:sz w:val="20"/>
          <w:vertAlign w:val="superscript"/>
          <w:lang w:val="fr-FR"/>
        </w:rPr>
        <w:t>71</w:t>
      </w:r>
      <w:r w:rsidRPr="00EA2AB9">
        <w:rPr>
          <w:sz w:val="20"/>
          <w:lang w:val="fr-FR"/>
        </w:rPr>
        <w:t xml:space="preserve">  UPOV</w:t>
      </w:r>
      <w:proofErr w:type="gramEnd"/>
      <w:r w:rsidRPr="00EA2AB9">
        <w:rPr>
          <w:sz w:val="20"/>
          <w:lang w:val="fr-FR"/>
        </w:rPr>
        <w:t>, Actes de la Conférence diplomatique de Genève de 1991, publication UPOV n° 346(E), p.</w:t>
      </w:r>
      <w:r w:rsidRPr="00EA2AB9">
        <w:rPr>
          <w:spacing w:val="-4"/>
          <w:sz w:val="20"/>
          <w:lang w:val="fr-FR"/>
        </w:rPr>
        <w:t xml:space="preserve"> 415.</w:t>
      </w:r>
    </w:p>
    <w:p w14:paraId="0D6CA396" w14:textId="77777777" w:rsidR="006B758D" w:rsidRPr="00EA2AB9" w:rsidRDefault="006B758D">
      <w:pPr>
        <w:spacing w:line="228" w:lineRule="exact"/>
        <w:jc w:val="both"/>
        <w:rPr>
          <w:sz w:val="20"/>
          <w:lang w:val="fr-FR"/>
        </w:rPr>
        <w:sectPr w:rsidR="006B758D" w:rsidRPr="00EA2AB9">
          <w:pgSz w:w="11910" w:h="16840"/>
          <w:pgMar w:top="1320" w:right="1300" w:bottom="1240" w:left="1020" w:header="0" w:footer="1049" w:gutter="0"/>
          <w:cols w:space="720"/>
        </w:sectPr>
      </w:pPr>
    </w:p>
    <w:p w14:paraId="1BCC705C" w14:textId="77777777" w:rsidR="006B758D" w:rsidRPr="00EA2AB9" w:rsidRDefault="0023308C">
      <w:pPr>
        <w:pStyle w:val="ListParagraph"/>
        <w:numPr>
          <w:ilvl w:val="0"/>
          <w:numId w:val="7"/>
        </w:numPr>
        <w:tabs>
          <w:tab w:val="left" w:pos="1815"/>
        </w:tabs>
        <w:spacing w:before="96" w:line="360" w:lineRule="auto"/>
        <w:ind w:right="396" w:firstLine="707"/>
        <w:rPr>
          <w:sz w:val="24"/>
          <w:lang w:val="fr-FR"/>
        </w:rPr>
      </w:pPr>
      <w:r w:rsidRPr="00EA2AB9">
        <w:rPr>
          <w:sz w:val="24"/>
          <w:lang w:val="fr-FR"/>
        </w:rPr>
        <w:lastRenderedPageBreak/>
        <w:t>La proposition a recueilli un large soutien</w:t>
      </w:r>
      <w:hyperlink w:anchor="_bookmark80" w:history="1">
        <w:r w:rsidRPr="00EA2AB9">
          <w:rPr>
            <w:sz w:val="24"/>
            <w:vertAlign w:val="superscript"/>
            <w:lang w:val="fr-FR"/>
          </w:rPr>
          <w:t>72</w:t>
        </w:r>
      </w:hyperlink>
      <w:r w:rsidRPr="00EA2AB9">
        <w:rPr>
          <w:sz w:val="24"/>
          <w:lang w:val="fr-FR"/>
        </w:rPr>
        <w:t>. La Suède a expressément confirmé que la proposition des États-Unis reprenait la logique en cascade initialement formulée par le Japon, et le président de la conférence a publiquement confirmé cette interprétation. La délégation du Royaume-Uni a approuvé la clause</w:t>
      </w:r>
      <w:hyperlink w:anchor="_bookmark81" w:history="1">
        <w:r w:rsidRPr="00EA2AB9">
          <w:rPr>
            <w:sz w:val="24"/>
            <w:vertAlign w:val="superscript"/>
            <w:lang w:val="fr-FR"/>
          </w:rPr>
          <w:t>73</w:t>
        </w:r>
      </w:hyperlink>
      <w:r w:rsidRPr="00EA2AB9">
        <w:rPr>
          <w:sz w:val="24"/>
          <w:lang w:val="fr-FR"/>
        </w:rPr>
        <w:t xml:space="preserve"> , en précisant que le produit de la récolte obtenu à partir d'une utilisation non autorisée ne devait donner lieu à une intervention de l'obtenteur que s'il n'existait aucune possibilité préalable. Il a été avancé que le paragraphe 14(1)(b) n'excluait pas automatiquement le matériel autorisé et que la clause était donc essentielle pour garantir des limites appropriées.</w:t>
      </w:r>
    </w:p>
    <w:p w14:paraId="0CFF3C1D" w14:textId="77777777" w:rsidR="006B758D" w:rsidRPr="00C9210F" w:rsidRDefault="006B758D">
      <w:pPr>
        <w:pStyle w:val="BodyText"/>
        <w:spacing w:before="1"/>
        <w:rPr>
          <w:sz w:val="16"/>
          <w:szCs w:val="16"/>
          <w:lang w:val="fr-FR"/>
        </w:rPr>
      </w:pPr>
    </w:p>
    <w:p w14:paraId="36B1CAF9" w14:textId="786C13AA" w:rsidR="006B758D" w:rsidRPr="00EA2AB9" w:rsidRDefault="0023308C">
      <w:pPr>
        <w:pStyle w:val="ListParagraph"/>
        <w:numPr>
          <w:ilvl w:val="0"/>
          <w:numId w:val="7"/>
        </w:numPr>
        <w:tabs>
          <w:tab w:val="left" w:pos="1815"/>
        </w:tabs>
        <w:spacing w:line="360" w:lineRule="auto"/>
        <w:ind w:right="395" w:firstLine="707"/>
        <w:rPr>
          <w:sz w:val="24"/>
          <w:lang w:val="fr-FR"/>
        </w:rPr>
      </w:pPr>
      <w:r w:rsidRPr="00EA2AB9">
        <w:rPr>
          <w:sz w:val="24"/>
          <w:lang w:val="fr-FR"/>
        </w:rPr>
        <w:t xml:space="preserve">Le groupe de travail a accepté l'expression « opportunité raisonnable » </w:t>
      </w:r>
      <w:hyperlink w:anchor="_bookmark82" w:history="1">
        <w:r w:rsidRPr="00EA2AB9">
          <w:rPr>
            <w:sz w:val="24"/>
            <w:vertAlign w:val="superscript"/>
            <w:lang w:val="fr-FR"/>
          </w:rPr>
          <w:t>74</w:t>
        </w:r>
      </w:hyperlink>
      <w:r w:rsidRPr="00EA2AB9">
        <w:rPr>
          <w:sz w:val="24"/>
          <w:lang w:val="fr-FR"/>
        </w:rPr>
        <w:t xml:space="preserve">  comme intégrant l'idée de « diligence raisonnable », qui avait été suggérée par le Japon </w:t>
      </w:r>
      <w:hyperlink w:anchor="_bookmark83" w:history="1">
        <w:r w:rsidRPr="00EA2AB9">
          <w:rPr>
            <w:sz w:val="24"/>
            <w:vertAlign w:val="superscript"/>
            <w:lang w:val="fr-FR"/>
          </w:rPr>
          <w:t>75</w:t>
        </w:r>
      </w:hyperlink>
      <w:r w:rsidRPr="00EA2AB9">
        <w:rPr>
          <w:sz w:val="24"/>
          <w:lang w:val="fr-FR"/>
        </w:rPr>
        <w:t xml:space="preserve"> . La version finale reflète le consensus selon lequel la clause englobe les attentes en matière de preuve concernant la diligence, sans imposer de normes rigides qui pourraient entraver l'interprétation ou </w:t>
      </w:r>
      <w:r w:rsidR="002775B0">
        <w:rPr>
          <w:lang w:val="fr-FR"/>
        </w:rPr>
        <w:t>la défense des droits</w:t>
      </w:r>
      <w:r w:rsidRPr="00EA2AB9">
        <w:rPr>
          <w:spacing w:val="-2"/>
          <w:sz w:val="24"/>
          <w:lang w:val="fr-FR"/>
        </w:rPr>
        <w:t>.</w:t>
      </w:r>
    </w:p>
    <w:p w14:paraId="5DC49343" w14:textId="77777777" w:rsidR="006B758D" w:rsidRPr="00C9210F" w:rsidRDefault="006B758D">
      <w:pPr>
        <w:pStyle w:val="BodyText"/>
        <w:spacing w:before="1"/>
        <w:rPr>
          <w:sz w:val="18"/>
          <w:szCs w:val="18"/>
          <w:lang w:val="fr-FR"/>
        </w:rPr>
      </w:pPr>
    </w:p>
    <w:p w14:paraId="49034861" w14:textId="59E79955" w:rsidR="006B758D" w:rsidRPr="00C9210F" w:rsidRDefault="0023308C" w:rsidP="00C9210F">
      <w:pPr>
        <w:pStyle w:val="ListParagraph"/>
        <w:numPr>
          <w:ilvl w:val="0"/>
          <w:numId w:val="7"/>
        </w:numPr>
        <w:tabs>
          <w:tab w:val="left" w:pos="1815"/>
        </w:tabs>
        <w:spacing w:line="276" w:lineRule="auto"/>
        <w:ind w:right="404" w:firstLine="707"/>
        <w:rPr>
          <w:sz w:val="16"/>
          <w:szCs w:val="16"/>
          <w:lang w:val="fr-FR"/>
        </w:rPr>
      </w:pPr>
      <w:r w:rsidRPr="00EA2AB9">
        <w:rPr>
          <w:sz w:val="24"/>
          <w:lang w:val="fr-FR"/>
        </w:rPr>
        <w:t>En conséquence, l'article 14(2) et (3) a été adopté avec deux exigences cumulatives : (i) l'utilisation non autorisée de matériel de reproduction ou de multiplication ; et (ii) l'absence d'opportunité raisonnable d'agir à ce stade précoce, une structure qui s'intègre dans la séquence globale d'application et dans l'analyse présentée dans les chapitres sur l'utilisation non autorisée et l'épuisement.</w:t>
      </w:r>
    </w:p>
    <w:p w14:paraId="1DFC7BF2" w14:textId="5AACDABE" w:rsidR="006B758D" w:rsidRPr="00C9210F" w:rsidRDefault="005C7D52">
      <w:pPr>
        <w:pStyle w:val="BodyText"/>
        <w:spacing w:before="11"/>
        <w:rPr>
          <w:sz w:val="16"/>
          <w:szCs w:val="16"/>
          <w:lang w:val="fr-FR"/>
        </w:rPr>
      </w:pPr>
      <w:r w:rsidRPr="00C9210F">
        <w:rPr>
          <w:noProof/>
          <w:sz w:val="16"/>
          <w:szCs w:val="16"/>
        </w:rPr>
        <mc:AlternateContent>
          <mc:Choice Requires="wps">
            <w:drawing>
              <wp:anchor distT="0" distB="0" distL="0" distR="0" simplePos="0" relativeHeight="487598592" behindDoc="1" locked="0" layoutInCell="1" allowOverlap="1" wp14:anchorId="37168D15" wp14:editId="42246FAC">
                <wp:simplePos x="0" y="0"/>
                <wp:positionH relativeFrom="page">
                  <wp:posOffset>1080770</wp:posOffset>
                </wp:positionH>
                <wp:positionV relativeFrom="paragraph">
                  <wp:posOffset>175895</wp:posOffset>
                </wp:positionV>
                <wp:extent cx="1828800" cy="7620"/>
                <wp:effectExtent l="0" t="0" r="0" b="0"/>
                <wp:wrapTopAndBottom/>
                <wp:docPr id="61890351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5" style="position:absolute;margin-left:85.1pt;margin-top:13.85pt;width:2in;height:.6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" w14:anchorId="3DDF371E">
                <w10:wrap type="topAndBottom" anchorx="page"/>
              </v:rect>
            </w:pict>
          </mc:Fallback>
        </mc:AlternateContent>
      </w:r>
    </w:p>
    <w:p w14:paraId="7A2BAA0F" w14:textId="77777777" w:rsidR="006B758D" w:rsidRPr="00EA2AB9" w:rsidRDefault="0023308C">
      <w:pPr>
        <w:spacing w:before="101"/>
        <w:ind w:left="682" w:right="401"/>
        <w:jc w:val="both"/>
        <w:rPr>
          <w:sz w:val="20"/>
          <w:lang w:val="fr-FR"/>
        </w:rPr>
      </w:pPr>
      <w:bookmarkStart w:id="80" w:name="_bookmark80"/>
      <w:bookmarkEnd w:id="80"/>
      <w:proofErr w:type="gramStart"/>
      <w:r w:rsidRPr="00EA2AB9">
        <w:rPr>
          <w:sz w:val="20"/>
          <w:vertAlign w:val="superscript"/>
          <w:lang w:val="fr-FR"/>
        </w:rPr>
        <w:t>72</w:t>
      </w:r>
      <w:r w:rsidRPr="00EA2AB9">
        <w:rPr>
          <w:sz w:val="20"/>
          <w:lang w:val="fr-FR"/>
        </w:rPr>
        <w:t xml:space="preserve">  Plusieurs</w:t>
      </w:r>
      <w:proofErr w:type="gramEnd"/>
      <w:r w:rsidRPr="00EA2AB9">
        <w:rPr>
          <w:sz w:val="20"/>
          <w:lang w:val="fr-FR"/>
        </w:rPr>
        <w:t xml:space="preserve"> délégations se sont déclarées favorables au maintien d'un droit sur le produit de la récolte, tout en exprimant des préoccupations quant à son applicabilité pratique. La France, par exemple, s'est opposée aux propositions visant à supprimer ou à affaiblir cet élément de l'article 14, soulignant que la Convention devait tenir compte des évolutions technologiques futures et que certains obtenteurs, tels que ceux qui travaillent avec des plantes aromatiques ou à parfum, ne pouvaient compter que sur la protection au stade du produit de la récolte. UPOV, Compte rendu de la Conférence diplomatique de Genève de 1991, publication UPOV n° 346(E), p. 407-408.</w:t>
      </w:r>
    </w:p>
    <w:p w14:paraId="7827F5A9" w14:textId="77777777" w:rsidR="006B758D" w:rsidRPr="00EA2AB9" w:rsidRDefault="0023308C">
      <w:pPr>
        <w:ind w:left="682" w:right="401"/>
        <w:jc w:val="both"/>
        <w:rPr>
          <w:sz w:val="20"/>
          <w:lang w:val="fr-FR"/>
        </w:rPr>
      </w:pPr>
      <w:r w:rsidRPr="00EA2AB9">
        <w:rPr>
          <w:sz w:val="20"/>
          <w:lang w:val="fr-FR"/>
        </w:rPr>
        <w:t>D'autres délégations, telles que celles du Canada et des Pays-Bas, ont débattu de la nature de la disposition, à savoir si elle devait être obligatoire ou facultative. Les Pays-Bas étaient favorables à une disposition contraignante, tandis que le Canada préférait qu'il n'y ait aucune disposition. Les deux pays ont finalement reconnu que la proposition des États-Unis constituait un compromis viable. UPOV, Actes de la Conférence diplomatique de Genève de 1991, publication UPOV n° 346(E), p. 413-415.</w:t>
      </w:r>
    </w:p>
    <w:p w14:paraId="30084A1C" w14:textId="77777777" w:rsidR="006B758D" w:rsidRPr="00EA2AB9" w:rsidRDefault="0023308C">
      <w:pPr>
        <w:spacing w:before="2"/>
        <w:ind w:left="682" w:right="393"/>
        <w:jc w:val="both"/>
        <w:rPr>
          <w:sz w:val="20"/>
          <w:lang w:val="fr-FR"/>
        </w:rPr>
      </w:pPr>
      <w:bookmarkStart w:id="81" w:name="_bookmark81"/>
      <w:bookmarkEnd w:id="81"/>
      <w:proofErr w:type="gramStart"/>
      <w:r w:rsidRPr="00EA2AB9">
        <w:rPr>
          <w:sz w:val="20"/>
          <w:vertAlign w:val="superscript"/>
          <w:lang w:val="fr-FR"/>
        </w:rPr>
        <w:t>73</w:t>
      </w:r>
      <w:r w:rsidRPr="00EA2AB9">
        <w:rPr>
          <w:sz w:val="20"/>
          <w:lang w:val="fr-FR"/>
        </w:rPr>
        <w:t xml:space="preserve">  UPOV</w:t>
      </w:r>
      <w:proofErr w:type="gramEnd"/>
      <w:r w:rsidRPr="00EA2AB9">
        <w:rPr>
          <w:sz w:val="20"/>
          <w:lang w:val="fr-FR"/>
        </w:rPr>
        <w:t>, Actes de la Conférence diplomatique de Genève de 1991, publication UPOV n° 346(E), p.</w:t>
      </w:r>
      <w:r w:rsidRPr="00EA2AB9">
        <w:rPr>
          <w:spacing w:val="-4"/>
          <w:sz w:val="20"/>
          <w:lang w:val="fr-FR"/>
        </w:rPr>
        <w:t xml:space="preserve"> 414-415.</w:t>
      </w:r>
    </w:p>
    <w:p w14:paraId="7F7BE52D" w14:textId="7C37D612" w:rsidR="006B758D" w:rsidRPr="00EA2AB9" w:rsidRDefault="0023308C" w:rsidP="00C532C0">
      <w:pPr>
        <w:ind w:left="682" w:right="403"/>
        <w:jc w:val="both"/>
        <w:rPr>
          <w:sz w:val="20"/>
          <w:lang w:val="fr-FR"/>
        </w:rPr>
      </w:pPr>
      <w:bookmarkStart w:id="82" w:name="_bookmark82"/>
      <w:bookmarkEnd w:id="82"/>
      <w:proofErr w:type="gramStart"/>
      <w:r w:rsidRPr="00EA2AB9">
        <w:rPr>
          <w:sz w:val="20"/>
          <w:vertAlign w:val="superscript"/>
          <w:lang w:val="fr-FR"/>
        </w:rPr>
        <w:t>74</w:t>
      </w:r>
      <w:r w:rsidRPr="00EA2AB9">
        <w:rPr>
          <w:sz w:val="20"/>
          <w:lang w:val="fr-FR"/>
        </w:rPr>
        <w:t xml:space="preserve">  Les</w:t>
      </w:r>
      <w:proofErr w:type="gramEnd"/>
      <w:r w:rsidRPr="00EA2AB9">
        <w:rPr>
          <w:sz w:val="20"/>
          <w:lang w:val="fr-FR"/>
        </w:rPr>
        <w:t xml:space="preserve"> délégations, notamment celles de l'Allemagne, du Danemark et de l'Espagne, qui avaient initialement présenté des propositions alternatives, les ont retirées pour soutenir le projet américain. La disposition qui en a résulté a été comprise comme préservant le principe de cascade tout en introduisant une norme juridiquement applicable. Comme l'a fait remarquer M. Burr (Allemagne), cette disposition traitait des cas dans lesquels une licence avait été violée ou une multiplication non autorisée avait eu lieu malgré l'absence de contrôle de la part de l'obtenteur. Elle ne permettait l'application de la loi que lorsque toute intervention préalable était véritablement impossible. UPOV, Actes de la Conférence diplomatique de Genève de 1991, publication UPOV n° 346(E), p.</w:t>
      </w:r>
      <w:r w:rsidRPr="00EA2AB9">
        <w:rPr>
          <w:spacing w:val="-4"/>
          <w:sz w:val="20"/>
          <w:lang w:val="fr-FR"/>
        </w:rPr>
        <w:t xml:space="preserve"> 413.</w:t>
      </w:r>
    </w:p>
    <w:p w14:paraId="4F13F817" w14:textId="77777777" w:rsidR="006B758D" w:rsidRPr="00EA2AB9" w:rsidRDefault="0023308C">
      <w:pPr>
        <w:ind w:left="682"/>
        <w:jc w:val="both"/>
        <w:rPr>
          <w:sz w:val="20"/>
          <w:lang w:val="fr-FR"/>
        </w:rPr>
      </w:pPr>
      <w:bookmarkStart w:id="83" w:name="_bookmark83"/>
      <w:bookmarkEnd w:id="83"/>
      <w:proofErr w:type="gramStart"/>
      <w:r w:rsidRPr="00EA2AB9">
        <w:rPr>
          <w:sz w:val="20"/>
          <w:vertAlign w:val="superscript"/>
          <w:lang w:val="fr-FR"/>
        </w:rPr>
        <w:t>75</w:t>
      </w:r>
      <w:r w:rsidRPr="00EA2AB9">
        <w:rPr>
          <w:sz w:val="20"/>
          <w:lang w:val="fr-FR"/>
        </w:rPr>
        <w:t xml:space="preserve">  UPOV</w:t>
      </w:r>
      <w:proofErr w:type="gramEnd"/>
      <w:r w:rsidRPr="00EA2AB9">
        <w:rPr>
          <w:sz w:val="20"/>
          <w:lang w:val="fr-FR"/>
        </w:rPr>
        <w:t>, Actes de la Conférence diplomatique de Genève de 1991, publication UPOV n°</w:t>
      </w:r>
      <w:r w:rsidRPr="00EA2AB9">
        <w:rPr>
          <w:spacing w:val="-2"/>
          <w:sz w:val="20"/>
          <w:lang w:val="fr-FR"/>
        </w:rPr>
        <w:t xml:space="preserve"> 346(E)</w:t>
      </w:r>
    </w:p>
    <w:p w14:paraId="4C21773A" w14:textId="77777777" w:rsidR="006B758D" w:rsidRPr="00EA2AB9" w:rsidRDefault="0023308C">
      <w:pPr>
        <w:ind w:left="682" w:right="402"/>
        <w:jc w:val="both"/>
        <w:rPr>
          <w:sz w:val="20"/>
          <w:lang w:val="fr-FR"/>
        </w:rPr>
      </w:pPr>
      <w:r w:rsidRPr="00EA2AB9">
        <w:rPr>
          <w:sz w:val="20"/>
          <w:lang w:val="fr-FR"/>
        </w:rPr>
        <w:t>(UPOV, 1992), p. 314-320 ; p. 146. « 15. Le Groupe de travail a examiné une proposition de la délégation du Japon visant à introduire la notion de « diligence raisonnable » dans le texte du paragraphe (l) (b).</w:t>
      </w:r>
      <w:r w:rsidRPr="00EA2AB9">
        <w:rPr>
          <w:spacing w:val="-10"/>
          <w:sz w:val="20"/>
          <w:lang w:val="fr-FR"/>
        </w:rPr>
        <w:t xml:space="preserve"> </w:t>
      </w:r>
      <w:r w:rsidRPr="00EA2AB9">
        <w:rPr>
          <w:sz w:val="20"/>
          <w:lang w:val="fr-FR"/>
        </w:rPr>
        <w:t>Le groupe de travail a accepté le principe de la proposition, mais a convenu que le concept était déjà inclus dans le texte par l'utilisation du mot « raisonnable ».</w:t>
      </w:r>
    </w:p>
    <w:p w14:paraId="3AE7C2FD" w14:textId="77777777" w:rsidR="006B758D" w:rsidRPr="00EA2AB9" w:rsidRDefault="006B758D">
      <w:pPr>
        <w:jc w:val="both"/>
        <w:rPr>
          <w:sz w:val="20"/>
          <w:lang w:val="fr-FR"/>
        </w:rPr>
        <w:sectPr w:rsidR="006B758D" w:rsidRPr="00EA2AB9">
          <w:pgSz w:w="11910" w:h="16840"/>
          <w:pgMar w:top="1300" w:right="1300" w:bottom="1240" w:left="1020" w:header="0" w:footer="1049" w:gutter="0"/>
          <w:cols w:space="720"/>
        </w:sectPr>
      </w:pPr>
    </w:p>
    <w:p w14:paraId="6830325C" w14:textId="195E80D2" w:rsidR="006B758D" w:rsidRPr="00EA2AB9" w:rsidRDefault="0023308C" w:rsidP="00E7034A">
      <w:pPr>
        <w:pStyle w:val="ListParagraph"/>
        <w:numPr>
          <w:ilvl w:val="0"/>
          <w:numId w:val="7"/>
        </w:numPr>
        <w:tabs>
          <w:tab w:val="left" w:pos="1815"/>
        </w:tabs>
        <w:spacing w:line="276" w:lineRule="auto"/>
        <w:ind w:right="395" w:firstLine="707"/>
        <w:rPr>
          <w:sz w:val="24"/>
          <w:lang w:val="fr-FR"/>
        </w:rPr>
      </w:pPr>
      <w:r w:rsidRPr="00EA2AB9">
        <w:rPr>
          <w:sz w:val="24"/>
          <w:lang w:val="fr-FR"/>
        </w:rPr>
        <w:lastRenderedPageBreak/>
        <w:t xml:space="preserve">La clause relative à l'opportunité raisonnable impose un contrôle de proportionnalité à </w:t>
      </w:r>
      <w:r w:rsidR="002775B0">
        <w:rPr>
          <w:lang w:val="fr-FR"/>
        </w:rPr>
        <w:t>la défense des droits</w:t>
      </w:r>
      <w:r w:rsidRPr="00EA2AB9">
        <w:rPr>
          <w:sz w:val="24"/>
          <w:lang w:val="fr-FR"/>
        </w:rPr>
        <w:t xml:space="preserve">. Plutôt que d'ajouter un nouveau niveau d'interprétation, elle met en œuvre l'intention exprimée lors des négociations selon laquelle </w:t>
      </w:r>
      <w:r w:rsidR="002775B0">
        <w:rPr>
          <w:lang w:val="fr-FR"/>
        </w:rPr>
        <w:t>la défense des droits</w:t>
      </w:r>
      <w:r w:rsidRPr="00EA2AB9">
        <w:rPr>
          <w:sz w:val="24"/>
          <w:lang w:val="fr-FR"/>
        </w:rPr>
        <w:t xml:space="preserve"> doit intervenir le plus tôt possible et ne descendre la cascade que </w:t>
      </w:r>
      <w:proofErr w:type="gramStart"/>
      <w:r w:rsidRPr="00EA2AB9">
        <w:rPr>
          <w:sz w:val="24"/>
          <w:lang w:val="fr-FR"/>
        </w:rPr>
        <w:t>lorsque une</w:t>
      </w:r>
      <w:proofErr w:type="gramEnd"/>
      <w:r w:rsidRPr="00EA2AB9">
        <w:rPr>
          <w:sz w:val="24"/>
          <w:lang w:val="fr-FR"/>
        </w:rPr>
        <w:t xml:space="preserve"> intervention plus précoce n'est pas </w:t>
      </w:r>
      <w:r w:rsidRPr="00EA2AB9">
        <w:rPr>
          <w:spacing w:val="-2"/>
          <w:sz w:val="24"/>
          <w:lang w:val="fr-FR"/>
        </w:rPr>
        <w:t>possible</w:t>
      </w:r>
      <w:r w:rsidRPr="00EA2AB9">
        <w:rPr>
          <w:sz w:val="24"/>
          <w:lang w:val="fr-FR"/>
        </w:rPr>
        <w:t xml:space="preserve"> sur le plan juridique ou pratique</w:t>
      </w:r>
      <w:r w:rsidRPr="00EA2AB9">
        <w:rPr>
          <w:spacing w:val="-2"/>
          <w:sz w:val="24"/>
          <w:lang w:val="fr-FR"/>
        </w:rPr>
        <w:t>.</w:t>
      </w:r>
    </w:p>
    <w:p w14:paraId="1C08D415" w14:textId="77777777" w:rsidR="006B758D" w:rsidRPr="00E7034A" w:rsidRDefault="006B758D" w:rsidP="00E7034A">
      <w:pPr>
        <w:pStyle w:val="BodyText"/>
        <w:spacing w:line="276" w:lineRule="auto"/>
        <w:rPr>
          <w:sz w:val="16"/>
          <w:szCs w:val="16"/>
          <w:lang w:val="fr-FR"/>
        </w:rPr>
      </w:pPr>
    </w:p>
    <w:p w14:paraId="19BCE93F" w14:textId="42CC4D04" w:rsidR="006B758D" w:rsidRPr="00EA2AB9" w:rsidRDefault="0023308C" w:rsidP="00E7034A">
      <w:pPr>
        <w:pStyle w:val="ListParagraph"/>
        <w:numPr>
          <w:ilvl w:val="0"/>
          <w:numId w:val="7"/>
        </w:numPr>
        <w:tabs>
          <w:tab w:val="left" w:pos="1815"/>
        </w:tabs>
        <w:spacing w:line="276" w:lineRule="auto"/>
        <w:ind w:right="400" w:firstLine="707"/>
        <w:rPr>
          <w:sz w:val="24"/>
          <w:lang w:val="fr-FR"/>
        </w:rPr>
      </w:pPr>
      <w:r w:rsidRPr="009B50CC">
        <w:rPr>
          <w:sz w:val="24"/>
          <w:lang w:val="fr-FR"/>
        </w:rPr>
        <w:t xml:space="preserve">La distinction entre l'exercice et </w:t>
      </w:r>
      <w:r w:rsidR="002775B0">
        <w:rPr>
          <w:sz w:val="24"/>
          <w:lang w:val="fr-FR"/>
        </w:rPr>
        <w:t>la défense</w:t>
      </w:r>
      <w:r w:rsidR="002775B0" w:rsidRPr="009B50CC">
        <w:rPr>
          <w:sz w:val="24"/>
          <w:lang w:val="fr-FR"/>
        </w:rPr>
        <w:t xml:space="preserve"> </w:t>
      </w:r>
      <w:r w:rsidRPr="009B50CC">
        <w:rPr>
          <w:sz w:val="24"/>
          <w:lang w:val="fr-FR"/>
        </w:rPr>
        <w:t xml:space="preserve">des droits a été clarifiée au cours de la conférence. Le terme « exercice » était principalement compris comme la perception de redevances ou l'octroi de licences, tandis que le terme « </w:t>
      </w:r>
      <w:r w:rsidR="002775B0">
        <w:rPr>
          <w:lang w:val="fr-FR"/>
        </w:rPr>
        <w:t>défense des droits</w:t>
      </w:r>
      <w:r w:rsidRPr="009B50CC">
        <w:rPr>
          <w:sz w:val="24"/>
          <w:lang w:val="fr-FR"/>
        </w:rPr>
        <w:t xml:space="preserve"> » faisait référence aux recours juridiques. La clause relative à l</w:t>
      </w:r>
      <w:proofErr w:type="gramStart"/>
      <w:r w:rsidRPr="009B50CC">
        <w:rPr>
          <w:sz w:val="24"/>
          <w:lang w:val="fr-FR"/>
        </w:rPr>
        <w:t>'«</w:t>
      </w:r>
      <w:proofErr w:type="gramEnd"/>
      <w:r w:rsidRPr="009B50CC">
        <w:rPr>
          <w:sz w:val="24"/>
          <w:lang w:val="fr-FR"/>
        </w:rPr>
        <w:t xml:space="preserve"> opportunité raisonnable » concerne le premier cas, à savoir si l'obtenteur a eu la possibilité d'agir commercialement à un stade précoce</w:t>
      </w:r>
      <w:hyperlink w:anchor="_bookmark85" w:history="1">
        <w:r w:rsidRPr="009B50CC">
          <w:rPr>
            <w:sz w:val="24"/>
            <w:vertAlign w:val="superscript"/>
            <w:lang w:val="fr-FR"/>
          </w:rPr>
          <w:t>76</w:t>
        </w:r>
      </w:hyperlink>
      <w:r w:rsidRPr="009B50CC">
        <w:rPr>
          <w:sz w:val="24"/>
          <w:lang w:val="fr-FR"/>
        </w:rPr>
        <w:t>.</w:t>
      </w:r>
      <w:hyperlink w:anchor="_bookmark85" w:history="1"/>
      <w:r w:rsidRPr="00EA2AB9">
        <w:rPr>
          <w:sz w:val="24"/>
          <w:lang w:val="fr-FR"/>
        </w:rPr>
        <w:t xml:space="preserve">Aux fins de l'article 14(2), l'enquête porte sur la question de savoir si l'obtenteur avait une possibilité commerciale réaliste d'agir en amont, et non sur la question de savoir s'il était </w:t>
      </w:r>
      <w:r w:rsidRPr="00EA2AB9">
        <w:rPr>
          <w:spacing w:val="-2"/>
          <w:sz w:val="24"/>
          <w:lang w:val="fr-FR"/>
        </w:rPr>
        <w:t>possible d'</w:t>
      </w:r>
      <w:r w:rsidRPr="00EA2AB9">
        <w:rPr>
          <w:sz w:val="24"/>
          <w:lang w:val="fr-FR"/>
        </w:rPr>
        <w:t>intenter une action en justice</w:t>
      </w:r>
      <w:r w:rsidRPr="00EA2AB9">
        <w:rPr>
          <w:spacing w:val="-2"/>
          <w:sz w:val="24"/>
          <w:lang w:val="fr-FR"/>
        </w:rPr>
        <w:t>.</w:t>
      </w:r>
    </w:p>
    <w:p w14:paraId="7F4CD187" w14:textId="77777777" w:rsidR="006B758D" w:rsidRPr="00E7034A" w:rsidRDefault="006B758D" w:rsidP="00E7034A">
      <w:pPr>
        <w:pStyle w:val="BodyText"/>
        <w:spacing w:before="1" w:line="276" w:lineRule="auto"/>
        <w:rPr>
          <w:sz w:val="16"/>
          <w:szCs w:val="16"/>
          <w:lang w:val="fr-FR"/>
        </w:rPr>
      </w:pPr>
    </w:p>
    <w:p w14:paraId="410F185C" w14:textId="0849120D" w:rsidR="006B758D" w:rsidRPr="00EA2AB9" w:rsidRDefault="0023308C" w:rsidP="00E7034A">
      <w:pPr>
        <w:pStyle w:val="ListParagraph"/>
        <w:numPr>
          <w:ilvl w:val="0"/>
          <w:numId w:val="8"/>
        </w:numPr>
        <w:tabs>
          <w:tab w:val="left" w:pos="1041"/>
        </w:tabs>
        <w:spacing w:line="276" w:lineRule="auto"/>
        <w:ind w:left="1040" w:hanging="359"/>
        <w:rPr>
          <w:sz w:val="24"/>
          <w:u w:val="single"/>
          <w:lang w:val="fr-FR"/>
        </w:rPr>
      </w:pPr>
      <w:bookmarkStart w:id="84" w:name="_bookmark84"/>
      <w:bookmarkEnd w:id="84"/>
      <w:r w:rsidRPr="00EA2AB9">
        <w:rPr>
          <w:sz w:val="24"/>
          <w:u w:val="single"/>
          <w:lang w:val="fr-FR"/>
        </w:rPr>
        <w:t xml:space="preserve">Délibérations sur la perception des redevances et les limites de </w:t>
      </w:r>
      <w:r w:rsidR="002775B0" w:rsidRPr="00E7034A">
        <w:rPr>
          <w:u w:val="single"/>
          <w:lang w:val="fr-FR"/>
        </w:rPr>
        <w:t>la défense des droits</w:t>
      </w:r>
    </w:p>
    <w:p w14:paraId="0B25D864" w14:textId="77777777" w:rsidR="006B758D" w:rsidRPr="00EA2AB9" w:rsidRDefault="006B758D" w:rsidP="00E7034A">
      <w:pPr>
        <w:pStyle w:val="BodyText"/>
        <w:spacing w:before="6" w:line="276" w:lineRule="auto"/>
        <w:rPr>
          <w:sz w:val="23"/>
          <w:lang w:val="fr-FR"/>
        </w:rPr>
      </w:pPr>
    </w:p>
    <w:p w14:paraId="45EB3BE2" w14:textId="483CC874" w:rsidR="006B758D" w:rsidRPr="00EA2AB9" w:rsidRDefault="0023308C" w:rsidP="00E7034A">
      <w:pPr>
        <w:pStyle w:val="ListParagraph"/>
        <w:numPr>
          <w:ilvl w:val="0"/>
          <w:numId w:val="7"/>
        </w:numPr>
        <w:tabs>
          <w:tab w:val="left" w:pos="1815"/>
        </w:tabs>
        <w:spacing w:line="276" w:lineRule="auto"/>
        <w:ind w:right="398" w:firstLine="707"/>
        <w:rPr>
          <w:sz w:val="24"/>
          <w:lang w:val="fr-FR"/>
        </w:rPr>
      </w:pPr>
      <w:r w:rsidRPr="00EA2AB9">
        <w:rPr>
          <w:sz w:val="24"/>
          <w:lang w:val="fr-FR"/>
        </w:rPr>
        <w:t>Un débat important a émergé concernant le stade auquel les obtenteurs devraient être autorisés à percevoir des redevances</w:t>
      </w:r>
      <w:hyperlink w:anchor="_bookmark86" w:history="1">
        <w:r w:rsidRPr="00EA2AB9">
          <w:rPr>
            <w:sz w:val="24"/>
            <w:vertAlign w:val="superscript"/>
            <w:lang w:val="fr-FR"/>
          </w:rPr>
          <w:t>77</w:t>
        </w:r>
      </w:hyperlink>
      <w:r w:rsidRPr="00EA2AB9">
        <w:rPr>
          <w:sz w:val="24"/>
          <w:lang w:val="fr-FR"/>
        </w:rPr>
        <w:t xml:space="preserve"> , à savoir s'il fallait limiter cette perception au stade du matériel de reproduction ou de multiplication ou l'étendre au produit de la récolte sous certaines conditions.</w:t>
      </w:r>
      <w:r w:rsidRPr="00EA2AB9">
        <w:rPr>
          <w:spacing w:val="-15"/>
          <w:sz w:val="24"/>
          <w:lang w:val="fr-FR"/>
        </w:rPr>
        <w:t xml:space="preserve"> </w:t>
      </w:r>
      <w:r w:rsidRPr="00EA2AB9">
        <w:rPr>
          <w:sz w:val="24"/>
          <w:lang w:val="fr-FR"/>
        </w:rPr>
        <w:t xml:space="preserve">De nombreuses délégations ont convenu que les redevances devraient, en règle générale, être perçues au stade le plus précoce possible de la chaîne de production, généralement au moment du matériel de reproduction ou de multiplication. Cette position était justifiée par des préoccupations liées à la sécurité juridique, à la nécessité de pratiques commerciales stables et à la volonté d'éviter de compliquer les procédures </w:t>
      </w:r>
      <w:r w:rsidR="002775B0">
        <w:rPr>
          <w:sz w:val="24"/>
          <w:lang w:val="fr-FR"/>
        </w:rPr>
        <w:t xml:space="preserve">de </w:t>
      </w:r>
      <w:r w:rsidR="002775B0">
        <w:rPr>
          <w:lang w:val="fr-FR"/>
        </w:rPr>
        <w:t>la défense des droits</w:t>
      </w:r>
      <w:r w:rsidRPr="00EA2AB9">
        <w:rPr>
          <w:sz w:val="24"/>
          <w:lang w:val="fr-FR"/>
        </w:rPr>
        <w:t>.</w:t>
      </w:r>
    </w:p>
    <w:p w14:paraId="6C6538D9" w14:textId="77777777" w:rsidR="006B758D" w:rsidRPr="00C9210F" w:rsidRDefault="006B758D" w:rsidP="00E7034A">
      <w:pPr>
        <w:pStyle w:val="BodyText"/>
        <w:spacing w:before="1" w:line="276" w:lineRule="auto"/>
        <w:rPr>
          <w:sz w:val="16"/>
          <w:szCs w:val="16"/>
          <w:lang w:val="fr-FR"/>
        </w:rPr>
      </w:pPr>
    </w:p>
    <w:p w14:paraId="0242BE51" w14:textId="7E433B7C" w:rsidR="006B758D" w:rsidRPr="00C9210F" w:rsidRDefault="0023308C" w:rsidP="00E7034A">
      <w:pPr>
        <w:pStyle w:val="ListParagraph"/>
        <w:numPr>
          <w:ilvl w:val="0"/>
          <w:numId w:val="7"/>
        </w:numPr>
        <w:tabs>
          <w:tab w:val="left" w:pos="1815"/>
        </w:tabs>
        <w:spacing w:line="276" w:lineRule="auto"/>
        <w:ind w:right="395" w:firstLine="707"/>
        <w:rPr>
          <w:sz w:val="16"/>
          <w:szCs w:val="14"/>
          <w:lang w:val="fr-FR"/>
        </w:rPr>
      </w:pPr>
      <w:r w:rsidRPr="00EA2AB9">
        <w:rPr>
          <w:sz w:val="24"/>
          <w:lang w:val="fr-FR"/>
        </w:rPr>
        <w:t>Les délégations du Japon, de la Suède, du Canada, de l'Australie et du Danemark ont souligné que la protection du produit de la récolte devait rester exceptionnelle.</w:t>
      </w:r>
      <w:hyperlink w:anchor="_bookmark87" w:history="1">
        <w:r w:rsidRPr="00C9210F">
          <w:rPr>
            <w:sz w:val="24"/>
            <w:vertAlign w:val="superscript"/>
            <w:lang w:val="fr-FR"/>
          </w:rPr>
          <w:t>78</w:t>
        </w:r>
      </w:hyperlink>
      <w:r w:rsidRPr="00C9210F">
        <w:rPr>
          <w:sz w:val="24"/>
          <w:lang w:val="fr-FR"/>
        </w:rPr>
        <w:t xml:space="preserve">  Selon elles,</w:t>
      </w:r>
      <w:r w:rsidR="00C9210F" w:rsidRPr="00C9210F">
        <w:rPr>
          <w:sz w:val="24"/>
          <w:lang w:val="fr-FR"/>
        </w:rPr>
        <w:t xml:space="preserve"> le </w:t>
      </w:r>
      <w:proofErr w:type="spellStart"/>
      <w:r w:rsidR="00C9210F" w:rsidRPr="00C9210F">
        <w:rPr>
          <w:sz w:val="24"/>
          <w:lang w:val="fr-FR"/>
        </w:rPr>
        <w:t>selectionneur</w:t>
      </w:r>
      <w:proofErr w:type="spellEnd"/>
      <w:r w:rsidR="00C9210F" w:rsidRPr="00C9210F">
        <w:rPr>
          <w:sz w:val="24"/>
          <w:lang w:val="fr-FR"/>
        </w:rPr>
        <w:t xml:space="preserve"> ne devrait pas être autorisé</w:t>
      </w:r>
      <w:r w:rsidR="00C9210F">
        <w:rPr>
          <w:sz w:val="24"/>
          <w:lang w:val="fr-FR"/>
        </w:rPr>
        <w:t xml:space="preserve"> à choisir librement </w:t>
      </w:r>
      <w:r w:rsidR="00C9210F" w:rsidRPr="00EA2AB9">
        <w:rPr>
          <w:lang w:val="fr-FR"/>
        </w:rPr>
        <w:t>le moment où il f</w:t>
      </w:r>
      <w:r w:rsidR="00C9210F">
        <w:rPr>
          <w:lang w:val="fr-FR"/>
        </w:rPr>
        <w:t>ait</w:t>
      </w:r>
      <w:r w:rsidR="00C9210F" w:rsidRPr="00EA2AB9">
        <w:rPr>
          <w:lang w:val="fr-FR"/>
        </w:rPr>
        <w:t xml:space="preserve"> valoir </w:t>
      </w:r>
      <w:r w:rsidR="00C9210F">
        <w:rPr>
          <w:lang w:val="fr-FR"/>
        </w:rPr>
        <w:t>ses</w:t>
      </w:r>
      <w:r w:rsidR="00C9210F" w:rsidRPr="00EA2AB9">
        <w:rPr>
          <w:lang w:val="fr-FR"/>
        </w:rPr>
        <w:t xml:space="preserve"> droits.</w:t>
      </w:r>
      <w:r w:rsidR="00C9210F">
        <w:rPr>
          <w:lang w:val="fr-FR"/>
        </w:rPr>
        <w:t xml:space="preserve"> Elles</w:t>
      </w:r>
      <w:r w:rsidR="00C9210F" w:rsidRPr="00EA2AB9">
        <w:rPr>
          <w:lang w:val="fr-FR"/>
        </w:rPr>
        <w:t xml:space="preserve"> craignaient que cette flexibilité n'entraîne une imprévisibilité commerciale</w:t>
      </w:r>
    </w:p>
    <w:p w14:paraId="558BE90A" w14:textId="4D3A88AB" w:rsidR="006B758D" w:rsidRPr="00C9210F" w:rsidRDefault="005C7D52">
      <w:pPr>
        <w:pStyle w:val="BodyText"/>
        <w:spacing w:before="10"/>
        <w:rPr>
          <w:sz w:val="20"/>
          <w:szCs w:val="16"/>
          <w:lang w:val="fr-FR"/>
        </w:rPr>
      </w:pPr>
      <w:r w:rsidRPr="00C9210F">
        <w:rPr>
          <w:noProof/>
          <w:sz w:val="16"/>
          <w:szCs w:val="16"/>
        </w:rPr>
        <mc:AlternateContent>
          <mc:Choice Requires="wps">
            <w:drawing>
              <wp:anchor distT="0" distB="0" distL="0" distR="0" simplePos="0" relativeHeight="487599104" behindDoc="1" locked="0" layoutInCell="1" allowOverlap="1" wp14:anchorId="772F3624" wp14:editId="0ADD0443">
                <wp:simplePos x="0" y="0"/>
                <wp:positionH relativeFrom="page">
                  <wp:posOffset>1080770</wp:posOffset>
                </wp:positionH>
                <wp:positionV relativeFrom="paragraph">
                  <wp:posOffset>233680</wp:posOffset>
                </wp:positionV>
                <wp:extent cx="1828800" cy="7620"/>
                <wp:effectExtent l="0" t="0" r="0" b="0"/>
                <wp:wrapTopAndBottom/>
                <wp:docPr id="141613916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6" style="position:absolute;margin-left:85.1pt;margin-top:18.4pt;width:2in;height:.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" w14:anchorId="69016576">
                <w10:wrap type="topAndBottom" anchorx="page"/>
              </v:rect>
            </w:pict>
          </mc:Fallback>
        </mc:AlternateContent>
      </w:r>
    </w:p>
    <w:p w14:paraId="737806A3" w14:textId="77777777" w:rsidR="006B758D" w:rsidRPr="00EA2AB9" w:rsidRDefault="0023308C" w:rsidP="00E7034A">
      <w:pPr>
        <w:ind w:left="682"/>
        <w:rPr>
          <w:sz w:val="20"/>
          <w:lang w:val="fr-FR"/>
        </w:rPr>
      </w:pPr>
      <w:bookmarkStart w:id="85" w:name="_bookmark85"/>
      <w:bookmarkEnd w:id="85"/>
      <w:proofErr w:type="gramStart"/>
      <w:r w:rsidRPr="00EA2AB9">
        <w:rPr>
          <w:sz w:val="20"/>
          <w:vertAlign w:val="superscript"/>
          <w:lang w:val="fr-FR"/>
        </w:rPr>
        <w:t>76</w:t>
      </w:r>
      <w:r w:rsidRPr="00EA2AB9">
        <w:rPr>
          <w:sz w:val="20"/>
          <w:lang w:val="fr-FR"/>
        </w:rPr>
        <w:t xml:space="preserve">  Conclusion</w:t>
      </w:r>
      <w:proofErr w:type="gramEnd"/>
      <w:r w:rsidRPr="00EA2AB9">
        <w:rPr>
          <w:sz w:val="20"/>
          <w:lang w:val="fr-FR"/>
        </w:rPr>
        <w:t xml:space="preserve"> tirée des discussions entre les paragraphes 1527 et 1615. UPOV, Actes de la Conférence diplomatique de Genève de 1991, publication UPOV n° 346(E), (UPOV, 1992), p. 403-416.</w:t>
      </w:r>
    </w:p>
    <w:p w14:paraId="5EA3A289" w14:textId="77777777" w:rsidR="006B758D" w:rsidRPr="00EA2AB9" w:rsidRDefault="0023308C" w:rsidP="00E7034A">
      <w:pPr>
        <w:ind w:left="682" w:right="516"/>
        <w:rPr>
          <w:sz w:val="20"/>
          <w:lang w:val="fr-FR"/>
        </w:rPr>
      </w:pPr>
      <w:bookmarkStart w:id="86" w:name="_bookmark86"/>
      <w:bookmarkEnd w:id="86"/>
      <w:proofErr w:type="gramStart"/>
      <w:r w:rsidRPr="00EA2AB9">
        <w:rPr>
          <w:sz w:val="20"/>
          <w:vertAlign w:val="superscript"/>
          <w:lang w:val="fr-FR"/>
        </w:rPr>
        <w:t>77</w:t>
      </w:r>
      <w:r w:rsidRPr="00EA2AB9">
        <w:rPr>
          <w:sz w:val="20"/>
          <w:lang w:val="fr-FR"/>
        </w:rPr>
        <w:t xml:space="preserve">  UPOV</w:t>
      </w:r>
      <w:proofErr w:type="gramEnd"/>
      <w:r w:rsidRPr="00EA2AB9">
        <w:rPr>
          <w:sz w:val="20"/>
          <w:lang w:val="fr-FR"/>
        </w:rPr>
        <w:t>, Actes de la Conférence diplomatique de Genève de 1991, publication UPOV n° 346(E) (UPOV, 1992), p. 304 ; p. 315-317.</w:t>
      </w:r>
    </w:p>
    <w:p w14:paraId="072B2029" w14:textId="77777777" w:rsidR="00C9210F" w:rsidRPr="00EA2AB9" w:rsidRDefault="0023308C" w:rsidP="00C9210F">
      <w:pPr>
        <w:spacing w:before="101"/>
        <w:ind w:left="682" w:right="399"/>
        <w:jc w:val="both"/>
        <w:rPr>
          <w:sz w:val="20"/>
          <w:lang w:val="fr-FR"/>
        </w:rPr>
      </w:pPr>
      <w:bookmarkStart w:id="87" w:name="_bookmark87"/>
      <w:bookmarkEnd w:id="87"/>
      <w:proofErr w:type="gramStart"/>
      <w:r w:rsidRPr="00EA2AB9">
        <w:rPr>
          <w:sz w:val="20"/>
          <w:vertAlign w:val="superscript"/>
          <w:lang w:val="fr-FR"/>
        </w:rPr>
        <w:t>78</w:t>
      </w:r>
      <w:r w:rsidRPr="00EA2AB9">
        <w:rPr>
          <w:sz w:val="20"/>
          <w:lang w:val="fr-FR"/>
        </w:rPr>
        <w:t xml:space="preserve">  M.</w:t>
      </w:r>
      <w:proofErr w:type="gramEnd"/>
      <w:r w:rsidRPr="00EA2AB9">
        <w:rPr>
          <w:sz w:val="20"/>
          <w:lang w:val="fr-FR"/>
        </w:rPr>
        <w:t xml:space="preserve"> Espenhain (Danemark) a rappelé que sa délégation avait toujours soutenu le renforcement du droit d'obtenteur, </w:t>
      </w:r>
      <w:r w:rsidRPr="00EA2AB9">
        <w:rPr>
          <w:i/>
          <w:sz w:val="20"/>
          <w:lang w:val="fr-FR"/>
        </w:rPr>
        <w:t xml:space="preserve">mais que les redevances devaient être perçues au stade le plus précoce possible </w:t>
      </w:r>
      <w:r w:rsidRPr="00EA2AB9">
        <w:rPr>
          <w:sz w:val="20"/>
          <w:lang w:val="fr-FR"/>
        </w:rPr>
        <w:t xml:space="preserve">(par. 926). Cela correspondait également à une recommandation adoptée lors de la Conférence diplomatique de 1978. M. Oster (Suède) a déclaré que </w:t>
      </w:r>
      <w:r w:rsidRPr="00EA2AB9">
        <w:rPr>
          <w:i/>
          <w:sz w:val="20"/>
          <w:lang w:val="fr-FR"/>
        </w:rPr>
        <w:t>l'obtenteur ne devrait pas avoir la possibilité de choisir le stade auquel il percevrait ses redevances</w:t>
      </w:r>
      <w:r w:rsidRPr="00EA2AB9">
        <w:rPr>
          <w:sz w:val="20"/>
          <w:lang w:val="fr-FR"/>
        </w:rPr>
        <w:t xml:space="preserve">. Le droit devrait se concentrer sur le matériel de reproduction ou de multiplication (paragraphe 922). M. </w:t>
      </w:r>
      <w:proofErr w:type="spellStart"/>
      <w:r w:rsidRPr="00EA2AB9">
        <w:rPr>
          <w:sz w:val="20"/>
          <w:lang w:val="fr-FR"/>
        </w:rPr>
        <w:t>Bradnock</w:t>
      </w:r>
      <w:proofErr w:type="spellEnd"/>
      <w:r w:rsidRPr="00EA2AB9">
        <w:rPr>
          <w:sz w:val="20"/>
          <w:lang w:val="fr-FR"/>
        </w:rPr>
        <w:t xml:space="preserve"> (Canada) a appuyé les propositions suédoise et espagnole, soulignant que les redevances devraient normalement être perçues au stade du matériel de reproduction ou de multiplication, </w:t>
      </w:r>
      <w:r w:rsidRPr="00EA2AB9">
        <w:rPr>
          <w:spacing w:val="-5"/>
          <w:sz w:val="20"/>
          <w:lang w:val="fr-FR"/>
        </w:rPr>
        <w:t>et</w:t>
      </w:r>
      <w:r w:rsidR="00C9210F">
        <w:rPr>
          <w:spacing w:val="-5"/>
          <w:sz w:val="20"/>
          <w:lang w:val="fr-FR"/>
        </w:rPr>
        <w:t xml:space="preserve"> </w:t>
      </w:r>
      <w:r w:rsidR="00C9210F" w:rsidRPr="00EA2AB9">
        <w:rPr>
          <w:sz w:val="20"/>
          <w:lang w:val="fr-FR"/>
        </w:rPr>
        <w:t>uniquement à titre exceptionnel sur le produit de la récolte (paragraphe 924). UPOV, Compte rendu de la Conférence diplomatique de Genève de 1991, publication UPOV n° 346(E)</w:t>
      </w:r>
    </w:p>
    <w:p w14:paraId="469F3D68" w14:textId="6BCEB46C" w:rsidR="006B758D" w:rsidRPr="00EA2AB9" w:rsidRDefault="00C9210F" w:rsidP="00C9210F">
      <w:pPr>
        <w:spacing w:before="1"/>
        <w:ind w:left="682"/>
        <w:jc w:val="both"/>
        <w:rPr>
          <w:sz w:val="20"/>
          <w:lang w:val="fr-FR"/>
        </w:rPr>
      </w:pPr>
      <w:r w:rsidRPr="00EA2AB9">
        <w:rPr>
          <w:sz w:val="20"/>
          <w:lang w:val="fr-FR"/>
        </w:rPr>
        <w:t>(UPOV, 1992), p.</w:t>
      </w:r>
      <w:r w:rsidRPr="00EA2AB9">
        <w:rPr>
          <w:spacing w:val="-4"/>
          <w:sz w:val="20"/>
          <w:lang w:val="fr-FR"/>
        </w:rPr>
        <w:t xml:space="preserve"> 315-316.</w:t>
      </w:r>
    </w:p>
    <w:p w14:paraId="66039E3D" w14:textId="77777777" w:rsidR="006B758D" w:rsidRPr="00EA2AB9" w:rsidRDefault="006B758D">
      <w:pPr>
        <w:jc w:val="both"/>
        <w:rPr>
          <w:sz w:val="20"/>
          <w:lang w:val="fr-FR"/>
        </w:rPr>
        <w:sectPr w:rsidR="006B758D" w:rsidRPr="00EA2AB9">
          <w:pgSz w:w="11910" w:h="16840"/>
          <w:pgMar w:top="1740" w:right="1300" w:bottom="1240" w:left="1020" w:header="0" w:footer="1049" w:gutter="0"/>
          <w:cols w:space="720"/>
        </w:sectPr>
      </w:pPr>
    </w:p>
    <w:p w14:paraId="33DA73BC" w14:textId="39E01C76" w:rsidR="006B758D" w:rsidRPr="00EA2AB9" w:rsidRDefault="0023308C" w:rsidP="007213F0">
      <w:pPr>
        <w:pStyle w:val="BodyText"/>
        <w:spacing w:line="360" w:lineRule="auto"/>
        <w:ind w:left="682" w:right="395"/>
        <w:jc w:val="both"/>
        <w:rPr>
          <w:lang w:val="fr-FR"/>
        </w:rPr>
      </w:pPr>
      <w:proofErr w:type="gramStart"/>
      <w:r w:rsidRPr="00EA2AB9">
        <w:rPr>
          <w:lang w:val="fr-FR"/>
        </w:rPr>
        <w:lastRenderedPageBreak/>
        <w:t>et</w:t>
      </w:r>
      <w:proofErr w:type="gramEnd"/>
      <w:r w:rsidRPr="00EA2AB9">
        <w:rPr>
          <w:lang w:val="fr-FR"/>
        </w:rPr>
        <w:t xml:space="preserve"> ne complique les relations entre les sélectionneurs et les utilisateurs. </w:t>
      </w:r>
      <w:r w:rsidR="00C9210F">
        <w:rPr>
          <w:lang w:val="fr-FR"/>
        </w:rPr>
        <w:t>Elles</w:t>
      </w:r>
      <w:r w:rsidRPr="00EA2AB9">
        <w:rPr>
          <w:lang w:val="fr-FR"/>
        </w:rPr>
        <w:t xml:space="preserve"> ont plutôt préconisé un modèle dans lequel les sélectionneurs exercent leurs droits dès que cela est légalement et pratiquement possible et ne se prévalent des droits sur le produit de la récolte que lorsque </w:t>
      </w:r>
      <w:r w:rsidR="002775B0">
        <w:rPr>
          <w:lang w:val="fr-FR"/>
        </w:rPr>
        <w:t>la défense des droits</w:t>
      </w:r>
      <w:r w:rsidR="002775B0" w:rsidRPr="00EA2AB9">
        <w:rPr>
          <w:lang w:val="fr-FR"/>
        </w:rPr>
        <w:t xml:space="preserve"> </w:t>
      </w:r>
      <w:r w:rsidRPr="00EA2AB9">
        <w:rPr>
          <w:lang w:val="fr-FR"/>
        </w:rPr>
        <w:t>en amont n'est pas possible.</w:t>
      </w:r>
      <w:r w:rsidRPr="00EA2AB9">
        <w:rPr>
          <w:spacing w:val="-11"/>
          <w:lang w:val="fr-FR"/>
        </w:rPr>
        <w:t xml:space="preserve"> </w:t>
      </w:r>
      <w:r w:rsidRPr="00EA2AB9">
        <w:rPr>
          <w:lang w:val="fr-FR"/>
        </w:rPr>
        <w:t>Dans le même temps, d'autres délégations, notamment la France</w:t>
      </w:r>
      <w:hyperlink w:anchor="_bookmark88" w:history="1">
        <w:r w:rsidRPr="00EA2AB9">
          <w:rPr>
            <w:vertAlign w:val="superscript"/>
            <w:lang w:val="fr-FR"/>
          </w:rPr>
          <w:t>79</w:t>
        </w:r>
      </w:hyperlink>
      <w:r w:rsidRPr="00EA2AB9">
        <w:rPr>
          <w:lang w:val="fr-FR"/>
        </w:rPr>
        <w:t xml:space="preserve"> , l'Allemagne</w:t>
      </w:r>
      <w:hyperlink w:anchor="_bookmark89" w:history="1">
        <w:r w:rsidRPr="00EA2AB9">
          <w:rPr>
            <w:vertAlign w:val="superscript"/>
            <w:lang w:val="fr-FR"/>
          </w:rPr>
          <w:t>80</w:t>
        </w:r>
      </w:hyperlink>
      <w:r w:rsidRPr="00EA2AB9">
        <w:rPr>
          <w:lang w:val="fr-FR"/>
        </w:rPr>
        <w:t xml:space="preserve"> et les Pays-Bas, ont exprimé leurs préoccupations quant à la charge juridique et probatoire qui pourrait découler d'un modèle en cascade strict.</w:t>
      </w:r>
    </w:p>
    <w:p w14:paraId="5E96CA83" w14:textId="77777777" w:rsidR="006B758D" w:rsidRPr="00C9210F" w:rsidRDefault="006B758D">
      <w:pPr>
        <w:pStyle w:val="BodyText"/>
        <w:spacing w:before="1"/>
        <w:rPr>
          <w:sz w:val="18"/>
          <w:szCs w:val="18"/>
          <w:lang w:val="fr-FR"/>
        </w:rPr>
      </w:pPr>
    </w:p>
    <w:p w14:paraId="59E3EDE9" w14:textId="21A9A131" w:rsidR="006B758D" w:rsidRPr="00EA2AB9" w:rsidRDefault="0023308C">
      <w:pPr>
        <w:pStyle w:val="ListParagraph"/>
        <w:numPr>
          <w:ilvl w:val="0"/>
          <w:numId w:val="7"/>
        </w:numPr>
        <w:tabs>
          <w:tab w:val="left" w:pos="1815"/>
        </w:tabs>
        <w:spacing w:line="360" w:lineRule="auto"/>
        <w:ind w:right="397" w:firstLine="707"/>
        <w:rPr>
          <w:sz w:val="24"/>
          <w:lang w:val="fr-FR"/>
        </w:rPr>
      </w:pPr>
      <w:r w:rsidRPr="00EA2AB9">
        <w:rPr>
          <w:sz w:val="24"/>
          <w:lang w:val="fr-FR"/>
        </w:rPr>
        <w:t>Contrairement à la plupart des délégations nationales, CIOPORA et la Chambre de commerce internationale (CCI) se sont prononcées en faveur d'une plus grande flexibilité pour les obtenteurs quant au moment où ils percevraient les redevances</w:t>
      </w:r>
      <w:hyperlink w:anchor="_bookmark90" w:history="1">
        <w:r w:rsidRPr="00EA2AB9">
          <w:rPr>
            <w:sz w:val="24"/>
            <w:vertAlign w:val="superscript"/>
            <w:lang w:val="fr-FR"/>
          </w:rPr>
          <w:t>81</w:t>
        </w:r>
      </w:hyperlink>
      <w:r w:rsidRPr="00EA2AB9">
        <w:rPr>
          <w:sz w:val="24"/>
          <w:lang w:val="fr-FR"/>
        </w:rPr>
        <w:t xml:space="preserve">. Elles ont fait valoir que la question ne devait pas être de savoir si </w:t>
      </w:r>
      <w:r w:rsidR="002775B0">
        <w:rPr>
          <w:lang w:val="fr-FR"/>
        </w:rPr>
        <w:t>la défense des droits</w:t>
      </w:r>
      <w:r w:rsidRPr="00EA2AB9">
        <w:rPr>
          <w:sz w:val="24"/>
          <w:lang w:val="fr-FR"/>
        </w:rPr>
        <w:t xml:space="preserve"> avait lieu au stade de la multiplication ou de la récolte, mais si l'obtenteur pouvait contrôler efficacement l'utilisation de la variété. De leur point de vue, les redevances devaient être perçues là où </w:t>
      </w:r>
      <w:r w:rsidR="002775B0">
        <w:rPr>
          <w:lang w:val="fr-FR"/>
        </w:rPr>
        <w:t>la défense des droits</w:t>
      </w:r>
      <w:r w:rsidRPr="00EA2AB9">
        <w:rPr>
          <w:sz w:val="24"/>
          <w:lang w:val="fr-FR"/>
        </w:rPr>
        <w:t xml:space="preserve"> était la plus efficace, que ce soit en amont ou en aval. Ils ont cité l'exemple de la France : selon la culture, les redevances pouvaient être perçues à différents stades sans difficulté.</w:t>
      </w:r>
    </w:p>
    <w:p w14:paraId="182AFA2F" w14:textId="77777777" w:rsidR="006B758D" w:rsidRPr="00C9210F" w:rsidRDefault="006B758D">
      <w:pPr>
        <w:pStyle w:val="BodyText"/>
        <w:spacing w:before="2"/>
        <w:rPr>
          <w:sz w:val="16"/>
          <w:szCs w:val="16"/>
          <w:lang w:val="fr-FR"/>
        </w:rPr>
      </w:pPr>
    </w:p>
    <w:p w14:paraId="43CC9E30" w14:textId="776366B0" w:rsidR="006B758D" w:rsidRPr="00EA2AB9" w:rsidRDefault="0023308C">
      <w:pPr>
        <w:pStyle w:val="ListParagraph"/>
        <w:numPr>
          <w:ilvl w:val="0"/>
          <w:numId w:val="7"/>
        </w:numPr>
        <w:tabs>
          <w:tab w:val="left" w:pos="1815"/>
        </w:tabs>
        <w:spacing w:line="360" w:lineRule="auto"/>
        <w:ind w:right="401" w:firstLine="707"/>
        <w:rPr>
          <w:sz w:val="24"/>
          <w:lang w:val="fr-FR"/>
        </w:rPr>
      </w:pPr>
      <w:r w:rsidRPr="00EA2AB9">
        <w:rPr>
          <w:sz w:val="24"/>
          <w:lang w:val="fr-FR"/>
        </w:rPr>
        <w:t xml:space="preserve">La divergence entre ces positions a révélé un désaccord plus profond entre ceux qui privilégiaient la sécurité juridique et la clarté procédurale et ceux qui privilégiaient une approche plus pragmatique axée sur l'applicabilité et l'autonomie des obtenteurs. En fin de compte, si la Conférence a convenu de renforcer les droits des obtenteurs, elle a également cherché à empêcher les obtenteurs de modifier de manière arbitraire ou stratégique les points de perception des redevances. La proposition visant à </w:t>
      </w:r>
      <w:r w:rsidRPr="00EA2AB9">
        <w:rPr>
          <w:spacing w:val="-2"/>
          <w:sz w:val="24"/>
          <w:lang w:val="fr-FR"/>
        </w:rPr>
        <w:t xml:space="preserve">rendre facultatif l'article </w:t>
      </w:r>
      <w:r w:rsidR="0080353C" w:rsidRPr="00EA2AB9">
        <w:rPr>
          <w:sz w:val="24"/>
          <w:lang w:val="fr-FR"/>
        </w:rPr>
        <w:t>14</w:t>
      </w:r>
      <w:r w:rsidR="0080353C">
        <w:rPr>
          <w:sz w:val="24"/>
          <w:lang w:val="fr-FR"/>
        </w:rPr>
        <w:t xml:space="preserve"> (</w:t>
      </w:r>
      <w:r w:rsidR="0080353C" w:rsidRPr="00EA2AB9">
        <w:rPr>
          <w:sz w:val="24"/>
          <w:lang w:val="fr-FR"/>
        </w:rPr>
        <w:t>1)</w:t>
      </w:r>
      <w:r w:rsidR="0080353C">
        <w:rPr>
          <w:sz w:val="24"/>
          <w:lang w:val="fr-FR"/>
        </w:rPr>
        <w:t>(</w:t>
      </w:r>
      <w:r w:rsidR="0080353C" w:rsidRPr="00EA2AB9">
        <w:rPr>
          <w:spacing w:val="-4"/>
          <w:sz w:val="24"/>
          <w:lang w:val="fr-FR"/>
        </w:rPr>
        <w:t>b)</w:t>
      </w:r>
      <w:r w:rsidRPr="00EA2AB9">
        <w:rPr>
          <w:spacing w:val="-2"/>
          <w:sz w:val="24"/>
          <w:lang w:val="fr-FR"/>
        </w:rPr>
        <w:t>, qui aurait donné une plus grande flexibilité aux obtenteurs,</w:t>
      </w:r>
    </w:p>
    <w:p w14:paraId="1BDD6B5C" w14:textId="02F0E0E9" w:rsidR="006B758D" w:rsidRPr="00EA2AB9" w:rsidRDefault="005C7D52">
      <w:pPr>
        <w:pStyle w:val="BodyText"/>
        <w:spacing w:before="10"/>
        <w:rPr>
          <w:sz w:val="17"/>
          <w:lang w:val="fr-FR"/>
        </w:rPr>
      </w:pPr>
      <w:r>
        <w:rPr>
          <w:noProof/>
        </w:rPr>
        <mc:AlternateContent>
          <mc:Choice Requires="wps">
            <w:drawing>
              <wp:anchor distT="0" distB="0" distL="0" distR="0" simplePos="0" relativeHeight="487599616" behindDoc="1" locked="0" layoutInCell="1" allowOverlap="1" wp14:anchorId="693D0946" wp14:editId="5BF92B98">
                <wp:simplePos x="0" y="0"/>
                <wp:positionH relativeFrom="page">
                  <wp:posOffset>1080770</wp:posOffset>
                </wp:positionH>
                <wp:positionV relativeFrom="paragraph">
                  <wp:posOffset>146050</wp:posOffset>
                </wp:positionV>
                <wp:extent cx="1828800" cy="7620"/>
                <wp:effectExtent l="0" t="0" r="0" b="0"/>
                <wp:wrapTopAndBottom/>
                <wp:docPr id="2109775860"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7" style="position:absolute;margin-left:85.1pt;margin-top:11.5pt;width:2in;height:.6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" w14:anchorId="111D969B">
                <w10:wrap type="topAndBottom" anchorx="page"/>
              </v:rect>
            </w:pict>
          </mc:Fallback>
        </mc:AlternateContent>
      </w:r>
    </w:p>
    <w:p w14:paraId="0EF829F9" w14:textId="77777777" w:rsidR="006B758D" w:rsidRPr="00EA2AB9" w:rsidRDefault="0023308C">
      <w:pPr>
        <w:ind w:left="682" w:right="404"/>
        <w:jc w:val="both"/>
        <w:rPr>
          <w:sz w:val="20"/>
          <w:lang w:val="fr-FR"/>
        </w:rPr>
      </w:pPr>
      <w:bookmarkStart w:id="88" w:name="_bookmark88"/>
      <w:bookmarkEnd w:id="88"/>
      <w:r w:rsidRPr="00EA2AB9">
        <w:rPr>
          <w:sz w:val="20"/>
          <w:vertAlign w:val="superscript"/>
          <w:lang w:val="fr-FR"/>
        </w:rPr>
        <w:t>79</w:t>
      </w:r>
      <w:r w:rsidRPr="00EA2AB9">
        <w:rPr>
          <w:sz w:val="20"/>
          <w:lang w:val="fr-FR"/>
        </w:rPr>
        <w:t>La France a fait remarquer que le fait d'exiger des obtenteurs qu'ils prouvent qu'ils n'auraient pas pu agir plus tôt pourrait créer une confusion avec le concept d'épuisement du droit d'obtenteur. Une telle exigence, a-t-on fait valoir, obligerait les obtenteurs à fournir une « preuve négative », c'est-à-dire à démontrer qu'ils n'avaient pas eu la possibilité d'agir au stade de la multiplication. UPOV, Actes de la Conférence diplomatique de Genève de 1991, publication UPOV n° 346(E) (UPOV, 1992), p.</w:t>
      </w:r>
      <w:r w:rsidRPr="00EA2AB9">
        <w:rPr>
          <w:spacing w:val="-4"/>
          <w:sz w:val="20"/>
          <w:lang w:val="fr-FR"/>
        </w:rPr>
        <w:t xml:space="preserve"> 315.</w:t>
      </w:r>
    </w:p>
    <w:p w14:paraId="616EE483" w14:textId="77777777" w:rsidR="006B758D" w:rsidRPr="00EA2AB9" w:rsidRDefault="0023308C">
      <w:pPr>
        <w:spacing w:before="1"/>
        <w:ind w:left="682" w:right="402"/>
        <w:jc w:val="both"/>
        <w:rPr>
          <w:sz w:val="20"/>
          <w:lang w:val="fr-FR"/>
        </w:rPr>
      </w:pPr>
      <w:bookmarkStart w:id="89" w:name="_bookmark89"/>
      <w:bookmarkEnd w:id="89"/>
      <w:r w:rsidRPr="00EA2AB9">
        <w:rPr>
          <w:sz w:val="20"/>
          <w:vertAlign w:val="superscript"/>
          <w:lang w:val="fr-FR"/>
        </w:rPr>
        <w:t>80</w:t>
      </w:r>
      <w:r w:rsidRPr="00EA2AB9">
        <w:rPr>
          <w:sz w:val="20"/>
          <w:lang w:val="fr-FR"/>
        </w:rPr>
        <w:t>L'Allemagne s'est déclarée favorable à une clarification du principe d'épuisement, mais a privilégié une approche plus simple, telle que celle proposée par les États-Unis. De même, l'AIPPI a averti que la difficulté d'identifier l'origine du produit de la récolte et de retracer les infractions pourrait rendre l'application pratiquement impossible si la charge de la preuve incombait entièrement à l'obtenteur. UPOV, Compte rendu de la Conférence diplomatique de Genève de 1991, publication UPOV n° 346(E) (UPOV, 1992), p. 315.</w:t>
      </w:r>
    </w:p>
    <w:p w14:paraId="76415220" w14:textId="77777777" w:rsidR="006B758D" w:rsidRPr="00EA2AB9" w:rsidRDefault="0023308C">
      <w:pPr>
        <w:ind w:left="682" w:right="398"/>
        <w:jc w:val="both"/>
        <w:rPr>
          <w:sz w:val="20"/>
          <w:lang w:val="fr-FR"/>
        </w:rPr>
      </w:pPr>
      <w:bookmarkStart w:id="90" w:name="_bookmark90"/>
      <w:bookmarkEnd w:id="90"/>
      <w:proofErr w:type="gramStart"/>
      <w:r w:rsidRPr="00EA2AB9">
        <w:rPr>
          <w:sz w:val="20"/>
          <w:vertAlign w:val="superscript"/>
          <w:lang w:val="fr-FR"/>
        </w:rPr>
        <w:t>81</w:t>
      </w:r>
      <w:r w:rsidRPr="00EA2AB9">
        <w:rPr>
          <w:sz w:val="20"/>
          <w:lang w:val="fr-FR"/>
        </w:rPr>
        <w:t xml:space="preserve">  «</w:t>
      </w:r>
      <w:proofErr w:type="gramEnd"/>
      <w:r w:rsidRPr="00EA2AB9">
        <w:rPr>
          <w:sz w:val="20"/>
          <w:lang w:val="fr-FR"/>
        </w:rPr>
        <w:t xml:space="preserve"> 931. </w:t>
      </w:r>
      <w:r w:rsidRPr="00EA2AB9">
        <w:rPr>
          <w:i/>
          <w:sz w:val="20"/>
          <w:lang w:val="fr-FR"/>
        </w:rPr>
        <w:t>M. ROYON (CIOPORA) a déclaré que la CIOPORA était favorable au renforcement du droit d'obtenteur en raison des nombreuses lacunes qui existaient actuellement dans de nombreux États membres de l'UPOV</w:t>
      </w:r>
      <w:r w:rsidRPr="00EA2AB9">
        <w:rPr>
          <w:sz w:val="20"/>
          <w:lang w:val="fr-FR"/>
        </w:rPr>
        <w:t>. » […] «</w:t>
      </w:r>
      <w:r w:rsidRPr="00EA2AB9">
        <w:rPr>
          <w:i/>
          <w:sz w:val="20"/>
          <w:lang w:val="fr-FR"/>
        </w:rPr>
        <w:t xml:space="preserve"> 932. M. SMOLDERS (ICC) a déclaré que sa délégation soutenait les déclarations faites par la délégation de la France et le représentant de la CIOPORA</w:t>
      </w:r>
      <w:r w:rsidRPr="00EA2AB9">
        <w:rPr>
          <w:sz w:val="20"/>
          <w:lang w:val="fr-FR"/>
        </w:rPr>
        <w:t>. », dans UPOV, Compte rendu de la Conférence diplomatique de Genève de 1991, publication UPOV n° 346(E) (UPOV, 1992), p. 317.</w:t>
      </w:r>
    </w:p>
    <w:p w14:paraId="42F87BFA" w14:textId="77777777" w:rsidR="006B758D" w:rsidRPr="00EA2AB9" w:rsidRDefault="006B758D">
      <w:pPr>
        <w:jc w:val="both"/>
        <w:rPr>
          <w:sz w:val="20"/>
          <w:lang w:val="fr-FR"/>
        </w:rPr>
        <w:sectPr w:rsidR="006B758D" w:rsidRPr="00EA2AB9">
          <w:pgSz w:w="11910" w:h="16840"/>
          <w:pgMar w:top="1320" w:right="1300" w:bottom="1240" w:left="1020" w:header="0" w:footer="1049" w:gutter="0"/>
          <w:cols w:space="720"/>
        </w:sectPr>
      </w:pPr>
    </w:p>
    <w:p w14:paraId="51B90474" w14:textId="40E4625D" w:rsidR="006B758D" w:rsidRPr="00EA2AB9" w:rsidRDefault="0023308C">
      <w:pPr>
        <w:pStyle w:val="BodyText"/>
        <w:spacing w:before="76" w:line="360" w:lineRule="auto"/>
        <w:ind w:left="682" w:right="402"/>
        <w:jc w:val="both"/>
        <w:rPr>
          <w:lang w:val="fr-FR"/>
        </w:rPr>
      </w:pPr>
      <w:proofErr w:type="gramStart"/>
      <w:r w:rsidRPr="00EA2AB9">
        <w:rPr>
          <w:lang w:val="fr-FR"/>
        </w:rPr>
        <w:lastRenderedPageBreak/>
        <w:t>a</w:t>
      </w:r>
      <w:proofErr w:type="gramEnd"/>
      <w:r w:rsidRPr="00EA2AB9">
        <w:rPr>
          <w:lang w:val="fr-FR"/>
        </w:rPr>
        <w:t xml:space="preserve"> été rejetée à la majorité des voix. Ce résultat indiquait une préférence pour une application uniforme du principe en cascade, mais assortie de conditions claires et limitées dans lesquelles </w:t>
      </w:r>
      <w:r w:rsidR="002775B0">
        <w:rPr>
          <w:lang w:val="fr-FR"/>
        </w:rPr>
        <w:t>la défense des droits</w:t>
      </w:r>
      <w:r w:rsidRPr="00EA2AB9">
        <w:rPr>
          <w:lang w:val="fr-FR"/>
        </w:rPr>
        <w:t xml:space="preserve"> en aval sur le produit de la récolte pouvait être autorisée.</w:t>
      </w:r>
    </w:p>
    <w:p w14:paraId="41ECBFCA" w14:textId="77777777" w:rsidR="006B758D" w:rsidRPr="00EA2AB9" w:rsidRDefault="006B758D">
      <w:pPr>
        <w:pStyle w:val="BodyText"/>
        <w:spacing w:before="1"/>
        <w:rPr>
          <w:sz w:val="36"/>
          <w:lang w:val="fr-FR"/>
        </w:rPr>
      </w:pPr>
    </w:p>
    <w:p w14:paraId="32868692" w14:textId="3CCFBA2B" w:rsidR="006B758D" w:rsidRPr="00EA2AB9" w:rsidRDefault="0023308C">
      <w:pPr>
        <w:pStyle w:val="ListParagraph"/>
        <w:numPr>
          <w:ilvl w:val="0"/>
          <w:numId w:val="7"/>
        </w:numPr>
        <w:tabs>
          <w:tab w:val="left" w:pos="1815"/>
        </w:tabs>
        <w:spacing w:line="360" w:lineRule="auto"/>
        <w:ind w:right="397" w:firstLine="707"/>
        <w:rPr>
          <w:sz w:val="24"/>
          <w:lang w:val="fr-FR"/>
        </w:rPr>
      </w:pPr>
      <w:r w:rsidRPr="00EA2AB9">
        <w:rPr>
          <w:sz w:val="24"/>
          <w:lang w:val="fr-FR"/>
        </w:rPr>
        <w:t xml:space="preserve">En conclusion, bien que la nécessité de protéger vigoureusement les droits des obtenteurs ait été unanimement reconnue, l'opinion dominante était que les redevances devaient normalement être perçues au stade du matériel de reproduction ou de multiplication. Ce n'est que dans les situations où </w:t>
      </w:r>
      <w:r w:rsidR="002775B0">
        <w:rPr>
          <w:lang w:val="fr-FR"/>
        </w:rPr>
        <w:t>la défense des droits</w:t>
      </w:r>
      <w:r w:rsidRPr="00EA2AB9">
        <w:rPr>
          <w:sz w:val="24"/>
          <w:lang w:val="fr-FR"/>
        </w:rPr>
        <w:t xml:space="preserve"> en amont était juridiquement ou pratiquement impossible qu'il serait approprié d'invoquer les droits sur le produit de la récolte en vertu du principe de cascade. Le débat a donc reflété un équilibre entre la nécessité d'assurer la clarté juridique et celle de permettre un droit effectif, les différentes délégations traçant cette ligne de démarcation à des endroits légèrement différents.</w:t>
      </w:r>
    </w:p>
    <w:p w14:paraId="6DE54EE0" w14:textId="77777777" w:rsidR="006B758D" w:rsidRPr="00EA2AB9" w:rsidRDefault="006B758D">
      <w:pPr>
        <w:pStyle w:val="BodyText"/>
        <w:spacing w:before="1"/>
        <w:rPr>
          <w:sz w:val="36"/>
          <w:lang w:val="fr-FR"/>
        </w:rPr>
      </w:pPr>
    </w:p>
    <w:p w14:paraId="110FDE4A" w14:textId="693F8591" w:rsidR="006B758D" w:rsidRPr="00EA2AB9" w:rsidRDefault="0023308C">
      <w:pPr>
        <w:pStyle w:val="ListParagraph"/>
        <w:numPr>
          <w:ilvl w:val="0"/>
          <w:numId w:val="7"/>
        </w:numPr>
        <w:tabs>
          <w:tab w:val="left" w:pos="1815"/>
        </w:tabs>
        <w:spacing w:line="360" w:lineRule="auto"/>
        <w:ind w:right="401" w:firstLine="707"/>
        <w:rPr>
          <w:sz w:val="24"/>
          <w:lang w:val="fr-FR"/>
        </w:rPr>
      </w:pPr>
      <w:r w:rsidRPr="00EA2AB9">
        <w:rPr>
          <w:sz w:val="24"/>
          <w:lang w:val="fr-FR"/>
        </w:rPr>
        <w:t xml:space="preserve">En règle générale, les redevances devraient être perçues au stade le plus précoce possible de la chaîne de production, à savoir au niveau du matériel de reproduction ou de multiplication. La perception de redevances sur le produit de la récolte n'est autorisée que dans des circonstances exceptionnelles, lorsque l'obtenteur n'a pas l'opportunité raisonnable d'exercer ses droits à un stade antérieur. Cela reflète la logique du principe de cascade, qui permet </w:t>
      </w:r>
      <w:r w:rsidR="002775B0">
        <w:rPr>
          <w:lang w:val="fr-FR"/>
        </w:rPr>
        <w:t xml:space="preserve">la </w:t>
      </w:r>
      <w:proofErr w:type="gramStart"/>
      <w:r w:rsidR="002775B0">
        <w:rPr>
          <w:lang w:val="fr-FR"/>
        </w:rPr>
        <w:t xml:space="preserve">défense </w:t>
      </w:r>
      <w:r w:rsidRPr="00EA2AB9">
        <w:rPr>
          <w:sz w:val="24"/>
          <w:lang w:val="fr-FR"/>
        </w:rPr>
        <w:t xml:space="preserve"> des</w:t>
      </w:r>
      <w:proofErr w:type="gramEnd"/>
      <w:r w:rsidRPr="00EA2AB9">
        <w:rPr>
          <w:sz w:val="24"/>
          <w:lang w:val="fr-FR"/>
        </w:rPr>
        <w:t xml:space="preserve"> droits au matériel en aval uniquement lorsque le contrôle en amont est impossible sur le plan juridique ou pratique.</w:t>
      </w:r>
    </w:p>
    <w:p w14:paraId="28CF7A8D" w14:textId="77777777" w:rsidR="006B758D" w:rsidRPr="00EA2AB9" w:rsidRDefault="006B758D">
      <w:pPr>
        <w:pStyle w:val="BodyText"/>
        <w:spacing w:before="2"/>
        <w:rPr>
          <w:sz w:val="36"/>
          <w:lang w:val="fr-FR"/>
        </w:rPr>
      </w:pPr>
    </w:p>
    <w:p w14:paraId="3A9D3982" w14:textId="77777777" w:rsidR="006B758D" w:rsidRPr="00EA2AB9" w:rsidRDefault="0023308C">
      <w:pPr>
        <w:pStyle w:val="ListParagraph"/>
        <w:numPr>
          <w:ilvl w:val="0"/>
          <w:numId w:val="7"/>
        </w:numPr>
        <w:tabs>
          <w:tab w:val="left" w:pos="1815"/>
        </w:tabs>
        <w:spacing w:line="360" w:lineRule="auto"/>
        <w:ind w:right="395" w:firstLine="707"/>
        <w:rPr>
          <w:sz w:val="24"/>
          <w:lang w:val="fr-FR"/>
        </w:rPr>
      </w:pPr>
      <w:r w:rsidRPr="00EA2AB9">
        <w:rPr>
          <w:sz w:val="24"/>
          <w:lang w:val="fr-FR"/>
        </w:rPr>
        <w:t>La Conférence a rejeté l'idée de laisser aux obtenteurs toute latitude pour choisir le point de collecte, afin d'éviter toute incertitude juridique et de ne pas imposer de charge supplémentaire aux utilisateurs. Toutefois, il a été reconnu que, dans la pratique, l'obtenteur pourrait avoir besoin d'une certaine souplesse pour exercer ses droits à un stade où le contrôle est plus efficace, à condition que cette souplesse reste compatible avec les conditions cumulatives de l'article 14(2) et le cadre d'épuisement du droit d'obtenteur de l'article</w:t>
      </w:r>
      <w:r w:rsidRPr="00EA2AB9">
        <w:rPr>
          <w:spacing w:val="-4"/>
          <w:sz w:val="24"/>
          <w:lang w:val="fr-FR"/>
        </w:rPr>
        <w:t xml:space="preserve"> 16.</w:t>
      </w:r>
    </w:p>
    <w:p w14:paraId="3CB3F23D" w14:textId="77777777" w:rsidR="006B758D" w:rsidRPr="00EA2AB9" w:rsidRDefault="006B758D">
      <w:pPr>
        <w:pStyle w:val="BodyText"/>
        <w:spacing w:before="11"/>
        <w:rPr>
          <w:sz w:val="35"/>
          <w:lang w:val="fr-FR"/>
        </w:rPr>
      </w:pPr>
    </w:p>
    <w:p w14:paraId="5E60E8F9" w14:textId="77777777" w:rsidR="006B758D" w:rsidRPr="00EA2AB9" w:rsidRDefault="0023308C">
      <w:pPr>
        <w:pStyle w:val="ListParagraph"/>
        <w:numPr>
          <w:ilvl w:val="0"/>
          <w:numId w:val="8"/>
        </w:numPr>
        <w:tabs>
          <w:tab w:val="left" w:pos="1055"/>
        </w:tabs>
        <w:ind w:left="1054" w:hanging="373"/>
        <w:rPr>
          <w:sz w:val="24"/>
          <w:u w:val="single"/>
          <w:lang w:val="fr-FR"/>
        </w:rPr>
      </w:pPr>
      <w:bookmarkStart w:id="91" w:name="_bookmark91"/>
      <w:bookmarkEnd w:id="91"/>
      <w:r w:rsidRPr="00EA2AB9">
        <w:rPr>
          <w:sz w:val="24"/>
          <w:u w:val="single"/>
          <w:lang w:val="fr-FR"/>
        </w:rPr>
        <w:t xml:space="preserve">Structure et fonction du </w:t>
      </w:r>
      <w:r w:rsidRPr="00EA2AB9">
        <w:rPr>
          <w:spacing w:val="-2"/>
          <w:sz w:val="24"/>
          <w:u w:val="single"/>
          <w:lang w:val="fr-FR"/>
        </w:rPr>
        <w:t xml:space="preserve">« </w:t>
      </w:r>
      <w:r w:rsidRPr="00EA2AB9">
        <w:rPr>
          <w:sz w:val="24"/>
          <w:u w:val="single"/>
          <w:lang w:val="fr-FR"/>
        </w:rPr>
        <w:t xml:space="preserve">principe en cascade </w:t>
      </w:r>
      <w:r w:rsidRPr="00EA2AB9">
        <w:rPr>
          <w:spacing w:val="-2"/>
          <w:sz w:val="24"/>
          <w:u w:val="single"/>
          <w:lang w:val="fr-FR"/>
        </w:rPr>
        <w:t>»</w:t>
      </w:r>
    </w:p>
    <w:p w14:paraId="46D677FE" w14:textId="77777777" w:rsidR="006B758D" w:rsidRPr="00EA2AB9" w:rsidRDefault="006B758D">
      <w:pPr>
        <w:pStyle w:val="BodyText"/>
        <w:rPr>
          <w:sz w:val="20"/>
          <w:lang w:val="fr-FR"/>
        </w:rPr>
      </w:pPr>
    </w:p>
    <w:p w14:paraId="2CC61574" w14:textId="77777777" w:rsidR="006B758D" w:rsidRPr="00EA2AB9" w:rsidRDefault="0023308C" w:rsidP="007213F0">
      <w:pPr>
        <w:pStyle w:val="ListParagraph"/>
        <w:numPr>
          <w:ilvl w:val="0"/>
          <w:numId w:val="7"/>
        </w:numPr>
        <w:tabs>
          <w:tab w:val="left" w:pos="1815"/>
        </w:tabs>
        <w:spacing w:line="276" w:lineRule="auto"/>
        <w:ind w:right="399" w:firstLine="707"/>
        <w:rPr>
          <w:sz w:val="24"/>
          <w:lang w:val="fr-FR"/>
        </w:rPr>
      </w:pPr>
      <w:r w:rsidRPr="00EA2AB9">
        <w:rPr>
          <w:sz w:val="24"/>
          <w:lang w:val="fr-FR"/>
        </w:rPr>
        <w:t xml:space="preserve">Le « principe en cascade » établit une approche structurée et séquentielle de </w:t>
      </w:r>
      <w:r w:rsidRPr="00EA2AB9">
        <w:rPr>
          <w:sz w:val="24"/>
          <w:lang w:val="fr-FR"/>
        </w:rPr>
        <w:lastRenderedPageBreak/>
        <w:t xml:space="preserve">l'exercice des droits d'obtenteur, selon laquelle la protection s'étend progressivement du matériel de reproduction ou de multiplication au produit de la récolte, puis aux produits fabriqués directement à partir de ce produit de la récolte. Ce modèle conditionne chaque niveau successif de protection à l'impossibilité d'exercer les droits au stade précédent, créant ainsi une </w:t>
      </w:r>
      <w:r w:rsidRPr="00EA2AB9">
        <w:rPr>
          <w:spacing w:val="-2"/>
          <w:sz w:val="24"/>
          <w:lang w:val="fr-FR"/>
        </w:rPr>
        <w:t>hiérarchie.</w:t>
      </w:r>
    </w:p>
    <w:p w14:paraId="00F4A680" w14:textId="77777777" w:rsidR="006B758D" w:rsidRPr="00EA2AB9" w:rsidRDefault="0023308C" w:rsidP="007213F0">
      <w:pPr>
        <w:pStyle w:val="ListParagraph"/>
        <w:numPr>
          <w:ilvl w:val="0"/>
          <w:numId w:val="7"/>
        </w:numPr>
        <w:tabs>
          <w:tab w:val="left" w:pos="1815"/>
        </w:tabs>
        <w:spacing w:line="276" w:lineRule="auto"/>
        <w:ind w:right="400" w:firstLine="707"/>
        <w:rPr>
          <w:sz w:val="24"/>
          <w:lang w:val="fr-FR"/>
        </w:rPr>
      </w:pPr>
      <w:r w:rsidRPr="00EA2AB9">
        <w:rPr>
          <w:sz w:val="24"/>
          <w:lang w:val="fr-FR"/>
        </w:rPr>
        <w:t>Cette conception répond à deux objectifs principaux : elle garantit que les interventions juridiques restent proportionnées aux circonstances et évite les stratégies arbitraires ou rétroactives qui pourraient compromettre la sécurité juridique ou imposer des charges excessives aux acteurs en aval.</w:t>
      </w:r>
    </w:p>
    <w:p w14:paraId="44A422CA" w14:textId="77777777" w:rsidR="006B758D" w:rsidRPr="007213F0" w:rsidRDefault="006B758D" w:rsidP="007213F0">
      <w:pPr>
        <w:pStyle w:val="BodyText"/>
        <w:spacing w:line="276" w:lineRule="auto"/>
        <w:rPr>
          <w:sz w:val="16"/>
          <w:szCs w:val="16"/>
          <w:lang w:val="fr-FR"/>
        </w:rPr>
      </w:pPr>
    </w:p>
    <w:p w14:paraId="67D77241" w14:textId="77777777" w:rsidR="006B758D" w:rsidRPr="00EA2AB9" w:rsidRDefault="0023308C" w:rsidP="007213F0">
      <w:pPr>
        <w:pStyle w:val="ListParagraph"/>
        <w:numPr>
          <w:ilvl w:val="0"/>
          <w:numId w:val="7"/>
        </w:numPr>
        <w:tabs>
          <w:tab w:val="left" w:pos="1815"/>
        </w:tabs>
        <w:spacing w:line="276" w:lineRule="auto"/>
        <w:ind w:right="399" w:firstLine="707"/>
        <w:rPr>
          <w:sz w:val="24"/>
          <w:lang w:val="fr-FR"/>
        </w:rPr>
      </w:pPr>
      <w:r w:rsidRPr="00EA2AB9">
        <w:rPr>
          <w:sz w:val="24"/>
          <w:lang w:val="fr-FR"/>
        </w:rPr>
        <w:t>Le terme a été explicitement introduit lors de la conférence diplomatique par la délégation japonaise</w:t>
      </w:r>
      <w:hyperlink w:anchor="_bookmark93" w:history="1">
        <w:r w:rsidRPr="00EA2AB9">
          <w:rPr>
            <w:sz w:val="24"/>
            <w:vertAlign w:val="superscript"/>
            <w:lang w:val="fr-FR"/>
          </w:rPr>
          <w:t>82</w:t>
        </w:r>
      </w:hyperlink>
      <w:r w:rsidRPr="00EA2AB9">
        <w:rPr>
          <w:sz w:val="24"/>
          <w:lang w:val="fr-FR"/>
        </w:rPr>
        <w:t>. M. Hayakawa (Japon) a souligné que, pour éviter toute incertitude sur le marché, l'obtenteur ne devrait pas être autorisé à choisir arbitrairement le stade auquel les droits sont exercés. Le Japon a donc proposé que le droit d'obtenteur sur le produit de la récolte ou sur le produit de la transformation soit subordonné à l'impossibilité d'agir plus tôt. Ce principe, connu sous le nom de « principe de cascade », a conduit le Japon à conditionner son soutien à l'extension du droit d'obtenteur à l'inclusion d'une telle structure</w:t>
      </w:r>
      <w:hyperlink w:anchor="_bookmark94" w:history="1">
        <w:r w:rsidRPr="00EA2AB9">
          <w:rPr>
            <w:sz w:val="24"/>
            <w:vertAlign w:val="superscript"/>
            <w:lang w:val="fr-FR"/>
          </w:rPr>
          <w:t>83</w:t>
        </w:r>
      </w:hyperlink>
      <w:r w:rsidRPr="00EA2AB9">
        <w:rPr>
          <w:sz w:val="24"/>
          <w:lang w:val="fr-FR"/>
        </w:rPr>
        <w:t>.</w:t>
      </w:r>
    </w:p>
    <w:p w14:paraId="4F4708DF" w14:textId="77777777" w:rsidR="006B758D" w:rsidRPr="007213F0" w:rsidRDefault="006B758D" w:rsidP="007213F0">
      <w:pPr>
        <w:pStyle w:val="BodyText"/>
        <w:spacing w:line="276" w:lineRule="auto"/>
        <w:rPr>
          <w:sz w:val="16"/>
          <w:szCs w:val="16"/>
          <w:lang w:val="fr-FR"/>
        </w:rPr>
      </w:pPr>
    </w:p>
    <w:p w14:paraId="732C2402" w14:textId="77777777" w:rsidR="006B758D" w:rsidRPr="00EA2AB9" w:rsidRDefault="0023308C" w:rsidP="007213F0">
      <w:pPr>
        <w:pStyle w:val="ListParagraph"/>
        <w:numPr>
          <w:ilvl w:val="0"/>
          <w:numId w:val="7"/>
        </w:numPr>
        <w:tabs>
          <w:tab w:val="left" w:pos="1815"/>
        </w:tabs>
        <w:spacing w:line="276" w:lineRule="auto"/>
        <w:ind w:right="398" w:firstLine="707"/>
        <w:rPr>
          <w:sz w:val="24"/>
          <w:lang w:val="fr-FR"/>
        </w:rPr>
      </w:pPr>
      <w:r w:rsidRPr="00EA2AB9">
        <w:rPr>
          <w:sz w:val="24"/>
          <w:lang w:val="fr-FR"/>
        </w:rPr>
        <w:t>Cet accord négocié se reflète non seulement dans l'article 14(2)-(3), mais aussi dans la logique de l'article 16, où la portée de l'épuisement du droit d'obtenteur dépend du moment où l'obtenteur a exercé son droit.</w:t>
      </w:r>
    </w:p>
    <w:p w14:paraId="7F6E4820" w14:textId="77777777" w:rsidR="006B758D" w:rsidRPr="00EA2AB9" w:rsidRDefault="006B758D" w:rsidP="007213F0">
      <w:pPr>
        <w:pStyle w:val="BodyText"/>
        <w:spacing w:line="276" w:lineRule="auto"/>
        <w:rPr>
          <w:sz w:val="25"/>
          <w:lang w:val="fr-FR"/>
        </w:rPr>
      </w:pPr>
    </w:p>
    <w:p w14:paraId="44D1E6F1" w14:textId="77777777" w:rsidR="006B758D" w:rsidRDefault="0023308C" w:rsidP="007213F0">
      <w:pPr>
        <w:pStyle w:val="ListParagraph"/>
        <w:numPr>
          <w:ilvl w:val="0"/>
          <w:numId w:val="8"/>
        </w:numPr>
        <w:tabs>
          <w:tab w:val="left" w:pos="976"/>
        </w:tabs>
        <w:spacing w:line="276" w:lineRule="auto"/>
        <w:ind w:left="975" w:hanging="294"/>
        <w:rPr>
          <w:sz w:val="24"/>
          <w:u w:val="single"/>
        </w:rPr>
      </w:pPr>
      <w:bookmarkStart w:id="92" w:name="_bookmark92"/>
      <w:bookmarkEnd w:id="92"/>
      <w:proofErr w:type="spellStart"/>
      <w:r>
        <w:rPr>
          <w:sz w:val="24"/>
          <w:u w:val="single"/>
        </w:rPr>
        <w:t>Principales</w:t>
      </w:r>
      <w:proofErr w:type="spellEnd"/>
      <w:r>
        <w:rPr>
          <w:sz w:val="24"/>
          <w:u w:val="single"/>
        </w:rPr>
        <w:t xml:space="preserve"> </w:t>
      </w:r>
      <w:r>
        <w:rPr>
          <w:spacing w:val="-2"/>
          <w:sz w:val="24"/>
          <w:u w:val="single"/>
        </w:rPr>
        <w:t>conclusions</w:t>
      </w:r>
    </w:p>
    <w:p w14:paraId="43957402" w14:textId="77777777" w:rsidR="006B758D" w:rsidRDefault="006B758D" w:rsidP="007213F0">
      <w:pPr>
        <w:pStyle w:val="BodyText"/>
        <w:spacing w:line="276" w:lineRule="auto"/>
        <w:rPr>
          <w:sz w:val="20"/>
        </w:rPr>
      </w:pPr>
    </w:p>
    <w:p w14:paraId="57903D01" w14:textId="77777777" w:rsidR="006B758D" w:rsidRPr="00EA2AB9" w:rsidRDefault="0023308C" w:rsidP="007213F0">
      <w:pPr>
        <w:pStyle w:val="ListParagraph"/>
        <w:numPr>
          <w:ilvl w:val="0"/>
          <w:numId w:val="7"/>
        </w:numPr>
        <w:tabs>
          <w:tab w:val="left" w:pos="1815"/>
        </w:tabs>
        <w:spacing w:line="276" w:lineRule="auto"/>
        <w:ind w:right="399" w:firstLine="707"/>
        <w:rPr>
          <w:sz w:val="24"/>
          <w:lang w:val="fr-FR"/>
        </w:rPr>
      </w:pPr>
      <w:r w:rsidRPr="00EA2AB9">
        <w:rPr>
          <w:sz w:val="24"/>
          <w:lang w:val="fr-FR"/>
        </w:rPr>
        <w:t>L'analyse démontre que la clause relative à l</w:t>
      </w:r>
      <w:proofErr w:type="gramStart"/>
      <w:r w:rsidRPr="00EA2AB9">
        <w:rPr>
          <w:sz w:val="24"/>
          <w:lang w:val="fr-FR"/>
        </w:rPr>
        <w:t>’«</w:t>
      </w:r>
      <w:proofErr w:type="gramEnd"/>
      <w:r w:rsidRPr="00EA2AB9">
        <w:rPr>
          <w:sz w:val="24"/>
          <w:lang w:val="fr-FR"/>
        </w:rPr>
        <w:t xml:space="preserve"> opportunité raisonnable » fonctionne à la fois comme une passerelle et une garantie dans l'architecture de la protection des obtentions végétales. Issue du compromis diplomatique de la révision de l'UPOV de 1991, elle visait à limiter les mesures coercitives excessives ou rétroactives tout en garantissant que les obtenteurs ne soient pas privés de recours lorsque le contrôle en amont est impossible.</w:t>
      </w:r>
    </w:p>
    <w:p w14:paraId="538125C1" w14:textId="77777777" w:rsidR="006B758D" w:rsidRPr="00EA2AB9" w:rsidRDefault="006B758D" w:rsidP="007213F0">
      <w:pPr>
        <w:pStyle w:val="BodyText"/>
        <w:spacing w:line="276" w:lineRule="auto"/>
        <w:rPr>
          <w:sz w:val="26"/>
          <w:lang w:val="fr-FR"/>
        </w:rPr>
      </w:pPr>
    </w:p>
    <w:p w14:paraId="1C924784" w14:textId="77777777" w:rsidR="006B758D" w:rsidRPr="00EA2AB9" w:rsidRDefault="0023308C" w:rsidP="007213F0">
      <w:pPr>
        <w:pStyle w:val="ListParagraph"/>
        <w:numPr>
          <w:ilvl w:val="0"/>
          <w:numId w:val="7"/>
        </w:numPr>
        <w:tabs>
          <w:tab w:val="left" w:pos="1815"/>
        </w:tabs>
        <w:spacing w:line="276" w:lineRule="auto"/>
        <w:ind w:right="397" w:firstLine="707"/>
        <w:rPr>
          <w:sz w:val="24"/>
          <w:lang w:val="fr-FR"/>
        </w:rPr>
      </w:pPr>
      <w:r w:rsidRPr="00EA2AB9">
        <w:rPr>
          <w:sz w:val="24"/>
          <w:lang w:val="fr-FR"/>
        </w:rPr>
        <w:t>Comme le reflète la structure cumulative de l'article 14(2), son fonctionnement dépend à la fois de l'existence d'une utilisation non autorisée et de l'absence de possibilité réaliste d'exercer ses droits en amont, ce qui aligne ce chapitre sur l'analyse développée dans la section précédente consacrée à l'utilisation non autorisée.</w:t>
      </w:r>
    </w:p>
    <w:p w14:paraId="32CE43BC" w14:textId="1F06FD7E" w:rsidR="006B758D" w:rsidRPr="00EA2AB9" w:rsidRDefault="005C7D52">
      <w:pPr>
        <w:pStyle w:val="BodyText"/>
        <w:rPr>
          <w:sz w:val="17"/>
          <w:lang w:val="fr-FR"/>
        </w:rPr>
      </w:pPr>
      <w:r>
        <w:rPr>
          <w:noProof/>
        </w:rPr>
        <mc:AlternateContent>
          <mc:Choice Requires="wps">
            <w:drawing>
              <wp:anchor distT="0" distB="0" distL="0" distR="0" simplePos="0" relativeHeight="487600128" behindDoc="1" locked="0" layoutInCell="1" allowOverlap="1" wp14:anchorId="6599A88E" wp14:editId="010A5B56">
                <wp:simplePos x="0" y="0"/>
                <wp:positionH relativeFrom="page">
                  <wp:posOffset>1080770</wp:posOffset>
                </wp:positionH>
                <wp:positionV relativeFrom="paragraph">
                  <wp:posOffset>139700</wp:posOffset>
                </wp:positionV>
                <wp:extent cx="1828800" cy="7620"/>
                <wp:effectExtent l="0" t="0" r="0" b="0"/>
                <wp:wrapTopAndBottom/>
                <wp:docPr id="43707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8" style="position:absolute;margin-left:85.1pt;margin-top:11pt;width:2in;height:.6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" w14:anchorId="0398E1EA">
                <w10:wrap type="topAndBottom" anchorx="page"/>
              </v:rect>
            </w:pict>
          </mc:Fallback>
        </mc:AlternateContent>
      </w:r>
    </w:p>
    <w:p w14:paraId="2E09404A" w14:textId="37D7A604" w:rsidR="006B758D" w:rsidRPr="00EA2AB9" w:rsidRDefault="0023308C">
      <w:pPr>
        <w:spacing w:before="103"/>
        <w:ind w:left="682" w:right="399"/>
        <w:jc w:val="both"/>
        <w:rPr>
          <w:sz w:val="20"/>
          <w:lang w:val="fr-FR"/>
        </w:rPr>
      </w:pPr>
      <w:bookmarkStart w:id="93" w:name="_bookmark93"/>
      <w:bookmarkEnd w:id="93"/>
      <w:r w:rsidRPr="00EA2AB9">
        <w:rPr>
          <w:sz w:val="20"/>
          <w:vertAlign w:val="superscript"/>
          <w:lang w:val="fr-FR"/>
        </w:rPr>
        <w:t>82</w:t>
      </w:r>
      <w:proofErr w:type="gramStart"/>
      <w:r w:rsidRPr="00EA2AB9">
        <w:rPr>
          <w:sz w:val="20"/>
          <w:vertAlign w:val="superscript"/>
          <w:lang w:val="fr-FR"/>
        </w:rPr>
        <w:t xml:space="preserve"> «</w:t>
      </w:r>
      <w:r w:rsidRPr="00EA2AB9">
        <w:rPr>
          <w:sz w:val="20"/>
          <w:lang w:val="fr-FR"/>
        </w:rPr>
        <w:t>Par</w:t>
      </w:r>
      <w:proofErr w:type="gramEnd"/>
      <w:r w:rsidRPr="00EA2AB9">
        <w:rPr>
          <w:sz w:val="20"/>
          <w:lang w:val="fr-FR"/>
        </w:rPr>
        <w:t xml:space="preserve"> conséquent, la délégation du Japon a proposé d'introduire ce qu'on appelle le « principe de cascade ». Ce n'est qu'à cette condition que le Japon pourrait accepter un élargissement de l'étendue du droit d'obtenteur », UPOV, Compte rendu de la Conférence diplomatique de Genève de 1991, publication UPOV n° 346(E), p. 314-315.</w:t>
      </w:r>
    </w:p>
    <w:p w14:paraId="33F42B2E" w14:textId="77777777" w:rsidR="006B758D" w:rsidRPr="00EA2AB9" w:rsidRDefault="0023308C">
      <w:pPr>
        <w:ind w:left="682" w:right="400"/>
        <w:jc w:val="both"/>
        <w:rPr>
          <w:sz w:val="20"/>
          <w:lang w:val="fr-FR"/>
        </w:rPr>
      </w:pPr>
      <w:bookmarkStart w:id="94" w:name="_bookmark94"/>
      <w:bookmarkEnd w:id="94"/>
      <w:proofErr w:type="gramStart"/>
      <w:r w:rsidRPr="00EA2AB9">
        <w:rPr>
          <w:sz w:val="20"/>
          <w:vertAlign w:val="superscript"/>
          <w:lang w:val="fr-FR"/>
        </w:rPr>
        <w:t>83</w:t>
      </w:r>
      <w:r w:rsidRPr="00EA2AB9">
        <w:rPr>
          <w:sz w:val="20"/>
          <w:lang w:val="fr-FR"/>
        </w:rPr>
        <w:t xml:space="preserve">  Cette</w:t>
      </w:r>
      <w:proofErr w:type="gramEnd"/>
      <w:r w:rsidRPr="00EA2AB9">
        <w:rPr>
          <w:sz w:val="20"/>
          <w:lang w:val="fr-FR"/>
        </w:rPr>
        <w:t xml:space="preserve"> position a trouvé un écho auprès d'autres délégations qui ont soutenu une double condition : l'utilisation du matériel de reproduction ou de multiplication doit être non autorisée et l'obtenteur ne doit pas avoir eu une opportunité raisonnable d'exercer son droit à ce niveau. Cela a été considéré comme essentiel pour garantir l'équité et la cohérence juridique. UPOV, Actes de la Conférence diplomatique de Genève de 1991, publication UPOV n° 346(E), p. 315.</w:t>
      </w:r>
    </w:p>
    <w:p w14:paraId="39294473" w14:textId="77777777" w:rsidR="006B758D" w:rsidRPr="00EA2AB9" w:rsidRDefault="006B758D">
      <w:pPr>
        <w:jc w:val="both"/>
        <w:rPr>
          <w:sz w:val="20"/>
          <w:lang w:val="fr-FR"/>
        </w:rPr>
        <w:sectPr w:rsidR="006B758D" w:rsidRPr="00EA2AB9">
          <w:pgSz w:w="11910" w:h="16840"/>
          <w:pgMar w:top="1740" w:right="1300" w:bottom="1240" w:left="1020" w:header="0" w:footer="1049" w:gutter="0"/>
          <w:cols w:space="720"/>
        </w:sectPr>
      </w:pPr>
    </w:p>
    <w:p w14:paraId="7F33C737" w14:textId="77777777" w:rsidR="006B758D" w:rsidRPr="00EA2AB9" w:rsidRDefault="0023308C">
      <w:pPr>
        <w:pStyle w:val="ListParagraph"/>
        <w:numPr>
          <w:ilvl w:val="0"/>
          <w:numId w:val="7"/>
        </w:numPr>
        <w:tabs>
          <w:tab w:val="left" w:pos="1815"/>
        </w:tabs>
        <w:spacing w:before="73" w:line="360" w:lineRule="auto"/>
        <w:ind w:right="400" w:firstLine="707"/>
        <w:rPr>
          <w:sz w:val="24"/>
          <w:lang w:val="fr-FR"/>
        </w:rPr>
      </w:pPr>
      <w:r w:rsidRPr="00EA2AB9">
        <w:rPr>
          <w:sz w:val="24"/>
          <w:lang w:val="fr-FR"/>
        </w:rPr>
        <w:lastRenderedPageBreak/>
        <w:t>En fin de compte, le principe de cascade et la notion d'opportunité raisonnable définissent ensemble les limites temporelles et spatiales des droits d'obtenteur. Ils incarnent un équilibre normatif : protéger l'innovation et l'investissement dans la sélection végétale sans compromettre la prévisibilité et la stabilité du commerce agricole.</w:t>
      </w:r>
    </w:p>
    <w:p w14:paraId="006E8837" w14:textId="77777777" w:rsidR="006B758D" w:rsidRPr="00EA2AB9" w:rsidRDefault="006B758D">
      <w:pPr>
        <w:pStyle w:val="BodyText"/>
        <w:rPr>
          <w:sz w:val="26"/>
          <w:lang w:val="fr-FR"/>
        </w:rPr>
      </w:pPr>
    </w:p>
    <w:p w14:paraId="2B6C4394" w14:textId="77777777" w:rsidR="006B758D" w:rsidRPr="00EA2AB9" w:rsidRDefault="0023308C">
      <w:pPr>
        <w:pStyle w:val="ListParagraph"/>
        <w:numPr>
          <w:ilvl w:val="0"/>
          <w:numId w:val="7"/>
        </w:numPr>
        <w:tabs>
          <w:tab w:val="left" w:pos="1815"/>
        </w:tabs>
        <w:spacing w:before="155" w:line="360" w:lineRule="auto"/>
        <w:ind w:right="402" w:firstLine="707"/>
        <w:rPr>
          <w:sz w:val="24"/>
          <w:lang w:val="fr-FR"/>
        </w:rPr>
      </w:pPr>
      <w:r w:rsidRPr="00EA2AB9">
        <w:rPr>
          <w:sz w:val="24"/>
          <w:lang w:val="fr-FR"/>
        </w:rPr>
        <w:t>Leur interaction fournit également le lien conceptuel avec l'article 16, comme indiqué dans le chapitre consacré à l'épuisement du droit d'obtenteur, où le moment où l'obtenteur a exercé son droit détermine si l'épuisement s'applique.</w:t>
      </w:r>
    </w:p>
    <w:p w14:paraId="736954F0" w14:textId="77777777" w:rsidR="006B758D" w:rsidRPr="00EA2AB9" w:rsidRDefault="006B758D">
      <w:pPr>
        <w:spacing w:line="360" w:lineRule="auto"/>
        <w:jc w:val="both"/>
        <w:rPr>
          <w:sz w:val="24"/>
          <w:lang w:val="fr-FR"/>
        </w:rPr>
        <w:sectPr w:rsidR="006B758D" w:rsidRPr="00EA2AB9">
          <w:pgSz w:w="11910" w:h="16840"/>
          <w:pgMar w:top="1780" w:right="1300" w:bottom="1240" w:left="1020" w:header="0" w:footer="1049" w:gutter="0"/>
          <w:cols w:space="720"/>
        </w:sectPr>
      </w:pPr>
    </w:p>
    <w:p w14:paraId="2AEC6E2B" w14:textId="77777777" w:rsidR="006B758D" w:rsidRPr="00EA2AB9" w:rsidRDefault="0023308C">
      <w:pPr>
        <w:pStyle w:val="Heading1"/>
        <w:spacing w:line="362" w:lineRule="auto"/>
        <w:ind w:left="396"/>
        <w:rPr>
          <w:lang w:val="fr-FR"/>
        </w:rPr>
      </w:pPr>
      <w:bookmarkStart w:id="95" w:name="_bookmark95"/>
      <w:bookmarkEnd w:id="95"/>
      <w:r w:rsidRPr="00EA2AB9">
        <w:rPr>
          <w:u w:val="single"/>
          <w:lang w:val="fr-FR"/>
        </w:rPr>
        <w:lastRenderedPageBreak/>
        <w:t xml:space="preserve">Troisième chapitre </w:t>
      </w:r>
      <w:r w:rsidRPr="00EA2AB9">
        <w:rPr>
          <w:lang w:val="fr-FR"/>
        </w:rPr>
        <w:t>: L'évolution de la disposition relative à l'épuisement dans la Convention UPOV de 1991 et son interaction avec l'étendue de la protection</w:t>
      </w:r>
    </w:p>
    <w:p w14:paraId="4B4B23F0" w14:textId="77777777" w:rsidR="006B758D" w:rsidRPr="00EA2AB9" w:rsidRDefault="006B758D">
      <w:pPr>
        <w:pStyle w:val="BodyText"/>
        <w:rPr>
          <w:b/>
          <w:sz w:val="26"/>
          <w:lang w:val="fr-FR"/>
        </w:rPr>
      </w:pPr>
    </w:p>
    <w:p w14:paraId="1CAE907F" w14:textId="77777777" w:rsidR="006B758D" w:rsidRPr="00EA2AB9" w:rsidRDefault="006B758D">
      <w:pPr>
        <w:pStyle w:val="BodyText"/>
        <w:rPr>
          <w:b/>
          <w:sz w:val="26"/>
          <w:lang w:val="fr-FR"/>
        </w:rPr>
      </w:pPr>
    </w:p>
    <w:p w14:paraId="6FEA1799" w14:textId="77777777" w:rsidR="006B758D" w:rsidRPr="00EA2AB9" w:rsidRDefault="0023308C">
      <w:pPr>
        <w:pStyle w:val="ListParagraph"/>
        <w:numPr>
          <w:ilvl w:val="1"/>
          <w:numId w:val="8"/>
        </w:numPr>
        <w:tabs>
          <w:tab w:val="left" w:pos="1333"/>
        </w:tabs>
        <w:spacing w:before="225" w:line="360" w:lineRule="auto"/>
        <w:ind w:left="396" w:right="119" w:firstLine="707"/>
        <w:rPr>
          <w:sz w:val="24"/>
          <w:lang w:val="fr-FR"/>
        </w:rPr>
      </w:pPr>
      <w:r w:rsidRPr="00EA2AB9">
        <w:rPr>
          <w:sz w:val="24"/>
          <w:lang w:val="fr-FR"/>
        </w:rPr>
        <w:t>L'évolution reflétant les intentions des auteurs du libellé final de l'article 16 a été présentée, plus précisément, sur la base des documents préparatoires du Conseil, du CAJ, de l'IOM, du PM</w:t>
      </w:r>
      <w:hyperlink w:anchor="_bookmark97" w:history="1">
        <w:r w:rsidRPr="00EA2AB9">
          <w:rPr>
            <w:sz w:val="24"/>
            <w:vertAlign w:val="superscript"/>
            <w:lang w:val="fr-FR"/>
          </w:rPr>
          <w:t>84</w:t>
        </w:r>
      </w:hyperlink>
      <w:r w:rsidRPr="00EA2AB9">
        <w:rPr>
          <w:sz w:val="24"/>
          <w:lang w:val="fr-FR"/>
        </w:rPr>
        <w:t xml:space="preserve">  et des comptes rendus de la Conférence diplomatique.</w:t>
      </w:r>
    </w:p>
    <w:p w14:paraId="02984305" w14:textId="77777777" w:rsidR="006B758D" w:rsidRPr="00EA2AB9" w:rsidRDefault="006B758D">
      <w:pPr>
        <w:pStyle w:val="BodyText"/>
        <w:rPr>
          <w:sz w:val="36"/>
          <w:lang w:val="fr-FR"/>
        </w:rPr>
      </w:pPr>
    </w:p>
    <w:p w14:paraId="264FC2CD" w14:textId="77777777" w:rsidR="006B758D" w:rsidRPr="00EA2AB9" w:rsidRDefault="0023308C">
      <w:pPr>
        <w:pStyle w:val="ListParagraph"/>
        <w:numPr>
          <w:ilvl w:val="0"/>
          <w:numId w:val="6"/>
        </w:numPr>
        <w:tabs>
          <w:tab w:val="left" w:pos="594"/>
        </w:tabs>
        <w:spacing w:before="1"/>
        <w:ind w:hanging="198"/>
        <w:rPr>
          <w:sz w:val="24"/>
          <w:lang w:val="fr-FR"/>
        </w:rPr>
      </w:pPr>
      <w:bookmarkStart w:id="96" w:name="_bookmark96"/>
      <w:bookmarkEnd w:id="96"/>
      <w:r w:rsidRPr="00EA2AB9">
        <w:rPr>
          <w:sz w:val="24"/>
          <w:u w:val="single"/>
          <w:lang w:val="fr-FR"/>
        </w:rPr>
        <w:t xml:space="preserve">Évolution de la clause d'épuisement dans le processus de révision de l'UPOV </w:t>
      </w:r>
      <w:r w:rsidRPr="00EA2AB9">
        <w:rPr>
          <w:spacing w:val="-2"/>
          <w:sz w:val="24"/>
          <w:u w:val="single"/>
          <w:lang w:val="fr-FR"/>
        </w:rPr>
        <w:t>(1986-1991)</w:t>
      </w:r>
    </w:p>
    <w:p w14:paraId="5CF0FDDA" w14:textId="77777777" w:rsidR="006B758D" w:rsidRPr="00EA2AB9" w:rsidRDefault="006B758D">
      <w:pPr>
        <w:pStyle w:val="BodyText"/>
        <w:rPr>
          <w:sz w:val="20"/>
          <w:lang w:val="fr-FR"/>
        </w:rPr>
      </w:pPr>
    </w:p>
    <w:p w14:paraId="24477AB3" w14:textId="77777777" w:rsidR="006B758D" w:rsidRPr="00EA2AB9" w:rsidRDefault="006B758D">
      <w:pPr>
        <w:pStyle w:val="BodyText"/>
        <w:spacing w:before="5"/>
        <w:rPr>
          <w:sz w:val="18"/>
          <w:lang w:val="fr-FR"/>
        </w:rPr>
      </w:pPr>
    </w:p>
    <w:p w14:paraId="653AEB15" w14:textId="77777777" w:rsidR="006B758D" w:rsidRPr="00EA2AB9" w:rsidRDefault="0023308C">
      <w:pPr>
        <w:pStyle w:val="ListParagraph"/>
        <w:numPr>
          <w:ilvl w:val="1"/>
          <w:numId w:val="8"/>
        </w:numPr>
        <w:tabs>
          <w:tab w:val="left" w:pos="1443"/>
        </w:tabs>
        <w:spacing w:before="110" w:line="360" w:lineRule="auto"/>
        <w:ind w:left="396" w:right="116" w:firstLine="707"/>
        <w:rPr>
          <w:b/>
          <w:sz w:val="24"/>
          <w:lang w:val="fr-FR"/>
        </w:rPr>
      </w:pPr>
      <w:r w:rsidRPr="00EA2AB9">
        <w:rPr>
          <w:sz w:val="24"/>
          <w:lang w:val="fr-FR"/>
        </w:rPr>
        <w:t>En novembre 1986, à l'occasion de son</w:t>
      </w:r>
      <w:r w:rsidRPr="00EA2AB9">
        <w:rPr>
          <w:sz w:val="24"/>
          <w:vertAlign w:val="superscript"/>
          <w:lang w:val="fr-FR"/>
        </w:rPr>
        <w:t>25e</w:t>
      </w:r>
      <w:r w:rsidRPr="00EA2AB9">
        <w:rPr>
          <w:sz w:val="24"/>
          <w:lang w:val="fr-FR"/>
        </w:rPr>
        <w:t>anniversaire, le Bureau de l'UPOV a publié une recommandation visant à étendre le droit d'obtenteur à tout le matériel de la variété, avec l'exigence supplémentaire qu'une fois le matériel mis sur le marché dans le territoire concerné, l'épuisement du droit d'obtenteur soit constaté, sauf si le matériel était utilisé à des fins de (re)production</w:t>
      </w:r>
      <w:hyperlink w:anchor="_bookmark98" w:history="1">
        <w:r w:rsidRPr="00EA2AB9">
          <w:rPr>
            <w:sz w:val="24"/>
            <w:vertAlign w:val="superscript"/>
            <w:lang w:val="fr-FR"/>
          </w:rPr>
          <w:t>85</w:t>
        </w:r>
      </w:hyperlink>
      <w:r w:rsidRPr="00EA2AB9">
        <w:rPr>
          <w:b/>
          <w:sz w:val="24"/>
          <w:lang w:val="fr-FR"/>
        </w:rPr>
        <w:t>.</w:t>
      </w:r>
    </w:p>
    <w:p w14:paraId="20597E77" w14:textId="77777777" w:rsidR="006B758D" w:rsidRPr="00EA2AB9" w:rsidRDefault="006B758D">
      <w:pPr>
        <w:pStyle w:val="BodyText"/>
        <w:spacing w:before="1"/>
        <w:rPr>
          <w:b/>
          <w:sz w:val="36"/>
          <w:lang w:val="fr-FR"/>
        </w:rPr>
      </w:pPr>
    </w:p>
    <w:p w14:paraId="24555C0C" w14:textId="77777777" w:rsidR="006B758D" w:rsidRPr="00EA2AB9" w:rsidRDefault="0023308C">
      <w:pPr>
        <w:pStyle w:val="ListParagraph"/>
        <w:numPr>
          <w:ilvl w:val="1"/>
          <w:numId w:val="8"/>
        </w:numPr>
        <w:tabs>
          <w:tab w:val="left" w:pos="1386"/>
        </w:tabs>
        <w:spacing w:before="1" w:line="360" w:lineRule="auto"/>
        <w:ind w:left="396" w:right="116" w:firstLine="707"/>
        <w:rPr>
          <w:sz w:val="24"/>
          <w:lang w:val="fr-FR"/>
        </w:rPr>
      </w:pPr>
      <w:r w:rsidRPr="00EA2AB9">
        <w:rPr>
          <w:sz w:val="24"/>
          <w:lang w:val="fr-FR"/>
        </w:rPr>
        <w:t>Cette recommandation s'expliquait par le fait que la limitation de la portée de la protection au matériel de reproduction ou de multiplication prévue à l'article 5 de l'Acte de 1978 de l'UPOV offrait une faille : les producteurs cultivaient des fruits et des fleurs dans un pays où la variété ne pouvait être protégée et importaient ces produits de la récolte dans le pays où seul le matériel de reproduction ou de multiplication de la variété pouvait être protégé</w:t>
      </w:r>
      <w:hyperlink w:anchor="_bookmark99" w:history="1">
        <w:r w:rsidRPr="00EA2AB9">
          <w:rPr>
            <w:sz w:val="24"/>
            <w:vertAlign w:val="superscript"/>
            <w:lang w:val="fr-FR"/>
          </w:rPr>
          <w:t>86</w:t>
        </w:r>
      </w:hyperlink>
      <w:r w:rsidRPr="00EA2AB9">
        <w:rPr>
          <w:sz w:val="24"/>
          <w:lang w:val="fr-FR"/>
        </w:rPr>
        <w:t>.</w:t>
      </w:r>
    </w:p>
    <w:p w14:paraId="79B8F067" w14:textId="77777777" w:rsidR="006B758D" w:rsidRPr="00EA2AB9" w:rsidRDefault="006B758D">
      <w:pPr>
        <w:pStyle w:val="BodyText"/>
        <w:rPr>
          <w:sz w:val="36"/>
          <w:lang w:val="fr-FR"/>
        </w:rPr>
      </w:pPr>
    </w:p>
    <w:p w14:paraId="46EB9A86" w14:textId="77777777" w:rsidR="006B758D" w:rsidRPr="00EA2AB9" w:rsidRDefault="0023308C">
      <w:pPr>
        <w:pStyle w:val="ListParagraph"/>
        <w:numPr>
          <w:ilvl w:val="1"/>
          <w:numId w:val="8"/>
        </w:numPr>
        <w:tabs>
          <w:tab w:val="left" w:pos="1350"/>
        </w:tabs>
        <w:spacing w:line="360" w:lineRule="auto"/>
        <w:ind w:left="396" w:right="119" w:firstLine="707"/>
        <w:rPr>
          <w:sz w:val="24"/>
          <w:lang w:val="fr-FR"/>
        </w:rPr>
      </w:pPr>
      <w:r w:rsidRPr="00EA2AB9">
        <w:rPr>
          <w:sz w:val="24"/>
          <w:lang w:val="fr-FR"/>
        </w:rPr>
        <w:t>Le paragraphe 5 (4), qui prévoyait également la protection du produit commercialisé, n'était qu'</w:t>
      </w:r>
      <w:r w:rsidRPr="00EA2AB9">
        <w:rPr>
          <w:spacing w:val="-2"/>
          <w:sz w:val="24"/>
          <w:lang w:val="fr-FR"/>
        </w:rPr>
        <w:t>une recommandation.</w:t>
      </w:r>
    </w:p>
    <w:p w14:paraId="5793F14D" w14:textId="77777777" w:rsidR="006B758D" w:rsidRPr="00EA2AB9" w:rsidRDefault="006B758D">
      <w:pPr>
        <w:pStyle w:val="BodyText"/>
        <w:spacing w:before="10"/>
        <w:rPr>
          <w:sz w:val="35"/>
          <w:lang w:val="fr-FR"/>
        </w:rPr>
      </w:pPr>
    </w:p>
    <w:p w14:paraId="619D0304" w14:textId="77777777" w:rsidR="006B758D" w:rsidRPr="00EA2AB9" w:rsidRDefault="0023308C">
      <w:pPr>
        <w:pStyle w:val="ListParagraph"/>
        <w:numPr>
          <w:ilvl w:val="1"/>
          <w:numId w:val="8"/>
        </w:numPr>
        <w:tabs>
          <w:tab w:val="left" w:pos="1347"/>
        </w:tabs>
        <w:spacing w:before="1" w:line="360" w:lineRule="auto"/>
        <w:ind w:left="396" w:right="117" w:firstLine="707"/>
        <w:rPr>
          <w:sz w:val="24"/>
          <w:lang w:val="fr-FR"/>
        </w:rPr>
      </w:pPr>
      <w:r w:rsidRPr="00EA2AB9">
        <w:rPr>
          <w:sz w:val="24"/>
          <w:lang w:val="fr-FR"/>
        </w:rPr>
        <w:t>En 1987, le Conseil de l'UPOV a pris la décision de réviser la Convention UPOV de 1978. L'une des principales raisons était de renforcer le droit d'obtenteur en étendant son étendue</w:t>
      </w:r>
      <w:hyperlink w:anchor="_bookmark100" w:history="1">
        <w:r w:rsidRPr="00EA2AB9">
          <w:rPr>
            <w:sz w:val="24"/>
            <w:vertAlign w:val="superscript"/>
            <w:lang w:val="fr-FR"/>
          </w:rPr>
          <w:t>87</w:t>
        </w:r>
      </w:hyperlink>
      <w:r w:rsidRPr="00EA2AB9">
        <w:rPr>
          <w:sz w:val="24"/>
          <w:lang w:val="fr-FR"/>
        </w:rPr>
        <w:t>.</w:t>
      </w:r>
    </w:p>
    <w:p w14:paraId="5F89ADCE" w14:textId="77777777" w:rsidR="006B758D" w:rsidRPr="00EA2AB9" w:rsidRDefault="006B758D">
      <w:pPr>
        <w:pStyle w:val="BodyText"/>
        <w:rPr>
          <w:sz w:val="20"/>
          <w:lang w:val="fr-FR"/>
        </w:rPr>
      </w:pPr>
    </w:p>
    <w:p w14:paraId="3FDDB39E" w14:textId="77777777" w:rsidR="006B758D" w:rsidRPr="00EA2AB9" w:rsidRDefault="006B758D">
      <w:pPr>
        <w:pStyle w:val="BodyText"/>
        <w:rPr>
          <w:sz w:val="20"/>
          <w:lang w:val="fr-FR"/>
        </w:rPr>
      </w:pPr>
    </w:p>
    <w:p w14:paraId="374090F0" w14:textId="77777777" w:rsidR="006B758D" w:rsidRPr="00EA2AB9" w:rsidRDefault="006B758D">
      <w:pPr>
        <w:pStyle w:val="BodyText"/>
        <w:rPr>
          <w:sz w:val="20"/>
          <w:lang w:val="fr-FR"/>
        </w:rPr>
      </w:pPr>
    </w:p>
    <w:p w14:paraId="32F127D5" w14:textId="77777777" w:rsidR="006B758D" w:rsidRPr="00EA2AB9" w:rsidRDefault="006B758D">
      <w:pPr>
        <w:pStyle w:val="BodyText"/>
        <w:rPr>
          <w:sz w:val="20"/>
          <w:lang w:val="fr-FR"/>
        </w:rPr>
      </w:pPr>
    </w:p>
    <w:p w14:paraId="6891F217" w14:textId="7A39F215" w:rsidR="006B758D" w:rsidRPr="00EA2AB9" w:rsidRDefault="005C7D52">
      <w:pPr>
        <w:pStyle w:val="BodyText"/>
        <w:spacing w:before="10"/>
        <w:rPr>
          <w:sz w:val="17"/>
          <w:lang w:val="fr-FR"/>
        </w:rPr>
      </w:pPr>
      <w:r>
        <w:rPr>
          <w:noProof/>
        </w:rPr>
        <mc:AlternateContent>
          <mc:Choice Requires="wps">
            <w:drawing>
              <wp:anchor distT="0" distB="0" distL="0" distR="0" simplePos="0" relativeHeight="487600640" behindDoc="1" locked="0" layoutInCell="1" allowOverlap="1" wp14:anchorId="52E43F87" wp14:editId="055EA20D">
                <wp:simplePos x="0" y="0"/>
                <wp:positionH relativeFrom="page">
                  <wp:posOffset>899160</wp:posOffset>
                </wp:positionH>
                <wp:positionV relativeFrom="paragraph">
                  <wp:posOffset>146050</wp:posOffset>
                </wp:positionV>
                <wp:extent cx="1828800" cy="7620"/>
                <wp:effectExtent l="0" t="0" r="0" b="0"/>
                <wp:wrapTopAndBottom/>
                <wp:docPr id="80043883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30" style="position:absolute;margin-left:70.8pt;margin-top:11.5pt;width:2in;height:.6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" w14:anchorId="62D708D5">
                <w10:wrap type="topAndBottom" anchorx="page"/>
              </v:rect>
            </w:pict>
          </mc:Fallback>
        </mc:AlternateContent>
      </w:r>
    </w:p>
    <w:p w14:paraId="420142C8" w14:textId="77777777" w:rsidR="006B758D" w:rsidRPr="00EA2AB9" w:rsidRDefault="0023308C">
      <w:pPr>
        <w:spacing w:before="120" w:line="244" w:lineRule="auto"/>
        <w:ind w:left="533" w:right="2103" w:hanging="137"/>
        <w:rPr>
          <w:sz w:val="18"/>
          <w:lang w:val="fr-FR"/>
        </w:rPr>
      </w:pPr>
      <w:bookmarkStart w:id="97" w:name="_bookmark97"/>
      <w:bookmarkEnd w:id="97"/>
      <w:proofErr w:type="gramStart"/>
      <w:r w:rsidRPr="00EA2AB9">
        <w:rPr>
          <w:sz w:val="18"/>
          <w:vertAlign w:val="superscript"/>
          <w:lang w:val="fr-FR"/>
        </w:rPr>
        <w:t>84</w:t>
      </w:r>
      <w:r w:rsidRPr="00EA2AB9">
        <w:rPr>
          <w:sz w:val="18"/>
          <w:lang w:val="fr-FR"/>
        </w:rPr>
        <w:t xml:space="preserve">  CAJ</w:t>
      </w:r>
      <w:proofErr w:type="gramEnd"/>
      <w:r w:rsidRPr="00EA2AB9">
        <w:rPr>
          <w:sz w:val="18"/>
          <w:lang w:val="fr-FR"/>
        </w:rPr>
        <w:t xml:space="preserve"> : Comité administratif et juridique (CAJ). IOM : Réunion avec les organisations internationales. PM : Réunion préparatoire à la révision de la Convention UPOV</w:t>
      </w:r>
    </w:p>
    <w:p w14:paraId="456BD81C" w14:textId="77777777" w:rsidR="006B758D" w:rsidRPr="00EA2AB9" w:rsidRDefault="0023308C">
      <w:pPr>
        <w:spacing w:before="17" w:line="244" w:lineRule="auto"/>
        <w:ind w:left="396" w:right="71"/>
        <w:rPr>
          <w:sz w:val="18"/>
          <w:lang w:val="fr-FR"/>
        </w:rPr>
      </w:pPr>
      <w:bookmarkStart w:id="98" w:name="_bookmark98"/>
      <w:bookmarkEnd w:id="98"/>
      <w:proofErr w:type="gramStart"/>
      <w:r w:rsidRPr="00EA2AB9">
        <w:rPr>
          <w:sz w:val="18"/>
          <w:vertAlign w:val="superscript"/>
          <w:lang w:val="fr-FR"/>
        </w:rPr>
        <w:t>85</w:t>
      </w:r>
      <w:r w:rsidRPr="00EA2AB9">
        <w:rPr>
          <w:sz w:val="18"/>
          <w:lang w:val="fr-FR"/>
        </w:rPr>
        <w:t xml:space="preserve">  CAJ</w:t>
      </w:r>
      <w:proofErr w:type="gramEnd"/>
      <w:r w:rsidRPr="00EA2AB9">
        <w:rPr>
          <w:sz w:val="18"/>
          <w:lang w:val="fr-FR"/>
        </w:rPr>
        <w:t xml:space="preserve"> / 18 / 6, novembre 1986, ANNEXE : Projet de recommandation sur l'extension et l'harmonisation des droits accordés aux obtenteurs proposé par le Bureau de l'Union sur la base des discussions qui précèdent.</w:t>
      </w:r>
    </w:p>
    <w:p w14:paraId="554E81C3" w14:textId="5FE443B4" w:rsidR="006B758D" w:rsidRPr="00260CC0" w:rsidRDefault="0023308C">
      <w:pPr>
        <w:spacing w:before="14"/>
        <w:ind w:left="396"/>
        <w:rPr>
          <w:sz w:val="18"/>
          <w:lang w:val="fr-FR"/>
        </w:rPr>
      </w:pPr>
      <w:bookmarkStart w:id="99" w:name="_bookmark99"/>
      <w:bookmarkEnd w:id="99"/>
      <w:r w:rsidRPr="00260CC0">
        <w:rPr>
          <w:sz w:val="18"/>
          <w:vertAlign w:val="superscript"/>
          <w:lang w:val="fr-FR"/>
        </w:rPr>
        <w:t>86</w:t>
      </w:r>
      <w:r w:rsidRPr="00260CC0">
        <w:rPr>
          <w:sz w:val="18"/>
          <w:lang w:val="fr-FR"/>
        </w:rPr>
        <w:t xml:space="preserve"> CAJ/VIII/5, juin 1981, page 2, paragraphes 6 et</w:t>
      </w:r>
      <w:r w:rsidRPr="00260CC0">
        <w:rPr>
          <w:spacing w:val="-5"/>
          <w:sz w:val="18"/>
          <w:lang w:val="fr-FR"/>
        </w:rPr>
        <w:t xml:space="preserve"> 7.</w:t>
      </w:r>
    </w:p>
    <w:p w14:paraId="3FD4FCA4" w14:textId="051C5D44" w:rsidR="006B758D" w:rsidRPr="00EA2AB9" w:rsidRDefault="0023308C">
      <w:pPr>
        <w:spacing w:before="21"/>
        <w:ind w:left="396"/>
        <w:rPr>
          <w:sz w:val="18"/>
          <w:lang w:val="fr-FR"/>
        </w:rPr>
      </w:pPr>
      <w:bookmarkStart w:id="100" w:name="_bookmark100"/>
      <w:bookmarkEnd w:id="100"/>
      <w:proofErr w:type="gramStart"/>
      <w:r w:rsidRPr="00EA2AB9">
        <w:rPr>
          <w:sz w:val="18"/>
          <w:vertAlign w:val="superscript"/>
          <w:lang w:val="fr-FR"/>
        </w:rPr>
        <w:t>87</w:t>
      </w:r>
      <w:r w:rsidR="00012FEF" w:rsidRPr="00EA2AB9">
        <w:rPr>
          <w:sz w:val="18"/>
          <w:lang w:val="fr-FR"/>
        </w:rPr>
        <w:t xml:space="preserve">  CONSEIL</w:t>
      </w:r>
      <w:proofErr w:type="gramEnd"/>
      <w:r w:rsidR="00012FEF" w:rsidRPr="00EA2AB9">
        <w:rPr>
          <w:sz w:val="18"/>
          <w:lang w:val="fr-FR"/>
        </w:rPr>
        <w:t xml:space="preserve"> </w:t>
      </w:r>
      <w:r w:rsidRPr="00EA2AB9">
        <w:rPr>
          <w:sz w:val="18"/>
          <w:lang w:val="fr-FR"/>
        </w:rPr>
        <w:t>C/XXI/13, 15 et 16 octobre 1987, page</w:t>
      </w:r>
      <w:r w:rsidRPr="00EA2AB9">
        <w:rPr>
          <w:spacing w:val="-5"/>
          <w:sz w:val="18"/>
          <w:lang w:val="fr-FR"/>
        </w:rPr>
        <w:t xml:space="preserve"> 14.</w:t>
      </w:r>
    </w:p>
    <w:p w14:paraId="68ED0182" w14:textId="77777777" w:rsidR="006B758D" w:rsidRPr="00EA2AB9" w:rsidRDefault="006B758D">
      <w:pPr>
        <w:rPr>
          <w:sz w:val="18"/>
          <w:lang w:val="fr-FR"/>
        </w:rPr>
        <w:sectPr w:rsidR="006B758D" w:rsidRPr="00EA2AB9">
          <w:footerReference w:type="default" r:id="rId14"/>
          <w:pgSz w:w="11910" w:h="16840"/>
          <w:pgMar w:top="1320" w:right="1300" w:bottom="1240" w:left="1020" w:header="0" w:footer="1049" w:gutter="0"/>
          <w:cols w:space="720"/>
        </w:sectPr>
      </w:pPr>
    </w:p>
    <w:p w14:paraId="675FC193" w14:textId="77777777" w:rsidR="006B758D" w:rsidRPr="00EA2AB9" w:rsidRDefault="0023308C">
      <w:pPr>
        <w:pStyle w:val="ListParagraph"/>
        <w:numPr>
          <w:ilvl w:val="1"/>
          <w:numId w:val="8"/>
        </w:numPr>
        <w:tabs>
          <w:tab w:val="left" w:pos="1362"/>
        </w:tabs>
        <w:spacing w:before="76" w:line="360" w:lineRule="auto"/>
        <w:ind w:left="396" w:right="120" w:firstLine="707"/>
        <w:rPr>
          <w:sz w:val="24"/>
          <w:lang w:val="fr-FR"/>
        </w:rPr>
      </w:pPr>
      <w:r w:rsidRPr="00EA2AB9">
        <w:rPr>
          <w:sz w:val="24"/>
          <w:lang w:val="fr-FR"/>
        </w:rPr>
        <w:lastRenderedPageBreak/>
        <w:t xml:space="preserve">Au début de la révision de la Convention UPOV, la protection prévue à l'article 5 de l'UPOV 1978 a été étendue à tout le matériel de la variété et aux produits </w:t>
      </w:r>
      <w:r w:rsidRPr="00EA2AB9">
        <w:rPr>
          <w:spacing w:val="-2"/>
          <w:sz w:val="24"/>
          <w:lang w:val="fr-FR"/>
        </w:rPr>
        <w:t>qui en</w:t>
      </w:r>
      <w:r w:rsidRPr="00EA2AB9">
        <w:rPr>
          <w:sz w:val="24"/>
          <w:lang w:val="fr-FR"/>
        </w:rPr>
        <w:t xml:space="preserve"> sont dérivés</w:t>
      </w:r>
      <w:hyperlink w:anchor="_bookmark101" w:history="1">
        <w:r w:rsidRPr="00EA2AB9">
          <w:rPr>
            <w:spacing w:val="-2"/>
            <w:sz w:val="24"/>
            <w:vertAlign w:val="superscript"/>
            <w:lang w:val="fr-FR"/>
          </w:rPr>
          <w:t>88</w:t>
        </w:r>
      </w:hyperlink>
      <w:r w:rsidRPr="00EA2AB9">
        <w:rPr>
          <w:spacing w:val="-2"/>
          <w:sz w:val="24"/>
          <w:lang w:val="fr-FR"/>
        </w:rPr>
        <w:t>.</w:t>
      </w:r>
    </w:p>
    <w:p w14:paraId="5F920D13" w14:textId="77777777" w:rsidR="006B758D" w:rsidRPr="00EA2AB9" w:rsidRDefault="006B758D">
      <w:pPr>
        <w:pStyle w:val="BodyText"/>
        <w:spacing w:before="1"/>
        <w:rPr>
          <w:sz w:val="36"/>
          <w:lang w:val="fr-FR"/>
        </w:rPr>
      </w:pPr>
    </w:p>
    <w:p w14:paraId="010C8898" w14:textId="77777777" w:rsidR="006B758D" w:rsidRPr="005557C5" w:rsidRDefault="0023308C">
      <w:pPr>
        <w:pStyle w:val="ListParagraph"/>
        <w:numPr>
          <w:ilvl w:val="1"/>
          <w:numId w:val="8"/>
        </w:numPr>
        <w:tabs>
          <w:tab w:val="left" w:pos="1354"/>
        </w:tabs>
        <w:spacing w:line="360" w:lineRule="auto"/>
        <w:ind w:left="396" w:right="118" w:firstLine="707"/>
        <w:rPr>
          <w:b/>
          <w:sz w:val="24"/>
          <w:lang w:val="fr-FR"/>
        </w:rPr>
      </w:pPr>
      <w:r w:rsidRPr="00EA2AB9">
        <w:rPr>
          <w:sz w:val="24"/>
          <w:lang w:val="fr-FR"/>
        </w:rPr>
        <w:t>Le paragraphe sur l'épuisement, article 5 (2)(b), empêchait le titulaire d'exercer ses droits à la fois sur le matériel de reproduction ou de multiplication et sur les produits de la récolte, mais le droit exclusif de reproduction n'était pas épuisé.</w:t>
      </w:r>
      <w:hyperlink w:anchor="_bookmark102" w:history="1">
        <w:r w:rsidRPr="005557C5">
          <w:rPr>
            <w:sz w:val="24"/>
            <w:vertAlign w:val="superscript"/>
            <w:lang w:val="fr-FR"/>
          </w:rPr>
          <w:t>89</w:t>
        </w:r>
      </w:hyperlink>
      <w:r w:rsidRPr="005557C5">
        <w:rPr>
          <w:b/>
          <w:sz w:val="24"/>
          <w:lang w:val="fr-FR"/>
        </w:rPr>
        <w:t xml:space="preserve"> .</w:t>
      </w:r>
    </w:p>
    <w:p w14:paraId="58E0D7E7" w14:textId="77777777" w:rsidR="006B758D" w:rsidRPr="005557C5" w:rsidRDefault="006B758D">
      <w:pPr>
        <w:pStyle w:val="BodyText"/>
        <w:rPr>
          <w:b/>
          <w:sz w:val="36"/>
          <w:lang w:val="fr-FR"/>
        </w:rPr>
      </w:pPr>
    </w:p>
    <w:p w14:paraId="44C7AAF6" w14:textId="77777777" w:rsidR="006B758D" w:rsidRPr="009B50CC" w:rsidRDefault="0023308C">
      <w:pPr>
        <w:pStyle w:val="ListParagraph"/>
        <w:numPr>
          <w:ilvl w:val="1"/>
          <w:numId w:val="8"/>
        </w:numPr>
        <w:tabs>
          <w:tab w:val="left" w:pos="1335"/>
        </w:tabs>
        <w:spacing w:line="360" w:lineRule="auto"/>
        <w:ind w:left="396" w:right="117" w:firstLine="707"/>
        <w:rPr>
          <w:sz w:val="24"/>
          <w:lang w:val="fr-FR"/>
        </w:rPr>
      </w:pPr>
      <w:r w:rsidRPr="009B50CC">
        <w:rPr>
          <w:sz w:val="24"/>
          <w:lang w:val="fr-FR"/>
        </w:rPr>
        <w:t>À ce stade, il était prévu que la vente au public de fleurs coupées produites à partir de rosiers ou de bulbes de tulipes destinés à être plantés dans des jardins privés n'épuiserait pas le droit de respecter les pratiques loyales et la destination du matériel utilisé pour la dérivation</w:t>
      </w:r>
      <w:hyperlink w:anchor="_bookmark103" w:history="1">
        <w:r w:rsidRPr="009B50CC">
          <w:rPr>
            <w:sz w:val="24"/>
            <w:vertAlign w:val="superscript"/>
            <w:lang w:val="fr-FR"/>
          </w:rPr>
          <w:t>90</w:t>
        </w:r>
      </w:hyperlink>
      <w:r w:rsidRPr="009B50CC">
        <w:rPr>
          <w:sz w:val="24"/>
          <w:lang w:val="fr-FR"/>
        </w:rPr>
        <w:t xml:space="preserve">. </w:t>
      </w:r>
      <w:hyperlink w:anchor="_bookmark103" w:history="1"/>
    </w:p>
    <w:p w14:paraId="3AF66FD7" w14:textId="77777777" w:rsidR="006B758D" w:rsidRPr="009B50CC" w:rsidRDefault="006B758D">
      <w:pPr>
        <w:pStyle w:val="BodyText"/>
        <w:spacing w:before="1"/>
        <w:rPr>
          <w:sz w:val="36"/>
          <w:lang w:val="fr-FR"/>
        </w:rPr>
      </w:pPr>
    </w:p>
    <w:p w14:paraId="1B2D6818" w14:textId="77777777" w:rsidR="006B758D" w:rsidRDefault="0023308C">
      <w:pPr>
        <w:pStyle w:val="ListParagraph"/>
        <w:numPr>
          <w:ilvl w:val="1"/>
          <w:numId w:val="8"/>
        </w:numPr>
        <w:tabs>
          <w:tab w:val="left" w:pos="1376"/>
        </w:tabs>
        <w:spacing w:line="360" w:lineRule="auto"/>
        <w:ind w:left="396" w:right="118" w:firstLine="707"/>
        <w:rPr>
          <w:sz w:val="24"/>
        </w:rPr>
      </w:pPr>
      <w:r w:rsidRPr="00EA2AB9">
        <w:rPr>
          <w:sz w:val="24"/>
          <w:lang w:val="fr-FR"/>
        </w:rPr>
        <w:t>L'intention était que l'épuisement ne s'applique qu'au matériel mis sur le marché sur le territoire de protection et non au matériel exporté vers un autre territoire où la variété est également protégée.</w:t>
      </w:r>
      <w:hyperlink w:anchor="_bookmark104" w:history="1">
        <w:r>
          <w:rPr>
            <w:sz w:val="24"/>
            <w:vertAlign w:val="superscript"/>
          </w:rPr>
          <w:t>91</w:t>
        </w:r>
      </w:hyperlink>
    </w:p>
    <w:p w14:paraId="37FF2428" w14:textId="77777777" w:rsidR="006B758D" w:rsidRPr="00D93FDF" w:rsidRDefault="006B758D">
      <w:pPr>
        <w:pStyle w:val="BodyText"/>
        <w:rPr>
          <w:sz w:val="20"/>
          <w:szCs w:val="14"/>
        </w:rPr>
      </w:pPr>
    </w:p>
    <w:p w14:paraId="521AD84A" w14:textId="77777777" w:rsidR="006B758D" w:rsidRPr="00EA2AB9" w:rsidRDefault="0023308C">
      <w:pPr>
        <w:pStyle w:val="ListParagraph"/>
        <w:numPr>
          <w:ilvl w:val="1"/>
          <w:numId w:val="8"/>
        </w:numPr>
        <w:tabs>
          <w:tab w:val="left" w:pos="1477"/>
        </w:tabs>
        <w:spacing w:line="360" w:lineRule="auto"/>
        <w:ind w:left="396" w:right="114" w:firstLine="707"/>
        <w:rPr>
          <w:sz w:val="24"/>
          <w:lang w:val="fr-FR"/>
        </w:rPr>
      </w:pPr>
      <w:r w:rsidRPr="00EA2AB9">
        <w:rPr>
          <w:sz w:val="24"/>
          <w:lang w:val="fr-FR"/>
        </w:rPr>
        <w:t>Lors de la première réunion préparatoire à la révision de la Convention UPOV en avril 1990, le texte existant a été élargi</w:t>
      </w:r>
      <w:hyperlink w:anchor="_bookmark105" w:history="1">
        <w:r w:rsidRPr="00EA2AB9">
          <w:rPr>
            <w:sz w:val="24"/>
            <w:vertAlign w:val="superscript"/>
            <w:lang w:val="fr-FR"/>
          </w:rPr>
          <w:t>92</w:t>
        </w:r>
      </w:hyperlink>
      <w:r w:rsidRPr="00EA2AB9">
        <w:rPr>
          <w:sz w:val="24"/>
          <w:lang w:val="fr-FR"/>
        </w:rPr>
        <w:t xml:space="preserve"> , prévoyant désormais l'épuisement du matériel dès lors qu'il a été mis à disposition sur le territoire de protection, avec trois exceptions : (a) lorsque le matériel</w:t>
      </w:r>
    </w:p>
    <w:p w14:paraId="6AE86CD7" w14:textId="77777777" w:rsidR="006B758D" w:rsidRPr="00EA2AB9" w:rsidRDefault="0023308C">
      <w:pPr>
        <w:pStyle w:val="BodyText"/>
        <w:spacing w:before="2" w:line="360" w:lineRule="auto"/>
        <w:ind w:left="396" w:right="120"/>
        <w:jc w:val="both"/>
        <w:rPr>
          <w:lang w:val="fr-FR"/>
        </w:rPr>
      </w:pPr>
      <w:r w:rsidRPr="00EA2AB9">
        <w:rPr>
          <w:lang w:val="fr-FR"/>
        </w:rPr>
        <w:t>(i) est utilisé pour une reproduction ultérieure ou (ii) en dehors du domaine d'utilisation pour lequel l'obtenteur a mis le matériel sur le marché ou donné son consentement, ou (iii) est exporté vers un pays qui ne protège pas le genre ou l'espèce végétale auquel appartient la variété.</w:t>
      </w:r>
    </w:p>
    <w:p w14:paraId="71A46BC3" w14:textId="77777777" w:rsidR="006B758D" w:rsidRPr="00D93FDF" w:rsidRDefault="006B758D">
      <w:pPr>
        <w:pStyle w:val="BodyText"/>
        <w:rPr>
          <w:sz w:val="22"/>
          <w:szCs w:val="16"/>
          <w:lang w:val="fr-FR"/>
        </w:rPr>
      </w:pPr>
    </w:p>
    <w:p w14:paraId="306AEA50" w14:textId="2AF9F0FD" w:rsidR="006B758D" w:rsidRPr="00D93FDF" w:rsidRDefault="0023308C" w:rsidP="00D93FDF">
      <w:pPr>
        <w:pStyle w:val="ListParagraph"/>
        <w:numPr>
          <w:ilvl w:val="1"/>
          <w:numId w:val="8"/>
        </w:numPr>
        <w:tabs>
          <w:tab w:val="left" w:pos="1477"/>
        </w:tabs>
        <w:spacing w:line="360" w:lineRule="auto"/>
        <w:ind w:left="396" w:right="118" w:firstLine="707"/>
        <w:rPr>
          <w:sz w:val="24"/>
        </w:rPr>
      </w:pPr>
      <w:r w:rsidRPr="00EA2AB9">
        <w:rPr>
          <w:sz w:val="24"/>
          <w:lang w:val="fr-FR"/>
        </w:rPr>
        <w:t xml:space="preserve">L'exception (ii) était fondée sur le souhait des obtenteurs d'appliquer des pratiques équitables au matériel dérivé du produit de la récolte. </w:t>
      </w:r>
      <w:proofErr w:type="spellStart"/>
      <w:r>
        <w:rPr>
          <w:sz w:val="24"/>
        </w:rPr>
        <w:t>L'exception</w:t>
      </w:r>
      <w:proofErr w:type="spellEnd"/>
      <w:r>
        <w:rPr>
          <w:sz w:val="24"/>
        </w:rPr>
        <w:t xml:space="preserve"> (iii) est </w:t>
      </w:r>
      <w:proofErr w:type="spellStart"/>
      <w:r>
        <w:rPr>
          <w:sz w:val="24"/>
        </w:rPr>
        <w:t>fondée</w:t>
      </w:r>
      <w:proofErr w:type="spellEnd"/>
      <w:r>
        <w:rPr>
          <w:sz w:val="24"/>
        </w:rPr>
        <w:t xml:space="preserve"> sur la considération </w:t>
      </w:r>
      <w:proofErr w:type="gramStart"/>
      <w:r>
        <w:rPr>
          <w:sz w:val="24"/>
        </w:rPr>
        <w:t>suivante :</w:t>
      </w:r>
      <w:proofErr w:type="gramEnd"/>
    </w:p>
    <w:p w14:paraId="10ABCBCB" w14:textId="63E07F7D" w:rsidR="006B758D" w:rsidRDefault="005C7D52">
      <w:pPr>
        <w:pStyle w:val="BodyText"/>
        <w:spacing w:before="9"/>
        <w:rPr>
          <w:sz w:val="11"/>
        </w:rPr>
      </w:pPr>
      <w:r>
        <w:rPr>
          <w:noProof/>
        </w:rPr>
        <mc:AlternateContent>
          <mc:Choice Requires="wps">
            <w:drawing>
              <wp:anchor distT="0" distB="0" distL="0" distR="0" simplePos="0" relativeHeight="487601152" behindDoc="1" locked="0" layoutInCell="1" allowOverlap="1" wp14:anchorId="1966061F" wp14:editId="1A7B7BDB">
                <wp:simplePos x="0" y="0"/>
                <wp:positionH relativeFrom="page">
                  <wp:posOffset>899160</wp:posOffset>
                </wp:positionH>
                <wp:positionV relativeFrom="paragraph">
                  <wp:posOffset>101600</wp:posOffset>
                </wp:positionV>
                <wp:extent cx="1828800" cy="7620"/>
                <wp:effectExtent l="0" t="0" r="0" b="0"/>
                <wp:wrapTopAndBottom/>
                <wp:docPr id="212737431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31" style="position:absolute;margin-left:70.8pt;margin-top:8pt;width:2in;height:.6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" w14:anchorId="5AE0B5B5">
                <w10:wrap type="topAndBottom" anchorx="page"/>
              </v:rect>
            </w:pict>
          </mc:Fallback>
        </mc:AlternateContent>
      </w:r>
    </w:p>
    <w:p w14:paraId="29B5DE39" w14:textId="77777777" w:rsidR="006B758D" w:rsidRPr="00EA2AB9" w:rsidRDefault="0023308C">
      <w:pPr>
        <w:spacing w:before="120" w:line="201" w:lineRule="exact"/>
        <w:ind w:left="396"/>
        <w:jc w:val="both"/>
        <w:rPr>
          <w:sz w:val="18"/>
          <w:lang w:val="fr-FR"/>
        </w:rPr>
      </w:pPr>
      <w:bookmarkStart w:id="101" w:name="_bookmark101"/>
      <w:bookmarkEnd w:id="101"/>
      <w:proofErr w:type="gramStart"/>
      <w:r w:rsidRPr="00EA2AB9">
        <w:rPr>
          <w:sz w:val="18"/>
          <w:vertAlign w:val="superscript"/>
          <w:lang w:val="fr-FR"/>
        </w:rPr>
        <w:t>88</w:t>
      </w:r>
      <w:r w:rsidRPr="00EA2AB9">
        <w:rPr>
          <w:sz w:val="18"/>
          <w:lang w:val="fr-FR"/>
        </w:rPr>
        <w:t xml:space="preserve">  CAJ</w:t>
      </w:r>
      <w:proofErr w:type="gramEnd"/>
      <w:r w:rsidRPr="00EA2AB9">
        <w:rPr>
          <w:sz w:val="18"/>
          <w:lang w:val="fr-FR"/>
        </w:rPr>
        <w:t xml:space="preserve">/ XXII/2, avril 1988, page 9, article 5, paragraphes (1) et (2)(a) : proposition visant à étendre le droit à tout le matériel de la </w:t>
      </w:r>
      <w:r w:rsidRPr="00EA2AB9">
        <w:rPr>
          <w:spacing w:val="-2"/>
          <w:sz w:val="18"/>
          <w:lang w:val="fr-FR"/>
        </w:rPr>
        <w:t>variété.</w:t>
      </w:r>
    </w:p>
    <w:p w14:paraId="411B0261" w14:textId="77777777" w:rsidR="006B758D" w:rsidRPr="00EA2AB9" w:rsidRDefault="0023308C">
      <w:pPr>
        <w:spacing w:line="249" w:lineRule="auto"/>
        <w:ind w:left="396" w:right="112"/>
        <w:jc w:val="both"/>
        <w:rPr>
          <w:sz w:val="18"/>
          <w:lang w:val="fr-FR"/>
        </w:rPr>
      </w:pPr>
      <w:bookmarkStart w:id="102" w:name="_bookmark102"/>
      <w:bookmarkEnd w:id="102"/>
      <w:r w:rsidRPr="00EA2AB9">
        <w:rPr>
          <w:position w:val="9"/>
          <w:sz w:val="16"/>
          <w:lang w:val="fr-FR"/>
        </w:rPr>
        <w:t>89</w:t>
      </w:r>
      <w:r w:rsidRPr="00EA2AB9">
        <w:rPr>
          <w:sz w:val="18"/>
          <w:lang w:val="fr-FR"/>
        </w:rPr>
        <w:t>CAJ/XXII/2, avril 1988, page 9, article 5 (paragraphe (2)(b)) : Principe de l'épuisement des droits. Ce droit ne s'étend toutefois pas à la mise en vente ou à la vente de matériel mis sur le marché par l'obtenteur ou avec son consentement exprès, ni à la mise en vente ou à la vente de matériel dérivé de ce matériel conformément à sa destination prévue.</w:t>
      </w:r>
    </w:p>
    <w:p w14:paraId="44371CA1" w14:textId="77777777" w:rsidR="006B758D" w:rsidRPr="00EA2AB9" w:rsidRDefault="0023308C">
      <w:pPr>
        <w:spacing w:line="189" w:lineRule="exact"/>
        <w:ind w:left="396"/>
        <w:jc w:val="both"/>
        <w:rPr>
          <w:sz w:val="18"/>
          <w:lang w:val="fr-FR"/>
        </w:rPr>
      </w:pPr>
      <w:bookmarkStart w:id="103" w:name="_bookmark103"/>
      <w:bookmarkEnd w:id="103"/>
      <w:r w:rsidRPr="00EA2AB9">
        <w:rPr>
          <w:sz w:val="18"/>
          <w:lang w:val="fr-FR"/>
        </w:rPr>
        <w:t xml:space="preserve">Il s'ensuit que le droit de reproduction n'est pas soumis à </w:t>
      </w:r>
      <w:r w:rsidRPr="00EA2AB9">
        <w:rPr>
          <w:spacing w:val="-2"/>
          <w:sz w:val="18"/>
          <w:lang w:val="fr-FR"/>
        </w:rPr>
        <w:t>l'épuisement.</w:t>
      </w:r>
    </w:p>
    <w:p w14:paraId="11521AB7" w14:textId="77777777" w:rsidR="006B758D" w:rsidRPr="00EA2AB9" w:rsidRDefault="0023308C">
      <w:pPr>
        <w:spacing w:line="270" w:lineRule="exact"/>
        <w:ind w:left="396"/>
        <w:jc w:val="both"/>
        <w:rPr>
          <w:sz w:val="18"/>
          <w:lang w:val="fr-FR"/>
        </w:rPr>
      </w:pPr>
      <w:proofErr w:type="gramStart"/>
      <w:r w:rsidRPr="00EA2AB9">
        <w:rPr>
          <w:position w:val="9"/>
          <w:sz w:val="16"/>
          <w:lang w:val="fr-FR"/>
        </w:rPr>
        <w:t>90</w:t>
      </w:r>
      <w:r w:rsidRPr="00EA2AB9">
        <w:rPr>
          <w:sz w:val="18"/>
          <w:lang w:val="fr-FR"/>
        </w:rPr>
        <w:t xml:space="preserve">  CAJ</w:t>
      </w:r>
      <w:proofErr w:type="gramEnd"/>
      <w:r w:rsidRPr="00EA2AB9">
        <w:rPr>
          <w:sz w:val="18"/>
          <w:lang w:val="fr-FR"/>
        </w:rPr>
        <w:t>/ XXII /2, avril 1988, page 10, paragraphe 6 ; CAJ XXIII/2, octobre 1988, page 15, paragraphes 14 et</w:t>
      </w:r>
      <w:r w:rsidRPr="00EA2AB9">
        <w:rPr>
          <w:spacing w:val="-5"/>
          <w:sz w:val="18"/>
          <w:lang w:val="fr-FR"/>
        </w:rPr>
        <w:t xml:space="preserve"> 15 :</w:t>
      </w:r>
    </w:p>
    <w:p w14:paraId="15D7AA3C" w14:textId="77777777" w:rsidR="006B758D" w:rsidRPr="00EA2AB9" w:rsidRDefault="0023308C">
      <w:pPr>
        <w:spacing w:before="8"/>
        <w:ind w:left="396" w:right="113"/>
        <w:jc w:val="both"/>
        <w:rPr>
          <w:sz w:val="18"/>
          <w:lang w:val="fr-FR"/>
        </w:rPr>
      </w:pPr>
      <w:r w:rsidRPr="00EA2AB9">
        <w:rPr>
          <w:sz w:val="18"/>
          <w:lang w:val="fr-FR"/>
        </w:rPr>
        <w:t>Le principe d'épuisement s'appliquerait au matériel initialement vendu et au matériel dérivé, mais à condition que la dérivation suive des pratiques loyales dans le cadre de l'utilisation prévue du matériel tel qu'il a été vendu.</w:t>
      </w:r>
    </w:p>
    <w:p w14:paraId="0DAA8BC7" w14:textId="77777777" w:rsidR="006B758D" w:rsidRPr="00260CC0" w:rsidRDefault="0023308C">
      <w:pPr>
        <w:spacing w:before="18" w:line="201" w:lineRule="exact"/>
        <w:ind w:left="396"/>
        <w:jc w:val="both"/>
        <w:rPr>
          <w:sz w:val="18"/>
          <w:lang w:val="fr-FR"/>
        </w:rPr>
      </w:pPr>
      <w:bookmarkStart w:id="104" w:name="_bookmark104"/>
      <w:bookmarkEnd w:id="104"/>
      <w:proofErr w:type="gramStart"/>
      <w:r w:rsidRPr="00260CC0">
        <w:rPr>
          <w:sz w:val="18"/>
          <w:vertAlign w:val="superscript"/>
          <w:lang w:val="fr-FR"/>
        </w:rPr>
        <w:t>91</w:t>
      </w:r>
      <w:r w:rsidRPr="00260CC0">
        <w:rPr>
          <w:sz w:val="18"/>
          <w:lang w:val="fr-FR"/>
        </w:rPr>
        <w:t xml:space="preserve">  CAJ</w:t>
      </w:r>
      <w:proofErr w:type="gramEnd"/>
      <w:r w:rsidRPr="00260CC0">
        <w:rPr>
          <w:sz w:val="18"/>
          <w:lang w:val="fr-FR"/>
        </w:rPr>
        <w:t xml:space="preserve"> XXIII/2, octobre 1988, page 15, paragraphe 13 ; CAJ /XXIV/6, avril 1989, page 15, paragraphe</w:t>
      </w:r>
      <w:r w:rsidRPr="00260CC0">
        <w:rPr>
          <w:spacing w:val="-5"/>
          <w:sz w:val="18"/>
          <w:lang w:val="fr-FR"/>
        </w:rPr>
        <w:t xml:space="preserve"> 76.</w:t>
      </w:r>
    </w:p>
    <w:p w14:paraId="62C10BCF" w14:textId="77777777" w:rsidR="006B758D" w:rsidRPr="00EA2AB9" w:rsidRDefault="0023308C">
      <w:pPr>
        <w:spacing w:line="272" w:lineRule="exact"/>
        <w:ind w:left="396"/>
        <w:jc w:val="both"/>
        <w:rPr>
          <w:sz w:val="18"/>
          <w:lang w:val="fr-FR"/>
        </w:rPr>
      </w:pPr>
      <w:bookmarkStart w:id="105" w:name="_bookmark105"/>
      <w:bookmarkEnd w:id="105"/>
      <w:proofErr w:type="gramStart"/>
      <w:r w:rsidRPr="00EA2AB9">
        <w:rPr>
          <w:position w:val="9"/>
          <w:sz w:val="16"/>
          <w:lang w:val="fr-FR"/>
        </w:rPr>
        <w:t>92</w:t>
      </w:r>
      <w:r w:rsidRPr="00EA2AB9">
        <w:rPr>
          <w:sz w:val="18"/>
          <w:lang w:val="fr-FR"/>
        </w:rPr>
        <w:t xml:space="preserve">  PM</w:t>
      </w:r>
      <w:proofErr w:type="gramEnd"/>
      <w:r w:rsidRPr="00EA2AB9">
        <w:rPr>
          <w:sz w:val="18"/>
          <w:lang w:val="fr-FR"/>
        </w:rPr>
        <w:t xml:space="preserve"> 1/ 2, avril 1990, page 33, paragraphe</w:t>
      </w:r>
      <w:r w:rsidRPr="00EA2AB9">
        <w:rPr>
          <w:spacing w:val="-4"/>
          <w:sz w:val="18"/>
          <w:lang w:val="fr-FR"/>
        </w:rPr>
        <w:t xml:space="preserve"> 17.1</w:t>
      </w:r>
    </w:p>
    <w:p w14:paraId="22EEFF15" w14:textId="77777777" w:rsidR="006B758D" w:rsidRPr="00EA2AB9" w:rsidRDefault="0023308C">
      <w:pPr>
        <w:spacing w:before="14"/>
        <w:ind w:left="396"/>
        <w:jc w:val="both"/>
        <w:rPr>
          <w:sz w:val="18"/>
          <w:lang w:val="fr-FR"/>
        </w:rPr>
      </w:pPr>
      <w:r w:rsidRPr="00EA2AB9">
        <w:rPr>
          <w:sz w:val="18"/>
          <w:lang w:val="fr-FR"/>
        </w:rPr>
        <w:t xml:space="preserve">Nouveau texte proposé Article 17 Effets du droit d'obtenteur, </w:t>
      </w:r>
      <w:r w:rsidRPr="00EA2AB9">
        <w:rPr>
          <w:spacing w:val="-2"/>
          <w:sz w:val="18"/>
          <w:lang w:val="fr-FR"/>
        </w:rPr>
        <w:t>notes</w:t>
      </w:r>
      <w:r w:rsidRPr="00EA2AB9">
        <w:rPr>
          <w:sz w:val="18"/>
          <w:lang w:val="fr-FR"/>
        </w:rPr>
        <w:t xml:space="preserve"> explicatives</w:t>
      </w:r>
      <w:r w:rsidRPr="00EA2AB9">
        <w:rPr>
          <w:spacing w:val="-2"/>
          <w:sz w:val="18"/>
          <w:lang w:val="fr-FR"/>
        </w:rPr>
        <w:t>.</w:t>
      </w:r>
    </w:p>
    <w:p w14:paraId="45BC9E46" w14:textId="77777777" w:rsidR="006B758D" w:rsidRPr="00EA2AB9" w:rsidRDefault="0023308C">
      <w:pPr>
        <w:spacing w:before="2"/>
        <w:ind w:left="396" w:right="113"/>
        <w:jc w:val="both"/>
        <w:rPr>
          <w:sz w:val="18"/>
          <w:lang w:val="fr-FR"/>
        </w:rPr>
      </w:pPr>
      <w:r w:rsidRPr="00EA2AB9">
        <w:rPr>
          <w:sz w:val="18"/>
          <w:lang w:val="fr-FR"/>
        </w:rPr>
        <w:t>À la vingt-cinquième session du Comité administratif et juridique, une nouvelle structure et un nouveau projet ont été proposés pour l'article traitant des effets du droit d'obtenteur, principalement en raison des critiques formulées quant à la difficulté de comprendre la disposition relative au principe d'épuisement.</w:t>
      </w:r>
    </w:p>
    <w:p w14:paraId="7010AE81" w14:textId="77777777" w:rsidR="006B758D" w:rsidRPr="00EA2AB9" w:rsidRDefault="006B758D">
      <w:pPr>
        <w:jc w:val="both"/>
        <w:rPr>
          <w:sz w:val="18"/>
          <w:lang w:val="fr-FR"/>
        </w:rPr>
        <w:sectPr w:rsidR="006B758D" w:rsidRPr="00EA2AB9">
          <w:pgSz w:w="11910" w:h="16840"/>
          <w:pgMar w:top="1320" w:right="1300" w:bottom="1240" w:left="1020" w:header="0" w:footer="1049" w:gutter="0"/>
          <w:cols w:space="720"/>
        </w:sectPr>
      </w:pPr>
    </w:p>
    <w:p w14:paraId="4B038B37" w14:textId="77777777" w:rsidR="006B758D" w:rsidRDefault="0023308C">
      <w:pPr>
        <w:pStyle w:val="BodyText"/>
        <w:spacing w:before="76" w:line="360" w:lineRule="auto"/>
        <w:ind w:left="396" w:right="117"/>
        <w:jc w:val="both"/>
      </w:pPr>
      <w:r w:rsidRPr="00EA2AB9">
        <w:rPr>
          <w:lang w:val="fr-FR"/>
        </w:rPr>
        <w:lastRenderedPageBreak/>
        <w:t xml:space="preserve">« Afin de garantir l'efficacité du droit en matière d'exportations, celles-ci sont exclues de l'épuisement ; cette exclusion n'est toutefois valable que pour les exportations vers des pays ne bénéficiant pas de la protection prévue à l'article 10, paragraphe 4, de la loi applicable en Allemagne ». </w:t>
      </w:r>
      <w:hyperlink w:anchor="_bookmark106" w:history="1">
        <w:r>
          <w:rPr>
            <w:vertAlign w:val="superscript"/>
          </w:rPr>
          <w:t>93</w:t>
        </w:r>
      </w:hyperlink>
    </w:p>
    <w:p w14:paraId="62009CAA" w14:textId="77777777" w:rsidR="006B758D" w:rsidRDefault="006B758D">
      <w:pPr>
        <w:pStyle w:val="BodyText"/>
        <w:spacing w:before="1"/>
        <w:rPr>
          <w:sz w:val="36"/>
        </w:rPr>
      </w:pPr>
    </w:p>
    <w:p w14:paraId="4C86FDDF" w14:textId="77777777" w:rsidR="006B758D" w:rsidRPr="00EA2AB9" w:rsidRDefault="0023308C">
      <w:pPr>
        <w:pStyle w:val="ListParagraph"/>
        <w:numPr>
          <w:ilvl w:val="1"/>
          <w:numId w:val="8"/>
        </w:numPr>
        <w:tabs>
          <w:tab w:val="left" w:pos="1482"/>
        </w:tabs>
        <w:spacing w:line="360" w:lineRule="auto"/>
        <w:ind w:left="396" w:right="114" w:firstLine="707"/>
        <w:rPr>
          <w:sz w:val="24"/>
          <w:lang w:val="fr-FR"/>
        </w:rPr>
      </w:pPr>
      <w:r w:rsidRPr="00EA2AB9">
        <w:rPr>
          <w:sz w:val="24"/>
          <w:lang w:val="fr-FR"/>
        </w:rPr>
        <w:t xml:space="preserve">En outre, cette exception s'appliquerait également lorsque les exportations sont destinées à un pays qui protège les obtentions végétales, mais pas le taxon auquel </w:t>
      </w:r>
      <w:r w:rsidRPr="00EA2AB9">
        <w:rPr>
          <w:spacing w:val="-2"/>
          <w:sz w:val="24"/>
          <w:lang w:val="fr-FR"/>
        </w:rPr>
        <w:t>appartient</w:t>
      </w:r>
      <w:r w:rsidRPr="00EA2AB9">
        <w:rPr>
          <w:sz w:val="24"/>
          <w:lang w:val="fr-FR"/>
        </w:rPr>
        <w:t xml:space="preserve"> la variété concernée</w:t>
      </w:r>
      <w:hyperlink w:anchor="_bookmark107" w:history="1">
        <w:r w:rsidRPr="00EA2AB9">
          <w:rPr>
            <w:spacing w:val="-2"/>
            <w:sz w:val="24"/>
            <w:vertAlign w:val="superscript"/>
            <w:lang w:val="fr-FR"/>
          </w:rPr>
          <w:t>94</w:t>
        </w:r>
      </w:hyperlink>
      <w:r w:rsidRPr="00EA2AB9">
        <w:rPr>
          <w:spacing w:val="-2"/>
          <w:sz w:val="24"/>
          <w:lang w:val="fr-FR"/>
        </w:rPr>
        <w:t>.</w:t>
      </w:r>
    </w:p>
    <w:p w14:paraId="71C6453A" w14:textId="77777777" w:rsidR="006B758D" w:rsidRPr="00EA2AB9" w:rsidRDefault="006B758D">
      <w:pPr>
        <w:pStyle w:val="BodyText"/>
        <w:rPr>
          <w:sz w:val="36"/>
          <w:lang w:val="fr-FR"/>
        </w:rPr>
      </w:pPr>
    </w:p>
    <w:p w14:paraId="5E5AAD84" w14:textId="77777777" w:rsidR="006B758D" w:rsidRPr="00EA2AB9" w:rsidRDefault="0023308C">
      <w:pPr>
        <w:pStyle w:val="ListParagraph"/>
        <w:numPr>
          <w:ilvl w:val="1"/>
          <w:numId w:val="8"/>
        </w:numPr>
        <w:tabs>
          <w:tab w:val="left" w:pos="1486"/>
        </w:tabs>
        <w:spacing w:line="362" w:lineRule="auto"/>
        <w:ind w:left="396" w:right="122" w:firstLine="707"/>
        <w:rPr>
          <w:sz w:val="24"/>
          <w:lang w:val="fr-FR"/>
        </w:rPr>
      </w:pPr>
      <w:r w:rsidRPr="00EA2AB9">
        <w:rPr>
          <w:sz w:val="24"/>
          <w:lang w:val="fr-FR"/>
        </w:rPr>
        <w:t xml:space="preserve">Lors de la réunion avec les organisations internationales, le paragraphe suivant a été ajouté sans autre explication ni discussion </w:t>
      </w:r>
      <w:hyperlink w:anchor="_bookmark108" w:history="1">
        <w:r w:rsidRPr="00EA2AB9">
          <w:rPr>
            <w:sz w:val="24"/>
            <w:vertAlign w:val="superscript"/>
            <w:lang w:val="fr-FR"/>
          </w:rPr>
          <w:t>95</w:t>
        </w:r>
      </w:hyperlink>
      <w:r w:rsidRPr="00EA2AB9">
        <w:rPr>
          <w:sz w:val="24"/>
          <w:lang w:val="fr-FR"/>
        </w:rPr>
        <w:t>:</w:t>
      </w:r>
    </w:p>
    <w:p w14:paraId="57BF8D13" w14:textId="77777777" w:rsidR="006B758D" w:rsidRPr="00EA2AB9" w:rsidRDefault="006B758D">
      <w:pPr>
        <w:pStyle w:val="BodyText"/>
        <w:spacing w:before="8"/>
        <w:rPr>
          <w:sz w:val="35"/>
          <w:lang w:val="fr-FR"/>
        </w:rPr>
      </w:pPr>
    </w:p>
    <w:p w14:paraId="6A93EFDC" w14:textId="77777777" w:rsidR="006B758D" w:rsidRPr="00EA2AB9" w:rsidRDefault="0023308C">
      <w:pPr>
        <w:pStyle w:val="BodyText"/>
        <w:ind w:left="1104"/>
        <w:rPr>
          <w:lang w:val="fr-FR"/>
        </w:rPr>
      </w:pPr>
      <w:r w:rsidRPr="00EA2AB9">
        <w:rPr>
          <w:lang w:val="fr-FR"/>
        </w:rPr>
        <w:t xml:space="preserve">« </w:t>
      </w:r>
      <w:proofErr w:type="gramStart"/>
      <w:r w:rsidRPr="00EA2AB9">
        <w:rPr>
          <w:lang w:val="fr-FR"/>
        </w:rPr>
        <w:t>b</w:t>
      </w:r>
      <w:proofErr w:type="gramEnd"/>
      <w:r w:rsidRPr="00EA2AB9">
        <w:rPr>
          <w:lang w:val="fr-FR"/>
        </w:rPr>
        <w:t xml:space="preserve">) Aux fins du sous-paragraphe a), le terme « matériel » désigne, en ce qui concerne une </w:t>
      </w:r>
      <w:r w:rsidRPr="00EA2AB9">
        <w:rPr>
          <w:spacing w:val="-2"/>
          <w:lang w:val="fr-FR"/>
        </w:rPr>
        <w:t>variété,</w:t>
      </w:r>
    </w:p>
    <w:p w14:paraId="4865C295" w14:textId="77777777" w:rsidR="006B758D" w:rsidRPr="00EA2AB9" w:rsidRDefault="0023308C">
      <w:pPr>
        <w:pStyle w:val="ListParagraph"/>
        <w:numPr>
          <w:ilvl w:val="2"/>
          <w:numId w:val="8"/>
        </w:numPr>
        <w:tabs>
          <w:tab w:val="left" w:pos="1390"/>
        </w:tabs>
        <w:spacing w:before="137"/>
        <w:rPr>
          <w:sz w:val="24"/>
          <w:lang w:val="fr-FR"/>
        </w:rPr>
      </w:pPr>
      <w:proofErr w:type="gramStart"/>
      <w:r w:rsidRPr="00EA2AB9">
        <w:rPr>
          <w:sz w:val="24"/>
          <w:lang w:val="fr-FR"/>
        </w:rPr>
        <w:t>tout</w:t>
      </w:r>
      <w:proofErr w:type="gramEnd"/>
      <w:r w:rsidRPr="00EA2AB9">
        <w:rPr>
          <w:sz w:val="24"/>
          <w:lang w:val="fr-FR"/>
        </w:rPr>
        <w:t xml:space="preserve"> </w:t>
      </w:r>
      <w:r w:rsidRPr="00EA2AB9">
        <w:rPr>
          <w:spacing w:val="-1"/>
          <w:sz w:val="24"/>
          <w:lang w:val="fr-FR"/>
        </w:rPr>
        <w:t>matériel</w:t>
      </w:r>
      <w:r w:rsidRPr="00EA2AB9">
        <w:rPr>
          <w:sz w:val="24"/>
          <w:lang w:val="fr-FR"/>
        </w:rPr>
        <w:t xml:space="preserve"> de reproduction ou de multiplication végétative</w:t>
      </w:r>
      <w:r w:rsidRPr="00EA2AB9">
        <w:rPr>
          <w:spacing w:val="-2"/>
          <w:sz w:val="24"/>
          <w:lang w:val="fr-FR"/>
        </w:rPr>
        <w:t>,</w:t>
      </w:r>
    </w:p>
    <w:p w14:paraId="02E6AB0B" w14:textId="77777777" w:rsidR="006B758D" w:rsidRDefault="0023308C">
      <w:pPr>
        <w:pStyle w:val="ListParagraph"/>
        <w:numPr>
          <w:ilvl w:val="2"/>
          <w:numId w:val="8"/>
        </w:numPr>
        <w:tabs>
          <w:tab w:val="left" w:pos="1458"/>
        </w:tabs>
        <w:spacing w:before="139"/>
        <w:ind w:left="1457" w:hanging="354"/>
        <w:rPr>
          <w:sz w:val="24"/>
        </w:rPr>
      </w:pPr>
      <w:proofErr w:type="spellStart"/>
      <w:r>
        <w:rPr>
          <w:sz w:val="24"/>
        </w:rPr>
        <w:t>produit</w:t>
      </w:r>
      <w:proofErr w:type="spellEnd"/>
      <w:r>
        <w:rPr>
          <w:sz w:val="24"/>
        </w:rPr>
        <w:t xml:space="preserve"> de la </w:t>
      </w:r>
      <w:proofErr w:type="spellStart"/>
      <w:r>
        <w:rPr>
          <w:sz w:val="24"/>
        </w:rPr>
        <w:t>récolte</w:t>
      </w:r>
      <w:proofErr w:type="spellEnd"/>
      <w:r>
        <w:rPr>
          <w:sz w:val="24"/>
        </w:rPr>
        <w:t xml:space="preserve"> </w:t>
      </w:r>
      <w:r>
        <w:rPr>
          <w:spacing w:val="-5"/>
          <w:sz w:val="24"/>
        </w:rPr>
        <w:t>et</w:t>
      </w:r>
    </w:p>
    <w:p w14:paraId="663C8176" w14:textId="77777777" w:rsidR="006B758D" w:rsidRPr="00EA2AB9" w:rsidRDefault="0023308C">
      <w:pPr>
        <w:pStyle w:val="ListParagraph"/>
        <w:numPr>
          <w:ilvl w:val="2"/>
          <w:numId w:val="8"/>
        </w:numPr>
        <w:tabs>
          <w:tab w:val="left" w:pos="1525"/>
        </w:tabs>
        <w:spacing w:before="137"/>
        <w:ind w:left="1524" w:hanging="421"/>
        <w:rPr>
          <w:sz w:val="24"/>
          <w:lang w:val="fr-FR"/>
        </w:rPr>
      </w:pPr>
      <w:proofErr w:type="gramStart"/>
      <w:r w:rsidRPr="00EA2AB9">
        <w:rPr>
          <w:sz w:val="24"/>
          <w:lang w:val="fr-FR"/>
        </w:rPr>
        <w:t>tout</w:t>
      </w:r>
      <w:proofErr w:type="gramEnd"/>
      <w:r w:rsidRPr="00EA2AB9">
        <w:rPr>
          <w:sz w:val="24"/>
          <w:lang w:val="fr-FR"/>
        </w:rPr>
        <w:t xml:space="preserve"> produit obtenu directement à partir du </w:t>
      </w:r>
      <w:r w:rsidRPr="00EA2AB9">
        <w:rPr>
          <w:spacing w:val="-2"/>
          <w:sz w:val="24"/>
          <w:lang w:val="fr-FR"/>
        </w:rPr>
        <w:t>produit</w:t>
      </w:r>
      <w:r w:rsidRPr="00EA2AB9">
        <w:rPr>
          <w:sz w:val="24"/>
          <w:lang w:val="fr-FR"/>
        </w:rPr>
        <w:t xml:space="preserve"> de la récolte</w:t>
      </w:r>
      <w:r w:rsidRPr="00EA2AB9">
        <w:rPr>
          <w:spacing w:val="-2"/>
          <w:sz w:val="24"/>
          <w:lang w:val="fr-FR"/>
        </w:rPr>
        <w:t>. »</w:t>
      </w:r>
    </w:p>
    <w:p w14:paraId="3A3F7C1D" w14:textId="77777777" w:rsidR="006B758D" w:rsidRPr="00EA2AB9" w:rsidRDefault="006B758D">
      <w:pPr>
        <w:pStyle w:val="BodyText"/>
        <w:rPr>
          <w:sz w:val="26"/>
          <w:lang w:val="fr-FR"/>
        </w:rPr>
      </w:pPr>
    </w:p>
    <w:p w14:paraId="308932C3" w14:textId="77777777" w:rsidR="006B758D" w:rsidRPr="00EA2AB9" w:rsidRDefault="006B758D">
      <w:pPr>
        <w:pStyle w:val="BodyText"/>
        <w:rPr>
          <w:sz w:val="22"/>
          <w:lang w:val="fr-FR"/>
        </w:rPr>
      </w:pPr>
    </w:p>
    <w:p w14:paraId="1A6D2E98" w14:textId="77777777" w:rsidR="006B758D" w:rsidRPr="00EA2AB9" w:rsidRDefault="0023308C">
      <w:pPr>
        <w:pStyle w:val="ListParagraph"/>
        <w:numPr>
          <w:ilvl w:val="1"/>
          <w:numId w:val="8"/>
        </w:numPr>
        <w:tabs>
          <w:tab w:val="left" w:pos="1460"/>
        </w:tabs>
        <w:spacing w:line="360" w:lineRule="auto"/>
        <w:ind w:left="396" w:right="111" w:firstLine="707"/>
        <w:rPr>
          <w:sz w:val="24"/>
          <w:lang w:val="fr-FR"/>
        </w:rPr>
      </w:pPr>
      <w:r w:rsidRPr="00EA2AB9">
        <w:rPr>
          <w:sz w:val="24"/>
          <w:lang w:val="fr-FR"/>
        </w:rPr>
        <w:t xml:space="preserve">Lors de la réunion CAJ/28 d'octobre 1990, juste après la réunion avec les organisations internationales, les délégations de l'Allemagne et des Pays-Bas ont estimé que l'alinéa a) ii) était trop vague, tout en accordant au sélectionneur un pouvoir trop important sur les matériels de la variété mise sur le marché. Il était également difficile pour l'utilisateur du matériel de reproduction ou de multiplication de prouver le consentement du sélectionneur. Le comité a finalement accepté de mettre cet alinéa entre </w:t>
      </w:r>
      <w:r w:rsidRPr="00EA2AB9">
        <w:rPr>
          <w:spacing w:val="-2"/>
          <w:sz w:val="24"/>
          <w:lang w:val="fr-FR"/>
        </w:rPr>
        <w:t>crochets</w:t>
      </w:r>
      <w:hyperlink w:anchor="_bookmark109" w:history="1">
        <w:r w:rsidRPr="00EA2AB9">
          <w:rPr>
            <w:spacing w:val="-2"/>
            <w:sz w:val="24"/>
            <w:vertAlign w:val="superscript"/>
            <w:lang w:val="fr-FR"/>
          </w:rPr>
          <w:t>96</w:t>
        </w:r>
      </w:hyperlink>
      <w:r w:rsidRPr="00EA2AB9">
        <w:rPr>
          <w:spacing w:val="-2"/>
          <w:sz w:val="24"/>
          <w:lang w:val="fr-FR"/>
        </w:rPr>
        <w:t>.</w:t>
      </w:r>
    </w:p>
    <w:p w14:paraId="69A14932" w14:textId="77777777" w:rsidR="006B758D" w:rsidRPr="00EA2AB9" w:rsidRDefault="006B758D">
      <w:pPr>
        <w:pStyle w:val="BodyText"/>
        <w:spacing w:before="2"/>
        <w:rPr>
          <w:sz w:val="36"/>
          <w:lang w:val="fr-FR"/>
        </w:rPr>
      </w:pPr>
    </w:p>
    <w:p w14:paraId="6B81E40B" w14:textId="77777777" w:rsidR="006B758D" w:rsidRDefault="0023308C">
      <w:pPr>
        <w:pStyle w:val="ListParagraph"/>
        <w:numPr>
          <w:ilvl w:val="1"/>
          <w:numId w:val="8"/>
        </w:numPr>
        <w:tabs>
          <w:tab w:val="left" w:pos="1472"/>
        </w:tabs>
        <w:spacing w:line="360" w:lineRule="auto"/>
        <w:ind w:left="396" w:right="119" w:firstLine="707"/>
        <w:rPr>
          <w:sz w:val="24"/>
        </w:rPr>
      </w:pPr>
      <w:r w:rsidRPr="00EA2AB9">
        <w:rPr>
          <w:sz w:val="24"/>
          <w:lang w:val="fr-FR"/>
        </w:rPr>
        <w:t xml:space="preserve">Sur proposition de la Suède et de l'Allemagne, la phrase « sauf lorsque l'exportation est destinée à la consommation » a été ajoutée sans discussion à la fin de l'alinéa </w:t>
      </w:r>
      <w:r w:rsidRPr="00EA2AB9">
        <w:rPr>
          <w:spacing w:val="-2"/>
          <w:sz w:val="24"/>
          <w:lang w:val="fr-FR"/>
        </w:rPr>
        <w:t>a) iii).</w:t>
      </w:r>
      <w:hyperlink w:anchor="_bookmark110" w:history="1">
        <w:r>
          <w:rPr>
            <w:spacing w:val="-2"/>
            <w:sz w:val="24"/>
            <w:vertAlign w:val="superscript"/>
          </w:rPr>
          <w:t>97</w:t>
        </w:r>
      </w:hyperlink>
    </w:p>
    <w:p w14:paraId="711674E0" w14:textId="77777777" w:rsidR="006B758D" w:rsidRDefault="006B758D">
      <w:pPr>
        <w:pStyle w:val="BodyText"/>
        <w:rPr>
          <w:sz w:val="20"/>
        </w:rPr>
      </w:pPr>
    </w:p>
    <w:p w14:paraId="058EB163" w14:textId="77777777" w:rsidR="006B758D" w:rsidRDefault="006B758D">
      <w:pPr>
        <w:pStyle w:val="BodyText"/>
        <w:rPr>
          <w:sz w:val="20"/>
        </w:rPr>
      </w:pPr>
    </w:p>
    <w:p w14:paraId="4CF71812" w14:textId="77777777" w:rsidR="006B758D" w:rsidRDefault="006B758D">
      <w:pPr>
        <w:pStyle w:val="BodyText"/>
        <w:rPr>
          <w:sz w:val="20"/>
        </w:rPr>
      </w:pPr>
    </w:p>
    <w:p w14:paraId="3E634607" w14:textId="77777777" w:rsidR="006B758D" w:rsidRDefault="006B758D">
      <w:pPr>
        <w:pStyle w:val="BodyText"/>
        <w:rPr>
          <w:sz w:val="20"/>
        </w:rPr>
      </w:pPr>
    </w:p>
    <w:p w14:paraId="01824C12" w14:textId="37A539D6" w:rsidR="006B758D" w:rsidRDefault="005C7D52">
      <w:pPr>
        <w:pStyle w:val="BodyText"/>
        <w:spacing w:before="8"/>
        <w:rPr>
          <w:sz w:val="21"/>
        </w:rPr>
      </w:pPr>
      <w:r>
        <w:rPr>
          <w:noProof/>
        </w:rPr>
        <mc:AlternateContent>
          <mc:Choice Requires="wps">
            <w:drawing>
              <wp:anchor distT="0" distB="0" distL="0" distR="0" simplePos="0" relativeHeight="487601664" behindDoc="1" locked="0" layoutInCell="1" allowOverlap="1" wp14:anchorId="7A059233" wp14:editId="0E4B4933">
                <wp:simplePos x="0" y="0"/>
                <wp:positionH relativeFrom="page">
                  <wp:posOffset>899160</wp:posOffset>
                </wp:positionH>
                <wp:positionV relativeFrom="paragraph">
                  <wp:posOffset>173990</wp:posOffset>
                </wp:positionV>
                <wp:extent cx="1828800" cy="7620"/>
                <wp:effectExtent l="0" t="0" r="0" b="0"/>
                <wp:wrapTopAndBottom/>
                <wp:docPr id="2039480133"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32" style="position:absolute;margin-left:70.8pt;margin-top:13.7pt;width:2in;height:.6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" w14:anchorId="7FEECEE5">
                <w10:wrap type="topAndBottom" anchorx="page"/>
              </v:rect>
            </w:pict>
          </mc:Fallback>
        </mc:AlternateContent>
      </w:r>
    </w:p>
    <w:p w14:paraId="7EACF3A0" w14:textId="77777777" w:rsidR="006B758D" w:rsidRPr="00EA2AB9" w:rsidRDefault="0023308C">
      <w:pPr>
        <w:spacing w:before="122" w:line="201" w:lineRule="exact"/>
        <w:ind w:left="396"/>
        <w:jc w:val="both"/>
        <w:rPr>
          <w:sz w:val="18"/>
          <w:lang w:val="fr-FR"/>
        </w:rPr>
      </w:pPr>
      <w:bookmarkStart w:id="106" w:name="_bookmark106"/>
      <w:bookmarkEnd w:id="106"/>
      <w:proofErr w:type="gramStart"/>
      <w:r w:rsidRPr="00EA2AB9">
        <w:rPr>
          <w:sz w:val="18"/>
          <w:vertAlign w:val="superscript"/>
          <w:lang w:val="fr-FR"/>
        </w:rPr>
        <w:t>93</w:t>
      </w:r>
      <w:r w:rsidRPr="00EA2AB9">
        <w:rPr>
          <w:sz w:val="18"/>
          <w:lang w:val="fr-FR"/>
        </w:rPr>
        <w:t xml:space="preserve">  PM</w:t>
      </w:r>
      <w:proofErr w:type="gramEnd"/>
      <w:r w:rsidRPr="00EA2AB9">
        <w:rPr>
          <w:sz w:val="18"/>
          <w:lang w:val="fr-FR"/>
        </w:rPr>
        <w:t xml:space="preserve"> 1 / 2, avril 1990, page 38, paragraphe 17.13, dernière </w:t>
      </w:r>
      <w:r w:rsidRPr="00EA2AB9">
        <w:rPr>
          <w:spacing w:val="-2"/>
          <w:sz w:val="18"/>
          <w:lang w:val="fr-FR"/>
        </w:rPr>
        <w:t>phrase</w:t>
      </w:r>
    </w:p>
    <w:p w14:paraId="4C0B3DF5" w14:textId="77777777" w:rsidR="006B758D" w:rsidRPr="00EA2AB9" w:rsidRDefault="0023308C">
      <w:pPr>
        <w:spacing w:line="247" w:lineRule="auto"/>
        <w:ind w:left="396" w:right="116"/>
        <w:jc w:val="both"/>
        <w:rPr>
          <w:sz w:val="18"/>
          <w:lang w:val="fr-FR"/>
        </w:rPr>
      </w:pPr>
      <w:bookmarkStart w:id="107" w:name="_bookmark107"/>
      <w:bookmarkEnd w:id="107"/>
      <w:proofErr w:type="gramStart"/>
      <w:r w:rsidRPr="00EA2AB9">
        <w:rPr>
          <w:position w:val="9"/>
          <w:sz w:val="16"/>
          <w:lang w:val="fr-FR"/>
        </w:rPr>
        <w:t>94</w:t>
      </w:r>
      <w:r w:rsidRPr="00EA2AB9">
        <w:rPr>
          <w:sz w:val="18"/>
          <w:lang w:val="fr-FR"/>
        </w:rPr>
        <w:t xml:space="preserve">  CAJ</w:t>
      </w:r>
      <w:proofErr w:type="gramEnd"/>
      <w:r w:rsidRPr="00EA2AB9">
        <w:rPr>
          <w:sz w:val="18"/>
          <w:lang w:val="fr-FR"/>
        </w:rPr>
        <w:t>/27/8, juin 1990, page 13, paragraphe 90 : compléter l'alinéa iii) par une référence au taxon auquel appartient la variété ; en d'autres termes, le principe d'épuisement ne s'appliquerait pas non plus lorsque l'exportation a lieu vers un pays qui protège les variétés végétales, mais pas le taxon concerné.</w:t>
      </w:r>
    </w:p>
    <w:p w14:paraId="6654B68B" w14:textId="77777777" w:rsidR="006B758D" w:rsidRPr="00EA2AB9" w:rsidRDefault="0023308C">
      <w:pPr>
        <w:spacing w:before="7" w:line="201" w:lineRule="exact"/>
        <w:ind w:left="396"/>
        <w:jc w:val="both"/>
        <w:rPr>
          <w:sz w:val="18"/>
          <w:lang w:val="fr-FR"/>
        </w:rPr>
      </w:pPr>
      <w:bookmarkStart w:id="108" w:name="_bookmark108"/>
      <w:bookmarkEnd w:id="108"/>
      <w:proofErr w:type="gramStart"/>
      <w:r w:rsidRPr="00EA2AB9">
        <w:rPr>
          <w:sz w:val="18"/>
          <w:vertAlign w:val="superscript"/>
          <w:lang w:val="fr-FR"/>
        </w:rPr>
        <w:t>95</w:t>
      </w:r>
      <w:r w:rsidRPr="00EA2AB9">
        <w:rPr>
          <w:sz w:val="18"/>
          <w:lang w:val="fr-FR"/>
        </w:rPr>
        <w:t xml:space="preserve">  IOM</w:t>
      </w:r>
      <w:proofErr w:type="gramEnd"/>
      <w:r w:rsidRPr="00EA2AB9">
        <w:rPr>
          <w:sz w:val="18"/>
          <w:lang w:val="fr-FR"/>
        </w:rPr>
        <w:t>/5/2 Rev. Cinquième réunion avec les organisations internationales, 10 et 11 octobre 1990, page</w:t>
      </w:r>
      <w:r w:rsidRPr="00EA2AB9">
        <w:rPr>
          <w:spacing w:val="-5"/>
          <w:sz w:val="18"/>
          <w:lang w:val="fr-FR"/>
        </w:rPr>
        <w:t xml:space="preserve"> 47.</w:t>
      </w:r>
    </w:p>
    <w:p w14:paraId="5AEBEAD4" w14:textId="77777777" w:rsidR="006B758D" w:rsidRPr="00260CC0" w:rsidRDefault="0023308C">
      <w:pPr>
        <w:spacing w:line="271" w:lineRule="exact"/>
        <w:ind w:left="396"/>
        <w:jc w:val="both"/>
        <w:rPr>
          <w:sz w:val="18"/>
          <w:lang w:val="fr-FR"/>
        </w:rPr>
      </w:pPr>
      <w:bookmarkStart w:id="109" w:name="_bookmark109"/>
      <w:bookmarkEnd w:id="109"/>
      <w:proofErr w:type="gramStart"/>
      <w:r w:rsidRPr="00260CC0">
        <w:rPr>
          <w:position w:val="9"/>
          <w:sz w:val="16"/>
          <w:lang w:val="fr-FR"/>
        </w:rPr>
        <w:t>96</w:t>
      </w:r>
      <w:r w:rsidRPr="00260CC0">
        <w:rPr>
          <w:sz w:val="18"/>
          <w:lang w:val="fr-FR"/>
        </w:rPr>
        <w:t xml:space="preserve">  CAJ</w:t>
      </w:r>
      <w:proofErr w:type="gramEnd"/>
      <w:r w:rsidRPr="00260CC0">
        <w:rPr>
          <w:sz w:val="18"/>
          <w:lang w:val="fr-FR"/>
        </w:rPr>
        <w:t>/28/6, 12-16 octobre 1990, page 8, paragraphe</w:t>
      </w:r>
      <w:r w:rsidRPr="00260CC0">
        <w:rPr>
          <w:spacing w:val="-5"/>
          <w:sz w:val="18"/>
          <w:lang w:val="fr-FR"/>
        </w:rPr>
        <w:t xml:space="preserve"> 48</w:t>
      </w:r>
    </w:p>
    <w:p w14:paraId="279CBC48" w14:textId="77777777" w:rsidR="006B758D" w:rsidRPr="00260CC0" w:rsidRDefault="0023308C">
      <w:pPr>
        <w:spacing w:line="277" w:lineRule="exact"/>
        <w:ind w:left="396"/>
        <w:jc w:val="both"/>
        <w:rPr>
          <w:sz w:val="18"/>
          <w:lang w:val="fr-FR"/>
        </w:rPr>
      </w:pPr>
      <w:bookmarkStart w:id="110" w:name="_bookmark110"/>
      <w:bookmarkEnd w:id="110"/>
      <w:proofErr w:type="gramStart"/>
      <w:r w:rsidRPr="00260CC0">
        <w:rPr>
          <w:position w:val="9"/>
          <w:sz w:val="16"/>
          <w:lang w:val="fr-FR"/>
        </w:rPr>
        <w:t>97</w:t>
      </w:r>
      <w:r w:rsidRPr="00260CC0">
        <w:rPr>
          <w:sz w:val="18"/>
          <w:lang w:val="fr-FR"/>
        </w:rPr>
        <w:t xml:space="preserve">  CAJ</w:t>
      </w:r>
      <w:proofErr w:type="gramEnd"/>
      <w:r w:rsidRPr="00260CC0">
        <w:rPr>
          <w:sz w:val="18"/>
          <w:lang w:val="fr-FR"/>
        </w:rPr>
        <w:t>/28/6, 12-16 octobre 1990, page 8, paragraphe</w:t>
      </w:r>
      <w:r w:rsidRPr="00260CC0">
        <w:rPr>
          <w:spacing w:val="-5"/>
          <w:sz w:val="18"/>
          <w:lang w:val="fr-FR"/>
        </w:rPr>
        <w:t xml:space="preserve"> 49</w:t>
      </w:r>
    </w:p>
    <w:p w14:paraId="42EFD3E6" w14:textId="77777777" w:rsidR="006B758D" w:rsidRPr="00260CC0" w:rsidRDefault="006B758D">
      <w:pPr>
        <w:spacing w:line="277" w:lineRule="exact"/>
        <w:jc w:val="both"/>
        <w:rPr>
          <w:sz w:val="18"/>
          <w:lang w:val="fr-FR"/>
        </w:rPr>
        <w:sectPr w:rsidR="006B758D" w:rsidRPr="00260CC0">
          <w:pgSz w:w="11910" w:h="16840"/>
          <w:pgMar w:top="1320" w:right="1300" w:bottom="1240" w:left="1020" w:header="0" w:footer="1049" w:gutter="0"/>
          <w:cols w:space="720"/>
        </w:sectPr>
      </w:pPr>
    </w:p>
    <w:p w14:paraId="05A0EBCF" w14:textId="77777777" w:rsidR="006B758D" w:rsidRPr="00EA2AB9" w:rsidRDefault="0023308C">
      <w:pPr>
        <w:pStyle w:val="ListParagraph"/>
        <w:numPr>
          <w:ilvl w:val="0"/>
          <w:numId w:val="6"/>
        </w:numPr>
        <w:tabs>
          <w:tab w:val="left" w:pos="675"/>
        </w:tabs>
        <w:spacing w:before="76"/>
        <w:ind w:left="674" w:hanging="279"/>
        <w:rPr>
          <w:sz w:val="24"/>
          <w:lang w:val="fr-FR"/>
        </w:rPr>
      </w:pPr>
      <w:bookmarkStart w:id="111" w:name="_bookmark111"/>
      <w:bookmarkEnd w:id="111"/>
      <w:r w:rsidRPr="00EA2AB9">
        <w:rPr>
          <w:sz w:val="24"/>
          <w:u w:val="single"/>
          <w:lang w:val="fr-FR"/>
        </w:rPr>
        <w:lastRenderedPageBreak/>
        <w:t>Délibérations finales de la Conférence diplomatique et adoption de l'article</w:t>
      </w:r>
      <w:r w:rsidRPr="00EA2AB9">
        <w:rPr>
          <w:spacing w:val="-5"/>
          <w:sz w:val="24"/>
          <w:u w:val="single"/>
          <w:lang w:val="fr-FR"/>
        </w:rPr>
        <w:t xml:space="preserve"> 16</w:t>
      </w:r>
    </w:p>
    <w:p w14:paraId="09832218" w14:textId="77777777" w:rsidR="006B758D" w:rsidRPr="00EA2AB9" w:rsidRDefault="006B758D">
      <w:pPr>
        <w:pStyle w:val="BodyText"/>
        <w:spacing w:before="4"/>
        <w:rPr>
          <w:sz w:val="28"/>
          <w:lang w:val="fr-FR"/>
        </w:rPr>
      </w:pPr>
    </w:p>
    <w:p w14:paraId="06BFA78C" w14:textId="01F387F3" w:rsidR="006B758D" w:rsidRPr="00EA2AB9" w:rsidRDefault="0023308C">
      <w:pPr>
        <w:pStyle w:val="ListParagraph"/>
        <w:numPr>
          <w:ilvl w:val="1"/>
          <w:numId w:val="8"/>
        </w:numPr>
        <w:tabs>
          <w:tab w:val="left" w:pos="1525"/>
        </w:tabs>
        <w:spacing w:before="90" w:line="360" w:lineRule="auto"/>
        <w:ind w:left="396" w:right="111" w:firstLine="707"/>
        <w:rPr>
          <w:sz w:val="24"/>
          <w:lang w:val="fr-FR"/>
        </w:rPr>
      </w:pPr>
      <w:r w:rsidRPr="00EA2AB9">
        <w:rPr>
          <w:sz w:val="24"/>
          <w:lang w:val="fr-FR"/>
        </w:rPr>
        <w:t>Au cours de l'examen de la proposition de base de l'article 16 lors de la Conférence diplomatique</w:t>
      </w:r>
      <w:hyperlink w:anchor="_bookmark112" w:history="1">
        <w:r w:rsidRPr="00EA2AB9">
          <w:rPr>
            <w:sz w:val="24"/>
            <w:vertAlign w:val="superscript"/>
            <w:lang w:val="fr-FR"/>
          </w:rPr>
          <w:t>98</w:t>
        </w:r>
      </w:hyperlink>
      <w:r w:rsidRPr="00EA2AB9">
        <w:rPr>
          <w:sz w:val="24"/>
          <w:lang w:val="fr-FR"/>
        </w:rPr>
        <w:t xml:space="preserve"> , il a finalement été décidé que le paragraphe a) iii), placé entre crochets, ne serait pas inclus dans le texte final. Il s'agit de l'ancien paragraphe a) ii) concernant l'utilisation du matériel en dehors du domaine d'utilisation pour lequel l'obtenteur a mis le matériel sur le marché ou donné son consentement. Malgré les arguments avancés par le vice-secrétaire général de l'UPOV</w:t>
      </w:r>
      <w:hyperlink w:anchor="_bookmark113" w:history="1">
        <w:r w:rsidRPr="00EA2AB9">
          <w:rPr>
            <w:sz w:val="24"/>
            <w:vertAlign w:val="superscript"/>
            <w:lang w:val="fr-FR"/>
          </w:rPr>
          <w:t>99</w:t>
        </w:r>
      </w:hyperlink>
      <w:r w:rsidRPr="00EA2AB9">
        <w:rPr>
          <w:sz w:val="24"/>
          <w:lang w:val="fr-FR"/>
        </w:rPr>
        <w:t xml:space="preserve"> , l'amendement japonais visant à ajouter un paragraphe (iii) adapté</w:t>
      </w:r>
      <w:hyperlink w:anchor="_bookmark114" w:history="1">
        <w:r w:rsidRPr="00EA2AB9">
          <w:rPr>
            <w:sz w:val="24"/>
            <w:vertAlign w:val="superscript"/>
            <w:lang w:val="fr-FR"/>
          </w:rPr>
          <w:t>100</w:t>
        </w:r>
      </w:hyperlink>
      <w:r w:rsidRPr="00EA2AB9">
        <w:rPr>
          <w:sz w:val="24"/>
          <w:lang w:val="fr-FR"/>
        </w:rPr>
        <w:t xml:space="preserve"> a finalement été rejeté</w:t>
      </w:r>
      <w:hyperlink w:anchor="_bookmark115" w:history="1">
        <w:r w:rsidRPr="00EA2AB9">
          <w:rPr>
            <w:sz w:val="24"/>
            <w:vertAlign w:val="superscript"/>
            <w:lang w:val="fr-FR"/>
          </w:rPr>
          <w:t>101</w:t>
        </w:r>
      </w:hyperlink>
    </w:p>
    <w:p w14:paraId="018B5B83" w14:textId="77777777" w:rsidR="006B758D" w:rsidRPr="00EA2AB9" w:rsidRDefault="006B758D">
      <w:pPr>
        <w:pStyle w:val="BodyText"/>
        <w:spacing w:before="10"/>
        <w:rPr>
          <w:sz w:val="35"/>
          <w:lang w:val="fr-FR"/>
        </w:rPr>
      </w:pPr>
    </w:p>
    <w:p w14:paraId="5A42662A" w14:textId="77777777" w:rsidR="006B758D" w:rsidRPr="00EA2AB9" w:rsidRDefault="0023308C">
      <w:pPr>
        <w:pStyle w:val="BodyText"/>
        <w:spacing w:before="1" w:line="360" w:lineRule="auto"/>
        <w:ind w:left="396" w:right="116" w:firstLine="707"/>
        <w:jc w:val="both"/>
        <w:rPr>
          <w:lang w:val="fr-FR"/>
        </w:rPr>
      </w:pPr>
      <w:r w:rsidRPr="00EA2AB9">
        <w:rPr>
          <w:lang w:val="fr-FR"/>
        </w:rPr>
        <w:t>Dans le texte final, il a été conclu que cette question devait être réglée entre l'obtenteur et les parties concernées sur la base du droit privé. Sinon, il pourrait arriver que des tiers qui ont agi de bonne foi en obtenant du matériel d'une variété protégée auprès d'autres personnes que l'obtenteur sans savoir dans quelles conditions ce matériel a été initialement mis sur le marché ne soient pas victimes d'abus commis par d'autres personnes en rapport avec ce matériel</w:t>
      </w:r>
      <w:hyperlink w:anchor="_bookmark116" w:history="1">
        <w:r w:rsidRPr="00EA2AB9">
          <w:rPr>
            <w:vertAlign w:val="superscript"/>
            <w:lang w:val="fr-FR"/>
          </w:rPr>
          <w:t>102</w:t>
        </w:r>
      </w:hyperlink>
      <w:r w:rsidRPr="00EA2AB9">
        <w:rPr>
          <w:lang w:val="fr-FR"/>
        </w:rPr>
        <w:t>.</w:t>
      </w:r>
    </w:p>
    <w:p w14:paraId="40562E3A" w14:textId="77777777" w:rsidR="006B758D" w:rsidRPr="00093BAC" w:rsidRDefault="006B758D">
      <w:pPr>
        <w:pStyle w:val="BodyText"/>
        <w:rPr>
          <w:lang w:val="fr-FR"/>
        </w:rPr>
      </w:pPr>
    </w:p>
    <w:p w14:paraId="45384BA0" w14:textId="77777777" w:rsidR="006B758D" w:rsidRPr="00EA2AB9" w:rsidRDefault="0023308C">
      <w:pPr>
        <w:pStyle w:val="ListParagraph"/>
        <w:numPr>
          <w:ilvl w:val="1"/>
          <w:numId w:val="8"/>
        </w:numPr>
        <w:tabs>
          <w:tab w:val="left" w:pos="1465"/>
        </w:tabs>
        <w:spacing w:line="360" w:lineRule="auto"/>
        <w:ind w:left="396" w:right="114" w:firstLine="707"/>
        <w:rPr>
          <w:sz w:val="24"/>
          <w:lang w:val="fr-FR"/>
        </w:rPr>
      </w:pPr>
      <w:r w:rsidRPr="00EA2AB9">
        <w:rPr>
          <w:sz w:val="24"/>
          <w:lang w:val="fr-FR"/>
        </w:rPr>
        <w:t>Lors de la Conférence diplomatique, les délibérations sur le terme « consommation » ont abouti à la conclusion qu'il devait y avoir « consommation » au sens large lorsque quelqu'un mettait sur le marché des semences utilisées pour la production d'aliments pour animaux, par exemple, et que l'épuisement du droit d'obtenteur devait avoir lieu dans ce cas, car les semences avaient été mises sur le marché à cette fin.</w:t>
      </w:r>
      <w:hyperlink w:anchor="_bookmark117" w:history="1">
        <w:r w:rsidRPr="00EA2AB9">
          <w:rPr>
            <w:sz w:val="24"/>
            <w:vertAlign w:val="superscript"/>
            <w:lang w:val="fr-FR"/>
          </w:rPr>
          <w:t>103</w:t>
        </w:r>
      </w:hyperlink>
      <w:r w:rsidRPr="00EA2AB9">
        <w:rPr>
          <w:sz w:val="24"/>
          <w:lang w:val="fr-FR"/>
        </w:rPr>
        <w:t xml:space="preserve">  Le comité de rédaction a estimé que ce terme inclurait les aliments destinés à la production animale</w:t>
      </w:r>
      <w:hyperlink w:anchor="_bookmark118" w:history="1">
        <w:r w:rsidRPr="00EA2AB9">
          <w:rPr>
            <w:sz w:val="24"/>
            <w:vertAlign w:val="superscript"/>
            <w:lang w:val="fr-FR"/>
          </w:rPr>
          <w:t>104</w:t>
        </w:r>
      </w:hyperlink>
    </w:p>
    <w:p w14:paraId="1BBA09D3" w14:textId="77777777" w:rsidR="006B758D" w:rsidRPr="00093BAC" w:rsidRDefault="006B758D">
      <w:pPr>
        <w:pStyle w:val="BodyText"/>
        <w:spacing w:before="2"/>
        <w:rPr>
          <w:sz w:val="20"/>
          <w:szCs w:val="20"/>
          <w:lang w:val="fr-FR"/>
        </w:rPr>
      </w:pPr>
    </w:p>
    <w:p w14:paraId="4B17AF2E" w14:textId="77777777" w:rsidR="006B758D" w:rsidRDefault="0023308C">
      <w:pPr>
        <w:pStyle w:val="ListParagraph"/>
        <w:numPr>
          <w:ilvl w:val="1"/>
          <w:numId w:val="8"/>
        </w:numPr>
        <w:tabs>
          <w:tab w:val="left" w:pos="1465"/>
        </w:tabs>
        <w:ind w:left="1464" w:hanging="361"/>
        <w:rPr>
          <w:sz w:val="24"/>
        </w:rPr>
      </w:pPr>
      <w:r>
        <w:rPr>
          <w:sz w:val="24"/>
        </w:rPr>
        <w:t>Texte final de l'article</w:t>
      </w:r>
      <w:r>
        <w:rPr>
          <w:spacing w:val="-5"/>
          <w:sz w:val="24"/>
        </w:rPr>
        <w:t xml:space="preserve"> </w:t>
      </w:r>
      <w:proofErr w:type="gramStart"/>
      <w:r>
        <w:rPr>
          <w:spacing w:val="-5"/>
          <w:sz w:val="24"/>
        </w:rPr>
        <w:t>16 :</w:t>
      </w:r>
      <w:proofErr w:type="gramEnd"/>
    </w:p>
    <w:p w14:paraId="62D759AF" w14:textId="77777777" w:rsidR="006B758D" w:rsidRDefault="006B758D">
      <w:pPr>
        <w:pStyle w:val="BodyText"/>
        <w:rPr>
          <w:sz w:val="22"/>
        </w:rPr>
      </w:pPr>
    </w:p>
    <w:p w14:paraId="7A988854" w14:textId="77777777" w:rsidR="006B758D" w:rsidRPr="00093BAC" w:rsidRDefault="0023308C">
      <w:pPr>
        <w:ind w:left="1104"/>
        <w:jc w:val="both"/>
        <w:rPr>
          <w:i/>
          <w:sz w:val="24"/>
          <w:lang w:val="fr-FR"/>
        </w:rPr>
      </w:pPr>
      <w:r w:rsidRPr="00093BAC">
        <w:rPr>
          <w:i/>
          <w:sz w:val="24"/>
          <w:lang w:val="fr-FR"/>
        </w:rPr>
        <w:t xml:space="preserve">Épuisement du </w:t>
      </w:r>
      <w:r w:rsidRPr="00093BAC">
        <w:rPr>
          <w:i/>
          <w:spacing w:val="-2"/>
          <w:sz w:val="24"/>
          <w:lang w:val="fr-FR"/>
        </w:rPr>
        <w:t xml:space="preserve">droit </w:t>
      </w:r>
      <w:r w:rsidRPr="00093BAC">
        <w:rPr>
          <w:i/>
          <w:sz w:val="24"/>
          <w:lang w:val="fr-FR"/>
        </w:rPr>
        <w:t>d'obtenteur</w:t>
      </w:r>
    </w:p>
    <w:p w14:paraId="51158C0C" w14:textId="66910410" w:rsidR="006B758D" w:rsidRPr="00093BAC" w:rsidRDefault="0023308C" w:rsidP="00093BAC">
      <w:pPr>
        <w:spacing w:before="137" w:line="360" w:lineRule="auto"/>
        <w:ind w:left="1104" w:right="117"/>
        <w:jc w:val="both"/>
        <w:rPr>
          <w:i/>
          <w:sz w:val="24"/>
          <w:lang w:val="fr-FR"/>
        </w:rPr>
      </w:pPr>
      <w:r w:rsidRPr="00EA2AB9">
        <w:rPr>
          <w:i/>
          <w:sz w:val="24"/>
          <w:lang w:val="fr-FR"/>
        </w:rPr>
        <w:t xml:space="preserve">« (1) [Épuisement du droit d'obtenteur] Le droit d'obtenteur ne s'étend pas aux actes concernant </w:t>
      </w:r>
      <w:r w:rsidR="00093BAC">
        <w:rPr>
          <w:i/>
          <w:sz w:val="24"/>
          <w:lang w:val="fr-FR"/>
        </w:rPr>
        <w:t>du</w:t>
      </w:r>
      <w:r w:rsidRPr="00EA2AB9">
        <w:rPr>
          <w:i/>
          <w:sz w:val="24"/>
          <w:lang w:val="fr-FR"/>
        </w:rPr>
        <w:t xml:space="preserve"> matériel de </w:t>
      </w:r>
      <w:r w:rsidR="00093BAC">
        <w:rPr>
          <w:i/>
          <w:sz w:val="24"/>
          <w:lang w:val="fr-FR"/>
        </w:rPr>
        <w:t>s</w:t>
      </w:r>
      <w:r w:rsidRPr="00EA2AB9">
        <w:rPr>
          <w:i/>
          <w:sz w:val="24"/>
          <w:lang w:val="fr-FR"/>
        </w:rPr>
        <w:t xml:space="preserve">a variété </w:t>
      </w:r>
      <w:r w:rsidR="00093BAC" w:rsidRPr="00093BAC">
        <w:rPr>
          <w:i/>
          <w:sz w:val="24"/>
          <w:lang w:val="fr-FR"/>
        </w:rPr>
        <w:t>ou d’une variété visée à l’article 14</w:t>
      </w:r>
      <w:r w:rsidR="0080353C">
        <w:rPr>
          <w:i/>
          <w:sz w:val="24"/>
          <w:lang w:val="fr-FR"/>
        </w:rPr>
        <w:t>(</w:t>
      </w:r>
      <w:r w:rsidR="00093BAC" w:rsidRPr="00093BAC">
        <w:rPr>
          <w:i/>
          <w:sz w:val="24"/>
          <w:lang w:val="fr-FR"/>
        </w:rPr>
        <w:t>5) qui a été vendu ou commercialisé</w:t>
      </w:r>
      <w:r w:rsidR="00093BAC">
        <w:rPr>
          <w:i/>
          <w:sz w:val="24"/>
          <w:lang w:val="fr-FR"/>
        </w:rPr>
        <w:t xml:space="preserve"> </w:t>
      </w:r>
      <w:r w:rsidR="00093BAC" w:rsidRPr="00093BAC">
        <w:rPr>
          <w:i/>
          <w:sz w:val="24"/>
          <w:lang w:val="fr-FR"/>
        </w:rPr>
        <w:t xml:space="preserve">sur </w:t>
      </w:r>
    </w:p>
    <w:p w14:paraId="42AA966E" w14:textId="4CB3DEAE" w:rsidR="006B758D" w:rsidRPr="00EA2AB9" w:rsidRDefault="005C7D52">
      <w:pPr>
        <w:pStyle w:val="BodyText"/>
        <w:spacing w:before="9"/>
        <w:rPr>
          <w:i/>
          <w:sz w:val="11"/>
          <w:lang w:val="fr-FR"/>
        </w:rPr>
      </w:pPr>
      <w:r>
        <w:rPr>
          <w:noProof/>
        </w:rPr>
        <mc:AlternateContent>
          <mc:Choice Requires="wps">
            <w:drawing>
              <wp:anchor distT="0" distB="0" distL="0" distR="0" simplePos="0" relativeHeight="487602176" behindDoc="1" locked="0" layoutInCell="1" allowOverlap="1" wp14:anchorId="42C69E8C" wp14:editId="7943EC6B">
                <wp:simplePos x="0" y="0"/>
                <wp:positionH relativeFrom="page">
                  <wp:posOffset>899160</wp:posOffset>
                </wp:positionH>
                <wp:positionV relativeFrom="paragraph">
                  <wp:posOffset>101600</wp:posOffset>
                </wp:positionV>
                <wp:extent cx="1828800" cy="7620"/>
                <wp:effectExtent l="0" t="0" r="0" b="0"/>
                <wp:wrapTopAndBottom/>
                <wp:docPr id="1118255302"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33" style="position:absolute;margin-left:70.8pt;margin-top:8pt;width:2in;height:.6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" w14:anchorId="07318DE7">
                <w10:wrap type="topAndBottom" anchorx="page"/>
              </v:rect>
            </w:pict>
          </mc:Fallback>
        </mc:AlternateContent>
      </w:r>
    </w:p>
    <w:p w14:paraId="2559CD48" w14:textId="77777777" w:rsidR="006B758D" w:rsidRPr="00EA2AB9" w:rsidRDefault="0023308C">
      <w:pPr>
        <w:spacing w:before="103"/>
        <w:ind w:left="396"/>
        <w:rPr>
          <w:sz w:val="18"/>
          <w:lang w:val="fr-FR"/>
        </w:rPr>
      </w:pPr>
      <w:bookmarkStart w:id="112" w:name="_bookmark112"/>
      <w:bookmarkEnd w:id="112"/>
      <w:proofErr w:type="gramStart"/>
      <w:r w:rsidRPr="00EA2AB9">
        <w:rPr>
          <w:sz w:val="18"/>
          <w:vertAlign w:val="superscript"/>
          <w:lang w:val="fr-FR"/>
        </w:rPr>
        <w:t>98</w:t>
      </w:r>
      <w:r w:rsidRPr="00EA2AB9">
        <w:rPr>
          <w:sz w:val="18"/>
          <w:lang w:val="fr-FR"/>
        </w:rPr>
        <w:t xml:space="preserve">  DC</w:t>
      </w:r>
      <w:proofErr w:type="gramEnd"/>
      <w:r w:rsidRPr="00EA2AB9">
        <w:rPr>
          <w:sz w:val="18"/>
          <w:lang w:val="fr-FR"/>
        </w:rPr>
        <w:t xml:space="preserve"> 1991</w:t>
      </w:r>
      <w:r w:rsidRPr="00EA2AB9">
        <w:rPr>
          <w:sz w:val="20"/>
          <w:lang w:val="fr-FR"/>
        </w:rPr>
        <w:t xml:space="preserve">, </w:t>
      </w:r>
      <w:r w:rsidRPr="00EA2AB9">
        <w:rPr>
          <w:sz w:val="18"/>
          <w:lang w:val="fr-FR"/>
        </w:rPr>
        <w:t xml:space="preserve">paragraphe 1675.1 Proposition de base : les paragraphes ii) et iii) ont été </w:t>
      </w:r>
      <w:r w:rsidRPr="00EA2AB9">
        <w:rPr>
          <w:spacing w:val="-2"/>
          <w:sz w:val="18"/>
          <w:lang w:val="fr-FR"/>
        </w:rPr>
        <w:t>modifiés !</w:t>
      </w:r>
    </w:p>
    <w:p w14:paraId="01251C66" w14:textId="77777777" w:rsidR="006B758D" w:rsidRPr="00EA2AB9" w:rsidRDefault="0023308C">
      <w:pPr>
        <w:spacing w:before="19"/>
        <w:ind w:left="396"/>
        <w:rPr>
          <w:sz w:val="18"/>
          <w:lang w:val="fr-FR"/>
        </w:rPr>
      </w:pPr>
      <w:bookmarkStart w:id="113" w:name="_bookmark113"/>
      <w:bookmarkEnd w:id="113"/>
      <w:proofErr w:type="gramStart"/>
      <w:r w:rsidRPr="00EA2AB9">
        <w:rPr>
          <w:sz w:val="18"/>
          <w:vertAlign w:val="superscript"/>
          <w:lang w:val="fr-FR"/>
        </w:rPr>
        <w:t>99</w:t>
      </w:r>
      <w:r w:rsidRPr="00EA2AB9">
        <w:rPr>
          <w:sz w:val="18"/>
          <w:lang w:val="fr-FR"/>
        </w:rPr>
        <w:t xml:space="preserve">  DC</w:t>
      </w:r>
      <w:proofErr w:type="gramEnd"/>
      <w:r w:rsidRPr="00EA2AB9">
        <w:rPr>
          <w:sz w:val="18"/>
          <w:lang w:val="fr-FR"/>
        </w:rPr>
        <w:t xml:space="preserve"> 1991, paragraphe</w:t>
      </w:r>
      <w:r w:rsidRPr="00EA2AB9">
        <w:rPr>
          <w:spacing w:val="-2"/>
          <w:sz w:val="18"/>
          <w:lang w:val="fr-FR"/>
        </w:rPr>
        <w:t xml:space="preserve"> 1672.1</w:t>
      </w:r>
    </w:p>
    <w:p w14:paraId="07BF3559" w14:textId="77777777" w:rsidR="006B758D" w:rsidRPr="00EA2AB9" w:rsidRDefault="0023308C">
      <w:pPr>
        <w:spacing w:before="24" w:line="244" w:lineRule="auto"/>
        <w:ind w:left="396" w:right="316"/>
        <w:rPr>
          <w:sz w:val="18"/>
          <w:lang w:val="fr-FR"/>
        </w:rPr>
      </w:pPr>
      <w:bookmarkStart w:id="114" w:name="_bookmark114"/>
      <w:bookmarkEnd w:id="114"/>
      <w:proofErr w:type="gramStart"/>
      <w:r w:rsidRPr="00EA2AB9">
        <w:rPr>
          <w:sz w:val="18"/>
          <w:vertAlign w:val="superscript"/>
          <w:lang w:val="fr-FR"/>
        </w:rPr>
        <w:t>100</w:t>
      </w:r>
      <w:r w:rsidRPr="00EA2AB9">
        <w:rPr>
          <w:sz w:val="18"/>
          <w:lang w:val="fr-FR"/>
        </w:rPr>
        <w:t xml:space="preserve">  DC</w:t>
      </w:r>
      <w:proofErr w:type="gramEnd"/>
      <w:r w:rsidRPr="00EA2AB9">
        <w:rPr>
          <w:sz w:val="18"/>
          <w:lang w:val="fr-FR"/>
        </w:rPr>
        <w:t>/91/69 : (iii) implique l'utilisation comme matériel de reproduction ou de multiplication de matériel qui n'a pas été vendu ou commercialisé autrement comme matériel de reproduction ou de multiplication.</w:t>
      </w:r>
    </w:p>
    <w:p w14:paraId="4D6E44F7" w14:textId="77777777" w:rsidR="006B758D" w:rsidRPr="00EA2AB9" w:rsidRDefault="0023308C">
      <w:pPr>
        <w:spacing w:before="14"/>
        <w:ind w:left="396"/>
        <w:rPr>
          <w:sz w:val="18"/>
          <w:lang w:val="fr-FR"/>
        </w:rPr>
      </w:pPr>
      <w:bookmarkStart w:id="115" w:name="_bookmark115"/>
      <w:bookmarkEnd w:id="115"/>
      <w:proofErr w:type="gramStart"/>
      <w:r w:rsidRPr="00EA2AB9">
        <w:rPr>
          <w:sz w:val="18"/>
          <w:vertAlign w:val="superscript"/>
          <w:lang w:val="fr-FR"/>
        </w:rPr>
        <w:t>101</w:t>
      </w:r>
      <w:r w:rsidRPr="00EA2AB9">
        <w:rPr>
          <w:sz w:val="18"/>
          <w:lang w:val="fr-FR"/>
        </w:rPr>
        <w:t xml:space="preserve">  DC</w:t>
      </w:r>
      <w:proofErr w:type="gramEnd"/>
      <w:r w:rsidRPr="00EA2AB9">
        <w:rPr>
          <w:sz w:val="18"/>
          <w:lang w:val="fr-FR"/>
        </w:rPr>
        <w:t xml:space="preserve"> 1991, paragraphe</w:t>
      </w:r>
      <w:r w:rsidRPr="00EA2AB9">
        <w:rPr>
          <w:spacing w:val="-4"/>
          <w:sz w:val="18"/>
          <w:lang w:val="fr-FR"/>
        </w:rPr>
        <w:t xml:space="preserve"> 1683.</w:t>
      </w:r>
    </w:p>
    <w:p w14:paraId="1A588E76" w14:textId="77777777" w:rsidR="006B758D" w:rsidRPr="00EA2AB9" w:rsidRDefault="0023308C">
      <w:pPr>
        <w:spacing w:before="24"/>
        <w:ind w:left="396"/>
        <w:rPr>
          <w:sz w:val="18"/>
          <w:lang w:val="fr-FR"/>
        </w:rPr>
      </w:pPr>
      <w:bookmarkStart w:id="116" w:name="_bookmark116"/>
      <w:bookmarkEnd w:id="116"/>
      <w:proofErr w:type="gramStart"/>
      <w:r w:rsidRPr="00EA2AB9">
        <w:rPr>
          <w:sz w:val="18"/>
          <w:vertAlign w:val="superscript"/>
          <w:lang w:val="fr-FR"/>
        </w:rPr>
        <w:t>102</w:t>
      </w:r>
      <w:r w:rsidRPr="00EA2AB9">
        <w:rPr>
          <w:sz w:val="18"/>
          <w:lang w:val="fr-FR"/>
        </w:rPr>
        <w:t xml:space="preserve">  DC</w:t>
      </w:r>
      <w:proofErr w:type="gramEnd"/>
      <w:r w:rsidRPr="00EA2AB9">
        <w:rPr>
          <w:sz w:val="18"/>
          <w:lang w:val="fr-FR"/>
        </w:rPr>
        <w:t xml:space="preserve"> 1991, paragraphe</w:t>
      </w:r>
      <w:r w:rsidRPr="00EA2AB9">
        <w:rPr>
          <w:spacing w:val="-4"/>
          <w:sz w:val="18"/>
          <w:lang w:val="fr-FR"/>
        </w:rPr>
        <w:t xml:space="preserve"> 1673</w:t>
      </w:r>
    </w:p>
    <w:p w14:paraId="525E150A" w14:textId="77777777" w:rsidR="006B758D" w:rsidRPr="00EA2AB9" w:rsidRDefault="0023308C">
      <w:pPr>
        <w:spacing w:before="23"/>
        <w:ind w:left="396"/>
        <w:rPr>
          <w:sz w:val="18"/>
          <w:lang w:val="fr-FR"/>
        </w:rPr>
      </w:pPr>
      <w:bookmarkStart w:id="117" w:name="_bookmark117"/>
      <w:bookmarkEnd w:id="117"/>
      <w:proofErr w:type="gramStart"/>
      <w:r w:rsidRPr="00EA2AB9">
        <w:rPr>
          <w:sz w:val="18"/>
          <w:vertAlign w:val="superscript"/>
          <w:lang w:val="fr-FR"/>
        </w:rPr>
        <w:t>103</w:t>
      </w:r>
      <w:r w:rsidRPr="00EA2AB9">
        <w:rPr>
          <w:sz w:val="18"/>
          <w:lang w:val="fr-FR"/>
        </w:rPr>
        <w:t xml:space="preserve">  DC</w:t>
      </w:r>
      <w:proofErr w:type="gramEnd"/>
      <w:r w:rsidRPr="00EA2AB9">
        <w:rPr>
          <w:sz w:val="18"/>
          <w:lang w:val="fr-FR"/>
        </w:rPr>
        <w:t xml:space="preserve"> 1991, paragraphes 1681.2 et</w:t>
      </w:r>
      <w:r w:rsidRPr="00EA2AB9">
        <w:rPr>
          <w:spacing w:val="-2"/>
          <w:sz w:val="18"/>
          <w:lang w:val="fr-FR"/>
        </w:rPr>
        <w:t xml:space="preserve"> 1681.4</w:t>
      </w:r>
    </w:p>
    <w:p w14:paraId="7E5A081B" w14:textId="77777777" w:rsidR="006B758D" w:rsidRPr="00EA2AB9" w:rsidRDefault="0023308C">
      <w:pPr>
        <w:spacing w:before="21"/>
        <w:ind w:left="396"/>
        <w:rPr>
          <w:sz w:val="18"/>
          <w:lang w:val="fr-FR"/>
        </w:rPr>
      </w:pPr>
      <w:bookmarkStart w:id="118" w:name="_bookmark118"/>
      <w:bookmarkEnd w:id="118"/>
      <w:proofErr w:type="gramStart"/>
      <w:r w:rsidRPr="00EA2AB9">
        <w:rPr>
          <w:sz w:val="18"/>
          <w:vertAlign w:val="superscript"/>
          <w:lang w:val="fr-FR"/>
        </w:rPr>
        <w:t>104</w:t>
      </w:r>
      <w:r w:rsidRPr="00EA2AB9">
        <w:rPr>
          <w:sz w:val="18"/>
          <w:lang w:val="fr-FR"/>
        </w:rPr>
        <w:t xml:space="preserve">  DC</w:t>
      </w:r>
      <w:proofErr w:type="gramEnd"/>
      <w:r w:rsidRPr="00EA2AB9">
        <w:rPr>
          <w:sz w:val="18"/>
          <w:lang w:val="fr-FR"/>
        </w:rPr>
        <w:t xml:space="preserve"> 1991, paragraphe</w:t>
      </w:r>
      <w:r w:rsidRPr="00EA2AB9">
        <w:rPr>
          <w:spacing w:val="-2"/>
          <w:sz w:val="18"/>
          <w:lang w:val="fr-FR"/>
        </w:rPr>
        <w:t xml:space="preserve"> 1852.5</w:t>
      </w:r>
    </w:p>
    <w:p w14:paraId="5EF5EE17" w14:textId="77777777" w:rsidR="006B758D" w:rsidRPr="00EA2AB9" w:rsidRDefault="006B758D">
      <w:pPr>
        <w:rPr>
          <w:sz w:val="18"/>
          <w:lang w:val="fr-FR"/>
        </w:rPr>
        <w:sectPr w:rsidR="006B758D" w:rsidRPr="00EA2AB9">
          <w:pgSz w:w="11910" w:h="16840"/>
          <w:pgMar w:top="1320" w:right="1300" w:bottom="1240" w:left="1020" w:header="0" w:footer="1049" w:gutter="0"/>
          <w:cols w:space="720"/>
        </w:sectPr>
      </w:pPr>
    </w:p>
    <w:p w14:paraId="1BBBD2FB" w14:textId="017FBAE1" w:rsidR="006B758D" w:rsidRPr="00EA2AB9" w:rsidRDefault="0023308C" w:rsidP="00093BAC">
      <w:pPr>
        <w:spacing w:before="76" w:line="362" w:lineRule="auto"/>
        <w:ind w:left="1104" w:right="120"/>
        <w:jc w:val="both"/>
        <w:rPr>
          <w:i/>
          <w:sz w:val="24"/>
          <w:lang w:val="fr-FR"/>
        </w:rPr>
      </w:pPr>
      <w:proofErr w:type="gramStart"/>
      <w:r w:rsidRPr="00EA2AB9">
        <w:rPr>
          <w:i/>
          <w:sz w:val="24"/>
          <w:lang w:val="fr-FR"/>
        </w:rPr>
        <w:lastRenderedPageBreak/>
        <w:t>le</w:t>
      </w:r>
      <w:proofErr w:type="gramEnd"/>
      <w:r w:rsidRPr="00EA2AB9">
        <w:rPr>
          <w:i/>
          <w:sz w:val="24"/>
          <w:lang w:val="fr-FR"/>
        </w:rPr>
        <w:t xml:space="preserve"> territoire de la Partie contractante concernée</w:t>
      </w:r>
      <w:r w:rsidR="00093BAC">
        <w:rPr>
          <w:i/>
          <w:sz w:val="24"/>
          <w:lang w:val="fr-FR"/>
        </w:rPr>
        <w:t xml:space="preserve"> </w:t>
      </w:r>
      <w:r w:rsidR="00093BAC" w:rsidRPr="00093BAC">
        <w:rPr>
          <w:i/>
          <w:sz w:val="24"/>
          <w:lang w:val="fr-FR"/>
        </w:rPr>
        <w:t>par l’obtenteur ou avec</w:t>
      </w:r>
      <w:r w:rsidR="00093BAC">
        <w:rPr>
          <w:i/>
          <w:sz w:val="24"/>
          <w:lang w:val="fr-FR"/>
        </w:rPr>
        <w:t xml:space="preserve"> </w:t>
      </w:r>
      <w:r w:rsidR="00093BAC" w:rsidRPr="00093BAC">
        <w:rPr>
          <w:i/>
          <w:sz w:val="24"/>
          <w:lang w:val="fr-FR"/>
        </w:rPr>
        <w:t>son consentement, ou du matériel dérivé dudit matériel, à moins que ces actes</w:t>
      </w:r>
      <w:r w:rsidR="00093BAC">
        <w:rPr>
          <w:i/>
          <w:sz w:val="24"/>
          <w:lang w:val="fr-FR"/>
        </w:rPr>
        <w:t> </w:t>
      </w:r>
    </w:p>
    <w:p w14:paraId="0F99ACDF" w14:textId="01316BA9" w:rsidR="006B758D" w:rsidRPr="00EA2AB9" w:rsidRDefault="0023308C">
      <w:pPr>
        <w:pStyle w:val="ListParagraph"/>
        <w:numPr>
          <w:ilvl w:val="2"/>
          <w:numId w:val="8"/>
        </w:numPr>
        <w:tabs>
          <w:tab w:val="left" w:pos="1390"/>
        </w:tabs>
        <w:spacing w:line="271" w:lineRule="exact"/>
        <w:rPr>
          <w:i/>
          <w:sz w:val="24"/>
          <w:lang w:val="fr-FR"/>
        </w:rPr>
      </w:pPr>
      <w:proofErr w:type="gramStart"/>
      <w:r w:rsidRPr="00EA2AB9">
        <w:rPr>
          <w:i/>
          <w:sz w:val="24"/>
          <w:lang w:val="fr-FR"/>
        </w:rPr>
        <w:t>impliquent</w:t>
      </w:r>
      <w:proofErr w:type="gramEnd"/>
      <w:r w:rsidRPr="00EA2AB9">
        <w:rPr>
          <w:i/>
          <w:sz w:val="24"/>
          <w:lang w:val="fr-FR"/>
        </w:rPr>
        <w:t xml:space="preserve"> </w:t>
      </w:r>
      <w:r w:rsidR="00093BAC" w:rsidRPr="00093BAC">
        <w:rPr>
          <w:i/>
          <w:sz w:val="24"/>
          <w:lang w:val="fr-FR"/>
        </w:rPr>
        <w:t>une nouvelle reproduction ou multiplication de la variété en cause ou</w:t>
      </w:r>
      <w:r w:rsidRPr="00EA2AB9">
        <w:rPr>
          <w:i/>
          <w:spacing w:val="-5"/>
          <w:sz w:val="24"/>
          <w:lang w:val="fr-FR"/>
        </w:rPr>
        <w:t>,</w:t>
      </w:r>
    </w:p>
    <w:p w14:paraId="158997A5" w14:textId="744B1847" w:rsidR="006B758D" w:rsidRPr="00EA2AB9" w:rsidRDefault="0023308C">
      <w:pPr>
        <w:pStyle w:val="ListParagraph"/>
        <w:numPr>
          <w:ilvl w:val="2"/>
          <w:numId w:val="8"/>
        </w:numPr>
        <w:tabs>
          <w:tab w:val="left" w:pos="1472"/>
        </w:tabs>
        <w:spacing w:before="140" w:line="360" w:lineRule="auto"/>
        <w:ind w:left="1104" w:right="120" w:firstLine="0"/>
        <w:rPr>
          <w:i/>
          <w:sz w:val="24"/>
          <w:lang w:val="fr-FR"/>
        </w:rPr>
      </w:pPr>
      <w:proofErr w:type="gramStart"/>
      <w:r w:rsidRPr="00EA2AB9">
        <w:rPr>
          <w:i/>
          <w:sz w:val="24"/>
          <w:lang w:val="fr-FR"/>
        </w:rPr>
        <w:t>impliquent</w:t>
      </w:r>
      <w:proofErr w:type="gramEnd"/>
      <w:r w:rsidRPr="00EA2AB9">
        <w:rPr>
          <w:i/>
          <w:sz w:val="24"/>
          <w:lang w:val="fr-FR"/>
        </w:rPr>
        <w:t xml:space="preserve"> </w:t>
      </w:r>
      <w:r w:rsidR="00093BAC" w:rsidRPr="00093BAC">
        <w:rPr>
          <w:i/>
          <w:sz w:val="24"/>
          <w:lang w:val="fr-FR"/>
        </w:rPr>
        <w:t>une exportation de matériel de la variété permettant de reproduire la variété vers un pays qui ne protège pas les variétés du genre végétal ou de l’espèce végétale dont la variété fait partie, sauf si le matériel exporté est destiné à la consommation</w:t>
      </w:r>
      <w:r w:rsidRPr="00EA2AB9">
        <w:rPr>
          <w:i/>
          <w:spacing w:val="-2"/>
          <w:sz w:val="24"/>
          <w:lang w:val="fr-FR"/>
        </w:rPr>
        <w:t>.</w:t>
      </w:r>
    </w:p>
    <w:p w14:paraId="5A8B43FF" w14:textId="77777777" w:rsidR="006B758D" w:rsidRPr="00EA2AB9" w:rsidRDefault="006B758D">
      <w:pPr>
        <w:pStyle w:val="BodyText"/>
        <w:spacing w:before="10"/>
        <w:rPr>
          <w:i/>
          <w:sz w:val="35"/>
          <w:lang w:val="fr-FR"/>
        </w:rPr>
      </w:pPr>
    </w:p>
    <w:p w14:paraId="2BBC6A2D" w14:textId="2F4E3230" w:rsidR="006B758D" w:rsidRPr="00EA2AB9" w:rsidRDefault="0023308C">
      <w:pPr>
        <w:pStyle w:val="ListParagraph"/>
        <w:numPr>
          <w:ilvl w:val="0"/>
          <w:numId w:val="5"/>
        </w:numPr>
        <w:tabs>
          <w:tab w:val="left" w:pos="1445"/>
        </w:tabs>
        <w:spacing w:line="362" w:lineRule="auto"/>
        <w:ind w:right="124" w:firstLine="0"/>
        <w:rPr>
          <w:i/>
          <w:sz w:val="24"/>
          <w:lang w:val="fr-FR"/>
        </w:rPr>
      </w:pPr>
      <w:r w:rsidRPr="00EA2AB9">
        <w:rPr>
          <w:i/>
          <w:sz w:val="24"/>
          <w:lang w:val="fr-FR"/>
        </w:rPr>
        <w:t>[</w:t>
      </w:r>
      <w:r w:rsidR="00093BAC">
        <w:rPr>
          <w:i/>
          <w:sz w:val="24"/>
          <w:lang w:val="fr-FR"/>
        </w:rPr>
        <w:t>Sens de</w:t>
      </w:r>
      <w:r w:rsidRPr="00EA2AB9">
        <w:rPr>
          <w:i/>
          <w:sz w:val="24"/>
          <w:lang w:val="fr-FR"/>
        </w:rPr>
        <w:t xml:space="preserve"> « matériel »] Aux fins du paragraphe (1), </w:t>
      </w:r>
      <w:r w:rsidR="00093BAC">
        <w:rPr>
          <w:i/>
          <w:sz w:val="24"/>
          <w:lang w:val="fr-FR"/>
        </w:rPr>
        <w:t>on entend par</w:t>
      </w:r>
      <w:r w:rsidRPr="00EA2AB9">
        <w:rPr>
          <w:i/>
          <w:sz w:val="24"/>
          <w:lang w:val="fr-FR"/>
        </w:rPr>
        <w:t xml:space="preserve"> « matériel »</w:t>
      </w:r>
      <w:r w:rsidR="00093BAC">
        <w:rPr>
          <w:i/>
          <w:sz w:val="24"/>
          <w:lang w:val="fr-FR"/>
        </w:rPr>
        <w:t xml:space="preserve">, en </w:t>
      </w:r>
      <w:r w:rsidRPr="00EA2AB9">
        <w:rPr>
          <w:i/>
          <w:sz w:val="24"/>
          <w:lang w:val="fr-FR"/>
        </w:rPr>
        <w:t>relation avec une variété,</w:t>
      </w:r>
    </w:p>
    <w:p w14:paraId="76420055" w14:textId="1F3C4917" w:rsidR="006B758D" w:rsidRPr="00093BAC" w:rsidRDefault="00093BAC" w:rsidP="00093BAC">
      <w:pPr>
        <w:pStyle w:val="ListParagraph"/>
        <w:numPr>
          <w:ilvl w:val="1"/>
          <w:numId w:val="5"/>
        </w:numPr>
        <w:tabs>
          <w:tab w:val="left" w:pos="1390"/>
        </w:tabs>
        <w:spacing w:line="271" w:lineRule="exact"/>
        <w:rPr>
          <w:i/>
          <w:sz w:val="24"/>
          <w:lang w:val="fr-FR"/>
        </w:rPr>
      </w:pPr>
      <w:proofErr w:type="gramStart"/>
      <w:r w:rsidRPr="00093BAC">
        <w:rPr>
          <w:i/>
          <w:spacing w:val="-1"/>
          <w:sz w:val="24"/>
          <w:lang w:val="fr-FR"/>
        </w:rPr>
        <w:t>le</w:t>
      </w:r>
      <w:proofErr w:type="gramEnd"/>
      <w:r w:rsidRPr="00093BAC">
        <w:rPr>
          <w:i/>
          <w:spacing w:val="-1"/>
          <w:sz w:val="24"/>
          <w:lang w:val="fr-FR"/>
        </w:rPr>
        <w:t xml:space="preserve"> </w:t>
      </w:r>
      <w:r w:rsidRPr="00093BAC">
        <w:rPr>
          <w:i/>
          <w:sz w:val="24"/>
          <w:lang w:val="fr-FR"/>
        </w:rPr>
        <w:t>matériel de reproduction ou de multiplication végétative, sous quelque forme</w:t>
      </w:r>
      <w:r>
        <w:rPr>
          <w:i/>
          <w:sz w:val="24"/>
          <w:lang w:val="fr-FR"/>
        </w:rPr>
        <w:t xml:space="preserve"> </w:t>
      </w:r>
      <w:r w:rsidRPr="00093BAC">
        <w:rPr>
          <w:i/>
          <w:sz w:val="24"/>
          <w:lang w:val="fr-FR"/>
        </w:rPr>
        <w:t>que ce soit,</w:t>
      </w:r>
    </w:p>
    <w:p w14:paraId="5D13C1BA" w14:textId="1AA72B63" w:rsidR="006B758D" w:rsidRPr="00EA2AB9" w:rsidRDefault="0023308C">
      <w:pPr>
        <w:pStyle w:val="ListParagraph"/>
        <w:numPr>
          <w:ilvl w:val="1"/>
          <w:numId w:val="5"/>
        </w:numPr>
        <w:tabs>
          <w:tab w:val="left" w:pos="1458"/>
        </w:tabs>
        <w:spacing w:before="139"/>
        <w:ind w:left="1457" w:hanging="354"/>
        <w:rPr>
          <w:i/>
          <w:sz w:val="24"/>
          <w:lang w:val="fr-FR"/>
        </w:rPr>
      </w:pPr>
      <w:proofErr w:type="gramStart"/>
      <w:r w:rsidRPr="00EA2AB9">
        <w:rPr>
          <w:i/>
          <w:sz w:val="24"/>
          <w:lang w:val="fr-FR"/>
        </w:rPr>
        <w:t>le</w:t>
      </w:r>
      <w:proofErr w:type="gramEnd"/>
      <w:r w:rsidRPr="00EA2AB9">
        <w:rPr>
          <w:i/>
          <w:sz w:val="24"/>
          <w:lang w:val="fr-FR"/>
        </w:rPr>
        <w:t xml:space="preserve"> </w:t>
      </w:r>
      <w:r w:rsidR="00093BAC" w:rsidRPr="00093BAC">
        <w:rPr>
          <w:i/>
          <w:sz w:val="24"/>
          <w:lang w:val="fr-FR"/>
        </w:rPr>
        <w:t>produit de la récolte, y compris les plantes entières et les parties de plantes, et</w:t>
      </w:r>
    </w:p>
    <w:p w14:paraId="59FBD85B" w14:textId="2AD5FDC0" w:rsidR="006B758D" w:rsidRPr="00EA2AB9" w:rsidRDefault="0023308C">
      <w:pPr>
        <w:pStyle w:val="ListParagraph"/>
        <w:numPr>
          <w:ilvl w:val="1"/>
          <w:numId w:val="5"/>
        </w:numPr>
        <w:tabs>
          <w:tab w:val="left" w:pos="1525"/>
        </w:tabs>
        <w:spacing w:before="137"/>
        <w:ind w:left="1524" w:hanging="421"/>
        <w:rPr>
          <w:i/>
          <w:sz w:val="24"/>
          <w:lang w:val="fr-FR"/>
        </w:rPr>
      </w:pPr>
      <w:proofErr w:type="gramStart"/>
      <w:r w:rsidRPr="00EA2AB9">
        <w:rPr>
          <w:i/>
          <w:sz w:val="24"/>
          <w:lang w:val="fr-FR"/>
        </w:rPr>
        <w:t>tout</w:t>
      </w:r>
      <w:proofErr w:type="gramEnd"/>
      <w:r w:rsidRPr="00EA2AB9">
        <w:rPr>
          <w:i/>
          <w:sz w:val="24"/>
          <w:lang w:val="fr-FR"/>
        </w:rPr>
        <w:t xml:space="preserve"> </w:t>
      </w:r>
      <w:r w:rsidR="00093BAC" w:rsidRPr="00093BAC">
        <w:rPr>
          <w:i/>
          <w:sz w:val="24"/>
          <w:lang w:val="fr-FR"/>
        </w:rPr>
        <w:t>produit fabriqué directement à partir du produit de la récolte</w:t>
      </w:r>
      <w:r w:rsidRPr="00EA2AB9">
        <w:rPr>
          <w:i/>
          <w:spacing w:val="-2"/>
          <w:sz w:val="24"/>
          <w:lang w:val="fr-FR"/>
        </w:rPr>
        <w:t>.</w:t>
      </w:r>
    </w:p>
    <w:p w14:paraId="2DA80875" w14:textId="77777777" w:rsidR="006B758D" w:rsidRPr="00EA2AB9" w:rsidRDefault="006B758D">
      <w:pPr>
        <w:pStyle w:val="BodyText"/>
        <w:rPr>
          <w:i/>
          <w:sz w:val="26"/>
          <w:lang w:val="fr-FR"/>
        </w:rPr>
      </w:pPr>
    </w:p>
    <w:p w14:paraId="22592B7A" w14:textId="77777777" w:rsidR="006B758D" w:rsidRPr="00EA2AB9" w:rsidRDefault="006B758D">
      <w:pPr>
        <w:pStyle w:val="BodyText"/>
        <w:rPr>
          <w:i/>
          <w:sz w:val="22"/>
          <w:lang w:val="fr-FR"/>
        </w:rPr>
      </w:pPr>
    </w:p>
    <w:p w14:paraId="51E598EC" w14:textId="0A360C7F" w:rsidR="006B758D" w:rsidRPr="00093BAC" w:rsidRDefault="0023308C" w:rsidP="00093BAC">
      <w:pPr>
        <w:pStyle w:val="ListParagraph"/>
        <w:numPr>
          <w:ilvl w:val="0"/>
          <w:numId w:val="5"/>
        </w:numPr>
        <w:tabs>
          <w:tab w:val="left" w:pos="1529"/>
        </w:tabs>
        <w:spacing w:line="360" w:lineRule="auto"/>
        <w:ind w:right="115"/>
        <w:rPr>
          <w:i/>
          <w:sz w:val="24"/>
          <w:lang w:val="fr-FR"/>
        </w:rPr>
      </w:pPr>
      <w:r w:rsidRPr="00093BAC">
        <w:rPr>
          <w:i/>
          <w:sz w:val="24"/>
          <w:lang w:val="fr-FR"/>
        </w:rPr>
        <w:t xml:space="preserve">[« Territoire » dans certains cas] Aux fins du paragraphe (1), les Parties contractantes qui sont </w:t>
      </w:r>
      <w:r w:rsidR="00093BAC" w:rsidRPr="00093BAC">
        <w:rPr>
          <w:i/>
          <w:sz w:val="24"/>
          <w:lang w:val="fr-FR"/>
        </w:rPr>
        <w:t xml:space="preserve">des Etats membres d’une seule et même organisation intergouvernementale peuvent, lorsque les règles de cette organisation le requièrent, agir conjointement pour assimiler les actes accomplis sur les territoires des Etats membres de cette organisation à des actes accomplis sur leur propre </w:t>
      </w:r>
      <w:proofErr w:type="gramStart"/>
      <w:r w:rsidR="00093BAC" w:rsidRPr="00093BAC">
        <w:rPr>
          <w:i/>
          <w:sz w:val="24"/>
          <w:lang w:val="fr-FR"/>
        </w:rPr>
        <w:t>territoire;</w:t>
      </w:r>
      <w:proofErr w:type="gramEnd"/>
      <w:r w:rsidR="00093BAC" w:rsidRPr="00093BAC">
        <w:rPr>
          <w:i/>
          <w:sz w:val="24"/>
          <w:lang w:val="fr-FR"/>
        </w:rPr>
        <w:t xml:space="preserve"> elles notifient, le cas échéant,</w:t>
      </w:r>
      <w:r w:rsidR="00093BAC">
        <w:rPr>
          <w:i/>
          <w:sz w:val="24"/>
          <w:lang w:val="fr-FR"/>
        </w:rPr>
        <w:t xml:space="preserve"> </w:t>
      </w:r>
      <w:r w:rsidR="00093BAC" w:rsidRPr="00093BAC">
        <w:rPr>
          <w:i/>
          <w:sz w:val="24"/>
          <w:lang w:val="fr-FR"/>
        </w:rPr>
        <w:t>cette assimilation au Secrétaire général</w:t>
      </w:r>
      <w:r w:rsidRPr="00093BAC">
        <w:rPr>
          <w:i/>
          <w:spacing w:val="-2"/>
          <w:sz w:val="24"/>
          <w:lang w:val="fr-FR"/>
        </w:rPr>
        <w:t>. »</w:t>
      </w:r>
    </w:p>
    <w:p w14:paraId="70287903" w14:textId="77777777" w:rsidR="006B758D" w:rsidRPr="00EA2AB9" w:rsidRDefault="006B758D">
      <w:pPr>
        <w:pStyle w:val="BodyText"/>
        <w:spacing w:before="2"/>
        <w:rPr>
          <w:i/>
          <w:sz w:val="36"/>
          <w:lang w:val="fr-FR"/>
        </w:rPr>
      </w:pPr>
    </w:p>
    <w:p w14:paraId="5BB75BC7" w14:textId="77777777" w:rsidR="006B758D" w:rsidRDefault="0023308C">
      <w:pPr>
        <w:pStyle w:val="ListParagraph"/>
        <w:numPr>
          <w:ilvl w:val="0"/>
          <w:numId w:val="6"/>
        </w:numPr>
        <w:tabs>
          <w:tab w:val="left" w:pos="755"/>
        </w:tabs>
        <w:ind w:left="754" w:hanging="359"/>
        <w:rPr>
          <w:sz w:val="24"/>
        </w:rPr>
      </w:pPr>
      <w:bookmarkStart w:id="119" w:name="_bookmark119"/>
      <w:bookmarkEnd w:id="119"/>
      <w:proofErr w:type="spellStart"/>
      <w:r>
        <w:rPr>
          <w:sz w:val="24"/>
          <w:u w:val="single"/>
        </w:rPr>
        <w:t>Principales</w:t>
      </w:r>
      <w:proofErr w:type="spellEnd"/>
      <w:r>
        <w:rPr>
          <w:sz w:val="24"/>
          <w:u w:val="single"/>
        </w:rPr>
        <w:t xml:space="preserve"> </w:t>
      </w:r>
      <w:r>
        <w:rPr>
          <w:spacing w:val="-2"/>
          <w:sz w:val="24"/>
          <w:u w:val="single"/>
        </w:rPr>
        <w:t>conclusions</w:t>
      </w:r>
    </w:p>
    <w:p w14:paraId="2448CC84" w14:textId="77777777" w:rsidR="006B758D" w:rsidRDefault="006B758D">
      <w:pPr>
        <w:pStyle w:val="BodyText"/>
        <w:rPr>
          <w:sz w:val="20"/>
        </w:rPr>
      </w:pPr>
    </w:p>
    <w:p w14:paraId="17DABB06" w14:textId="77777777" w:rsidR="006B758D" w:rsidRDefault="006B758D">
      <w:pPr>
        <w:pStyle w:val="BodyText"/>
        <w:spacing w:before="2"/>
        <w:rPr>
          <w:sz w:val="20"/>
        </w:rPr>
      </w:pPr>
    </w:p>
    <w:p w14:paraId="3D458B34" w14:textId="77777777" w:rsidR="006B758D" w:rsidRPr="00EA2AB9" w:rsidRDefault="0023308C">
      <w:pPr>
        <w:pStyle w:val="ListParagraph"/>
        <w:numPr>
          <w:ilvl w:val="1"/>
          <w:numId w:val="8"/>
        </w:numPr>
        <w:tabs>
          <w:tab w:val="left" w:pos="1462"/>
        </w:tabs>
        <w:spacing w:before="90" w:line="360" w:lineRule="auto"/>
        <w:ind w:left="396" w:right="116" w:firstLine="707"/>
        <w:rPr>
          <w:sz w:val="24"/>
          <w:lang w:val="fr-FR"/>
        </w:rPr>
      </w:pPr>
      <w:r w:rsidRPr="00EA2AB9">
        <w:rPr>
          <w:sz w:val="24"/>
          <w:lang w:val="fr-FR"/>
        </w:rPr>
        <w:t>L'intention des rédacteurs de la Convention UPOV de 1991 concernant l'épuisement du droit d'obtenteur est clairement de limiter le droit d'obtenteur au premier matériel de reproduction ou de multiplication mis sur le marché, ce qui a pour conséquence que le matériel récolté ou dérivé de celui-ci ne relève pas de la protection prévue à l'article 14, sauf si l'obtenteur n'a pas eu l'opportunité raisonnable d'exercer son droit.</w:t>
      </w:r>
    </w:p>
    <w:p w14:paraId="2FFA224F" w14:textId="77777777" w:rsidR="006B758D" w:rsidRPr="00EA2AB9" w:rsidRDefault="006B758D">
      <w:pPr>
        <w:pStyle w:val="BodyText"/>
        <w:spacing w:before="10"/>
        <w:rPr>
          <w:sz w:val="35"/>
          <w:lang w:val="fr-FR"/>
        </w:rPr>
      </w:pPr>
    </w:p>
    <w:p w14:paraId="2A02F110" w14:textId="77777777" w:rsidR="006B758D" w:rsidRPr="00EA2AB9" w:rsidRDefault="0023308C">
      <w:pPr>
        <w:pStyle w:val="ListParagraph"/>
        <w:numPr>
          <w:ilvl w:val="1"/>
          <w:numId w:val="8"/>
        </w:numPr>
        <w:tabs>
          <w:tab w:val="left" w:pos="1496"/>
        </w:tabs>
        <w:spacing w:line="360" w:lineRule="auto"/>
        <w:ind w:left="396" w:right="119" w:firstLine="707"/>
        <w:rPr>
          <w:sz w:val="24"/>
          <w:lang w:val="fr-FR"/>
        </w:rPr>
      </w:pPr>
      <w:r w:rsidRPr="00EA2AB9">
        <w:rPr>
          <w:sz w:val="24"/>
          <w:lang w:val="fr-FR"/>
        </w:rPr>
        <w:t>L'utilisation d'un produit de la récolte, tel que des plantes ou des bulbes, pour la production de matériel dérivé, tel que des fleurs, ne relève pas de l'épuisement du droit d'obtenteur, lorsque le paragraphe 14(1)(b) peut être utilisé pour exercer le droit sur ce matériel.</w:t>
      </w:r>
    </w:p>
    <w:p w14:paraId="4DE6CDC6" w14:textId="77777777" w:rsidR="006B758D" w:rsidRPr="00EA2AB9" w:rsidRDefault="006B758D">
      <w:pPr>
        <w:spacing w:line="360" w:lineRule="auto"/>
        <w:jc w:val="both"/>
        <w:rPr>
          <w:sz w:val="24"/>
          <w:lang w:val="fr-FR"/>
        </w:rPr>
        <w:sectPr w:rsidR="006B758D" w:rsidRPr="00EA2AB9">
          <w:pgSz w:w="11910" w:h="16840"/>
          <w:pgMar w:top="1320" w:right="1300" w:bottom="1240" w:left="1020" w:header="0" w:footer="1049" w:gutter="0"/>
          <w:cols w:space="720"/>
        </w:sectPr>
      </w:pPr>
    </w:p>
    <w:p w14:paraId="2A711267" w14:textId="77777777" w:rsidR="006B758D" w:rsidRPr="00EA2AB9" w:rsidRDefault="0023308C">
      <w:pPr>
        <w:pStyle w:val="BodyText"/>
        <w:spacing w:before="76" w:line="360" w:lineRule="auto"/>
        <w:ind w:left="396" w:right="114"/>
        <w:jc w:val="both"/>
        <w:rPr>
          <w:lang w:val="fr-FR"/>
        </w:rPr>
      </w:pPr>
      <w:r w:rsidRPr="00EA2AB9">
        <w:rPr>
          <w:lang w:val="fr-FR"/>
        </w:rPr>
        <w:lastRenderedPageBreak/>
        <w:t xml:space="preserve">Les deux exceptions i) et ii) de l'article 16 concernent l'utilisation pour la multiplication ultérieure de ce matériel et l'exportation de matériel pouvant être utilisé comme matériel de reproduction ou de multiplication vers un pays où la variété ne peut être protégée, « sauf lorsque le matériel exporté est </w:t>
      </w:r>
      <w:r w:rsidRPr="00EA2AB9">
        <w:rPr>
          <w:spacing w:val="-2"/>
          <w:lang w:val="fr-FR"/>
        </w:rPr>
        <w:t>destiné à la</w:t>
      </w:r>
      <w:r w:rsidRPr="00EA2AB9">
        <w:rPr>
          <w:lang w:val="fr-FR"/>
        </w:rPr>
        <w:t xml:space="preserve"> consommation finale </w:t>
      </w:r>
      <w:r w:rsidRPr="00EA2AB9">
        <w:rPr>
          <w:spacing w:val="-2"/>
          <w:lang w:val="fr-FR"/>
        </w:rPr>
        <w:t>».</w:t>
      </w:r>
    </w:p>
    <w:p w14:paraId="4EDBBB5B" w14:textId="77777777" w:rsidR="006B758D" w:rsidRPr="00EA2AB9" w:rsidRDefault="006B758D">
      <w:pPr>
        <w:pStyle w:val="BodyText"/>
        <w:spacing w:before="2"/>
        <w:rPr>
          <w:sz w:val="36"/>
          <w:lang w:val="fr-FR"/>
        </w:rPr>
      </w:pPr>
    </w:p>
    <w:p w14:paraId="5EAF65E7" w14:textId="77777777" w:rsidR="006B758D" w:rsidRPr="00EA2AB9" w:rsidRDefault="0023308C">
      <w:pPr>
        <w:pStyle w:val="ListParagraph"/>
        <w:numPr>
          <w:ilvl w:val="1"/>
          <w:numId w:val="8"/>
        </w:numPr>
        <w:tabs>
          <w:tab w:val="left" w:pos="1465"/>
        </w:tabs>
        <w:spacing w:line="360" w:lineRule="auto"/>
        <w:ind w:left="396" w:right="116" w:firstLine="707"/>
        <w:rPr>
          <w:sz w:val="24"/>
          <w:lang w:val="fr-FR"/>
        </w:rPr>
      </w:pPr>
      <w:r w:rsidRPr="00EA2AB9">
        <w:rPr>
          <w:sz w:val="24"/>
          <w:lang w:val="fr-FR"/>
        </w:rPr>
        <w:t xml:space="preserve">Cette dernière phrase a été ajoutée sans autre discussion. Mais une conclusion logique est que, bien que ce matériel, comme les semences de graminées pour les pâturages ou les pelouses, puisse également être capable de se reproduire, il ne faut pas s'attendre à obtenir de ce </w:t>
      </w:r>
      <w:r w:rsidRPr="00EA2AB9">
        <w:rPr>
          <w:spacing w:val="-2"/>
          <w:sz w:val="24"/>
          <w:lang w:val="fr-FR"/>
        </w:rPr>
        <w:t>matériel</w:t>
      </w:r>
      <w:r w:rsidRPr="00EA2AB9">
        <w:rPr>
          <w:sz w:val="24"/>
          <w:lang w:val="fr-FR"/>
        </w:rPr>
        <w:t xml:space="preserve"> du matériel de reproduction ou de multiplication dérivé, ni de produits de la récolte</w:t>
      </w:r>
      <w:r w:rsidRPr="00EA2AB9">
        <w:rPr>
          <w:spacing w:val="-2"/>
          <w:sz w:val="24"/>
          <w:lang w:val="fr-FR"/>
        </w:rPr>
        <w:t>.</w:t>
      </w:r>
    </w:p>
    <w:p w14:paraId="09E53294" w14:textId="77777777" w:rsidR="006B758D" w:rsidRPr="00EA2AB9" w:rsidRDefault="006B758D">
      <w:pPr>
        <w:pStyle w:val="BodyText"/>
        <w:rPr>
          <w:sz w:val="36"/>
          <w:lang w:val="fr-FR"/>
        </w:rPr>
      </w:pPr>
    </w:p>
    <w:p w14:paraId="38D1FB35" w14:textId="77777777" w:rsidR="006B758D" w:rsidRPr="00EA2AB9" w:rsidRDefault="0023308C">
      <w:pPr>
        <w:pStyle w:val="ListParagraph"/>
        <w:numPr>
          <w:ilvl w:val="1"/>
          <w:numId w:val="8"/>
        </w:numPr>
        <w:tabs>
          <w:tab w:val="left" w:pos="1465"/>
        </w:tabs>
        <w:ind w:left="1464" w:hanging="361"/>
        <w:rPr>
          <w:sz w:val="24"/>
          <w:lang w:val="fr-FR"/>
        </w:rPr>
      </w:pPr>
      <w:r w:rsidRPr="00EA2AB9">
        <w:rPr>
          <w:sz w:val="24"/>
          <w:lang w:val="fr-FR"/>
        </w:rPr>
        <w:t>En ce qui concerne la relation entre l'article 14 et l'article 16 de l'UPOV</w:t>
      </w:r>
      <w:r w:rsidRPr="00EA2AB9">
        <w:rPr>
          <w:spacing w:val="-2"/>
          <w:sz w:val="24"/>
          <w:lang w:val="fr-FR"/>
        </w:rPr>
        <w:t xml:space="preserve"> 1991 :</w:t>
      </w:r>
    </w:p>
    <w:p w14:paraId="6A9EF6DE" w14:textId="77777777" w:rsidR="006B758D" w:rsidRPr="00EA2AB9" w:rsidRDefault="006B758D">
      <w:pPr>
        <w:pStyle w:val="BodyText"/>
        <w:rPr>
          <w:sz w:val="26"/>
          <w:lang w:val="fr-FR"/>
        </w:rPr>
      </w:pPr>
    </w:p>
    <w:p w14:paraId="6F71A1F3" w14:textId="77777777" w:rsidR="006B758D" w:rsidRPr="00EA2AB9" w:rsidRDefault="006B758D">
      <w:pPr>
        <w:pStyle w:val="BodyText"/>
        <w:rPr>
          <w:sz w:val="22"/>
          <w:lang w:val="fr-FR"/>
        </w:rPr>
      </w:pPr>
    </w:p>
    <w:p w14:paraId="755ED86B" w14:textId="77777777" w:rsidR="006B758D" w:rsidRPr="00EA2AB9" w:rsidRDefault="0023308C">
      <w:pPr>
        <w:pStyle w:val="ListParagraph"/>
        <w:numPr>
          <w:ilvl w:val="0"/>
          <w:numId w:val="4"/>
        </w:numPr>
        <w:tabs>
          <w:tab w:val="left" w:pos="1390"/>
        </w:tabs>
        <w:spacing w:line="360" w:lineRule="auto"/>
        <w:ind w:right="116" w:firstLine="707"/>
        <w:rPr>
          <w:sz w:val="24"/>
          <w:lang w:val="fr-FR"/>
        </w:rPr>
      </w:pPr>
      <w:r w:rsidRPr="00EA2AB9">
        <w:rPr>
          <w:sz w:val="24"/>
          <w:lang w:val="fr-FR"/>
        </w:rPr>
        <w:t>Il est clair que lorsque, conformément à l'article 16, l'épuisement du droit d'obtenteur a lieu, l'obtenteur ne peut plus invoquer l'article 14 en ce qui concerne le matériel concerné.</w:t>
      </w:r>
    </w:p>
    <w:p w14:paraId="52A16580" w14:textId="77777777" w:rsidR="006B758D" w:rsidRPr="00EA2AB9" w:rsidRDefault="006B758D">
      <w:pPr>
        <w:pStyle w:val="BodyText"/>
        <w:spacing w:before="1"/>
        <w:rPr>
          <w:sz w:val="36"/>
          <w:lang w:val="fr-FR"/>
        </w:rPr>
      </w:pPr>
    </w:p>
    <w:p w14:paraId="14BFB73E" w14:textId="77777777" w:rsidR="006B758D" w:rsidRPr="00EA2AB9" w:rsidRDefault="0023308C">
      <w:pPr>
        <w:pStyle w:val="ListParagraph"/>
        <w:numPr>
          <w:ilvl w:val="0"/>
          <w:numId w:val="4"/>
        </w:numPr>
        <w:tabs>
          <w:tab w:val="left" w:pos="1390"/>
        </w:tabs>
        <w:ind w:left="1389"/>
        <w:rPr>
          <w:sz w:val="24"/>
          <w:lang w:val="fr-FR"/>
        </w:rPr>
      </w:pPr>
      <w:r w:rsidRPr="00EA2AB9">
        <w:rPr>
          <w:sz w:val="24"/>
          <w:lang w:val="fr-FR"/>
        </w:rPr>
        <w:t xml:space="preserve">En cas de reproduction ultérieure du matériel de la variété qui a été mis sur </w:t>
      </w:r>
      <w:r w:rsidRPr="00EA2AB9">
        <w:rPr>
          <w:spacing w:val="-5"/>
          <w:sz w:val="24"/>
          <w:lang w:val="fr-FR"/>
        </w:rPr>
        <w:t>le</w:t>
      </w:r>
    </w:p>
    <w:p w14:paraId="19E593E7" w14:textId="77777777" w:rsidR="006B758D" w:rsidRPr="00EA2AB9" w:rsidRDefault="0023308C">
      <w:pPr>
        <w:pStyle w:val="BodyText"/>
        <w:spacing w:before="137"/>
        <w:ind w:left="396"/>
        <w:jc w:val="both"/>
        <w:rPr>
          <w:lang w:val="fr-FR"/>
        </w:rPr>
      </w:pPr>
      <w:proofErr w:type="gramStart"/>
      <w:r w:rsidRPr="00EA2AB9">
        <w:rPr>
          <w:lang w:val="fr-FR"/>
        </w:rPr>
        <w:t>marché</w:t>
      </w:r>
      <w:proofErr w:type="gramEnd"/>
      <w:r w:rsidRPr="00EA2AB9">
        <w:rPr>
          <w:lang w:val="fr-FR"/>
        </w:rPr>
        <w:t xml:space="preserve">, le droit d'obtenteur « </w:t>
      </w:r>
      <w:r w:rsidRPr="00EA2AB9">
        <w:rPr>
          <w:spacing w:val="-2"/>
          <w:lang w:val="fr-FR"/>
        </w:rPr>
        <w:t>renaît ».</w:t>
      </w:r>
    </w:p>
    <w:p w14:paraId="1767B83F" w14:textId="77777777" w:rsidR="006B758D" w:rsidRPr="00EA2AB9" w:rsidRDefault="006B758D">
      <w:pPr>
        <w:pStyle w:val="BodyText"/>
        <w:rPr>
          <w:sz w:val="26"/>
          <w:lang w:val="fr-FR"/>
        </w:rPr>
      </w:pPr>
    </w:p>
    <w:p w14:paraId="01140CA0" w14:textId="77777777" w:rsidR="006B758D" w:rsidRPr="00EA2AB9" w:rsidRDefault="006B758D">
      <w:pPr>
        <w:pStyle w:val="BodyText"/>
        <w:rPr>
          <w:sz w:val="22"/>
          <w:lang w:val="fr-FR"/>
        </w:rPr>
      </w:pPr>
    </w:p>
    <w:p w14:paraId="79351164" w14:textId="77777777" w:rsidR="006B758D" w:rsidRPr="00EA2AB9" w:rsidRDefault="0023308C">
      <w:pPr>
        <w:pStyle w:val="ListParagraph"/>
        <w:numPr>
          <w:ilvl w:val="0"/>
          <w:numId w:val="4"/>
        </w:numPr>
        <w:tabs>
          <w:tab w:val="left" w:pos="1385"/>
        </w:tabs>
        <w:spacing w:line="360" w:lineRule="auto"/>
        <w:ind w:right="121" w:firstLine="707"/>
        <w:rPr>
          <w:sz w:val="24"/>
          <w:lang w:val="fr-FR"/>
        </w:rPr>
      </w:pPr>
      <w:r w:rsidRPr="00EA2AB9">
        <w:rPr>
          <w:sz w:val="24"/>
          <w:lang w:val="fr-FR"/>
        </w:rPr>
        <w:t>L'utilisation du produit de la récolte, pour lequel l'épuisement du droit d'obtenteur a lieu – comme les rosiers ou les bulbes de tulipes – pour la production de fleurs, peut être contrôlée par la disposition prévue à l'article 14(1)(b) :</w:t>
      </w:r>
    </w:p>
    <w:p w14:paraId="03E91D2C" w14:textId="77777777" w:rsidR="006B758D" w:rsidRPr="00EA2AB9" w:rsidRDefault="0023308C">
      <w:pPr>
        <w:pStyle w:val="BodyText"/>
        <w:spacing w:before="2"/>
        <w:ind w:left="1104"/>
        <w:rPr>
          <w:lang w:val="fr-FR"/>
        </w:rPr>
      </w:pPr>
      <w:r w:rsidRPr="00EA2AB9">
        <w:rPr>
          <w:lang w:val="fr-FR"/>
        </w:rPr>
        <w:t xml:space="preserve">« L'obtenteur peut subordonner son autorisation à des conditions et </w:t>
      </w:r>
      <w:r w:rsidRPr="00EA2AB9">
        <w:rPr>
          <w:spacing w:val="-2"/>
          <w:lang w:val="fr-FR"/>
        </w:rPr>
        <w:t>limitations ».</w:t>
      </w:r>
    </w:p>
    <w:p w14:paraId="2110D8F5" w14:textId="77777777" w:rsidR="006B758D" w:rsidRPr="00EA2AB9" w:rsidRDefault="006B758D">
      <w:pPr>
        <w:pStyle w:val="BodyText"/>
        <w:rPr>
          <w:sz w:val="26"/>
          <w:lang w:val="fr-FR"/>
        </w:rPr>
      </w:pPr>
    </w:p>
    <w:p w14:paraId="1E5FFCC8" w14:textId="77777777" w:rsidR="006B758D" w:rsidRPr="00EA2AB9" w:rsidRDefault="006B758D">
      <w:pPr>
        <w:pStyle w:val="BodyText"/>
        <w:rPr>
          <w:sz w:val="22"/>
          <w:lang w:val="fr-FR"/>
        </w:rPr>
      </w:pPr>
    </w:p>
    <w:p w14:paraId="63714CF6" w14:textId="77777777" w:rsidR="006B758D" w:rsidRPr="00EA2AB9" w:rsidRDefault="0023308C">
      <w:pPr>
        <w:pStyle w:val="BodyText"/>
        <w:spacing w:line="360" w:lineRule="auto"/>
        <w:ind w:left="396" w:right="116" w:firstLine="707"/>
        <w:jc w:val="both"/>
        <w:rPr>
          <w:lang w:val="fr-FR"/>
        </w:rPr>
      </w:pPr>
      <w:r w:rsidRPr="00EA2AB9">
        <w:rPr>
          <w:lang w:val="fr-FR"/>
        </w:rPr>
        <w:t xml:space="preserve">D1. Si du matériel de reproduction ou de multiplication, ou du matériel pouvant être utilisé comme matériel de reproduction ou de multiplication, d'une variété protégée est vendu à une partie qui exporte ce matériel vers un territoire où il n'existe pas de droit d'obtenteur pour l'espèce à laquelle appartient cette variété, le droit d'obtenteur n'est pas </w:t>
      </w:r>
      <w:r w:rsidRPr="00EA2AB9">
        <w:rPr>
          <w:spacing w:val="-2"/>
          <w:lang w:val="fr-FR"/>
        </w:rPr>
        <w:t>épuisé.</w:t>
      </w:r>
    </w:p>
    <w:p w14:paraId="0CA25E13" w14:textId="77777777" w:rsidR="006B758D" w:rsidRPr="00EA2AB9" w:rsidRDefault="006B758D">
      <w:pPr>
        <w:pStyle w:val="BodyText"/>
        <w:spacing w:before="11"/>
        <w:rPr>
          <w:sz w:val="35"/>
          <w:lang w:val="fr-FR"/>
        </w:rPr>
      </w:pPr>
    </w:p>
    <w:p w14:paraId="4BFFB72C" w14:textId="77777777" w:rsidR="006B758D" w:rsidRPr="00EA2AB9" w:rsidRDefault="0023308C">
      <w:pPr>
        <w:pStyle w:val="BodyText"/>
        <w:spacing w:line="360" w:lineRule="auto"/>
        <w:ind w:left="396" w:right="114" w:firstLine="707"/>
        <w:jc w:val="both"/>
        <w:rPr>
          <w:lang w:val="fr-FR"/>
        </w:rPr>
      </w:pPr>
      <w:r w:rsidRPr="00EA2AB9">
        <w:rPr>
          <w:lang w:val="fr-FR"/>
        </w:rPr>
        <w:t>D2. Cela signifie que le titulaire peut exercer son droit sur le produit de la récolte importé produit à partir de ce matériel de reproduction ou de multiplication, car le produit de la récolte a été produit sans autorisation au regard du droit d'obtenteur non épuisé et le titulaire n'avait aucune opportunité raisonnable d'exercer son droit dans cet autre territoire.</w:t>
      </w:r>
    </w:p>
    <w:p w14:paraId="2C22FCA3" w14:textId="77777777" w:rsidR="006B758D" w:rsidRPr="00EA2AB9" w:rsidRDefault="006B758D">
      <w:pPr>
        <w:spacing w:line="360" w:lineRule="auto"/>
        <w:jc w:val="both"/>
        <w:rPr>
          <w:lang w:val="fr-FR"/>
        </w:rPr>
        <w:sectPr w:rsidR="006B758D" w:rsidRPr="00EA2AB9">
          <w:pgSz w:w="11910" w:h="16840"/>
          <w:pgMar w:top="1320" w:right="1300" w:bottom="1240" w:left="1020" w:header="0" w:footer="1049" w:gutter="0"/>
          <w:cols w:space="720"/>
        </w:sectPr>
      </w:pPr>
    </w:p>
    <w:p w14:paraId="5542B109" w14:textId="77777777" w:rsidR="006B758D" w:rsidRPr="00EA2AB9" w:rsidRDefault="0023308C">
      <w:pPr>
        <w:pStyle w:val="Heading1"/>
        <w:spacing w:before="73"/>
        <w:ind w:left="396"/>
        <w:rPr>
          <w:lang w:val="fr-FR"/>
        </w:rPr>
      </w:pPr>
      <w:bookmarkStart w:id="120" w:name="_bookmark120"/>
      <w:bookmarkEnd w:id="120"/>
      <w:r w:rsidRPr="00EA2AB9">
        <w:rPr>
          <w:spacing w:val="-2"/>
          <w:lang w:val="fr-FR"/>
        </w:rPr>
        <w:lastRenderedPageBreak/>
        <w:t>Conclusions</w:t>
      </w:r>
    </w:p>
    <w:p w14:paraId="7A8E8C78" w14:textId="77777777" w:rsidR="006B758D" w:rsidRPr="00EA2AB9" w:rsidRDefault="006B758D">
      <w:pPr>
        <w:pStyle w:val="BodyText"/>
        <w:rPr>
          <w:b/>
          <w:sz w:val="26"/>
          <w:lang w:val="fr-FR"/>
        </w:rPr>
      </w:pPr>
    </w:p>
    <w:p w14:paraId="27D5BBA1" w14:textId="77777777" w:rsidR="00921F58" w:rsidRPr="00EA2AB9" w:rsidRDefault="00921F58" w:rsidP="00921F58">
      <w:pPr>
        <w:rPr>
          <w:lang w:val="fr-FR"/>
        </w:rPr>
      </w:pPr>
    </w:p>
    <w:p w14:paraId="78920EE4" w14:textId="3003FFCA" w:rsidR="006B758D" w:rsidRPr="00EA2AB9" w:rsidRDefault="0023308C">
      <w:pPr>
        <w:pStyle w:val="BodyText"/>
        <w:spacing w:line="360" w:lineRule="auto"/>
        <w:ind w:left="396" w:right="112" w:firstLine="707"/>
        <w:jc w:val="both"/>
        <w:rPr>
          <w:lang w:val="fr-FR"/>
        </w:rPr>
      </w:pPr>
      <w:r w:rsidRPr="00EA2AB9">
        <w:rPr>
          <w:lang w:val="fr-FR"/>
        </w:rPr>
        <w:t xml:space="preserve">Le Groupe a analysé l'historique des Conventions UPOV de 1978 et de 1991 ainsi que les intentions des rédacteurs, en ce qui concerne les concepts visés à l'article </w:t>
      </w:r>
      <w:r w:rsidR="00EF1AEC" w:rsidRPr="005557C5">
        <w:rPr>
          <w:lang w:val="fr-FR"/>
        </w:rPr>
        <w:t>14 (1) et 14 (2</w:t>
      </w:r>
      <w:proofErr w:type="gramStart"/>
      <w:r w:rsidR="00EF1AEC" w:rsidRPr="005557C5">
        <w:rPr>
          <w:lang w:val="fr-FR"/>
        </w:rPr>
        <w:t xml:space="preserve">) </w:t>
      </w:r>
      <w:r w:rsidRPr="00EA2AB9">
        <w:rPr>
          <w:lang w:val="fr-FR"/>
        </w:rPr>
        <w:t xml:space="preserve"> de</w:t>
      </w:r>
      <w:proofErr w:type="gramEnd"/>
      <w:r w:rsidRPr="00EA2AB9">
        <w:rPr>
          <w:lang w:val="fr-FR"/>
        </w:rPr>
        <w:t xml:space="preserve"> la Convention UPOV de 1991, à savoir « utilisation non autorisée », « opportunité raisonnable », ainsi que leur relation avec « l'Épuisement du droit d'obtenteur », en étudiant les documents préparatoires et les comptes rendus des conférences diplomatiques, ainsi que la jurisprudence pertinente.</w:t>
      </w:r>
    </w:p>
    <w:p w14:paraId="16522D7A" w14:textId="77777777" w:rsidR="006B758D" w:rsidRPr="00EA2AB9" w:rsidRDefault="006B758D">
      <w:pPr>
        <w:pStyle w:val="BodyText"/>
        <w:rPr>
          <w:sz w:val="36"/>
          <w:lang w:val="fr-FR"/>
        </w:rPr>
      </w:pPr>
    </w:p>
    <w:p w14:paraId="69A7637B" w14:textId="2C32A7EF" w:rsidR="006B758D" w:rsidRPr="00EA2AB9" w:rsidRDefault="0023308C">
      <w:pPr>
        <w:pStyle w:val="BodyText"/>
        <w:spacing w:line="362" w:lineRule="auto"/>
        <w:ind w:left="396" w:right="120" w:firstLine="707"/>
        <w:jc w:val="both"/>
        <w:rPr>
          <w:lang w:val="fr-FR"/>
        </w:rPr>
      </w:pPr>
      <w:r w:rsidRPr="00EA2AB9">
        <w:rPr>
          <w:lang w:val="fr-FR"/>
        </w:rPr>
        <w:t xml:space="preserve">Sur la base de ces études approfondies, le groupe </w:t>
      </w:r>
      <w:r w:rsidR="00875421" w:rsidRPr="00EA2AB9">
        <w:rPr>
          <w:lang w:val="fr-FR"/>
        </w:rPr>
        <w:t xml:space="preserve">est parvenu </w:t>
      </w:r>
      <w:r w:rsidRPr="00EA2AB9">
        <w:rPr>
          <w:lang w:val="fr-FR"/>
        </w:rPr>
        <w:t xml:space="preserve">aux </w:t>
      </w:r>
      <w:r w:rsidRPr="00EA2AB9">
        <w:rPr>
          <w:spacing w:val="-2"/>
          <w:lang w:val="fr-FR"/>
        </w:rPr>
        <w:t>conclusions</w:t>
      </w:r>
      <w:r w:rsidRPr="00EA2AB9">
        <w:rPr>
          <w:lang w:val="fr-FR"/>
        </w:rPr>
        <w:t xml:space="preserve"> suivantes, résumées ci-après </w:t>
      </w:r>
      <w:r w:rsidRPr="00EA2AB9">
        <w:rPr>
          <w:spacing w:val="-2"/>
          <w:lang w:val="fr-FR"/>
        </w:rPr>
        <w:t>:</w:t>
      </w:r>
    </w:p>
    <w:p w14:paraId="2F604499" w14:textId="77777777" w:rsidR="0023308C" w:rsidRPr="00EA2AB9" w:rsidRDefault="0023308C">
      <w:pPr>
        <w:pStyle w:val="BodyText"/>
        <w:spacing w:before="10"/>
        <w:rPr>
          <w:sz w:val="35"/>
          <w:lang w:val="fr-FR"/>
        </w:rPr>
      </w:pPr>
    </w:p>
    <w:p w14:paraId="01EDCF9F" w14:textId="147A8818" w:rsidR="006B758D" w:rsidRPr="00EA2AB9" w:rsidRDefault="0023308C">
      <w:pPr>
        <w:pStyle w:val="ListParagraph"/>
        <w:numPr>
          <w:ilvl w:val="0"/>
          <w:numId w:val="3"/>
        </w:numPr>
        <w:tabs>
          <w:tab w:val="left" w:pos="1530"/>
        </w:tabs>
        <w:spacing w:line="355" w:lineRule="auto"/>
        <w:ind w:right="116" w:hanging="12"/>
        <w:rPr>
          <w:rFonts w:ascii="Symbol" w:hAnsi="Symbol"/>
          <w:sz w:val="24"/>
          <w:lang w:val="fr-FR"/>
        </w:rPr>
      </w:pPr>
      <w:r w:rsidRPr="00EA2AB9">
        <w:rPr>
          <w:sz w:val="24"/>
          <w:lang w:val="fr-FR"/>
        </w:rPr>
        <w:t xml:space="preserve">Toute utilisation visée à l'article </w:t>
      </w:r>
      <w:r w:rsidR="00EF1AEC" w:rsidRPr="005557C5">
        <w:rPr>
          <w:sz w:val="21"/>
          <w:lang w:val="fr-FR"/>
        </w:rPr>
        <w:t>14 (1)(</w:t>
      </w:r>
      <w:proofErr w:type="gramStart"/>
      <w:r w:rsidR="00EF1AEC" w:rsidRPr="005557C5">
        <w:rPr>
          <w:sz w:val="21"/>
          <w:lang w:val="fr-FR"/>
        </w:rPr>
        <w:t xml:space="preserve">a) </w:t>
      </w:r>
      <w:r w:rsidRPr="00EA2AB9">
        <w:rPr>
          <w:sz w:val="24"/>
          <w:lang w:val="fr-FR"/>
        </w:rPr>
        <w:t xml:space="preserve"> de</w:t>
      </w:r>
      <w:proofErr w:type="gramEnd"/>
      <w:r w:rsidRPr="00EA2AB9">
        <w:rPr>
          <w:sz w:val="24"/>
          <w:lang w:val="fr-FR"/>
        </w:rPr>
        <w:t xml:space="preserve"> l'Acte de 1991 de l'UPOV, </w:t>
      </w:r>
      <w:r w:rsidR="00EC5F8C" w:rsidRPr="00EA2AB9">
        <w:rPr>
          <w:sz w:val="24"/>
          <w:lang w:val="fr-FR"/>
        </w:rPr>
        <w:t xml:space="preserve">sous réserve des conditions et limitations </w:t>
      </w:r>
      <w:r w:rsidRPr="00EA2AB9">
        <w:rPr>
          <w:sz w:val="24"/>
          <w:lang w:val="fr-FR"/>
        </w:rPr>
        <w:t xml:space="preserve">prévues à l'article </w:t>
      </w:r>
      <w:r w:rsidR="00EF1AEC" w:rsidRPr="005557C5">
        <w:rPr>
          <w:sz w:val="21"/>
          <w:lang w:val="fr-FR"/>
        </w:rPr>
        <w:t>14 (1)(b</w:t>
      </w:r>
      <w:proofErr w:type="gramStart"/>
      <w:r w:rsidR="00EF1AEC" w:rsidRPr="005557C5">
        <w:rPr>
          <w:sz w:val="21"/>
          <w:lang w:val="fr-FR"/>
        </w:rPr>
        <w:t xml:space="preserve">) </w:t>
      </w:r>
      <w:r w:rsidRPr="00EA2AB9">
        <w:rPr>
          <w:sz w:val="24"/>
          <w:lang w:val="fr-FR"/>
        </w:rPr>
        <w:t>,</w:t>
      </w:r>
      <w:proofErr w:type="gramEnd"/>
      <w:r w:rsidRPr="00EA2AB9">
        <w:rPr>
          <w:sz w:val="24"/>
          <w:lang w:val="fr-FR"/>
        </w:rPr>
        <w:t xml:space="preserve"> de matériel de reproduction ou de multiplication d'une variété protégée, nécessite l'autorisation du titulaire du droit d'obtenteur afférent à cette variété. Dans le cas contraire</w:t>
      </w:r>
      <w:r w:rsidRPr="00EA2AB9">
        <w:rPr>
          <w:spacing w:val="-4"/>
          <w:sz w:val="24"/>
          <w:lang w:val="fr-FR"/>
        </w:rPr>
        <w:t xml:space="preserve">, </w:t>
      </w:r>
      <w:r w:rsidRPr="00EA2AB9">
        <w:rPr>
          <w:sz w:val="24"/>
          <w:lang w:val="fr-FR"/>
        </w:rPr>
        <w:t xml:space="preserve">il s'agit d'une </w:t>
      </w:r>
      <w:r w:rsidRPr="00EA2AB9">
        <w:rPr>
          <w:spacing w:val="-4"/>
          <w:sz w:val="24"/>
          <w:lang w:val="fr-FR"/>
        </w:rPr>
        <w:t>utilisation</w:t>
      </w:r>
      <w:r w:rsidRPr="00EA2AB9">
        <w:rPr>
          <w:sz w:val="24"/>
          <w:lang w:val="fr-FR"/>
        </w:rPr>
        <w:t xml:space="preserve"> non autorisée</w:t>
      </w:r>
      <w:r w:rsidRPr="00EA2AB9">
        <w:rPr>
          <w:spacing w:val="-4"/>
          <w:sz w:val="24"/>
          <w:lang w:val="fr-FR"/>
        </w:rPr>
        <w:t>.</w:t>
      </w:r>
    </w:p>
    <w:p w14:paraId="1B42AB54" w14:textId="77777777" w:rsidR="006B758D" w:rsidRPr="00EA2AB9" w:rsidRDefault="006B758D">
      <w:pPr>
        <w:pStyle w:val="BodyText"/>
        <w:spacing w:before="11"/>
        <w:rPr>
          <w:sz w:val="36"/>
          <w:lang w:val="fr-FR"/>
        </w:rPr>
      </w:pPr>
    </w:p>
    <w:p w14:paraId="67B38191" w14:textId="4CC40707" w:rsidR="006B758D" w:rsidRPr="00EA2AB9" w:rsidRDefault="0023308C">
      <w:pPr>
        <w:pStyle w:val="ListParagraph"/>
        <w:numPr>
          <w:ilvl w:val="0"/>
          <w:numId w:val="3"/>
        </w:numPr>
        <w:tabs>
          <w:tab w:val="left" w:pos="1530"/>
        </w:tabs>
        <w:spacing w:line="357" w:lineRule="auto"/>
        <w:ind w:right="116" w:hanging="12"/>
        <w:rPr>
          <w:rFonts w:ascii="Symbol" w:hAnsi="Symbol"/>
          <w:sz w:val="24"/>
          <w:lang w:val="fr-FR"/>
        </w:rPr>
      </w:pPr>
      <w:r w:rsidRPr="00EA2AB9">
        <w:rPr>
          <w:sz w:val="24"/>
          <w:lang w:val="fr-FR"/>
        </w:rPr>
        <w:t>La notion d</w:t>
      </w:r>
      <w:proofErr w:type="gramStart"/>
      <w:r w:rsidRPr="00EA2AB9">
        <w:rPr>
          <w:sz w:val="24"/>
          <w:lang w:val="fr-FR"/>
        </w:rPr>
        <w:t>'«</w:t>
      </w:r>
      <w:proofErr w:type="gramEnd"/>
      <w:r w:rsidRPr="00EA2AB9">
        <w:rPr>
          <w:sz w:val="24"/>
          <w:lang w:val="fr-FR"/>
        </w:rPr>
        <w:t xml:space="preserve"> autorisation » figurant à l'article </w:t>
      </w:r>
      <w:r w:rsidR="00EF1AEC" w:rsidRPr="001F426F">
        <w:rPr>
          <w:lang w:val="fr-FR"/>
        </w:rPr>
        <w:t xml:space="preserve">14 (2) </w:t>
      </w:r>
      <w:r w:rsidRPr="00EA2AB9">
        <w:rPr>
          <w:sz w:val="24"/>
          <w:lang w:val="fr-FR"/>
        </w:rPr>
        <w:t>de l'Acte de 1991 de l'UPOV se rapporte à l'autorisation du titulaire du droit d'obtenteur en cause et non au statut juridique du matériel de reproduction ou de multiplication utilisé pour obtenir le produit de la récolte.</w:t>
      </w:r>
      <w:r w:rsidRPr="00EA2AB9">
        <w:rPr>
          <w:spacing w:val="-7"/>
          <w:sz w:val="24"/>
          <w:lang w:val="fr-FR"/>
        </w:rPr>
        <w:t xml:space="preserve"> </w:t>
      </w:r>
      <w:r w:rsidRPr="00EA2AB9">
        <w:rPr>
          <w:sz w:val="24"/>
          <w:lang w:val="fr-FR"/>
        </w:rPr>
        <w:t xml:space="preserve">Le fait que l'utilisation du matériel de reproduction ou de multiplication en dehors du territoire où le droit d'obtenteur est accordé, valide et appliqué, soit couverte ou non par un droit de propriété, c'est-à-dire </w:t>
      </w:r>
      <w:r w:rsidRPr="00EA2AB9">
        <w:rPr>
          <w:spacing w:val="-2"/>
          <w:sz w:val="24"/>
          <w:lang w:val="fr-FR"/>
        </w:rPr>
        <w:t>qu'elle soit</w:t>
      </w:r>
      <w:r w:rsidRPr="00EA2AB9">
        <w:rPr>
          <w:sz w:val="24"/>
          <w:lang w:val="fr-FR"/>
        </w:rPr>
        <w:t xml:space="preserve"> légale ou illégale</w:t>
      </w:r>
      <w:r w:rsidR="00321459" w:rsidRPr="00EA2AB9">
        <w:rPr>
          <w:spacing w:val="-2"/>
          <w:sz w:val="24"/>
          <w:lang w:val="fr-FR"/>
        </w:rPr>
        <w:t>, n'est pas pertinent</w:t>
      </w:r>
      <w:r w:rsidRPr="00EA2AB9">
        <w:rPr>
          <w:spacing w:val="-2"/>
          <w:sz w:val="24"/>
          <w:lang w:val="fr-FR"/>
        </w:rPr>
        <w:t>.</w:t>
      </w:r>
    </w:p>
    <w:p w14:paraId="6C7E9687" w14:textId="77777777" w:rsidR="006B758D" w:rsidRPr="00EA2AB9" w:rsidRDefault="006B758D">
      <w:pPr>
        <w:pStyle w:val="BodyText"/>
        <w:spacing w:before="8"/>
        <w:rPr>
          <w:sz w:val="36"/>
          <w:lang w:val="fr-FR"/>
        </w:rPr>
      </w:pPr>
    </w:p>
    <w:p w14:paraId="4F61A6BD" w14:textId="77777777" w:rsidR="006B758D" w:rsidRPr="00EA2AB9" w:rsidRDefault="0023308C">
      <w:pPr>
        <w:pStyle w:val="ListParagraph"/>
        <w:numPr>
          <w:ilvl w:val="0"/>
          <w:numId w:val="3"/>
        </w:numPr>
        <w:tabs>
          <w:tab w:val="left" w:pos="1530"/>
        </w:tabs>
        <w:spacing w:line="357" w:lineRule="auto"/>
        <w:ind w:right="114" w:hanging="12"/>
        <w:rPr>
          <w:rFonts w:ascii="Symbol" w:hAnsi="Symbol"/>
          <w:sz w:val="24"/>
          <w:lang w:val="fr-FR"/>
        </w:rPr>
      </w:pPr>
      <w:r w:rsidRPr="00EA2AB9">
        <w:rPr>
          <w:sz w:val="24"/>
          <w:lang w:val="fr-FR"/>
        </w:rPr>
        <w:t>Les deux conditions préalables à l'extension du droit d'obtenteur au produit de la récolte, à savoir « l'utilisation non autorisée » du matériel de reproduction ou de multiplication de la variété protégée et le fait que « l'obtenteur n'a pas eu l'opportunité raisonnable d'exercer son droit à l'égard dudit matériel de reproduction ou de multiplication », énoncées à l'article 14 (2) de l'UPOV, constituent un tout indissociable.</w:t>
      </w:r>
    </w:p>
    <w:p w14:paraId="70467780" w14:textId="77777777" w:rsidR="006B758D" w:rsidRPr="00EA2AB9" w:rsidRDefault="006B758D">
      <w:pPr>
        <w:pStyle w:val="BodyText"/>
        <w:spacing w:before="3"/>
        <w:rPr>
          <w:sz w:val="36"/>
          <w:lang w:val="fr-FR"/>
        </w:rPr>
      </w:pPr>
    </w:p>
    <w:p w14:paraId="5A635758" w14:textId="7243CACD" w:rsidR="006B758D" w:rsidRPr="00F107D1" w:rsidRDefault="0023308C">
      <w:pPr>
        <w:pStyle w:val="ListParagraph"/>
        <w:numPr>
          <w:ilvl w:val="0"/>
          <w:numId w:val="3"/>
        </w:numPr>
        <w:tabs>
          <w:tab w:val="left" w:pos="1530"/>
        </w:tabs>
        <w:spacing w:line="355" w:lineRule="auto"/>
        <w:ind w:right="116" w:hanging="12"/>
        <w:rPr>
          <w:rFonts w:ascii="Symbol" w:hAnsi="Symbol"/>
          <w:sz w:val="24"/>
          <w:lang w:val="fr-FR"/>
        </w:rPr>
      </w:pPr>
      <w:r w:rsidRPr="00EA2AB9">
        <w:rPr>
          <w:sz w:val="24"/>
          <w:lang w:val="fr-FR"/>
        </w:rPr>
        <w:t xml:space="preserve">L'introduction de la notion </w:t>
      </w:r>
      <w:proofErr w:type="gramStart"/>
      <w:r w:rsidRPr="00EA2AB9">
        <w:rPr>
          <w:sz w:val="24"/>
          <w:lang w:val="fr-FR"/>
        </w:rPr>
        <w:t>d</w:t>
      </w:r>
      <w:r w:rsidR="00F107D1">
        <w:rPr>
          <w:sz w:val="24"/>
          <w:lang w:val="fr-FR"/>
        </w:rPr>
        <w:t>’</w:t>
      </w:r>
      <w:r w:rsidR="00F107D1" w:rsidRPr="00EA2AB9">
        <w:rPr>
          <w:sz w:val="24"/>
          <w:lang w:val="fr-FR"/>
        </w:rPr>
        <w:t xml:space="preserve"> «</w:t>
      </w:r>
      <w:proofErr w:type="gramEnd"/>
      <w:r w:rsidRPr="00EA2AB9">
        <w:rPr>
          <w:sz w:val="24"/>
          <w:lang w:val="fr-FR"/>
        </w:rPr>
        <w:t xml:space="preserve"> </w:t>
      </w:r>
      <w:r w:rsidR="00F107D1">
        <w:rPr>
          <w:sz w:val="24"/>
          <w:lang w:val="fr-FR"/>
        </w:rPr>
        <w:t>opportunité</w:t>
      </w:r>
      <w:r w:rsidRPr="00EA2AB9">
        <w:rPr>
          <w:sz w:val="24"/>
          <w:lang w:val="fr-FR"/>
        </w:rPr>
        <w:t xml:space="preserve"> raisonnable » dans le libellé de l'article 14 (2) a élargi la possibilité de revendiquer la protection du droit d'obtenteur sur le </w:t>
      </w:r>
      <w:r w:rsidRPr="00EA2AB9">
        <w:rPr>
          <w:sz w:val="24"/>
          <w:lang w:val="fr-FR"/>
        </w:rPr>
        <w:lastRenderedPageBreak/>
        <w:t>produit de la récolte au-delà de la notion antérieure de « n'a pas eu la possibilité légale d'exercer son droit sur le matériel de reproduction ou de multiplication ».</w:t>
      </w:r>
    </w:p>
    <w:p w14:paraId="70441590" w14:textId="77777777" w:rsidR="00F107D1" w:rsidRPr="00F107D1" w:rsidRDefault="00F107D1" w:rsidP="00F107D1">
      <w:pPr>
        <w:tabs>
          <w:tab w:val="left" w:pos="1530"/>
        </w:tabs>
        <w:spacing w:line="355" w:lineRule="auto"/>
        <w:ind w:right="116"/>
        <w:rPr>
          <w:rFonts w:ascii="Symbol" w:hAnsi="Symbol"/>
          <w:sz w:val="24"/>
          <w:lang w:val="fr-FR"/>
        </w:rPr>
      </w:pPr>
    </w:p>
    <w:p w14:paraId="0ADAD7BC" w14:textId="3854B291" w:rsidR="006B758D" w:rsidRPr="00EA2AB9" w:rsidRDefault="0023308C">
      <w:pPr>
        <w:pStyle w:val="ListParagraph"/>
        <w:numPr>
          <w:ilvl w:val="0"/>
          <w:numId w:val="3"/>
        </w:numPr>
        <w:tabs>
          <w:tab w:val="left" w:pos="1530"/>
        </w:tabs>
        <w:spacing w:before="78" w:line="357" w:lineRule="auto"/>
        <w:ind w:right="115" w:hanging="12"/>
        <w:rPr>
          <w:rFonts w:ascii="Symbol" w:hAnsi="Symbol"/>
          <w:sz w:val="24"/>
          <w:lang w:val="fr-FR"/>
        </w:rPr>
      </w:pPr>
      <w:r w:rsidRPr="00EA2AB9">
        <w:rPr>
          <w:sz w:val="24"/>
          <w:lang w:val="fr-FR"/>
        </w:rPr>
        <w:t xml:space="preserve">En vertu du principe de cascade énoncé à l'article </w:t>
      </w:r>
      <w:r w:rsidR="00EF1AEC" w:rsidRPr="001F426F">
        <w:rPr>
          <w:lang w:val="fr-FR"/>
        </w:rPr>
        <w:t xml:space="preserve">14 (2) </w:t>
      </w:r>
      <w:r w:rsidR="00EF1AEC">
        <w:rPr>
          <w:lang w:val="fr-FR"/>
        </w:rPr>
        <w:t xml:space="preserve"> </w:t>
      </w:r>
      <w:r w:rsidRPr="00EA2AB9">
        <w:rPr>
          <w:sz w:val="24"/>
          <w:lang w:val="fr-FR"/>
        </w:rPr>
        <w:t xml:space="preserve"> de l'Acte de 1991 de l'UPOV, le titulaire du droit ne peut exercer ce droit et percevoir la redevance correspondante qu'une seule fois, sous réserve des conditions et limitations contractuelles éventuellement imposées par le titulaire du </w:t>
      </w:r>
      <w:r w:rsidRPr="00EA2AB9">
        <w:rPr>
          <w:spacing w:val="-2"/>
          <w:sz w:val="24"/>
          <w:lang w:val="fr-FR"/>
        </w:rPr>
        <w:t>droit</w:t>
      </w:r>
      <w:r w:rsidRPr="00EA2AB9">
        <w:rPr>
          <w:sz w:val="24"/>
          <w:lang w:val="fr-FR"/>
        </w:rPr>
        <w:t xml:space="preserve"> d'obtenteur</w:t>
      </w:r>
      <w:r w:rsidRPr="00EA2AB9">
        <w:rPr>
          <w:spacing w:val="-2"/>
          <w:sz w:val="24"/>
          <w:lang w:val="fr-FR"/>
        </w:rPr>
        <w:t>.</w:t>
      </w:r>
    </w:p>
    <w:p w14:paraId="0892FE39" w14:textId="77777777" w:rsidR="006B758D" w:rsidRPr="00EA2AB9" w:rsidRDefault="006B758D">
      <w:pPr>
        <w:pStyle w:val="BodyText"/>
        <w:spacing w:before="3"/>
        <w:rPr>
          <w:sz w:val="36"/>
          <w:lang w:val="fr-FR"/>
        </w:rPr>
      </w:pPr>
    </w:p>
    <w:p w14:paraId="0A2F89A8" w14:textId="007C9907" w:rsidR="006B758D" w:rsidRPr="00EA2AB9" w:rsidRDefault="0023308C">
      <w:pPr>
        <w:pStyle w:val="ListParagraph"/>
        <w:numPr>
          <w:ilvl w:val="0"/>
          <w:numId w:val="3"/>
        </w:numPr>
        <w:tabs>
          <w:tab w:val="left" w:pos="1530"/>
        </w:tabs>
        <w:spacing w:line="360" w:lineRule="auto"/>
        <w:ind w:right="112" w:hanging="12"/>
        <w:rPr>
          <w:rFonts w:ascii="Symbol" w:hAnsi="Symbol"/>
          <w:sz w:val="24"/>
          <w:lang w:val="fr-FR"/>
        </w:rPr>
      </w:pPr>
      <w:r w:rsidRPr="00EA2AB9">
        <w:rPr>
          <w:sz w:val="24"/>
          <w:lang w:val="fr-FR"/>
        </w:rPr>
        <w:t>L'autorisation du titulaire du droit d'obtenteur est requise pour tous les actes visés à l'article 14 (1) (i) à (vii) de l'UPOV 1991, également en ce qui concerne le produit de la récolte ainsi obtenu en dehors de la validité du droit d'obtenteur respectif, lorsque ce produit de la récolte entre et est distribué sur le territoire où le droit d'obtenteur respectif est valable, car le produit de la récolte remplit alors les conditions cumulatives « utilisation non autorisée » et « absence d'opportunité raisonnable d'exercer son droit ». Tout autre exercice de ce droit, par exemple en réclamant des redevances, constitue en même temps un « exercice du droit d'obtenteur au stade le plus précoce possible » dans la cascade.</w:t>
      </w:r>
    </w:p>
    <w:p w14:paraId="5CC0A74E" w14:textId="77777777" w:rsidR="006B758D" w:rsidRPr="00EA2AB9" w:rsidRDefault="006B758D">
      <w:pPr>
        <w:pStyle w:val="BodyText"/>
        <w:spacing w:before="3"/>
        <w:rPr>
          <w:sz w:val="35"/>
          <w:lang w:val="fr-FR"/>
        </w:rPr>
      </w:pPr>
    </w:p>
    <w:p w14:paraId="65DF3ACB" w14:textId="3D901B65" w:rsidR="006B758D" w:rsidRPr="00EA2AB9" w:rsidRDefault="0023308C">
      <w:pPr>
        <w:pStyle w:val="ListParagraph"/>
        <w:numPr>
          <w:ilvl w:val="0"/>
          <w:numId w:val="3"/>
        </w:numPr>
        <w:tabs>
          <w:tab w:val="left" w:pos="1530"/>
        </w:tabs>
        <w:spacing w:line="357" w:lineRule="auto"/>
        <w:ind w:right="117" w:hanging="12"/>
        <w:rPr>
          <w:rFonts w:ascii="Symbol" w:hAnsi="Symbol"/>
          <w:sz w:val="24"/>
          <w:lang w:val="fr-FR"/>
        </w:rPr>
      </w:pPr>
      <w:r w:rsidRPr="00EA2AB9">
        <w:rPr>
          <w:i/>
          <w:sz w:val="24"/>
          <w:lang w:val="fr-FR"/>
        </w:rPr>
        <w:t xml:space="preserve">« Utilisation non autorisée » : </w:t>
      </w:r>
      <w:r w:rsidRPr="00EA2AB9">
        <w:rPr>
          <w:sz w:val="24"/>
          <w:lang w:val="fr-FR"/>
        </w:rPr>
        <w:t>l'utilisation de matériel de reproduction ou de multiplication d'une variété protégée, sans l'autorisation du titulaire, pour la production du produit de la récolte qui en résulte, à l'intérieur ou à l'extérieur du territoire où la variété est protégée</w:t>
      </w:r>
      <w:r w:rsidR="00B52C6D" w:rsidRPr="00EA2AB9">
        <w:rPr>
          <w:sz w:val="24"/>
          <w:lang w:val="fr-FR"/>
        </w:rPr>
        <w:t>,</w:t>
      </w:r>
      <w:r w:rsidRPr="00EA2AB9">
        <w:rPr>
          <w:sz w:val="24"/>
          <w:lang w:val="fr-FR"/>
        </w:rPr>
        <w:t xml:space="preserve"> </w:t>
      </w:r>
      <w:r w:rsidR="00C93458" w:rsidRPr="00EA2AB9">
        <w:rPr>
          <w:sz w:val="24"/>
          <w:lang w:val="fr-FR"/>
        </w:rPr>
        <w:t>constitue une utilisation non autorisée</w:t>
      </w:r>
      <w:r w:rsidR="00B52C6D" w:rsidRPr="00EA2AB9">
        <w:rPr>
          <w:sz w:val="24"/>
          <w:lang w:val="fr-FR"/>
        </w:rPr>
        <w:t xml:space="preserve">. Cela inclut également </w:t>
      </w:r>
      <w:r w:rsidRPr="00EA2AB9">
        <w:rPr>
          <w:sz w:val="24"/>
          <w:lang w:val="fr-FR"/>
        </w:rPr>
        <w:t>les cas où le matériel récolté éventuellement importé relève de la protection de l'article 14(2) de l'UPOV 1991.</w:t>
      </w:r>
    </w:p>
    <w:p w14:paraId="1C86ECB0" w14:textId="77777777" w:rsidR="006B758D" w:rsidRPr="00EA2AB9" w:rsidRDefault="006B758D">
      <w:pPr>
        <w:pStyle w:val="BodyText"/>
        <w:rPr>
          <w:sz w:val="36"/>
          <w:lang w:val="fr-FR"/>
        </w:rPr>
      </w:pPr>
    </w:p>
    <w:p w14:paraId="7F32EC2F" w14:textId="49B071D6" w:rsidR="006B758D" w:rsidRPr="00EA2AB9" w:rsidRDefault="0023308C">
      <w:pPr>
        <w:pStyle w:val="ListParagraph"/>
        <w:numPr>
          <w:ilvl w:val="0"/>
          <w:numId w:val="3"/>
        </w:numPr>
        <w:tabs>
          <w:tab w:val="left" w:pos="1530"/>
        </w:tabs>
        <w:spacing w:line="360" w:lineRule="auto"/>
        <w:ind w:right="117" w:hanging="12"/>
        <w:rPr>
          <w:rFonts w:ascii="Symbol" w:hAnsi="Symbol"/>
          <w:sz w:val="20"/>
          <w:lang w:val="fr-FR"/>
        </w:rPr>
      </w:pPr>
      <w:r w:rsidRPr="00EA2AB9">
        <w:rPr>
          <w:sz w:val="24"/>
          <w:lang w:val="fr-FR"/>
        </w:rPr>
        <w:t xml:space="preserve">La clause </w:t>
      </w:r>
      <w:r w:rsidR="00A5571B" w:rsidRPr="00EA2AB9">
        <w:rPr>
          <w:i/>
          <w:iCs/>
          <w:spacing w:val="-1"/>
          <w:sz w:val="24"/>
          <w:lang w:val="fr-FR"/>
        </w:rPr>
        <w:t xml:space="preserve">relative à l'opportunité raisonnable </w:t>
      </w:r>
      <w:r w:rsidRPr="00EA2AB9">
        <w:rPr>
          <w:sz w:val="24"/>
          <w:lang w:val="fr-FR"/>
        </w:rPr>
        <w:t>a été adoptée à titre de compromis lors de la Conférence diplomatique de 1991, en remplacement de propositions plus strictes telles que « aucune possibilité légale » ou « malgré toute la diligence requise ». Ce choix rédactionnel a permis d'assurer une interprétation souple et adaptée au contexte tout en préservant la structure en cascade. Il reflète un compromis négocié visant à préserver la structure en cascade tout en permettant une interprétation judiciaire contextuelle et a marqué une nouvelle garantie dans l'extension des droits au produit de la récolte.</w:t>
      </w:r>
    </w:p>
    <w:p w14:paraId="5F9BB584" w14:textId="77777777" w:rsidR="006B758D" w:rsidRPr="00EA2AB9" w:rsidRDefault="006B758D">
      <w:pPr>
        <w:pStyle w:val="BodyText"/>
        <w:spacing w:before="11"/>
        <w:rPr>
          <w:sz w:val="35"/>
          <w:lang w:val="fr-FR"/>
        </w:rPr>
      </w:pPr>
    </w:p>
    <w:p w14:paraId="738F7F43" w14:textId="2BC70C32" w:rsidR="006B758D" w:rsidRPr="005557C5" w:rsidRDefault="0023308C">
      <w:pPr>
        <w:pStyle w:val="ListParagraph"/>
        <w:numPr>
          <w:ilvl w:val="0"/>
          <w:numId w:val="3"/>
        </w:numPr>
        <w:tabs>
          <w:tab w:val="left" w:pos="1530"/>
        </w:tabs>
        <w:spacing w:line="360" w:lineRule="auto"/>
        <w:ind w:right="120" w:hanging="12"/>
        <w:rPr>
          <w:rFonts w:ascii="Symbol" w:hAnsi="Symbol"/>
          <w:sz w:val="20"/>
          <w:lang w:val="fr-FR"/>
        </w:rPr>
      </w:pPr>
      <w:r w:rsidRPr="00EA2AB9">
        <w:rPr>
          <w:sz w:val="24"/>
          <w:lang w:val="fr-FR"/>
        </w:rPr>
        <w:lastRenderedPageBreak/>
        <w:t xml:space="preserve">Sa fonction première est d'assurer la proportionnalité : </w:t>
      </w:r>
      <w:r w:rsidR="002775B0">
        <w:rPr>
          <w:lang w:val="fr-FR"/>
        </w:rPr>
        <w:t>la défense des droits</w:t>
      </w:r>
      <w:r w:rsidRPr="00EA2AB9">
        <w:rPr>
          <w:sz w:val="24"/>
          <w:lang w:val="fr-FR"/>
        </w:rPr>
        <w:t xml:space="preserve"> en aval sur le produit de la récolte n'est autorisée que lorsque les obtenteurs n'ont pas eu de possibilité réaliste d'exercer leurs droits plus tôt, au stade de la multiplication. </w:t>
      </w:r>
      <w:r w:rsidRPr="005557C5">
        <w:rPr>
          <w:sz w:val="24"/>
          <w:lang w:val="fr-FR"/>
        </w:rPr>
        <w:t>La distinction établie lors de la Conférence entre</w:t>
      </w:r>
    </w:p>
    <w:p w14:paraId="4A532BDD" w14:textId="6EE3EA61" w:rsidR="006B758D" w:rsidRPr="00EA2AB9" w:rsidRDefault="0023308C">
      <w:pPr>
        <w:pStyle w:val="BodyText"/>
        <w:spacing w:before="76" w:line="360" w:lineRule="auto"/>
        <w:ind w:left="1116" w:right="116"/>
        <w:jc w:val="both"/>
        <w:rPr>
          <w:lang w:val="fr-FR"/>
        </w:rPr>
      </w:pPr>
      <w:r w:rsidRPr="00EA2AB9">
        <w:rPr>
          <w:lang w:val="fr-FR"/>
        </w:rPr>
        <w:t xml:space="preserve">« </w:t>
      </w:r>
      <w:proofErr w:type="gramStart"/>
      <w:r w:rsidRPr="00EA2AB9">
        <w:rPr>
          <w:lang w:val="fr-FR"/>
        </w:rPr>
        <w:t>exercice</w:t>
      </w:r>
      <w:proofErr w:type="gramEnd"/>
      <w:r w:rsidRPr="00EA2AB9">
        <w:rPr>
          <w:lang w:val="fr-FR"/>
        </w:rPr>
        <w:t xml:space="preserve"> » des droits (par exemple, octroi de licences ou </w:t>
      </w:r>
      <w:r w:rsidR="00EF1AEC">
        <w:rPr>
          <w:lang w:val="fr-FR"/>
        </w:rPr>
        <w:t>collection</w:t>
      </w:r>
      <w:r w:rsidR="00EF1AEC" w:rsidRPr="00EA2AB9">
        <w:rPr>
          <w:lang w:val="fr-FR"/>
        </w:rPr>
        <w:t xml:space="preserve"> </w:t>
      </w:r>
      <w:r w:rsidRPr="00EA2AB9">
        <w:rPr>
          <w:lang w:val="fr-FR"/>
        </w:rPr>
        <w:t xml:space="preserve">de redevances) et « </w:t>
      </w:r>
      <w:r w:rsidR="002775B0">
        <w:rPr>
          <w:lang w:val="fr-FR"/>
        </w:rPr>
        <w:t xml:space="preserve">la défense des </w:t>
      </w:r>
      <w:proofErr w:type="gramStart"/>
      <w:r w:rsidR="002775B0">
        <w:rPr>
          <w:lang w:val="fr-FR"/>
        </w:rPr>
        <w:t>droits</w:t>
      </w:r>
      <w:r w:rsidRPr="00EA2AB9">
        <w:rPr>
          <w:lang w:val="fr-FR"/>
        </w:rPr>
        <w:t>»</w:t>
      </w:r>
      <w:proofErr w:type="gramEnd"/>
      <w:r w:rsidRPr="00EA2AB9">
        <w:rPr>
          <w:lang w:val="fr-FR"/>
        </w:rPr>
        <w:t xml:space="preserve"> (recours juridiques) a confirmé que </w:t>
      </w:r>
      <w:r w:rsidRPr="00EA2AB9">
        <w:rPr>
          <w:i/>
          <w:lang w:val="fr-FR"/>
        </w:rPr>
        <w:t xml:space="preserve">l'opportunité raisonnable </w:t>
      </w:r>
      <w:r w:rsidRPr="00EA2AB9">
        <w:rPr>
          <w:lang w:val="fr-FR"/>
        </w:rPr>
        <w:t>concerne principalement le premier : à savoir si l'obtenteur avait une possibilité commercialement significative d'intervenir en amont.</w:t>
      </w:r>
    </w:p>
    <w:p w14:paraId="73C68E5B" w14:textId="77777777" w:rsidR="006B758D" w:rsidRPr="00EA2AB9" w:rsidRDefault="006B758D">
      <w:pPr>
        <w:pStyle w:val="BodyText"/>
        <w:spacing w:before="1"/>
        <w:rPr>
          <w:sz w:val="36"/>
          <w:lang w:val="fr-FR"/>
        </w:rPr>
      </w:pPr>
    </w:p>
    <w:p w14:paraId="2350276E" w14:textId="38A371AB" w:rsidR="006B758D" w:rsidRPr="00EA2AB9" w:rsidRDefault="0023308C">
      <w:pPr>
        <w:pStyle w:val="ListParagraph"/>
        <w:numPr>
          <w:ilvl w:val="0"/>
          <w:numId w:val="3"/>
        </w:numPr>
        <w:tabs>
          <w:tab w:val="left" w:pos="1530"/>
        </w:tabs>
        <w:spacing w:line="360" w:lineRule="auto"/>
        <w:ind w:right="117" w:hanging="12"/>
        <w:rPr>
          <w:rFonts w:ascii="Symbol" w:hAnsi="Symbol"/>
          <w:sz w:val="20"/>
          <w:lang w:val="fr-FR"/>
        </w:rPr>
      </w:pPr>
      <w:r w:rsidRPr="00EA2AB9">
        <w:rPr>
          <w:i/>
          <w:sz w:val="24"/>
          <w:lang w:val="fr-FR"/>
        </w:rPr>
        <w:t xml:space="preserve">L'opportunité raisonnable </w:t>
      </w:r>
      <w:r w:rsidRPr="00EA2AB9">
        <w:rPr>
          <w:sz w:val="24"/>
          <w:lang w:val="fr-FR"/>
        </w:rPr>
        <w:t xml:space="preserve">est apparue comme le seuil décisif pour l'application du principe de cascade : elle empêche les revendications rétroactives ou opportunistes tout en garantissant que les obtenteurs ne soient pas privés de protection lorsque </w:t>
      </w:r>
      <w:r w:rsidR="00383D22">
        <w:rPr>
          <w:sz w:val="24"/>
          <w:lang w:val="fr-FR"/>
        </w:rPr>
        <w:t xml:space="preserve">la défense des </w:t>
      </w:r>
      <w:proofErr w:type="gramStart"/>
      <w:r w:rsidR="00383D22">
        <w:rPr>
          <w:sz w:val="24"/>
          <w:lang w:val="fr-FR"/>
        </w:rPr>
        <w:t xml:space="preserve">droits </w:t>
      </w:r>
      <w:r w:rsidR="00383D22" w:rsidRPr="00EA2AB9">
        <w:rPr>
          <w:sz w:val="24"/>
          <w:lang w:val="fr-FR"/>
        </w:rPr>
        <w:t xml:space="preserve"> </w:t>
      </w:r>
      <w:r w:rsidRPr="00EA2AB9">
        <w:rPr>
          <w:sz w:val="24"/>
          <w:lang w:val="fr-FR"/>
        </w:rPr>
        <w:t>en</w:t>
      </w:r>
      <w:proofErr w:type="gramEnd"/>
      <w:r w:rsidRPr="00EA2AB9">
        <w:rPr>
          <w:sz w:val="24"/>
          <w:lang w:val="fr-FR"/>
        </w:rPr>
        <w:t xml:space="preserve"> amont est légalement ou pratiquement impossible.</w:t>
      </w:r>
    </w:p>
    <w:p w14:paraId="55056FDD" w14:textId="77777777" w:rsidR="006B758D" w:rsidRPr="00EA2AB9" w:rsidRDefault="006B758D">
      <w:pPr>
        <w:pStyle w:val="BodyText"/>
        <w:spacing w:before="2"/>
        <w:rPr>
          <w:sz w:val="36"/>
          <w:lang w:val="fr-FR"/>
        </w:rPr>
      </w:pPr>
    </w:p>
    <w:p w14:paraId="4CA1675F" w14:textId="77777777" w:rsidR="006B758D" w:rsidRPr="00EA2AB9" w:rsidRDefault="0023308C">
      <w:pPr>
        <w:pStyle w:val="ListParagraph"/>
        <w:numPr>
          <w:ilvl w:val="0"/>
          <w:numId w:val="3"/>
        </w:numPr>
        <w:tabs>
          <w:tab w:val="left" w:pos="1530"/>
        </w:tabs>
        <w:spacing w:line="360" w:lineRule="auto"/>
        <w:ind w:right="117" w:hanging="12"/>
        <w:rPr>
          <w:rFonts w:ascii="Symbol" w:hAnsi="Symbol"/>
          <w:sz w:val="20"/>
          <w:lang w:val="fr-FR"/>
        </w:rPr>
      </w:pPr>
      <w:r w:rsidRPr="00EA2AB9">
        <w:rPr>
          <w:sz w:val="24"/>
          <w:lang w:val="fr-FR"/>
        </w:rPr>
        <w:t>L'intention des rédacteurs de la Convention UPOV de 1991 concernant l'épuisement du droit d'obtenteur est clairement de limiter le droit d'obtenteur au premier matériel de reproduction ou de multiplication mis sur le marché, avec pour conséquence que le matériel récolté ou dérivé de celui-ci ne relève pas de la protection de l'article 14, à moins que l'obtenteur n'ait pas eu une opportunité raisonnable d'exercer son droit.</w:t>
      </w:r>
    </w:p>
    <w:p w14:paraId="67078B8A" w14:textId="77777777" w:rsidR="006B758D" w:rsidRPr="00EA2AB9" w:rsidRDefault="006B758D">
      <w:pPr>
        <w:pStyle w:val="BodyText"/>
        <w:rPr>
          <w:sz w:val="26"/>
          <w:lang w:val="fr-FR"/>
        </w:rPr>
      </w:pPr>
    </w:p>
    <w:p w14:paraId="278119C8" w14:textId="77777777" w:rsidR="006B758D" w:rsidRPr="00EA2AB9" w:rsidRDefault="0023308C">
      <w:pPr>
        <w:pStyle w:val="ListParagraph"/>
        <w:numPr>
          <w:ilvl w:val="0"/>
          <w:numId w:val="3"/>
        </w:numPr>
        <w:tabs>
          <w:tab w:val="left" w:pos="1530"/>
        </w:tabs>
        <w:spacing w:before="154" w:line="360" w:lineRule="auto"/>
        <w:ind w:right="115" w:hanging="12"/>
        <w:rPr>
          <w:rFonts w:ascii="Symbol" w:hAnsi="Symbol"/>
          <w:sz w:val="20"/>
          <w:lang w:val="fr-FR"/>
        </w:rPr>
      </w:pPr>
      <w:r w:rsidRPr="00EA2AB9">
        <w:rPr>
          <w:sz w:val="24"/>
          <w:lang w:val="fr-FR"/>
        </w:rPr>
        <w:t>L'utilisation de produits de la récolte, tel que des plantes ou des bulbes, pour la production de matériel dérivé, tel que des fleurs, ne relève pas de l'épuisement du droit d'obtenteur, le paragraphe 14(1)(b) pouvant être utilisé pour exercer le droit au stade le plus précoce possible sur le matériel de reproduction ou de multiplication ou éventuellement sur le produit de la récolte.</w:t>
      </w:r>
    </w:p>
    <w:p w14:paraId="1EC6CFAC" w14:textId="77777777" w:rsidR="006B758D" w:rsidRPr="00EA2AB9" w:rsidRDefault="006B758D">
      <w:pPr>
        <w:pStyle w:val="BodyText"/>
        <w:rPr>
          <w:sz w:val="26"/>
          <w:lang w:val="fr-FR"/>
        </w:rPr>
      </w:pPr>
    </w:p>
    <w:p w14:paraId="4C19ADEF" w14:textId="77777777" w:rsidR="006B758D" w:rsidRPr="00EA2AB9" w:rsidRDefault="0023308C">
      <w:pPr>
        <w:pStyle w:val="ListParagraph"/>
        <w:numPr>
          <w:ilvl w:val="0"/>
          <w:numId w:val="3"/>
        </w:numPr>
        <w:tabs>
          <w:tab w:val="left" w:pos="1530"/>
        </w:tabs>
        <w:spacing w:before="155" w:line="360" w:lineRule="auto"/>
        <w:ind w:right="120" w:hanging="12"/>
        <w:rPr>
          <w:rFonts w:ascii="Symbol" w:hAnsi="Symbol"/>
          <w:sz w:val="20"/>
          <w:lang w:val="fr-FR"/>
        </w:rPr>
      </w:pPr>
      <w:r w:rsidRPr="00EA2AB9">
        <w:rPr>
          <w:sz w:val="24"/>
          <w:lang w:val="fr-FR"/>
        </w:rPr>
        <w:t xml:space="preserve">Les deux exceptions i) et ii) de l'article 16 concernent l'utilisation pour la multiplication ultérieure de ce matériel et l'exportation de matériel pouvant être utilisé comme matériel de reproduction ou de multiplication vers un pays où la variété ne peut être protégée, « sauf lorsque ce matériel est destiné à </w:t>
      </w:r>
      <w:r w:rsidRPr="00EA2AB9">
        <w:rPr>
          <w:spacing w:val="-2"/>
          <w:sz w:val="24"/>
          <w:lang w:val="fr-FR"/>
        </w:rPr>
        <w:t>la consommation</w:t>
      </w:r>
      <w:r w:rsidRPr="00EA2AB9">
        <w:rPr>
          <w:sz w:val="24"/>
          <w:lang w:val="fr-FR"/>
        </w:rPr>
        <w:t xml:space="preserve"> finale </w:t>
      </w:r>
      <w:r w:rsidRPr="00EA2AB9">
        <w:rPr>
          <w:spacing w:val="-2"/>
          <w:sz w:val="24"/>
          <w:lang w:val="fr-FR"/>
        </w:rPr>
        <w:t>».</w:t>
      </w:r>
    </w:p>
    <w:p w14:paraId="1032895C" w14:textId="77777777" w:rsidR="006B758D" w:rsidRPr="00EA2AB9" w:rsidRDefault="006B758D">
      <w:pPr>
        <w:pStyle w:val="BodyText"/>
        <w:rPr>
          <w:sz w:val="26"/>
          <w:lang w:val="fr-FR"/>
        </w:rPr>
      </w:pPr>
    </w:p>
    <w:p w14:paraId="7DCC5899" w14:textId="77777777" w:rsidR="006B758D" w:rsidRPr="00EA2AB9" w:rsidRDefault="0023308C">
      <w:pPr>
        <w:pStyle w:val="ListParagraph"/>
        <w:numPr>
          <w:ilvl w:val="0"/>
          <w:numId w:val="3"/>
        </w:numPr>
        <w:tabs>
          <w:tab w:val="left" w:pos="1530"/>
        </w:tabs>
        <w:spacing w:before="157" w:line="360" w:lineRule="auto"/>
        <w:ind w:right="117" w:hanging="12"/>
        <w:rPr>
          <w:rFonts w:ascii="Symbol" w:hAnsi="Symbol"/>
          <w:sz w:val="20"/>
          <w:lang w:val="fr-FR"/>
        </w:rPr>
      </w:pPr>
      <w:r w:rsidRPr="00EA2AB9">
        <w:rPr>
          <w:sz w:val="24"/>
          <w:lang w:val="fr-FR"/>
        </w:rPr>
        <w:t xml:space="preserve">La dernière phrase a été ajoutée sans autre discussion. Mais une conclusion logique est que, bien que ce matériel, comme les semences de graminées pour les pâturages ou les pelouses, puisse également être capable de se reproduire, il ne faut pas s'attendre à </w:t>
      </w:r>
      <w:r w:rsidRPr="00EA2AB9">
        <w:rPr>
          <w:sz w:val="24"/>
          <w:lang w:val="fr-FR"/>
        </w:rPr>
        <w:lastRenderedPageBreak/>
        <w:t>obtenir de ce matériel du matériel de reproduction ou de multiplication dérivé ou un produit de la récolte.</w:t>
      </w:r>
    </w:p>
    <w:p w14:paraId="236FDF0B" w14:textId="77777777" w:rsidR="006B758D" w:rsidRPr="00EA2AB9" w:rsidRDefault="006B758D">
      <w:pPr>
        <w:pStyle w:val="BodyText"/>
        <w:rPr>
          <w:sz w:val="26"/>
          <w:lang w:val="fr-FR"/>
        </w:rPr>
      </w:pPr>
    </w:p>
    <w:p w14:paraId="15CC6D69" w14:textId="77777777" w:rsidR="006B758D" w:rsidRPr="00F107D1" w:rsidRDefault="0023308C">
      <w:pPr>
        <w:pStyle w:val="ListParagraph"/>
        <w:numPr>
          <w:ilvl w:val="0"/>
          <w:numId w:val="3"/>
        </w:numPr>
        <w:tabs>
          <w:tab w:val="left" w:pos="1530"/>
        </w:tabs>
        <w:spacing w:before="155"/>
        <w:ind w:left="1529" w:hanging="426"/>
        <w:rPr>
          <w:rFonts w:ascii="Symbol" w:hAnsi="Symbol"/>
          <w:sz w:val="20"/>
          <w:lang w:val="fr-FR"/>
        </w:rPr>
      </w:pPr>
      <w:r w:rsidRPr="00EA2AB9">
        <w:rPr>
          <w:sz w:val="24"/>
          <w:lang w:val="fr-FR"/>
        </w:rPr>
        <w:t>En ce qui concerne la relation entre l'article 14 et l'article 16 de l'UPOV</w:t>
      </w:r>
      <w:r w:rsidRPr="00EA2AB9">
        <w:rPr>
          <w:spacing w:val="-2"/>
          <w:sz w:val="24"/>
          <w:lang w:val="fr-FR"/>
        </w:rPr>
        <w:t xml:space="preserve"> 1991 :</w:t>
      </w:r>
    </w:p>
    <w:p w14:paraId="25AFA61A" w14:textId="77777777" w:rsidR="00F107D1" w:rsidRPr="00F107D1" w:rsidRDefault="00F107D1" w:rsidP="00F107D1">
      <w:pPr>
        <w:tabs>
          <w:tab w:val="left" w:pos="1530"/>
        </w:tabs>
        <w:spacing w:before="155"/>
        <w:rPr>
          <w:rFonts w:ascii="Symbol" w:hAnsi="Symbol"/>
          <w:sz w:val="20"/>
          <w:lang w:val="fr-FR"/>
        </w:rPr>
      </w:pPr>
    </w:p>
    <w:p w14:paraId="08FEF82C" w14:textId="680DDFC5" w:rsidR="006B758D" w:rsidRPr="00EA2AB9" w:rsidRDefault="0023308C" w:rsidP="00921F58">
      <w:pPr>
        <w:pStyle w:val="ListParagraph"/>
        <w:numPr>
          <w:ilvl w:val="1"/>
          <w:numId w:val="26"/>
        </w:numPr>
        <w:tabs>
          <w:tab w:val="left" w:pos="1897"/>
        </w:tabs>
        <w:spacing w:before="76" w:line="355" w:lineRule="auto"/>
        <w:ind w:right="118"/>
        <w:rPr>
          <w:sz w:val="24"/>
          <w:lang w:val="fr-FR"/>
        </w:rPr>
      </w:pPr>
      <w:r w:rsidRPr="00EA2AB9">
        <w:rPr>
          <w:sz w:val="24"/>
          <w:lang w:val="fr-FR"/>
        </w:rPr>
        <w:t xml:space="preserve">Il est clair que lorsque, conformément à l'article 16, l'épuisement du droit d'obtenteur a lieu, l'obtenteur ne peut plus invoquer l'article 14 en ce qui concerne le </w:t>
      </w:r>
      <w:r w:rsidRPr="00EA2AB9">
        <w:rPr>
          <w:spacing w:val="-2"/>
          <w:sz w:val="24"/>
          <w:lang w:val="fr-FR"/>
        </w:rPr>
        <w:t>matériel</w:t>
      </w:r>
      <w:r w:rsidRPr="00EA2AB9">
        <w:rPr>
          <w:sz w:val="24"/>
          <w:lang w:val="fr-FR"/>
        </w:rPr>
        <w:t xml:space="preserve"> concerné</w:t>
      </w:r>
      <w:r w:rsidRPr="00EA2AB9">
        <w:rPr>
          <w:spacing w:val="-2"/>
          <w:sz w:val="24"/>
          <w:lang w:val="fr-FR"/>
        </w:rPr>
        <w:t>.</w:t>
      </w:r>
    </w:p>
    <w:p w14:paraId="22FE9DE1" w14:textId="6419516D" w:rsidR="006B758D" w:rsidRPr="00EA2AB9" w:rsidRDefault="0023308C" w:rsidP="00921F58">
      <w:pPr>
        <w:pStyle w:val="ListParagraph"/>
        <w:numPr>
          <w:ilvl w:val="1"/>
          <w:numId w:val="26"/>
        </w:numPr>
        <w:tabs>
          <w:tab w:val="left" w:pos="1837"/>
        </w:tabs>
        <w:spacing w:before="139" w:line="360" w:lineRule="auto"/>
        <w:rPr>
          <w:sz w:val="24"/>
          <w:lang w:val="fr-FR"/>
        </w:rPr>
      </w:pPr>
      <w:r w:rsidRPr="00EA2AB9">
        <w:rPr>
          <w:sz w:val="24"/>
          <w:lang w:val="fr-FR"/>
        </w:rPr>
        <w:t>En cas de reproduction ultérieure du matériel qui a été mis sur le marché, le droit d'obtenteur « renaît ».</w:t>
      </w:r>
    </w:p>
    <w:p w14:paraId="771902F7" w14:textId="6BFFBA1E" w:rsidR="006B758D" w:rsidRPr="00EA2AB9" w:rsidRDefault="0023308C" w:rsidP="00921F58">
      <w:pPr>
        <w:pStyle w:val="ListParagraph"/>
        <w:numPr>
          <w:ilvl w:val="1"/>
          <w:numId w:val="26"/>
        </w:numPr>
        <w:tabs>
          <w:tab w:val="left" w:pos="1837"/>
        </w:tabs>
        <w:spacing w:before="139" w:line="360" w:lineRule="auto"/>
        <w:rPr>
          <w:sz w:val="24"/>
          <w:lang w:val="fr-FR"/>
        </w:rPr>
      </w:pPr>
      <w:r w:rsidRPr="00EA2AB9">
        <w:rPr>
          <w:sz w:val="24"/>
          <w:lang w:val="fr-FR"/>
        </w:rPr>
        <w:t xml:space="preserve">L'utilisation du produit de la récolte, pour lequel l'épuisement du droit d'obtenteur a lieu </w:t>
      </w:r>
      <w:r w:rsidR="00921F58" w:rsidRPr="00EA2AB9">
        <w:rPr>
          <w:sz w:val="24"/>
          <w:lang w:val="fr-FR"/>
        </w:rPr>
        <w:t xml:space="preserve">– </w:t>
      </w:r>
      <w:r w:rsidRPr="00EA2AB9">
        <w:rPr>
          <w:sz w:val="24"/>
          <w:lang w:val="fr-FR"/>
        </w:rPr>
        <w:t xml:space="preserve">comme les rosiers ou les bulbes de tulipes – pour la production de fleurs, peut être contrôlée par la disposition de l'article </w:t>
      </w:r>
      <w:r w:rsidR="00EF1AEC" w:rsidRPr="005557C5">
        <w:rPr>
          <w:sz w:val="24"/>
          <w:szCs w:val="24"/>
          <w:lang w:val="fr-FR"/>
        </w:rPr>
        <w:t>14(1)(</w:t>
      </w:r>
      <w:proofErr w:type="gramStart"/>
      <w:r w:rsidR="00EF1AEC" w:rsidRPr="005557C5">
        <w:rPr>
          <w:sz w:val="24"/>
          <w:szCs w:val="24"/>
          <w:lang w:val="fr-FR"/>
        </w:rPr>
        <w:t xml:space="preserve">b) </w:t>
      </w:r>
      <w:r w:rsidRPr="00EA2AB9">
        <w:rPr>
          <w:sz w:val="24"/>
          <w:lang w:val="fr-FR"/>
        </w:rPr>
        <w:t xml:space="preserve"> :</w:t>
      </w:r>
      <w:proofErr w:type="gramEnd"/>
      <w:r w:rsidRPr="00EA2AB9">
        <w:rPr>
          <w:sz w:val="24"/>
          <w:lang w:val="fr-FR"/>
        </w:rPr>
        <w:t xml:space="preserve"> « L'obtenteur peut subordonner son autorisation à des conditions et limitations ».</w:t>
      </w:r>
    </w:p>
    <w:p w14:paraId="1593C2F5" w14:textId="77777777" w:rsidR="006B758D" w:rsidRPr="00EA2AB9" w:rsidRDefault="0023308C" w:rsidP="00921F58">
      <w:pPr>
        <w:pStyle w:val="ListParagraph"/>
        <w:numPr>
          <w:ilvl w:val="1"/>
          <w:numId w:val="26"/>
        </w:numPr>
        <w:tabs>
          <w:tab w:val="left" w:pos="1837"/>
        </w:tabs>
        <w:spacing w:before="2" w:line="355" w:lineRule="auto"/>
        <w:ind w:right="114"/>
        <w:rPr>
          <w:sz w:val="24"/>
          <w:lang w:val="fr-FR"/>
        </w:rPr>
      </w:pPr>
      <w:r w:rsidRPr="00EA2AB9">
        <w:rPr>
          <w:sz w:val="24"/>
          <w:lang w:val="fr-FR"/>
        </w:rPr>
        <w:t>Si du matériel de reproduction ou de multiplication, ou du matériel pouvant être utilisé comme matériel de reproduction ou de multiplication, d'une variété protégée est vendu à une partie qui exporte ce matériel vers un territoire où il n'existe aucun droit d'obtenteur pour l'espèce à laquelle appartient cette variété, le droit d'obtenteur n'est pas épuisé.</w:t>
      </w:r>
    </w:p>
    <w:p w14:paraId="60AAE2FB" w14:textId="77777777" w:rsidR="006B758D" w:rsidRPr="00EA2AB9" w:rsidRDefault="0023308C" w:rsidP="00921F58">
      <w:pPr>
        <w:pStyle w:val="ListParagraph"/>
        <w:numPr>
          <w:ilvl w:val="1"/>
          <w:numId w:val="26"/>
        </w:numPr>
        <w:tabs>
          <w:tab w:val="left" w:pos="1837"/>
        </w:tabs>
        <w:spacing w:before="14" w:line="357" w:lineRule="auto"/>
        <w:ind w:right="115"/>
        <w:rPr>
          <w:sz w:val="24"/>
          <w:lang w:val="fr-FR"/>
        </w:rPr>
      </w:pPr>
      <w:r w:rsidRPr="00EA2AB9">
        <w:rPr>
          <w:sz w:val="24"/>
          <w:lang w:val="fr-FR"/>
        </w:rPr>
        <w:t xml:space="preserve">Cela signifie que le titulaire peut exercer son droit sur le produit de la récolte importé produit à partir de ce matériel de reproduction ou de multiplication, car le produit de la récolte a été produit sans autorisation au regard du droit d'obtenteur non épuisé et le titulaire n'a pas eu l'opportunité raisonnable d'exercer son droit dans cet autre </w:t>
      </w:r>
      <w:r w:rsidRPr="00EA2AB9">
        <w:rPr>
          <w:spacing w:val="-2"/>
          <w:sz w:val="24"/>
          <w:lang w:val="fr-FR"/>
        </w:rPr>
        <w:t>territoire.</w:t>
      </w:r>
    </w:p>
    <w:p w14:paraId="16D296F2" w14:textId="6620B583" w:rsidR="008F0B04" w:rsidRPr="00EA2AB9" w:rsidRDefault="008F0B04" w:rsidP="00921F58">
      <w:pPr>
        <w:spacing w:line="357" w:lineRule="auto"/>
        <w:jc w:val="both"/>
        <w:rPr>
          <w:sz w:val="24"/>
          <w:lang w:val="fr-FR"/>
        </w:rPr>
        <w:sectPr w:rsidR="008F0B04" w:rsidRPr="00EA2AB9">
          <w:pgSz w:w="11910" w:h="16840"/>
          <w:pgMar w:top="1320" w:right="1300" w:bottom="1240" w:left="1020" w:header="0" w:footer="1049" w:gutter="0"/>
          <w:cols w:space="720"/>
        </w:sectPr>
      </w:pPr>
    </w:p>
    <w:p w14:paraId="27F57AA3" w14:textId="77777777" w:rsidR="006B758D" w:rsidRDefault="0023308C">
      <w:pPr>
        <w:pStyle w:val="Heading1"/>
        <w:ind w:left="804" w:right="525"/>
        <w:jc w:val="center"/>
      </w:pPr>
      <w:bookmarkStart w:id="121" w:name="_bookmark121"/>
      <w:bookmarkEnd w:id="121"/>
      <w:r>
        <w:rPr>
          <w:u w:val="single"/>
        </w:rPr>
        <w:lastRenderedPageBreak/>
        <w:t xml:space="preserve">DEUXIÈME PARTIE – </w:t>
      </w:r>
      <w:r>
        <w:rPr>
          <w:spacing w:val="-1"/>
          <w:u w:val="single"/>
        </w:rPr>
        <w:t>J</w:t>
      </w:r>
      <w:r>
        <w:rPr>
          <w:spacing w:val="-5"/>
          <w:u w:val="single"/>
        </w:rPr>
        <w:t>UR</w:t>
      </w:r>
      <w:r>
        <w:rPr>
          <w:u w:val="single"/>
        </w:rPr>
        <w:t>ISPRUDENCE</w:t>
      </w:r>
    </w:p>
    <w:p w14:paraId="0F6E85F3" w14:textId="77777777" w:rsidR="006B758D" w:rsidRDefault="006B758D">
      <w:pPr>
        <w:pStyle w:val="BodyText"/>
        <w:spacing w:before="4"/>
        <w:rPr>
          <w:b/>
          <w:sz w:val="28"/>
        </w:rPr>
      </w:pPr>
    </w:p>
    <w:p w14:paraId="1E1580BD" w14:textId="77777777" w:rsidR="006B758D" w:rsidRDefault="0023308C">
      <w:pPr>
        <w:pStyle w:val="Heading1"/>
        <w:numPr>
          <w:ilvl w:val="0"/>
          <w:numId w:val="2"/>
        </w:numPr>
        <w:tabs>
          <w:tab w:val="left" w:pos="610"/>
        </w:tabs>
        <w:spacing w:before="90"/>
      </w:pPr>
      <w:bookmarkStart w:id="122" w:name="_bookmark122"/>
      <w:bookmarkEnd w:id="122"/>
      <w:r>
        <w:t xml:space="preserve">« Melanie » et « </w:t>
      </w:r>
      <w:r>
        <w:rPr>
          <w:spacing w:val="-2"/>
        </w:rPr>
        <w:t>Amethyst »</w:t>
      </w:r>
    </w:p>
    <w:p w14:paraId="39F894BF" w14:textId="77777777" w:rsidR="006B758D" w:rsidRPr="00EA2AB9" w:rsidRDefault="0023308C">
      <w:pPr>
        <w:pStyle w:val="BodyText"/>
        <w:spacing w:before="137" w:line="360" w:lineRule="auto"/>
        <w:ind w:left="396"/>
        <w:rPr>
          <w:lang w:val="fr-FR"/>
        </w:rPr>
      </w:pPr>
      <w:r w:rsidRPr="00EA2AB9">
        <w:rPr>
          <w:lang w:val="fr-FR"/>
        </w:rPr>
        <w:t xml:space="preserve">Cour fédérale suprême allemande, 14 février 2006, X ZR 93/04, GRUR 2006, 575 – Melanie et </w:t>
      </w:r>
      <w:r w:rsidRPr="00EA2AB9">
        <w:rPr>
          <w:spacing w:val="-2"/>
          <w:lang w:val="fr-FR"/>
        </w:rPr>
        <w:t>Amethyst</w:t>
      </w:r>
      <w:hyperlink w:anchor="_bookmark124" w:history="1">
        <w:r w:rsidRPr="00EA2AB9">
          <w:rPr>
            <w:spacing w:val="-2"/>
            <w:vertAlign w:val="superscript"/>
            <w:lang w:val="fr-FR"/>
          </w:rPr>
          <w:t>105</w:t>
        </w:r>
      </w:hyperlink>
      <w:r w:rsidRPr="00EA2AB9">
        <w:rPr>
          <w:spacing w:val="-2"/>
          <w:lang w:val="fr-FR"/>
        </w:rPr>
        <w:t xml:space="preserve"> .</w:t>
      </w:r>
    </w:p>
    <w:p w14:paraId="106F452C" w14:textId="77777777" w:rsidR="006B758D" w:rsidRPr="00812CAB" w:rsidRDefault="006B758D">
      <w:pPr>
        <w:pStyle w:val="BodyText"/>
        <w:spacing w:before="1"/>
        <w:rPr>
          <w:sz w:val="20"/>
          <w:szCs w:val="20"/>
          <w:lang w:val="fr-FR"/>
        </w:rPr>
      </w:pPr>
    </w:p>
    <w:p w14:paraId="17BD5E09" w14:textId="77777777" w:rsidR="006B758D" w:rsidRPr="00EA2AB9" w:rsidRDefault="0023308C">
      <w:pPr>
        <w:pStyle w:val="BodyText"/>
        <w:spacing w:line="360" w:lineRule="auto"/>
        <w:ind w:left="396" w:right="114" w:firstLine="707"/>
        <w:jc w:val="both"/>
        <w:rPr>
          <w:lang w:val="fr-FR"/>
        </w:rPr>
      </w:pPr>
      <w:r w:rsidRPr="00EA2AB9">
        <w:rPr>
          <w:i/>
          <w:lang w:val="fr-FR"/>
        </w:rPr>
        <w:t xml:space="preserve">Faits </w:t>
      </w:r>
      <w:r w:rsidRPr="00EA2AB9">
        <w:rPr>
          <w:lang w:val="fr-FR"/>
        </w:rPr>
        <w:t>: Le demandeur est titulaire du droit allemand sur les variétés végétales pour la variété « Melanie » et du droit communautaire sur les variétés végétales pour la variété « Amethyst », toutes deux appartenant à l'espèce botanique Calluna vulgaris. Il invoque une violation de ses droits sur les variétés végétales par le défendeur.</w:t>
      </w:r>
      <w:r w:rsidRPr="00EA2AB9">
        <w:rPr>
          <w:spacing w:val="-7"/>
          <w:lang w:val="fr-FR"/>
        </w:rPr>
        <w:t xml:space="preserve"> </w:t>
      </w:r>
      <w:r w:rsidRPr="00EA2AB9">
        <w:rPr>
          <w:lang w:val="fr-FR"/>
        </w:rPr>
        <w:t>Le défendeur est la société responsable des achats des jardineries du groupe B. Le défendeur a acheté des plantes de Calluna vulgaris à l'intervenant n° 2, une société située aux Pays-Bas, qui avait acheté des plantes à l'intervenant n° 1, une société située en France. Le demandeur considère que les plantes Calluna vulgaris vendues par le défendeur enfreignent ses droits sur la variété végétale.</w:t>
      </w:r>
    </w:p>
    <w:p w14:paraId="56CD49D2" w14:textId="77777777" w:rsidR="006B758D" w:rsidRPr="00812CAB" w:rsidRDefault="006B758D">
      <w:pPr>
        <w:pStyle w:val="BodyText"/>
        <w:rPr>
          <w:sz w:val="18"/>
          <w:szCs w:val="18"/>
          <w:lang w:val="fr-FR"/>
        </w:rPr>
      </w:pPr>
    </w:p>
    <w:p w14:paraId="1C95F33B" w14:textId="77777777" w:rsidR="006B758D" w:rsidRPr="00EA2AB9" w:rsidRDefault="0023308C">
      <w:pPr>
        <w:pStyle w:val="BodyText"/>
        <w:spacing w:line="360" w:lineRule="auto"/>
        <w:ind w:left="396" w:right="115" w:firstLine="707"/>
        <w:jc w:val="both"/>
        <w:rPr>
          <w:lang w:val="fr-FR"/>
        </w:rPr>
      </w:pPr>
      <w:r w:rsidRPr="00EA2AB9">
        <w:rPr>
          <w:i/>
          <w:lang w:val="fr-FR"/>
        </w:rPr>
        <w:t xml:space="preserve">Conclusions </w:t>
      </w:r>
      <w:r w:rsidRPr="00EA2AB9">
        <w:rPr>
          <w:lang w:val="fr-FR"/>
        </w:rPr>
        <w:t xml:space="preserve">: La Cour fédérale de justice a estimé que la vente de plantes entières ne relevait pas du champ d'application de l'article 10, paragraphe 1, n° 1, de la loi allemande sur la protection des obtentions végétales, car cette disposition ne couvre que le matériel de reproduction ou de multiplication. Conformément à l'article 2, n° 2, de la loi allemande sur la protection des obtentions végétales, le « matériel de reproduction ou de multiplication » comprend uniquement les plantes et les parties de plantes destinées à la production de plantes ou à la culture. Toutefois, la Cour a estimé que les plantes étaient des « autres plantes » au sens de l'article 10, paragraphe 1, n° 2, de la loi allemande sur la protection des variétés végétales, pour lesquelles le demandeur n'avait pas pu exercer ses droits de </w:t>
      </w:r>
      <w:proofErr w:type="spellStart"/>
      <w:r w:rsidRPr="00EA2AB9">
        <w:rPr>
          <w:lang w:val="fr-FR"/>
        </w:rPr>
        <w:t>variétiste</w:t>
      </w:r>
      <w:proofErr w:type="spellEnd"/>
      <w:r w:rsidRPr="00EA2AB9">
        <w:rPr>
          <w:lang w:val="fr-FR"/>
        </w:rPr>
        <w:t>. En ce qui concerne la production de plantes en France, le demandeur n'a pas pu exercer son droit qui, en tant que droit national, était limité au territoire de l'Allemagne. La Cour a également estimé que, en ce qui concerne les plantes de la variété « Amethyst », les plantes entières (en pot) ne pouvaient être considérées comme un « produit de la récolte » au sens de l'article 13, paragraphe 3, du règlement n° 2100/94, car aucun « acte de récolte » n'avait eu lieu lors de leur production. La Cour a considéré ces plantes comme des « éléments constitutifs de la variété » au sens de l'article 13, paragraphe 2.</w:t>
      </w:r>
    </w:p>
    <w:p w14:paraId="1711EFC9" w14:textId="77777777" w:rsidR="006B758D" w:rsidRPr="00812CAB" w:rsidRDefault="006B758D">
      <w:pPr>
        <w:pStyle w:val="BodyText"/>
        <w:rPr>
          <w:sz w:val="18"/>
          <w:szCs w:val="18"/>
          <w:lang w:val="fr-FR"/>
        </w:rPr>
      </w:pPr>
    </w:p>
    <w:p w14:paraId="2628B349" w14:textId="77777777" w:rsidR="006B758D" w:rsidRDefault="0023308C">
      <w:pPr>
        <w:pStyle w:val="Heading1"/>
        <w:numPr>
          <w:ilvl w:val="0"/>
          <w:numId w:val="2"/>
        </w:numPr>
        <w:tabs>
          <w:tab w:val="left" w:pos="704"/>
        </w:tabs>
        <w:spacing w:before="231"/>
        <w:ind w:left="703" w:hanging="308"/>
      </w:pPr>
      <w:r>
        <w:rPr>
          <w:spacing w:val="-2"/>
        </w:rPr>
        <w:t xml:space="preserve">« </w:t>
      </w:r>
      <w:proofErr w:type="spellStart"/>
      <w:r>
        <w:rPr>
          <w:spacing w:val="-2"/>
        </w:rPr>
        <w:t>Erntegut</w:t>
      </w:r>
      <w:proofErr w:type="spellEnd"/>
      <w:r>
        <w:rPr>
          <w:spacing w:val="-2"/>
        </w:rPr>
        <w:t xml:space="preserve"> »</w:t>
      </w:r>
    </w:p>
    <w:p w14:paraId="52CAA2B0" w14:textId="2341A5B4" w:rsidR="006B758D" w:rsidRPr="00812CAB" w:rsidRDefault="0023308C" w:rsidP="00812CAB">
      <w:pPr>
        <w:pStyle w:val="BodyText"/>
        <w:spacing w:before="137"/>
        <w:ind w:left="396"/>
        <w:rPr>
          <w:lang w:val="fr-FR"/>
        </w:rPr>
      </w:pPr>
      <w:r w:rsidRPr="00EA2AB9">
        <w:rPr>
          <w:lang w:val="fr-FR"/>
        </w:rPr>
        <w:t xml:space="preserve">Cour fédérale suprême allemande, 28.11.2023, X ZR 70/22, GRUR 2024, 127 – </w:t>
      </w:r>
      <w:r w:rsidRPr="00EA2AB9">
        <w:rPr>
          <w:spacing w:val="-2"/>
          <w:lang w:val="fr-FR"/>
        </w:rPr>
        <w:t>Erntegut</w:t>
      </w:r>
    </w:p>
    <w:p w14:paraId="42D00936" w14:textId="5142A1B2" w:rsidR="006B758D" w:rsidRPr="00EA2AB9" w:rsidRDefault="005C7D52">
      <w:pPr>
        <w:pStyle w:val="BodyText"/>
        <w:rPr>
          <w:sz w:val="14"/>
          <w:lang w:val="fr-FR"/>
        </w:rPr>
      </w:pPr>
      <w:r>
        <w:rPr>
          <w:noProof/>
        </w:rPr>
        <mc:AlternateContent>
          <mc:Choice Requires="wps">
            <w:drawing>
              <wp:anchor distT="0" distB="0" distL="0" distR="0" simplePos="0" relativeHeight="487602688" behindDoc="1" locked="0" layoutInCell="1" allowOverlap="1" wp14:anchorId="58BD299D" wp14:editId="3DD1AE6D">
                <wp:simplePos x="0" y="0"/>
                <wp:positionH relativeFrom="page">
                  <wp:posOffset>899160</wp:posOffset>
                </wp:positionH>
                <wp:positionV relativeFrom="paragraph">
                  <wp:posOffset>117475</wp:posOffset>
                </wp:positionV>
                <wp:extent cx="1828800" cy="7620"/>
                <wp:effectExtent l="0" t="0" r="0" b="0"/>
                <wp:wrapTopAndBottom/>
                <wp:docPr id="87611698"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34" style="position:absolute;margin-left:70.8pt;margin-top:9.25pt;width:2in;height:.6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" w14:anchorId="1AEB9A88">
                <w10:wrap type="topAndBottom" anchorx="page"/>
              </v:rect>
            </w:pict>
          </mc:Fallback>
        </mc:AlternateContent>
      </w:r>
    </w:p>
    <w:p w14:paraId="41FE3D33" w14:textId="4A6B640C" w:rsidR="006B758D" w:rsidRPr="00EA2AB9" w:rsidRDefault="0023308C">
      <w:pPr>
        <w:spacing w:before="101"/>
        <w:ind w:left="396"/>
        <w:rPr>
          <w:sz w:val="20"/>
          <w:lang w:val="fr-FR"/>
        </w:rPr>
      </w:pPr>
      <w:bookmarkStart w:id="123" w:name="_bookmark124"/>
      <w:bookmarkEnd w:id="123"/>
      <w:r w:rsidRPr="00EA2AB9">
        <w:rPr>
          <w:sz w:val="20"/>
          <w:vertAlign w:val="superscript"/>
          <w:lang w:val="fr-FR"/>
        </w:rPr>
        <w:t xml:space="preserve">105   </w:t>
      </w:r>
      <w:r w:rsidRPr="00676955">
        <w:rPr>
          <w:sz w:val="20"/>
          <w:lang w:val="fr-FR"/>
        </w:rPr>
        <w:t>Résumé</w:t>
      </w:r>
      <w:r w:rsidR="00676955">
        <w:rPr>
          <w:sz w:val="20"/>
          <w:lang w:val="fr-FR"/>
        </w:rPr>
        <w:t xml:space="preserve"> </w:t>
      </w:r>
      <w:r w:rsidRPr="00EA2AB9">
        <w:rPr>
          <w:sz w:val="20"/>
          <w:lang w:val="fr-FR"/>
        </w:rPr>
        <w:t>en anglais/texte intégral en allemand disponible à l'adresse</w:t>
      </w:r>
      <w:r w:rsidRPr="00EA2AB9">
        <w:rPr>
          <w:spacing w:val="-2"/>
          <w:sz w:val="20"/>
          <w:lang w:val="fr-FR"/>
        </w:rPr>
        <w:t xml:space="preserve"> </w:t>
      </w:r>
      <w:hyperlink r:id="rId15" w:history="1">
        <w:r w:rsidR="00676955" w:rsidRPr="00070B63">
          <w:rPr>
            <w:rStyle w:val="Hyperlink"/>
            <w:spacing w:val="-2"/>
            <w:sz w:val="20"/>
            <w:lang w:val="fr-FR"/>
          </w:rPr>
          <w:t>https://cpvoextranet.cpvo.europa.eu/PVRCaseLaw</w:t>
        </w:r>
      </w:hyperlink>
      <w:r w:rsidR="00676955">
        <w:rPr>
          <w:spacing w:val="-2"/>
          <w:sz w:val="20"/>
          <w:lang w:val="fr-FR"/>
        </w:rPr>
        <w:t xml:space="preserve"> </w:t>
      </w:r>
    </w:p>
    <w:p w14:paraId="517EAC89" w14:textId="77777777" w:rsidR="006B758D" w:rsidRPr="00EA2AB9" w:rsidRDefault="006B758D">
      <w:pPr>
        <w:rPr>
          <w:sz w:val="20"/>
          <w:lang w:val="fr-FR"/>
        </w:rPr>
        <w:sectPr w:rsidR="006B758D" w:rsidRPr="00EA2AB9">
          <w:pgSz w:w="11910" w:h="16840"/>
          <w:pgMar w:top="1320" w:right="1300" w:bottom="1240" w:left="1020" w:header="0" w:footer="1049" w:gutter="0"/>
          <w:cols w:space="720"/>
        </w:sectPr>
      </w:pPr>
    </w:p>
    <w:p w14:paraId="03ADE9E7" w14:textId="77777777" w:rsidR="006B758D" w:rsidRPr="00EA2AB9" w:rsidRDefault="0023308C">
      <w:pPr>
        <w:pStyle w:val="BodyText"/>
        <w:spacing w:before="76" w:line="360" w:lineRule="auto"/>
        <w:ind w:left="396" w:right="115" w:firstLine="707"/>
        <w:jc w:val="both"/>
        <w:rPr>
          <w:lang w:val="fr-FR"/>
        </w:rPr>
      </w:pPr>
      <w:r w:rsidRPr="00EA2AB9">
        <w:rPr>
          <w:i/>
          <w:lang w:val="fr-FR"/>
        </w:rPr>
        <w:lastRenderedPageBreak/>
        <w:t xml:space="preserve">Faits : </w:t>
      </w:r>
      <w:r w:rsidRPr="00EA2AB9">
        <w:rPr>
          <w:lang w:val="fr-FR"/>
        </w:rPr>
        <w:t>Le demandeur est titulaire de plusieurs variétés de céréales protégées par des droits communautaires d'obtenteur. Le prédécesseur légal du défendeur (ci-après dénommé simplement « le défendeur ») a vendu comme biens de consommation des récoltes qu'il avait achetées à trois agriculteurs différents. Ces agriculteurs avaient produit les récoltes à partir de matériel qu'ils avaient acheté à trois autres agriculteurs. Le demandeur sollicite une injonction interdisant au défendeur d'offrir, de vendre, de commercialiser ou de stocker à l'une de ces fins le produit de la récolte des variétés en cause sans le consentement du titulaire du droit. Selon le demandeur, le titulaire du droit n'avait pas la possibilité de faire valoir ses droits de variété végétale à l'égard de l'utilisation de ces constituants de variétés, car il n'avait pas connaissance de la vente antérieure de constituants de variétés aux agriculteurs qui ont ensuite vendu les récoltes au défendeur.</w:t>
      </w:r>
    </w:p>
    <w:p w14:paraId="41F2E622" w14:textId="77777777" w:rsidR="006B758D" w:rsidRPr="00EA2AB9" w:rsidRDefault="006B758D">
      <w:pPr>
        <w:pStyle w:val="BodyText"/>
        <w:spacing w:before="3"/>
        <w:rPr>
          <w:sz w:val="36"/>
          <w:lang w:val="fr-FR"/>
        </w:rPr>
      </w:pPr>
    </w:p>
    <w:p w14:paraId="1E738E6E" w14:textId="77777777" w:rsidR="006B758D" w:rsidRPr="00EA2AB9" w:rsidRDefault="0023308C">
      <w:pPr>
        <w:pStyle w:val="BodyText"/>
        <w:spacing w:line="360" w:lineRule="auto"/>
        <w:ind w:left="396" w:right="116" w:firstLine="707"/>
        <w:jc w:val="both"/>
        <w:rPr>
          <w:lang w:val="fr-FR"/>
        </w:rPr>
      </w:pPr>
      <w:r w:rsidRPr="00EA2AB9">
        <w:rPr>
          <w:i/>
          <w:lang w:val="fr-FR"/>
        </w:rPr>
        <w:t xml:space="preserve">Conclusions : </w:t>
      </w:r>
      <w:r w:rsidRPr="00EA2AB9">
        <w:rPr>
          <w:lang w:val="fr-FR"/>
        </w:rPr>
        <w:t>Les droits relatifs au produit de la récolte ne sont pas exclus en vertu de l'article 13, paragraphe 3, du règlement n° 2100/94 si la personne habilitée avait la possibilité légale de faire valoir son droit en rapport avec les éléments de protection des variétés.</w:t>
      </w:r>
      <w:r w:rsidRPr="00EA2AB9">
        <w:rPr>
          <w:spacing w:val="-1"/>
          <w:lang w:val="fr-FR"/>
        </w:rPr>
        <w:t xml:space="preserve"> </w:t>
      </w:r>
      <w:r w:rsidRPr="00EA2AB9">
        <w:rPr>
          <w:lang w:val="fr-FR"/>
        </w:rPr>
        <w:t>Il est plutôt nécessaire que la personne habilitée ait effectivement eu suffisamment de possibilités d'exercer son droit en ce qui concerne les éléments constitutifs de la variété utilisés pour obtenir le produit de la récolte. b) Une possibilité suffisante de faire valoir le droit en rapport avec les éléments constitutifs de la variété utilisés pour la production du produit de la récolte présuppose que la personne habilitée puisse garantir à l'avance que les actes d'utilisation en rapport avec ces éléments constitutifs de la variété n'auront lieu qu'avec son consentement.</w:t>
      </w:r>
    </w:p>
    <w:p w14:paraId="522BD0E6" w14:textId="77777777" w:rsidR="006B758D" w:rsidRPr="00EA2AB9" w:rsidRDefault="006B758D">
      <w:pPr>
        <w:pStyle w:val="BodyText"/>
        <w:rPr>
          <w:sz w:val="26"/>
          <w:lang w:val="fr-FR"/>
        </w:rPr>
      </w:pPr>
    </w:p>
    <w:p w14:paraId="75F9F792" w14:textId="77777777" w:rsidR="006B758D" w:rsidRPr="00EA2AB9" w:rsidRDefault="006B758D">
      <w:pPr>
        <w:pStyle w:val="BodyText"/>
        <w:rPr>
          <w:sz w:val="26"/>
          <w:lang w:val="fr-FR"/>
        </w:rPr>
      </w:pPr>
    </w:p>
    <w:p w14:paraId="119B8B16" w14:textId="77777777" w:rsidR="006B758D" w:rsidRDefault="0023308C">
      <w:pPr>
        <w:pStyle w:val="Heading1"/>
        <w:numPr>
          <w:ilvl w:val="0"/>
          <w:numId w:val="2"/>
        </w:numPr>
        <w:tabs>
          <w:tab w:val="left" w:pos="797"/>
        </w:tabs>
        <w:spacing w:before="231"/>
        <w:ind w:left="796" w:hanging="401"/>
      </w:pPr>
      <w:bookmarkStart w:id="124" w:name="_bookmark125"/>
      <w:bookmarkEnd w:id="124"/>
      <w:r>
        <w:rPr>
          <w:spacing w:val="-2"/>
        </w:rPr>
        <w:t xml:space="preserve">« </w:t>
      </w:r>
      <w:proofErr w:type="spellStart"/>
      <w:r>
        <w:rPr>
          <w:spacing w:val="-2"/>
        </w:rPr>
        <w:t>Cilena</w:t>
      </w:r>
      <w:proofErr w:type="spellEnd"/>
      <w:r>
        <w:rPr>
          <w:spacing w:val="-2"/>
        </w:rPr>
        <w:t xml:space="preserve"> »</w:t>
      </w:r>
    </w:p>
    <w:p w14:paraId="173385F7" w14:textId="77777777" w:rsidR="006B758D" w:rsidRPr="00EF1AEC" w:rsidRDefault="0023308C">
      <w:pPr>
        <w:pStyle w:val="BodyText"/>
        <w:spacing w:before="137"/>
        <w:ind w:left="396"/>
        <w:rPr>
          <w:lang w:val="fr-FR"/>
        </w:rPr>
      </w:pPr>
      <w:r w:rsidRPr="00EF1AEC">
        <w:rPr>
          <w:lang w:val="fr-FR"/>
        </w:rPr>
        <w:t xml:space="preserve">Cour d'appel de Düsseldorf, 21.03.1996, 2 U 20/95, Mitt. 1998, 153 = </w:t>
      </w:r>
      <w:proofErr w:type="spellStart"/>
      <w:r w:rsidRPr="00EF1AEC">
        <w:rPr>
          <w:lang w:val="fr-FR"/>
        </w:rPr>
        <w:t>BeckRS</w:t>
      </w:r>
      <w:proofErr w:type="spellEnd"/>
      <w:r w:rsidRPr="00EF1AEC">
        <w:rPr>
          <w:lang w:val="fr-FR"/>
        </w:rPr>
        <w:t xml:space="preserve"> 2011,</w:t>
      </w:r>
      <w:r w:rsidRPr="00EF1AEC">
        <w:rPr>
          <w:spacing w:val="-2"/>
          <w:lang w:val="fr-FR"/>
        </w:rPr>
        <w:t xml:space="preserve"> 00338</w:t>
      </w:r>
    </w:p>
    <w:p w14:paraId="2EA70656" w14:textId="77777777" w:rsidR="006B758D" w:rsidRPr="00EF1AEC" w:rsidRDefault="0023308C">
      <w:pPr>
        <w:pStyle w:val="BodyText"/>
        <w:spacing w:before="139"/>
        <w:ind w:left="396"/>
        <w:rPr>
          <w:lang w:val="fr-FR"/>
        </w:rPr>
      </w:pPr>
      <w:r w:rsidRPr="00EF1AEC">
        <w:rPr>
          <w:lang w:val="fr-FR"/>
        </w:rPr>
        <w:t xml:space="preserve">– </w:t>
      </w:r>
      <w:proofErr w:type="spellStart"/>
      <w:r w:rsidRPr="00EF1AEC">
        <w:rPr>
          <w:spacing w:val="-2"/>
          <w:lang w:val="fr-FR"/>
        </w:rPr>
        <w:t>Cilena</w:t>
      </w:r>
      <w:proofErr w:type="spellEnd"/>
    </w:p>
    <w:p w14:paraId="2BB3C839" w14:textId="77777777" w:rsidR="006B758D" w:rsidRPr="00EF1AEC" w:rsidRDefault="006B758D">
      <w:pPr>
        <w:pStyle w:val="BodyText"/>
        <w:rPr>
          <w:sz w:val="22"/>
          <w:lang w:val="fr-FR"/>
        </w:rPr>
      </w:pPr>
    </w:p>
    <w:p w14:paraId="2B14F791" w14:textId="77777777" w:rsidR="006B758D" w:rsidRPr="00EA2AB9" w:rsidRDefault="0023308C">
      <w:pPr>
        <w:pStyle w:val="BodyText"/>
        <w:spacing w:line="360" w:lineRule="auto"/>
        <w:ind w:left="396" w:right="117" w:firstLine="707"/>
        <w:jc w:val="both"/>
        <w:rPr>
          <w:lang w:val="fr-FR"/>
        </w:rPr>
      </w:pPr>
      <w:r w:rsidRPr="00EA2AB9">
        <w:rPr>
          <w:i/>
          <w:lang w:val="fr-FR"/>
        </w:rPr>
        <w:t xml:space="preserve">Faits </w:t>
      </w:r>
      <w:r w:rsidRPr="00EA2AB9">
        <w:rPr>
          <w:lang w:val="fr-FR"/>
        </w:rPr>
        <w:t xml:space="preserve">: Le demandeur est titulaire du droit allemand sur la variété végétale « </w:t>
      </w:r>
      <w:proofErr w:type="spellStart"/>
      <w:r w:rsidRPr="00EA2AB9">
        <w:rPr>
          <w:lang w:val="fr-FR"/>
        </w:rPr>
        <w:t>Cilena</w:t>
      </w:r>
      <w:proofErr w:type="spellEnd"/>
      <w:r w:rsidRPr="00EA2AB9">
        <w:rPr>
          <w:lang w:val="fr-FR"/>
        </w:rPr>
        <w:t xml:space="preserve"> ». Il a chargé un acheteur test de demander au défendeur, un négociant en pommes de terre, de lui livrer 1 000 kg de pommes de terre de la variété « </w:t>
      </w:r>
      <w:proofErr w:type="spellStart"/>
      <w:r w:rsidRPr="00EA2AB9">
        <w:rPr>
          <w:lang w:val="fr-FR"/>
        </w:rPr>
        <w:t>Cilena</w:t>
      </w:r>
      <w:proofErr w:type="spellEnd"/>
      <w:r w:rsidRPr="00EA2AB9">
        <w:rPr>
          <w:lang w:val="fr-FR"/>
        </w:rPr>
        <w:t xml:space="preserve"> ». Les pommes de terre devaient </w:t>
      </w:r>
      <w:r w:rsidRPr="00EA2AB9">
        <w:rPr>
          <w:u w:val="single"/>
          <w:lang w:val="fr-FR"/>
        </w:rPr>
        <w:t xml:space="preserve">pouvoir être utilisées </w:t>
      </w:r>
      <w:r w:rsidRPr="00EA2AB9">
        <w:rPr>
          <w:lang w:val="fr-FR"/>
        </w:rPr>
        <w:t>comme matériel de reproduction ou de multiplication. Le défendeur a livré des pommes de terre adaptées à la plantation pour un prix total de 299,60 DM, étiquetées comme « pommes de terre de consommation ». Le demandeur a réclamé une mesure injonctive et des dommages-intérêts de 155,00 DM pour perte de redevances, en plus des dommages-intérêts de 299,60 DM pour les pommes de terre achetées par l'acheteur test.</w:t>
      </w:r>
    </w:p>
    <w:p w14:paraId="5E6A4CBE" w14:textId="77777777" w:rsidR="006B758D" w:rsidRPr="00EA2AB9" w:rsidRDefault="006B758D">
      <w:pPr>
        <w:spacing w:line="360" w:lineRule="auto"/>
        <w:jc w:val="both"/>
        <w:rPr>
          <w:lang w:val="fr-FR"/>
        </w:rPr>
        <w:sectPr w:rsidR="006B758D" w:rsidRPr="00EA2AB9">
          <w:pgSz w:w="11910" w:h="16840"/>
          <w:pgMar w:top="1320" w:right="1300" w:bottom="1240" w:left="1020" w:header="0" w:footer="1049" w:gutter="0"/>
          <w:cols w:space="720"/>
        </w:sectPr>
      </w:pPr>
    </w:p>
    <w:p w14:paraId="2F0EF169" w14:textId="77777777" w:rsidR="006B758D" w:rsidRPr="00EA2AB9" w:rsidRDefault="0023308C" w:rsidP="00F16C9D">
      <w:pPr>
        <w:pStyle w:val="BodyText"/>
        <w:spacing w:line="360" w:lineRule="auto"/>
        <w:ind w:left="396" w:right="112" w:firstLine="707"/>
        <w:jc w:val="both"/>
        <w:rPr>
          <w:lang w:val="fr-FR"/>
        </w:rPr>
      </w:pPr>
      <w:r w:rsidRPr="00EA2AB9">
        <w:rPr>
          <w:i/>
          <w:lang w:val="fr-FR"/>
        </w:rPr>
        <w:lastRenderedPageBreak/>
        <w:t xml:space="preserve">Conclusions </w:t>
      </w:r>
      <w:r w:rsidRPr="00EA2AB9">
        <w:rPr>
          <w:lang w:val="fr-FR"/>
        </w:rPr>
        <w:t>: La Cour d'appel a estimé que le défendeur avait enfreint le droit de variété végétale du plaignant en vendant du « matériel de reproduction ou de multiplication » conformément aux articles 2 n° 2 et 10 n° 1 de la loi allemande de 1985 sur la protection des variétés végétales. Outre une mesure injonctive, elle a condamné le défendeur à verser des dommages-intérêts d'un montant de 155,00 DM (plus les intérêts) pour perte de redevances. La cour a estimé que le demandeur n'avait pas subi d'autres dommages, car les pommes de terre achetées par l'acheteur test valaient les 299,60 DM qu'il avait payés. Dans son raisonnement, la cour s'est référée à la décision « Achat » de la Cour fédérale suprême. Le distributeur est responsable si une éventuelle multiplication ultérieure est prévisible pour lui au moment de la vente et s'il accepte cette possibilité en ne prenant pas les mesures adéquates pour empêcher une violation du droit d'obtention végétale. En cas de propagation ultérieure prévisible, une mesure adéquate consisterait à informer le titulaire du droit d'obtention végétale. Il ne suffit pas d'utiliser uniquement l'étiquette « pommes de terre de consommation ».</w:t>
      </w:r>
    </w:p>
    <w:p w14:paraId="7C2451AC" w14:textId="77777777" w:rsidR="006B758D" w:rsidRPr="00F16C9D" w:rsidRDefault="006B758D" w:rsidP="00F16C9D">
      <w:pPr>
        <w:pStyle w:val="BodyText"/>
        <w:rPr>
          <w:sz w:val="16"/>
          <w:szCs w:val="16"/>
          <w:lang w:val="fr-FR"/>
        </w:rPr>
      </w:pPr>
    </w:p>
    <w:p w14:paraId="185E34E3" w14:textId="77777777" w:rsidR="006B758D" w:rsidRDefault="0023308C" w:rsidP="00F16C9D">
      <w:pPr>
        <w:pStyle w:val="Heading1"/>
        <w:numPr>
          <w:ilvl w:val="0"/>
          <w:numId w:val="2"/>
        </w:numPr>
        <w:tabs>
          <w:tab w:val="left" w:pos="783"/>
        </w:tabs>
        <w:spacing w:before="0"/>
        <w:ind w:left="782" w:hanging="387"/>
      </w:pPr>
      <w:bookmarkStart w:id="125" w:name="_bookmark126"/>
      <w:bookmarkEnd w:id="125"/>
      <w:r>
        <w:rPr>
          <w:spacing w:val="-2"/>
        </w:rPr>
        <w:t>« Goldfinger »</w:t>
      </w:r>
    </w:p>
    <w:p w14:paraId="711FB69D" w14:textId="77777777" w:rsidR="006B758D" w:rsidRPr="00EF1AEC" w:rsidRDefault="0023308C" w:rsidP="00F16C9D">
      <w:pPr>
        <w:pStyle w:val="BodyText"/>
        <w:ind w:left="396"/>
        <w:rPr>
          <w:lang w:val="fr-FR"/>
        </w:rPr>
      </w:pPr>
      <w:r w:rsidRPr="00EF1AEC">
        <w:rPr>
          <w:lang w:val="fr-FR"/>
        </w:rPr>
        <w:t>Tribunal régional de Düsseldorf, 24 novembre 1998, 4 O</w:t>
      </w:r>
      <w:r w:rsidRPr="00EF1AEC">
        <w:rPr>
          <w:spacing w:val="-2"/>
          <w:lang w:val="fr-FR"/>
        </w:rPr>
        <w:t xml:space="preserve"> 404/97</w:t>
      </w:r>
      <w:hyperlink w:anchor="_bookmark127" w:history="1">
        <w:r w:rsidRPr="00EF1AEC">
          <w:rPr>
            <w:spacing w:val="-2"/>
            <w:vertAlign w:val="superscript"/>
            <w:lang w:val="fr-FR"/>
          </w:rPr>
          <w:t>106</w:t>
        </w:r>
      </w:hyperlink>
    </w:p>
    <w:p w14:paraId="68AD902E" w14:textId="77777777" w:rsidR="006B758D" w:rsidRPr="00F16C9D" w:rsidRDefault="006B758D" w:rsidP="00F16C9D">
      <w:pPr>
        <w:pStyle w:val="BodyText"/>
        <w:rPr>
          <w:sz w:val="12"/>
          <w:szCs w:val="12"/>
          <w:lang w:val="fr-FR"/>
        </w:rPr>
      </w:pPr>
    </w:p>
    <w:p w14:paraId="65812B52" w14:textId="77777777" w:rsidR="006B758D" w:rsidRPr="00EA2AB9" w:rsidRDefault="0023308C" w:rsidP="00F16C9D">
      <w:pPr>
        <w:pStyle w:val="BodyText"/>
        <w:spacing w:line="360" w:lineRule="auto"/>
        <w:ind w:left="396" w:right="115" w:firstLine="707"/>
        <w:jc w:val="both"/>
        <w:rPr>
          <w:lang w:val="fr-FR"/>
        </w:rPr>
      </w:pPr>
      <w:r w:rsidRPr="00EA2AB9">
        <w:rPr>
          <w:i/>
          <w:lang w:val="fr-FR"/>
        </w:rPr>
        <w:t xml:space="preserve">Faits </w:t>
      </w:r>
      <w:r w:rsidRPr="00EA2AB9">
        <w:rPr>
          <w:lang w:val="fr-FR"/>
        </w:rPr>
        <w:t>: Le demandeur est titulaire de plusieurs droits d'obtenteur allemands, notamment pour la variété végétale « Goldfinger », et de licences exclusives pour des espèces de poinsettias.</w:t>
      </w:r>
      <w:r w:rsidRPr="00EA2AB9">
        <w:rPr>
          <w:spacing w:val="-5"/>
          <w:lang w:val="fr-FR"/>
        </w:rPr>
        <w:t xml:space="preserve"> </w:t>
      </w:r>
      <w:r w:rsidRPr="00EA2AB9">
        <w:rPr>
          <w:lang w:val="fr-FR"/>
        </w:rPr>
        <w:t>Le défendeur était un multiplicateur qui avait conclu un contrat de licence avec le demandeur, dans lequel il s'engageait à ne se procurer du matériel de reproduction ou de multiplication qu'auprès du sélectionneur ou de tiers titulaires d'une licence correspondante. Or, le défendeur a reçu 134 000 plantes couvertes par les droits d'obtenteur du demandeur d'un tiers qui ne disposait plus d'une telle licence. Le défendeur a ensuite vendu des millions de boutures.</w:t>
      </w:r>
    </w:p>
    <w:p w14:paraId="2767D73C" w14:textId="77777777" w:rsidR="006B758D" w:rsidRPr="00F16C9D" w:rsidRDefault="006B758D" w:rsidP="00F16C9D">
      <w:pPr>
        <w:pStyle w:val="BodyText"/>
        <w:rPr>
          <w:sz w:val="12"/>
          <w:szCs w:val="12"/>
          <w:lang w:val="fr-FR"/>
        </w:rPr>
      </w:pPr>
    </w:p>
    <w:p w14:paraId="31BFFA38" w14:textId="33A88F43" w:rsidR="006B758D" w:rsidRPr="00F16C9D" w:rsidRDefault="0023308C" w:rsidP="00F16C9D">
      <w:pPr>
        <w:pStyle w:val="BodyText"/>
        <w:spacing w:line="360" w:lineRule="auto"/>
        <w:ind w:left="396" w:right="113" w:firstLine="707"/>
        <w:jc w:val="both"/>
        <w:rPr>
          <w:lang w:val="fr-FR"/>
        </w:rPr>
      </w:pPr>
      <w:r w:rsidRPr="00EA2AB9">
        <w:rPr>
          <w:i/>
          <w:lang w:val="fr-FR"/>
        </w:rPr>
        <w:t xml:space="preserve">Conclusions </w:t>
      </w:r>
      <w:r w:rsidRPr="00EA2AB9">
        <w:rPr>
          <w:lang w:val="fr-FR"/>
        </w:rPr>
        <w:t xml:space="preserve">: Le tribunal régional a estimé que le défendeur avait enfreint les droits de l'obtenteur du plaignant en vendant du « matériel de reproduction ou de multiplication » conformément aux articles 2 n° 2 et 10, paragraphe 1, n° 1 de la loi allemande sur la protection des variétés végétales. Il a précisé que la licence du défendeur était valablement limitée par la clause susmentionnée, bien que le plaignant </w:t>
      </w:r>
      <w:proofErr w:type="gramStart"/>
      <w:r w:rsidRPr="00EA2AB9">
        <w:rPr>
          <w:lang w:val="fr-FR"/>
        </w:rPr>
        <w:t>disposait</w:t>
      </w:r>
      <w:proofErr w:type="gramEnd"/>
      <w:r w:rsidRPr="00EA2AB9">
        <w:rPr>
          <w:lang w:val="fr-FR"/>
        </w:rPr>
        <w:t xml:space="preserve"> d'un monopole sur les poinsettias. Le tribunal a ordonné une mesure injonctive et accordé des dommages-intérêts au défendeur. Bien que le demandeur ait perçu des redevances de licence de la part du défendeur, les dommages-intérêts étaient néanmoins justifiés, car le titulaire du droit avait un intérêt légitime à garantir la qualité et la réputation de ses variétés végétales. Toutefois, l'action a été partiellement rejetée, car le demandeur n'a pas réussi à prouver qu'il détenait les licences exclusives de certains des droits d'obtenteur.</w:t>
      </w:r>
    </w:p>
    <w:p w14:paraId="2CEEF882" w14:textId="27E36CEF" w:rsidR="006B758D" w:rsidRPr="00EA2AB9" w:rsidRDefault="005C7D52">
      <w:pPr>
        <w:pStyle w:val="BodyText"/>
        <w:spacing w:before="9"/>
        <w:rPr>
          <w:sz w:val="13"/>
          <w:lang w:val="fr-FR"/>
        </w:rPr>
      </w:pPr>
      <w:r>
        <w:rPr>
          <w:noProof/>
        </w:rPr>
        <mc:AlternateContent>
          <mc:Choice Requires="wps">
            <w:drawing>
              <wp:anchor distT="0" distB="0" distL="0" distR="0" simplePos="0" relativeHeight="487603200" behindDoc="1" locked="0" layoutInCell="1" allowOverlap="1" wp14:anchorId="6BF2542F" wp14:editId="301D6AAF">
                <wp:simplePos x="0" y="0"/>
                <wp:positionH relativeFrom="page">
                  <wp:posOffset>899160</wp:posOffset>
                </wp:positionH>
                <wp:positionV relativeFrom="paragraph">
                  <wp:posOffset>116205</wp:posOffset>
                </wp:positionV>
                <wp:extent cx="1828800" cy="7620"/>
                <wp:effectExtent l="0" t="0" r="0" b="0"/>
                <wp:wrapTopAndBottom/>
                <wp:docPr id="181203494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35" style="position:absolute;margin-left:70.8pt;margin-top:9.15pt;width:2in;height:.6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" w14:anchorId="2716B8A0">
                <w10:wrap type="topAndBottom" anchorx="page"/>
              </v:rect>
            </w:pict>
          </mc:Fallback>
        </mc:AlternateContent>
      </w:r>
    </w:p>
    <w:p w14:paraId="66C0559C" w14:textId="77777777" w:rsidR="006B758D" w:rsidRPr="00EA2AB9" w:rsidRDefault="0023308C" w:rsidP="00F16C9D">
      <w:pPr>
        <w:ind w:left="396"/>
        <w:rPr>
          <w:sz w:val="20"/>
          <w:lang w:val="fr-FR"/>
        </w:rPr>
      </w:pPr>
      <w:bookmarkStart w:id="126" w:name="_bookmark127"/>
      <w:bookmarkEnd w:id="126"/>
      <w:proofErr w:type="gramStart"/>
      <w:r w:rsidRPr="00EA2AB9">
        <w:rPr>
          <w:sz w:val="20"/>
          <w:vertAlign w:val="superscript"/>
          <w:lang w:val="fr-FR"/>
        </w:rPr>
        <w:t>106</w:t>
      </w:r>
      <w:r w:rsidRPr="00EA2AB9">
        <w:rPr>
          <w:sz w:val="20"/>
          <w:lang w:val="fr-FR"/>
        </w:rPr>
        <w:t xml:space="preserve">  Texte</w:t>
      </w:r>
      <w:proofErr w:type="gramEnd"/>
      <w:r w:rsidRPr="00EA2AB9">
        <w:rPr>
          <w:sz w:val="20"/>
          <w:lang w:val="fr-FR"/>
        </w:rPr>
        <w:t xml:space="preserve"> intégral en allemand disponible à l'adresse</w:t>
      </w:r>
      <w:hyperlink r:id="rId16">
        <w:r w:rsidRPr="00EA2AB9">
          <w:rPr>
            <w:color w:val="0462C1"/>
            <w:spacing w:val="-2"/>
            <w:sz w:val="20"/>
            <w:u w:val="single" w:color="0462C1"/>
            <w:lang w:val="fr-FR"/>
          </w:rPr>
          <w:t xml:space="preserve"> https://cpvoextranet.cpvo.europa.eu/PVRCaseLaw</w:t>
        </w:r>
        <w:r w:rsidRPr="00EA2AB9">
          <w:rPr>
            <w:spacing w:val="-2"/>
            <w:sz w:val="20"/>
            <w:lang w:val="fr-FR"/>
          </w:rPr>
          <w:t>.</w:t>
        </w:r>
      </w:hyperlink>
    </w:p>
    <w:p w14:paraId="7BA13F53" w14:textId="77777777" w:rsidR="006B758D" w:rsidRPr="00EA2AB9" w:rsidRDefault="006B758D">
      <w:pPr>
        <w:rPr>
          <w:sz w:val="20"/>
          <w:lang w:val="fr-FR"/>
        </w:rPr>
        <w:sectPr w:rsidR="006B758D" w:rsidRPr="00EA2AB9">
          <w:pgSz w:w="11910" w:h="16840"/>
          <w:pgMar w:top="1320" w:right="1300" w:bottom="1240" w:left="1020" w:header="0" w:footer="1049" w:gutter="0"/>
          <w:cols w:space="720"/>
        </w:sectPr>
      </w:pPr>
    </w:p>
    <w:p w14:paraId="74074471" w14:textId="77777777" w:rsidR="006B758D" w:rsidRDefault="0023308C">
      <w:pPr>
        <w:pStyle w:val="Heading1"/>
        <w:numPr>
          <w:ilvl w:val="0"/>
          <w:numId w:val="2"/>
        </w:numPr>
        <w:tabs>
          <w:tab w:val="left" w:pos="690"/>
        </w:tabs>
        <w:ind w:left="689" w:hanging="294"/>
      </w:pPr>
      <w:bookmarkStart w:id="127" w:name="_bookmark128"/>
      <w:bookmarkEnd w:id="127"/>
      <w:r>
        <w:rPr>
          <w:spacing w:val="-2"/>
        </w:rPr>
        <w:lastRenderedPageBreak/>
        <w:t>« Amaryllis »</w:t>
      </w:r>
    </w:p>
    <w:p w14:paraId="55D99577" w14:textId="77777777" w:rsidR="006B758D" w:rsidRPr="00EA2AB9" w:rsidRDefault="0023308C">
      <w:pPr>
        <w:pStyle w:val="BodyText"/>
        <w:spacing w:before="140"/>
        <w:ind w:left="396"/>
        <w:rPr>
          <w:lang w:val="fr-FR"/>
        </w:rPr>
      </w:pPr>
      <w:r w:rsidRPr="00EA2AB9">
        <w:rPr>
          <w:lang w:val="fr-FR"/>
        </w:rPr>
        <w:t>Hoge Raad, 9.4.2021, Cour d'appel, 29.10.2019, Tribunal de La Haye</w:t>
      </w:r>
      <w:r w:rsidRPr="00EA2AB9">
        <w:rPr>
          <w:spacing w:val="-2"/>
          <w:lang w:val="fr-FR"/>
        </w:rPr>
        <w:t xml:space="preserve"> 6.7.2016</w:t>
      </w:r>
      <w:hyperlink w:anchor="_bookmark130" w:history="1">
        <w:r w:rsidRPr="00EA2AB9">
          <w:rPr>
            <w:spacing w:val="-2"/>
            <w:vertAlign w:val="superscript"/>
            <w:lang w:val="fr-FR"/>
          </w:rPr>
          <w:t>107</w:t>
        </w:r>
      </w:hyperlink>
    </w:p>
    <w:p w14:paraId="1747DE29" w14:textId="77777777" w:rsidR="006B758D" w:rsidRPr="00812CAB" w:rsidRDefault="006B758D">
      <w:pPr>
        <w:pStyle w:val="BodyText"/>
        <w:rPr>
          <w:sz w:val="18"/>
          <w:szCs w:val="18"/>
          <w:lang w:val="fr-FR"/>
        </w:rPr>
      </w:pPr>
    </w:p>
    <w:p w14:paraId="3B227BE6" w14:textId="77777777" w:rsidR="006B758D" w:rsidRPr="00EA2AB9" w:rsidRDefault="0023308C">
      <w:pPr>
        <w:pStyle w:val="BodyText"/>
        <w:spacing w:before="230" w:line="360" w:lineRule="auto"/>
        <w:ind w:left="396" w:right="114" w:firstLine="707"/>
        <w:jc w:val="both"/>
        <w:rPr>
          <w:lang w:val="fr-FR"/>
        </w:rPr>
      </w:pPr>
      <w:r w:rsidRPr="00EA2AB9">
        <w:rPr>
          <w:i/>
          <w:lang w:val="fr-FR"/>
        </w:rPr>
        <w:t xml:space="preserve">Faits </w:t>
      </w:r>
      <w:r w:rsidRPr="00EA2AB9">
        <w:rPr>
          <w:lang w:val="fr-FR"/>
        </w:rPr>
        <w:t>: Le demandeur exerce des activités de culture, de sélection et de conditionnement de bulbes à fleurs, ainsi que de commerce de bulbes à fleurs, de semences et d'articles connexes. Il détient les droits d'obtenteur néerlandais et européens pour les variétés végétales d'Amaryllis L. Le défendeur est un producteur de fleurs. Il a repris une pépinière de bulbes à fleurs qui était exploitée sous le contrôle d'un tiers jusqu'au printemps 2010. Lorsque le défendeur a repris la pépinière, du matériel végétal, notamment des bulbes d'amaryllis des variétés protégées, se trouvait encore sur place. Ces bulbes ont été (en partie) vendus par le défendeur à des consommateurs.</w:t>
      </w:r>
    </w:p>
    <w:p w14:paraId="34F7F874" w14:textId="77777777" w:rsidR="006B758D" w:rsidRPr="00812CAB" w:rsidRDefault="006B758D">
      <w:pPr>
        <w:pStyle w:val="BodyText"/>
        <w:spacing w:before="1"/>
        <w:rPr>
          <w:sz w:val="18"/>
          <w:szCs w:val="18"/>
          <w:lang w:val="fr-FR"/>
        </w:rPr>
      </w:pPr>
    </w:p>
    <w:p w14:paraId="28034213" w14:textId="77777777" w:rsidR="006B758D" w:rsidRPr="00EA2AB9" w:rsidRDefault="0023308C">
      <w:pPr>
        <w:pStyle w:val="BodyText"/>
        <w:spacing w:line="360" w:lineRule="auto"/>
        <w:ind w:left="396" w:right="115" w:firstLine="707"/>
        <w:jc w:val="both"/>
        <w:rPr>
          <w:lang w:val="fr-FR"/>
        </w:rPr>
      </w:pPr>
      <w:r w:rsidRPr="00EA2AB9">
        <w:rPr>
          <w:i/>
          <w:lang w:val="fr-FR"/>
        </w:rPr>
        <w:t xml:space="preserve">Conclusions </w:t>
      </w:r>
      <w:r w:rsidRPr="00EA2AB9">
        <w:rPr>
          <w:lang w:val="fr-FR"/>
        </w:rPr>
        <w:t>: La vente de bulbes à fleurs constitue une violation des droits d'obtenteur du plaignant. Les bulbes à fleurs relèvent de la définition du matériel de reproduction ou de multiplication, car ils sont destinés à la culture de plantes. Le fait que les bulbes soient vendus sur le marché grand public n'est pas pertinent dans ce contexte. Après tout, les consommateurs utiliseront également les bulbes pour faire pousser des fleurs. Les bulbes à fleurs sont des « plantes et parties de plantes destinées à la culture ou à la multiplication végétale ou à cette fin » au sens de l'article 1, point f), de la loi néerlandaise sur les droits d'obtenteur et relèvent de l'article 57, paragraphe 1, de ladite loi. Ils sont également couverts en tant que « parties de plantes dans la mesure où ces parties peuvent produire des plantes complètes » par les articles 5, paragraphe 3, et 13, paragraphe 2, du règlement communautaire sur les obtentions végétales.</w:t>
      </w:r>
    </w:p>
    <w:p w14:paraId="200A94C4" w14:textId="77777777" w:rsidR="006B758D" w:rsidRPr="00812CAB" w:rsidRDefault="006B758D">
      <w:pPr>
        <w:pStyle w:val="BodyText"/>
        <w:rPr>
          <w:sz w:val="18"/>
          <w:szCs w:val="18"/>
          <w:lang w:val="fr-FR"/>
        </w:rPr>
      </w:pPr>
    </w:p>
    <w:p w14:paraId="50F9F014" w14:textId="77777777" w:rsidR="006B758D" w:rsidRPr="00812CAB" w:rsidRDefault="006B758D">
      <w:pPr>
        <w:pStyle w:val="BodyText"/>
        <w:rPr>
          <w:sz w:val="18"/>
          <w:szCs w:val="18"/>
          <w:lang w:val="fr-FR"/>
        </w:rPr>
      </w:pPr>
    </w:p>
    <w:p w14:paraId="1F7C170B" w14:textId="77777777" w:rsidR="006B758D" w:rsidRDefault="0023308C">
      <w:pPr>
        <w:pStyle w:val="Heading1"/>
        <w:numPr>
          <w:ilvl w:val="0"/>
          <w:numId w:val="2"/>
        </w:numPr>
        <w:tabs>
          <w:tab w:val="left" w:pos="783"/>
        </w:tabs>
        <w:spacing w:before="231"/>
        <w:ind w:left="782" w:hanging="387"/>
      </w:pPr>
      <w:bookmarkStart w:id="128" w:name="_bookmark129"/>
      <w:bookmarkEnd w:id="128"/>
      <w:r>
        <w:rPr>
          <w:spacing w:val="-2"/>
        </w:rPr>
        <w:t>« Franklin »</w:t>
      </w:r>
    </w:p>
    <w:p w14:paraId="768CCA6C" w14:textId="77777777" w:rsidR="006B758D" w:rsidRPr="00EA2AB9" w:rsidRDefault="0023308C">
      <w:pPr>
        <w:pStyle w:val="BodyText"/>
        <w:spacing w:before="137" w:line="360" w:lineRule="auto"/>
        <w:ind w:left="396"/>
        <w:rPr>
          <w:lang w:val="fr-FR"/>
        </w:rPr>
      </w:pPr>
      <w:proofErr w:type="spellStart"/>
      <w:r w:rsidRPr="00EA2AB9">
        <w:rPr>
          <w:lang w:val="fr-FR"/>
        </w:rPr>
        <w:t>Cultivaust</w:t>
      </w:r>
      <w:proofErr w:type="spellEnd"/>
      <w:r w:rsidRPr="00EA2AB9">
        <w:rPr>
          <w:lang w:val="fr-FR"/>
        </w:rPr>
        <w:t xml:space="preserve"> </w:t>
      </w:r>
      <w:proofErr w:type="spellStart"/>
      <w:r w:rsidRPr="00EA2AB9">
        <w:rPr>
          <w:lang w:val="fr-FR"/>
        </w:rPr>
        <w:t>Pty</w:t>
      </w:r>
      <w:proofErr w:type="spellEnd"/>
      <w:r w:rsidRPr="00EA2AB9">
        <w:rPr>
          <w:lang w:val="fr-FR"/>
        </w:rPr>
        <w:t xml:space="preserve"> Ltd c. Grain Pool </w:t>
      </w:r>
      <w:proofErr w:type="spellStart"/>
      <w:r w:rsidRPr="00EA2AB9">
        <w:rPr>
          <w:lang w:val="fr-FR"/>
        </w:rPr>
        <w:t>Pty</w:t>
      </w:r>
      <w:proofErr w:type="spellEnd"/>
      <w:r w:rsidRPr="00EA2AB9">
        <w:rPr>
          <w:lang w:val="fr-FR"/>
        </w:rPr>
        <w:t xml:space="preserve"> Ltd : Cour fédérale 21.5.2004 (Mansfield J), Cour fédérale siégeant en formation plénière 28.10.2005 (Finn, Emmett &amp; Bennett JJ)</w:t>
      </w:r>
      <w:hyperlink w:anchor="_bookmark131" w:history="1">
        <w:r w:rsidRPr="00EA2AB9">
          <w:rPr>
            <w:vertAlign w:val="superscript"/>
            <w:lang w:val="fr-FR"/>
          </w:rPr>
          <w:t>108</w:t>
        </w:r>
      </w:hyperlink>
    </w:p>
    <w:p w14:paraId="123E91BD" w14:textId="77777777" w:rsidR="006B758D" w:rsidRPr="00812CAB" w:rsidRDefault="006B758D">
      <w:pPr>
        <w:pStyle w:val="BodyText"/>
        <w:spacing w:before="1"/>
        <w:rPr>
          <w:sz w:val="18"/>
          <w:szCs w:val="18"/>
          <w:lang w:val="fr-FR"/>
        </w:rPr>
      </w:pPr>
    </w:p>
    <w:p w14:paraId="2DCD3D7E" w14:textId="2AF3D63B" w:rsidR="006B758D" w:rsidRPr="00812CAB" w:rsidRDefault="0023308C" w:rsidP="00812CAB">
      <w:pPr>
        <w:pStyle w:val="BodyText"/>
        <w:spacing w:line="276" w:lineRule="auto"/>
        <w:ind w:left="396" w:right="115" w:firstLine="707"/>
        <w:jc w:val="both"/>
        <w:rPr>
          <w:sz w:val="18"/>
          <w:szCs w:val="18"/>
          <w:lang w:val="fr-FR"/>
        </w:rPr>
      </w:pPr>
      <w:r w:rsidRPr="00EA2AB9">
        <w:rPr>
          <w:i/>
          <w:lang w:val="fr-FR"/>
        </w:rPr>
        <w:t xml:space="preserve">Faits </w:t>
      </w:r>
      <w:r w:rsidRPr="00EA2AB9">
        <w:rPr>
          <w:lang w:val="fr-FR"/>
        </w:rPr>
        <w:t>: Le plaignant (</w:t>
      </w:r>
      <w:proofErr w:type="spellStart"/>
      <w:r w:rsidRPr="00EA2AB9">
        <w:rPr>
          <w:lang w:val="fr-FR"/>
        </w:rPr>
        <w:t>Cultivaust</w:t>
      </w:r>
      <w:proofErr w:type="spellEnd"/>
      <w:r w:rsidRPr="00EA2AB9">
        <w:rPr>
          <w:lang w:val="fr-FR"/>
        </w:rPr>
        <w:t xml:space="preserve"> </w:t>
      </w:r>
      <w:proofErr w:type="spellStart"/>
      <w:r w:rsidRPr="00EA2AB9">
        <w:rPr>
          <w:lang w:val="fr-FR"/>
        </w:rPr>
        <w:t>Pty</w:t>
      </w:r>
      <w:proofErr w:type="spellEnd"/>
      <w:r w:rsidRPr="00EA2AB9">
        <w:rPr>
          <w:lang w:val="fr-FR"/>
        </w:rPr>
        <w:t xml:space="preserve"> Ltd) était titulaire d'un droit d'obtenteur (PBR) en Australie pour la variété d'orge « Franklin » en vertu de </w:t>
      </w:r>
      <w:r w:rsidRPr="00EA2AB9">
        <w:rPr>
          <w:i/>
          <w:lang w:val="fr-FR"/>
        </w:rPr>
        <w:t xml:space="preserve">la loi de 1994 sur les droits d'obtenteur (Plant </w:t>
      </w:r>
      <w:proofErr w:type="spellStart"/>
      <w:r w:rsidRPr="00EA2AB9">
        <w:rPr>
          <w:i/>
          <w:lang w:val="fr-FR"/>
        </w:rPr>
        <w:t>Breeder's</w:t>
      </w:r>
      <w:proofErr w:type="spellEnd"/>
      <w:r w:rsidRPr="00EA2AB9">
        <w:rPr>
          <w:i/>
          <w:lang w:val="fr-FR"/>
        </w:rPr>
        <w:t xml:space="preserve"> </w:t>
      </w:r>
      <w:proofErr w:type="spellStart"/>
      <w:r w:rsidRPr="00EA2AB9">
        <w:rPr>
          <w:i/>
          <w:lang w:val="fr-FR"/>
        </w:rPr>
        <w:t>Rights</w:t>
      </w:r>
      <w:proofErr w:type="spellEnd"/>
      <w:r w:rsidRPr="00EA2AB9">
        <w:rPr>
          <w:i/>
          <w:lang w:val="fr-FR"/>
        </w:rPr>
        <w:t xml:space="preserve"> </w:t>
      </w:r>
      <w:proofErr w:type="spellStart"/>
      <w:r w:rsidRPr="00EA2AB9">
        <w:rPr>
          <w:i/>
          <w:lang w:val="fr-FR"/>
        </w:rPr>
        <w:t>Act</w:t>
      </w:r>
      <w:proofErr w:type="spellEnd"/>
      <w:r w:rsidRPr="00EA2AB9">
        <w:rPr>
          <w:i/>
          <w:lang w:val="fr-FR"/>
        </w:rPr>
        <w:t xml:space="preserve"> 1994</w:t>
      </w:r>
      <w:r w:rsidRPr="00EA2AB9">
        <w:rPr>
          <w:lang w:val="fr-FR"/>
        </w:rPr>
        <w:t xml:space="preserve">) et initialement accordé en vertu de </w:t>
      </w:r>
      <w:r w:rsidRPr="00EA2AB9">
        <w:rPr>
          <w:i/>
          <w:lang w:val="fr-FR"/>
        </w:rPr>
        <w:t>la loi de 1987</w:t>
      </w:r>
      <w:r w:rsidRPr="00EA2AB9">
        <w:rPr>
          <w:i/>
          <w:spacing w:val="-12"/>
          <w:lang w:val="fr-FR"/>
        </w:rPr>
        <w:t xml:space="preserve"> sur</w:t>
      </w:r>
      <w:r w:rsidRPr="00EA2AB9">
        <w:rPr>
          <w:i/>
          <w:lang w:val="fr-FR"/>
        </w:rPr>
        <w:t xml:space="preserve"> les droits d'obtenteur (Plant </w:t>
      </w:r>
      <w:proofErr w:type="spellStart"/>
      <w:r w:rsidRPr="00EA2AB9">
        <w:rPr>
          <w:i/>
          <w:lang w:val="fr-FR"/>
        </w:rPr>
        <w:t>Variety</w:t>
      </w:r>
      <w:proofErr w:type="spellEnd"/>
      <w:r w:rsidRPr="00EA2AB9">
        <w:rPr>
          <w:i/>
          <w:lang w:val="fr-FR"/>
        </w:rPr>
        <w:t xml:space="preserve"> </w:t>
      </w:r>
      <w:proofErr w:type="spellStart"/>
      <w:r w:rsidRPr="00EA2AB9">
        <w:rPr>
          <w:i/>
          <w:lang w:val="fr-FR"/>
        </w:rPr>
        <w:t>Rights</w:t>
      </w:r>
      <w:proofErr w:type="spellEnd"/>
      <w:r w:rsidRPr="00EA2AB9">
        <w:rPr>
          <w:i/>
          <w:lang w:val="fr-FR"/>
        </w:rPr>
        <w:t xml:space="preserve"> </w:t>
      </w:r>
      <w:proofErr w:type="spellStart"/>
      <w:r w:rsidRPr="00EA2AB9">
        <w:rPr>
          <w:i/>
          <w:lang w:val="fr-FR"/>
        </w:rPr>
        <w:t>Act</w:t>
      </w:r>
      <w:proofErr w:type="spellEnd"/>
      <w:r w:rsidRPr="00EA2AB9">
        <w:rPr>
          <w:i/>
          <w:lang w:val="fr-FR"/>
        </w:rPr>
        <w:t xml:space="preserve"> 1987)</w:t>
      </w:r>
      <w:r w:rsidRPr="00EA2AB9">
        <w:rPr>
          <w:lang w:val="fr-FR"/>
        </w:rPr>
        <w:t xml:space="preserve">. À l'époque, un pool de commercialisation obligatoire de l'orge pour cette variété était géré par une société publique (Grain Pool </w:t>
      </w:r>
      <w:proofErr w:type="spellStart"/>
      <w:r w:rsidRPr="00EA2AB9">
        <w:rPr>
          <w:lang w:val="fr-FR"/>
        </w:rPr>
        <w:t>Pty</w:t>
      </w:r>
      <w:proofErr w:type="spellEnd"/>
      <w:r w:rsidRPr="00EA2AB9">
        <w:rPr>
          <w:lang w:val="fr-FR"/>
        </w:rPr>
        <w:t xml:space="preserve"> </w:t>
      </w:r>
      <w:r w:rsidRPr="00EA2AB9">
        <w:rPr>
          <w:spacing w:val="-4"/>
          <w:lang w:val="fr-FR"/>
        </w:rPr>
        <w:t>Ltd)</w:t>
      </w:r>
    </w:p>
    <w:p w14:paraId="35BCC8D1" w14:textId="64432223" w:rsidR="006B758D" w:rsidRPr="00812CAB" w:rsidRDefault="005C7D52">
      <w:pPr>
        <w:pStyle w:val="BodyText"/>
        <w:spacing w:before="8"/>
        <w:rPr>
          <w:sz w:val="18"/>
          <w:szCs w:val="18"/>
          <w:lang w:val="fr-FR"/>
        </w:rPr>
      </w:pPr>
      <w:r w:rsidRPr="00812CAB">
        <w:rPr>
          <w:noProof/>
          <w:sz w:val="18"/>
          <w:szCs w:val="18"/>
        </w:rPr>
        <mc:AlternateContent>
          <mc:Choice Requires="wps">
            <w:drawing>
              <wp:anchor distT="0" distB="0" distL="0" distR="0" simplePos="0" relativeHeight="487603712" behindDoc="1" locked="0" layoutInCell="1" allowOverlap="1" wp14:anchorId="4A947B58" wp14:editId="7392824E">
                <wp:simplePos x="0" y="0"/>
                <wp:positionH relativeFrom="page">
                  <wp:posOffset>899160</wp:posOffset>
                </wp:positionH>
                <wp:positionV relativeFrom="paragraph">
                  <wp:posOffset>173990</wp:posOffset>
                </wp:positionV>
                <wp:extent cx="1828800" cy="7620"/>
                <wp:effectExtent l="0" t="0" r="0" b="0"/>
                <wp:wrapTopAndBottom/>
                <wp:docPr id="1895123361"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36" style="position:absolute;margin-left:70.8pt;margin-top:13.7pt;width:2in;height:.6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" w14:anchorId="244F5D56">
                <w10:wrap type="topAndBottom" anchorx="page"/>
              </v:rect>
            </w:pict>
          </mc:Fallback>
        </mc:AlternateContent>
      </w:r>
    </w:p>
    <w:p w14:paraId="2670BCB0" w14:textId="77777777" w:rsidR="006B758D" w:rsidRPr="00EA2AB9" w:rsidRDefault="0023308C">
      <w:pPr>
        <w:spacing w:before="103"/>
        <w:ind w:left="396"/>
        <w:rPr>
          <w:sz w:val="20"/>
          <w:lang w:val="fr-FR"/>
        </w:rPr>
      </w:pPr>
      <w:bookmarkStart w:id="129" w:name="_bookmark130"/>
      <w:bookmarkEnd w:id="129"/>
      <w:proofErr w:type="gramStart"/>
      <w:r w:rsidRPr="00EA2AB9">
        <w:rPr>
          <w:sz w:val="20"/>
          <w:vertAlign w:val="superscript"/>
          <w:lang w:val="fr-FR"/>
        </w:rPr>
        <w:t>107</w:t>
      </w:r>
      <w:r w:rsidRPr="00EA2AB9">
        <w:rPr>
          <w:sz w:val="20"/>
          <w:lang w:val="fr-FR"/>
        </w:rPr>
        <w:t xml:space="preserve">  Texte</w:t>
      </w:r>
      <w:proofErr w:type="gramEnd"/>
      <w:r w:rsidRPr="00EA2AB9">
        <w:rPr>
          <w:sz w:val="20"/>
          <w:lang w:val="fr-FR"/>
        </w:rPr>
        <w:t xml:space="preserve"> intégral en néerlandais disponible à l'adresse</w:t>
      </w:r>
      <w:hyperlink r:id="rId17">
        <w:r w:rsidRPr="00EA2AB9">
          <w:rPr>
            <w:color w:val="0462C1"/>
            <w:spacing w:val="-2"/>
            <w:sz w:val="20"/>
            <w:u w:val="single" w:color="0462C1"/>
            <w:lang w:val="fr-FR"/>
          </w:rPr>
          <w:t xml:space="preserve"> https://cpvoextranet.cpvo.europa.eu/PVRCaseLaw</w:t>
        </w:r>
        <w:r w:rsidRPr="00EA2AB9">
          <w:rPr>
            <w:spacing w:val="-2"/>
            <w:sz w:val="20"/>
            <w:lang w:val="fr-FR"/>
          </w:rPr>
          <w:t>.</w:t>
        </w:r>
      </w:hyperlink>
    </w:p>
    <w:p w14:paraId="4E037FB5" w14:textId="77777777" w:rsidR="006B758D" w:rsidRPr="00EA2AB9" w:rsidRDefault="0023308C" w:rsidP="00812CAB">
      <w:pPr>
        <w:ind w:left="396" w:right="1696"/>
        <w:rPr>
          <w:sz w:val="20"/>
          <w:lang w:val="fr-FR"/>
        </w:rPr>
      </w:pPr>
      <w:bookmarkStart w:id="130" w:name="_bookmark131"/>
      <w:bookmarkEnd w:id="130"/>
      <w:r w:rsidRPr="00EA2AB9">
        <w:rPr>
          <w:sz w:val="20"/>
          <w:vertAlign w:val="superscript"/>
          <w:lang w:val="fr-FR"/>
        </w:rPr>
        <w:t>108</w:t>
      </w:r>
      <w:r w:rsidRPr="00EA2AB9">
        <w:rPr>
          <w:sz w:val="20"/>
          <w:lang w:val="fr-FR"/>
        </w:rPr>
        <w:t xml:space="preserve">  Texte intégral de la Cour fédérale disponible à l'adresse</w:t>
      </w:r>
      <w:hyperlink r:id="rId18">
        <w:r w:rsidRPr="00EA2AB9">
          <w:rPr>
            <w:color w:val="0462C1"/>
            <w:spacing w:val="-2"/>
            <w:sz w:val="20"/>
            <w:u w:val="single" w:color="0462C1"/>
            <w:lang w:val="fr-FR"/>
          </w:rPr>
          <w:t xml:space="preserve"> https://www.judgments.fedcourt.gov.au/judgments/Judgments/fca/single/2004/2004fca0638</w:t>
        </w:r>
        <w:r w:rsidRPr="00EA2AB9">
          <w:rPr>
            <w:spacing w:val="-2"/>
            <w:sz w:val="20"/>
            <w:lang w:val="fr-FR"/>
          </w:rPr>
          <w:t>.</w:t>
        </w:r>
      </w:hyperlink>
      <w:r w:rsidRPr="00EA2AB9">
        <w:rPr>
          <w:spacing w:val="-2"/>
          <w:sz w:val="20"/>
          <w:lang w:val="fr-FR"/>
        </w:rPr>
        <w:t xml:space="preserve"> </w:t>
      </w:r>
      <w:r w:rsidRPr="00EA2AB9">
        <w:rPr>
          <w:sz w:val="20"/>
          <w:lang w:val="fr-FR"/>
        </w:rPr>
        <w:t>Texte intégral de la Cour fédérale disponible à l'adresse</w:t>
      </w:r>
      <w:hyperlink r:id="rId19">
        <w:r w:rsidRPr="00EA2AB9">
          <w:rPr>
            <w:color w:val="0462C1"/>
            <w:spacing w:val="-2"/>
            <w:sz w:val="20"/>
            <w:u w:val="single" w:color="0462C1"/>
            <w:lang w:val="fr-FR"/>
          </w:rPr>
          <w:t xml:space="preserve"> https://www.judgments.fedcourt.gov.au/judgments/Judgments/fca/full/2005/2005fcafc022</w:t>
        </w:r>
        <w:r w:rsidRPr="00EA2AB9">
          <w:rPr>
            <w:spacing w:val="-2"/>
            <w:sz w:val="20"/>
            <w:lang w:val="fr-FR"/>
          </w:rPr>
          <w:t>.</w:t>
        </w:r>
      </w:hyperlink>
    </w:p>
    <w:p w14:paraId="77471F70" w14:textId="77777777" w:rsidR="006B758D" w:rsidRPr="00EA2AB9" w:rsidRDefault="006B758D">
      <w:pPr>
        <w:rPr>
          <w:sz w:val="20"/>
          <w:lang w:val="fr-FR"/>
        </w:rPr>
        <w:sectPr w:rsidR="006B758D" w:rsidRPr="00EA2AB9">
          <w:pgSz w:w="11910" w:h="16840"/>
          <w:pgMar w:top="1320" w:right="1300" w:bottom="1240" w:left="1020" w:header="0" w:footer="1049" w:gutter="0"/>
          <w:cols w:space="720"/>
        </w:sectPr>
      </w:pPr>
    </w:p>
    <w:p w14:paraId="7E8DFFF9" w14:textId="77777777" w:rsidR="006B758D" w:rsidRPr="00EA2AB9" w:rsidRDefault="0023308C">
      <w:pPr>
        <w:pStyle w:val="BodyText"/>
        <w:spacing w:before="76" w:line="362" w:lineRule="auto"/>
        <w:ind w:left="396"/>
        <w:rPr>
          <w:lang w:val="fr-FR"/>
        </w:rPr>
      </w:pPr>
      <w:proofErr w:type="gramStart"/>
      <w:r w:rsidRPr="00EA2AB9">
        <w:rPr>
          <w:lang w:val="fr-FR"/>
        </w:rPr>
        <w:lastRenderedPageBreak/>
        <w:t>où</w:t>
      </w:r>
      <w:proofErr w:type="gramEnd"/>
      <w:r w:rsidRPr="00EA2AB9">
        <w:rPr>
          <w:lang w:val="fr-FR"/>
        </w:rPr>
        <w:t xml:space="preserve"> les agriculteurs d'Australie occidentale étaient tenus de livrer leur récolte d'orge à Grain Pool, qui se chargeait ensuite de la commercialiser et de la vendre.</w:t>
      </w:r>
    </w:p>
    <w:p w14:paraId="28A1F011" w14:textId="77777777" w:rsidR="006B758D" w:rsidRPr="00EA2AB9" w:rsidRDefault="006B758D">
      <w:pPr>
        <w:pStyle w:val="BodyText"/>
        <w:spacing w:before="8"/>
        <w:rPr>
          <w:sz w:val="35"/>
          <w:lang w:val="fr-FR"/>
        </w:rPr>
      </w:pPr>
    </w:p>
    <w:p w14:paraId="67837259" w14:textId="77777777" w:rsidR="006B758D" w:rsidRPr="00EA2AB9" w:rsidRDefault="0023308C">
      <w:pPr>
        <w:pStyle w:val="BodyText"/>
        <w:spacing w:line="360" w:lineRule="auto"/>
        <w:ind w:left="396" w:right="111" w:firstLine="707"/>
        <w:jc w:val="both"/>
        <w:rPr>
          <w:lang w:val="fr-FR"/>
        </w:rPr>
      </w:pPr>
      <w:r w:rsidRPr="00EA2AB9">
        <w:rPr>
          <w:lang w:val="fr-FR"/>
        </w:rPr>
        <w:t xml:space="preserve">Les agriculteurs étaient ensuite payés pour le grain qu'ils avaient livré à Grain Pool. Ainsi, Grain Pool contrôlait la vente et la distribution de l'orge produite en Australie occidentale. </w:t>
      </w:r>
      <w:proofErr w:type="spellStart"/>
      <w:r w:rsidRPr="00EA2AB9">
        <w:rPr>
          <w:lang w:val="fr-FR"/>
        </w:rPr>
        <w:t>Cultivaust</w:t>
      </w:r>
      <w:proofErr w:type="spellEnd"/>
      <w:r w:rsidRPr="00EA2AB9">
        <w:rPr>
          <w:lang w:val="fr-FR"/>
        </w:rPr>
        <w:t xml:space="preserve"> a affirmé que Grain Pool avait enfreint ses droits d'obtenteur en stockant le grain « Franklin » dans le but de le mettre en vente, de le vendre ou de l'exporter. </w:t>
      </w:r>
      <w:proofErr w:type="spellStart"/>
      <w:r w:rsidRPr="00EA2AB9">
        <w:rPr>
          <w:lang w:val="fr-FR"/>
        </w:rPr>
        <w:t>Cultivaust</w:t>
      </w:r>
      <w:proofErr w:type="spellEnd"/>
      <w:r w:rsidRPr="00EA2AB9">
        <w:rPr>
          <w:lang w:val="fr-FR"/>
        </w:rPr>
        <w:t xml:space="preserve"> a attribué et distribué de diverses manières l'orge protégée aux agriculteurs pour qu'ils la cultivent, sans leur imposer de redevance, dans l'espoir de percevoir sa redevance lorsque le grain récolté serait livré à Grain Pool (une redevance finale). Les agriculteurs ont également conservé des semences au fil des saisons, fournissant la récolte de ces semences conservées les années suivantes. Les grains livrés à Grain Pool ont été vendus à des malteurs et à des éleveurs (expressément à des fins autres que la reproduction).</w:t>
      </w:r>
    </w:p>
    <w:p w14:paraId="38C6A6AF" w14:textId="77777777" w:rsidR="006B758D" w:rsidRPr="00EA2AB9" w:rsidRDefault="006B758D">
      <w:pPr>
        <w:pStyle w:val="BodyText"/>
        <w:spacing w:before="1"/>
        <w:rPr>
          <w:sz w:val="36"/>
          <w:lang w:val="fr-FR"/>
        </w:rPr>
      </w:pPr>
    </w:p>
    <w:p w14:paraId="37F5660F" w14:textId="77777777" w:rsidR="006B758D" w:rsidRPr="00EA2AB9" w:rsidRDefault="0023308C">
      <w:pPr>
        <w:pStyle w:val="BodyText"/>
        <w:spacing w:line="360" w:lineRule="auto"/>
        <w:ind w:left="396" w:right="121" w:firstLine="707"/>
        <w:jc w:val="both"/>
        <w:rPr>
          <w:lang w:val="fr-FR"/>
        </w:rPr>
      </w:pPr>
      <w:r w:rsidRPr="00EA2AB9">
        <w:rPr>
          <w:i/>
          <w:lang w:val="fr-FR"/>
        </w:rPr>
        <w:t xml:space="preserve">Conclusions </w:t>
      </w:r>
      <w:r w:rsidRPr="00EA2AB9">
        <w:rPr>
          <w:lang w:val="fr-FR"/>
        </w:rPr>
        <w:t>: En concluant à l'absence de contrefaçon, le tribunal a estimé que le « matériel de reproduction ou de multiplication » était un matériel végétal capable de se reproduire pour générer plusieurs plantes individuelles également capables de se reproduire, et que le « produit de la récolte » était la deuxième génération et les générations suivantes de la culture (G2 et G2+).</w:t>
      </w:r>
    </w:p>
    <w:p w14:paraId="5C592929" w14:textId="77777777" w:rsidR="006B758D" w:rsidRPr="00EA2AB9" w:rsidRDefault="006B758D">
      <w:pPr>
        <w:pStyle w:val="BodyText"/>
        <w:spacing w:before="11"/>
        <w:rPr>
          <w:sz w:val="35"/>
          <w:lang w:val="fr-FR"/>
        </w:rPr>
      </w:pPr>
    </w:p>
    <w:p w14:paraId="638CF052" w14:textId="77777777" w:rsidR="006B758D" w:rsidRPr="00EA2AB9" w:rsidRDefault="0023308C">
      <w:pPr>
        <w:pStyle w:val="BodyText"/>
        <w:spacing w:line="360" w:lineRule="auto"/>
        <w:ind w:left="396" w:right="116" w:firstLine="707"/>
        <w:jc w:val="both"/>
        <w:rPr>
          <w:lang w:val="fr-FR"/>
        </w:rPr>
      </w:pPr>
      <w:r w:rsidRPr="00EA2AB9">
        <w:rPr>
          <w:lang w:val="fr-FR"/>
        </w:rPr>
        <w:t xml:space="preserve">À l'époque, en Australie, il existait une licence implicite pour stocker et vendre la première génération de semences (G1). Ainsi, les céréales G2 et G2+ livrées à Grain Pool étaient considérées comme un produit de la récolte. Pour que le « produit de la récolte » constitue une contrefaçon, il fallait que les deux conditions suivantes soient réunies : (1) production ou reproduction sans autorisation ; et (2) absence d'opportunité raisonnable d'exercer le droit d'obtenteur sur le « matériel de reproduction ou de multiplication » (au stade G0 ou G1). En fait, le tribunal a estimé que </w:t>
      </w:r>
      <w:proofErr w:type="spellStart"/>
      <w:r w:rsidRPr="00EA2AB9">
        <w:rPr>
          <w:lang w:val="fr-FR"/>
        </w:rPr>
        <w:t>Cultivaust</w:t>
      </w:r>
      <w:proofErr w:type="spellEnd"/>
      <w:r w:rsidRPr="00EA2AB9">
        <w:rPr>
          <w:lang w:val="fr-FR"/>
        </w:rPr>
        <w:t xml:space="preserve"> aurait pu imposer une redevance aux agriculteurs au moment de la première allocation et distribution. Comme ils ne l'avaient pas fait parce qu'ils voulaient imposer une redevance finale, mais qu'ils auraient pu le faire – ce qui constituait une opportunité raisonnable –, Grain Pool n'avait pas commis d'infraction en stockant les céréales « produits de la récolte ».</w:t>
      </w:r>
    </w:p>
    <w:p w14:paraId="30EC5F3E" w14:textId="77777777" w:rsidR="006B758D" w:rsidRPr="00EA2AB9" w:rsidRDefault="006B758D">
      <w:pPr>
        <w:pStyle w:val="BodyText"/>
        <w:rPr>
          <w:sz w:val="26"/>
          <w:lang w:val="fr-FR"/>
        </w:rPr>
      </w:pPr>
    </w:p>
    <w:p w14:paraId="770EA51D" w14:textId="09C7C9CD" w:rsidR="00812CAB" w:rsidRDefault="00812CAB">
      <w:pPr>
        <w:rPr>
          <w:sz w:val="26"/>
          <w:szCs w:val="24"/>
          <w:lang w:val="fr-FR"/>
        </w:rPr>
      </w:pPr>
      <w:r>
        <w:rPr>
          <w:sz w:val="26"/>
          <w:lang w:val="fr-FR"/>
        </w:rPr>
        <w:br w:type="page"/>
      </w:r>
    </w:p>
    <w:p w14:paraId="07E13057" w14:textId="77777777" w:rsidR="006B758D" w:rsidRDefault="0023308C">
      <w:pPr>
        <w:pStyle w:val="Heading1"/>
        <w:numPr>
          <w:ilvl w:val="0"/>
          <w:numId w:val="2"/>
        </w:numPr>
        <w:tabs>
          <w:tab w:val="left" w:pos="877"/>
        </w:tabs>
        <w:spacing w:before="231"/>
        <w:ind w:left="876" w:hanging="481"/>
      </w:pPr>
      <w:bookmarkStart w:id="131" w:name="_bookmark132"/>
      <w:bookmarkEnd w:id="131"/>
      <w:r>
        <w:rPr>
          <w:spacing w:val="-2"/>
        </w:rPr>
        <w:lastRenderedPageBreak/>
        <w:t>« Shitake »</w:t>
      </w:r>
    </w:p>
    <w:p w14:paraId="6508352C" w14:textId="77777777" w:rsidR="006B758D" w:rsidRPr="00EA2AB9" w:rsidRDefault="0023308C">
      <w:pPr>
        <w:pStyle w:val="BodyText"/>
        <w:spacing w:before="137" w:line="360" w:lineRule="auto"/>
        <w:ind w:left="396"/>
        <w:rPr>
          <w:lang w:val="fr-FR"/>
        </w:rPr>
      </w:pPr>
      <w:r w:rsidRPr="00EA2AB9">
        <w:rPr>
          <w:lang w:val="fr-FR"/>
        </w:rPr>
        <w:t>Affaire Shiitake – Haute Cour de propriété intellectuelle du Japon, jugement du 6 mars 2019 ; Tribunal de district de Tokyo, jugement du 8 juin 2018</w:t>
      </w:r>
    </w:p>
    <w:p w14:paraId="06ECC256" w14:textId="77777777" w:rsidR="006B758D" w:rsidRPr="00EA2AB9" w:rsidRDefault="006B758D">
      <w:pPr>
        <w:pStyle w:val="BodyText"/>
        <w:spacing w:before="1"/>
        <w:rPr>
          <w:sz w:val="36"/>
          <w:lang w:val="fr-FR"/>
        </w:rPr>
      </w:pPr>
    </w:p>
    <w:p w14:paraId="3B0F5AE9" w14:textId="5F8713AF" w:rsidR="006B758D" w:rsidRPr="00EA2AB9" w:rsidRDefault="0023308C" w:rsidP="00812CAB">
      <w:pPr>
        <w:pStyle w:val="BodyText"/>
        <w:spacing w:line="276" w:lineRule="auto"/>
        <w:ind w:left="426" w:right="119" w:firstLine="708"/>
        <w:jc w:val="both"/>
        <w:rPr>
          <w:lang w:val="fr-FR"/>
        </w:rPr>
      </w:pPr>
      <w:r w:rsidRPr="00EA2AB9">
        <w:rPr>
          <w:i/>
          <w:lang w:val="fr-FR"/>
        </w:rPr>
        <w:t xml:space="preserve">Faits : </w:t>
      </w:r>
      <w:r w:rsidRPr="00EA2AB9">
        <w:rPr>
          <w:lang w:val="fr-FR"/>
        </w:rPr>
        <w:t xml:space="preserve">Le plaignant, Mori Sangyo Co., Ltd., détenait le droit d'obtenteur pour le </w:t>
      </w:r>
      <w:r w:rsidRPr="00812CAB">
        <w:rPr>
          <w:lang w:val="fr-FR"/>
        </w:rPr>
        <w:t>shiitake</w:t>
      </w:r>
      <w:r w:rsidR="00812CAB" w:rsidRPr="00812CAB">
        <w:rPr>
          <w:lang w:val="fr-FR"/>
        </w:rPr>
        <w:t xml:space="preserve"> </w:t>
      </w:r>
      <w:r w:rsidRPr="00EA2AB9">
        <w:rPr>
          <w:lang w:val="fr-FR"/>
        </w:rPr>
        <w:t>variété JMS5K-16, une souche initialement développée par Meiji Seika et enregistrée au Japon en</w:t>
      </w:r>
      <w:r w:rsidRPr="00812CAB">
        <w:rPr>
          <w:lang w:val="fr-FR"/>
        </w:rPr>
        <w:t xml:space="preserve"> 1999.</w:t>
      </w:r>
    </w:p>
    <w:p w14:paraId="6B735757" w14:textId="77777777" w:rsidR="006B758D" w:rsidRPr="00EA2AB9" w:rsidRDefault="0023308C">
      <w:pPr>
        <w:pStyle w:val="BodyText"/>
        <w:spacing w:before="76" w:line="360" w:lineRule="auto"/>
        <w:ind w:left="396" w:right="113"/>
        <w:jc w:val="both"/>
        <w:rPr>
          <w:lang w:val="fr-FR"/>
        </w:rPr>
      </w:pPr>
      <w:r w:rsidRPr="00EA2AB9">
        <w:rPr>
          <w:lang w:val="fr-FR"/>
        </w:rPr>
        <w:t xml:space="preserve">La défenderesse, </w:t>
      </w:r>
      <w:proofErr w:type="spellStart"/>
      <w:r w:rsidRPr="00EA2AB9">
        <w:rPr>
          <w:lang w:val="fr-FR"/>
        </w:rPr>
        <w:t>Kawazuru</w:t>
      </w:r>
      <w:proofErr w:type="spellEnd"/>
      <w:r w:rsidRPr="00EA2AB9">
        <w:rPr>
          <w:lang w:val="fr-FR"/>
        </w:rPr>
        <w:t xml:space="preserve"> Co., Ltd., ainsi que ses sociétés affiliées, se livraient à l'importation et à la vente de champignons shiitake prétendument issus d'une propagation non autorisée de cette variété. Le processus de culture en cause impliquait des lits de champignons importés de Chine, fournis par l'intermédiaire d'une société japonaise, </w:t>
      </w:r>
      <w:proofErr w:type="spellStart"/>
      <w:r w:rsidRPr="00EA2AB9">
        <w:rPr>
          <w:lang w:val="fr-FR"/>
        </w:rPr>
        <w:t>Suzutomi</w:t>
      </w:r>
      <w:proofErr w:type="spellEnd"/>
      <w:r w:rsidRPr="00EA2AB9">
        <w:rPr>
          <w:lang w:val="fr-FR"/>
        </w:rPr>
        <w:t xml:space="preserve"> Co., Ltd. Les lits étaient étiquetés comme étant des variétés « L-808 » et « Xiao Ji SD-1 ». Cependant, le plaignant a présenté des preuves, notamment des analyses ADN et des comptes rendus d'experts, suggérant que ces lits contenaient en fait la variété JMS5K-16 et que les champignons récoltés au Japon et vendus par le défendeur étaient matériellement identiques à la variété protégée.</w:t>
      </w:r>
    </w:p>
    <w:p w14:paraId="42EA8FFA" w14:textId="77777777" w:rsidR="006B758D" w:rsidRPr="00EA2AB9" w:rsidRDefault="006B758D">
      <w:pPr>
        <w:pStyle w:val="BodyText"/>
        <w:spacing w:before="3"/>
        <w:rPr>
          <w:sz w:val="36"/>
          <w:lang w:val="fr-FR"/>
        </w:rPr>
      </w:pPr>
    </w:p>
    <w:p w14:paraId="3BA24EE6" w14:textId="77777777" w:rsidR="006B758D" w:rsidRPr="00EA2AB9" w:rsidRDefault="0023308C">
      <w:pPr>
        <w:pStyle w:val="BodyText"/>
        <w:spacing w:line="360" w:lineRule="auto"/>
        <w:ind w:left="396" w:right="114" w:firstLine="707"/>
        <w:jc w:val="both"/>
        <w:rPr>
          <w:lang w:val="fr-FR"/>
        </w:rPr>
      </w:pPr>
      <w:r w:rsidRPr="00EA2AB9">
        <w:rPr>
          <w:lang w:val="fr-FR"/>
        </w:rPr>
        <w:t>Le plaignant ne bénéficiait d'aucune protection pour la variété JMS5K-16 en Chine et ne pouvait donc pas faire valoir ses droits au stade de la reproduction du matériel. Sur cette base, il a invoqué la clause en cascade prévue à l'article 2(5)(ii) de la loi sur les semences et les plants pour faire valoir ses droits en matière de contrefaçon sur le produit de la récolte vendu au Japon.</w:t>
      </w:r>
    </w:p>
    <w:p w14:paraId="5CB9A8AB" w14:textId="77777777" w:rsidR="006B758D" w:rsidRPr="00EA2AB9" w:rsidRDefault="006B758D">
      <w:pPr>
        <w:pStyle w:val="BodyText"/>
        <w:spacing w:before="10"/>
        <w:rPr>
          <w:sz w:val="35"/>
          <w:lang w:val="fr-FR"/>
        </w:rPr>
      </w:pPr>
    </w:p>
    <w:p w14:paraId="59887D2A" w14:textId="77777777" w:rsidR="006B758D" w:rsidRPr="00EA2AB9" w:rsidRDefault="0023308C">
      <w:pPr>
        <w:pStyle w:val="BodyText"/>
        <w:spacing w:line="360" w:lineRule="auto"/>
        <w:ind w:left="396" w:right="117" w:firstLine="707"/>
        <w:jc w:val="both"/>
        <w:rPr>
          <w:lang w:val="fr-FR"/>
        </w:rPr>
      </w:pPr>
      <w:r w:rsidRPr="00EA2AB9">
        <w:rPr>
          <w:i/>
          <w:lang w:val="fr-FR"/>
        </w:rPr>
        <w:t xml:space="preserve">Conclusions : </w:t>
      </w:r>
      <w:r w:rsidRPr="00EA2AB9">
        <w:rPr>
          <w:lang w:val="fr-FR"/>
        </w:rPr>
        <w:t>Le tribunal de district a partiellement donné raison au plaignant. Il a reconnu la contrefaçon sur la base de la similitude morphologique et génétique entre les champignons contrefaits et la variété enregistrée. Le tribunal a accordé des dommages-intérêts, ordonné la cessation des ventes et exigé la destruction des stocks contrefaits. Il a rejeté les plaintes contre l'une des sociétés affiliées, estimant que les preuves de son implication étaient insuffisantes. Les défendeurs ont fait valoir que les caractéristiques du JMS5K-16 dans le cadre de la culture sur lit de champignons n'étaient pas accessibles au public et n'étaient donc pas protégées par la loi.</w:t>
      </w:r>
      <w:r w:rsidRPr="00EA2AB9">
        <w:rPr>
          <w:spacing w:val="-9"/>
          <w:lang w:val="fr-FR"/>
        </w:rPr>
        <w:t xml:space="preserve"> </w:t>
      </w:r>
      <w:r w:rsidRPr="00EA2AB9">
        <w:rPr>
          <w:lang w:val="fr-FR"/>
        </w:rPr>
        <w:t xml:space="preserve">Le tribunal a rejeté cet argument, estimant que les documents d'enregistrement indiquaient clairement que la variété JMS5K-16 était adaptée à la culture sur bois brut et sur lit de champignons. Les défendeurs ont interjeté appel et le plaignant a formé un appel incident partiel. La Haute Cour de propriété intellectuelle a confirmé les conclusions principales du tribunal de première instance, augmenté le montant des dommages-intérêts et </w:t>
      </w:r>
      <w:r w:rsidRPr="00EA2AB9">
        <w:rPr>
          <w:lang w:val="fr-FR"/>
        </w:rPr>
        <w:lastRenderedPageBreak/>
        <w:t>fourni une analyse plus approfondie de la clause en cascade et de l</w:t>
      </w:r>
      <w:proofErr w:type="gramStart"/>
      <w:r w:rsidRPr="00EA2AB9">
        <w:rPr>
          <w:lang w:val="fr-FR"/>
        </w:rPr>
        <w:t>’«</w:t>
      </w:r>
      <w:proofErr w:type="gramEnd"/>
      <w:r w:rsidRPr="00EA2AB9">
        <w:rPr>
          <w:lang w:val="fr-FR"/>
        </w:rPr>
        <w:t xml:space="preserve"> opportunité raisonnable ». Elle a rejeté la demande d'excuses publiques du plaignant et a rejeté la contestation du défendeur concernant la caractérisation de la variété.</w:t>
      </w:r>
    </w:p>
    <w:p w14:paraId="64369450" w14:textId="77777777" w:rsidR="006B758D" w:rsidRPr="00EA2AB9" w:rsidRDefault="006B758D">
      <w:pPr>
        <w:pStyle w:val="BodyText"/>
        <w:rPr>
          <w:sz w:val="26"/>
          <w:lang w:val="fr-FR"/>
        </w:rPr>
      </w:pPr>
    </w:p>
    <w:p w14:paraId="1CE4BC06" w14:textId="77777777" w:rsidR="006B758D" w:rsidRPr="00EA2AB9" w:rsidRDefault="006B758D">
      <w:pPr>
        <w:pStyle w:val="BodyText"/>
        <w:rPr>
          <w:sz w:val="26"/>
          <w:lang w:val="fr-FR"/>
        </w:rPr>
      </w:pPr>
    </w:p>
    <w:p w14:paraId="0E0DE86E" w14:textId="77777777" w:rsidR="006B758D" w:rsidRDefault="0023308C">
      <w:pPr>
        <w:pStyle w:val="Heading1"/>
        <w:numPr>
          <w:ilvl w:val="0"/>
          <w:numId w:val="2"/>
        </w:numPr>
        <w:tabs>
          <w:tab w:val="left" w:pos="970"/>
        </w:tabs>
        <w:spacing w:before="231"/>
        <w:ind w:left="969" w:hanging="574"/>
      </w:pPr>
      <w:bookmarkStart w:id="132" w:name="_bookmark133"/>
      <w:bookmarkEnd w:id="132"/>
      <w:r>
        <w:rPr>
          <w:spacing w:val="-2"/>
        </w:rPr>
        <w:t xml:space="preserve">« </w:t>
      </w:r>
      <w:proofErr w:type="spellStart"/>
      <w:r>
        <w:rPr>
          <w:spacing w:val="-2"/>
        </w:rPr>
        <w:t>Nardocott</w:t>
      </w:r>
      <w:proofErr w:type="spellEnd"/>
      <w:r>
        <w:rPr>
          <w:spacing w:val="-2"/>
        </w:rPr>
        <w:t xml:space="preserve"> »</w:t>
      </w:r>
    </w:p>
    <w:p w14:paraId="469A8AEB" w14:textId="77777777" w:rsidR="006B758D" w:rsidRPr="009D6144" w:rsidRDefault="0023308C">
      <w:pPr>
        <w:pStyle w:val="BodyText"/>
        <w:spacing w:before="139" w:line="360" w:lineRule="auto"/>
        <w:ind w:left="396" w:right="121"/>
        <w:jc w:val="both"/>
        <w:rPr>
          <w:lang w:val="es-ES_tradnl"/>
        </w:rPr>
      </w:pPr>
      <w:r w:rsidRPr="009D6144">
        <w:rPr>
          <w:lang w:val="es-ES_tradnl"/>
        </w:rPr>
        <w:t>CJUE, 19.12.2019, C-176/18 - Club de Variedades Vegetales Protegidas c. Adolfo Juan Martínez Sanchís</w:t>
      </w:r>
    </w:p>
    <w:p w14:paraId="1B5D8F63" w14:textId="77777777" w:rsidR="006B758D" w:rsidRPr="00EA2AB9" w:rsidRDefault="0023308C">
      <w:pPr>
        <w:pStyle w:val="BodyText"/>
        <w:spacing w:before="76" w:line="360" w:lineRule="auto"/>
        <w:ind w:left="396" w:right="113" w:firstLine="707"/>
        <w:jc w:val="both"/>
        <w:rPr>
          <w:lang w:val="fr-FR"/>
        </w:rPr>
      </w:pPr>
      <w:r w:rsidRPr="00EA2AB9">
        <w:rPr>
          <w:i/>
          <w:lang w:val="fr-FR"/>
        </w:rPr>
        <w:t xml:space="preserve">Faits : </w:t>
      </w:r>
      <w:r w:rsidRPr="00EA2AB9">
        <w:rPr>
          <w:lang w:val="fr-FR"/>
        </w:rPr>
        <w:t xml:space="preserve">L'affaire concerne la variété de mandarinier « </w:t>
      </w:r>
      <w:proofErr w:type="spellStart"/>
      <w:r w:rsidRPr="00EA2AB9">
        <w:rPr>
          <w:lang w:val="fr-FR"/>
        </w:rPr>
        <w:t>Nadorcott</w:t>
      </w:r>
      <w:proofErr w:type="spellEnd"/>
      <w:r w:rsidRPr="00EA2AB9">
        <w:rPr>
          <w:lang w:val="fr-FR"/>
        </w:rPr>
        <w:t xml:space="preserve"> » pour laquelle une demande de protection des obtentions végétales (POV) a été déposée en 1995 et, après un recours, a finalement été accordée et publiée par l'OCVV en 2006.</w:t>
      </w:r>
      <w:r w:rsidRPr="00EA2AB9">
        <w:rPr>
          <w:spacing w:val="-3"/>
          <w:lang w:val="fr-FR"/>
        </w:rPr>
        <w:t xml:space="preserve"> </w:t>
      </w:r>
      <w:r w:rsidRPr="00EA2AB9">
        <w:rPr>
          <w:lang w:val="fr-FR"/>
        </w:rPr>
        <w:t xml:space="preserve">M. Martínez Sanchís, un agriculteur espagnol, avait acheté des plants </w:t>
      </w:r>
      <w:proofErr w:type="spellStart"/>
      <w:r w:rsidRPr="00EA2AB9">
        <w:rPr>
          <w:lang w:val="fr-FR"/>
        </w:rPr>
        <w:t>Nadorcott</w:t>
      </w:r>
      <w:proofErr w:type="spellEnd"/>
      <w:r w:rsidRPr="00EA2AB9">
        <w:rPr>
          <w:lang w:val="fr-FR"/>
        </w:rPr>
        <w:t xml:space="preserve"> à une pépinière entre 1995 et 2005, donc avant l'octroi du droit d'obtenteur, mais après la publication de la demande de ce droit. Le demandeur, CVVP (une association de protection des obtentions végétales), a demandé des dommages-intérêts pour des actes commis pendant la période de protection provisoire et après l'octroi de la protection complète. Plus précisément, la CVVP souhaitait empêcher l'utilisation et la commercialisation des fruits récoltés sur ces arbres.</w:t>
      </w:r>
    </w:p>
    <w:p w14:paraId="6F528581" w14:textId="77777777" w:rsidR="006B758D" w:rsidRPr="00EA2AB9" w:rsidRDefault="006B758D">
      <w:pPr>
        <w:pStyle w:val="BodyText"/>
        <w:spacing w:before="3"/>
        <w:rPr>
          <w:sz w:val="36"/>
          <w:lang w:val="fr-FR"/>
        </w:rPr>
      </w:pPr>
    </w:p>
    <w:p w14:paraId="4BD89D13" w14:textId="77777777" w:rsidR="006B758D" w:rsidRPr="00EA2AB9" w:rsidRDefault="0023308C">
      <w:pPr>
        <w:pStyle w:val="BodyText"/>
        <w:spacing w:line="360" w:lineRule="auto"/>
        <w:ind w:left="396" w:right="116" w:firstLine="707"/>
        <w:jc w:val="both"/>
        <w:rPr>
          <w:lang w:val="fr-FR"/>
        </w:rPr>
      </w:pPr>
      <w:r w:rsidRPr="00EA2AB9">
        <w:rPr>
          <w:i/>
          <w:lang w:val="fr-FR"/>
        </w:rPr>
        <w:t xml:space="preserve">Conclusions : </w:t>
      </w:r>
      <w:r w:rsidRPr="00EA2AB9">
        <w:rPr>
          <w:lang w:val="fr-FR"/>
        </w:rPr>
        <w:t>La Cour a établi une distinction entre la protection primaire (sur le matériel de reproduction ou de multiplication) et la protection secondaire (sur le produit de la récolte). Elle a affirmé que : (i) la protection sur le produit de la récolte est conditionnelle ; (ii) elle n'est disponible que si les deux conditions cumulatives de l'article 13(3) sont remplies ; (iii) cette logique en cascade préserve l'équilibre entre la protection des obtenteurs et la production agricole.</w:t>
      </w:r>
    </w:p>
    <w:p w14:paraId="500EBB71" w14:textId="77777777" w:rsidR="006B758D" w:rsidRPr="00EA2AB9" w:rsidRDefault="006B758D">
      <w:pPr>
        <w:pStyle w:val="BodyText"/>
        <w:rPr>
          <w:sz w:val="36"/>
          <w:lang w:val="fr-FR"/>
        </w:rPr>
      </w:pPr>
    </w:p>
    <w:p w14:paraId="6039BA36" w14:textId="77777777" w:rsidR="006B758D" w:rsidRPr="00EA2AB9" w:rsidRDefault="0023308C">
      <w:pPr>
        <w:pStyle w:val="BodyText"/>
        <w:spacing w:line="360" w:lineRule="auto"/>
        <w:ind w:left="396" w:right="112"/>
        <w:jc w:val="both"/>
        <w:rPr>
          <w:lang w:val="fr-FR"/>
        </w:rPr>
      </w:pPr>
      <w:r w:rsidRPr="00EA2AB9">
        <w:rPr>
          <w:lang w:val="fr-FR"/>
        </w:rPr>
        <w:t>La Cour a statué que l'achat de plantes pendant la période de protection provisoire (c'est-à-dire après la publication de la demande mais avant l'octroi officiel) ne constitue pas une utilisation non autorisée au sens de l'article 13, paragraphe 3. Pendant cette période, les obtenteurs ont uniquement droit à une compensation raisonnable, et non à des droits exclusifs leur permettant d'interdire l'utilisation. Ainsi, si la multiplication a eu lieu pendant la période de protection provisoire, elle n'est pas considérée comme non autorisée, et la protection prévue à l'article 13, paragraphe 3, pour les fruits récoltés ne peut s'appliquer. La Cour n'a pas défini en détail la notion d</w:t>
      </w:r>
      <w:proofErr w:type="gramStart"/>
      <w:r w:rsidRPr="00EA2AB9">
        <w:rPr>
          <w:lang w:val="fr-FR"/>
        </w:rPr>
        <w:t>'«</w:t>
      </w:r>
      <w:proofErr w:type="gramEnd"/>
      <w:r w:rsidRPr="00EA2AB9">
        <w:rPr>
          <w:lang w:val="fr-FR"/>
        </w:rPr>
        <w:t xml:space="preserve"> opportunité raisonnable », mais elle l'a confirmée comme un critère factuel, c'est-à-</w:t>
      </w:r>
      <w:r w:rsidRPr="00EA2AB9">
        <w:rPr>
          <w:lang w:val="fr-FR"/>
        </w:rPr>
        <w:lastRenderedPageBreak/>
        <w:t>dire une condition qui doit être vérifiée par les tribunaux nationaux dans chaque cas. Elle a toutefois réaffirmé que cette clause est essentielle pour empêcher les obtenteurs de faire valoir leurs droits rétroactivement dans des situations où ils auraient pu faire valoir leurs droits plus tôt, mais ne l'ont pas fait.</w:t>
      </w:r>
    </w:p>
    <w:p w14:paraId="21A9937E" w14:textId="77777777" w:rsidR="006B758D" w:rsidRPr="00EA2AB9" w:rsidRDefault="006B758D">
      <w:pPr>
        <w:pStyle w:val="BodyText"/>
        <w:rPr>
          <w:sz w:val="26"/>
          <w:lang w:val="fr-FR"/>
        </w:rPr>
      </w:pPr>
    </w:p>
    <w:p w14:paraId="018C1581" w14:textId="77777777" w:rsidR="006B758D" w:rsidRPr="00EA2AB9" w:rsidRDefault="006B758D">
      <w:pPr>
        <w:pStyle w:val="BodyText"/>
        <w:rPr>
          <w:sz w:val="26"/>
          <w:lang w:val="fr-FR"/>
        </w:rPr>
      </w:pPr>
    </w:p>
    <w:p w14:paraId="7621A956" w14:textId="77777777" w:rsidR="006B758D" w:rsidRDefault="0023308C">
      <w:pPr>
        <w:pStyle w:val="Heading1"/>
        <w:numPr>
          <w:ilvl w:val="0"/>
          <w:numId w:val="2"/>
        </w:numPr>
        <w:tabs>
          <w:tab w:val="left" w:pos="783"/>
        </w:tabs>
        <w:spacing w:before="230"/>
        <w:ind w:left="782" w:hanging="387"/>
      </w:pPr>
      <w:bookmarkStart w:id="133" w:name="_bookmark134"/>
      <w:bookmarkEnd w:id="133"/>
      <w:r>
        <w:t xml:space="preserve">« Greenstar </w:t>
      </w:r>
      <w:r>
        <w:rPr>
          <w:spacing w:val="-2"/>
        </w:rPr>
        <w:t>Kanzi »</w:t>
      </w:r>
    </w:p>
    <w:p w14:paraId="046A4048" w14:textId="77777777" w:rsidR="006B758D" w:rsidRPr="00F16C9D" w:rsidRDefault="0023308C">
      <w:pPr>
        <w:pStyle w:val="BodyText"/>
        <w:spacing w:before="140"/>
        <w:ind w:left="396"/>
        <w:jc w:val="both"/>
        <w:rPr>
          <w:lang w:val="fr-FR"/>
        </w:rPr>
      </w:pPr>
      <w:r w:rsidRPr="00F16C9D">
        <w:rPr>
          <w:lang w:val="fr-FR"/>
        </w:rPr>
        <w:t xml:space="preserve">CJUE, 20.10.2011, C-140/10 – </w:t>
      </w:r>
      <w:proofErr w:type="spellStart"/>
      <w:r w:rsidRPr="00F16C9D">
        <w:rPr>
          <w:lang w:val="fr-FR"/>
        </w:rPr>
        <w:t>Greenstar</w:t>
      </w:r>
      <w:proofErr w:type="spellEnd"/>
      <w:r w:rsidRPr="00F16C9D">
        <w:rPr>
          <w:lang w:val="fr-FR"/>
        </w:rPr>
        <w:t xml:space="preserve"> Kanzi c. Jean Hustin et Jo </w:t>
      </w:r>
      <w:r w:rsidRPr="00F16C9D">
        <w:rPr>
          <w:spacing w:val="-2"/>
          <w:lang w:val="fr-FR"/>
        </w:rPr>
        <w:t>Goossens</w:t>
      </w:r>
    </w:p>
    <w:p w14:paraId="7B30C8B8" w14:textId="77777777" w:rsidR="006B758D" w:rsidRPr="00F16C9D" w:rsidRDefault="006B758D">
      <w:pPr>
        <w:pStyle w:val="BodyText"/>
        <w:rPr>
          <w:sz w:val="26"/>
          <w:lang w:val="fr-FR"/>
        </w:rPr>
      </w:pPr>
    </w:p>
    <w:p w14:paraId="19912E63" w14:textId="77777777" w:rsidR="006B758D" w:rsidRPr="00F16C9D" w:rsidRDefault="006B758D">
      <w:pPr>
        <w:pStyle w:val="BodyText"/>
        <w:spacing w:before="9"/>
        <w:rPr>
          <w:sz w:val="21"/>
          <w:lang w:val="fr-FR"/>
        </w:rPr>
      </w:pPr>
    </w:p>
    <w:p w14:paraId="3634A480" w14:textId="1818C001" w:rsidR="006B758D" w:rsidRPr="00EA2AB9" w:rsidRDefault="0023308C" w:rsidP="00812CAB">
      <w:pPr>
        <w:pStyle w:val="BodyText"/>
        <w:spacing w:line="360" w:lineRule="auto"/>
        <w:ind w:left="396" w:right="118" w:firstLine="707"/>
        <w:jc w:val="both"/>
        <w:rPr>
          <w:lang w:val="fr-FR"/>
        </w:rPr>
      </w:pPr>
      <w:r w:rsidRPr="00EA2AB9">
        <w:rPr>
          <w:i/>
          <w:lang w:val="fr-FR"/>
        </w:rPr>
        <w:t xml:space="preserve">Faits : </w:t>
      </w:r>
      <w:r w:rsidRPr="00EA2AB9">
        <w:rPr>
          <w:lang w:val="fr-FR"/>
        </w:rPr>
        <w:t xml:space="preserve">Un obtenteur belge de pommiers (Better3Fruit) a accordé une licence exclusive à son licencié (Nicolaï) pour commercialiser des arbres de la variété particulière </w:t>
      </w:r>
      <w:proofErr w:type="spellStart"/>
      <w:r w:rsidRPr="00EA2AB9">
        <w:rPr>
          <w:lang w:val="fr-FR"/>
        </w:rPr>
        <w:t>Nicoter</w:t>
      </w:r>
      <w:proofErr w:type="spellEnd"/>
      <w:r w:rsidRPr="00EA2AB9">
        <w:rPr>
          <w:lang w:val="fr-FR"/>
        </w:rPr>
        <w:t>. Le contrat de licence stipulait que le produit sous licence (c'est-à-dire les pommiers protégés) ne pouvait être vendu que si l'acheteur signait au préalable un accord lui permettant de cultiver ou de commercialiser les arbres protégés.</w:t>
      </w:r>
      <w:r w:rsidRPr="00EA2AB9">
        <w:rPr>
          <w:spacing w:val="3"/>
          <w:lang w:val="fr-FR"/>
        </w:rPr>
        <w:t xml:space="preserve"> </w:t>
      </w:r>
      <w:r w:rsidRPr="00EA2AB9">
        <w:rPr>
          <w:lang w:val="fr-FR"/>
        </w:rPr>
        <w:t xml:space="preserve">Nicolaï a ignoré cette clause et a vendu les pommiers à un producteur, </w:t>
      </w:r>
      <w:proofErr w:type="spellStart"/>
      <w:r w:rsidRPr="00EA2AB9">
        <w:rPr>
          <w:lang w:val="fr-FR"/>
        </w:rPr>
        <w:t>Hustin</w:t>
      </w:r>
      <w:proofErr w:type="spellEnd"/>
      <w:r w:rsidRPr="00EA2AB9">
        <w:rPr>
          <w:lang w:val="fr-FR"/>
        </w:rPr>
        <w:t xml:space="preserve">, sans </w:t>
      </w:r>
      <w:r w:rsidRPr="00EA2AB9">
        <w:rPr>
          <w:spacing w:val="-5"/>
          <w:lang w:val="fr-FR"/>
        </w:rPr>
        <w:t>que</w:t>
      </w:r>
      <w:r w:rsidR="00812CAB">
        <w:rPr>
          <w:spacing w:val="-5"/>
          <w:lang w:val="fr-FR"/>
        </w:rPr>
        <w:t xml:space="preserve"> </w:t>
      </w:r>
      <w:r w:rsidRPr="00EA2AB9">
        <w:rPr>
          <w:lang w:val="fr-FR"/>
        </w:rPr>
        <w:t xml:space="preserve">ce dernier n'avoir signé l'accord de culture/commercialisation. </w:t>
      </w:r>
      <w:proofErr w:type="spellStart"/>
      <w:r w:rsidRPr="00EA2AB9">
        <w:rPr>
          <w:lang w:val="fr-FR"/>
        </w:rPr>
        <w:t>Hustin</w:t>
      </w:r>
      <w:proofErr w:type="spellEnd"/>
      <w:r w:rsidRPr="00EA2AB9">
        <w:rPr>
          <w:lang w:val="fr-FR"/>
        </w:rPr>
        <w:t xml:space="preserve"> a ensuite vendu les pommes de ces arbres à Goossens.</w:t>
      </w:r>
    </w:p>
    <w:p w14:paraId="1C978A49" w14:textId="77777777" w:rsidR="006B758D" w:rsidRPr="00EA2AB9" w:rsidRDefault="006B758D">
      <w:pPr>
        <w:pStyle w:val="BodyText"/>
        <w:spacing w:before="8"/>
        <w:rPr>
          <w:sz w:val="35"/>
          <w:lang w:val="fr-FR"/>
        </w:rPr>
      </w:pPr>
    </w:p>
    <w:p w14:paraId="7CA0C671" w14:textId="77777777" w:rsidR="006B758D" w:rsidRPr="00EA2AB9" w:rsidRDefault="0023308C">
      <w:pPr>
        <w:pStyle w:val="BodyText"/>
        <w:spacing w:line="360" w:lineRule="auto"/>
        <w:ind w:left="396" w:right="114" w:firstLine="707"/>
        <w:jc w:val="both"/>
        <w:rPr>
          <w:lang w:val="fr-FR"/>
        </w:rPr>
      </w:pPr>
      <w:r w:rsidRPr="00EA2AB9">
        <w:rPr>
          <w:lang w:val="fr-FR"/>
        </w:rPr>
        <w:t xml:space="preserve">Entre-temps, le contrat de licence entre Better3Fruit et Nicolaï avait été résilié et Better3Fruit avait conclu un nouveau contrat de licence exclusive avec </w:t>
      </w:r>
      <w:proofErr w:type="spellStart"/>
      <w:r w:rsidRPr="00EA2AB9">
        <w:rPr>
          <w:lang w:val="fr-FR"/>
        </w:rPr>
        <w:t>Greenstar</w:t>
      </w:r>
      <w:proofErr w:type="spellEnd"/>
      <w:r w:rsidRPr="00EA2AB9">
        <w:rPr>
          <w:lang w:val="fr-FR"/>
        </w:rPr>
        <w:t xml:space="preserve"> Kanzi Europe. </w:t>
      </w:r>
      <w:proofErr w:type="spellStart"/>
      <w:r w:rsidRPr="00EA2AB9">
        <w:rPr>
          <w:lang w:val="fr-FR"/>
        </w:rPr>
        <w:t>Greenstar</w:t>
      </w:r>
      <w:proofErr w:type="spellEnd"/>
      <w:r w:rsidRPr="00EA2AB9">
        <w:rPr>
          <w:lang w:val="fr-FR"/>
        </w:rPr>
        <w:t xml:space="preserve"> a poursuivi </w:t>
      </w:r>
      <w:proofErr w:type="spellStart"/>
      <w:r w:rsidRPr="00EA2AB9">
        <w:rPr>
          <w:lang w:val="fr-FR"/>
        </w:rPr>
        <w:t>Hustin</w:t>
      </w:r>
      <w:proofErr w:type="spellEnd"/>
      <w:r w:rsidRPr="00EA2AB9">
        <w:rPr>
          <w:lang w:val="fr-FR"/>
        </w:rPr>
        <w:t xml:space="preserve"> et Goossens pour violation des droits communautaires sur les variétés végétales pour </w:t>
      </w:r>
      <w:proofErr w:type="spellStart"/>
      <w:r w:rsidRPr="00EA2AB9">
        <w:rPr>
          <w:lang w:val="fr-FR"/>
        </w:rPr>
        <w:t>Nicoter</w:t>
      </w:r>
      <w:proofErr w:type="spellEnd"/>
      <w:r w:rsidRPr="00EA2AB9">
        <w:rPr>
          <w:lang w:val="fr-FR"/>
        </w:rPr>
        <w:t xml:space="preserve"> et pour pratiques commerciales déloyales.</w:t>
      </w:r>
      <w:r w:rsidRPr="00EA2AB9">
        <w:rPr>
          <w:spacing w:val="-5"/>
          <w:lang w:val="fr-FR"/>
        </w:rPr>
        <w:t xml:space="preserve"> </w:t>
      </w:r>
      <w:r w:rsidRPr="00EA2AB9">
        <w:rPr>
          <w:lang w:val="fr-FR"/>
        </w:rPr>
        <w:t xml:space="preserve">Selon </w:t>
      </w:r>
      <w:proofErr w:type="spellStart"/>
      <w:r w:rsidRPr="00EA2AB9">
        <w:rPr>
          <w:lang w:val="fr-FR"/>
        </w:rPr>
        <w:t>Greenstar</w:t>
      </w:r>
      <w:proofErr w:type="spellEnd"/>
      <w:r w:rsidRPr="00EA2AB9">
        <w:rPr>
          <w:lang w:val="fr-FR"/>
        </w:rPr>
        <w:t xml:space="preserve">, </w:t>
      </w:r>
      <w:proofErr w:type="spellStart"/>
      <w:r w:rsidRPr="00EA2AB9">
        <w:rPr>
          <w:lang w:val="fr-FR"/>
        </w:rPr>
        <w:t>Hustin</w:t>
      </w:r>
      <w:proofErr w:type="spellEnd"/>
      <w:r w:rsidRPr="00EA2AB9">
        <w:rPr>
          <w:lang w:val="fr-FR"/>
        </w:rPr>
        <w:t xml:space="preserve"> n'aurait pas pu acheter légalement les pommiers à Nicolaï, car ce dernier avait violé les termes de son contrat de licence et, par conséquent, il n'aurait pas non plus pu vendre légalement la récolte des arbres à Goossens. Selon Hustin et Goossens, les droits de </w:t>
      </w:r>
      <w:proofErr w:type="spellStart"/>
      <w:r w:rsidRPr="00EA2AB9">
        <w:rPr>
          <w:lang w:val="fr-FR"/>
        </w:rPr>
        <w:t>Greenstar</w:t>
      </w:r>
      <w:proofErr w:type="spellEnd"/>
      <w:r w:rsidRPr="00EA2AB9">
        <w:rPr>
          <w:lang w:val="fr-FR"/>
        </w:rPr>
        <w:t xml:space="preserve"> étaient épuisés, car Nicolaï avait écoulé le matériel </w:t>
      </w:r>
      <w:proofErr w:type="spellStart"/>
      <w:r w:rsidRPr="00EA2AB9">
        <w:rPr>
          <w:lang w:val="fr-FR"/>
        </w:rPr>
        <w:t>Nicoter</w:t>
      </w:r>
      <w:proofErr w:type="spellEnd"/>
      <w:r w:rsidRPr="00EA2AB9">
        <w:rPr>
          <w:lang w:val="fr-FR"/>
        </w:rPr>
        <w:t xml:space="preserve"> dans la Communauté.</w:t>
      </w:r>
      <w:r w:rsidRPr="00EA2AB9">
        <w:rPr>
          <w:spacing w:val="-10"/>
          <w:lang w:val="fr-FR"/>
        </w:rPr>
        <w:t xml:space="preserve"> </w:t>
      </w:r>
      <w:r w:rsidRPr="00EA2AB9">
        <w:rPr>
          <w:lang w:val="fr-FR"/>
        </w:rPr>
        <w:t>Selon eux, cela était d'autant plus vrai qu'ils n'avaient pas connaissance des obligations contractuelles de Nicolaï lorsqu'ils lui ont acheté les arbres.</w:t>
      </w:r>
    </w:p>
    <w:p w14:paraId="3EE9D888" w14:textId="77777777" w:rsidR="006B758D" w:rsidRPr="00EA2AB9" w:rsidRDefault="006B758D">
      <w:pPr>
        <w:pStyle w:val="BodyText"/>
        <w:rPr>
          <w:sz w:val="36"/>
          <w:lang w:val="fr-FR"/>
        </w:rPr>
      </w:pPr>
    </w:p>
    <w:p w14:paraId="18F732CD" w14:textId="088AAED3" w:rsidR="006B758D" w:rsidRPr="00812CAB" w:rsidRDefault="0023308C" w:rsidP="00812CAB">
      <w:pPr>
        <w:pStyle w:val="BodyText"/>
        <w:spacing w:line="360" w:lineRule="auto"/>
        <w:ind w:left="396" w:right="112" w:firstLine="707"/>
        <w:jc w:val="both"/>
        <w:rPr>
          <w:lang w:val="fr-FR"/>
        </w:rPr>
      </w:pPr>
      <w:r w:rsidRPr="00EA2AB9">
        <w:rPr>
          <w:i/>
          <w:lang w:val="fr-FR"/>
        </w:rPr>
        <w:t xml:space="preserve">Conclusions : </w:t>
      </w:r>
      <w:r w:rsidRPr="00EA2AB9">
        <w:rPr>
          <w:lang w:val="fr-FR"/>
        </w:rPr>
        <w:t xml:space="preserve">Dans son arrêt du 20 octobre 2011, la CJUE a décidé que, si un licencié qui commercialise des produits protégés par un droit d'obtention végétale est normalement considéré comme agissant avec le consentement du titulaire dudit droit, un contrat de licence ne constitue pas un consentement absolu et inconditionnel du titulaire à la commercialisation des produits par le licencié. À cet égard, l'article 27, paragraphe 2, du règlement n° 2100/94 </w:t>
      </w:r>
      <w:r w:rsidRPr="00EA2AB9">
        <w:rPr>
          <w:lang w:val="fr-FR"/>
        </w:rPr>
        <w:lastRenderedPageBreak/>
        <w:t>prévoit expressément la possibilité pour le titulaire d'invoquer les droits que lui confère le droit d'obtenteur à l'encontre d'une personne bénéficiant du droit d'exploitation lorsque cette personne enfreint l'une des clauses du contrat de licence.</w:t>
      </w:r>
    </w:p>
    <w:p w14:paraId="789D0206" w14:textId="77777777" w:rsidR="006B758D" w:rsidRDefault="0023308C" w:rsidP="00812CAB">
      <w:pPr>
        <w:pStyle w:val="BodyText"/>
        <w:spacing w:before="1" w:line="360" w:lineRule="auto"/>
        <w:ind w:left="396" w:right="114" w:firstLine="707"/>
        <w:jc w:val="both"/>
        <w:rPr>
          <w:lang w:val="fr-FR"/>
        </w:rPr>
      </w:pPr>
      <w:r w:rsidRPr="00EA2AB9">
        <w:rPr>
          <w:lang w:val="fr-FR"/>
        </w:rPr>
        <w:t>Selon la Cour, cela implique également que toute personne acquérant le matériel végétal en aval ne peut invoquer la doctrine de l'épuisement. Néanmoins, la CJUE a précisé qu'une violation d'une clause du contrat de licence n'entraîne pas toujours la nullité du consentement du titulaire. Cela ne peut être le cas que s'il est établi que le licencié a enfreint une condition ou une limitation du contrat de licence directement liée aux caractéristiques essentielles du droit d'obtenteur.</w:t>
      </w:r>
      <w:r w:rsidRPr="00EA2AB9">
        <w:rPr>
          <w:spacing w:val="-7"/>
          <w:lang w:val="fr-FR"/>
        </w:rPr>
        <w:t xml:space="preserve"> </w:t>
      </w:r>
      <w:r w:rsidRPr="00EA2AB9">
        <w:rPr>
          <w:lang w:val="fr-FR"/>
        </w:rPr>
        <w:t>Selon la CJUE, une condition ou une limitation qui n'affecte pas le consentement à la mise sur le marché des produits et qui n'a donc aucun effet sur l'épuisement du droit du titulaire ne répond pas à cette exigence. La Cour a en outre décidé que les éléments subjectifs, tels que la connaissance des conditions ou limitations imposées dans le contrat de licence, ne jouent en principe aucun rôle dans l'appréciation d'une violation ou du droit d'intenter une action contre la personne qui a commis cette violation.</w:t>
      </w:r>
      <w:bookmarkStart w:id="134" w:name="_bookmark135"/>
      <w:bookmarkEnd w:id="134"/>
    </w:p>
    <w:p w14:paraId="1BEFB736" w14:textId="77777777" w:rsidR="00700691" w:rsidRDefault="00700691" w:rsidP="00812CAB">
      <w:pPr>
        <w:pStyle w:val="BodyText"/>
        <w:spacing w:before="1" w:line="360" w:lineRule="auto"/>
        <w:ind w:left="396" w:right="114" w:firstLine="707"/>
        <w:jc w:val="both"/>
        <w:rPr>
          <w:lang w:val="fr-FR"/>
        </w:rPr>
      </w:pPr>
    </w:p>
    <w:p w14:paraId="794B8150" w14:textId="77777777" w:rsidR="00700691" w:rsidRDefault="00700691" w:rsidP="00812CAB">
      <w:pPr>
        <w:pStyle w:val="BodyText"/>
        <w:spacing w:before="1" w:line="360" w:lineRule="auto"/>
        <w:ind w:left="396" w:right="114" w:firstLine="707"/>
        <w:jc w:val="both"/>
        <w:rPr>
          <w:lang w:val="fr-FR"/>
        </w:rPr>
      </w:pPr>
    </w:p>
    <w:p w14:paraId="6C5D0F13" w14:textId="77777777" w:rsidR="006B758D" w:rsidRDefault="0023308C">
      <w:pPr>
        <w:pStyle w:val="Heading1"/>
        <w:numPr>
          <w:ilvl w:val="0"/>
          <w:numId w:val="2"/>
        </w:numPr>
        <w:tabs>
          <w:tab w:val="left" w:pos="690"/>
        </w:tabs>
        <w:spacing w:before="72"/>
        <w:ind w:left="689" w:hanging="294"/>
      </w:pPr>
      <w:r>
        <w:rPr>
          <w:spacing w:val="-2"/>
        </w:rPr>
        <w:t xml:space="preserve">« </w:t>
      </w:r>
      <w:r>
        <w:t xml:space="preserve">IFG </w:t>
      </w:r>
      <w:r>
        <w:rPr>
          <w:spacing w:val="-2"/>
        </w:rPr>
        <w:t>Vine »</w:t>
      </w:r>
    </w:p>
    <w:p w14:paraId="491829DD" w14:textId="77777777" w:rsidR="006B758D" w:rsidRPr="00EA2AB9" w:rsidRDefault="0023308C">
      <w:pPr>
        <w:pStyle w:val="BodyText"/>
        <w:spacing w:before="137" w:line="360" w:lineRule="auto"/>
        <w:ind w:left="396" w:right="71"/>
        <w:rPr>
          <w:lang w:val="fr-FR"/>
        </w:rPr>
      </w:pPr>
      <w:r w:rsidRPr="00EA2AB9">
        <w:rPr>
          <w:lang w:val="fr-FR"/>
        </w:rPr>
        <w:t xml:space="preserve">Tribunal de Bari, 20.7.2020, affaire 2356/2020, International Fruit </w:t>
      </w:r>
      <w:proofErr w:type="spellStart"/>
      <w:r w:rsidRPr="00EA2AB9">
        <w:rPr>
          <w:lang w:val="fr-FR"/>
        </w:rPr>
        <w:t>Genetics</w:t>
      </w:r>
      <w:proofErr w:type="spellEnd"/>
      <w:r w:rsidRPr="00EA2AB9">
        <w:rPr>
          <w:lang w:val="fr-FR"/>
        </w:rPr>
        <w:t xml:space="preserve"> LL.C. c. Top Fruit Di Angela Cokucci et C.</w:t>
      </w:r>
      <w:hyperlink w:anchor="_bookmark137" w:history="1">
        <w:r w:rsidRPr="00EA2AB9">
          <w:rPr>
            <w:vertAlign w:val="superscript"/>
            <w:lang w:val="fr-FR"/>
          </w:rPr>
          <w:t>109</w:t>
        </w:r>
      </w:hyperlink>
    </w:p>
    <w:p w14:paraId="3F0AD4BC" w14:textId="77777777" w:rsidR="006B758D" w:rsidRPr="00F16C9D" w:rsidRDefault="006B758D">
      <w:pPr>
        <w:pStyle w:val="BodyText"/>
        <w:spacing w:before="1"/>
        <w:rPr>
          <w:sz w:val="16"/>
          <w:szCs w:val="16"/>
          <w:lang w:val="fr-FR"/>
        </w:rPr>
      </w:pPr>
    </w:p>
    <w:p w14:paraId="1D8FF4C9" w14:textId="77777777" w:rsidR="006B758D" w:rsidRPr="00EA2AB9" w:rsidRDefault="0023308C">
      <w:pPr>
        <w:pStyle w:val="BodyText"/>
        <w:spacing w:line="360" w:lineRule="auto"/>
        <w:ind w:left="396" w:right="116" w:firstLine="707"/>
        <w:jc w:val="both"/>
        <w:rPr>
          <w:lang w:val="fr-FR"/>
        </w:rPr>
      </w:pPr>
      <w:r w:rsidRPr="00EA2AB9">
        <w:rPr>
          <w:i/>
          <w:lang w:val="fr-FR"/>
        </w:rPr>
        <w:t xml:space="preserve">Faits : </w:t>
      </w:r>
      <w:r w:rsidRPr="00EA2AB9">
        <w:rPr>
          <w:lang w:val="fr-FR"/>
        </w:rPr>
        <w:t xml:space="preserve">Le demandeur est titulaire de plusieurs DOP communautaires accordés pour des variétés dénommées « IFG TWO », « IFG SEVEN », « IFG NINE » et « IFG ELEVEN ». La culture et la plantation des arbres des variétés protégées par le défendeur ont eu lieu entre la publication de la demande et l'octroi des DOP communautaires. Le demandeur demande au tribunal une saisie-description et une injonction à l'encontre du défendeur pour violation présumée des DOP par l'utilisation et la commercialisation des fruits récoltés sur les </w:t>
      </w:r>
      <w:r w:rsidRPr="00EA2AB9">
        <w:rPr>
          <w:spacing w:val="-2"/>
          <w:lang w:val="fr-FR"/>
        </w:rPr>
        <w:t>vignes.</w:t>
      </w:r>
    </w:p>
    <w:p w14:paraId="36AE773F" w14:textId="77777777" w:rsidR="006B758D" w:rsidRPr="00F16C9D" w:rsidRDefault="006B758D">
      <w:pPr>
        <w:pStyle w:val="BodyText"/>
        <w:spacing w:before="1"/>
        <w:rPr>
          <w:sz w:val="16"/>
          <w:szCs w:val="16"/>
          <w:lang w:val="fr-FR"/>
        </w:rPr>
      </w:pPr>
    </w:p>
    <w:p w14:paraId="5E217684" w14:textId="77777777" w:rsidR="006B758D" w:rsidRPr="00EA2AB9" w:rsidRDefault="0023308C">
      <w:pPr>
        <w:pStyle w:val="BodyText"/>
        <w:spacing w:line="360" w:lineRule="auto"/>
        <w:ind w:left="396" w:right="114" w:firstLine="707"/>
        <w:jc w:val="both"/>
        <w:rPr>
          <w:lang w:val="fr-FR"/>
        </w:rPr>
      </w:pPr>
      <w:r w:rsidRPr="00EA2AB9">
        <w:rPr>
          <w:i/>
          <w:lang w:val="fr-FR"/>
        </w:rPr>
        <w:t xml:space="preserve">Conclusions : </w:t>
      </w:r>
      <w:r w:rsidRPr="00EA2AB9">
        <w:rPr>
          <w:lang w:val="fr-FR"/>
        </w:rPr>
        <w:t xml:space="preserve">Conformément à l'interprétation fournie par la Cour de justice de l'Union européenne dans l'affaire C-176/18 (« </w:t>
      </w:r>
      <w:proofErr w:type="spellStart"/>
      <w:r w:rsidRPr="00EA2AB9">
        <w:rPr>
          <w:lang w:val="fr-FR"/>
        </w:rPr>
        <w:t>Nadorcott</w:t>
      </w:r>
      <w:proofErr w:type="spellEnd"/>
      <w:r w:rsidRPr="00EA2AB9">
        <w:rPr>
          <w:lang w:val="fr-FR"/>
        </w:rPr>
        <w:t xml:space="preserve"> »), le titulaire du titre n'a droit qu'à une compensation raisonnable au titre de l'article 95 du règlement de base pour la culture des éléments constitutifs de la variété effectuée pendant la période comprise entre la publication de la demande et la date d'octroi du droit communautaire de protection des variétés végétales.</w:t>
      </w:r>
      <w:r w:rsidRPr="00EA2AB9">
        <w:rPr>
          <w:spacing w:val="-3"/>
          <w:lang w:val="fr-FR"/>
        </w:rPr>
        <w:t xml:space="preserve"> </w:t>
      </w:r>
      <w:r w:rsidRPr="00EA2AB9">
        <w:rPr>
          <w:lang w:val="fr-FR"/>
        </w:rPr>
        <w:t xml:space="preserve">Par conséquent, les fruits obtenus à partir d'arbres plantés pendant la période de protection provisoire ne peuvent être considérés comme obtenus par utilisation non autorisée au sens de </w:t>
      </w:r>
      <w:r w:rsidRPr="00EA2AB9">
        <w:rPr>
          <w:lang w:val="fr-FR"/>
        </w:rPr>
        <w:lastRenderedPageBreak/>
        <w:t>l'article 13, paragraphe 3, du règlement de base, et ce même s'ils ont été récoltés après l'octroi du droit communautaire de protection des variétés végétales.</w:t>
      </w:r>
    </w:p>
    <w:p w14:paraId="44CC7C7F" w14:textId="77777777" w:rsidR="006B758D" w:rsidRPr="00EA2AB9" w:rsidRDefault="006B758D">
      <w:pPr>
        <w:pStyle w:val="BodyText"/>
        <w:rPr>
          <w:sz w:val="26"/>
          <w:lang w:val="fr-FR"/>
        </w:rPr>
      </w:pPr>
    </w:p>
    <w:p w14:paraId="73D0E61B" w14:textId="77777777" w:rsidR="006B758D" w:rsidRPr="00EA2AB9" w:rsidRDefault="006B758D">
      <w:pPr>
        <w:pStyle w:val="BodyText"/>
        <w:rPr>
          <w:sz w:val="26"/>
          <w:lang w:val="fr-FR"/>
        </w:rPr>
      </w:pPr>
    </w:p>
    <w:p w14:paraId="30188F13" w14:textId="77777777" w:rsidR="006B758D" w:rsidRDefault="0023308C">
      <w:pPr>
        <w:pStyle w:val="Heading1"/>
        <w:numPr>
          <w:ilvl w:val="0"/>
          <w:numId w:val="2"/>
        </w:numPr>
        <w:tabs>
          <w:tab w:val="left" w:pos="783"/>
        </w:tabs>
        <w:spacing w:before="231"/>
        <w:ind w:left="782" w:hanging="387"/>
      </w:pPr>
      <w:bookmarkStart w:id="135" w:name="_bookmark136"/>
      <w:bookmarkEnd w:id="135"/>
      <w:r>
        <w:t xml:space="preserve">« Sun </w:t>
      </w:r>
      <w:r>
        <w:rPr>
          <w:spacing w:val="-2"/>
        </w:rPr>
        <w:t>World »</w:t>
      </w:r>
    </w:p>
    <w:p w14:paraId="393589B8" w14:textId="77777777" w:rsidR="006B758D" w:rsidRPr="00EA2AB9" w:rsidRDefault="0023308C">
      <w:pPr>
        <w:pStyle w:val="BodyText"/>
        <w:spacing w:before="137" w:line="360" w:lineRule="auto"/>
        <w:ind w:left="396"/>
        <w:rPr>
          <w:lang w:val="fr-FR"/>
        </w:rPr>
      </w:pPr>
      <w:r w:rsidRPr="00EA2AB9">
        <w:rPr>
          <w:lang w:val="fr-FR"/>
        </w:rPr>
        <w:t xml:space="preserve">Corte </w:t>
      </w:r>
      <w:proofErr w:type="spellStart"/>
      <w:r w:rsidRPr="00EA2AB9">
        <w:rPr>
          <w:lang w:val="fr-FR"/>
        </w:rPr>
        <w:t>Suprema</w:t>
      </w:r>
      <w:proofErr w:type="spellEnd"/>
      <w:r w:rsidRPr="00EA2AB9">
        <w:rPr>
          <w:lang w:val="fr-FR"/>
        </w:rPr>
        <w:t xml:space="preserve"> di </w:t>
      </w:r>
      <w:proofErr w:type="spellStart"/>
      <w:r w:rsidRPr="00EA2AB9">
        <w:rPr>
          <w:lang w:val="fr-FR"/>
        </w:rPr>
        <w:t>Cassazione</w:t>
      </w:r>
      <w:proofErr w:type="spellEnd"/>
      <w:r w:rsidRPr="00EA2AB9">
        <w:rPr>
          <w:lang w:val="fr-FR"/>
        </w:rPr>
        <w:t>, 9.4.2024, affaire 9429/2024, GRUR Int. 2025, 262 (</w:t>
      </w:r>
      <w:r w:rsidRPr="00EA2AB9">
        <w:rPr>
          <w:spacing w:val="-2"/>
          <w:lang w:val="fr-FR"/>
        </w:rPr>
        <w:t>traduction</w:t>
      </w:r>
      <w:r w:rsidRPr="00EA2AB9">
        <w:rPr>
          <w:lang w:val="fr-FR"/>
        </w:rPr>
        <w:t xml:space="preserve"> anglaise</w:t>
      </w:r>
      <w:r w:rsidRPr="00EA2AB9">
        <w:rPr>
          <w:spacing w:val="-2"/>
          <w:lang w:val="fr-FR"/>
        </w:rPr>
        <w:t>)</w:t>
      </w:r>
    </w:p>
    <w:p w14:paraId="55F12C10" w14:textId="77777777" w:rsidR="006B758D" w:rsidRPr="00812CAB" w:rsidRDefault="006B758D">
      <w:pPr>
        <w:pStyle w:val="BodyText"/>
        <w:spacing w:before="1"/>
        <w:rPr>
          <w:sz w:val="16"/>
          <w:szCs w:val="16"/>
          <w:lang w:val="fr-FR"/>
        </w:rPr>
      </w:pPr>
    </w:p>
    <w:p w14:paraId="0FD2BC7B" w14:textId="32F72954" w:rsidR="006B758D" w:rsidRPr="00812CAB" w:rsidRDefault="0023308C" w:rsidP="00812CAB">
      <w:pPr>
        <w:pStyle w:val="BodyText"/>
        <w:spacing w:before="1" w:line="360" w:lineRule="auto"/>
        <w:ind w:left="396" w:right="116" w:firstLine="707"/>
        <w:jc w:val="both"/>
        <w:rPr>
          <w:lang w:val="fr-FR"/>
        </w:rPr>
      </w:pPr>
      <w:r w:rsidRPr="00EA2AB9">
        <w:rPr>
          <w:i/>
          <w:lang w:val="fr-FR"/>
        </w:rPr>
        <w:t xml:space="preserve">Faits : </w:t>
      </w:r>
      <w:r w:rsidRPr="00EA2AB9">
        <w:rPr>
          <w:lang w:val="fr-FR"/>
        </w:rPr>
        <w:t xml:space="preserve">Sun World, détentrice d'une variété végétale communautaire connue sous le nom de « </w:t>
      </w:r>
      <w:proofErr w:type="spellStart"/>
      <w:r w:rsidRPr="00EA2AB9">
        <w:rPr>
          <w:lang w:val="fr-FR"/>
        </w:rPr>
        <w:t>Sugranineteen</w:t>
      </w:r>
      <w:proofErr w:type="spellEnd"/>
      <w:r w:rsidRPr="00EA2AB9">
        <w:rPr>
          <w:lang w:val="fr-FR"/>
        </w:rPr>
        <w:t xml:space="preserve"> », qui produit des raisins de table rouges sans pépins commercialisés sous la marque déposée « </w:t>
      </w:r>
      <w:proofErr w:type="spellStart"/>
      <w:r w:rsidRPr="00EA2AB9">
        <w:rPr>
          <w:lang w:val="fr-FR"/>
        </w:rPr>
        <w:t>Scarlotta</w:t>
      </w:r>
      <w:proofErr w:type="spellEnd"/>
      <w:r w:rsidRPr="00EA2AB9">
        <w:rPr>
          <w:lang w:val="fr-FR"/>
        </w:rPr>
        <w:t xml:space="preserve"> </w:t>
      </w:r>
      <w:proofErr w:type="spellStart"/>
      <w:r w:rsidRPr="00EA2AB9">
        <w:rPr>
          <w:lang w:val="fr-FR"/>
        </w:rPr>
        <w:t>seedless</w:t>
      </w:r>
      <w:proofErr w:type="spellEnd"/>
      <w:r w:rsidRPr="00EA2AB9">
        <w:rPr>
          <w:lang w:val="fr-FR"/>
        </w:rPr>
        <w:t xml:space="preserve"> », a conclu un contrat intitulé « Contrat de location avec le producteur de raisins » (ci-après, le « Contrat principal ») avec l'entreprise individuelle « </w:t>
      </w:r>
      <w:proofErr w:type="spellStart"/>
      <w:r w:rsidRPr="00EA2AB9">
        <w:rPr>
          <w:lang w:val="fr-FR"/>
        </w:rPr>
        <w:t>Mi.An</w:t>
      </w:r>
      <w:proofErr w:type="spellEnd"/>
      <w:r w:rsidRPr="00EA2AB9">
        <w:rPr>
          <w:lang w:val="fr-FR"/>
        </w:rPr>
        <w:t>. »,</w:t>
      </w:r>
      <w:r w:rsidRPr="00EA2AB9">
        <w:rPr>
          <w:spacing w:val="-7"/>
          <w:lang w:val="fr-FR"/>
        </w:rPr>
        <w:t xml:space="preserve"> </w:t>
      </w:r>
      <w:r w:rsidRPr="00EA2AB9">
        <w:rPr>
          <w:lang w:val="fr-FR"/>
        </w:rPr>
        <w:t xml:space="preserve">propriétaire d'une parcelle de terrain de 1,8 hectare située dans la campagne d'Acquaviva delle Fonti (Bari, Italie). Ce contrat accordait à cette </w:t>
      </w:r>
      <w:r w:rsidRPr="00EA2AB9">
        <w:rPr>
          <w:spacing w:val="-2"/>
          <w:lang w:val="fr-FR"/>
        </w:rPr>
        <w:t>dernière,</w:t>
      </w:r>
    </w:p>
    <w:p w14:paraId="22956CD0" w14:textId="6C311A3D" w:rsidR="006B758D" w:rsidRPr="00EA2AB9" w:rsidRDefault="005C7D52">
      <w:pPr>
        <w:pStyle w:val="BodyText"/>
        <w:spacing w:before="8"/>
        <w:rPr>
          <w:sz w:val="13"/>
          <w:lang w:val="fr-FR"/>
        </w:rPr>
      </w:pPr>
      <w:r>
        <w:rPr>
          <w:noProof/>
        </w:rPr>
        <mc:AlternateContent>
          <mc:Choice Requires="wps">
            <w:drawing>
              <wp:anchor distT="0" distB="0" distL="0" distR="0" simplePos="0" relativeHeight="487604224" behindDoc="1" locked="0" layoutInCell="1" allowOverlap="1" wp14:anchorId="3D4CCAF1" wp14:editId="569DD628">
                <wp:simplePos x="0" y="0"/>
                <wp:positionH relativeFrom="page">
                  <wp:posOffset>899160</wp:posOffset>
                </wp:positionH>
                <wp:positionV relativeFrom="paragraph">
                  <wp:posOffset>115570</wp:posOffset>
                </wp:positionV>
                <wp:extent cx="1828800" cy="7620"/>
                <wp:effectExtent l="0" t="0" r="0" b="0"/>
                <wp:wrapTopAndBottom/>
                <wp:docPr id="667561322"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37" style="position:absolute;margin-left:70.8pt;margin-top:9.1pt;width:2in;height:.6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" w14:anchorId="7060EEA4">
                <w10:wrap type="topAndBottom" anchorx="page"/>
              </v:rect>
            </w:pict>
          </mc:Fallback>
        </mc:AlternateContent>
      </w:r>
    </w:p>
    <w:p w14:paraId="597C2EE5" w14:textId="23D51765" w:rsidR="006B758D" w:rsidRPr="00EA2AB9" w:rsidRDefault="0023308C">
      <w:pPr>
        <w:spacing w:before="101"/>
        <w:ind w:left="396"/>
        <w:rPr>
          <w:sz w:val="20"/>
          <w:lang w:val="fr-FR"/>
        </w:rPr>
      </w:pPr>
      <w:bookmarkStart w:id="136" w:name="_bookmark137"/>
      <w:bookmarkEnd w:id="136"/>
      <w:r w:rsidRPr="00EA2AB9">
        <w:rPr>
          <w:sz w:val="20"/>
          <w:vertAlign w:val="superscript"/>
          <w:lang w:val="fr-FR"/>
        </w:rPr>
        <w:t xml:space="preserve">109   </w:t>
      </w:r>
      <w:r w:rsidRPr="00676955">
        <w:rPr>
          <w:sz w:val="20"/>
          <w:lang w:val="fr-FR"/>
        </w:rPr>
        <w:t>Résumé</w:t>
      </w:r>
      <w:r w:rsidR="00676955">
        <w:rPr>
          <w:sz w:val="20"/>
          <w:lang w:val="fr-FR"/>
        </w:rPr>
        <w:t xml:space="preserve"> </w:t>
      </w:r>
      <w:r w:rsidRPr="00EA2AB9">
        <w:rPr>
          <w:sz w:val="20"/>
          <w:lang w:val="fr-FR"/>
        </w:rPr>
        <w:t>en anglais/texte intégral en allemand disponible à l'adresse</w:t>
      </w:r>
      <w:hyperlink r:id="rId20">
        <w:r w:rsidRPr="00EA2AB9">
          <w:rPr>
            <w:color w:val="0462C1"/>
            <w:spacing w:val="-2"/>
            <w:sz w:val="20"/>
            <w:u w:val="single" w:color="0462C1"/>
            <w:lang w:val="fr-FR"/>
          </w:rPr>
          <w:t xml:space="preserve"> https://cpvoextranet.cpvo.europa.eu/PVRCaseLaw</w:t>
        </w:r>
        <w:r w:rsidRPr="00EA2AB9">
          <w:rPr>
            <w:spacing w:val="-2"/>
            <w:sz w:val="20"/>
            <w:lang w:val="fr-FR"/>
          </w:rPr>
          <w:t>.</w:t>
        </w:r>
      </w:hyperlink>
    </w:p>
    <w:p w14:paraId="0C1FDE09" w14:textId="77777777" w:rsidR="006B758D" w:rsidRPr="00EA2AB9" w:rsidRDefault="006B758D">
      <w:pPr>
        <w:rPr>
          <w:sz w:val="20"/>
          <w:lang w:val="fr-FR"/>
        </w:rPr>
        <w:sectPr w:rsidR="006B758D" w:rsidRPr="00EA2AB9">
          <w:pgSz w:w="11910" w:h="16840"/>
          <w:pgMar w:top="1740" w:right="1300" w:bottom="1240" w:left="1020" w:header="0" w:footer="1049" w:gutter="0"/>
          <w:cols w:space="720"/>
        </w:sectPr>
      </w:pPr>
    </w:p>
    <w:p w14:paraId="3D95C6C0" w14:textId="77777777" w:rsidR="006B758D" w:rsidRPr="00EA2AB9" w:rsidRDefault="0023308C">
      <w:pPr>
        <w:pStyle w:val="BodyText"/>
        <w:spacing w:before="76" w:line="360" w:lineRule="auto"/>
        <w:ind w:left="396" w:right="120"/>
        <w:jc w:val="both"/>
        <w:rPr>
          <w:lang w:val="fr-FR"/>
        </w:rPr>
      </w:pPr>
      <w:proofErr w:type="gramStart"/>
      <w:r w:rsidRPr="00EA2AB9">
        <w:rPr>
          <w:lang w:val="fr-FR"/>
        </w:rPr>
        <w:lastRenderedPageBreak/>
        <w:t>moyennant</w:t>
      </w:r>
      <w:proofErr w:type="gramEnd"/>
      <w:r w:rsidRPr="00EA2AB9">
        <w:rPr>
          <w:lang w:val="fr-FR"/>
        </w:rPr>
        <w:t xml:space="preserve"> le paiement d'une somme de 855,60 euros, la licence de location et de culture de 3 100 bourgeons de </w:t>
      </w:r>
      <w:proofErr w:type="spellStart"/>
      <w:r w:rsidRPr="00EA2AB9">
        <w:rPr>
          <w:lang w:val="fr-FR"/>
        </w:rPr>
        <w:t>Sugranineteen</w:t>
      </w:r>
      <w:proofErr w:type="spellEnd"/>
      <w:r w:rsidRPr="00EA2AB9">
        <w:rPr>
          <w:lang w:val="fr-FR"/>
        </w:rPr>
        <w:t xml:space="preserve"> sur ses terres. L'article 4 du contrat principal prévoyait également que les fruits produits à partir des plantes louées devaient être commercialisés par un distributeur agréé de Sun World.</w:t>
      </w:r>
    </w:p>
    <w:p w14:paraId="35F69888" w14:textId="77777777" w:rsidR="006B758D" w:rsidRPr="00EA2AB9" w:rsidRDefault="006B758D">
      <w:pPr>
        <w:pStyle w:val="BodyText"/>
        <w:spacing w:before="1"/>
        <w:rPr>
          <w:sz w:val="36"/>
          <w:lang w:val="fr-FR"/>
        </w:rPr>
      </w:pPr>
    </w:p>
    <w:p w14:paraId="504658A5" w14:textId="77777777" w:rsidR="006B758D" w:rsidRPr="00EA2AB9" w:rsidRDefault="0023308C">
      <w:pPr>
        <w:pStyle w:val="BodyText"/>
        <w:spacing w:line="360" w:lineRule="auto"/>
        <w:ind w:left="396" w:right="115" w:firstLine="707"/>
        <w:jc w:val="both"/>
        <w:rPr>
          <w:lang w:val="fr-FR"/>
        </w:rPr>
      </w:pPr>
      <w:r w:rsidRPr="00EA2AB9">
        <w:rPr>
          <w:i/>
          <w:lang w:val="fr-FR"/>
        </w:rPr>
        <w:t xml:space="preserve">Conclusions : </w:t>
      </w:r>
      <w:r w:rsidRPr="00EA2AB9">
        <w:rPr>
          <w:lang w:val="fr-FR"/>
        </w:rPr>
        <w:t>La protection du produit de la récolte, consistant en des fruits qui ne sont pas susceptibles d'être utilisés comme matériel de reproduction ou de multiplication, ne peut être invoquée que dans deux conditions : (a) ce matériel a été obtenu par l'utilisation non autorisée de constituants de la variété ; (b) le titulaire n'a pas eu la possibilité d'exercer son droit sur ces constituants de la variété. Une clause contractuelle conférant au titulaire des droits de propriété intellectuelle sur des cultivars brevetés le pouvoir de déterminer les seules personnes habilitées à distribuer les fruits obtenus par le producteur, précédemment autorisé à utiliser les éléments constitutifs de la variété protégée à partir de laquelle ces fruits ont été produits, lorsque ces fruits ne sont pas susceptibles d'être utilisés comme matériel de reproduction ou de multiplication, est nulle et non avenue car contraire à l'ordre public, au motif qu'elle enfreint l'article 13, paragraphe 2, et 3) du règlement (CE) n° 2100/94 du Conseil, tel qu'interprété par la CJUE.</w:t>
      </w:r>
    </w:p>
    <w:p w14:paraId="35C39778" w14:textId="77777777" w:rsidR="006B758D" w:rsidRPr="00EA2AB9" w:rsidRDefault="006B758D">
      <w:pPr>
        <w:pStyle w:val="BodyText"/>
        <w:rPr>
          <w:sz w:val="26"/>
          <w:lang w:val="fr-FR"/>
        </w:rPr>
      </w:pPr>
    </w:p>
    <w:p w14:paraId="2B96B528" w14:textId="77777777" w:rsidR="006B758D" w:rsidRPr="00EA2AB9" w:rsidRDefault="006B758D">
      <w:pPr>
        <w:pStyle w:val="BodyText"/>
        <w:rPr>
          <w:sz w:val="26"/>
          <w:lang w:val="fr-FR"/>
        </w:rPr>
      </w:pPr>
    </w:p>
    <w:p w14:paraId="4FB07BD9" w14:textId="77777777" w:rsidR="006B758D" w:rsidRPr="00EA2AB9" w:rsidRDefault="006B758D">
      <w:pPr>
        <w:pStyle w:val="BodyText"/>
        <w:rPr>
          <w:sz w:val="26"/>
          <w:lang w:val="fr-FR"/>
        </w:rPr>
      </w:pPr>
    </w:p>
    <w:p w14:paraId="408C1623" w14:textId="77777777" w:rsidR="006B758D" w:rsidRPr="00EA2AB9" w:rsidRDefault="006B758D">
      <w:pPr>
        <w:pStyle w:val="BodyText"/>
        <w:spacing w:before="2"/>
        <w:rPr>
          <w:sz w:val="30"/>
          <w:lang w:val="fr-FR"/>
        </w:rPr>
      </w:pPr>
    </w:p>
    <w:p w14:paraId="593A228B" w14:textId="77777777" w:rsidR="006B758D" w:rsidRPr="00C92720" w:rsidRDefault="0023308C">
      <w:pPr>
        <w:tabs>
          <w:tab w:val="left" w:pos="987"/>
          <w:tab w:val="left" w:pos="1696"/>
        </w:tabs>
        <w:ind w:left="279"/>
        <w:jc w:val="center"/>
        <w:rPr>
          <w:spacing w:val="-10"/>
          <w:sz w:val="24"/>
          <w:lang w:val="fr-FR"/>
        </w:rPr>
      </w:pPr>
      <w:r w:rsidRPr="00C92720">
        <w:rPr>
          <w:spacing w:val="-10"/>
          <w:sz w:val="24"/>
          <w:lang w:val="fr-FR"/>
        </w:rPr>
        <w:t>*</w:t>
      </w:r>
      <w:r w:rsidRPr="00C92720">
        <w:rPr>
          <w:sz w:val="24"/>
          <w:lang w:val="fr-FR"/>
        </w:rPr>
        <w:tab/>
      </w:r>
      <w:r w:rsidRPr="00C92720">
        <w:rPr>
          <w:spacing w:val="-10"/>
          <w:sz w:val="24"/>
          <w:lang w:val="fr-FR"/>
        </w:rPr>
        <w:t>*</w:t>
      </w:r>
      <w:r w:rsidRPr="00C92720">
        <w:rPr>
          <w:sz w:val="24"/>
          <w:lang w:val="fr-FR"/>
        </w:rPr>
        <w:tab/>
      </w:r>
      <w:r w:rsidRPr="00C92720">
        <w:rPr>
          <w:spacing w:val="-10"/>
          <w:sz w:val="24"/>
          <w:lang w:val="fr-FR"/>
        </w:rPr>
        <w:t>*</w:t>
      </w:r>
      <w:bookmarkEnd w:id="0"/>
    </w:p>
    <w:p w14:paraId="780D7218" w14:textId="77777777" w:rsidR="00C92720" w:rsidRPr="00C92720" w:rsidRDefault="00C92720">
      <w:pPr>
        <w:tabs>
          <w:tab w:val="left" w:pos="987"/>
          <w:tab w:val="left" w:pos="1696"/>
        </w:tabs>
        <w:ind w:left="279"/>
        <w:jc w:val="center"/>
        <w:rPr>
          <w:spacing w:val="-10"/>
          <w:sz w:val="24"/>
          <w:lang w:val="fr-FR"/>
        </w:rPr>
      </w:pPr>
    </w:p>
    <w:p w14:paraId="223583DE" w14:textId="77777777" w:rsidR="00C92720" w:rsidRDefault="00C92720">
      <w:pPr>
        <w:tabs>
          <w:tab w:val="left" w:pos="987"/>
          <w:tab w:val="left" w:pos="1696"/>
        </w:tabs>
        <w:ind w:left="279"/>
        <w:jc w:val="center"/>
        <w:rPr>
          <w:spacing w:val="-10"/>
          <w:sz w:val="24"/>
          <w:lang w:val="fr-FR"/>
        </w:rPr>
      </w:pPr>
    </w:p>
    <w:p w14:paraId="004EB2F7" w14:textId="77777777" w:rsidR="00C92720" w:rsidRPr="00C92720" w:rsidRDefault="00C92720">
      <w:pPr>
        <w:tabs>
          <w:tab w:val="left" w:pos="987"/>
          <w:tab w:val="left" w:pos="1696"/>
        </w:tabs>
        <w:ind w:left="279"/>
        <w:jc w:val="center"/>
        <w:rPr>
          <w:spacing w:val="-10"/>
          <w:sz w:val="24"/>
          <w:lang w:val="fr-FR"/>
        </w:rPr>
      </w:pPr>
    </w:p>
    <w:p w14:paraId="68CB2ABC" w14:textId="7C47C8D8" w:rsidR="00C92720" w:rsidRPr="00C92720" w:rsidRDefault="00C92720" w:rsidP="00C92720">
      <w:pPr>
        <w:jc w:val="right"/>
        <w:rPr>
          <w:rFonts w:ascii="Arial" w:hAnsi="Arial" w:cs="Arial"/>
          <w:sz w:val="20"/>
          <w:szCs w:val="20"/>
          <w:lang w:val="fr-FR"/>
        </w:rPr>
      </w:pPr>
      <w:r w:rsidRPr="00C92720">
        <w:rPr>
          <w:rFonts w:ascii="Arial" w:hAnsi="Arial" w:cs="Arial"/>
          <w:sz w:val="20"/>
          <w:szCs w:val="20"/>
          <w:lang w:val="fr-FR"/>
        </w:rPr>
        <w:t>[Fin de l’annexe et du d</w:t>
      </w:r>
      <w:r w:rsidRPr="000C6C0B">
        <w:rPr>
          <w:rFonts w:ascii="Arial" w:hAnsi="Arial" w:cs="Arial"/>
          <w:sz w:val="20"/>
          <w:szCs w:val="20"/>
          <w:lang w:val="fr-FR"/>
        </w:rPr>
        <w:t>ocument]</w:t>
      </w:r>
    </w:p>
    <w:sectPr w:rsidR="00C92720" w:rsidRPr="00C92720">
      <w:footerReference w:type="default" r:id="rId21"/>
      <w:pgSz w:w="11910" w:h="16840"/>
      <w:pgMar w:top="1320" w:right="1300" w:bottom="1240" w:left="102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F6F2" w14:textId="77777777" w:rsidR="00E9333E" w:rsidRDefault="00E9333E">
      <w:r>
        <w:separator/>
      </w:r>
    </w:p>
  </w:endnote>
  <w:endnote w:type="continuationSeparator" w:id="0">
    <w:p w14:paraId="3F835429" w14:textId="77777777" w:rsidR="00E9333E" w:rsidRDefault="00E9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7721" w14:textId="34265BE4" w:rsidR="006B758D" w:rsidRDefault="005C7D52">
    <w:pPr>
      <w:pStyle w:val="BodyText"/>
      <w:spacing w:line="14" w:lineRule="auto"/>
      <w:rPr>
        <w:sz w:val="20"/>
      </w:rPr>
    </w:pPr>
    <w:r>
      <w:rPr>
        <w:noProof/>
      </w:rPr>
      <mc:AlternateContent>
        <mc:Choice Requires="wps">
          <w:drawing>
            <wp:anchor distT="0" distB="0" distL="114300" distR="114300" simplePos="0" relativeHeight="486729728" behindDoc="1" locked="0" layoutInCell="1" allowOverlap="1" wp14:anchorId="19BB27D9" wp14:editId="53457A6B">
              <wp:simplePos x="0" y="0"/>
              <wp:positionH relativeFrom="page">
                <wp:posOffset>6367145</wp:posOffset>
              </wp:positionH>
              <wp:positionV relativeFrom="page">
                <wp:posOffset>9886950</wp:posOffset>
              </wp:positionV>
              <wp:extent cx="165100" cy="194310"/>
              <wp:effectExtent l="0" t="0" r="0" b="0"/>
              <wp:wrapNone/>
              <wp:docPr id="17460568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0BA46" w14:textId="77777777" w:rsidR="006B758D" w:rsidRDefault="0023308C">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B27D9" id="_x0000_t202" coordsize="21600,21600" o:spt="202" path="m,l,21600r21600,l21600,xe">
              <v:stroke joinstyle="miter"/>
              <v:path gradientshapeok="t" o:connecttype="rect"/>
            </v:shapetype>
            <v:shape id="docshape1" o:spid="_x0000_s1026" type="#_x0000_t202" style="position:absolute;margin-left:501.35pt;margin-top:778.5pt;width:13pt;height:15.3pt;z-index:-165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" filled="f" stroked="f">
              <v:textbox inset="0,0,0,0">
                <w:txbxContent>
                  <w:p w14:paraId="7770BA46" w14:textId="77777777" w:rsidR="006B758D" w:rsidRDefault="0023308C">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F457" w14:textId="31E86DF1" w:rsidR="006B758D" w:rsidRDefault="005C7D52">
    <w:pPr>
      <w:pStyle w:val="BodyText"/>
      <w:spacing w:line="14" w:lineRule="auto"/>
      <w:rPr>
        <w:sz w:val="20"/>
      </w:rPr>
    </w:pPr>
    <w:r>
      <w:rPr>
        <w:noProof/>
      </w:rPr>
      <mc:AlternateContent>
        <mc:Choice Requires="wps">
          <w:drawing>
            <wp:anchor distT="0" distB="0" distL="114300" distR="114300" simplePos="0" relativeHeight="486730240" behindDoc="1" locked="0" layoutInCell="1" allowOverlap="1" wp14:anchorId="3BF46914" wp14:editId="7F59C506">
              <wp:simplePos x="0" y="0"/>
              <wp:positionH relativeFrom="page">
                <wp:posOffset>6316345</wp:posOffset>
              </wp:positionH>
              <wp:positionV relativeFrom="page">
                <wp:posOffset>9886950</wp:posOffset>
              </wp:positionV>
              <wp:extent cx="177800" cy="194310"/>
              <wp:effectExtent l="0" t="0" r="0" b="0"/>
              <wp:wrapNone/>
              <wp:docPr id="158598604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96FB" w14:textId="72AE2651" w:rsidR="006B758D" w:rsidRDefault="0023308C">
                          <w:pPr>
                            <w:pStyle w:val="BodyText"/>
                            <w:spacing w:before="10"/>
                            <w:ind w:left="20"/>
                          </w:pPr>
                          <w:r>
                            <w:rPr>
                              <w:spacing w:val="-5"/>
                            </w:rPr>
                            <w:t>1</w:t>
                          </w:r>
                          <w:r w:rsidR="0076224E">
                            <w:rPr>
                              <w:spacing w:val="-5"/>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46914" id="_x0000_t202" coordsize="21600,21600" o:spt="202" path="m,l,21600r21600,l21600,xe">
              <v:stroke joinstyle="miter"/>
              <v:path gradientshapeok="t" o:connecttype="rect"/>
            </v:shapetype>
            <v:shape id="docshape7" o:spid="_x0000_s1027" type="#_x0000_t202" style="position:absolute;margin-left:497.35pt;margin-top:778.5pt;width:14pt;height:15.3pt;z-index:-165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" filled="f" stroked="f">
              <v:textbox inset="0,0,0,0">
                <w:txbxContent>
                  <w:p w14:paraId="351296FB" w14:textId="72AE2651" w:rsidR="006B758D" w:rsidRDefault="0023308C">
                    <w:pPr>
                      <w:pStyle w:val="BodyText"/>
                      <w:spacing w:before="10"/>
                      <w:ind w:left="20"/>
                    </w:pPr>
                    <w:r>
                      <w:rPr>
                        <w:spacing w:val="-5"/>
                      </w:rPr>
                      <w:t>1</w:t>
                    </w:r>
                    <w:r w:rsidR="0076224E">
                      <w:rPr>
                        <w:spacing w:val="-5"/>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F514" w14:textId="00A102B4" w:rsidR="006B758D" w:rsidRDefault="005C7D52">
    <w:pPr>
      <w:pStyle w:val="BodyText"/>
      <w:spacing w:line="14" w:lineRule="auto"/>
      <w:rPr>
        <w:sz w:val="20"/>
      </w:rPr>
    </w:pPr>
    <w:r>
      <w:rPr>
        <w:noProof/>
      </w:rPr>
      <mc:AlternateContent>
        <mc:Choice Requires="wps">
          <w:drawing>
            <wp:anchor distT="0" distB="0" distL="114300" distR="114300" simplePos="0" relativeHeight="486730752" behindDoc="1" locked="0" layoutInCell="1" allowOverlap="1" wp14:anchorId="2A6FF56A" wp14:editId="01359BA7">
              <wp:simplePos x="0" y="0"/>
              <wp:positionH relativeFrom="page">
                <wp:posOffset>6290945</wp:posOffset>
              </wp:positionH>
              <wp:positionV relativeFrom="page">
                <wp:posOffset>9886950</wp:posOffset>
              </wp:positionV>
              <wp:extent cx="241300" cy="194310"/>
              <wp:effectExtent l="0" t="0" r="0" b="0"/>
              <wp:wrapNone/>
              <wp:docPr id="96202644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7F1D0"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FF56A" id="_x0000_t202" coordsize="21600,21600" o:spt="202" path="m,l,21600r21600,l21600,xe">
              <v:stroke joinstyle="miter"/>
              <v:path gradientshapeok="t" o:connecttype="rect"/>
            </v:shapetype>
            <v:shape id="docshape9" o:spid="_x0000_s1028" type="#_x0000_t202" style="position:absolute;margin-left:495.35pt;margin-top:778.5pt;width:19pt;height:15.3pt;z-index:-165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" filled="f" stroked="f">
              <v:textbox inset="0,0,0,0">
                <w:txbxContent>
                  <w:p w14:paraId="4637F1D0"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A7CC" w14:textId="32F1D08D" w:rsidR="006B758D" w:rsidRDefault="005C7D52">
    <w:pPr>
      <w:pStyle w:val="BodyText"/>
      <w:spacing w:line="14" w:lineRule="auto"/>
      <w:rPr>
        <w:sz w:val="20"/>
      </w:rPr>
    </w:pPr>
    <w:r>
      <w:rPr>
        <w:noProof/>
      </w:rPr>
      <mc:AlternateContent>
        <mc:Choice Requires="wps">
          <w:drawing>
            <wp:anchor distT="0" distB="0" distL="114300" distR="114300" simplePos="0" relativeHeight="486731264" behindDoc="1" locked="0" layoutInCell="1" allowOverlap="1" wp14:anchorId="2426B27C" wp14:editId="52AF8799">
              <wp:simplePos x="0" y="0"/>
              <wp:positionH relativeFrom="page">
                <wp:posOffset>6470650</wp:posOffset>
              </wp:positionH>
              <wp:positionV relativeFrom="page">
                <wp:posOffset>9886950</wp:posOffset>
              </wp:positionV>
              <wp:extent cx="241300" cy="194310"/>
              <wp:effectExtent l="0" t="0" r="0" b="0"/>
              <wp:wrapNone/>
              <wp:docPr id="982634629"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63D95"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6B27C" id="_x0000_t202" coordsize="21600,21600" o:spt="202" path="m,l,21600r21600,l21600,xe">
              <v:stroke joinstyle="miter"/>
              <v:path gradientshapeok="t" o:connecttype="rect"/>
            </v:shapetype>
            <v:shape id="docshape29" o:spid="_x0000_s1029" type="#_x0000_t202" style="position:absolute;margin-left:509.5pt;margin-top:778.5pt;width:19pt;height:15.3pt;z-index:-165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92QEAAJcDAAAOAAAAZHJzL2Uyb0RvYy54bWysU9uO0zAQfUfiHyy/0zTt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" filled="f" stroked="f">
              <v:textbox inset="0,0,0,0">
                <w:txbxContent>
                  <w:p w14:paraId="3F163D95"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33</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B001" w14:textId="6179B365" w:rsidR="006B758D" w:rsidRDefault="005C7D52">
    <w:pPr>
      <w:pStyle w:val="BodyText"/>
      <w:spacing w:line="14" w:lineRule="auto"/>
      <w:rPr>
        <w:sz w:val="20"/>
      </w:rPr>
    </w:pPr>
    <w:r>
      <w:rPr>
        <w:noProof/>
      </w:rPr>
      <mc:AlternateContent>
        <mc:Choice Requires="wps">
          <w:drawing>
            <wp:anchor distT="0" distB="0" distL="114300" distR="114300" simplePos="0" relativeHeight="486731776" behindDoc="1" locked="0" layoutInCell="1" allowOverlap="1" wp14:anchorId="7B9A03C1" wp14:editId="18006043">
              <wp:simplePos x="0" y="0"/>
              <wp:positionH relativeFrom="page">
                <wp:posOffset>6470650</wp:posOffset>
              </wp:positionH>
              <wp:positionV relativeFrom="page">
                <wp:posOffset>9886950</wp:posOffset>
              </wp:positionV>
              <wp:extent cx="241300" cy="194310"/>
              <wp:effectExtent l="0" t="0" r="0" b="0"/>
              <wp:wrapNone/>
              <wp:docPr id="1119611847"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A27D"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A03C1" id="_x0000_t202" coordsize="21600,21600" o:spt="202" path="m,l,21600r21600,l21600,xe">
              <v:stroke joinstyle="miter"/>
              <v:path gradientshapeok="t" o:connecttype="rect"/>
            </v:shapetype>
            <v:shape id="docshape49" o:spid="_x0000_s1030" type="#_x0000_t202" style="position:absolute;margin-left:509.5pt;margin-top:778.5pt;width:19pt;height:15.3pt;z-index:-1658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" filled="f" stroked="f">
              <v:textbox inset="0,0,0,0">
                <w:txbxContent>
                  <w:p w14:paraId="282BA27D" w14:textId="77777777" w:rsidR="006B758D" w:rsidRDefault="0023308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235E" w14:textId="77777777" w:rsidR="00E9333E" w:rsidRDefault="00E9333E">
      <w:r>
        <w:separator/>
      </w:r>
    </w:p>
  </w:footnote>
  <w:footnote w:type="continuationSeparator" w:id="0">
    <w:p w14:paraId="026D5211" w14:textId="77777777" w:rsidR="00E9333E" w:rsidRDefault="00E9333E">
      <w:r>
        <w:continuationSeparator/>
      </w:r>
    </w:p>
  </w:footnote>
  <w:footnote w:id="1">
    <w:p w14:paraId="7BD84A09" w14:textId="77777777" w:rsidR="00CB661B" w:rsidRPr="00CB661B" w:rsidRDefault="00CB661B" w:rsidP="00CB661B">
      <w:pPr>
        <w:pStyle w:val="FootnoteText"/>
        <w:rPr>
          <w:lang w:val="fr-FR"/>
        </w:rPr>
      </w:pPr>
      <w:r>
        <w:rPr>
          <w:rStyle w:val="FootnoteReference"/>
        </w:rPr>
        <w:footnoteRef/>
      </w:r>
      <w:r w:rsidRPr="00CB661B">
        <w:rPr>
          <w:lang w:val="fr-FR"/>
        </w:rPr>
        <w:t xml:space="preserve"> Tenue à Genève le 22 octobre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0D29" w14:textId="22AEFF67" w:rsidR="00CB661B" w:rsidRPr="00CB661B" w:rsidRDefault="00CB661B" w:rsidP="00CB661B">
    <w:pPr>
      <w:pStyle w:val="Header"/>
      <w:jc w:val="center"/>
      <w:rPr>
        <w:rFonts w:ascii="Arial" w:hAnsi="Arial" w:cs="Arial"/>
        <w:sz w:val="20"/>
        <w:szCs w:val="20"/>
      </w:rPr>
    </w:pPr>
    <w:r w:rsidRPr="00CB661B">
      <w:rPr>
        <w:rFonts w:ascii="Arial" w:hAnsi="Arial" w:cs="Arial"/>
        <w:sz w:val="20"/>
        <w:szCs w:val="20"/>
      </w:rPr>
      <w:t>WG-HRV/9/2</w:t>
    </w:r>
  </w:p>
  <w:p w14:paraId="50CC22FA" w14:textId="77777777" w:rsidR="00CB661B" w:rsidRPr="00CB661B" w:rsidRDefault="00CB661B" w:rsidP="00CB661B">
    <w:pPr>
      <w:pStyle w:val="Header"/>
      <w:jc w:val="center"/>
      <w:rPr>
        <w:rFonts w:ascii="Arial" w:hAnsi="Arial" w:cs="Arial"/>
        <w:sz w:val="20"/>
        <w:szCs w:val="20"/>
      </w:rPr>
    </w:pPr>
  </w:p>
  <w:p w14:paraId="4F6611CB" w14:textId="6922B149" w:rsidR="00CB661B" w:rsidRPr="00CB661B" w:rsidRDefault="00CB661B" w:rsidP="00CB661B">
    <w:pPr>
      <w:pStyle w:val="Header"/>
      <w:jc w:val="center"/>
      <w:rPr>
        <w:rFonts w:ascii="Arial" w:hAnsi="Arial" w:cs="Arial"/>
        <w:sz w:val="20"/>
        <w:szCs w:val="20"/>
      </w:rPr>
    </w:pPr>
    <w:r w:rsidRPr="00CB661B">
      <w:rPr>
        <w:rFonts w:ascii="Arial" w:hAnsi="Arial" w:cs="Arial"/>
        <w:sz w:val="20"/>
        <w:szCs w:val="20"/>
      </w:rPr>
      <w:t>ANNEXE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EEA7" w14:textId="29B76CC9" w:rsidR="00CB661B" w:rsidRPr="00CB661B" w:rsidRDefault="00CB661B" w:rsidP="00CB661B">
    <w:pPr>
      <w:pStyle w:val="Header"/>
      <w:jc w:val="center"/>
      <w:rPr>
        <w:rFonts w:ascii="Arial" w:hAnsi="Arial" w:cs="Arial"/>
        <w:sz w:val="20"/>
        <w:szCs w:val="20"/>
      </w:rPr>
    </w:pPr>
    <w:r w:rsidRPr="00CB661B">
      <w:rPr>
        <w:rFonts w:ascii="Arial" w:hAnsi="Arial" w:cs="Arial"/>
        <w:sz w:val="20"/>
        <w:szCs w:val="20"/>
      </w:rPr>
      <w:t>WG-HRV/9/2</w:t>
    </w:r>
  </w:p>
  <w:p w14:paraId="767F6F15" w14:textId="1F4B603B" w:rsidR="00CB661B" w:rsidRPr="00CB661B" w:rsidRDefault="00CB661B" w:rsidP="00CB661B">
    <w:pPr>
      <w:pStyle w:val="Header"/>
      <w:jc w:val="center"/>
      <w:rPr>
        <w:rFonts w:ascii="Arial" w:hAnsi="Arial" w:cs="Arial"/>
        <w:sz w:val="20"/>
        <w:szCs w:val="20"/>
      </w:rPr>
    </w:pPr>
    <w:proofErr w:type="spellStart"/>
    <w:r>
      <w:rPr>
        <w:rFonts w:ascii="Arial" w:hAnsi="Arial" w:cs="Arial"/>
        <w:sz w:val="20"/>
        <w:szCs w:val="20"/>
      </w:rPr>
      <w:t>Annexe</w:t>
    </w:r>
    <w:proofErr w:type="spellEnd"/>
    <w:r>
      <w:rPr>
        <w:rFonts w:ascii="Arial" w:hAnsi="Arial" w:cs="Arial"/>
        <w:sz w:val="20"/>
        <w:szCs w:val="20"/>
      </w:rPr>
      <w:t xml:space="preserve">, page </w:t>
    </w:r>
    <w:r w:rsidRPr="00CB661B">
      <w:rPr>
        <w:rFonts w:ascii="Arial" w:hAnsi="Arial" w:cs="Arial"/>
        <w:sz w:val="20"/>
        <w:szCs w:val="20"/>
      </w:rPr>
      <w:fldChar w:fldCharType="begin"/>
    </w:r>
    <w:r w:rsidRPr="00CB661B">
      <w:rPr>
        <w:rFonts w:ascii="Arial" w:hAnsi="Arial" w:cs="Arial"/>
        <w:sz w:val="20"/>
        <w:szCs w:val="20"/>
      </w:rPr>
      <w:instrText xml:space="preserve"> PAGE   \* MERGEFORMAT </w:instrText>
    </w:r>
    <w:r w:rsidRPr="00CB661B">
      <w:rPr>
        <w:rFonts w:ascii="Arial" w:hAnsi="Arial" w:cs="Arial"/>
        <w:sz w:val="20"/>
        <w:szCs w:val="20"/>
      </w:rPr>
      <w:fldChar w:fldCharType="separate"/>
    </w:r>
    <w:r w:rsidRPr="00CB661B">
      <w:rPr>
        <w:rFonts w:ascii="Arial" w:hAnsi="Arial" w:cs="Arial"/>
        <w:noProof/>
        <w:sz w:val="20"/>
        <w:szCs w:val="20"/>
      </w:rPr>
      <w:t>1</w:t>
    </w:r>
    <w:r w:rsidRPr="00CB661B">
      <w:rPr>
        <w:rFonts w:ascii="Arial" w:hAnsi="Arial" w:cs="Arial"/>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0FAE"/>
    <w:multiLevelType w:val="hybridMultilevel"/>
    <w:tmpl w:val="51409B1C"/>
    <w:lvl w:ilvl="0" w:tplc="122EF0D2">
      <w:start w:val="1"/>
      <w:numFmt w:val="upperRoman"/>
      <w:lvlText w:val="%1."/>
      <w:lvlJc w:val="left"/>
      <w:pPr>
        <w:ind w:left="881" w:hanging="199"/>
      </w:pPr>
      <w:rPr>
        <w:rFonts w:ascii="Times New Roman" w:eastAsia="Times New Roman" w:hAnsi="Times New Roman" w:cs="Times New Roman" w:hint="default"/>
        <w:b w:val="0"/>
        <w:bCs w:val="0"/>
        <w:i w:val="0"/>
        <w:iCs w:val="0"/>
        <w:spacing w:val="-4"/>
        <w:w w:val="100"/>
        <w:sz w:val="24"/>
        <w:szCs w:val="24"/>
        <w:lang w:val="en-US" w:eastAsia="en-US" w:bidi="ar-SA"/>
      </w:rPr>
    </w:lvl>
    <w:lvl w:ilvl="1" w:tplc="3C18E182">
      <w:numFmt w:val="bullet"/>
      <w:lvlText w:val="•"/>
      <w:lvlJc w:val="left"/>
      <w:pPr>
        <w:ind w:left="1750" w:hanging="199"/>
      </w:pPr>
      <w:rPr>
        <w:rFonts w:hint="default"/>
        <w:lang w:val="en-US" w:eastAsia="en-US" w:bidi="ar-SA"/>
      </w:rPr>
    </w:lvl>
    <w:lvl w:ilvl="2" w:tplc="C93ED342">
      <w:numFmt w:val="bullet"/>
      <w:lvlText w:val="•"/>
      <w:lvlJc w:val="left"/>
      <w:pPr>
        <w:ind w:left="2621" w:hanging="199"/>
      </w:pPr>
      <w:rPr>
        <w:rFonts w:hint="default"/>
        <w:lang w:val="en-US" w:eastAsia="en-US" w:bidi="ar-SA"/>
      </w:rPr>
    </w:lvl>
    <w:lvl w:ilvl="3" w:tplc="27684AEA">
      <w:numFmt w:val="bullet"/>
      <w:lvlText w:val="•"/>
      <w:lvlJc w:val="left"/>
      <w:pPr>
        <w:ind w:left="3491" w:hanging="199"/>
      </w:pPr>
      <w:rPr>
        <w:rFonts w:hint="default"/>
        <w:lang w:val="en-US" w:eastAsia="en-US" w:bidi="ar-SA"/>
      </w:rPr>
    </w:lvl>
    <w:lvl w:ilvl="4" w:tplc="89D42A18">
      <w:numFmt w:val="bullet"/>
      <w:lvlText w:val="•"/>
      <w:lvlJc w:val="left"/>
      <w:pPr>
        <w:ind w:left="4362" w:hanging="199"/>
      </w:pPr>
      <w:rPr>
        <w:rFonts w:hint="default"/>
        <w:lang w:val="en-US" w:eastAsia="en-US" w:bidi="ar-SA"/>
      </w:rPr>
    </w:lvl>
    <w:lvl w:ilvl="5" w:tplc="4CCC9516">
      <w:numFmt w:val="bullet"/>
      <w:lvlText w:val="•"/>
      <w:lvlJc w:val="left"/>
      <w:pPr>
        <w:ind w:left="5233" w:hanging="199"/>
      </w:pPr>
      <w:rPr>
        <w:rFonts w:hint="default"/>
        <w:lang w:val="en-US" w:eastAsia="en-US" w:bidi="ar-SA"/>
      </w:rPr>
    </w:lvl>
    <w:lvl w:ilvl="6" w:tplc="FD065300">
      <w:numFmt w:val="bullet"/>
      <w:lvlText w:val="•"/>
      <w:lvlJc w:val="left"/>
      <w:pPr>
        <w:ind w:left="6103" w:hanging="199"/>
      </w:pPr>
      <w:rPr>
        <w:rFonts w:hint="default"/>
        <w:lang w:val="en-US" w:eastAsia="en-US" w:bidi="ar-SA"/>
      </w:rPr>
    </w:lvl>
    <w:lvl w:ilvl="7" w:tplc="9B0A52DC">
      <w:numFmt w:val="bullet"/>
      <w:lvlText w:val="•"/>
      <w:lvlJc w:val="left"/>
      <w:pPr>
        <w:ind w:left="6974" w:hanging="199"/>
      </w:pPr>
      <w:rPr>
        <w:rFonts w:hint="default"/>
        <w:lang w:val="en-US" w:eastAsia="en-US" w:bidi="ar-SA"/>
      </w:rPr>
    </w:lvl>
    <w:lvl w:ilvl="8" w:tplc="2B00060A">
      <w:numFmt w:val="bullet"/>
      <w:lvlText w:val="•"/>
      <w:lvlJc w:val="left"/>
      <w:pPr>
        <w:ind w:left="7845" w:hanging="199"/>
      </w:pPr>
      <w:rPr>
        <w:rFonts w:hint="default"/>
        <w:lang w:val="en-US" w:eastAsia="en-US" w:bidi="ar-SA"/>
      </w:rPr>
    </w:lvl>
  </w:abstractNum>
  <w:abstractNum w:abstractNumId="1" w15:restartNumberingAfterBreak="0">
    <w:nsid w:val="211A2A9D"/>
    <w:multiLevelType w:val="hybridMultilevel"/>
    <w:tmpl w:val="0F6AC63C"/>
    <w:lvl w:ilvl="0" w:tplc="9A2AAFD8">
      <w:start w:val="2"/>
      <w:numFmt w:val="decimal"/>
      <w:lvlText w:val="%1."/>
      <w:lvlJc w:val="left"/>
      <w:pPr>
        <w:ind w:left="682" w:hanging="425"/>
      </w:pPr>
      <w:rPr>
        <w:rFonts w:ascii="Times New Roman" w:eastAsia="Times New Roman" w:hAnsi="Times New Roman" w:cs="Times New Roman" w:hint="default"/>
        <w:b/>
        <w:bCs/>
        <w:i w:val="0"/>
        <w:iCs w:val="0"/>
        <w:w w:val="100"/>
        <w:sz w:val="24"/>
        <w:szCs w:val="24"/>
        <w:lang w:val="en-US" w:eastAsia="en-US" w:bidi="ar-SA"/>
      </w:rPr>
    </w:lvl>
    <w:lvl w:ilvl="1" w:tplc="A68CF9C0">
      <w:numFmt w:val="bullet"/>
      <w:lvlText w:val="•"/>
      <w:lvlJc w:val="left"/>
      <w:pPr>
        <w:ind w:left="1570" w:hanging="425"/>
      </w:pPr>
      <w:rPr>
        <w:rFonts w:hint="default"/>
        <w:lang w:val="en-US" w:eastAsia="en-US" w:bidi="ar-SA"/>
      </w:rPr>
    </w:lvl>
    <w:lvl w:ilvl="2" w:tplc="DA3CB470">
      <w:numFmt w:val="bullet"/>
      <w:lvlText w:val="•"/>
      <w:lvlJc w:val="left"/>
      <w:pPr>
        <w:ind w:left="2461" w:hanging="425"/>
      </w:pPr>
      <w:rPr>
        <w:rFonts w:hint="default"/>
        <w:lang w:val="en-US" w:eastAsia="en-US" w:bidi="ar-SA"/>
      </w:rPr>
    </w:lvl>
    <w:lvl w:ilvl="3" w:tplc="9DE011EA">
      <w:numFmt w:val="bullet"/>
      <w:lvlText w:val="•"/>
      <w:lvlJc w:val="left"/>
      <w:pPr>
        <w:ind w:left="3351" w:hanging="425"/>
      </w:pPr>
      <w:rPr>
        <w:rFonts w:hint="default"/>
        <w:lang w:val="en-US" w:eastAsia="en-US" w:bidi="ar-SA"/>
      </w:rPr>
    </w:lvl>
    <w:lvl w:ilvl="4" w:tplc="BC14DC0C">
      <w:numFmt w:val="bullet"/>
      <w:lvlText w:val="•"/>
      <w:lvlJc w:val="left"/>
      <w:pPr>
        <w:ind w:left="4242" w:hanging="425"/>
      </w:pPr>
      <w:rPr>
        <w:rFonts w:hint="default"/>
        <w:lang w:val="en-US" w:eastAsia="en-US" w:bidi="ar-SA"/>
      </w:rPr>
    </w:lvl>
    <w:lvl w:ilvl="5" w:tplc="37A66E84">
      <w:numFmt w:val="bullet"/>
      <w:lvlText w:val="•"/>
      <w:lvlJc w:val="left"/>
      <w:pPr>
        <w:ind w:left="5133" w:hanging="425"/>
      </w:pPr>
      <w:rPr>
        <w:rFonts w:hint="default"/>
        <w:lang w:val="en-US" w:eastAsia="en-US" w:bidi="ar-SA"/>
      </w:rPr>
    </w:lvl>
    <w:lvl w:ilvl="6" w:tplc="5F060294">
      <w:numFmt w:val="bullet"/>
      <w:lvlText w:val="•"/>
      <w:lvlJc w:val="left"/>
      <w:pPr>
        <w:ind w:left="6023" w:hanging="425"/>
      </w:pPr>
      <w:rPr>
        <w:rFonts w:hint="default"/>
        <w:lang w:val="en-US" w:eastAsia="en-US" w:bidi="ar-SA"/>
      </w:rPr>
    </w:lvl>
    <w:lvl w:ilvl="7" w:tplc="2B62DD8E">
      <w:numFmt w:val="bullet"/>
      <w:lvlText w:val="•"/>
      <w:lvlJc w:val="left"/>
      <w:pPr>
        <w:ind w:left="6914" w:hanging="425"/>
      </w:pPr>
      <w:rPr>
        <w:rFonts w:hint="default"/>
        <w:lang w:val="en-US" w:eastAsia="en-US" w:bidi="ar-SA"/>
      </w:rPr>
    </w:lvl>
    <w:lvl w:ilvl="8" w:tplc="3B14BAFA">
      <w:numFmt w:val="bullet"/>
      <w:lvlText w:val="•"/>
      <w:lvlJc w:val="left"/>
      <w:pPr>
        <w:ind w:left="7805" w:hanging="425"/>
      </w:pPr>
      <w:rPr>
        <w:rFonts w:hint="default"/>
        <w:lang w:val="en-US" w:eastAsia="en-US" w:bidi="ar-SA"/>
      </w:rPr>
    </w:lvl>
  </w:abstractNum>
  <w:abstractNum w:abstractNumId="2" w15:restartNumberingAfterBreak="0">
    <w:nsid w:val="2B2272C9"/>
    <w:multiLevelType w:val="hybridMultilevel"/>
    <w:tmpl w:val="94FAB4AC"/>
    <w:lvl w:ilvl="0" w:tplc="B12A18AE">
      <w:start w:val="1"/>
      <w:numFmt w:val="lowerRoman"/>
      <w:lvlText w:val="%1)"/>
      <w:lvlJc w:val="left"/>
      <w:pPr>
        <w:ind w:left="682" w:hanging="209"/>
      </w:pPr>
      <w:rPr>
        <w:rFonts w:ascii="Times New Roman" w:eastAsia="Times New Roman" w:hAnsi="Times New Roman" w:cs="Times New Roman" w:hint="default"/>
        <w:b w:val="0"/>
        <w:bCs w:val="0"/>
        <w:i w:val="0"/>
        <w:iCs w:val="0"/>
        <w:w w:val="100"/>
        <w:sz w:val="24"/>
        <w:szCs w:val="24"/>
        <w:lang w:val="en-US" w:eastAsia="en-US" w:bidi="ar-SA"/>
      </w:rPr>
    </w:lvl>
    <w:lvl w:ilvl="1" w:tplc="33327C42">
      <w:numFmt w:val="bullet"/>
      <w:lvlText w:val="•"/>
      <w:lvlJc w:val="left"/>
      <w:pPr>
        <w:ind w:left="1570" w:hanging="209"/>
      </w:pPr>
      <w:rPr>
        <w:rFonts w:hint="default"/>
        <w:lang w:val="en-US" w:eastAsia="en-US" w:bidi="ar-SA"/>
      </w:rPr>
    </w:lvl>
    <w:lvl w:ilvl="2" w:tplc="764CB17E">
      <w:numFmt w:val="bullet"/>
      <w:lvlText w:val="•"/>
      <w:lvlJc w:val="left"/>
      <w:pPr>
        <w:ind w:left="2461" w:hanging="209"/>
      </w:pPr>
      <w:rPr>
        <w:rFonts w:hint="default"/>
        <w:lang w:val="en-US" w:eastAsia="en-US" w:bidi="ar-SA"/>
      </w:rPr>
    </w:lvl>
    <w:lvl w:ilvl="3" w:tplc="AB4E441E">
      <w:numFmt w:val="bullet"/>
      <w:lvlText w:val="•"/>
      <w:lvlJc w:val="left"/>
      <w:pPr>
        <w:ind w:left="3351" w:hanging="209"/>
      </w:pPr>
      <w:rPr>
        <w:rFonts w:hint="default"/>
        <w:lang w:val="en-US" w:eastAsia="en-US" w:bidi="ar-SA"/>
      </w:rPr>
    </w:lvl>
    <w:lvl w:ilvl="4" w:tplc="C75C8A2C">
      <w:numFmt w:val="bullet"/>
      <w:lvlText w:val="•"/>
      <w:lvlJc w:val="left"/>
      <w:pPr>
        <w:ind w:left="4242" w:hanging="209"/>
      </w:pPr>
      <w:rPr>
        <w:rFonts w:hint="default"/>
        <w:lang w:val="en-US" w:eastAsia="en-US" w:bidi="ar-SA"/>
      </w:rPr>
    </w:lvl>
    <w:lvl w:ilvl="5" w:tplc="4ECC4848">
      <w:numFmt w:val="bullet"/>
      <w:lvlText w:val="•"/>
      <w:lvlJc w:val="left"/>
      <w:pPr>
        <w:ind w:left="5133" w:hanging="209"/>
      </w:pPr>
      <w:rPr>
        <w:rFonts w:hint="default"/>
        <w:lang w:val="en-US" w:eastAsia="en-US" w:bidi="ar-SA"/>
      </w:rPr>
    </w:lvl>
    <w:lvl w:ilvl="6" w:tplc="65A4DA5A">
      <w:numFmt w:val="bullet"/>
      <w:lvlText w:val="•"/>
      <w:lvlJc w:val="left"/>
      <w:pPr>
        <w:ind w:left="6023" w:hanging="209"/>
      </w:pPr>
      <w:rPr>
        <w:rFonts w:hint="default"/>
        <w:lang w:val="en-US" w:eastAsia="en-US" w:bidi="ar-SA"/>
      </w:rPr>
    </w:lvl>
    <w:lvl w:ilvl="7" w:tplc="534C0108">
      <w:numFmt w:val="bullet"/>
      <w:lvlText w:val="•"/>
      <w:lvlJc w:val="left"/>
      <w:pPr>
        <w:ind w:left="6914" w:hanging="209"/>
      </w:pPr>
      <w:rPr>
        <w:rFonts w:hint="default"/>
        <w:lang w:val="en-US" w:eastAsia="en-US" w:bidi="ar-SA"/>
      </w:rPr>
    </w:lvl>
    <w:lvl w:ilvl="8" w:tplc="F13402BA">
      <w:numFmt w:val="bullet"/>
      <w:lvlText w:val="•"/>
      <w:lvlJc w:val="left"/>
      <w:pPr>
        <w:ind w:left="7805" w:hanging="209"/>
      </w:pPr>
      <w:rPr>
        <w:rFonts w:hint="default"/>
        <w:lang w:val="en-US" w:eastAsia="en-US" w:bidi="ar-SA"/>
      </w:rPr>
    </w:lvl>
  </w:abstractNum>
  <w:abstractNum w:abstractNumId="3" w15:restartNumberingAfterBreak="0">
    <w:nsid w:val="2D5B39E4"/>
    <w:multiLevelType w:val="hybridMultilevel"/>
    <w:tmpl w:val="512EB18A"/>
    <w:lvl w:ilvl="0" w:tplc="7A42D9B6">
      <w:start w:val="76"/>
      <w:numFmt w:val="decimal"/>
      <w:lvlText w:val="%1."/>
      <w:lvlJc w:val="left"/>
      <w:pPr>
        <w:ind w:left="2122" w:hanging="384"/>
      </w:pPr>
      <w:rPr>
        <w:rFonts w:ascii="Times New Roman" w:eastAsia="Times New Roman" w:hAnsi="Times New Roman" w:cs="Times New Roman" w:hint="default"/>
        <w:b w:val="0"/>
        <w:bCs w:val="0"/>
        <w:i w:val="0"/>
        <w:iCs w:val="0"/>
        <w:w w:val="100"/>
        <w:sz w:val="24"/>
        <w:szCs w:val="24"/>
        <w:lang w:val="en-US" w:eastAsia="en-US" w:bidi="ar-SA"/>
      </w:rPr>
    </w:lvl>
    <w:lvl w:ilvl="1" w:tplc="95C0641C">
      <w:numFmt w:val="bullet"/>
      <w:lvlText w:val="•"/>
      <w:lvlJc w:val="left"/>
      <w:pPr>
        <w:ind w:left="2866" w:hanging="384"/>
      </w:pPr>
      <w:rPr>
        <w:rFonts w:hint="default"/>
        <w:lang w:val="en-US" w:eastAsia="en-US" w:bidi="ar-SA"/>
      </w:rPr>
    </w:lvl>
    <w:lvl w:ilvl="2" w:tplc="05749C20">
      <w:numFmt w:val="bullet"/>
      <w:lvlText w:val="•"/>
      <w:lvlJc w:val="left"/>
      <w:pPr>
        <w:ind w:left="3613" w:hanging="384"/>
      </w:pPr>
      <w:rPr>
        <w:rFonts w:hint="default"/>
        <w:lang w:val="en-US" w:eastAsia="en-US" w:bidi="ar-SA"/>
      </w:rPr>
    </w:lvl>
    <w:lvl w:ilvl="3" w:tplc="09682F08">
      <w:numFmt w:val="bullet"/>
      <w:lvlText w:val="•"/>
      <w:lvlJc w:val="left"/>
      <w:pPr>
        <w:ind w:left="4359" w:hanging="384"/>
      </w:pPr>
      <w:rPr>
        <w:rFonts w:hint="default"/>
        <w:lang w:val="en-US" w:eastAsia="en-US" w:bidi="ar-SA"/>
      </w:rPr>
    </w:lvl>
    <w:lvl w:ilvl="4" w:tplc="966E7EE2">
      <w:numFmt w:val="bullet"/>
      <w:lvlText w:val="•"/>
      <w:lvlJc w:val="left"/>
      <w:pPr>
        <w:ind w:left="5106" w:hanging="384"/>
      </w:pPr>
      <w:rPr>
        <w:rFonts w:hint="default"/>
        <w:lang w:val="en-US" w:eastAsia="en-US" w:bidi="ar-SA"/>
      </w:rPr>
    </w:lvl>
    <w:lvl w:ilvl="5" w:tplc="3BE67A80">
      <w:numFmt w:val="bullet"/>
      <w:lvlText w:val="•"/>
      <w:lvlJc w:val="left"/>
      <w:pPr>
        <w:ind w:left="5853" w:hanging="384"/>
      </w:pPr>
      <w:rPr>
        <w:rFonts w:hint="default"/>
        <w:lang w:val="en-US" w:eastAsia="en-US" w:bidi="ar-SA"/>
      </w:rPr>
    </w:lvl>
    <w:lvl w:ilvl="6" w:tplc="24540FB4">
      <w:numFmt w:val="bullet"/>
      <w:lvlText w:val="•"/>
      <w:lvlJc w:val="left"/>
      <w:pPr>
        <w:ind w:left="6599" w:hanging="384"/>
      </w:pPr>
      <w:rPr>
        <w:rFonts w:hint="default"/>
        <w:lang w:val="en-US" w:eastAsia="en-US" w:bidi="ar-SA"/>
      </w:rPr>
    </w:lvl>
    <w:lvl w:ilvl="7" w:tplc="B1C8F434">
      <w:numFmt w:val="bullet"/>
      <w:lvlText w:val="•"/>
      <w:lvlJc w:val="left"/>
      <w:pPr>
        <w:ind w:left="7346" w:hanging="384"/>
      </w:pPr>
      <w:rPr>
        <w:rFonts w:hint="default"/>
        <w:lang w:val="en-US" w:eastAsia="en-US" w:bidi="ar-SA"/>
      </w:rPr>
    </w:lvl>
    <w:lvl w:ilvl="8" w:tplc="FBB62748">
      <w:numFmt w:val="bullet"/>
      <w:lvlText w:val="•"/>
      <w:lvlJc w:val="left"/>
      <w:pPr>
        <w:ind w:left="8093" w:hanging="384"/>
      </w:pPr>
      <w:rPr>
        <w:rFonts w:hint="default"/>
        <w:lang w:val="en-US" w:eastAsia="en-US" w:bidi="ar-SA"/>
      </w:rPr>
    </w:lvl>
  </w:abstractNum>
  <w:abstractNum w:abstractNumId="4" w15:restartNumberingAfterBreak="0">
    <w:nsid w:val="303523E3"/>
    <w:multiLevelType w:val="hybridMultilevel"/>
    <w:tmpl w:val="F0383AE6"/>
    <w:lvl w:ilvl="0" w:tplc="E7CE682A">
      <w:start w:val="1"/>
      <w:numFmt w:val="upperRoman"/>
      <w:lvlText w:val="%1."/>
      <w:lvlJc w:val="left"/>
      <w:pPr>
        <w:ind w:left="609" w:hanging="214"/>
      </w:pPr>
      <w:rPr>
        <w:rFonts w:ascii="Times New Roman" w:eastAsia="Times New Roman" w:hAnsi="Times New Roman" w:cs="Times New Roman" w:hint="default"/>
        <w:b/>
        <w:bCs/>
        <w:i w:val="0"/>
        <w:iCs w:val="0"/>
        <w:spacing w:val="-1"/>
        <w:w w:val="100"/>
        <w:sz w:val="24"/>
        <w:szCs w:val="24"/>
        <w:lang w:val="en-US" w:eastAsia="en-US" w:bidi="ar-SA"/>
      </w:rPr>
    </w:lvl>
    <w:lvl w:ilvl="1" w:tplc="8CBC7592">
      <w:numFmt w:val="bullet"/>
      <w:lvlText w:val="•"/>
      <w:lvlJc w:val="left"/>
      <w:pPr>
        <w:ind w:left="1498" w:hanging="214"/>
      </w:pPr>
      <w:rPr>
        <w:rFonts w:hint="default"/>
        <w:lang w:val="en-US" w:eastAsia="en-US" w:bidi="ar-SA"/>
      </w:rPr>
    </w:lvl>
    <w:lvl w:ilvl="2" w:tplc="02A02C78">
      <w:numFmt w:val="bullet"/>
      <w:lvlText w:val="•"/>
      <w:lvlJc w:val="left"/>
      <w:pPr>
        <w:ind w:left="2397" w:hanging="214"/>
      </w:pPr>
      <w:rPr>
        <w:rFonts w:hint="default"/>
        <w:lang w:val="en-US" w:eastAsia="en-US" w:bidi="ar-SA"/>
      </w:rPr>
    </w:lvl>
    <w:lvl w:ilvl="3" w:tplc="58624272">
      <w:numFmt w:val="bullet"/>
      <w:lvlText w:val="•"/>
      <w:lvlJc w:val="left"/>
      <w:pPr>
        <w:ind w:left="3295" w:hanging="214"/>
      </w:pPr>
      <w:rPr>
        <w:rFonts w:hint="default"/>
        <w:lang w:val="en-US" w:eastAsia="en-US" w:bidi="ar-SA"/>
      </w:rPr>
    </w:lvl>
    <w:lvl w:ilvl="4" w:tplc="964C8C94">
      <w:numFmt w:val="bullet"/>
      <w:lvlText w:val="•"/>
      <w:lvlJc w:val="left"/>
      <w:pPr>
        <w:ind w:left="4194" w:hanging="214"/>
      </w:pPr>
      <w:rPr>
        <w:rFonts w:hint="default"/>
        <w:lang w:val="en-US" w:eastAsia="en-US" w:bidi="ar-SA"/>
      </w:rPr>
    </w:lvl>
    <w:lvl w:ilvl="5" w:tplc="B34C16D2">
      <w:numFmt w:val="bullet"/>
      <w:lvlText w:val="•"/>
      <w:lvlJc w:val="left"/>
      <w:pPr>
        <w:ind w:left="5093" w:hanging="214"/>
      </w:pPr>
      <w:rPr>
        <w:rFonts w:hint="default"/>
        <w:lang w:val="en-US" w:eastAsia="en-US" w:bidi="ar-SA"/>
      </w:rPr>
    </w:lvl>
    <w:lvl w:ilvl="6" w:tplc="D2C0B174">
      <w:numFmt w:val="bullet"/>
      <w:lvlText w:val="•"/>
      <w:lvlJc w:val="left"/>
      <w:pPr>
        <w:ind w:left="5991" w:hanging="214"/>
      </w:pPr>
      <w:rPr>
        <w:rFonts w:hint="default"/>
        <w:lang w:val="en-US" w:eastAsia="en-US" w:bidi="ar-SA"/>
      </w:rPr>
    </w:lvl>
    <w:lvl w:ilvl="7" w:tplc="52F62B0A">
      <w:numFmt w:val="bullet"/>
      <w:lvlText w:val="•"/>
      <w:lvlJc w:val="left"/>
      <w:pPr>
        <w:ind w:left="6890" w:hanging="214"/>
      </w:pPr>
      <w:rPr>
        <w:rFonts w:hint="default"/>
        <w:lang w:val="en-US" w:eastAsia="en-US" w:bidi="ar-SA"/>
      </w:rPr>
    </w:lvl>
    <w:lvl w:ilvl="8" w:tplc="83E2EFD6">
      <w:numFmt w:val="bullet"/>
      <w:lvlText w:val="•"/>
      <w:lvlJc w:val="left"/>
      <w:pPr>
        <w:ind w:left="7789" w:hanging="214"/>
      </w:pPr>
      <w:rPr>
        <w:rFonts w:hint="default"/>
        <w:lang w:val="en-US" w:eastAsia="en-US" w:bidi="ar-SA"/>
      </w:rPr>
    </w:lvl>
  </w:abstractNum>
  <w:abstractNum w:abstractNumId="5" w15:restartNumberingAfterBreak="0">
    <w:nsid w:val="303E0834"/>
    <w:multiLevelType w:val="hybridMultilevel"/>
    <w:tmpl w:val="B6685494"/>
    <w:lvl w:ilvl="0" w:tplc="3AFE8478">
      <w:start w:val="2"/>
      <w:numFmt w:val="decimal"/>
      <w:lvlText w:val="(%1)"/>
      <w:lvlJc w:val="left"/>
      <w:pPr>
        <w:ind w:left="1104" w:hanging="341"/>
      </w:pPr>
      <w:rPr>
        <w:rFonts w:ascii="Times New Roman" w:eastAsia="Times New Roman" w:hAnsi="Times New Roman" w:cs="Times New Roman" w:hint="default"/>
        <w:b w:val="0"/>
        <w:bCs w:val="0"/>
        <w:i/>
        <w:iCs/>
        <w:w w:val="100"/>
        <w:sz w:val="24"/>
        <w:szCs w:val="24"/>
        <w:lang w:val="en-US" w:eastAsia="en-US" w:bidi="ar-SA"/>
      </w:rPr>
    </w:lvl>
    <w:lvl w:ilvl="1" w:tplc="91889E38">
      <w:start w:val="1"/>
      <w:numFmt w:val="lowerRoman"/>
      <w:lvlText w:val="(%2)"/>
      <w:lvlJc w:val="left"/>
      <w:pPr>
        <w:ind w:left="1389" w:hanging="286"/>
      </w:pPr>
      <w:rPr>
        <w:rFonts w:ascii="Times New Roman" w:eastAsia="Times New Roman" w:hAnsi="Times New Roman" w:cs="Times New Roman" w:hint="default"/>
        <w:b w:val="0"/>
        <w:bCs w:val="0"/>
        <w:i/>
        <w:iCs/>
        <w:w w:val="100"/>
        <w:sz w:val="24"/>
        <w:szCs w:val="24"/>
        <w:lang w:val="en-US" w:eastAsia="en-US" w:bidi="ar-SA"/>
      </w:rPr>
    </w:lvl>
    <w:lvl w:ilvl="2" w:tplc="3E4EAEF2">
      <w:numFmt w:val="bullet"/>
      <w:lvlText w:val="•"/>
      <w:lvlJc w:val="left"/>
      <w:pPr>
        <w:ind w:left="2291" w:hanging="286"/>
      </w:pPr>
      <w:rPr>
        <w:rFonts w:hint="default"/>
        <w:lang w:val="en-US" w:eastAsia="en-US" w:bidi="ar-SA"/>
      </w:rPr>
    </w:lvl>
    <w:lvl w:ilvl="3" w:tplc="27C04ED6">
      <w:numFmt w:val="bullet"/>
      <w:lvlText w:val="•"/>
      <w:lvlJc w:val="left"/>
      <w:pPr>
        <w:ind w:left="3203" w:hanging="286"/>
      </w:pPr>
      <w:rPr>
        <w:rFonts w:hint="default"/>
        <w:lang w:val="en-US" w:eastAsia="en-US" w:bidi="ar-SA"/>
      </w:rPr>
    </w:lvl>
    <w:lvl w:ilvl="4" w:tplc="D6286206">
      <w:numFmt w:val="bullet"/>
      <w:lvlText w:val="•"/>
      <w:lvlJc w:val="left"/>
      <w:pPr>
        <w:ind w:left="4115" w:hanging="286"/>
      </w:pPr>
      <w:rPr>
        <w:rFonts w:hint="default"/>
        <w:lang w:val="en-US" w:eastAsia="en-US" w:bidi="ar-SA"/>
      </w:rPr>
    </w:lvl>
    <w:lvl w:ilvl="5" w:tplc="DD3CC946">
      <w:numFmt w:val="bullet"/>
      <w:lvlText w:val="•"/>
      <w:lvlJc w:val="left"/>
      <w:pPr>
        <w:ind w:left="5027" w:hanging="286"/>
      </w:pPr>
      <w:rPr>
        <w:rFonts w:hint="default"/>
        <w:lang w:val="en-US" w:eastAsia="en-US" w:bidi="ar-SA"/>
      </w:rPr>
    </w:lvl>
    <w:lvl w:ilvl="6" w:tplc="0B8A3316">
      <w:numFmt w:val="bullet"/>
      <w:lvlText w:val="•"/>
      <w:lvlJc w:val="left"/>
      <w:pPr>
        <w:ind w:left="5939" w:hanging="286"/>
      </w:pPr>
      <w:rPr>
        <w:rFonts w:hint="default"/>
        <w:lang w:val="en-US" w:eastAsia="en-US" w:bidi="ar-SA"/>
      </w:rPr>
    </w:lvl>
    <w:lvl w:ilvl="7" w:tplc="38600628">
      <w:numFmt w:val="bullet"/>
      <w:lvlText w:val="•"/>
      <w:lvlJc w:val="left"/>
      <w:pPr>
        <w:ind w:left="6850" w:hanging="286"/>
      </w:pPr>
      <w:rPr>
        <w:rFonts w:hint="default"/>
        <w:lang w:val="en-US" w:eastAsia="en-US" w:bidi="ar-SA"/>
      </w:rPr>
    </w:lvl>
    <w:lvl w:ilvl="8" w:tplc="9578AC84">
      <w:numFmt w:val="bullet"/>
      <w:lvlText w:val="•"/>
      <w:lvlJc w:val="left"/>
      <w:pPr>
        <w:ind w:left="7762" w:hanging="286"/>
      </w:pPr>
      <w:rPr>
        <w:rFonts w:hint="default"/>
        <w:lang w:val="en-US" w:eastAsia="en-US" w:bidi="ar-SA"/>
      </w:rPr>
    </w:lvl>
  </w:abstractNum>
  <w:abstractNum w:abstractNumId="6" w15:restartNumberingAfterBreak="0">
    <w:nsid w:val="340A1874"/>
    <w:multiLevelType w:val="hybridMultilevel"/>
    <w:tmpl w:val="7518BAE6"/>
    <w:lvl w:ilvl="0" w:tplc="9E3E4600">
      <w:start w:val="1"/>
      <w:numFmt w:val="decimal"/>
      <w:lvlText w:val="%1."/>
      <w:lvlJc w:val="left"/>
      <w:pPr>
        <w:ind w:left="1116" w:hanging="425"/>
      </w:pPr>
      <w:rPr>
        <w:rFonts w:hint="default"/>
        <w:w w:val="100"/>
        <w:sz w:val="24"/>
        <w:szCs w:val="24"/>
        <w:lang w:val="en-US" w:eastAsia="en-US" w:bidi="ar-SA"/>
      </w:rPr>
    </w:lvl>
    <w:lvl w:ilvl="1" w:tplc="B68CA824">
      <w:numFmt w:val="bullet"/>
      <w:lvlText w:val="o"/>
      <w:lvlJc w:val="left"/>
      <w:pPr>
        <w:ind w:left="1836" w:hanging="420"/>
      </w:pPr>
      <w:rPr>
        <w:rFonts w:ascii="Courier New" w:eastAsia="Courier New" w:hAnsi="Courier New" w:cs="Courier New" w:hint="default"/>
        <w:b w:val="0"/>
        <w:bCs w:val="0"/>
        <w:i w:val="0"/>
        <w:iCs w:val="0"/>
        <w:w w:val="99"/>
        <w:sz w:val="20"/>
        <w:szCs w:val="20"/>
        <w:lang w:val="en-US" w:eastAsia="en-US" w:bidi="ar-SA"/>
      </w:rPr>
    </w:lvl>
    <w:lvl w:ilvl="2" w:tplc="DD98BE2A">
      <w:numFmt w:val="bullet"/>
      <w:lvlText w:val="•"/>
      <w:lvlJc w:val="left"/>
      <w:pPr>
        <w:ind w:left="2700" w:hanging="420"/>
      </w:pPr>
      <w:rPr>
        <w:rFonts w:hint="default"/>
        <w:lang w:val="en-US" w:eastAsia="en-US" w:bidi="ar-SA"/>
      </w:rPr>
    </w:lvl>
    <w:lvl w:ilvl="3" w:tplc="C2CCC910">
      <w:numFmt w:val="bullet"/>
      <w:lvlText w:val="•"/>
      <w:lvlJc w:val="left"/>
      <w:pPr>
        <w:ind w:left="3561" w:hanging="420"/>
      </w:pPr>
      <w:rPr>
        <w:rFonts w:hint="default"/>
        <w:lang w:val="en-US" w:eastAsia="en-US" w:bidi="ar-SA"/>
      </w:rPr>
    </w:lvl>
    <w:lvl w:ilvl="4" w:tplc="EA52C956">
      <w:numFmt w:val="bullet"/>
      <w:lvlText w:val="•"/>
      <w:lvlJc w:val="left"/>
      <w:pPr>
        <w:ind w:left="4422" w:hanging="420"/>
      </w:pPr>
      <w:rPr>
        <w:rFonts w:hint="default"/>
        <w:lang w:val="en-US" w:eastAsia="en-US" w:bidi="ar-SA"/>
      </w:rPr>
    </w:lvl>
    <w:lvl w:ilvl="5" w:tplc="6F2C563E">
      <w:numFmt w:val="bullet"/>
      <w:lvlText w:val="•"/>
      <w:lvlJc w:val="left"/>
      <w:pPr>
        <w:ind w:left="5282" w:hanging="420"/>
      </w:pPr>
      <w:rPr>
        <w:rFonts w:hint="default"/>
        <w:lang w:val="en-US" w:eastAsia="en-US" w:bidi="ar-SA"/>
      </w:rPr>
    </w:lvl>
    <w:lvl w:ilvl="6" w:tplc="20048C4E">
      <w:numFmt w:val="bullet"/>
      <w:lvlText w:val="•"/>
      <w:lvlJc w:val="left"/>
      <w:pPr>
        <w:ind w:left="6143" w:hanging="420"/>
      </w:pPr>
      <w:rPr>
        <w:rFonts w:hint="default"/>
        <w:lang w:val="en-US" w:eastAsia="en-US" w:bidi="ar-SA"/>
      </w:rPr>
    </w:lvl>
    <w:lvl w:ilvl="7" w:tplc="3252E7E2">
      <w:numFmt w:val="bullet"/>
      <w:lvlText w:val="•"/>
      <w:lvlJc w:val="left"/>
      <w:pPr>
        <w:ind w:left="7004" w:hanging="420"/>
      </w:pPr>
      <w:rPr>
        <w:rFonts w:hint="default"/>
        <w:lang w:val="en-US" w:eastAsia="en-US" w:bidi="ar-SA"/>
      </w:rPr>
    </w:lvl>
    <w:lvl w:ilvl="8" w:tplc="84A2BADC">
      <w:numFmt w:val="bullet"/>
      <w:lvlText w:val="•"/>
      <w:lvlJc w:val="left"/>
      <w:pPr>
        <w:ind w:left="7864" w:hanging="420"/>
      </w:pPr>
      <w:rPr>
        <w:rFonts w:hint="default"/>
        <w:lang w:val="en-US" w:eastAsia="en-US" w:bidi="ar-SA"/>
      </w:rPr>
    </w:lvl>
  </w:abstractNum>
  <w:abstractNum w:abstractNumId="7" w15:restartNumberingAfterBreak="0">
    <w:nsid w:val="3D89045F"/>
    <w:multiLevelType w:val="hybridMultilevel"/>
    <w:tmpl w:val="C102FAD6"/>
    <w:lvl w:ilvl="0" w:tplc="AA0AB13E">
      <w:start w:val="1"/>
      <w:numFmt w:val="decimal"/>
      <w:lvlText w:val="(%1)"/>
      <w:lvlJc w:val="left"/>
      <w:pPr>
        <w:ind w:left="1020" w:hanging="339"/>
      </w:pPr>
      <w:rPr>
        <w:rFonts w:ascii="Times New Roman" w:eastAsia="Times New Roman" w:hAnsi="Times New Roman" w:cs="Times New Roman" w:hint="default"/>
        <w:b w:val="0"/>
        <w:bCs w:val="0"/>
        <w:i w:val="0"/>
        <w:iCs w:val="0"/>
        <w:w w:val="100"/>
        <w:sz w:val="24"/>
        <w:szCs w:val="24"/>
        <w:lang w:val="en-US" w:eastAsia="en-US" w:bidi="ar-SA"/>
      </w:rPr>
    </w:lvl>
    <w:lvl w:ilvl="1" w:tplc="071ABB20">
      <w:numFmt w:val="bullet"/>
      <w:lvlText w:val="•"/>
      <w:lvlJc w:val="left"/>
      <w:pPr>
        <w:ind w:left="1876" w:hanging="339"/>
      </w:pPr>
      <w:rPr>
        <w:rFonts w:hint="default"/>
        <w:lang w:val="en-US" w:eastAsia="en-US" w:bidi="ar-SA"/>
      </w:rPr>
    </w:lvl>
    <w:lvl w:ilvl="2" w:tplc="6D90C5D4">
      <w:numFmt w:val="bullet"/>
      <w:lvlText w:val="•"/>
      <w:lvlJc w:val="left"/>
      <w:pPr>
        <w:ind w:left="2733" w:hanging="339"/>
      </w:pPr>
      <w:rPr>
        <w:rFonts w:hint="default"/>
        <w:lang w:val="en-US" w:eastAsia="en-US" w:bidi="ar-SA"/>
      </w:rPr>
    </w:lvl>
    <w:lvl w:ilvl="3" w:tplc="E018BD90">
      <w:numFmt w:val="bullet"/>
      <w:lvlText w:val="•"/>
      <w:lvlJc w:val="left"/>
      <w:pPr>
        <w:ind w:left="3589" w:hanging="339"/>
      </w:pPr>
      <w:rPr>
        <w:rFonts w:hint="default"/>
        <w:lang w:val="en-US" w:eastAsia="en-US" w:bidi="ar-SA"/>
      </w:rPr>
    </w:lvl>
    <w:lvl w:ilvl="4" w:tplc="B106A7F0">
      <w:numFmt w:val="bullet"/>
      <w:lvlText w:val="•"/>
      <w:lvlJc w:val="left"/>
      <w:pPr>
        <w:ind w:left="4446" w:hanging="339"/>
      </w:pPr>
      <w:rPr>
        <w:rFonts w:hint="default"/>
        <w:lang w:val="en-US" w:eastAsia="en-US" w:bidi="ar-SA"/>
      </w:rPr>
    </w:lvl>
    <w:lvl w:ilvl="5" w:tplc="1228CE40">
      <w:numFmt w:val="bullet"/>
      <w:lvlText w:val="•"/>
      <w:lvlJc w:val="left"/>
      <w:pPr>
        <w:ind w:left="5303" w:hanging="339"/>
      </w:pPr>
      <w:rPr>
        <w:rFonts w:hint="default"/>
        <w:lang w:val="en-US" w:eastAsia="en-US" w:bidi="ar-SA"/>
      </w:rPr>
    </w:lvl>
    <w:lvl w:ilvl="6" w:tplc="082CC5D2">
      <w:numFmt w:val="bullet"/>
      <w:lvlText w:val="•"/>
      <w:lvlJc w:val="left"/>
      <w:pPr>
        <w:ind w:left="6159" w:hanging="339"/>
      </w:pPr>
      <w:rPr>
        <w:rFonts w:hint="default"/>
        <w:lang w:val="en-US" w:eastAsia="en-US" w:bidi="ar-SA"/>
      </w:rPr>
    </w:lvl>
    <w:lvl w:ilvl="7" w:tplc="B5787358">
      <w:numFmt w:val="bullet"/>
      <w:lvlText w:val="•"/>
      <w:lvlJc w:val="left"/>
      <w:pPr>
        <w:ind w:left="7016" w:hanging="339"/>
      </w:pPr>
      <w:rPr>
        <w:rFonts w:hint="default"/>
        <w:lang w:val="en-US" w:eastAsia="en-US" w:bidi="ar-SA"/>
      </w:rPr>
    </w:lvl>
    <w:lvl w:ilvl="8" w:tplc="7BC0D170">
      <w:numFmt w:val="bullet"/>
      <w:lvlText w:val="•"/>
      <w:lvlJc w:val="left"/>
      <w:pPr>
        <w:ind w:left="7873" w:hanging="339"/>
      </w:pPr>
      <w:rPr>
        <w:rFonts w:hint="default"/>
        <w:lang w:val="en-US" w:eastAsia="en-US" w:bidi="ar-SA"/>
      </w:rPr>
    </w:lvl>
  </w:abstractNum>
  <w:abstractNum w:abstractNumId="8" w15:restartNumberingAfterBreak="0">
    <w:nsid w:val="3F8A48A7"/>
    <w:multiLevelType w:val="multilevel"/>
    <w:tmpl w:val="CADCEB18"/>
    <w:lvl w:ilvl="0">
      <w:start w:val="8"/>
      <w:numFmt w:val="decimal"/>
      <w:lvlText w:val="%1"/>
      <w:lvlJc w:val="left"/>
      <w:pPr>
        <w:ind w:left="682" w:hanging="584"/>
      </w:pPr>
      <w:rPr>
        <w:rFonts w:hint="default"/>
        <w:lang w:val="en-US" w:eastAsia="en-US" w:bidi="ar-SA"/>
      </w:rPr>
    </w:lvl>
    <w:lvl w:ilvl="1">
      <w:start w:val="2"/>
      <w:numFmt w:val="decimal"/>
      <w:lvlText w:val="%1.%2"/>
      <w:lvlJc w:val="left"/>
      <w:pPr>
        <w:ind w:left="682" w:hanging="584"/>
      </w:pPr>
      <w:rPr>
        <w:rFonts w:hint="default"/>
        <w:lang w:val="en-US" w:eastAsia="en-US" w:bidi="ar-SA"/>
      </w:rPr>
    </w:lvl>
    <w:lvl w:ilvl="2">
      <w:start w:val="1"/>
      <w:numFmt w:val="decimal"/>
      <w:lvlText w:val="%1.%2.%3"/>
      <w:lvlJc w:val="left"/>
      <w:pPr>
        <w:ind w:left="682" w:hanging="584"/>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351" w:hanging="584"/>
      </w:pPr>
      <w:rPr>
        <w:rFonts w:hint="default"/>
        <w:lang w:val="en-US" w:eastAsia="en-US" w:bidi="ar-SA"/>
      </w:rPr>
    </w:lvl>
    <w:lvl w:ilvl="4">
      <w:numFmt w:val="bullet"/>
      <w:lvlText w:val="•"/>
      <w:lvlJc w:val="left"/>
      <w:pPr>
        <w:ind w:left="4242" w:hanging="584"/>
      </w:pPr>
      <w:rPr>
        <w:rFonts w:hint="default"/>
        <w:lang w:val="en-US" w:eastAsia="en-US" w:bidi="ar-SA"/>
      </w:rPr>
    </w:lvl>
    <w:lvl w:ilvl="5">
      <w:numFmt w:val="bullet"/>
      <w:lvlText w:val="•"/>
      <w:lvlJc w:val="left"/>
      <w:pPr>
        <w:ind w:left="5133" w:hanging="584"/>
      </w:pPr>
      <w:rPr>
        <w:rFonts w:hint="default"/>
        <w:lang w:val="en-US" w:eastAsia="en-US" w:bidi="ar-SA"/>
      </w:rPr>
    </w:lvl>
    <w:lvl w:ilvl="6">
      <w:numFmt w:val="bullet"/>
      <w:lvlText w:val="•"/>
      <w:lvlJc w:val="left"/>
      <w:pPr>
        <w:ind w:left="6023" w:hanging="584"/>
      </w:pPr>
      <w:rPr>
        <w:rFonts w:hint="default"/>
        <w:lang w:val="en-US" w:eastAsia="en-US" w:bidi="ar-SA"/>
      </w:rPr>
    </w:lvl>
    <w:lvl w:ilvl="7">
      <w:numFmt w:val="bullet"/>
      <w:lvlText w:val="•"/>
      <w:lvlJc w:val="left"/>
      <w:pPr>
        <w:ind w:left="6914" w:hanging="584"/>
      </w:pPr>
      <w:rPr>
        <w:rFonts w:hint="default"/>
        <w:lang w:val="en-US" w:eastAsia="en-US" w:bidi="ar-SA"/>
      </w:rPr>
    </w:lvl>
    <w:lvl w:ilvl="8">
      <w:numFmt w:val="bullet"/>
      <w:lvlText w:val="•"/>
      <w:lvlJc w:val="left"/>
      <w:pPr>
        <w:ind w:left="7805" w:hanging="584"/>
      </w:pPr>
      <w:rPr>
        <w:rFonts w:hint="default"/>
        <w:lang w:val="en-US" w:eastAsia="en-US" w:bidi="ar-SA"/>
      </w:rPr>
    </w:lvl>
  </w:abstractNum>
  <w:abstractNum w:abstractNumId="9" w15:restartNumberingAfterBreak="0">
    <w:nsid w:val="3FFB4403"/>
    <w:multiLevelType w:val="hybridMultilevel"/>
    <w:tmpl w:val="F0DEF7D8"/>
    <w:lvl w:ilvl="0" w:tplc="BA8E7612">
      <w:start w:val="1"/>
      <w:numFmt w:val="upperRoman"/>
      <w:lvlText w:val="%1."/>
      <w:lvlJc w:val="left"/>
      <w:pPr>
        <w:ind w:left="682" w:hanging="310"/>
      </w:pPr>
      <w:rPr>
        <w:rFonts w:ascii="Times New Roman" w:eastAsia="Times New Roman" w:hAnsi="Times New Roman" w:cs="Times New Roman" w:hint="default"/>
        <w:b w:val="0"/>
        <w:bCs w:val="0"/>
        <w:i w:val="0"/>
        <w:iCs w:val="0"/>
        <w:spacing w:val="-4"/>
        <w:w w:val="100"/>
        <w:sz w:val="24"/>
        <w:szCs w:val="24"/>
        <w:u w:val="single" w:color="000000"/>
        <w:lang w:val="en-US" w:eastAsia="en-US" w:bidi="ar-SA"/>
      </w:rPr>
    </w:lvl>
    <w:lvl w:ilvl="1" w:tplc="28D841C8">
      <w:numFmt w:val="bullet"/>
      <w:lvlText w:val="•"/>
      <w:lvlJc w:val="left"/>
      <w:pPr>
        <w:ind w:left="1570" w:hanging="310"/>
      </w:pPr>
      <w:rPr>
        <w:rFonts w:hint="default"/>
        <w:lang w:val="en-US" w:eastAsia="en-US" w:bidi="ar-SA"/>
      </w:rPr>
    </w:lvl>
    <w:lvl w:ilvl="2" w:tplc="10025F3E">
      <w:numFmt w:val="bullet"/>
      <w:lvlText w:val="•"/>
      <w:lvlJc w:val="left"/>
      <w:pPr>
        <w:ind w:left="2461" w:hanging="310"/>
      </w:pPr>
      <w:rPr>
        <w:rFonts w:hint="default"/>
        <w:lang w:val="en-US" w:eastAsia="en-US" w:bidi="ar-SA"/>
      </w:rPr>
    </w:lvl>
    <w:lvl w:ilvl="3" w:tplc="368617AC">
      <w:numFmt w:val="bullet"/>
      <w:lvlText w:val="•"/>
      <w:lvlJc w:val="left"/>
      <w:pPr>
        <w:ind w:left="3351" w:hanging="310"/>
      </w:pPr>
      <w:rPr>
        <w:rFonts w:hint="default"/>
        <w:lang w:val="en-US" w:eastAsia="en-US" w:bidi="ar-SA"/>
      </w:rPr>
    </w:lvl>
    <w:lvl w:ilvl="4" w:tplc="A9F0D272">
      <w:numFmt w:val="bullet"/>
      <w:lvlText w:val="•"/>
      <w:lvlJc w:val="left"/>
      <w:pPr>
        <w:ind w:left="4242" w:hanging="310"/>
      </w:pPr>
      <w:rPr>
        <w:rFonts w:hint="default"/>
        <w:lang w:val="en-US" w:eastAsia="en-US" w:bidi="ar-SA"/>
      </w:rPr>
    </w:lvl>
    <w:lvl w:ilvl="5" w:tplc="0E92418E">
      <w:numFmt w:val="bullet"/>
      <w:lvlText w:val="•"/>
      <w:lvlJc w:val="left"/>
      <w:pPr>
        <w:ind w:left="5133" w:hanging="310"/>
      </w:pPr>
      <w:rPr>
        <w:rFonts w:hint="default"/>
        <w:lang w:val="en-US" w:eastAsia="en-US" w:bidi="ar-SA"/>
      </w:rPr>
    </w:lvl>
    <w:lvl w:ilvl="6" w:tplc="52C811B4">
      <w:numFmt w:val="bullet"/>
      <w:lvlText w:val="•"/>
      <w:lvlJc w:val="left"/>
      <w:pPr>
        <w:ind w:left="6023" w:hanging="310"/>
      </w:pPr>
      <w:rPr>
        <w:rFonts w:hint="default"/>
        <w:lang w:val="en-US" w:eastAsia="en-US" w:bidi="ar-SA"/>
      </w:rPr>
    </w:lvl>
    <w:lvl w:ilvl="7" w:tplc="AB86DB76">
      <w:numFmt w:val="bullet"/>
      <w:lvlText w:val="•"/>
      <w:lvlJc w:val="left"/>
      <w:pPr>
        <w:ind w:left="6914" w:hanging="310"/>
      </w:pPr>
      <w:rPr>
        <w:rFonts w:hint="default"/>
        <w:lang w:val="en-US" w:eastAsia="en-US" w:bidi="ar-SA"/>
      </w:rPr>
    </w:lvl>
    <w:lvl w:ilvl="8" w:tplc="D4C63102">
      <w:numFmt w:val="bullet"/>
      <w:lvlText w:val="•"/>
      <w:lvlJc w:val="left"/>
      <w:pPr>
        <w:ind w:left="7805" w:hanging="310"/>
      </w:pPr>
      <w:rPr>
        <w:rFonts w:hint="default"/>
        <w:lang w:val="en-US" w:eastAsia="en-US" w:bidi="ar-SA"/>
      </w:rPr>
    </w:lvl>
  </w:abstractNum>
  <w:abstractNum w:abstractNumId="10" w15:restartNumberingAfterBreak="0">
    <w:nsid w:val="41AA67FD"/>
    <w:multiLevelType w:val="hybridMultilevel"/>
    <w:tmpl w:val="3AA40358"/>
    <w:lvl w:ilvl="0" w:tplc="C5305D34">
      <w:start w:val="1"/>
      <w:numFmt w:val="lowerRoman"/>
      <w:lvlText w:val="(%1)"/>
      <w:lvlJc w:val="left"/>
      <w:pPr>
        <w:ind w:left="2525" w:hanging="404"/>
      </w:pPr>
      <w:rPr>
        <w:rFonts w:ascii="Times New Roman" w:eastAsia="Times New Roman" w:hAnsi="Times New Roman" w:cs="Times New Roman" w:hint="default"/>
        <w:b w:val="0"/>
        <w:bCs w:val="0"/>
        <w:i/>
        <w:iCs/>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07918"/>
    <w:multiLevelType w:val="hybridMultilevel"/>
    <w:tmpl w:val="E530DF8E"/>
    <w:lvl w:ilvl="0" w:tplc="DB36520A">
      <w:start w:val="1"/>
      <w:numFmt w:val="upperRoman"/>
      <w:lvlText w:val="%1."/>
      <w:lvlJc w:val="left"/>
      <w:pPr>
        <w:ind w:left="593" w:hanging="197"/>
      </w:pPr>
      <w:rPr>
        <w:rFonts w:ascii="Times New Roman" w:eastAsia="Times New Roman" w:hAnsi="Times New Roman" w:cs="Times New Roman" w:hint="default"/>
        <w:b w:val="0"/>
        <w:bCs w:val="0"/>
        <w:i w:val="0"/>
        <w:iCs w:val="0"/>
        <w:spacing w:val="-4"/>
        <w:w w:val="100"/>
        <w:sz w:val="24"/>
        <w:szCs w:val="24"/>
        <w:u w:val="single" w:color="000000"/>
        <w:lang w:val="en-US" w:eastAsia="en-US" w:bidi="ar-SA"/>
      </w:rPr>
    </w:lvl>
    <w:lvl w:ilvl="1" w:tplc="AF003E56">
      <w:numFmt w:val="bullet"/>
      <w:lvlText w:val="•"/>
      <w:lvlJc w:val="left"/>
      <w:pPr>
        <w:ind w:left="1498" w:hanging="197"/>
      </w:pPr>
      <w:rPr>
        <w:rFonts w:hint="default"/>
        <w:lang w:val="en-US" w:eastAsia="en-US" w:bidi="ar-SA"/>
      </w:rPr>
    </w:lvl>
    <w:lvl w:ilvl="2" w:tplc="C22A41D8">
      <w:numFmt w:val="bullet"/>
      <w:lvlText w:val="•"/>
      <w:lvlJc w:val="left"/>
      <w:pPr>
        <w:ind w:left="2397" w:hanging="197"/>
      </w:pPr>
      <w:rPr>
        <w:rFonts w:hint="default"/>
        <w:lang w:val="en-US" w:eastAsia="en-US" w:bidi="ar-SA"/>
      </w:rPr>
    </w:lvl>
    <w:lvl w:ilvl="3" w:tplc="6C58C758">
      <w:numFmt w:val="bullet"/>
      <w:lvlText w:val="•"/>
      <w:lvlJc w:val="left"/>
      <w:pPr>
        <w:ind w:left="3295" w:hanging="197"/>
      </w:pPr>
      <w:rPr>
        <w:rFonts w:hint="default"/>
        <w:lang w:val="en-US" w:eastAsia="en-US" w:bidi="ar-SA"/>
      </w:rPr>
    </w:lvl>
    <w:lvl w:ilvl="4" w:tplc="19867F92">
      <w:numFmt w:val="bullet"/>
      <w:lvlText w:val="•"/>
      <w:lvlJc w:val="left"/>
      <w:pPr>
        <w:ind w:left="4194" w:hanging="197"/>
      </w:pPr>
      <w:rPr>
        <w:rFonts w:hint="default"/>
        <w:lang w:val="en-US" w:eastAsia="en-US" w:bidi="ar-SA"/>
      </w:rPr>
    </w:lvl>
    <w:lvl w:ilvl="5" w:tplc="A0F674AA">
      <w:numFmt w:val="bullet"/>
      <w:lvlText w:val="•"/>
      <w:lvlJc w:val="left"/>
      <w:pPr>
        <w:ind w:left="5093" w:hanging="197"/>
      </w:pPr>
      <w:rPr>
        <w:rFonts w:hint="default"/>
        <w:lang w:val="en-US" w:eastAsia="en-US" w:bidi="ar-SA"/>
      </w:rPr>
    </w:lvl>
    <w:lvl w:ilvl="6" w:tplc="26168658">
      <w:numFmt w:val="bullet"/>
      <w:lvlText w:val="•"/>
      <w:lvlJc w:val="left"/>
      <w:pPr>
        <w:ind w:left="5991" w:hanging="197"/>
      </w:pPr>
      <w:rPr>
        <w:rFonts w:hint="default"/>
        <w:lang w:val="en-US" w:eastAsia="en-US" w:bidi="ar-SA"/>
      </w:rPr>
    </w:lvl>
    <w:lvl w:ilvl="7" w:tplc="50CE7642">
      <w:numFmt w:val="bullet"/>
      <w:lvlText w:val="•"/>
      <w:lvlJc w:val="left"/>
      <w:pPr>
        <w:ind w:left="6890" w:hanging="197"/>
      </w:pPr>
      <w:rPr>
        <w:rFonts w:hint="default"/>
        <w:lang w:val="en-US" w:eastAsia="en-US" w:bidi="ar-SA"/>
      </w:rPr>
    </w:lvl>
    <w:lvl w:ilvl="8" w:tplc="4FFCDC98">
      <w:numFmt w:val="bullet"/>
      <w:lvlText w:val="•"/>
      <w:lvlJc w:val="left"/>
      <w:pPr>
        <w:ind w:left="7789" w:hanging="197"/>
      </w:pPr>
      <w:rPr>
        <w:rFonts w:hint="default"/>
        <w:lang w:val="en-US" w:eastAsia="en-US" w:bidi="ar-SA"/>
      </w:rPr>
    </w:lvl>
  </w:abstractNum>
  <w:abstractNum w:abstractNumId="12" w15:restartNumberingAfterBreak="0">
    <w:nsid w:val="43A0219D"/>
    <w:multiLevelType w:val="hybridMultilevel"/>
    <w:tmpl w:val="974CA40A"/>
    <w:lvl w:ilvl="0" w:tplc="A176A9AC">
      <w:start w:val="1"/>
      <w:numFmt w:val="decimal"/>
      <w:lvlText w:val="(%1)"/>
      <w:lvlJc w:val="left"/>
      <w:pPr>
        <w:ind w:left="1402" w:hanging="346"/>
      </w:pPr>
      <w:rPr>
        <w:rFonts w:ascii="Times New Roman" w:eastAsia="Times New Roman" w:hAnsi="Times New Roman" w:cs="Times New Roman" w:hint="default"/>
        <w:b w:val="0"/>
        <w:bCs w:val="0"/>
        <w:i/>
        <w:iCs/>
        <w:w w:val="100"/>
        <w:sz w:val="24"/>
        <w:szCs w:val="24"/>
        <w:lang w:val="en-US" w:eastAsia="en-US" w:bidi="ar-SA"/>
      </w:rPr>
    </w:lvl>
    <w:lvl w:ilvl="1" w:tplc="C5305D34">
      <w:start w:val="1"/>
      <w:numFmt w:val="lowerRoman"/>
      <w:lvlText w:val="(%2)"/>
      <w:lvlJc w:val="left"/>
      <w:pPr>
        <w:ind w:left="2525" w:hanging="404"/>
      </w:pPr>
      <w:rPr>
        <w:rFonts w:ascii="Times New Roman" w:eastAsia="Times New Roman" w:hAnsi="Times New Roman" w:cs="Times New Roman" w:hint="default"/>
        <w:b w:val="0"/>
        <w:bCs w:val="0"/>
        <w:i/>
        <w:iCs/>
        <w:w w:val="100"/>
        <w:sz w:val="24"/>
        <w:szCs w:val="24"/>
        <w:lang w:val="en-US" w:eastAsia="en-US" w:bidi="ar-SA"/>
      </w:rPr>
    </w:lvl>
    <w:lvl w:ilvl="2" w:tplc="0DD041FC">
      <w:numFmt w:val="bullet"/>
      <w:lvlText w:val="•"/>
      <w:lvlJc w:val="left"/>
      <w:pPr>
        <w:ind w:left="2580" w:hanging="404"/>
      </w:pPr>
      <w:rPr>
        <w:rFonts w:hint="default"/>
        <w:lang w:val="en-US" w:eastAsia="en-US" w:bidi="ar-SA"/>
      </w:rPr>
    </w:lvl>
    <w:lvl w:ilvl="3" w:tplc="B27CF5CE">
      <w:numFmt w:val="bullet"/>
      <w:lvlText w:val="•"/>
      <w:lvlJc w:val="left"/>
      <w:pPr>
        <w:ind w:left="3455" w:hanging="404"/>
      </w:pPr>
      <w:rPr>
        <w:rFonts w:hint="default"/>
        <w:lang w:val="en-US" w:eastAsia="en-US" w:bidi="ar-SA"/>
      </w:rPr>
    </w:lvl>
    <w:lvl w:ilvl="4" w:tplc="9BFA5E3E">
      <w:numFmt w:val="bullet"/>
      <w:lvlText w:val="•"/>
      <w:lvlJc w:val="left"/>
      <w:pPr>
        <w:ind w:left="4331" w:hanging="404"/>
      </w:pPr>
      <w:rPr>
        <w:rFonts w:hint="default"/>
        <w:lang w:val="en-US" w:eastAsia="en-US" w:bidi="ar-SA"/>
      </w:rPr>
    </w:lvl>
    <w:lvl w:ilvl="5" w:tplc="F350D906">
      <w:numFmt w:val="bullet"/>
      <w:lvlText w:val="•"/>
      <w:lvlJc w:val="left"/>
      <w:pPr>
        <w:ind w:left="5207" w:hanging="404"/>
      </w:pPr>
      <w:rPr>
        <w:rFonts w:hint="default"/>
        <w:lang w:val="en-US" w:eastAsia="en-US" w:bidi="ar-SA"/>
      </w:rPr>
    </w:lvl>
    <w:lvl w:ilvl="6" w:tplc="764A9176">
      <w:numFmt w:val="bullet"/>
      <w:lvlText w:val="•"/>
      <w:lvlJc w:val="left"/>
      <w:pPr>
        <w:ind w:left="6083" w:hanging="404"/>
      </w:pPr>
      <w:rPr>
        <w:rFonts w:hint="default"/>
        <w:lang w:val="en-US" w:eastAsia="en-US" w:bidi="ar-SA"/>
      </w:rPr>
    </w:lvl>
    <w:lvl w:ilvl="7" w:tplc="04163C4C">
      <w:numFmt w:val="bullet"/>
      <w:lvlText w:val="•"/>
      <w:lvlJc w:val="left"/>
      <w:pPr>
        <w:ind w:left="6959" w:hanging="404"/>
      </w:pPr>
      <w:rPr>
        <w:rFonts w:hint="default"/>
        <w:lang w:val="en-US" w:eastAsia="en-US" w:bidi="ar-SA"/>
      </w:rPr>
    </w:lvl>
    <w:lvl w:ilvl="8" w:tplc="A2B2056C">
      <w:numFmt w:val="bullet"/>
      <w:lvlText w:val="•"/>
      <w:lvlJc w:val="left"/>
      <w:pPr>
        <w:ind w:left="7834" w:hanging="404"/>
      </w:pPr>
      <w:rPr>
        <w:rFonts w:hint="default"/>
        <w:lang w:val="en-US" w:eastAsia="en-US" w:bidi="ar-SA"/>
      </w:rPr>
    </w:lvl>
  </w:abstractNum>
  <w:abstractNum w:abstractNumId="13" w15:restartNumberingAfterBreak="0">
    <w:nsid w:val="46DE7996"/>
    <w:multiLevelType w:val="multilevel"/>
    <w:tmpl w:val="9872D7EE"/>
    <w:lvl w:ilvl="0">
      <w:start w:val="8"/>
      <w:numFmt w:val="decimal"/>
      <w:lvlText w:val="%1"/>
      <w:lvlJc w:val="left"/>
      <w:pPr>
        <w:ind w:left="682" w:hanging="708"/>
      </w:pPr>
      <w:rPr>
        <w:rFonts w:hint="default"/>
        <w:lang w:val="en-US" w:eastAsia="en-US" w:bidi="ar-SA"/>
      </w:rPr>
    </w:lvl>
    <w:lvl w:ilvl="1">
      <w:start w:val="2"/>
      <w:numFmt w:val="decimal"/>
      <w:lvlText w:val="%1.%2"/>
      <w:lvlJc w:val="left"/>
      <w:pPr>
        <w:ind w:left="682" w:hanging="708"/>
      </w:pPr>
      <w:rPr>
        <w:rFonts w:hint="default"/>
        <w:lang w:val="en-US" w:eastAsia="en-US" w:bidi="ar-SA"/>
      </w:rPr>
    </w:lvl>
    <w:lvl w:ilvl="2">
      <w:start w:val="6"/>
      <w:numFmt w:val="decimal"/>
      <w:lvlText w:val="%1.%2.%3"/>
      <w:lvlJc w:val="left"/>
      <w:pPr>
        <w:ind w:left="682" w:hanging="708"/>
      </w:pPr>
      <w:rPr>
        <w:rFonts w:hint="default"/>
        <w:lang w:val="en-US" w:eastAsia="en-US" w:bidi="ar-SA"/>
      </w:rPr>
    </w:lvl>
    <w:lvl w:ilvl="3">
      <w:start w:val="1"/>
      <w:numFmt w:val="decimal"/>
      <w:lvlText w:val="%1.%2.%3.%4"/>
      <w:lvlJc w:val="left"/>
      <w:pPr>
        <w:ind w:left="682" w:hanging="708"/>
      </w:pPr>
      <w:rPr>
        <w:rFonts w:ascii="Times New Roman" w:eastAsia="Times New Roman" w:hAnsi="Times New Roman" w:cs="Times New Roman" w:hint="default"/>
        <w:b/>
        <w:bCs/>
        <w:i w:val="0"/>
        <w:iCs w:val="0"/>
        <w:w w:val="100"/>
        <w:sz w:val="24"/>
        <w:szCs w:val="24"/>
        <w:lang w:val="en-US" w:eastAsia="en-US" w:bidi="ar-SA"/>
      </w:rPr>
    </w:lvl>
    <w:lvl w:ilvl="4">
      <w:numFmt w:val="bullet"/>
      <w:lvlText w:val="•"/>
      <w:lvlJc w:val="left"/>
      <w:pPr>
        <w:ind w:left="4242" w:hanging="708"/>
      </w:pPr>
      <w:rPr>
        <w:rFonts w:hint="default"/>
        <w:lang w:val="en-US" w:eastAsia="en-US" w:bidi="ar-SA"/>
      </w:rPr>
    </w:lvl>
    <w:lvl w:ilvl="5">
      <w:numFmt w:val="bullet"/>
      <w:lvlText w:val="•"/>
      <w:lvlJc w:val="left"/>
      <w:pPr>
        <w:ind w:left="5133" w:hanging="708"/>
      </w:pPr>
      <w:rPr>
        <w:rFonts w:hint="default"/>
        <w:lang w:val="en-US" w:eastAsia="en-US" w:bidi="ar-SA"/>
      </w:rPr>
    </w:lvl>
    <w:lvl w:ilvl="6">
      <w:numFmt w:val="bullet"/>
      <w:lvlText w:val="•"/>
      <w:lvlJc w:val="left"/>
      <w:pPr>
        <w:ind w:left="6023" w:hanging="708"/>
      </w:pPr>
      <w:rPr>
        <w:rFonts w:hint="default"/>
        <w:lang w:val="en-US" w:eastAsia="en-US" w:bidi="ar-SA"/>
      </w:rPr>
    </w:lvl>
    <w:lvl w:ilvl="7">
      <w:numFmt w:val="bullet"/>
      <w:lvlText w:val="•"/>
      <w:lvlJc w:val="left"/>
      <w:pPr>
        <w:ind w:left="6914" w:hanging="708"/>
      </w:pPr>
      <w:rPr>
        <w:rFonts w:hint="default"/>
        <w:lang w:val="en-US" w:eastAsia="en-US" w:bidi="ar-SA"/>
      </w:rPr>
    </w:lvl>
    <w:lvl w:ilvl="8">
      <w:numFmt w:val="bullet"/>
      <w:lvlText w:val="•"/>
      <w:lvlJc w:val="left"/>
      <w:pPr>
        <w:ind w:left="7805" w:hanging="708"/>
      </w:pPr>
      <w:rPr>
        <w:rFonts w:hint="default"/>
        <w:lang w:val="en-US" w:eastAsia="en-US" w:bidi="ar-SA"/>
      </w:rPr>
    </w:lvl>
  </w:abstractNum>
  <w:abstractNum w:abstractNumId="14" w15:restartNumberingAfterBreak="0">
    <w:nsid w:val="491F75AF"/>
    <w:multiLevelType w:val="hybridMultilevel"/>
    <w:tmpl w:val="F9A01FF2"/>
    <w:lvl w:ilvl="0" w:tplc="0CF8D95A">
      <w:start w:val="1"/>
      <w:numFmt w:val="upperRoman"/>
      <w:lvlText w:val="%1."/>
      <w:lvlJc w:val="left"/>
      <w:pPr>
        <w:ind w:left="1118"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DDC8BBF4">
      <w:numFmt w:val="bullet"/>
      <w:lvlText w:val="•"/>
      <w:lvlJc w:val="left"/>
      <w:pPr>
        <w:ind w:left="1966" w:hanging="197"/>
      </w:pPr>
      <w:rPr>
        <w:rFonts w:hint="default"/>
        <w:lang w:val="en-US" w:eastAsia="en-US" w:bidi="ar-SA"/>
      </w:rPr>
    </w:lvl>
    <w:lvl w:ilvl="2" w:tplc="2AB272F2">
      <w:numFmt w:val="bullet"/>
      <w:lvlText w:val="•"/>
      <w:lvlJc w:val="left"/>
      <w:pPr>
        <w:ind w:left="2813" w:hanging="197"/>
      </w:pPr>
      <w:rPr>
        <w:rFonts w:hint="default"/>
        <w:lang w:val="en-US" w:eastAsia="en-US" w:bidi="ar-SA"/>
      </w:rPr>
    </w:lvl>
    <w:lvl w:ilvl="3" w:tplc="06DEB5B0">
      <w:numFmt w:val="bullet"/>
      <w:lvlText w:val="•"/>
      <w:lvlJc w:val="left"/>
      <w:pPr>
        <w:ind w:left="3659" w:hanging="197"/>
      </w:pPr>
      <w:rPr>
        <w:rFonts w:hint="default"/>
        <w:lang w:val="en-US" w:eastAsia="en-US" w:bidi="ar-SA"/>
      </w:rPr>
    </w:lvl>
    <w:lvl w:ilvl="4" w:tplc="AFC49AE2">
      <w:numFmt w:val="bullet"/>
      <w:lvlText w:val="•"/>
      <w:lvlJc w:val="left"/>
      <w:pPr>
        <w:ind w:left="4506" w:hanging="197"/>
      </w:pPr>
      <w:rPr>
        <w:rFonts w:hint="default"/>
        <w:lang w:val="en-US" w:eastAsia="en-US" w:bidi="ar-SA"/>
      </w:rPr>
    </w:lvl>
    <w:lvl w:ilvl="5" w:tplc="5EEC09FC">
      <w:numFmt w:val="bullet"/>
      <w:lvlText w:val="•"/>
      <w:lvlJc w:val="left"/>
      <w:pPr>
        <w:ind w:left="5353" w:hanging="197"/>
      </w:pPr>
      <w:rPr>
        <w:rFonts w:hint="default"/>
        <w:lang w:val="en-US" w:eastAsia="en-US" w:bidi="ar-SA"/>
      </w:rPr>
    </w:lvl>
    <w:lvl w:ilvl="6" w:tplc="5DE0BA9E">
      <w:numFmt w:val="bullet"/>
      <w:lvlText w:val="•"/>
      <w:lvlJc w:val="left"/>
      <w:pPr>
        <w:ind w:left="6199" w:hanging="197"/>
      </w:pPr>
      <w:rPr>
        <w:rFonts w:hint="default"/>
        <w:lang w:val="en-US" w:eastAsia="en-US" w:bidi="ar-SA"/>
      </w:rPr>
    </w:lvl>
    <w:lvl w:ilvl="7" w:tplc="F120E9DC">
      <w:numFmt w:val="bullet"/>
      <w:lvlText w:val="•"/>
      <w:lvlJc w:val="left"/>
      <w:pPr>
        <w:ind w:left="7046" w:hanging="197"/>
      </w:pPr>
      <w:rPr>
        <w:rFonts w:hint="default"/>
        <w:lang w:val="en-US" w:eastAsia="en-US" w:bidi="ar-SA"/>
      </w:rPr>
    </w:lvl>
    <w:lvl w:ilvl="8" w:tplc="65C47C28">
      <w:numFmt w:val="bullet"/>
      <w:lvlText w:val="•"/>
      <w:lvlJc w:val="left"/>
      <w:pPr>
        <w:ind w:left="7893" w:hanging="197"/>
      </w:pPr>
      <w:rPr>
        <w:rFonts w:hint="default"/>
        <w:lang w:val="en-US" w:eastAsia="en-US" w:bidi="ar-SA"/>
      </w:rPr>
    </w:lvl>
  </w:abstractNum>
  <w:abstractNum w:abstractNumId="15" w15:restartNumberingAfterBreak="0">
    <w:nsid w:val="4CEF3E68"/>
    <w:multiLevelType w:val="hybridMultilevel"/>
    <w:tmpl w:val="9D8EC170"/>
    <w:lvl w:ilvl="0" w:tplc="77126C7E">
      <w:start w:val="1"/>
      <w:numFmt w:val="lowerLetter"/>
      <w:lvlText w:val="(%1)"/>
      <w:lvlJc w:val="left"/>
      <w:pPr>
        <w:ind w:left="1402" w:hanging="339"/>
      </w:pPr>
      <w:rPr>
        <w:rFonts w:ascii="Times New Roman" w:eastAsia="Times New Roman" w:hAnsi="Times New Roman" w:cs="Times New Roman" w:hint="default"/>
        <w:b w:val="0"/>
        <w:bCs w:val="0"/>
        <w:i w:val="0"/>
        <w:iCs w:val="0"/>
        <w:spacing w:val="-2"/>
        <w:w w:val="100"/>
        <w:sz w:val="24"/>
        <w:szCs w:val="24"/>
        <w:lang w:val="en-US" w:eastAsia="en-US" w:bidi="ar-SA"/>
      </w:rPr>
    </w:lvl>
    <w:lvl w:ilvl="1" w:tplc="75FEF2A4">
      <w:start w:val="1"/>
      <w:numFmt w:val="lowerRoman"/>
      <w:lvlText w:val="(%2)"/>
      <w:lvlJc w:val="left"/>
      <w:pPr>
        <w:ind w:left="2407" w:hanging="286"/>
      </w:pPr>
      <w:rPr>
        <w:rFonts w:ascii="Times New Roman" w:eastAsia="Times New Roman" w:hAnsi="Times New Roman" w:cs="Times New Roman" w:hint="default"/>
        <w:b w:val="0"/>
        <w:bCs w:val="0"/>
        <w:i w:val="0"/>
        <w:iCs w:val="0"/>
        <w:w w:val="100"/>
        <w:sz w:val="24"/>
        <w:szCs w:val="24"/>
        <w:lang w:val="en-US" w:eastAsia="en-US" w:bidi="ar-SA"/>
      </w:rPr>
    </w:lvl>
    <w:lvl w:ilvl="2" w:tplc="FDEE503A">
      <w:numFmt w:val="bullet"/>
      <w:lvlText w:val="•"/>
      <w:lvlJc w:val="left"/>
      <w:pPr>
        <w:ind w:left="2400" w:hanging="286"/>
      </w:pPr>
      <w:rPr>
        <w:rFonts w:hint="default"/>
        <w:lang w:val="en-US" w:eastAsia="en-US" w:bidi="ar-SA"/>
      </w:rPr>
    </w:lvl>
    <w:lvl w:ilvl="3" w:tplc="5518D7A2">
      <w:numFmt w:val="bullet"/>
      <w:lvlText w:val="•"/>
      <w:lvlJc w:val="left"/>
      <w:pPr>
        <w:ind w:left="3298" w:hanging="286"/>
      </w:pPr>
      <w:rPr>
        <w:rFonts w:hint="default"/>
        <w:lang w:val="en-US" w:eastAsia="en-US" w:bidi="ar-SA"/>
      </w:rPr>
    </w:lvl>
    <w:lvl w:ilvl="4" w:tplc="FBCA3618">
      <w:numFmt w:val="bullet"/>
      <w:lvlText w:val="•"/>
      <w:lvlJc w:val="left"/>
      <w:pPr>
        <w:ind w:left="4196" w:hanging="286"/>
      </w:pPr>
      <w:rPr>
        <w:rFonts w:hint="default"/>
        <w:lang w:val="en-US" w:eastAsia="en-US" w:bidi="ar-SA"/>
      </w:rPr>
    </w:lvl>
    <w:lvl w:ilvl="5" w:tplc="7E564D42">
      <w:numFmt w:val="bullet"/>
      <w:lvlText w:val="•"/>
      <w:lvlJc w:val="left"/>
      <w:pPr>
        <w:ind w:left="5094" w:hanging="286"/>
      </w:pPr>
      <w:rPr>
        <w:rFonts w:hint="default"/>
        <w:lang w:val="en-US" w:eastAsia="en-US" w:bidi="ar-SA"/>
      </w:rPr>
    </w:lvl>
    <w:lvl w:ilvl="6" w:tplc="49722F64">
      <w:numFmt w:val="bullet"/>
      <w:lvlText w:val="•"/>
      <w:lvlJc w:val="left"/>
      <w:pPr>
        <w:ind w:left="5993" w:hanging="286"/>
      </w:pPr>
      <w:rPr>
        <w:rFonts w:hint="default"/>
        <w:lang w:val="en-US" w:eastAsia="en-US" w:bidi="ar-SA"/>
      </w:rPr>
    </w:lvl>
    <w:lvl w:ilvl="7" w:tplc="5AB0A9A8">
      <w:numFmt w:val="bullet"/>
      <w:lvlText w:val="•"/>
      <w:lvlJc w:val="left"/>
      <w:pPr>
        <w:ind w:left="6891" w:hanging="286"/>
      </w:pPr>
      <w:rPr>
        <w:rFonts w:hint="default"/>
        <w:lang w:val="en-US" w:eastAsia="en-US" w:bidi="ar-SA"/>
      </w:rPr>
    </w:lvl>
    <w:lvl w:ilvl="8" w:tplc="006A3816">
      <w:numFmt w:val="bullet"/>
      <w:lvlText w:val="•"/>
      <w:lvlJc w:val="left"/>
      <w:pPr>
        <w:ind w:left="7789" w:hanging="286"/>
      </w:pPr>
      <w:rPr>
        <w:rFonts w:hint="default"/>
        <w:lang w:val="en-US" w:eastAsia="en-US" w:bidi="ar-SA"/>
      </w:rPr>
    </w:lvl>
  </w:abstractNum>
  <w:abstractNum w:abstractNumId="16" w15:restartNumberingAfterBreak="0">
    <w:nsid w:val="4D916F73"/>
    <w:multiLevelType w:val="multilevel"/>
    <w:tmpl w:val="BA445066"/>
    <w:lvl w:ilvl="0">
      <w:start w:val="8"/>
      <w:numFmt w:val="decimal"/>
      <w:lvlText w:val="%1"/>
      <w:lvlJc w:val="left"/>
      <w:pPr>
        <w:ind w:left="682" w:hanging="725"/>
      </w:pPr>
      <w:rPr>
        <w:rFonts w:hint="default"/>
        <w:lang w:val="en-US" w:eastAsia="en-US" w:bidi="ar-SA"/>
      </w:rPr>
    </w:lvl>
    <w:lvl w:ilvl="1">
      <w:start w:val="2"/>
      <w:numFmt w:val="decimal"/>
      <w:lvlText w:val="%1.%2"/>
      <w:lvlJc w:val="left"/>
      <w:pPr>
        <w:ind w:left="682" w:hanging="725"/>
      </w:pPr>
      <w:rPr>
        <w:rFonts w:hint="default"/>
        <w:lang w:val="en-US" w:eastAsia="en-US" w:bidi="ar-SA"/>
      </w:rPr>
    </w:lvl>
    <w:lvl w:ilvl="2">
      <w:start w:val="5"/>
      <w:numFmt w:val="decimal"/>
      <w:lvlText w:val="%1.%2.%3"/>
      <w:lvlJc w:val="left"/>
      <w:pPr>
        <w:ind w:left="682" w:hanging="725"/>
      </w:pPr>
      <w:rPr>
        <w:rFonts w:hint="default"/>
        <w:lang w:val="en-US" w:eastAsia="en-US" w:bidi="ar-SA"/>
      </w:rPr>
    </w:lvl>
    <w:lvl w:ilvl="3">
      <w:start w:val="1"/>
      <w:numFmt w:val="decimal"/>
      <w:lvlText w:val="%1.%2.%3.%4"/>
      <w:lvlJc w:val="left"/>
      <w:pPr>
        <w:ind w:left="682" w:hanging="725"/>
      </w:pPr>
      <w:rPr>
        <w:rFonts w:ascii="Times New Roman" w:eastAsia="Times New Roman" w:hAnsi="Times New Roman" w:cs="Times New Roman" w:hint="default"/>
        <w:b/>
        <w:bCs/>
        <w:i w:val="0"/>
        <w:iCs w:val="0"/>
        <w:w w:val="100"/>
        <w:sz w:val="24"/>
        <w:szCs w:val="24"/>
        <w:lang w:val="en-US" w:eastAsia="en-US" w:bidi="ar-SA"/>
      </w:rPr>
    </w:lvl>
    <w:lvl w:ilvl="4">
      <w:numFmt w:val="bullet"/>
      <w:lvlText w:val="•"/>
      <w:lvlJc w:val="left"/>
      <w:pPr>
        <w:ind w:left="4242" w:hanging="725"/>
      </w:pPr>
      <w:rPr>
        <w:rFonts w:hint="default"/>
        <w:lang w:val="en-US" w:eastAsia="en-US" w:bidi="ar-SA"/>
      </w:rPr>
    </w:lvl>
    <w:lvl w:ilvl="5">
      <w:numFmt w:val="bullet"/>
      <w:lvlText w:val="•"/>
      <w:lvlJc w:val="left"/>
      <w:pPr>
        <w:ind w:left="5133" w:hanging="725"/>
      </w:pPr>
      <w:rPr>
        <w:rFonts w:hint="default"/>
        <w:lang w:val="en-US" w:eastAsia="en-US" w:bidi="ar-SA"/>
      </w:rPr>
    </w:lvl>
    <w:lvl w:ilvl="6">
      <w:numFmt w:val="bullet"/>
      <w:lvlText w:val="•"/>
      <w:lvlJc w:val="left"/>
      <w:pPr>
        <w:ind w:left="6023" w:hanging="725"/>
      </w:pPr>
      <w:rPr>
        <w:rFonts w:hint="default"/>
        <w:lang w:val="en-US" w:eastAsia="en-US" w:bidi="ar-SA"/>
      </w:rPr>
    </w:lvl>
    <w:lvl w:ilvl="7">
      <w:numFmt w:val="bullet"/>
      <w:lvlText w:val="•"/>
      <w:lvlJc w:val="left"/>
      <w:pPr>
        <w:ind w:left="6914" w:hanging="725"/>
      </w:pPr>
      <w:rPr>
        <w:rFonts w:hint="default"/>
        <w:lang w:val="en-US" w:eastAsia="en-US" w:bidi="ar-SA"/>
      </w:rPr>
    </w:lvl>
    <w:lvl w:ilvl="8">
      <w:numFmt w:val="bullet"/>
      <w:lvlText w:val="•"/>
      <w:lvlJc w:val="left"/>
      <w:pPr>
        <w:ind w:left="7805" w:hanging="725"/>
      </w:pPr>
      <w:rPr>
        <w:rFonts w:hint="default"/>
        <w:lang w:val="en-US" w:eastAsia="en-US" w:bidi="ar-SA"/>
      </w:rPr>
    </w:lvl>
  </w:abstractNum>
  <w:abstractNum w:abstractNumId="17" w15:restartNumberingAfterBreak="0">
    <w:nsid w:val="5C23788A"/>
    <w:multiLevelType w:val="hybridMultilevel"/>
    <w:tmpl w:val="14FE9EDC"/>
    <w:lvl w:ilvl="0" w:tplc="C5F85EDC">
      <w:start w:val="1"/>
      <w:numFmt w:val="upperRoman"/>
      <w:lvlText w:val="%1."/>
      <w:lvlJc w:val="left"/>
      <w:pPr>
        <w:ind w:left="1118"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9F6A44C0">
      <w:numFmt w:val="bullet"/>
      <w:lvlText w:val="•"/>
      <w:lvlJc w:val="left"/>
      <w:pPr>
        <w:ind w:left="1966" w:hanging="197"/>
      </w:pPr>
      <w:rPr>
        <w:rFonts w:hint="default"/>
        <w:lang w:val="en-US" w:eastAsia="en-US" w:bidi="ar-SA"/>
      </w:rPr>
    </w:lvl>
    <w:lvl w:ilvl="2" w:tplc="111CE072">
      <w:numFmt w:val="bullet"/>
      <w:lvlText w:val="•"/>
      <w:lvlJc w:val="left"/>
      <w:pPr>
        <w:ind w:left="2813" w:hanging="197"/>
      </w:pPr>
      <w:rPr>
        <w:rFonts w:hint="default"/>
        <w:lang w:val="en-US" w:eastAsia="en-US" w:bidi="ar-SA"/>
      </w:rPr>
    </w:lvl>
    <w:lvl w:ilvl="3" w:tplc="28A4A004">
      <w:numFmt w:val="bullet"/>
      <w:lvlText w:val="•"/>
      <w:lvlJc w:val="left"/>
      <w:pPr>
        <w:ind w:left="3659" w:hanging="197"/>
      </w:pPr>
      <w:rPr>
        <w:rFonts w:hint="default"/>
        <w:lang w:val="en-US" w:eastAsia="en-US" w:bidi="ar-SA"/>
      </w:rPr>
    </w:lvl>
    <w:lvl w:ilvl="4" w:tplc="2414663A">
      <w:numFmt w:val="bullet"/>
      <w:lvlText w:val="•"/>
      <w:lvlJc w:val="left"/>
      <w:pPr>
        <w:ind w:left="4506" w:hanging="197"/>
      </w:pPr>
      <w:rPr>
        <w:rFonts w:hint="default"/>
        <w:lang w:val="en-US" w:eastAsia="en-US" w:bidi="ar-SA"/>
      </w:rPr>
    </w:lvl>
    <w:lvl w:ilvl="5" w:tplc="52ECA4F6">
      <w:numFmt w:val="bullet"/>
      <w:lvlText w:val="•"/>
      <w:lvlJc w:val="left"/>
      <w:pPr>
        <w:ind w:left="5353" w:hanging="197"/>
      </w:pPr>
      <w:rPr>
        <w:rFonts w:hint="default"/>
        <w:lang w:val="en-US" w:eastAsia="en-US" w:bidi="ar-SA"/>
      </w:rPr>
    </w:lvl>
    <w:lvl w:ilvl="6" w:tplc="EFE25C00">
      <w:numFmt w:val="bullet"/>
      <w:lvlText w:val="•"/>
      <w:lvlJc w:val="left"/>
      <w:pPr>
        <w:ind w:left="6199" w:hanging="197"/>
      </w:pPr>
      <w:rPr>
        <w:rFonts w:hint="default"/>
        <w:lang w:val="en-US" w:eastAsia="en-US" w:bidi="ar-SA"/>
      </w:rPr>
    </w:lvl>
    <w:lvl w:ilvl="7" w:tplc="BDB42DD0">
      <w:numFmt w:val="bullet"/>
      <w:lvlText w:val="•"/>
      <w:lvlJc w:val="left"/>
      <w:pPr>
        <w:ind w:left="7046" w:hanging="197"/>
      </w:pPr>
      <w:rPr>
        <w:rFonts w:hint="default"/>
        <w:lang w:val="en-US" w:eastAsia="en-US" w:bidi="ar-SA"/>
      </w:rPr>
    </w:lvl>
    <w:lvl w:ilvl="8" w:tplc="078A7BCA">
      <w:numFmt w:val="bullet"/>
      <w:lvlText w:val="•"/>
      <w:lvlJc w:val="left"/>
      <w:pPr>
        <w:ind w:left="7893" w:hanging="197"/>
      </w:pPr>
      <w:rPr>
        <w:rFonts w:hint="default"/>
        <w:lang w:val="en-US" w:eastAsia="en-US" w:bidi="ar-SA"/>
      </w:rPr>
    </w:lvl>
  </w:abstractNum>
  <w:abstractNum w:abstractNumId="18" w15:restartNumberingAfterBreak="0">
    <w:nsid w:val="5E396F60"/>
    <w:multiLevelType w:val="multilevel"/>
    <w:tmpl w:val="1D048F8C"/>
    <w:lvl w:ilvl="0">
      <w:start w:val="1"/>
      <w:numFmt w:val="decimal"/>
      <w:lvlText w:val="%1."/>
      <w:lvlJc w:val="left"/>
      <w:pPr>
        <w:ind w:left="682" w:hanging="262"/>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1781" w:hanging="392"/>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1.%2.%3"/>
      <w:lvlJc w:val="left"/>
      <w:pPr>
        <w:ind w:left="682" w:hanging="526"/>
      </w:pPr>
      <w:rPr>
        <w:rFonts w:ascii="Times New Roman" w:eastAsia="Times New Roman" w:hAnsi="Times New Roman" w:cs="Times New Roman" w:hint="default"/>
        <w:b/>
        <w:bCs/>
        <w:i w:val="0"/>
        <w:iCs w:val="0"/>
        <w:w w:val="100"/>
        <w:sz w:val="24"/>
        <w:szCs w:val="24"/>
        <w:lang w:val="en-US" w:eastAsia="en-US" w:bidi="ar-SA"/>
      </w:rPr>
    </w:lvl>
    <w:lvl w:ilvl="3">
      <w:numFmt w:val="bullet"/>
      <w:lvlText w:val="•"/>
      <w:lvlJc w:val="left"/>
      <w:pPr>
        <w:ind w:left="3514" w:hanging="526"/>
      </w:pPr>
      <w:rPr>
        <w:rFonts w:hint="default"/>
        <w:lang w:val="en-US" w:eastAsia="en-US" w:bidi="ar-SA"/>
      </w:rPr>
    </w:lvl>
    <w:lvl w:ilvl="4">
      <w:numFmt w:val="bullet"/>
      <w:lvlText w:val="•"/>
      <w:lvlJc w:val="left"/>
      <w:pPr>
        <w:ind w:left="4382" w:hanging="526"/>
      </w:pPr>
      <w:rPr>
        <w:rFonts w:hint="default"/>
        <w:lang w:val="en-US" w:eastAsia="en-US" w:bidi="ar-SA"/>
      </w:rPr>
    </w:lvl>
    <w:lvl w:ilvl="5">
      <w:numFmt w:val="bullet"/>
      <w:lvlText w:val="•"/>
      <w:lvlJc w:val="left"/>
      <w:pPr>
        <w:ind w:left="5249" w:hanging="526"/>
      </w:pPr>
      <w:rPr>
        <w:rFonts w:hint="default"/>
        <w:lang w:val="en-US" w:eastAsia="en-US" w:bidi="ar-SA"/>
      </w:rPr>
    </w:lvl>
    <w:lvl w:ilvl="6">
      <w:numFmt w:val="bullet"/>
      <w:lvlText w:val="•"/>
      <w:lvlJc w:val="left"/>
      <w:pPr>
        <w:ind w:left="6116" w:hanging="526"/>
      </w:pPr>
      <w:rPr>
        <w:rFonts w:hint="default"/>
        <w:lang w:val="en-US" w:eastAsia="en-US" w:bidi="ar-SA"/>
      </w:rPr>
    </w:lvl>
    <w:lvl w:ilvl="7">
      <w:numFmt w:val="bullet"/>
      <w:lvlText w:val="•"/>
      <w:lvlJc w:val="left"/>
      <w:pPr>
        <w:ind w:left="6984" w:hanging="526"/>
      </w:pPr>
      <w:rPr>
        <w:rFonts w:hint="default"/>
        <w:lang w:val="en-US" w:eastAsia="en-US" w:bidi="ar-SA"/>
      </w:rPr>
    </w:lvl>
    <w:lvl w:ilvl="8">
      <w:numFmt w:val="bullet"/>
      <w:lvlText w:val="•"/>
      <w:lvlJc w:val="left"/>
      <w:pPr>
        <w:ind w:left="7851" w:hanging="526"/>
      </w:pPr>
      <w:rPr>
        <w:rFonts w:hint="default"/>
        <w:lang w:val="en-US" w:eastAsia="en-US" w:bidi="ar-SA"/>
      </w:rPr>
    </w:lvl>
  </w:abstractNum>
  <w:abstractNum w:abstractNumId="19" w15:restartNumberingAfterBreak="0">
    <w:nsid w:val="623544F5"/>
    <w:multiLevelType w:val="hybridMultilevel"/>
    <w:tmpl w:val="B184C2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1BADA14">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8438B"/>
    <w:multiLevelType w:val="hybridMultilevel"/>
    <w:tmpl w:val="ED965A46"/>
    <w:lvl w:ilvl="0" w:tplc="9C62D86C">
      <w:start w:val="1"/>
      <w:numFmt w:val="upperRoman"/>
      <w:lvlText w:val="%1."/>
      <w:lvlJc w:val="left"/>
      <w:pPr>
        <w:ind w:left="878" w:hanging="197"/>
      </w:pPr>
      <w:rPr>
        <w:rFonts w:hint="default"/>
        <w:spacing w:val="-4"/>
        <w:w w:val="100"/>
        <w:lang w:val="en-US" w:eastAsia="en-US" w:bidi="ar-SA"/>
      </w:rPr>
    </w:lvl>
    <w:lvl w:ilvl="1" w:tplc="54EC44F4">
      <w:start w:val="1"/>
      <w:numFmt w:val="decimal"/>
      <w:lvlText w:val="%2."/>
      <w:lvlJc w:val="left"/>
      <w:pPr>
        <w:ind w:left="682" w:hanging="286"/>
      </w:pPr>
      <w:rPr>
        <w:rFonts w:ascii="Times New Roman" w:eastAsia="Times New Roman" w:hAnsi="Times New Roman" w:cs="Times New Roman" w:hint="default"/>
        <w:b/>
        <w:bCs/>
        <w:i w:val="0"/>
        <w:iCs w:val="0"/>
        <w:w w:val="100"/>
        <w:sz w:val="24"/>
        <w:szCs w:val="24"/>
        <w:lang w:val="en-US" w:eastAsia="en-US" w:bidi="ar-SA"/>
      </w:rPr>
    </w:lvl>
    <w:lvl w:ilvl="2" w:tplc="90D270F0">
      <w:start w:val="1"/>
      <w:numFmt w:val="lowerRoman"/>
      <w:lvlText w:val="(%3)"/>
      <w:lvlJc w:val="left"/>
      <w:pPr>
        <w:ind w:left="1389" w:hanging="286"/>
      </w:pPr>
      <w:rPr>
        <w:rFonts w:hint="default"/>
        <w:w w:val="100"/>
        <w:lang w:val="en-US" w:eastAsia="en-US" w:bidi="ar-SA"/>
      </w:rPr>
    </w:lvl>
    <w:lvl w:ilvl="3" w:tplc="29DEB3E4">
      <w:numFmt w:val="bullet"/>
      <w:lvlText w:val="•"/>
      <w:lvlJc w:val="left"/>
      <w:pPr>
        <w:ind w:left="1380" w:hanging="286"/>
      </w:pPr>
      <w:rPr>
        <w:rFonts w:hint="default"/>
        <w:lang w:val="en-US" w:eastAsia="en-US" w:bidi="ar-SA"/>
      </w:rPr>
    </w:lvl>
    <w:lvl w:ilvl="4" w:tplc="AC1EAC74">
      <w:numFmt w:val="bullet"/>
      <w:lvlText w:val="•"/>
      <w:lvlJc w:val="left"/>
      <w:pPr>
        <w:ind w:left="2552" w:hanging="286"/>
      </w:pPr>
      <w:rPr>
        <w:rFonts w:hint="default"/>
        <w:lang w:val="en-US" w:eastAsia="en-US" w:bidi="ar-SA"/>
      </w:rPr>
    </w:lvl>
    <w:lvl w:ilvl="5" w:tplc="8548A8DC">
      <w:numFmt w:val="bullet"/>
      <w:lvlText w:val="•"/>
      <w:lvlJc w:val="left"/>
      <w:pPr>
        <w:ind w:left="3724" w:hanging="286"/>
      </w:pPr>
      <w:rPr>
        <w:rFonts w:hint="default"/>
        <w:lang w:val="en-US" w:eastAsia="en-US" w:bidi="ar-SA"/>
      </w:rPr>
    </w:lvl>
    <w:lvl w:ilvl="6" w:tplc="89B69908">
      <w:numFmt w:val="bullet"/>
      <w:lvlText w:val="•"/>
      <w:lvlJc w:val="left"/>
      <w:pPr>
        <w:ind w:left="4897" w:hanging="286"/>
      </w:pPr>
      <w:rPr>
        <w:rFonts w:hint="default"/>
        <w:lang w:val="en-US" w:eastAsia="en-US" w:bidi="ar-SA"/>
      </w:rPr>
    </w:lvl>
    <w:lvl w:ilvl="7" w:tplc="6974F76C">
      <w:numFmt w:val="bullet"/>
      <w:lvlText w:val="•"/>
      <w:lvlJc w:val="left"/>
      <w:pPr>
        <w:ind w:left="6069" w:hanging="286"/>
      </w:pPr>
      <w:rPr>
        <w:rFonts w:hint="default"/>
        <w:lang w:val="en-US" w:eastAsia="en-US" w:bidi="ar-SA"/>
      </w:rPr>
    </w:lvl>
    <w:lvl w:ilvl="8" w:tplc="72128F04">
      <w:numFmt w:val="bullet"/>
      <w:lvlText w:val="•"/>
      <w:lvlJc w:val="left"/>
      <w:pPr>
        <w:ind w:left="7241" w:hanging="286"/>
      </w:pPr>
      <w:rPr>
        <w:rFonts w:hint="default"/>
        <w:lang w:val="en-US" w:eastAsia="en-US" w:bidi="ar-SA"/>
      </w:rPr>
    </w:lvl>
  </w:abstractNum>
  <w:abstractNum w:abstractNumId="21" w15:restartNumberingAfterBreak="0">
    <w:nsid w:val="673C33BE"/>
    <w:multiLevelType w:val="hybridMultilevel"/>
    <w:tmpl w:val="94E21F68"/>
    <w:lvl w:ilvl="0" w:tplc="3C4A3EF6">
      <w:start w:val="1"/>
      <w:numFmt w:val="upperRoman"/>
      <w:lvlText w:val="%1."/>
      <w:lvlJc w:val="left"/>
      <w:pPr>
        <w:ind w:left="609" w:hanging="214"/>
      </w:pPr>
      <w:rPr>
        <w:rFonts w:ascii="Times New Roman" w:eastAsia="Times New Roman" w:hAnsi="Times New Roman" w:cs="Times New Roman" w:hint="default"/>
        <w:b/>
        <w:bCs/>
        <w:i w:val="0"/>
        <w:iCs w:val="0"/>
        <w:spacing w:val="-1"/>
        <w:w w:val="100"/>
        <w:sz w:val="24"/>
        <w:szCs w:val="24"/>
        <w:lang w:val="en-US" w:eastAsia="en-US" w:bidi="ar-SA"/>
      </w:rPr>
    </w:lvl>
    <w:lvl w:ilvl="1" w:tplc="E800D6EE">
      <w:numFmt w:val="bullet"/>
      <w:lvlText w:val="•"/>
      <w:lvlJc w:val="left"/>
      <w:pPr>
        <w:ind w:left="1498" w:hanging="214"/>
      </w:pPr>
      <w:rPr>
        <w:rFonts w:hint="default"/>
        <w:lang w:val="en-US" w:eastAsia="en-US" w:bidi="ar-SA"/>
      </w:rPr>
    </w:lvl>
    <w:lvl w:ilvl="2" w:tplc="0AB40A30">
      <w:numFmt w:val="bullet"/>
      <w:lvlText w:val="•"/>
      <w:lvlJc w:val="left"/>
      <w:pPr>
        <w:ind w:left="2397" w:hanging="214"/>
      </w:pPr>
      <w:rPr>
        <w:rFonts w:hint="default"/>
        <w:lang w:val="en-US" w:eastAsia="en-US" w:bidi="ar-SA"/>
      </w:rPr>
    </w:lvl>
    <w:lvl w:ilvl="3" w:tplc="1206C2F6">
      <w:numFmt w:val="bullet"/>
      <w:lvlText w:val="•"/>
      <w:lvlJc w:val="left"/>
      <w:pPr>
        <w:ind w:left="3295" w:hanging="214"/>
      </w:pPr>
      <w:rPr>
        <w:rFonts w:hint="default"/>
        <w:lang w:val="en-US" w:eastAsia="en-US" w:bidi="ar-SA"/>
      </w:rPr>
    </w:lvl>
    <w:lvl w:ilvl="4" w:tplc="0CF2187A">
      <w:numFmt w:val="bullet"/>
      <w:lvlText w:val="•"/>
      <w:lvlJc w:val="left"/>
      <w:pPr>
        <w:ind w:left="4194" w:hanging="214"/>
      </w:pPr>
      <w:rPr>
        <w:rFonts w:hint="default"/>
        <w:lang w:val="en-US" w:eastAsia="en-US" w:bidi="ar-SA"/>
      </w:rPr>
    </w:lvl>
    <w:lvl w:ilvl="5" w:tplc="7D8CE46C">
      <w:numFmt w:val="bullet"/>
      <w:lvlText w:val="•"/>
      <w:lvlJc w:val="left"/>
      <w:pPr>
        <w:ind w:left="5093" w:hanging="214"/>
      </w:pPr>
      <w:rPr>
        <w:rFonts w:hint="default"/>
        <w:lang w:val="en-US" w:eastAsia="en-US" w:bidi="ar-SA"/>
      </w:rPr>
    </w:lvl>
    <w:lvl w:ilvl="6" w:tplc="8DD480E4">
      <w:numFmt w:val="bullet"/>
      <w:lvlText w:val="•"/>
      <w:lvlJc w:val="left"/>
      <w:pPr>
        <w:ind w:left="5991" w:hanging="214"/>
      </w:pPr>
      <w:rPr>
        <w:rFonts w:hint="default"/>
        <w:lang w:val="en-US" w:eastAsia="en-US" w:bidi="ar-SA"/>
      </w:rPr>
    </w:lvl>
    <w:lvl w:ilvl="7" w:tplc="109A4E8E">
      <w:numFmt w:val="bullet"/>
      <w:lvlText w:val="•"/>
      <w:lvlJc w:val="left"/>
      <w:pPr>
        <w:ind w:left="6890" w:hanging="214"/>
      </w:pPr>
      <w:rPr>
        <w:rFonts w:hint="default"/>
        <w:lang w:val="en-US" w:eastAsia="en-US" w:bidi="ar-SA"/>
      </w:rPr>
    </w:lvl>
    <w:lvl w:ilvl="8" w:tplc="FC96B1D4">
      <w:numFmt w:val="bullet"/>
      <w:lvlText w:val="•"/>
      <w:lvlJc w:val="left"/>
      <w:pPr>
        <w:ind w:left="7789" w:hanging="214"/>
      </w:pPr>
      <w:rPr>
        <w:rFonts w:hint="default"/>
        <w:lang w:val="en-US" w:eastAsia="en-US" w:bidi="ar-SA"/>
      </w:rPr>
    </w:lvl>
  </w:abstractNum>
  <w:abstractNum w:abstractNumId="22" w15:restartNumberingAfterBreak="0">
    <w:nsid w:val="67E16769"/>
    <w:multiLevelType w:val="hybridMultilevel"/>
    <w:tmpl w:val="E0BE9004"/>
    <w:lvl w:ilvl="0" w:tplc="9088325A">
      <w:start w:val="70"/>
      <w:numFmt w:val="decimal"/>
      <w:lvlText w:val="%1."/>
      <w:lvlJc w:val="left"/>
      <w:pPr>
        <w:ind w:left="2482" w:hanging="360"/>
      </w:pPr>
      <w:rPr>
        <w:rFonts w:ascii="Times New Roman" w:eastAsia="Times New Roman" w:hAnsi="Times New Roman" w:cs="Times New Roman" w:hint="default"/>
        <w:b w:val="0"/>
        <w:bCs w:val="0"/>
        <w:i w:val="0"/>
        <w:iCs w:val="0"/>
        <w:w w:val="100"/>
        <w:sz w:val="24"/>
        <w:szCs w:val="24"/>
        <w:lang w:val="en-US" w:eastAsia="en-US" w:bidi="ar-SA"/>
      </w:rPr>
    </w:lvl>
    <w:lvl w:ilvl="1" w:tplc="1B026916">
      <w:start w:val="1"/>
      <w:numFmt w:val="lowerRoman"/>
      <w:lvlText w:val="(%2)"/>
      <w:lvlJc w:val="left"/>
      <w:pPr>
        <w:ind w:left="2842" w:hanging="295"/>
      </w:pPr>
      <w:rPr>
        <w:rFonts w:ascii="Times New Roman" w:eastAsia="Times New Roman" w:hAnsi="Times New Roman" w:cs="Times New Roman" w:hint="default"/>
        <w:b w:val="0"/>
        <w:bCs w:val="0"/>
        <w:i w:val="0"/>
        <w:iCs w:val="0"/>
        <w:w w:val="100"/>
        <w:sz w:val="24"/>
        <w:szCs w:val="24"/>
        <w:lang w:val="en-US" w:eastAsia="en-US" w:bidi="ar-SA"/>
      </w:rPr>
    </w:lvl>
    <w:lvl w:ilvl="2" w:tplc="0624CDE8">
      <w:numFmt w:val="bullet"/>
      <w:lvlText w:val="•"/>
      <w:lvlJc w:val="left"/>
      <w:pPr>
        <w:ind w:left="3589" w:hanging="295"/>
      </w:pPr>
      <w:rPr>
        <w:rFonts w:hint="default"/>
        <w:lang w:val="en-US" w:eastAsia="en-US" w:bidi="ar-SA"/>
      </w:rPr>
    </w:lvl>
    <w:lvl w:ilvl="3" w:tplc="C3BC95B0">
      <w:numFmt w:val="bullet"/>
      <w:lvlText w:val="•"/>
      <w:lvlJc w:val="left"/>
      <w:pPr>
        <w:ind w:left="4339" w:hanging="295"/>
      </w:pPr>
      <w:rPr>
        <w:rFonts w:hint="default"/>
        <w:lang w:val="en-US" w:eastAsia="en-US" w:bidi="ar-SA"/>
      </w:rPr>
    </w:lvl>
    <w:lvl w:ilvl="4" w:tplc="2B3E5E3C">
      <w:numFmt w:val="bullet"/>
      <w:lvlText w:val="•"/>
      <w:lvlJc w:val="left"/>
      <w:pPr>
        <w:ind w:left="5088" w:hanging="295"/>
      </w:pPr>
      <w:rPr>
        <w:rFonts w:hint="default"/>
        <w:lang w:val="en-US" w:eastAsia="en-US" w:bidi="ar-SA"/>
      </w:rPr>
    </w:lvl>
    <w:lvl w:ilvl="5" w:tplc="76AC07C8">
      <w:numFmt w:val="bullet"/>
      <w:lvlText w:val="•"/>
      <w:lvlJc w:val="left"/>
      <w:pPr>
        <w:ind w:left="5838" w:hanging="295"/>
      </w:pPr>
      <w:rPr>
        <w:rFonts w:hint="default"/>
        <w:lang w:val="en-US" w:eastAsia="en-US" w:bidi="ar-SA"/>
      </w:rPr>
    </w:lvl>
    <w:lvl w:ilvl="6" w:tplc="C3C26CAC">
      <w:numFmt w:val="bullet"/>
      <w:lvlText w:val="•"/>
      <w:lvlJc w:val="left"/>
      <w:pPr>
        <w:ind w:left="6588" w:hanging="295"/>
      </w:pPr>
      <w:rPr>
        <w:rFonts w:hint="default"/>
        <w:lang w:val="en-US" w:eastAsia="en-US" w:bidi="ar-SA"/>
      </w:rPr>
    </w:lvl>
    <w:lvl w:ilvl="7" w:tplc="708E52AA">
      <w:numFmt w:val="bullet"/>
      <w:lvlText w:val="•"/>
      <w:lvlJc w:val="left"/>
      <w:pPr>
        <w:ind w:left="7337" w:hanging="295"/>
      </w:pPr>
      <w:rPr>
        <w:rFonts w:hint="default"/>
        <w:lang w:val="en-US" w:eastAsia="en-US" w:bidi="ar-SA"/>
      </w:rPr>
    </w:lvl>
    <w:lvl w:ilvl="8" w:tplc="A9D864C8">
      <w:numFmt w:val="bullet"/>
      <w:lvlText w:val="•"/>
      <w:lvlJc w:val="left"/>
      <w:pPr>
        <w:ind w:left="8087" w:hanging="295"/>
      </w:pPr>
      <w:rPr>
        <w:rFonts w:hint="default"/>
        <w:lang w:val="en-US" w:eastAsia="en-US" w:bidi="ar-SA"/>
      </w:rPr>
    </w:lvl>
  </w:abstractNum>
  <w:abstractNum w:abstractNumId="23" w15:restartNumberingAfterBreak="0">
    <w:nsid w:val="6ACD1542"/>
    <w:multiLevelType w:val="multilevel"/>
    <w:tmpl w:val="601A4C4C"/>
    <w:lvl w:ilvl="0">
      <w:start w:val="10"/>
      <w:numFmt w:val="decimal"/>
      <w:lvlText w:val="%1"/>
      <w:lvlJc w:val="left"/>
      <w:pPr>
        <w:ind w:left="682" w:hanging="492"/>
      </w:pPr>
      <w:rPr>
        <w:rFonts w:hint="default"/>
        <w:lang w:val="en-US" w:eastAsia="en-US" w:bidi="ar-SA"/>
      </w:rPr>
    </w:lvl>
    <w:lvl w:ilvl="1">
      <w:start w:val="1"/>
      <w:numFmt w:val="decimal"/>
      <w:lvlText w:val="%1.%2"/>
      <w:lvlJc w:val="left"/>
      <w:pPr>
        <w:ind w:left="682" w:hanging="492"/>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61" w:hanging="492"/>
      </w:pPr>
      <w:rPr>
        <w:rFonts w:hint="default"/>
        <w:lang w:val="en-US" w:eastAsia="en-US" w:bidi="ar-SA"/>
      </w:rPr>
    </w:lvl>
    <w:lvl w:ilvl="3">
      <w:numFmt w:val="bullet"/>
      <w:lvlText w:val="•"/>
      <w:lvlJc w:val="left"/>
      <w:pPr>
        <w:ind w:left="3351" w:hanging="492"/>
      </w:pPr>
      <w:rPr>
        <w:rFonts w:hint="default"/>
        <w:lang w:val="en-US" w:eastAsia="en-US" w:bidi="ar-SA"/>
      </w:rPr>
    </w:lvl>
    <w:lvl w:ilvl="4">
      <w:numFmt w:val="bullet"/>
      <w:lvlText w:val="•"/>
      <w:lvlJc w:val="left"/>
      <w:pPr>
        <w:ind w:left="4242" w:hanging="492"/>
      </w:pPr>
      <w:rPr>
        <w:rFonts w:hint="default"/>
        <w:lang w:val="en-US" w:eastAsia="en-US" w:bidi="ar-SA"/>
      </w:rPr>
    </w:lvl>
    <w:lvl w:ilvl="5">
      <w:numFmt w:val="bullet"/>
      <w:lvlText w:val="•"/>
      <w:lvlJc w:val="left"/>
      <w:pPr>
        <w:ind w:left="5133" w:hanging="492"/>
      </w:pPr>
      <w:rPr>
        <w:rFonts w:hint="default"/>
        <w:lang w:val="en-US" w:eastAsia="en-US" w:bidi="ar-SA"/>
      </w:rPr>
    </w:lvl>
    <w:lvl w:ilvl="6">
      <w:numFmt w:val="bullet"/>
      <w:lvlText w:val="•"/>
      <w:lvlJc w:val="left"/>
      <w:pPr>
        <w:ind w:left="6023" w:hanging="492"/>
      </w:pPr>
      <w:rPr>
        <w:rFonts w:hint="default"/>
        <w:lang w:val="en-US" w:eastAsia="en-US" w:bidi="ar-SA"/>
      </w:rPr>
    </w:lvl>
    <w:lvl w:ilvl="7">
      <w:numFmt w:val="bullet"/>
      <w:lvlText w:val="•"/>
      <w:lvlJc w:val="left"/>
      <w:pPr>
        <w:ind w:left="6914" w:hanging="492"/>
      </w:pPr>
      <w:rPr>
        <w:rFonts w:hint="default"/>
        <w:lang w:val="en-US" w:eastAsia="en-US" w:bidi="ar-SA"/>
      </w:rPr>
    </w:lvl>
    <w:lvl w:ilvl="8">
      <w:numFmt w:val="bullet"/>
      <w:lvlText w:val="•"/>
      <w:lvlJc w:val="left"/>
      <w:pPr>
        <w:ind w:left="7805" w:hanging="492"/>
      </w:pPr>
      <w:rPr>
        <w:rFonts w:hint="default"/>
        <w:lang w:val="en-US" w:eastAsia="en-US" w:bidi="ar-SA"/>
      </w:rPr>
    </w:lvl>
  </w:abstractNum>
  <w:abstractNum w:abstractNumId="24" w15:restartNumberingAfterBreak="0">
    <w:nsid w:val="6BB25F12"/>
    <w:multiLevelType w:val="hybridMultilevel"/>
    <w:tmpl w:val="24A07B98"/>
    <w:lvl w:ilvl="0" w:tplc="F8BABEAC">
      <w:start w:val="1"/>
      <w:numFmt w:val="lowerLetter"/>
      <w:lvlText w:val="(%1)"/>
      <w:lvlJc w:val="left"/>
      <w:pPr>
        <w:ind w:left="2842" w:hanging="361"/>
      </w:pPr>
      <w:rPr>
        <w:rFonts w:ascii="Times New Roman" w:eastAsia="Times New Roman" w:hAnsi="Times New Roman" w:cs="Times New Roman" w:hint="default"/>
        <w:b w:val="0"/>
        <w:bCs w:val="0"/>
        <w:i w:val="0"/>
        <w:iCs w:val="0"/>
        <w:spacing w:val="-2"/>
        <w:w w:val="100"/>
        <w:sz w:val="24"/>
        <w:szCs w:val="24"/>
        <w:lang w:val="en-US" w:eastAsia="en-US" w:bidi="ar-SA"/>
      </w:rPr>
    </w:lvl>
    <w:lvl w:ilvl="1" w:tplc="6B70101E">
      <w:numFmt w:val="bullet"/>
      <w:lvlText w:val="•"/>
      <w:lvlJc w:val="left"/>
      <w:pPr>
        <w:ind w:left="3514" w:hanging="361"/>
      </w:pPr>
      <w:rPr>
        <w:rFonts w:hint="default"/>
        <w:lang w:val="en-US" w:eastAsia="en-US" w:bidi="ar-SA"/>
      </w:rPr>
    </w:lvl>
    <w:lvl w:ilvl="2" w:tplc="C9DA25C0">
      <w:numFmt w:val="bullet"/>
      <w:lvlText w:val="•"/>
      <w:lvlJc w:val="left"/>
      <w:pPr>
        <w:ind w:left="4189" w:hanging="361"/>
      </w:pPr>
      <w:rPr>
        <w:rFonts w:hint="default"/>
        <w:lang w:val="en-US" w:eastAsia="en-US" w:bidi="ar-SA"/>
      </w:rPr>
    </w:lvl>
    <w:lvl w:ilvl="3" w:tplc="A5844984">
      <w:numFmt w:val="bullet"/>
      <w:lvlText w:val="•"/>
      <w:lvlJc w:val="left"/>
      <w:pPr>
        <w:ind w:left="4863" w:hanging="361"/>
      </w:pPr>
      <w:rPr>
        <w:rFonts w:hint="default"/>
        <w:lang w:val="en-US" w:eastAsia="en-US" w:bidi="ar-SA"/>
      </w:rPr>
    </w:lvl>
    <w:lvl w:ilvl="4" w:tplc="A456E23A">
      <w:numFmt w:val="bullet"/>
      <w:lvlText w:val="•"/>
      <w:lvlJc w:val="left"/>
      <w:pPr>
        <w:ind w:left="5538" w:hanging="361"/>
      </w:pPr>
      <w:rPr>
        <w:rFonts w:hint="default"/>
        <w:lang w:val="en-US" w:eastAsia="en-US" w:bidi="ar-SA"/>
      </w:rPr>
    </w:lvl>
    <w:lvl w:ilvl="5" w:tplc="48C29FC4">
      <w:numFmt w:val="bullet"/>
      <w:lvlText w:val="•"/>
      <w:lvlJc w:val="left"/>
      <w:pPr>
        <w:ind w:left="6213" w:hanging="361"/>
      </w:pPr>
      <w:rPr>
        <w:rFonts w:hint="default"/>
        <w:lang w:val="en-US" w:eastAsia="en-US" w:bidi="ar-SA"/>
      </w:rPr>
    </w:lvl>
    <w:lvl w:ilvl="6" w:tplc="B8B20252">
      <w:numFmt w:val="bullet"/>
      <w:lvlText w:val="•"/>
      <w:lvlJc w:val="left"/>
      <w:pPr>
        <w:ind w:left="6887" w:hanging="361"/>
      </w:pPr>
      <w:rPr>
        <w:rFonts w:hint="default"/>
        <w:lang w:val="en-US" w:eastAsia="en-US" w:bidi="ar-SA"/>
      </w:rPr>
    </w:lvl>
    <w:lvl w:ilvl="7" w:tplc="771AAA86">
      <w:numFmt w:val="bullet"/>
      <w:lvlText w:val="•"/>
      <w:lvlJc w:val="left"/>
      <w:pPr>
        <w:ind w:left="7562" w:hanging="361"/>
      </w:pPr>
      <w:rPr>
        <w:rFonts w:hint="default"/>
        <w:lang w:val="en-US" w:eastAsia="en-US" w:bidi="ar-SA"/>
      </w:rPr>
    </w:lvl>
    <w:lvl w:ilvl="8" w:tplc="7A20C4D0">
      <w:numFmt w:val="bullet"/>
      <w:lvlText w:val="•"/>
      <w:lvlJc w:val="left"/>
      <w:pPr>
        <w:ind w:left="8237" w:hanging="361"/>
      </w:pPr>
      <w:rPr>
        <w:rFonts w:hint="default"/>
        <w:lang w:val="en-US" w:eastAsia="en-US" w:bidi="ar-SA"/>
      </w:rPr>
    </w:lvl>
  </w:abstractNum>
  <w:abstractNum w:abstractNumId="25" w15:restartNumberingAfterBreak="0">
    <w:nsid w:val="726301FB"/>
    <w:multiLevelType w:val="hybridMultilevel"/>
    <w:tmpl w:val="5CB4D940"/>
    <w:lvl w:ilvl="0" w:tplc="F4B691E8">
      <w:start w:val="1"/>
      <w:numFmt w:val="upperRoman"/>
      <w:lvlText w:val="%1."/>
      <w:lvlJc w:val="left"/>
      <w:pPr>
        <w:ind w:left="922"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F326B33A">
      <w:numFmt w:val="bullet"/>
      <w:lvlText w:val="•"/>
      <w:lvlJc w:val="left"/>
      <w:pPr>
        <w:ind w:left="1786" w:hanging="197"/>
      </w:pPr>
      <w:rPr>
        <w:rFonts w:hint="default"/>
        <w:lang w:val="en-US" w:eastAsia="en-US" w:bidi="ar-SA"/>
      </w:rPr>
    </w:lvl>
    <w:lvl w:ilvl="2" w:tplc="35CC2B50">
      <w:numFmt w:val="bullet"/>
      <w:lvlText w:val="•"/>
      <w:lvlJc w:val="left"/>
      <w:pPr>
        <w:ind w:left="2653" w:hanging="197"/>
      </w:pPr>
      <w:rPr>
        <w:rFonts w:hint="default"/>
        <w:lang w:val="en-US" w:eastAsia="en-US" w:bidi="ar-SA"/>
      </w:rPr>
    </w:lvl>
    <w:lvl w:ilvl="3" w:tplc="F26EEC06">
      <w:numFmt w:val="bullet"/>
      <w:lvlText w:val="•"/>
      <w:lvlJc w:val="left"/>
      <w:pPr>
        <w:ind w:left="3519" w:hanging="197"/>
      </w:pPr>
      <w:rPr>
        <w:rFonts w:hint="default"/>
        <w:lang w:val="en-US" w:eastAsia="en-US" w:bidi="ar-SA"/>
      </w:rPr>
    </w:lvl>
    <w:lvl w:ilvl="4" w:tplc="5AF4C466">
      <w:numFmt w:val="bullet"/>
      <w:lvlText w:val="•"/>
      <w:lvlJc w:val="left"/>
      <w:pPr>
        <w:ind w:left="4386" w:hanging="197"/>
      </w:pPr>
      <w:rPr>
        <w:rFonts w:hint="default"/>
        <w:lang w:val="en-US" w:eastAsia="en-US" w:bidi="ar-SA"/>
      </w:rPr>
    </w:lvl>
    <w:lvl w:ilvl="5" w:tplc="F93CF56E">
      <w:numFmt w:val="bullet"/>
      <w:lvlText w:val="•"/>
      <w:lvlJc w:val="left"/>
      <w:pPr>
        <w:ind w:left="5253" w:hanging="197"/>
      </w:pPr>
      <w:rPr>
        <w:rFonts w:hint="default"/>
        <w:lang w:val="en-US" w:eastAsia="en-US" w:bidi="ar-SA"/>
      </w:rPr>
    </w:lvl>
    <w:lvl w:ilvl="6" w:tplc="4014B5DC">
      <w:numFmt w:val="bullet"/>
      <w:lvlText w:val="•"/>
      <w:lvlJc w:val="left"/>
      <w:pPr>
        <w:ind w:left="6119" w:hanging="197"/>
      </w:pPr>
      <w:rPr>
        <w:rFonts w:hint="default"/>
        <w:lang w:val="en-US" w:eastAsia="en-US" w:bidi="ar-SA"/>
      </w:rPr>
    </w:lvl>
    <w:lvl w:ilvl="7" w:tplc="713201F4">
      <w:numFmt w:val="bullet"/>
      <w:lvlText w:val="•"/>
      <w:lvlJc w:val="left"/>
      <w:pPr>
        <w:ind w:left="6986" w:hanging="197"/>
      </w:pPr>
      <w:rPr>
        <w:rFonts w:hint="default"/>
        <w:lang w:val="en-US" w:eastAsia="en-US" w:bidi="ar-SA"/>
      </w:rPr>
    </w:lvl>
    <w:lvl w:ilvl="8" w:tplc="4A003F4C">
      <w:numFmt w:val="bullet"/>
      <w:lvlText w:val="•"/>
      <w:lvlJc w:val="left"/>
      <w:pPr>
        <w:ind w:left="7853" w:hanging="197"/>
      </w:pPr>
      <w:rPr>
        <w:rFonts w:hint="default"/>
        <w:lang w:val="en-US" w:eastAsia="en-US" w:bidi="ar-SA"/>
      </w:rPr>
    </w:lvl>
  </w:abstractNum>
  <w:abstractNum w:abstractNumId="26" w15:restartNumberingAfterBreak="0">
    <w:nsid w:val="774E42D1"/>
    <w:multiLevelType w:val="hybridMultilevel"/>
    <w:tmpl w:val="2864DB80"/>
    <w:lvl w:ilvl="0" w:tplc="5346FCDA">
      <w:start w:val="1"/>
      <w:numFmt w:val="upperLetter"/>
      <w:lvlText w:val="%1."/>
      <w:lvlJc w:val="left"/>
      <w:pPr>
        <w:ind w:left="396"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1" w:tplc="E4622412">
      <w:numFmt w:val="bullet"/>
      <w:lvlText w:val="•"/>
      <w:lvlJc w:val="left"/>
      <w:pPr>
        <w:ind w:left="1318" w:hanging="286"/>
      </w:pPr>
      <w:rPr>
        <w:rFonts w:hint="default"/>
        <w:lang w:val="en-US" w:eastAsia="en-US" w:bidi="ar-SA"/>
      </w:rPr>
    </w:lvl>
    <w:lvl w:ilvl="2" w:tplc="0FB4B64A">
      <w:numFmt w:val="bullet"/>
      <w:lvlText w:val="•"/>
      <w:lvlJc w:val="left"/>
      <w:pPr>
        <w:ind w:left="2237" w:hanging="286"/>
      </w:pPr>
      <w:rPr>
        <w:rFonts w:hint="default"/>
        <w:lang w:val="en-US" w:eastAsia="en-US" w:bidi="ar-SA"/>
      </w:rPr>
    </w:lvl>
    <w:lvl w:ilvl="3" w:tplc="A3AA49DE">
      <w:numFmt w:val="bullet"/>
      <w:lvlText w:val="•"/>
      <w:lvlJc w:val="left"/>
      <w:pPr>
        <w:ind w:left="3155" w:hanging="286"/>
      </w:pPr>
      <w:rPr>
        <w:rFonts w:hint="default"/>
        <w:lang w:val="en-US" w:eastAsia="en-US" w:bidi="ar-SA"/>
      </w:rPr>
    </w:lvl>
    <w:lvl w:ilvl="4" w:tplc="4F8049DC">
      <w:numFmt w:val="bullet"/>
      <w:lvlText w:val="•"/>
      <w:lvlJc w:val="left"/>
      <w:pPr>
        <w:ind w:left="4074" w:hanging="286"/>
      </w:pPr>
      <w:rPr>
        <w:rFonts w:hint="default"/>
        <w:lang w:val="en-US" w:eastAsia="en-US" w:bidi="ar-SA"/>
      </w:rPr>
    </w:lvl>
    <w:lvl w:ilvl="5" w:tplc="016E40A2">
      <w:numFmt w:val="bullet"/>
      <w:lvlText w:val="•"/>
      <w:lvlJc w:val="left"/>
      <w:pPr>
        <w:ind w:left="4993" w:hanging="286"/>
      </w:pPr>
      <w:rPr>
        <w:rFonts w:hint="default"/>
        <w:lang w:val="en-US" w:eastAsia="en-US" w:bidi="ar-SA"/>
      </w:rPr>
    </w:lvl>
    <w:lvl w:ilvl="6" w:tplc="EF7AE404">
      <w:numFmt w:val="bullet"/>
      <w:lvlText w:val="•"/>
      <w:lvlJc w:val="left"/>
      <w:pPr>
        <w:ind w:left="5911" w:hanging="286"/>
      </w:pPr>
      <w:rPr>
        <w:rFonts w:hint="default"/>
        <w:lang w:val="en-US" w:eastAsia="en-US" w:bidi="ar-SA"/>
      </w:rPr>
    </w:lvl>
    <w:lvl w:ilvl="7" w:tplc="0AFE1A0C">
      <w:numFmt w:val="bullet"/>
      <w:lvlText w:val="•"/>
      <w:lvlJc w:val="left"/>
      <w:pPr>
        <w:ind w:left="6830" w:hanging="286"/>
      </w:pPr>
      <w:rPr>
        <w:rFonts w:hint="default"/>
        <w:lang w:val="en-US" w:eastAsia="en-US" w:bidi="ar-SA"/>
      </w:rPr>
    </w:lvl>
    <w:lvl w:ilvl="8" w:tplc="A0021648">
      <w:numFmt w:val="bullet"/>
      <w:lvlText w:val="•"/>
      <w:lvlJc w:val="left"/>
      <w:pPr>
        <w:ind w:left="7749" w:hanging="286"/>
      </w:pPr>
      <w:rPr>
        <w:rFonts w:hint="default"/>
        <w:lang w:val="en-US" w:eastAsia="en-US" w:bidi="ar-SA"/>
      </w:rPr>
    </w:lvl>
  </w:abstractNum>
  <w:num w:numId="1" w16cid:durableId="1420639807">
    <w:abstractNumId w:val="21"/>
  </w:num>
  <w:num w:numId="2" w16cid:durableId="754933025">
    <w:abstractNumId w:val="4"/>
  </w:num>
  <w:num w:numId="3" w16cid:durableId="1093471042">
    <w:abstractNumId w:val="6"/>
  </w:num>
  <w:num w:numId="4" w16cid:durableId="1440183005">
    <w:abstractNumId w:val="26"/>
  </w:num>
  <w:num w:numId="5" w16cid:durableId="1113675707">
    <w:abstractNumId w:val="5"/>
  </w:num>
  <w:num w:numId="6" w16cid:durableId="1417051984">
    <w:abstractNumId w:val="11"/>
  </w:num>
  <w:num w:numId="7" w16cid:durableId="1342780263">
    <w:abstractNumId w:val="1"/>
  </w:num>
  <w:num w:numId="8" w16cid:durableId="1811439081">
    <w:abstractNumId w:val="20"/>
  </w:num>
  <w:num w:numId="9" w16cid:durableId="664283444">
    <w:abstractNumId w:val="23"/>
  </w:num>
  <w:num w:numId="10" w16cid:durableId="1721320357">
    <w:abstractNumId w:val="18"/>
  </w:num>
  <w:num w:numId="11" w16cid:durableId="458576403">
    <w:abstractNumId w:val="13"/>
  </w:num>
  <w:num w:numId="12" w16cid:durableId="1068262864">
    <w:abstractNumId w:val="16"/>
  </w:num>
  <w:num w:numId="13" w16cid:durableId="660355056">
    <w:abstractNumId w:val="7"/>
  </w:num>
  <w:num w:numId="14" w16cid:durableId="1406804450">
    <w:abstractNumId w:val="8"/>
  </w:num>
  <w:num w:numId="15" w16cid:durableId="1105078215">
    <w:abstractNumId w:val="24"/>
  </w:num>
  <w:num w:numId="16" w16cid:durableId="1971277940">
    <w:abstractNumId w:val="22"/>
  </w:num>
  <w:num w:numId="17" w16cid:durableId="1810589544">
    <w:abstractNumId w:val="3"/>
  </w:num>
  <w:num w:numId="18" w16cid:durableId="1797016898">
    <w:abstractNumId w:val="15"/>
  </w:num>
  <w:num w:numId="19" w16cid:durableId="656692992">
    <w:abstractNumId w:val="12"/>
  </w:num>
  <w:num w:numId="20" w16cid:durableId="1288514123">
    <w:abstractNumId w:val="9"/>
  </w:num>
  <w:num w:numId="21" w16cid:durableId="876234116">
    <w:abstractNumId w:val="2"/>
  </w:num>
  <w:num w:numId="22" w16cid:durableId="1321958231">
    <w:abstractNumId w:val="0"/>
  </w:num>
  <w:num w:numId="23" w16cid:durableId="1321499185">
    <w:abstractNumId w:val="14"/>
  </w:num>
  <w:num w:numId="24" w16cid:durableId="743456232">
    <w:abstractNumId w:val="17"/>
  </w:num>
  <w:num w:numId="25" w16cid:durableId="1612012513">
    <w:abstractNumId w:val="25"/>
  </w:num>
  <w:num w:numId="26" w16cid:durableId="171800759">
    <w:abstractNumId w:val="19"/>
  </w:num>
  <w:num w:numId="27" w16cid:durableId="548372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8D"/>
    <w:rsid w:val="00012FEF"/>
    <w:rsid w:val="00026738"/>
    <w:rsid w:val="00082DF9"/>
    <w:rsid w:val="00093BAC"/>
    <w:rsid w:val="000C6C0B"/>
    <w:rsid w:val="00151552"/>
    <w:rsid w:val="00186EF3"/>
    <w:rsid w:val="00192B44"/>
    <w:rsid w:val="00201EDC"/>
    <w:rsid w:val="00204F66"/>
    <w:rsid w:val="0023308C"/>
    <w:rsid w:val="00260CC0"/>
    <w:rsid w:val="002619A5"/>
    <w:rsid w:val="002775B0"/>
    <w:rsid w:val="002C2D0F"/>
    <w:rsid w:val="00321459"/>
    <w:rsid w:val="0032354F"/>
    <w:rsid w:val="00383D22"/>
    <w:rsid w:val="00401EFB"/>
    <w:rsid w:val="0040202E"/>
    <w:rsid w:val="004304CC"/>
    <w:rsid w:val="00431BED"/>
    <w:rsid w:val="00434B4B"/>
    <w:rsid w:val="0048721B"/>
    <w:rsid w:val="0049553D"/>
    <w:rsid w:val="004A082F"/>
    <w:rsid w:val="004A4130"/>
    <w:rsid w:val="004C3B65"/>
    <w:rsid w:val="005244D7"/>
    <w:rsid w:val="00552962"/>
    <w:rsid w:val="005557C5"/>
    <w:rsid w:val="00555FE3"/>
    <w:rsid w:val="005806F5"/>
    <w:rsid w:val="005C5E8B"/>
    <w:rsid w:val="005C7D52"/>
    <w:rsid w:val="005D00F1"/>
    <w:rsid w:val="005D24B7"/>
    <w:rsid w:val="006345C6"/>
    <w:rsid w:val="00652B86"/>
    <w:rsid w:val="00670EF3"/>
    <w:rsid w:val="00676955"/>
    <w:rsid w:val="00685F68"/>
    <w:rsid w:val="006924C7"/>
    <w:rsid w:val="006B7311"/>
    <w:rsid w:val="006B758D"/>
    <w:rsid w:val="006D14B8"/>
    <w:rsid w:val="00700691"/>
    <w:rsid w:val="007213F0"/>
    <w:rsid w:val="00753FE8"/>
    <w:rsid w:val="0076224E"/>
    <w:rsid w:val="007976EE"/>
    <w:rsid w:val="0080353C"/>
    <w:rsid w:val="008100B1"/>
    <w:rsid w:val="00812CAB"/>
    <w:rsid w:val="00823B3B"/>
    <w:rsid w:val="00833F6A"/>
    <w:rsid w:val="00875421"/>
    <w:rsid w:val="0088570C"/>
    <w:rsid w:val="008B5A49"/>
    <w:rsid w:val="008F0B04"/>
    <w:rsid w:val="009075C0"/>
    <w:rsid w:val="00921F58"/>
    <w:rsid w:val="0093712F"/>
    <w:rsid w:val="009B50CC"/>
    <w:rsid w:val="009B5FF6"/>
    <w:rsid w:val="009D6144"/>
    <w:rsid w:val="009E0863"/>
    <w:rsid w:val="00A55318"/>
    <w:rsid w:val="00A5571B"/>
    <w:rsid w:val="00AE2FEF"/>
    <w:rsid w:val="00B0541C"/>
    <w:rsid w:val="00B071A2"/>
    <w:rsid w:val="00B401E5"/>
    <w:rsid w:val="00B52C6D"/>
    <w:rsid w:val="00B61FBC"/>
    <w:rsid w:val="00B86B79"/>
    <w:rsid w:val="00B91E8A"/>
    <w:rsid w:val="00BA120F"/>
    <w:rsid w:val="00BD1DBC"/>
    <w:rsid w:val="00BF7146"/>
    <w:rsid w:val="00C12411"/>
    <w:rsid w:val="00C532C0"/>
    <w:rsid w:val="00C56C61"/>
    <w:rsid w:val="00C71F47"/>
    <w:rsid w:val="00C9210F"/>
    <w:rsid w:val="00C92720"/>
    <w:rsid w:val="00C93458"/>
    <w:rsid w:val="00CB661B"/>
    <w:rsid w:val="00CE7EDF"/>
    <w:rsid w:val="00D21044"/>
    <w:rsid w:val="00D277E1"/>
    <w:rsid w:val="00D8073D"/>
    <w:rsid w:val="00D93FDF"/>
    <w:rsid w:val="00DA751B"/>
    <w:rsid w:val="00DC17DF"/>
    <w:rsid w:val="00DD202E"/>
    <w:rsid w:val="00E22BB5"/>
    <w:rsid w:val="00E33696"/>
    <w:rsid w:val="00E66BAE"/>
    <w:rsid w:val="00E7034A"/>
    <w:rsid w:val="00E9333E"/>
    <w:rsid w:val="00EA2AB9"/>
    <w:rsid w:val="00EA4AEE"/>
    <w:rsid w:val="00EC5F8C"/>
    <w:rsid w:val="00EE54CB"/>
    <w:rsid w:val="00EF0911"/>
    <w:rsid w:val="00EF1AEC"/>
    <w:rsid w:val="00F107D1"/>
    <w:rsid w:val="00F16C9D"/>
    <w:rsid w:val="00FA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2A3C2"/>
  <w15:docId w15:val="{F185E673-A6E7-42A5-A12F-ED18B956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6"/>
      <w:ind w:left="78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682"/>
    </w:pPr>
    <w:rPr>
      <w:sz w:val="24"/>
      <w:szCs w:val="24"/>
    </w:rPr>
  </w:style>
  <w:style w:type="paragraph" w:styleId="TOC2">
    <w:name w:val="toc 2"/>
    <w:basedOn w:val="Normal"/>
    <w:uiPriority w:val="1"/>
    <w:qFormat/>
    <w:pPr>
      <w:spacing w:before="101"/>
      <w:ind w:left="1200" w:hanging="27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810" w:right="525"/>
      <w:jc w:val="center"/>
    </w:pPr>
    <w:rPr>
      <w:b/>
      <w:bCs/>
      <w:sz w:val="28"/>
      <w:szCs w:val="28"/>
    </w:rPr>
  </w:style>
  <w:style w:type="paragraph" w:styleId="ListParagraph">
    <w:name w:val="List Paragraph"/>
    <w:basedOn w:val="Normal"/>
    <w:uiPriority w:val="1"/>
    <w:qFormat/>
    <w:pPr>
      <w:ind w:left="682" w:firstLine="707"/>
      <w:jc w:val="both"/>
    </w:pPr>
  </w:style>
  <w:style w:type="paragraph" w:customStyle="1" w:styleId="TableParagraph">
    <w:name w:val="Table Paragraph"/>
    <w:basedOn w:val="Normal"/>
    <w:uiPriority w:val="1"/>
    <w:qFormat/>
  </w:style>
  <w:style w:type="paragraph" w:styleId="Revision">
    <w:name w:val="Revision"/>
    <w:hidden/>
    <w:uiPriority w:val="99"/>
    <w:semiHidden/>
    <w:rsid w:val="00260CC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21F58"/>
    <w:rPr>
      <w:sz w:val="16"/>
      <w:szCs w:val="16"/>
    </w:rPr>
  </w:style>
  <w:style w:type="paragraph" w:styleId="CommentText">
    <w:name w:val="annotation text"/>
    <w:basedOn w:val="Normal"/>
    <w:link w:val="CommentTextChar"/>
    <w:uiPriority w:val="99"/>
    <w:unhideWhenUsed/>
    <w:rsid w:val="00921F58"/>
    <w:rPr>
      <w:sz w:val="20"/>
      <w:szCs w:val="20"/>
    </w:rPr>
  </w:style>
  <w:style w:type="character" w:customStyle="1" w:styleId="CommentTextChar">
    <w:name w:val="Comment Text Char"/>
    <w:basedOn w:val="DefaultParagraphFont"/>
    <w:link w:val="CommentText"/>
    <w:uiPriority w:val="99"/>
    <w:rsid w:val="00921F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F58"/>
    <w:rPr>
      <w:b/>
      <w:bCs/>
    </w:rPr>
  </w:style>
  <w:style w:type="character" w:customStyle="1" w:styleId="CommentSubjectChar">
    <w:name w:val="Comment Subject Char"/>
    <w:basedOn w:val="CommentTextChar"/>
    <w:link w:val="CommentSubject"/>
    <w:uiPriority w:val="99"/>
    <w:semiHidden/>
    <w:rsid w:val="00921F5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071A2"/>
    <w:pPr>
      <w:tabs>
        <w:tab w:val="center" w:pos="4680"/>
        <w:tab w:val="right" w:pos="9360"/>
      </w:tabs>
    </w:pPr>
  </w:style>
  <w:style w:type="character" w:customStyle="1" w:styleId="HeaderChar">
    <w:name w:val="Header Char"/>
    <w:basedOn w:val="DefaultParagraphFont"/>
    <w:link w:val="Header"/>
    <w:uiPriority w:val="99"/>
    <w:rsid w:val="00B071A2"/>
    <w:rPr>
      <w:rFonts w:ascii="Times New Roman" w:eastAsia="Times New Roman" w:hAnsi="Times New Roman" w:cs="Times New Roman"/>
    </w:rPr>
  </w:style>
  <w:style w:type="paragraph" w:styleId="Footer">
    <w:name w:val="footer"/>
    <w:basedOn w:val="Normal"/>
    <w:link w:val="FooterChar"/>
    <w:uiPriority w:val="99"/>
    <w:unhideWhenUsed/>
    <w:rsid w:val="00B071A2"/>
    <w:pPr>
      <w:tabs>
        <w:tab w:val="center" w:pos="4680"/>
        <w:tab w:val="right" w:pos="9360"/>
      </w:tabs>
    </w:pPr>
  </w:style>
  <w:style w:type="character" w:customStyle="1" w:styleId="FooterChar">
    <w:name w:val="Footer Char"/>
    <w:basedOn w:val="DefaultParagraphFont"/>
    <w:link w:val="Footer"/>
    <w:uiPriority w:val="99"/>
    <w:rsid w:val="00B071A2"/>
    <w:rPr>
      <w:rFonts w:ascii="Times New Roman" w:eastAsia="Times New Roman" w:hAnsi="Times New Roman" w:cs="Times New Roman"/>
    </w:rPr>
  </w:style>
  <w:style w:type="character" w:styleId="Hyperlink">
    <w:name w:val="Hyperlink"/>
    <w:basedOn w:val="DefaultParagraphFont"/>
    <w:uiPriority w:val="99"/>
    <w:unhideWhenUsed/>
    <w:rsid w:val="00676955"/>
    <w:rPr>
      <w:color w:val="0000FF" w:themeColor="hyperlink"/>
      <w:u w:val="single"/>
    </w:rPr>
  </w:style>
  <w:style w:type="character" w:styleId="UnresolvedMention">
    <w:name w:val="Unresolved Mention"/>
    <w:basedOn w:val="DefaultParagraphFont"/>
    <w:uiPriority w:val="99"/>
    <w:semiHidden/>
    <w:unhideWhenUsed/>
    <w:rsid w:val="00676955"/>
    <w:rPr>
      <w:color w:val="605E5C"/>
      <w:shd w:val="clear" w:color="auto" w:fill="E1DFDD"/>
    </w:rPr>
  </w:style>
  <w:style w:type="paragraph" w:styleId="FootnoteText">
    <w:name w:val="footnote text"/>
    <w:basedOn w:val="Normal"/>
    <w:link w:val="FootnoteTextChar"/>
    <w:uiPriority w:val="99"/>
    <w:semiHidden/>
    <w:unhideWhenUsed/>
    <w:rsid w:val="00CB661B"/>
    <w:rPr>
      <w:sz w:val="20"/>
      <w:szCs w:val="20"/>
    </w:rPr>
  </w:style>
  <w:style w:type="character" w:customStyle="1" w:styleId="FootnoteTextChar">
    <w:name w:val="Footnote Text Char"/>
    <w:basedOn w:val="DefaultParagraphFont"/>
    <w:link w:val="FootnoteText"/>
    <w:uiPriority w:val="99"/>
    <w:semiHidden/>
    <w:rsid w:val="00CB661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B661B"/>
    <w:rPr>
      <w:vertAlign w:val="superscript"/>
    </w:rPr>
  </w:style>
  <w:style w:type="paragraph" w:customStyle="1" w:styleId="Sessiontc">
    <w:name w:val="Session_tc"/>
    <w:basedOn w:val="Normal"/>
    <w:rsid w:val="00192B44"/>
    <w:pPr>
      <w:widowControl/>
      <w:autoSpaceDE/>
      <w:autoSpaceDN/>
      <w:spacing w:line="280" w:lineRule="exact"/>
    </w:pPr>
    <w:rPr>
      <w:rFonts w:ascii="Arial" w:hAnsi="Arial"/>
      <w:b/>
      <w:bCs/>
      <w:kern w:val="28"/>
      <w:sz w:val="20"/>
      <w:szCs w:val="20"/>
      <w:lang w:val="fr-FR"/>
    </w:rPr>
  </w:style>
  <w:style w:type="paragraph" w:customStyle="1" w:styleId="Sessiontcplacedate">
    <w:name w:val="Session_tc_place_date"/>
    <w:basedOn w:val="Normal"/>
    <w:rsid w:val="00192B44"/>
    <w:pPr>
      <w:widowControl/>
      <w:autoSpaceDE/>
      <w:autoSpaceDN/>
      <w:spacing w:before="240"/>
      <w:contextualSpacing/>
    </w:pPr>
    <w:rPr>
      <w:rFonts w:ascii="Arial" w:hAnsi="Arial"/>
      <w:b/>
      <w:bCs/>
      <w:kern w:val="28"/>
      <w:sz w:val="20"/>
      <w:szCs w:val="20"/>
      <w:lang w:val="fr-FR"/>
    </w:rPr>
  </w:style>
  <w:style w:type="paragraph" w:customStyle="1" w:styleId="Docoriginal">
    <w:name w:val="Doc_original"/>
    <w:basedOn w:val="Normal"/>
    <w:link w:val="DocoriginalChar"/>
    <w:rsid w:val="00192B44"/>
    <w:pPr>
      <w:widowControl/>
      <w:autoSpaceDE/>
      <w:autoSpaceDN/>
      <w:spacing w:before="240" w:line="240" w:lineRule="exact"/>
      <w:contextualSpacing/>
    </w:pPr>
    <w:rPr>
      <w:rFonts w:ascii="Arial" w:hAnsi="Arial"/>
      <w:b/>
      <w:bCs/>
      <w:spacing w:val="10"/>
      <w:sz w:val="18"/>
      <w:szCs w:val="20"/>
      <w:lang w:val="fr-FR"/>
    </w:rPr>
  </w:style>
  <w:style w:type="character" w:customStyle="1" w:styleId="DocoriginalChar">
    <w:name w:val="Doc_original Char"/>
    <w:basedOn w:val="DefaultParagraphFont"/>
    <w:link w:val="Docoriginal"/>
    <w:rsid w:val="00192B44"/>
    <w:rPr>
      <w:rFonts w:ascii="Arial" w:eastAsia="Times New Roman" w:hAnsi="Arial" w:cs="Times New Roman"/>
      <w:b/>
      <w:bCs/>
      <w:spacing w:val="10"/>
      <w:sz w:val="18"/>
      <w:szCs w:val="20"/>
      <w:lang w:val="fr-FR"/>
    </w:rPr>
  </w:style>
  <w:style w:type="paragraph" w:customStyle="1" w:styleId="Doccode">
    <w:name w:val="Doc_code"/>
    <w:qFormat/>
    <w:rsid w:val="00192B44"/>
    <w:pPr>
      <w:widowControl/>
      <w:autoSpaceDE/>
      <w:autoSpaceDN/>
    </w:pPr>
    <w:rPr>
      <w:rFonts w:ascii="Arial" w:eastAsia="Times New Roman" w:hAnsi="Arial" w:cs="Times New Roman"/>
      <w:b/>
      <w:bCs/>
      <w:spacing w:val="1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www.judgments.fedcourt.gov.au/judgments/Judgments/fca/single/2004/2004fca0638"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pvoextranet.cpvo.europa.eu/PVRCaseLaw" TargetMode="External"/><Relationship Id="rId2" Type="http://schemas.openxmlformats.org/officeDocument/2006/relationships/numbering" Target="numbering.xml"/><Relationship Id="rId16" Type="http://schemas.openxmlformats.org/officeDocument/2006/relationships/hyperlink" Target="https://cpvoextranet.cpvo.europa.eu/PVRCaseLaw" TargetMode="External"/><Relationship Id="rId20" Type="http://schemas.openxmlformats.org/officeDocument/2006/relationships/hyperlink" Target="https://cpvoextranet.cpvo.europa.eu/PVRCaseL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pvoextranet.cpvo.europa.eu/PVRCaseLaw"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judgments.fedcourt.gov.au/judgments/Judgments/fca/full/2005/2005fcafc02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7206E-6D05-40AF-B852-3391F120CA09}">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237</TotalTime>
  <Pages>54</Pages>
  <Words>20068</Words>
  <Characters>105397</Characters>
  <Application>Microsoft Office Word</Application>
  <DocSecurity>0</DocSecurity>
  <Lines>2078</Lines>
  <Paragraphs>480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World Intellectual Property Organization</Company>
  <LinksUpToDate>false</LinksUpToDate>
  <CharactersWithSpaces>125108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WG-HRV/9</cp:keywords>
  <cp:lastModifiedBy>NICOLO Laurianne</cp:lastModifiedBy>
  <cp:revision>49</cp:revision>
  <dcterms:created xsi:type="dcterms:W3CDTF">2026-01-18T22:41:00Z</dcterms:created>
  <dcterms:modified xsi:type="dcterms:W3CDTF">2026-02-12T16:03:00Z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para Microsoft 365</vt:lpwstr>
  </property>
  <property fmtid="{D5CDD505-2E9C-101B-9397-08002B2CF9AE}" pid="4" name="LastSaved">
    <vt:filetime>2026-01-09T00:00:00Z</vt:filetime>
  </property>
  <property fmtid="{D5CDD505-2E9C-101B-9397-08002B2CF9AE}" pid="5" name="Producer">
    <vt:lpwstr>Microsoft® Word para Microsoft 365</vt:lpwstr>
  </property>
</Properties>
</file>