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397816FC" w14:textId="77777777" w:rsidTr="00EB4E9C">
        <w:tc>
          <w:tcPr>
            <w:tcW w:w="6522" w:type="dxa"/>
          </w:tcPr>
          <w:p w14:paraId="08AEB7E2" w14:textId="1BD59BF5" w:rsidR="00DC3802" w:rsidRPr="00AC2883" w:rsidRDefault="008711B2" w:rsidP="00AC2883">
            <w:r>
              <w:rPr>
                <w:noProof/>
              </w:rPr>
              <w:drawing>
                <wp:inline distT="0" distB="0" distL="0" distR="0" wp14:anchorId="6CCCCBE9" wp14:editId="07B7958C">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31D0FC9E" w14:textId="76A5F78C" w:rsidR="00DC3802" w:rsidRPr="007C1D92" w:rsidRDefault="00F86938" w:rsidP="00AC2883">
            <w:pPr>
              <w:pStyle w:val="Lettrine"/>
            </w:pPr>
            <w:r>
              <w:t>F</w:t>
            </w:r>
          </w:p>
        </w:tc>
      </w:tr>
      <w:tr w:rsidR="00DC3802" w:rsidRPr="00F86938" w14:paraId="20BBEDEF" w14:textId="77777777" w:rsidTr="00645CA8">
        <w:trPr>
          <w:trHeight w:val="219"/>
        </w:trPr>
        <w:tc>
          <w:tcPr>
            <w:tcW w:w="6522" w:type="dxa"/>
          </w:tcPr>
          <w:p w14:paraId="4F16965D" w14:textId="77777777" w:rsidR="00DC3802" w:rsidRPr="00F86938" w:rsidRDefault="00DC3802" w:rsidP="00AC2883">
            <w:pPr>
              <w:pStyle w:val="upove"/>
              <w:rPr>
                <w:lang w:val="fr-FR"/>
              </w:rPr>
            </w:pPr>
            <w:r w:rsidRPr="00F86938">
              <w:rPr>
                <w:lang w:val="fr-FR"/>
              </w:rPr>
              <w:t>Union internationale pour la protection des variétés végétales</w:t>
            </w:r>
          </w:p>
        </w:tc>
        <w:tc>
          <w:tcPr>
            <w:tcW w:w="3117" w:type="dxa"/>
          </w:tcPr>
          <w:p w14:paraId="30935F4E" w14:textId="77777777" w:rsidR="00DC3802" w:rsidRPr="00F86938" w:rsidRDefault="00DC3802" w:rsidP="00DA4973">
            <w:pPr>
              <w:rPr>
                <w:lang w:val="fr-FR"/>
              </w:rPr>
            </w:pPr>
          </w:p>
        </w:tc>
      </w:tr>
    </w:tbl>
    <w:p w14:paraId="64A39EF2" w14:textId="77777777" w:rsidR="00DC3802" w:rsidRPr="00F86938" w:rsidRDefault="00DC3802" w:rsidP="00DC3802">
      <w:pPr>
        <w:rPr>
          <w:lang w:val="fr-FR"/>
        </w:rPr>
      </w:pPr>
    </w:p>
    <w:p w14:paraId="7415A1CC" w14:textId="77777777" w:rsidR="0004297B" w:rsidRPr="00F86938" w:rsidRDefault="0004297B" w:rsidP="0004297B">
      <w:pPr>
        <w:rPr>
          <w:lang w:val="fr-FR"/>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7634C5" w:rsidRPr="00F86938" w14:paraId="30D570CB" w14:textId="77777777" w:rsidTr="00EB56DD">
        <w:tc>
          <w:tcPr>
            <w:tcW w:w="6512" w:type="dxa"/>
          </w:tcPr>
          <w:p w14:paraId="7FF22476" w14:textId="77777777" w:rsidR="007634C5" w:rsidRPr="00F86938" w:rsidRDefault="007634C5" w:rsidP="007634C5">
            <w:pPr>
              <w:pStyle w:val="Sessiontc"/>
              <w:spacing w:line="240" w:lineRule="auto"/>
              <w:rPr>
                <w:lang w:val="fr-FR"/>
              </w:rPr>
            </w:pPr>
            <w:r w:rsidRPr="00F86938">
              <w:rPr>
                <w:lang w:val="fr-FR"/>
              </w:rPr>
              <w:t>Groupe de travail sur le produit de la récolte et l’utilisation non autorisée de matériel de reproduction ou de multiplication</w:t>
            </w:r>
          </w:p>
          <w:p w14:paraId="7F924DED" w14:textId="77777777" w:rsidR="008711B2" w:rsidRPr="00F86938" w:rsidRDefault="008711B2" w:rsidP="008711B2">
            <w:pPr>
              <w:pStyle w:val="Sessiontcplacedate"/>
              <w:rPr>
                <w:lang w:val="fr-FR"/>
              </w:rPr>
            </w:pPr>
            <w:r w:rsidRPr="00F86938">
              <w:rPr>
                <w:lang w:val="fr-FR"/>
              </w:rPr>
              <w:t>Huitième réunion</w:t>
            </w:r>
          </w:p>
          <w:p w14:paraId="382717A0" w14:textId="2AC467DF" w:rsidR="007634C5" w:rsidRPr="00F86938" w:rsidRDefault="008711B2" w:rsidP="008711B2">
            <w:pPr>
              <w:pStyle w:val="Sessiontcplacedate"/>
              <w:rPr>
                <w:sz w:val="22"/>
                <w:lang w:val="fr-FR"/>
              </w:rPr>
            </w:pPr>
            <w:r w:rsidRPr="00F86938">
              <w:rPr>
                <w:lang w:val="fr-FR"/>
              </w:rPr>
              <w:t>Genève, le 22 octobre 2025</w:t>
            </w:r>
          </w:p>
        </w:tc>
        <w:tc>
          <w:tcPr>
            <w:tcW w:w="3127" w:type="dxa"/>
          </w:tcPr>
          <w:p w14:paraId="2E065ABE" w14:textId="17C36BD3" w:rsidR="007634C5" w:rsidRPr="00F86938" w:rsidRDefault="008711B2" w:rsidP="007634C5">
            <w:pPr>
              <w:pStyle w:val="Doccode"/>
              <w:rPr>
                <w:lang w:val="fr-FR"/>
              </w:rPr>
            </w:pPr>
            <w:r w:rsidRPr="00F86938">
              <w:rPr>
                <w:lang w:val="fr-FR"/>
              </w:rPr>
              <w:t>WG-HRV/8/4</w:t>
            </w:r>
          </w:p>
          <w:p w14:paraId="44D3FA73" w14:textId="77777777" w:rsidR="007634C5" w:rsidRPr="00F86938" w:rsidRDefault="007634C5" w:rsidP="007634C5">
            <w:pPr>
              <w:pStyle w:val="Doccode"/>
              <w:rPr>
                <w:lang w:val="fr-FR"/>
              </w:rPr>
            </w:pPr>
          </w:p>
          <w:p w14:paraId="133BD5F0" w14:textId="77777777" w:rsidR="007634C5" w:rsidRPr="00F86938" w:rsidRDefault="007634C5" w:rsidP="007634C5">
            <w:pPr>
              <w:pStyle w:val="Docoriginal"/>
              <w:rPr>
                <w:lang w:val="fr-FR"/>
              </w:rPr>
            </w:pPr>
            <w:r w:rsidRPr="00F86938">
              <w:rPr>
                <w:lang w:val="fr-FR"/>
              </w:rPr>
              <w:t xml:space="preserve">Original : </w:t>
            </w:r>
            <w:r w:rsidRPr="00F86938">
              <w:rPr>
                <w:b w:val="0"/>
                <w:spacing w:val="0"/>
                <w:lang w:val="fr-FR"/>
              </w:rPr>
              <w:t>anglais</w:t>
            </w:r>
          </w:p>
          <w:p w14:paraId="2F7183AE" w14:textId="04E1E4FA" w:rsidR="007634C5" w:rsidRPr="00F86938" w:rsidRDefault="007634C5" w:rsidP="007634C5">
            <w:pPr>
              <w:pStyle w:val="Docoriginal"/>
              <w:rPr>
                <w:lang w:val="fr-FR"/>
              </w:rPr>
            </w:pPr>
            <w:proofErr w:type="gramStart"/>
            <w:r w:rsidRPr="00F86938">
              <w:rPr>
                <w:lang w:val="fr-FR"/>
              </w:rPr>
              <w:t>Date:</w:t>
            </w:r>
            <w:proofErr w:type="gramEnd"/>
            <w:r w:rsidRPr="00F86938">
              <w:rPr>
                <w:b w:val="0"/>
                <w:spacing w:val="0"/>
                <w:lang w:val="fr-FR"/>
              </w:rPr>
              <w:t xml:space="preserve">  </w:t>
            </w:r>
            <w:r w:rsidR="003A46A5" w:rsidRPr="00F86938">
              <w:rPr>
                <w:b w:val="0"/>
                <w:spacing w:val="0"/>
                <w:lang w:val="fr-FR"/>
              </w:rPr>
              <w:t xml:space="preserve"> 6 février</w:t>
            </w:r>
            <w:r w:rsidR="007673D8" w:rsidRPr="00F86938">
              <w:rPr>
                <w:b w:val="0"/>
                <w:spacing w:val="0"/>
                <w:lang w:val="fr-FR"/>
              </w:rPr>
              <w:t xml:space="preserve"> 2026</w:t>
            </w:r>
          </w:p>
        </w:tc>
      </w:tr>
    </w:tbl>
    <w:p w14:paraId="0754F9A3" w14:textId="712383BF" w:rsidR="0004297B" w:rsidRPr="00F86938" w:rsidRDefault="00B347C9" w:rsidP="0004297B">
      <w:pPr>
        <w:pStyle w:val="Titleofdoc0"/>
        <w:rPr>
          <w:lang w:val="fr-FR"/>
        </w:rPr>
      </w:pPr>
      <w:r w:rsidRPr="00F86938">
        <w:rPr>
          <w:lang w:val="fr-FR"/>
        </w:rPr>
        <w:t>Compte rendu</w:t>
      </w:r>
    </w:p>
    <w:p w14:paraId="4C88500F" w14:textId="77777777" w:rsidR="003A46A5" w:rsidRPr="00F86938" w:rsidRDefault="003A46A5" w:rsidP="003A46A5">
      <w:pPr>
        <w:pStyle w:val="preparedby1"/>
        <w:jc w:val="left"/>
        <w:rPr>
          <w:lang w:val="fr-FR"/>
        </w:rPr>
      </w:pPr>
      <w:proofErr w:type="gramStart"/>
      <w:r w:rsidRPr="00F86938">
        <w:rPr>
          <w:lang w:val="fr-FR"/>
        </w:rPr>
        <w:t>adopté</w:t>
      </w:r>
      <w:proofErr w:type="gramEnd"/>
      <w:r w:rsidRPr="00F86938">
        <w:rPr>
          <w:lang w:val="fr-FR"/>
        </w:rPr>
        <w:t xml:space="preserve"> par le Groupe de travail sur le produit de la récolte et l’utilisation non autorisée de matériel de reproduction ou de multiplication</w:t>
      </w:r>
    </w:p>
    <w:p w14:paraId="3F9EE53B" w14:textId="60DE6D59" w:rsidR="00F86938" w:rsidRPr="003C7870" w:rsidRDefault="00F86938" w:rsidP="00F86938">
      <w:pPr>
        <w:pStyle w:val="Disclaimer"/>
        <w:rPr>
          <w:lang w:val="fr-CH"/>
        </w:rPr>
      </w:pPr>
      <w:r w:rsidRPr="003C7870">
        <w:rPr>
          <w:lang w:val="fr-CH"/>
        </w:rPr>
        <w:t>Avertissement : le présent document ne représente pas les principes ou les orientations de l'UPOV.</w:t>
      </w:r>
      <w:r w:rsidR="00207549">
        <w:rPr>
          <w:lang w:val="fr-CH"/>
        </w:rPr>
        <w:br/>
      </w:r>
      <w:r w:rsidR="00207549">
        <w:rPr>
          <w:lang w:val="fr-CH"/>
        </w:rPr>
        <w:br/>
      </w:r>
      <w:r w:rsidRPr="003C7870">
        <w:rPr>
          <w:lang w:val="fr-CH"/>
        </w:rPr>
        <w:t>Ce document a été généré à l'aide d'une traduction automatique dont l'exactitude ne peut être garantie. Par</w:t>
      </w:r>
      <w:r>
        <w:rPr>
          <w:lang w:val="fr-CH"/>
        </w:rPr>
        <w:t xml:space="preserve"> </w:t>
      </w:r>
      <w:r w:rsidRPr="003C7870">
        <w:rPr>
          <w:lang w:val="fr-CH"/>
        </w:rPr>
        <w:t>conséquent, le texte dans la langue originale est la seule version authentique.</w:t>
      </w:r>
    </w:p>
    <w:p w14:paraId="779C3B46" w14:textId="77777777" w:rsidR="004C70E6" w:rsidRPr="00F86938" w:rsidRDefault="004C70E6" w:rsidP="004C70E6">
      <w:pPr>
        <w:pStyle w:val="Heading1"/>
        <w:rPr>
          <w:lang w:val="fr-FR"/>
        </w:rPr>
      </w:pPr>
      <w:r w:rsidRPr="00F86938">
        <w:rPr>
          <w:lang w:val="fr-FR"/>
        </w:rPr>
        <w:t>OUVERTURE DE LA RÉUNION</w:t>
      </w:r>
    </w:p>
    <w:p w14:paraId="2EC90B3E" w14:textId="77777777" w:rsidR="004C70E6" w:rsidRPr="00F86938" w:rsidRDefault="004C70E6" w:rsidP="004C70E6">
      <w:pPr>
        <w:rPr>
          <w:lang w:val="fr-FR"/>
        </w:rPr>
      </w:pPr>
    </w:p>
    <w:p w14:paraId="3F9AF087" w14:textId="10AB4F20" w:rsidR="004C70E6" w:rsidRPr="00F86938" w:rsidRDefault="004C70E6" w:rsidP="004C70E6">
      <w:pPr>
        <w:rPr>
          <w:lang w:val="fr-FR"/>
        </w:rPr>
      </w:pPr>
      <w:r w:rsidRPr="00253E13">
        <w:rPr>
          <w:lang w:val="en-GB"/>
        </w:rPr>
        <w:fldChar w:fldCharType="begin"/>
      </w:r>
      <w:r w:rsidRPr="00F86938">
        <w:rPr>
          <w:lang w:val="fr-FR"/>
        </w:rPr>
        <w:instrText xml:space="preserve"> AUTONUM  </w:instrText>
      </w:r>
      <w:r w:rsidRPr="00253E13">
        <w:rPr>
          <w:lang w:val="en-GB"/>
        </w:rPr>
        <w:fldChar w:fldCharType="end"/>
      </w:r>
      <w:r w:rsidRPr="00F86938">
        <w:rPr>
          <w:lang w:val="fr-FR"/>
        </w:rPr>
        <w:tab/>
        <w:t xml:space="preserve">Le Groupe de travail sur les produits de la récolte (WG-HRV) a tenu sa </w:t>
      </w:r>
      <w:r w:rsidR="00253E13" w:rsidRPr="00F86938">
        <w:rPr>
          <w:lang w:val="fr-FR"/>
        </w:rPr>
        <w:t xml:space="preserve">huitième </w:t>
      </w:r>
      <w:r w:rsidRPr="00F86938">
        <w:rPr>
          <w:lang w:val="fr-FR"/>
        </w:rPr>
        <w:t>réunion à Genève, le</w:t>
      </w:r>
      <w:r w:rsidR="00253E13" w:rsidRPr="00F86938">
        <w:rPr>
          <w:lang w:val="fr-FR"/>
        </w:rPr>
        <w:t xml:space="preserve"> 22 octobre</w:t>
      </w:r>
      <w:r w:rsidR="007634C5" w:rsidRPr="00F86938">
        <w:rPr>
          <w:lang w:val="fr-FR"/>
        </w:rPr>
        <w:t xml:space="preserve"> 2025, sous </w:t>
      </w:r>
      <w:r w:rsidRPr="00F86938">
        <w:rPr>
          <w:spacing w:val="-2"/>
          <w:lang w:val="fr-FR"/>
        </w:rPr>
        <w:t xml:space="preserve">une forme </w:t>
      </w:r>
      <w:r w:rsidR="00253E13" w:rsidRPr="00F86938">
        <w:rPr>
          <w:lang w:val="fr-FR"/>
        </w:rPr>
        <w:t>hybride</w:t>
      </w:r>
      <w:r w:rsidRPr="00F86938">
        <w:rPr>
          <w:spacing w:val="-2"/>
          <w:lang w:val="fr-FR"/>
        </w:rPr>
        <w:t xml:space="preserve">, </w:t>
      </w:r>
      <w:r w:rsidRPr="00F86938">
        <w:rPr>
          <w:lang w:val="fr-FR"/>
        </w:rPr>
        <w:t xml:space="preserve">sous la présidence de Mme Yolanda Huerta, </w:t>
      </w:r>
      <w:r w:rsidR="00F86938" w:rsidRPr="00C17C32">
        <w:rPr>
          <w:lang w:val="fr-FR"/>
        </w:rPr>
        <w:t>secrétaire générale adjointe</w:t>
      </w:r>
      <w:r w:rsidRPr="00F86938">
        <w:rPr>
          <w:lang w:val="fr-FR"/>
        </w:rPr>
        <w:t xml:space="preserve"> de l'UPOV.</w:t>
      </w:r>
    </w:p>
    <w:p w14:paraId="404732A9" w14:textId="77777777" w:rsidR="004C70E6" w:rsidRPr="00F86938" w:rsidRDefault="004C70E6" w:rsidP="004C70E6">
      <w:pPr>
        <w:rPr>
          <w:lang w:val="fr-FR"/>
        </w:rPr>
      </w:pPr>
    </w:p>
    <w:p w14:paraId="30F07D2F" w14:textId="6A8A6F53" w:rsidR="00376810" w:rsidRPr="00F86938" w:rsidRDefault="004C70E6" w:rsidP="00376810">
      <w:pPr>
        <w:rPr>
          <w:lang w:val="fr-FR"/>
        </w:rPr>
      </w:pPr>
      <w:r w:rsidRPr="00253E13">
        <w:rPr>
          <w:lang w:val="en-GB"/>
        </w:rPr>
        <w:fldChar w:fldCharType="begin"/>
      </w:r>
      <w:r w:rsidRPr="00F86938">
        <w:rPr>
          <w:lang w:val="fr-FR"/>
        </w:rPr>
        <w:instrText xml:space="preserve"> AUTONUM  </w:instrText>
      </w:r>
      <w:r w:rsidRPr="00253E13">
        <w:rPr>
          <w:lang w:val="en-GB"/>
        </w:rPr>
        <w:fldChar w:fldCharType="end"/>
      </w:r>
      <w:r w:rsidRPr="00F86938">
        <w:rPr>
          <w:lang w:val="fr-FR"/>
        </w:rPr>
        <w:tab/>
        <w:t xml:space="preserve">La présidente a ouvert la réunion en souhaitant la bienvenue </w:t>
      </w:r>
      <w:r w:rsidR="005E232D" w:rsidRPr="00F86938">
        <w:rPr>
          <w:lang w:val="fr-FR"/>
        </w:rPr>
        <w:t xml:space="preserve">aux participants </w:t>
      </w:r>
      <w:r w:rsidR="00376810" w:rsidRPr="00F86938">
        <w:rPr>
          <w:lang w:val="fr-FR"/>
        </w:rPr>
        <w:t>et aux auteurs de l'étude commandée pour appuyer les travaux du WG-HRV</w:t>
      </w:r>
      <w:r w:rsidR="00143969" w:rsidRPr="00F86938">
        <w:rPr>
          <w:lang w:val="fr-FR"/>
        </w:rPr>
        <w:t>.</w:t>
      </w:r>
    </w:p>
    <w:p w14:paraId="4C643E5C" w14:textId="77777777" w:rsidR="004C70E6" w:rsidRPr="00F86938" w:rsidRDefault="004C70E6" w:rsidP="004C70E6">
      <w:pPr>
        <w:rPr>
          <w:lang w:val="fr-FR"/>
        </w:rPr>
      </w:pPr>
    </w:p>
    <w:p w14:paraId="445A5441" w14:textId="15B3C65C" w:rsidR="004C70E6" w:rsidRPr="00F86938" w:rsidRDefault="004C70E6" w:rsidP="004C70E6">
      <w:pPr>
        <w:rPr>
          <w:lang w:val="fr-FR"/>
        </w:rPr>
      </w:pPr>
      <w:r w:rsidRPr="00253E13">
        <w:rPr>
          <w:lang w:val="en-GB"/>
        </w:rPr>
        <w:fldChar w:fldCharType="begin"/>
      </w:r>
      <w:r w:rsidRPr="00F86938">
        <w:rPr>
          <w:lang w:val="fr-FR"/>
        </w:rPr>
        <w:instrText xml:space="preserve"> AUTONUM  </w:instrText>
      </w:r>
      <w:r w:rsidRPr="00253E13">
        <w:rPr>
          <w:lang w:val="en-GB"/>
        </w:rPr>
        <w:fldChar w:fldCharType="end"/>
      </w:r>
      <w:r w:rsidRPr="00F86938">
        <w:rPr>
          <w:lang w:val="fr-FR"/>
        </w:rPr>
        <w:tab/>
      </w:r>
      <w:r w:rsidR="007673D8" w:rsidRPr="00F86938">
        <w:rPr>
          <w:lang w:val="fr-FR"/>
        </w:rPr>
        <w:t xml:space="preserve">Il a été noté que la </w:t>
      </w:r>
      <w:r w:rsidRPr="00F86938">
        <w:rPr>
          <w:lang w:val="fr-FR"/>
        </w:rPr>
        <w:t xml:space="preserve">liste des participants </w:t>
      </w:r>
      <w:r w:rsidR="00253E13" w:rsidRPr="00F86938">
        <w:rPr>
          <w:lang w:val="fr-FR"/>
        </w:rPr>
        <w:t>serait distribuée directement aux participants par courrier électronique.</w:t>
      </w:r>
    </w:p>
    <w:p w14:paraId="7DF28AE7" w14:textId="77777777" w:rsidR="004C70E6" w:rsidRPr="00F86938" w:rsidRDefault="004C70E6" w:rsidP="004C70E6">
      <w:pPr>
        <w:rPr>
          <w:highlight w:val="yellow"/>
          <w:lang w:val="fr-FR"/>
        </w:rPr>
      </w:pPr>
    </w:p>
    <w:p w14:paraId="3FEC9D5F" w14:textId="77777777" w:rsidR="007634C5" w:rsidRPr="00F86938" w:rsidRDefault="007634C5" w:rsidP="004C70E6">
      <w:pPr>
        <w:rPr>
          <w:highlight w:val="yellow"/>
          <w:lang w:val="fr-FR"/>
        </w:rPr>
      </w:pPr>
    </w:p>
    <w:p w14:paraId="585F1F33" w14:textId="77777777" w:rsidR="004C70E6" w:rsidRPr="00F86938" w:rsidRDefault="004C70E6" w:rsidP="004C70E6">
      <w:pPr>
        <w:pStyle w:val="Heading1"/>
        <w:rPr>
          <w:lang w:val="fr-FR"/>
        </w:rPr>
      </w:pPr>
      <w:r w:rsidRPr="00F86938">
        <w:rPr>
          <w:lang w:val="fr-FR"/>
        </w:rPr>
        <w:t>ADOPTION DE L'ORDRE DU JOUR</w:t>
      </w:r>
    </w:p>
    <w:p w14:paraId="1293966C" w14:textId="77777777" w:rsidR="004C70E6" w:rsidRPr="00F86938" w:rsidRDefault="004C70E6" w:rsidP="004C70E6">
      <w:pPr>
        <w:rPr>
          <w:lang w:val="fr-FR"/>
        </w:rPr>
      </w:pPr>
    </w:p>
    <w:p w14:paraId="543CBC58" w14:textId="49B46AF9" w:rsidR="004C70E6" w:rsidRPr="00F86938" w:rsidRDefault="004C70E6" w:rsidP="004C70E6">
      <w:pPr>
        <w:rPr>
          <w:lang w:val="fr-FR"/>
        </w:rPr>
      </w:pPr>
      <w:r w:rsidRPr="00253E13">
        <w:rPr>
          <w:lang w:val="en-GB"/>
        </w:rPr>
        <w:fldChar w:fldCharType="begin"/>
      </w:r>
      <w:r w:rsidRPr="00F86938">
        <w:rPr>
          <w:lang w:val="fr-FR"/>
        </w:rPr>
        <w:instrText xml:space="preserve"> AUTONUM  </w:instrText>
      </w:r>
      <w:r w:rsidRPr="00253E13">
        <w:rPr>
          <w:lang w:val="en-GB"/>
        </w:rPr>
        <w:fldChar w:fldCharType="end"/>
      </w:r>
      <w:r w:rsidRPr="00F86938">
        <w:rPr>
          <w:lang w:val="fr-FR"/>
        </w:rPr>
        <w:tab/>
        <w:t>Le WG-HRV a adopté le projet d'ordre du jour tel que proposé dans le document WG-HRV/8/1.</w:t>
      </w:r>
    </w:p>
    <w:p w14:paraId="144742F4" w14:textId="77777777" w:rsidR="004C70E6" w:rsidRPr="00F86938" w:rsidRDefault="004C70E6" w:rsidP="004C70E6">
      <w:pPr>
        <w:rPr>
          <w:lang w:val="fr-FR"/>
        </w:rPr>
      </w:pPr>
    </w:p>
    <w:p w14:paraId="06071D4A" w14:textId="77777777" w:rsidR="004C70E6" w:rsidRPr="00F86938" w:rsidRDefault="004C70E6" w:rsidP="004C70E6">
      <w:pPr>
        <w:rPr>
          <w:lang w:val="fr-FR"/>
        </w:rPr>
      </w:pPr>
    </w:p>
    <w:p w14:paraId="7A29A407" w14:textId="00F1A6CE" w:rsidR="004C70E6" w:rsidRPr="00F86938" w:rsidRDefault="00253E13" w:rsidP="004C70E6">
      <w:pPr>
        <w:rPr>
          <w:iCs/>
          <w:caps/>
          <w:lang w:val="fr-FR"/>
        </w:rPr>
      </w:pPr>
      <w:r w:rsidRPr="00F86938">
        <w:rPr>
          <w:iCs/>
          <w:caps/>
          <w:lang w:val="fr-FR"/>
        </w:rPr>
        <w:t>L'ETUDE SUR "L'ETENDUE DU DROIT D'OBTENTEUR" ET LE RAPPORT AVEC "L'EPUISEMENT DU DROIT D'OBTENTEUR"</w:t>
      </w:r>
    </w:p>
    <w:p w14:paraId="33F12E95" w14:textId="77777777" w:rsidR="00253E13" w:rsidRPr="00F86938" w:rsidRDefault="00253E13" w:rsidP="004C70E6">
      <w:pPr>
        <w:rPr>
          <w:highlight w:val="yellow"/>
          <w:lang w:val="fr-FR"/>
        </w:rPr>
      </w:pPr>
    </w:p>
    <w:p w14:paraId="0924A0E6" w14:textId="670497FF" w:rsidR="00F55F8E" w:rsidRPr="00F86938" w:rsidRDefault="00F55F8E" w:rsidP="004C70E6">
      <w:pPr>
        <w:rPr>
          <w:lang w:val="fr-FR"/>
        </w:rPr>
      </w:pPr>
      <w:r>
        <w:rPr>
          <w:lang w:val="en-GB"/>
        </w:rPr>
        <w:fldChar w:fldCharType="begin"/>
      </w:r>
      <w:r w:rsidRPr="00F86938">
        <w:rPr>
          <w:lang w:val="fr-FR"/>
        </w:rPr>
        <w:instrText xml:space="preserve"> AUTONUM  </w:instrText>
      </w:r>
      <w:r>
        <w:rPr>
          <w:lang w:val="en-GB"/>
        </w:rPr>
        <w:fldChar w:fldCharType="end"/>
      </w:r>
      <w:r w:rsidRPr="00F86938">
        <w:rPr>
          <w:lang w:val="fr-FR"/>
        </w:rPr>
        <w:tab/>
      </w:r>
      <w:bookmarkStart w:id="0" w:name="_Hlk209533210"/>
      <w:r w:rsidRPr="00F86938">
        <w:rPr>
          <w:lang w:val="fr-FR"/>
        </w:rPr>
        <w:t>Par la circulaire</w:t>
      </w:r>
      <w:bookmarkStart w:id="1" w:name="_Hlk209444619"/>
      <w:r w:rsidRPr="00F86938">
        <w:rPr>
          <w:lang w:val="fr-FR"/>
        </w:rPr>
        <w:t xml:space="preserve"> E-25/053</w:t>
      </w:r>
      <w:bookmarkEnd w:id="1"/>
      <w:r w:rsidRPr="00F86938">
        <w:rPr>
          <w:lang w:val="fr-FR"/>
        </w:rPr>
        <w:t xml:space="preserve"> du 11 septembre 2025, le WG-HRV a été informé que les auteurs de l'étude avaient demandé de reporter la date de remise du compte rendu final au 15 décembre 2025, car la portée de l'étude, en particulier l'examen de l'historique de l'élaboration des articles 14 et 16 de l'Acte de 1991, était vaste et la collecte et l'analyse des données nécessitaient plus de temps que prévu initialement.</w:t>
      </w:r>
      <w:bookmarkEnd w:id="0"/>
    </w:p>
    <w:p w14:paraId="14405A66" w14:textId="77777777" w:rsidR="00F55F8E" w:rsidRPr="00F86938" w:rsidRDefault="00F55F8E" w:rsidP="004C70E6">
      <w:pPr>
        <w:rPr>
          <w:highlight w:val="yellow"/>
          <w:lang w:val="fr-FR"/>
        </w:rPr>
      </w:pPr>
    </w:p>
    <w:p w14:paraId="5F33A21E" w14:textId="6F78C1A6" w:rsidR="00376810" w:rsidRPr="00F86938" w:rsidRDefault="00376810" w:rsidP="00376810">
      <w:pPr>
        <w:rPr>
          <w:lang w:val="fr-FR"/>
        </w:rPr>
      </w:pPr>
      <w:r w:rsidRPr="007B638D">
        <w:rPr>
          <w:lang w:val="en-GB"/>
        </w:rPr>
        <w:fldChar w:fldCharType="begin"/>
      </w:r>
      <w:r w:rsidRPr="00F86938">
        <w:rPr>
          <w:lang w:val="fr-FR"/>
        </w:rPr>
        <w:instrText xml:space="preserve"> AUTONUM  </w:instrText>
      </w:r>
      <w:r w:rsidRPr="007B638D">
        <w:rPr>
          <w:lang w:val="en-GB"/>
        </w:rPr>
        <w:fldChar w:fldCharType="end"/>
      </w:r>
      <w:r w:rsidRPr="00F86938">
        <w:rPr>
          <w:lang w:val="fr-FR"/>
        </w:rPr>
        <w:tab/>
        <w:t xml:space="preserve">M. Huib Ghijsen a présenté </w:t>
      </w:r>
      <w:r w:rsidR="007B638D" w:rsidRPr="00F86938">
        <w:rPr>
          <w:lang w:val="fr-FR"/>
        </w:rPr>
        <w:t xml:space="preserve">le </w:t>
      </w:r>
      <w:r w:rsidR="00253E13" w:rsidRPr="00F86938">
        <w:rPr>
          <w:lang w:val="fr-FR"/>
        </w:rPr>
        <w:t>projet d'étude</w:t>
      </w:r>
      <w:r w:rsidR="007B638D" w:rsidRPr="00F86938">
        <w:rPr>
          <w:lang w:val="fr-FR"/>
        </w:rPr>
        <w:t>, reproduit à l'annexe I du document WG-HRV/8/2</w:t>
      </w:r>
      <w:r w:rsidR="00253E13" w:rsidRPr="00F86938">
        <w:rPr>
          <w:lang w:val="fr-FR"/>
        </w:rPr>
        <w:t>.</w:t>
      </w:r>
    </w:p>
    <w:p w14:paraId="6C2FC5EE" w14:textId="77777777" w:rsidR="00431BE5" w:rsidRPr="00F86938" w:rsidRDefault="00431BE5" w:rsidP="00376810">
      <w:pPr>
        <w:rPr>
          <w:lang w:val="fr-FR"/>
        </w:rPr>
      </w:pPr>
    </w:p>
    <w:p w14:paraId="2F58143D" w14:textId="73C57199" w:rsidR="00431BE5" w:rsidRPr="00F86938" w:rsidRDefault="00431BE5" w:rsidP="007C5173">
      <w:pPr>
        <w:rPr>
          <w:lang w:val="fr-FR"/>
        </w:rPr>
      </w:pPr>
      <w:r>
        <w:rPr>
          <w:lang w:val="en-GB"/>
        </w:rPr>
        <w:fldChar w:fldCharType="begin"/>
      </w:r>
      <w:r w:rsidRPr="00F86938">
        <w:rPr>
          <w:lang w:val="fr-FR"/>
        </w:rPr>
        <w:instrText xml:space="preserve"> AUTONUM  </w:instrText>
      </w:r>
      <w:r>
        <w:rPr>
          <w:lang w:val="en-GB"/>
        </w:rPr>
        <w:fldChar w:fldCharType="end"/>
      </w:r>
      <w:r w:rsidRPr="00F86938">
        <w:rPr>
          <w:lang w:val="fr-FR"/>
        </w:rPr>
        <w:tab/>
      </w:r>
      <w:r w:rsidR="007C5173" w:rsidRPr="00F86938">
        <w:rPr>
          <w:lang w:val="fr-FR"/>
        </w:rPr>
        <w:t xml:space="preserve">La présentation </w:t>
      </w:r>
      <w:r w:rsidR="007673D8" w:rsidRPr="00F86938">
        <w:rPr>
          <w:lang w:val="fr-FR"/>
        </w:rPr>
        <w:t xml:space="preserve">de M. Ghijsen </w:t>
      </w:r>
      <w:r w:rsidR="007C5173" w:rsidRPr="00F86938">
        <w:rPr>
          <w:lang w:val="fr-FR"/>
        </w:rPr>
        <w:t xml:space="preserve">a porté principalement sur </w:t>
      </w:r>
      <w:r w:rsidR="0021653A" w:rsidRPr="00F86938">
        <w:rPr>
          <w:lang w:val="fr-FR"/>
        </w:rPr>
        <w:t>l'analyse</w:t>
      </w:r>
      <w:r w:rsidR="007C5173" w:rsidRPr="00F86938">
        <w:rPr>
          <w:lang w:val="fr-FR"/>
        </w:rPr>
        <w:t xml:space="preserve"> préliminaire </w:t>
      </w:r>
      <w:r w:rsidR="0021653A" w:rsidRPr="00F86938">
        <w:rPr>
          <w:lang w:val="fr-FR"/>
        </w:rPr>
        <w:t xml:space="preserve">des intentions des rédacteurs </w:t>
      </w:r>
      <w:r w:rsidR="002C2694" w:rsidRPr="00F86938">
        <w:rPr>
          <w:lang w:val="fr-FR"/>
        </w:rPr>
        <w:t xml:space="preserve">de la Convention de 1991 </w:t>
      </w:r>
      <w:r w:rsidR="0021653A" w:rsidRPr="00F86938">
        <w:rPr>
          <w:lang w:val="fr-FR"/>
        </w:rPr>
        <w:t>concernant les notions d</w:t>
      </w:r>
      <w:proofErr w:type="gramStart"/>
      <w:r w:rsidR="0021653A" w:rsidRPr="00F86938">
        <w:rPr>
          <w:lang w:val="fr-FR"/>
        </w:rPr>
        <w:t>'«</w:t>
      </w:r>
      <w:proofErr w:type="gramEnd"/>
      <w:r w:rsidR="0021653A" w:rsidRPr="00F86938">
        <w:rPr>
          <w:lang w:val="fr-FR"/>
        </w:rPr>
        <w:t xml:space="preserve"> </w:t>
      </w:r>
      <w:r w:rsidR="00D92E09" w:rsidRPr="00F86938">
        <w:rPr>
          <w:lang w:val="fr-FR"/>
        </w:rPr>
        <w:t>utilisation non autorisée » et d</w:t>
      </w:r>
      <w:proofErr w:type="gramStart"/>
      <w:r w:rsidR="00D92E09" w:rsidRPr="00F86938">
        <w:rPr>
          <w:lang w:val="fr-FR"/>
        </w:rPr>
        <w:t>'«</w:t>
      </w:r>
      <w:proofErr w:type="gramEnd"/>
      <w:r w:rsidR="00D92E09" w:rsidRPr="00F86938">
        <w:rPr>
          <w:lang w:val="fr-FR"/>
        </w:rPr>
        <w:t xml:space="preserve"> opportunité raisonnable </w:t>
      </w:r>
      <w:r w:rsidR="007673D8" w:rsidRPr="00F86938">
        <w:rPr>
          <w:lang w:val="fr-FR"/>
        </w:rPr>
        <w:t xml:space="preserve">». </w:t>
      </w:r>
      <w:r w:rsidRPr="00F86938">
        <w:rPr>
          <w:lang w:val="fr-FR"/>
        </w:rPr>
        <w:t xml:space="preserve"> </w:t>
      </w:r>
      <w:r w:rsidR="007673D8" w:rsidRPr="00F86938">
        <w:rPr>
          <w:lang w:val="fr-FR"/>
        </w:rPr>
        <w:t xml:space="preserve">Il </w:t>
      </w:r>
      <w:r w:rsidR="007C5173" w:rsidRPr="00F86938">
        <w:rPr>
          <w:lang w:val="fr-FR"/>
        </w:rPr>
        <w:t xml:space="preserve">a indiqué que </w:t>
      </w:r>
      <w:r w:rsidR="00601862" w:rsidRPr="00F86938">
        <w:rPr>
          <w:color w:val="262626"/>
          <w:lang w:val="fr-FR"/>
        </w:rPr>
        <w:t>la relation avec l</w:t>
      </w:r>
      <w:proofErr w:type="gramStart"/>
      <w:r w:rsidR="00601862" w:rsidRPr="00F86938">
        <w:rPr>
          <w:color w:val="262626"/>
          <w:lang w:val="fr-FR"/>
        </w:rPr>
        <w:t>'«</w:t>
      </w:r>
      <w:proofErr w:type="gramEnd"/>
      <w:r w:rsidR="00601862" w:rsidRPr="00F86938">
        <w:rPr>
          <w:color w:val="262626"/>
          <w:lang w:val="fr-FR"/>
        </w:rPr>
        <w:t xml:space="preserve"> Épuisement du droit d'obtenteur » prévu à l'article 16 de l'Acte de 1991 </w:t>
      </w:r>
      <w:r w:rsidR="00601862" w:rsidRPr="00F86938">
        <w:rPr>
          <w:lang w:val="fr-FR"/>
        </w:rPr>
        <w:t xml:space="preserve">ainsi que </w:t>
      </w:r>
      <w:r w:rsidR="00601862" w:rsidRPr="00F86938">
        <w:rPr>
          <w:color w:val="161616"/>
          <w:lang w:val="fr-FR"/>
        </w:rPr>
        <w:t xml:space="preserve">des résumés </w:t>
      </w:r>
      <w:r w:rsidR="00601862" w:rsidRPr="00F86938">
        <w:rPr>
          <w:color w:val="343434"/>
          <w:lang w:val="fr-FR"/>
        </w:rPr>
        <w:t>des affaires</w:t>
      </w:r>
      <w:r w:rsidR="00601862" w:rsidRPr="00F86938">
        <w:rPr>
          <w:color w:val="262626"/>
          <w:lang w:val="fr-FR"/>
        </w:rPr>
        <w:t xml:space="preserve"> judiciaires pertinentes </w:t>
      </w:r>
      <w:r w:rsidR="00601862" w:rsidRPr="00F86938">
        <w:rPr>
          <w:color w:val="343434"/>
          <w:lang w:val="fr-FR"/>
        </w:rPr>
        <w:t xml:space="preserve">des membres de l'UPOV liés par l'Acte de 1991 </w:t>
      </w:r>
      <w:r w:rsidR="007C5173" w:rsidRPr="00F86938">
        <w:rPr>
          <w:lang w:val="fr-FR"/>
        </w:rPr>
        <w:t>feraient partie de la version finale de l'étude.</w:t>
      </w:r>
    </w:p>
    <w:p w14:paraId="2519A95F" w14:textId="77777777" w:rsidR="00607DC3" w:rsidRPr="00F86938" w:rsidRDefault="00607DC3" w:rsidP="00376810">
      <w:pPr>
        <w:rPr>
          <w:lang w:val="fr-FR"/>
        </w:rPr>
      </w:pPr>
    </w:p>
    <w:p w14:paraId="01EC63B6" w14:textId="47AD915E" w:rsidR="00D92E09" w:rsidRPr="00F86938" w:rsidRDefault="00CD30A3" w:rsidP="00FF2B7B">
      <w:pPr>
        <w:rPr>
          <w:lang w:val="fr-FR"/>
        </w:rPr>
      </w:pPr>
      <w:r>
        <w:rPr>
          <w:lang w:val="en-GB"/>
        </w:rPr>
        <w:fldChar w:fldCharType="begin"/>
      </w:r>
      <w:r w:rsidRPr="00F86938">
        <w:rPr>
          <w:lang w:val="fr-FR"/>
        </w:rPr>
        <w:instrText xml:space="preserve"> AUTONUM  </w:instrText>
      </w:r>
      <w:r>
        <w:rPr>
          <w:lang w:val="en-GB"/>
        </w:rPr>
        <w:fldChar w:fldCharType="end"/>
      </w:r>
      <w:r w:rsidRPr="00F86938">
        <w:rPr>
          <w:lang w:val="fr-FR"/>
        </w:rPr>
        <w:tab/>
      </w:r>
      <w:r w:rsidR="007673D8" w:rsidRPr="00F86938">
        <w:rPr>
          <w:lang w:val="fr-FR"/>
        </w:rPr>
        <w:t xml:space="preserve">Le WG-HRV a estimé </w:t>
      </w:r>
      <w:r w:rsidR="00FF2B7B" w:rsidRPr="00F86938">
        <w:rPr>
          <w:lang w:val="fr-FR"/>
        </w:rPr>
        <w:t xml:space="preserve">que </w:t>
      </w:r>
      <w:r w:rsidR="007673D8" w:rsidRPr="00F86938">
        <w:rPr>
          <w:lang w:val="fr-FR"/>
        </w:rPr>
        <w:t xml:space="preserve">le contenu de </w:t>
      </w:r>
      <w:r w:rsidR="00D92E09" w:rsidRPr="00F86938">
        <w:rPr>
          <w:lang w:val="fr-FR"/>
        </w:rPr>
        <w:t xml:space="preserve">la section 3 du projet de compte rendu </w:t>
      </w:r>
      <w:r w:rsidR="007673D8" w:rsidRPr="00F86938">
        <w:rPr>
          <w:lang w:val="fr-FR"/>
        </w:rPr>
        <w:t xml:space="preserve">couvrait des questions </w:t>
      </w:r>
      <w:r w:rsidR="00D92E09" w:rsidRPr="00F86938">
        <w:rPr>
          <w:lang w:val="fr-FR"/>
        </w:rPr>
        <w:t xml:space="preserve">qui dépassaient le cadre du mandat </w:t>
      </w:r>
      <w:r w:rsidR="007673D8" w:rsidRPr="00F86938">
        <w:rPr>
          <w:lang w:val="fr-FR"/>
        </w:rPr>
        <w:t>de l'étude et ne devait pas être inclus dans la version finale</w:t>
      </w:r>
      <w:r w:rsidR="00FF2B7B" w:rsidRPr="00F86938">
        <w:rPr>
          <w:lang w:val="fr-FR"/>
        </w:rPr>
        <w:t xml:space="preserve">.  </w:t>
      </w:r>
    </w:p>
    <w:p w14:paraId="403D7C24" w14:textId="77777777" w:rsidR="0021653A" w:rsidRPr="00F86938" w:rsidRDefault="0021653A" w:rsidP="00137E8C">
      <w:pPr>
        <w:rPr>
          <w:lang w:val="fr-FR"/>
        </w:rPr>
      </w:pPr>
    </w:p>
    <w:p w14:paraId="038C99D7" w14:textId="471D13FE" w:rsidR="00C56EC5" w:rsidRPr="00F86938" w:rsidRDefault="0021653A" w:rsidP="005A748E">
      <w:pPr>
        <w:rPr>
          <w:lang w:val="fr-FR"/>
        </w:rPr>
      </w:pPr>
      <w:r>
        <w:rPr>
          <w:lang w:val="en-GB"/>
        </w:rPr>
        <w:fldChar w:fldCharType="begin"/>
      </w:r>
      <w:r w:rsidRPr="00F86938">
        <w:rPr>
          <w:lang w:val="fr-FR"/>
        </w:rPr>
        <w:instrText xml:space="preserve"> AUTONUM  </w:instrText>
      </w:r>
      <w:r>
        <w:rPr>
          <w:lang w:val="en-GB"/>
        </w:rPr>
        <w:fldChar w:fldCharType="end"/>
      </w:r>
      <w:r w:rsidRPr="00F86938">
        <w:rPr>
          <w:lang w:val="fr-FR"/>
        </w:rPr>
        <w:tab/>
        <w:t xml:space="preserve">Le président </w:t>
      </w:r>
      <w:r w:rsidR="00D92E09" w:rsidRPr="00F86938">
        <w:rPr>
          <w:lang w:val="fr-FR"/>
        </w:rPr>
        <w:t xml:space="preserve">a confirmé </w:t>
      </w:r>
      <w:r w:rsidR="007673D8" w:rsidRPr="00F86938">
        <w:rPr>
          <w:lang w:val="fr-FR"/>
        </w:rPr>
        <w:t xml:space="preserve">que les règles de passation des marchés de l'UPOV applicables à </w:t>
      </w:r>
      <w:r w:rsidR="00155CDA" w:rsidRPr="00F86938">
        <w:rPr>
          <w:lang w:val="fr-FR"/>
        </w:rPr>
        <w:t xml:space="preserve">la commande d'études </w:t>
      </w:r>
      <w:r w:rsidR="00601862" w:rsidRPr="00F86938">
        <w:rPr>
          <w:lang w:val="fr-FR"/>
        </w:rPr>
        <w:t xml:space="preserve">et </w:t>
      </w:r>
      <w:r w:rsidR="00FD378B" w:rsidRPr="00F86938">
        <w:rPr>
          <w:lang w:val="fr-FR"/>
        </w:rPr>
        <w:t xml:space="preserve">à la déclaration de tout </w:t>
      </w:r>
      <w:r w:rsidR="00601862" w:rsidRPr="00F86938">
        <w:rPr>
          <w:lang w:val="fr-FR"/>
        </w:rPr>
        <w:t xml:space="preserve">conflit d'intérêts </w:t>
      </w:r>
      <w:r w:rsidR="00FD378B" w:rsidRPr="00F86938">
        <w:rPr>
          <w:lang w:val="fr-FR"/>
        </w:rPr>
        <w:t xml:space="preserve">potentiel </w:t>
      </w:r>
      <w:r w:rsidR="00601862" w:rsidRPr="00F86938">
        <w:rPr>
          <w:lang w:val="fr-FR"/>
        </w:rPr>
        <w:t>avaient été respectées</w:t>
      </w:r>
      <w:r w:rsidR="005A748E" w:rsidRPr="00F86938">
        <w:rPr>
          <w:lang w:val="fr-FR"/>
        </w:rPr>
        <w:t>.</w:t>
      </w:r>
    </w:p>
    <w:p w14:paraId="5655CA46" w14:textId="77777777" w:rsidR="00CD30A3" w:rsidRPr="00F86938" w:rsidRDefault="00CD30A3" w:rsidP="00376810">
      <w:pPr>
        <w:rPr>
          <w:lang w:val="fr-FR"/>
        </w:rPr>
      </w:pPr>
    </w:p>
    <w:p w14:paraId="4E4B6D9E" w14:textId="0C85B505" w:rsidR="00253E13" w:rsidRPr="00F86938" w:rsidRDefault="00376810" w:rsidP="00253E13">
      <w:pPr>
        <w:rPr>
          <w:lang w:val="fr-FR"/>
        </w:rPr>
      </w:pPr>
      <w:r w:rsidRPr="007B638D">
        <w:rPr>
          <w:lang w:val="en-GB"/>
        </w:rPr>
        <w:lastRenderedPageBreak/>
        <w:fldChar w:fldCharType="begin"/>
      </w:r>
      <w:r w:rsidRPr="00F86938">
        <w:rPr>
          <w:lang w:val="fr-FR"/>
        </w:rPr>
        <w:instrText xml:space="preserve"> AUTONUM  </w:instrText>
      </w:r>
      <w:r w:rsidRPr="007B638D">
        <w:rPr>
          <w:lang w:val="en-GB"/>
        </w:rPr>
        <w:fldChar w:fldCharType="end"/>
      </w:r>
      <w:r w:rsidRPr="00F86938">
        <w:rPr>
          <w:lang w:val="fr-FR"/>
        </w:rPr>
        <w:tab/>
      </w:r>
      <w:bookmarkStart w:id="2" w:name="_Hlk209444516"/>
      <w:r w:rsidR="00FD378B" w:rsidRPr="00F86938">
        <w:rPr>
          <w:lang w:val="fr-FR"/>
        </w:rPr>
        <w:t xml:space="preserve">Le WG-HRV a noté </w:t>
      </w:r>
      <w:proofErr w:type="gramStart"/>
      <w:r w:rsidR="00FD378B" w:rsidRPr="00F86938">
        <w:rPr>
          <w:lang w:val="fr-FR"/>
        </w:rPr>
        <w:t>que a</w:t>
      </w:r>
      <w:proofErr w:type="gramEnd"/>
      <w:r w:rsidR="00FD378B" w:rsidRPr="00F86938">
        <w:rPr>
          <w:lang w:val="fr-FR"/>
        </w:rPr>
        <w:t xml:space="preserve">) les </w:t>
      </w:r>
      <w:r w:rsidR="00253E13" w:rsidRPr="00F86938">
        <w:rPr>
          <w:lang w:val="fr-FR"/>
        </w:rPr>
        <w:t>auteurs seraient prêts à remettre une version finale de l'étude</w:t>
      </w:r>
      <w:bookmarkEnd w:id="2"/>
      <w:r w:rsidR="00253E13" w:rsidRPr="00F86938">
        <w:rPr>
          <w:lang w:val="fr-FR"/>
        </w:rPr>
        <w:t xml:space="preserve"> au Bureau de l'Union le 15 décembre 2025 </w:t>
      </w:r>
      <w:r w:rsidR="00155CDA" w:rsidRPr="00F86938">
        <w:rPr>
          <w:lang w:val="fr-FR"/>
        </w:rPr>
        <w:t xml:space="preserve">; et b) </w:t>
      </w:r>
      <w:r w:rsidR="00253E13" w:rsidRPr="00F86938">
        <w:rPr>
          <w:lang w:val="fr-FR"/>
        </w:rPr>
        <w:t xml:space="preserve">l'étude sera mise à la disposition du WG-HRV en janvier 2026, ce qui laissera au </w:t>
      </w:r>
      <w:r w:rsidR="00FD378B" w:rsidRPr="00F86938">
        <w:rPr>
          <w:lang w:val="fr-FR"/>
        </w:rPr>
        <w:t xml:space="preserve">WG-HRV </w:t>
      </w:r>
      <w:r w:rsidR="00253E13" w:rsidRPr="00F86938">
        <w:rPr>
          <w:lang w:val="fr-FR"/>
        </w:rPr>
        <w:t xml:space="preserve">le temps d'examiner la version finale de l'étude avant la neuvième réunion du WG-HRV, prévue </w:t>
      </w:r>
      <w:r w:rsidR="0058325E" w:rsidRPr="00F86938">
        <w:rPr>
          <w:lang w:val="fr-FR"/>
        </w:rPr>
        <w:t>le</w:t>
      </w:r>
      <w:r w:rsidR="00253E13" w:rsidRPr="00F86938">
        <w:rPr>
          <w:lang w:val="fr-FR"/>
        </w:rPr>
        <w:t xml:space="preserve"> 19 mars 2026.   Le mandat de l'étude, tel qu'approuvé par le WG-HRV lors de sa sixième réunion et modifié par la circulaire E-25/053, est reproduit dans l'annexe </w:t>
      </w:r>
      <w:r w:rsidR="00FD378B" w:rsidRPr="00F86938">
        <w:rPr>
          <w:lang w:val="fr-FR"/>
        </w:rPr>
        <w:t xml:space="preserve">du </w:t>
      </w:r>
      <w:r w:rsidR="00253E13" w:rsidRPr="00F86938">
        <w:rPr>
          <w:lang w:val="fr-FR"/>
        </w:rPr>
        <w:t xml:space="preserve">présent </w:t>
      </w:r>
      <w:r w:rsidR="00FD378B" w:rsidRPr="00F86938">
        <w:rPr>
          <w:lang w:val="fr-FR"/>
        </w:rPr>
        <w:t>compte rendu</w:t>
      </w:r>
      <w:r w:rsidR="00253E13" w:rsidRPr="00F86938">
        <w:rPr>
          <w:lang w:val="fr-FR"/>
        </w:rPr>
        <w:t>.</w:t>
      </w:r>
    </w:p>
    <w:p w14:paraId="7932EE8A" w14:textId="77777777" w:rsidR="00143969" w:rsidRPr="00F86938" w:rsidRDefault="00143969" w:rsidP="003E05B1">
      <w:pPr>
        <w:rPr>
          <w:lang w:val="fr-FR"/>
        </w:rPr>
      </w:pPr>
    </w:p>
    <w:p w14:paraId="1ED8C08F" w14:textId="77777777" w:rsidR="0046395C" w:rsidRPr="00F86938" w:rsidRDefault="0046395C" w:rsidP="00050E16">
      <w:pPr>
        <w:rPr>
          <w:lang w:val="fr-FR"/>
        </w:rPr>
      </w:pPr>
    </w:p>
    <w:p w14:paraId="0955A4F2" w14:textId="57E7CDC8" w:rsidR="0046395C" w:rsidRPr="00F86938" w:rsidRDefault="0046395C" w:rsidP="0046395C">
      <w:pPr>
        <w:pStyle w:val="Heading1"/>
        <w:rPr>
          <w:lang w:val="fr-FR"/>
        </w:rPr>
      </w:pPr>
      <w:r w:rsidRPr="00F86938">
        <w:rPr>
          <w:lang w:val="fr-FR"/>
        </w:rPr>
        <w:t xml:space="preserve">DATE DE LA </w:t>
      </w:r>
      <w:r w:rsidR="008711B2" w:rsidRPr="00F86938">
        <w:rPr>
          <w:lang w:val="fr-FR"/>
        </w:rPr>
        <w:t xml:space="preserve">NEUVIÈME </w:t>
      </w:r>
      <w:r w:rsidRPr="00F86938">
        <w:rPr>
          <w:lang w:val="fr-FR"/>
        </w:rPr>
        <w:t>RÉUNION</w:t>
      </w:r>
    </w:p>
    <w:p w14:paraId="35A57B6E" w14:textId="77777777" w:rsidR="0046395C" w:rsidRPr="00F86938" w:rsidRDefault="0046395C" w:rsidP="0046395C">
      <w:pPr>
        <w:rPr>
          <w:lang w:val="fr-FR"/>
        </w:rPr>
      </w:pPr>
    </w:p>
    <w:p w14:paraId="287D088C" w14:textId="28EA0AAE" w:rsidR="002A4C2E" w:rsidRPr="00F86938" w:rsidRDefault="0046395C" w:rsidP="0046395C">
      <w:pPr>
        <w:rPr>
          <w:lang w:val="fr-FR"/>
        </w:rPr>
      </w:pPr>
      <w:r>
        <w:fldChar w:fldCharType="begin"/>
      </w:r>
      <w:r w:rsidRPr="00F86938">
        <w:rPr>
          <w:lang w:val="fr-FR"/>
        </w:rPr>
        <w:instrText xml:space="preserve"> AUTONUM  </w:instrText>
      </w:r>
      <w:r>
        <w:fldChar w:fldCharType="end"/>
      </w:r>
      <w:r w:rsidRPr="00F86938">
        <w:rPr>
          <w:lang w:val="fr-FR"/>
        </w:rPr>
        <w:tab/>
        <w:t xml:space="preserve">La </w:t>
      </w:r>
      <w:r w:rsidR="008711B2" w:rsidRPr="00F86938">
        <w:rPr>
          <w:lang w:val="fr-FR"/>
        </w:rPr>
        <w:t xml:space="preserve">neuvième </w:t>
      </w:r>
      <w:r w:rsidRPr="00F86938">
        <w:rPr>
          <w:lang w:val="fr-FR"/>
        </w:rPr>
        <w:t xml:space="preserve">réunion du WG-HRV se tiendra </w:t>
      </w:r>
      <w:r w:rsidR="00491C72" w:rsidRPr="00F86938">
        <w:rPr>
          <w:lang w:val="fr-FR"/>
        </w:rPr>
        <w:t xml:space="preserve">à Genève </w:t>
      </w:r>
      <w:r w:rsidRPr="00F86938">
        <w:rPr>
          <w:lang w:val="fr-FR"/>
        </w:rPr>
        <w:t xml:space="preserve">le </w:t>
      </w:r>
      <w:r w:rsidR="008711B2" w:rsidRPr="00F86938">
        <w:rPr>
          <w:lang w:val="fr-FR"/>
        </w:rPr>
        <w:t xml:space="preserve">jeudi 19 mars 2026 </w:t>
      </w:r>
      <w:r w:rsidRPr="00F86938">
        <w:rPr>
          <w:lang w:val="fr-FR"/>
        </w:rPr>
        <w:t xml:space="preserve">(par des moyens </w:t>
      </w:r>
      <w:r w:rsidR="008711B2" w:rsidRPr="00F86938">
        <w:rPr>
          <w:lang w:val="fr-FR"/>
        </w:rPr>
        <w:t>virtuels</w:t>
      </w:r>
      <w:r w:rsidRPr="00F86938">
        <w:rPr>
          <w:lang w:val="fr-FR"/>
        </w:rPr>
        <w:t xml:space="preserve">), à une heure qui sera annoncée ultérieurement. </w:t>
      </w:r>
    </w:p>
    <w:p w14:paraId="297554C2" w14:textId="77777777" w:rsidR="00BB43D7" w:rsidRPr="00F86938" w:rsidRDefault="00BB43D7" w:rsidP="0046395C">
      <w:pPr>
        <w:rPr>
          <w:lang w:val="fr-FR"/>
        </w:rPr>
      </w:pPr>
    </w:p>
    <w:p w14:paraId="0CDBA44A" w14:textId="77777777" w:rsidR="003E05B1" w:rsidRPr="00F86938" w:rsidRDefault="003E05B1" w:rsidP="0046395C">
      <w:pPr>
        <w:rPr>
          <w:lang w:val="fr-FR"/>
        </w:rPr>
      </w:pPr>
    </w:p>
    <w:p w14:paraId="12091428" w14:textId="77777777" w:rsidR="003E05B1" w:rsidRPr="00F86938" w:rsidRDefault="003E05B1" w:rsidP="0046395C">
      <w:pPr>
        <w:rPr>
          <w:lang w:val="fr-FR"/>
        </w:rPr>
      </w:pPr>
    </w:p>
    <w:p w14:paraId="0894E7C4" w14:textId="3ABDB74E" w:rsidR="00BB43D7" w:rsidRPr="00F86938" w:rsidRDefault="00BB43D7" w:rsidP="00BB43D7">
      <w:pPr>
        <w:jc w:val="right"/>
        <w:rPr>
          <w:lang w:val="fr-FR"/>
        </w:rPr>
      </w:pPr>
      <w:r w:rsidRPr="00F86938">
        <w:rPr>
          <w:lang w:val="fr-FR"/>
        </w:rPr>
        <w:t>[</w:t>
      </w:r>
      <w:proofErr w:type="spellStart"/>
      <w:r w:rsidR="00592626" w:rsidRPr="00592626">
        <w:t>L'annexe</w:t>
      </w:r>
      <w:proofErr w:type="spellEnd"/>
      <w:r w:rsidR="00592626" w:rsidRPr="00592626">
        <w:t xml:space="preserve"> suit</w:t>
      </w:r>
      <w:r w:rsidR="00592626">
        <w:t>]</w:t>
      </w:r>
    </w:p>
    <w:p w14:paraId="08D2585F" w14:textId="77777777" w:rsidR="00BB43D7" w:rsidRPr="00F86938" w:rsidRDefault="00BB43D7" w:rsidP="0046395C">
      <w:pPr>
        <w:rPr>
          <w:lang w:val="fr-FR"/>
        </w:rPr>
      </w:pPr>
    </w:p>
    <w:p w14:paraId="40A02AF5" w14:textId="77777777" w:rsidR="00A37DBA" w:rsidRPr="00F86938" w:rsidRDefault="00A37DBA" w:rsidP="0046395C">
      <w:pPr>
        <w:rPr>
          <w:lang w:val="fr-FR"/>
        </w:rPr>
        <w:sectPr w:rsidR="00A37DBA" w:rsidRPr="00F86938" w:rsidSect="0004198B">
          <w:headerReference w:type="default" r:id="rId9"/>
          <w:pgSz w:w="11907" w:h="16840" w:code="9"/>
          <w:pgMar w:top="510" w:right="1134" w:bottom="1134" w:left="1134" w:header="510" w:footer="680" w:gutter="0"/>
          <w:pgNumType w:start="1"/>
          <w:cols w:space="720"/>
          <w:titlePg/>
        </w:sectPr>
      </w:pPr>
    </w:p>
    <w:p w14:paraId="67D02434" w14:textId="77777777" w:rsidR="00D63D9D" w:rsidRPr="00F86938" w:rsidRDefault="00D63D9D" w:rsidP="00D63D9D">
      <w:pPr>
        <w:jc w:val="center"/>
        <w:rPr>
          <w:b/>
          <w:bCs/>
          <w:lang w:val="fr-FR"/>
        </w:rPr>
      </w:pPr>
      <w:bookmarkStart w:id="3" w:name="_Hlk172119356"/>
      <w:bookmarkStart w:id="4" w:name="_Toc172119302"/>
      <w:bookmarkStart w:id="5" w:name="_Toc172119339"/>
      <w:r w:rsidRPr="00F86938">
        <w:rPr>
          <w:lang w:val="fr-FR"/>
        </w:rPr>
        <w:lastRenderedPageBreak/>
        <w:t>L'ETUDE SUR "L'ETENDUE DU DROIT D'OBTENTEUR" ET LE RAPPORT AVEC "L'ÉPUISEMENT DU DROIT D'OBTENTEUR"</w:t>
      </w:r>
    </w:p>
    <w:bookmarkEnd w:id="3"/>
    <w:p w14:paraId="3709D8F3" w14:textId="77777777" w:rsidR="00D63D9D" w:rsidRPr="00F86938" w:rsidRDefault="00D63D9D" w:rsidP="00D63D9D">
      <w:pPr>
        <w:jc w:val="center"/>
        <w:rPr>
          <w:i/>
          <w:iCs/>
          <w:lang w:val="fr-FR"/>
        </w:rPr>
      </w:pPr>
      <w:proofErr w:type="gramStart"/>
      <w:r w:rsidRPr="00F86938">
        <w:rPr>
          <w:i/>
          <w:iCs/>
          <w:lang w:val="fr-FR"/>
        </w:rPr>
        <w:t>tel</w:t>
      </w:r>
      <w:proofErr w:type="gramEnd"/>
      <w:r w:rsidRPr="00F86938">
        <w:rPr>
          <w:i/>
          <w:iCs/>
          <w:lang w:val="fr-FR"/>
        </w:rPr>
        <w:t xml:space="preserve"> qu'approuvé par le WG-HRV lors de sa sixième réunion et modifié par la circulaire E-25/053</w:t>
      </w:r>
    </w:p>
    <w:p w14:paraId="0FD4B800" w14:textId="77777777" w:rsidR="00D63D9D" w:rsidRPr="00F86938" w:rsidRDefault="00D63D9D" w:rsidP="00D63D9D">
      <w:pPr>
        <w:jc w:val="left"/>
        <w:rPr>
          <w:lang w:val="fr-FR"/>
        </w:rPr>
      </w:pPr>
    </w:p>
    <w:p w14:paraId="10DC7CE8" w14:textId="77777777" w:rsidR="00592626" w:rsidRDefault="00592626" w:rsidP="00592626">
      <w:pPr>
        <w:pStyle w:val="Heading1"/>
      </w:pPr>
      <w:r>
        <w:t xml:space="preserve">CHAMP </w:t>
      </w:r>
      <w:proofErr w:type="gramStart"/>
      <w:r>
        <w:t>D'APPLICATION :</w:t>
      </w:r>
      <w:proofErr w:type="gramEnd"/>
    </w:p>
    <w:p w14:paraId="75B0967C" w14:textId="77777777" w:rsidR="00592626" w:rsidRDefault="00592626" w:rsidP="00592626">
      <w:pPr>
        <w:jc w:val="left"/>
      </w:pPr>
    </w:p>
    <w:p w14:paraId="128A1AD2" w14:textId="77777777" w:rsidR="00592626" w:rsidRDefault="00592626" w:rsidP="00592626">
      <w:pPr>
        <w:widowControl w:val="0"/>
        <w:tabs>
          <w:tab w:val="left" w:pos="762"/>
        </w:tabs>
        <w:autoSpaceDE w:val="0"/>
        <w:autoSpaceDN w:val="0"/>
        <w:rPr>
          <w:color w:val="262626"/>
        </w:rPr>
      </w:pPr>
      <w:proofErr w:type="spellStart"/>
      <w:r w:rsidRPr="003338C4">
        <w:rPr>
          <w:color w:val="262626"/>
        </w:rPr>
        <w:t>L</w:t>
      </w:r>
      <w:r>
        <w:rPr>
          <w:color w:val="262626"/>
        </w:rPr>
        <w:t>'</w:t>
      </w:r>
      <w:r w:rsidRPr="003338C4">
        <w:rPr>
          <w:color w:val="262626"/>
        </w:rPr>
        <w:t>étude</w:t>
      </w:r>
      <w:proofErr w:type="spellEnd"/>
      <w:r w:rsidRPr="003338C4">
        <w:rPr>
          <w:color w:val="262626"/>
        </w:rPr>
        <w:t xml:space="preserve"> doit </w:t>
      </w:r>
      <w:proofErr w:type="spellStart"/>
      <w:r w:rsidRPr="003338C4">
        <w:rPr>
          <w:color w:val="262626"/>
        </w:rPr>
        <w:t>inclure</w:t>
      </w:r>
      <w:proofErr w:type="spellEnd"/>
    </w:p>
    <w:p w14:paraId="5733A2DC" w14:textId="77777777" w:rsidR="00592626" w:rsidRPr="003338C4" w:rsidRDefault="00592626" w:rsidP="00592626">
      <w:pPr>
        <w:widowControl w:val="0"/>
        <w:tabs>
          <w:tab w:val="left" w:pos="762"/>
        </w:tabs>
        <w:autoSpaceDE w:val="0"/>
        <w:autoSpaceDN w:val="0"/>
        <w:rPr>
          <w:color w:val="262626"/>
        </w:rPr>
      </w:pPr>
    </w:p>
    <w:p w14:paraId="72FBB114" w14:textId="77777777" w:rsidR="00592626" w:rsidRPr="003C7870" w:rsidRDefault="00592626" w:rsidP="00592626">
      <w:pPr>
        <w:pStyle w:val="ListParagraph"/>
        <w:widowControl w:val="0"/>
        <w:numPr>
          <w:ilvl w:val="0"/>
          <w:numId w:val="21"/>
        </w:numPr>
        <w:tabs>
          <w:tab w:val="left" w:pos="762"/>
        </w:tabs>
        <w:autoSpaceDE w:val="0"/>
        <w:autoSpaceDN w:val="0"/>
        <w:rPr>
          <w:color w:val="262626"/>
          <w:lang w:val="fr-CH"/>
        </w:rPr>
      </w:pPr>
      <w:proofErr w:type="gramStart"/>
      <w:r w:rsidRPr="003C7870">
        <w:rPr>
          <w:color w:val="262626"/>
          <w:lang w:val="fr-CH"/>
        </w:rPr>
        <w:t>une</w:t>
      </w:r>
      <w:proofErr w:type="gramEnd"/>
      <w:r w:rsidRPr="003C7870">
        <w:rPr>
          <w:color w:val="262626"/>
          <w:lang w:val="fr-CH"/>
        </w:rPr>
        <w:t xml:space="preserve"> </w:t>
      </w:r>
      <w:r w:rsidRPr="003C7870">
        <w:rPr>
          <w:color w:val="262626"/>
          <w:u w:val="single"/>
          <w:lang w:val="fr-CH"/>
        </w:rPr>
        <w:t xml:space="preserve">première partie </w:t>
      </w:r>
      <w:r w:rsidRPr="003C7870">
        <w:rPr>
          <w:color w:val="262626"/>
          <w:lang w:val="fr-CH"/>
        </w:rPr>
        <w:t xml:space="preserve">contenant une analyse des </w:t>
      </w:r>
      <w:r w:rsidRPr="003C7870">
        <w:rPr>
          <w:color w:val="161616"/>
          <w:lang w:val="fr-CH"/>
        </w:rPr>
        <w:t xml:space="preserve">intentions </w:t>
      </w:r>
      <w:r w:rsidRPr="003C7870">
        <w:rPr>
          <w:color w:val="262626"/>
          <w:lang w:val="fr-CH"/>
        </w:rPr>
        <w:t>des rédacteurs de l'</w:t>
      </w:r>
      <w:r w:rsidRPr="003C7870">
        <w:rPr>
          <w:color w:val="161616"/>
          <w:lang w:val="fr-CH"/>
        </w:rPr>
        <w:t xml:space="preserve">Acte de 1991 de la Convention UPOV </w:t>
      </w:r>
      <w:r w:rsidRPr="003C7870">
        <w:rPr>
          <w:color w:val="262626"/>
          <w:lang w:val="fr-CH"/>
        </w:rPr>
        <w:t>en ce qui concerne l'"Étendue du droit d'obtenteur" à l'article 14.1) et 2) de l'Acte de 1991, y compris les notions d'"utilisation non autorisée" et d'"opportunité raisonnable" et la relation avec l'"Épuisement du droit d'obtenteur" à l'article 16 de l'Acte de 1991 ; et</w:t>
      </w:r>
    </w:p>
    <w:p w14:paraId="3CC54054" w14:textId="77777777" w:rsidR="00592626" w:rsidRPr="003C7870" w:rsidRDefault="00592626" w:rsidP="00592626">
      <w:pPr>
        <w:pStyle w:val="ListParagraph"/>
        <w:widowControl w:val="0"/>
        <w:tabs>
          <w:tab w:val="left" w:pos="762"/>
        </w:tabs>
        <w:autoSpaceDE w:val="0"/>
        <w:autoSpaceDN w:val="0"/>
        <w:rPr>
          <w:color w:val="262626"/>
          <w:lang w:val="fr-CH"/>
        </w:rPr>
      </w:pPr>
    </w:p>
    <w:p w14:paraId="7641BE4A" w14:textId="77777777" w:rsidR="00592626" w:rsidRPr="003C7870" w:rsidRDefault="00592626" w:rsidP="00592626">
      <w:pPr>
        <w:pStyle w:val="ListParagraph"/>
        <w:widowControl w:val="0"/>
        <w:numPr>
          <w:ilvl w:val="0"/>
          <w:numId w:val="21"/>
        </w:numPr>
        <w:tabs>
          <w:tab w:val="left" w:pos="762"/>
        </w:tabs>
        <w:autoSpaceDE w:val="0"/>
        <w:autoSpaceDN w:val="0"/>
        <w:rPr>
          <w:color w:val="343434"/>
          <w:lang w:val="fr-CH"/>
        </w:rPr>
      </w:pPr>
      <w:proofErr w:type="gramStart"/>
      <w:r w:rsidRPr="003C7870">
        <w:rPr>
          <w:color w:val="262626"/>
          <w:lang w:val="fr-CH"/>
        </w:rPr>
        <w:t>une</w:t>
      </w:r>
      <w:proofErr w:type="gramEnd"/>
      <w:r w:rsidRPr="003C7870">
        <w:rPr>
          <w:color w:val="262626"/>
          <w:lang w:val="fr-CH"/>
        </w:rPr>
        <w:t xml:space="preserve"> </w:t>
      </w:r>
      <w:r w:rsidRPr="003C7870">
        <w:rPr>
          <w:color w:val="343434"/>
          <w:u w:val="single"/>
          <w:lang w:val="fr-CH"/>
        </w:rPr>
        <w:t xml:space="preserve">deuxième </w:t>
      </w:r>
      <w:r w:rsidRPr="003C7870">
        <w:rPr>
          <w:color w:val="262626"/>
          <w:u w:val="single"/>
          <w:lang w:val="fr-CH"/>
        </w:rPr>
        <w:t xml:space="preserve">partie </w:t>
      </w:r>
      <w:r w:rsidRPr="003C7870">
        <w:rPr>
          <w:color w:val="262626"/>
          <w:lang w:val="fr-CH"/>
        </w:rPr>
        <w:t xml:space="preserve">contenant des </w:t>
      </w:r>
      <w:r w:rsidRPr="003C7870">
        <w:rPr>
          <w:color w:val="161616"/>
          <w:lang w:val="fr-CH"/>
        </w:rPr>
        <w:t xml:space="preserve">résumés </w:t>
      </w:r>
      <w:r w:rsidRPr="003C7870">
        <w:rPr>
          <w:color w:val="343434"/>
          <w:lang w:val="fr-CH"/>
        </w:rPr>
        <w:t xml:space="preserve">des décisions </w:t>
      </w:r>
      <w:r w:rsidRPr="003C7870">
        <w:rPr>
          <w:color w:val="262626"/>
          <w:lang w:val="fr-CH"/>
        </w:rPr>
        <w:t xml:space="preserve">judiciaires pertinentes </w:t>
      </w:r>
      <w:r w:rsidRPr="003C7870">
        <w:rPr>
          <w:color w:val="343434"/>
          <w:lang w:val="fr-CH"/>
        </w:rPr>
        <w:t>des membres de l'UPOV liés par l'Acte de 1991.</w:t>
      </w:r>
    </w:p>
    <w:p w14:paraId="532E0CAD" w14:textId="77777777" w:rsidR="00592626" w:rsidRPr="003C7870" w:rsidRDefault="00592626" w:rsidP="00592626">
      <w:pPr>
        <w:widowControl w:val="0"/>
        <w:tabs>
          <w:tab w:val="left" w:pos="762"/>
        </w:tabs>
        <w:autoSpaceDE w:val="0"/>
        <w:autoSpaceDN w:val="0"/>
        <w:rPr>
          <w:color w:val="262626"/>
          <w:lang w:val="fr-CH"/>
        </w:rPr>
      </w:pPr>
    </w:p>
    <w:p w14:paraId="28A922FD" w14:textId="77777777" w:rsidR="00592626" w:rsidRPr="003C7870" w:rsidRDefault="00592626" w:rsidP="00592626">
      <w:pPr>
        <w:widowControl w:val="0"/>
        <w:tabs>
          <w:tab w:val="left" w:pos="762"/>
        </w:tabs>
        <w:autoSpaceDE w:val="0"/>
        <w:autoSpaceDN w:val="0"/>
        <w:rPr>
          <w:color w:val="262626"/>
          <w:lang w:val="fr-CH"/>
        </w:rPr>
      </w:pPr>
    </w:p>
    <w:p w14:paraId="7BB00B17" w14:textId="77777777" w:rsidR="00592626" w:rsidRPr="003C7870" w:rsidRDefault="00592626" w:rsidP="00592626">
      <w:pPr>
        <w:pStyle w:val="Heading1"/>
        <w:rPr>
          <w:lang w:val="fr-CH"/>
        </w:rPr>
      </w:pPr>
      <w:bookmarkStart w:id="6" w:name="_Toc172119299"/>
      <w:bookmarkStart w:id="7" w:name="_Toc172119336"/>
      <w:r w:rsidRPr="003C7870">
        <w:rPr>
          <w:lang w:val="fr-CH"/>
        </w:rPr>
        <w:t>COMPOSITION :</w:t>
      </w:r>
      <w:bookmarkEnd w:id="6"/>
      <w:bookmarkEnd w:id="7"/>
    </w:p>
    <w:p w14:paraId="2BA660A0" w14:textId="77777777" w:rsidR="00592626" w:rsidRPr="003C7870" w:rsidRDefault="00592626" w:rsidP="00592626">
      <w:pPr>
        <w:widowControl w:val="0"/>
        <w:tabs>
          <w:tab w:val="left" w:pos="762"/>
        </w:tabs>
        <w:autoSpaceDE w:val="0"/>
        <w:autoSpaceDN w:val="0"/>
        <w:ind w:right="113"/>
        <w:rPr>
          <w:color w:val="262626"/>
          <w:lang w:val="fr-CH"/>
        </w:rPr>
      </w:pPr>
    </w:p>
    <w:p w14:paraId="28D5A9ED" w14:textId="77777777" w:rsidR="00592626" w:rsidRPr="003C7870" w:rsidRDefault="00592626" w:rsidP="00592626">
      <w:pPr>
        <w:rPr>
          <w:lang w:val="fr-CH"/>
        </w:rPr>
      </w:pPr>
      <w:r w:rsidRPr="003C7870">
        <w:rPr>
          <w:lang w:val="fr-CH"/>
        </w:rPr>
        <w:t>L'étude doit être réalisée par les cinq auteurs mentionnés ci-dessous. Les auteurs doivent se mettre d'accord sur l'un d'entre eux pour coordonner leur travail.</w:t>
      </w:r>
    </w:p>
    <w:p w14:paraId="27E4ADBC" w14:textId="77777777" w:rsidR="00592626" w:rsidRPr="003C7870" w:rsidRDefault="00592626" w:rsidP="00592626">
      <w:pPr>
        <w:rPr>
          <w:lang w:val="fr-CH"/>
        </w:rPr>
      </w:pPr>
    </w:p>
    <w:p w14:paraId="0AE9C776" w14:textId="77777777" w:rsidR="00592626" w:rsidRPr="003C7870" w:rsidRDefault="00592626" w:rsidP="00592626">
      <w:pPr>
        <w:rPr>
          <w:lang w:val="fr-CH"/>
        </w:rPr>
      </w:pPr>
      <w:r w:rsidRPr="003C7870">
        <w:rPr>
          <w:lang w:val="fr-CH"/>
        </w:rPr>
        <w:t xml:space="preserve">La langue de travail des auteurs doit être l'anglais et l'étude doit être rédigée en anglais. </w:t>
      </w:r>
    </w:p>
    <w:p w14:paraId="4595BC41" w14:textId="77777777" w:rsidR="00592626" w:rsidRPr="003C7870" w:rsidRDefault="00592626" w:rsidP="00592626">
      <w:pPr>
        <w:jc w:val="left"/>
        <w:rPr>
          <w:spacing w:val="-2"/>
          <w:lang w:val="fr-CH"/>
        </w:rPr>
      </w:pPr>
    </w:p>
    <w:tbl>
      <w:tblPr>
        <w:tblStyle w:val="TableGrid"/>
        <w:tblW w:w="3145" w:type="dxa"/>
        <w:jc w:val="center"/>
        <w:tblInd w:w="0" w:type="dxa"/>
        <w:tblLook w:val="04A0" w:firstRow="1" w:lastRow="0" w:firstColumn="1" w:lastColumn="0" w:noHBand="0" w:noVBand="1"/>
      </w:tblPr>
      <w:tblGrid>
        <w:gridCol w:w="3145"/>
      </w:tblGrid>
      <w:tr w:rsidR="00592626" w:rsidRPr="00E02B4F" w14:paraId="3EB7EF36" w14:textId="77777777" w:rsidTr="00B220E7">
        <w:trPr>
          <w:jc w:val="center"/>
        </w:trPr>
        <w:tc>
          <w:tcPr>
            <w:tcW w:w="3145" w:type="dxa"/>
            <w:tcBorders>
              <w:top w:val="single" w:sz="4" w:space="0" w:color="auto"/>
              <w:left w:val="single" w:sz="4" w:space="0" w:color="auto"/>
              <w:bottom w:val="single" w:sz="4" w:space="0" w:color="auto"/>
              <w:right w:val="single" w:sz="4" w:space="0" w:color="auto"/>
            </w:tcBorders>
            <w:hideMark/>
          </w:tcPr>
          <w:p w14:paraId="1C63E0E8" w14:textId="77777777" w:rsidR="00592626" w:rsidRDefault="00592626" w:rsidP="00B220E7">
            <w:pPr>
              <w:jc w:val="left"/>
              <w:rPr>
                <w:b/>
                <w:bCs/>
                <w:spacing w:val="-2"/>
              </w:rPr>
            </w:pPr>
            <w:r w:rsidRPr="00073978">
              <w:rPr>
                <w:b/>
                <w:bCs/>
                <w:spacing w:val="-2"/>
              </w:rPr>
              <w:t>Experts (</w:t>
            </w:r>
            <w:proofErr w:type="spellStart"/>
            <w:r w:rsidRPr="00073978">
              <w:rPr>
                <w:b/>
                <w:bCs/>
                <w:spacing w:val="-2"/>
              </w:rPr>
              <w:t>ordre</w:t>
            </w:r>
            <w:proofErr w:type="spellEnd"/>
            <w:r w:rsidRPr="00073978">
              <w:rPr>
                <w:b/>
                <w:bCs/>
                <w:spacing w:val="-2"/>
              </w:rPr>
              <w:t xml:space="preserve"> </w:t>
            </w:r>
            <w:proofErr w:type="spellStart"/>
            <w:r w:rsidRPr="00073978">
              <w:rPr>
                <w:b/>
                <w:bCs/>
                <w:spacing w:val="-2"/>
              </w:rPr>
              <w:t>alphabétique</w:t>
            </w:r>
            <w:proofErr w:type="spellEnd"/>
            <w:r w:rsidRPr="00073978">
              <w:rPr>
                <w:b/>
                <w:bCs/>
                <w:spacing w:val="-2"/>
              </w:rPr>
              <w:t>)</w:t>
            </w:r>
          </w:p>
        </w:tc>
      </w:tr>
      <w:tr w:rsidR="00592626" w:rsidRPr="00E02B4F" w14:paraId="664CA5F8" w14:textId="77777777" w:rsidTr="00B220E7">
        <w:trPr>
          <w:jc w:val="center"/>
        </w:trPr>
        <w:tc>
          <w:tcPr>
            <w:tcW w:w="3145" w:type="dxa"/>
            <w:tcBorders>
              <w:top w:val="single" w:sz="4" w:space="0" w:color="auto"/>
              <w:left w:val="single" w:sz="4" w:space="0" w:color="auto"/>
              <w:bottom w:val="single" w:sz="4" w:space="0" w:color="auto"/>
              <w:right w:val="single" w:sz="4" w:space="0" w:color="auto"/>
            </w:tcBorders>
          </w:tcPr>
          <w:p w14:paraId="3160B6AC" w14:textId="77777777" w:rsidR="00592626" w:rsidRDefault="00592626" w:rsidP="00B220E7">
            <w:pPr>
              <w:jc w:val="left"/>
              <w:rPr>
                <w:spacing w:val="-2"/>
              </w:rPr>
            </w:pPr>
            <w:r w:rsidRPr="00073E6C">
              <w:rPr>
                <w:spacing w:val="-2"/>
              </w:rPr>
              <w:t>M</w:t>
            </w:r>
            <w:r>
              <w:rPr>
                <w:spacing w:val="-2"/>
              </w:rPr>
              <w:t xml:space="preserve">. </w:t>
            </w:r>
            <w:r w:rsidRPr="00073E6C">
              <w:rPr>
                <w:spacing w:val="-2"/>
              </w:rPr>
              <w:t>Huib Ghijsen</w:t>
            </w:r>
          </w:p>
        </w:tc>
      </w:tr>
      <w:tr w:rsidR="00592626" w:rsidRPr="00E02B4F" w14:paraId="7021D493" w14:textId="77777777" w:rsidTr="00B220E7">
        <w:trPr>
          <w:jc w:val="center"/>
        </w:trPr>
        <w:tc>
          <w:tcPr>
            <w:tcW w:w="3145" w:type="dxa"/>
            <w:tcBorders>
              <w:top w:val="single" w:sz="4" w:space="0" w:color="auto"/>
              <w:left w:val="single" w:sz="4" w:space="0" w:color="auto"/>
              <w:bottom w:val="single" w:sz="4" w:space="0" w:color="auto"/>
              <w:right w:val="single" w:sz="4" w:space="0" w:color="auto"/>
            </w:tcBorders>
          </w:tcPr>
          <w:p w14:paraId="258811DB" w14:textId="77777777" w:rsidR="00592626" w:rsidRDefault="00592626" w:rsidP="00B220E7">
            <w:pPr>
              <w:jc w:val="left"/>
              <w:rPr>
                <w:spacing w:val="-2"/>
              </w:rPr>
            </w:pPr>
            <w:proofErr w:type="spellStart"/>
            <w:r w:rsidRPr="00073E6C">
              <w:rPr>
                <w:spacing w:val="-2"/>
                <w:lang w:val="es-ES_tradnl"/>
              </w:rPr>
              <w:t>Mme</w:t>
            </w:r>
            <w:proofErr w:type="spellEnd"/>
            <w:r w:rsidRPr="00073E6C">
              <w:rPr>
                <w:spacing w:val="-2"/>
                <w:lang w:val="es-ES_tradnl"/>
              </w:rPr>
              <w:t xml:space="preserve"> Vivianne Kunisawa</w:t>
            </w:r>
          </w:p>
        </w:tc>
      </w:tr>
      <w:tr w:rsidR="00592626" w:rsidRPr="00E02B4F" w14:paraId="573DAA9C" w14:textId="77777777" w:rsidTr="00B220E7">
        <w:trPr>
          <w:jc w:val="center"/>
        </w:trPr>
        <w:tc>
          <w:tcPr>
            <w:tcW w:w="3145" w:type="dxa"/>
            <w:tcBorders>
              <w:top w:val="single" w:sz="4" w:space="0" w:color="auto"/>
              <w:left w:val="single" w:sz="4" w:space="0" w:color="auto"/>
              <w:bottom w:val="single" w:sz="4" w:space="0" w:color="auto"/>
              <w:right w:val="single" w:sz="4" w:space="0" w:color="auto"/>
            </w:tcBorders>
            <w:hideMark/>
          </w:tcPr>
          <w:p w14:paraId="5CE4F952" w14:textId="77777777" w:rsidR="00592626" w:rsidRDefault="00592626" w:rsidP="00B220E7">
            <w:pPr>
              <w:jc w:val="left"/>
              <w:rPr>
                <w:spacing w:val="-2"/>
              </w:rPr>
            </w:pPr>
            <w:r w:rsidRPr="00073E6C">
              <w:rPr>
                <w:spacing w:val="-2"/>
              </w:rPr>
              <w:t>M</w:t>
            </w:r>
            <w:r>
              <w:rPr>
                <w:spacing w:val="-2"/>
              </w:rPr>
              <w:t xml:space="preserve">. </w:t>
            </w:r>
            <w:r w:rsidRPr="00073E6C">
              <w:rPr>
                <w:spacing w:val="-2"/>
              </w:rPr>
              <w:t>Charles Lawson</w:t>
            </w:r>
          </w:p>
        </w:tc>
      </w:tr>
      <w:tr w:rsidR="00592626" w:rsidRPr="00E02B4F" w14:paraId="3602860B" w14:textId="77777777" w:rsidTr="00B220E7">
        <w:trPr>
          <w:jc w:val="center"/>
        </w:trPr>
        <w:tc>
          <w:tcPr>
            <w:tcW w:w="3145" w:type="dxa"/>
            <w:tcBorders>
              <w:top w:val="single" w:sz="4" w:space="0" w:color="auto"/>
              <w:left w:val="single" w:sz="4" w:space="0" w:color="auto"/>
              <w:bottom w:val="single" w:sz="4" w:space="0" w:color="auto"/>
              <w:right w:val="single" w:sz="4" w:space="0" w:color="auto"/>
            </w:tcBorders>
          </w:tcPr>
          <w:p w14:paraId="73C70B1E" w14:textId="77777777" w:rsidR="00592626" w:rsidRDefault="00592626" w:rsidP="00B220E7">
            <w:pPr>
              <w:jc w:val="left"/>
              <w:rPr>
                <w:spacing w:val="-2"/>
              </w:rPr>
            </w:pPr>
            <w:r w:rsidRPr="00073E6C">
              <w:rPr>
                <w:spacing w:val="-2"/>
              </w:rPr>
              <w:t>M</w:t>
            </w:r>
            <w:r>
              <w:rPr>
                <w:spacing w:val="-2"/>
              </w:rPr>
              <w:t xml:space="preserve">. </w:t>
            </w:r>
            <w:r w:rsidRPr="00073E6C">
              <w:rPr>
                <w:spacing w:val="-2"/>
              </w:rPr>
              <w:t>Axel Metzger</w:t>
            </w:r>
          </w:p>
        </w:tc>
      </w:tr>
      <w:tr w:rsidR="00592626" w:rsidRPr="00E02B4F" w14:paraId="55737991" w14:textId="77777777" w:rsidTr="00B220E7">
        <w:trPr>
          <w:jc w:val="center"/>
        </w:trPr>
        <w:tc>
          <w:tcPr>
            <w:tcW w:w="3145" w:type="dxa"/>
            <w:tcBorders>
              <w:top w:val="single" w:sz="4" w:space="0" w:color="auto"/>
              <w:left w:val="single" w:sz="4" w:space="0" w:color="auto"/>
              <w:bottom w:val="single" w:sz="4" w:space="0" w:color="auto"/>
              <w:right w:val="single" w:sz="4" w:space="0" w:color="auto"/>
            </w:tcBorders>
            <w:hideMark/>
          </w:tcPr>
          <w:p w14:paraId="19DD2F7C" w14:textId="77777777" w:rsidR="00592626" w:rsidRDefault="00592626" w:rsidP="00B220E7">
            <w:pPr>
              <w:jc w:val="left"/>
              <w:rPr>
                <w:spacing w:val="-2"/>
                <w:lang w:val="es-ES_tradnl"/>
              </w:rPr>
            </w:pPr>
            <w:r>
              <w:rPr>
                <w:spacing w:val="-2"/>
              </w:rPr>
              <w:t xml:space="preserve">Monsieur </w:t>
            </w:r>
            <w:r w:rsidRPr="00073E6C">
              <w:rPr>
                <w:spacing w:val="-2"/>
              </w:rPr>
              <w:t>Joseph Straus</w:t>
            </w:r>
          </w:p>
        </w:tc>
      </w:tr>
    </w:tbl>
    <w:p w14:paraId="4A0BA17E" w14:textId="77777777" w:rsidR="00592626" w:rsidRDefault="00592626" w:rsidP="00592626">
      <w:pPr>
        <w:widowControl w:val="0"/>
        <w:tabs>
          <w:tab w:val="left" w:pos="762"/>
        </w:tabs>
        <w:autoSpaceDE w:val="0"/>
        <w:autoSpaceDN w:val="0"/>
        <w:jc w:val="left"/>
        <w:rPr>
          <w:color w:val="262626"/>
        </w:rPr>
      </w:pPr>
    </w:p>
    <w:p w14:paraId="3B3F353E" w14:textId="77777777" w:rsidR="00592626" w:rsidRDefault="00592626" w:rsidP="00592626">
      <w:pPr>
        <w:rPr>
          <w:color w:val="262626"/>
        </w:rPr>
      </w:pPr>
    </w:p>
    <w:p w14:paraId="02EA5688" w14:textId="77777777" w:rsidR="00592626" w:rsidRDefault="00592626" w:rsidP="00592626">
      <w:pPr>
        <w:widowControl w:val="0"/>
        <w:tabs>
          <w:tab w:val="left" w:pos="762"/>
        </w:tabs>
        <w:autoSpaceDE w:val="0"/>
        <w:autoSpaceDN w:val="0"/>
        <w:rPr>
          <w:caps/>
        </w:rPr>
      </w:pPr>
      <w:r w:rsidRPr="007F0F7A">
        <w:rPr>
          <w:caps/>
        </w:rPr>
        <w:t xml:space="preserve">MODUS </w:t>
      </w:r>
      <w:proofErr w:type="gramStart"/>
      <w:r w:rsidRPr="007F0F7A">
        <w:rPr>
          <w:caps/>
        </w:rPr>
        <w:t>OPERANDI :</w:t>
      </w:r>
      <w:proofErr w:type="gramEnd"/>
    </w:p>
    <w:p w14:paraId="73064C10" w14:textId="77777777" w:rsidR="00592626" w:rsidRDefault="00592626" w:rsidP="00592626">
      <w:pPr>
        <w:widowControl w:val="0"/>
        <w:tabs>
          <w:tab w:val="left" w:pos="762"/>
        </w:tabs>
        <w:autoSpaceDE w:val="0"/>
        <w:autoSpaceDN w:val="0"/>
        <w:rPr>
          <w:color w:val="262626"/>
        </w:rPr>
      </w:pPr>
    </w:p>
    <w:p w14:paraId="53A0E58B" w14:textId="77777777" w:rsidR="00592626" w:rsidRDefault="00592626" w:rsidP="00592626">
      <w:pPr>
        <w:pStyle w:val="Heading2"/>
      </w:pPr>
      <w:bookmarkStart w:id="8" w:name="_Toc172119300"/>
      <w:bookmarkStart w:id="9" w:name="_Toc172119337"/>
      <w:proofErr w:type="gramStart"/>
      <w:r w:rsidRPr="007F0F7A">
        <w:t>Indépendance :</w:t>
      </w:r>
      <w:proofErr w:type="gramEnd"/>
      <w:r w:rsidRPr="007F0F7A">
        <w:t xml:space="preserve"> </w:t>
      </w:r>
      <w:bookmarkEnd w:id="8"/>
      <w:bookmarkEnd w:id="9"/>
    </w:p>
    <w:p w14:paraId="5E92ED45" w14:textId="77777777" w:rsidR="00592626" w:rsidRPr="003338C4" w:rsidRDefault="00592626" w:rsidP="00592626"/>
    <w:p w14:paraId="45A55FDC" w14:textId="77777777" w:rsidR="00592626" w:rsidRPr="003C7870" w:rsidRDefault="00592626" w:rsidP="00592626">
      <w:pPr>
        <w:widowControl w:val="0"/>
        <w:tabs>
          <w:tab w:val="left" w:pos="762"/>
        </w:tabs>
        <w:autoSpaceDE w:val="0"/>
        <w:autoSpaceDN w:val="0"/>
        <w:rPr>
          <w:lang w:val="fr-CH"/>
        </w:rPr>
      </w:pPr>
      <w:r w:rsidRPr="003C7870">
        <w:rPr>
          <w:color w:val="262626"/>
          <w:lang w:val="fr-CH"/>
        </w:rPr>
        <w:t xml:space="preserve">Les auteurs sont indépendants dans la rédaction de l'étude, </w:t>
      </w:r>
      <w:r w:rsidRPr="003C7870">
        <w:rPr>
          <w:lang w:val="fr-CH"/>
        </w:rPr>
        <w:t xml:space="preserve">en ce sens qu'ils ne doivent recevoir d'instructions individuelles de personne et qu'ils doivent être impartiaux et objectifs. </w:t>
      </w:r>
    </w:p>
    <w:p w14:paraId="745B550F" w14:textId="77777777" w:rsidR="00592626" w:rsidRPr="003C7870" w:rsidRDefault="00592626" w:rsidP="00592626">
      <w:pPr>
        <w:widowControl w:val="0"/>
        <w:tabs>
          <w:tab w:val="left" w:pos="762"/>
        </w:tabs>
        <w:autoSpaceDE w:val="0"/>
        <w:autoSpaceDN w:val="0"/>
        <w:rPr>
          <w:lang w:val="fr-CH"/>
        </w:rPr>
      </w:pPr>
    </w:p>
    <w:p w14:paraId="6EDB0DFE" w14:textId="77777777" w:rsidR="00592626" w:rsidRPr="003C7870" w:rsidRDefault="00592626" w:rsidP="00592626">
      <w:pPr>
        <w:widowControl w:val="0"/>
        <w:tabs>
          <w:tab w:val="left" w:pos="762"/>
        </w:tabs>
        <w:autoSpaceDE w:val="0"/>
        <w:autoSpaceDN w:val="0"/>
        <w:rPr>
          <w:color w:val="262626"/>
          <w:lang w:val="fr-CH"/>
        </w:rPr>
      </w:pPr>
      <w:r w:rsidRPr="003C7870">
        <w:rPr>
          <w:lang w:val="fr-CH"/>
        </w:rPr>
        <w:t>Les cinq auteurs doivent rédiger une seule étude et suivre une méthode de travail collaborative conforme aux normes académiques. Dans le respect de ces normes, les auteurs doivent gérer les éventuelles différences de points de vue ou d'analyse et, le cas échéant, la manière dont ces questions doivent être prises en compte dans l'étude.</w:t>
      </w:r>
    </w:p>
    <w:p w14:paraId="64B4B8B1" w14:textId="77777777" w:rsidR="00592626" w:rsidRPr="003C7870" w:rsidRDefault="00592626" w:rsidP="00592626">
      <w:pPr>
        <w:widowControl w:val="0"/>
        <w:tabs>
          <w:tab w:val="left" w:pos="762"/>
        </w:tabs>
        <w:autoSpaceDE w:val="0"/>
        <w:autoSpaceDN w:val="0"/>
        <w:rPr>
          <w:color w:val="262626"/>
          <w:lang w:val="fr-CH"/>
        </w:rPr>
      </w:pPr>
    </w:p>
    <w:p w14:paraId="041E3C0A" w14:textId="77777777" w:rsidR="00592626" w:rsidRPr="003C7870" w:rsidRDefault="00592626" w:rsidP="00592626">
      <w:pPr>
        <w:widowControl w:val="0"/>
        <w:tabs>
          <w:tab w:val="left" w:pos="762"/>
        </w:tabs>
        <w:autoSpaceDE w:val="0"/>
        <w:autoSpaceDN w:val="0"/>
        <w:rPr>
          <w:color w:val="262626"/>
          <w:lang w:val="fr-CH"/>
        </w:rPr>
      </w:pPr>
      <w:r w:rsidRPr="003C7870">
        <w:rPr>
          <w:color w:val="262626"/>
          <w:lang w:val="fr-CH"/>
        </w:rPr>
        <w:t xml:space="preserve">Après avoir reçu l'étude, il appartient au WG-HRV d'envisager un éventuel suivi et de demander des orientations supplémentaires au CAJ, le cas échéant. </w:t>
      </w:r>
    </w:p>
    <w:p w14:paraId="16F20807" w14:textId="77777777" w:rsidR="00592626" w:rsidRPr="003C7870" w:rsidRDefault="00592626" w:rsidP="00592626">
      <w:pPr>
        <w:widowControl w:val="0"/>
        <w:tabs>
          <w:tab w:val="left" w:pos="762"/>
        </w:tabs>
        <w:autoSpaceDE w:val="0"/>
        <w:autoSpaceDN w:val="0"/>
        <w:rPr>
          <w:color w:val="262626"/>
          <w:lang w:val="fr-CH"/>
        </w:rPr>
      </w:pPr>
    </w:p>
    <w:p w14:paraId="5E2AB774" w14:textId="77777777" w:rsidR="00592626" w:rsidRPr="003C7870" w:rsidRDefault="00592626" w:rsidP="00592626">
      <w:pPr>
        <w:widowControl w:val="0"/>
        <w:tabs>
          <w:tab w:val="left" w:pos="762"/>
        </w:tabs>
        <w:autoSpaceDE w:val="0"/>
        <w:autoSpaceDN w:val="0"/>
        <w:rPr>
          <w:color w:val="262626"/>
          <w:lang w:val="fr-CH"/>
        </w:rPr>
      </w:pPr>
      <w:r w:rsidRPr="003C7870">
        <w:rPr>
          <w:color w:val="262626"/>
          <w:lang w:val="fr-CH"/>
        </w:rPr>
        <w:t>Les membres de l'UPOV ne sont pas liés par le contenu et/ou les conclusions de l'étude.</w:t>
      </w:r>
    </w:p>
    <w:p w14:paraId="27CCBED9" w14:textId="77777777" w:rsidR="00592626" w:rsidRPr="00977881" w:rsidRDefault="00592626" w:rsidP="00592626">
      <w:pPr>
        <w:widowControl w:val="0"/>
        <w:tabs>
          <w:tab w:val="left" w:pos="762"/>
        </w:tabs>
        <w:autoSpaceDE w:val="0"/>
        <w:autoSpaceDN w:val="0"/>
        <w:rPr>
          <w:color w:val="262626"/>
          <w:lang w:val="fr-FR"/>
        </w:rPr>
      </w:pPr>
    </w:p>
    <w:p w14:paraId="74C25F46" w14:textId="77777777" w:rsidR="00592626" w:rsidRPr="00977881" w:rsidRDefault="00592626" w:rsidP="00592626">
      <w:pPr>
        <w:pStyle w:val="Heading2"/>
        <w:rPr>
          <w:lang w:val="fr-FR"/>
        </w:rPr>
      </w:pPr>
      <w:bookmarkStart w:id="10" w:name="_Toc172119301"/>
      <w:bookmarkStart w:id="11" w:name="_Toc172119338"/>
      <w:r w:rsidRPr="00977881">
        <w:rPr>
          <w:lang w:val="fr-FR"/>
        </w:rPr>
        <w:t>Calendrier :</w:t>
      </w:r>
      <w:bookmarkEnd w:id="10"/>
      <w:bookmarkEnd w:id="11"/>
    </w:p>
    <w:p w14:paraId="5FCDF577" w14:textId="77777777" w:rsidR="00592626" w:rsidRPr="00977881" w:rsidRDefault="00592626" w:rsidP="00592626">
      <w:pPr>
        <w:widowControl w:val="0"/>
        <w:tabs>
          <w:tab w:val="left" w:pos="762"/>
        </w:tabs>
        <w:autoSpaceDE w:val="0"/>
        <w:autoSpaceDN w:val="0"/>
        <w:rPr>
          <w:color w:val="161616"/>
          <w:lang w:val="fr-FR"/>
        </w:rPr>
      </w:pPr>
    </w:p>
    <w:p w14:paraId="7B4ECBF1" w14:textId="77777777" w:rsidR="00592626" w:rsidRPr="00977881" w:rsidRDefault="00592626" w:rsidP="00592626">
      <w:pPr>
        <w:widowControl w:val="0"/>
        <w:tabs>
          <w:tab w:val="left" w:pos="762"/>
        </w:tabs>
        <w:autoSpaceDE w:val="0"/>
        <w:autoSpaceDN w:val="0"/>
        <w:rPr>
          <w:rFonts w:cs="Arial"/>
          <w:lang w:val="fr-FR"/>
        </w:rPr>
      </w:pPr>
      <w:bookmarkStart w:id="12" w:name="_Hlk209533393"/>
      <w:r w:rsidRPr="00977881">
        <w:rPr>
          <w:rFonts w:cs="Arial"/>
          <w:lang w:val="fr-FR"/>
        </w:rPr>
        <w:t>Les auteurs seront invités à remettre le projet d'étude au plus tard le 1er septembre 2025, pour examen lors de la huitième réunion du WG-HRV, le 22 octobre 2025. La version finale de l'étude devra être remise au plus tard le 15 décembre 2025.</w:t>
      </w:r>
    </w:p>
    <w:bookmarkEnd w:id="12"/>
    <w:p w14:paraId="3951FEAE" w14:textId="77777777" w:rsidR="00D63D9D" w:rsidRPr="00F86938" w:rsidRDefault="00D63D9D" w:rsidP="00D63D9D">
      <w:pPr>
        <w:widowControl w:val="0"/>
        <w:tabs>
          <w:tab w:val="left" w:pos="762"/>
        </w:tabs>
        <w:autoSpaceDE w:val="0"/>
        <w:autoSpaceDN w:val="0"/>
        <w:rPr>
          <w:rFonts w:cs="Arial"/>
          <w:lang w:val="fr-FR"/>
        </w:rPr>
      </w:pPr>
    </w:p>
    <w:bookmarkEnd w:id="4"/>
    <w:bookmarkEnd w:id="5"/>
    <w:p w14:paraId="6ABB865B" w14:textId="77777777" w:rsidR="00592626" w:rsidRPr="003C7870" w:rsidRDefault="00592626" w:rsidP="00592626">
      <w:pPr>
        <w:pStyle w:val="Heading2"/>
        <w:rPr>
          <w:lang w:val="fr-CH"/>
        </w:rPr>
      </w:pPr>
      <w:r w:rsidRPr="003C7870">
        <w:rPr>
          <w:lang w:val="fr-CH"/>
        </w:rPr>
        <w:lastRenderedPageBreak/>
        <w:t>Soutien financier :</w:t>
      </w:r>
    </w:p>
    <w:p w14:paraId="371E5130" w14:textId="77777777" w:rsidR="00592626" w:rsidRPr="003C7870" w:rsidRDefault="00592626" w:rsidP="00592626">
      <w:pPr>
        <w:keepNext/>
        <w:jc w:val="left"/>
        <w:rPr>
          <w:lang w:val="fr-CH"/>
        </w:rPr>
      </w:pPr>
    </w:p>
    <w:p w14:paraId="211D6925" w14:textId="77777777" w:rsidR="00592626" w:rsidRPr="003C7870" w:rsidRDefault="00592626" w:rsidP="00592626">
      <w:pPr>
        <w:keepNext/>
        <w:rPr>
          <w:lang w:val="fr-CH"/>
        </w:rPr>
      </w:pPr>
      <w:r w:rsidRPr="003C7870">
        <w:rPr>
          <w:lang w:val="fr-CH"/>
        </w:rPr>
        <w:t xml:space="preserve">55 000 francs suisses qui comprendraient : </w:t>
      </w:r>
    </w:p>
    <w:p w14:paraId="00576798" w14:textId="77777777" w:rsidR="00592626" w:rsidRPr="003C7870" w:rsidRDefault="00592626" w:rsidP="00592626">
      <w:pPr>
        <w:keepNext/>
        <w:rPr>
          <w:lang w:val="fr-CH"/>
        </w:rPr>
      </w:pPr>
    </w:p>
    <w:p w14:paraId="342DD9B5" w14:textId="77777777" w:rsidR="00592626" w:rsidRPr="003C7870" w:rsidRDefault="00592626" w:rsidP="00592626">
      <w:pPr>
        <w:keepNext/>
        <w:ind w:left="284" w:hanging="284"/>
        <w:rPr>
          <w:lang w:val="fr-CH"/>
        </w:rPr>
      </w:pPr>
      <w:r w:rsidRPr="00222C58">
        <w:rPr>
          <w:rFonts w:ascii="MS Gothic" w:eastAsia="MS Gothic" w:hAnsi="MS Gothic" w:cs="MS Gothic" w:hint="eastAsia"/>
        </w:rPr>
        <w:t>・</w:t>
      </w:r>
      <w:r w:rsidRPr="003C7870">
        <w:rPr>
          <w:rFonts w:ascii="MS Gothic" w:eastAsia="MS Gothic" w:hAnsi="MS Gothic" w:cs="MS Gothic"/>
          <w:lang w:val="fr-CH"/>
        </w:rPr>
        <w:tab/>
      </w:r>
      <w:r w:rsidRPr="003C7870">
        <w:rPr>
          <w:lang w:val="fr-CH"/>
        </w:rPr>
        <w:t xml:space="preserve">Honoraires de 10 000 francs suisses pour chacun des 5 auteurs. </w:t>
      </w:r>
    </w:p>
    <w:p w14:paraId="5E05C407" w14:textId="77777777" w:rsidR="00592626" w:rsidRPr="003C7870" w:rsidRDefault="00592626" w:rsidP="00592626">
      <w:pPr>
        <w:ind w:left="284" w:hanging="284"/>
        <w:rPr>
          <w:lang w:val="fr-CH"/>
        </w:rPr>
      </w:pPr>
      <w:r w:rsidRPr="00222C58">
        <w:rPr>
          <w:rFonts w:ascii="MS Gothic" w:eastAsia="MS Gothic" w:hAnsi="MS Gothic" w:cs="MS Gothic" w:hint="eastAsia"/>
        </w:rPr>
        <w:t>・</w:t>
      </w:r>
      <w:r w:rsidRPr="003C7870">
        <w:rPr>
          <w:rFonts w:ascii="MS Gothic" w:eastAsia="MS Gothic" w:hAnsi="MS Gothic" w:cs="MS Gothic"/>
          <w:lang w:val="fr-CH"/>
        </w:rPr>
        <w:tab/>
      </w:r>
      <w:r w:rsidRPr="003C7870">
        <w:rPr>
          <w:lang w:val="fr-CH"/>
        </w:rPr>
        <w:t xml:space="preserve">Frais de voyage jusqu'à 5 000 francs suisses au total </w:t>
      </w:r>
      <w:proofErr w:type="gramStart"/>
      <w:r w:rsidRPr="003C7870">
        <w:rPr>
          <w:lang w:val="fr-CH"/>
        </w:rPr>
        <w:t>pour</w:t>
      </w:r>
      <w:proofErr w:type="gramEnd"/>
      <w:r w:rsidRPr="003C7870">
        <w:rPr>
          <w:lang w:val="fr-CH"/>
        </w:rPr>
        <w:t xml:space="preserve"> les 5 auteurs. Le but de ce voyage peut être d'organiser une réunion entre les auteurs ou de financer le voyage pour venir à Genève présenter les résultats de l'étude ou toute autre dépense de voyage imprévue.</w:t>
      </w:r>
    </w:p>
    <w:p w14:paraId="1E3E2F84" w14:textId="77777777" w:rsidR="00592626" w:rsidRPr="003C7870" w:rsidRDefault="00592626" w:rsidP="00592626">
      <w:pPr>
        <w:rPr>
          <w:lang w:val="fr-CH"/>
        </w:rPr>
      </w:pPr>
    </w:p>
    <w:p w14:paraId="52B18ECD" w14:textId="77777777" w:rsidR="00592626" w:rsidRPr="003C7870" w:rsidRDefault="00592626" w:rsidP="00592626">
      <w:pPr>
        <w:rPr>
          <w:lang w:val="fr-CH"/>
        </w:rPr>
      </w:pPr>
      <w:r w:rsidRPr="003C7870">
        <w:rPr>
          <w:lang w:val="fr-CH"/>
        </w:rPr>
        <w:t xml:space="preserve">L'estimation globale des coûts à partager est la suivante :  Le budget ordinaire de l'UPOV couvrirait 30 000 francs suisses et l'accord de fonds fiduciaire entre le Gouvernement du Japon et l'UPOV (JP-FIT) couvrirait 25 000 francs suisses.  </w:t>
      </w:r>
    </w:p>
    <w:p w14:paraId="736EC99E" w14:textId="77777777" w:rsidR="00D63D9D" w:rsidRPr="00592626" w:rsidRDefault="00D63D9D" w:rsidP="00D63D9D">
      <w:pPr>
        <w:jc w:val="left"/>
        <w:rPr>
          <w:lang w:val="fr-CH"/>
        </w:rPr>
      </w:pPr>
    </w:p>
    <w:p w14:paraId="7D5F1A80" w14:textId="77777777" w:rsidR="006C1E6A" w:rsidRPr="00F86938" w:rsidRDefault="006C1E6A" w:rsidP="006C1E6A">
      <w:pPr>
        <w:jc w:val="left"/>
        <w:rPr>
          <w:lang w:val="fr-FR"/>
        </w:rPr>
      </w:pPr>
    </w:p>
    <w:p w14:paraId="44888A39" w14:textId="77777777" w:rsidR="006C1E6A" w:rsidRPr="00F86938" w:rsidRDefault="006C1E6A" w:rsidP="006C1E6A">
      <w:pPr>
        <w:jc w:val="left"/>
        <w:rPr>
          <w:lang w:val="fr-FR"/>
        </w:rPr>
      </w:pPr>
    </w:p>
    <w:p w14:paraId="452B91EF" w14:textId="7866F838" w:rsidR="006C1E6A" w:rsidRPr="00F86938" w:rsidRDefault="006C1E6A" w:rsidP="006C1E6A">
      <w:pPr>
        <w:jc w:val="right"/>
        <w:rPr>
          <w:lang w:val="fr-FR"/>
        </w:rPr>
      </w:pPr>
      <w:r w:rsidRPr="00F86938">
        <w:rPr>
          <w:lang w:val="fr-FR"/>
        </w:rPr>
        <w:t>[</w:t>
      </w:r>
      <w:r w:rsidR="008711B2" w:rsidRPr="00F86938">
        <w:rPr>
          <w:lang w:val="fr-FR"/>
        </w:rPr>
        <w:t>Fin de l'annexe et du document</w:t>
      </w:r>
      <w:r w:rsidRPr="00F86938">
        <w:rPr>
          <w:lang w:val="fr-FR"/>
        </w:rPr>
        <w:t>]</w:t>
      </w:r>
    </w:p>
    <w:p w14:paraId="2D294C73" w14:textId="77777777" w:rsidR="006602F7" w:rsidRPr="00F86938" w:rsidRDefault="006602F7" w:rsidP="00AC0AA9">
      <w:pPr>
        <w:jc w:val="left"/>
        <w:rPr>
          <w:lang w:val="fr-FR"/>
        </w:rPr>
      </w:pPr>
    </w:p>
    <w:p w14:paraId="0E51FEC5" w14:textId="07515435" w:rsidR="006602F7" w:rsidRPr="00F86938" w:rsidRDefault="006602F7" w:rsidP="00AC0AA9">
      <w:pPr>
        <w:jc w:val="left"/>
        <w:rPr>
          <w:lang w:val="fr-FR"/>
        </w:rPr>
      </w:pPr>
    </w:p>
    <w:sectPr w:rsidR="006602F7" w:rsidRPr="00F86938" w:rsidSect="0004198B">
      <w:headerReference w:type="default" r:id="rId10"/>
      <w:headerReference w:type="first" r:id="rId11"/>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1113" w14:textId="77777777" w:rsidR="00B544C0" w:rsidRDefault="00B544C0" w:rsidP="006655D3">
      <w:r>
        <w:separator/>
      </w:r>
    </w:p>
    <w:p w14:paraId="697BFDDC" w14:textId="77777777" w:rsidR="00B544C0" w:rsidRDefault="00B544C0" w:rsidP="006655D3"/>
    <w:p w14:paraId="54C6D9C8" w14:textId="77777777" w:rsidR="00B544C0" w:rsidRDefault="00B544C0" w:rsidP="006655D3"/>
  </w:endnote>
  <w:endnote w:type="continuationSeparator" w:id="0">
    <w:p w14:paraId="1A1B65B7" w14:textId="77777777" w:rsidR="00B544C0" w:rsidRDefault="00B544C0" w:rsidP="006655D3">
      <w:r>
        <w:separator/>
      </w:r>
    </w:p>
    <w:p w14:paraId="2819ED6E" w14:textId="77777777" w:rsidR="00B544C0" w:rsidRPr="00294751" w:rsidRDefault="00B544C0">
      <w:pPr>
        <w:pStyle w:val="Footer"/>
        <w:spacing w:after="60"/>
        <w:rPr>
          <w:sz w:val="18"/>
          <w:lang w:val="fr-FR"/>
        </w:rPr>
      </w:pPr>
      <w:r w:rsidRPr="00294751">
        <w:rPr>
          <w:sz w:val="18"/>
          <w:lang w:val="fr-FR"/>
        </w:rPr>
        <w:t>[Suite de la note de la page précédente]</w:t>
      </w:r>
    </w:p>
    <w:p w14:paraId="05B66789" w14:textId="77777777" w:rsidR="00B544C0" w:rsidRPr="00294751" w:rsidRDefault="00B544C0" w:rsidP="006655D3">
      <w:pPr>
        <w:rPr>
          <w:lang w:val="fr-FR"/>
        </w:rPr>
      </w:pPr>
    </w:p>
    <w:p w14:paraId="41AEACB0" w14:textId="77777777" w:rsidR="00B544C0" w:rsidRPr="00294751" w:rsidRDefault="00B544C0" w:rsidP="006655D3">
      <w:pPr>
        <w:rPr>
          <w:lang w:val="fr-FR"/>
        </w:rPr>
      </w:pPr>
    </w:p>
  </w:endnote>
  <w:endnote w:type="continuationNotice" w:id="1">
    <w:p w14:paraId="285A29F0" w14:textId="77777777" w:rsidR="00B544C0" w:rsidRPr="00294751" w:rsidRDefault="00B544C0" w:rsidP="006655D3">
      <w:pPr>
        <w:rPr>
          <w:lang w:val="fr-FR"/>
        </w:rPr>
      </w:pPr>
      <w:r w:rsidRPr="00294751">
        <w:rPr>
          <w:lang w:val="fr-FR"/>
        </w:rPr>
        <w:t>[Suite de la note page suivante]</w:t>
      </w:r>
    </w:p>
    <w:p w14:paraId="2607A445" w14:textId="77777777" w:rsidR="00B544C0" w:rsidRPr="00294751" w:rsidRDefault="00B544C0" w:rsidP="006655D3">
      <w:pPr>
        <w:rPr>
          <w:lang w:val="fr-FR"/>
        </w:rPr>
      </w:pPr>
    </w:p>
    <w:p w14:paraId="0E35BADE" w14:textId="77777777" w:rsidR="00B544C0" w:rsidRPr="00294751" w:rsidRDefault="00B544C0"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0B29" w14:textId="77777777" w:rsidR="00B544C0" w:rsidRDefault="00B544C0" w:rsidP="006655D3">
      <w:r>
        <w:separator/>
      </w:r>
    </w:p>
  </w:footnote>
  <w:footnote w:type="continuationSeparator" w:id="0">
    <w:p w14:paraId="0D09604E" w14:textId="77777777" w:rsidR="00B544C0" w:rsidRDefault="00B544C0" w:rsidP="006655D3">
      <w:r>
        <w:separator/>
      </w:r>
    </w:p>
  </w:footnote>
  <w:footnote w:type="continuationNotice" w:id="1">
    <w:p w14:paraId="5935BCE6" w14:textId="77777777" w:rsidR="00B544C0" w:rsidRPr="00AB530F" w:rsidRDefault="00B544C0"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01AE" w14:textId="1028400F" w:rsidR="0004198B" w:rsidRPr="00C5280D" w:rsidRDefault="008711B2" w:rsidP="00EB048E">
    <w:pPr>
      <w:pStyle w:val="Header"/>
      <w:rPr>
        <w:rStyle w:val="PageNumber"/>
        <w:lang w:val="en-US"/>
      </w:rPr>
    </w:pPr>
    <w:r>
      <w:rPr>
        <w:rStyle w:val="PageNumber"/>
        <w:lang w:val="en-US"/>
      </w:rPr>
      <w:t>WG-HRV/8/4</w:t>
    </w:r>
  </w:p>
  <w:p w14:paraId="105558F7"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F44BF1">
      <w:rPr>
        <w:rStyle w:val="PageNumber"/>
        <w:noProof/>
        <w:lang w:val="en-US"/>
      </w:rPr>
      <w:t>2</w:t>
    </w:r>
    <w:r w:rsidRPr="00C5280D">
      <w:rPr>
        <w:rStyle w:val="PageNumber"/>
        <w:lang w:val="en-US"/>
      </w:rPr>
      <w:fldChar w:fldCharType="end"/>
    </w:r>
  </w:p>
  <w:p w14:paraId="3542ACA9"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64AC" w14:textId="53C0CED7" w:rsidR="00AC0AA9" w:rsidRPr="00271022" w:rsidRDefault="008711B2" w:rsidP="00EB048E">
    <w:pPr>
      <w:pStyle w:val="Header"/>
      <w:rPr>
        <w:rStyle w:val="PageNumber"/>
      </w:rPr>
    </w:pPr>
    <w:r w:rsidRPr="00271022">
      <w:rPr>
        <w:rStyle w:val="PageNumber"/>
      </w:rPr>
      <w:t>WG-HRV/8/4</w:t>
    </w:r>
  </w:p>
  <w:p w14:paraId="22FC2807" w14:textId="57EF9D7F" w:rsidR="00AC0AA9" w:rsidRPr="00271022" w:rsidRDefault="00AC0AA9" w:rsidP="00EB048E">
    <w:pPr>
      <w:pStyle w:val="Header"/>
    </w:pPr>
    <w:r w:rsidRPr="00271022">
      <w:t xml:space="preserve">Annexe, page </w:t>
    </w:r>
    <w:r w:rsidRPr="00C5280D">
      <w:rPr>
        <w:rStyle w:val="PageNumber"/>
        <w:lang w:val="en-US"/>
      </w:rPr>
      <w:fldChar w:fldCharType="begin"/>
    </w:r>
    <w:r w:rsidRPr="00271022">
      <w:rPr>
        <w:rStyle w:val="PageNumber"/>
      </w:rPr>
      <w:instrText xml:space="preserve"> PAGE </w:instrText>
    </w:r>
    <w:r w:rsidRPr="00C5280D">
      <w:rPr>
        <w:rStyle w:val="PageNumber"/>
        <w:lang w:val="en-US"/>
      </w:rPr>
      <w:fldChar w:fldCharType="separate"/>
    </w:r>
    <w:r w:rsidRPr="00271022">
      <w:rPr>
        <w:rStyle w:val="PageNumber"/>
        <w:noProof/>
      </w:rPr>
      <w:t>2</w:t>
    </w:r>
    <w:r w:rsidRPr="00C5280D">
      <w:rPr>
        <w:rStyle w:val="PageNumber"/>
        <w:lang w:val="en-US"/>
      </w:rPr>
      <w:fldChar w:fldCharType="end"/>
    </w:r>
  </w:p>
  <w:p w14:paraId="3E984CAA" w14:textId="77777777" w:rsidR="00AC0AA9" w:rsidRPr="00271022" w:rsidRDefault="00AC0AA9" w:rsidP="006655D3">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D234" w14:textId="7F4B2BA4" w:rsidR="00316C48" w:rsidRPr="006A3FEB" w:rsidRDefault="008711B2" w:rsidP="00316C48">
    <w:pPr>
      <w:pStyle w:val="Header"/>
      <w:rPr>
        <w:lang w:val="fr-CH"/>
      </w:rPr>
    </w:pPr>
    <w:r>
      <w:rPr>
        <w:lang w:val="fr-CH"/>
      </w:rPr>
      <w:t>WG-HRV/8/4</w:t>
    </w:r>
  </w:p>
  <w:p w14:paraId="1534C9B6" w14:textId="6950635D" w:rsidR="00A37DBA" w:rsidRDefault="00CD30A3">
    <w:pPr>
      <w:pStyle w:val="Header"/>
      <w:rPr>
        <w:lang w:val="fr-CH"/>
      </w:rPr>
    </w:pPr>
    <w:r>
      <w:rPr>
        <w:lang w:val="fr-CH"/>
      </w:rPr>
      <w:t>ANNEXE</w:t>
    </w:r>
  </w:p>
  <w:p w14:paraId="4E45D2C1" w14:textId="77777777" w:rsidR="00CD30A3" w:rsidRPr="00A37DBA" w:rsidRDefault="00CD30A3">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05E"/>
    <w:multiLevelType w:val="multilevel"/>
    <w:tmpl w:val="023CF2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4115D"/>
    <w:multiLevelType w:val="hybridMultilevel"/>
    <w:tmpl w:val="7BA2948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34757BA"/>
    <w:multiLevelType w:val="multilevel"/>
    <w:tmpl w:val="94FE4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40B79"/>
    <w:multiLevelType w:val="hybridMultilevel"/>
    <w:tmpl w:val="7C9E168E"/>
    <w:lvl w:ilvl="0" w:tplc="C11A9D0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05AC8"/>
    <w:multiLevelType w:val="hybridMultilevel"/>
    <w:tmpl w:val="88E8ACDE"/>
    <w:lvl w:ilvl="0" w:tplc="C11A9D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13311"/>
    <w:multiLevelType w:val="hybridMultilevel"/>
    <w:tmpl w:val="B0FC5D9C"/>
    <w:lvl w:ilvl="0" w:tplc="C11A9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932D0"/>
    <w:multiLevelType w:val="multilevel"/>
    <w:tmpl w:val="3B28C4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00099"/>
    <w:multiLevelType w:val="multilevel"/>
    <w:tmpl w:val="20826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C38F3"/>
    <w:multiLevelType w:val="multilevel"/>
    <w:tmpl w:val="086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A3057"/>
    <w:multiLevelType w:val="multilevel"/>
    <w:tmpl w:val="812E53B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F7C01"/>
    <w:multiLevelType w:val="multilevel"/>
    <w:tmpl w:val="E96090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2929D6"/>
    <w:multiLevelType w:val="hybridMultilevel"/>
    <w:tmpl w:val="E9286C1A"/>
    <w:lvl w:ilvl="0" w:tplc="C11A9D0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BE2B9D"/>
    <w:multiLevelType w:val="multilevel"/>
    <w:tmpl w:val="CABC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D72D1"/>
    <w:multiLevelType w:val="multilevel"/>
    <w:tmpl w:val="3AEA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17F4B"/>
    <w:multiLevelType w:val="hybridMultilevel"/>
    <w:tmpl w:val="4AE49D9A"/>
    <w:lvl w:ilvl="0" w:tplc="8544EAB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90469"/>
    <w:multiLevelType w:val="hybridMultilevel"/>
    <w:tmpl w:val="C726750E"/>
    <w:lvl w:ilvl="0" w:tplc="C11A9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47581"/>
    <w:multiLevelType w:val="multilevel"/>
    <w:tmpl w:val="640A2B1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7D5AD0"/>
    <w:multiLevelType w:val="multilevel"/>
    <w:tmpl w:val="6486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75BED"/>
    <w:multiLevelType w:val="multilevel"/>
    <w:tmpl w:val="A62A396E"/>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984650"/>
    <w:multiLevelType w:val="hybridMultilevel"/>
    <w:tmpl w:val="250464B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F03DD4"/>
    <w:multiLevelType w:val="hybridMultilevel"/>
    <w:tmpl w:val="CC880EC2"/>
    <w:lvl w:ilvl="0" w:tplc="A692D0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F005D"/>
    <w:multiLevelType w:val="multilevel"/>
    <w:tmpl w:val="20281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DF0D1C"/>
    <w:multiLevelType w:val="multilevel"/>
    <w:tmpl w:val="3F7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CC5B56"/>
    <w:multiLevelType w:val="hybridMultilevel"/>
    <w:tmpl w:val="7088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40725"/>
    <w:multiLevelType w:val="hybridMultilevel"/>
    <w:tmpl w:val="B134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87256"/>
    <w:multiLevelType w:val="multilevel"/>
    <w:tmpl w:val="1E2011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FA59BC"/>
    <w:multiLevelType w:val="multilevel"/>
    <w:tmpl w:val="A32C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01766"/>
    <w:multiLevelType w:val="hybridMultilevel"/>
    <w:tmpl w:val="A3FEFAD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552AD7"/>
    <w:multiLevelType w:val="multilevel"/>
    <w:tmpl w:val="6A0E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003E37"/>
    <w:multiLevelType w:val="hybridMultilevel"/>
    <w:tmpl w:val="121ACAE8"/>
    <w:lvl w:ilvl="0" w:tplc="C11A9D06">
      <w:start w:val="1"/>
      <w:numFmt w:val="lowerLetter"/>
      <w:lvlText w:val="(%1)"/>
      <w:lvlJc w:val="left"/>
      <w:pPr>
        <w:ind w:left="9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4B62F3"/>
    <w:multiLevelType w:val="hybridMultilevel"/>
    <w:tmpl w:val="7BA2948E"/>
    <w:lvl w:ilvl="0" w:tplc="51C8EFF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704331"/>
    <w:multiLevelType w:val="hybridMultilevel"/>
    <w:tmpl w:val="077EE3C2"/>
    <w:lvl w:ilvl="0" w:tplc="C11A9D0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D027D8"/>
    <w:multiLevelType w:val="hybridMultilevel"/>
    <w:tmpl w:val="031EE25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62319E"/>
    <w:multiLevelType w:val="hybridMultilevel"/>
    <w:tmpl w:val="6F6AA38E"/>
    <w:lvl w:ilvl="0" w:tplc="A692D0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526557">
    <w:abstractNumId w:val="17"/>
  </w:num>
  <w:num w:numId="2" w16cid:durableId="1333219328">
    <w:abstractNumId w:val="26"/>
  </w:num>
  <w:num w:numId="3" w16cid:durableId="1106466214">
    <w:abstractNumId w:val="22"/>
  </w:num>
  <w:num w:numId="4" w16cid:durableId="1734618879">
    <w:abstractNumId w:val="7"/>
  </w:num>
  <w:num w:numId="5" w16cid:durableId="616302902">
    <w:abstractNumId w:val="12"/>
  </w:num>
  <w:num w:numId="6" w16cid:durableId="721294950">
    <w:abstractNumId w:val="8"/>
  </w:num>
  <w:num w:numId="7" w16cid:durableId="454107445">
    <w:abstractNumId w:val="28"/>
  </w:num>
  <w:num w:numId="8" w16cid:durableId="1386248206">
    <w:abstractNumId w:val="21"/>
  </w:num>
  <w:num w:numId="9" w16cid:durableId="375933054">
    <w:abstractNumId w:val="2"/>
  </w:num>
  <w:num w:numId="10" w16cid:durableId="604269898">
    <w:abstractNumId w:val="25"/>
  </w:num>
  <w:num w:numId="11" w16cid:durableId="1003556599">
    <w:abstractNumId w:val="0"/>
  </w:num>
  <w:num w:numId="12" w16cid:durableId="1067917487">
    <w:abstractNumId w:val="18"/>
  </w:num>
  <w:num w:numId="13" w16cid:durableId="357584678">
    <w:abstractNumId w:val="6"/>
  </w:num>
  <w:num w:numId="14" w16cid:durableId="179440901">
    <w:abstractNumId w:val="9"/>
  </w:num>
  <w:num w:numId="15" w16cid:durableId="918826414">
    <w:abstractNumId w:val="10"/>
  </w:num>
  <w:num w:numId="16" w16cid:durableId="1587838518">
    <w:abstractNumId w:val="16"/>
  </w:num>
  <w:num w:numId="17" w16cid:durableId="38819312">
    <w:abstractNumId w:val="13"/>
  </w:num>
  <w:num w:numId="18" w16cid:durableId="1968075899">
    <w:abstractNumId w:val="20"/>
  </w:num>
  <w:num w:numId="19" w16cid:durableId="822963960">
    <w:abstractNumId w:val="33"/>
  </w:num>
  <w:num w:numId="20" w16cid:durableId="1311472530">
    <w:abstractNumId w:val="24"/>
  </w:num>
  <w:num w:numId="21" w16cid:durableId="769742828">
    <w:abstractNumId w:val="14"/>
  </w:num>
  <w:num w:numId="22" w16cid:durableId="159198481">
    <w:abstractNumId w:val="30"/>
  </w:num>
  <w:num w:numId="23" w16cid:durableId="1372807867">
    <w:abstractNumId w:val="1"/>
  </w:num>
  <w:num w:numId="24" w16cid:durableId="1023819098">
    <w:abstractNumId w:val="4"/>
  </w:num>
  <w:num w:numId="25" w16cid:durableId="1773621005">
    <w:abstractNumId w:val="27"/>
  </w:num>
  <w:num w:numId="26" w16cid:durableId="159809100">
    <w:abstractNumId w:val="32"/>
  </w:num>
  <w:num w:numId="27" w16cid:durableId="2073385164">
    <w:abstractNumId w:val="19"/>
  </w:num>
  <w:num w:numId="28" w16cid:durableId="1140925703">
    <w:abstractNumId w:val="3"/>
  </w:num>
  <w:num w:numId="29" w16cid:durableId="1035152316">
    <w:abstractNumId w:val="11"/>
  </w:num>
  <w:num w:numId="30" w16cid:durableId="237056373">
    <w:abstractNumId w:val="29"/>
  </w:num>
  <w:num w:numId="31" w16cid:durableId="840243260">
    <w:abstractNumId w:val="23"/>
  </w:num>
  <w:num w:numId="32" w16cid:durableId="21978764">
    <w:abstractNumId w:val="31"/>
  </w:num>
  <w:num w:numId="33" w16cid:durableId="629482225">
    <w:abstractNumId w:val="15"/>
  </w:num>
  <w:num w:numId="34" w16cid:durableId="1735545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C0"/>
    <w:rsid w:val="0000500D"/>
    <w:rsid w:val="00007A1D"/>
    <w:rsid w:val="00010CF3"/>
    <w:rsid w:val="00011E27"/>
    <w:rsid w:val="000148BC"/>
    <w:rsid w:val="0002381C"/>
    <w:rsid w:val="00024AB8"/>
    <w:rsid w:val="00030854"/>
    <w:rsid w:val="00032AFB"/>
    <w:rsid w:val="00036028"/>
    <w:rsid w:val="00040185"/>
    <w:rsid w:val="0004198B"/>
    <w:rsid w:val="0004297B"/>
    <w:rsid w:val="00044642"/>
    <w:rsid w:val="000446B9"/>
    <w:rsid w:val="00047E21"/>
    <w:rsid w:val="00050398"/>
    <w:rsid w:val="00050E16"/>
    <w:rsid w:val="00061AC0"/>
    <w:rsid w:val="000736C5"/>
    <w:rsid w:val="00083661"/>
    <w:rsid w:val="00085505"/>
    <w:rsid w:val="000B10B8"/>
    <w:rsid w:val="000C4E25"/>
    <w:rsid w:val="000C7021"/>
    <w:rsid w:val="000D6BBC"/>
    <w:rsid w:val="000D7780"/>
    <w:rsid w:val="000E636A"/>
    <w:rsid w:val="000E6757"/>
    <w:rsid w:val="000F2F11"/>
    <w:rsid w:val="000F4B3E"/>
    <w:rsid w:val="00100A5F"/>
    <w:rsid w:val="00105929"/>
    <w:rsid w:val="00110BED"/>
    <w:rsid w:val="00110C36"/>
    <w:rsid w:val="001131D5"/>
    <w:rsid w:val="00114547"/>
    <w:rsid w:val="00137E8C"/>
    <w:rsid w:val="00141DB8"/>
    <w:rsid w:val="00142218"/>
    <w:rsid w:val="00143969"/>
    <w:rsid w:val="00145BDA"/>
    <w:rsid w:val="00155CDA"/>
    <w:rsid w:val="00160369"/>
    <w:rsid w:val="00172084"/>
    <w:rsid w:val="00172C94"/>
    <w:rsid w:val="0017474A"/>
    <w:rsid w:val="001758C6"/>
    <w:rsid w:val="00182B99"/>
    <w:rsid w:val="00186D9E"/>
    <w:rsid w:val="001A2560"/>
    <w:rsid w:val="001C1525"/>
    <w:rsid w:val="001E7B3C"/>
    <w:rsid w:val="001F0CD1"/>
    <w:rsid w:val="00207549"/>
    <w:rsid w:val="0021332C"/>
    <w:rsid w:val="00213982"/>
    <w:rsid w:val="0021653A"/>
    <w:rsid w:val="002360BC"/>
    <w:rsid w:val="0024416D"/>
    <w:rsid w:val="00253E13"/>
    <w:rsid w:val="00260EA2"/>
    <w:rsid w:val="00261AB2"/>
    <w:rsid w:val="00271022"/>
    <w:rsid w:val="00271335"/>
    <w:rsid w:val="00271911"/>
    <w:rsid w:val="00273187"/>
    <w:rsid w:val="002800A0"/>
    <w:rsid w:val="002801B3"/>
    <w:rsid w:val="00281060"/>
    <w:rsid w:val="00284050"/>
    <w:rsid w:val="00285BD0"/>
    <w:rsid w:val="002940E8"/>
    <w:rsid w:val="00294751"/>
    <w:rsid w:val="002A4C2E"/>
    <w:rsid w:val="002A6E50"/>
    <w:rsid w:val="002B4298"/>
    <w:rsid w:val="002B7A36"/>
    <w:rsid w:val="002C256A"/>
    <w:rsid w:val="002C2694"/>
    <w:rsid w:val="002D5226"/>
    <w:rsid w:val="00305A7F"/>
    <w:rsid w:val="003152FE"/>
    <w:rsid w:val="00316C48"/>
    <w:rsid w:val="00327436"/>
    <w:rsid w:val="00344BD6"/>
    <w:rsid w:val="00345F20"/>
    <w:rsid w:val="0035528D"/>
    <w:rsid w:val="003570C2"/>
    <w:rsid w:val="00361821"/>
    <w:rsid w:val="00361E9E"/>
    <w:rsid w:val="003753EE"/>
    <w:rsid w:val="00376810"/>
    <w:rsid w:val="003A0835"/>
    <w:rsid w:val="003A46A5"/>
    <w:rsid w:val="003A5AAF"/>
    <w:rsid w:val="003A7864"/>
    <w:rsid w:val="003B12F0"/>
    <w:rsid w:val="003B700A"/>
    <w:rsid w:val="003C7FBE"/>
    <w:rsid w:val="003D227C"/>
    <w:rsid w:val="003D2B4D"/>
    <w:rsid w:val="003D56ED"/>
    <w:rsid w:val="003E05B1"/>
    <w:rsid w:val="003E1D7D"/>
    <w:rsid w:val="003F37F5"/>
    <w:rsid w:val="00431BE5"/>
    <w:rsid w:val="00434C27"/>
    <w:rsid w:val="00444A88"/>
    <w:rsid w:val="0046395C"/>
    <w:rsid w:val="00474DA4"/>
    <w:rsid w:val="00476B4D"/>
    <w:rsid w:val="004805FA"/>
    <w:rsid w:val="00491C72"/>
    <w:rsid w:val="004935D2"/>
    <w:rsid w:val="004B1215"/>
    <w:rsid w:val="004C70E6"/>
    <w:rsid w:val="004D047D"/>
    <w:rsid w:val="004D4D5B"/>
    <w:rsid w:val="004F1E9E"/>
    <w:rsid w:val="004F305A"/>
    <w:rsid w:val="0050503A"/>
    <w:rsid w:val="00510AF2"/>
    <w:rsid w:val="00512164"/>
    <w:rsid w:val="00520297"/>
    <w:rsid w:val="00532395"/>
    <w:rsid w:val="005338F9"/>
    <w:rsid w:val="0054281C"/>
    <w:rsid w:val="00544581"/>
    <w:rsid w:val="0055268D"/>
    <w:rsid w:val="005600E7"/>
    <w:rsid w:val="00563F1A"/>
    <w:rsid w:val="00575DE2"/>
    <w:rsid w:val="00576BE4"/>
    <w:rsid w:val="005779DB"/>
    <w:rsid w:val="0058325E"/>
    <w:rsid w:val="00592626"/>
    <w:rsid w:val="005A1B96"/>
    <w:rsid w:val="005A2A67"/>
    <w:rsid w:val="005A400A"/>
    <w:rsid w:val="005A748E"/>
    <w:rsid w:val="005B269D"/>
    <w:rsid w:val="005C4B74"/>
    <w:rsid w:val="005D13A6"/>
    <w:rsid w:val="005E232D"/>
    <w:rsid w:val="005F7B92"/>
    <w:rsid w:val="00601862"/>
    <w:rsid w:val="00604A3D"/>
    <w:rsid w:val="00607DC3"/>
    <w:rsid w:val="006117B6"/>
    <w:rsid w:val="00612379"/>
    <w:rsid w:val="006153B6"/>
    <w:rsid w:val="0061555F"/>
    <w:rsid w:val="006245ED"/>
    <w:rsid w:val="0062468E"/>
    <w:rsid w:val="00636CA6"/>
    <w:rsid w:val="00641200"/>
    <w:rsid w:val="00644B33"/>
    <w:rsid w:val="00645CA8"/>
    <w:rsid w:val="00646E5A"/>
    <w:rsid w:val="006602F7"/>
    <w:rsid w:val="006655D3"/>
    <w:rsid w:val="00666AC7"/>
    <w:rsid w:val="00667404"/>
    <w:rsid w:val="00685704"/>
    <w:rsid w:val="00687EB4"/>
    <w:rsid w:val="00695C56"/>
    <w:rsid w:val="006A16D7"/>
    <w:rsid w:val="006A5CDE"/>
    <w:rsid w:val="006A644A"/>
    <w:rsid w:val="006A7A55"/>
    <w:rsid w:val="006B17D2"/>
    <w:rsid w:val="006C1E6A"/>
    <w:rsid w:val="006C224E"/>
    <w:rsid w:val="006C4A7A"/>
    <w:rsid w:val="006D780A"/>
    <w:rsid w:val="006F451A"/>
    <w:rsid w:val="0071271E"/>
    <w:rsid w:val="00732DEC"/>
    <w:rsid w:val="0073565F"/>
    <w:rsid w:val="00735BD5"/>
    <w:rsid w:val="007451EC"/>
    <w:rsid w:val="00751613"/>
    <w:rsid w:val="00753EE9"/>
    <w:rsid w:val="007556F6"/>
    <w:rsid w:val="00760EEF"/>
    <w:rsid w:val="007634C5"/>
    <w:rsid w:val="007673D8"/>
    <w:rsid w:val="00770314"/>
    <w:rsid w:val="00777EE5"/>
    <w:rsid w:val="00784836"/>
    <w:rsid w:val="0079023E"/>
    <w:rsid w:val="007A2854"/>
    <w:rsid w:val="007B638D"/>
    <w:rsid w:val="007C0BF8"/>
    <w:rsid w:val="007C1D92"/>
    <w:rsid w:val="007C4CB9"/>
    <w:rsid w:val="007C5173"/>
    <w:rsid w:val="007D0B9D"/>
    <w:rsid w:val="007D19B0"/>
    <w:rsid w:val="007D28B1"/>
    <w:rsid w:val="007F498F"/>
    <w:rsid w:val="0080679D"/>
    <w:rsid w:val="008108B0"/>
    <w:rsid w:val="00811B20"/>
    <w:rsid w:val="00811BA5"/>
    <w:rsid w:val="00812609"/>
    <w:rsid w:val="008211B5"/>
    <w:rsid w:val="0082296E"/>
    <w:rsid w:val="00824099"/>
    <w:rsid w:val="00844599"/>
    <w:rsid w:val="00846D7C"/>
    <w:rsid w:val="00867AC1"/>
    <w:rsid w:val="008711B2"/>
    <w:rsid w:val="008751DE"/>
    <w:rsid w:val="008872DC"/>
    <w:rsid w:val="00890DF8"/>
    <w:rsid w:val="008938CE"/>
    <w:rsid w:val="00894B0D"/>
    <w:rsid w:val="008A0747"/>
    <w:rsid w:val="008A0ADE"/>
    <w:rsid w:val="008A743F"/>
    <w:rsid w:val="008C0970"/>
    <w:rsid w:val="008C3B1D"/>
    <w:rsid w:val="008C5A11"/>
    <w:rsid w:val="008D0BC5"/>
    <w:rsid w:val="008D0F14"/>
    <w:rsid w:val="008D2CF7"/>
    <w:rsid w:val="008F3C1C"/>
    <w:rsid w:val="00900C26"/>
    <w:rsid w:val="0090197F"/>
    <w:rsid w:val="00903264"/>
    <w:rsid w:val="00906DDC"/>
    <w:rsid w:val="009125A5"/>
    <w:rsid w:val="00932073"/>
    <w:rsid w:val="00934E09"/>
    <w:rsid w:val="00936253"/>
    <w:rsid w:val="00940D46"/>
    <w:rsid w:val="009413F1"/>
    <w:rsid w:val="00945D23"/>
    <w:rsid w:val="00952DD4"/>
    <w:rsid w:val="009561F4"/>
    <w:rsid w:val="00965AE7"/>
    <w:rsid w:val="00970AB3"/>
    <w:rsid w:val="00970FED"/>
    <w:rsid w:val="00976C38"/>
    <w:rsid w:val="00992D82"/>
    <w:rsid w:val="00997029"/>
    <w:rsid w:val="009A4F5D"/>
    <w:rsid w:val="009A7339"/>
    <w:rsid w:val="009B440E"/>
    <w:rsid w:val="009C536A"/>
    <w:rsid w:val="009D690D"/>
    <w:rsid w:val="009E65B6"/>
    <w:rsid w:val="009E7203"/>
    <w:rsid w:val="009F0A51"/>
    <w:rsid w:val="009F3B78"/>
    <w:rsid w:val="009F77CF"/>
    <w:rsid w:val="00A24C10"/>
    <w:rsid w:val="00A37DBA"/>
    <w:rsid w:val="00A42AC3"/>
    <w:rsid w:val="00A430CF"/>
    <w:rsid w:val="00A54309"/>
    <w:rsid w:val="00A610A9"/>
    <w:rsid w:val="00A73350"/>
    <w:rsid w:val="00A73882"/>
    <w:rsid w:val="00A80821"/>
    <w:rsid w:val="00A80F2A"/>
    <w:rsid w:val="00A86B08"/>
    <w:rsid w:val="00A96C33"/>
    <w:rsid w:val="00AA4502"/>
    <w:rsid w:val="00AB2B93"/>
    <w:rsid w:val="00AB530F"/>
    <w:rsid w:val="00AB7E5B"/>
    <w:rsid w:val="00AC0AA9"/>
    <w:rsid w:val="00AC2883"/>
    <w:rsid w:val="00AE0451"/>
    <w:rsid w:val="00AE0EF1"/>
    <w:rsid w:val="00AE2937"/>
    <w:rsid w:val="00AF4A78"/>
    <w:rsid w:val="00B07301"/>
    <w:rsid w:val="00B11F3E"/>
    <w:rsid w:val="00B16E70"/>
    <w:rsid w:val="00B224DE"/>
    <w:rsid w:val="00B324D4"/>
    <w:rsid w:val="00B347C9"/>
    <w:rsid w:val="00B46575"/>
    <w:rsid w:val="00B46AEE"/>
    <w:rsid w:val="00B544C0"/>
    <w:rsid w:val="00B61777"/>
    <w:rsid w:val="00B622E6"/>
    <w:rsid w:val="00B64E94"/>
    <w:rsid w:val="00B83E82"/>
    <w:rsid w:val="00B84BBD"/>
    <w:rsid w:val="00BA43FB"/>
    <w:rsid w:val="00BA4678"/>
    <w:rsid w:val="00BB43D7"/>
    <w:rsid w:val="00BB64CB"/>
    <w:rsid w:val="00BC127D"/>
    <w:rsid w:val="00BC1FE6"/>
    <w:rsid w:val="00BC38B7"/>
    <w:rsid w:val="00BC796B"/>
    <w:rsid w:val="00BF0107"/>
    <w:rsid w:val="00C061B6"/>
    <w:rsid w:val="00C12910"/>
    <w:rsid w:val="00C2446C"/>
    <w:rsid w:val="00C36AE5"/>
    <w:rsid w:val="00C41F17"/>
    <w:rsid w:val="00C5199F"/>
    <w:rsid w:val="00C527FA"/>
    <w:rsid w:val="00C5280D"/>
    <w:rsid w:val="00C53EB3"/>
    <w:rsid w:val="00C5610C"/>
    <w:rsid w:val="00C56EC5"/>
    <w:rsid w:val="00C5791C"/>
    <w:rsid w:val="00C66290"/>
    <w:rsid w:val="00C720C0"/>
    <w:rsid w:val="00C72B7A"/>
    <w:rsid w:val="00C82EB4"/>
    <w:rsid w:val="00C973F2"/>
    <w:rsid w:val="00CA304C"/>
    <w:rsid w:val="00CA774A"/>
    <w:rsid w:val="00CB4921"/>
    <w:rsid w:val="00CC11B0"/>
    <w:rsid w:val="00CC2841"/>
    <w:rsid w:val="00CC5D3C"/>
    <w:rsid w:val="00CD30A3"/>
    <w:rsid w:val="00CD680A"/>
    <w:rsid w:val="00CF1330"/>
    <w:rsid w:val="00CF7E36"/>
    <w:rsid w:val="00D3708D"/>
    <w:rsid w:val="00D40426"/>
    <w:rsid w:val="00D42D16"/>
    <w:rsid w:val="00D538CB"/>
    <w:rsid w:val="00D57C96"/>
    <w:rsid w:val="00D57D18"/>
    <w:rsid w:val="00D615F9"/>
    <w:rsid w:val="00D63D9D"/>
    <w:rsid w:val="00D65C3A"/>
    <w:rsid w:val="00D70349"/>
    <w:rsid w:val="00D70E65"/>
    <w:rsid w:val="00D71179"/>
    <w:rsid w:val="00D80C90"/>
    <w:rsid w:val="00D81A50"/>
    <w:rsid w:val="00D91203"/>
    <w:rsid w:val="00D92E09"/>
    <w:rsid w:val="00D95017"/>
    <w:rsid w:val="00D95174"/>
    <w:rsid w:val="00DA4973"/>
    <w:rsid w:val="00DA6F36"/>
    <w:rsid w:val="00DB2AF6"/>
    <w:rsid w:val="00DB596E"/>
    <w:rsid w:val="00DB7773"/>
    <w:rsid w:val="00DC00EA"/>
    <w:rsid w:val="00DC3802"/>
    <w:rsid w:val="00DD6208"/>
    <w:rsid w:val="00DF7E99"/>
    <w:rsid w:val="00E07D87"/>
    <w:rsid w:val="00E10F3C"/>
    <w:rsid w:val="00E249C8"/>
    <w:rsid w:val="00E316D2"/>
    <w:rsid w:val="00E32F7E"/>
    <w:rsid w:val="00E5267B"/>
    <w:rsid w:val="00E559F0"/>
    <w:rsid w:val="00E570E2"/>
    <w:rsid w:val="00E63C0E"/>
    <w:rsid w:val="00E72D49"/>
    <w:rsid w:val="00E7593C"/>
    <w:rsid w:val="00E7678A"/>
    <w:rsid w:val="00E935F1"/>
    <w:rsid w:val="00E94A81"/>
    <w:rsid w:val="00EA17EA"/>
    <w:rsid w:val="00EA1B55"/>
    <w:rsid w:val="00EA1FFB"/>
    <w:rsid w:val="00EB048E"/>
    <w:rsid w:val="00EB4E9C"/>
    <w:rsid w:val="00EE34DF"/>
    <w:rsid w:val="00EF2F89"/>
    <w:rsid w:val="00F01A03"/>
    <w:rsid w:val="00F03E98"/>
    <w:rsid w:val="00F1237A"/>
    <w:rsid w:val="00F17ACF"/>
    <w:rsid w:val="00F22CBD"/>
    <w:rsid w:val="00F272F1"/>
    <w:rsid w:val="00F31412"/>
    <w:rsid w:val="00F34014"/>
    <w:rsid w:val="00F44BF1"/>
    <w:rsid w:val="00F45372"/>
    <w:rsid w:val="00F52D96"/>
    <w:rsid w:val="00F55F8E"/>
    <w:rsid w:val="00F560F7"/>
    <w:rsid w:val="00F6334D"/>
    <w:rsid w:val="00F63599"/>
    <w:rsid w:val="00F71781"/>
    <w:rsid w:val="00F776AD"/>
    <w:rsid w:val="00F86938"/>
    <w:rsid w:val="00FA49AB"/>
    <w:rsid w:val="00FA5F59"/>
    <w:rsid w:val="00FC5FD0"/>
    <w:rsid w:val="00FD378B"/>
    <w:rsid w:val="00FE39C7"/>
    <w:rsid w:val="00FF2B7B"/>
    <w:rsid w:val="00FF4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862D2"/>
  <w15:docId w15:val="{F9A3402E-B5C5-4CC0-A548-8B869F72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BB64CB"/>
    <w:pPr>
      <w:keepNext/>
      <w:jc w:val="both"/>
      <w:outlineLvl w:val="0"/>
    </w:pPr>
    <w:rPr>
      <w:rFonts w:ascii="Arial" w:hAnsi="Arial"/>
      <w:caps/>
      <w:lang w:val="en-GB"/>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link w:val="plcountryChar"/>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styleId="ListParagraph">
    <w:name w:val="List Paragraph"/>
    <w:basedOn w:val="Normal"/>
    <w:uiPriority w:val="34"/>
    <w:qFormat/>
    <w:rsid w:val="004C70E6"/>
    <w:pPr>
      <w:ind w:left="720"/>
      <w:contextualSpacing/>
    </w:pPr>
  </w:style>
  <w:style w:type="character" w:customStyle="1" w:styleId="Heading1Char">
    <w:name w:val="Heading 1 Char"/>
    <w:basedOn w:val="DefaultParagraphFont"/>
    <w:link w:val="Heading1"/>
    <w:rsid w:val="0046395C"/>
    <w:rPr>
      <w:rFonts w:ascii="Arial" w:hAnsi="Arial"/>
      <w:caps/>
      <w:lang w:val="en-GB"/>
    </w:rPr>
  </w:style>
  <w:style w:type="table" w:styleId="TableGrid">
    <w:name w:val="Table Grid"/>
    <w:basedOn w:val="TableNormal"/>
    <w:rsid w:val="006C1E6A"/>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detailsChar">
    <w:name w:val="pldetails Char"/>
    <w:link w:val="pldetails"/>
    <w:locked/>
    <w:rsid w:val="00AC0AA9"/>
    <w:rPr>
      <w:rFonts w:ascii="Arial" w:hAnsi="Arial"/>
      <w:noProof/>
      <w:snapToGrid w:val="0"/>
    </w:rPr>
  </w:style>
  <w:style w:type="character" w:customStyle="1" w:styleId="plcountryChar">
    <w:name w:val="plcountry Char"/>
    <w:basedOn w:val="DefaultParagraphFont"/>
    <w:link w:val="plcountry"/>
    <w:rsid w:val="00AC0AA9"/>
    <w:rPr>
      <w:rFonts w:ascii="Arial" w:hAnsi="Arial"/>
      <w:caps/>
      <w:noProof/>
      <w:snapToGrid w:val="0"/>
      <w:u w:val="single"/>
    </w:rPr>
  </w:style>
  <w:style w:type="character" w:customStyle="1" w:styleId="ui-provider">
    <w:name w:val="ui-provider"/>
    <w:basedOn w:val="DefaultParagraphFont"/>
    <w:rsid w:val="00AC0AA9"/>
  </w:style>
  <w:style w:type="paragraph" w:styleId="Revision">
    <w:name w:val="Revision"/>
    <w:hidden/>
    <w:uiPriority w:val="99"/>
    <w:semiHidden/>
    <w:rsid w:val="005E232D"/>
    <w:rPr>
      <w:rFonts w:ascii="Arial" w:hAnsi="Arial"/>
    </w:rPr>
  </w:style>
  <w:style w:type="character" w:customStyle="1" w:styleId="HeaderChar">
    <w:name w:val="Header Char"/>
    <w:basedOn w:val="DefaultParagraphFont"/>
    <w:link w:val="Header"/>
    <w:rsid w:val="00316C48"/>
    <w:rPr>
      <w:rFonts w:ascii="Arial" w:hAnsi="Arial"/>
      <w:lang w:val="fr-FR"/>
    </w:rPr>
  </w:style>
  <w:style w:type="character" w:styleId="UnresolvedMention">
    <w:name w:val="Unresolved Mention"/>
    <w:basedOn w:val="DefaultParagraphFont"/>
    <w:uiPriority w:val="99"/>
    <w:semiHidden/>
    <w:unhideWhenUsed/>
    <w:rsid w:val="009125A5"/>
    <w:rPr>
      <w:color w:val="605E5C"/>
      <w:shd w:val="clear" w:color="auto" w:fill="E1DFDD"/>
    </w:rPr>
  </w:style>
  <w:style w:type="character" w:styleId="FollowedHyperlink">
    <w:name w:val="FollowedHyperlink"/>
    <w:basedOn w:val="DefaultParagraphFont"/>
    <w:semiHidden/>
    <w:unhideWhenUsed/>
    <w:rsid w:val="003E05B1"/>
    <w:rPr>
      <w:color w:val="800080" w:themeColor="followedHyperlink"/>
      <w:u w:val="single"/>
    </w:rPr>
  </w:style>
  <w:style w:type="character" w:styleId="CommentReference">
    <w:name w:val="annotation reference"/>
    <w:basedOn w:val="DefaultParagraphFont"/>
    <w:semiHidden/>
    <w:unhideWhenUsed/>
    <w:rsid w:val="00976C38"/>
    <w:rPr>
      <w:sz w:val="16"/>
      <w:szCs w:val="16"/>
    </w:rPr>
  </w:style>
  <w:style w:type="paragraph" w:styleId="CommentText">
    <w:name w:val="annotation text"/>
    <w:basedOn w:val="Normal"/>
    <w:link w:val="CommentTextChar"/>
    <w:unhideWhenUsed/>
    <w:rsid w:val="00976C38"/>
  </w:style>
  <w:style w:type="character" w:customStyle="1" w:styleId="CommentTextChar">
    <w:name w:val="Comment Text Char"/>
    <w:basedOn w:val="DefaultParagraphFont"/>
    <w:link w:val="CommentText"/>
    <w:rsid w:val="00976C38"/>
    <w:rPr>
      <w:rFonts w:ascii="Arial" w:hAnsi="Arial"/>
    </w:rPr>
  </w:style>
  <w:style w:type="paragraph" w:styleId="CommentSubject">
    <w:name w:val="annotation subject"/>
    <w:basedOn w:val="CommentText"/>
    <w:next w:val="CommentText"/>
    <w:link w:val="CommentSubjectChar"/>
    <w:semiHidden/>
    <w:unhideWhenUsed/>
    <w:rsid w:val="00976C38"/>
    <w:rPr>
      <w:b/>
      <w:bCs/>
    </w:rPr>
  </w:style>
  <w:style w:type="character" w:customStyle="1" w:styleId="CommentSubjectChar">
    <w:name w:val="Comment Subject Char"/>
    <w:basedOn w:val="CommentTextChar"/>
    <w:link w:val="CommentSubject"/>
    <w:semiHidden/>
    <w:rsid w:val="00976C3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7276">
      <w:bodyDiv w:val="1"/>
      <w:marLeft w:val="0"/>
      <w:marRight w:val="0"/>
      <w:marTop w:val="0"/>
      <w:marBottom w:val="0"/>
      <w:divBdr>
        <w:top w:val="none" w:sz="0" w:space="0" w:color="auto"/>
        <w:left w:val="none" w:sz="0" w:space="0" w:color="auto"/>
        <w:bottom w:val="none" w:sz="0" w:space="0" w:color="auto"/>
        <w:right w:val="none" w:sz="0" w:space="0" w:color="auto"/>
      </w:divBdr>
    </w:div>
    <w:div w:id="670915169">
      <w:bodyDiv w:val="1"/>
      <w:marLeft w:val="0"/>
      <w:marRight w:val="0"/>
      <w:marTop w:val="0"/>
      <w:marBottom w:val="0"/>
      <w:divBdr>
        <w:top w:val="none" w:sz="0" w:space="0" w:color="auto"/>
        <w:left w:val="none" w:sz="0" w:space="0" w:color="auto"/>
        <w:bottom w:val="none" w:sz="0" w:space="0" w:color="auto"/>
        <w:right w:val="none" w:sz="0" w:space="0" w:color="auto"/>
      </w:divBdr>
    </w:div>
    <w:div w:id="853768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1\OrgUPOV\Shared\Document\Ad%20hoc%20Working%20Groups\WG-HRV\WG-HRV_6_October_22_2024\templates\wg_hrv_6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B79D-C0CD-49A8-938E-8CAB423A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wg_hrv_6_EN.dotx</Template>
  <TotalTime>14</TotalTime>
  <Pages>4</Pages>
  <Words>1062</Words>
  <Characters>5578</Characters>
  <Application>Microsoft Office Word</Application>
  <DocSecurity>0</DocSecurity>
  <Lines>121</Lines>
  <Paragraphs>44</Paragraphs>
  <ScaleCrop>false</ScaleCrop>
  <HeadingPairs>
    <vt:vector size="2" baseType="variant">
      <vt:variant>
        <vt:lpstr>Title</vt:lpstr>
      </vt:variant>
      <vt:variant>
        <vt:i4>1</vt:i4>
      </vt:variant>
    </vt:vector>
  </HeadingPairs>
  <TitlesOfParts>
    <vt:vector size="1" baseType="lpstr">
      <vt:lpstr>WG-HRV/6</vt:lpstr>
    </vt:vector>
  </TitlesOfParts>
  <Company>UPOV</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WG-HRV/8</dc:title>
  <dc:creator>NICOLO Laurianne</dc:creator>
  <cp:keywords>, docId:3668AAA8CDF6246AD6BF15F379377EE2</cp:keywords>
  <cp:lastModifiedBy>NICOLO Laurianne</cp:lastModifiedBy>
  <cp:revision>7</cp:revision>
  <cp:lastPrinted>2025-05-13T13:15:00Z</cp:lastPrinted>
  <dcterms:created xsi:type="dcterms:W3CDTF">2026-02-09T08:25:00Z</dcterms:created>
  <dcterms:modified xsi:type="dcterms:W3CDTF">2026-02-09T08:49:00Z</dcterms:modified>
</cp:coreProperties>
</file>