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3F379F94" w14:textId="77777777" w:rsidTr="00EB4E9C">
        <w:tc>
          <w:tcPr>
            <w:tcW w:w="6522" w:type="dxa"/>
          </w:tcPr>
          <w:p w14:paraId="542E95D3" w14:textId="3F8FB55D" w:rsidR="00DC3802" w:rsidRPr="00AC2883" w:rsidRDefault="0067333B" w:rsidP="00AC2883">
            <w:r>
              <w:rPr>
                <w:noProof/>
                <w:sz w:val="16"/>
              </w:rPr>
              <w:drawing>
                <wp:inline distT="0" distB="0" distL="0" distR="0" wp14:anchorId="072D7A25" wp14:editId="76B38A3F">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1A36B12C" w14:textId="4982F504" w:rsidR="00DC3802" w:rsidRPr="007C1D92" w:rsidRDefault="00977881" w:rsidP="00AC2883">
            <w:pPr>
              <w:pStyle w:val="Lettrine"/>
            </w:pPr>
            <w:r>
              <w:t>F</w:t>
            </w:r>
          </w:p>
        </w:tc>
      </w:tr>
      <w:tr w:rsidR="00DC3802" w:rsidRPr="00977881" w14:paraId="6BF3292A" w14:textId="77777777" w:rsidTr="00645CA8">
        <w:trPr>
          <w:trHeight w:val="219"/>
        </w:trPr>
        <w:tc>
          <w:tcPr>
            <w:tcW w:w="6522" w:type="dxa"/>
          </w:tcPr>
          <w:p w14:paraId="53F1CC41" w14:textId="77777777" w:rsidR="00DC3802" w:rsidRPr="00977881" w:rsidRDefault="00DC3802" w:rsidP="00AC2883">
            <w:pPr>
              <w:pStyle w:val="upove"/>
              <w:rPr>
                <w:lang w:val="fr-FR"/>
              </w:rPr>
            </w:pPr>
            <w:r w:rsidRPr="00977881">
              <w:rPr>
                <w:lang w:val="fr-FR"/>
              </w:rPr>
              <w:t>Union internationale pour la protection des variétés végétales</w:t>
            </w:r>
          </w:p>
        </w:tc>
        <w:tc>
          <w:tcPr>
            <w:tcW w:w="3117" w:type="dxa"/>
          </w:tcPr>
          <w:p w14:paraId="7E35AB22" w14:textId="77777777" w:rsidR="00DC3802" w:rsidRPr="00977881" w:rsidRDefault="00DC3802" w:rsidP="00DA4973">
            <w:pPr>
              <w:rPr>
                <w:lang w:val="fr-FR"/>
              </w:rPr>
            </w:pPr>
          </w:p>
        </w:tc>
      </w:tr>
    </w:tbl>
    <w:p w14:paraId="6A7F2D29" w14:textId="77777777" w:rsidR="00DC3802" w:rsidRPr="00977881" w:rsidRDefault="00DC3802" w:rsidP="00DC3802">
      <w:pPr>
        <w:rPr>
          <w:lang w:val="fr-FR"/>
        </w:rPr>
      </w:pPr>
    </w:p>
    <w:p w14:paraId="2BF4764E" w14:textId="77777777" w:rsidR="0004297B" w:rsidRPr="00977881" w:rsidRDefault="0004297B" w:rsidP="0004297B">
      <w:pPr>
        <w:rPr>
          <w:lang w:val="fr-FR"/>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977881" w14:paraId="58731F60" w14:textId="77777777" w:rsidTr="00EB56DD">
        <w:tc>
          <w:tcPr>
            <w:tcW w:w="6512" w:type="dxa"/>
          </w:tcPr>
          <w:p w14:paraId="7A804327" w14:textId="77777777" w:rsidR="00977881" w:rsidRPr="00977881" w:rsidRDefault="00977881" w:rsidP="00977881">
            <w:pPr>
              <w:pStyle w:val="Sessiontc"/>
              <w:spacing w:line="240" w:lineRule="auto"/>
              <w:rPr>
                <w:lang w:val="fr-FR"/>
              </w:rPr>
            </w:pPr>
            <w:r w:rsidRPr="00977881">
              <w:rPr>
                <w:lang w:val="fr-FR"/>
              </w:rPr>
              <w:t>Groupe de travail sur le produit de la récolte et l’utilisation non autorisée de matériel de reproduction ou de multiplication</w:t>
            </w:r>
          </w:p>
          <w:p w14:paraId="1EEFFEE0" w14:textId="77777777" w:rsidR="00A73882" w:rsidRPr="00977881" w:rsidRDefault="00CD680A" w:rsidP="00A73882">
            <w:pPr>
              <w:pStyle w:val="Sessiontcplacedate"/>
              <w:rPr>
                <w:lang w:val="fr-FR"/>
              </w:rPr>
            </w:pPr>
            <w:r w:rsidRPr="00977881">
              <w:rPr>
                <w:lang w:val="fr-FR"/>
              </w:rPr>
              <w:t xml:space="preserve">Huitième </w:t>
            </w:r>
            <w:r w:rsidR="00A73882" w:rsidRPr="00977881">
              <w:rPr>
                <w:lang w:val="fr-FR"/>
              </w:rPr>
              <w:t>réunion</w:t>
            </w:r>
          </w:p>
          <w:p w14:paraId="7811A4FF" w14:textId="77777777" w:rsidR="0004297B" w:rsidRPr="00977881" w:rsidRDefault="00A73882" w:rsidP="00644B33">
            <w:pPr>
              <w:pStyle w:val="Sessiontcplacedate"/>
              <w:rPr>
                <w:sz w:val="22"/>
                <w:lang w:val="fr-FR"/>
              </w:rPr>
            </w:pPr>
            <w:r w:rsidRPr="00977881">
              <w:rPr>
                <w:lang w:val="fr-FR"/>
              </w:rPr>
              <w:t xml:space="preserve">Genève, </w:t>
            </w:r>
            <w:r w:rsidR="00CD680A" w:rsidRPr="00977881">
              <w:rPr>
                <w:lang w:val="fr-FR"/>
              </w:rPr>
              <w:t>le 22 octobre</w:t>
            </w:r>
            <w:r w:rsidR="00F55A83" w:rsidRPr="00977881">
              <w:rPr>
                <w:lang w:val="fr-FR"/>
              </w:rPr>
              <w:t xml:space="preserve"> 2025</w:t>
            </w:r>
          </w:p>
        </w:tc>
        <w:tc>
          <w:tcPr>
            <w:tcW w:w="3127" w:type="dxa"/>
          </w:tcPr>
          <w:p w14:paraId="57F3D1BB" w14:textId="44497E06" w:rsidR="0004297B" w:rsidRPr="00977881" w:rsidRDefault="00377434" w:rsidP="00EB56DD">
            <w:pPr>
              <w:pStyle w:val="Doccode"/>
              <w:rPr>
                <w:lang w:val="fr-FR"/>
              </w:rPr>
            </w:pPr>
            <w:r w:rsidRPr="00977881">
              <w:rPr>
                <w:lang w:val="fr-FR"/>
              </w:rPr>
              <w:t>WG-HRV/8/2</w:t>
            </w:r>
          </w:p>
          <w:p w14:paraId="3FC1DFF4" w14:textId="77777777" w:rsidR="0004297B" w:rsidRPr="00977881" w:rsidRDefault="0004297B" w:rsidP="00EB56DD">
            <w:pPr>
              <w:pStyle w:val="Doccode"/>
              <w:rPr>
                <w:lang w:val="fr-FR"/>
              </w:rPr>
            </w:pPr>
          </w:p>
          <w:p w14:paraId="0BB9787F" w14:textId="77777777" w:rsidR="0004297B" w:rsidRPr="00977881" w:rsidRDefault="0004297B" w:rsidP="00EB56DD">
            <w:pPr>
              <w:pStyle w:val="Docoriginal"/>
              <w:rPr>
                <w:lang w:val="fr-FR"/>
              </w:rPr>
            </w:pPr>
            <w:r w:rsidRPr="00977881">
              <w:rPr>
                <w:lang w:val="fr-FR"/>
              </w:rPr>
              <w:t xml:space="preserve">Original : </w:t>
            </w:r>
            <w:r w:rsidRPr="00977881">
              <w:rPr>
                <w:b w:val="0"/>
                <w:spacing w:val="0"/>
                <w:lang w:val="fr-FR"/>
              </w:rPr>
              <w:t>anglais</w:t>
            </w:r>
          </w:p>
          <w:p w14:paraId="65506658" w14:textId="506C8430" w:rsidR="0004297B" w:rsidRPr="00977881" w:rsidRDefault="0004297B" w:rsidP="00644B33">
            <w:pPr>
              <w:pStyle w:val="Docoriginal"/>
              <w:rPr>
                <w:lang w:val="fr-FR"/>
              </w:rPr>
            </w:pPr>
            <w:proofErr w:type="gramStart"/>
            <w:r w:rsidRPr="00977881">
              <w:rPr>
                <w:lang w:val="fr-FR"/>
              </w:rPr>
              <w:t>Date:</w:t>
            </w:r>
            <w:proofErr w:type="gramEnd"/>
            <w:r w:rsidRPr="00977881">
              <w:rPr>
                <w:b w:val="0"/>
                <w:spacing w:val="0"/>
                <w:lang w:val="fr-FR"/>
              </w:rPr>
              <w:t xml:space="preserve">  </w:t>
            </w:r>
            <w:r w:rsidR="00F81C35" w:rsidRPr="00977881">
              <w:rPr>
                <w:b w:val="0"/>
                <w:spacing w:val="0"/>
                <w:lang w:val="fr-FR"/>
              </w:rPr>
              <w:t xml:space="preserve"> 24 </w:t>
            </w:r>
            <w:r w:rsidR="0091516F" w:rsidRPr="00977881">
              <w:rPr>
                <w:b w:val="0"/>
                <w:spacing w:val="0"/>
                <w:lang w:val="fr-FR"/>
              </w:rPr>
              <w:t>septembre</w:t>
            </w:r>
            <w:r w:rsidR="00D33FB4" w:rsidRPr="00977881">
              <w:rPr>
                <w:b w:val="0"/>
                <w:spacing w:val="0"/>
                <w:lang w:val="fr-FR"/>
              </w:rPr>
              <w:t xml:space="preserve"> 2025</w:t>
            </w:r>
          </w:p>
        </w:tc>
      </w:tr>
    </w:tbl>
    <w:p w14:paraId="538784CF" w14:textId="4E20C936" w:rsidR="0004297B" w:rsidRPr="00977881" w:rsidRDefault="00CB7609" w:rsidP="0004297B">
      <w:pPr>
        <w:pStyle w:val="Titleofdoc0"/>
        <w:rPr>
          <w:lang w:val="fr-FR"/>
        </w:rPr>
      </w:pPr>
      <w:r w:rsidRPr="00CB7609">
        <w:rPr>
          <w:lang w:val="fr-FR"/>
        </w:rPr>
        <w:t>Étude sur l’“Étendue du droit d’obtenteur” et le rapport avec l’“Épuisement du droit d’obtenteur”</w:t>
      </w:r>
    </w:p>
    <w:p w14:paraId="10FED85D" w14:textId="77777777" w:rsidR="0004297B" w:rsidRPr="00977881" w:rsidRDefault="0004297B" w:rsidP="0004297B">
      <w:pPr>
        <w:pStyle w:val="preparedby1"/>
        <w:jc w:val="left"/>
        <w:rPr>
          <w:lang w:val="fr-FR"/>
        </w:rPr>
      </w:pPr>
      <w:r w:rsidRPr="00977881">
        <w:rPr>
          <w:lang w:val="fr-FR"/>
        </w:rPr>
        <w:t>Document préparé par le Bureau de l’Union</w:t>
      </w:r>
    </w:p>
    <w:p w14:paraId="31F1F5AF" w14:textId="77777777" w:rsidR="00977881" w:rsidRPr="00053184" w:rsidRDefault="00977881" w:rsidP="00977881">
      <w:pPr>
        <w:pStyle w:val="Disclaimer"/>
        <w:rPr>
          <w:lang w:val="fr-CH"/>
        </w:rPr>
      </w:pPr>
      <w:r w:rsidRPr="00053184">
        <w:rPr>
          <w:lang w:val="fr-CH"/>
        </w:rPr>
        <w:t>Avertissement : le présent document ne représente pas les principes ou les orientations de l’UPOV.</w:t>
      </w:r>
      <w:r>
        <w:rPr>
          <w:lang w:val="fr-CH"/>
        </w:rPr>
        <w:br/>
      </w:r>
      <w:r>
        <w:rPr>
          <w:lang w:val="fr-CH"/>
        </w:rPr>
        <w:br/>
      </w:r>
      <w:r w:rsidRPr="00053184">
        <w:rPr>
          <w:lang w:val="fr-CH"/>
        </w:rPr>
        <w:t>Ce document a été généré à l'aide d'une traduction automatique dont l'exactitude ne peut être garantie. Par conséquent, le texte dans la langue originale est la seule version authentique.</w:t>
      </w:r>
    </w:p>
    <w:p w14:paraId="54C42C18" w14:textId="728010C9" w:rsidR="00E727A5" w:rsidRPr="00977881" w:rsidRDefault="00E727A5" w:rsidP="006C6976">
      <w:pPr>
        <w:pStyle w:val="Heading1"/>
        <w:rPr>
          <w:rFonts w:cs="Times New Roman"/>
          <w:lang w:val="fr-FR"/>
        </w:rPr>
      </w:pPr>
      <w:r w:rsidRPr="00977881">
        <w:rPr>
          <w:lang w:val="fr-FR"/>
        </w:rPr>
        <w:t>CONTEXTE</w:t>
      </w:r>
    </w:p>
    <w:p w14:paraId="1A7B53BE" w14:textId="77777777" w:rsidR="00E727A5" w:rsidRPr="00977881" w:rsidRDefault="00E727A5" w:rsidP="00D33FB4">
      <w:pPr>
        <w:rPr>
          <w:rFonts w:cs="Arial"/>
          <w:lang w:val="fr-FR"/>
        </w:rPr>
      </w:pPr>
    </w:p>
    <w:p w14:paraId="6F4D10CC" w14:textId="6A8A8E5A" w:rsidR="00D33FB4" w:rsidRPr="00977881" w:rsidRDefault="00D33FB4" w:rsidP="008D204F">
      <w:pPr>
        <w:rPr>
          <w:rFonts w:cs="Arial"/>
          <w:lang w:val="fr-FR"/>
        </w:rPr>
      </w:pPr>
      <w:r w:rsidRPr="00416F54">
        <w:rPr>
          <w:rFonts w:cs="Arial"/>
        </w:rPr>
        <w:fldChar w:fldCharType="begin"/>
      </w:r>
      <w:r w:rsidRPr="00977881">
        <w:rPr>
          <w:rFonts w:cs="Arial"/>
          <w:lang w:val="fr-FR"/>
        </w:rPr>
        <w:instrText xml:space="preserve"> AUTONUM  </w:instrText>
      </w:r>
      <w:r w:rsidRPr="00416F54">
        <w:rPr>
          <w:rFonts w:cs="Arial"/>
        </w:rPr>
        <w:fldChar w:fldCharType="end"/>
      </w:r>
      <w:r w:rsidRPr="00977881">
        <w:rPr>
          <w:rFonts w:cs="Arial"/>
          <w:lang w:val="fr-FR"/>
        </w:rPr>
        <w:tab/>
        <w:t xml:space="preserve">Le présent document a pour objet d'inviter le Groupe de travail sur le produit de la récolte et l'utilisation non autorisée de matériel de reproduction ou de multiplication (WG-HRV) à prendre note du </w:t>
      </w:r>
      <w:r w:rsidR="00D26695" w:rsidRPr="00977881">
        <w:rPr>
          <w:rFonts w:cs="Arial"/>
          <w:lang w:val="fr-FR"/>
        </w:rPr>
        <w:t xml:space="preserve">projet </w:t>
      </w:r>
      <w:r w:rsidR="006840D7" w:rsidRPr="00977881">
        <w:rPr>
          <w:rFonts w:cs="Arial"/>
          <w:lang w:val="fr-FR"/>
        </w:rPr>
        <w:t>d'étude des auteurs</w:t>
      </w:r>
      <w:r w:rsidR="00CB7609" w:rsidRPr="00CB7609">
        <w:rPr>
          <w:rFonts w:cs="Arial"/>
          <w:lang w:val="fr-FR"/>
        </w:rPr>
        <w:t xml:space="preserve"> sur l’“Étendue du droit d’obtenteur” et le rapport avec l’“Épuisement du droit d’obtenteur”</w:t>
      </w:r>
    </w:p>
    <w:p w14:paraId="7A8A45C3" w14:textId="77777777" w:rsidR="00D33FB4" w:rsidRPr="00977881" w:rsidRDefault="00D33FB4" w:rsidP="008D204F">
      <w:pPr>
        <w:rPr>
          <w:lang w:val="fr-FR"/>
        </w:rPr>
      </w:pPr>
    </w:p>
    <w:p w14:paraId="25A33A29" w14:textId="4CD7B649" w:rsidR="00D33FB4" w:rsidRPr="00977881" w:rsidRDefault="00D33FB4" w:rsidP="008D204F">
      <w:pPr>
        <w:rPr>
          <w:lang w:val="fr-FR"/>
        </w:rPr>
      </w:pPr>
      <w:r>
        <w:fldChar w:fldCharType="begin"/>
      </w:r>
      <w:r w:rsidRPr="00977881">
        <w:rPr>
          <w:lang w:val="fr-FR"/>
        </w:rPr>
        <w:instrText xml:space="preserve"> AUTONUM  </w:instrText>
      </w:r>
      <w:r>
        <w:fldChar w:fldCharType="end"/>
      </w:r>
      <w:r w:rsidRPr="00977881">
        <w:rPr>
          <w:lang w:val="fr-FR"/>
        </w:rPr>
        <w:tab/>
        <w:t xml:space="preserve">Ce </w:t>
      </w:r>
      <w:r w:rsidR="00D26695" w:rsidRPr="00977881">
        <w:rPr>
          <w:lang w:val="fr-FR"/>
        </w:rPr>
        <w:t xml:space="preserve">projet </w:t>
      </w:r>
      <w:r w:rsidR="006840D7" w:rsidRPr="00977881">
        <w:rPr>
          <w:lang w:val="fr-FR"/>
        </w:rPr>
        <w:t xml:space="preserve">d'étude </w:t>
      </w:r>
      <w:r w:rsidRPr="00977881">
        <w:rPr>
          <w:lang w:val="fr-FR"/>
        </w:rPr>
        <w:t xml:space="preserve">fourni par les auteurs est reproduit à l'annexe I du présent document. </w:t>
      </w:r>
      <w:bookmarkStart w:id="0" w:name="_Hlk209444584"/>
    </w:p>
    <w:bookmarkEnd w:id="0"/>
    <w:p w14:paraId="62683BA8" w14:textId="77777777" w:rsidR="00D33FB4" w:rsidRPr="00977881" w:rsidRDefault="00D33FB4" w:rsidP="008D204F">
      <w:pPr>
        <w:rPr>
          <w:color w:val="262626"/>
          <w:lang w:val="fr-FR"/>
        </w:rPr>
      </w:pPr>
    </w:p>
    <w:p w14:paraId="634C6003" w14:textId="6083FC91" w:rsidR="00D33FB4" w:rsidRPr="00977881" w:rsidRDefault="00D33FB4" w:rsidP="008D204F">
      <w:pPr>
        <w:rPr>
          <w:lang w:val="fr-FR"/>
        </w:rPr>
      </w:pPr>
      <w:r>
        <w:rPr>
          <w:lang w:val="en-GB"/>
        </w:rPr>
        <w:fldChar w:fldCharType="begin"/>
      </w:r>
      <w:r w:rsidRPr="00977881">
        <w:rPr>
          <w:lang w:val="fr-FR"/>
        </w:rPr>
        <w:instrText xml:space="preserve"> AUTONUM  </w:instrText>
      </w:r>
      <w:r>
        <w:rPr>
          <w:lang w:val="en-GB"/>
        </w:rPr>
        <w:fldChar w:fldCharType="end"/>
      </w:r>
      <w:r w:rsidRPr="00977881">
        <w:rPr>
          <w:lang w:val="fr-FR"/>
        </w:rPr>
        <w:tab/>
        <w:t>Lors de sa sixième réunion</w:t>
      </w:r>
      <w:r>
        <w:rPr>
          <w:rStyle w:val="FootnoteReference"/>
          <w:color w:val="262626"/>
        </w:rPr>
        <w:footnoteReference w:id="2"/>
      </w:r>
      <w:r w:rsidRPr="00977881">
        <w:rPr>
          <w:lang w:val="fr-FR"/>
        </w:rPr>
        <w:t>, le WG-HRV a convenu que le rapport final serait attendu pour le 1er septembre 2025, comme indiqué dans le mandat.</w:t>
      </w:r>
    </w:p>
    <w:p w14:paraId="040C4369" w14:textId="77777777" w:rsidR="00D33FB4" w:rsidRPr="00977881" w:rsidRDefault="00D33FB4" w:rsidP="008D204F">
      <w:pPr>
        <w:rPr>
          <w:lang w:val="fr-FR"/>
        </w:rPr>
      </w:pPr>
    </w:p>
    <w:p w14:paraId="332E0867" w14:textId="5098CCBD" w:rsidR="00F019EE" w:rsidRPr="00977881" w:rsidRDefault="00F019EE" w:rsidP="008D204F">
      <w:pPr>
        <w:rPr>
          <w:lang w:val="fr-FR"/>
        </w:rPr>
      </w:pPr>
      <w:r>
        <w:rPr>
          <w:lang w:val="en-GB"/>
        </w:rPr>
        <w:fldChar w:fldCharType="begin"/>
      </w:r>
      <w:r w:rsidRPr="00977881">
        <w:rPr>
          <w:lang w:val="fr-FR"/>
        </w:rPr>
        <w:instrText xml:space="preserve"> AUTONUM  </w:instrText>
      </w:r>
      <w:r>
        <w:rPr>
          <w:lang w:val="en-GB"/>
        </w:rPr>
        <w:fldChar w:fldCharType="end"/>
      </w:r>
      <w:r w:rsidRPr="00977881">
        <w:rPr>
          <w:lang w:val="fr-FR"/>
        </w:rPr>
        <w:tab/>
        <w:t>Le mandat mentionne que ce délai pourrait être prolongé à la demande des auteurs.</w:t>
      </w:r>
    </w:p>
    <w:p w14:paraId="48CF9334" w14:textId="77777777" w:rsidR="00F019EE" w:rsidRPr="00977881" w:rsidRDefault="00F019EE" w:rsidP="008D204F">
      <w:pPr>
        <w:rPr>
          <w:lang w:val="fr-FR"/>
        </w:rPr>
      </w:pPr>
    </w:p>
    <w:p w14:paraId="1A9BE146" w14:textId="47F1B1EC" w:rsidR="007A67D1" w:rsidRPr="00977881" w:rsidRDefault="00F019EE" w:rsidP="008D204F">
      <w:pPr>
        <w:rPr>
          <w:lang w:val="fr-FR"/>
        </w:rPr>
      </w:pPr>
      <w:r>
        <w:rPr>
          <w:lang w:val="en-GB"/>
        </w:rPr>
        <w:fldChar w:fldCharType="begin"/>
      </w:r>
      <w:r w:rsidRPr="00977881">
        <w:rPr>
          <w:lang w:val="fr-FR"/>
        </w:rPr>
        <w:instrText xml:space="preserve"> AUTONUM  </w:instrText>
      </w:r>
      <w:r>
        <w:rPr>
          <w:lang w:val="en-GB"/>
        </w:rPr>
        <w:fldChar w:fldCharType="end"/>
      </w:r>
      <w:r w:rsidRPr="00977881">
        <w:rPr>
          <w:lang w:val="fr-FR"/>
        </w:rPr>
        <w:tab/>
      </w:r>
      <w:bookmarkStart w:id="1" w:name="_Hlk209533210"/>
      <w:r w:rsidRPr="00977881">
        <w:rPr>
          <w:lang w:val="fr-FR"/>
        </w:rPr>
        <w:t>Par la circulaire</w:t>
      </w:r>
      <w:bookmarkStart w:id="2" w:name="_Hlk209444619"/>
      <w:r w:rsidR="007A67D1" w:rsidRPr="00977881">
        <w:rPr>
          <w:lang w:val="fr-FR"/>
        </w:rPr>
        <w:t xml:space="preserve"> E-25/053</w:t>
      </w:r>
      <w:bookmarkEnd w:id="2"/>
      <w:r w:rsidRPr="00977881">
        <w:rPr>
          <w:lang w:val="fr-FR"/>
        </w:rPr>
        <w:t xml:space="preserve"> du</w:t>
      </w:r>
      <w:r w:rsidR="007A67D1" w:rsidRPr="00977881">
        <w:rPr>
          <w:lang w:val="fr-FR"/>
        </w:rPr>
        <w:t xml:space="preserve"> 11 septembre</w:t>
      </w:r>
      <w:r w:rsidRPr="00977881">
        <w:rPr>
          <w:lang w:val="fr-FR"/>
        </w:rPr>
        <w:t xml:space="preserve"> 2025, le WG-HRV a été informé que les auteurs de l'étude avaient demandé de reporter la date de remise du rapport final au 15 décembre 2025, </w:t>
      </w:r>
      <w:r w:rsidR="007A67D1" w:rsidRPr="00977881">
        <w:rPr>
          <w:lang w:val="fr-FR"/>
        </w:rPr>
        <w:t xml:space="preserve">car la portée de l'étude, en particulier l'examen de l'historique de l'élaboration </w:t>
      </w:r>
      <w:r w:rsidR="00BE33F3" w:rsidRPr="00977881">
        <w:rPr>
          <w:lang w:val="fr-FR"/>
        </w:rPr>
        <w:t>des articles</w:t>
      </w:r>
      <w:r w:rsidR="007A67D1" w:rsidRPr="00977881">
        <w:rPr>
          <w:lang w:val="fr-FR"/>
        </w:rPr>
        <w:t xml:space="preserve"> 14 et 16 de l'Acte de 1991, était vaste et que la collecte et l'analyse des données nécessitaient plus de temps que prévu initialement.</w:t>
      </w:r>
      <w:bookmarkEnd w:id="1"/>
    </w:p>
    <w:p w14:paraId="136F6932" w14:textId="77777777" w:rsidR="0004297B" w:rsidRPr="00977881" w:rsidRDefault="0004297B" w:rsidP="0004297B">
      <w:pPr>
        <w:rPr>
          <w:lang w:val="fr-FR"/>
        </w:rPr>
      </w:pPr>
    </w:p>
    <w:p w14:paraId="12E04540" w14:textId="77777777" w:rsidR="00D33FB4" w:rsidRPr="00977881" w:rsidRDefault="00D33FB4" w:rsidP="00D33FB4">
      <w:pPr>
        <w:rPr>
          <w:lang w:val="fr-FR"/>
        </w:rPr>
      </w:pPr>
    </w:p>
    <w:p w14:paraId="40CD7068" w14:textId="224D729A" w:rsidR="00D33FB4" w:rsidRPr="00977881" w:rsidRDefault="00D33FB4" w:rsidP="00D33FB4">
      <w:pPr>
        <w:rPr>
          <w:lang w:val="fr-FR"/>
        </w:rPr>
      </w:pPr>
      <w:r w:rsidRPr="00977881">
        <w:rPr>
          <w:lang w:val="fr-FR"/>
        </w:rPr>
        <w:t>PRÉSENTATION DES AUTEURS LORS DE LA RÉUNION DU</w:t>
      </w:r>
      <w:r w:rsidR="00F019EE" w:rsidRPr="00977881">
        <w:rPr>
          <w:lang w:val="fr-FR"/>
        </w:rPr>
        <w:t xml:space="preserve"> 22 OCTOBRE</w:t>
      </w:r>
      <w:r w:rsidRPr="00977881">
        <w:rPr>
          <w:lang w:val="fr-FR"/>
        </w:rPr>
        <w:t xml:space="preserve"> 2025</w:t>
      </w:r>
    </w:p>
    <w:p w14:paraId="245E1C8D" w14:textId="77777777" w:rsidR="00D33FB4" w:rsidRPr="00977881" w:rsidRDefault="00D33FB4" w:rsidP="00D33FB4">
      <w:pPr>
        <w:rPr>
          <w:lang w:val="fr-FR"/>
        </w:rPr>
      </w:pPr>
    </w:p>
    <w:p w14:paraId="497A0DBC" w14:textId="427D39C4" w:rsidR="00D33FB4" w:rsidRPr="00977881" w:rsidRDefault="00D33FB4" w:rsidP="00D33FB4">
      <w:pPr>
        <w:rPr>
          <w:lang w:val="fr-FR"/>
        </w:rPr>
      </w:pPr>
      <w:r>
        <w:fldChar w:fldCharType="begin"/>
      </w:r>
      <w:r w:rsidRPr="00977881">
        <w:rPr>
          <w:lang w:val="fr-FR"/>
        </w:rPr>
        <w:instrText xml:space="preserve"> AUTONUM  </w:instrText>
      </w:r>
      <w:r>
        <w:fldChar w:fldCharType="end"/>
      </w:r>
      <w:r w:rsidRPr="00977881">
        <w:rPr>
          <w:lang w:val="fr-FR"/>
        </w:rPr>
        <w:tab/>
        <w:t xml:space="preserve">Les auteurs </w:t>
      </w:r>
      <w:r w:rsidR="007A67D1" w:rsidRPr="00977881">
        <w:rPr>
          <w:lang w:val="fr-FR"/>
        </w:rPr>
        <w:t xml:space="preserve">présenteront un projet d'étude lors de la huitième réunion du WG-HRV, le 22 octobre 2025, en personne. </w:t>
      </w:r>
      <w:r w:rsidR="00CB7609">
        <w:rPr>
          <w:lang w:val="fr-FR"/>
        </w:rPr>
        <w:t xml:space="preserve"> </w:t>
      </w:r>
      <w:r w:rsidR="007A67D1" w:rsidRPr="00977881">
        <w:rPr>
          <w:lang w:val="fr-FR"/>
        </w:rPr>
        <w:t xml:space="preserve">Ce </w:t>
      </w:r>
      <w:r w:rsidR="00BE33F3" w:rsidRPr="00977881">
        <w:rPr>
          <w:lang w:val="fr-FR"/>
        </w:rPr>
        <w:t xml:space="preserve">projet d'étude </w:t>
      </w:r>
      <w:r w:rsidR="007A67D1" w:rsidRPr="00977881">
        <w:rPr>
          <w:lang w:val="fr-FR"/>
        </w:rPr>
        <w:t xml:space="preserve">est </w:t>
      </w:r>
      <w:r w:rsidRPr="00977881">
        <w:rPr>
          <w:lang w:val="fr-FR"/>
        </w:rPr>
        <w:t xml:space="preserve">reproduit à l'annexe I </w:t>
      </w:r>
      <w:r w:rsidR="006840D7" w:rsidRPr="00977881">
        <w:rPr>
          <w:lang w:val="fr-FR"/>
        </w:rPr>
        <w:t xml:space="preserve">du </w:t>
      </w:r>
      <w:r w:rsidRPr="00977881">
        <w:rPr>
          <w:lang w:val="fr-FR"/>
        </w:rPr>
        <w:t xml:space="preserve">présent document.  </w:t>
      </w:r>
    </w:p>
    <w:p w14:paraId="2BEFF08F" w14:textId="77777777" w:rsidR="00561055" w:rsidRPr="00977881" w:rsidRDefault="00561055" w:rsidP="00D33FB4">
      <w:pPr>
        <w:rPr>
          <w:lang w:val="fr-FR"/>
        </w:rPr>
      </w:pPr>
    </w:p>
    <w:p w14:paraId="03EFDB25" w14:textId="2CCC79E4" w:rsidR="00BE33F3" w:rsidRPr="00977881" w:rsidRDefault="00561055" w:rsidP="00BE33F3">
      <w:pPr>
        <w:rPr>
          <w:lang w:val="fr-FR"/>
        </w:rPr>
      </w:pPr>
      <w:r>
        <w:fldChar w:fldCharType="begin"/>
      </w:r>
      <w:r w:rsidRPr="00977881">
        <w:rPr>
          <w:lang w:val="fr-FR"/>
        </w:rPr>
        <w:instrText xml:space="preserve"> AUTONUM  </w:instrText>
      </w:r>
      <w:r>
        <w:fldChar w:fldCharType="end"/>
      </w:r>
      <w:r w:rsidRPr="00977881">
        <w:rPr>
          <w:lang w:val="fr-FR"/>
        </w:rPr>
        <w:tab/>
        <w:t xml:space="preserve">Les auteurs seront prêts à remettre une </w:t>
      </w:r>
      <w:r w:rsidR="00BE33F3" w:rsidRPr="00977881">
        <w:rPr>
          <w:lang w:val="fr-FR"/>
        </w:rPr>
        <w:t>version</w:t>
      </w:r>
      <w:r w:rsidRPr="00977881">
        <w:rPr>
          <w:lang w:val="fr-FR"/>
        </w:rPr>
        <w:t xml:space="preserve"> finale </w:t>
      </w:r>
      <w:r w:rsidR="00BE33F3" w:rsidRPr="00977881">
        <w:rPr>
          <w:lang w:val="fr-FR"/>
        </w:rPr>
        <w:t xml:space="preserve">de </w:t>
      </w:r>
      <w:r w:rsidR="00CB7609" w:rsidRPr="00977881">
        <w:rPr>
          <w:lang w:val="fr-FR"/>
        </w:rPr>
        <w:t>l’étude le</w:t>
      </w:r>
      <w:r w:rsidRPr="00977881">
        <w:rPr>
          <w:lang w:val="fr-FR"/>
        </w:rPr>
        <w:t xml:space="preserve"> 15 décembre 2025 au Bureau de l'Union. </w:t>
      </w:r>
      <w:r w:rsidR="00D3593A" w:rsidRPr="00977881">
        <w:rPr>
          <w:lang w:val="fr-FR"/>
        </w:rPr>
        <w:t xml:space="preserve"> L'étude </w:t>
      </w:r>
      <w:r w:rsidRPr="00977881">
        <w:rPr>
          <w:lang w:val="fr-FR"/>
        </w:rPr>
        <w:t xml:space="preserve">sera mise à la disposition du WG-HRV en janvier 2026, ce qui laissera aux membres le temps d'examiner la </w:t>
      </w:r>
      <w:r w:rsidR="00BE33F3" w:rsidRPr="00977881">
        <w:rPr>
          <w:lang w:val="fr-FR"/>
        </w:rPr>
        <w:t xml:space="preserve">version finale de l'étude </w:t>
      </w:r>
      <w:r w:rsidRPr="00977881">
        <w:rPr>
          <w:lang w:val="fr-FR"/>
        </w:rPr>
        <w:t xml:space="preserve">avant la neuvième réunion du WG-HRV, prévue en mars 2026, à une date qui reste à confirmer. </w:t>
      </w:r>
      <w:r w:rsidR="00CB7609">
        <w:rPr>
          <w:lang w:val="fr-FR"/>
        </w:rPr>
        <w:t xml:space="preserve"> </w:t>
      </w:r>
      <w:r w:rsidR="00BE33F3" w:rsidRPr="00977881">
        <w:rPr>
          <w:lang w:val="fr-FR"/>
        </w:rPr>
        <w:t>Le mandat de l'étude, tel qu'approuvé par le WG-HRV lors de sa sixième réunion et modifié par la circulaire E-25/053, est reproduit à l'annexe II du présent document.</w:t>
      </w:r>
    </w:p>
    <w:p w14:paraId="4049573A" w14:textId="23B6D2F0" w:rsidR="00561055" w:rsidRPr="00977881" w:rsidRDefault="00561055" w:rsidP="00D33FB4">
      <w:pPr>
        <w:rPr>
          <w:lang w:val="fr-FR"/>
        </w:rPr>
      </w:pPr>
    </w:p>
    <w:p w14:paraId="2E1206A9" w14:textId="77777777" w:rsidR="002A7C98" w:rsidRPr="00977881" w:rsidRDefault="002A7C98" w:rsidP="002A7C98">
      <w:pPr>
        <w:rPr>
          <w:lang w:val="fr-FR"/>
        </w:rPr>
      </w:pPr>
    </w:p>
    <w:p w14:paraId="0496517F" w14:textId="68226E9A" w:rsidR="002A7C98" w:rsidRPr="00977881" w:rsidRDefault="002A7C98" w:rsidP="002A7C98">
      <w:pPr>
        <w:pStyle w:val="DecisionParagraphs"/>
        <w:rPr>
          <w:rFonts w:cs="Arial"/>
          <w:highlight w:val="yellow"/>
          <w:lang w:val="fr-FR"/>
        </w:rPr>
      </w:pPr>
      <w:r w:rsidRPr="00606666">
        <w:rPr>
          <w:rFonts w:cs="Arial"/>
        </w:rPr>
        <w:fldChar w:fldCharType="begin"/>
      </w:r>
      <w:r w:rsidRPr="00977881">
        <w:rPr>
          <w:rFonts w:cs="Arial"/>
          <w:lang w:val="fr-FR"/>
        </w:rPr>
        <w:instrText xml:space="preserve"> AUTONUM  </w:instrText>
      </w:r>
      <w:r w:rsidRPr="00606666">
        <w:rPr>
          <w:rFonts w:cs="Arial"/>
        </w:rPr>
        <w:fldChar w:fldCharType="end"/>
      </w:r>
      <w:r w:rsidRPr="00977881">
        <w:rPr>
          <w:rFonts w:cs="Arial"/>
          <w:lang w:val="fr-FR"/>
        </w:rPr>
        <w:tab/>
        <w:t xml:space="preserve">Le </w:t>
      </w:r>
      <w:r w:rsidR="004B2FB1" w:rsidRPr="00977881">
        <w:rPr>
          <w:rFonts w:cs="Arial"/>
          <w:lang w:val="fr-FR"/>
        </w:rPr>
        <w:t xml:space="preserve">WG-HRV </w:t>
      </w:r>
      <w:r w:rsidRPr="00977881">
        <w:rPr>
          <w:rFonts w:cs="Arial"/>
          <w:lang w:val="fr-FR"/>
        </w:rPr>
        <w:t xml:space="preserve">est invité à prendre note du projet d'étude figurant à l'annexe </w:t>
      </w:r>
      <w:r w:rsidR="00D2328B" w:rsidRPr="00977881">
        <w:rPr>
          <w:rFonts w:cs="Arial"/>
          <w:lang w:val="fr-FR"/>
        </w:rPr>
        <w:t xml:space="preserve">I </w:t>
      </w:r>
      <w:r w:rsidRPr="00977881">
        <w:rPr>
          <w:rFonts w:cs="Arial"/>
          <w:lang w:val="fr-FR"/>
        </w:rPr>
        <w:t>du présent document.</w:t>
      </w:r>
    </w:p>
    <w:p w14:paraId="15C12F49" w14:textId="77777777" w:rsidR="002A7C98" w:rsidRPr="00977881" w:rsidRDefault="002A7C98" w:rsidP="002A7C98">
      <w:pPr>
        <w:rPr>
          <w:lang w:val="fr-FR"/>
        </w:rPr>
      </w:pPr>
    </w:p>
    <w:p w14:paraId="1F210F31" w14:textId="77777777" w:rsidR="00544581" w:rsidRPr="00977881" w:rsidRDefault="00544581">
      <w:pPr>
        <w:jc w:val="left"/>
        <w:rPr>
          <w:lang w:val="fr-FR"/>
        </w:rPr>
      </w:pPr>
    </w:p>
    <w:p w14:paraId="525088C4" w14:textId="77777777" w:rsidR="00050E16" w:rsidRPr="00977881" w:rsidRDefault="00050E16" w:rsidP="00050E16">
      <w:pPr>
        <w:rPr>
          <w:lang w:val="fr-FR"/>
        </w:rPr>
      </w:pPr>
    </w:p>
    <w:p w14:paraId="769BA95B" w14:textId="7105A575" w:rsidR="00561055" w:rsidRPr="00977881" w:rsidRDefault="00050E16" w:rsidP="00050E16">
      <w:pPr>
        <w:jc w:val="right"/>
        <w:rPr>
          <w:lang w:val="fr-FR"/>
        </w:rPr>
      </w:pPr>
      <w:r w:rsidRPr="00977881">
        <w:rPr>
          <w:lang w:val="fr-FR"/>
        </w:rPr>
        <w:t>[</w:t>
      </w:r>
      <w:r w:rsidR="00561055" w:rsidRPr="00977881">
        <w:rPr>
          <w:lang w:val="fr-FR"/>
        </w:rPr>
        <w:t>Annexe I ci-après</w:t>
      </w:r>
      <w:r w:rsidRPr="00977881">
        <w:rPr>
          <w:lang w:val="fr-FR"/>
        </w:rPr>
        <w:t>]</w:t>
      </w:r>
    </w:p>
    <w:p w14:paraId="58081C87" w14:textId="7C5208B9" w:rsidR="00561055" w:rsidRPr="00977881" w:rsidRDefault="00561055" w:rsidP="00561055">
      <w:pPr>
        <w:jc w:val="left"/>
        <w:rPr>
          <w:lang w:val="fr-FR"/>
        </w:rPr>
      </w:pPr>
    </w:p>
    <w:p w14:paraId="72258C21" w14:textId="77777777" w:rsidR="005C7CCD" w:rsidRPr="00977881" w:rsidRDefault="005C7CCD" w:rsidP="00561055">
      <w:pPr>
        <w:jc w:val="left"/>
        <w:rPr>
          <w:lang w:val="fr-FR"/>
        </w:rPr>
        <w:sectPr w:rsidR="005C7CCD" w:rsidRPr="00977881" w:rsidSect="0004198B">
          <w:headerReference w:type="default" r:id="rId9"/>
          <w:pgSz w:w="11907" w:h="16840" w:code="9"/>
          <w:pgMar w:top="510" w:right="1134" w:bottom="1134" w:left="1134" w:header="510" w:footer="680" w:gutter="0"/>
          <w:pgNumType w:start="1"/>
          <w:cols w:space="720"/>
          <w:titlePg/>
        </w:sectPr>
      </w:pPr>
    </w:p>
    <w:p w14:paraId="3724C71C" w14:textId="6DBCBC61" w:rsidR="002A7C98" w:rsidRPr="00977881" w:rsidRDefault="002A7C98" w:rsidP="00315110">
      <w:pPr>
        <w:jc w:val="center"/>
        <w:rPr>
          <w:lang w:val="fr-FR"/>
        </w:rPr>
      </w:pPr>
      <w:r w:rsidRPr="00977881">
        <w:rPr>
          <w:b/>
          <w:bCs/>
          <w:lang w:val="fr-FR"/>
        </w:rPr>
        <w:lastRenderedPageBreak/>
        <w:t>Projet d'étude</w:t>
      </w:r>
    </w:p>
    <w:p w14:paraId="4B7818A6" w14:textId="77777777" w:rsidR="002A7C98" w:rsidRPr="00977881" w:rsidRDefault="002A7C98" w:rsidP="006C6976">
      <w:pPr>
        <w:jc w:val="left"/>
        <w:rPr>
          <w:lang w:val="fr-FR"/>
        </w:rPr>
      </w:pPr>
    </w:p>
    <w:p w14:paraId="054BFB5D" w14:textId="7D6CA162" w:rsidR="006C6976" w:rsidRPr="00977881" w:rsidRDefault="006C6976" w:rsidP="006C6976">
      <w:pPr>
        <w:jc w:val="left"/>
        <w:rPr>
          <w:lang w:val="fr-FR"/>
        </w:rPr>
      </w:pPr>
      <w:r w:rsidRPr="00977881">
        <w:rPr>
          <w:lang w:val="fr-FR"/>
        </w:rPr>
        <w:t>ÉTUDE SUR LA « PORTÉE DU DROIT D'OBTENTEUR » ET LA RELATION AVEC L</w:t>
      </w:r>
      <w:proofErr w:type="gramStart"/>
      <w:r w:rsidRPr="00977881">
        <w:rPr>
          <w:lang w:val="fr-FR"/>
        </w:rPr>
        <w:t>'«</w:t>
      </w:r>
      <w:proofErr w:type="gramEnd"/>
      <w:r w:rsidRPr="00977881">
        <w:rPr>
          <w:lang w:val="fr-FR"/>
        </w:rPr>
        <w:t xml:space="preserve"> ÉPUISEMENT DU DROIT D'OBTENTEUR »</w:t>
      </w:r>
    </w:p>
    <w:p w14:paraId="4EF6DACD" w14:textId="77777777" w:rsidR="006C6976" w:rsidRPr="00977881" w:rsidRDefault="006C6976" w:rsidP="006C6976">
      <w:pPr>
        <w:jc w:val="left"/>
        <w:rPr>
          <w:lang w:val="fr-FR"/>
        </w:rPr>
      </w:pPr>
    </w:p>
    <w:p w14:paraId="6F34D744" w14:textId="77777777" w:rsidR="006C6976" w:rsidRPr="00977881" w:rsidRDefault="006C6976" w:rsidP="006C6976">
      <w:pPr>
        <w:jc w:val="left"/>
        <w:rPr>
          <w:lang w:val="fr-FR"/>
        </w:rPr>
      </w:pPr>
      <w:proofErr w:type="gramStart"/>
      <w:r w:rsidRPr="00977881">
        <w:rPr>
          <w:lang w:val="fr-FR"/>
        </w:rPr>
        <w:t>par</w:t>
      </w:r>
      <w:proofErr w:type="gramEnd"/>
      <w:r w:rsidRPr="00977881">
        <w:rPr>
          <w:lang w:val="fr-FR"/>
        </w:rPr>
        <w:t xml:space="preserve"> les membres du Groupe d'experts :</w:t>
      </w:r>
    </w:p>
    <w:p w14:paraId="59334204" w14:textId="77777777" w:rsidR="006C6976" w:rsidRPr="00977881" w:rsidRDefault="006C6976" w:rsidP="006C6976">
      <w:pPr>
        <w:jc w:val="left"/>
        <w:rPr>
          <w:lang w:val="fr-FR"/>
        </w:rPr>
      </w:pPr>
    </w:p>
    <w:p w14:paraId="1E78661A" w14:textId="77777777" w:rsidR="006C6976" w:rsidRPr="00977881" w:rsidRDefault="006C6976" w:rsidP="006C6976">
      <w:pPr>
        <w:jc w:val="left"/>
        <w:rPr>
          <w:lang w:val="fr-FR"/>
        </w:rPr>
      </w:pPr>
      <w:r w:rsidRPr="00977881">
        <w:rPr>
          <w:lang w:val="fr-FR"/>
        </w:rPr>
        <w:t>Huib Ghijsen, Viviane Kunisawa, Charles Lawson, Axel Metzger, Joseph Straus</w:t>
      </w:r>
    </w:p>
    <w:p w14:paraId="0BF1B456" w14:textId="77777777" w:rsidR="006C6976" w:rsidRPr="00977881" w:rsidRDefault="006C6976" w:rsidP="006C6976">
      <w:pPr>
        <w:jc w:val="left"/>
        <w:rPr>
          <w:lang w:val="fr-FR"/>
        </w:rPr>
      </w:pPr>
    </w:p>
    <w:p w14:paraId="52A00642" w14:textId="573FFE57" w:rsidR="006C6976" w:rsidRPr="00977881" w:rsidRDefault="006C6976" w:rsidP="006C6976">
      <w:pPr>
        <w:jc w:val="left"/>
        <w:rPr>
          <w:b/>
          <w:bCs/>
          <w:lang w:val="fr-FR"/>
        </w:rPr>
      </w:pPr>
      <w:r w:rsidRPr="00977881">
        <w:rPr>
          <w:b/>
          <w:bCs/>
          <w:lang w:val="fr-FR"/>
        </w:rPr>
        <w:t xml:space="preserve">Compte rendu intérimaire septembre 2025 </w:t>
      </w:r>
    </w:p>
    <w:p w14:paraId="601CE299" w14:textId="77777777" w:rsidR="006C6976" w:rsidRPr="00977881" w:rsidRDefault="006C6976" w:rsidP="006C6976">
      <w:pPr>
        <w:jc w:val="left"/>
        <w:rPr>
          <w:b/>
          <w:lang w:val="fr-FR"/>
        </w:rPr>
      </w:pPr>
    </w:p>
    <w:p w14:paraId="4F2DF281" w14:textId="77777777" w:rsidR="006C6976" w:rsidRPr="00977881" w:rsidRDefault="006C6976" w:rsidP="006C6976">
      <w:pPr>
        <w:jc w:val="left"/>
        <w:rPr>
          <w:lang w:val="fr-FR"/>
        </w:rPr>
      </w:pPr>
      <w:r w:rsidRPr="00977881">
        <w:rPr>
          <w:lang w:val="fr-FR"/>
        </w:rPr>
        <w:t xml:space="preserve">Mandat, annexe au document CAJ/81/5 </w:t>
      </w:r>
      <w:proofErr w:type="spellStart"/>
      <w:r w:rsidRPr="00977881">
        <w:rPr>
          <w:lang w:val="fr-FR"/>
        </w:rPr>
        <w:t>Add</w:t>
      </w:r>
      <w:proofErr w:type="spellEnd"/>
      <w:r w:rsidRPr="00977881">
        <w:rPr>
          <w:lang w:val="fr-FR"/>
        </w:rPr>
        <w:t xml:space="preserve"> :</w:t>
      </w:r>
    </w:p>
    <w:p w14:paraId="30BD206C" w14:textId="77777777" w:rsidR="006C6976" w:rsidRPr="00977881" w:rsidRDefault="006C6976" w:rsidP="006C6976">
      <w:pPr>
        <w:jc w:val="left"/>
        <w:rPr>
          <w:lang w:val="fr-FR"/>
        </w:rPr>
      </w:pPr>
    </w:p>
    <w:p w14:paraId="629195BD" w14:textId="77777777" w:rsidR="006C6976" w:rsidRPr="00977881" w:rsidRDefault="006C6976" w:rsidP="00F465C7">
      <w:pPr>
        <w:numPr>
          <w:ilvl w:val="0"/>
          <w:numId w:val="3"/>
        </w:numPr>
        <w:rPr>
          <w:lang w:val="fr-FR"/>
        </w:rPr>
      </w:pPr>
      <w:r w:rsidRPr="00977881">
        <w:rPr>
          <w:lang w:val="fr-FR"/>
        </w:rPr>
        <w:t>Analyse des intentions des rédacteurs de l'Acte de 1991 de la Convention UPOV en ce qui concerne la « portée du droit d'obtenteur » à l'article 14(1) et (2) de l'Acte de 1991, y compris les notions d</w:t>
      </w:r>
      <w:proofErr w:type="gramStart"/>
      <w:r w:rsidRPr="00977881">
        <w:rPr>
          <w:lang w:val="fr-FR"/>
        </w:rPr>
        <w:t>'«</w:t>
      </w:r>
      <w:proofErr w:type="gramEnd"/>
      <w:r w:rsidRPr="00977881">
        <w:rPr>
          <w:lang w:val="fr-FR"/>
        </w:rPr>
        <w:t xml:space="preserve"> utilisation non autorisée » et d</w:t>
      </w:r>
      <w:proofErr w:type="gramStart"/>
      <w:r w:rsidRPr="00977881">
        <w:rPr>
          <w:lang w:val="fr-FR"/>
        </w:rPr>
        <w:t>’«</w:t>
      </w:r>
      <w:proofErr w:type="gramEnd"/>
      <w:r w:rsidRPr="00977881">
        <w:rPr>
          <w:lang w:val="fr-FR"/>
        </w:rPr>
        <w:t xml:space="preserve"> opportunité raisonnable », et le lien avec l</w:t>
      </w:r>
      <w:proofErr w:type="gramStart"/>
      <w:r w:rsidRPr="00977881">
        <w:rPr>
          <w:lang w:val="fr-FR"/>
        </w:rPr>
        <w:t>’«</w:t>
      </w:r>
      <w:proofErr w:type="gramEnd"/>
      <w:r w:rsidRPr="00977881">
        <w:rPr>
          <w:lang w:val="fr-FR"/>
        </w:rPr>
        <w:t xml:space="preserve"> épuisement du droit d’obtenteur » visé à l’article 16 de l’Acte de 1991 ; et</w:t>
      </w:r>
    </w:p>
    <w:p w14:paraId="062A70F2" w14:textId="77777777" w:rsidR="006C6976" w:rsidRPr="00977881" w:rsidRDefault="006C6976" w:rsidP="00F465C7">
      <w:pPr>
        <w:numPr>
          <w:ilvl w:val="0"/>
          <w:numId w:val="3"/>
        </w:numPr>
        <w:rPr>
          <w:lang w:val="fr-FR"/>
        </w:rPr>
      </w:pPr>
      <w:r w:rsidRPr="00977881">
        <w:rPr>
          <w:lang w:val="fr-FR"/>
        </w:rPr>
        <w:t>Résumés des affaires judiciaires pertinentes des membres de l'UPOV liés par l'Acte de 1991.</w:t>
      </w:r>
    </w:p>
    <w:p w14:paraId="253B9C01" w14:textId="77777777" w:rsidR="006C6976" w:rsidRPr="00977881" w:rsidRDefault="006C6976" w:rsidP="00F465C7">
      <w:pPr>
        <w:rPr>
          <w:lang w:val="fr-FR"/>
        </w:rPr>
      </w:pPr>
    </w:p>
    <w:p w14:paraId="7ADC8CA7" w14:textId="77777777" w:rsidR="006C6976" w:rsidRPr="00977881" w:rsidRDefault="006C6976" w:rsidP="00F465C7">
      <w:pPr>
        <w:rPr>
          <w:lang w:val="fr-FR"/>
        </w:rPr>
      </w:pPr>
      <w:r w:rsidRPr="00977881">
        <w:rPr>
          <w:lang w:val="fr-FR"/>
        </w:rPr>
        <w:t>En raison d'un délai jugé trop court pour cette étude approfondie, la relation entre l</w:t>
      </w:r>
      <w:proofErr w:type="gramStart"/>
      <w:r w:rsidRPr="00977881">
        <w:rPr>
          <w:lang w:val="fr-FR"/>
        </w:rPr>
        <w:t>'«</w:t>
      </w:r>
      <w:proofErr w:type="gramEnd"/>
      <w:r w:rsidRPr="00977881">
        <w:rPr>
          <w:lang w:val="fr-FR"/>
        </w:rPr>
        <w:t xml:space="preserve"> utilisation non autorisée » et la « possibilité raisonnable » d'une part, et l</w:t>
      </w:r>
      <w:proofErr w:type="gramStart"/>
      <w:r w:rsidRPr="00977881">
        <w:rPr>
          <w:lang w:val="fr-FR"/>
        </w:rPr>
        <w:t>'«</w:t>
      </w:r>
      <w:proofErr w:type="gramEnd"/>
      <w:r w:rsidRPr="00977881">
        <w:rPr>
          <w:lang w:val="fr-FR"/>
        </w:rPr>
        <w:t xml:space="preserve"> épuisement du droit d'obtenteur » d'autre part, n'a pas encore été analysée.</w:t>
      </w:r>
    </w:p>
    <w:p w14:paraId="7A0CEF01" w14:textId="77777777" w:rsidR="006C6976" w:rsidRPr="00977881" w:rsidRDefault="006C6976" w:rsidP="00F465C7">
      <w:pPr>
        <w:rPr>
          <w:lang w:val="fr-FR"/>
        </w:rPr>
      </w:pPr>
    </w:p>
    <w:p w14:paraId="5D3A01CE" w14:textId="77777777" w:rsidR="006C6976" w:rsidRPr="00977881" w:rsidRDefault="006C6976" w:rsidP="00F465C7">
      <w:pPr>
        <w:rPr>
          <w:b/>
          <w:bCs/>
          <w:lang w:val="fr-FR"/>
        </w:rPr>
      </w:pPr>
      <w:r w:rsidRPr="00977881">
        <w:rPr>
          <w:b/>
          <w:bCs/>
          <w:lang w:val="fr-FR"/>
        </w:rPr>
        <w:t>Résultats provisoires de l'étude :</w:t>
      </w:r>
    </w:p>
    <w:p w14:paraId="15643333" w14:textId="77777777" w:rsidR="006C6976" w:rsidRPr="00977881" w:rsidRDefault="006C6976" w:rsidP="00F465C7">
      <w:pPr>
        <w:rPr>
          <w:b/>
          <w:lang w:val="fr-FR"/>
        </w:rPr>
      </w:pPr>
    </w:p>
    <w:p w14:paraId="400CEC91" w14:textId="77777777" w:rsidR="006C6976" w:rsidRPr="00977881" w:rsidRDefault="006C6976" w:rsidP="00F465C7">
      <w:pPr>
        <w:rPr>
          <w:lang w:val="fr-FR"/>
        </w:rPr>
      </w:pPr>
      <w:r w:rsidRPr="00977881">
        <w:rPr>
          <w:lang w:val="fr-FR"/>
        </w:rPr>
        <w:t>Le groupe d'experts (le Groupe) s'est réuni à quatre reprises via Teams entre avril et juillet 2025. Le Groupe a analysé l'historique des Conventions UPOV de 1978 et 1991 et les intentions des rédacteurs, pour les concepts de l'article 14(2) de l'UPOV 1991, à savoir « utilisation non autorisée », « possibilité raisonnable », « matériel de reproduction » et « matériel récolté », en étudiant les documents préparatoires et les comptes rendus des conférences diplomatiques, ainsi que la jurisprudence pertinente. L'étude des concepts de « matériel de reproduction » et de « matériel récolté » a été réalisée car ceux-ci sont également considérés comme faisant partie intégrante de l'article 14(2) de l'UPOV 1991.</w:t>
      </w:r>
    </w:p>
    <w:p w14:paraId="4ADC43A0" w14:textId="77777777" w:rsidR="006C6976" w:rsidRPr="00977881" w:rsidRDefault="006C6976" w:rsidP="006C6976">
      <w:pPr>
        <w:jc w:val="left"/>
        <w:rPr>
          <w:lang w:val="fr-FR"/>
        </w:rPr>
      </w:pPr>
    </w:p>
    <w:p w14:paraId="7F1B3FDE" w14:textId="77777777" w:rsidR="006C6976" w:rsidRPr="00977881" w:rsidRDefault="006C6976" w:rsidP="006C6976">
      <w:pPr>
        <w:jc w:val="left"/>
        <w:rPr>
          <w:lang w:val="fr-FR"/>
        </w:rPr>
      </w:pPr>
      <w:r w:rsidRPr="00977881">
        <w:rPr>
          <w:lang w:val="fr-FR"/>
        </w:rPr>
        <w:t>Sur la base de ces études approfondies, le Groupe est parvenu aux conclusions provisoires et résumées suivantes :</w:t>
      </w:r>
    </w:p>
    <w:p w14:paraId="536E1352" w14:textId="77777777" w:rsidR="006C6976" w:rsidRPr="00977881" w:rsidRDefault="006C6976" w:rsidP="006C6976">
      <w:pPr>
        <w:jc w:val="left"/>
        <w:rPr>
          <w:lang w:val="fr-FR"/>
        </w:rPr>
      </w:pPr>
    </w:p>
    <w:p w14:paraId="40E80B61" w14:textId="77777777" w:rsidR="006C6976" w:rsidRPr="006C6976" w:rsidRDefault="006C6976" w:rsidP="006C6976">
      <w:pPr>
        <w:numPr>
          <w:ilvl w:val="0"/>
          <w:numId w:val="2"/>
        </w:numPr>
        <w:rPr>
          <w:b/>
          <w:bCs/>
        </w:rPr>
      </w:pPr>
      <w:proofErr w:type="spellStart"/>
      <w:r w:rsidRPr="006C6976">
        <w:rPr>
          <w:b/>
          <w:bCs/>
        </w:rPr>
        <w:t>Utilisation</w:t>
      </w:r>
      <w:proofErr w:type="spellEnd"/>
      <w:r w:rsidRPr="006C6976">
        <w:rPr>
          <w:b/>
          <w:bCs/>
        </w:rPr>
        <w:t xml:space="preserve"> non </w:t>
      </w:r>
      <w:proofErr w:type="spellStart"/>
      <w:r w:rsidRPr="006C6976">
        <w:rPr>
          <w:b/>
          <w:bCs/>
        </w:rPr>
        <w:t>autorisée</w:t>
      </w:r>
      <w:proofErr w:type="spellEnd"/>
    </w:p>
    <w:p w14:paraId="210952DE" w14:textId="77777777" w:rsidR="006C6976" w:rsidRPr="006C6976" w:rsidRDefault="006C6976" w:rsidP="006C6976">
      <w:pPr>
        <w:jc w:val="left"/>
        <w:rPr>
          <w:b/>
        </w:rPr>
      </w:pPr>
    </w:p>
    <w:p w14:paraId="7DBCE530" w14:textId="77777777" w:rsidR="006C6976" w:rsidRPr="00977881" w:rsidRDefault="006C6976" w:rsidP="006C6976">
      <w:pPr>
        <w:numPr>
          <w:ilvl w:val="1"/>
          <w:numId w:val="2"/>
        </w:numPr>
        <w:jc w:val="left"/>
        <w:rPr>
          <w:lang w:val="fr-FR"/>
        </w:rPr>
      </w:pPr>
      <w:r w:rsidRPr="00977881">
        <w:rPr>
          <w:lang w:val="fr-FR"/>
        </w:rPr>
        <w:t>L'analyse des documents préparatoires et des comptes rendus de la conférence diplomatique concernant la notion d</w:t>
      </w:r>
      <w:proofErr w:type="gramStart"/>
      <w:r w:rsidRPr="00977881">
        <w:rPr>
          <w:lang w:val="fr-FR"/>
        </w:rPr>
        <w:t>'«</w:t>
      </w:r>
      <w:proofErr w:type="gramEnd"/>
      <w:r w:rsidRPr="00977881">
        <w:rPr>
          <w:lang w:val="fr-FR"/>
        </w:rPr>
        <w:t xml:space="preserve"> utilisation non autorisée de matériel de reproduction » de la variété protégée à l'article </w:t>
      </w:r>
      <w:proofErr w:type="gramStart"/>
      <w:r w:rsidRPr="00977881">
        <w:rPr>
          <w:lang w:val="fr-FR"/>
        </w:rPr>
        <w:t>14.1)b</w:t>
      </w:r>
      <w:proofErr w:type="gramEnd"/>
      <w:r w:rsidRPr="00977881">
        <w:rPr>
          <w:lang w:val="fr-FR"/>
        </w:rPr>
        <w:t>), désormais article 14.2) de l'Acte de 1991 de l'UPOV, conduit aux conclusions suivantes :</w:t>
      </w:r>
    </w:p>
    <w:p w14:paraId="52B15AC6" w14:textId="77777777" w:rsidR="006C6976" w:rsidRPr="00977881" w:rsidRDefault="006C6976" w:rsidP="006C6976">
      <w:pPr>
        <w:jc w:val="left"/>
        <w:rPr>
          <w:lang w:val="fr-FR"/>
        </w:rPr>
      </w:pPr>
    </w:p>
    <w:p w14:paraId="78F42CFA" w14:textId="77777777" w:rsidR="006C6976" w:rsidRPr="00977881" w:rsidRDefault="006C6976" w:rsidP="006C6976">
      <w:pPr>
        <w:numPr>
          <w:ilvl w:val="1"/>
          <w:numId w:val="2"/>
        </w:numPr>
        <w:jc w:val="left"/>
        <w:rPr>
          <w:lang w:val="fr-FR"/>
        </w:rPr>
      </w:pPr>
      <w:r w:rsidRPr="00977881">
        <w:rPr>
          <w:lang w:val="fr-FR"/>
        </w:rPr>
        <w:t xml:space="preserve">Toute utilisation visée à l'article </w:t>
      </w:r>
      <w:proofErr w:type="gramStart"/>
      <w:r w:rsidRPr="00977881">
        <w:rPr>
          <w:lang w:val="fr-FR"/>
        </w:rPr>
        <w:t>14.1)a</w:t>
      </w:r>
      <w:proofErr w:type="gramEnd"/>
      <w:r w:rsidRPr="00977881">
        <w:rPr>
          <w:lang w:val="fr-FR"/>
        </w:rPr>
        <w:t xml:space="preserve">) de l'Acte de 1991 de l'UPOV, y compris toute utilisation soumise aux conditions prévues à l'article </w:t>
      </w:r>
      <w:proofErr w:type="gramStart"/>
      <w:r w:rsidRPr="00977881">
        <w:rPr>
          <w:lang w:val="fr-FR"/>
        </w:rPr>
        <w:t>14.1)b</w:t>
      </w:r>
      <w:proofErr w:type="gramEnd"/>
      <w:r w:rsidRPr="00977881">
        <w:rPr>
          <w:lang w:val="fr-FR"/>
        </w:rPr>
        <w:t>), de matériel de reproduction ou de multiplication d'une variété protégée nécessite l'autorisation du titulaire du droit d'obtenteur sur cette variété. Dans le cas contraire, il s'agit d'une utilisation non autorisée.</w:t>
      </w:r>
    </w:p>
    <w:p w14:paraId="6D1ACD0B" w14:textId="77777777" w:rsidR="006C6976" w:rsidRPr="00977881" w:rsidRDefault="006C6976" w:rsidP="006C6976">
      <w:pPr>
        <w:pStyle w:val="ListParagraph"/>
        <w:rPr>
          <w:lang w:val="fr-FR"/>
        </w:rPr>
      </w:pPr>
    </w:p>
    <w:p w14:paraId="383914B6" w14:textId="77777777" w:rsidR="006C6976" w:rsidRPr="00977881" w:rsidRDefault="006C6976" w:rsidP="006C6976">
      <w:pPr>
        <w:pStyle w:val="ListParagraph"/>
        <w:widowControl w:val="0"/>
        <w:numPr>
          <w:ilvl w:val="1"/>
          <w:numId w:val="2"/>
        </w:numPr>
        <w:tabs>
          <w:tab w:val="left" w:pos="835"/>
          <w:tab w:val="left" w:pos="836"/>
        </w:tabs>
        <w:autoSpaceDE w:val="0"/>
        <w:autoSpaceDN w:val="0"/>
        <w:spacing w:before="76"/>
        <w:ind w:right="208"/>
        <w:contextualSpacing w:val="0"/>
        <w:rPr>
          <w:rFonts w:cs="Arial"/>
          <w:lang w:val="fr-FR"/>
        </w:rPr>
      </w:pPr>
      <w:r w:rsidRPr="00977881">
        <w:rPr>
          <w:rFonts w:cs="Arial"/>
          <w:lang w:val="fr-FR"/>
        </w:rPr>
        <w:t>La notion d</w:t>
      </w:r>
      <w:proofErr w:type="gramStart"/>
      <w:r w:rsidRPr="00977881">
        <w:rPr>
          <w:rFonts w:cs="Arial"/>
          <w:lang w:val="fr-FR"/>
        </w:rPr>
        <w:t>'«</w:t>
      </w:r>
      <w:proofErr w:type="gramEnd"/>
      <w:r w:rsidRPr="00977881">
        <w:rPr>
          <w:rFonts w:cs="Arial"/>
          <w:lang w:val="fr-FR"/>
        </w:rPr>
        <w:t xml:space="preserve"> non autorisée » à l'article 14.2) de </w:t>
      </w:r>
      <w:r w:rsidRPr="00977881">
        <w:rPr>
          <w:rFonts w:cs="Arial"/>
          <w:spacing w:val="-3"/>
          <w:lang w:val="fr-FR"/>
        </w:rPr>
        <w:t xml:space="preserve">l'Acte </w:t>
      </w:r>
      <w:r w:rsidRPr="00977881">
        <w:rPr>
          <w:rFonts w:cs="Arial"/>
          <w:lang w:val="fr-FR"/>
        </w:rPr>
        <w:t>de 1991 de l'UPOV se rapporte à l'autorisation du titulaire du droit d'obtenteur en question et non au statut juridique du matériel de reproduction ou de multiplication utilisé pour obtenir le matériel récolté. Le fait que l'utilisation du matériel de reproduction ou de multiplication en dehors du territoire où le droit d'obtenteur est accordé, valide et appliqué, soit couverte ou non par un droit de propriété, c'est-à-dire qu'elle soit légale ou illégale, n'a aucune importance.</w:t>
      </w:r>
    </w:p>
    <w:p w14:paraId="00DC4B62" w14:textId="77777777" w:rsidR="006C6976" w:rsidRPr="00977881" w:rsidRDefault="006C6976" w:rsidP="006C6976">
      <w:pPr>
        <w:pStyle w:val="BodyText"/>
        <w:spacing w:before="10"/>
        <w:rPr>
          <w:rFonts w:cs="Arial"/>
          <w:lang w:val="fr-FR"/>
        </w:rPr>
      </w:pPr>
    </w:p>
    <w:p w14:paraId="1E44AA19" w14:textId="77777777" w:rsidR="006C6976" w:rsidRPr="00977881" w:rsidRDefault="006C6976" w:rsidP="006C6976">
      <w:pPr>
        <w:pStyle w:val="ListParagraph"/>
        <w:widowControl w:val="0"/>
        <w:numPr>
          <w:ilvl w:val="1"/>
          <w:numId w:val="2"/>
        </w:numPr>
        <w:tabs>
          <w:tab w:val="left" w:pos="835"/>
          <w:tab w:val="left" w:pos="836"/>
        </w:tabs>
        <w:autoSpaceDE w:val="0"/>
        <w:autoSpaceDN w:val="0"/>
        <w:spacing w:line="292" w:lineRule="exact"/>
        <w:ind w:hanging="361"/>
        <w:contextualSpacing w:val="0"/>
        <w:rPr>
          <w:rFonts w:cs="Arial"/>
          <w:lang w:val="fr-FR"/>
        </w:rPr>
      </w:pPr>
      <w:r w:rsidRPr="00977881">
        <w:rPr>
          <w:rFonts w:cs="Arial"/>
          <w:lang w:val="fr-FR"/>
        </w:rPr>
        <w:t xml:space="preserve">Les deux conditions préalables à l'extension du droit d'obtenteur au </w:t>
      </w:r>
      <w:r w:rsidRPr="00977881">
        <w:rPr>
          <w:rFonts w:cs="Arial"/>
          <w:spacing w:val="-2"/>
          <w:lang w:val="fr-FR"/>
        </w:rPr>
        <w:t xml:space="preserve">matériel </w:t>
      </w:r>
      <w:r w:rsidRPr="00977881">
        <w:rPr>
          <w:rFonts w:cs="Arial"/>
          <w:lang w:val="fr-FR"/>
        </w:rPr>
        <w:t>récolté</w:t>
      </w:r>
      <w:r w:rsidRPr="00977881">
        <w:rPr>
          <w:rFonts w:cs="Arial"/>
          <w:spacing w:val="-2"/>
          <w:lang w:val="fr-FR"/>
        </w:rPr>
        <w:t>,</w:t>
      </w:r>
    </w:p>
    <w:p w14:paraId="4B3E3D1A" w14:textId="77777777" w:rsidR="006C6976" w:rsidRPr="00977881" w:rsidRDefault="006C6976" w:rsidP="006C6976">
      <w:pPr>
        <w:pStyle w:val="BodyText"/>
        <w:ind w:left="836" w:right="174"/>
        <w:rPr>
          <w:rFonts w:cs="Arial"/>
          <w:lang w:val="fr-FR"/>
        </w:rPr>
      </w:pPr>
      <w:r w:rsidRPr="00977881">
        <w:rPr>
          <w:rFonts w:cs="Arial"/>
          <w:lang w:val="fr-FR"/>
        </w:rPr>
        <w:t>C'est-à-dire que « l'utilisation non autorisée » du matériel de reproduction ou de multiplication de la variété protégée et le fait que « l'obtenteur n'a pas eu [aucune] possibilité raisonnable d'exercer son droit à l'égard dudit matériel de reproduction ou de multiplication », visés à l'article 14(2) de la Convention UPOV, constituent un tout indissociable.</w:t>
      </w:r>
    </w:p>
    <w:p w14:paraId="2DBAE061" w14:textId="77777777" w:rsidR="006C6976" w:rsidRPr="00977881" w:rsidRDefault="006C6976" w:rsidP="006C6976">
      <w:pPr>
        <w:pStyle w:val="BodyText"/>
        <w:spacing w:before="1"/>
        <w:rPr>
          <w:rFonts w:cs="Arial"/>
          <w:lang w:val="fr-FR"/>
        </w:rPr>
      </w:pPr>
    </w:p>
    <w:p w14:paraId="753EC7CB" w14:textId="77777777" w:rsidR="006C6976" w:rsidRPr="00977881" w:rsidRDefault="006C6976" w:rsidP="006C6976">
      <w:pPr>
        <w:pStyle w:val="ListParagraph"/>
        <w:widowControl w:val="0"/>
        <w:numPr>
          <w:ilvl w:val="1"/>
          <w:numId w:val="2"/>
        </w:numPr>
        <w:tabs>
          <w:tab w:val="left" w:pos="836"/>
        </w:tabs>
        <w:autoSpaceDE w:val="0"/>
        <w:autoSpaceDN w:val="0"/>
        <w:spacing w:line="292" w:lineRule="exact"/>
        <w:ind w:hanging="361"/>
        <w:contextualSpacing w:val="0"/>
        <w:rPr>
          <w:rFonts w:cs="Arial"/>
          <w:lang w:val="fr-FR"/>
        </w:rPr>
      </w:pPr>
      <w:r w:rsidRPr="00977881">
        <w:rPr>
          <w:rFonts w:cs="Arial"/>
          <w:lang w:val="fr-FR"/>
        </w:rPr>
        <w:lastRenderedPageBreak/>
        <w:t>L'introduction de la notion de « possibilité raisonnable » dans le libellé de l'article</w:t>
      </w:r>
      <w:r w:rsidRPr="00977881">
        <w:rPr>
          <w:rFonts w:cs="Arial"/>
          <w:spacing w:val="-5"/>
          <w:lang w:val="fr-FR"/>
        </w:rPr>
        <w:t xml:space="preserve"> 14</w:t>
      </w:r>
    </w:p>
    <w:p w14:paraId="0483BFCB" w14:textId="77777777" w:rsidR="006C6976" w:rsidRPr="00977881" w:rsidRDefault="006C6976" w:rsidP="006C6976">
      <w:pPr>
        <w:pStyle w:val="BodyText"/>
        <w:ind w:left="836" w:right="323"/>
        <w:rPr>
          <w:rFonts w:cs="Arial"/>
          <w:lang w:val="fr-FR"/>
        </w:rPr>
      </w:pPr>
      <w:r w:rsidRPr="00977881">
        <w:rPr>
          <w:rFonts w:cs="Arial"/>
          <w:lang w:val="fr-FR"/>
        </w:rPr>
        <w:t>(2) a élargi la possibilité de revendiquer la protection du droit de l'obtenteur sur le matériel récolté au-delà de la notion antérieure de « n'a pas eu la possibilité légale d'exercer le droit relatif au matériel de reproduction ou de multiplication ».</w:t>
      </w:r>
    </w:p>
    <w:p w14:paraId="4D618AC3" w14:textId="77777777" w:rsidR="006C6976" w:rsidRPr="00977881" w:rsidRDefault="006C6976" w:rsidP="006C6976">
      <w:pPr>
        <w:pStyle w:val="BodyText"/>
        <w:rPr>
          <w:rFonts w:cs="Arial"/>
          <w:lang w:val="fr-FR"/>
        </w:rPr>
      </w:pPr>
    </w:p>
    <w:p w14:paraId="321547A3" w14:textId="77777777" w:rsidR="006C6976" w:rsidRPr="00977881" w:rsidRDefault="006C6976" w:rsidP="006C6976">
      <w:pPr>
        <w:pStyle w:val="ListParagraph"/>
        <w:widowControl w:val="0"/>
        <w:numPr>
          <w:ilvl w:val="1"/>
          <w:numId w:val="2"/>
        </w:numPr>
        <w:tabs>
          <w:tab w:val="left" w:pos="835"/>
          <w:tab w:val="left" w:pos="836"/>
        </w:tabs>
        <w:autoSpaceDE w:val="0"/>
        <w:autoSpaceDN w:val="0"/>
        <w:ind w:right="248"/>
        <w:contextualSpacing w:val="0"/>
        <w:rPr>
          <w:rFonts w:cs="Arial"/>
          <w:lang w:val="fr-FR"/>
        </w:rPr>
      </w:pPr>
      <w:r w:rsidRPr="00977881">
        <w:rPr>
          <w:rFonts w:cs="Arial"/>
          <w:lang w:val="fr-FR"/>
        </w:rPr>
        <w:t xml:space="preserve">En vertu du principe de cascade énoncé à l'article 14.2) de l'UPOV 1991, le titulaire du droit ne peut exercer ce droit qu'une seule fois et ne peut percevoir une redevance qu'une seule fois, sous réserve des conditions contractuelles et des limitations éventuelles imposées par le titulaire du </w:t>
      </w:r>
      <w:r w:rsidRPr="00977881">
        <w:rPr>
          <w:rFonts w:cs="Arial"/>
          <w:spacing w:val="-2"/>
          <w:lang w:val="fr-FR"/>
        </w:rPr>
        <w:t>droit</w:t>
      </w:r>
      <w:r w:rsidRPr="00977881">
        <w:rPr>
          <w:rFonts w:cs="Arial"/>
          <w:lang w:val="fr-FR"/>
        </w:rPr>
        <w:t xml:space="preserve"> d'obtenteur</w:t>
      </w:r>
      <w:r w:rsidRPr="00977881">
        <w:rPr>
          <w:rFonts w:cs="Arial"/>
          <w:spacing w:val="-2"/>
          <w:lang w:val="fr-FR"/>
        </w:rPr>
        <w:t>.</w:t>
      </w:r>
    </w:p>
    <w:p w14:paraId="756A0829" w14:textId="77777777" w:rsidR="006C6976" w:rsidRPr="00977881" w:rsidRDefault="006C6976" w:rsidP="006C6976">
      <w:pPr>
        <w:pStyle w:val="BodyText"/>
        <w:spacing w:before="11"/>
        <w:rPr>
          <w:rFonts w:cs="Arial"/>
          <w:lang w:val="fr-FR"/>
        </w:rPr>
      </w:pPr>
    </w:p>
    <w:p w14:paraId="7FC805D3" w14:textId="77777777" w:rsidR="006C6976" w:rsidRPr="00977881" w:rsidRDefault="006C6976" w:rsidP="006C6976">
      <w:pPr>
        <w:pStyle w:val="ListParagraph"/>
        <w:widowControl w:val="0"/>
        <w:numPr>
          <w:ilvl w:val="1"/>
          <w:numId w:val="2"/>
        </w:numPr>
        <w:tabs>
          <w:tab w:val="left" w:pos="835"/>
          <w:tab w:val="left" w:pos="836"/>
        </w:tabs>
        <w:autoSpaceDE w:val="0"/>
        <w:autoSpaceDN w:val="0"/>
        <w:ind w:right="322"/>
        <w:contextualSpacing w:val="0"/>
        <w:rPr>
          <w:rFonts w:cs="Arial"/>
          <w:lang w:val="fr-FR"/>
        </w:rPr>
      </w:pPr>
      <w:r w:rsidRPr="00977881">
        <w:rPr>
          <w:rFonts w:cs="Arial"/>
          <w:lang w:val="fr-FR"/>
        </w:rPr>
        <w:t xml:space="preserve">L'autorisation du titulaire du droit d'obtenteur est requise pour tous les actes spécifiés à l'article 14(1)i) à vii) de </w:t>
      </w:r>
      <w:r w:rsidRPr="00977881">
        <w:rPr>
          <w:rFonts w:cs="Arial"/>
          <w:spacing w:val="-3"/>
          <w:lang w:val="fr-FR"/>
        </w:rPr>
        <w:t xml:space="preserve">l'Acte </w:t>
      </w:r>
      <w:r w:rsidRPr="00977881">
        <w:rPr>
          <w:rFonts w:cs="Arial"/>
          <w:lang w:val="fr-FR"/>
        </w:rPr>
        <w:t>de 1991 de l'UPOV, également liés au matériel récolté ainsi obtenu en dehors de la validité du droit d'obtenteur respectif, lorsque ce matériel récolté entre et est distribué sur le territoire où le droit d'obtenteur respectif est valable. Le matériel récolté remplit alors les conditions cumulatives « utilisation non autorisée » et « absence de possibilité raisonnable d'exercer son droit ». Tout autre exercice de ce droit, par exemple en réclamant des redevances, constitue en même temps « l'exercice du droit d'obtenteur au stade le plus précoce possible » dans la cascade.</w:t>
      </w:r>
    </w:p>
    <w:p w14:paraId="37947673" w14:textId="77777777" w:rsidR="006C6976" w:rsidRPr="00977881" w:rsidRDefault="006C6976" w:rsidP="006C6976">
      <w:pPr>
        <w:pStyle w:val="BodyText"/>
        <w:spacing w:before="6"/>
        <w:rPr>
          <w:rFonts w:cs="Arial"/>
          <w:lang w:val="fr-FR"/>
        </w:rPr>
      </w:pPr>
    </w:p>
    <w:p w14:paraId="5590EAEC" w14:textId="77777777" w:rsidR="006C6976" w:rsidRPr="00977881" w:rsidRDefault="006C6976" w:rsidP="006C6976">
      <w:pPr>
        <w:pStyle w:val="ListParagraph"/>
        <w:widowControl w:val="0"/>
        <w:numPr>
          <w:ilvl w:val="1"/>
          <w:numId w:val="2"/>
        </w:numPr>
        <w:tabs>
          <w:tab w:val="left" w:pos="835"/>
          <w:tab w:val="left" w:pos="836"/>
        </w:tabs>
        <w:autoSpaceDE w:val="0"/>
        <w:autoSpaceDN w:val="0"/>
        <w:spacing w:line="237" w:lineRule="auto"/>
        <w:ind w:right="203"/>
        <w:contextualSpacing w:val="0"/>
        <w:rPr>
          <w:rFonts w:cs="Arial"/>
          <w:lang w:val="fr-FR"/>
        </w:rPr>
      </w:pPr>
      <w:r w:rsidRPr="00977881">
        <w:rPr>
          <w:rFonts w:cs="Arial"/>
          <w:lang w:val="fr-FR"/>
        </w:rPr>
        <w:t xml:space="preserve">En résumé : </w:t>
      </w:r>
      <w:r w:rsidRPr="00977881">
        <w:rPr>
          <w:rFonts w:cs="Arial"/>
          <w:i/>
          <w:lang w:val="fr-FR"/>
        </w:rPr>
        <w:t xml:space="preserve">« Utilisation non autorisée » : </w:t>
      </w:r>
      <w:r w:rsidRPr="00977881">
        <w:rPr>
          <w:rFonts w:cs="Arial"/>
          <w:lang w:val="fr-FR"/>
        </w:rPr>
        <w:t>l'utilisation de matériel de reproduction ou de multiplication d'une variété protégée, sans l'autorisation du titulaire, pour la production du matériel récolté qui en résulte, à l'intérieur ou à l'extérieur du territoire où la variété est protégée et, dans ce dernier cas, lorsque le matériel récolté éventuellement importé relève de la protection de l'article 14(2) de l'UPOV 1991.</w:t>
      </w:r>
    </w:p>
    <w:p w14:paraId="33915513" w14:textId="77777777" w:rsidR="006C6976" w:rsidRPr="00977881" w:rsidRDefault="006C6976" w:rsidP="006C6976">
      <w:pPr>
        <w:pStyle w:val="BodyText"/>
        <w:rPr>
          <w:rFonts w:cs="Arial"/>
          <w:lang w:val="fr-FR"/>
        </w:rPr>
      </w:pPr>
    </w:p>
    <w:p w14:paraId="69797E9C" w14:textId="77777777" w:rsidR="006C6976" w:rsidRPr="00977881" w:rsidRDefault="006C6976" w:rsidP="006C6976">
      <w:pPr>
        <w:pStyle w:val="BodyText"/>
        <w:spacing w:before="8"/>
        <w:rPr>
          <w:rFonts w:cs="Arial"/>
          <w:lang w:val="fr-FR"/>
        </w:rPr>
      </w:pPr>
    </w:p>
    <w:p w14:paraId="74FB162A" w14:textId="77777777" w:rsidR="006C6976" w:rsidRPr="006C6976" w:rsidRDefault="006C6976" w:rsidP="006C6976">
      <w:pPr>
        <w:pStyle w:val="Heading1"/>
        <w:numPr>
          <w:ilvl w:val="0"/>
          <w:numId w:val="2"/>
        </w:numPr>
      </w:pPr>
      <w:r w:rsidRPr="006C6976">
        <w:t xml:space="preserve">Possibilité </w:t>
      </w:r>
      <w:proofErr w:type="gramStart"/>
      <w:r w:rsidRPr="006C6976">
        <w:t>raisonnable :</w:t>
      </w:r>
      <w:proofErr w:type="gramEnd"/>
    </w:p>
    <w:p w14:paraId="5F8E2DE3" w14:textId="77777777" w:rsidR="006C6976" w:rsidRPr="00981F05" w:rsidRDefault="006C6976" w:rsidP="006C6976">
      <w:pPr>
        <w:pStyle w:val="BodyText"/>
        <w:spacing w:before="5"/>
        <w:rPr>
          <w:rFonts w:cs="Arial"/>
          <w:b/>
        </w:rPr>
      </w:pPr>
    </w:p>
    <w:p w14:paraId="6C833534" w14:textId="77777777" w:rsidR="006C6976" w:rsidRPr="00977881" w:rsidRDefault="006C6976" w:rsidP="006C6976">
      <w:pPr>
        <w:pStyle w:val="ListParagraph"/>
        <w:widowControl w:val="0"/>
        <w:numPr>
          <w:ilvl w:val="1"/>
          <w:numId w:val="2"/>
        </w:numPr>
        <w:tabs>
          <w:tab w:val="left" w:pos="836"/>
        </w:tabs>
        <w:autoSpaceDE w:val="0"/>
        <w:autoSpaceDN w:val="0"/>
        <w:spacing w:line="259" w:lineRule="auto"/>
        <w:ind w:right="114"/>
        <w:contextualSpacing w:val="0"/>
        <w:rPr>
          <w:rFonts w:cs="Arial"/>
          <w:lang w:val="fr-FR"/>
        </w:rPr>
      </w:pPr>
      <w:r w:rsidRPr="00977881">
        <w:rPr>
          <w:rFonts w:cs="Arial"/>
          <w:lang w:val="fr-FR"/>
        </w:rPr>
        <w:t>La clause</w:t>
      </w:r>
      <w:r w:rsidRPr="00977881">
        <w:rPr>
          <w:rFonts w:cs="Arial"/>
          <w:i/>
          <w:lang w:val="fr-FR"/>
        </w:rPr>
        <w:t xml:space="preserve"> de possibilité raisonnable </w:t>
      </w:r>
      <w:r w:rsidRPr="00977881">
        <w:rPr>
          <w:rFonts w:cs="Arial"/>
          <w:lang w:val="fr-FR"/>
        </w:rPr>
        <w:t>a été introduite lors de la Conférence diplomatique de 1991 comme une alternative souple à des propositions plus strictes (« aucune possibilité légale » / « malgré toute la diligence requise ») et elle ne figurait pas dans l'Acte de 1978 ni dans les textes antérieurs.</w:t>
      </w:r>
    </w:p>
    <w:p w14:paraId="78995AFB" w14:textId="77777777" w:rsidR="006C6976" w:rsidRPr="00977881"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fr-FR"/>
        </w:rPr>
      </w:pPr>
      <w:r w:rsidRPr="00977881">
        <w:rPr>
          <w:rFonts w:cs="Arial"/>
          <w:lang w:val="fr-FR"/>
        </w:rPr>
        <w:t>Cette clause a été adoptée à titre de compromis lors de la Conférence diplomatique de 1991, en remplacement de propositions plus strictes telles que « aucune possibilité légale » ou « malgré toute la diligence requise ». Ce choix rédactionnel a permis d'assurer une interprétation souple et adaptée au contexte tout en préservant la structure en cascade. Il reflète un compromis négocié visant à préserver la structure en cascade tout en permettant une interprétation judiciaire contextuelle et a marqué une nouvelle garantie dans l'extension des droits au matériel récolté.</w:t>
      </w:r>
    </w:p>
    <w:p w14:paraId="0C782F5D" w14:textId="6E0CB56F" w:rsidR="006C6976" w:rsidRPr="00977881"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fr-FR"/>
        </w:rPr>
      </w:pPr>
      <w:r w:rsidRPr="00977881">
        <w:rPr>
          <w:rFonts w:cs="Arial"/>
          <w:lang w:val="fr-FR"/>
        </w:rPr>
        <w:t xml:space="preserve">Sa fonction première est d'assurer la proportionnalité : l'application en aval sur le matériel récolté n'est autorisée que lorsque les obtenteurs n'ont pas eu de possibilité réaliste d'exercer leurs droits plus tôt, au stade de la reproduction. La distinction établie lors de la Conférence entre « l'exercice » des droits (par exemple, l'octroi de licences ou la perception de redevances) et « l'application » (recours juridiques) a confirmé que </w:t>
      </w:r>
      <w:r w:rsidRPr="00977881">
        <w:rPr>
          <w:rFonts w:cs="Arial"/>
          <w:i/>
          <w:lang w:val="fr-FR"/>
        </w:rPr>
        <w:t xml:space="preserve">la possibilité raisonnable </w:t>
      </w:r>
      <w:r w:rsidRPr="00977881">
        <w:rPr>
          <w:rFonts w:cs="Arial"/>
          <w:lang w:val="fr-FR"/>
        </w:rPr>
        <w:t>concerne principalement le premier : à savoir si l'obtenteur avait une possibilité commercialement significative d'intervenir en amont.</w:t>
      </w:r>
    </w:p>
    <w:p w14:paraId="79BDBD27" w14:textId="77777777" w:rsidR="006C6976" w:rsidRPr="00977881" w:rsidRDefault="006C6976" w:rsidP="006C6976">
      <w:pPr>
        <w:pStyle w:val="ListParagraph"/>
        <w:widowControl w:val="0"/>
        <w:numPr>
          <w:ilvl w:val="1"/>
          <w:numId w:val="2"/>
        </w:numPr>
        <w:tabs>
          <w:tab w:val="left" w:pos="836"/>
        </w:tabs>
        <w:autoSpaceDE w:val="0"/>
        <w:autoSpaceDN w:val="0"/>
        <w:spacing w:before="160" w:line="259" w:lineRule="auto"/>
        <w:ind w:right="114"/>
        <w:contextualSpacing w:val="0"/>
        <w:rPr>
          <w:rFonts w:cs="Arial"/>
          <w:lang w:val="fr-FR"/>
        </w:rPr>
      </w:pPr>
      <w:r w:rsidRPr="00977881">
        <w:rPr>
          <w:rFonts w:cs="Arial"/>
          <w:lang w:val="fr-FR"/>
        </w:rPr>
        <w:t>Les notes explicatives (UPOV/EXN/HRV/1) précisent que deux conditions cumulatives doivent être remplies : (i) l'utilisation non autorisée de matériel de reproduction ou de multiplication, et (ii) l'absence de possibilité raisonnable d'agir à ce stade. La clause est territoriale et fondée sur des faits, évaluée en fonction des circonstances spécifiques de chaque cas.</w:t>
      </w:r>
    </w:p>
    <w:p w14:paraId="7F0E6E1C" w14:textId="77777777" w:rsidR="006C6976" w:rsidRPr="00977881" w:rsidRDefault="006C6976" w:rsidP="006C6976">
      <w:pPr>
        <w:pStyle w:val="ListParagraph"/>
        <w:widowControl w:val="0"/>
        <w:numPr>
          <w:ilvl w:val="1"/>
          <w:numId w:val="2"/>
        </w:numPr>
        <w:tabs>
          <w:tab w:val="left" w:pos="835"/>
          <w:tab w:val="left" w:pos="836"/>
        </w:tabs>
        <w:autoSpaceDE w:val="0"/>
        <w:autoSpaceDN w:val="0"/>
        <w:spacing w:before="157"/>
        <w:ind w:hanging="361"/>
        <w:contextualSpacing w:val="0"/>
        <w:rPr>
          <w:rFonts w:cs="Arial"/>
          <w:lang w:val="fr-FR"/>
        </w:rPr>
      </w:pPr>
      <w:r w:rsidRPr="00977881">
        <w:rPr>
          <w:rFonts w:cs="Arial"/>
          <w:lang w:val="fr-FR"/>
        </w:rPr>
        <w:t xml:space="preserve">La jurisprudence illustre la portée pratique de cette </w:t>
      </w:r>
      <w:r w:rsidRPr="00977881">
        <w:rPr>
          <w:rFonts w:cs="Arial"/>
          <w:spacing w:val="-2"/>
          <w:lang w:val="fr-FR"/>
        </w:rPr>
        <w:t>condition.</w:t>
      </w:r>
    </w:p>
    <w:p w14:paraId="67A32C91" w14:textId="77777777" w:rsidR="006C6976" w:rsidRPr="00977881" w:rsidRDefault="006C6976" w:rsidP="006C6976">
      <w:pPr>
        <w:pStyle w:val="ListParagraph"/>
        <w:widowControl w:val="0"/>
        <w:numPr>
          <w:ilvl w:val="2"/>
          <w:numId w:val="2"/>
        </w:numPr>
        <w:tabs>
          <w:tab w:val="left" w:pos="1556"/>
        </w:tabs>
        <w:autoSpaceDE w:val="0"/>
        <w:autoSpaceDN w:val="0"/>
        <w:spacing w:before="185" w:line="254" w:lineRule="auto"/>
        <w:ind w:right="114"/>
        <w:contextualSpacing w:val="0"/>
        <w:rPr>
          <w:rFonts w:cs="Arial"/>
          <w:lang w:val="fr-FR"/>
        </w:rPr>
      </w:pPr>
      <w:proofErr w:type="spellStart"/>
      <w:r w:rsidRPr="00977881">
        <w:rPr>
          <w:rFonts w:cs="Arial"/>
          <w:b/>
          <w:lang w:val="fr-FR"/>
        </w:rPr>
        <w:t>Nadorcott</w:t>
      </w:r>
      <w:proofErr w:type="spellEnd"/>
      <w:r w:rsidRPr="00977881">
        <w:rPr>
          <w:rFonts w:cs="Arial"/>
          <w:b/>
          <w:lang w:val="fr-FR"/>
        </w:rPr>
        <w:t xml:space="preserve"> (CJUE) </w:t>
      </w:r>
      <w:r w:rsidRPr="00977881">
        <w:rPr>
          <w:rFonts w:cs="Arial"/>
          <w:lang w:val="fr-FR"/>
        </w:rPr>
        <w:t>– restrictive ; la période de protection provisoire ne requiert pas les conditions préalables d'utilisation non autorisée et d'opportunité raisonnable, car la cascade ne s'applique qu'à une variété protégée.</w:t>
      </w:r>
    </w:p>
    <w:p w14:paraId="79F1B560" w14:textId="77777777" w:rsidR="006C6976" w:rsidRPr="00977881" w:rsidRDefault="006C6976" w:rsidP="006C6976">
      <w:pPr>
        <w:pStyle w:val="ListParagraph"/>
        <w:widowControl w:val="0"/>
        <w:numPr>
          <w:ilvl w:val="2"/>
          <w:numId w:val="2"/>
        </w:numPr>
        <w:tabs>
          <w:tab w:val="left" w:pos="1556"/>
        </w:tabs>
        <w:autoSpaceDE w:val="0"/>
        <w:autoSpaceDN w:val="0"/>
        <w:spacing w:before="165" w:line="254" w:lineRule="auto"/>
        <w:ind w:right="114"/>
        <w:contextualSpacing w:val="0"/>
        <w:rPr>
          <w:rFonts w:cs="Arial"/>
          <w:lang w:val="fr-FR"/>
        </w:rPr>
      </w:pPr>
      <w:proofErr w:type="spellStart"/>
      <w:r w:rsidRPr="00977881">
        <w:rPr>
          <w:rFonts w:cs="Arial"/>
          <w:b/>
          <w:lang w:val="fr-FR"/>
        </w:rPr>
        <w:t>Melanie</w:t>
      </w:r>
      <w:proofErr w:type="spellEnd"/>
      <w:r w:rsidRPr="00977881">
        <w:rPr>
          <w:rFonts w:cs="Arial"/>
          <w:b/>
          <w:lang w:val="fr-FR"/>
        </w:rPr>
        <w:t xml:space="preserve"> (BGH, Allemagne) </w:t>
      </w:r>
      <w:r w:rsidRPr="00977881">
        <w:rPr>
          <w:rFonts w:cs="Arial"/>
          <w:lang w:val="fr-FR"/>
        </w:rPr>
        <w:t>– les limites extraterritoriales (absence de droits en France) constituaient une absence d'opportunité. Il a été jugé que l'incapacité du sélectionneur à faire valoir ses droits à l'étranger était suffisante pour satisfaire à la clause.</w:t>
      </w:r>
    </w:p>
    <w:p w14:paraId="48C829FF" w14:textId="77777777" w:rsidR="006C6976" w:rsidRPr="00977881" w:rsidRDefault="006C6976" w:rsidP="006C6976">
      <w:pPr>
        <w:pStyle w:val="ListParagraph"/>
        <w:widowControl w:val="0"/>
        <w:numPr>
          <w:ilvl w:val="2"/>
          <w:numId w:val="2"/>
        </w:numPr>
        <w:tabs>
          <w:tab w:val="left" w:pos="1556"/>
        </w:tabs>
        <w:autoSpaceDE w:val="0"/>
        <w:autoSpaceDN w:val="0"/>
        <w:spacing w:before="170" w:line="256" w:lineRule="auto"/>
        <w:ind w:right="114"/>
        <w:contextualSpacing w:val="0"/>
        <w:rPr>
          <w:rFonts w:cs="Arial"/>
          <w:lang w:val="fr-FR"/>
        </w:rPr>
      </w:pPr>
      <w:r w:rsidRPr="00977881">
        <w:rPr>
          <w:rFonts w:cs="Arial"/>
          <w:b/>
          <w:spacing w:val="-2"/>
          <w:lang w:val="fr-FR"/>
        </w:rPr>
        <w:lastRenderedPageBreak/>
        <w:t xml:space="preserve">Shiitake (Haute Cour de propriété intellectuelle, Japon) </w:t>
      </w:r>
      <w:r w:rsidRPr="00977881">
        <w:rPr>
          <w:rFonts w:cs="Arial"/>
          <w:spacing w:val="-2"/>
          <w:lang w:val="fr-FR"/>
        </w:rPr>
        <w:t xml:space="preserve">– a reconnu des limites factuelles plus larges (lacunes juridiques </w:t>
      </w:r>
      <w:r w:rsidRPr="00977881">
        <w:rPr>
          <w:rFonts w:cs="Arial"/>
          <w:lang w:val="fr-FR"/>
        </w:rPr>
        <w:t xml:space="preserve">à l'étranger, obstacles techniques et en matière de preuve). Elle a étendu le raisonnement en reconnaissant que l'absence de protection juridique à l'étranger, les contraintes en matière de preuve et les défis techniques pouvaient, ensemble, équivaloir à une absence de </w:t>
      </w:r>
      <w:r w:rsidRPr="00977881">
        <w:rPr>
          <w:rFonts w:cs="Arial"/>
          <w:spacing w:val="-2"/>
          <w:lang w:val="fr-FR"/>
        </w:rPr>
        <w:t>possibilité</w:t>
      </w:r>
      <w:r w:rsidRPr="00977881">
        <w:rPr>
          <w:rFonts w:cs="Arial"/>
          <w:lang w:val="fr-FR"/>
        </w:rPr>
        <w:t xml:space="preserve"> raisonnable</w:t>
      </w:r>
      <w:r w:rsidRPr="00977881">
        <w:rPr>
          <w:rFonts w:cs="Arial"/>
          <w:spacing w:val="-2"/>
          <w:lang w:val="fr-FR"/>
        </w:rPr>
        <w:t>.</w:t>
      </w:r>
    </w:p>
    <w:p w14:paraId="41FFFADF" w14:textId="77777777" w:rsidR="006C6976" w:rsidRPr="00977881" w:rsidRDefault="006C6976" w:rsidP="006C6976">
      <w:pPr>
        <w:pStyle w:val="ListParagraph"/>
        <w:widowControl w:val="0"/>
        <w:numPr>
          <w:ilvl w:val="2"/>
          <w:numId w:val="2"/>
        </w:numPr>
        <w:tabs>
          <w:tab w:val="left" w:pos="1556"/>
        </w:tabs>
        <w:autoSpaceDE w:val="0"/>
        <w:autoSpaceDN w:val="0"/>
        <w:spacing w:before="162" w:line="254" w:lineRule="auto"/>
        <w:ind w:right="114"/>
        <w:contextualSpacing w:val="0"/>
        <w:rPr>
          <w:rFonts w:cs="Arial"/>
          <w:lang w:val="fr-FR"/>
        </w:rPr>
      </w:pPr>
      <w:proofErr w:type="spellStart"/>
      <w:r w:rsidRPr="00977881">
        <w:rPr>
          <w:rFonts w:cs="Arial"/>
          <w:b/>
          <w:lang w:val="fr-FR"/>
        </w:rPr>
        <w:t>Erntegut</w:t>
      </w:r>
      <w:proofErr w:type="spellEnd"/>
      <w:r w:rsidRPr="00977881">
        <w:rPr>
          <w:rFonts w:cs="Arial"/>
          <w:b/>
          <w:lang w:val="fr-FR"/>
        </w:rPr>
        <w:t xml:space="preserve"> (BGH, Allemagne) </w:t>
      </w:r>
      <w:r w:rsidRPr="00977881">
        <w:rPr>
          <w:rFonts w:cs="Arial"/>
          <w:lang w:val="fr-FR"/>
        </w:rPr>
        <w:t>– a souligné l'importance de la possibilité concrète pour l'obtenteur d'exercer son droit ; l'absence de traçabilité et les chaînes d'approvisionnement cachées excluaient la possibilité d'agir en amont.</w:t>
      </w:r>
    </w:p>
    <w:p w14:paraId="144811AF" w14:textId="77777777" w:rsidR="006C6976" w:rsidRPr="00977881" w:rsidRDefault="006C6976" w:rsidP="006C6976">
      <w:pPr>
        <w:pStyle w:val="ListParagraph"/>
        <w:widowControl w:val="0"/>
        <w:numPr>
          <w:ilvl w:val="1"/>
          <w:numId w:val="2"/>
        </w:numPr>
        <w:tabs>
          <w:tab w:val="left" w:pos="836"/>
        </w:tabs>
        <w:autoSpaceDE w:val="0"/>
        <w:autoSpaceDN w:val="0"/>
        <w:spacing w:before="170" w:line="259" w:lineRule="auto"/>
        <w:ind w:right="114"/>
        <w:contextualSpacing w:val="0"/>
        <w:rPr>
          <w:rFonts w:cs="Arial"/>
          <w:lang w:val="fr-FR"/>
        </w:rPr>
      </w:pPr>
      <w:r w:rsidRPr="00977881">
        <w:rPr>
          <w:rFonts w:cs="Arial"/>
          <w:lang w:val="fr-FR"/>
        </w:rPr>
        <w:t xml:space="preserve">Dans toutes les juridictions, la notion </w:t>
      </w:r>
      <w:r w:rsidRPr="00977881">
        <w:rPr>
          <w:rFonts w:cs="Arial"/>
          <w:i/>
          <w:lang w:val="fr-FR"/>
        </w:rPr>
        <w:t xml:space="preserve">d'opportunité raisonnable </w:t>
      </w:r>
      <w:r w:rsidRPr="00977881">
        <w:rPr>
          <w:rFonts w:cs="Arial"/>
          <w:lang w:val="fr-FR"/>
        </w:rPr>
        <w:t>est apparue comme un seuil décisif : elle empêche toute application opportuniste ou rétroactive tout en préservant la capacité du sélectionneur à agir lorsque le contrôle en amont était légalement ou pratiquement impossible.</w:t>
      </w:r>
    </w:p>
    <w:p w14:paraId="2BDB23CB" w14:textId="77777777" w:rsidR="006C6976" w:rsidRPr="00977881" w:rsidRDefault="006C6976" w:rsidP="006C6976">
      <w:pPr>
        <w:pStyle w:val="ListParagraph"/>
        <w:widowControl w:val="0"/>
        <w:numPr>
          <w:ilvl w:val="1"/>
          <w:numId w:val="2"/>
        </w:numPr>
        <w:tabs>
          <w:tab w:val="left" w:pos="836"/>
        </w:tabs>
        <w:autoSpaceDE w:val="0"/>
        <w:autoSpaceDN w:val="0"/>
        <w:spacing w:before="157" w:line="259" w:lineRule="auto"/>
        <w:ind w:right="114"/>
        <w:contextualSpacing w:val="0"/>
        <w:rPr>
          <w:rFonts w:cs="Arial"/>
          <w:lang w:val="fr-FR"/>
        </w:rPr>
      </w:pPr>
      <w:r w:rsidRPr="00977881">
        <w:rPr>
          <w:rFonts w:cs="Arial"/>
          <w:lang w:val="fr-FR"/>
        </w:rPr>
        <w:t xml:space="preserve">En résumé : </w:t>
      </w:r>
      <w:r w:rsidRPr="00977881">
        <w:rPr>
          <w:rFonts w:cs="Arial"/>
          <w:i/>
          <w:lang w:val="fr-FR"/>
        </w:rPr>
        <w:t xml:space="preserve">la possibilité raisonnable </w:t>
      </w:r>
      <w:r w:rsidRPr="00977881">
        <w:rPr>
          <w:rFonts w:cs="Arial"/>
          <w:lang w:val="fr-FR"/>
        </w:rPr>
        <w:t>est apparue comme le seuil décisif pour l'application du principe de cascade : elle empêche les revendications rétroactives ou opportunistes tout en garantissant que les obtenteurs ne soient pas privés de protection lorsque l'application en amont est légalement ou pratiquement impossible.</w:t>
      </w:r>
    </w:p>
    <w:p w14:paraId="10F8E596" w14:textId="77777777" w:rsidR="006C6976" w:rsidRPr="00977881" w:rsidRDefault="006C6976" w:rsidP="006C6976">
      <w:pPr>
        <w:pStyle w:val="BodyText"/>
        <w:spacing w:before="5"/>
        <w:rPr>
          <w:rFonts w:cs="Arial"/>
          <w:lang w:val="fr-FR"/>
        </w:rPr>
      </w:pPr>
    </w:p>
    <w:p w14:paraId="378C5FDE" w14:textId="77777777" w:rsidR="006C6976" w:rsidRPr="00977881" w:rsidRDefault="006C6976" w:rsidP="006C6976">
      <w:pPr>
        <w:pStyle w:val="Heading1"/>
        <w:rPr>
          <w:lang w:val="fr-FR"/>
        </w:rPr>
      </w:pPr>
      <w:r w:rsidRPr="00977881">
        <w:rPr>
          <w:lang w:val="fr-FR"/>
        </w:rPr>
        <w:t xml:space="preserve">III Matériel de multiplication et </w:t>
      </w:r>
      <w:r w:rsidRPr="00977881">
        <w:rPr>
          <w:spacing w:val="-2"/>
          <w:lang w:val="fr-FR"/>
        </w:rPr>
        <w:t xml:space="preserve">matériel </w:t>
      </w:r>
      <w:r w:rsidRPr="00977881">
        <w:rPr>
          <w:lang w:val="fr-FR"/>
        </w:rPr>
        <w:t xml:space="preserve">récolté </w:t>
      </w:r>
      <w:r w:rsidRPr="00977881">
        <w:rPr>
          <w:spacing w:val="-2"/>
          <w:lang w:val="fr-FR"/>
        </w:rPr>
        <w:t>:</w:t>
      </w:r>
    </w:p>
    <w:p w14:paraId="1F46A037" w14:textId="77777777" w:rsidR="006C6976" w:rsidRPr="00977881" w:rsidRDefault="006C6976" w:rsidP="006C6976">
      <w:pPr>
        <w:pStyle w:val="BodyText"/>
        <w:spacing w:before="5"/>
        <w:rPr>
          <w:rFonts w:cs="Arial"/>
          <w:b/>
          <w:lang w:val="fr-FR"/>
        </w:rPr>
      </w:pPr>
    </w:p>
    <w:p w14:paraId="737D2C47" w14:textId="77777777" w:rsidR="006C6976" w:rsidRDefault="006C6976" w:rsidP="006C6976">
      <w:pPr>
        <w:pStyle w:val="BodyText"/>
        <w:spacing w:line="276" w:lineRule="auto"/>
        <w:ind w:left="116" w:right="262"/>
        <w:rPr>
          <w:rFonts w:cs="Arial"/>
        </w:rPr>
      </w:pPr>
      <w:r w:rsidRPr="00977881">
        <w:rPr>
          <w:rFonts w:cs="Arial"/>
          <w:lang w:val="fr-FR"/>
        </w:rPr>
        <w:t xml:space="preserve">Les actes de la conférence de 1991 prennent clairement position en faveur de la non-définition des termes « matériel de reproduction » et « matériel récolté ». Ils ont examiné des propositions d'amendements qui n'ont finalement pas été adoptées, ce qui permet de tirer des conclusions sur la compréhension du texte final, mais ils n'expliquent cela qu'indirectement et sans prendre position clairement sur la question controversée de la portée des protections. Ces débats ont également reporté une partie de la discussion sur le « matériel de reproduction » et le « matériel récolté » aux discussions sur l'épuisement (article 16). </w:t>
      </w:r>
      <w:r w:rsidRPr="00981F05">
        <w:rPr>
          <w:rFonts w:cs="Arial"/>
        </w:rPr>
        <w:t xml:space="preserve">Dans </w:t>
      </w:r>
      <w:proofErr w:type="spellStart"/>
      <w:r w:rsidRPr="00981F05">
        <w:rPr>
          <w:rFonts w:cs="Arial"/>
        </w:rPr>
        <w:t>cette</w:t>
      </w:r>
      <w:proofErr w:type="spellEnd"/>
      <w:r w:rsidRPr="00981F05">
        <w:rPr>
          <w:rFonts w:cs="Arial"/>
        </w:rPr>
        <w:t xml:space="preserve"> </w:t>
      </w:r>
      <w:proofErr w:type="spellStart"/>
      <w:r w:rsidRPr="00981F05">
        <w:rPr>
          <w:rFonts w:cs="Arial"/>
        </w:rPr>
        <w:t>optique</w:t>
      </w:r>
      <w:proofErr w:type="spellEnd"/>
      <w:r w:rsidRPr="00981F05">
        <w:rPr>
          <w:rFonts w:cs="Arial"/>
        </w:rPr>
        <w:t>, les conclusions prudentes suivantes s'imposent :</w:t>
      </w:r>
    </w:p>
    <w:p w14:paraId="1415D2A8" w14:textId="77777777" w:rsidR="006C6976" w:rsidRPr="00981F05" w:rsidRDefault="006C6976" w:rsidP="006C6976">
      <w:pPr>
        <w:pStyle w:val="BodyText"/>
        <w:spacing w:line="276" w:lineRule="auto"/>
        <w:ind w:left="116" w:right="262"/>
        <w:rPr>
          <w:rFonts w:cs="Arial"/>
        </w:rPr>
      </w:pPr>
    </w:p>
    <w:p w14:paraId="58CA985E" w14:textId="77777777" w:rsidR="006C6976" w:rsidRPr="00977881" w:rsidRDefault="006C6976" w:rsidP="006C6976">
      <w:pPr>
        <w:pStyle w:val="ListParagraph"/>
        <w:widowControl w:val="0"/>
        <w:numPr>
          <w:ilvl w:val="0"/>
          <w:numId w:val="4"/>
        </w:numPr>
        <w:tabs>
          <w:tab w:val="left" w:pos="682"/>
          <w:tab w:val="left" w:pos="683"/>
        </w:tabs>
        <w:autoSpaceDE w:val="0"/>
        <w:autoSpaceDN w:val="0"/>
        <w:spacing w:before="79" w:line="276" w:lineRule="auto"/>
        <w:ind w:right="115"/>
        <w:contextualSpacing w:val="0"/>
        <w:jc w:val="both"/>
        <w:rPr>
          <w:rFonts w:cs="Arial"/>
          <w:lang w:val="fr-FR"/>
        </w:rPr>
      </w:pPr>
      <w:r w:rsidRPr="00977881">
        <w:rPr>
          <w:rFonts w:cs="Arial"/>
          <w:lang w:val="fr-FR"/>
        </w:rPr>
        <w:t>Pour les « matières récoltées » pouvant être utilisées comme « matériels de reproduction » ou comme produits de consommation (pommes de terre, cultures, etc.), la simple possibilité biologique d'utiliser ces matières à des fins de reproduction n'a pas été jugée suffisante pour appliquer le premier niveau de la cascade ; toutefois, les archives ne prennent pas clairement position quant aux conditions supplémentaires (par exemple, l'intention ou la connaissance) qui doivent être remplies pour qualifier les produits de consommation de « matériels de multiplication ».</w:t>
      </w:r>
    </w:p>
    <w:p w14:paraId="6F442211" w14:textId="77777777" w:rsidR="006C6976" w:rsidRPr="00977881" w:rsidRDefault="006C6976" w:rsidP="006C6976">
      <w:pPr>
        <w:pStyle w:val="ListParagraph"/>
        <w:widowControl w:val="0"/>
        <w:numPr>
          <w:ilvl w:val="0"/>
          <w:numId w:val="4"/>
        </w:numPr>
        <w:tabs>
          <w:tab w:val="left" w:pos="682"/>
          <w:tab w:val="left" w:pos="683"/>
        </w:tabs>
        <w:autoSpaceDE w:val="0"/>
        <w:autoSpaceDN w:val="0"/>
        <w:spacing w:before="1" w:line="276" w:lineRule="auto"/>
        <w:ind w:right="147"/>
        <w:contextualSpacing w:val="0"/>
        <w:jc w:val="both"/>
        <w:rPr>
          <w:rFonts w:cs="Arial"/>
          <w:lang w:val="fr-FR"/>
        </w:rPr>
      </w:pPr>
      <w:r w:rsidRPr="00977881">
        <w:rPr>
          <w:rFonts w:cs="Arial"/>
          <w:lang w:val="fr-FR"/>
        </w:rPr>
        <w:t>Les archives indiquent que les matériels végétaux qui ne sont ni des « matériels de reproduction » ni des « produits récoltés » au sens littéral du terme devraient néanmoins être couverts, en particulier les plantes entières (plantes en pot, arbres fruitiers), les fleurs coupées, les bulbes à fleurs, les boutures, les semis, etc. En ce qui concerne les fleurs coupées, les archives indiquent clairement que les rédacteurs les considéraient comme des « produits récoltés ». Les délégués ont renvoyé les obtenteurs qui souhaitent bénéficier d'une protection plus étendue à la conclusion de contrats appropriés.</w:t>
      </w:r>
    </w:p>
    <w:p w14:paraId="23DBD0CD" w14:textId="77777777" w:rsidR="006C6976" w:rsidRPr="00977881" w:rsidRDefault="006C6976" w:rsidP="006C6976">
      <w:pPr>
        <w:pStyle w:val="BodyText"/>
        <w:spacing w:before="5"/>
        <w:rPr>
          <w:rFonts w:cs="Arial"/>
          <w:lang w:val="fr-FR"/>
        </w:rPr>
      </w:pPr>
    </w:p>
    <w:p w14:paraId="42E60E3B" w14:textId="77777777" w:rsidR="006C6976" w:rsidRPr="00977881" w:rsidRDefault="006C6976" w:rsidP="006C6976">
      <w:pPr>
        <w:pStyle w:val="BodyText"/>
        <w:spacing w:line="237" w:lineRule="auto"/>
        <w:ind w:left="116" w:right="115"/>
        <w:rPr>
          <w:rFonts w:cs="Arial"/>
          <w:lang w:val="fr-FR"/>
        </w:rPr>
      </w:pPr>
      <w:r w:rsidRPr="00977881">
        <w:rPr>
          <w:rFonts w:cs="Arial"/>
          <w:lang w:val="fr-FR"/>
        </w:rPr>
        <w:t xml:space="preserve">Les décisions judiciaires ne donnent pas une image tout à fait cohérente, mais peuvent être résumées comme </w:t>
      </w:r>
      <w:r w:rsidRPr="00977881">
        <w:rPr>
          <w:rFonts w:cs="Arial"/>
          <w:spacing w:val="-2"/>
          <w:lang w:val="fr-FR"/>
        </w:rPr>
        <w:t>suit :</w:t>
      </w:r>
    </w:p>
    <w:p w14:paraId="0EBCCB66" w14:textId="77777777" w:rsidR="006C6976" w:rsidRPr="00977881" w:rsidRDefault="006C6976" w:rsidP="006C6976">
      <w:pPr>
        <w:pStyle w:val="ListParagraph"/>
        <w:widowControl w:val="0"/>
        <w:numPr>
          <w:ilvl w:val="0"/>
          <w:numId w:val="5"/>
        </w:numPr>
        <w:tabs>
          <w:tab w:val="left" w:pos="683"/>
        </w:tabs>
        <w:autoSpaceDE w:val="0"/>
        <w:autoSpaceDN w:val="0"/>
        <w:spacing w:before="4"/>
        <w:ind w:right="114"/>
        <w:contextualSpacing w:val="0"/>
        <w:jc w:val="both"/>
        <w:rPr>
          <w:rFonts w:cs="Arial"/>
          <w:lang w:val="fr-FR"/>
        </w:rPr>
      </w:pPr>
      <w:r w:rsidRPr="00977881">
        <w:rPr>
          <w:rFonts w:cs="Arial"/>
          <w:lang w:val="fr-FR"/>
        </w:rPr>
        <w:t>Le matériel végétal qui n'est pas capable de reproduction fidèle au type ne peut être qualifié de matériel de reproduction, mais uniquement de matériel récolté (ou de certains produits) si les conditions sont remplies.</w:t>
      </w:r>
    </w:p>
    <w:p w14:paraId="7BD3B2FC" w14:textId="77777777" w:rsidR="006C6976" w:rsidRPr="00981F05" w:rsidRDefault="006C6976" w:rsidP="006C6976">
      <w:pPr>
        <w:pStyle w:val="ListParagraph"/>
        <w:widowControl w:val="0"/>
        <w:numPr>
          <w:ilvl w:val="0"/>
          <w:numId w:val="5"/>
        </w:numPr>
        <w:tabs>
          <w:tab w:val="left" w:pos="683"/>
        </w:tabs>
        <w:autoSpaceDE w:val="0"/>
        <w:autoSpaceDN w:val="0"/>
        <w:spacing w:line="242" w:lineRule="auto"/>
        <w:ind w:right="114"/>
        <w:contextualSpacing w:val="0"/>
        <w:jc w:val="both"/>
        <w:rPr>
          <w:rFonts w:cs="Arial"/>
        </w:rPr>
      </w:pPr>
      <w:r w:rsidRPr="00977881">
        <w:rPr>
          <w:rFonts w:cs="Arial"/>
          <w:lang w:val="fr-FR"/>
        </w:rPr>
        <w:t xml:space="preserve">Le matériel végétal capable de se reproduire conformément à son type ne doit pas nécessairement être qualifié de matériel de reproduction. </w:t>
      </w:r>
      <w:r w:rsidRPr="00981F05">
        <w:rPr>
          <w:rFonts w:cs="Arial"/>
        </w:rPr>
        <w:t xml:space="preserve">Il </w:t>
      </w:r>
      <w:proofErr w:type="spellStart"/>
      <w:r w:rsidRPr="00981F05">
        <w:rPr>
          <w:rFonts w:cs="Arial"/>
        </w:rPr>
        <w:t>convient</w:t>
      </w:r>
      <w:proofErr w:type="spellEnd"/>
      <w:r w:rsidRPr="00981F05">
        <w:rPr>
          <w:rFonts w:cs="Arial"/>
        </w:rPr>
        <w:t xml:space="preserve"> </w:t>
      </w:r>
      <w:proofErr w:type="spellStart"/>
      <w:r w:rsidRPr="00981F05">
        <w:rPr>
          <w:rFonts w:cs="Arial"/>
        </w:rPr>
        <w:t>ici</w:t>
      </w:r>
      <w:proofErr w:type="spellEnd"/>
      <w:r w:rsidRPr="00981F05">
        <w:rPr>
          <w:rFonts w:cs="Arial"/>
        </w:rPr>
        <w:t xml:space="preserve"> de distinguer plusieurs cas :</w:t>
      </w:r>
    </w:p>
    <w:p w14:paraId="038670D3" w14:textId="77777777" w:rsidR="006C6976" w:rsidRPr="00977881" w:rsidRDefault="006C6976" w:rsidP="006C6976">
      <w:pPr>
        <w:pStyle w:val="ListParagraph"/>
        <w:widowControl w:val="0"/>
        <w:numPr>
          <w:ilvl w:val="1"/>
          <w:numId w:val="5"/>
        </w:numPr>
        <w:tabs>
          <w:tab w:val="left" w:pos="1250"/>
        </w:tabs>
        <w:autoSpaceDE w:val="0"/>
        <w:autoSpaceDN w:val="0"/>
        <w:spacing w:line="271" w:lineRule="exact"/>
        <w:ind w:hanging="568"/>
        <w:contextualSpacing w:val="0"/>
        <w:jc w:val="both"/>
        <w:rPr>
          <w:rFonts w:cs="Arial"/>
          <w:lang w:val="fr-FR"/>
        </w:rPr>
      </w:pPr>
      <w:r w:rsidRPr="00977881">
        <w:rPr>
          <w:rFonts w:cs="Arial"/>
          <w:lang w:val="fr-FR"/>
        </w:rPr>
        <w:t xml:space="preserve">Les parties de plantes ou les plantes entières optimisées pour la reproduction sont </w:t>
      </w:r>
      <w:r w:rsidRPr="00977881">
        <w:rPr>
          <w:rFonts w:cs="Arial"/>
          <w:spacing w:val="-2"/>
          <w:lang w:val="fr-FR"/>
        </w:rPr>
        <w:t xml:space="preserve">des matériels </w:t>
      </w:r>
      <w:r w:rsidRPr="00977881">
        <w:rPr>
          <w:rFonts w:cs="Arial"/>
          <w:lang w:val="fr-FR"/>
        </w:rPr>
        <w:t>de reproduction</w:t>
      </w:r>
      <w:r w:rsidRPr="00977881">
        <w:rPr>
          <w:rFonts w:cs="Arial"/>
          <w:spacing w:val="-2"/>
          <w:lang w:val="fr-FR"/>
        </w:rPr>
        <w:t>.</w:t>
      </w:r>
    </w:p>
    <w:p w14:paraId="57A30B1E" w14:textId="77777777" w:rsidR="006C6976" w:rsidRPr="00977881" w:rsidRDefault="006C6976" w:rsidP="006C6976">
      <w:pPr>
        <w:pStyle w:val="ListParagraph"/>
        <w:widowControl w:val="0"/>
        <w:numPr>
          <w:ilvl w:val="1"/>
          <w:numId w:val="5"/>
        </w:numPr>
        <w:tabs>
          <w:tab w:val="left" w:pos="1250"/>
        </w:tabs>
        <w:autoSpaceDE w:val="0"/>
        <w:autoSpaceDN w:val="0"/>
        <w:spacing w:before="2" w:line="237" w:lineRule="auto"/>
        <w:ind w:right="114"/>
        <w:contextualSpacing w:val="0"/>
        <w:jc w:val="both"/>
        <w:rPr>
          <w:rFonts w:cs="Arial"/>
          <w:lang w:val="fr-FR"/>
        </w:rPr>
      </w:pPr>
      <w:r w:rsidRPr="00977881">
        <w:rPr>
          <w:rFonts w:cs="Arial"/>
          <w:lang w:val="fr-FR"/>
        </w:rPr>
        <w:t xml:space="preserve">Les parties de plantes ou les plantes entières optimisées pour la culture ou la croissance (professionnelle) sont des matériels de multiplication (bulbes à fleurs, boutures) (« </w:t>
      </w:r>
      <w:proofErr w:type="spellStart"/>
      <w:r w:rsidRPr="00977881">
        <w:rPr>
          <w:rFonts w:cs="Arial"/>
          <w:lang w:val="fr-FR"/>
        </w:rPr>
        <w:t>Goldfinger</w:t>
      </w:r>
      <w:proofErr w:type="spellEnd"/>
      <w:r w:rsidRPr="00977881">
        <w:rPr>
          <w:rFonts w:cs="Arial"/>
          <w:lang w:val="fr-FR"/>
        </w:rPr>
        <w:t xml:space="preserve"> », « Amaryllis »).</w:t>
      </w:r>
    </w:p>
    <w:p w14:paraId="24EE6E25" w14:textId="77777777" w:rsidR="006C6976" w:rsidRPr="00977881" w:rsidRDefault="006C6976" w:rsidP="006C6976">
      <w:pPr>
        <w:pStyle w:val="ListParagraph"/>
        <w:widowControl w:val="0"/>
        <w:numPr>
          <w:ilvl w:val="1"/>
          <w:numId w:val="5"/>
        </w:numPr>
        <w:tabs>
          <w:tab w:val="left" w:pos="823"/>
          <w:tab w:val="left" w:pos="824"/>
        </w:tabs>
        <w:autoSpaceDE w:val="0"/>
        <w:autoSpaceDN w:val="0"/>
        <w:spacing w:before="3"/>
        <w:ind w:left="116" w:right="354" w:firstLine="0"/>
        <w:contextualSpacing w:val="0"/>
        <w:jc w:val="both"/>
        <w:rPr>
          <w:rFonts w:cs="Arial"/>
          <w:lang w:val="fr-FR"/>
        </w:rPr>
      </w:pPr>
      <w:r w:rsidRPr="00977881">
        <w:rPr>
          <w:rFonts w:cs="Arial"/>
          <w:lang w:val="fr-FR"/>
        </w:rPr>
        <w:t xml:space="preserve">Les parties de plantes ou les plantes entières qui sont des produits de consommation typiques récoltés (pommes de terre, cultures, fleurs coupées, plantes en pot, champignons </w:t>
      </w:r>
      <w:proofErr w:type="spellStart"/>
      <w:r w:rsidRPr="00977881">
        <w:rPr>
          <w:rFonts w:cs="Arial"/>
          <w:lang w:val="fr-FR"/>
        </w:rPr>
        <w:t>Shitake</w:t>
      </w:r>
      <w:proofErr w:type="spellEnd"/>
      <w:r w:rsidRPr="00977881">
        <w:rPr>
          <w:rFonts w:cs="Arial"/>
          <w:lang w:val="fr-FR"/>
        </w:rPr>
        <w:t xml:space="preserve">), si elles ne sont pas vendues ou utilisées comme matériel de multiplication ou de culture (« Achat », « </w:t>
      </w:r>
      <w:proofErr w:type="spellStart"/>
      <w:r w:rsidRPr="00977881">
        <w:rPr>
          <w:rFonts w:cs="Arial"/>
          <w:lang w:val="fr-FR"/>
        </w:rPr>
        <w:t>Cilena</w:t>
      </w:r>
      <w:proofErr w:type="spellEnd"/>
      <w:r w:rsidRPr="00977881">
        <w:rPr>
          <w:rFonts w:cs="Arial"/>
          <w:lang w:val="fr-FR"/>
        </w:rPr>
        <w:t xml:space="preserve"> », « </w:t>
      </w:r>
      <w:proofErr w:type="spellStart"/>
      <w:r w:rsidRPr="00977881">
        <w:rPr>
          <w:rFonts w:cs="Arial"/>
          <w:lang w:val="fr-FR"/>
        </w:rPr>
        <w:lastRenderedPageBreak/>
        <w:t>Melanie</w:t>
      </w:r>
      <w:proofErr w:type="spellEnd"/>
      <w:r w:rsidRPr="00977881">
        <w:rPr>
          <w:rFonts w:cs="Arial"/>
          <w:lang w:val="fr-FR"/>
        </w:rPr>
        <w:t xml:space="preserve"> », mais « Franklin », mais </w:t>
      </w:r>
      <w:r w:rsidRPr="00977881">
        <w:rPr>
          <w:rFonts w:cs="Arial"/>
          <w:spacing w:val="-2"/>
          <w:lang w:val="fr-FR"/>
        </w:rPr>
        <w:t xml:space="preserve">« </w:t>
      </w:r>
      <w:proofErr w:type="spellStart"/>
      <w:r w:rsidRPr="00977881">
        <w:rPr>
          <w:rFonts w:cs="Arial"/>
          <w:spacing w:val="-2"/>
          <w:lang w:val="fr-FR"/>
        </w:rPr>
        <w:t>Amethyst</w:t>
      </w:r>
      <w:proofErr w:type="spellEnd"/>
      <w:r w:rsidRPr="00977881">
        <w:rPr>
          <w:rFonts w:cs="Arial"/>
          <w:spacing w:val="-2"/>
          <w:lang w:val="fr-FR"/>
        </w:rPr>
        <w:t xml:space="preserve"> »).</w:t>
      </w:r>
    </w:p>
    <w:p w14:paraId="6A0438A9" w14:textId="77777777" w:rsidR="006C6976" w:rsidRPr="00977881" w:rsidRDefault="006C6976" w:rsidP="006C6976">
      <w:pPr>
        <w:pStyle w:val="BodyText"/>
        <w:spacing w:before="9"/>
        <w:rPr>
          <w:rFonts w:cs="Arial"/>
          <w:lang w:val="fr-FR"/>
        </w:rPr>
      </w:pPr>
    </w:p>
    <w:p w14:paraId="3EFEA694" w14:textId="77777777" w:rsidR="006C6976" w:rsidRPr="00981F05" w:rsidRDefault="006C6976" w:rsidP="006C6976">
      <w:pPr>
        <w:pStyle w:val="Heading1"/>
        <w:spacing w:before="1"/>
      </w:pPr>
      <w:r w:rsidRPr="00981F05">
        <w:rPr>
          <w:spacing w:val="-2"/>
        </w:rPr>
        <w:t xml:space="preserve">Travaux </w:t>
      </w:r>
      <w:proofErr w:type="gramStart"/>
      <w:r w:rsidRPr="00981F05">
        <w:t xml:space="preserve">futurs </w:t>
      </w:r>
      <w:r w:rsidRPr="00981F05">
        <w:rPr>
          <w:spacing w:val="-2"/>
        </w:rPr>
        <w:t>:</w:t>
      </w:r>
      <w:proofErr w:type="gramEnd"/>
    </w:p>
    <w:p w14:paraId="4A4946EB" w14:textId="77777777" w:rsidR="006C6976" w:rsidRPr="00981F05" w:rsidRDefault="006C6976" w:rsidP="006C6976">
      <w:pPr>
        <w:pStyle w:val="BodyText"/>
        <w:spacing w:before="11"/>
        <w:rPr>
          <w:rFonts w:cs="Arial"/>
          <w:b/>
        </w:rPr>
      </w:pPr>
    </w:p>
    <w:p w14:paraId="78328653" w14:textId="77777777" w:rsidR="006C6976" w:rsidRPr="00977881" w:rsidRDefault="006C6976" w:rsidP="006C6976">
      <w:pPr>
        <w:pStyle w:val="ListParagraph"/>
        <w:widowControl w:val="0"/>
        <w:numPr>
          <w:ilvl w:val="2"/>
          <w:numId w:val="5"/>
        </w:numPr>
        <w:tabs>
          <w:tab w:val="left" w:pos="356"/>
        </w:tabs>
        <w:autoSpaceDE w:val="0"/>
        <w:autoSpaceDN w:val="0"/>
        <w:contextualSpacing w:val="0"/>
        <w:jc w:val="both"/>
        <w:rPr>
          <w:rFonts w:cs="Arial"/>
          <w:lang w:val="fr-FR"/>
        </w:rPr>
      </w:pPr>
      <w:r w:rsidRPr="00977881">
        <w:rPr>
          <w:rFonts w:cs="Arial"/>
          <w:lang w:val="fr-FR"/>
        </w:rPr>
        <w:t xml:space="preserve">Analyser la relation entre l'utilisation non autorisée et </w:t>
      </w:r>
      <w:r w:rsidRPr="00977881">
        <w:rPr>
          <w:rFonts w:cs="Arial"/>
          <w:spacing w:val="-2"/>
          <w:lang w:val="fr-FR"/>
        </w:rPr>
        <w:t>l'épuisement.</w:t>
      </w:r>
    </w:p>
    <w:p w14:paraId="45582001" w14:textId="77777777" w:rsidR="006C6976" w:rsidRPr="00977881" w:rsidRDefault="006C6976" w:rsidP="006C6976">
      <w:pPr>
        <w:pStyle w:val="BodyText"/>
        <w:rPr>
          <w:rFonts w:cs="Arial"/>
          <w:lang w:val="fr-FR"/>
        </w:rPr>
      </w:pPr>
    </w:p>
    <w:p w14:paraId="60D097F5" w14:textId="77777777" w:rsidR="006C6976" w:rsidRPr="00977881" w:rsidRDefault="006C6976" w:rsidP="006C6976">
      <w:pPr>
        <w:pStyle w:val="ListParagraph"/>
        <w:widowControl w:val="0"/>
        <w:numPr>
          <w:ilvl w:val="2"/>
          <w:numId w:val="5"/>
        </w:numPr>
        <w:tabs>
          <w:tab w:val="left" w:pos="356"/>
        </w:tabs>
        <w:autoSpaceDE w:val="0"/>
        <w:autoSpaceDN w:val="0"/>
        <w:contextualSpacing w:val="0"/>
        <w:jc w:val="both"/>
        <w:rPr>
          <w:rFonts w:cs="Arial"/>
          <w:lang w:val="fr-FR"/>
        </w:rPr>
      </w:pPr>
      <w:r w:rsidRPr="00977881">
        <w:rPr>
          <w:rFonts w:cs="Arial"/>
          <w:lang w:val="fr-FR"/>
        </w:rPr>
        <w:t xml:space="preserve">Résumés des affaires judiciaires pertinentes des membres de l'UPOV liés par </w:t>
      </w:r>
      <w:r w:rsidRPr="00977881">
        <w:rPr>
          <w:rFonts w:cs="Arial"/>
          <w:spacing w:val="-4"/>
          <w:lang w:val="fr-FR"/>
        </w:rPr>
        <w:t xml:space="preserve">l'Acte </w:t>
      </w:r>
      <w:r w:rsidRPr="00977881">
        <w:rPr>
          <w:rFonts w:cs="Arial"/>
          <w:lang w:val="fr-FR"/>
        </w:rPr>
        <w:t>de 1991</w:t>
      </w:r>
      <w:r w:rsidRPr="00977881">
        <w:rPr>
          <w:rFonts w:cs="Arial"/>
          <w:spacing w:val="-4"/>
          <w:lang w:val="fr-FR"/>
        </w:rPr>
        <w:t>.</w:t>
      </w:r>
    </w:p>
    <w:p w14:paraId="3D628ACA" w14:textId="77777777" w:rsidR="006C6976" w:rsidRPr="00977881" w:rsidRDefault="006C6976" w:rsidP="006C6976">
      <w:pPr>
        <w:pStyle w:val="BodyText"/>
        <w:rPr>
          <w:rFonts w:cs="Arial"/>
          <w:lang w:val="fr-FR"/>
        </w:rPr>
      </w:pPr>
    </w:p>
    <w:p w14:paraId="62AF88C8" w14:textId="6709B884" w:rsidR="005C7CCD" w:rsidRPr="00977881" w:rsidRDefault="006C6976" w:rsidP="006C6976">
      <w:pPr>
        <w:pStyle w:val="BodyText"/>
        <w:spacing w:line="242" w:lineRule="auto"/>
        <w:ind w:left="116"/>
        <w:rPr>
          <w:rFonts w:cs="Arial"/>
          <w:lang w:val="fr-FR"/>
        </w:rPr>
      </w:pPr>
      <w:r w:rsidRPr="00977881">
        <w:rPr>
          <w:rFonts w:cs="Arial"/>
          <w:lang w:val="fr-FR"/>
        </w:rPr>
        <w:t xml:space="preserve">Le groupe vise à présenter un projet de compte rendu final avant la fin de 2025, qui sera finalisé et examiné lors de la réunion </w:t>
      </w:r>
      <w:r w:rsidR="0035513E" w:rsidRPr="00977881">
        <w:rPr>
          <w:rFonts w:cs="Arial"/>
          <w:lang w:val="fr-FR"/>
        </w:rPr>
        <w:t xml:space="preserve">du WG-HRV </w:t>
      </w:r>
      <w:r w:rsidRPr="00977881">
        <w:rPr>
          <w:rFonts w:cs="Arial"/>
          <w:lang w:val="fr-FR"/>
        </w:rPr>
        <w:t>en mars 2026.</w:t>
      </w:r>
    </w:p>
    <w:p w14:paraId="72AAE4C5" w14:textId="77777777" w:rsidR="005C7CCD" w:rsidRPr="00977881" w:rsidRDefault="005C7CCD" w:rsidP="00561055">
      <w:pPr>
        <w:jc w:val="left"/>
        <w:rPr>
          <w:lang w:val="fr-FR"/>
        </w:rPr>
      </w:pPr>
    </w:p>
    <w:p w14:paraId="6801EEBE" w14:textId="77777777" w:rsidR="005C7CCD" w:rsidRPr="00977881" w:rsidRDefault="005C7CCD" w:rsidP="00561055">
      <w:pPr>
        <w:jc w:val="left"/>
        <w:rPr>
          <w:lang w:val="fr-FR"/>
        </w:rPr>
      </w:pPr>
    </w:p>
    <w:p w14:paraId="463A1991" w14:textId="77777777" w:rsidR="005C7CCD" w:rsidRPr="00977881" w:rsidRDefault="005C7CCD" w:rsidP="00561055">
      <w:pPr>
        <w:jc w:val="left"/>
        <w:rPr>
          <w:lang w:val="fr-FR"/>
        </w:rPr>
      </w:pPr>
    </w:p>
    <w:p w14:paraId="0A2797D4" w14:textId="77777777" w:rsidR="00D26695" w:rsidRPr="00977881" w:rsidRDefault="00D26695" w:rsidP="00D26695">
      <w:pPr>
        <w:jc w:val="right"/>
        <w:rPr>
          <w:lang w:val="fr-FR"/>
        </w:rPr>
      </w:pPr>
      <w:r w:rsidRPr="00977881">
        <w:rPr>
          <w:lang w:val="fr-FR"/>
        </w:rPr>
        <w:t>[Annexe II ci-après]</w:t>
      </w:r>
    </w:p>
    <w:p w14:paraId="46426F91" w14:textId="77777777" w:rsidR="005C7CCD" w:rsidRPr="00977881" w:rsidRDefault="005C7CCD" w:rsidP="00561055">
      <w:pPr>
        <w:jc w:val="left"/>
        <w:rPr>
          <w:lang w:val="fr-FR"/>
        </w:rPr>
      </w:pPr>
    </w:p>
    <w:p w14:paraId="672DF07A" w14:textId="77777777" w:rsidR="00561055" w:rsidRPr="00977881" w:rsidRDefault="00561055" w:rsidP="00561055">
      <w:pPr>
        <w:jc w:val="left"/>
        <w:rPr>
          <w:lang w:val="fr-FR"/>
        </w:rPr>
      </w:pPr>
    </w:p>
    <w:p w14:paraId="39F30A96" w14:textId="77777777" w:rsidR="00561055" w:rsidRPr="00977881" w:rsidRDefault="00561055" w:rsidP="00561055">
      <w:pPr>
        <w:jc w:val="left"/>
        <w:rPr>
          <w:lang w:val="fr-FR"/>
        </w:rPr>
        <w:sectPr w:rsidR="00561055" w:rsidRPr="00977881" w:rsidSect="0004198B">
          <w:headerReference w:type="default" r:id="rId10"/>
          <w:headerReference w:type="first" r:id="rId11"/>
          <w:pgSz w:w="11907" w:h="16840" w:code="9"/>
          <w:pgMar w:top="510" w:right="1134" w:bottom="1134" w:left="1134" w:header="510" w:footer="680" w:gutter="0"/>
          <w:pgNumType w:start="1"/>
          <w:cols w:space="720"/>
          <w:titlePg/>
        </w:sectPr>
      </w:pPr>
    </w:p>
    <w:p w14:paraId="3E302EFB" w14:textId="0166B889" w:rsidR="00561055" w:rsidRPr="00A81A00" w:rsidRDefault="00A81A00" w:rsidP="00A81A00">
      <w:pPr>
        <w:jc w:val="center"/>
        <w:rPr>
          <w:b/>
          <w:bCs/>
          <w:lang w:val="fr-CH"/>
        </w:rPr>
      </w:pPr>
      <w:bookmarkStart w:id="3" w:name="_Hlk172119356"/>
      <w:r w:rsidRPr="003C7870">
        <w:rPr>
          <w:rFonts w:cs="Arial"/>
          <w:lang w:val="fr-CH"/>
        </w:rPr>
        <w:lastRenderedPageBreak/>
        <w:t xml:space="preserve">MANDAT DE </w:t>
      </w:r>
      <w:r w:rsidRPr="003C7870">
        <w:rPr>
          <w:lang w:val="fr-CH"/>
        </w:rPr>
        <w:t>L'ETUDE SUR "L'ETENDUE DU DROIT D'OBTENTEUR" ET LE RAPPORT AVEC "L'EPUISEMENT DU DROIT D'OBTENTEUR"</w:t>
      </w:r>
    </w:p>
    <w:bookmarkEnd w:id="3"/>
    <w:p w14:paraId="598729B9" w14:textId="03E9ED6C" w:rsidR="00561055" w:rsidRPr="00977881" w:rsidRDefault="00BE33F3" w:rsidP="00D3593A">
      <w:pPr>
        <w:jc w:val="center"/>
        <w:rPr>
          <w:i/>
          <w:iCs/>
          <w:lang w:val="fr-FR"/>
        </w:rPr>
      </w:pPr>
      <w:proofErr w:type="gramStart"/>
      <w:r w:rsidRPr="00977881">
        <w:rPr>
          <w:i/>
          <w:iCs/>
          <w:lang w:val="fr-FR"/>
        </w:rPr>
        <w:t>tel</w:t>
      </w:r>
      <w:proofErr w:type="gramEnd"/>
      <w:r w:rsidRPr="00977881">
        <w:rPr>
          <w:i/>
          <w:iCs/>
          <w:lang w:val="fr-FR"/>
        </w:rPr>
        <w:t xml:space="preserve"> qu'approuvé par le WG-HRV lors de sa sixième réunion et modifié par la circulaire E-25/053</w:t>
      </w:r>
    </w:p>
    <w:p w14:paraId="3158968B" w14:textId="77777777" w:rsidR="00561055" w:rsidRPr="00977881" w:rsidRDefault="00561055" w:rsidP="00561055">
      <w:pPr>
        <w:jc w:val="left"/>
        <w:rPr>
          <w:lang w:val="fr-FR"/>
        </w:rPr>
      </w:pPr>
    </w:p>
    <w:p w14:paraId="04F37F0E" w14:textId="77777777" w:rsidR="00A81A00" w:rsidRDefault="00A81A00" w:rsidP="00A81A00">
      <w:pPr>
        <w:pStyle w:val="Heading1"/>
      </w:pPr>
      <w:r>
        <w:t xml:space="preserve">CHAMP </w:t>
      </w:r>
      <w:proofErr w:type="gramStart"/>
      <w:r>
        <w:t>D'APPLICATION :</w:t>
      </w:r>
      <w:proofErr w:type="gramEnd"/>
    </w:p>
    <w:p w14:paraId="0C5DDF9B" w14:textId="77777777" w:rsidR="00A81A00" w:rsidRDefault="00A81A00" w:rsidP="00A81A00">
      <w:pPr>
        <w:jc w:val="left"/>
      </w:pPr>
    </w:p>
    <w:p w14:paraId="0857F489" w14:textId="77777777" w:rsidR="00A81A00" w:rsidRDefault="00A81A00" w:rsidP="00A81A00">
      <w:pPr>
        <w:widowControl w:val="0"/>
        <w:tabs>
          <w:tab w:val="left" w:pos="762"/>
        </w:tabs>
        <w:autoSpaceDE w:val="0"/>
        <w:autoSpaceDN w:val="0"/>
        <w:rPr>
          <w:color w:val="262626"/>
        </w:rPr>
      </w:pPr>
      <w:proofErr w:type="spellStart"/>
      <w:r w:rsidRPr="003338C4">
        <w:rPr>
          <w:color w:val="262626"/>
        </w:rPr>
        <w:t>L</w:t>
      </w:r>
      <w:r>
        <w:rPr>
          <w:color w:val="262626"/>
        </w:rPr>
        <w:t>'</w:t>
      </w:r>
      <w:r w:rsidRPr="003338C4">
        <w:rPr>
          <w:color w:val="262626"/>
        </w:rPr>
        <w:t>étude</w:t>
      </w:r>
      <w:proofErr w:type="spellEnd"/>
      <w:r w:rsidRPr="003338C4">
        <w:rPr>
          <w:color w:val="262626"/>
        </w:rPr>
        <w:t xml:space="preserve"> doit </w:t>
      </w:r>
      <w:proofErr w:type="spellStart"/>
      <w:r w:rsidRPr="003338C4">
        <w:rPr>
          <w:color w:val="262626"/>
        </w:rPr>
        <w:t>inclure</w:t>
      </w:r>
      <w:proofErr w:type="spellEnd"/>
    </w:p>
    <w:p w14:paraId="314CDA3A" w14:textId="77777777" w:rsidR="00A81A00" w:rsidRPr="003338C4" w:rsidRDefault="00A81A00" w:rsidP="00A81A00">
      <w:pPr>
        <w:widowControl w:val="0"/>
        <w:tabs>
          <w:tab w:val="left" w:pos="762"/>
        </w:tabs>
        <w:autoSpaceDE w:val="0"/>
        <w:autoSpaceDN w:val="0"/>
        <w:rPr>
          <w:color w:val="262626"/>
        </w:rPr>
      </w:pPr>
    </w:p>
    <w:p w14:paraId="6C5CAE39" w14:textId="77777777" w:rsidR="00A81A00" w:rsidRPr="003C7870" w:rsidRDefault="00A81A00" w:rsidP="00A81A00">
      <w:pPr>
        <w:pStyle w:val="ListParagraph"/>
        <w:widowControl w:val="0"/>
        <w:numPr>
          <w:ilvl w:val="0"/>
          <w:numId w:val="1"/>
        </w:numPr>
        <w:tabs>
          <w:tab w:val="left" w:pos="762"/>
        </w:tabs>
        <w:autoSpaceDE w:val="0"/>
        <w:autoSpaceDN w:val="0"/>
        <w:rPr>
          <w:color w:val="262626"/>
          <w:lang w:val="fr-CH"/>
        </w:rPr>
      </w:pPr>
      <w:proofErr w:type="gramStart"/>
      <w:r w:rsidRPr="003C7870">
        <w:rPr>
          <w:color w:val="262626"/>
          <w:lang w:val="fr-CH"/>
        </w:rPr>
        <w:t>une</w:t>
      </w:r>
      <w:proofErr w:type="gramEnd"/>
      <w:r w:rsidRPr="003C7870">
        <w:rPr>
          <w:color w:val="262626"/>
          <w:lang w:val="fr-CH"/>
        </w:rPr>
        <w:t xml:space="preserve"> </w:t>
      </w:r>
      <w:r w:rsidRPr="003C7870">
        <w:rPr>
          <w:color w:val="262626"/>
          <w:u w:val="single"/>
          <w:lang w:val="fr-CH"/>
        </w:rPr>
        <w:t xml:space="preserve">première partie </w:t>
      </w:r>
      <w:r w:rsidRPr="003C7870">
        <w:rPr>
          <w:color w:val="262626"/>
          <w:lang w:val="fr-CH"/>
        </w:rPr>
        <w:t xml:space="preserve">contenant une analyse des </w:t>
      </w:r>
      <w:r w:rsidRPr="003C7870">
        <w:rPr>
          <w:color w:val="161616"/>
          <w:lang w:val="fr-CH"/>
        </w:rPr>
        <w:t xml:space="preserve">intentions </w:t>
      </w:r>
      <w:r w:rsidRPr="003C7870">
        <w:rPr>
          <w:color w:val="262626"/>
          <w:lang w:val="fr-CH"/>
        </w:rPr>
        <w:t>des rédacteurs de l'</w:t>
      </w:r>
      <w:r w:rsidRPr="003C7870">
        <w:rPr>
          <w:color w:val="161616"/>
          <w:lang w:val="fr-CH"/>
        </w:rPr>
        <w:t xml:space="preserve">Acte de 1991 de la Convention UPOV </w:t>
      </w:r>
      <w:r w:rsidRPr="003C7870">
        <w:rPr>
          <w:color w:val="262626"/>
          <w:lang w:val="fr-CH"/>
        </w:rPr>
        <w:t>en ce qui concerne l'"Étendue du droit d'obtenteur" à l'article 14.1) et 2) de l'Acte de 1991, y compris les notions d'"utilisation non autorisée" et d'"opportunité raisonnable" et la relation avec l'"Épuisement du droit d'obtenteur" à l'article 16 de l'Acte de 1991 ; et</w:t>
      </w:r>
    </w:p>
    <w:p w14:paraId="3A94A1AA" w14:textId="77777777" w:rsidR="00A81A00" w:rsidRPr="003C7870" w:rsidRDefault="00A81A00" w:rsidP="00A81A00">
      <w:pPr>
        <w:pStyle w:val="ListParagraph"/>
        <w:widowControl w:val="0"/>
        <w:tabs>
          <w:tab w:val="left" w:pos="762"/>
        </w:tabs>
        <w:autoSpaceDE w:val="0"/>
        <w:autoSpaceDN w:val="0"/>
        <w:rPr>
          <w:color w:val="262626"/>
          <w:lang w:val="fr-CH"/>
        </w:rPr>
      </w:pPr>
    </w:p>
    <w:p w14:paraId="730AD264" w14:textId="77777777" w:rsidR="00A81A00" w:rsidRPr="003C7870" w:rsidRDefault="00A81A00" w:rsidP="00A81A00">
      <w:pPr>
        <w:pStyle w:val="ListParagraph"/>
        <w:widowControl w:val="0"/>
        <w:numPr>
          <w:ilvl w:val="0"/>
          <w:numId w:val="1"/>
        </w:numPr>
        <w:tabs>
          <w:tab w:val="left" w:pos="762"/>
        </w:tabs>
        <w:autoSpaceDE w:val="0"/>
        <w:autoSpaceDN w:val="0"/>
        <w:rPr>
          <w:color w:val="343434"/>
          <w:lang w:val="fr-CH"/>
        </w:rPr>
      </w:pPr>
      <w:proofErr w:type="gramStart"/>
      <w:r w:rsidRPr="003C7870">
        <w:rPr>
          <w:color w:val="262626"/>
          <w:lang w:val="fr-CH"/>
        </w:rPr>
        <w:t>une</w:t>
      </w:r>
      <w:proofErr w:type="gramEnd"/>
      <w:r w:rsidRPr="003C7870">
        <w:rPr>
          <w:color w:val="262626"/>
          <w:lang w:val="fr-CH"/>
        </w:rPr>
        <w:t xml:space="preserve"> </w:t>
      </w:r>
      <w:r w:rsidRPr="003C7870">
        <w:rPr>
          <w:color w:val="343434"/>
          <w:u w:val="single"/>
          <w:lang w:val="fr-CH"/>
        </w:rPr>
        <w:t xml:space="preserve">deuxième </w:t>
      </w:r>
      <w:r w:rsidRPr="003C7870">
        <w:rPr>
          <w:color w:val="262626"/>
          <w:u w:val="single"/>
          <w:lang w:val="fr-CH"/>
        </w:rPr>
        <w:t xml:space="preserve">partie </w:t>
      </w:r>
      <w:r w:rsidRPr="003C7870">
        <w:rPr>
          <w:color w:val="262626"/>
          <w:lang w:val="fr-CH"/>
        </w:rPr>
        <w:t xml:space="preserve">contenant des </w:t>
      </w:r>
      <w:r w:rsidRPr="003C7870">
        <w:rPr>
          <w:color w:val="161616"/>
          <w:lang w:val="fr-CH"/>
        </w:rPr>
        <w:t xml:space="preserve">résumés </w:t>
      </w:r>
      <w:r w:rsidRPr="003C7870">
        <w:rPr>
          <w:color w:val="343434"/>
          <w:lang w:val="fr-CH"/>
        </w:rPr>
        <w:t xml:space="preserve">des décisions </w:t>
      </w:r>
      <w:r w:rsidRPr="003C7870">
        <w:rPr>
          <w:color w:val="262626"/>
          <w:lang w:val="fr-CH"/>
        </w:rPr>
        <w:t xml:space="preserve">judiciaires pertinentes </w:t>
      </w:r>
      <w:r w:rsidRPr="003C7870">
        <w:rPr>
          <w:color w:val="343434"/>
          <w:lang w:val="fr-CH"/>
        </w:rPr>
        <w:t>des membres de l'UPOV liés par l'Acte de 1991.</w:t>
      </w:r>
    </w:p>
    <w:p w14:paraId="01364C27" w14:textId="77777777" w:rsidR="00A81A00" w:rsidRPr="003C7870" w:rsidRDefault="00A81A00" w:rsidP="00A81A00">
      <w:pPr>
        <w:widowControl w:val="0"/>
        <w:tabs>
          <w:tab w:val="left" w:pos="762"/>
        </w:tabs>
        <w:autoSpaceDE w:val="0"/>
        <w:autoSpaceDN w:val="0"/>
        <w:rPr>
          <w:color w:val="262626"/>
          <w:lang w:val="fr-CH"/>
        </w:rPr>
      </w:pPr>
    </w:p>
    <w:p w14:paraId="1B143788" w14:textId="77777777" w:rsidR="00A81A00" w:rsidRPr="003C7870" w:rsidRDefault="00A81A00" w:rsidP="00A81A00">
      <w:pPr>
        <w:widowControl w:val="0"/>
        <w:tabs>
          <w:tab w:val="left" w:pos="762"/>
        </w:tabs>
        <w:autoSpaceDE w:val="0"/>
        <w:autoSpaceDN w:val="0"/>
        <w:rPr>
          <w:color w:val="262626"/>
          <w:lang w:val="fr-CH"/>
        </w:rPr>
      </w:pPr>
    </w:p>
    <w:p w14:paraId="71A31B32" w14:textId="77777777" w:rsidR="00A81A00" w:rsidRPr="003C7870" w:rsidRDefault="00A81A00" w:rsidP="00A81A00">
      <w:pPr>
        <w:pStyle w:val="Heading1"/>
        <w:rPr>
          <w:lang w:val="fr-CH"/>
        </w:rPr>
      </w:pPr>
      <w:bookmarkStart w:id="4" w:name="_Toc172119299"/>
      <w:bookmarkStart w:id="5" w:name="_Toc172119336"/>
      <w:r w:rsidRPr="003C7870">
        <w:rPr>
          <w:lang w:val="fr-CH"/>
        </w:rPr>
        <w:t>COMPOSITION :</w:t>
      </w:r>
      <w:bookmarkEnd w:id="4"/>
      <w:bookmarkEnd w:id="5"/>
    </w:p>
    <w:p w14:paraId="19573AC0" w14:textId="77777777" w:rsidR="00A81A00" w:rsidRPr="003C7870" w:rsidRDefault="00A81A00" w:rsidP="00A81A00">
      <w:pPr>
        <w:widowControl w:val="0"/>
        <w:tabs>
          <w:tab w:val="left" w:pos="762"/>
        </w:tabs>
        <w:autoSpaceDE w:val="0"/>
        <w:autoSpaceDN w:val="0"/>
        <w:ind w:right="113"/>
        <w:rPr>
          <w:color w:val="262626"/>
          <w:lang w:val="fr-CH"/>
        </w:rPr>
      </w:pPr>
    </w:p>
    <w:p w14:paraId="42759112" w14:textId="77777777" w:rsidR="00A81A00" w:rsidRPr="003C7870" w:rsidRDefault="00A81A00" w:rsidP="00A81A00">
      <w:pPr>
        <w:rPr>
          <w:lang w:val="fr-CH"/>
        </w:rPr>
      </w:pPr>
      <w:r w:rsidRPr="003C7870">
        <w:rPr>
          <w:lang w:val="fr-CH"/>
        </w:rPr>
        <w:t>L'étude doit être réalisée par les cinq auteurs mentionnés ci-dessous. Les auteurs doivent se mettre d'accord sur l'un d'entre eux pour coordonner leur travail.</w:t>
      </w:r>
    </w:p>
    <w:p w14:paraId="334B37A8" w14:textId="77777777" w:rsidR="00A81A00" w:rsidRPr="003C7870" w:rsidRDefault="00A81A00" w:rsidP="00A81A00">
      <w:pPr>
        <w:rPr>
          <w:lang w:val="fr-CH"/>
        </w:rPr>
      </w:pPr>
    </w:p>
    <w:p w14:paraId="67A2F2E2" w14:textId="77777777" w:rsidR="00A81A00" w:rsidRPr="003C7870" w:rsidRDefault="00A81A00" w:rsidP="00A81A00">
      <w:pPr>
        <w:rPr>
          <w:lang w:val="fr-CH"/>
        </w:rPr>
      </w:pPr>
      <w:r w:rsidRPr="003C7870">
        <w:rPr>
          <w:lang w:val="fr-CH"/>
        </w:rPr>
        <w:t xml:space="preserve">La langue de travail des auteurs doit être l'anglais et l'étude doit être rédigée en anglais. </w:t>
      </w:r>
    </w:p>
    <w:p w14:paraId="714CB38C" w14:textId="77777777" w:rsidR="00A81A00" w:rsidRPr="003C7870" w:rsidRDefault="00A81A00" w:rsidP="00A81A00">
      <w:pPr>
        <w:jc w:val="left"/>
        <w:rPr>
          <w:spacing w:val="-2"/>
          <w:lang w:val="fr-CH"/>
        </w:rPr>
      </w:pPr>
    </w:p>
    <w:tbl>
      <w:tblPr>
        <w:tblStyle w:val="TableGrid"/>
        <w:tblW w:w="3145" w:type="dxa"/>
        <w:jc w:val="center"/>
        <w:tblInd w:w="0" w:type="dxa"/>
        <w:tblLook w:val="04A0" w:firstRow="1" w:lastRow="0" w:firstColumn="1" w:lastColumn="0" w:noHBand="0" w:noVBand="1"/>
      </w:tblPr>
      <w:tblGrid>
        <w:gridCol w:w="3145"/>
      </w:tblGrid>
      <w:tr w:rsidR="00A81A00" w:rsidRPr="00E02B4F" w14:paraId="2100D47B"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2690EDD5" w14:textId="77777777" w:rsidR="00A81A00" w:rsidRDefault="00A81A00" w:rsidP="00A66492">
            <w:pPr>
              <w:jc w:val="left"/>
              <w:rPr>
                <w:b/>
                <w:bCs/>
                <w:spacing w:val="-2"/>
              </w:rPr>
            </w:pPr>
            <w:r w:rsidRPr="00073978">
              <w:rPr>
                <w:b/>
                <w:bCs/>
                <w:spacing w:val="-2"/>
              </w:rPr>
              <w:t>Experts (</w:t>
            </w:r>
            <w:proofErr w:type="spellStart"/>
            <w:r w:rsidRPr="00073978">
              <w:rPr>
                <w:b/>
                <w:bCs/>
                <w:spacing w:val="-2"/>
              </w:rPr>
              <w:t>ordre</w:t>
            </w:r>
            <w:proofErr w:type="spellEnd"/>
            <w:r w:rsidRPr="00073978">
              <w:rPr>
                <w:b/>
                <w:bCs/>
                <w:spacing w:val="-2"/>
              </w:rPr>
              <w:t xml:space="preserve"> </w:t>
            </w:r>
            <w:proofErr w:type="spellStart"/>
            <w:r w:rsidRPr="00073978">
              <w:rPr>
                <w:b/>
                <w:bCs/>
                <w:spacing w:val="-2"/>
              </w:rPr>
              <w:t>alphabétique</w:t>
            </w:r>
            <w:proofErr w:type="spellEnd"/>
            <w:r w:rsidRPr="00073978">
              <w:rPr>
                <w:b/>
                <w:bCs/>
                <w:spacing w:val="-2"/>
              </w:rPr>
              <w:t>)</w:t>
            </w:r>
          </w:p>
        </w:tc>
      </w:tr>
      <w:tr w:rsidR="00A81A00" w:rsidRPr="00E02B4F" w14:paraId="4798990E"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37E42CD4" w14:textId="77777777" w:rsidR="00A81A00" w:rsidRDefault="00A81A00" w:rsidP="00A66492">
            <w:pPr>
              <w:jc w:val="left"/>
              <w:rPr>
                <w:spacing w:val="-2"/>
              </w:rPr>
            </w:pPr>
            <w:r w:rsidRPr="00073E6C">
              <w:rPr>
                <w:spacing w:val="-2"/>
              </w:rPr>
              <w:t>M</w:t>
            </w:r>
            <w:r>
              <w:rPr>
                <w:spacing w:val="-2"/>
              </w:rPr>
              <w:t xml:space="preserve">. </w:t>
            </w:r>
            <w:r w:rsidRPr="00073E6C">
              <w:rPr>
                <w:spacing w:val="-2"/>
              </w:rPr>
              <w:t>Huib Ghijsen</w:t>
            </w:r>
          </w:p>
        </w:tc>
      </w:tr>
      <w:tr w:rsidR="00A81A00" w:rsidRPr="00E02B4F" w14:paraId="30C4E473"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44349856" w14:textId="77777777" w:rsidR="00A81A00" w:rsidRDefault="00A81A00" w:rsidP="00A66492">
            <w:pPr>
              <w:jc w:val="left"/>
              <w:rPr>
                <w:spacing w:val="-2"/>
              </w:rPr>
            </w:pPr>
            <w:proofErr w:type="spellStart"/>
            <w:r w:rsidRPr="00073E6C">
              <w:rPr>
                <w:spacing w:val="-2"/>
                <w:lang w:val="es-ES_tradnl"/>
              </w:rPr>
              <w:t>Mme</w:t>
            </w:r>
            <w:proofErr w:type="spellEnd"/>
            <w:r w:rsidRPr="00073E6C">
              <w:rPr>
                <w:spacing w:val="-2"/>
                <w:lang w:val="es-ES_tradnl"/>
              </w:rPr>
              <w:t xml:space="preserve"> </w:t>
            </w:r>
            <w:proofErr w:type="spellStart"/>
            <w:r w:rsidRPr="00073E6C">
              <w:rPr>
                <w:spacing w:val="-2"/>
                <w:lang w:val="es-ES_tradnl"/>
              </w:rPr>
              <w:t>Vivianne</w:t>
            </w:r>
            <w:proofErr w:type="spellEnd"/>
            <w:r w:rsidRPr="00073E6C">
              <w:rPr>
                <w:spacing w:val="-2"/>
                <w:lang w:val="es-ES_tradnl"/>
              </w:rPr>
              <w:t xml:space="preserve"> Kunisawa</w:t>
            </w:r>
          </w:p>
        </w:tc>
      </w:tr>
      <w:tr w:rsidR="00A81A00" w:rsidRPr="00E02B4F" w14:paraId="2C04A7A3"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0C7CD504" w14:textId="77777777" w:rsidR="00A81A00" w:rsidRDefault="00A81A00" w:rsidP="00A66492">
            <w:pPr>
              <w:jc w:val="left"/>
              <w:rPr>
                <w:spacing w:val="-2"/>
              </w:rPr>
            </w:pPr>
            <w:r w:rsidRPr="00073E6C">
              <w:rPr>
                <w:spacing w:val="-2"/>
              </w:rPr>
              <w:t>M</w:t>
            </w:r>
            <w:r>
              <w:rPr>
                <w:spacing w:val="-2"/>
              </w:rPr>
              <w:t xml:space="preserve">. </w:t>
            </w:r>
            <w:r w:rsidRPr="00073E6C">
              <w:rPr>
                <w:spacing w:val="-2"/>
              </w:rPr>
              <w:t>Charles Lawson</w:t>
            </w:r>
          </w:p>
        </w:tc>
      </w:tr>
      <w:tr w:rsidR="00A81A00" w:rsidRPr="00E02B4F" w14:paraId="156113EE"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tcPr>
          <w:p w14:paraId="499FDFFF" w14:textId="77777777" w:rsidR="00A81A00" w:rsidRDefault="00A81A00" w:rsidP="00A66492">
            <w:pPr>
              <w:jc w:val="left"/>
              <w:rPr>
                <w:spacing w:val="-2"/>
              </w:rPr>
            </w:pPr>
            <w:r w:rsidRPr="00073E6C">
              <w:rPr>
                <w:spacing w:val="-2"/>
              </w:rPr>
              <w:t>M</w:t>
            </w:r>
            <w:r>
              <w:rPr>
                <w:spacing w:val="-2"/>
              </w:rPr>
              <w:t xml:space="preserve">. </w:t>
            </w:r>
            <w:r w:rsidRPr="00073E6C">
              <w:rPr>
                <w:spacing w:val="-2"/>
              </w:rPr>
              <w:t>Axel Metzger</w:t>
            </w:r>
          </w:p>
        </w:tc>
      </w:tr>
      <w:tr w:rsidR="00A81A00" w:rsidRPr="00E02B4F" w14:paraId="4A1A6502" w14:textId="77777777" w:rsidTr="00A66492">
        <w:trPr>
          <w:jc w:val="center"/>
        </w:trPr>
        <w:tc>
          <w:tcPr>
            <w:tcW w:w="3145" w:type="dxa"/>
            <w:tcBorders>
              <w:top w:val="single" w:sz="4" w:space="0" w:color="auto"/>
              <w:left w:val="single" w:sz="4" w:space="0" w:color="auto"/>
              <w:bottom w:val="single" w:sz="4" w:space="0" w:color="auto"/>
              <w:right w:val="single" w:sz="4" w:space="0" w:color="auto"/>
            </w:tcBorders>
            <w:hideMark/>
          </w:tcPr>
          <w:p w14:paraId="48464037" w14:textId="77777777" w:rsidR="00A81A00" w:rsidRDefault="00A81A00" w:rsidP="00A66492">
            <w:pPr>
              <w:jc w:val="left"/>
              <w:rPr>
                <w:spacing w:val="-2"/>
                <w:lang w:val="es-ES_tradnl"/>
              </w:rPr>
            </w:pPr>
            <w:r>
              <w:rPr>
                <w:spacing w:val="-2"/>
              </w:rPr>
              <w:t xml:space="preserve">Monsieur </w:t>
            </w:r>
            <w:r w:rsidRPr="00073E6C">
              <w:rPr>
                <w:spacing w:val="-2"/>
              </w:rPr>
              <w:t>Joseph Straus</w:t>
            </w:r>
          </w:p>
        </w:tc>
      </w:tr>
    </w:tbl>
    <w:p w14:paraId="71A1CE32" w14:textId="77777777" w:rsidR="00A81A00" w:rsidRDefault="00A81A00" w:rsidP="00A81A00">
      <w:pPr>
        <w:widowControl w:val="0"/>
        <w:tabs>
          <w:tab w:val="left" w:pos="762"/>
        </w:tabs>
        <w:autoSpaceDE w:val="0"/>
        <w:autoSpaceDN w:val="0"/>
        <w:jc w:val="left"/>
        <w:rPr>
          <w:color w:val="262626"/>
        </w:rPr>
      </w:pPr>
    </w:p>
    <w:p w14:paraId="67705783" w14:textId="77777777" w:rsidR="00A81A00" w:rsidRDefault="00A81A00" w:rsidP="00A81A00">
      <w:pPr>
        <w:rPr>
          <w:color w:val="262626"/>
        </w:rPr>
      </w:pPr>
    </w:p>
    <w:p w14:paraId="5BDA2676" w14:textId="77777777" w:rsidR="00A81A00" w:rsidRDefault="00A81A00" w:rsidP="00A81A00">
      <w:pPr>
        <w:widowControl w:val="0"/>
        <w:tabs>
          <w:tab w:val="left" w:pos="762"/>
        </w:tabs>
        <w:autoSpaceDE w:val="0"/>
        <w:autoSpaceDN w:val="0"/>
        <w:rPr>
          <w:caps/>
        </w:rPr>
      </w:pPr>
      <w:r w:rsidRPr="007F0F7A">
        <w:rPr>
          <w:caps/>
        </w:rPr>
        <w:t xml:space="preserve">MODUS </w:t>
      </w:r>
      <w:proofErr w:type="gramStart"/>
      <w:r w:rsidRPr="007F0F7A">
        <w:rPr>
          <w:caps/>
        </w:rPr>
        <w:t>OPERANDI :</w:t>
      </w:r>
      <w:proofErr w:type="gramEnd"/>
    </w:p>
    <w:p w14:paraId="5B026FF5" w14:textId="77777777" w:rsidR="00A81A00" w:rsidRDefault="00A81A00" w:rsidP="00A81A00">
      <w:pPr>
        <w:widowControl w:val="0"/>
        <w:tabs>
          <w:tab w:val="left" w:pos="762"/>
        </w:tabs>
        <w:autoSpaceDE w:val="0"/>
        <w:autoSpaceDN w:val="0"/>
        <w:rPr>
          <w:color w:val="262626"/>
        </w:rPr>
      </w:pPr>
    </w:p>
    <w:p w14:paraId="078DE3D9" w14:textId="77777777" w:rsidR="00A81A00" w:rsidRDefault="00A81A00" w:rsidP="00A81A00">
      <w:pPr>
        <w:pStyle w:val="Heading2"/>
      </w:pPr>
      <w:bookmarkStart w:id="6" w:name="_Toc172119300"/>
      <w:bookmarkStart w:id="7" w:name="_Toc172119337"/>
      <w:proofErr w:type="spellStart"/>
      <w:proofErr w:type="gramStart"/>
      <w:r w:rsidRPr="007F0F7A">
        <w:t>Indépendance</w:t>
      </w:r>
      <w:proofErr w:type="spellEnd"/>
      <w:r w:rsidRPr="007F0F7A">
        <w:t xml:space="preserve"> :</w:t>
      </w:r>
      <w:proofErr w:type="gramEnd"/>
      <w:r w:rsidRPr="007F0F7A">
        <w:t xml:space="preserve"> </w:t>
      </w:r>
      <w:bookmarkEnd w:id="6"/>
      <w:bookmarkEnd w:id="7"/>
    </w:p>
    <w:p w14:paraId="696AA723" w14:textId="77777777" w:rsidR="00A81A00" w:rsidRPr="003338C4" w:rsidRDefault="00A81A00" w:rsidP="00A81A00"/>
    <w:p w14:paraId="3B9AE978" w14:textId="77777777" w:rsidR="00A81A00" w:rsidRPr="003C7870" w:rsidRDefault="00A81A00" w:rsidP="00A81A00">
      <w:pPr>
        <w:widowControl w:val="0"/>
        <w:tabs>
          <w:tab w:val="left" w:pos="762"/>
        </w:tabs>
        <w:autoSpaceDE w:val="0"/>
        <w:autoSpaceDN w:val="0"/>
        <w:rPr>
          <w:lang w:val="fr-CH"/>
        </w:rPr>
      </w:pPr>
      <w:r w:rsidRPr="003C7870">
        <w:rPr>
          <w:color w:val="262626"/>
          <w:lang w:val="fr-CH"/>
        </w:rPr>
        <w:t xml:space="preserve">Les auteurs sont indépendants dans la rédaction de l'étude, </w:t>
      </w:r>
      <w:r w:rsidRPr="003C7870">
        <w:rPr>
          <w:lang w:val="fr-CH"/>
        </w:rPr>
        <w:t xml:space="preserve">en ce sens qu'ils ne doivent recevoir d'instructions individuelles de personne et qu'ils doivent être impartiaux et objectifs. </w:t>
      </w:r>
    </w:p>
    <w:p w14:paraId="40FB6ED2" w14:textId="77777777" w:rsidR="00A81A00" w:rsidRPr="003C7870" w:rsidRDefault="00A81A00" w:rsidP="00A81A00">
      <w:pPr>
        <w:widowControl w:val="0"/>
        <w:tabs>
          <w:tab w:val="left" w:pos="762"/>
        </w:tabs>
        <w:autoSpaceDE w:val="0"/>
        <w:autoSpaceDN w:val="0"/>
        <w:rPr>
          <w:lang w:val="fr-CH"/>
        </w:rPr>
      </w:pPr>
    </w:p>
    <w:p w14:paraId="08D73A0C" w14:textId="77777777" w:rsidR="00A81A00" w:rsidRPr="003C7870" w:rsidRDefault="00A81A00" w:rsidP="00A81A00">
      <w:pPr>
        <w:widowControl w:val="0"/>
        <w:tabs>
          <w:tab w:val="left" w:pos="762"/>
        </w:tabs>
        <w:autoSpaceDE w:val="0"/>
        <w:autoSpaceDN w:val="0"/>
        <w:rPr>
          <w:color w:val="262626"/>
          <w:lang w:val="fr-CH"/>
        </w:rPr>
      </w:pPr>
      <w:r w:rsidRPr="003C7870">
        <w:rPr>
          <w:lang w:val="fr-CH"/>
        </w:rPr>
        <w:t>Les cinq auteurs doivent rédiger une seule étude et suivre une méthode de travail collaborative conforme aux normes académiques. Dans le respect de ces normes, les auteurs doivent gérer les éventuelles différences de points de vue ou d'analyse et, le cas échéant, la manière dont ces questions doivent être prises en compte dans l'étude.</w:t>
      </w:r>
    </w:p>
    <w:p w14:paraId="43DA83F9" w14:textId="77777777" w:rsidR="00A81A00" w:rsidRPr="003C7870" w:rsidRDefault="00A81A00" w:rsidP="00A81A00">
      <w:pPr>
        <w:widowControl w:val="0"/>
        <w:tabs>
          <w:tab w:val="left" w:pos="762"/>
        </w:tabs>
        <w:autoSpaceDE w:val="0"/>
        <w:autoSpaceDN w:val="0"/>
        <w:rPr>
          <w:color w:val="262626"/>
          <w:lang w:val="fr-CH"/>
        </w:rPr>
      </w:pPr>
    </w:p>
    <w:p w14:paraId="3105C857" w14:textId="77777777" w:rsidR="00A81A00" w:rsidRPr="003C7870" w:rsidRDefault="00A81A00" w:rsidP="00A81A00">
      <w:pPr>
        <w:widowControl w:val="0"/>
        <w:tabs>
          <w:tab w:val="left" w:pos="762"/>
        </w:tabs>
        <w:autoSpaceDE w:val="0"/>
        <w:autoSpaceDN w:val="0"/>
        <w:rPr>
          <w:color w:val="262626"/>
          <w:lang w:val="fr-CH"/>
        </w:rPr>
      </w:pPr>
      <w:r w:rsidRPr="003C7870">
        <w:rPr>
          <w:color w:val="262626"/>
          <w:lang w:val="fr-CH"/>
        </w:rPr>
        <w:t xml:space="preserve">Après avoir reçu l'étude, il appartient au WG-HRV d'envisager un éventuel suivi et de demander des orientations supplémentaires au CAJ, le cas échéant. </w:t>
      </w:r>
    </w:p>
    <w:p w14:paraId="45E38620" w14:textId="77777777" w:rsidR="00A81A00" w:rsidRPr="003C7870" w:rsidRDefault="00A81A00" w:rsidP="00A81A00">
      <w:pPr>
        <w:widowControl w:val="0"/>
        <w:tabs>
          <w:tab w:val="left" w:pos="762"/>
        </w:tabs>
        <w:autoSpaceDE w:val="0"/>
        <w:autoSpaceDN w:val="0"/>
        <w:rPr>
          <w:color w:val="262626"/>
          <w:lang w:val="fr-CH"/>
        </w:rPr>
      </w:pPr>
    </w:p>
    <w:p w14:paraId="449D4F45" w14:textId="77777777" w:rsidR="00A81A00" w:rsidRPr="003C7870" w:rsidRDefault="00A81A00" w:rsidP="00A81A00">
      <w:pPr>
        <w:widowControl w:val="0"/>
        <w:tabs>
          <w:tab w:val="left" w:pos="762"/>
        </w:tabs>
        <w:autoSpaceDE w:val="0"/>
        <w:autoSpaceDN w:val="0"/>
        <w:rPr>
          <w:color w:val="262626"/>
          <w:lang w:val="fr-CH"/>
        </w:rPr>
      </w:pPr>
      <w:r w:rsidRPr="003C7870">
        <w:rPr>
          <w:color w:val="262626"/>
          <w:lang w:val="fr-CH"/>
        </w:rPr>
        <w:t>Les membres de l'UPOV ne sont pas liés par le contenu et/ou les conclusions de l'étude.</w:t>
      </w:r>
    </w:p>
    <w:p w14:paraId="211E76A7" w14:textId="77777777" w:rsidR="00A81A00" w:rsidRPr="00977881" w:rsidRDefault="00A81A00" w:rsidP="00561055">
      <w:pPr>
        <w:widowControl w:val="0"/>
        <w:tabs>
          <w:tab w:val="left" w:pos="762"/>
        </w:tabs>
        <w:autoSpaceDE w:val="0"/>
        <w:autoSpaceDN w:val="0"/>
        <w:rPr>
          <w:color w:val="262626"/>
          <w:lang w:val="fr-FR"/>
        </w:rPr>
      </w:pPr>
    </w:p>
    <w:p w14:paraId="50974BBF" w14:textId="77777777" w:rsidR="00561055" w:rsidRPr="00977881" w:rsidRDefault="00561055" w:rsidP="00561055">
      <w:pPr>
        <w:pStyle w:val="Heading2"/>
        <w:rPr>
          <w:lang w:val="fr-FR"/>
        </w:rPr>
      </w:pPr>
      <w:bookmarkStart w:id="8" w:name="_Toc172119301"/>
      <w:bookmarkStart w:id="9" w:name="_Toc172119338"/>
      <w:r w:rsidRPr="00977881">
        <w:rPr>
          <w:lang w:val="fr-FR"/>
        </w:rPr>
        <w:t>Calendrier :</w:t>
      </w:r>
      <w:bookmarkEnd w:id="8"/>
      <w:bookmarkEnd w:id="9"/>
    </w:p>
    <w:p w14:paraId="5741CE1B" w14:textId="77777777" w:rsidR="00561055" w:rsidRPr="00977881" w:rsidRDefault="00561055" w:rsidP="00561055">
      <w:pPr>
        <w:widowControl w:val="0"/>
        <w:tabs>
          <w:tab w:val="left" w:pos="762"/>
        </w:tabs>
        <w:autoSpaceDE w:val="0"/>
        <w:autoSpaceDN w:val="0"/>
        <w:rPr>
          <w:color w:val="161616"/>
          <w:lang w:val="fr-FR"/>
        </w:rPr>
      </w:pPr>
    </w:p>
    <w:p w14:paraId="128CB4FB" w14:textId="49DC143E" w:rsidR="00561055" w:rsidRPr="00977881" w:rsidRDefault="00561055" w:rsidP="00561055">
      <w:pPr>
        <w:widowControl w:val="0"/>
        <w:tabs>
          <w:tab w:val="left" w:pos="762"/>
        </w:tabs>
        <w:autoSpaceDE w:val="0"/>
        <w:autoSpaceDN w:val="0"/>
        <w:rPr>
          <w:rFonts w:cs="Arial"/>
          <w:lang w:val="fr-FR"/>
        </w:rPr>
      </w:pPr>
      <w:bookmarkStart w:id="10" w:name="_Hlk209533393"/>
      <w:r w:rsidRPr="00977881">
        <w:rPr>
          <w:rFonts w:cs="Arial"/>
          <w:lang w:val="fr-FR"/>
        </w:rPr>
        <w:t>Les auteurs seront invités à remettre le projet d'étude au plus tard le</w:t>
      </w:r>
      <w:r w:rsidR="00BE33F3" w:rsidRPr="00977881">
        <w:rPr>
          <w:rFonts w:cs="Arial"/>
          <w:lang w:val="fr-FR"/>
        </w:rPr>
        <w:t xml:space="preserve"> 1er septembre</w:t>
      </w:r>
      <w:r w:rsidRPr="00977881">
        <w:rPr>
          <w:rFonts w:cs="Arial"/>
          <w:lang w:val="fr-FR"/>
        </w:rPr>
        <w:t xml:space="preserve"> 2025, pour examen lors de la </w:t>
      </w:r>
      <w:r w:rsidR="00D2328B" w:rsidRPr="00977881">
        <w:rPr>
          <w:rFonts w:cs="Arial"/>
          <w:lang w:val="fr-FR"/>
        </w:rPr>
        <w:t xml:space="preserve">huitième </w:t>
      </w:r>
      <w:r w:rsidRPr="00977881">
        <w:rPr>
          <w:rFonts w:cs="Arial"/>
          <w:lang w:val="fr-FR"/>
        </w:rPr>
        <w:t xml:space="preserve">réunion du WG-HRV, </w:t>
      </w:r>
      <w:r w:rsidR="00D2328B" w:rsidRPr="00977881">
        <w:rPr>
          <w:rFonts w:cs="Arial"/>
          <w:lang w:val="fr-FR"/>
        </w:rPr>
        <w:t>le 22 octobre 2025</w:t>
      </w:r>
      <w:r w:rsidRPr="00977881">
        <w:rPr>
          <w:rFonts w:cs="Arial"/>
          <w:lang w:val="fr-FR"/>
        </w:rPr>
        <w:t>. La version finale de l'étude devra être remise au plus tard le</w:t>
      </w:r>
      <w:r w:rsidR="00BE33F3" w:rsidRPr="00977881">
        <w:rPr>
          <w:rFonts w:cs="Arial"/>
          <w:lang w:val="fr-FR"/>
        </w:rPr>
        <w:t xml:space="preserve"> 15 décembre</w:t>
      </w:r>
      <w:r w:rsidRPr="00977881">
        <w:rPr>
          <w:rFonts w:cs="Arial"/>
          <w:lang w:val="fr-FR"/>
        </w:rPr>
        <w:t xml:space="preserve"> 2025.</w:t>
      </w:r>
    </w:p>
    <w:bookmarkEnd w:id="10"/>
    <w:p w14:paraId="3B07CC7D" w14:textId="77777777" w:rsidR="00561055" w:rsidRPr="00977881" w:rsidRDefault="00561055" w:rsidP="00561055">
      <w:pPr>
        <w:widowControl w:val="0"/>
        <w:tabs>
          <w:tab w:val="left" w:pos="762"/>
        </w:tabs>
        <w:autoSpaceDE w:val="0"/>
        <w:autoSpaceDN w:val="0"/>
        <w:rPr>
          <w:rFonts w:cs="Arial"/>
          <w:lang w:val="fr-FR"/>
        </w:rPr>
      </w:pPr>
    </w:p>
    <w:p w14:paraId="71D0B3CB" w14:textId="77777777" w:rsidR="00561055" w:rsidRPr="00977881" w:rsidRDefault="00561055" w:rsidP="00561055">
      <w:pPr>
        <w:widowControl w:val="0"/>
        <w:tabs>
          <w:tab w:val="left" w:pos="762"/>
        </w:tabs>
        <w:autoSpaceDE w:val="0"/>
        <w:autoSpaceDN w:val="0"/>
        <w:rPr>
          <w:color w:val="161616"/>
          <w:lang w:val="fr-FR"/>
        </w:rPr>
      </w:pPr>
    </w:p>
    <w:p w14:paraId="559127A2" w14:textId="77777777" w:rsidR="00A81A00" w:rsidRPr="003C7870" w:rsidRDefault="00A81A00" w:rsidP="00A81A00">
      <w:pPr>
        <w:pStyle w:val="Heading2"/>
        <w:rPr>
          <w:lang w:val="fr-CH"/>
        </w:rPr>
      </w:pPr>
      <w:bookmarkStart w:id="11" w:name="_Toc172119302"/>
      <w:bookmarkStart w:id="12" w:name="_Toc172119339"/>
      <w:r w:rsidRPr="003C7870">
        <w:rPr>
          <w:lang w:val="fr-CH"/>
        </w:rPr>
        <w:lastRenderedPageBreak/>
        <w:t>Soutien financier :</w:t>
      </w:r>
      <w:bookmarkEnd w:id="11"/>
      <w:bookmarkEnd w:id="12"/>
    </w:p>
    <w:p w14:paraId="3CAA605F" w14:textId="77777777" w:rsidR="00A81A00" w:rsidRPr="003C7870" w:rsidRDefault="00A81A00" w:rsidP="00A81A00">
      <w:pPr>
        <w:keepNext/>
        <w:jc w:val="left"/>
        <w:rPr>
          <w:lang w:val="fr-CH"/>
        </w:rPr>
      </w:pPr>
    </w:p>
    <w:p w14:paraId="6F3FF347" w14:textId="77777777" w:rsidR="00A81A00" w:rsidRPr="003C7870" w:rsidRDefault="00A81A00" w:rsidP="00A81A00">
      <w:pPr>
        <w:keepNext/>
        <w:rPr>
          <w:lang w:val="fr-CH"/>
        </w:rPr>
      </w:pPr>
      <w:r w:rsidRPr="003C7870">
        <w:rPr>
          <w:lang w:val="fr-CH"/>
        </w:rPr>
        <w:t xml:space="preserve">55 000 francs suisses qui comprendraient : </w:t>
      </w:r>
    </w:p>
    <w:p w14:paraId="0364D1AC" w14:textId="77777777" w:rsidR="00A81A00" w:rsidRPr="003C7870" w:rsidRDefault="00A81A00" w:rsidP="00A81A00">
      <w:pPr>
        <w:keepNext/>
        <w:rPr>
          <w:lang w:val="fr-CH"/>
        </w:rPr>
      </w:pPr>
    </w:p>
    <w:p w14:paraId="4DCC7618" w14:textId="77777777" w:rsidR="00A81A00" w:rsidRPr="003C7870" w:rsidRDefault="00A81A00" w:rsidP="00A81A00">
      <w:pPr>
        <w:keepNext/>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 xml:space="preserve">Honoraires de 10 000 francs suisses pour chacun des 5 auteurs. </w:t>
      </w:r>
    </w:p>
    <w:p w14:paraId="37DB62EB" w14:textId="77777777" w:rsidR="00A81A00" w:rsidRPr="003C7870" w:rsidRDefault="00A81A00" w:rsidP="00A81A00">
      <w:pPr>
        <w:ind w:left="284" w:hanging="284"/>
        <w:rPr>
          <w:lang w:val="fr-CH"/>
        </w:rPr>
      </w:pPr>
      <w:r w:rsidRPr="00222C58">
        <w:rPr>
          <w:rFonts w:ascii="MS Gothic" w:eastAsia="MS Gothic" w:hAnsi="MS Gothic" w:cs="MS Gothic" w:hint="eastAsia"/>
        </w:rPr>
        <w:t>・</w:t>
      </w:r>
      <w:r w:rsidRPr="003C7870">
        <w:rPr>
          <w:rFonts w:ascii="MS Gothic" w:eastAsia="MS Gothic" w:hAnsi="MS Gothic" w:cs="MS Gothic"/>
          <w:lang w:val="fr-CH"/>
        </w:rPr>
        <w:tab/>
      </w:r>
      <w:r w:rsidRPr="003C7870">
        <w:rPr>
          <w:lang w:val="fr-CH"/>
        </w:rPr>
        <w:t xml:space="preserve">Frais de voyage jusqu'à 5 000 francs suisses au total </w:t>
      </w:r>
      <w:proofErr w:type="gramStart"/>
      <w:r w:rsidRPr="003C7870">
        <w:rPr>
          <w:lang w:val="fr-CH"/>
        </w:rPr>
        <w:t>pour</w:t>
      </w:r>
      <w:proofErr w:type="gramEnd"/>
      <w:r w:rsidRPr="003C7870">
        <w:rPr>
          <w:lang w:val="fr-CH"/>
        </w:rPr>
        <w:t xml:space="preserve"> les 5 auteurs. Le but de ce voyage peut être d'organiser une réunion entre les auteurs ou de financer le voyage pour venir à Genève présenter les résultats de l'étude ou toute autre dépense de voyage imprévue.</w:t>
      </w:r>
    </w:p>
    <w:p w14:paraId="766E8FEF" w14:textId="77777777" w:rsidR="00A81A00" w:rsidRPr="003C7870" w:rsidRDefault="00A81A00" w:rsidP="00A81A00">
      <w:pPr>
        <w:rPr>
          <w:lang w:val="fr-CH"/>
        </w:rPr>
      </w:pPr>
    </w:p>
    <w:p w14:paraId="0A94B75E" w14:textId="77777777" w:rsidR="00A81A00" w:rsidRPr="003C7870" w:rsidRDefault="00A81A00" w:rsidP="00A81A00">
      <w:pPr>
        <w:rPr>
          <w:lang w:val="fr-CH"/>
        </w:rPr>
      </w:pPr>
      <w:r w:rsidRPr="003C7870">
        <w:rPr>
          <w:lang w:val="fr-CH"/>
        </w:rPr>
        <w:t xml:space="preserve">L'estimation globale des coûts à partager est la suivante :  Le budget ordinaire de l'UPOV couvrirait 30 000 francs suisses et l'accord de fonds fiduciaire entre le Gouvernement du Japon et l'UPOV (JP-FIT) couvrirait 25 000 francs suisses.  </w:t>
      </w:r>
    </w:p>
    <w:p w14:paraId="01F2D7E0" w14:textId="77777777" w:rsidR="00561055" w:rsidRPr="00A81A00" w:rsidRDefault="00561055" w:rsidP="00561055">
      <w:pPr>
        <w:jc w:val="left"/>
        <w:rPr>
          <w:lang w:val="fr-CH"/>
        </w:rPr>
      </w:pPr>
    </w:p>
    <w:p w14:paraId="0AA80774" w14:textId="77777777" w:rsidR="00050E16" w:rsidRPr="00977881" w:rsidRDefault="00050E16" w:rsidP="009B440E">
      <w:pPr>
        <w:jc w:val="left"/>
        <w:rPr>
          <w:lang w:val="fr-FR"/>
        </w:rPr>
      </w:pPr>
    </w:p>
    <w:p w14:paraId="763A8BE4" w14:textId="77777777" w:rsidR="00561055" w:rsidRPr="00977881" w:rsidRDefault="00561055" w:rsidP="009B440E">
      <w:pPr>
        <w:jc w:val="left"/>
        <w:rPr>
          <w:lang w:val="fr-FR"/>
        </w:rPr>
      </w:pPr>
    </w:p>
    <w:p w14:paraId="2AA5F3BF" w14:textId="4E024285" w:rsidR="00561055" w:rsidRPr="00977881" w:rsidRDefault="00561055" w:rsidP="00561055">
      <w:pPr>
        <w:jc w:val="right"/>
        <w:rPr>
          <w:lang w:val="fr-FR"/>
        </w:rPr>
      </w:pPr>
      <w:r w:rsidRPr="00977881">
        <w:rPr>
          <w:lang w:val="fr-FR"/>
        </w:rPr>
        <w:t xml:space="preserve">[Fin des </w:t>
      </w:r>
      <w:r w:rsidR="00A81A00">
        <w:rPr>
          <w:lang w:val="fr-FR"/>
        </w:rPr>
        <w:t>A</w:t>
      </w:r>
      <w:r w:rsidR="00D2328B" w:rsidRPr="00977881">
        <w:rPr>
          <w:lang w:val="fr-FR"/>
        </w:rPr>
        <w:t xml:space="preserve">nnexes </w:t>
      </w:r>
      <w:r w:rsidRPr="00977881">
        <w:rPr>
          <w:lang w:val="fr-FR"/>
        </w:rPr>
        <w:t>et du document]</w:t>
      </w:r>
    </w:p>
    <w:sectPr w:rsidR="00561055" w:rsidRPr="00977881" w:rsidSect="0004198B">
      <w:headerReference w:type="default" r:id="rId12"/>
      <w:headerReference w:type="first" r:id="rId13"/>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E11B7" w14:textId="77777777" w:rsidR="00AC5977" w:rsidRDefault="00AC5977" w:rsidP="006655D3">
      <w:r>
        <w:separator/>
      </w:r>
    </w:p>
    <w:p w14:paraId="623A7052" w14:textId="77777777" w:rsidR="00AC5977" w:rsidRDefault="00AC5977" w:rsidP="006655D3"/>
    <w:p w14:paraId="76F3E7A2" w14:textId="77777777" w:rsidR="00AC5977" w:rsidRDefault="00AC5977" w:rsidP="006655D3"/>
  </w:endnote>
  <w:endnote w:type="continuationSeparator" w:id="0">
    <w:p w14:paraId="4C13042A" w14:textId="77777777" w:rsidR="00AC5977" w:rsidRDefault="00AC5977" w:rsidP="006655D3">
      <w:r>
        <w:separator/>
      </w:r>
    </w:p>
    <w:p w14:paraId="1093ABC2" w14:textId="77777777" w:rsidR="00AC5977" w:rsidRPr="00294751" w:rsidRDefault="00AC5977">
      <w:pPr>
        <w:pStyle w:val="Footer"/>
        <w:spacing w:after="60"/>
        <w:rPr>
          <w:sz w:val="18"/>
          <w:lang w:val="fr-FR"/>
        </w:rPr>
      </w:pPr>
      <w:r w:rsidRPr="00294751">
        <w:rPr>
          <w:sz w:val="18"/>
          <w:lang w:val="fr-FR"/>
        </w:rPr>
        <w:t>[Suite de la note de la page précédente]</w:t>
      </w:r>
    </w:p>
    <w:p w14:paraId="0C30E58E" w14:textId="77777777" w:rsidR="00AC5977" w:rsidRPr="00294751" w:rsidRDefault="00AC5977" w:rsidP="006655D3">
      <w:pPr>
        <w:rPr>
          <w:lang w:val="fr-FR"/>
        </w:rPr>
      </w:pPr>
    </w:p>
    <w:p w14:paraId="4AE33547" w14:textId="77777777" w:rsidR="00AC5977" w:rsidRPr="00294751" w:rsidRDefault="00AC5977" w:rsidP="006655D3">
      <w:pPr>
        <w:rPr>
          <w:lang w:val="fr-FR"/>
        </w:rPr>
      </w:pPr>
    </w:p>
  </w:endnote>
  <w:endnote w:type="continuationNotice" w:id="1">
    <w:p w14:paraId="057ED5FE" w14:textId="77777777" w:rsidR="00AC5977" w:rsidRPr="00294751" w:rsidRDefault="00AC5977" w:rsidP="006655D3">
      <w:pPr>
        <w:rPr>
          <w:lang w:val="fr-FR"/>
        </w:rPr>
      </w:pPr>
      <w:r w:rsidRPr="00294751">
        <w:rPr>
          <w:lang w:val="fr-FR"/>
        </w:rPr>
        <w:t>[Suite de la note page suivante]</w:t>
      </w:r>
    </w:p>
    <w:p w14:paraId="6DE420DA" w14:textId="77777777" w:rsidR="00AC5977" w:rsidRPr="00294751" w:rsidRDefault="00AC5977" w:rsidP="006655D3">
      <w:pPr>
        <w:rPr>
          <w:lang w:val="fr-FR"/>
        </w:rPr>
      </w:pPr>
    </w:p>
    <w:p w14:paraId="63CD3225" w14:textId="77777777" w:rsidR="00AC5977" w:rsidRPr="00294751" w:rsidRDefault="00AC5977"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BAB5" w14:textId="77777777" w:rsidR="00AC5977" w:rsidRDefault="00AC5977" w:rsidP="006655D3">
      <w:r>
        <w:separator/>
      </w:r>
    </w:p>
  </w:footnote>
  <w:footnote w:type="continuationSeparator" w:id="0">
    <w:p w14:paraId="36480842" w14:textId="77777777" w:rsidR="00AC5977" w:rsidRDefault="00AC5977" w:rsidP="006655D3">
      <w:r>
        <w:separator/>
      </w:r>
    </w:p>
  </w:footnote>
  <w:footnote w:type="continuationNotice" w:id="1">
    <w:p w14:paraId="17E489BD" w14:textId="77777777" w:rsidR="00AC5977" w:rsidRPr="00AB530F" w:rsidRDefault="00AC5977" w:rsidP="00AB530F">
      <w:pPr>
        <w:pStyle w:val="Footer"/>
      </w:pPr>
    </w:p>
  </w:footnote>
  <w:footnote w:id="2">
    <w:p w14:paraId="66A5A0F0" w14:textId="77777777" w:rsidR="00D33FB4" w:rsidRPr="00977881" w:rsidRDefault="00D33FB4" w:rsidP="00D33FB4">
      <w:pPr>
        <w:pStyle w:val="FootnoteText"/>
        <w:rPr>
          <w:lang w:val="fr-FR"/>
        </w:rPr>
      </w:pPr>
      <w:r>
        <w:rPr>
          <w:rStyle w:val="FootnoteReference"/>
        </w:rPr>
        <w:footnoteRef/>
      </w:r>
      <w:r w:rsidRPr="00977881">
        <w:rPr>
          <w:lang w:val="fr-FR"/>
        </w:rPr>
        <w:tab/>
        <w:t>Tenue à Genève le 22 octobre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688C" w14:textId="77777777" w:rsidR="0004198B" w:rsidRPr="00C5280D" w:rsidRDefault="00F55A83" w:rsidP="00EB048E">
    <w:pPr>
      <w:pStyle w:val="Header"/>
      <w:rPr>
        <w:rStyle w:val="PageNumber"/>
        <w:lang w:val="en-US"/>
      </w:rPr>
    </w:pPr>
    <w:r>
      <w:rPr>
        <w:rStyle w:val="PageNumber"/>
        <w:lang w:val="en-US"/>
      </w:rPr>
      <w:t>WG-HRV/8/</w:t>
    </w:r>
  </w:p>
  <w:p w14:paraId="1E40A40B" w14:textId="77777777" w:rsidR="0004198B" w:rsidRPr="00C5280D" w:rsidRDefault="0004198B" w:rsidP="00EB048E">
    <w:pPr>
      <w:pStyle w:val="Header"/>
      <w:rPr>
        <w:lang w:val="en-US"/>
      </w:rPr>
    </w:pP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30E20407"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8FB8" w14:textId="2832B21A" w:rsidR="00CB7609" w:rsidRPr="00C5280D" w:rsidRDefault="00CB7609" w:rsidP="00EB048E">
    <w:pPr>
      <w:pStyle w:val="Header"/>
      <w:rPr>
        <w:rStyle w:val="PageNumber"/>
        <w:lang w:val="en-US"/>
      </w:rPr>
    </w:pPr>
    <w:r>
      <w:rPr>
        <w:rStyle w:val="PageNumber"/>
        <w:lang w:val="en-US"/>
      </w:rPr>
      <w:t>WG-HRV/8/2</w:t>
    </w:r>
  </w:p>
  <w:p w14:paraId="018B79C3" w14:textId="0DCB9E36" w:rsidR="00CB7609" w:rsidRPr="00C5280D" w:rsidRDefault="00CB7609" w:rsidP="00EB048E">
    <w:pPr>
      <w:pStyle w:val="Header"/>
      <w:rPr>
        <w:lang w:val="en-US"/>
      </w:rPr>
    </w:pPr>
    <w:proofErr w:type="spellStart"/>
    <w:r>
      <w:rPr>
        <w:lang w:val="en-US"/>
      </w:rPr>
      <w:t>Annexe</w:t>
    </w:r>
    <w:proofErr w:type="spellEnd"/>
    <w:r>
      <w:rPr>
        <w:lang w:val="en-US"/>
      </w:rPr>
      <w:t xml:space="preserve">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5ECAE150" w14:textId="77777777" w:rsidR="00CB7609" w:rsidRPr="00C5280D" w:rsidRDefault="00CB7609"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ED39" w14:textId="77777777" w:rsidR="00315110" w:rsidRDefault="00315110" w:rsidP="006C6976">
    <w:pPr>
      <w:pStyle w:val="Header"/>
      <w:rPr>
        <w:lang w:val="en-US"/>
      </w:rPr>
    </w:pPr>
    <w:r>
      <w:rPr>
        <w:lang w:val="en-US"/>
      </w:rPr>
      <w:t>WG-HRV/8/2</w:t>
    </w:r>
  </w:p>
  <w:p w14:paraId="3EAA0E8E" w14:textId="77777777" w:rsidR="00315110" w:rsidRDefault="00315110" w:rsidP="00315110">
    <w:pPr>
      <w:pStyle w:val="Header"/>
      <w:rPr>
        <w:lang w:val="en-US"/>
      </w:rPr>
    </w:pPr>
  </w:p>
  <w:p w14:paraId="73983AF5" w14:textId="43403C24" w:rsidR="00CB7609" w:rsidRDefault="00CB7609" w:rsidP="00315110">
    <w:pPr>
      <w:pStyle w:val="Header"/>
      <w:rPr>
        <w:lang w:val="en-US"/>
      </w:rPr>
    </w:pPr>
    <w:r>
      <w:rPr>
        <w:lang w:val="en-US"/>
      </w:rPr>
      <w:t>ANNEXE I</w:t>
    </w:r>
  </w:p>
  <w:p w14:paraId="485E023D" w14:textId="77777777" w:rsidR="00CB7609" w:rsidRPr="005C7CCD" w:rsidRDefault="00CB7609" w:rsidP="00315110">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833F3" w14:textId="15313483" w:rsidR="00561055" w:rsidRPr="00561055" w:rsidRDefault="00561055" w:rsidP="00EB048E">
    <w:pPr>
      <w:pStyle w:val="Header"/>
      <w:rPr>
        <w:rStyle w:val="PageNumber"/>
      </w:rPr>
    </w:pPr>
    <w:r w:rsidRPr="00561055">
      <w:rPr>
        <w:rStyle w:val="PageNumber"/>
      </w:rPr>
      <w:t>WG-HRV/8/2</w:t>
    </w:r>
  </w:p>
  <w:p w14:paraId="401DAD98" w14:textId="5952C95E" w:rsidR="00561055" w:rsidRPr="00561055" w:rsidRDefault="00561055" w:rsidP="00EB048E">
    <w:pPr>
      <w:pStyle w:val="Header"/>
    </w:pPr>
    <w:r w:rsidRPr="00561055">
      <w:t xml:space="preserve">Annexe II, page </w:t>
    </w:r>
    <w:r w:rsidRPr="00C5280D">
      <w:rPr>
        <w:rStyle w:val="PageNumber"/>
        <w:lang w:val="en-US"/>
      </w:rPr>
      <w:fldChar w:fldCharType="begin"/>
    </w:r>
    <w:r w:rsidRPr="00561055">
      <w:rPr>
        <w:rStyle w:val="PageNumber"/>
      </w:rPr>
      <w:instrText xml:space="preserve"> PAGE </w:instrText>
    </w:r>
    <w:r w:rsidRPr="00C5280D">
      <w:rPr>
        <w:rStyle w:val="PageNumber"/>
        <w:lang w:val="en-US"/>
      </w:rPr>
      <w:fldChar w:fldCharType="separate"/>
    </w:r>
    <w:r w:rsidRPr="00561055">
      <w:rPr>
        <w:rStyle w:val="PageNumber"/>
        <w:noProof/>
      </w:rPr>
      <w:t>2</w:t>
    </w:r>
    <w:r w:rsidRPr="00C5280D">
      <w:rPr>
        <w:rStyle w:val="PageNumber"/>
        <w:lang w:val="en-US"/>
      </w:rPr>
      <w:fldChar w:fldCharType="end"/>
    </w:r>
  </w:p>
  <w:p w14:paraId="4D998286" w14:textId="77777777" w:rsidR="00561055" w:rsidRPr="00561055" w:rsidRDefault="00561055" w:rsidP="006655D3">
    <w:pP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8238" w14:textId="0408120B" w:rsidR="00561055" w:rsidRDefault="00561055">
    <w:pPr>
      <w:pStyle w:val="Header"/>
      <w:rPr>
        <w:lang w:val="en-US"/>
      </w:rPr>
    </w:pPr>
    <w:r>
      <w:rPr>
        <w:lang w:val="en-US"/>
      </w:rPr>
      <w:t>WG-HRV/8/2</w:t>
    </w:r>
  </w:p>
  <w:p w14:paraId="1E5688B1" w14:textId="77777777" w:rsidR="00561055" w:rsidRDefault="00561055">
    <w:pPr>
      <w:pStyle w:val="Header"/>
      <w:rPr>
        <w:lang w:val="en-US"/>
      </w:rPr>
    </w:pPr>
  </w:p>
  <w:p w14:paraId="7963E800" w14:textId="7DD00FAC" w:rsidR="00561055" w:rsidRDefault="00561055">
    <w:pPr>
      <w:pStyle w:val="Header"/>
      <w:rPr>
        <w:lang w:val="en-US"/>
      </w:rPr>
    </w:pPr>
    <w:r>
      <w:rPr>
        <w:lang w:val="en-US"/>
      </w:rPr>
      <w:t>ANNEXE II</w:t>
    </w:r>
  </w:p>
  <w:p w14:paraId="3CCF4080" w14:textId="77777777" w:rsidR="00561055" w:rsidRPr="00561055" w:rsidRDefault="0056105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2484"/>
    <w:multiLevelType w:val="hybridMultilevel"/>
    <w:tmpl w:val="5EF0AFDC"/>
    <w:lvl w:ilvl="0" w:tplc="2512702C">
      <w:start w:val="1"/>
      <w:numFmt w:val="decimal"/>
      <w:lvlText w:val="%1)"/>
      <w:lvlJc w:val="left"/>
      <w:pPr>
        <w:ind w:left="116" w:hanging="260"/>
      </w:pPr>
      <w:rPr>
        <w:rFonts w:ascii="Arial" w:eastAsia="Times New Roman" w:hAnsi="Arial" w:cs="Arial" w:hint="default"/>
        <w:b w:val="0"/>
        <w:bCs w:val="0"/>
        <w:i w:val="0"/>
        <w:iCs w:val="0"/>
        <w:w w:val="100"/>
        <w:sz w:val="20"/>
        <w:szCs w:val="20"/>
        <w:lang w:val="en-US" w:eastAsia="en-US" w:bidi="ar-SA"/>
      </w:rPr>
    </w:lvl>
    <w:lvl w:ilvl="1" w:tplc="3B30EC42">
      <w:numFmt w:val="bullet"/>
      <w:lvlText w:val="•"/>
      <w:lvlJc w:val="left"/>
      <w:pPr>
        <w:ind w:left="1038" w:hanging="260"/>
      </w:pPr>
      <w:rPr>
        <w:rFonts w:hint="default"/>
        <w:lang w:val="en-US" w:eastAsia="en-US" w:bidi="ar-SA"/>
      </w:rPr>
    </w:lvl>
    <w:lvl w:ilvl="2" w:tplc="40A09C42">
      <w:numFmt w:val="bullet"/>
      <w:lvlText w:val="•"/>
      <w:lvlJc w:val="left"/>
      <w:pPr>
        <w:ind w:left="1956" w:hanging="260"/>
      </w:pPr>
      <w:rPr>
        <w:rFonts w:hint="default"/>
        <w:lang w:val="en-US" w:eastAsia="en-US" w:bidi="ar-SA"/>
      </w:rPr>
    </w:lvl>
    <w:lvl w:ilvl="3" w:tplc="25DA9EEA">
      <w:numFmt w:val="bullet"/>
      <w:lvlText w:val="•"/>
      <w:lvlJc w:val="left"/>
      <w:pPr>
        <w:ind w:left="2875" w:hanging="260"/>
      </w:pPr>
      <w:rPr>
        <w:rFonts w:hint="default"/>
        <w:lang w:val="en-US" w:eastAsia="en-US" w:bidi="ar-SA"/>
      </w:rPr>
    </w:lvl>
    <w:lvl w:ilvl="4" w:tplc="E988A940">
      <w:numFmt w:val="bullet"/>
      <w:lvlText w:val="•"/>
      <w:lvlJc w:val="left"/>
      <w:pPr>
        <w:ind w:left="3793" w:hanging="260"/>
      </w:pPr>
      <w:rPr>
        <w:rFonts w:hint="default"/>
        <w:lang w:val="en-US" w:eastAsia="en-US" w:bidi="ar-SA"/>
      </w:rPr>
    </w:lvl>
    <w:lvl w:ilvl="5" w:tplc="7AC2C906">
      <w:numFmt w:val="bullet"/>
      <w:lvlText w:val="•"/>
      <w:lvlJc w:val="left"/>
      <w:pPr>
        <w:ind w:left="4712" w:hanging="260"/>
      </w:pPr>
      <w:rPr>
        <w:rFonts w:hint="default"/>
        <w:lang w:val="en-US" w:eastAsia="en-US" w:bidi="ar-SA"/>
      </w:rPr>
    </w:lvl>
    <w:lvl w:ilvl="6" w:tplc="8480B5B4">
      <w:numFmt w:val="bullet"/>
      <w:lvlText w:val="•"/>
      <w:lvlJc w:val="left"/>
      <w:pPr>
        <w:ind w:left="5630" w:hanging="260"/>
      </w:pPr>
      <w:rPr>
        <w:rFonts w:hint="default"/>
        <w:lang w:val="en-US" w:eastAsia="en-US" w:bidi="ar-SA"/>
      </w:rPr>
    </w:lvl>
    <w:lvl w:ilvl="7" w:tplc="5A32C04E">
      <w:numFmt w:val="bullet"/>
      <w:lvlText w:val="•"/>
      <w:lvlJc w:val="left"/>
      <w:pPr>
        <w:ind w:left="6548" w:hanging="260"/>
      </w:pPr>
      <w:rPr>
        <w:rFonts w:hint="default"/>
        <w:lang w:val="en-US" w:eastAsia="en-US" w:bidi="ar-SA"/>
      </w:rPr>
    </w:lvl>
    <w:lvl w:ilvl="8" w:tplc="22C4434E">
      <w:numFmt w:val="bullet"/>
      <w:lvlText w:val="•"/>
      <w:lvlJc w:val="left"/>
      <w:pPr>
        <w:ind w:left="7467" w:hanging="260"/>
      </w:pPr>
      <w:rPr>
        <w:rFonts w:hint="default"/>
        <w:lang w:val="en-US" w:eastAsia="en-US" w:bidi="ar-SA"/>
      </w:rPr>
    </w:lvl>
  </w:abstractNum>
  <w:abstractNum w:abstractNumId="1" w15:restartNumberingAfterBreak="0">
    <w:nsid w:val="29217F4B"/>
    <w:multiLevelType w:val="hybridMultilevel"/>
    <w:tmpl w:val="4AE49D9A"/>
    <w:lvl w:ilvl="0" w:tplc="8544EAB2">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B7AAA"/>
    <w:multiLevelType w:val="hybridMultilevel"/>
    <w:tmpl w:val="432C3F0A"/>
    <w:lvl w:ilvl="0" w:tplc="EC12F988">
      <w:start w:val="1"/>
      <w:numFmt w:val="upperRoman"/>
      <w:lvlText w:val="%1."/>
      <w:lvlJc w:val="left"/>
      <w:pPr>
        <w:ind w:left="389" w:hanging="274"/>
      </w:pPr>
      <w:rPr>
        <w:rFonts w:ascii="Arial" w:eastAsia="Times New Roman" w:hAnsi="Arial" w:cs="Arial" w:hint="default"/>
        <w:b/>
        <w:bCs/>
        <w:i w:val="0"/>
        <w:iCs w:val="0"/>
        <w:w w:val="100"/>
        <w:sz w:val="20"/>
        <w:szCs w:val="20"/>
        <w:lang w:val="en-US" w:eastAsia="en-US" w:bidi="ar-SA"/>
      </w:rPr>
    </w:lvl>
    <w:lvl w:ilvl="1" w:tplc="D09A4680">
      <w:numFmt w:val="bullet"/>
      <w:lvlText w:val=""/>
      <w:lvlJc w:val="left"/>
      <w:pPr>
        <w:ind w:left="836" w:hanging="360"/>
      </w:pPr>
      <w:rPr>
        <w:rFonts w:ascii="Symbol" w:eastAsia="Symbol" w:hAnsi="Symbol" w:cs="Symbol" w:hint="default"/>
        <w:w w:val="100"/>
        <w:lang w:val="en-US" w:eastAsia="en-US" w:bidi="ar-SA"/>
      </w:rPr>
    </w:lvl>
    <w:lvl w:ilvl="2" w:tplc="3280D698">
      <w:numFmt w:val="bullet"/>
      <w:lvlText w:val="o"/>
      <w:lvlJc w:val="left"/>
      <w:pPr>
        <w:ind w:left="1556" w:hanging="360"/>
      </w:pPr>
      <w:rPr>
        <w:rFonts w:ascii="Courier New" w:eastAsia="Courier New" w:hAnsi="Courier New" w:cs="Courier New" w:hint="default"/>
        <w:b w:val="0"/>
        <w:bCs w:val="0"/>
        <w:i w:val="0"/>
        <w:iCs w:val="0"/>
        <w:w w:val="100"/>
        <w:sz w:val="20"/>
        <w:szCs w:val="20"/>
        <w:lang w:val="en-US" w:eastAsia="en-US" w:bidi="ar-SA"/>
      </w:rPr>
    </w:lvl>
    <w:lvl w:ilvl="3" w:tplc="438CD4C8">
      <w:numFmt w:val="bullet"/>
      <w:lvlText w:val="•"/>
      <w:lvlJc w:val="left"/>
      <w:pPr>
        <w:ind w:left="2528" w:hanging="360"/>
      </w:pPr>
      <w:rPr>
        <w:rFonts w:hint="default"/>
        <w:lang w:val="en-US" w:eastAsia="en-US" w:bidi="ar-SA"/>
      </w:rPr>
    </w:lvl>
    <w:lvl w:ilvl="4" w:tplc="BF22372C">
      <w:numFmt w:val="bullet"/>
      <w:lvlText w:val="•"/>
      <w:lvlJc w:val="left"/>
      <w:pPr>
        <w:ind w:left="3496" w:hanging="360"/>
      </w:pPr>
      <w:rPr>
        <w:rFonts w:hint="default"/>
        <w:lang w:val="en-US" w:eastAsia="en-US" w:bidi="ar-SA"/>
      </w:rPr>
    </w:lvl>
    <w:lvl w:ilvl="5" w:tplc="F2F6600C">
      <w:numFmt w:val="bullet"/>
      <w:lvlText w:val="•"/>
      <w:lvlJc w:val="left"/>
      <w:pPr>
        <w:ind w:left="4464" w:hanging="360"/>
      </w:pPr>
      <w:rPr>
        <w:rFonts w:hint="default"/>
        <w:lang w:val="en-US" w:eastAsia="en-US" w:bidi="ar-SA"/>
      </w:rPr>
    </w:lvl>
    <w:lvl w:ilvl="6" w:tplc="03DC7EC8">
      <w:numFmt w:val="bullet"/>
      <w:lvlText w:val="•"/>
      <w:lvlJc w:val="left"/>
      <w:pPr>
        <w:ind w:left="5432" w:hanging="360"/>
      </w:pPr>
      <w:rPr>
        <w:rFonts w:hint="default"/>
        <w:lang w:val="en-US" w:eastAsia="en-US" w:bidi="ar-SA"/>
      </w:rPr>
    </w:lvl>
    <w:lvl w:ilvl="7" w:tplc="2932D4B4">
      <w:numFmt w:val="bullet"/>
      <w:lvlText w:val="•"/>
      <w:lvlJc w:val="left"/>
      <w:pPr>
        <w:ind w:left="6400" w:hanging="360"/>
      </w:pPr>
      <w:rPr>
        <w:rFonts w:hint="default"/>
        <w:lang w:val="en-US" w:eastAsia="en-US" w:bidi="ar-SA"/>
      </w:rPr>
    </w:lvl>
    <w:lvl w:ilvl="8" w:tplc="923C92FC">
      <w:numFmt w:val="bullet"/>
      <w:lvlText w:val="•"/>
      <w:lvlJc w:val="left"/>
      <w:pPr>
        <w:ind w:left="7368" w:hanging="360"/>
      </w:pPr>
      <w:rPr>
        <w:rFonts w:hint="default"/>
        <w:lang w:val="en-US" w:eastAsia="en-US" w:bidi="ar-SA"/>
      </w:rPr>
    </w:lvl>
  </w:abstractNum>
  <w:abstractNum w:abstractNumId="3" w15:restartNumberingAfterBreak="0">
    <w:nsid w:val="4CE93FC8"/>
    <w:multiLevelType w:val="hybridMultilevel"/>
    <w:tmpl w:val="ECD0A1FC"/>
    <w:lvl w:ilvl="0" w:tplc="BA189D4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43E4AF6">
      <w:numFmt w:val="bullet"/>
      <w:lvlText w:val="•"/>
      <w:lvlJc w:val="left"/>
      <w:pPr>
        <w:ind w:left="1542" w:hanging="567"/>
      </w:pPr>
      <w:rPr>
        <w:rFonts w:hint="default"/>
        <w:lang w:val="en-US" w:eastAsia="en-US" w:bidi="ar-SA"/>
      </w:rPr>
    </w:lvl>
    <w:lvl w:ilvl="2" w:tplc="290876B4">
      <w:numFmt w:val="bullet"/>
      <w:lvlText w:val="•"/>
      <w:lvlJc w:val="left"/>
      <w:pPr>
        <w:ind w:left="2404" w:hanging="567"/>
      </w:pPr>
      <w:rPr>
        <w:rFonts w:hint="default"/>
        <w:lang w:val="en-US" w:eastAsia="en-US" w:bidi="ar-SA"/>
      </w:rPr>
    </w:lvl>
    <w:lvl w:ilvl="3" w:tplc="3DB00776">
      <w:numFmt w:val="bullet"/>
      <w:lvlText w:val="•"/>
      <w:lvlJc w:val="left"/>
      <w:pPr>
        <w:ind w:left="3267" w:hanging="567"/>
      </w:pPr>
      <w:rPr>
        <w:rFonts w:hint="default"/>
        <w:lang w:val="en-US" w:eastAsia="en-US" w:bidi="ar-SA"/>
      </w:rPr>
    </w:lvl>
    <w:lvl w:ilvl="4" w:tplc="9B942842">
      <w:numFmt w:val="bullet"/>
      <w:lvlText w:val="•"/>
      <w:lvlJc w:val="left"/>
      <w:pPr>
        <w:ind w:left="4129" w:hanging="567"/>
      </w:pPr>
      <w:rPr>
        <w:rFonts w:hint="default"/>
        <w:lang w:val="en-US" w:eastAsia="en-US" w:bidi="ar-SA"/>
      </w:rPr>
    </w:lvl>
    <w:lvl w:ilvl="5" w:tplc="C5D655B8">
      <w:numFmt w:val="bullet"/>
      <w:lvlText w:val="•"/>
      <w:lvlJc w:val="left"/>
      <w:pPr>
        <w:ind w:left="4992" w:hanging="567"/>
      </w:pPr>
      <w:rPr>
        <w:rFonts w:hint="default"/>
        <w:lang w:val="en-US" w:eastAsia="en-US" w:bidi="ar-SA"/>
      </w:rPr>
    </w:lvl>
    <w:lvl w:ilvl="6" w:tplc="DD942142">
      <w:numFmt w:val="bullet"/>
      <w:lvlText w:val="•"/>
      <w:lvlJc w:val="left"/>
      <w:pPr>
        <w:ind w:left="5854" w:hanging="567"/>
      </w:pPr>
      <w:rPr>
        <w:rFonts w:hint="default"/>
        <w:lang w:val="en-US" w:eastAsia="en-US" w:bidi="ar-SA"/>
      </w:rPr>
    </w:lvl>
    <w:lvl w:ilvl="7" w:tplc="351C0426">
      <w:numFmt w:val="bullet"/>
      <w:lvlText w:val="•"/>
      <w:lvlJc w:val="left"/>
      <w:pPr>
        <w:ind w:left="6716" w:hanging="567"/>
      </w:pPr>
      <w:rPr>
        <w:rFonts w:hint="default"/>
        <w:lang w:val="en-US" w:eastAsia="en-US" w:bidi="ar-SA"/>
      </w:rPr>
    </w:lvl>
    <w:lvl w:ilvl="8" w:tplc="9C8ADD6E">
      <w:numFmt w:val="bullet"/>
      <w:lvlText w:val="•"/>
      <w:lvlJc w:val="left"/>
      <w:pPr>
        <w:ind w:left="7579" w:hanging="567"/>
      </w:pPr>
      <w:rPr>
        <w:rFonts w:hint="default"/>
        <w:lang w:val="en-US" w:eastAsia="en-US" w:bidi="ar-SA"/>
      </w:rPr>
    </w:lvl>
  </w:abstractNum>
  <w:abstractNum w:abstractNumId="4" w15:restartNumberingAfterBreak="0">
    <w:nsid w:val="794B06A7"/>
    <w:multiLevelType w:val="hybridMultilevel"/>
    <w:tmpl w:val="E26E4872"/>
    <w:lvl w:ilvl="0" w:tplc="CFEE7AC4">
      <w:start w:val="1"/>
      <w:numFmt w:val="lowerLetter"/>
      <w:lvlText w:val="%1)"/>
      <w:lvlJc w:val="left"/>
      <w:pPr>
        <w:ind w:left="683" w:hanging="567"/>
        <w:jc w:val="left"/>
      </w:pPr>
      <w:rPr>
        <w:rFonts w:ascii="Arial" w:eastAsia="Times New Roman" w:hAnsi="Arial" w:cs="Arial" w:hint="default"/>
        <w:b w:val="0"/>
        <w:bCs w:val="0"/>
        <w:i w:val="0"/>
        <w:iCs w:val="0"/>
        <w:spacing w:val="-1"/>
        <w:w w:val="100"/>
        <w:sz w:val="20"/>
        <w:szCs w:val="20"/>
        <w:lang w:val="en-US" w:eastAsia="en-US" w:bidi="ar-SA"/>
      </w:rPr>
    </w:lvl>
    <w:lvl w:ilvl="1" w:tplc="A57C1F4A">
      <w:start w:val="1"/>
      <w:numFmt w:val="lowerRoman"/>
      <w:lvlText w:val="%2)"/>
      <w:lvlJc w:val="left"/>
      <w:pPr>
        <w:ind w:left="1250" w:hanging="567"/>
        <w:jc w:val="right"/>
      </w:pPr>
      <w:rPr>
        <w:rFonts w:ascii="Arial" w:eastAsia="Times New Roman" w:hAnsi="Arial" w:cs="Arial" w:hint="default"/>
        <w:b w:val="0"/>
        <w:bCs w:val="0"/>
        <w:i w:val="0"/>
        <w:iCs w:val="0"/>
        <w:w w:val="100"/>
        <w:sz w:val="20"/>
        <w:szCs w:val="20"/>
        <w:lang w:val="en-US" w:eastAsia="en-US" w:bidi="ar-SA"/>
      </w:rPr>
    </w:lvl>
    <w:lvl w:ilvl="2" w:tplc="76400D9E">
      <w:start w:val="1"/>
      <w:numFmt w:val="decimal"/>
      <w:lvlText w:val="%3."/>
      <w:lvlJc w:val="left"/>
      <w:pPr>
        <w:ind w:left="356" w:hanging="240"/>
        <w:jc w:val="left"/>
      </w:pPr>
      <w:rPr>
        <w:rFonts w:ascii="Arial" w:eastAsia="Times New Roman" w:hAnsi="Arial" w:cs="Arial" w:hint="default"/>
        <w:b w:val="0"/>
        <w:bCs w:val="0"/>
        <w:i w:val="0"/>
        <w:iCs w:val="0"/>
        <w:w w:val="100"/>
        <w:sz w:val="20"/>
        <w:szCs w:val="20"/>
        <w:lang w:val="en-US" w:eastAsia="en-US" w:bidi="ar-SA"/>
      </w:rPr>
    </w:lvl>
    <w:lvl w:ilvl="3" w:tplc="27BEF070">
      <w:numFmt w:val="bullet"/>
      <w:lvlText w:val="•"/>
      <w:lvlJc w:val="left"/>
      <w:pPr>
        <w:ind w:left="2265" w:hanging="240"/>
      </w:pPr>
      <w:rPr>
        <w:rFonts w:hint="default"/>
        <w:lang w:val="en-US" w:eastAsia="en-US" w:bidi="ar-SA"/>
      </w:rPr>
    </w:lvl>
    <w:lvl w:ilvl="4" w:tplc="8FA4FF24">
      <w:numFmt w:val="bullet"/>
      <w:lvlText w:val="•"/>
      <w:lvlJc w:val="left"/>
      <w:pPr>
        <w:ind w:left="3271" w:hanging="240"/>
      </w:pPr>
      <w:rPr>
        <w:rFonts w:hint="default"/>
        <w:lang w:val="en-US" w:eastAsia="en-US" w:bidi="ar-SA"/>
      </w:rPr>
    </w:lvl>
    <w:lvl w:ilvl="5" w:tplc="D414BBAC">
      <w:numFmt w:val="bullet"/>
      <w:lvlText w:val="•"/>
      <w:lvlJc w:val="left"/>
      <w:pPr>
        <w:ind w:left="4276" w:hanging="240"/>
      </w:pPr>
      <w:rPr>
        <w:rFonts w:hint="default"/>
        <w:lang w:val="en-US" w:eastAsia="en-US" w:bidi="ar-SA"/>
      </w:rPr>
    </w:lvl>
    <w:lvl w:ilvl="6" w:tplc="42A898D6">
      <w:numFmt w:val="bullet"/>
      <w:lvlText w:val="•"/>
      <w:lvlJc w:val="left"/>
      <w:pPr>
        <w:ind w:left="5282" w:hanging="240"/>
      </w:pPr>
      <w:rPr>
        <w:rFonts w:hint="default"/>
        <w:lang w:val="en-US" w:eastAsia="en-US" w:bidi="ar-SA"/>
      </w:rPr>
    </w:lvl>
    <w:lvl w:ilvl="7" w:tplc="B3C6405E">
      <w:numFmt w:val="bullet"/>
      <w:lvlText w:val="•"/>
      <w:lvlJc w:val="left"/>
      <w:pPr>
        <w:ind w:left="6287" w:hanging="240"/>
      </w:pPr>
      <w:rPr>
        <w:rFonts w:hint="default"/>
        <w:lang w:val="en-US" w:eastAsia="en-US" w:bidi="ar-SA"/>
      </w:rPr>
    </w:lvl>
    <w:lvl w:ilvl="8" w:tplc="A5BCD10A">
      <w:numFmt w:val="bullet"/>
      <w:lvlText w:val="•"/>
      <w:lvlJc w:val="left"/>
      <w:pPr>
        <w:ind w:left="7293" w:hanging="240"/>
      </w:pPr>
      <w:rPr>
        <w:rFonts w:hint="default"/>
        <w:lang w:val="en-US" w:eastAsia="en-US" w:bidi="ar-SA"/>
      </w:rPr>
    </w:lvl>
  </w:abstractNum>
  <w:num w:numId="1" w16cid:durableId="769742828">
    <w:abstractNumId w:val="1"/>
  </w:num>
  <w:num w:numId="2" w16cid:durableId="131869100">
    <w:abstractNumId w:val="2"/>
  </w:num>
  <w:num w:numId="3" w16cid:durableId="71122519">
    <w:abstractNumId w:val="0"/>
  </w:num>
  <w:num w:numId="4" w16cid:durableId="2143384813">
    <w:abstractNumId w:val="3"/>
  </w:num>
  <w:num w:numId="5" w16cid:durableId="2020497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77"/>
    <w:rsid w:val="00010CF3"/>
    <w:rsid w:val="00011E27"/>
    <w:rsid w:val="000148BC"/>
    <w:rsid w:val="00024AB8"/>
    <w:rsid w:val="00030854"/>
    <w:rsid w:val="00036028"/>
    <w:rsid w:val="0004198B"/>
    <w:rsid w:val="0004297B"/>
    <w:rsid w:val="00044642"/>
    <w:rsid w:val="000446B9"/>
    <w:rsid w:val="00047E21"/>
    <w:rsid w:val="00050E16"/>
    <w:rsid w:val="00085505"/>
    <w:rsid w:val="000C4E25"/>
    <w:rsid w:val="000C7021"/>
    <w:rsid w:val="000D6BBC"/>
    <w:rsid w:val="000D7780"/>
    <w:rsid w:val="000E636A"/>
    <w:rsid w:val="000F2F11"/>
    <w:rsid w:val="00100A5F"/>
    <w:rsid w:val="00105929"/>
    <w:rsid w:val="00110BED"/>
    <w:rsid w:val="00110C36"/>
    <w:rsid w:val="001131D5"/>
    <w:rsid w:val="00114547"/>
    <w:rsid w:val="00141DB8"/>
    <w:rsid w:val="00172084"/>
    <w:rsid w:val="0017474A"/>
    <w:rsid w:val="001758C6"/>
    <w:rsid w:val="00182B99"/>
    <w:rsid w:val="001C1525"/>
    <w:rsid w:val="0020260C"/>
    <w:rsid w:val="0021332C"/>
    <w:rsid w:val="00213982"/>
    <w:rsid w:val="0022397B"/>
    <w:rsid w:val="0024416D"/>
    <w:rsid w:val="00260EA2"/>
    <w:rsid w:val="00271335"/>
    <w:rsid w:val="00271911"/>
    <w:rsid w:val="00273187"/>
    <w:rsid w:val="002800A0"/>
    <w:rsid w:val="002801B3"/>
    <w:rsid w:val="00281060"/>
    <w:rsid w:val="00284050"/>
    <w:rsid w:val="00285BD0"/>
    <w:rsid w:val="002940E8"/>
    <w:rsid w:val="00294751"/>
    <w:rsid w:val="002A6E50"/>
    <w:rsid w:val="002A7C98"/>
    <w:rsid w:val="002B4298"/>
    <w:rsid w:val="002B7A36"/>
    <w:rsid w:val="002C256A"/>
    <w:rsid w:val="002D5226"/>
    <w:rsid w:val="00305A7F"/>
    <w:rsid w:val="00315110"/>
    <w:rsid w:val="003152FE"/>
    <w:rsid w:val="00327436"/>
    <w:rsid w:val="00344BD6"/>
    <w:rsid w:val="0035513E"/>
    <w:rsid w:val="0035528D"/>
    <w:rsid w:val="00361821"/>
    <w:rsid w:val="00361E9E"/>
    <w:rsid w:val="003753EE"/>
    <w:rsid w:val="00377434"/>
    <w:rsid w:val="003A0835"/>
    <w:rsid w:val="003A5AAF"/>
    <w:rsid w:val="003B700A"/>
    <w:rsid w:val="003C5661"/>
    <w:rsid w:val="003C7FBE"/>
    <w:rsid w:val="003D227C"/>
    <w:rsid w:val="003D2B4D"/>
    <w:rsid w:val="003F37F5"/>
    <w:rsid w:val="00405714"/>
    <w:rsid w:val="00444A88"/>
    <w:rsid w:val="00455DA6"/>
    <w:rsid w:val="00474DA4"/>
    <w:rsid w:val="00476B4D"/>
    <w:rsid w:val="004805FA"/>
    <w:rsid w:val="004935D2"/>
    <w:rsid w:val="004B1215"/>
    <w:rsid w:val="004B2FB1"/>
    <w:rsid w:val="004D047D"/>
    <w:rsid w:val="004F1E9E"/>
    <w:rsid w:val="004F305A"/>
    <w:rsid w:val="00512164"/>
    <w:rsid w:val="00520297"/>
    <w:rsid w:val="00532395"/>
    <w:rsid w:val="005338F9"/>
    <w:rsid w:val="0054281C"/>
    <w:rsid w:val="00544581"/>
    <w:rsid w:val="0055268D"/>
    <w:rsid w:val="00561055"/>
    <w:rsid w:val="00575DE2"/>
    <w:rsid w:val="00576BE4"/>
    <w:rsid w:val="005779DB"/>
    <w:rsid w:val="00597BB8"/>
    <w:rsid w:val="005A2A67"/>
    <w:rsid w:val="005A400A"/>
    <w:rsid w:val="005A7FFC"/>
    <w:rsid w:val="005B269D"/>
    <w:rsid w:val="005C7CCD"/>
    <w:rsid w:val="005D13A6"/>
    <w:rsid w:val="005D3A9C"/>
    <w:rsid w:val="005E27B8"/>
    <w:rsid w:val="005F7B92"/>
    <w:rsid w:val="00612379"/>
    <w:rsid w:val="006153B6"/>
    <w:rsid w:val="0061555F"/>
    <w:rsid w:val="006245ED"/>
    <w:rsid w:val="0062468E"/>
    <w:rsid w:val="00636CA6"/>
    <w:rsid w:val="00641200"/>
    <w:rsid w:val="00644B33"/>
    <w:rsid w:val="00645CA8"/>
    <w:rsid w:val="006655D3"/>
    <w:rsid w:val="00667404"/>
    <w:rsid w:val="0067333B"/>
    <w:rsid w:val="006840D7"/>
    <w:rsid w:val="00687EB4"/>
    <w:rsid w:val="0069599B"/>
    <w:rsid w:val="00695C56"/>
    <w:rsid w:val="006A5CDE"/>
    <w:rsid w:val="006A644A"/>
    <w:rsid w:val="006B17D2"/>
    <w:rsid w:val="006C224E"/>
    <w:rsid w:val="006C6976"/>
    <w:rsid w:val="006D753E"/>
    <w:rsid w:val="006D780A"/>
    <w:rsid w:val="0071271E"/>
    <w:rsid w:val="00717D80"/>
    <w:rsid w:val="00732DEC"/>
    <w:rsid w:val="0073565F"/>
    <w:rsid w:val="00735BD5"/>
    <w:rsid w:val="007451EC"/>
    <w:rsid w:val="00751613"/>
    <w:rsid w:val="00753EE9"/>
    <w:rsid w:val="007556F6"/>
    <w:rsid w:val="00760EEF"/>
    <w:rsid w:val="00777EE5"/>
    <w:rsid w:val="00784836"/>
    <w:rsid w:val="0079023E"/>
    <w:rsid w:val="007A2854"/>
    <w:rsid w:val="007A67D1"/>
    <w:rsid w:val="007C1D92"/>
    <w:rsid w:val="007C4CB9"/>
    <w:rsid w:val="007D0B9D"/>
    <w:rsid w:val="007D19B0"/>
    <w:rsid w:val="007F498F"/>
    <w:rsid w:val="0080679D"/>
    <w:rsid w:val="008108B0"/>
    <w:rsid w:val="00811B20"/>
    <w:rsid w:val="00812609"/>
    <w:rsid w:val="008211B5"/>
    <w:rsid w:val="0082296E"/>
    <w:rsid w:val="00824099"/>
    <w:rsid w:val="00846D7C"/>
    <w:rsid w:val="00867AC1"/>
    <w:rsid w:val="008751DE"/>
    <w:rsid w:val="00890DF8"/>
    <w:rsid w:val="008A0ADE"/>
    <w:rsid w:val="008A743F"/>
    <w:rsid w:val="008C0970"/>
    <w:rsid w:val="008D0BC5"/>
    <w:rsid w:val="008D0F14"/>
    <w:rsid w:val="008D204F"/>
    <w:rsid w:val="008D2CF7"/>
    <w:rsid w:val="00900C26"/>
    <w:rsid w:val="00901556"/>
    <w:rsid w:val="0090197F"/>
    <w:rsid w:val="00903264"/>
    <w:rsid w:val="00906DDC"/>
    <w:rsid w:val="0091516F"/>
    <w:rsid w:val="00934E09"/>
    <w:rsid w:val="00936253"/>
    <w:rsid w:val="00940D46"/>
    <w:rsid w:val="009413F1"/>
    <w:rsid w:val="00952DD4"/>
    <w:rsid w:val="009561F4"/>
    <w:rsid w:val="00965AE7"/>
    <w:rsid w:val="00970FED"/>
    <w:rsid w:val="00977881"/>
    <w:rsid w:val="00992D82"/>
    <w:rsid w:val="00997029"/>
    <w:rsid w:val="009A7339"/>
    <w:rsid w:val="009B440E"/>
    <w:rsid w:val="009C20EA"/>
    <w:rsid w:val="009C536A"/>
    <w:rsid w:val="009D690D"/>
    <w:rsid w:val="009E11BF"/>
    <w:rsid w:val="009E65B6"/>
    <w:rsid w:val="009E7203"/>
    <w:rsid w:val="009F0A51"/>
    <w:rsid w:val="009F77CF"/>
    <w:rsid w:val="00A24C10"/>
    <w:rsid w:val="00A42AC3"/>
    <w:rsid w:val="00A430CF"/>
    <w:rsid w:val="00A54309"/>
    <w:rsid w:val="00A610A9"/>
    <w:rsid w:val="00A73882"/>
    <w:rsid w:val="00A80F2A"/>
    <w:rsid w:val="00A81A00"/>
    <w:rsid w:val="00A96C33"/>
    <w:rsid w:val="00AB2B93"/>
    <w:rsid w:val="00AB530F"/>
    <w:rsid w:val="00AB7E5B"/>
    <w:rsid w:val="00AC2883"/>
    <w:rsid w:val="00AC5977"/>
    <w:rsid w:val="00AE0EF1"/>
    <w:rsid w:val="00AE2937"/>
    <w:rsid w:val="00AF0C5C"/>
    <w:rsid w:val="00B07301"/>
    <w:rsid w:val="00B11F3E"/>
    <w:rsid w:val="00B224DE"/>
    <w:rsid w:val="00B324D4"/>
    <w:rsid w:val="00B46575"/>
    <w:rsid w:val="00B46AEE"/>
    <w:rsid w:val="00B61777"/>
    <w:rsid w:val="00B622E6"/>
    <w:rsid w:val="00B83E82"/>
    <w:rsid w:val="00B84BBD"/>
    <w:rsid w:val="00BA43FB"/>
    <w:rsid w:val="00BA52D5"/>
    <w:rsid w:val="00BC127D"/>
    <w:rsid w:val="00BC1FE6"/>
    <w:rsid w:val="00BE33F3"/>
    <w:rsid w:val="00C061B6"/>
    <w:rsid w:val="00C2446C"/>
    <w:rsid w:val="00C36AE5"/>
    <w:rsid w:val="00C41F17"/>
    <w:rsid w:val="00C527FA"/>
    <w:rsid w:val="00C5280D"/>
    <w:rsid w:val="00C53EB3"/>
    <w:rsid w:val="00C5791C"/>
    <w:rsid w:val="00C66290"/>
    <w:rsid w:val="00C72B7A"/>
    <w:rsid w:val="00C75A58"/>
    <w:rsid w:val="00C973F2"/>
    <w:rsid w:val="00CA304C"/>
    <w:rsid w:val="00CA774A"/>
    <w:rsid w:val="00CB4921"/>
    <w:rsid w:val="00CB7609"/>
    <w:rsid w:val="00CC11B0"/>
    <w:rsid w:val="00CC2841"/>
    <w:rsid w:val="00CD680A"/>
    <w:rsid w:val="00CF0DB8"/>
    <w:rsid w:val="00CF1330"/>
    <w:rsid w:val="00CF7E36"/>
    <w:rsid w:val="00D2328B"/>
    <w:rsid w:val="00D26695"/>
    <w:rsid w:val="00D3368A"/>
    <w:rsid w:val="00D33FB4"/>
    <w:rsid w:val="00D3593A"/>
    <w:rsid w:val="00D3708D"/>
    <w:rsid w:val="00D40426"/>
    <w:rsid w:val="00D57C96"/>
    <w:rsid w:val="00D57D18"/>
    <w:rsid w:val="00D70E65"/>
    <w:rsid w:val="00D91203"/>
    <w:rsid w:val="00D95174"/>
    <w:rsid w:val="00DA4973"/>
    <w:rsid w:val="00DA6F36"/>
    <w:rsid w:val="00DB596E"/>
    <w:rsid w:val="00DB7773"/>
    <w:rsid w:val="00DC00EA"/>
    <w:rsid w:val="00DC3802"/>
    <w:rsid w:val="00DD6208"/>
    <w:rsid w:val="00DF7E99"/>
    <w:rsid w:val="00E07D87"/>
    <w:rsid w:val="00E249C8"/>
    <w:rsid w:val="00E32F7E"/>
    <w:rsid w:val="00E5267B"/>
    <w:rsid w:val="00E559F0"/>
    <w:rsid w:val="00E63C0E"/>
    <w:rsid w:val="00E727A5"/>
    <w:rsid w:val="00E72D49"/>
    <w:rsid w:val="00E7593C"/>
    <w:rsid w:val="00E7678A"/>
    <w:rsid w:val="00E935F1"/>
    <w:rsid w:val="00E94A81"/>
    <w:rsid w:val="00EA1FFB"/>
    <w:rsid w:val="00EB048E"/>
    <w:rsid w:val="00EB4E9C"/>
    <w:rsid w:val="00EE34DF"/>
    <w:rsid w:val="00EF2F89"/>
    <w:rsid w:val="00F019EE"/>
    <w:rsid w:val="00F03E98"/>
    <w:rsid w:val="00F1237A"/>
    <w:rsid w:val="00F22CBD"/>
    <w:rsid w:val="00F272F1"/>
    <w:rsid w:val="00F31412"/>
    <w:rsid w:val="00F44BF1"/>
    <w:rsid w:val="00F45372"/>
    <w:rsid w:val="00F465C7"/>
    <w:rsid w:val="00F55A83"/>
    <w:rsid w:val="00F560F7"/>
    <w:rsid w:val="00F61A34"/>
    <w:rsid w:val="00F6334D"/>
    <w:rsid w:val="00F63599"/>
    <w:rsid w:val="00F71781"/>
    <w:rsid w:val="00F81C35"/>
    <w:rsid w:val="00FA49AB"/>
    <w:rsid w:val="00FA7122"/>
    <w:rsid w:val="00FC5FD0"/>
    <w:rsid w:val="00FD5B2B"/>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877A2"/>
  <w15:docId w15:val="{C3D6CD4D-B04F-4EF1-B093-0B38D5531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qFormat/>
    <w:rsid w:val="006C6976"/>
    <w:pPr>
      <w:keepNext/>
      <w:jc w:val="both"/>
      <w:outlineLvl w:val="0"/>
    </w:pPr>
    <w:rPr>
      <w:rFonts w:ascii="Arial" w:hAnsi="Arial" w:cs="Arial"/>
      <w:b/>
      <w:bCs/>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customStyle="1" w:styleId="Heading1Char">
    <w:name w:val="Heading 1 Char"/>
    <w:basedOn w:val="DefaultParagraphFont"/>
    <w:link w:val="Heading1"/>
    <w:rsid w:val="006C6976"/>
    <w:rPr>
      <w:rFonts w:ascii="Arial" w:hAnsi="Arial" w:cs="Arial"/>
      <w:b/>
      <w:bCs/>
      <w:caps/>
    </w:rPr>
  </w:style>
  <w:style w:type="paragraph" w:styleId="ListParagraph">
    <w:name w:val="List Paragraph"/>
    <w:basedOn w:val="Normal"/>
    <w:uiPriority w:val="34"/>
    <w:qFormat/>
    <w:rsid w:val="00561055"/>
    <w:pPr>
      <w:ind w:left="720"/>
      <w:contextualSpacing/>
    </w:pPr>
  </w:style>
  <w:style w:type="table" w:styleId="TableGrid">
    <w:name w:val="Table Grid"/>
    <w:basedOn w:val="TableNormal"/>
    <w:rsid w:val="00561055"/>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27A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8_October_22_2025\templates\wg_hrv_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wg_hrv_8_EN.dotx</Template>
  <TotalTime>104</TotalTime>
  <Pages>7</Pages>
  <Words>2856</Words>
  <Characters>15423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WG-HRV/8</vt:lpstr>
    </vt:vector>
  </TitlesOfParts>
  <Company>UPOV</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keywords>, docId:244D0914967BCE27128FCC8A83189EBF</cp:keywords>
  <cp:lastModifiedBy>NICOLO Laurianne</cp:lastModifiedBy>
  <cp:revision>23</cp:revision>
  <cp:lastPrinted>2016-11-22T15:41:00Z</cp:lastPrinted>
  <dcterms:created xsi:type="dcterms:W3CDTF">2025-05-26T09:17:00Z</dcterms:created>
  <dcterms:modified xsi:type="dcterms:W3CDTF">2025-10-01T08:56:00Z</dcterms:modified>
</cp:coreProperties>
</file>