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3C0195EB" w14:textId="77777777" w:rsidTr="00EB4E9C">
        <w:tc>
          <w:tcPr>
            <w:tcW w:w="6522" w:type="dxa"/>
          </w:tcPr>
          <w:p w14:paraId="25673E72" w14:textId="77777777" w:rsidR="00DC3802" w:rsidRPr="00AC2883" w:rsidRDefault="00DC3802" w:rsidP="00AC2883">
            <w:r w:rsidRPr="00D250C5">
              <w:rPr>
                <w:noProof/>
              </w:rPr>
              <w:drawing>
                <wp:inline distT="0" distB="0" distL="0" distR="0" wp14:anchorId="4ABBE576" wp14:editId="255EBEA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4D35F74" w14:textId="72BF14FD" w:rsidR="00DC3802" w:rsidRPr="007C1D92" w:rsidRDefault="00AB458F" w:rsidP="00AC2883">
            <w:pPr>
              <w:pStyle w:val="Lettrine"/>
            </w:pPr>
            <w:r>
              <w:t>F</w:t>
            </w:r>
          </w:p>
        </w:tc>
      </w:tr>
      <w:tr w:rsidR="00DC3802" w:rsidRPr="00866DE2" w14:paraId="7CEF5F62" w14:textId="77777777" w:rsidTr="00645CA8">
        <w:trPr>
          <w:trHeight w:val="219"/>
        </w:trPr>
        <w:tc>
          <w:tcPr>
            <w:tcW w:w="6522" w:type="dxa"/>
          </w:tcPr>
          <w:p w14:paraId="23E13BBA" w14:textId="77777777" w:rsidR="00DC3802" w:rsidRPr="00AB458F" w:rsidRDefault="00DC3802" w:rsidP="00AC2883">
            <w:pPr>
              <w:pStyle w:val="upove"/>
              <w:rPr>
                <w:lang w:val="fr-CH"/>
              </w:rPr>
            </w:pPr>
            <w:r w:rsidRPr="00AB458F">
              <w:rPr>
                <w:lang w:val="fr-CH"/>
              </w:rPr>
              <w:t>Union internationale pour la protection des obtentions végétales</w:t>
            </w:r>
          </w:p>
        </w:tc>
        <w:tc>
          <w:tcPr>
            <w:tcW w:w="3117" w:type="dxa"/>
          </w:tcPr>
          <w:p w14:paraId="12BD22DE" w14:textId="77777777" w:rsidR="00DC3802" w:rsidRPr="00AB458F" w:rsidRDefault="00DC3802" w:rsidP="00DA4973">
            <w:pPr>
              <w:rPr>
                <w:lang w:val="fr-CH"/>
              </w:rPr>
            </w:pPr>
          </w:p>
        </w:tc>
      </w:tr>
    </w:tbl>
    <w:p w14:paraId="062B3069" w14:textId="77777777" w:rsidR="00DC3802" w:rsidRPr="00AB458F" w:rsidRDefault="00DC3802" w:rsidP="00DC3802">
      <w:pPr>
        <w:rPr>
          <w:lang w:val="fr-CH"/>
        </w:rPr>
      </w:pPr>
    </w:p>
    <w:p w14:paraId="41ECDEB9" w14:textId="77777777" w:rsidR="0004297B" w:rsidRPr="00AB458F" w:rsidRDefault="0004297B" w:rsidP="0004297B">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4297B" w:rsidRPr="00866DE2" w14:paraId="1B9DC9D9" w14:textId="77777777" w:rsidTr="00EB56DD">
        <w:tc>
          <w:tcPr>
            <w:tcW w:w="6512" w:type="dxa"/>
          </w:tcPr>
          <w:p w14:paraId="3F6D2E03" w14:textId="77777777" w:rsidR="00AB458F" w:rsidRPr="00AB458F" w:rsidRDefault="00AB458F" w:rsidP="00AB458F">
            <w:pPr>
              <w:pStyle w:val="Sessiontc"/>
              <w:spacing w:line="240" w:lineRule="auto"/>
              <w:rPr>
                <w:lang w:val="fr-CH"/>
              </w:rPr>
            </w:pPr>
            <w:r w:rsidRPr="00AB458F">
              <w:rPr>
                <w:lang w:val="fr-CH"/>
              </w:rPr>
              <w:t>Groupe de travail sur le produit de la récolte et l’utilisation non autorisée de matériel de reproduction ou de multiplication</w:t>
            </w:r>
          </w:p>
          <w:p w14:paraId="413C8D07" w14:textId="21D609C7" w:rsidR="00A73882" w:rsidRPr="000524F8" w:rsidRDefault="0023616B" w:rsidP="00A73882">
            <w:pPr>
              <w:pStyle w:val="Sessiontcplacedate"/>
              <w:rPr>
                <w:lang w:val="fr-CH"/>
              </w:rPr>
            </w:pPr>
            <w:r w:rsidRPr="000524F8">
              <w:rPr>
                <w:lang w:val="fr-CH"/>
              </w:rPr>
              <w:t xml:space="preserve">Septième </w:t>
            </w:r>
            <w:r w:rsidR="00A73882" w:rsidRPr="000524F8">
              <w:rPr>
                <w:lang w:val="fr-CH"/>
              </w:rPr>
              <w:t>réunion</w:t>
            </w:r>
          </w:p>
          <w:p w14:paraId="4AFB0F46" w14:textId="4B2C142D" w:rsidR="0004297B" w:rsidRPr="00DC3802" w:rsidRDefault="00A73882" w:rsidP="00644B33">
            <w:pPr>
              <w:pStyle w:val="Sessiontcplacedate"/>
              <w:rPr>
                <w:sz w:val="22"/>
              </w:rPr>
            </w:pPr>
            <w:r>
              <w:t xml:space="preserve">Genève, </w:t>
            </w:r>
            <w:r w:rsidR="0023616B">
              <w:t>20 mars 2025</w:t>
            </w:r>
          </w:p>
        </w:tc>
        <w:tc>
          <w:tcPr>
            <w:tcW w:w="3127" w:type="dxa"/>
          </w:tcPr>
          <w:p w14:paraId="1C85C015" w14:textId="456702F4" w:rsidR="0004297B" w:rsidRPr="00AB458F" w:rsidRDefault="009A087F" w:rsidP="00EB56DD">
            <w:pPr>
              <w:pStyle w:val="Doccode"/>
              <w:rPr>
                <w:lang w:val="fr-CH"/>
              </w:rPr>
            </w:pPr>
            <w:r w:rsidRPr="00AB458F">
              <w:rPr>
                <w:lang w:val="fr-CH"/>
              </w:rPr>
              <w:t>WG-HRV/7/2</w:t>
            </w:r>
          </w:p>
          <w:p w14:paraId="52269C53" w14:textId="77777777" w:rsidR="0004297B" w:rsidRPr="00AB458F" w:rsidRDefault="0004297B" w:rsidP="00EB56DD">
            <w:pPr>
              <w:pStyle w:val="Doccode"/>
              <w:rPr>
                <w:lang w:val="fr-CH"/>
              </w:rPr>
            </w:pPr>
          </w:p>
          <w:p w14:paraId="2E480CEC" w14:textId="77777777" w:rsidR="0004297B" w:rsidRPr="00AB458F" w:rsidRDefault="0004297B" w:rsidP="00EB56DD">
            <w:pPr>
              <w:pStyle w:val="Docoriginal"/>
              <w:rPr>
                <w:lang w:val="fr-CH"/>
              </w:rPr>
            </w:pPr>
            <w:r w:rsidRPr="00AB458F">
              <w:rPr>
                <w:lang w:val="fr-CH"/>
              </w:rPr>
              <w:t>Original :</w:t>
            </w:r>
            <w:r w:rsidRPr="00AB458F">
              <w:rPr>
                <w:b w:val="0"/>
                <w:spacing w:val="0"/>
                <w:lang w:val="fr-CH"/>
              </w:rPr>
              <w:t xml:space="preserve">  Anglais</w:t>
            </w:r>
          </w:p>
          <w:p w14:paraId="1D247B60" w14:textId="5AE20B18" w:rsidR="0004297B" w:rsidRPr="00AB458F" w:rsidRDefault="0004297B" w:rsidP="00644B33">
            <w:pPr>
              <w:pStyle w:val="Docoriginal"/>
              <w:rPr>
                <w:lang w:val="fr-CH"/>
              </w:rPr>
            </w:pPr>
            <w:r w:rsidRPr="00AB458F">
              <w:rPr>
                <w:lang w:val="fr-CH"/>
              </w:rPr>
              <w:t>Date :</w:t>
            </w:r>
            <w:r w:rsidRPr="00AB458F">
              <w:rPr>
                <w:b w:val="0"/>
                <w:spacing w:val="0"/>
                <w:lang w:val="fr-CH"/>
              </w:rPr>
              <w:t xml:space="preserve">  </w:t>
            </w:r>
            <w:r w:rsidR="004B70E3" w:rsidRPr="00AB458F">
              <w:rPr>
                <w:b w:val="0"/>
                <w:spacing w:val="0"/>
                <w:lang w:val="fr-CH"/>
              </w:rPr>
              <w:t xml:space="preserve"> 25</w:t>
            </w:r>
            <w:r w:rsidR="00BB406D" w:rsidRPr="00AB458F">
              <w:rPr>
                <w:b w:val="0"/>
                <w:spacing w:val="0"/>
                <w:lang w:val="fr-CH"/>
              </w:rPr>
              <w:t xml:space="preserve"> février </w:t>
            </w:r>
            <w:r w:rsidR="0023616B" w:rsidRPr="00AB458F">
              <w:rPr>
                <w:b w:val="0"/>
                <w:spacing w:val="0"/>
                <w:lang w:val="fr-CH"/>
              </w:rPr>
              <w:t>2025</w:t>
            </w:r>
          </w:p>
        </w:tc>
      </w:tr>
    </w:tbl>
    <w:p w14:paraId="0F55579C" w14:textId="635E5121" w:rsidR="0004297B" w:rsidRPr="00AB458F" w:rsidRDefault="00AB458F" w:rsidP="0004297B">
      <w:pPr>
        <w:pStyle w:val="Titleofdoc0"/>
        <w:rPr>
          <w:lang w:val="fr-CH"/>
        </w:rPr>
      </w:pPr>
      <w:r w:rsidRPr="00AB458F">
        <w:rPr>
          <w:lang w:val="fr-CH"/>
        </w:rPr>
        <w:t xml:space="preserve">Compte rendu des progrès réalisés par les auteurs de l'étude sur </w:t>
      </w:r>
      <w:bookmarkStart w:id="0" w:name="_Hlk192597790"/>
      <w:r w:rsidRPr="00AB458F">
        <w:rPr>
          <w:lang w:val="fr-CH"/>
        </w:rPr>
        <w:t>l’“Étendue du droit d’obtenteur” et le rapport avec l’“Épuisement du droit d’obtenteur”</w:t>
      </w:r>
      <w:bookmarkEnd w:id="0"/>
    </w:p>
    <w:p w14:paraId="5CA52AAD" w14:textId="77777777" w:rsidR="00AB458F" w:rsidRPr="00AB458F" w:rsidRDefault="00AB458F" w:rsidP="00AB458F">
      <w:pPr>
        <w:pStyle w:val="preparedby1"/>
        <w:jc w:val="left"/>
        <w:rPr>
          <w:lang w:val="fr-CH"/>
        </w:rPr>
      </w:pPr>
      <w:r w:rsidRPr="00AB458F">
        <w:rPr>
          <w:lang w:val="fr-CH"/>
        </w:rPr>
        <w:t>établi par le Bureau de l’Union</w:t>
      </w:r>
    </w:p>
    <w:p w14:paraId="2BE9F0FF" w14:textId="77777777" w:rsidR="00AB458F" w:rsidRPr="00053184" w:rsidRDefault="00AB458F" w:rsidP="00AB458F">
      <w:pPr>
        <w:pStyle w:val="Disclaimer"/>
        <w:rPr>
          <w:lang w:val="fr-CH"/>
        </w:rPr>
      </w:pPr>
      <w:r w:rsidRPr="00053184">
        <w:rPr>
          <w:lang w:val="fr-CH"/>
        </w:rPr>
        <w:t>Avertissement : le présent document ne représente pas les principes ou les orientations de l’UPOV.</w:t>
      </w:r>
      <w:r>
        <w:rPr>
          <w:lang w:val="fr-CH"/>
        </w:rPr>
        <w:br/>
      </w:r>
      <w:r>
        <w:rPr>
          <w:lang w:val="fr-CH"/>
        </w:rPr>
        <w:br/>
      </w:r>
      <w:r w:rsidRPr="00053184">
        <w:rPr>
          <w:lang w:val="fr-CH"/>
        </w:rPr>
        <w:t>Ce document a été généré à l'aide d'une traduction automatique dont l'exactitude ne peut être garantie. Par conséquent, le texte dans la langue originale est la seule version authentique.</w:t>
      </w:r>
    </w:p>
    <w:p w14:paraId="733A9185" w14:textId="0D17586A" w:rsidR="00BB406D" w:rsidRPr="00AB458F" w:rsidRDefault="00BB406D" w:rsidP="00BB406D">
      <w:pPr>
        <w:rPr>
          <w:rFonts w:cs="Arial"/>
          <w:lang w:val="fr-CH"/>
        </w:rPr>
      </w:pPr>
      <w:r w:rsidRPr="00416F54">
        <w:rPr>
          <w:rFonts w:cs="Arial"/>
        </w:rPr>
        <w:fldChar w:fldCharType="begin"/>
      </w:r>
      <w:r w:rsidRPr="00AB458F">
        <w:rPr>
          <w:rFonts w:cs="Arial"/>
          <w:lang w:val="fr-CH"/>
        </w:rPr>
        <w:instrText xml:space="preserve"> AUTONUM  </w:instrText>
      </w:r>
      <w:r w:rsidRPr="00416F54">
        <w:rPr>
          <w:rFonts w:cs="Arial"/>
        </w:rPr>
        <w:fldChar w:fldCharType="end"/>
      </w:r>
      <w:r w:rsidRPr="00AB458F">
        <w:rPr>
          <w:rFonts w:cs="Arial"/>
          <w:lang w:val="fr-CH"/>
        </w:rPr>
        <w:tab/>
        <w:t xml:space="preserve">Le présent document a pour objet d'inviter le </w:t>
      </w:r>
      <w:r w:rsidR="0069190F">
        <w:rPr>
          <w:rFonts w:cs="Arial"/>
          <w:lang w:val="fr-CH"/>
        </w:rPr>
        <w:t>Groupe de travail sur le produit de la récolte et l</w:t>
      </w:r>
      <w:r w:rsidR="0069190F">
        <w:rPr>
          <w:rFonts w:cs="Arial" w:hint="eastAsia"/>
          <w:lang w:val="fr-CH"/>
        </w:rPr>
        <w:t>’</w:t>
      </w:r>
      <w:r w:rsidR="0069190F">
        <w:rPr>
          <w:rFonts w:cs="Arial"/>
          <w:lang w:val="fr-CH"/>
        </w:rPr>
        <w:t>utilisation non autorisée de matériel de reproduction ou de multiplication</w:t>
      </w:r>
      <w:r w:rsidRPr="00AB458F">
        <w:rPr>
          <w:rFonts w:cs="Arial"/>
          <w:lang w:val="fr-CH"/>
        </w:rPr>
        <w:t xml:space="preserve"> (WG-HRV) à prendre note du </w:t>
      </w:r>
      <w:r w:rsidR="0069190F">
        <w:rPr>
          <w:rFonts w:cs="Arial"/>
          <w:lang w:val="fr-CH"/>
        </w:rPr>
        <w:t>compte rendu</w:t>
      </w:r>
      <w:r w:rsidRPr="00AB458F">
        <w:rPr>
          <w:rFonts w:cs="Arial"/>
          <w:lang w:val="fr-CH"/>
        </w:rPr>
        <w:t xml:space="preserve"> </w:t>
      </w:r>
      <w:r w:rsidR="0069190F">
        <w:rPr>
          <w:rFonts w:cs="Arial"/>
          <w:lang w:val="fr-CH"/>
        </w:rPr>
        <w:t>des</w:t>
      </w:r>
      <w:r w:rsidRPr="00AB458F">
        <w:rPr>
          <w:rFonts w:cs="Arial"/>
          <w:lang w:val="fr-CH"/>
        </w:rPr>
        <w:t xml:space="preserve"> progrès réalisés par les auteurs de l'étude sur </w:t>
      </w:r>
      <w:r w:rsidR="0069190F" w:rsidRPr="0069190F">
        <w:rPr>
          <w:rFonts w:cs="Arial"/>
          <w:lang w:val="fr-CH"/>
        </w:rPr>
        <w:t>l’“Étendue du droit d’obtenteur” et le rapport avec l’“Épuisement du droit d’obtenteur”</w:t>
      </w:r>
      <w:r w:rsidRPr="00AB458F">
        <w:rPr>
          <w:rFonts w:cs="Arial"/>
          <w:lang w:val="fr-CH"/>
        </w:rPr>
        <w:t>.</w:t>
      </w:r>
    </w:p>
    <w:p w14:paraId="7F6481AC" w14:textId="77777777" w:rsidR="00544581" w:rsidRPr="00AB458F" w:rsidRDefault="00544581">
      <w:pPr>
        <w:jc w:val="left"/>
        <w:rPr>
          <w:lang w:val="fr-CH"/>
        </w:rPr>
      </w:pPr>
    </w:p>
    <w:p w14:paraId="343696F5" w14:textId="1B2251D6" w:rsidR="006B0877" w:rsidRPr="00AB458F" w:rsidRDefault="006B0877" w:rsidP="006B0877">
      <w:pPr>
        <w:rPr>
          <w:lang w:val="fr-CH"/>
        </w:rPr>
      </w:pPr>
      <w:r>
        <w:fldChar w:fldCharType="begin"/>
      </w:r>
      <w:r w:rsidRPr="00AB458F">
        <w:rPr>
          <w:lang w:val="fr-CH"/>
        </w:rPr>
        <w:instrText xml:space="preserve"> AUTONUM  </w:instrText>
      </w:r>
      <w:r>
        <w:fldChar w:fldCharType="end"/>
      </w:r>
      <w:r w:rsidRPr="00AB458F">
        <w:rPr>
          <w:lang w:val="fr-CH"/>
        </w:rPr>
        <w:tab/>
        <w:t xml:space="preserve">Le </w:t>
      </w:r>
      <w:r w:rsidR="0069190F">
        <w:rPr>
          <w:lang w:val="fr-CH"/>
        </w:rPr>
        <w:t xml:space="preserve">compte rendu </w:t>
      </w:r>
      <w:r w:rsidRPr="00AB458F">
        <w:rPr>
          <w:lang w:val="fr-CH"/>
        </w:rPr>
        <w:t xml:space="preserve">fourni par les auteurs est reproduit à l'annexe I du présent document. </w:t>
      </w:r>
      <w:r w:rsidR="004B70E3" w:rsidRPr="00AB458F">
        <w:rPr>
          <w:lang w:val="fr-CH"/>
        </w:rPr>
        <w:t xml:space="preserve">Les </w:t>
      </w:r>
      <w:r w:rsidR="002456DE" w:rsidRPr="00AB458F">
        <w:rPr>
          <w:lang w:val="fr-CH"/>
        </w:rPr>
        <w:t>termes de référence de l'</w:t>
      </w:r>
      <w:r w:rsidR="003F2907" w:rsidRPr="00AB458F">
        <w:rPr>
          <w:lang w:val="fr-CH"/>
        </w:rPr>
        <w:t xml:space="preserve">étude approuvés par le </w:t>
      </w:r>
      <w:r w:rsidR="0069190F">
        <w:rPr>
          <w:lang w:val="fr-CH"/>
        </w:rPr>
        <w:t>WG-HRV</w:t>
      </w:r>
      <w:r w:rsidR="003F2907" w:rsidRPr="00AB458F">
        <w:rPr>
          <w:lang w:val="fr-CH"/>
        </w:rPr>
        <w:t xml:space="preserve">, lors de sa sixième réunion, sont reproduits </w:t>
      </w:r>
      <w:r w:rsidR="004B70E3" w:rsidRPr="00AB458F">
        <w:rPr>
          <w:lang w:val="fr-CH"/>
        </w:rPr>
        <w:t xml:space="preserve">à l'annexe </w:t>
      </w:r>
      <w:r w:rsidR="002456DE" w:rsidRPr="00AB458F">
        <w:rPr>
          <w:lang w:val="fr-CH"/>
        </w:rPr>
        <w:t xml:space="preserve">II </w:t>
      </w:r>
      <w:r w:rsidR="004B70E3" w:rsidRPr="00AB458F">
        <w:rPr>
          <w:lang w:val="fr-CH"/>
        </w:rPr>
        <w:t>du présent document.</w:t>
      </w:r>
    </w:p>
    <w:p w14:paraId="3F20E338" w14:textId="77777777" w:rsidR="006B0877" w:rsidRPr="00AB458F" w:rsidRDefault="006B0877">
      <w:pPr>
        <w:jc w:val="left"/>
        <w:rPr>
          <w:lang w:val="fr-CH"/>
        </w:rPr>
      </w:pPr>
    </w:p>
    <w:p w14:paraId="50CCA8C5" w14:textId="77777777" w:rsidR="009E6486" w:rsidRPr="00AB458F" w:rsidRDefault="009E6486">
      <w:pPr>
        <w:jc w:val="left"/>
        <w:rPr>
          <w:lang w:val="fr-CH"/>
        </w:rPr>
      </w:pPr>
    </w:p>
    <w:p w14:paraId="6B4F2D81" w14:textId="5D6859E0" w:rsidR="009E6486" w:rsidRPr="00AB458F" w:rsidRDefault="009E6486" w:rsidP="00C96D62">
      <w:pPr>
        <w:pStyle w:val="Heading1"/>
        <w:rPr>
          <w:lang w:val="fr-CH"/>
        </w:rPr>
      </w:pPr>
      <w:bookmarkStart w:id="1" w:name="_Toc172119333"/>
      <w:r w:rsidRPr="00AB458F">
        <w:rPr>
          <w:lang w:val="fr-CH"/>
        </w:rPr>
        <w:t>CONTEXTE</w:t>
      </w:r>
      <w:bookmarkEnd w:id="1"/>
    </w:p>
    <w:p w14:paraId="0E3FB0DA" w14:textId="77777777" w:rsidR="009E6486" w:rsidRPr="00AB458F" w:rsidRDefault="009E6486" w:rsidP="009E6486">
      <w:pPr>
        <w:rPr>
          <w:color w:val="262626"/>
          <w:lang w:val="fr-CH"/>
        </w:rPr>
      </w:pPr>
    </w:p>
    <w:p w14:paraId="106C2305" w14:textId="752FF8DE" w:rsidR="009E6486" w:rsidRPr="0069190F" w:rsidRDefault="009E6486" w:rsidP="009E6486">
      <w:pPr>
        <w:rPr>
          <w:lang w:val="fr-CH"/>
        </w:rPr>
      </w:pPr>
      <w:r>
        <w:rPr>
          <w:lang w:val="en-GB"/>
        </w:rPr>
        <w:fldChar w:fldCharType="begin"/>
      </w:r>
      <w:r w:rsidRPr="00AB458F">
        <w:rPr>
          <w:lang w:val="fr-CH"/>
        </w:rPr>
        <w:instrText xml:space="preserve"> AUTONUM  </w:instrText>
      </w:r>
      <w:r>
        <w:rPr>
          <w:lang w:val="en-GB"/>
        </w:rPr>
        <w:fldChar w:fldCharType="end"/>
      </w:r>
      <w:r w:rsidRPr="00AB458F">
        <w:rPr>
          <w:lang w:val="fr-CH"/>
        </w:rPr>
        <w:tab/>
      </w:r>
      <w:r w:rsidR="003022C5" w:rsidRPr="00AB458F">
        <w:rPr>
          <w:lang w:val="fr-CH"/>
        </w:rPr>
        <w:t>Au cours de sa sixième réunion</w:t>
      </w:r>
      <w:r w:rsidR="003022C5">
        <w:rPr>
          <w:rStyle w:val="FootnoteReference"/>
          <w:color w:val="262626"/>
        </w:rPr>
        <w:footnoteReference w:id="2"/>
      </w:r>
      <w:r w:rsidR="0069190F">
        <w:rPr>
          <w:lang w:val="fr-CH"/>
        </w:rPr>
        <w:t xml:space="preserve">, </w:t>
      </w:r>
      <w:r w:rsidRPr="00AB458F">
        <w:rPr>
          <w:lang w:val="fr-CH"/>
        </w:rPr>
        <w:t xml:space="preserve">le </w:t>
      </w:r>
      <w:r w:rsidR="0069190F">
        <w:rPr>
          <w:lang w:val="fr-CH"/>
        </w:rPr>
        <w:t>WG-HRV</w:t>
      </w:r>
      <w:r w:rsidRPr="00AB458F">
        <w:rPr>
          <w:lang w:val="fr-CH"/>
        </w:rPr>
        <w:t xml:space="preserve"> est convenu que </w:t>
      </w:r>
      <w:r w:rsidR="0069190F" w:rsidRPr="0069190F">
        <w:rPr>
          <w:lang w:val="fr-CH"/>
        </w:rPr>
        <w:t xml:space="preserve">la rédaction de l'étude devrait suivre une approche indépendante conforme aux normes universitaires, que les auteurs divulgueraient les conflits d'intérêts potentiels conformément aux normes universitaires et que les conclusions ne seraient pas contraignantes pour les membres de l'UPOV. </w:t>
      </w:r>
      <w:r w:rsidR="0069190F">
        <w:rPr>
          <w:lang w:val="fr-CH"/>
        </w:rPr>
        <w:t xml:space="preserve"> </w:t>
      </w:r>
      <w:r w:rsidR="0069190F" w:rsidRPr="0069190F">
        <w:rPr>
          <w:lang w:val="fr-CH"/>
        </w:rPr>
        <w:t>Le WG-HRV est convenu d'indiquer dans le rapport de l'étude que celle-ci a pour objet d'aider le WG-HRV dans ses délibérations conformément à son mandat, sans créer d'obligation pour le WG-HRV ou les membres de l'UPOV.</w:t>
      </w:r>
      <w:r w:rsidR="0069190F">
        <w:rPr>
          <w:lang w:val="fr-CH"/>
        </w:rPr>
        <w:t xml:space="preserve"> </w:t>
      </w:r>
      <w:r w:rsidR="0069190F" w:rsidRPr="0069190F">
        <w:rPr>
          <w:lang w:val="fr-CH"/>
        </w:rPr>
        <w:t xml:space="preserve"> Le WG-HRV est également convenu que l'état d'avancement du rapport de l'étude serait un document du WG-HRV qui serait mis à disposition sur le site Web de l'UPOV consacré au WG-HRV.</w:t>
      </w:r>
      <w:r w:rsidR="0069190F">
        <w:rPr>
          <w:lang w:val="fr-CH"/>
        </w:rPr>
        <w:t xml:space="preserve"> </w:t>
      </w:r>
      <w:r w:rsidR="0069190F" w:rsidRPr="0069190F">
        <w:rPr>
          <w:lang w:val="fr-CH"/>
        </w:rPr>
        <w:t xml:space="preserve"> Le WG-HRV a noté qu'il n'était pas prévu de publier séparément le rapport de l'étude</w:t>
      </w:r>
    </w:p>
    <w:p w14:paraId="1F88342F" w14:textId="77777777" w:rsidR="009E6486" w:rsidRPr="00AB458F" w:rsidRDefault="009E6486" w:rsidP="009E6486">
      <w:pPr>
        <w:rPr>
          <w:lang w:val="fr-CH"/>
        </w:rPr>
      </w:pPr>
    </w:p>
    <w:p w14:paraId="4746BFD9" w14:textId="127031B7" w:rsidR="009E6486" w:rsidRPr="0069190F" w:rsidRDefault="009E6486" w:rsidP="009E6486">
      <w:pPr>
        <w:rPr>
          <w:lang w:val="fr-CH"/>
        </w:rPr>
      </w:pPr>
      <w:r>
        <w:rPr>
          <w:lang w:val="en-GB"/>
        </w:rPr>
        <w:fldChar w:fldCharType="begin"/>
      </w:r>
      <w:r w:rsidRPr="00AB458F">
        <w:rPr>
          <w:lang w:val="fr-CH"/>
        </w:rPr>
        <w:instrText xml:space="preserve"> AUTONUM  </w:instrText>
      </w:r>
      <w:r>
        <w:rPr>
          <w:lang w:val="en-GB"/>
        </w:rPr>
        <w:fldChar w:fldCharType="end"/>
      </w:r>
      <w:r w:rsidRPr="00AB458F">
        <w:rPr>
          <w:lang w:val="fr-CH"/>
        </w:rPr>
        <w:tab/>
      </w:r>
      <w:r w:rsidR="0069190F" w:rsidRPr="0069190F">
        <w:rPr>
          <w:lang w:val="fr-CH"/>
        </w:rPr>
        <w:t>En ce qui concerne le calendrier proposé, le WG-HRV a convenu que l'état d'avancement des travaux des auteurs devrait être rendu avant la fin du mois de février pour examen lors de la septième réunion du WG-</w:t>
      </w:r>
      <w:r w:rsidR="0069190F">
        <w:rPr>
          <w:lang w:val="fr-CH"/>
        </w:rPr>
        <w:t> </w:t>
      </w:r>
      <w:r w:rsidR="0069190F" w:rsidRPr="0069190F">
        <w:rPr>
          <w:lang w:val="fr-CH"/>
        </w:rPr>
        <w:t>HRV, en mars 2025, et qu'un rapport final serait attendu pour le 1er septembre 2025.</w:t>
      </w:r>
    </w:p>
    <w:p w14:paraId="003ABA55" w14:textId="77777777" w:rsidR="009E6486" w:rsidRPr="00AB458F" w:rsidRDefault="009E6486" w:rsidP="009E6486">
      <w:pPr>
        <w:rPr>
          <w:lang w:val="fr-CH"/>
        </w:rPr>
      </w:pPr>
    </w:p>
    <w:p w14:paraId="680B01D4" w14:textId="5942C8CA" w:rsidR="009E6486" w:rsidRPr="00AB458F" w:rsidRDefault="009E6486" w:rsidP="009E6486">
      <w:pPr>
        <w:rPr>
          <w:lang w:val="fr-CH"/>
        </w:rPr>
      </w:pPr>
      <w:r>
        <w:rPr>
          <w:lang w:val="en-GB"/>
        </w:rPr>
        <w:fldChar w:fldCharType="begin"/>
      </w:r>
      <w:r w:rsidRPr="00AB458F">
        <w:rPr>
          <w:lang w:val="fr-CH"/>
        </w:rPr>
        <w:instrText xml:space="preserve"> AUTONUM  </w:instrText>
      </w:r>
      <w:r>
        <w:rPr>
          <w:lang w:val="en-GB"/>
        </w:rPr>
        <w:fldChar w:fldCharType="end"/>
      </w:r>
      <w:r w:rsidRPr="00AB458F">
        <w:rPr>
          <w:lang w:val="fr-CH"/>
        </w:rPr>
        <w:tab/>
      </w:r>
      <w:r w:rsidR="0069190F" w:rsidRPr="0069190F">
        <w:rPr>
          <w:lang w:val="fr-CH"/>
        </w:rPr>
        <w:t>Le WG-HRV a convenu que les éventuelles questions posées par les auteurs sur des points pratiques de faible complexité seraient traitées par le Bureau de l'Union.</w:t>
      </w:r>
      <w:r w:rsidR="0069190F">
        <w:rPr>
          <w:lang w:val="fr-CH"/>
        </w:rPr>
        <w:t xml:space="preserve"> </w:t>
      </w:r>
      <w:r w:rsidR="0069190F" w:rsidRPr="0069190F">
        <w:rPr>
          <w:lang w:val="fr-CH"/>
        </w:rPr>
        <w:t xml:space="preserve"> Le WG-HRV a également convenu que les questions complexes ou les demandes d'orientation de fond formulées par les auteurs seraient soumises au WG-HRV, lors de sa (ses) réunion(s), ou par le biais d'une procédure écrite, selon le cas.</w:t>
      </w:r>
      <w:r w:rsidRPr="00AB458F">
        <w:rPr>
          <w:lang w:val="fr-CH"/>
        </w:rPr>
        <w:t xml:space="preserve"> </w:t>
      </w:r>
      <w:r w:rsidR="003022C5" w:rsidRPr="00AB458F">
        <w:rPr>
          <w:lang w:val="fr-CH"/>
        </w:rPr>
        <w:t>(voir le document WG-HRV/6/3 "</w:t>
      </w:r>
      <w:r w:rsidR="0069190F">
        <w:rPr>
          <w:lang w:val="fr-CH"/>
        </w:rPr>
        <w:t>Compte Rendu</w:t>
      </w:r>
      <w:r w:rsidR="003022C5" w:rsidRPr="00AB458F">
        <w:rPr>
          <w:lang w:val="fr-CH"/>
        </w:rPr>
        <w:t>", paragraphes 13 à 15).</w:t>
      </w:r>
    </w:p>
    <w:p w14:paraId="1CD01657" w14:textId="77777777" w:rsidR="00BB406D" w:rsidRPr="00AB458F" w:rsidRDefault="00BB406D" w:rsidP="00050E16">
      <w:pPr>
        <w:rPr>
          <w:lang w:val="fr-CH"/>
        </w:rPr>
      </w:pPr>
    </w:p>
    <w:p w14:paraId="28BD1F9F" w14:textId="67745041" w:rsidR="00F9465F" w:rsidRPr="00AB458F" w:rsidRDefault="00F9465F">
      <w:pPr>
        <w:jc w:val="left"/>
        <w:rPr>
          <w:lang w:val="fr-CH"/>
        </w:rPr>
      </w:pPr>
      <w:r w:rsidRPr="00AB458F">
        <w:rPr>
          <w:lang w:val="fr-CH"/>
        </w:rPr>
        <w:br w:type="page"/>
      </w:r>
    </w:p>
    <w:p w14:paraId="18DCF121" w14:textId="2FED109D" w:rsidR="006B0877" w:rsidRPr="00AB458F" w:rsidRDefault="006B0877" w:rsidP="006B0877">
      <w:pPr>
        <w:pStyle w:val="Heading1"/>
        <w:rPr>
          <w:lang w:val="fr-CH"/>
        </w:rPr>
      </w:pPr>
      <w:bookmarkStart w:id="2" w:name="_Toc172119334"/>
      <w:r w:rsidRPr="00AB458F">
        <w:rPr>
          <w:lang w:val="fr-CH"/>
        </w:rPr>
        <w:lastRenderedPageBreak/>
        <w:t>Réunion avec</w:t>
      </w:r>
      <w:bookmarkEnd w:id="2"/>
      <w:r w:rsidRPr="00AB458F">
        <w:rPr>
          <w:lang w:val="fr-CH"/>
        </w:rPr>
        <w:t xml:space="preserve"> LES auteurs de l'étude le 31 janvier 2025</w:t>
      </w:r>
    </w:p>
    <w:p w14:paraId="08DA0732" w14:textId="77777777" w:rsidR="002456DE" w:rsidRPr="00AB458F" w:rsidRDefault="002456DE" w:rsidP="004B70E3">
      <w:pPr>
        <w:rPr>
          <w:lang w:val="fr-CH"/>
        </w:rPr>
      </w:pPr>
    </w:p>
    <w:p w14:paraId="0EC741F0" w14:textId="71AA2A73" w:rsidR="002456DE" w:rsidRPr="00AB458F" w:rsidRDefault="002456DE" w:rsidP="002456DE">
      <w:pPr>
        <w:rPr>
          <w:lang w:val="fr-CH"/>
        </w:rPr>
      </w:pPr>
      <w:r>
        <w:fldChar w:fldCharType="begin"/>
      </w:r>
      <w:r w:rsidRPr="00AB458F">
        <w:rPr>
          <w:lang w:val="fr-CH"/>
        </w:rPr>
        <w:instrText xml:space="preserve"> AUTONUM  </w:instrText>
      </w:r>
      <w:r>
        <w:fldChar w:fldCharType="end"/>
      </w:r>
      <w:r w:rsidRPr="00AB458F">
        <w:rPr>
          <w:lang w:val="fr-CH"/>
        </w:rPr>
        <w:tab/>
        <w:t xml:space="preserve">Le Bureau de l'Union a </w:t>
      </w:r>
      <w:r w:rsidR="0069190F">
        <w:rPr>
          <w:lang w:val="fr-CH"/>
        </w:rPr>
        <w:t>consulté</w:t>
      </w:r>
      <w:r w:rsidRPr="00AB458F">
        <w:rPr>
          <w:lang w:val="fr-CH"/>
        </w:rPr>
        <w:t xml:space="preserve"> en ligne les auteurs de l'étude pour répondre à leurs questions sur le processus</w:t>
      </w:r>
      <w:r w:rsidR="0003071A" w:rsidRPr="00AB458F">
        <w:rPr>
          <w:lang w:val="fr-CH"/>
        </w:rPr>
        <w:t xml:space="preserve">, leur </w:t>
      </w:r>
      <w:r w:rsidR="003F2907" w:rsidRPr="00AB458F">
        <w:rPr>
          <w:lang w:val="fr-CH"/>
        </w:rPr>
        <w:t>expliquer ce qui est attendu de la réunion du WG-HRV/7</w:t>
      </w:r>
      <w:bookmarkStart w:id="3" w:name="_Hlk191414578"/>
      <w:bookmarkEnd w:id="3"/>
      <w:r w:rsidR="0003071A" w:rsidRPr="00AB458F">
        <w:rPr>
          <w:lang w:val="fr-CH"/>
        </w:rPr>
        <w:t xml:space="preserve"> qui se tiendra le 20 mars 2025 et leur fournir des informations pratiques pour leur participation à la réunion</w:t>
      </w:r>
      <w:r w:rsidRPr="00AB458F">
        <w:rPr>
          <w:lang w:val="fr-CH"/>
        </w:rPr>
        <w:t xml:space="preserve">. </w:t>
      </w:r>
      <w:r w:rsidR="0069190F">
        <w:rPr>
          <w:lang w:val="fr-CH"/>
        </w:rPr>
        <w:t xml:space="preserve"> </w:t>
      </w:r>
      <w:r w:rsidRPr="00AB458F">
        <w:rPr>
          <w:lang w:val="fr-CH"/>
        </w:rPr>
        <w:t xml:space="preserve">Il a été </w:t>
      </w:r>
      <w:r w:rsidR="0003071A" w:rsidRPr="00AB458F">
        <w:rPr>
          <w:lang w:val="fr-CH"/>
        </w:rPr>
        <w:t xml:space="preserve">expliqué </w:t>
      </w:r>
      <w:r w:rsidRPr="00AB458F">
        <w:rPr>
          <w:lang w:val="fr-CH"/>
        </w:rPr>
        <w:t xml:space="preserve">que l'objectif de la réunion du WG-HRV/7, qui se tiendra le 20 mars 2025, était de fournir un rapport d'avancement et non de discuter du contenu de l'étude. </w:t>
      </w:r>
    </w:p>
    <w:p w14:paraId="023E9928" w14:textId="77777777" w:rsidR="002456DE" w:rsidRPr="00AB458F" w:rsidRDefault="002456DE" w:rsidP="002456DE">
      <w:pPr>
        <w:rPr>
          <w:lang w:val="fr-CH"/>
        </w:rPr>
      </w:pPr>
    </w:p>
    <w:p w14:paraId="5C93562D" w14:textId="77777777" w:rsidR="00CB7C6C" w:rsidRPr="00AB458F" w:rsidRDefault="00CB7C6C" w:rsidP="00CB7C6C">
      <w:pPr>
        <w:rPr>
          <w:lang w:val="fr-CH"/>
        </w:rPr>
      </w:pPr>
    </w:p>
    <w:p w14:paraId="1E3D4775" w14:textId="769C1C13" w:rsidR="00220DC0" w:rsidRPr="00AB458F" w:rsidRDefault="0003071A" w:rsidP="00050E16">
      <w:pPr>
        <w:rPr>
          <w:lang w:val="fr-CH"/>
        </w:rPr>
      </w:pPr>
      <w:r w:rsidRPr="00AB458F">
        <w:rPr>
          <w:lang w:val="fr-CH"/>
        </w:rPr>
        <w:t>PRÉSENTATION PAR LES AUT</w:t>
      </w:r>
      <w:r w:rsidR="0069190F">
        <w:rPr>
          <w:lang w:val="fr-CH"/>
        </w:rPr>
        <w:t>EURS</w:t>
      </w:r>
      <w:r w:rsidRPr="00AB458F">
        <w:rPr>
          <w:lang w:val="fr-CH"/>
        </w:rPr>
        <w:t xml:space="preserve"> LORS DE LA RÉUNION DU 20 MARS 2025</w:t>
      </w:r>
    </w:p>
    <w:p w14:paraId="4D26E5EB" w14:textId="77777777" w:rsidR="0003071A" w:rsidRPr="00AB458F" w:rsidRDefault="0003071A" w:rsidP="00050E16">
      <w:pPr>
        <w:rPr>
          <w:lang w:val="fr-CH"/>
        </w:rPr>
      </w:pPr>
    </w:p>
    <w:p w14:paraId="1CE4ED08" w14:textId="7FE46089" w:rsidR="0003071A" w:rsidRPr="00AB458F" w:rsidRDefault="0003071A" w:rsidP="00050E16">
      <w:pPr>
        <w:rPr>
          <w:lang w:val="fr-CH"/>
        </w:rPr>
      </w:pPr>
      <w:r>
        <w:fldChar w:fldCharType="begin"/>
      </w:r>
      <w:r w:rsidRPr="00AB458F">
        <w:rPr>
          <w:lang w:val="fr-CH"/>
        </w:rPr>
        <w:instrText xml:space="preserve"> AUTONUM  </w:instrText>
      </w:r>
      <w:r>
        <w:fldChar w:fldCharType="end"/>
      </w:r>
      <w:r w:rsidRPr="00AB458F">
        <w:rPr>
          <w:lang w:val="fr-CH"/>
        </w:rPr>
        <w:tab/>
        <w:t xml:space="preserve">Les auteurs feront une présentation lors de la réunion du </w:t>
      </w:r>
      <w:r w:rsidR="0069190F">
        <w:rPr>
          <w:lang w:val="fr-CH"/>
        </w:rPr>
        <w:t>WG-HRV</w:t>
      </w:r>
      <w:r w:rsidRPr="00AB458F">
        <w:rPr>
          <w:lang w:val="fr-CH"/>
        </w:rPr>
        <w:t xml:space="preserve">/7 sur la base du rapport d'avancement reproduit à l'annexe I du présent document.  </w:t>
      </w:r>
    </w:p>
    <w:p w14:paraId="5F681CD6" w14:textId="77777777" w:rsidR="0003071A" w:rsidRPr="00AB458F" w:rsidRDefault="0003071A" w:rsidP="00050E16">
      <w:pPr>
        <w:rPr>
          <w:lang w:val="fr-CH"/>
        </w:rPr>
      </w:pPr>
    </w:p>
    <w:p w14:paraId="33DA4E54" w14:textId="77777777" w:rsidR="00C96D62" w:rsidRPr="00AB458F" w:rsidRDefault="00C96D62" w:rsidP="00050E16">
      <w:pPr>
        <w:rPr>
          <w:lang w:val="fr-CH"/>
        </w:rPr>
      </w:pPr>
    </w:p>
    <w:p w14:paraId="4C7713EE" w14:textId="77777777" w:rsidR="00C96D62" w:rsidRPr="00AB458F" w:rsidRDefault="00C96D62" w:rsidP="00050E16">
      <w:pPr>
        <w:rPr>
          <w:lang w:val="fr-CH"/>
        </w:rPr>
      </w:pPr>
    </w:p>
    <w:p w14:paraId="3B912CD3" w14:textId="3A7F8F65" w:rsidR="00BB406D" w:rsidRPr="00AB458F" w:rsidRDefault="00050E16" w:rsidP="00050E16">
      <w:pPr>
        <w:jc w:val="right"/>
        <w:rPr>
          <w:lang w:val="fr-CH"/>
        </w:rPr>
        <w:sectPr w:rsidR="00BB406D" w:rsidRPr="00AB458F" w:rsidSect="0004198B">
          <w:headerReference w:type="default" r:id="rId9"/>
          <w:footerReference w:type="first" r:id="rId10"/>
          <w:pgSz w:w="11907" w:h="16840" w:code="9"/>
          <w:pgMar w:top="510" w:right="1134" w:bottom="1134" w:left="1134" w:header="510" w:footer="680" w:gutter="0"/>
          <w:pgNumType w:start="1"/>
          <w:cols w:space="720"/>
          <w:titlePg/>
        </w:sectPr>
      </w:pPr>
      <w:bookmarkStart w:id="4" w:name="_Hlk190942320"/>
      <w:r w:rsidRPr="00AB458F">
        <w:rPr>
          <w:lang w:val="fr-CH"/>
        </w:rPr>
        <w:t>[L</w:t>
      </w:r>
      <w:r w:rsidR="00BB406D" w:rsidRPr="00AB458F">
        <w:rPr>
          <w:lang w:val="fr-CH"/>
        </w:rPr>
        <w:t xml:space="preserve">'annexe </w:t>
      </w:r>
      <w:r w:rsidR="005061F5" w:rsidRPr="00AB458F">
        <w:rPr>
          <w:lang w:val="fr-CH"/>
        </w:rPr>
        <w:t xml:space="preserve">I </w:t>
      </w:r>
      <w:r w:rsidR="00BB406D" w:rsidRPr="00AB458F">
        <w:rPr>
          <w:lang w:val="fr-CH"/>
        </w:rPr>
        <w:t>suit</w:t>
      </w:r>
      <w:r w:rsidRPr="00AB458F">
        <w:rPr>
          <w:lang w:val="fr-CH"/>
        </w:rPr>
        <w:t>]</w:t>
      </w:r>
    </w:p>
    <w:bookmarkEnd w:id="4"/>
    <w:p w14:paraId="70BE677E" w14:textId="77317053" w:rsidR="00AA4578" w:rsidRPr="00AB458F" w:rsidRDefault="0003071A" w:rsidP="00AA4578">
      <w:pPr>
        <w:widowControl w:val="0"/>
        <w:autoSpaceDE w:val="0"/>
        <w:autoSpaceDN w:val="0"/>
        <w:spacing w:before="63" w:line="360" w:lineRule="auto"/>
        <w:ind w:left="302" w:right="318"/>
        <w:jc w:val="center"/>
        <w:rPr>
          <w:rFonts w:ascii="Times New Roman" w:hAnsi="Times New Roman"/>
          <w:b/>
          <w:sz w:val="24"/>
          <w:szCs w:val="22"/>
          <w:lang w:val="fr-CH"/>
        </w:rPr>
      </w:pPr>
      <w:r w:rsidRPr="00AB458F">
        <w:rPr>
          <w:rFonts w:ascii="Times New Roman" w:hAnsi="Times New Roman"/>
          <w:b/>
          <w:sz w:val="24"/>
          <w:szCs w:val="22"/>
          <w:lang w:val="fr-CH"/>
        </w:rPr>
        <w:lastRenderedPageBreak/>
        <w:t>RAPPORT SUR L'</w:t>
      </w:r>
      <w:r w:rsidR="00AA4578" w:rsidRPr="00AB458F">
        <w:rPr>
          <w:rFonts w:ascii="Times New Roman" w:hAnsi="Times New Roman"/>
          <w:b/>
          <w:sz w:val="24"/>
          <w:szCs w:val="22"/>
          <w:lang w:val="fr-CH"/>
        </w:rPr>
        <w:t xml:space="preserve">ETUDE DE </w:t>
      </w:r>
      <w:r w:rsidR="0069190F" w:rsidRPr="0069190F">
        <w:rPr>
          <w:rFonts w:ascii="Times New Roman" w:hAnsi="Times New Roman"/>
          <w:b/>
          <w:sz w:val="24"/>
          <w:szCs w:val="22"/>
          <w:lang w:val="fr-CH"/>
        </w:rPr>
        <w:t>L’“ÉTENDUE DU DROIT D’OBTENTEUR” ET LE RAPPORT AVEC L’“ÉPUISEMENT DU DROIT D’OBTENTEUR”</w:t>
      </w:r>
    </w:p>
    <w:p w14:paraId="5395493A" w14:textId="77777777" w:rsidR="00AA4578" w:rsidRPr="00AB458F" w:rsidRDefault="00AA4578" w:rsidP="00AA4578">
      <w:pPr>
        <w:widowControl w:val="0"/>
        <w:autoSpaceDE w:val="0"/>
        <w:autoSpaceDN w:val="0"/>
        <w:spacing w:before="161" w:line="496" w:lineRule="auto"/>
        <w:ind w:left="2205" w:right="2221"/>
        <w:jc w:val="center"/>
        <w:rPr>
          <w:rFonts w:ascii="Times New Roman" w:hAnsi="Times New Roman"/>
          <w:b/>
          <w:sz w:val="24"/>
          <w:szCs w:val="22"/>
          <w:lang w:val="fr-CH"/>
        </w:rPr>
      </w:pPr>
      <w:r w:rsidRPr="00AB458F">
        <w:rPr>
          <w:rFonts w:ascii="Times New Roman" w:hAnsi="Times New Roman"/>
          <w:b/>
          <w:smallCaps/>
          <w:spacing w:val="-2"/>
          <w:sz w:val="24"/>
          <w:szCs w:val="22"/>
          <w:lang w:val="fr-CH"/>
        </w:rPr>
        <w:t xml:space="preserve">Huib Ghijsen, Viviane Kunisawa, Charles Lawson, </w:t>
      </w:r>
      <w:r w:rsidRPr="00AB458F">
        <w:rPr>
          <w:rFonts w:ascii="Times New Roman" w:hAnsi="Times New Roman"/>
          <w:b/>
          <w:smallCaps/>
          <w:sz w:val="24"/>
          <w:szCs w:val="22"/>
          <w:lang w:val="fr-CH"/>
        </w:rPr>
        <w:t>Axel Metzger, Joseph Straus</w:t>
      </w:r>
    </w:p>
    <w:p w14:paraId="21272B09" w14:textId="77777777" w:rsidR="00AA4578" w:rsidRPr="00AB458F" w:rsidRDefault="00AA4578" w:rsidP="00AA4578">
      <w:pPr>
        <w:widowControl w:val="0"/>
        <w:autoSpaceDE w:val="0"/>
        <w:autoSpaceDN w:val="0"/>
        <w:spacing w:before="4"/>
        <w:ind w:left="301" w:right="318"/>
        <w:jc w:val="center"/>
        <w:rPr>
          <w:rFonts w:ascii="Times New Roman" w:hAnsi="Times New Roman"/>
          <w:b/>
          <w:sz w:val="24"/>
          <w:szCs w:val="22"/>
          <w:lang w:val="fr-CH"/>
        </w:rPr>
      </w:pPr>
      <w:r w:rsidRPr="00AB458F">
        <w:rPr>
          <w:rFonts w:ascii="Times New Roman" w:hAnsi="Times New Roman"/>
          <w:b/>
          <w:smallCaps/>
          <w:sz w:val="24"/>
          <w:szCs w:val="22"/>
          <w:lang w:val="fr-CH"/>
        </w:rPr>
        <w:t xml:space="preserve">Premier rapport 19 février </w:t>
      </w:r>
      <w:r w:rsidRPr="00AB458F">
        <w:rPr>
          <w:rFonts w:ascii="Times New Roman" w:hAnsi="Times New Roman"/>
          <w:b/>
          <w:smallCaps/>
          <w:spacing w:val="-4"/>
          <w:sz w:val="24"/>
          <w:szCs w:val="22"/>
          <w:lang w:val="fr-CH"/>
        </w:rPr>
        <w:t>2025</w:t>
      </w:r>
    </w:p>
    <w:p w14:paraId="76AAC07F" w14:textId="77777777" w:rsidR="00AA4578" w:rsidRPr="00AB458F" w:rsidRDefault="00AA4578" w:rsidP="00AA4578">
      <w:pPr>
        <w:widowControl w:val="0"/>
        <w:autoSpaceDE w:val="0"/>
        <w:autoSpaceDN w:val="0"/>
        <w:jc w:val="left"/>
        <w:rPr>
          <w:rFonts w:ascii="Times New Roman" w:hAnsi="Times New Roman"/>
          <w:b/>
          <w:iCs/>
          <w:szCs w:val="24"/>
          <w:lang w:val="fr-CH"/>
        </w:rPr>
      </w:pPr>
    </w:p>
    <w:p w14:paraId="0FA7CC3D" w14:textId="77777777" w:rsidR="00AA4578" w:rsidRPr="00AB458F" w:rsidRDefault="00AA4578" w:rsidP="00AA4578">
      <w:pPr>
        <w:widowControl w:val="0"/>
        <w:autoSpaceDE w:val="0"/>
        <w:autoSpaceDN w:val="0"/>
        <w:jc w:val="left"/>
        <w:rPr>
          <w:rFonts w:ascii="Times New Roman" w:hAnsi="Times New Roman"/>
          <w:b/>
          <w:iCs/>
          <w:szCs w:val="24"/>
          <w:lang w:val="fr-CH"/>
        </w:rPr>
      </w:pPr>
    </w:p>
    <w:p w14:paraId="3352FCA1" w14:textId="77777777" w:rsidR="00AA4578" w:rsidRPr="00AB458F" w:rsidRDefault="00AA4578" w:rsidP="00AA4578">
      <w:pPr>
        <w:widowControl w:val="0"/>
        <w:autoSpaceDE w:val="0"/>
        <w:autoSpaceDN w:val="0"/>
        <w:jc w:val="left"/>
        <w:rPr>
          <w:rFonts w:ascii="Times New Roman" w:hAnsi="Times New Roman"/>
          <w:b/>
          <w:iCs/>
          <w:szCs w:val="24"/>
          <w:lang w:val="fr-CH"/>
        </w:rPr>
      </w:pPr>
    </w:p>
    <w:p w14:paraId="11B2765F" w14:textId="63CF5A31" w:rsidR="00AA4578" w:rsidRPr="00AB458F" w:rsidRDefault="00AA4578" w:rsidP="00AA4578">
      <w:pPr>
        <w:widowControl w:val="0"/>
        <w:autoSpaceDE w:val="0"/>
        <w:autoSpaceDN w:val="0"/>
        <w:spacing w:before="6"/>
        <w:jc w:val="left"/>
        <w:rPr>
          <w:rFonts w:ascii="Times New Roman" w:hAnsi="Times New Roman"/>
          <w:b/>
          <w:iCs/>
          <w:sz w:val="13"/>
          <w:szCs w:val="24"/>
          <w:lang w:val="fr-CH"/>
        </w:rPr>
      </w:pPr>
      <w:r w:rsidRPr="00AA4578">
        <w:rPr>
          <w:rFonts w:ascii="Times New Roman" w:hAnsi="Times New Roman"/>
          <w:i/>
          <w:iCs/>
          <w:noProof/>
          <w:sz w:val="24"/>
          <w:szCs w:val="24"/>
        </w:rPr>
        <mc:AlternateContent>
          <mc:Choice Requires="wps">
            <w:drawing>
              <wp:anchor distT="0" distB="0" distL="0" distR="0" simplePos="0" relativeHeight="251659264" behindDoc="1" locked="0" layoutInCell="1" allowOverlap="1" wp14:anchorId="00EC59DB" wp14:editId="00E81DE4">
                <wp:simplePos x="0" y="0"/>
                <wp:positionH relativeFrom="page">
                  <wp:posOffset>688975</wp:posOffset>
                </wp:positionH>
                <wp:positionV relativeFrom="paragraph">
                  <wp:posOffset>117475</wp:posOffset>
                </wp:positionV>
                <wp:extent cx="6181725" cy="1847215"/>
                <wp:effectExtent l="12700" t="8255" r="6350" b="11430"/>
                <wp:wrapTopAndBottom/>
                <wp:docPr id="11364520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8472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63FCC40" w14:textId="77777777" w:rsidR="00AA4578" w:rsidRPr="00AB458F" w:rsidRDefault="00AA4578" w:rsidP="00AA4578">
                            <w:pPr>
                              <w:spacing w:before="1"/>
                              <w:ind w:left="105"/>
                              <w:rPr>
                                <w:b/>
                                <w:sz w:val="24"/>
                                <w:lang w:val="fr-CH"/>
                              </w:rPr>
                            </w:pPr>
                            <w:r w:rsidRPr="00AB458F">
                              <w:rPr>
                                <w:b/>
                                <w:sz w:val="24"/>
                                <w:lang w:val="fr-CH"/>
                              </w:rPr>
                              <w:t xml:space="preserve">Termes de référence, annexe du document CAJ/81/5 </w:t>
                            </w:r>
                            <w:r w:rsidRPr="00AB458F">
                              <w:rPr>
                                <w:b/>
                                <w:spacing w:val="-5"/>
                                <w:sz w:val="24"/>
                                <w:lang w:val="fr-CH"/>
                              </w:rPr>
                              <w:t>Add.</w:t>
                            </w:r>
                          </w:p>
                          <w:p w14:paraId="588B74BD" w14:textId="77777777" w:rsidR="00AA4578" w:rsidRPr="00AB458F" w:rsidRDefault="00AA4578" w:rsidP="00AA4578">
                            <w:pPr>
                              <w:pStyle w:val="BodyText"/>
                              <w:rPr>
                                <w:b/>
                                <w:i/>
                                <w:sz w:val="26"/>
                                <w:lang w:val="fr-CH"/>
                              </w:rPr>
                            </w:pPr>
                          </w:p>
                          <w:p w14:paraId="790A528D" w14:textId="77777777" w:rsidR="00AA4578" w:rsidRPr="00AB458F" w:rsidRDefault="00AA4578" w:rsidP="00AA4578">
                            <w:pPr>
                              <w:pStyle w:val="BodyText"/>
                              <w:spacing w:before="3"/>
                              <w:rPr>
                                <w:b/>
                                <w:i/>
                                <w:sz w:val="22"/>
                                <w:lang w:val="fr-CH"/>
                              </w:rPr>
                            </w:pPr>
                          </w:p>
                          <w:p w14:paraId="1C0DEEA6" w14:textId="77777777" w:rsidR="00AA4578" w:rsidRPr="00AB458F" w:rsidRDefault="00AA4578" w:rsidP="00AA4578">
                            <w:pPr>
                              <w:pStyle w:val="BodyText"/>
                              <w:widowControl w:val="0"/>
                              <w:numPr>
                                <w:ilvl w:val="0"/>
                                <w:numId w:val="5"/>
                              </w:numPr>
                              <w:tabs>
                                <w:tab w:val="left" w:pos="826"/>
                              </w:tabs>
                              <w:autoSpaceDE w:val="0"/>
                              <w:autoSpaceDN w:val="0"/>
                              <w:spacing w:line="360" w:lineRule="auto"/>
                              <w:ind w:right="97"/>
                              <w:rPr>
                                <w:lang w:val="fr-CH"/>
                              </w:rPr>
                            </w:pPr>
                            <w:r w:rsidRPr="00AB458F">
                              <w:rPr>
                                <w:i/>
                                <w:lang w:val="fr-CH"/>
                              </w:rPr>
                              <w:t xml:space="preserve">Analyse des intentions des rédacteurs de l'Acte de 1991 de la Convention UPOV en ce </w:t>
                            </w:r>
                            <w:r w:rsidRPr="00AB458F">
                              <w:rPr>
                                <w:lang w:val="fr-CH"/>
                              </w:rPr>
                              <w:t xml:space="preserve">qui </w:t>
                            </w:r>
                            <w:r w:rsidRPr="00AB458F">
                              <w:rPr>
                                <w:i/>
                                <w:lang w:val="fr-CH"/>
                              </w:rPr>
                              <w:t xml:space="preserve">concerne </w:t>
                            </w:r>
                            <w:r w:rsidRPr="00AB458F">
                              <w:rPr>
                                <w:lang w:val="fr-CH"/>
                              </w:rPr>
                              <w:t>l'"Étendue du droit d'" obtenteurfigurant à l'article 14.1) et 2) de l'Acte de , 1991y compris les notions d'"utilisation non autorisée" et d'"opportunité raisonnable" et la relation avec l'"Épuisement du droit d'obtenteur" figurant à l'article 16 de l'Acte de 1991 ; et</w:t>
                            </w:r>
                          </w:p>
                          <w:p w14:paraId="5D8920DB" w14:textId="77777777" w:rsidR="00AA4578" w:rsidRPr="00AB458F" w:rsidRDefault="00AA4578" w:rsidP="00AA4578">
                            <w:pPr>
                              <w:pStyle w:val="BodyText"/>
                              <w:widowControl w:val="0"/>
                              <w:numPr>
                                <w:ilvl w:val="0"/>
                                <w:numId w:val="5"/>
                              </w:numPr>
                              <w:tabs>
                                <w:tab w:val="left" w:pos="826"/>
                              </w:tabs>
                              <w:autoSpaceDE w:val="0"/>
                              <w:autoSpaceDN w:val="0"/>
                              <w:ind w:hanging="361"/>
                              <w:rPr>
                                <w:lang w:val="fr-CH"/>
                              </w:rPr>
                            </w:pPr>
                            <w:r w:rsidRPr="00AB458F">
                              <w:rPr>
                                <w:i/>
                                <w:lang w:val="fr-CH"/>
                              </w:rPr>
                              <w:t>Résumés des décisions judiciaires pertinentes des membres de l'UPOV liés par 'l</w:t>
                            </w:r>
                            <w:r w:rsidRPr="00AB458F">
                              <w:rPr>
                                <w:i/>
                                <w:spacing w:val="-4"/>
                                <w:lang w:val="fr-CH"/>
                              </w:rPr>
                              <w:t xml:space="preserve">Acte de </w:t>
                            </w:r>
                            <w:r w:rsidRPr="00AB458F">
                              <w:rPr>
                                <w:i/>
                                <w:lang w:val="fr-CH"/>
                              </w:rPr>
                              <w:t>1991.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C59DB" id="_x0000_t202" coordsize="21600,21600" o:spt="202" path="m,l,21600r21600,l21600,xe">
                <v:stroke joinstyle="miter"/>
                <v:path gradientshapeok="t" o:connecttype="rect"/>
              </v:shapetype>
              <v:shape id="Text Box 16" o:spid="_x0000_s1026" type="#_x0000_t202" style="position:absolute;margin-left:54.25pt;margin-top:9.25pt;width:486.75pt;height:145.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" filled="f" strokeweight=".48pt">
                <v:textbox inset="0,0,0,0">
                  <w:txbxContent>
                    <w:p w14:paraId="063FCC40" w14:textId="77777777" w:rsidR="00AA4578" w:rsidRPr="00AB458F" w:rsidRDefault="00AA4578" w:rsidP="00AA4578">
                      <w:pPr>
                        <w:spacing w:before="1"/>
                        <w:ind w:left="105"/>
                        <w:rPr>
                          <w:b/>
                          <w:sz w:val="24"/>
                          <w:lang w:val="fr-CH"/>
                        </w:rPr>
                      </w:pPr>
                      <w:r w:rsidRPr="00AB458F">
                        <w:rPr>
                          <w:b/>
                          <w:sz w:val="24"/>
                          <w:lang w:val="fr-CH"/>
                        </w:rPr>
                        <w:t xml:space="preserve">Termes de référence, annexe du document CAJ/81/5 </w:t>
                      </w:r>
                      <w:r w:rsidRPr="00AB458F">
                        <w:rPr>
                          <w:b/>
                          <w:spacing w:val="-5"/>
                          <w:sz w:val="24"/>
                          <w:lang w:val="fr-CH"/>
                        </w:rPr>
                        <w:t>Add.</w:t>
                      </w:r>
                    </w:p>
                    <w:p w14:paraId="588B74BD" w14:textId="77777777" w:rsidR="00AA4578" w:rsidRPr="00AB458F" w:rsidRDefault="00AA4578" w:rsidP="00AA4578">
                      <w:pPr>
                        <w:pStyle w:val="BodyText"/>
                        <w:rPr>
                          <w:b/>
                          <w:i/>
                          <w:sz w:val="26"/>
                          <w:lang w:val="fr-CH"/>
                        </w:rPr>
                      </w:pPr>
                    </w:p>
                    <w:p w14:paraId="790A528D" w14:textId="77777777" w:rsidR="00AA4578" w:rsidRPr="00AB458F" w:rsidRDefault="00AA4578" w:rsidP="00AA4578">
                      <w:pPr>
                        <w:pStyle w:val="BodyText"/>
                        <w:spacing w:before="3"/>
                        <w:rPr>
                          <w:b/>
                          <w:i/>
                          <w:sz w:val="22"/>
                          <w:lang w:val="fr-CH"/>
                        </w:rPr>
                      </w:pPr>
                    </w:p>
                    <w:p w14:paraId="1C0DEEA6" w14:textId="77777777" w:rsidR="00AA4578" w:rsidRPr="00AB458F" w:rsidRDefault="00AA4578" w:rsidP="00AA4578">
                      <w:pPr>
                        <w:pStyle w:val="BodyText"/>
                        <w:widowControl w:val="0"/>
                        <w:numPr>
                          <w:ilvl w:val="0"/>
                          <w:numId w:val="5"/>
                        </w:numPr>
                        <w:tabs>
                          <w:tab w:val="left" w:pos="826"/>
                        </w:tabs>
                        <w:autoSpaceDE w:val="0"/>
                        <w:autoSpaceDN w:val="0"/>
                        <w:spacing w:line="360" w:lineRule="auto"/>
                        <w:ind w:right="97"/>
                        <w:rPr>
                          <w:lang w:val="fr-CH"/>
                        </w:rPr>
                      </w:pPr>
                      <w:r w:rsidRPr="00AB458F">
                        <w:rPr>
                          <w:i/>
                          <w:lang w:val="fr-CH"/>
                        </w:rPr>
                        <w:t xml:space="preserve">Analyse des intentions des rédacteurs de l'Acte de 1991 de la Convention UPOV en ce </w:t>
                      </w:r>
                      <w:r w:rsidRPr="00AB458F">
                        <w:rPr>
                          <w:lang w:val="fr-CH"/>
                        </w:rPr>
                        <w:t xml:space="preserve">qui </w:t>
                      </w:r>
                      <w:r w:rsidRPr="00AB458F">
                        <w:rPr>
                          <w:i/>
                          <w:lang w:val="fr-CH"/>
                        </w:rPr>
                        <w:t xml:space="preserve">concerne </w:t>
                      </w:r>
                      <w:r w:rsidRPr="00AB458F">
                        <w:rPr>
                          <w:lang w:val="fr-CH"/>
                        </w:rPr>
                        <w:t>l'"Étendue du droit d'" obtenteurfigurant à l'article 14.1) et 2) de l'Acte de , 1991y compris les notions d'"utilisation non autorisée" et d'"opportunité raisonnable" et la relation avec l'"Épuisement du droit d'obtenteur" figurant à l'article 16 de l'Acte de 1991 ; et</w:t>
                      </w:r>
                    </w:p>
                    <w:p w14:paraId="5D8920DB" w14:textId="77777777" w:rsidR="00AA4578" w:rsidRPr="00AB458F" w:rsidRDefault="00AA4578" w:rsidP="00AA4578">
                      <w:pPr>
                        <w:pStyle w:val="BodyText"/>
                        <w:widowControl w:val="0"/>
                        <w:numPr>
                          <w:ilvl w:val="0"/>
                          <w:numId w:val="5"/>
                        </w:numPr>
                        <w:tabs>
                          <w:tab w:val="left" w:pos="826"/>
                        </w:tabs>
                        <w:autoSpaceDE w:val="0"/>
                        <w:autoSpaceDN w:val="0"/>
                        <w:ind w:hanging="361"/>
                        <w:rPr>
                          <w:lang w:val="fr-CH"/>
                        </w:rPr>
                      </w:pPr>
                      <w:r w:rsidRPr="00AB458F">
                        <w:rPr>
                          <w:i/>
                          <w:lang w:val="fr-CH"/>
                        </w:rPr>
                        <w:t>Résumés des décisions judiciaires pertinentes des membres de l'UPOV liés par 'l</w:t>
                      </w:r>
                      <w:r w:rsidRPr="00AB458F">
                        <w:rPr>
                          <w:i/>
                          <w:spacing w:val="-4"/>
                          <w:lang w:val="fr-CH"/>
                        </w:rPr>
                        <w:t xml:space="preserve">Acte de </w:t>
                      </w:r>
                      <w:r w:rsidRPr="00AB458F">
                        <w:rPr>
                          <w:i/>
                          <w:lang w:val="fr-CH"/>
                        </w:rPr>
                        <w:t>1991.</w:t>
                      </w:r>
                    </w:p>
                  </w:txbxContent>
                </v:textbox>
                <w10:wrap type="topAndBottom" anchorx="page"/>
              </v:shape>
            </w:pict>
          </mc:Fallback>
        </mc:AlternateContent>
      </w:r>
    </w:p>
    <w:p w14:paraId="0673D1BD" w14:textId="77777777" w:rsidR="00AA4578" w:rsidRPr="00AB458F" w:rsidRDefault="00AA4578" w:rsidP="00AA4578">
      <w:pPr>
        <w:widowControl w:val="0"/>
        <w:autoSpaceDE w:val="0"/>
        <w:autoSpaceDN w:val="0"/>
        <w:jc w:val="left"/>
        <w:rPr>
          <w:rFonts w:ascii="Times New Roman" w:hAnsi="Times New Roman"/>
          <w:b/>
          <w:iCs/>
          <w:szCs w:val="24"/>
          <w:lang w:val="fr-CH"/>
        </w:rPr>
      </w:pPr>
    </w:p>
    <w:p w14:paraId="2441EE1E" w14:textId="77777777" w:rsidR="00AA4578" w:rsidRPr="00AB458F" w:rsidRDefault="00AA4578" w:rsidP="00AA4578">
      <w:pPr>
        <w:widowControl w:val="0"/>
        <w:autoSpaceDE w:val="0"/>
        <w:autoSpaceDN w:val="0"/>
        <w:spacing w:before="9"/>
        <w:jc w:val="left"/>
        <w:rPr>
          <w:rFonts w:ascii="Times New Roman" w:hAnsi="Times New Roman"/>
          <w:b/>
          <w:iCs/>
          <w:sz w:val="22"/>
          <w:szCs w:val="24"/>
          <w:lang w:val="fr-CH"/>
        </w:rPr>
      </w:pPr>
    </w:p>
    <w:p w14:paraId="1058C00E" w14:textId="77777777" w:rsidR="00AA4578" w:rsidRPr="00AB458F" w:rsidRDefault="00AA4578" w:rsidP="00AA4578">
      <w:pPr>
        <w:widowControl w:val="0"/>
        <w:autoSpaceDE w:val="0"/>
        <w:autoSpaceDN w:val="0"/>
        <w:spacing w:before="90"/>
        <w:ind w:left="100"/>
        <w:jc w:val="left"/>
        <w:rPr>
          <w:rFonts w:ascii="Times New Roman" w:hAnsi="Times New Roman"/>
          <w:b/>
          <w:sz w:val="24"/>
          <w:szCs w:val="22"/>
          <w:lang w:val="fr-CH"/>
        </w:rPr>
      </w:pPr>
      <w:r w:rsidRPr="00AB458F">
        <w:rPr>
          <w:rFonts w:ascii="Times New Roman" w:hAnsi="Times New Roman"/>
          <w:b/>
          <w:spacing w:val="-2"/>
          <w:sz w:val="24"/>
          <w:szCs w:val="22"/>
          <w:lang w:val="fr-CH"/>
        </w:rPr>
        <w:t>Préface</w:t>
      </w:r>
    </w:p>
    <w:p w14:paraId="37CC93AE" w14:textId="77777777" w:rsidR="00AA4578" w:rsidRPr="00AB458F" w:rsidRDefault="00AA4578" w:rsidP="00AA4578">
      <w:pPr>
        <w:widowControl w:val="0"/>
        <w:autoSpaceDE w:val="0"/>
        <w:autoSpaceDN w:val="0"/>
        <w:spacing w:before="8"/>
        <w:jc w:val="left"/>
        <w:rPr>
          <w:rFonts w:ascii="Times New Roman" w:hAnsi="Times New Roman"/>
          <w:b/>
          <w:iCs/>
          <w:sz w:val="25"/>
          <w:szCs w:val="24"/>
          <w:lang w:val="fr-CH"/>
        </w:rPr>
      </w:pPr>
    </w:p>
    <w:p w14:paraId="3E4A55B3" w14:textId="77777777" w:rsidR="00AA4578" w:rsidRPr="00AB458F" w:rsidRDefault="00AA4578" w:rsidP="00AA4578">
      <w:pPr>
        <w:widowControl w:val="0"/>
        <w:autoSpaceDE w:val="0"/>
        <w:autoSpaceDN w:val="0"/>
        <w:spacing w:line="360" w:lineRule="auto"/>
        <w:ind w:left="100" w:right="117"/>
        <w:rPr>
          <w:rFonts w:ascii="Times New Roman" w:hAnsi="Times New Roman"/>
          <w:sz w:val="24"/>
          <w:szCs w:val="22"/>
          <w:lang w:val="fr-CH"/>
        </w:rPr>
      </w:pPr>
      <w:r w:rsidRPr="00AB458F">
        <w:rPr>
          <w:rFonts w:ascii="Times New Roman" w:hAnsi="Times New Roman"/>
          <w:sz w:val="24"/>
          <w:szCs w:val="22"/>
          <w:lang w:val="fr-CH"/>
        </w:rPr>
        <w:t>Nous comprenons que notre groupe d'étude a été chargé d'élaborer un travail indépendant des positions prises par les États membres qui nous avaient respectivement désignés pour cette tâche, ainsi que par le groupe de travail de l'UPOV sur le matériel de récolte et l'utilisation non autorisée de matériel de multiplication.</w:t>
      </w:r>
    </w:p>
    <w:p w14:paraId="44C6858D" w14:textId="77777777" w:rsidR="00AA4578" w:rsidRPr="00AB458F" w:rsidRDefault="00AA4578" w:rsidP="00AA4578">
      <w:pPr>
        <w:widowControl w:val="0"/>
        <w:autoSpaceDE w:val="0"/>
        <w:autoSpaceDN w:val="0"/>
        <w:spacing w:before="160"/>
        <w:ind w:left="100"/>
        <w:rPr>
          <w:rFonts w:ascii="Times New Roman" w:hAnsi="Times New Roman"/>
          <w:sz w:val="24"/>
          <w:szCs w:val="22"/>
          <w:lang w:val="fr-CH"/>
        </w:rPr>
      </w:pPr>
      <w:r w:rsidRPr="00AB458F">
        <w:rPr>
          <w:rFonts w:ascii="Times New Roman" w:hAnsi="Times New Roman"/>
          <w:sz w:val="24"/>
          <w:szCs w:val="22"/>
          <w:lang w:val="fr-CH"/>
        </w:rPr>
        <w:t xml:space="preserve">Nous nous efforcerons d'adopter notre (nos) position(s) par consensus, mais nous n'pas excluons les </w:t>
      </w:r>
      <w:r w:rsidRPr="00AB458F">
        <w:rPr>
          <w:rFonts w:ascii="Times New Roman" w:hAnsi="Times New Roman"/>
          <w:spacing w:val="-2"/>
          <w:sz w:val="24"/>
          <w:szCs w:val="22"/>
          <w:lang w:val="fr-CH"/>
        </w:rPr>
        <w:t xml:space="preserve">positions </w:t>
      </w:r>
      <w:r w:rsidRPr="00AB458F">
        <w:rPr>
          <w:rFonts w:ascii="Times New Roman" w:hAnsi="Times New Roman"/>
          <w:sz w:val="24"/>
          <w:szCs w:val="22"/>
          <w:lang w:val="fr-CH"/>
        </w:rPr>
        <w:t>dissidentes.</w:t>
      </w:r>
    </w:p>
    <w:p w14:paraId="0EFE3DAE" w14:textId="77777777" w:rsidR="00AA4578" w:rsidRPr="00AB458F" w:rsidRDefault="00AA4578" w:rsidP="00AA4578">
      <w:pPr>
        <w:widowControl w:val="0"/>
        <w:autoSpaceDE w:val="0"/>
        <w:autoSpaceDN w:val="0"/>
        <w:jc w:val="left"/>
        <w:rPr>
          <w:rFonts w:ascii="Times New Roman" w:hAnsi="Times New Roman"/>
          <w:iCs/>
          <w:sz w:val="26"/>
          <w:szCs w:val="24"/>
          <w:lang w:val="fr-CH"/>
        </w:rPr>
      </w:pPr>
    </w:p>
    <w:p w14:paraId="4A90EC51" w14:textId="77777777" w:rsidR="00AA4578" w:rsidRPr="00AB458F" w:rsidRDefault="00AA4578" w:rsidP="00AA4578">
      <w:pPr>
        <w:widowControl w:val="0"/>
        <w:autoSpaceDE w:val="0"/>
        <w:autoSpaceDN w:val="0"/>
        <w:spacing w:before="1" w:line="360" w:lineRule="auto"/>
        <w:ind w:left="100" w:right="116"/>
        <w:rPr>
          <w:rFonts w:ascii="Times New Roman" w:hAnsi="Times New Roman"/>
          <w:sz w:val="24"/>
          <w:szCs w:val="22"/>
          <w:lang w:val="fr-CH"/>
        </w:rPr>
      </w:pPr>
      <w:r w:rsidRPr="00AB458F">
        <w:rPr>
          <w:rFonts w:ascii="Times New Roman" w:hAnsi="Times New Roman"/>
          <w:sz w:val="24"/>
          <w:szCs w:val="22"/>
          <w:lang w:val="fr-CH"/>
        </w:rPr>
        <w:t>La base de notre interprétation de l'art. 14 (1) (2) et de l'Art. 16 UPOV 1991, une convention de droit international public, suit ce qui a été établi par la Convention de Vienne sur le droit des traités.</w:t>
      </w:r>
    </w:p>
    <w:p w14:paraId="2633FC5A" w14:textId="15CD1EC6" w:rsidR="00AA4578" w:rsidRPr="00AB458F" w:rsidRDefault="00AA4578" w:rsidP="00AA4578">
      <w:pPr>
        <w:widowControl w:val="0"/>
        <w:autoSpaceDE w:val="0"/>
        <w:autoSpaceDN w:val="0"/>
        <w:spacing w:before="160"/>
        <w:ind w:left="100"/>
        <w:rPr>
          <w:rFonts w:ascii="Times New Roman" w:hAnsi="Times New Roman"/>
          <w:spacing w:val="-2"/>
          <w:sz w:val="24"/>
          <w:szCs w:val="22"/>
          <w:lang w:val="fr-CH"/>
        </w:rPr>
        <w:sectPr w:rsidR="00AA4578" w:rsidRPr="00AB458F" w:rsidSect="0004198B">
          <w:headerReference w:type="first" r:id="rId11"/>
          <w:pgSz w:w="11907" w:h="16840" w:code="9"/>
          <w:pgMar w:top="510" w:right="1134" w:bottom="1134" w:left="1134" w:header="510" w:footer="680" w:gutter="0"/>
          <w:pgNumType w:start="1"/>
          <w:cols w:space="720"/>
          <w:titlePg/>
        </w:sectPr>
      </w:pPr>
      <w:r w:rsidRPr="00AB458F">
        <w:rPr>
          <w:rFonts w:ascii="Times New Roman" w:hAnsi="Times New Roman"/>
          <w:sz w:val="24"/>
          <w:szCs w:val="22"/>
          <w:lang w:val="fr-CH"/>
        </w:rPr>
        <w:t>Enfin, nous déclarons que nous n'</w:t>
      </w:r>
      <w:r w:rsidR="00B04221">
        <w:rPr>
          <w:rFonts w:ascii="Times New Roman" w:hAnsi="Times New Roman"/>
          <w:sz w:val="24"/>
          <w:szCs w:val="22"/>
          <w:lang w:val="fr-CH"/>
        </w:rPr>
        <w:t xml:space="preserve">avons pas </w:t>
      </w:r>
      <w:r w:rsidRPr="00AB458F">
        <w:rPr>
          <w:rFonts w:ascii="Times New Roman" w:hAnsi="Times New Roman"/>
          <w:sz w:val="24"/>
          <w:szCs w:val="22"/>
          <w:lang w:val="fr-CH"/>
        </w:rPr>
        <w:t>de conflit d'intérêts pour travailler sur '</w:t>
      </w:r>
      <w:r w:rsidR="00B04221" w:rsidRPr="00AB458F">
        <w:rPr>
          <w:rFonts w:ascii="Times New Roman" w:hAnsi="Times New Roman"/>
          <w:sz w:val="24"/>
          <w:szCs w:val="22"/>
          <w:lang w:val="fr-CH"/>
        </w:rPr>
        <w:t>l</w:t>
      </w:r>
      <w:r w:rsidR="00B04221" w:rsidRPr="00AB458F">
        <w:rPr>
          <w:rFonts w:ascii="Times New Roman" w:hAnsi="Times New Roman"/>
          <w:spacing w:val="-2"/>
          <w:sz w:val="24"/>
          <w:szCs w:val="22"/>
          <w:lang w:val="fr-CH"/>
        </w:rPr>
        <w:t>’étude</w:t>
      </w:r>
      <w:r w:rsidRPr="00AB458F">
        <w:rPr>
          <w:rFonts w:ascii="Times New Roman" w:hAnsi="Times New Roman"/>
          <w:spacing w:val="-2"/>
          <w:sz w:val="24"/>
          <w:szCs w:val="22"/>
          <w:lang w:val="fr-CH"/>
        </w:rPr>
        <w:t>.</w:t>
      </w:r>
    </w:p>
    <w:p w14:paraId="56F0F7BE" w14:textId="6F1766A9" w:rsidR="00AA4578" w:rsidRPr="00AB458F" w:rsidRDefault="00B04221" w:rsidP="00AA4578">
      <w:pPr>
        <w:widowControl w:val="0"/>
        <w:autoSpaceDE w:val="0"/>
        <w:autoSpaceDN w:val="0"/>
        <w:spacing w:before="63"/>
        <w:ind w:left="302" w:right="318"/>
        <w:jc w:val="center"/>
        <w:outlineLvl w:val="0"/>
        <w:rPr>
          <w:rFonts w:ascii="Times New Roman" w:hAnsi="Times New Roman"/>
          <w:b/>
          <w:bCs/>
          <w:sz w:val="24"/>
          <w:szCs w:val="24"/>
          <w:lang w:val="fr-CH"/>
        </w:rPr>
      </w:pPr>
      <w:r w:rsidRPr="00AB458F">
        <w:rPr>
          <w:rFonts w:ascii="Times New Roman" w:hAnsi="Times New Roman"/>
          <w:b/>
          <w:bCs/>
          <w:sz w:val="24"/>
          <w:szCs w:val="24"/>
          <w:lang w:val="fr-CH"/>
        </w:rPr>
        <w:lastRenderedPageBreak/>
        <w:t xml:space="preserve">Convention </w:t>
      </w:r>
      <w:r w:rsidR="00AA4578" w:rsidRPr="00AB458F">
        <w:rPr>
          <w:rFonts w:ascii="Times New Roman" w:hAnsi="Times New Roman"/>
          <w:b/>
          <w:bCs/>
          <w:sz w:val="24"/>
          <w:szCs w:val="24"/>
          <w:lang w:val="fr-CH"/>
        </w:rPr>
        <w:t xml:space="preserve">internationale pour la protection des obtentions </w:t>
      </w:r>
      <w:r w:rsidR="00AA4578" w:rsidRPr="00AB458F">
        <w:rPr>
          <w:rFonts w:ascii="Times New Roman" w:hAnsi="Times New Roman"/>
          <w:b/>
          <w:bCs/>
          <w:spacing w:val="-2"/>
          <w:sz w:val="24"/>
          <w:szCs w:val="24"/>
          <w:lang w:val="fr-CH"/>
        </w:rPr>
        <w:t>végétales</w:t>
      </w:r>
    </w:p>
    <w:p w14:paraId="755D290F" w14:textId="77777777" w:rsidR="00AA4578" w:rsidRPr="00AB458F" w:rsidRDefault="00AA4578" w:rsidP="00AA4578">
      <w:pPr>
        <w:widowControl w:val="0"/>
        <w:autoSpaceDE w:val="0"/>
        <w:autoSpaceDN w:val="0"/>
        <w:spacing w:before="1"/>
        <w:jc w:val="left"/>
        <w:rPr>
          <w:rFonts w:ascii="Times New Roman" w:hAnsi="Times New Roman"/>
          <w:b/>
          <w:iCs/>
          <w:sz w:val="26"/>
          <w:szCs w:val="24"/>
          <w:lang w:val="fr-CH"/>
        </w:rPr>
      </w:pPr>
    </w:p>
    <w:p w14:paraId="11FD1A04" w14:textId="4B61DE3E" w:rsidR="00AA4578" w:rsidRPr="00AB458F" w:rsidRDefault="00AA4578" w:rsidP="00AA4578">
      <w:pPr>
        <w:widowControl w:val="0"/>
        <w:autoSpaceDE w:val="0"/>
        <w:autoSpaceDN w:val="0"/>
        <w:ind w:left="302" w:right="318"/>
        <w:jc w:val="center"/>
        <w:rPr>
          <w:rFonts w:ascii="Times New Roman" w:hAnsi="Times New Roman"/>
          <w:sz w:val="24"/>
          <w:szCs w:val="22"/>
          <w:lang w:val="fr-CH"/>
        </w:rPr>
      </w:pPr>
      <w:r w:rsidRPr="00AB458F">
        <w:rPr>
          <w:rFonts w:ascii="Times New Roman" w:hAnsi="Times New Roman"/>
          <w:sz w:val="24"/>
          <w:szCs w:val="22"/>
          <w:lang w:val="fr-CH"/>
        </w:rPr>
        <w:t xml:space="preserve">du 2 décembre 1961, tel que révisé à Genève le 10 novembre 1972, le 23 octobre 1978 , et </w:t>
      </w:r>
      <w:r w:rsidRPr="00AB458F">
        <w:rPr>
          <w:rFonts w:ascii="Times New Roman" w:hAnsi="Times New Roman"/>
          <w:spacing w:val="-5"/>
          <w:sz w:val="24"/>
          <w:szCs w:val="22"/>
          <w:lang w:val="fr-CH"/>
        </w:rPr>
        <w:t>le</w:t>
      </w:r>
    </w:p>
    <w:p w14:paraId="35DBBEC8" w14:textId="77777777" w:rsidR="00AA4578" w:rsidRPr="00AB458F" w:rsidRDefault="00AA4578" w:rsidP="00AA4578">
      <w:pPr>
        <w:widowControl w:val="0"/>
        <w:autoSpaceDE w:val="0"/>
        <w:autoSpaceDN w:val="0"/>
        <w:spacing w:before="137"/>
        <w:ind w:left="302" w:right="318"/>
        <w:jc w:val="center"/>
        <w:rPr>
          <w:rFonts w:ascii="Times New Roman" w:hAnsi="Times New Roman"/>
          <w:sz w:val="24"/>
          <w:szCs w:val="22"/>
          <w:lang w:val="fr-CH"/>
        </w:rPr>
      </w:pPr>
      <w:r w:rsidRPr="00AB458F">
        <w:rPr>
          <w:rFonts w:ascii="Times New Roman" w:hAnsi="Times New Roman"/>
          <w:sz w:val="24"/>
          <w:szCs w:val="22"/>
          <w:lang w:val="fr-CH"/>
        </w:rPr>
        <w:t xml:space="preserve">19 mars </w:t>
      </w:r>
      <w:r w:rsidRPr="00AB458F">
        <w:rPr>
          <w:rFonts w:ascii="Times New Roman" w:hAnsi="Times New Roman"/>
          <w:spacing w:val="-4"/>
          <w:sz w:val="24"/>
          <w:szCs w:val="22"/>
          <w:lang w:val="fr-CH"/>
        </w:rPr>
        <w:t>1991</w:t>
      </w:r>
    </w:p>
    <w:p w14:paraId="4A32C264" w14:textId="63020EE4" w:rsidR="00AA4578" w:rsidRPr="00AB458F" w:rsidRDefault="009939DD" w:rsidP="00AA4578">
      <w:pPr>
        <w:widowControl w:val="0"/>
        <w:autoSpaceDE w:val="0"/>
        <w:autoSpaceDN w:val="0"/>
        <w:spacing w:before="1"/>
        <w:jc w:val="left"/>
        <w:rPr>
          <w:rFonts w:ascii="Times New Roman" w:hAnsi="Times New Roman"/>
          <w:iCs/>
          <w:sz w:val="26"/>
          <w:szCs w:val="24"/>
          <w:lang w:val="fr-CH"/>
        </w:rPr>
      </w:pPr>
      <w:r w:rsidRPr="00AA4578">
        <w:rPr>
          <w:rFonts w:ascii="Times New Roman" w:hAnsi="Times New Roman"/>
          <w:b/>
          <w:bCs/>
          <w:i/>
          <w:iCs/>
          <w:noProof/>
          <w:sz w:val="24"/>
          <w:szCs w:val="24"/>
        </w:rPr>
        <mc:AlternateContent>
          <mc:Choice Requires="wps">
            <w:drawing>
              <wp:anchor distT="0" distB="0" distL="114300" distR="114300" simplePos="0" relativeHeight="251661312" behindDoc="1" locked="0" layoutInCell="1" allowOverlap="1" wp14:anchorId="417C41B1" wp14:editId="68225431">
                <wp:simplePos x="0" y="0"/>
                <wp:positionH relativeFrom="page">
                  <wp:posOffset>685800</wp:posOffset>
                </wp:positionH>
                <wp:positionV relativeFrom="paragraph">
                  <wp:posOffset>185419</wp:posOffset>
                </wp:positionV>
                <wp:extent cx="6187440" cy="7934325"/>
                <wp:effectExtent l="0" t="0" r="3810" b="9525"/>
                <wp:wrapNone/>
                <wp:docPr id="765169533" name="Freeform: 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87440" cy="7934325"/>
                        </a:xfrm>
                        <a:custGeom>
                          <a:avLst/>
                          <a:gdLst>
                            <a:gd name="T0" fmla="+- 0 10824 1080"/>
                            <a:gd name="T1" fmla="*/ T0 w 9744"/>
                            <a:gd name="T2" fmla="+- 0 -6 -6"/>
                            <a:gd name="T3" fmla="*/ -6 h 12164"/>
                            <a:gd name="T4" fmla="+- 0 10814 1080"/>
                            <a:gd name="T5" fmla="*/ T4 w 9744"/>
                            <a:gd name="T6" fmla="+- 0 -6 -6"/>
                            <a:gd name="T7" fmla="*/ -6 h 12164"/>
                            <a:gd name="T8" fmla="+- 0 10814 1080"/>
                            <a:gd name="T9" fmla="*/ T8 w 9744"/>
                            <a:gd name="T10" fmla="+- 0 3 -6"/>
                            <a:gd name="T11" fmla="*/ 3 h 12164"/>
                            <a:gd name="T12" fmla="+- 0 10814 1080"/>
                            <a:gd name="T13" fmla="*/ T12 w 9744"/>
                            <a:gd name="T14" fmla="+- 0 12147 -6"/>
                            <a:gd name="T15" fmla="*/ 12147 h 12164"/>
                            <a:gd name="T16" fmla="+- 0 1090 1080"/>
                            <a:gd name="T17" fmla="*/ T16 w 9744"/>
                            <a:gd name="T18" fmla="+- 0 12147 -6"/>
                            <a:gd name="T19" fmla="*/ 12147 h 12164"/>
                            <a:gd name="T20" fmla="+- 0 1090 1080"/>
                            <a:gd name="T21" fmla="*/ T20 w 9744"/>
                            <a:gd name="T22" fmla="+- 0 3 -6"/>
                            <a:gd name="T23" fmla="*/ 3 h 12164"/>
                            <a:gd name="T24" fmla="+- 0 10814 1080"/>
                            <a:gd name="T25" fmla="*/ T24 w 9744"/>
                            <a:gd name="T26" fmla="+- 0 3 -6"/>
                            <a:gd name="T27" fmla="*/ 3 h 12164"/>
                            <a:gd name="T28" fmla="+- 0 10814 1080"/>
                            <a:gd name="T29" fmla="*/ T28 w 9744"/>
                            <a:gd name="T30" fmla="+- 0 -6 -6"/>
                            <a:gd name="T31" fmla="*/ -6 h 12164"/>
                            <a:gd name="T32" fmla="+- 0 1090 1080"/>
                            <a:gd name="T33" fmla="*/ T32 w 9744"/>
                            <a:gd name="T34" fmla="+- 0 -6 -6"/>
                            <a:gd name="T35" fmla="*/ -6 h 12164"/>
                            <a:gd name="T36" fmla="+- 0 1080 1080"/>
                            <a:gd name="T37" fmla="*/ T36 w 9744"/>
                            <a:gd name="T38" fmla="+- 0 -6 -6"/>
                            <a:gd name="T39" fmla="*/ -6 h 12164"/>
                            <a:gd name="T40" fmla="+- 0 1080 1080"/>
                            <a:gd name="T41" fmla="*/ T40 w 9744"/>
                            <a:gd name="T42" fmla="+- 0 3 -6"/>
                            <a:gd name="T43" fmla="*/ 3 h 12164"/>
                            <a:gd name="T44" fmla="+- 0 1080 1080"/>
                            <a:gd name="T45" fmla="*/ T44 w 9744"/>
                            <a:gd name="T46" fmla="+- 0 12147 -6"/>
                            <a:gd name="T47" fmla="*/ 12147 h 12164"/>
                            <a:gd name="T48" fmla="+- 0 1080 1080"/>
                            <a:gd name="T49" fmla="*/ T48 w 9744"/>
                            <a:gd name="T50" fmla="+- 0 12157 -6"/>
                            <a:gd name="T51" fmla="*/ 12157 h 12164"/>
                            <a:gd name="T52" fmla="+- 0 1090 1080"/>
                            <a:gd name="T53" fmla="*/ T52 w 9744"/>
                            <a:gd name="T54" fmla="+- 0 12157 -6"/>
                            <a:gd name="T55" fmla="*/ 12157 h 12164"/>
                            <a:gd name="T56" fmla="+- 0 10814 1080"/>
                            <a:gd name="T57" fmla="*/ T56 w 9744"/>
                            <a:gd name="T58" fmla="+- 0 12157 -6"/>
                            <a:gd name="T59" fmla="*/ 12157 h 12164"/>
                            <a:gd name="T60" fmla="+- 0 10824 1080"/>
                            <a:gd name="T61" fmla="*/ T60 w 9744"/>
                            <a:gd name="T62" fmla="+- 0 12157 -6"/>
                            <a:gd name="T63" fmla="*/ 12157 h 12164"/>
                            <a:gd name="T64" fmla="+- 0 10824 1080"/>
                            <a:gd name="T65" fmla="*/ T64 w 9744"/>
                            <a:gd name="T66" fmla="+- 0 12147 -6"/>
                            <a:gd name="T67" fmla="*/ 12147 h 12164"/>
                            <a:gd name="T68" fmla="+- 0 10824 1080"/>
                            <a:gd name="T69" fmla="*/ T68 w 9744"/>
                            <a:gd name="T70" fmla="+- 0 3 -6"/>
                            <a:gd name="T71" fmla="*/ 3 h 12164"/>
                            <a:gd name="T72" fmla="+- 0 10824 1080"/>
                            <a:gd name="T73" fmla="*/ T72 w 9744"/>
                            <a:gd name="T74" fmla="+- 0 -6 -6"/>
                            <a:gd name="T75" fmla="*/ -6 h 12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744" h="12164">
                              <a:moveTo>
                                <a:pt x="9744" y="0"/>
                              </a:moveTo>
                              <a:lnTo>
                                <a:pt x="9734" y="0"/>
                              </a:lnTo>
                              <a:lnTo>
                                <a:pt x="9734" y="9"/>
                              </a:lnTo>
                              <a:lnTo>
                                <a:pt x="9734" y="12153"/>
                              </a:lnTo>
                              <a:lnTo>
                                <a:pt x="10" y="12153"/>
                              </a:lnTo>
                              <a:lnTo>
                                <a:pt x="10" y="9"/>
                              </a:lnTo>
                              <a:lnTo>
                                <a:pt x="9734" y="9"/>
                              </a:lnTo>
                              <a:lnTo>
                                <a:pt x="9734" y="0"/>
                              </a:lnTo>
                              <a:lnTo>
                                <a:pt x="10" y="0"/>
                              </a:lnTo>
                              <a:lnTo>
                                <a:pt x="0" y="0"/>
                              </a:lnTo>
                              <a:lnTo>
                                <a:pt x="0" y="9"/>
                              </a:lnTo>
                              <a:lnTo>
                                <a:pt x="0" y="12153"/>
                              </a:lnTo>
                              <a:lnTo>
                                <a:pt x="0" y="12163"/>
                              </a:lnTo>
                              <a:lnTo>
                                <a:pt x="10" y="12163"/>
                              </a:lnTo>
                              <a:lnTo>
                                <a:pt x="9734" y="12163"/>
                              </a:lnTo>
                              <a:lnTo>
                                <a:pt x="9744" y="12163"/>
                              </a:lnTo>
                              <a:lnTo>
                                <a:pt x="9744" y="12153"/>
                              </a:lnTo>
                              <a:lnTo>
                                <a:pt x="9744" y="9"/>
                              </a:lnTo>
                              <a:lnTo>
                                <a:pt x="97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8CE2D" id="Freeform: Shape 17" o:spid="_x0000_s1026" style="position:absolute;margin-left:54pt;margin-top:14.6pt;width:487.2pt;height:624.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744,12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" path="m9744,r-10,l9734,9r,12144l10,12153,10,9r9724,l9734,,10,,,,,9,,12153r,10l10,12163r9724,l9744,12163r,-10l9744,9r,-9xe" fillcolor="black" stroked="f">
                <v:path arrowok="t" o:connecttype="custom" o:connectlocs="6187440,-3914;6181090,-3914;6181090,1957;6181090,7923236;6350,7923236;6350,1957;6181090,1957;6181090,-3914;6350,-3914;0,-3914;0,1957;0,7923236;0,7929759;6350,7929759;6181090,7929759;6187440,7929759;6187440,7923236;6187440,1957;6187440,-3914" o:connectangles="0,0,0,0,0,0,0,0,0,0,0,0,0,0,0,0,0,0,0"/>
                <w10:wrap anchorx="page"/>
              </v:shape>
            </w:pict>
          </mc:Fallback>
        </mc:AlternateContent>
      </w:r>
    </w:p>
    <w:p w14:paraId="185857F6" w14:textId="0C9248DD" w:rsidR="00AA4578" w:rsidRPr="00AB458F" w:rsidRDefault="00AA4578" w:rsidP="00AA4578">
      <w:pPr>
        <w:widowControl w:val="0"/>
        <w:autoSpaceDE w:val="0"/>
        <w:autoSpaceDN w:val="0"/>
        <w:ind w:left="302" w:right="313"/>
        <w:jc w:val="center"/>
        <w:outlineLvl w:val="1"/>
        <w:rPr>
          <w:rFonts w:ascii="Times New Roman" w:hAnsi="Times New Roman"/>
          <w:b/>
          <w:bCs/>
          <w:i/>
          <w:iCs/>
          <w:sz w:val="24"/>
          <w:szCs w:val="24"/>
          <w:lang w:val="fr-CH"/>
        </w:rPr>
      </w:pPr>
      <w:r w:rsidRPr="00AB458F">
        <w:rPr>
          <w:rFonts w:ascii="Times New Roman" w:hAnsi="Times New Roman"/>
          <w:b/>
          <w:bCs/>
          <w:i/>
          <w:iCs/>
          <w:sz w:val="24"/>
          <w:szCs w:val="24"/>
          <w:lang w:val="fr-CH"/>
        </w:rPr>
        <w:t xml:space="preserve">CHAPITRE </w:t>
      </w:r>
      <w:r w:rsidRPr="00AB458F">
        <w:rPr>
          <w:rFonts w:ascii="Times New Roman" w:hAnsi="Times New Roman"/>
          <w:b/>
          <w:bCs/>
          <w:i/>
          <w:iCs/>
          <w:spacing w:val="-10"/>
          <w:sz w:val="24"/>
          <w:szCs w:val="24"/>
          <w:lang w:val="fr-CH"/>
        </w:rPr>
        <w:t>V</w:t>
      </w:r>
    </w:p>
    <w:p w14:paraId="103345D9" w14:textId="3278120D" w:rsidR="00AA4578" w:rsidRPr="00AB458F" w:rsidRDefault="00AA4578" w:rsidP="00AA4578">
      <w:pPr>
        <w:widowControl w:val="0"/>
        <w:autoSpaceDE w:val="0"/>
        <w:autoSpaceDN w:val="0"/>
        <w:spacing w:before="2" w:line="275" w:lineRule="exact"/>
        <w:ind w:left="302" w:right="313"/>
        <w:jc w:val="center"/>
        <w:rPr>
          <w:rFonts w:ascii="Times New Roman" w:hAnsi="Times New Roman"/>
          <w:b/>
          <w:i/>
          <w:sz w:val="24"/>
          <w:szCs w:val="22"/>
          <w:lang w:val="fr-CH"/>
        </w:rPr>
      </w:pPr>
      <w:r w:rsidRPr="00AB458F">
        <w:rPr>
          <w:rFonts w:ascii="Times New Roman" w:hAnsi="Times New Roman"/>
          <w:b/>
          <w:i/>
          <w:sz w:val="24"/>
          <w:szCs w:val="22"/>
          <w:lang w:val="fr-CH"/>
        </w:rPr>
        <w:t xml:space="preserve">LES DROITS DE </w:t>
      </w:r>
      <w:r w:rsidR="00B04221">
        <w:rPr>
          <w:rFonts w:ascii="Times New Roman" w:hAnsi="Times New Roman"/>
          <w:b/>
          <w:i/>
          <w:sz w:val="24"/>
          <w:szCs w:val="22"/>
          <w:lang w:val="fr-CH"/>
        </w:rPr>
        <w:t>L’</w:t>
      </w:r>
      <w:r w:rsidRPr="00AB458F">
        <w:rPr>
          <w:rFonts w:ascii="Times New Roman" w:hAnsi="Times New Roman"/>
          <w:b/>
          <w:i/>
          <w:spacing w:val="-2"/>
          <w:sz w:val="24"/>
          <w:szCs w:val="22"/>
          <w:lang w:val="fr-CH"/>
        </w:rPr>
        <w:t>OBTENTEUR</w:t>
      </w:r>
    </w:p>
    <w:p w14:paraId="1A0B4244" w14:textId="422BCC53" w:rsidR="00AA4578" w:rsidRPr="00B04221" w:rsidRDefault="00AA4578" w:rsidP="00AA4578">
      <w:pPr>
        <w:widowControl w:val="0"/>
        <w:autoSpaceDE w:val="0"/>
        <w:autoSpaceDN w:val="0"/>
        <w:spacing w:line="275" w:lineRule="exact"/>
        <w:ind w:left="302" w:right="313"/>
        <w:jc w:val="center"/>
        <w:outlineLvl w:val="2"/>
        <w:rPr>
          <w:rFonts w:ascii="Times New Roman" w:hAnsi="Times New Roman"/>
          <w:b/>
          <w:bCs/>
          <w:i/>
          <w:iCs/>
          <w:sz w:val="24"/>
          <w:szCs w:val="24"/>
          <w:lang w:val="fr-CH"/>
        </w:rPr>
      </w:pPr>
      <w:r w:rsidRPr="009939DD">
        <w:rPr>
          <w:rFonts w:ascii="Times New Roman" w:hAnsi="Times New Roman"/>
          <w:b/>
          <w:bCs/>
          <w:i/>
          <w:iCs/>
          <w:sz w:val="24"/>
          <w:szCs w:val="24"/>
          <w:lang w:val="fr-CH"/>
        </w:rPr>
        <w:t xml:space="preserve">Article 14 </w:t>
      </w:r>
      <w:r w:rsidR="00B04221" w:rsidRPr="00AA4578">
        <w:rPr>
          <w:rFonts w:ascii="Times New Roman" w:hAnsi="Times New Roman"/>
          <w:b/>
          <w:bCs/>
          <w:i/>
          <w:iCs/>
          <w:sz w:val="24"/>
          <w:szCs w:val="24"/>
        </w:rPr>
        <w:t>Etendue</w:t>
      </w:r>
      <w:r w:rsidRPr="00B04221">
        <w:rPr>
          <w:rFonts w:ascii="Times New Roman" w:hAnsi="Times New Roman"/>
          <w:b/>
          <w:bCs/>
          <w:i/>
          <w:iCs/>
          <w:sz w:val="24"/>
          <w:szCs w:val="24"/>
          <w:lang w:val="fr-CH"/>
        </w:rPr>
        <w:t xml:space="preserve"> du </w:t>
      </w:r>
      <w:r w:rsidRPr="00B04221">
        <w:rPr>
          <w:rFonts w:ascii="Times New Roman" w:hAnsi="Times New Roman"/>
          <w:b/>
          <w:bCs/>
          <w:i/>
          <w:iCs/>
          <w:spacing w:val="-2"/>
          <w:sz w:val="24"/>
          <w:szCs w:val="24"/>
          <w:lang w:val="fr-CH"/>
        </w:rPr>
        <w:t>droit d'</w:t>
      </w:r>
      <w:r w:rsidRPr="00B04221">
        <w:rPr>
          <w:rFonts w:ascii="Times New Roman" w:hAnsi="Times New Roman"/>
          <w:b/>
          <w:bCs/>
          <w:i/>
          <w:iCs/>
          <w:sz w:val="24"/>
          <w:szCs w:val="24"/>
          <w:lang w:val="fr-CH"/>
        </w:rPr>
        <w:t>obtenteur</w:t>
      </w:r>
    </w:p>
    <w:p w14:paraId="3CF9F987" w14:textId="77777777" w:rsidR="00AA4578" w:rsidRPr="00B04221" w:rsidRDefault="00AA4578" w:rsidP="00AA4578">
      <w:pPr>
        <w:widowControl w:val="0"/>
        <w:autoSpaceDE w:val="0"/>
        <w:autoSpaceDN w:val="0"/>
        <w:jc w:val="left"/>
        <w:rPr>
          <w:rFonts w:ascii="Times New Roman" w:hAnsi="Times New Roman"/>
          <w:b/>
          <w:i/>
          <w:iCs/>
          <w:sz w:val="24"/>
          <w:szCs w:val="24"/>
          <w:lang w:val="fr-CH"/>
        </w:rPr>
      </w:pPr>
    </w:p>
    <w:p w14:paraId="5CE68D2D" w14:textId="3AAD20AD" w:rsidR="00AA4578" w:rsidRPr="00AB458F" w:rsidRDefault="00B04221" w:rsidP="00AA4578">
      <w:pPr>
        <w:widowControl w:val="0"/>
        <w:numPr>
          <w:ilvl w:val="0"/>
          <w:numId w:val="4"/>
        </w:numPr>
        <w:tabs>
          <w:tab w:val="left" w:pos="548"/>
        </w:tabs>
        <w:autoSpaceDE w:val="0"/>
        <w:autoSpaceDN w:val="0"/>
        <w:ind w:right="227" w:firstLine="0"/>
        <w:rPr>
          <w:rFonts w:ascii="Times New Roman" w:hAnsi="Times New Roman"/>
          <w:i/>
          <w:sz w:val="24"/>
          <w:szCs w:val="22"/>
          <w:lang w:val="fr-CH"/>
        </w:rPr>
      </w:pPr>
      <w:r w:rsidRPr="00B04221">
        <w:rPr>
          <w:rFonts w:ascii="Times New Roman" w:hAnsi="Times New Roman"/>
          <w:i/>
          <w:sz w:val="24"/>
          <w:szCs w:val="22"/>
          <w:lang w:val="fr-CH"/>
        </w:rPr>
        <w:t>[Actes à l’égard du matériel de reproduction ou de multiplication] a) Sous réserve des articles 15 et 16, l’autorisation de l’obtenteur est requise pour les actes suivants accomplis à l’égard du matériel de reproduction ou de multiplication de la variété protégée :</w:t>
      </w:r>
    </w:p>
    <w:p w14:paraId="7EC82CB7" w14:textId="77777777" w:rsidR="00B04221" w:rsidRDefault="00B04221" w:rsidP="00AA4578">
      <w:pPr>
        <w:widowControl w:val="0"/>
        <w:numPr>
          <w:ilvl w:val="1"/>
          <w:numId w:val="4"/>
        </w:numPr>
        <w:tabs>
          <w:tab w:val="left" w:pos="1277"/>
        </w:tabs>
        <w:autoSpaceDE w:val="0"/>
        <w:autoSpaceDN w:val="0"/>
        <w:spacing w:line="275" w:lineRule="exact"/>
        <w:ind w:left="1276" w:hanging="354"/>
        <w:rPr>
          <w:rFonts w:ascii="Times New Roman" w:hAnsi="Times New Roman"/>
          <w:i/>
          <w:sz w:val="24"/>
          <w:szCs w:val="22"/>
          <w:lang w:val="fr-CH"/>
        </w:rPr>
      </w:pPr>
      <w:r w:rsidRPr="00B04221">
        <w:rPr>
          <w:rFonts w:ascii="Times New Roman" w:hAnsi="Times New Roman"/>
          <w:i/>
          <w:sz w:val="24"/>
          <w:szCs w:val="22"/>
          <w:lang w:val="fr-CH"/>
        </w:rPr>
        <w:t>la production ou la reproduction</w:t>
      </w:r>
    </w:p>
    <w:p w14:paraId="385ADC82" w14:textId="3FA74CCB" w:rsidR="00AA4578" w:rsidRPr="00AB458F" w:rsidRDefault="00AA4578" w:rsidP="00AA4578">
      <w:pPr>
        <w:widowControl w:val="0"/>
        <w:numPr>
          <w:ilvl w:val="1"/>
          <w:numId w:val="4"/>
        </w:numPr>
        <w:tabs>
          <w:tab w:val="left" w:pos="1277"/>
        </w:tabs>
        <w:autoSpaceDE w:val="0"/>
        <w:autoSpaceDN w:val="0"/>
        <w:spacing w:line="275" w:lineRule="exact"/>
        <w:ind w:left="1276" w:hanging="354"/>
        <w:rPr>
          <w:rFonts w:ascii="Times New Roman" w:hAnsi="Times New Roman"/>
          <w:i/>
          <w:sz w:val="24"/>
          <w:szCs w:val="22"/>
          <w:lang w:val="fr-CH"/>
        </w:rPr>
      </w:pPr>
      <w:r w:rsidRPr="00AB458F">
        <w:rPr>
          <w:rFonts w:ascii="Times New Roman" w:hAnsi="Times New Roman"/>
          <w:i/>
          <w:sz w:val="24"/>
          <w:szCs w:val="22"/>
          <w:lang w:val="fr-CH"/>
        </w:rPr>
        <w:t xml:space="preserve">le conditionnement </w:t>
      </w:r>
      <w:r w:rsidR="00B04221" w:rsidRPr="00B04221">
        <w:rPr>
          <w:rFonts w:ascii="Times New Roman" w:hAnsi="Times New Roman"/>
          <w:i/>
          <w:sz w:val="24"/>
          <w:szCs w:val="22"/>
          <w:lang w:val="fr-CH"/>
        </w:rPr>
        <w:t>aux fins de la reproduction ou de la multiplication</w:t>
      </w:r>
      <w:r w:rsidRPr="00AB458F">
        <w:rPr>
          <w:rFonts w:ascii="Times New Roman" w:hAnsi="Times New Roman"/>
          <w:i/>
          <w:spacing w:val="-2"/>
          <w:sz w:val="24"/>
          <w:szCs w:val="22"/>
          <w:lang w:val="fr-CH"/>
        </w:rPr>
        <w:t>,</w:t>
      </w:r>
    </w:p>
    <w:p w14:paraId="10CA45F0" w14:textId="026622B1" w:rsidR="00AA4578" w:rsidRPr="00AA4578" w:rsidRDefault="00B04221" w:rsidP="00AA4578">
      <w:pPr>
        <w:widowControl w:val="0"/>
        <w:numPr>
          <w:ilvl w:val="1"/>
          <w:numId w:val="4"/>
        </w:numPr>
        <w:tabs>
          <w:tab w:val="left" w:pos="1344"/>
        </w:tabs>
        <w:autoSpaceDE w:val="0"/>
        <w:autoSpaceDN w:val="0"/>
        <w:spacing w:before="2" w:line="275" w:lineRule="exact"/>
        <w:ind w:left="1343" w:hanging="421"/>
        <w:rPr>
          <w:rFonts w:ascii="Times New Roman" w:hAnsi="Times New Roman"/>
          <w:i/>
          <w:sz w:val="24"/>
          <w:szCs w:val="22"/>
        </w:rPr>
      </w:pPr>
      <w:r>
        <w:rPr>
          <w:rFonts w:ascii="Times New Roman" w:hAnsi="Times New Roman"/>
          <w:i/>
          <w:sz w:val="24"/>
          <w:szCs w:val="22"/>
        </w:rPr>
        <w:t>l’offre à la</w:t>
      </w:r>
      <w:r w:rsidR="00AA4578" w:rsidRPr="00AA4578">
        <w:rPr>
          <w:rFonts w:ascii="Times New Roman" w:hAnsi="Times New Roman"/>
          <w:i/>
          <w:sz w:val="24"/>
          <w:szCs w:val="22"/>
        </w:rPr>
        <w:t xml:space="preserve"> </w:t>
      </w:r>
      <w:r w:rsidR="00AA4578" w:rsidRPr="00AA4578">
        <w:rPr>
          <w:rFonts w:ascii="Times New Roman" w:hAnsi="Times New Roman"/>
          <w:i/>
          <w:spacing w:val="-2"/>
          <w:sz w:val="24"/>
          <w:szCs w:val="22"/>
        </w:rPr>
        <w:t>vente,</w:t>
      </w:r>
    </w:p>
    <w:p w14:paraId="3AE9D271" w14:textId="16294371" w:rsidR="00AA4578" w:rsidRPr="00AB458F" w:rsidRDefault="00AA4578" w:rsidP="00AA4578">
      <w:pPr>
        <w:widowControl w:val="0"/>
        <w:numPr>
          <w:ilvl w:val="1"/>
          <w:numId w:val="4"/>
        </w:numPr>
        <w:tabs>
          <w:tab w:val="left" w:pos="1317"/>
        </w:tabs>
        <w:autoSpaceDE w:val="0"/>
        <w:autoSpaceDN w:val="0"/>
        <w:spacing w:line="275" w:lineRule="exact"/>
        <w:ind w:left="1316" w:hanging="394"/>
        <w:rPr>
          <w:rFonts w:ascii="Times New Roman" w:hAnsi="Times New Roman"/>
          <w:i/>
          <w:sz w:val="24"/>
          <w:szCs w:val="22"/>
          <w:lang w:val="fr-CH"/>
        </w:rPr>
      </w:pPr>
      <w:r w:rsidRPr="00AB458F">
        <w:rPr>
          <w:rFonts w:ascii="Times New Roman" w:hAnsi="Times New Roman"/>
          <w:i/>
          <w:sz w:val="24"/>
          <w:szCs w:val="22"/>
          <w:lang w:val="fr-CH"/>
        </w:rPr>
        <w:t xml:space="preserve">la vente ou </w:t>
      </w:r>
      <w:r w:rsidR="00B04221">
        <w:rPr>
          <w:rFonts w:ascii="Times New Roman" w:hAnsi="Times New Roman"/>
          <w:i/>
          <w:sz w:val="24"/>
          <w:szCs w:val="22"/>
          <w:lang w:val="fr-CH"/>
        </w:rPr>
        <w:t>toute autre forme de commercialisation</w:t>
      </w:r>
      <w:r w:rsidRPr="00AB458F">
        <w:rPr>
          <w:rFonts w:ascii="Times New Roman" w:hAnsi="Times New Roman"/>
          <w:i/>
          <w:spacing w:val="-2"/>
          <w:sz w:val="24"/>
          <w:szCs w:val="22"/>
          <w:lang w:val="fr-CH"/>
        </w:rPr>
        <w:t>,</w:t>
      </w:r>
    </w:p>
    <w:p w14:paraId="373B131E" w14:textId="77777777" w:rsidR="00AA4578" w:rsidRPr="00AA4578" w:rsidRDefault="00AA4578" w:rsidP="00AA4578">
      <w:pPr>
        <w:widowControl w:val="0"/>
        <w:numPr>
          <w:ilvl w:val="1"/>
          <w:numId w:val="4"/>
        </w:numPr>
        <w:tabs>
          <w:tab w:val="left" w:pos="1250"/>
        </w:tabs>
        <w:autoSpaceDE w:val="0"/>
        <w:autoSpaceDN w:val="0"/>
        <w:spacing w:before="3" w:line="275" w:lineRule="exact"/>
        <w:ind w:left="1249" w:hanging="327"/>
        <w:rPr>
          <w:rFonts w:ascii="Times New Roman" w:hAnsi="Times New Roman"/>
          <w:i/>
          <w:sz w:val="24"/>
          <w:szCs w:val="22"/>
        </w:rPr>
      </w:pPr>
      <w:r w:rsidRPr="00AA4578">
        <w:rPr>
          <w:rFonts w:ascii="Times New Roman" w:hAnsi="Times New Roman"/>
          <w:i/>
          <w:spacing w:val="-2"/>
          <w:sz w:val="24"/>
          <w:szCs w:val="22"/>
        </w:rPr>
        <w:t>l'exportation,</w:t>
      </w:r>
    </w:p>
    <w:p w14:paraId="7059261C" w14:textId="77777777" w:rsidR="00AA4578" w:rsidRPr="00AA4578" w:rsidRDefault="00AA4578" w:rsidP="00AA4578">
      <w:pPr>
        <w:widowControl w:val="0"/>
        <w:numPr>
          <w:ilvl w:val="1"/>
          <w:numId w:val="4"/>
        </w:numPr>
        <w:tabs>
          <w:tab w:val="left" w:pos="1317"/>
        </w:tabs>
        <w:autoSpaceDE w:val="0"/>
        <w:autoSpaceDN w:val="0"/>
        <w:spacing w:line="275" w:lineRule="exact"/>
        <w:ind w:left="1316" w:hanging="394"/>
        <w:rPr>
          <w:rFonts w:ascii="Times New Roman" w:hAnsi="Times New Roman"/>
          <w:i/>
          <w:sz w:val="24"/>
          <w:szCs w:val="22"/>
        </w:rPr>
      </w:pPr>
      <w:r w:rsidRPr="00AA4578">
        <w:rPr>
          <w:rFonts w:ascii="Times New Roman" w:hAnsi="Times New Roman"/>
          <w:i/>
          <w:spacing w:val="-2"/>
          <w:sz w:val="24"/>
          <w:szCs w:val="22"/>
        </w:rPr>
        <w:t>l'importation,</w:t>
      </w:r>
    </w:p>
    <w:p w14:paraId="2717F390" w14:textId="45E3933D" w:rsidR="00AA4578" w:rsidRPr="00AB458F" w:rsidRDefault="00AA4578" w:rsidP="00AA4578">
      <w:pPr>
        <w:widowControl w:val="0"/>
        <w:numPr>
          <w:ilvl w:val="1"/>
          <w:numId w:val="4"/>
        </w:numPr>
        <w:tabs>
          <w:tab w:val="left" w:pos="1383"/>
        </w:tabs>
        <w:autoSpaceDE w:val="0"/>
        <w:autoSpaceDN w:val="0"/>
        <w:spacing w:before="2" w:line="275" w:lineRule="exact"/>
        <w:ind w:left="1382" w:hanging="460"/>
        <w:rPr>
          <w:rFonts w:ascii="Times New Roman" w:hAnsi="Times New Roman"/>
          <w:i/>
          <w:sz w:val="24"/>
          <w:szCs w:val="22"/>
          <w:lang w:val="fr-CH"/>
        </w:rPr>
      </w:pPr>
      <w:r w:rsidRPr="00AB458F">
        <w:rPr>
          <w:rFonts w:ascii="Times New Roman" w:hAnsi="Times New Roman"/>
          <w:i/>
          <w:sz w:val="24"/>
          <w:szCs w:val="22"/>
          <w:lang w:val="fr-CH"/>
        </w:rPr>
        <w:t>l</w:t>
      </w:r>
      <w:r w:rsidR="00B04221">
        <w:rPr>
          <w:rFonts w:ascii="Times New Roman" w:hAnsi="Times New Roman"/>
          <w:i/>
          <w:sz w:val="24"/>
          <w:szCs w:val="22"/>
          <w:lang w:val="fr-CH"/>
        </w:rPr>
        <w:t>a</w:t>
      </w:r>
      <w:r w:rsidRPr="00AB458F">
        <w:rPr>
          <w:rFonts w:ascii="Times New Roman" w:hAnsi="Times New Roman"/>
          <w:i/>
          <w:sz w:val="24"/>
          <w:szCs w:val="22"/>
          <w:lang w:val="fr-CH"/>
        </w:rPr>
        <w:t xml:space="preserve"> </w:t>
      </w:r>
      <w:r w:rsidR="00B04221" w:rsidRPr="00B04221">
        <w:rPr>
          <w:rFonts w:ascii="Times New Roman" w:hAnsi="Times New Roman"/>
          <w:i/>
          <w:sz w:val="24"/>
          <w:szCs w:val="22"/>
          <w:lang w:val="fr-CH"/>
        </w:rPr>
        <w:t>détention à l’une des fins mentionnées aux points i) à vi) ci-dessus</w:t>
      </w:r>
      <w:r w:rsidRPr="00AB458F">
        <w:rPr>
          <w:rFonts w:ascii="Times New Roman" w:hAnsi="Times New Roman"/>
          <w:i/>
          <w:spacing w:val="-2"/>
          <w:sz w:val="24"/>
          <w:szCs w:val="22"/>
          <w:lang w:val="fr-CH"/>
        </w:rPr>
        <w:t>.</w:t>
      </w:r>
    </w:p>
    <w:p w14:paraId="5CE7AAA9" w14:textId="66CBB80A" w:rsidR="00AA4578" w:rsidRPr="00AB458F" w:rsidRDefault="00AA4578" w:rsidP="00AA4578">
      <w:pPr>
        <w:widowControl w:val="0"/>
        <w:autoSpaceDE w:val="0"/>
        <w:autoSpaceDN w:val="0"/>
        <w:spacing w:line="275" w:lineRule="exact"/>
        <w:ind w:left="215"/>
        <w:jc w:val="left"/>
        <w:rPr>
          <w:rFonts w:ascii="Times New Roman" w:hAnsi="Times New Roman"/>
          <w:i/>
          <w:iCs/>
          <w:sz w:val="24"/>
          <w:szCs w:val="24"/>
          <w:lang w:val="fr-CH"/>
        </w:rPr>
      </w:pPr>
      <w:r w:rsidRPr="00AB458F">
        <w:rPr>
          <w:rFonts w:ascii="Times New Roman" w:hAnsi="Times New Roman"/>
          <w:i/>
          <w:iCs/>
          <w:sz w:val="24"/>
          <w:szCs w:val="24"/>
          <w:lang w:val="fr-CH"/>
        </w:rPr>
        <w:t>(b) L'</w:t>
      </w:r>
      <w:r w:rsidR="00B04221" w:rsidRPr="00B04221">
        <w:rPr>
          <w:lang w:val="fr-CH"/>
        </w:rPr>
        <w:t xml:space="preserve"> </w:t>
      </w:r>
      <w:r w:rsidR="00B04221" w:rsidRPr="00B04221">
        <w:rPr>
          <w:rFonts w:ascii="Times New Roman" w:hAnsi="Times New Roman"/>
          <w:i/>
          <w:iCs/>
          <w:sz w:val="24"/>
          <w:szCs w:val="24"/>
          <w:lang w:val="fr-CH"/>
        </w:rPr>
        <w:t>obtenteur peut subordonner son autorisation à des conditions et à des limitations.</w:t>
      </w:r>
    </w:p>
    <w:p w14:paraId="3E8AFCF2" w14:textId="77777777" w:rsidR="00AA4578" w:rsidRPr="00AB458F" w:rsidRDefault="00AA4578" w:rsidP="00AA4578">
      <w:pPr>
        <w:widowControl w:val="0"/>
        <w:autoSpaceDE w:val="0"/>
        <w:autoSpaceDN w:val="0"/>
        <w:jc w:val="left"/>
        <w:rPr>
          <w:rFonts w:ascii="Times New Roman" w:hAnsi="Times New Roman"/>
          <w:i/>
          <w:iCs/>
          <w:sz w:val="24"/>
          <w:szCs w:val="24"/>
          <w:lang w:val="fr-CH"/>
        </w:rPr>
      </w:pPr>
    </w:p>
    <w:p w14:paraId="7516AACD" w14:textId="20AD658B" w:rsidR="00AA4578" w:rsidRPr="00AB458F" w:rsidRDefault="00AA4578" w:rsidP="00AA4578">
      <w:pPr>
        <w:widowControl w:val="0"/>
        <w:numPr>
          <w:ilvl w:val="0"/>
          <w:numId w:val="4"/>
        </w:numPr>
        <w:tabs>
          <w:tab w:val="left" w:pos="561"/>
        </w:tabs>
        <w:autoSpaceDE w:val="0"/>
        <w:autoSpaceDN w:val="0"/>
        <w:ind w:right="227" w:firstLine="0"/>
        <w:rPr>
          <w:rFonts w:ascii="Times New Roman" w:hAnsi="Times New Roman"/>
          <w:i/>
          <w:sz w:val="24"/>
          <w:szCs w:val="22"/>
          <w:lang w:val="fr-CH"/>
        </w:rPr>
      </w:pPr>
      <w:r w:rsidRPr="00AB458F">
        <w:rPr>
          <w:rFonts w:ascii="Times New Roman" w:hAnsi="Times New Roman"/>
          <w:i/>
          <w:sz w:val="24"/>
          <w:szCs w:val="22"/>
          <w:lang w:val="fr-CH"/>
        </w:rPr>
        <w:t xml:space="preserve">[Actes à l'égard du produit de la récolte] Sous réserve des articles 15 et 16, </w:t>
      </w:r>
      <w:r w:rsidR="00B04221" w:rsidRPr="00B04221">
        <w:rPr>
          <w:rFonts w:ascii="Times New Roman" w:hAnsi="Times New Roman"/>
          <w:i/>
          <w:sz w:val="24"/>
          <w:szCs w:val="22"/>
          <w:lang w:val="fr-CH"/>
        </w:rPr>
        <w:t>l’autorisation de l’obtenteur est requise pour les actes mentionnés aux points i) à vii) du paragraphe 1)a) accomplis à l’égard du produit de la récolte, y compris des plantes entières et des parties de plantes, obtenu par utilisation non autorisée de matériel de reproduction ou de multiplication de la variété protégée, à moins que l’obtenteur ait raisonnablement pu exercer son droit en relation avec ledit matériel de reproduction ou de multiplication.</w:t>
      </w:r>
    </w:p>
    <w:p w14:paraId="01A360FB" w14:textId="77777777" w:rsidR="00AA4578" w:rsidRPr="00B04221" w:rsidRDefault="00AA4578" w:rsidP="00AA4578">
      <w:pPr>
        <w:widowControl w:val="0"/>
        <w:autoSpaceDE w:val="0"/>
        <w:autoSpaceDN w:val="0"/>
        <w:spacing w:before="2"/>
        <w:jc w:val="left"/>
        <w:rPr>
          <w:rFonts w:ascii="Times New Roman" w:hAnsi="Times New Roman"/>
          <w:i/>
          <w:iCs/>
          <w:sz w:val="16"/>
          <w:szCs w:val="24"/>
          <w:lang w:val="fr-CH"/>
        </w:rPr>
      </w:pPr>
    </w:p>
    <w:p w14:paraId="73CC1CE0" w14:textId="77777777" w:rsidR="00AA4578" w:rsidRPr="00AA4578" w:rsidRDefault="00AA4578" w:rsidP="00AA4578">
      <w:pPr>
        <w:widowControl w:val="0"/>
        <w:autoSpaceDE w:val="0"/>
        <w:autoSpaceDN w:val="0"/>
        <w:spacing w:before="90"/>
        <w:ind w:left="215"/>
        <w:jc w:val="left"/>
        <w:rPr>
          <w:rFonts w:ascii="Times New Roman" w:hAnsi="Times New Roman"/>
          <w:i/>
          <w:sz w:val="24"/>
          <w:szCs w:val="22"/>
        </w:rPr>
      </w:pPr>
      <w:r w:rsidRPr="00AA4578">
        <w:rPr>
          <w:rFonts w:ascii="Times New Roman" w:hAnsi="Times New Roman"/>
          <w:i/>
          <w:spacing w:val="-5"/>
          <w:sz w:val="24"/>
          <w:szCs w:val="22"/>
        </w:rPr>
        <w:t>[...]</w:t>
      </w:r>
    </w:p>
    <w:p w14:paraId="787CB735" w14:textId="77777777" w:rsidR="00AA4578" w:rsidRPr="00AA4578" w:rsidRDefault="00AA4578" w:rsidP="00AA4578">
      <w:pPr>
        <w:widowControl w:val="0"/>
        <w:autoSpaceDE w:val="0"/>
        <w:autoSpaceDN w:val="0"/>
        <w:spacing w:before="3"/>
        <w:ind w:left="2766"/>
        <w:jc w:val="left"/>
        <w:outlineLvl w:val="2"/>
        <w:rPr>
          <w:rFonts w:ascii="Times New Roman" w:hAnsi="Times New Roman"/>
          <w:b/>
          <w:bCs/>
          <w:i/>
          <w:iCs/>
          <w:sz w:val="24"/>
          <w:szCs w:val="24"/>
        </w:rPr>
      </w:pPr>
      <w:r w:rsidRPr="00AA4578">
        <w:rPr>
          <w:rFonts w:ascii="Times New Roman" w:hAnsi="Times New Roman"/>
          <w:b/>
          <w:bCs/>
          <w:i/>
          <w:iCs/>
          <w:sz w:val="24"/>
          <w:szCs w:val="24"/>
        </w:rPr>
        <w:t xml:space="preserve">Article 16 Épuisement </w:t>
      </w:r>
      <w:r w:rsidRPr="00AA4578">
        <w:rPr>
          <w:rFonts w:ascii="Times New Roman" w:hAnsi="Times New Roman"/>
          <w:b/>
          <w:bCs/>
          <w:i/>
          <w:iCs/>
          <w:spacing w:val="-2"/>
          <w:sz w:val="24"/>
          <w:szCs w:val="24"/>
        </w:rPr>
        <w:t>du droit d'</w:t>
      </w:r>
      <w:r w:rsidRPr="00AA4578">
        <w:rPr>
          <w:rFonts w:ascii="Times New Roman" w:hAnsi="Times New Roman"/>
          <w:b/>
          <w:bCs/>
          <w:i/>
          <w:iCs/>
          <w:sz w:val="24"/>
          <w:szCs w:val="24"/>
        </w:rPr>
        <w:t>obtenteur</w:t>
      </w:r>
    </w:p>
    <w:p w14:paraId="638D5EF8" w14:textId="77777777" w:rsidR="00AA4578" w:rsidRPr="00AA4578" w:rsidRDefault="00AA4578" w:rsidP="00AA4578">
      <w:pPr>
        <w:widowControl w:val="0"/>
        <w:autoSpaceDE w:val="0"/>
        <w:autoSpaceDN w:val="0"/>
        <w:spacing w:before="2"/>
        <w:jc w:val="left"/>
        <w:rPr>
          <w:rFonts w:ascii="Times New Roman" w:hAnsi="Times New Roman"/>
          <w:b/>
          <w:i/>
          <w:iCs/>
          <w:sz w:val="16"/>
          <w:szCs w:val="24"/>
        </w:rPr>
      </w:pPr>
    </w:p>
    <w:p w14:paraId="41812D88" w14:textId="6C315993" w:rsidR="00AA4578" w:rsidRPr="00AB458F" w:rsidRDefault="00B04221" w:rsidP="00AA4578">
      <w:pPr>
        <w:widowControl w:val="0"/>
        <w:numPr>
          <w:ilvl w:val="0"/>
          <w:numId w:val="3"/>
        </w:numPr>
        <w:tabs>
          <w:tab w:val="left" w:pos="549"/>
        </w:tabs>
        <w:autoSpaceDE w:val="0"/>
        <w:autoSpaceDN w:val="0"/>
        <w:spacing w:before="90"/>
        <w:ind w:right="227" w:firstLine="0"/>
        <w:rPr>
          <w:rFonts w:ascii="Times New Roman" w:hAnsi="Times New Roman"/>
          <w:i/>
          <w:sz w:val="24"/>
          <w:szCs w:val="22"/>
          <w:lang w:val="fr-CH"/>
        </w:rPr>
      </w:pPr>
      <w:r w:rsidRPr="00B04221">
        <w:rPr>
          <w:rFonts w:ascii="Times New Roman" w:hAnsi="Times New Roman"/>
          <w:i/>
          <w:sz w:val="24"/>
          <w:szCs w:val="22"/>
          <w:lang w:val="fr-CH"/>
        </w:rPr>
        <w:t>[Epuisement du droit] Le droit d’obtenteur ne s’étend pas aux actes concernant du matériel de sa variété ou d’une variété visée à l’article 14.5) qui a été vendu ou commercialisé d’une autre manière sur le territoire de la Partie contractante concernée par l’obtenteur ou avec son consentement, ou du matériel dérivé dudit matériel, à moins que ces actes i) impliquent une nouvelle reproduction ou multiplication de la variété en cause ou ii) impliquent une exportation de matériel de la variété permettant de reproduire la variété vers un pays qui ne protège pas les variétés du genre végétal ou de l’espèce végétale dont la variété fait partie, sauf si le matériel exporté est destiné à la consommation.</w:t>
      </w:r>
    </w:p>
    <w:p w14:paraId="13BC814B" w14:textId="77777777" w:rsidR="00AA4578" w:rsidRPr="00AB458F" w:rsidRDefault="00AA4578" w:rsidP="00AA4578">
      <w:pPr>
        <w:widowControl w:val="0"/>
        <w:autoSpaceDE w:val="0"/>
        <w:autoSpaceDN w:val="0"/>
        <w:spacing w:before="9"/>
        <w:jc w:val="left"/>
        <w:rPr>
          <w:rFonts w:ascii="Times New Roman" w:hAnsi="Times New Roman"/>
          <w:i/>
          <w:iCs/>
          <w:sz w:val="23"/>
          <w:szCs w:val="24"/>
          <w:lang w:val="fr-CH"/>
        </w:rPr>
      </w:pPr>
    </w:p>
    <w:p w14:paraId="41B8C747" w14:textId="56F94F38" w:rsidR="00AA4578" w:rsidRPr="00AB458F" w:rsidRDefault="00B04221" w:rsidP="00AA4578">
      <w:pPr>
        <w:widowControl w:val="0"/>
        <w:numPr>
          <w:ilvl w:val="0"/>
          <w:numId w:val="3"/>
        </w:numPr>
        <w:tabs>
          <w:tab w:val="left" w:pos="561"/>
        </w:tabs>
        <w:autoSpaceDE w:val="0"/>
        <w:autoSpaceDN w:val="0"/>
        <w:ind w:right="227" w:firstLine="0"/>
        <w:rPr>
          <w:rFonts w:ascii="Times New Roman" w:hAnsi="Times New Roman"/>
          <w:i/>
          <w:sz w:val="24"/>
          <w:szCs w:val="22"/>
          <w:lang w:val="fr-CH"/>
        </w:rPr>
      </w:pPr>
      <w:r w:rsidRPr="00B04221">
        <w:rPr>
          <w:rFonts w:ascii="Times New Roman" w:hAnsi="Times New Roman"/>
          <w:i/>
          <w:sz w:val="24"/>
          <w:szCs w:val="22"/>
          <w:lang w:val="fr-CH"/>
        </w:rPr>
        <w:t>[Sens de “matériel”] Aux fins du paragraphe 1), on entend par “matériel”, en relation avec une variété, i) le matériel de reproduction ou de multiplication végétative, sous quelque forme que ce soit, ii) le produit de la récolte, y compris les plantes entières et les parties de plantes, et iii) tout produit fabriqué directement à partir du produit de la récolte.</w:t>
      </w:r>
    </w:p>
    <w:p w14:paraId="68C1CF00" w14:textId="77777777" w:rsidR="00AA4578" w:rsidRPr="00AB458F" w:rsidRDefault="00AA4578" w:rsidP="00AA4578">
      <w:pPr>
        <w:widowControl w:val="0"/>
        <w:autoSpaceDE w:val="0"/>
        <w:autoSpaceDN w:val="0"/>
        <w:jc w:val="left"/>
        <w:rPr>
          <w:rFonts w:ascii="Times New Roman" w:hAnsi="Times New Roman"/>
          <w:i/>
          <w:iCs/>
          <w:sz w:val="24"/>
          <w:szCs w:val="24"/>
          <w:lang w:val="fr-CH"/>
        </w:rPr>
      </w:pPr>
    </w:p>
    <w:p w14:paraId="671E75F0" w14:textId="500F4C43" w:rsidR="00AA4578" w:rsidRPr="009939DD" w:rsidRDefault="009939DD" w:rsidP="00432B27">
      <w:pPr>
        <w:widowControl w:val="0"/>
        <w:numPr>
          <w:ilvl w:val="0"/>
          <w:numId w:val="3"/>
        </w:numPr>
        <w:tabs>
          <w:tab w:val="left" w:pos="567"/>
        </w:tabs>
        <w:autoSpaceDE w:val="0"/>
        <w:autoSpaceDN w:val="0"/>
        <w:ind w:right="226" w:firstLine="0"/>
        <w:rPr>
          <w:rFonts w:ascii="Times New Roman" w:hAnsi="Times New Roman"/>
          <w:i/>
          <w:sz w:val="24"/>
          <w:szCs w:val="22"/>
          <w:lang w:val="en-GB"/>
        </w:rPr>
        <w:sectPr w:rsidR="00AA4578" w:rsidRPr="009939DD" w:rsidSect="0004198B">
          <w:headerReference w:type="first" r:id="rId12"/>
          <w:pgSz w:w="11907" w:h="16840" w:code="9"/>
          <w:pgMar w:top="510" w:right="1134" w:bottom="1134" w:left="1134" w:header="510" w:footer="680" w:gutter="0"/>
          <w:pgNumType w:start="1"/>
          <w:cols w:space="720"/>
          <w:titlePg/>
        </w:sectPr>
      </w:pPr>
      <w:r w:rsidRPr="009939DD">
        <w:rPr>
          <w:rFonts w:ascii="Times New Roman" w:hAnsi="Times New Roman"/>
          <w:i/>
          <w:sz w:val="24"/>
          <w:szCs w:val="22"/>
        </w:rPr>
        <w:t>[“Territory” in certain cases] For the purposes of paragraph (1), all the Contracting Parties which are member States of one and the same intergovernmental organization may act jointly, where the regulations of that organization so require, to assimilate acts done on the territories of the States members of that organization to acts done on their own territories and, should they</w:t>
      </w:r>
      <w:r>
        <w:rPr>
          <w:rFonts w:ascii="Times New Roman" w:hAnsi="Times New Roman"/>
          <w:i/>
          <w:sz w:val="24"/>
          <w:szCs w:val="22"/>
        </w:rPr>
        <w:t xml:space="preserve"> </w:t>
      </w:r>
      <w:r w:rsidRPr="009939DD">
        <w:rPr>
          <w:rFonts w:ascii="Times New Roman" w:hAnsi="Times New Roman"/>
          <w:i/>
          <w:sz w:val="24"/>
          <w:szCs w:val="22"/>
        </w:rPr>
        <w:t>do so, shall notify the Secretary-General accordingly.</w:t>
      </w:r>
    </w:p>
    <w:p w14:paraId="6D1BD672" w14:textId="2224C6B2" w:rsidR="00AA4578" w:rsidRPr="009939DD" w:rsidRDefault="009939DD" w:rsidP="009939DD">
      <w:pPr>
        <w:ind w:left="215"/>
        <w:jc w:val="left"/>
        <w:rPr>
          <w:rFonts w:ascii="Times New Roman" w:hAnsi="Times New Roman"/>
          <w:b/>
          <w:bCs/>
          <w:sz w:val="24"/>
          <w:szCs w:val="24"/>
          <w:lang w:val="fr-CH"/>
        </w:rPr>
      </w:pPr>
      <w:r w:rsidRPr="009939DD">
        <w:rPr>
          <w:rFonts w:ascii="Times New Roman" w:hAnsi="Times New Roman"/>
          <w:b/>
          <w:bCs/>
          <w:sz w:val="24"/>
          <w:szCs w:val="24"/>
          <w:lang w:val="fr-CH"/>
        </w:rPr>
        <w:lastRenderedPageBreak/>
        <w:t>Convention de Vienne sur le droit des traités</w:t>
      </w:r>
    </w:p>
    <w:p w14:paraId="4C14FCA6" w14:textId="77777777" w:rsidR="00AA4578" w:rsidRPr="009939DD" w:rsidRDefault="00AA4578" w:rsidP="009B440E">
      <w:pPr>
        <w:jc w:val="left"/>
        <w:rPr>
          <w:rFonts w:ascii="Times New Roman" w:hAnsi="Times New Roman"/>
          <w:sz w:val="24"/>
          <w:szCs w:val="24"/>
          <w:lang w:val="fr-CH"/>
        </w:rPr>
      </w:pPr>
    </w:p>
    <w:p w14:paraId="019636C5" w14:textId="65995127" w:rsidR="00AA4578" w:rsidRPr="009939DD" w:rsidRDefault="009939DD" w:rsidP="009939DD">
      <w:pPr>
        <w:jc w:val="center"/>
        <w:rPr>
          <w:rFonts w:ascii="Times New Roman" w:hAnsi="Times New Roman"/>
          <w:i/>
          <w:iCs/>
          <w:sz w:val="24"/>
          <w:szCs w:val="24"/>
          <w:lang w:val="fr-CH"/>
        </w:rPr>
      </w:pPr>
      <w:r w:rsidRPr="009939DD">
        <w:rPr>
          <w:rFonts w:ascii="Times New Roman" w:hAnsi="Times New Roman"/>
          <w:i/>
          <w:iCs/>
          <w:sz w:val="24"/>
          <w:szCs w:val="24"/>
          <w:lang w:val="fr-CH"/>
        </w:rPr>
        <w:t>SECTION 3. INTERPRÉTATION DES TRAITÉS</w:t>
      </w:r>
    </w:p>
    <w:p w14:paraId="3B57C683" w14:textId="77777777" w:rsidR="009939DD" w:rsidRPr="009939DD" w:rsidRDefault="009939DD" w:rsidP="009B440E">
      <w:pPr>
        <w:jc w:val="left"/>
        <w:rPr>
          <w:rFonts w:ascii="Times New Roman" w:hAnsi="Times New Roman"/>
          <w:sz w:val="24"/>
          <w:szCs w:val="24"/>
          <w:lang w:val="fr-CH"/>
        </w:rPr>
      </w:pPr>
    </w:p>
    <w:p w14:paraId="0DAA9D8C" w14:textId="77777777" w:rsidR="009939DD" w:rsidRPr="009939DD" w:rsidRDefault="009939DD" w:rsidP="009939DD">
      <w:pPr>
        <w:jc w:val="center"/>
        <w:rPr>
          <w:rFonts w:ascii="Times New Roman" w:hAnsi="Times New Roman"/>
          <w:b/>
          <w:bCs/>
          <w:i/>
          <w:iCs/>
          <w:sz w:val="24"/>
          <w:szCs w:val="24"/>
          <w:lang w:val="fr-CH"/>
        </w:rPr>
      </w:pPr>
      <w:r w:rsidRPr="009939DD">
        <w:rPr>
          <w:rFonts w:ascii="Times New Roman" w:hAnsi="Times New Roman"/>
          <w:b/>
          <w:bCs/>
          <w:i/>
          <w:iCs/>
          <w:sz w:val="24"/>
          <w:szCs w:val="24"/>
          <w:lang w:val="fr-CH"/>
        </w:rPr>
        <w:t>Article 31</w:t>
      </w:r>
    </w:p>
    <w:p w14:paraId="501AAEAB" w14:textId="5DB3C20C" w:rsidR="009939DD" w:rsidRDefault="009939DD" w:rsidP="009939DD">
      <w:pPr>
        <w:jc w:val="center"/>
        <w:rPr>
          <w:rFonts w:ascii="Times New Roman" w:hAnsi="Times New Roman"/>
          <w:i/>
          <w:iCs/>
          <w:sz w:val="24"/>
          <w:szCs w:val="24"/>
          <w:lang w:val="fr-CH"/>
        </w:rPr>
      </w:pPr>
      <w:r w:rsidRPr="009939DD">
        <w:rPr>
          <w:rFonts w:ascii="Times New Roman" w:hAnsi="Times New Roman"/>
          <w:i/>
          <w:iCs/>
          <w:sz w:val="24"/>
          <w:szCs w:val="24"/>
          <w:lang w:val="fr-CH"/>
        </w:rPr>
        <w:t xml:space="preserve">Règle </w:t>
      </w:r>
      <w:r>
        <w:rPr>
          <w:rFonts w:ascii="Times New Roman" w:hAnsi="Times New Roman"/>
          <w:i/>
          <w:iCs/>
          <w:sz w:val="24"/>
          <w:szCs w:val="24"/>
          <w:lang w:val="fr-CH"/>
        </w:rPr>
        <w:t>g</w:t>
      </w:r>
      <w:r w:rsidRPr="009939DD">
        <w:rPr>
          <w:rFonts w:ascii="Times New Roman" w:hAnsi="Times New Roman"/>
          <w:i/>
          <w:iCs/>
          <w:sz w:val="24"/>
          <w:szCs w:val="24"/>
          <w:lang w:val="fr-CH"/>
        </w:rPr>
        <w:t xml:space="preserve">énérale </w:t>
      </w:r>
      <w:r>
        <w:rPr>
          <w:rFonts w:ascii="Times New Roman" w:hAnsi="Times New Roman"/>
          <w:i/>
          <w:iCs/>
          <w:sz w:val="24"/>
          <w:szCs w:val="24"/>
          <w:lang w:val="fr-CH"/>
        </w:rPr>
        <w:t>d</w:t>
      </w:r>
      <w:r w:rsidRPr="009939DD">
        <w:rPr>
          <w:rFonts w:ascii="Times New Roman" w:hAnsi="Times New Roman"/>
          <w:i/>
          <w:iCs/>
          <w:sz w:val="24"/>
          <w:szCs w:val="24"/>
          <w:lang w:val="fr-CH"/>
        </w:rPr>
        <w:t>’interprétation</w:t>
      </w:r>
    </w:p>
    <w:p w14:paraId="298BDC41" w14:textId="77777777" w:rsidR="009939DD" w:rsidRPr="009939DD" w:rsidRDefault="009939DD" w:rsidP="009939DD">
      <w:pPr>
        <w:jc w:val="center"/>
        <w:rPr>
          <w:rFonts w:ascii="Times New Roman" w:hAnsi="Times New Roman"/>
          <w:i/>
          <w:iCs/>
          <w:sz w:val="24"/>
          <w:szCs w:val="24"/>
          <w:lang w:val="fr-CH"/>
        </w:rPr>
      </w:pPr>
    </w:p>
    <w:p w14:paraId="687AE4AA" w14:textId="2353CB99" w:rsidR="009939DD" w:rsidRDefault="009939DD" w:rsidP="009939DD">
      <w:pPr>
        <w:rPr>
          <w:rFonts w:ascii="Times New Roman" w:hAnsi="Times New Roman"/>
          <w:i/>
          <w:iCs/>
          <w:sz w:val="24"/>
          <w:szCs w:val="24"/>
          <w:lang w:val="fr-CH"/>
        </w:rPr>
      </w:pPr>
      <w:r w:rsidRPr="009939DD">
        <w:rPr>
          <w:rFonts w:ascii="Times New Roman" w:hAnsi="Times New Roman"/>
          <w:i/>
          <w:iCs/>
          <w:sz w:val="24"/>
          <w:szCs w:val="24"/>
          <w:lang w:val="fr-CH"/>
        </w:rPr>
        <w:t>1. Un traité doit être interprété de bonne foi suivant le sens ordinaire à attribuer aux termes du traité dans leur contexte et à la lumière de</w:t>
      </w:r>
      <w:r>
        <w:rPr>
          <w:rFonts w:ascii="Times New Roman" w:hAnsi="Times New Roman"/>
          <w:i/>
          <w:iCs/>
          <w:sz w:val="24"/>
          <w:szCs w:val="24"/>
          <w:lang w:val="fr-CH"/>
        </w:rPr>
        <w:t xml:space="preserve"> </w:t>
      </w:r>
      <w:r w:rsidRPr="009939DD">
        <w:rPr>
          <w:rFonts w:ascii="Times New Roman" w:hAnsi="Times New Roman"/>
          <w:i/>
          <w:iCs/>
          <w:sz w:val="24"/>
          <w:szCs w:val="24"/>
          <w:lang w:val="fr-CH"/>
        </w:rPr>
        <w:t>son objet et de son but.</w:t>
      </w:r>
    </w:p>
    <w:p w14:paraId="0900612B" w14:textId="77777777" w:rsidR="009939DD" w:rsidRPr="009939DD" w:rsidRDefault="009939DD" w:rsidP="009939DD">
      <w:pPr>
        <w:rPr>
          <w:rFonts w:ascii="Times New Roman" w:hAnsi="Times New Roman"/>
          <w:i/>
          <w:iCs/>
          <w:sz w:val="24"/>
          <w:szCs w:val="24"/>
          <w:lang w:val="fr-CH"/>
        </w:rPr>
      </w:pPr>
    </w:p>
    <w:p w14:paraId="2B14CEB5" w14:textId="6DB718FE" w:rsidR="009939DD" w:rsidRPr="009939DD" w:rsidRDefault="009939DD" w:rsidP="009939DD">
      <w:pPr>
        <w:rPr>
          <w:rFonts w:ascii="Times New Roman" w:hAnsi="Times New Roman"/>
          <w:i/>
          <w:iCs/>
          <w:sz w:val="24"/>
          <w:szCs w:val="24"/>
          <w:lang w:val="fr-CH"/>
        </w:rPr>
      </w:pPr>
      <w:r w:rsidRPr="009939DD">
        <w:rPr>
          <w:rFonts w:ascii="Times New Roman" w:hAnsi="Times New Roman"/>
          <w:i/>
          <w:iCs/>
          <w:sz w:val="24"/>
          <w:szCs w:val="24"/>
          <w:lang w:val="fr-CH"/>
        </w:rPr>
        <w:t>2. Aux fins de l’interprétation d’un traité, le contexte comprend,</w:t>
      </w:r>
      <w:r>
        <w:rPr>
          <w:rFonts w:ascii="Times New Roman" w:hAnsi="Times New Roman"/>
          <w:i/>
          <w:iCs/>
          <w:sz w:val="24"/>
          <w:szCs w:val="24"/>
          <w:lang w:val="fr-CH"/>
        </w:rPr>
        <w:t xml:space="preserve"> </w:t>
      </w:r>
      <w:r w:rsidRPr="009939DD">
        <w:rPr>
          <w:rFonts w:ascii="Times New Roman" w:hAnsi="Times New Roman"/>
          <w:i/>
          <w:iCs/>
          <w:sz w:val="24"/>
          <w:szCs w:val="24"/>
          <w:lang w:val="fr-CH"/>
        </w:rPr>
        <w:t>outre le texte, préambule et annexes inclus :</w:t>
      </w:r>
    </w:p>
    <w:p w14:paraId="6B5FE20D" w14:textId="746C479E" w:rsidR="009939DD" w:rsidRDefault="009939DD" w:rsidP="009939DD">
      <w:pPr>
        <w:rPr>
          <w:rFonts w:ascii="Times New Roman" w:hAnsi="Times New Roman"/>
          <w:i/>
          <w:iCs/>
          <w:sz w:val="24"/>
          <w:szCs w:val="24"/>
          <w:lang w:val="fr-CH"/>
        </w:rPr>
      </w:pPr>
      <w:r w:rsidRPr="009939DD">
        <w:rPr>
          <w:rFonts w:ascii="Times New Roman" w:hAnsi="Times New Roman"/>
          <w:i/>
          <w:iCs/>
          <w:sz w:val="24"/>
          <w:szCs w:val="24"/>
          <w:lang w:val="fr-CH"/>
        </w:rPr>
        <w:t>a) Tout accord ayant rapport au traité et qui est intervenu entre</w:t>
      </w:r>
      <w:r>
        <w:rPr>
          <w:rFonts w:ascii="Times New Roman" w:hAnsi="Times New Roman"/>
          <w:i/>
          <w:iCs/>
          <w:sz w:val="24"/>
          <w:szCs w:val="24"/>
          <w:lang w:val="fr-CH"/>
        </w:rPr>
        <w:t xml:space="preserve"> </w:t>
      </w:r>
      <w:r w:rsidRPr="009939DD">
        <w:rPr>
          <w:rFonts w:ascii="Times New Roman" w:hAnsi="Times New Roman"/>
          <w:i/>
          <w:iCs/>
          <w:sz w:val="24"/>
          <w:szCs w:val="24"/>
          <w:lang w:val="fr-CH"/>
        </w:rPr>
        <w:t>toutes les parties à l’occasion de la conclusion du traité;</w:t>
      </w:r>
    </w:p>
    <w:p w14:paraId="11938178" w14:textId="72AFFDBF" w:rsidR="009939DD" w:rsidRPr="009939DD" w:rsidRDefault="009939DD" w:rsidP="009939DD">
      <w:pPr>
        <w:rPr>
          <w:rFonts w:ascii="Times New Roman" w:hAnsi="Times New Roman"/>
          <w:i/>
          <w:iCs/>
          <w:sz w:val="24"/>
          <w:szCs w:val="24"/>
          <w:lang w:val="fr-CH"/>
        </w:rPr>
      </w:pPr>
      <w:r w:rsidRPr="009939DD">
        <w:rPr>
          <w:rFonts w:ascii="Times New Roman" w:hAnsi="Times New Roman"/>
          <w:i/>
          <w:iCs/>
          <w:sz w:val="24"/>
          <w:szCs w:val="24"/>
          <w:lang w:val="fr-CH"/>
        </w:rPr>
        <w:t>b) Tout instrument établi par une ou plusieurs parties à l’occasion</w:t>
      </w:r>
      <w:r>
        <w:rPr>
          <w:rFonts w:ascii="Times New Roman" w:hAnsi="Times New Roman"/>
          <w:i/>
          <w:iCs/>
          <w:sz w:val="24"/>
          <w:szCs w:val="24"/>
          <w:lang w:val="fr-CH"/>
        </w:rPr>
        <w:t xml:space="preserve"> </w:t>
      </w:r>
      <w:r w:rsidRPr="009939DD">
        <w:rPr>
          <w:rFonts w:ascii="Times New Roman" w:hAnsi="Times New Roman"/>
          <w:i/>
          <w:iCs/>
          <w:sz w:val="24"/>
          <w:szCs w:val="24"/>
          <w:lang w:val="fr-CH"/>
        </w:rPr>
        <w:t>de la conclusion du traité et accepté par les autres parties en tant qu’instrument ayant rapport au traité.</w:t>
      </w:r>
    </w:p>
    <w:p w14:paraId="57A008BC" w14:textId="77777777" w:rsidR="009939DD" w:rsidRDefault="009939DD" w:rsidP="009939DD">
      <w:pPr>
        <w:rPr>
          <w:rFonts w:ascii="Times New Roman" w:hAnsi="Times New Roman"/>
          <w:i/>
          <w:iCs/>
          <w:sz w:val="24"/>
          <w:szCs w:val="24"/>
          <w:lang w:val="fr-CH"/>
        </w:rPr>
      </w:pPr>
    </w:p>
    <w:p w14:paraId="62DAA013" w14:textId="06D5EADE" w:rsidR="009939DD" w:rsidRPr="009939DD" w:rsidRDefault="009939DD" w:rsidP="009939DD">
      <w:pPr>
        <w:rPr>
          <w:rFonts w:ascii="Times New Roman" w:hAnsi="Times New Roman"/>
          <w:i/>
          <w:iCs/>
          <w:sz w:val="24"/>
          <w:szCs w:val="24"/>
          <w:lang w:val="fr-CH"/>
        </w:rPr>
      </w:pPr>
      <w:r w:rsidRPr="009939DD">
        <w:rPr>
          <w:rFonts w:ascii="Times New Roman" w:hAnsi="Times New Roman"/>
          <w:i/>
          <w:iCs/>
          <w:sz w:val="24"/>
          <w:szCs w:val="24"/>
          <w:lang w:val="fr-CH"/>
        </w:rPr>
        <w:t>3. Il sera tenu compte, en même temps que du contexte :</w:t>
      </w:r>
    </w:p>
    <w:p w14:paraId="2BB441D1" w14:textId="39AAD3AE" w:rsidR="009939DD" w:rsidRPr="009939DD" w:rsidRDefault="009939DD" w:rsidP="009939DD">
      <w:pPr>
        <w:rPr>
          <w:rFonts w:ascii="Times New Roman" w:hAnsi="Times New Roman"/>
          <w:i/>
          <w:iCs/>
          <w:sz w:val="24"/>
          <w:szCs w:val="24"/>
          <w:lang w:val="fr-CH"/>
        </w:rPr>
      </w:pPr>
      <w:r w:rsidRPr="009939DD">
        <w:rPr>
          <w:rFonts w:ascii="Times New Roman" w:hAnsi="Times New Roman"/>
          <w:i/>
          <w:iCs/>
          <w:sz w:val="24"/>
          <w:szCs w:val="24"/>
          <w:lang w:val="fr-CH"/>
        </w:rPr>
        <w:t>a) De tout accord ultérieur intervenu entre les parties au sujet de</w:t>
      </w:r>
      <w:r>
        <w:rPr>
          <w:rFonts w:ascii="Times New Roman" w:hAnsi="Times New Roman"/>
          <w:i/>
          <w:iCs/>
          <w:sz w:val="24"/>
          <w:szCs w:val="24"/>
          <w:lang w:val="fr-CH"/>
        </w:rPr>
        <w:t xml:space="preserve"> </w:t>
      </w:r>
      <w:r w:rsidRPr="009939DD">
        <w:rPr>
          <w:rFonts w:ascii="Times New Roman" w:hAnsi="Times New Roman"/>
          <w:i/>
          <w:iCs/>
          <w:sz w:val="24"/>
          <w:szCs w:val="24"/>
          <w:lang w:val="fr-CH"/>
        </w:rPr>
        <w:t>l’interprétation du traité ou de l’application de ses dispositions;</w:t>
      </w:r>
    </w:p>
    <w:p w14:paraId="681C86EA" w14:textId="0E05EDE7" w:rsidR="009939DD" w:rsidRPr="009939DD" w:rsidRDefault="009939DD" w:rsidP="009939DD">
      <w:pPr>
        <w:rPr>
          <w:rFonts w:ascii="Times New Roman" w:hAnsi="Times New Roman"/>
          <w:i/>
          <w:iCs/>
          <w:sz w:val="24"/>
          <w:szCs w:val="24"/>
          <w:lang w:val="fr-CH"/>
        </w:rPr>
      </w:pPr>
      <w:r w:rsidRPr="009939DD">
        <w:rPr>
          <w:rFonts w:ascii="Times New Roman" w:hAnsi="Times New Roman"/>
          <w:i/>
          <w:iCs/>
          <w:sz w:val="24"/>
          <w:szCs w:val="24"/>
          <w:lang w:val="fr-CH"/>
        </w:rPr>
        <w:t>b) De toute pratique ultérieurement suivie dans l’application du</w:t>
      </w:r>
      <w:r>
        <w:rPr>
          <w:rFonts w:ascii="Times New Roman" w:hAnsi="Times New Roman"/>
          <w:i/>
          <w:iCs/>
          <w:sz w:val="24"/>
          <w:szCs w:val="24"/>
          <w:lang w:val="fr-CH"/>
        </w:rPr>
        <w:t xml:space="preserve"> </w:t>
      </w:r>
      <w:r w:rsidRPr="009939DD">
        <w:rPr>
          <w:rFonts w:ascii="Times New Roman" w:hAnsi="Times New Roman"/>
          <w:i/>
          <w:iCs/>
          <w:sz w:val="24"/>
          <w:szCs w:val="24"/>
          <w:lang w:val="fr-CH"/>
        </w:rPr>
        <w:t>traité par laquelle est établi l’accord des parties à l’égard de l’interprétation du traité;</w:t>
      </w:r>
    </w:p>
    <w:p w14:paraId="60F7BF3E" w14:textId="37C16D0D" w:rsidR="009939DD" w:rsidRPr="009939DD" w:rsidRDefault="009939DD" w:rsidP="009939DD">
      <w:pPr>
        <w:rPr>
          <w:rFonts w:ascii="Times New Roman" w:hAnsi="Times New Roman"/>
          <w:i/>
          <w:iCs/>
          <w:sz w:val="24"/>
          <w:szCs w:val="24"/>
          <w:lang w:val="fr-CH"/>
        </w:rPr>
      </w:pPr>
      <w:r w:rsidRPr="009939DD">
        <w:rPr>
          <w:rFonts w:ascii="Times New Roman" w:hAnsi="Times New Roman"/>
          <w:i/>
          <w:iCs/>
          <w:sz w:val="24"/>
          <w:szCs w:val="24"/>
          <w:lang w:val="fr-CH"/>
        </w:rPr>
        <w:t>c) De toute règle pertinente de droit international applicable dans</w:t>
      </w:r>
      <w:r>
        <w:rPr>
          <w:rFonts w:ascii="Times New Roman" w:hAnsi="Times New Roman"/>
          <w:i/>
          <w:iCs/>
          <w:sz w:val="24"/>
          <w:szCs w:val="24"/>
          <w:lang w:val="fr-CH"/>
        </w:rPr>
        <w:t xml:space="preserve"> </w:t>
      </w:r>
      <w:r w:rsidRPr="009939DD">
        <w:rPr>
          <w:rFonts w:ascii="Times New Roman" w:hAnsi="Times New Roman"/>
          <w:i/>
          <w:iCs/>
          <w:sz w:val="24"/>
          <w:szCs w:val="24"/>
          <w:lang w:val="fr-CH"/>
        </w:rPr>
        <w:t>les relations entre les parties.</w:t>
      </w:r>
    </w:p>
    <w:p w14:paraId="7B9C38AD" w14:textId="77777777" w:rsidR="009939DD" w:rsidRDefault="009939DD" w:rsidP="009939DD">
      <w:pPr>
        <w:rPr>
          <w:rFonts w:ascii="Times New Roman" w:hAnsi="Times New Roman"/>
          <w:i/>
          <w:iCs/>
          <w:sz w:val="24"/>
          <w:szCs w:val="24"/>
          <w:lang w:val="fr-CH"/>
        </w:rPr>
      </w:pPr>
    </w:p>
    <w:p w14:paraId="48D1B7C4" w14:textId="317BF614" w:rsidR="009939DD" w:rsidRDefault="009939DD" w:rsidP="009939DD">
      <w:pPr>
        <w:jc w:val="left"/>
        <w:rPr>
          <w:rFonts w:ascii="Times New Roman" w:hAnsi="Times New Roman"/>
          <w:i/>
          <w:iCs/>
          <w:sz w:val="24"/>
          <w:szCs w:val="24"/>
          <w:lang w:val="fr-CH"/>
        </w:rPr>
      </w:pPr>
      <w:r w:rsidRPr="009939DD">
        <w:rPr>
          <w:rFonts w:ascii="Times New Roman" w:hAnsi="Times New Roman"/>
          <w:i/>
          <w:iCs/>
          <w:sz w:val="24"/>
          <w:szCs w:val="24"/>
          <w:lang w:val="fr-CH"/>
        </w:rPr>
        <w:t>4. Un terme sera entendu dans un sens particulier s’il est établi</w:t>
      </w:r>
      <w:r>
        <w:rPr>
          <w:rFonts w:ascii="Times New Roman" w:hAnsi="Times New Roman"/>
          <w:i/>
          <w:iCs/>
          <w:sz w:val="24"/>
          <w:szCs w:val="24"/>
          <w:lang w:val="fr-CH"/>
        </w:rPr>
        <w:t xml:space="preserve"> </w:t>
      </w:r>
      <w:r w:rsidRPr="009939DD">
        <w:rPr>
          <w:rFonts w:ascii="Times New Roman" w:hAnsi="Times New Roman"/>
          <w:i/>
          <w:iCs/>
          <w:sz w:val="24"/>
          <w:szCs w:val="24"/>
          <w:lang w:val="fr-CH"/>
        </w:rPr>
        <w:t>que telle était l’intention des parties.</w:t>
      </w:r>
    </w:p>
    <w:p w14:paraId="6C7D71C5" w14:textId="77777777" w:rsidR="009939DD" w:rsidRPr="009939DD" w:rsidRDefault="009939DD" w:rsidP="009939DD">
      <w:pPr>
        <w:jc w:val="left"/>
        <w:rPr>
          <w:rFonts w:ascii="Times New Roman" w:hAnsi="Times New Roman"/>
          <w:i/>
          <w:iCs/>
          <w:sz w:val="24"/>
          <w:szCs w:val="24"/>
          <w:lang w:val="fr-CH"/>
        </w:rPr>
      </w:pPr>
    </w:p>
    <w:p w14:paraId="3083AC67" w14:textId="77777777" w:rsidR="009939DD" w:rsidRPr="009939DD" w:rsidRDefault="009939DD" w:rsidP="009939DD">
      <w:pPr>
        <w:jc w:val="center"/>
        <w:rPr>
          <w:rFonts w:ascii="Times New Roman" w:hAnsi="Times New Roman"/>
          <w:b/>
          <w:bCs/>
          <w:i/>
          <w:iCs/>
          <w:sz w:val="24"/>
          <w:szCs w:val="24"/>
          <w:lang w:val="fr-CH"/>
        </w:rPr>
      </w:pPr>
      <w:r w:rsidRPr="009939DD">
        <w:rPr>
          <w:rFonts w:ascii="Times New Roman" w:hAnsi="Times New Roman"/>
          <w:b/>
          <w:bCs/>
          <w:i/>
          <w:iCs/>
          <w:sz w:val="24"/>
          <w:szCs w:val="24"/>
          <w:lang w:val="fr-CH"/>
        </w:rPr>
        <w:t>Article 32</w:t>
      </w:r>
    </w:p>
    <w:p w14:paraId="4679A8DC" w14:textId="71D87ED7" w:rsidR="009939DD" w:rsidRDefault="009939DD" w:rsidP="009939DD">
      <w:pPr>
        <w:jc w:val="center"/>
        <w:rPr>
          <w:rFonts w:ascii="Times New Roman" w:hAnsi="Times New Roman"/>
          <w:i/>
          <w:iCs/>
          <w:sz w:val="24"/>
          <w:szCs w:val="24"/>
          <w:lang w:val="fr-CH"/>
        </w:rPr>
      </w:pPr>
      <w:r w:rsidRPr="009939DD">
        <w:rPr>
          <w:rFonts w:ascii="Times New Roman" w:hAnsi="Times New Roman"/>
          <w:i/>
          <w:iCs/>
          <w:sz w:val="24"/>
          <w:szCs w:val="24"/>
          <w:lang w:val="fr-CH"/>
        </w:rPr>
        <w:t>Moyens complémentaires d’interprétation</w:t>
      </w:r>
    </w:p>
    <w:p w14:paraId="65EEC1AD" w14:textId="77777777" w:rsidR="009939DD" w:rsidRPr="009939DD" w:rsidRDefault="009939DD" w:rsidP="009939DD">
      <w:pPr>
        <w:jc w:val="center"/>
        <w:rPr>
          <w:rFonts w:ascii="Times New Roman" w:hAnsi="Times New Roman"/>
          <w:i/>
          <w:iCs/>
          <w:sz w:val="24"/>
          <w:szCs w:val="24"/>
          <w:lang w:val="fr-CH"/>
        </w:rPr>
      </w:pPr>
    </w:p>
    <w:p w14:paraId="2414E90B" w14:textId="4FC42159" w:rsidR="009939DD" w:rsidRPr="009939DD" w:rsidRDefault="009939DD" w:rsidP="009939DD">
      <w:pPr>
        <w:rPr>
          <w:rFonts w:ascii="Times New Roman" w:hAnsi="Times New Roman"/>
          <w:i/>
          <w:iCs/>
          <w:sz w:val="24"/>
          <w:szCs w:val="24"/>
          <w:lang w:val="fr-CH"/>
        </w:rPr>
      </w:pPr>
      <w:r w:rsidRPr="009939DD">
        <w:rPr>
          <w:rFonts w:ascii="Times New Roman" w:hAnsi="Times New Roman"/>
          <w:i/>
          <w:iCs/>
          <w:sz w:val="24"/>
          <w:szCs w:val="24"/>
          <w:lang w:val="fr-CH"/>
        </w:rPr>
        <w:t>Il peut être fait appel à des moyens complémentaires d’interprétation, et notamment aux travaux préparatoires et aux circonstances dans</w:t>
      </w:r>
      <w:r>
        <w:rPr>
          <w:rFonts w:ascii="Times New Roman" w:hAnsi="Times New Roman"/>
          <w:i/>
          <w:iCs/>
          <w:sz w:val="24"/>
          <w:szCs w:val="24"/>
          <w:lang w:val="fr-CH"/>
        </w:rPr>
        <w:t xml:space="preserve"> </w:t>
      </w:r>
      <w:r w:rsidRPr="009939DD">
        <w:rPr>
          <w:rFonts w:ascii="Times New Roman" w:hAnsi="Times New Roman"/>
          <w:i/>
          <w:iCs/>
          <w:sz w:val="24"/>
          <w:szCs w:val="24"/>
          <w:lang w:val="fr-CH"/>
        </w:rPr>
        <w:t>lesquelles le traité a été conclu, en vue, soit de confirmer le sens résultant</w:t>
      </w:r>
      <w:r>
        <w:rPr>
          <w:rFonts w:ascii="Times New Roman" w:hAnsi="Times New Roman"/>
          <w:i/>
          <w:iCs/>
          <w:sz w:val="24"/>
          <w:szCs w:val="24"/>
          <w:lang w:val="fr-CH"/>
        </w:rPr>
        <w:t xml:space="preserve"> </w:t>
      </w:r>
      <w:r w:rsidRPr="009939DD">
        <w:rPr>
          <w:rFonts w:ascii="Times New Roman" w:hAnsi="Times New Roman"/>
          <w:i/>
          <w:iCs/>
          <w:sz w:val="24"/>
          <w:szCs w:val="24"/>
          <w:lang w:val="fr-CH"/>
        </w:rPr>
        <w:t>de l’application de l’article 31, soit de déterminer le sens lorsque l’interprétation donnée conformément à l’article 31 :</w:t>
      </w:r>
    </w:p>
    <w:p w14:paraId="513D0EBB" w14:textId="77777777" w:rsidR="009939DD" w:rsidRPr="009939DD" w:rsidRDefault="009939DD" w:rsidP="009939DD">
      <w:pPr>
        <w:rPr>
          <w:rFonts w:ascii="Times New Roman" w:hAnsi="Times New Roman"/>
          <w:i/>
          <w:iCs/>
          <w:sz w:val="24"/>
          <w:szCs w:val="24"/>
          <w:lang w:val="fr-CH"/>
        </w:rPr>
      </w:pPr>
      <w:r w:rsidRPr="009939DD">
        <w:rPr>
          <w:rFonts w:ascii="Times New Roman" w:hAnsi="Times New Roman"/>
          <w:i/>
          <w:iCs/>
          <w:sz w:val="24"/>
          <w:szCs w:val="24"/>
          <w:lang w:val="fr-CH"/>
        </w:rPr>
        <w:t>a) Laisse le sens ambigu ou obscur; ou</w:t>
      </w:r>
    </w:p>
    <w:p w14:paraId="4A23352F" w14:textId="2E6AFD91" w:rsidR="009939DD" w:rsidRPr="009939DD" w:rsidRDefault="009939DD" w:rsidP="009939DD">
      <w:pPr>
        <w:rPr>
          <w:rFonts w:ascii="Times New Roman" w:hAnsi="Times New Roman"/>
          <w:i/>
          <w:iCs/>
          <w:sz w:val="24"/>
          <w:szCs w:val="24"/>
          <w:lang w:val="fr-CH"/>
        </w:rPr>
      </w:pPr>
      <w:r w:rsidRPr="009939DD">
        <w:rPr>
          <w:rFonts w:ascii="Times New Roman" w:hAnsi="Times New Roman"/>
          <w:i/>
          <w:iCs/>
          <w:sz w:val="24"/>
          <w:szCs w:val="24"/>
          <w:lang w:val="fr-CH"/>
        </w:rPr>
        <w:t>b) Conduit à un résultat qui est manifestement absurde ou déraisonnable.</w:t>
      </w:r>
    </w:p>
    <w:p w14:paraId="246ECF07" w14:textId="77777777" w:rsidR="009939DD" w:rsidRPr="009939DD" w:rsidRDefault="009939DD" w:rsidP="009B440E">
      <w:pPr>
        <w:jc w:val="left"/>
        <w:rPr>
          <w:sz w:val="21"/>
          <w:szCs w:val="21"/>
          <w:lang w:val="fr-CH"/>
        </w:rPr>
      </w:pPr>
    </w:p>
    <w:p w14:paraId="55121078" w14:textId="77777777" w:rsidR="009939DD" w:rsidRDefault="009939DD" w:rsidP="009B440E">
      <w:pPr>
        <w:jc w:val="left"/>
        <w:rPr>
          <w:lang w:val="fr-CH"/>
        </w:rPr>
      </w:pPr>
    </w:p>
    <w:p w14:paraId="2D6D91BD" w14:textId="77777777" w:rsidR="009939DD" w:rsidRDefault="009939DD" w:rsidP="009B440E">
      <w:pPr>
        <w:jc w:val="left"/>
        <w:rPr>
          <w:lang w:val="fr-CH"/>
        </w:rPr>
      </w:pPr>
    </w:p>
    <w:p w14:paraId="3A1870FA" w14:textId="270FCAB5" w:rsidR="009939DD" w:rsidRPr="009939DD" w:rsidRDefault="009939DD" w:rsidP="009B440E">
      <w:pPr>
        <w:jc w:val="left"/>
        <w:rPr>
          <w:lang w:val="fr-CH"/>
        </w:rPr>
        <w:sectPr w:rsidR="009939DD" w:rsidRPr="009939DD" w:rsidSect="0004198B">
          <w:headerReference w:type="first" r:id="rId13"/>
          <w:pgSz w:w="11907" w:h="16840" w:code="9"/>
          <w:pgMar w:top="510" w:right="1134" w:bottom="1134" w:left="1134" w:header="510" w:footer="680" w:gutter="0"/>
          <w:pgNumType w:start="1"/>
          <w:cols w:space="720"/>
          <w:titlePg/>
        </w:sectPr>
      </w:pPr>
    </w:p>
    <w:p w14:paraId="3200152A" w14:textId="77777777" w:rsidR="009939DD" w:rsidRPr="009939DD" w:rsidRDefault="009939DD" w:rsidP="009939DD">
      <w:pPr>
        <w:jc w:val="left"/>
        <w:rPr>
          <w:b/>
          <w:bCs/>
          <w:noProof/>
          <w:lang w:val="fr-CH"/>
        </w:rPr>
      </w:pPr>
      <w:r w:rsidRPr="009939DD">
        <w:rPr>
          <w:b/>
          <w:bCs/>
          <w:noProof/>
          <w:lang w:val="fr-CH"/>
        </w:rPr>
        <w:lastRenderedPageBreak/>
        <w:t xml:space="preserve">Au cours des prochains mois, le groupe d'experts analysera les concepts suivants de l'article 14(2) : </w:t>
      </w:r>
    </w:p>
    <w:p w14:paraId="4838A773" w14:textId="77777777" w:rsidR="009939DD" w:rsidRPr="009939DD" w:rsidRDefault="009939DD" w:rsidP="009939DD">
      <w:pPr>
        <w:jc w:val="left"/>
        <w:rPr>
          <w:noProof/>
          <w:lang w:val="fr-CH"/>
        </w:rPr>
      </w:pPr>
    </w:p>
    <w:p w14:paraId="0FD05E3A" w14:textId="1D4B594F" w:rsidR="009939DD" w:rsidRPr="00225BC7" w:rsidRDefault="009939DD" w:rsidP="00225BC7">
      <w:pPr>
        <w:pStyle w:val="ListParagraph"/>
        <w:numPr>
          <w:ilvl w:val="0"/>
          <w:numId w:val="8"/>
        </w:numPr>
        <w:spacing w:line="360" w:lineRule="auto"/>
        <w:jc w:val="left"/>
        <w:rPr>
          <w:noProof/>
          <w:lang w:val="fr-CH"/>
        </w:rPr>
      </w:pPr>
      <w:r w:rsidRPr="009939DD">
        <w:rPr>
          <w:noProof/>
          <w:lang w:val="fr-CH"/>
        </w:rPr>
        <w:t xml:space="preserve">« matériel de multiplication » et “matériel de récolte”. </w:t>
      </w:r>
    </w:p>
    <w:p w14:paraId="7F0A022F" w14:textId="5E9B03A4" w:rsidR="009939DD" w:rsidRPr="00225BC7" w:rsidRDefault="009939DD" w:rsidP="00225BC7">
      <w:pPr>
        <w:pStyle w:val="ListParagraph"/>
        <w:numPr>
          <w:ilvl w:val="0"/>
          <w:numId w:val="8"/>
        </w:numPr>
        <w:spacing w:line="360" w:lineRule="auto"/>
        <w:jc w:val="left"/>
        <w:rPr>
          <w:noProof/>
          <w:lang w:val="fr-CH"/>
        </w:rPr>
      </w:pPr>
      <w:r w:rsidRPr="009939DD">
        <w:rPr>
          <w:noProof/>
          <w:lang w:val="fr-CH"/>
        </w:rPr>
        <w:t xml:space="preserve">les « actes de récolte </w:t>
      </w:r>
    </w:p>
    <w:p w14:paraId="0D28B198" w14:textId="26543AD1" w:rsidR="009939DD" w:rsidRPr="00225BC7" w:rsidRDefault="009939DD" w:rsidP="00225BC7">
      <w:pPr>
        <w:pStyle w:val="ListParagraph"/>
        <w:numPr>
          <w:ilvl w:val="0"/>
          <w:numId w:val="8"/>
        </w:numPr>
        <w:spacing w:line="360" w:lineRule="auto"/>
        <w:jc w:val="left"/>
        <w:rPr>
          <w:noProof/>
          <w:lang w:val="fr-CH"/>
        </w:rPr>
      </w:pPr>
      <w:r w:rsidRPr="009939DD">
        <w:rPr>
          <w:noProof/>
          <w:lang w:val="fr-CH"/>
        </w:rPr>
        <w:t xml:space="preserve">« autorisation » et « utilisation non autorisée ». </w:t>
      </w:r>
    </w:p>
    <w:p w14:paraId="2870B8BA" w14:textId="746DBC57" w:rsidR="009939DD" w:rsidRPr="00225BC7" w:rsidRDefault="009939DD" w:rsidP="00225BC7">
      <w:pPr>
        <w:pStyle w:val="ListParagraph"/>
        <w:numPr>
          <w:ilvl w:val="0"/>
          <w:numId w:val="8"/>
        </w:numPr>
        <w:spacing w:line="360" w:lineRule="auto"/>
        <w:jc w:val="left"/>
        <w:rPr>
          <w:noProof/>
          <w:lang w:val="fr-CH"/>
        </w:rPr>
      </w:pPr>
      <w:r w:rsidRPr="00225BC7">
        <w:rPr>
          <w:noProof/>
          <w:lang w:val="fr-CH"/>
        </w:rPr>
        <w:t xml:space="preserve">« exercice de son droit » vs »atteinte » </w:t>
      </w:r>
    </w:p>
    <w:p w14:paraId="076B88B9" w14:textId="77777777" w:rsidR="009939DD" w:rsidRPr="00225BC7" w:rsidRDefault="009939DD" w:rsidP="00225BC7">
      <w:pPr>
        <w:pStyle w:val="ListParagraph"/>
        <w:numPr>
          <w:ilvl w:val="0"/>
          <w:numId w:val="8"/>
        </w:numPr>
        <w:spacing w:line="360" w:lineRule="auto"/>
        <w:jc w:val="left"/>
        <w:rPr>
          <w:noProof/>
          <w:lang w:val="fr-CH"/>
        </w:rPr>
      </w:pPr>
      <w:r w:rsidRPr="00225BC7">
        <w:rPr>
          <w:noProof/>
          <w:lang w:val="fr-CH"/>
        </w:rPr>
        <w:t xml:space="preserve">« opportunité raisonnable </w:t>
      </w:r>
    </w:p>
    <w:p w14:paraId="4368C9D1" w14:textId="77777777" w:rsidR="009939DD" w:rsidRPr="009939DD" w:rsidRDefault="009939DD" w:rsidP="009939DD">
      <w:pPr>
        <w:jc w:val="left"/>
        <w:rPr>
          <w:noProof/>
          <w:lang w:val="fr-CH"/>
        </w:rPr>
      </w:pPr>
    </w:p>
    <w:p w14:paraId="26134200" w14:textId="77777777" w:rsidR="009939DD" w:rsidRPr="00225BC7" w:rsidRDefault="009939DD" w:rsidP="009939DD">
      <w:pPr>
        <w:jc w:val="left"/>
        <w:rPr>
          <w:b/>
          <w:bCs/>
          <w:noProof/>
          <w:lang w:val="fr-CH"/>
        </w:rPr>
      </w:pPr>
      <w:r w:rsidRPr="00225BC7">
        <w:rPr>
          <w:b/>
          <w:bCs/>
          <w:noProof/>
          <w:lang w:val="fr-CH"/>
        </w:rPr>
        <w:t xml:space="preserve">Liste provisoire des documents figurant dans les travaux préparatoires </w:t>
      </w:r>
    </w:p>
    <w:p w14:paraId="4BD7C321" w14:textId="77777777" w:rsidR="009939DD" w:rsidRPr="009939DD" w:rsidRDefault="009939DD" w:rsidP="009939DD">
      <w:pPr>
        <w:jc w:val="left"/>
        <w:rPr>
          <w:noProof/>
          <w:lang w:val="fr-CH"/>
        </w:rPr>
      </w:pPr>
    </w:p>
    <w:p w14:paraId="2F65AD9E" w14:textId="77777777" w:rsidR="009939DD" w:rsidRPr="009939DD" w:rsidRDefault="009939DD" w:rsidP="009939DD">
      <w:pPr>
        <w:jc w:val="left"/>
        <w:rPr>
          <w:noProof/>
          <w:lang w:val="fr-CH"/>
        </w:rPr>
      </w:pPr>
      <w:r w:rsidRPr="009939DD">
        <w:rPr>
          <w:noProof/>
          <w:lang w:val="fr-CH"/>
        </w:rPr>
        <w:t xml:space="preserve">Article 5 UPOV 1978 </w:t>
      </w:r>
    </w:p>
    <w:p w14:paraId="6AC25E10" w14:textId="77777777" w:rsidR="009939DD" w:rsidRPr="009939DD" w:rsidRDefault="009939DD" w:rsidP="009939DD">
      <w:pPr>
        <w:jc w:val="left"/>
        <w:rPr>
          <w:noProof/>
          <w:lang w:val="fr-CH"/>
        </w:rPr>
      </w:pPr>
    </w:p>
    <w:p w14:paraId="3D9F7995" w14:textId="2ADA63A1" w:rsidR="009939DD" w:rsidRPr="009939DD" w:rsidRDefault="00225BC7" w:rsidP="009939DD">
      <w:pPr>
        <w:jc w:val="left"/>
        <w:rPr>
          <w:noProof/>
          <w:lang w:val="fr-CH"/>
        </w:rPr>
      </w:pPr>
      <w:r>
        <w:rPr>
          <w:noProof/>
          <w:lang w:val="fr-CH"/>
        </w:rPr>
        <w:t>CAJ VIII/5</w:t>
      </w:r>
      <w:r w:rsidR="009939DD" w:rsidRPr="009939DD">
        <w:rPr>
          <w:noProof/>
          <w:lang w:val="fr-CH"/>
        </w:rPr>
        <w:t xml:space="preserve">, octobre 1981 </w:t>
      </w:r>
    </w:p>
    <w:p w14:paraId="2A0826F1" w14:textId="77777777" w:rsidR="009939DD" w:rsidRPr="009939DD" w:rsidRDefault="009939DD" w:rsidP="009939DD">
      <w:pPr>
        <w:jc w:val="left"/>
        <w:rPr>
          <w:noProof/>
          <w:lang w:val="fr-CH"/>
        </w:rPr>
      </w:pPr>
    </w:p>
    <w:p w14:paraId="15CAAEEA" w14:textId="4758E112" w:rsidR="009939DD" w:rsidRPr="009939DD" w:rsidRDefault="00225BC7" w:rsidP="009939DD">
      <w:pPr>
        <w:jc w:val="left"/>
        <w:rPr>
          <w:noProof/>
          <w:lang w:val="fr-CH"/>
        </w:rPr>
      </w:pPr>
      <w:r>
        <w:rPr>
          <w:noProof/>
          <w:lang w:val="fr-CH"/>
        </w:rPr>
        <w:t>CAJ/VIII/</w:t>
      </w:r>
      <w:r w:rsidR="009939DD" w:rsidRPr="009939DD">
        <w:rPr>
          <w:noProof/>
          <w:lang w:val="fr-CH"/>
        </w:rPr>
        <w:t xml:space="preserve">6, novembre 1986 </w:t>
      </w:r>
    </w:p>
    <w:p w14:paraId="1BA505CD" w14:textId="77777777" w:rsidR="009939DD" w:rsidRPr="009939DD" w:rsidRDefault="009939DD" w:rsidP="009939DD">
      <w:pPr>
        <w:jc w:val="left"/>
        <w:rPr>
          <w:noProof/>
          <w:lang w:val="fr-CH"/>
        </w:rPr>
      </w:pPr>
    </w:p>
    <w:p w14:paraId="24DC4531" w14:textId="2D7BD4D0" w:rsidR="009939DD" w:rsidRPr="009939DD" w:rsidRDefault="009939DD" w:rsidP="009939DD">
      <w:pPr>
        <w:jc w:val="left"/>
        <w:rPr>
          <w:noProof/>
          <w:lang w:val="fr-CH"/>
        </w:rPr>
      </w:pPr>
      <w:r w:rsidRPr="009939DD">
        <w:rPr>
          <w:noProof/>
          <w:lang w:val="fr-CH"/>
        </w:rPr>
        <w:t>CAJ</w:t>
      </w:r>
      <w:r w:rsidR="00225BC7">
        <w:rPr>
          <w:noProof/>
          <w:lang w:val="fr-CH"/>
        </w:rPr>
        <w:t>/</w:t>
      </w:r>
      <w:r w:rsidRPr="009939DD">
        <w:rPr>
          <w:noProof/>
          <w:lang w:val="fr-CH"/>
        </w:rPr>
        <w:t>XIX/</w:t>
      </w:r>
      <w:r w:rsidR="00225BC7">
        <w:rPr>
          <w:noProof/>
          <w:lang w:val="fr-CH"/>
        </w:rPr>
        <w:t>11</w:t>
      </w:r>
      <w:r w:rsidRPr="009939DD">
        <w:rPr>
          <w:noProof/>
          <w:lang w:val="fr-CH"/>
        </w:rPr>
        <w:t xml:space="preserve">, avril 1987 </w:t>
      </w:r>
      <w:r w:rsidR="00225BC7">
        <w:rPr>
          <w:noProof/>
          <w:lang w:val="fr-CH"/>
        </w:rPr>
        <w:t>Compte Rendu</w:t>
      </w:r>
      <w:r w:rsidRPr="009939DD">
        <w:rPr>
          <w:noProof/>
          <w:lang w:val="fr-CH"/>
        </w:rPr>
        <w:t xml:space="preserve"> - début de la révision </w:t>
      </w:r>
    </w:p>
    <w:p w14:paraId="315739B9" w14:textId="77777777" w:rsidR="009939DD" w:rsidRPr="009939DD" w:rsidRDefault="009939DD" w:rsidP="009939DD">
      <w:pPr>
        <w:jc w:val="left"/>
        <w:rPr>
          <w:noProof/>
          <w:lang w:val="fr-CH"/>
        </w:rPr>
      </w:pPr>
    </w:p>
    <w:p w14:paraId="7A4E4EA3" w14:textId="450D976A" w:rsidR="009939DD" w:rsidRPr="009939DD" w:rsidRDefault="009939DD" w:rsidP="009939DD">
      <w:pPr>
        <w:jc w:val="left"/>
        <w:rPr>
          <w:noProof/>
          <w:lang w:val="fr-CH"/>
        </w:rPr>
      </w:pPr>
      <w:r w:rsidRPr="009939DD">
        <w:rPr>
          <w:noProof/>
          <w:lang w:val="fr-CH"/>
        </w:rPr>
        <w:t>CA</w:t>
      </w:r>
      <w:r w:rsidR="00225BC7">
        <w:rPr>
          <w:noProof/>
          <w:lang w:val="fr-CH"/>
        </w:rPr>
        <w:t>J/</w:t>
      </w:r>
      <w:r w:rsidRPr="009939DD">
        <w:rPr>
          <w:noProof/>
          <w:lang w:val="fr-CH"/>
        </w:rPr>
        <w:t>XXI</w:t>
      </w:r>
      <w:r w:rsidR="00225BC7">
        <w:rPr>
          <w:noProof/>
          <w:lang w:val="fr-CH"/>
        </w:rPr>
        <w:t>I/1</w:t>
      </w:r>
      <w:r w:rsidRPr="009939DD">
        <w:rPr>
          <w:noProof/>
          <w:lang w:val="fr-CH"/>
        </w:rPr>
        <w:t>2, 18</w:t>
      </w:r>
      <w:r w:rsidR="00225BC7">
        <w:rPr>
          <w:noProof/>
          <w:lang w:val="fr-CH"/>
        </w:rPr>
        <w:t>-</w:t>
      </w:r>
      <w:r w:rsidRPr="009939DD">
        <w:rPr>
          <w:noProof/>
          <w:lang w:val="fr-CH"/>
        </w:rPr>
        <w:t xml:space="preserve">21 avril 1988 Révision de la Convention </w:t>
      </w:r>
    </w:p>
    <w:p w14:paraId="292BBAA7" w14:textId="77777777" w:rsidR="009939DD" w:rsidRPr="009939DD" w:rsidRDefault="009939DD" w:rsidP="009939DD">
      <w:pPr>
        <w:jc w:val="left"/>
        <w:rPr>
          <w:noProof/>
          <w:lang w:val="fr-CH"/>
        </w:rPr>
      </w:pPr>
    </w:p>
    <w:p w14:paraId="0DA460D4" w14:textId="0839AD41" w:rsidR="009939DD" w:rsidRPr="009939DD" w:rsidRDefault="00225BC7" w:rsidP="009939DD">
      <w:pPr>
        <w:jc w:val="left"/>
        <w:rPr>
          <w:noProof/>
          <w:lang w:val="fr-CH"/>
        </w:rPr>
      </w:pPr>
      <w:r>
        <w:rPr>
          <w:noProof/>
          <w:lang w:val="fr-CH"/>
        </w:rPr>
        <w:t>IOM IV/2</w:t>
      </w:r>
      <w:r w:rsidR="009939DD" w:rsidRPr="009939DD">
        <w:rPr>
          <w:noProof/>
          <w:lang w:val="fr-CH"/>
        </w:rPr>
        <w:t xml:space="preserve">, 9-10 octobre 1989 quatrième réunion avec les organisations internationales </w:t>
      </w:r>
    </w:p>
    <w:p w14:paraId="202353D2" w14:textId="77777777" w:rsidR="00225BC7" w:rsidRDefault="00225BC7" w:rsidP="009939DD">
      <w:pPr>
        <w:jc w:val="left"/>
        <w:rPr>
          <w:noProof/>
          <w:lang w:val="fr-CH"/>
        </w:rPr>
      </w:pPr>
    </w:p>
    <w:p w14:paraId="7623556B" w14:textId="6FB5A68A" w:rsidR="009939DD" w:rsidRPr="009939DD" w:rsidRDefault="009939DD" w:rsidP="009939DD">
      <w:pPr>
        <w:jc w:val="left"/>
        <w:rPr>
          <w:noProof/>
          <w:lang w:val="fr-CH"/>
        </w:rPr>
      </w:pPr>
      <w:r w:rsidRPr="009939DD">
        <w:rPr>
          <w:noProof/>
          <w:lang w:val="fr-CH"/>
        </w:rPr>
        <w:t>CA</w:t>
      </w:r>
      <w:r w:rsidR="00225BC7">
        <w:rPr>
          <w:noProof/>
          <w:lang w:val="fr-CH"/>
        </w:rPr>
        <w:t>J/XXV/</w:t>
      </w:r>
      <w:r w:rsidRPr="009939DD">
        <w:rPr>
          <w:noProof/>
          <w:lang w:val="fr-CH"/>
        </w:rPr>
        <w:t xml:space="preserve">2, ANNEXE II 11-13 octobre 1989 Proposition de la « cascade » </w:t>
      </w:r>
    </w:p>
    <w:p w14:paraId="1FEFF13B" w14:textId="77777777" w:rsidR="00225BC7" w:rsidRDefault="00225BC7" w:rsidP="009939DD">
      <w:pPr>
        <w:jc w:val="left"/>
        <w:rPr>
          <w:noProof/>
          <w:lang w:val="fr-CH"/>
        </w:rPr>
      </w:pPr>
    </w:p>
    <w:p w14:paraId="4490D0BF" w14:textId="0F7573F8" w:rsidR="009939DD" w:rsidRPr="009939DD" w:rsidRDefault="009939DD" w:rsidP="009939DD">
      <w:pPr>
        <w:jc w:val="left"/>
        <w:rPr>
          <w:noProof/>
          <w:lang w:val="fr-CH"/>
        </w:rPr>
      </w:pPr>
      <w:r w:rsidRPr="009939DD">
        <w:rPr>
          <w:noProof/>
          <w:lang w:val="fr-CH"/>
        </w:rPr>
        <w:t>CA</w:t>
      </w:r>
      <w:r w:rsidR="00225BC7">
        <w:rPr>
          <w:noProof/>
          <w:lang w:val="fr-CH"/>
        </w:rPr>
        <w:t>J XXV/2</w:t>
      </w:r>
      <w:r w:rsidRPr="009939DD">
        <w:rPr>
          <w:noProof/>
          <w:lang w:val="fr-CH"/>
        </w:rPr>
        <w:t xml:space="preserve">, 11-13 octobre 1989 Rapport des réunions </w:t>
      </w:r>
    </w:p>
    <w:p w14:paraId="02A5185E" w14:textId="77777777" w:rsidR="009939DD" w:rsidRPr="009939DD" w:rsidRDefault="009939DD" w:rsidP="009939DD">
      <w:pPr>
        <w:jc w:val="left"/>
        <w:rPr>
          <w:noProof/>
          <w:lang w:val="fr-CH"/>
        </w:rPr>
      </w:pPr>
    </w:p>
    <w:p w14:paraId="12A46D9F" w14:textId="77777777" w:rsidR="009939DD" w:rsidRPr="009939DD" w:rsidRDefault="009939DD" w:rsidP="009939DD">
      <w:pPr>
        <w:jc w:val="left"/>
        <w:rPr>
          <w:noProof/>
          <w:lang w:val="fr-CH"/>
        </w:rPr>
      </w:pPr>
      <w:r w:rsidRPr="009939DD">
        <w:rPr>
          <w:noProof/>
          <w:lang w:val="fr-CH"/>
        </w:rPr>
        <w:t xml:space="preserve">CAI 27/8, 25-29 juin 1990 Rapport des réunions </w:t>
      </w:r>
    </w:p>
    <w:p w14:paraId="490E2B54" w14:textId="77777777" w:rsidR="009939DD" w:rsidRPr="009939DD" w:rsidRDefault="009939DD" w:rsidP="009939DD">
      <w:pPr>
        <w:jc w:val="left"/>
        <w:rPr>
          <w:noProof/>
          <w:lang w:val="fr-CH"/>
        </w:rPr>
      </w:pPr>
    </w:p>
    <w:p w14:paraId="3FA119B2" w14:textId="30466480" w:rsidR="009939DD" w:rsidRPr="009939DD" w:rsidRDefault="009939DD" w:rsidP="009939DD">
      <w:pPr>
        <w:jc w:val="left"/>
        <w:rPr>
          <w:noProof/>
          <w:lang w:val="fr-CH"/>
        </w:rPr>
      </w:pPr>
      <w:r w:rsidRPr="009939DD">
        <w:rPr>
          <w:noProof/>
          <w:lang w:val="fr-CH"/>
        </w:rPr>
        <w:t>IOM</w:t>
      </w:r>
      <w:r w:rsidR="00225BC7">
        <w:rPr>
          <w:noProof/>
          <w:lang w:val="fr-CH"/>
        </w:rPr>
        <w:t>/V</w:t>
      </w:r>
      <w:r w:rsidRPr="009939DD">
        <w:rPr>
          <w:noProof/>
          <w:lang w:val="fr-CH"/>
        </w:rPr>
        <w:t xml:space="preserve">/2, 10-11 octobre 1990 Cinquième réunion avec les organisations internationales </w:t>
      </w:r>
    </w:p>
    <w:p w14:paraId="2EEECAD8" w14:textId="77777777" w:rsidR="00225BC7" w:rsidRDefault="00225BC7" w:rsidP="009939DD">
      <w:pPr>
        <w:jc w:val="left"/>
        <w:rPr>
          <w:noProof/>
          <w:lang w:val="fr-CH"/>
        </w:rPr>
      </w:pPr>
    </w:p>
    <w:p w14:paraId="226395E3" w14:textId="178A47BD" w:rsidR="009939DD" w:rsidRPr="009939DD" w:rsidRDefault="009939DD" w:rsidP="009939DD">
      <w:pPr>
        <w:jc w:val="left"/>
        <w:rPr>
          <w:noProof/>
          <w:lang w:val="fr-CH"/>
        </w:rPr>
      </w:pPr>
      <w:r w:rsidRPr="009939DD">
        <w:rPr>
          <w:noProof/>
          <w:lang w:val="fr-CH"/>
        </w:rPr>
        <w:t xml:space="preserve">CAJ 28/6, 12-16 octobre 1990 Rapport des réunions </w:t>
      </w:r>
    </w:p>
    <w:p w14:paraId="6179DF3C" w14:textId="77777777" w:rsidR="009939DD" w:rsidRPr="009939DD" w:rsidRDefault="009939DD" w:rsidP="009939DD">
      <w:pPr>
        <w:jc w:val="left"/>
        <w:rPr>
          <w:noProof/>
          <w:lang w:val="fr-CH"/>
        </w:rPr>
      </w:pPr>
    </w:p>
    <w:p w14:paraId="22060A10" w14:textId="19E88841" w:rsidR="009939DD" w:rsidRPr="009939DD" w:rsidRDefault="009939DD" w:rsidP="009B440E">
      <w:pPr>
        <w:jc w:val="left"/>
        <w:rPr>
          <w:noProof/>
          <w:lang w:val="fr-CH"/>
        </w:rPr>
      </w:pPr>
      <w:r w:rsidRPr="009939DD">
        <w:rPr>
          <w:noProof/>
          <w:lang w:val="fr-CH"/>
        </w:rPr>
        <w:t>Actes de la Conférence diplomatique 1991</w:t>
      </w:r>
    </w:p>
    <w:p w14:paraId="2A8C607C" w14:textId="5062B524" w:rsidR="00AA4578" w:rsidRPr="00866DE2" w:rsidRDefault="00AA4578" w:rsidP="009B440E">
      <w:pPr>
        <w:jc w:val="left"/>
        <w:rPr>
          <w:lang w:val="fr-CH"/>
        </w:rPr>
        <w:sectPr w:rsidR="00AA4578" w:rsidRPr="00866DE2" w:rsidSect="0004198B">
          <w:headerReference w:type="first" r:id="rId14"/>
          <w:pgSz w:w="11907" w:h="16840" w:code="9"/>
          <w:pgMar w:top="510" w:right="1134" w:bottom="1134" w:left="1134" w:header="510" w:footer="680" w:gutter="0"/>
          <w:pgNumType w:start="1"/>
          <w:cols w:space="720"/>
          <w:titlePg/>
        </w:sectPr>
      </w:pPr>
    </w:p>
    <w:p w14:paraId="43D7EDDF" w14:textId="77777777" w:rsidR="002E61B1" w:rsidRDefault="002E61B1" w:rsidP="002E61B1">
      <w:pPr>
        <w:jc w:val="left"/>
        <w:rPr>
          <w:b/>
          <w:bCs/>
          <w:lang w:val="fr-CH"/>
        </w:rPr>
      </w:pPr>
      <w:r w:rsidRPr="002E61B1">
        <w:rPr>
          <w:b/>
          <w:bCs/>
          <w:lang w:val="fr-CH"/>
        </w:rPr>
        <w:lastRenderedPageBreak/>
        <w:t xml:space="preserve">Liste provisoire des arrêts pertinents (mise à jour le 10 février 2025) </w:t>
      </w:r>
    </w:p>
    <w:p w14:paraId="7987AB19" w14:textId="77777777" w:rsidR="002E61B1" w:rsidRPr="002E61B1" w:rsidRDefault="002E61B1" w:rsidP="002E61B1">
      <w:pPr>
        <w:jc w:val="left"/>
        <w:rPr>
          <w:b/>
          <w:bCs/>
          <w:lang w:val="fr-CH"/>
        </w:rPr>
      </w:pPr>
    </w:p>
    <w:p w14:paraId="4DCD4D37" w14:textId="633D30AD" w:rsidR="002E61B1" w:rsidRPr="002E61B1" w:rsidRDefault="002E61B1" w:rsidP="002E61B1">
      <w:pPr>
        <w:jc w:val="left"/>
        <w:rPr>
          <w:lang w:val="fr-CH"/>
        </w:rPr>
      </w:pPr>
      <w:bookmarkStart w:id="5" w:name="_Hlk192601264"/>
      <w:r w:rsidRPr="002E61B1">
        <w:rPr>
          <w:lang w:val="fr-CH"/>
        </w:rPr>
        <w:t>1. C</w:t>
      </w:r>
      <w:r>
        <w:rPr>
          <w:lang w:val="fr-CH"/>
        </w:rPr>
        <w:t>J</w:t>
      </w:r>
      <w:r w:rsidRPr="002E61B1">
        <w:rPr>
          <w:lang w:val="fr-CH"/>
        </w:rPr>
        <w:t xml:space="preserve">EU « </w:t>
      </w:r>
      <w:proofErr w:type="spellStart"/>
      <w:r w:rsidRPr="002E61B1">
        <w:rPr>
          <w:lang w:val="fr-CH"/>
        </w:rPr>
        <w:t>Greenstar</w:t>
      </w:r>
      <w:proofErr w:type="spellEnd"/>
      <w:r w:rsidRPr="002E61B1">
        <w:rPr>
          <w:lang w:val="fr-CH"/>
        </w:rPr>
        <w:t xml:space="preserve"> </w:t>
      </w:r>
      <w:proofErr w:type="spellStart"/>
      <w:r w:rsidRPr="002E61B1">
        <w:rPr>
          <w:lang w:val="fr-CH"/>
        </w:rPr>
        <w:t>Kanzi</w:t>
      </w:r>
      <w:proofErr w:type="spellEnd"/>
      <w:r w:rsidRPr="002E61B1">
        <w:rPr>
          <w:lang w:val="fr-CH"/>
        </w:rPr>
        <w:t xml:space="preserve"> » (2011) </w:t>
      </w:r>
    </w:p>
    <w:p w14:paraId="58182294" w14:textId="77777777" w:rsidR="002E61B1" w:rsidRPr="002E61B1" w:rsidRDefault="002E61B1" w:rsidP="002E61B1">
      <w:pPr>
        <w:jc w:val="left"/>
        <w:rPr>
          <w:lang w:val="fr-CH"/>
        </w:rPr>
      </w:pPr>
    </w:p>
    <w:p w14:paraId="30F35B50" w14:textId="22F05A88" w:rsidR="002E61B1" w:rsidRPr="002E61B1" w:rsidRDefault="002E61B1" w:rsidP="002E61B1">
      <w:pPr>
        <w:jc w:val="left"/>
        <w:rPr>
          <w:lang w:val="fr-CH"/>
        </w:rPr>
      </w:pPr>
      <w:r w:rsidRPr="002E61B1">
        <w:rPr>
          <w:lang w:val="fr-CH"/>
        </w:rPr>
        <w:t>2. C</w:t>
      </w:r>
      <w:r>
        <w:rPr>
          <w:lang w:val="fr-CH"/>
        </w:rPr>
        <w:t>J</w:t>
      </w:r>
      <w:r w:rsidRPr="002E61B1">
        <w:rPr>
          <w:lang w:val="fr-CH"/>
        </w:rPr>
        <w:t xml:space="preserve">EU « </w:t>
      </w:r>
      <w:proofErr w:type="spellStart"/>
      <w:r w:rsidRPr="002E61B1">
        <w:rPr>
          <w:lang w:val="fr-CH"/>
        </w:rPr>
        <w:t>Nadorcott</w:t>
      </w:r>
      <w:proofErr w:type="spellEnd"/>
      <w:r w:rsidRPr="002E61B1">
        <w:rPr>
          <w:lang w:val="fr-CH"/>
        </w:rPr>
        <w:t xml:space="preserve"> »</w:t>
      </w:r>
      <w:bookmarkEnd w:id="5"/>
      <w:r w:rsidRPr="002E61B1">
        <w:rPr>
          <w:lang w:val="fr-CH"/>
        </w:rPr>
        <w:t xml:space="preserve"> sur les mandarines (2019) </w:t>
      </w:r>
    </w:p>
    <w:p w14:paraId="0302D3D9" w14:textId="77777777" w:rsidR="002E61B1" w:rsidRPr="002E61B1" w:rsidRDefault="002E61B1" w:rsidP="002E61B1">
      <w:pPr>
        <w:jc w:val="left"/>
        <w:rPr>
          <w:lang w:val="fr-CH"/>
        </w:rPr>
      </w:pPr>
    </w:p>
    <w:p w14:paraId="1E85DFC2" w14:textId="77777777" w:rsidR="002E61B1" w:rsidRPr="002E61B1" w:rsidRDefault="002E61B1" w:rsidP="002E61B1">
      <w:pPr>
        <w:jc w:val="left"/>
        <w:rPr>
          <w:lang w:val="fr-CH"/>
        </w:rPr>
      </w:pPr>
      <w:r w:rsidRPr="002E61B1">
        <w:rPr>
          <w:lang w:val="fr-CH"/>
        </w:rPr>
        <w:t xml:space="preserve">3. Cour suprême fédérale allemande « </w:t>
      </w:r>
      <w:proofErr w:type="spellStart"/>
      <w:r w:rsidRPr="002E61B1">
        <w:rPr>
          <w:lang w:val="fr-CH"/>
        </w:rPr>
        <w:t>Melanie</w:t>
      </w:r>
      <w:proofErr w:type="spellEnd"/>
      <w:r w:rsidRPr="002E61B1">
        <w:rPr>
          <w:lang w:val="fr-CH"/>
        </w:rPr>
        <w:t xml:space="preserve"> » (2006) </w:t>
      </w:r>
    </w:p>
    <w:p w14:paraId="10E5EA9A" w14:textId="77777777" w:rsidR="002E61B1" w:rsidRPr="002E61B1" w:rsidRDefault="002E61B1" w:rsidP="002E61B1">
      <w:pPr>
        <w:jc w:val="left"/>
        <w:rPr>
          <w:lang w:val="fr-CH"/>
        </w:rPr>
      </w:pPr>
    </w:p>
    <w:p w14:paraId="5F65C73F" w14:textId="77777777" w:rsidR="002E61B1" w:rsidRPr="002E61B1" w:rsidRDefault="002E61B1" w:rsidP="002E61B1">
      <w:pPr>
        <w:jc w:val="left"/>
        <w:rPr>
          <w:lang w:val="fr-CH"/>
        </w:rPr>
      </w:pPr>
      <w:r w:rsidRPr="002E61B1">
        <w:rPr>
          <w:lang w:val="fr-CH"/>
        </w:rPr>
        <w:t xml:space="preserve">4. Cour suprême fédérale allemande « </w:t>
      </w:r>
      <w:proofErr w:type="spellStart"/>
      <w:r w:rsidRPr="002E61B1">
        <w:rPr>
          <w:lang w:val="fr-CH"/>
        </w:rPr>
        <w:t>Emtegut</w:t>
      </w:r>
      <w:proofErr w:type="spellEnd"/>
      <w:r w:rsidRPr="002E61B1">
        <w:rPr>
          <w:lang w:val="fr-CH"/>
        </w:rPr>
        <w:t xml:space="preserve"> » (2023) </w:t>
      </w:r>
    </w:p>
    <w:p w14:paraId="5E99A9A8" w14:textId="77777777" w:rsidR="002E61B1" w:rsidRPr="002E61B1" w:rsidRDefault="002E61B1" w:rsidP="002E61B1">
      <w:pPr>
        <w:jc w:val="left"/>
        <w:rPr>
          <w:lang w:val="fr-CH"/>
        </w:rPr>
      </w:pPr>
    </w:p>
    <w:p w14:paraId="480E6FD7" w14:textId="77777777" w:rsidR="002E61B1" w:rsidRPr="002E61B1" w:rsidRDefault="002E61B1" w:rsidP="002E61B1">
      <w:pPr>
        <w:jc w:val="left"/>
        <w:rPr>
          <w:lang w:val="fr-CH"/>
        </w:rPr>
      </w:pPr>
      <w:r w:rsidRPr="002E61B1">
        <w:rPr>
          <w:lang w:val="fr-CH"/>
        </w:rPr>
        <w:t xml:space="preserve">5. Cour fédérale australienne « </w:t>
      </w:r>
      <w:proofErr w:type="spellStart"/>
      <w:r w:rsidRPr="002E61B1">
        <w:rPr>
          <w:lang w:val="fr-CH"/>
        </w:rPr>
        <w:t>Cultivaust</w:t>
      </w:r>
      <w:proofErr w:type="spellEnd"/>
      <w:r w:rsidRPr="002E61B1">
        <w:rPr>
          <w:lang w:val="fr-CH"/>
        </w:rPr>
        <w:t xml:space="preserve"> </w:t>
      </w:r>
      <w:proofErr w:type="spellStart"/>
      <w:r w:rsidRPr="002E61B1">
        <w:rPr>
          <w:lang w:val="fr-CH"/>
        </w:rPr>
        <w:t>Pty</w:t>
      </w:r>
      <w:proofErr w:type="spellEnd"/>
      <w:r w:rsidRPr="002E61B1">
        <w:rPr>
          <w:lang w:val="fr-CH"/>
        </w:rPr>
        <w:t xml:space="preserve"> Ltd v Grain Pool </w:t>
      </w:r>
      <w:proofErr w:type="spellStart"/>
      <w:r w:rsidRPr="002E61B1">
        <w:rPr>
          <w:lang w:val="fr-CH"/>
        </w:rPr>
        <w:t>Pty</w:t>
      </w:r>
      <w:proofErr w:type="spellEnd"/>
      <w:r w:rsidRPr="002E61B1">
        <w:rPr>
          <w:lang w:val="fr-CH"/>
        </w:rPr>
        <w:t xml:space="preserve"> Ltd » (2005) </w:t>
      </w:r>
    </w:p>
    <w:p w14:paraId="26E44F91" w14:textId="77777777" w:rsidR="002E61B1" w:rsidRDefault="002E61B1" w:rsidP="002E61B1">
      <w:pPr>
        <w:jc w:val="left"/>
        <w:rPr>
          <w:lang w:val="fr-CH"/>
        </w:rPr>
      </w:pPr>
    </w:p>
    <w:p w14:paraId="6CE574D4" w14:textId="3A3BE59B" w:rsidR="002E61B1" w:rsidRPr="002E61B1" w:rsidRDefault="002E61B1" w:rsidP="002E61B1">
      <w:pPr>
        <w:jc w:val="left"/>
        <w:rPr>
          <w:lang w:val="fr-CH"/>
        </w:rPr>
      </w:pPr>
      <w:r w:rsidRPr="002E61B1">
        <w:rPr>
          <w:lang w:val="fr-CH"/>
        </w:rPr>
        <w:t xml:space="preserve">6. Cour suprême fédérale allemande « Achat » (1987) </w:t>
      </w:r>
    </w:p>
    <w:p w14:paraId="39BFCE2B" w14:textId="77777777" w:rsidR="002E61B1" w:rsidRPr="002E61B1" w:rsidRDefault="002E61B1" w:rsidP="002E61B1">
      <w:pPr>
        <w:jc w:val="left"/>
        <w:rPr>
          <w:lang w:val="fr-CH"/>
        </w:rPr>
      </w:pPr>
    </w:p>
    <w:p w14:paraId="0E5529DB" w14:textId="77777777" w:rsidR="002E61B1" w:rsidRPr="002E61B1" w:rsidRDefault="002E61B1" w:rsidP="002E61B1">
      <w:pPr>
        <w:jc w:val="left"/>
        <w:rPr>
          <w:lang w:val="fr-CH"/>
        </w:rPr>
      </w:pPr>
      <w:r w:rsidRPr="002E61B1">
        <w:rPr>
          <w:lang w:val="fr-CH"/>
        </w:rPr>
        <w:t xml:space="preserve">7. Cour d'appel de Düsseldorf « </w:t>
      </w:r>
      <w:proofErr w:type="spellStart"/>
      <w:r w:rsidRPr="002E61B1">
        <w:rPr>
          <w:lang w:val="fr-CH"/>
        </w:rPr>
        <w:t>Cilena</w:t>
      </w:r>
      <w:proofErr w:type="spellEnd"/>
      <w:r w:rsidRPr="002E61B1">
        <w:rPr>
          <w:lang w:val="fr-CH"/>
        </w:rPr>
        <w:t xml:space="preserve"> » (1996) </w:t>
      </w:r>
    </w:p>
    <w:p w14:paraId="74336F0D" w14:textId="77777777" w:rsidR="002E61B1" w:rsidRPr="002E61B1" w:rsidRDefault="002E61B1" w:rsidP="002E61B1">
      <w:pPr>
        <w:jc w:val="left"/>
        <w:rPr>
          <w:lang w:val="fr-CH"/>
        </w:rPr>
      </w:pPr>
    </w:p>
    <w:p w14:paraId="74384446" w14:textId="77777777" w:rsidR="002E61B1" w:rsidRPr="002E61B1" w:rsidRDefault="002E61B1" w:rsidP="002E61B1">
      <w:pPr>
        <w:jc w:val="left"/>
        <w:rPr>
          <w:lang w:val="fr-CH"/>
        </w:rPr>
      </w:pPr>
      <w:r w:rsidRPr="002E61B1">
        <w:rPr>
          <w:lang w:val="fr-CH"/>
        </w:rPr>
        <w:t xml:space="preserve">8. Cour régionale de Düsseldorf « </w:t>
      </w:r>
      <w:proofErr w:type="spellStart"/>
      <w:r w:rsidRPr="002E61B1">
        <w:rPr>
          <w:lang w:val="fr-CH"/>
        </w:rPr>
        <w:t>Goldfinger</w:t>
      </w:r>
      <w:proofErr w:type="spellEnd"/>
      <w:r w:rsidRPr="002E61B1">
        <w:rPr>
          <w:lang w:val="fr-CH"/>
        </w:rPr>
        <w:t xml:space="preserve"> » (1998) </w:t>
      </w:r>
    </w:p>
    <w:p w14:paraId="2DA029B1" w14:textId="77777777" w:rsidR="002E61B1" w:rsidRPr="002E61B1" w:rsidRDefault="002E61B1" w:rsidP="002E61B1">
      <w:pPr>
        <w:jc w:val="left"/>
        <w:rPr>
          <w:lang w:val="fr-CH"/>
        </w:rPr>
      </w:pPr>
    </w:p>
    <w:p w14:paraId="746C334E" w14:textId="77777777" w:rsidR="002E61B1" w:rsidRDefault="002E61B1" w:rsidP="002E61B1">
      <w:pPr>
        <w:jc w:val="left"/>
      </w:pPr>
      <w:r>
        <w:t xml:space="preserve">9. </w:t>
      </w:r>
      <w:proofErr w:type="spellStart"/>
      <w:r>
        <w:t>Rechtbank</w:t>
      </w:r>
      <w:proofErr w:type="spellEnd"/>
      <w:r>
        <w:t xml:space="preserve"> Den Haag «  Amaryllis » (2016) </w:t>
      </w:r>
    </w:p>
    <w:p w14:paraId="75F92687" w14:textId="77777777" w:rsidR="002E61B1" w:rsidRDefault="002E61B1" w:rsidP="002E61B1">
      <w:pPr>
        <w:jc w:val="left"/>
      </w:pPr>
    </w:p>
    <w:p w14:paraId="7247F829" w14:textId="1BB16484" w:rsidR="002E61B1" w:rsidRDefault="002E61B1" w:rsidP="002E61B1">
      <w:pPr>
        <w:jc w:val="left"/>
      </w:pPr>
      <w:r>
        <w:t xml:space="preserve">10. Supreme People's Court China/Peking « Pomelo » (2019) </w:t>
      </w:r>
    </w:p>
    <w:p w14:paraId="4E08251F" w14:textId="77777777" w:rsidR="002E61B1" w:rsidRDefault="002E61B1" w:rsidP="002E61B1">
      <w:pPr>
        <w:jc w:val="left"/>
      </w:pPr>
    </w:p>
    <w:p w14:paraId="2984E337" w14:textId="63377771" w:rsidR="002E61B1" w:rsidRPr="002E61B1" w:rsidRDefault="002E61B1" w:rsidP="002E61B1">
      <w:pPr>
        <w:jc w:val="left"/>
        <w:rPr>
          <w:lang w:val="fr-CH"/>
        </w:rPr>
      </w:pPr>
      <w:r w:rsidRPr="002E61B1">
        <w:rPr>
          <w:lang w:val="fr-CH"/>
        </w:rPr>
        <w:t>11. Haute Cour japonaise de la propriété intellectuelle N</w:t>
      </w:r>
      <w:r>
        <w:rPr>
          <w:lang w:val="fr-CH"/>
        </w:rPr>
        <w:t>°</w:t>
      </w:r>
      <w:r w:rsidRPr="002E61B1">
        <w:rPr>
          <w:lang w:val="fr-CH"/>
        </w:rPr>
        <w:t xml:space="preserve"> 10053 de 2018 « </w:t>
      </w:r>
      <w:r>
        <w:rPr>
          <w:lang w:val="fr-CH"/>
        </w:rPr>
        <w:t>J</w:t>
      </w:r>
      <w:r w:rsidRPr="002E61B1">
        <w:rPr>
          <w:lang w:val="fr-CH"/>
        </w:rPr>
        <w:t>MS</w:t>
      </w:r>
      <w:r>
        <w:rPr>
          <w:lang w:val="fr-CH"/>
        </w:rPr>
        <w:t>5</w:t>
      </w:r>
      <w:r w:rsidRPr="002E61B1">
        <w:rPr>
          <w:lang w:val="fr-CH"/>
        </w:rPr>
        <w:t>K - 16 champignons shiitake »</w:t>
      </w:r>
    </w:p>
    <w:p w14:paraId="0CF91589" w14:textId="1067B6C5" w:rsidR="00050E16" w:rsidRPr="002E61B1" w:rsidRDefault="00050E16" w:rsidP="002E61B1">
      <w:pPr>
        <w:jc w:val="left"/>
        <w:rPr>
          <w:lang w:val="fr-CH"/>
        </w:rPr>
      </w:pPr>
    </w:p>
    <w:p w14:paraId="69DBE81F" w14:textId="77777777" w:rsidR="001A29AC" w:rsidRPr="002E61B1" w:rsidRDefault="001A29AC" w:rsidP="009B440E">
      <w:pPr>
        <w:jc w:val="left"/>
        <w:rPr>
          <w:lang w:val="fr-CH"/>
        </w:rPr>
      </w:pPr>
    </w:p>
    <w:p w14:paraId="14653F80" w14:textId="77777777" w:rsidR="001A29AC" w:rsidRPr="002E61B1" w:rsidRDefault="001A29AC" w:rsidP="009B440E">
      <w:pPr>
        <w:jc w:val="left"/>
        <w:rPr>
          <w:lang w:val="fr-CH"/>
        </w:rPr>
      </w:pPr>
    </w:p>
    <w:p w14:paraId="54889440" w14:textId="77777777" w:rsidR="005061F5" w:rsidRPr="00AB458F" w:rsidRDefault="001A29AC" w:rsidP="001A29AC">
      <w:pPr>
        <w:jc w:val="right"/>
        <w:rPr>
          <w:lang w:val="fr-CH"/>
        </w:rPr>
        <w:sectPr w:rsidR="005061F5" w:rsidRPr="00AB458F" w:rsidSect="0004198B">
          <w:headerReference w:type="first" r:id="rId15"/>
          <w:pgSz w:w="11907" w:h="16840" w:code="9"/>
          <w:pgMar w:top="510" w:right="1134" w:bottom="1134" w:left="1134" w:header="510" w:footer="680" w:gutter="0"/>
          <w:pgNumType w:start="1"/>
          <w:cols w:space="720"/>
          <w:titlePg/>
        </w:sectPr>
      </w:pPr>
      <w:r w:rsidRPr="00AB458F">
        <w:rPr>
          <w:lang w:val="fr-CH"/>
        </w:rPr>
        <w:t>[</w:t>
      </w:r>
      <w:r w:rsidR="005061F5" w:rsidRPr="00AB458F">
        <w:rPr>
          <w:lang w:val="fr-CH"/>
        </w:rPr>
        <w:t>L'annexe II suit</w:t>
      </w:r>
      <w:r w:rsidRPr="00AB458F">
        <w:rPr>
          <w:lang w:val="fr-CH"/>
        </w:rPr>
        <w:t>]</w:t>
      </w:r>
    </w:p>
    <w:p w14:paraId="1D853E3A" w14:textId="77777777" w:rsidR="002E61B1" w:rsidRPr="003C7870" w:rsidRDefault="002E61B1" w:rsidP="002E61B1">
      <w:pPr>
        <w:jc w:val="center"/>
        <w:rPr>
          <w:b/>
          <w:bCs/>
          <w:lang w:val="fr-CH"/>
        </w:rPr>
      </w:pPr>
      <w:bookmarkStart w:id="6" w:name="_Hlk172119356"/>
      <w:r w:rsidRPr="003C7870">
        <w:rPr>
          <w:rFonts w:cs="Arial"/>
          <w:lang w:val="fr-CH"/>
        </w:rPr>
        <w:lastRenderedPageBreak/>
        <w:t xml:space="preserve">MANDAT DE </w:t>
      </w:r>
      <w:r w:rsidRPr="003C7870">
        <w:rPr>
          <w:lang w:val="fr-CH"/>
        </w:rPr>
        <w:t>L'ETUDE SUR "L'ETENDUE DU DROIT D'OBTENTEUR" ET LE RAPPORT AVEC "L'EPUISEMENT DU DROIT D'OBTENTEUR"</w:t>
      </w:r>
    </w:p>
    <w:bookmarkEnd w:id="6"/>
    <w:p w14:paraId="1BB10812" w14:textId="77777777" w:rsidR="002E61B1" w:rsidRPr="003C7870" w:rsidRDefault="002E61B1" w:rsidP="002E61B1">
      <w:pPr>
        <w:jc w:val="left"/>
        <w:rPr>
          <w:lang w:val="fr-CH"/>
        </w:rPr>
      </w:pPr>
    </w:p>
    <w:p w14:paraId="718F5B93" w14:textId="77777777" w:rsidR="002E61B1" w:rsidRPr="003C7870" w:rsidRDefault="002E61B1" w:rsidP="002E61B1">
      <w:pPr>
        <w:jc w:val="left"/>
        <w:rPr>
          <w:lang w:val="fr-CH"/>
        </w:rPr>
      </w:pPr>
    </w:p>
    <w:p w14:paraId="23B909B8" w14:textId="77777777" w:rsidR="002E61B1" w:rsidRDefault="002E61B1" w:rsidP="002E61B1">
      <w:pPr>
        <w:pStyle w:val="Heading1"/>
      </w:pPr>
      <w:r>
        <w:t>CHAMP D'APPLICATION :</w:t>
      </w:r>
    </w:p>
    <w:p w14:paraId="0CB6A04E" w14:textId="77777777" w:rsidR="002E61B1" w:rsidRDefault="002E61B1" w:rsidP="002E61B1">
      <w:pPr>
        <w:jc w:val="left"/>
      </w:pPr>
    </w:p>
    <w:p w14:paraId="55307640" w14:textId="77777777" w:rsidR="002E61B1" w:rsidRDefault="002E61B1" w:rsidP="002E61B1">
      <w:pPr>
        <w:widowControl w:val="0"/>
        <w:tabs>
          <w:tab w:val="left" w:pos="762"/>
        </w:tabs>
        <w:autoSpaceDE w:val="0"/>
        <w:autoSpaceDN w:val="0"/>
        <w:rPr>
          <w:color w:val="262626"/>
        </w:rPr>
      </w:pPr>
      <w:proofErr w:type="spellStart"/>
      <w:r w:rsidRPr="003338C4">
        <w:rPr>
          <w:color w:val="262626"/>
        </w:rPr>
        <w:t>L</w:t>
      </w:r>
      <w:r>
        <w:rPr>
          <w:color w:val="262626"/>
        </w:rPr>
        <w:t>'</w:t>
      </w:r>
      <w:r w:rsidRPr="003338C4">
        <w:rPr>
          <w:color w:val="262626"/>
        </w:rPr>
        <w:t>étude</w:t>
      </w:r>
      <w:proofErr w:type="spellEnd"/>
      <w:r w:rsidRPr="003338C4">
        <w:rPr>
          <w:color w:val="262626"/>
        </w:rPr>
        <w:t xml:space="preserve"> doit </w:t>
      </w:r>
      <w:proofErr w:type="spellStart"/>
      <w:r w:rsidRPr="003338C4">
        <w:rPr>
          <w:color w:val="262626"/>
        </w:rPr>
        <w:t>inclure</w:t>
      </w:r>
      <w:proofErr w:type="spellEnd"/>
    </w:p>
    <w:p w14:paraId="3F354BA5" w14:textId="77777777" w:rsidR="002E61B1" w:rsidRPr="003338C4" w:rsidRDefault="002E61B1" w:rsidP="002E61B1">
      <w:pPr>
        <w:widowControl w:val="0"/>
        <w:tabs>
          <w:tab w:val="left" w:pos="762"/>
        </w:tabs>
        <w:autoSpaceDE w:val="0"/>
        <w:autoSpaceDN w:val="0"/>
        <w:rPr>
          <w:color w:val="262626"/>
        </w:rPr>
      </w:pPr>
    </w:p>
    <w:p w14:paraId="7AA3BCF9" w14:textId="77777777" w:rsidR="002E61B1" w:rsidRPr="003C7870" w:rsidRDefault="002E61B1" w:rsidP="002E61B1">
      <w:pPr>
        <w:pStyle w:val="ListParagraph"/>
        <w:widowControl w:val="0"/>
        <w:numPr>
          <w:ilvl w:val="0"/>
          <w:numId w:val="7"/>
        </w:numPr>
        <w:tabs>
          <w:tab w:val="left" w:pos="762"/>
        </w:tabs>
        <w:autoSpaceDE w:val="0"/>
        <w:autoSpaceDN w:val="0"/>
        <w:rPr>
          <w:color w:val="262626"/>
          <w:lang w:val="fr-CH"/>
        </w:rPr>
      </w:pPr>
      <w:r w:rsidRPr="003C7870">
        <w:rPr>
          <w:color w:val="262626"/>
          <w:lang w:val="fr-CH"/>
        </w:rPr>
        <w:t xml:space="preserve">une </w:t>
      </w:r>
      <w:r w:rsidRPr="003C7870">
        <w:rPr>
          <w:color w:val="262626"/>
          <w:u w:val="single"/>
          <w:lang w:val="fr-CH"/>
        </w:rPr>
        <w:t xml:space="preserve">première partie </w:t>
      </w:r>
      <w:r w:rsidRPr="003C7870">
        <w:rPr>
          <w:color w:val="262626"/>
          <w:lang w:val="fr-CH"/>
        </w:rPr>
        <w:t xml:space="preserve">contenant une analyse des </w:t>
      </w:r>
      <w:r w:rsidRPr="003C7870">
        <w:rPr>
          <w:color w:val="161616"/>
          <w:lang w:val="fr-CH"/>
        </w:rPr>
        <w:t xml:space="preserve">intentions </w:t>
      </w:r>
      <w:r w:rsidRPr="003C7870">
        <w:rPr>
          <w:color w:val="262626"/>
          <w:lang w:val="fr-CH"/>
        </w:rPr>
        <w:t>des rédacteurs de l'</w:t>
      </w:r>
      <w:r w:rsidRPr="003C7870">
        <w:rPr>
          <w:color w:val="161616"/>
          <w:lang w:val="fr-CH"/>
        </w:rPr>
        <w:t xml:space="preserve">Acte de 1991 de la Convention UPOV </w:t>
      </w:r>
      <w:r w:rsidRPr="003C7870">
        <w:rPr>
          <w:color w:val="262626"/>
          <w:lang w:val="fr-CH"/>
        </w:rPr>
        <w:t>en ce qui concerne l'"Étendue du droit d'obtenteur" à l'article 14.1) et 2) de l'Acte de 1991, y compris les notions d'"utilisation non autorisée" et d'"opportunité raisonnable" et la relation avec l'"Épuisement du droit d'obtenteur" à l'article 16 de l'Acte de 1991 ; et</w:t>
      </w:r>
    </w:p>
    <w:p w14:paraId="769599F5" w14:textId="77777777" w:rsidR="002E61B1" w:rsidRPr="003C7870" w:rsidRDefault="002E61B1" w:rsidP="002E61B1">
      <w:pPr>
        <w:pStyle w:val="ListParagraph"/>
        <w:widowControl w:val="0"/>
        <w:tabs>
          <w:tab w:val="left" w:pos="762"/>
        </w:tabs>
        <w:autoSpaceDE w:val="0"/>
        <w:autoSpaceDN w:val="0"/>
        <w:rPr>
          <w:color w:val="262626"/>
          <w:lang w:val="fr-CH"/>
        </w:rPr>
      </w:pPr>
    </w:p>
    <w:p w14:paraId="644055CC" w14:textId="77777777" w:rsidR="002E61B1" w:rsidRPr="003C7870" w:rsidRDefault="002E61B1" w:rsidP="002E61B1">
      <w:pPr>
        <w:pStyle w:val="ListParagraph"/>
        <w:widowControl w:val="0"/>
        <w:numPr>
          <w:ilvl w:val="0"/>
          <w:numId w:val="7"/>
        </w:numPr>
        <w:tabs>
          <w:tab w:val="left" w:pos="762"/>
        </w:tabs>
        <w:autoSpaceDE w:val="0"/>
        <w:autoSpaceDN w:val="0"/>
        <w:rPr>
          <w:color w:val="343434"/>
          <w:lang w:val="fr-CH"/>
        </w:rPr>
      </w:pPr>
      <w:r w:rsidRPr="003C7870">
        <w:rPr>
          <w:color w:val="262626"/>
          <w:lang w:val="fr-CH"/>
        </w:rPr>
        <w:t xml:space="preserve">une </w:t>
      </w:r>
      <w:r w:rsidRPr="003C7870">
        <w:rPr>
          <w:color w:val="343434"/>
          <w:u w:val="single"/>
          <w:lang w:val="fr-CH"/>
        </w:rPr>
        <w:t xml:space="preserve">deuxième </w:t>
      </w:r>
      <w:r w:rsidRPr="003C7870">
        <w:rPr>
          <w:color w:val="262626"/>
          <w:u w:val="single"/>
          <w:lang w:val="fr-CH"/>
        </w:rPr>
        <w:t xml:space="preserve">partie </w:t>
      </w:r>
      <w:r w:rsidRPr="003C7870">
        <w:rPr>
          <w:color w:val="262626"/>
          <w:lang w:val="fr-CH"/>
        </w:rPr>
        <w:t xml:space="preserve">contenant des </w:t>
      </w:r>
      <w:r w:rsidRPr="003C7870">
        <w:rPr>
          <w:color w:val="161616"/>
          <w:lang w:val="fr-CH"/>
        </w:rPr>
        <w:t xml:space="preserve">résumés </w:t>
      </w:r>
      <w:r w:rsidRPr="003C7870">
        <w:rPr>
          <w:color w:val="343434"/>
          <w:lang w:val="fr-CH"/>
        </w:rPr>
        <w:t xml:space="preserve">des décisions </w:t>
      </w:r>
      <w:r w:rsidRPr="003C7870">
        <w:rPr>
          <w:color w:val="262626"/>
          <w:lang w:val="fr-CH"/>
        </w:rPr>
        <w:t xml:space="preserve">judiciaires pertinentes </w:t>
      </w:r>
      <w:r w:rsidRPr="003C7870">
        <w:rPr>
          <w:color w:val="343434"/>
          <w:lang w:val="fr-CH"/>
        </w:rPr>
        <w:t>des membres de l'UPOV liés par l'Acte de 1991.</w:t>
      </w:r>
    </w:p>
    <w:p w14:paraId="13284E73" w14:textId="77777777" w:rsidR="002E61B1" w:rsidRPr="003C7870" w:rsidRDefault="002E61B1" w:rsidP="002E61B1">
      <w:pPr>
        <w:widowControl w:val="0"/>
        <w:tabs>
          <w:tab w:val="left" w:pos="762"/>
        </w:tabs>
        <w:autoSpaceDE w:val="0"/>
        <w:autoSpaceDN w:val="0"/>
        <w:rPr>
          <w:color w:val="262626"/>
          <w:lang w:val="fr-CH"/>
        </w:rPr>
      </w:pPr>
    </w:p>
    <w:p w14:paraId="0C56555E" w14:textId="77777777" w:rsidR="002E61B1" w:rsidRPr="003C7870" w:rsidRDefault="002E61B1" w:rsidP="002E61B1">
      <w:pPr>
        <w:widowControl w:val="0"/>
        <w:tabs>
          <w:tab w:val="left" w:pos="762"/>
        </w:tabs>
        <w:autoSpaceDE w:val="0"/>
        <w:autoSpaceDN w:val="0"/>
        <w:rPr>
          <w:color w:val="262626"/>
          <w:lang w:val="fr-CH"/>
        </w:rPr>
      </w:pPr>
    </w:p>
    <w:p w14:paraId="6715A47A" w14:textId="77777777" w:rsidR="002E61B1" w:rsidRPr="003C7870" w:rsidRDefault="002E61B1" w:rsidP="002E61B1">
      <w:pPr>
        <w:pStyle w:val="Heading1"/>
        <w:rPr>
          <w:lang w:val="fr-CH"/>
        </w:rPr>
      </w:pPr>
      <w:bookmarkStart w:id="7" w:name="_Toc172119299"/>
      <w:bookmarkStart w:id="8" w:name="_Toc172119336"/>
      <w:r w:rsidRPr="003C7870">
        <w:rPr>
          <w:lang w:val="fr-CH"/>
        </w:rPr>
        <w:t>COMPOSITION :</w:t>
      </w:r>
      <w:bookmarkEnd w:id="7"/>
      <w:bookmarkEnd w:id="8"/>
    </w:p>
    <w:p w14:paraId="4453D867" w14:textId="77777777" w:rsidR="002E61B1" w:rsidRPr="003C7870" w:rsidRDefault="002E61B1" w:rsidP="002E61B1">
      <w:pPr>
        <w:widowControl w:val="0"/>
        <w:tabs>
          <w:tab w:val="left" w:pos="762"/>
        </w:tabs>
        <w:autoSpaceDE w:val="0"/>
        <w:autoSpaceDN w:val="0"/>
        <w:ind w:right="113"/>
        <w:rPr>
          <w:color w:val="262626"/>
          <w:lang w:val="fr-CH"/>
        </w:rPr>
      </w:pPr>
    </w:p>
    <w:p w14:paraId="5FA1B976" w14:textId="77777777" w:rsidR="002E61B1" w:rsidRPr="003C7870" w:rsidRDefault="002E61B1" w:rsidP="002E61B1">
      <w:pPr>
        <w:rPr>
          <w:lang w:val="fr-CH"/>
        </w:rPr>
      </w:pPr>
      <w:r w:rsidRPr="003C7870">
        <w:rPr>
          <w:lang w:val="fr-CH"/>
        </w:rPr>
        <w:t>L'étude doit être réalisée par les cinq auteurs mentionnés ci-dessous. Les auteurs doivent se mettre d'accord sur l'un d'entre eux pour coordonner leur travail.</w:t>
      </w:r>
    </w:p>
    <w:p w14:paraId="5A54E019" w14:textId="77777777" w:rsidR="002E61B1" w:rsidRPr="003C7870" w:rsidRDefault="002E61B1" w:rsidP="002E61B1">
      <w:pPr>
        <w:rPr>
          <w:lang w:val="fr-CH"/>
        </w:rPr>
      </w:pPr>
    </w:p>
    <w:p w14:paraId="0525FF12" w14:textId="77777777" w:rsidR="002E61B1" w:rsidRPr="003C7870" w:rsidRDefault="002E61B1" w:rsidP="002E61B1">
      <w:pPr>
        <w:rPr>
          <w:lang w:val="fr-CH"/>
        </w:rPr>
      </w:pPr>
      <w:r w:rsidRPr="003C7870">
        <w:rPr>
          <w:lang w:val="fr-CH"/>
        </w:rPr>
        <w:t xml:space="preserve">La langue de travail des auteurs doit être l'anglais et l'étude doit être rédigée en anglais. </w:t>
      </w:r>
    </w:p>
    <w:p w14:paraId="1DB6FCCE" w14:textId="77777777" w:rsidR="002E61B1" w:rsidRPr="003C7870" w:rsidRDefault="002E61B1" w:rsidP="002E61B1">
      <w:pPr>
        <w:jc w:val="left"/>
        <w:rPr>
          <w:spacing w:val="-2"/>
          <w:lang w:val="fr-CH"/>
        </w:rPr>
      </w:pPr>
    </w:p>
    <w:tbl>
      <w:tblPr>
        <w:tblStyle w:val="TableGrid"/>
        <w:tblW w:w="3145" w:type="dxa"/>
        <w:jc w:val="center"/>
        <w:tblInd w:w="0" w:type="dxa"/>
        <w:tblLook w:val="04A0" w:firstRow="1" w:lastRow="0" w:firstColumn="1" w:lastColumn="0" w:noHBand="0" w:noVBand="1"/>
      </w:tblPr>
      <w:tblGrid>
        <w:gridCol w:w="3145"/>
      </w:tblGrid>
      <w:tr w:rsidR="002E61B1" w:rsidRPr="00E02B4F" w14:paraId="635928D6" w14:textId="77777777" w:rsidTr="00522FBF">
        <w:trPr>
          <w:jc w:val="center"/>
        </w:trPr>
        <w:tc>
          <w:tcPr>
            <w:tcW w:w="3145" w:type="dxa"/>
            <w:tcBorders>
              <w:top w:val="single" w:sz="4" w:space="0" w:color="auto"/>
              <w:left w:val="single" w:sz="4" w:space="0" w:color="auto"/>
              <w:bottom w:val="single" w:sz="4" w:space="0" w:color="auto"/>
              <w:right w:val="single" w:sz="4" w:space="0" w:color="auto"/>
            </w:tcBorders>
            <w:hideMark/>
          </w:tcPr>
          <w:p w14:paraId="100D2535" w14:textId="77777777" w:rsidR="002E61B1" w:rsidRDefault="002E61B1" w:rsidP="00522FBF">
            <w:pPr>
              <w:jc w:val="left"/>
              <w:rPr>
                <w:b/>
                <w:bCs/>
                <w:spacing w:val="-2"/>
              </w:rPr>
            </w:pPr>
            <w:r w:rsidRPr="00073978">
              <w:rPr>
                <w:b/>
                <w:bCs/>
                <w:spacing w:val="-2"/>
              </w:rPr>
              <w:t>Experts (</w:t>
            </w:r>
            <w:proofErr w:type="spellStart"/>
            <w:r w:rsidRPr="00073978">
              <w:rPr>
                <w:b/>
                <w:bCs/>
                <w:spacing w:val="-2"/>
              </w:rPr>
              <w:t>ordre</w:t>
            </w:r>
            <w:proofErr w:type="spellEnd"/>
            <w:r w:rsidRPr="00073978">
              <w:rPr>
                <w:b/>
                <w:bCs/>
                <w:spacing w:val="-2"/>
              </w:rPr>
              <w:t xml:space="preserve"> </w:t>
            </w:r>
            <w:proofErr w:type="spellStart"/>
            <w:r w:rsidRPr="00073978">
              <w:rPr>
                <w:b/>
                <w:bCs/>
                <w:spacing w:val="-2"/>
              </w:rPr>
              <w:t>alphabétique</w:t>
            </w:r>
            <w:proofErr w:type="spellEnd"/>
            <w:r w:rsidRPr="00073978">
              <w:rPr>
                <w:b/>
                <w:bCs/>
                <w:spacing w:val="-2"/>
              </w:rPr>
              <w:t>)</w:t>
            </w:r>
          </w:p>
        </w:tc>
      </w:tr>
      <w:tr w:rsidR="002E61B1" w:rsidRPr="00E02B4F" w14:paraId="517A25D1" w14:textId="77777777" w:rsidTr="00522FBF">
        <w:trPr>
          <w:jc w:val="center"/>
        </w:trPr>
        <w:tc>
          <w:tcPr>
            <w:tcW w:w="3145" w:type="dxa"/>
            <w:tcBorders>
              <w:top w:val="single" w:sz="4" w:space="0" w:color="auto"/>
              <w:left w:val="single" w:sz="4" w:space="0" w:color="auto"/>
              <w:bottom w:val="single" w:sz="4" w:space="0" w:color="auto"/>
              <w:right w:val="single" w:sz="4" w:space="0" w:color="auto"/>
            </w:tcBorders>
          </w:tcPr>
          <w:p w14:paraId="6E8077A0" w14:textId="77777777" w:rsidR="002E61B1" w:rsidRDefault="002E61B1" w:rsidP="00522FBF">
            <w:pPr>
              <w:jc w:val="left"/>
              <w:rPr>
                <w:spacing w:val="-2"/>
              </w:rPr>
            </w:pPr>
            <w:r w:rsidRPr="00073E6C">
              <w:rPr>
                <w:spacing w:val="-2"/>
              </w:rPr>
              <w:t>M</w:t>
            </w:r>
            <w:r>
              <w:rPr>
                <w:spacing w:val="-2"/>
              </w:rPr>
              <w:t xml:space="preserve">. </w:t>
            </w:r>
            <w:r w:rsidRPr="00073E6C">
              <w:rPr>
                <w:spacing w:val="-2"/>
              </w:rPr>
              <w:t>Huib Ghijsen</w:t>
            </w:r>
          </w:p>
        </w:tc>
      </w:tr>
      <w:tr w:rsidR="002E61B1" w:rsidRPr="00E02B4F" w14:paraId="4AE3D076" w14:textId="77777777" w:rsidTr="00522FBF">
        <w:trPr>
          <w:jc w:val="center"/>
        </w:trPr>
        <w:tc>
          <w:tcPr>
            <w:tcW w:w="3145" w:type="dxa"/>
            <w:tcBorders>
              <w:top w:val="single" w:sz="4" w:space="0" w:color="auto"/>
              <w:left w:val="single" w:sz="4" w:space="0" w:color="auto"/>
              <w:bottom w:val="single" w:sz="4" w:space="0" w:color="auto"/>
              <w:right w:val="single" w:sz="4" w:space="0" w:color="auto"/>
            </w:tcBorders>
          </w:tcPr>
          <w:p w14:paraId="5609A3F5" w14:textId="77777777" w:rsidR="002E61B1" w:rsidRDefault="002E61B1" w:rsidP="00522FBF">
            <w:pPr>
              <w:jc w:val="left"/>
              <w:rPr>
                <w:spacing w:val="-2"/>
              </w:rPr>
            </w:pPr>
            <w:proofErr w:type="spellStart"/>
            <w:r w:rsidRPr="00073E6C">
              <w:rPr>
                <w:spacing w:val="-2"/>
                <w:lang w:val="es-ES_tradnl"/>
              </w:rPr>
              <w:t>Mme</w:t>
            </w:r>
            <w:proofErr w:type="spellEnd"/>
            <w:r w:rsidRPr="00073E6C">
              <w:rPr>
                <w:spacing w:val="-2"/>
                <w:lang w:val="es-ES_tradnl"/>
              </w:rPr>
              <w:t xml:space="preserve"> </w:t>
            </w:r>
            <w:proofErr w:type="spellStart"/>
            <w:r w:rsidRPr="00073E6C">
              <w:rPr>
                <w:spacing w:val="-2"/>
                <w:lang w:val="es-ES_tradnl"/>
              </w:rPr>
              <w:t>Vivianne</w:t>
            </w:r>
            <w:proofErr w:type="spellEnd"/>
            <w:r w:rsidRPr="00073E6C">
              <w:rPr>
                <w:spacing w:val="-2"/>
                <w:lang w:val="es-ES_tradnl"/>
              </w:rPr>
              <w:t xml:space="preserve"> Kunisawa</w:t>
            </w:r>
          </w:p>
        </w:tc>
      </w:tr>
      <w:tr w:rsidR="002E61B1" w:rsidRPr="00E02B4F" w14:paraId="29007EE5" w14:textId="77777777" w:rsidTr="00522FBF">
        <w:trPr>
          <w:jc w:val="center"/>
        </w:trPr>
        <w:tc>
          <w:tcPr>
            <w:tcW w:w="3145" w:type="dxa"/>
            <w:tcBorders>
              <w:top w:val="single" w:sz="4" w:space="0" w:color="auto"/>
              <w:left w:val="single" w:sz="4" w:space="0" w:color="auto"/>
              <w:bottom w:val="single" w:sz="4" w:space="0" w:color="auto"/>
              <w:right w:val="single" w:sz="4" w:space="0" w:color="auto"/>
            </w:tcBorders>
            <w:hideMark/>
          </w:tcPr>
          <w:p w14:paraId="20C10C45" w14:textId="77777777" w:rsidR="002E61B1" w:rsidRDefault="002E61B1" w:rsidP="00522FBF">
            <w:pPr>
              <w:jc w:val="left"/>
              <w:rPr>
                <w:spacing w:val="-2"/>
              </w:rPr>
            </w:pPr>
            <w:r w:rsidRPr="00073E6C">
              <w:rPr>
                <w:spacing w:val="-2"/>
              </w:rPr>
              <w:t>M</w:t>
            </w:r>
            <w:r>
              <w:rPr>
                <w:spacing w:val="-2"/>
              </w:rPr>
              <w:t xml:space="preserve">. </w:t>
            </w:r>
            <w:r w:rsidRPr="00073E6C">
              <w:rPr>
                <w:spacing w:val="-2"/>
              </w:rPr>
              <w:t>Charles Lawson</w:t>
            </w:r>
          </w:p>
        </w:tc>
      </w:tr>
      <w:tr w:rsidR="002E61B1" w:rsidRPr="00E02B4F" w14:paraId="0AF31D7B" w14:textId="77777777" w:rsidTr="00522FBF">
        <w:trPr>
          <w:jc w:val="center"/>
        </w:trPr>
        <w:tc>
          <w:tcPr>
            <w:tcW w:w="3145" w:type="dxa"/>
            <w:tcBorders>
              <w:top w:val="single" w:sz="4" w:space="0" w:color="auto"/>
              <w:left w:val="single" w:sz="4" w:space="0" w:color="auto"/>
              <w:bottom w:val="single" w:sz="4" w:space="0" w:color="auto"/>
              <w:right w:val="single" w:sz="4" w:space="0" w:color="auto"/>
            </w:tcBorders>
          </w:tcPr>
          <w:p w14:paraId="1310EA24" w14:textId="77777777" w:rsidR="002E61B1" w:rsidRDefault="002E61B1" w:rsidP="00522FBF">
            <w:pPr>
              <w:jc w:val="left"/>
              <w:rPr>
                <w:spacing w:val="-2"/>
              </w:rPr>
            </w:pPr>
            <w:r w:rsidRPr="00073E6C">
              <w:rPr>
                <w:spacing w:val="-2"/>
              </w:rPr>
              <w:t>M</w:t>
            </w:r>
            <w:r>
              <w:rPr>
                <w:spacing w:val="-2"/>
              </w:rPr>
              <w:t xml:space="preserve">. </w:t>
            </w:r>
            <w:r w:rsidRPr="00073E6C">
              <w:rPr>
                <w:spacing w:val="-2"/>
              </w:rPr>
              <w:t>Axel Metzger</w:t>
            </w:r>
          </w:p>
        </w:tc>
      </w:tr>
      <w:tr w:rsidR="002E61B1" w:rsidRPr="00E02B4F" w14:paraId="4BFB5E1A" w14:textId="77777777" w:rsidTr="00522FBF">
        <w:trPr>
          <w:jc w:val="center"/>
        </w:trPr>
        <w:tc>
          <w:tcPr>
            <w:tcW w:w="3145" w:type="dxa"/>
            <w:tcBorders>
              <w:top w:val="single" w:sz="4" w:space="0" w:color="auto"/>
              <w:left w:val="single" w:sz="4" w:space="0" w:color="auto"/>
              <w:bottom w:val="single" w:sz="4" w:space="0" w:color="auto"/>
              <w:right w:val="single" w:sz="4" w:space="0" w:color="auto"/>
            </w:tcBorders>
            <w:hideMark/>
          </w:tcPr>
          <w:p w14:paraId="2BBEA637" w14:textId="77777777" w:rsidR="002E61B1" w:rsidRDefault="002E61B1" w:rsidP="00522FBF">
            <w:pPr>
              <w:jc w:val="left"/>
              <w:rPr>
                <w:spacing w:val="-2"/>
                <w:lang w:val="es-ES_tradnl"/>
              </w:rPr>
            </w:pPr>
            <w:r>
              <w:rPr>
                <w:spacing w:val="-2"/>
              </w:rPr>
              <w:t xml:space="preserve">Monsieur </w:t>
            </w:r>
            <w:r w:rsidRPr="00073E6C">
              <w:rPr>
                <w:spacing w:val="-2"/>
              </w:rPr>
              <w:t>Joseph Straus</w:t>
            </w:r>
          </w:p>
        </w:tc>
      </w:tr>
    </w:tbl>
    <w:p w14:paraId="0555E849" w14:textId="77777777" w:rsidR="002E61B1" w:rsidRDefault="002E61B1" w:rsidP="002E61B1">
      <w:pPr>
        <w:widowControl w:val="0"/>
        <w:tabs>
          <w:tab w:val="left" w:pos="762"/>
        </w:tabs>
        <w:autoSpaceDE w:val="0"/>
        <w:autoSpaceDN w:val="0"/>
        <w:jc w:val="left"/>
        <w:rPr>
          <w:color w:val="262626"/>
        </w:rPr>
      </w:pPr>
    </w:p>
    <w:p w14:paraId="4BBCEE05" w14:textId="77777777" w:rsidR="002E61B1" w:rsidRDefault="002E61B1" w:rsidP="002E61B1">
      <w:pPr>
        <w:rPr>
          <w:color w:val="262626"/>
        </w:rPr>
      </w:pPr>
    </w:p>
    <w:p w14:paraId="2A0403D2" w14:textId="77777777" w:rsidR="002E61B1" w:rsidRDefault="002E61B1" w:rsidP="002E61B1">
      <w:pPr>
        <w:widowControl w:val="0"/>
        <w:tabs>
          <w:tab w:val="left" w:pos="762"/>
        </w:tabs>
        <w:autoSpaceDE w:val="0"/>
        <w:autoSpaceDN w:val="0"/>
        <w:rPr>
          <w:caps/>
        </w:rPr>
      </w:pPr>
      <w:r w:rsidRPr="007F0F7A">
        <w:rPr>
          <w:caps/>
        </w:rPr>
        <w:t>MODUS OPERANDI :</w:t>
      </w:r>
    </w:p>
    <w:p w14:paraId="77134622" w14:textId="77777777" w:rsidR="002E61B1" w:rsidRDefault="002E61B1" w:rsidP="002E61B1">
      <w:pPr>
        <w:widowControl w:val="0"/>
        <w:tabs>
          <w:tab w:val="left" w:pos="762"/>
        </w:tabs>
        <w:autoSpaceDE w:val="0"/>
        <w:autoSpaceDN w:val="0"/>
        <w:rPr>
          <w:color w:val="262626"/>
        </w:rPr>
      </w:pPr>
    </w:p>
    <w:p w14:paraId="3976850E" w14:textId="77777777" w:rsidR="002E61B1" w:rsidRDefault="002E61B1" w:rsidP="002E61B1">
      <w:pPr>
        <w:pStyle w:val="Heading2"/>
      </w:pPr>
      <w:bookmarkStart w:id="9" w:name="_Toc172119300"/>
      <w:bookmarkStart w:id="10" w:name="_Toc172119337"/>
      <w:proofErr w:type="spellStart"/>
      <w:r w:rsidRPr="007F0F7A">
        <w:t>Indépendance</w:t>
      </w:r>
      <w:proofErr w:type="spellEnd"/>
      <w:r w:rsidRPr="007F0F7A">
        <w:t xml:space="preserve"> : </w:t>
      </w:r>
      <w:bookmarkEnd w:id="9"/>
      <w:bookmarkEnd w:id="10"/>
    </w:p>
    <w:p w14:paraId="12DB49EC" w14:textId="77777777" w:rsidR="002E61B1" w:rsidRPr="003338C4" w:rsidRDefault="002E61B1" w:rsidP="002E61B1"/>
    <w:p w14:paraId="01AFA26D" w14:textId="77777777" w:rsidR="002E61B1" w:rsidRPr="003C7870" w:rsidRDefault="002E61B1" w:rsidP="002E61B1">
      <w:pPr>
        <w:widowControl w:val="0"/>
        <w:tabs>
          <w:tab w:val="left" w:pos="762"/>
        </w:tabs>
        <w:autoSpaceDE w:val="0"/>
        <w:autoSpaceDN w:val="0"/>
        <w:rPr>
          <w:lang w:val="fr-CH"/>
        </w:rPr>
      </w:pPr>
      <w:r w:rsidRPr="003C7870">
        <w:rPr>
          <w:color w:val="262626"/>
          <w:lang w:val="fr-CH"/>
        </w:rPr>
        <w:t xml:space="preserve">Les auteurs sont indépendants dans la rédaction de l'étude, </w:t>
      </w:r>
      <w:r w:rsidRPr="003C7870">
        <w:rPr>
          <w:lang w:val="fr-CH"/>
        </w:rPr>
        <w:t xml:space="preserve">en ce sens qu'ils ne doivent recevoir d'instructions individuelles de personne et qu'ils doivent être impartiaux et objectifs. </w:t>
      </w:r>
    </w:p>
    <w:p w14:paraId="49F6F235" w14:textId="77777777" w:rsidR="002E61B1" w:rsidRPr="003C7870" w:rsidRDefault="002E61B1" w:rsidP="002E61B1">
      <w:pPr>
        <w:widowControl w:val="0"/>
        <w:tabs>
          <w:tab w:val="left" w:pos="762"/>
        </w:tabs>
        <w:autoSpaceDE w:val="0"/>
        <w:autoSpaceDN w:val="0"/>
        <w:rPr>
          <w:lang w:val="fr-CH"/>
        </w:rPr>
      </w:pPr>
    </w:p>
    <w:p w14:paraId="21B6C774" w14:textId="77777777" w:rsidR="002E61B1" w:rsidRPr="003C7870" w:rsidRDefault="002E61B1" w:rsidP="002E61B1">
      <w:pPr>
        <w:widowControl w:val="0"/>
        <w:tabs>
          <w:tab w:val="left" w:pos="762"/>
        </w:tabs>
        <w:autoSpaceDE w:val="0"/>
        <w:autoSpaceDN w:val="0"/>
        <w:rPr>
          <w:color w:val="262626"/>
          <w:lang w:val="fr-CH"/>
        </w:rPr>
      </w:pPr>
      <w:r w:rsidRPr="003C7870">
        <w:rPr>
          <w:lang w:val="fr-CH"/>
        </w:rPr>
        <w:t>Les cinq auteurs doivent rédiger une seule étude et suivre une méthode de travail collaborative conforme aux normes académiques. Dans le respect de ces normes, les auteurs doivent gérer les éventuelles différences de points de vue ou d'analyse et, le cas échéant, la manière dont ces questions doivent être prises en compte dans l'étude.</w:t>
      </w:r>
    </w:p>
    <w:p w14:paraId="7C0E82B5" w14:textId="77777777" w:rsidR="002E61B1" w:rsidRPr="003C7870" w:rsidRDefault="002E61B1" w:rsidP="002E61B1">
      <w:pPr>
        <w:widowControl w:val="0"/>
        <w:tabs>
          <w:tab w:val="left" w:pos="762"/>
        </w:tabs>
        <w:autoSpaceDE w:val="0"/>
        <w:autoSpaceDN w:val="0"/>
        <w:rPr>
          <w:color w:val="262626"/>
          <w:lang w:val="fr-CH"/>
        </w:rPr>
      </w:pPr>
    </w:p>
    <w:p w14:paraId="53B9443A" w14:textId="77777777" w:rsidR="002E61B1" w:rsidRPr="003C7870" w:rsidRDefault="002E61B1" w:rsidP="002E61B1">
      <w:pPr>
        <w:widowControl w:val="0"/>
        <w:tabs>
          <w:tab w:val="left" w:pos="762"/>
        </w:tabs>
        <w:autoSpaceDE w:val="0"/>
        <w:autoSpaceDN w:val="0"/>
        <w:rPr>
          <w:color w:val="262626"/>
          <w:lang w:val="fr-CH"/>
        </w:rPr>
      </w:pPr>
      <w:r w:rsidRPr="003C7870">
        <w:rPr>
          <w:color w:val="262626"/>
          <w:lang w:val="fr-CH"/>
        </w:rPr>
        <w:t xml:space="preserve">Après avoir reçu l'étude, il appartient au WG-HRV d'envisager un éventuel suivi et de demander des orientations supplémentaires au CAJ, le cas échéant. </w:t>
      </w:r>
    </w:p>
    <w:p w14:paraId="057B4342" w14:textId="77777777" w:rsidR="002E61B1" w:rsidRPr="003C7870" w:rsidRDefault="002E61B1" w:rsidP="002E61B1">
      <w:pPr>
        <w:widowControl w:val="0"/>
        <w:tabs>
          <w:tab w:val="left" w:pos="762"/>
        </w:tabs>
        <w:autoSpaceDE w:val="0"/>
        <w:autoSpaceDN w:val="0"/>
        <w:rPr>
          <w:color w:val="262626"/>
          <w:lang w:val="fr-CH"/>
        </w:rPr>
      </w:pPr>
    </w:p>
    <w:p w14:paraId="64CFFAD0" w14:textId="77777777" w:rsidR="002E61B1" w:rsidRPr="003C7870" w:rsidRDefault="002E61B1" w:rsidP="002E61B1">
      <w:pPr>
        <w:widowControl w:val="0"/>
        <w:tabs>
          <w:tab w:val="left" w:pos="762"/>
        </w:tabs>
        <w:autoSpaceDE w:val="0"/>
        <w:autoSpaceDN w:val="0"/>
        <w:rPr>
          <w:color w:val="262626"/>
          <w:lang w:val="fr-CH"/>
        </w:rPr>
      </w:pPr>
      <w:r w:rsidRPr="003C7870">
        <w:rPr>
          <w:color w:val="262626"/>
          <w:lang w:val="fr-CH"/>
        </w:rPr>
        <w:t>Les membres de l'UPOV ne sont pas liés par le contenu et/ou les conclusions de l'étude.</w:t>
      </w:r>
    </w:p>
    <w:p w14:paraId="19D5F47A" w14:textId="77777777" w:rsidR="002E61B1" w:rsidRPr="003C7870" w:rsidRDefault="002E61B1" w:rsidP="002E61B1">
      <w:pPr>
        <w:widowControl w:val="0"/>
        <w:tabs>
          <w:tab w:val="left" w:pos="762"/>
        </w:tabs>
        <w:autoSpaceDE w:val="0"/>
        <w:autoSpaceDN w:val="0"/>
        <w:rPr>
          <w:color w:val="262626"/>
          <w:lang w:val="fr-CH"/>
        </w:rPr>
      </w:pPr>
    </w:p>
    <w:p w14:paraId="4010A9E9" w14:textId="77777777" w:rsidR="002E61B1" w:rsidRPr="003C7870" w:rsidRDefault="002E61B1" w:rsidP="002E61B1">
      <w:pPr>
        <w:pStyle w:val="Heading2"/>
        <w:rPr>
          <w:lang w:val="fr-CH"/>
        </w:rPr>
      </w:pPr>
      <w:bookmarkStart w:id="11" w:name="_Toc172119301"/>
      <w:bookmarkStart w:id="12" w:name="_Toc172119338"/>
      <w:r w:rsidRPr="003C7870">
        <w:rPr>
          <w:lang w:val="fr-CH"/>
        </w:rPr>
        <w:t>Calendrier :</w:t>
      </w:r>
      <w:bookmarkEnd w:id="11"/>
      <w:bookmarkEnd w:id="12"/>
    </w:p>
    <w:p w14:paraId="5A533552" w14:textId="77777777" w:rsidR="002E61B1" w:rsidRPr="003C7870" w:rsidRDefault="002E61B1" w:rsidP="002E61B1">
      <w:pPr>
        <w:widowControl w:val="0"/>
        <w:tabs>
          <w:tab w:val="left" w:pos="762"/>
        </w:tabs>
        <w:autoSpaceDE w:val="0"/>
        <w:autoSpaceDN w:val="0"/>
        <w:rPr>
          <w:color w:val="161616"/>
          <w:lang w:val="fr-CH"/>
        </w:rPr>
      </w:pPr>
    </w:p>
    <w:p w14:paraId="45317749" w14:textId="77777777" w:rsidR="002E61B1" w:rsidRPr="003C7870" w:rsidRDefault="002E61B1" w:rsidP="002E61B1">
      <w:pPr>
        <w:widowControl w:val="0"/>
        <w:tabs>
          <w:tab w:val="left" w:pos="762"/>
        </w:tabs>
        <w:autoSpaceDE w:val="0"/>
        <w:autoSpaceDN w:val="0"/>
        <w:rPr>
          <w:rFonts w:cs="Arial"/>
          <w:lang w:val="fr-CH"/>
        </w:rPr>
      </w:pPr>
      <w:r w:rsidRPr="003C7870">
        <w:rPr>
          <w:rFonts w:cs="Arial"/>
          <w:lang w:val="fr-CH"/>
        </w:rPr>
        <w:t>Les auteurs devront remettre le projet d'étude au plus tard le 28 février 2025, pour examen lors de la septième réunion du WG-HRV, qui devrait avoir lieu à Genève le 20 mars 2025.  La version finale de l'étude devra être remise au plus tard le 1</w:t>
      </w:r>
      <w:r>
        <w:rPr>
          <w:rFonts w:cs="Arial"/>
          <w:lang w:val="fr-CH"/>
        </w:rPr>
        <w:t>er</w:t>
      </w:r>
      <w:r w:rsidRPr="003C7870">
        <w:rPr>
          <w:rFonts w:cs="Arial"/>
          <w:lang w:val="fr-CH"/>
        </w:rPr>
        <w:t xml:space="preserve"> septembre 2025.</w:t>
      </w:r>
    </w:p>
    <w:p w14:paraId="15BA05F6" w14:textId="77777777" w:rsidR="002E61B1" w:rsidRPr="003C7870" w:rsidRDefault="002E61B1" w:rsidP="002E61B1">
      <w:pPr>
        <w:widowControl w:val="0"/>
        <w:tabs>
          <w:tab w:val="left" w:pos="762"/>
        </w:tabs>
        <w:autoSpaceDE w:val="0"/>
        <w:autoSpaceDN w:val="0"/>
        <w:rPr>
          <w:rFonts w:cs="Arial"/>
          <w:lang w:val="fr-CH"/>
        </w:rPr>
      </w:pPr>
    </w:p>
    <w:p w14:paraId="1C836B10" w14:textId="77777777" w:rsidR="002E61B1" w:rsidRPr="003C7870" w:rsidRDefault="002E61B1" w:rsidP="002E61B1">
      <w:pPr>
        <w:widowControl w:val="0"/>
        <w:tabs>
          <w:tab w:val="left" w:pos="762"/>
        </w:tabs>
        <w:autoSpaceDE w:val="0"/>
        <w:autoSpaceDN w:val="0"/>
        <w:rPr>
          <w:color w:val="161616"/>
          <w:lang w:val="fr-CH"/>
        </w:rPr>
      </w:pPr>
      <w:r w:rsidRPr="003C7870">
        <w:rPr>
          <w:color w:val="161616"/>
          <w:lang w:val="fr-CH"/>
        </w:rPr>
        <w:t xml:space="preserve">Le délai peut être prolongé à la demande des auteurs. </w:t>
      </w:r>
    </w:p>
    <w:p w14:paraId="78AEFD3B" w14:textId="77777777" w:rsidR="002E61B1" w:rsidRPr="003C7870" w:rsidRDefault="002E61B1" w:rsidP="002E61B1">
      <w:pPr>
        <w:widowControl w:val="0"/>
        <w:tabs>
          <w:tab w:val="left" w:pos="762"/>
        </w:tabs>
        <w:autoSpaceDE w:val="0"/>
        <w:autoSpaceDN w:val="0"/>
        <w:rPr>
          <w:color w:val="161616"/>
          <w:lang w:val="fr-CH"/>
        </w:rPr>
      </w:pPr>
    </w:p>
    <w:p w14:paraId="10DCE9D3" w14:textId="77777777" w:rsidR="005061F5" w:rsidRPr="00AB458F" w:rsidRDefault="005061F5" w:rsidP="005061F5">
      <w:pPr>
        <w:widowControl w:val="0"/>
        <w:tabs>
          <w:tab w:val="left" w:pos="762"/>
        </w:tabs>
        <w:autoSpaceDE w:val="0"/>
        <w:autoSpaceDN w:val="0"/>
        <w:rPr>
          <w:color w:val="161616"/>
          <w:lang w:val="fr-CH"/>
        </w:rPr>
      </w:pPr>
    </w:p>
    <w:p w14:paraId="5960292E" w14:textId="77777777" w:rsidR="002E61B1" w:rsidRPr="003C7870" w:rsidRDefault="002E61B1" w:rsidP="002E61B1">
      <w:pPr>
        <w:pStyle w:val="Heading2"/>
        <w:rPr>
          <w:lang w:val="fr-CH"/>
        </w:rPr>
      </w:pPr>
      <w:bookmarkStart w:id="13" w:name="_Toc172119302"/>
      <w:bookmarkStart w:id="14" w:name="_Toc172119339"/>
      <w:r w:rsidRPr="003C7870">
        <w:rPr>
          <w:lang w:val="fr-CH"/>
        </w:rPr>
        <w:lastRenderedPageBreak/>
        <w:t>Soutien financier :</w:t>
      </w:r>
      <w:bookmarkEnd w:id="13"/>
      <w:bookmarkEnd w:id="14"/>
    </w:p>
    <w:p w14:paraId="59189ED4" w14:textId="77777777" w:rsidR="002E61B1" w:rsidRPr="003C7870" w:rsidRDefault="002E61B1" w:rsidP="002E61B1">
      <w:pPr>
        <w:keepNext/>
        <w:jc w:val="left"/>
        <w:rPr>
          <w:lang w:val="fr-CH"/>
        </w:rPr>
      </w:pPr>
    </w:p>
    <w:p w14:paraId="2092120B" w14:textId="77777777" w:rsidR="002E61B1" w:rsidRPr="003C7870" w:rsidRDefault="002E61B1" w:rsidP="002E61B1">
      <w:pPr>
        <w:keepNext/>
        <w:rPr>
          <w:lang w:val="fr-CH"/>
        </w:rPr>
      </w:pPr>
      <w:r w:rsidRPr="003C7870">
        <w:rPr>
          <w:lang w:val="fr-CH"/>
        </w:rPr>
        <w:t xml:space="preserve">55 000 francs suisses qui comprendraient : </w:t>
      </w:r>
    </w:p>
    <w:p w14:paraId="1ECB0079" w14:textId="77777777" w:rsidR="002E61B1" w:rsidRPr="003C7870" w:rsidRDefault="002E61B1" w:rsidP="002E61B1">
      <w:pPr>
        <w:keepNext/>
        <w:rPr>
          <w:lang w:val="fr-CH"/>
        </w:rPr>
      </w:pPr>
    </w:p>
    <w:p w14:paraId="6CDDD894" w14:textId="77777777" w:rsidR="002E61B1" w:rsidRPr="003C7870" w:rsidRDefault="002E61B1" w:rsidP="002E61B1">
      <w:pPr>
        <w:keepNext/>
        <w:ind w:left="284" w:hanging="284"/>
        <w:rPr>
          <w:lang w:val="fr-CH"/>
        </w:rPr>
      </w:pPr>
      <w:r w:rsidRPr="00222C58">
        <w:rPr>
          <w:rFonts w:ascii="MS Gothic" w:eastAsia="MS Gothic" w:hAnsi="MS Gothic" w:cs="MS Gothic" w:hint="eastAsia"/>
        </w:rPr>
        <w:t>・</w:t>
      </w:r>
      <w:r w:rsidRPr="003C7870">
        <w:rPr>
          <w:rFonts w:ascii="MS Gothic" w:eastAsia="MS Gothic" w:hAnsi="MS Gothic" w:cs="MS Gothic"/>
          <w:lang w:val="fr-CH"/>
        </w:rPr>
        <w:tab/>
      </w:r>
      <w:r w:rsidRPr="003C7870">
        <w:rPr>
          <w:lang w:val="fr-CH"/>
        </w:rPr>
        <w:t xml:space="preserve">Honoraires de 10 000 francs suisses pour chacun des 5 auteurs. </w:t>
      </w:r>
    </w:p>
    <w:p w14:paraId="15CA8F91" w14:textId="77777777" w:rsidR="002E61B1" w:rsidRPr="003C7870" w:rsidRDefault="002E61B1" w:rsidP="002E61B1">
      <w:pPr>
        <w:ind w:left="284" w:hanging="284"/>
        <w:rPr>
          <w:lang w:val="fr-CH"/>
        </w:rPr>
      </w:pPr>
      <w:r w:rsidRPr="00222C58">
        <w:rPr>
          <w:rFonts w:ascii="MS Gothic" w:eastAsia="MS Gothic" w:hAnsi="MS Gothic" w:cs="MS Gothic" w:hint="eastAsia"/>
        </w:rPr>
        <w:t>・</w:t>
      </w:r>
      <w:r w:rsidRPr="003C7870">
        <w:rPr>
          <w:rFonts w:ascii="MS Gothic" w:eastAsia="MS Gothic" w:hAnsi="MS Gothic" w:cs="MS Gothic"/>
          <w:lang w:val="fr-CH"/>
        </w:rPr>
        <w:tab/>
      </w:r>
      <w:r w:rsidRPr="003C7870">
        <w:rPr>
          <w:lang w:val="fr-CH"/>
        </w:rPr>
        <w:t>Frais de voyage jusqu'à 5 000 francs suisses au total pour les 5 auteurs. Le but de ce voyage peut être d'organiser une réunion entre les auteurs ou de financer le voyage pour venir à Genève présenter les résultats de l'étude ou toute autre dépense de voyage imprévue.</w:t>
      </w:r>
    </w:p>
    <w:p w14:paraId="16F27370" w14:textId="77777777" w:rsidR="002E61B1" w:rsidRPr="003C7870" w:rsidRDefault="002E61B1" w:rsidP="002E61B1">
      <w:pPr>
        <w:rPr>
          <w:lang w:val="fr-CH"/>
        </w:rPr>
      </w:pPr>
    </w:p>
    <w:p w14:paraId="6E434748" w14:textId="77777777" w:rsidR="002E61B1" w:rsidRPr="003C7870" w:rsidRDefault="002E61B1" w:rsidP="002E61B1">
      <w:pPr>
        <w:rPr>
          <w:lang w:val="fr-CH"/>
        </w:rPr>
      </w:pPr>
      <w:r w:rsidRPr="003C7870">
        <w:rPr>
          <w:lang w:val="fr-CH"/>
        </w:rPr>
        <w:t xml:space="preserve">L'estimation globale des coûts à partager est la suivante :  Le budget ordinaire de l'UPOV couvrirait 30 000 francs suisses et l'accord de fonds fiduciaire entre le Gouvernement du Japon et l'UPOV (JP-FIT) couvrirait 25 000 francs suisses.  </w:t>
      </w:r>
    </w:p>
    <w:p w14:paraId="750BFE0B" w14:textId="2923514B" w:rsidR="001A29AC" w:rsidRPr="00AB458F" w:rsidRDefault="001A29AC" w:rsidP="005061F5">
      <w:pPr>
        <w:ind w:right="100"/>
        <w:jc w:val="left"/>
        <w:rPr>
          <w:lang w:val="fr-CH"/>
        </w:rPr>
      </w:pPr>
    </w:p>
    <w:p w14:paraId="6846BBF9" w14:textId="77777777" w:rsidR="005061F5" w:rsidRPr="00AB458F" w:rsidRDefault="005061F5" w:rsidP="005061F5">
      <w:pPr>
        <w:ind w:right="100"/>
        <w:jc w:val="left"/>
        <w:rPr>
          <w:lang w:val="fr-CH"/>
        </w:rPr>
      </w:pPr>
    </w:p>
    <w:p w14:paraId="6AE500DB" w14:textId="77777777" w:rsidR="005061F5" w:rsidRPr="00AB458F" w:rsidRDefault="005061F5" w:rsidP="005061F5">
      <w:pPr>
        <w:ind w:right="100"/>
        <w:jc w:val="left"/>
        <w:rPr>
          <w:lang w:val="fr-CH"/>
        </w:rPr>
      </w:pPr>
    </w:p>
    <w:p w14:paraId="4E45E639" w14:textId="49910978" w:rsidR="005061F5" w:rsidRPr="00AB458F" w:rsidRDefault="005061F5" w:rsidP="005061F5">
      <w:pPr>
        <w:jc w:val="right"/>
        <w:rPr>
          <w:lang w:val="fr-CH"/>
        </w:rPr>
      </w:pPr>
      <w:r w:rsidRPr="00AB458F">
        <w:rPr>
          <w:lang w:val="fr-CH"/>
        </w:rPr>
        <w:t>[Fin des annexes et du document]</w:t>
      </w:r>
    </w:p>
    <w:p w14:paraId="45D317D3" w14:textId="77777777" w:rsidR="005061F5" w:rsidRPr="00AB458F" w:rsidRDefault="005061F5" w:rsidP="005061F5">
      <w:pPr>
        <w:ind w:right="100"/>
        <w:jc w:val="left"/>
        <w:rPr>
          <w:lang w:val="fr-CH"/>
        </w:rPr>
      </w:pPr>
    </w:p>
    <w:sectPr w:rsidR="005061F5" w:rsidRPr="00AB458F" w:rsidSect="0004198B">
      <w:headerReference w:type="default" r:id="rId16"/>
      <w:headerReference w:type="firs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822F1" w14:textId="77777777" w:rsidR="001903A6" w:rsidRDefault="001903A6" w:rsidP="006655D3">
      <w:r>
        <w:separator/>
      </w:r>
    </w:p>
    <w:p w14:paraId="0FC14002" w14:textId="77777777" w:rsidR="001903A6" w:rsidRDefault="001903A6" w:rsidP="006655D3"/>
    <w:p w14:paraId="03C15902" w14:textId="77777777" w:rsidR="001903A6" w:rsidRDefault="001903A6" w:rsidP="006655D3"/>
  </w:endnote>
  <w:endnote w:type="continuationSeparator" w:id="0">
    <w:p w14:paraId="74CD4382" w14:textId="77777777" w:rsidR="001903A6" w:rsidRDefault="001903A6" w:rsidP="006655D3">
      <w:r>
        <w:separator/>
      </w:r>
    </w:p>
    <w:p w14:paraId="01A3CFBC" w14:textId="77777777" w:rsidR="001903A6" w:rsidRPr="00294751" w:rsidRDefault="001903A6" w:rsidP="00871C26">
      <w:pPr>
        <w:pStyle w:val="Footer"/>
        <w:rPr>
          <w:lang w:val="fr-FR"/>
        </w:rPr>
      </w:pPr>
      <w:r w:rsidRPr="00294751">
        <w:rPr>
          <w:lang w:val="fr-FR"/>
        </w:rPr>
        <w:t>[Suite de la note de la page précédente].</w:t>
      </w:r>
    </w:p>
    <w:p w14:paraId="04651C5E" w14:textId="77777777" w:rsidR="001903A6" w:rsidRPr="00294751" w:rsidRDefault="001903A6" w:rsidP="006655D3">
      <w:pPr>
        <w:rPr>
          <w:lang w:val="fr-FR"/>
        </w:rPr>
      </w:pPr>
    </w:p>
    <w:p w14:paraId="35FDF70D" w14:textId="77777777" w:rsidR="001903A6" w:rsidRPr="00294751" w:rsidRDefault="001903A6" w:rsidP="006655D3">
      <w:pPr>
        <w:rPr>
          <w:lang w:val="fr-FR"/>
        </w:rPr>
      </w:pPr>
    </w:p>
  </w:endnote>
  <w:endnote w:type="continuationNotice" w:id="1">
    <w:p w14:paraId="4BE4719A" w14:textId="77777777" w:rsidR="001903A6" w:rsidRPr="00294751" w:rsidRDefault="001903A6" w:rsidP="006655D3">
      <w:pPr>
        <w:rPr>
          <w:lang w:val="fr-FR"/>
        </w:rPr>
      </w:pPr>
      <w:r w:rsidRPr="00294751">
        <w:rPr>
          <w:lang w:val="fr-FR"/>
        </w:rPr>
        <w:t>[Suite de la note page suivante]</w:t>
      </w:r>
    </w:p>
    <w:p w14:paraId="15E6F94A" w14:textId="77777777" w:rsidR="001903A6" w:rsidRPr="00294751" w:rsidRDefault="001903A6" w:rsidP="006655D3">
      <w:pPr>
        <w:rPr>
          <w:lang w:val="fr-FR"/>
        </w:rPr>
      </w:pPr>
    </w:p>
    <w:p w14:paraId="58F64547" w14:textId="77777777" w:rsidR="001903A6" w:rsidRPr="00294751" w:rsidRDefault="001903A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CC475" w14:textId="295CFCE2" w:rsidR="00FB43CA" w:rsidRPr="00BB406D" w:rsidRDefault="00FB43CA" w:rsidP="00BB406D">
    <w:pPr>
      <w:tabs>
        <w:tab w:val="left" w:pos="2268"/>
      </w:tabs>
      <w:spacing w:after="60"/>
      <w:rPr>
        <w:sz w:val="16"/>
        <w:u w:val="single"/>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4DDE4" w14:textId="77777777" w:rsidR="001903A6" w:rsidRDefault="001903A6" w:rsidP="006655D3">
      <w:r>
        <w:separator/>
      </w:r>
    </w:p>
  </w:footnote>
  <w:footnote w:type="continuationSeparator" w:id="0">
    <w:p w14:paraId="77F7F184" w14:textId="77777777" w:rsidR="001903A6" w:rsidRDefault="001903A6" w:rsidP="006655D3">
      <w:r>
        <w:separator/>
      </w:r>
    </w:p>
  </w:footnote>
  <w:footnote w:type="continuationNotice" w:id="1">
    <w:p w14:paraId="5ED20D78" w14:textId="77777777" w:rsidR="001903A6" w:rsidRPr="00AB530F" w:rsidRDefault="001903A6" w:rsidP="00871C26">
      <w:pPr>
        <w:pStyle w:val="Footer"/>
      </w:pPr>
    </w:p>
  </w:footnote>
  <w:footnote w:id="2">
    <w:p w14:paraId="52169B85" w14:textId="495CA6D5" w:rsidR="003022C5" w:rsidRPr="00AB458F" w:rsidRDefault="003022C5" w:rsidP="003022C5">
      <w:pPr>
        <w:pStyle w:val="FootnoteText"/>
        <w:rPr>
          <w:lang w:val="fr-CH"/>
        </w:rPr>
      </w:pPr>
      <w:r>
        <w:rPr>
          <w:rStyle w:val="FootnoteReference"/>
        </w:rPr>
        <w:footnoteRef/>
      </w:r>
      <w:r w:rsidRPr="00AB458F">
        <w:rPr>
          <w:lang w:val="fr-CH"/>
        </w:rPr>
        <w:tab/>
        <w:t>Tenue à Genève le 22 octobre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1E579" w14:textId="776B4C4C" w:rsidR="0004198B" w:rsidRPr="00C5280D" w:rsidRDefault="009E6486" w:rsidP="00EB048E">
    <w:pPr>
      <w:pStyle w:val="Header"/>
      <w:rPr>
        <w:rStyle w:val="PageNumber"/>
        <w:lang w:val="en-US"/>
      </w:rPr>
    </w:pPr>
    <w:r>
      <w:rPr>
        <w:rStyle w:val="PageNumber"/>
        <w:lang w:val="en-US"/>
      </w:rPr>
      <w:t>WG-HRV/7/2</w:t>
    </w:r>
  </w:p>
  <w:p w14:paraId="01DD186B"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44BF1">
      <w:rPr>
        <w:rStyle w:val="PageNumber"/>
        <w:noProof/>
        <w:lang w:val="en-US"/>
      </w:rPr>
      <w:t>2</w:t>
    </w:r>
    <w:r w:rsidRPr="00C5280D">
      <w:rPr>
        <w:rStyle w:val="PageNumber"/>
        <w:lang w:val="en-US"/>
      </w:rPr>
      <w:fldChar w:fldCharType="end"/>
    </w:r>
  </w:p>
  <w:p w14:paraId="19FE82F6"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A6E9E" w14:textId="17154FDC" w:rsidR="00BB406D" w:rsidRDefault="00BB406D">
    <w:pPr>
      <w:pStyle w:val="Header"/>
      <w:rPr>
        <w:lang w:val="fr-CH"/>
      </w:rPr>
    </w:pPr>
    <w:r>
      <w:rPr>
        <w:lang w:val="fr-CH"/>
      </w:rPr>
      <w:t>WG-HRV/7/2</w:t>
    </w:r>
  </w:p>
  <w:p w14:paraId="27CAE274" w14:textId="77777777" w:rsidR="00BB406D" w:rsidRDefault="00BB406D">
    <w:pPr>
      <w:pStyle w:val="Header"/>
      <w:rPr>
        <w:lang w:val="fr-CH"/>
      </w:rPr>
    </w:pPr>
  </w:p>
  <w:p w14:paraId="461D3D14" w14:textId="1C7D25DA" w:rsidR="00BB406D" w:rsidRDefault="00BB406D">
    <w:pPr>
      <w:pStyle w:val="Header"/>
      <w:rPr>
        <w:lang w:val="fr-CH"/>
      </w:rPr>
    </w:pPr>
    <w:r>
      <w:rPr>
        <w:lang w:val="fr-CH"/>
      </w:rPr>
      <w:t xml:space="preserve">ANNEXE </w:t>
    </w:r>
    <w:r w:rsidR="0003071A">
      <w:rPr>
        <w:lang w:val="fr-CH"/>
      </w:rPr>
      <w:t>I</w:t>
    </w:r>
  </w:p>
  <w:p w14:paraId="7FB2219C" w14:textId="77777777" w:rsidR="003022C5" w:rsidRPr="00BB406D" w:rsidRDefault="003022C5">
    <w:pPr>
      <w:pStyle w:val="Heade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736DF" w14:textId="67DA5874" w:rsidR="00AA4578" w:rsidRDefault="00AA4578" w:rsidP="00AA4578">
    <w:pPr>
      <w:pStyle w:val="Header"/>
      <w:rPr>
        <w:lang w:val="fr-CH"/>
      </w:rPr>
    </w:pPr>
    <w:r>
      <w:rPr>
        <w:lang w:val="fr-CH"/>
      </w:rPr>
      <w:t>WG-HRV/7/2</w:t>
    </w:r>
  </w:p>
  <w:p w14:paraId="37D0E1E1" w14:textId="01F0699F" w:rsidR="00AA4578" w:rsidRDefault="00AA4578">
    <w:pPr>
      <w:pStyle w:val="Header"/>
      <w:rPr>
        <w:lang w:val="fr-CH"/>
      </w:rPr>
    </w:pPr>
    <w:r>
      <w:rPr>
        <w:lang w:val="fr-CH"/>
      </w:rPr>
      <w:t xml:space="preserve">Annexe </w:t>
    </w:r>
    <w:r w:rsidR="005061F5">
      <w:rPr>
        <w:lang w:val="fr-CH"/>
      </w:rPr>
      <w:t>I</w:t>
    </w:r>
    <w:r>
      <w:rPr>
        <w:lang w:val="fr-CH"/>
      </w:rPr>
      <w:t>, page 2</w:t>
    </w:r>
  </w:p>
  <w:p w14:paraId="6376388C" w14:textId="77777777" w:rsidR="00AA4578" w:rsidRPr="00BB406D" w:rsidRDefault="00AA4578">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16A7B" w14:textId="77777777" w:rsidR="00AA4578" w:rsidRDefault="00AA4578" w:rsidP="00AA4578">
    <w:pPr>
      <w:pStyle w:val="Header"/>
      <w:rPr>
        <w:lang w:val="fr-CH"/>
      </w:rPr>
    </w:pPr>
    <w:r>
      <w:rPr>
        <w:lang w:val="fr-CH"/>
      </w:rPr>
      <w:t>WG-HRV/7/2</w:t>
    </w:r>
  </w:p>
  <w:p w14:paraId="569ED53C" w14:textId="3E6FE90A" w:rsidR="00AA4578" w:rsidRDefault="00AA4578">
    <w:pPr>
      <w:pStyle w:val="Header"/>
      <w:rPr>
        <w:lang w:val="fr-CH"/>
      </w:rPr>
    </w:pPr>
    <w:r>
      <w:rPr>
        <w:lang w:val="fr-CH"/>
      </w:rPr>
      <w:t xml:space="preserve">Annexe </w:t>
    </w:r>
    <w:r w:rsidR="005061F5">
      <w:rPr>
        <w:lang w:val="fr-CH"/>
      </w:rPr>
      <w:t>I</w:t>
    </w:r>
    <w:r>
      <w:rPr>
        <w:lang w:val="fr-CH"/>
      </w:rPr>
      <w:t>, page 3</w:t>
    </w:r>
  </w:p>
  <w:p w14:paraId="266755DC" w14:textId="77777777" w:rsidR="00AA4578" w:rsidRPr="00BB406D" w:rsidRDefault="00AA4578">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8DC77" w14:textId="77777777" w:rsidR="00AA4578" w:rsidRDefault="00AA4578" w:rsidP="00AA4578">
    <w:pPr>
      <w:pStyle w:val="Header"/>
      <w:rPr>
        <w:lang w:val="fr-CH"/>
      </w:rPr>
    </w:pPr>
    <w:r>
      <w:rPr>
        <w:lang w:val="fr-CH"/>
      </w:rPr>
      <w:t>WG-HRV/7/2</w:t>
    </w:r>
  </w:p>
  <w:p w14:paraId="7AAE832A" w14:textId="0E11E6C0" w:rsidR="00AA4578" w:rsidRDefault="00AA4578">
    <w:pPr>
      <w:pStyle w:val="Header"/>
      <w:rPr>
        <w:lang w:val="fr-CH"/>
      </w:rPr>
    </w:pPr>
    <w:r>
      <w:rPr>
        <w:lang w:val="fr-CH"/>
      </w:rPr>
      <w:t xml:space="preserve">Annexe </w:t>
    </w:r>
    <w:r w:rsidR="005061F5">
      <w:rPr>
        <w:lang w:val="fr-CH"/>
      </w:rPr>
      <w:t>I</w:t>
    </w:r>
    <w:r>
      <w:rPr>
        <w:lang w:val="fr-CH"/>
      </w:rPr>
      <w:t>, page 4</w:t>
    </w:r>
  </w:p>
  <w:p w14:paraId="13EADC78" w14:textId="77777777" w:rsidR="00AA4578" w:rsidRPr="00BB406D" w:rsidRDefault="00AA4578">
    <w:pPr>
      <w:pStyle w:val="Heade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B1691" w14:textId="77777777" w:rsidR="00AA4578" w:rsidRDefault="00AA4578" w:rsidP="00AA4578">
    <w:pPr>
      <w:pStyle w:val="Header"/>
      <w:rPr>
        <w:lang w:val="fr-CH"/>
      </w:rPr>
    </w:pPr>
    <w:r>
      <w:rPr>
        <w:lang w:val="fr-CH"/>
      </w:rPr>
      <w:t>WG-HRV/7/2</w:t>
    </w:r>
  </w:p>
  <w:p w14:paraId="2F8D9284" w14:textId="5A278F70" w:rsidR="00AA4578" w:rsidRDefault="00AA4578">
    <w:pPr>
      <w:pStyle w:val="Header"/>
      <w:rPr>
        <w:lang w:val="fr-CH"/>
      </w:rPr>
    </w:pPr>
    <w:r>
      <w:rPr>
        <w:lang w:val="fr-CH"/>
      </w:rPr>
      <w:t xml:space="preserve">Annexe </w:t>
    </w:r>
    <w:r w:rsidR="005061F5">
      <w:rPr>
        <w:lang w:val="fr-CH"/>
      </w:rPr>
      <w:t>I</w:t>
    </w:r>
    <w:r>
      <w:rPr>
        <w:lang w:val="fr-CH"/>
      </w:rPr>
      <w:t>, page 5</w:t>
    </w:r>
  </w:p>
  <w:p w14:paraId="653AA39F" w14:textId="77777777" w:rsidR="00AA4578" w:rsidRPr="00BB406D" w:rsidRDefault="00AA4578">
    <w:pPr>
      <w:pStyle w:val="Heade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F3D68" w14:textId="77777777" w:rsidR="005061F5" w:rsidRPr="005061F5" w:rsidRDefault="005061F5" w:rsidP="00EB048E">
    <w:pPr>
      <w:pStyle w:val="Header"/>
      <w:rPr>
        <w:rStyle w:val="PageNumber"/>
        <w:lang w:val="fr-CH"/>
      </w:rPr>
    </w:pPr>
    <w:r w:rsidRPr="005061F5">
      <w:rPr>
        <w:rStyle w:val="PageNumber"/>
        <w:lang w:val="fr-CH"/>
      </w:rPr>
      <w:t>WG-HRV/7/2</w:t>
    </w:r>
  </w:p>
  <w:p w14:paraId="3883860A" w14:textId="51156811" w:rsidR="005061F5" w:rsidRPr="005061F5" w:rsidRDefault="005061F5" w:rsidP="00EB048E">
    <w:pPr>
      <w:pStyle w:val="Header"/>
      <w:rPr>
        <w:lang w:val="fr-CH"/>
      </w:rPr>
    </w:pPr>
    <w:r w:rsidRPr="005061F5">
      <w:rPr>
        <w:lang w:val="fr-CH"/>
      </w:rPr>
      <w:t xml:space="preserve">Annexe II, page </w:t>
    </w:r>
    <w:r w:rsidRPr="00C5280D">
      <w:rPr>
        <w:rStyle w:val="PageNumber"/>
        <w:lang w:val="en-US"/>
      </w:rPr>
      <w:fldChar w:fldCharType="begin"/>
    </w:r>
    <w:r w:rsidRPr="005061F5">
      <w:rPr>
        <w:rStyle w:val="PageNumber"/>
        <w:lang w:val="fr-CH"/>
      </w:rPr>
      <w:instrText xml:space="preserve"> PAGE </w:instrText>
    </w:r>
    <w:r w:rsidRPr="00C5280D">
      <w:rPr>
        <w:rStyle w:val="PageNumber"/>
        <w:lang w:val="en-US"/>
      </w:rPr>
      <w:fldChar w:fldCharType="separate"/>
    </w:r>
    <w:r w:rsidRPr="005061F5">
      <w:rPr>
        <w:rStyle w:val="PageNumber"/>
        <w:noProof/>
        <w:lang w:val="fr-CH"/>
      </w:rPr>
      <w:t>2</w:t>
    </w:r>
    <w:r w:rsidRPr="00C5280D">
      <w:rPr>
        <w:rStyle w:val="PageNumber"/>
        <w:lang w:val="en-US"/>
      </w:rPr>
      <w:fldChar w:fldCharType="end"/>
    </w:r>
  </w:p>
  <w:p w14:paraId="28B9FD82" w14:textId="77777777" w:rsidR="005061F5" w:rsidRPr="005061F5" w:rsidRDefault="005061F5"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0538" w14:textId="77777777" w:rsidR="005061F5" w:rsidRDefault="005061F5" w:rsidP="00AA4578">
    <w:pPr>
      <w:pStyle w:val="Header"/>
      <w:rPr>
        <w:lang w:val="fr-CH"/>
      </w:rPr>
    </w:pPr>
    <w:r>
      <w:rPr>
        <w:lang w:val="fr-CH"/>
      </w:rPr>
      <w:t>WG-HRV/7/2</w:t>
    </w:r>
  </w:p>
  <w:p w14:paraId="7F3DBBEC" w14:textId="77777777" w:rsidR="005061F5" w:rsidRDefault="005061F5" w:rsidP="00AA4578">
    <w:pPr>
      <w:pStyle w:val="Header"/>
      <w:rPr>
        <w:lang w:val="fr-CH"/>
      </w:rPr>
    </w:pPr>
  </w:p>
  <w:p w14:paraId="47220E74" w14:textId="5E7FD353" w:rsidR="005061F5" w:rsidRDefault="005061F5">
    <w:pPr>
      <w:pStyle w:val="Header"/>
      <w:rPr>
        <w:lang w:val="fr-CH"/>
      </w:rPr>
    </w:pPr>
    <w:r>
      <w:rPr>
        <w:lang w:val="fr-CH"/>
      </w:rPr>
      <w:t>ANNEXE II</w:t>
    </w:r>
  </w:p>
  <w:p w14:paraId="30E41A63" w14:textId="77777777" w:rsidR="005061F5" w:rsidRPr="00BB406D" w:rsidRDefault="005061F5">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91566"/>
    <w:multiLevelType w:val="hybridMultilevel"/>
    <w:tmpl w:val="7FE84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F16144"/>
    <w:multiLevelType w:val="multilevel"/>
    <w:tmpl w:val="9026A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F34DFF"/>
    <w:multiLevelType w:val="hybridMultilevel"/>
    <w:tmpl w:val="CE866B2E"/>
    <w:lvl w:ilvl="0" w:tplc="22BC0282">
      <w:start w:val="1"/>
      <w:numFmt w:val="decimal"/>
      <w:lvlText w:val="(%1)"/>
      <w:lvlJc w:val="left"/>
      <w:pPr>
        <w:ind w:left="215" w:hanging="333"/>
      </w:pPr>
      <w:rPr>
        <w:rFonts w:ascii="Times New Roman" w:eastAsia="Times New Roman" w:hAnsi="Times New Roman" w:cs="Times New Roman" w:hint="default"/>
        <w:b w:val="0"/>
        <w:bCs w:val="0"/>
        <w:i/>
        <w:iCs/>
        <w:w w:val="100"/>
        <w:sz w:val="24"/>
        <w:szCs w:val="24"/>
        <w:lang w:val="en-US" w:eastAsia="en-US" w:bidi="ar-SA"/>
      </w:rPr>
    </w:lvl>
    <w:lvl w:ilvl="1" w:tplc="8036025A">
      <w:start w:val="1"/>
      <w:numFmt w:val="lowerRoman"/>
      <w:lvlText w:val="(%2)"/>
      <w:lvlJc w:val="left"/>
      <w:pPr>
        <w:ind w:left="1209" w:hanging="287"/>
      </w:pPr>
      <w:rPr>
        <w:rFonts w:ascii="Times New Roman" w:eastAsia="Times New Roman" w:hAnsi="Times New Roman" w:cs="Times New Roman" w:hint="default"/>
        <w:b w:val="0"/>
        <w:bCs w:val="0"/>
        <w:i/>
        <w:iCs/>
        <w:spacing w:val="-1"/>
        <w:w w:val="100"/>
        <w:sz w:val="24"/>
        <w:szCs w:val="24"/>
        <w:lang w:val="en-US" w:eastAsia="en-US" w:bidi="ar-SA"/>
      </w:rPr>
    </w:lvl>
    <w:lvl w:ilvl="2" w:tplc="9A507036">
      <w:numFmt w:val="bullet"/>
      <w:lvlText w:val="•"/>
      <w:lvlJc w:val="left"/>
      <w:pPr>
        <w:ind w:left="2173" w:hanging="287"/>
      </w:pPr>
      <w:rPr>
        <w:rFonts w:hint="default"/>
        <w:lang w:val="en-US" w:eastAsia="en-US" w:bidi="ar-SA"/>
      </w:rPr>
    </w:lvl>
    <w:lvl w:ilvl="3" w:tplc="2FA67F96">
      <w:numFmt w:val="bullet"/>
      <w:lvlText w:val="•"/>
      <w:lvlJc w:val="left"/>
      <w:pPr>
        <w:ind w:left="3147" w:hanging="287"/>
      </w:pPr>
      <w:rPr>
        <w:rFonts w:hint="default"/>
        <w:lang w:val="en-US" w:eastAsia="en-US" w:bidi="ar-SA"/>
      </w:rPr>
    </w:lvl>
    <w:lvl w:ilvl="4" w:tplc="13E461CA">
      <w:numFmt w:val="bullet"/>
      <w:lvlText w:val="•"/>
      <w:lvlJc w:val="left"/>
      <w:pPr>
        <w:ind w:left="4121" w:hanging="287"/>
      </w:pPr>
      <w:rPr>
        <w:rFonts w:hint="default"/>
        <w:lang w:val="en-US" w:eastAsia="en-US" w:bidi="ar-SA"/>
      </w:rPr>
    </w:lvl>
    <w:lvl w:ilvl="5" w:tplc="F8E4EB92">
      <w:numFmt w:val="bullet"/>
      <w:lvlText w:val="•"/>
      <w:lvlJc w:val="left"/>
      <w:pPr>
        <w:ind w:left="5095" w:hanging="287"/>
      </w:pPr>
      <w:rPr>
        <w:rFonts w:hint="default"/>
        <w:lang w:val="en-US" w:eastAsia="en-US" w:bidi="ar-SA"/>
      </w:rPr>
    </w:lvl>
    <w:lvl w:ilvl="6" w:tplc="E3BADAC2">
      <w:numFmt w:val="bullet"/>
      <w:lvlText w:val="•"/>
      <w:lvlJc w:val="left"/>
      <w:pPr>
        <w:ind w:left="6068" w:hanging="287"/>
      </w:pPr>
      <w:rPr>
        <w:rFonts w:hint="default"/>
        <w:lang w:val="en-US" w:eastAsia="en-US" w:bidi="ar-SA"/>
      </w:rPr>
    </w:lvl>
    <w:lvl w:ilvl="7" w:tplc="DFDA5844">
      <w:numFmt w:val="bullet"/>
      <w:lvlText w:val="•"/>
      <w:lvlJc w:val="left"/>
      <w:pPr>
        <w:ind w:left="7042" w:hanging="287"/>
      </w:pPr>
      <w:rPr>
        <w:rFonts w:hint="default"/>
        <w:lang w:val="en-US" w:eastAsia="en-US" w:bidi="ar-SA"/>
      </w:rPr>
    </w:lvl>
    <w:lvl w:ilvl="8" w:tplc="A5ECC52E">
      <w:numFmt w:val="bullet"/>
      <w:lvlText w:val="•"/>
      <w:lvlJc w:val="left"/>
      <w:pPr>
        <w:ind w:left="8016" w:hanging="287"/>
      </w:pPr>
      <w:rPr>
        <w:rFonts w:hint="default"/>
        <w:lang w:val="en-US" w:eastAsia="en-US" w:bidi="ar-SA"/>
      </w:rPr>
    </w:lvl>
  </w:abstractNum>
  <w:abstractNum w:abstractNumId="3" w15:restartNumberingAfterBreak="0">
    <w:nsid w:val="1BB933EF"/>
    <w:multiLevelType w:val="hybridMultilevel"/>
    <w:tmpl w:val="2944944C"/>
    <w:lvl w:ilvl="0" w:tplc="B846D3A4">
      <w:start w:val="1"/>
      <w:numFmt w:val="decimal"/>
      <w:lvlText w:val="%1)"/>
      <w:lvlJc w:val="left"/>
      <w:pPr>
        <w:ind w:left="825" w:hanging="360"/>
      </w:pPr>
      <w:rPr>
        <w:rFonts w:ascii="Times New Roman" w:eastAsia="Times New Roman" w:hAnsi="Times New Roman" w:cs="Times New Roman" w:hint="default"/>
        <w:b/>
        <w:bCs/>
        <w:i w:val="0"/>
        <w:iCs w:val="0"/>
        <w:w w:val="100"/>
        <w:sz w:val="24"/>
        <w:szCs w:val="24"/>
        <w:lang w:val="en-US" w:eastAsia="en-US" w:bidi="ar-SA"/>
      </w:rPr>
    </w:lvl>
    <w:lvl w:ilvl="1" w:tplc="D0CCAF92">
      <w:numFmt w:val="bullet"/>
      <w:lvlText w:val="•"/>
      <w:lvlJc w:val="left"/>
      <w:pPr>
        <w:ind w:left="1710" w:hanging="360"/>
      </w:pPr>
      <w:rPr>
        <w:rFonts w:hint="default"/>
        <w:lang w:val="en-US" w:eastAsia="en-US" w:bidi="ar-SA"/>
      </w:rPr>
    </w:lvl>
    <w:lvl w:ilvl="2" w:tplc="1B781C3A">
      <w:numFmt w:val="bullet"/>
      <w:lvlText w:val="•"/>
      <w:lvlJc w:val="left"/>
      <w:pPr>
        <w:ind w:left="2600" w:hanging="360"/>
      </w:pPr>
      <w:rPr>
        <w:rFonts w:hint="default"/>
        <w:lang w:val="en-US" w:eastAsia="en-US" w:bidi="ar-SA"/>
      </w:rPr>
    </w:lvl>
    <w:lvl w:ilvl="3" w:tplc="22EE856C">
      <w:numFmt w:val="bullet"/>
      <w:lvlText w:val="•"/>
      <w:lvlJc w:val="left"/>
      <w:pPr>
        <w:ind w:left="3491" w:hanging="360"/>
      </w:pPr>
      <w:rPr>
        <w:rFonts w:hint="default"/>
        <w:lang w:val="en-US" w:eastAsia="en-US" w:bidi="ar-SA"/>
      </w:rPr>
    </w:lvl>
    <w:lvl w:ilvl="4" w:tplc="F740FE84">
      <w:numFmt w:val="bullet"/>
      <w:lvlText w:val="•"/>
      <w:lvlJc w:val="left"/>
      <w:pPr>
        <w:ind w:left="4381" w:hanging="360"/>
      </w:pPr>
      <w:rPr>
        <w:rFonts w:hint="default"/>
        <w:lang w:val="en-US" w:eastAsia="en-US" w:bidi="ar-SA"/>
      </w:rPr>
    </w:lvl>
    <w:lvl w:ilvl="5" w:tplc="C35C5896">
      <w:numFmt w:val="bullet"/>
      <w:lvlText w:val="•"/>
      <w:lvlJc w:val="left"/>
      <w:pPr>
        <w:ind w:left="5272" w:hanging="360"/>
      </w:pPr>
      <w:rPr>
        <w:rFonts w:hint="default"/>
        <w:lang w:val="en-US" w:eastAsia="en-US" w:bidi="ar-SA"/>
      </w:rPr>
    </w:lvl>
    <w:lvl w:ilvl="6" w:tplc="FC7CBF24">
      <w:numFmt w:val="bullet"/>
      <w:lvlText w:val="•"/>
      <w:lvlJc w:val="left"/>
      <w:pPr>
        <w:ind w:left="6162" w:hanging="360"/>
      </w:pPr>
      <w:rPr>
        <w:rFonts w:hint="default"/>
        <w:lang w:val="en-US" w:eastAsia="en-US" w:bidi="ar-SA"/>
      </w:rPr>
    </w:lvl>
    <w:lvl w:ilvl="7" w:tplc="573AB2FC">
      <w:numFmt w:val="bullet"/>
      <w:lvlText w:val="•"/>
      <w:lvlJc w:val="left"/>
      <w:pPr>
        <w:ind w:left="7053" w:hanging="360"/>
      </w:pPr>
      <w:rPr>
        <w:rFonts w:hint="default"/>
        <w:lang w:val="en-US" w:eastAsia="en-US" w:bidi="ar-SA"/>
      </w:rPr>
    </w:lvl>
    <w:lvl w:ilvl="8" w:tplc="E6665760">
      <w:numFmt w:val="bullet"/>
      <w:lvlText w:val="•"/>
      <w:lvlJc w:val="left"/>
      <w:pPr>
        <w:ind w:left="7943" w:hanging="360"/>
      </w:pPr>
      <w:rPr>
        <w:rFonts w:hint="default"/>
        <w:lang w:val="en-US" w:eastAsia="en-US" w:bidi="ar-SA"/>
      </w:rPr>
    </w:lvl>
  </w:abstractNum>
  <w:abstractNum w:abstractNumId="4" w15:restartNumberingAfterBreak="0">
    <w:nsid w:val="1FEE2ED6"/>
    <w:multiLevelType w:val="hybridMultilevel"/>
    <w:tmpl w:val="EC4E15A6"/>
    <w:lvl w:ilvl="0" w:tplc="C018FB58">
      <w:start w:val="1"/>
      <w:numFmt w:val="decimal"/>
      <w:lvlText w:val="(%1)"/>
      <w:lvlJc w:val="left"/>
      <w:pPr>
        <w:ind w:left="215" w:hanging="334"/>
      </w:pPr>
      <w:rPr>
        <w:rFonts w:ascii="Times New Roman" w:eastAsia="Times New Roman" w:hAnsi="Times New Roman" w:cs="Times New Roman" w:hint="default"/>
        <w:b w:val="0"/>
        <w:bCs w:val="0"/>
        <w:i/>
        <w:iCs/>
        <w:w w:val="100"/>
        <w:sz w:val="24"/>
        <w:szCs w:val="24"/>
        <w:lang w:val="en-US" w:eastAsia="en-US" w:bidi="ar-SA"/>
      </w:rPr>
    </w:lvl>
    <w:lvl w:ilvl="1" w:tplc="10F268B8">
      <w:numFmt w:val="bullet"/>
      <w:lvlText w:val="•"/>
      <w:lvlJc w:val="left"/>
      <w:pPr>
        <w:ind w:left="1194" w:hanging="334"/>
      </w:pPr>
      <w:rPr>
        <w:rFonts w:hint="default"/>
        <w:lang w:val="en-US" w:eastAsia="en-US" w:bidi="ar-SA"/>
      </w:rPr>
    </w:lvl>
    <w:lvl w:ilvl="2" w:tplc="E0C6C106">
      <w:numFmt w:val="bullet"/>
      <w:lvlText w:val="•"/>
      <w:lvlJc w:val="left"/>
      <w:pPr>
        <w:ind w:left="2168" w:hanging="334"/>
      </w:pPr>
      <w:rPr>
        <w:rFonts w:hint="default"/>
        <w:lang w:val="en-US" w:eastAsia="en-US" w:bidi="ar-SA"/>
      </w:rPr>
    </w:lvl>
    <w:lvl w:ilvl="3" w:tplc="92568786">
      <w:numFmt w:val="bullet"/>
      <w:lvlText w:val="•"/>
      <w:lvlJc w:val="left"/>
      <w:pPr>
        <w:ind w:left="3143" w:hanging="334"/>
      </w:pPr>
      <w:rPr>
        <w:rFonts w:hint="default"/>
        <w:lang w:val="en-US" w:eastAsia="en-US" w:bidi="ar-SA"/>
      </w:rPr>
    </w:lvl>
    <w:lvl w:ilvl="4" w:tplc="A19EC798">
      <w:numFmt w:val="bullet"/>
      <w:lvlText w:val="•"/>
      <w:lvlJc w:val="left"/>
      <w:pPr>
        <w:ind w:left="4117" w:hanging="334"/>
      </w:pPr>
      <w:rPr>
        <w:rFonts w:hint="default"/>
        <w:lang w:val="en-US" w:eastAsia="en-US" w:bidi="ar-SA"/>
      </w:rPr>
    </w:lvl>
    <w:lvl w:ilvl="5" w:tplc="996A0816">
      <w:numFmt w:val="bullet"/>
      <w:lvlText w:val="•"/>
      <w:lvlJc w:val="left"/>
      <w:pPr>
        <w:ind w:left="5092" w:hanging="334"/>
      </w:pPr>
      <w:rPr>
        <w:rFonts w:hint="default"/>
        <w:lang w:val="en-US" w:eastAsia="en-US" w:bidi="ar-SA"/>
      </w:rPr>
    </w:lvl>
    <w:lvl w:ilvl="6" w:tplc="9026A1C4">
      <w:numFmt w:val="bullet"/>
      <w:lvlText w:val="•"/>
      <w:lvlJc w:val="left"/>
      <w:pPr>
        <w:ind w:left="6066" w:hanging="334"/>
      </w:pPr>
      <w:rPr>
        <w:rFonts w:hint="default"/>
        <w:lang w:val="en-US" w:eastAsia="en-US" w:bidi="ar-SA"/>
      </w:rPr>
    </w:lvl>
    <w:lvl w:ilvl="7" w:tplc="7E563182">
      <w:numFmt w:val="bullet"/>
      <w:lvlText w:val="•"/>
      <w:lvlJc w:val="left"/>
      <w:pPr>
        <w:ind w:left="7040" w:hanging="334"/>
      </w:pPr>
      <w:rPr>
        <w:rFonts w:hint="default"/>
        <w:lang w:val="en-US" w:eastAsia="en-US" w:bidi="ar-SA"/>
      </w:rPr>
    </w:lvl>
    <w:lvl w:ilvl="8" w:tplc="C74C5BE4">
      <w:numFmt w:val="bullet"/>
      <w:lvlText w:val="•"/>
      <w:lvlJc w:val="left"/>
      <w:pPr>
        <w:ind w:left="8015" w:hanging="334"/>
      </w:pPr>
      <w:rPr>
        <w:rFonts w:hint="default"/>
        <w:lang w:val="en-US" w:eastAsia="en-US" w:bidi="ar-SA"/>
      </w:rPr>
    </w:lvl>
  </w:abstractNum>
  <w:abstractNum w:abstractNumId="5" w15:restartNumberingAfterBreak="0">
    <w:nsid w:val="29217F4B"/>
    <w:multiLevelType w:val="hybridMultilevel"/>
    <w:tmpl w:val="4AE49D9A"/>
    <w:lvl w:ilvl="0" w:tplc="8544EAB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1C069C"/>
    <w:multiLevelType w:val="hybridMultilevel"/>
    <w:tmpl w:val="5C6E52CA"/>
    <w:lvl w:ilvl="0" w:tplc="94A8844C">
      <w:start w:val="1"/>
      <w:numFmt w:val="decimal"/>
      <w:lvlText w:val="%1."/>
      <w:lvlJc w:val="left"/>
      <w:pPr>
        <w:ind w:left="100" w:hanging="244"/>
      </w:pPr>
      <w:rPr>
        <w:rFonts w:ascii="Times New Roman" w:eastAsia="Times New Roman" w:hAnsi="Times New Roman" w:cs="Times New Roman" w:hint="default"/>
        <w:b w:val="0"/>
        <w:bCs w:val="0"/>
        <w:i/>
        <w:iCs/>
        <w:w w:val="100"/>
        <w:sz w:val="24"/>
        <w:szCs w:val="24"/>
        <w:lang w:val="en-US" w:eastAsia="en-US" w:bidi="ar-SA"/>
      </w:rPr>
    </w:lvl>
    <w:lvl w:ilvl="1" w:tplc="B6683C98">
      <w:start w:val="1"/>
      <w:numFmt w:val="lowerLetter"/>
      <w:lvlText w:val="(%2)"/>
      <w:lvlJc w:val="left"/>
      <w:pPr>
        <w:ind w:left="100" w:hanging="335"/>
      </w:pPr>
      <w:rPr>
        <w:rFonts w:ascii="Times New Roman" w:eastAsia="Times New Roman" w:hAnsi="Times New Roman" w:cs="Times New Roman" w:hint="default"/>
        <w:b w:val="0"/>
        <w:bCs w:val="0"/>
        <w:i/>
        <w:iCs/>
        <w:w w:val="100"/>
        <w:sz w:val="24"/>
        <w:szCs w:val="24"/>
        <w:lang w:val="en-US" w:eastAsia="en-US" w:bidi="ar-SA"/>
      </w:rPr>
    </w:lvl>
    <w:lvl w:ilvl="2" w:tplc="194E1474">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3" w:tplc="2D904B6C">
      <w:numFmt w:val="bullet"/>
      <w:lvlText w:val="•"/>
      <w:lvlJc w:val="left"/>
      <w:pPr>
        <w:ind w:left="1963" w:hanging="360"/>
      </w:pPr>
      <w:rPr>
        <w:rFonts w:hint="default"/>
        <w:lang w:val="en-US" w:eastAsia="en-US" w:bidi="ar-SA"/>
      </w:rPr>
    </w:lvl>
    <w:lvl w:ilvl="4" w:tplc="BD76F592">
      <w:numFmt w:val="bullet"/>
      <w:lvlText w:val="•"/>
      <w:lvlJc w:val="left"/>
      <w:pPr>
        <w:ind w:left="3106" w:hanging="360"/>
      </w:pPr>
      <w:rPr>
        <w:rFonts w:hint="default"/>
        <w:lang w:val="en-US" w:eastAsia="en-US" w:bidi="ar-SA"/>
      </w:rPr>
    </w:lvl>
    <w:lvl w:ilvl="5" w:tplc="9CF4C54E">
      <w:numFmt w:val="bullet"/>
      <w:lvlText w:val="•"/>
      <w:lvlJc w:val="left"/>
      <w:pPr>
        <w:ind w:left="4249" w:hanging="360"/>
      </w:pPr>
      <w:rPr>
        <w:rFonts w:hint="default"/>
        <w:lang w:val="en-US" w:eastAsia="en-US" w:bidi="ar-SA"/>
      </w:rPr>
    </w:lvl>
    <w:lvl w:ilvl="6" w:tplc="B7862D8C">
      <w:numFmt w:val="bullet"/>
      <w:lvlText w:val="•"/>
      <w:lvlJc w:val="left"/>
      <w:pPr>
        <w:ind w:left="5392" w:hanging="360"/>
      </w:pPr>
      <w:rPr>
        <w:rFonts w:hint="default"/>
        <w:lang w:val="en-US" w:eastAsia="en-US" w:bidi="ar-SA"/>
      </w:rPr>
    </w:lvl>
    <w:lvl w:ilvl="7" w:tplc="DB945AF8">
      <w:numFmt w:val="bullet"/>
      <w:lvlText w:val="•"/>
      <w:lvlJc w:val="left"/>
      <w:pPr>
        <w:ind w:left="6535" w:hanging="360"/>
      </w:pPr>
      <w:rPr>
        <w:rFonts w:hint="default"/>
        <w:lang w:val="en-US" w:eastAsia="en-US" w:bidi="ar-SA"/>
      </w:rPr>
    </w:lvl>
    <w:lvl w:ilvl="8" w:tplc="45D2EAAA">
      <w:numFmt w:val="bullet"/>
      <w:lvlText w:val="•"/>
      <w:lvlJc w:val="left"/>
      <w:pPr>
        <w:ind w:left="7678" w:hanging="360"/>
      </w:pPr>
      <w:rPr>
        <w:rFonts w:hint="default"/>
        <w:lang w:val="en-US" w:eastAsia="en-US" w:bidi="ar-SA"/>
      </w:rPr>
    </w:lvl>
  </w:abstractNum>
  <w:abstractNum w:abstractNumId="7" w15:restartNumberingAfterBreak="0">
    <w:nsid w:val="7D463A5F"/>
    <w:multiLevelType w:val="hybridMultilevel"/>
    <w:tmpl w:val="40B612AA"/>
    <w:lvl w:ilvl="0" w:tplc="6A56C266">
      <w:start w:val="1"/>
      <w:numFmt w:val="decimal"/>
      <w:lvlText w:val="%1."/>
      <w:lvlJc w:val="left"/>
      <w:pPr>
        <w:ind w:left="340" w:hanging="240"/>
      </w:pPr>
      <w:rPr>
        <w:rFonts w:ascii="Times New Roman" w:eastAsia="Times New Roman" w:hAnsi="Times New Roman" w:cs="Times New Roman" w:hint="default"/>
        <w:b w:val="0"/>
        <w:bCs w:val="0"/>
        <w:i w:val="0"/>
        <w:iCs w:val="0"/>
        <w:w w:val="100"/>
        <w:sz w:val="24"/>
        <w:szCs w:val="24"/>
        <w:lang w:val="en-US" w:eastAsia="en-US" w:bidi="ar-SA"/>
      </w:rPr>
    </w:lvl>
    <w:lvl w:ilvl="1" w:tplc="53EE6340">
      <w:numFmt w:val="bullet"/>
      <w:lvlText w:val="•"/>
      <w:lvlJc w:val="left"/>
      <w:pPr>
        <w:ind w:left="1302" w:hanging="240"/>
      </w:pPr>
      <w:rPr>
        <w:rFonts w:hint="default"/>
        <w:lang w:val="en-US" w:eastAsia="en-US" w:bidi="ar-SA"/>
      </w:rPr>
    </w:lvl>
    <w:lvl w:ilvl="2" w:tplc="213A26BA">
      <w:numFmt w:val="bullet"/>
      <w:lvlText w:val="•"/>
      <w:lvlJc w:val="left"/>
      <w:pPr>
        <w:ind w:left="2264" w:hanging="240"/>
      </w:pPr>
      <w:rPr>
        <w:rFonts w:hint="default"/>
        <w:lang w:val="en-US" w:eastAsia="en-US" w:bidi="ar-SA"/>
      </w:rPr>
    </w:lvl>
    <w:lvl w:ilvl="3" w:tplc="F59057E6">
      <w:numFmt w:val="bullet"/>
      <w:lvlText w:val="•"/>
      <w:lvlJc w:val="left"/>
      <w:pPr>
        <w:ind w:left="3227" w:hanging="240"/>
      </w:pPr>
      <w:rPr>
        <w:rFonts w:hint="default"/>
        <w:lang w:val="en-US" w:eastAsia="en-US" w:bidi="ar-SA"/>
      </w:rPr>
    </w:lvl>
    <w:lvl w:ilvl="4" w:tplc="69207FBA">
      <w:numFmt w:val="bullet"/>
      <w:lvlText w:val="•"/>
      <w:lvlJc w:val="left"/>
      <w:pPr>
        <w:ind w:left="4189" w:hanging="240"/>
      </w:pPr>
      <w:rPr>
        <w:rFonts w:hint="default"/>
        <w:lang w:val="en-US" w:eastAsia="en-US" w:bidi="ar-SA"/>
      </w:rPr>
    </w:lvl>
    <w:lvl w:ilvl="5" w:tplc="A216C1F4">
      <w:numFmt w:val="bullet"/>
      <w:lvlText w:val="•"/>
      <w:lvlJc w:val="left"/>
      <w:pPr>
        <w:ind w:left="5152" w:hanging="240"/>
      </w:pPr>
      <w:rPr>
        <w:rFonts w:hint="default"/>
        <w:lang w:val="en-US" w:eastAsia="en-US" w:bidi="ar-SA"/>
      </w:rPr>
    </w:lvl>
    <w:lvl w:ilvl="6" w:tplc="4114EE14">
      <w:numFmt w:val="bullet"/>
      <w:lvlText w:val="•"/>
      <w:lvlJc w:val="left"/>
      <w:pPr>
        <w:ind w:left="6114" w:hanging="240"/>
      </w:pPr>
      <w:rPr>
        <w:rFonts w:hint="default"/>
        <w:lang w:val="en-US" w:eastAsia="en-US" w:bidi="ar-SA"/>
      </w:rPr>
    </w:lvl>
    <w:lvl w:ilvl="7" w:tplc="F9DE7EF0">
      <w:numFmt w:val="bullet"/>
      <w:lvlText w:val="•"/>
      <w:lvlJc w:val="left"/>
      <w:pPr>
        <w:ind w:left="7076" w:hanging="240"/>
      </w:pPr>
      <w:rPr>
        <w:rFonts w:hint="default"/>
        <w:lang w:val="en-US" w:eastAsia="en-US" w:bidi="ar-SA"/>
      </w:rPr>
    </w:lvl>
    <w:lvl w:ilvl="8" w:tplc="33D02B5E">
      <w:numFmt w:val="bullet"/>
      <w:lvlText w:val="•"/>
      <w:lvlJc w:val="left"/>
      <w:pPr>
        <w:ind w:left="8039" w:hanging="240"/>
      </w:pPr>
      <w:rPr>
        <w:rFonts w:hint="default"/>
        <w:lang w:val="en-US" w:eastAsia="en-US" w:bidi="ar-SA"/>
      </w:rPr>
    </w:lvl>
  </w:abstractNum>
  <w:num w:numId="1" w16cid:durableId="1266840229">
    <w:abstractNumId w:val="7"/>
  </w:num>
  <w:num w:numId="2" w16cid:durableId="1999648132">
    <w:abstractNumId w:val="6"/>
  </w:num>
  <w:num w:numId="3" w16cid:durableId="1831365791">
    <w:abstractNumId w:val="4"/>
  </w:num>
  <w:num w:numId="4" w16cid:durableId="115174338">
    <w:abstractNumId w:val="2"/>
  </w:num>
  <w:num w:numId="5" w16cid:durableId="2046101420">
    <w:abstractNumId w:val="3"/>
  </w:num>
  <w:num w:numId="6" w16cid:durableId="2031952031">
    <w:abstractNumId w:val="1"/>
  </w:num>
  <w:num w:numId="7" w16cid:durableId="769742828">
    <w:abstractNumId w:val="5"/>
  </w:num>
  <w:num w:numId="8" w16cid:durableId="1408192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3A6"/>
    <w:rsid w:val="00010CF3"/>
    <w:rsid w:val="00011E27"/>
    <w:rsid w:val="000148BC"/>
    <w:rsid w:val="00024AB8"/>
    <w:rsid w:val="0003071A"/>
    <w:rsid w:val="00030854"/>
    <w:rsid w:val="00036028"/>
    <w:rsid w:val="0004198B"/>
    <w:rsid w:val="0004297B"/>
    <w:rsid w:val="00044642"/>
    <w:rsid w:val="000446B9"/>
    <w:rsid w:val="00047E21"/>
    <w:rsid w:val="00050E16"/>
    <w:rsid w:val="000524F8"/>
    <w:rsid w:val="00085505"/>
    <w:rsid w:val="000C4E25"/>
    <w:rsid w:val="000C7021"/>
    <w:rsid w:val="000D6BBC"/>
    <w:rsid w:val="000D7780"/>
    <w:rsid w:val="000D7E3A"/>
    <w:rsid w:val="000E636A"/>
    <w:rsid w:val="000F2E0D"/>
    <w:rsid w:val="000F2F11"/>
    <w:rsid w:val="00100A5F"/>
    <w:rsid w:val="00105929"/>
    <w:rsid w:val="00110BED"/>
    <w:rsid w:val="00110C36"/>
    <w:rsid w:val="001131D5"/>
    <w:rsid w:val="00114547"/>
    <w:rsid w:val="00141DB8"/>
    <w:rsid w:val="00172084"/>
    <w:rsid w:val="0017474A"/>
    <w:rsid w:val="001758C6"/>
    <w:rsid w:val="00182B99"/>
    <w:rsid w:val="001903A6"/>
    <w:rsid w:val="001A29AC"/>
    <w:rsid w:val="001B6B97"/>
    <w:rsid w:val="001C1525"/>
    <w:rsid w:val="001D5DC3"/>
    <w:rsid w:val="00212FB5"/>
    <w:rsid w:val="0021332C"/>
    <w:rsid w:val="00213982"/>
    <w:rsid w:val="00220DC0"/>
    <w:rsid w:val="00225BC7"/>
    <w:rsid w:val="0023616B"/>
    <w:rsid w:val="002370CE"/>
    <w:rsid w:val="0024416D"/>
    <w:rsid w:val="002456DE"/>
    <w:rsid w:val="00260EA2"/>
    <w:rsid w:val="00271335"/>
    <w:rsid w:val="00271911"/>
    <w:rsid w:val="00273187"/>
    <w:rsid w:val="002800A0"/>
    <w:rsid w:val="002801B3"/>
    <w:rsid w:val="00281060"/>
    <w:rsid w:val="00284050"/>
    <w:rsid w:val="00285BD0"/>
    <w:rsid w:val="0029161A"/>
    <w:rsid w:val="002940E8"/>
    <w:rsid w:val="00294751"/>
    <w:rsid w:val="002A6E50"/>
    <w:rsid w:val="002B4298"/>
    <w:rsid w:val="002B7A36"/>
    <w:rsid w:val="002C256A"/>
    <w:rsid w:val="002D5226"/>
    <w:rsid w:val="002E61B1"/>
    <w:rsid w:val="003022C5"/>
    <w:rsid w:val="00305A7F"/>
    <w:rsid w:val="00306639"/>
    <w:rsid w:val="003152FE"/>
    <w:rsid w:val="00327436"/>
    <w:rsid w:val="00344BD6"/>
    <w:rsid w:val="0035528D"/>
    <w:rsid w:val="00361821"/>
    <w:rsid w:val="00361E9E"/>
    <w:rsid w:val="003753EE"/>
    <w:rsid w:val="003A0835"/>
    <w:rsid w:val="003A5AAF"/>
    <w:rsid w:val="003B700A"/>
    <w:rsid w:val="003C7FBE"/>
    <w:rsid w:val="003D227C"/>
    <w:rsid w:val="003D2B4D"/>
    <w:rsid w:val="003F2907"/>
    <w:rsid w:val="003F37F5"/>
    <w:rsid w:val="00444A88"/>
    <w:rsid w:val="00474DA4"/>
    <w:rsid w:val="00476B4D"/>
    <w:rsid w:val="004805FA"/>
    <w:rsid w:val="004935D2"/>
    <w:rsid w:val="00495081"/>
    <w:rsid w:val="004B1215"/>
    <w:rsid w:val="004B70E3"/>
    <w:rsid w:val="004D047D"/>
    <w:rsid w:val="004F087F"/>
    <w:rsid w:val="004F1E9E"/>
    <w:rsid w:val="004F305A"/>
    <w:rsid w:val="004F681D"/>
    <w:rsid w:val="005061F5"/>
    <w:rsid w:val="00512164"/>
    <w:rsid w:val="005171D2"/>
    <w:rsid w:val="00520297"/>
    <w:rsid w:val="00532395"/>
    <w:rsid w:val="005338F9"/>
    <w:rsid w:val="0054281C"/>
    <w:rsid w:val="00544581"/>
    <w:rsid w:val="005505D9"/>
    <w:rsid w:val="0055268D"/>
    <w:rsid w:val="00574D29"/>
    <w:rsid w:val="00575DE2"/>
    <w:rsid w:val="00576BE4"/>
    <w:rsid w:val="005779DB"/>
    <w:rsid w:val="005A2A67"/>
    <w:rsid w:val="005A400A"/>
    <w:rsid w:val="005B269D"/>
    <w:rsid w:val="005D13A6"/>
    <w:rsid w:val="005F7B92"/>
    <w:rsid w:val="00612379"/>
    <w:rsid w:val="006153B6"/>
    <w:rsid w:val="0061555F"/>
    <w:rsid w:val="006245ED"/>
    <w:rsid w:val="0062468E"/>
    <w:rsid w:val="00636CA6"/>
    <w:rsid w:val="00641200"/>
    <w:rsid w:val="00644B33"/>
    <w:rsid w:val="00645CA8"/>
    <w:rsid w:val="006655D3"/>
    <w:rsid w:val="00667404"/>
    <w:rsid w:val="00687EB4"/>
    <w:rsid w:val="0069190F"/>
    <w:rsid w:val="006936BE"/>
    <w:rsid w:val="00695C56"/>
    <w:rsid w:val="006A5CDE"/>
    <w:rsid w:val="006A644A"/>
    <w:rsid w:val="006B0877"/>
    <w:rsid w:val="006B17D2"/>
    <w:rsid w:val="006C224E"/>
    <w:rsid w:val="006C37A8"/>
    <w:rsid w:val="006D780A"/>
    <w:rsid w:val="006F0A27"/>
    <w:rsid w:val="0071271E"/>
    <w:rsid w:val="00722595"/>
    <w:rsid w:val="00732DEC"/>
    <w:rsid w:val="0073565F"/>
    <w:rsid w:val="00735BD5"/>
    <w:rsid w:val="00741AEC"/>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30901"/>
    <w:rsid w:val="00846D7C"/>
    <w:rsid w:val="00866DE2"/>
    <w:rsid w:val="00867AC1"/>
    <w:rsid w:val="00871C26"/>
    <w:rsid w:val="008751DE"/>
    <w:rsid w:val="00886952"/>
    <w:rsid w:val="00890DF8"/>
    <w:rsid w:val="008A0ADE"/>
    <w:rsid w:val="008A743F"/>
    <w:rsid w:val="008C0970"/>
    <w:rsid w:val="008D0BC5"/>
    <w:rsid w:val="008D0F14"/>
    <w:rsid w:val="008D2CF7"/>
    <w:rsid w:val="00900C26"/>
    <w:rsid w:val="0090197F"/>
    <w:rsid w:val="00903264"/>
    <w:rsid w:val="00906DDC"/>
    <w:rsid w:val="00934E09"/>
    <w:rsid w:val="00936253"/>
    <w:rsid w:val="00940D46"/>
    <w:rsid w:val="009413F1"/>
    <w:rsid w:val="00952DD4"/>
    <w:rsid w:val="009561F4"/>
    <w:rsid w:val="00965AE7"/>
    <w:rsid w:val="00970FED"/>
    <w:rsid w:val="00992D82"/>
    <w:rsid w:val="009939DD"/>
    <w:rsid w:val="00997029"/>
    <w:rsid w:val="009A087F"/>
    <w:rsid w:val="009A7339"/>
    <w:rsid w:val="009B440E"/>
    <w:rsid w:val="009C536A"/>
    <w:rsid w:val="009D690D"/>
    <w:rsid w:val="009E6486"/>
    <w:rsid w:val="009E65B6"/>
    <w:rsid w:val="009E7203"/>
    <w:rsid w:val="009F0A51"/>
    <w:rsid w:val="009F77CF"/>
    <w:rsid w:val="00A23463"/>
    <w:rsid w:val="00A234D4"/>
    <w:rsid w:val="00A24C10"/>
    <w:rsid w:val="00A42AC3"/>
    <w:rsid w:val="00A430CF"/>
    <w:rsid w:val="00A54309"/>
    <w:rsid w:val="00A610A9"/>
    <w:rsid w:val="00A614C3"/>
    <w:rsid w:val="00A73882"/>
    <w:rsid w:val="00A80F2A"/>
    <w:rsid w:val="00A96C33"/>
    <w:rsid w:val="00AA4578"/>
    <w:rsid w:val="00AB2B93"/>
    <w:rsid w:val="00AB3E3D"/>
    <w:rsid w:val="00AB458F"/>
    <w:rsid w:val="00AB530F"/>
    <w:rsid w:val="00AB7E5B"/>
    <w:rsid w:val="00AC2883"/>
    <w:rsid w:val="00AD0E66"/>
    <w:rsid w:val="00AE0EF1"/>
    <w:rsid w:val="00AE2937"/>
    <w:rsid w:val="00B04221"/>
    <w:rsid w:val="00B07301"/>
    <w:rsid w:val="00B11F3E"/>
    <w:rsid w:val="00B224DE"/>
    <w:rsid w:val="00B324D4"/>
    <w:rsid w:val="00B46575"/>
    <w:rsid w:val="00B46AEE"/>
    <w:rsid w:val="00B47606"/>
    <w:rsid w:val="00B61777"/>
    <w:rsid w:val="00B622E6"/>
    <w:rsid w:val="00B809C3"/>
    <w:rsid w:val="00B83E82"/>
    <w:rsid w:val="00B84BBD"/>
    <w:rsid w:val="00BA43FB"/>
    <w:rsid w:val="00BB406D"/>
    <w:rsid w:val="00BB5339"/>
    <w:rsid w:val="00BC127D"/>
    <w:rsid w:val="00BC1FE6"/>
    <w:rsid w:val="00BD37E7"/>
    <w:rsid w:val="00BF71D8"/>
    <w:rsid w:val="00C061B6"/>
    <w:rsid w:val="00C06FEF"/>
    <w:rsid w:val="00C2446C"/>
    <w:rsid w:val="00C36AE5"/>
    <w:rsid w:val="00C41F17"/>
    <w:rsid w:val="00C527FA"/>
    <w:rsid w:val="00C5280D"/>
    <w:rsid w:val="00C53EB3"/>
    <w:rsid w:val="00C5791C"/>
    <w:rsid w:val="00C66290"/>
    <w:rsid w:val="00C72B7A"/>
    <w:rsid w:val="00C942B6"/>
    <w:rsid w:val="00C96D62"/>
    <w:rsid w:val="00C973F2"/>
    <w:rsid w:val="00CA304C"/>
    <w:rsid w:val="00CA774A"/>
    <w:rsid w:val="00CB4921"/>
    <w:rsid w:val="00CB7C6C"/>
    <w:rsid w:val="00CC11B0"/>
    <w:rsid w:val="00CC2841"/>
    <w:rsid w:val="00CD680A"/>
    <w:rsid w:val="00CF1330"/>
    <w:rsid w:val="00CF4BFF"/>
    <w:rsid w:val="00CF7E36"/>
    <w:rsid w:val="00D3708D"/>
    <w:rsid w:val="00D40426"/>
    <w:rsid w:val="00D503CD"/>
    <w:rsid w:val="00D57C96"/>
    <w:rsid w:val="00D57D18"/>
    <w:rsid w:val="00D643EC"/>
    <w:rsid w:val="00D70E65"/>
    <w:rsid w:val="00D7375B"/>
    <w:rsid w:val="00D91203"/>
    <w:rsid w:val="00D95174"/>
    <w:rsid w:val="00DA4973"/>
    <w:rsid w:val="00DA6F36"/>
    <w:rsid w:val="00DB596E"/>
    <w:rsid w:val="00DB7773"/>
    <w:rsid w:val="00DC00EA"/>
    <w:rsid w:val="00DC3802"/>
    <w:rsid w:val="00DD6208"/>
    <w:rsid w:val="00DF7E99"/>
    <w:rsid w:val="00E06AE0"/>
    <w:rsid w:val="00E07D87"/>
    <w:rsid w:val="00E14C45"/>
    <w:rsid w:val="00E249C8"/>
    <w:rsid w:val="00E32F7E"/>
    <w:rsid w:val="00E5267B"/>
    <w:rsid w:val="00E559F0"/>
    <w:rsid w:val="00E63C0E"/>
    <w:rsid w:val="00E72D49"/>
    <w:rsid w:val="00E7593C"/>
    <w:rsid w:val="00E7678A"/>
    <w:rsid w:val="00E935F1"/>
    <w:rsid w:val="00E94A81"/>
    <w:rsid w:val="00EA1FFB"/>
    <w:rsid w:val="00EA2A25"/>
    <w:rsid w:val="00EA5F73"/>
    <w:rsid w:val="00EA7C41"/>
    <w:rsid w:val="00EB048E"/>
    <w:rsid w:val="00EB4E9C"/>
    <w:rsid w:val="00EB5C4B"/>
    <w:rsid w:val="00EE34DF"/>
    <w:rsid w:val="00EF2F89"/>
    <w:rsid w:val="00F03E98"/>
    <w:rsid w:val="00F1237A"/>
    <w:rsid w:val="00F22CBD"/>
    <w:rsid w:val="00F272F1"/>
    <w:rsid w:val="00F31412"/>
    <w:rsid w:val="00F44BF1"/>
    <w:rsid w:val="00F45372"/>
    <w:rsid w:val="00F52AAE"/>
    <w:rsid w:val="00F560F7"/>
    <w:rsid w:val="00F5748F"/>
    <w:rsid w:val="00F6334D"/>
    <w:rsid w:val="00F63599"/>
    <w:rsid w:val="00F71781"/>
    <w:rsid w:val="00F9465F"/>
    <w:rsid w:val="00FA49AB"/>
    <w:rsid w:val="00FB43CA"/>
    <w:rsid w:val="00FC5FD0"/>
    <w:rsid w:val="00FE39C7"/>
    <w:rsid w:val="00FE5F16"/>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225957"/>
  <w15:docId w15:val="{D293F7CD-E5AD-4419-85CF-23FAE65F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link w:val="FooterChar"/>
    <w:autoRedefine/>
    <w:rsid w:val="00871C26"/>
    <w:pPr>
      <w:tabs>
        <w:tab w:val="left" w:leader="underscore" w:pos="2835"/>
      </w:tabs>
      <w:spacing w:before="120"/>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Revision">
    <w:name w:val="Revision"/>
    <w:hidden/>
    <w:uiPriority w:val="99"/>
    <w:semiHidden/>
    <w:rsid w:val="00220DC0"/>
    <w:rPr>
      <w:rFonts w:ascii="Arial" w:hAnsi="Arial"/>
    </w:rPr>
  </w:style>
  <w:style w:type="character" w:customStyle="1" w:styleId="FooterChar">
    <w:name w:val="Footer Char"/>
    <w:aliases w:val="doc_path_name Char"/>
    <w:basedOn w:val="DefaultParagraphFont"/>
    <w:link w:val="Footer"/>
    <w:rsid w:val="00871C26"/>
    <w:rPr>
      <w:rFonts w:ascii="Arial" w:hAnsi="Arial"/>
      <w:sz w:val="14"/>
    </w:rPr>
  </w:style>
  <w:style w:type="paragraph" w:styleId="ListParagraph">
    <w:name w:val="List Paragraph"/>
    <w:basedOn w:val="Normal"/>
    <w:uiPriority w:val="34"/>
    <w:qFormat/>
    <w:rsid w:val="005061F5"/>
    <w:pPr>
      <w:ind w:left="720"/>
      <w:contextualSpacing/>
    </w:pPr>
  </w:style>
  <w:style w:type="character" w:customStyle="1" w:styleId="Heading1Char">
    <w:name w:val="Heading 1 Char"/>
    <w:basedOn w:val="DefaultParagraphFont"/>
    <w:link w:val="Heading1"/>
    <w:rsid w:val="005061F5"/>
    <w:rPr>
      <w:rFonts w:ascii="Arial" w:hAnsi="Arial"/>
      <w:caps/>
    </w:rPr>
  </w:style>
  <w:style w:type="table" w:styleId="TableGrid">
    <w:name w:val="Table Grid"/>
    <w:basedOn w:val="TableNormal"/>
    <w:rsid w:val="005061F5"/>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677276">
      <w:bodyDiv w:val="1"/>
      <w:marLeft w:val="0"/>
      <w:marRight w:val="0"/>
      <w:marTop w:val="0"/>
      <w:marBottom w:val="0"/>
      <w:divBdr>
        <w:top w:val="none" w:sz="0" w:space="0" w:color="auto"/>
        <w:left w:val="none" w:sz="0" w:space="0" w:color="auto"/>
        <w:bottom w:val="none" w:sz="0" w:space="0" w:color="auto"/>
        <w:right w:val="none" w:sz="0" w:space="0" w:color="auto"/>
      </w:divBdr>
    </w:div>
    <w:div w:id="188106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Ad%20hoc%20Working%20Groups\WG-HRV\WG-HRV_6_October_22_2024\templates\wg_hrv_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1B79D-C0CD-49A8-938E-8CAB423A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wg_hrv_6_EN.dotx</Template>
  <TotalTime>158</TotalTime>
  <Pages>9</Pages>
  <Words>2277</Words>
  <Characters>11960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WG-HRV/7/2</vt:lpstr>
    </vt:vector>
  </TitlesOfParts>
  <Company>UPOV</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WG-HRV/7/2</dc:title>
  <dc:creator>NICOLO Laurianne</dc:creator>
  <cp:keywords>, docId:2266B4B1F152EE89B7320966DE3B8F56</cp:keywords>
  <cp:lastModifiedBy>NICOLO Laurianne</cp:lastModifiedBy>
  <cp:revision>25</cp:revision>
  <cp:lastPrinted>2016-11-22T15:41:00Z</cp:lastPrinted>
  <dcterms:created xsi:type="dcterms:W3CDTF">2025-02-20T09:24:00Z</dcterms:created>
  <dcterms:modified xsi:type="dcterms:W3CDTF">2025-03-11T15:01:00Z</dcterms:modified>
</cp:coreProperties>
</file>