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44225F" w14:paraId="137622DC" w14:textId="77777777" w:rsidTr="00EB4E9C">
        <w:tc>
          <w:tcPr>
            <w:tcW w:w="6522" w:type="dxa"/>
          </w:tcPr>
          <w:p w14:paraId="343D5387" w14:textId="77777777" w:rsidR="00DC3802" w:rsidRPr="0044225F" w:rsidRDefault="00DC3802" w:rsidP="00AC2883">
            <w:r w:rsidRPr="0044225F">
              <w:drawing>
                <wp:inline distT="0" distB="0" distL="0" distR="0" wp14:anchorId="4395F57A" wp14:editId="6AF71FD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FBA26FA" w14:textId="25B27241" w:rsidR="00B41F4E" w:rsidRPr="0044225F" w:rsidRDefault="00A83900">
            <w:pPr>
              <w:pStyle w:val="Lettrine"/>
            </w:pPr>
            <w:r w:rsidRPr="0044225F">
              <w:t>F</w:t>
            </w:r>
          </w:p>
        </w:tc>
      </w:tr>
      <w:tr w:rsidR="00DC3802" w:rsidRPr="0044225F" w14:paraId="696C6841" w14:textId="77777777" w:rsidTr="00645CA8">
        <w:trPr>
          <w:trHeight w:val="219"/>
        </w:trPr>
        <w:tc>
          <w:tcPr>
            <w:tcW w:w="6522" w:type="dxa"/>
          </w:tcPr>
          <w:p w14:paraId="362403D3" w14:textId="77777777" w:rsidR="00B41F4E" w:rsidRPr="0044225F" w:rsidRDefault="00B3673B">
            <w:pPr>
              <w:pStyle w:val="upove"/>
            </w:pPr>
            <w:r w:rsidRPr="0044225F">
              <w:t>Union internationale pour la protection des obtentions végétales</w:t>
            </w:r>
          </w:p>
        </w:tc>
        <w:tc>
          <w:tcPr>
            <w:tcW w:w="3117" w:type="dxa"/>
          </w:tcPr>
          <w:p w14:paraId="1EB38E72" w14:textId="77777777" w:rsidR="00DC3802" w:rsidRPr="0044225F" w:rsidRDefault="00DC3802" w:rsidP="00DA4973"/>
        </w:tc>
      </w:tr>
    </w:tbl>
    <w:p w14:paraId="7EE87255" w14:textId="77777777" w:rsidR="00DC3802" w:rsidRPr="0044225F" w:rsidRDefault="00DC3802" w:rsidP="00DC3802"/>
    <w:p w14:paraId="36771639" w14:textId="77777777" w:rsidR="0004297B" w:rsidRPr="0044225F" w:rsidRDefault="0004297B" w:rsidP="0004297B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04297B" w:rsidRPr="0044225F" w14:paraId="05BA71F8" w14:textId="77777777" w:rsidTr="00EB56DD">
        <w:tc>
          <w:tcPr>
            <w:tcW w:w="6512" w:type="dxa"/>
          </w:tcPr>
          <w:p w14:paraId="119C5F8D" w14:textId="3EDD2AF6" w:rsidR="00B41F4E" w:rsidRPr="0044225F" w:rsidRDefault="00A83900">
            <w:pPr>
              <w:pStyle w:val="Sessiontc"/>
              <w:spacing w:line="240" w:lineRule="auto"/>
            </w:pPr>
            <w:bookmarkStart w:id="0" w:name="_Hlk174002565"/>
            <w:r w:rsidRPr="0044225F">
              <w:t>Groupe de travail sur le produit de la récolte et l’utilisation non</w:t>
            </w:r>
            <w:r w:rsidR="000F6FD1">
              <w:t> </w:t>
            </w:r>
            <w:r w:rsidRPr="0044225F">
              <w:t>autorisée de matériel de reproduction ou de multiplication</w:t>
            </w:r>
          </w:p>
          <w:bookmarkEnd w:id="0"/>
          <w:p w14:paraId="370A6BB5" w14:textId="77777777" w:rsidR="00B41F4E" w:rsidRPr="0044225F" w:rsidRDefault="00B3673B">
            <w:pPr>
              <w:pStyle w:val="Sessiontcplacedate"/>
            </w:pPr>
            <w:r w:rsidRPr="0044225F">
              <w:t xml:space="preserve">Sixième </w:t>
            </w:r>
            <w:r w:rsidR="00A73882" w:rsidRPr="0044225F">
              <w:t>réunion</w:t>
            </w:r>
          </w:p>
          <w:p w14:paraId="25D2BD2C" w14:textId="77777777" w:rsidR="00B41F4E" w:rsidRPr="0044225F" w:rsidRDefault="00B3673B">
            <w:pPr>
              <w:pStyle w:val="Sessiontcplacedate"/>
              <w:rPr>
                <w:sz w:val="22"/>
              </w:rPr>
            </w:pPr>
            <w:r w:rsidRPr="0044225F">
              <w:t xml:space="preserve">Genève, </w:t>
            </w:r>
            <w:r w:rsidR="00CD680A" w:rsidRPr="0044225F">
              <w:t xml:space="preserve">22 octobre </w:t>
            </w:r>
            <w:r w:rsidR="009E7203" w:rsidRPr="0044225F">
              <w:t>2024</w:t>
            </w:r>
          </w:p>
        </w:tc>
        <w:tc>
          <w:tcPr>
            <w:tcW w:w="3127" w:type="dxa"/>
          </w:tcPr>
          <w:p w14:paraId="20B0003A" w14:textId="77777777" w:rsidR="00B41F4E" w:rsidRPr="0044225F" w:rsidRDefault="00991E86">
            <w:pPr>
              <w:pStyle w:val="Doccode"/>
              <w:rPr>
                <w:lang w:val="fr-FR"/>
              </w:rPr>
            </w:pPr>
            <w:r w:rsidRPr="0044225F">
              <w:rPr>
                <w:lang w:val="fr-FR"/>
              </w:rPr>
              <w:t>WG-HRV/6/2</w:t>
            </w:r>
          </w:p>
          <w:p w14:paraId="1B05703D" w14:textId="77777777" w:rsidR="0004297B" w:rsidRPr="0044225F" w:rsidRDefault="0004297B" w:rsidP="00EB56DD">
            <w:pPr>
              <w:pStyle w:val="Doccode"/>
              <w:rPr>
                <w:lang w:val="fr-FR"/>
              </w:rPr>
            </w:pPr>
          </w:p>
          <w:p w14:paraId="3AAF8C5B" w14:textId="57455091" w:rsidR="00B41F4E" w:rsidRPr="0044225F" w:rsidRDefault="00B3673B">
            <w:pPr>
              <w:pStyle w:val="Docoriginal"/>
            </w:pPr>
            <w:r w:rsidRPr="0044225F">
              <w:t>Original :</w:t>
            </w:r>
            <w:r w:rsidRPr="0044225F">
              <w:rPr>
                <w:b w:val="0"/>
                <w:spacing w:val="0"/>
              </w:rPr>
              <w:t xml:space="preserve">  </w:t>
            </w:r>
            <w:r w:rsidR="0044225F" w:rsidRPr="0044225F">
              <w:rPr>
                <w:b w:val="0"/>
                <w:spacing w:val="0"/>
              </w:rPr>
              <w:t>a</w:t>
            </w:r>
            <w:r w:rsidRPr="0044225F">
              <w:rPr>
                <w:b w:val="0"/>
                <w:spacing w:val="0"/>
              </w:rPr>
              <w:t>nglais</w:t>
            </w:r>
          </w:p>
          <w:p w14:paraId="7BA861BC" w14:textId="77777777" w:rsidR="00B41F4E" w:rsidRPr="0044225F" w:rsidRDefault="00B3673B">
            <w:pPr>
              <w:pStyle w:val="Docoriginal"/>
            </w:pPr>
            <w:r w:rsidRPr="0044225F">
              <w:t xml:space="preserve">Date :  </w:t>
            </w:r>
            <w:r w:rsidR="007B7881" w:rsidRPr="0044225F">
              <w:rPr>
                <w:b w:val="0"/>
                <w:spacing w:val="0"/>
              </w:rPr>
              <w:t xml:space="preserve">6 août </w:t>
            </w:r>
            <w:r w:rsidR="006F30A5" w:rsidRPr="0044225F">
              <w:rPr>
                <w:b w:val="0"/>
                <w:spacing w:val="0"/>
              </w:rPr>
              <w:t>2024</w:t>
            </w:r>
          </w:p>
        </w:tc>
      </w:tr>
    </w:tbl>
    <w:p w14:paraId="5CB2F68E" w14:textId="67ACC6F3" w:rsidR="00B41F4E" w:rsidRPr="0044225F" w:rsidRDefault="00B3673B">
      <w:pPr>
        <w:pStyle w:val="Titleofdoc0"/>
      </w:pPr>
      <w:r w:rsidRPr="0044225F">
        <w:t>Perspectives de commande</w:t>
      </w:r>
      <w:r w:rsidR="00A83900" w:rsidRPr="0044225F">
        <w:t xml:space="preserve">R </w:t>
      </w:r>
      <w:r w:rsidRPr="0044225F">
        <w:t xml:space="preserve">une étude sur "l'étendue du droit d'obtenteur" et </w:t>
      </w:r>
      <w:r w:rsidR="00A83900" w:rsidRPr="0044225F">
        <w:t>LE RAPPORT</w:t>
      </w:r>
      <w:r w:rsidRPr="0044225F">
        <w:t xml:space="preserve"> avec "l'épuisement du droit d'obtenteur".</w:t>
      </w:r>
    </w:p>
    <w:p w14:paraId="58A9A005" w14:textId="77777777" w:rsidR="00B41F4E" w:rsidRPr="0044225F" w:rsidRDefault="00B3673B">
      <w:pPr>
        <w:pStyle w:val="preparedby1"/>
        <w:jc w:val="left"/>
      </w:pPr>
      <w:r w:rsidRPr="0044225F">
        <w:t>Document préparé par le Bureau de l'Union</w:t>
      </w:r>
    </w:p>
    <w:p w14:paraId="7E6CB202" w14:textId="34571B7C" w:rsidR="00B41F4E" w:rsidRPr="0044225F" w:rsidRDefault="00B3673B">
      <w:pPr>
        <w:pStyle w:val="Disclaimer"/>
        <w:rPr>
          <w:lang w:val="fr-FR"/>
        </w:rPr>
      </w:pPr>
      <w:r w:rsidRPr="0044225F">
        <w:rPr>
          <w:lang w:val="fr-FR"/>
        </w:rPr>
        <w:t>Avertissement : le présent document ne représente pas les principes ou les orientations de l'UPOV.</w:t>
      </w:r>
      <w:r w:rsidR="00A83900" w:rsidRPr="0044225F">
        <w:rPr>
          <w:lang w:val="fr-FR"/>
        </w:rPr>
        <w:br/>
      </w:r>
      <w:r w:rsidR="00A83900" w:rsidRPr="0044225F">
        <w:rPr>
          <w:lang w:val="fr-FR"/>
        </w:rPr>
        <w:br/>
        <w:t>Ce document a été généré à l'aide d'une traduction automatique dont l'exactitude ne peut être garantie. Par conséquent, le texte dans la langue originale est la seule version authentique.</w:t>
      </w:r>
    </w:p>
    <w:p w14:paraId="3A8D28EF" w14:textId="77777777" w:rsidR="00B41F4E" w:rsidRPr="0044225F" w:rsidRDefault="00B3673B">
      <w:pPr>
        <w:pStyle w:val="Heading1"/>
        <w:rPr>
          <w:snapToGrid w:val="0"/>
          <w:lang w:val="fr-FR"/>
        </w:rPr>
      </w:pPr>
      <w:bookmarkStart w:id="1" w:name="_Toc172119332"/>
      <w:r w:rsidRPr="0044225F">
        <w:rPr>
          <w:snapToGrid w:val="0"/>
          <w:lang w:val="fr-FR"/>
        </w:rPr>
        <w:t>Resumé</w:t>
      </w:r>
      <w:bookmarkEnd w:id="1"/>
    </w:p>
    <w:p w14:paraId="54682733" w14:textId="77777777" w:rsidR="006F30A5" w:rsidRPr="0044225F" w:rsidRDefault="006F30A5" w:rsidP="006F30A5">
      <w:pPr>
        <w:rPr>
          <w:rFonts w:cs="Arial"/>
          <w:snapToGrid w:val="0"/>
          <w:sz w:val="16"/>
          <w:szCs w:val="16"/>
        </w:rPr>
      </w:pPr>
    </w:p>
    <w:p w14:paraId="3AB4A938" w14:textId="4383AE6C" w:rsidR="00B41F4E" w:rsidRPr="0044225F" w:rsidRDefault="00B3673B">
      <w:pPr>
        <w:rPr>
          <w:rFonts w:cs="Arial"/>
        </w:rPr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  <w:t xml:space="preserve">Le présent document a pour objet d'inviter le </w:t>
      </w:r>
      <w:r w:rsidR="00693B32" w:rsidRPr="0044225F">
        <w:rPr>
          <w:rFonts w:cs="Arial"/>
        </w:rPr>
        <w:t>Groupe de travail sur le produit de la récolte et l’utilisation non autorisée de matériel de reproduction ou de multiplication</w:t>
      </w:r>
      <w:r w:rsidRPr="0044225F">
        <w:rPr>
          <w:rFonts w:cs="Arial"/>
        </w:rPr>
        <w:t xml:space="preserve"> (WG-HRV) à examiner une proposition de mandat pour une étude. </w:t>
      </w:r>
      <w:r w:rsidR="00693B32" w:rsidRPr="0044225F">
        <w:rPr>
          <w:rFonts w:cs="Arial"/>
        </w:rPr>
        <w:t xml:space="preserve"> </w:t>
      </w:r>
      <w:r w:rsidRPr="0044225F">
        <w:rPr>
          <w:rFonts w:cs="Arial"/>
        </w:rPr>
        <w:t>L'étude portera sur les aspects relatifs à l'étendue du droit d'obtenteur et à l'épuisement du droit d'obtenteur.</w:t>
      </w:r>
    </w:p>
    <w:p w14:paraId="3FCC8D14" w14:textId="77777777" w:rsidR="006F30A5" w:rsidRPr="0044225F" w:rsidRDefault="006F30A5" w:rsidP="006F30A5">
      <w:pPr>
        <w:rPr>
          <w:rFonts w:cs="Arial"/>
        </w:rPr>
      </w:pPr>
    </w:p>
    <w:p w14:paraId="254D19E6" w14:textId="77777777" w:rsidR="00B41F4E" w:rsidRPr="0044225F" w:rsidRDefault="00B3673B">
      <w:pPr>
        <w:rPr>
          <w:rFonts w:cs="Arial"/>
        </w:rPr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  <w:t>La structure de ce document est la suivante :</w:t>
      </w:r>
    </w:p>
    <w:p w14:paraId="19E75A08" w14:textId="77777777" w:rsidR="006F30A5" w:rsidRPr="0044225F" w:rsidRDefault="006F30A5" w:rsidP="006F30A5">
      <w:pPr>
        <w:rPr>
          <w:rFonts w:cs="Arial"/>
          <w:sz w:val="14"/>
          <w:szCs w:val="14"/>
        </w:rPr>
      </w:pPr>
    </w:p>
    <w:sdt>
      <w:sdtPr>
        <w:rPr>
          <w:rFonts w:cs="Arial"/>
          <w:sz w:val="18"/>
          <w:szCs w:val="18"/>
        </w:rPr>
        <w:id w:val="-454788501"/>
        <w:docPartObj>
          <w:docPartGallery w:val="Table of Contents"/>
          <w:docPartUnique/>
        </w:docPartObj>
      </w:sdtPr>
      <w:sdtEndPr>
        <w:rPr>
          <w:caps w:val="0"/>
          <w:sz w:val="20"/>
          <w:highlight w:val="green"/>
          <w:lang w:val="fr-FR"/>
        </w:rPr>
      </w:sdtEndPr>
      <w:sdtContent>
        <w:p w14:paraId="5B75B7B3" w14:textId="77777777" w:rsidR="00B41F4E" w:rsidRPr="0044225F" w:rsidRDefault="00B3673B" w:rsidP="000F6FD1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zh-TW"/>
              <w14:ligatures w14:val="standardContextual"/>
            </w:rPr>
          </w:pPr>
          <w:r w:rsidRPr="0044225F">
            <w:rPr>
              <w:rFonts w:cs="Arial"/>
              <w:sz w:val="18"/>
              <w:szCs w:val="18"/>
            </w:rPr>
            <w:fldChar w:fldCharType="begin"/>
          </w:r>
          <w:r w:rsidRPr="0044225F">
            <w:rPr>
              <w:rFonts w:cs="Arial"/>
              <w:sz w:val="18"/>
              <w:szCs w:val="18"/>
            </w:rPr>
            <w:instrText xml:space="preserve"> TOC \o "1-3" \h \z \u </w:instrText>
          </w:r>
          <w:r w:rsidRPr="0044225F">
            <w:rPr>
              <w:rFonts w:cs="Arial"/>
              <w:sz w:val="18"/>
              <w:szCs w:val="18"/>
            </w:rPr>
            <w:fldChar w:fldCharType="separate"/>
          </w:r>
          <w:hyperlink w:anchor="_Toc172119332" w:history="1">
            <w:r w:rsidR="00556863" w:rsidRPr="0044225F">
              <w:rPr>
                <w:rStyle w:val="Hyperlink"/>
                <w:snapToGrid w:val="0"/>
                <w:lang w:val="fr-FR"/>
              </w:rPr>
              <w:t>Resumé</w:t>
            </w:r>
            <w:r w:rsidR="00556863" w:rsidRPr="0044225F">
              <w:rPr>
                <w:webHidden/>
              </w:rPr>
              <w:tab/>
            </w:r>
            <w:r w:rsidR="00556863" w:rsidRPr="0044225F">
              <w:rPr>
                <w:webHidden/>
              </w:rPr>
              <w:fldChar w:fldCharType="begin"/>
            </w:r>
            <w:r w:rsidR="00556863" w:rsidRPr="0044225F">
              <w:rPr>
                <w:webHidden/>
              </w:rPr>
              <w:instrText xml:space="preserve"> PAGEREF _Toc172119332 \h </w:instrText>
            </w:r>
            <w:r w:rsidR="00556863" w:rsidRPr="0044225F">
              <w:rPr>
                <w:webHidden/>
              </w:rPr>
            </w:r>
            <w:r w:rsidR="00556863" w:rsidRPr="0044225F">
              <w:rPr>
                <w:webHidden/>
              </w:rPr>
              <w:fldChar w:fldCharType="separate"/>
            </w:r>
            <w:r w:rsidR="00556863" w:rsidRPr="0044225F">
              <w:rPr>
                <w:webHidden/>
              </w:rPr>
              <w:t>1</w:t>
            </w:r>
            <w:r w:rsidR="00556863" w:rsidRPr="0044225F">
              <w:rPr>
                <w:webHidden/>
              </w:rPr>
              <w:fldChar w:fldCharType="end"/>
            </w:r>
          </w:hyperlink>
        </w:p>
        <w:p w14:paraId="4E154337" w14:textId="77777777" w:rsidR="00B41F4E" w:rsidRPr="0044225F" w:rsidRDefault="00214ABC" w:rsidP="000F6FD1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zh-TW"/>
              <w14:ligatures w14:val="standardContextual"/>
            </w:rPr>
          </w:pPr>
          <w:hyperlink w:anchor="_Toc172119333" w:history="1">
            <w:r w:rsidR="00556863" w:rsidRPr="0044225F">
              <w:rPr>
                <w:rStyle w:val="Hyperlink"/>
                <w:lang w:val="fr-FR"/>
              </w:rPr>
              <w:t>CONTEXTE</w:t>
            </w:r>
            <w:r w:rsidR="00556863" w:rsidRPr="0044225F">
              <w:rPr>
                <w:webHidden/>
              </w:rPr>
              <w:tab/>
            </w:r>
            <w:r w:rsidR="00556863" w:rsidRPr="0044225F">
              <w:rPr>
                <w:webHidden/>
              </w:rPr>
              <w:fldChar w:fldCharType="begin"/>
            </w:r>
            <w:r w:rsidR="00556863" w:rsidRPr="0044225F">
              <w:rPr>
                <w:webHidden/>
              </w:rPr>
              <w:instrText xml:space="preserve"> PAGEREF _Toc172119333 \h </w:instrText>
            </w:r>
            <w:r w:rsidR="00556863" w:rsidRPr="0044225F">
              <w:rPr>
                <w:webHidden/>
              </w:rPr>
            </w:r>
            <w:r w:rsidR="00556863" w:rsidRPr="0044225F">
              <w:rPr>
                <w:webHidden/>
              </w:rPr>
              <w:fldChar w:fldCharType="separate"/>
            </w:r>
            <w:r w:rsidR="00556863" w:rsidRPr="0044225F">
              <w:rPr>
                <w:webHidden/>
              </w:rPr>
              <w:t>1</w:t>
            </w:r>
            <w:r w:rsidR="00556863" w:rsidRPr="0044225F">
              <w:rPr>
                <w:webHidden/>
              </w:rPr>
              <w:fldChar w:fldCharType="end"/>
            </w:r>
          </w:hyperlink>
        </w:p>
        <w:p w14:paraId="20C0721E" w14:textId="77777777" w:rsidR="00B41F4E" w:rsidRPr="0044225F" w:rsidRDefault="00214ABC" w:rsidP="000F6FD1">
          <w:pPr>
            <w:pStyle w:val="TOC1"/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zh-TW"/>
              <w14:ligatures w14:val="standardContextual"/>
            </w:rPr>
          </w:pPr>
          <w:hyperlink w:anchor="_Toc172119334" w:history="1">
            <w:r w:rsidR="00556863" w:rsidRPr="0044225F">
              <w:rPr>
                <w:rStyle w:val="Hyperlink"/>
                <w:lang w:val="fr-FR"/>
              </w:rPr>
              <w:t>Réunion avec les membres du WG-HRV qui ont fait des propositions lors de la cinquième réunion sur les auteurs et le financement de l'étude</w:t>
            </w:r>
            <w:r w:rsidR="00556863" w:rsidRPr="0044225F">
              <w:rPr>
                <w:webHidden/>
              </w:rPr>
              <w:tab/>
            </w:r>
            <w:r w:rsidR="00556863" w:rsidRPr="0044225F">
              <w:rPr>
                <w:webHidden/>
              </w:rPr>
              <w:fldChar w:fldCharType="begin"/>
            </w:r>
            <w:r w:rsidR="00556863" w:rsidRPr="0044225F">
              <w:rPr>
                <w:webHidden/>
              </w:rPr>
              <w:instrText xml:space="preserve"> PAGEREF _Toc172119334 \h </w:instrText>
            </w:r>
            <w:r w:rsidR="00556863" w:rsidRPr="0044225F">
              <w:rPr>
                <w:webHidden/>
              </w:rPr>
            </w:r>
            <w:r w:rsidR="00556863" w:rsidRPr="0044225F">
              <w:rPr>
                <w:webHidden/>
              </w:rPr>
              <w:fldChar w:fldCharType="separate"/>
            </w:r>
            <w:r w:rsidR="00556863" w:rsidRPr="0044225F">
              <w:rPr>
                <w:webHidden/>
              </w:rPr>
              <w:t>2</w:t>
            </w:r>
            <w:r w:rsidR="00556863" w:rsidRPr="0044225F">
              <w:rPr>
                <w:webHidden/>
              </w:rPr>
              <w:fldChar w:fldCharType="end"/>
            </w:r>
          </w:hyperlink>
        </w:p>
        <w:p w14:paraId="11E6BA46" w14:textId="77777777" w:rsidR="00B41F4E" w:rsidRPr="0044225F" w:rsidRDefault="00B3673B" w:rsidP="000F6FD1">
          <w:pPr>
            <w:spacing w:before="120"/>
            <w:ind w:left="1134" w:right="283" w:hanging="1134"/>
            <w:rPr>
              <w:rFonts w:cs="Arial"/>
            </w:rPr>
          </w:pPr>
          <w:r w:rsidRPr="0044225F">
            <w:rPr>
              <w:rFonts w:cs="Arial"/>
              <w:caps/>
              <w:szCs w:val="18"/>
            </w:rPr>
            <w:fldChar w:fldCharType="end"/>
          </w:r>
          <w:r w:rsidRPr="0044225F">
            <w:rPr>
              <w:rFonts w:cs="Arial"/>
            </w:rPr>
            <w:t>ANNEXE</w:t>
          </w:r>
          <w:r w:rsidRPr="0044225F">
            <w:rPr>
              <w:rFonts w:cs="Arial"/>
            </w:rPr>
            <w:tab/>
          </w:r>
          <w:r w:rsidR="00556863" w:rsidRPr="0044225F">
            <w:rPr>
              <w:rFonts w:cs="Arial"/>
            </w:rPr>
            <w:t>PROJET DE MANDAT ACTUALISÉ DE L'ÉTUDE SUR "L'ÉTENDUE DU DROIT D'OBTENTEUR" ET LA RELATION AVEC "L'ÉPUISEMENT DU DROIT D'OBTENTEUR"</w:t>
          </w:r>
        </w:p>
        <w:p w14:paraId="5B84CCF2" w14:textId="77777777" w:rsidR="006F30A5" w:rsidRPr="0044225F" w:rsidRDefault="00214ABC" w:rsidP="006F30A5">
          <w:pPr>
            <w:spacing w:before="120"/>
            <w:ind w:left="1134" w:hanging="1134"/>
            <w:rPr>
              <w:rFonts w:cs="Arial"/>
            </w:rPr>
          </w:pPr>
        </w:p>
      </w:sdtContent>
    </w:sdt>
    <w:p w14:paraId="10B73EA0" w14:textId="77777777" w:rsidR="006F30A5" w:rsidRPr="0044225F" w:rsidRDefault="006F30A5" w:rsidP="006F30A5">
      <w:pPr>
        <w:rPr>
          <w:rFonts w:cs="Arial"/>
          <w:highlight w:val="yellow"/>
        </w:rPr>
      </w:pPr>
    </w:p>
    <w:p w14:paraId="60EA4A61" w14:textId="77777777" w:rsidR="00B41F4E" w:rsidRPr="0044225F" w:rsidRDefault="00B3673B">
      <w:pPr>
        <w:pStyle w:val="Heading1"/>
        <w:rPr>
          <w:lang w:val="fr-FR"/>
        </w:rPr>
      </w:pPr>
      <w:bookmarkStart w:id="2" w:name="_Toc172119333"/>
      <w:r w:rsidRPr="0044225F">
        <w:rPr>
          <w:lang w:val="fr-FR"/>
        </w:rPr>
        <w:t>CONTEXTE</w:t>
      </w:r>
      <w:bookmarkEnd w:id="2"/>
    </w:p>
    <w:p w14:paraId="1734454E" w14:textId="77777777" w:rsidR="006F30A5" w:rsidRPr="0044225F" w:rsidRDefault="006F30A5" w:rsidP="006F30A5"/>
    <w:bookmarkStart w:id="3" w:name="_Hlk158800361"/>
    <w:p w14:paraId="4B53818D" w14:textId="423C3035" w:rsidR="00B41F4E" w:rsidRPr="0044225F" w:rsidRDefault="00B3673B" w:rsidP="000F6FD1">
      <w:pPr>
        <w:widowControl w:val="0"/>
        <w:autoSpaceDE w:val="0"/>
        <w:autoSpaceDN w:val="0"/>
        <w:ind w:right="113"/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color w:val="000000"/>
        </w:rPr>
        <w:tab/>
        <w:t xml:space="preserve">Le WG-HRV, </w:t>
      </w:r>
      <w:r w:rsidRPr="0044225F">
        <w:rPr>
          <w:rFonts w:cs="Arial"/>
        </w:rPr>
        <w:t>au cours de sa troisième réunion</w:t>
      </w:r>
      <w:r w:rsidRPr="0044225F">
        <w:rPr>
          <w:rStyle w:val="FootnoteReference"/>
          <w:rFonts w:cs="Arial"/>
        </w:rPr>
        <w:footnoteReference w:id="2"/>
      </w:r>
      <w:r w:rsidR="000F6FD1">
        <w:rPr>
          <w:rFonts w:cs="Arial"/>
        </w:rPr>
        <w:t>,</w:t>
      </w:r>
      <w:r w:rsidRPr="0044225F">
        <w:rPr>
          <w:color w:val="000000"/>
        </w:rPr>
        <w:t xml:space="preserve"> est convenu d'organiser une étude pour l'aider dans ses délibérations sur "l'étendue du droit d'obtenteur" à l'article 14.1) et 2) de l'Acte de 1991, y compris les notions d'"utilisation non autorisée" et d'"opportunité raisonnable" et la relation avec l'"épuisement du droit d'obtenteur" </w:t>
      </w:r>
      <w:r w:rsidR="00693B32" w:rsidRPr="0044225F">
        <w:rPr>
          <w:color w:val="000000"/>
        </w:rPr>
        <w:t xml:space="preserve">dans </w:t>
      </w:r>
      <w:r w:rsidRPr="0044225F">
        <w:rPr>
          <w:color w:val="000000"/>
        </w:rPr>
        <w:t>l'article 16 de l'Acte de 1991 (</w:t>
      </w:r>
      <w:r w:rsidR="000F6FD1">
        <w:rPr>
          <w:color w:val="000000"/>
        </w:rPr>
        <w:t xml:space="preserve">voir le document </w:t>
      </w:r>
      <w:r w:rsidRPr="0044225F">
        <w:rPr>
          <w:color w:val="000000"/>
        </w:rPr>
        <w:t>WG-HRV/3/4</w:t>
      </w:r>
      <w:r w:rsidR="000F6FD1">
        <w:rPr>
          <w:color w:val="000000"/>
        </w:rPr>
        <w:t xml:space="preserve"> “Compte rendu”</w:t>
      </w:r>
      <w:r w:rsidRPr="0044225F">
        <w:rPr>
          <w:color w:val="000000"/>
        </w:rPr>
        <w:t>, paragraphe</w:t>
      </w:r>
      <w:r w:rsidR="000F6FD1">
        <w:rPr>
          <w:color w:val="000000"/>
        </w:rPr>
        <w:t> </w:t>
      </w:r>
      <w:r w:rsidRPr="0044225F">
        <w:rPr>
          <w:color w:val="000000"/>
        </w:rPr>
        <w:t>11).</w:t>
      </w:r>
    </w:p>
    <w:p w14:paraId="5D9DCB3F" w14:textId="77777777" w:rsidR="006F30A5" w:rsidRPr="0044225F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rFonts w:cs="Arial"/>
          <w:color w:val="000000"/>
        </w:rPr>
      </w:pPr>
    </w:p>
    <w:p w14:paraId="098B259A" w14:textId="5A53F8C5" w:rsidR="00B41F4E" w:rsidRPr="0044225F" w:rsidRDefault="00B3673B" w:rsidP="000F6FD1">
      <w:pPr>
        <w:widowControl w:val="0"/>
        <w:autoSpaceDE w:val="0"/>
        <w:autoSpaceDN w:val="0"/>
        <w:ind w:right="113"/>
        <w:rPr>
          <w:color w:val="000000"/>
        </w:rPr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</w:r>
      <w:r w:rsidRPr="0044225F">
        <w:rPr>
          <w:color w:val="000000"/>
        </w:rPr>
        <w:t>Le WG-HRV a convenu d'inviter les membres du WG-HRV à proposer des questions et/ou à suggérer des auteurs pour une telle étude (</w:t>
      </w:r>
      <w:r w:rsidR="000F6FD1">
        <w:rPr>
          <w:color w:val="000000"/>
        </w:rPr>
        <w:t xml:space="preserve">voir le document </w:t>
      </w:r>
      <w:r w:rsidR="000F6FD1" w:rsidRPr="0044225F">
        <w:rPr>
          <w:color w:val="000000"/>
        </w:rPr>
        <w:t>WG-HRV/3/4</w:t>
      </w:r>
      <w:r w:rsidR="000F6FD1">
        <w:rPr>
          <w:color w:val="000000"/>
        </w:rPr>
        <w:t xml:space="preserve"> “Compte rendu”</w:t>
      </w:r>
      <w:r w:rsidR="000F6FD1" w:rsidRPr="0044225F">
        <w:rPr>
          <w:color w:val="000000"/>
        </w:rPr>
        <w:t xml:space="preserve">, </w:t>
      </w:r>
      <w:r w:rsidRPr="0044225F">
        <w:rPr>
          <w:color w:val="000000"/>
        </w:rPr>
        <w:t>paragraphe 17).</w:t>
      </w:r>
      <w:r w:rsidR="00693B32" w:rsidRPr="0044225F">
        <w:rPr>
          <w:color w:val="000000"/>
        </w:rPr>
        <w:t xml:space="preserve"> </w:t>
      </w:r>
      <w:r w:rsidRPr="0044225F">
        <w:rPr>
          <w:color w:val="000000"/>
        </w:rPr>
        <w:t xml:space="preserve"> En conséquence, le Bureau de l'Union a envoyé </w:t>
      </w:r>
      <w:r w:rsidRPr="0044225F">
        <w:rPr>
          <w:rFonts w:cs="Arial"/>
        </w:rPr>
        <w:t>la circulaire E-23/071</w:t>
      </w:r>
      <w:r w:rsidR="000F6FD1">
        <w:rPr>
          <w:rFonts w:cs="Arial"/>
        </w:rPr>
        <w:t xml:space="preserve"> de l’UPOV</w:t>
      </w:r>
      <w:r w:rsidRPr="0044225F">
        <w:rPr>
          <w:rFonts w:cs="Arial"/>
        </w:rPr>
        <w:t>.</w:t>
      </w:r>
    </w:p>
    <w:p w14:paraId="3A2E4622" w14:textId="77777777" w:rsidR="006F30A5" w:rsidRPr="0044225F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000000"/>
        </w:rPr>
      </w:pPr>
    </w:p>
    <w:p w14:paraId="1C45613E" w14:textId="38A7A5AD" w:rsidR="00B41F4E" w:rsidRPr="0044225F" w:rsidRDefault="00B3673B">
      <w:pPr>
        <w:rPr>
          <w:rFonts w:cs="Arial"/>
        </w:rPr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  <w:t>Le WG-HRV a pris note, lors de sa quatrième réunion</w:t>
      </w:r>
      <w:r w:rsidRPr="0044225F">
        <w:rPr>
          <w:rStyle w:val="FootnoteReference"/>
          <w:rFonts w:cs="Arial"/>
        </w:rPr>
        <w:footnoteReference w:id="3"/>
      </w:r>
      <w:r w:rsidR="000F6FD1">
        <w:rPr>
          <w:rFonts w:cs="Arial"/>
        </w:rPr>
        <w:t>,</w:t>
      </w:r>
      <w:r w:rsidRPr="0044225F">
        <w:rPr>
          <w:rFonts w:cs="Arial"/>
        </w:rPr>
        <w:t xml:space="preserve"> des réponses à la circulaire E-23/071 de l'UPOV, telles qu'elles figurent aux paragraphes 9 et 10 et à l'annexe du document WG-HRV/4/2.</w:t>
      </w:r>
    </w:p>
    <w:p w14:paraId="2CB047AA" w14:textId="77777777" w:rsidR="006F30A5" w:rsidRPr="0044225F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000000"/>
        </w:rPr>
      </w:pPr>
    </w:p>
    <w:p w14:paraId="01BA0AD2" w14:textId="4235F9EB" w:rsidR="00B41F4E" w:rsidRPr="000F6FD1" w:rsidRDefault="00B3673B">
      <w:pPr>
        <w:rPr>
          <w:color w:val="262626"/>
        </w:rPr>
      </w:pPr>
      <w:r w:rsidRPr="000F6FD1">
        <w:rPr>
          <w:rFonts w:cs="Arial"/>
        </w:rPr>
        <w:fldChar w:fldCharType="begin"/>
      </w:r>
      <w:r w:rsidRPr="000F6FD1">
        <w:rPr>
          <w:rFonts w:cs="Arial"/>
        </w:rPr>
        <w:instrText xml:space="preserve"> AUTONUM  </w:instrText>
      </w:r>
      <w:r w:rsidRPr="000F6FD1">
        <w:rPr>
          <w:rFonts w:cs="Arial"/>
        </w:rPr>
        <w:fldChar w:fldCharType="end"/>
      </w:r>
      <w:r w:rsidRPr="000F6FD1">
        <w:rPr>
          <w:rFonts w:cs="Arial"/>
        </w:rPr>
        <w:tab/>
      </w:r>
      <w:r w:rsidRPr="000F6FD1">
        <w:rPr>
          <w:color w:val="161616"/>
        </w:rPr>
        <w:t xml:space="preserve">Le </w:t>
      </w:r>
      <w:r w:rsidRPr="000F6FD1">
        <w:rPr>
          <w:color w:val="262626"/>
        </w:rPr>
        <w:t xml:space="preserve">WG-HRV est convenu </w:t>
      </w:r>
      <w:r w:rsidRPr="000F6FD1">
        <w:rPr>
          <w:color w:val="161616"/>
        </w:rPr>
        <w:t xml:space="preserve">que </w:t>
      </w:r>
      <w:r w:rsidRPr="000F6FD1">
        <w:rPr>
          <w:color w:val="262626"/>
        </w:rPr>
        <w:t xml:space="preserve">le </w:t>
      </w:r>
      <w:r w:rsidRPr="000F6FD1">
        <w:rPr>
          <w:color w:val="161616"/>
        </w:rPr>
        <w:t xml:space="preserve">Bureau de </w:t>
      </w:r>
      <w:r w:rsidRPr="000F6FD1">
        <w:rPr>
          <w:color w:val="262626"/>
        </w:rPr>
        <w:t>l'</w:t>
      </w:r>
      <w:r w:rsidRPr="000F6FD1">
        <w:rPr>
          <w:color w:val="161616"/>
        </w:rPr>
        <w:t xml:space="preserve">Union </w:t>
      </w:r>
      <w:r w:rsidRPr="000F6FD1">
        <w:rPr>
          <w:color w:val="343434"/>
        </w:rPr>
        <w:t>consultera</w:t>
      </w:r>
      <w:r w:rsidR="000F6FD1">
        <w:rPr>
          <w:color w:val="343434"/>
        </w:rPr>
        <w:t>it</w:t>
      </w:r>
      <w:r w:rsidRPr="000F6FD1">
        <w:rPr>
          <w:color w:val="343434"/>
        </w:rPr>
        <w:t xml:space="preserve"> les membres du WG-HRV </w:t>
      </w:r>
      <w:r w:rsidR="000F6FD1">
        <w:rPr>
          <w:color w:val="343434"/>
        </w:rPr>
        <w:t xml:space="preserve">ayant </w:t>
      </w:r>
      <w:r w:rsidRPr="000F6FD1">
        <w:rPr>
          <w:color w:val="343434"/>
        </w:rPr>
        <w:t xml:space="preserve">répondu à la circulaire E-23/071 de l'UPOV et </w:t>
      </w:r>
      <w:r w:rsidRPr="000F6FD1">
        <w:rPr>
          <w:color w:val="262626"/>
        </w:rPr>
        <w:t>proposera</w:t>
      </w:r>
      <w:r w:rsidR="000F6FD1">
        <w:rPr>
          <w:color w:val="262626"/>
        </w:rPr>
        <w:t>it</w:t>
      </w:r>
      <w:r w:rsidRPr="000F6FD1">
        <w:rPr>
          <w:color w:val="262626"/>
        </w:rPr>
        <w:t xml:space="preserve"> </w:t>
      </w:r>
      <w:r w:rsidRPr="000F6FD1">
        <w:rPr>
          <w:color w:val="161616"/>
        </w:rPr>
        <w:t xml:space="preserve">les </w:t>
      </w:r>
      <w:r w:rsidRPr="000F6FD1">
        <w:rPr>
          <w:color w:val="262626"/>
        </w:rPr>
        <w:t xml:space="preserve">bases d'une </w:t>
      </w:r>
      <w:r w:rsidRPr="000F6FD1">
        <w:rPr>
          <w:color w:val="343434"/>
        </w:rPr>
        <w:t xml:space="preserve">étude, </w:t>
      </w:r>
      <w:r w:rsidRPr="000F6FD1">
        <w:rPr>
          <w:color w:val="161616"/>
        </w:rPr>
        <w:t xml:space="preserve">y compris le </w:t>
      </w:r>
      <w:r w:rsidRPr="000F6FD1">
        <w:rPr>
          <w:color w:val="262626"/>
        </w:rPr>
        <w:t>mandat</w:t>
      </w:r>
      <w:r w:rsidRPr="000F6FD1">
        <w:rPr>
          <w:color w:val="161616"/>
        </w:rPr>
        <w:t xml:space="preserve">, le calendrier </w:t>
      </w:r>
      <w:r w:rsidRPr="000F6FD1">
        <w:rPr>
          <w:color w:val="343434"/>
        </w:rPr>
        <w:t xml:space="preserve">et les </w:t>
      </w:r>
      <w:r w:rsidRPr="000F6FD1">
        <w:rPr>
          <w:color w:val="262626"/>
        </w:rPr>
        <w:t>auteurs</w:t>
      </w:r>
      <w:r w:rsidRPr="000F6FD1">
        <w:rPr>
          <w:color w:val="505050"/>
        </w:rPr>
        <w:t xml:space="preserve">, </w:t>
      </w:r>
      <w:r w:rsidRPr="000F6FD1">
        <w:rPr>
          <w:color w:val="262626"/>
        </w:rPr>
        <w:t xml:space="preserve">pour examen par le WG-HRV à </w:t>
      </w:r>
      <w:r w:rsidRPr="000F6FD1">
        <w:rPr>
          <w:color w:val="161616"/>
        </w:rPr>
        <w:t xml:space="preserve">sa </w:t>
      </w:r>
      <w:r w:rsidRPr="000F6FD1">
        <w:rPr>
          <w:color w:val="262626"/>
        </w:rPr>
        <w:t xml:space="preserve">cinquième réunion. </w:t>
      </w:r>
    </w:p>
    <w:p w14:paraId="593DC765" w14:textId="77777777" w:rsidR="006F30A5" w:rsidRPr="0044225F" w:rsidRDefault="006F30A5" w:rsidP="006F30A5">
      <w:pPr>
        <w:rPr>
          <w:color w:val="262626"/>
        </w:rPr>
      </w:pPr>
    </w:p>
    <w:p w14:paraId="321754DF" w14:textId="60D73623" w:rsidR="00B41F4E" w:rsidRPr="0044225F" w:rsidRDefault="00B3673B">
      <w:pPr>
        <w:rPr>
          <w:color w:val="262626"/>
        </w:rPr>
      </w:pPr>
      <w:r w:rsidRPr="0044225F">
        <w:rPr>
          <w:rFonts w:cs="Arial"/>
        </w:rPr>
        <w:lastRenderedPageBreak/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</w:r>
      <w:r w:rsidRPr="0044225F">
        <w:rPr>
          <w:color w:val="161616"/>
        </w:rPr>
        <w:t xml:space="preserve">Le </w:t>
      </w:r>
      <w:r w:rsidRPr="0044225F">
        <w:rPr>
          <w:color w:val="262626"/>
        </w:rPr>
        <w:t xml:space="preserve">WG-HRV </w:t>
      </w:r>
      <w:r w:rsidRPr="0044225F">
        <w:rPr>
          <w:rFonts w:cs="Arial"/>
        </w:rPr>
        <w:t xml:space="preserve">est convenu que </w:t>
      </w:r>
      <w:r w:rsidRPr="0044225F">
        <w:rPr>
          <w:color w:val="262626"/>
        </w:rPr>
        <w:t xml:space="preserve">l'étude comprendrait une première partie avec une analyse </w:t>
      </w:r>
      <w:r w:rsidRPr="0044225F">
        <w:rPr>
          <w:color w:val="161616"/>
        </w:rPr>
        <w:t xml:space="preserve">des intentions </w:t>
      </w:r>
      <w:r w:rsidRPr="0044225F">
        <w:rPr>
          <w:color w:val="262626"/>
        </w:rPr>
        <w:t>des rédacteurs de l'</w:t>
      </w:r>
      <w:r w:rsidRPr="0044225F">
        <w:rPr>
          <w:color w:val="161616"/>
        </w:rPr>
        <w:t xml:space="preserve">Acte de 1991 de la Convention UPOV </w:t>
      </w:r>
      <w:r w:rsidRPr="0044225F">
        <w:rPr>
          <w:color w:val="262626"/>
        </w:rPr>
        <w:t xml:space="preserve">en ce qui </w:t>
      </w:r>
      <w:r w:rsidRPr="0044225F">
        <w:rPr>
          <w:color w:val="161616"/>
        </w:rPr>
        <w:t xml:space="preserve">concerne les </w:t>
      </w:r>
      <w:r w:rsidRPr="0044225F">
        <w:rPr>
          <w:color w:val="262626"/>
        </w:rPr>
        <w:t>articles 14 et 16 de l'Acte</w:t>
      </w:r>
      <w:r w:rsidR="000F6FD1">
        <w:rPr>
          <w:color w:val="262626"/>
        </w:rPr>
        <w:t> </w:t>
      </w:r>
      <w:r w:rsidRPr="0044225F">
        <w:rPr>
          <w:color w:val="262626"/>
        </w:rPr>
        <w:t>de</w:t>
      </w:r>
      <w:r w:rsidR="000F6FD1">
        <w:rPr>
          <w:color w:val="262626"/>
        </w:rPr>
        <w:t> </w:t>
      </w:r>
      <w:r w:rsidRPr="0044225F">
        <w:rPr>
          <w:color w:val="262626"/>
        </w:rPr>
        <w:t xml:space="preserve">1991, et une </w:t>
      </w:r>
      <w:r w:rsidRPr="0044225F">
        <w:rPr>
          <w:color w:val="343434"/>
        </w:rPr>
        <w:t xml:space="preserve">deuxième </w:t>
      </w:r>
      <w:r w:rsidRPr="0044225F">
        <w:rPr>
          <w:color w:val="262626"/>
        </w:rPr>
        <w:t xml:space="preserve">partie qui </w:t>
      </w:r>
      <w:r w:rsidRPr="0044225F">
        <w:rPr>
          <w:color w:val="161616"/>
        </w:rPr>
        <w:t xml:space="preserve">inclurait des résumés </w:t>
      </w:r>
      <w:r w:rsidRPr="0044225F">
        <w:rPr>
          <w:color w:val="343434"/>
        </w:rPr>
        <w:t xml:space="preserve">de décisions </w:t>
      </w:r>
      <w:r w:rsidRPr="0044225F">
        <w:rPr>
          <w:color w:val="262626"/>
        </w:rPr>
        <w:t xml:space="preserve">judiciaires </w:t>
      </w:r>
      <w:r w:rsidRPr="0044225F">
        <w:rPr>
          <w:color w:val="343434"/>
        </w:rPr>
        <w:t>prises par des membres de l'UPOV liés par l'Acte de 1991</w:t>
      </w:r>
      <w:r w:rsidRPr="0044225F">
        <w:rPr>
          <w:color w:val="262626"/>
        </w:rPr>
        <w:t>.</w:t>
      </w:r>
    </w:p>
    <w:p w14:paraId="441FBE10" w14:textId="77777777" w:rsidR="006F30A5" w:rsidRPr="0044225F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10CB377E" w14:textId="3B44C5FD" w:rsidR="00B41F4E" w:rsidRPr="0044225F" w:rsidRDefault="00B3673B">
      <w:pPr>
        <w:rPr>
          <w:color w:val="262626"/>
        </w:rPr>
      </w:pPr>
      <w:r w:rsidRPr="0044225F">
        <w:rPr>
          <w:color w:val="262626"/>
        </w:rPr>
        <w:fldChar w:fldCharType="begin"/>
      </w:r>
      <w:r w:rsidRPr="0044225F">
        <w:rPr>
          <w:color w:val="262626"/>
        </w:rPr>
        <w:instrText xml:space="preserve"> AUTONUM  </w:instrText>
      </w:r>
      <w:r w:rsidRPr="0044225F">
        <w:rPr>
          <w:color w:val="262626"/>
        </w:rPr>
        <w:fldChar w:fldCharType="end"/>
      </w:r>
      <w:r w:rsidRPr="0044225F">
        <w:rPr>
          <w:color w:val="262626"/>
        </w:rPr>
        <w:tab/>
        <w:t>Le WG-HRV, lors de sa cinquième réunion</w:t>
      </w:r>
      <w:r w:rsidR="000F606D" w:rsidRPr="0044225F">
        <w:rPr>
          <w:rStyle w:val="FootnoteReference"/>
          <w:color w:val="262626"/>
        </w:rPr>
        <w:footnoteReference w:id="4"/>
      </w:r>
      <w:r w:rsidR="00C45D29" w:rsidRPr="0044225F">
        <w:rPr>
          <w:color w:val="262626"/>
        </w:rPr>
        <w:t xml:space="preserve">, a discuté essentiellement du soutien à l'étude et du financement, du nombre et du nom des auteurs et d'une proposition du Japon d'introduire deux cas illustratifs dans le cadre de l'étude. Il a été </w:t>
      </w:r>
      <w:r w:rsidRPr="0044225F">
        <w:rPr>
          <w:color w:val="262626"/>
        </w:rPr>
        <w:t>convenu que le Bureau de l'Union organiserait une réunion virtuelle avec les membres du WG-HRV qui avaient fait des propositions lors de la réunion sur le nombre et le nom des auteurs et les questions relatives au financement.</w:t>
      </w:r>
      <w:r w:rsidR="00C45D29" w:rsidRPr="0044225F">
        <w:rPr>
          <w:color w:val="262626"/>
        </w:rPr>
        <w:t xml:space="preserve"> Faute de temps, la proposition du Japon sur le champ d'application de l'étude n'a pu qu'être entamée mais n'a pas pu être finalisée. </w:t>
      </w:r>
    </w:p>
    <w:p w14:paraId="5F1CA1C8" w14:textId="77777777" w:rsidR="006F30A5" w:rsidRPr="0044225F" w:rsidRDefault="006F30A5" w:rsidP="006F30A5">
      <w:pPr>
        <w:widowControl w:val="0"/>
        <w:tabs>
          <w:tab w:val="left" w:pos="762"/>
        </w:tabs>
        <w:autoSpaceDE w:val="0"/>
        <w:autoSpaceDN w:val="0"/>
        <w:ind w:right="113"/>
        <w:rPr>
          <w:color w:val="262626"/>
        </w:rPr>
      </w:pPr>
    </w:p>
    <w:p w14:paraId="68775AA8" w14:textId="77777777" w:rsidR="006F30A5" w:rsidRPr="0044225F" w:rsidRDefault="006F30A5" w:rsidP="000F6FD1"/>
    <w:p w14:paraId="45DDD98A" w14:textId="77777777" w:rsidR="00B41F4E" w:rsidRPr="0044225F" w:rsidRDefault="00B3673B">
      <w:pPr>
        <w:pStyle w:val="Heading1"/>
        <w:rPr>
          <w:lang w:val="fr-FR"/>
        </w:rPr>
      </w:pPr>
      <w:bookmarkStart w:id="4" w:name="_Toc172119334"/>
      <w:bookmarkEnd w:id="3"/>
      <w:r w:rsidRPr="0044225F">
        <w:rPr>
          <w:lang w:val="fr-FR"/>
        </w:rPr>
        <w:t xml:space="preserve">Réunion </w:t>
      </w:r>
      <w:r w:rsidR="00E0569F" w:rsidRPr="0044225F">
        <w:rPr>
          <w:lang w:val="fr-FR"/>
        </w:rPr>
        <w:t xml:space="preserve">avec les </w:t>
      </w:r>
      <w:r w:rsidRPr="0044225F">
        <w:rPr>
          <w:lang w:val="fr-FR"/>
        </w:rPr>
        <w:t xml:space="preserve">membres du WG-HRV </w:t>
      </w:r>
      <w:r w:rsidR="00E0569F" w:rsidRPr="0044225F">
        <w:rPr>
          <w:lang w:val="fr-FR"/>
        </w:rPr>
        <w:t>qui ont fait des propositions lors de la cinquième réunion sur les auteurs et le financement de l'étude</w:t>
      </w:r>
      <w:bookmarkEnd w:id="4"/>
    </w:p>
    <w:p w14:paraId="6AEF5C4C" w14:textId="77777777" w:rsidR="00556863" w:rsidRPr="0044225F" w:rsidRDefault="00556863" w:rsidP="00556863"/>
    <w:p w14:paraId="7BB4AF4A" w14:textId="22853FEB" w:rsidR="00B41F4E" w:rsidRPr="0044225F" w:rsidRDefault="00B3673B">
      <w:r w:rsidRPr="0044225F">
        <w:fldChar w:fldCharType="begin"/>
      </w:r>
      <w:r w:rsidRPr="0044225F">
        <w:instrText xml:space="preserve"> AUTONUM  </w:instrText>
      </w:r>
      <w:r w:rsidRPr="0044225F">
        <w:fldChar w:fldCharType="end"/>
      </w:r>
      <w:r w:rsidRPr="0044225F">
        <w:tab/>
        <w:t xml:space="preserve">Comme convenu lors de la cinquième réunion, </w:t>
      </w:r>
      <w:r w:rsidR="008773A7" w:rsidRPr="0044225F">
        <w:t xml:space="preserve">une </w:t>
      </w:r>
      <w:r w:rsidRPr="0044225F">
        <w:t xml:space="preserve">invitation à </w:t>
      </w:r>
      <w:r w:rsidR="008773A7" w:rsidRPr="0044225F">
        <w:t xml:space="preserve">une </w:t>
      </w:r>
      <w:r w:rsidRPr="0044225F">
        <w:t>réunion virtuelle a été envoyée aux membres du WG-HRV qui ont fait des commentaires et/ou des propositions sur les auteurs ou les considérations de financement</w:t>
      </w:r>
      <w:r w:rsidR="00296CB7" w:rsidRPr="0044225F">
        <w:t xml:space="preserve">. </w:t>
      </w:r>
      <w:r w:rsidR="00E0569F" w:rsidRPr="0044225F">
        <w:t xml:space="preserve">La </w:t>
      </w:r>
      <w:r w:rsidR="008773A7" w:rsidRPr="0044225F">
        <w:t xml:space="preserve">réunion a eu lieu par des moyens virtuels le </w:t>
      </w:r>
      <w:r w:rsidR="00556863" w:rsidRPr="0044225F">
        <w:t xml:space="preserve">22 mai 2024, et les </w:t>
      </w:r>
      <w:r w:rsidR="00E0569F" w:rsidRPr="0044225F">
        <w:t xml:space="preserve">membres suivants du WG-HRV ont participé à la réunion : </w:t>
      </w:r>
      <w:r w:rsidR="00556863" w:rsidRPr="0044225F">
        <w:t xml:space="preserve">Argentine, Australie, Brésil, </w:t>
      </w:r>
      <w:r w:rsidR="000F6FD1" w:rsidRPr="0044225F">
        <w:t xml:space="preserve">Japon, </w:t>
      </w:r>
      <w:r w:rsidR="00556863" w:rsidRPr="0044225F">
        <w:t xml:space="preserve">Union européenne, </w:t>
      </w:r>
      <w:r w:rsidR="00556863" w:rsidRPr="0044225F">
        <w:rPr>
          <w:i/>
          <w:iCs/>
        </w:rPr>
        <w:t xml:space="preserve">Association for Plant </w:t>
      </w:r>
      <w:proofErr w:type="spellStart"/>
      <w:r w:rsidR="00556863" w:rsidRPr="0044225F">
        <w:rPr>
          <w:i/>
          <w:iCs/>
        </w:rPr>
        <w:t>Breeding</w:t>
      </w:r>
      <w:proofErr w:type="spellEnd"/>
      <w:r w:rsidR="00556863" w:rsidRPr="0044225F">
        <w:rPr>
          <w:i/>
          <w:iCs/>
        </w:rPr>
        <w:t xml:space="preserve"> for the </w:t>
      </w:r>
      <w:proofErr w:type="spellStart"/>
      <w:r w:rsidR="00556863" w:rsidRPr="0044225F">
        <w:rPr>
          <w:i/>
          <w:iCs/>
        </w:rPr>
        <w:t>Benefit</w:t>
      </w:r>
      <w:proofErr w:type="spellEnd"/>
      <w:r w:rsidR="00556863" w:rsidRPr="0044225F">
        <w:rPr>
          <w:i/>
          <w:iCs/>
        </w:rPr>
        <w:t xml:space="preserve"> of Society</w:t>
      </w:r>
      <w:r w:rsidR="00556863" w:rsidRPr="0044225F">
        <w:t xml:space="preserve"> (APBREBES), </w:t>
      </w:r>
      <w:r w:rsidRPr="0044225F">
        <w:t xml:space="preserve">Communauté internationale des obtenteurs de plantes horticoles de reproduction asexuée </w:t>
      </w:r>
      <w:r w:rsidR="00556863" w:rsidRPr="0044225F">
        <w:t xml:space="preserve">(CIOPORA) et </w:t>
      </w:r>
      <w:r w:rsidR="00556863" w:rsidRPr="0044225F">
        <w:rPr>
          <w:i/>
          <w:iCs/>
        </w:rPr>
        <w:t xml:space="preserve">International </w:t>
      </w:r>
      <w:proofErr w:type="spellStart"/>
      <w:r w:rsidR="00556863" w:rsidRPr="0044225F">
        <w:rPr>
          <w:i/>
          <w:iCs/>
        </w:rPr>
        <w:t>Seed</w:t>
      </w:r>
      <w:proofErr w:type="spellEnd"/>
      <w:r w:rsidR="00556863" w:rsidRPr="0044225F">
        <w:rPr>
          <w:i/>
          <w:iCs/>
        </w:rPr>
        <w:t xml:space="preserve"> </w:t>
      </w:r>
      <w:proofErr w:type="spellStart"/>
      <w:r w:rsidR="00556863" w:rsidRPr="0044225F">
        <w:rPr>
          <w:i/>
          <w:iCs/>
        </w:rPr>
        <w:t>Federation</w:t>
      </w:r>
      <w:proofErr w:type="spellEnd"/>
      <w:r w:rsidR="00556863" w:rsidRPr="0044225F">
        <w:t xml:space="preserve"> (ISF). </w:t>
      </w:r>
    </w:p>
    <w:p w14:paraId="5DB5A86F" w14:textId="77777777" w:rsidR="002E5189" w:rsidRPr="0044225F" w:rsidRDefault="002E5189" w:rsidP="002E5189"/>
    <w:p w14:paraId="1D0BA296" w14:textId="1CA2C09E" w:rsidR="00B41F4E" w:rsidRPr="0044225F" w:rsidRDefault="00B3673B">
      <w:r w:rsidRPr="0044225F">
        <w:fldChar w:fldCharType="begin"/>
      </w:r>
      <w:r w:rsidRPr="0044225F">
        <w:instrText xml:space="preserve"> AUTONUM  </w:instrText>
      </w:r>
      <w:r w:rsidRPr="0044225F">
        <w:fldChar w:fldCharType="end"/>
      </w:r>
      <w:r w:rsidRPr="0044225F">
        <w:tab/>
        <w:t>Les participants à la réunion ont convenu de proposer les 5 auteurs ci-dessous pour examen par le WG</w:t>
      </w:r>
      <w:r w:rsidR="000F6FD1">
        <w:noBreakHyphen/>
      </w:r>
      <w:r w:rsidRPr="0044225F">
        <w:t>HRV</w:t>
      </w:r>
      <w:r w:rsidR="000F6FD1">
        <w:t xml:space="preserve"> à sa sixième réunion</w:t>
      </w:r>
      <w:r w:rsidRPr="0044225F">
        <w:t xml:space="preserve"> en octobre </w:t>
      </w:r>
      <w:r w:rsidR="002117A1" w:rsidRPr="0044225F">
        <w:t xml:space="preserve">2024 </w:t>
      </w:r>
      <w:r w:rsidR="00E0569F" w:rsidRPr="0044225F">
        <w:t xml:space="preserve">(classés par ordre alphabétique) </w:t>
      </w:r>
      <w:r w:rsidRPr="0044225F">
        <w:t>:</w:t>
      </w:r>
    </w:p>
    <w:p w14:paraId="62691C6C" w14:textId="77777777" w:rsidR="002E5189" w:rsidRPr="0044225F" w:rsidRDefault="002E5189" w:rsidP="002E5189"/>
    <w:p w14:paraId="75744375" w14:textId="77777777" w:rsidR="00B41F4E" w:rsidRPr="0044225F" w:rsidRDefault="00B3673B">
      <w:pPr>
        <w:pStyle w:val="ListParagraph"/>
        <w:numPr>
          <w:ilvl w:val="0"/>
          <w:numId w:val="3"/>
        </w:numPr>
        <w:ind w:left="1418"/>
      </w:pPr>
      <w:r w:rsidRPr="0044225F">
        <w:t xml:space="preserve">M. </w:t>
      </w:r>
      <w:proofErr w:type="spellStart"/>
      <w:r w:rsidR="00E0569F" w:rsidRPr="0044225F">
        <w:t>Huib</w:t>
      </w:r>
      <w:proofErr w:type="spellEnd"/>
      <w:r w:rsidR="00E0569F" w:rsidRPr="0044225F">
        <w:t xml:space="preserve"> </w:t>
      </w:r>
      <w:proofErr w:type="spellStart"/>
      <w:r w:rsidRPr="0044225F">
        <w:t>Ghijsen</w:t>
      </w:r>
      <w:proofErr w:type="spellEnd"/>
      <w:r w:rsidRPr="0044225F">
        <w:t xml:space="preserve"> (désigné par l'AIPH)</w:t>
      </w:r>
    </w:p>
    <w:p w14:paraId="084CD2BF" w14:textId="77777777" w:rsidR="00B41F4E" w:rsidRPr="0044225F" w:rsidRDefault="00B3673B">
      <w:pPr>
        <w:pStyle w:val="ListParagraph"/>
        <w:numPr>
          <w:ilvl w:val="0"/>
          <w:numId w:val="3"/>
        </w:numPr>
        <w:ind w:left="1418"/>
      </w:pPr>
      <w:r w:rsidRPr="0044225F">
        <w:t xml:space="preserve">Mme </w:t>
      </w:r>
      <w:r w:rsidR="00E0569F" w:rsidRPr="0044225F">
        <w:t xml:space="preserve">Vivianne </w:t>
      </w:r>
      <w:proofErr w:type="spellStart"/>
      <w:r w:rsidRPr="0044225F">
        <w:t>Kunisawa</w:t>
      </w:r>
      <w:proofErr w:type="spellEnd"/>
      <w:r w:rsidRPr="0044225F">
        <w:t xml:space="preserve"> (désignée par le Brésil)</w:t>
      </w:r>
    </w:p>
    <w:p w14:paraId="063DAAF4" w14:textId="77777777" w:rsidR="00B41F4E" w:rsidRPr="0044225F" w:rsidRDefault="00B3673B">
      <w:pPr>
        <w:pStyle w:val="ListParagraph"/>
        <w:numPr>
          <w:ilvl w:val="0"/>
          <w:numId w:val="3"/>
        </w:numPr>
        <w:ind w:left="1418"/>
      </w:pPr>
      <w:r w:rsidRPr="0044225F">
        <w:t xml:space="preserve">M. </w:t>
      </w:r>
      <w:r w:rsidR="00E0569F" w:rsidRPr="0044225F">
        <w:t xml:space="preserve">Charles </w:t>
      </w:r>
      <w:r w:rsidRPr="0044225F">
        <w:t>Lawson (désigné par l'Australie)</w:t>
      </w:r>
    </w:p>
    <w:p w14:paraId="06D403A6" w14:textId="77777777" w:rsidR="00B41F4E" w:rsidRPr="0044225F" w:rsidRDefault="00B3673B">
      <w:pPr>
        <w:pStyle w:val="ListParagraph"/>
        <w:numPr>
          <w:ilvl w:val="0"/>
          <w:numId w:val="3"/>
        </w:numPr>
        <w:ind w:left="1418"/>
      </w:pPr>
      <w:r w:rsidRPr="0044225F">
        <w:t xml:space="preserve">M. </w:t>
      </w:r>
      <w:r w:rsidR="00E0569F" w:rsidRPr="0044225F">
        <w:t xml:space="preserve">Axel </w:t>
      </w:r>
      <w:r w:rsidRPr="0044225F">
        <w:t>Metzger (désigné par l'Union européenne)</w:t>
      </w:r>
    </w:p>
    <w:p w14:paraId="0E9CA2D7" w14:textId="77777777" w:rsidR="00B41F4E" w:rsidRPr="0044225F" w:rsidRDefault="00B3673B">
      <w:pPr>
        <w:pStyle w:val="ListParagraph"/>
        <w:numPr>
          <w:ilvl w:val="0"/>
          <w:numId w:val="3"/>
        </w:numPr>
        <w:ind w:left="1418"/>
      </w:pPr>
      <w:r w:rsidRPr="0044225F">
        <w:t xml:space="preserve">M. </w:t>
      </w:r>
      <w:r w:rsidR="00E0569F" w:rsidRPr="0044225F">
        <w:t xml:space="preserve">Joseph </w:t>
      </w:r>
      <w:r w:rsidRPr="0044225F">
        <w:t>Strauss (désigné par le Japon)</w:t>
      </w:r>
    </w:p>
    <w:p w14:paraId="2A1FDA0A" w14:textId="77777777" w:rsidR="002E5189" w:rsidRPr="0044225F" w:rsidRDefault="002E5189" w:rsidP="002E5189"/>
    <w:p w14:paraId="22FC737F" w14:textId="43C0456E" w:rsidR="00B41F4E" w:rsidRPr="0044225F" w:rsidRDefault="00B3673B">
      <w:r w:rsidRPr="0044225F">
        <w:fldChar w:fldCharType="begin"/>
      </w:r>
      <w:r w:rsidRPr="0044225F">
        <w:instrText xml:space="preserve"> AUTONUM  </w:instrText>
      </w:r>
      <w:r w:rsidRPr="0044225F">
        <w:fldChar w:fldCharType="end"/>
      </w:r>
      <w:r w:rsidR="000F6FD1">
        <w:tab/>
      </w:r>
      <w:r w:rsidRPr="0044225F">
        <w:t xml:space="preserve">La question du </w:t>
      </w:r>
      <w:r w:rsidR="00E0569F" w:rsidRPr="0044225F">
        <w:t xml:space="preserve">financement </w:t>
      </w:r>
      <w:r w:rsidRPr="0044225F">
        <w:t xml:space="preserve">a été </w:t>
      </w:r>
      <w:r w:rsidR="00E0569F" w:rsidRPr="0044225F">
        <w:t xml:space="preserve">discutée </w:t>
      </w:r>
      <w:r w:rsidRPr="0044225F">
        <w:t xml:space="preserve">et la proposition de budget suivante a été faite : </w:t>
      </w:r>
    </w:p>
    <w:p w14:paraId="49E79C03" w14:textId="77777777" w:rsidR="002E5189" w:rsidRPr="0044225F" w:rsidRDefault="002E5189" w:rsidP="002E5189">
      <w:pPr>
        <w:jc w:val="left"/>
      </w:pPr>
    </w:p>
    <w:p w14:paraId="555906DD" w14:textId="77777777" w:rsidR="00B41F4E" w:rsidRPr="0044225F" w:rsidRDefault="00B3673B" w:rsidP="000F6FD1">
      <w:pPr>
        <w:pStyle w:val="ListParagraph"/>
        <w:numPr>
          <w:ilvl w:val="0"/>
          <w:numId w:val="4"/>
        </w:numPr>
        <w:ind w:left="1418"/>
      </w:pPr>
      <w:r w:rsidRPr="0044225F">
        <w:t xml:space="preserve">55 000 </w:t>
      </w:r>
      <w:r w:rsidR="009B2EE6" w:rsidRPr="0044225F">
        <w:t>francs</w:t>
      </w:r>
      <w:r w:rsidRPr="0044225F">
        <w:t xml:space="preserve"> suisses qui comprendraient : </w:t>
      </w:r>
    </w:p>
    <w:p w14:paraId="53693C14" w14:textId="72AAC316" w:rsidR="00B41F4E" w:rsidRPr="0044225F" w:rsidRDefault="00B3673B" w:rsidP="000F6FD1">
      <w:pPr>
        <w:pStyle w:val="ListParagraph"/>
        <w:ind w:left="1701" w:hanging="283"/>
      </w:pPr>
      <w:r w:rsidRPr="0044225F">
        <w:rPr>
          <w:rFonts w:ascii="MS Gothic" w:eastAsia="MS Gothic" w:hAnsi="MS Gothic" w:cs="MS Gothic"/>
        </w:rPr>
        <w:t>・</w:t>
      </w:r>
      <w:r w:rsidR="000F6FD1">
        <w:rPr>
          <w:rFonts w:ascii="MS Gothic" w:eastAsia="MS Gothic" w:hAnsi="MS Gothic" w:cs="MS Gothic"/>
        </w:rPr>
        <w:tab/>
      </w:r>
      <w:r w:rsidRPr="000F6FD1">
        <w:rPr>
          <w:rFonts w:eastAsia="MS Gothic" w:hint="eastAsia"/>
        </w:rPr>
        <w:t>Honora</w:t>
      </w:r>
      <w:r w:rsidR="000F6FD1">
        <w:rPr>
          <w:rFonts w:eastAsia="MS Gothic"/>
        </w:rPr>
        <w:t>ires</w:t>
      </w:r>
      <w:r w:rsidRPr="000F6FD1">
        <w:rPr>
          <w:rFonts w:eastAsia="MS Gothic" w:hint="eastAsia"/>
        </w:rPr>
        <w:t xml:space="preserve"> </w:t>
      </w:r>
      <w:r w:rsidRPr="000F6FD1">
        <w:t>de 10 000 francs</w:t>
      </w:r>
      <w:r w:rsidRPr="0044225F">
        <w:t xml:space="preserve"> suisses </w:t>
      </w:r>
      <w:r w:rsidR="00E0569F" w:rsidRPr="0044225F">
        <w:t xml:space="preserve">pour </w:t>
      </w:r>
      <w:r w:rsidRPr="0044225F">
        <w:t xml:space="preserve">chacun </w:t>
      </w:r>
      <w:r w:rsidR="00E0569F" w:rsidRPr="0044225F">
        <w:t xml:space="preserve">des </w:t>
      </w:r>
      <w:r w:rsidRPr="0044225F">
        <w:t xml:space="preserve">5 auteurs. </w:t>
      </w:r>
    </w:p>
    <w:p w14:paraId="0732A568" w14:textId="00C6F463" w:rsidR="00B41F4E" w:rsidRPr="0044225F" w:rsidRDefault="00B3673B" w:rsidP="000F6FD1">
      <w:pPr>
        <w:pStyle w:val="ListParagraph"/>
        <w:ind w:left="1701" w:hanging="283"/>
      </w:pPr>
      <w:r w:rsidRPr="0044225F">
        <w:rPr>
          <w:rFonts w:ascii="MS Gothic" w:eastAsia="MS Gothic" w:hAnsi="MS Gothic" w:cs="MS Gothic"/>
        </w:rPr>
        <w:t>・</w:t>
      </w:r>
      <w:r w:rsidR="000F6FD1">
        <w:rPr>
          <w:rFonts w:ascii="MS Gothic" w:eastAsia="MS Gothic" w:hAnsi="MS Gothic" w:cs="MS Gothic"/>
        </w:rPr>
        <w:tab/>
      </w:r>
      <w:r w:rsidRPr="000F6FD1">
        <w:rPr>
          <w:rFonts w:eastAsia="MS Gothic" w:hint="eastAsia"/>
        </w:rPr>
        <w:t xml:space="preserve">Frais </w:t>
      </w:r>
      <w:r w:rsidRPr="000F6FD1">
        <w:t>de voyage</w:t>
      </w:r>
      <w:r w:rsidRPr="0044225F">
        <w:t xml:space="preserve"> jusqu'à 5 000 francs suisses au total </w:t>
      </w:r>
      <w:proofErr w:type="gramStart"/>
      <w:r w:rsidR="00E0569F" w:rsidRPr="0044225F">
        <w:t>pour</w:t>
      </w:r>
      <w:proofErr w:type="gramEnd"/>
      <w:r w:rsidR="00E0569F" w:rsidRPr="0044225F">
        <w:t xml:space="preserve"> les 5 auteurs</w:t>
      </w:r>
      <w:r w:rsidRPr="0044225F">
        <w:t xml:space="preserve">. Le but de ce voyage peut être d'organiser une réunion entre les auteurs ou de </w:t>
      </w:r>
      <w:r w:rsidR="00E0569F" w:rsidRPr="0044225F">
        <w:t xml:space="preserve">financer le voyage pour </w:t>
      </w:r>
      <w:r w:rsidRPr="0044225F">
        <w:t xml:space="preserve">venir à Genève </w:t>
      </w:r>
      <w:r w:rsidR="008773A7" w:rsidRPr="0044225F">
        <w:t xml:space="preserve">présenter les résultats de l'étude </w:t>
      </w:r>
      <w:r w:rsidRPr="0044225F">
        <w:t>ou toute autre dépense de voyage imprévue.</w:t>
      </w:r>
    </w:p>
    <w:p w14:paraId="3D004DF7" w14:textId="77777777" w:rsidR="002E5189" w:rsidRPr="0044225F" w:rsidRDefault="002E5189" w:rsidP="000F6FD1">
      <w:pPr>
        <w:ind w:left="1418"/>
      </w:pPr>
    </w:p>
    <w:p w14:paraId="4FBBC5A3" w14:textId="151BB63C" w:rsidR="00B41F4E" w:rsidRPr="0044225F" w:rsidRDefault="00B3673B" w:rsidP="000F6FD1">
      <w:pPr>
        <w:pStyle w:val="ListParagraph"/>
        <w:numPr>
          <w:ilvl w:val="0"/>
          <w:numId w:val="4"/>
        </w:numPr>
        <w:ind w:left="1418"/>
      </w:pPr>
      <w:r w:rsidRPr="0044225F">
        <w:t xml:space="preserve">L'estimation globale des coûts </w:t>
      </w:r>
      <w:r w:rsidR="00E0569F" w:rsidRPr="0044225F">
        <w:t xml:space="preserve">à </w:t>
      </w:r>
      <w:r w:rsidRPr="0044225F">
        <w:t xml:space="preserve">partager est la suivante :  </w:t>
      </w:r>
      <w:r w:rsidR="000F6FD1">
        <w:t>l</w:t>
      </w:r>
      <w:r w:rsidRPr="0044225F">
        <w:t>e budget ordinaire de l'UPOV couvrirait 30 000 francs suisses et l'</w:t>
      </w:r>
      <w:r w:rsidR="00D50EFC" w:rsidRPr="0044225F">
        <w:t>accord de fonds fiduciaire entre le Gouvernement du Japon et l'UPOV (</w:t>
      </w:r>
      <w:r w:rsidRPr="0044225F">
        <w:t>JP-FIT</w:t>
      </w:r>
      <w:r w:rsidR="00D50EFC" w:rsidRPr="0044225F">
        <w:t xml:space="preserve">) </w:t>
      </w:r>
      <w:r w:rsidRPr="0044225F">
        <w:t xml:space="preserve">couvrirait 25 000 francs suisses.  </w:t>
      </w:r>
    </w:p>
    <w:p w14:paraId="7199CDF0" w14:textId="77777777" w:rsidR="002E5189" w:rsidRPr="0044225F" w:rsidRDefault="002E5189" w:rsidP="002E5189">
      <w:pPr>
        <w:jc w:val="left"/>
      </w:pPr>
    </w:p>
    <w:p w14:paraId="347E5438" w14:textId="19D9DAB7" w:rsidR="00B41F4E" w:rsidRPr="0044225F" w:rsidRDefault="00B3673B" w:rsidP="000F6FD1">
      <w:r w:rsidRPr="0044225F">
        <w:fldChar w:fldCharType="begin"/>
      </w:r>
      <w:r w:rsidRPr="0044225F">
        <w:instrText xml:space="preserve"> AUTONUM  </w:instrText>
      </w:r>
      <w:r w:rsidRPr="0044225F">
        <w:fldChar w:fldCharType="end"/>
      </w:r>
      <w:r w:rsidRPr="0044225F">
        <w:tab/>
        <w:t xml:space="preserve">Les participants à la réunion ont convenu de proposer la proposition de financement ci-dessus pour </w:t>
      </w:r>
      <w:r w:rsidR="008773A7" w:rsidRPr="0044225F">
        <w:t xml:space="preserve">approbation par </w:t>
      </w:r>
      <w:r w:rsidRPr="0044225F">
        <w:t>le WG-HRV</w:t>
      </w:r>
      <w:r w:rsidR="000F6FD1">
        <w:t xml:space="preserve"> à sa sixième réunion</w:t>
      </w:r>
      <w:r w:rsidRPr="0044225F">
        <w:t xml:space="preserve"> en octobre</w:t>
      </w:r>
      <w:r w:rsidR="000F6FD1">
        <w:t xml:space="preserve"> 2024</w:t>
      </w:r>
      <w:r w:rsidRPr="0044225F">
        <w:t>.</w:t>
      </w:r>
    </w:p>
    <w:p w14:paraId="6D71AEB3" w14:textId="77777777" w:rsidR="002E5189" w:rsidRPr="0044225F" w:rsidRDefault="002E5189" w:rsidP="002E5189"/>
    <w:p w14:paraId="3D47F85F" w14:textId="33B729E2" w:rsidR="00B41F4E" w:rsidRPr="0044225F" w:rsidRDefault="00B3673B">
      <w:pPr>
        <w:keepLines/>
        <w:rPr>
          <w:color w:val="262626"/>
        </w:rPr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</w:r>
      <w:r w:rsidRPr="0044225F">
        <w:t xml:space="preserve">Sur la base des conclusions </w:t>
      </w:r>
      <w:r w:rsidR="008773A7" w:rsidRPr="0044225F">
        <w:t xml:space="preserve">du WG-HRV lors de </w:t>
      </w:r>
      <w:proofErr w:type="gramStart"/>
      <w:r w:rsidRPr="0044225F">
        <w:t>ses quatrième et cinquième réunions</w:t>
      </w:r>
      <w:proofErr w:type="gramEnd"/>
      <w:r w:rsidRPr="0044225F">
        <w:t xml:space="preserve"> et de la réunion virtuelle </w:t>
      </w:r>
      <w:r w:rsidR="00556863" w:rsidRPr="0044225F">
        <w:t>du 22 mai 22024</w:t>
      </w:r>
      <w:r w:rsidRPr="0044225F">
        <w:t xml:space="preserve">, le Bureau de l'Union a mis à jour le mandat proposé pour une </w:t>
      </w:r>
      <w:r w:rsidRPr="0044225F">
        <w:rPr>
          <w:rFonts w:cs="Arial"/>
          <w:lang w:eastAsia="fr-FR"/>
        </w:rPr>
        <w:t>étude</w:t>
      </w:r>
      <w:r w:rsidRPr="0044225F">
        <w:rPr>
          <w:color w:val="343434"/>
        </w:rPr>
        <w:t xml:space="preserve">, y compris </w:t>
      </w:r>
      <w:r w:rsidRPr="0044225F">
        <w:rPr>
          <w:color w:val="161616"/>
        </w:rPr>
        <w:t xml:space="preserve">un calendrier, des </w:t>
      </w:r>
      <w:r w:rsidRPr="0044225F">
        <w:rPr>
          <w:color w:val="262626"/>
        </w:rPr>
        <w:t xml:space="preserve">auteurs et un budget (voir </w:t>
      </w:r>
      <w:r w:rsidR="000F6FD1">
        <w:rPr>
          <w:color w:val="262626"/>
        </w:rPr>
        <w:t>l’annexe</w:t>
      </w:r>
      <w:r w:rsidRPr="000F6FD1">
        <w:rPr>
          <w:color w:val="262626"/>
        </w:rPr>
        <w:t>)</w:t>
      </w:r>
      <w:r w:rsidRPr="0044225F">
        <w:rPr>
          <w:color w:val="262626"/>
        </w:rPr>
        <w:t xml:space="preserve">. </w:t>
      </w:r>
    </w:p>
    <w:p w14:paraId="405C098A" w14:textId="77777777" w:rsidR="006F30A5" w:rsidRPr="0044225F" w:rsidRDefault="006F30A5" w:rsidP="006F30A5">
      <w:pPr>
        <w:jc w:val="left"/>
      </w:pPr>
    </w:p>
    <w:p w14:paraId="25E6D7EA" w14:textId="77777777" w:rsidR="00B41F4E" w:rsidRPr="0044225F" w:rsidRDefault="00B3673B">
      <w:pPr>
        <w:pStyle w:val="DecisionParagraphs"/>
        <w:keepNext/>
        <w:rPr>
          <w:rFonts w:cs="Arial"/>
        </w:rPr>
      </w:pPr>
      <w:r w:rsidRPr="0044225F">
        <w:rPr>
          <w:rFonts w:cs="Arial"/>
        </w:rPr>
        <w:fldChar w:fldCharType="begin"/>
      </w:r>
      <w:r w:rsidRPr="0044225F">
        <w:rPr>
          <w:rFonts w:cs="Arial"/>
        </w:rPr>
        <w:instrText xml:space="preserve"> AUTONUM  </w:instrText>
      </w:r>
      <w:r w:rsidRPr="0044225F">
        <w:rPr>
          <w:rFonts w:cs="Arial"/>
        </w:rPr>
        <w:fldChar w:fldCharType="end"/>
      </w:r>
      <w:r w:rsidRPr="0044225F">
        <w:rPr>
          <w:rFonts w:cs="Arial"/>
        </w:rPr>
        <w:tab/>
        <w:t xml:space="preserve">Le WG-HRV est invité à examiner les questions présentées dans ce document et les termes de référence </w:t>
      </w:r>
      <w:r w:rsidR="002E5189" w:rsidRPr="0044225F">
        <w:rPr>
          <w:rFonts w:cs="Arial"/>
        </w:rPr>
        <w:t xml:space="preserve">actualisés </w:t>
      </w:r>
      <w:r w:rsidRPr="0044225F">
        <w:rPr>
          <w:rFonts w:cs="Arial"/>
        </w:rPr>
        <w:t>pour une étude, comme indiqué dans l'annexe</w:t>
      </w:r>
      <w:r w:rsidR="002E5189" w:rsidRPr="0044225F">
        <w:rPr>
          <w:rFonts w:cs="Arial"/>
        </w:rPr>
        <w:t>.</w:t>
      </w:r>
    </w:p>
    <w:p w14:paraId="23F5EB40" w14:textId="77777777" w:rsidR="006F30A5" w:rsidRPr="0044225F" w:rsidRDefault="006F30A5" w:rsidP="006F30A5">
      <w:pPr>
        <w:jc w:val="left"/>
      </w:pPr>
    </w:p>
    <w:p w14:paraId="2C4EB56B" w14:textId="77777777" w:rsidR="006F30A5" w:rsidRDefault="006F30A5" w:rsidP="006F30A5"/>
    <w:p w14:paraId="74DE59F8" w14:textId="77777777" w:rsidR="008939DB" w:rsidRPr="0044225F" w:rsidRDefault="008939DB" w:rsidP="006F30A5"/>
    <w:p w14:paraId="62928211" w14:textId="77777777" w:rsidR="00B41F4E" w:rsidRPr="0044225F" w:rsidRDefault="00B3673B">
      <w:pPr>
        <w:jc w:val="right"/>
      </w:pPr>
      <w:r w:rsidRPr="0044225F">
        <w:t>[L'annexe suit]</w:t>
      </w:r>
    </w:p>
    <w:p w14:paraId="2994A8DC" w14:textId="77777777" w:rsidR="006F30A5" w:rsidRPr="0044225F" w:rsidRDefault="006F30A5" w:rsidP="006F30A5">
      <w:pPr>
        <w:jc w:val="left"/>
        <w:sectPr w:rsidR="006F30A5" w:rsidRPr="0044225F" w:rsidSect="000F6FD1">
          <w:headerReference w:type="default" r:id="rId9"/>
          <w:pgSz w:w="11907" w:h="16840" w:code="9"/>
          <w:pgMar w:top="510" w:right="1134" w:bottom="993" w:left="1134" w:header="510" w:footer="680" w:gutter="0"/>
          <w:pgNumType w:start="1"/>
          <w:cols w:space="720"/>
          <w:titlePg/>
        </w:sectPr>
      </w:pPr>
    </w:p>
    <w:p w14:paraId="0119F31E" w14:textId="77777777" w:rsidR="00B41F4E" w:rsidRPr="0044225F" w:rsidRDefault="008773A7">
      <w:pPr>
        <w:jc w:val="center"/>
        <w:rPr>
          <w:b/>
          <w:bCs/>
        </w:rPr>
      </w:pPr>
      <w:bookmarkStart w:id="5" w:name="_Hlk172119356"/>
      <w:r w:rsidRPr="0044225F">
        <w:rPr>
          <w:rFonts w:cs="Arial"/>
        </w:rPr>
        <w:lastRenderedPageBreak/>
        <w:t xml:space="preserve">PROJET DE </w:t>
      </w:r>
      <w:r w:rsidR="006F30A5" w:rsidRPr="0044225F">
        <w:rPr>
          <w:rFonts w:cs="Arial"/>
        </w:rPr>
        <w:t xml:space="preserve">MANDAT </w:t>
      </w:r>
      <w:r w:rsidR="00B3673B" w:rsidRPr="0044225F">
        <w:rPr>
          <w:rFonts w:cs="Arial"/>
        </w:rPr>
        <w:t xml:space="preserve">ACTUALISÉ </w:t>
      </w:r>
      <w:r w:rsidR="006F30A5" w:rsidRPr="0044225F">
        <w:rPr>
          <w:rFonts w:cs="Arial"/>
        </w:rPr>
        <w:t>DE L'</w:t>
      </w:r>
      <w:r w:rsidR="006F30A5" w:rsidRPr="0044225F">
        <w:t>ÉTUDE SUR "L'ÉTENDUE DU DROIT D'OBTENTEUR" ET LA RELATION AVEC "L'ÉPUISEMENT DU DROIT D'OBTENTEUR"</w:t>
      </w:r>
    </w:p>
    <w:bookmarkEnd w:id="5"/>
    <w:p w14:paraId="5B90739A" w14:textId="77777777" w:rsidR="006F30A5" w:rsidRPr="0044225F" w:rsidRDefault="006F30A5" w:rsidP="006F30A5">
      <w:pPr>
        <w:jc w:val="left"/>
      </w:pPr>
    </w:p>
    <w:p w14:paraId="4FAFD381" w14:textId="77777777" w:rsidR="006F30A5" w:rsidRPr="0044225F" w:rsidRDefault="006F30A5" w:rsidP="006F30A5">
      <w:pPr>
        <w:jc w:val="left"/>
      </w:pPr>
    </w:p>
    <w:p w14:paraId="2751EB22" w14:textId="77777777" w:rsidR="00B41F4E" w:rsidRPr="00214ABC" w:rsidRDefault="00B3673B">
      <w:pPr>
        <w:pStyle w:val="Heading1"/>
        <w:rPr>
          <w:lang w:val="fr-FR"/>
        </w:rPr>
      </w:pPr>
      <w:bookmarkStart w:id="6" w:name="_Toc172119298"/>
      <w:bookmarkStart w:id="7" w:name="_Toc172119335"/>
      <w:r w:rsidRPr="00214ABC">
        <w:rPr>
          <w:lang w:val="fr-FR"/>
        </w:rPr>
        <w:t>CHAMP D'APPLICATION :</w:t>
      </w:r>
      <w:bookmarkEnd w:id="6"/>
      <w:bookmarkEnd w:id="7"/>
    </w:p>
    <w:p w14:paraId="0CB64714" w14:textId="77777777" w:rsidR="006F30A5" w:rsidRPr="00214ABC" w:rsidRDefault="006F30A5" w:rsidP="006F30A5">
      <w:pPr>
        <w:jc w:val="left"/>
      </w:pPr>
    </w:p>
    <w:p w14:paraId="47D187EE" w14:textId="1ADC14AA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  <w:r w:rsidRPr="00214ABC">
        <w:rPr>
          <w:color w:val="262626"/>
        </w:rPr>
        <w:t>L'étude comprendra</w:t>
      </w:r>
      <w:r w:rsidR="00214ABC" w:rsidRPr="00214ABC">
        <w:rPr>
          <w:color w:val="262626"/>
        </w:rPr>
        <w:t> :</w:t>
      </w:r>
    </w:p>
    <w:p w14:paraId="4C58A21B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7F4FCE2E" w14:textId="77777777" w:rsidR="00B41F4E" w:rsidRPr="00214ABC" w:rsidRDefault="00B3673B" w:rsidP="008939DB">
      <w:pPr>
        <w:pStyle w:val="ListParagraph"/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rPr>
          <w:color w:val="343434"/>
        </w:rPr>
      </w:pPr>
      <w:r w:rsidRPr="00214ABC">
        <w:rPr>
          <w:color w:val="262626"/>
        </w:rPr>
        <w:t xml:space="preserve">une </w:t>
      </w:r>
      <w:r w:rsidRPr="00214ABC">
        <w:rPr>
          <w:color w:val="262626"/>
          <w:u w:val="single"/>
        </w:rPr>
        <w:t xml:space="preserve">première partie </w:t>
      </w:r>
      <w:r w:rsidRPr="00214ABC">
        <w:rPr>
          <w:color w:val="262626"/>
        </w:rPr>
        <w:t xml:space="preserve">comportant une analyse </w:t>
      </w:r>
      <w:r w:rsidRPr="00214ABC">
        <w:rPr>
          <w:color w:val="161616"/>
        </w:rPr>
        <w:t xml:space="preserve">des intentions </w:t>
      </w:r>
      <w:r w:rsidRPr="00214ABC">
        <w:rPr>
          <w:color w:val="262626"/>
        </w:rPr>
        <w:t>des rédacteurs de l'</w:t>
      </w:r>
      <w:r w:rsidRPr="00214ABC">
        <w:rPr>
          <w:color w:val="161616"/>
        </w:rPr>
        <w:t xml:space="preserve">Acte de 1991 de la Convention UPOV </w:t>
      </w:r>
      <w:r w:rsidRPr="00214ABC">
        <w:rPr>
          <w:color w:val="262626"/>
        </w:rPr>
        <w:t xml:space="preserve">en ce qui </w:t>
      </w:r>
      <w:r w:rsidRPr="00214ABC">
        <w:rPr>
          <w:color w:val="161616"/>
        </w:rPr>
        <w:t xml:space="preserve">concerne les </w:t>
      </w:r>
      <w:r w:rsidRPr="00214ABC">
        <w:rPr>
          <w:color w:val="262626"/>
        </w:rPr>
        <w:t>articles 14 et 16 de l'Acte de 1991 ; et</w:t>
      </w:r>
    </w:p>
    <w:p w14:paraId="33A5BBE3" w14:textId="08117B21" w:rsidR="00B41F4E" w:rsidRPr="00214ABC" w:rsidRDefault="00B3673B" w:rsidP="008939DB">
      <w:pPr>
        <w:pStyle w:val="ListParagraph"/>
        <w:widowControl w:val="0"/>
        <w:numPr>
          <w:ilvl w:val="0"/>
          <w:numId w:val="2"/>
        </w:numPr>
        <w:tabs>
          <w:tab w:val="left" w:pos="762"/>
        </w:tabs>
        <w:autoSpaceDE w:val="0"/>
        <w:autoSpaceDN w:val="0"/>
        <w:rPr>
          <w:color w:val="343434"/>
        </w:rPr>
      </w:pPr>
      <w:r w:rsidRPr="00214ABC">
        <w:rPr>
          <w:color w:val="262626"/>
        </w:rPr>
        <w:t xml:space="preserve">une </w:t>
      </w:r>
      <w:r w:rsidRPr="00214ABC">
        <w:rPr>
          <w:color w:val="343434"/>
          <w:u w:val="single"/>
        </w:rPr>
        <w:t xml:space="preserve">deuxième </w:t>
      </w:r>
      <w:r w:rsidRPr="00214ABC">
        <w:rPr>
          <w:color w:val="262626"/>
          <w:u w:val="single"/>
        </w:rPr>
        <w:t xml:space="preserve">partie </w:t>
      </w:r>
      <w:r w:rsidRPr="00214ABC">
        <w:rPr>
          <w:color w:val="262626"/>
        </w:rPr>
        <w:t xml:space="preserve">contenant </w:t>
      </w:r>
      <w:r w:rsidRPr="00214ABC">
        <w:rPr>
          <w:color w:val="343434"/>
        </w:rPr>
        <w:t xml:space="preserve">des </w:t>
      </w:r>
      <w:r w:rsidRPr="00214ABC">
        <w:rPr>
          <w:color w:val="161616"/>
        </w:rPr>
        <w:t xml:space="preserve">résumés </w:t>
      </w:r>
      <w:r w:rsidRPr="00214ABC">
        <w:rPr>
          <w:color w:val="343434"/>
        </w:rPr>
        <w:t xml:space="preserve">des décisions </w:t>
      </w:r>
      <w:r w:rsidRPr="00214ABC">
        <w:rPr>
          <w:color w:val="262626"/>
        </w:rPr>
        <w:t xml:space="preserve">judiciaires pertinentes </w:t>
      </w:r>
      <w:r w:rsidRPr="00214ABC">
        <w:rPr>
          <w:color w:val="343434"/>
        </w:rPr>
        <w:t>des membres de l'UPOV liés par l'Acte de 1991</w:t>
      </w:r>
      <w:r w:rsidRPr="00214ABC">
        <w:rPr>
          <w:color w:val="262626"/>
        </w:rPr>
        <w:t xml:space="preserve">. </w:t>
      </w:r>
    </w:p>
    <w:p w14:paraId="7825D2FF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5E1C712D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042EC4F6" w14:textId="77777777" w:rsidR="00B41F4E" w:rsidRPr="00214ABC" w:rsidRDefault="00B3673B" w:rsidP="008939DB">
      <w:pPr>
        <w:pStyle w:val="Heading1"/>
        <w:rPr>
          <w:lang w:val="fr-FR"/>
        </w:rPr>
      </w:pPr>
      <w:bookmarkStart w:id="8" w:name="_Toc172119299"/>
      <w:bookmarkStart w:id="9" w:name="_Toc172119336"/>
      <w:r w:rsidRPr="00214ABC">
        <w:rPr>
          <w:lang w:val="fr-FR"/>
        </w:rPr>
        <w:t>COMPOSITION :</w:t>
      </w:r>
      <w:bookmarkEnd w:id="8"/>
      <w:bookmarkEnd w:id="9"/>
    </w:p>
    <w:p w14:paraId="1146BD47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61D81133" w14:textId="77777777" w:rsidR="00B41F4E" w:rsidRPr="00214ABC" w:rsidRDefault="00B3673B" w:rsidP="008939DB">
      <w:pPr>
        <w:jc w:val="left"/>
      </w:pPr>
      <w:r w:rsidRPr="00214ABC">
        <w:t>L'</w:t>
      </w:r>
      <w:r w:rsidR="006F30A5" w:rsidRPr="00214ABC">
        <w:t xml:space="preserve">étude doit être réalisée par </w:t>
      </w:r>
      <w:r w:rsidR="00302C50" w:rsidRPr="00214ABC">
        <w:t xml:space="preserve">les </w:t>
      </w:r>
      <w:r w:rsidR="006F30A5" w:rsidRPr="00214ABC">
        <w:t>cinq auteurs mentionnés ci-dessous. Les auteurs doivent se mettre d'accord sur l'un d'entre eux pour coordonner leur travail.</w:t>
      </w:r>
    </w:p>
    <w:p w14:paraId="3918CB83" w14:textId="77777777" w:rsidR="006F30A5" w:rsidRPr="00214ABC" w:rsidRDefault="006F30A5" w:rsidP="008939DB">
      <w:pPr>
        <w:jc w:val="left"/>
      </w:pPr>
    </w:p>
    <w:p w14:paraId="07442F58" w14:textId="77777777" w:rsidR="00B41F4E" w:rsidRPr="00214ABC" w:rsidRDefault="00B3673B" w:rsidP="008939DB">
      <w:pPr>
        <w:jc w:val="left"/>
      </w:pPr>
      <w:r w:rsidRPr="00214ABC">
        <w:t xml:space="preserve">La langue de travail des auteurs doit être l'anglais et l'étude doit être rédigée en anglais. </w:t>
      </w:r>
    </w:p>
    <w:p w14:paraId="66E66B6C" w14:textId="77777777" w:rsidR="006F30A5" w:rsidRPr="00214ABC" w:rsidRDefault="006F30A5" w:rsidP="008939DB">
      <w:pPr>
        <w:jc w:val="left"/>
      </w:pPr>
    </w:p>
    <w:tbl>
      <w:tblPr>
        <w:tblStyle w:val="TableGrid"/>
        <w:tblW w:w="3145" w:type="dxa"/>
        <w:jc w:val="center"/>
        <w:tblInd w:w="0" w:type="dxa"/>
        <w:tblLook w:val="04A0" w:firstRow="1" w:lastRow="0" w:firstColumn="1" w:lastColumn="0" w:noHBand="0" w:noVBand="1"/>
      </w:tblPr>
      <w:tblGrid>
        <w:gridCol w:w="3145"/>
      </w:tblGrid>
      <w:tr w:rsidR="006F30A5" w:rsidRPr="00214ABC" w14:paraId="024DC1E5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F1BE" w14:textId="77777777" w:rsidR="00B41F4E" w:rsidRPr="00214ABC" w:rsidRDefault="00B3673B" w:rsidP="008939DB">
            <w:pPr>
              <w:jc w:val="left"/>
              <w:rPr>
                <w:b/>
                <w:bCs/>
              </w:rPr>
            </w:pPr>
            <w:r w:rsidRPr="00214ABC">
              <w:rPr>
                <w:b/>
                <w:bCs/>
              </w:rPr>
              <w:t>Experts (ordre alphabétique)</w:t>
            </w:r>
          </w:p>
        </w:tc>
      </w:tr>
      <w:tr w:rsidR="006F30A5" w:rsidRPr="00214ABC" w14:paraId="2C1D0622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26AF" w14:textId="4BFA3D5B" w:rsidR="00B41F4E" w:rsidRPr="00214ABC" w:rsidRDefault="00B3673B" w:rsidP="008939DB">
            <w:pPr>
              <w:jc w:val="left"/>
            </w:pPr>
            <w:r w:rsidRPr="00214ABC">
              <w:t>M</w:t>
            </w:r>
            <w:r w:rsidR="00214ABC">
              <w:t>.</w:t>
            </w:r>
            <w:r w:rsidRPr="00214ABC">
              <w:t xml:space="preserve"> </w:t>
            </w:r>
            <w:proofErr w:type="spellStart"/>
            <w:r w:rsidRPr="00214ABC">
              <w:t>Huib</w:t>
            </w:r>
            <w:proofErr w:type="spellEnd"/>
            <w:r w:rsidRPr="00214ABC">
              <w:t xml:space="preserve"> </w:t>
            </w:r>
            <w:proofErr w:type="spellStart"/>
            <w:r w:rsidRPr="00214ABC">
              <w:t>Ghijsen</w:t>
            </w:r>
            <w:proofErr w:type="spellEnd"/>
          </w:p>
        </w:tc>
      </w:tr>
      <w:tr w:rsidR="006F30A5" w:rsidRPr="00214ABC" w14:paraId="213BF1D3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08CF" w14:textId="77777777" w:rsidR="00B41F4E" w:rsidRPr="00214ABC" w:rsidRDefault="00B3673B" w:rsidP="008939DB">
            <w:pPr>
              <w:jc w:val="left"/>
            </w:pPr>
            <w:r w:rsidRPr="00214ABC">
              <w:t xml:space="preserve">Mme Vivianne </w:t>
            </w:r>
            <w:proofErr w:type="spellStart"/>
            <w:r w:rsidRPr="00214ABC">
              <w:t>Kunisawa</w:t>
            </w:r>
            <w:proofErr w:type="spellEnd"/>
          </w:p>
        </w:tc>
      </w:tr>
      <w:tr w:rsidR="006F30A5" w:rsidRPr="00214ABC" w14:paraId="39402509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F29D" w14:textId="3ACE6F96" w:rsidR="00B41F4E" w:rsidRPr="00214ABC" w:rsidRDefault="00B3673B" w:rsidP="008939DB">
            <w:pPr>
              <w:jc w:val="left"/>
            </w:pPr>
            <w:r w:rsidRPr="00214ABC">
              <w:t>M</w:t>
            </w:r>
            <w:r w:rsidR="00214ABC">
              <w:t>.</w:t>
            </w:r>
            <w:r w:rsidRPr="00214ABC">
              <w:t xml:space="preserve"> Charles Lawson</w:t>
            </w:r>
          </w:p>
        </w:tc>
      </w:tr>
      <w:tr w:rsidR="006F30A5" w:rsidRPr="00214ABC" w14:paraId="74CFD3F6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A65B" w14:textId="190C0EAF" w:rsidR="00B41F4E" w:rsidRPr="00214ABC" w:rsidRDefault="00B3673B" w:rsidP="008939DB">
            <w:pPr>
              <w:jc w:val="left"/>
            </w:pPr>
            <w:r w:rsidRPr="00214ABC">
              <w:t>M</w:t>
            </w:r>
            <w:r w:rsidR="00214ABC">
              <w:t>.</w:t>
            </w:r>
            <w:r w:rsidRPr="00214ABC">
              <w:t xml:space="preserve"> Axel Metzger</w:t>
            </w:r>
          </w:p>
        </w:tc>
      </w:tr>
      <w:tr w:rsidR="006F30A5" w:rsidRPr="00214ABC" w14:paraId="74A8B64D" w14:textId="77777777" w:rsidTr="00783693">
        <w:trPr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7B94" w14:textId="5EB287ED" w:rsidR="00B41F4E" w:rsidRPr="00214ABC" w:rsidRDefault="00B3673B" w:rsidP="008939DB">
            <w:pPr>
              <w:jc w:val="left"/>
            </w:pPr>
            <w:r w:rsidRPr="00214ABC">
              <w:t>M</w:t>
            </w:r>
            <w:r w:rsidR="00214ABC">
              <w:t>.</w:t>
            </w:r>
            <w:r w:rsidRPr="00214ABC">
              <w:t xml:space="preserve"> Joseph Strauss</w:t>
            </w:r>
          </w:p>
        </w:tc>
      </w:tr>
    </w:tbl>
    <w:p w14:paraId="0766AA80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jc w:val="left"/>
        <w:rPr>
          <w:color w:val="262626"/>
        </w:rPr>
      </w:pPr>
    </w:p>
    <w:p w14:paraId="08A7B42A" w14:textId="77777777" w:rsidR="006F30A5" w:rsidRPr="00214ABC" w:rsidRDefault="006F30A5" w:rsidP="008939DB">
      <w:pPr>
        <w:rPr>
          <w:color w:val="262626"/>
        </w:rPr>
      </w:pPr>
    </w:p>
    <w:p w14:paraId="24B7638F" w14:textId="77777777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caps/>
        </w:rPr>
      </w:pPr>
      <w:r w:rsidRPr="00214ABC">
        <w:rPr>
          <w:caps/>
        </w:rPr>
        <w:t>MODUS OPERANDI :</w:t>
      </w:r>
    </w:p>
    <w:p w14:paraId="2A73368C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21006B48" w14:textId="77777777" w:rsidR="00B41F4E" w:rsidRPr="00214ABC" w:rsidRDefault="00B3673B" w:rsidP="008939DB">
      <w:pPr>
        <w:pStyle w:val="Heading2"/>
        <w:rPr>
          <w:lang w:val="fr-FR"/>
        </w:rPr>
      </w:pPr>
      <w:bookmarkStart w:id="10" w:name="_Toc172119300"/>
      <w:bookmarkStart w:id="11" w:name="_Toc172119337"/>
      <w:r w:rsidRPr="00214ABC">
        <w:rPr>
          <w:lang w:val="fr-FR"/>
        </w:rPr>
        <w:t xml:space="preserve">Indépendance : </w:t>
      </w:r>
      <w:bookmarkEnd w:id="10"/>
      <w:bookmarkEnd w:id="11"/>
    </w:p>
    <w:p w14:paraId="28207B81" w14:textId="77777777" w:rsidR="006F30A5" w:rsidRPr="00214ABC" w:rsidRDefault="006F30A5" w:rsidP="00214ABC"/>
    <w:p w14:paraId="012ECF3F" w14:textId="77777777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</w:pPr>
      <w:r w:rsidRPr="00214ABC">
        <w:rPr>
          <w:color w:val="262626"/>
        </w:rPr>
        <w:t>Les auteurs sont indépendants dans la rédaction de l'étude</w:t>
      </w:r>
      <w:r w:rsidR="009B2EE6" w:rsidRPr="00214ABC">
        <w:rPr>
          <w:color w:val="262626"/>
        </w:rPr>
        <w:t xml:space="preserve">, </w:t>
      </w:r>
      <w:r w:rsidR="009B2EE6" w:rsidRPr="00214ABC">
        <w:t>en ce sens qu'ils ne doivent recevoir d'</w:t>
      </w:r>
      <w:r w:rsidR="008773A7" w:rsidRPr="00214ABC">
        <w:t>instructions</w:t>
      </w:r>
      <w:r w:rsidR="009B2EE6" w:rsidRPr="00214ABC">
        <w:t xml:space="preserve"> individuelles </w:t>
      </w:r>
      <w:r w:rsidR="008773A7" w:rsidRPr="00214ABC">
        <w:t xml:space="preserve">de </w:t>
      </w:r>
      <w:r w:rsidR="009B2EE6" w:rsidRPr="00214ABC">
        <w:t xml:space="preserve">personne et qu'ils doivent être impartiaux et objectifs. </w:t>
      </w:r>
    </w:p>
    <w:p w14:paraId="7BD14D05" w14:textId="77777777" w:rsidR="009B2EE6" w:rsidRPr="00214ABC" w:rsidRDefault="009B2EE6" w:rsidP="008939DB">
      <w:pPr>
        <w:widowControl w:val="0"/>
        <w:tabs>
          <w:tab w:val="left" w:pos="762"/>
        </w:tabs>
        <w:autoSpaceDE w:val="0"/>
        <w:autoSpaceDN w:val="0"/>
      </w:pPr>
    </w:p>
    <w:p w14:paraId="2784AE4F" w14:textId="77777777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  <w:r w:rsidRPr="00214ABC">
        <w:t xml:space="preserve">Les cinq auteurs doivent rédiger une seule étude et suivre une méthode de travail collaborative conforme aux normes académiques. </w:t>
      </w:r>
      <w:r w:rsidR="009B2EE6" w:rsidRPr="00214ABC">
        <w:t xml:space="preserve">Conformément à ces normes, les auteurs doivent gérer les éventuelles différences de </w:t>
      </w:r>
      <w:r w:rsidR="008773A7" w:rsidRPr="00214ABC">
        <w:t xml:space="preserve">points de vue ou d'analyse </w:t>
      </w:r>
      <w:r w:rsidR="009B2EE6" w:rsidRPr="00214ABC">
        <w:t>et</w:t>
      </w:r>
      <w:r w:rsidR="00FF03BD" w:rsidRPr="00214ABC">
        <w:t xml:space="preserve">, le cas échéant, </w:t>
      </w:r>
      <w:r w:rsidR="009B2EE6" w:rsidRPr="00214ABC">
        <w:t xml:space="preserve">la manière dont ces </w:t>
      </w:r>
      <w:r w:rsidR="008773A7" w:rsidRPr="00214ABC">
        <w:t xml:space="preserve">questions </w:t>
      </w:r>
      <w:r w:rsidR="009B2EE6" w:rsidRPr="00214ABC">
        <w:t>doivent être prises en compte dans l'étude.</w:t>
      </w:r>
    </w:p>
    <w:p w14:paraId="281FC486" w14:textId="77777777" w:rsidR="002117A1" w:rsidRPr="00214ABC" w:rsidRDefault="002117A1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65C30884" w14:textId="77777777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  <w:r w:rsidRPr="00214ABC">
        <w:rPr>
          <w:color w:val="262626"/>
        </w:rPr>
        <w:t xml:space="preserve">Après avoir reçu l'étude, il appartient au WG-HRV d'envisager un éventuel suivi et de demander des orientations supplémentaires au CAJ, le cas échéant. </w:t>
      </w:r>
    </w:p>
    <w:p w14:paraId="062AA6DE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2D50503E" w14:textId="77777777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  <w:r w:rsidRPr="00214ABC">
        <w:rPr>
          <w:color w:val="262626"/>
        </w:rPr>
        <w:t>Les membres de l'UPOV ne sont pas liés par le contenu et/ou les conclusions de l'étude.</w:t>
      </w:r>
    </w:p>
    <w:p w14:paraId="46A3133D" w14:textId="77777777" w:rsidR="00E573A8" w:rsidRPr="00214ABC" w:rsidRDefault="00E573A8" w:rsidP="008939DB">
      <w:pPr>
        <w:widowControl w:val="0"/>
        <w:tabs>
          <w:tab w:val="left" w:pos="762"/>
        </w:tabs>
        <w:autoSpaceDE w:val="0"/>
        <w:autoSpaceDN w:val="0"/>
        <w:rPr>
          <w:color w:val="262626"/>
        </w:rPr>
      </w:pPr>
    </w:p>
    <w:p w14:paraId="7925E598" w14:textId="77777777" w:rsidR="00B41F4E" w:rsidRPr="00214ABC" w:rsidRDefault="00B3673B" w:rsidP="008939DB">
      <w:pPr>
        <w:pStyle w:val="Heading2"/>
        <w:rPr>
          <w:lang w:val="fr-FR"/>
        </w:rPr>
      </w:pPr>
      <w:bookmarkStart w:id="12" w:name="_Toc172119301"/>
      <w:bookmarkStart w:id="13" w:name="_Toc172119338"/>
      <w:r w:rsidRPr="00214ABC">
        <w:rPr>
          <w:lang w:val="fr-FR"/>
        </w:rPr>
        <w:t>Calendrier :</w:t>
      </w:r>
      <w:bookmarkEnd w:id="12"/>
      <w:bookmarkEnd w:id="13"/>
    </w:p>
    <w:p w14:paraId="3DE601A3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161616"/>
        </w:rPr>
      </w:pPr>
    </w:p>
    <w:p w14:paraId="3BD9A926" w14:textId="2B217AF1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rFonts w:cs="Arial"/>
        </w:rPr>
      </w:pPr>
      <w:r w:rsidRPr="00214ABC">
        <w:rPr>
          <w:rFonts w:cs="Arial"/>
        </w:rPr>
        <w:t xml:space="preserve">Les auteurs devront remettre le </w:t>
      </w:r>
      <w:r w:rsidR="00FF03BD" w:rsidRPr="00214ABC">
        <w:rPr>
          <w:rFonts w:cs="Arial"/>
        </w:rPr>
        <w:t>projet d'</w:t>
      </w:r>
      <w:r w:rsidRPr="00214ABC">
        <w:rPr>
          <w:rFonts w:cs="Arial"/>
        </w:rPr>
        <w:t xml:space="preserve">étude </w:t>
      </w:r>
      <w:r w:rsidR="00FF03BD" w:rsidRPr="00214ABC">
        <w:rPr>
          <w:rFonts w:cs="Arial"/>
        </w:rPr>
        <w:t xml:space="preserve">au plus tard le 28 février </w:t>
      </w:r>
      <w:r w:rsidR="006B40B2" w:rsidRPr="00214ABC">
        <w:rPr>
          <w:rFonts w:cs="Arial"/>
        </w:rPr>
        <w:t xml:space="preserve">2025 </w:t>
      </w:r>
      <w:r w:rsidRPr="00214ABC">
        <w:rPr>
          <w:rFonts w:cs="Arial"/>
        </w:rPr>
        <w:t xml:space="preserve">pour examen lors de la </w:t>
      </w:r>
      <w:r w:rsidR="002117A1" w:rsidRPr="00214ABC">
        <w:rPr>
          <w:rFonts w:cs="Arial"/>
        </w:rPr>
        <w:t xml:space="preserve">septième </w:t>
      </w:r>
      <w:r w:rsidRPr="00214ABC">
        <w:rPr>
          <w:rFonts w:cs="Arial"/>
        </w:rPr>
        <w:t xml:space="preserve">réunion du WG-HRV, qui devrait avoir lieu à Genève </w:t>
      </w:r>
      <w:r w:rsidR="00FF03BD" w:rsidRPr="00214ABC">
        <w:rPr>
          <w:rFonts w:cs="Arial"/>
        </w:rPr>
        <w:t xml:space="preserve">le </w:t>
      </w:r>
      <w:r w:rsidR="00B53C9A" w:rsidRPr="00214ABC">
        <w:rPr>
          <w:rFonts w:cs="Arial"/>
        </w:rPr>
        <w:t xml:space="preserve">20 </w:t>
      </w:r>
      <w:r w:rsidR="002117A1" w:rsidRPr="00214ABC">
        <w:rPr>
          <w:rFonts w:cs="Arial"/>
        </w:rPr>
        <w:t>mars 2025</w:t>
      </w:r>
      <w:r w:rsidR="00B53C9A" w:rsidRPr="00214ABC">
        <w:rPr>
          <w:rFonts w:cs="Arial"/>
        </w:rPr>
        <w:t>, à confirmer</w:t>
      </w:r>
      <w:r w:rsidRPr="00214ABC">
        <w:rPr>
          <w:rFonts w:cs="Arial"/>
        </w:rPr>
        <w:t xml:space="preserve">.  </w:t>
      </w:r>
      <w:r w:rsidR="00FF03BD" w:rsidRPr="00214ABC">
        <w:rPr>
          <w:rFonts w:cs="Arial"/>
        </w:rPr>
        <w:t xml:space="preserve">La version finale de l'étude devra être remise </w:t>
      </w:r>
      <w:r w:rsidR="006B40B2" w:rsidRPr="00214ABC">
        <w:rPr>
          <w:rFonts w:cs="Arial"/>
        </w:rPr>
        <w:t>au plus tard le 1</w:t>
      </w:r>
      <w:r w:rsidR="00214ABC" w:rsidRPr="00214ABC">
        <w:rPr>
          <w:rFonts w:cs="Arial"/>
          <w:vertAlign w:val="superscript"/>
        </w:rPr>
        <w:t>er</w:t>
      </w:r>
      <w:r w:rsidR="00214ABC">
        <w:rPr>
          <w:rFonts w:cs="Arial"/>
        </w:rPr>
        <w:t xml:space="preserve"> </w:t>
      </w:r>
      <w:r w:rsidR="006B40B2" w:rsidRPr="00214ABC">
        <w:rPr>
          <w:rFonts w:cs="Arial"/>
        </w:rPr>
        <w:t>septembr</w:t>
      </w:r>
      <w:r w:rsidRPr="00214ABC">
        <w:rPr>
          <w:rFonts w:cs="Arial"/>
        </w:rPr>
        <w:t>e</w:t>
      </w:r>
      <w:r w:rsidR="006B40B2" w:rsidRPr="00214ABC">
        <w:rPr>
          <w:rFonts w:cs="Arial"/>
        </w:rPr>
        <w:t xml:space="preserve"> 2025.</w:t>
      </w:r>
    </w:p>
    <w:p w14:paraId="283AF5F7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rFonts w:cs="Arial"/>
        </w:rPr>
      </w:pPr>
    </w:p>
    <w:p w14:paraId="78FAD26E" w14:textId="77777777" w:rsidR="00B41F4E" w:rsidRPr="00214ABC" w:rsidRDefault="00B3673B" w:rsidP="008939DB">
      <w:pPr>
        <w:widowControl w:val="0"/>
        <w:tabs>
          <w:tab w:val="left" w:pos="762"/>
        </w:tabs>
        <w:autoSpaceDE w:val="0"/>
        <w:autoSpaceDN w:val="0"/>
        <w:rPr>
          <w:color w:val="161616"/>
        </w:rPr>
      </w:pPr>
      <w:r w:rsidRPr="00214ABC">
        <w:rPr>
          <w:color w:val="161616"/>
        </w:rPr>
        <w:t xml:space="preserve">Le délai peut être prolongé à la demande des auteurs. </w:t>
      </w:r>
    </w:p>
    <w:p w14:paraId="4967ADA9" w14:textId="77777777" w:rsidR="006F30A5" w:rsidRPr="00214ABC" w:rsidRDefault="006F30A5" w:rsidP="008939DB">
      <w:pPr>
        <w:widowControl w:val="0"/>
        <w:tabs>
          <w:tab w:val="left" w:pos="762"/>
        </w:tabs>
        <w:autoSpaceDE w:val="0"/>
        <w:autoSpaceDN w:val="0"/>
        <w:rPr>
          <w:color w:val="161616"/>
        </w:rPr>
      </w:pPr>
    </w:p>
    <w:p w14:paraId="297E1539" w14:textId="77777777" w:rsidR="00B41F4E" w:rsidRPr="00214ABC" w:rsidRDefault="00B3673B" w:rsidP="008939DB">
      <w:pPr>
        <w:pStyle w:val="Heading2"/>
        <w:rPr>
          <w:lang w:val="fr-FR"/>
        </w:rPr>
      </w:pPr>
      <w:bookmarkStart w:id="14" w:name="_Toc172119302"/>
      <w:bookmarkStart w:id="15" w:name="_Toc172119339"/>
      <w:r w:rsidRPr="00214ABC">
        <w:rPr>
          <w:lang w:val="fr-FR"/>
        </w:rPr>
        <w:t>Soutien financier :</w:t>
      </w:r>
      <w:bookmarkEnd w:id="14"/>
      <w:bookmarkEnd w:id="15"/>
    </w:p>
    <w:p w14:paraId="6500E39A" w14:textId="77777777" w:rsidR="00302C50" w:rsidRPr="00214ABC" w:rsidRDefault="00302C50" w:rsidP="008939DB">
      <w:pPr>
        <w:jc w:val="left"/>
      </w:pPr>
    </w:p>
    <w:p w14:paraId="6E28781D" w14:textId="77777777" w:rsidR="00B41F4E" w:rsidRPr="00214ABC" w:rsidRDefault="00B3673B" w:rsidP="008939DB">
      <w:pPr>
        <w:jc w:val="left"/>
      </w:pPr>
      <w:r w:rsidRPr="00214ABC">
        <w:t xml:space="preserve">55 000 francs suisses qui comprendraient : </w:t>
      </w:r>
    </w:p>
    <w:p w14:paraId="2194E354" w14:textId="4E4DA1E4" w:rsidR="00B41F4E" w:rsidRPr="00214ABC" w:rsidRDefault="00B3673B" w:rsidP="00214ABC">
      <w:pPr>
        <w:ind w:left="284" w:hanging="284"/>
        <w:jc w:val="left"/>
      </w:pPr>
      <w:r w:rsidRPr="00214ABC">
        <w:rPr>
          <w:rFonts w:ascii="MS Gothic" w:eastAsia="MS Gothic" w:hAnsi="MS Gothic" w:cs="MS Gothic"/>
        </w:rPr>
        <w:t>・</w:t>
      </w:r>
      <w:r w:rsidR="00214ABC">
        <w:rPr>
          <w:rFonts w:ascii="MS Gothic" w:eastAsia="MS Gothic" w:hAnsi="MS Gothic" w:cs="MS Gothic"/>
        </w:rPr>
        <w:tab/>
      </w:r>
      <w:r w:rsidRPr="00214ABC">
        <w:rPr>
          <w:rFonts w:eastAsia="MS Gothic" w:hint="eastAsia"/>
        </w:rPr>
        <w:t>Honora</w:t>
      </w:r>
      <w:r w:rsidR="00214ABC">
        <w:rPr>
          <w:rFonts w:eastAsia="MS Gothic"/>
        </w:rPr>
        <w:t>ires</w:t>
      </w:r>
      <w:r w:rsidRPr="00214ABC">
        <w:rPr>
          <w:rFonts w:eastAsia="MS Gothic" w:hint="eastAsia"/>
        </w:rPr>
        <w:t xml:space="preserve"> </w:t>
      </w:r>
      <w:r w:rsidRPr="00214ABC">
        <w:t xml:space="preserve">de 10 000 francs suisses pour chacun des 5 auteurs. </w:t>
      </w:r>
    </w:p>
    <w:p w14:paraId="67E1CB7B" w14:textId="05BF5BB1" w:rsidR="00B41F4E" w:rsidRPr="00214ABC" w:rsidRDefault="00B3673B" w:rsidP="00214ABC">
      <w:pPr>
        <w:ind w:left="284" w:hanging="284"/>
        <w:jc w:val="left"/>
      </w:pPr>
      <w:r w:rsidRPr="00214ABC">
        <w:rPr>
          <w:rFonts w:ascii="MS Gothic" w:eastAsia="MS Gothic" w:hAnsi="MS Gothic" w:cs="MS Gothic"/>
        </w:rPr>
        <w:t>・</w:t>
      </w:r>
      <w:r w:rsidR="00214ABC">
        <w:rPr>
          <w:rFonts w:ascii="MS Gothic" w:eastAsia="MS Gothic" w:hAnsi="MS Gothic" w:cs="MS Gothic"/>
        </w:rPr>
        <w:tab/>
      </w:r>
      <w:r w:rsidRPr="00214ABC">
        <w:rPr>
          <w:rFonts w:eastAsia="MS Gothic" w:hint="eastAsia"/>
        </w:rPr>
        <w:t xml:space="preserve">Frais </w:t>
      </w:r>
      <w:r w:rsidRPr="00214ABC">
        <w:t xml:space="preserve">de voyage jusqu'à 5 000 francs suisses au total </w:t>
      </w:r>
      <w:proofErr w:type="gramStart"/>
      <w:r w:rsidRPr="00214ABC">
        <w:t>pour</w:t>
      </w:r>
      <w:proofErr w:type="gramEnd"/>
      <w:r w:rsidRPr="00214ABC">
        <w:t xml:space="preserve"> les 5 auteurs. Le but de ce voyage peut être d'organiser une réunion entre les auteurs ou de financer le voyage pour venir à Genève présenter les résultats de l'étude ou toute autre dépense de voyage imprévue.</w:t>
      </w:r>
    </w:p>
    <w:p w14:paraId="5C480FD7" w14:textId="77777777" w:rsidR="00222C58" w:rsidRPr="00214ABC" w:rsidRDefault="00222C58" w:rsidP="00214ABC"/>
    <w:p w14:paraId="539482FF" w14:textId="5A9AFE1B" w:rsidR="00B41F4E" w:rsidRPr="00214ABC" w:rsidRDefault="00B3673B" w:rsidP="00214ABC">
      <w:r w:rsidRPr="00214ABC">
        <w:t xml:space="preserve">L'estimation globale des coûts à partager est la suivante :  </w:t>
      </w:r>
      <w:r w:rsidR="00214ABC">
        <w:t>l</w:t>
      </w:r>
      <w:r w:rsidRPr="00214ABC">
        <w:t>e budget ordinaire de l'UPOV couvrirait 30</w:t>
      </w:r>
      <w:r w:rsidR="00214ABC">
        <w:t> </w:t>
      </w:r>
      <w:r w:rsidRPr="00214ABC">
        <w:t>000</w:t>
      </w:r>
      <w:r w:rsidR="00214ABC">
        <w:t> </w:t>
      </w:r>
      <w:r w:rsidRPr="00214ABC">
        <w:t>francs suisses et l'accord de fonds fiduciaire entre le Gouvernement du Japon et l'UPOV (JP-FIT) couvrirait 25 000 francs suisses.</w:t>
      </w:r>
    </w:p>
    <w:p w14:paraId="03724CF4" w14:textId="77777777" w:rsidR="00222C58" w:rsidRPr="00214ABC" w:rsidRDefault="00222C58" w:rsidP="008939DB">
      <w:pPr>
        <w:jc w:val="left"/>
      </w:pPr>
    </w:p>
    <w:p w14:paraId="52FED7B9" w14:textId="77777777" w:rsidR="006F30A5" w:rsidRPr="00214ABC" w:rsidRDefault="006F30A5" w:rsidP="008939DB">
      <w:pPr>
        <w:jc w:val="left"/>
      </w:pPr>
    </w:p>
    <w:p w14:paraId="15A6BF0F" w14:textId="77777777" w:rsidR="00222C58" w:rsidRPr="00214ABC" w:rsidRDefault="00222C58" w:rsidP="008939DB">
      <w:pPr>
        <w:jc w:val="left"/>
      </w:pPr>
    </w:p>
    <w:p w14:paraId="38FC56AD" w14:textId="77777777" w:rsidR="00B41F4E" w:rsidRPr="0044225F" w:rsidRDefault="00B3673B">
      <w:pPr>
        <w:jc w:val="right"/>
      </w:pPr>
      <w:r w:rsidRPr="0044225F">
        <w:t>[Fin de l'annexe et du document]</w:t>
      </w:r>
    </w:p>
    <w:sectPr w:rsidR="00B41F4E" w:rsidRPr="0044225F" w:rsidSect="0004198B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957A6A" w14:textId="77777777" w:rsidR="00325E4F" w:rsidRDefault="00325E4F" w:rsidP="006655D3">
      <w:r>
        <w:separator/>
      </w:r>
    </w:p>
    <w:p w14:paraId="14860CA0" w14:textId="77777777" w:rsidR="00325E4F" w:rsidRDefault="00325E4F" w:rsidP="006655D3"/>
    <w:p w14:paraId="759F20FA" w14:textId="77777777" w:rsidR="00325E4F" w:rsidRDefault="00325E4F" w:rsidP="006655D3"/>
  </w:endnote>
  <w:endnote w:type="continuationSeparator" w:id="0">
    <w:p w14:paraId="2B80D6D4" w14:textId="77777777" w:rsidR="00325E4F" w:rsidRDefault="00325E4F" w:rsidP="006655D3">
      <w:r>
        <w:separator/>
      </w:r>
    </w:p>
    <w:p w14:paraId="08BE3AB1" w14:textId="77777777" w:rsidR="00B41F4E" w:rsidRDefault="00B3673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4DE4A35" w14:textId="77777777" w:rsidR="00325E4F" w:rsidRPr="00294751" w:rsidRDefault="00325E4F" w:rsidP="006655D3"/>
    <w:p w14:paraId="5ED185AE" w14:textId="77777777" w:rsidR="00325E4F" w:rsidRPr="00294751" w:rsidRDefault="00325E4F" w:rsidP="006655D3"/>
  </w:endnote>
  <w:endnote w:type="continuationNotice" w:id="1">
    <w:p w14:paraId="1D7A9A3B" w14:textId="77777777" w:rsidR="00B41F4E" w:rsidRDefault="00B3673B">
      <w:r w:rsidRPr="00294751">
        <w:t>[Suite de la note page suivante]</w:t>
      </w:r>
    </w:p>
    <w:p w14:paraId="037B926B" w14:textId="77777777" w:rsidR="00325E4F" w:rsidRPr="00294751" w:rsidRDefault="00325E4F" w:rsidP="006655D3"/>
    <w:p w14:paraId="36ACC333" w14:textId="77777777" w:rsidR="00325E4F" w:rsidRPr="00294751" w:rsidRDefault="00325E4F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13A06" w14:textId="77777777" w:rsidR="00325E4F" w:rsidRDefault="00325E4F" w:rsidP="006655D3">
      <w:r>
        <w:separator/>
      </w:r>
    </w:p>
  </w:footnote>
  <w:footnote w:type="continuationSeparator" w:id="0">
    <w:p w14:paraId="6DC551B7" w14:textId="77777777" w:rsidR="00325E4F" w:rsidRDefault="00325E4F" w:rsidP="006655D3">
      <w:r>
        <w:separator/>
      </w:r>
    </w:p>
  </w:footnote>
  <w:footnote w:type="continuationNotice" w:id="1">
    <w:p w14:paraId="40846F31" w14:textId="77777777" w:rsidR="00325E4F" w:rsidRPr="00AB530F" w:rsidRDefault="00325E4F" w:rsidP="00AB530F">
      <w:pPr>
        <w:pStyle w:val="Footer"/>
      </w:pPr>
    </w:p>
  </w:footnote>
  <w:footnote w:id="2">
    <w:p w14:paraId="41E112F0" w14:textId="23F7E9B6" w:rsidR="00B41F4E" w:rsidRPr="00A83900" w:rsidRDefault="00B3673B" w:rsidP="000F6FD1">
      <w:pPr>
        <w:pStyle w:val="FootnoteText"/>
      </w:pPr>
      <w:r>
        <w:rPr>
          <w:rStyle w:val="FootnoteReference"/>
        </w:rPr>
        <w:footnoteRef/>
      </w:r>
      <w:r w:rsidRPr="00A83900">
        <w:rPr>
          <w:spacing w:val="-2"/>
        </w:rPr>
        <w:tab/>
        <w:t xml:space="preserve">Tenue à Genève </w:t>
      </w:r>
      <w:r w:rsidRPr="00A83900">
        <w:t>le 21 mars 2023</w:t>
      </w:r>
      <w:r w:rsidR="000F6FD1">
        <w:t>.</w:t>
      </w:r>
    </w:p>
  </w:footnote>
  <w:footnote w:id="3">
    <w:p w14:paraId="72A06118" w14:textId="78CDBB23" w:rsidR="00B41F4E" w:rsidRPr="00A83900" w:rsidRDefault="00B3673B" w:rsidP="000F6FD1">
      <w:pPr>
        <w:pStyle w:val="FootnoteText"/>
      </w:pPr>
      <w:r>
        <w:rPr>
          <w:rStyle w:val="FootnoteReference"/>
        </w:rPr>
        <w:footnoteRef/>
      </w:r>
      <w:r w:rsidRPr="00A83900">
        <w:t xml:space="preserve"> </w:t>
      </w:r>
      <w:r w:rsidRPr="00A83900">
        <w:tab/>
      </w:r>
      <w:r w:rsidRPr="00A83900">
        <w:rPr>
          <w:spacing w:val="-2"/>
        </w:rPr>
        <w:t xml:space="preserve">Tenue à Genève </w:t>
      </w:r>
      <w:r w:rsidRPr="00A83900">
        <w:t>le 25 octobre 2023</w:t>
      </w:r>
      <w:r w:rsidR="000F6FD1">
        <w:t>.</w:t>
      </w:r>
    </w:p>
  </w:footnote>
  <w:footnote w:id="4">
    <w:p w14:paraId="0DB9C2BE" w14:textId="306B0247" w:rsidR="00B41F4E" w:rsidRPr="00A83900" w:rsidRDefault="00B3673B" w:rsidP="000F6FD1">
      <w:pPr>
        <w:pStyle w:val="FootnoteText"/>
      </w:pPr>
      <w:r>
        <w:rPr>
          <w:rStyle w:val="FootnoteReference"/>
        </w:rPr>
        <w:footnoteRef/>
      </w:r>
      <w:r w:rsidR="000F6FD1">
        <w:tab/>
      </w:r>
      <w:r w:rsidRPr="00A83900">
        <w:t>Tenue à Genève le 21 mars 2024</w:t>
      </w:r>
      <w:r w:rsidR="000F6FD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59E58" w14:textId="77777777" w:rsidR="00B41F4E" w:rsidRDefault="00B3673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WG-HRV/6/2</w:t>
    </w:r>
  </w:p>
  <w:p w14:paraId="7F587AD2" w14:textId="77777777" w:rsidR="00B41F4E" w:rsidRDefault="00B3673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06CB704" w14:textId="77777777" w:rsidR="006F30A5" w:rsidRPr="00C5280D" w:rsidRDefault="006F30A5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FE41B" w14:textId="77777777" w:rsidR="00B41F4E" w:rsidRDefault="006F30A5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WG-HRV/6/2</w:t>
    </w:r>
  </w:p>
  <w:p w14:paraId="391EA0B2" w14:textId="77777777" w:rsidR="00B41F4E" w:rsidRDefault="00B3673B">
    <w:pPr>
      <w:pStyle w:val="Header"/>
      <w:rPr>
        <w:lang w:val="en-US"/>
      </w:rPr>
    </w:pPr>
    <w:r>
      <w:rPr>
        <w:lang w:val="en-US"/>
      </w:rPr>
      <w:t xml:space="preserve">Annexe, </w:t>
    </w:r>
    <w:r w:rsidR="0004198B" w:rsidRPr="00C5280D">
      <w:rPr>
        <w:lang w:val="en-US"/>
      </w:rPr>
      <w:t xml:space="preserve">page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 w:rsidR="00F44BF1">
      <w:rPr>
        <w:rStyle w:val="PageNumber"/>
        <w:noProof/>
        <w:lang w:val="en-US"/>
      </w:rPr>
      <w:t>2</w:t>
    </w:r>
    <w:r w:rsidR="0004198B" w:rsidRPr="00C5280D">
      <w:rPr>
        <w:rStyle w:val="PageNumber"/>
        <w:lang w:val="en-US"/>
      </w:rPr>
      <w:fldChar w:fldCharType="end"/>
    </w:r>
  </w:p>
  <w:p w14:paraId="6707B20A" w14:textId="77777777"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E3851" w14:textId="77777777" w:rsidR="00B41F4E" w:rsidRDefault="00B3673B">
    <w:pPr>
      <w:pStyle w:val="Header"/>
      <w:rPr>
        <w:lang w:val="fr-CH"/>
      </w:rPr>
    </w:pPr>
    <w:r>
      <w:rPr>
        <w:lang w:val="fr-CH"/>
      </w:rPr>
      <w:t>WG-HRV/6/2</w:t>
    </w:r>
  </w:p>
  <w:p w14:paraId="17A38359" w14:textId="77777777" w:rsidR="006F30A5" w:rsidRDefault="006F30A5" w:rsidP="006F30A5">
    <w:pPr>
      <w:pStyle w:val="Header"/>
      <w:rPr>
        <w:lang w:val="fr-CH"/>
      </w:rPr>
    </w:pPr>
  </w:p>
  <w:p w14:paraId="76F2B3FD" w14:textId="77777777" w:rsidR="00B41F4E" w:rsidRDefault="00B3673B">
    <w:pPr>
      <w:pStyle w:val="Header"/>
      <w:rPr>
        <w:lang w:val="fr-CH"/>
      </w:rPr>
    </w:pPr>
    <w:r>
      <w:rPr>
        <w:lang w:val="fr-CH"/>
      </w:rPr>
      <w:t>ANNEXE</w:t>
    </w:r>
  </w:p>
  <w:p w14:paraId="57EFD5C3" w14:textId="77777777" w:rsidR="006F30A5" w:rsidRDefault="006F3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548CD"/>
    <w:multiLevelType w:val="hybridMultilevel"/>
    <w:tmpl w:val="E9506840"/>
    <w:lvl w:ilvl="0" w:tplc="517EBF72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" w15:restartNumberingAfterBreak="0">
    <w:nsid w:val="29217F4B"/>
    <w:multiLevelType w:val="hybridMultilevel"/>
    <w:tmpl w:val="4AE49D9A"/>
    <w:lvl w:ilvl="0" w:tplc="8544EA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13B00"/>
    <w:multiLevelType w:val="hybridMultilevel"/>
    <w:tmpl w:val="7786A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40725"/>
    <w:multiLevelType w:val="hybridMultilevel"/>
    <w:tmpl w:val="B134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707203">
    <w:abstractNumId w:val="0"/>
  </w:num>
  <w:num w:numId="2" w16cid:durableId="769742828">
    <w:abstractNumId w:val="1"/>
  </w:num>
  <w:num w:numId="3" w16cid:durableId="1311472530">
    <w:abstractNumId w:val="3"/>
  </w:num>
  <w:num w:numId="4" w16cid:durableId="1877621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4F"/>
    <w:rsid w:val="00010CF3"/>
    <w:rsid w:val="00011E27"/>
    <w:rsid w:val="000148BC"/>
    <w:rsid w:val="00024AB8"/>
    <w:rsid w:val="00030854"/>
    <w:rsid w:val="00036028"/>
    <w:rsid w:val="0004198B"/>
    <w:rsid w:val="0004297B"/>
    <w:rsid w:val="00044642"/>
    <w:rsid w:val="000446B9"/>
    <w:rsid w:val="00047E21"/>
    <w:rsid w:val="00050E16"/>
    <w:rsid w:val="000567A2"/>
    <w:rsid w:val="00064D98"/>
    <w:rsid w:val="00085505"/>
    <w:rsid w:val="000C4E25"/>
    <w:rsid w:val="000C7021"/>
    <w:rsid w:val="000D6BBC"/>
    <w:rsid w:val="000D7780"/>
    <w:rsid w:val="000E0618"/>
    <w:rsid w:val="000E636A"/>
    <w:rsid w:val="000F2F11"/>
    <w:rsid w:val="000F606D"/>
    <w:rsid w:val="000F6FD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9020B"/>
    <w:rsid w:val="001C0260"/>
    <w:rsid w:val="001C1525"/>
    <w:rsid w:val="002117A1"/>
    <w:rsid w:val="0021332C"/>
    <w:rsid w:val="00213982"/>
    <w:rsid w:val="00214ABC"/>
    <w:rsid w:val="00222C58"/>
    <w:rsid w:val="0024416D"/>
    <w:rsid w:val="00260EA2"/>
    <w:rsid w:val="0027133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96CB7"/>
    <w:rsid w:val="002A6E50"/>
    <w:rsid w:val="002B4298"/>
    <w:rsid w:val="002B7A36"/>
    <w:rsid w:val="002C256A"/>
    <w:rsid w:val="002D5226"/>
    <w:rsid w:val="002E5189"/>
    <w:rsid w:val="00302C50"/>
    <w:rsid w:val="00305A7F"/>
    <w:rsid w:val="003152FE"/>
    <w:rsid w:val="00325E4F"/>
    <w:rsid w:val="00327436"/>
    <w:rsid w:val="00332020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225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2395"/>
    <w:rsid w:val="005338F9"/>
    <w:rsid w:val="0054281C"/>
    <w:rsid w:val="00544581"/>
    <w:rsid w:val="0055268D"/>
    <w:rsid w:val="00556863"/>
    <w:rsid w:val="00575DE2"/>
    <w:rsid w:val="00576BE4"/>
    <w:rsid w:val="005779DB"/>
    <w:rsid w:val="005A2A67"/>
    <w:rsid w:val="005A400A"/>
    <w:rsid w:val="005B269D"/>
    <w:rsid w:val="005D13A6"/>
    <w:rsid w:val="005F7B92"/>
    <w:rsid w:val="00612379"/>
    <w:rsid w:val="006153B6"/>
    <w:rsid w:val="0061555F"/>
    <w:rsid w:val="006245ED"/>
    <w:rsid w:val="0062468E"/>
    <w:rsid w:val="00636CA6"/>
    <w:rsid w:val="00641200"/>
    <w:rsid w:val="00644B33"/>
    <w:rsid w:val="00645CA8"/>
    <w:rsid w:val="006655D3"/>
    <w:rsid w:val="00667404"/>
    <w:rsid w:val="00687EB4"/>
    <w:rsid w:val="00693B32"/>
    <w:rsid w:val="00695C56"/>
    <w:rsid w:val="006A5CDE"/>
    <w:rsid w:val="006A644A"/>
    <w:rsid w:val="006B17D2"/>
    <w:rsid w:val="006B40B2"/>
    <w:rsid w:val="006C224E"/>
    <w:rsid w:val="006D780A"/>
    <w:rsid w:val="006F30A5"/>
    <w:rsid w:val="0071271E"/>
    <w:rsid w:val="00732DEC"/>
    <w:rsid w:val="0073565F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B7881"/>
    <w:rsid w:val="007C1D92"/>
    <w:rsid w:val="007C4CB9"/>
    <w:rsid w:val="007D0B9D"/>
    <w:rsid w:val="007D19B0"/>
    <w:rsid w:val="007E3CBF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773A7"/>
    <w:rsid w:val="00886D10"/>
    <w:rsid w:val="00890DF8"/>
    <w:rsid w:val="008939DB"/>
    <w:rsid w:val="008A0ADE"/>
    <w:rsid w:val="008A743F"/>
    <w:rsid w:val="008C0970"/>
    <w:rsid w:val="008D0BC5"/>
    <w:rsid w:val="008D0F14"/>
    <w:rsid w:val="008D2CF7"/>
    <w:rsid w:val="00900C26"/>
    <w:rsid w:val="0090197F"/>
    <w:rsid w:val="00903264"/>
    <w:rsid w:val="00906DDC"/>
    <w:rsid w:val="009136A0"/>
    <w:rsid w:val="00934E09"/>
    <w:rsid w:val="00936253"/>
    <w:rsid w:val="00940D46"/>
    <w:rsid w:val="009413F1"/>
    <w:rsid w:val="00952DD4"/>
    <w:rsid w:val="009561F4"/>
    <w:rsid w:val="00965AE7"/>
    <w:rsid w:val="00970FED"/>
    <w:rsid w:val="00991E86"/>
    <w:rsid w:val="00992D82"/>
    <w:rsid w:val="00997029"/>
    <w:rsid w:val="009A7339"/>
    <w:rsid w:val="009B2EE6"/>
    <w:rsid w:val="009B440E"/>
    <w:rsid w:val="009C536A"/>
    <w:rsid w:val="009D690D"/>
    <w:rsid w:val="009E65B6"/>
    <w:rsid w:val="009E7203"/>
    <w:rsid w:val="009F0A51"/>
    <w:rsid w:val="009F77CF"/>
    <w:rsid w:val="00A24C10"/>
    <w:rsid w:val="00A42AC3"/>
    <w:rsid w:val="00A430CF"/>
    <w:rsid w:val="00A46D38"/>
    <w:rsid w:val="00A54309"/>
    <w:rsid w:val="00A610A9"/>
    <w:rsid w:val="00A73882"/>
    <w:rsid w:val="00A80F2A"/>
    <w:rsid w:val="00A82B09"/>
    <w:rsid w:val="00A83900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673B"/>
    <w:rsid w:val="00B41F4E"/>
    <w:rsid w:val="00B46575"/>
    <w:rsid w:val="00B46AEE"/>
    <w:rsid w:val="00B53C9A"/>
    <w:rsid w:val="00B61777"/>
    <w:rsid w:val="00B622E6"/>
    <w:rsid w:val="00B83E82"/>
    <w:rsid w:val="00B84BBD"/>
    <w:rsid w:val="00BA43FB"/>
    <w:rsid w:val="00BC127D"/>
    <w:rsid w:val="00BC1FE6"/>
    <w:rsid w:val="00BD1943"/>
    <w:rsid w:val="00C061B6"/>
    <w:rsid w:val="00C2446C"/>
    <w:rsid w:val="00C36AE5"/>
    <w:rsid w:val="00C41F17"/>
    <w:rsid w:val="00C45D29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D680A"/>
    <w:rsid w:val="00CF1330"/>
    <w:rsid w:val="00CF7E36"/>
    <w:rsid w:val="00D3708D"/>
    <w:rsid w:val="00D40426"/>
    <w:rsid w:val="00D50EFC"/>
    <w:rsid w:val="00D57C96"/>
    <w:rsid w:val="00D57D18"/>
    <w:rsid w:val="00D70E65"/>
    <w:rsid w:val="00D91203"/>
    <w:rsid w:val="00D95174"/>
    <w:rsid w:val="00D96027"/>
    <w:rsid w:val="00DA4973"/>
    <w:rsid w:val="00DA6F36"/>
    <w:rsid w:val="00DB596E"/>
    <w:rsid w:val="00DB7773"/>
    <w:rsid w:val="00DC00EA"/>
    <w:rsid w:val="00DC3802"/>
    <w:rsid w:val="00DD6208"/>
    <w:rsid w:val="00DF7E99"/>
    <w:rsid w:val="00E0569F"/>
    <w:rsid w:val="00E07D87"/>
    <w:rsid w:val="00E249C8"/>
    <w:rsid w:val="00E32F7E"/>
    <w:rsid w:val="00E5267B"/>
    <w:rsid w:val="00E559F0"/>
    <w:rsid w:val="00E573A8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31412"/>
    <w:rsid w:val="00F44BF1"/>
    <w:rsid w:val="00F45372"/>
    <w:rsid w:val="00F560F7"/>
    <w:rsid w:val="00F6334D"/>
    <w:rsid w:val="00F63599"/>
    <w:rsid w:val="00F71781"/>
    <w:rsid w:val="00FA49AB"/>
    <w:rsid w:val="00FC5FD0"/>
    <w:rsid w:val="00FE39C7"/>
    <w:rsid w:val="00FF03BD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68FF31"/>
  <w15:docId w15:val="{E7F50539-FED1-43A2-9952-E6581398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25F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55686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0F6FD1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0F6FD1"/>
    <w:pPr>
      <w:tabs>
        <w:tab w:val="right" w:leader="dot" w:pos="9639"/>
      </w:tabs>
      <w:spacing w:after="120"/>
      <w:ind w:right="284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F30A5"/>
    <w:pPr>
      <w:ind w:left="720"/>
      <w:contextualSpacing/>
    </w:pPr>
  </w:style>
  <w:style w:type="table" w:styleId="TableGrid">
    <w:name w:val="Table Grid"/>
    <w:basedOn w:val="TableNormal"/>
    <w:rsid w:val="006F30A5"/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F30A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6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Ad%20hoc%20Working%20Groups\WG-HRV\WG-HRV_6_October_22_2024\templates\wg_hrv_6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1B79D-C0CD-49A8-938E-8CAB423A0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wg_hrv_6_EN.dotx</Template>
  <TotalTime>87</TotalTime>
  <Pages>4</Pages>
  <Words>1436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</vt:lpstr>
    </vt:vector>
  </TitlesOfParts>
  <Company>UPOV</Company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WG-HRV/6</dc:title>
  <dc:creator>NICOLO Laurianne</dc:creator>
  <cp:keywords>, docId:657BC4D3A829F193782D0200FF7D2A3C</cp:keywords>
  <cp:lastModifiedBy>SANCHEZ VIZCAINO GOMEZ Rosa Maria</cp:lastModifiedBy>
  <cp:revision>10</cp:revision>
  <cp:lastPrinted>2016-11-22T15:41:00Z</cp:lastPrinted>
  <dcterms:created xsi:type="dcterms:W3CDTF">2024-07-29T09:03:00Z</dcterms:created>
  <dcterms:modified xsi:type="dcterms:W3CDTF">2024-08-12T13:39:00Z</dcterms:modified>
</cp:coreProperties>
</file>