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374E9" w:rsidRPr="00815738" w:rsidTr="00FC1282">
        <w:tc>
          <w:tcPr>
            <w:tcW w:w="6522" w:type="dxa"/>
          </w:tcPr>
          <w:p w:rsidR="001374E9" w:rsidRPr="00AC2883" w:rsidRDefault="001374E9" w:rsidP="00FC1282">
            <w:bookmarkStart w:id="0" w:name="_GoBack"/>
            <w:bookmarkEnd w:id="0"/>
            <w:r w:rsidRPr="00D250C5">
              <w:rPr>
                <w:noProof/>
                <w:lang w:val="en-US"/>
              </w:rPr>
              <w:drawing>
                <wp:inline distT="0" distB="0" distL="0" distR="0" wp14:anchorId="73777A37" wp14:editId="49987E93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1374E9" w:rsidRPr="007C1D92" w:rsidRDefault="001374E9" w:rsidP="00FC1282">
            <w:pPr>
              <w:pStyle w:val="Lettrine"/>
            </w:pPr>
            <w:r>
              <w:t>F</w:t>
            </w:r>
          </w:p>
        </w:tc>
      </w:tr>
      <w:tr w:rsidR="001374E9" w:rsidRPr="00DA4973" w:rsidTr="00FC1282">
        <w:trPr>
          <w:trHeight w:val="219"/>
        </w:trPr>
        <w:tc>
          <w:tcPr>
            <w:tcW w:w="6522" w:type="dxa"/>
          </w:tcPr>
          <w:p w:rsidR="001374E9" w:rsidRPr="00AC2883" w:rsidRDefault="001374E9" w:rsidP="00FC1282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:rsidR="001374E9" w:rsidRPr="00DA4973" w:rsidRDefault="001374E9" w:rsidP="00FC1282"/>
        </w:tc>
      </w:tr>
    </w:tbl>
    <w:p w:rsidR="001374E9" w:rsidRDefault="001374E9" w:rsidP="001374E9"/>
    <w:p w:rsidR="001374E9" w:rsidRPr="00365DC1" w:rsidRDefault="001374E9" w:rsidP="001374E9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1374E9" w:rsidRPr="00C5280D" w:rsidTr="00FC1282">
        <w:tc>
          <w:tcPr>
            <w:tcW w:w="6512" w:type="dxa"/>
          </w:tcPr>
          <w:p w:rsidR="001374E9" w:rsidRPr="00AC2883" w:rsidRDefault="001374E9" w:rsidP="00FC1282">
            <w:pPr>
              <w:pStyle w:val="Sessiontc"/>
              <w:spacing w:line="240" w:lineRule="auto"/>
            </w:pPr>
            <w:r>
              <w:t>Groupe de travail sur le produit de la récolte et l’utilisation non autorisée de matériel de reproduction ou de multiplication</w:t>
            </w:r>
          </w:p>
          <w:p w:rsidR="001374E9" w:rsidRDefault="001374E9" w:rsidP="00FC1282">
            <w:pPr>
              <w:pStyle w:val="Sessiontcplacedate"/>
            </w:pPr>
            <w:r>
              <w:t>Troisième réunion</w:t>
            </w:r>
          </w:p>
          <w:p w:rsidR="001374E9" w:rsidRPr="00DC3802" w:rsidRDefault="001374E9" w:rsidP="00FC1282">
            <w:pPr>
              <w:pStyle w:val="Sessiontcplacedate"/>
              <w:rPr>
                <w:sz w:val="22"/>
              </w:rPr>
            </w:pPr>
            <w:r>
              <w:t>Genève, 21 mars 2023</w:t>
            </w:r>
          </w:p>
        </w:tc>
        <w:tc>
          <w:tcPr>
            <w:tcW w:w="3127" w:type="dxa"/>
          </w:tcPr>
          <w:p w:rsidR="001374E9" w:rsidRDefault="001374E9" w:rsidP="00FC1282">
            <w:pPr>
              <w:pStyle w:val="Doccode"/>
            </w:pPr>
            <w:r>
              <w:t>WG-HRV/3</w:t>
            </w:r>
            <w:r w:rsidRPr="00E86C32">
              <w:t>/</w:t>
            </w:r>
            <w:r>
              <w:t>3</w:t>
            </w:r>
          </w:p>
          <w:p w:rsidR="001374E9" w:rsidRPr="00E86C32" w:rsidRDefault="001374E9" w:rsidP="00FC1282">
            <w:pPr>
              <w:pStyle w:val="Doccode"/>
            </w:pPr>
          </w:p>
          <w:p w:rsidR="001374E9" w:rsidRPr="00167B54" w:rsidRDefault="001374E9" w:rsidP="00FC1282">
            <w:pPr>
              <w:pStyle w:val="Docoriginal"/>
            </w:pPr>
            <w:r w:rsidRPr="00AC2883">
              <w:t>Origi</w:t>
            </w:r>
            <w:r w:rsidRPr="00167B54">
              <w:t>nal</w:t>
            </w:r>
            <w:r>
              <w:t> </w:t>
            </w:r>
            <w:r w:rsidRPr="00167B54">
              <w:t>:</w:t>
            </w:r>
            <w:r>
              <w:rPr>
                <w:b w:val="0"/>
                <w:spacing w:val="0"/>
              </w:rPr>
              <w:t xml:space="preserve"> </w:t>
            </w:r>
            <w:r w:rsidRPr="00167B54">
              <w:rPr>
                <w:b w:val="0"/>
                <w:spacing w:val="0"/>
              </w:rPr>
              <w:t>anglais</w:t>
            </w:r>
          </w:p>
          <w:p w:rsidR="001374E9" w:rsidRPr="007C1D92" w:rsidRDefault="001374E9" w:rsidP="001374E9">
            <w:pPr>
              <w:pStyle w:val="Docoriginal"/>
            </w:pPr>
            <w:r w:rsidRPr="00167B54">
              <w:t>Date</w:t>
            </w:r>
            <w:r>
              <w:t> </w:t>
            </w:r>
            <w:r w:rsidRPr="00167B54">
              <w:t>:</w:t>
            </w:r>
            <w:r w:rsidRPr="00167B54">
              <w:rPr>
                <w:b w:val="0"/>
                <w:spacing w:val="0"/>
              </w:rPr>
              <w:t xml:space="preserve"> </w:t>
            </w:r>
            <w:r>
              <w:rPr>
                <w:b w:val="0"/>
                <w:spacing w:val="0"/>
              </w:rPr>
              <w:t>17 février 2023</w:t>
            </w:r>
          </w:p>
        </w:tc>
      </w:tr>
    </w:tbl>
    <w:p w:rsidR="000D7780" w:rsidRPr="00EA413C" w:rsidRDefault="00693EC1" w:rsidP="006A644A">
      <w:pPr>
        <w:pStyle w:val="Titleofdoc0"/>
      </w:pPr>
      <w:r w:rsidRPr="00EA413C">
        <w:t>Points de vue sur l</w:t>
      </w:r>
      <w:r w:rsidR="00BF573D">
        <w:t>’</w:t>
      </w:r>
      <w:r w:rsidR="006F6427">
        <w:t>“</w:t>
      </w:r>
      <w:r w:rsidRPr="00EA413C">
        <w:t>utilisation non autorisée” sel</w:t>
      </w:r>
      <w:r w:rsidR="006D5302" w:rsidRPr="00EA413C">
        <w:t>on l</w:t>
      </w:r>
      <w:r w:rsidR="00BF573D">
        <w:t>’</w:t>
      </w:r>
      <w:r w:rsidR="00CF4AD4" w:rsidRPr="00EA413C">
        <w:t>article 1</w:t>
      </w:r>
      <w:r w:rsidR="006D5302" w:rsidRPr="00EA413C">
        <w:t>4.2) de l</w:t>
      </w:r>
      <w:r w:rsidR="00BF573D">
        <w:t>’</w:t>
      </w:r>
      <w:r w:rsidR="006D5302" w:rsidRPr="00EA413C">
        <w:t>Acte de </w:t>
      </w:r>
      <w:r w:rsidRPr="00EA413C">
        <w:t xml:space="preserve">1991 de la </w:t>
      </w:r>
      <w:r w:rsidR="00BF573D">
        <w:t>Convention UPOV</w:t>
      </w:r>
    </w:p>
    <w:p w:rsidR="006A644A" w:rsidRPr="00EA413C" w:rsidRDefault="00AE0EF1" w:rsidP="006A644A">
      <w:pPr>
        <w:pStyle w:val="preparedby1"/>
        <w:jc w:val="left"/>
      </w:pPr>
      <w:r w:rsidRPr="00EA413C">
        <w:t>Document établi par le Bureau de l</w:t>
      </w:r>
      <w:r w:rsidR="00BF573D">
        <w:t>’</w:t>
      </w:r>
      <w:r w:rsidRPr="00EA413C">
        <w:t>Union</w:t>
      </w:r>
    </w:p>
    <w:p w:rsidR="00050E16" w:rsidRPr="00EA413C" w:rsidRDefault="00050E16" w:rsidP="006A644A">
      <w:pPr>
        <w:pStyle w:val="Disclaimer"/>
      </w:pPr>
      <w:r w:rsidRPr="00EA413C">
        <w:t>Avertissement</w:t>
      </w:r>
      <w:r w:rsidR="00BF573D">
        <w:t> :</w:t>
      </w:r>
      <w:r w:rsidRPr="00EA413C">
        <w:t xml:space="preserve"> le présent document ne représente pas les principes ou les orientations de l</w:t>
      </w:r>
      <w:r w:rsidR="00BF573D">
        <w:t>’</w:t>
      </w:r>
      <w:r w:rsidRPr="00EA413C">
        <w:t>UPOV</w:t>
      </w:r>
    </w:p>
    <w:p w:rsidR="00962161" w:rsidRPr="00EA413C" w:rsidRDefault="00962161" w:rsidP="00962161">
      <w:pPr>
        <w:keepNext/>
        <w:outlineLvl w:val="0"/>
        <w:rPr>
          <w:caps/>
          <w:snapToGrid w:val="0"/>
        </w:rPr>
      </w:pPr>
      <w:bookmarkStart w:id="1" w:name="_Toc522523019"/>
      <w:bookmarkStart w:id="2" w:name="_Toc522523121"/>
      <w:bookmarkStart w:id="3" w:name="_Toc14799780"/>
      <w:bookmarkStart w:id="4" w:name="_Toc128723039"/>
      <w:r w:rsidRPr="00EA413C">
        <w:rPr>
          <w:caps/>
          <w:snapToGrid w:val="0"/>
        </w:rPr>
        <w:t>RÉSUMÉ</w:t>
      </w:r>
      <w:bookmarkEnd w:id="1"/>
      <w:bookmarkEnd w:id="2"/>
      <w:bookmarkEnd w:id="3"/>
      <w:bookmarkEnd w:id="4"/>
    </w:p>
    <w:p w:rsidR="00962161" w:rsidRPr="00EA413C" w:rsidRDefault="00962161" w:rsidP="00962161">
      <w:pPr>
        <w:keepNext/>
        <w:outlineLvl w:val="0"/>
      </w:pPr>
    </w:p>
    <w:p w:rsidR="00B36169" w:rsidRPr="00EA413C" w:rsidRDefault="00962161" w:rsidP="00962161">
      <w:pPr>
        <w:rPr>
          <w:rFonts w:eastAsiaTheme="minorEastAsia" w:cs="Arial"/>
          <w:snapToGrid w:val="0"/>
        </w:rPr>
      </w:pPr>
      <w:r w:rsidRPr="00EA413C">
        <w:fldChar w:fldCharType="begin"/>
      </w:r>
      <w:r w:rsidRPr="00EA413C">
        <w:instrText xml:space="preserve"> AUTONUM  </w:instrText>
      </w:r>
      <w:r w:rsidRPr="00EA413C">
        <w:fldChar w:fldCharType="end"/>
      </w:r>
      <w:r w:rsidRPr="00EA413C">
        <w:tab/>
        <w:t>Le présent document a pour objet de présenter une proposition concernant les différents points de vue sur l</w:t>
      </w:r>
      <w:r w:rsidR="00BF573D">
        <w:t>’</w:t>
      </w:r>
      <w:r w:rsidR="006F6427">
        <w:t>“</w:t>
      </w:r>
      <w:r w:rsidRPr="00EA413C">
        <w:t>utilisation non autorisée” selon l</w:t>
      </w:r>
      <w:r w:rsidR="00BF573D">
        <w:t>’</w:t>
      </w:r>
      <w:r w:rsidR="00CF4AD4" w:rsidRPr="00EA413C">
        <w:t>article 1</w:t>
      </w:r>
      <w:r w:rsidRPr="00EA413C">
        <w:t>4.2) de l</w:t>
      </w:r>
      <w:r w:rsidR="00BF573D">
        <w:t>’</w:t>
      </w:r>
      <w:r w:rsidRPr="00EA413C">
        <w:t xml:space="preserve">Acte </w:t>
      </w:r>
      <w:r w:rsidR="00CF4AD4" w:rsidRPr="00EA413C">
        <w:t>de 1991</w:t>
      </w:r>
      <w:r w:rsidRPr="00EA413C">
        <w:t xml:space="preserve"> et d</w:t>
      </w:r>
      <w:r w:rsidR="00BF573D">
        <w:t>’</w:t>
      </w:r>
      <w:r w:rsidRPr="00EA413C">
        <w:t>inviter le Groupe de travail sur le produit de la récolte et l</w:t>
      </w:r>
      <w:r w:rsidR="00BF573D">
        <w:t>’</w:t>
      </w:r>
      <w:r w:rsidRPr="00EA413C">
        <w:t>utilisation non autorisée de matériel de reproduction ou de multiplication (WG</w:t>
      </w:r>
      <w:r w:rsidR="00BF573D">
        <w:t>-</w:t>
      </w:r>
      <w:r w:rsidRPr="00EA413C">
        <w:t>HRV) à examiner cette proposition parallèlement aux exemples qui seront fournis par les membres du WG</w:t>
      </w:r>
      <w:r w:rsidR="00BF573D">
        <w:t>-</w:t>
      </w:r>
      <w:r w:rsidRPr="00EA413C">
        <w:t>HRV.</w:t>
      </w:r>
    </w:p>
    <w:p w:rsidR="00962161" w:rsidRPr="00EA413C" w:rsidRDefault="00962161" w:rsidP="00962161"/>
    <w:p w:rsidR="00962161" w:rsidRPr="00EA413C" w:rsidRDefault="00962161" w:rsidP="00962161">
      <w:r w:rsidRPr="00EA413C">
        <w:fldChar w:fldCharType="begin"/>
      </w:r>
      <w:r w:rsidRPr="00EA413C">
        <w:instrText xml:space="preserve"> AUTONUM  </w:instrText>
      </w:r>
      <w:r w:rsidRPr="00EA413C">
        <w:fldChar w:fldCharType="end"/>
      </w:r>
      <w:r w:rsidRPr="00EA413C">
        <w:tab/>
        <w:t>Le WG</w:t>
      </w:r>
      <w:r w:rsidR="00BF573D">
        <w:t>-</w:t>
      </w:r>
      <w:r w:rsidRPr="00EA413C">
        <w:t>HRV est invité</w:t>
      </w:r>
      <w:r w:rsidR="00FA7748">
        <w:t xml:space="preserve"> à</w:t>
      </w:r>
    </w:p>
    <w:p w:rsidR="00962161" w:rsidRPr="00EA413C" w:rsidRDefault="00962161" w:rsidP="00962161"/>
    <w:p w:rsidR="00E4589D" w:rsidRPr="00EF5404" w:rsidRDefault="00FA7748" w:rsidP="00E4589D">
      <w:pPr>
        <w:rPr>
          <w:spacing w:val="-2"/>
        </w:rPr>
      </w:pPr>
      <w:r>
        <w:rPr>
          <w:spacing w:val="-2"/>
        </w:rPr>
        <w:tab/>
        <w:t>a)</w:t>
      </w:r>
      <w:r>
        <w:rPr>
          <w:spacing w:val="-2"/>
        </w:rPr>
        <w:tab/>
      </w:r>
      <w:r w:rsidR="00E4589D" w:rsidRPr="00EF5404">
        <w:rPr>
          <w:spacing w:val="-2"/>
        </w:rPr>
        <w:t>noter que les exemples fournis en réponse à la circulaire, tels qu</w:t>
      </w:r>
      <w:r w:rsidR="00BF573D" w:rsidRPr="00EF5404">
        <w:rPr>
          <w:spacing w:val="-2"/>
        </w:rPr>
        <w:t>’</w:t>
      </w:r>
      <w:r w:rsidR="00E4589D" w:rsidRPr="00EF5404">
        <w:rPr>
          <w:spacing w:val="-2"/>
        </w:rPr>
        <w:t xml:space="preserve">ils figurent au </w:t>
      </w:r>
      <w:r w:rsidR="00CF4AD4" w:rsidRPr="00EF5404">
        <w:rPr>
          <w:spacing w:val="-2"/>
        </w:rPr>
        <w:t>paragraphe 9</w:t>
      </w:r>
      <w:r w:rsidR="00E4589D" w:rsidRPr="00EF5404">
        <w:rPr>
          <w:spacing w:val="-2"/>
        </w:rPr>
        <w:t xml:space="preserve"> du présent document, seront présentés dans un additif au présent document et seront également mis à disposition sur le site</w:t>
      </w:r>
      <w:r w:rsidR="008D74D3" w:rsidRPr="00EF5404">
        <w:rPr>
          <w:spacing w:val="-2"/>
        </w:rPr>
        <w:t> </w:t>
      </w:r>
      <w:r w:rsidR="00E4589D" w:rsidRPr="00EF5404">
        <w:rPr>
          <w:spacing w:val="-2"/>
        </w:rPr>
        <w:t>Web de l</w:t>
      </w:r>
      <w:r w:rsidR="00BF573D" w:rsidRPr="00EF5404">
        <w:rPr>
          <w:spacing w:val="-2"/>
        </w:rPr>
        <w:t>’</w:t>
      </w:r>
      <w:r w:rsidR="00E4589D" w:rsidRPr="00EF5404">
        <w:rPr>
          <w:spacing w:val="-2"/>
        </w:rPr>
        <w:t>UPOV à l</w:t>
      </w:r>
      <w:r w:rsidR="00BF573D" w:rsidRPr="00EF5404">
        <w:rPr>
          <w:spacing w:val="-2"/>
        </w:rPr>
        <w:t>’</w:t>
      </w:r>
      <w:r w:rsidR="00E4589D" w:rsidRPr="00EF5404">
        <w:rPr>
          <w:spacing w:val="-2"/>
        </w:rPr>
        <w:t xml:space="preserve">adresse </w:t>
      </w:r>
      <w:hyperlink r:id="rId9" w:history="1">
        <w:r w:rsidR="00E4589D" w:rsidRPr="00EF5404">
          <w:rPr>
            <w:rStyle w:val="Hyperlink"/>
            <w:spacing w:val="-2"/>
          </w:rPr>
          <w:t>https://www.upov.int/meetings/fr/details.jsp?meeting_id=74773</w:t>
        </w:r>
      </w:hyperlink>
      <w:r w:rsidR="00E4589D" w:rsidRPr="00EF5404">
        <w:rPr>
          <w:spacing w:val="-2"/>
        </w:rPr>
        <w:t xml:space="preserve"> et</w:t>
      </w:r>
    </w:p>
    <w:p w:rsidR="00E4589D" w:rsidRPr="00EA413C" w:rsidRDefault="00E4589D" w:rsidP="00E4589D"/>
    <w:p w:rsidR="0040494E" w:rsidRPr="00EA413C" w:rsidRDefault="00E4589D" w:rsidP="00E4589D">
      <w:r w:rsidRPr="00EA413C">
        <w:tab/>
        <w:t>b)</w:t>
      </w:r>
      <w:r w:rsidRPr="00EA413C">
        <w:tab/>
        <w:t xml:space="preserve">examiner la proposition qui figure au </w:t>
      </w:r>
      <w:r w:rsidR="00CF4AD4" w:rsidRPr="00EA413C">
        <w:t>paragraphe 8</w:t>
      </w:r>
      <w:r w:rsidRPr="00EA413C">
        <w:t xml:space="preserve"> du présent document.</w:t>
      </w:r>
    </w:p>
    <w:p w:rsidR="00E4589D" w:rsidRPr="00EA413C" w:rsidRDefault="00E4589D" w:rsidP="00E4589D"/>
    <w:p w:rsidR="00962161" w:rsidRPr="00EA413C" w:rsidRDefault="00962161" w:rsidP="00962161">
      <w:pPr>
        <w:jc w:val="left"/>
      </w:pPr>
      <w:r w:rsidRPr="00EA413C">
        <w:rPr>
          <w:rFonts w:cs="Arial"/>
        </w:rPr>
        <w:fldChar w:fldCharType="begin"/>
      </w:r>
      <w:r w:rsidRPr="00EA413C">
        <w:rPr>
          <w:rFonts w:cs="Arial"/>
        </w:rPr>
        <w:instrText xml:space="preserve"> AUTONUM  </w:instrText>
      </w:r>
      <w:r w:rsidRPr="00EA413C">
        <w:rPr>
          <w:rFonts w:cs="Arial"/>
        </w:rPr>
        <w:fldChar w:fldCharType="end"/>
      </w:r>
      <w:r w:rsidRPr="00EA413C">
        <w:tab/>
        <w:t>Le présent document est structuré comme suit</w:t>
      </w:r>
      <w:r w:rsidR="00BF573D">
        <w:t> :</w:t>
      </w:r>
    </w:p>
    <w:p w:rsidR="006B017C" w:rsidRDefault="00962161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 w:rsidRPr="00EA413C">
        <w:rPr>
          <w:color w:val="000000"/>
        </w:rPr>
        <w:fldChar w:fldCharType="begin"/>
      </w:r>
      <w:r w:rsidRPr="00EA413C">
        <w:rPr>
          <w:color w:val="000000"/>
        </w:rPr>
        <w:instrText xml:space="preserve"> TOC \o "1-2" \u </w:instrText>
      </w:r>
      <w:r w:rsidRPr="00EA413C">
        <w:rPr>
          <w:color w:val="000000"/>
        </w:rPr>
        <w:fldChar w:fldCharType="separate"/>
      </w:r>
      <w:r w:rsidR="006B017C" w:rsidRPr="001D69FE">
        <w:rPr>
          <w:snapToGrid w:val="0"/>
        </w:rPr>
        <w:t>RÉSUMÉ</w:t>
      </w:r>
      <w:r w:rsidR="006B017C">
        <w:tab/>
      </w:r>
      <w:r w:rsidR="006B017C">
        <w:fldChar w:fldCharType="begin"/>
      </w:r>
      <w:r w:rsidR="006B017C">
        <w:instrText xml:space="preserve"> PAGEREF _Toc128723039 \h </w:instrText>
      </w:r>
      <w:r w:rsidR="006B017C">
        <w:fldChar w:fldCharType="separate"/>
      </w:r>
      <w:r w:rsidR="006B017C">
        <w:t>1</w:t>
      </w:r>
      <w:r w:rsidR="006B017C">
        <w:fldChar w:fldCharType="end"/>
      </w:r>
    </w:p>
    <w:p w:rsidR="006B017C" w:rsidRDefault="006B017C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>
        <w:t>RAPPEL</w:t>
      </w:r>
      <w:r>
        <w:tab/>
      </w:r>
      <w:r>
        <w:fldChar w:fldCharType="begin"/>
      </w:r>
      <w:r>
        <w:instrText xml:space="preserve"> PAGEREF _Toc128723040 \h </w:instrText>
      </w:r>
      <w:r>
        <w:fldChar w:fldCharType="separate"/>
      </w:r>
      <w:r>
        <w:t>1</w:t>
      </w:r>
      <w:r>
        <w:fldChar w:fldCharType="end"/>
      </w:r>
    </w:p>
    <w:p w:rsidR="006B017C" w:rsidRDefault="006B017C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en-US"/>
        </w:rPr>
      </w:pPr>
      <w:r w:rsidRPr="001D69FE">
        <w:t>introduction des nouveaux points de vue sur l’“utilisation non autorisée” aux fins de la révision des notes explicatives sur le matériel de reproduction ou de multiplication, les actes à l’égard du produit de la récolte et la protection provisoire selon la Convention UPOV</w:t>
      </w:r>
      <w:r>
        <w:tab/>
      </w:r>
      <w:r>
        <w:fldChar w:fldCharType="begin"/>
      </w:r>
      <w:r>
        <w:instrText xml:space="preserve"> PAGEREF _Toc128723041 \h </w:instrText>
      </w:r>
      <w:r>
        <w:fldChar w:fldCharType="separate"/>
      </w:r>
      <w:r>
        <w:t>2</w:t>
      </w:r>
      <w:r>
        <w:fldChar w:fldCharType="end"/>
      </w:r>
    </w:p>
    <w:p w:rsidR="006B017C" w:rsidRDefault="006B017C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Points de vue sur l’“utilisation non autorisée” dans les notes explicatives actuelles</w:t>
      </w:r>
      <w:r>
        <w:tab/>
      </w:r>
      <w:r>
        <w:fldChar w:fldCharType="begin"/>
      </w:r>
      <w:r>
        <w:instrText xml:space="preserve"> PAGEREF _Toc128723042 \h </w:instrText>
      </w:r>
      <w:r>
        <w:fldChar w:fldCharType="separate"/>
      </w:r>
      <w:r>
        <w:t>2</w:t>
      </w:r>
      <w:r>
        <w:fldChar w:fldCharType="end"/>
      </w:r>
    </w:p>
    <w:p w:rsidR="006B017C" w:rsidRDefault="006B017C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Autres points de vue sur l’“utilisation non autorisée” pour examen par le WG-HRV</w:t>
      </w:r>
      <w:r>
        <w:tab/>
      </w:r>
      <w:r>
        <w:fldChar w:fldCharType="begin"/>
      </w:r>
      <w:r>
        <w:instrText xml:space="preserve"> PAGEREF _Toc128723043 \h </w:instrText>
      </w:r>
      <w:r>
        <w:fldChar w:fldCharType="separate"/>
      </w:r>
      <w:r>
        <w:t>2</w:t>
      </w:r>
      <w:r>
        <w:fldChar w:fldCharType="end"/>
      </w:r>
    </w:p>
    <w:p w:rsidR="006B017C" w:rsidRDefault="006B017C">
      <w:pPr>
        <w:pStyle w:val="TOC2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r>
        <w:t>Invitation à fournir des exemples convenue à la deuxième réunion du WG-HRV</w:t>
      </w:r>
      <w:r>
        <w:tab/>
      </w:r>
      <w:r>
        <w:fldChar w:fldCharType="begin"/>
      </w:r>
      <w:r>
        <w:instrText xml:space="preserve"> PAGEREF _Toc128723044 \h </w:instrText>
      </w:r>
      <w:r>
        <w:fldChar w:fldCharType="separate"/>
      </w:r>
      <w:r>
        <w:t>4</w:t>
      </w:r>
      <w:r>
        <w:fldChar w:fldCharType="end"/>
      </w:r>
    </w:p>
    <w:p w:rsidR="00962161" w:rsidRPr="00EA413C" w:rsidRDefault="00962161" w:rsidP="00962161">
      <w:pPr>
        <w:ind w:left="851" w:hanging="851"/>
        <w:jc w:val="left"/>
      </w:pPr>
      <w:r w:rsidRPr="00EA413C">
        <w:rPr>
          <w:rFonts w:cs="Arial"/>
          <w:color w:val="000000"/>
        </w:rPr>
        <w:fldChar w:fldCharType="end"/>
      </w:r>
    </w:p>
    <w:p w:rsidR="00962161" w:rsidRPr="00EA413C" w:rsidRDefault="00962161" w:rsidP="00962161">
      <w:pPr>
        <w:jc w:val="left"/>
      </w:pPr>
      <w:bookmarkStart w:id="5" w:name="_Toc14799781"/>
    </w:p>
    <w:p w:rsidR="00E4589D" w:rsidRPr="00EA413C" w:rsidRDefault="00E4589D" w:rsidP="00962161">
      <w:pPr>
        <w:jc w:val="left"/>
      </w:pPr>
    </w:p>
    <w:p w:rsidR="00962161" w:rsidRPr="00EA413C" w:rsidRDefault="00962161" w:rsidP="0040494E">
      <w:pPr>
        <w:pStyle w:val="Heading1"/>
        <w:keepLines/>
      </w:pPr>
      <w:bookmarkStart w:id="6" w:name="_Toc128723040"/>
      <w:r w:rsidRPr="00EA413C">
        <w:t>RAPPEL</w:t>
      </w:r>
      <w:bookmarkEnd w:id="6"/>
    </w:p>
    <w:p w:rsidR="00962161" w:rsidRPr="00EA413C" w:rsidRDefault="00962161" w:rsidP="0040494E">
      <w:pPr>
        <w:keepNext/>
        <w:keepLines/>
      </w:pPr>
    </w:p>
    <w:p w:rsidR="009A3EE9" w:rsidRPr="00EA413C" w:rsidRDefault="00031341" w:rsidP="005C70A6">
      <w:pPr>
        <w:keepNext/>
        <w:keepLines/>
        <w:rPr>
          <w:b/>
          <w:bCs/>
        </w:rPr>
      </w:pPr>
      <w:r w:rsidRPr="00EA413C">
        <w:fldChar w:fldCharType="begin"/>
      </w:r>
      <w:r w:rsidRPr="00EA413C">
        <w:instrText xml:space="preserve"> AUTONUM  </w:instrText>
      </w:r>
      <w:r w:rsidRPr="00EA413C">
        <w:fldChar w:fldCharType="end"/>
      </w:r>
      <w:r w:rsidRPr="00EA413C">
        <w:tab/>
        <w:t xml:space="preserve">À sa deuxième réunion tenue par voie électronique le </w:t>
      </w:r>
      <w:r w:rsidR="00CF4AD4" w:rsidRPr="00EA413C">
        <w:t>6 septembre 20</w:t>
      </w:r>
      <w:r w:rsidRPr="00EA413C">
        <w:t>22, le WG</w:t>
      </w:r>
      <w:r w:rsidR="00BF573D">
        <w:t>-</w:t>
      </w:r>
      <w:r w:rsidRPr="00EA413C">
        <w:t xml:space="preserve">HRV est convenu de ce qui suit (voir les </w:t>
      </w:r>
      <w:r w:rsidR="00CF4AD4" w:rsidRPr="00EA413C">
        <w:t>paragraphes 2</w:t>
      </w:r>
      <w:r w:rsidRPr="00EA413C">
        <w:t>3, 29, 33 et 34 du document WG</w:t>
      </w:r>
      <w:r w:rsidR="00BF573D">
        <w:t>-</w:t>
      </w:r>
      <w:r w:rsidRPr="00EA413C">
        <w:t>HRV/2/6 “Projet de compte rendu”)</w:t>
      </w:r>
      <w:r w:rsidR="00BF573D">
        <w:t> :</w:t>
      </w:r>
    </w:p>
    <w:p w:rsidR="00031341" w:rsidRPr="00EA413C" w:rsidRDefault="00031341" w:rsidP="005C70A6">
      <w:pPr>
        <w:keepNext/>
        <w:keepLines/>
      </w:pPr>
    </w:p>
    <w:p w:rsidR="00031341" w:rsidRPr="00EA413C" w:rsidRDefault="009A3EE9" w:rsidP="005C70A6">
      <w:pPr>
        <w:keepLines/>
        <w:ind w:left="567" w:right="459"/>
        <w:rPr>
          <w:sz w:val="18"/>
        </w:rPr>
      </w:pPr>
      <w:r w:rsidRPr="00EA413C">
        <w:rPr>
          <w:sz w:val="18"/>
        </w:rPr>
        <w:t>“23.</w:t>
      </w:r>
      <w:r w:rsidRPr="00EA413C">
        <w:rPr>
          <w:sz w:val="18"/>
        </w:rPr>
        <w:tab/>
        <w:t>Le président a pris note des différents points de vue et interprétations de la notion d</w:t>
      </w:r>
      <w:r w:rsidR="00BF573D">
        <w:rPr>
          <w:sz w:val="18"/>
        </w:rPr>
        <w:t>’</w:t>
      </w:r>
      <w:r w:rsidR="00EF5404">
        <w:rPr>
          <w:sz w:val="18"/>
        </w:rPr>
        <w:t>‘</w:t>
      </w:r>
      <w:r w:rsidRPr="00EA413C">
        <w:rPr>
          <w:sz w:val="18"/>
        </w:rPr>
        <w:t>utilisation non autorisée</w:t>
      </w:r>
      <w:r w:rsidR="00EF5404">
        <w:rPr>
          <w:sz w:val="18"/>
        </w:rPr>
        <w:t>’</w:t>
      </w:r>
      <w:r w:rsidRPr="00EA413C">
        <w:rPr>
          <w:sz w:val="18"/>
        </w:rPr>
        <w:t xml:space="preserve"> et a fait observer que les notes explicatives actuelles ne reflétaient pas ces différents points de vue et interprétatio</w:t>
      </w:r>
      <w:r w:rsidR="0008317D" w:rsidRPr="00EA413C">
        <w:rPr>
          <w:sz w:val="18"/>
        </w:rPr>
        <w:t>ns</w:t>
      </w:r>
      <w:r w:rsidR="0008317D">
        <w:rPr>
          <w:sz w:val="18"/>
        </w:rPr>
        <w:t xml:space="preserve">.  </w:t>
      </w:r>
      <w:r w:rsidR="0008317D" w:rsidRPr="00EA413C">
        <w:rPr>
          <w:sz w:val="18"/>
        </w:rPr>
        <w:t>Il</w:t>
      </w:r>
      <w:r w:rsidRPr="00EA413C">
        <w:rPr>
          <w:sz w:val="18"/>
        </w:rPr>
        <w:t xml:space="preserve"> a suggéré d</w:t>
      </w:r>
      <w:r w:rsidR="00BF573D">
        <w:rPr>
          <w:sz w:val="18"/>
        </w:rPr>
        <w:t>’</w:t>
      </w:r>
      <w:r w:rsidRPr="00EA413C">
        <w:rPr>
          <w:sz w:val="18"/>
        </w:rPr>
        <w:t>envisager l</w:t>
      </w:r>
      <w:r w:rsidR="00BF573D">
        <w:rPr>
          <w:sz w:val="18"/>
        </w:rPr>
        <w:t>’</w:t>
      </w:r>
      <w:r w:rsidRPr="00EA413C">
        <w:rPr>
          <w:sz w:val="18"/>
        </w:rPr>
        <w:t>inclusion des différentes interprétations d</w:t>
      </w:r>
      <w:r w:rsidR="00BF573D">
        <w:rPr>
          <w:sz w:val="18"/>
        </w:rPr>
        <w:t>’</w:t>
      </w:r>
      <w:r w:rsidRPr="00EA413C">
        <w:rPr>
          <w:sz w:val="18"/>
        </w:rPr>
        <w:t>une manière similaire à la liste des facteurs figurant dans les notes explicatives sur le matériel de reproduction ou de multiplication.</w:t>
      </w:r>
    </w:p>
    <w:p w:rsidR="00797033" w:rsidRPr="00EA413C" w:rsidRDefault="00797033" w:rsidP="005C70A6">
      <w:pPr>
        <w:keepLines/>
        <w:ind w:left="567" w:right="459"/>
        <w:rPr>
          <w:sz w:val="18"/>
        </w:rPr>
      </w:pPr>
    </w:p>
    <w:p w:rsidR="009A3EE9" w:rsidRPr="00EA413C" w:rsidRDefault="00797033" w:rsidP="005C70A6">
      <w:pPr>
        <w:keepLines/>
        <w:ind w:left="567" w:right="459"/>
        <w:rPr>
          <w:sz w:val="18"/>
        </w:rPr>
      </w:pPr>
      <w:r w:rsidRPr="00EA413C">
        <w:rPr>
          <w:sz w:val="18"/>
        </w:rPr>
        <w:t>“29.</w:t>
      </w:r>
      <w:r w:rsidRPr="00EA413C">
        <w:rPr>
          <w:sz w:val="18"/>
        </w:rPr>
        <w:tab/>
        <w:t>Le président a noté que la référence à la Conférence diplomatique pourrait être utile pour expliquer la raison de l</w:t>
      </w:r>
      <w:r w:rsidR="00BF573D">
        <w:rPr>
          <w:sz w:val="18"/>
        </w:rPr>
        <w:t>’</w:t>
      </w:r>
      <w:r w:rsidRPr="00EA413C">
        <w:rPr>
          <w:sz w:val="18"/>
        </w:rPr>
        <w:t>introduction des nouveaux points de vue présentés par certains membres de l</w:t>
      </w:r>
      <w:r w:rsidR="00BF573D">
        <w:rPr>
          <w:sz w:val="18"/>
        </w:rPr>
        <w:t>’</w:t>
      </w:r>
      <w:r w:rsidRPr="00EA413C">
        <w:rPr>
          <w:sz w:val="18"/>
        </w:rPr>
        <w:t>Union qui n</w:t>
      </w:r>
      <w:r w:rsidR="00BF573D">
        <w:rPr>
          <w:sz w:val="18"/>
        </w:rPr>
        <w:t>’</w:t>
      </w:r>
      <w:r w:rsidRPr="00EA413C">
        <w:rPr>
          <w:sz w:val="18"/>
        </w:rPr>
        <w:t>étaient pas reflétés dans les notes explicatives actuelles.</w:t>
      </w:r>
    </w:p>
    <w:p w:rsidR="009A3EE9" w:rsidRPr="00EA413C" w:rsidRDefault="009A3EE9" w:rsidP="008C729D">
      <w:pPr>
        <w:keepLines/>
        <w:spacing w:before="120"/>
        <w:ind w:left="562" w:right="461"/>
        <w:rPr>
          <w:sz w:val="18"/>
        </w:rPr>
      </w:pPr>
      <w:r w:rsidRPr="00EA413C">
        <w:rPr>
          <w:sz w:val="18"/>
        </w:rPr>
        <w:lastRenderedPageBreak/>
        <w:t>[</w:t>
      </w:r>
      <w:r w:rsidR="008D74D3" w:rsidRPr="00EA413C">
        <w:rPr>
          <w:sz w:val="18"/>
        </w:rPr>
        <w:t>…</w:t>
      </w:r>
      <w:r w:rsidRPr="00EA413C">
        <w:rPr>
          <w:sz w:val="18"/>
        </w:rPr>
        <w:t>]</w:t>
      </w:r>
    </w:p>
    <w:p w:rsidR="00CF4AD4" w:rsidRPr="00EA413C" w:rsidRDefault="009A3EE9" w:rsidP="00E4589D">
      <w:pPr>
        <w:keepLines/>
        <w:spacing w:before="160"/>
        <w:ind w:left="562" w:right="461"/>
        <w:rPr>
          <w:sz w:val="18"/>
        </w:rPr>
      </w:pPr>
      <w:r w:rsidRPr="00EA413C">
        <w:rPr>
          <w:sz w:val="18"/>
        </w:rPr>
        <w:t>“33.</w:t>
      </w:r>
      <w:r w:rsidRPr="00EA413C">
        <w:rPr>
          <w:sz w:val="18"/>
        </w:rPr>
        <w:tab/>
        <w:t>Le WG</w:t>
      </w:r>
      <w:r w:rsidR="00BF573D">
        <w:rPr>
          <w:sz w:val="18"/>
        </w:rPr>
        <w:t>-</w:t>
      </w:r>
      <w:r w:rsidRPr="00EA413C">
        <w:rPr>
          <w:sz w:val="18"/>
        </w:rPr>
        <w:t>HRV a demandé au Bureau de l</w:t>
      </w:r>
      <w:r w:rsidR="00BF573D">
        <w:rPr>
          <w:sz w:val="18"/>
        </w:rPr>
        <w:t>’</w:t>
      </w:r>
      <w:r w:rsidRPr="00EA413C">
        <w:rPr>
          <w:sz w:val="18"/>
        </w:rPr>
        <w:t>Union d</w:t>
      </w:r>
      <w:r w:rsidR="00BF573D">
        <w:rPr>
          <w:sz w:val="18"/>
        </w:rPr>
        <w:t>’</w:t>
      </w:r>
      <w:r w:rsidRPr="00EA413C">
        <w:rPr>
          <w:sz w:val="18"/>
        </w:rPr>
        <w:t>établir un document qui expliquerait les différents points de vue sur l</w:t>
      </w:r>
      <w:r w:rsidR="00BF573D">
        <w:rPr>
          <w:sz w:val="18"/>
        </w:rPr>
        <w:t>’</w:t>
      </w:r>
      <w:r w:rsidRPr="00EA413C">
        <w:rPr>
          <w:sz w:val="18"/>
        </w:rPr>
        <w:t>utilisation non autoris</w:t>
      </w:r>
      <w:r w:rsidR="0008317D" w:rsidRPr="00EA413C">
        <w:rPr>
          <w:sz w:val="18"/>
        </w:rPr>
        <w:t>ée</w:t>
      </w:r>
      <w:r w:rsidR="0008317D">
        <w:rPr>
          <w:sz w:val="18"/>
        </w:rPr>
        <w:t xml:space="preserve">.  </w:t>
      </w:r>
      <w:r w:rsidR="0008317D" w:rsidRPr="00EA413C">
        <w:rPr>
          <w:sz w:val="18"/>
        </w:rPr>
        <w:t>Le</w:t>
      </w:r>
      <w:r w:rsidRPr="00EA413C">
        <w:rPr>
          <w:sz w:val="18"/>
        </w:rPr>
        <w:t xml:space="preserve"> WG</w:t>
      </w:r>
      <w:r w:rsidR="00BF573D">
        <w:rPr>
          <w:sz w:val="18"/>
        </w:rPr>
        <w:t>-</w:t>
      </w:r>
      <w:r w:rsidRPr="00EA413C">
        <w:rPr>
          <w:sz w:val="18"/>
        </w:rPr>
        <w:t>HRV est convenu que ses membres fourniraient des exemples de leur interprétation de ces dispositions et de l</w:t>
      </w:r>
      <w:r w:rsidR="00BF573D">
        <w:rPr>
          <w:sz w:val="18"/>
        </w:rPr>
        <w:t>’</w:t>
      </w:r>
      <w:r w:rsidRPr="00EA413C">
        <w:rPr>
          <w:sz w:val="18"/>
        </w:rPr>
        <w:t>incidence de cette interprétation sur la faculté des obtenteurs à exercer leurs droits sur le territoire.</w:t>
      </w:r>
      <w:r w:rsidR="00EF5404">
        <w:rPr>
          <w:sz w:val="18"/>
        </w:rPr>
        <w:t>”</w:t>
      </w:r>
    </w:p>
    <w:p w:rsidR="00962161" w:rsidRPr="00EA413C" w:rsidRDefault="00962161" w:rsidP="002D6675"/>
    <w:p w:rsidR="00A76CBA" w:rsidRPr="00EA413C" w:rsidRDefault="00A76CBA" w:rsidP="002D6675"/>
    <w:p w:rsidR="00962161" w:rsidRPr="00EA413C" w:rsidRDefault="00962161" w:rsidP="002D6675">
      <w:bookmarkStart w:id="7" w:name="_Toc51936361"/>
      <w:bookmarkEnd w:id="5"/>
    </w:p>
    <w:p w:rsidR="00962161" w:rsidRPr="00EA413C" w:rsidRDefault="00810EE9" w:rsidP="002D6675">
      <w:pPr>
        <w:keepNext/>
        <w:keepLines/>
        <w:outlineLvl w:val="0"/>
        <w:rPr>
          <w:caps/>
        </w:rPr>
      </w:pPr>
      <w:bookmarkStart w:id="8" w:name="_Toc128723041"/>
      <w:bookmarkEnd w:id="7"/>
      <w:r>
        <w:rPr>
          <w:caps/>
        </w:rPr>
        <w:t>I</w:t>
      </w:r>
      <w:r w:rsidR="008016D3" w:rsidRPr="00EA413C">
        <w:rPr>
          <w:caps/>
        </w:rPr>
        <w:t>ntroduction des nouveaux points de vue sur l</w:t>
      </w:r>
      <w:r w:rsidR="00BF573D">
        <w:rPr>
          <w:caps/>
        </w:rPr>
        <w:t>’</w:t>
      </w:r>
      <w:r w:rsidR="006F6427">
        <w:rPr>
          <w:caps/>
        </w:rPr>
        <w:t>“</w:t>
      </w:r>
      <w:r w:rsidR="008016D3" w:rsidRPr="00EA413C">
        <w:rPr>
          <w:caps/>
        </w:rPr>
        <w:t xml:space="preserve">utilisation non autorisée” aux fins de la révision des notes explicatives sur le matériel de reproduction ou de multiplication, les actes </w:t>
      </w:r>
      <w:r w:rsidR="00BF573D">
        <w:rPr>
          <w:caps/>
        </w:rPr>
        <w:t>à l’égard</w:t>
      </w:r>
      <w:r w:rsidR="008016D3" w:rsidRPr="00EA413C">
        <w:rPr>
          <w:caps/>
        </w:rPr>
        <w:t xml:space="preserve"> du produit de la récolte et la protection provisoire selon la </w:t>
      </w:r>
      <w:r w:rsidR="00BF573D">
        <w:rPr>
          <w:caps/>
        </w:rPr>
        <w:t>Convention UPOV</w:t>
      </w:r>
      <w:bookmarkEnd w:id="8"/>
    </w:p>
    <w:p w:rsidR="00962161" w:rsidRPr="00EA413C" w:rsidRDefault="00962161" w:rsidP="002D6675">
      <w:pPr>
        <w:keepNext/>
        <w:keepLines/>
        <w:jc w:val="left"/>
      </w:pPr>
    </w:p>
    <w:p w:rsidR="00962161" w:rsidRPr="00EA413C" w:rsidRDefault="006F6427" w:rsidP="002D6675">
      <w:pPr>
        <w:pStyle w:val="Heading2"/>
      </w:pPr>
      <w:bookmarkStart w:id="9" w:name="_Toc128723042"/>
      <w:r>
        <w:t xml:space="preserve">Points de vue sur </w:t>
      </w:r>
      <w:r w:rsidR="00551703" w:rsidRPr="00EA413C">
        <w:t>l</w:t>
      </w:r>
      <w:r w:rsidR="00BF573D">
        <w:t>’</w:t>
      </w:r>
      <w:r>
        <w:t>“</w:t>
      </w:r>
      <w:r w:rsidR="00551703" w:rsidRPr="00EA413C">
        <w:t>utilisation non autorisée” dans les notes explicatives actuelles</w:t>
      </w:r>
      <w:bookmarkEnd w:id="9"/>
    </w:p>
    <w:p w:rsidR="00962161" w:rsidRPr="00EA413C" w:rsidRDefault="00962161" w:rsidP="002D6675">
      <w:pPr>
        <w:keepNext/>
        <w:jc w:val="left"/>
      </w:pPr>
    </w:p>
    <w:p w:rsidR="00551703" w:rsidRPr="00EA413C" w:rsidRDefault="00962161" w:rsidP="002D6675">
      <w:pPr>
        <w:keepNext/>
        <w:keepLines/>
      </w:pPr>
      <w:r w:rsidRPr="00EA413C">
        <w:fldChar w:fldCharType="begin"/>
      </w:r>
      <w:r w:rsidRPr="00EA413C">
        <w:instrText xml:space="preserve"> AUTONUM  </w:instrText>
      </w:r>
      <w:r w:rsidRPr="00EA413C">
        <w:fldChar w:fldCharType="end"/>
      </w:r>
      <w:r w:rsidRPr="00EA413C">
        <w:tab/>
        <w:t xml:space="preserve">À sa deuxième réunion tenue par voie électronique le </w:t>
      </w:r>
      <w:r w:rsidR="00CF4AD4" w:rsidRPr="00EA413C">
        <w:t>6 septembre 20</w:t>
      </w:r>
      <w:r w:rsidRPr="00EA413C">
        <w:t>22, le WG</w:t>
      </w:r>
      <w:r w:rsidR="00BF573D">
        <w:t>-</w:t>
      </w:r>
      <w:r w:rsidRPr="00EA413C">
        <w:t xml:space="preserve">HRV a pris note de ce qui suit (voir les </w:t>
      </w:r>
      <w:r w:rsidR="00CF4AD4" w:rsidRPr="00EA413C">
        <w:t>paragraphes 1</w:t>
      </w:r>
      <w:r w:rsidRPr="00EA413C">
        <w:t>8 et 19 du document WG</w:t>
      </w:r>
      <w:r w:rsidR="00BF573D">
        <w:t>-</w:t>
      </w:r>
      <w:r w:rsidRPr="00EA413C">
        <w:t>HRV/2/6 “Projet de compte rendu”)</w:t>
      </w:r>
      <w:r w:rsidR="00BF573D">
        <w:t> :</w:t>
      </w:r>
    </w:p>
    <w:p w:rsidR="00551703" w:rsidRPr="00EA413C" w:rsidRDefault="00551703" w:rsidP="002D6675">
      <w:pPr>
        <w:keepNext/>
        <w:keepLines/>
      </w:pPr>
    </w:p>
    <w:p w:rsidR="00551703" w:rsidRPr="00EA413C" w:rsidRDefault="00551703" w:rsidP="00551703">
      <w:pPr>
        <w:keepNext/>
        <w:keepLines/>
        <w:ind w:left="567" w:right="459"/>
        <w:rPr>
          <w:sz w:val="18"/>
          <w:szCs w:val="18"/>
        </w:rPr>
      </w:pPr>
      <w:r w:rsidRPr="00EA413C">
        <w:rPr>
          <w:sz w:val="18"/>
        </w:rPr>
        <w:t>“18.</w:t>
      </w:r>
      <w:r w:rsidRPr="00EA413C">
        <w:rPr>
          <w:sz w:val="18"/>
        </w:rPr>
        <w:tab/>
        <w:t>Le WG</w:t>
      </w:r>
      <w:r w:rsidR="00BF573D">
        <w:rPr>
          <w:sz w:val="18"/>
        </w:rPr>
        <w:t>-</w:t>
      </w:r>
      <w:r w:rsidRPr="00EA413C">
        <w:rPr>
          <w:sz w:val="18"/>
        </w:rPr>
        <w:t>HRV a fait observer que l</w:t>
      </w:r>
      <w:r w:rsidR="00BF573D">
        <w:rPr>
          <w:sz w:val="18"/>
        </w:rPr>
        <w:t>’</w:t>
      </w:r>
      <w:r w:rsidRPr="00EA413C">
        <w:rPr>
          <w:sz w:val="18"/>
        </w:rPr>
        <w:t>annexe du document WG</w:t>
      </w:r>
      <w:r w:rsidR="00BF573D">
        <w:rPr>
          <w:sz w:val="18"/>
        </w:rPr>
        <w:t>-</w:t>
      </w:r>
      <w:r w:rsidRPr="00EA413C">
        <w:rPr>
          <w:sz w:val="18"/>
        </w:rPr>
        <w:t>HRV/2/2 contenait l</w:t>
      </w:r>
      <w:r w:rsidR="00BF573D">
        <w:rPr>
          <w:sz w:val="18"/>
        </w:rPr>
        <w:t>’</w:t>
      </w:r>
      <w:r w:rsidRPr="00EA413C">
        <w:rPr>
          <w:sz w:val="18"/>
        </w:rPr>
        <w:t>historique du principe de cascade dans le cadre de l</w:t>
      </w:r>
      <w:r w:rsidR="00BF573D">
        <w:rPr>
          <w:sz w:val="18"/>
        </w:rPr>
        <w:t>’</w:t>
      </w:r>
      <w:r w:rsidR="00CF4AD4" w:rsidRPr="00EA413C">
        <w:rPr>
          <w:sz w:val="18"/>
        </w:rPr>
        <w:t>article 1</w:t>
      </w:r>
      <w:r w:rsidRPr="00EA413C">
        <w:rPr>
          <w:sz w:val="18"/>
        </w:rPr>
        <w:t>4 de l</w:t>
      </w:r>
      <w:r w:rsidR="00BF573D">
        <w:rPr>
          <w:sz w:val="18"/>
        </w:rPr>
        <w:t>’</w:t>
      </w:r>
      <w:r w:rsidRPr="00EA413C">
        <w:rPr>
          <w:sz w:val="18"/>
        </w:rPr>
        <w:t xml:space="preserve">Acte </w:t>
      </w:r>
      <w:r w:rsidR="00CF4AD4" w:rsidRPr="00EA413C">
        <w:rPr>
          <w:sz w:val="18"/>
        </w:rPr>
        <w:t>de 1991</w:t>
      </w:r>
      <w:r w:rsidR="008C6CC0">
        <w:rPr>
          <w:sz w:val="18"/>
        </w:rPr>
        <w:t xml:space="preserve"> intitulé ‘</w:t>
      </w:r>
      <w:r w:rsidRPr="00EA413C">
        <w:rPr>
          <w:sz w:val="18"/>
        </w:rPr>
        <w:t>Étendue du droit d</w:t>
      </w:r>
      <w:r w:rsidR="00BF573D">
        <w:rPr>
          <w:sz w:val="18"/>
        </w:rPr>
        <w:t>’</w:t>
      </w:r>
      <w:r w:rsidR="008C6CC0">
        <w:rPr>
          <w:sz w:val="18"/>
        </w:rPr>
        <w:t>obtenteur’</w:t>
      </w:r>
      <w:r w:rsidRPr="00EA413C">
        <w:rPr>
          <w:sz w:val="18"/>
        </w:rPr>
        <w:t xml:space="preserve"> et sa relation avec les dispositions de l</w:t>
      </w:r>
      <w:r w:rsidR="00BF573D">
        <w:rPr>
          <w:sz w:val="18"/>
        </w:rPr>
        <w:t>’</w:t>
      </w:r>
      <w:r w:rsidR="00CF4AD4" w:rsidRPr="00EA413C">
        <w:rPr>
          <w:sz w:val="18"/>
        </w:rPr>
        <w:t>article 1</w:t>
      </w:r>
      <w:r w:rsidRPr="00EA413C">
        <w:rPr>
          <w:sz w:val="18"/>
        </w:rPr>
        <w:t>6 de l</w:t>
      </w:r>
      <w:r w:rsidR="00BF573D">
        <w:rPr>
          <w:sz w:val="18"/>
        </w:rPr>
        <w:t>’</w:t>
      </w:r>
      <w:r w:rsidRPr="00EA413C">
        <w:rPr>
          <w:sz w:val="18"/>
        </w:rPr>
        <w:t xml:space="preserve">Acte </w:t>
      </w:r>
      <w:r w:rsidR="00CF4AD4" w:rsidRPr="00EA413C">
        <w:rPr>
          <w:sz w:val="18"/>
        </w:rPr>
        <w:t>de 1991</w:t>
      </w:r>
      <w:r w:rsidR="008C6CC0">
        <w:rPr>
          <w:sz w:val="18"/>
        </w:rPr>
        <w:t xml:space="preserve"> intitulé ‘</w:t>
      </w:r>
      <w:r w:rsidRPr="00EA413C">
        <w:rPr>
          <w:sz w:val="18"/>
        </w:rPr>
        <w:t>Épuisement du droit d</w:t>
      </w:r>
      <w:r w:rsidR="00BF573D">
        <w:rPr>
          <w:sz w:val="18"/>
        </w:rPr>
        <w:t>’</w:t>
      </w:r>
      <w:r w:rsidRPr="00EA413C">
        <w:rPr>
          <w:sz w:val="18"/>
        </w:rPr>
        <w:t>obtenteur</w:t>
      </w:r>
      <w:r w:rsidR="008C6CC0">
        <w:rPr>
          <w:sz w:val="18"/>
        </w:rPr>
        <w:t>’</w:t>
      </w:r>
      <w:r w:rsidRPr="00EA413C">
        <w:rPr>
          <w:sz w:val="18"/>
        </w:rPr>
        <w:t>.  Elle contenait également l</w:t>
      </w:r>
      <w:r w:rsidR="00BF573D">
        <w:rPr>
          <w:sz w:val="18"/>
        </w:rPr>
        <w:t>’</w:t>
      </w:r>
      <w:r w:rsidRPr="00EA413C">
        <w:rPr>
          <w:sz w:val="18"/>
        </w:rPr>
        <w:t>historique de la notion d</w:t>
      </w:r>
      <w:r w:rsidR="00BF573D">
        <w:rPr>
          <w:sz w:val="18"/>
        </w:rPr>
        <w:t>’</w:t>
      </w:r>
      <w:r w:rsidR="008C6CC0">
        <w:rPr>
          <w:sz w:val="18"/>
        </w:rPr>
        <w:t>‘</w:t>
      </w:r>
      <w:r w:rsidRPr="00EA413C">
        <w:rPr>
          <w:sz w:val="18"/>
        </w:rPr>
        <w:t>utilisation non autorisée</w:t>
      </w:r>
      <w:r w:rsidR="008C6CC0">
        <w:rPr>
          <w:sz w:val="18"/>
        </w:rPr>
        <w:t>’</w:t>
      </w:r>
      <w:r w:rsidRPr="00EA413C">
        <w:rPr>
          <w:sz w:val="18"/>
        </w:rPr>
        <w:t xml:space="preserve"> visée à l</w:t>
      </w:r>
      <w:r w:rsidR="00BF573D">
        <w:rPr>
          <w:sz w:val="18"/>
        </w:rPr>
        <w:t>’</w:t>
      </w:r>
      <w:r w:rsidR="00CF4AD4" w:rsidRPr="00EA413C">
        <w:rPr>
          <w:sz w:val="18"/>
        </w:rPr>
        <w:t>article 1</w:t>
      </w:r>
      <w:r w:rsidRPr="00EA413C">
        <w:rPr>
          <w:sz w:val="18"/>
        </w:rPr>
        <w:t xml:space="preserve">4.2) et de la notion de </w:t>
      </w:r>
      <w:r w:rsidR="008C6CC0">
        <w:rPr>
          <w:sz w:val="18"/>
        </w:rPr>
        <w:t>‘</w:t>
      </w:r>
      <w:r w:rsidRPr="00EA413C">
        <w:rPr>
          <w:sz w:val="18"/>
        </w:rPr>
        <w:t>consentement</w:t>
      </w:r>
      <w:r w:rsidR="008C6CC0">
        <w:rPr>
          <w:sz w:val="18"/>
        </w:rPr>
        <w:t>’</w:t>
      </w:r>
      <w:r w:rsidRPr="00EA413C">
        <w:rPr>
          <w:sz w:val="18"/>
        </w:rPr>
        <w:t xml:space="preserve"> visée à l</w:t>
      </w:r>
      <w:r w:rsidR="00BF573D">
        <w:rPr>
          <w:sz w:val="18"/>
        </w:rPr>
        <w:t>’</w:t>
      </w:r>
      <w:r w:rsidR="00CF4AD4" w:rsidRPr="00EA413C">
        <w:rPr>
          <w:sz w:val="18"/>
        </w:rPr>
        <w:t>article 1</w:t>
      </w:r>
      <w:r w:rsidRPr="00EA413C">
        <w:rPr>
          <w:sz w:val="18"/>
        </w:rPr>
        <w:t xml:space="preserve">6, </w:t>
      </w:r>
      <w:r w:rsidR="00BF573D">
        <w:rPr>
          <w:sz w:val="18"/>
        </w:rPr>
        <w:t>y compris</w:t>
      </w:r>
      <w:r w:rsidRPr="00EA413C">
        <w:rPr>
          <w:sz w:val="18"/>
        </w:rPr>
        <w:t xml:space="preserve"> le moment où le terme </w:t>
      </w:r>
      <w:r w:rsidR="008C6CC0">
        <w:rPr>
          <w:sz w:val="18"/>
        </w:rPr>
        <w:t>‘consentement’</w:t>
      </w:r>
      <w:r w:rsidRPr="00EA413C">
        <w:rPr>
          <w:sz w:val="18"/>
        </w:rPr>
        <w:t xml:space="preserve"> a été remplacé par </w:t>
      </w:r>
      <w:r w:rsidR="008C6CC0">
        <w:rPr>
          <w:sz w:val="18"/>
        </w:rPr>
        <w:t>‘</w:t>
      </w:r>
      <w:r w:rsidRPr="00EA413C">
        <w:rPr>
          <w:sz w:val="18"/>
        </w:rPr>
        <w:t>autorisation</w:t>
      </w:r>
      <w:r w:rsidR="008C6CC0">
        <w:rPr>
          <w:sz w:val="18"/>
        </w:rPr>
        <w:t>’</w:t>
      </w:r>
      <w:r w:rsidRPr="00EA413C">
        <w:rPr>
          <w:sz w:val="18"/>
        </w:rPr>
        <w:t xml:space="preserve"> dans l</w:t>
      </w:r>
      <w:r w:rsidR="00BF573D">
        <w:rPr>
          <w:sz w:val="18"/>
        </w:rPr>
        <w:t>’</w:t>
      </w:r>
      <w:r w:rsidRPr="00EA413C">
        <w:rPr>
          <w:sz w:val="18"/>
        </w:rPr>
        <w:t>étendue du droit d</w:t>
      </w:r>
      <w:r w:rsidR="00BF573D">
        <w:rPr>
          <w:sz w:val="18"/>
        </w:rPr>
        <w:t>’</w:t>
      </w:r>
      <w:r w:rsidRPr="00EA413C">
        <w:rPr>
          <w:sz w:val="18"/>
        </w:rPr>
        <w:t>obtenteur</w:t>
      </w:r>
      <w:r w:rsidR="00BF573D">
        <w:rPr>
          <w:sz w:val="18"/>
        </w:rPr>
        <w:t> :</w:t>
      </w:r>
    </w:p>
    <w:p w:rsidR="00551703" w:rsidRPr="00EA413C" w:rsidRDefault="00551703" w:rsidP="00551703">
      <w:pPr>
        <w:keepNext/>
        <w:ind w:left="567" w:right="459"/>
        <w:rPr>
          <w:sz w:val="18"/>
          <w:szCs w:val="18"/>
        </w:rPr>
      </w:pPr>
    </w:p>
    <w:p w:rsidR="008C729D" w:rsidRPr="00EA413C" w:rsidRDefault="008C729D" w:rsidP="00DF4982">
      <w:pPr>
        <w:ind w:left="1134" w:right="459"/>
        <w:rPr>
          <w:sz w:val="18"/>
          <w:szCs w:val="18"/>
        </w:rPr>
      </w:pPr>
      <w:r>
        <w:rPr>
          <w:sz w:val="18"/>
        </w:rPr>
        <w:t xml:space="preserve"> ‘74.</w:t>
      </w:r>
      <w:r w:rsidRPr="00EA413C">
        <w:rPr>
          <w:sz w:val="18"/>
        </w:rPr>
        <w:tab/>
      </w:r>
      <w:r w:rsidRPr="00EA413C">
        <w:rPr>
          <w:sz w:val="18"/>
          <w:u w:val="single"/>
        </w:rPr>
        <w:t>Plusieurs délégations</w:t>
      </w:r>
      <w:r w:rsidRPr="00EA413C">
        <w:rPr>
          <w:sz w:val="18"/>
        </w:rPr>
        <w:t xml:space="preserve"> </w:t>
      </w:r>
      <w:r w:rsidR="00DF4982">
        <w:rPr>
          <w:sz w:val="18"/>
        </w:rPr>
        <w:t>f</w:t>
      </w:r>
      <w:r w:rsidRPr="00EA413C">
        <w:rPr>
          <w:sz w:val="18"/>
        </w:rPr>
        <w:t xml:space="preserve">ont observer que le </w:t>
      </w:r>
      <w:r w:rsidR="00DF4982">
        <w:rPr>
          <w:sz w:val="18"/>
        </w:rPr>
        <w:t>texte</w:t>
      </w:r>
      <w:r w:rsidRPr="00EA413C">
        <w:rPr>
          <w:sz w:val="18"/>
        </w:rPr>
        <w:t xml:space="preserve"> proposé par le Bureau de l</w:t>
      </w:r>
      <w:r>
        <w:rPr>
          <w:sz w:val="18"/>
        </w:rPr>
        <w:t>’</w:t>
      </w:r>
      <w:r w:rsidRPr="00EA413C">
        <w:rPr>
          <w:sz w:val="18"/>
        </w:rPr>
        <w:t xml:space="preserve">Union </w:t>
      </w:r>
      <w:r w:rsidR="00DF4982">
        <w:rPr>
          <w:sz w:val="18"/>
        </w:rPr>
        <w:t>parle maintenant d’‘autorisation’</w:t>
      </w:r>
      <w:r w:rsidR="00DF4982" w:rsidRPr="00DF4982">
        <w:rPr>
          <w:sz w:val="18"/>
        </w:rPr>
        <w:t xml:space="preserve"> alors</w:t>
      </w:r>
      <w:r w:rsidR="00DF4982">
        <w:rPr>
          <w:sz w:val="18"/>
        </w:rPr>
        <w:t xml:space="preserve"> que le projet est fond</w:t>
      </w:r>
      <w:r w:rsidR="00DF4982" w:rsidRPr="00EA413C">
        <w:rPr>
          <w:sz w:val="18"/>
        </w:rPr>
        <w:t>é</w:t>
      </w:r>
      <w:r w:rsidR="00DF4982">
        <w:rPr>
          <w:sz w:val="18"/>
        </w:rPr>
        <w:t xml:space="preserve"> sur la </w:t>
      </w:r>
      <w:r w:rsidR="00DF4982" w:rsidRPr="00DF4982">
        <w:rPr>
          <w:sz w:val="18"/>
        </w:rPr>
        <w:t>notion de "consentement".</w:t>
      </w:r>
      <w:r w:rsidRPr="00EA413C">
        <w:rPr>
          <w:sz w:val="18"/>
        </w:rPr>
        <w:t xml:space="preserve"> Il </w:t>
      </w:r>
      <w:r w:rsidR="00DF4982">
        <w:rPr>
          <w:sz w:val="18"/>
        </w:rPr>
        <w:t>est relev</w:t>
      </w:r>
      <w:r w:rsidRPr="00EA413C">
        <w:rPr>
          <w:sz w:val="18"/>
        </w:rPr>
        <w:t>é qu</w:t>
      </w:r>
      <w:r w:rsidR="00DF4982">
        <w:rPr>
          <w:sz w:val="18"/>
        </w:rPr>
        <w:t xml:space="preserve">’il n’était pas de </w:t>
      </w:r>
      <w:r w:rsidRPr="00EA413C">
        <w:rPr>
          <w:sz w:val="18"/>
        </w:rPr>
        <w:t>l</w:t>
      </w:r>
      <w:r>
        <w:rPr>
          <w:sz w:val="18"/>
        </w:rPr>
        <w:t>’</w:t>
      </w:r>
      <w:r w:rsidRPr="00EA413C">
        <w:rPr>
          <w:sz w:val="18"/>
        </w:rPr>
        <w:t xml:space="preserve">intention de modifier le texte </w:t>
      </w:r>
      <w:r w:rsidR="00DF4982">
        <w:rPr>
          <w:sz w:val="18"/>
        </w:rPr>
        <w:t>sur le fond.</w:t>
      </w:r>
      <w:r w:rsidRPr="00EA413C">
        <w:rPr>
          <w:sz w:val="18"/>
        </w:rPr>
        <w:t xml:space="preserve"> […]</w:t>
      </w:r>
      <w:r>
        <w:rPr>
          <w:sz w:val="18"/>
        </w:rPr>
        <w:t>’</w:t>
      </w:r>
    </w:p>
    <w:p w:rsidR="00551703" w:rsidRPr="00EA413C" w:rsidRDefault="00551703" w:rsidP="00551703">
      <w:pPr>
        <w:ind w:right="459" w:firstLine="567"/>
        <w:rPr>
          <w:sz w:val="18"/>
          <w:szCs w:val="18"/>
        </w:rPr>
      </w:pPr>
    </w:p>
    <w:p w:rsidR="00551703" w:rsidRPr="00EA413C" w:rsidRDefault="008C6CC0" w:rsidP="008C729D">
      <w:pPr>
        <w:ind w:left="567" w:right="459" w:firstLine="567"/>
        <w:rPr>
          <w:sz w:val="18"/>
          <w:szCs w:val="18"/>
        </w:rPr>
      </w:pPr>
      <w:r>
        <w:rPr>
          <w:sz w:val="18"/>
        </w:rPr>
        <w:t>“</w:t>
      </w:r>
      <w:r w:rsidR="00551703" w:rsidRPr="00EA413C">
        <w:rPr>
          <w:sz w:val="18"/>
        </w:rPr>
        <w:t xml:space="preserve">(voir la </w:t>
      </w:r>
      <w:r w:rsidR="00CF4AD4" w:rsidRPr="00EA413C">
        <w:rPr>
          <w:sz w:val="18"/>
        </w:rPr>
        <w:t>page 2</w:t>
      </w:r>
      <w:r w:rsidR="00551703" w:rsidRPr="00EA413C">
        <w:rPr>
          <w:sz w:val="18"/>
        </w:rPr>
        <w:t>6 de l</w:t>
      </w:r>
      <w:r w:rsidR="00BF573D">
        <w:rPr>
          <w:sz w:val="18"/>
        </w:rPr>
        <w:t>’</w:t>
      </w:r>
      <w:r w:rsidR="00551703" w:rsidRPr="00EA413C">
        <w:rPr>
          <w:sz w:val="18"/>
        </w:rPr>
        <w:t>annexe du document WG</w:t>
      </w:r>
      <w:r w:rsidR="00BF573D">
        <w:rPr>
          <w:sz w:val="18"/>
        </w:rPr>
        <w:t>-</w:t>
      </w:r>
      <w:r w:rsidR="00551703" w:rsidRPr="00EA413C">
        <w:rPr>
          <w:sz w:val="18"/>
        </w:rPr>
        <w:t>HRV/2/2</w:t>
      </w:r>
      <w:r w:rsidR="00551703" w:rsidRPr="008C729D">
        <w:rPr>
          <w:sz w:val="18"/>
        </w:rPr>
        <w:t>).</w:t>
      </w:r>
      <w:r w:rsidR="00FA7748">
        <w:rPr>
          <w:sz w:val="18"/>
        </w:rPr>
        <w:t xml:space="preserve"> </w:t>
      </w:r>
    </w:p>
    <w:p w:rsidR="00551703" w:rsidRPr="00EA413C" w:rsidRDefault="00551703" w:rsidP="00551703">
      <w:pPr>
        <w:ind w:left="567" w:right="459"/>
        <w:rPr>
          <w:sz w:val="18"/>
          <w:szCs w:val="18"/>
        </w:rPr>
      </w:pPr>
    </w:p>
    <w:p w:rsidR="00551703" w:rsidRPr="00EA413C" w:rsidRDefault="00551703" w:rsidP="00551703">
      <w:pPr>
        <w:ind w:left="567" w:right="459"/>
        <w:rPr>
          <w:sz w:val="18"/>
          <w:szCs w:val="18"/>
        </w:rPr>
      </w:pPr>
      <w:r w:rsidRPr="00EA413C">
        <w:rPr>
          <w:sz w:val="18"/>
        </w:rPr>
        <w:t>“19.</w:t>
      </w:r>
      <w:r w:rsidRPr="00EA413C">
        <w:rPr>
          <w:sz w:val="18"/>
        </w:rPr>
        <w:tab/>
        <w:t>Le président a fait remarquer que les notions de consentement et d</w:t>
      </w:r>
      <w:r w:rsidR="00BF573D">
        <w:rPr>
          <w:sz w:val="18"/>
        </w:rPr>
        <w:t>’</w:t>
      </w:r>
      <w:r w:rsidRPr="00EA413C">
        <w:rPr>
          <w:sz w:val="18"/>
        </w:rPr>
        <w:t>autorisation étaient différentes dans les notes explicatives actuelles.”</w:t>
      </w:r>
    </w:p>
    <w:p w:rsidR="00551703" w:rsidRPr="00EA413C" w:rsidRDefault="00551703" w:rsidP="00551703">
      <w:pPr>
        <w:ind w:left="567" w:right="459"/>
        <w:rPr>
          <w:sz w:val="18"/>
          <w:szCs w:val="18"/>
        </w:rPr>
      </w:pPr>
    </w:p>
    <w:p w:rsidR="00762A6E" w:rsidRPr="00EA413C" w:rsidRDefault="008443C4" w:rsidP="0040494E">
      <w:pPr>
        <w:jc w:val="left"/>
      </w:pPr>
      <w:r w:rsidRPr="00EA413C">
        <w:fldChar w:fldCharType="begin"/>
      </w:r>
      <w:r w:rsidRPr="00EA413C">
        <w:instrText xml:space="preserve"> AUTONUM  </w:instrText>
      </w:r>
      <w:r w:rsidRPr="00EA413C">
        <w:fldChar w:fldCharType="end"/>
      </w:r>
      <w:r w:rsidRPr="00EA413C">
        <w:tab/>
        <w:t>Les notes explicatives actuelles (document UPOV/EXN/HRV/1) indiquent ce qui suit en ce qui concerne le terme “utilisation non autorisée” à l</w:t>
      </w:r>
      <w:r w:rsidR="00BF573D">
        <w:t>’</w:t>
      </w:r>
      <w:r w:rsidR="00CF4AD4" w:rsidRPr="00EA413C">
        <w:t>article 1</w:t>
      </w:r>
      <w:r w:rsidRPr="00EA413C">
        <w:t>4.2) de l</w:t>
      </w:r>
      <w:r w:rsidR="00BF573D">
        <w:t>’</w:t>
      </w:r>
      <w:r w:rsidRPr="00EA413C">
        <w:t xml:space="preserve">Acte </w:t>
      </w:r>
      <w:r w:rsidR="00CF4AD4" w:rsidRPr="00EA413C">
        <w:t>de 1991</w:t>
      </w:r>
      <w:r w:rsidR="00BF573D">
        <w:t> :</w:t>
      </w:r>
    </w:p>
    <w:p w:rsidR="008443C4" w:rsidRPr="00EA413C" w:rsidRDefault="008443C4" w:rsidP="0040494E">
      <w:pPr>
        <w:jc w:val="left"/>
      </w:pPr>
    </w:p>
    <w:p w:rsidR="008443C4" w:rsidRPr="00EA413C" w:rsidRDefault="008C6CC0" w:rsidP="00551703">
      <w:pPr>
        <w:ind w:left="567"/>
        <w:rPr>
          <w:sz w:val="18"/>
          <w:szCs w:val="18"/>
        </w:rPr>
      </w:pPr>
      <w:r>
        <w:rPr>
          <w:sz w:val="18"/>
        </w:rPr>
        <w:t>“4.</w:t>
      </w:r>
      <w:r>
        <w:rPr>
          <w:sz w:val="18"/>
        </w:rPr>
        <w:tab/>
        <w:t>On entend par ‘</w:t>
      </w:r>
      <w:r w:rsidR="008443C4" w:rsidRPr="00EA413C">
        <w:rPr>
          <w:sz w:val="18"/>
        </w:rPr>
        <w:t>utilisation non autorisée</w:t>
      </w:r>
      <w:r>
        <w:rPr>
          <w:sz w:val="18"/>
        </w:rPr>
        <w:t>’</w:t>
      </w:r>
      <w:r w:rsidR="008443C4" w:rsidRPr="00EA413C">
        <w:rPr>
          <w:sz w:val="18"/>
        </w:rPr>
        <w:t xml:space="preserve"> les actes </w:t>
      </w:r>
      <w:r w:rsidR="00BF573D">
        <w:rPr>
          <w:sz w:val="18"/>
        </w:rPr>
        <w:t>à l’égard</w:t>
      </w:r>
      <w:r w:rsidR="008443C4" w:rsidRPr="00EA413C">
        <w:rPr>
          <w:sz w:val="18"/>
        </w:rPr>
        <w:t xml:space="preserve"> du matériel de reproduction ou de multiplication qui requièrent l</w:t>
      </w:r>
      <w:r w:rsidR="00BF573D">
        <w:rPr>
          <w:sz w:val="18"/>
        </w:rPr>
        <w:t>’</w:t>
      </w:r>
      <w:r w:rsidR="008443C4" w:rsidRPr="00EA413C">
        <w:rPr>
          <w:sz w:val="18"/>
        </w:rPr>
        <w:t>autorisation du titulaire du droit d</w:t>
      </w:r>
      <w:r w:rsidR="00BF573D">
        <w:rPr>
          <w:sz w:val="18"/>
        </w:rPr>
        <w:t>’</w:t>
      </w:r>
      <w:r w:rsidR="008443C4" w:rsidRPr="00EA413C">
        <w:rPr>
          <w:sz w:val="18"/>
        </w:rPr>
        <w:t>obtenteur sur le territoire concerné (</w:t>
      </w:r>
      <w:r w:rsidR="00CF4AD4" w:rsidRPr="00EA413C">
        <w:rPr>
          <w:sz w:val="18"/>
        </w:rPr>
        <w:t>article 1</w:t>
      </w:r>
      <w:r w:rsidR="008443C4" w:rsidRPr="00EA413C">
        <w:rPr>
          <w:sz w:val="18"/>
        </w:rPr>
        <w:t>4.1) de l</w:t>
      </w:r>
      <w:r w:rsidR="00BF573D">
        <w:rPr>
          <w:sz w:val="18"/>
        </w:rPr>
        <w:t>’</w:t>
      </w:r>
      <w:r w:rsidR="008443C4" w:rsidRPr="00EA413C">
        <w:rPr>
          <w:sz w:val="18"/>
        </w:rPr>
        <w:t xml:space="preserve">Acte </w:t>
      </w:r>
      <w:r w:rsidR="00CF4AD4" w:rsidRPr="00EA413C">
        <w:rPr>
          <w:sz w:val="18"/>
        </w:rPr>
        <w:t>de 1991</w:t>
      </w:r>
      <w:r w:rsidR="008443C4" w:rsidRPr="00EA413C">
        <w:rPr>
          <w:sz w:val="18"/>
        </w:rPr>
        <w:t>), mais qui ont été accomplis sans qu</w:t>
      </w:r>
      <w:r w:rsidR="00BF573D">
        <w:rPr>
          <w:sz w:val="18"/>
        </w:rPr>
        <w:t>’</w:t>
      </w:r>
      <w:r w:rsidR="008443C4" w:rsidRPr="00EA413C">
        <w:rPr>
          <w:sz w:val="18"/>
        </w:rPr>
        <w:t>une telle autorisation ait été obten</w:t>
      </w:r>
      <w:r w:rsidR="0008317D" w:rsidRPr="00EA413C">
        <w:rPr>
          <w:sz w:val="18"/>
        </w:rPr>
        <w:t>ue</w:t>
      </w:r>
      <w:r w:rsidR="0008317D">
        <w:rPr>
          <w:sz w:val="18"/>
        </w:rPr>
        <w:t xml:space="preserve">.  </w:t>
      </w:r>
      <w:r w:rsidR="0008317D" w:rsidRPr="00EA413C">
        <w:rPr>
          <w:sz w:val="18"/>
        </w:rPr>
        <w:t>Pa</w:t>
      </w:r>
      <w:r w:rsidR="008443C4" w:rsidRPr="00EA413C">
        <w:rPr>
          <w:sz w:val="18"/>
        </w:rPr>
        <w:t>r conséquent, les actes non autorisés ne peuvent se produire que sur le territoire du membre de l</w:t>
      </w:r>
      <w:r w:rsidR="00BF573D">
        <w:rPr>
          <w:sz w:val="18"/>
        </w:rPr>
        <w:t>’</w:t>
      </w:r>
      <w:r w:rsidR="008443C4" w:rsidRPr="00EA413C">
        <w:rPr>
          <w:sz w:val="18"/>
        </w:rPr>
        <w:t>Union sur lequel un droit d</w:t>
      </w:r>
      <w:r w:rsidR="00BF573D">
        <w:rPr>
          <w:sz w:val="18"/>
        </w:rPr>
        <w:t>’</w:t>
      </w:r>
      <w:r w:rsidR="008443C4" w:rsidRPr="00EA413C">
        <w:rPr>
          <w:sz w:val="18"/>
        </w:rPr>
        <w:t>obtenteur a été octroyé et est en vigueur.”</w:t>
      </w:r>
    </w:p>
    <w:p w:rsidR="008443C4" w:rsidRPr="00EA413C" w:rsidRDefault="008443C4" w:rsidP="0040494E">
      <w:pPr>
        <w:jc w:val="left"/>
      </w:pPr>
    </w:p>
    <w:p w:rsidR="00551703" w:rsidRPr="00EA413C" w:rsidRDefault="00551703" w:rsidP="0040494E">
      <w:pPr>
        <w:jc w:val="left"/>
      </w:pPr>
    </w:p>
    <w:p w:rsidR="00762A6E" w:rsidRPr="00EA413C" w:rsidRDefault="005D1A60" w:rsidP="002D6675">
      <w:pPr>
        <w:pStyle w:val="Heading2"/>
      </w:pPr>
      <w:bookmarkStart w:id="10" w:name="_Toc128723043"/>
      <w:r w:rsidRPr="00EA413C">
        <w:t>Autres points de vue sur l</w:t>
      </w:r>
      <w:r w:rsidR="00BF573D">
        <w:t>’</w:t>
      </w:r>
      <w:r w:rsidR="006B017C">
        <w:t>“</w:t>
      </w:r>
      <w:r w:rsidRPr="00EA413C">
        <w:t>utilisation non autorisée” pour examen par le WG</w:t>
      </w:r>
      <w:r w:rsidR="00BF573D">
        <w:t>-</w:t>
      </w:r>
      <w:r w:rsidRPr="00EA413C">
        <w:t>HRV</w:t>
      </w:r>
      <w:bookmarkEnd w:id="10"/>
    </w:p>
    <w:p w:rsidR="00762A6E" w:rsidRPr="00EA413C" w:rsidRDefault="00762A6E" w:rsidP="002D6675">
      <w:pPr>
        <w:keepNext/>
        <w:jc w:val="left"/>
        <w:rPr>
          <w:i/>
          <w:highlight w:val="yellow"/>
        </w:rPr>
      </w:pPr>
    </w:p>
    <w:p w:rsidR="005C70A6" w:rsidRPr="00EA413C" w:rsidRDefault="005C70A6" w:rsidP="00780A77">
      <w:pPr>
        <w:keepNext/>
        <w:keepLines/>
        <w:rPr>
          <w:b/>
          <w:bCs/>
        </w:rPr>
      </w:pPr>
      <w:r w:rsidRPr="00EA413C">
        <w:fldChar w:fldCharType="begin"/>
      </w:r>
      <w:r w:rsidRPr="00EA413C">
        <w:instrText xml:space="preserve"> AUTONUM  </w:instrText>
      </w:r>
      <w:r w:rsidRPr="00EA413C">
        <w:fldChar w:fldCharType="end"/>
      </w:r>
      <w:r w:rsidRPr="00EA413C">
        <w:tab/>
        <w:t>À sa deuxième réunion, le WG</w:t>
      </w:r>
      <w:r w:rsidR="00BF573D">
        <w:t>-</w:t>
      </w:r>
      <w:r w:rsidRPr="00EA413C">
        <w:t xml:space="preserve">HRV a pris note de ce qui suit (voir les </w:t>
      </w:r>
      <w:r w:rsidR="00CF4AD4" w:rsidRPr="00EA413C">
        <w:t>paragraphes 2</w:t>
      </w:r>
      <w:r w:rsidRPr="00EA413C">
        <w:t>0 à 34 du document WG</w:t>
      </w:r>
      <w:r w:rsidR="00BF573D">
        <w:t>-</w:t>
      </w:r>
      <w:r w:rsidRPr="00EA413C">
        <w:t>HRV/2/6 “Projet de compte rendu”)</w:t>
      </w:r>
      <w:r w:rsidR="00BF573D">
        <w:t> :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5C70A6" w:rsidRPr="00EA413C" w:rsidRDefault="005C70A6" w:rsidP="005C70A6">
      <w:pPr>
        <w:ind w:left="567" w:right="459"/>
        <w:rPr>
          <w:sz w:val="18"/>
          <w:szCs w:val="18"/>
        </w:rPr>
      </w:pPr>
      <w:r w:rsidRPr="00EA413C">
        <w:rPr>
          <w:sz w:val="18"/>
        </w:rPr>
        <w:t>“20.</w:t>
      </w:r>
      <w:r w:rsidRPr="00EA413C">
        <w:rPr>
          <w:sz w:val="18"/>
        </w:rPr>
        <w:tab/>
        <w:t>Les délégations de l</w:t>
      </w:r>
      <w:r w:rsidR="00BF573D">
        <w:rPr>
          <w:sz w:val="18"/>
        </w:rPr>
        <w:t>’</w:t>
      </w:r>
      <w:r w:rsidRPr="00EA413C">
        <w:rPr>
          <w:sz w:val="18"/>
        </w:rPr>
        <w:t>Union européenne et de l</w:t>
      </w:r>
      <w:r w:rsidR="00BF573D">
        <w:rPr>
          <w:sz w:val="18"/>
        </w:rPr>
        <w:t>’</w:t>
      </w:r>
      <w:r w:rsidRPr="00EA413C">
        <w:rPr>
          <w:sz w:val="18"/>
        </w:rPr>
        <w:t>Australie se sont déclarées favorables à l</w:t>
      </w:r>
      <w:r w:rsidR="00BF573D">
        <w:rPr>
          <w:sz w:val="18"/>
        </w:rPr>
        <w:t>’</w:t>
      </w:r>
      <w:r w:rsidRPr="00EA413C">
        <w:rPr>
          <w:sz w:val="18"/>
        </w:rPr>
        <w:t>explication relative à l</w:t>
      </w:r>
      <w:r w:rsidR="00BF573D">
        <w:rPr>
          <w:sz w:val="18"/>
        </w:rPr>
        <w:t>’</w:t>
      </w:r>
      <w:r w:rsidR="006F6427">
        <w:rPr>
          <w:sz w:val="18"/>
        </w:rPr>
        <w:t>‘</w:t>
      </w:r>
      <w:r w:rsidRPr="00EA413C">
        <w:rPr>
          <w:sz w:val="18"/>
        </w:rPr>
        <w:t>utilisation non autorisée</w:t>
      </w:r>
      <w:r w:rsidR="006F6427">
        <w:rPr>
          <w:sz w:val="18"/>
        </w:rPr>
        <w:t>’</w:t>
      </w:r>
      <w:r w:rsidRPr="00EA413C">
        <w:rPr>
          <w:sz w:val="18"/>
        </w:rPr>
        <w:t xml:space="preserve"> qui figure dans les notes explicatives actuell</w:t>
      </w:r>
      <w:r w:rsidR="0008317D" w:rsidRPr="00EA413C">
        <w:rPr>
          <w:sz w:val="18"/>
        </w:rPr>
        <w:t>es</w:t>
      </w:r>
      <w:r w:rsidR="0008317D">
        <w:rPr>
          <w:sz w:val="18"/>
        </w:rPr>
        <w:t xml:space="preserve">.  </w:t>
      </w:r>
      <w:r w:rsidR="0008317D" w:rsidRPr="00EA413C">
        <w:rPr>
          <w:sz w:val="18"/>
        </w:rPr>
        <w:t>Le</w:t>
      </w:r>
      <w:r w:rsidRPr="00EA413C">
        <w:rPr>
          <w:sz w:val="18"/>
        </w:rPr>
        <w:t>s délégations de l</w:t>
      </w:r>
      <w:r w:rsidR="00BF573D">
        <w:rPr>
          <w:sz w:val="18"/>
        </w:rPr>
        <w:t>’</w:t>
      </w:r>
      <w:r w:rsidRPr="00EA413C">
        <w:rPr>
          <w:sz w:val="18"/>
        </w:rPr>
        <w:t>Espagne, du Japon et des Pays</w:t>
      </w:r>
      <w:r w:rsidR="00BF573D">
        <w:rPr>
          <w:sz w:val="18"/>
        </w:rPr>
        <w:t>-</w:t>
      </w:r>
      <w:r w:rsidRPr="00EA413C">
        <w:rPr>
          <w:sz w:val="18"/>
        </w:rPr>
        <w:t>Bas préféraient quant à elles une interprétation plus large de ce terme.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5C70A6" w:rsidRPr="00EA413C" w:rsidRDefault="005C70A6" w:rsidP="005C70A6">
      <w:pPr>
        <w:ind w:left="567" w:right="459"/>
        <w:rPr>
          <w:sz w:val="18"/>
          <w:szCs w:val="18"/>
        </w:rPr>
      </w:pPr>
      <w:r w:rsidRPr="00EA413C">
        <w:rPr>
          <w:sz w:val="18"/>
        </w:rPr>
        <w:t>“21.</w:t>
      </w:r>
      <w:r w:rsidRPr="00EA413C">
        <w:rPr>
          <w:sz w:val="18"/>
        </w:rPr>
        <w:tab/>
        <w:t>La délégation de l</w:t>
      </w:r>
      <w:r w:rsidR="00BF573D">
        <w:rPr>
          <w:sz w:val="18"/>
        </w:rPr>
        <w:t>’</w:t>
      </w:r>
      <w:r w:rsidRPr="00EA413C">
        <w:rPr>
          <w:sz w:val="18"/>
        </w:rPr>
        <w:t>Argentine a précisé que, pour le marché intérieur, lorsqu</w:t>
      </w:r>
      <w:r w:rsidR="00BF573D">
        <w:rPr>
          <w:sz w:val="18"/>
        </w:rPr>
        <w:t>’</w:t>
      </w:r>
      <w:r w:rsidRPr="00EA413C">
        <w:rPr>
          <w:sz w:val="18"/>
        </w:rPr>
        <w:t>un sac de semences était acheté légalement, le droit d</w:t>
      </w:r>
      <w:r w:rsidR="00BF573D">
        <w:rPr>
          <w:sz w:val="18"/>
        </w:rPr>
        <w:t>’</w:t>
      </w:r>
      <w:r w:rsidRPr="00EA413C">
        <w:rPr>
          <w:sz w:val="18"/>
        </w:rPr>
        <w:t>obtenteur était épuisé.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CF4AD4" w:rsidRPr="00EA413C" w:rsidRDefault="005C70A6" w:rsidP="005C70A6">
      <w:pPr>
        <w:ind w:left="567" w:right="459"/>
        <w:rPr>
          <w:sz w:val="18"/>
        </w:rPr>
      </w:pPr>
      <w:r w:rsidRPr="00EA413C">
        <w:rPr>
          <w:sz w:val="18"/>
        </w:rPr>
        <w:t>“22.</w:t>
      </w:r>
      <w:r w:rsidRPr="00EA413C">
        <w:rPr>
          <w:sz w:val="18"/>
        </w:rPr>
        <w:tab/>
        <w:t>La délégation du Japon a évoqué des situations d</w:t>
      </w:r>
      <w:r w:rsidR="00BF573D">
        <w:rPr>
          <w:sz w:val="18"/>
        </w:rPr>
        <w:t>’</w:t>
      </w:r>
      <w:r w:rsidRPr="00EA413C">
        <w:rPr>
          <w:sz w:val="18"/>
        </w:rPr>
        <w:t>exportation non autorisée de matériel végétal d</w:t>
      </w:r>
      <w:r w:rsidR="00BF573D">
        <w:rPr>
          <w:sz w:val="18"/>
        </w:rPr>
        <w:t>’</w:t>
      </w:r>
      <w:r w:rsidRPr="00EA413C">
        <w:rPr>
          <w:sz w:val="18"/>
        </w:rPr>
        <w:t>arbres fruitiers pérennes qui, s</w:t>
      </w:r>
      <w:r w:rsidR="00BF573D">
        <w:rPr>
          <w:sz w:val="18"/>
        </w:rPr>
        <w:t>’</w:t>
      </w:r>
      <w:r w:rsidRPr="00EA413C">
        <w:rPr>
          <w:sz w:val="18"/>
        </w:rPr>
        <w:t>il est reproduit ou multiplié à l</w:t>
      </w:r>
      <w:r w:rsidR="00BF573D">
        <w:rPr>
          <w:sz w:val="18"/>
        </w:rPr>
        <w:t>’</w:t>
      </w:r>
      <w:r w:rsidRPr="00EA413C">
        <w:rPr>
          <w:sz w:val="18"/>
        </w:rPr>
        <w:t>étranger, peut être récolté pendant une longue période sans que les obtenteurs aient la possibilité d</w:t>
      </w:r>
      <w:r w:rsidR="00BF573D">
        <w:rPr>
          <w:sz w:val="18"/>
        </w:rPr>
        <w:t>’</w:t>
      </w:r>
      <w:r w:rsidRPr="00EA413C">
        <w:rPr>
          <w:sz w:val="18"/>
        </w:rPr>
        <w:t>obtenir une rémunération.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CF4AD4" w:rsidRPr="00EA413C" w:rsidRDefault="005C70A6" w:rsidP="005C70A6">
      <w:pPr>
        <w:ind w:left="567" w:right="459"/>
        <w:rPr>
          <w:sz w:val="18"/>
        </w:rPr>
      </w:pPr>
      <w:r w:rsidRPr="00EA413C">
        <w:rPr>
          <w:sz w:val="18"/>
        </w:rPr>
        <w:t>“23.</w:t>
      </w:r>
      <w:r w:rsidRPr="00EA413C">
        <w:rPr>
          <w:sz w:val="18"/>
        </w:rPr>
        <w:tab/>
        <w:t>Le président a pris note des différents points de vue et interprétations de la notion d</w:t>
      </w:r>
      <w:r w:rsidR="00BF573D">
        <w:rPr>
          <w:sz w:val="18"/>
        </w:rPr>
        <w:t>’</w:t>
      </w:r>
      <w:r w:rsidR="006B017C">
        <w:rPr>
          <w:sz w:val="18"/>
        </w:rPr>
        <w:t>‘</w:t>
      </w:r>
      <w:r w:rsidRPr="00EA413C">
        <w:rPr>
          <w:sz w:val="18"/>
        </w:rPr>
        <w:t>utilisation non autorisée</w:t>
      </w:r>
      <w:r w:rsidR="006B017C">
        <w:rPr>
          <w:sz w:val="18"/>
        </w:rPr>
        <w:t>’</w:t>
      </w:r>
      <w:r w:rsidRPr="00EA413C">
        <w:rPr>
          <w:sz w:val="18"/>
        </w:rPr>
        <w:t xml:space="preserve"> et a fait observer que les notes explicatives actuelles ne reflétaient pas ces différents points de vue et interprétatio</w:t>
      </w:r>
      <w:r w:rsidR="0008317D" w:rsidRPr="00EA413C">
        <w:rPr>
          <w:sz w:val="18"/>
        </w:rPr>
        <w:t>ns</w:t>
      </w:r>
      <w:r w:rsidR="0008317D">
        <w:rPr>
          <w:sz w:val="18"/>
        </w:rPr>
        <w:t xml:space="preserve">.  </w:t>
      </w:r>
      <w:r w:rsidR="0008317D" w:rsidRPr="00EA413C">
        <w:rPr>
          <w:sz w:val="18"/>
        </w:rPr>
        <w:t>Il</w:t>
      </w:r>
      <w:r w:rsidRPr="00EA413C">
        <w:rPr>
          <w:sz w:val="18"/>
        </w:rPr>
        <w:t xml:space="preserve"> a suggéré d</w:t>
      </w:r>
      <w:r w:rsidR="00BF573D">
        <w:rPr>
          <w:sz w:val="18"/>
        </w:rPr>
        <w:t>’</w:t>
      </w:r>
      <w:r w:rsidRPr="00EA413C">
        <w:rPr>
          <w:sz w:val="18"/>
        </w:rPr>
        <w:t>envisager l</w:t>
      </w:r>
      <w:r w:rsidR="00BF573D">
        <w:rPr>
          <w:sz w:val="18"/>
        </w:rPr>
        <w:t>’</w:t>
      </w:r>
      <w:r w:rsidRPr="00EA413C">
        <w:rPr>
          <w:sz w:val="18"/>
        </w:rPr>
        <w:t>inclusion des différentes interprétations d</w:t>
      </w:r>
      <w:r w:rsidR="00BF573D">
        <w:rPr>
          <w:sz w:val="18"/>
        </w:rPr>
        <w:t>’</w:t>
      </w:r>
      <w:r w:rsidRPr="00EA413C">
        <w:rPr>
          <w:sz w:val="18"/>
        </w:rPr>
        <w:t>une manière similaire à la liste des facteurs figurant dans les notes explicatives sur le matériel de reproduction ou de multiplication.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5C70A6" w:rsidRPr="00EA413C" w:rsidRDefault="005C70A6" w:rsidP="005C70A6">
      <w:pPr>
        <w:ind w:left="567" w:right="459"/>
        <w:rPr>
          <w:sz w:val="18"/>
          <w:szCs w:val="18"/>
        </w:rPr>
      </w:pPr>
      <w:r w:rsidRPr="00EA413C">
        <w:rPr>
          <w:sz w:val="18"/>
        </w:rPr>
        <w:lastRenderedPageBreak/>
        <w:t>“24.</w:t>
      </w:r>
      <w:r w:rsidRPr="00EA413C">
        <w:rPr>
          <w:sz w:val="18"/>
        </w:rPr>
        <w:tab/>
        <w:t>La délégation des États</w:t>
      </w:r>
      <w:r w:rsidR="00BF573D">
        <w:rPr>
          <w:sz w:val="18"/>
        </w:rPr>
        <w:t>-</w:t>
      </w:r>
      <w:r w:rsidRPr="00EA413C">
        <w:rPr>
          <w:sz w:val="18"/>
        </w:rPr>
        <w:t>Unis</w:t>
      </w:r>
      <w:r w:rsidR="008D74D3" w:rsidRPr="00EA413C">
        <w:rPr>
          <w:sz w:val="18"/>
        </w:rPr>
        <w:t xml:space="preserve"> </w:t>
      </w:r>
      <w:r w:rsidRPr="00EA413C">
        <w:rPr>
          <w:sz w:val="18"/>
        </w:rPr>
        <w:t>d</w:t>
      </w:r>
      <w:r w:rsidR="00BF573D">
        <w:rPr>
          <w:sz w:val="18"/>
        </w:rPr>
        <w:t>’</w:t>
      </w:r>
      <w:r w:rsidRPr="00EA413C">
        <w:rPr>
          <w:sz w:val="18"/>
        </w:rPr>
        <w:t>Amérique a suggéré qu</w:t>
      </w:r>
      <w:r w:rsidR="00BF573D">
        <w:rPr>
          <w:sz w:val="18"/>
        </w:rPr>
        <w:t>’</w:t>
      </w:r>
      <w:r w:rsidRPr="00EA413C">
        <w:rPr>
          <w:sz w:val="18"/>
        </w:rPr>
        <w:t>il serait utile de disposer d</w:t>
      </w:r>
      <w:r w:rsidR="00BF573D">
        <w:rPr>
          <w:sz w:val="18"/>
        </w:rPr>
        <w:t>’</w:t>
      </w:r>
      <w:r w:rsidRPr="00EA413C">
        <w:rPr>
          <w:sz w:val="18"/>
        </w:rPr>
        <w:t>exemples sur la façon dont les membres du groupe de travail interprètent et appliquent ces dispositions.</w:t>
      </w:r>
    </w:p>
    <w:p w:rsidR="00551703" w:rsidRPr="00EA413C" w:rsidRDefault="00551703" w:rsidP="005C70A6">
      <w:pPr>
        <w:ind w:left="567" w:right="459"/>
        <w:rPr>
          <w:sz w:val="18"/>
          <w:szCs w:val="18"/>
        </w:rPr>
      </w:pPr>
    </w:p>
    <w:p w:rsidR="005C70A6" w:rsidRPr="00EA413C" w:rsidRDefault="005C70A6" w:rsidP="00551703">
      <w:pPr>
        <w:ind w:left="567" w:right="459"/>
        <w:rPr>
          <w:sz w:val="18"/>
          <w:szCs w:val="18"/>
        </w:rPr>
      </w:pPr>
      <w:r w:rsidRPr="00EA413C">
        <w:rPr>
          <w:sz w:val="18"/>
        </w:rPr>
        <w:t>“25.</w:t>
      </w:r>
      <w:r w:rsidRPr="00EA413C">
        <w:rPr>
          <w:sz w:val="18"/>
        </w:rPr>
        <w:tab/>
        <w:t>Les délégations de l</w:t>
      </w:r>
      <w:r w:rsidR="00BF573D">
        <w:rPr>
          <w:sz w:val="18"/>
        </w:rPr>
        <w:t>’</w:t>
      </w:r>
      <w:r w:rsidRPr="00EA413C">
        <w:rPr>
          <w:sz w:val="18"/>
        </w:rPr>
        <w:t>Autriche, des Pays</w:t>
      </w:r>
      <w:r w:rsidR="00BF573D">
        <w:rPr>
          <w:sz w:val="18"/>
        </w:rPr>
        <w:t>-</w:t>
      </w:r>
      <w:r w:rsidRPr="00EA413C">
        <w:rPr>
          <w:sz w:val="18"/>
        </w:rPr>
        <w:t>Bas et de l</w:t>
      </w:r>
      <w:r w:rsidR="00BF573D">
        <w:rPr>
          <w:sz w:val="18"/>
        </w:rPr>
        <w:t>’</w:t>
      </w:r>
      <w:r w:rsidRPr="00EA413C">
        <w:rPr>
          <w:sz w:val="18"/>
        </w:rPr>
        <w:t>Union européenne la Norvège, de la Suisse et de l</w:t>
      </w:r>
      <w:r w:rsidR="00BF573D">
        <w:rPr>
          <w:sz w:val="18"/>
        </w:rPr>
        <w:t>’</w:t>
      </w:r>
      <w:r w:rsidRPr="00EA413C">
        <w:rPr>
          <w:sz w:val="18"/>
        </w:rPr>
        <w:t>Union européenne ont appuyé cette proposition.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5C70A6" w:rsidRPr="00EA413C" w:rsidRDefault="005C70A6" w:rsidP="007502F5">
      <w:pPr>
        <w:keepLines/>
        <w:ind w:left="567" w:right="459"/>
        <w:rPr>
          <w:sz w:val="18"/>
          <w:szCs w:val="18"/>
        </w:rPr>
      </w:pPr>
      <w:r w:rsidRPr="00EA413C">
        <w:rPr>
          <w:sz w:val="18"/>
        </w:rPr>
        <w:t>“26.</w:t>
      </w:r>
      <w:r w:rsidRPr="00EA413C">
        <w:rPr>
          <w:sz w:val="18"/>
        </w:rPr>
        <w:tab/>
        <w:t xml:space="preserve">La délégation du Japon a souligné que, lors de la Conférence diplomatique de révision de la Convention </w:t>
      </w:r>
      <w:r w:rsidR="00CF4AD4" w:rsidRPr="00EA413C">
        <w:rPr>
          <w:sz w:val="18"/>
        </w:rPr>
        <w:t>de 1991</w:t>
      </w:r>
      <w:r w:rsidRPr="00EA413C">
        <w:rPr>
          <w:sz w:val="18"/>
        </w:rPr>
        <w:t>, il avait été proposé de tenir compte de l</w:t>
      </w:r>
      <w:r w:rsidR="00BF573D">
        <w:rPr>
          <w:sz w:val="18"/>
        </w:rPr>
        <w:t>’</w:t>
      </w:r>
      <w:r w:rsidRPr="00EA413C">
        <w:rPr>
          <w:sz w:val="18"/>
        </w:rPr>
        <w:t>utilisation non autorisée de matériel de reproduction ou de multiplication lorsque cette utilisation avait pour but la production de produit de la récol</w:t>
      </w:r>
      <w:r w:rsidR="0008317D" w:rsidRPr="00EA413C">
        <w:rPr>
          <w:sz w:val="18"/>
        </w:rPr>
        <w:t>te</w:t>
      </w:r>
      <w:r w:rsidR="0008317D">
        <w:rPr>
          <w:sz w:val="18"/>
        </w:rPr>
        <w:t xml:space="preserve">.  </w:t>
      </w:r>
      <w:r w:rsidR="0008317D" w:rsidRPr="00EA413C">
        <w:rPr>
          <w:sz w:val="18"/>
        </w:rPr>
        <w:t>El</w:t>
      </w:r>
      <w:r w:rsidRPr="00EA413C">
        <w:rPr>
          <w:sz w:val="18"/>
        </w:rPr>
        <w:t xml:space="preserve">le a également fait observer que cette proposition avait été acceptée sans opposition sérieuse, comme il ressort du </w:t>
      </w:r>
      <w:r w:rsidR="00CF4AD4" w:rsidRPr="00EA413C">
        <w:rPr>
          <w:sz w:val="18"/>
        </w:rPr>
        <w:t>paragraphe 1</w:t>
      </w:r>
      <w:r w:rsidRPr="00EA413C">
        <w:rPr>
          <w:sz w:val="18"/>
        </w:rPr>
        <w:t>532 des Actes de la Conférence diplomatique</w:t>
      </w:r>
      <w:r w:rsidR="00BF573D">
        <w:rPr>
          <w:sz w:val="18"/>
        </w:rPr>
        <w:t> :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8C729D" w:rsidRPr="00EA413C" w:rsidRDefault="008C729D" w:rsidP="00DF4982">
      <w:pPr>
        <w:tabs>
          <w:tab w:val="left" w:pos="1980"/>
        </w:tabs>
        <w:ind w:left="1134" w:right="459"/>
        <w:rPr>
          <w:spacing w:val="-4"/>
          <w:sz w:val="18"/>
          <w:szCs w:val="18"/>
        </w:rPr>
      </w:pPr>
      <w:r>
        <w:rPr>
          <w:sz w:val="18"/>
        </w:rPr>
        <w:t>‘</w:t>
      </w:r>
      <w:r w:rsidRPr="00EA413C">
        <w:rPr>
          <w:sz w:val="18"/>
        </w:rPr>
        <w:t xml:space="preserve">1529.4 </w:t>
      </w:r>
      <w:r w:rsidRPr="00EA413C">
        <w:rPr>
          <w:sz w:val="18"/>
        </w:rPr>
        <w:tab/>
      </w:r>
      <w:r w:rsidR="00DF4982">
        <w:rPr>
          <w:sz w:val="18"/>
        </w:rPr>
        <w:t xml:space="preserve">(…) </w:t>
      </w:r>
      <w:r w:rsidRPr="00EA413C">
        <w:rPr>
          <w:sz w:val="18"/>
        </w:rPr>
        <w:t>S</w:t>
      </w:r>
      <w:r>
        <w:rPr>
          <w:sz w:val="18"/>
        </w:rPr>
        <w:t>’</w:t>
      </w:r>
      <w:r w:rsidRPr="00EA413C">
        <w:rPr>
          <w:sz w:val="18"/>
        </w:rPr>
        <w:t>agissant de l</w:t>
      </w:r>
      <w:r>
        <w:rPr>
          <w:sz w:val="18"/>
        </w:rPr>
        <w:t>’</w:t>
      </w:r>
      <w:r w:rsidRPr="00EA413C">
        <w:rPr>
          <w:sz w:val="18"/>
        </w:rPr>
        <w:t>article 14.1)b), le Groupe de travail a été conscient du fait qu</w:t>
      </w:r>
      <w:r>
        <w:rPr>
          <w:sz w:val="18"/>
        </w:rPr>
        <w:t>’</w:t>
      </w:r>
      <w:r w:rsidRPr="00EA413C">
        <w:rPr>
          <w:sz w:val="18"/>
        </w:rPr>
        <w:t>il a été décidé de supprimer les crochets entourant la dernière clause figurant dans la Proposition de base</w:t>
      </w:r>
      <w:r>
        <w:rPr>
          <w:sz w:val="18"/>
        </w:rPr>
        <w:t xml:space="preserve">.  </w:t>
      </w:r>
      <w:r w:rsidRPr="00EA413C">
        <w:rPr>
          <w:sz w:val="18"/>
        </w:rPr>
        <w:t>C</w:t>
      </w:r>
      <w:r>
        <w:rPr>
          <w:sz w:val="18"/>
        </w:rPr>
        <w:t>’</w:t>
      </w:r>
      <w:r w:rsidRPr="00EA413C">
        <w:rPr>
          <w:sz w:val="18"/>
        </w:rPr>
        <w:t>est pourquoi il propose un système dans lequel le produit de la récolte d</w:t>
      </w:r>
      <w:r>
        <w:rPr>
          <w:sz w:val="18"/>
        </w:rPr>
        <w:t>’</w:t>
      </w:r>
      <w:r w:rsidRPr="00EA413C">
        <w:rPr>
          <w:sz w:val="18"/>
        </w:rPr>
        <w:t>une variété protégée peut donner lieu à perception d</w:t>
      </w:r>
      <w:r>
        <w:rPr>
          <w:sz w:val="18"/>
        </w:rPr>
        <w:t>’</w:t>
      </w:r>
      <w:r w:rsidRPr="00EA413C">
        <w:rPr>
          <w:sz w:val="18"/>
        </w:rPr>
        <w:t>une redevance lorsque deux conditions sont réunies</w:t>
      </w:r>
      <w:r>
        <w:rPr>
          <w:sz w:val="18"/>
        </w:rPr>
        <w:t> :</w:t>
      </w:r>
      <w:r w:rsidRPr="00EA413C">
        <w:rPr>
          <w:sz w:val="18"/>
        </w:rPr>
        <w:t xml:space="preserve"> i) lorsque l</w:t>
      </w:r>
      <w:r>
        <w:rPr>
          <w:sz w:val="18"/>
        </w:rPr>
        <w:t>’</w:t>
      </w:r>
      <w:r w:rsidRPr="00EA413C">
        <w:rPr>
          <w:sz w:val="18"/>
        </w:rPr>
        <w:t>obtenteur n</w:t>
      </w:r>
      <w:r>
        <w:rPr>
          <w:sz w:val="18"/>
        </w:rPr>
        <w:t>’</w:t>
      </w:r>
      <w:r w:rsidRPr="00EA413C">
        <w:rPr>
          <w:sz w:val="18"/>
        </w:rPr>
        <w:t>a pas autorisé l</w:t>
      </w:r>
      <w:r>
        <w:rPr>
          <w:sz w:val="18"/>
        </w:rPr>
        <w:t>’</w:t>
      </w:r>
      <w:r w:rsidRPr="00EA413C">
        <w:rPr>
          <w:sz w:val="18"/>
        </w:rPr>
        <w:t>utilisation du matériel de reproduction ou de multiplication en vue de la production de cette récolte;  et ii) lorsque l</w:t>
      </w:r>
      <w:r>
        <w:rPr>
          <w:sz w:val="18"/>
        </w:rPr>
        <w:t>’</w:t>
      </w:r>
      <w:r w:rsidRPr="00EA413C">
        <w:rPr>
          <w:sz w:val="18"/>
        </w:rPr>
        <w:t>obtenteur n</w:t>
      </w:r>
      <w:r>
        <w:rPr>
          <w:sz w:val="18"/>
        </w:rPr>
        <w:t>’</w:t>
      </w:r>
      <w:r w:rsidRPr="00EA413C">
        <w:rPr>
          <w:sz w:val="18"/>
        </w:rPr>
        <w:t>a pas eu de possibilité raisonnable d</w:t>
      </w:r>
      <w:r>
        <w:rPr>
          <w:sz w:val="18"/>
        </w:rPr>
        <w:t>’</w:t>
      </w:r>
      <w:r w:rsidRPr="00EA413C">
        <w:rPr>
          <w:sz w:val="18"/>
        </w:rPr>
        <w:t>exercer son droit en relation avec le matériel de rep</w:t>
      </w:r>
      <w:r>
        <w:rPr>
          <w:sz w:val="18"/>
        </w:rPr>
        <w:t>roduction ou de multiplication.</w:t>
      </w:r>
    </w:p>
    <w:p w:rsidR="008C729D" w:rsidRPr="00EA413C" w:rsidRDefault="008C729D" w:rsidP="008C729D">
      <w:pPr>
        <w:ind w:left="1134" w:right="459"/>
        <w:jc w:val="left"/>
        <w:rPr>
          <w:sz w:val="18"/>
          <w:szCs w:val="18"/>
        </w:rPr>
      </w:pPr>
    </w:p>
    <w:p w:rsidR="008C729D" w:rsidRPr="00EA413C" w:rsidRDefault="008C729D" w:rsidP="008C729D">
      <w:pPr>
        <w:ind w:left="1134" w:right="459"/>
        <w:jc w:val="left"/>
        <w:rPr>
          <w:sz w:val="18"/>
          <w:szCs w:val="18"/>
        </w:rPr>
      </w:pPr>
      <w:r>
        <w:rPr>
          <w:sz w:val="18"/>
        </w:rPr>
        <w:t>‘</w:t>
      </w:r>
      <w:r w:rsidRPr="00EA413C">
        <w:rPr>
          <w:sz w:val="18"/>
        </w:rPr>
        <w:t>[…]</w:t>
      </w:r>
    </w:p>
    <w:p w:rsidR="008C729D" w:rsidRPr="00EA413C" w:rsidRDefault="008C729D" w:rsidP="008C729D">
      <w:pPr>
        <w:ind w:left="1134" w:right="459"/>
        <w:jc w:val="left"/>
        <w:rPr>
          <w:sz w:val="18"/>
          <w:szCs w:val="18"/>
        </w:rPr>
      </w:pPr>
    </w:p>
    <w:p w:rsidR="008C729D" w:rsidRPr="00EA413C" w:rsidRDefault="008C729D" w:rsidP="00DF4982">
      <w:pPr>
        <w:tabs>
          <w:tab w:val="left" w:pos="1980"/>
        </w:tabs>
        <w:ind w:left="1134" w:right="459"/>
        <w:jc w:val="left"/>
        <w:rPr>
          <w:sz w:val="18"/>
          <w:szCs w:val="18"/>
        </w:rPr>
      </w:pPr>
      <w:r>
        <w:rPr>
          <w:sz w:val="18"/>
        </w:rPr>
        <w:t>‘</w:t>
      </w:r>
      <w:r w:rsidRPr="00EA413C">
        <w:rPr>
          <w:sz w:val="18"/>
        </w:rPr>
        <w:t>1543.</w:t>
      </w:r>
      <w:r w:rsidRPr="00EA413C">
        <w:rPr>
          <w:sz w:val="18"/>
        </w:rPr>
        <w:tab/>
        <w:t>Le PR</w:t>
      </w:r>
      <w:r>
        <w:rPr>
          <w:sz w:val="18"/>
        </w:rPr>
        <w:t>É</w:t>
      </w:r>
      <w:r w:rsidRPr="00EA413C">
        <w:rPr>
          <w:sz w:val="18"/>
        </w:rPr>
        <w:t>SIDENT relève qu</w:t>
      </w:r>
      <w:r>
        <w:rPr>
          <w:sz w:val="18"/>
        </w:rPr>
        <w:t>’</w:t>
      </w:r>
      <w:r w:rsidRPr="00EA413C">
        <w:rPr>
          <w:sz w:val="18"/>
        </w:rPr>
        <w:t>il n</w:t>
      </w:r>
      <w:r>
        <w:rPr>
          <w:sz w:val="18"/>
        </w:rPr>
        <w:t>’</w:t>
      </w:r>
      <w:r w:rsidRPr="00EA413C">
        <w:rPr>
          <w:sz w:val="18"/>
        </w:rPr>
        <w:t>y a pas d</w:t>
      </w:r>
      <w:r>
        <w:rPr>
          <w:sz w:val="18"/>
        </w:rPr>
        <w:t>’</w:t>
      </w:r>
      <w:r w:rsidRPr="00EA413C">
        <w:rPr>
          <w:sz w:val="18"/>
        </w:rPr>
        <w:t>opposition sérieuse à la proposition</w:t>
      </w:r>
      <w:r>
        <w:rPr>
          <w:sz w:val="18"/>
        </w:rPr>
        <w:t xml:space="preserve">.  </w:t>
      </w:r>
      <w:r w:rsidRPr="00EA413C">
        <w:rPr>
          <w:sz w:val="18"/>
        </w:rPr>
        <w:t>Il conclut qu</w:t>
      </w:r>
      <w:r>
        <w:rPr>
          <w:sz w:val="18"/>
        </w:rPr>
        <w:t>’</w:t>
      </w:r>
      <w:r w:rsidRPr="00EA413C">
        <w:rPr>
          <w:sz w:val="18"/>
        </w:rPr>
        <w:t>elle est par conséquent acceptée</w:t>
      </w:r>
      <w:r>
        <w:rPr>
          <w:sz w:val="18"/>
        </w:rPr>
        <w:t xml:space="preserve">.  </w:t>
      </w:r>
      <w:r w:rsidRPr="00EA413C">
        <w:rPr>
          <w:sz w:val="18"/>
        </w:rPr>
        <w:t>Il remercie le Groupe de travail et son Président, M. Harvey (Royaume</w:t>
      </w:r>
      <w:r>
        <w:rPr>
          <w:sz w:val="18"/>
        </w:rPr>
        <w:t>-</w:t>
      </w:r>
      <w:r w:rsidRPr="00EA413C">
        <w:rPr>
          <w:sz w:val="18"/>
        </w:rPr>
        <w:t>Uni).</w:t>
      </w:r>
      <w:r>
        <w:rPr>
          <w:sz w:val="18"/>
        </w:rPr>
        <w:t>’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5C70A6" w:rsidRPr="00EA413C" w:rsidRDefault="006B017C" w:rsidP="008C729D">
      <w:pPr>
        <w:ind w:left="567" w:right="459" w:firstLine="567"/>
        <w:rPr>
          <w:sz w:val="18"/>
          <w:szCs w:val="18"/>
        </w:rPr>
      </w:pPr>
      <w:r>
        <w:rPr>
          <w:sz w:val="18"/>
        </w:rPr>
        <w:t>“</w:t>
      </w:r>
      <w:r w:rsidR="005C70A6" w:rsidRPr="00EA413C">
        <w:rPr>
          <w:sz w:val="18"/>
        </w:rPr>
        <w:t xml:space="preserve">(voir les </w:t>
      </w:r>
      <w:r w:rsidR="00CF4AD4" w:rsidRPr="00EA413C">
        <w:rPr>
          <w:sz w:val="18"/>
        </w:rPr>
        <w:t>pages 5</w:t>
      </w:r>
      <w:r w:rsidR="005C70A6" w:rsidRPr="00EA413C">
        <w:rPr>
          <w:sz w:val="18"/>
        </w:rPr>
        <w:t>9 et 60 de l</w:t>
      </w:r>
      <w:r w:rsidR="00BF573D">
        <w:rPr>
          <w:sz w:val="18"/>
        </w:rPr>
        <w:t>’</w:t>
      </w:r>
      <w:r w:rsidR="005C70A6" w:rsidRPr="00EA413C">
        <w:rPr>
          <w:sz w:val="18"/>
        </w:rPr>
        <w:t>annexe du document WG</w:t>
      </w:r>
      <w:r w:rsidR="00BF573D">
        <w:rPr>
          <w:sz w:val="18"/>
        </w:rPr>
        <w:t>-</w:t>
      </w:r>
      <w:r w:rsidR="005C70A6" w:rsidRPr="00EA413C">
        <w:rPr>
          <w:sz w:val="18"/>
        </w:rPr>
        <w:t>H</w:t>
      </w:r>
      <w:r w:rsidR="005C70A6" w:rsidRPr="008C729D">
        <w:rPr>
          <w:sz w:val="18"/>
        </w:rPr>
        <w:t>RV/2/2).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CF4AD4" w:rsidRPr="00810EE9" w:rsidRDefault="005C70A6" w:rsidP="005C70A6">
      <w:pPr>
        <w:ind w:left="567" w:right="459"/>
        <w:rPr>
          <w:sz w:val="18"/>
        </w:rPr>
      </w:pPr>
      <w:r w:rsidRPr="00810EE9">
        <w:rPr>
          <w:sz w:val="18"/>
        </w:rPr>
        <w:t>“27.</w:t>
      </w:r>
      <w:r w:rsidRPr="00810EE9">
        <w:rPr>
          <w:sz w:val="18"/>
        </w:rPr>
        <w:tab/>
        <w:t>Compte tenu de ce qui précède, la délégation du Japon a suggéré que la plantation et la culture en continu soient incluses dans l</w:t>
      </w:r>
      <w:r w:rsidR="00BF573D" w:rsidRPr="00810EE9">
        <w:rPr>
          <w:sz w:val="18"/>
        </w:rPr>
        <w:t>’</w:t>
      </w:r>
      <w:r w:rsidRPr="00810EE9">
        <w:rPr>
          <w:sz w:val="18"/>
        </w:rPr>
        <w:t>interprétation de l</w:t>
      </w:r>
      <w:r w:rsidR="00BF573D" w:rsidRPr="00810EE9">
        <w:rPr>
          <w:sz w:val="18"/>
        </w:rPr>
        <w:t>’</w:t>
      </w:r>
      <w:r w:rsidR="006B017C" w:rsidRPr="00810EE9">
        <w:rPr>
          <w:sz w:val="18"/>
        </w:rPr>
        <w:t>expression ‘utilisation non autorisée’</w:t>
      </w:r>
      <w:r w:rsidRPr="00810EE9">
        <w:rPr>
          <w:sz w:val="18"/>
        </w:rPr>
        <w:t xml:space="preserve"> qui figure dans les notes explicatives.</w:t>
      </w:r>
    </w:p>
    <w:p w:rsidR="005C70A6" w:rsidRPr="00810EE9" w:rsidRDefault="005C70A6" w:rsidP="005C70A6">
      <w:pPr>
        <w:ind w:left="567" w:right="459"/>
        <w:rPr>
          <w:spacing w:val="-2"/>
          <w:sz w:val="18"/>
          <w:szCs w:val="18"/>
        </w:rPr>
      </w:pPr>
    </w:p>
    <w:p w:rsidR="005C70A6" w:rsidRPr="00810EE9" w:rsidRDefault="005C70A6" w:rsidP="005C70A6">
      <w:pPr>
        <w:ind w:left="567" w:right="459"/>
        <w:rPr>
          <w:sz w:val="18"/>
          <w:szCs w:val="18"/>
        </w:rPr>
      </w:pPr>
      <w:r w:rsidRPr="00810EE9">
        <w:rPr>
          <w:sz w:val="18"/>
        </w:rPr>
        <w:t>“28.</w:t>
      </w:r>
      <w:r w:rsidRPr="00810EE9">
        <w:rPr>
          <w:sz w:val="18"/>
        </w:rPr>
        <w:tab/>
        <w:t xml:space="preserve">Le représentant de </w:t>
      </w:r>
      <w:r w:rsidRPr="00FA7748">
        <w:rPr>
          <w:i/>
          <w:sz w:val="18"/>
        </w:rPr>
        <w:t>CropLife International</w:t>
      </w:r>
      <w:r w:rsidRPr="00810EE9">
        <w:rPr>
          <w:sz w:val="18"/>
        </w:rPr>
        <w:t>, tout en soutenant l</w:t>
      </w:r>
      <w:r w:rsidR="00BF573D" w:rsidRPr="00810EE9">
        <w:rPr>
          <w:sz w:val="18"/>
        </w:rPr>
        <w:t>’</w:t>
      </w:r>
      <w:r w:rsidRPr="00810EE9">
        <w:rPr>
          <w:sz w:val="18"/>
        </w:rPr>
        <w:t>intervention de la délégation du Japon, était d</w:t>
      </w:r>
      <w:r w:rsidR="00BF573D" w:rsidRPr="00810EE9">
        <w:rPr>
          <w:sz w:val="18"/>
        </w:rPr>
        <w:t>’</w:t>
      </w:r>
      <w:r w:rsidRPr="00810EE9">
        <w:rPr>
          <w:sz w:val="18"/>
        </w:rPr>
        <w:t xml:space="preserve">avis que la </w:t>
      </w:r>
      <w:r w:rsidR="006B017C" w:rsidRPr="00810EE9">
        <w:rPr>
          <w:sz w:val="18"/>
        </w:rPr>
        <w:t>‘culture’</w:t>
      </w:r>
      <w:r w:rsidRPr="00810EE9">
        <w:rPr>
          <w:sz w:val="18"/>
        </w:rPr>
        <w:t xml:space="preserve"> non autorisée devait être interprétée comme une utilisation non autorisée au sens de l</w:t>
      </w:r>
      <w:r w:rsidR="00BF573D" w:rsidRPr="00810EE9">
        <w:rPr>
          <w:sz w:val="18"/>
        </w:rPr>
        <w:t>’</w:t>
      </w:r>
      <w:r w:rsidR="00CF4AD4" w:rsidRPr="00810EE9">
        <w:rPr>
          <w:sz w:val="18"/>
        </w:rPr>
        <w:t>article 1</w:t>
      </w:r>
      <w:r w:rsidRPr="00810EE9">
        <w:rPr>
          <w:sz w:val="18"/>
        </w:rPr>
        <w:t xml:space="preserve">4.2) et comme </w:t>
      </w:r>
      <w:r w:rsidR="006B017C" w:rsidRPr="00810EE9">
        <w:rPr>
          <w:sz w:val="18"/>
        </w:rPr>
        <w:t>faisant partie de la notion de ‘</w:t>
      </w:r>
      <w:r w:rsidRPr="00810EE9">
        <w:rPr>
          <w:sz w:val="18"/>
        </w:rPr>
        <w:t>production</w:t>
      </w:r>
      <w:r w:rsidR="006B017C" w:rsidRPr="00810EE9">
        <w:rPr>
          <w:sz w:val="18"/>
        </w:rPr>
        <w:t>’</w:t>
      </w:r>
      <w:r w:rsidRPr="00810EE9">
        <w:rPr>
          <w:sz w:val="18"/>
        </w:rPr>
        <w:t xml:space="preserve"> au sens de l</w:t>
      </w:r>
      <w:r w:rsidR="00BF573D" w:rsidRPr="00810EE9">
        <w:rPr>
          <w:sz w:val="18"/>
        </w:rPr>
        <w:t>’</w:t>
      </w:r>
      <w:r w:rsidR="00CF4AD4" w:rsidRPr="00810EE9">
        <w:rPr>
          <w:sz w:val="18"/>
        </w:rPr>
        <w:t>article 1</w:t>
      </w:r>
      <w:r w:rsidRPr="00810EE9">
        <w:rPr>
          <w:sz w:val="18"/>
        </w:rPr>
        <w:t>4.1) de l</w:t>
      </w:r>
      <w:r w:rsidR="00BF573D" w:rsidRPr="00810EE9">
        <w:rPr>
          <w:sz w:val="18"/>
        </w:rPr>
        <w:t>’</w:t>
      </w:r>
      <w:r w:rsidRPr="00810EE9">
        <w:rPr>
          <w:sz w:val="18"/>
        </w:rPr>
        <w:t xml:space="preserve">Acte </w:t>
      </w:r>
      <w:r w:rsidR="00CF4AD4" w:rsidRPr="00810EE9">
        <w:rPr>
          <w:sz w:val="18"/>
        </w:rPr>
        <w:t>de 1991</w:t>
      </w:r>
      <w:r w:rsidRPr="00810EE9">
        <w:rPr>
          <w:sz w:val="18"/>
        </w:rPr>
        <w:t>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5C70A6" w:rsidRPr="00EA413C" w:rsidRDefault="005C70A6" w:rsidP="005C70A6">
      <w:pPr>
        <w:spacing w:after="240"/>
        <w:ind w:left="567" w:right="459"/>
        <w:rPr>
          <w:sz w:val="18"/>
          <w:szCs w:val="18"/>
        </w:rPr>
      </w:pPr>
      <w:r w:rsidRPr="00EA413C">
        <w:rPr>
          <w:sz w:val="18"/>
        </w:rPr>
        <w:t>“29.</w:t>
      </w:r>
      <w:r w:rsidRPr="00EA413C">
        <w:rPr>
          <w:sz w:val="18"/>
        </w:rPr>
        <w:tab/>
        <w:t>Le président a noté que la référence à la Conférence diplomatique pourrait être utile pour expliquer la raison de l</w:t>
      </w:r>
      <w:r w:rsidR="00BF573D">
        <w:rPr>
          <w:sz w:val="18"/>
        </w:rPr>
        <w:t>’</w:t>
      </w:r>
      <w:r w:rsidRPr="00EA413C">
        <w:rPr>
          <w:sz w:val="18"/>
        </w:rPr>
        <w:t>introduction des nouveaux points de vue présentés par certains membres de l</w:t>
      </w:r>
      <w:r w:rsidR="00BF573D">
        <w:rPr>
          <w:sz w:val="18"/>
        </w:rPr>
        <w:t>’</w:t>
      </w:r>
      <w:r w:rsidRPr="00EA413C">
        <w:rPr>
          <w:sz w:val="18"/>
        </w:rPr>
        <w:t>Union qui n</w:t>
      </w:r>
      <w:r w:rsidR="00BF573D">
        <w:rPr>
          <w:sz w:val="18"/>
        </w:rPr>
        <w:t>’</w:t>
      </w:r>
      <w:r w:rsidRPr="00EA413C">
        <w:rPr>
          <w:sz w:val="18"/>
        </w:rPr>
        <w:t>étaient pas reflétés dans les notes explicatives actuelles.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  <w:r w:rsidRPr="00EA413C">
        <w:rPr>
          <w:sz w:val="18"/>
        </w:rPr>
        <w:t>“30.</w:t>
      </w:r>
      <w:r w:rsidRPr="00EA413C">
        <w:rPr>
          <w:sz w:val="18"/>
        </w:rPr>
        <w:tab/>
        <w:t>La délégation des Pays</w:t>
      </w:r>
      <w:r w:rsidR="00BF573D">
        <w:rPr>
          <w:sz w:val="18"/>
        </w:rPr>
        <w:t>-</w:t>
      </w:r>
      <w:r w:rsidRPr="00EA413C">
        <w:rPr>
          <w:sz w:val="18"/>
        </w:rPr>
        <w:t>Bas s</w:t>
      </w:r>
      <w:r w:rsidR="00BF573D">
        <w:rPr>
          <w:sz w:val="18"/>
        </w:rPr>
        <w:t>’</w:t>
      </w:r>
      <w:r w:rsidRPr="00EA413C">
        <w:rPr>
          <w:sz w:val="18"/>
        </w:rPr>
        <w:t xml:space="preserve">est dite favorable à ce que les travaux ultérieurs portent sur les questions pertinentes concernant la notion de </w:t>
      </w:r>
      <w:r w:rsidR="006B017C">
        <w:rPr>
          <w:sz w:val="18"/>
        </w:rPr>
        <w:t>‘consentement’</w:t>
      </w:r>
      <w:r w:rsidRPr="00EA413C">
        <w:rPr>
          <w:sz w:val="18"/>
        </w:rPr>
        <w:t xml:space="preserve"> dans le cadre de l</w:t>
      </w:r>
      <w:r w:rsidR="00BF573D">
        <w:rPr>
          <w:sz w:val="18"/>
        </w:rPr>
        <w:t>’</w:t>
      </w:r>
      <w:r w:rsidRPr="00EA413C">
        <w:rPr>
          <w:sz w:val="18"/>
        </w:rPr>
        <w:t>épuisement du droit d</w:t>
      </w:r>
      <w:r w:rsidR="00BF573D">
        <w:rPr>
          <w:sz w:val="18"/>
        </w:rPr>
        <w:t>’</w:t>
      </w:r>
      <w:r w:rsidRPr="00EA413C">
        <w:rPr>
          <w:sz w:val="18"/>
        </w:rPr>
        <w:t>obtenteur à l</w:t>
      </w:r>
      <w:r w:rsidR="00BF573D">
        <w:rPr>
          <w:sz w:val="18"/>
        </w:rPr>
        <w:t>’</w:t>
      </w:r>
      <w:r w:rsidR="00CF4AD4" w:rsidRPr="00EA413C">
        <w:rPr>
          <w:sz w:val="18"/>
        </w:rPr>
        <w:t>article 1</w:t>
      </w:r>
      <w:r w:rsidRPr="00EA413C">
        <w:rPr>
          <w:sz w:val="18"/>
        </w:rPr>
        <w:t>6 de l</w:t>
      </w:r>
      <w:r w:rsidR="00BF573D">
        <w:rPr>
          <w:sz w:val="18"/>
        </w:rPr>
        <w:t>’</w:t>
      </w:r>
      <w:r w:rsidRPr="00EA413C">
        <w:rPr>
          <w:sz w:val="18"/>
        </w:rPr>
        <w:t xml:space="preserve">Acte </w:t>
      </w:r>
      <w:r w:rsidR="00CF4AD4" w:rsidRPr="00EA413C">
        <w:rPr>
          <w:sz w:val="18"/>
        </w:rPr>
        <w:t>de 1991</w:t>
      </w:r>
      <w:r w:rsidRPr="00EA413C">
        <w:rPr>
          <w:sz w:val="18"/>
        </w:rPr>
        <w:t>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5C70A6" w:rsidRPr="00EA413C" w:rsidRDefault="005C70A6" w:rsidP="005C70A6">
      <w:pPr>
        <w:ind w:left="567" w:right="459"/>
        <w:rPr>
          <w:sz w:val="18"/>
          <w:szCs w:val="18"/>
        </w:rPr>
      </w:pPr>
      <w:r w:rsidRPr="00EA413C">
        <w:rPr>
          <w:sz w:val="18"/>
        </w:rPr>
        <w:t>“31.</w:t>
      </w:r>
      <w:r w:rsidRPr="00EA413C">
        <w:rPr>
          <w:sz w:val="18"/>
        </w:rPr>
        <w:tab/>
        <w:t>La délégation de la République de Corée s</w:t>
      </w:r>
      <w:r w:rsidR="00BF573D">
        <w:rPr>
          <w:sz w:val="18"/>
        </w:rPr>
        <w:t>’</w:t>
      </w:r>
      <w:r w:rsidRPr="00EA413C">
        <w:rPr>
          <w:sz w:val="18"/>
        </w:rPr>
        <w:t>est dite préoccupée par l</w:t>
      </w:r>
      <w:r w:rsidR="00BF573D">
        <w:rPr>
          <w:sz w:val="18"/>
        </w:rPr>
        <w:t>’</w:t>
      </w:r>
      <w:r w:rsidRPr="00EA413C">
        <w:rPr>
          <w:sz w:val="18"/>
        </w:rPr>
        <w:t xml:space="preserve">élargissement du terme </w:t>
      </w:r>
      <w:r w:rsidR="006B017C">
        <w:rPr>
          <w:sz w:val="18"/>
        </w:rPr>
        <w:t>‘</w:t>
      </w:r>
      <w:r w:rsidRPr="00EA413C">
        <w:rPr>
          <w:sz w:val="18"/>
        </w:rPr>
        <w:t>autorisation</w:t>
      </w:r>
      <w:r w:rsidR="006B017C">
        <w:rPr>
          <w:sz w:val="18"/>
        </w:rPr>
        <w:t>’</w:t>
      </w:r>
      <w:r w:rsidRPr="00EA413C">
        <w:rPr>
          <w:sz w:val="18"/>
        </w:rPr>
        <w:t xml:space="preserve"> en dehors du territoire.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5C70A6" w:rsidRPr="00EA413C" w:rsidRDefault="005C70A6" w:rsidP="005C70A6">
      <w:pPr>
        <w:ind w:left="567" w:right="459"/>
        <w:rPr>
          <w:sz w:val="18"/>
          <w:szCs w:val="18"/>
        </w:rPr>
      </w:pPr>
      <w:r w:rsidRPr="00EA413C">
        <w:rPr>
          <w:sz w:val="18"/>
        </w:rPr>
        <w:t>“32.</w:t>
      </w:r>
      <w:r w:rsidRPr="00EA413C">
        <w:rPr>
          <w:sz w:val="18"/>
        </w:rPr>
        <w:tab/>
        <w:t>La délégation du Japon a confirmé l</w:t>
      </w:r>
      <w:r w:rsidR="00BF573D">
        <w:rPr>
          <w:sz w:val="18"/>
        </w:rPr>
        <w:t>’</w:t>
      </w:r>
      <w:r w:rsidRPr="00EA413C">
        <w:rPr>
          <w:sz w:val="18"/>
        </w:rPr>
        <w:t>interprétation selon laquelle le droit devait être exercé sur le territoire où il existait.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CF4AD4" w:rsidRPr="00EA413C" w:rsidRDefault="005C70A6" w:rsidP="005C70A6">
      <w:pPr>
        <w:ind w:left="567" w:right="459"/>
        <w:rPr>
          <w:sz w:val="18"/>
        </w:rPr>
      </w:pPr>
      <w:r w:rsidRPr="00EA413C">
        <w:rPr>
          <w:sz w:val="18"/>
        </w:rPr>
        <w:t>“33.</w:t>
      </w:r>
      <w:r w:rsidRPr="00EA413C">
        <w:rPr>
          <w:sz w:val="18"/>
        </w:rPr>
        <w:tab/>
        <w:t>Le WG</w:t>
      </w:r>
      <w:r w:rsidR="00BF573D">
        <w:rPr>
          <w:sz w:val="18"/>
        </w:rPr>
        <w:t>-</w:t>
      </w:r>
      <w:r w:rsidRPr="00EA413C">
        <w:rPr>
          <w:sz w:val="18"/>
        </w:rPr>
        <w:t>HRV a demandé au Bureau de l</w:t>
      </w:r>
      <w:r w:rsidR="00BF573D">
        <w:rPr>
          <w:sz w:val="18"/>
        </w:rPr>
        <w:t>’</w:t>
      </w:r>
      <w:r w:rsidRPr="00EA413C">
        <w:rPr>
          <w:sz w:val="18"/>
        </w:rPr>
        <w:t>Union d</w:t>
      </w:r>
      <w:r w:rsidR="00BF573D">
        <w:rPr>
          <w:sz w:val="18"/>
        </w:rPr>
        <w:t>’</w:t>
      </w:r>
      <w:r w:rsidRPr="00EA413C">
        <w:rPr>
          <w:sz w:val="18"/>
        </w:rPr>
        <w:t>établir un document qui expliquerait les différents points de vue sur l</w:t>
      </w:r>
      <w:r w:rsidR="00BF573D">
        <w:rPr>
          <w:sz w:val="18"/>
        </w:rPr>
        <w:t>’</w:t>
      </w:r>
      <w:r w:rsidRPr="00EA413C">
        <w:rPr>
          <w:sz w:val="18"/>
        </w:rPr>
        <w:t>utilisation non autoris</w:t>
      </w:r>
      <w:r w:rsidR="0008317D" w:rsidRPr="00EA413C">
        <w:rPr>
          <w:sz w:val="18"/>
        </w:rPr>
        <w:t>ée</w:t>
      </w:r>
      <w:r w:rsidR="0008317D">
        <w:rPr>
          <w:sz w:val="18"/>
        </w:rPr>
        <w:t xml:space="preserve">.  </w:t>
      </w:r>
      <w:r w:rsidR="0008317D" w:rsidRPr="00EA413C">
        <w:rPr>
          <w:sz w:val="18"/>
        </w:rPr>
        <w:t>Le</w:t>
      </w:r>
      <w:r w:rsidRPr="00EA413C">
        <w:rPr>
          <w:sz w:val="18"/>
        </w:rPr>
        <w:t xml:space="preserve"> WG</w:t>
      </w:r>
      <w:r w:rsidR="00BF573D">
        <w:rPr>
          <w:sz w:val="18"/>
        </w:rPr>
        <w:t>-</w:t>
      </w:r>
      <w:r w:rsidRPr="00EA413C">
        <w:rPr>
          <w:sz w:val="18"/>
        </w:rPr>
        <w:t>HRV est convenu que ses membres fourniraient des exemples de leur interprétation de ces dispositions et de l</w:t>
      </w:r>
      <w:r w:rsidR="00BF573D">
        <w:rPr>
          <w:sz w:val="18"/>
        </w:rPr>
        <w:t>’</w:t>
      </w:r>
      <w:r w:rsidRPr="00EA413C">
        <w:rPr>
          <w:sz w:val="18"/>
        </w:rPr>
        <w:t>incidence de cette interprétation sur la faculté des obtenteurs à exercer leurs droits sur le territoire.</w:t>
      </w:r>
    </w:p>
    <w:p w:rsidR="005C70A6" w:rsidRPr="00EA413C" w:rsidRDefault="005C70A6" w:rsidP="005C70A6">
      <w:pPr>
        <w:ind w:left="567" w:right="459"/>
        <w:rPr>
          <w:sz w:val="18"/>
          <w:szCs w:val="18"/>
        </w:rPr>
      </w:pPr>
    </w:p>
    <w:p w:rsidR="005C70A6" w:rsidRPr="00EA413C" w:rsidRDefault="005C70A6" w:rsidP="005C70A6">
      <w:pPr>
        <w:ind w:left="567" w:right="459"/>
        <w:rPr>
          <w:sz w:val="18"/>
          <w:szCs w:val="18"/>
        </w:rPr>
      </w:pPr>
      <w:r w:rsidRPr="00EA413C">
        <w:rPr>
          <w:sz w:val="18"/>
        </w:rPr>
        <w:t>“34.</w:t>
      </w:r>
      <w:r w:rsidRPr="00EA413C">
        <w:rPr>
          <w:sz w:val="18"/>
        </w:rPr>
        <w:tab/>
        <w:t>Le WG</w:t>
      </w:r>
      <w:r w:rsidR="00BF573D">
        <w:rPr>
          <w:sz w:val="18"/>
        </w:rPr>
        <w:t>-</w:t>
      </w:r>
      <w:r w:rsidRPr="00EA413C">
        <w:rPr>
          <w:sz w:val="18"/>
        </w:rPr>
        <w:t xml:space="preserve">HRV est convenu de reporter les délibérations sur la </w:t>
      </w:r>
      <w:r w:rsidR="00CF4AD4" w:rsidRPr="00EA413C">
        <w:rPr>
          <w:sz w:val="18"/>
        </w:rPr>
        <w:t>section d)</w:t>
      </w:r>
      <w:r w:rsidRPr="00EA413C">
        <w:rPr>
          <w:sz w:val="18"/>
        </w:rPr>
        <w:t xml:space="preserve"> de l</w:t>
      </w:r>
      <w:r w:rsidR="00BF573D">
        <w:rPr>
          <w:sz w:val="18"/>
        </w:rPr>
        <w:t>’</w:t>
      </w:r>
      <w:r w:rsidRPr="00EA413C">
        <w:rPr>
          <w:sz w:val="18"/>
        </w:rPr>
        <w:t>annexe du document WG</w:t>
      </w:r>
      <w:r w:rsidR="00FA7748">
        <w:rPr>
          <w:sz w:val="18"/>
        </w:rPr>
        <w:noBreakHyphen/>
      </w:r>
      <w:r w:rsidR="006B017C">
        <w:rPr>
          <w:sz w:val="18"/>
        </w:rPr>
        <w:t>HRV/1/4, intitulée ‘</w:t>
      </w:r>
      <w:r w:rsidRPr="00EA413C">
        <w:rPr>
          <w:sz w:val="18"/>
        </w:rPr>
        <w:t>Pouvoir exercer raisonnablement son droit</w:t>
      </w:r>
      <w:r w:rsidR="006B017C">
        <w:rPr>
          <w:sz w:val="18"/>
        </w:rPr>
        <w:t>’</w:t>
      </w:r>
      <w:r w:rsidRPr="00EA413C">
        <w:rPr>
          <w:sz w:val="18"/>
        </w:rPr>
        <w:t>, jusqu</w:t>
      </w:r>
      <w:r w:rsidR="00BF573D">
        <w:rPr>
          <w:sz w:val="18"/>
        </w:rPr>
        <w:t>’</w:t>
      </w:r>
      <w:r w:rsidRPr="00EA413C">
        <w:rPr>
          <w:sz w:val="18"/>
        </w:rPr>
        <w:t xml:space="preserve">à ce que les travaux sur la </w:t>
      </w:r>
      <w:r w:rsidR="00CF4AD4" w:rsidRPr="00EA413C">
        <w:rPr>
          <w:sz w:val="18"/>
        </w:rPr>
        <w:t>section c)</w:t>
      </w:r>
      <w:r w:rsidR="006B017C">
        <w:rPr>
          <w:sz w:val="18"/>
        </w:rPr>
        <w:t>, intitulée ‘</w:t>
      </w:r>
      <w:r w:rsidRPr="00EA413C">
        <w:rPr>
          <w:sz w:val="18"/>
        </w:rPr>
        <w:t>Utilisation non autorisée de matériel de reproduction ou de multiplication</w:t>
      </w:r>
      <w:r w:rsidR="006B017C">
        <w:rPr>
          <w:sz w:val="18"/>
        </w:rPr>
        <w:t>’</w:t>
      </w:r>
      <w:r w:rsidRPr="00EA413C">
        <w:rPr>
          <w:sz w:val="18"/>
        </w:rPr>
        <w:t>, comme indiqué ci</w:t>
      </w:r>
      <w:r w:rsidR="00BF573D">
        <w:rPr>
          <w:sz w:val="18"/>
        </w:rPr>
        <w:t>-</w:t>
      </w:r>
      <w:r w:rsidRPr="00EA413C">
        <w:rPr>
          <w:sz w:val="18"/>
        </w:rPr>
        <w:t>dessus, soient terminés.”</w:t>
      </w:r>
    </w:p>
    <w:p w:rsidR="00A36805" w:rsidRPr="00EA413C" w:rsidRDefault="00A36805" w:rsidP="00A36805">
      <w:pPr>
        <w:rPr>
          <w:rFonts w:cs="Arial"/>
        </w:rPr>
      </w:pPr>
    </w:p>
    <w:p w:rsidR="00D36D1E" w:rsidRPr="00EA413C" w:rsidRDefault="00D36D1E" w:rsidP="006B017C">
      <w:pPr>
        <w:keepNext/>
        <w:rPr>
          <w:rFonts w:cs="Arial"/>
        </w:rPr>
      </w:pPr>
      <w:r w:rsidRPr="00EA413C">
        <w:rPr>
          <w:rFonts w:cs="Arial"/>
        </w:rPr>
        <w:lastRenderedPageBreak/>
        <w:fldChar w:fldCharType="begin"/>
      </w:r>
      <w:r w:rsidRPr="00EA413C">
        <w:rPr>
          <w:rFonts w:cs="Arial"/>
        </w:rPr>
        <w:instrText xml:space="preserve"> AUTONUM  </w:instrText>
      </w:r>
      <w:r w:rsidRPr="00EA413C">
        <w:rPr>
          <w:rFonts w:cs="Arial"/>
        </w:rPr>
        <w:fldChar w:fldCharType="end"/>
      </w:r>
      <w:r w:rsidRPr="00EA413C">
        <w:tab/>
        <w:t>Compte tenu de ce qui précède, le WG</w:t>
      </w:r>
      <w:r w:rsidR="00BF573D">
        <w:t>-</w:t>
      </w:r>
      <w:r w:rsidRPr="00EA413C">
        <w:t xml:space="preserve"> HRV pourrait examiner l</w:t>
      </w:r>
      <w:r w:rsidR="00BF573D">
        <w:t>’</w:t>
      </w:r>
      <w:r w:rsidRPr="00EA413C">
        <w:t>approche ci</w:t>
      </w:r>
      <w:r w:rsidR="00BF573D">
        <w:t>-</w:t>
      </w:r>
      <w:r w:rsidRPr="00EA413C">
        <w:t>après pour couvrir les différents points de vue et interprétations en ce qui concerne la notion d</w:t>
      </w:r>
      <w:r w:rsidR="00BF573D">
        <w:t>’</w:t>
      </w:r>
      <w:r w:rsidRPr="00EA413C">
        <w:t>“utilisation non autorisée” visée à l</w:t>
      </w:r>
      <w:r w:rsidR="00BF573D">
        <w:t>’</w:t>
      </w:r>
      <w:r w:rsidR="00CF4AD4" w:rsidRPr="00EA413C">
        <w:t>article 1</w:t>
      </w:r>
      <w:r w:rsidRPr="00EA413C">
        <w:t>4.2) de l</w:t>
      </w:r>
      <w:r w:rsidR="00BF573D">
        <w:t>’</w:t>
      </w:r>
      <w:r w:rsidRPr="00EA413C">
        <w:t xml:space="preserve">Acte </w:t>
      </w:r>
      <w:r w:rsidR="00CF4AD4" w:rsidRPr="00EA413C">
        <w:t>de 1991</w:t>
      </w:r>
      <w:r w:rsidR="00BF573D">
        <w:t> :</w:t>
      </w:r>
    </w:p>
    <w:p w:rsidR="00B6684D" w:rsidRPr="00EA413C" w:rsidRDefault="00B6684D" w:rsidP="006B017C">
      <w:pPr>
        <w:keepNext/>
        <w:rPr>
          <w:rFonts w:cs="Arial"/>
        </w:rPr>
      </w:pPr>
    </w:p>
    <w:p w:rsidR="000B2E15" w:rsidRPr="00EA413C" w:rsidRDefault="006B017C" w:rsidP="00FA7748">
      <w:pPr>
        <w:keepNext/>
        <w:keepLines/>
        <w:ind w:left="540"/>
        <w:rPr>
          <w:rFonts w:cs="Arial"/>
          <w:u w:val="single"/>
        </w:rPr>
      </w:pPr>
      <w:r>
        <w:t>c)</w:t>
      </w:r>
      <w:r>
        <w:tab/>
      </w:r>
      <w:r w:rsidR="000B2E15" w:rsidRPr="006B017C">
        <w:rPr>
          <w:u w:val="single"/>
        </w:rPr>
        <w:t>Utilisation non autorisée de matériel de reproduction ou de multiplication</w:t>
      </w:r>
    </w:p>
    <w:p w:rsidR="000B2E15" w:rsidRPr="00EA413C" w:rsidRDefault="000B2E15" w:rsidP="00FA7748">
      <w:pPr>
        <w:keepNext/>
        <w:keepLines/>
        <w:ind w:left="540"/>
        <w:rPr>
          <w:rFonts w:cs="Arial"/>
        </w:rPr>
      </w:pPr>
    </w:p>
    <w:p w:rsidR="000B2E15" w:rsidRPr="00EA413C" w:rsidRDefault="000B2E15" w:rsidP="00FA7748">
      <w:pPr>
        <w:keepNext/>
        <w:keepLines/>
        <w:ind w:left="540"/>
        <w:rPr>
          <w:rFonts w:cs="Arial"/>
          <w:i/>
          <w:strike/>
          <w:highlight w:val="lightGray"/>
        </w:rPr>
      </w:pPr>
      <w:r w:rsidRPr="00EA413C">
        <w:rPr>
          <w:i/>
          <w:strike/>
          <w:highlight w:val="lightGray"/>
        </w:rPr>
        <w:t xml:space="preserve">Actes </w:t>
      </w:r>
      <w:r w:rsidR="00BF573D">
        <w:rPr>
          <w:i/>
          <w:strike/>
          <w:highlight w:val="lightGray"/>
        </w:rPr>
        <w:t>à l’égard</w:t>
      </w:r>
      <w:r w:rsidRPr="00EA413C">
        <w:rPr>
          <w:i/>
          <w:strike/>
          <w:highlight w:val="lightGray"/>
        </w:rPr>
        <w:t xml:space="preserve"> du matériel de reproduction ou de multiplication</w:t>
      </w:r>
    </w:p>
    <w:p w:rsidR="000B2E15" w:rsidRPr="00EA413C" w:rsidRDefault="000B2E15" w:rsidP="00FA7748">
      <w:pPr>
        <w:keepNext/>
        <w:keepLines/>
        <w:rPr>
          <w:rFonts w:cs="Arial"/>
          <w:highlight w:val="yellow"/>
        </w:rPr>
      </w:pPr>
    </w:p>
    <w:p w:rsidR="000B2E15" w:rsidRPr="00EA413C" w:rsidRDefault="006B017C" w:rsidP="007502F5">
      <w:pPr>
        <w:ind w:left="540"/>
        <w:rPr>
          <w:rFonts w:cs="Arial"/>
          <w:strike/>
        </w:rPr>
      </w:pPr>
      <w:r>
        <w:rPr>
          <w:strike/>
          <w:highlight w:val="lightGray"/>
        </w:rPr>
        <w:t>4.</w:t>
      </w:r>
      <w:r w:rsidR="000B2E15" w:rsidRPr="00EA413C">
        <w:rPr>
          <w:strike/>
          <w:highlight w:val="lightGray"/>
        </w:rPr>
        <w:tab/>
        <w:t xml:space="preserve">On entend par “utilisation non autorisée” les actes </w:t>
      </w:r>
      <w:r w:rsidR="00BF573D">
        <w:rPr>
          <w:strike/>
          <w:highlight w:val="lightGray"/>
        </w:rPr>
        <w:t>à l’égard</w:t>
      </w:r>
      <w:r w:rsidR="000B2E15" w:rsidRPr="00EA413C">
        <w:rPr>
          <w:strike/>
          <w:highlight w:val="lightGray"/>
        </w:rPr>
        <w:t xml:space="preserve"> du matériel de reproduction ou de multiplication qui requièrent l</w:t>
      </w:r>
      <w:r w:rsidR="00BF573D">
        <w:rPr>
          <w:strike/>
          <w:highlight w:val="lightGray"/>
        </w:rPr>
        <w:t>’</w:t>
      </w:r>
      <w:r w:rsidR="000B2E15" w:rsidRPr="00EA413C">
        <w:rPr>
          <w:strike/>
          <w:highlight w:val="lightGray"/>
        </w:rPr>
        <w:t>autorisation du titulaire du droit d</w:t>
      </w:r>
      <w:r w:rsidR="00BF573D">
        <w:rPr>
          <w:strike/>
          <w:highlight w:val="lightGray"/>
        </w:rPr>
        <w:t>’</w:t>
      </w:r>
      <w:r w:rsidR="000B2E15" w:rsidRPr="00EA413C">
        <w:rPr>
          <w:strike/>
          <w:highlight w:val="lightGray"/>
        </w:rPr>
        <w:t>obtenteur sur le territoire concerné (</w:t>
      </w:r>
      <w:r w:rsidR="00CF4AD4" w:rsidRPr="00EA413C">
        <w:rPr>
          <w:strike/>
          <w:highlight w:val="lightGray"/>
        </w:rPr>
        <w:t>article 1</w:t>
      </w:r>
      <w:r w:rsidR="000B2E15" w:rsidRPr="00EA413C">
        <w:rPr>
          <w:strike/>
          <w:highlight w:val="lightGray"/>
        </w:rPr>
        <w:t>4.1) de l</w:t>
      </w:r>
      <w:r w:rsidR="00BF573D">
        <w:rPr>
          <w:strike/>
          <w:highlight w:val="lightGray"/>
        </w:rPr>
        <w:t>’</w:t>
      </w:r>
      <w:r w:rsidR="000B2E15" w:rsidRPr="00EA413C">
        <w:rPr>
          <w:strike/>
          <w:highlight w:val="lightGray"/>
        </w:rPr>
        <w:t xml:space="preserve">Acte </w:t>
      </w:r>
      <w:r w:rsidR="00CF4AD4" w:rsidRPr="00EA413C">
        <w:rPr>
          <w:strike/>
          <w:highlight w:val="lightGray"/>
        </w:rPr>
        <w:t>de 1991</w:t>
      </w:r>
      <w:r w:rsidR="000B2E15" w:rsidRPr="00EA413C">
        <w:rPr>
          <w:strike/>
          <w:highlight w:val="lightGray"/>
        </w:rPr>
        <w:t>), mais qui ont été accomplis sans qu</w:t>
      </w:r>
      <w:r w:rsidR="00BF573D">
        <w:rPr>
          <w:strike/>
          <w:highlight w:val="lightGray"/>
        </w:rPr>
        <w:t>’</w:t>
      </w:r>
      <w:r w:rsidR="000B2E15" w:rsidRPr="00EA413C">
        <w:rPr>
          <w:strike/>
          <w:highlight w:val="lightGray"/>
        </w:rPr>
        <w:t>une telle autorisation ait été obten</w:t>
      </w:r>
      <w:r w:rsidR="0008317D" w:rsidRPr="00EA413C">
        <w:rPr>
          <w:strike/>
          <w:highlight w:val="lightGray"/>
        </w:rPr>
        <w:t>ue</w:t>
      </w:r>
      <w:r w:rsidR="0008317D">
        <w:rPr>
          <w:strike/>
          <w:highlight w:val="lightGray"/>
        </w:rPr>
        <w:t xml:space="preserve">.  </w:t>
      </w:r>
      <w:r w:rsidR="0008317D" w:rsidRPr="00EA413C">
        <w:rPr>
          <w:strike/>
          <w:highlight w:val="lightGray"/>
        </w:rPr>
        <w:t>Pa</w:t>
      </w:r>
      <w:r w:rsidR="000B2E15" w:rsidRPr="00EA413C">
        <w:rPr>
          <w:strike/>
          <w:highlight w:val="lightGray"/>
        </w:rPr>
        <w:t>r conséquent, les actes non autorisés ne peuvent se produire que sur le territoire du membre de l</w:t>
      </w:r>
      <w:r w:rsidR="00BF573D">
        <w:rPr>
          <w:strike/>
          <w:highlight w:val="lightGray"/>
        </w:rPr>
        <w:t>’</w:t>
      </w:r>
      <w:r w:rsidR="000B2E15" w:rsidRPr="00EA413C">
        <w:rPr>
          <w:strike/>
          <w:highlight w:val="lightGray"/>
        </w:rPr>
        <w:t>Union sur lequel un droit d</w:t>
      </w:r>
      <w:r w:rsidR="00BF573D">
        <w:rPr>
          <w:strike/>
          <w:highlight w:val="lightGray"/>
        </w:rPr>
        <w:t>’</w:t>
      </w:r>
      <w:r w:rsidR="000B2E15" w:rsidRPr="00EA413C">
        <w:rPr>
          <w:strike/>
          <w:highlight w:val="lightGray"/>
        </w:rPr>
        <w:t>obtenteur a été octroyé et est en vigueur.</w:t>
      </w:r>
    </w:p>
    <w:p w:rsidR="00D36D1E" w:rsidRPr="00EA413C" w:rsidRDefault="00D36D1E" w:rsidP="007502F5">
      <w:pPr>
        <w:ind w:left="540"/>
        <w:rPr>
          <w:rFonts w:cs="Arial"/>
        </w:rPr>
      </w:pPr>
    </w:p>
    <w:p w:rsidR="00B75DAD" w:rsidRPr="00EA413C" w:rsidRDefault="000B2E15" w:rsidP="007502F5">
      <w:pPr>
        <w:keepNext/>
        <w:keepLines/>
        <w:ind w:left="540"/>
        <w:rPr>
          <w:highlight w:val="lightGray"/>
          <w:u w:val="single"/>
        </w:rPr>
      </w:pPr>
      <w:r w:rsidRPr="00EA413C">
        <w:rPr>
          <w:highlight w:val="lightGray"/>
          <w:u w:val="single"/>
        </w:rPr>
        <w:t>4.</w:t>
      </w:r>
      <w:r w:rsidRPr="00EA413C">
        <w:rPr>
          <w:highlight w:val="lightGray"/>
          <w:u w:val="single"/>
        </w:rPr>
        <w:tab/>
        <w:t xml:space="preserve">La </w:t>
      </w:r>
      <w:r w:rsidR="00BF573D">
        <w:rPr>
          <w:highlight w:val="lightGray"/>
          <w:u w:val="single"/>
        </w:rPr>
        <w:t>Convention UPOV</w:t>
      </w:r>
      <w:r w:rsidRPr="00EA413C">
        <w:rPr>
          <w:highlight w:val="lightGray"/>
          <w:u w:val="single"/>
        </w:rPr>
        <w:t xml:space="preserve"> ne donne pas de définition de “l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utilisation non autorisée” à l</w:t>
      </w:r>
      <w:r w:rsidR="00BF573D">
        <w:rPr>
          <w:highlight w:val="lightGray"/>
          <w:u w:val="single"/>
        </w:rPr>
        <w:t>’</w:t>
      </w:r>
      <w:r w:rsidR="00CF4AD4" w:rsidRPr="00EA413C">
        <w:rPr>
          <w:highlight w:val="lightGray"/>
          <w:u w:val="single"/>
        </w:rPr>
        <w:t>article 1</w:t>
      </w:r>
      <w:r w:rsidRPr="00EA413C">
        <w:rPr>
          <w:highlight w:val="lightGray"/>
          <w:u w:val="single"/>
        </w:rPr>
        <w:t>4.2) de 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 xml:space="preserve">Acte </w:t>
      </w:r>
      <w:r w:rsidR="00CF4AD4" w:rsidRPr="00EA413C">
        <w:rPr>
          <w:highlight w:val="lightGray"/>
          <w:u w:val="single"/>
        </w:rPr>
        <w:t>de 1991</w:t>
      </w:r>
      <w:r w:rsidRPr="00EA413C">
        <w:rPr>
          <w:highlight w:val="lightGray"/>
          <w:u w:val="single"/>
        </w:rPr>
        <w:t>.</w:t>
      </w:r>
    </w:p>
    <w:p w:rsidR="00B75DAD" w:rsidRPr="00EA413C" w:rsidRDefault="00B75DAD" w:rsidP="007502F5">
      <w:pPr>
        <w:keepNext/>
        <w:keepLines/>
        <w:ind w:left="540"/>
        <w:rPr>
          <w:highlight w:val="lightGray"/>
          <w:u w:val="single"/>
        </w:rPr>
      </w:pPr>
    </w:p>
    <w:p w:rsidR="00D36D1E" w:rsidRPr="00EA413C" w:rsidRDefault="00B75DAD" w:rsidP="000B1F81">
      <w:pPr>
        <w:keepNext/>
        <w:keepLines/>
        <w:ind w:left="540"/>
        <w:rPr>
          <w:u w:val="single"/>
        </w:rPr>
      </w:pPr>
      <w:r w:rsidRPr="00EA413C">
        <w:rPr>
          <w:highlight w:val="lightGray"/>
          <w:u w:val="single"/>
        </w:rPr>
        <w:t>5.</w:t>
      </w:r>
      <w:r w:rsidRPr="00EA413C">
        <w:rPr>
          <w:highlight w:val="lightGray"/>
          <w:u w:val="single"/>
        </w:rPr>
        <w:tab/>
        <w:t>On trouvera ci</w:t>
      </w:r>
      <w:r w:rsidR="00BF573D">
        <w:rPr>
          <w:highlight w:val="lightGray"/>
          <w:u w:val="single"/>
        </w:rPr>
        <w:t>-</w:t>
      </w:r>
      <w:r w:rsidRPr="00EA413C">
        <w:rPr>
          <w:highlight w:val="lightGray"/>
          <w:u w:val="single"/>
        </w:rPr>
        <w:t>après une liste non exhaustive de facteurs pouvant être examinés par les membres de 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Union en rapport avec la notion d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“utilisation non autorisée”.</w:t>
      </w:r>
    </w:p>
    <w:p w:rsidR="000B2E15" w:rsidRPr="00EA413C" w:rsidRDefault="000B2E15" w:rsidP="007502F5">
      <w:pPr>
        <w:keepNext/>
        <w:keepLines/>
        <w:ind w:left="540"/>
        <w:rPr>
          <w:rFonts w:cs="Arial"/>
        </w:rPr>
      </w:pPr>
    </w:p>
    <w:p w:rsidR="00284138" w:rsidRPr="00EA413C" w:rsidRDefault="000B2E15" w:rsidP="007502F5">
      <w:pPr>
        <w:keepLines/>
        <w:ind w:left="540" w:firstLine="567"/>
        <w:rPr>
          <w:rFonts w:cs="Arial"/>
          <w:highlight w:val="lightGray"/>
          <w:u w:val="single"/>
        </w:rPr>
      </w:pPr>
      <w:r w:rsidRPr="00EA413C">
        <w:rPr>
          <w:highlight w:val="lightGray"/>
          <w:u w:val="single"/>
        </w:rPr>
        <w:t xml:space="preserve">a) </w:t>
      </w:r>
      <w:r w:rsidRPr="00EA413C">
        <w:rPr>
          <w:highlight w:val="lightGray"/>
          <w:u w:val="single"/>
        </w:rPr>
        <w:tab/>
        <w:t>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obtenteur n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a pas autorisé les actes prévus à l</w:t>
      </w:r>
      <w:r w:rsidR="00BF573D">
        <w:rPr>
          <w:highlight w:val="lightGray"/>
          <w:u w:val="single"/>
        </w:rPr>
        <w:t>’</w:t>
      </w:r>
      <w:r w:rsidR="00CF4AD4" w:rsidRPr="00EA413C">
        <w:rPr>
          <w:highlight w:val="lightGray"/>
          <w:u w:val="single"/>
        </w:rPr>
        <w:t>article 1</w:t>
      </w:r>
      <w:r w:rsidRPr="00EA413C">
        <w:rPr>
          <w:highlight w:val="lightGray"/>
          <w:u w:val="single"/>
        </w:rPr>
        <w:t>4.1) de 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 xml:space="preserve">Acte </w:t>
      </w:r>
      <w:r w:rsidR="00CF4AD4" w:rsidRPr="00EA413C">
        <w:rPr>
          <w:highlight w:val="lightGray"/>
          <w:u w:val="single"/>
        </w:rPr>
        <w:t>de 1991</w:t>
      </w:r>
      <w:r w:rsidRPr="00EA413C">
        <w:rPr>
          <w:highlight w:val="lightGray"/>
          <w:u w:val="single"/>
        </w:rPr>
        <w:t xml:space="preserve"> de la </w:t>
      </w:r>
      <w:r w:rsidR="00BF573D">
        <w:rPr>
          <w:highlight w:val="lightGray"/>
          <w:u w:val="single"/>
        </w:rPr>
        <w:t>Convention UPOV</w:t>
      </w:r>
      <w:r w:rsidRPr="00EA413C">
        <w:rPr>
          <w:highlight w:val="lightGray"/>
          <w:u w:val="single"/>
        </w:rPr>
        <w:t xml:space="preserve">, </w:t>
      </w:r>
      <w:r w:rsidR="00BF573D">
        <w:rPr>
          <w:highlight w:val="lightGray"/>
          <w:u w:val="single"/>
        </w:rPr>
        <w:t>à l’égard</w:t>
      </w:r>
      <w:r w:rsidRPr="00EA413C">
        <w:rPr>
          <w:highlight w:val="lightGray"/>
          <w:u w:val="single"/>
        </w:rPr>
        <w:t xml:space="preserve"> du matériel de reproduction ou de multiplication de la variété protég</w:t>
      </w:r>
      <w:r w:rsidR="0008317D" w:rsidRPr="00EA413C">
        <w:rPr>
          <w:highlight w:val="lightGray"/>
          <w:u w:val="single"/>
        </w:rPr>
        <w:t>ée</w:t>
      </w:r>
      <w:r w:rsidR="0008317D">
        <w:rPr>
          <w:highlight w:val="lightGray"/>
          <w:u w:val="single"/>
        </w:rPr>
        <w:t xml:space="preserve">.  </w:t>
      </w:r>
      <w:r w:rsidR="0008317D" w:rsidRPr="00EA413C">
        <w:rPr>
          <w:highlight w:val="lightGray"/>
          <w:u w:val="single"/>
        </w:rPr>
        <w:t>Da</w:t>
      </w:r>
      <w:r w:rsidRPr="00EA413C">
        <w:rPr>
          <w:highlight w:val="lightGray"/>
          <w:u w:val="single"/>
        </w:rPr>
        <w:t>ns ce cas, 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acte constituant une</w:t>
      </w:r>
      <w:r w:rsidR="00810EE9">
        <w:rPr>
          <w:highlight w:val="lightGray"/>
          <w:u w:val="single"/>
        </w:rPr>
        <w:t xml:space="preserve"> </w:t>
      </w:r>
      <w:r w:rsidRPr="00EA413C">
        <w:rPr>
          <w:highlight w:val="lightGray"/>
          <w:u w:val="single"/>
        </w:rPr>
        <w:t>“utilisation non autorisée” ne peut se produire que sur le territoire du membre de 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Union sur lequel un droit d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obtenteur a été octroyé et est en vigueur;</w:t>
      </w:r>
    </w:p>
    <w:p w:rsidR="00284138" w:rsidRPr="00EA413C" w:rsidRDefault="00284138" w:rsidP="007502F5">
      <w:pPr>
        <w:ind w:left="540"/>
        <w:rPr>
          <w:rFonts w:cs="Arial"/>
          <w:highlight w:val="lightGray"/>
          <w:u w:val="single"/>
        </w:rPr>
      </w:pPr>
    </w:p>
    <w:p w:rsidR="00CF4AD4" w:rsidRPr="00EA413C" w:rsidRDefault="000B2E15" w:rsidP="007502F5">
      <w:pPr>
        <w:ind w:left="540" w:firstLine="567"/>
        <w:rPr>
          <w:highlight w:val="lightGray"/>
          <w:u w:val="single"/>
        </w:rPr>
      </w:pPr>
      <w:r w:rsidRPr="00EA413C">
        <w:rPr>
          <w:highlight w:val="lightGray"/>
          <w:u w:val="single"/>
        </w:rPr>
        <w:t>b)</w:t>
      </w:r>
      <w:r w:rsidRPr="00EA413C">
        <w:rPr>
          <w:highlight w:val="lightGray"/>
          <w:u w:val="single"/>
        </w:rPr>
        <w:tab/>
        <w:t>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obtenteur n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a pas donné son autorisation ou son consentement</w:t>
      </w:r>
      <w:r w:rsidR="000B1F81" w:rsidRPr="00EA413C">
        <w:rPr>
          <w:rStyle w:val="FootnoteReference"/>
          <w:rFonts w:cs="Arial"/>
          <w:b/>
          <w:highlight w:val="lightGray"/>
          <w:u w:val="single"/>
        </w:rPr>
        <w:footnoteReference w:id="2"/>
      </w:r>
      <w:r w:rsidRPr="00EA413C">
        <w:rPr>
          <w:highlight w:val="lightGray"/>
          <w:u w:val="single"/>
        </w:rPr>
        <w:t xml:space="preserve"> pour les actes accomplis </w:t>
      </w:r>
      <w:r w:rsidR="00BF573D">
        <w:rPr>
          <w:highlight w:val="lightGray"/>
          <w:u w:val="single"/>
        </w:rPr>
        <w:t>à l’égard</w:t>
      </w:r>
      <w:r w:rsidRPr="00EA413C">
        <w:rPr>
          <w:highlight w:val="lightGray"/>
          <w:u w:val="single"/>
        </w:rPr>
        <w:t xml:space="preserve"> du matériel de reproduction ou de multiplication de la variété protégée dans le but d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obtenir un produit de récolte;</w:t>
      </w:r>
    </w:p>
    <w:p w:rsidR="00284138" w:rsidRPr="00EA413C" w:rsidRDefault="00284138" w:rsidP="007502F5">
      <w:pPr>
        <w:ind w:left="540" w:firstLine="567"/>
        <w:rPr>
          <w:rFonts w:cs="Arial"/>
          <w:highlight w:val="lightGray"/>
          <w:u w:val="single"/>
        </w:rPr>
      </w:pPr>
    </w:p>
    <w:p w:rsidR="000B2E15" w:rsidRPr="00EA413C" w:rsidRDefault="00284138" w:rsidP="007502F5">
      <w:pPr>
        <w:ind w:left="540" w:firstLine="567"/>
        <w:rPr>
          <w:rFonts w:cs="Arial"/>
          <w:highlight w:val="lightGray"/>
          <w:u w:val="single"/>
        </w:rPr>
      </w:pPr>
      <w:r w:rsidRPr="00EA413C">
        <w:rPr>
          <w:highlight w:val="lightGray"/>
          <w:u w:val="single"/>
        </w:rPr>
        <w:t xml:space="preserve">c) </w:t>
      </w:r>
      <w:r w:rsidRPr="00EA413C">
        <w:rPr>
          <w:highlight w:val="lightGray"/>
          <w:u w:val="single"/>
        </w:rPr>
        <w:tab/>
        <w:t>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obtenteur n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a pas donné son autorisation ou son consentement</w:t>
      </w:r>
      <w:r w:rsidRPr="00EA413C">
        <w:rPr>
          <w:b/>
          <w:highlight w:val="lightGray"/>
          <w:u w:val="single"/>
          <w:vertAlign w:val="superscript"/>
        </w:rPr>
        <w:t>1</w:t>
      </w:r>
      <w:r w:rsidRPr="00EA413C">
        <w:rPr>
          <w:highlight w:val="lightGray"/>
          <w:u w:val="single"/>
        </w:rPr>
        <w:t xml:space="preserve"> pour les actes de plantation ou de culture en continu </w:t>
      </w:r>
      <w:r w:rsidR="00BF573D">
        <w:rPr>
          <w:highlight w:val="lightGray"/>
          <w:u w:val="single"/>
        </w:rPr>
        <w:t>à l’égard</w:t>
      </w:r>
      <w:r w:rsidRPr="00EA413C">
        <w:rPr>
          <w:highlight w:val="lightGray"/>
          <w:u w:val="single"/>
        </w:rPr>
        <w:t xml:space="preserve"> du matériel de reproduction ou de multiplication de la variété protégée dans le but d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obtenir un produit de récolte;</w:t>
      </w:r>
    </w:p>
    <w:p w:rsidR="00C80642" w:rsidRPr="00EA413C" w:rsidRDefault="00C80642" w:rsidP="007502F5">
      <w:pPr>
        <w:ind w:left="540"/>
        <w:rPr>
          <w:rFonts w:cs="Arial"/>
          <w:highlight w:val="lightGray"/>
          <w:u w:val="single"/>
        </w:rPr>
      </w:pPr>
    </w:p>
    <w:p w:rsidR="00C80642" w:rsidRPr="00EA413C" w:rsidRDefault="00C80642" w:rsidP="007502F5">
      <w:pPr>
        <w:ind w:left="540" w:firstLine="567"/>
        <w:rPr>
          <w:rFonts w:cs="Arial"/>
          <w:u w:val="single"/>
        </w:rPr>
      </w:pPr>
      <w:r w:rsidRPr="00EA413C">
        <w:rPr>
          <w:highlight w:val="lightGray"/>
          <w:u w:val="single"/>
        </w:rPr>
        <w:t xml:space="preserve">d) </w:t>
      </w:r>
      <w:r w:rsidRPr="00EA413C">
        <w:rPr>
          <w:highlight w:val="lightGray"/>
          <w:u w:val="single"/>
        </w:rPr>
        <w:tab/>
        <w:t>la production, la vente ou la commercialisation de produit de récolte était en violation des conditions ou limitations fixées par 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obtenteur comme condition à 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obtention de 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autorisation ou du consentement</w:t>
      </w:r>
      <w:r w:rsidRPr="00EA413C">
        <w:rPr>
          <w:highlight w:val="lightGray"/>
          <w:u w:val="single"/>
          <w:vertAlign w:val="superscript"/>
        </w:rPr>
        <w:t>1</w:t>
      </w:r>
      <w:r w:rsidRPr="00EA413C">
        <w:rPr>
          <w:highlight w:val="lightGray"/>
          <w:u w:val="single"/>
        </w:rPr>
        <w:t>.</w:t>
      </w:r>
    </w:p>
    <w:p w:rsidR="00127E12" w:rsidRPr="00EA413C" w:rsidRDefault="00127E12" w:rsidP="007502F5">
      <w:pPr>
        <w:ind w:left="540"/>
      </w:pPr>
    </w:p>
    <w:p w:rsidR="00127E12" w:rsidRPr="00EA413C" w:rsidRDefault="002401C9" w:rsidP="007502F5">
      <w:pPr>
        <w:ind w:left="540" w:firstLine="540"/>
      </w:pPr>
      <w:r w:rsidRPr="00EA413C">
        <w:rPr>
          <w:highlight w:val="lightGray"/>
          <w:u w:val="single"/>
        </w:rPr>
        <w:t>Ces facteurs doivent être examinés dans le contexte et les circonstances particulières de chaque membre de l</w:t>
      </w:r>
      <w:r w:rsidR="00BF573D">
        <w:rPr>
          <w:highlight w:val="lightGray"/>
          <w:u w:val="single"/>
        </w:rPr>
        <w:t>’</w:t>
      </w:r>
      <w:r w:rsidRPr="00EA413C">
        <w:rPr>
          <w:highlight w:val="lightGray"/>
          <w:u w:val="single"/>
        </w:rPr>
        <w:t>Union.</w:t>
      </w:r>
    </w:p>
    <w:p w:rsidR="00E4589D" w:rsidRPr="00EA413C" w:rsidRDefault="00E4589D" w:rsidP="007502F5">
      <w:pPr>
        <w:ind w:left="540"/>
      </w:pPr>
    </w:p>
    <w:p w:rsidR="007502F5" w:rsidRPr="00EA413C" w:rsidRDefault="007502F5" w:rsidP="007502F5">
      <w:pPr>
        <w:ind w:left="540"/>
      </w:pPr>
    </w:p>
    <w:p w:rsidR="0040494E" w:rsidRPr="00EA413C" w:rsidRDefault="00114517" w:rsidP="0040494E">
      <w:pPr>
        <w:pStyle w:val="Heading2"/>
      </w:pPr>
      <w:bookmarkStart w:id="11" w:name="_Toc128723044"/>
      <w:r w:rsidRPr="00EA413C">
        <w:t>Invitation à fournir des exemples convenue à la deuxième réunion du WG</w:t>
      </w:r>
      <w:r w:rsidR="00BF573D">
        <w:t>-</w:t>
      </w:r>
      <w:r w:rsidRPr="00EA413C">
        <w:t>HRV</w:t>
      </w:r>
      <w:bookmarkEnd w:id="11"/>
    </w:p>
    <w:p w:rsidR="00114517" w:rsidRPr="00EA413C" w:rsidRDefault="00114517" w:rsidP="00797033"/>
    <w:p w:rsidR="00077523" w:rsidRPr="00EA413C" w:rsidRDefault="00077523" w:rsidP="00077523">
      <w:r w:rsidRPr="00EA413C">
        <w:fldChar w:fldCharType="begin"/>
      </w:r>
      <w:r w:rsidRPr="00EA413C">
        <w:instrText xml:space="preserve"> AUTONUM  </w:instrText>
      </w:r>
      <w:r w:rsidRPr="00EA413C">
        <w:fldChar w:fldCharType="end"/>
      </w:r>
      <w:r w:rsidRPr="00EA413C">
        <w:tab/>
        <w:t>Sur la base des délibérations tenues lors de sa deuxième réunion (voir la section ci</w:t>
      </w:r>
      <w:r w:rsidR="00BF573D">
        <w:t>-</w:t>
      </w:r>
      <w:r w:rsidRPr="00EA413C">
        <w:t>dessus intitulée (“Autres points de vue sur l</w:t>
      </w:r>
      <w:r w:rsidR="00BF573D">
        <w:t>’</w:t>
      </w:r>
      <w:r w:rsidR="00810EE9">
        <w:t>‘</w:t>
      </w:r>
      <w:r w:rsidRPr="00EA413C">
        <w:t>utilisation non autorisée</w:t>
      </w:r>
      <w:r w:rsidR="00BF573D">
        <w:t>’</w:t>
      </w:r>
      <w:r w:rsidRPr="00EA413C">
        <w:t xml:space="preserve"> pour examen par le WG</w:t>
      </w:r>
      <w:r w:rsidR="00BF573D">
        <w:t>-</w:t>
      </w:r>
      <w:r w:rsidRPr="00EA413C">
        <w:t>HRV”), le WG</w:t>
      </w:r>
      <w:r w:rsidR="00BF573D">
        <w:t>-</w:t>
      </w:r>
      <w:r w:rsidRPr="00EA413C">
        <w:t>HRV est convenu que les membres du WG</w:t>
      </w:r>
      <w:r w:rsidR="00BF573D">
        <w:t>-</w:t>
      </w:r>
      <w:r w:rsidRPr="00EA413C">
        <w:t>HRV fourniraient des exemples de leur interprétation de ces dispositions et de l</w:t>
      </w:r>
      <w:r w:rsidR="00BF573D">
        <w:t>’</w:t>
      </w:r>
      <w:r w:rsidRPr="00EA413C">
        <w:t xml:space="preserve">incidence de cette interprétation sur la faculté des obtenteurs à exercer leurs droits sur le territoire (voir le </w:t>
      </w:r>
      <w:r w:rsidR="00CF4AD4" w:rsidRPr="00EA413C">
        <w:t>paragraphe 3</w:t>
      </w:r>
      <w:r w:rsidRPr="00EA413C">
        <w:t xml:space="preserve">3 du document </w:t>
      </w:r>
      <w:r w:rsidR="00956857">
        <w:t>WG</w:t>
      </w:r>
      <w:r w:rsidR="00BF573D">
        <w:t>-</w:t>
      </w:r>
      <w:r w:rsidRPr="00EA413C">
        <w:t>HRV/2/6 “Projet de compte rendu”).  La circulaire utilisée pour diffuser le présent document contiendra également une invitation à fournir les exemples susmentionnés.</w:t>
      </w:r>
    </w:p>
    <w:p w:rsidR="0040494E" w:rsidRPr="00EA413C" w:rsidRDefault="0040494E">
      <w:pPr>
        <w:jc w:val="left"/>
      </w:pPr>
    </w:p>
    <w:p w:rsidR="00797033" w:rsidRPr="00EA413C" w:rsidRDefault="00077523" w:rsidP="00077523">
      <w:pPr>
        <w:jc w:val="left"/>
      </w:pPr>
      <w:r w:rsidRPr="00EA413C">
        <w:fldChar w:fldCharType="begin"/>
      </w:r>
      <w:r w:rsidRPr="00EA413C">
        <w:instrText xml:space="preserve"> AUTONUM  </w:instrText>
      </w:r>
      <w:r w:rsidRPr="00EA413C">
        <w:fldChar w:fldCharType="end"/>
      </w:r>
      <w:r w:rsidRPr="00EA413C">
        <w:tab/>
        <w:t>Les exemples fournis en réponse à cette circulaire, tels qu</w:t>
      </w:r>
      <w:r w:rsidR="00BF573D">
        <w:t>’</w:t>
      </w:r>
      <w:r w:rsidRPr="00EA413C">
        <w:t xml:space="preserve">ils figurent au </w:t>
      </w:r>
      <w:r w:rsidR="00CF4AD4" w:rsidRPr="00EA413C">
        <w:t>paragraphe 9</w:t>
      </w:r>
      <w:r w:rsidRPr="00EA413C">
        <w:t xml:space="preserve"> du présent document, seront présentés dans un additif au présent document.</w:t>
      </w:r>
    </w:p>
    <w:p w:rsidR="00050E16" w:rsidRPr="00EA413C" w:rsidRDefault="00050E16" w:rsidP="00050E16"/>
    <w:p w:rsidR="00962161" w:rsidRPr="00EA413C" w:rsidRDefault="00962161" w:rsidP="00810EE9">
      <w:pPr>
        <w:keepNext/>
        <w:keepLines/>
        <w:tabs>
          <w:tab w:val="left" w:pos="5387"/>
          <w:tab w:val="left" w:pos="5954"/>
        </w:tabs>
        <w:ind w:left="4820"/>
        <w:rPr>
          <w:rFonts w:cs="Arial"/>
          <w:i/>
        </w:rPr>
      </w:pPr>
      <w:r w:rsidRPr="00EA413C">
        <w:rPr>
          <w:rFonts w:cs="Arial"/>
          <w:i/>
        </w:rPr>
        <w:lastRenderedPageBreak/>
        <w:fldChar w:fldCharType="begin"/>
      </w:r>
      <w:r w:rsidRPr="00EA413C">
        <w:rPr>
          <w:rFonts w:cs="Arial"/>
          <w:i/>
        </w:rPr>
        <w:instrText xml:space="preserve"> AUTONUM  </w:instrText>
      </w:r>
      <w:r w:rsidRPr="00EA413C">
        <w:rPr>
          <w:rFonts w:cs="Arial"/>
          <w:i/>
        </w:rPr>
        <w:fldChar w:fldCharType="end"/>
      </w:r>
      <w:r w:rsidRPr="00EA413C">
        <w:rPr>
          <w:i/>
        </w:rPr>
        <w:tab/>
        <w:t xml:space="preserve">Le </w:t>
      </w:r>
      <w:r w:rsidRPr="00EA413C">
        <w:rPr>
          <w:i/>
          <w:snapToGrid w:val="0"/>
        </w:rPr>
        <w:t>WG</w:t>
      </w:r>
      <w:r w:rsidR="00BF573D">
        <w:rPr>
          <w:i/>
          <w:snapToGrid w:val="0"/>
        </w:rPr>
        <w:t>-</w:t>
      </w:r>
      <w:r w:rsidRPr="00EA413C">
        <w:rPr>
          <w:i/>
          <w:snapToGrid w:val="0"/>
        </w:rPr>
        <w:t>HRV</w:t>
      </w:r>
      <w:r w:rsidRPr="00EA413C">
        <w:rPr>
          <w:i/>
        </w:rPr>
        <w:t xml:space="preserve"> est invité</w:t>
      </w:r>
      <w:r w:rsidR="00956857" w:rsidRPr="00956857">
        <w:rPr>
          <w:i/>
          <w:iCs/>
          <w:spacing w:val="-4"/>
        </w:rPr>
        <w:t xml:space="preserve"> </w:t>
      </w:r>
      <w:r w:rsidR="00956857" w:rsidRPr="006B017C">
        <w:rPr>
          <w:i/>
          <w:iCs/>
          <w:spacing w:val="-4"/>
        </w:rPr>
        <w:t>à</w:t>
      </w:r>
    </w:p>
    <w:p w:rsidR="00962161" w:rsidRPr="00EA413C" w:rsidRDefault="00962161" w:rsidP="00810EE9">
      <w:pPr>
        <w:keepNext/>
        <w:keepLines/>
        <w:tabs>
          <w:tab w:val="left" w:pos="5387"/>
          <w:tab w:val="left" w:pos="5954"/>
        </w:tabs>
        <w:rPr>
          <w:rFonts w:cs="Arial"/>
          <w:i/>
        </w:rPr>
      </w:pPr>
    </w:p>
    <w:p w:rsidR="00962161" w:rsidRPr="006B017C" w:rsidRDefault="00962161" w:rsidP="00810EE9">
      <w:pPr>
        <w:keepNext/>
        <w:keepLines/>
        <w:tabs>
          <w:tab w:val="left" w:pos="5387"/>
          <w:tab w:val="left" w:pos="5954"/>
        </w:tabs>
        <w:ind w:left="4824"/>
        <w:rPr>
          <w:rFonts w:cs="Arial"/>
          <w:i/>
          <w:spacing w:val="-4"/>
        </w:rPr>
      </w:pPr>
      <w:r w:rsidRPr="006B017C">
        <w:rPr>
          <w:i/>
          <w:spacing w:val="-4"/>
        </w:rPr>
        <w:tab/>
      </w:r>
      <w:r w:rsidRPr="006B017C">
        <w:rPr>
          <w:i/>
          <w:iCs/>
          <w:spacing w:val="-4"/>
        </w:rPr>
        <w:t>a)</w:t>
      </w:r>
      <w:r w:rsidRPr="006B017C">
        <w:rPr>
          <w:i/>
          <w:iCs/>
          <w:spacing w:val="-4"/>
        </w:rPr>
        <w:tab/>
        <w:t>noter que les exemples fournis en réponse à la circulaire, tels qu</w:t>
      </w:r>
      <w:r w:rsidR="00BF573D" w:rsidRPr="006B017C">
        <w:rPr>
          <w:i/>
          <w:iCs/>
          <w:spacing w:val="-4"/>
        </w:rPr>
        <w:t>’</w:t>
      </w:r>
      <w:r w:rsidRPr="006B017C">
        <w:rPr>
          <w:i/>
          <w:iCs/>
          <w:spacing w:val="-4"/>
        </w:rPr>
        <w:t xml:space="preserve">ils figurent au </w:t>
      </w:r>
      <w:r w:rsidR="00CF4AD4" w:rsidRPr="006B017C">
        <w:rPr>
          <w:i/>
          <w:iCs/>
          <w:spacing w:val="-4"/>
        </w:rPr>
        <w:t>paragraphe 9</w:t>
      </w:r>
      <w:r w:rsidRPr="006B017C">
        <w:rPr>
          <w:i/>
          <w:iCs/>
          <w:spacing w:val="-4"/>
        </w:rPr>
        <w:t xml:space="preserve"> du présent document, seront présentés dans un additif au présent document et seront également mis à disposition sur le site</w:t>
      </w:r>
      <w:r w:rsidR="008D74D3" w:rsidRPr="006B017C">
        <w:rPr>
          <w:i/>
          <w:iCs/>
          <w:spacing w:val="-4"/>
        </w:rPr>
        <w:t> </w:t>
      </w:r>
      <w:r w:rsidRPr="006B017C">
        <w:rPr>
          <w:i/>
          <w:iCs/>
          <w:spacing w:val="-4"/>
        </w:rPr>
        <w:t>Web de l</w:t>
      </w:r>
      <w:r w:rsidR="00BF573D" w:rsidRPr="006B017C">
        <w:rPr>
          <w:i/>
          <w:iCs/>
          <w:spacing w:val="-4"/>
        </w:rPr>
        <w:t>’</w:t>
      </w:r>
      <w:r w:rsidRPr="006B017C">
        <w:rPr>
          <w:i/>
          <w:iCs/>
          <w:spacing w:val="-4"/>
        </w:rPr>
        <w:t>UPOV à l</w:t>
      </w:r>
      <w:r w:rsidR="00BF573D" w:rsidRPr="006B017C">
        <w:rPr>
          <w:i/>
          <w:iCs/>
          <w:spacing w:val="-4"/>
        </w:rPr>
        <w:t>’</w:t>
      </w:r>
      <w:r w:rsidRPr="006B017C">
        <w:rPr>
          <w:i/>
          <w:iCs/>
          <w:spacing w:val="-4"/>
        </w:rPr>
        <w:t>adresse</w:t>
      </w:r>
      <w:r w:rsidRPr="006B017C">
        <w:rPr>
          <w:i/>
          <w:spacing w:val="-4"/>
        </w:rPr>
        <w:t xml:space="preserve"> </w:t>
      </w:r>
      <w:hyperlink r:id="rId10" w:history="1">
        <w:r w:rsidRPr="006B017C">
          <w:rPr>
            <w:rStyle w:val="Hyperlink"/>
            <w:i/>
            <w:spacing w:val="-4"/>
          </w:rPr>
          <w:t>https://www.upov.int/meetings/fr/details.jsp?meeting_id=74773</w:t>
        </w:r>
      </w:hyperlink>
      <w:r w:rsidRPr="006B017C">
        <w:rPr>
          <w:spacing w:val="-4"/>
        </w:rPr>
        <w:t xml:space="preserve"> et</w:t>
      </w:r>
    </w:p>
    <w:p w:rsidR="00114517" w:rsidRPr="00EA413C" w:rsidRDefault="00114517" w:rsidP="00962161">
      <w:pPr>
        <w:tabs>
          <w:tab w:val="left" w:pos="5387"/>
          <w:tab w:val="left" w:pos="5954"/>
        </w:tabs>
        <w:ind w:left="4824"/>
        <w:rPr>
          <w:rFonts w:cs="Arial"/>
          <w:i/>
        </w:rPr>
      </w:pPr>
    </w:p>
    <w:p w:rsidR="00114517" w:rsidRPr="00EA413C" w:rsidRDefault="00956857" w:rsidP="00114517">
      <w:pPr>
        <w:tabs>
          <w:tab w:val="left" w:pos="5387"/>
          <w:tab w:val="left" w:pos="5954"/>
        </w:tabs>
        <w:ind w:left="4824"/>
        <w:rPr>
          <w:rFonts w:cs="Arial"/>
          <w:i/>
        </w:rPr>
      </w:pPr>
      <w:r>
        <w:rPr>
          <w:i/>
        </w:rPr>
        <w:tab/>
        <w:t>b)</w:t>
      </w:r>
      <w:r>
        <w:rPr>
          <w:i/>
        </w:rPr>
        <w:tab/>
      </w:r>
      <w:r w:rsidR="00114517" w:rsidRPr="00EA413C">
        <w:rPr>
          <w:i/>
        </w:rPr>
        <w:t xml:space="preserve">examiner la proposition qui figure au </w:t>
      </w:r>
      <w:r w:rsidR="00CF4AD4" w:rsidRPr="00EA413C">
        <w:rPr>
          <w:i/>
        </w:rPr>
        <w:t>paragraphe 8</w:t>
      </w:r>
      <w:r w:rsidR="00114517" w:rsidRPr="00EA413C">
        <w:rPr>
          <w:i/>
        </w:rPr>
        <w:t xml:space="preserve"> du présent document.</w:t>
      </w:r>
    </w:p>
    <w:p w:rsidR="00962161" w:rsidRPr="00EA413C" w:rsidRDefault="00962161" w:rsidP="00962161">
      <w:pPr>
        <w:rPr>
          <w:snapToGrid w:val="0"/>
        </w:rPr>
      </w:pPr>
    </w:p>
    <w:p w:rsidR="003D7754" w:rsidRDefault="003D7754" w:rsidP="00962161">
      <w:pPr>
        <w:rPr>
          <w:snapToGrid w:val="0"/>
        </w:rPr>
      </w:pPr>
    </w:p>
    <w:p w:rsidR="00956857" w:rsidRPr="00EA413C" w:rsidRDefault="00956857" w:rsidP="00962161">
      <w:pPr>
        <w:rPr>
          <w:snapToGrid w:val="0"/>
        </w:rPr>
      </w:pPr>
    </w:p>
    <w:p w:rsidR="00666DA5" w:rsidRPr="00EA413C" w:rsidRDefault="00962161" w:rsidP="006B017C">
      <w:pPr>
        <w:jc w:val="right"/>
      </w:pPr>
      <w:r w:rsidRPr="00EA413C">
        <w:rPr>
          <w:snapToGrid w:val="0"/>
        </w:rPr>
        <w:t>[Fin du document]</w:t>
      </w:r>
    </w:p>
    <w:sectPr w:rsidR="00666DA5" w:rsidRPr="00EA413C" w:rsidSect="006D53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EC1" w:rsidRDefault="00693EC1" w:rsidP="006655D3">
      <w:r>
        <w:separator/>
      </w:r>
    </w:p>
    <w:p w:rsidR="00693EC1" w:rsidRDefault="00693EC1" w:rsidP="006655D3"/>
    <w:p w:rsidR="00693EC1" w:rsidRDefault="00693EC1" w:rsidP="006655D3"/>
  </w:endnote>
  <w:endnote w:type="continuationSeparator" w:id="0">
    <w:p w:rsidR="00693EC1" w:rsidRDefault="00693EC1" w:rsidP="006655D3">
      <w:r>
        <w:separator/>
      </w:r>
    </w:p>
    <w:p w:rsidR="00693EC1" w:rsidRPr="00294751" w:rsidRDefault="00693EC1">
      <w:pPr>
        <w:pStyle w:val="Footer"/>
        <w:spacing w:after="60"/>
        <w:rPr>
          <w:sz w:val="18"/>
        </w:rPr>
      </w:pPr>
      <w:r w:rsidRPr="00294751">
        <w:rPr>
          <w:sz w:val="18"/>
        </w:rPr>
        <w:t>[Suite de la note de la page précédente]</w:t>
      </w:r>
    </w:p>
    <w:p w:rsidR="00693EC1" w:rsidRPr="00294751" w:rsidRDefault="00693EC1" w:rsidP="006655D3"/>
    <w:p w:rsidR="00693EC1" w:rsidRPr="00294751" w:rsidRDefault="00693EC1" w:rsidP="006655D3"/>
  </w:endnote>
  <w:endnote w:type="continuationNotice" w:id="1">
    <w:p w:rsidR="00693EC1" w:rsidRPr="00294751" w:rsidRDefault="00693EC1" w:rsidP="006655D3">
      <w:r w:rsidRPr="00294751">
        <w:t>[Suite de la note page suivante]</w:t>
      </w:r>
    </w:p>
    <w:p w:rsidR="00693EC1" w:rsidRPr="00294751" w:rsidRDefault="00693EC1" w:rsidP="006655D3"/>
    <w:p w:rsidR="00693EC1" w:rsidRPr="00294751" w:rsidRDefault="00693EC1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13" w:rsidRDefault="006A3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13" w:rsidRDefault="006A331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13" w:rsidRDefault="006A3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EC1" w:rsidRDefault="00693EC1" w:rsidP="006655D3">
      <w:r>
        <w:separator/>
      </w:r>
    </w:p>
  </w:footnote>
  <w:footnote w:type="continuationSeparator" w:id="0">
    <w:p w:rsidR="00693EC1" w:rsidRDefault="00693EC1" w:rsidP="006655D3">
      <w:r>
        <w:separator/>
      </w:r>
    </w:p>
  </w:footnote>
  <w:footnote w:type="continuationNotice" w:id="1">
    <w:p w:rsidR="00693EC1" w:rsidRPr="00AB530F" w:rsidRDefault="00693EC1" w:rsidP="00AB530F">
      <w:pPr>
        <w:pStyle w:val="Footer"/>
      </w:pPr>
    </w:p>
  </w:footnote>
  <w:footnote w:id="2">
    <w:p w:rsidR="000B1F81" w:rsidRDefault="000B1F81" w:rsidP="006B01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Durant les travaux préparatoires de la Conférence diplomatique </w:t>
      </w:r>
      <w:r w:rsidR="00E044DD">
        <w:t>de 1991</w:t>
      </w:r>
      <w:r>
        <w:t>, le terme “consentement” a été remplacé par le terme “autorisation” dans l</w:t>
      </w:r>
      <w:r w:rsidR="00DD344A">
        <w:t>’</w:t>
      </w:r>
      <w:r>
        <w:t>étendue du droit d</w:t>
      </w:r>
      <w:r w:rsidR="00DD344A">
        <w:t>’</w:t>
      </w:r>
      <w:r>
        <w:t>obtenteur</w:t>
      </w:r>
      <w:r w:rsidR="00DD344A">
        <w:t> :</w:t>
      </w:r>
      <w:r>
        <w:t xml:space="preserve"> “74.  Plusieurs délégations ont fait observer que le libellé proposé par le Bureau de l</w:t>
      </w:r>
      <w:r w:rsidR="00DD344A">
        <w:t>’</w:t>
      </w:r>
      <w:r>
        <w:t xml:space="preserve">Union faisait désormais référence à une </w:t>
      </w:r>
      <w:r w:rsidR="00DD344A">
        <w:t>‘</w:t>
      </w:r>
      <w:r>
        <w:t>autorisation</w:t>
      </w:r>
      <w:r w:rsidR="00DD344A">
        <w:t>’</w:t>
      </w:r>
      <w:r>
        <w:t xml:space="preserve">, alors que le projet était fondé sur la notion de </w:t>
      </w:r>
      <w:r w:rsidR="00DD344A">
        <w:t>‘</w:t>
      </w:r>
      <w:r>
        <w:t>consentement</w:t>
      </w:r>
      <w:r w:rsidR="00DD344A">
        <w:t>’</w:t>
      </w:r>
      <w:r>
        <w:t xml:space="preserve">. </w:t>
      </w:r>
      <w:r w:rsidR="008D74D3">
        <w:t xml:space="preserve"> </w:t>
      </w:r>
      <w:r>
        <w:t>Il a été indiqué que l</w:t>
      </w:r>
      <w:r w:rsidR="00DD344A">
        <w:t>’</w:t>
      </w:r>
      <w:r>
        <w:t>intention n</w:t>
      </w:r>
      <w:r w:rsidR="00DD344A">
        <w:t>’</w:t>
      </w:r>
      <w:r>
        <w:t>était pas de modifier le texte en profondeur [</w:t>
      </w:r>
      <w:r w:rsidR="008D74D3">
        <w:t>…</w:t>
      </w:r>
      <w:r>
        <w:t xml:space="preserve">]” (voir le </w:t>
      </w:r>
      <w:r w:rsidR="00E044DD">
        <w:t>paragraphe 7</w:t>
      </w:r>
      <w:r>
        <w:t>4 du document CAJ/27/8 “Compte rendu”</w:t>
      </w:r>
      <w:r w:rsidR="006B017C">
        <w:t xml:space="preserve"> </w:t>
      </w:r>
      <w:r>
        <w:t xml:space="preserve">et le </w:t>
      </w:r>
      <w:r w:rsidR="00E044DD">
        <w:t>paragraphe 1</w:t>
      </w:r>
      <w:r>
        <w:t>8 du document WG</w:t>
      </w:r>
      <w:r w:rsidR="00DD344A">
        <w:t>-</w:t>
      </w:r>
      <w:r>
        <w:t>HRV/2/6 “Projet de compte rendu”).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302" w:rsidRPr="00C5280D" w:rsidRDefault="006D5302" w:rsidP="006D5302">
    <w:pPr>
      <w:pStyle w:val="Header"/>
      <w:rPr>
        <w:rStyle w:val="PageNumber"/>
      </w:rPr>
    </w:pPr>
    <w:r>
      <w:rPr>
        <w:rStyle w:val="PageNumber"/>
      </w:rPr>
      <w:t>WG-HRV/3/3</w:t>
    </w:r>
  </w:p>
  <w:p w:rsidR="006D5302" w:rsidRPr="00C5280D" w:rsidRDefault="006D5302" w:rsidP="006D5302">
    <w:pPr>
      <w:pStyle w:val="Header"/>
    </w:pPr>
    <w:r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6D3A5D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6D5302" w:rsidRPr="00C5280D" w:rsidRDefault="006D5302" w:rsidP="006D53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3877CC" w:rsidP="00EB048E">
    <w:pPr>
      <w:pStyle w:val="Header"/>
      <w:rPr>
        <w:rStyle w:val="PageNumber"/>
      </w:rPr>
    </w:pPr>
    <w:r>
      <w:rPr>
        <w:rStyle w:val="PageNumber"/>
      </w:rPr>
      <w:t>WG-HRV/3/3</w:t>
    </w:r>
  </w:p>
  <w:p w:rsidR="00182B99" w:rsidRPr="00C5280D" w:rsidRDefault="00182B99" w:rsidP="00EB048E">
    <w:pPr>
      <w:pStyle w:val="Header"/>
    </w:pPr>
    <w:r>
      <w:t>page</w:t>
    </w:r>
    <w:r w:rsidR="006A3313">
      <w:t> 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6D3A5D">
      <w:rPr>
        <w:rStyle w:val="PageNumber"/>
        <w:noProof/>
      </w:rPr>
      <w:t>5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313" w:rsidRDefault="006A3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E48B6"/>
    <w:multiLevelType w:val="hybridMultilevel"/>
    <w:tmpl w:val="42B2377A"/>
    <w:lvl w:ilvl="0" w:tplc="C0C6DE64">
      <w:start w:val="4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5945DF4"/>
    <w:multiLevelType w:val="hybridMultilevel"/>
    <w:tmpl w:val="FBA69184"/>
    <w:lvl w:ilvl="0" w:tplc="A684AE44">
      <w:start w:val="1"/>
      <w:numFmt w:val="lowerLetter"/>
      <w:lvlText w:val="(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C1"/>
    <w:rsid w:val="00010CF3"/>
    <w:rsid w:val="00011E27"/>
    <w:rsid w:val="000148BC"/>
    <w:rsid w:val="00024AB8"/>
    <w:rsid w:val="00030854"/>
    <w:rsid w:val="00031341"/>
    <w:rsid w:val="00036028"/>
    <w:rsid w:val="00044642"/>
    <w:rsid w:val="000446B9"/>
    <w:rsid w:val="000452DC"/>
    <w:rsid w:val="00047E21"/>
    <w:rsid w:val="00050E16"/>
    <w:rsid w:val="00077523"/>
    <w:rsid w:val="0008317D"/>
    <w:rsid w:val="00085505"/>
    <w:rsid w:val="000B1F81"/>
    <w:rsid w:val="000B2E15"/>
    <w:rsid w:val="000C4E25"/>
    <w:rsid w:val="000C7021"/>
    <w:rsid w:val="000D2764"/>
    <w:rsid w:val="000D6BBC"/>
    <w:rsid w:val="000D7780"/>
    <w:rsid w:val="000E636A"/>
    <w:rsid w:val="000F2F11"/>
    <w:rsid w:val="00105929"/>
    <w:rsid w:val="00110C36"/>
    <w:rsid w:val="001131D5"/>
    <w:rsid w:val="00114517"/>
    <w:rsid w:val="00127E12"/>
    <w:rsid w:val="001374E9"/>
    <w:rsid w:val="00141DB8"/>
    <w:rsid w:val="00162E73"/>
    <w:rsid w:val="00172084"/>
    <w:rsid w:val="0017407D"/>
    <w:rsid w:val="0017474A"/>
    <w:rsid w:val="001758C6"/>
    <w:rsid w:val="00182B99"/>
    <w:rsid w:val="001C1525"/>
    <w:rsid w:val="001D0CF7"/>
    <w:rsid w:val="001E539A"/>
    <w:rsid w:val="001E6B99"/>
    <w:rsid w:val="001F3AC2"/>
    <w:rsid w:val="0021332C"/>
    <w:rsid w:val="00213982"/>
    <w:rsid w:val="002401C9"/>
    <w:rsid w:val="0024416D"/>
    <w:rsid w:val="00267C2B"/>
    <w:rsid w:val="00271911"/>
    <w:rsid w:val="002800A0"/>
    <w:rsid w:val="002801B3"/>
    <w:rsid w:val="00281060"/>
    <w:rsid w:val="00284138"/>
    <w:rsid w:val="002940E8"/>
    <w:rsid w:val="00294751"/>
    <w:rsid w:val="002A6E50"/>
    <w:rsid w:val="002B4298"/>
    <w:rsid w:val="002C256A"/>
    <w:rsid w:val="002D6675"/>
    <w:rsid w:val="00305A7F"/>
    <w:rsid w:val="003152FE"/>
    <w:rsid w:val="00327436"/>
    <w:rsid w:val="00344BD6"/>
    <w:rsid w:val="0035528D"/>
    <w:rsid w:val="00361821"/>
    <w:rsid w:val="00361E9E"/>
    <w:rsid w:val="0038492B"/>
    <w:rsid w:val="003877CC"/>
    <w:rsid w:val="003C7FBE"/>
    <w:rsid w:val="003D227C"/>
    <w:rsid w:val="003D2B4D"/>
    <w:rsid w:val="003D7754"/>
    <w:rsid w:val="0040494E"/>
    <w:rsid w:val="00422032"/>
    <w:rsid w:val="00444A88"/>
    <w:rsid w:val="00447B71"/>
    <w:rsid w:val="00474DA4"/>
    <w:rsid w:val="00476B4D"/>
    <w:rsid w:val="004805FA"/>
    <w:rsid w:val="004935D2"/>
    <w:rsid w:val="00496DE8"/>
    <w:rsid w:val="004B1215"/>
    <w:rsid w:val="004B2158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1703"/>
    <w:rsid w:val="0055268D"/>
    <w:rsid w:val="005568A0"/>
    <w:rsid w:val="00567AED"/>
    <w:rsid w:val="00576BE4"/>
    <w:rsid w:val="005A37EA"/>
    <w:rsid w:val="005A400A"/>
    <w:rsid w:val="005C70A6"/>
    <w:rsid w:val="005D1A60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3EC1"/>
    <w:rsid w:val="00695C56"/>
    <w:rsid w:val="006A3313"/>
    <w:rsid w:val="006A5CDE"/>
    <w:rsid w:val="006A644A"/>
    <w:rsid w:val="006B017C"/>
    <w:rsid w:val="006B17D2"/>
    <w:rsid w:val="006C224E"/>
    <w:rsid w:val="006D2C4B"/>
    <w:rsid w:val="006D3A5D"/>
    <w:rsid w:val="006D5302"/>
    <w:rsid w:val="006D780A"/>
    <w:rsid w:val="006F6427"/>
    <w:rsid w:val="0071271E"/>
    <w:rsid w:val="00732DEC"/>
    <w:rsid w:val="00735BD5"/>
    <w:rsid w:val="007502F5"/>
    <w:rsid w:val="00751613"/>
    <w:rsid w:val="007556F6"/>
    <w:rsid w:val="00760EEF"/>
    <w:rsid w:val="00762A6E"/>
    <w:rsid w:val="00777EE5"/>
    <w:rsid w:val="00780A77"/>
    <w:rsid w:val="007823AC"/>
    <w:rsid w:val="00784836"/>
    <w:rsid w:val="0079023E"/>
    <w:rsid w:val="00790A4E"/>
    <w:rsid w:val="00792941"/>
    <w:rsid w:val="00797033"/>
    <w:rsid w:val="007A0F84"/>
    <w:rsid w:val="007A2854"/>
    <w:rsid w:val="007B2D5E"/>
    <w:rsid w:val="007C1D92"/>
    <w:rsid w:val="007C4CB9"/>
    <w:rsid w:val="007D0B9D"/>
    <w:rsid w:val="007D19B0"/>
    <w:rsid w:val="007D3DD7"/>
    <w:rsid w:val="007F498F"/>
    <w:rsid w:val="008016D3"/>
    <w:rsid w:val="0080679D"/>
    <w:rsid w:val="008108B0"/>
    <w:rsid w:val="00810EE9"/>
    <w:rsid w:val="00811B20"/>
    <w:rsid w:val="008211B5"/>
    <w:rsid w:val="0082296E"/>
    <w:rsid w:val="00824099"/>
    <w:rsid w:val="008377D0"/>
    <w:rsid w:val="00840595"/>
    <w:rsid w:val="008443C4"/>
    <w:rsid w:val="00846D7C"/>
    <w:rsid w:val="00867AC1"/>
    <w:rsid w:val="00890DF8"/>
    <w:rsid w:val="008A743F"/>
    <w:rsid w:val="008C0970"/>
    <w:rsid w:val="008C3987"/>
    <w:rsid w:val="008C6CC0"/>
    <w:rsid w:val="008C729D"/>
    <w:rsid w:val="008D0BC5"/>
    <w:rsid w:val="008D2CF7"/>
    <w:rsid w:val="008D74D3"/>
    <w:rsid w:val="008E13E8"/>
    <w:rsid w:val="00900C26"/>
    <w:rsid w:val="0090197F"/>
    <w:rsid w:val="00902C86"/>
    <w:rsid w:val="00903264"/>
    <w:rsid w:val="00906173"/>
    <w:rsid w:val="00906DDC"/>
    <w:rsid w:val="00934E09"/>
    <w:rsid w:val="00935FBB"/>
    <w:rsid w:val="00936253"/>
    <w:rsid w:val="00940D46"/>
    <w:rsid w:val="00943997"/>
    <w:rsid w:val="00952DD4"/>
    <w:rsid w:val="00956857"/>
    <w:rsid w:val="00962161"/>
    <w:rsid w:val="00965AE7"/>
    <w:rsid w:val="00970D91"/>
    <w:rsid w:val="00970FED"/>
    <w:rsid w:val="00992D82"/>
    <w:rsid w:val="00997029"/>
    <w:rsid w:val="009A3DBD"/>
    <w:rsid w:val="009A3EE9"/>
    <w:rsid w:val="009A7339"/>
    <w:rsid w:val="009B440E"/>
    <w:rsid w:val="009D690D"/>
    <w:rsid w:val="009E65B6"/>
    <w:rsid w:val="009F77CF"/>
    <w:rsid w:val="00A14D5B"/>
    <w:rsid w:val="00A24C10"/>
    <w:rsid w:val="00A33150"/>
    <w:rsid w:val="00A36805"/>
    <w:rsid w:val="00A42AC3"/>
    <w:rsid w:val="00A430CF"/>
    <w:rsid w:val="00A54309"/>
    <w:rsid w:val="00A76CBA"/>
    <w:rsid w:val="00AB2B93"/>
    <w:rsid w:val="00AB530F"/>
    <w:rsid w:val="00AB7E5B"/>
    <w:rsid w:val="00AC128D"/>
    <w:rsid w:val="00AC2883"/>
    <w:rsid w:val="00AC6EA0"/>
    <w:rsid w:val="00AC71F7"/>
    <w:rsid w:val="00AE0EF1"/>
    <w:rsid w:val="00AE2937"/>
    <w:rsid w:val="00B07301"/>
    <w:rsid w:val="00B11F3E"/>
    <w:rsid w:val="00B224DE"/>
    <w:rsid w:val="00B324D4"/>
    <w:rsid w:val="00B36169"/>
    <w:rsid w:val="00B46575"/>
    <w:rsid w:val="00B61777"/>
    <w:rsid w:val="00B6684D"/>
    <w:rsid w:val="00B67675"/>
    <w:rsid w:val="00B75DAD"/>
    <w:rsid w:val="00B84BBD"/>
    <w:rsid w:val="00BA43FB"/>
    <w:rsid w:val="00BA528E"/>
    <w:rsid w:val="00BC127D"/>
    <w:rsid w:val="00BC1FE6"/>
    <w:rsid w:val="00BF573D"/>
    <w:rsid w:val="00BF6500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0642"/>
    <w:rsid w:val="00C973F2"/>
    <w:rsid w:val="00CA304C"/>
    <w:rsid w:val="00CA774A"/>
    <w:rsid w:val="00CC11B0"/>
    <w:rsid w:val="00CC2841"/>
    <w:rsid w:val="00CE1E28"/>
    <w:rsid w:val="00CF1330"/>
    <w:rsid w:val="00CF4AD4"/>
    <w:rsid w:val="00CF7E36"/>
    <w:rsid w:val="00D121AD"/>
    <w:rsid w:val="00D307D1"/>
    <w:rsid w:val="00D36D1E"/>
    <w:rsid w:val="00D3708D"/>
    <w:rsid w:val="00D40426"/>
    <w:rsid w:val="00D57C96"/>
    <w:rsid w:val="00D57D18"/>
    <w:rsid w:val="00D90EE3"/>
    <w:rsid w:val="00D91203"/>
    <w:rsid w:val="00D95174"/>
    <w:rsid w:val="00DA4973"/>
    <w:rsid w:val="00DA6F36"/>
    <w:rsid w:val="00DB596E"/>
    <w:rsid w:val="00DB7773"/>
    <w:rsid w:val="00DC00EA"/>
    <w:rsid w:val="00DC3802"/>
    <w:rsid w:val="00DD344A"/>
    <w:rsid w:val="00DF4982"/>
    <w:rsid w:val="00E044DD"/>
    <w:rsid w:val="00E07D87"/>
    <w:rsid w:val="00E32F7E"/>
    <w:rsid w:val="00E4589D"/>
    <w:rsid w:val="00E5267B"/>
    <w:rsid w:val="00E63C0E"/>
    <w:rsid w:val="00E72D49"/>
    <w:rsid w:val="00E7593C"/>
    <w:rsid w:val="00E7678A"/>
    <w:rsid w:val="00E868D6"/>
    <w:rsid w:val="00E935F1"/>
    <w:rsid w:val="00E93C9E"/>
    <w:rsid w:val="00E94A81"/>
    <w:rsid w:val="00EA04C7"/>
    <w:rsid w:val="00EA1FFB"/>
    <w:rsid w:val="00EA413C"/>
    <w:rsid w:val="00EB048E"/>
    <w:rsid w:val="00EB4E9C"/>
    <w:rsid w:val="00EE34DF"/>
    <w:rsid w:val="00EE78D4"/>
    <w:rsid w:val="00EF2F89"/>
    <w:rsid w:val="00EF5404"/>
    <w:rsid w:val="00F03E98"/>
    <w:rsid w:val="00F1237A"/>
    <w:rsid w:val="00F221E0"/>
    <w:rsid w:val="00F22CBD"/>
    <w:rsid w:val="00F27044"/>
    <w:rsid w:val="00F272F1"/>
    <w:rsid w:val="00F45372"/>
    <w:rsid w:val="00F47FD9"/>
    <w:rsid w:val="00F560F7"/>
    <w:rsid w:val="00F6334D"/>
    <w:rsid w:val="00F63599"/>
    <w:rsid w:val="00F7475A"/>
    <w:rsid w:val="00FA49AB"/>
    <w:rsid w:val="00FA7748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4814C92D-8953-4F4E-A2F0-052D2601D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B017C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fr-FR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fr-FR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fr-FR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pov.int/meetings/fr/details.jsp?meeting_id=747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pov.int/meetings/fr/details.jsp?meeting_id=74773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7406-DC91-4853-BE38-C0891147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2270</Words>
  <Characters>12824</Characters>
  <Application>Microsoft Office Word</Application>
  <DocSecurity>0</DocSecurity>
  <Lines>267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WG-HRV/3/3</vt:lpstr>
    </vt:vector>
  </TitlesOfParts>
  <Company>UPOV</Company>
  <LinksUpToDate>false</LinksUpToDate>
  <CharactersWithSpaces>15000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WG-HRV/3/3</dc:title>
  <dc:creator>Author</dc:creator>
  <cp:keywords/>
  <cp:lastModifiedBy>SANTOS Carla Marina</cp:lastModifiedBy>
  <cp:revision>27</cp:revision>
  <cp:lastPrinted>2016-11-22T15:41:00Z</cp:lastPrinted>
  <dcterms:created xsi:type="dcterms:W3CDTF">2023-02-16T19:25:00Z</dcterms:created>
  <dcterms:modified xsi:type="dcterms:W3CDTF">2023-03-07T14:12:00Z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72676a97-f2b5-4a48-acf4-0373004667a0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