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139"/>
        <w:gridCol w:w="2934"/>
      </w:tblGrid>
      <w:tr w:rsidR="00456EE3" w:rsidRPr="00D56ED8" w:rsidTr="000F5051">
        <w:tc>
          <w:tcPr>
            <w:tcW w:w="6522" w:type="dxa"/>
          </w:tcPr>
          <w:p w:rsidR="00456EE3" w:rsidRPr="00D56ED8" w:rsidRDefault="00456EE3" w:rsidP="000F5051">
            <w:bookmarkStart w:id="0" w:name="_GoBack"/>
            <w:bookmarkEnd w:id="0"/>
            <w:r w:rsidRPr="00D56ED8">
              <w:rPr>
                <w:noProof/>
                <w:lang w:val="en-US"/>
              </w:rPr>
              <w:drawing>
                <wp:inline distT="0" distB="0" distL="0" distR="0" wp14:anchorId="28EFAD39" wp14:editId="0DD51B3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456EE3" w:rsidRPr="00D56ED8" w:rsidRDefault="00456EE3" w:rsidP="000F5051">
            <w:pPr>
              <w:pStyle w:val="Lettrine"/>
            </w:pPr>
            <w:r w:rsidRPr="00D56ED8">
              <w:t>F</w:t>
            </w:r>
          </w:p>
        </w:tc>
      </w:tr>
      <w:tr w:rsidR="00456EE3" w:rsidRPr="00D56ED8" w:rsidTr="000F5051">
        <w:trPr>
          <w:trHeight w:val="219"/>
        </w:trPr>
        <w:tc>
          <w:tcPr>
            <w:tcW w:w="6522" w:type="dxa"/>
          </w:tcPr>
          <w:p w:rsidR="00456EE3" w:rsidRPr="00D56ED8" w:rsidRDefault="00456EE3" w:rsidP="000F5051">
            <w:pPr>
              <w:pStyle w:val="upove"/>
            </w:pPr>
            <w:r w:rsidRPr="00D56ED8">
              <w:t>Union internationale pour la protection des obtentions végétales</w:t>
            </w:r>
          </w:p>
        </w:tc>
        <w:tc>
          <w:tcPr>
            <w:tcW w:w="3117" w:type="dxa"/>
          </w:tcPr>
          <w:p w:rsidR="00456EE3" w:rsidRPr="00D56ED8" w:rsidRDefault="00456EE3" w:rsidP="000F5051"/>
        </w:tc>
      </w:tr>
    </w:tbl>
    <w:p w:rsidR="00456EE3" w:rsidRPr="00D56ED8" w:rsidRDefault="00456EE3" w:rsidP="00456EE3"/>
    <w:p w:rsidR="00456EE3" w:rsidRPr="00D56ED8" w:rsidRDefault="00456EE3" w:rsidP="00456EE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129"/>
        <w:gridCol w:w="2944"/>
      </w:tblGrid>
      <w:tr w:rsidR="00456EE3" w:rsidRPr="00D56ED8" w:rsidTr="000F5051">
        <w:tc>
          <w:tcPr>
            <w:tcW w:w="6512" w:type="dxa"/>
          </w:tcPr>
          <w:p w:rsidR="00456EE3" w:rsidRPr="00D56ED8" w:rsidRDefault="00456EE3" w:rsidP="000F5051">
            <w:pPr>
              <w:pStyle w:val="Sessiontc"/>
              <w:spacing w:line="240" w:lineRule="auto"/>
            </w:pPr>
            <w:r w:rsidRPr="00D56ED8">
              <w:t>Groupe de travail sur le produit de la récolte et l</w:t>
            </w:r>
            <w:r w:rsidR="0034393B">
              <w:t>’</w:t>
            </w:r>
            <w:r w:rsidRPr="00D56ED8">
              <w:t>utilisation non autorisée de matériel de reproduction ou de multiplication</w:t>
            </w:r>
          </w:p>
          <w:p w:rsidR="00456EE3" w:rsidRPr="00D56ED8" w:rsidRDefault="00456EE3" w:rsidP="000F5051">
            <w:pPr>
              <w:pStyle w:val="Sessiontcplacedate"/>
            </w:pPr>
            <w:r w:rsidRPr="00D56ED8">
              <w:t>Deuxième</w:t>
            </w:r>
            <w:r>
              <w:t> </w:t>
            </w:r>
            <w:r w:rsidRPr="00D56ED8">
              <w:t>réunion</w:t>
            </w:r>
          </w:p>
          <w:p w:rsidR="00456EE3" w:rsidRPr="00D56ED8" w:rsidRDefault="00456EE3" w:rsidP="000F5051">
            <w:pPr>
              <w:pStyle w:val="Sessiontcplacedate"/>
              <w:rPr>
                <w:sz w:val="22"/>
              </w:rPr>
            </w:pPr>
            <w:r w:rsidRPr="00D56ED8">
              <w:t>Genève, 6 septembre 2022</w:t>
            </w:r>
          </w:p>
        </w:tc>
        <w:tc>
          <w:tcPr>
            <w:tcW w:w="3127" w:type="dxa"/>
          </w:tcPr>
          <w:p w:rsidR="00456EE3" w:rsidRPr="00D56ED8" w:rsidRDefault="00456EE3" w:rsidP="000F5051">
            <w:pPr>
              <w:pStyle w:val="Doccode"/>
              <w:rPr>
                <w:lang w:val="fr-FR"/>
              </w:rPr>
            </w:pPr>
            <w:r w:rsidRPr="00D56ED8">
              <w:rPr>
                <w:lang w:val="fr-FR"/>
              </w:rPr>
              <w:t>WG</w:t>
            </w:r>
            <w:r w:rsidR="0034393B">
              <w:rPr>
                <w:lang w:val="fr-FR"/>
              </w:rPr>
              <w:t>-</w:t>
            </w:r>
            <w:r w:rsidRPr="00D56ED8">
              <w:rPr>
                <w:lang w:val="fr-FR"/>
              </w:rPr>
              <w:t>HRV/2/</w:t>
            </w:r>
            <w:r>
              <w:rPr>
                <w:lang w:val="fr-FR"/>
              </w:rPr>
              <w:t>6</w:t>
            </w:r>
          </w:p>
          <w:p w:rsidR="00456EE3" w:rsidRPr="00D56ED8" w:rsidRDefault="00456EE3" w:rsidP="000F5051">
            <w:pPr>
              <w:pStyle w:val="Doccode"/>
              <w:rPr>
                <w:lang w:val="fr-FR"/>
              </w:rPr>
            </w:pPr>
          </w:p>
          <w:p w:rsidR="00456EE3" w:rsidRPr="00D56ED8" w:rsidRDefault="00456EE3" w:rsidP="000F5051">
            <w:pPr>
              <w:pStyle w:val="Docoriginal"/>
            </w:pPr>
            <w:r w:rsidRPr="00D56ED8">
              <w:t>Original</w:t>
            </w:r>
            <w:r w:rsidR="0034393B">
              <w:t> :</w:t>
            </w:r>
            <w:r w:rsidRPr="00D56ED8">
              <w:rPr>
                <w:b w:val="0"/>
                <w:spacing w:val="0"/>
              </w:rPr>
              <w:t xml:space="preserve"> anglais</w:t>
            </w:r>
          </w:p>
          <w:p w:rsidR="00456EE3" w:rsidRPr="00D56ED8" w:rsidRDefault="00456EE3" w:rsidP="00456EE3">
            <w:pPr>
              <w:pStyle w:val="Docoriginal"/>
            </w:pPr>
            <w:r w:rsidRPr="00D56ED8">
              <w:t>Date</w:t>
            </w:r>
            <w:r w:rsidR="0034393B">
              <w:t> :</w:t>
            </w:r>
            <w:r w:rsidRPr="00D56ED8">
              <w:rPr>
                <w:b w:val="0"/>
                <w:spacing w:val="0"/>
              </w:rPr>
              <w:t xml:space="preserve"> </w:t>
            </w:r>
            <w:r>
              <w:rPr>
                <w:b w:val="0"/>
                <w:spacing w:val="0"/>
              </w:rPr>
              <w:t>26 février</w:t>
            </w:r>
            <w:r w:rsidRPr="00D56ED8">
              <w:rPr>
                <w:b w:val="0"/>
                <w:spacing w:val="0"/>
              </w:rPr>
              <w:t> 202</w:t>
            </w:r>
            <w:r>
              <w:rPr>
                <w:b w:val="0"/>
                <w:spacing w:val="0"/>
              </w:rPr>
              <w:t>3</w:t>
            </w:r>
          </w:p>
        </w:tc>
      </w:tr>
    </w:tbl>
    <w:p w:rsidR="00456EE3" w:rsidRPr="006844EC" w:rsidRDefault="00456EE3" w:rsidP="00456EE3">
      <w:pPr>
        <w:spacing w:before="600" w:after="240"/>
        <w:rPr>
          <w:b/>
          <w:caps/>
        </w:rPr>
      </w:pPr>
      <w:r>
        <w:rPr>
          <w:b/>
          <w:caps/>
        </w:rPr>
        <w:t>Compte rendu</w:t>
      </w:r>
    </w:p>
    <w:p w:rsidR="00456EE3" w:rsidRPr="006A644A" w:rsidRDefault="00456EE3" w:rsidP="00456EE3">
      <w:pPr>
        <w:pStyle w:val="preparedby"/>
        <w:jc w:val="left"/>
      </w:pPr>
      <w:r>
        <w:t>adopté par le Groupe de travail sur le produit de la récolte et l</w:t>
      </w:r>
      <w:r w:rsidR="0034393B">
        <w:t>’</w:t>
      </w:r>
      <w:r>
        <w:t>utilisation non autorisée de matériel de reproduction ou de multiplication</w:t>
      </w:r>
    </w:p>
    <w:p w:rsidR="00456EE3" w:rsidRPr="00D56ED8" w:rsidRDefault="00456EE3" w:rsidP="009822F6">
      <w:pPr>
        <w:pStyle w:val="Disclaimer"/>
        <w:jc w:val="both"/>
      </w:pPr>
      <w:r w:rsidRPr="00D56ED8">
        <w:t>Avertissement</w:t>
      </w:r>
      <w:r w:rsidR="0034393B">
        <w:t> :</w:t>
      </w:r>
      <w:r w:rsidRPr="00D56ED8">
        <w:t xml:space="preserve"> le présent document ne représente pas les principes ou les orientations de l</w:t>
      </w:r>
      <w:r w:rsidR="0034393B">
        <w:t>’</w:t>
      </w:r>
      <w:r w:rsidRPr="00D56ED8">
        <w:t>UPOV</w:t>
      </w:r>
    </w:p>
    <w:p w:rsidR="00456EE3" w:rsidRPr="001A3204" w:rsidRDefault="001A3204" w:rsidP="009822F6">
      <w:pPr>
        <w:pStyle w:val="Heading1"/>
        <w:jc w:val="both"/>
      </w:pPr>
      <w:r w:rsidRPr="001A3204">
        <w:t>Ouverture de la réunion</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Le Groupe de travail sur le produit de la récolte et l</w:t>
      </w:r>
      <w:r w:rsidR="0034393B">
        <w:t>’</w:t>
      </w:r>
      <w:r w:rsidRPr="00456EE3">
        <w:t xml:space="preserve">utilisation non autorisée de matériel de reproduction ou de multiplication (WGHRV) a tenu sa deuxième réunion par voie électronique le </w:t>
      </w:r>
      <w:r w:rsidR="0034393B" w:rsidRPr="00456EE3">
        <w:t>6</w:t>
      </w:r>
      <w:r w:rsidR="0034393B">
        <w:t> </w:t>
      </w:r>
      <w:r w:rsidR="0034393B" w:rsidRPr="00456EE3">
        <w:t>septembre</w:t>
      </w:r>
      <w:r w:rsidR="0034393B">
        <w:t> </w:t>
      </w:r>
      <w:r w:rsidR="0034393B" w:rsidRPr="00456EE3">
        <w:t>20</w:t>
      </w:r>
      <w:r w:rsidRPr="00456EE3">
        <w:t>22, sous la présidence de M.</w:t>
      </w:r>
      <w:r w:rsidR="002A34C4">
        <w:t> </w:t>
      </w:r>
      <w:r w:rsidRPr="00456EE3">
        <w:t>Peter</w:t>
      </w:r>
      <w:r w:rsidR="00AC0F2C">
        <w:t> </w:t>
      </w:r>
      <w:r w:rsidRPr="00456EE3">
        <w:t>Button, secrétaire général adjoint de l</w:t>
      </w:r>
      <w:r w:rsidR="0034393B">
        <w:t>’</w:t>
      </w:r>
      <w:r w:rsidRPr="00456EE3">
        <w:t>UPOV.</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La réunion est ouverte par le président qui souhaite la bienvenue aux participants.</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La liste des participants fait l</w:t>
      </w:r>
      <w:r w:rsidR="0034393B">
        <w:t>’</w:t>
      </w:r>
      <w:r w:rsidRPr="00456EE3">
        <w:t>objet de l</w:t>
      </w:r>
      <w:r w:rsidR="0034393B">
        <w:t>’</w:t>
      </w:r>
      <w:r w:rsidRPr="00456EE3">
        <w:t>annexe du présent compte rendu.</w:t>
      </w:r>
    </w:p>
    <w:p w:rsidR="00456EE3" w:rsidRPr="001A3204" w:rsidRDefault="00456EE3" w:rsidP="009822F6">
      <w:pPr>
        <w:pStyle w:val="Heading1"/>
        <w:jc w:val="both"/>
      </w:pPr>
      <w:r w:rsidRPr="001A3204">
        <w:t>Adoption de l</w:t>
      </w:r>
      <w:r w:rsidR="0034393B" w:rsidRPr="001A3204">
        <w:t>’</w:t>
      </w:r>
      <w:r w:rsidRPr="001A3204">
        <w:t>ordre du jour</w:t>
      </w:r>
    </w:p>
    <w:p w:rsidR="00456EE3" w:rsidRPr="00456EE3" w:rsidRDefault="00456EE3" w:rsidP="009822F6">
      <w:pPr>
        <w:spacing w:after="160"/>
        <w:jc w:val="both"/>
        <w:rPr>
          <w:rFonts w:cs="Arial"/>
        </w:rPr>
      </w:pPr>
      <w:r w:rsidRPr="00456EE3">
        <w:rPr>
          <w:rFonts w:cs="Arial"/>
        </w:rPr>
        <w:fldChar w:fldCharType="begin"/>
      </w:r>
      <w:r w:rsidRPr="00456EE3">
        <w:rPr>
          <w:rFonts w:cs="Arial"/>
        </w:rPr>
        <w:instrText xml:space="preserve"> AUTONUM  </w:instrText>
      </w:r>
      <w:r w:rsidRPr="00456EE3">
        <w:rPr>
          <w:rFonts w:cs="Arial"/>
        </w:rPr>
        <w:fldChar w:fldCharType="end"/>
      </w:r>
      <w:r w:rsidRPr="00456EE3">
        <w:tab/>
        <w:t>Le WG</w:t>
      </w:r>
      <w:r w:rsidR="0034393B">
        <w:t>-</w:t>
      </w:r>
      <w:r w:rsidRPr="00456EE3">
        <w:t>HRV adopte le projet d</w:t>
      </w:r>
      <w:r w:rsidR="0034393B">
        <w:t>’</w:t>
      </w:r>
      <w:r w:rsidRPr="00456EE3">
        <w:t>ordre du jour proposé dans le document</w:t>
      </w:r>
      <w:r w:rsidR="00AC0F2C">
        <w:t> </w:t>
      </w:r>
      <w:r w:rsidRPr="00456EE3">
        <w:t>WG</w:t>
      </w:r>
      <w:r w:rsidR="0034393B">
        <w:t>-</w:t>
      </w:r>
      <w:r w:rsidRPr="00456EE3">
        <w:t>HRV/2/1.</w:t>
      </w:r>
    </w:p>
    <w:p w:rsidR="00456EE3" w:rsidRPr="00EA2145" w:rsidRDefault="00456EE3" w:rsidP="009822F6">
      <w:pPr>
        <w:pStyle w:val="Heading1"/>
        <w:jc w:val="both"/>
      </w:pPr>
      <w:r w:rsidRPr="00EA2145">
        <w:t xml:space="preserve">Informations concernant le matériel de reproduction ou de multiplication, les actes </w:t>
      </w:r>
      <w:r w:rsidR="0034393B" w:rsidRPr="00EA2145">
        <w:t>à l’égard</w:t>
      </w:r>
      <w:r w:rsidRPr="00EA2145">
        <w:t xml:space="preserve"> du produit de la récolte et la protection provisoire selon la </w:t>
      </w:r>
      <w:r w:rsidR="0034393B" w:rsidRPr="00EA2145">
        <w:t>Convention UPOV</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w:t>
      </w:r>
      <w:r w:rsidR="001A3204">
        <w:t>e</w:t>
      </w:r>
      <w:r w:rsidRPr="00456EE3">
        <w:t xml:space="preserve"> WG</w:t>
      </w:r>
      <w:r w:rsidR="0034393B">
        <w:t>-</w:t>
      </w:r>
      <w:r w:rsidRPr="00456EE3">
        <w:t>HRV examine le document</w:t>
      </w:r>
      <w:r w:rsidR="00AC0F2C">
        <w:t> </w:t>
      </w:r>
      <w:r w:rsidRPr="00456EE3">
        <w:t>WG</w:t>
      </w:r>
      <w:r w:rsidR="0034393B">
        <w:t>-</w:t>
      </w:r>
      <w:r w:rsidRPr="00456EE3">
        <w:t>HRV/2/2 et note que des parties du document seront présentées sous les points pertinents de l</w:t>
      </w:r>
      <w:r w:rsidR="0034393B">
        <w:t>’</w:t>
      </w:r>
      <w:r w:rsidRPr="00456EE3">
        <w:t>ordre du jour.</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 HRV note que les propositions et les</w:t>
      </w:r>
      <w:r w:rsidR="00EA2145">
        <w:t xml:space="preserve"> observations reçues en réponse </w:t>
      </w:r>
      <w:r w:rsidRPr="00456EE3">
        <w:t>aux</w:t>
      </w:r>
      <w:r w:rsidR="001A3204">
        <w:t> </w:t>
      </w:r>
      <w:r w:rsidRPr="00456EE3">
        <w:t>circulaires</w:t>
      </w:r>
      <w:r w:rsidR="00AC0F2C">
        <w:t> </w:t>
      </w:r>
      <w:r w:rsidRPr="00456EE3">
        <w:t>E</w:t>
      </w:r>
      <w:r w:rsidR="001A3204">
        <w:noBreakHyphen/>
      </w:r>
      <w:r w:rsidRPr="00456EE3">
        <w:t>21/228 et</w:t>
      </w:r>
      <w:r w:rsidR="001A3204">
        <w:t> </w:t>
      </w:r>
      <w:r w:rsidRPr="00456EE3">
        <w:t>E</w:t>
      </w:r>
      <w:r w:rsidR="0034393B">
        <w:t>-</w:t>
      </w:r>
      <w:r w:rsidRPr="00456EE3">
        <w:t>22/058 ont été introduites dans des encadrés dans les</w:t>
      </w:r>
      <w:r w:rsidR="001A3204">
        <w:t> </w:t>
      </w:r>
      <w:r w:rsidRPr="00456EE3">
        <w:t>documents</w:t>
      </w:r>
      <w:r w:rsidR="00AC0F2C">
        <w:t> </w:t>
      </w:r>
      <w:r w:rsidRPr="00456EE3">
        <w:t>WG</w:t>
      </w:r>
      <w:r w:rsidR="001A3204">
        <w:noBreakHyphen/>
      </w:r>
      <w:r w:rsidRPr="00456EE3">
        <w:t>HRV/2/3 (propositions concernant le document</w:t>
      </w:r>
      <w:r w:rsidR="00AC0F2C">
        <w:t> </w:t>
      </w:r>
      <w:r w:rsidRPr="00456EE3">
        <w:t>UPOV/EXN/PPM/1), WG</w:t>
      </w:r>
      <w:r w:rsidR="0034393B">
        <w:t>-</w:t>
      </w:r>
      <w:r w:rsidRPr="00456EE3">
        <w:t>HRV/2/4 (propositions concernant le document</w:t>
      </w:r>
      <w:r w:rsidR="00AC0F2C">
        <w:t> </w:t>
      </w:r>
      <w:r w:rsidRPr="00456EE3">
        <w:t>UPOV/EXN/HRV/1) et</w:t>
      </w:r>
      <w:r w:rsidR="001A3204">
        <w:t> </w:t>
      </w:r>
      <w:r w:rsidRPr="00456EE3">
        <w:t>WG</w:t>
      </w:r>
      <w:r w:rsidR="0034393B">
        <w:t>-</w:t>
      </w:r>
      <w:r w:rsidRPr="00456EE3">
        <w:t>HRV/2/5 (propositions concernant le</w:t>
      </w:r>
      <w:r w:rsidR="001A3204">
        <w:t> </w:t>
      </w:r>
      <w:r w:rsidRPr="00456EE3">
        <w:t>document</w:t>
      </w:r>
      <w:r w:rsidR="00AC0F2C">
        <w:t> </w:t>
      </w:r>
      <w:r w:rsidRPr="00456EE3">
        <w:t>UPOV/EXN/PRP/2).</w:t>
      </w:r>
    </w:p>
    <w:p w:rsidR="0034393B" w:rsidRPr="001A3204" w:rsidRDefault="001A3204" w:rsidP="009822F6">
      <w:pPr>
        <w:pStyle w:val="Heading1"/>
        <w:jc w:val="both"/>
      </w:pPr>
      <w:r w:rsidRPr="001A3204">
        <w:lastRenderedPageBreak/>
        <w:t>Propositions concernant les notes explicatives sur le matériel de reproduction ou de multiplication selon la Convention UPOV</w:t>
      </w:r>
    </w:p>
    <w:p w:rsidR="0034393B" w:rsidRDefault="00456EE3" w:rsidP="009822F6">
      <w:pPr>
        <w:keepNext/>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examine les documents</w:t>
      </w:r>
      <w:r w:rsidR="00AC0F2C">
        <w:t> </w:t>
      </w:r>
      <w:r w:rsidRPr="00456EE3">
        <w:t>WG</w:t>
      </w:r>
      <w:r w:rsidR="0034393B">
        <w:t>-</w:t>
      </w:r>
      <w:r w:rsidRPr="00456EE3">
        <w:t>HRV/2/2 et</w:t>
      </w:r>
      <w:r w:rsidR="001A3204">
        <w:t> </w:t>
      </w:r>
      <w:r w:rsidRPr="00456EE3">
        <w:t>WG</w:t>
      </w:r>
      <w:r w:rsidR="0034393B">
        <w:t>-</w:t>
      </w:r>
      <w:r w:rsidRPr="00456EE3">
        <w:t>HRV/2/3.</w:t>
      </w:r>
    </w:p>
    <w:p w:rsidR="00456EE3" w:rsidRPr="00456EE3" w:rsidRDefault="00456EE3" w:rsidP="009822F6">
      <w:pPr>
        <w:keepNext/>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note qu</w:t>
      </w:r>
      <w:r w:rsidR="0034393B">
        <w:t>’</w:t>
      </w:r>
      <w:r w:rsidRPr="00456EE3">
        <w:t>il existe certaines similitudes entre les facteurs</w:t>
      </w:r>
      <w:r w:rsidR="00AC0F2C">
        <w:t> </w:t>
      </w:r>
      <w:r w:rsidRPr="00456EE3">
        <w:t>iii) et vii)</w:t>
      </w:r>
      <w:r w:rsidR="002A34C4">
        <w:t> </w:t>
      </w:r>
      <w:r w:rsidRPr="00456EE3">
        <w:t>dans l</w:t>
      </w:r>
      <w:r w:rsidR="0034393B">
        <w:t>’</w:t>
      </w:r>
      <w:r w:rsidRPr="00456EE3">
        <w:t>annexe du document</w:t>
      </w:r>
      <w:r w:rsidR="00AC0F2C">
        <w:t> </w:t>
      </w:r>
      <w:r w:rsidRPr="00456EE3">
        <w:t>WG</w:t>
      </w:r>
      <w:r w:rsidR="0034393B">
        <w:t>-</w:t>
      </w:r>
      <w:r w:rsidRPr="00456EE3">
        <w:t>HRV/2/3</w:t>
      </w:r>
      <w:r w:rsidR="0034393B">
        <w:t> :</w:t>
      </w:r>
    </w:p>
    <w:p w:rsidR="00456EE3" w:rsidRPr="00456EE3" w:rsidRDefault="00456EE3" w:rsidP="009822F6">
      <w:pPr>
        <w:keepNext/>
        <w:spacing w:after="160"/>
        <w:ind w:left="1134" w:hanging="567"/>
        <w:jc w:val="both"/>
      </w:pPr>
      <w:r w:rsidRPr="00456EE3">
        <w:t>“iii)</w:t>
      </w:r>
      <w:r w:rsidR="001A3204">
        <w:tab/>
      </w:r>
      <w:r w:rsidRPr="00456EE3">
        <w:t>indiquer si le matériel peut produire des plantes entières de la variété;</w:t>
      </w:r>
    </w:p>
    <w:p w:rsidR="00456EE3" w:rsidRPr="00456EE3" w:rsidRDefault="001A3204" w:rsidP="009822F6">
      <w:pPr>
        <w:keepNext/>
        <w:spacing w:after="160"/>
        <w:ind w:left="567"/>
        <w:jc w:val="both"/>
      </w:pPr>
      <w:r>
        <w:t>“</w:t>
      </w:r>
      <w:r w:rsidR="00456EE3" w:rsidRPr="00456EE3">
        <w:t>[…]</w:t>
      </w:r>
    </w:p>
    <w:p w:rsidR="00456EE3" w:rsidRPr="00456EE3" w:rsidRDefault="00456EE3" w:rsidP="009822F6">
      <w:pPr>
        <w:spacing w:after="160"/>
        <w:ind w:firstLine="567"/>
        <w:jc w:val="both"/>
      </w:pPr>
      <w:r w:rsidRPr="00456EE3">
        <w:t>“vii)</w:t>
      </w:r>
      <w:r w:rsidRPr="00456EE3">
        <w:tab/>
        <w:t xml:space="preserve">lorsque le produit de la récolte peut être utilisé comme matériel de reproduction ou de multiplication, il peut être considéré comme du matériel de reproduction ou de multiplication; </w:t>
      </w:r>
      <w:r w:rsidR="002A34C4">
        <w:t xml:space="preserve"> </w:t>
      </w:r>
      <w:r w:rsidRPr="00456EE3">
        <w:t>ou”</w:t>
      </w:r>
    </w:p>
    <w:p w:rsidR="00456EE3" w:rsidRPr="00456EE3" w:rsidRDefault="00456EE3" w:rsidP="009822F6">
      <w:pPr>
        <w:spacing w:after="160"/>
        <w:jc w:val="both"/>
      </w:pPr>
      <w:r w:rsidRPr="00456EE3">
        <w:rPr>
          <w:rFonts w:cs="Arial"/>
        </w:rPr>
        <w:fldChar w:fldCharType="begin"/>
      </w:r>
      <w:r w:rsidRPr="00456EE3">
        <w:rPr>
          <w:rFonts w:cs="Arial"/>
        </w:rPr>
        <w:instrText xml:space="preserve"> AUTONUM  </w:instrText>
      </w:r>
      <w:r w:rsidRPr="00456EE3">
        <w:rPr>
          <w:rFonts w:cs="Arial"/>
        </w:rPr>
        <w:fldChar w:fldCharType="end"/>
      </w:r>
      <w:r w:rsidRPr="00456EE3">
        <w:tab/>
        <w:t>Le WG</w:t>
      </w:r>
      <w:r w:rsidR="0034393B">
        <w:t>-</w:t>
      </w:r>
      <w:r w:rsidRPr="00456EE3">
        <w:t>HRV convient que les différences entre les facteurs</w:t>
      </w:r>
      <w:r w:rsidR="00AC0F2C">
        <w:t> </w:t>
      </w:r>
      <w:r w:rsidRPr="00456EE3">
        <w:t>iii) et</w:t>
      </w:r>
      <w:r w:rsidR="001A3204">
        <w:t> </w:t>
      </w:r>
      <w:r w:rsidRPr="00456EE3">
        <w:t>vii)</w:t>
      </w:r>
      <w:r w:rsidR="002A34C4">
        <w:t> </w:t>
      </w:r>
      <w:r w:rsidRPr="00456EE3">
        <w:t>devraient être clarifiées et que les éléments suivants devraient être pris en considération dans la formulation du prochain projet</w:t>
      </w:r>
      <w:r w:rsidR="0034393B">
        <w:t> :</w:t>
      </w:r>
    </w:p>
    <w:p w:rsidR="00456EE3" w:rsidRPr="00456EE3" w:rsidRDefault="00456EE3" w:rsidP="009822F6">
      <w:pPr>
        <w:spacing w:after="160"/>
        <w:ind w:left="1134" w:hanging="567"/>
        <w:jc w:val="both"/>
      </w:pPr>
      <w:r w:rsidRPr="00456EE3">
        <w:t>“a)</w:t>
      </w:r>
      <w:r w:rsidRPr="00456EE3">
        <w:tab/>
        <w:t>en ce qui concerne le facteur</w:t>
      </w:r>
      <w:r w:rsidR="00AC0F2C">
        <w:t> </w:t>
      </w:r>
      <w:r w:rsidRPr="00456EE3">
        <w:t>iii) “si le matériel peut produire des plantes entières de la variété”, examiner s</w:t>
      </w:r>
      <w:r w:rsidR="0034393B">
        <w:t>’</w:t>
      </w:r>
      <w:r w:rsidRPr="00456EE3">
        <w:t>il inclut des situations où le matériel lui</w:t>
      </w:r>
      <w:r w:rsidR="0034393B">
        <w:t>-</w:t>
      </w:r>
      <w:r w:rsidRPr="00456EE3">
        <w:t>même, sans intervention humaine, est capable de produire les plantes de la variété (par exemple, un tubercule);</w:t>
      </w:r>
    </w:p>
    <w:p w:rsidR="00456EE3" w:rsidRPr="00456EE3" w:rsidRDefault="00456EE3" w:rsidP="009822F6">
      <w:pPr>
        <w:spacing w:after="160"/>
        <w:ind w:left="1134" w:hanging="567"/>
        <w:jc w:val="both"/>
      </w:pPr>
      <w:r w:rsidRPr="00456EE3">
        <w:t>“b)</w:t>
      </w:r>
      <w:r w:rsidRPr="00456EE3">
        <w:tab/>
        <w:t>en ce qui concerne le facteur</w:t>
      </w:r>
      <w:r w:rsidR="00AC0F2C">
        <w:t> </w:t>
      </w:r>
      <w:r w:rsidRPr="00456EE3">
        <w:t>vii) “lorsque le produit de la récolte peut être utilisé comme matériel de reproduction ou de multiplication, il peut être considéré comme du matériel de reproduction ou de multiplication”, examiner s</w:t>
      </w:r>
      <w:r w:rsidR="0034393B">
        <w:t>’</w:t>
      </w:r>
      <w:r w:rsidRPr="00456EE3">
        <w:t>il inclut des situations qui nécessitent une intervention humaine pour la multiplication des plantes de la variété (par exemple, la culture de tissus);</w:t>
      </w:r>
    </w:p>
    <w:p w:rsidR="00456EE3" w:rsidRPr="00456EE3" w:rsidRDefault="00456EE3" w:rsidP="009822F6">
      <w:pPr>
        <w:spacing w:after="160"/>
        <w:ind w:left="1134" w:hanging="567"/>
        <w:jc w:val="both"/>
      </w:pPr>
      <w:r w:rsidRPr="00456EE3">
        <w:t>“c)</w:t>
      </w:r>
      <w:r w:rsidRPr="00456EE3">
        <w:tab/>
        <w:t>en ce qui concerne le facteur</w:t>
      </w:r>
      <w:r w:rsidR="00AC0F2C">
        <w:t> </w:t>
      </w:r>
      <w:r w:rsidRPr="00456EE3">
        <w:t>vii), envisager un alignement sur le style rédactionnel des autres facteurs comme suit</w:t>
      </w:r>
      <w:r w:rsidR="0034393B">
        <w:t> :</w:t>
      </w:r>
      <w:r w:rsidRPr="00456EE3">
        <w:t xml:space="preserve"> “</w:t>
      </w:r>
      <w:r w:rsidRPr="00456EE3">
        <w:rPr>
          <w:strike/>
          <w:highlight w:val="lightGray"/>
        </w:rPr>
        <w:t>lorsque le produit de la récolte,</w:t>
      </w:r>
      <w:r w:rsidR="00AC0F2C">
        <w:rPr>
          <w:highlight w:val="lightGray"/>
          <w:u w:val="single"/>
        </w:rPr>
        <w:t xml:space="preserve"> s</w:t>
      </w:r>
      <w:r w:rsidRPr="00456EE3">
        <w:rPr>
          <w:highlight w:val="lightGray"/>
          <w:u w:val="single"/>
        </w:rPr>
        <w:t xml:space="preserve">i le matériel, </w:t>
      </w:r>
      <w:r w:rsidR="0034393B">
        <w:rPr>
          <w:highlight w:val="lightGray"/>
          <w:u w:val="single"/>
        </w:rPr>
        <w:t>y compris</w:t>
      </w:r>
      <w:r w:rsidRPr="00456EE3">
        <w:rPr>
          <w:highlight w:val="lightGray"/>
          <w:u w:val="single"/>
        </w:rPr>
        <w:t xml:space="preserve"> le produit de la récolte</w:t>
      </w:r>
      <w:r w:rsidRPr="00456EE3">
        <w:t xml:space="preserve"> peut</w:t>
      </w:r>
      <w:r w:rsidR="002A34C4">
        <w:t>…</w:t>
      </w:r>
      <w:r w:rsidRPr="00456EE3">
        <w:t>”</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En ce qui concerne les commentaires sur l</w:t>
      </w:r>
      <w:r w:rsidR="0034393B">
        <w:t>’</w:t>
      </w:r>
      <w:r w:rsidRPr="00456EE3">
        <w:t>utilisation de la dénomination enregistrée pour le produit de la récolte, le WG</w:t>
      </w:r>
      <w:r w:rsidR="0034393B">
        <w:t>-</w:t>
      </w:r>
      <w:r w:rsidRPr="00456EE3">
        <w:t>HRV note qu</w:t>
      </w:r>
      <w:r w:rsidR="0034393B">
        <w:t>’</w:t>
      </w:r>
      <w:r w:rsidRPr="00456EE3">
        <w:t>une telle utilisation n</w:t>
      </w:r>
      <w:r w:rsidR="0034393B">
        <w:t>’</w:t>
      </w:r>
      <w:r w:rsidRPr="00456EE3">
        <w:t xml:space="preserve">est pas spécifiée dans la </w:t>
      </w:r>
      <w:r w:rsidR="0034393B">
        <w:t>Convention U</w:t>
      </w:r>
      <w:r w:rsidR="00AC0F2C">
        <w:t xml:space="preserve">POV.  </w:t>
      </w:r>
      <w:r w:rsidR="00AC0F2C" w:rsidRPr="00456EE3">
        <w:t>En</w:t>
      </w:r>
      <w:r w:rsidRPr="00456EE3">
        <w:t xml:space="preserve"> vertu de la </w:t>
      </w:r>
      <w:r w:rsidR="0034393B">
        <w:t>Convention UPOV</w:t>
      </w:r>
      <w:r w:rsidRPr="00456EE3">
        <w:t>, l</w:t>
      </w:r>
      <w:r w:rsidR="0034393B">
        <w:t>’</w:t>
      </w:r>
      <w:r w:rsidRPr="00456EE3">
        <w:t>obligation d</w:t>
      </w:r>
      <w:r w:rsidR="0034393B">
        <w:t>’</w:t>
      </w:r>
      <w:r w:rsidRPr="00456EE3">
        <w:t>utiliser la dénomination enregistrée s</w:t>
      </w:r>
      <w:r w:rsidR="0034393B">
        <w:t>’</w:t>
      </w:r>
      <w:r w:rsidRPr="00456EE3">
        <w:t>applique au matériel de reproduction ou de multiplication.</w:t>
      </w:r>
    </w:p>
    <w:p w:rsidR="00456EE3" w:rsidRPr="00456EE3" w:rsidRDefault="00456EE3" w:rsidP="009822F6">
      <w:pPr>
        <w:spacing w:after="160"/>
        <w:jc w:val="both"/>
        <w:rPr>
          <w:rFonts w:cs="Arial"/>
        </w:rPr>
      </w:pPr>
      <w:r w:rsidRPr="00456EE3">
        <w:fldChar w:fldCharType="begin"/>
      </w:r>
      <w:r w:rsidRPr="00456EE3">
        <w:instrText xml:space="preserve"> AUTONUM  </w:instrText>
      </w:r>
      <w:r w:rsidRPr="00456EE3">
        <w:fldChar w:fldCharType="end"/>
      </w:r>
      <w:r w:rsidRPr="00456EE3">
        <w:tab/>
        <w:t xml:space="preserve">Le représentant de la </w:t>
      </w:r>
      <w:r w:rsidR="00EA2145" w:rsidRPr="00EA2145">
        <w:t xml:space="preserve">Communauté internationale des obtenteurs de plantes horticoles de reproduction asexuée </w:t>
      </w:r>
      <w:r w:rsidRPr="00456EE3">
        <w:t>(CIOPORA) note, au nom de l</w:t>
      </w:r>
      <w:r w:rsidR="0034393B">
        <w:t>’</w:t>
      </w:r>
      <w:r w:rsidRPr="00456EE3">
        <w:t>Association africaine du commerce des semences</w:t>
      </w:r>
      <w:r w:rsidR="00F33405">
        <w:t> </w:t>
      </w:r>
      <w:r w:rsidRPr="00456EE3">
        <w:t>(AFSTA), de l</w:t>
      </w:r>
      <w:r w:rsidR="0034393B">
        <w:t>’</w:t>
      </w:r>
      <w:r w:rsidR="00EA2145" w:rsidRPr="00EA2145">
        <w:t>Association Asie</w:t>
      </w:r>
      <w:r w:rsidR="00EA2145" w:rsidRPr="00EA2145">
        <w:noBreakHyphen/>
        <w:t>Pacifique pour les semences</w:t>
      </w:r>
      <w:r w:rsidR="00F33405">
        <w:t> </w:t>
      </w:r>
      <w:r w:rsidRPr="00456EE3">
        <w:t>(APSA), de</w:t>
      </w:r>
      <w:r w:rsidR="0034393B" w:rsidRPr="00456EE3">
        <w:t xml:space="preserve"> la</w:t>
      </w:r>
      <w:r w:rsidR="0034393B">
        <w:t> </w:t>
      </w:r>
      <w:r w:rsidR="0034393B" w:rsidRPr="00456EE3">
        <w:t>CIO</w:t>
      </w:r>
      <w:r w:rsidRPr="00456EE3">
        <w:t xml:space="preserve">PORA, de </w:t>
      </w:r>
      <w:r w:rsidRPr="003B20FF">
        <w:rPr>
          <w:i/>
        </w:rPr>
        <w:t>CropLife International</w:t>
      </w:r>
      <w:r w:rsidRPr="00456EE3">
        <w:t>, d</w:t>
      </w:r>
      <w:r w:rsidR="0034393B">
        <w:t>’</w:t>
      </w:r>
      <w:r w:rsidRPr="00456EE3">
        <w:t>Euroseeds, de l</w:t>
      </w:r>
      <w:r w:rsidR="0034393B">
        <w:t>’</w:t>
      </w:r>
      <w:r w:rsidRPr="003B20FF">
        <w:rPr>
          <w:i/>
        </w:rPr>
        <w:t>International Seed Federation</w:t>
      </w:r>
      <w:r w:rsidR="00F33405" w:rsidRPr="003B20FF">
        <w:rPr>
          <w:i/>
        </w:rPr>
        <w:t> </w:t>
      </w:r>
      <w:r w:rsidRPr="00456EE3">
        <w:t xml:space="preserve">(ISF) et de la </w:t>
      </w:r>
      <w:r w:rsidRPr="003B20FF">
        <w:rPr>
          <w:i/>
        </w:rPr>
        <w:t>Seed Association of the Americas</w:t>
      </w:r>
      <w:r w:rsidR="00F33405">
        <w:t> </w:t>
      </w:r>
      <w:r w:rsidRPr="00456EE3">
        <w:t>(SAA), qu</w:t>
      </w:r>
      <w:r w:rsidR="0034393B">
        <w:t>’</w:t>
      </w:r>
      <w:r w:rsidRPr="00456EE3">
        <w:t>ils sont favorables à l</w:t>
      </w:r>
      <w:r w:rsidR="0034393B">
        <w:t>’</w:t>
      </w:r>
      <w:r w:rsidRPr="00456EE3">
        <w:t>élaboration d</w:t>
      </w:r>
      <w:r w:rsidR="0034393B">
        <w:t>’</w:t>
      </w:r>
      <w:r w:rsidRPr="00456EE3">
        <w:t>une définition unique du matériel de reproduction ou de multiplication plutôt que d</w:t>
      </w:r>
      <w:r w:rsidR="0034393B">
        <w:t>’</w:t>
      </w:r>
      <w:r w:rsidRPr="00456EE3">
        <w:t>une liste de facteurs à prendre en considération en ce qui concerne ce matériel.</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Le président rappelle les discussions antérieures sur cette approche et conclut qu</w:t>
      </w:r>
      <w:r w:rsidR="0034393B">
        <w:t>’</w:t>
      </w:r>
      <w:r w:rsidRPr="00456EE3">
        <w:t>il sera très difficile pour les membres de l</w:t>
      </w:r>
      <w:r w:rsidR="0034393B">
        <w:t>’</w:t>
      </w:r>
      <w:r w:rsidRPr="00456EE3">
        <w:t>Union de parvenir à un accord sur une définition unique du matériel de reproduction ou de multiplication.</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conclut que le fait de lier les questions relatives au matériel de reproduction ou de multiplication au produit de la récolte dans les notes explicatives sur le matériel de reproduction ou de multiplication pose problème.</w:t>
      </w:r>
    </w:p>
    <w:p w:rsidR="003B20FF" w:rsidRPr="003B20FF" w:rsidRDefault="00456EE3" w:rsidP="009822F6">
      <w:pPr>
        <w:spacing w:after="160"/>
        <w:jc w:val="both"/>
        <w:rPr>
          <w:snapToGrid w:val="0"/>
          <w:spacing w:val="-2"/>
        </w:rPr>
      </w:pPr>
      <w:r w:rsidRPr="00456EE3">
        <w:rPr>
          <w:snapToGrid w:val="0"/>
        </w:rPr>
        <w:fldChar w:fldCharType="begin"/>
      </w:r>
      <w:r w:rsidRPr="00456EE3">
        <w:rPr>
          <w:snapToGrid w:val="0"/>
        </w:rPr>
        <w:instrText xml:space="preserve"> AUTONUM  </w:instrText>
      </w:r>
      <w:r w:rsidRPr="00456EE3">
        <w:rPr>
          <w:snapToGrid w:val="0"/>
        </w:rPr>
        <w:fldChar w:fldCharType="end"/>
      </w:r>
      <w:r w:rsidRPr="00456EE3">
        <w:rPr>
          <w:snapToGrid w:val="0"/>
        </w:rPr>
        <w:tab/>
        <w:t>Le WG</w:t>
      </w:r>
      <w:r w:rsidR="0034393B">
        <w:rPr>
          <w:snapToGrid w:val="0"/>
        </w:rPr>
        <w:t>-</w:t>
      </w:r>
      <w:r w:rsidRPr="00456EE3">
        <w:rPr>
          <w:snapToGrid w:val="0"/>
        </w:rPr>
        <w:t xml:space="preserve">HRV </w:t>
      </w:r>
      <w:r w:rsidRPr="00456EE3">
        <w:t xml:space="preserve">demande </w:t>
      </w:r>
      <w:r w:rsidRPr="00456EE3">
        <w:rPr>
          <w:snapToGrid w:val="0"/>
        </w:rPr>
        <w:t>au Bureau de l</w:t>
      </w:r>
      <w:r w:rsidR="0034393B">
        <w:rPr>
          <w:snapToGrid w:val="0"/>
        </w:rPr>
        <w:t>’</w:t>
      </w:r>
      <w:r w:rsidRPr="00456EE3">
        <w:rPr>
          <w:snapToGrid w:val="0"/>
        </w:rPr>
        <w:t>Union d</w:t>
      </w:r>
      <w:r w:rsidR="0034393B">
        <w:rPr>
          <w:snapToGrid w:val="0"/>
        </w:rPr>
        <w:t>’</w:t>
      </w:r>
      <w:r w:rsidRPr="00456EE3">
        <w:rPr>
          <w:snapToGrid w:val="0"/>
        </w:rPr>
        <w:t xml:space="preserve">élaborer un nouveau projet de document </w:t>
      </w:r>
      <w:r w:rsidRPr="00456EE3">
        <w:t>apportant des éclaircissements sur les facteurs</w:t>
      </w:r>
      <w:r w:rsidR="00AC0F2C">
        <w:t> </w:t>
      </w:r>
      <w:r w:rsidRPr="00456EE3">
        <w:t>iii) et</w:t>
      </w:r>
      <w:r w:rsidR="00F33405">
        <w:rPr>
          <w:snapToGrid w:val="0"/>
        </w:rPr>
        <w:t> </w:t>
      </w:r>
      <w:r w:rsidRPr="00456EE3">
        <w:t>vii)</w:t>
      </w:r>
      <w:r w:rsidR="002A34C4">
        <w:t> </w:t>
      </w:r>
      <w:r w:rsidRPr="00456EE3">
        <w:rPr>
          <w:snapToGrid w:val="0"/>
        </w:rPr>
        <w:t>afin de faciliter la révision du</w:t>
      </w:r>
      <w:r w:rsidR="00F33405">
        <w:rPr>
          <w:snapToGrid w:val="0"/>
        </w:rPr>
        <w:t> </w:t>
      </w:r>
      <w:r w:rsidRPr="00456EE3">
        <w:rPr>
          <w:snapToGrid w:val="0"/>
        </w:rPr>
        <w:t>document</w:t>
      </w:r>
      <w:r w:rsidR="00F33405">
        <w:rPr>
          <w:snapToGrid w:val="0"/>
        </w:rPr>
        <w:t> </w:t>
      </w:r>
      <w:r w:rsidRPr="00456EE3">
        <w:t xml:space="preserve">UPOV/EXN/PPM/1, </w:t>
      </w:r>
      <w:r w:rsidRPr="00456EE3">
        <w:rPr>
          <w:snapToGrid w:val="0"/>
        </w:rPr>
        <w:t>pour examen par le WG</w:t>
      </w:r>
      <w:r w:rsidR="0034393B">
        <w:rPr>
          <w:snapToGrid w:val="0"/>
        </w:rPr>
        <w:t>-</w:t>
      </w:r>
      <w:r w:rsidRPr="00456EE3">
        <w:rPr>
          <w:snapToGrid w:val="0"/>
        </w:rPr>
        <w:t>HRV à sa troisième</w:t>
      </w:r>
      <w:r w:rsidR="00F33405">
        <w:rPr>
          <w:snapToGrid w:val="0"/>
        </w:rPr>
        <w:t> </w:t>
      </w:r>
      <w:r w:rsidRPr="00456EE3">
        <w:rPr>
          <w:snapToGrid w:val="0"/>
        </w:rPr>
        <w:t>réunion.</w:t>
      </w:r>
    </w:p>
    <w:p w:rsidR="0034393B" w:rsidRPr="00F33405" w:rsidRDefault="00F33405" w:rsidP="009822F6">
      <w:pPr>
        <w:pStyle w:val="Heading1"/>
        <w:jc w:val="both"/>
      </w:pPr>
      <w:r w:rsidRPr="00F33405">
        <w:lastRenderedPageBreak/>
        <w:t>Propositions concernant les notes explicatives sur les actes à l’égard du produit de la récolte selon l</w:t>
      </w:r>
      <w:r w:rsidR="0034393B" w:rsidRPr="00F33405">
        <w:t>’</w:t>
      </w:r>
      <w:r w:rsidRPr="00F33405">
        <w:t>acte de 1991 de la Convention UPOV</w:t>
      </w:r>
    </w:p>
    <w:p w:rsidR="0034393B" w:rsidRDefault="00456EE3" w:rsidP="009822F6">
      <w:pPr>
        <w:keepNext/>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examine les documents</w:t>
      </w:r>
      <w:r w:rsidR="00AC0F2C">
        <w:t> </w:t>
      </w:r>
      <w:r w:rsidRPr="00456EE3">
        <w:t>WG</w:t>
      </w:r>
      <w:r w:rsidR="0034393B">
        <w:t>-</w:t>
      </w:r>
      <w:r w:rsidRPr="00456EE3">
        <w:t>HRV/2/2 et</w:t>
      </w:r>
      <w:r w:rsidR="00F33405">
        <w:t> </w:t>
      </w:r>
      <w:r w:rsidRPr="00456EE3">
        <w:t>WG</w:t>
      </w:r>
      <w:r w:rsidR="0034393B">
        <w:t>-</w:t>
      </w:r>
      <w:r w:rsidRPr="00456EE3">
        <w:t>HRV/2/4.</w:t>
      </w:r>
    </w:p>
    <w:p w:rsidR="00456EE3" w:rsidRPr="00456EE3" w:rsidRDefault="00456EE3" w:rsidP="009822F6">
      <w:pPr>
        <w:keepNext/>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 xml:space="preserve">HRV examine le nouveau libellé du </w:t>
      </w:r>
      <w:r w:rsidR="0034393B" w:rsidRPr="00456EE3">
        <w:t>paragraphe</w:t>
      </w:r>
      <w:r w:rsidR="0034393B">
        <w:t> </w:t>
      </w:r>
      <w:r w:rsidR="0034393B" w:rsidRPr="00456EE3">
        <w:t>3</w:t>
      </w:r>
      <w:r w:rsidRPr="00456EE3">
        <w:t xml:space="preserve"> de l</w:t>
      </w:r>
      <w:r w:rsidR="0034393B">
        <w:t>’</w:t>
      </w:r>
      <w:r w:rsidRPr="00456EE3">
        <w:t>annexe du document</w:t>
      </w:r>
      <w:r w:rsidR="00AC0F2C">
        <w:t> </w:t>
      </w:r>
      <w:r w:rsidRPr="00456EE3">
        <w:t>WG</w:t>
      </w:r>
      <w:r w:rsidR="00F33405">
        <w:noBreakHyphen/>
      </w:r>
      <w:r w:rsidRPr="00456EE3">
        <w:t>HRV/2/4</w:t>
      </w:r>
      <w:r w:rsidR="0034393B">
        <w:t> :</w:t>
      </w:r>
    </w:p>
    <w:p w:rsidR="00456EE3" w:rsidRPr="00456EE3" w:rsidRDefault="00456EE3" w:rsidP="009822F6">
      <w:pPr>
        <w:spacing w:after="160"/>
        <w:ind w:left="567" w:right="459"/>
        <w:jc w:val="both"/>
        <w:rPr>
          <w:sz w:val="18"/>
          <w:szCs w:val="18"/>
        </w:rPr>
      </w:pPr>
      <w:r w:rsidRPr="00456EE3">
        <w:rPr>
          <w:sz w:val="18"/>
        </w:rPr>
        <w:t>“3.</w:t>
      </w:r>
      <w:r w:rsidRPr="00456EE3">
        <w:rPr>
          <w:sz w:val="18"/>
        </w:rPr>
        <w:tab/>
        <w:t>L</w:t>
      </w:r>
      <w:r w:rsidR="0034393B">
        <w:rPr>
          <w:sz w:val="18"/>
        </w:rPr>
        <w:t>’</w:t>
      </w:r>
      <w:r w:rsidRPr="00456EE3">
        <w:rPr>
          <w:sz w:val="18"/>
        </w:rPr>
        <w:t>explication selon laquelle le produit de la récolte comprend des plantes entières et des parties de plantes, c</w:t>
      </w:r>
      <w:r w:rsidR="0034393B">
        <w:rPr>
          <w:sz w:val="18"/>
        </w:rPr>
        <w:t>’</w:t>
      </w:r>
      <w:r w:rsidRPr="00456EE3">
        <w:rPr>
          <w:sz w:val="18"/>
        </w:rPr>
        <w:t>est</w:t>
      </w:r>
      <w:r w:rsidR="0034393B">
        <w:rPr>
          <w:sz w:val="18"/>
        </w:rPr>
        <w:t>-</w:t>
      </w:r>
      <w:r w:rsidRPr="00456EE3">
        <w:rPr>
          <w:sz w:val="18"/>
        </w:rPr>
        <w:t>à</w:t>
      </w:r>
      <w:r w:rsidR="0034393B">
        <w:rPr>
          <w:sz w:val="18"/>
        </w:rPr>
        <w:t>-</w:t>
      </w:r>
      <w:r w:rsidRPr="00456EE3">
        <w:rPr>
          <w:sz w:val="18"/>
        </w:rPr>
        <w:t>dire du matériel pouvant être utilisé à des fins de reproduction ou de multiplication, signifie qu</w:t>
      </w:r>
      <w:r w:rsidR="0034393B">
        <w:rPr>
          <w:sz w:val="18"/>
        </w:rPr>
        <w:t>’</w:t>
      </w:r>
      <w:r w:rsidRPr="00456EE3">
        <w:rPr>
          <w:sz w:val="18"/>
        </w:rPr>
        <w:t>au moins certaines formes du produit de la récolte peuvent être utilisées comme matériel de reproduction ou de multiplicati</w:t>
      </w:r>
      <w:r w:rsidR="00AC0F2C" w:rsidRPr="00456EE3">
        <w:rPr>
          <w:sz w:val="18"/>
        </w:rPr>
        <w:t>on</w:t>
      </w:r>
      <w:r w:rsidR="00AC0F2C">
        <w:rPr>
          <w:sz w:val="18"/>
        </w:rPr>
        <w:t xml:space="preserve">.  </w:t>
      </w:r>
      <w:r w:rsidR="00AC0F2C" w:rsidRPr="00EA2145">
        <w:rPr>
          <w:sz w:val="18"/>
          <w:szCs w:val="18"/>
          <w:highlight w:val="lightGray"/>
          <w:u w:val="single"/>
          <w:lang w:val="fr-CH"/>
        </w:rPr>
        <w:t>Lo</w:t>
      </w:r>
      <w:r w:rsidRPr="00EA2145">
        <w:rPr>
          <w:sz w:val="18"/>
          <w:szCs w:val="18"/>
          <w:highlight w:val="lightGray"/>
          <w:u w:val="single"/>
          <w:lang w:val="fr-CH"/>
        </w:rPr>
        <w:t>rsque le produit de la récolte peut être utilisé comme matériel de reproduction ou de multiplication, il peut être considéré comme du matériel de reproduction ou de multiplication</w:t>
      </w:r>
      <w:r w:rsidRPr="00456EE3">
        <w:rPr>
          <w:sz w:val="18"/>
        </w:rPr>
        <w:t>.”</w:t>
      </w:r>
    </w:p>
    <w:p w:rsidR="0034393B" w:rsidRDefault="00456EE3" w:rsidP="009822F6">
      <w:pPr>
        <w:spacing w:after="160"/>
        <w:jc w:val="both"/>
      </w:pPr>
      <w:r w:rsidRPr="00456EE3">
        <w:rPr>
          <w:rFonts w:cs="Arial"/>
        </w:rPr>
        <w:fldChar w:fldCharType="begin"/>
      </w:r>
      <w:r w:rsidRPr="00456EE3">
        <w:rPr>
          <w:rFonts w:cs="Arial"/>
        </w:rPr>
        <w:instrText xml:space="preserve"> AUTONUM  </w:instrText>
      </w:r>
      <w:r w:rsidRPr="00456EE3">
        <w:rPr>
          <w:rFonts w:cs="Arial"/>
        </w:rPr>
        <w:fldChar w:fldCharType="end"/>
      </w:r>
      <w:r w:rsidRPr="00456EE3">
        <w:tab/>
        <w:t>Le WG</w:t>
      </w:r>
      <w:r w:rsidR="0034393B">
        <w:t>-</w:t>
      </w:r>
      <w:r w:rsidRPr="00456EE3">
        <w:t xml:space="preserve">HRV accepte que le nouveau libellé du </w:t>
      </w:r>
      <w:r w:rsidR="0034393B" w:rsidRPr="00456EE3">
        <w:t>paragraphe</w:t>
      </w:r>
      <w:r w:rsidR="0034393B">
        <w:t> </w:t>
      </w:r>
      <w:r w:rsidR="0034393B" w:rsidRPr="00456EE3">
        <w:t>3</w:t>
      </w:r>
      <w:r w:rsidRPr="00456EE3">
        <w:t xml:space="preserve"> de l</w:t>
      </w:r>
      <w:r w:rsidR="0034393B">
        <w:t>’</w:t>
      </w:r>
      <w:r w:rsidRPr="00456EE3">
        <w:t>annexe du</w:t>
      </w:r>
      <w:r w:rsidR="00F33405">
        <w:t> </w:t>
      </w:r>
      <w:r w:rsidRPr="00456EE3">
        <w:t>document</w:t>
      </w:r>
      <w:r w:rsidR="00AC0F2C">
        <w:t> </w:t>
      </w:r>
      <w:r w:rsidRPr="00456EE3">
        <w:t>WG</w:t>
      </w:r>
      <w:r w:rsidR="00F33405">
        <w:noBreakHyphen/>
      </w:r>
      <w:r w:rsidRPr="00456EE3">
        <w:t>HRV/2/4 soit reformulé pour expliquer que le matériel doit être pris en considération en tant que matériel de reproduction ou de multiplication parce qu</w:t>
      </w:r>
      <w:r w:rsidR="0034393B">
        <w:t>’</w:t>
      </w:r>
      <w:r w:rsidRPr="00456EE3">
        <w:t>il s</w:t>
      </w:r>
      <w:r w:rsidR="0034393B">
        <w:t>’</w:t>
      </w:r>
      <w:r w:rsidRPr="00456EE3">
        <w:t>agit d</w:t>
      </w:r>
      <w:r w:rsidR="0034393B">
        <w:t>’</w:t>
      </w:r>
      <w:r w:rsidRPr="00456EE3">
        <w:t>un produit de la récolte.</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fait observer que l</w:t>
      </w:r>
      <w:r w:rsidR="0034393B">
        <w:t>’</w:t>
      </w:r>
      <w:r w:rsidRPr="00456EE3">
        <w:t>annexe du document</w:t>
      </w:r>
      <w:r w:rsidR="00AC0F2C">
        <w:t> </w:t>
      </w:r>
      <w:r w:rsidRPr="00456EE3">
        <w:t>WG</w:t>
      </w:r>
      <w:r w:rsidR="0034393B">
        <w:t>-</w:t>
      </w:r>
      <w:r w:rsidRPr="00456EE3">
        <w:t>HRV/2/2 contient l</w:t>
      </w:r>
      <w:r w:rsidR="0034393B">
        <w:t>’</w:t>
      </w:r>
      <w:r w:rsidRPr="00456EE3">
        <w:t>historique du principe de cascade dans le cadre de l</w:t>
      </w:r>
      <w:r w:rsidR="0034393B">
        <w:t>’</w:t>
      </w:r>
      <w:r w:rsidR="0034393B" w:rsidRPr="00456EE3">
        <w:t>article</w:t>
      </w:r>
      <w:r w:rsidR="0034393B">
        <w:t> </w:t>
      </w:r>
      <w:r w:rsidR="0034393B" w:rsidRPr="00456EE3">
        <w:t>1</w:t>
      </w:r>
      <w:r w:rsidRPr="00456EE3">
        <w:t>4 de l</w:t>
      </w:r>
      <w:r w:rsidR="0034393B">
        <w:t>’</w:t>
      </w:r>
      <w:r w:rsidRPr="00456EE3">
        <w:t xml:space="preserve">Acte </w:t>
      </w:r>
      <w:r w:rsidR="0034393B" w:rsidRPr="00456EE3">
        <w:t>de</w:t>
      </w:r>
      <w:r w:rsidR="0034393B">
        <w:t> </w:t>
      </w:r>
      <w:r w:rsidR="0034393B" w:rsidRPr="00456EE3">
        <w:t>1991</w:t>
      </w:r>
      <w:r w:rsidRPr="00456EE3">
        <w:t xml:space="preserve"> intitulé </w:t>
      </w:r>
      <w:r w:rsidR="0034393B">
        <w:t>“</w:t>
      </w:r>
      <w:r w:rsidRPr="00456EE3">
        <w:t>Étendue du droit d</w:t>
      </w:r>
      <w:r w:rsidR="0034393B">
        <w:t>’</w:t>
      </w:r>
      <w:r w:rsidRPr="00456EE3">
        <w:t>obtenteur</w:t>
      </w:r>
      <w:r w:rsidR="0034393B">
        <w:t>”</w:t>
      </w:r>
      <w:r w:rsidRPr="00456EE3">
        <w:t xml:space="preserve"> et sa relation avec les dispositions de l</w:t>
      </w:r>
      <w:r w:rsidR="0034393B">
        <w:t>’</w:t>
      </w:r>
      <w:r w:rsidR="0034393B" w:rsidRPr="00456EE3">
        <w:t>article</w:t>
      </w:r>
      <w:r w:rsidR="0034393B">
        <w:t> </w:t>
      </w:r>
      <w:r w:rsidR="0034393B" w:rsidRPr="00456EE3">
        <w:t>1</w:t>
      </w:r>
      <w:r w:rsidRPr="00456EE3">
        <w:t>6 de l</w:t>
      </w:r>
      <w:r w:rsidR="0034393B">
        <w:t>’</w:t>
      </w:r>
      <w:r w:rsidRPr="00456EE3">
        <w:t xml:space="preserve">Acte </w:t>
      </w:r>
      <w:r w:rsidR="0034393B" w:rsidRPr="00456EE3">
        <w:t>de</w:t>
      </w:r>
      <w:r w:rsidR="0034393B">
        <w:t> </w:t>
      </w:r>
      <w:r w:rsidR="0034393B" w:rsidRPr="00456EE3">
        <w:t>1991</w:t>
      </w:r>
      <w:r w:rsidRPr="00456EE3">
        <w:t xml:space="preserve"> intitulé “Épuisement du droit d</w:t>
      </w:r>
      <w:r w:rsidR="0034393B">
        <w:t>’</w:t>
      </w:r>
      <w:r w:rsidRPr="00456EE3">
        <w:t>obtenteur”.  Elle contient également l</w:t>
      </w:r>
      <w:r w:rsidR="0034393B">
        <w:t>’</w:t>
      </w:r>
      <w:r w:rsidRPr="00456EE3">
        <w:t>historique de la notion d</w:t>
      </w:r>
      <w:r w:rsidR="0034393B">
        <w:t>’</w:t>
      </w:r>
      <w:r w:rsidR="009D5FDF">
        <w:t>“</w:t>
      </w:r>
      <w:r w:rsidRPr="00456EE3">
        <w:t>utilisation non autorisée</w:t>
      </w:r>
      <w:r w:rsidR="009D5FDF">
        <w:t>”</w:t>
      </w:r>
      <w:r w:rsidRPr="00456EE3">
        <w:t xml:space="preserve"> visée à l</w:t>
      </w:r>
      <w:r w:rsidR="0034393B">
        <w:t>’</w:t>
      </w:r>
      <w:r w:rsidR="0034393B" w:rsidRPr="00456EE3">
        <w:t>article</w:t>
      </w:r>
      <w:r w:rsidR="0034393B">
        <w:t> </w:t>
      </w:r>
      <w:r w:rsidR="0034393B" w:rsidRPr="00456EE3">
        <w:t>1</w:t>
      </w:r>
      <w:r w:rsidRPr="00456EE3">
        <w:t xml:space="preserve">4.2) et de la notion de </w:t>
      </w:r>
      <w:r w:rsidR="00AC0F2C">
        <w:t>“</w:t>
      </w:r>
      <w:r w:rsidRPr="00456EE3">
        <w:t>consentement</w:t>
      </w:r>
      <w:r w:rsidR="00AC0F2C">
        <w:t>”</w:t>
      </w:r>
      <w:r w:rsidRPr="00456EE3">
        <w:t xml:space="preserve"> visée à l</w:t>
      </w:r>
      <w:r w:rsidR="0034393B">
        <w:t>’</w:t>
      </w:r>
      <w:r w:rsidR="0034393B" w:rsidRPr="00456EE3">
        <w:t>article</w:t>
      </w:r>
      <w:r w:rsidR="0034393B">
        <w:t> </w:t>
      </w:r>
      <w:r w:rsidR="0034393B" w:rsidRPr="00456EE3">
        <w:t>1</w:t>
      </w:r>
      <w:r w:rsidRPr="00456EE3">
        <w:t xml:space="preserve">6, </w:t>
      </w:r>
      <w:r w:rsidR="0034393B">
        <w:t>y compris</w:t>
      </w:r>
      <w:r w:rsidRPr="00456EE3">
        <w:t xml:space="preserve"> le moment où le terme </w:t>
      </w:r>
      <w:r w:rsidR="00AC0F2C">
        <w:t>“</w:t>
      </w:r>
      <w:r w:rsidRPr="00456EE3">
        <w:t>consentement</w:t>
      </w:r>
      <w:r w:rsidR="00AC0F2C">
        <w:t>”</w:t>
      </w:r>
      <w:r w:rsidRPr="00456EE3">
        <w:t xml:space="preserve"> a été remplacé par </w:t>
      </w:r>
      <w:r w:rsidR="00AC0F2C">
        <w:t>“</w:t>
      </w:r>
      <w:r w:rsidRPr="00456EE3">
        <w:t>autorisation</w:t>
      </w:r>
      <w:r w:rsidR="00AC0F2C">
        <w:t>”</w:t>
      </w:r>
      <w:r w:rsidRPr="00456EE3">
        <w:t xml:space="preserve"> dans l</w:t>
      </w:r>
      <w:r w:rsidR="0034393B">
        <w:t>’</w:t>
      </w:r>
      <w:r w:rsidRPr="00456EE3">
        <w:t>étendue du droit d</w:t>
      </w:r>
      <w:r w:rsidR="0034393B">
        <w:t>’</w:t>
      </w:r>
      <w:r w:rsidRPr="00456EE3">
        <w:t>obtenteur</w:t>
      </w:r>
      <w:r w:rsidR="0034393B">
        <w:t> :</w:t>
      </w:r>
    </w:p>
    <w:p w:rsidR="0034393B" w:rsidRDefault="004F0DCE" w:rsidP="009822F6">
      <w:pPr>
        <w:ind w:left="567" w:right="459"/>
        <w:jc w:val="both"/>
      </w:pPr>
      <w:r>
        <w:rPr>
          <w:sz w:val="18"/>
        </w:rPr>
        <w:t>“74.</w:t>
      </w:r>
      <w:r w:rsidR="00456EE3" w:rsidRPr="00456EE3">
        <w:rPr>
          <w:sz w:val="18"/>
        </w:rPr>
        <w:tab/>
      </w:r>
      <w:r w:rsidR="00456EE3" w:rsidRPr="00456EE3">
        <w:rPr>
          <w:sz w:val="18"/>
          <w:u w:val="single"/>
        </w:rPr>
        <w:t>Plusieurs délégations</w:t>
      </w:r>
      <w:r w:rsidR="00456EE3" w:rsidRPr="00456EE3">
        <w:rPr>
          <w:sz w:val="18"/>
        </w:rPr>
        <w:t xml:space="preserve"> ont fait observer que le libellé proposé par le Bureau de l</w:t>
      </w:r>
      <w:r w:rsidR="0034393B">
        <w:rPr>
          <w:sz w:val="18"/>
        </w:rPr>
        <w:t>’</w:t>
      </w:r>
      <w:r w:rsidR="00456EE3" w:rsidRPr="00456EE3">
        <w:rPr>
          <w:sz w:val="18"/>
        </w:rPr>
        <w:t xml:space="preserve">Union faisait désormais référence à une </w:t>
      </w:r>
      <w:r w:rsidR="00AC0F2C">
        <w:rPr>
          <w:sz w:val="18"/>
        </w:rPr>
        <w:t>“</w:t>
      </w:r>
      <w:r w:rsidR="00456EE3" w:rsidRPr="00456EE3">
        <w:rPr>
          <w:sz w:val="18"/>
        </w:rPr>
        <w:t>autorisation</w:t>
      </w:r>
      <w:r w:rsidR="00AC0F2C">
        <w:rPr>
          <w:sz w:val="18"/>
        </w:rPr>
        <w:t>”</w:t>
      </w:r>
      <w:r w:rsidR="00456EE3" w:rsidRPr="00456EE3">
        <w:rPr>
          <w:sz w:val="18"/>
        </w:rPr>
        <w:t xml:space="preserve">, alors que le projet était fondé sur la notion de </w:t>
      </w:r>
      <w:r w:rsidR="00AC0F2C">
        <w:rPr>
          <w:sz w:val="18"/>
        </w:rPr>
        <w:t>“</w:t>
      </w:r>
      <w:r w:rsidR="00456EE3" w:rsidRPr="00456EE3">
        <w:rPr>
          <w:sz w:val="18"/>
        </w:rPr>
        <w:t>consentement</w:t>
      </w:r>
      <w:r w:rsidR="00AC0F2C">
        <w:rPr>
          <w:sz w:val="18"/>
        </w:rPr>
        <w:t>”</w:t>
      </w:r>
      <w:r w:rsidR="00456EE3" w:rsidRPr="00456EE3">
        <w:rPr>
          <w:sz w:val="18"/>
        </w:rPr>
        <w:t xml:space="preserve">. </w:t>
      </w:r>
      <w:r w:rsidR="002A34C4">
        <w:rPr>
          <w:sz w:val="18"/>
        </w:rPr>
        <w:t xml:space="preserve"> </w:t>
      </w:r>
      <w:r w:rsidR="00456EE3" w:rsidRPr="00456EE3">
        <w:rPr>
          <w:sz w:val="18"/>
        </w:rPr>
        <w:t>Il a été indiqué que l</w:t>
      </w:r>
      <w:r w:rsidR="0034393B">
        <w:rPr>
          <w:sz w:val="18"/>
        </w:rPr>
        <w:t>’</w:t>
      </w:r>
      <w:r w:rsidR="00456EE3" w:rsidRPr="00456EE3">
        <w:rPr>
          <w:sz w:val="18"/>
        </w:rPr>
        <w:t>intention n</w:t>
      </w:r>
      <w:r w:rsidR="0034393B">
        <w:rPr>
          <w:sz w:val="18"/>
        </w:rPr>
        <w:t>’</w:t>
      </w:r>
      <w:r w:rsidR="00456EE3" w:rsidRPr="00456EE3">
        <w:rPr>
          <w:sz w:val="18"/>
        </w:rPr>
        <w:t>était pas de modifier le texte en profondeur [</w:t>
      </w:r>
      <w:r w:rsidR="002A34C4">
        <w:rPr>
          <w:sz w:val="18"/>
        </w:rPr>
        <w:t>…</w:t>
      </w:r>
      <w:r w:rsidR="00456EE3" w:rsidRPr="00456EE3">
        <w:rPr>
          <w:sz w:val="18"/>
        </w:rPr>
        <w:t>]</w:t>
      </w:r>
      <w:r w:rsidR="00AC0F2C">
        <w:rPr>
          <w:sz w:val="18"/>
        </w:rPr>
        <w:t>”</w:t>
      </w:r>
      <w:r w:rsidR="00456EE3" w:rsidRPr="00456EE3">
        <w:rPr>
          <w:sz w:val="18"/>
        </w:rPr>
        <w:t>.</w:t>
      </w:r>
    </w:p>
    <w:p w:rsidR="00456EE3" w:rsidRPr="00456EE3" w:rsidRDefault="00456EE3" w:rsidP="009822F6">
      <w:pPr>
        <w:spacing w:before="120" w:after="160"/>
        <w:ind w:left="562"/>
        <w:jc w:val="both"/>
      </w:pPr>
      <w:r w:rsidRPr="00456EE3">
        <w:t xml:space="preserve">“(voir la </w:t>
      </w:r>
      <w:r w:rsidR="0034393B" w:rsidRPr="00456EE3">
        <w:t>page</w:t>
      </w:r>
      <w:r w:rsidR="0034393B">
        <w:t> </w:t>
      </w:r>
      <w:r w:rsidR="0034393B" w:rsidRPr="00456EE3">
        <w:t>2</w:t>
      </w:r>
      <w:r w:rsidRPr="00456EE3">
        <w:t>6 de l</w:t>
      </w:r>
      <w:r w:rsidR="0034393B">
        <w:t>’</w:t>
      </w:r>
      <w:r w:rsidRPr="00456EE3">
        <w:t>annexe du document</w:t>
      </w:r>
      <w:r w:rsidR="00AC0F2C">
        <w:t> </w:t>
      </w:r>
      <w:r w:rsidRPr="00456EE3">
        <w:t>WG</w:t>
      </w:r>
      <w:r w:rsidR="0034393B">
        <w:t>-</w:t>
      </w:r>
      <w:r w:rsidRPr="00456EE3">
        <w:t>HRV/2/2)</w:t>
      </w:r>
      <w:r w:rsidR="004F0DCE">
        <w:t>”</w:t>
      </w:r>
      <w:r w:rsidRPr="00456EE3">
        <w:t>.</w:t>
      </w:r>
    </w:p>
    <w:p w:rsidR="0034393B" w:rsidRPr="009822F6" w:rsidRDefault="00456EE3" w:rsidP="009822F6">
      <w:pPr>
        <w:spacing w:after="160"/>
        <w:jc w:val="both"/>
        <w:rPr>
          <w:spacing w:val="-2"/>
        </w:rPr>
      </w:pPr>
      <w:r w:rsidRPr="00456EE3">
        <w:fldChar w:fldCharType="begin"/>
      </w:r>
      <w:r w:rsidRPr="00456EE3">
        <w:instrText xml:space="preserve"> AUTONUM  </w:instrText>
      </w:r>
      <w:r w:rsidRPr="00456EE3">
        <w:fldChar w:fldCharType="end"/>
      </w:r>
      <w:r w:rsidRPr="00456EE3">
        <w:tab/>
        <w:t>Le président fait remarquer que les notions de consentement et d</w:t>
      </w:r>
      <w:r w:rsidR="0034393B">
        <w:t>’</w:t>
      </w:r>
      <w:r w:rsidRPr="00456EE3">
        <w:t xml:space="preserve">autorisation sont différentes </w:t>
      </w:r>
      <w:r w:rsidRPr="009822F6">
        <w:rPr>
          <w:spacing w:val="-2"/>
        </w:rPr>
        <w:t>dans les notes explicatives actuelles.</w:t>
      </w:r>
    </w:p>
    <w:p w:rsidR="00456EE3" w:rsidRPr="009822F6" w:rsidRDefault="00456EE3" w:rsidP="009822F6">
      <w:pPr>
        <w:spacing w:after="160"/>
        <w:jc w:val="both"/>
        <w:rPr>
          <w:spacing w:val="-2"/>
        </w:rPr>
      </w:pPr>
      <w:r w:rsidRPr="009822F6">
        <w:rPr>
          <w:spacing w:val="-2"/>
        </w:rPr>
        <w:fldChar w:fldCharType="begin"/>
      </w:r>
      <w:r w:rsidRPr="009822F6">
        <w:rPr>
          <w:spacing w:val="-2"/>
        </w:rPr>
        <w:instrText xml:space="preserve"> AUTONUM  </w:instrText>
      </w:r>
      <w:r w:rsidRPr="009822F6">
        <w:rPr>
          <w:spacing w:val="-2"/>
        </w:rPr>
        <w:fldChar w:fldCharType="end"/>
      </w:r>
      <w:r w:rsidRPr="009822F6">
        <w:rPr>
          <w:spacing w:val="-2"/>
        </w:rPr>
        <w:tab/>
        <w:t>Les délégations de l</w:t>
      </w:r>
      <w:r w:rsidR="0034393B" w:rsidRPr="009822F6">
        <w:rPr>
          <w:spacing w:val="-2"/>
        </w:rPr>
        <w:t>’</w:t>
      </w:r>
      <w:r w:rsidRPr="009822F6">
        <w:rPr>
          <w:spacing w:val="-2"/>
        </w:rPr>
        <w:t>Union européenne et de l</w:t>
      </w:r>
      <w:r w:rsidR="0034393B" w:rsidRPr="009822F6">
        <w:rPr>
          <w:spacing w:val="-2"/>
        </w:rPr>
        <w:t>’</w:t>
      </w:r>
      <w:r w:rsidRPr="009822F6">
        <w:rPr>
          <w:spacing w:val="-2"/>
        </w:rPr>
        <w:t>Australie se déclarent favorables à l</w:t>
      </w:r>
      <w:r w:rsidR="0034393B" w:rsidRPr="009822F6">
        <w:rPr>
          <w:spacing w:val="-2"/>
        </w:rPr>
        <w:t>’</w:t>
      </w:r>
      <w:r w:rsidRPr="009822F6">
        <w:rPr>
          <w:spacing w:val="-2"/>
        </w:rPr>
        <w:t>explication relative à l</w:t>
      </w:r>
      <w:r w:rsidR="0034393B" w:rsidRPr="009822F6">
        <w:rPr>
          <w:spacing w:val="-2"/>
        </w:rPr>
        <w:t>’</w:t>
      </w:r>
      <w:r w:rsidR="004F0DCE" w:rsidRPr="009822F6">
        <w:rPr>
          <w:spacing w:val="-2"/>
        </w:rPr>
        <w:t>“</w:t>
      </w:r>
      <w:r w:rsidRPr="009822F6">
        <w:rPr>
          <w:spacing w:val="-2"/>
        </w:rPr>
        <w:t>utilisation non autorisée</w:t>
      </w:r>
      <w:r w:rsidR="004F0DCE" w:rsidRPr="009822F6">
        <w:rPr>
          <w:spacing w:val="-2"/>
        </w:rPr>
        <w:t>”</w:t>
      </w:r>
      <w:r w:rsidRPr="009822F6">
        <w:rPr>
          <w:spacing w:val="-2"/>
        </w:rPr>
        <w:t xml:space="preserve"> qui figure dans les notes explicatives actuell</w:t>
      </w:r>
      <w:r w:rsidR="00AC0F2C" w:rsidRPr="009822F6">
        <w:rPr>
          <w:spacing w:val="-2"/>
        </w:rPr>
        <w:t>es.  Le</w:t>
      </w:r>
      <w:r w:rsidRPr="009822F6">
        <w:rPr>
          <w:spacing w:val="-2"/>
        </w:rPr>
        <w:t>s délégations de l</w:t>
      </w:r>
      <w:r w:rsidR="0034393B" w:rsidRPr="009822F6">
        <w:rPr>
          <w:spacing w:val="-2"/>
        </w:rPr>
        <w:t>’</w:t>
      </w:r>
      <w:r w:rsidRPr="009822F6">
        <w:rPr>
          <w:spacing w:val="-2"/>
        </w:rPr>
        <w:t>Espagne, du Japon et des Pays</w:t>
      </w:r>
      <w:r w:rsidR="0034393B" w:rsidRPr="009822F6">
        <w:rPr>
          <w:spacing w:val="-2"/>
        </w:rPr>
        <w:t>-</w:t>
      </w:r>
      <w:r w:rsidRPr="009822F6">
        <w:rPr>
          <w:spacing w:val="-2"/>
        </w:rPr>
        <w:t>Bas préfèrent quant à elles une interprétation plus large de ce terme.</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La délégation de l</w:t>
      </w:r>
      <w:r w:rsidR="0034393B">
        <w:t>’</w:t>
      </w:r>
      <w:r w:rsidRPr="00456EE3">
        <w:t>Argentine précise que, pour le marché intérieur, lorsqu</w:t>
      </w:r>
      <w:r w:rsidR="0034393B">
        <w:t>’</w:t>
      </w:r>
      <w:r w:rsidRPr="00456EE3">
        <w:t>un sac de semences est acheté légalement, le droit d</w:t>
      </w:r>
      <w:r w:rsidR="0034393B">
        <w:t>’</w:t>
      </w:r>
      <w:r w:rsidRPr="00456EE3">
        <w:t>obtenteur est épuisé.</w:t>
      </w:r>
    </w:p>
    <w:p w:rsidR="0034393B" w:rsidRDefault="00456EE3" w:rsidP="009822F6">
      <w:pPr>
        <w:spacing w:after="120"/>
        <w:jc w:val="both"/>
      </w:pPr>
      <w:r w:rsidRPr="00456EE3">
        <w:fldChar w:fldCharType="begin"/>
      </w:r>
      <w:r w:rsidRPr="00456EE3">
        <w:instrText xml:space="preserve"> AUTONUM  </w:instrText>
      </w:r>
      <w:r w:rsidRPr="00456EE3">
        <w:fldChar w:fldCharType="end"/>
      </w:r>
      <w:r w:rsidRPr="00456EE3">
        <w:tab/>
        <w:t>La délégation du Japon évoque des situations d</w:t>
      </w:r>
      <w:r w:rsidR="0034393B">
        <w:t>’</w:t>
      </w:r>
      <w:r w:rsidRPr="00456EE3">
        <w:t>exportation non autorisée de matériel végétal d</w:t>
      </w:r>
      <w:r w:rsidR="0034393B">
        <w:t>’</w:t>
      </w:r>
      <w:r w:rsidRPr="00456EE3">
        <w:t>arbres fruitiers pérennes qui, s</w:t>
      </w:r>
      <w:r w:rsidR="0034393B">
        <w:t>’</w:t>
      </w:r>
      <w:r w:rsidRPr="00456EE3">
        <w:t>il est reproduit ou multiplié à l</w:t>
      </w:r>
      <w:r w:rsidR="0034393B">
        <w:t>’</w:t>
      </w:r>
      <w:r w:rsidRPr="00456EE3">
        <w:t>étranger, peut être récolté pendant une longue période sans que les obtenteurs aient la possibilité d</w:t>
      </w:r>
      <w:r w:rsidR="0034393B">
        <w:t>’</w:t>
      </w:r>
      <w:r w:rsidRPr="00456EE3">
        <w:t>obtenir une rémunération.</w:t>
      </w:r>
    </w:p>
    <w:p w:rsidR="0034393B" w:rsidRPr="009822F6" w:rsidRDefault="00456EE3" w:rsidP="009822F6">
      <w:pPr>
        <w:spacing w:after="160"/>
        <w:jc w:val="both"/>
        <w:rPr>
          <w:spacing w:val="-4"/>
        </w:rPr>
      </w:pPr>
      <w:r w:rsidRPr="009822F6">
        <w:rPr>
          <w:spacing w:val="-4"/>
        </w:rPr>
        <w:fldChar w:fldCharType="begin"/>
      </w:r>
      <w:r w:rsidRPr="009822F6">
        <w:rPr>
          <w:spacing w:val="-4"/>
        </w:rPr>
        <w:instrText xml:space="preserve"> AUTONUM  </w:instrText>
      </w:r>
      <w:r w:rsidRPr="009822F6">
        <w:rPr>
          <w:spacing w:val="-4"/>
        </w:rPr>
        <w:fldChar w:fldCharType="end"/>
      </w:r>
      <w:r w:rsidRPr="009822F6">
        <w:rPr>
          <w:spacing w:val="-4"/>
        </w:rPr>
        <w:tab/>
        <w:t>Le président prend note des différents points de vue et interprétations de la notion d</w:t>
      </w:r>
      <w:r w:rsidR="0034393B" w:rsidRPr="009822F6">
        <w:rPr>
          <w:spacing w:val="-4"/>
        </w:rPr>
        <w:t>’</w:t>
      </w:r>
      <w:r w:rsidR="004F0DCE" w:rsidRPr="009822F6">
        <w:rPr>
          <w:spacing w:val="-4"/>
        </w:rPr>
        <w:t>“</w:t>
      </w:r>
      <w:r w:rsidRPr="009822F6">
        <w:rPr>
          <w:spacing w:val="-4"/>
        </w:rPr>
        <w:t>utilisation non autorisée</w:t>
      </w:r>
      <w:r w:rsidR="004F0DCE" w:rsidRPr="009822F6">
        <w:rPr>
          <w:spacing w:val="-4"/>
        </w:rPr>
        <w:t>”</w:t>
      </w:r>
      <w:r w:rsidRPr="009822F6">
        <w:rPr>
          <w:spacing w:val="-4"/>
        </w:rPr>
        <w:t xml:space="preserve"> et fait observer que les notes explicatives actuelles ne reflètent pas ces différents points de vue et interprétatio</w:t>
      </w:r>
      <w:r w:rsidR="00AC0F2C" w:rsidRPr="009822F6">
        <w:rPr>
          <w:spacing w:val="-4"/>
        </w:rPr>
        <w:t>ns.  Il</w:t>
      </w:r>
      <w:r w:rsidRPr="009822F6">
        <w:rPr>
          <w:spacing w:val="-4"/>
        </w:rPr>
        <w:t xml:space="preserve"> suggère d</w:t>
      </w:r>
      <w:r w:rsidR="0034393B" w:rsidRPr="009822F6">
        <w:rPr>
          <w:spacing w:val="-4"/>
        </w:rPr>
        <w:t>’</w:t>
      </w:r>
      <w:r w:rsidRPr="009822F6">
        <w:rPr>
          <w:spacing w:val="-4"/>
        </w:rPr>
        <w:t>envisager l</w:t>
      </w:r>
      <w:r w:rsidR="0034393B" w:rsidRPr="009822F6">
        <w:rPr>
          <w:spacing w:val="-4"/>
        </w:rPr>
        <w:t>’</w:t>
      </w:r>
      <w:r w:rsidRPr="009822F6">
        <w:rPr>
          <w:spacing w:val="-4"/>
        </w:rPr>
        <w:t>inclusion des différentes interprétations d</w:t>
      </w:r>
      <w:r w:rsidR="0034393B" w:rsidRPr="009822F6">
        <w:rPr>
          <w:spacing w:val="-4"/>
        </w:rPr>
        <w:t>’</w:t>
      </w:r>
      <w:r w:rsidRPr="009822F6">
        <w:rPr>
          <w:spacing w:val="-4"/>
        </w:rPr>
        <w:t>une manière similaire à la liste des facteurs figurant dans les notes explicatives sur le matériel de reproduction ou de multiplication.</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La délégation des États</w:t>
      </w:r>
      <w:r w:rsidR="0034393B">
        <w:t>-</w:t>
      </w:r>
      <w:r w:rsidRPr="00456EE3">
        <w:t>Unis</w:t>
      </w:r>
      <w:r w:rsidR="002A34C4">
        <w:t xml:space="preserve"> </w:t>
      </w:r>
      <w:r w:rsidRPr="00456EE3">
        <w:t>d</w:t>
      </w:r>
      <w:r w:rsidR="0034393B">
        <w:t>’</w:t>
      </w:r>
      <w:r w:rsidRPr="00456EE3">
        <w:t>Amérique suggère qu</w:t>
      </w:r>
      <w:r w:rsidR="0034393B">
        <w:t>’</w:t>
      </w:r>
      <w:r w:rsidRPr="00456EE3">
        <w:t>il serait utile de disposer d</w:t>
      </w:r>
      <w:r w:rsidR="0034393B">
        <w:t>’</w:t>
      </w:r>
      <w:r w:rsidRPr="00456EE3">
        <w:t>exemples sur la façon dont les membres du groupe de travail interprètent et appliquent ces dispositions.</w:t>
      </w:r>
    </w:p>
    <w:p w:rsidR="003B20FF" w:rsidRDefault="00456EE3" w:rsidP="009822F6">
      <w:pPr>
        <w:spacing w:after="160"/>
        <w:jc w:val="both"/>
      </w:pPr>
      <w:r w:rsidRPr="00456EE3">
        <w:fldChar w:fldCharType="begin"/>
      </w:r>
      <w:r w:rsidRPr="00456EE3">
        <w:instrText xml:space="preserve"> AUTONUM  </w:instrText>
      </w:r>
      <w:r w:rsidRPr="00456EE3">
        <w:fldChar w:fldCharType="end"/>
      </w:r>
      <w:r w:rsidRPr="00456EE3">
        <w:tab/>
        <w:t>Les délégations de l</w:t>
      </w:r>
      <w:r w:rsidR="0034393B">
        <w:t>’</w:t>
      </w:r>
      <w:r w:rsidRPr="00456EE3">
        <w:t>Autriche, des Pays</w:t>
      </w:r>
      <w:r w:rsidR="0034393B">
        <w:t>-</w:t>
      </w:r>
      <w:r w:rsidRPr="00456EE3">
        <w:t>Bas et de l</w:t>
      </w:r>
      <w:r w:rsidR="0034393B">
        <w:t>’</w:t>
      </w:r>
      <w:r w:rsidRPr="00456EE3">
        <w:t>Union européenne appuient cette proposition.</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 xml:space="preserve">La délégation du Japon souligne que, lors de la Conférence diplomatique de révision de la Convention </w:t>
      </w:r>
      <w:r w:rsidR="0034393B" w:rsidRPr="00456EE3">
        <w:t>de</w:t>
      </w:r>
      <w:r w:rsidR="0034393B">
        <w:t> </w:t>
      </w:r>
      <w:r w:rsidR="0034393B" w:rsidRPr="00456EE3">
        <w:t>1991</w:t>
      </w:r>
      <w:r w:rsidRPr="00456EE3">
        <w:t>, il avait été proposé de tenir compte de l</w:t>
      </w:r>
      <w:r w:rsidR="0034393B">
        <w:t>’</w:t>
      </w:r>
      <w:r w:rsidRPr="00456EE3">
        <w:t>utilisation non autorisée de matériel de reproduction ou de multiplication lorsque cette utilisation avait pour but la production de produit de la récol</w:t>
      </w:r>
      <w:r w:rsidR="00AC0F2C" w:rsidRPr="00456EE3">
        <w:t>te</w:t>
      </w:r>
      <w:r w:rsidR="00AC0F2C">
        <w:t xml:space="preserve">.  </w:t>
      </w:r>
      <w:r w:rsidR="00AC0F2C" w:rsidRPr="00456EE3">
        <w:t>El</w:t>
      </w:r>
      <w:r w:rsidRPr="00456EE3">
        <w:t xml:space="preserve">le fait également observer que cette proposition avait été acceptée sans opposition sérieuse, comme il ressort du </w:t>
      </w:r>
      <w:r w:rsidR="0034393B" w:rsidRPr="00456EE3">
        <w:t>paragraphe</w:t>
      </w:r>
      <w:r w:rsidR="0034393B">
        <w:t> </w:t>
      </w:r>
      <w:r w:rsidR="0034393B" w:rsidRPr="00456EE3">
        <w:t>1</w:t>
      </w:r>
      <w:r w:rsidRPr="00456EE3">
        <w:t>543 des Actes de la Conférence diplomatique</w:t>
      </w:r>
      <w:r w:rsidR="0034393B">
        <w:t> :</w:t>
      </w:r>
    </w:p>
    <w:p w:rsidR="00456EE3" w:rsidRPr="00456EE3" w:rsidRDefault="0034393B" w:rsidP="009822F6">
      <w:pPr>
        <w:tabs>
          <w:tab w:val="left" w:pos="1440"/>
        </w:tabs>
        <w:ind w:left="567" w:right="459"/>
        <w:jc w:val="both"/>
        <w:rPr>
          <w:sz w:val="18"/>
          <w:szCs w:val="18"/>
        </w:rPr>
      </w:pPr>
      <w:r>
        <w:rPr>
          <w:sz w:val="18"/>
        </w:rPr>
        <w:t>“</w:t>
      </w:r>
      <w:r w:rsidR="004F0DCE">
        <w:rPr>
          <w:sz w:val="18"/>
        </w:rPr>
        <w:t>1529.4</w:t>
      </w:r>
      <w:r w:rsidR="00456EE3" w:rsidRPr="00456EE3">
        <w:rPr>
          <w:sz w:val="18"/>
        </w:rPr>
        <w:tab/>
        <w:t>(</w:t>
      </w:r>
      <w:r w:rsidR="002A34C4">
        <w:rPr>
          <w:sz w:val="18"/>
        </w:rPr>
        <w:t>…</w:t>
      </w:r>
      <w:r w:rsidR="004F0DCE">
        <w:rPr>
          <w:sz w:val="18"/>
        </w:rPr>
        <w:t xml:space="preserve">) </w:t>
      </w:r>
      <w:r w:rsidR="00456EE3" w:rsidRPr="00456EE3">
        <w:rPr>
          <w:sz w:val="18"/>
        </w:rPr>
        <w:t>S</w:t>
      </w:r>
      <w:r>
        <w:rPr>
          <w:sz w:val="18"/>
        </w:rPr>
        <w:t>’</w:t>
      </w:r>
      <w:r w:rsidR="00456EE3" w:rsidRPr="00456EE3">
        <w:rPr>
          <w:sz w:val="18"/>
        </w:rPr>
        <w:t>agissant de l</w:t>
      </w:r>
      <w:r>
        <w:rPr>
          <w:sz w:val="18"/>
        </w:rPr>
        <w:t>’</w:t>
      </w:r>
      <w:r w:rsidRPr="00456EE3">
        <w:rPr>
          <w:sz w:val="18"/>
        </w:rPr>
        <w:t>article</w:t>
      </w:r>
      <w:r>
        <w:rPr>
          <w:sz w:val="18"/>
        </w:rPr>
        <w:t> </w:t>
      </w:r>
      <w:r w:rsidRPr="00456EE3">
        <w:rPr>
          <w:sz w:val="18"/>
        </w:rPr>
        <w:t>1</w:t>
      </w:r>
      <w:r w:rsidR="00456EE3" w:rsidRPr="00456EE3">
        <w:rPr>
          <w:sz w:val="18"/>
        </w:rPr>
        <w:t>4.1)</w:t>
      </w:r>
      <w:r w:rsidR="00AC0F2C">
        <w:rPr>
          <w:sz w:val="18"/>
        </w:rPr>
        <w:t>b</w:t>
      </w:r>
      <w:r w:rsidR="00456EE3" w:rsidRPr="00456EE3">
        <w:rPr>
          <w:sz w:val="18"/>
        </w:rPr>
        <w:t>), le Groupe de travail a été conscient du fait qu</w:t>
      </w:r>
      <w:r>
        <w:rPr>
          <w:sz w:val="18"/>
        </w:rPr>
        <w:t>’</w:t>
      </w:r>
      <w:r w:rsidR="00456EE3" w:rsidRPr="00456EE3">
        <w:rPr>
          <w:sz w:val="18"/>
        </w:rPr>
        <w:t>il a été décidé de supprimer les crochets entourant la dernière clause figurant dans la Proposition de ba</w:t>
      </w:r>
      <w:r w:rsidR="00AC0F2C" w:rsidRPr="00456EE3">
        <w:rPr>
          <w:sz w:val="18"/>
        </w:rPr>
        <w:t>se</w:t>
      </w:r>
      <w:r w:rsidR="00AC0F2C">
        <w:rPr>
          <w:sz w:val="18"/>
        </w:rPr>
        <w:t xml:space="preserve">.  </w:t>
      </w:r>
      <w:r w:rsidR="00AC0F2C" w:rsidRPr="00456EE3">
        <w:rPr>
          <w:sz w:val="18"/>
        </w:rPr>
        <w:t>C</w:t>
      </w:r>
      <w:r w:rsidR="00AC0F2C">
        <w:rPr>
          <w:sz w:val="18"/>
        </w:rPr>
        <w:t>’</w:t>
      </w:r>
      <w:r w:rsidR="00AC0F2C" w:rsidRPr="00456EE3">
        <w:rPr>
          <w:sz w:val="18"/>
        </w:rPr>
        <w:t>e</w:t>
      </w:r>
      <w:r w:rsidR="00456EE3" w:rsidRPr="00456EE3">
        <w:rPr>
          <w:sz w:val="18"/>
        </w:rPr>
        <w:t>st pourquoi il propose un système dans lequel le produit de la récolte d</w:t>
      </w:r>
      <w:r>
        <w:rPr>
          <w:sz w:val="18"/>
        </w:rPr>
        <w:t>’</w:t>
      </w:r>
      <w:r w:rsidR="00456EE3" w:rsidRPr="00456EE3">
        <w:rPr>
          <w:sz w:val="18"/>
        </w:rPr>
        <w:t>une variété protégée peut donner lieu à perception d</w:t>
      </w:r>
      <w:r>
        <w:rPr>
          <w:sz w:val="18"/>
        </w:rPr>
        <w:t>’</w:t>
      </w:r>
      <w:r w:rsidR="00456EE3" w:rsidRPr="00456EE3">
        <w:rPr>
          <w:sz w:val="18"/>
        </w:rPr>
        <w:t>une redevance lorsque deux</w:t>
      </w:r>
      <w:r w:rsidR="002A34C4">
        <w:rPr>
          <w:sz w:val="18"/>
        </w:rPr>
        <w:t> </w:t>
      </w:r>
      <w:r w:rsidR="00456EE3" w:rsidRPr="00456EE3">
        <w:rPr>
          <w:sz w:val="18"/>
        </w:rPr>
        <w:t>conditions sont réunies</w:t>
      </w:r>
      <w:r>
        <w:rPr>
          <w:sz w:val="18"/>
        </w:rPr>
        <w:t> :</w:t>
      </w:r>
      <w:r w:rsidR="00456EE3" w:rsidRPr="00456EE3">
        <w:rPr>
          <w:sz w:val="18"/>
        </w:rPr>
        <w:t xml:space="preserve"> i)</w:t>
      </w:r>
      <w:r w:rsidR="002A34C4">
        <w:rPr>
          <w:sz w:val="18"/>
        </w:rPr>
        <w:t> </w:t>
      </w:r>
      <w:r w:rsidR="00456EE3" w:rsidRPr="00456EE3">
        <w:rPr>
          <w:sz w:val="18"/>
        </w:rPr>
        <w:t>lorsque l</w:t>
      </w:r>
      <w:r>
        <w:rPr>
          <w:sz w:val="18"/>
        </w:rPr>
        <w:t>’</w:t>
      </w:r>
      <w:r w:rsidR="00456EE3" w:rsidRPr="00456EE3">
        <w:rPr>
          <w:sz w:val="18"/>
        </w:rPr>
        <w:t>obtenteur n</w:t>
      </w:r>
      <w:r>
        <w:rPr>
          <w:sz w:val="18"/>
        </w:rPr>
        <w:t>’</w:t>
      </w:r>
      <w:r w:rsidR="00456EE3" w:rsidRPr="00456EE3">
        <w:rPr>
          <w:sz w:val="18"/>
        </w:rPr>
        <w:t>a pas autorisé l</w:t>
      </w:r>
      <w:r>
        <w:rPr>
          <w:sz w:val="18"/>
        </w:rPr>
        <w:t>’</w:t>
      </w:r>
      <w:r w:rsidR="00456EE3" w:rsidRPr="00456EE3">
        <w:rPr>
          <w:sz w:val="18"/>
        </w:rPr>
        <w:t xml:space="preserve">utilisation du matériel de reproduction ou de multiplication en vue de la production </w:t>
      </w:r>
      <w:r w:rsidR="00456EE3" w:rsidRPr="00456EE3">
        <w:rPr>
          <w:sz w:val="18"/>
        </w:rPr>
        <w:lastRenderedPageBreak/>
        <w:t xml:space="preserve">de cette récolte; </w:t>
      </w:r>
      <w:r w:rsidR="002A34C4">
        <w:rPr>
          <w:sz w:val="18"/>
        </w:rPr>
        <w:t xml:space="preserve"> </w:t>
      </w:r>
      <w:r w:rsidR="00456EE3" w:rsidRPr="00456EE3">
        <w:rPr>
          <w:sz w:val="18"/>
        </w:rPr>
        <w:t>et</w:t>
      </w:r>
      <w:r w:rsidR="004F0DCE">
        <w:rPr>
          <w:sz w:val="18"/>
        </w:rPr>
        <w:t> </w:t>
      </w:r>
      <w:r w:rsidR="00456EE3" w:rsidRPr="00456EE3">
        <w:rPr>
          <w:sz w:val="18"/>
        </w:rPr>
        <w:t>ii)</w:t>
      </w:r>
      <w:r w:rsidR="002A34C4">
        <w:rPr>
          <w:sz w:val="18"/>
        </w:rPr>
        <w:t> </w:t>
      </w:r>
      <w:r w:rsidR="00456EE3" w:rsidRPr="00456EE3">
        <w:rPr>
          <w:sz w:val="18"/>
        </w:rPr>
        <w:t>lorsque l</w:t>
      </w:r>
      <w:r>
        <w:rPr>
          <w:sz w:val="18"/>
        </w:rPr>
        <w:t>’</w:t>
      </w:r>
      <w:r w:rsidR="00456EE3" w:rsidRPr="00456EE3">
        <w:rPr>
          <w:sz w:val="18"/>
        </w:rPr>
        <w:t>obtenteur n</w:t>
      </w:r>
      <w:r>
        <w:rPr>
          <w:sz w:val="18"/>
        </w:rPr>
        <w:t>’</w:t>
      </w:r>
      <w:r w:rsidR="00456EE3" w:rsidRPr="00456EE3">
        <w:rPr>
          <w:sz w:val="18"/>
        </w:rPr>
        <w:t>a pas eu de possibilité raisonnable d</w:t>
      </w:r>
      <w:r>
        <w:rPr>
          <w:sz w:val="18"/>
        </w:rPr>
        <w:t>’</w:t>
      </w:r>
      <w:r w:rsidR="00456EE3" w:rsidRPr="00456EE3">
        <w:rPr>
          <w:sz w:val="18"/>
        </w:rPr>
        <w:t>exercer son droit en relation avec le matériel de reproduction ou de multiplication.</w:t>
      </w:r>
    </w:p>
    <w:p w:rsidR="00456EE3" w:rsidRPr="00456EE3" w:rsidRDefault="00456EE3" w:rsidP="009822F6">
      <w:pPr>
        <w:ind w:left="567" w:right="459"/>
        <w:jc w:val="both"/>
        <w:rPr>
          <w:sz w:val="18"/>
          <w:szCs w:val="18"/>
        </w:rPr>
      </w:pPr>
    </w:p>
    <w:p w:rsidR="00456EE3" w:rsidRPr="00456EE3" w:rsidRDefault="00456EE3" w:rsidP="009822F6">
      <w:pPr>
        <w:ind w:left="567" w:right="459"/>
        <w:jc w:val="both"/>
        <w:rPr>
          <w:sz w:val="18"/>
          <w:szCs w:val="18"/>
        </w:rPr>
      </w:pPr>
      <w:r w:rsidRPr="00456EE3">
        <w:rPr>
          <w:sz w:val="18"/>
        </w:rPr>
        <w:t>“[…]</w:t>
      </w:r>
    </w:p>
    <w:p w:rsidR="00456EE3" w:rsidRPr="00456EE3" w:rsidRDefault="00456EE3" w:rsidP="009822F6">
      <w:pPr>
        <w:ind w:left="567" w:right="459"/>
        <w:jc w:val="both"/>
        <w:rPr>
          <w:sz w:val="18"/>
          <w:szCs w:val="18"/>
        </w:rPr>
      </w:pPr>
    </w:p>
    <w:p w:rsidR="00456EE3" w:rsidRPr="00456EE3" w:rsidRDefault="00456EE3" w:rsidP="009822F6">
      <w:pPr>
        <w:tabs>
          <w:tab w:val="left" w:pos="1440"/>
        </w:tabs>
        <w:spacing w:after="160"/>
        <w:ind w:left="567" w:right="459"/>
        <w:jc w:val="both"/>
        <w:rPr>
          <w:sz w:val="18"/>
          <w:szCs w:val="18"/>
        </w:rPr>
      </w:pPr>
      <w:r w:rsidRPr="00456EE3">
        <w:rPr>
          <w:sz w:val="18"/>
        </w:rPr>
        <w:t>“1543.</w:t>
      </w:r>
      <w:r w:rsidRPr="00456EE3">
        <w:rPr>
          <w:sz w:val="18"/>
        </w:rPr>
        <w:tab/>
        <w:t>Le PR</w:t>
      </w:r>
      <w:r w:rsidR="00AC0F2C">
        <w:rPr>
          <w:sz w:val="18"/>
        </w:rPr>
        <w:t>É</w:t>
      </w:r>
      <w:r w:rsidRPr="00456EE3">
        <w:rPr>
          <w:sz w:val="18"/>
        </w:rPr>
        <w:t>SIDENT relève qu</w:t>
      </w:r>
      <w:r w:rsidR="0034393B">
        <w:rPr>
          <w:sz w:val="18"/>
        </w:rPr>
        <w:t>’</w:t>
      </w:r>
      <w:r w:rsidRPr="00456EE3">
        <w:rPr>
          <w:sz w:val="18"/>
        </w:rPr>
        <w:t>il n</w:t>
      </w:r>
      <w:r w:rsidR="0034393B">
        <w:rPr>
          <w:sz w:val="18"/>
        </w:rPr>
        <w:t>’</w:t>
      </w:r>
      <w:r w:rsidRPr="00456EE3">
        <w:rPr>
          <w:sz w:val="18"/>
        </w:rPr>
        <w:t>y a pas d</w:t>
      </w:r>
      <w:r w:rsidR="0034393B">
        <w:rPr>
          <w:sz w:val="18"/>
        </w:rPr>
        <w:t>’</w:t>
      </w:r>
      <w:r w:rsidRPr="00456EE3">
        <w:rPr>
          <w:sz w:val="18"/>
        </w:rPr>
        <w:t>opposition sérieuse à la propositi</w:t>
      </w:r>
      <w:r w:rsidR="00AC0F2C" w:rsidRPr="00456EE3">
        <w:rPr>
          <w:sz w:val="18"/>
        </w:rPr>
        <w:t>on</w:t>
      </w:r>
      <w:r w:rsidR="00AC0F2C">
        <w:rPr>
          <w:sz w:val="18"/>
        </w:rPr>
        <w:t xml:space="preserve">.  </w:t>
      </w:r>
      <w:r w:rsidR="00AC0F2C" w:rsidRPr="00456EE3">
        <w:rPr>
          <w:sz w:val="18"/>
        </w:rPr>
        <w:t>Il</w:t>
      </w:r>
      <w:r w:rsidRPr="00456EE3">
        <w:rPr>
          <w:sz w:val="18"/>
        </w:rPr>
        <w:t xml:space="preserve"> conclut qu</w:t>
      </w:r>
      <w:r w:rsidR="0034393B">
        <w:rPr>
          <w:sz w:val="18"/>
        </w:rPr>
        <w:t>’</w:t>
      </w:r>
      <w:r w:rsidRPr="00456EE3">
        <w:rPr>
          <w:sz w:val="18"/>
        </w:rPr>
        <w:t>elle est par conséquent accept</w:t>
      </w:r>
      <w:r w:rsidR="00AC0F2C" w:rsidRPr="00456EE3">
        <w:rPr>
          <w:sz w:val="18"/>
        </w:rPr>
        <w:t>ée</w:t>
      </w:r>
      <w:r w:rsidR="00AC0F2C">
        <w:rPr>
          <w:sz w:val="18"/>
        </w:rPr>
        <w:t xml:space="preserve">.  </w:t>
      </w:r>
      <w:r w:rsidR="00AC0F2C" w:rsidRPr="00456EE3">
        <w:rPr>
          <w:sz w:val="18"/>
        </w:rPr>
        <w:t>Il</w:t>
      </w:r>
      <w:r w:rsidRPr="00456EE3">
        <w:rPr>
          <w:sz w:val="18"/>
        </w:rPr>
        <w:t xml:space="preserve"> remercie le groupe de travail et son président, M.</w:t>
      </w:r>
      <w:r w:rsidR="002A34C4">
        <w:rPr>
          <w:sz w:val="18"/>
        </w:rPr>
        <w:t> </w:t>
      </w:r>
      <w:r w:rsidRPr="00456EE3">
        <w:rPr>
          <w:sz w:val="18"/>
        </w:rPr>
        <w:t>Harvey (Royaume</w:t>
      </w:r>
      <w:r w:rsidR="0034393B">
        <w:rPr>
          <w:sz w:val="18"/>
        </w:rPr>
        <w:t>-</w:t>
      </w:r>
      <w:r w:rsidRPr="00456EE3">
        <w:rPr>
          <w:sz w:val="18"/>
        </w:rPr>
        <w:t>Uni).</w:t>
      </w:r>
      <w:r w:rsidR="00AC0F2C">
        <w:rPr>
          <w:sz w:val="18"/>
        </w:rPr>
        <w:t>”</w:t>
      </w:r>
    </w:p>
    <w:p w:rsidR="00456EE3" w:rsidRPr="00456EE3" w:rsidRDefault="00456EE3" w:rsidP="009822F6">
      <w:pPr>
        <w:spacing w:after="160"/>
        <w:ind w:firstLine="567"/>
        <w:jc w:val="both"/>
      </w:pPr>
      <w:r w:rsidRPr="00456EE3">
        <w:t xml:space="preserve">“(voir les </w:t>
      </w:r>
      <w:r w:rsidR="0034393B" w:rsidRPr="00456EE3">
        <w:t>pages</w:t>
      </w:r>
      <w:r w:rsidR="0034393B">
        <w:t> </w:t>
      </w:r>
      <w:r w:rsidR="0034393B" w:rsidRPr="00456EE3">
        <w:t>5</w:t>
      </w:r>
      <w:r w:rsidRPr="00456EE3">
        <w:t>9 et</w:t>
      </w:r>
      <w:r w:rsidR="004F0DCE">
        <w:t> </w:t>
      </w:r>
      <w:r w:rsidRPr="00456EE3">
        <w:t>60 de l</w:t>
      </w:r>
      <w:r w:rsidR="0034393B">
        <w:t>’</w:t>
      </w:r>
      <w:r w:rsidRPr="00456EE3">
        <w:t>annexe du document</w:t>
      </w:r>
      <w:r w:rsidR="00AC0F2C">
        <w:t> </w:t>
      </w:r>
      <w:r w:rsidRPr="00456EE3">
        <w:t>WG</w:t>
      </w:r>
      <w:r w:rsidR="0034393B">
        <w:t>-</w:t>
      </w:r>
      <w:r w:rsidRPr="00456EE3">
        <w:t>HRV/2/2).</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Compte tenu de ce qui précède, la délégation du Japon suggère que la plantation et la culture en continu soient incluses dans l</w:t>
      </w:r>
      <w:r w:rsidR="0034393B">
        <w:t>’</w:t>
      </w:r>
      <w:r w:rsidRPr="00456EE3">
        <w:t>interprétation de l</w:t>
      </w:r>
      <w:r w:rsidR="0034393B">
        <w:t>’</w:t>
      </w:r>
      <w:r w:rsidRPr="00456EE3">
        <w:t>expression “utilisation non autorisée” qui figure dans les notes explicatives.</w:t>
      </w:r>
    </w:p>
    <w:p w:rsidR="00456EE3" w:rsidRPr="00456EE3" w:rsidRDefault="00456EE3" w:rsidP="009822F6">
      <w:pPr>
        <w:spacing w:after="160"/>
        <w:jc w:val="both"/>
        <w:rPr>
          <w:spacing w:val="2"/>
        </w:rPr>
      </w:pPr>
      <w:r w:rsidRPr="00456EE3">
        <w:fldChar w:fldCharType="begin"/>
      </w:r>
      <w:r w:rsidRPr="00456EE3">
        <w:instrText xml:space="preserve"> AUTONUM  </w:instrText>
      </w:r>
      <w:r w:rsidRPr="00456EE3">
        <w:fldChar w:fldCharType="end"/>
      </w:r>
      <w:r w:rsidRPr="00456EE3">
        <w:tab/>
        <w:t xml:space="preserve">Le représentant de </w:t>
      </w:r>
      <w:r w:rsidRPr="003B20FF">
        <w:rPr>
          <w:i/>
        </w:rPr>
        <w:t>CropLife International</w:t>
      </w:r>
      <w:r w:rsidRPr="00456EE3">
        <w:t>, tout en soutenant l</w:t>
      </w:r>
      <w:r w:rsidR="0034393B">
        <w:t>’</w:t>
      </w:r>
      <w:r w:rsidRPr="00456EE3">
        <w:t>intervention de la délégation du Japon, est d</w:t>
      </w:r>
      <w:r w:rsidR="0034393B">
        <w:t>’</w:t>
      </w:r>
      <w:r w:rsidRPr="00456EE3">
        <w:t xml:space="preserve">avis que la </w:t>
      </w:r>
      <w:r w:rsidR="00AC0F2C">
        <w:t>“</w:t>
      </w:r>
      <w:r w:rsidRPr="00456EE3">
        <w:t>culture</w:t>
      </w:r>
      <w:r w:rsidR="00AC0F2C">
        <w:t>”</w:t>
      </w:r>
      <w:r w:rsidRPr="00456EE3">
        <w:t xml:space="preserve"> non autorisée doit être interprétée comme une utilisation non autorisée au sens de l</w:t>
      </w:r>
      <w:r w:rsidR="0034393B">
        <w:t>’</w:t>
      </w:r>
      <w:r w:rsidR="0034393B" w:rsidRPr="00456EE3">
        <w:t>article</w:t>
      </w:r>
      <w:r w:rsidR="0034393B">
        <w:t> </w:t>
      </w:r>
      <w:r w:rsidR="0034393B" w:rsidRPr="00456EE3">
        <w:t>1</w:t>
      </w:r>
      <w:r w:rsidRPr="00456EE3">
        <w:t xml:space="preserve">4.2) et comme faisant partie de la notion de </w:t>
      </w:r>
      <w:r w:rsidR="00AC0F2C">
        <w:t>“</w:t>
      </w:r>
      <w:r w:rsidRPr="00456EE3">
        <w:t>production</w:t>
      </w:r>
      <w:r w:rsidR="00AC0F2C">
        <w:t>”</w:t>
      </w:r>
      <w:r w:rsidRPr="00456EE3">
        <w:t xml:space="preserve"> au sens de l</w:t>
      </w:r>
      <w:r w:rsidR="0034393B">
        <w:t>’</w:t>
      </w:r>
      <w:r w:rsidR="0034393B" w:rsidRPr="00456EE3">
        <w:t>article</w:t>
      </w:r>
      <w:r w:rsidR="0034393B">
        <w:t> </w:t>
      </w:r>
      <w:r w:rsidR="0034393B" w:rsidRPr="00456EE3">
        <w:t>1</w:t>
      </w:r>
      <w:r w:rsidRPr="00456EE3">
        <w:t>4.1) de l</w:t>
      </w:r>
      <w:r w:rsidR="0034393B">
        <w:t>’</w:t>
      </w:r>
      <w:r w:rsidRPr="00456EE3">
        <w:t xml:space="preserve">Acte </w:t>
      </w:r>
      <w:r w:rsidR="0034393B" w:rsidRPr="00456EE3">
        <w:t>de</w:t>
      </w:r>
      <w:r w:rsidR="0034393B">
        <w:t> </w:t>
      </w:r>
      <w:r w:rsidR="0034393B" w:rsidRPr="00456EE3">
        <w:t>1991</w:t>
      </w:r>
      <w:r w:rsidRPr="00456EE3">
        <w:t>.</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Le président note que la référence à la Conférence diplomatique pourrait être utile pour expliquer la raison de l</w:t>
      </w:r>
      <w:r w:rsidR="0034393B">
        <w:t>’</w:t>
      </w:r>
      <w:r w:rsidRPr="00456EE3">
        <w:t>introduction des nouveaux points de vue présentés par certains membres de l</w:t>
      </w:r>
      <w:r w:rsidR="0034393B">
        <w:t>’</w:t>
      </w:r>
      <w:r w:rsidRPr="00456EE3">
        <w:t>Union qui ne sont pas reflétés dans les notes explicatives actuelles.</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La délégation des Pays</w:t>
      </w:r>
      <w:r w:rsidR="0034393B">
        <w:t>-</w:t>
      </w:r>
      <w:r w:rsidRPr="00456EE3">
        <w:t xml:space="preserve">Bas se dit favorable à ce que les travaux ultérieurs portent sur les questions pertinentes concernant la notion de </w:t>
      </w:r>
      <w:r w:rsidR="00AC0F2C">
        <w:t>“</w:t>
      </w:r>
      <w:r w:rsidRPr="00456EE3">
        <w:t>consentement</w:t>
      </w:r>
      <w:r w:rsidR="00AC0F2C">
        <w:t>”</w:t>
      </w:r>
      <w:r w:rsidRPr="00456EE3">
        <w:t xml:space="preserve"> dans le cadre de l</w:t>
      </w:r>
      <w:r w:rsidR="0034393B">
        <w:t>’</w:t>
      </w:r>
      <w:r w:rsidRPr="00456EE3">
        <w:t>épuisement du droit d</w:t>
      </w:r>
      <w:r w:rsidR="0034393B">
        <w:t>’</w:t>
      </w:r>
      <w:r w:rsidRPr="00456EE3">
        <w:t>obtenteur à l</w:t>
      </w:r>
      <w:r w:rsidR="0034393B">
        <w:t>’</w:t>
      </w:r>
      <w:r w:rsidR="0034393B" w:rsidRPr="00456EE3">
        <w:t>article</w:t>
      </w:r>
      <w:r w:rsidR="0034393B">
        <w:t> </w:t>
      </w:r>
      <w:r w:rsidR="0034393B" w:rsidRPr="00456EE3">
        <w:t>1</w:t>
      </w:r>
      <w:r w:rsidRPr="00456EE3">
        <w:t>6 de l</w:t>
      </w:r>
      <w:r w:rsidR="0034393B">
        <w:t>’</w:t>
      </w:r>
      <w:r w:rsidRPr="00456EE3">
        <w:t xml:space="preserve">Acte </w:t>
      </w:r>
      <w:r w:rsidR="0034393B" w:rsidRPr="00456EE3">
        <w:t>de</w:t>
      </w:r>
      <w:r w:rsidR="0034393B">
        <w:t> </w:t>
      </w:r>
      <w:r w:rsidR="0034393B" w:rsidRPr="00456EE3">
        <w:t>1991</w:t>
      </w:r>
      <w:r w:rsidRPr="00456EE3">
        <w:t>.</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La délégation de la République de Corée se dit préoccupée par l</w:t>
      </w:r>
      <w:r w:rsidR="0034393B">
        <w:t>’</w:t>
      </w:r>
      <w:r w:rsidRPr="00456EE3">
        <w:t xml:space="preserve">élargissement du terme </w:t>
      </w:r>
      <w:r w:rsidR="00AC0F2C">
        <w:t>“</w:t>
      </w:r>
      <w:r w:rsidRPr="00456EE3">
        <w:t>autorisation</w:t>
      </w:r>
      <w:r w:rsidR="00AC0F2C">
        <w:t>”</w:t>
      </w:r>
      <w:r w:rsidRPr="00456EE3">
        <w:t xml:space="preserve"> en dehors du territoire.</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La délégation du Japon confirme l</w:t>
      </w:r>
      <w:r w:rsidR="0034393B">
        <w:t>’</w:t>
      </w:r>
      <w:r w:rsidRPr="00456EE3">
        <w:t>interprétation selon laquelle le droit doit être exercé sur le territoire où il existe.</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demande au Bureau de l</w:t>
      </w:r>
      <w:r w:rsidR="0034393B">
        <w:t>’</w:t>
      </w:r>
      <w:r w:rsidRPr="00456EE3">
        <w:t>Union d</w:t>
      </w:r>
      <w:r w:rsidR="0034393B">
        <w:t>’</w:t>
      </w:r>
      <w:r w:rsidRPr="00456EE3">
        <w:t>établir un document qui expliquerait les différents points de vue sur l</w:t>
      </w:r>
      <w:r w:rsidR="0034393B">
        <w:t>’</w:t>
      </w:r>
      <w:r w:rsidRPr="00456EE3">
        <w:t>utilisation non autoris</w:t>
      </w:r>
      <w:r w:rsidR="00AC0F2C" w:rsidRPr="00456EE3">
        <w:t>ée</w:t>
      </w:r>
      <w:r w:rsidR="00AC0F2C">
        <w:t xml:space="preserve">.  </w:t>
      </w:r>
      <w:r w:rsidR="00AC0F2C" w:rsidRPr="00456EE3">
        <w:t>Le</w:t>
      </w:r>
      <w:r w:rsidRPr="00456EE3">
        <w:t xml:space="preserve"> WG</w:t>
      </w:r>
      <w:r w:rsidR="0034393B">
        <w:t>-</w:t>
      </w:r>
      <w:r w:rsidRPr="00456EE3">
        <w:t>HRV est convenu que ses membres fourniraient des exemples de leur interprétation de ces dispositions et de l</w:t>
      </w:r>
      <w:r w:rsidR="0034393B">
        <w:t>’</w:t>
      </w:r>
      <w:r w:rsidRPr="00456EE3">
        <w:t>incidence de cette interprétation sur la faculté des obtenteurs à exercer leurs droits sur le territoire.</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 xml:space="preserve">HRV est convenu de reporter les délibérations sur la </w:t>
      </w:r>
      <w:r w:rsidR="0034393B" w:rsidRPr="00456EE3">
        <w:t>section</w:t>
      </w:r>
      <w:r w:rsidR="0034393B">
        <w:t> </w:t>
      </w:r>
      <w:r w:rsidR="0034393B" w:rsidRPr="00456EE3">
        <w:t>d)</w:t>
      </w:r>
      <w:r w:rsidRPr="00456EE3">
        <w:t xml:space="preserve"> de l</w:t>
      </w:r>
      <w:r w:rsidR="0034393B">
        <w:t>’</w:t>
      </w:r>
      <w:r w:rsidRPr="00456EE3">
        <w:t>annexe du document</w:t>
      </w:r>
      <w:r w:rsidR="00AC0F2C">
        <w:t> </w:t>
      </w:r>
      <w:r w:rsidRPr="00456EE3">
        <w:t>WG</w:t>
      </w:r>
      <w:r w:rsidR="0034393B">
        <w:t>-</w:t>
      </w:r>
      <w:r w:rsidRPr="00456EE3">
        <w:t xml:space="preserve">HRV/1/4, intitulée </w:t>
      </w:r>
      <w:r w:rsidR="00AC0F2C">
        <w:t>“</w:t>
      </w:r>
      <w:r w:rsidRPr="00456EE3">
        <w:t>Pouvoir exercer raisonnablement son droit</w:t>
      </w:r>
      <w:r w:rsidR="00AC0F2C">
        <w:t>”</w:t>
      </w:r>
      <w:r w:rsidRPr="00456EE3">
        <w:t xml:space="preserve"> jusqu</w:t>
      </w:r>
      <w:r w:rsidR="0034393B">
        <w:t>’</w:t>
      </w:r>
      <w:r w:rsidRPr="00456EE3">
        <w:t xml:space="preserve">à ce que les travaux sur la </w:t>
      </w:r>
      <w:r w:rsidR="0034393B" w:rsidRPr="00456EE3">
        <w:t>section</w:t>
      </w:r>
      <w:r w:rsidR="0034393B">
        <w:t> </w:t>
      </w:r>
      <w:r w:rsidR="0034393B" w:rsidRPr="00456EE3">
        <w:t>c)</w:t>
      </w:r>
      <w:r w:rsidRPr="00456EE3">
        <w:t xml:space="preserve">, intitulée </w:t>
      </w:r>
      <w:r w:rsidR="00AC0F2C">
        <w:t>“</w:t>
      </w:r>
      <w:r w:rsidRPr="00456EE3">
        <w:t>Utilisation non autorisée de matériel de reproduction ou de multiplication</w:t>
      </w:r>
      <w:r w:rsidR="00AC0F2C">
        <w:t>”</w:t>
      </w:r>
      <w:r w:rsidRPr="00456EE3">
        <w:t>, comme indiqué ci</w:t>
      </w:r>
      <w:r w:rsidR="0034393B">
        <w:t>-</w:t>
      </w:r>
      <w:r w:rsidRPr="00456EE3">
        <w:t>dessus, soient terminés.</w:t>
      </w:r>
    </w:p>
    <w:p w:rsidR="0034393B" w:rsidRPr="004F0DCE" w:rsidRDefault="004F0DCE" w:rsidP="009822F6">
      <w:pPr>
        <w:pStyle w:val="Heading1"/>
        <w:jc w:val="both"/>
      </w:pPr>
      <w:r w:rsidRPr="004F0DCE">
        <w:t>Propositions concernant les notes explicatives sur la protection provisoire selon la Convention UPOV</w:t>
      </w:r>
    </w:p>
    <w:p w:rsidR="0034393B"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 xml:space="preserve">HRV prend note des observations formulées par </w:t>
      </w:r>
      <w:r w:rsidR="003B20FF" w:rsidRPr="00456EE3">
        <w:t>l</w:t>
      </w:r>
      <w:r w:rsidR="003B20FF">
        <w:t>’</w:t>
      </w:r>
      <w:r w:rsidR="003B20FF" w:rsidRPr="00456EE3">
        <w:t>Association africaine du commerce des semences</w:t>
      </w:r>
      <w:r w:rsidR="003B20FF">
        <w:t> </w:t>
      </w:r>
      <w:r w:rsidR="003B20FF" w:rsidRPr="00456EE3">
        <w:t>(AFSTA)</w:t>
      </w:r>
      <w:r w:rsidR="003B20FF">
        <w:t>,</w:t>
      </w:r>
      <w:r w:rsidR="003B20FF" w:rsidRPr="00456EE3">
        <w:t xml:space="preserve"> l</w:t>
      </w:r>
      <w:r w:rsidR="003B20FF">
        <w:t>’</w:t>
      </w:r>
      <w:r w:rsidR="003B20FF" w:rsidRPr="003B20FF">
        <w:rPr>
          <w:rFonts w:cs="Arial"/>
          <w:color w:val="333333"/>
          <w:sz w:val="18"/>
          <w:szCs w:val="18"/>
          <w:shd w:val="clear" w:color="auto" w:fill="FFFFFF"/>
        </w:rPr>
        <w:t xml:space="preserve"> </w:t>
      </w:r>
      <w:r w:rsidR="003B20FF">
        <w:rPr>
          <w:rFonts w:cs="Arial"/>
          <w:color w:val="333333"/>
          <w:sz w:val="18"/>
          <w:szCs w:val="18"/>
          <w:shd w:val="clear" w:color="auto" w:fill="FFFFFF"/>
        </w:rPr>
        <w:t>Association Asie</w:t>
      </w:r>
      <w:r w:rsidR="003B20FF">
        <w:rPr>
          <w:rFonts w:cs="Arial"/>
          <w:color w:val="333333"/>
          <w:sz w:val="18"/>
          <w:szCs w:val="18"/>
          <w:shd w:val="clear" w:color="auto" w:fill="FFFFFF"/>
        </w:rPr>
        <w:noBreakHyphen/>
        <w:t>Pacifique pour les semences</w:t>
      </w:r>
      <w:r w:rsidR="003B20FF" w:rsidRPr="00456EE3">
        <w:t xml:space="preserve"> (APSA), la</w:t>
      </w:r>
      <w:r w:rsidR="003B20FF">
        <w:t> </w:t>
      </w:r>
      <w:r w:rsidR="003B20FF" w:rsidRPr="00456EE3">
        <w:t xml:space="preserve">CIOPORA, </w:t>
      </w:r>
      <w:r w:rsidR="003B20FF" w:rsidRPr="003B20FF">
        <w:rPr>
          <w:i/>
        </w:rPr>
        <w:t>CropLife International</w:t>
      </w:r>
      <w:r w:rsidR="003B20FF" w:rsidRPr="00456EE3">
        <w:t xml:space="preserve">, Euroseeds, </w:t>
      </w:r>
      <w:r w:rsidRPr="00456EE3">
        <w:t>l</w:t>
      </w:r>
      <w:r w:rsidR="0034393B">
        <w:t>’</w:t>
      </w:r>
      <w:r w:rsidRPr="003B20FF">
        <w:rPr>
          <w:i/>
        </w:rPr>
        <w:t>International Seed Federation</w:t>
      </w:r>
      <w:r w:rsidR="008D6F41" w:rsidRPr="003B20FF">
        <w:rPr>
          <w:i/>
        </w:rPr>
        <w:t> </w:t>
      </w:r>
      <w:r w:rsidR="003B20FF">
        <w:t>(ISF)</w:t>
      </w:r>
      <w:r w:rsidR="0034393B" w:rsidRPr="00456EE3">
        <w:t xml:space="preserve"> </w:t>
      </w:r>
      <w:r w:rsidRPr="00456EE3">
        <w:t>et la Seed Association of the Americas</w:t>
      </w:r>
      <w:r w:rsidR="008D6F41">
        <w:t> </w:t>
      </w:r>
      <w:r w:rsidRPr="00456EE3">
        <w:t>(SAA) dans le document</w:t>
      </w:r>
      <w:r w:rsidR="00AC0F2C">
        <w:t> </w:t>
      </w:r>
      <w:r w:rsidRPr="00456EE3">
        <w:t>WG</w:t>
      </w:r>
      <w:r w:rsidR="0034393B">
        <w:t>-</w:t>
      </w:r>
      <w:r w:rsidRPr="00456EE3">
        <w:t>HRV/2/5, mais n</w:t>
      </w:r>
      <w:r w:rsidR="0034393B">
        <w:t>’</w:t>
      </w:r>
      <w:r w:rsidRPr="00456EE3">
        <w:t>a pas eu le temps d</w:t>
      </w:r>
      <w:r w:rsidR="0034393B">
        <w:t>’</w:t>
      </w:r>
      <w:r w:rsidRPr="00456EE3">
        <w:t>examiner le document.</w:t>
      </w:r>
    </w:p>
    <w:p w:rsidR="00456EE3" w:rsidRPr="00456EE3" w:rsidRDefault="00456EE3" w:rsidP="009822F6">
      <w:pPr>
        <w:jc w:val="both"/>
      </w:pPr>
      <w:r w:rsidRPr="00456EE3">
        <w:rPr>
          <w:rFonts w:cs="Arial"/>
        </w:rPr>
        <w:fldChar w:fldCharType="begin"/>
      </w:r>
      <w:r w:rsidRPr="00456EE3">
        <w:rPr>
          <w:rFonts w:cs="Arial"/>
        </w:rPr>
        <w:instrText xml:space="preserve"> AUTONUM  </w:instrText>
      </w:r>
      <w:r w:rsidRPr="00456EE3">
        <w:rPr>
          <w:rFonts w:cs="Arial"/>
        </w:rPr>
        <w:fldChar w:fldCharType="end"/>
      </w:r>
      <w:r w:rsidRPr="00456EE3">
        <w:tab/>
        <w:t>Le WG</w:t>
      </w:r>
      <w:r w:rsidR="0034393B">
        <w:t>-</w:t>
      </w:r>
      <w:r w:rsidRPr="00456EE3">
        <w:t>HRV convient d</w:t>
      </w:r>
      <w:r w:rsidR="0034393B">
        <w:t>’</w:t>
      </w:r>
      <w:r w:rsidRPr="00456EE3">
        <w:t>examiner le document</w:t>
      </w:r>
      <w:r w:rsidR="00AC0F2C">
        <w:t> </w:t>
      </w:r>
      <w:r w:rsidRPr="00456EE3">
        <w:t>WG</w:t>
      </w:r>
      <w:r w:rsidR="0034393B">
        <w:t>-</w:t>
      </w:r>
      <w:r w:rsidR="008D6F41">
        <w:t>HRV/2/5 à sa troisième </w:t>
      </w:r>
      <w:r w:rsidRPr="00456EE3">
        <w:t>réunion.</w:t>
      </w:r>
    </w:p>
    <w:p w:rsidR="0034393B" w:rsidRPr="008D6F41" w:rsidRDefault="008D6F41" w:rsidP="009822F6">
      <w:pPr>
        <w:pStyle w:val="Heading1"/>
        <w:jc w:val="both"/>
      </w:pPr>
      <w:r w:rsidRPr="008D6F41">
        <w:lastRenderedPageBreak/>
        <w:t>Date et programme de travail de la troisième réunion</w:t>
      </w:r>
    </w:p>
    <w:p w:rsidR="00456EE3" w:rsidRPr="00456EE3" w:rsidRDefault="00456EE3" w:rsidP="009822F6">
      <w:pPr>
        <w:spacing w:after="160"/>
        <w:jc w:val="both"/>
        <w:rPr>
          <w:color w:val="000000" w:themeColor="text1"/>
        </w:rPr>
      </w:pPr>
      <w:r w:rsidRPr="00456EE3">
        <w:rPr>
          <w:rFonts w:cs="Arial"/>
        </w:rPr>
        <w:fldChar w:fldCharType="begin"/>
      </w:r>
      <w:r w:rsidRPr="00456EE3">
        <w:rPr>
          <w:rFonts w:cs="Arial"/>
        </w:rPr>
        <w:instrText xml:space="preserve"> AUTONUM  </w:instrText>
      </w:r>
      <w:r w:rsidRPr="00456EE3">
        <w:rPr>
          <w:rFonts w:cs="Arial"/>
        </w:rPr>
        <w:fldChar w:fldCharType="end"/>
      </w:r>
      <w:r w:rsidRPr="00456EE3">
        <w:tab/>
        <w:t>Le WG</w:t>
      </w:r>
      <w:r w:rsidR="0034393B">
        <w:t>-</w:t>
      </w:r>
      <w:r w:rsidRPr="00456EE3">
        <w:t>HRV approuve la date provisoire suivante pour sa troisième réunion</w:t>
      </w:r>
      <w:r w:rsidR="0034393B">
        <w:t> :</w:t>
      </w:r>
      <w:r w:rsidRPr="00456EE3">
        <w:rPr>
          <w:color w:val="000000" w:themeColor="text1"/>
        </w:rPr>
        <w:t xml:space="preserve"> 1</w:t>
      </w:r>
      <w:r w:rsidR="0034393B" w:rsidRPr="00456EE3">
        <w:rPr>
          <w:color w:val="000000" w:themeColor="text1"/>
        </w:rPr>
        <w:t>5</w:t>
      </w:r>
      <w:r w:rsidR="0034393B">
        <w:rPr>
          <w:color w:val="000000" w:themeColor="text1"/>
        </w:rPr>
        <w:t> </w:t>
      </w:r>
      <w:r w:rsidR="0034393B" w:rsidRPr="00456EE3">
        <w:rPr>
          <w:color w:val="000000" w:themeColor="text1"/>
        </w:rPr>
        <w:t>mars</w:t>
      </w:r>
      <w:r w:rsidR="0034393B">
        <w:rPr>
          <w:color w:val="000000" w:themeColor="text1"/>
        </w:rPr>
        <w:t> </w:t>
      </w:r>
      <w:r w:rsidR="0034393B" w:rsidRPr="00456EE3">
        <w:rPr>
          <w:color w:val="000000" w:themeColor="text1"/>
        </w:rPr>
        <w:t>20</w:t>
      </w:r>
      <w:r w:rsidRPr="00456EE3">
        <w:rPr>
          <w:color w:val="000000" w:themeColor="text1"/>
        </w:rPr>
        <w:t>23</w:t>
      </w:r>
      <w:r w:rsidR="00AC0F2C">
        <w:rPr>
          <w:color w:val="000000" w:themeColor="text1"/>
        </w:rPr>
        <w:t>.  I</w:t>
      </w:r>
      <w:r w:rsidRPr="00456EE3">
        <w:rPr>
          <w:color w:val="000000" w:themeColor="text1"/>
        </w:rPr>
        <w:t>l a été noté que la date serait confirmée en fonction des programmes de travail qui seront approuvés par le Conseil le 2</w:t>
      </w:r>
      <w:r w:rsidR="0034393B" w:rsidRPr="00456EE3">
        <w:rPr>
          <w:color w:val="000000" w:themeColor="text1"/>
        </w:rPr>
        <w:t>8</w:t>
      </w:r>
      <w:r w:rsidR="0034393B">
        <w:rPr>
          <w:color w:val="000000" w:themeColor="text1"/>
        </w:rPr>
        <w:t> </w:t>
      </w:r>
      <w:r w:rsidR="0034393B" w:rsidRPr="00456EE3">
        <w:rPr>
          <w:color w:val="000000" w:themeColor="text1"/>
        </w:rPr>
        <w:t>octobre</w:t>
      </w:r>
      <w:r w:rsidR="0034393B">
        <w:rPr>
          <w:color w:val="000000" w:themeColor="text1"/>
        </w:rPr>
        <w:t> </w:t>
      </w:r>
      <w:r w:rsidR="0034393B" w:rsidRPr="00456EE3">
        <w:rPr>
          <w:color w:val="000000" w:themeColor="text1"/>
        </w:rPr>
        <w:t>20</w:t>
      </w:r>
      <w:r w:rsidRPr="00456EE3">
        <w:rPr>
          <w:color w:val="000000" w:themeColor="text1"/>
        </w:rPr>
        <w:t>22</w:t>
      </w:r>
      <w:r w:rsidRPr="008D6F41">
        <w:rPr>
          <w:color w:val="000000" w:themeColor="text1"/>
          <w:vertAlign w:val="superscript"/>
          <w:lang w:eastAsia="ja-JP"/>
        </w:rPr>
        <w:footnoteReference w:id="2"/>
      </w:r>
      <w:r w:rsidR="002A34C4" w:rsidRPr="00456EE3">
        <w:rPr>
          <w:color w:val="000000" w:themeColor="text1"/>
        </w:rPr>
        <w:t>.</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Le WG</w:t>
      </w:r>
      <w:r w:rsidR="0034393B">
        <w:t>-</w:t>
      </w:r>
      <w:r w:rsidRPr="00456EE3">
        <w:t>HRV est convenu que le Bureau de l</w:t>
      </w:r>
      <w:r w:rsidR="0034393B">
        <w:t>’</w:t>
      </w:r>
      <w:r w:rsidRPr="00456EE3">
        <w:t>Union devrait établir les documents pour sa troisième</w:t>
      </w:r>
      <w:r w:rsidR="00F71E7C">
        <w:t> </w:t>
      </w:r>
      <w:r w:rsidRPr="00456EE3">
        <w:t>réunion d</w:t>
      </w:r>
      <w:r w:rsidR="0034393B">
        <w:t>’</w:t>
      </w:r>
      <w:r w:rsidRPr="00456EE3">
        <w:t>ici la fin du mois de janvi</w:t>
      </w:r>
      <w:r w:rsidR="00AC0F2C" w:rsidRPr="00456EE3">
        <w:t>er</w:t>
      </w:r>
      <w:r w:rsidR="00AC0F2C">
        <w:t xml:space="preserve">.  </w:t>
      </w:r>
      <w:r w:rsidR="00AC0F2C" w:rsidRPr="00456EE3">
        <w:t>Le</w:t>
      </w:r>
      <w:r w:rsidRPr="00456EE3">
        <w:t xml:space="preserve"> WG</w:t>
      </w:r>
      <w:r w:rsidR="0034393B">
        <w:t>-</w:t>
      </w:r>
      <w:r w:rsidRPr="00456EE3">
        <w:t>HRV sera invité à envoyer des commentaires et des exemples avant la fin du mois de février pour distribution au WG</w:t>
      </w:r>
      <w:r w:rsidR="0034393B">
        <w:t>-</w:t>
      </w:r>
      <w:r w:rsidRPr="00456EE3">
        <w:t>HRV avant la troisième</w:t>
      </w:r>
      <w:r w:rsidR="00F71E7C">
        <w:t> </w:t>
      </w:r>
      <w:r w:rsidRPr="00456EE3">
        <w:t>réunion.</w:t>
      </w:r>
    </w:p>
    <w:p w:rsidR="00456EE3" w:rsidRPr="00456EE3" w:rsidRDefault="00456EE3" w:rsidP="009822F6">
      <w:pPr>
        <w:spacing w:after="160"/>
        <w:jc w:val="both"/>
      </w:pPr>
      <w:r w:rsidRPr="00456EE3">
        <w:fldChar w:fldCharType="begin"/>
      </w:r>
      <w:r w:rsidRPr="00456EE3">
        <w:instrText xml:space="preserve"> AUTONUM  </w:instrText>
      </w:r>
      <w:r w:rsidRPr="00456EE3">
        <w:fldChar w:fldCharType="end"/>
      </w:r>
      <w:r w:rsidRPr="00456EE3">
        <w:tab/>
        <w:t>Le programme ci</w:t>
      </w:r>
      <w:r w:rsidR="0034393B">
        <w:t>-</w:t>
      </w:r>
      <w:r w:rsidRPr="00456EE3">
        <w:t>après a été approuvé pour la troisième</w:t>
      </w:r>
      <w:r w:rsidR="00043B9E">
        <w:t> </w:t>
      </w:r>
      <w:r w:rsidRPr="00456EE3">
        <w:t>réunion du WG</w:t>
      </w:r>
      <w:r w:rsidR="0034393B">
        <w:t>-</w:t>
      </w:r>
      <w:r w:rsidRPr="00456EE3">
        <w:t>HRV</w:t>
      </w:r>
      <w:r w:rsidR="002A34C4">
        <w:t> </w:t>
      </w:r>
      <w:r w:rsidRPr="00456EE3">
        <w:t>:</w:t>
      </w:r>
    </w:p>
    <w:p w:rsidR="0034393B" w:rsidRDefault="00456EE3" w:rsidP="009822F6">
      <w:pPr>
        <w:numPr>
          <w:ilvl w:val="1"/>
          <w:numId w:val="7"/>
        </w:numPr>
        <w:autoSpaceDE w:val="0"/>
        <w:autoSpaceDN w:val="0"/>
        <w:adjustRightInd w:val="0"/>
        <w:spacing w:after="160"/>
        <w:ind w:left="1134" w:hanging="567"/>
        <w:jc w:val="both"/>
      </w:pPr>
      <w:r w:rsidRPr="00456EE3">
        <w:t>Ouverture de la réunion</w:t>
      </w:r>
    </w:p>
    <w:p w:rsidR="00456EE3" w:rsidRPr="00456EE3" w:rsidRDefault="00456EE3" w:rsidP="009822F6">
      <w:pPr>
        <w:numPr>
          <w:ilvl w:val="1"/>
          <w:numId w:val="7"/>
        </w:numPr>
        <w:autoSpaceDE w:val="0"/>
        <w:autoSpaceDN w:val="0"/>
        <w:adjustRightInd w:val="0"/>
        <w:spacing w:after="160"/>
        <w:ind w:left="1134" w:hanging="567"/>
        <w:jc w:val="both"/>
        <w:rPr>
          <w:szCs w:val="24"/>
        </w:rPr>
      </w:pPr>
      <w:r w:rsidRPr="00456EE3">
        <w:t>Adoption de l</w:t>
      </w:r>
      <w:r w:rsidR="0034393B">
        <w:t>’</w:t>
      </w:r>
      <w:r w:rsidRPr="00456EE3">
        <w:t>ordre du jour</w:t>
      </w:r>
    </w:p>
    <w:p w:rsidR="0034393B" w:rsidRDefault="00456EE3" w:rsidP="009822F6">
      <w:pPr>
        <w:numPr>
          <w:ilvl w:val="1"/>
          <w:numId w:val="7"/>
        </w:numPr>
        <w:spacing w:after="160"/>
        <w:ind w:left="1134" w:hanging="567"/>
        <w:jc w:val="both"/>
      </w:pPr>
      <w:r w:rsidRPr="00456EE3">
        <w:t xml:space="preserve">Propositions concernant les notes explicatives sur le matériel de reproduction ou de multiplication selon la </w:t>
      </w:r>
      <w:r w:rsidR="0034393B">
        <w:t>Convention UPOV</w:t>
      </w:r>
    </w:p>
    <w:p w:rsidR="0034393B" w:rsidRDefault="00456EE3" w:rsidP="009822F6">
      <w:pPr>
        <w:numPr>
          <w:ilvl w:val="1"/>
          <w:numId w:val="7"/>
        </w:numPr>
        <w:spacing w:after="160"/>
        <w:ind w:left="1134" w:hanging="567"/>
        <w:jc w:val="both"/>
      </w:pPr>
      <w:r w:rsidRPr="00456EE3">
        <w:t>Points de vue sur l</w:t>
      </w:r>
      <w:r w:rsidR="0034393B">
        <w:t>’</w:t>
      </w:r>
      <w:r w:rsidRPr="00456EE3">
        <w:t>“utilisation non autorisée” selon l</w:t>
      </w:r>
      <w:r w:rsidR="0034393B">
        <w:t>’</w:t>
      </w:r>
      <w:r w:rsidR="0034393B" w:rsidRPr="00456EE3">
        <w:t>article</w:t>
      </w:r>
      <w:r w:rsidR="0034393B">
        <w:t> </w:t>
      </w:r>
      <w:r w:rsidR="0034393B" w:rsidRPr="00456EE3">
        <w:t>1</w:t>
      </w:r>
      <w:r w:rsidRPr="00456EE3">
        <w:t>4.2) de l</w:t>
      </w:r>
      <w:r w:rsidR="0034393B">
        <w:t>’</w:t>
      </w:r>
      <w:r w:rsidRPr="00456EE3">
        <w:t xml:space="preserve">Acte </w:t>
      </w:r>
      <w:r w:rsidR="0034393B" w:rsidRPr="00456EE3">
        <w:t>de</w:t>
      </w:r>
      <w:r w:rsidR="0034393B">
        <w:t> </w:t>
      </w:r>
      <w:r w:rsidR="0034393B" w:rsidRPr="00456EE3">
        <w:t>1991</w:t>
      </w:r>
      <w:r w:rsidRPr="00456EE3">
        <w:t xml:space="preserve"> de la </w:t>
      </w:r>
      <w:r w:rsidR="0034393B">
        <w:t>Convention UPOV</w:t>
      </w:r>
    </w:p>
    <w:p w:rsidR="00456EE3" w:rsidRPr="0034484E" w:rsidRDefault="00456EE3" w:rsidP="009822F6">
      <w:pPr>
        <w:numPr>
          <w:ilvl w:val="1"/>
          <w:numId w:val="7"/>
        </w:numPr>
        <w:autoSpaceDE w:val="0"/>
        <w:autoSpaceDN w:val="0"/>
        <w:adjustRightInd w:val="0"/>
        <w:spacing w:after="160"/>
        <w:ind w:left="1134" w:hanging="567"/>
        <w:jc w:val="both"/>
        <w:rPr>
          <w:sz w:val="18"/>
          <w:szCs w:val="24"/>
        </w:rPr>
      </w:pPr>
      <w:r w:rsidRPr="00456EE3">
        <w:t xml:space="preserve">Propositions concernant les notes explicatives sur la protection provisoire selon la </w:t>
      </w:r>
      <w:r w:rsidR="0034393B">
        <w:t>Convention UPOV</w:t>
      </w:r>
    </w:p>
    <w:p w:rsidR="00456EE3" w:rsidRPr="00456EE3" w:rsidRDefault="00456EE3" w:rsidP="009822F6">
      <w:pPr>
        <w:numPr>
          <w:ilvl w:val="1"/>
          <w:numId w:val="7"/>
        </w:numPr>
        <w:autoSpaceDE w:val="0"/>
        <w:autoSpaceDN w:val="0"/>
        <w:adjustRightInd w:val="0"/>
        <w:spacing w:after="160"/>
        <w:ind w:left="1134" w:hanging="567"/>
        <w:jc w:val="both"/>
        <w:rPr>
          <w:szCs w:val="24"/>
        </w:rPr>
      </w:pPr>
      <w:r w:rsidRPr="00456EE3">
        <w:t>Date et programme de la quatrième</w:t>
      </w:r>
      <w:r w:rsidR="00043B9E">
        <w:t> </w:t>
      </w:r>
      <w:r w:rsidRPr="00456EE3">
        <w:t>réunion</w:t>
      </w:r>
    </w:p>
    <w:p w:rsidR="00456EE3" w:rsidRPr="00456EE3" w:rsidRDefault="00456EE3" w:rsidP="00C2523D">
      <w:pPr>
        <w:tabs>
          <w:tab w:val="left" w:pos="5387"/>
        </w:tabs>
        <w:ind w:left="4820"/>
        <w:rPr>
          <w:rFonts w:cs="Arial"/>
          <w:i/>
        </w:rPr>
      </w:pPr>
      <w:r w:rsidRPr="00456EE3">
        <w:rPr>
          <w:rFonts w:cs="Arial"/>
          <w:i/>
        </w:rPr>
        <w:fldChar w:fldCharType="begin"/>
      </w:r>
      <w:r w:rsidRPr="00456EE3">
        <w:rPr>
          <w:rFonts w:cs="Arial"/>
          <w:i/>
        </w:rPr>
        <w:instrText xml:space="preserve"> AUTONUM  </w:instrText>
      </w:r>
      <w:r w:rsidRPr="00456EE3">
        <w:rPr>
          <w:rFonts w:cs="Arial"/>
          <w:i/>
        </w:rPr>
        <w:fldChar w:fldCharType="end"/>
      </w:r>
      <w:r w:rsidRPr="00456EE3">
        <w:rPr>
          <w:i/>
        </w:rPr>
        <w:tab/>
        <w:t>Le présent compte rendu est adopté par correspondance.</w:t>
      </w:r>
    </w:p>
    <w:p w:rsidR="00456EE3" w:rsidRDefault="00456EE3" w:rsidP="008578C4">
      <w:pPr>
        <w:spacing w:before="720"/>
        <w:ind w:left="5529"/>
        <w:jc w:val="right"/>
        <w:sectPr w:rsidR="00456EE3" w:rsidSect="009822F6">
          <w:headerReference w:type="even" r:id="rId8"/>
          <w:headerReference w:type="default" r:id="rId9"/>
          <w:footerReference w:type="even" r:id="rId10"/>
          <w:pgSz w:w="11907" w:h="16840" w:code="9"/>
          <w:pgMar w:top="720" w:right="1417" w:bottom="1417" w:left="1417" w:header="510" w:footer="680" w:gutter="0"/>
          <w:cols w:space="720"/>
          <w:titlePg/>
          <w:docGrid w:linePitch="299"/>
        </w:sectPr>
      </w:pPr>
      <w:r w:rsidRPr="00456EE3">
        <w:t>[L</w:t>
      </w:r>
      <w:r w:rsidR="0034393B">
        <w:t>’</w:t>
      </w:r>
      <w:r w:rsidRPr="00456EE3">
        <w:t>annexe suit]</w:t>
      </w:r>
    </w:p>
    <w:p w:rsidR="009822F6" w:rsidRPr="004F0D03" w:rsidRDefault="009822F6" w:rsidP="009822F6">
      <w:pPr>
        <w:jc w:val="center"/>
      </w:pPr>
      <w:r w:rsidRPr="004F0D03">
        <w:lastRenderedPageBreak/>
        <w:t>(dans l’ordre alphabétique des noms français des membres /</w:t>
      </w:r>
      <w:r w:rsidRPr="004F0D03">
        <w:br/>
        <w:t>in the alphabetical order of the French names of the members /</w:t>
      </w:r>
      <w:r w:rsidRPr="004F0D03">
        <w:br/>
        <w:t>por orden alfabético de los nombres en francés de los miembros)</w:t>
      </w:r>
    </w:p>
    <w:p w:rsidR="009822F6" w:rsidRPr="00C46895" w:rsidRDefault="009822F6" w:rsidP="009822F6">
      <w:pPr>
        <w:pStyle w:val="plheading"/>
        <w:rPr>
          <w:lang w:val="fr-CH"/>
        </w:rPr>
      </w:pPr>
      <w:r w:rsidRPr="00C46895">
        <w:rPr>
          <w:lang w:val="fr-CH"/>
        </w:rPr>
        <w:t>I. MEMBRES / MEMBERS / MIEMBROS</w:t>
      </w:r>
    </w:p>
    <w:p w:rsidR="009822F6" w:rsidRPr="003C1E7D" w:rsidRDefault="009822F6" w:rsidP="009822F6">
      <w:pPr>
        <w:pStyle w:val="plcountry"/>
        <w:rPr>
          <w:sz w:val="24"/>
          <w:szCs w:val="30"/>
          <w:lang w:val="fr-CH"/>
        </w:rPr>
      </w:pPr>
      <w:r w:rsidRPr="003C1E7D">
        <w:rPr>
          <w:lang w:val="fr-CH"/>
        </w:rPr>
        <w:t>AFRIQUE DU SUD / SOUTH AFRICA / SUDÁFRICA</w:t>
      </w:r>
    </w:p>
    <w:p w:rsidR="009822F6" w:rsidRPr="003C1E7D" w:rsidRDefault="009822F6" w:rsidP="009822F6">
      <w:pPr>
        <w:pStyle w:val="pldetails"/>
        <w:rPr>
          <w:szCs w:val="27"/>
        </w:rPr>
      </w:pPr>
      <w:r w:rsidRPr="003C1E7D">
        <w:t xml:space="preserve">Noluthando NETNOU-NKOANA (Ms.), Director, Genetic Resources, Department of Agriculture, Rural development and Land Reform, Pretoria </w:t>
      </w:r>
      <w:r>
        <w:br/>
        <w:t xml:space="preserve">(e-mail: </w:t>
      </w:r>
      <w:r w:rsidRPr="004417BE">
        <w:t>NoluthandoN@dalrrd.gov.za</w:t>
      </w:r>
      <w:r>
        <w:t>)</w:t>
      </w:r>
    </w:p>
    <w:p w:rsidR="009822F6" w:rsidRPr="00D05C79" w:rsidRDefault="009822F6" w:rsidP="009822F6">
      <w:pPr>
        <w:pStyle w:val="plcountry"/>
        <w:rPr>
          <w:lang w:val="es-ES"/>
        </w:rPr>
      </w:pPr>
      <w:r w:rsidRPr="00D05C79">
        <w:rPr>
          <w:lang w:val="es-ES"/>
        </w:rPr>
        <w:t>ARGENTINE / ARGENTINA</w:t>
      </w:r>
      <w:r>
        <w:rPr>
          <w:lang w:val="es-ES"/>
        </w:rPr>
        <w:t xml:space="preserve"> / ARGENTINA</w:t>
      </w:r>
    </w:p>
    <w:p w:rsidR="009822F6" w:rsidRDefault="009822F6" w:rsidP="009822F6">
      <w:pPr>
        <w:pStyle w:val="pldetails"/>
        <w:rPr>
          <w:lang w:val="es-ES"/>
        </w:rPr>
      </w:pPr>
      <w:r w:rsidRPr="0066481F">
        <w:rPr>
          <w:lang w:val="es-ES"/>
        </w:rPr>
        <w:t>María Laura VILLAMAYOR (Sra.), Coordinadora de Relaciones Institucionales e Interjurisdiccionales, Instituto Nacional de Semillas (INASE), Secretaría de Agricultura, Ganaderí</w:t>
      </w:r>
      <w:r>
        <w:rPr>
          <w:lang w:val="es-ES"/>
        </w:rPr>
        <w:t xml:space="preserve">a, Pesca y Alimentación, </w:t>
      </w:r>
      <w:r>
        <w:rPr>
          <w:lang w:val="es-ES"/>
        </w:rPr>
        <w:br/>
        <w:t xml:space="preserve">Buenos </w:t>
      </w:r>
      <w:r w:rsidRPr="0066481F">
        <w:rPr>
          <w:lang w:val="es-ES"/>
        </w:rPr>
        <w:t xml:space="preserve">Aires </w:t>
      </w:r>
      <w:r>
        <w:rPr>
          <w:lang w:val="es-ES"/>
        </w:rPr>
        <w:br/>
      </w:r>
      <w:r w:rsidRPr="0066481F">
        <w:rPr>
          <w:lang w:val="es-ES"/>
        </w:rPr>
        <w:t xml:space="preserve">(e-mail: </w:t>
      </w:r>
      <w:r w:rsidRPr="003C1E7D">
        <w:rPr>
          <w:lang w:val="es-ES"/>
        </w:rPr>
        <w:t>mlvillamayor@inase.gob.ar</w:t>
      </w:r>
      <w:r w:rsidRPr="0066481F">
        <w:rPr>
          <w:lang w:val="es-ES"/>
        </w:rPr>
        <w:t>)</w:t>
      </w:r>
    </w:p>
    <w:p w:rsidR="009822F6" w:rsidRPr="004417BE" w:rsidRDefault="009822F6" w:rsidP="009822F6">
      <w:pPr>
        <w:pStyle w:val="plcountry"/>
      </w:pPr>
      <w:r w:rsidRPr="00275157">
        <w:t>A</w:t>
      </w:r>
      <w:r w:rsidRPr="004417BE">
        <w:t>USTRALIE / AUSTRALIA / AUSTRALIA</w:t>
      </w:r>
    </w:p>
    <w:p w:rsidR="009822F6" w:rsidRPr="004417BE" w:rsidRDefault="009822F6" w:rsidP="009822F6">
      <w:pPr>
        <w:pStyle w:val="pldetails"/>
      </w:pPr>
      <w:r w:rsidRPr="004417BE">
        <w:t>Edwina VANDINE (Ms.), Chief of Plant Breeders' Rights, IP Australia, Woden</w:t>
      </w:r>
      <w:r w:rsidRPr="004417BE">
        <w:br/>
        <w:t>(e-mail: Edwina.Vandine@ipaustralia.gov.au</w:t>
      </w:r>
      <w:r>
        <w:t>)</w:t>
      </w:r>
    </w:p>
    <w:p w:rsidR="009822F6" w:rsidRPr="003C1E7D" w:rsidRDefault="009822F6" w:rsidP="009822F6">
      <w:pPr>
        <w:pStyle w:val="pldetails"/>
      </w:pPr>
      <w:r w:rsidRPr="003C1E7D">
        <w:t>Paul GARDNER</w:t>
      </w:r>
      <w:r>
        <w:t xml:space="preserve"> (Mr.)</w:t>
      </w:r>
      <w:r w:rsidRPr="003C1E7D">
        <w:t>, Director, Policy and International Affairs, IP Australia, Phillip</w:t>
      </w:r>
      <w:r>
        <w:br/>
        <w:t xml:space="preserve">(e-mail: </w:t>
      </w:r>
      <w:r w:rsidRPr="004417BE">
        <w:t>Paul.Gardner@ipaustralia.gov.au</w:t>
      </w:r>
      <w:r>
        <w:t>)</w:t>
      </w:r>
    </w:p>
    <w:p w:rsidR="009822F6" w:rsidRPr="00490653" w:rsidRDefault="009822F6" w:rsidP="009822F6">
      <w:pPr>
        <w:pStyle w:val="pldetails"/>
      </w:pPr>
      <w:r w:rsidRPr="00490653">
        <w:t>Isabel Louise WARD (Ms.), Assistant Director, IP Australia, Woden</w:t>
      </w:r>
      <w:r w:rsidRPr="00490653">
        <w:br/>
        <w:t>(e-mail: Isabel.Ward@ipaustralia.gov.au)</w:t>
      </w:r>
    </w:p>
    <w:p w:rsidR="009822F6" w:rsidRPr="003C1E7D" w:rsidRDefault="009822F6" w:rsidP="009822F6">
      <w:pPr>
        <w:pStyle w:val="pldetails"/>
      </w:pPr>
      <w:r w:rsidRPr="003C1E7D">
        <w:t>Daniel DESNOUSSE</w:t>
      </w:r>
      <w:r>
        <w:t xml:space="preserve"> (Mr.)</w:t>
      </w:r>
      <w:r w:rsidRPr="003C1E7D">
        <w:t>, IP Policy Officer, IP Australia, Phillip</w:t>
      </w:r>
      <w:r>
        <w:br/>
        <w:t xml:space="preserve">(e-mail: </w:t>
      </w:r>
      <w:r w:rsidRPr="004417BE">
        <w:t>Daniel.Desnousse@ipaustralia.gov.au</w:t>
      </w:r>
      <w:r>
        <w:t>)</w:t>
      </w:r>
    </w:p>
    <w:p w:rsidR="009822F6" w:rsidRPr="004417BE" w:rsidRDefault="009822F6" w:rsidP="009822F6">
      <w:pPr>
        <w:pStyle w:val="pldetails"/>
      </w:pPr>
      <w:r w:rsidRPr="004417BE">
        <w:t>Charles LAWSON</w:t>
      </w:r>
      <w:r>
        <w:t xml:space="preserve"> (Mr.)</w:t>
      </w:r>
      <w:r w:rsidRPr="004417BE">
        <w:t xml:space="preserve">, Associate Professor, Griffith Law School, Intellectual Property Branch, Attorney-General’s Department, Brisbane </w:t>
      </w:r>
      <w:r>
        <w:br/>
        <w:t>(e-mail:</w:t>
      </w:r>
      <w:r w:rsidRPr="004417BE">
        <w:t xml:space="preserve"> c.lawson@griffith.edu.au</w:t>
      </w:r>
      <w:r>
        <w:t>)</w:t>
      </w:r>
    </w:p>
    <w:p w:rsidR="009822F6" w:rsidRPr="003C1E7D" w:rsidRDefault="009822F6" w:rsidP="009822F6">
      <w:pPr>
        <w:pStyle w:val="plcountry"/>
        <w:rPr>
          <w:lang w:val="pt-PT"/>
        </w:rPr>
      </w:pPr>
      <w:r w:rsidRPr="003C1E7D">
        <w:rPr>
          <w:lang w:val="pt-PT"/>
        </w:rPr>
        <w:t xml:space="preserve">CANADA / </w:t>
      </w:r>
      <w:r>
        <w:rPr>
          <w:lang w:val="pt-PT"/>
        </w:rPr>
        <w:t xml:space="preserve">canada / </w:t>
      </w:r>
      <w:r w:rsidRPr="003C1E7D">
        <w:rPr>
          <w:lang w:val="pt-PT"/>
        </w:rPr>
        <w:t>CANADÁ</w:t>
      </w:r>
    </w:p>
    <w:p w:rsidR="009822F6" w:rsidRDefault="009822F6" w:rsidP="009822F6">
      <w:pPr>
        <w:pStyle w:val="pldetails"/>
        <w:rPr>
          <w:lang w:val="pt-PT"/>
        </w:rPr>
      </w:pPr>
      <w:r w:rsidRPr="003C1E7D">
        <w:rPr>
          <w:lang w:val="pt-PT"/>
        </w:rPr>
        <w:t>Marc DE WIT</w:t>
      </w:r>
      <w:r>
        <w:rPr>
          <w:lang w:val="pt-PT"/>
        </w:rPr>
        <w:t xml:space="preserve"> (Mr.)</w:t>
      </w:r>
      <w:r w:rsidRPr="003C1E7D">
        <w:rPr>
          <w:lang w:val="pt-PT"/>
        </w:rPr>
        <w:t xml:space="preserve">, Examiner, Plant Breeders' Rights Office, Canadian Food Inspection Agency (CFIA), Ottawa </w:t>
      </w:r>
      <w:r>
        <w:rPr>
          <w:lang w:val="pt-PT"/>
        </w:rPr>
        <w:br/>
        <w:t xml:space="preserve">(e-mail: </w:t>
      </w:r>
      <w:r w:rsidRPr="00D401C9">
        <w:rPr>
          <w:lang w:val="pt-PT"/>
        </w:rPr>
        <w:t>Marc.deWit@Inspection.gc.ca</w:t>
      </w:r>
      <w:r>
        <w:rPr>
          <w:lang w:val="pt-PT"/>
        </w:rPr>
        <w:t>)</w:t>
      </w:r>
    </w:p>
    <w:p w:rsidR="009822F6" w:rsidRPr="007E668E" w:rsidRDefault="009822F6" w:rsidP="009822F6">
      <w:pPr>
        <w:pStyle w:val="plcountry"/>
        <w:rPr>
          <w:lang w:val="pt-PT"/>
        </w:rPr>
      </w:pPr>
      <w:r w:rsidRPr="007E668E">
        <w:rPr>
          <w:lang w:val="pt-PT"/>
        </w:rPr>
        <w:t>CHILI / CHILE / chile</w:t>
      </w:r>
    </w:p>
    <w:p w:rsidR="009822F6" w:rsidRPr="0098789C" w:rsidRDefault="009822F6" w:rsidP="009822F6">
      <w:pPr>
        <w:pStyle w:val="pldetails"/>
        <w:rPr>
          <w:lang w:val="es-ES"/>
        </w:rPr>
      </w:pPr>
      <w:r w:rsidRPr="007E668E">
        <w:rPr>
          <w:lang w:val="es-ES"/>
        </w:rPr>
        <w:t xml:space="preserve">Manuel Antonio TORO UGALDE (Sr.), Jefe Sección, Registro de Variedades Protegidas, Departamento de Semillas y Plantas, Servicio Agrícola y Ganadero (SAG), Santiago de Chile </w:t>
      </w:r>
      <w:r w:rsidRPr="007E668E">
        <w:rPr>
          <w:lang w:val="es-ES"/>
        </w:rPr>
        <w:br/>
        <w:t>(e-mail: manuel.toro@sag.gob.cl)</w:t>
      </w:r>
      <w:r w:rsidRPr="0098789C">
        <w:rPr>
          <w:lang w:val="es-ES"/>
        </w:rPr>
        <w:t xml:space="preserve"> </w:t>
      </w:r>
    </w:p>
    <w:p w:rsidR="009822F6" w:rsidRDefault="009822F6" w:rsidP="009822F6">
      <w:pPr>
        <w:pStyle w:val="plcountry"/>
      </w:pPr>
      <w:r w:rsidRPr="0066481F">
        <w:t>CHINE / CHINA / CHINA</w:t>
      </w:r>
    </w:p>
    <w:p w:rsidR="009822F6" w:rsidRPr="004417BE" w:rsidRDefault="009822F6" w:rsidP="009822F6">
      <w:pPr>
        <w:pStyle w:val="pldetails"/>
        <w:rPr>
          <w:lang w:val="pt-PT"/>
        </w:rPr>
      </w:pPr>
      <w:r w:rsidRPr="004417BE">
        <w:rPr>
          <w:lang w:val="pt-PT"/>
        </w:rPr>
        <w:t>CUI Yehan</w:t>
      </w:r>
      <w:r>
        <w:rPr>
          <w:lang w:val="pt-PT"/>
        </w:rPr>
        <w:t xml:space="preserve"> (Mr.)</w:t>
      </w:r>
      <w:r w:rsidRPr="004417BE">
        <w:rPr>
          <w:lang w:val="pt-PT"/>
        </w:rPr>
        <w:t>, Principal Consultant, Division of Plant Variety Protection, Development Center of Science and Technology (DCST), Ministry of Agriculture and Rural Affairs (MARA), Beijing</w:t>
      </w:r>
      <w:r w:rsidRPr="004417BE">
        <w:rPr>
          <w:lang w:val="pt-PT"/>
        </w:rPr>
        <w:br/>
        <w:t>(e-mail:</w:t>
      </w:r>
      <w:r>
        <w:rPr>
          <w:lang w:val="pt-PT"/>
        </w:rPr>
        <w:t xml:space="preserve"> </w:t>
      </w:r>
      <w:r w:rsidRPr="004417BE">
        <w:rPr>
          <w:lang w:val="pt-PT"/>
        </w:rPr>
        <w:t>cuiyehan@agri.gov.cn</w:t>
      </w:r>
      <w:r>
        <w:rPr>
          <w:lang w:val="pt-PT"/>
        </w:rPr>
        <w:t>)</w:t>
      </w:r>
    </w:p>
    <w:p w:rsidR="009822F6" w:rsidRPr="00275157" w:rsidRDefault="009822F6" w:rsidP="009822F6">
      <w:pPr>
        <w:pStyle w:val="pldetails"/>
      </w:pPr>
      <w:r w:rsidRPr="00275157">
        <w:t>ZHANG Chuanhong (Ms.), Associate Research Professor, Research Institute of Forestry, Chinese Academy of Forestry, Beijing</w:t>
      </w:r>
      <w:r w:rsidRPr="00275157">
        <w:br/>
        <w:t>(e-mail: zhangch@caf.ac.cn)</w:t>
      </w:r>
    </w:p>
    <w:p w:rsidR="009822F6" w:rsidRPr="00275157" w:rsidRDefault="009822F6" w:rsidP="009822F6">
      <w:pPr>
        <w:pStyle w:val="pldetails"/>
      </w:pPr>
      <w:r w:rsidRPr="00275157">
        <w:t>HOU Yilei (Ms.), Lecturer, Beijing Forestry University, Beijing</w:t>
      </w:r>
      <w:r w:rsidRPr="00275157">
        <w:br/>
        <w:t xml:space="preserve">(e-mail: houyilei427@163.com) </w:t>
      </w:r>
    </w:p>
    <w:p w:rsidR="009822F6" w:rsidRPr="003C1E7D" w:rsidRDefault="009822F6" w:rsidP="009822F6">
      <w:pPr>
        <w:pStyle w:val="pldetails"/>
        <w:rPr>
          <w:rFonts w:cs="Arial"/>
          <w:color w:val="000000"/>
          <w:szCs w:val="27"/>
        </w:rPr>
      </w:pPr>
      <w:r w:rsidRPr="00996B12">
        <w:rPr>
          <w:rFonts w:cs="Arial"/>
          <w:color w:val="000000"/>
          <w:szCs w:val="24"/>
        </w:rPr>
        <w:t>DU Yuanyuan (Ms.), Deputy Division Director, Division of Plant Variety Protection, Development</w:t>
      </w:r>
      <w:r w:rsidRPr="003C1E7D">
        <w:rPr>
          <w:rFonts w:cs="Arial"/>
          <w:color w:val="000000"/>
          <w:szCs w:val="24"/>
        </w:rPr>
        <w:t xml:space="preserve"> Center of Science and Technology (DCST), Ministry of Agriculture and Rural Affairs (MARA), Beijing </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13501269171@163.com</w:t>
      </w:r>
      <w:r>
        <w:rPr>
          <w:rFonts w:cs="Arial"/>
          <w:color w:val="000000"/>
          <w:szCs w:val="24"/>
        </w:rPr>
        <w:t>)</w:t>
      </w:r>
    </w:p>
    <w:p w:rsidR="009822F6" w:rsidRPr="004417BE" w:rsidRDefault="009822F6" w:rsidP="009822F6">
      <w:pPr>
        <w:pStyle w:val="pldetails"/>
        <w:rPr>
          <w:rFonts w:cs="Arial"/>
          <w:color w:val="000000"/>
          <w:sz w:val="24"/>
          <w:szCs w:val="30"/>
        </w:rPr>
      </w:pPr>
      <w:r w:rsidRPr="003C1E7D">
        <w:rPr>
          <w:rFonts w:cs="Arial"/>
          <w:color w:val="000000"/>
          <w:szCs w:val="24"/>
        </w:rPr>
        <w:t>LI Judan (Mrs.), Associate Professor, PhD, Institute of Law, Chinese Academy of Social Sciences,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lijudan@cass.org.cn</w:t>
      </w:r>
      <w:r>
        <w:rPr>
          <w:rFonts w:cs="Arial"/>
          <w:color w:val="000000"/>
          <w:szCs w:val="24"/>
        </w:rPr>
        <w:t>)</w:t>
      </w:r>
    </w:p>
    <w:p w:rsidR="009822F6" w:rsidRPr="00690718" w:rsidRDefault="009822F6" w:rsidP="009822F6">
      <w:pPr>
        <w:pStyle w:val="pldetails"/>
      </w:pPr>
      <w:r w:rsidRPr="00690718">
        <w:lastRenderedPageBreak/>
        <w:t xml:space="preserve">YANG Yang (Ms.), Senior Examiner, Division of Plant Variety Protection, Development Center of </w:t>
      </w:r>
      <w:r w:rsidRPr="00690718">
        <w:br/>
        <w:t xml:space="preserve">Science and Technology (DCST), Ministry of Agriculture and Rural Affairs (MARA), Beijing </w:t>
      </w:r>
      <w:r>
        <w:br/>
        <w:t xml:space="preserve">(e-mail: </w:t>
      </w:r>
      <w:r w:rsidRPr="00690718">
        <w:t>yangyang@agri.gov.cn</w:t>
      </w:r>
      <w:r>
        <w:t>)</w:t>
      </w:r>
    </w:p>
    <w:p w:rsidR="009822F6" w:rsidRPr="004417BE" w:rsidRDefault="009822F6" w:rsidP="009822F6">
      <w:pPr>
        <w:pStyle w:val="pldetails"/>
        <w:rPr>
          <w:rFonts w:cs="Arial"/>
          <w:color w:val="000000"/>
          <w:sz w:val="24"/>
          <w:szCs w:val="30"/>
        </w:rPr>
      </w:pPr>
      <w:r w:rsidRPr="003C1E7D">
        <w:rPr>
          <w:rFonts w:cs="Arial"/>
          <w:color w:val="000000"/>
          <w:szCs w:val="24"/>
        </w:rPr>
        <w:t>ZHENG Yongqi</w:t>
      </w:r>
      <w:r>
        <w:rPr>
          <w:rFonts w:cs="Arial"/>
          <w:color w:val="000000"/>
          <w:szCs w:val="24"/>
        </w:rPr>
        <w:t xml:space="preserve"> (Mr.)</w:t>
      </w:r>
      <w:r w:rsidRPr="003C1E7D">
        <w:rPr>
          <w:rFonts w:cs="Arial"/>
          <w:color w:val="000000"/>
          <w:szCs w:val="24"/>
        </w:rPr>
        <w:t xml:space="preserve">, Director, Laboratory of Molecular Identification of Plant Varieties, Office of </w:t>
      </w:r>
      <w:r>
        <w:rPr>
          <w:rFonts w:cs="Arial"/>
          <w:color w:val="000000"/>
          <w:sz w:val="24"/>
          <w:szCs w:val="30"/>
        </w:rPr>
        <w:t xml:space="preserve"> </w:t>
      </w:r>
      <w:r w:rsidRPr="003C1E7D">
        <w:rPr>
          <w:rFonts w:cs="Arial"/>
          <w:color w:val="000000"/>
          <w:szCs w:val="24"/>
        </w:rPr>
        <w:t>Protection of New Varieties of Plants, National Forestry and Grassland Administration of China (NFGA),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zyq8565@126.com</w:t>
      </w:r>
      <w:r>
        <w:rPr>
          <w:rFonts w:cs="Arial"/>
          <w:color w:val="000000"/>
          <w:szCs w:val="24"/>
        </w:rPr>
        <w:t>)</w:t>
      </w:r>
    </w:p>
    <w:p w:rsidR="009822F6" w:rsidRPr="004417BE" w:rsidRDefault="009822F6" w:rsidP="009822F6">
      <w:pPr>
        <w:pStyle w:val="pldetails"/>
        <w:rPr>
          <w:rFonts w:cs="Arial"/>
          <w:color w:val="000000"/>
          <w:sz w:val="24"/>
          <w:szCs w:val="30"/>
        </w:rPr>
      </w:pPr>
      <w:r w:rsidRPr="003C1E7D">
        <w:rPr>
          <w:rFonts w:cs="Arial"/>
          <w:color w:val="000000"/>
          <w:szCs w:val="24"/>
        </w:rPr>
        <w:t>HAN Ruixi</w:t>
      </w:r>
      <w:r>
        <w:rPr>
          <w:rFonts w:cs="Arial"/>
          <w:color w:val="000000"/>
          <w:szCs w:val="24"/>
        </w:rPr>
        <w:t xml:space="preserve"> (Mr.)</w:t>
      </w:r>
      <w:r w:rsidRPr="003C1E7D">
        <w:rPr>
          <w:rFonts w:cs="Arial"/>
          <w:color w:val="000000"/>
          <w:szCs w:val="24"/>
        </w:rPr>
        <w:t>, Deputy Director, Division of DUS Tests, Development Center of Science and Technology (DCST), Ministry of Agriculture and Rural Affairs (MARA), Beijing</w:t>
      </w:r>
      <w:r>
        <w:rPr>
          <w:rFonts w:cs="Arial"/>
          <w:color w:val="000000"/>
          <w:szCs w:val="24"/>
        </w:rPr>
        <w:br/>
      </w:r>
      <w:r w:rsidRPr="004417BE">
        <w:rPr>
          <w:rFonts w:cs="Arial"/>
          <w:color w:val="000000"/>
          <w:szCs w:val="24"/>
        </w:rPr>
        <w:t>(e-mail:</w:t>
      </w:r>
      <w:r w:rsidRPr="004417BE">
        <w:t xml:space="preserve"> </w:t>
      </w:r>
      <w:r w:rsidRPr="004417BE">
        <w:rPr>
          <w:rFonts w:cs="Arial"/>
          <w:color w:val="000000"/>
          <w:szCs w:val="24"/>
        </w:rPr>
        <w:t>wudifeixue007@163.com</w:t>
      </w:r>
      <w:r>
        <w:rPr>
          <w:rFonts w:cs="Arial"/>
          <w:color w:val="000000"/>
          <w:szCs w:val="24"/>
        </w:rPr>
        <w:t>)</w:t>
      </w:r>
    </w:p>
    <w:p w:rsidR="009822F6" w:rsidRPr="0066481F" w:rsidRDefault="009822F6" w:rsidP="009822F6">
      <w:pPr>
        <w:pStyle w:val="plcountry"/>
        <w:rPr>
          <w:lang w:val="es-ES"/>
        </w:rPr>
      </w:pPr>
      <w:r w:rsidRPr="0066481F">
        <w:rPr>
          <w:lang w:val="es-ES"/>
        </w:rPr>
        <w:t>ESPAGNE / SPAIN / ESPAÑA</w:t>
      </w:r>
    </w:p>
    <w:p w:rsidR="009822F6" w:rsidRPr="0066481F" w:rsidRDefault="009822F6" w:rsidP="009822F6">
      <w:pPr>
        <w:pStyle w:val="pldetails"/>
        <w:rPr>
          <w:lang w:val="es-ES"/>
        </w:rPr>
      </w:pPr>
      <w:r w:rsidRPr="0066481F">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sidRPr="0066481F">
        <w:rPr>
          <w:lang w:val="es-ES"/>
        </w:rPr>
        <w:br/>
        <w:t>(e-mail: nurquia@mapa.es)</w:t>
      </w:r>
    </w:p>
    <w:p w:rsidR="009822F6" w:rsidRPr="004F0D03" w:rsidRDefault="009822F6" w:rsidP="009822F6">
      <w:pPr>
        <w:pStyle w:val="plcountry"/>
      </w:pPr>
      <w:r w:rsidRPr="004F0D03">
        <w:t>ÉTATS-UNIS D'AMÉRIQUE / UNITED STATES OF AMERICA / ESTADOS UNIDOS DE AMÉRICA</w:t>
      </w:r>
    </w:p>
    <w:p w:rsidR="009822F6" w:rsidRDefault="009822F6" w:rsidP="009822F6">
      <w:pPr>
        <w:pStyle w:val="pldetails"/>
      </w:pPr>
      <w:r w:rsidRPr="0066481F">
        <w:t xml:space="preserve">Kitisri SUKHAPINDA (Ms.), Patent Attorney, Office of Policy and International Affairs (OPIA), U.S. Department of Commerce, Alexandria </w:t>
      </w:r>
      <w:r w:rsidRPr="0066481F">
        <w:br/>
        <w:t xml:space="preserve">(e-mail: </w:t>
      </w:r>
      <w:r w:rsidRPr="009C0D55">
        <w:t>kitisri.sukhapinda@uspto.gov</w:t>
      </w:r>
      <w:r w:rsidRPr="0066481F">
        <w:t>)</w:t>
      </w:r>
    </w:p>
    <w:p w:rsidR="009822F6" w:rsidRDefault="009822F6" w:rsidP="009822F6">
      <w:pPr>
        <w:pStyle w:val="pldetails"/>
      </w:pPr>
      <w:r w:rsidRPr="0066481F">
        <w:t xml:space="preserve">Nyeemah GRAZIER (Ms.), Patent Attorney, Office of Policy and International Affairs (OPIA), U.S. Department of Commerce, Alexandria </w:t>
      </w:r>
      <w:r w:rsidRPr="0066481F">
        <w:br/>
        <w:t xml:space="preserve">(e-mail: nyeemah.grazier@uspto.gov) </w:t>
      </w:r>
    </w:p>
    <w:p w:rsidR="009822F6" w:rsidRPr="00DF48D9" w:rsidRDefault="009822F6" w:rsidP="009822F6">
      <w:pPr>
        <w:pStyle w:val="plcountry"/>
        <w:rPr>
          <w:lang w:val="fr-CH"/>
        </w:rPr>
      </w:pPr>
      <w:r w:rsidRPr="00DF48D9">
        <w:rPr>
          <w:lang w:val="fr-CH"/>
        </w:rPr>
        <w:t>FRANCE / France / FRANCIA</w:t>
      </w:r>
    </w:p>
    <w:p w:rsidR="009822F6" w:rsidRPr="00826F9B" w:rsidRDefault="009822F6" w:rsidP="009822F6">
      <w:pPr>
        <w:pStyle w:val="pldetails"/>
        <w:rPr>
          <w:lang w:val="fr-CH"/>
        </w:rPr>
      </w:pPr>
      <w:r w:rsidRPr="0066481F">
        <w:rPr>
          <w:lang w:val="fr-CH"/>
        </w:rPr>
        <w:t xml:space="preserve">Yvane MERESSE (Mme), Responsable INOV, Groupe d’Étude et de Contrôle des Variétés et des Semences (GEVES), Beaucouzé cedex </w:t>
      </w:r>
      <w:r w:rsidRPr="0066481F">
        <w:rPr>
          <w:lang w:val="fr-CH"/>
        </w:rPr>
        <w:br/>
        <w:t>(e-mail: yvane.meresse@geves.fr)</w:t>
      </w:r>
      <w:r w:rsidRPr="00826F9B">
        <w:rPr>
          <w:lang w:val="fr-CH"/>
        </w:rPr>
        <w:t xml:space="preserve"> </w:t>
      </w:r>
    </w:p>
    <w:p w:rsidR="009822F6" w:rsidRPr="003C1E7D" w:rsidRDefault="009822F6" w:rsidP="009822F6">
      <w:pPr>
        <w:pStyle w:val="pldetails"/>
        <w:rPr>
          <w:lang w:val="fr-CH"/>
        </w:rPr>
      </w:pPr>
      <w:r w:rsidRPr="003C1E7D">
        <w:rPr>
          <w:lang w:val="fr-CH"/>
        </w:rPr>
        <w:t>Catherine MALATIER (Mme), Assistante INOV, Groupe d’étude et de contrôle des variétés et des semences (GEVES), Beaucouzé cedex</w:t>
      </w:r>
      <w:r>
        <w:rPr>
          <w:lang w:val="fr-CH"/>
        </w:rPr>
        <w:br/>
        <w:t>(e-mail: catherine.malatier@geves.fr)</w:t>
      </w:r>
      <w:r w:rsidRPr="003C1E7D">
        <w:rPr>
          <w:lang w:val="fr-CH"/>
        </w:rPr>
        <w:t xml:space="preserve">  </w:t>
      </w:r>
    </w:p>
    <w:p w:rsidR="009822F6" w:rsidRPr="00490653" w:rsidRDefault="009822F6" w:rsidP="009822F6">
      <w:pPr>
        <w:pStyle w:val="plcountry"/>
      </w:pPr>
      <w:r w:rsidRPr="00490653">
        <w:t>JAPON / JAPAN / JAPÓN</w:t>
      </w:r>
    </w:p>
    <w:p w:rsidR="009822F6" w:rsidRPr="005C1B37" w:rsidRDefault="009822F6" w:rsidP="009822F6">
      <w:pPr>
        <w:pStyle w:val="pldetails"/>
      </w:pPr>
      <w:r w:rsidRPr="00826F9B">
        <w:t>HAGIWARA Minori (Ms.), Deputy Director, Intellectual Property Division, Export and International Affairs Bureau, Ministry of Agriculture, Forestry and Fisheries (MAFF), Tokyo</w:t>
      </w:r>
      <w:r w:rsidRPr="00826F9B">
        <w:br/>
        <w:t>(e-mail: minori_hagiwara110@</w:t>
      </w:r>
      <w:r w:rsidRPr="005C1B37">
        <w:t xml:space="preserve">maff.go.jp) </w:t>
      </w:r>
    </w:p>
    <w:p w:rsidR="009822F6" w:rsidRPr="00826F9B" w:rsidRDefault="009822F6" w:rsidP="009822F6">
      <w:pPr>
        <w:pStyle w:val="pldetails"/>
      </w:pPr>
      <w:r w:rsidRPr="00826F9B">
        <w:t>FUJITSUKA Daisuke (Mr.), Technical Official, Intellectual Property Division, Export and International Affairs Bureau, Ministry of Agriculture, Forestry and Fisheries (MAFF), Tokyo</w:t>
      </w:r>
      <w:r w:rsidRPr="00826F9B">
        <w:br/>
        <w:t xml:space="preserve">(e-mail: daisuke_fujitsuka080@maff.go.jp) </w:t>
      </w:r>
    </w:p>
    <w:p w:rsidR="009822F6" w:rsidRPr="00826F9B" w:rsidRDefault="009822F6" w:rsidP="009822F6">
      <w:pPr>
        <w:pStyle w:val="pldetails"/>
      </w:pPr>
      <w:r w:rsidRPr="00826F9B">
        <w:t>KASHIWAGI Ryusaku (Mr.), Chief Examiner, Plant Variety Protection Office, Intellectual Property Division, Export and International Affairs Bureau, Ministry of Agriculture, Forestry and Fisheries (MAFF), Tokyo</w:t>
      </w:r>
      <w:r w:rsidRPr="00826F9B">
        <w:br/>
        <w:t xml:space="preserve">(e-mail: ryusaku_kashiwagi840@maff.go.jp) </w:t>
      </w:r>
    </w:p>
    <w:p w:rsidR="009822F6" w:rsidRPr="003C1E7D" w:rsidRDefault="009822F6" w:rsidP="009822F6">
      <w:pPr>
        <w:pStyle w:val="pldetails"/>
      </w:pPr>
      <w:r w:rsidRPr="003C1E7D">
        <w:t>KOSAKADA Takashi</w:t>
      </w:r>
      <w:r>
        <w:t xml:space="preserve"> (Mr.)</w:t>
      </w:r>
      <w:r w:rsidRPr="003C1E7D">
        <w:t xml:space="preserve">, Director, Intellectual Property Division, Export and International Bureau, Ministry of Agriculture, Forestry and Fisheries (MAFF), Tokyo </w:t>
      </w:r>
      <w:r>
        <w:br/>
      </w:r>
      <w:r w:rsidRPr="00826F9B">
        <w:t>(e-mail:</w:t>
      </w:r>
      <w:r w:rsidRPr="001C465D">
        <w:t xml:space="preserve"> takashi_kosakada040@maff.go.jp</w:t>
      </w:r>
      <w:r>
        <w:t>)</w:t>
      </w:r>
    </w:p>
    <w:p w:rsidR="009822F6" w:rsidRPr="00826F9B" w:rsidRDefault="009822F6" w:rsidP="009822F6">
      <w:pPr>
        <w:pStyle w:val="pldetails"/>
      </w:pPr>
      <w:r w:rsidRPr="00826F9B">
        <w:t>MIURA Aya (Ms.), Principal Examiner, Plant Variety Protection Office, Intellectual Property Division, Food Industry Affairs Bureau, Ministry of Agriculture, Forestry and Fisheries, Tokyo</w:t>
      </w:r>
      <w:r w:rsidRPr="00826F9B">
        <w:br/>
        <w:t xml:space="preserve">(e-mail: aya_miura660@maff.go.jp) </w:t>
      </w:r>
    </w:p>
    <w:p w:rsidR="009822F6" w:rsidRPr="00826F9B" w:rsidRDefault="009822F6" w:rsidP="009822F6">
      <w:pPr>
        <w:pStyle w:val="pldetails"/>
      </w:pPr>
      <w:r w:rsidRPr="00826F9B">
        <w:t>OHNO Yoshiyuki (Mr.), Examiner, Intellectual Property Division , Export and International Affairs Bureau, Ministry of Agriculture, Forestry and Fisheries (MAFF), Tokyo</w:t>
      </w:r>
      <w:r w:rsidRPr="00826F9B">
        <w:br/>
        <w:t>(e-mail: yoshiyuki_ono300@maff.go.jp)</w:t>
      </w:r>
    </w:p>
    <w:p w:rsidR="009822F6" w:rsidRPr="003C1E7D" w:rsidRDefault="009822F6" w:rsidP="009822F6">
      <w:pPr>
        <w:pStyle w:val="pldetails"/>
      </w:pPr>
      <w:r w:rsidRPr="003C1E7D">
        <w:t>SHIOTA Haruka</w:t>
      </w:r>
      <w:r>
        <w:t xml:space="preserve"> (Mr.)</w:t>
      </w:r>
      <w:r w:rsidRPr="003C1E7D">
        <w:t>, Deputy Director for International Affairs, Intellectual Property Division, Export and International Affairs Bureau, Ministry of Agriculture, Forestry and Fisheries (MAFF), Tokyo</w:t>
      </w:r>
      <w:r>
        <w:br/>
      </w:r>
      <w:r w:rsidRPr="00826F9B">
        <w:t xml:space="preserve">(e-mail: </w:t>
      </w:r>
      <w:r w:rsidRPr="001C465D">
        <w:t>haruka_shiota160@maff.go.jp</w:t>
      </w:r>
      <w:r>
        <w:t>)</w:t>
      </w:r>
    </w:p>
    <w:p w:rsidR="009822F6" w:rsidRPr="003C1E7D" w:rsidRDefault="009822F6" w:rsidP="009822F6">
      <w:pPr>
        <w:pStyle w:val="plcountry"/>
      </w:pPr>
      <w:r w:rsidRPr="003C1E7D">
        <w:lastRenderedPageBreak/>
        <w:t>KENYA / KENYA</w:t>
      </w:r>
      <w:r>
        <w:t xml:space="preserve"> / kenia</w:t>
      </w:r>
    </w:p>
    <w:p w:rsidR="009822F6" w:rsidRPr="003C1E7D" w:rsidRDefault="009822F6" w:rsidP="009822F6">
      <w:pPr>
        <w:pStyle w:val="pldetails"/>
      </w:pPr>
      <w:r w:rsidRPr="003C1E7D">
        <w:t>Simon Mucheru MAINA</w:t>
      </w:r>
      <w:r>
        <w:t xml:space="preserve"> (Mr.)</w:t>
      </w:r>
      <w:r w:rsidRPr="003C1E7D">
        <w:t xml:space="preserve">, Head, Seed Certification and Plant Variety Protection, Kenya Plant Health Inspectorate Service (KEPHIS), Nairobi </w:t>
      </w:r>
      <w:r>
        <w:br/>
        <w:t>(e-mail:</w:t>
      </w:r>
      <w:r w:rsidRPr="001C465D">
        <w:t xml:space="preserve"> smaina@kephis.org</w:t>
      </w:r>
      <w:r>
        <w:t>)</w:t>
      </w:r>
    </w:p>
    <w:p w:rsidR="009822F6" w:rsidRDefault="009822F6" w:rsidP="009822F6">
      <w:pPr>
        <w:pStyle w:val="pldetails"/>
      </w:pPr>
      <w:r w:rsidRPr="003C1E7D">
        <w:t xml:space="preserve">Gentrix Nasimiyu JUMA (Ms.), Chief Plant Examiner, Kenya Plant Health Inspectorate Service (KEPHIS), Nairobi </w:t>
      </w:r>
      <w:r>
        <w:br/>
        <w:t xml:space="preserve">(e-mail: </w:t>
      </w:r>
      <w:r w:rsidRPr="001C465D">
        <w:t>gjuma@kephis.org</w:t>
      </w:r>
      <w:r>
        <w:t>)</w:t>
      </w:r>
    </w:p>
    <w:p w:rsidR="009822F6" w:rsidRPr="003C1E7D" w:rsidRDefault="009822F6" w:rsidP="009822F6">
      <w:pPr>
        <w:pStyle w:val="pldetails"/>
      </w:pPr>
      <w:r w:rsidRPr="003C1E7D">
        <w:t>Luca's SUVA</w:t>
      </w:r>
      <w:r>
        <w:t xml:space="preserve"> (Mr.)</w:t>
      </w:r>
      <w:r w:rsidRPr="003C1E7D">
        <w:t>, Senior Plant Examiner, Ministry of Agriculture, Nairobi</w:t>
      </w:r>
      <w:r>
        <w:br/>
        <w:t xml:space="preserve">(e-mail: </w:t>
      </w:r>
      <w:r w:rsidRPr="001C465D">
        <w:t>lsuva@kephis.org</w:t>
      </w:r>
      <w:r>
        <w:t>)</w:t>
      </w:r>
    </w:p>
    <w:p w:rsidR="009822F6" w:rsidRPr="008F2510" w:rsidRDefault="009822F6" w:rsidP="009822F6">
      <w:pPr>
        <w:pStyle w:val="plcountry"/>
      </w:pPr>
      <w:r w:rsidRPr="008F2510">
        <w:t>NOUVELLE-ZÉLANDE / NEW ZEALAND / NUEVA ZELANDIA</w:t>
      </w:r>
    </w:p>
    <w:p w:rsidR="009822F6" w:rsidRPr="00261AAE" w:rsidRDefault="009822F6" w:rsidP="009822F6">
      <w:pPr>
        <w:pStyle w:val="pldetails"/>
      </w:pPr>
      <w:r w:rsidRPr="0066481F">
        <w:t>Christopher James BARNABY (Mr.), PVR Manager / Assistant Commissioner, Plant Variety Rights Office,</w:t>
      </w:r>
      <w:r w:rsidRPr="0066481F">
        <w:br/>
        <w:t>Intellectual Property Office of New Zealand, Ministry of Business, Innovation and Employment, Christchurch</w:t>
      </w:r>
      <w:r w:rsidRPr="0066481F">
        <w:br/>
        <w:t>(e-mail: Chris.Barnaby@pvr.govt.nz)</w:t>
      </w:r>
    </w:p>
    <w:p w:rsidR="009822F6" w:rsidRPr="003C1E7D" w:rsidRDefault="009822F6" w:rsidP="009822F6">
      <w:pPr>
        <w:pStyle w:val="pldetails"/>
      </w:pPr>
      <w:r w:rsidRPr="003C1E7D">
        <w:t>Cecilia REQUEJO-JACKMAN (Ms.), Senior Plant Variety Rights Examiner, Plant Variety Rights Office, Intellectual Property Office of New Zealand, Intellectual Property Office of New Zealand, Plant Variety Rights, Ministry of Economic Development, Wellington</w:t>
      </w:r>
      <w:r>
        <w:br/>
        <w:t xml:space="preserve">(e-mail: </w:t>
      </w:r>
      <w:r w:rsidRPr="001C465D">
        <w:t>cecilia.r-jackman@pvr.govt.nz</w:t>
      </w:r>
      <w:r>
        <w:t>)</w:t>
      </w:r>
      <w:r w:rsidRPr="003C1E7D">
        <w:t xml:space="preserve"> </w:t>
      </w:r>
    </w:p>
    <w:p w:rsidR="009822F6" w:rsidRPr="00261AAE" w:rsidRDefault="009822F6" w:rsidP="009822F6">
      <w:pPr>
        <w:pStyle w:val="plcountry"/>
      </w:pPr>
      <w:r w:rsidRPr="00261AAE">
        <w:t>PAYS-BAS / NETHERLANDS / PAÍSES BAJOS</w:t>
      </w:r>
    </w:p>
    <w:p w:rsidR="009822F6" w:rsidRDefault="009822F6" w:rsidP="009822F6">
      <w:pPr>
        <w:pStyle w:val="pldetails"/>
      </w:pPr>
      <w:r w:rsidRPr="007E668E">
        <w:t xml:space="preserve">Marien VALSTAR (Mr.), Senior Policy Officer, Seeds and Plant Propagation Material, DG Agro, Ministry of Agriculture, Nature and Food Quality, The Hague </w:t>
      </w:r>
      <w:r w:rsidRPr="007E668E">
        <w:br/>
        <w:t>(e-mail: m.valstar@minlnv.nl)</w:t>
      </w:r>
      <w:r w:rsidRPr="00DE5362">
        <w:t xml:space="preserve"> </w:t>
      </w:r>
    </w:p>
    <w:p w:rsidR="009822F6" w:rsidRPr="00261AAE" w:rsidRDefault="009822F6" w:rsidP="009822F6">
      <w:pPr>
        <w:pStyle w:val="pldetails"/>
      </w:pPr>
      <w:r w:rsidRPr="0066481F">
        <w:t xml:space="preserve">Kees Jan GROENEWOUD (Mr.), Secretary, Dutch Board for Plant Varieties (Raad voor Plantenrassen), Roelofarendsveen </w:t>
      </w:r>
      <w:r w:rsidRPr="0066481F">
        <w:br/>
        <w:t>(e-mail: c.j.a.groenewoud@raadvoorplantenrassen.nl)</w:t>
      </w:r>
    </w:p>
    <w:p w:rsidR="009822F6" w:rsidRPr="004F0D03" w:rsidRDefault="009822F6" w:rsidP="009822F6">
      <w:pPr>
        <w:pStyle w:val="plcountry"/>
      </w:pPr>
      <w:r w:rsidRPr="004F0D03">
        <w:t>RÉPUBLIQUE DE CORÉE / REPUBLIC of korea / REPÚBLICA de corea</w:t>
      </w:r>
    </w:p>
    <w:p w:rsidR="009822F6" w:rsidRPr="00275157" w:rsidRDefault="009822F6" w:rsidP="009822F6">
      <w:pPr>
        <w:pStyle w:val="pldetails"/>
      </w:pPr>
      <w:r w:rsidRPr="00275157">
        <w:t xml:space="preserve">ChanWoong PARK (Mr.), Deputy Director/Examiner, International Cooperation Division, Korea Seed and Variety Service (KSVS), Gimcheon City </w:t>
      </w:r>
      <w:r w:rsidRPr="00275157">
        <w:br/>
        <w:t>(e-mail: chwopark@korea.kr)</w:t>
      </w:r>
    </w:p>
    <w:p w:rsidR="009822F6" w:rsidRPr="00275157" w:rsidRDefault="009822F6" w:rsidP="009822F6">
      <w:pPr>
        <w:pStyle w:val="pldetails"/>
      </w:pPr>
      <w:r w:rsidRPr="00275157">
        <w:t xml:space="preserve">Kwanghong LEE (Mr.), DUS Examiner, Korea Seed and Variety Service (KSVS), Gyeongsangbuk-do </w:t>
      </w:r>
      <w:r w:rsidRPr="00275157">
        <w:br/>
        <w:t xml:space="preserve">(e-mail: grin@korea.kr) </w:t>
      </w:r>
    </w:p>
    <w:p w:rsidR="009822F6" w:rsidRPr="001C465D" w:rsidRDefault="009822F6" w:rsidP="009822F6">
      <w:pPr>
        <w:pStyle w:val="pldetails"/>
      </w:pPr>
      <w:r w:rsidRPr="003C1E7D">
        <w:t>Eun Hee JEON (Ms.), DUS Examiner, Gyeongnam Branch Office, Korea Seed &amp; Variety Service (KSVS), Jeju-do</w:t>
      </w:r>
      <w:r>
        <w:br/>
        <w:t xml:space="preserve">(e-mail: </w:t>
      </w:r>
      <w:r w:rsidRPr="001C465D">
        <w:t>ehjeon@korea.kr</w:t>
      </w:r>
      <w:r>
        <w:t>)</w:t>
      </w:r>
      <w:r w:rsidRPr="003C1E7D">
        <w:t xml:space="preserve"> </w:t>
      </w:r>
    </w:p>
    <w:p w:rsidR="009822F6" w:rsidRPr="008A1C59" w:rsidRDefault="009822F6" w:rsidP="009822F6">
      <w:pPr>
        <w:pStyle w:val="plcountry"/>
        <w:rPr>
          <w:lang w:val="fr-CH"/>
        </w:rPr>
      </w:pPr>
      <w:r w:rsidRPr="008A1C59">
        <w:rPr>
          <w:lang w:val="fr-CH"/>
        </w:rPr>
        <w:t>RÉPUBLIQUE TCHÈQUE / CZECH REPUBLIC / REPÚBLICA CHECA</w:t>
      </w:r>
    </w:p>
    <w:p w:rsidR="009822F6" w:rsidRPr="008A1C59" w:rsidRDefault="009822F6" w:rsidP="009822F6">
      <w:pPr>
        <w:pStyle w:val="pldetails"/>
      </w:pPr>
      <w:r w:rsidRPr="008A1C59">
        <w:t>Pavla BÍMOVÁ (Ms.), DUS Expert and Metheodology Specialist, National Plant Variety Office, Central Institute for Supervising and Testing in Agriculture (UKZUZ), Brno</w:t>
      </w:r>
      <w:r w:rsidRPr="008A1C59">
        <w:br/>
        <w:t>(e-mail: pavla.bimova@ukzuz.cz)</w:t>
      </w:r>
    </w:p>
    <w:p w:rsidR="009822F6" w:rsidRPr="008A1C59" w:rsidRDefault="009822F6" w:rsidP="009822F6">
      <w:pPr>
        <w:pStyle w:val="pldetails"/>
      </w:pPr>
      <w:r w:rsidRPr="008A1C59">
        <w:t xml:space="preserve">Lenka CLOWEZOVÁ (Ms.), Agricultural Commodities Departement, Ministry of Agriculture, Praha </w:t>
      </w:r>
      <w:r w:rsidRPr="008A1C59">
        <w:br/>
        <w:t xml:space="preserve">(e-mail: lenka.clowezova@mze.cz) </w:t>
      </w:r>
    </w:p>
    <w:p w:rsidR="009822F6" w:rsidRDefault="009822F6" w:rsidP="009822F6">
      <w:pPr>
        <w:pStyle w:val="pldetails"/>
      </w:pPr>
      <w:r w:rsidRPr="008A1C59">
        <w:t xml:space="preserve">Andrea POVOLNÁ (Ms.), Head of DUS Department, National Plant Variety Office, Central Institute for Supervising and Testing in Agriculture (UKZUZ), Brno </w:t>
      </w:r>
      <w:r w:rsidRPr="008A1C59">
        <w:br/>
        <w:t>(e-mail: andrea.povolna@ukzuz.cz)</w:t>
      </w:r>
      <w:r>
        <w:t xml:space="preserve"> </w:t>
      </w:r>
    </w:p>
    <w:p w:rsidR="009822F6" w:rsidRDefault="009822F6" w:rsidP="009822F6">
      <w:pPr>
        <w:pStyle w:val="pldetails"/>
      </w:pPr>
      <w:r w:rsidRPr="00B81F31">
        <w:rPr>
          <w:rFonts w:ascii="Helvetica" w:hAnsi="Helvetica" w:cs="Helvetica"/>
          <w:sz w:val="21"/>
          <w:szCs w:val="21"/>
          <w:shd w:val="clear" w:color="auto" w:fill="FFFFFF"/>
        </w:rPr>
        <w:t>Lenka LEFNEROVÁ</w:t>
      </w:r>
      <w:r>
        <w:rPr>
          <w:rFonts w:ascii="Helvetica" w:hAnsi="Helvetica" w:cs="Helvetica"/>
          <w:sz w:val="21"/>
          <w:szCs w:val="21"/>
          <w:shd w:val="clear" w:color="auto" w:fill="FFFFFF"/>
        </w:rPr>
        <w:t xml:space="preserve"> (Ms.)</w:t>
      </w:r>
      <w:r>
        <w:t xml:space="preserve">, Head of </w:t>
      </w:r>
      <w:r>
        <w:rPr>
          <w:rFonts w:ascii="Helvetica" w:hAnsi="Helvetica" w:cs="Helvetica"/>
          <w:color w:val="232333"/>
          <w:sz w:val="21"/>
          <w:szCs w:val="21"/>
          <w:shd w:val="clear" w:color="auto" w:fill="FFFFFF"/>
        </w:rPr>
        <w:t>DUS Department, National Plant Variety Office, Central Institute for Supervising and Testing Agriculture (UKZUZ),</w:t>
      </w:r>
      <w:r>
        <w:t xml:space="preserve"> Brno</w:t>
      </w:r>
      <w:r>
        <w:br/>
        <w:t xml:space="preserve">(e-mail: </w:t>
      </w:r>
      <w:r w:rsidRPr="00F754DF">
        <w:t>lenka.lefnerova@ukzuz.cz</w:t>
      </w:r>
      <w:r>
        <w:t xml:space="preserve">) </w:t>
      </w:r>
    </w:p>
    <w:p w:rsidR="009822F6" w:rsidRPr="008A1C59" w:rsidRDefault="009822F6" w:rsidP="009822F6">
      <w:pPr>
        <w:pStyle w:val="plcountry"/>
        <w:ind w:right="-284"/>
        <w:rPr>
          <w:lang w:val="es-ES"/>
        </w:rPr>
      </w:pPr>
      <w:r w:rsidRPr="008A1C59">
        <w:rPr>
          <w:lang w:val="es-ES"/>
        </w:rPr>
        <w:t>RÉPUBLIQUE-UNIE DE TANZANIE / UNITED REPUBLIC OF TANZANIA / REPÚBLICA UNIDA DE TANZANÍA</w:t>
      </w:r>
    </w:p>
    <w:p w:rsidR="009822F6" w:rsidRPr="001C465D" w:rsidRDefault="009822F6" w:rsidP="009822F6">
      <w:pPr>
        <w:pStyle w:val="pldetails"/>
      </w:pPr>
      <w:r w:rsidRPr="008A1C59">
        <w:t xml:space="preserve">Twalib Mustafa NJOHOLE (Mr.), Registrar of Plant Breeders' Rights, Ministry of Agriculture (MoA), Dodoma </w:t>
      </w:r>
      <w:r w:rsidRPr="001C465D">
        <w:br/>
        <w:t>(e-mail: twalibnjohole8@gmail.com)</w:t>
      </w:r>
    </w:p>
    <w:p w:rsidR="009822F6" w:rsidRPr="00490653" w:rsidRDefault="009822F6" w:rsidP="009822F6">
      <w:pPr>
        <w:pStyle w:val="plcountry"/>
      </w:pPr>
      <w:r w:rsidRPr="00490653">
        <w:t>ROUMANIE / ROMANIA / RUMANIA</w:t>
      </w:r>
    </w:p>
    <w:p w:rsidR="009822F6" w:rsidRPr="008A1C59" w:rsidRDefault="009822F6" w:rsidP="009822F6">
      <w:pPr>
        <w:pStyle w:val="pldetails"/>
      </w:pPr>
      <w:r w:rsidRPr="008A1C59">
        <w:t>Teodor Dan ENESCU</w:t>
      </w:r>
      <w:r>
        <w:t xml:space="preserve"> (Mr.)</w:t>
      </w:r>
      <w:r w:rsidRPr="008A1C59">
        <w:t>, Counsellor, State Institute for Variety Testing and Registration (ISTIS), Bucarest</w:t>
      </w:r>
      <w:r>
        <w:br/>
        <w:t>(e-mail: enescu_teodor@istis.ro)</w:t>
      </w:r>
      <w:r w:rsidRPr="008A1C59">
        <w:t xml:space="preserve"> </w:t>
      </w:r>
    </w:p>
    <w:p w:rsidR="009822F6" w:rsidRPr="00120E85" w:rsidRDefault="009822F6" w:rsidP="009822F6">
      <w:pPr>
        <w:pStyle w:val="plcountry"/>
      </w:pPr>
      <w:r>
        <w:lastRenderedPageBreak/>
        <w:t>ROYAUME-UNI / UNITED KINGDOM / reino unido</w:t>
      </w:r>
    </w:p>
    <w:p w:rsidR="009822F6" w:rsidRPr="0066481F" w:rsidRDefault="009822F6" w:rsidP="009822F6">
      <w:pPr>
        <w:pStyle w:val="pldetails"/>
      </w:pPr>
      <w:r w:rsidRPr="0066481F">
        <w:t xml:space="preserve">Sigurd RAMANS-HARBOROUGH (Mr.), Department for Environment, Food and Rural Affairs (DEFRA), Cambridge </w:t>
      </w:r>
      <w:r w:rsidRPr="0066481F">
        <w:br/>
        <w:t xml:space="preserve">(e-mail: Sigurd.Ramans-Harborough@defra.gov.uk) </w:t>
      </w:r>
    </w:p>
    <w:p w:rsidR="009822F6" w:rsidRPr="008F2510" w:rsidRDefault="009822F6" w:rsidP="009822F6">
      <w:pPr>
        <w:pStyle w:val="plcountry"/>
        <w:rPr>
          <w:lang w:val="es-ES"/>
        </w:rPr>
      </w:pPr>
      <w:r w:rsidRPr="008F2510">
        <w:rPr>
          <w:lang w:val="es-ES"/>
        </w:rPr>
        <w:t>UNION EUROPÉENNE / EUROPEAN UNION / UNIÓN EUROPEA</w:t>
      </w:r>
    </w:p>
    <w:p w:rsidR="009822F6" w:rsidRPr="0066481F" w:rsidRDefault="009822F6" w:rsidP="009822F6">
      <w:pPr>
        <w:pStyle w:val="pldetails"/>
      </w:pPr>
      <w:r w:rsidRPr="0066481F">
        <w:t xml:space="preserve">Päivi MANNERKORPI (Ms.), Team Leader - Plant Reproductive Material, Unit G1 Plant Health, Directorate General for Health and Food Safety (DG SANTE), European Commission, Brussels </w:t>
      </w:r>
      <w:r w:rsidRPr="0066481F">
        <w:br/>
        <w:t xml:space="preserve">(e-mail: paivi.mannerkorpi@ec.europa.eu) </w:t>
      </w:r>
    </w:p>
    <w:p w:rsidR="009822F6" w:rsidRPr="0066481F" w:rsidRDefault="009822F6" w:rsidP="009822F6">
      <w:pPr>
        <w:pStyle w:val="pldetails"/>
      </w:pPr>
      <w:r w:rsidRPr="0066481F">
        <w:t xml:space="preserve">Dirk THEOBALD (Mr.), Senior Adviser, Community Plant Variety Office (CPVO), Angers </w:t>
      </w:r>
      <w:r w:rsidRPr="0066481F">
        <w:br/>
        <w:t xml:space="preserve">(e-mail: theobald@cpvo.europa.eu) </w:t>
      </w:r>
    </w:p>
    <w:p w:rsidR="009822F6" w:rsidRPr="00120E85" w:rsidRDefault="009822F6" w:rsidP="009822F6">
      <w:pPr>
        <w:pStyle w:val="pldetails"/>
      </w:pPr>
      <w:r w:rsidRPr="0066481F">
        <w:t>Ángela MARTÍNEZ LÓPEZ (Ms.), Legal Office</w:t>
      </w:r>
      <w:r>
        <w:t>r</w:t>
      </w:r>
      <w:r w:rsidRPr="0066481F">
        <w:t xml:space="preserve">, Community Plant Variety Office (CPVO), Angers </w:t>
      </w:r>
      <w:r w:rsidRPr="0066481F">
        <w:br/>
        <w:t>(e-mail: martinez-lopez@cpvo.europa.eu)</w:t>
      </w:r>
      <w:r>
        <w:t xml:space="preserve"> </w:t>
      </w:r>
    </w:p>
    <w:p w:rsidR="009822F6" w:rsidRPr="00490653" w:rsidRDefault="009822F6" w:rsidP="009822F6">
      <w:pPr>
        <w:pStyle w:val="plheading"/>
      </w:pPr>
      <w:r w:rsidRPr="00490653">
        <w:t>II. ORGANISATIONS / ORGANIZATIONS / ORGANIZACIONES</w:t>
      </w:r>
    </w:p>
    <w:p w:rsidR="009822F6" w:rsidRPr="008A1C59" w:rsidRDefault="009822F6" w:rsidP="009822F6">
      <w:pPr>
        <w:pStyle w:val="plcountry"/>
      </w:pPr>
      <w:r w:rsidRPr="008A1C59">
        <w:t>AFRICAN SEED TRADE ASSOCIATION</w:t>
      </w:r>
      <w:r>
        <w:t xml:space="preserve"> (afsta)</w:t>
      </w:r>
    </w:p>
    <w:p w:rsidR="009822F6" w:rsidRDefault="009822F6" w:rsidP="009822F6">
      <w:pPr>
        <w:pStyle w:val="pldetails"/>
      </w:pPr>
      <w:r w:rsidRPr="00CC2C8B">
        <w:t>Justin J. RAKOTOARISAONA</w:t>
      </w:r>
      <w:r>
        <w:t xml:space="preserve"> (Mr.)</w:t>
      </w:r>
      <w:r w:rsidRPr="00CC2C8B">
        <w:t xml:space="preserve">, Secretary General, African Seed Trade Association (AFSTA), Nairobi, Kenya </w:t>
      </w:r>
      <w:r>
        <w:br/>
        <w:t xml:space="preserve">(e-mail: </w:t>
      </w:r>
      <w:r w:rsidRPr="00490653">
        <w:t>justin@afsta.org</w:t>
      </w:r>
      <w:r>
        <w:t>)</w:t>
      </w:r>
    </w:p>
    <w:p w:rsidR="009822F6" w:rsidRPr="00CB61E9" w:rsidRDefault="009822F6" w:rsidP="009822F6">
      <w:pPr>
        <w:pStyle w:val="plcountry"/>
      </w:pPr>
      <w:r w:rsidRPr="00CB61E9">
        <w:t>ASSOCIATION FOR PLANT BREEDING FOR THE BENEFIT OF SOCIETY</w:t>
      </w:r>
      <w:r>
        <w:t xml:space="preserve"> (APBREBES)</w:t>
      </w:r>
    </w:p>
    <w:p w:rsidR="009822F6" w:rsidRPr="00490653" w:rsidRDefault="009822F6" w:rsidP="009822F6">
      <w:pPr>
        <w:pStyle w:val="pldetails"/>
      </w:pPr>
      <w:r w:rsidRPr="0066481F">
        <w:t>François MEIENBERG (Mr.), Coordinator, Association for Plant Breeding for the Benefit of Society (APBREBES), Zürich, Switzerland</w:t>
      </w:r>
      <w:r>
        <w:br/>
        <w:t>(e-mail: contact@apbrebes.org)</w:t>
      </w:r>
    </w:p>
    <w:p w:rsidR="009822F6" w:rsidRPr="00490653" w:rsidRDefault="009822F6" w:rsidP="009822F6">
      <w:pPr>
        <w:pStyle w:val="plcountry"/>
      </w:pPr>
      <w:r w:rsidRPr="00490653">
        <w:t xml:space="preserve">ASSOCIATION INTERNATIONALE DES PRODUCTEURS HORTICOLES (AIPH) / </w:t>
      </w:r>
      <w:r w:rsidRPr="00490653">
        <w:br/>
        <w:t xml:space="preserve">INTERNATIONAL ASSOCIATION OF HORTICULTURAL PRODUCERS (AIPH) / </w:t>
      </w:r>
      <w:r w:rsidRPr="00490653">
        <w:br/>
        <w:t>Asociación Internacional de Productores Hortícolas (AIPH)</w:t>
      </w:r>
    </w:p>
    <w:p w:rsidR="009822F6" w:rsidRPr="00CB61E9" w:rsidRDefault="009822F6" w:rsidP="009822F6">
      <w:pPr>
        <w:pStyle w:val="pldetails"/>
      </w:pPr>
      <w:r w:rsidRPr="0066481F">
        <w:t>Mia HOPPERUS BUMA (Ms.), Secretary, Committee for Novelty Protection, International Association of Horticultural Producers (AIPH), Oxfordshire, United Kingdom</w:t>
      </w:r>
      <w:r w:rsidRPr="0066481F">
        <w:br/>
        <w:t>(e-mail: info@miabuma.nl)</w:t>
      </w:r>
      <w:r w:rsidRPr="00CB61E9">
        <w:t xml:space="preserve"> </w:t>
      </w:r>
    </w:p>
    <w:p w:rsidR="009822F6" w:rsidRPr="004F0D03" w:rsidRDefault="009822F6" w:rsidP="009822F6">
      <w:pPr>
        <w:pStyle w:val="plcountry"/>
        <w:ind w:right="-284"/>
      </w:pPr>
      <w:r w:rsidRPr="004F0D03">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rsidR="009822F6" w:rsidRPr="0066481F" w:rsidRDefault="009822F6" w:rsidP="009822F6">
      <w:pPr>
        <w:pStyle w:val="pldetails"/>
      </w:pPr>
      <w:r w:rsidRPr="0066481F">
        <w:t xml:space="preserve">Edgar KRIEGER (Mr.), Secretary General, International Community of Breeders of Asexually Reproduced Horticultural Plants (CIOPORA), Hamburg, Germany </w:t>
      </w:r>
      <w:r w:rsidRPr="0066481F">
        <w:br/>
        <w:t xml:space="preserve">(e-mail: edgar.krieger@ciopora.org) </w:t>
      </w:r>
    </w:p>
    <w:p w:rsidR="009822F6" w:rsidRDefault="009822F6" w:rsidP="009822F6">
      <w:pPr>
        <w:pStyle w:val="pldetails"/>
      </w:pPr>
      <w:r w:rsidRPr="00D40BEB">
        <w:t>Judith DE ROOS-BLOKLAND (Ms.), Legal Counsel, Regulatory and Legal Affairs, Plantum NL, Gouda, Pays-Bas</w:t>
      </w:r>
      <w:r>
        <w:br/>
        <w:t>(e-mail:</w:t>
      </w:r>
      <w:r w:rsidRPr="001C465D">
        <w:t xml:space="preserve"> J.deRoos@aomb.nl</w:t>
      </w:r>
      <w:r>
        <w:t>)</w:t>
      </w:r>
      <w:r w:rsidRPr="00D40BEB">
        <w:t xml:space="preserve"> </w:t>
      </w:r>
    </w:p>
    <w:p w:rsidR="009822F6" w:rsidRPr="00D401C9" w:rsidRDefault="009822F6" w:rsidP="009822F6">
      <w:pPr>
        <w:pStyle w:val="pldetails"/>
        <w:rPr>
          <w:lang w:val="de-DE"/>
        </w:rPr>
      </w:pPr>
      <w:r w:rsidRPr="007E668E">
        <w:rPr>
          <w:lang w:val="de-DE"/>
        </w:rPr>
        <w:t>Thomas LEIDEREITER (Mr.), Rechtsanwalt, Green Rights, Rechtsanwaltskanzlei Leidereiter, Hamburg,  Allemagne</w:t>
      </w:r>
      <w:r w:rsidRPr="007E668E">
        <w:rPr>
          <w:lang w:val="de-DE"/>
        </w:rPr>
        <w:br/>
        <w:t>(e-mail: mail@green-rights.com)</w:t>
      </w:r>
    </w:p>
    <w:p w:rsidR="009822F6" w:rsidRPr="00D401C9" w:rsidRDefault="009822F6" w:rsidP="009822F6">
      <w:pPr>
        <w:pStyle w:val="plcountry"/>
        <w:rPr>
          <w:lang w:val="de-DE"/>
        </w:rPr>
      </w:pPr>
      <w:r w:rsidRPr="00D401C9">
        <w:rPr>
          <w:lang w:val="de-DE"/>
        </w:rPr>
        <w:t>CROPLIFE INTERNATIONAL</w:t>
      </w:r>
    </w:p>
    <w:p w:rsidR="009822F6" w:rsidRPr="00D401C9" w:rsidRDefault="009822F6" w:rsidP="009822F6">
      <w:pPr>
        <w:pStyle w:val="pldetails"/>
        <w:rPr>
          <w:lang w:val="de-DE"/>
        </w:rPr>
      </w:pPr>
      <w:r w:rsidRPr="00D401C9">
        <w:rPr>
          <w:lang w:val="de-DE"/>
        </w:rPr>
        <w:t xml:space="preserve">Marcel BRUINS (Mr.), Consultant, CropLife International, Bruxelles, Belgium </w:t>
      </w:r>
      <w:r w:rsidRPr="00D401C9">
        <w:rPr>
          <w:lang w:val="de-DE"/>
        </w:rPr>
        <w:br/>
        <w:t xml:space="preserve">(e-mail: marcel@bruinsseedconsultancy.com) </w:t>
      </w:r>
    </w:p>
    <w:p w:rsidR="009822F6" w:rsidRPr="00D401C9" w:rsidRDefault="009822F6" w:rsidP="009822F6">
      <w:pPr>
        <w:pStyle w:val="plcountry"/>
        <w:rPr>
          <w:lang w:val="de-DE"/>
        </w:rPr>
      </w:pPr>
      <w:r w:rsidRPr="00D401C9">
        <w:rPr>
          <w:lang w:val="de-DE"/>
        </w:rPr>
        <w:t>EUROSEEDS</w:t>
      </w:r>
    </w:p>
    <w:p w:rsidR="009822F6" w:rsidRDefault="009822F6" w:rsidP="009822F6">
      <w:pPr>
        <w:pStyle w:val="pldetails"/>
        <w:rPr>
          <w:lang w:val="de-DE"/>
        </w:rPr>
      </w:pPr>
      <w:r w:rsidRPr="00D401C9">
        <w:rPr>
          <w:lang w:val="de-DE"/>
        </w:rPr>
        <w:t xml:space="preserve">Szonja CSÖRGÖ (Ms.), Director, Intellectual Property &amp; Legal Affairs, Euroseeds, Bruxelles, Belgium </w:t>
      </w:r>
      <w:r w:rsidRPr="00D401C9">
        <w:rPr>
          <w:lang w:val="de-DE"/>
        </w:rPr>
        <w:br/>
        <w:t xml:space="preserve">(e-mail: szonjacsorgo@euroseeds.eu) </w:t>
      </w:r>
    </w:p>
    <w:p w:rsidR="009822F6" w:rsidRPr="006979F4" w:rsidRDefault="009822F6" w:rsidP="009822F6">
      <w:pPr>
        <w:pStyle w:val="pldetails"/>
        <w:rPr>
          <w:lang w:val="es-ES"/>
        </w:rPr>
      </w:pPr>
      <w:r w:rsidRPr="006979F4">
        <w:rPr>
          <w:lang w:val="es-ES"/>
        </w:rPr>
        <w:t xml:space="preserve">Antonio VILLARROEL (Mr.), </w:t>
      </w:r>
      <w:r w:rsidRPr="00275157">
        <w:rPr>
          <w:lang w:val="es-AR"/>
        </w:rPr>
        <w:t xml:space="preserve">Secretary General, Asociación Nacional de Obtentores Vegetales (ANOVE), Madrid, Spain </w:t>
      </w:r>
      <w:r w:rsidRPr="00275157">
        <w:rPr>
          <w:lang w:val="es-AR"/>
        </w:rPr>
        <w:br/>
        <w:t>(e-mail: administracion@anove.es)</w:t>
      </w:r>
    </w:p>
    <w:p w:rsidR="009822F6" w:rsidRPr="007A0514" w:rsidRDefault="009822F6" w:rsidP="009822F6">
      <w:pPr>
        <w:pStyle w:val="plcountry"/>
      </w:pPr>
      <w:r w:rsidRPr="007A0514">
        <w:lastRenderedPageBreak/>
        <w:t>SEED ASSOCIATION OF THE AMERICAS (SAA)</w:t>
      </w:r>
    </w:p>
    <w:p w:rsidR="009822F6" w:rsidRPr="0098789C" w:rsidRDefault="009822F6" w:rsidP="009822F6">
      <w:pPr>
        <w:pStyle w:val="pldetails"/>
      </w:pPr>
      <w:r w:rsidRPr="007A0514">
        <w:t>Diego A. RISSO DESIRELLO</w:t>
      </w:r>
      <w:r>
        <w:t xml:space="preserve"> (Sr.)</w:t>
      </w:r>
      <w:r w:rsidRPr="007A0514">
        <w:t>, Director Ejecutivo, Seed Association of the Americas (SAA), Montevideo, Uruguay</w:t>
      </w:r>
      <w:r>
        <w:br/>
        <w:t>(e-mail</w:t>
      </w:r>
      <w:r w:rsidRPr="007A0514">
        <w:t xml:space="preserve">: drisso@saaseed.org) </w:t>
      </w:r>
    </w:p>
    <w:p w:rsidR="009822F6" w:rsidRPr="006979F4" w:rsidRDefault="009822F6" w:rsidP="009822F6">
      <w:pPr>
        <w:pStyle w:val="plheading"/>
        <w:rPr>
          <w:rFonts w:cs="Arial"/>
        </w:rPr>
      </w:pPr>
      <w:r w:rsidRPr="006979F4">
        <w:rPr>
          <w:rFonts w:cs="Arial"/>
        </w:rPr>
        <w:t>III. BUREAU / OFFICER / OFICINA</w:t>
      </w:r>
    </w:p>
    <w:p w:rsidR="009822F6" w:rsidRDefault="009822F6" w:rsidP="009822F6">
      <w:pPr>
        <w:pStyle w:val="pldetails"/>
      </w:pPr>
      <w:r w:rsidRPr="00E338CA">
        <w:t>Peter BUTTON (Mr.)</w:t>
      </w:r>
      <w:r w:rsidRPr="004071DD">
        <w:t xml:space="preserve">, </w:t>
      </w:r>
      <w:r>
        <w:t>Chair</w:t>
      </w:r>
    </w:p>
    <w:p w:rsidR="009822F6" w:rsidRPr="004F0D03" w:rsidRDefault="009822F6" w:rsidP="009822F6">
      <w:pPr>
        <w:pStyle w:val="plheading"/>
        <w:keepLines/>
        <w:rPr>
          <w:rFonts w:cs="Arial"/>
        </w:rPr>
      </w:pPr>
      <w:r w:rsidRPr="004F0D03">
        <w:rPr>
          <w:rFonts w:cs="Arial"/>
        </w:rPr>
        <w:t>IV. BUREAU DE L’UPOV / OFFICE OF UPOV / OFICINA DE LA UPOV</w:t>
      </w:r>
    </w:p>
    <w:p w:rsidR="009822F6" w:rsidRPr="00841411" w:rsidRDefault="009822F6" w:rsidP="009822F6">
      <w:pPr>
        <w:pStyle w:val="pldetails"/>
      </w:pPr>
      <w:r w:rsidRPr="00841411">
        <w:t>Peter BUTTON</w:t>
      </w:r>
      <w:r>
        <w:t xml:space="preserve"> (Mr.)</w:t>
      </w:r>
      <w:r w:rsidRPr="00841411">
        <w:t>, Vice Secretary-General</w:t>
      </w:r>
    </w:p>
    <w:p w:rsidR="009822F6" w:rsidRPr="00841411" w:rsidRDefault="009822F6" w:rsidP="009822F6">
      <w:pPr>
        <w:pStyle w:val="pldetails"/>
      </w:pPr>
      <w:r w:rsidRPr="00841411">
        <w:t xml:space="preserve">Yolanda HUERTA (Ms.), </w:t>
      </w:r>
      <w:r w:rsidRPr="00115E79">
        <w:t>Legal Counsel and Director of Training and Assistance</w:t>
      </w:r>
    </w:p>
    <w:p w:rsidR="009822F6" w:rsidRPr="00187D8A" w:rsidRDefault="009822F6" w:rsidP="009822F6">
      <w:pPr>
        <w:pStyle w:val="pldetails"/>
      </w:pPr>
      <w:r w:rsidRPr="00187D8A">
        <w:t>Leontino TAVEIRA (Mr.), Head of Technical Affairs and Regional Development (Latin America, Caribbean)</w:t>
      </w:r>
    </w:p>
    <w:p w:rsidR="009822F6" w:rsidRDefault="009822F6" w:rsidP="009822F6">
      <w:pPr>
        <w:pStyle w:val="pldetails"/>
      </w:pPr>
      <w:r w:rsidRPr="00187D8A">
        <w:t>Manabu SUZUKI (Mr.), Technical/Regional Officer (Asia)</w:t>
      </w:r>
    </w:p>
    <w:p w:rsidR="009822F6" w:rsidRPr="008F2510" w:rsidRDefault="009822F6" w:rsidP="009822F6">
      <w:pPr>
        <w:rPr>
          <w:lang w:val="en-US"/>
        </w:rPr>
      </w:pPr>
    </w:p>
    <w:p w:rsidR="009822F6" w:rsidRPr="008F2510" w:rsidRDefault="009822F6" w:rsidP="009822F6">
      <w:pPr>
        <w:rPr>
          <w:lang w:val="en-US"/>
        </w:rPr>
      </w:pPr>
    </w:p>
    <w:p w:rsidR="009822F6" w:rsidRPr="008F2510" w:rsidRDefault="009822F6" w:rsidP="009822F6">
      <w:pPr>
        <w:rPr>
          <w:lang w:val="en-US"/>
        </w:rPr>
      </w:pPr>
    </w:p>
    <w:p w:rsidR="009822F6" w:rsidRDefault="009822F6" w:rsidP="009822F6">
      <w:pPr>
        <w:keepNext/>
        <w:jc w:val="right"/>
        <w:rPr>
          <w:rFonts w:cs="Arial"/>
          <w:lang w:val="fr-CH"/>
        </w:rPr>
      </w:pPr>
      <w:r w:rsidRPr="00315113">
        <w:rPr>
          <w:rFonts w:cs="Arial"/>
          <w:lang w:val="fr-CH"/>
        </w:rPr>
        <w:t>[Fin de l’annexe et du document/</w:t>
      </w:r>
      <w:r w:rsidRPr="00315113">
        <w:rPr>
          <w:rFonts w:cs="Arial"/>
          <w:lang w:val="fr-CH"/>
        </w:rPr>
        <w:br/>
        <w:t>End of Annex and of document/</w:t>
      </w:r>
      <w:r w:rsidRPr="00315113">
        <w:rPr>
          <w:rFonts w:cs="Arial"/>
          <w:lang w:val="fr-CH"/>
        </w:rPr>
        <w:br/>
        <w:t>Fin del Anexo y del documento]</w:t>
      </w:r>
    </w:p>
    <w:p w:rsidR="009822F6" w:rsidRDefault="009822F6" w:rsidP="009822F6">
      <w:pPr>
        <w:keepNext/>
        <w:jc w:val="right"/>
        <w:rPr>
          <w:rFonts w:cs="Arial"/>
          <w:lang w:val="fr-CH"/>
        </w:rPr>
      </w:pPr>
    </w:p>
    <w:p w:rsidR="009822F6" w:rsidRPr="00BC0819" w:rsidRDefault="009822F6" w:rsidP="009822F6">
      <w:pPr>
        <w:rPr>
          <w:lang w:val="fr-CH"/>
        </w:rPr>
      </w:pPr>
    </w:p>
    <w:p w:rsidR="009822F6" w:rsidRPr="00BC0819" w:rsidRDefault="009822F6" w:rsidP="009822F6">
      <w:pPr>
        <w:rPr>
          <w:lang w:val="fr-CH"/>
        </w:rPr>
      </w:pPr>
    </w:p>
    <w:p w:rsidR="00456EE3" w:rsidRPr="00456EE3" w:rsidRDefault="00456EE3" w:rsidP="0007515B">
      <w:pPr>
        <w:jc w:val="right"/>
      </w:pPr>
    </w:p>
    <w:sectPr w:rsidR="00456EE3" w:rsidRPr="00456EE3" w:rsidSect="0030260E">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E3" w:rsidRDefault="00456EE3" w:rsidP="00456EE3">
      <w:r>
        <w:separator/>
      </w:r>
    </w:p>
  </w:endnote>
  <w:endnote w:type="continuationSeparator" w:id="0">
    <w:p w:rsidR="00456EE3" w:rsidRDefault="00456EE3" w:rsidP="00456EE3">
      <w:r>
        <w:continuationSeparator/>
      </w:r>
    </w:p>
  </w:endnote>
  <w:endnote w:type="continuationNotice" w:id="1">
    <w:p w:rsidR="00AC0F2C" w:rsidRDefault="00AC0F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3B" w:rsidRDefault="0034393B" w:rsidP="0034393B">
    <w:pPr>
      <w:pStyle w:val="Footer"/>
    </w:pPr>
    <w:r>
      <w:rPr>
        <w:noProof/>
        <w:lang w:val="en-US"/>
      </w:rPr>
      <mc:AlternateContent>
        <mc:Choice Requires="wps">
          <w:drawing>
            <wp:anchor distT="558800" distB="0" distL="114300" distR="114300" simplePos="0" relativeHeight="25167052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1"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4393B" w:rsidRDefault="0084257D" w:rsidP="0084257D">
                          <w:pPr>
                            <w:jc w:val="center"/>
                          </w:pPr>
                          <w:r w:rsidRPr="0084257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MbCpw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soUaxGjVa3q8fll6QEcMJ4hvbaZghcaoS65goaRIdqrV4Af7EIiU4w7QGLaM9IU5ra/7FWggdR&#10;hN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B87FTMLpge7+TBLA3UT/ggzPyt6GKK&#10;4905dQfz2rWzjw8KF7NZAOEgauYWaqn5oa892avmiRnd9ZtDGu/gMI8s+9B2LdbLpGC2dVBWoSff&#10;WO0GBIc4iNE9OP6VOF0H1NuzOP0F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6xMbCpwIAAF4FAAAOAAAAAAAAAAAAAAAAAC4C&#10;AABkcnMvZTJvRG9jLnhtbFBLAQItABQABgAIAAAAIQDN8vMo2gAAAAgBAAAPAAAAAAAAAAAAAAAA&#10;AAEFAABkcnMvZG93bnJldi54bWxQSwUGAAAAAAQABADzAAAACAYAAAAA&#10;" o:allowincell="f" filled="f" stroked="f" strokeweight=".5pt">
              <v:path arrowok="t"/>
              <v:textbox>
                <w:txbxContent>
                  <w:p w:rsidR="0034393B" w:rsidRDefault="0084257D" w:rsidP="0084257D">
                    <w:pPr>
                      <w:jc w:val="center"/>
                    </w:pPr>
                    <w:r w:rsidRPr="0084257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Default="008F2510" w:rsidP="00F51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Default="008F251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Default="008F2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E3" w:rsidRDefault="00456EE3" w:rsidP="00456EE3">
      <w:r>
        <w:separator/>
      </w:r>
    </w:p>
  </w:footnote>
  <w:footnote w:type="continuationSeparator" w:id="0">
    <w:p w:rsidR="00456EE3" w:rsidRDefault="00456EE3" w:rsidP="00456EE3">
      <w:r>
        <w:continuationSeparator/>
      </w:r>
    </w:p>
  </w:footnote>
  <w:footnote w:type="continuationNotice" w:id="1">
    <w:p w:rsidR="00AC0F2C" w:rsidRDefault="00AC0F2C"/>
  </w:footnote>
  <w:footnote w:id="2">
    <w:p w:rsidR="00456EE3" w:rsidRDefault="00456EE3" w:rsidP="00456EE3">
      <w:pPr>
        <w:pStyle w:val="FootnoteText"/>
      </w:pPr>
      <w:r>
        <w:rPr>
          <w:rStyle w:val="FootnoteReference"/>
        </w:rPr>
        <w:footnoteRef/>
      </w:r>
      <w:r>
        <w:t xml:space="preserve"> </w:t>
      </w:r>
      <w:r>
        <w:tab/>
      </w:r>
      <w:r w:rsidRPr="00F71E7C">
        <w:rPr>
          <w:sz w:val="16"/>
        </w:rPr>
        <w:t>Le programme ci</w:t>
      </w:r>
      <w:r w:rsidR="0084257D" w:rsidRPr="00F71E7C">
        <w:rPr>
          <w:sz w:val="16"/>
        </w:rPr>
        <w:t>-</w:t>
      </w:r>
      <w:r w:rsidRPr="00F71E7C">
        <w:rPr>
          <w:sz w:val="16"/>
        </w:rPr>
        <w:t>après a été approuvé pour la troisième</w:t>
      </w:r>
      <w:r w:rsidR="00F71E7C">
        <w:rPr>
          <w:sz w:val="16"/>
        </w:rPr>
        <w:t> </w:t>
      </w:r>
      <w:r w:rsidRPr="00F71E7C">
        <w:rPr>
          <w:sz w:val="16"/>
        </w:rPr>
        <w:t>réunion du WG</w:t>
      </w:r>
      <w:r w:rsidR="0084257D" w:rsidRPr="00F71E7C">
        <w:rPr>
          <w:sz w:val="16"/>
        </w:rPr>
        <w:t>-</w:t>
      </w:r>
      <w:r w:rsidRPr="00F71E7C">
        <w:rPr>
          <w:sz w:val="16"/>
        </w:rPr>
        <w:t>HRV (WG</w:t>
      </w:r>
      <w:r w:rsidR="0084257D" w:rsidRPr="00F71E7C">
        <w:rPr>
          <w:sz w:val="16"/>
        </w:rPr>
        <w:t>-</w:t>
      </w:r>
      <w:r w:rsidRPr="00F71E7C">
        <w:rPr>
          <w:sz w:val="16"/>
        </w:rPr>
        <w:t>HRV/3)</w:t>
      </w:r>
      <w:r w:rsidR="0084257D" w:rsidRPr="00F71E7C">
        <w:rPr>
          <w:sz w:val="16"/>
        </w:rPr>
        <w:t> :</w:t>
      </w:r>
      <w:r w:rsidRPr="00F71E7C">
        <w:rPr>
          <w:sz w:val="16"/>
        </w:rPr>
        <w:t xml:space="preserve"> 2</w:t>
      </w:r>
      <w:r w:rsidR="0084257D" w:rsidRPr="00F71E7C">
        <w:rPr>
          <w:sz w:val="16"/>
        </w:rPr>
        <w:t>1 mars 20</w:t>
      </w:r>
      <w:r w:rsidRPr="00F71E7C">
        <w:rPr>
          <w:sz w:val="16"/>
        </w:rPr>
        <w:t>23 (13</w:t>
      </w:r>
      <w:r w:rsidR="00AC0F2C" w:rsidRPr="00F71E7C">
        <w:rPr>
          <w:sz w:val="16"/>
        </w:rPr>
        <w:t> h </w:t>
      </w:r>
      <w:r w:rsidRPr="00F71E7C">
        <w:rPr>
          <w:sz w:val="16"/>
        </w:rPr>
        <w:t>00</w:t>
      </w:r>
      <w:r w:rsidR="00F71E7C">
        <w:rPr>
          <w:sz w:val="16"/>
        </w:rPr>
        <w:t> - </w:t>
      </w:r>
      <w:r w:rsidRPr="00F71E7C">
        <w:rPr>
          <w:sz w:val="16"/>
        </w:rPr>
        <w:t>16</w:t>
      </w:r>
      <w:r w:rsidR="00AC0F2C" w:rsidRPr="00F71E7C">
        <w:rPr>
          <w:sz w:val="16"/>
        </w:rPr>
        <w:t> </w:t>
      </w:r>
      <w:r w:rsidR="00F71E7C">
        <w:rPr>
          <w:sz w:val="16"/>
        </w:rPr>
        <w:t>h </w:t>
      </w:r>
      <w:r w:rsidRPr="00F71E7C">
        <w:rPr>
          <w:sz w:val="16"/>
        </w:rPr>
        <w:t>00) (réunion hybride) (voir le document</w:t>
      </w:r>
      <w:r w:rsidR="00AC0F2C" w:rsidRPr="00F71E7C">
        <w:rPr>
          <w:sz w:val="16"/>
        </w:rPr>
        <w:t> </w:t>
      </w:r>
      <w:r w:rsidRPr="00F71E7C">
        <w:rPr>
          <w:sz w:val="16"/>
        </w:rPr>
        <w:t>C/56/8</w:t>
      </w:r>
      <w:r w:rsidR="002A34C4" w:rsidRPr="00F71E7C">
        <w:rPr>
          <w:sz w:val="16"/>
        </w:rPr>
        <w:t> </w:t>
      </w:r>
      <w:r w:rsidRPr="00F71E7C">
        <w:rPr>
          <w:sz w:val="16"/>
        </w:rPr>
        <w:t>Rev. à l</w:t>
      </w:r>
      <w:r w:rsidR="0084257D" w:rsidRPr="00F71E7C">
        <w:rPr>
          <w:sz w:val="16"/>
        </w:rPr>
        <w:t>’</w:t>
      </w:r>
      <w:r w:rsidRPr="00F71E7C">
        <w:rPr>
          <w:sz w:val="16"/>
        </w:rPr>
        <w:t xml:space="preserve">adresse </w:t>
      </w:r>
      <w:hyperlink r:id="rId1" w:history="1">
        <w:r w:rsidRPr="00F71E7C">
          <w:rPr>
            <w:rStyle w:val="Hyperlink"/>
            <w:sz w:val="16"/>
          </w:rPr>
          <w:t>https://www.upov.int/edocs/mdocs/upov/fr/c_56/c_56_8_rev.pdf</w:t>
        </w:r>
      </w:hyperlink>
      <w:r w:rsidRPr="00F71E7C">
        <w:rPr>
          <w:sz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05" w:rsidRPr="00C5280D" w:rsidRDefault="00F33405" w:rsidP="00F33405">
    <w:pPr>
      <w:pStyle w:val="Header"/>
      <w:rPr>
        <w:rStyle w:val="PageNumber"/>
        <w:lang w:val="en-US"/>
      </w:rPr>
    </w:pPr>
    <w:r w:rsidRPr="00A655E8">
      <w:rPr>
        <w:rStyle w:val="PageNumber"/>
        <w:lang w:val="en-US"/>
      </w:rPr>
      <w:t>WG-HRV/</w:t>
    </w:r>
    <w:r>
      <w:rPr>
        <w:rStyle w:val="PageNumber"/>
        <w:lang w:val="en-US"/>
      </w:rPr>
      <w:t>2/6</w:t>
    </w:r>
  </w:p>
  <w:p w:rsidR="00F33405" w:rsidRPr="00C5280D" w:rsidRDefault="00F33405" w:rsidP="00F33405">
    <w:pPr>
      <w:pStyle w:val="Header"/>
      <w:rPr>
        <w:lang w:val="en-US"/>
      </w:rPr>
    </w:pPr>
    <w:r>
      <w:rPr>
        <w:lang w:val="en-US"/>
      </w:rPr>
      <w:t>P</w:t>
    </w:r>
    <w:r w:rsidRPr="00C5280D">
      <w:rPr>
        <w:lang w:val="en-US"/>
      </w:rPr>
      <w:t>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34393B" w:rsidRDefault="0034393B" w:rsidP="003439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405" w:rsidRPr="00C5280D" w:rsidRDefault="00F33405" w:rsidP="00F33405">
    <w:pPr>
      <w:pStyle w:val="Header"/>
      <w:jc w:val="center"/>
      <w:rPr>
        <w:rStyle w:val="PageNumber"/>
        <w:lang w:val="en-US"/>
      </w:rPr>
    </w:pPr>
    <w:r w:rsidRPr="00A655E8">
      <w:rPr>
        <w:rStyle w:val="PageNumber"/>
        <w:lang w:val="en-US"/>
      </w:rPr>
      <w:t>WG-HRV/</w:t>
    </w:r>
    <w:r>
      <w:rPr>
        <w:rStyle w:val="PageNumber"/>
        <w:lang w:val="en-US"/>
      </w:rPr>
      <w:t>2/6</w:t>
    </w:r>
  </w:p>
  <w:p w:rsidR="00456EE3" w:rsidRDefault="00F33405" w:rsidP="009822F6">
    <w:pPr>
      <w:pStyle w:val="Header"/>
      <w:jc w:val="center"/>
      <w:rPr>
        <w:rStyle w:val="PageNumber"/>
        <w:lang w:val="en-US"/>
      </w:rPr>
    </w:pPr>
    <w:r>
      <w:rPr>
        <w:lang w:val="en-US"/>
      </w:rPr>
      <w:t>p</w:t>
    </w:r>
    <w:r w:rsidRPr="00C5280D">
      <w:rPr>
        <w:lang w:val="en-US"/>
      </w:rPr>
      <w:t>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F2510">
      <w:rPr>
        <w:rStyle w:val="PageNumber"/>
        <w:noProof/>
        <w:lang w:val="en-US"/>
      </w:rPr>
      <w:t>5</w:t>
    </w:r>
    <w:r w:rsidRPr="00C5280D">
      <w:rPr>
        <w:rStyle w:val="PageNumber"/>
        <w:lang w:val="en-US"/>
      </w:rPr>
      <w:fldChar w:fldCharType="end"/>
    </w:r>
  </w:p>
  <w:p w:rsidR="009822F6" w:rsidRPr="00F33405" w:rsidRDefault="009822F6" w:rsidP="009822F6">
    <w:pPr>
      <w:pStyle w:val="Header"/>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4A5F2E" w:rsidRDefault="009822F6" w:rsidP="00F515AB">
    <w:pPr>
      <w:pStyle w:val="Header"/>
      <w:rPr>
        <w:rStyle w:val="PageNumber"/>
        <w:lang w:val="pt-PT"/>
      </w:rPr>
    </w:pPr>
    <w:r>
      <w:rPr>
        <w:rStyle w:val="PageNumber"/>
        <w:lang w:val="pt-PT"/>
      </w:rPr>
      <w:t>WG-</w:t>
    </w:r>
    <w:r>
      <w:rPr>
        <w:rFonts w:cs="Arial"/>
        <w:lang w:val="pt-PT"/>
      </w:rPr>
      <w:t>HRV/2/6</w:t>
    </w:r>
  </w:p>
  <w:p w:rsidR="00784911" w:rsidRPr="00DB67FC" w:rsidRDefault="009822F6" w:rsidP="00F515AB">
    <w:pPr>
      <w:jc w:val="center"/>
      <w:rPr>
        <w:lang w:val="pt-PT"/>
      </w:rPr>
    </w:pPr>
    <w:r>
      <w:rPr>
        <w:lang w:val="pt-PT"/>
      </w:rPr>
      <w:t>Annexe / Annex / Anexo</w:t>
    </w:r>
  </w:p>
  <w:p w:rsidR="00784911" w:rsidRPr="00DB67FC" w:rsidRDefault="009822F6" w:rsidP="00F515A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Pr>
        <w:rFonts w:cs="Arial"/>
        <w:noProof/>
        <w:lang w:val="pt-PT"/>
      </w:rPr>
      <w:t>4</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Pr>
        <w:rFonts w:cs="Arial"/>
        <w:noProof/>
        <w:lang w:val="pt-PT"/>
      </w:rPr>
      <w:t>4</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Pr>
        <w:rFonts w:cs="Arial"/>
        <w:noProof/>
        <w:lang w:val="pt-PT"/>
      </w:rPr>
      <w:t>4</w:t>
    </w:r>
    <w:r w:rsidRPr="00DB67FC">
      <w:rPr>
        <w:rFonts w:cs="Arial"/>
      </w:rPr>
      <w:fldChar w:fldCharType="end"/>
    </w:r>
  </w:p>
  <w:p w:rsidR="00784911" w:rsidRPr="00BC0819" w:rsidRDefault="008F2510"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4A5F2E" w:rsidRDefault="009822F6" w:rsidP="009822F6">
    <w:pPr>
      <w:pStyle w:val="Header"/>
      <w:jc w:val="center"/>
      <w:rPr>
        <w:rStyle w:val="PageNumber"/>
        <w:lang w:val="pt-PT"/>
      </w:rPr>
    </w:pPr>
    <w:r>
      <w:rPr>
        <w:rStyle w:val="PageNumber"/>
        <w:lang w:val="pt-PT"/>
      </w:rPr>
      <w:t>WG-</w:t>
    </w:r>
    <w:r>
      <w:rPr>
        <w:rFonts w:cs="Arial"/>
        <w:lang w:val="pt-PT"/>
      </w:rPr>
      <w:t>HRV/2/6</w:t>
    </w:r>
  </w:p>
  <w:p w:rsidR="00784911" w:rsidRPr="00DB67FC" w:rsidRDefault="009822F6" w:rsidP="0030260E">
    <w:pPr>
      <w:jc w:val="center"/>
      <w:rPr>
        <w:lang w:val="pt-PT"/>
      </w:rPr>
    </w:pPr>
    <w:r>
      <w:rPr>
        <w:lang w:val="pt-PT"/>
      </w:rPr>
      <w:t>Annexe / Annex / Anexo</w:t>
    </w:r>
  </w:p>
  <w:p w:rsidR="00784911" w:rsidRPr="00DB67FC" w:rsidRDefault="009822F6"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8F2510">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8F2510">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8F2510">
      <w:rPr>
        <w:rFonts w:cs="Arial"/>
        <w:noProof/>
        <w:lang w:val="pt-PT"/>
      </w:rPr>
      <w:t>5</w:t>
    </w:r>
    <w:r w:rsidRPr="00DB67FC">
      <w:rPr>
        <w:rFonts w:cs="Arial"/>
      </w:rPr>
      <w:fldChar w:fldCharType="end"/>
    </w:r>
  </w:p>
  <w:p w:rsidR="00784911" w:rsidRPr="00BC0819" w:rsidRDefault="008F2510"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911" w:rsidRPr="00DB67FC" w:rsidRDefault="009822F6" w:rsidP="0030260E">
    <w:pPr>
      <w:jc w:val="center"/>
      <w:rPr>
        <w:rFonts w:cs="Arial"/>
        <w:lang w:val="pt-PT"/>
      </w:rPr>
    </w:pPr>
    <w:r>
      <w:rPr>
        <w:rFonts w:cs="Arial"/>
        <w:lang w:val="pt-PT"/>
      </w:rPr>
      <w:t>WG-HRV/2/6</w:t>
    </w:r>
  </w:p>
  <w:p w:rsidR="00784911" w:rsidRDefault="008F2510" w:rsidP="0030260E">
    <w:pPr>
      <w:jc w:val="center"/>
      <w:rPr>
        <w:lang w:val="pt-PT"/>
      </w:rPr>
    </w:pPr>
  </w:p>
  <w:p w:rsidR="00784911" w:rsidRPr="00DB67FC" w:rsidRDefault="009822F6" w:rsidP="0030260E">
    <w:pPr>
      <w:jc w:val="center"/>
      <w:rPr>
        <w:lang w:val="pt-PT"/>
      </w:rPr>
    </w:pPr>
    <w:r>
      <w:rPr>
        <w:lang w:val="pt-PT"/>
      </w:rPr>
      <w:t xml:space="preserve">ANNEXE / ANNEX / ANEXO </w:t>
    </w:r>
  </w:p>
  <w:p w:rsidR="00784911" w:rsidRDefault="008F2510" w:rsidP="0030260E">
    <w:pPr>
      <w:pStyle w:val="Header"/>
      <w:rPr>
        <w:lang w:val="en-US"/>
      </w:rPr>
    </w:pPr>
  </w:p>
  <w:p w:rsidR="00784911" w:rsidRDefault="008F2510"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4"/>
  </w:num>
  <w:num w:numId="3">
    <w:abstractNumId w:val="7"/>
  </w:num>
  <w:num w:numId="4">
    <w:abstractNumId w:val="6"/>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E3"/>
    <w:rsid w:val="000042C6"/>
    <w:rsid w:val="00043B9E"/>
    <w:rsid w:val="0007515B"/>
    <w:rsid w:val="000F5E56"/>
    <w:rsid w:val="001A3204"/>
    <w:rsid w:val="002A34C4"/>
    <w:rsid w:val="0034393B"/>
    <w:rsid w:val="0034484E"/>
    <w:rsid w:val="003B20FF"/>
    <w:rsid w:val="003E6531"/>
    <w:rsid w:val="00431118"/>
    <w:rsid w:val="00456EE3"/>
    <w:rsid w:val="004D3EFC"/>
    <w:rsid w:val="004F0DCE"/>
    <w:rsid w:val="007A0883"/>
    <w:rsid w:val="007B240C"/>
    <w:rsid w:val="007D53C7"/>
    <w:rsid w:val="00804DB7"/>
    <w:rsid w:val="00833ACD"/>
    <w:rsid w:val="0084257D"/>
    <w:rsid w:val="008578C4"/>
    <w:rsid w:val="008D6F41"/>
    <w:rsid w:val="008F2510"/>
    <w:rsid w:val="009822F6"/>
    <w:rsid w:val="009D5FDF"/>
    <w:rsid w:val="009E1598"/>
    <w:rsid w:val="00AC0F2C"/>
    <w:rsid w:val="00BF78B5"/>
    <w:rsid w:val="00C2523D"/>
    <w:rsid w:val="00C554EC"/>
    <w:rsid w:val="00D3773B"/>
    <w:rsid w:val="00EA2145"/>
    <w:rsid w:val="00EE1755"/>
    <w:rsid w:val="00EE5637"/>
    <w:rsid w:val="00F264D1"/>
    <w:rsid w:val="00F33405"/>
    <w:rsid w:val="00F71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A3D85F39-D1CC-4D5A-BF3A-36FF9FE4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E3"/>
    <w:rPr>
      <w:rFonts w:ascii="Arial" w:hAnsi="Arial"/>
      <w:lang w:val="fr-FR"/>
    </w:rPr>
  </w:style>
  <w:style w:type="paragraph" w:styleId="Heading1">
    <w:name w:val="heading 1"/>
    <w:basedOn w:val="Normal"/>
    <w:next w:val="Normal"/>
    <w:qFormat/>
    <w:rsid w:val="001A3204"/>
    <w:pPr>
      <w:keepNext/>
      <w:spacing w:before="600" w:after="240"/>
      <w:outlineLvl w:val="0"/>
    </w:pPr>
    <w:rPr>
      <w:caps/>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aliases w:val="doc_path_name"/>
    <w:basedOn w:val="Normal"/>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Docoriginal">
    <w:name w:val="Doc_original"/>
    <w:basedOn w:val="Normal"/>
    <w:link w:val="DocoriginalChar"/>
    <w:rsid w:val="00456EE3"/>
    <w:pPr>
      <w:spacing w:before="240" w:line="240" w:lineRule="exact"/>
      <w:contextualSpacing/>
    </w:pPr>
    <w:rPr>
      <w:b/>
      <w:bCs/>
      <w:spacing w:val="10"/>
      <w:sz w:val="18"/>
    </w:rPr>
  </w:style>
  <w:style w:type="paragraph" w:customStyle="1" w:styleId="Disclaimer">
    <w:name w:val="Disclaimer"/>
    <w:next w:val="Normal"/>
    <w:qFormat/>
    <w:rsid w:val="00456EE3"/>
    <w:pPr>
      <w:spacing w:after="600"/>
    </w:pPr>
    <w:rPr>
      <w:rFonts w:ascii="Arial" w:hAnsi="Arial"/>
      <w:i/>
      <w:iCs/>
      <w:color w:val="A6A6A6" w:themeColor="background1" w:themeShade="A6"/>
      <w:lang w:val="fr-FR"/>
    </w:rPr>
  </w:style>
  <w:style w:type="paragraph" w:customStyle="1" w:styleId="upove">
    <w:name w:val="upov_e"/>
    <w:basedOn w:val="Normal"/>
    <w:rsid w:val="00456EE3"/>
    <w:pPr>
      <w:spacing w:before="120"/>
    </w:pPr>
    <w:rPr>
      <w:sz w:val="16"/>
    </w:rPr>
  </w:style>
  <w:style w:type="paragraph" w:customStyle="1" w:styleId="Lettrine">
    <w:name w:val="Lettrine"/>
    <w:basedOn w:val="Normal"/>
    <w:rsid w:val="00456EE3"/>
    <w:pPr>
      <w:spacing w:line="340" w:lineRule="atLeast"/>
      <w:jc w:val="right"/>
    </w:pPr>
    <w:rPr>
      <w:b/>
      <w:bCs/>
      <w:sz w:val="36"/>
    </w:rPr>
  </w:style>
  <w:style w:type="paragraph" w:customStyle="1" w:styleId="Sessiontc">
    <w:name w:val="Session_tc"/>
    <w:basedOn w:val="Normal"/>
    <w:rsid w:val="00456EE3"/>
    <w:pPr>
      <w:spacing w:line="280" w:lineRule="exact"/>
    </w:pPr>
    <w:rPr>
      <w:b/>
      <w:bCs/>
      <w:kern w:val="28"/>
    </w:rPr>
  </w:style>
  <w:style w:type="paragraph" w:customStyle="1" w:styleId="Sessiontcplacedate">
    <w:name w:val="Session_tc_place_date"/>
    <w:basedOn w:val="Normal"/>
    <w:rsid w:val="00456EE3"/>
    <w:pPr>
      <w:spacing w:before="240"/>
      <w:contextualSpacing/>
    </w:pPr>
    <w:rPr>
      <w:b/>
      <w:bCs/>
      <w:kern w:val="28"/>
    </w:rPr>
  </w:style>
  <w:style w:type="paragraph" w:customStyle="1" w:styleId="preparedby">
    <w:name w:val="prepared_by"/>
    <w:basedOn w:val="Normal"/>
    <w:rsid w:val="00456EE3"/>
    <w:pPr>
      <w:spacing w:after="240"/>
      <w:jc w:val="center"/>
    </w:pPr>
    <w:rPr>
      <w:i/>
      <w:iCs/>
    </w:rPr>
  </w:style>
  <w:style w:type="character" w:customStyle="1" w:styleId="DocoriginalChar">
    <w:name w:val="Doc_original Char"/>
    <w:basedOn w:val="DefaultParagraphFont"/>
    <w:link w:val="Docoriginal"/>
    <w:rsid w:val="00456EE3"/>
    <w:rPr>
      <w:rFonts w:ascii="Arial" w:hAnsi="Arial"/>
      <w:b/>
      <w:bCs/>
      <w:spacing w:val="10"/>
      <w:sz w:val="18"/>
      <w:lang w:val="fr-FR"/>
    </w:rPr>
  </w:style>
  <w:style w:type="paragraph" w:customStyle="1" w:styleId="Doccode">
    <w:name w:val="Doc_code"/>
    <w:qFormat/>
    <w:rsid w:val="00456EE3"/>
    <w:rPr>
      <w:rFonts w:ascii="Arial" w:hAnsi="Arial"/>
      <w:b/>
      <w:bCs/>
      <w:spacing w:val="10"/>
      <w:sz w:val="18"/>
    </w:rPr>
  </w:style>
  <w:style w:type="character" w:styleId="FootnoteReference">
    <w:name w:val="footnote reference"/>
    <w:basedOn w:val="DefaultParagraphFont"/>
    <w:semiHidden/>
    <w:rsid w:val="00456EE3"/>
    <w:rPr>
      <w:vertAlign w:val="superscript"/>
    </w:rPr>
  </w:style>
  <w:style w:type="character" w:styleId="Hyperlink">
    <w:name w:val="Hyperlink"/>
    <w:basedOn w:val="DefaultParagraphFont"/>
    <w:uiPriority w:val="99"/>
    <w:rsid w:val="00456EE3"/>
    <w:rPr>
      <w:rFonts w:ascii="Arial" w:hAnsi="Arial"/>
      <w:color w:val="0000FF"/>
      <w:u w:val="single"/>
    </w:rPr>
  </w:style>
  <w:style w:type="character" w:styleId="PageNumber">
    <w:name w:val="page number"/>
    <w:basedOn w:val="DefaultParagraphFont"/>
    <w:rsid w:val="00F33405"/>
    <w:rPr>
      <w:rFonts w:ascii="Arial" w:hAnsi="Arial"/>
      <w:sz w:val="20"/>
    </w:rPr>
  </w:style>
  <w:style w:type="character" w:customStyle="1" w:styleId="HeaderChar">
    <w:name w:val="Header Char"/>
    <w:basedOn w:val="DefaultParagraphFont"/>
    <w:link w:val="Header"/>
    <w:rsid w:val="00F33405"/>
    <w:rPr>
      <w:rFonts w:ascii="Arial" w:hAnsi="Arial"/>
      <w:lang w:val="fr-FR"/>
    </w:rPr>
  </w:style>
  <w:style w:type="paragraph" w:customStyle="1" w:styleId="plcountry">
    <w:name w:val="plcountry"/>
    <w:basedOn w:val="Normal"/>
    <w:link w:val="plcountryChar"/>
    <w:rsid w:val="009822F6"/>
    <w:pPr>
      <w:keepNext/>
      <w:keepLines/>
      <w:spacing w:before="180" w:after="120"/>
    </w:pPr>
    <w:rPr>
      <w:caps/>
      <w:noProof/>
      <w:snapToGrid w:val="0"/>
      <w:u w:val="single"/>
      <w:lang w:val="en-US"/>
    </w:rPr>
  </w:style>
  <w:style w:type="paragraph" w:customStyle="1" w:styleId="pldetails">
    <w:name w:val="pldetails"/>
    <w:basedOn w:val="Normal"/>
    <w:link w:val="pldetailsChar"/>
    <w:rsid w:val="009822F6"/>
    <w:pPr>
      <w:keepLines/>
      <w:spacing w:before="60" w:after="60"/>
    </w:pPr>
    <w:rPr>
      <w:noProof/>
      <w:snapToGrid w:val="0"/>
      <w:lang w:val="en-US"/>
    </w:rPr>
  </w:style>
  <w:style w:type="paragraph" w:customStyle="1" w:styleId="plheading">
    <w:name w:val="plheading"/>
    <w:basedOn w:val="Normal"/>
    <w:rsid w:val="009822F6"/>
    <w:pPr>
      <w:keepNext/>
      <w:spacing w:before="480" w:after="120"/>
      <w:jc w:val="center"/>
    </w:pPr>
    <w:rPr>
      <w:caps/>
      <w:snapToGrid w:val="0"/>
      <w:u w:val="single"/>
      <w:lang w:val="en-US"/>
    </w:rPr>
  </w:style>
  <w:style w:type="character" w:customStyle="1" w:styleId="pldetailsChar">
    <w:name w:val="pldetails Char"/>
    <w:link w:val="pldetails"/>
    <w:locked/>
    <w:rsid w:val="009822F6"/>
    <w:rPr>
      <w:rFonts w:ascii="Arial" w:hAnsi="Arial"/>
      <w:noProof/>
      <w:snapToGrid w:val="0"/>
    </w:rPr>
  </w:style>
  <w:style w:type="character" w:customStyle="1" w:styleId="plcountryChar">
    <w:name w:val="plcountry Char"/>
    <w:basedOn w:val="DefaultParagraphFont"/>
    <w:link w:val="plcountry"/>
    <w:rsid w:val="009822F6"/>
    <w:rPr>
      <w:rFonts w:ascii="Arial" w:hAnsi="Arial"/>
      <w:caps/>
      <w:noProof/>
      <w:snapToGrid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upov.int/edocs/mdocs/upov/fr/c_56/c_56_8_re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10</Pages>
  <Words>3645</Words>
  <Characters>23163</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WG-HRV/2/6</dc:title>
  <dc:subject>Wipo Templates</dc:subject>
  <dc:creator>AUBERT Annaelle</dc:creator>
  <cp:keywords>FOR OFFICIAL USE ONLY</cp:keywords>
  <dc:description/>
  <cp:lastModifiedBy>NICOLO Laurianne</cp:lastModifiedBy>
  <cp:revision>20</cp:revision>
  <dcterms:created xsi:type="dcterms:W3CDTF">2023-03-21T06:52:00Z</dcterms:created>
  <dcterms:modified xsi:type="dcterms:W3CDTF">2023-03-21T12:32:00Z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9df26da9-f5cf-4419-be5f-390fb2be2b70</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