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A07D1" w:rsidRPr="00D56ED8" w:rsidTr="00EB4E9C">
        <w:tc>
          <w:tcPr>
            <w:tcW w:w="6522" w:type="dxa"/>
          </w:tcPr>
          <w:p w:rsidR="00DC3802" w:rsidRPr="00D56ED8" w:rsidRDefault="00DC3802" w:rsidP="00AC2883">
            <w:r w:rsidRPr="00D56ED8">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D56ED8" w:rsidRDefault="00A706D3" w:rsidP="00AC2883">
            <w:pPr>
              <w:pStyle w:val="Lettrine"/>
            </w:pPr>
            <w:r w:rsidRPr="00D56ED8">
              <w:t>F</w:t>
            </w:r>
          </w:p>
        </w:tc>
      </w:tr>
      <w:tr w:rsidR="00DC3802" w:rsidRPr="00D56ED8" w:rsidTr="00645CA8">
        <w:trPr>
          <w:trHeight w:val="219"/>
        </w:trPr>
        <w:tc>
          <w:tcPr>
            <w:tcW w:w="6522" w:type="dxa"/>
          </w:tcPr>
          <w:p w:rsidR="00DC3802" w:rsidRPr="00D56ED8" w:rsidRDefault="00DC3802" w:rsidP="00A706D3">
            <w:pPr>
              <w:pStyle w:val="upove"/>
            </w:pPr>
            <w:r w:rsidRPr="00D56ED8">
              <w:t xml:space="preserve">Union </w:t>
            </w:r>
            <w:r w:rsidR="00A706D3" w:rsidRPr="00D56ED8">
              <w:t>internationale pour la protection des obtentions végétales</w:t>
            </w:r>
          </w:p>
        </w:tc>
        <w:tc>
          <w:tcPr>
            <w:tcW w:w="3117" w:type="dxa"/>
          </w:tcPr>
          <w:p w:rsidR="00DC3802" w:rsidRPr="00D56ED8" w:rsidRDefault="00DC3802" w:rsidP="00DA4973"/>
        </w:tc>
      </w:tr>
    </w:tbl>
    <w:p w:rsidR="00DC3802" w:rsidRPr="00D56ED8" w:rsidRDefault="00DC3802" w:rsidP="00DC3802"/>
    <w:p w:rsidR="00DA4973" w:rsidRPr="00D56ED8"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A07D1" w:rsidRPr="00D56ED8" w:rsidTr="00EB4E9C">
        <w:tc>
          <w:tcPr>
            <w:tcW w:w="6512" w:type="dxa"/>
          </w:tcPr>
          <w:p w:rsidR="00EB4E9C" w:rsidRPr="00D56ED8" w:rsidRDefault="00FB106A" w:rsidP="00AC2883">
            <w:pPr>
              <w:pStyle w:val="Sessiontc"/>
              <w:spacing w:line="240" w:lineRule="auto"/>
            </w:pPr>
            <w:r w:rsidRPr="00D56ED8">
              <w:t>Groupe de travail sur le produit de la récolte et l</w:t>
            </w:r>
            <w:r w:rsidR="001F3E61" w:rsidRPr="00D56ED8">
              <w:t>’</w:t>
            </w:r>
            <w:r w:rsidRPr="00D56ED8">
              <w:t>utilisation non autorisée de matériel de reproduction ou de multiplication</w:t>
            </w:r>
          </w:p>
          <w:p w:rsidR="0021438C" w:rsidRPr="00D56ED8" w:rsidRDefault="00697A83" w:rsidP="0021438C">
            <w:pPr>
              <w:pStyle w:val="Sessiontcplacedate"/>
            </w:pPr>
            <w:r w:rsidRPr="00D56ED8">
              <w:t>Deuxième</w:t>
            </w:r>
            <w:r w:rsidR="00FB106A" w:rsidRPr="00D56ED8">
              <w:t xml:space="preserve"> réunion</w:t>
            </w:r>
          </w:p>
          <w:p w:rsidR="00EB4E9C" w:rsidRPr="00D56ED8" w:rsidRDefault="00EB4E9C" w:rsidP="00697A83">
            <w:pPr>
              <w:pStyle w:val="Sessiontcplacedate"/>
              <w:rPr>
                <w:sz w:val="22"/>
              </w:rPr>
            </w:pPr>
            <w:r w:rsidRPr="00D56ED8">
              <w:t>Gen</w:t>
            </w:r>
            <w:r w:rsidR="00A706D3" w:rsidRPr="00D56ED8">
              <w:t>è</w:t>
            </w:r>
            <w:r w:rsidRPr="00D56ED8">
              <w:t>v</w:t>
            </w:r>
            <w:r w:rsidR="00A706D3" w:rsidRPr="00D56ED8">
              <w:t>e</w:t>
            </w:r>
            <w:r w:rsidRPr="00D56ED8">
              <w:t xml:space="preserve">, </w:t>
            </w:r>
            <w:r w:rsidR="000C5E98" w:rsidRPr="00D56ED8">
              <w:t>6 septembre 20</w:t>
            </w:r>
            <w:r w:rsidR="0021438C" w:rsidRPr="00D56ED8">
              <w:t>22</w:t>
            </w:r>
          </w:p>
        </w:tc>
        <w:tc>
          <w:tcPr>
            <w:tcW w:w="3127" w:type="dxa"/>
          </w:tcPr>
          <w:p w:rsidR="00EB4E9C" w:rsidRPr="00D56ED8" w:rsidRDefault="00FB106A" w:rsidP="003C7FBE">
            <w:pPr>
              <w:pStyle w:val="Doccode"/>
              <w:rPr>
                <w:lang w:val="fr-FR"/>
              </w:rPr>
            </w:pPr>
            <w:r w:rsidRPr="00D56ED8">
              <w:rPr>
                <w:lang w:val="fr-FR"/>
              </w:rPr>
              <w:t>WG</w:t>
            </w:r>
            <w:r w:rsidR="001F3E61" w:rsidRPr="00D56ED8">
              <w:rPr>
                <w:lang w:val="fr-FR"/>
              </w:rPr>
              <w:t>-</w:t>
            </w:r>
            <w:r w:rsidRPr="00D56ED8">
              <w:rPr>
                <w:lang w:val="fr-FR"/>
              </w:rPr>
              <w:t>HRV/</w:t>
            </w:r>
            <w:r w:rsidR="00697A83" w:rsidRPr="00D56ED8">
              <w:rPr>
                <w:lang w:val="fr-FR"/>
              </w:rPr>
              <w:t>2</w:t>
            </w:r>
            <w:r w:rsidR="00EB4E9C" w:rsidRPr="00D56ED8">
              <w:rPr>
                <w:lang w:val="fr-FR"/>
              </w:rPr>
              <w:t>/</w:t>
            </w:r>
            <w:r w:rsidR="00697A83" w:rsidRPr="00D56ED8">
              <w:rPr>
                <w:lang w:val="fr-FR"/>
              </w:rPr>
              <w:t>5</w:t>
            </w:r>
          </w:p>
          <w:p w:rsidR="00FB106A" w:rsidRPr="00D56ED8" w:rsidRDefault="00FB106A" w:rsidP="003C7FBE">
            <w:pPr>
              <w:pStyle w:val="Doccode"/>
              <w:rPr>
                <w:lang w:val="fr-FR"/>
              </w:rPr>
            </w:pPr>
          </w:p>
          <w:p w:rsidR="00EB4E9C" w:rsidRPr="00D56ED8" w:rsidRDefault="00EB4E9C" w:rsidP="003C7FBE">
            <w:pPr>
              <w:pStyle w:val="Docoriginal"/>
            </w:pPr>
            <w:r w:rsidRPr="00D56ED8">
              <w:t>Original</w:t>
            </w:r>
            <w:r w:rsidR="001F3E61" w:rsidRPr="00D56ED8">
              <w:t> :</w:t>
            </w:r>
            <w:r w:rsidRPr="00D56ED8">
              <w:rPr>
                <w:b w:val="0"/>
                <w:spacing w:val="0"/>
              </w:rPr>
              <w:t xml:space="preserve"> </w:t>
            </w:r>
            <w:r w:rsidR="00A706D3" w:rsidRPr="00D56ED8">
              <w:rPr>
                <w:b w:val="0"/>
                <w:spacing w:val="0"/>
              </w:rPr>
              <w:t>anglais</w:t>
            </w:r>
          </w:p>
          <w:p w:rsidR="00EB4E9C" w:rsidRPr="00D56ED8" w:rsidRDefault="00EB4E9C" w:rsidP="00697A83">
            <w:pPr>
              <w:pStyle w:val="Docoriginal"/>
            </w:pPr>
            <w:r w:rsidRPr="00D56ED8">
              <w:t>Date</w:t>
            </w:r>
            <w:r w:rsidR="001F3E61" w:rsidRPr="00D56ED8">
              <w:t> :</w:t>
            </w:r>
            <w:r w:rsidRPr="00D56ED8">
              <w:rPr>
                <w:b w:val="0"/>
                <w:spacing w:val="0"/>
              </w:rPr>
              <w:t xml:space="preserve"> </w:t>
            </w:r>
            <w:r w:rsidR="00697A83" w:rsidRPr="00D56ED8">
              <w:rPr>
                <w:b w:val="0"/>
                <w:spacing w:val="0"/>
              </w:rPr>
              <w:t>1</w:t>
            </w:r>
            <w:r w:rsidR="000C5E98" w:rsidRPr="00D56ED8">
              <w:rPr>
                <w:b w:val="0"/>
                <w:spacing w:val="0"/>
              </w:rPr>
              <w:t>0 août 20</w:t>
            </w:r>
            <w:r w:rsidR="00E86C32" w:rsidRPr="00D56ED8">
              <w:rPr>
                <w:b w:val="0"/>
                <w:spacing w:val="0"/>
              </w:rPr>
              <w:t>2</w:t>
            </w:r>
            <w:r w:rsidR="0021438C" w:rsidRPr="00D56ED8">
              <w:rPr>
                <w:b w:val="0"/>
                <w:spacing w:val="0"/>
              </w:rPr>
              <w:t>2</w:t>
            </w:r>
          </w:p>
        </w:tc>
      </w:tr>
    </w:tbl>
    <w:p w:rsidR="000C5E98" w:rsidRPr="006844EC" w:rsidRDefault="006844EC" w:rsidP="006844EC">
      <w:pPr>
        <w:spacing w:before="600" w:after="240"/>
        <w:rPr>
          <w:b/>
          <w:caps/>
        </w:rPr>
      </w:pPr>
      <w:r w:rsidRPr="006844EC">
        <w:rPr>
          <w:b/>
          <w:caps/>
        </w:rPr>
        <w:t>Propositions concernant les notes explicatives sur la protection provisoire selon la Convention UPOV</w:t>
      </w:r>
    </w:p>
    <w:p w:rsidR="006A644A" w:rsidRPr="00D56ED8" w:rsidRDefault="00AE0EF1" w:rsidP="006A644A">
      <w:pPr>
        <w:pStyle w:val="preparedby1"/>
        <w:jc w:val="left"/>
      </w:pPr>
      <w:r w:rsidRPr="00D56ED8">
        <w:t xml:space="preserve">Document </w:t>
      </w:r>
      <w:r w:rsidR="00A706D3" w:rsidRPr="00D56ED8">
        <w:t>établi par le Bureau de l</w:t>
      </w:r>
      <w:r w:rsidR="001F3E61" w:rsidRPr="00D56ED8">
        <w:t>’</w:t>
      </w:r>
      <w:r w:rsidR="00A706D3" w:rsidRPr="00D56ED8">
        <w:t>Union</w:t>
      </w:r>
    </w:p>
    <w:p w:rsidR="00050E16" w:rsidRPr="00D56ED8" w:rsidRDefault="00A706D3" w:rsidP="006A644A">
      <w:pPr>
        <w:pStyle w:val="Disclaimer"/>
      </w:pPr>
      <w:r w:rsidRPr="00D56ED8">
        <w:t>Avertissement</w:t>
      </w:r>
      <w:r w:rsidR="001F3E61" w:rsidRPr="00D56ED8">
        <w:t> :</w:t>
      </w:r>
      <w:r w:rsidRPr="00D56ED8">
        <w:t xml:space="preserve"> le présent document ne représente pas les principes ou les orientations de l</w:t>
      </w:r>
      <w:r w:rsidR="001F3E61" w:rsidRPr="00D56ED8">
        <w:t>’</w:t>
      </w:r>
      <w:r w:rsidRPr="00D56ED8">
        <w:t>UPOV</w:t>
      </w:r>
    </w:p>
    <w:p w:rsidR="00C37A53" w:rsidRPr="006844EC" w:rsidRDefault="00C37A53" w:rsidP="00CC6311">
      <w:pPr>
        <w:rPr>
          <w:bCs/>
        </w:rPr>
      </w:pPr>
      <w:r w:rsidRPr="00D56ED8">
        <w:fldChar w:fldCharType="begin"/>
      </w:r>
      <w:r w:rsidRPr="00D56ED8">
        <w:instrText xml:space="preserve"> AUTONUM  </w:instrText>
      </w:r>
      <w:r w:rsidRPr="00D56ED8">
        <w:fldChar w:fldCharType="end"/>
      </w:r>
      <w:r w:rsidRPr="00D56ED8">
        <w:tab/>
        <w:t>Le groupe de travail sur le produit de la récolte et l</w:t>
      </w:r>
      <w:r w:rsidR="001F3E61" w:rsidRPr="00D56ED8">
        <w:t>’</w:t>
      </w:r>
      <w:r w:rsidRPr="00D56ED8">
        <w:t>utilisation non autorisée de matériel de reproduction ou de multiplication (WG</w:t>
      </w:r>
      <w:r w:rsidR="001F3E61" w:rsidRPr="00D56ED8">
        <w:t>-</w:t>
      </w:r>
      <w:r w:rsidRPr="00D56ED8">
        <w:t>HRV), à sa première réunion, tenue par voie électronique le 1</w:t>
      </w:r>
      <w:r w:rsidR="000C5E98" w:rsidRPr="00D56ED8">
        <w:t>5 mars 20</w:t>
      </w:r>
      <w:r w:rsidRPr="00D56ED8">
        <w:t>22, a assisté à un exposé sur le document WG</w:t>
      </w:r>
      <w:r w:rsidR="001F3E61" w:rsidRPr="00D56ED8">
        <w:t>-</w:t>
      </w:r>
      <w:r w:rsidRPr="00D56ED8">
        <w:t xml:space="preserve">HRV/1/5 </w:t>
      </w:r>
      <w:r w:rsidR="000C5E98" w:rsidRPr="00D56ED8">
        <w:t>“P</w:t>
      </w:r>
      <w:r w:rsidRPr="00D56ED8">
        <w:t xml:space="preserve">ropositions concernant les notes explicatives sur la protection provisoire selon la </w:t>
      </w:r>
      <w:r w:rsidR="001F3E61" w:rsidRPr="00D56ED8">
        <w:t>Convention UPOV</w:t>
      </w:r>
      <w:r w:rsidR="000C5E98" w:rsidRPr="00D56ED8">
        <w:t>”</w:t>
      </w:r>
      <w:r w:rsidRPr="00D56ED8">
        <w:t xml:space="preserve"> mais n</w:t>
      </w:r>
      <w:r w:rsidR="001F3E61" w:rsidRPr="00D56ED8">
        <w:t>’</w:t>
      </w:r>
      <w:r w:rsidRPr="00D56ED8">
        <w:t>a pas eu le temps d</w:t>
      </w:r>
      <w:r w:rsidR="001F3E61" w:rsidRPr="00D56ED8">
        <w:t>’</w:t>
      </w:r>
      <w:r w:rsidRPr="00D56ED8">
        <w:t>examiner le document en questi</w:t>
      </w:r>
      <w:r w:rsidR="00D56ED8" w:rsidRPr="00D56ED8">
        <w:t>on.  Il</w:t>
      </w:r>
      <w:r w:rsidRPr="00D56ED8">
        <w:t xml:space="preserve"> est convenu d</w:t>
      </w:r>
      <w:r w:rsidR="001F3E61" w:rsidRPr="00D56ED8">
        <w:t>’</w:t>
      </w:r>
      <w:r w:rsidRPr="00D56ED8">
        <w:t>examiner le document à sa deuxième réunion et, dans l</w:t>
      </w:r>
      <w:r w:rsidR="001F3E61" w:rsidRPr="00D56ED8">
        <w:t>’</w:t>
      </w:r>
      <w:r w:rsidRPr="00D56ED8">
        <w:t>intervalle, d</w:t>
      </w:r>
      <w:r w:rsidR="001F3E61" w:rsidRPr="00D56ED8">
        <w:t>’</w:t>
      </w:r>
      <w:r w:rsidRPr="00D56ED8">
        <w:t>inviter des observations supplémentaires sur le document WG</w:t>
      </w:r>
      <w:r w:rsidR="001F3E61" w:rsidRPr="00D56ED8">
        <w:t>-</w:t>
      </w:r>
      <w:r w:rsidRPr="00D56ED8">
        <w:t>HRV/1/5 dans les six</w:t>
      </w:r>
      <w:r w:rsidR="00274CC7" w:rsidRPr="00D56ED8">
        <w:t> </w:t>
      </w:r>
      <w:r w:rsidRPr="00D56ED8">
        <w:t xml:space="preserve">semaines suivant sa première réunion (voir les </w:t>
      </w:r>
      <w:r w:rsidR="000C5E98" w:rsidRPr="00D56ED8">
        <w:t>paragraphes 1</w:t>
      </w:r>
      <w:r w:rsidR="006844EC">
        <w:t>4 et </w:t>
      </w:r>
      <w:r w:rsidRPr="00D56ED8">
        <w:t>15 du doc</w:t>
      </w:r>
      <w:r w:rsidR="00C2263D" w:rsidRPr="00D56ED8">
        <w:t>ument WG</w:t>
      </w:r>
      <w:r w:rsidR="001F3E61" w:rsidRPr="00D56ED8">
        <w:t>-</w:t>
      </w:r>
      <w:r w:rsidR="00C2263D" w:rsidRPr="00D56ED8">
        <w:t>HRV/1/6 “Compte</w:t>
      </w:r>
      <w:r w:rsidR="001F3E61" w:rsidRPr="00D56ED8">
        <w:t>-</w:t>
      </w:r>
      <w:r w:rsidR="00C2263D" w:rsidRPr="00D56ED8">
        <w:t>rendu”</w:t>
      </w:r>
      <w:r w:rsidRPr="00D56ED8">
        <w:t xml:space="preserve"> et la circulaire UPOV</w:t>
      </w:r>
      <w:r w:rsidR="00F138DD">
        <w:t> </w:t>
      </w:r>
      <w:r w:rsidRPr="00D56ED8">
        <w:t>E</w:t>
      </w:r>
      <w:r w:rsidR="001F3E61" w:rsidRPr="00D56ED8">
        <w:t>-</w:t>
      </w:r>
      <w:r w:rsidRPr="00D56ED8">
        <w:t>22/058).</w:t>
      </w:r>
    </w:p>
    <w:p w:rsidR="00C37A53" w:rsidRPr="00D56ED8" w:rsidRDefault="00C37A53" w:rsidP="00CC6311"/>
    <w:p w:rsidR="00C37A53" w:rsidRPr="00D56ED8" w:rsidRDefault="00C37A53" w:rsidP="00C37A53">
      <w:r w:rsidRPr="00D56ED8">
        <w:fldChar w:fldCharType="begin"/>
      </w:r>
      <w:r w:rsidRPr="00D56ED8">
        <w:instrText xml:space="preserve"> AUTONUM  </w:instrText>
      </w:r>
      <w:r w:rsidRPr="00D56ED8">
        <w:fldChar w:fldCharType="end"/>
      </w:r>
      <w:r w:rsidRPr="00D56ED8">
        <w:tab/>
        <w:t>Le présent document a pour objet de présenter les propositions reçues en réponse à la circulaire UPOV</w:t>
      </w:r>
      <w:r w:rsidR="00F138DD">
        <w:t> </w:t>
      </w:r>
      <w:r w:rsidRPr="00D56ED8">
        <w:t>E</w:t>
      </w:r>
      <w:r w:rsidR="001F3E61" w:rsidRPr="00D56ED8">
        <w:t>-</w:t>
      </w:r>
      <w:r w:rsidRPr="00D56ED8">
        <w:t>21/228 du 1</w:t>
      </w:r>
      <w:r w:rsidR="000C5E98" w:rsidRPr="00D56ED8">
        <w:t>9 novembre 20</w:t>
      </w:r>
      <w:r w:rsidRPr="00D56ED8">
        <w:t>21 et à la circulaire UPOV</w:t>
      </w:r>
      <w:r w:rsidR="00F138DD">
        <w:t> </w:t>
      </w:r>
      <w:r w:rsidRPr="00D56ED8">
        <w:t>E</w:t>
      </w:r>
      <w:r w:rsidR="001F3E61" w:rsidRPr="00D56ED8">
        <w:t>-</w:t>
      </w:r>
      <w:r w:rsidRPr="00D56ED8">
        <w:t>22/058 du 1</w:t>
      </w:r>
      <w:r w:rsidR="000C5E98" w:rsidRPr="00D56ED8">
        <w:t>2 avril 20</w:t>
      </w:r>
      <w:r w:rsidRPr="00D56ED8">
        <w:t>22 en vue d</w:t>
      </w:r>
      <w:r w:rsidR="001F3E61" w:rsidRPr="00D56ED8">
        <w:t>’</w:t>
      </w:r>
      <w:r w:rsidRPr="00D56ED8">
        <w:t xml:space="preserve">une révision du document intitulé “Notes explicatives sur la protection provisoire selon la </w:t>
      </w:r>
      <w:r w:rsidR="001F3E61" w:rsidRPr="00D56ED8">
        <w:t>Convention UPOV</w:t>
      </w:r>
      <w:r w:rsidRPr="00D56ED8">
        <w:t xml:space="preserve">” </w:t>
      </w:r>
      <w:r w:rsidR="00CC6311">
        <w:br/>
      </w:r>
      <w:r w:rsidRPr="00D56ED8">
        <w:t>(document UPOV/EXN/PRP/2).</w:t>
      </w:r>
    </w:p>
    <w:p w:rsidR="00C37A53" w:rsidRPr="00D56ED8" w:rsidRDefault="00C37A53" w:rsidP="00C37A53">
      <w:pPr>
        <w:rPr>
          <w:highlight w:val="yellow"/>
        </w:rPr>
      </w:pPr>
    </w:p>
    <w:p w:rsidR="00C37A53" w:rsidRPr="00D56ED8" w:rsidRDefault="00C37A53" w:rsidP="00C37A53">
      <w:r w:rsidRPr="00D56ED8">
        <w:fldChar w:fldCharType="begin"/>
      </w:r>
      <w:r w:rsidRPr="00D56ED8">
        <w:instrText xml:space="preserve"> AUTONUM  </w:instrText>
      </w:r>
      <w:r w:rsidRPr="00D56ED8">
        <w:fldChar w:fldCharType="end"/>
      </w:r>
      <w:r w:rsidRPr="00D56ED8">
        <w:tab/>
        <w:t>En réponse à la circulaire UPOV</w:t>
      </w:r>
      <w:r w:rsidR="00F138DD">
        <w:t> </w:t>
      </w:r>
      <w:r w:rsidRPr="00D56ED8">
        <w:t>E</w:t>
      </w:r>
      <w:r w:rsidR="001F3E61" w:rsidRPr="00D56ED8">
        <w:t>-</w:t>
      </w:r>
      <w:r w:rsidRPr="00D56ED8">
        <w:t xml:space="preserve">22/058, des propositions ont été reçues du Japon et de </w:t>
      </w:r>
      <w:r w:rsidR="007D6036">
        <w:br/>
      </w:r>
      <w:r w:rsidRPr="00D56ED8">
        <w:t>l</w:t>
      </w:r>
      <w:r w:rsidR="001F3E61" w:rsidRPr="00D56ED8">
        <w:t>’</w:t>
      </w:r>
      <w:r w:rsidRPr="00D56ED8">
        <w:t>Association internationale des producteurs horticoles (AIPH).</w:t>
      </w:r>
    </w:p>
    <w:p w:rsidR="00C37A53" w:rsidRPr="00D56ED8" w:rsidRDefault="00C37A53" w:rsidP="00C37A53"/>
    <w:p w:rsidR="00C37A53" w:rsidRPr="00D56ED8" w:rsidRDefault="00C37A53" w:rsidP="00C37A53">
      <w:r w:rsidRPr="00D56ED8">
        <w:rPr>
          <w:spacing w:val="2"/>
        </w:rPr>
        <w:fldChar w:fldCharType="begin"/>
      </w:r>
      <w:r w:rsidRPr="00D56ED8">
        <w:rPr>
          <w:spacing w:val="2"/>
        </w:rPr>
        <w:instrText xml:space="preserve"> AUTONUM  </w:instrText>
      </w:r>
      <w:r w:rsidRPr="00D56ED8">
        <w:rPr>
          <w:spacing w:val="2"/>
        </w:rPr>
        <w:fldChar w:fldCharType="end"/>
      </w:r>
      <w:r w:rsidRPr="00D56ED8">
        <w:rPr>
          <w:spacing w:val="2"/>
        </w:rPr>
        <w:tab/>
        <w:t>Dans l</w:t>
      </w:r>
      <w:r w:rsidR="001F3E61" w:rsidRPr="00D56ED8">
        <w:rPr>
          <w:spacing w:val="2"/>
        </w:rPr>
        <w:t>’</w:t>
      </w:r>
      <w:r w:rsidRPr="00D56ED8">
        <w:rPr>
          <w:spacing w:val="2"/>
        </w:rPr>
        <w:t xml:space="preserve">annexe du présent document, les propositions reçues en réponse aux </w:t>
      </w:r>
      <w:bookmarkStart w:id="0" w:name="_GoBack"/>
      <w:bookmarkEnd w:id="0"/>
      <w:r w:rsidRPr="00D56ED8">
        <w:rPr>
          <w:spacing w:val="2"/>
        </w:rPr>
        <w:t>circulaires</w:t>
      </w:r>
      <w:r w:rsidR="00F138DD">
        <w:rPr>
          <w:spacing w:val="2"/>
        </w:rPr>
        <w:t> </w:t>
      </w:r>
      <w:r w:rsidRPr="00D56ED8">
        <w:rPr>
          <w:spacing w:val="2"/>
        </w:rPr>
        <w:t>E</w:t>
      </w:r>
      <w:r w:rsidR="001F3E61" w:rsidRPr="00D56ED8">
        <w:rPr>
          <w:spacing w:val="2"/>
        </w:rPr>
        <w:t>-</w:t>
      </w:r>
      <w:r w:rsidR="006844EC">
        <w:rPr>
          <w:spacing w:val="2"/>
        </w:rPr>
        <w:t>21/228 et </w:t>
      </w:r>
      <w:r w:rsidRPr="00D56ED8">
        <w:rPr>
          <w:spacing w:val="2"/>
        </w:rPr>
        <w:t>E</w:t>
      </w:r>
      <w:r w:rsidR="001F3E61" w:rsidRPr="00D56ED8">
        <w:rPr>
          <w:spacing w:val="2"/>
        </w:rPr>
        <w:t>-</w:t>
      </w:r>
      <w:r w:rsidRPr="00D56ED8">
        <w:rPr>
          <w:spacing w:val="2"/>
        </w:rPr>
        <w:t>22/058 ont été insérées dans des encadrés dans le corps du document UPOV/EXN/PRP/2.</w:t>
      </w:r>
    </w:p>
    <w:p w:rsidR="00C37A53" w:rsidRPr="00D56ED8" w:rsidRDefault="00C37A53" w:rsidP="00C37A53"/>
    <w:p w:rsidR="00C37A53" w:rsidRPr="00D56ED8" w:rsidRDefault="00C37A53" w:rsidP="006844EC"/>
    <w:p w:rsidR="00C37A53" w:rsidRPr="00D56ED8" w:rsidRDefault="00C37A53" w:rsidP="00C37A53">
      <w:pPr>
        <w:jc w:val="right"/>
      </w:pPr>
      <w:r w:rsidRPr="00D56ED8">
        <w:t>[L</w:t>
      </w:r>
      <w:r w:rsidR="001F3E61" w:rsidRPr="00D56ED8">
        <w:t>’</w:t>
      </w:r>
      <w:r w:rsidRPr="00D56ED8">
        <w:t>annexe suit]</w:t>
      </w:r>
    </w:p>
    <w:p w:rsidR="006844EC" w:rsidRDefault="006844EC" w:rsidP="00C37A53">
      <w:pPr>
        <w:pStyle w:val="Header"/>
        <w:rPr>
          <w:rFonts w:cs="Arial"/>
        </w:rPr>
        <w:sectPr w:rsidR="006844EC" w:rsidSect="00BB06CA">
          <w:headerReference w:type="default" r:id="rId8"/>
          <w:pgSz w:w="11907" w:h="16840" w:code="9"/>
          <w:pgMar w:top="510" w:right="1134" w:bottom="1134" w:left="1134" w:header="510" w:footer="680" w:gutter="0"/>
          <w:cols w:space="720"/>
          <w:titlePg/>
          <w:docGrid w:linePitch="272"/>
        </w:sectPr>
      </w:pPr>
    </w:p>
    <w:p w:rsidR="00C37A53" w:rsidRPr="00D56ED8" w:rsidRDefault="00C37A53" w:rsidP="00C37A53">
      <w:pPr>
        <w:jc w:val="center"/>
      </w:pPr>
    </w:p>
    <w:p w:rsidR="00CC6311" w:rsidRDefault="00CC6311" w:rsidP="00C37A53">
      <w:pPr>
        <w:jc w:val="center"/>
        <w:rPr>
          <w:rFonts w:cs="Arial"/>
        </w:rPr>
        <w:sectPr w:rsidR="00CC6311" w:rsidSect="00FA59D5">
          <w:headerReference w:type="default" r:id="rId9"/>
          <w:headerReference w:type="first" r:id="rId10"/>
          <w:endnotePr>
            <w:numFmt w:val="lowerLetter"/>
          </w:endnotePr>
          <w:type w:val="continuous"/>
          <w:pgSz w:w="11907" w:h="16840" w:code="9"/>
          <w:pgMar w:top="510" w:right="1134" w:bottom="1134" w:left="1134" w:header="510" w:footer="680" w:gutter="0"/>
          <w:pgNumType w:start="1"/>
          <w:cols w:space="720"/>
          <w:titlePg/>
          <w:docGrid w:linePitch="272"/>
        </w:sectPr>
      </w:pPr>
    </w:p>
    <w:p w:rsidR="00C37A53" w:rsidRPr="00D56ED8" w:rsidRDefault="00C37A53" w:rsidP="00C37A53">
      <w:pPr>
        <w:jc w:val="center"/>
        <w:rPr>
          <w:rFonts w:cs="Arial"/>
        </w:rPr>
      </w:pPr>
      <w:r w:rsidRPr="00D56ED8">
        <w:rPr>
          <w:rFonts w:cs="Arial"/>
        </w:rPr>
        <w:lastRenderedPageBreak/>
        <w:t xml:space="preserve">PROPOSITIONS CONCERNANT LES NOTES EXPLICATIVES SUR </w:t>
      </w:r>
      <w:r w:rsidR="006844EC">
        <w:rPr>
          <w:rFonts w:cs="Arial"/>
        </w:rPr>
        <w:br/>
      </w:r>
      <w:r w:rsidRPr="00D56ED8">
        <w:rPr>
          <w:rFonts w:cs="Arial"/>
        </w:rPr>
        <w:t xml:space="preserve">LA PROTECTION PROVISOIRE SELON LA </w:t>
      </w:r>
      <w:r w:rsidR="001F3E61" w:rsidRPr="00D56ED8">
        <w:rPr>
          <w:rFonts w:cs="Arial"/>
        </w:rPr>
        <w:t>CONVENTION UPOV</w:t>
      </w:r>
    </w:p>
    <w:p w:rsidR="00C37A53" w:rsidRPr="00D56ED8" w:rsidRDefault="00C37A53" w:rsidP="00C37A53">
      <w:pPr>
        <w:jc w:val="center"/>
        <w:rPr>
          <w:rFonts w:cs="Arial"/>
        </w:rPr>
      </w:pPr>
    </w:p>
    <w:p w:rsidR="00C37A53" w:rsidRPr="00D56ED8" w:rsidRDefault="00C37A53" w:rsidP="00C37A53">
      <w:pPr>
        <w:jc w:val="center"/>
        <w:rPr>
          <w:rFonts w:cs="Arial"/>
        </w:rPr>
      </w:pPr>
    </w:p>
    <w:p w:rsidR="00C37A53" w:rsidRPr="006844EC" w:rsidRDefault="00C37A53" w:rsidP="006844EC">
      <w:pPr>
        <w:jc w:val="center"/>
        <w:rPr>
          <w:rFonts w:cs="Arial"/>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3A07D1" w:rsidRPr="00D56ED8" w:rsidTr="00C906F8">
        <w:trPr>
          <w:cantSplit/>
          <w:trHeight w:val="1690"/>
          <w:jc w:val="center"/>
        </w:trPr>
        <w:tc>
          <w:tcPr>
            <w:tcW w:w="8313" w:type="dxa"/>
            <w:shd w:val="clear" w:color="auto" w:fill="F2F2F2" w:themeFill="background1" w:themeFillShade="F2"/>
          </w:tcPr>
          <w:p w:rsidR="00C37A53" w:rsidRPr="00D56ED8" w:rsidRDefault="00C37A53" w:rsidP="00C906F8">
            <w:pPr>
              <w:jc w:val="center"/>
              <w:rPr>
                <w:i/>
              </w:rPr>
            </w:pPr>
            <w:r w:rsidRPr="00D56ED8">
              <w:rPr>
                <w:i/>
              </w:rPr>
              <w:t>Avertissement</w:t>
            </w:r>
            <w:r w:rsidR="001F3E61" w:rsidRPr="00D56ED8">
              <w:rPr>
                <w:i/>
              </w:rPr>
              <w:t> :</w:t>
            </w:r>
            <w:r w:rsidRPr="00D56ED8">
              <w:rPr>
                <w:i/>
              </w:rPr>
              <w:t xml:space="preserve"> le présent document ne représente pas les principes ou les orientations de l</w:t>
            </w:r>
            <w:r w:rsidR="001F3E61" w:rsidRPr="00D56ED8">
              <w:rPr>
                <w:i/>
              </w:rPr>
              <w:t>’</w:t>
            </w:r>
            <w:r w:rsidRPr="00D56ED8">
              <w:rPr>
                <w:i/>
              </w:rPr>
              <w:t>UPOV</w:t>
            </w:r>
          </w:p>
          <w:p w:rsidR="00C37A53" w:rsidRPr="00D56ED8" w:rsidRDefault="00C37A53" w:rsidP="00C906F8">
            <w:pPr>
              <w:jc w:val="center"/>
            </w:pPr>
          </w:p>
          <w:p w:rsidR="00C37A53" w:rsidRPr="00D56ED8" w:rsidRDefault="00C37A53" w:rsidP="00C906F8">
            <w:pPr>
              <w:jc w:val="center"/>
              <w:rPr>
                <w:rFonts w:cs="Arial"/>
                <w:u w:val="single"/>
              </w:rPr>
            </w:pPr>
            <w:r w:rsidRPr="00D56ED8">
              <w:rPr>
                <w:rFonts w:cs="Arial"/>
                <w:u w:val="single"/>
              </w:rPr>
              <w:t>Note</w:t>
            </w:r>
          </w:p>
          <w:p w:rsidR="00C37A53" w:rsidRPr="00D56ED8" w:rsidRDefault="00C37A53" w:rsidP="00C906F8">
            <w:pPr>
              <w:rPr>
                <w:rFonts w:cs="Arial"/>
              </w:rPr>
            </w:pPr>
          </w:p>
          <w:p w:rsidR="00C37A53" w:rsidRPr="00D56ED8" w:rsidRDefault="00C37A53" w:rsidP="00C906F8">
            <w:pPr>
              <w:rPr>
                <w:rFonts w:cs="Arial"/>
              </w:rPr>
            </w:pPr>
            <w:r w:rsidRPr="00D56ED8">
              <w:rPr>
                <w:rFonts w:cs="Arial"/>
              </w:rPr>
              <w:t>Les propositions reçues en réponse à la circulaire</w:t>
            </w:r>
            <w:r w:rsidR="00F138DD">
              <w:rPr>
                <w:rFonts w:cs="Arial"/>
              </w:rPr>
              <w:t> </w:t>
            </w:r>
            <w:r w:rsidRPr="00D56ED8">
              <w:rPr>
                <w:rFonts w:cs="Arial"/>
              </w:rPr>
              <w:t>E</w:t>
            </w:r>
            <w:r w:rsidR="001F3E61" w:rsidRPr="00D56ED8">
              <w:rPr>
                <w:rFonts w:cs="Arial"/>
              </w:rPr>
              <w:t>-</w:t>
            </w:r>
            <w:r w:rsidRPr="00D56ED8">
              <w:rPr>
                <w:rFonts w:cs="Arial"/>
              </w:rPr>
              <w:t>21/228 du 1</w:t>
            </w:r>
            <w:r w:rsidR="000C5E98" w:rsidRPr="00D56ED8">
              <w:rPr>
                <w:rFonts w:cs="Arial"/>
              </w:rPr>
              <w:t>8 novembre 20</w:t>
            </w:r>
            <w:r w:rsidRPr="00D56ED8">
              <w:rPr>
                <w:rFonts w:cs="Arial"/>
              </w:rPr>
              <w:t>21 et à la circulaire UPOV</w:t>
            </w:r>
            <w:r w:rsidR="00F138DD">
              <w:rPr>
                <w:rFonts w:cs="Arial"/>
              </w:rPr>
              <w:t> </w:t>
            </w:r>
            <w:r w:rsidRPr="00D56ED8">
              <w:rPr>
                <w:rFonts w:cs="Arial"/>
              </w:rPr>
              <w:t>E</w:t>
            </w:r>
            <w:r w:rsidR="001F3E61" w:rsidRPr="00D56ED8">
              <w:rPr>
                <w:rFonts w:cs="Arial"/>
              </w:rPr>
              <w:t>-</w:t>
            </w:r>
            <w:r w:rsidRPr="00D56ED8">
              <w:rPr>
                <w:rFonts w:cs="Arial"/>
              </w:rPr>
              <w:t>22/058 du 1</w:t>
            </w:r>
            <w:r w:rsidR="000C5E98" w:rsidRPr="00D56ED8">
              <w:rPr>
                <w:rFonts w:cs="Arial"/>
              </w:rPr>
              <w:t>2 avril 20</w:t>
            </w:r>
            <w:r w:rsidRPr="00D56ED8">
              <w:rPr>
                <w:rFonts w:cs="Arial"/>
              </w:rPr>
              <w:t>22 concernant le document UPOV/EXN/PRP/2 sont présentées dans des encadrés.</w:t>
            </w:r>
          </w:p>
          <w:p w:rsidR="00C37A53" w:rsidRPr="00D56ED8" w:rsidRDefault="00C37A53" w:rsidP="00C906F8">
            <w:pPr>
              <w:rPr>
                <w:rFonts w:cs="Arial"/>
              </w:rPr>
            </w:pPr>
          </w:p>
          <w:p w:rsidR="000C5E98" w:rsidRPr="00D56ED8" w:rsidRDefault="00C37A53" w:rsidP="00C906F8">
            <w:pPr>
              <w:rPr>
                <w:rFonts w:cs="Arial"/>
              </w:rPr>
            </w:pPr>
            <w:r w:rsidRPr="00D56ED8">
              <w:rPr>
                <w:rFonts w:cs="Arial"/>
              </w:rPr>
              <w:t>Les notes de fin de document donnent des informations générales.</w:t>
            </w:r>
          </w:p>
          <w:p w:rsidR="00C37A53" w:rsidRPr="00D56ED8" w:rsidRDefault="00C37A53" w:rsidP="00C906F8">
            <w:pPr>
              <w:rPr>
                <w:rFonts w:cs="Arial"/>
                <w:sz w:val="18"/>
                <w:szCs w:val="18"/>
                <w:u w:val="dottedHeavy"/>
              </w:rPr>
            </w:pPr>
          </w:p>
        </w:tc>
      </w:tr>
    </w:tbl>
    <w:p w:rsidR="00C37A53" w:rsidRPr="00D56ED8" w:rsidRDefault="00C37A53" w:rsidP="00C37A53">
      <w:pPr>
        <w:jc w:val="left"/>
      </w:pPr>
    </w:p>
    <w:p w:rsidR="00C37A53" w:rsidRPr="00D56ED8" w:rsidRDefault="00C37A53" w:rsidP="00C37A53">
      <w:pPr>
        <w:jc w:val="center"/>
        <w:rPr>
          <w:rFonts w:cs="Arial"/>
        </w:rPr>
      </w:pPr>
    </w:p>
    <w:p w:rsidR="00C37A53" w:rsidRPr="00D56ED8" w:rsidRDefault="00C37A53" w:rsidP="00C37A53">
      <w:pPr>
        <w:jc w:val="center"/>
        <w:rPr>
          <w:rFonts w:cs="Arial"/>
        </w:rPr>
      </w:pPr>
    </w:p>
    <w:p w:rsidR="00C37A53" w:rsidRPr="00D56ED8" w:rsidRDefault="00C37A53" w:rsidP="00C37A53">
      <w:pPr>
        <w:jc w:val="center"/>
      </w:pPr>
    </w:p>
    <w:p w:rsidR="00C37A53" w:rsidRPr="00D56ED8" w:rsidRDefault="00C37A53" w:rsidP="00C37A53">
      <w:pPr>
        <w:jc w:val="center"/>
        <w:rPr>
          <w:u w:val="single"/>
        </w:rPr>
      </w:pPr>
      <w:r w:rsidRPr="00D56ED8">
        <w:rPr>
          <w:u w:val="single"/>
        </w:rPr>
        <w:t>TABLE DES MATIÈRES</w:t>
      </w:r>
    </w:p>
    <w:p w:rsidR="00C37A53" w:rsidRPr="00D56ED8" w:rsidRDefault="00C37A53" w:rsidP="00C37A53">
      <w:pPr>
        <w:jc w:val="center"/>
      </w:pPr>
    </w:p>
    <w:p w:rsidR="00C37A53" w:rsidRPr="00D56ED8" w:rsidRDefault="00C37A53" w:rsidP="00C37A53">
      <w:pPr>
        <w:rPr>
          <w:i/>
          <w:sz w:val="18"/>
          <w:szCs w:val="18"/>
        </w:rPr>
      </w:pPr>
    </w:p>
    <w:p w:rsidR="00C37A53" w:rsidRPr="00CC6311" w:rsidRDefault="00C37A53" w:rsidP="006844EC">
      <w:pPr>
        <w:pStyle w:val="TOC2"/>
        <w:rPr>
          <w:rFonts w:asciiTheme="minorHAnsi" w:eastAsiaTheme="minorEastAsia" w:hAnsiTheme="minorHAnsi" w:cstheme="minorBidi"/>
          <w:noProof/>
          <w:sz w:val="22"/>
          <w:szCs w:val="22"/>
          <w:lang w:val="fr-CH"/>
        </w:rPr>
      </w:pPr>
      <w:r w:rsidRPr="00D56ED8">
        <w:rPr>
          <w:bCs/>
        </w:rPr>
        <w:fldChar w:fldCharType="begin"/>
      </w:r>
      <w:r w:rsidRPr="00CC6311">
        <w:rPr>
          <w:lang w:val="fr-CH"/>
        </w:rPr>
        <w:instrText xml:space="preserve"> TOC \o "1-3" \u </w:instrText>
      </w:r>
      <w:r w:rsidRPr="00D56ED8">
        <w:rPr>
          <w:bCs/>
        </w:rPr>
        <w:fldChar w:fldCharType="separate"/>
      </w:r>
      <w:r w:rsidRPr="00CC6311">
        <w:rPr>
          <w:noProof/>
          <w:lang w:val="fr-CH"/>
        </w:rPr>
        <w:t>PRÉAMBULE</w:t>
      </w:r>
      <w:r w:rsidRPr="00CC6311">
        <w:rPr>
          <w:noProof/>
          <w:lang w:val="fr-CH"/>
        </w:rPr>
        <w:tab/>
      </w:r>
      <w:r w:rsidRPr="00D56ED8">
        <w:rPr>
          <w:noProof/>
        </w:rPr>
        <w:fldChar w:fldCharType="begin"/>
      </w:r>
      <w:r w:rsidRPr="00CC6311">
        <w:rPr>
          <w:noProof/>
          <w:lang w:val="fr-CH"/>
        </w:rPr>
        <w:instrText xml:space="preserve"> PAGEREF _Toc112147711 \h </w:instrText>
      </w:r>
      <w:r w:rsidRPr="00D56ED8">
        <w:rPr>
          <w:noProof/>
        </w:rPr>
      </w:r>
      <w:r w:rsidRPr="00D56ED8">
        <w:rPr>
          <w:noProof/>
        </w:rPr>
        <w:fldChar w:fldCharType="separate"/>
      </w:r>
      <w:r w:rsidR="00AC6C72" w:rsidRPr="00CC6311">
        <w:rPr>
          <w:noProof/>
          <w:lang w:val="fr-CH"/>
        </w:rPr>
        <w:t>2</w:t>
      </w:r>
      <w:r w:rsidRPr="00D56ED8">
        <w:rPr>
          <w:noProof/>
        </w:rPr>
        <w:fldChar w:fldCharType="end"/>
      </w:r>
    </w:p>
    <w:p w:rsidR="00C37A53" w:rsidRPr="00CC6311" w:rsidRDefault="00C37A53" w:rsidP="006844EC">
      <w:pPr>
        <w:pStyle w:val="TOC2"/>
        <w:rPr>
          <w:rFonts w:asciiTheme="minorHAnsi" w:eastAsiaTheme="minorEastAsia" w:hAnsiTheme="minorHAnsi" w:cstheme="minorBidi"/>
          <w:noProof/>
          <w:sz w:val="22"/>
          <w:szCs w:val="22"/>
          <w:lang w:val="fr-CH"/>
        </w:rPr>
      </w:pPr>
      <w:r w:rsidRPr="00CC6311">
        <w:rPr>
          <w:noProof/>
          <w:lang w:val="fr-CH"/>
        </w:rPr>
        <w:t>SECTION I</w:t>
      </w:r>
      <w:r w:rsidR="001F3E61" w:rsidRPr="00CC6311">
        <w:rPr>
          <w:noProof/>
          <w:lang w:val="fr-CH"/>
        </w:rPr>
        <w:t> :</w:t>
      </w:r>
      <w:r w:rsidRPr="00CC6311">
        <w:rPr>
          <w:noProof/>
          <w:lang w:val="fr-CH"/>
        </w:rPr>
        <w:t xml:space="preserve"> DISPOSITIONS RELATIVES À LA PROTECTION PROVISOIRE</w:t>
      </w:r>
      <w:r w:rsidRPr="00CC6311">
        <w:rPr>
          <w:noProof/>
          <w:lang w:val="fr-CH"/>
        </w:rPr>
        <w:tab/>
      </w:r>
      <w:r w:rsidRPr="00D56ED8">
        <w:rPr>
          <w:noProof/>
        </w:rPr>
        <w:fldChar w:fldCharType="begin"/>
      </w:r>
      <w:r w:rsidRPr="00CC6311">
        <w:rPr>
          <w:noProof/>
          <w:lang w:val="fr-CH"/>
        </w:rPr>
        <w:instrText xml:space="preserve"> PAGEREF _Toc112147712 \h </w:instrText>
      </w:r>
      <w:r w:rsidRPr="00D56ED8">
        <w:rPr>
          <w:noProof/>
        </w:rPr>
      </w:r>
      <w:r w:rsidRPr="00D56ED8">
        <w:rPr>
          <w:noProof/>
        </w:rPr>
        <w:fldChar w:fldCharType="separate"/>
      </w:r>
      <w:r w:rsidR="00AC6C72" w:rsidRPr="00CC6311">
        <w:rPr>
          <w:noProof/>
          <w:lang w:val="fr-CH"/>
        </w:rPr>
        <w:t>3</w:t>
      </w:r>
      <w:r w:rsidRPr="00D56ED8">
        <w:rPr>
          <w:noProof/>
        </w:rPr>
        <w:fldChar w:fldCharType="end"/>
      </w:r>
    </w:p>
    <w:p w:rsidR="00C37A53" w:rsidRPr="00CC6311" w:rsidRDefault="00C37A53" w:rsidP="006844EC">
      <w:pPr>
        <w:pStyle w:val="TOC2"/>
        <w:rPr>
          <w:rFonts w:asciiTheme="minorHAnsi" w:eastAsiaTheme="minorEastAsia" w:hAnsiTheme="minorHAnsi" w:cstheme="minorBidi"/>
          <w:noProof/>
          <w:sz w:val="22"/>
          <w:szCs w:val="22"/>
          <w:lang w:val="fr-CH"/>
        </w:rPr>
      </w:pPr>
      <w:r w:rsidRPr="00CC6311">
        <w:rPr>
          <w:noProof/>
          <w:lang w:val="fr-CH"/>
        </w:rPr>
        <w:t>SECTION II</w:t>
      </w:r>
      <w:r w:rsidR="001F3E61" w:rsidRPr="00CC6311">
        <w:rPr>
          <w:noProof/>
          <w:lang w:val="fr-CH"/>
        </w:rPr>
        <w:t> :</w:t>
      </w:r>
      <w:r w:rsidRPr="00CC6311">
        <w:rPr>
          <w:noProof/>
          <w:lang w:val="fr-CH"/>
        </w:rPr>
        <w:t xml:space="preserve"> ASPECTS PARTICULIERS DES DISPOSITIONS RELATIVES À LA PROTECTION PROVISOIRE</w:t>
      </w:r>
      <w:r w:rsidRPr="00CC6311">
        <w:rPr>
          <w:noProof/>
          <w:lang w:val="fr-CH"/>
        </w:rPr>
        <w:tab/>
      </w:r>
      <w:r w:rsidRPr="00D56ED8">
        <w:rPr>
          <w:noProof/>
        </w:rPr>
        <w:fldChar w:fldCharType="begin"/>
      </w:r>
      <w:r w:rsidRPr="00CC6311">
        <w:rPr>
          <w:noProof/>
          <w:lang w:val="fr-CH"/>
        </w:rPr>
        <w:instrText xml:space="preserve"> PAGEREF _Toc112147713 \h </w:instrText>
      </w:r>
      <w:r w:rsidRPr="00D56ED8">
        <w:rPr>
          <w:noProof/>
        </w:rPr>
      </w:r>
      <w:r w:rsidRPr="00D56ED8">
        <w:rPr>
          <w:noProof/>
        </w:rPr>
        <w:fldChar w:fldCharType="separate"/>
      </w:r>
      <w:r w:rsidR="00AC6C72" w:rsidRPr="00CC6311">
        <w:rPr>
          <w:noProof/>
          <w:lang w:val="fr-CH"/>
        </w:rPr>
        <w:t>4</w:t>
      </w:r>
      <w:r w:rsidRPr="00D56ED8">
        <w:rPr>
          <w:noProof/>
        </w:rPr>
        <w:fldChar w:fldCharType="end"/>
      </w:r>
    </w:p>
    <w:p w:rsidR="00C37A53" w:rsidRPr="00D56ED8" w:rsidRDefault="00C37A53" w:rsidP="00C37A53">
      <w:pPr>
        <w:jc w:val="center"/>
      </w:pPr>
      <w:r w:rsidRPr="00D56ED8">
        <w:rPr>
          <w:caps/>
          <w:sz w:val="18"/>
          <w:szCs w:val="18"/>
        </w:rPr>
        <w:fldChar w:fldCharType="end"/>
      </w:r>
      <w:r w:rsidRPr="00D56ED8">
        <w:br w:type="page"/>
      </w:r>
    </w:p>
    <w:p w:rsidR="00C37A53" w:rsidRPr="00D56ED8" w:rsidRDefault="00C37A53" w:rsidP="00C37A53">
      <w:pPr>
        <w:jc w:val="center"/>
      </w:pPr>
    </w:p>
    <w:p w:rsidR="00C37A53" w:rsidRPr="00D56ED8" w:rsidRDefault="00C37A53" w:rsidP="00C37A53">
      <w:pPr>
        <w:jc w:val="center"/>
      </w:pPr>
      <w:r w:rsidRPr="00D56ED8">
        <w:t xml:space="preserve">NOTES EXPLICATIVES SUR LA PROTECTION PROVISOIRE </w:t>
      </w:r>
      <w:r w:rsidR="00AC6C72">
        <w:br/>
      </w:r>
      <w:r w:rsidRPr="00D56ED8">
        <w:t xml:space="preserve">SELON LA </w:t>
      </w:r>
      <w:r w:rsidR="001F3E61" w:rsidRPr="00D56ED8">
        <w:t>CONVENTION UPOV</w:t>
      </w:r>
    </w:p>
    <w:p w:rsidR="00C37A53" w:rsidRPr="00D56ED8" w:rsidRDefault="00C37A53" w:rsidP="00C37A53"/>
    <w:p w:rsidR="00C37A53" w:rsidRPr="00D56ED8" w:rsidRDefault="00C37A53" w:rsidP="00D42F65">
      <w:pPr>
        <w:pStyle w:val="Heading2"/>
        <w:rPr>
          <w:lang w:val="fr-FR"/>
        </w:rPr>
      </w:pPr>
      <w:bookmarkStart w:id="1" w:name="_Toc112147711"/>
      <w:r w:rsidRPr="00D56ED8">
        <w:rPr>
          <w:lang w:val="fr-FR"/>
        </w:rPr>
        <w:t>PRÉAMBULE</w:t>
      </w:r>
      <w:bookmarkEnd w:id="1"/>
    </w:p>
    <w:p w:rsidR="00C37A53" w:rsidRPr="00D56ED8" w:rsidRDefault="00C37A53" w:rsidP="00C37A53">
      <w:pPr>
        <w:rPr>
          <w:b/>
        </w:rPr>
      </w:pPr>
    </w:p>
    <w:p w:rsidR="000C5E98" w:rsidRPr="00D56ED8" w:rsidRDefault="00C37A53" w:rsidP="00C37A53">
      <w:r w:rsidRPr="00D56ED8">
        <w:t>1.</w:t>
      </w:r>
      <w:r w:rsidRPr="00D56ED8">
        <w:tab/>
        <w:t>Les présentes notes explicatives visent à fournir des indications sur la protection provisoire selon la Convention internationale pour la protection des obtentions végétales (ci</w:t>
      </w:r>
      <w:r w:rsidR="001F3E61" w:rsidRPr="00D56ED8">
        <w:t>-</w:t>
      </w:r>
      <w:r w:rsidRPr="00D56ED8">
        <w:t>après dénommée “</w:t>
      </w:r>
      <w:r w:rsidR="001F3E61" w:rsidRPr="00D56ED8">
        <w:t>Convention UPOV</w:t>
      </w:r>
      <w:r w:rsidRPr="00D56ED8">
        <w:t>”).  Les seules obligations impératives pour les membres de l</w:t>
      </w:r>
      <w:r w:rsidR="001F3E61" w:rsidRPr="00D56ED8">
        <w:t>’</w:t>
      </w:r>
      <w:r w:rsidRPr="00D56ED8">
        <w:t xml:space="preserve">Union sont celles qui figurent dans le texte de la </w:t>
      </w:r>
      <w:r w:rsidR="001F3E61" w:rsidRPr="00D56ED8">
        <w:t>Convention UPOV</w:t>
      </w:r>
      <w:r w:rsidRPr="00D56ED8">
        <w:t xml:space="preserve"> proprement dite, et ces Notes explicatives ne doivent pas être interprétées d</w:t>
      </w:r>
      <w:r w:rsidR="001F3E61" w:rsidRPr="00D56ED8">
        <w:t>’</w:t>
      </w:r>
      <w:r w:rsidRPr="00D56ED8">
        <w:t>une manière qui ne serait pas conforme à l</w:t>
      </w:r>
      <w:r w:rsidR="001F3E61" w:rsidRPr="00D56ED8">
        <w:t>’</w:t>
      </w:r>
      <w:r w:rsidRPr="00D56ED8">
        <w:t>Acte pertinent pour le membre de l</w:t>
      </w:r>
      <w:r w:rsidR="001F3E61" w:rsidRPr="00D56ED8">
        <w:t>’</w:t>
      </w:r>
      <w:r w:rsidRPr="00D56ED8">
        <w:t>Union concerné.</w:t>
      </w:r>
    </w:p>
    <w:p w:rsidR="00C37A53" w:rsidRPr="00D56ED8" w:rsidRDefault="00C37A53" w:rsidP="00C37A53"/>
    <w:p w:rsidR="000C5E98" w:rsidRDefault="00C37A53" w:rsidP="00C37A53">
      <w:r w:rsidRPr="00D56ED8">
        <w:t>2.</w:t>
      </w:r>
      <w:r w:rsidRPr="00D56ED8">
        <w:tab/>
        <w:t>Les présentes notes explicatives fournissent des indications sur certains aspects des dispositions relatives à la protection provisoire figurant à l</w:t>
      </w:r>
      <w:r w:rsidR="001F3E61" w:rsidRPr="00D56ED8">
        <w:t>’</w:t>
      </w:r>
      <w:r w:rsidR="000C5E98" w:rsidRPr="00D56ED8">
        <w:t>article 1</w:t>
      </w:r>
      <w:r w:rsidRPr="00D56ED8">
        <w:t>3 de l</w:t>
      </w:r>
      <w:r w:rsidR="001F3E61" w:rsidRPr="00D56ED8">
        <w:t>’</w:t>
      </w:r>
      <w:r w:rsidRPr="00D56ED8">
        <w:t xml:space="preserve">Acte </w:t>
      </w:r>
      <w:r w:rsidR="000C5E98" w:rsidRPr="00D56ED8">
        <w:t>de 1991</w:t>
      </w:r>
      <w:r w:rsidRPr="00D56ED8">
        <w:t xml:space="preserve"> de la </w:t>
      </w:r>
      <w:r w:rsidR="001F3E61" w:rsidRPr="00D56ED8">
        <w:t>Convention UPOV</w:t>
      </w:r>
      <w:r w:rsidRPr="00D56ED8">
        <w:t xml:space="preserve"> et à l</w:t>
      </w:r>
      <w:r w:rsidR="001F3E61" w:rsidRPr="00D56ED8">
        <w:t>’</w:t>
      </w:r>
      <w:r w:rsidR="000C5E98" w:rsidRPr="00D56ED8">
        <w:t>article 7</w:t>
      </w:r>
      <w:r w:rsidR="00D42F65" w:rsidRPr="00D56ED8">
        <w:t>.</w:t>
      </w:r>
      <w:r w:rsidRPr="00D56ED8">
        <w:t>3) de l</w:t>
      </w:r>
      <w:r w:rsidR="001F3E61" w:rsidRPr="00D56ED8">
        <w:t>’</w:t>
      </w:r>
      <w:r w:rsidRPr="00D56ED8">
        <w:t xml:space="preserve">Acte </w:t>
      </w:r>
      <w:r w:rsidR="000C5E98" w:rsidRPr="00D56ED8">
        <w:t>de 1978</w:t>
      </w:r>
      <w:r w:rsidRPr="00D56ED8">
        <w:t xml:space="preserve"> de la </w:t>
      </w:r>
      <w:r w:rsidR="001F3E61" w:rsidRPr="00D56ED8">
        <w:t>Convention UPOV</w:t>
      </w:r>
      <w:r w:rsidRPr="00D56ED8">
        <w:t>.</w:t>
      </w:r>
    </w:p>
    <w:p w:rsidR="00FA59D5" w:rsidRPr="00D56ED8" w:rsidRDefault="00FA59D5"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D42F65" w:rsidP="00C906F8">
            <w:pPr>
              <w:rPr>
                <w:sz w:val="18"/>
                <w:szCs w:val="18"/>
              </w:rPr>
            </w:pPr>
            <w:r w:rsidRPr="00AC6C72">
              <w:rPr>
                <w:sz w:val="18"/>
                <w:szCs w:val="18"/>
                <w:u w:val="single"/>
              </w:rPr>
              <w:t>Propositions de l</w:t>
            </w:r>
            <w:r w:rsidR="001F3E61" w:rsidRPr="00AC6C72">
              <w:rPr>
                <w:sz w:val="18"/>
                <w:szCs w:val="18"/>
                <w:u w:val="single"/>
              </w:rPr>
              <w:t>’</w:t>
            </w:r>
            <w:r w:rsidRPr="00AC6C72">
              <w:rPr>
                <w:sz w:val="18"/>
                <w:szCs w:val="18"/>
                <w:u w:val="single"/>
              </w:rPr>
              <w:t>ISF, de</w:t>
            </w:r>
            <w:r w:rsidR="000C5E98" w:rsidRPr="00AC6C72">
              <w:rPr>
                <w:sz w:val="18"/>
                <w:szCs w:val="18"/>
                <w:u w:val="single"/>
              </w:rPr>
              <w:t xml:space="preserve"> la CIO</w:t>
            </w:r>
            <w:r w:rsidRPr="00AC6C72">
              <w:rPr>
                <w:sz w:val="18"/>
                <w:szCs w:val="18"/>
                <w:u w:val="single"/>
              </w:rPr>
              <w:t xml:space="preserve">PORA, de </w:t>
            </w:r>
            <w:proofErr w:type="spellStart"/>
            <w:r w:rsidRPr="00AC6C72">
              <w:rPr>
                <w:sz w:val="18"/>
                <w:szCs w:val="18"/>
                <w:u w:val="single"/>
              </w:rPr>
              <w:t>CropLife</w:t>
            </w:r>
            <w:proofErr w:type="spellEnd"/>
            <w:r w:rsidRPr="00AC6C72">
              <w:rPr>
                <w:sz w:val="18"/>
                <w:szCs w:val="18"/>
                <w:u w:val="single"/>
              </w:rPr>
              <w:t xml:space="preserve"> International, d</w:t>
            </w:r>
            <w:r w:rsidR="001F3E61" w:rsidRPr="00AC6C72">
              <w:rPr>
                <w:sz w:val="18"/>
                <w:szCs w:val="18"/>
                <w:u w:val="single"/>
              </w:rPr>
              <w:t>’</w:t>
            </w:r>
            <w:proofErr w:type="spellStart"/>
            <w:r w:rsidRPr="00AC6C72">
              <w:rPr>
                <w:sz w:val="18"/>
                <w:szCs w:val="18"/>
                <w:u w:val="single"/>
              </w:rPr>
              <w:t>Euroseeds</w:t>
            </w:r>
            <w:proofErr w:type="spellEnd"/>
            <w:r w:rsidRPr="00AC6C72">
              <w:rPr>
                <w:sz w:val="18"/>
                <w:szCs w:val="18"/>
                <w:u w:val="single"/>
              </w:rPr>
              <w:t>, de l</w:t>
            </w:r>
            <w:r w:rsidR="001F3E61" w:rsidRPr="00AC6C72">
              <w:rPr>
                <w:sz w:val="18"/>
                <w:szCs w:val="18"/>
                <w:u w:val="single"/>
              </w:rPr>
              <w:t>’</w:t>
            </w:r>
            <w:r w:rsidRPr="00AC6C72">
              <w:rPr>
                <w:sz w:val="18"/>
                <w:szCs w:val="18"/>
                <w:u w:val="single"/>
              </w:rPr>
              <w:t>APSA, de l</w:t>
            </w:r>
            <w:r w:rsidR="001F3E61" w:rsidRPr="00AC6C72">
              <w:rPr>
                <w:sz w:val="18"/>
                <w:szCs w:val="18"/>
                <w:u w:val="single"/>
              </w:rPr>
              <w:t>’</w:t>
            </w:r>
            <w:r w:rsidRPr="00AC6C72">
              <w:rPr>
                <w:sz w:val="18"/>
                <w:szCs w:val="18"/>
                <w:u w:val="single"/>
              </w:rPr>
              <w:t>AFSTA et de</w:t>
            </w:r>
            <w:r w:rsidR="000C5E98" w:rsidRPr="00AC6C72">
              <w:rPr>
                <w:sz w:val="18"/>
                <w:szCs w:val="18"/>
                <w:u w:val="single"/>
              </w:rPr>
              <w:t xml:space="preserve"> la SAA</w:t>
            </w:r>
            <w:r w:rsidR="00C37A53" w:rsidRPr="00D56ED8">
              <w:rPr>
                <w:rStyle w:val="EndnoteReference"/>
                <w:sz w:val="18"/>
                <w:szCs w:val="18"/>
              </w:rPr>
              <w:endnoteReference w:id="2"/>
            </w:r>
          </w:p>
          <w:p w:rsidR="00C37A53" w:rsidRPr="00D56ED8" w:rsidRDefault="00C37A53" w:rsidP="00C906F8">
            <w:pPr>
              <w:rPr>
                <w:sz w:val="16"/>
                <w:szCs w:val="16"/>
              </w:rPr>
            </w:pPr>
          </w:p>
          <w:p w:rsidR="00C37A53" w:rsidRPr="00D56ED8" w:rsidRDefault="00C37A53" w:rsidP="00C906F8">
            <w:pPr>
              <w:rPr>
                <w:sz w:val="18"/>
                <w:szCs w:val="18"/>
              </w:rPr>
            </w:pPr>
            <w:r w:rsidRPr="00D56ED8">
              <w:rPr>
                <w:sz w:val="18"/>
                <w:szCs w:val="18"/>
              </w:rPr>
              <w:t xml:space="preserve">Modifier le </w:t>
            </w:r>
            <w:r w:rsidR="000C5E98" w:rsidRPr="00D56ED8">
              <w:rPr>
                <w:sz w:val="18"/>
                <w:szCs w:val="18"/>
              </w:rPr>
              <w:t>paragraphe 2</w:t>
            </w:r>
            <w:r w:rsidRPr="00D56ED8">
              <w:rPr>
                <w:sz w:val="18"/>
                <w:szCs w:val="18"/>
              </w:rPr>
              <w:t xml:space="preserve"> comme suit</w:t>
            </w:r>
            <w:r w:rsidR="001F3E61" w:rsidRPr="00D56ED8">
              <w:rPr>
                <w:sz w:val="18"/>
                <w:szCs w:val="18"/>
              </w:rPr>
              <w:t> :</w:t>
            </w:r>
            <w:r w:rsidRPr="00D56ED8">
              <w:rPr>
                <w:sz w:val="18"/>
                <w:szCs w:val="18"/>
              </w:rPr>
              <w:t xml:space="preserve"> “Les présentes notes explicatives fournissent des indications sur certains aspects des dispositions relatives à la protection provisoire figurant à l</w:t>
            </w:r>
            <w:r w:rsidR="001F3E61" w:rsidRPr="00D56ED8">
              <w:rPr>
                <w:sz w:val="18"/>
                <w:szCs w:val="18"/>
              </w:rPr>
              <w:t>’</w:t>
            </w:r>
            <w:r w:rsidR="000C5E98" w:rsidRPr="00D56ED8">
              <w:rPr>
                <w:sz w:val="18"/>
                <w:szCs w:val="18"/>
              </w:rPr>
              <w:t>article 1</w:t>
            </w:r>
            <w:r w:rsidRPr="00D56ED8">
              <w:rPr>
                <w:sz w:val="18"/>
                <w:szCs w:val="18"/>
              </w:rPr>
              <w:t>3 de l</w:t>
            </w:r>
            <w:r w:rsidR="001F3E61" w:rsidRPr="00D56ED8">
              <w:rPr>
                <w:sz w:val="18"/>
                <w:szCs w:val="18"/>
              </w:rPr>
              <w:t>’</w:t>
            </w:r>
            <w:r w:rsidRPr="00D56ED8">
              <w:rPr>
                <w:sz w:val="18"/>
                <w:szCs w:val="18"/>
              </w:rPr>
              <w:t xml:space="preserve">Acte </w:t>
            </w:r>
            <w:r w:rsidR="000C5E98" w:rsidRPr="00D56ED8">
              <w:rPr>
                <w:sz w:val="18"/>
                <w:szCs w:val="18"/>
              </w:rPr>
              <w:t>de 1991</w:t>
            </w:r>
            <w:r w:rsidRPr="00D56ED8">
              <w:rPr>
                <w:sz w:val="18"/>
                <w:szCs w:val="18"/>
              </w:rPr>
              <w:t xml:space="preserve"> de la </w:t>
            </w:r>
            <w:r w:rsidR="001F3E61" w:rsidRPr="00D56ED8">
              <w:rPr>
                <w:sz w:val="18"/>
                <w:szCs w:val="18"/>
              </w:rPr>
              <w:t>Convention UPOV</w:t>
            </w:r>
            <w:r w:rsidRPr="00D56ED8">
              <w:rPr>
                <w:sz w:val="18"/>
                <w:szCs w:val="18"/>
              </w:rPr>
              <w:t xml:space="preserve"> et à l</w:t>
            </w:r>
            <w:r w:rsidR="001F3E61" w:rsidRPr="00D56ED8">
              <w:rPr>
                <w:sz w:val="18"/>
                <w:szCs w:val="18"/>
              </w:rPr>
              <w:t>’</w:t>
            </w:r>
            <w:r w:rsidR="000C5E98" w:rsidRPr="00D56ED8">
              <w:rPr>
                <w:sz w:val="18"/>
                <w:szCs w:val="18"/>
              </w:rPr>
              <w:t>article 7</w:t>
            </w:r>
            <w:r w:rsidR="00D42F65" w:rsidRPr="00D56ED8">
              <w:rPr>
                <w:sz w:val="18"/>
                <w:szCs w:val="18"/>
              </w:rPr>
              <w:t>.</w:t>
            </w:r>
            <w:r w:rsidRPr="00D56ED8">
              <w:rPr>
                <w:sz w:val="18"/>
                <w:szCs w:val="18"/>
              </w:rPr>
              <w:t>3) de l</w:t>
            </w:r>
            <w:r w:rsidR="001F3E61" w:rsidRPr="00D56ED8">
              <w:rPr>
                <w:sz w:val="18"/>
                <w:szCs w:val="18"/>
              </w:rPr>
              <w:t>’</w:t>
            </w:r>
            <w:r w:rsidRPr="00D56ED8">
              <w:rPr>
                <w:sz w:val="18"/>
                <w:szCs w:val="18"/>
              </w:rPr>
              <w:t xml:space="preserve">Acte </w:t>
            </w:r>
            <w:r w:rsidR="000C5E98" w:rsidRPr="00D56ED8">
              <w:rPr>
                <w:sz w:val="18"/>
                <w:szCs w:val="18"/>
              </w:rPr>
              <w:t>de 1978</w:t>
            </w:r>
            <w:r w:rsidRPr="00D56ED8">
              <w:rPr>
                <w:sz w:val="18"/>
                <w:szCs w:val="18"/>
              </w:rPr>
              <w:t xml:space="preserve"> de la </w:t>
            </w:r>
            <w:r w:rsidR="001F3E61" w:rsidRPr="00D56ED8">
              <w:rPr>
                <w:sz w:val="18"/>
                <w:szCs w:val="18"/>
              </w:rPr>
              <w:t>Convention UPOV</w:t>
            </w:r>
            <w:r w:rsidRPr="00D56ED8">
              <w:rPr>
                <w:sz w:val="18"/>
                <w:szCs w:val="18"/>
              </w:rPr>
              <w:t xml:space="preserve"> </w:t>
            </w:r>
            <w:r w:rsidRPr="00D56ED8">
              <w:rPr>
                <w:sz w:val="18"/>
                <w:szCs w:val="18"/>
                <w:highlight w:val="lightGray"/>
                <w:u w:val="single"/>
              </w:rPr>
              <w:t>afin d</w:t>
            </w:r>
            <w:r w:rsidR="001F3E61" w:rsidRPr="00D56ED8">
              <w:rPr>
                <w:sz w:val="18"/>
                <w:szCs w:val="18"/>
                <w:highlight w:val="lightGray"/>
                <w:u w:val="single"/>
              </w:rPr>
              <w:t>’</w:t>
            </w:r>
            <w:r w:rsidRPr="00D56ED8">
              <w:rPr>
                <w:sz w:val="18"/>
                <w:szCs w:val="18"/>
                <w:highlight w:val="lightGray"/>
                <w:u w:val="single"/>
              </w:rPr>
              <w:t>assurer une mise en œuvre uniforme dans les États membres du niveau minimal de protection prévu par la Convention</w:t>
            </w:r>
            <w:r w:rsidRPr="00D56ED8">
              <w:rPr>
                <w:sz w:val="18"/>
                <w:szCs w:val="18"/>
              </w:rPr>
              <w:t>.”</w:t>
            </w:r>
          </w:p>
          <w:p w:rsidR="00C37A53" w:rsidRPr="00D56ED8" w:rsidRDefault="00C37A53" w:rsidP="00C906F8">
            <w:pPr>
              <w:ind w:left="1148" w:hanging="630"/>
              <w:rPr>
                <w:sz w:val="8"/>
              </w:rPr>
            </w:pPr>
          </w:p>
        </w:tc>
      </w:tr>
    </w:tbl>
    <w:p w:rsidR="00C37A53" w:rsidRPr="00D56ED8" w:rsidRDefault="00C37A53" w:rsidP="00C37A53"/>
    <w:p w:rsidR="00C37A53" w:rsidRPr="00D56ED8" w:rsidRDefault="00C37A53" w:rsidP="00C37A53"/>
    <w:p w:rsidR="00C37A53" w:rsidRPr="00D56ED8" w:rsidRDefault="00C37A53" w:rsidP="00D42F65">
      <w:pPr>
        <w:pStyle w:val="Heading2"/>
        <w:rPr>
          <w:lang w:val="fr-FR"/>
        </w:rPr>
      </w:pPr>
      <w:r w:rsidRPr="00D56ED8">
        <w:rPr>
          <w:lang w:val="fr-FR"/>
        </w:rPr>
        <w:br w:type="page"/>
      </w:r>
    </w:p>
    <w:p w:rsidR="00C37A53" w:rsidRPr="00D56ED8" w:rsidRDefault="00C37A53" w:rsidP="00D42F65">
      <w:pPr>
        <w:pStyle w:val="Heading2"/>
        <w:rPr>
          <w:lang w:val="fr-FR"/>
        </w:rPr>
      </w:pPr>
    </w:p>
    <w:p w:rsidR="00C37A53" w:rsidRPr="00D56ED8" w:rsidRDefault="00C37A53" w:rsidP="00D42F65">
      <w:pPr>
        <w:pStyle w:val="Heading2"/>
        <w:rPr>
          <w:lang w:val="fr-FR"/>
        </w:rPr>
      </w:pPr>
      <w:bookmarkStart w:id="2" w:name="_Toc112147712"/>
      <w:r w:rsidRPr="00D56ED8">
        <w:rPr>
          <w:lang w:val="fr-FR"/>
        </w:rPr>
        <w:t>SECTION I</w:t>
      </w:r>
      <w:r w:rsidR="001F3E61" w:rsidRPr="00D56ED8">
        <w:rPr>
          <w:lang w:val="fr-FR"/>
        </w:rPr>
        <w:t> :</w:t>
      </w:r>
      <w:r w:rsidRPr="00D56ED8">
        <w:rPr>
          <w:lang w:val="fr-FR"/>
        </w:rPr>
        <w:t xml:space="preserve"> DISPOSITIONS RELATIVES À LA PROTECTION PROVISOIRE</w:t>
      </w:r>
      <w:bookmarkEnd w:id="2"/>
    </w:p>
    <w:p w:rsidR="00C37A53" w:rsidRPr="00D56ED8" w:rsidRDefault="00C37A53" w:rsidP="00C37A53"/>
    <w:p w:rsidR="00C37A53" w:rsidRPr="00D56ED8" w:rsidRDefault="00C37A53" w:rsidP="00C37A53">
      <w:r w:rsidRPr="00D56ED8">
        <w:t>3.</w:t>
      </w:r>
      <w:r w:rsidRPr="00D56ED8">
        <w:tab/>
        <w:t>Les dispositions relatives à la protection provisoire figurant à l</w:t>
      </w:r>
      <w:r w:rsidR="001F3E61" w:rsidRPr="00D56ED8">
        <w:t>’</w:t>
      </w:r>
      <w:r w:rsidR="000C5E98" w:rsidRPr="00D56ED8">
        <w:t>article 1</w:t>
      </w:r>
      <w:r w:rsidRPr="00D56ED8">
        <w:t>3 de l</w:t>
      </w:r>
      <w:r w:rsidR="001F3E61" w:rsidRPr="00D56ED8">
        <w:t>’</w:t>
      </w:r>
      <w:r w:rsidRPr="00D56ED8">
        <w:t xml:space="preserve">Acte </w:t>
      </w:r>
      <w:r w:rsidR="000C5E98" w:rsidRPr="00D56ED8">
        <w:t>de 1991</w:t>
      </w:r>
      <w:r w:rsidRPr="00D56ED8">
        <w:t xml:space="preserve"> de la </w:t>
      </w:r>
      <w:r w:rsidR="001F3E61" w:rsidRPr="00D56ED8">
        <w:t>Convention UPOV</w:t>
      </w:r>
      <w:r w:rsidRPr="00D56ED8">
        <w:t xml:space="preserve"> et à l</w:t>
      </w:r>
      <w:r w:rsidR="001F3E61" w:rsidRPr="00D56ED8">
        <w:t>’</w:t>
      </w:r>
      <w:r w:rsidR="000C5E98" w:rsidRPr="00D56ED8">
        <w:t>article 7</w:t>
      </w:r>
      <w:r w:rsidRPr="00D56ED8">
        <w:t>.3) de l</w:t>
      </w:r>
      <w:r w:rsidR="001F3E61" w:rsidRPr="00D56ED8">
        <w:t>’</w:t>
      </w:r>
      <w:r w:rsidRPr="00D56ED8">
        <w:t xml:space="preserve">Acte </w:t>
      </w:r>
      <w:r w:rsidR="000C5E98" w:rsidRPr="00D56ED8">
        <w:t>de 1978</w:t>
      </w:r>
      <w:r w:rsidRPr="00D56ED8">
        <w:t xml:space="preserve"> de la </w:t>
      </w:r>
      <w:r w:rsidR="001F3E61" w:rsidRPr="00D56ED8">
        <w:t>Convention UPOV</w:t>
      </w:r>
      <w:r w:rsidRPr="00D56ED8">
        <w:t xml:space="preserve"> sont reproduites ci</w:t>
      </w:r>
      <w:r w:rsidR="001F3E61" w:rsidRPr="00D56ED8">
        <w:t>-</w:t>
      </w:r>
      <w:r w:rsidRPr="00D56ED8">
        <w:t>après.</w:t>
      </w:r>
    </w:p>
    <w:p w:rsidR="00C37A53" w:rsidRPr="00D56ED8" w:rsidRDefault="00C37A53" w:rsidP="00C37A53"/>
    <w:p w:rsidR="00C37A53" w:rsidRPr="00D56ED8" w:rsidRDefault="00C37A53" w:rsidP="00C37A53"/>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sidRPr="00D56ED8">
        <w:rPr>
          <w:b/>
          <w:sz w:val="18"/>
          <w:szCs w:val="18"/>
        </w:rPr>
        <w:t xml:space="preserve">Acte de 1991 </w:t>
      </w:r>
      <w:r w:rsidRPr="00D56ED8">
        <w:rPr>
          <w:sz w:val="18"/>
          <w:szCs w:val="18"/>
        </w:rPr>
        <w:t xml:space="preserve">de la </w:t>
      </w:r>
      <w:r w:rsidR="001F3E61" w:rsidRPr="00D56ED8">
        <w:rPr>
          <w:sz w:val="18"/>
          <w:szCs w:val="18"/>
        </w:rPr>
        <w:t>Convention UPOV</w:t>
      </w:r>
    </w:p>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C37A53" w:rsidRPr="00D56ED8" w:rsidRDefault="000C5E98"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sidRPr="00D56ED8">
        <w:rPr>
          <w:b/>
          <w:sz w:val="18"/>
          <w:szCs w:val="18"/>
        </w:rPr>
        <w:t>Article 1</w:t>
      </w:r>
      <w:r w:rsidR="00C37A53" w:rsidRPr="00D56ED8">
        <w:rPr>
          <w:b/>
          <w:sz w:val="18"/>
          <w:szCs w:val="18"/>
        </w:rPr>
        <w:t>3</w:t>
      </w:r>
    </w:p>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r w:rsidRPr="00D56ED8">
        <w:rPr>
          <w:b/>
          <w:sz w:val="18"/>
          <w:szCs w:val="18"/>
        </w:rPr>
        <w:t>Protection provisoire</w:t>
      </w:r>
    </w:p>
    <w:p w:rsidR="00C37A53" w:rsidRPr="00D56ED8" w:rsidRDefault="00C37A53" w:rsidP="00C37A5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C37A53" w:rsidRPr="00D56ED8" w:rsidRDefault="00C37A53" w:rsidP="00C37A53">
      <w:pPr>
        <w:pBdr>
          <w:top w:val="single" w:sz="4" w:space="1" w:color="auto"/>
          <w:left w:val="single" w:sz="4" w:space="4" w:color="auto"/>
          <w:bottom w:val="single" w:sz="4" w:space="1" w:color="auto"/>
          <w:right w:val="single" w:sz="4" w:space="4" w:color="auto"/>
        </w:pBdr>
        <w:ind w:left="567" w:right="571"/>
        <w:rPr>
          <w:sz w:val="18"/>
          <w:szCs w:val="18"/>
        </w:rPr>
      </w:pPr>
      <w:r w:rsidRPr="00D56ED8">
        <w:rPr>
          <w:sz w:val="18"/>
          <w:szCs w:val="18"/>
        </w:rPr>
        <w:t>Chaque Partie contractante prend des mesures destinées à sauvegarder les intérêts de l</w:t>
      </w:r>
      <w:r w:rsidR="001F3E61" w:rsidRPr="00D56ED8">
        <w:rPr>
          <w:sz w:val="18"/>
          <w:szCs w:val="18"/>
        </w:rPr>
        <w:t>’</w:t>
      </w:r>
      <w:r w:rsidRPr="00D56ED8">
        <w:rPr>
          <w:sz w:val="18"/>
          <w:szCs w:val="18"/>
        </w:rPr>
        <w:t>obtenteur pendant la période comprise entre le dépôt de la demande d</w:t>
      </w:r>
      <w:r w:rsidR="001F3E61" w:rsidRPr="00D56ED8">
        <w:rPr>
          <w:sz w:val="18"/>
          <w:szCs w:val="18"/>
        </w:rPr>
        <w:t>’</w:t>
      </w:r>
      <w:r w:rsidRPr="00D56ED8">
        <w:rPr>
          <w:sz w:val="18"/>
          <w:szCs w:val="18"/>
        </w:rPr>
        <w:t>octroi d</w:t>
      </w:r>
      <w:r w:rsidR="001F3E61" w:rsidRPr="00D56ED8">
        <w:rPr>
          <w:sz w:val="18"/>
          <w:szCs w:val="18"/>
        </w:rPr>
        <w:t>’</w:t>
      </w:r>
      <w:r w:rsidRPr="00D56ED8">
        <w:rPr>
          <w:sz w:val="18"/>
          <w:szCs w:val="18"/>
        </w:rPr>
        <w:t>un droit d</w:t>
      </w:r>
      <w:r w:rsidR="001F3E61" w:rsidRPr="00D56ED8">
        <w:rPr>
          <w:sz w:val="18"/>
          <w:szCs w:val="18"/>
        </w:rPr>
        <w:t>’</w:t>
      </w:r>
      <w:r w:rsidRPr="00D56ED8">
        <w:rPr>
          <w:sz w:val="18"/>
          <w:szCs w:val="18"/>
        </w:rPr>
        <w:t>obtenteur ou sa publication et l</w:t>
      </w:r>
      <w:r w:rsidR="001F3E61" w:rsidRPr="00D56ED8">
        <w:rPr>
          <w:sz w:val="18"/>
          <w:szCs w:val="18"/>
        </w:rPr>
        <w:t>’</w:t>
      </w:r>
      <w:r w:rsidRPr="00D56ED8">
        <w:rPr>
          <w:sz w:val="18"/>
          <w:szCs w:val="18"/>
        </w:rPr>
        <w:t>octroi du dro</w:t>
      </w:r>
      <w:r w:rsidR="00D56ED8" w:rsidRPr="00D56ED8">
        <w:rPr>
          <w:sz w:val="18"/>
          <w:szCs w:val="18"/>
        </w:rPr>
        <w:t>it.  Au</w:t>
      </w:r>
      <w:r w:rsidRPr="00D56ED8">
        <w:rPr>
          <w:sz w:val="18"/>
          <w:szCs w:val="18"/>
        </w:rPr>
        <w:t xml:space="preserve"> minimum, ces mesures auront pour effet que le titulaire d</w:t>
      </w:r>
      <w:r w:rsidR="001F3E61" w:rsidRPr="00D56ED8">
        <w:rPr>
          <w:sz w:val="18"/>
          <w:szCs w:val="18"/>
        </w:rPr>
        <w:t>’</w:t>
      </w:r>
      <w:r w:rsidRPr="00D56ED8">
        <w:rPr>
          <w:sz w:val="18"/>
          <w:szCs w:val="18"/>
        </w:rPr>
        <w:t>un droit d</w:t>
      </w:r>
      <w:r w:rsidR="001F3E61" w:rsidRPr="00D56ED8">
        <w:rPr>
          <w:sz w:val="18"/>
          <w:szCs w:val="18"/>
        </w:rPr>
        <w:t>’</w:t>
      </w:r>
      <w:r w:rsidRPr="00D56ED8">
        <w:rPr>
          <w:sz w:val="18"/>
          <w:szCs w:val="18"/>
        </w:rPr>
        <w:t>obtenteur aura droit à une rémunération équitable perçue auprès de celui qui, dans l</w:t>
      </w:r>
      <w:r w:rsidR="001F3E61" w:rsidRPr="00D56ED8">
        <w:rPr>
          <w:sz w:val="18"/>
          <w:szCs w:val="18"/>
        </w:rPr>
        <w:t>’</w:t>
      </w:r>
      <w:r w:rsidRPr="00D56ED8">
        <w:rPr>
          <w:sz w:val="18"/>
          <w:szCs w:val="18"/>
        </w:rPr>
        <w:t>intervalle précité, a accompli des actes qui, après l</w:t>
      </w:r>
      <w:r w:rsidR="001F3E61" w:rsidRPr="00D56ED8">
        <w:rPr>
          <w:sz w:val="18"/>
          <w:szCs w:val="18"/>
        </w:rPr>
        <w:t>’</w:t>
      </w:r>
      <w:r w:rsidRPr="00D56ED8">
        <w:rPr>
          <w:sz w:val="18"/>
          <w:szCs w:val="18"/>
        </w:rPr>
        <w:t>octroi du droit, requièrent l</w:t>
      </w:r>
      <w:r w:rsidR="001F3E61" w:rsidRPr="00D56ED8">
        <w:rPr>
          <w:sz w:val="18"/>
          <w:szCs w:val="18"/>
        </w:rPr>
        <w:t>’</w:t>
      </w:r>
      <w:r w:rsidRPr="00D56ED8">
        <w:rPr>
          <w:sz w:val="18"/>
          <w:szCs w:val="18"/>
        </w:rPr>
        <w:t>autorisation de l</w:t>
      </w:r>
      <w:r w:rsidR="001F3E61" w:rsidRPr="00D56ED8">
        <w:rPr>
          <w:sz w:val="18"/>
          <w:szCs w:val="18"/>
        </w:rPr>
        <w:t>’</w:t>
      </w:r>
      <w:r w:rsidRPr="00D56ED8">
        <w:rPr>
          <w:sz w:val="18"/>
          <w:szCs w:val="18"/>
        </w:rPr>
        <w:t>obtenteur conformément aux dispositions de l</w:t>
      </w:r>
      <w:r w:rsidR="001F3E61" w:rsidRPr="00D56ED8">
        <w:rPr>
          <w:sz w:val="18"/>
          <w:szCs w:val="18"/>
        </w:rPr>
        <w:t>’</w:t>
      </w:r>
      <w:r w:rsidRPr="00D56ED8">
        <w:rPr>
          <w:sz w:val="18"/>
          <w:szCs w:val="18"/>
        </w:rPr>
        <w:t xml:space="preserve">article 14. </w:t>
      </w:r>
      <w:r w:rsidR="00274CC7" w:rsidRPr="00D56ED8">
        <w:rPr>
          <w:sz w:val="18"/>
          <w:szCs w:val="18"/>
        </w:rPr>
        <w:t xml:space="preserve"> </w:t>
      </w:r>
      <w:r w:rsidRPr="00D56ED8">
        <w:rPr>
          <w:sz w:val="18"/>
          <w:szCs w:val="18"/>
        </w:rPr>
        <w:t>Une Partie contractante peut prévoir que lesdites mesures ne prendront effet qu</w:t>
      </w:r>
      <w:r w:rsidR="001F3E61" w:rsidRPr="00D56ED8">
        <w:rPr>
          <w:sz w:val="18"/>
          <w:szCs w:val="18"/>
        </w:rPr>
        <w:t>’à l’égard</w:t>
      </w:r>
      <w:r w:rsidRPr="00D56ED8">
        <w:rPr>
          <w:sz w:val="18"/>
          <w:szCs w:val="18"/>
        </w:rPr>
        <w:t xml:space="preserve"> des personnes auxquelles l</w:t>
      </w:r>
      <w:r w:rsidR="001F3E61" w:rsidRPr="00D56ED8">
        <w:rPr>
          <w:sz w:val="18"/>
          <w:szCs w:val="18"/>
        </w:rPr>
        <w:t>’</w:t>
      </w:r>
      <w:r w:rsidRPr="00D56ED8">
        <w:rPr>
          <w:sz w:val="18"/>
          <w:szCs w:val="18"/>
        </w:rPr>
        <w:t>obtenteur aura notifié le dépôt de la demande.</w:t>
      </w:r>
    </w:p>
    <w:p w:rsidR="00C37A53" w:rsidRPr="00D56ED8" w:rsidRDefault="00C37A53" w:rsidP="00C37A53">
      <w:pPr>
        <w:pBdr>
          <w:top w:val="single" w:sz="4" w:space="1" w:color="auto"/>
          <w:left w:val="single" w:sz="4" w:space="4" w:color="auto"/>
          <w:bottom w:val="single" w:sz="4" w:space="1" w:color="auto"/>
          <w:right w:val="single" w:sz="4" w:space="4" w:color="auto"/>
        </w:pBdr>
        <w:ind w:left="567" w:right="571"/>
        <w:rPr>
          <w:sz w:val="18"/>
          <w:szCs w:val="18"/>
        </w:rPr>
      </w:pPr>
    </w:p>
    <w:p w:rsidR="00C37A53" w:rsidRPr="00D56ED8" w:rsidRDefault="00C37A53" w:rsidP="00C37A53">
      <w:pPr>
        <w:rPr>
          <w:rFonts w:cs="Arial"/>
          <w:sz w:val="18"/>
          <w:szCs w:val="18"/>
        </w:rPr>
      </w:pPr>
    </w:p>
    <w:p w:rsidR="00C37A53" w:rsidRPr="00D56ED8" w:rsidRDefault="00C37A53" w:rsidP="00C37A53">
      <w:pPr>
        <w:rPr>
          <w:rFonts w:cs="Arial"/>
          <w:sz w:val="18"/>
          <w:szCs w:val="18"/>
        </w:rPr>
      </w:pPr>
    </w:p>
    <w:p w:rsidR="00C37A53" w:rsidRPr="00D56ED8" w:rsidRDefault="00C37A53" w:rsidP="00C37A53">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fr-FR"/>
        </w:rPr>
      </w:pPr>
    </w:p>
    <w:p w:rsidR="000C5E98" w:rsidRPr="00D56ED8" w:rsidRDefault="00C37A53" w:rsidP="00C37A53">
      <w:pPr>
        <w:pStyle w:val="a"/>
        <w:pBdr>
          <w:top w:val="single" w:sz="4" w:space="1" w:color="auto"/>
          <w:left w:val="single" w:sz="4" w:space="4" w:color="auto"/>
          <w:bottom w:val="single" w:sz="4" w:space="1" w:color="auto"/>
          <w:right w:val="single" w:sz="4" w:space="4" w:color="auto"/>
        </w:pBdr>
        <w:ind w:left="567" w:right="566"/>
        <w:rPr>
          <w:rFonts w:ascii="Arial" w:hAnsi="Arial" w:cs="Arial"/>
          <w:b w:val="0"/>
          <w:bCs/>
          <w:sz w:val="18"/>
          <w:szCs w:val="18"/>
          <w:lang w:val="fr-FR"/>
        </w:rPr>
      </w:pPr>
      <w:r w:rsidRPr="00D56ED8">
        <w:rPr>
          <w:rFonts w:ascii="Arial" w:hAnsi="Arial" w:cs="Arial"/>
          <w:bCs/>
          <w:sz w:val="18"/>
          <w:szCs w:val="18"/>
          <w:lang w:val="fr-FR"/>
        </w:rPr>
        <w:t>Acte de 1978</w:t>
      </w:r>
      <w:r w:rsidRPr="00D56ED8">
        <w:rPr>
          <w:rFonts w:ascii="Arial" w:hAnsi="Arial" w:cs="Arial"/>
          <w:b w:val="0"/>
          <w:bCs/>
          <w:sz w:val="18"/>
          <w:szCs w:val="18"/>
          <w:lang w:val="fr-FR"/>
        </w:rPr>
        <w:t xml:space="preserve"> de la </w:t>
      </w:r>
      <w:r w:rsidR="001F3E61" w:rsidRPr="00D56ED8">
        <w:rPr>
          <w:rFonts w:ascii="Arial" w:hAnsi="Arial" w:cs="Arial"/>
          <w:b w:val="0"/>
          <w:bCs/>
          <w:sz w:val="18"/>
          <w:szCs w:val="18"/>
          <w:lang w:val="fr-FR"/>
        </w:rPr>
        <w:t>Convention UPOV</w:t>
      </w:r>
    </w:p>
    <w:p w:rsidR="00C37A53" w:rsidRPr="00D56ED8" w:rsidRDefault="00C37A53" w:rsidP="00C37A5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p>
    <w:p w:rsidR="00C37A53" w:rsidRPr="00D56ED8" w:rsidRDefault="000C5E98" w:rsidP="00C37A5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D56ED8">
        <w:rPr>
          <w:rFonts w:ascii="Arial" w:hAnsi="Arial" w:cs="Arial"/>
          <w:sz w:val="18"/>
          <w:szCs w:val="18"/>
          <w:lang w:val="fr-FR"/>
        </w:rPr>
        <w:t>Article 7</w:t>
      </w:r>
      <w:r w:rsidR="00C37A53" w:rsidRPr="00D56ED8">
        <w:rPr>
          <w:rFonts w:ascii="Arial" w:hAnsi="Arial" w:cs="Arial"/>
          <w:sz w:val="18"/>
          <w:szCs w:val="18"/>
          <w:lang w:val="fr-FR"/>
        </w:rPr>
        <w:t>.3)</w:t>
      </w:r>
    </w:p>
    <w:p w:rsidR="00C37A53" w:rsidRPr="00D56ED8" w:rsidRDefault="00C37A53" w:rsidP="00C37A53">
      <w:pPr>
        <w:pBdr>
          <w:top w:val="single" w:sz="4" w:space="1" w:color="auto"/>
          <w:left w:val="single" w:sz="4" w:space="4" w:color="auto"/>
          <w:bottom w:val="single" w:sz="4" w:space="1" w:color="auto"/>
          <w:right w:val="single" w:sz="4" w:space="4" w:color="auto"/>
        </w:pBdr>
        <w:ind w:left="567" w:right="566"/>
        <w:rPr>
          <w:rFonts w:cs="Arial"/>
          <w:sz w:val="18"/>
          <w:szCs w:val="18"/>
        </w:rPr>
      </w:pPr>
    </w:p>
    <w:p w:rsidR="00C37A53" w:rsidRPr="00D56ED8" w:rsidRDefault="00C37A53" w:rsidP="00C37A53">
      <w:pPr>
        <w:pStyle w:val="a"/>
        <w:pBdr>
          <w:top w:val="single" w:sz="4" w:space="1" w:color="auto"/>
          <w:left w:val="single" w:sz="4" w:space="4" w:color="auto"/>
          <w:bottom w:val="single" w:sz="4" w:space="1" w:color="auto"/>
          <w:right w:val="single" w:sz="4" w:space="4" w:color="auto"/>
        </w:pBdr>
        <w:ind w:left="567" w:right="566"/>
        <w:rPr>
          <w:rFonts w:ascii="Arial" w:hAnsi="Arial" w:cs="Arial"/>
          <w:sz w:val="18"/>
          <w:szCs w:val="18"/>
          <w:lang w:val="fr-FR"/>
        </w:rPr>
      </w:pPr>
      <w:r w:rsidRPr="00D56ED8">
        <w:rPr>
          <w:rFonts w:ascii="Arial" w:hAnsi="Arial" w:cs="Arial"/>
          <w:sz w:val="18"/>
          <w:szCs w:val="18"/>
          <w:lang w:val="fr-FR"/>
        </w:rPr>
        <w:t>Protection provisoire</w:t>
      </w:r>
    </w:p>
    <w:p w:rsidR="00C37A53" w:rsidRPr="00D56ED8" w:rsidRDefault="00C37A53" w:rsidP="00C37A53">
      <w:pPr>
        <w:pBdr>
          <w:top w:val="single" w:sz="4" w:space="1" w:color="auto"/>
          <w:left w:val="single" w:sz="4" w:space="4" w:color="auto"/>
          <w:bottom w:val="single" w:sz="4" w:space="1" w:color="auto"/>
          <w:right w:val="single" w:sz="4" w:space="4" w:color="auto"/>
        </w:pBdr>
        <w:ind w:left="567" w:right="566"/>
        <w:rPr>
          <w:rFonts w:cs="Arial"/>
          <w:sz w:val="18"/>
          <w:szCs w:val="18"/>
        </w:rPr>
      </w:pPr>
      <w:r w:rsidRPr="00D56ED8">
        <w:rPr>
          <w:rFonts w:cs="Arial"/>
          <w:sz w:val="18"/>
          <w:szCs w:val="18"/>
        </w:rPr>
        <w:t>[…]</w:t>
      </w:r>
    </w:p>
    <w:p w:rsidR="00C37A53" w:rsidRPr="00D56ED8" w:rsidRDefault="00C37A53" w:rsidP="00C37A53">
      <w:pPr>
        <w:pBdr>
          <w:top w:val="single" w:sz="4" w:space="1" w:color="auto"/>
          <w:left w:val="single" w:sz="4" w:space="4" w:color="auto"/>
          <w:bottom w:val="single" w:sz="4" w:space="1" w:color="auto"/>
          <w:right w:val="single" w:sz="4" w:space="4" w:color="auto"/>
        </w:pBdr>
        <w:ind w:left="567" w:right="566"/>
        <w:rPr>
          <w:rFonts w:cs="Arial"/>
          <w:sz w:val="18"/>
          <w:szCs w:val="18"/>
        </w:rPr>
      </w:pPr>
      <w:r w:rsidRPr="00D56ED8">
        <w:rPr>
          <w:rFonts w:cs="Arial"/>
          <w:sz w:val="18"/>
          <w:szCs w:val="18"/>
        </w:rPr>
        <w:tab/>
        <w:t>3)</w:t>
      </w:r>
      <w:r w:rsidRPr="00D56ED8">
        <w:rPr>
          <w:rFonts w:cs="Arial"/>
          <w:sz w:val="18"/>
          <w:szCs w:val="18"/>
        </w:rPr>
        <w:tab/>
        <w:t>Tout État de l</w:t>
      </w:r>
      <w:r w:rsidR="001F3E61" w:rsidRPr="00D56ED8">
        <w:rPr>
          <w:rFonts w:cs="Arial"/>
          <w:sz w:val="18"/>
          <w:szCs w:val="18"/>
        </w:rPr>
        <w:t>’</w:t>
      </w:r>
      <w:r w:rsidRPr="00D56ED8">
        <w:rPr>
          <w:rFonts w:cs="Arial"/>
          <w:sz w:val="18"/>
          <w:szCs w:val="18"/>
        </w:rPr>
        <w:t>Union peut prendre des mesures destinées à défendre l</w:t>
      </w:r>
      <w:r w:rsidR="001F3E61" w:rsidRPr="00D56ED8">
        <w:rPr>
          <w:rFonts w:cs="Arial"/>
          <w:sz w:val="18"/>
          <w:szCs w:val="18"/>
        </w:rPr>
        <w:t>’</w:t>
      </w:r>
      <w:r w:rsidRPr="00D56ED8">
        <w:rPr>
          <w:rFonts w:cs="Arial"/>
          <w:sz w:val="18"/>
          <w:szCs w:val="18"/>
        </w:rPr>
        <w:t>obtenteur contre les agissements abusifs des tiers qui se produiraient pendant la période comprise entre le dépôt de la demande de protection et la décision la concernant.</w:t>
      </w:r>
    </w:p>
    <w:p w:rsidR="00C37A53" w:rsidRPr="00D56ED8" w:rsidRDefault="00C37A53" w:rsidP="00C37A53">
      <w:pPr>
        <w:pStyle w:val="Style1"/>
        <w:pBdr>
          <w:top w:val="single" w:sz="4" w:space="1" w:color="auto"/>
          <w:left w:val="single" w:sz="4" w:space="4" w:color="auto"/>
          <w:bottom w:val="single" w:sz="4" w:space="1" w:color="auto"/>
          <w:right w:val="single" w:sz="4" w:space="4" w:color="auto"/>
        </w:pBdr>
        <w:tabs>
          <w:tab w:val="clear" w:pos="907"/>
          <w:tab w:val="clear" w:pos="1077"/>
        </w:tabs>
        <w:suppressAutoHyphens/>
        <w:ind w:left="567" w:right="566"/>
        <w:jc w:val="left"/>
        <w:rPr>
          <w:rFonts w:cs="Arial"/>
          <w:sz w:val="18"/>
          <w:szCs w:val="18"/>
          <w:lang w:val="fr-FR"/>
        </w:rPr>
      </w:pPr>
    </w:p>
    <w:p w:rsidR="00C37A53" w:rsidRPr="00D56ED8" w:rsidRDefault="00C37A53" w:rsidP="00C37A53">
      <w:pPr>
        <w:pStyle w:val="Style1"/>
        <w:tabs>
          <w:tab w:val="clear" w:pos="907"/>
          <w:tab w:val="clear" w:pos="1077"/>
        </w:tabs>
        <w:suppressAutoHyphens/>
        <w:jc w:val="left"/>
        <w:rPr>
          <w:rFonts w:cs="Arial"/>
          <w:szCs w:val="20"/>
          <w:lang w:val="fr-FR"/>
        </w:rPr>
      </w:pPr>
    </w:p>
    <w:p w:rsidR="00C37A53" w:rsidRPr="00D56ED8" w:rsidRDefault="00C37A53" w:rsidP="00C37A53">
      <w:pPr>
        <w:pStyle w:val="Style1"/>
        <w:tabs>
          <w:tab w:val="clear" w:pos="907"/>
          <w:tab w:val="clear" w:pos="1077"/>
        </w:tabs>
        <w:suppressAutoHyphens/>
        <w:jc w:val="left"/>
        <w:outlineLvl w:val="1"/>
        <w:rPr>
          <w:lang w:val="fr-FR"/>
        </w:rPr>
      </w:pPr>
      <w:r w:rsidRPr="00D56ED8">
        <w:rPr>
          <w:lang w:val="fr-FR"/>
        </w:rPr>
        <w:br w:type="page"/>
      </w:r>
    </w:p>
    <w:p w:rsidR="00C37A53" w:rsidRPr="00D56ED8" w:rsidRDefault="00C37A53" w:rsidP="00D42F65">
      <w:pPr>
        <w:pStyle w:val="Heading2"/>
        <w:rPr>
          <w:lang w:val="fr-FR"/>
        </w:rPr>
      </w:pPr>
      <w:bookmarkStart w:id="3" w:name="_Toc202089146"/>
    </w:p>
    <w:p w:rsidR="00C37A53" w:rsidRPr="00D56ED8" w:rsidRDefault="00C37A53" w:rsidP="00D42F65">
      <w:pPr>
        <w:pStyle w:val="Heading2"/>
        <w:rPr>
          <w:lang w:val="fr-FR"/>
        </w:rPr>
      </w:pPr>
      <w:bookmarkStart w:id="4" w:name="_Toc112147713"/>
      <w:bookmarkEnd w:id="3"/>
      <w:r w:rsidRPr="00D56ED8">
        <w:rPr>
          <w:lang w:val="fr-FR"/>
        </w:rPr>
        <w:t>SECTION</w:t>
      </w:r>
      <w:r w:rsidR="00F138DD">
        <w:rPr>
          <w:lang w:val="fr-FR"/>
        </w:rPr>
        <w:t> </w:t>
      </w:r>
      <w:r w:rsidRPr="00D56ED8">
        <w:rPr>
          <w:lang w:val="fr-FR"/>
        </w:rPr>
        <w:t>II</w:t>
      </w:r>
      <w:r w:rsidR="001F3E61" w:rsidRPr="00D56ED8">
        <w:rPr>
          <w:lang w:val="fr-FR"/>
        </w:rPr>
        <w:t> :</w:t>
      </w:r>
      <w:r w:rsidRPr="00D56ED8">
        <w:rPr>
          <w:lang w:val="fr-FR"/>
        </w:rPr>
        <w:t xml:space="preserve"> ASPECTS PARTICULIERS DES DISPOSI</w:t>
      </w:r>
      <w:r w:rsidR="00AC6C72">
        <w:rPr>
          <w:lang w:val="fr-FR"/>
        </w:rPr>
        <w:t>TIONS RELATIVES À LA PROTECTION </w:t>
      </w:r>
      <w:r w:rsidRPr="00D56ED8">
        <w:rPr>
          <w:lang w:val="fr-FR"/>
        </w:rPr>
        <w:t>PROVISOIRE</w:t>
      </w:r>
      <w:bookmarkEnd w:id="4"/>
    </w:p>
    <w:p w:rsidR="00C37A53" w:rsidRPr="00D56ED8" w:rsidRDefault="00C37A53" w:rsidP="00C37A53">
      <w:pPr>
        <w:pStyle w:val="Style1"/>
        <w:rPr>
          <w:lang w:val="fr-FR"/>
        </w:rPr>
      </w:pPr>
    </w:p>
    <w:p w:rsidR="00C37A53" w:rsidRPr="00D56ED8" w:rsidRDefault="00C37A53" w:rsidP="00C37A53">
      <w:pPr>
        <w:pStyle w:val="Style1"/>
        <w:tabs>
          <w:tab w:val="clear" w:pos="907"/>
          <w:tab w:val="clear" w:pos="1077"/>
          <w:tab w:val="left" w:pos="567"/>
        </w:tabs>
        <w:rPr>
          <w:lang w:val="fr-FR"/>
        </w:rPr>
      </w:pPr>
      <w:r w:rsidRPr="00D56ED8">
        <w:rPr>
          <w:lang w:val="fr-FR"/>
        </w:rPr>
        <w:t>4.</w:t>
      </w:r>
      <w:r w:rsidRPr="00D56ED8">
        <w:rPr>
          <w:lang w:val="fr-FR"/>
        </w:rPr>
        <w:tab/>
      </w:r>
      <w:r w:rsidR="005D559C" w:rsidRPr="00D56ED8">
        <w:rPr>
          <w:lang w:val="fr-FR"/>
        </w:rPr>
        <w:t>La présente section</w:t>
      </w:r>
      <w:r w:rsidRPr="00D56ED8">
        <w:rPr>
          <w:lang w:val="fr-FR"/>
        </w:rPr>
        <w:t xml:space="preserve"> fournit des indications sur certains aspects des dispositions relatives à la protection provisoire figurant à l</w:t>
      </w:r>
      <w:r w:rsidR="001F3E61" w:rsidRPr="00D56ED8">
        <w:rPr>
          <w:lang w:val="fr-FR"/>
        </w:rPr>
        <w:t>’</w:t>
      </w:r>
      <w:r w:rsidR="000C5E98" w:rsidRPr="00D56ED8">
        <w:rPr>
          <w:lang w:val="fr-FR"/>
        </w:rPr>
        <w:t>article 1</w:t>
      </w:r>
      <w:r w:rsidRPr="00D56ED8">
        <w:rPr>
          <w:lang w:val="fr-FR"/>
        </w:rPr>
        <w:t>3 de l</w:t>
      </w:r>
      <w:r w:rsidR="001F3E61" w:rsidRPr="00D56ED8">
        <w:rPr>
          <w:lang w:val="fr-FR"/>
        </w:rPr>
        <w:t>’</w:t>
      </w:r>
      <w:r w:rsidRPr="00D56ED8">
        <w:rPr>
          <w:lang w:val="fr-FR"/>
        </w:rPr>
        <w:t xml:space="preserve">Acte </w:t>
      </w:r>
      <w:r w:rsidR="000C5E98" w:rsidRPr="00D56ED8">
        <w:rPr>
          <w:lang w:val="fr-FR"/>
        </w:rPr>
        <w:t>de 1991</w:t>
      </w:r>
      <w:r w:rsidRPr="00D56ED8">
        <w:rPr>
          <w:lang w:val="fr-FR"/>
        </w:rPr>
        <w:t xml:space="preserve"> de la </w:t>
      </w:r>
      <w:r w:rsidR="001F3E61" w:rsidRPr="00D56ED8">
        <w:rPr>
          <w:lang w:val="fr-FR"/>
        </w:rPr>
        <w:t>Convention UPOV</w:t>
      </w:r>
      <w:r w:rsidRPr="00D56ED8">
        <w:rPr>
          <w:lang w:val="fr-FR"/>
        </w:rPr>
        <w:t xml:space="preserve"> et à l</w:t>
      </w:r>
      <w:r w:rsidR="001F3E61" w:rsidRPr="00D56ED8">
        <w:rPr>
          <w:lang w:val="fr-FR"/>
        </w:rPr>
        <w:t>’</w:t>
      </w:r>
      <w:r w:rsidR="000C5E98" w:rsidRPr="00D56ED8">
        <w:rPr>
          <w:lang w:val="fr-FR"/>
        </w:rPr>
        <w:t>article 7</w:t>
      </w:r>
      <w:r w:rsidRPr="00D56ED8">
        <w:rPr>
          <w:lang w:val="fr-FR"/>
        </w:rPr>
        <w:t>.3) de l</w:t>
      </w:r>
      <w:r w:rsidR="001F3E61" w:rsidRPr="00D56ED8">
        <w:rPr>
          <w:lang w:val="fr-FR"/>
        </w:rPr>
        <w:t>’</w:t>
      </w:r>
      <w:r w:rsidRPr="00D56ED8">
        <w:rPr>
          <w:lang w:val="fr-FR"/>
        </w:rPr>
        <w:t xml:space="preserve">Acte </w:t>
      </w:r>
      <w:r w:rsidR="000C5E98" w:rsidRPr="00D56ED8">
        <w:rPr>
          <w:lang w:val="fr-FR"/>
        </w:rPr>
        <w:t>de 1978</w:t>
      </w:r>
      <w:r w:rsidRPr="00D56ED8">
        <w:rPr>
          <w:lang w:val="fr-FR"/>
        </w:rPr>
        <w:t xml:space="preserve"> de la </w:t>
      </w:r>
      <w:r w:rsidR="001F3E61" w:rsidRPr="00D56ED8">
        <w:rPr>
          <w:lang w:val="fr-FR"/>
        </w:rPr>
        <w:t>Convention UPOV</w:t>
      </w:r>
      <w:r w:rsidRPr="00D56ED8">
        <w:rPr>
          <w:lang w:val="fr-FR"/>
        </w:rPr>
        <w:t>.</w:t>
      </w:r>
    </w:p>
    <w:p w:rsidR="00C37A53" w:rsidRPr="00D56ED8" w:rsidRDefault="00C37A53" w:rsidP="00C37A53">
      <w:pPr>
        <w:pStyle w:val="Style1"/>
        <w:rPr>
          <w:lang w:val="fr-FR"/>
        </w:rPr>
      </w:pPr>
    </w:p>
    <w:p w:rsidR="00C37A53" w:rsidRPr="00D56ED8" w:rsidRDefault="00C37A53" w:rsidP="00C37A53">
      <w:pPr>
        <w:pStyle w:val="Style1"/>
        <w:rPr>
          <w:lang w:val="fr-FR"/>
        </w:rPr>
      </w:pPr>
    </w:p>
    <w:p w:rsidR="00C37A53" w:rsidRPr="00D56ED8" w:rsidRDefault="00C37A53" w:rsidP="00C37A53">
      <w:pPr>
        <w:pStyle w:val="Style1"/>
        <w:rPr>
          <w:i/>
          <w:lang w:val="fr-FR"/>
        </w:rPr>
      </w:pPr>
      <w:r w:rsidRPr="00D56ED8">
        <w:rPr>
          <w:i/>
          <w:lang w:val="fr-FR"/>
        </w:rPr>
        <w:t>Période de protection et notification</w:t>
      </w:r>
    </w:p>
    <w:p w:rsidR="00C37A53" w:rsidRPr="00D56ED8" w:rsidRDefault="00C37A53" w:rsidP="00C37A53">
      <w:pPr>
        <w:pStyle w:val="Style1"/>
        <w:rPr>
          <w:lang w:val="fr-FR"/>
        </w:rPr>
      </w:pPr>
    </w:p>
    <w:p w:rsidR="00C37A53" w:rsidRPr="00D56ED8" w:rsidRDefault="00C37A53" w:rsidP="00C37A53">
      <w:pPr>
        <w:pBdr>
          <w:top w:val="single" w:sz="4" w:space="6" w:color="auto"/>
          <w:left w:val="single" w:sz="4" w:space="4" w:color="auto"/>
          <w:bottom w:val="single" w:sz="4" w:space="6" w:color="auto"/>
          <w:right w:val="single" w:sz="4" w:space="4" w:color="auto"/>
        </w:pBdr>
        <w:shd w:val="clear" w:color="auto" w:fill="E6E6E6"/>
        <w:rPr>
          <w:b/>
        </w:rPr>
      </w:pPr>
      <w:r w:rsidRPr="00D56ED8">
        <w:rPr>
          <w:b/>
        </w:rPr>
        <w:t>Chaque Partie contractante prend des mesures destinées à sauvegarder les intérêts de l</w:t>
      </w:r>
      <w:r w:rsidR="001F3E61" w:rsidRPr="00D56ED8">
        <w:rPr>
          <w:b/>
        </w:rPr>
        <w:t>’</w:t>
      </w:r>
      <w:r w:rsidRPr="00D56ED8">
        <w:rPr>
          <w:b/>
        </w:rPr>
        <w:t>obtenteur pendant la période comprise entre le dépôt de la demande d</w:t>
      </w:r>
      <w:r w:rsidR="001F3E61" w:rsidRPr="00D56ED8">
        <w:rPr>
          <w:b/>
        </w:rPr>
        <w:t>’</w:t>
      </w:r>
      <w:r w:rsidRPr="00D56ED8">
        <w:rPr>
          <w:b/>
        </w:rPr>
        <w:t>octroi d</w:t>
      </w:r>
      <w:r w:rsidR="001F3E61" w:rsidRPr="00D56ED8">
        <w:rPr>
          <w:b/>
        </w:rPr>
        <w:t>’</w:t>
      </w:r>
      <w:r w:rsidRPr="00D56ED8">
        <w:rPr>
          <w:b/>
        </w:rPr>
        <w:t>un droit d</w:t>
      </w:r>
      <w:r w:rsidR="001F3E61" w:rsidRPr="00D56ED8">
        <w:rPr>
          <w:b/>
        </w:rPr>
        <w:t>’</w:t>
      </w:r>
      <w:r w:rsidRPr="00D56ED8">
        <w:rPr>
          <w:b/>
        </w:rPr>
        <w:t>obtenteur ou sa publication et l</w:t>
      </w:r>
      <w:r w:rsidR="001F3E61" w:rsidRPr="00D56ED8">
        <w:rPr>
          <w:b/>
        </w:rPr>
        <w:t>’</w:t>
      </w:r>
      <w:r w:rsidRPr="00D56ED8">
        <w:rPr>
          <w:b/>
        </w:rPr>
        <w:t>octroi du droit.  [….] Une Partie contractante peut prévoir que lesdites mesures ne prendront effet qu</w:t>
      </w:r>
      <w:r w:rsidR="001F3E61" w:rsidRPr="00D56ED8">
        <w:rPr>
          <w:b/>
        </w:rPr>
        <w:t>’à l’égard</w:t>
      </w:r>
      <w:r w:rsidRPr="00D56ED8">
        <w:rPr>
          <w:b/>
        </w:rPr>
        <w:t xml:space="preserve"> des personnes auxquelles l</w:t>
      </w:r>
      <w:r w:rsidR="001F3E61" w:rsidRPr="00D56ED8">
        <w:rPr>
          <w:b/>
        </w:rPr>
        <w:t>’</w:t>
      </w:r>
      <w:r w:rsidRPr="00D56ED8">
        <w:rPr>
          <w:b/>
        </w:rPr>
        <w:t>obtenteur aura notifié le dépôt de la demande.</w:t>
      </w:r>
    </w:p>
    <w:p w:rsidR="00C37A53" w:rsidRPr="00D56ED8" w:rsidRDefault="00C37A53" w:rsidP="00C37A53"/>
    <w:p w:rsidR="00C37A53" w:rsidRPr="00D56ED8" w:rsidRDefault="00C37A53" w:rsidP="00C37A53"/>
    <w:p w:rsidR="000C5E98" w:rsidRPr="00D56ED8" w:rsidRDefault="00C37A53" w:rsidP="00C37A53">
      <w:pPr>
        <w:pStyle w:val="Style1"/>
        <w:tabs>
          <w:tab w:val="clear" w:pos="907"/>
          <w:tab w:val="clear" w:pos="1077"/>
          <w:tab w:val="decimal" w:pos="0"/>
        </w:tabs>
        <w:rPr>
          <w:lang w:val="fr-FR"/>
        </w:rPr>
      </w:pPr>
      <w:r w:rsidRPr="00D56ED8">
        <w:rPr>
          <w:lang w:val="fr-FR"/>
        </w:rPr>
        <w:t>5.</w:t>
      </w:r>
      <w:r w:rsidRPr="00D56ED8">
        <w:rPr>
          <w:lang w:val="fr-FR"/>
        </w:rPr>
        <w:tab/>
        <w:t xml:space="preserve">Aux termes de la </w:t>
      </w:r>
      <w:r w:rsidR="001F3E61" w:rsidRPr="00D56ED8">
        <w:rPr>
          <w:lang w:val="fr-FR"/>
        </w:rPr>
        <w:t>Convention UPOV</w:t>
      </w:r>
      <w:r w:rsidRPr="00D56ED8">
        <w:rPr>
          <w:lang w:val="fr-FR"/>
        </w:rPr>
        <w:t>, la période de protection (article 19 de l</w:t>
      </w:r>
      <w:r w:rsidR="001F3E61" w:rsidRPr="00D56ED8">
        <w:rPr>
          <w:lang w:val="fr-FR"/>
        </w:rPr>
        <w:t>’</w:t>
      </w:r>
      <w:r w:rsidRPr="00D56ED8">
        <w:rPr>
          <w:lang w:val="fr-FR"/>
        </w:rPr>
        <w:t xml:space="preserve">Acte de 1991 et </w:t>
      </w:r>
      <w:r w:rsidR="00CC6311">
        <w:rPr>
          <w:lang w:val="fr-FR"/>
        </w:rPr>
        <w:br/>
      </w:r>
      <w:r w:rsidRPr="00D56ED8">
        <w:rPr>
          <w:lang w:val="fr-FR"/>
        </w:rPr>
        <w:t>article 8 de l</w:t>
      </w:r>
      <w:r w:rsidR="001F3E61" w:rsidRPr="00D56ED8">
        <w:rPr>
          <w:lang w:val="fr-FR"/>
        </w:rPr>
        <w:t>’</w:t>
      </w:r>
      <w:r w:rsidRPr="00D56ED8">
        <w:rPr>
          <w:lang w:val="fr-FR"/>
        </w:rPr>
        <w:t xml:space="preserve">Acte </w:t>
      </w:r>
      <w:r w:rsidR="000C5E98" w:rsidRPr="00D56ED8">
        <w:rPr>
          <w:lang w:val="fr-FR"/>
        </w:rPr>
        <w:t>de 1978</w:t>
      </w:r>
      <w:r w:rsidRPr="00D56ED8">
        <w:rPr>
          <w:lang w:val="fr-FR"/>
        </w:rPr>
        <w:t>) est calculée à partir de la date d</w:t>
      </w:r>
      <w:r w:rsidR="001F3E61" w:rsidRPr="00D56ED8">
        <w:rPr>
          <w:lang w:val="fr-FR"/>
        </w:rPr>
        <w:t>’</w:t>
      </w:r>
      <w:r w:rsidRPr="00D56ED8">
        <w:rPr>
          <w:lang w:val="fr-FR"/>
        </w:rPr>
        <w:t>octroi du droit d</w:t>
      </w:r>
      <w:r w:rsidR="001F3E61" w:rsidRPr="00D56ED8">
        <w:rPr>
          <w:lang w:val="fr-FR"/>
        </w:rPr>
        <w:t>’</w:t>
      </w:r>
      <w:r w:rsidRPr="00D56ED8">
        <w:rPr>
          <w:lang w:val="fr-FR"/>
        </w:rPr>
        <w:t xml:space="preserve">obtenteur.  </w:t>
      </w:r>
      <w:r w:rsidR="00CC6311">
        <w:rPr>
          <w:lang w:val="fr-FR"/>
        </w:rPr>
        <w:br/>
      </w:r>
      <w:r w:rsidRPr="00D56ED8">
        <w:rPr>
          <w:lang w:val="fr-FR"/>
        </w:rPr>
        <w:t>L</w:t>
      </w:r>
      <w:r w:rsidR="001F3E61" w:rsidRPr="00D56ED8">
        <w:rPr>
          <w:lang w:val="fr-FR"/>
        </w:rPr>
        <w:t>’</w:t>
      </w:r>
      <w:r w:rsidRPr="00D56ED8">
        <w:rPr>
          <w:lang w:val="fr-FR"/>
        </w:rPr>
        <w:t xml:space="preserve">Acte </w:t>
      </w:r>
      <w:r w:rsidR="000C5E98" w:rsidRPr="00D56ED8">
        <w:rPr>
          <w:lang w:val="fr-FR"/>
        </w:rPr>
        <w:t>de 1991</w:t>
      </w:r>
      <w:r w:rsidRPr="00D56ED8">
        <w:rPr>
          <w:lang w:val="fr-FR"/>
        </w:rPr>
        <w:t xml:space="preserve"> de la </w:t>
      </w:r>
      <w:r w:rsidR="001F3E61" w:rsidRPr="00D56ED8">
        <w:rPr>
          <w:lang w:val="fr-FR"/>
        </w:rPr>
        <w:t>Convention UPOV</w:t>
      </w:r>
      <w:r w:rsidRPr="00D56ED8">
        <w:rPr>
          <w:lang w:val="fr-FR"/>
        </w:rPr>
        <w:t xml:space="preserve"> exige qu</w:t>
      </w:r>
      <w:r w:rsidR="001F3E61" w:rsidRPr="00D56ED8">
        <w:rPr>
          <w:lang w:val="fr-FR"/>
        </w:rPr>
        <w:t>’</w:t>
      </w:r>
      <w:r w:rsidRPr="00D56ED8">
        <w:rPr>
          <w:lang w:val="fr-FR"/>
        </w:rPr>
        <w:t>une protection provisoire soit accordée à l</w:t>
      </w:r>
      <w:r w:rsidR="001F3E61" w:rsidRPr="00D56ED8">
        <w:rPr>
          <w:lang w:val="fr-FR"/>
        </w:rPr>
        <w:t>’</w:t>
      </w:r>
      <w:r w:rsidRPr="00D56ED8">
        <w:rPr>
          <w:lang w:val="fr-FR"/>
        </w:rPr>
        <w:t>obtenteur pendant la période comprise entre le dépôt</w:t>
      </w:r>
      <w:r w:rsidRPr="00D56ED8">
        <w:rPr>
          <w:rStyle w:val="FootnoteReference"/>
          <w:lang w:val="fr-FR"/>
        </w:rPr>
        <w:footnoteReference w:id="2"/>
      </w:r>
      <w:r w:rsidRPr="00D56ED8">
        <w:rPr>
          <w:lang w:val="fr-FR"/>
        </w:rPr>
        <w:t xml:space="preserve"> de la demande d</w:t>
      </w:r>
      <w:r w:rsidR="001F3E61" w:rsidRPr="00D56ED8">
        <w:rPr>
          <w:lang w:val="fr-FR"/>
        </w:rPr>
        <w:t>’</w:t>
      </w:r>
      <w:r w:rsidRPr="00D56ED8">
        <w:rPr>
          <w:lang w:val="fr-FR"/>
        </w:rPr>
        <w:t>octroi d</w:t>
      </w:r>
      <w:r w:rsidR="001F3E61" w:rsidRPr="00D56ED8">
        <w:rPr>
          <w:lang w:val="fr-FR"/>
        </w:rPr>
        <w:t>’</w:t>
      </w:r>
      <w:r w:rsidRPr="00D56ED8">
        <w:rPr>
          <w:lang w:val="fr-FR"/>
        </w:rPr>
        <w:t>un droit d</w:t>
      </w:r>
      <w:r w:rsidR="001F3E61" w:rsidRPr="00D56ED8">
        <w:rPr>
          <w:lang w:val="fr-FR"/>
        </w:rPr>
        <w:t>’</w:t>
      </w:r>
      <w:r w:rsidRPr="00D56ED8">
        <w:rPr>
          <w:lang w:val="fr-FR"/>
        </w:rPr>
        <w:t>obtenteur ou sa publication et l</w:t>
      </w:r>
      <w:r w:rsidR="001F3E61" w:rsidRPr="00D56ED8">
        <w:rPr>
          <w:lang w:val="fr-FR"/>
        </w:rPr>
        <w:t>’</w:t>
      </w:r>
      <w:r w:rsidRPr="00D56ED8">
        <w:rPr>
          <w:lang w:val="fr-FR"/>
        </w:rPr>
        <w:t>octroi du droit</w:t>
      </w:r>
      <w:r w:rsidRPr="00D56ED8">
        <w:rPr>
          <w:rStyle w:val="FootnoteReference"/>
          <w:lang w:val="fr-FR"/>
        </w:rPr>
        <w:footnoteReference w:id="3"/>
      </w:r>
      <w:r w:rsidRPr="00D56ED8">
        <w:rPr>
          <w:lang w:val="fr-FR"/>
        </w:rPr>
        <w:t>.</w:t>
      </w:r>
    </w:p>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D42F65" w:rsidP="00C906F8">
            <w:pPr>
              <w:rPr>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ISF, de</w:t>
            </w:r>
            <w:r w:rsidR="000C5E98" w:rsidRPr="00D56ED8">
              <w:rPr>
                <w:sz w:val="18"/>
                <w:szCs w:val="18"/>
                <w:u w:val="single"/>
              </w:rPr>
              <w:t xml:space="preserve"> la CIO</w:t>
            </w:r>
            <w:r w:rsidRPr="00D56ED8">
              <w:rPr>
                <w:sz w:val="18"/>
                <w:szCs w:val="18"/>
                <w:u w:val="single"/>
              </w:rPr>
              <w:t xml:space="preserve">PORA, de </w:t>
            </w:r>
            <w:proofErr w:type="spellStart"/>
            <w:r w:rsidRPr="00D56ED8">
              <w:rPr>
                <w:sz w:val="18"/>
                <w:szCs w:val="18"/>
                <w:u w:val="single"/>
              </w:rPr>
              <w:t>CropLife</w:t>
            </w:r>
            <w:proofErr w:type="spellEnd"/>
            <w:r w:rsidRPr="00D56ED8">
              <w:rPr>
                <w:sz w:val="18"/>
                <w:szCs w:val="18"/>
                <w:u w:val="single"/>
              </w:rPr>
              <w:t xml:space="preserve"> International, d</w:t>
            </w:r>
            <w:r w:rsidR="001F3E61" w:rsidRPr="00D56ED8">
              <w:rPr>
                <w:sz w:val="18"/>
                <w:szCs w:val="18"/>
                <w:u w:val="single"/>
              </w:rPr>
              <w:t>’</w:t>
            </w:r>
            <w:proofErr w:type="spellStart"/>
            <w:r w:rsidRPr="00D56ED8">
              <w:rPr>
                <w:sz w:val="18"/>
                <w:szCs w:val="18"/>
                <w:u w:val="single"/>
              </w:rPr>
              <w:t>Euroseeds</w:t>
            </w:r>
            <w:proofErr w:type="spellEnd"/>
            <w:r w:rsidRPr="00D56ED8">
              <w:rPr>
                <w:sz w:val="18"/>
                <w:szCs w:val="18"/>
                <w:u w:val="single"/>
              </w:rPr>
              <w:t>, de l</w:t>
            </w:r>
            <w:r w:rsidR="001F3E61" w:rsidRPr="00D56ED8">
              <w:rPr>
                <w:sz w:val="18"/>
                <w:szCs w:val="18"/>
                <w:u w:val="single"/>
              </w:rPr>
              <w:t>’</w:t>
            </w:r>
            <w:r w:rsidRPr="00D56ED8">
              <w:rPr>
                <w:sz w:val="18"/>
                <w:szCs w:val="18"/>
                <w:u w:val="single"/>
              </w:rPr>
              <w:t>APSA, de l</w:t>
            </w:r>
            <w:r w:rsidR="001F3E61" w:rsidRPr="00D56ED8">
              <w:rPr>
                <w:sz w:val="18"/>
                <w:szCs w:val="18"/>
                <w:u w:val="single"/>
              </w:rPr>
              <w:t>’</w:t>
            </w:r>
            <w:r w:rsidRPr="00D56ED8">
              <w:rPr>
                <w:sz w:val="18"/>
                <w:szCs w:val="18"/>
                <w:u w:val="single"/>
              </w:rPr>
              <w:t>AFSTA et de</w:t>
            </w:r>
            <w:r w:rsidR="000C5E98" w:rsidRPr="00D56ED8">
              <w:rPr>
                <w:sz w:val="18"/>
                <w:szCs w:val="18"/>
                <w:u w:val="single"/>
              </w:rPr>
              <w:t xml:space="preserve"> la SAA</w:t>
            </w:r>
            <w:r w:rsidR="00C37A53" w:rsidRPr="00D56ED8">
              <w:rPr>
                <w:rStyle w:val="EndnoteReference"/>
                <w:sz w:val="18"/>
                <w:szCs w:val="18"/>
              </w:rPr>
              <w:endnoteReference w:id="3"/>
            </w:r>
          </w:p>
          <w:p w:rsidR="00C37A53" w:rsidRPr="00D56ED8" w:rsidRDefault="00C37A53" w:rsidP="00C906F8">
            <w:pPr>
              <w:rPr>
                <w:sz w:val="16"/>
                <w:szCs w:val="16"/>
              </w:rPr>
            </w:pPr>
          </w:p>
          <w:p w:rsidR="00C37A53" w:rsidRPr="00D56ED8" w:rsidRDefault="00C37A53" w:rsidP="00C906F8">
            <w:pPr>
              <w:rPr>
                <w:sz w:val="18"/>
              </w:rPr>
            </w:pPr>
            <w:r w:rsidRPr="00D56ED8">
              <w:rPr>
                <w:sz w:val="18"/>
              </w:rPr>
              <w:t xml:space="preserve">Modifier le </w:t>
            </w:r>
            <w:r w:rsidR="000C5E98" w:rsidRPr="00D56ED8">
              <w:rPr>
                <w:sz w:val="18"/>
              </w:rPr>
              <w:t>paragraphe 5</w:t>
            </w:r>
            <w:r w:rsidRPr="00D56ED8">
              <w:rPr>
                <w:sz w:val="18"/>
              </w:rPr>
              <w:t xml:space="preserve"> comme suit</w:t>
            </w:r>
            <w:r w:rsidR="001F3E61" w:rsidRPr="00D56ED8">
              <w:rPr>
                <w:sz w:val="18"/>
              </w:rPr>
              <w:t> :</w:t>
            </w:r>
            <w:r w:rsidRPr="00D56ED8">
              <w:rPr>
                <w:sz w:val="18"/>
              </w:rPr>
              <w:t xml:space="preserve"> “Aux termes de la </w:t>
            </w:r>
            <w:r w:rsidR="001F3E61" w:rsidRPr="00D56ED8">
              <w:rPr>
                <w:sz w:val="18"/>
              </w:rPr>
              <w:t>Convention UPOV</w:t>
            </w:r>
            <w:r w:rsidRPr="00D56ED8">
              <w:rPr>
                <w:sz w:val="18"/>
              </w:rPr>
              <w:t>, la période de protection (</w:t>
            </w:r>
            <w:r w:rsidR="000C5E98" w:rsidRPr="00D56ED8">
              <w:rPr>
                <w:sz w:val="18"/>
              </w:rPr>
              <w:t>article 1</w:t>
            </w:r>
            <w:r w:rsidRPr="00D56ED8">
              <w:rPr>
                <w:sz w:val="18"/>
              </w:rPr>
              <w:t>9 de l</w:t>
            </w:r>
            <w:r w:rsidR="001F3E61" w:rsidRPr="00D56ED8">
              <w:rPr>
                <w:sz w:val="18"/>
              </w:rPr>
              <w:t>’</w:t>
            </w:r>
            <w:r w:rsidRPr="00D56ED8">
              <w:rPr>
                <w:sz w:val="18"/>
              </w:rPr>
              <w:t xml:space="preserve">Acte </w:t>
            </w:r>
            <w:r w:rsidR="000C5E98" w:rsidRPr="00D56ED8">
              <w:rPr>
                <w:sz w:val="18"/>
              </w:rPr>
              <w:t>de 1991</w:t>
            </w:r>
            <w:r w:rsidRPr="00D56ED8">
              <w:rPr>
                <w:sz w:val="18"/>
              </w:rPr>
              <w:t xml:space="preserve"> et </w:t>
            </w:r>
            <w:r w:rsidR="000C5E98" w:rsidRPr="00D56ED8">
              <w:rPr>
                <w:sz w:val="18"/>
              </w:rPr>
              <w:t>article 8</w:t>
            </w:r>
            <w:r w:rsidRPr="00D56ED8">
              <w:rPr>
                <w:sz w:val="18"/>
              </w:rPr>
              <w:t xml:space="preserve"> de l</w:t>
            </w:r>
            <w:r w:rsidR="001F3E61" w:rsidRPr="00D56ED8">
              <w:rPr>
                <w:sz w:val="18"/>
              </w:rPr>
              <w:t>’</w:t>
            </w:r>
            <w:r w:rsidRPr="00D56ED8">
              <w:rPr>
                <w:sz w:val="18"/>
              </w:rPr>
              <w:t xml:space="preserve">Acte </w:t>
            </w:r>
            <w:r w:rsidR="000C5E98" w:rsidRPr="00D56ED8">
              <w:rPr>
                <w:sz w:val="18"/>
              </w:rPr>
              <w:t>de 1978</w:t>
            </w:r>
            <w:r w:rsidRPr="00D56ED8">
              <w:rPr>
                <w:sz w:val="18"/>
              </w:rPr>
              <w:t xml:space="preserve">) </w:t>
            </w:r>
            <w:r w:rsidRPr="00D56ED8">
              <w:rPr>
                <w:strike/>
                <w:sz w:val="18"/>
                <w:highlight w:val="lightGray"/>
              </w:rPr>
              <w:t>est calculée à partir</w:t>
            </w:r>
            <w:r w:rsidRPr="00D56ED8">
              <w:rPr>
                <w:sz w:val="18"/>
              </w:rPr>
              <w:t xml:space="preserve"> </w:t>
            </w:r>
            <w:r w:rsidRPr="00D56ED8">
              <w:rPr>
                <w:sz w:val="18"/>
                <w:highlight w:val="lightGray"/>
                <w:u w:val="single"/>
              </w:rPr>
              <w:t>court à compter</w:t>
            </w:r>
            <w:r w:rsidRPr="00D56ED8">
              <w:rPr>
                <w:sz w:val="18"/>
              </w:rPr>
              <w:t xml:space="preserve"> de la date d</w:t>
            </w:r>
            <w:r w:rsidR="001F3E61" w:rsidRPr="00D56ED8">
              <w:rPr>
                <w:sz w:val="18"/>
              </w:rPr>
              <w:t>’</w:t>
            </w:r>
            <w:r w:rsidRPr="00D56ED8">
              <w:rPr>
                <w:sz w:val="18"/>
              </w:rPr>
              <w:t>octroi du droit d</w:t>
            </w:r>
            <w:r w:rsidR="001F3E61" w:rsidRPr="00D56ED8">
              <w:rPr>
                <w:sz w:val="18"/>
              </w:rPr>
              <w:t>’</w:t>
            </w:r>
            <w:r w:rsidRPr="00D56ED8">
              <w:rPr>
                <w:sz w:val="18"/>
              </w:rPr>
              <w:t>obtenteur.  L</w:t>
            </w:r>
            <w:r w:rsidR="001F3E61" w:rsidRPr="00D56ED8">
              <w:rPr>
                <w:sz w:val="18"/>
              </w:rPr>
              <w:t>’</w:t>
            </w:r>
            <w:r w:rsidRPr="00D56ED8">
              <w:rPr>
                <w:sz w:val="18"/>
              </w:rPr>
              <w:t xml:space="preserve">Acte </w:t>
            </w:r>
            <w:r w:rsidR="000C5E98" w:rsidRPr="00D56ED8">
              <w:rPr>
                <w:sz w:val="18"/>
              </w:rPr>
              <w:t>de 1991</w:t>
            </w:r>
            <w:r w:rsidRPr="00D56ED8">
              <w:rPr>
                <w:sz w:val="18"/>
              </w:rPr>
              <w:t xml:space="preserve"> de la </w:t>
            </w:r>
            <w:r w:rsidR="001F3E61" w:rsidRPr="00D56ED8">
              <w:rPr>
                <w:sz w:val="18"/>
              </w:rPr>
              <w:t>Convention UPOV</w:t>
            </w:r>
            <w:r w:rsidRPr="00D56ED8">
              <w:rPr>
                <w:sz w:val="18"/>
              </w:rPr>
              <w:t xml:space="preserve"> exige qu</w:t>
            </w:r>
            <w:r w:rsidR="001F3E61" w:rsidRPr="00D56ED8">
              <w:rPr>
                <w:sz w:val="18"/>
              </w:rPr>
              <w:t>’</w:t>
            </w:r>
            <w:r w:rsidRPr="00D56ED8">
              <w:rPr>
                <w:sz w:val="18"/>
              </w:rPr>
              <w:t>une protection provisoire soit accordée à l</w:t>
            </w:r>
            <w:r w:rsidR="001F3E61" w:rsidRPr="00D56ED8">
              <w:rPr>
                <w:sz w:val="18"/>
              </w:rPr>
              <w:t>’</w:t>
            </w:r>
            <w:r w:rsidRPr="00D56ED8">
              <w:rPr>
                <w:sz w:val="18"/>
              </w:rPr>
              <w:t>obtenteur pendant la période comprise entre le dépôt</w:t>
            </w:r>
            <w:r w:rsidR="00CB5D84" w:rsidRPr="00CB5D84">
              <w:rPr>
                <w:sz w:val="18"/>
                <w:vertAlign w:val="superscript"/>
              </w:rPr>
              <w:t>1</w:t>
            </w:r>
            <w:r w:rsidRPr="00D56ED8">
              <w:rPr>
                <w:sz w:val="18"/>
              </w:rPr>
              <w:t xml:space="preserve"> de la demande d</w:t>
            </w:r>
            <w:r w:rsidR="001F3E61" w:rsidRPr="00D56ED8">
              <w:rPr>
                <w:sz w:val="18"/>
              </w:rPr>
              <w:t>’</w:t>
            </w:r>
            <w:r w:rsidRPr="00D56ED8">
              <w:rPr>
                <w:sz w:val="18"/>
              </w:rPr>
              <w:t>octroi d</w:t>
            </w:r>
            <w:r w:rsidR="001F3E61" w:rsidRPr="00D56ED8">
              <w:rPr>
                <w:sz w:val="18"/>
              </w:rPr>
              <w:t>’</w:t>
            </w:r>
            <w:r w:rsidRPr="00D56ED8">
              <w:rPr>
                <w:sz w:val="18"/>
              </w:rPr>
              <w:t>un droit d</w:t>
            </w:r>
            <w:r w:rsidR="001F3E61" w:rsidRPr="00D56ED8">
              <w:rPr>
                <w:sz w:val="18"/>
              </w:rPr>
              <w:t>’</w:t>
            </w:r>
            <w:r w:rsidRPr="00D56ED8">
              <w:rPr>
                <w:sz w:val="18"/>
              </w:rPr>
              <w:t>obtenteur ou sa publication et l</w:t>
            </w:r>
            <w:r w:rsidR="001F3E61" w:rsidRPr="00D56ED8">
              <w:rPr>
                <w:sz w:val="18"/>
              </w:rPr>
              <w:t>’</w:t>
            </w:r>
            <w:r w:rsidRPr="00D56ED8">
              <w:rPr>
                <w:sz w:val="18"/>
              </w:rPr>
              <w:t>octroi du droit</w:t>
            </w:r>
            <w:r w:rsidRPr="00D56ED8">
              <w:rPr>
                <w:sz w:val="18"/>
                <w:vertAlign w:val="superscript"/>
              </w:rPr>
              <w:t>2</w:t>
            </w:r>
            <w:r w:rsidRPr="00D56ED8">
              <w:rPr>
                <w:sz w:val="18"/>
              </w:rPr>
              <w:t>.</w:t>
            </w:r>
          </w:p>
          <w:p w:rsidR="00C37A53" w:rsidRPr="00D56ED8" w:rsidRDefault="00C37A53" w:rsidP="00C906F8">
            <w:pPr>
              <w:rPr>
                <w:sz w:val="18"/>
              </w:rPr>
            </w:pPr>
          </w:p>
          <w:p w:rsidR="00C37A53" w:rsidRPr="00D56ED8" w:rsidRDefault="00C37A53" w:rsidP="00C906F8">
            <w:pPr>
              <w:rPr>
                <w:sz w:val="18"/>
                <w:szCs w:val="18"/>
              </w:rPr>
            </w:pPr>
            <w:r w:rsidRPr="00D56ED8">
              <w:rPr>
                <w:sz w:val="18"/>
                <w:highlight w:val="lightGray"/>
                <w:u w:val="single"/>
              </w:rPr>
              <w:t>“Conformément à ce principe, un demandeur de protection d</w:t>
            </w:r>
            <w:r w:rsidR="001F3E61" w:rsidRPr="00D56ED8">
              <w:rPr>
                <w:sz w:val="18"/>
                <w:highlight w:val="lightGray"/>
                <w:u w:val="single"/>
              </w:rPr>
              <w:t>’</w:t>
            </w:r>
            <w:r w:rsidRPr="00D56ED8">
              <w:rPr>
                <w:sz w:val="18"/>
                <w:highlight w:val="lightGray"/>
                <w:u w:val="single"/>
              </w:rPr>
              <w:t>une obtention végétale déposée sur le territoire de tout membre de l</w:t>
            </w:r>
            <w:r w:rsidR="001F3E61" w:rsidRPr="00D56ED8">
              <w:rPr>
                <w:sz w:val="18"/>
                <w:highlight w:val="lightGray"/>
                <w:u w:val="single"/>
              </w:rPr>
              <w:t>’</w:t>
            </w:r>
            <w:r w:rsidRPr="00D56ED8">
              <w:rPr>
                <w:sz w:val="18"/>
                <w:highlight w:val="lightGray"/>
                <w:u w:val="single"/>
              </w:rPr>
              <w:t>UPOV jouit d</w:t>
            </w:r>
            <w:r w:rsidR="001F3E61" w:rsidRPr="00D56ED8">
              <w:rPr>
                <w:sz w:val="18"/>
                <w:highlight w:val="lightGray"/>
                <w:u w:val="single"/>
              </w:rPr>
              <w:t>’</w:t>
            </w:r>
            <w:r w:rsidRPr="00D56ED8">
              <w:rPr>
                <w:sz w:val="18"/>
                <w:highlight w:val="lightGray"/>
                <w:u w:val="single"/>
              </w:rPr>
              <w:t>une protection provisoire à partir de la date de dépôt ou de la “première demande” en cas de revendication de priorité aux termes des articles respecti</w:t>
            </w:r>
            <w:r w:rsidR="00D56ED8" w:rsidRPr="00D56ED8">
              <w:rPr>
                <w:sz w:val="18"/>
                <w:highlight w:val="lightGray"/>
                <w:u w:val="single"/>
              </w:rPr>
              <w:t>fs.  La</w:t>
            </w:r>
            <w:r w:rsidRPr="00D56ED8">
              <w:rPr>
                <w:sz w:val="18"/>
                <w:highlight w:val="lightGray"/>
                <w:u w:val="single"/>
              </w:rPr>
              <w:t xml:space="preserve"> protection provisoire et la responsabilité, comprenant les dommages</w:t>
            </w:r>
            <w:r w:rsidR="001F3E61" w:rsidRPr="00D56ED8">
              <w:rPr>
                <w:sz w:val="18"/>
                <w:highlight w:val="lightGray"/>
                <w:u w:val="single"/>
              </w:rPr>
              <w:t>-</w:t>
            </w:r>
            <w:r w:rsidRPr="00D56ED8">
              <w:rPr>
                <w:sz w:val="18"/>
                <w:highlight w:val="lightGray"/>
                <w:u w:val="single"/>
              </w:rPr>
              <w:t>intérêts, pour utilisation non autorisée, courent à partir de la date de dépôt ou de la date de priorité, selon le cas, de la demande de protection d</w:t>
            </w:r>
            <w:r w:rsidR="001F3E61" w:rsidRPr="00D56ED8">
              <w:rPr>
                <w:sz w:val="18"/>
                <w:highlight w:val="lightGray"/>
                <w:u w:val="single"/>
              </w:rPr>
              <w:t>’</w:t>
            </w:r>
            <w:r w:rsidRPr="00D56ED8">
              <w:rPr>
                <w:sz w:val="18"/>
                <w:highlight w:val="lightGray"/>
                <w:u w:val="single"/>
              </w:rPr>
              <w:t>une obtention végétale.”</w:t>
            </w:r>
          </w:p>
          <w:p w:rsidR="00C37A53" w:rsidRPr="00D56ED8" w:rsidRDefault="00C37A53" w:rsidP="00C906F8">
            <w:pPr>
              <w:ind w:left="1148" w:hanging="630"/>
              <w:rPr>
                <w:sz w:val="8"/>
              </w:rPr>
            </w:pPr>
          </w:p>
        </w:tc>
      </w:tr>
    </w:tbl>
    <w:p w:rsidR="00C37A53" w:rsidRPr="00D56ED8" w:rsidRDefault="00C37A53" w:rsidP="00C37A53"/>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C37A53" w:rsidP="00C906F8">
            <w:pPr>
              <w:rPr>
                <w:sz w:val="18"/>
                <w:szCs w:val="18"/>
                <w:u w:val="single"/>
              </w:rPr>
            </w:pPr>
            <w:r w:rsidRPr="00D56ED8">
              <w:rPr>
                <w:sz w:val="18"/>
                <w:szCs w:val="18"/>
                <w:u w:val="single"/>
              </w:rPr>
              <w:t>Proposition du Japon</w:t>
            </w:r>
            <w:r w:rsidRPr="00AC6C72">
              <w:rPr>
                <w:rStyle w:val="EndnoteReference"/>
                <w:sz w:val="18"/>
                <w:szCs w:val="18"/>
              </w:rPr>
              <w:endnoteReference w:id="4"/>
            </w:r>
          </w:p>
          <w:p w:rsidR="00C37A53" w:rsidRPr="00D56ED8" w:rsidRDefault="00C37A53" w:rsidP="00C906F8">
            <w:pPr>
              <w:rPr>
                <w:sz w:val="18"/>
                <w:szCs w:val="18"/>
                <w:u w:val="single"/>
              </w:rPr>
            </w:pPr>
          </w:p>
          <w:p w:rsidR="00C37A53" w:rsidRPr="00D56ED8" w:rsidRDefault="00854376" w:rsidP="00C906F8">
            <w:pPr>
              <w:rPr>
                <w:sz w:val="18"/>
                <w:szCs w:val="18"/>
              </w:rPr>
            </w:pPr>
            <w:r w:rsidRPr="00D56ED8">
              <w:rPr>
                <w:sz w:val="18"/>
                <w:szCs w:val="18"/>
              </w:rPr>
              <w:t>Concernant le</w:t>
            </w:r>
            <w:r w:rsidR="00C37A53" w:rsidRPr="00D56ED8">
              <w:rPr>
                <w:sz w:val="18"/>
                <w:szCs w:val="18"/>
              </w:rPr>
              <w:t xml:space="preserve"> </w:t>
            </w:r>
            <w:r w:rsidR="000C5E98" w:rsidRPr="00D56ED8">
              <w:rPr>
                <w:sz w:val="18"/>
                <w:szCs w:val="18"/>
              </w:rPr>
              <w:t>paragraphe 5</w:t>
            </w:r>
            <w:r w:rsidR="001F3E61" w:rsidRPr="00D56ED8">
              <w:rPr>
                <w:sz w:val="18"/>
                <w:szCs w:val="18"/>
              </w:rPr>
              <w:t> :</w:t>
            </w:r>
          </w:p>
          <w:p w:rsidR="00C37A53" w:rsidRPr="00D56ED8" w:rsidRDefault="00C37A53" w:rsidP="00C906F8">
            <w:pPr>
              <w:rPr>
                <w:sz w:val="18"/>
                <w:szCs w:val="18"/>
              </w:rPr>
            </w:pPr>
          </w:p>
          <w:p w:rsidR="00C37A53" w:rsidRPr="00D56ED8" w:rsidRDefault="000C5E98" w:rsidP="00C906F8">
            <w:pPr>
              <w:rPr>
                <w:sz w:val="18"/>
              </w:rPr>
            </w:pPr>
            <w:r w:rsidRPr="00D56ED8">
              <w:rPr>
                <w:sz w:val="18"/>
              </w:rPr>
              <w:t>“L</w:t>
            </w:r>
            <w:r w:rsidR="00C37A53" w:rsidRPr="00D56ED8">
              <w:rPr>
                <w:sz w:val="18"/>
              </w:rPr>
              <w:t xml:space="preserve">e Japon accueille avec intérêt la proposition positive sur la </w:t>
            </w:r>
            <w:r w:rsidRPr="00D56ED8">
              <w:rPr>
                <w:sz w:val="18"/>
              </w:rPr>
              <w:t>“p</w:t>
            </w:r>
            <w:r w:rsidR="00C37A53" w:rsidRPr="00D56ED8">
              <w:rPr>
                <w:sz w:val="18"/>
              </w:rPr>
              <w:t>rotection provisoir</w:t>
            </w:r>
            <w:r w:rsidRPr="00D56ED8">
              <w:rPr>
                <w:sz w:val="18"/>
              </w:rPr>
              <w:t>e”</w:t>
            </w:r>
            <w:r w:rsidR="00C37A53" w:rsidRPr="00D56ED8">
              <w:rPr>
                <w:sz w:val="18"/>
              </w:rPr>
              <w:t xml:space="preserve"> de l</w:t>
            </w:r>
            <w:r w:rsidR="001F3E61" w:rsidRPr="00D56ED8">
              <w:rPr>
                <w:sz w:val="18"/>
              </w:rPr>
              <w:t>’</w:t>
            </w:r>
            <w:r w:rsidR="00C37A53" w:rsidRPr="00D56ED8">
              <w:rPr>
                <w:sz w:val="18"/>
              </w:rPr>
              <w:t>ISF, de</w:t>
            </w:r>
            <w:r w:rsidRPr="00D56ED8">
              <w:rPr>
                <w:sz w:val="18"/>
              </w:rPr>
              <w:t xml:space="preserve"> la CIO</w:t>
            </w:r>
            <w:r w:rsidR="00C37A53" w:rsidRPr="00D56ED8">
              <w:rPr>
                <w:sz w:val="18"/>
              </w:rPr>
              <w:t xml:space="preserve">PORA, de </w:t>
            </w:r>
            <w:proofErr w:type="spellStart"/>
            <w:r w:rsidR="00C37A53" w:rsidRPr="00D56ED8">
              <w:rPr>
                <w:sz w:val="18"/>
              </w:rPr>
              <w:t>CropLife</w:t>
            </w:r>
            <w:proofErr w:type="spellEnd"/>
            <w:r w:rsidR="00C37A53" w:rsidRPr="00D56ED8">
              <w:rPr>
                <w:sz w:val="18"/>
              </w:rPr>
              <w:t xml:space="preserve"> International, d</w:t>
            </w:r>
            <w:r w:rsidR="001F3E61" w:rsidRPr="00D56ED8">
              <w:rPr>
                <w:sz w:val="18"/>
              </w:rPr>
              <w:t>’</w:t>
            </w:r>
            <w:proofErr w:type="spellStart"/>
            <w:r w:rsidR="00C37A53" w:rsidRPr="00D56ED8">
              <w:rPr>
                <w:sz w:val="18"/>
              </w:rPr>
              <w:t>Euroseeds</w:t>
            </w:r>
            <w:proofErr w:type="spellEnd"/>
            <w:r w:rsidR="00C37A53" w:rsidRPr="00D56ED8">
              <w:rPr>
                <w:sz w:val="18"/>
              </w:rPr>
              <w:t>, de l</w:t>
            </w:r>
            <w:r w:rsidR="001F3E61" w:rsidRPr="00D56ED8">
              <w:rPr>
                <w:sz w:val="18"/>
              </w:rPr>
              <w:t>’</w:t>
            </w:r>
            <w:r w:rsidR="00C37A53" w:rsidRPr="00D56ED8">
              <w:rPr>
                <w:sz w:val="18"/>
              </w:rPr>
              <w:t>APSA, de l</w:t>
            </w:r>
            <w:r w:rsidR="001F3E61" w:rsidRPr="00D56ED8">
              <w:rPr>
                <w:sz w:val="18"/>
              </w:rPr>
              <w:t>’</w:t>
            </w:r>
            <w:r w:rsidR="00C37A53" w:rsidRPr="00D56ED8">
              <w:rPr>
                <w:sz w:val="18"/>
              </w:rPr>
              <w:t>AFSTA et de</w:t>
            </w:r>
            <w:r w:rsidRPr="00D56ED8">
              <w:rPr>
                <w:sz w:val="18"/>
              </w:rPr>
              <w:t xml:space="preserve"> la SAA</w:t>
            </w:r>
            <w:r w:rsidR="00C37A53" w:rsidRPr="00D56ED8">
              <w:rPr>
                <w:sz w:val="18"/>
              </w:rPr>
              <w:t>.</w:t>
            </w:r>
          </w:p>
          <w:p w:rsidR="00C37A53" w:rsidRPr="00D56ED8" w:rsidRDefault="00C37A53" w:rsidP="00C906F8">
            <w:pPr>
              <w:rPr>
                <w:sz w:val="18"/>
              </w:rPr>
            </w:pPr>
            <w:r w:rsidRPr="00D56ED8">
              <w:rPr>
                <w:sz w:val="18"/>
              </w:rPr>
              <w:t>Lors du dépôt d</w:t>
            </w:r>
            <w:r w:rsidR="001F3E61" w:rsidRPr="00D56ED8">
              <w:rPr>
                <w:sz w:val="18"/>
              </w:rPr>
              <w:t>’</w:t>
            </w:r>
            <w:r w:rsidRPr="00D56ED8">
              <w:rPr>
                <w:sz w:val="18"/>
              </w:rPr>
              <w:t>une demande à l</w:t>
            </w:r>
            <w:r w:rsidR="001F3E61" w:rsidRPr="00D56ED8">
              <w:rPr>
                <w:sz w:val="18"/>
              </w:rPr>
              <w:t>’</w:t>
            </w:r>
            <w:r w:rsidRPr="00D56ED8">
              <w:rPr>
                <w:sz w:val="18"/>
              </w:rPr>
              <w:t xml:space="preserve">étranger, la publication de la demande prend inévitablement du temps en raison des procédures de quarantaine ou de demande, </w:t>
            </w:r>
            <w:r w:rsidR="000C5E98" w:rsidRPr="00D56ED8">
              <w:rPr>
                <w:sz w:val="18"/>
              </w:rPr>
              <w:t>laissant ainsi</w:t>
            </w:r>
            <w:r w:rsidRPr="00D56ED8">
              <w:rPr>
                <w:sz w:val="18"/>
              </w:rPr>
              <w:t xml:space="preserve"> un vide jusqu</w:t>
            </w:r>
            <w:r w:rsidR="001F3E61" w:rsidRPr="00D56ED8">
              <w:rPr>
                <w:sz w:val="18"/>
              </w:rPr>
              <w:t>’</w:t>
            </w:r>
            <w:r w:rsidRPr="00D56ED8">
              <w:rPr>
                <w:sz w:val="18"/>
              </w:rPr>
              <w:t>à l</w:t>
            </w:r>
            <w:r w:rsidR="001F3E61" w:rsidRPr="00D56ED8">
              <w:rPr>
                <w:sz w:val="18"/>
              </w:rPr>
              <w:t>’</w:t>
            </w:r>
            <w:r w:rsidRPr="00D56ED8">
              <w:rPr>
                <w:sz w:val="18"/>
              </w:rPr>
              <w:t>octroi de la protection provisoi</w:t>
            </w:r>
            <w:r w:rsidR="00D56ED8" w:rsidRPr="00D56ED8">
              <w:rPr>
                <w:sz w:val="18"/>
              </w:rPr>
              <w:t>re.  En</w:t>
            </w:r>
            <w:r w:rsidRPr="00D56ED8">
              <w:rPr>
                <w:sz w:val="18"/>
              </w:rPr>
              <w:t xml:space="preserve"> revanche, la culture à partir de semences ou de plantules emporté</w:t>
            </w:r>
            <w:r w:rsidR="00F138DD">
              <w:rPr>
                <w:sz w:val="18"/>
              </w:rPr>
              <w:t>e</w:t>
            </w:r>
            <w:r w:rsidRPr="00D56ED8">
              <w:rPr>
                <w:sz w:val="18"/>
              </w:rPr>
              <w:t>s illégalement à l</w:t>
            </w:r>
            <w:r w:rsidR="001F3E61" w:rsidRPr="00D56ED8">
              <w:rPr>
                <w:sz w:val="18"/>
              </w:rPr>
              <w:t>’</w:t>
            </w:r>
            <w:r w:rsidRPr="00D56ED8">
              <w:rPr>
                <w:sz w:val="18"/>
              </w:rPr>
              <w:t>étranger</w:t>
            </w:r>
            <w:r w:rsidR="00854376" w:rsidRPr="00D56ED8">
              <w:rPr>
                <w:sz w:val="18"/>
              </w:rPr>
              <w:t xml:space="preserve"> peut se propager immédiatement</w:t>
            </w:r>
            <w:r w:rsidRPr="00D56ED8">
              <w:rPr>
                <w:sz w:val="18"/>
              </w:rPr>
              <w:t xml:space="preserve"> et le droit d</w:t>
            </w:r>
            <w:r w:rsidR="001F3E61" w:rsidRPr="00D56ED8">
              <w:rPr>
                <w:sz w:val="18"/>
              </w:rPr>
              <w:t>’</w:t>
            </w:r>
            <w:r w:rsidRPr="00D56ED8">
              <w:rPr>
                <w:sz w:val="18"/>
              </w:rPr>
              <w:t>obtenteur ne peut plus être exercé sur les semences à temps.</w:t>
            </w:r>
          </w:p>
          <w:p w:rsidR="00C37A53" w:rsidRPr="00D56ED8" w:rsidRDefault="00C37A53" w:rsidP="00C906F8">
            <w:pPr>
              <w:rPr>
                <w:sz w:val="18"/>
              </w:rPr>
            </w:pPr>
            <w:r w:rsidRPr="00D56ED8">
              <w:rPr>
                <w:sz w:val="18"/>
              </w:rPr>
              <w:t>La proposition soulève des questions importantes qui permettront de protéger les intérêts c</w:t>
            </w:r>
            <w:r w:rsidR="00854376" w:rsidRPr="00D56ED8">
              <w:rPr>
                <w:sz w:val="18"/>
              </w:rPr>
              <w:t>ommuns de tous les pays membres</w:t>
            </w:r>
            <w:r w:rsidRPr="00D56ED8">
              <w:rPr>
                <w:sz w:val="18"/>
              </w:rPr>
              <w:t xml:space="preserve"> et le Japon appuie cette proposition </w:t>
            </w:r>
            <w:r w:rsidR="007E2FA3" w:rsidRPr="00D56ED8">
              <w:rPr>
                <w:sz w:val="18"/>
              </w:rPr>
              <w:t>en substance</w:t>
            </w:r>
            <w:r w:rsidRPr="00D56ED8">
              <w:rPr>
                <w:sz w:val="18"/>
              </w:rPr>
              <w:t>.</w:t>
            </w:r>
          </w:p>
          <w:p w:rsidR="00C37A53" w:rsidRPr="00D56ED8" w:rsidRDefault="00C37A53" w:rsidP="00C906F8">
            <w:pPr>
              <w:rPr>
                <w:sz w:val="18"/>
              </w:rPr>
            </w:pPr>
            <w:r w:rsidRPr="00D56ED8">
              <w:rPr>
                <w:sz w:val="18"/>
              </w:rPr>
              <w:t>Cependant, l</w:t>
            </w:r>
            <w:r w:rsidR="001F3E61" w:rsidRPr="00D56ED8">
              <w:rPr>
                <w:sz w:val="18"/>
              </w:rPr>
              <w:t>’</w:t>
            </w:r>
            <w:r w:rsidR="000C5E98" w:rsidRPr="00D56ED8">
              <w:rPr>
                <w:sz w:val="18"/>
              </w:rPr>
              <w:t>article 1</w:t>
            </w:r>
            <w:r w:rsidRPr="00D56ED8">
              <w:rPr>
                <w:sz w:val="18"/>
              </w:rPr>
              <w:t xml:space="preserve">3 actuel de la </w:t>
            </w:r>
            <w:r w:rsidR="001F3E61" w:rsidRPr="00D56ED8">
              <w:rPr>
                <w:sz w:val="18"/>
              </w:rPr>
              <w:t>Convention UPOV</w:t>
            </w:r>
            <w:r w:rsidRPr="00D56ED8">
              <w:rPr>
                <w:sz w:val="18"/>
              </w:rPr>
              <w:t xml:space="preserve"> dispose qu</w:t>
            </w:r>
            <w:r w:rsidR="001F3E61" w:rsidRPr="00D56ED8">
              <w:rPr>
                <w:sz w:val="18"/>
              </w:rPr>
              <w:t>’</w:t>
            </w:r>
            <w:r w:rsidRPr="00D56ED8">
              <w:rPr>
                <w:sz w:val="18"/>
              </w:rPr>
              <w:t>une protection provisoire doit être fournie à chaque partie contractante lors du dépôt ou de la publication de la demande de ce pays et que chaque partie contractante doit choisir si le point de départ de la protection provisoire est le dépôt ou la publication d</w:t>
            </w:r>
            <w:r w:rsidR="00784621" w:rsidRPr="00D56ED8">
              <w:rPr>
                <w:sz w:val="18"/>
              </w:rPr>
              <w:t xml:space="preserve">e la demande, et ceci devrait </w:t>
            </w:r>
            <w:r w:rsidR="00854376" w:rsidRPr="00D56ED8">
              <w:rPr>
                <w:sz w:val="18"/>
              </w:rPr>
              <w:t>apparaître</w:t>
            </w:r>
            <w:r w:rsidRPr="00D56ED8">
              <w:rPr>
                <w:sz w:val="18"/>
              </w:rPr>
              <w:t xml:space="preserve"> dans la proposition ci</w:t>
            </w:r>
            <w:r w:rsidR="001F3E61" w:rsidRPr="00D56ED8">
              <w:rPr>
                <w:sz w:val="18"/>
              </w:rPr>
              <w:t>-</w:t>
            </w:r>
            <w:r w:rsidRPr="00D56ED8">
              <w:rPr>
                <w:sz w:val="18"/>
              </w:rPr>
              <w:t>dessus.</w:t>
            </w:r>
          </w:p>
          <w:p w:rsidR="00C37A53" w:rsidRPr="00D56ED8" w:rsidRDefault="00C37A53" w:rsidP="00C906F8">
            <w:pPr>
              <w:rPr>
                <w:sz w:val="18"/>
              </w:rPr>
            </w:pPr>
            <w:r w:rsidRPr="00D56ED8">
              <w:rPr>
                <w:sz w:val="18"/>
              </w:rPr>
              <w:t>Par conséquent, le Japon est disposé à faire avancer le débat sur la protection provisoire qui doit commencer dans tous les États membres de l</w:t>
            </w:r>
            <w:r w:rsidR="001F3E61" w:rsidRPr="00D56ED8">
              <w:rPr>
                <w:sz w:val="18"/>
              </w:rPr>
              <w:t>’</w:t>
            </w:r>
            <w:r w:rsidRPr="00D56ED8">
              <w:rPr>
                <w:sz w:val="18"/>
              </w:rPr>
              <w:t>UPOV au point de départ unifié (par exemple, la date de dépôt d</w:t>
            </w:r>
            <w:r w:rsidR="001F3E61" w:rsidRPr="00D56ED8">
              <w:rPr>
                <w:sz w:val="18"/>
              </w:rPr>
              <w:t>’</w:t>
            </w:r>
            <w:r w:rsidRPr="00D56ED8">
              <w:rPr>
                <w:sz w:val="18"/>
              </w:rPr>
              <w:t>une demande dans l</w:t>
            </w:r>
            <w:r w:rsidR="001F3E61" w:rsidRPr="00D56ED8">
              <w:rPr>
                <w:sz w:val="18"/>
              </w:rPr>
              <w:t>’</w:t>
            </w:r>
            <w:r w:rsidRPr="00D56ED8">
              <w:rPr>
                <w:sz w:val="18"/>
              </w:rPr>
              <w:t xml:space="preserve">un quelconque des États membres) sans exclure la possibilité de modifier la </w:t>
            </w:r>
            <w:r w:rsidR="001F3E61" w:rsidRPr="00D56ED8">
              <w:rPr>
                <w:sz w:val="18"/>
              </w:rPr>
              <w:t>Convention UPOV</w:t>
            </w:r>
            <w:r w:rsidR="000C5E98" w:rsidRPr="00D56ED8">
              <w:rPr>
                <w:sz w:val="18"/>
              </w:rPr>
              <w:t>.”</w:t>
            </w:r>
          </w:p>
          <w:p w:rsidR="00C37A53" w:rsidRPr="00D56ED8" w:rsidRDefault="00C37A53" w:rsidP="00C906F8">
            <w:pPr>
              <w:ind w:left="1148" w:hanging="630"/>
              <w:rPr>
                <w:sz w:val="8"/>
              </w:rPr>
            </w:pPr>
          </w:p>
        </w:tc>
      </w:tr>
    </w:tbl>
    <w:p w:rsidR="00C37A53" w:rsidRPr="00D56ED8" w:rsidRDefault="00C37A53" w:rsidP="00C37A53">
      <w:r w:rsidRPr="00D56ED8">
        <w:br/>
      </w:r>
    </w:p>
    <w:p w:rsidR="00C37A53" w:rsidRPr="00D56ED8" w:rsidRDefault="00C37A53" w:rsidP="00C37A53">
      <w:pPr>
        <w:jc w:val="left"/>
      </w:pPr>
      <w:r w:rsidRPr="00D56ED8">
        <w:br w:type="page"/>
      </w:r>
    </w:p>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C37A53" w:rsidP="00C906F8">
            <w:pPr>
              <w:rPr>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AIPH</w:t>
            </w:r>
            <w:r w:rsidRPr="00D56ED8">
              <w:rPr>
                <w:rStyle w:val="EndnoteReference"/>
                <w:sz w:val="18"/>
                <w:szCs w:val="18"/>
              </w:rPr>
              <w:endnoteReference w:id="5"/>
            </w:r>
          </w:p>
          <w:p w:rsidR="00C37A53" w:rsidRPr="00D56ED8" w:rsidRDefault="00C37A53" w:rsidP="00C906F8">
            <w:pPr>
              <w:rPr>
                <w:sz w:val="18"/>
                <w:szCs w:val="18"/>
              </w:rPr>
            </w:pPr>
          </w:p>
          <w:p w:rsidR="000C5E98" w:rsidRPr="00D56ED8" w:rsidRDefault="000C5E98" w:rsidP="00C906F8">
            <w:pPr>
              <w:rPr>
                <w:sz w:val="18"/>
                <w:szCs w:val="18"/>
              </w:rPr>
            </w:pPr>
            <w:r w:rsidRPr="00D56ED8">
              <w:rPr>
                <w:sz w:val="18"/>
                <w:szCs w:val="18"/>
              </w:rPr>
              <w:t>“L</w:t>
            </w:r>
            <w:r w:rsidR="00C37A53" w:rsidRPr="00D56ED8">
              <w:rPr>
                <w:sz w:val="18"/>
                <w:szCs w:val="18"/>
              </w:rPr>
              <w:t xml:space="preserve">a volonté </w:t>
            </w:r>
            <w:r w:rsidR="00784621" w:rsidRPr="00D56ED8">
              <w:rPr>
                <w:sz w:val="18"/>
                <w:szCs w:val="18"/>
              </w:rPr>
              <w:t>d</w:t>
            </w:r>
            <w:r w:rsidR="001F3E61" w:rsidRPr="00D56ED8">
              <w:rPr>
                <w:sz w:val="18"/>
                <w:szCs w:val="18"/>
              </w:rPr>
              <w:t>’</w:t>
            </w:r>
            <w:r w:rsidR="00784621" w:rsidRPr="00D56ED8">
              <w:rPr>
                <w:sz w:val="18"/>
                <w:szCs w:val="18"/>
              </w:rPr>
              <w:t>ajouter</w:t>
            </w:r>
            <w:r w:rsidR="00C37A53" w:rsidRPr="00D56ED8">
              <w:rPr>
                <w:sz w:val="18"/>
                <w:szCs w:val="18"/>
              </w:rPr>
              <w:t xml:space="preserve"> le texte dans l</w:t>
            </w:r>
            <w:r w:rsidR="001F3E61" w:rsidRPr="00D56ED8">
              <w:rPr>
                <w:sz w:val="18"/>
                <w:szCs w:val="18"/>
              </w:rPr>
              <w:t>’</w:t>
            </w:r>
            <w:r w:rsidR="00C37A53" w:rsidRPr="00D56ED8">
              <w:rPr>
                <w:sz w:val="18"/>
                <w:szCs w:val="18"/>
              </w:rPr>
              <w:t>encadré ci</w:t>
            </w:r>
            <w:r w:rsidR="001F3E61" w:rsidRPr="00D56ED8">
              <w:rPr>
                <w:sz w:val="18"/>
                <w:szCs w:val="18"/>
              </w:rPr>
              <w:t>-</w:t>
            </w:r>
            <w:r w:rsidR="00C37A53" w:rsidRPr="00D56ED8">
              <w:rPr>
                <w:sz w:val="18"/>
                <w:szCs w:val="18"/>
              </w:rPr>
              <w:t>dessus [</w:t>
            </w:r>
            <w:r w:rsidR="00C37A53" w:rsidRPr="00D56ED8">
              <w:rPr>
                <w:sz w:val="18"/>
                <w:szCs w:val="18"/>
                <w:u w:val="single"/>
              </w:rPr>
              <w:t>Propositions de l</w:t>
            </w:r>
            <w:r w:rsidR="001F3E61" w:rsidRPr="00D56ED8">
              <w:rPr>
                <w:sz w:val="18"/>
                <w:szCs w:val="18"/>
                <w:u w:val="single"/>
              </w:rPr>
              <w:t>’</w:t>
            </w:r>
            <w:r w:rsidR="00C37A53" w:rsidRPr="00D56ED8">
              <w:rPr>
                <w:sz w:val="18"/>
                <w:szCs w:val="18"/>
                <w:u w:val="single"/>
              </w:rPr>
              <w:t>ISF, de</w:t>
            </w:r>
            <w:r w:rsidRPr="00D56ED8">
              <w:rPr>
                <w:sz w:val="18"/>
                <w:szCs w:val="18"/>
                <w:u w:val="single"/>
              </w:rPr>
              <w:t xml:space="preserve"> la CIO</w:t>
            </w:r>
            <w:r w:rsidR="00C37A53" w:rsidRPr="00D56ED8">
              <w:rPr>
                <w:sz w:val="18"/>
                <w:szCs w:val="18"/>
                <w:u w:val="single"/>
              </w:rPr>
              <w:t xml:space="preserve">PORA, de </w:t>
            </w:r>
            <w:proofErr w:type="spellStart"/>
            <w:r w:rsidR="00C37A53" w:rsidRPr="00D56ED8">
              <w:rPr>
                <w:sz w:val="18"/>
                <w:szCs w:val="18"/>
                <w:u w:val="single"/>
              </w:rPr>
              <w:t>CropLife</w:t>
            </w:r>
            <w:proofErr w:type="spellEnd"/>
            <w:r w:rsidR="00C37A53" w:rsidRPr="00D56ED8">
              <w:rPr>
                <w:sz w:val="18"/>
                <w:szCs w:val="18"/>
                <w:u w:val="single"/>
              </w:rPr>
              <w:t xml:space="preserve"> International, d</w:t>
            </w:r>
            <w:r w:rsidR="001F3E61" w:rsidRPr="00D56ED8">
              <w:rPr>
                <w:sz w:val="18"/>
                <w:szCs w:val="18"/>
                <w:u w:val="single"/>
              </w:rPr>
              <w:t>’</w:t>
            </w:r>
            <w:proofErr w:type="spellStart"/>
            <w:r w:rsidR="00C37A53" w:rsidRPr="00D56ED8">
              <w:rPr>
                <w:sz w:val="18"/>
                <w:szCs w:val="18"/>
                <w:u w:val="single"/>
              </w:rPr>
              <w:t>Euroseeds</w:t>
            </w:r>
            <w:proofErr w:type="spellEnd"/>
            <w:r w:rsidR="00C37A53" w:rsidRPr="00D56ED8">
              <w:rPr>
                <w:sz w:val="18"/>
                <w:szCs w:val="18"/>
                <w:u w:val="single"/>
              </w:rPr>
              <w:t>, de l</w:t>
            </w:r>
            <w:r w:rsidR="001F3E61" w:rsidRPr="00D56ED8">
              <w:rPr>
                <w:sz w:val="18"/>
                <w:szCs w:val="18"/>
                <w:u w:val="single"/>
              </w:rPr>
              <w:t>’</w:t>
            </w:r>
            <w:r w:rsidR="00C37A53" w:rsidRPr="00D56ED8">
              <w:rPr>
                <w:sz w:val="18"/>
                <w:szCs w:val="18"/>
                <w:u w:val="single"/>
              </w:rPr>
              <w:t>APSA, de l</w:t>
            </w:r>
            <w:r w:rsidR="001F3E61" w:rsidRPr="00D56ED8">
              <w:rPr>
                <w:sz w:val="18"/>
                <w:szCs w:val="18"/>
                <w:u w:val="single"/>
              </w:rPr>
              <w:t>’</w:t>
            </w:r>
            <w:r w:rsidR="00C37A53" w:rsidRPr="00D56ED8">
              <w:rPr>
                <w:sz w:val="18"/>
                <w:szCs w:val="18"/>
                <w:u w:val="single"/>
              </w:rPr>
              <w:t>AFSTA et de</w:t>
            </w:r>
            <w:r w:rsidRPr="00D56ED8">
              <w:rPr>
                <w:sz w:val="18"/>
                <w:szCs w:val="18"/>
                <w:u w:val="single"/>
              </w:rPr>
              <w:t xml:space="preserve"> la SAA</w:t>
            </w:r>
            <w:r w:rsidR="00C37A53" w:rsidRPr="00D56ED8">
              <w:rPr>
                <w:sz w:val="18"/>
                <w:szCs w:val="18"/>
                <w:u w:val="single"/>
              </w:rPr>
              <w:t xml:space="preserve"> concernant le </w:t>
            </w:r>
            <w:r w:rsidRPr="00D56ED8">
              <w:rPr>
                <w:sz w:val="18"/>
                <w:szCs w:val="18"/>
                <w:u w:val="single"/>
              </w:rPr>
              <w:t>paragraphe 5</w:t>
            </w:r>
            <w:r w:rsidR="00C37A53" w:rsidRPr="00D56ED8">
              <w:rPr>
                <w:sz w:val="18"/>
                <w:szCs w:val="18"/>
              </w:rPr>
              <w:t xml:space="preserve">] se comprend au regard de la décision </w:t>
            </w:r>
            <w:proofErr w:type="spellStart"/>
            <w:r w:rsidR="00C37A53" w:rsidRPr="00D56ED8">
              <w:rPr>
                <w:sz w:val="18"/>
                <w:szCs w:val="18"/>
              </w:rPr>
              <w:t>Nadorcott</w:t>
            </w:r>
            <w:proofErr w:type="spellEnd"/>
            <w:r w:rsidR="00C37A53" w:rsidRPr="00D56ED8">
              <w:rPr>
                <w:sz w:val="18"/>
                <w:szCs w:val="18"/>
              </w:rPr>
              <w:t>, mais</w:t>
            </w:r>
            <w:r w:rsidR="00274CC7" w:rsidRPr="00D56ED8">
              <w:rPr>
                <w:sz w:val="18"/>
                <w:szCs w:val="18"/>
              </w:rPr>
              <w:t>…</w:t>
            </w:r>
          </w:p>
          <w:p w:rsidR="000C5E98" w:rsidRPr="00D56ED8" w:rsidRDefault="00C37A53" w:rsidP="00C906F8">
            <w:pPr>
              <w:rPr>
                <w:sz w:val="18"/>
                <w:szCs w:val="18"/>
              </w:rPr>
            </w:pPr>
            <w:r w:rsidRPr="00D56ED8">
              <w:rPr>
                <w:sz w:val="18"/>
                <w:szCs w:val="18"/>
              </w:rPr>
              <w:t>1) selon l</w:t>
            </w:r>
            <w:r w:rsidR="001F3E61" w:rsidRPr="00D56ED8">
              <w:rPr>
                <w:sz w:val="18"/>
                <w:szCs w:val="18"/>
              </w:rPr>
              <w:t>’</w:t>
            </w:r>
            <w:r w:rsidRPr="00D56ED8">
              <w:rPr>
                <w:sz w:val="18"/>
                <w:szCs w:val="18"/>
              </w:rPr>
              <w:t>AIPH, il n</w:t>
            </w:r>
            <w:r w:rsidR="001F3E61" w:rsidRPr="00D56ED8">
              <w:rPr>
                <w:sz w:val="18"/>
                <w:szCs w:val="18"/>
              </w:rPr>
              <w:t>’</w:t>
            </w:r>
            <w:r w:rsidRPr="00D56ED8">
              <w:rPr>
                <w:sz w:val="18"/>
                <w:szCs w:val="18"/>
              </w:rPr>
              <w:t>est pas conforme à la signification et à l</w:t>
            </w:r>
            <w:r w:rsidR="001F3E61" w:rsidRPr="00D56ED8">
              <w:rPr>
                <w:sz w:val="18"/>
                <w:szCs w:val="18"/>
              </w:rPr>
              <w:t>’</w:t>
            </w:r>
            <w:r w:rsidRPr="00D56ED8">
              <w:rPr>
                <w:sz w:val="18"/>
                <w:szCs w:val="18"/>
              </w:rPr>
              <w:t>intention fondamentales du principe d</w:t>
            </w:r>
            <w:r w:rsidR="001F3E61" w:rsidRPr="00D56ED8">
              <w:rPr>
                <w:sz w:val="18"/>
                <w:szCs w:val="18"/>
              </w:rPr>
              <w:t>’</w:t>
            </w:r>
            <w:r w:rsidRPr="00D56ED8">
              <w:rPr>
                <w:sz w:val="18"/>
                <w:szCs w:val="18"/>
              </w:rPr>
              <w:t>autorisation, c</w:t>
            </w:r>
            <w:r w:rsidR="001F3E61" w:rsidRPr="00D56ED8">
              <w:rPr>
                <w:sz w:val="18"/>
                <w:szCs w:val="18"/>
              </w:rPr>
              <w:t>’</w:t>
            </w:r>
            <w:r w:rsidRPr="00D56ED8">
              <w:rPr>
                <w:sz w:val="18"/>
                <w:szCs w:val="18"/>
              </w:rPr>
              <w:t>est</w:t>
            </w:r>
            <w:r w:rsidR="001F3E61" w:rsidRPr="00D56ED8">
              <w:rPr>
                <w:sz w:val="18"/>
                <w:szCs w:val="18"/>
              </w:rPr>
              <w:t>-</w:t>
            </w:r>
            <w:r w:rsidRPr="00D56ED8">
              <w:rPr>
                <w:sz w:val="18"/>
                <w:szCs w:val="18"/>
              </w:rPr>
              <w:t>à</w:t>
            </w:r>
            <w:r w:rsidR="001F3E61" w:rsidRPr="00D56ED8">
              <w:rPr>
                <w:sz w:val="18"/>
                <w:szCs w:val="18"/>
              </w:rPr>
              <w:t>-</w:t>
            </w:r>
            <w:r w:rsidRPr="00D56ED8">
              <w:rPr>
                <w:sz w:val="18"/>
                <w:szCs w:val="18"/>
              </w:rPr>
              <w:t>dire qu</w:t>
            </w:r>
            <w:r w:rsidR="001F3E61" w:rsidRPr="00D56ED8">
              <w:rPr>
                <w:sz w:val="18"/>
                <w:szCs w:val="18"/>
              </w:rPr>
              <w:t>’</w:t>
            </w:r>
            <w:r w:rsidRPr="00D56ED8">
              <w:rPr>
                <w:sz w:val="18"/>
                <w:szCs w:val="18"/>
              </w:rPr>
              <w:t xml:space="preserve">il doit être interprété comme un consentement. </w:t>
            </w:r>
            <w:r w:rsidR="00274CC7" w:rsidRPr="00D56ED8">
              <w:rPr>
                <w:sz w:val="18"/>
                <w:szCs w:val="18"/>
              </w:rPr>
              <w:t xml:space="preserve"> </w:t>
            </w:r>
            <w:r w:rsidRPr="00D56ED8">
              <w:rPr>
                <w:sz w:val="18"/>
                <w:szCs w:val="18"/>
              </w:rPr>
              <w:t>L</w:t>
            </w:r>
            <w:r w:rsidR="001F3E61" w:rsidRPr="00D56ED8">
              <w:rPr>
                <w:sz w:val="18"/>
                <w:szCs w:val="18"/>
              </w:rPr>
              <w:t>’</w:t>
            </w:r>
            <w:r w:rsidRPr="00D56ED8">
              <w:rPr>
                <w:sz w:val="18"/>
                <w:szCs w:val="18"/>
              </w:rPr>
              <w:t>AIPH propose d</w:t>
            </w:r>
            <w:r w:rsidR="001F3E61" w:rsidRPr="00D56ED8">
              <w:rPr>
                <w:sz w:val="18"/>
                <w:szCs w:val="18"/>
              </w:rPr>
              <w:t>’</w:t>
            </w:r>
            <w:r w:rsidRPr="00D56ED8">
              <w:rPr>
                <w:sz w:val="18"/>
                <w:szCs w:val="18"/>
              </w:rPr>
              <w:t>examiner ce principe dans un premier temps et de tenter de parvenir à un point de vue commun à son sujet.</w:t>
            </w:r>
          </w:p>
          <w:p w:rsidR="00C37A53" w:rsidRPr="00D56ED8" w:rsidRDefault="00C37A53" w:rsidP="00C906F8">
            <w:pPr>
              <w:rPr>
                <w:sz w:val="18"/>
                <w:szCs w:val="18"/>
              </w:rPr>
            </w:pPr>
            <w:r w:rsidRPr="00D56ED8">
              <w:rPr>
                <w:sz w:val="18"/>
                <w:szCs w:val="18"/>
              </w:rPr>
              <w:t>2) La phrase en tant que telle est compliquée et détourne l</w:t>
            </w:r>
            <w:r w:rsidR="001F3E61" w:rsidRPr="00D56ED8">
              <w:rPr>
                <w:sz w:val="18"/>
                <w:szCs w:val="18"/>
              </w:rPr>
              <w:t>’</w:t>
            </w:r>
            <w:r w:rsidRPr="00D56ED8">
              <w:rPr>
                <w:sz w:val="18"/>
                <w:szCs w:val="18"/>
              </w:rPr>
              <w:t>attention de la discussion de base</w:t>
            </w:r>
            <w:r w:rsidR="000C5E98" w:rsidRPr="00D56ED8">
              <w:rPr>
                <w:sz w:val="18"/>
                <w:szCs w:val="18"/>
              </w:rPr>
              <w:t>.”</w:t>
            </w:r>
          </w:p>
          <w:p w:rsidR="00C37A53" w:rsidRPr="00D56ED8" w:rsidRDefault="00C37A53" w:rsidP="00C906F8">
            <w:pPr>
              <w:rPr>
                <w:sz w:val="8"/>
              </w:rPr>
            </w:pPr>
          </w:p>
        </w:tc>
      </w:tr>
    </w:tbl>
    <w:p w:rsidR="00C37A53" w:rsidRPr="00D56ED8" w:rsidRDefault="00C37A53" w:rsidP="00C37A53">
      <w:pPr>
        <w:pStyle w:val="Style1"/>
        <w:tabs>
          <w:tab w:val="clear" w:pos="907"/>
          <w:tab w:val="clear" w:pos="1077"/>
          <w:tab w:val="left" w:pos="0"/>
        </w:tabs>
        <w:rPr>
          <w:lang w:val="fr-FR"/>
        </w:rPr>
      </w:pPr>
    </w:p>
    <w:p w:rsidR="00C37A53" w:rsidRPr="00D56ED8" w:rsidRDefault="00C37A53" w:rsidP="00C37A53">
      <w:pPr>
        <w:pStyle w:val="Style1"/>
        <w:tabs>
          <w:tab w:val="clear" w:pos="907"/>
          <w:tab w:val="clear" w:pos="1077"/>
          <w:tab w:val="left" w:pos="0"/>
        </w:tabs>
        <w:rPr>
          <w:lang w:val="fr-FR"/>
        </w:rPr>
      </w:pPr>
    </w:p>
    <w:p w:rsidR="00C37A53" w:rsidRPr="00D56ED8" w:rsidRDefault="00C37A53" w:rsidP="00C37A53">
      <w:pPr>
        <w:pStyle w:val="Style1"/>
        <w:tabs>
          <w:tab w:val="clear" w:pos="907"/>
          <w:tab w:val="clear" w:pos="1077"/>
          <w:tab w:val="decimal" w:pos="0"/>
        </w:tabs>
        <w:rPr>
          <w:lang w:val="fr-FR"/>
        </w:rPr>
      </w:pPr>
      <w:r w:rsidRPr="00D56ED8">
        <w:rPr>
          <w:lang w:val="fr-FR"/>
        </w:rPr>
        <w:t>6.</w:t>
      </w:r>
      <w:r w:rsidRPr="00D56ED8">
        <w:rPr>
          <w:lang w:val="fr-FR"/>
        </w:rPr>
        <w:tab/>
        <w:t>Un membre de l</w:t>
      </w:r>
      <w:r w:rsidR="001F3E61" w:rsidRPr="00D56ED8">
        <w:rPr>
          <w:lang w:val="fr-FR"/>
        </w:rPr>
        <w:t>’</w:t>
      </w:r>
      <w:r w:rsidRPr="00D56ED8">
        <w:rPr>
          <w:lang w:val="fr-FR"/>
        </w:rPr>
        <w:t>Union peut prévoir dans sa législation que les mesures de protection provisoire (voir ci</w:t>
      </w:r>
      <w:r w:rsidR="001F3E61" w:rsidRPr="00D56ED8">
        <w:rPr>
          <w:lang w:val="fr-FR"/>
        </w:rPr>
        <w:t>-</w:t>
      </w:r>
      <w:r w:rsidRPr="00D56ED8">
        <w:rPr>
          <w:lang w:val="fr-FR"/>
        </w:rPr>
        <w:t>dessous le paragraphe intitulé “Mesures”) ne prendront effet qu</w:t>
      </w:r>
      <w:r w:rsidR="001F3E61" w:rsidRPr="00D56ED8">
        <w:rPr>
          <w:lang w:val="fr-FR"/>
        </w:rPr>
        <w:t>’à l’égard</w:t>
      </w:r>
      <w:r w:rsidRPr="00D56ED8">
        <w:rPr>
          <w:lang w:val="fr-FR"/>
        </w:rPr>
        <w:t xml:space="preserve"> des personnes auxquelles l</w:t>
      </w:r>
      <w:r w:rsidR="001F3E61" w:rsidRPr="00D56ED8">
        <w:rPr>
          <w:lang w:val="fr-FR"/>
        </w:rPr>
        <w:t>’</w:t>
      </w:r>
      <w:r w:rsidRPr="00D56ED8">
        <w:rPr>
          <w:lang w:val="fr-FR"/>
        </w:rPr>
        <w:t>obtenteur aura notifié le dépôt de la deman</w:t>
      </w:r>
      <w:r w:rsidR="00D56ED8" w:rsidRPr="00D56ED8">
        <w:rPr>
          <w:lang w:val="fr-FR"/>
        </w:rPr>
        <w:t>de.  Ce</w:t>
      </w:r>
      <w:r w:rsidRPr="00D56ED8">
        <w:rPr>
          <w:lang w:val="fr-FR"/>
        </w:rPr>
        <w:t xml:space="preserve">tte notification peut être considérée comme effective </w:t>
      </w:r>
      <w:r w:rsidR="001F3E61" w:rsidRPr="00D56ED8">
        <w:rPr>
          <w:lang w:val="fr-FR"/>
        </w:rPr>
        <w:t>à l’égard</w:t>
      </w:r>
      <w:r w:rsidRPr="00D56ED8">
        <w:rPr>
          <w:lang w:val="fr-FR"/>
        </w:rPr>
        <w:t xml:space="preserve"> de toutes les personnes lorsque la loi a retenu la date de la publication comme date initiale de protection provisoire car la publication est généralement reconnue comme un mécanisme de notification à des tiers.</w:t>
      </w:r>
    </w:p>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D42F65" w:rsidP="00C906F8">
            <w:pPr>
              <w:rPr>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ISF, de</w:t>
            </w:r>
            <w:r w:rsidR="000C5E98" w:rsidRPr="00D56ED8">
              <w:rPr>
                <w:sz w:val="18"/>
                <w:szCs w:val="18"/>
                <w:u w:val="single"/>
              </w:rPr>
              <w:t xml:space="preserve"> la CIO</w:t>
            </w:r>
            <w:r w:rsidRPr="00D56ED8">
              <w:rPr>
                <w:sz w:val="18"/>
                <w:szCs w:val="18"/>
                <w:u w:val="single"/>
              </w:rPr>
              <w:t xml:space="preserve">PORA, de </w:t>
            </w:r>
            <w:proofErr w:type="spellStart"/>
            <w:r w:rsidRPr="00D56ED8">
              <w:rPr>
                <w:sz w:val="18"/>
                <w:szCs w:val="18"/>
                <w:u w:val="single"/>
              </w:rPr>
              <w:t>CropLife</w:t>
            </w:r>
            <w:proofErr w:type="spellEnd"/>
            <w:r w:rsidRPr="00D56ED8">
              <w:rPr>
                <w:sz w:val="18"/>
                <w:szCs w:val="18"/>
                <w:u w:val="single"/>
              </w:rPr>
              <w:t xml:space="preserve"> International, d</w:t>
            </w:r>
            <w:r w:rsidR="001F3E61" w:rsidRPr="00D56ED8">
              <w:rPr>
                <w:sz w:val="18"/>
                <w:szCs w:val="18"/>
                <w:u w:val="single"/>
              </w:rPr>
              <w:t>’</w:t>
            </w:r>
            <w:proofErr w:type="spellStart"/>
            <w:r w:rsidRPr="00D56ED8">
              <w:rPr>
                <w:sz w:val="18"/>
                <w:szCs w:val="18"/>
                <w:u w:val="single"/>
              </w:rPr>
              <w:t>Euroseeds</w:t>
            </w:r>
            <w:proofErr w:type="spellEnd"/>
            <w:r w:rsidRPr="00D56ED8">
              <w:rPr>
                <w:sz w:val="18"/>
                <w:szCs w:val="18"/>
                <w:u w:val="single"/>
              </w:rPr>
              <w:t>, de l</w:t>
            </w:r>
            <w:r w:rsidR="001F3E61" w:rsidRPr="00D56ED8">
              <w:rPr>
                <w:sz w:val="18"/>
                <w:szCs w:val="18"/>
                <w:u w:val="single"/>
              </w:rPr>
              <w:t>’</w:t>
            </w:r>
            <w:r w:rsidRPr="00D56ED8">
              <w:rPr>
                <w:sz w:val="18"/>
                <w:szCs w:val="18"/>
                <w:u w:val="single"/>
              </w:rPr>
              <w:t>APSA, de l</w:t>
            </w:r>
            <w:r w:rsidR="001F3E61" w:rsidRPr="00D56ED8">
              <w:rPr>
                <w:sz w:val="18"/>
                <w:szCs w:val="18"/>
                <w:u w:val="single"/>
              </w:rPr>
              <w:t>’</w:t>
            </w:r>
            <w:r w:rsidRPr="00D56ED8">
              <w:rPr>
                <w:sz w:val="18"/>
                <w:szCs w:val="18"/>
                <w:u w:val="single"/>
              </w:rPr>
              <w:t>AFSTA et de</w:t>
            </w:r>
            <w:r w:rsidR="000C5E98" w:rsidRPr="00D56ED8">
              <w:rPr>
                <w:sz w:val="18"/>
                <w:szCs w:val="18"/>
                <w:u w:val="single"/>
              </w:rPr>
              <w:t xml:space="preserve"> la SAA</w:t>
            </w:r>
            <w:r w:rsidR="00C37A53" w:rsidRPr="00D56ED8">
              <w:rPr>
                <w:rStyle w:val="EndnoteReference"/>
                <w:sz w:val="18"/>
                <w:szCs w:val="18"/>
              </w:rPr>
              <w:endnoteReference w:id="6"/>
            </w:r>
          </w:p>
          <w:p w:rsidR="00C37A53" w:rsidRPr="00D56ED8" w:rsidRDefault="00C37A53" w:rsidP="00C906F8">
            <w:pPr>
              <w:rPr>
                <w:sz w:val="16"/>
                <w:szCs w:val="16"/>
              </w:rPr>
            </w:pPr>
          </w:p>
          <w:p w:rsidR="00C37A53" w:rsidRPr="00D56ED8" w:rsidRDefault="00C37A53" w:rsidP="00C906F8">
            <w:pPr>
              <w:rPr>
                <w:sz w:val="18"/>
              </w:rPr>
            </w:pPr>
            <w:r w:rsidRPr="00D56ED8">
              <w:rPr>
                <w:sz w:val="18"/>
              </w:rPr>
              <w:t xml:space="preserve">Mettre à jour le </w:t>
            </w:r>
            <w:r w:rsidR="000C5E98" w:rsidRPr="00D56ED8">
              <w:rPr>
                <w:sz w:val="18"/>
              </w:rPr>
              <w:t>paragraphe 6</w:t>
            </w:r>
            <w:r w:rsidRPr="00D56ED8">
              <w:rPr>
                <w:sz w:val="18"/>
              </w:rPr>
              <w:t xml:space="preserve"> en y ajoutant la phrase suivante</w:t>
            </w:r>
            <w:r w:rsidR="001F3E61" w:rsidRPr="00D56ED8">
              <w:rPr>
                <w:sz w:val="18"/>
              </w:rPr>
              <w:t> :</w:t>
            </w:r>
            <w:r w:rsidRPr="00D56ED8">
              <w:rPr>
                <w:sz w:val="18"/>
              </w:rPr>
              <w:t xml:space="preserve"> “Un membre de l</w:t>
            </w:r>
            <w:r w:rsidR="001F3E61" w:rsidRPr="00D56ED8">
              <w:rPr>
                <w:sz w:val="18"/>
              </w:rPr>
              <w:t>’</w:t>
            </w:r>
            <w:r w:rsidRPr="00D56ED8">
              <w:rPr>
                <w:sz w:val="18"/>
              </w:rPr>
              <w:t>Union peut (…).</w:t>
            </w:r>
          </w:p>
          <w:p w:rsidR="00C37A53" w:rsidRPr="00D56ED8" w:rsidRDefault="00C37A53" w:rsidP="00C906F8">
            <w:pPr>
              <w:rPr>
                <w:sz w:val="18"/>
              </w:rPr>
            </w:pPr>
          </w:p>
          <w:p w:rsidR="00C37A53" w:rsidRPr="00D56ED8" w:rsidRDefault="00C37A53" w:rsidP="00C906F8">
            <w:pPr>
              <w:rPr>
                <w:sz w:val="18"/>
                <w:szCs w:val="18"/>
              </w:rPr>
            </w:pPr>
            <w:r w:rsidRPr="00D56ED8">
              <w:rPr>
                <w:sz w:val="18"/>
                <w:szCs w:val="18"/>
              </w:rPr>
              <w:t>“</w:t>
            </w:r>
            <w:r w:rsidRPr="00D56ED8">
              <w:rPr>
                <w:sz w:val="18"/>
                <w:szCs w:val="18"/>
                <w:highlight w:val="lightGray"/>
                <w:u w:val="single"/>
              </w:rPr>
              <w:t>Une publication de protection d</w:t>
            </w:r>
            <w:r w:rsidR="001F3E61" w:rsidRPr="00D56ED8">
              <w:rPr>
                <w:sz w:val="18"/>
                <w:szCs w:val="18"/>
                <w:highlight w:val="lightGray"/>
                <w:u w:val="single"/>
              </w:rPr>
              <w:t>’</w:t>
            </w:r>
            <w:r w:rsidRPr="00D56ED8">
              <w:rPr>
                <w:sz w:val="18"/>
                <w:szCs w:val="18"/>
                <w:highlight w:val="lightGray"/>
                <w:u w:val="single"/>
              </w:rPr>
              <w:t>obtention végétale désigne une demande de protection d</w:t>
            </w:r>
            <w:r w:rsidR="001F3E61" w:rsidRPr="00D56ED8">
              <w:rPr>
                <w:sz w:val="18"/>
                <w:szCs w:val="18"/>
                <w:highlight w:val="lightGray"/>
                <w:u w:val="single"/>
              </w:rPr>
              <w:t>’</w:t>
            </w:r>
            <w:r w:rsidRPr="00D56ED8">
              <w:rPr>
                <w:sz w:val="18"/>
                <w:szCs w:val="18"/>
                <w:highlight w:val="lightGray"/>
                <w:u w:val="single"/>
              </w:rPr>
              <w:t>obtention végétale publiée dans un journal officiel ou une gazette, sur papier ou sous forme électronique</w:t>
            </w:r>
            <w:r w:rsidRPr="00D56ED8">
              <w:rPr>
                <w:sz w:val="18"/>
                <w:szCs w:val="18"/>
              </w:rPr>
              <w:t>.”</w:t>
            </w:r>
          </w:p>
          <w:p w:rsidR="00C37A53" w:rsidRPr="00D56ED8" w:rsidRDefault="00C37A53" w:rsidP="00C906F8">
            <w:pPr>
              <w:ind w:left="1148" w:hanging="630"/>
              <w:rPr>
                <w:sz w:val="8"/>
              </w:rPr>
            </w:pPr>
          </w:p>
        </w:tc>
      </w:tr>
    </w:tbl>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C37A53" w:rsidP="00C906F8">
            <w:pPr>
              <w:rPr>
                <w:b/>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AIPH</w:t>
            </w:r>
            <w:r w:rsidRPr="00D56ED8">
              <w:rPr>
                <w:rStyle w:val="EndnoteReference"/>
                <w:b/>
                <w:sz w:val="18"/>
                <w:szCs w:val="18"/>
              </w:rPr>
              <w:endnoteReference w:id="7"/>
            </w:r>
          </w:p>
          <w:p w:rsidR="00C37A53" w:rsidRPr="00D56ED8" w:rsidRDefault="00C37A53" w:rsidP="00C906F8">
            <w:pPr>
              <w:rPr>
                <w:sz w:val="18"/>
              </w:rPr>
            </w:pPr>
          </w:p>
          <w:p w:rsidR="00C37A53" w:rsidRPr="00D56ED8" w:rsidRDefault="005C152A" w:rsidP="00C906F8">
            <w:pPr>
              <w:rPr>
                <w:sz w:val="18"/>
              </w:rPr>
            </w:pPr>
            <w:r w:rsidRPr="00D56ED8">
              <w:rPr>
                <w:sz w:val="18"/>
              </w:rPr>
              <w:t>Concernant le</w:t>
            </w:r>
            <w:r w:rsidR="00C37A53" w:rsidRPr="00D56ED8">
              <w:rPr>
                <w:sz w:val="18"/>
              </w:rPr>
              <w:t xml:space="preserve"> </w:t>
            </w:r>
            <w:r w:rsidR="000C5E98" w:rsidRPr="00D56ED8">
              <w:rPr>
                <w:sz w:val="18"/>
              </w:rPr>
              <w:t>paragraphe 6</w:t>
            </w:r>
            <w:r w:rsidR="001F3E61" w:rsidRPr="00D56ED8">
              <w:rPr>
                <w:sz w:val="18"/>
              </w:rPr>
              <w:t> :</w:t>
            </w:r>
          </w:p>
          <w:p w:rsidR="00C37A53" w:rsidRPr="00D56ED8" w:rsidRDefault="00C37A53" w:rsidP="00C906F8">
            <w:pPr>
              <w:rPr>
                <w:sz w:val="18"/>
              </w:rPr>
            </w:pPr>
          </w:p>
          <w:p w:rsidR="00C37A53" w:rsidRPr="00D56ED8" w:rsidRDefault="000C5E98" w:rsidP="00C906F8">
            <w:pPr>
              <w:rPr>
                <w:sz w:val="18"/>
              </w:rPr>
            </w:pPr>
            <w:r w:rsidRPr="00D56ED8">
              <w:rPr>
                <w:sz w:val="18"/>
              </w:rPr>
              <w:t>“L</w:t>
            </w:r>
            <w:r w:rsidR="001F3E61" w:rsidRPr="00D56ED8">
              <w:rPr>
                <w:sz w:val="18"/>
              </w:rPr>
              <w:t>’</w:t>
            </w:r>
            <w:r w:rsidR="00C37A53" w:rsidRPr="00D56ED8">
              <w:rPr>
                <w:sz w:val="18"/>
              </w:rPr>
              <w:t xml:space="preserve">AIPH peut accepter </w:t>
            </w:r>
            <w:r w:rsidR="005C152A" w:rsidRPr="00D56ED8">
              <w:rPr>
                <w:sz w:val="18"/>
              </w:rPr>
              <w:t>l</w:t>
            </w:r>
            <w:r w:rsidR="001F3E61" w:rsidRPr="00D56ED8">
              <w:rPr>
                <w:sz w:val="18"/>
              </w:rPr>
              <w:t>’</w:t>
            </w:r>
            <w:r w:rsidR="005C152A" w:rsidRPr="00D56ED8">
              <w:rPr>
                <w:sz w:val="18"/>
              </w:rPr>
              <w:t xml:space="preserve">ajout de </w:t>
            </w:r>
            <w:r w:rsidR="00C37A53" w:rsidRPr="00D56ED8">
              <w:rPr>
                <w:sz w:val="18"/>
              </w:rPr>
              <w:t>la phrase concernée dans l</w:t>
            </w:r>
            <w:r w:rsidR="001F3E61" w:rsidRPr="00D56ED8">
              <w:rPr>
                <w:sz w:val="18"/>
              </w:rPr>
              <w:t>’</w:t>
            </w:r>
            <w:r w:rsidR="00C37A53" w:rsidRPr="00D56ED8">
              <w:rPr>
                <w:sz w:val="18"/>
              </w:rPr>
              <w:t>encadré ci</w:t>
            </w:r>
            <w:r w:rsidR="001F3E61" w:rsidRPr="00D56ED8">
              <w:rPr>
                <w:sz w:val="18"/>
              </w:rPr>
              <w:t>-</w:t>
            </w:r>
            <w:r w:rsidR="00C37A53" w:rsidRPr="00D56ED8">
              <w:rPr>
                <w:sz w:val="18"/>
              </w:rPr>
              <w:t>dessus [</w:t>
            </w:r>
            <w:r w:rsidR="00C37A53" w:rsidRPr="00D56ED8">
              <w:rPr>
                <w:sz w:val="18"/>
                <w:u w:val="single"/>
              </w:rPr>
              <w:t>Propositions de l</w:t>
            </w:r>
            <w:r w:rsidR="001F3E61" w:rsidRPr="00D56ED8">
              <w:rPr>
                <w:sz w:val="18"/>
                <w:u w:val="single"/>
              </w:rPr>
              <w:t>’</w:t>
            </w:r>
            <w:r w:rsidR="00C37A53" w:rsidRPr="00D56ED8">
              <w:rPr>
                <w:sz w:val="18"/>
                <w:u w:val="single"/>
              </w:rPr>
              <w:t>ISF, de</w:t>
            </w:r>
            <w:r w:rsidRPr="00D56ED8">
              <w:rPr>
                <w:sz w:val="18"/>
                <w:u w:val="single"/>
              </w:rPr>
              <w:t xml:space="preserve"> la CIO</w:t>
            </w:r>
            <w:r w:rsidR="00C37A53" w:rsidRPr="00D56ED8">
              <w:rPr>
                <w:sz w:val="18"/>
                <w:u w:val="single"/>
              </w:rPr>
              <w:t xml:space="preserve">PORA, de </w:t>
            </w:r>
            <w:proofErr w:type="spellStart"/>
            <w:r w:rsidR="00C37A53" w:rsidRPr="00D56ED8">
              <w:rPr>
                <w:sz w:val="18"/>
                <w:u w:val="single"/>
              </w:rPr>
              <w:t>CropLife</w:t>
            </w:r>
            <w:proofErr w:type="spellEnd"/>
            <w:r w:rsidR="00C37A53" w:rsidRPr="00D56ED8">
              <w:rPr>
                <w:sz w:val="18"/>
                <w:u w:val="single"/>
              </w:rPr>
              <w:t xml:space="preserve"> International, d</w:t>
            </w:r>
            <w:r w:rsidR="001F3E61" w:rsidRPr="00D56ED8">
              <w:rPr>
                <w:sz w:val="18"/>
                <w:u w:val="single"/>
              </w:rPr>
              <w:t>’</w:t>
            </w:r>
            <w:proofErr w:type="spellStart"/>
            <w:r w:rsidR="00C37A53" w:rsidRPr="00D56ED8">
              <w:rPr>
                <w:sz w:val="18"/>
                <w:u w:val="single"/>
              </w:rPr>
              <w:t>Euroseeds</w:t>
            </w:r>
            <w:proofErr w:type="spellEnd"/>
            <w:r w:rsidR="00C37A53" w:rsidRPr="00D56ED8">
              <w:rPr>
                <w:sz w:val="18"/>
                <w:u w:val="single"/>
              </w:rPr>
              <w:t>, de l</w:t>
            </w:r>
            <w:r w:rsidR="001F3E61" w:rsidRPr="00D56ED8">
              <w:rPr>
                <w:sz w:val="18"/>
                <w:u w:val="single"/>
              </w:rPr>
              <w:t>’</w:t>
            </w:r>
            <w:r w:rsidR="00C37A53" w:rsidRPr="00D56ED8">
              <w:rPr>
                <w:sz w:val="18"/>
                <w:u w:val="single"/>
              </w:rPr>
              <w:t>APSA, de l</w:t>
            </w:r>
            <w:r w:rsidR="001F3E61" w:rsidRPr="00D56ED8">
              <w:rPr>
                <w:sz w:val="18"/>
                <w:u w:val="single"/>
              </w:rPr>
              <w:t>’</w:t>
            </w:r>
            <w:r w:rsidR="00C37A53" w:rsidRPr="00D56ED8">
              <w:rPr>
                <w:sz w:val="18"/>
                <w:u w:val="single"/>
              </w:rPr>
              <w:t>AFSTA et de</w:t>
            </w:r>
            <w:r w:rsidRPr="00D56ED8">
              <w:rPr>
                <w:sz w:val="18"/>
                <w:u w:val="single"/>
              </w:rPr>
              <w:t xml:space="preserve"> la SAA</w:t>
            </w:r>
            <w:r w:rsidR="00C37A53" w:rsidRPr="00D56ED8">
              <w:rPr>
                <w:sz w:val="18"/>
                <w:u w:val="single"/>
              </w:rPr>
              <w:t xml:space="preserve"> sur le </w:t>
            </w:r>
            <w:r w:rsidRPr="00D56ED8">
              <w:rPr>
                <w:sz w:val="18"/>
                <w:u w:val="single"/>
              </w:rPr>
              <w:t>paragraphe 6</w:t>
            </w:r>
            <w:r w:rsidR="00C37A53" w:rsidRPr="00D56ED8">
              <w:rPr>
                <w:sz w:val="18"/>
              </w:rPr>
              <w:t>], mais souhaiterait inviter tous les États membres et les observateurs à établir des listes de publications de protection d</w:t>
            </w:r>
            <w:r w:rsidR="001F3E61" w:rsidRPr="00D56ED8">
              <w:rPr>
                <w:sz w:val="18"/>
              </w:rPr>
              <w:t>’</w:t>
            </w:r>
            <w:r w:rsidR="00C37A53" w:rsidRPr="00D56ED8">
              <w:rPr>
                <w:sz w:val="18"/>
              </w:rPr>
              <w:t>obtentions végétales complètes et de quali</w:t>
            </w:r>
            <w:r w:rsidR="00D56ED8" w:rsidRPr="00D56ED8">
              <w:rPr>
                <w:sz w:val="18"/>
              </w:rPr>
              <w:t>té.  Ce</w:t>
            </w:r>
            <w:r w:rsidR="00C37A53" w:rsidRPr="00D56ED8">
              <w:rPr>
                <w:sz w:val="18"/>
              </w:rPr>
              <w:t>rtaines régions ont établi de telles listes en bonne et due for</w:t>
            </w:r>
            <w:r w:rsidR="00D56ED8" w:rsidRPr="00D56ED8">
              <w:rPr>
                <w:sz w:val="18"/>
              </w:rPr>
              <w:t>me.  Il</w:t>
            </w:r>
            <w:r w:rsidR="00C37A53" w:rsidRPr="00D56ED8">
              <w:rPr>
                <w:sz w:val="18"/>
              </w:rPr>
              <w:t xml:space="preserve"> serait très utile que tous les membres fassent </w:t>
            </w:r>
            <w:r w:rsidR="005C152A" w:rsidRPr="00D56ED8">
              <w:rPr>
                <w:sz w:val="18"/>
              </w:rPr>
              <w:t>de même</w:t>
            </w:r>
            <w:r w:rsidRPr="00D56ED8">
              <w:rPr>
                <w:sz w:val="18"/>
              </w:rPr>
              <w:t>.”</w:t>
            </w:r>
          </w:p>
          <w:p w:rsidR="00C37A53" w:rsidRPr="00D56ED8" w:rsidRDefault="00C37A53" w:rsidP="00C906F8">
            <w:pPr>
              <w:rPr>
                <w:sz w:val="8"/>
              </w:rPr>
            </w:pPr>
          </w:p>
        </w:tc>
      </w:tr>
    </w:tbl>
    <w:p w:rsidR="00C37A53" w:rsidRPr="00D56ED8" w:rsidRDefault="00C37A53" w:rsidP="00C37A53"/>
    <w:p w:rsidR="00C37A53" w:rsidRPr="00D56ED8" w:rsidRDefault="00C37A53" w:rsidP="00C37A53">
      <w:pPr>
        <w:jc w:val="left"/>
        <w:rPr>
          <w:rFonts w:cs="Arial"/>
        </w:rPr>
      </w:pPr>
      <w:r w:rsidRPr="00D56ED8">
        <w:rPr>
          <w:rFonts w:cs="Arial"/>
        </w:rPr>
        <w:br w:type="page"/>
      </w:r>
    </w:p>
    <w:p w:rsidR="00C37A53" w:rsidRPr="00D56ED8" w:rsidRDefault="00C37A53" w:rsidP="00C37A53">
      <w:pPr>
        <w:pStyle w:val="Style1"/>
        <w:keepNext/>
        <w:rPr>
          <w:i/>
          <w:lang w:val="fr-FR"/>
        </w:rPr>
      </w:pPr>
    </w:p>
    <w:p w:rsidR="00C37A53" w:rsidRPr="00D56ED8" w:rsidRDefault="00C37A53" w:rsidP="00CC4510">
      <w:pPr>
        <w:pStyle w:val="Style1"/>
        <w:keepNext/>
        <w:tabs>
          <w:tab w:val="clear" w:pos="907"/>
          <w:tab w:val="clear" w:pos="1077"/>
          <w:tab w:val="left" w:pos="5349"/>
        </w:tabs>
        <w:rPr>
          <w:i/>
          <w:lang w:val="fr-FR"/>
        </w:rPr>
      </w:pPr>
      <w:r w:rsidRPr="00D56ED8">
        <w:rPr>
          <w:i/>
          <w:lang w:val="fr-FR"/>
        </w:rPr>
        <w:t>Mesures</w:t>
      </w:r>
    </w:p>
    <w:p w:rsidR="00C37A53" w:rsidRPr="00D56ED8" w:rsidRDefault="00C37A53" w:rsidP="00C37A53">
      <w:pPr>
        <w:pStyle w:val="Style1"/>
        <w:keepNext/>
        <w:rPr>
          <w:i/>
          <w:lang w:val="fr-FR"/>
        </w:rPr>
      </w:pPr>
    </w:p>
    <w:p w:rsidR="000C5E98" w:rsidRPr="00D56ED8" w:rsidRDefault="00C37A53" w:rsidP="00C37A53">
      <w:pPr>
        <w:pStyle w:val="Style1"/>
        <w:keepNext/>
        <w:pBdr>
          <w:top w:val="single" w:sz="4" w:space="6" w:color="auto"/>
          <w:left w:val="single" w:sz="4" w:space="4" w:color="auto"/>
          <w:bottom w:val="single" w:sz="4" w:space="6" w:color="auto"/>
          <w:right w:val="single" w:sz="4" w:space="4" w:color="auto"/>
        </w:pBdr>
        <w:shd w:val="clear" w:color="auto" w:fill="E6E6E6"/>
        <w:rPr>
          <w:b/>
          <w:lang w:val="fr-FR"/>
        </w:rPr>
      </w:pPr>
      <w:r w:rsidRPr="00D56ED8">
        <w:rPr>
          <w:b/>
          <w:lang w:val="fr-FR"/>
        </w:rPr>
        <w:t>Au minimum, ces mesures auront pour effet que le titulaire d</w:t>
      </w:r>
      <w:r w:rsidR="001F3E61" w:rsidRPr="00D56ED8">
        <w:rPr>
          <w:b/>
          <w:lang w:val="fr-FR"/>
        </w:rPr>
        <w:t>’</w:t>
      </w:r>
      <w:r w:rsidRPr="00D56ED8">
        <w:rPr>
          <w:b/>
          <w:lang w:val="fr-FR"/>
        </w:rPr>
        <w:t>un droit d</w:t>
      </w:r>
      <w:r w:rsidR="001F3E61" w:rsidRPr="00D56ED8">
        <w:rPr>
          <w:b/>
          <w:lang w:val="fr-FR"/>
        </w:rPr>
        <w:t>’</w:t>
      </w:r>
      <w:r w:rsidRPr="00D56ED8">
        <w:rPr>
          <w:b/>
          <w:lang w:val="fr-FR"/>
        </w:rPr>
        <w:t>obtenteur aura droit à une rémunération équitable perçue auprès de celui qui, dans l</w:t>
      </w:r>
      <w:r w:rsidR="001F3E61" w:rsidRPr="00D56ED8">
        <w:rPr>
          <w:b/>
          <w:lang w:val="fr-FR"/>
        </w:rPr>
        <w:t>’</w:t>
      </w:r>
      <w:r w:rsidRPr="00D56ED8">
        <w:rPr>
          <w:b/>
          <w:lang w:val="fr-FR"/>
        </w:rPr>
        <w:t>intervalle précité, a accompli des actes qui, après l</w:t>
      </w:r>
      <w:r w:rsidR="001F3E61" w:rsidRPr="00D56ED8">
        <w:rPr>
          <w:b/>
          <w:lang w:val="fr-FR"/>
        </w:rPr>
        <w:t>’</w:t>
      </w:r>
      <w:r w:rsidRPr="00D56ED8">
        <w:rPr>
          <w:b/>
          <w:lang w:val="fr-FR"/>
        </w:rPr>
        <w:t>octroi du droit, requièrent l</w:t>
      </w:r>
      <w:r w:rsidR="001F3E61" w:rsidRPr="00D56ED8">
        <w:rPr>
          <w:b/>
          <w:lang w:val="fr-FR"/>
        </w:rPr>
        <w:t>’</w:t>
      </w:r>
      <w:r w:rsidRPr="00D56ED8">
        <w:rPr>
          <w:b/>
          <w:lang w:val="fr-FR"/>
        </w:rPr>
        <w:t>autorisation de l</w:t>
      </w:r>
      <w:r w:rsidR="001F3E61" w:rsidRPr="00D56ED8">
        <w:rPr>
          <w:b/>
          <w:lang w:val="fr-FR"/>
        </w:rPr>
        <w:t>’</w:t>
      </w:r>
      <w:r w:rsidRPr="00D56ED8">
        <w:rPr>
          <w:b/>
          <w:lang w:val="fr-FR"/>
        </w:rPr>
        <w:t>obtenteur conformément aux dispositions de l</w:t>
      </w:r>
      <w:r w:rsidR="001F3E61" w:rsidRPr="00D56ED8">
        <w:rPr>
          <w:b/>
          <w:lang w:val="fr-FR"/>
        </w:rPr>
        <w:t>’</w:t>
      </w:r>
      <w:r w:rsidRPr="00D56ED8">
        <w:rPr>
          <w:b/>
          <w:lang w:val="fr-FR"/>
        </w:rPr>
        <w:t>article 14.</w:t>
      </w:r>
    </w:p>
    <w:p w:rsidR="00C37A53" w:rsidRPr="00D56ED8" w:rsidRDefault="00C37A53" w:rsidP="00C37A53">
      <w:pPr>
        <w:pStyle w:val="Style1"/>
        <w:keepNext/>
        <w:rPr>
          <w:lang w:val="fr-FR"/>
        </w:rPr>
      </w:pPr>
    </w:p>
    <w:p w:rsidR="00C37A53" w:rsidRPr="00D56ED8" w:rsidRDefault="00C37A53" w:rsidP="00C37A53">
      <w:pPr>
        <w:keepLines/>
        <w:tabs>
          <w:tab w:val="decimal" w:pos="0"/>
        </w:tabs>
      </w:pPr>
      <w:r w:rsidRPr="00D56ED8">
        <w:t>7.</w:t>
      </w:r>
      <w:r w:rsidRPr="00D56ED8">
        <w:tab/>
        <w:t>L</w:t>
      </w:r>
      <w:r w:rsidR="001F3E61" w:rsidRPr="00D56ED8">
        <w:t>’</w:t>
      </w:r>
      <w:r w:rsidRPr="00D56ED8">
        <w:t>article 13 de l</w:t>
      </w:r>
      <w:r w:rsidR="001F3E61" w:rsidRPr="00D56ED8">
        <w:t>’</w:t>
      </w:r>
      <w:r w:rsidRPr="00D56ED8">
        <w:t xml:space="preserve">Acte </w:t>
      </w:r>
      <w:r w:rsidR="000C5E98" w:rsidRPr="00D56ED8">
        <w:t>de 1991</w:t>
      </w:r>
      <w:r w:rsidRPr="00D56ED8">
        <w:t xml:space="preserve"> de la </w:t>
      </w:r>
      <w:r w:rsidR="001F3E61" w:rsidRPr="00D56ED8">
        <w:t>Convention UPOV</w:t>
      </w:r>
      <w:r w:rsidRPr="00D56ED8">
        <w:t xml:space="preserve"> prévoit que les membres de l</w:t>
      </w:r>
      <w:r w:rsidR="001F3E61" w:rsidRPr="00D56ED8">
        <w:t>’</w:t>
      </w:r>
      <w:r w:rsidRPr="00D56ED8">
        <w:t>Union liés par ledit acte prennent des mesures destinées à sauvegarder les intérêts de l</w:t>
      </w:r>
      <w:r w:rsidR="001F3E61" w:rsidRPr="00D56ED8">
        <w:t>’</w:t>
      </w:r>
      <w:r w:rsidRPr="00D56ED8">
        <w:t>obtenteur pendant la période comprise entre le dépôt de la demande d</w:t>
      </w:r>
      <w:r w:rsidR="001F3E61" w:rsidRPr="00D56ED8">
        <w:t>’</w:t>
      </w:r>
      <w:r w:rsidRPr="00D56ED8">
        <w:t>octroi d</w:t>
      </w:r>
      <w:r w:rsidR="001F3E61" w:rsidRPr="00D56ED8">
        <w:t>’</w:t>
      </w:r>
      <w:r w:rsidRPr="00D56ED8">
        <w:t>un droit d</w:t>
      </w:r>
      <w:r w:rsidR="001F3E61" w:rsidRPr="00D56ED8">
        <w:t>’</w:t>
      </w:r>
      <w:r w:rsidRPr="00D56ED8">
        <w:t>obtenteur ou sa publication et l</w:t>
      </w:r>
      <w:r w:rsidR="001F3E61" w:rsidRPr="00D56ED8">
        <w:t>’</w:t>
      </w:r>
      <w:r w:rsidRPr="00D56ED8">
        <w:t>octroi du dro</w:t>
      </w:r>
      <w:r w:rsidR="00D56ED8" w:rsidRPr="00D56ED8">
        <w:t>it.  Ce</w:t>
      </w:r>
      <w:r w:rsidRPr="00D56ED8">
        <w:t>s mesures exigent que le titulaire d</w:t>
      </w:r>
      <w:r w:rsidR="001F3E61" w:rsidRPr="00D56ED8">
        <w:t>’</w:t>
      </w:r>
      <w:r w:rsidRPr="00D56ED8">
        <w:t>un droit d</w:t>
      </w:r>
      <w:r w:rsidR="001F3E61" w:rsidRPr="00D56ED8">
        <w:t>’</w:t>
      </w:r>
      <w:r w:rsidRPr="00D56ED8">
        <w:t>obtenteur ait “au minimum” droit à une rémunération équitable perçue auprès de celui qui, dans l</w:t>
      </w:r>
      <w:r w:rsidR="001F3E61" w:rsidRPr="00D56ED8">
        <w:t>’</w:t>
      </w:r>
      <w:r w:rsidRPr="00D56ED8">
        <w:t>intervalle précité, a accompli des actes qui, après l</w:t>
      </w:r>
      <w:r w:rsidR="001F3E61" w:rsidRPr="00D56ED8">
        <w:t>’</w:t>
      </w:r>
      <w:r w:rsidRPr="00D56ED8">
        <w:t>octroi du droit, requièrent l</w:t>
      </w:r>
      <w:r w:rsidR="001F3E61" w:rsidRPr="00D56ED8">
        <w:t>’</w:t>
      </w:r>
      <w:r w:rsidRPr="00D56ED8">
        <w:t>autorisation de l</w:t>
      </w:r>
      <w:r w:rsidR="001F3E61" w:rsidRPr="00D56ED8">
        <w:t>’</w:t>
      </w:r>
      <w:r w:rsidRPr="00D56ED8">
        <w:t>obtenteur conformément aux dispositions de l</w:t>
      </w:r>
      <w:r w:rsidR="001F3E61" w:rsidRPr="00D56ED8">
        <w:t>’</w:t>
      </w:r>
      <w:r w:rsidR="000C5E98" w:rsidRPr="00D56ED8">
        <w:t>article 1</w:t>
      </w:r>
      <w:r w:rsidRPr="00D56ED8">
        <w:t xml:space="preserve">4 de </w:t>
      </w:r>
      <w:r w:rsidR="00CC6311">
        <w:br/>
      </w:r>
      <w:r w:rsidRPr="00D56ED8">
        <w:t>l</w:t>
      </w:r>
      <w:r w:rsidR="001F3E61" w:rsidRPr="00D56ED8">
        <w:t>’</w:t>
      </w:r>
      <w:r w:rsidRPr="00D56ED8">
        <w:t xml:space="preserve">Acte </w:t>
      </w:r>
      <w:r w:rsidR="000C5E98" w:rsidRPr="00D56ED8">
        <w:t>de 1991</w:t>
      </w:r>
      <w:r w:rsidRPr="00D56ED8">
        <w:t xml:space="preserve"> de la </w:t>
      </w:r>
      <w:r w:rsidR="001F3E61" w:rsidRPr="00D56ED8">
        <w:t>Convention UPOV</w:t>
      </w:r>
      <w:r w:rsidRPr="00D56ED8">
        <w:t>.</w:t>
      </w:r>
    </w:p>
    <w:p w:rsidR="00C37A53" w:rsidRPr="00D56ED8" w:rsidRDefault="00C37A53" w:rsidP="00C37A53"/>
    <w:p w:rsidR="00C37A53" w:rsidRPr="00D56ED8" w:rsidRDefault="00C37A53" w:rsidP="00C37A53">
      <w:pPr>
        <w:tabs>
          <w:tab w:val="left" w:pos="0"/>
        </w:tabs>
      </w:pPr>
      <w:r w:rsidRPr="00D56ED8">
        <w:t>8.</w:t>
      </w:r>
      <w:r w:rsidRPr="00D56ED8">
        <w:tab/>
        <w:t>L</w:t>
      </w:r>
      <w:r w:rsidR="001F3E61" w:rsidRPr="00D56ED8">
        <w:t>’</w:t>
      </w:r>
      <w:r w:rsidRPr="00D56ED8">
        <w:t>utilisation de l</w:t>
      </w:r>
      <w:r w:rsidR="001F3E61" w:rsidRPr="00D56ED8">
        <w:t>’</w:t>
      </w:r>
      <w:r w:rsidRPr="00D56ED8">
        <w:t>expression “au minimum” indique qu</w:t>
      </w:r>
      <w:r w:rsidR="001F3E61" w:rsidRPr="00D56ED8">
        <w:t>’</w:t>
      </w:r>
      <w:r w:rsidRPr="00D56ED8">
        <w:t>il est possible, par exemple, que les dispositions concernant la protection provisoire dans la législation régissant les droits des obtenteurs octroient au titulaire d</w:t>
      </w:r>
      <w:r w:rsidR="001F3E61" w:rsidRPr="00D56ED8">
        <w:t>’</w:t>
      </w:r>
      <w:r w:rsidRPr="00D56ED8">
        <w:t>un droit d</w:t>
      </w:r>
      <w:r w:rsidR="001F3E61" w:rsidRPr="00D56ED8">
        <w:t>’</w:t>
      </w:r>
      <w:r w:rsidRPr="00D56ED8">
        <w:t>obtenteur toute l</w:t>
      </w:r>
      <w:r w:rsidR="001F3E61" w:rsidRPr="00D56ED8">
        <w:t>’</w:t>
      </w:r>
      <w:r w:rsidRPr="00D56ED8">
        <w:t>étendue de ce droit.</w:t>
      </w:r>
    </w:p>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D42F65" w:rsidP="00C906F8">
            <w:pPr>
              <w:rPr>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ISF, de</w:t>
            </w:r>
            <w:r w:rsidR="000C5E98" w:rsidRPr="00D56ED8">
              <w:rPr>
                <w:sz w:val="18"/>
                <w:szCs w:val="18"/>
                <w:u w:val="single"/>
              </w:rPr>
              <w:t xml:space="preserve"> la CIO</w:t>
            </w:r>
            <w:r w:rsidRPr="00D56ED8">
              <w:rPr>
                <w:sz w:val="18"/>
                <w:szCs w:val="18"/>
                <w:u w:val="single"/>
              </w:rPr>
              <w:t xml:space="preserve">PORA, de </w:t>
            </w:r>
            <w:proofErr w:type="spellStart"/>
            <w:r w:rsidRPr="00D56ED8">
              <w:rPr>
                <w:sz w:val="18"/>
                <w:szCs w:val="18"/>
                <w:u w:val="single"/>
              </w:rPr>
              <w:t>CropLife</w:t>
            </w:r>
            <w:proofErr w:type="spellEnd"/>
            <w:r w:rsidRPr="00D56ED8">
              <w:rPr>
                <w:sz w:val="18"/>
                <w:szCs w:val="18"/>
                <w:u w:val="single"/>
              </w:rPr>
              <w:t xml:space="preserve"> International, d</w:t>
            </w:r>
            <w:r w:rsidR="001F3E61" w:rsidRPr="00D56ED8">
              <w:rPr>
                <w:sz w:val="18"/>
                <w:szCs w:val="18"/>
                <w:u w:val="single"/>
              </w:rPr>
              <w:t>’</w:t>
            </w:r>
            <w:proofErr w:type="spellStart"/>
            <w:r w:rsidRPr="00D56ED8">
              <w:rPr>
                <w:sz w:val="18"/>
                <w:szCs w:val="18"/>
                <w:u w:val="single"/>
              </w:rPr>
              <w:t>Euroseeds</w:t>
            </w:r>
            <w:proofErr w:type="spellEnd"/>
            <w:r w:rsidRPr="00D56ED8">
              <w:rPr>
                <w:sz w:val="18"/>
                <w:szCs w:val="18"/>
                <w:u w:val="single"/>
              </w:rPr>
              <w:t>, de l</w:t>
            </w:r>
            <w:r w:rsidR="001F3E61" w:rsidRPr="00D56ED8">
              <w:rPr>
                <w:sz w:val="18"/>
                <w:szCs w:val="18"/>
                <w:u w:val="single"/>
              </w:rPr>
              <w:t>’</w:t>
            </w:r>
            <w:r w:rsidRPr="00D56ED8">
              <w:rPr>
                <w:sz w:val="18"/>
                <w:szCs w:val="18"/>
                <w:u w:val="single"/>
              </w:rPr>
              <w:t>APSA, de l</w:t>
            </w:r>
            <w:r w:rsidR="001F3E61" w:rsidRPr="00D56ED8">
              <w:rPr>
                <w:sz w:val="18"/>
                <w:szCs w:val="18"/>
                <w:u w:val="single"/>
              </w:rPr>
              <w:t>’</w:t>
            </w:r>
            <w:r w:rsidRPr="00D56ED8">
              <w:rPr>
                <w:sz w:val="18"/>
                <w:szCs w:val="18"/>
                <w:u w:val="single"/>
              </w:rPr>
              <w:t>AFSTA et de</w:t>
            </w:r>
            <w:r w:rsidR="000C5E98" w:rsidRPr="00D56ED8">
              <w:rPr>
                <w:sz w:val="18"/>
                <w:szCs w:val="18"/>
                <w:u w:val="single"/>
              </w:rPr>
              <w:t xml:space="preserve"> la SAA</w:t>
            </w:r>
            <w:r w:rsidR="00C37A53" w:rsidRPr="00D56ED8">
              <w:rPr>
                <w:rStyle w:val="EndnoteReference"/>
                <w:sz w:val="18"/>
                <w:szCs w:val="18"/>
              </w:rPr>
              <w:endnoteReference w:id="8"/>
            </w:r>
          </w:p>
          <w:p w:rsidR="00C37A53" w:rsidRPr="00D56ED8" w:rsidRDefault="00C37A53" w:rsidP="00C906F8">
            <w:pPr>
              <w:rPr>
                <w:sz w:val="16"/>
                <w:szCs w:val="16"/>
              </w:rPr>
            </w:pPr>
          </w:p>
          <w:p w:rsidR="003A07D1" w:rsidRPr="00D56ED8" w:rsidRDefault="003A07D1" w:rsidP="003A07D1">
            <w:pPr>
              <w:rPr>
                <w:sz w:val="18"/>
                <w:u w:val="single"/>
              </w:rPr>
            </w:pPr>
            <w:r w:rsidRPr="00D56ED8">
              <w:rPr>
                <w:sz w:val="18"/>
                <w:szCs w:val="18"/>
              </w:rPr>
              <w:t>Modifier le paragraphe 8 comme suit</w:t>
            </w:r>
            <w:r w:rsidR="001F3E61" w:rsidRPr="00D56ED8">
              <w:rPr>
                <w:sz w:val="18"/>
                <w:szCs w:val="18"/>
              </w:rPr>
              <w:t> :</w:t>
            </w:r>
            <w:r w:rsidRPr="00D56ED8">
              <w:rPr>
                <w:sz w:val="18"/>
                <w:szCs w:val="18"/>
              </w:rPr>
              <w:t xml:space="preserve"> “L</w:t>
            </w:r>
            <w:r w:rsidR="001F3E61" w:rsidRPr="00D56ED8">
              <w:rPr>
                <w:sz w:val="18"/>
                <w:szCs w:val="18"/>
              </w:rPr>
              <w:t>’</w:t>
            </w:r>
            <w:r w:rsidRPr="00D56ED8">
              <w:rPr>
                <w:sz w:val="18"/>
                <w:szCs w:val="18"/>
              </w:rPr>
              <w:t>utilisation de l</w:t>
            </w:r>
            <w:r w:rsidR="001F3E61" w:rsidRPr="00D56ED8">
              <w:rPr>
                <w:sz w:val="18"/>
                <w:szCs w:val="18"/>
              </w:rPr>
              <w:t>’</w:t>
            </w:r>
            <w:r w:rsidRPr="00D56ED8">
              <w:rPr>
                <w:sz w:val="18"/>
                <w:szCs w:val="18"/>
              </w:rPr>
              <w:t>expression</w:t>
            </w:r>
            <w:r w:rsidRPr="00AC6C72">
              <w:rPr>
                <w:strike/>
                <w:sz w:val="18"/>
                <w:szCs w:val="18"/>
              </w:rPr>
              <w:t xml:space="preserve"> </w:t>
            </w:r>
            <w:r w:rsidRPr="00D56ED8">
              <w:rPr>
                <w:strike/>
                <w:sz w:val="18"/>
                <w:szCs w:val="18"/>
                <w:highlight w:val="lightGray"/>
              </w:rPr>
              <w:t>“au minimum” indique qu</w:t>
            </w:r>
            <w:r w:rsidR="001F3E61" w:rsidRPr="00D56ED8">
              <w:rPr>
                <w:strike/>
                <w:sz w:val="18"/>
                <w:szCs w:val="18"/>
                <w:highlight w:val="lightGray"/>
              </w:rPr>
              <w:t>’</w:t>
            </w:r>
            <w:r w:rsidRPr="00D56ED8">
              <w:rPr>
                <w:strike/>
                <w:sz w:val="18"/>
                <w:szCs w:val="18"/>
                <w:highlight w:val="lightGray"/>
              </w:rPr>
              <w:t>il est possible, par exemple, que les dispositions</w:t>
            </w:r>
            <w:r w:rsidRPr="00AC6C72">
              <w:rPr>
                <w:sz w:val="18"/>
                <w:szCs w:val="18"/>
              </w:rPr>
              <w:t xml:space="preserve"> </w:t>
            </w:r>
            <w:r w:rsidR="001F3E61" w:rsidRPr="00D56ED8">
              <w:rPr>
                <w:sz w:val="18"/>
                <w:szCs w:val="18"/>
                <w:highlight w:val="lightGray"/>
                <w:u w:val="single"/>
              </w:rPr>
              <w:t>‘</w:t>
            </w:r>
            <w:r w:rsidRPr="00D56ED8">
              <w:rPr>
                <w:sz w:val="18"/>
                <w:szCs w:val="18"/>
              </w:rPr>
              <w:t>concernant la protection provisoire</w:t>
            </w:r>
            <w:r w:rsidR="001F3E61" w:rsidRPr="00D56ED8">
              <w:rPr>
                <w:sz w:val="18"/>
                <w:szCs w:val="18"/>
                <w:highlight w:val="lightGray"/>
                <w:u w:val="single"/>
              </w:rPr>
              <w:t>’</w:t>
            </w:r>
            <w:r w:rsidRPr="00D56ED8">
              <w:rPr>
                <w:sz w:val="18"/>
                <w:szCs w:val="18"/>
                <w:highlight w:val="lightGray"/>
                <w:u w:val="single"/>
              </w:rPr>
              <w:t xml:space="preserve"> vise à accorder une protection à l</w:t>
            </w:r>
            <w:r w:rsidR="001F3E61" w:rsidRPr="00D56ED8">
              <w:rPr>
                <w:sz w:val="18"/>
                <w:szCs w:val="18"/>
                <w:highlight w:val="lightGray"/>
                <w:u w:val="single"/>
              </w:rPr>
              <w:t>’</w:t>
            </w:r>
            <w:r w:rsidRPr="00D56ED8">
              <w:rPr>
                <w:sz w:val="18"/>
                <w:szCs w:val="18"/>
                <w:highlight w:val="lightGray"/>
                <w:u w:val="single"/>
              </w:rPr>
              <w:t>obtenteur durant</w:t>
            </w:r>
            <w:r w:rsidRPr="00D56ED8">
              <w:rPr>
                <w:sz w:val="18"/>
                <w:szCs w:val="18"/>
              </w:rPr>
              <w:t xml:space="preserve"> </w:t>
            </w:r>
            <w:r w:rsidRPr="00D56ED8">
              <w:rPr>
                <w:strike/>
                <w:sz w:val="18"/>
                <w:szCs w:val="18"/>
                <w:highlight w:val="lightGray"/>
              </w:rPr>
              <w:t>dans</w:t>
            </w:r>
            <w:r w:rsidRPr="00D56ED8">
              <w:rPr>
                <w:sz w:val="18"/>
                <w:szCs w:val="18"/>
              </w:rPr>
              <w:t xml:space="preserve"> la </w:t>
            </w:r>
            <w:r w:rsidRPr="00D56ED8">
              <w:rPr>
                <w:strike/>
                <w:sz w:val="18"/>
                <w:szCs w:val="18"/>
                <w:highlight w:val="lightGray"/>
              </w:rPr>
              <w:t>législation régissant les droits des obtenteurs octroient</w:t>
            </w:r>
            <w:r w:rsidRPr="00D56ED8">
              <w:rPr>
                <w:sz w:val="18"/>
                <w:szCs w:val="18"/>
              </w:rPr>
              <w:t xml:space="preserve"> </w:t>
            </w:r>
            <w:r w:rsidRPr="00D56ED8">
              <w:rPr>
                <w:sz w:val="18"/>
                <w:szCs w:val="18"/>
                <w:highlight w:val="lightGray"/>
                <w:u w:val="single"/>
              </w:rPr>
              <w:t>période comprise entre</w:t>
            </w:r>
            <w:r w:rsidRPr="00D56ED8">
              <w:rPr>
                <w:sz w:val="18"/>
                <w:szCs w:val="18"/>
              </w:rPr>
              <w:t xml:space="preserve"> </w:t>
            </w:r>
            <w:r w:rsidRPr="00D56ED8">
              <w:rPr>
                <w:strike/>
                <w:sz w:val="18"/>
                <w:szCs w:val="18"/>
                <w:highlight w:val="lightGray"/>
              </w:rPr>
              <w:t>au titulaire</w:t>
            </w:r>
            <w:r w:rsidRPr="00D56ED8">
              <w:rPr>
                <w:sz w:val="18"/>
                <w:szCs w:val="18"/>
              </w:rPr>
              <w:t xml:space="preserve"> </w:t>
            </w:r>
            <w:r w:rsidRPr="00D56ED8">
              <w:rPr>
                <w:sz w:val="18"/>
                <w:szCs w:val="18"/>
                <w:highlight w:val="lightGray"/>
                <w:u w:val="single"/>
              </w:rPr>
              <w:t>le dépôt ou la publication</w:t>
            </w:r>
            <w:r w:rsidRPr="00D56ED8">
              <w:rPr>
                <w:sz w:val="18"/>
                <w:szCs w:val="18"/>
              </w:rPr>
              <w:t xml:space="preserve"> </w:t>
            </w:r>
            <w:r w:rsidRPr="00D56ED8">
              <w:rPr>
                <w:strike/>
                <w:sz w:val="18"/>
                <w:szCs w:val="18"/>
                <w:highlight w:val="lightGray"/>
              </w:rPr>
              <w:t>d</w:t>
            </w:r>
            <w:r w:rsidR="001F3E61" w:rsidRPr="00D56ED8">
              <w:rPr>
                <w:strike/>
                <w:sz w:val="18"/>
                <w:szCs w:val="18"/>
                <w:highlight w:val="lightGray"/>
              </w:rPr>
              <w:t>’</w:t>
            </w:r>
            <w:r w:rsidRPr="00D56ED8">
              <w:rPr>
                <w:strike/>
                <w:sz w:val="18"/>
                <w:szCs w:val="18"/>
                <w:highlight w:val="lightGray"/>
              </w:rPr>
              <w:t>un</w:t>
            </w:r>
            <w:r w:rsidRPr="00D56ED8">
              <w:rPr>
                <w:sz w:val="18"/>
                <w:szCs w:val="18"/>
              </w:rPr>
              <w:t xml:space="preserve"> </w:t>
            </w:r>
            <w:r w:rsidRPr="00D56ED8">
              <w:rPr>
                <w:sz w:val="18"/>
                <w:highlight w:val="lightGray"/>
                <w:u w:val="single"/>
              </w:rPr>
              <w:t>d</w:t>
            </w:r>
            <w:r w:rsidR="001F3E61" w:rsidRPr="00D56ED8">
              <w:rPr>
                <w:sz w:val="18"/>
                <w:highlight w:val="lightGray"/>
                <w:u w:val="single"/>
              </w:rPr>
              <w:t>’</w:t>
            </w:r>
            <w:r w:rsidRPr="00D56ED8">
              <w:rPr>
                <w:sz w:val="18"/>
                <w:highlight w:val="lightGray"/>
                <w:u w:val="single"/>
              </w:rPr>
              <w:t>une</w:t>
            </w:r>
            <w:r w:rsidRPr="00D56ED8">
              <w:rPr>
                <w:sz w:val="18"/>
                <w:szCs w:val="18"/>
              </w:rPr>
              <w:t xml:space="preserve"> </w:t>
            </w:r>
            <w:r w:rsidRPr="00D56ED8">
              <w:rPr>
                <w:strike/>
                <w:sz w:val="18"/>
                <w:szCs w:val="18"/>
                <w:highlight w:val="lightGray"/>
              </w:rPr>
              <w:t>droit d</w:t>
            </w:r>
            <w:r w:rsidR="001F3E61" w:rsidRPr="00D56ED8">
              <w:rPr>
                <w:strike/>
                <w:sz w:val="18"/>
                <w:szCs w:val="18"/>
                <w:highlight w:val="lightGray"/>
              </w:rPr>
              <w:t>’</w:t>
            </w:r>
            <w:r w:rsidRPr="00D56ED8">
              <w:rPr>
                <w:strike/>
                <w:sz w:val="18"/>
                <w:szCs w:val="18"/>
                <w:highlight w:val="lightGray"/>
              </w:rPr>
              <w:t>obtenteur</w:t>
            </w:r>
            <w:r w:rsidRPr="00D56ED8">
              <w:rPr>
                <w:sz w:val="18"/>
                <w:szCs w:val="18"/>
              </w:rPr>
              <w:t xml:space="preserve"> </w:t>
            </w:r>
            <w:r w:rsidRPr="00D56ED8">
              <w:rPr>
                <w:sz w:val="18"/>
                <w:szCs w:val="18"/>
                <w:highlight w:val="lightGray"/>
                <w:u w:val="single"/>
              </w:rPr>
              <w:t>demande et</w:t>
            </w:r>
            <w:r w:rsidRPr="00D56ED8">
              <w:rPr>
                <w:sz w:val="18"/>
                <w:szCs w:val="18"/>
              </w:rPr>
              <w:t xml:space="preserve"> </w:t>
            </w:r>
            <w:r w:rsidRPr="00D56ED8">
              <w:rPr>
                <w:strike/>
                <w:sz w:val="18"/>
                <w:szCs w:val="18"/>
                <w:highlight w:val="lightGray"/>
              </w:rPr>
              <w:t>toute l</w:t>
            </w:r>
            <w:r w:rsidR="001F3E61" w:rsidRPr="00D56ED8">
              <w:rPr>
                <w:strike/>
                <w:sz w:val="18"/>
                <w:szCs w:val="18"/>
                <w:highlight w:val="lightGray"/>
              </w:rPr>
              <w:t>’</w:t>
            </w:r>
            <w:r w:rsidRPr="00D56ED8">
              <w:rPr>
                <w:strike/>
                <w:sz w:val="18"/>
                <w:szCs w:val="18"/>
                <w:highlight w:val="lightGray"/>
              </w:rPr>
              <w:t>étendue</w:t>
            </w:r>
            <w:r w:rsidRPr="00D56ED8">
              <w:rPr>
                <w:sz w:val="18"/>
                <w:szCs w:val="18"/>
              </w:rPr>
              <w:t xml:space="preserve"> </w:t>
            </w:r>
            <w:r w:rsidRPr="00D56ED8">
              <w:rPr>
                <w:sz w:val="18"/>
                <w:szCs w:val="18"/>
                <w:highlight w:val="lightGray"/>
                <w:u w:val="single"/>
              </w:rPr>
              <w:t>l</w:t>
            </w:r>
            <w:r w:rsidR="001F3E61" w:rsidRPr="00D56ED8">
              <w:rPr>
                <w:sz w:val="18"/>
                <w:szCs w:val="18"/>
                <w:highlight w:val="lightGray"/>
                <w:u w:val="single"/>
              </w:rPr>
              <w:t>’</w:t>
            </w:r>
            <w:r w:rsidRPr="00D56ED8">
              <w:rPr>
                <w:sz w:val="18"/>
                <w:highlight w:val="lightGray"/>
                <w:u w:val="single"/>
              </w:rPr>
              <w:t>octroi</w:t>
            </w:r>
            <w:r w:rsidRPr="00D56ED8">
              <w:rPr>
                <w:sz w:val="18"/>
                <w:szCs w:val="18"/>
              </w:rPr>
              <w:t xml:space="preserve"> </w:t>
            </w:r>
            <w:r w:rsidRPr="00D56ED8">
              <w:rPr>
                <w:strike/>
                <w:sz w:val="18"/>
                <w:szCs w:val="18"/>
                <w:highlight w:val="lightGray"/>
              </w:rPr>
              <w:t>de ce</w:t>
            </w:r>
            <w:r w:rsidRPr="00D56ED8">
              <w:rPr>
                <w:sz w:val="18"/>
                <w:szCs w:val="18"/>
              </w:rPr>
              <w:t xml:space="preserve"> </w:t>
            </w:r>
            <w:r w:rsidRPr="00D56ED8">
              <w:rPr>
                <w:sz w:val="18"/>
                <w:highlight w:val="lightGray"/>
                <w:u w:val="single"/>
              </w:rPr>
              <w:t>du</w:t>
            </w:r>
            <w:r w:rsidRPr="00D56ED8">
              <w:rPr>
                <w:sz w:val="18"/>
                <w:szCs w:val="18"/>
              </w:rPr>
              <w:t xml:space="preserve"> droit </w:t>
            </w:r>
            <w:r w:rsidRPr="00D56ED8">
              <w:rPr>
                <w:sz w:val="18"/>
                <w:highlight w:val="lightGray"/>
                <w:u w:val="single"/>
              </w:rPr>
              <w:t>corresponda</w:t>
            </w:r>
            <w:r w:rsidR="00D56ED8" w:rsidRPr="00D56ED8">
              <w:rPr>
                <w:sz w:val="18"/>
                <w:highlight w:val="lightGray"/>
                <w:u w:val="single"/>
              </w:rPr>
              <w:t xml:space="preserve">nt.  </w:t>
            </w:r>
            <w:r w:rsidR="00D56ED8" w:rsidRPr="00D56ED8">
              <w:rPr>
                <w:sz w:val="18"/>
                <w:szCs w:val="18"/>
                <w:highlight w:val="lightGray"/>
                <w:u w:val="single"/>
              </w:rPr>
              <w:t>L’u</w:t>
            </w:r>
            <w:r w:rsidRPr="00D56ED8">
              <w:rPr>
                <w:sz w:val="18"/>
                <w:szCs w:val="18"/>
                <w:highlight w:val="lightGray"/>
                <w:u w:val="single"/>
              </w:rPr>
              <w:t>tilisation de l</w:t>
            </w:r>
            <w:r w:rsidR="001F3E61" w:rsidRPr="00D56ED8">
              <w:rPr>
                <w:sz w:val="18"/>
                <w:szCs w:val="18"/>
                <w:highlight w:val="lightGray"/>
                <w:u w:val="single"/>
              </w:rPr>
              <w:t>’</w:t>
            </w:r>
            <w:r w:rsidRPr="00D56ED8">
              <w:rPr>
                <w:sz w:val="18"/>
                <w:szCs w:val="18"/>
                <w:highlight w:val="lightGray"/>
                <w:u w:val="single"/>
              </w:rPr>
              <w:t xml:space="preserve">expression </w:t>
            </w:r>
            <w:r w:rsidR="001F3E61" w:rsidRPr="00D56ED8">
              <w:rPr>
                <w:sz w:val="18"/>
                <w:highlight w:val="lightGray"/>
                <w:u w:val="single"/>
              </w:rPr>
              <w:t>‘</w:t>
            </w:r>
            <w:r w:rsidRPr="00D56ED8">
              <w:rPr>
                <w:sz w:val="18"/>
                <w:highlight w:val="lightGray"/>
                <w:u w:val="single"/>
              </w:rPr>
              <w:t>au minimum</w:t>
            </w:r>
            <w:r w:rsidR="001F3E61" w:rsidRPr="00D56ED8">
              <w:rPr>
                <w:sz w:val="18"/>
                <w:highlight w:val="lightGray"/>
                <w:u w:val="single"/>
              </w:rPr>
              <w:t>’</w:t>
            </w:r>
            <w:r w:rsidRPr="00D56ED8">
              <w:rPr>
                <w:sz w:val="18"/>
                <w:highlight w:val="lightGray"/>
                <w:u w:val="single"/>
              </w:rPr>
              <w:t xml:space="preserve"> précise que les membres de l</w:t>
            </w:r>
            <w:r w:rsidR="001F3E61" w:rsidRPr="00D56ED8">
              <w:rPr>
                <w:sz w:val="18"/>
                <w:highlight w:val="lightGray"/>
                <w:u w:val="single"/>
              </w:rPr>
              <w:t>’</w:t>
            </w:r>
            <w:r w:rsidRPr="00D56ED8">
              <w:rPr>
                <w:sz w:val="18"/>
                <w:highlight w:val="lightGray"/>
                <w:u w:val="single"/>
              </w:rPr>
              <w:t>Union peuvent déjà octroyer une protection complète durant cette période.</w:t>
            </w:r>
          </w:p>
          <w:p w:rsidR="003A07D1" w:rsidRPr="00D56ED8" w:rsidRDefault="003A07D1" w:rsidP="003A07D1">
            <w:pPr>
              <w:rPr>
                <w:sz w:val="18"/>
                <w:u w:val="single"/>
              </w:rPr>
            </w:pPr>
          </w:p>
          <w:p w:rsidR="003A07D1" w:rsidRPr="00D56ED8" w:rsidRDefault="003A07D1" w:rsidP="003A07D1">
            <w:pPr>
              <w:rPr>
                <w:sz w:val="18"/>
                <w:highlight w:val="lightGray"/>
                <w:u w:val="single"/>
              </w:rPr>
            </w:pPr>
            <w:r w:rsidRPr="00D56ED8">
              <w:rPr>
                <w:sz w:val="18"/>
                <w:highlight w:val="lightGray"/>
                <w:u w:val="single"/>
              </w:rPr>
              <w:t xml:space="preserve">“Une protection complète durant la période de </w:t>
            </w:r>
            <w:r w:rsidR="001F3E61" w:rsidRPr="00D56ED8">
              <w:rPr>
                <w:sz w:val="18"/>
                <w:highlight w:val="lightGray"/>
                <w:u w:val="single"/>
              </w:rPr>
              <w:t>‘</w:t>
            </w:r>
            <w:r w:rsidRPr="00D56ED8">
              <w:rPr>
                <w:sz w:val="18"/>
                <w:highlight w:val="lightGray"/>
                <w:u w:val="single"/>
              </w:rPr>
              <w:t>protection provisoire</w:t>
            </w:r>
            <w:r w:rsidR="001F3E61" w:rsidRPr="00D56ED8">
              <w:rPr>
                <w:sz w:val="18"/>
                <w:highlight w:val="lightGray"/>
                <w:u w:val="single"/>
              </w:rPr>
              <w:t>’</w:t>
            </w:r>
            <w:r w:rsidRPr="00D56ED8">
              <w:rPr>
                <w:sz w:val="18"/>
                <w:highlight w:val="lightGray"/>
                <w:u w:val="single"/>
              </w:rPr>
              <w:t xml:space="preserve"> est essentielle pour encourager les obtenteurs à mettre rapidement leurs dernières variétés sur le marc</w:t>
            </w:r>
            <w:r w:rsidR="00D56ED8" w:rsidRPr="00D56ED8">
              <w:rPr>
                <w:sz w:val="18"/>
                <w:highlight w:val="lightGray"/>
                <w:u w:val="single"/>
              </w:rPr>
              <w:t>hé.  La</w:t>
            </w:r>
            <w:r w:rsidRPr="00D56ED8">
              <w:rPr>
                <w:sz w:val="18"/>
                <w:highlight w:val="lightGray"/>
                <w:u w:val="single"/>
              </w:rPr>
              <w:t xml:space="preserve"> diffusion rapide de nouvelles variétés permettant de relever un large éventail de défis, notamment en matière de durabilité, profitera également aux producteurs, aux consommateurs et à l</w:t>
            </w:r>
            <w:r w:rsidR="001F3E61" w:rsidRPr="00D56ED8">
              <w:rPr>
                <w:sz w:val="18"/>
                <w:highlight w:val="lightGray"/>
                <w:u w:val="single"/>
              </w:rPr>
              <w:t>’</w:t>
            </w:r>
            <w:r w:rsidRPr="00D56ED8">
              <w:rPr>
                <w:sz w:val="18"/>
                <w:highlight w:val="lightGray"/>
                <w:u w:val="single"/>
              </w:rPr>
              <w:t>ensemble de la société.</w:t>
            </w:r>
          </w:p>
          <w:p w:rsidR="003A07D1" w:rsidRPr="00D56ED8" w:rsidRDefault="003A07D1" w:rsidP="003A07D1">
            <w:pPr>
              <w:rPr>
                <w:sz w:val="18"/>
                <w:highlight w:val="lightGray"/>
                <w:u w:val="single"/>
              </w:rPr>
            </w:pPr>
          </w:p>
          <w:p w:rsidR="00C37A53" w:rsidRPr="00D56ED8" w:rsidRDefault="003A07D1" w:rsidP="003A07D1">
            <w:pPr>
              <w:rPr>
                <w:sz w:val="18"/>
                <w:szCs w:val="18"/>
              </w:rPr>
            </w:pPr>
            <w:r w:rsidRPr="00D56ED8">
              <w:rPr>
                <w:sz w:val="18"/>
                <w:highlight w:val="lightGray"/>
                <w:u w:val="single"/>
              </w:rPr>
              <w:t>“Cette précision est particulièrement importante dans le cas des plantes de culture pluriannuelle (telles que les arbres fruitiers) où le matériel de reproduction ou de multiplication obtenu au cours de la période de protection provisoire continue d</w:t>
            </w:r>
            <w:r w:rsidR="001F3E61" w:rsidRPr="00D56ED8">
              <w:rPr>
                <w:sz w:val="18"/>
                <w:highlight w:val="lightGray"/>
                <w:u w:val="single"/>
              </w:rPr>
              <w:t>’</w:t>
            </w:r>
            <w:r w:rsidRPr="00D56ED8">
              <w:rPr>
                <w:sz w:val="18"/>
                <w:highlight w:val="lightGray"/>
                <w:u w:val="single"/>
              </w:rPr>
              <w:t>être cultivé et de donner un produit de la récolte (fruits) pendant de nombreuses années au cours de la période de protecti</w:t>
            </w:r>
            <w:r w:rsidR="00D56ED8" w:rsidRPr="00D56ED8">
              <w:rPr>
                <w:sz w:val="18"/>
                <w:highlight w:val="lightGray"/>
                <w:u w:val="single"/>
              </w:rPr>
              <w:t>on.  Da</w:t>
            </w:r>
            <w:r w:rsidRPr="00D56ED8">
              <w:rPr>
                <w:sz w:val="18"/>
                <w:highlight w:val="lightGray"/>
                <w:u w:val="single"/>
              </w:rPr>
              <w:t>ns le cas des plantes annuelles, une fois que la protection est assurée, l</w:t>
            </w:r>
            <w:r w:rsidR="001F3E61" w:rsidRPr="00D56ED8">
              <w:rPr>
                <w:sz w:val="18"/>
                <w:highlight w:val="lightGray"/>
                <w:u w:val="single"/>
              </w:rPr>
              <w:t>’</w:t>
            </w:r>
            <w:r w:rsidRPr="00D56ED8">
              <w:rPr>
                <w:sz w:val="18"/>
                <w:highlight w:val="lightGray"/>
                <w:u w:val="single"/>
              </w:rPr>
              <w:t>obtenteur peut exercer son droit chaque fois qu</w:t>
            </w:r>
            <w:r w:rsidR="001F3E61" w:rsidRPr="00D56ED8">
              <w:rPr>
                <w:sz w:val="18"/>
                <w:highlight w:val="lightGray"/>
                <w:u w:val="single"/>
              </w:rPr>
              <w:t>’</w:t>
            </w:r>
            <w:r w:rsidRPr="00D56ED8">
              <w:rPr>
                <w:sz w:val="18"/>
                <w:highlight w:val="lightGray"/>
                <w:u w:val="single"/>
              </w:rPr>
              <w:t>un tiers obtient ou reproduit du matériel de reproduction ou de multiplicati</w:t>
            </w:r>
            <w:r w:rsidR="00D56ED8" w:rsidRPr="00D56ED8">
              <w:rPr>
                <w:sz w:val="18"/>
                <w:highlight w:val="lightGray"/>
                <w:u w:val="single"/>
              </w:rPr>
              <w:t>on.  En</w:t>
            </w:r>
            <w:r w:rsidRPr="00D56ED8">
              <w:rPr>
                <w:sz w:val="18"/>
                <w:highlight w:val="lightGray"/>
                <w:u w:val="single"/>
              </w:rPr>
              <w:t xml:space="preserve"> revanche, dans le cas des plantes pérennes, telles que les arbres fruitiers, l</w:t>
            </w:r>
            <w:r w:rsidR="001F3E61" w:rsidRPr="00D56ED8">
              <w:rPr>
                <w:sz w:val="18"/>
                <w:highlight w:val="lightGray"/>
                <w:u w:val="single"/>
              </w:rPr>
              <w:t>’</w:t>
            </w:r>
            <w:r w:rsidRPr="00D56ED8">
              <w:rPr>
                <w:sz w:val="18"/>
                <w:highlight w:val="lightGray"/>
                <w:u w:val="single"/>
              </w:rPr>
              <w:t>obtenteur n</w:t>
            </w:r>
            <w:r w:rsidR="001F3E61" w:rsidRPr="00D56ED8">
              <w:rPr>
                <w:sz w:val="18"/>
                <w:highlight w:val="lightGray"/>
                <w:u w:val="single"/>
              </w:rPr>
              <w:t>’</w:t>
            </w:r>
            <w:r w:rsidRPr="00D56ED8">
              <w:rPr>
                <w:sz w:val="18"/>
                <w:highlight w:val="lightGray"/>
                <w:u w:val="single"/>
              </w:rPr>
              <w:t>aura pas la possibilité d</w:t>
            </w:r>
            <w:r w:rsidR="001F3E61" w:rsidRPr="00D56ED8">
              <w:rPr>
                <w:sz w:val="18"/>
                <w:highlight w:val="lightGray"/>
                <w:u w:val="single"/>
              </w:rPr>
              <w:t>’</w:t>
            </w:r>
            <w:r w:rsidRPr="00D56ED8">
              <w:rPr>
                <w:sz w:val="18"/>
                <w:highlight w:val="lightGray"/>
                <w:u w:val="single"/>
              </w:rPr>
              <w:t>exercer son droit sur le matériel de reproduction ou de multiplication (ni sur le produit de la récolte), si l</w:t>
            </w:r>
            <w:r w:rsidR="001F3E61" w:rsidRPr="00D56ED8">
              <w:rPr>
                <w:sz w:val="18"/>
                <w:highlight w:val="lightGray"/>
                <w:u w:val="single"/>
              </w:rPr>
              <w:t>’</w:t>
            </w:r>
            <w:r w:rsidRPr="00D56ED8">
              <w:rPr>
                <w:sz w:val="18"/>
                <w:highlight w:val="lightGray"/>
                <w:u w:val="single"/>
              </w:rPr>
              <w:t>obtenteur a planté et cultivé du matériel de reproduction ou de multiplication qui a été obtenu avant que la protection ne soit octroyée (durant la période de protection provisoire).</w:t>
            </w:r>
            <w:r w:rsidRPr="00D56ED8">
              <w:rPr>
                <w:sz w:val="18"/>
                <w:highlight w:val="lightGray"/>
              </w:rPr>
              <w:t>”</w:t>
            </w:r>
          </w:p>
          <w:p w:rsidR="00C37A53" w:rsidRPr="00D56ED8" w:rsidRDefault="00C37A53" w:rsidP="00C906F8">
            <w:pPr>
              <w:ind w:left="1148" w:hanging="630"/>
              <w:rPr>
                <w:sz w:val="8"/>
              </w:rPr>
            </w:pPr>
          </w:p>
        </w:tc>
      </w:tr>
    </w:tbl>
    <w:p w:rsidR="00C37A53" w:rsidRPr="00D56ED8" w:rsidRDefault="00C37A53" w:rsidP="00C37A53"/>
    <w:tbl>
      <w:tblPr>
        <w:tblStyle w:val="TableGrid"/>
        <w:tblW w:w="0" w:type="auto"/>
        <w:tblLook w:val="04A0" w:firstRow="1" w:lastRow="0" w:firstColumn="1" w:lastColumn="0" w:noHBand="0" w:noVBand="1"/>
      </w:tblPr>
      <w:tblGrid>
        <w:gridCol w:w="9629"/>
      </w:tblGrid>
      <w:tr w:rsidR="003A07D1" w:rsidRPr="00D56ED8" w:rsidTr="00C906F8">
        <w:tc>
          <w:tcPr>
            <w:tcW w:w="9629" w:type="dxa"/>
            <w:shd w:val="clear" w:color="auto" w:fill="F2F2F2" w:themeFill="background1" w:themeFillShade="F2"/>
          </w:tcPr>
          <w:p w:rsidR="00C37A53" w:rsidRPr="00D56ED8" w:rsidRDefault="00C37A53" w:rsidP="00C906F8">
            <w:pPr>
              <w:rPr>
                <w:sz w:val="10"/>
                <w:szCs w:val="10"/>
              </w:rPr>
            </w:pPr>
          </w:p>
          <w:p w:rsidR="00C37A53" w:rsidRPr="00D56ED8" w:rsidRDefault="00C37A53" w:rsidP="00C906F8">
            <w:pPr>
              <w:rPr>
                <w:sz w:val="18"/>
                <w:szCs w:val="18"/>
              </w:rPr>
            </w:pPr>
            <w:r w:rsidRPr="00D56ED8">
              <w:rPr>
                <w:sz w:val="18"/>
                <w:szCs w:val="18"/>
                <w:u w:val="single"/>
              </w:rPr>
              <w:t>Propositions de l</w:t>
            </w:r>
            <w:r w:rsidR="001F3E61" w:rsidRPr="00D56ED8">
              <w:rPr>
                <w:sz w:val="18"/>
                <w:szCs w:val="18"/>
                <w:u w:val="single"/>
              </w:rPr>
              <w:t>’</w:t>
            </w:r>
            <w:r w:rsidRPr="00D56ED8">
              <w:rPr>
                <w:sz w:val="18"/>
                <w:szCs w:val="18"/>
                <w:u w:val="single"/>
              </w:rPr>
              <w:t>AIPH</w:t>
            </w:r>
            <w:r w:rsidRPr="00D56ED8">
              <w:rPr>
                <w:rStyle w:val="EndnoteReference"/>
                <w:sz w:val="18"/>
                <w:szCs w:val="18"/>
              </w:rPr>
              <w:endnoteReference w:id="9"/>
            </w:r>
          </w:p>
          <w:p w:rsidR="00C37A53" w:rsidRPr="00D56ED8" w:rsidRDefault="00C37A53" w:rsidP="00C906F8">
            <w:pPr>
              <w:rPr>
                <w:sz w:val="16"/>
                <w:szCs w:val="16"/>
              </w:rPr>
            </w:pPr>
          </w:p>
          <w:p w:rsidR="00C37A53" w:rsidRPr="00D56ED8" w:rsidRDefault="001509A4" w:rsidP="00C906F8">
            <w:pPr>
              <w:rPr>
                <w:sz w:val="18"/>
                <w:szCs w:val="16"/>
              </w:rPr>
            </w:pPr>
            <w:r w:rsidRPr="00D56ED8">
              <w:rPr>
                <w:sz w:val="18"/>
                <w:szCs w:val="16"/>
              </w:rPr>
              <w:t>Concernant le</w:t>
            </w:r>
            <w:r w:rsidR="00C37A53" w:rsidRPr="00D56ED8">
              <w:rPr>
                <w:sz w:val="18"/>
                <w:szCs w:val="16"/>
              </w:rPr>
              <w:t xml:space="preserve"> </w:t>
            </w:r>
            <w:r w:rsidR="000C5E98" w:rsidRPr="00D56ED8">
              <w:rPr>
                <w:sz w:val="18"/>
                <w:szCs w:val="16"/>
              </w:rPr>
              <w:t>paragraphe 8</w:t>
            </w:r>
            <w:r w:rsidR="00C37A53" w:rsidRPr="00D56ED8">
              <w:rPr>
                <w:sz w:val="18"/>
                <w:szCs w:val="16"/>
              </w:rPr>
              <w:t>, l</w:t>
            </w:r>
            <w:r w:rsidR="001F3E61" w:rsidRPr="00D56ED8">
              <w:rPr>
                <w:sz w:val="18"/>
                <w:szCs w:val="16"/>
              </w:rPr>
              <w:t>’</w:t>
            </w:r>
            <w:r w:rsidR="00C37A53" w:rsidRPr="00D56ED8">
              <w:rPr>
                <w:sz w:val="18"/>
                <w:szCs w:val="16"/>
              </w:rPr>
              <w:t>AIPH a formulé les observations générales ci</w:t>
            </w:r>
            <w:r w:rsidR="001F3E61" w:rsidRPr="00D56ED8">
              <w:rPr>
                <w:sz w:val="18"/>
                <w:szCs w:val="16"/>
              </w:rPr>
              <w:t>-</w:t>
            </w:r>
            <w:r w:rsidR="00C37A53" w:rsidRPr="00D56ED8">
              <w:rPr>
                <w:sz w:val="18"/>
                <w:szCs w:val="16"/>
              </w:rPr>
              <w:t>après</w:t>
            </w:r>
            <w:r w:rsidR="001F3E61" w:rsidRPr="00D56ED8">
              <w:rPr>
                <w:sz w:val="18"/>
                <w:szCs w:val="16"/>
              </w:rPr>
              <w:t> :</w:t>
            </w:r>
          </w:p>
          <w:p w:rsidR="00C37A53" w:rsidRPr="00D56ED8" w:rsidRDefault="00C37A53" w:rsidP="00C906F8">
            <w:pPr>
              <w:rPr>
                <w:sz w:val="16"/>
                <w:szCs w:val="16"/>
              </w:rPr>
            </w:pPr>
          </w:p>
          <w:p w:rsidR="000C5E98" w:rsidRPr="00D56ED8" w:rsidRDefault="00AC6C72" w:rsidP="00C906F8">
            <w:pPr>
              <w:rPr>
                <w:sz w:val="18"/>
              </w:rPr>
            </w:pPr>
            <w:r>
              <w:rPr>
                <w:sz w:val="18"/>
              </w:rPr>
              <w:t>“</w:t>
            </w:r>
            <w:r w:rsidR="00C37A53" w:rsidRPr="00D56ED8">
              <w:rPr>
                <w:sz w:val="18"/>
              </w:rPr>
              <w:t xml:space="preserve">1) La volonté </w:t>
            </w:r>
            <w:r w:rsidR="00784621" w:rsidRPr="00D56ED8">
              <w:rPr>
                <w:sz w:val="18"/>
              </w:rPr>
              <w:t>d</w:t>
            </w:r>
            <w:r w:rsidR="001F3E61" w:rsidRPr="00D56ED8">
              <w:rPr>
                <w:sz w:val="18"/>
              </w:rPr>
              <w:t>’</w:t>
            </w:r>
            <w:r w:rsidR="00784621" w:rsidRPr="00D56ED8">
              <w:rPr>
                <w:sz w:val="18"/>
              </w:rPr>
              <w:t>ajouter</w:t>
            </w:r>
            <w:r w:rsidR="00C37A53" w:rsidRPr="00D56ED8">
              <w:rPr>
                <w:sz w:val="18"/>
              </w:rPr>
              <w:t xml:space="preserve"> ce texte des </w:t>
            </w:r>
            <w:proofErr w:type="spellStart"/>
            <w:r w:rsidR="00C37A53" w:rsidRPr="00D56ED8">
              <w:rPr>
                <w:sz w:val="18"/>
              </w:rPr>
              <w:t>co</w:t>
            </w:r>
            <w:proofErr w:type="spellEnd"/>
            <w:r w:rsidR="001F3E61" w:rsidRPr="00D56ED8">
              <w:rPr>
                <w:sz w:val="18"/>
              </w:rPr>
              <w:t>-</w:t>
            </w:r>
            <w:r w:rsidR="00C37A53" w:rsidRPr="00D56ED8">
              <w:rPr>
                <w:sz w:val="18"/>
              </w:rPr>
              <w:t xml:space="preserve">obtenteurs se comprend au regard de la décision </w:t>
            </w:r>
            <w:proofErr w:type="spellStart"/>
            <w:r w:rsidR="00C37A53" w:rsidRPr="00D56ED8">
              <w:rPr>
                <w:sz w:val="18"/>
              </w:rPr>
              <w:t>Nadorcott</w:t>
            </w:r>
            <w:proofErr w:type="spellEnd"/>
            <w:r w:rsidR="00C37A53" w:rsidRPr="00D56ED8">
              <w:rPr>
                <w:sz w:val="18"/>
              </w:rPr>
              <w:t>, mais il n</w:t>
            </w:r>
            <w:r w:rsidR="001F3E61" w:rsidRPr="00D56ED8">
              <w:rPr>
                <w:sz w:val="18"/>
              </w:rPr>
              <w:t>’</w:t>
            </w:r>
            <w:r w:rsidR="00C37A53" w:rsidRPr="00D56ED8">
              <w:rPr>
                <w:sz w:val="18"/>
              </w:rPr>
              <w:t>est pas conforme à la signification et à l</w:t>
            </w:r>
            <w:r w:rsidR="001F3E61" w:rsidRPr="00D56ED8">
              <w:rPr>
                <w:sz w:val="18"/>
              </w:rPr>
              <w:t>’</w:t>
            </w:r>
            <w:r w:rsidR="00C37A53" w:rsidRPr="00D56ED8">
              <w:rPr>
                <w:sz w:val="18"/>
              </w:rPr>
              <w:t>intention fondamentales du principe d</w:t>
            </w:r>
            <w:r w:rsidR="001F3E61" w:rsidRPr="00D56ED8">
              <w:rPr>
                <w:sz w:val="18"/>
              </w:rPr>
              <w:t>’</w:t>
            </w:r>
            <w:r w:rsidR="00C37A53" w:rsidRPr="00D56ED8">
              <w:rPr>
                <w:sz w:val="18"/>
              </w:rPr>
              <w:t>autorisation, c</w:t>
            </w:r>
            <w:r w:rsidR="001F3E61" w:rsidRPr="00D56ED8">
              <w:rPr>
                <w:sz w:val="18"/>
              </w:rPr>
              <w:t>’</w:t>
            </w:r>
            <w:r w:rsidR="00C37A53" w:rsidRPr="00D56ED8">
              <w:rPr>
                <w:sz w:val="18"/>
              </w:rPr>
              <w:t>est</w:t>
            </w:r>
            <w:r w:rsidR="001F3E61" w:rsidRPr="00D56ED8">
              <w:rPr>
                <w:sz w:val="18"/>
              </w:rPr>
              <w:t>-</w:t>
            </w:r>
            <w:r w:rsidR="00C37A53" w:rsidRPr="00D56ED8">
              <w:rPr>
                <w:sz w:val="18"/>
              </w:rPr>
              <w:t>à</w:t>
            </w:r>
            <w:r w:rsidR="001F3E61" w:rsidRPr="00D56ED8">
              <w:rPr>
                <w:sz w:val="18"/>
              </w:rPr>
              <w:t>-</w:t>
            </w:r>
            <w:r w:rsidR="00C37A53" w:rsidRPr="00D56ED8">
              <w:rPr>
                <w:sz w:val="18"/>
              </w:rPr>
              <w:t>dire qu</w:t>
            </w:r>
            <w:r w:rsidR="001F3E61" w:rsidRPr="00D56ED8">
              <w:rPr>
                <w:sz w:val="18"/>
              </w:rPr>
              <w:t>’</w:t>
            </w:r>
            <w:r w:rsidR="00C37A53" w:rsidRPr="00D56ED8">
              <w:rPr>
                <w:sz w:val="18"/>
              </w:rPr>
              <w:t>il doit être interprété comme un consenteme</w:t>
            </w:r>
            <w:r w:rsidR="00D56ED8" w:rsidRPr="00D56ED8">
              <w:rPr>
                <w:sz w:val="18"/>
              </w:rPr>
              <w:t>nt.  Ex</w:t>
            </w:r>
            <w:r w:rsidR="00C37A53" w:rsidRPr="00D56ED8">
              <w:rPr>
                <w:sz w:val="18"/>
              </w:rPr>
              <w:t>aminons tout d</w:t>
            </w:r>
            <w:r w:rsidR="001F3E61" w:rsidRPr="00D56ED8">
              <w:rPr>
                <w:sz w:val="18"/>
              </w:rPr>
              <w:t>’</w:t>
            </w:r>
            <w:r w:rsidR="00C37A53" w:rsidRPr="00D56ED8">
              <w:rPr>
                <w:sz w:val="18"/>
              </w:rPr>
              <w:t>abord ce principe et, après les conclusions, commençons à discuter du principe de matériel de reproduction ou de multiplication et des précisions dans les notes explicatives concernées.</w:t>
            </w:r>
          </w:p>
          <w:p w:rsidR="000C5E98" w:rsidRPr="00D56ED8" w:rsidRDefault="00AC6C72" w:rsidP="00C906F8">
            <w:pPr>
              <w:rPr>
                <w:sz w:val="18"/>
              </w:rPr>
            </w:pPr>
            <w:r>
              <w:rPr>
                <w:sz w:val="18"/>
              </w:rPr>
              <w:t>“</w:t>
            </w:r>
            <w:r w:rsidR="00C37A53" w:rsidRPr="00D56ED8">
              <w:rPr>
                <w:sz w:val="18"/>
              </w:rPr>
              <w:t>2) la phrase en tant que telle est compliquée et détourne l</w:t>
            </w:r>
            <w:r w:rsidR="001F3E61" w:rsidRPr="00D56ED8">
              <w:rPr>
                <w:sz w:val="18"/>
              </w:rPr>
              <w:t>’</w:t>
            </w:r>
            <w:r w:rsidR="00C37A53" w:rsidRPr="00D56ED8">
              <w:rPr>
                <w:sz w:val="18"/>
              </w:rPr>
              <w:t>attention de la discussion de base.</w:t>
            </w:r>
          </w:p>
          <w:p w:rsidR="00C37A53" w:rsidRPr="00D56ED8" w:rsidRDefault="00AC6C72" w:rsidP="00C906F8">
            <w:pPr>
              <w:rPr>
                <w:sz w:val="18"/>
              </w:rPr>
            </w:pPr>
            <w:r>
              <w:rPr>
                <w:sz w:val="18"/>
              </w:rPr>
              <w:t>“</w:t>
            </w:r>
            <w:r w:rsidR="00C37A53" w:rsidRPr="00D56ED8">
              <w:rPr>
                <w:sz w:val="18"/>
              </w:rPr>
              <w:t>3) l</w:t>
            </w:r>
            <w:r w:rsidR="001F3E61" w:rsidRPr="00D56ED8">
              <w:rPr>
                <w:sz w:val="18"/>
              </w:rPr>
              <w:t>’</w:t>
            </w:r>
            <w:r w:rsidR="00C37A53" w:rsidRPr="00D56ED8">
              <w:rPr>
                <w:sz w:val="18"/>
              </w:rPr>
              <w:t>utilisation de l</w:t>
            </w:r>
            <w:r w:rsidR="001F3E61" w:rsidRPr="00D56ED8">
              <w:rPr>
                <w:sz w:val="18"/>
              </w:rPr>
              <w:t>’</w:t>
            </w:r>
            <w:r w:rsidR="00C37A53" w:rsidRPr="00D56ED8">
              <w:rPr>
                <w:sz w:val="18"/>
              </w:rPr>
              <w:t xml:space="preserve">expression </w:t>
            </w:r>
            <w:r>
              <w:rPr>
                <w:sz w:val="18"/>
              </w:rPr>
              <w:t>‘</w:t>
            </w:r>
            <w:r w:rsidR="000C5E98" w:rsidRPr="00D56ED8">
              <w:rPr>
                <w:sz w:val="18"/>
              </w:rPr>
              <w:t>p</w:t>
            </w:r>
            <w:r w:rsidR="00C37A53" w:rsidRPr="00D56ED8">
              <w:rPr>
                <w:sz w:val="18"/>
              </w:rPr>
              <w:t>rotection provisoir</w:t>
            </w:r>
            <w:r w:rsidR="000C5E98" w:rsidRPr="00D56ED8">
              <w:rPr>
                <w:sz w:val="18"/>
              </w:rPr>
              <w:t>e</w:t>
            </w:r>
            <w:r>
              <w:rPr>
                <w:sz w:val="18"/>
              </w:rPr>
              <w:t>’</w:t>
            </w:r>
            <w:r w:rsidR="00C37A53" w:rsidRPr="00D56ED8">
              <w:rPr>
                <w:sz w:val="18"/>
              </w:rPr>
              <w:t xml:space="preserve"> comme titre de cet article de la </w:t>
            </w:r>
            <w:r w:rsidR="001F3E61" w:rsidRPr="00D56ED8">
              <w:rPr>
                <w:sz w:val="18"/>
              </w:rPr>
              <w:t>Convention UPOV</w:t>
            </w:r>
            <w:r w:rsidR="00C37A53" w:rsidRPr="00D56ED8">
              <w:rPr>
                <w:sz w:val="18"/>
              </w:rPr>
              <w:t xml:space="preserve"> constitue</w:t>
            </w:r>
            <w:r w:rsidR="001F3E61" w:rsidRPr="00D56ED8">
              <w:rPr>
                <w:sz w:val="18"/>
              </w:rPr>
              <w:t>-</w:t>
            </w:r>
            <w:r w:rsidR="00C37A53" w:rsidRPr="00D56ED8">
              <w:rPr>
                <w:sz w:val="18"/>
              </w:rPr>
              <w:t>t</w:t>
            </w:r>
            <w:r w:rsidR="001F3E61" w:rsidRPr="00D56ED8">
              <w:rPr>
                <w:sz w:val="18"/>
              </w:rPr>
              <w:t>-</w:t>
            </w:r>
            <w:r w:rsidR="00C37A53" w:rsidRPr="00D56ED8">
              <w:rPr>
                <w:sz w:val="18"/>
              </w:rPr>
              <w:t>elle une base juridique suffisante pour clarifier et expliquer la portée du droit</w:t>
            </w:r>
            <w:r w:rsidR="00274CC7" w:rsidRPr="00D56ED8">
              <w:rPr>
                <w:sz w:val="18"/>
              </w:rPr>
              <w:t xml:space="preserve">? </w:t>
            </w:r>
            <w:r w:rsidR="00C37A53" w:rsidRPr="00D56ED8">
              <w:rPr>
                <w:sz w:val="18"/>
              </w:rPr>
              <w:t xml:space="preserve"> Voir le titre de l</w:t>
            </w:r>
            <w:r w:rsidR="001F3E61" w:rsidRPr="00D56ED8">
              <w:rPr>
                <w:sz w:val="18"/>
              </w:rPr>
              <w:t>’</w:t>
            </w:r>
            <w:r w:rsidR="000C5E98" w:rsidRPr="00D56ED8">
              <w:rPr>
                <w:sz w:val="18"/>
              </w:rPr>
              <w:t>article 9</w:t>
            </w:r>
            <w:r w:rsidR="00C37A53" w:rsidRPr="00D56ED8">
              <w:rPr>
                <w:sz w:val="18"/>
              </w:rPr>
              <w:t>5 du règlement (CE) n°</w:t>
            </w:r>
            <w:r w:rsidR="00274CC7" w:rsidRPr="00D56ED8">
              <w:rPr>
                <w:sz w:val="18"/>
              </w:rPr>
              <w:t> </w:t>
            </w:r>
            <w:r w:rsidR="00CB5D84">
              <w:rPr>
                <w:sz w:val="18"/>
              </w:rPr>
              <w:t>24</w:t>
            </w:r>
            <w:r w:rsidR="00C37A53" w:rsidRPr="00D56ED8">
              <w:rPr>
                <w:sz w:val="18"/>
              </w:rPr>
              <w:t>00/94</w:t>
            </w:r>
            <w:r w:rsidR="001F3E61" w:rsidRPr="00D56ED8">
              <w:rPr>
                <w:sz w:val="18"/>
              </w:rPr>
              <w:t> :</w:t>
            </w:r>
            <w:r w:rsidR="00C37A53" w:rsidRPr="00D56ED8">
              <w:rPr>
                <w:sz w:val="18"/>
              </w:rPr>
              <w:t xml:space="preserve"> </w:t>
            </w:r>
            <w:r>
              <w:rPr>
                <w:sz w:val="18"/>
              </w:rPr>
              <w:t>‘</w:t>
            </w:r>
            <w:r w:rsidR="000C5E98" w:rsidRPr="00D56ED8">
              <w:rPr>
                <w:sz w:val="18"/>
              </w:rPr>
              <w:t>A</w:t>
            </w:r>
            <w:r w:rsidR="00C37A53" w:rsidRPr="00D56ED8">
              <w:rPr>
                <w:sz w:val="18"/>
              </w:rPr>
              <w:t>ctes antérieurs à l</w:t>
            </w:r>
            <w:r w:rsidR="001F3E61" w:rsidRPr="00D56ED8">
              <w:rPr>
                <w:sz w:val="18"/>
              </w:rPr>
              <w:t>’</w:t>
            </w:r>
            <w:r w:rsidR="00C37A53" w:rsidRPr="00D56ED8">
              <w:rPr>
                <w:sz w:val="18"/>
              </w:rPr>
              <w:t>octroi de la protection communautaire des obtentions végétale</w:t>
            </w:r>
            <w:r>
              <w:rPr>
                <w:sz w:val="18"/>
              </w:rPr>
              <w:t>s’</w:t>
            </w:r>
            <w:r w:rsidR="00C37A53" w:rsidRPr="00D56ED8">
              <w:rPr>
                <w:sz w:val="18"/>
              </w:rPr>
              <w:t>.</w:t>
            </w:r>
          </w:p>
          <w:p w:rsidR="00C37A53" w:rsidRPr="00D56ED8" w:rsidRDefault="00AC6C72" w:rsidP="00C906F8">
            <w:pPr>
              <w:rPr>
                <w:sz w:val="18"/>
              </w:rPr>
            </w:pPr>
            <w:r>
              <w:rPr>
                <w:sz w:val="18"/>
              </w:rPr>
              <w:t>“</w:t>
            </w:r>
            <w:r w:rsidR="00C37A53" w:rsidRPr="00D56ED8">
              <w:rPr>
                <w:sz w:val="18"/>
              </w:rPr>
              <w:t>4) l</w:t>
            </w:r>
            <w:r w:rsidR="001F3E61" w:rsidRPr="00D56ED8">
              <w:rPr>
                <w:sz w:val="18"/>
              </w:rPr>
              <w:t>’</w:t>
            </w:r>
            <w:r w:rsidR="00C37A53" w:rsidRPr="00D56ED8">
              <w:rPr>
                <w:sz w:val="18"/>
              </w:rPr>
              <w:t>obtenteur doit faire preuve de prudence en ce qui concerne la personne à laquelle il livre son matériel pendant la période de protection provisoire.</w:t>
            </w:r>
          </w:p>
          <w:p w:rsidR="00C37A53" w:rsidRPr="00D56ED8" w:rsidRDefault="00AC6C72" w:rsidP="00C906F8">
            <w:pPr>
              <w:rPr>
                <w:sz w:val="18"/>
              </w:rPr>
            </w:pPr>
            <w:r>
              <w:rPr>
                <w:sz w:val="18"/>
              </w:rPr>
              <w:t>“</w:t>
            </w:r>
            <w:r w:rsidR="00C37A53" w:rsidRPr="00D56ED8">
              <w:rPr>
                <w:sz w:val="18"/>
              </w:rPr>
              <w:t>5) il y a un risque que le fait d</w:t>
            </w:r>
            <w:r w:rsidR="001F3E61" w:rsidRPr="00D56ED8">
              <w:rPr>
                <w:sz w:val="18"/>
              </w:rPr>
              <w:t>’</w:t>
            </w:r>
            <w:r w:rsidR="00C37A53" w:rsidRPr="00D56ED8">
              <w:rPr>
                <w:sz w:val="18"/>
              </w:rPr>
              <w:t>exclure une protection complète pendant la période de protection provisoire ouvre le débat sur le principe de protection (lui</w:t>
            </w:r>
            <w:r w:rsidR="001F3E61" w:rsidRPr="00D56ED8">
              <w:rPr>
                <w:sz w:val="18"/>
              </w:rPr>
              <w:t>-</w:t>
            </w:r>
            <w:r w:rsidR="00C37A53" w:rsidRPr="00D56ED8">
              <w:rPr>
                <w:sz w:val="18"/>
              </w:rPr>
              <w:t>même)</w:t>
            </w:r>
            <w:r w:rsidR="000C5E98" w:rsidRPr="00D56ED8">
              <w:rPr>
                <w:sz w:val="18"/>
              </w:rPr>
              <w:t>.”</w:t>
            </w:r>
          </w:p>
          <w:p w:rsidR="00C37A53" w:rsidRPr="00D56ED8" w:rsidRDefault="00C37A53" w:rsidP="00C906F8">
            <w:pPr>
              <w:rPr>
                <w:sz w:val="18"/>
              </w:rPr>
            </w:pPr>
          </w:p>
          <w:p w:rsidR="00C37A53" w:rsidRPr="00D56ED8" w:rsidRDefault="00C37A53" w:rsidP="00C906F8">
            <w:pPr>
              <w:rPr>
                <w:sz w:val="18"/>
              </w:rPr>
            </w:pPr>
            <w:r w:rsidRPr="00D56ED8">
              <w:rPr>
                <w:sz w:val="18"/>
              </w:rPr>
              <w:t>L</w:t>
            </w:r>
            <w:r w:rsidR="001F3E61" w:rsidRPr="00D56ED8">
              <w:rPr>
                <w:sz w:val="18"/>
              </w:rPr>
              <w:t>’</w:t>
            </w:r>
            <w:r w:rsidRPr="00D56ED8">
              <w:rPr>
                <w:sz w:val="18"/>
              </w:rPr>
              <w:t xml:space="preserve">AIPH a formulé </w:t>
            </w:r>
            <w:r w:rsidR="00CC6311">
              <w:rPr>
                <w:sz w:val="18"/>
              </w:rPr>
              <w:t xml:space="preserve">le commentaire spécifique suivant </w:t>
            </w:r>
            <w:r w:rsidRPr="00D56ED8">
              <w:rPr>
                <w:sz w:val="18"/>
              </w:rPr>
              <w:t>concernant la phrase ci</w:t>
            </w:r>
            <w:r w:rsidR="001F3E61" w:rsidRPr="00D56ED8">
              <w:rPr>
                <w:sz w:val="18"/>
              </w:rPr>
              <w:t>-</w:t>
            </w:r>
            <w:r w:rsidRPr="00D56ED8">
              <w:rPr>
                <w:sz w:val="18"/>
              </w:rPr>
              <w:t>après figurant dans l</w:t>
            </w:r>
            <w:r w:rsidR="001F3E61" w:rsidRPr="00D56ED8">
              <w:rPr>
                <w:sz w:val="18"/>
              </w:rPr>
              <w:t>’</w:t>
            </w:r>
            <w:r w:rsidRPr="00D56ED8">
              <w:rPr>
                <w:sz w:val="18"/>
              </w:rPr>
              <w:t>encadré ci</w:t>
            </w:r>
            <w:r w:rsidR="001F3E61" w:rsidRPr="00D56ED8">
              <w:rPr>
                <w:sz w:val="18"/>
              </w:rPr>
              <w:t>-</w:t>
            </w:r>
            <w:r w:rsidRPr="00D56ED8">
              <w:rPr>
                <w:sz w:val="18"/>
              </w:rPr>
              <w:t>dessus</w:t>
            </w:r>
            <w:r w:rsidR="001F3E61" w:rsidRPr="00D56ED8">
              <w:rPr>
                <w:sz w:val="18"/>
              </w:rPr>
              <w:t> :</w:t>
            </w:r>
          </w:p>
          <w:p w:rsidR="000C5E98" w:rsidRPr="00D56ED8" w:rsidRDefault="000C5E98" w:rsidP="00C906F8">
            <w:pPr>
              <w:ind w:left="596" w:right="598"/>
              <w:rPr>
                <w:sz w:val="18"/>
              </w:rPr>
            </w:pPr>
            <w:r w:rsidRPr="00D56ED8">
              <w:rPr>
                <w:sz w:val="18"/>
              </w:rPr>
              <w:t>“</w:t>
            </w:r>
            <w:r w:rsidRPr="00D56ED8">
              <w:rPr>
                <w:i/>
                <w:sz w:val="18"/>
                <w:highlight w:val="lightGray"/>
                <w:u w:val="single"/>
              </w:rPr>
              <w:t>L</w:t>
            </w:r>
            <w:r w:rsidR="001F3E61" w:rsidRPr="00D56ED8">
              <w:rPr>
                <w:i/>
                <w:sz w:val="18"/>
                <w:highlight w:val="lightGray"/>
                <w:u w:val="single"/>
              </w:rPr>
              <w:t>’</w:t>
            </w:r>
            <w:r w:rsidR="00C37A53" w:rsidRPr="00D56ED8">
              <w:rPr>
                <w:i/>
                <w:sz w:val="18"/>
                <w:highlight w:val="lightGray"/>
                <w:u w:val="single"/>
              </w:rPr>
              <w:t>utilisation de l</w:t>
            </w:r>
            <w:r w:rsidR="001F3E61" w:rsidRPr="00D56ED8">
              <w:rPr>
                <w:i/>
                <w:sz w:val="18"/>
                <w:highlight w:val="lightGray"/>
                <w:u w:val="single"/>
              </w:rPr>
              <w:t>’</w:t>
            </w:r>
            <w:r w:rsidR="00C37A53" w:rsidRPr="00D56ED8">
              <w:rPr>
                <w:i/>
                <w:sz w:val="18"/>
                <w:highlight w:val="lightGray"/>
                <w:u w:val="single"/>
              </w:rPr>
              <w:t xml:space="preserve">expression </w:t>
            </w:r>
            <w:r w:rsidR="001F3E61" w:rsidRPr="00D56ED8">
              <w:rPr>
                <w:i/>
                <w:sz w:val="18"/>
                <w:highlight w:val="lightGray"/>
                <w:u w:val="single"/>
              </w:rPr>
              <w:t>‘</w:t>
            </w:r>
            <w:r w:rsidR="00C37A53" w:rsidRPr="00D56ED8">
              <w:rPr>
                <w:i/>
                <w:sz w:val="18"/>
                <w:highlight w:val="lightGray"/>
                <w:u w:val="single"/>
              </w:rPr>
              <w:t>au minimum</w:t>
            </w:r>
            <w:r w:rsidR="001F3E61" w:rsidRPr="00D56ED8">
              <w:rPr>
                <w:i/>
                <w:sz w:val="18"/>
                <w:highlight w:val="lightGray"/>
                <w:u w:val="single"/>
              </w:rPr>
              <w:t>’</w:t>
            </w:r>
            <w:r w:rsidR="00C37A53" w:rsidRPr="00D56ED8">
              <w:rPr>
                <w:i/>
                <w:sz w:val="18"/>
                <w:highlight w:val="lightGray"/>
                <w:u w:val="single"/>
              </w:rPr>
              <w:t xml:space="preserve"> précise que les membres de l</w:t>
            </w:r>
            <w:r w:rsidR="001F3E61" w:rsidRPr="00D56ED8">
              <w:rPr>
                <w:i/>
                <w:sz w:val="18"/>
                <w:highlight w:val="lightGray"/>
                <w:u w:val="single"/>
              </w:rPr>
              <w:t>’</w:t>
            </w:r>
            <w:r w:rsidR="00C37A53" w:rsidRPr="00D56ED8">
              <w:rPr>
                <w:i/>
                <w:sz w:val="18"/>
                <w:highlight w:val="lightGray"/>
                <w:u w:val="single"/>
              </w:rPr>
              <w:t>Union peuvent déjà bénéficier d</w:t>
            </w:r>
            <w:r w:rsidR="001F3E61" w:rsidRPr="00D56ED8">
              <w:rPr>
                <w:i/>
                <w:sz w:val="18"/>
                <w:highlight w:val="lightGray"/>
                <w:u w:val="single"/>
              </w:rPr>
              <w:t>’</w:t>
            </w:r>
            <w:r w:rsidR="00C37A53" w:rsidRPr="00D56ED8">
              <w:rPr>
                <w:i/>
                <w:sz w:val="18"/>
                <w:highlight w:val="lightGray"/>
                <w:u w:val="single"/>
              </w:rPr>
              <w:t xml:space="preserve">une protection complète durant cette </w:t>
            </w:r>
            <w:r w:rsidR="00C37A53" w:rsidRPr="00AC6C72">
              <w:rPr>
                <w:i/>
                <w:sz w:val="18"/>
                <w:highlight w:val="lightGray"/>
                <w:u w:val="single"/>
              </w:rPr>
              <w:t>période</w:t>
            </w:r>
            <w:r w:rsidRPr="00AC6C72">
              <w:rPr>
                <w:i/>
                <w:sz w:val="18"/>
                <w:highlight w:val="lightGray"/>
              </w:rPr>
              <w:t>.</w:t>
            </w:r>
            <w:r w:rsidRPr="00D56ED8">
              <w:rPr>
                <w:i/>
                <w:sz w:val="18"/>
              </w:rPr>
              <w:t>”</w:t>
            </w:r>
          </w:p>
          <w:p w:rsidR="00C37A53" w:rsidRPr="00D56ED8" w:rsidRDefault="000C5E98" w:rsidP="00C906F8">
            <w:pPr>
              <w:ind w:right="598"/>
              <w:rPr>
                <w:sz w:val="18"/>
                <w:u w:val="single"/>
              </w:rPr>
            </w:pPr>
            <w:r w:rsidRPr="00D56ED8">
              <w:rPr>
                <w:sz w:val="18"/>
                <w:u w:val="single"/>
              </w:rPr>
              <w:t>“m</w:t>
            </w:r>
            <w:r w:rsidR="00C37A53" w:rsidRPr="00D56ED8">
              <w:rPr>
                <w:sz w:val="18"/>
                <w:u w:val="single"/>
              </w:rPr>
              <w:t>ais les membres pourraient ou peuvent s</w:t>
            </w:r>
            <w:r w:rsidR="001F3E61" w:rsidRPr="00D56ED8">
              <w:rPr>
                <w:sz w:val="18"/>
                <w:u w:val="single"/>
              </w:rPr>
              <w:t>’</w:t>
            </w:r>
            <w:r w:rsidR="00C37A53" w:rsidRPr="00D56ED8">
              <w:rPr>
                <w:sz w:val="18"/>
                <w:u w:val="single"/>
              </w:rPr>
              <w:t>en écarter</w:t>
            </w:r>
            <w:r w:rsidR="00AC6C72">
              <w:rPr>
                <w:sz w:val="18"/>
                <w:u w:val="single"/>
              </w:rPr>
              <w:t>”</w:t>
            </w:r>
          </w:p>
          <w:p w:rsidR="00C37A53" w:rsidRPr="00D56ED8" w:rsidRDefault="00C37A53" w:rsidP="00C906F8">
            <w:pPr>
              <w:rPr>
                <w:sz w:val="18"/>
                <w:u w:val="single"/>
              </w:rPr>
            </w:pPr>
          </w:p>
          <w:p w:rsidR="009231E0" w:rsidRDefault="009231E0" w:rsidP="00C906F8">
            <w:pPr>
              <w:rPr>
                <w:sz w:val="18"/>
                <w:u w:val="single"/>
              </w:rPr>
            </w:pPr>
          </w:p>
          <w:p w:rsidR="000C5E98" w:rsidRPr="0078295F" w:rsidRDefault="00C37A53" w:rsidP="00C906F8">
            <w:pPr>
              <w:rPr>
                <w:sz w:val="18"/>
              </w:rPr>
            </w:pPr>
            <w:r w:rsidRPr="0078295F">
              <w:rPr>
                <w:sz w:val="18"/>
              </w:rPr>
              <w:t>L</w:t>
            </w:r>
            <w:r w:rsidR="001F3E61" w:rsidRPr="0078295F">
              <w:rPr>
                <w:sz w:val="18"/>
              </w:rPr>
              <w:t>’</w:t>
            </w:r>
            <w:r w:rsidRPr="0078295F">
              <w:rPr>
                <w:sz w:val="18"/>
              </w:rPr>
              <w:t xml:space="preserve">AIPH a formulé </w:t>
            </w:r>
            <w:r w:rsidR="00CC6311">
              <w:rPr>
                <w:sz w:val="18"/>
              </w:rPr>
              <w:t xml:space="preserve">le </w:t>
            </w:r>
            <w:r w:rsidR="00CC6311">
              <w:rPr>
                <w:sz w:val="18"/>
              </w:rPr>
              <w:t xml:space="preserve">commentaire spécifique suivant </w:t>
            </w:r>
            <w:r w:rsidRPr="0078295F">
              <w:rPr>
                <w:sz w:val="18"/>
              </w:rPr>
              <w:t>concernant les phrases ci</w:t>
            </w:r>
            <w:r w:rsidR="001F3E61" w:rsidRPr="0078295F">
              <w:rPr>
                <w:sz w:val="18"/>
              </w:rPr>
              <w:t>-</w:t>
            </w:r>
            <w:r w:rsidRPr="0078295F">
              <w:rPr>
                <w:sz w:val="18"/>
              </w:rPr>
              <w:t>après figurant dans l</w:t>
            </w:r>
            <w:r w:rsidR="001F3E61" w:rsidRPr="0078295F">
              <w:rPr>
                <w:sz w:val="18"/>
              </w:rPr>
              <w:t>’</w:t>
            </w:r>
            <w:r w:rsidRPr="0078295F">
              <w:rPr>
                <w:sz w:val="18"/>
              </w:rPr>
              <w:t>encadré ci</w:t>
            </w:r>
            <w:r w:rsidR="001F3E61" w:rsidRPr="0078295F">
              <w:rPr>
                <w:sz w:val="18"/>
              </w:rPr>
              <w:t>-</w:t>
            </w:r>
            <w:r w:rsidRPr="0078295F">
              <w:rPr>
                <w:sz w:val="18"/>
              </w:rPr>
              <w:t>dessus</w:t>
            </w:r>
            <w:r w:rsidR="001F3E61" w:rsidRPr="0078295F">
              <w:rPr>
                <w:sz w:val="18"/>
              </w:rPr>
              <w:t> :</w:t>
            </w:r>
          </w:p>
          <w:p w:rsidR="00C37A53" w:rsidRPr="00D56ED8" w:rsidRDefault="00C37A53" w:rsidP="00C906F8">
            <w:pPr>
              <w:ind w:left="596" w:right="598"/>
              <w:rPr>
                <w:sz w:val="18"/>
                <w:highlight w:val="lightGray"/>
                <w:u w:val="single"/>
              </w:rPr>
            </w:pPr>
            <w:r w:rsidRPr="00D56ED8">
              <w:rPr>
                <w:i/>
                <w:sz w:val="18"/>
                <w:highlight w:val="lightGray"/>
              </w:rPr>
              <w:t>“</w:t>
            </w:r>
            <w:r w:rsidRPr="00D56ED8">
              <w:rPr>
                <w:i/>
                <w:sz w:val="18"/>
                <w:highlight w:val="lightGray"/>
                <w:u w:val="single"/>
              </w:rPr>
              <w:t xml:space="preserve">Une protection complète durant la période de </w:t>
            </w:r>
            <w:r w:rsidR="001F3E61" w:rsidRPr="00D56ED8">
              <w:rPr>
                <w:i/>
                <w:sz w:val="18"/>
                <w:highlight w:val="lightGray"/>
                <w:u w:val="single"/>
              </w:rPr>
              <w:t>‘</w:t>
            </w:r>
            <w:r w:rsidRPr="00D56ED8">
              <w:rPr>
                <w:i/>
                <w:sz w:val="18"/>
                <w:highlight w:val="lightGray"/>
                <w:u w:val="single"/>
              </w:rPr>
              <w:t>protection provisoire</w:t>
            </w:r>
            <w:r w:rsidR="001F3E61" w:rsidRPr="00D56ED8">
              <w:rPr>
                <w:i/>
                <w:sz w:val="18"/>
                <w:highlight w:val="lightGray"/>
                <w:u w:val="single"/>
              </w:rPr>
              <w:t>’</w:t>
            </w:r>
            <w:r w:rsidRPr="00D56ED8">
              <w:rPr>
                <w:i/>
                <w:sz w:val="18"/>
                <w:highlight w:val="lightGray"/>
                <w:u w:val="single"/>
              </w:rPr>
              <w:t xml:space="preserve"> est essentielle pour encourager les obtenteurs à mettre rapidement leurs dernières variétés sur le marc</w:t>
            </w:r>
            <w:r w:rsidR="00D56ED8" w:rsidRPr="00D56ED8">
              <w:rPr>
                <w:i/>
                <w:sz w:val="18"/>
                <w:highlight w:val="lightGray"/>
                <w:u w:val="single"/>
              </w:rPr>
              <w:t>hé.  La</w:t>
            </w:r>
            <w:r w:rsidRPr="00D56ED8">
              <w:rPr>
                <w:i/>
                <w:sz w:val="18"/>
                <w:highlight w:val="lightGray"/>
                <w:u w:val="single"/>
              </w:rPr>
              <w:t xml:space="preserve"> diffusion rapide de nouvelles variétés permettant de relever un large éventail de défis, notamment en matière de durabilité, profitera également aux producteurs, aux consommateurs et à l</w:t>
            </w:r>
            <w:r w:rsidR="001F3E61" w:rsidRPr="00D56ED8">
              <w:rPr>
                <w:i/>
                <w:sz w:val="18"/>
                <w:highlight w:val="lightGray"/>
                <w:u w:val="single"/>
              </w:rPr>
              <w:t>’</w:t>
            </w:r>
            <w:r w:rsidRPr="00D56ED8">
              <w:rPr>
                <w:i/>
                <w:sz w:val="18"/>
                <w:highlight w:val="lightGray"/>
                <w:u w:val="single"/>
              </w:rPr>
              <w:t>ensemble de la société</w:t>
            </w:r>
            <w:r w:rsidR="000C5E98" w:rsidRPr="00D56ED8">
              <w:rPr>
                <w:i/>
                <w:sz w:val="18"/>
                <w:highlight w:val="lightGray"/>
                <w:u w:val="single"/>
              </w:rPr>
              <w:t>.”</w:t>
            </w:r>
            <w:r w:rsidR="001F3E61" w:rsidRPr="00D56ED8">
              <w:rPr>
                <w:sz w:val="18"/>
                <w:highlight w:val="lightGray"/>
              </w:rPr>
              <w:t> :</w:t>
            </w:r>
          </w:p>
          <w:p w:rsidR="00C37A53" w:rsidRPr="00D56ED8" w:rsidRDefault="00C37A53" w:rsidP="00C906F8">
            <w:pPr>
              <w:rPr>
                <w:sz w:val="18"/>
                <w:highlight w:val="lightGray"/>
                <w:u w:val="single"/>
              </w:rPr>
            </w:pPr>
          </w:p>
          <w:p w:rsidR="00C37A53" w:rsidRPr="00D56ED8" w:rsidRDefault="000C5E98" w:rsidP="00C906F8">
            <w:pPr>
              <w:rPr>
                <w:sz w:val="18"/>
              </w:rPr>
            </w:pPr>
            <w:r w:rsidRPr="00D56ED8">
              <w:rPr>
                <w:sz w:val="18"/>
              </w:rPr>
              <w:t>“s</w:t>
            </w:r>
            <w:r w:rsidR="00C37A53" w:rsidRPr="00D56ED8">
              <w:rPr>
                <w:sz w:val="18"/>
              </w:rPr>
              <w:t xml:space="preserve">e comprend eu égard </w:t>
            </w:r>
            <w:r w:rsidR="00FE12B3" w:rsidRPr="00D56ED8">
              <w:rPr>
                <w:sz w:val="18"/>
              </w:rPr>
              <w:t>à l</w:t>
            </w:r>
            <w:r w:rsidR="001F3E61" w:rsidRPr="00D56ED8">
              <w:rPr>
                <w:sz w:val="18"/>
              </w:rPr>
              <w:t>’</w:t>
            </w:r>
            <w:r w:rsidR="00FE12B3" w:rsidRPr="00D56ED8">
              <w:rPr>
                <w:sz w:val="18"/>
              </w:rPr>
              <w:t>affaire</w:t>
            </w:r>
            <w:r w:rsidR="00C37A53" w:rsidRPr="00D56ED8">
              <w:rPr>
                <w:sz w:val="18"/>
              </w:rPr>
              <w:t xml:space="preserve"> </w:t>
            </w:r>
            <w:proofErr w:type="spellStart"/>
            <w:r w:rsidR="00C37A53" w:rsidRPr="00D56ED8">
              <w:rPr>
                <w:sz w:val="18"/>
              </w:rPr>
              <w:t>Nadorcott</w:t>
            </w:r>
            <w:proofErr w:type="spellEnd"/>
            <w:r w:rsidR="00C37A53" w:rsidRPr="00D56ED8">
              <w:rPr>
                <w:sz w:val="18"/>
              </w:rPr>
              <w:t>, mais la Convention (situation juridique) ne prévoit pas une portée complète de la protection, car il n</w:t>
            </w:r>
            <w:r w:rsidR="001F3E61" w:rsidRPr="00D56ED8">
              <w:rPr>
                <w:sz w:val="18"/>
              </w:rPr>
              <w:t>’</w:t>
            </w:r>
            <w:r w:rsidR="00C37A53" w:rsidRPr="00D56ED8">
              <w:rPr>
                <w:sz w:val="18"/>
              </w:rPr>
              <w:t>existe pas de droit d</w:t>
            </w:r>
            <w:r w:rsidR="001F3E61" w:rsidRPr="00D56ED8">
              <w:rPr>
                <w:sz w:val="18"/>
              </w:rPr>
              <w:t>’</w:t>
            </w:r>
            <w:r w:rsidR="00C37A53" w:rsidRPr="00D56ED8">
              <w:rPr>
                <w:sz w:val="18"/>
              </w:rPr>
              <w:t>obtenteur à ce sta</w:t>
            </w:r>
            <w:r w:rsidR="00D56ED8" w:rsidRPr="00D56ED8">
              <w:rPr>
                <w:sz w:val="18"/>
              </w:rPr>
              <w:t>de.  Si</w:t>
            </w:r>
            <w:r w:rsidR="00C37A53" w:rsidRPr="00D56ED8">
              <w:rPr>
                <w:sz w:val="18"/>
              </w:rPr>
              <w:t xml:space="preserve"> l</w:t>
            </w:r>
            <w:r w:rsidR="001F3E61" w:rsidRPr="00D56ED8">
              <w:rPr>
                <w:sz w:val="18"/>
              </w:rPr>
              <w:t>’</w:t>
            </w:r>
            <w:r w:rsidR="00C37A53" w:rsidRPr="00D56ED8">
              <w:rPr>
                <w:sz w:val="18"/>
              </w:rPr>
              <w:t>examen du principe d</w:t>
            </w:r>
            <w:r w:rsidR="001F3E61" w:rsidRPr="00D56ED8">
              <w:rPr>
                <w:sz w:val="18"/>
              </w:rPr>
              <w:t>’</w:t>
            </w:r>
            <w:r w:rsidR="00C37A53" w:rsidRPr="00D56ED8">
              <w:rPr>
                <w:sz w:val="18"/>
              </w:rPr>
              <w:t>autorisation ou de consentement aboutit, il ne sera plus nécessaire d</w:t>
            </w:r>
            <w:r w:rsidR="001F3E61" w:rsidRPr="00D56ED8">
              <w:rPr>
                <w:sz w:val="18"/>
              </w:rPr>
              <w:t>’</w:t>
            </w:r>
            <w:r w:rsidR="00C37A53" w:rsidRPr="00D56ED8">
              <w:rPr>
                <w:sz w:val="18"/>
              </w:rPr>
              <w:t>expliquer ce principe dans les notes explicatives</w:t>
            </w:r>
            <w:r w:rsidRPr="00D56ED8">
              <w:rPr>
                <w:sz w:val="18"/>
              </w:rPr>
              <w:t>.”</w:t>
            </w:r>
          </w:p>
          <w:p w:rsidR="00C37A53" w:rsidRPr="00D56ED8" w:rsidRDefault="00C37A53" w:rsidP="00C906F8">
            <w:pPr>
              <w:rPr>
                <w:sz w:val="18"/>
              </w:rPr>
            </w:pPr>
          </w:p>
          <w:p w:rsidR="00C37A53" w:rsidRPr="00D56ED8" w:rsidRDefault="00C37A53" w:rsidP="00C906F8">
            <w:pPr>
              <w:rPr>
                <w:sz w:val="8"/>
              </w:rPr>
            </w:pPr>
          </w:p>
        </w:tc>
      </w:tr>
    </w:tbl>
    <w:p w:rsidR="00C37A53" w:rsidRPr="00D56ED8" w:rsidRDefault="00C37A53" w:rsidP="00C37A53"/>
    <w:p w:rsidR="00C37A53" w:rsidRPr="00D56ED8" w:rsidRDefault="00C37A53" w:rsidP="00C37A53"/>
    <w:p w:rsidR="00C37A53" w:rsidRPr="00D56ED8" w:rsidRDefault="00C37A53" w:rsidP="00C37A53">
      <w:r w:rsidRPr="00D56ED8">
        <w:rPr>
          <w:spacing w:val="-3"/>
        </w:rPr>
        <w:t>9.</w:t>
      </w:r>
      <w:r w:rsidRPr="00D56ED8">
        <w:rPr>
          <w:spacing w:val="-3"/>
        </w:rPr>
        <w:tab/>
        <w:t xml:space="preserve">La protection provisoire est valable uniquement </w:t>
      </w:r>
      <w:r w:rsidR="001F3E61" w:rsidRPr="00D56ED8">
        <w:rPr>
          <w:spacing w:val="-3"/>
        </w:rPr>
        <w:t>à l’égard</w:t>
      </w:r>
      <w:r w:rsidRPr="00D56ED8">
        <w:rPr>
          <w:spacing w:val="-3"/>
        </w:rPr>
        <w:t xml:space="preserve"> des actes qui exigent l</w:t>
      </w:r>
      <w:r w:rsidR="001F3E61" w:rsidRPr="00D56ED8">
        <w:rPr>
          <w:spacing w:val="-3"/>
        </w:rPr>
        <w:t>’</w:t>
      </w:r>
      <w:r w:rsidRPr="00D56ED8">
        <w:rPr>
          <w:spacing w:val="-3"/>
        </w:rPr>
        <w:t>autorisation de l</w:t>
      </w:r>
      <w:r w:rsidR="001F3E61" w:rsidRPr="00D56ED8">
        <w:rPr>
          <w:spacing w:val="-3"/>
        </w:rPr>
        <w:t>’</w:t>
      </w:r>
      <w:r w:rsidRPr="00D56ED8">
        <w:rPr>
          <w:spacing w:val="-3"/>
        </w:rPr>
        <w:t>obtenteur “après l</w:t>
      </w:r>
      <w:r w:rsidR="001F3E61" w:rsidRPr="00D56ED8">
        <w:rPr>
          <w:spacing w:val="-3"/>
        </w:rPr>
        <w:t>’</w:t>
      </w:r>
      <w:r w:rsidRPr="00D56ED8">
        <w:rPr>
          <w:spacing w:val="-3"/>
        </w:rPr>
        <w:t xml:space="preserve">octroi du droit”.  La </w:t>
      </w:r>
      <w:r w:rsidR="001F3E61" w:rsidRPr="00D56ED8">
        <w:rPr>
          <w:spacing w:val="-3"/>
        </w:rPr>
        <w:t>Convention UPOV</w:t>
      </w:r>
      <w:r w:rsidRPr="00D56ED8">
        <w:rPr>
          <w:spacing w:val="-3"/>
        </w:rPr>
        <w:t xml:space="preserve"> prévoit (voir l</w:t>
      </w:r>
      <w:r w:rsidR="001F3E61" w:rsidRPr="00D56ED8">
        <w:rPr>
          <w:spacing w:val="-3"/>
        </w:rPr>
        <w:t>’</w:t>
      </w:r>
      <w:r w:rsidR="000C5E98" w:rsidRPr="00D56ED8">
        <w:rPr>
          <w:spacing w:val="-3"/>
        </w:rPr>
        <w:t>article 3</w:t>
      </w:r>
      <w:r w:rsidRPr="00D56ED8">
        <w:rPr>
          <w:spacing w:val="-3"/>
        </w:rPr>
        <w:t>0.1)iii) de l</w:t>
      </w:r>
      <w:r w:rsidR="001F3E61" w:rsidRPr="00D56ED8">
        <w:rPr>
          <w:spacing w:val="-3"/>
        </w:rPr>
        <w:t>’</w:t>
      </w:r>
      <w:r w:rsidRPr="00D56ED8">
        <w:rPr>
          <w:spacing w:val="-3"/>
        </w:rPr>
        <w:t xml:space="preserve">Acte </w:t>
      </w:r>
      <w:r w:rsidR="000C5E98" w:rsidRPr="00D56ED8">
        <w:rPr>
          <w:spacing w:val="-3"/>
        </w:rPr>
        <w:t>de 1991</w:t>
      </w:r>
      <w:r w:rsidRPr="00D56ED8">
        <w:rPr>
          <w:spacing w:val="-3"/>
        </w:rPr>
        <w:t xml:space="preserve"> et l</w:t>
      </w:r>
      <w:r w:rsidR="001F3E61" w:rsidRPr="00D56ED8">
        <w:rPr>
          <w:spacing w:val="-3"/>
        </w:rPr>
        <w:t>’</w:t>
      </w:r>
      <w:r w:rsidR="000C5E98" w:rsidRPr="00D56ED8">
        <w:rPr>
          <w:spacing w:val="-3"/>
        </w:rPr>
        <w:t>article 3</w:t>
      </w:r>
      <w:r w:rsidRPr="00D56ED8">
        <w:rPr>
          <w:spacing w:val="-3"/>
        </w:rPr>
        <w:t>0.1)c) de l</w:t>
      </w:r>
      <w:r w:rsidR="001F3E61" w:rsidRPr="00D56ED8">
        <w:rPr>
          <w:spacing w:val="-3"/>
        </w:rPr>
        <w:t>’</w:t>
      </w:r>
      <w:r w:rsidRPr="00D56ED8">
        <w:rPr>
          <w:spacing w:val="-3"/>
        </w:rPr>
        <w:t xml:space="preserve">Acte </w:t>
      </w:r>
      <w:r w:rsidR="000C5E98" w:rsidRPr="00D56ED8">
        <w:rPr>
          <w:spacing w:val="-3"/>
        </w:rPr>
        <w:t>de 1978</w:t>
      </w:r>
      <w:r w:rsidRPr="00D56ED8">
        <w:rPr>
          <w:spacing w:val="-3"/>
        </w:rPr>
        <w:t>) que l</w:t>
      </w:r>
      <w:r w:rsidR="001F3E61" w:rsidRPr="00D56ED8">
        <w:rPr>
          <w:spacing w:val="-3"/>
        </w:rPr>
        <w:t>’</w:t>
      </w:r>
      <w:r w:rsidRPr="00D56ED8">
        <w:rPr>
          <w:spacing w:val="-3"/>
        </w:rPr>
        <w:t>information du public soit assurée par la publication périodique de renseignements sur les demandes de droits d</w:t>
      </w:r>
      <w:r w:rsidR="001F3E61" w:rsidRPr="00D56ED8">
        <w:rPr>
          <w:spacing w:val="-3"/>
        </w:rPr>
        <w:t>’</w:t>
      </w:r>
      <w:r w:rsidRPr="00D56ED8">
        <w:rPr>
          <w:spacing w:val="-3"/>
        </w:rPr>
        <w:t>obtenteur et les droits d</w:t>
      </w:r>
      <w:r w:rsidR="001F3E61" w:rsidRPr="00D56ED8">
        <w:rPr>
          <w:spacing w:val="-3"/>
        </w:rPr>
        <w:t>’</w:t>
      </w:r>
      <w:r w:rsidRPr="00D56ED8">
        <w:rPr>
          <w:spacing w:val="-3"/>
        </w:rPr>
        <w:t xml:space="preserve">obtenteur délivrés, </w:t>
      </w:r>
      <w:r w:rsidR="001F3E61" w:rsidRPr="00D56ED8">
        <w:rPr>
          <w:spacing w:val="-3"/>
        </w:rPr>
        <w:t>y compris</w:t>
      </w:r>
      <w:r w:rsidRPr="00D56ED8">
        <w:rPr>
          <w:spacing w:val="-3"/>
        </w:rPr>
        <w:t xml:space="preserve"> les retraits et les rejets de demandes.</w:t>
      </w:r>
    </w:p>
    <w:p w:rsidR="00C37A53" w:rsidRPr="00D56ED8" w:rsidRDefault="00C37A53" w:rsidP="00C37A53">
      <w:pPr>
        <w:rPr>
          <w:spacing w:val="-3"/>
        </w:rPr>
      </w:pPr>
    </w:p>
    <w:p w:rsidR="000C5E98" w:rsidRDefault="00C37A53" w:rsidP="009231E0">
      <w:r w:rsidRPr="00D56ED8">
        <w:t>10.</w:t>
      </w:r>
      <w:r w:rsidRPr="00D56ED8">
        <w:tab/>
        <w:t>La possibilité de conclure des accords de licence sur la base des demandes de droits d</w:t>
      </w:r>
      <w:r w:rsidR="001F3E61" w:rsidRPr="00D56ED8">
        <w:t>’</w:t>
      </w:r>
      <w:r w:rsidRPr="00D56ED8">
        <w:t>obtenteur ou d</w:t>
      </w:r>
      <w:r w:rsidR="001F3E61" w:rsidRPr="00D56ED8">
        <w:t>’</w:t>
      </w:r>
      <w:r w:rsidRPr="00D56ED8">
        <w:t>engager une action en justice avant l</w:t>
      </w:r>
      <w:r w:rsidR="001F3E61" w:rsidRPr="00D56ED8">
        <w:t>’</w:t>
      </w:r>
      <w:r w:rsidRPr="00D56ED8">
        <w:t>octroi de droits d</w:t>
      </w:r>
      <w:r w:rsidR="001F3E61" w:rsidRPr="00D56ED8">
        <w:t>’</w:t>
      </w:r>
      <w:r w:rsidRPr="00D56ED8">
        <w:t>obtenteur sera déterminée par la législation applicable du membre de l</w:t>
      </w:r>
      <w:r w:rsidR="001F3E61" w:rsidRPr="00D56ED8">
        <w:t>’</w:t>
      </w:r>
      <w:r w:rsidRPr="00D56ED8">
        <w:t>Union concer</w:t>
      </w:r>
      <w:r w:rsidR="00D56ED8" w:rsidRPr="00D56ED8">
        <w:t>né.  La</w:t>
      </w:r>
      <w:r w:rsidRPr="00D56ED8">
        <w:t xml:space="preserve"> législation applicable pourrait inclure, outre la législation régissant les droits d</w:t>
      </w:r>
      <w:r w:rsidR="001F3E61" w:rsidRPr="00D56ED8">
        <w:t>’</w:t>
      </w:r>
      <w:r w:rsidRPr="00D56ED8">
        <w:t>obtenteur, d</w:t>
      </w:r>
      <w:r w:rsidR="001F3E61" w:rsidRPr="00D56ED8">
        <w:t>’</w:t>
      </w:r>
      <w:r w:rsidRPr="00D56ED8">
        <w:t>autres textes législatifs applicables s</w:t>
      </w:r>
      <w:r w:rsidR="001F3E61" w:rsidRPr="00D56ED8">
        <w:t>’</w:t>
      </w:r>
      <w:r w:rsidRPr="00D56ED8">
        <w:t>agissant de questions de fond ou de procédure (tels que le Code civil ou le Code pénal).</w:t>
      </w:r>
    </w:p>
    <w:p w:rsidR="009231E0" w:rsidRPr="00D56ED8" w:rsidRDefault="009231E0" w:rsidP="009231E0"/>
    <w:p w:rsidR="00C37A53" w:rsidRPr="00D56ED8" w:rsidRDefault="00C37A53" w:rsidP="00C37A53">
      <w:pPr>
        <w:rPr>
          <w:spacing w:val="-3"/>
        </w:rPr>
      </w:pPr>
      <w:r w:rsidRPr="00D56ED8">
        <w:rPr>
          <w:spacing w:val="-3"/>
        </w:rPr>
        <w:t>11.</w:t>
      </w:r>
      <w:r w:rsidRPr="00D56ED8">
        <w:rPr>
          <w:spacing w:val="-3"/>
        </w:rPr>
        <w:tab/>
        <w:t>Au cas où il serait possible de conclure un accord de licence avant l</w:t>
      </w:r>
      <w:r w:rsidR="001F3E61" w:rsidRPr="00D56ED8">
        <w:rPr>
          <w:spacing w:val="-3"/>
        </w:rPr>
        <w:t>’</w:t>
      </w:r>
      <w:r w:rsidRPr="00D56ED8">
        <w:rPr>
          <w:spacing w:val="-3"/>
        </w:rPr>
        <w:t>octroi du droit d</w:t>
      </w:r>
      <w:r w:rsidR="001F3E61" w:rsidRPr="00D56ED8">
        <w:rPr>
          <w:spacing w:val="-3"/>
        </w:rPr>
        <w:t>’</w:t>
      </w:r>
      <w:r w:rsidRPr="00D56ED8">
        <w:rPr>
          <w:spacing w:val="-3"/>
        </w:rPr>
        <w:t>obtenteur, les effets sur les redevances payées si le droit n</w:t>
      </w:r>
      <w:r w:rsidR="001F3E61" w:rsidRPr="00D56ED8">
        <w:rPr>
          <w:spacing w:val="-3"/>
        </w:rPr>
        <w:t>’</w:t>
      </w:r>
      <w:r w:rsidRPr="00D56ED8">
        <w:rPr>
          <w:spacing w:val="-3"/>
        </w:rPr>
        <w:t>est pas octroyé (concernant, par exemple, la question de savoir si le donneur de licence doit ou non rembourser les redevances perçues) peuvent être prescrits par la législation applicable ou faire l</w:t>
      </w:r>
      <w:r w:rsidR="001F3E61" w:rsidRPr="00D56ED8">
        <w:rPr>
          <w:spacing w:val="-3"/>
        </w:rPr>
        <w:t>’</w:t>
      </w:r>
      <w:r w:rsidRPr="00D56ED8">
        <w:rPr>
          <w:spacing w:val="-3"/>
        </w:rPr>
        <w:t>objet d</w:t>
      </w:r>
      <w:r w:rsidR="001F3E61" w:rsidRPr="00D56ED8">
        <w:rPr>
          <w:spacing w:val="-3"/>
        </w:rPr>
        <w:t>’</w:t>
      </w:r>
      <w:r w:rsidRPr="00D56ED8">
        <w:rPr>
          <w:spacing w:val="-3"/>
        </w:rPr>
        <w:t>un accord entre les parties conformément à la loi en vigueur.</w:t>
      </w:r>
    </w:p>
    <w:p w:rsidR="00C37A53" w:rsidRPr="00D56ED8" w:rsidRDefault="00C37A53" w:rsidP="00C37A53">
      <w:pPr>
        <w:rPr>
          <w:spacing w:val="-3"/>
        </w:rPr>
      </w:pPr>
    </w:p>
    <w:p w:rsidR="00C37A53" w:rsidRPr="00D56ED8" w:rsidRDefault="00C37A53" w:rsidP="00C37A53">
      <w:pPr>
        <w:rPr>
          <w:rFonts w:cs="Arial"/>
        </w:rPr>
      </w:pPr>
      <w:r w:rsidRPr="00D56ED8">
        <w:t>12.</w:t>
      </w:r>
      <w:r w:rsidRPr="00D56ED8">
        <w:tab/>
        <w:t>Dans certains membres de l</w:t>
      </w:r>
      <w:r w:rsidR="001F3E61" w:rsidRPr="00D56ED8">
        <w:t>’</w:t>
      </w:r>
      <w:r w:rsidRPr="00D56ED8">
        <w:t>Union, une action en justice au titre de la protection provisoire ne peut être intentée qu</w:t>
      </w:r>
      <w:r w:rsidR="001F3E61" w:rsidRPr="00D56ED8">
        <w:t>’</w:t>
      </w:r>
      <w:r w:rsidRPr="00D56ED8">
        <w:t>après l</w:t>
      </w:r>
      <w:r w:rsidR="001F3E61" w:rsidRPr="00D56ED8">
        <w:t>’</w:t>
      </w:r>
      <w:r w:rsidRPr="00D56ED8">
        <w:t>octroi du dro</w:t>
      </w:r>
      <w:r w:rsidR="00D56ED8" w:rsidRPr="00D56ED8">
        <w:t>it.  Da</w:t>
      </w:r>
      <w:r w:rsidRPr="00D56ED8">
        <w:t>ns d</w:t>
      </w:r>
      <w:r w:rsidR="001F3E61" w:rsidRPr="00D56ED8">
        <w:t>’</w:t>
      </w:r>
      <w:r w:rsidRPr="00D56ED8">
        <w:t>autres membres de l</w:t>
      </w:r>
      <w:r w:rsidR="001F3E61" w:rsidRPr="00D56ED8">
        <w:t>’</w:t>
      </w:r>
      <w:r w:rsidRPr="00D56ED8">
        <w:t>Union, il est possible d</w:t>
      </w:r>
      <w:r w:rsidR="001F3E61" w:rsidRPr="00D56ED8">
        <w:t>’</w:t>
      </w:r>
      <w:r w:rsidRPr="00D56ED8">
        <w:t>engager une action avant l</w:t>
      </w:r>
      <w:r w:rsidR="001F3E61" w:rsidRPr="00D56ED8">
        <w:t>’</w:t>
      </w:r>
      <w:r w:rsidRPr="00D56ED8">
        <w:t>octroi du droit d</w:t>
      </w:r>
      <w:r w:rsidR="001F3E61" w:rsidRPr="00D56ED8">
        <w:t>’</w:t>
      </w:r>
      <w:r w:rsidRPr="00D56ED8">
        <w:t>obtente</w:t>
      </w:r>
      <w:r w:rsidR="00D56ED8" w:rsidRPr="00D56ED8">
        <w:t>ur.  L’a</w:t>
      </w:r>
      <w:r w:rsidRPr="00D56ED8">
        <w:t>utorité judiciaire compétente peut alors décider que le paiement de dommages</w:t>
      </w:r>
      <w:r w:rsidR="001F3E61" w:rsidRPr="00D56ED8">
        <w:t>-</w:t>
      </w:r>
      <w:r w:rsidRPr="00D56ED8">
        <w:t>intérêts durant la période de protection provisoire n</w:t>
      </w:r>
      <w:r w:rsidR="001F3E61" w:rsidRPr="00D56ED8">
        <w:t>’</w:t>
      </w:r>
      <w:r w:rsidRPr="00D56ED8">
        <w:t>aurait force exécutoire qu</w:t>
      </w:r>
      <w:r w:rsidR="001F3E61" w:rsidRPr="00D56ED8">
        <w:t>’</w:t>
      </w:r>
      <w:r w:rsidRPr="00D56ED8">
        <w:t>après l</w:t>
      </w:r>
      <w:r w:rsidR="001F3E61" w:rsidRPr="00D56ED8">
        <w:t>’</w:t>
      </w:r>
      <w:r w:rsidRPr="00D56ED8">
        <w:t>octroi du dro</w:t>
      </w:r>
      <w:r w:rsidR="00D56ED8" w:rsidRPr="00D56ED8">
        <w:t>it.  Da</w:t>
      </w:r>
      <w:r w:rsidRPr="00D56ED8">
        <w:t>ns ce cas, l</w:t>
      </w:r>
      <w:r w:rsidR="001F3E61" w:rsidRPr="00D56ED8">
        <w:t>’</w:t>
      </w:r>
      <w:r w:rsidRPr="00D56ED8">
        <w:t>autorité judiciaire pourrait, par exemple, demander au tiers de transférer le montant des dommages</w:t>
      </w:r>
      <w:r w:rsidR="001F3E61" w:rsidRPr="00D56ED8">
        <w:t>-</w:t>
      </w:r>
      <w:r w:rsidRPr="00D56ED8">
        <w:t>intérêts sur un compte de dépôt en vue de son versement à l</w:t>
      </w:r>
      <w:r w:rsidR="001F3E61" w:rsidRPr="00D56ED8">
        <w:t>’</w:t>
      </w:r>
      <w:r w:rsidRPr="00D56ED8">
        <w:t>obtenteur en cas d</w:t>
      </w:r>
      <w:r w:rsidR="001F3E61" w:rsidRPr="00D56ED8">
        <w:t>’</w:t>
      </w:r>
      <w:r w:rsidRPr="00D56ED8">
        <w:t>octroi du droit.</w:t>
      </w:r>
    </w:p>
    <w:p w:rsidR="00C37A53" w:rsidRPr="00D56ED8" w:rsidRDefault="00C37A53" w:rsidP="00C37A53">
      <w:pPr>
        <w:pStyle w:val="Header"/>
        <w:rPr>
          <w:rFonts w:cs="Arial"/>
        </w:rPr>
      </w:pPr>
      <w:r w:rsidRPr="00D56ED8">
        <w:rPr>
          <w:rFonts w:cs="Arial"/>
        </w:rPr>
        <w:br w:type="page"/>
      </w:r>
    </w:p>
    <w:p w:rsidR="00C37A53" w:rsidRPr="00D56ED8" w:rsidRDefault="00C37A53" w:rsidP="00C37A53">
      <w:pPr>
        <w:keepNext/>
        <w:rPr>
          <w:rFonts w:cs="Arial"/>
          <w:i/>
        </w:rPr>
      </w:pPr>
    </w:p>
    <w:p w:rsidR="00C37A53" w:rsidRPr="00D56ED8" w:rsidRDefault="00C37A53" w:rsidP="00C37A53">
      <w:pPr>
        <w:keepNext/>
        <w:rPr>
          <w:rFonts w:cs="Arial"/>
          <w:i/>
        </w:rPr>
      </w:pPr>
      <w:r w:rsidRPr="00D56ED8">
        <w:rPr>
          <w:rFonts w:cs="Arial"/>
          <w:i/>
        </w:rPr>
        <w:t>Disposition élaborée à titre d</w:t>
      </w:r>
      <w:r w:rsidR="001F3E61" w:rsidRPr="00D56ED8">
        <w:rPr>
          <w:rFonts w:cs="Arial"/>
          <w:i/>
        </w:rPr>
        <w:t>’</w:t>
      </w:r>
      <w:r w:rsidRPr="00D56ED8">
        <w:rPr>
          <w:rFonts w:cs="Arial"/>
          <w:i/>
        </w:rPr>
        <w:t>exemple</w:t>
      </w:r>
    </w:p>
    <w:p w:rsidR="00C37A53" w:rsidRPr="00D56ED8" w:rsidRDefault="00C37A53" w:rsidP="00C37A53">
      <w:pPr>
        <w:keepNext/>
        <w:rPr>
          <w:rFonts w:cs="Arial"/>
        </w:rPr>
      </w:pPr>
    </w:p>
    <w:p w:rsidR="00C37A53" w:rsidRPr="00D56ED8" w:rsidRDefault="00C37A53" w:rsidP="00C37A53">
      <w:pPr>
        <w:pStyle w:val="Style1"/>
        <w:tabs>
          <w:tab w:val="clear" w:pos="907"/>
          <w:tab w:val="clear" w:pos="1077"/>
          <w:tab w:val="left" w:pos="0"/>
        </w:tabs>
        <w:rPr>
          <w:lang w:val="fr-FR"/>
        </w:rPr>
      </w:pPr>
      <w:r w:rsidRPr="00D56ED8">
        <w:rPr>
          <w:lang w:val="fr-FR"/>
        </w:rPr>
        <w:t>13.</w:t>
      </w:r>
      <w:r w:rsidRPr="00D56ED8">
        <w:rPr>
          <w:lang w:val="fr-FR"/>
        </w:rPr>
        <w:tab/>
        <w:t>La disposition ci</w:t>
      </w:r>
      <w:r w:rsidR="001F3E61" w:rsidRPr="00D56ED8">
        <w:rPr>
          <w:lang w:val="fr-FR"/>
        </w:rPr>
        <w:t>-</w:t>
      </w:r>
      <w:r w:rsidRPr="00D56ED8">
        <w:rPr>
          <w:lang w:val="fr-FR"/>
        </w:rPr>
        <w:t>après, indiquée à titre d</w:t>
      </w:r>
      <w:r w:rsidR="001F3E61" w:rsidRPr="00D56ED8">
        <w:rPr>
          <w:lang w:val="fr-FR"/>
        </w:rPr>
        <w:t>’</w:t>
      </w:r>
      <w:r w:rsidRPr="00D56ED8">
        <w:rPr>
          <w:lang w:val="fr-FR"/>
        </w:rPr>
        <w:t>exemple, vise à guider les États ou les organisations intergouvernementales qui souhaitent incorporer à leur législation une disposition relative à la protection provisoire conformément à l</w:t>
      </w:r>
      <w:r w:rsidR="001F3E61" w:rsidRPr="00D56ED8">
        <w:rPr>
          <w:lang w:val="fr-FR"/>
        </w:rPr>
        <w:t>’</w:t>
      </w:r>
      <w:r w:rsidRPr="00D56ED8">
        <w:rPr>
          <w:lang w:val="fr-FR"/>
        </w:rPr>
        <w:t xml:space="preserve">Acte </w:t>
      </w:r>
      <w:r w:rsidR="000C5E98" w:rsidRPr="00D56ED8">
        <w:rPr>
          <w:lang w:val="fr-FR"/>
        </w:rPr>
        <w:t>de 1991</w:t>
      </w:r>
      <w:r w:rsidRPr="00D56ED8">
        <w:rPr>
          <w:lang w:val="fr-FR"/>
        </w:rPr>
        <w:t xml:space="preserve"> de la </w:t>
      </w:r>
      <w:r w:rsidR="001F3E61" w:rsidRPr="00D56ED8">
        <w:rPr>
          <w:lang w:val="fr-FR"/>
        </w:rPr>
        <w:t>Convention UPOV :</w:t>
      </w:r>
    </w:p>
    <w:p w:rsidR="00C37A53" w:rsidRPr="00D56ED8" w:rsidRDefault="00C37A53" w:rsidP="00C37A53">
      <w:pPr>
        <w:pStyle w:val="Style1"/>
        <w:tabs>
          <w:tab w:val="clear" w:pos="907"/>
          <w:tab w:val="clear" w:pos="1077"/>
          <w:tab w:val="left" w:pos="0"/>
        </w:tabs>
        <w:rPr>
          <w:lang w:val="fr-FR"/>
        </w:rPr>
      </w:pPr>
    </w:p>
    <w:p w:rsidR="00C37A53" w:rsidRPr="00D56ED8" w:rsidRDefault="00C37A53" w:rsidP="00C37A53">
      <w:pPr>
        <w:pStyle w:val="Style1"/>
        <w:tabs>
          <w:tab w:val="clear" w:pos="907"/>
          <w:tab w:val="clear" w:pos="1077"/>
          <w:tab w:val="left" w:pos="0"/>
        </w:tabs>
        <w:rPr>
          <w:lang w:val="fr-FR"/>
        </w:rPr>
      </w:pPr>
    </w:p>
    <w:p w:rsidR="00D94943" w:rsidRPr="00D56ED8" w:rsidRDefault="00D94943" w:rsidP="00D94943">
      <w:pPr>
        <w:pStyle w:val="Inf61normalBold"/>
        <w:keepNext/>
        <w:jc w:val="center"/>
        <w:rPr>
          <w:rFonts w:ascii="Arial" w:hAnsi="Arial" w:cs="Arial"/>
          <w:sz w:val="18"/>
          <w:szCs w:val="18"/>
          <w:lang w:val="fr-FR"/>
        </w:rPr>
      </w:pPr>
      <w:bookmarkStart w:id="5" w:name="_Toc225138767"/>
      <w:r w:rsidRPr="00D56ED8">
        <w:rPr>
          <w:rFonts w:ascii="Arial" w:hAnsi="Arial" w:cs="Arial"/>
          <w:sz w:val="18"/>
          <w:szCs w:val="18"/>
          <w:lang w:val="fr-FR"/>
        </w:rPr>
        <w:t xml:space="preserve">Article </w:t>
      </w:r>
      <w:r w:rsidRPr="00D56ED8">
        <w:rPr>
          <w:rFonts w:ascii="Arial" w:hAnsi="Arial" w:cs="Arial"/>
          <w:sz w:val="18"/>
          <w:szCs w:val="18"/>
          <w:highlight w:val="yellow"/>
          <w:lang w:val="fr-FR"/>
        </w:rPr>
        <w:t>[13]</w:t>
      </w:r>
      <w:r w:rsidRPr="00D56ED8">
        <w:rPr>
          <w:rStyle w:val="FootnoteReference"/>
          <w:rFonts w:ascii="Arial" w:hAnsi="Arial" w:cs="Arial"/>
          <w:b w:val="0"/>
          <w:sz w:val="18"/>
          <w:szCs w:val="18"/>
          <w:highlight w:val="yellow"/>
          <w:lang w:val="fr-FR"/>
        </w:rPr>
        <w:footnoteReference w:id="4"/>
      </w:r>
    </w:p>
    <w:bookmarkEnd w:id="5"/>
    <w:p w:rsidR="00D94943" w:rsidRPr="00D56ED8" w:rsidRDefault="00D94943" w:rsidP="00D94943">
      <w:pPr>
        <w:pStyle w:val="Inf61normalBold"/>
        <w:keepNext/>
        <w:jc w:val="center"/>
        <w:rPr>
          <w:rFonts w:ascii="Arial" w:hAnsi="Arial" w:cs="Arial"/>
          <w:sz w:val="18"/>
          <w:szCs w:val="18"/>
          <w:lang w:val="fr-FR"/>
        </w:rPr>
      </w:pPr>
      <w:r w:rsidRPr="00D56ED8">
        <w:rPr>
          <w:rFonts w:ascii="Arial" w:hAnsi="Arial" w:cs="Arial"/>
          <w:sz w:val="18"/>
          <w:szCs w:val="18"/>
          <w:lang w:val="fr-FR"/>
        </w:rPr>
        <w:t>Protection provisoire</w:t>
      </w:r>
    </w:p>
    <w:p w:rsidR="00D94943" w:rsidRPr="00D56ED8" w:rsidRDefault="00D94943" w:rsidP="00D94943">
      <w:pPr>
        <w:pStyle w:val="Inf61normalBold"/>
        <w:keepNext/>
        <w:jc w:val="center"/>
        <w:rPr>
          <w:rFonts w:ascii="Arial" w:hAnsi="Arial" w:cs="Arial"/>
          <w:sz w:val="18"/>
          <w:szCs w:val="18"/>
          <w:lang w:val="fr-FR"/>
        </w:rPr>
      </w:pPr>
    </w:p>
    <w:p w:rsidR="00D94943" w:rsidRPr="00D56ED8" w:rsidRDefault="00D94943" w:rsidP="00D94943">
      <w:pPr>
        <w:pStyle w:val="inf61normal"/>
        <w:tabs>
          <w:tab w:val="clear" w:pos="426"/>
          <w:tab w:val="clear" w:pos="992"/>
        </w:tabs>
        <w:ind w:left="567" w:right="566"/>
        <w:rPr>
          <w:rFonts w:ascii="Arial" w:hAnsi="Arial" w:cs="Arial"/>
          <w:sz w:val="18"/>
          <w:szCs w:val="18"/>
          <w:lang w:val="fr-FR"/>
        </w:rPr>
      </w:pPr>
      <w:r w:rsidRPr="00D56ED8">
        <w:rPr>
          <w:rFonts w:ascii="Arial" w:hAnsi="Arial" w:cs="Arial"/>
          <w:sz w:val="18"/>
          <w:szCs w:val="18"/>
          <w:lang w:val="fr-FR"/>
        </w:rPr>
        <w:tab/>
      </w:r>
      <w:r w:rsidRPr="00D56ED8">
        <w:rPr>
          <w:rFonts w:ascii="Arial" w:hAnsi="Arial" w:cs="Arial"/>
          <w:sz w:val="18"/>
          <w:szCs w:val="18"/>
          <w:highlight w:val="yellow"/>
          <w:lang w:val="fr-FR"/>
        </w:rPr>
        <w:t>[1)]</w:t>
      </w:r>
      <w:r w:rsidRPr="00D56ED8">
        <w:rPr>
          <w:rFonts w:ascii="Arial" w:hAnsi="Arial" w:cs="Arial"/>
          <w:sz w:val="18"/>
          <w:szCs w:val="18"/>
          <w:lang w:val="fr-FR"/>
        </w:rPr>
        <w:tab/>
        <w:t>La protection provisoire est accordée afin de sauvegarder les intérêts de l</w:t>
      </w:r>
      <w:r w:rsidR="001F3E61" w:rsidRPr="00D56ED8">
        <w:rPr>
          <w:rFonts w:ascii="Arial" w:hAnsi="Arial" w:cs="Arial"/>
          <w:sz w:val="18"/>
          <w:szCs w:val="18"/>
          <w:lang w:val="fr-FR"/>
        </w:rPr>
        <w:t>’</w:t>
      </w:r>
      <w:r w:rsidRPr="00D56ED8">
        <w:rPr>
          <w:rFonts w:ascii="Arial" w:hAnsi="Arial" w:cs="Arial"/>
          <w:sz w:val="18"/>
          <w:szCs w:val="18"/>
          <w:lang w:val="fr-FR"/>
        </w:rPr>
        <w:t xml:space="preserve">obtenteur pendant la période comprise entre </w:t>
      </w:r>
      <w:r w:rsidRPr="00D56ED8">
        <w:rPr>
          <w:rFonts w:ascii="Arial" w:hAnsi="Arial" w:cs="Arial"/>
          <w:sz w:val="18"/>
          <w:szCs w:val="18"/>
          <w:highlight w:val="yellow"/>
          <w:lang w:val="fr-FR"/>
        </w:rPr>
        <w:t>[le dépôt]</w:t>
      </w:r>
      <w:r w:rsidRPr="00D56ED8">
        <w:rPr>
          <w:rFonts w:ascii="Arial" w:hAnsi="Arial" w:cs="Arial"/>
          <w:sz w:val="18"/>
          <w:szCs w:val="18"/>
          <w:lang w:val="fr-FR"/>
        </w:rPr>
        <w:t xml:space="preserve"> / </w:t>
      </w:r>
      <w:r w:rsidRPr="00D56ED8">
        <w:rPr>
          <w:rFonts w:ascii="Arial" w:hAnsi="Arial" w:cs="Arial"/>
          <w:sz w:val="18"/>
          <w:szCs w:val="18"/>
          <w:highlight w:val="yellow"/>
          <w:lang w:val="fr-FR"/>
        </w:rPr>
        <w:t>[la publication]</w:t>
      </w:r>
      <w:r w:rsidRPr="00D56ED8">
        <w:rPr>
          <w:rFonts w:ascii="Arial" w:hAnsi="Arial" w:cs="Arial"/>
          <w:sz w:val="18"/>
          <w:szCs w:val="18"/>
          <w:lang w:val="fr-FR"/>
        </w:rPr>
        <w:t xml:space="preserve"> de la demande d</w:t>
      </w:r>
      <w:r w:rsidR="001F3E61" w:rsidRPr="00D56ED8">
        <w:rPr>
          <w:rFonts w:ascii="Arial" w:hAnsi="Arial" w:cs="Arial"/>
          <w:sz w:val="18"/>
          <w:szCs w:val="18"/>
          <w:lang w:val="fr-FR"/>
        </w:rPr>
        <w:t>’</w:t>
      </w:r>
      <w:r w:rsidRPr="00D56ED8">
        <w:rPr>
          <w:rFonts w:ascii="Arial" w:hAnsi="Arial" w:cs="Arial"/>
          <w:sz w:val="18"/>
          <w:szCs w:val="18"/>
          <w:lang w:val="fr-FR"/>
        </w:rPr>
        <w:t>octroi d</w:t>
      </w:r>
      <w:r w:rsidR="001F3E61" w:rsidRPr="00D56ED8">
        <w:rPr>
          <w:rFonts w:ascii="Arial" w:hAnsi="Arial" w:cs="Arial"/>
          <w:sz w:val="18"/>
          <w:szCs w:val="18"/>
          <w:lang w:val="fr-FR"/>
        </w:rPr>
        <w:t>’</w:t>
      </w:r>
      <w:r w:rsidRPr="00D56ED8">
        <w:rPr>
          <w:rFonts w:ascii="Arial" w:hAnsi="Arial" w:cs="Arial"/>
          <w:sz w:val="18"/>
          <w:szCs w:val="18"/>
          <w:lang w:val="fr-FR"/>
        </w:rPr>
        <w:t>un droit d</w:t>
      </w:r>
      <w:r w:rsidR="001F3E61" w:rsidRPr="00D56ED8">
        <w:rPr>
          <w:rFonts w:ascii="Arial" w:hAnsi="Arial" w:cs="Arial"/>
          <w:sz w:val="18"/>
          <w:szCs w:val="18"/>
          <w:lang w:val="fr-FR"/>
        </w:rPr>
        <w:t>’</w:t>
      </w:r>
      <w:r w:rsidRPr="00D56ED8">
        <w:rPr>
          <w:rFonts w:ascii="Arial" w:hAnsi="Arial" w:cs="Arial"/>
          <w:sz w:val="18"/>
          <w:szCs w:val="18"/>
          <w:lang w:val="fr-FR"/>
        </w:rPr>
        <w:t>obtenteur et l</w:t>
      </w:r>
      <w:r w:rsidR="001F3E61" w:rsidRPr="00D56ED8">
        <w:rPr>
          <w:rFonts w:ascii="Arial" w:hAnsi="Arial" w:cs="Arial"/>
          <w:sz w:val="18"/>
          <w:szCs w:val="18"/>
          <w:lang w:val="fr-FR"/>
        </w:rPr>
        <w:t>’</w:t>
      </w:r>
      <w:r w:rsidRPr="00D56ED8">
        <w:rPr>
          <w:rFonts w:ascii="Arial" w:hAnsi="Arial" w:cs="Arial"/>
          <w:sz w:val="18"/>
          <w:szCs w:val="18"/>
          <w:lang w:val="fr-FR"/>
        </w:rPr>
        <w:t>octroi de ce droit.</w:t>
      </w:r>
    </w:p>
    <w:p w:rsidR="00D94943" w:rsidRPr="00D56ED8" w:rsidRDefault="00D94943" w:rsidP="00D94943">
      <w:pPr>
        <w:pStyle w:val="inf61normal"/>
        <w:tabs>
          <w:tab w:val="clear" w:pos="426"/>
          <w:tab w:val="clear" w:pos="992"/>
        </w:tabs>
        <w:ind w:left="567" w:right="566"/>
        <w:rPr>
          <w:rFonts w:ascii="Arial" w:hAnsi="Arial" w:cs="Arial"/>
          <w:i/>
          <w:sz w:val="18"/>
          <w:szCs w:val="18"/>
          <w:lang w:val="fr-FR"/>
        </w:rPr>
      </w:pPr>
    </w:p>
    <w:p w:rsidR="00D94943" w:rsidRPr="00D56ED8" w:rsidRDefault="00D94943" w:rsidP="00D94943">
      <w:pPr>
        <w:pStyle w:val="inf61normal"/>
        <w:tabs>
          <w:tab w:val="clear" w:pos="426"/>
          <w:tab w:val="clear" w:pos="992"/>
          <w:tab w:val="right" w:leader="hyphen" w:pos="2268"/>
        </w:tabs>
        <w:ind w:left="567" w:right="566"/>
        <w:rPr>
          <w:rFonts w:ascii="Arial" w:hAnsi="Arial" w:cs="Arial"/>
          <w:i/>
          <w:sz w:val="18"/>
          <w:szCs w:val="18"/>
          <w:lang w:val="fr-FR"/>
        </w:rPr>
      </w:pPr>
      <w:r w:rsidRPr="00D56ED8">
        <w:rPr>
          <w:rFonts w:ascii="Arial" w:hAnsi="Arial" w:cs="Arial"/>
          <w:i/>
          <w:sz w:val="18"/>
          <w:szCs w:val="18"/>
          <w:lang w:val="fr-FR"/>
        </w:rPr>
        <w:tab/>
      </w:r>
    </w:p>
    <w:p w:rsidR="00D94943" w:rsidRPr="00D56ED8" w:rsidRDefault="00D94943" w:rsidP="00D94943">
      <w:pPr>
        <w:pStyle w:val="inf61normal"/>
        <w:tabs>
          <w:tab w:val="clear" w:pos="426"/>
          <w:tab w:val="clear" w:pos="992"/>
        </w:tabs>
        <w:ind w:left="567" w:right="566"/>
        <w:rPr>
          <w:rFonts w:ascii="Arial" w:hAnsi="Arial" w:cs="Arial"/>
          <w:i/>
          <w:sz w:val="18"/>
          <w:szCs w:val="18"/>
          <w:lang w:val="fr-FR"/>
        </w:rPr>
      </w:pPr>
      <w:r w:rsidRPr="00D56ED8">
        <w:rPr>
          <w:rFonts w:ascii="Arial" w:hAnsi="Arial" w:cs="Arial"/>
          <w:i/>
          <w:sz w:val="18"/>
          <w:szCs w:val="18"/>
          <w:lang w:val="fr-FR"/>
        </w:rPr>
        <w:t>Exemple A</w:t>
      </w:r>
    </w:p>
    <w:p w:rsidR="00D94943" w:rsidRPr="00D56ED8" w:rsidRDefault="00D94943" w:rsidP="00D94943">
      <w:pPr>
        <w:pStyle w:val="inf61normal"/>
        <w:tabs>
          <w:tab w:val="clear" w:pos="426"/>
          <w:tab w:val="clear" w:pos="992"/>
        </w:tabs>
        <w:ind w:left="567" w:right="566"/>
        <w:rPr>
          <w:rFonts w:ascii="Arial" w:hAnsi="Arial" w:cs="Arial"/>
          <w:i/>
          <w:sz w:val="18"/>
          <w:szCs w:val="18"/>
          <w:highlight w:val="yellow"/>
          <w:lang w:val="fr-FR"/>
        </w:rPr>
      </w:pPr>
    </w:p>
    <w:p w:rsidR="00D94943" w:rsidRPr="00D56ED8" w:rsidRDefault="00D94943" w:rsidP="00D94943">
      <w:pPr>
        <w:pStyle w:val="inf61normal"/>
        <w:tabs>
          <w:tab w:val="clear" w:pos="426"/>
          <w:tab w:val="clear" w:pos="992"/>
        </w:tabs>
        <w:ind w:left="567" w:right="566"/>
        <w:rPr>
          <w:rFonts w:ascii="Arial" w:hAnsi="Arial" w:cs="Arial"/>
          <w:sz w:val="18"/>
          <w:szCs w:val="18"/>
          <w:lang w:val="fr-FR"/>
        </w:rPr>
      </w:pPr>
      <w:r w:rsidRPr="00D56ED8">
        <w:rPr>
          <w:rFonts w:ascii="Arial" w:hAnsi="Arial" w:cs="Arial"/>
          <w:sz w:val="18"/>
          <w:szCs w:val="18"/>
          <w:lang w:val="fr-FR"/>
        </w:rPr>
        <w:tab/>
      </w:r>
      <w:r w:rsidRPr="00D56ED8">
        <w:rPr>
          <w:rFonts w:ascii="Arial" w:hAnsi="Arial" w:cs="Arial"/>
          <w:sz w:val="18"/>
          <w:szCs w:val="18"/>
          <w:highlight w:val="yellow"/>
          <w:lang w:val="fr-FR"/>
        </w:rPr>
        <w:t>[2)]</w:t>
      </w:r>
      <w:r w:rsidRPr="00D56ED8">
        <w:rPr>
          <w:rFonts w:ascii="Arial" w:hAnsi="Arial" w:cs="Arial"/>
          <w:sz w:val="18"/>
          <w:szCs w:val="18"/>
          <w:lang w:val="fr-FR"/>
        </w:rPr>
        <w:tab/>
        <w:t>Le titulaire d</w:t>
      </w:r>
      <w:r w:rsidR="001F3E61" w:rsidRPr="00D56ED8">
        <w:rPr>
          <w:rFonts w:ascii="Arial" w:hAnsi="Arial" w:cs="Arial"/>
          <w:sz w:val="18"/>
          <w:szCs w:val="18"/>
          <w:lang w:val="fr-FR"/>
        </w:rPr>
        <w:t>’</w:t>
      </w:r>
      <w:r w:rsidRPr="00D56ED8">
        <w:rPr>
          <w:rFonts w:ascii="Arial" w:hAnsi="Arial" w:cs="Arial"/>
          <w:sz w:val="18"/>
          <w:szCs w:val="18"/>
          <w:lang w:val="fr-FR"/>
        </w:rPr>
        <w:t>un droit d</w:t>
      </w:r>
      <w:r w:rsidR="001F3E61" w:rsidRPr="00D56ED8">
        <w:rPr>
          <w:rFonts w:ascii="Arial" w:hAnsi="Arial" w:cs="Arial"/>
          <w:sz w:val="18"/>
          <w:szCs w:val="18"/>
          <w:lang w:val="fr-FR"/>
        </w:rPr>
        <w:t>’</w:t>
      </w:r>
      <w:r w:rsidRPr="00D56ED8">
        <w:rPr>
          <w:rFonts w:ascii="Arial" w:hAnsi="Arial" w:cs="Arial"/>
          <w:sz w:val="18"/>
          <w:szCs w:val="18"/>
          <w:lang w:val="fr-FR"/>
        </w:rPr>
        <w:t xml:space="preserve">obtenteur </w:t>
      </w:r>
      <w:r w:rsidRPr="00D56ED8">
        <w:rPr>
          <w:rFonts w:ascii="Arial" w:hAnsi="Arial" w:cs="Arial"/>
          <w:sz w:val="18"/>
          <w:szCs w:val="18"/>
          <w:highlight w:val="yellow"/>
          <w:lang w:val="fr-FR"/>
        </w:rPr>
        <w:t>[aura droit au minimum à une rémunération équitable]</w:t>
      </w:r>
      <w:r w:rsidRPr="00D56ED8">
        <w:rPr>
          <w:rFonts w:ascii="Arial" w:hAnsi="Arial" w:cs="Arial"/>
          <w:sz w:val="18"/>
          <w:szCs w:val="18"/>
          <w:lang w:val="fr-FR"/>
        </w:rPr>
        <w:t xml:space="preserve"> perçue auprès de celui qui, dans l</w:t>
      </w:r>
      <w:r w:rsidR="001F3E61" w:rsidRPr="00D56ED8">
        <w:rPr>
          <w:rFonts w:ascii="Arial" w:hAnsi="Arial" w:cs="Arial"/>
          <w:sz w:val="18"/>
          <w:szCs w:val="18"/>
          <w:lang w:val="fr-FR"/>
        </w:rPr>
        <w:t>’</w:t>
      </w:r>
      <w:r w:rsidRPr="00D56ED8">
        <w:rPr>
          <w:rFonts w:ascii="Arial" w:hAnsi="Arial" w:cs="Arial"/>
          <w:sz w:val="18"/>
          <w:szCs w:val="18"/>
          <w:lang w:val="fr-FR"/>
        </w:rPr>
        <w:t>intervalle prévu à l</w:t>
      </w:r>
      <w:r w:rsidR="001F3E61" w:rsidRPr="00D56ED8">
        <w:rPr>
          <w:rFonts w:ascii="Arial" w:hAnsi="Arial" w:cs="Arial"/>
          <w:sz w:val="18"/>
          <w:szCs w:val="18"/>
          <w:lang w:val="fr-FR"/>
        </w:rPr>
        <w:t>’</w:t>
      </w:r>
      <w:r w:rsidRPr="00D56ED8">
        <w:rPr>
          <w:rFonts w:ascii="Arial" w:hAnsi="Arial" w:cs="Arial"/>
          <w:sz w:val="18"/>
          <w:szCs w:val="18"/>
          <w:lang w:val="fr-FR"/>
        </w:rPr>
        <w:t xml:space="preserve">alinéa </w:t>
      </w:r>
      <w:r w:rsidRPr="00D56ED8">
        <w:rPr>
          <w:rFonts w:ascii="Arial" w:hAnsi="Arial" w:cs="Arial"/>
          <w:sz w:val="18"/>
          <w:szCs w:val="18"/>
          <w:highlight w:val="yellow"/>
          <w:lang w:val="fr-FR"/>
        </w:rPr>
        <w:t>[1)]</w:t>
      </w:r>
      <w:r w:rsidRPr="00D56ED8">
        <w:rPr>
          <w:rFonts w:ascii="Arial" w:hAnsi="Arial" w:cs="Arial"/>
          <w:sz w:val="18"/>
          <w:szCs w:val="18"/>
          <w:lang w:val="fr-FR"/>
        </w:rPr>
        <w:t>, a accompli des actes qui, après l</w:t>
      </w:r>
      <w:r w:rsidR="001F3E61" w:rsidRPr="00D56ED8">
        <w:rPr>
          <w:rFonts w:ascii="Arial" w:hAnsi="Arial" w:cs="Arial"/>
          <w:sz w:val="18"/>
          <w:szCs w:val="18"/>
          <w:lang w:val="fr-FR"/>
        </w:rPr>
        <w:t>’</w:t>
      </w:r>
      <w:r w:rsidRPr="00D56ED8">
        <w:rPr>
          <w:rFonts w:ascii="Arial" w:hAnsi="Arial" w:cs="Arial"/>
          <w:sz w:val="18"/>
          <w:szCs w:val="18"/>
          <w:lang w:val="fr-FR"/>
        </w:rPr>
        <w:t>octroi du droit, requièrent l</w:t>
      </w:r>
      <w:r w:rsidR="001F3E61" w:rsidRPr="00D56ED8">
        <w:rPr>
          <w:rFonts w:ascii="Arial" w:hAnsi="Arial" w:cs="Arial"/>
          <w:sz w:val="18"/>
          <w:szCs w:val="18"/>
          <w:lang w:val="fr-FR"/>
        </w:rPr>
        <w:t>’</w:t>
      </w:r>
      <w:r w:rsidRPr="00D56ED8">
        <w:rPr>
          <w:rFonts w:ascii="Arial" w:hAnsi="Arial" w:cs="Arial"/>
          <w:sz w:val="18"/>
          <w:szCs w:val="18"/>
          <w:lang w:val="fr-FR"/>
        </w:rPr>
        <w:t>autorisation de l</w:t>
      </w:r>
      <w:r w:rsidR="001F3E61" w:rsidRPr="00D56ED8">
        <w:rPr>
          <w:rFonts w:ascii="Arial" w:hAnsi="Arial" w:cs="Arial"/>
          <w:sz w:val="18"/>
          <w:szCs w:val="18"/>
          <w:lang w:val="fr-FR"/>
        </w:rPr>
        <w:t>’</w:t>
      </w:r>
      <w:r w:rsidRPr="00D56ED8">
        <w:rPr>
          <w:rFonts w:ascii="Arial" w:hAnsi="Arial" w:cs="Arial"/>
          <w:sz w:val="18"/>
          <w:szCs w:val="18"/>
          <w:lang w:val="fr-FR"/>
        </w:rPr>
        <w:t>obtenteur conformément aux dispositions de l</w:t>
      </w:r>
      <w:r w:rsidR="001F3E61" w:rsidRPr="00D56ED8">
        <w:rPr>
          <w:rFonts w:ascii="Arial" w:hAnsi="Arial" w:cs="Arial"/>
          <w:sz w:val="18"/>
          <w:szCs w:val="18"/>
          <w:lang w:val="fr-FR"/>
        </w:rPr>
        <w:t>’</w:t>
      </w:r>
      <w:r w:rsidRPr="00D56ED8">
        <w:rPr>
          <w:rFonts w:ascii="Arial" w:hAnsi="Arial" w:cs="Arial"/>
          <w:sz w:val="18"/>
          <w:szCs w:val="18"/>
          <w:lang w:val="fr-FR"/>
        </w:rPr>
        <w:t>article</w:t>
      </w:r>
      <w:r w:rsidRPr="00D56ED8">
        <w:rPr>
          <w:sz w:val="22"/>
          <w:szCs w:val="22"/>
          <w:lang w:val="fr-FR"/>
        </w:rPr>
        <w:t xml:space="preserve"> </w:t>
      </w:r>
      <w:r w:rsidRPr="00D56ED8">
        <w:rPr>
          <w:rFonts w:ascii="Arial" w:hAnsi="Arial" w:cs="Arial"/>
          <w:sz w:val="18"/>
          <w:szCs w:val="18"/>
          <w:highlight w:val="yellow"/>
          <w:lang w:val="fr-FR"/>
        </w:rPr>
        <w:t>[14]</w:t>
      </w:r>
      <w:r w:rsidRPr="00D56ED8">
        <w:rPr>
          <w:rFonts w:ascii="Arial" w:hAnsi="Arial" w:cs="Arial"/>
          <w:sz w:val="18"/>
          <w:szCs w:val="18"/>
          <w:lang w:val="fr-FR"/>
        </w:rPr>
        <w:t>.</w:t>
      </w:r>
    </w:p>
    <w:p w:rsidR="00D94943" w:rsidRPr="00D56ED8" w:rsidRDefault="00D94943" w:rsidP="00D94943">
      <w:pPr>
        <w:autoSpaceDE w:val="0"/>
        <w:autoSpaceDN w:val="0"/>
        <w:adjustRightInd w:val="0"/>
        <w:ind w:left="567" w:right="566"/>
        <w:jc w:val="left"/>
        <w:rPr>
          <w:rFonts w:cs="Arial"/>
          <w:sz w:val="18"/>
          <w:szCs w:val="18"/>
        </w:rPr>
      </w:pPr>
    </w:p>
    <w:p w:rsidR="00D94943" w:rsidRPr="00D56ED8" w:rsidRDefault="00D94943" w:rsidP="00D94943">
      <w:pPr>
        <w:autoSpaceDE w:val="0"/>
        <w:autoSpaceDN w:val="0"/>
        <w:adjustRightInd w:val="0"/>
        <w:ind w:left="567" w:right="566"/>
        <w:jc w:val="left"/>
        <w:rPr>
          <w:rFonts w:cs="Arial"/>
          <w:i/>
          <w:sz w:val="18"/>
          <w:szCs w:val="18"/>
        </w:rPr>
      </w:pPr>
      <w:r w:rsidRPr="00D56ED8">
        <w:rPr>
          <w:rFonts w:cs="Arial"/>
          <w:i/>
          <w:sz w:val="18"/>
          <w:szCs w:val="18"/>
        </w:rPr>
        <w:t>Exemple B</w:t>
      </w:r>
    </w:p>
    <w:p w:rsidR="00D94943" w:rsidRPr="00D56ED8" w:rsidRDefault="00D94943" w:rsidP="00D94943">
      <w:pPr>
        <w:autoSpaceDE w:val="0"/>
        <w:autoSpaceDN w:val="0"/>
        <w:adjustRightInd w:val="0"/>
        <w:ind w:left="567" w:right="566"/>
        <w:jc w:val="left"/>
        <w:rPr>
          <w:rFonts w:cs="Arial"/>
          <w:sz w:val="18"/>
          <w:szCs w:val="18"/>
        </w:rPr>
      </w:pPr>
    </w:p>
    <w:p w:rsidR="00D94943" w:rsidRPr="00D56ED8" w:rsidRDefault="00D94943" w:rsidP="00D94943">
      <w:pPr>
        <w:autoSpaceDE w:val="0"/>
        <w:autoSpaceDN w:val="0"/>
        <w:adjustRightInd w:val="0"/>
        <w:ind w:left="567" w:right="566"/>
        <w:rPr>
          <w:rFonts w:cs="Arial"/>
          <w:sz w:val="18"/>
          <w:szCs w:val="18"/>
        </w:rPr>
      </w:pPr>
      <w:r w:rsidRPr="00D56ED8">
        <w:rPr>
          <w:rFonts w:cs="Arial"/>
          <w:sz w:val="18"/>
          <w:szCs w:val="18"/>
        </w:rPr>
        <w:tab/>
      </w:r>
      <w:r w:rsidRPr="00D56ED8">
        <w:rPr>
          <w:rFonts w:cs="Arial"/>
          <w:sz w:val="18"/>
          <w:szCs w:val="18"/>
          <w:highlight w:val="yellow"/>
        </w:rPr>
        <w:t>[2)]</w:t>
      </w:r>
      <w:r w:rsidRPr="00D56ED8">
        <w:rPr>
          <w:rFonts w:cs="Arial"/>
          <w:sz w:val="18"/>
          <w:szCs w:val="18"/>
        </w:rPr>
        <w:tab/>
      </w:r>
      <w:r w:rsidRPr="00D56ED8">
        <w:rPr>
          <w:sz w:val="18"/>
          <w:szCs w:val="18"/>
        </w:rPr>
        <w:t>Le demandeur est réputé être le titulaire du droit d</w:t>
      </w:r>
      <w:r w:rsidR="001F3E61" w:rsidRPr="00D56ED8">
        <w:rPr>
          <w:sz w:val="18"/>
          <w:szCs w:val="18"/>
        </w:rPr>
        <w:t>’</w:t>
      </w:r>
      <w:r w:rsidRPr="00D56ED8">
        <w:rPr>
          <w:sz w:val="18"/>
          <w:szCs w:val="18"/>
        </w:rPr>
        <w:t xml:space="preserve">obtenteur </w:t>
      </w:r>
      <w:r w:rsidR="001F3E61" w:rsidRPr="00D56ED8">
        <w:rPr>
          <w:sz w:val="18"/>
          <w:szCs w:val="18"/>
        </w:rPr>
        <w:t>à l’égard</w:t>
      </w:r>
      <w:r w:rsidRPr="00D56ED8">
        <w:rPr>
          <w:sz w:val="18"/>
          <w:szCs w:val="18"/>
        </w:rPr>
        <w:t xml:space="preserve"> de celui qui, dans l</w:t>
      </w:r>
      <w:r w:rsidR="001F3E61" w:rsidRPr="00D56ED8">
        <w:rPr>
          <w:sz w:val="18"/>
          <w:szCs w:val="18"/>
        </w:rPr>
        <w:t>’</w:t>
      </w:r>
      <w:r w:rsidRPr="00D56ED8">
        <w:rPr>
          <w:sz w:val="18"/>
          <w:szCs w:val="18"/>
        </w:rPr>
        <w:t>intervalle prévu à l</w:t>
      </w:r>
      <w:r w:rsidR="001F3E61" w:rsidRPr="00D56ED8">
        <w:rPr>
          <w:sz w:val="18"/>
          <w:szCs w:val="18"/>
        </w:rPr>
        <w:t>’</w:t>
      </w:r>
      <w:r w:rsidRPr="00D56ED8">
        <w:rPr>
          <w:sz w:val="18"/>
          <w:szCs w:val="18"/>
        </w:rPr>
        <w:t xml:space="preserve">alinéa </w:t>
      </w:r>
      <w:r w:rsidRPr="00D56ED8">
        <w:rPr>
          <w:sz w:val="18"/>
          <w:szCs w:val="18"/>
          <w:highlight w:val="yellow"/>
        </w:rPr>
        <w:t>[1)]</w:t>
      </w:r>
      <w:r w:rsidRPr="00D56ED8">
        <w:rPr>
          <w:sz w:val="18"/>
          <w:szCs w:val="18"/>
        </w:rPr>
        <w:t>, a accompli des actes qui, après l</w:t>
      </w:r>
      <w:r w:rsidR="001F3E61" w:rsidRPr="00D56ED8">
        <w:rPr>
          <w:sz w:val="18"/>
          <w:szCs w:val="18"/>
        </w:rPr>
        <w:t>’</w:t>
      </w:r>
      <w:r w:rsidRPr="00D56ED8">
        <w:rPr>
          <w:sz w:val="18"/>
          <w:szCs w:val="18"/>
        </w:rPr>
        <w:t>octroi du droit, requièrent l</w:t>
      </w:r>
      <w:r w:rsidR="001F3E61" w:rsidRPr="00D56ED8">
        <w:rPr>
          <w:sz w:val="18"/>
          <w:szCs w:val="18"/>
        </w:rPr>
        <w:t>’</w:t>
      </w:r>
      <w:r w:rsidRPr="00D56ED8">
        <w:rPr>
          <w:sz w:val="18"/>
          <w:szCs w:val="18"/>
        </w:rPr>
        <w:t>autorisation de l</w:t>
      </w:r>
      <w:r w:rsidR="001F3E61" w:rsidRPr="00D56ED8">
        <w:rPr>
          <w:sz w:val="18"/>
          <w:szCs w:val="18"/>
        </w:rPr>
        <w:t>’</w:t>
      </w:r>
      <w:r w:rsidRPr="00D56ED8">
        <w:rPr>
          <w:sz w:val="18"/>
          <w:szCs w:val="18"/>
        </w:rPr>
        <w:t>obtenteur conformément aux dispositions de l</w:t>
      </w:r>
      <w:r w:rsidR="001F3E61" w:rsidRPr="00D56ED8">
        <w:rPr>
          <w:sz w:val="18"/>
          <w:szCs w:val="18"/>
        </w:rPr>
        <w:t>’</w:t>
      </w:r>
      <w:r w:rsidRPr="00D56ED8">
        <w:rPr>
          <w:sz w:val="18"/>
          <w:szCs w:val="18"/>
        </w:rPr>
        <w:t>article </w:t>
      </w:r>
      <w:r w:rsidRPr="00D56ED8">
        <w:rPr>
          <w:rFonts w:cs="Arial"/>
          <w:sz w:val="18"/>
          <w:szCs w:val="18"/>
          <w:highlight w:val="yellow"/>
        </w:rPr>
        <w:t>[14</w:t>
      </w:r>
      <w:r w:rsidRPr="00D56ED8">
        <w:rPr>
          <w:rFonts w:cs="Arial"/>
          <w:sz w:val="18"/>
          <w:szCs w:val="18"/>
          <w:highlight w:val="lightGray"/>
        </w:rPr>
        <w:t>]</w:t>
      </w:r>
      <w:r w:rsidRPr="00D56ED8">
        <w:rPr>
          <w:rFonts w:cs="Arial"/>
          <w:sz w:val="18"/>
          <w:szCs w:val="18"/>
        </w:rPr>
        <w:t>.  Le déposant a les mêmes droits en matière de conclusion d</w:t>
      </w:r>
      <w:r w:rsidR="001F3E61" w:rsidRPr="00D56ED8">
        <w:rPr>
          <w:rFonts w:cs="Arial"/>
          <w:sz w:val="18"/>
          <w:szCs w:val="18"/>
        </w:rPr>
        <w:t>’</w:t>
      </w:r>
      <w:r w:rsidRPr="00D56ED8">
        <w:rPr>
          <w:rFonts w:cs="Arial"/>
          <w:sz w:val="18"/>
          <w:szCs w:val="18"/>
        </w:rPr>
        <w:t>accords de licence ou d</w:t>
      </w:r>
      <w:r w:rsidR="001F3E61" w:rsidRPr="00D56ED8">
        <w:rPr>
          <w:rFonts w:cs="Arial"/>
          <w:sz w:val="18"/>
          <w:szCs w:val="18"/>
        </w:rPr>
        <w:t>’</w:t>
      </w:r>
      <w:r w:rsidRPr="00D56ED8">
        <w:rPr>
          <w:rFonts w:cs="Arial"/>
          <w:sz w:val="18"/>
          <w:szCs w:val="18"/>
        </w:rPr>
        <w:t>engagement d</w:t>
      </w:r>
      <w:r w:rsidR="001F3E61" w:rsidRPr="00D56ED8">
        <w:rPr>
          <w:rFonts w:cs="Arial"/>
          <w:sz w:val="18"/>
          <w:szCs w:val="18"/>
        </w:rPr>
        <w:t>’</w:t>
      </w:r>
      <w:r w:rsidRPr="00D56ED8">
        <w:rPr>
          <w:rFonts w:cs="Arial"/>
          <w:sz w:val="18"/>
          <w:szCs w:val="18"/>
        </w:rPr>
        <w:t xml:space="preserve">une action en justice que si, à la date de </w:t>
      </w:r>
      <w:r w:rsidRPr="00D56ED8">
        <w:rPr>
          <w:rFonts w:cs="Arial"/>
          <w:sz w:val="18"/>
          <w:szCs w:val="18"/>
          <w:highlight w:val="yellow"/>
        </w:rPr>
        <w:t>[dépôt]</w:t>
      </w:r>
      <w:r w:rsidRPr="00D56ED8">
        <w:rPr>
          <w:rFonts w:cs="Arial"/>
          <w:sz w:val="18"/>
          <w:szCs w:val="18"/>
        </w:rPr>
        <w:t xml:space="preserve"> / </w:t>
      </w:r>
      <w:r w:rsidRPr="00D56ED8">
        <w:rPr>
          <w:rFonts w:cs="Arial"/>
          <w:sz w:val="18"/>
          <w:szCs w:val="18"/>
          <w:highlight w:val="yellow"/>
        </w:rPr>
        <w:t>[publication]</w:t>
      </w:r>
      <w:r w:rsidRPr="00D56ED8">
        <w:rPr>
          <w:rFonts w:cs="Arial"/>
          <w:sz w:val="18"/>
          <w:szCs w:val="18"/>
        </w:rPr>
        <w:t>, le droit d</w:t>
      </w:r>
      <w:r w:rsidR="001F3E61" w:rsidRPr="00D56ED8">
        <w:rPr>
          <w:rFonts w:cs="Arial"/>
          <w:sz w:val="18"/>
          <w:szCs w:val="18"/>
        </w:rPr>
        <w:t>’</w:t>
      </w:r>
      <w:r w:rsidRPr="00D56ED8">
        <w:rPr>
          <w:rFonts w:cs="Arial"/>
          <w:sz w:val="18"/>
          <w:szCs w:val="18"/>
        </w:rPr>
        <w:t xml:space="preserve">obtenteur lui avait été octroyé </w:t>
      </w:r>
      <w:r w:rsidR="001F3E61" w:rsidRPr="00D56ED8">
        <w:rPr>
          <w:rFonts w:cs="Arial"/>
          <w:sz w:val="18"/>
          <w:szCs w:val="18"/>
        </w:rPr>
        <w:t>à l’égard</w:t>
      </w:r>
      <w:r w:rsidRPr="00D56ED8">
        <w:rPr>
          <w:rFonts w:cs="Arial"/>
          <w:sz w:val="18"/>
          <w:szCs w:val="18"/>
        </w:rPr>
        <w:t xml:space="preserve"> de la variété concern</w:t>
      </w:r>
      <w:r w:rsidR="00D56ED8" w:rsidRPr="00D56ED8">
        <w:rPr>
          <w:rFonts w:cs="Arial"/>
          <w:sz w:val="18"/>
          <w:szCs w:val="18"/>
        </w:rPr>
        <w:t>ée.  Le</w:t>
      </w:r>
      <w:r w:rsidRPr="00D56ED8">
        <w:rPr>
          <w:rFonts w:cs="Arial"/>
          <w:sz w:val="18"/>
          <w:szCs w:val="18"/>
        </w:rPr>
        <w:t>s droits visés dans le présent alinéa sont réputés ne pas être conférés si le droit n</w:t>
      </w:r>
      <w:r w:rsidR="001F3E61" w:rsidRPr="00D56ED8">
        <w:rPr>
          <w:rFonts w:cs="Arial"/>
          <w:sz w:val="18"/>
          <w:szCs w:val="18"/>
        </w:rPr>
        <w:t>’</w:t>
      </w:r>
      <w:r w:rsidRPr="00D56ED8">
        <w:rPr>
          <w:rFonts w:cs="Arial"/>
          <w:sz w:val="18"/>
          <w:szCs w:val="18"/>
        </w:rPr>
        <w:t>est pas octroyé.</w:t>
      </w:r>
    </w:p>
    <w:p w:rsidR="00D94943" w:rsidRPr="00D56ED8" w:rsidRDefault="00D94943" w:rsidP="00D94943">
      <w:pPr>
        <w:autoSpaceDE w:val="0"/>
        <w:autoSpaceDN w:val="0"/>
        <w:adjustRightInd w:val="0"/>
        <w:ind w:left="567" w:right="566"/>
        <w:rPr>
          <w:rFonts w:cs="Arial"/>
          <w:sz w:val="18"/>
          <w:szCs w:val="18"/>
          <w:u w:val="single"/>
        </w:rPr>
      </w:pPr>
    </w:p>
    <w:p w:rsidR="00D94943" w:rsidRPr="00D56ED8" w:rsidRDefault="00D94943" w:rsidP="00D94943">
      <w:pPr>
        <w:autoSpaceDE w:val="0"/>
        <w:autoSpaceDN w:val="0"/>
        <w:adjustRightInd w:val="0"/>
        <w:ind w:left="567" w:right="566"/>
        <w:rPr>
          <w:rFonts w:cs="Arial"/>
          <w:sz w:val="18"/>
          <w:szCs w:val="18"/>
          <w:u w:val="single"/>
        </w:rPr>
      </w:pPr>
    </w:p>
    <w:p w:rsidR="00D94943" w:rsidRPr="00D56ED8" w:rsidRDefault="00D94943" w:rsidP="00D94943">
      <w:pPr>
        <w:pStyle w:val="inf61normal"/>
        <w:tabs>
          <w:tab w:val="clear" w:pos="426"/>
          <w:tab w:val="clear" w:pos="992"/>
          <w:tab w:val="right" w:leader="hyphen" w:pos="2268"/>
        </w:tabs>
        <w:ind w:left="567" w:right="566"/>
        <w:rPr>
          <w:rFonts w:ascii="Arial" w:hAnsi="Arial" w:cs="Arial"/>
          <w:i/>
          <w:sz w:val="18"/>
          <w:szCs w:val="18"/>
          <w:lang w:val="fr-FR"/>
        </w:rPr>
      </w:pPr>
      <w:r w:rsidRPr="00D56ED8">
        <w:rPr>
          <w:rFonts w:ascii="Arial" w:hAnsi="Arial" w:cs="Arial"/>
          <w:sz w:val="18"/>
          <w:szCs w:val="18"/>
          <w:lang w:val="fr-FR"/>
        </w:rPr>
        <w:tab/>
      </w:r>
    </w:p>
    <w:p w:rsidR="00D94943" w:rsidRPr="00D56ED8" w:rsidRDefault="00D94943" w:rsidP="00D94943">
      <w:pPr>
        <w:autoSpaceDE w:val="0"/>
        <w:autoSpaceDN w:val="0"/>
        <w:adjustRightInd w:val="0"/>
        <w:ind w:left="567" w:right="566"/>
        <w:rPr>
          <w:rFonts w:cs="Arial"/>
          <w:sz w:val="18"/>
          <w:szCs w:val="18"/>
          <w:highlight w:val="yellow"/>
        </w:rPr>
      </w:pPr>
    </w:p>
    <w:p w:rsidR="00D94943" w:rsidRPr="00D56ED8" w:rsidRDefault="00D94943" w:rsidP="00D94943">
      <w:pPr>
        <w:autoSpaceDE w:val="0"/>
        <w:autoSpaceDN w:val="0"/>
        <w:adjustRightInd w:val="0"/>
        <w:ind w:left="567" w:right="566"/>
        <w:rPr>
          <w:rFonts w:cs="Arial"/>
          <w:sz w:val="18"/>
          <w:szCs w:val="18"/>
        </w:rPr>
      </w:pPr>
      <w:r w:rsidRPr="00D56ED8">
        <w:rPr>
          <w:rFonts w:cs="Arial"/>
          <w:sz w:val="18"/>
          <w:szCs w:val="18"/>
        </w:rPr>
        <w:tab/>
      </w:r>
      <w:r w:rsidRPr="00D56ED8">
        <w:rPr>
          <w:rFonts w:cs="Arial"/>
          <w:sz w:val="18"/>
          <w:szCs w:val="18"/>
          <w:highlight w:val="yellow"/>
        </w:rPr>
        <w:t>[3)]</w:t>
      </w:r>
      <w:r w:rsidRPr="00D56ED8">
        <w:rPr>
          <w:rFonts w:cs="Arial"/>
          <w:sz w:val="18"/>
          <w:szCs w:val="18"/>
          <w:highlight w:val="yellow"/>
        </w:rPr>
        <w:tab/>
        <w:t>[La protection provisoire ne prend effet qu</w:t>
      </w:r>
      <w:r w:rsidR="001F3E61" w:rsidRPr="00D56ED8">
        <w:rPr>
          <w:rFonts w:cs="Arial"/>
          <w:sz w:val="18"/>
          <w:szCs w:val="18"/>
          <w:highlight w:val="yellow"/>
        </w:rPr>
        <w:t>’à l’égard</w:t>
      </w:r>
      <w:r w:rsidRPr="00D56ED8">
        <w:rPr>
          <w:rFonts w:cs="Arial"/>
          <w:sz w:val="18"/>
          <w:szCs w:val="18"/>
          <w:highlight w:val="yellow"/>
        </w:rPr>
        <w:t xml:space="preserve"> des personnes auxquelles l</w:t>
      </w:r>
      <w:r w:rsidR="001F3E61" w:rsidRPr="00D56ED8">
        <w:rPr>
          <w:rFonts w:cs="Arial"/>
          <w:sz w:val="18"/>
          <w:szCs w:val="18"/>
          <w:highlight w:val="yellow"/>
        </w:rPr>
        <w:t>’</w:t>
      </w:r>
      <w:r w:rsidRPr="00D56ED8">
        <w:rPr>
          <w:rFonts w:cs="Arial"/>
          <w:sz w:val="18"/>
          <w:szCs w:val="18"/>
          <w:highlight w:val="yellow"/>
        </w:rPr>
        <w:t>obtenteur aura notifié le dépôt de la demande.]</w:t>
      </w:r>
    </w:p>
    <w:p w:rsidR="00D94943" w:rsidRPr="00D56ED8" w:rsidRDefault="00D94943" w:rsidP="00D94943">
      <w:pPr>
        <w:autoSpaceDE w:val="0"/>
        <w:autoSpaceDN w:val="0"/>
        <w:adjustRightInd w:val="0"/>
      </w:pPr>
    </w:p>
    <w:p w:rsidR="00D94943" w:rsidRPr="00D56ED8" w:rsidRDefault="00D94943" w:rsidP="00D94943">
      <w:pPr>
        <w:autoSpaceDE w:val="0"/>
        <w:autoSpaceDN w:val="0"/>
        <w:adjustRightInd w:val="0"/>
        <w:jc w:val="left"/>
      </w:pPr>
    </w:p>
    <w:p w:rsidR="000C5E98" w:rsidRPr="00D56ED8" w:rsidRDefault="00D94943" w:rsidP="00D94943">
      <w:r w:rsidRPr="00D56ED8">
        <w:t>L</w:t>
      </w:r>
      <w:r w:rsidR="001F3E61" w:rsidRPr="00D56ED8">
        <w:t>’</w:t>
      </w:r>
      <w:r w:rsidRPr="00D56ED8">
        <w:t>alinéa 3) de la disposition ci</w:t>
      </w:r>
      <w:r w:rsidR="001F3E61" w:rsidRPr="00D56ED8">
        <w:t>-</w:t>
      </w:r>
      <w:r w:rsidRPr="00D56ED8">
        <w:t>dessus, élaborée à titre d</w:t>
      </w:r>
      <w:r w:rsidR="001F3E61" w:rsidRPr="00D56ED8">
        <w:t>’</w:t>
      </w:r>
      <w:r w:rsidRPr="00D56ED8">
        <w:t>exemple, n</w:t>
      </w:r>
      <w:r w:rsidR="001F3E61" w:rsidRPr="00D56ED8">
        <w:t>’</w:t>
      </w:r>
      <w:r w:rsidRPr="00D56ED8">
        <w:t>est pas nécessaire si, à l</w:t>
      </w:r>
      <w:r w:rsidR="001F3E61" w:rsidRPr="00D56ED8">
        <w:t>’</w:t>
      </w:r>
      <w:r w:rsidRPr="00D56ED8">
        <w:t>alinéa 1), la loi retient la date de publication comme date initiale pour la protection provisoire (voir le paragraphe 6 du présent document).</w:t>
      </w:r>
    </w:p>
    <w:p w:rsidR="00C37A53" w:rsidRPr="00D56ED8" w:rsidRDefault="00C37A53" w:rsidP="00C37A53">
      <w:pPr>
        <w:rPr>
          <w:rFonts w:cs="Arial"/>
        </w:rPr>
      </w:pPr>
    </w:p>
    <w:p w:rsidR="00C37A53" w:rsidRPr="00D56ED8" w:rsidRDefault="00C37A53" w:rsidP="00C37A53">
      <w:pPr>
        <w:rPr>
          <w:rFonts w:cs="Arial"/>
        </w:rPr>
      </w:pPr>
    </w:p>
    <w:p w:rsidR="00C37A53" w:rsidRPr="00D56ED8" w:rsidRDefault="00C37A53" w:rsidP="00C37A53">
      <w:pPr>
        <w:jc w:val="left"/>
        <w:rPr>
          <w:rFonts w:cs="Arial"/>
        </w:rPr>
      </w:pPr>
    </w:p>
    <w:p w:rsidR="00050E16" w:rsidRPr="00D56ED8" w:rsidRDefault="00C37A53" w:rsidP="00C37A53">
      <w:pPr>
        <w:jc w:val="right"/>
        <w:rPr>
          <w:snapToGrid w:val="0"/>
        </w:rPr>
      </w:pPr>
      <w:r w:rsidRPr="00D56ED8">
        <w:rPr>
          <w:rFonts w:cs="Arial"/>
        </w:rPr>
        <w:t>[Fin de l</w:t>
      </w:r>
      <w:r w:rsidR="001F3E61" w:rsidRPr="00D56ED8">
        <w:rPr>
          <w:rFonts w:cs="Arial"/>
        </w:rPr>
        <w:t>’</w:t>
      </w:r>
      <w:r w:rsidRPr="00D56ED8">
        <w:rPr>
          <w:rFonts w:cs="Arial"/>
        </w:rPr>
        <w:t>annexe et du document]</w:t>
      </w:r>
    </w:p>
    <w:p w:rsidR="0035084F" w:rsidRPr="00D56ED8" w:rsidRDefault="0035084F">
      <w:pPr>
        <w:jc w:val="left"/>
      </w:pPr>
    </w:p>
    <w:p w:rsidR="009231E0" w:rsidRDefault="009231E0" w:rsidP="009B440E">
      <w:pPr>
        <w:jc w:val="left"/>
        <w:sectPr w:rsidR="009231E0" w:rsidSect="00CC6311">
          <w:endnotePr>
            <w:numFmt w:val="lowerLetter"/>
          </w:endnotePr>
          <w:pgSz w:w="11907" w:h="16840" w:code="9"/>
          <w:pgMar w:top="510" w:right="1134" w:bottom="1134" w:left="1134" w:header="510" w:footer="680" w:gutter="0"/>
          <w:pgNumType w:start="1"/>
          <w:cols w:space="720"/>
          <w:titlePg/>
          <w:docGrid w:linePitch="272"/>
        </w:sectPr>
      </w:pPr>
    </w:p>
    <w:p w:rsidR="00050E16" w:rsidRPr="00D56ED8" w:rsidRDefault="00050E16" w:rsidP="009B440E">
      <w:pPr>
        <w:jc w:val="left"/>
      </w:pPr>
    </w:p>
    <w:sectPr w:rsidR="00050E16" w:rsidRPr="00D56ED8" w:rsidSect="006844EC">
      <w:headerReference w:type="first" r:id="rId1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A83" w:rsidRDefault="00697A83" w:rsidP="006655D3">
      <w:r>
        <w:separator/>
      </w:r>
    </w:p>
    <w:p w:rsidR="00697A83" w:rsidRDefault="00697A83" w:rsidP="006655D3"/>
    <w:p w:rsidR="00697A83" w:rsidRDefault="00697A83" w:rsidP="006655D3"/>
  </w:endnote>
  <w:endnote w:type="continuationSeparator" w:id="0">
    <w:p w:rsidR="00697A83" w:rsidRDefault="00697A83" w:rsidP="006655D3">
      <w:r>
        <w:separator/>
      </w:r>
    </w:p>
    <w:p w:rsidR="00697A83" w:rsidRPr="00294751" w:rsidRDefault="00697A83">
      <w:pPr>
        <w:pStyle w:val="Footer"/>
        <w:spacing w:after="60"/>
        <w:rPr>
          <w:sz w:val="18"/>
          <w:lang w:val="fr-FR"/>
        </w:rPr>
      </w:pPr>
      <w:r w:rsidRPr="00294751">
        <w:rPr>
          <w:sz w:val="18"/>
          <w:lang w:val="fr-FR"/>
        </w:rPr>
        <w:t>[Suite de la note de la page précédente]</w:t>
      </w:r>
    </w:p>
    <w:p w:rsidR="00697A83" w:rsidRPr="00294751" w:rsidRDefault="00697A83" w:rsidP="006655D3"/>
    <w:p w:rsidR="00697A83" w:rsidRPr="00294751" w:rsidRDefault="00697A83" w:rsidP="006655D3"/>
  </w:endnote>
  <w:endnote w:type="continuationNotice" w:id="1">
    <w:p w:rsidR="00697A83" w:rsidRPr="00294751" w:rsidRDefault="00697A83" w:rsidP="006655D3">
      <w:r w:rsidRPr="00294751">
        <w:t>[Suite de la note page suivante]</w:t>
      </w:r>
    </w:p>
    <w:p w:rsidR="00697A83" w:rsidRPr="00294751" w:rsidRDefault="00697A83" w:rsidP="006655D3"/>
    <w:p w:rsidR="00697A83" w:rsidRPr="00294751" w:rsidRDefault="00697A83" w:rsidP="006655D3"/>
  </w:endnote>
  <w:endnote w:id="2">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00027C29" w:rsidRPr="009231E0">
        <w:rPr>
          <w:sz w:val="16"/>
          <w:szCs w:val="16"/>
          <w:lang w:val="fr-CH"/>
        </w:rPr>
        <w:t>Les propositions de l</w:t>
      </w:r>
      <w:r w:rsidR="00573FC7" w:rsidRPr="009231E0">
        <w:rPr>
          <w:sz w:val="16"/>
          <w:szCs w:val="16"/>
          <w:lang w:val="fr-CH"/>
        </w:rPr>
        <w:t>’</w:t>
      </w:r>
      <w:r w:rsidR="00027C29" w:rsidRPr="009231E0">
        <w:rPr>
          <w:sz w:val="16"/>
          <w:szCs w:val="16"/>
          <w:lang w:val="fr-CH"/>
        </w:rPr>
        <w:t xml:space="preserve">ISF, de la CIOPORA, de </w:t>
      </w:r>
      <w:proofErr w:type="spellStart"/>
      <w:r w:rsidR="00027C29" w:rsidRPr="009231E0">
        <w:rPr>
          <w:sz w:val="16"/>
          <w:szCs w:val="16"/>
          <w:lang w:val="fr-CH"/>
        </w:rPr>
        <w:t>CropLife</w:t>
      </w:r>
      <w:proofErr w:type="spellEnd"/>
      <w:r w:rsidR="00027C29" w:rsidRPr="009231E0">
        <w:rPr>
          <w:sz w:val="16"/>
          <w:szCs w:val="16"/>
          <w:lang w:val="fr-CH"/>
        </w:rPr>
        <w:t xml:space="preserve"> International, d</w:t>
      </w:r>
      <w:r w:rsidR="00573FC7" w:rsidRPr="009231E0">
        <w:rPr>
          <w:sz w:val="16"/>
          <w:szCs w:val="16"/>
          <w:lang w:val="fr-CH"/>
        </w:rPr>
        <w:t>’</w:t>
      </w:r>
      <w:proofErr w:type="spellStart"/>
      <w:r w:rsidR="00027C29" w:rsidRPr="009231E0">
        <w:rPr>
          <w:sz w:val="16"/>
          <w:szCs w:val="16"/>
          <w:lang w:val="fr-CH"/>
        </w:rPr>
        <w:t>Euroseeds</w:t>
      </w:r>
      <w:proofErr w:type="spellEnd"/>
      <w:r w:rsidR="00027C29" w:rsidRPr="009231E0">
        <w:rPr>
          <w:sz w:val="16"/>
          <w:szCs w:val="16"/>
          <w:lang w:val="fr-CH"/>
        </w:rPr>
        <w:t>, de l</w:t>
      </w:r>
      <w:r w:rsidR="00573FC7" w:rsidRPr="009231E0">
        <w:rPr>
          <w:sz w:val="16"/>
          <w:szCs w:val="16"/>
          <w:lang w:val="fr-CH"/>
        </w:rPr>
        <w:t>’</w:t>
      </w:r>
      <w:r w:rsidR="00027C29" w:rsidRPr="009231E0">
        <w:rPr>
          <w:sz w:val="16"/>
          <w:szCs w:val="16"/>
          <w:lang w:val="fr-CH"/>
        </w:rPr>
        <w:t>APSA, de l</w:t>
      </w:r>
      <w:r w:rsidR="00573FC7" w:rsidRPr="009231E0">
        <w:rPr>
          <w:sz w:val="16"/>
          <w:szCs w:val="16"/>
          <w:lang w:val="fr-CH"/>
        </w:rPr>
        <w:t>’</w:t>
      </w:r>
      <w:r w:rsidR="00027C29" w:rsidRPr="009231E0">
        <w:rPr>
          <w:sz w:val="16"/>
          <w:szCs w:val="16"/>
          <w:lang w:val="fr-CH"/>
        </w:rPr>
        <w:t>AFSTA et de la SAA</w:t>
      </w:r>
      <w:r w:rsidRPr="009231E0">
        <w:rPr>
          <w:sz w:val="16"/>
          <w:szCs w:val="16"/>
          <w:lang w:val="fr-CH"/>
        </w:rPr>
        <w:t xml:space="preserve"> en réponse à la circulaire</w:t>
      </w:r>
      <w:r w:rsidR="00F138DD" w:rsidRPr="009231E0">
        <w:rPr>
          <w:sz w:val="16"/>
          <w:szCs w:val="16"/>
          <w:lang w:val="fr-CH"/>
        </w:rPr>
        <w:t> </w:t>
      </w:r>
      <w:r w:rsidRPr="009231E0">
        <w:rPr>
          <w:sz w:val="16"/>
          <w:szCs w:val="16"/>
          <w:lang w:val="fr-CH"/>
        </w:rPr>
        <w:t>E-21/228 peuvent être consultées à l</w:t>
      </w:r>
      <w:r w:rsidR="00573FC7" w:rsidRPr="009231E0">
        <w:rPr>
          <w:sz w:val="16"/>
          <w:szCs w:val="16"/>
          <w:lang w:val="fr-CH"/>
        </w:rPr>
        <w:t>’</w:t>
      </w:r>
      <w:r w:rsidRPr="009231E0">
        <w:rPr>
          <w:sz w:val="16"/>
          <w:szCs w:val="16"/>
          <w:lang w:val="fr-CH"/>
        </w:rPr>
        <w:t>adresse suivante</w:t>
      </w:r>
      <w:r w:rsidR="00274CC7" w:rsidRPr="009231E0">
        <w:rPr>
          <w:sz w:val="16"/>
          <w:szCs w:val="16"/>
          <w:lang w:val="fr-CH"/>
        </w:rPr>
        <w:t> </w:t>
      </w:r>
      <w:r w:rsidRPr="009231E0">
        <w:rPr>
          <w:sz w:val="16"/>
          <w:szCs w:val="16"/>
          <w:lang w:val="fr-CH"/>
        </w:rPr>
        <w:t>: https://www.upov.int/meetings/en/details.jsp?meeting_id=67773.</w:t>
      </w:r>
    </w:p>
  </w:endnote>
  <w:endnote w:id="3">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Les propositions de l</w:t>
      </w:r>
      <w:r w:rsidR="00573FC7" w:rsidRPr="009231E0">
        <w:rPr>
          <w:sz w:val="16"/>
          <w:szCs w:val="16"/>
          <w:lang w:val="fr-CH"/>
        </w:rPr>
        <w:t>’</w:t>
      </w:r>
      <w:r w:rsidRPr="009231E0">
        <w:rPr>
          <w:sz w:val="16"/>
          <w:szCs w:val="16"/>
          <w:lang w:val="fr-CH"/>
        </w:rPr>
        <w:t>ISF, de</w:t>
      </w:r>
      <w:r w:rsidR="006F2976" w:rsidRPr="009231E0">
        <w:rPr>
          <w:sz w:val="16"/>
          <w:szCs w:val="16"/>
          <w:lang w:val="fr-CH"/>
        </w:rPr>
        <w:t xml:space="preserve"> la CIO</w:t>
      </w:r>
      <w:r w:rsidRPr="009231E0">
        <w:rPr>
          <w:sz w:val="16"/>
          <w:szCs w:val="16"/>
          <w:lang w:val="fr-CH"/>
        </w:rPr>
        <w:t xml:space="preserve">PORA, de </w:t>
      </w:r>
      <w:proofErr w:type="spellStart"/>
      <w:r w:rsidRPr="009231E0">
        <w:rPr>
          <w:sz w:val="16"/>
          <w:szCs w:val="16"/>
          <w:lang w:val="fr-CH"/>
        </w:rPr>
        <w:t>CropLife</w:t>
      </w:r>
      <w:proofErr w:type="spellEnd"/>
      <w:r w:rsidRPr="009231E0">
        <w:rPr>
          <w:sz w:val="16"/>
          <w:szCs w:val="16"/>
          <w:lang w:val="fr-CH"/>
        </w:rPr>
        <w:t xml:space="preserve"> International, d</w:t>
      </w:r>
      <w:r w:rsidR="00573FC7" w:rsidRPr="009231E0">
        <w:rPr>
          <w:sz w:val="16"/>
          <w:szCs w:val="16"/>
          <w:lang w:val="fr-CH"/>
        </w:rPr>
        <w:t>’</w:t>
      </w:r>
      <w:proofErr w:type="spellStart"/>
      <w:r w:rsidRPr="009231E0">
        <w:rPr>
          <w:sz w:val="16"/>
          <w:szCs w:val="16"/>
          <w:lang w:val="fr-CH"/>
        </w:rPr>
        <w:t>Euroseeds</w:t>
      </w:r>
      <w:proofErr w:type="spellEnd"/>
      <w:r w:rsidRPr="009231E0">
        <w:rPr>
          <w:sz w:val="16"/>
          <w:szCs w:val="16"/>
          <w:lang w:val="fr-CH"/>
        </w:rPr>
        <w:t>, de l</w:t>
      </w:r>
      <w:r w:rsidR="00573FC7" w:rsidRPr="009231E0">
        <w:rPr>
          <w:sz w:val="16"/>
          <w:szCs w:val="16"/>
          <w:lang w:val="fr-CH"/>
        </w:rPr>
        <w:t>’</w:t>
      </w:r>
      <w:r w:rsidRPr="009231E0">
        <w:rPr>
          <w:sz w:val="16"/>
          <w:szCs w:val="16"/>
          <w:lang w:val="fr-CH"/>
        </w:rPr>
        <w:t>APSA, de l</w:t>
      </w:r>
      <w:r w:rsidR="00573FC7" w:rsidRPr="009231E0">
        <w:rPr>
          <w:sz w:val="16"/>
          <w:szCs w:val="16"/>
          <w:lang w:val="fr-CH"/>
        </w:rPr>
        <w:t>’</w:t>
      </w:r>
      <w:r w:rsidRPr="009231E0">
        <w:rPr>
          <w:sz w:val="16"/>
          <w:szCs w:val="16"/>
          <w:lang w:val="fr-CH"/>
        </w:rPr>
        <w:t>AFSTA et de</w:t>
      </w:r>
      <w:r w:rsidR="006F2976" w:rsidRPr="009231E0">
        <w:rPr>
          <w:sz w:val="16"/>
          <w:szCs w:val="16"/>
          <w:lang w:val="fr-CH"/>
        </w:rPr>
        <w:t xml:space="preserve"> la SAA</w:t>
      </w:r>
      <w:r w:rsidRPr="009231E0">
        <w:rPr>
          <w:sz w:val="16"/>
          <w:szCs w:val="16"/>
          <w:lang w:val="fr-CH"/>
        </w:rPr>
        <w:t xml:space="preserve"> sont disponibles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https://www.upov.int/meetings/en/details.jsp?meeting_id=67773. </w:t>
      </w:r>
      <w:r w:rsidR="00274CC7" w:rsidRPr="009231E0">
        <w:rPr>
          <w:sz w:val="16"/>
          <w:szCs w:val="16"/>
          <w:lang w:val="fr-CH"/>
        </w:rPr>
        <w:t xml:space="preserve"> </w:t>
      </w:r>
    </w:p>
  </w:endnote>
  <w:endnote w:id="4">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La proposition du Japon en réponse à la circulaire</w:t>
      </w:r>
      <w:r w:rsidR="00F138DD" w:rsidRPr="009231E0">
        <w:rPr>
          <w:sz w:val="16"/>
          <w:szCs w:val="16"/>
          <w:lang w:val="fr-CH"/>
        </w:rPr>
        <w:t> </w:t>
      </w:r>
      <w:r w:rsidRPr="009231E0">
        <w:rPr>
          <w:sz w:val="16"/>
          <w:szCs w:val="16"/>
          <w:lang w:val="fr-CH"/>
        </w:rPr>
        <w:t>E</w:t>
      </w:r>
      <w:r w:rsidR="00573FC7" w:rsidRPr="009231E0">
        <w:rPr>
          <w:sz w:val="16"/>
          <w:szCs w:val="16"/>
          <w:lang w:val="fr-CH"/>
        </w:rPr>
        <w:t>-</w:t>
      </w:r>
      <w:r w:rsidRPr="009231E0">
        <w:rPr>
          <w:sz w:val="16"/>
          <w:szCs w:val="16"/>
          <w:lang w:val="fr-CH"/>
        </w:rPr>
        <w:t>22/058 est disponible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https://www.upov.int/meetings/fr/details.jsp?meeting_id=70188.</w:t>
      </w:r>
    </w:p>
  </w:endnote>
  <w:endnote w:id="5">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Les propositions de l</w:t>
      </w:r>
      <w:r w:rsidR="00573FC7" w:rsidRPr="009231E0">
        <w:rPr>
          <w:sz w:val="16"/>
          <w:szCs w:val="16"/>
          <w:lang w:val="fr-CH"/>
        </w:rPr>
        <w:t>’</w:t>
      </w:r>
      <w:r w:rsidRPr="009231E0">
        <w:rPr>
          <w:sz w:val="16"/>
          <w:szCs w:val="16"/>
          <w:lang w:val="fr-CH"/>
        </w:rPr>
        <w:t>AIPH en réponse à la circulaire</w:t>
      </w:r>
      <w:r w:rsidR="00F138DD" w:rsidRPr="009231E0">
        <w:rPr>
          <w:sz w:val="16"/>
          <w:szCs w:val="16"/>
          <w:lang w:val="fr-CH"/>
        </w:rPr>
        <w:t> </w:t>
      </w:r>
      <w:r w:rsidRPr="009231E0">
        <w:rPr>
          <w:sz w:val="16"/>
          <w:szCs w:val="16"/>
          <w:lang w:val="fr-CH"/>
        </w:rPr>
        <w:t>E</w:t>
      </w:r>
      <w:r w:rsidR="00573FC7" w:rsidRPr="009231E0">
        <w:rPr>
          <w:sz w:val="16"/>
          <w:szCs w:val="16"/>
          <w:lang w:val="fr-CH"/>
        </w:rPr>
        <w:t>-</w:t>
      </w:r>
      <w:r w:rsidRPr="009231E0">
        <w:rPr>
          <w:sz w:val="16"/>
          <w:szCs w:val="16"/>
          <w:lang w:val="fr-CH"/>
        </w:rPr>
        <w:t>22/058 sont disponibles à l</w:t>
      </w:r>
      <w:r w:rsidR="00573FC7" w:rsidRPr="009231E0">
        <w:rPr>
          <w:sz w:val="16"/>
          <w:szCs w:val="16"/>
          <w:lang w:val="fr-CH"/>
        </w:rPr>
        <w:t>’</w:t>
      </w:r>
      <w:r w:rsidRPr="009231E0">
        <w:rPr>
          <w:sz w:val="16"/>
          <w:szCs w:val="16"/>
          <w:lang w:val="fr-CH"/>
        </w:rPr>
        <w:t>adresse suivante</w:t>
      </w:r>
      <w:r w:rsidR="009231E0">
        <w:rPr>
          <w:sz w:val="16"/>
          <w:szCs w:val="16"/>
          <w:lang w:val="fr-CH"/>
        </w:rPr>
        <w:t xml:space="preserve"> : </w:t>
      </w:r>
      <w:r w:rsidRPr="009231E0">
        <w:rPr>
          <w:sz w:val="16"/>
          <w:szCs w:val="16"/>
          <w:lang w:val="fr-CH"/>
        </w:rPr>
        <w:t>https://www.upov.int/meetings/fr/details.jsp?meeting_id=70188.</w:t>
      </w:r>
    </w:p>
  </w:endnote>
  <w:endnote w:id="6">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Les propositions de l</w:t>
      </w:r>
      <w:r w:rsidR="00573FC7" w:rsidRPr="009231E0">
        <w:rPr>
          <w:sz w:val="16"/>
          <w:szCs w:val="16"/>
          <w:lang w:val="fr-CH"/>
        </w:rPr>
        <w:t>’</w:t>
      </w:r>
      <w:r w:rsidRPr="009231E0">
        <w:rPr>
          <w:sz w:val="16"/>
          <w:szCs w:val="16"/>
          <w:lang w:val="fr-CH"/>
        </w:rPr>
        <w:t>ISF, de</w:t>
      </w:r>
      <w:r w:rsidR="006F2976" w:rsidRPr="009231E0">
        <w:rPr>
          <w:sz w:val="16"/>
          <w:szCs w:val="16"/>
          <w:lang w:val="fr-CH"/>
        </w:rPr>
        <w:t xml:space="preserve"> la CIO</w:t>
      </w:r>
      <w:r w:rsidRPr="009231E0">
        <w:rPr>
          <w:sz w:val="16"/>
          <w:szCs w:val="16"/>
          <w:lang w:val="fr-CH"/>
        </w:rPr>
        <w:t xml:space="preserve">PORA, de </w:t>
      </w:r>
      <w:proofErr w:type="spellStart"/>
      <w:r w:rsidRPr="009231E0">
        <w:rPr>
          <w:sz w:val="16"/>
          <w:szCs w:val="16"/>
          <w:lang w:val="fr-CH"/>
        </w:rPr>
        <w:t>CropLife</w:t>
      </w:r>
      <w:proofErr w:type="spellEnd"/>
      <w:r w:rsidRPr="009231E0">
        <w:rPr>
          <w:sz w:val="16"/>
          <w:szCs w:val="16"/>
          <w:lang w:val="fr-CH"/>
        </w:rPr>
        <w:t xml:space="preserve"> International, d</w:t>
      </w:r>
      <w:r w:rsidR="00573FC7" w:rsidRPr="009231E0">
        <w:rPr>
          <w:sz w:val="16"/>
          <w:szCs w:val="16"/>
          <w:lang w:val="fr-CH"/>
        </w:rPr>
        <w:t>’</w:t>
      </w:r>
      <w:proofErr w:type="spellStart"/>
      <w:r w:rsidRPr="009231E0">
        <w:rPr>
          <w:sz w:val="16"/>
          <w:szCs w:val="16"/>
          <w:lang w:val="fr-CH"/>
        </w:rPr>
        <w:t>Euroseeds</w:t>
      </w:r>
      <w:proofErr w:type="spellEnd"/>
      <w:r w:rsidRPr="009231E0">
        <w:rPr>
          <w:sz w:val="16"/>
          <w:szCs w:val="16"/>
          <w:lang w:val="fr-CH"/>
        </w:rPr>
        <w:t>, de l</w:t>
      </w:r>
      <w:r w:rsidR="00573FC7" w:rsidRPr="009231E0">
        <w:rPr>
          <w:sz w:val="16"/>
          <w:szCs w:val="16"/>
          <w:lang w:val="fr-CH"/>
        </w:rPr>
        <w:t>’</w:t>
      </w:r>
      <w:r w:rsidRPr="009231E0">
        <w:rPr>
          <w:sz w:val="16"/>
          <w:szCs w:val="16"/>
          <w:lang w:val="fr-CH"/>
        </w:rPr>
        <w:t>APSA, de l</w:t>
      </w:r>
      <w:r w:rsidR="00573FC7" w:rsidRPr="009231E0">
        <w:rPr>
          <w:sz w:val="16"/>
          <w:szCs w:val="16"/>
          <w:lang w:val="fr-CH"/>
        </w:rPr>
        <w:t>’</w:t>
      </w:r>
      <w:r w:rsidRPr="009231E0">
        <w:rPr>
          <w:sz w:val="16"/>
          <w:szCs w:val="16"/>
          <w:lang w:val="fr-CH"/>
        </w:rPr>
        <w:t>AFSTA et de</w:t>
      </w:r>
      <w:r w:rsidR="006F2976" w:rsidRPr="009231E0">
        <w:rPr>
          <w:sz w:val="16"/>
          <w:szCs w:val="16"/>
          <w:lang w:val="fr-CH"/>
        </w:rPr>
        <w:t xml:space="preserve"> la SAA</w:t>
      </w:r>
      <w:r w:rsidRPr="009231E0">
        <w:rPr>
          <w:sz w:val="16"/>
          <w:szCs w:val="16"/>
          <w:lang w:val="fr-CH"/>
        </w:rPr>
        <w:t xml:space="preserve"> sont disponibles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https://www.upov.int/meetings/en/details.jsp?meeting_id=67773. </w:t>
      </w:r>
      <w:r w:rsidR="00274CC7" w:rsidRPr="009231E0">
        <w:rPr>
          <w:sz w:val="16"/>
          <w:szCs w:val="16"/>
          <w:lang w:val="fr-CH"/>
        </w:rPr>
        <w:t xml:space="preserve"> </w:t>
      </w:r>
    </w:p>
  </w:endnote>
  <w:endnote w:id="7">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La proposition de l</w:t>
      </w:r>
      <w:r w:rsidR="00573FC7" w:rsidRPr="009231E0">
        <w:rPr>
          <w:sz w:val="16"/>
          <w:szCs w:val="16"/>
          <w:lang w:val="fr-CH"/>
        </w:rPr>
        <w:t>’</w:t>
      </w:r>
      <w:r w:rsidRPr="009231E0">
        <w:rPr>
          <w:sz w:val="16"/>
          <w:szCs w:val="16"/>
          <w:lang w:val="fr-CH"/>
        </w:rPr>
        <w:t>AIPH en réponse à la circulaire</w:t>
      </w:r>
      <w:r w:rsidR="00F138DD" w:rsidRPr="009231E0">
        <w:rPr>
          <w:sz w:val="16"/>
          <w:szCs w:val="16"/>
          <w:lang w:val="fr-CH"/>
        </w:rPr>
        <w:t> </w:t>
      </w:r>
      <w:r w:rsidRPr="009231E0">
        <w:rPr>
          <w:sz w:val="16"/>
          <w:szCs w:val="16"/>
          <w:lang w:val="fr-CH"/>
        </w:rPr>
        <w:t>E</w:t>
      </w:r>
      <w:r w:rsidR="00573FC7" w:rsidRPr="009231E0">
        <w:rPr>
          <w:sz w:val="16"/>
          <w:szCs w:val="16"/>
          <w:lang w:val="fr-CH"/>
        </w:rPr>
        <w:t>-</w:t>
      </w:r>
      <w:r w:rsidRPr="009231E0">
        <w:rPr>
          <w:sz w:val="16"/>
          <w:szCs w:val="16"/>
          <w:lang w:val="fr-CH"/>
        </w:rPr>
        <w:t>22/058 est disponible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https://www.upov.int/meetings/fr/details.jsp?meeting_id=70188</w:t>
      </w:r>
    </w:p>
  </w:endnote>
  <w:endnote w:id="8">
    <w:p w:rsidR="00C37A53" w:rsidRPr="009231E0" w:rsidRDefault="00C37A53" w:rsidP="009231E0">
      <w:pPr>
        <w:pStyle w:val="EndnoteText"/>
        <w:tabs>
          <w:tab w:val="left" w:pos="567"/>
        </w:tabs>
        <w:spacing w:after="60"/>
        <w:jc w:val="left"/>
        <w:rPr>
          <w:sz w:val="16"/>
          <w:szCs w:val="16"/>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Les propositions de l</w:t>
      </w:r>
      <w:r w:rsidR="00573FC7" w:rsidRPr="009231E0">
        <w:rPr>
          <w:sz w:val="16"/>
          <w:szCs w:val="16"/>
          <w:lang w:val="fr-CH"/>
        </w:rPr>
        <w:t>’</w:t>
      </w:r>
      <w:r w:rsidRPr="009231E0">
        <w:rPr>
          <w:sz w:val="16"/>
          <w:szCs w:val="16"/>
          <w:lang w:val="fr-CH"/>
        </w:rPr>
        <w:t>ISF, de</w:t>
      </w:r>
      <w:r w:rsidR="006F2976" w:rsidRPr="009231E0">
        <w:rPr>
          <w:sz w:val="16"/>
          <w:szCs w:val="16"/>
          <w:lang w:val="fr-CH"/>
        </w:rPr>
        <w:t xml:space="preserve"> la CIO</w:t>
      </w:r>
      <w:r w:rsidRPr="009231E0">
        <w:rPr>
          <w:sz w:val="16"/>
          <w:szCs w:val="16"/>
          <w:lang w:val="fr-CH"/>
        </w:rPr>
        <w:t xml:space="preserve">PORA, de </w:t>
      </w:r>
      <w:proofErr w:type="spellStart"/>
      <w:r w:rsidRPr="009231E0">
        <w:rPr>
          <w:sz w:val="16"/>
          <w:szCs w:val="16"/>
          <w:lang w:val="fr-CH"/>
        </w:rPr>
        <w:t>CropLife</w:t>
      </w:r>
      <w:proofErr w:type="spellEnd"/>
      <w:r w:rsidRPr="009231E0">
        <w:rPr>
          <w:sz w:val="16"/>
          <w:szCs w:val="16"/>
          <w:lang w:val="fr-CH"/>
        </w:rPr>
        <w:t xml:space="preserve"> International, d</w:t>
      </w:r>
      <w:r w:rsidR="00573FC7" w:rsidRPr="009231E0">
        <w:rPr>
          <w:sz w:val="16"/>
          <w:szCs w:val="16"/>
          <w:lang w:val="fr-CH"/>
        </w:rPr>
        <w:t>’</w:t>
      </w:r>
      <w:proofErr w:type="spellStart"/>
      <w:r w:rsidRPr="009231E0">
        <w:rPr>
          <w:sz w:val="16"/>
          <w:szCs w:val="16"/>
          <w:lang w:val="fr-CH"/>
        </w:rPr>
        <w:t>Euroseeds</w:t>
      </w:r>
      <w:proofErr w:type="spellEnd"/>
      <w:r w:rsidRPr="009231E0">
        <w:rPr>
          <w:sz w:val="16"/>
          <w:szCs w:val="16"/>
          <w:lang w:val="fr-CH"/>
        </w:rPr>
        <w:t>, de l</w:t>
      </w:r>
      <w:r w:rsidR="00573FC7" w:rsidRPr="009231E0">
        <w:rPr>
          <w:sz w:val="16"/>
          <w:szCs w:val="16"/>
          <w:lang w:val="fr-CH"/>
        </w:rPr>
        <w:t>’</w:t>
      </w:r>
      <w:r w:rsidRPr="009231E0">
        <w:rPr>
          <w:sz w:val="16"/>
          <w:szCs w:val="16"/>
          <w:lang w:val="fr-CH"/>
        </w:rPr>
        <w:t>APSA, de l</w:t>
      </w:r>
      <w:r w:rsidR="00573FC7" w:rsidRPr="009231E0">
        <w:rPr>
          <w:sz w:val="16"/>
          <w:szCs w:val="16"/>
          <w:lang w:val="fr-CH"/>
        </w:rPr>
        <w:t>’</w:t>
      </w:r>
      <w:r w:rsidRPr="009231E0">
        <w:rPr>
          <w:sz w:val="16"/>
          <w:szCs w:val="16"/>
          <w:lang w:val="fr-CH"/>
        </w:rPr>
        <w:t>AFSTA et de</w:t>
      </w:r>
      <w:r w:rsidR="006F2976" w:rsidRPr="009231E0">
        <w:rPr>
          <w:sz w:val="16"/>
          <w:szCs w:val="16"/>
          <w:lang w:val="fr-CH"/>
        </w:rPr>
        <w:t xml:space="preserve"> la SAA</w:t>
      </w:r>
      <w:r w:rsidRPr="009231E0">
        <w:rPr>
          <w:sz w:val="16"/>
          <w:szCs w:val="16"/>
          <w:lang w:val="fr-CH"/>
        </w:rPr>
        <w:t xml:space="preserve"> sont disponibles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https://www.upov.int/meetings/en/details.jsp?meeting_id=67773.</w:t>
      </w:r>
    </w:p>
  </w:endnote>
  <w:endnote w:id="9">
    <w:p w:rsidR="00C37A53" w:rsidRPr="004023B9" w:rsidRDefault="00C37A53" w:rsidP="009231E0">
      <w:pPr>
        <w:pStyle w:val="EndnoteText"/>
        <w:tabs>
          <w:tab w:val="left" w:pos="567"/>
        </w:tabs>
        <w:spacing w:after="60"/>
        <w:jc w:val="left"/>
        <w:rPr>
          <w:lang w:val="fr-CH"/>
        </w:rPr>
      </w:pPr>
      <w:r w:rsidRPr="009231E0">
        <w:rPr>
          <w:rStyle w:val="EndnoteReference"/>
          <w:sz w:val="16"/>
          <w:szCs w:val="16"/>
          <w:lang w:val="fr-CH"/>
        </w:rPr>
        <w:endnoteRef/>
      </w:r>
      <w:r w:rsidRPr="009231E0">
        <w:rPr>
          <w:sz w:val="16"/>
          <w:szCs w:val="16"/>
          <w:lang w:val="fr-CH"/>
        </w:rPr>
        <w:t xml:space="preserve"> </w:t>
      </w:r>
      <w:r w:rsidR="009231E0" w:rsidRPr="009231E0">
        <w:rPr>
          <w:sz w:val="16"/>
          <w:szCs w:val="16"/>
          <w:lang w:val="fr-CH"/>
        </w:rPr>
        <w:tab/>
      </w:r>
      <w:r w:rsidRPr="009231E0">
        <w:rPr>
          <w:sz w:val="16"/>
          <w:szCs w:val="16"/>
          <w:lang w:val="fr-CH"/>
        </w:rPr>
        <w:t>La proposition de l</w:t>
      </w:r>
      <w:r w:rsidR="00573FC7" w:rsidRPr="009231E0">
        <w:rPr>
          <w:sz w:val="16"/>
          <w:szCs w:val="16"/>
          <w:lang w:val="fr-CH"/>
        </w:rPr>
        <w:t>’</w:t>
      </w:r>
      <w:r w:rsidRPr="009231E0">
        <w:rPr>
          <w:sz w:val="16"/>
          <w:szCs w:val="16"/>
          <w:lang w:val="fr-CH"/>
        </w:rPr>
        <w:t>AIPH en réponse à la circulaire</w:t>
      </w:r>
      <w:r w:rsidR="00F138DD" w:rsidRPr="009231E0">
        <w:rPr>
          <w:sz w:val="16"/>
          <w:szCs w:val="16"/>
          <w:lang w:val="fr-CH"/>
        </w:rPr>
        <w:t> </w:t>
      </w:r>
      <w:r w:rsidRPr="009231E0">
        <w:rPr>
          <w:sz w:val="16"/>
          <w:szCs w:val="16"/>
          <w:lang w:val="fr-CH"/>
        </w:rPr>
        <w:t>E</w:t>
      </w:r>
      <w:r w:rsidR="00573FC7" w:rsidRPr="009231E0">
        <w:rPr>
          <w:sz w:val="16"/>
          <w:szCs w:val="16"/>
          <w:lang w:val="fr-CH"/>
        </w:rPr>
        <w:t>-</w:t>
      </w:r>
      <w:r w:rsidRPr="009231E0">
        <w:rPr>
          <w:sz w:val="16"/>
          <w:szCs w:val="16"/>
          <w:lang w:val="fr-CH"/>
        </w:rPr>
        <w:t>22/058 est disponible à l</w:t>
      </w:r>
      <w:r w:rsidR="00573FC7" w:rsidRPr="009231E0">
        <w:rPr>
          <w:sz w:val="16"/>
          <w:szCs w:val="16"/>
          <w:lang w:val="fr-CH"/>
        </w:rPr>
        <w:t>’</w:t>
      </w:r>
      <w:r w:rsidRPr="009231E0">
        <w:rPr>
          <w:sz w:val="16"/>
          <w:szCs w:val="16"/>
          <w:lang w:val="fr-CH"/>
        </w:rPr>
        <w:t>adresse suivante</w:t>
      </w:r>
      <w:r w:rsidR="00573FC7" w:rsidRPr="009231E0">
        <w:rPr>
          <w:sz w:val="16"/>
          <w:szCs w:val="16"/>
          <w:lang w:val="fr-CH"/>
        </w:rPr>
        <w:t> :</w:t>
      </w:r>
      <w:r w:rsidRPr="009231E0">
        <w:rPr>
          <w:sz w:val="16"/>
          <w:szCs w:val="16"/>
          <w:lang w:val="fr-CH"/>
        </w:rPr>
        <w:t xml:space="preserve"> https://www.upov.int/meetings/fr/details.jsp?meeting_id=70188.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A83" w:rsidRDefault="00697A83" w:rsidP="006655D3">
      <w:r>
        <w:separator/>
      </w:r>
    </w:p>
  </w:footnote>
  <w:footnote w:type="continuationSeparator" w:id="0">
    <w:p w:rsidR="00697A83" w:rsidRDefault="00697A83" w:rsidP="006655D3">
      <w:r>
        <w:separator/>
      </w:r>
    </w:p>
  </w:footnote>
  <w:footnote w:type="continuationNotice" w:id="1">
    <w:p w:rsidR="00697A83" w:rsidRPr="00AB530F" w:rsidRDefault="00697A83" w:rsidP="00AB530F">
      <w:pPr>
        <w:pStyle w:val="Footer"/>
      </w:pPr>
    </w:p>
  </w:footnote>
  <w:footnote w:id="2">
    <w:p w:rsidR="00C37A53" w:rsidRPr="000C5E98" w:rsidRDefault="00C37A53" w:rsidP="00C37A53">
      <w:pPr>
        <w:pStyle w:val="FootnoteText"/>
        <w:rPr>
          <w:lang w:val="fr-CH"/>
        </w:rPr>
      </w:pPr>
      <w:r w:rsidRPr="000C5E98">
        <w:rPr>
          <w:rStyle w:val="FootnoteReference"/>
          <w:lang w:val="fr-CH"/>
        </w:rPr>
        <w:footnoteRef/>
      </w:r>
      <w:r w:rsidRPr="000C5E98">
        <w:rPr>
          <w:lang w:val="fr-CH"/>
        </w:rPr>
        <w:t xml:space="preserve"> </w:t>
      </w:r>
      <w:r w:rsidRPr="000C5E98">
        <w:rPr>
          <w:lang w:val="fr-CH"/>
        </w:rPr>
        <w:tab/>
        <w:t>L</w:t>
      </w:r>
      <w:r w:rsidR="00022A56">
        <w:rPr>
          <w:lang w:val="fr-CH"/>
        </w:rPr>
        <w:t>’</w:t>
      </w:r>
      <w:r w:rsidR="00786BB5" w:rsidRPr="000C5E98">
        <w:rPr>
          <w:lang w:val="fr-CH"/>
        </w:rPr>
        <w:t>article</w:t>
      </w:r>
      <w:r w:rsidR="00786BB5">
        <w:rPr>
          <w:lang w:val="fr-CH"/>
        </w:rPr>
        <w:t> </w:t>
      </w:r>
      <w:r w:rsidR="00786BB5" w:rsidRPr="000C5E98">
        <w:rPr>
          <w:lang w:val="fr-CH"/>
        </w:rPr>
        <w:t>7</w:t>
      </w:r>
      <w:r w:rsidRPr="000C5E98">
        <w:rPr>
          <w:lang w:val="fr-CH"/>
        </w:rPr>
        <w:t>.3) de l</w:t>
      </w:r>
      <w:r w:rsidR="00022A56">
        <w:rPr>
          <w:lang w:val="fr-CH"/>
        </w:rPr>
        <w:t>’</w:t>
      </w:r>
      <w:r w:rsidRPr="000C5E98">
        <w:rPr>
          <w:lang w:val="fr-CH"/>
        </w:rPr>
        <w:t xml:space="preserve">Acte </w:t>
      </w:r>
      <w:r w:rsidR="00786BB5" w:rsidRPr="000C5E98">
        <w:rPr>
          <w:lang w:val="fr-CH"/>
        </w:rPr>
        <w:t>de</w:t>
      </w:r>
      <w:r w:rsidR="00786BB5">
        <w:rPr>
          <w:lang w:val="fr-CH"/>
        </w:rPr>
        <w:t> </w:t>
      </w:r>
      <w:r w:rsidR="00786BB5" w:rsidRPr="000C5E98">
        <w:rPr>
          <w:lang w:val="fr-CH"/>
        </w:rPr>
        <w:t>1978</w:t>
      </w:r>
      <w:r w:rsidRPr="000C5E98">
        <w:rPr>
          <w:lang w:val="fr-CH"/>
        </w:rPr>
        <w:t xml:space="preserve"> mentionne seulement “la période comprise entre le dépôt de la demande de protection et la décision la concernant”.</w:t>
      </w:r>
    </w:p>
  </w:footnote>
  <w:footnote w:id="3">
    <w:p w:rsidR="00C37A53" w:rsidRPr="000C5E98" w:rsidRDefault="00C37A53" w:rsidP="00C37A53">
      <w:pPr>
        <w:pStyle w:val="FootnoteText"/>
        <w:rPr>
          <w:lang w:val="fr-CH"/>
        </w:rPr>
      </w:pPr>
      <w:r w:rsidRPr="000C5E98">
        <w:rPr>
          <w:rStyle w:val="FootnoteReference"/>
          <w:lang w:val="fr-CH"/>
        </w:rPr>
        <w:footnoteRef/>
      </w:r>
      <w:r w:rsidRPr="000C5E98">
        <w:rPr>
          <w:lang w:val="fr-CH"/>
        </w:rPr>
        <w:t xml:space="preserve"> </w:t>
      </w:r>
      <w:r w:rsidRPr="000C5E98">
        <w:rPr>
          <w:lang w:val="fr-CH"/>
        </w:rPr>
        <w:tab/>
        <w:t>Selon l</w:t>
      </w:r>
      <w:r w:rsidR="00022A56">
        <w:rPr>
          <w:lang w:val="fr-CH"/>
        </w:rPr>
        <w:t>’</w:t>
      </w:r>
      <w:r w:rsidR="00786BB5" w:rsidRPr="000C5E98">
        <w:rPr>
          <w:lang w:val="fr-CH"/>
        </w:rPr>
        <w:t>article</w:t>
      </w:r>
      <w:r w:rsidR="00786BB5">
        <w:rPr>
          <w:lang w:val="fr-CH"/>
        </w:rPr>
        <w:t> </w:t>
      </w:r>
      <w:r w:rsidR="00786BB5" w:rsidRPr="000C5E98">
        <w:rPr>
          <w:lang w:val="fr-CH"/>
        </w:rPr>
        <w:t>7</w:t>
      </w:r>
      <w:r w:rsidRPr="000C5E98">
        <w:rPr>
          <w:lang w:val="fr-CH"/>
        </w:rPr>
        <w:t>.3) de l</w:t>
      </w:r>
      <w:r w:rsidR="00022A56">
        <w:rPr>
          <w:lang w:val="fr-CH"/>
        </w:rPr>
        <w:t>’</w:t>
      </w:r>
      <w:r w:rsidRPr="000C5E98">
        <w:rPr>
          <w:lang w:val="fr-CH"/>
        </w:rPr>
        <w:t xml:space="preserve">Acte </w:t>
      </w:r>
      <w:r w:rsidR="00786BB5" w:rsidRPr="000C5E98">
        <w:rPr>
          <w:lang w:val="fr-CH"/>
        </w:rPr>
        <w:t>de</w:t>
      </w:r>
      <w:r w:rsidR="00786BB5">
        <w:rPr>
          <w:lang w:val="fr-CH"/>
        </w:rPr>
        <w:t> </w:t>
      </w:r>
      <w:r w:rsidR="00786BB5" w:rsidRPr="000C5E98">
        <w:rPr>
          <w:lang w:val="fr-CH"/>
        </w:rPr>
        <w:t>1978</w:t>
      </w:r>
      <w:r w:rsidRPr="000C5E98">
        <w:rPr>
          <w:lang w:val="fr-CH"/>
        </w:rPr>
        <w:t>, la protection provisoire est une disposition facultative.</w:t>
      </w:r>
    </w:p>
  </w:footnote>
  <w:footnote w:id="4">
    <w:p w:rsidR="00D94943" w:rsidRPr="000C5E98" w:rsidRDefault="00D94943" w:rsidP="00D94943">
      <w:pPr>
        <w:pStyle w:val="FootnoteText"/>
        <w:rPr>
          <w:lang w:val="fr-CH"/>
        </w:rPr>
      </w:pPr>
      <w:r w:rsidRPr="000C5E98">
        <w:rPr>
          <w:rStyle w:val="FootnoteReference"/>
          <w:lang w:val="fr-CH"/>
        </w:rPr>
        <w:footnoteRef/>
      </w:r>
      <w:r w:rsidRPr="000C5E98">
        <w:rPr>
          <w:lang w:val="fr-CH"/>
        </w:rPr>
        <w:t xml:space="preserve"> </w:t>
      </w:r>
      <w:r w:rsidRPr="000C5E98">
        <w:rPr>
          <w:lang w:val="fr-CH"/>
        </w:rPr>
        <w:tab/>
        <w:t>Le texte surligné entre crochets est destiné aux rédacteurs chargés d</w:t>
      </w:r>
      <w:r w:rsidR="00022A56">
        <w:rPr>
          <w:lang w:val="fr-CH"/>
        </w:rPr>
        <w:t>’</w:t>
      </w:r>
      <w:r w:rsidRPr="000C5E98">
        <w:rPr>
          <w:lang w:val="fr-CH"/>
        </w:rPr>
        <w:t>élaborer une loi et indique, selon le cas, un texte à compléter, des numéros de dispositions qu</w:t>
      </w:r>
      <w:r w:rsidR="00022A56">
        <w:rPr>
          <w:lang w:val="fr-CH"/>
        </w:rPr>
        <w:t>’</w:t>
      </w:r>
      <w:r w:rsidRPr="000C5E98">
        <w:rPr>
          <w:lang w:val="fr-CH"/>
        </w:rPr>
        <w:t>il pourrait être nécessaire de modifier ou des dispositions de l</w:t>
      </w:r>
      <w:r w:rsidR="00022A56">
        <w:rPr>
          <w:lang w:val="fr-CH"/>
        </w:rPr>
        <w:t>’</w:t>
      </w:r>
      <w:r w:rsidRPr="000C5E98">
        <w:rPr>
          <w:lang w:val="fr-CH"/>
        </w:rPr>
        <w:t xml:space="preserve">Acte de 1991 de la </w:t>
      </w:r>
      <w:r w:rsidR="00022A56">
        <w:rPr>
          <w:lang w:val="fr-CH"/>
        </w:rPr>
        <w:t>Convention UPOV</w:t>
      </w:r>
      <w:r w:rsidRPr="000C5E98">
        <w:rPr>
          <w:lang w:val="fr-CH"/>
        </w:rPr>
        <w:t xml:space="preserve"> offrant un choix.</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A53" w:rsidRDefault="00C37A53" w:rsidP="00C37A53">
    <w:pPr>
      <w:pStyle w:val="Header"/>
      <w:rPr>
        <w:rFonts w:cs="Arial"/>
        <w:lang w:val="fr-CH"/>
      </w:rPr>
    </w:pPr>
    <w:r w:rsidRPr="004023B9">
      <w:rPr>
        <w:rFonts w:cs="Arial"/>
        <w:lang w:val="fr-CH"/>
      </w:rPr>
      <w:t>WG-HRV/2/5</w:t>
    </w:r>
  </w:p>
  <w:p w:rsidR="00CC4510" w:rsidRDefault="00C2263D" w:rsidP="00C37A53">
    <w:pPr>
      <w:pStyle w:val="Header"/>
      <w:rPr>
        <w:rFonts w:cs="Arial"/>
        <w:lang w:val="fr-CH"/>
      </w:rPr>
    </w:pPr>
    <w:r>
      <w:rPr>
        <w:lang w:val="fr-CH"/>
      </w:rPr>
      <w:t>ANNEXE</w:t>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EC" w:rsidRDefault="006844EC" w:rsidP="00C37A53">
    <w:pPr>
      <w:pStyle w:val="Header"/>
      <w:rPr>
        <w:rFonts w:cs="Arial"/>
        <w:lang w:val="fr-CH"/>
      </w:rPr>
    </w:pPr>
    <w:r w:rsidRPr="004023B9">
      <w:rPr>
        <w:rFonts w:cs="Arial"/>
        <w:lang w:val="fr-CH"/>
      </w:rPr>
      <w:t>WG-HRV/2/5</w:t>
    </w:r>
  </w:p>
  <w:p w:rsidR="006844EC" w:rsidRDefault="006844EC" w:rsidP="00C37A53">
    <w:pPr>
      <w:pStyle w:val="Header"/>
      <w:rPr>
        <w:rFonts w:cs="Arial"/>
        <w:lang w:val="fr-CH"/>
      </w:rPr>
    </w:pPr>
    <w:r>
      <w:rPr>
        <w:lang w:val="fr-CH"/>
      </w:rPr>
      <w:t>Annexe, page </w:t>
    </w:r>
    <w:r w:rsidRPr="006844EC">
      <w:rPr>
        <w:lang w:val="fr-CH"/>
      </w:rPr>
      <w:fldChar w:fldCharType="begin"/>
    </w:r>
    <w:r w:rsidRPr="006844EC">
      <w:rPr>
        <w:lang w:val="fr-CH"/>
      </w:rPr>
      <w:instrText xml:space="preserve"> PAGE   \* MERGEFORMAT </w:instrText>
    </w:r>
    <w:r w:rsidRPr="006844EC">
      <w:rPr>
        <w:lang w:val="fr-CH"/>
      </w:rPr>
      <w:fldChar w:fldCharType="separate"/>
    </w:r>
    <w:r w:rsidR="007D6036">
      <w:rPr>
        <w:noProof/>
        <w:lang w:val="fr-CH"/>
      </w:rPr>
      <w:t>8</w:t>
    </w:r>
    <w:r w:rsidRPr="006844EC">
      <w:rPr>
        <w:noProof/>
        <w:lang w:val="fr-CH"/>
      </w:rPr>
      <w:fldChar w:fldCharType="end"/>
    </w:r>
  </w:p>
  <w:p w:rsidR="006844EC" w:rsidRPr="00C5280D" w:rsidRDefault="006844EC" w:rsidP="006844EC">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4EC" w:rsidRDefault="006844EC" w:rsidP="006844EC">
    <w:pPr>
      <w:pStyle w:val="Header"/>
      <w:rPr>
        <w:rFonts w:cs="Arial"/>
        <w:lang w:val="fr-CH"/>
      </w:rPr>
    </w:pPr>
    <w:r w:rsidRPr="004023B9">
      <w:rPr>
        <w:rFonts w:cs="Arial"/>
        <w:lang w:val="fr-CH"/>
      </w:rPr>
      <w:t>WG-HRV/2/5</w:t>
    </w:r>
  </w:p>
  <w:p w:rsidR="006844EC" w:rsidRDefault="006844EC" w:rsidP="006844EC">
    <w:pPr>
      <w:pStyle w:val="Header"/>
      <w:rPr>
        <w:lang w:val="fr-CH"/>
      </w:rPr>
    </w:pPr>
  </w:p>
  <w:p w:rsidR="006844EC" w:rsidRDefault="006844EC" w:rsidP="006844EC">
    <w:pPr>
      <w:pStyle w:val="Header"/>
      <w:rPr>
        <w:rFonts w:cs="Arial"/>
        <w:lang w:val="fr-CH"/>
      </w:rPr>
    </w:pPr>
    <w:r>
      <w:rPr>
        <w:lang w:val="fr-CH"/>
      </w:rPr>
      <w:t>ANNEXE</w:t>
    </w:r>
  </w:p>
  <w:p w:rsidR="006844EC" w:rsidRDefault="006844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1E0" w:rsidRDefault="009231E0" w:rsidP="006844EC">
    <w:pPr>
      <w:pStyle w:val="Header"/>
      <w:rPr>
        <w:rFonts w:cs="Arial"/>
        <w:lang w:val="fr-CH"/>
      </w:rPr>
    </w:pPr>
    <w:r w:rsidRPr="004023B9">
      <w:rPr>
        <w:rFonts w:cs="Arial"/>
        <w:lang w:val="fr-CH"/>
      </w:rPr>
      <w:t>WG-HRV/2/5</w:t>
    </w:r>
  </w:p>
  <w:p w:rsidR="009231E0" w:rsidRDefault="009231E0" w:rsidP="006844EC">
    <w:pPr>
      <w:pStyle w:val="Header"/>
      <w:rPr>
        <w:lang w:val="fr-CH"/>
      </w:rPr>
    </w:pPr>
  </w:p>
  <w:p w:rsidR="009231E0" w:rsidRDefault="009231E0" w:rsidP="006844EC">
    <w:pPr>
      <w:pStyle w:val="Header"/>
      <w:rPr>
        <w:rFonts w:cs="Arial"/>
        <w:lang w:val="fr-CH"/>
      </w:rPr>
    </w:pPr>
    <w:r>
      <w:rPr>
        <w:lang w:val="fr-CH"/>
      </w:rPr>
      <w:t>NOTES DE FIN DE DOCUMENT</w:t>
    </w:r>
  </w:p>
  <w:p w:rsidR="009231E0" w:rsidRDefault="00923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83"/>
    <w:rsid w:val="00010CF3"/>
    <w:rsid w:val="00011E27"/>
    <w:rsid w:val="000148BC"/>
    <w:rsid w:val="00022A56"/>
    <w:rsid w:val="00024AB8"/>
    <w:rsid w:val="00027C29"/>
    <w:rsid w:val="00030854"/>
    <w:rsid w:val="00036028"/>
    <w:rsid w:val="00044642"/>
    <w:rsid w:val="000446B9"/>
    <w:rsid w:val="00047E21"/>
    <w:rsid w:val="00050E16"/>
    <w:rsid w:val="00074FDE"/>
    <w:rsid w:val="00085505"/>
    <w:rsid w:val="000C4E25"/>
    <w:rsid w:val="000C5E98"/>
    <w:rsid w:val="000C7021"/>
    <w:rsid w:val="000D6BBC"/>
    <w:rsid w:val="000D7780"/>
    <w:rsid w:val="000E636A"/>
    <w:rsid w:val="000F2F11"/>
    <w:rsid w:val="00105929"/>
    <w:rsid w:val="00110C36"/>
    <w:rsid w:val="001131D5"/>
    <w:rsid w:val="00134674"/>
    <w:rsid w:val="00141DB8"/>
    <w:rsid w:val="001509A4"/>
    <w:rsid w:val="00172084"/>
    <w:rsid w:val="0017474A"/>
    <w:rsid w:val="001758C6"/>
    <w:rsid w:val="00182B99"/>
    <w:rsid w:val="001C176C"/>
    <w:rsid w:val="001F3E61"/>
    <w:rsid w:val="0021332C"/>
    <w:rsid w:val="00213982"/>
    <w:rsid w:val="0021438C"/>
    <w:rsid w:val="0024416D"/>
    <w:rsid w:val="00271911"/>
    <w:rsid w:val="0027278C"/>
    <w:rsid w:val="00274CC7"/>
    <w:rsid w:val="002800A0"/>
    <w:rsid w:val="002801B3"/>
    <w:rsid w:val="00281060"/>
    <w:rsid w:val="002940E8"/>
    <w:rsid w:val="00294751"/>
    <w:rsid w:val="002A53EB"/>
    <w:rsid w:val="002A6E50"/>
    <w:rsid w:val="002B4298"/>
    <w:rsid w:val="002C256A"/>
    <w:rsid w:val="00305A7F"/>
    <w:rsid w:val="003152FE"/>
    <w:rsid w:val="00327436"/>
    <w:rsid w:val="00327BBA"/>
    <w:rsid w:val="00337C0A"/>
    <w:rsid w:val="00344BD6"/>
    <w:rsid w:val="0035084F"/>
    <w:rsid w:val="0035528D"/>
    <w:rsid w:val="00360FB2"/>
    <w:rsid w:val="00361821"/>
    <w:rsid w:val="00361E9E"/>
    <w:rsid w:val="003761E5"/>
    <w:rsid w:val="003A07D1"/>
    <w:rsid w:val="003C7FBE"/>
    <w:rsid w:val="003D227C"/>
    <w:rsid w:val="003D2B4D"/>
    <w:rsid w:val="0040557F"/>
    <w:rsid w:val="00444A88"/>
    <w:rsid w:val="00474DA4"/>
    <w:rsid w:val="00476B4D"/>
    <w:rsid w:val="004805FA"/>
    <w:rsid w:val="004935D2"/>
    <w:rsid w:val="004B1215"/>
    <w:rsid w:val="004C5AE3"/>
    <w:rsid w:val="004D047D"/>
    <w:rsid w:val="004F1E9E"/>
    <w:rsid w:val="004F305A"/>
    <w:rsid w:val="00512164"/>
    <w:rsid w:val="00520297"/>
    <w:rsid w:val="005338F9"/>
    <w:rsid w:val="0054281C"/>
    <w:rsid w:val="00544581"/>
    <w:rsid w:val="00545E42"/>
    <w:rsid w:val="0055268D"/>
    <w:rsid w:val="00573FC7"/>
    <w:rsid w:val="00576BE4"/>
    <w:rsid w:val="005A400A"/>
    <w:rsid w:val="005C152A"/>
    <w:rsid w:val="005D559C"/>
    <w:rsid w:val="005F7B92"/>
    <w:rsid w:val="00612379"/>
    <w:rsid w:val="006153B6"/>
    <w:rsid w:val="0061555F"/>
    <w:rsid w:val="00636CA6"/>
    <w:rsid w:val="00641200"/>
    <w:rsid w:val="00645CA8"/>
    <w:rsid w:val="006655D3"/>
    <w:rsid w:val="00667404"/>
    <w:rsid w:val="006844EC"/>
    <w:rsid w:val="00687EB4"/>
    <w:rsid w:val="00695C56"/>
    <w:rsid w:val="00697A83"/>
    <w:rsid w:val="006A5CDE"/>
    <w:rsid w:val="006A644A"/>
    <w:rsid w:val="006B17D2"/>
    <w:rsid w:val="006C224E"/>
    <w:rsid w:val="006D780A"/>
    <w:rsid w:val="006F2976"/>
    <w:rsid w:val="0071271E"/>
    <w:rsid w:val="00732DEC"/>
    <w:rsid w:val="00735BD5"/>
    <w:rsid w:val="00751613"/>
    <w:rsid w:val="007556F6"/>
    <w:rsid w:val="00760EEF"/>
    <w:rsid w:val="00777EE5"/>
    <w:rsid w:val="0078295F"/>
    <w:rsid w:val="00784621"/>
    <w:rsid w:val="00784836"/>
    <w:rsid w:val="00786BB5"/>
    <w:rsid w:val="0079023E"/>
    <w:rsid w:val="007A2854"/>
    <w:rsid w:val="007C1D92"/>
    <w:rsid w:val="007C4CB9"/>
    <w:rsid w:val="007D0B9D"/>
    <w:rsid w:val="007D19B0"/>
    <w:rsid w:val="007D6036"/>
    <w:rsid w:val="007E2FA3"/>
    <w:rsid w:val="007F498F"/>
    <w:rsid w:val="0080679D"/>
    <w:rsid w:val="008108B0"/>
    <w:rsid w:val="00811B20"/>
    <w:rsid w:val="008211B5"/>
    <w:rsid w:val="0082296E"/>
    <w:rsid w:val="00824099"/>
    <w:rsid w:val="00835370"/>
    <w:rsid w:val="00846D7C"/>
    <w:rsid w:val="008506B1"/>
    <w:rsid w:val="00854376"/>
    <w:rsid w:val="00864C55"/>
    <w:rsid w:val="00867AC1"/>
    <w:rsid w:val="008813E1"/>
    <w:rsid w:val="00890DF8"/>
    <w:rsid w:val="008A743F"/>
    <w:rsid w:val="008C0970"/>
    <w:rsid w:val="008D0BC5"/>
    <w:rsid w:val="008D2CF7"/>
    <w:rsid w:val="008E03F3"/>
    <w:rsid w:val="00900C26"/>
    <w:rsid w:val="0090197F"/>
    <w:rsid w:val="00903242"/>
    <w:rsid w:val="00906DDC"/>
    <w:rsid w:val="009231E0"/>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71548"/>
    <w:rsid w:val="00AB2B93"/>
    <w:rsid w:val="00AB530F"/>
    <w:rsid w:val="00AB7E5B"/>
    <w:rsid w:val="00AC2883"/>
    <w:rsid w:val="00AC6C72"/>
    <w:rsid w:val="00AE0B53"/>
    <w:rsid w:val="00AE0EF1"/>
    <w:rsid w:val="00AE2937"/>
    <w:rsid w:val="00AE4434"/>
    <w:rsid w:val="00B07301"/>
    <w:rsid w:val="00B11F3E"/>
    <w:rsid w:val="00B224DE"/>
    <w:rsid w:val="00B324D4"/>
    <w:rsid w:val="00B46575"/>
    <w:rsid w:val="00B61777"/>
    <w:rsid w:val="00B7317C"/>
    <w:rsid w:val="00B84BBD"/>
    <w:rsid w:val="00BA43FB"/>
    <w:rsid w:val="00BB06CA"/>
    <w:rsid w:val="00BC127D"/>
    <w:rsid w:val="00BC1FE6"/>
    <w:rsid w:val="00C061B6"/>
    <w:rsid w:val="00C2263D"/>
    <w:rsid w:val="00C2446C"/>
    <w:rsid w:val="00C36AE5"/>
    <w:rsid w:val="00C37A53"/>
    <w:rsid w:val="00C41F17"/>
    <w:rsid w:val="00C527FA"/>
    <w:rsid w:val="00C5280D"/>
    <w:rsid w:val="00C53EB3"/>
    <w:rsid w:val="00C5791C"/>
    <w:rsid w:val="00C66290"/>
    <w:rsid w:val="00C72B7A"/>
    <w:rsid w:val="00C973F2"/>
    <w:rsid w:val="00CA304C"/>
    <w:rsid w:val="00CA774A"/>
    <w:rsid w:val="00CB5D84"/>
    <w:rsid w:val="00CC11B0"/>
    <w:rsid w:val="00CC2841"/>
    <w:rsid w:val="00CC4510"/>
    <w:rsid w:val="00CC6311"/>
    <w:rsid w:val="00CD2CC0"/>
    <w:rsid w:val="00CF1330"/>
    <w:rsid w:val="00CF7E36"/>
    <w:rsid w:val="00D053D6"/>
    <w:rsid w:val="00D3708D"/>
    <w:rsid w:val="00D40426"/>
    <w:rsid w:val="00D42F65"/>
    <w:rsid w:val="00D56ED8"/>
    <w:rsid w:val="00D57C96"/>
    <w:rsid w:val="00D57D18"/>
    <w:rsid w:val="00D91203"/>
    <w:rsid w:val="00D94943"/>
    <w:rsid w:val="00D95174"/>
    <w:rsid w:val="00DA4973"/>
    <w:rsid w:val="00DA6F36"/>
    <w:rsid w:val="00DB596E"/>
    <w:rsid w:val="00DB7773"/>
    <w:rsid w:val="00DC00EA"/>
    <w:rsid w:val="00DC3802"/>
    <w:rsid w:val="00DF4ECE"/>
    <w:rsid w:val="00E07D87"/>
    <w:rsid w:val="00E16434"/>
    <w:rsid w:val="00E32F7E"/>
    <w:rsid w:val="00E5267B"/>
    <w:rsid w:val="00E63C0E"/>
    <w:rsid w:val="00E72D49"/>
    <w:rsid w:val="00E7593C"/>
    <w:rsid w:val="00E7678A"/>
    <w:rsid w:val="00E86C32"/>
    <w:rsid w:val="00E935F1"/>
    <w:rsid w:val="00E94A81"/>
    <w:rsid w:val="00EA0B04"/>
    <w:rsid w:val="00EA1FFB"/>
    <w:rsid w:val="00EB048E"/>
    <w:rsid w:val="00EB4E9C"/>
    <w:rsid w:val="00EC4D1F"/>
    <w:rsid w:val="00EE34DF"/>
    <w:rsid w:val="00EF2F89"/>
    <w:rsid w:val="00F03E98"/>
    <w:rsid w:val="00F1237A"/>
    <w:rsid w:val="00F138DD"/>
    <w:rsid w:val="00F22CBD"/>
    <w:rsid w:val="00F26F4B"/>
    <w:rsid w:val="00F272F1"/>
    <w:rsid w:val="00F45372"/>
    <w:rsid w:val="00F560F7"/>
    <w:rsid w:val="00F6334D"/>
    <w:rsid w:val="00FA49AB"/>
    <w:rsid w:val="00FA59D5"/>
    <w:rsid w:val="00FB106A"/>
    <w:rsid w:val="00FE12B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91BACA2"/>
  <w15:docId w15:val="{00A6F4D9-507C-4CE8-ABBC-2E346C7B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176C"/>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D42F65"/>
    <w:pPr>
      <w:keepNext/>
      <w:jc w:val="center"/>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A71548"/>
    <w:rPr>
      <w:rFonts w:ascii="Arial" w:hAnsi="Arial"/>
      <w:sz w:val="20"/>
      <w:lang w:val="fr-FR"/>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1C176C"/>
    <w:pPr>
      <w:tabs>
        <w:tab w:val="left" w:pos="5387"/>
        <w:tab w:val="left" w:pos="5954"/>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03242"/>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03242"/>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844EC"/>
    <w:pPr>
      <w:tabs>
        <w:tab w:val="right" w:leader="dot" w:pos="9639"/>
      </w:tabs>
      <w:spacing w:after="120"/>
      <w:ind w:right="851"/>
    </w:pPr>
    <w:rPr>
      <w:rFonts w:ascii="Arial" w:hAnsi="Arial"/>
      <w:smallCaps/>
    </w:rPr>
  </w:style>
  <w:style w:type="paragraph" w:styleId="TOC3">
    <w:name w:val="toc 3"/>
    <w:next w:val="Normal"/>
    <w:autoRedefine/>
    <w:rsid w:val="001C176C"/>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1C176C"/>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1C176C"/>
    <w:pPr>
      <w:tabs>
        <w:tab w:val="right" w:leader="dot" w:pos="9639"/>
      </w:tabs>
      <w:spacing w:after="120"/>
      <w:jc w:val="center"/>
    </w:pPr>
    <w:rPr>
      <w:rFonts w:ascii="Arial" w:hAnsi="Arial"/>
      <w:caps/>
    </w:rPr>
  </w:style>
  <w:style w:type="paragraph" w:styleId="TOC5">
    <w:name w:val="toc 5"/>
    <w:next w:val="Normal"/>
    <w:autoRedefine/>
    <w:rsid w:val="001C176C"/>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tyle1">
    <w:name w:val="Style1"/>
    <w:basedOn w:val="Normal"/>
    <w:rsid w:val="00C37A53"/>
    <w:pPr>
      <w:tabs>
        <w:tab w:val="decimal" w:pos="907"/>
        <w:tab w:val="left" w:pos="1077"/>
      </w:tabs>
    </w:pPr>
    <w:rPr>
      <w:szCs w:val="24"/>
      <w:lang w:val="en-US" w:eastAsia="ja-JP"/>
    </w:rPr>
  </w:style>
  <w:style w:type="table" w:styleId="TableGrid">
    <w:name w:val="Table Grid"/>
    <w:basedOn w:val="TableNormal"/>
    <w:rsid w:val="00C37A5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42F65"/>
    <w:rPr>
      <w:rFonts w:ascii="Arial" w:hAnsi="Arial"/>
      <w:u w:val="single"/>
    </w:rPr>
  </w:style>
  <w:style w:type="character" w:customStyle="1" w:styleId="FootnoteTextChar">
    <w:name w:val="Footnote Text Char"/>
    <w:basedOn w:val="DefaultParagraphFont"/>
    <w:link w:val="FootnoteText"/>
    <w:rsid w:val="00C37A53"/>
    <w:rPr>
      <w:rFonts w:ascii="Arial" w:hAnsi="Arial"/>
      <w:sz w:val="16"/>
      <w:lang w:val="fr-FR"/>
    </w:rPr>
  </w:style>
  <w:style w:type="paragraph" w:customStyle="1" w:styleId="a">
    <w:name w:val="a"/>
    <w:basedOn w:val="Normal"/>
    <w:rsid w:val="00C37A53"/>
    <w:pPr>
      <w:overflowPunct w:val="0"/>
      <w:autoSpaceDE w:val="0"/>
      <w:autoSpaceDN w:val="0"/>
      <w:adjustRightInd w:val="0"/>
      <w:jc w:val="center"/>
      <w:textAlignment w:val="baseline"/>
    </w:pPr>
    <w:rPr>
      <w:rFonts w:ascii="Times New Roman" w:hAnsi="Times New Roman"/>
      <w:b/>
      <w:sz w:val="24"/>
      <w:lang w:val="en-US"/>
    </w:rPr>
  </w:style>
  <w:style w:type="paragraph" w:customStyle="1" w:styleId="inf61normal">
    <w:name w:val="inf_6_1_normal"/>
    <w:basedOn w:val="Normal"/>
    <w:link w:val="inf61normalChar"/>
    <w:rsid w:val="00C37A53"/>
    <w:pPr>
      <w:tabs>
        <w:tab w:val="left" w:pos="426"/>
        <w:tab w:val="left" w:pos="992"/>
      </w:tabs>
    </w:pPr>
    <w:rPr>
      <w:rFonts w:ascii="Times New Roman" w:hAnsi="Times New Roman"/>
      <w:sz w:val="24"/>
      <w:lang w:val="en-US"/>
    </w:rPr>
  </w:style>
  <w:style w:type="paragraph" w:customStyle="1" w:styleId="Inf61normalBold">
    <w:name w:val="Inf_6_1_normal + Bold"/>
    <w:basedOn w:val="inf61normal"/>
    <w:link w:val="Inf61normalBoldChar"/>
    <w:rsid w:val="00C37A53"/>
    <w:rPr>
      <w:b/>
      <w:bCs/>
    </w:rPr>
  </w:style>
  <w:style w:type="character" w:customStyle="1" w:styleId="inf61normalChar">
    <w:name w:val="inf_6_1_normal Char"/>
    <w:basedOn w:val="DefaultParagraphFont"/>
    <w:link w:val="inf61normal"/>
    <w:rsid w:val="00C37A53"/>
    <w:rPr>
      <w:sz w:val="24"/>
    </w:rPr>
  </w:style>
  <w:style w:type="character" w:customStyle="1" w:styleId="Inf61normalBoldChar">
    <w:name w:val="Inf_6_1_normal + Bold Char"/>
    <w:basedOn w:val="inf61normalChar"/>
    <w:link w:val="Inf61normalBold"/>
    <w:rsid w:val="00C37A53"/>
    <w:rPr>
      <w:b/>
      <w:bCs/>
      <w:sz w:val="24"/>
    </w:rPr>
  </w:style>
  <w:style w:type="character" w:customStyle="1" w:styleId="EndnoteTextChar">
    <w:name w:val="Endnote Text Char"/>
    <w:basedOn w:val="DefaultParagraphFont"/>
    <w:link w:val="EndnoteText"/>
    <w:rsid w:val="00C37A53"/>
    <w:rPr>
      <w:rFonts w:ascii="Arial" w:hAnsi="Arial"/>
      <w:lang w:val="fr-FR"/>
    </w:rPr>
  </w:style>
  <w:style w:type="character" w:customStyle="1" w:styleId="HeaderChar">
    <w:name w:val="Header Char"/>
    <w:basedOn w:val="DefaultParagraphFont"/>
    <w:link w:val="Header"/>
    <w:rsid w:val="00C37A53"/>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F\Autotyping\Tools\Templates\UPOV\wg_hrv_1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BD12EA-57D2-4C1E-BCAA-5873E00B5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wg_hrv_1_FR.dotx</Template>
  <TotalTime>113</TotalTime>
  <Pages>10</Pages>
  <Words>3263</Words>
  <Characters>18338</Characters>
  <Application>Microsoft Office Word</Application>
  <DocSecurity>0</DocSecurity>
  <Lines>152</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WG-HRV/2/5</vt:lpstr>
      <vt:lpstr>WG-HRV/2/5</vt:lpstr>
    </vt:vector>
  </TitlesOfParts>
  <Company>UPOV</Company>
  <LinksUpToDate>false</LinksUpToDate>
  <CharactersWithSpaces>21558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WG-HRV/2/5</dc:title>
  <dc:creator>ROUABHI Naïma</dc:creator>
  <cp:lastModifiedBy>NICOLO Laurianne</cp:lastModifiedBy>
  <cp:revision>37</cp:revision>
  <cp:lastPrinted>2016-11-22T15:41:00Z</cp:lastPrinted>
  <dcterms:created xsi:type="dcterms:W3CDTF">2022-08-23T12:12:00Z</dcterms:created>
  <dcterms:modified xsi:type="dcterms:W3CDTF">2022-09-01T09:49:00Z</dcterms:modified>
</cp:coreProperties>
</file>