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0729E" w:rsidRPr="0060729E" w14:paraId="10DFF58E" w14:textId="77777777" w:rsidTr="00C07191">
        <w:tc>
          <w:tcPr>
            <w:tcW w:w="6522" w:type="dxa"/>
          </w:tcPr>
          <w:p w14:paraId="06BBCF10" w14:textId="77777777" w:rsidR="00F11199" w:rsidRPr="0060729E" w:rsidRDefault="00F11199" w:rsidP="00C07191">
            <w:bookmarkStart w:id="0" w:name="TitleOfDoc"/>
            <w:bookmarkEnd w:id="0"/>
            <w:r w:rsidRPr="0060729E">
              <w:rPr>
                <w:noProof/>
                <w:lang w:val="en-US"/>
              </w:rPr>
              <w:drawing>
                <wp:inline distT="0" distB="0" distL="0" distR="0" wp14:anchorId="71F0DCD6" wp14:editId="4054E58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E0354FA" w14:textId="77777777" w:rsidR="00F11199" w:rsidRPr="0060729E" w:rsidRDefault="00F11199" w:rsidP="00C07191">
            <w:pPr>
              <w:pStyle w:val="Lettrine"/>
            </w:pPr>
            <w:r w:rsidRPr="0060729E">
              <w:t>F</w:t>
            </w:r>
          </w:p>
        </w:tc>
      </w:tr>
      <w:tr w:rsidR="00F11199" w:rsidRPr="0060729E" w14:paraId="4065C7D9" w14:textId="77777777" w:rsidTr="00C07191">
        <w:trPr>
          <w:trHeight w:val="219"/>
        </w:trPr>
        <w:tc>
          <w:tcPr>
            <w:tcW w:w="6522" w:type="dxa"/>
          </w:tcPr>
          <w:p w14:paraId="7ADC1070" w14:textId="5A39D0F0" w:rsidR="00F11199" w:rsidRPr="0060729E" w:rsidRDefault="00F11199" w:rsidP="009565BD">
            <w:pPr>
              <w:pStyle w:val="upove"/>
            </w:pPr>
            <w:r w:rsidRPr="0060729E">
              <w:t>Union internationale pour la prot</w:t>
            </w:r>
            <w:r w:rsidR="009565BD">
              <w:t>ection des obtentions végétales</w:t>
            </w:r>
          </w:p>
        </w:tc>
        <w:tc>
          <w:tcPr>
            <w:tcW w:w="3117" w:type="dxa"/>
          </w:tcPr>
          <w:p w14:paraId="676FA04E" w14:textId="77777777" w:rsidR="00F11199" w:rsidRPr="0060729E" w:rsidRDefault="00F11199" w:rsidP="00C07191"/>
        </w:tc>
      </w:tr>
    </w:tbl>
    <w:p w14:paraId="1BB09ECF" w14:textId="77777777" w:rsidR="00F11199" w:rsidRPr="0060729E" w:rsidRDefault="00F11199" w:rsidP="00F11199"/>
    <w:p w14:paraId="61C92FE8" w14:textId="77777777" w:rsidR="00F11199" w:rsidRPr="0060729E" w:rsidRDefault="00F11199" w:rsidP="00F1119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0729E" w:rsidRPr="0060729E" w14:paraId="7569987B" w14:textId="77777777" w:rsidTr="00C07191">
        <w:tc>
          <w:tcPr>
            <w:tcW w:w="6512" w:type="dxa"/>
          </w:tcPr>
          <w:p w14:paraId="7E3FC6C5" w14:textId="77777777" w:rsidR="00F11199" w:rsidRPr="0060729E" w:rsidRDefault="00F11199" w:rsidP="00C07191">
            <w:pPr>
              <w:pStyle w:val="Sessiontc"/>
              <w:spacing w:line="240" w:lineRule="auto"/>
            </w:pPr>
            <w:r w:rsidRPr="0060729E">
              <w:rPr>
                <w:lang w:eastAsia="ja-JP"/>
              </w:rPr>
              <w:t>Groupe de travail sur un éventuel système international de coopération</w:t>
            </w:r>
          </w:p>
          <w:p w14:paraId="6FB97E8E" w14:textId="77777777" w:rsidR="00F11199" w:rsidRPr="0060729E" w:rsidRDefault="00F11199" w:rsidP="00C07191">
            <w:pPr>
              <w:pStyle w:val="Sessiontcplacedate"/>
              <w:rPr>
                <w:sz w:val="22"/>
              </w:rPr>
            </w:pPr>
            <w:r w:rsidRPr="0060729E">
              <w:t>Deuxième réunion</w:t>
            </w:r>
            <w:r w:rsidRPr="0060729E">
              <w:br/>
              <w:t>Genève, 5 avril 2017</w:t>
            </w:r>
          </w:p>
        </w:tc>
        <w:tc>
          <w:tcPr>
            <w:tcW w:w="3127" w:type="dxa"/>
          </w:tcPr>
          <w:p w14:paraId="3A390BB1" w14:textId="43C8D9F9" w:rsidR="00F11199" w:rsidRPr="0060729E" w:rsidRDefault="00F11199" w:rsidP="00545A4E">
            <w:pPr>
              <w:pStyle w:val="Doccode"/>
              <w:spacing w:before="20"/>
              <w:rPr>
                <w:lang w:val="fr-FR"/>
              </w:rPr>
            </w:pPr>
            <w:r w:rsidRPr="0060729E">
              <w:rPr>
                <w:lang w:val="fr-FR"/>
              </w:rPr>
              <w:t>UPOV/WG</w:t>
            </w:r>
            <w:r w:rsidR="00F53986" w:rsidRPr="0060729E">
              <w:rPr>
                <w:lang w:val="fr-FR"/>
              </w:rPr>
              <w:noBreakHyphen/>
            </w:r>
            <w:r w:rsidRPr="0060729E">
              <w:rPr>
                <w:lang w:val="fr-FR"/>
              </w:rPr>
              <w:t>ISC/2/2</w:t>
            </w:r>
          </w:p>
          <w:p w14:paraId="398253C0" w14:textId="77777777" w:rsidR="00F11199" w:rsidRPr="0060729E" w:rsidRDefault="00F11199" w:rsidP="00C07191">
            <w:pPr>
              <w:pStyle w:val="Doccode"/>
              <w:rPr>
                <w:lang w:val="fr-FR"/>
              </w:rPr>
            </w:pPr>
          </w:p>
          <w:p w14:paraId="57D3CD68" w14:textId="6B3A40D2" w:rsidR="00F11199" w:rsidRPr="00107557" w:rsidRDefault="00F11199" w:rsidP="00C07191">
            <w:pPr>
              <w:pStyle w:val="Docoriginal"/>
              <w:rPr>
                <w:b w:val="0"/>
                <w:spacing w:val="0"/>
              </w:rPr>
            </w:pPr>
            <w:r w:rsidRPr="00107557">
              <w:rPr>
                <w:spacing w:val="0"/>
              </w:rPr>
              <w:t>Original</w:t>
            </w:r>
            <w:r w:rsidR="001D6EDD" w:rsidRPr="00107557">
              <w:rPr>
                <w:spacing w:val="0"/>
              </w:rPr>
              <w:t> :</w:t>
            </w:r>
            <w:r w:rsidRPr="00107557">
              <w:rPr>
                <w:b w:val="0"/>
                <w:spacing w:val="0"/>
              </w:rPr>
              <w:t xml:space="preserve"> anglais</w:t>
            </w:r>
          </w:p>
          <w:p w14:paraId="737BF4C1" w14:textId="0A844B09" w:rsidR="00F11199" w:rsidRPr="0060729E" w:rsidRDefault="00F11199" w:rsidP="00347520">
            <w:pPr>
              <w:pStyle w:val="Docoriginal"/>
            </w:pPr>
            <w:r w:rsidRPr="00107557">
              <w:rPr>
                <w:spacing w:val="0"/>
              </w:rPr>
              <w:t>Date</w:t>
            </w:r>
            <w:r w:rsidR="001D6EDD" w:rsidRPr="00107557">
              <w:rPr>
                <w:spacing w:val="0"/>
              </w:rPr>
              <w:t> :</w:t>
            </w:r>
            <w:r w:rsidR="00347520">
              <w:rPr>
                <w:b w:val="0"/>
                <w:spacing w:val="0"/>
              </w:rPr>
              <w:t xml:space="preserve"> 6</w:t>
            </w:r>
            <w:r w:rsidRPr="00107557">
              <w:rPr>
                <w:b w:val="0"/>
                <w:spacing w:val="0"/>
              </w:rPr>
              <w:t> </w:t>
            </w:r>
            <w:r w:rsidR="00347520">
              <w:rPr>
                <w:b w:val="0"/>
                <w:spacing w:val="0"/>
              </w:rPr>
              <w:t>février</w:t>
            </w:r>
            <w:r w:rsidRPr="00107557">
              <w:rPr>
                <w:b w:val="0"/>
                <w:spacing w:val="0"/>
              </w:rPr>
              <w:t> 2017</w:t>
            </w:r>
          </w:p>
        </w:tc>
      </w:tr>
    </w:tbl>
    <w:p w14:paraId="6F0B9700" w14:textId="77777777" w:rsidR="00C5365E" w:rsidRPr="0060729E" w:rsidRDefault="00426166" w:rsidP="00426166">
      <w:pPr>
        <w:pStyle w:val="Titleofdoc0"/>
      </w:pPr>
      <w:r w:rsidRPr="0060729E">
        <w:t>Examen des questions relatives aux besoins des services de protection des obtentions végétales</w:t>
      </w:r>
    </w:p>
    <w:p w14:paraId="2AACBFA1" w14:textId="3C86C782" w:rsidR="00C5365E" w:rsidRPr="0060729E" w:rsidRDefault="00426166" w:rsidP="00426166">
      <w:pPr>
        <w:pStyle w:val="preparedby1"/>
        <w:jc w:val="left"/>
      </w:pPr>
      <w:bookmarkStart w:id="1" w:name="Prepared"/>
      <w:bookmarkEnd w:id="1"/>
      <w:r w:rsidRPr="0060729E">
        <w:t>Document établi par le Bureau de l</w:t>
      </w:r>
      <w:r w:rsidR="001D6EDD" w:rsidRPr="0060729E">
        <w:t>’</w:t>
      </w:r>
      <w:r w:rsidRPr="0060729E">
        <w:t>Union</w:t>
      </w:r>
    </w:p>
    <w:p w14:paraId="40405B3B" w14:textId="4085D0BB" w:rsidR="00C5365E" w:rsidRPr="0060729E" w:rsidRDefault="00426166" w:rsidP="00426166">
      <w:pPr>
        <w:pStyle w:val="Disclaimer"/>
        <w:rPr>
          <w:lang w:val="fr-FR"/>
        </w:rPr>
      </w:pPr>
      <w:r w:rsidRPr="0060729E">
        <w:rPr>
          <w:lang w:val="fr-FR"/>
        </w:rPr>
        <w:t>Avertissement</w:t>
      </w:r>
      <w:r w:rsidR="001D6EDD" w:rsidRPr="0060729E">
        <w:rPr>
          <w:lang w:val="fr-FR"/>
        </w:rPr>
        <w:t> :</w:t>
      </w:r>
      <w:r w:rsidRPr="0060729E">
        <w:rPr>
          <w:lang w:val="fr-FR"/>
        </w:rPr>
        <w:t xml:space="preserve"> le présent document ne représente pas les principes ou les orientations de l</w:t>
      </w:r>
      <w:r w:rsidR="001D6EDD" w:rsidRPr="0060729E">
        <w:rPr>
          <w:lang w:val="fr-FR"/>
        </w:rPr>
        <w:t>’</w:t>
      </w:r>
      <w:r w:rsidRPr="0060729E">
        <w:rPr>
          <w:lang w:val="fr-FR"/>
        </w:rPr>
        <w:t>UPOV</w:t>
      </w:r>
    </w:p>
    <w:p w14:paraId="7FF8B4CE" w14:textId="05B59DF5" w:rsidR="00C5365E" w:rsidRPr="0060729E" w:rsidRDefault="00223B79" w:rsidP="00223B79">
      <w:pPr>
        <w:rPr>
          <w:lang w:eastAsia="ja-JP"/>
        </w:rPr>
      </w:pPr>
      <w:r w:rsidRPr="0060729E">
        <w:rPr>
          <w:lang w:eastAsia="ja-JP"/>
        </w:rPr>
        <w:fldChar w:fldCharType="begin"/>
      </w:r>
      <w:r w:rsidRPr="0060729E">
        <w:rPr>
          <w:lang w:eastAsia="ja-JP"/>
        </w:rPr>
        <w:instrText xml:space="preserve"> AUTONUM  </w:instrText>
      </w:r>
      <w:r w:rsidRPr="0060729E">
        <w:rPr>
          <w:lang w:eastAsia="ja-JP"/>
        </w:rPr>
        <w:fldChar w:fldCharType="end"/>
      </w:r>
      <w:r w:rsidRPr="0060729E">
        <w:rPr>
          <w:lang w:eastAsia="ja-JP"/>
        </w:rPr>
        <w:tab/>
      </w:r>
      <w:r w:rsidR="006D6F2B" w:rsidRPr="0060729E">
        <w:rPr>
          <w:szCs w:val="24"/>
          <w:lang w:eastAsia="ja-JP"/>
        </w:rPr>
        <w:t xml:space="preserve">Le présent document a pour objet de fournir une analyse des questions figurant </w:t>
      </w:r>
      <w:r w:rsidR="00187253" w:rsidRPr="0060729E">
        <w:rPr>
          <w:szCs w:val="24"/>
          <w:lang w:eastAsia="ja-JP"/>
        </w:rPr>
        <w:t xml:space="preserve">au </w:t>
      </w:r>
      <w:r w:rsidR="001D6EDD" w:rsidRPr="0060729E">
        <w:rPr>
          <w:szCs w:val="24"/>
          <w:lang w:eastAsia="ja-JP"/>
        </w:rPr>
        <w:t>paragraphe 1</w:t>
      </w:r>
      <w:r w:rsidR="00187253" w:rsidRPr="0060729E">
        <w:rPr>
          <w:szCs w:val="24"/>
          <w:lang w:eastAsia="ja-JP"/>
        </w:rPr>
        <w:t xml:space="preserve">0 du </w:t>
      </w:r>
      <w:r w:rsidR="006D6F2B" w:rsidRPr="0060729E">
        <w:rPr>
          <w:szCs w:val="24"/>
          <w:lang w:eastAsia="ja-JP"/>
        </w:rPr>
        <w:t>document CC/</w:t>
      </w:r>
      <w:r w:rsidR="007A487E" w:rsidRPr="0060729E">
        <w:rPr>
          <w:szCs w:val="24"/>
          <w:lang w:eastAsia="ja-JP"/>
        </w:rPr>
        <w:t xml:space="preserve">92/10 </w:t>
      </w:r>
      <w:r w:rsidR="009F1C92" w:rsidRPr="0060729E">
        <w:rPr>
          <w:szCs w:val="24"/>
          <w:lang w:eastAsia="ja-JP"/>
        </w:rPr>
        <w:t>“</w:t>
      </w:r>
      <w:r w:rsidR="006D6F2B" w:rsidRPr="0060729E">
        <w:rPr>
          <w:szCs w:val="24"/>
          <w:lang w:eastAsia="ja-JP"/>
        </w:rPr>
        <w:t>Système international de coopération</w:t>
      </w:r>
      <w:r w:rsidR="009F1C92" w:rsidRPr="0060729E">
        <w:rPr>
          <w:szCs w:val="24"/>
          <w:lang w:eastAsia="ja-JP"/>
        </w:rPr>
        <w:t>”</w:t>
      </w:r>
      <w:r w:rsidR="006D6F2B" w:rsidRPr="0060729E">
        <w:rPr>
          <w:szCs w:val="24"/>
          <w:lang w:eastAsia="ja-JP"/>
        </w:rPr>
        <w:t xml:space="preserve"> relatives aux besoins des services de protection des obtentions végétales des membres de l</w:t>
      </w:r>
      <w:r w:rsidR="001D6EDD" w:rsidRPr="0060729E">
        <w:rPr>
          <w:szCs w:val="24"/>
          <w:lang w:eastAsia="ja-JP"/>
        </w:rPr>
        <w:t>’</w:t>
      </w:r>
      <w:r w:rsidR="006D6F2B" w:rsidRPr="0060729E">
        <w:rPr>
          <w:szCs w:val="24"/>
          <w:lang w:eastAsia="ja-JP"/>
        </w:rPr>
        <w:t xml:space="preserve">Union, </w:t>
      </w:r>
      <w:r w:rsidR="000D2259" w:rsidRPr="0060729E">
        <w:rPr>
          <w:szCs w:val="24"/>
          <w:lang w:eastAsia="ja-JP"/>
        </w:rPr>
        <w:t>t</w:t>
      </w:r>
      <w:r w:rsidR="002D73F4" w:rsidRPr="0060729E">
        <w:rPr>
          <w:szCs w:val="24"/>
          <w:lang w:eastAsia="ja-JP"/>
        </w:rPr>
        <w:t>el</w:t>
      </w:r>
      <w:r w:rsidR="000D2259" w:rsidRPr="0060729E">
        <w:rPr>
          <w:szCs w:val="24"/>
          <w:lang w:eastAsia="ja-JP"/>
        </w:rPr>
        <w:t>s qu</w:t>
      </w:r>
      <w:r w:rsidR="00774BA8">
        <w:rPr>
          <w:szCs w:val="24"/>
          <w:lang w:eastAsia="ja-JP"/>
        </w:rPr>
        <w:t>e recens</w:t>
      </w:r>
      <w:r w:rsidR="002D73F4" w:rsidRPr="0060729E">
        <w:rPr>
          <w:szCs w:val="24"/>
          <w:lang w:eastAsia="ja-JP"/>
        </w:rPr>
        <w:t>é</w:t>
      </w:r>
      <w:r w:rsidR="000D2259" w:rsidRPr="0060729E">
        <w:rPr>
          <w:szCs w:val="24"/>
          <w:lang w:eastAsia="ja-JP"/>
        </w:rPr>
        <w:t xml:space="preserve">s par le </w:t>
      </w:r>
      <w:r w:rsidR="006D6F2B" w:rsidRPr="0060729E">
        <w:rPr>
          <w:szCs w:val="24"/>
          <w:lang w:eastAsia="ja-JP"/>
        </w:rPr>
        <w:t xml:space="preserve">Groupe de travail sur un éventuel système international de coopération </w:t>
      </w:r>
      <w:r w:rsidR="00545A4E">
        <w:rPr>
          <w:szCs w:val="24"/>
          <w:lang w:eastAsia="ja-JP"/>
        </w:rPr>
        <w:t>(WG-ISC)</w:t>
      </w:r>
      <w:r w:rsidR="006D6F2B" w:rsidRPr="0060729E">
        <w:rPr>
          <w:szCs w:val="24"/>
          <w:lang w:eastAsia="ja-JP"/>
        </w:rPr>
        <w:t xml:space="preserve"> </w:t>
      </w:r>
      <w:r w:rsidR="000D2259" w:rsidRPr="0060729E">
        <w:rPr>
          <w:szCs w:val="24"/>
          <w:lang w:eastAsia="ja-JP"/>
        </w:rPr>
        <w:t xml:space="preserve">lors de </w:t>
      </w:r>
      <w:r w:rsidR="006D6F2B" w:rsidRPr="0060729E">
        <w:rPr>
          <w:szCs w:val="24"/>
          <w:lang w:eastAsia="ja-JP"/>
        </w:rPr>
        <w:t>sa première réunion</w:t>
      </w:r>
      <w:r w:rsidR="000D2259" w:rsidRPr="0060729E">
        <w:rPr>
          <w:szCs w:val="24"/>
          <w:lang w:eastAsia="ja-JP"/>
        </w:rPr>
        <w:t xml:space="preserve"> qui s</w:t>
      </w:r>
      <w:r w:rsidR="001D6EDD" w:rsidRPr="0060729E">
        <w:rPr>
          <w:szCs w:val="24"/>
          <w:lang w:eastAsia="ja-JP"/>
        </w:rPr>
        <w:t>’</w:t>
      </w:r>
      <w:r w:rsidR="000D2259" w:rsidRPr="0060729E">
        <w:rPr>
          <w:szCs w:val="24"/>
          <w:lang w:eastAsia="ja-JP"/>
        </w:rPr>
        <w:t>est</w:t>
      </w:r>
      <w:r w:rsidR="006D6F2B" w:rsidRPr="0060729E">
        <w:rPr>
          <w:szCs w:val="24"/>
          <w:lang w:eastAsia="ja-JP"/>
        </w:rPr>
        <w:t xml:space="preserve"> tenue à Genève le 2</w:t>
      </w:r>
      <w:r w:rsidR="001D6EDD" w:rsidRPr="0060729E">
        <w:rPr>
          <w:szCs w:val="24"/>
          <w:lang w:eastAsia="ja-JP"/>
        </w:rPr>
        <w:t>7 octobre 20</w:t>
      </w:r>
      <w:r w:rsidR="006D6F2B" w:rsidRPr="0060729E">
        <w:rPr>
          <w:szCs w:val="24"/>
          <w:lang w:eastAsia="ja-JP"/>
        </w:rPr>
        <w:t>16.</w:t>
      </w:r>
    </w:p>
    <w:p w14:paraId="033D42E4" w14:textId="77777777" w:rsidR="00C5365E" w:rsidRPr="0060729E" w:rsidRDefault="00C5365E" w:rsidP="00087C5E">
      <w:pPr>
        <w:rPr>
          <w:lang w:eastAsia="ja-JP"/>
        </w:rPr>
      </w:pPr>
    </w:p>
    <w:p w14:paraId="75589DD0" w14:textId="77777777" w:rsidR="00C5365E" w:rsidRDefault="00C5365E" w:rsidP="00087C5E">
      <w:pPr>
        <w:rPr>
          <w:lang w:eastAsia="ja-JP"/>
        </w:rPr>
      </w:pPr>
    </w:p>
    <w:p w14:paraId="7B56836C" w14:textId="77777777" w:rsidR="00545A4E" w:rsidRPr="0060729E" w:rsidRDefault="00545A4E" w:rsidP="00087C5E">
      <w:pPr>
        <w:rPr>
          <w:lang w:eastAsia="ja-JP"/>
        </w:rPr>
      </w:pPr>
    </w:p>
    <w:p w14:paraId="63AB3B48" w14:textId="77777777" w:rsidR="00C5365E" w:rsidRPr="0060729E" w:rsidRDefault="00426166" w:rsidP="006853D1">
      <w:pPr>
        <w:pStyle w:val="Heading1"/>
        <w:rPr>
          <w:color w:val="auto"/>
          <w:lang w:val="fr-FR"/>
        </w:rPr>
      </w:pPr>
      <w:r w:rsidRPr="0060729E">
        <w:rPr>
          <w:color w:val="auto"/>
          <w:lang w:val="fr-FR"/>
        </w:rPr>
        <w:t>INTRODUCTION</w:t>
      </w:r>
    </w:p>
    <w:p w14:paraId="3B0E29C6" w14:textId="77777777" w:rsidR="00C5365E" w:rsidRPr="0060729E" w:rsidRDefault="00C5365E" w:rsidP="00223B79">
      <w:pPr>
        <w:autoSpaceDE w:val="0"/>
        <w:autoSpaceDN w:val="0"/>
        <w:adjustRightInd w:val="0"/>
        <w:rPr>
          <w:szCs w:val="24"/>
          <w:lang w:eastAsia="ja-JP"/>
        </w:rPr>
      </w:pPr>
    </w:p>
    <w:p w14:paraId="29656AFF" w14:textId="042514CF" w:rsidR="00C5365E" w:rsidRPr="0060729E" w:rsidRDefault="00223B79" w:rsidP="00223B79">
      <w:pPr>
        <w:autoSpaceDE w:val="0"/>
        <w:autoSpaceDN w:val="0"/>
        <w:adjustRightInd w:val="0"/>
        <w:rPr>
          <w:szCs w:val="24"/>
          <w:lang w:eastAsia="ja-JP"/>
        </w:rPr>
      </w:pPr>
      <w:r w:rsidRPr="0060729E">
        <w:rPr>
          <w:szCs w:val="24"/>
          <w:lang w:eastAsia="ja-JP"/>
        </w:rPr>
        <w:fldChar w:fldCharType="begin"/>
      </w:r>
      <w:r w:rsidRPr="0060729E">
        <w:rPr>
          <w:szCs w:val="24"/>
          <w:lang w:eastAsia="ja-JP"/>
        </w:rPr>
        <w:instrText xml:space="preserve"> AUTONUM  </w:instrText>
      </w:r>
      <w:r w:rsidRPr="0060729E">
        <w:rPr>
          <w:szCs w:val="24"/>
          <w:lang w:eastAsia="ja-JP"/>
        </w:rPr>
        <w:fldChar w:fldCharType="end"/>
      </w:r>
      <w:r w:rsidRPr="0060729E">
        <w:rPr>
          <w:szCs w:val="24"/>
          <w:lang w:eastAsia="ja-JP"/>
        </w:rPr>
        <w:tab/>
      </w:r>
      <w:r w:rsidR="003A4095" w:rsidRPr="0060729E">
        <w:rPr>
          <w:szCs w:val="24"/>
          <w:lang w:eastAsia="ja-JP"/>
        </w:rPr>
        <w:t>Lors de sa première réunion à Genève le 2</w:t>
      </w:r>
      <w:r w:rsidR="001D6EDD" w:rsidRPr="0060729E">
        <w:rPr>
          <w:szCs w:val="24"/>
          <w:lang w:eastAsia="ja-JP"/>
        </w:rPr>
        <w:t>7 octobre 20</w:t>
      </w:r>
      <w:r w:rsidR="003A4095" w:rsidRPr="0060729E">
        <w:rPr>
          <w:szCs w:val="24"/>
          <w:lang w:eastAsia="ja-JP"/>
        </w:rPr>
        <w:t xml:space="preserve">16, le Groupe de travail sur un éventuel système international de coopération </w:t>
      </w:r>
      <w:r w:rsidR="00545A4E">
        <w:rPr>
          <w:szCs w:val="24"/>
          <w:lang w:eastAsia="ja-JP"/>
        </w:rPr>
        <w:t>(WG-ISC)</w:t>
      </w:r>
      <w:r w:rsidR="003A4095" w:rsidRPr="0060729E">
        <w:rPr>
          <w:szCs w:val="24"/>
          <w:lang w:eastAsia="ja-JP"/>
        </w:rPr>
        <w:t xml:space="preserve"> </w:t>
      </w:r>
      <w:r w:rsidR="00A10DDA" w:rsidRPr="0060729E">
        <w:rPr>
          <w:szCs w:val="24"/>
          <w:lang w:eastAsia="ja-JP"/>
        </w:rPr>
        <w:t xml:space="preserve">est </w:t>
      </w:r>
      <w:r w:rsidR="003A4095" w:rsidRPr="0060729E">
        <w:rPr>
          <w:szCs w:val="24"/>
          <w:lang w:eastAsia="ja-JP"/>
        </w:rPr>
        <w:t>convenu qu</w:t>
      </w:r>
      <w:r w:rsidR="001D6EDD" w:rsidRPr="0060729E">
        <w:rPr>
          <w:szCs w:val="24"/>
          <w:lang w:eastAsia="ja-JP"/>
        </w:rPr>
        <w:t>’</w:t>
      </w:r>
      <w:r w:rsidR="006816E1" w:rsidRPr="0060729E">
        <w:rPr>
          <w:szCs w:val="24"/>
          <w:lang w:eastAsia="ja-JP"/>
        </w:rPr>
        <w:t>il d</w:t>
      </w:r>
      <w:r w:rsidR="003A4095" w:rsidRPr="0060729E">
        <w:rPr>
          <w:szCs w:val="24"/>
          <w:lang w:eastAsia="ja-JP"/>
        </w:rPr>
        <w:t>evrait d</w:t>
      </w:r>
      <w:r w:rsidR="001D6EDD" w:rsidRPr="0060729E">
        <w:rPr>
          <w:szCs w:val="24"/>
          <w:lang w:eastAsia="ja-JP"/>
        </w:rPr>
        <w:t>’</w:t>
      </w:r>
      <w:r w:rsidR="003A4095" w:rsidRPr="0060729E">
        <w:rPr>
          <w:szCs w:val="24"/>
          <w:lang w:eastAsia="ja-JP"/>
        </w:rPr>
        <w:t xml:space="preserve">abord </w:t>
      </w:r>
      <w:r w:rsidR="00774BA8">
        <w:rPr>
          <w:szCs w:val="24"/>
          <w:lang w:eastAsia="ja-JP"/>
        </w:rPr>
        <w:t xml:space="preserve">recenser </w:t>
      </w:r>
      <w:r w:rsidR="003A4095" w:rsidRPr="0060729E">
        <w:rPr>
          <w:szCs w:val="24"/>
          <w:lang w:eastAsia="ja-JP"/>
        </w:rPr>
        <w:t xml:space="preserve">les besoins des </w:t>
      </w:r>
      <w:r w:rsidR="004D66C8" w:rsidRPr="0060729E">
        <w:rPr>
          <w:szCs w:val="24"/>
          <w:lang w:eastAsia="ja-JP"/>
        </w:rPr>
        <w:t>services de protection</w:t>
      </w:r>
      <w:r w:rsidR="00644DF6" w:rsidRPr="0060729E">
        <w:rPr>
          <w:szCs w:val="24"/>
          <w:lang w:eastAsia="ja-JP"/>
        </w:rPr>
        <w:t xml:space="preserve"> des obtentions végétales d</w:t>
      </w:r>
      <w:r w:rsidR="003A4095" w:rsidRPr="0060729E">
        <w:rPr>
          <w:szCs w:val="24"/>
          <w:lang w:eastAsia="ja-JP"/>
        </w:rPr>
        <w:t>es membres de</w:t>
      </w:r>
      <w:r w:rsidR="00644DF6" w:rsidRPr="0060729E">
        <w:rPr>
          <w:szCs w:val="24"/>
          <w:lang w:eastAsia="ja-JP"/>
        </w:rPr>
        <w:t xml:space="preserve"> l</w:t>
      </w:r>
      <w:r w:rsidR="001D6EDD" w:rsidRPr="0060729E">
        <w:rPr>
          <w:szCs w:val="24"/>
          <w:lang w:eastAsia="ja-JP"/>
        </w:rPr>
        <w:t>’</w:t>
      </w:r>
      <w:r w:rsidR="00644DF6" w:rsidRPr="0060729E">
        <w:rPr>
          <w:szCs w:val="24"/>
          <w:lang w:eastAsia="ja-JP"/>
        </w:rPr>
        <w:t>Union (voir le document UPOV/WG</w:t>
      </w:r>
      <w:r w:rsidR="00F53986" w:rsidRPr="0060729E">
        <w:rPr>
          <w:szCs w:val="24"/>
          <w:lang w:eastAsia="ja-JP"/>
        </w:rPr>
        <w:noBreakHyphen/>
      </w:r>
      <w:r w:rsidR="00644DF6" w:rsidRPr="0060729E">
        <w:rPr>
          <w:szCs w:val="24"/>
          <w:lang w:eastAsia="ja-JP"/>
        </w:rPr>
        <w:t>ISC/</w:t>
      </w:r>
      <w:r w:rsidR="00545A4E">
        <w:rPr>
          <w:szCs w:val="24"/>
          <w:lang w:eastAsia="ja-JP"/>
        </w:rPr>
        <w:t>1/2</w:t>
      </w:r>
      <w:r w:rsidR="007A487E" w:rsidRPr="0060729E">
        <w:rPr>
          <w:szCs w:val="24"/>
          <w:lang w:eastAsia="ja-JP"/>
        </w:rPr>
        <w:t xml:space="preserve"> </w:t>
      </w:r>
      <w:r w:rsidR="009F1C92" w:rsidRPr="0060729E">
        <w:rPr>
          <w:szCs w:val="24"/>
          <w:lang w:eastAsia="ja-JP"/>
        </w:rPr>
        <w:t>“</w:t>
      </w:r>
      <w:r w:rsidR="007A487E" w:rsidRPr="00545A4E">
        <w:rPr>
          <w:i/>
          <w:szCs w:val="24"/>
          <w:lang w:eastAsia="ja-JP"/>
        </w:rPr>
        <w:t>R</w:t>
      </w:r>
      <w:r w:rsidR="00545A4E" w:rsidRPr="00545A4E">
        <w:rPr>
          <w:i/>
          <w:szCs w:val="24"/>
          <w:lang w:eastAsia="ja-JP"/>
        </w:rPr>
        <w:t>epor</w:t>
      </w:r>
      <w:r w:rsidR="007A487E" w:rsidRPr="00545A4E">
        <w:rPr>
          <w:i/>
          <w:szCs w:val="24"/>
          <w:lang w:eastAsia="ja-JP"/>
        </w:rPr>
        <w:t>t</w:t>
      </w:r>
      <w:r w:rsidR="009F1C92" w:rsidRPr="0060729E">
        <w:rPr>
          <w:szCs w:val="24"/>
          <w:lang w:eastAsia="ja-JP"/>
        </w:rPr>
        <w:t>”</w:t>
      </w:r>
      <w:r w:rsidR="003A4095" w:rsidRPr="0060729E">
        <w:rPr>
          <w:szCs w:val="24"/>
          <w:lang w:eastAsia="ja-JP"/>
        </w:rPr>
        <w:t xml:space="preserve">, </w:t>
      </w:r>
      <w:r w:rsidR="001D6EDD" w:rsidRPr="0060729E">
        <w:rPr>
          <w:szCs w:val="24"/>
          <w:lang w:eastAsia="ja-JP"/>
        </w:rPr>
        <w:t>paragraphe 1</w:t>
      </w:r>
      <w:r w:rsidR="003A4095" w:rsidRPr="0060729E">
        <w:rPr>
          <w:szCs w:val="24"/>
          <w:lang w:eastAsia="ja-JP"/>
        </w:rPr>
        <w:t>0)</w:t>
      </w:r>
      <w:r w:rsidR="004D66C8" w:rsidRPr="0060729E">
        <w:rPr>
          <w:szCs w:val="24"/>
          <w:lang w:eastAsia="ja-JP"/>
        </w:rPr>
        <w:t>.</w:t>
      </w:r>
    </w:p>
    <w:p w14:paraId="32C678DA" w14:textId="77777777" w:rsidR="00C5365E" w:rsidRPr="0060729E" w:rsidRDefault="00C5365E" w:rsidP="00050E16">
      <w:pPr>
        <w:rPr>
          <w:snapToGrid w:val="0"/>
        </w:rPr>
      </w:pPr>
    </w:p>
    <w:p w14:paraId="0317103A" w14:textId="60D6FBA3" w:rsidR="00C5365E" w:rsidRPr="0060729E" w:rsidRDefault="00223B79" w:rsidP="00223B79">
      <w:r w:rsidRPr="0060729E">
        <w:fldChar w:fldCharType="begin"/>
      </w:r>
      <w:r w:rsidRPr="0060729E">
        <w:instrText xml:space="preserve"> AUTONUM  </w:instrText>
      </w:r>
      <w:r w:rsidRPr="0060729E">
        <w:fldChar w:fldCharType="end"/>
      </w:r>
      <w:r w:rsidRPr="0060729E">
        <w:tab/>
      </w:r>
      <w:r w:rsidR="00187253" w:rsidRPr="0060729E">
        <w:t xml:space="preserve">Le </w:t>
      </w:r>
      <w:r w:rsidR="00545A4E">
        <w:t>WG-ISC</w:t>
      </w:r>
      <w:r w:rsidR="00187253" w:rsidRPr="0060729E">
        <w:t xml:space="preserve"> </w:t>
      </w:r>
      <w:r w:rsidR="00A10DDA" w:rsidRPr="0060729E">
        <w:t xml:space="preserve">est convenu </w:t>
      </w:r>
      <w:r w:rsidR="00187253" w:rsidRPr="0060729E">
        <w:t>qu</w:t>
      </w:r>
      <w:r w:rsidR="001D6EDD" w:rsidRPr="0060729E">
        <w:t>’</w:t>
      </w:r>
      <w:r w:rsidR="00187253" w:rsidRPr="0060729E">
        <w:t xml:space="preserve">après avoir </w:t>
      </w:r>
      <w:r w:rsidR="00774BA8">
        <w:t xml:space="preserve">recensé </w:t>
      </w:r>
      <w:r w:rsidR="00187253" w:rsidRPr="0060729E">
        <w:t>les besoins des services de protection des obtentions végétales, la prochaine étape consisterait à examiner les questions</w:t>
      </w:r>
      <w:r w:rsidR="00572B29" w:rsidRPr="0060729E">
        <w:t>, relatives à ces besoins,</w:t>
      </w:r>
      <w:r w:rsidR="00187253" w:rsidRPr="0060729E">
        <w:t xml:space="preserve"> figurant au </w:t>
      </w:r>
      <w:r w:rsidR="001D6EDD" w:rsidRPr="0060729E">
        <w:t>paragraphe 1</w:t>
      </w:r>
      <w:r w:rsidR="00187253" w:rsidRPr="0060729E">
        <w:t>0 du document CC/</w:t>
      </w:r>
      <w:r w:rsidR="00572B29" w:rsidRPr="0060729E">
        <w:t>92/10</w:t>
      </w:r>
      <w:r w:rsidR="00187253" w:rsidRPr="0060729E">
        <w:t xml:space="preserve">. </w:t>
      </w:r>
      <w:r w:rsidR="009F1C92" w:rsidRPr="0060729E">
        <w:t xml:space="preserve"> </w:t>
      </w:r>
      <w:r w:rsidR="00187253" w:rsidRPr="0060729E">
        <w:t xml:space="preserve">Le document devrait </w:t>
      </w:r>
      <w:r w:rsidR="00B42248" w:rsidRPr="0060729E">
        <w:t xml:space="preserve">présenter les besoins </w:t>
      </w:r>
      <w:r w:rsidR="00C71621" w:rsidRPr="0060729E">
        <w:t>spécifiques</w:t>
      </w:r>
      <w:r w:rsidR="002D73F4" w:rsidRPr="0060729E">
        <w:t>,</w:t>
      </w:r>
      <w:r w:rsidR="00B42248" w:rsidRPr="0060729E">
        <w:t xml:space="preserve"> </w:t>
      </w:r>
      <w:r w:rsidR="002B276B" w:rsidRPr="0060729E">
        <w:t xml:space="preserve">répertorier </w:t>
      </w:r>
      <w:r w:rsidR="00B42248" w:rsidRPr="0060729E">
        <w:t xml:space="preserve">les questions y relatives </w:t>
      </w:r>
      <w:r w:rsidR="00545A4E" w:rsidRPr="0060729E">
        <w:rPr>
          <w:szCs w:val="24"/>
          <w:lang w:eastAsia="ja-JP"/>
        </w:rPr>
        <w:t>(voir le document UPOV/WG</w:t>
      </w:r>
      <w:r w:rsidR="00545A4E" w:rsidRPr="0060729E">
        <w:rPr>
          <w:szCs w:val="24"/>
          <w:lang w:eastAsia="ja-JP"/>
        </w:rPr>
        <w:noBreakHyphen/>
        <w:t>ISC/</w:t>
      </w:r>
      <w:r w:rsidR="00545A4E">
        <w:rPr>
          <w:szCs w:val="24"/>
          <w:lang w:eastAsia="ja-JP"/>
        </w:rPr>
        <w:t>1/2</w:t>
      </w:r>
      <w:r w:rsidR="00545A4E" w:rsidRPr="0060729E">
        <w:rPr>
          <w:szCs w:val="24"/>
          <w:lang w:eastAsia="ja-JP"/>
        </w:rPr>
        <w:t xml:space="preserve"> “</w:t>
      </w:r>
      <w:r w:rsidR="00545A4E" w:rsidRPr="00545A4E">
        <w:rPr>
          <w:i/>
          <w:szCs w:val="24"/>
          <w:lang w:eastAsia="ja-JP"/>
        </w:rPr>
        <w:t>Report</w:t>
      </w:r>
      <w:r w:rsidR="00545A4E" w:rsidRPr="0060729E">
        <w:rPr>
          <w:szCs w:val="24"/>
          <w:lang w:eastAsia="ja-JP"/>
        </w:rPr>
        <w:t>”, paragraphe </w:t>
      </w:r>
      <w:r w:rsidR="00545A4E">
        <w:rPr>
          <w:szCs w:val="24"/>
          <w:lang w:eastAsia="ja-JP"/>
        </w:rPr>
        <w:t>27</w:t>
      </w:r>
      <w:r w:rsidR="00545A4E" w:rsidRPr="0060729E">
        <w:rPr>
          <w:szCs w:val="24"/>
          <w:lang w:eastAsia="ja-JP"/>
        </w:rPr>
        <w:t>)</w:t>
      </w:r>
      <w:r w:rsidR="00B42248" w:rsidRPr="0060729E">
        <w:t xml:space="preserve"> </w:t>
      </w:r>
      <w:r w:rsidR="00B44B12" w:rsidRPr="0060729E">
        <w:t xml:space="preserve">et </w:t>
      </w:r>
      <w:r w:rsidR="002D73F4" w:rsidRPr="0060729E">
        <w:t xml:space="preserve">être structuré </w:t>
      </w:r>
      <w:r w:rsidR="00572B29" w:rsidRPr="0060729E">
        <w:t>comme suit</w:t>
      </w:r>
      <w:r w:rsidR="001D6EDD" w:rsidRPr="0060729E">
        <w:t> :</w:t>
      </w:r>
    </w:p>
    <w:p w14:paraId="26D62A0F" w14:textId="77777777" w:rsidR="00C5365E" w:rsidRPr="0060729E" w:rsidRDefault="00C5365E" w:rsidP="00223B79"/>
    <w:p w14:paraId="011842A5" w14:textId="77777777" w:rsidR="00C5365E" w:rsidRPr="0060729E" w:rsidRDefault="00426166" w:rsidP="00545A4E">
      <w:pPr>
        <w:pStyle w:val="ListParagraph"/>
        <w:numPr>
          <w:ilvl w:val="0"/>
          <w:numId w:val="32"/>
        </w:numPr>
      </w:pPr>
      <w:r w:rsidRPr="0060729E">
        <w:t>Examen DHS</w:t>
      </w:r>
    </w:p>
    <w:p w14:paraId="1AC1591C" w14:textId="77777777" w:rsidR="00C5365E" w:rsidRPr="0060729E" w:rsidRDefault="00426166" w:rsidP="00545A4E">
      <w:pPr>
        <w:pStyle w:val="ListParagraph"/>
        <w:numPr>
          <w:ilvl w:val="0"/>
          <w:numId w:val="32"/>
        </w:numPr>
      </w:pPr>
      <w:r w:rsidRPr="0060729E">
        <w:t>Nouveauté</w:t>
      </w:r>
    </w:p>
    <w:p w14:paraId="06843E40" w14:textId="77777777" w:rsidR="00C5365E" w:rsidRPr="0060729E" w:rsidRDefault="00426166" w:rsidP="00545A4E">
      <w:pPr>
        <w:pStyle w:val="ListParagraph"/>
        <w:numPr>
          <w:ilvl w:val="0"/>
          <w:numId w:val="32"/>
        </w:numPr>
      </w:pPr>
      <w:r w:rsidRPr="0060729E">
        <w:t>Priorité</w:t>
      </w:r>
    </w:p>
    <w:p w14:paraId="1A54C946" w14:textId="77777777" w:rsidR="00C5365E" w:rsidRPr="0060729E" w:rsidRDefault="00426166" w:rsidP="00545A4E">
      <w:pPr>
        <w:pStyle w:val="ListParagraph"/>
        <w:numPr>
          <w:ilvl w:val="0"/>
          <w:numId w:val="32"/>
        </w:numPr>
      </w:pPr>
      <w:r w:rsidRPr="0060729E">
        <w:t>Dénomination</w:t>
      </w:r>
    </w:p>
    <w:p w14:paraId="41BA3E1C" w14:textId="77777777" w:rsidR="00C5365E" w:rsidRPr="0060729E" w:rsidRDefault="00792E36" w:rsidP="00545A4E">
      <w:pPr>
        <w:pStyle w:val="ListParagraph"/>
        <w:numPr>
          <w:ilvl w:val="0"/>
          <w:numId w:val="32"/>
        </w:numPr>
      </w:pPr>
      <w:r w:rsidRPr="0060729E">
        <w:t>Coopération</w:t>
      </w:r>
      <w:r w:rsidR="00223B79" w:rsidRPr="0060729E">
        <w:t xml:space="preserve"> </w:t>
      </w:r>
      <w:r w:rsidRPr="0060729E">
        <w:t>sur les questions administratives</w:t>
      </w:r>
    </w:p>
    <w:p w14:paraId="20ED98CB" w14:textId="2209DC57" w:rsidR="00C5365E" w:rsidRPr="0060729E" w:rsidRDefault="00426166" w:rsidP="00545A4E">
      <w:pPr>
        <w:pStyle w:val="ListParagraph"/>
        <w:numPr>
          <w:ilvl w:val="0"/>
          <w:numId w:val="32"/>
        </w:numPr>
      </w:pPr>
      <w:r w:rsidRPr="0060729E">
        <w:t>Facilitation du dépôt des demandes</w:t>
      </w:r>
      <w:r w:rsidR="00B5171B">
        <w:t>.</w:t>
      </w:r>
    </w:p>
    <w:p w14:paraId="560B7305" w14:textId="77777777" w:rsidR="00C5365E" w:rsidRPr="0060729E" w:rsidRDefault="00C5365E" w:rsidP="00223B79"/>
    <w:p w14:paraId="70F9B606" w14:textId="5069C3A9" w:rsidR="00530A4D" w:rsidRPr="0060729E" w:rsidRDefault="0061117E" w:rsidP="003D6F8C">
      <w:r w:rsidRPr="0060729E">
        <w:fldChar w:fldCharType="begin"/>
      </w:r>
      <w:r w:rsidRPr="0060729E">
        <w:instrText xml:space="preserve"> AUTONUM  </w:instrText>
      </w:r>
      <w:r w:rsidRPr="0060729E">
        <w:fldChar w:fldCharType="end"/>
      </w:r>
      <w:r w:rsidRPr="0060729E">
        <w:tab/>
      </w:r>
      <w:r w:rsidR="00E11DD7" w:rsidRPr="0060729E">
        <w:t xml:space="preserve">Le </w:t>
      </w:r>
      <w:r w:rsidR="00545A4E">
        <w:t>WG-ISC</w:t>
      </w:r>
      <w:r w:rsidR="003B5377" w:rsidRPr="0060729E">
        <w:t xml:space="preserve"> </w:t>
      </w:r>
      <w:r w:rsidR="00E11DD7" w:rsidRPr="0060729E">
        <w:t>a fait observer qu</w:t>
      </w:r>
      <w:r w:rsidR="001D6EDD" w:rsidRPr="0060729E">
        <w:t>’</w:t>
      </w:r>
      <w:r w:rsidR="00E11DD7" w:rsidRPr="0060729E">
        <w:t xml:space="preserve">un certain nombre de questions figurant au </w:t>
      </w:r>
      <w:r w:rsidR="001D6EDD" w:rsidRPr="0060729E">
        <w:t>paragraphe 1</w:t>
      </w:r>
      <w:r w:rsidR="00E11DD7" w:rsidRPr="0060729E">
        <w:t>0 du document CC/</w:t>
      </w:r>
      <w:r w:rsidR="00530A4D" w:rsidRPr="0060729E">
        <w:t>92/10</w:t>
      </w:r>
      <w:r w:rsidR="00E11DD7" w:rsidRPr="0060729E">
        <w:t xml:space="preserve"> étaient déjà </w:t>
      </w:r>
      <w:r w:rsidR="009E7913" w:rsidRPr="0060729E">
        <w:t>abordées</w:t>
      </w:r>
      <w:r w:rsidR="0066644E" w:rsidRPr="0060729E">
        <w:t xml:space="preserve"> dans le mandat du</w:t>
      </w:r>
      <w:r w:rsidR="003B5377" w:rsidRPr="0060729E">
        <w:t xml:space="preserve"> </w:t>
      </w:r>
      <w:r w:rsidR="00545A4E">
        <w:t>WG-ISC</w:t>
      </w:r>
      <w:r w:rsidR="008D5691" w:rsidRPr="0060729E">
        <w:t xml:space="preserve">. </w:t>
      </w:r>
      <w:r w:rsidR="009F1C92" w:rsidRPr="0060729E">
        <w:t xml:space="preserve"> </w:t>
      </w:r>
      <w:r w:rsidR="008D5691" w:rsidRPr="0060729E">
        <w:t xml:space="preserve">Ainsi, </w:t>
      </w:r>
      <w:r w:rsidR="003D6F8C" w:rsidRPr="0060729E">
        <w:t>la Q</w:t>
      </w:r>
      <w:r w:rsidR="00E11DD7" w:rsidRPr="0060729E">
        <w:t xml:space="preserve">uestion </w:t>
      </w:r>
      <w:r w:rsidR="00B44CAF" w:rsidRPr="0060729E">
        <w:t>n°</w:t>
      </w:r>
      <w:r w:rsidR="009F1C92" w:rsidRPr="0060729E">
        <w:t> </w:t>
      </w:r>
      <w:r w:rsidR="00E11DD7" w:rsidRPr="0060729E">
        <w:t>1</w:t>
      </w:r>
      <w:r w:rsidR="00B5171B">
        <w:t>)</w:t>
      </w:r>
      <w:r w:rsidR="00E11DD7" w:rsidRPr="0060729E">
        <w:t>a)</w:t>
      </w:r>
      <w:r w:rsidR="00B44CAF" w:rsidRPr="0060729E">
        <w:t xml:space="preserve"> </w:t>
      </w:r>
      <w:r w:rsidR="009F1C92" w:rsidRPr="0060729E">
        <w:t>“</w:t>
      </w:r>
      <w:r w:rsidR="00B44CAF" w:rsidRPr="0060729E">
        <w:t>P</w:t>
      </w:r>
      <w:r w:rsidR="009E7913" w:rsidRPr="0060729E">
        <w:t>réciser que le système in</w:t>
      </w:r>
      <w:r w:rsidR="002B4104" w:rsidRPr="0060729E">
        <w:t>ternational de coopération</w:t>
      </w:r>
      <w:r w:rsidR="009E7913" w:rsidRPr="0060729E">
        <w:t xml:space="preserve"> n</w:t>
      </w:r>
      <w:r w:rsidR="001D6EDD" w:rsidRPr="0060729E">
        <w:t>’</w:t>
      </w:r>
      <w:r w:rsidR="009E7913" w:rsidRPr="0060729E">
        <w:t>entamerait pas la responsabilité des membres de l</w:t>
      </w:r>
      <w:r w:rsidR="001D6EDD" w:rsidRPr="0060729E">
        <w:t>’</w:t>
      </w:r>
      <w:r w:rsidR="009E7913" w:rsidRPr="0060729E">
        <w:t>Union quant à l</w:t>
      </w:r>
      <w:r w:rsidR="001D6EDD" w:rsidRPr="0060729E">
        <w:t>’</w:t>
      </w:r>
      <w:r w:rsidR="009E7913" w:rsidRPr="0060729E">
        <w:t>octroi et à la protection des droits d</w:t>
      </w:r>
      <w:r w:rsidR="001D6EDD" w:rsidRPr="0060729E">
        <w:t>’</w:t>
      </w:r>
      <w:r w:rsidR="009E7913" w:rsidRPr="0060729E">
        <w:t>obtenteur</w:t>
      </w:r>
      <w:r w:rsidR="00E523D6" w:rsidRPr="0060729E">
        <w:t xml:space="preserve">” </w:t>
      </w:r>
      <w:r w:rsidR="00E11DD7" w:rsidRPr="0060729E">
        <w:t>a</w:t>
      </w:r>
      <w:r w:rsidR="003D6F8C" w:rsidRPr="0060729E">
        <w:t>vait</w:t>
      </w:r>
      <w:r w:rsidR="00E11DD7" w:rsidRPr="0060729E">
        <w:t xml:space="preserve"> </w:t>
      </w:r>
      <w:r w:rsidR="00E11C44" w:rsidRPr="0060729E">
        <w:t>fait l</w:t>
      </w:r>
      <w:r w:rsidR="001D6EDD" w:rsidRPr="0060729E">
        <w:t>’</w:t>
      </w:r>
      <w:r w:rsidR="00E11C44" w:rsidRPr="0060729E">
        <w:t>objet du</w:t>
      </w:r>
      <w:r w:rsidR="008D5691" w:rsidRPr="0060729E">
        <w:t>dit</w:t>
      </w:r>
      <w:r w:rsidR="00E11C44" w:rsidRPr="0060729E">
        <w:t xml:space="preserve"> </w:t>
      </w:r>
      <w:r w:rsidR="008D5691" w:rsidRPr="0060729E">
        <w:t>mandat</w:t>
      </w:r>
      <w:r w:rsidR="00E11DD7" w:rsidRPr="0060729E">
        <w:t>, Obje</w:t>
      </w:r>
      <w:r w:rsidR="00E11C44" w:rsidRPr="0060729E">
        <w:t>ctif</w:t>
      </w:r>
      <w:r w:rsidR="000F34CD" w:rsidRPr="0060729E">
        <w:t> </w:t>
      </w:r>
      <w:r w:rsidR="00E11DD7" w:rsidRPr="0060729E">
        <w:t>1.</w:t>
      </w:r>
      <w:r w:rsidR="00E11C44" w:rsidRPr="0060729E">
        <w:t xml:space="preserve"> </w:t>
      </w:r>
      <w:r w:rsidR="009F1C92" w:rsidRPr="0060729E">
        <w:t xml:space="preserve"> “</w:t>
      </w:r>
      <w:r w:rsidR="003D6F8C" w:rsidRPr="0060729E">
        <w:t>Élaborer des propositions, pour examen par le Comité consultatif, concernant un éventuel système international de coopération qui</w:t>
      </w:r>
      <w:r w:rsidR="00E523D6" w:rsidRPr="0060729E">
        <w:t xml:space="preserve"> </w:t>
      </w:r>
      <w:r w:rsidR="003D6F8C" w:rsidRPr="0060729E">
        <w:t>a) n</w:t>
      </w:r>
      <w:r w:rsidR="001D6EDD" w:rsidRPr="0060729E">
        <w:t>’</w:t>
      </w:r>
      <w:r w:rsidR="003D6F8C" w:rsidRPr="0060729E">
        <w:t>entamerait pas la responsabilité des membres de l</w:t>
      </w:r>
      <w:r w:rsidR="001D6EDD" w:rsidRPr="0060729E">
        <w:t>’</w:t>
      </w:r>
      <w:r w:rsidR="003D6F8C" w:rsidRPr="0060729E">
        <w:t>Union quant à l</w:t>
      </w:r>
      <w:r w:rsidR="001D6EDD" w:rsidRPr="0060729E">
        <w:t>’</w:t>
      </w:r>
      <w:r w:rsidR="003D6F8C" w:rsidRPr="0060729E">
        <w:t>octroi et à la protection des droits d</w:t>
      </w:r>
      <w:r w:rsidR="001D6EDD" w:rsidRPr="0060729E">
        <w:t>’</w:t>
      </w:r>
      <w:r w:rsidR="003D6F8C" w:rsidRPr="0060729E">
        <w:t>obtenteur, ou d</w:t>
      </w:r>
      <w:r w:rsidR="001D6EDD" w:rsidRPr="0060729E">
        <w:t>’</w:t>
      </w:r>
      <w:r w:rsidR="003D6F8C" w:rsidRPr="0060729E">
        <w:t>autres obligations internationales</w:t>
      </w:r>
      <w:r w:rsidR="009F1C92" w:rsidRPr="0060729E">
        <w:t xml:space="preserve">;  </w:t>
      </w:r>
      <w:r w:rsidR="003D6F8C" w:rsidRPr="0060729E">
        <w:t>[…]</w:t>
      </w:r>
      <w:r w:rsidR="009F1C92" w:rsidRPr="0060729E">
        <w:t xml:space="preserve">”. </w:t>
      </w:r>
      <w:r w:rsidR="007A487E" w:rsidRPr="0060729E">
        <w:t xml:space="preserve"> Sur cette base, le </w:t>
      </w:r>
      <w:r w:rsidR="00545A4E">
        <w:t>WG-ISC</w:t>
      </w:r>
      <w:r w:rsidR="003B5377" w:rsidRPr="0060729E">
        <w:t xml:space="preserve"> </w:t>
      </w:r>
      <w:r w:rsidR="007A487E" w:rsidRPr="0060729E">
        <w:t xml:space="preserve">est convenu que le document ne devrait pas inclure les questions qui ont été expressément abordées dans le mandat du </w:t>
      </w:r>
      <w:r w:rsidR="00545A4E">
        <w:t>WG-ISC</w:t>
      </w:r>
      <w:r w:rsidR="007A487E" w:rsidRPr="0060729E">
        <w:t xml:space="preserve">. </w:t>
      </w:r>
      <w:r w:rsidR="009F1C92" w:rsidRPr="0060729E">
        <w:t xml:space="preserve"> </w:t>
      </w:r>
      <w:r w:rsidR="007A487E" w:rsidRPr="0060729E">
        <w:t>À des fins de transparence, il a été convenu que les questions qui avaient été omises seraient consign</w:t>
      </w:r>
      <w:r w:rsidR="00545A4E">
        <w:t>ées dans une annexe du document</w:t>
      </w:r>
      <w:r w:rsidR="00545A4E" w:rsidRPr="0060729E">
        <w:rPr>
          <w:szCs w:val="24"/>
          <w:lang w:eastAsia="ja-JP"/>
        </w:rPr>
        <w:t xml:space="preserve"> (voir le document UPOV/WG</w:t>
      </w:r>
      <w:r w:rsidR="00545A4E" w:rsidRPr="0060729E">
        <w:rPr>
          <w:szCs w:val="24"/>
          <w:lang w:eastAsia="ja-JP"/>
        </w:rPr>
        <w:noBreakHyphen/>
        <w:t>ISC/</w:t>
      </w:r>
      <w:r w:rsidR="00545A4E">
        <w:rPr>
          <w:szCs w:val="24"/>
          <w:lang w:eastAsia="ja-JP"/>
        </w:rPr>
        <w:t>1/2</w:t>
      </w:r>
      <w:r w:rsidR="00545A4E" w:rsidRPr="0060729E">
        <w:rPr>
          <w:szCs w:val="24"/>
          <w:lang w:eastAsia="ja-JP"/>
        </w:rPr>
        <w:t xml:space="preserve"> “</w:t>
      </w:r>
      <w:r w:rsidR="00545A4E" w:rsidRPr="00545A4E">
        <w:rPr>
          <w:i/>
          <w:szCs w:val="24"/>
          <w:lang w:eastAsia="ja-JP"/>
        </w:rPr>
        <w:t>Report</w:t>
      </w:r>
      <w:r w:rsidR="00545A4E" w:rsidRPr="0060729E">
        <w:rPr>
          <w:szCs w:val="24"/>
          <w:lang w:eastAsia="ja-JP"/>
        </w:rPr>
        <w:t>”, paragraphe </w:t>
      </w:r>
      <w:r w:rsidR="00545A4E">
        <w:rPr>
          <w:szCs w:val="24"/>
          <w:lang w:eastAsia="ja-JP"/>
        </w:rPr>
        <w:t>28</w:t>
      </w:r>
      <w:r w:rsidR="00545A4E" w:rsidRPr="0060729E">
        <w:rPr>
          <w:szCs w:val="24"/>
          <w:lang w:eastAsia="ja-JP"/>
        </w:rPr>
        <w:t>).</w:t>
      </w:r>
    </w:p>
    <w:p w14:paraId="66669121" w14:textId="77777777" w:rsidR="00C5365E" w:rsidRPr="0060729E" w:rsidRDefault="00C5365E" w:rsidP="00223B79"/>
    <w:p w14:paraId="06B976BF" w14:textId="77777777" w:rsidR="00F53986" w:rsidRPr="0060729E" w:rsidRDefault="00F53986" w:rsidP="00223B79"/>
    <w:p w14:paraId="07DA8711" w14:textId="77777777" w:rsidR="00C5365E" w:rsidRPr="0060729E" w:rsidRDefault="00426166" w:rsidP="006853D1">
      <w:pPr>
        <w:pStyle w:val="Heading1"/>
        <w:rPr>
          <w:color w:val="auto"/>
          <w:lang w:val="fr-FR"/>
        </w:rPr>
      </w:pPr>
      <w:r w:rsidRPr="0060729E">
        <w:rPr>
          <w:color w:val="auto"/>
          <w:lang w:val="fr-FR"/>
        </w:rPr>
        <w:lastRenderedPageBreak/>
        <w:t>Examen des questions relatives aux besoins des services de protection des obtentions végétales</w:t>
      </w:r>
    </w:p>
    <w:p w14:paraId="657C561D" w14:textId="77777777" w:rsidR="00C5365E" w:rsidRPr="0060729E" w:rsidRDefault="00C5365E" w:rsidP="001E4148">
      <w:pPr>
        <w:keepNext/>
      </w:pPr>
    </w:p>
    <w:p w14:paraId="6E00868D" w14:textId="6BF04585" w:rsidR="00C5365E" w:rsidRPr="0060729E" w:rsidRDefault="0061117E" w:rsidP="001E4148">
      <w:pPr>
        <w:keepNext/>
      </w:pPr>
      <w:r w:rsidRPr="0060729E">
        <w:fldChar w:fldCharType="begin"/>
      </w:r>
      <w:r w:rsidRPr="0060729E">
        <w:instrText xml:space="preserve"> AUTONUM  </w:instrText>
      </w:r>
      <w:r w:rsidRPr="0060729E">
        <w:fldChar w:fldCharType="end"/>
      </w:r>
      <w:r w:rsidRPr="0060729E">
        <w:tab/>
      </w:r>
      <w:r w:rsidR="00275A31" w:rsidRPr="0060729E">
        <w:t>L</w:t>
      </w:r>
      <w:r w:rsidR="001D6EDD" w:rsidRPr="0060729E">
        <w:t>’annexe I</w:t>
      </w:r>
      <w:r w:rsidR="00275A31" w:rsidRPr="0060729E">
        <w:t xml:space="preserve"> du présent document propose une liste de questions qui pourraient être considérées comme pertinentes pour les besoins des services de protection des obtentions végétales</w:t>
      </w:r>
      <w:r w:rsidR="00107557">
        <w:t>,</w:t>
      </w:r>
      <w:r w:rsidR="00275A31" w:rsidRPr="0060729E">
        <w:t xml:space="preserve"> t</w:t>
      </w:r>
      <w:r w:rsidR="000677D7" w:rsidRPr="0060729E">
        <w:t>el</w:t>
      </w:r>
      <w:r w:rsidR="00275A31" w:rsidRPr="0060729E">
        <w:t>s qu</w:t>
      </w:r>
      <w:r w:rsidR="00774BA8">
        <w:t>e recensés</w:t>
      </w:r>
      <w:r w:rsidR="00275A31" w:rsidRPr="0060729E">
        <w:t xml:space="preserve"> lors de la première réunion du</w:t>
      </w:r>
      <w:r w:rsidR="003B5377" w:rsidRPr="0060729E">
        <w:t xml:space="preserve"> </w:t>
      </w:r>
      <w:r w:rsidR="00545A4E">
        <w:t>WG-ISC</w:t>
      </w:r>
      <w:r w:rsidR="00572B29" w:rsidRPr="0060729E">
        <w:t>,</w:t>
      </w:r>
      <w:r w:rsidR="00275A31" w:rsidRPr="0060729E">
        <w:t xml:space="preserve"> </w:t>
      </w:r>
      <w:r w:rsidR="00A27C53" w:rsidRPr="0060729E">
        <w:t xml:space="preserve">et </w:t>
      </w:r>
      <w:r w:rsidR="000677D7" w:rsidRPr="0060729E">
        <w:t xml:space="preserve">structurée </w:t>
      </w:r>
      <w:r w:rsidR="00A27C53" w:rsidRPr="0060729E">
        <w:t>comme suit</w:t>
      </w:r>
      <w:r w:rsidR="001D6EDD" w:rsidRPr="0060729E">
        <w:t> :</w:t>
      </w:r>
    </w:p>
    <w:p w14:paraId="2536BE45" w14:textId="77777777" w:rsidR="00C5365E" w:rsidRPr="0060729E" w:rsidRDefault="00C5365E" w:rsidP="001E4148">
      <w:pPr>
        <w:keepNext/>
      </w:pPr>
    </w:p>
    <w:p w14:paraId="518D76DF" w14:textId="77777777" w:rsidR="00F53986" w:rsidRPr="0060729E" w:rsidRDefault="00F53986" w:rsidP="00545A4E">
      <w:pPr>
        <w:pStyle w:val="ListParagraph"/>
        <w:numPr>
          <w:ilvl w:val="0"/>
          <w:numId w:val="33"/>
        </w:numPr>
      </w:pPr>
      <w:r w:rsidRPr="0060729E">
        <w:t>Examen DHS</w:t>
      </w:r>
    </w:p>
    <w:p w14:paraId="3B1634FC" w14:textId="77777777" w:rsidR="00F53986" w:rsidRPr="0060729E" w:rsidRDefault="00F53986" w:rsidP="00545A4E">
      <w:pPr>
        <w:pStyle w:val="ListParagraph"/>
        <w:numPr>
          <w:ilvl w:val="0"/>
          <w:numId w:val="33"/>
        </w:numPr>
      </w:pPr>
      <w:r w:rsidRPr="0060729E">
        <w:t>Nouveauté</w:t>
      </w:r>
    </w:p>
    <w:p w14:paraId="5DFB7792" w14:textId="77777777" w:rsidR="00F53986" w:rsidRPr="0060729E" w:rsidRDefault="00F53986" w:rsidP="00545A4E">
      <w:pPr>
        <w:pStyle w:val="ListParagraph"/>
        <w:numPr>
          <w:ilvl w:val="0"/>
          <w:numId w:val="33"/>
        </w:numPr>
      </w:pPr>
      <w:r w:rsidRPr="0060729E">
        <w:t>Priorité</w:t>
      </w:r>
    </w:p>
    <w:p w14:paraId="1326F595" w14:textId="77777777" w:rsidR="00F53986" w:rsidRPr="0060729E" w:rsidRDefault="00F53986" w:rsidP="00545A4E">
      <w:pPr>
        <w:pStyle w:val="ListParagraph"/>
        <w:numPr>
          <w:ilvl w:val="0"/>
          <w:numId w:val="33"/>
        </w:numPr>
      </w:pPr>
      <w:r w:rsidRPr="0060729E">
        <w:t>Dénomination</w:t>
      </w:r>
    </w:p>
    <w:p w14:paraId="58A80AED" w14:textId="77777777" w:rsidR="00F53986" w:rsidRPr="0060729E" w:rsidRDefault="00F53986" w:rsidP="00545A4E">
      <w:pPr>
        <w:pStyle w:val="ListParagraph"/>
        <w:numPr>
          <w:ilvl w:val="0"/>
          <w:numId w:val="33"/>
        </w:numPr>
      </w:pPr>
      <w:r w:rsidRPr="0060729E">
        <w:t>Coopération sur les questions administratives</w:t>
      </w:r>
    </w:p>
    <w:p w14:paraId="41B80FF9" w14:textId="047D1C4D" w:rsidR="00F53986" w:rsidRPr="0060729E" w:rsidRDefault="00F53986" w:rsidP="00545A4E">
      <w:pPr>
        <w:pStyle w:val="ListParagraph"/>
        <w:numPr>
          <w:ilvl w:val="0"/>
          <w:numId w:val="33"/>
        </w:numPr>
      </w:pPr>
      <w:r w:rsidRPr="0060729E">
        <w:t>Facilitation du dépôt des demandes</w:t>
      </w:r>
      <w:r w:rsidR="00B5171B">
        <w:t>.</w:t>
      </w:r>
    </w:p>
    <w:p w14:paraId="4E15A544" w14:textId="77777777" w:rsidR="00C5365E" w:rsidRPr="0060729E" w:rsidRDefault="00C5365E" w:rsidP="00223B79"/>
    <w:p w14:paraId="2F71FA32" w14:textId="7D2CFE67" w:rsidR="00C5365E" w:rsidRPr="0060729E" w:rsidRDefault="00892C3B" w:rsidP="00223B79">
      <w:r w:rsidRPr="0060729E">
        <w:fldChar w:fldCharType="begin"/>
      </w:r>
      <w:r w:rsidRPr="0060729E">
        <w:instrText xml:space="preserve"> AUTONUM  </w:instrText>
      </w:r>
      <w:r w:rsidRPr="0060729E">
        <w:fldChar w:fldCharType="end"/>
      </w:r>
      <w:r w:rsidRPr="0060729E">
        <w:tab/>
      </w:r>
      <w:r w:rsidR="00BE0F6F" w:rsidRPr="0060729E">
        <w:t>L</w:t>
      </w:r>
      <w:r w:rsidR="001D6EDD" w:rsidRPr="0060729E">
        <w:t>’annexe I</w:t>
      </w:r>
      <w:r w:rsidR="00BE0F6F" w:rsidRPr="0060729E">
        <w:t xml:space="preserve">I du présent document </w:t>
      </w:r>
      <w:r w:rsidR="003C5471" w:rsidRPr="0060729E">
        <w:t>présente</w:t>
      </w:r>
      <w:r w:rsidR="00BE0F6F" w:rsidRPr="0060729E">
        <w:t xml:space="preserve"> un examen de toutes les questions figurant dans le document CC/92/10 relatives </w:t>
      </w:r>
      <w:r w:rsidR="00C57AF3" w:rsidRPr="0060729E">
        <w:t xml:space="preserve">au mandat </w:t>
      </w:r>
      <w:r w:rsidR="00BE0F6F" w:rsidRPr="0060729E">
        <w:t xml:space="preserve">du </w:t>
      </w:r>
      <w:r w:rsidR="00545A4E">
        <w:t>WG-ISC</w:t>
      </w:r>
      <w:r w:rsidR="00BE0F6F" w:rsidRPr="0060729E">
        <w:t xml:space="preserve"> et </w:t>
      </w:r>
      <w:r w:rsidR="00C57AF3" w:rsidRPr="0060729E">
        <w:t>aux</w:t>
      </w:r>
      <w:r w:rsidR="00BE0F6F" w:rsidRPr="0060729E">
        <w:t xml:space="preserve"> besoins des </w:t>
      </w:r>
      <w:r w:rsidR="00C57AF3" w:rsidRPr="0060729E">
        <w:t>services de protection des obtentions végétales</w:t>
      </w:r>
      <w:r w:rsidR="003C5471" w:rsidRPr="0060729E">
        <w:t>,</w:t>
      </w:r>
      <w:r w:rsidR="00C57AF3" w:rsidRPr="0060729E">
        <w:t xml:space="preserve"> </w:t>
      </w:r>
      <w:r w:rsidR="00BE0F6F" w:rsidRPr="0060729E">
        <w:t xml:space="preserve">tels </w:t>
      </w:r>
      <w:r w:rsidR="00774BA8" w:rsidRPr="0060729E">
        <w:t>qu</w:t>
      </w:r>
      <w:r w:rsidR="00774BA8">
        <w:t>e recensés</w:t>
      </w:r>
      <w:r w:rsidR="00774BA8" w:rsidRPr="0060729E">
        <w:t xml:space="preserve"> </w:t>
      </w:r>
      <w:r w:rsidR="00BE0F6F" w:rsidRPr="0060729E">
        <w:t>lor</w:t>
      </w:r>
      <w:r w:rsidR="00005D45" w:rsidRPr="0060729E">
        <w:t xml:space="preserve">s de la première réunion du </w:t>
      </w:r>
      <w:r w:rsidR="00545A4E">
        <w:t>WG-ISC</w:t>
      </w:r>
      <w:r w:rsidR="00BE0F6F" w:rsidRPr="0060729E">
        <w:t xml:space="preserve">. </w:t>
      </w:r>
      <w:r w:rsidR="009F1C92" w:rsidRPr="0060729E">
        <w:t xml:space="preserve"> </w:t>
      </w:r>
      <w:r w:rsidR="00107557">
        <w:t xml:space="preserve">Le </w:t>
      </w:r>
      <w:r w:rsidR="001B28D9" w:rsidRPr="0060729E">
        <w:t xml:space="preserve">mandat </w:t>
      </w:r>
      <w:r w:rsidR="00BE0F6F" w:rsidRPr="0060729E">
        <w:t xml:space="preserve">du </w:t>
      </w:r>
      <w:r w:rsidR="00545A4E">
        <w:t>WG-ISC</w:t>
      </w:r>
      <w:r w:rsidR="003B5377" w:rsidRPr="0060729E">
        <w:t xml:space="preserve"> </w:t>
      </w:r>
      <w:r w:rsidR="00107557">
        <w:t xml:space="preserve">est reproduit </w:t>
      </w:r>
      <w:r w:rsidR="00BE0F6F" w:rsidRPr="0060729E">
        <w:t>à l</w:t>
      </w:r>
      <w:r w:rsidR="001D6EDD" w:rsidRPr="0060729E">
        <w:t>’annexe I</w:t>
      </w:r>
      <w:r w:rsidR="00BE0F6F" w:rsidRPr="0060729E">
        <w:t>II du présent document</w:t>
      </w:r>
      <w:r w:rsidR="001B28D9" w:rsidRPr="0060729E">
        <w:t>.</w:t>
      </w:r>
    </w:p>
    <w:p w14:paraId="4298177F" w14:textId="77777777" w:rsidR="00C5365E" w:rsidRPr="0060729E" w:rsidRDefault="00C5365E" w:rsidP="00050E16"/>
    <w:p w14:paraId="5AD10D8E" w14:textId="4228B984" w:rsidR="001D6EDD" w:rsidRPr="0060729E" w:rsidRDefault="00DB380A" w:rsidP="001E4148">
      <w:pPr>
        <w:tabs>
          <w:tab w:val="left" w:pos="5387"/>
          <w:tab w:val="left" w:pos="5954"/>
        </w:tabs>
        <w:ind w:left="4820"/>
        <w:rPr>
          <w:i/>
        </w:rPr>
      </w:pPr>
      <w:r w:rsidRPr="0060729E">
        <w:rPr>
          <w:i/>
        </w:rPr>
        <w:fldChar w:fldCharType="begin"/>
      </w:r>
      <w:r w:rsidRPr="0060729E">
        <w:rPr>
          <w:i/>
        </w:rPr>
        <w:instrText xml:space="preserve"> AUTONUM  </w:instrText>
      </w:r>
      <w:r w:rsidRPr="0060729E">
        <w:rPr>
          <w:i/>
        </w:rPr>
        <w:fldChar w:fldCharType="end"/>
      </w:r>
      <w:r w:rsidRPr="0060729E">
        <w:rPr>
          <w:i/>
        </w:rPr>
        <w:tab/>
      </w:r>
      <w:r w:rsidR="00591AFB" w:rsidRPr="0060729E">
        <w:rPr>
          <w:i/>
        </w:rPr>
        <w:t xml:space="preserve">Le </w:t>
      </w:r>
      <w:r w:rsidR="00545A4E">
        <w:rPr>
          <w:i/>
        </w:rPr>
        <w:t>WG-ISC</w:t>
      </w:r>
      <w:r w:rsidR="00591AFB" w:rsidRPr="0060729E">
        <w:rPr>
          <w:i/>
        </w:rPr>
        <w:t xml:space="preserve"> pourrait souhaiter examiner l</w:t>
      </w:r>
      <w:r w:rsidR="001D6EDD" w:rsidRPr="0060729E">
        <w:rPr>
          <w:i/>
        </w:rPr>
        <w:t>’</w:t>
      </w:r>
      <w:r w:rsidR="00591AFB" w:rsidRPr="0060729E">
        <w:rPr>
          <w:i/>
        </w:rPr>
        <w:t>approche suivante lors de sa deuxième réunion</w:t>
      </w:r>
      <w:r w:rsidR="00774BA8">
        <w:rPr>
          <w:i/>
        </w:rPr>
        <w:t> :</w:t>
      </w:r>
    </w:p>
    <w:p w14:paraId="6C1F19AA" w14:textId="5029488C" w:rsidR="00C5365E" w:rsidRPr="0060729E" w:rsidRDefault="00C5365E" w:rsidP="001E4148">
      <w:pPr>
        <w:tabs>
          <w:tab w:val="left" w:pos="5387"/>
          <w:tab w:val="left" w:pos="5954"/>
        </w:tabs>
        <w:ind w:left="4820"/>
        <w:rPr>
          <w:i/>
        </w:rPr>
      </w:pPr>
    </w:p>
    <w:p w14:paraId="0028738A" w14:textId="2457C7E3" w:rsidR="00C5365E" w:rsidRPr="0060729E" w:rsidRDefault="00774BA8" w:rsidP="001E4148">
      <w:pPr>
        <w:pStyle w:val="ListParagraph"/>
        <w:numPr>
          <w:ilvl w:val="0"/>
          <w:numId w:val="5"/>
        </w:numPr>
        <w:tabs>
          <w:tab w:val="left" w:pos="5387"/>
          <w:tab w:val="left" w:pos="5954"/>
        </w:tabs>
        <w:ind w:left="4820" w:firstLine="567"/>
        <w:rPr>
          <w:i/>
        </w:rPr>
      </w:pPr>
      <w:r w:rsidRPr="0060729E">
        <w:rPr>
          <w:i/>
        </w:rPr>
        <w:t xml:space="preserve">examiner </w:t>
      </w:r>
      <w:r w:rsidR="0091255F" w:rsidRPr="0060729E">
        <w:rPr>
          <w:i/>
        </w:rPr>
        <w:t xml:space="preserve">si les questions </w:t>
      </w:r>
      <w:r w:rsidR="003C5471" w:rsidRPr="0060729E">
        <w:rPr>
          <w:i/>
        </w:rPr>
        <w:t>répertoriées</w:t>
      </w:r>
      <w:r w:rsidR="0091255F" w:rsidRPr="0060729E">
        <w:rPr>
          <w:i/>
        </w:rPr>
        <w:t xml:space="preserve"> à l</w:t>
      </w:r>
      <w:r w:rsidR="001D6EDD" w:rsidRPr="0060729E">
        <w:rPr>
          <w:i/>
        </w:rPr>
        <w:t>’annexe I</w:t>
      </w:r>
      <w:r w:rsidR="0091255F" w:rsidRPr="0060729E">
        <w:rPr>
          <w:i/>
        </w:rPr>
        <w:t xml:space="preserve"> sont pertinentes pour les besoins des services de protection des obtentions végétales</w:t>
      </w:r>
      <w:r>
        <w:rPr>
          <w:i/>
        </w:rPr>
        <w:t>;</w:t>
      </w:r>
    </w:p>
    <w:p w14:paraId="2AE53473" w14:textId="77777777" w:rsidR="00C5365E" w:rsidRPr="0060729E" w:rsidRDefault="00C5365E" w:rsidP="001E4148">
      <w:pPr>
        <w:pStyle w:val="ListParagraph"/>
        <w:tabs>
          <w:tab w:val="left" w:pos="5387"/>
          <w:tab w:val="left" w:pos="5954"/>
        </w:tabs>
        <w:ind w:left="4820" w:firstLine="567"/>
        <w:rPr>
          <w:i/>
        </w:rPr>
      </w:pPr>
    </w:p>
    <w:p w14:paraId="3619E5EA" w14:textId="3DC7CCDE" w:rsidR="00C5365E" w:rsidRPr="0060729E" w:rsidRDefault="00774BA8" w:rsidP="001E4148">
      <w:pPr>
        <w:pStyle w:val="ListParagraph"/>
        <w:numPr>
          <w:ilvl w:val="0"/>
          <w:numId w:val="5"/>
        </w:numPr>
        <w:tabs>
          <w:tab w:val="left" w:pos="5387"/>
          <w:tab w:val="left" w:pos="5954"/>
        </w:tabs>
        <w:ind w:left="4820" w:firstLine="567"/>
        <w:rPr>
          <w:i/>
        </w:rPr>
      </w:pPr>
      <w:r>
        <w:rPr>
          <w:i/>
        </w:rPr>
        <w:t xml:space="preserve">recenser </w:t>
      </w:r>
      <w:r w:rsidR="009A20FE" w:rsidRPr="0060729E">
        <w:rPr>
          <w:i/>
        </w:rPr>
        <w:t>d</w:t>
      </w:r>
      <w:r w:rsidR="001D6EDD" w:rsidRPr="0060729E">
        <w:rPr>
          <w:i/>
        </w:rPr>
        <w:t>’</w:t>
      </w:r>
      <w:r w:rsidR="009A20FE" w:rsidRPr="0060729E">
        <w:rPr>
          <w:i/>
        </w:rPr>
        <w:t>autres mesures qui pourraient être pertinentes pour les besoins des services de protection des obtentions végétales</w:t>
      </w:r>
      <w:r>
        <w:rPr>
          <w:i/>
        </w:rPr>
        <w:t xml:space="preserve">; </w:t>
      </w:r>
      <w:r w:rsidR="009A20FE" w:rsidRPr="0060729E">
        <w:rPr>
          <w:i/>
        </w:rPr>
        <w:t xml:space="preserve"> et</w:t>
      </w:r>
    </w:p>
    <w:p w14:paraId="1A960479" w14:textId="77777777" w:rsidR="00C5365E" w:rsidRPr="0060729E" w:rsidRDefault="00C5365E" w:rsidP="001E4148">
      <w:pPr>
        <w:pStyle w:val="ListParagraph"/>
        <w:tabs>
          <w:tab w:val="left" w:pos="5387"/>
          <w:tab w:val="left" w:pos="5954"/>
        </w:tabs>
        <w:ind w:left="4820" w:firstLine="567"/>
        <w:rPr>
          <w:i/>
        </w:rPr>
      </w:pPr>
    </w:p>
    <w:p w14:paraId="08364DDB" w14:textId="2F61DFC9" w:rsidR="00C5365E" w:rsidRPr="0060729E" w:rsidRDefault="00774BA8" w:rsidP="001E4148">
      <w:pPr>
        <w:pStyle w:val="ListParagraph"/>
        <w:numPr>
          <w:ilvl w:val="0"/>
          <w:numId w:val="5"/>
        </w:numPr>
        <w:tabs>
          <w:tab w:val="left" w:pos="5387"/>
          <w:tab w:val="left" w:pos="5954"/>
        </w:tabs>
        <w:ind w:left="4820" w:firstLine="567"/>
        <w:rPr>
          <w:i/>
        </w:rPr>
      </w:pPr>
      <w:r w:rsidRPr="0060729E">
        <w:rPr>
          <w:i/>
        </w:rPr>
        <w:t xml:space="preserve">fournir </w:t>
      </w:r>
      <w:r w:rsidR="00D313D3" w:rsidRPr="0060729E">
        <w:rPr>
          <w:i/>
        </w:rPr>
        <w:t>l</w:t>
      </w:r>
      <w:r w:rsidR="00E7194B" w:rsidRPr="0060729E">
        <w:rPr>
          <w:i/>
        </w:rPr>
        <w:t>es informations</w:t>
      </w:r>
      <w:r w:rsidR="00595700" w:rsidRPr="0060729E">
        <w:rPr>
          <w:i/>
        </w:rPr>
        <w:t xml:space="preserve"> </w:t>
      </w:r>
      <w:r w:rsidR="00D313D3" w:rsidRPr="0060729E">
        <w:rPr>
          <w:i/>
        </w:rPr>
        <w:t xml:space="preserve">complémentaires </w:t>
      </w:r>
      <w:r w:rsidR="00595700" w:rsidRPr="0060729E">
        <w:rPr>
          <w:i/>
        </w:rPr>
        <w:t>nécessaires</w:t>
      </w:r>
      <w:r w:rsidR="009A0BBD" w:rsidRPr="0060729E">
        <w:rPr>
          <w:i/>
        </w:rPr>
        <w:t xml:space="preserve"> </w:t>
      </w:r>
      <w:r w:rsidR="00E7194B" w:rsidRPr="0060729E">
        <w:rPr>
          <w:i/>
        </w:rPr>
        <w:t>sur</w:t>
      </w:r>
      <w:r w:rsidR="00595700" w:rsidRPr="0060729E">
        <w:rPr>
          <w:i/>
        </w:rPr>
        <w:t xml:space="preserve"> </w:t>
      </w:r>
      <w:r w:rsidR="009A0BBD" w:rsidRPr="0060729E">
        <w:rPr>
          <w:i/>
        </w:rPr>
        <w:t xml:space="preserve">les mesures convenues aux </w:t>
      </w:r>
      <w:r w:rsidR="001D6EDD" w:rsidRPr="0060729E">
        <w:rPr>
          <w:i/>
        </w:rPr>
        <w:t>alinéas a)</w:t>
      </w:r>
      <w:r w:rsidR="009A0BBD" w:rsidRPr="0060729E">
        <w:rPr>
          <w:i/>
        </w:rPr>
        <w:t xml:space="preserve"> et b) pour que le </w:t>
      </w:r>
      <w:r w:rsidR="00545A4E">
        <w:rPr>
          <w:i/>
        </w:rPr>
        <w:t>WG-ISC</w:t>
      </w:r>
      <w:r w:rsidR="00595700" w:rsidRPr="0060729E">
        <w:rPr>
          <w:i/>
        </w:rPr>
        <w:t xml:space="preserve"> </w:t>
      </w:r>
      <w:r w:rsidR="009A0BBD" w:rsidRPr="0060729E">
        <w:rPr>
          <w:i/>
        </w:rPr>
        <w:t xml:space="preserve">puisse commencer à élaborer des propositions conformément </w:t>
      </w:r>
      <w:r w:rsidR="001C7B38" w:rsidRPr="0060729E">
        <w:rPr>
          <w:i/>
        </w:rPr>
        <w:t xml:space="preserve">à son </w:t>
      </w:r>
      <w:r w:rsidR="009A0BBD" w:rsidRPr="0060729E">
        <w:rPr>
          <w:i/>
        </w:rPr>
        <w:t>mandat</w:t>
      </w:r>
      <w:r w:rsidR="00595700" w:rsidRPr="0060729E">
        <w:rPr>
          <w:i/>
        </w:rPr>
        <w:t>.</w:t>
      </w:r>
    </w:p>
    <w:p w14:paraId="2655915E" w14:textId="77777777" w:rsidR="00C5365E" w:rsidRPr="0060729E" w:rsidRDefault="00C5365E" w:rsidP="00284307"/>
    <w:p w14:paraId="3BB68F93" w14:textId="77777777" w:rsidR="00C5365E" w:rsidRPr="0060729E" w:rsidRDefault="00C5365E" w:rsidP="007463CC"/>
    <w:p w14:paraId="65AEDEBB" w14:textId="77777777" w:rsidR="00C5365E" w:rsidRPr="0060729E" w:rsidRDefault="00C5365E" w:rsidP="00050E16"/>
    <w:p w14:paraId="00A38E18" w14:textId="77777777" w:rsidR="00C5365E" w:rsidRPr="0060729E" w:rsidRDefault="00426166" w:rsidP="00426166">
      <w:pPr>
        <w:jc w:val="right"/>
      </w:pPr>
      <w:r w:rsidRPr="0060729E">
        <w:t>[Les annexes suivent]</w:t>
      </w:r>
    </w:p>
    <w:p w14:paraId="1D8EE040" w14:textId="77777777" w:rsidR="00C5365E" w:rsidRPr="0060729E" w:rsidRDefault="00C5365E">
      <w:pPr>
        <w:jc w:val="left"/>
      </w:pPr>
    </w:p>
    <w:p w14:paraId="0D3DAD34" w14:textId="77777777" w:rsidR="00087C5E" w:rsidRPr="0060729E" w:rsidRDefault="00087C5E" w:rsidP="009B440E">
      <w:pPr>
        <w:jc w:val="left"/>
        <w:sectPr w:rsidR="00087C5E" w:rsidRPr="0060729E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122A5A7B" w14:textId="5C5565AC" w:rsidR="00C5365E" w:rsidRPr="0060729E" w:rsidRDefault="00087C5E" w:rsidP="00087C5E">
      <w:pPr>
        <w:jc w:val="center"/>
      </w:pPr>
      <w:r w:rsidRPr="0060729E">
        <w:lastRenderedPageBreak/>
        <w:t>UPOV/WG</w:t>
      </w:r>
      <w:r w:rsidR="00F53986" w:rsidRPr="0060729E">
        <w:noBreakHyphen/>
      </w:r>
      <w:r w:rsidRPr="0060729E">
        <w:t>ISC/2/2</w:t>
      </w:r>
    </w:p>
    <w:p w14:paraId="7DDDCD73" w14:textId="77777777" w:rsidR="00C5365E" w:rsidRPr="0060729E" w:rsidRDefault="00C5365E" w:rsidP="00087C5E">
      <w:pPr>
        <w:jc w:val="center"/>
      </w:pPr>
    </w:p>
    <w:p w14:paraId="411FB624" w14:textId="77777777" w:rsidR="00C5365E" w:rsidRPr="0060729E" w:rsidRDefault="00426166" w:rsidP="00426166">
      <w:pPr>
        <w:jc w:val="center"/>
      </w:pPr>
      <w:r w:rsidRPr="0060729E">
        <w:t>ANNEXE I</w:t>
      </w:r>
    </w:p>
    <w:p w14:paraId="789B60F6" w14:textId="77777777" w:rsidR="00C5365E" w:rsidRPr="0060729E" w:rsidRDefault="00C5365E" w:rsidP="00297E41">
      <w:pPr>
        <w:jc w:val="center"/>
        <w:rPr>
          <w:rFonts w:cs="Arial"/>
          <w:sz w:val="19"/>
          <w:szCs w:val="19"/>
        </w:rPr>
      </w:pPr>
    </w:p>
    <w:p w14:paraId="7BE3AE0E" w14:textId="77777777" w:rsidR="00C5365E" w:rsidRPr="0060729E" w:rsidRDefault="00C5365E" w:rsidP="00297E41">
      <w:pPr>
        <w:jc w:val="center"/>
        <w:rPr>
          <w:rFonts w:cs="Arial"/>
          <w:sz w:val="19"/>
          <w:szCs w:val="19"/>
        </w:rPr>
      </w:pPr>
    </w:p>
    <w:p w14:paraId="62EB2DD0" w14:textId="09BE8685" w:rsidR="001D6EDD" w:rsidRPr="0060729E" w:rsidRDefault="00834C4D" w:rsidP="00C20AA7">
      <w:pPr>
        <w:jc w:val="center"/>
        <w:rPr>
          <w:szCs w:val="24"/>
          <w:lang w:eastAsia="ja-JP"/>
        </w:rPr>
      </w:pPr>
      <w:r w:rsidRPr="0060729E">
        <w:rPr>
          <w:szCs w:val="24"/>
          <w:lang w:eastAsia="ja-JP"/>
        </w:rPr>
        <w:t xml:space="preserve">QUESTIONS </w:t>
      </w:r>
      <w:r w:rsidRPr="0060729E">
        <w:rPr>
          <w:rFonts w:cs="Arial"/>
          <w:szCs w:val="24"/>
          <w:lang w:eastAsia="ja-JP"/>
        </w:rPr>
        <w:t>É</w:t>
      </w:r>
      <w:r w:rsidRPr="0060729E">
        <w:rPr>
          <w:szCs w:val="24"/>
          <w:lang w:eastAsia="ja-JP"/>
        </w:rPr>
        <w:t>VENTUELLES</w:t>
      </w:r>
      <w:r w:rsidR="00A9006E" w:rsidRPr="0060729E">
        <w:rPr>
          <w:szCs w:val="24"/>
          <w:lang w:eastAsia="ja-JP"/>
        </w:rPr>
        <w:t xml:space="preserve"> PERTINENTES POUR LES BESOINS </w:t>
      </w:r>
      <w:r w:rsidR="00B5171B">
        <w:rPr>
          <w:szCs w:val="24"/>
          <w:lang w:eastAsia="ja-JP"/>
        </w:rPr>
        <w:t>DES SERVICES DE</w:t>
      </w:r>
      <w:r w:rsidR="00107557">
        <w:rPr>
          <w:szCs w:val="24"/>
          <w:lang w:eastAsia="ja-JP"/>
        </w:rPr>
        <w:br/>
        <w:t xml:space="preserve">PROTECTION </w:t>
      </w:r>
      <w:r w:rsidR="00D01882" w:rsidRPr="0060729E">
        <w:rPr>
          <w:szCs w:val="24"/>
          <w:lang w:eastAsia="ja-JP"/>
        </w:rPr>
        <w:t>DES OBTENTIONS V</w:t>
      </w:r>
      <w:r w:rsidR="00D01882" w:rsidRPr="0060729E">
        <w:rPr>
          <w:rFonts w:cs="Arial"/>
          <w:szCs w:val="24"/>
          <w:lang w:eastAsia="ja-JP"/>
        </w:rPr>
        <w:t xml:space="preserve">ÉGÉTALES TELS </w:t>
      </w:r>
      <w:r w:rsidR="00774BA8" w:rsidRPr="0060729E">
        <w:t>QU</w:t>
      </w:r>
      <w:r w:rsidR="00774BA8">
        <w:t>E RECENSÉS</w:t>
      </w:r>
      <w:r w:rsidR="00774BA8" w:rsidRPr="0060729E">
        <w:t xml:space="preserve"> </w:t>
      </w:r>
      <w:r w:rsidR="00B5171B">
        <w:rPr>
          <w:rFonts w:cs="Arial"/>
          <w:szCs w:val="24"/>
          <w:lang w:eastAsia="ja-JP"/>
        </w:rPr>
        <w:t>LORS DE LA</w:t>
      </w:r>
      <w:r w:rsidR="00107557">
        <w:rPr>
          <w:rFonts w:cs="Arial"/>
          <w:szCs w:val="24"/>
          <w:lang w:eastAsia="ja-JP"/>
        </w:rPr>
        <w:br/>
      </w:r>
      <w:r w:rsidR="00D01882" w:rsidRPr="0060729E">
        <w:rPr>
          <w:rFonts w:cs="Arial"/>
          <w:szCs w:val="24"/>
          <w:lang w:eastAsia="ja-JP"/>
        </w:rPr>
        <w:t>PREMIÈ</w:t>
      </w:r>
      <w:r w:rsidR="00107557">
        <w:rPr>
          <w:szCs w:val="24"/>
          <w:lang w:eastAsia="ja-JP"/>
        </w:rPr>
        <w:t xml:space="preserve">RE </w:t>
      </w:r>
      <w:r w:rsidR="00D01882" w:rsidRPr="0060729E">
        <w:rPr>
          <w:szCs w:val="24"/>
          <w:lang w:eastAsia="ja-JP"/>
        </w:rPr>
        <w:t>R</w:t>
      </w:r>
      <w:r w:rsidR="00D01882" w:rsidRPr="0060729E">
        <w:rPr>
          <w:rFonts w:cs="Arial"/>
          <w:szCs w:val="24"/>
          <w:lang w:eastAsia="ja-JP"/>
        </w:rPr>
        <w:t>É</w:t>
      </w:r>
      <w:r w:rsidR="00107557">
        <w:rPr>
          <w:szCs w:val="24"/>
          <w:lang w:eastAsia="ja-JP"/>
        </w:rPr>
        <w:t xml:space="preserve">UNION </w:t>
      </w:r>
      <w:r w:rsidR="00D01882" w:rsidRPr="0060729E">
        <w:rPr>
          <w:szCs w:val="24"/>
          <w:lang w:eastAsia="ja-JP"/>
        </w:rPr>
        <w:t>DU</w:t>
      </w:r>
      <w:r w:rsidR="00F53986" w:rsidRPr="0060729E">
        <w:rPr>
          <w:szCs w:val="24"/>
          <w:lang w:eastAsia="ja-JP"/>
        </w:rPr>
        <w:t> </w:t>
      </w:r>
      <w:r w:rsidR="00C20AA7" w:rsidRPr="0060729E">
        <w:rPr>
          <w:szCs w:val="24"/>
          <w:lang w:eastAsia="ja-JP"/>
        </w:rPr>
        <w:t xml:space="preserve">GROUPE DE TRAVAIL </w:t>
      </w:r>
      <w:r w:rsidR="00B5171B">
        <w:rPr>
          <w:szCs w:val="24"/>
          <w:lang w:eastAsia="ja-JP"/>
        </w:rPr>
        <w:t>SUR UN ÉVENTUEL</w:t>
      </w:r>
      <w:r w:rsidR="00107557">
        <w:rPr>
          <w:szCs w:val="24"/>
          <w:lang w:eastAsia="ja-JP"/>
        </w:rPr>
        <w:br/>
      </w:r>
      <w:r w:rsidR="00D01882" w:rsidRPr="0060729E">
        <w:rPr>
          <w:szCs w:val="24"/>
          <w:lang w:eastAsia="ja-JP"/>
        </w:rPr>
        <w:t>SYSTÈME INTERNATIONAL DE COOPÉRA</w:t>
      </w:r>
      <w:r w:rsidR="00B464E1" w:rsidRPr="0060729E">
        <w:rPr>
          <w:szCs w:val="24"/>
          <w:lang w:eastAsia="ja-JP"/>
        </w:rPr>
        <w:t xml:space="preserve">TION </w:t>
      </w:r>
      <w:r w:rsidR="00B5171B">
        <w:rPr>
          <w:szCs w:val="24"/>
          <w:lang w:eastAsia="ja-JP"/>
        </w:rPr>
        <w:t>(WG</w:t>
      </w:r>
      <w:r w:rsidR="00B5171B">
        <w:rPr>
          <w:szCs w:val="24"/>
          <w:lang w:eastAsia="ja-JP"/>
        </w:rPr>
        <w:noBreakHyphen/>
      </w:r>
      <w:r w:rsidR="00545A4E">
        <w:rPr>
          <w:szCs w:val="24"/>
          <w:lang w:eastAsia="ja-JP"/>
        </w:rPr>
        <w:t>ISC)</w:t>
      </w:r>
    </w:p>
    <w:p w14:paraId="5D978F36" w14:textId="2101F39A" w:rsidR="00C5365E" w:rsidRPr="0060729E" w:rsidRDefault="00C5365E" w:rsidP="00297E41">
      <w:pPr>
        <w:rPr>
          <w:rFonts w:cs="Arial"/>
          <w:sz w:val="19"/>
          <w:szCs w:val="19"/>
        </w:rPr>
      </w:pPr>
    </w:p>
    <w:p w14:paraId="1A5E055A" w14:textId="77777777" w:rsidR="00C5365E" w:rsidRPr="0060729E" w:rsidRDefault="00426166" w:rsidP="006853D1">
      <w:pPr>
        <w:pStyle w:val="Heading1"/>
        <w:rPr>
          <w:color w:val="auto"/>
          <w:lang w:val="fr-FR"/>
        </w:rPr>
      </w:pPr>
      <w:r w:rsidRPr="0060729E">
        <w:rPr>
          <w:color w:val="auto"/>
          <w:lang w:val="fr-FR"/>
        </w:rPr>
        <w:t>EXAMEN DHS</w:t>
      </w:r>
    </w:p>
    <w:p w14:paraId="24001567" w14:textId="77777777" w:rsidR="00C5365E" w:rsidRPr="0060729E" w:rsidRDefault="00C5365E" w:rsidP="00297E41"/>
    <w:p w14:paraId="3241E3BD" w14:textId="0E939E5A" w:rsidR="00C5365E" w:rsidRPr="0060729E" w:rsidRDefault="00770564" w:rsidP="00297E41">
      <w:pPr>
        <w:pStyle w:val="Heading2"/>
        <w:rPr>
          <w:lang w:val="fr-FR"/>
        </w:rPr>
      </w:pPr>
      <w:r w:rsidRPr="0060729E">
        <w:rPr>
          <w:lang w:val="fr-FR"/>
        </w:rPr>
        <w:t>Besoins des services de protection des obtentions végétales</w:t>
      </w:r>
    </w:p>
    <w:p w14:paraId="24CAA2E7" w14:textId="77777777" w:rsidR="00C5365E" w:rsidRPr="0060729E" w:rsidRDefault="00C5365E" w:rsidP="00297E41"/>
    <w:p w14:paraId="0CD83836" w14:textId="7F8370C3" w:rsidR="00C5365E" w:rsidRPr="0060729E" w:rsidRDefault="008A721D" w:rsidP="00F53986">
      <w:pPr>
        <w:pStyle w:val="ListParagraph"/>
        <w:numPr>
          <w:ilvl w:val="0"/>
          <w:numId w:val="11"/>
        </w:numPr>
        <w:ind w:left="1134" w:hanging="567"/>
        <w:rPr>
          <w:lang w:eastAsia="ja-JP"/>
        </w:rPr>
      </w:pPr>
      <w:r w:rsidRPr="0060729E">
        <w:rPr>
          <w:lang w:eastAsia="ja-JP"/>
        </w:rPr>
        <w:t>améliorer la coopération afin d</w:t>
      </w:r>
      <w:r w:rsidR="001D6EDD" w:rsidRPr="0060729E">
        <w:rPr>
          <w:lang w:eastAsia="ja-JP"/>
        </w:rPr>
        <w:t>’</w:t>
      </w:r>
      <w:r w:rsidRPr="0060729E">
        <w:rPr>
          <w:lang w:eastAsia="ja-JP"/>
        </w:rPr>
        <w:t>améliorer la qualité et l</w:t>
      </w:r>
      <w:r w:rsidR="001D6EDD" w:rsidRPr="0060729E">
        <w:rPr>
          <w:lang w:eastAsia="ja-JP"/>
        </w:rPr>
        <w:t>’</w:t>
      </w:r>
      <w:r w:rsidRPr="0060729E">
        <w:rPr>
          <w:lang w:eastAsia="ja-JP"/>
        </w:rPr>
        <w:t>exhaustivité des collections de variété</w:t>
      </w:r>
      <w:r w:rsidR="003C7514" w:rsidRPr="0060729E">
        <w:rPr>
          <w:lang w:eastAsia="ja-JP"/>
        </w:rPr>
        <w:t>s,</w:t>
      </w:r>
    </w:p>
    <w:p w14:paraId="5DF11D3F" w14:textId="7792A7BC" w:rsidR="00C5365E" w:rsidRPr="0060729E" w:rsidRDefault="003C7514" w:rsidP="00F53986">
      <w:pPr>
        <w:pStyle w:val="ListParagraph"/>
        <w:numPr>
          <w:ilvl w:val="0"/>
          <w:numId w:val="11"/>
        </w:numPr>
        <w:ind w:left="1134" w:hanging="567"/>
        <w:rPr>
          <w:lang w:eastAsia="ja-JP"/>
        </w:rPr>
      </w:pPr>
      <w:r w:rsidRPr="0060729E">
        <w:rPr>
          <w:rFonts w:cs="Arial"/>
          <w:lang w:eastAsia="ja-JP"/>
        </w:rPr>
        <w:t>accepter les rapports DHS de tout membre de l</w:t>
      </w:r>
      <w:r w:rsidR="001D6EDD" w:rsidRPr="0060729E">
        <w:rPr>
          <w:rFonts w:cs="Arial"/>
          <w:lang w:eastAsia="ja-JP"/>
        </w:rPr>
        <w:t>’</w:t>
      </w:r>
      <w:r w:rsidRPr="0060729E">
        <w:rPr>
          <w:rFonts w:cs="Arial"/>
          <w:lang w:eastAsia="ja-JP"/>
        </w:rPr>
        <w:t>Union sans autre examen,</w:t>
      </w:r>
    </w:p>
    <w:p w14:paraId="05FBEB7B" w14:textId="55272598" w:rsidR="00C5365E" w:rsidRPr="0060729E" w:rsidRDefault="00FD172D" w:rsidP="00F53986">
      <w:pPr>
        <w:pStyle w:val="ListParagraph"/>
        <w:numPr>
          <w:ilvl w:val="0"/>
          <w:numId w:val="11"/>
        </w:numPr>
        <w:ind w:left="1134" w:hanging="567"/>
        <w:rPr>
          <w:lang w:eastAsia="ja-JP"/>
        </w:rPr>
      </w:pPr>
      <w:r w:rsidRPr="0060729E">
        <w:rPr>
          <w:szCs w:val="24"/>
          <w:lang w:eastAsia="ja-JP"/>
        </w:rPr>
        <w:t xml:space="preserve">obtenir </w:t>
      </w:r>
      <w:r w:rsidR="0093102D" w:rsidRPr="0060729E">
        <w:rPr>
          <w:szCs w:val="24"/>
          <w:lang w:eastAsia="ja-JP"/>
        </w:rPr>
        <w:t xml:space="preserve">des </w:t>
      </w:r>
      <w:r w:rsidRPr="0060729E">
        <w:rPr>
          <w:szCs w:val="24"/>
          <w:lang w:eastAsia="ja-JP"/>
        </w:rPr>
        <w:t xml:space="preserve">informations </w:t>
      </w:r>
      <w:r w:rsidR="0093102D" w:rsidRPr="0060729E">
        <w:rPr>
          <w:szCs w:val="24"/>
          <w:lang w:eastAsia="ja-JP"/>
        </w:rPr>
        <w:t xml:space="preserve">sur les variétés </w:t>
      </w:r>
      <w:r w:rsidR="00731D9C" w:rsidRPr="0060729E">
        <w:rPr>
          <w:szCs w:val="24"/>
          <w:lang w:eastAsia="ja-JP"/>
        </w:rPr>
        <w:t>considérée</w:t>
      </w:r>
      <w:r w:rsidR="00C64C90" w:rsidRPr="0060729E">
        <w:rPr>
          <w:szCs w:val="24"/>
          <w:lang w:eastAsia="ja-JP"/>
        </w:rPr>
        <w:t>s</w:t>
      </w:r>
      <w:r w:rsidR="0093102D" w:rsidRPr="0060729E">
        <w:rPr>
          <w:szCs w:val="24"/>
          <w:lang w:eastAsia="ja-JP"/>
        </w:rPr>
        <w:t xml:space="preserve"> par les membres de l</w:t>
      </w:r>
      <w:r w:rsidR="001D6EDD" w:rsidRPr="0060729E">
        <w:rPr>
          <w:szCs w:val="24"/>
          <w:lang w:eastAsia="ja-JP"/>
        </w:rPr>
        <w:t>’</w:t>
      </w:r>
      <w:r w:rsidR="0093102D" w:rsidRPr="0060729E">
        <w:rPr>
          <w:szCs w:val="24"/>
          <w:lang w:eastAsia="ja-JP"/>
        </w:rPr>
        <w:t xml:space="preserve">Union comme </w:t>
      </w:r>
      <w:r w:rsidR="00731D9C" w:rsidRPr="0060729E">
        <w:rPr>
          <w:szCs w:val="24"/>
          <w:lang w:eastAsia="ja-JP"/>
        </w:rPr>
        <w:t>notoirement connue</w:t>
      </w:r>
      <w:r w:rsidR="00C64C90" w:rsidRPr="0060729E">
        <w:rPr>
          <w:szCs w:val="24"/>
          <w:lang w:eastAsia="ja-JP"/>
        </w:rPr>
        <w:t>s</w:t>
      </w:r>
      <w:r w:rsidR="00731D9C" w:rsidRPr="0060729E">
        <w:rPr>
          <w:szCs w:val="24"/>
          <w:lang w:eastAsia="ja-JP"/>
        </w:rPr>
        <w:t>,</w:t>
      </w:r>
    </w:p>
    <w:p w14:paraId="2C858F3F" w14:textId="029B6EDA" w:rsidR="00C5365E" w:rsidRPr="0060729E" w:rsidRDefault="00FD172D" w:rsidP="00F53986">
      <w:pPr>
        <w:pStyle w:val="ListParagraph"/>
        <w:numPr>
          <w:ilvl w:val="0"/>
          <w:numId w:val="11"/>
        </w:numPr>
        <w:ind w:left="1134" w:hanging="567"/>
        <w:rPr>
          <w:lang w:eastAsia="ja-JP"/>
        </w:rPr>
      </w:pPr>
      <w:r w:rsidRPr="0060729E">
        <w:rPr>
          <w:szCs w:val="24"/>
          <w:lang w:eastAsia="ja-JP"/>
        </w:rPr>
        <w:t xml:space="preserve">obtenir </w:t>
      </w:r>
      <w:r w:rsidR="00B95C5A" w:rsidRPr="0060729E">
        <w:rPr>
          <w:szCs w:val="24"/>
          <w:lang w:eastAsia="ja-JP"/>
        </w:rPr>
        <w:t xml:space="preserve">des </w:t>
      </w:r>
      <w:r w:rsidRPr="0060729E">
        <w:rPr>
          <w:szCs w:val="24"/>
          <w:lang w:eastAsia="ja-JP"/>
        </w:rPr>
        <w:t>informations</w:t>
      </w:r>
      <w:r w:rsidR="00B95C5A" w:rsidRPr="0060729E">
        <w:rPr>
          <w:szCs w:val="24"/>
          <w:lang w:eastAsia="ja-JP"/>
        </w:rPr>
        <w:t xml:space="preserve"> sur les variétés qui avaient été </w:t>
      </w:r>
      <w:r w:rsidR="00C64C90" w:rsidRPr="0060729E">
        <w:rPr>
          <w:szCs w:val="24"/>
          <w:lang w:eastAsia="ja-JP"/>
        </w:rPr>
        <w:t xml:space="preserve">prises en considération </w:t>
      </w:r>
      <w:r w:rsidR="00B95C5A" w:rsidRPr="0060729E">
        <w:rPr>
          <w:szCs w:val="24"/>
          <w:lang w:eastAsia="ja-JP"/>
        </w:rPr>
        <w:t>dans l</w:t>
      </w:r>
      <w:r w:rsidR="001D6EDD" w:rsidRPr="0060729E">
        <w:rPr>
          <w:szCs w:val="24"/>
          <w:lang w:eastAsia="ja-JP"/>
        </w:rPr>
        <w:t>’</w:t>
      </w:r>
      <w:r w:rsidR="00B95C5A" w:rsidRPr="0060729E">
        <w:rPr>
          <w:szCs w:val="24"/>
          <w:lang w:eastAsia="ja-JP"/>
        </w:rPr>
        <w:t>examen</w:t>
      </w:r>
      <w:r w:rsidR="009F1C92" w:rsidRPr="0060729E">
        <w:rPr>
          <w:szCs w:val="24"/>
          <w:lang w:eastAsia="ja-JP"/>
        </w:rPr>
        <w:t> </w:t>
      </w:r>
      <w:r w:rsidR="00B95C5A" w:rsidRPr="0060729E">
        <w:rPr>
          <w:szCs w:val="24"/>
          <w:lang w:eastAsia="ja-JP"/>
        </w:rPr>
        <w:t>DHS,</w:t>
      </w:r>
      <w:r w:rsidR="00087C5E" w:rsidRPr="0060729E">
        <w:rPr>
          <w:szCs w:val="24"/>
          <w:lang w:eastAsia="ja-JP"/>
        </w:rPr>
        <w:t xml:space="preserve"> </w:t>
      </w:r>
      <w:r w:rsidR="00B95C5A" w:rsidRPr="0060729E">
        <w:rPr>
          <w:szCs w:val="24"/>
          <w:lang w:eastAsia="ja-JP"/>
        </w:rPr>
        <w:t>et</w:t>
      </w:r>
    </w:p>
    <w:p w14:paraId="135CB30A" w14:textId="77777777" w:rsidR="001D6EDD" w:rsidRPr="0060729E" w:rsidRDefault="00AC1F86" w:rsidP="00F53986">
      <w:pPr>
        <w:pStyle w:val="ListParagraph"/>
        <w:numPr>
          <w:ilvl w:val="0"/>
          <w:numId w:val="11"/>
        </w:numPr>
        <w:ind w:left="1134" w:hanging="567"/>
        <w:rPr>
          <w:lang w:eastAsia="ja-JP"/>
        </w:rPr>
      </w:pPr>
      <w:r w:rsidRPr="0060729E">
        <w:rPr>
          <w:lang w:eastAsia="ja-JP"/>
        </w:rPr>
        <w:t>élaborer une</w:t>
      </w:r>
      <w:r w:rsidR="00E93D58" w:rsidRPr="0060729E">
        <w:rPr>
          <w:lang w:eastAsia="ja-JP"/>
        </w:rPr>
        <w:t>/des</w:t>
      </w:r>
      <w:r w:rsidRPr="0060729E">
        <w:rPr>
          <w:lang w:eastAsia="ja-JP"/>
        </w:rPr>
        <w:t xml:space="preserve"> base</w:t>
      </w:r>
      <w:r w:rsidR="00E93D58" w:rsidRPr="0060729E">
        <w:rPr>
          <w:lang w:eastAsia="ja-JP"/>
        </w:rPr>
        <w:t>(s)</w:t>
      </w:r>
      <w:r w:rsidRPr="0060729E">
        <w:rPr>
          <w:lang w:eastAsia="ja-JP"/>
        </w:rPr>
        <w:t xml:space="preserve"> de données centralisée</w:t>
      </w:r>
      <w:r w:rsidR="00E93D58" w:rsidRPr="0060729E">
        <w:rPr>
          <w:lang w:eastAsia="ja-JP"/>
        </w:rPr>
        <w:t>(s)</w:t>
      </w:r>
      <w:r w:rsidRPr="0060729E">
        <w:rPr>
          <w:lang w:eastAsia="ja-JP"/>
        </w:rPr>
        <w:t xml:space="preserve"> pour les descriptions variétales</w:t>
      </w:r>
      <w:r w:rsidR="00E24AC1" w:rsidRPr="0060729E">
        <w:rPr>
          <w:lang w:eastAsia="ja-JP"/>
        </w:rPr>
        <w:t>, notamment pour les données moléculaires.</w:t>
      </w:r>
    </w:p>
    <w:p w14:paraId="014EFE84" w14:textId="7402329D" w:rsidR="00C5365E" w:rsidRPr="0060729E" w:rsidRDefault="00C5365E" w:rsidP="00297E41"/>
    <w:p w14:paraId="4E86AF85" w14:textId="6CC3D8AB" w:rsidR="00C5365E" w:rsidRPr="0060729E" w:rsidRDefault="007D1203" w:rsidP="00297E41">
      <w:pPr>
        <w:pStyle w:val="Heading2"/>
        <w:rPr>
          <w:lang w:val="fr-FR"/>
        </w:rPr>
      </w:pPr>
      <w:r w:rsidRPr="0060729E">
        <w:rPr>
          <w:lang w:val="fr-FR"/>
        </w:rPr>
        <w:t xml:space="preserve">Questions pertinentes dans le </w:t>
      </w:r>
      <w:r w:rsidR="00087C5E" w:rsidRPr="0060729E">
        <w:rPr>
          <w:lang w:val="fr-FR"/>
        </w:rPr>
        <w:t>document CC/92/10</w:t>
      </w:r>
    </w:p>
    <w:p w14:paraId="2008698C" w14:textId="77777777" w:rsidR="00087C5E" w:rsidRPr="0060729E" w:rsidRDefault="00087C5E" w:rsidP="00297E41"/>
    <w:tbl>
      <w:tblPr>
        <w:tblStyle w:val="TableGrid"/>
        <w:tblW w:w="9781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8"/>
        <w:gridCol w:w="6172"/>
        <w:gridCol w:w="2471"/>
      </w:tblGrid>
      <w:tr w:rsidR="0060729E" w:rsidRPr="0060729E" w14:paraId="6499724F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0D9D1" w14:textId="4F5851C6" w:rsidR="007D1203" w:rsidRPr="0060729E" w:rsidRDefault="00087C5E" w:rsidP="007D1203">
            <w:pPr>
              <w:rPr>
                <w:u w:val="single"/>
              </w:rPr>
            </w:pPr>
            <w:r w:rsidRPr="0060729E">
              <w:rPr>
                <w:u w:val="single"/>
              </w:rPr>
              <w:t>CC/92/10</w:t>
            </w:r>
          </w:p>
          <w:p w14:paraId="7DC5D1D5" w14:textId="1850CF21" w:rsidR="00087C5E" w:rsidRPr="0060729E" w:rsidRDefault="007D1203" w:rsidP="007D1203">
            <w:pPr>
              <w:rPr>
                <w:u w:val="single"/>
              </w:rPr>
            </w:pPr>
            <w:r w:rsidRPr="0060729E">
              <w:rPr>
                <w:u w:val="single"/>
              </w:rPr>
              <w:t>Référence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0FDE81" w14:textId="77777777" w:rsidR="00C5365E" w:rsidRPr="0060729E" w:rsidRDefault="00087C5E" w:rsidP="00087C5E">
            <w:pPr>
              <w:jc w:val="left"/>
              <w:rPr>
                <w:u w:val="single"/>
              </w:rPr>
            </w:pPr>
            <w:r w:rsidRPr="0060729E">
              <w:rPr>
                <w:u w:val="single"/>
              </w:rPr>
              <w:t>CC/92/10</w:t>
            </w:r>
          </w:p>
          <w:p w14:paraId="60D7B3BB" w14:textId="1C128122" w:rsidR="00087C5E" w:rsidRPr="0060729E" w:rsidRDefault="007D1203" w:rsidP="00087C5E">
            <w:pPr>
              <w:jc w:val="left"/>
              <w:rPr>
                <w:u w:val="single"/>
              </w:rPr>
            </w:pPr>
            <w:r w:rsidRPr="0060729E">
              <w:rPr>
                <w:u w:val="single"/>
              </w:rPr>
              <w:t>Point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707F7" w14:textId="7B436C54" w:rsidR="00087C5E" w:rsidRPr="0060729E" w:rsidRDefault="008C068F" w:rsidP="00087C5E">
            <w:pPr>
              <w:jc w:val="left"/>
              <w:rPr>
                <w:u w:val="single"/>
              </w:rPr>
            </w:pPr>
            <w:r w:rsidRPr="0060729E">
              <w:rPr>
                <w:u w:val="single"/>
              </w:rPr>
              <w:t>Besoin pertinent</w:t>
            </w:r>
          </w:p>
        </w:tc>
      </w:tr>
      <w:tr w:rsidR="0060729E" w:rsidRPr="0060729E" w14:paraId="7FA03FC4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C329E5" w14:textId="77777777" w:rsidR="00087C5E" w:rsidRPr="0060729E" w:rsidRDefault="003F6FE2" w:rsidP="00087C5E">
            <w:r w:rsidRPr="0060729E">
              <w:t>Question n° </w:t>
            </w:r>
            <w:r w:rsidR="00087C5E" w:rsidRPr="0060729E">
              <w:t>8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2B374A" w14:textId="15875425" w:rsidR="00087C5E" w:rsidRPr="0060729E" w:rsidRDefault="00426166" w:rsidP="00426166">
            <w:pPr>
              <w:jc w:val="left"/>
            </w:pPr>
            <w:r w:rsidRPr="0060729E">
              <w:t>a)</w:t>
            </w:r>
            <w:r w:rsidRPr="0060729E">
              <w:tab/>
              <w:t>Examiner si l</w:t>
            </w:r>
            <w:r w:rsidR="001D6EDD" w:rsidRPr="0060729E">
              <w:t>’</w:t>
            </w:r>
            <w:r w:rsidRPr="0060729E">
              <w:t>établissement d</w:t>
            </w:r>
            <w:r w:rsidR="001D6EDD" w:rsidRPr="0060729E">
              <w:t>’</w:t>
            </w:r>
            <w:r w:rsidRPr="0060729E">
              <w:t>un système d</w:t>
            </w:r>
            <w:r w:rsidR="001D6EDD" w:rsidRPr="0060729E">
              <w:t>’</w:t>
            </w:r>
            <w:r w:rsidRPr="0060729E">
              <w:t>accréditation, ou de tout autre moyen de communiquer des informations objectives sur les capacités en matière d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DHS, pourrait simplifier la coopération en matière d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 et les caractéristiques d</w:t>
            </w:r>
            <w:r w:rsidR="001D6EDD" w:rsidRPr="0060729E">
              <w:t>’</w:t>
            </w:r>
            <w:r w:rsidRPr="0060729E">
              <w:t>un tel système.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BEBDB" w14:textId="77777777" w:rsidR="001D6EDD" w:rsidRPr="0060729E" w:rsidRDefault="00426166" w:rsidP="00426166">
            <w:pPr>
              <w:jc w:val="left"/>
            </w:pPr>
            <w:r w:rsidRPr="0060729E">
              <w:t>Examen DHS</w:t>
            </w:r>
          </w:p>
          <w:p w14:paraId="6395A9CE" w14:textId="33581CD0" w:rsidR="00087C5E" w:rsidRPr="0060729E" w:rsidRDefault="006853D1" w:rsidP="00087C5E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60729E" w:rsidRPr="0060729E" w14:paraId="77FD9A83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B2CAD" w14:textId="77777777" w:rsidR="00087C5E" w:rsidRPr="0060729E" w:rsidRDefault="00087C5E" w:rsidP="00087C5E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ADC708" w14:textId="302054C8" w:rsidR="00C5365E" w:rsidRPr="0060729E" w:rsidRDefault="00426166" w:rsidP="00426166">
            <w:pPr>
              <w:jc w:val="left"/>
            </w:pPr>
            <w:r w:rsidRPr="0060729E">
              <w:t>b)</w:t>
            </w:r>
            <w:r w:rsidRPr="0060729E">
              <w:tab/>
              <w:t>Examiner le fonctionnement d</w:t>
            </w:r>
            <w:r w:rsidR="001D6EDD" w:rsidRPr="0060729E">
              <w:t>’</w:t>
            </w:r>
            <w:r w:rsidRPr="0060729E">
              <w:t>un système d</w:t>
            </w:r>
            <w:r w:rsidR="001D6EDD" w:rsidRPr="0060729E">
              <w:t>’</w:t>
            </w:r>
            <w:r w:rsidRPr="0060729E">
              <w:t xml:space="preserve">accréditation, </w:t>
            </w:r>
            <w:r w:rsidR="001D6EDD" w:rsidRPr="0060729E">
              <w:t>y compris :</w:t>
            </w:r>
          </w:p>
          <w:p w14:paraId="59B9641B" w14:textId="4DCFCEE6" w:rsidR="00C5365E" w:rsidRPr="0060729E" w:rsidRDefault="00426166" w:rsidP="00426166">
            <w:pPr>
              <w:pStyle w:val="ListParagraph"/>
              <w:numPr>
                <w:ilvl w:val="0"/>
                <w:numId w:val="9"/>
              </w:numPr>
              <w:jc w:val="left"/>
            </w:pPr>
            <w:r w:rsidRPr="0060729E">
              <w:t>l</w:t>
            </w:r>
            <w:r w:rsidR="001D6EDD" w:rsidRPr="0060729E">
              <w:t>’</w:t>
            </w:r>
            <w:r w:rsidRPr="0060729E">
              <w:t>entité qui donne l</w:t>
            </w:r>
            <w:r w:rsidR="001D6EDD" w:rsidRPr="0060729E">
              <w:t>’</w:t>
            </w:r>
            <w:r w:rsidRPr="0060729E">
              <w:t>accréditation, la période d</w:t>
            </w:r>
            <w:r w:rsidR="001D6EDD" w:rsidRPr="0060729E">
              <w:t>’</w:t>
            </w:r>
            <w:r w:rsidRPr="0060729E">
              <w:t>accréditation, les coûts associés aux offices et l</w:t>
            </w:r>
            <w:r w:rsidR="001D6EDD" w:rsidRPr="0060729E">
              <w:t>’</w:t>
            </w:r>
            <w:r w:rsidRPr="0060729E">
              <w:t>entité qui détermine les tarifs d</w:t>
            </w:r>
            <w:r w:rsidR="001D6EDD" w:rsidRPr="0060729E">
              <w:t>’</w:t>
            </w:r>
            <w:r w:rsidRPr="0060729E">
              <w:t>examen;</w:t>
            </w:r>
          </w:p>
          <w:p w14:paraId="384256B8" w14:textId="0595EAEB" w:rsidR="00087C5E" w:rsidRPr="0060729E" w:rsidRDefault="00426166" w:rsidP="00426166">
            <w:pPr>
              <w:pStyle w:val="ListParagraph"/>
              <w:numPr>
                <w:ilvl w:val="0"/>
                <w:numId w:val="9"/>
              </w:numPr>
              <w:jc w:val="left"/>
            </w:pPr>
            <w:r w:rsidRPr="0060729E">
              <w:t>la question de savoir comment le système fonctionnerait pour les variétés indigènes de chaque pays et ce qui se passerait si ces variétés devaient être enregistrées dans</w:t>
            </w:r>
            <w:r w:rsidR="001D6EDD" w:rsidRPr="0060729E">
              <w:t xml:space="preserve"> </w:t>
            </w:r>
            <w:r w:rsidR="00967920">
              <w:t>l’ISC</w:t>
            </w:r>
            <w:r w:rsidRPr="0060729E">
              <w:t xml:space="preserve"> et que l</w:t>
            </w:r>
            <w:r w:rsidR="001D6EDD" w:rsidRPr="0060729E">
              <w:t>’</w:t>
            </w:r>
            <w:r w:rsidRPr="0060729E">
              <w:t>office n</w:t>
            </w:r>
            <w:r w:rsidR="001D6EDD" w:rsidRPr="0060729E">
              <w:t>’</w:t>
            </w:r>
            <w:r w:rsidRPr="0060729E">
              <w:t>était pas accrédité.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9087A" w14:textId="77777777" w:rsidR="001D6EDD" w:rsidRPr="0060729E" w:rsidRDefault="00426166" w:rsidP="00426166">
            <w:pPr>
              <w:jc w:val="left"/>
            </w:pPr>
            <w:r w:rsidRPr="0060729E">
              <w:t>Examen DHS</w:t>
            </w:r>
          </w:p>
          <w:p w14:paraId="49F5DBC9" w14:textId="448F6422" w:rsidR="00087C5E" w:rsidRPr="0060729E" w:rsidRDefault="006853D1" w:rsidP="00087C5E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60729E" w:rsidRPr="0060729E" w14:paraId="4523AF95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1D9464" w14:textId="03B3C026" w:rsidR="00087C5E" w:rsidRPr="0060729E" w:rsidRDefault="00426166" w:rsidP="00426166">
            <w:r w:rsidRPr="0060729E">
              <w:t>Question n°</w:t>
            </w:r>
            <w:r w:rsidR="009F1C92" w:rsidRPr="0060729E">
              <w:t> </w:t>
            </w:r>
            <w:r w:rsidRPr="0060729E">
              <w:t>9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D2A376" w14:textId="21DF27D5" w:rsidR="00087C5E" w:rsidRPr="0060729E" w:rsidRDefault="00426166" w:rsidP="00426166">
            <w:pPr>
              <w:jc w:val="left"/>
            </w:pPr>
            <w:r w:rsidRPr="0060729E">
              <w:t>a)</w:t>
            </w:r>
            <w:r w:rsidRPr="0060729E">
              <w:tab/>
              <w:t>Examiner d</w:t>
            </w:r>
            <w:r w:rsidR="001D6EDD" w:rsidRPr="0060729E">
              <w:t>’</w:t>
            </w:r>
            <w:r w:rsidRPr="0060729E">
              <w:t>autres mesures susceptibles de faciliter la coopération en matière d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 entre membres de l</w:t>
            </w:r>
            <w:r w:rsidR="001D6EDD" w:rsidRPr="0060729E">
              <w:t>’</w:t>
            </w:r>
            <w:r w:rsidRPr="0060729E">
              <w:t>Union.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1B196" w14:textId="77777777" w:rsidR="001D6EDD" w:rsidRPr="0060729E" w:rsidRDefault="00426166" w:rsidP="00426166">
            <w:pPr>
              <w:jc w:val="left"/>
            </w:pPr>
            <w:r w:rsidRPr="0060729E">
              <w:t>Examen DHS</w:t>
            </w:r>
          </w:p>
          <w:p w14:paraId="0231A215" w14:textId="664DCA39" w:rsidR="00087C5E" w:rsidRPr="0060729E" w:rsidRDefault="006853D1" w:rsidP="00087C5E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60729E" w:rsidRPr="0060729E" w14:paraId="58087EA5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3CA91" w14:textId="77777777" w:rsidR="00087C5E" w:rsidRPr="0060729E" w:rsidRDefault="00087C5E" w:rsidP="00087C5E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4EC237" w14:textId="0907C86F" w:rsidR="00087C5E" w:rsidRPr="0060729E" w:rsidRDefault="00426166" w:rsidP="00426166">
            <w:pPr>
              <w:jc w:val="left"/>
            </w:pPr>
            <w:r w:rsidRPr="0060729E">
              <w:t>b)</w:t>
            </w:r>
            <w:r w:rsidRPr="0060729E">
              <w:tab/>
              <w:t>Examiner comment le matériel végétal serait obtenu lorsque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 a été réalisé par un autre membre de l</w:t>
            </w:r>
            <w:r w:rsidR="001D6EDD" w:rsidRPr="0060729E">
              <w:t>’</w:t>
            </w:r>
            <w:r w:rsidRPr="0060729E">
              <w:t>Union.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87D87" w14:textId="77777777" w:rsidR="001D6EDD" w:rsidRPr="0060729E" w:rsidRDefault="00426166" w:rsidP="00426166">
            <w:pPr>
              <w:jc w:val="left"/>
            </w:pPr>
            <w:r w:rsidRPr="0060729E">
              <w:t>Examen DHS</w:t>
            </w:r>
          </w:p>
          <w:p w14:paraId="6F52D6D4" w14:textId="5D5696EA" w:rsidR="00087C5E" w:rsidRPr="0060729E" w:rsidRDefault="00087C5E" w:rsidP="00087C5E">
            <w:pPr>
              <w:jc w:val="left"/>
            </w:pPr>
            <w:r w:rsidRPr="0060729E">
              <w:t>i)</w:t>
            </w:r>
          </w:p>
        </w:tc>
      </w:tr>
      <w:tr w:rsidR="0060729E" w:rsidRPr="0060729E" w14:paraId="52912D2A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F750E" w14:textId="77777777" w:rsidR="00087C5E" w:rsidRPr="0060729E" w:rsidRDefault="00087C5E" w:rsidP="00087C5E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6A7040" w14:textId="77777777" w:rsidR="00087C5E" w:rsidRPr="0060729E" w:rsidRDefault="00426166" w:rsidP="00426166">
            <w:pPr>
              <w:jc w:val="left"/>
            </w:pPr>
            <w:r w:rsidRPr="0060729E">
              <w:t>c)</w:t>
            </w:r>
            <w:r w:rsidRPr="0060729E">
              <w:tab/>
              <w:t>Examiner les différences relatives aux conditions géographiques et aux conditions de réalisation des examens en termes de pratiques agricoles.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83E14" w14:textId="77777777" w:rsidR="001D6EDD" w:rsidRPr="0060729E" w:rsidRDefault="00426166" w:rsidP="00426166">
            <w:pPr>
              <w:jc w:val="left"/>
            </w:pPr>
            <w:r w:rsidRPr="0060729E">
              <w:t>Examen DHS</w:t>
            </w:r>
          </w:p>
          <w:p w14:paraId="21584664" w14:textId="3B247AD0" w:rsidR="00087C5E" w:rsidRPr="0060729E" w:rsidRDefault="00087C5E" w:rsidP="00087C5E">
            <w:pPr>
              <w:jc w:val="left"/>
            </w:pPr>
            <w:r w:rsidRPr="0060729E">
              <w:t>ii)</w:t>
            </w:r>
          </w:p>
        </w:tc>
      </w:tr>
      <w:tr w:rsidR="0060729E" w:rsidRPr="0060729E" w14:paraId="697F6889" w14:textId="77777777" w:rsidTr="003F6FE2">
        <w:trPr>
          <w:cantSplit/>
          <w:trHeight w:val="28"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7E7EFF" w14:textId="0AA10AB1" w:rsidR="00087C5E" w:rsidRPr="0060729E" w:rsidRDefault="00426166" w:rsidP="00426166">
            <w:r w:rsidRPr="0060729E">
              <w:t>Question n°</w:t>
            </w:r>
            <w:r w:rsidR="009F1C92" w:rsidRPr="0060729E">
              <w:t> </w:t>
            </w:r>
            <w:r w:rsidRPr="0060729E">
              <w:t>10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DAD533" w14:textId="4D0BBD16" w:rsidR="00087C5E" w:rsidRPr="0060729E" w:rsidRDefault="00426166" w:rsidP="00426166">
            <w:pPr>
              <w:jc w:val="left"/>
            </w:pPr>
            <w:r w:rsidRPr="0060729E">
              <w:t xml:space="preserve">Examiner la manière dont </w:t>
            </w:r>
            <w:r w:rsidR="00967920">
              <w:t>un ISC</w:t>
            </w:r>
            <w:r w:rsidRPr="0060729E">
              <w:t xml:space="preserve"> pourrait être utilisé pour appuyer les capacités en matière d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 xml:space="preserve">DHS en vue de faciliter la coopération, </w:t>
            </w:r>
            <w:r w:rsidR="001D6EDD" w:rsidRPr="0060729E">
              <w:t>y compris</w:t>
            </w:r>
            <w:r w:rsidRPr="0060729E">
              <w:t xml:space="preserve"> le développement de nouvelles capacités susceptibles de faciliter la coopération.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1FA31" w14:textId="77777777" w:rsidR="00C5365E" w:rsidRPr="0060729E" w:rsidRDefault="00426166" w:rsidP="00426166">
            <w:pPr>
              <w:jc w:val="left"/>
            </w:pPr>
            <w:r w:rsidRPr="0060729E">
              <w:t>Examen DHS</w:t>
            </w:r>
          </w:p>
          <w:p w14:paraId="2B57FC86" w14:textId="19337529" w:rsidR="00087C5E" w:rsidRPr="0060729E" w:rsidRDefault="006853D1" w:rsidP="00087C5E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60729E" w:rsidRPr="0060729E" w14:paraId="32BC9A97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A3106" w14:textId="7DDE5105" w:rsidR="00087C5E" w:rsidRPr="0060729E" w:rsidRDefault="00426166" w:rsidP="00426166">
            <w:r w:rsidRPr="0060729E">
              <w:t>Question n°</w:t>
            </w:r>
            <w:r w:rsidR="009F1C92" w:rsidRPr="0060729E">
              <w:t> </w:t>
            </w:r>
            <w:r w:rsidRPr="0060729E">
              <w:t>22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7AA8A" w14:textId="06D8079E" w:rsidR="00C5365E" w:rsidRPr="0060729E" w:rsidRDefault="00426166" w:rsidP="00426166">
            <w:pPr>
              <w:jc w:val="left"/>
            </w:pPr>
            <w:r w:rsidRPr="0060729E">
              <w:t>[partie] a)</w:t>
            </w:r>
            <w:r w:rsidRPr="0060729E">
              <w:tab/>
              <w:t>Examiner si les renseignements fournis à la question 22.v) et vi) devraient être contrôlés et conservés par les membres de l</w:t>
            </w:r>
            <w:r w:rsidR="001D6EDD" w:rsidRPr="0060729E">
              <w:t>’</w:t>
            </w:r>
            <w:r w:rsidRPr="0060729E">
              <w:t>Union, et mis à disposition d</w:t>
            </w:r>
            <w:r w:rsidR="001D6EDD" w:rsidRPr="0060729E">
              <w:t>’</w:t>
            </w:r>
            <w:r w:rsidRPr="0060729E">
              <w:t>une façon générale via la base de données PLUTO.</w:t>
            </w:r>
          </w:p>
          <w:p w14:paraId="1D765789" w14:textId="77777777" w:rsidR="00C5365E" w:rsidRPr="0060729E" w:rsidRDefault="00C5365E" w:rsidP="00087C5E">
            <w:pPr>
              <w:jc w:val="left"/>
            </w:pPr>
          </w:p>
          <w:p w14:paraId="6008EFB8" w14:textId="54D73B7B" w:rsidR="00C5365E" w:rsidRPr="0060729E" w:rsidRDefault="00426166" w:rsidP="00426166">
            <w:pPr>
              <w:ind w:left="642"/>
              <w:jc w:val="left"/>
            </w:pPr>
            <w:r w:rsidRPr="0060729E">
              <w:t>[v)</w:t>
            </w:r>
            <w:r w:rsidRPr="0060729E">
              <w:tab/>
              <w:t>tenir à jour les descriptions variétales normalisées selon les critères établis par l</w:t>
            </w:r>
            <w:r w:rsidR="001D6EDD" w:rsidRPr="0060729E">
              <w:t>’</w:t>
            </w:r>
            <w:r w:rsidRPr="0060729E">
              <w:t>UPOV, les informations sur les variétés notoirement connues qui sont prises en considération dans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DHS, le statut et l</w:t>
            </w:r>
            <w:r w:rsidR="001D6EDD" w:rsidRPr="0060729E">
              <w:t>’</w:t>
            </w:r>
            <w:r w:rsidRPr="0060729E">
              <w:t>usage de tout matériel de reproduction ou de multiplication fourni par l</w:t>
            </w:r>
            <w:r w:rsidR="001D6EDD" w:rsidRPr="0060729E">
              <w:t>’</w:t>
            </w:r>
            <w:r w:rsidRPr="0060729E">
              <w:t>obtenteur, ainsi que les informations sur la généalogie et les lignées parentales des variétés hybrides (qui doivent rester confidentielles);  et</w:t>
            </w:r>
          </w:p>
          <w:p w14:paraId="51E15496" w14:textId="30448C0F" w:rsidR="00087C5E" w:rsidRPr="0060729E" w:rsidRDefault="00426166" w:rsidP="00426166">
            <w:pPr>
              <w:ind w:left="642"/>
              <w:jc w:val="left"/>
            </w:pPr>
            <w:r w:rsidRPr="0060729E">
              <w:t>vi)</w:t>
            </w:r>
            <w:r w:rsidRPr="0060729E">
              <w:tab/>
              <w:t>inclure la recherche de variétés notoirement connues avec lesquelles la variété faisant l</w:t>
            </w:r>
            <w:r w:rsidR="001D6EDD" w:rsidRPr="0060729E">
              <w:t>’</w:t>
            </w:r>
            <w:r w:rsidRPr="0060729E">
              <w:t>objet de la demande pourrait être comparée.]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6EA2A" w14:textId="77777777" w:rsidR="00C5365E" w:rsidRPr="0060729E" w:rsidRDefault="00426166" w:rsidP="00426166">
            <w:pPr>
              <w:jc w:val="left"/>
            </w:pPr>
            <w:r w:rsidRPr="0060729E">
              <w:t>Examen DHS</w:t>
            </w:r>
          </w:p>
          <w:p w14:paraId="090227C6" w14:textId="4E7806EF" w:rsidR="00087C5E" w:rsidRPr="0060729E" w:rsidRDefault="006853D1" w:rsidP="00087C5E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087C5E" w:rsidRPr="0060729E" w14:paraId="5C84EB13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36D86" w14:textId="77777777" w:rsidR="00087C5E" w:rsidRPr="0060729E" w:rsidRDefault="00087C5E" w:rsidP="00087C5E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0D58EA" w14:textId="6C0944F1" w:rsidR="00087C5E" w:rsidRPr="0060729E" w:rsidRDefault="00426166" w:rsidP="00E523D6">
            <w:pPr>
              <w:jc w:val="left"/>
            </w:pPr>
            <w:r w:rsidRPr="0060729E">
              <w:t>[partie] b)</w:t>
            </w:r>
            <w:r w:rsidRPr="0060729E">
              <w:tab/>
              <w:t>Examiner si les renseignements fournis à la question 22.v) et</w:t>
            </w:r>
            <w:r w:rsidR="00E523D6" w:rsidRPr="0060729E">
              <w:t> </w:t>
            </w:r>
            <w:r w:rsidRPr="0060729E">
              <w:t>vil) devraient être contrôlés et conservés par les membres de l</w:t>
            </w:r>
            <w:r w:rsidR="001D6EDD" w:rsidRPr="0060729E">
              <w:t>’</w:t>
            </w:r>
            <w:r w:rsidRPr="0060729E">
              <w:t>Union, et mis à disposition d</w:t>
            </w:r>
            <w:r w:rsidR="001D6EDD" w:rsidRPr="0060729E">
              <w:t>’</w:t>
            </w:r>
            <w:r w:rsidRPr="0060729E">
              <w:t>une façon générale via la base de données PLUTO.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8DB6D" w14:textId="77777777" w:rsidR="00C5365E" w:rsidRPr="0060729E" w:rsidRDefault="00426166" w:rsidP="00426166">
            <w:pPr>
              <w:jc w:val="left"/>
            </w:pPr>
            <w:r w:rsidRPr="0060729E">
              <w:t>Examen DHS</w:t>
            </w:r>
          </w:p>
          <w:p w14:paraId="40A6DD4F" w14:textId="68531C93" w:rsidR="00087C5E" w:rsidRPr="0060729E" w:rsidRDefault="006853D1" w:rsidP="00087C5E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</w:tbl>
    <w:p w14:paraId="723B2DC3" w14:textId="77777777" w:rsidR="006853D1" w:rsidRPr="0060729E" w:rsidRDefault="006853D1" w:rsidP="00F53986"/>
    <w:p w14:paraId="79B1284E" w14:textId="77777777" w:rsidR="00F53986" w:rsidRPr="0060729E" w:rsidRDefault="00F53986" w:rsidP="00F53986"/>
    <w:p w14:paraId="63578753" w14:textId="77777777" w:rsidR="00C5365E" w:rsidRPr="0060729E" w:rsidRDefault="00426166" w:rsidP="006853D1">
      <w:pPr>
        <w:pStyle w:val="Heading1"/>
        <w:rPr>
          <w:color w:val="auto"/>
          <w:lang w:val="fr-FR"/>
        </w:rPr>
      </w:pPr>
      <w:r w:rsidRPr="0060729E">
        <w:rPr>
          <w:color w:val="auto"/>
          <w:lang w:val="fr-FR"/>
        </w:rPr>
        <w:t>NOUVEAUTÉ</w:t>
      </w:r>
    </w:p>
    <w:p w14:paraId="2FEF742A" w14:textId="77777777" w:rsidR="00C5365E" w:rsidRPr="0060729E" w:rsidRDefault="00C5365E" w:rsidP="00297E41"/>
    <w:p w14:paraId="62266261" w14:textId="77777777" w:rsidR="007C5F8B" w:rsidRPr="0060729E" w:rsidRDefault="007C5F8B" w:rsidP="007C5F8B">
      <w:pPr>
        <w:rPr>
          <w:u w:val="single"/>
        </w:rPr>
      </w:pPr>
      <w:r w:rsidRPr="0060729E">
        <w:rPr>
          <w:u w:val="single"/>
        </w:rPr>
        <w:t>Besoins des services de protection des obtentions végétales</w:t>
      </w:r>
    </w:p>
    <w:p w14:paraId="3C6BE0D2" w14:textId="77777777" w:rsidR="00C5365E" w:rsidRPr="0060729E" w:rsidRDefault="00C5365E" w:rsidP="00297E41"/>
    <w:p w14:paraId="119CA8EA" w14:textId="735D3D40" w:rsidR="00C5365E" w:rsidRPr="0060729E" w:rsidRDefault="00A32FE9" w:rsidP="00F53986">
      <w:pPr>
        <w:pStyle w:val="ListParagraph"/>
        <w:numPr>
          <w:ilvl w:val="0"/>
          <w:numId w:val="26"/>
        </w:numPr>
        <w:ind w:left="1134" w:hanging="567"/>
      </w:pPr>
      <w:r w:rsidRPr="0060729E">
        <w:rPr>
          <w:u w:val="single"/>
        </w:rPr>
        <w:t>avoir accès à des informations plus récentes et plus précises sur la nouveauté de la part des membres de l</w:t>
      </w:r>
      <w:r w:rsidR="001D6EDD" w:rsidRPr="0060729E">
        <w:rPr>
          <w:u w:val="single"/>
        </w:rPr>
        <w:t>’</w:t>
      </w:r>
      <w:r w:rsidRPr="0060729E">
        <w:rPr>
          <w:u w:val="single"/>
        </w:rPr>
        <w:t>Union</w:t>
      </w:r>
      <w:r w:rsidRPr="0060729E">
        <w:t>,</w:t>
      </w:r>
    </w:p>
    <w:p w14:paraId="4208DD91" w14:textId="2E945548" w:rsidR="00C5365E" w:rsidRPr="0060729E" w:rsidRDefault="00FE74CC" w:rsidP="00F53986">
      <w:pPr>
        <w:pStyle w:val="ListParagraph"/>
        <w:numPr>
          <w:ilvl w:val="0"/>
          <w:numId w:val="26"/>
        </w:numPr>
        <w:ind w:left="1134" w:hanging="567"/>
        <w:rPr>
          <w:lang w:eastAsia="ja-JP"/>
        </w:rPr>
      </w:pPr>
      <w:r w:rsidRPr="0060729E">
        <w:rPr>
          <w:rFonts w:cs="Arial"/>
          <w:lang w:eastAsia="ja-JP"/>
        </w:rPr>
        <w:t>obtenir plus d</w:t>
      </w:r>
      <w:r w:rsidR="001D6EDD" w:rsidRPr="0060729E">
        <w:rPr>
          <w:rFonts w:cs="Arial"/>
          <w:lang w:eastAsia="ja-JP"/>
        </w:rPr>
        <w:t>’</w:t>
      </w:r>
      <w:r w:rsidRPr="0060729E">
        <w:rPr>
          <w:rFonts w:cs="Arial"/>
          <w:lang w:eastAsia="ja-JP"/>
        </w:rPr>
        <w:t xml:space="preserve">informations sur les critères </w:t>
      </w:r>
      <w:r w:rsidR="00F06DF8" w:rsidRPr="0060729E">
        <w:rPr>
          <w:rFonts w:cs="Arial"/>
          <w:lang w:eastAsia="ja-JP"/>
        </w:rPr>
        <w:t>innovants</w:t>
      </w:r>
      <w:r w:rsidRPr="0060729E">
        <w:rPr>
          <w:rFonts w:cs="Arial"/>
          <w:lang w:eastAsia="ja-JP"/>
        </w:rPr>
        <w:t xml:space="preserve"> pour chaque membre de l</w:t>
      </w:r>
      <w:r w:rsidR="001D6EDD" w:rsidRPr="0060729E">
        <w:rPr>
          <w:rFonts w:cs="Arial"/>
          <w:lang w:eastAsia="ja-JP"/>
        </w:rPr>
        <w:t>’</w:t>
      </w:r>
      <w:r w:rsidRPr="0060729E">
        <w:rPr>
          <w:rFonts w:cs="Arial"/>
          <w:lang w:eastAsia="ja-JP"/>
        </w:rPr>
        <w:t>Union,</w:t>
      </w:r>
      <w:r w:rsidR="00022F87" w:rsidRPr="0060729E">
        <w:rPr>
          <w:rFonts w:cs="Arial"/>
          <w:lang w:eastAsia="ja-JP"/>
        </w:rPr>
        <w:t xml:space="preserve"> et</w:t>
      </w:r>
    </w:p>
    <w:p w14:paraId="6928E53B" w14:textId="5B100F12" w:rsidR="00C5365E" w:rsidRPr="0060729E" w:rsidRDefault="007710DA" w:rsidP="00F53986">
      <w:pPr>
        <w:pStyle w:val="ListParagraph"/>
        <w:numPr>
          <w:ilvl w:val="0"/>
          <w:numId w:val="26"/>
        </w:numPr>
        <w:ind w:left="1134" w:hanging="567"/>
        <w:rPr>
          <w:lang w:eastAsia="ja-JP"/>
        </w:rPr>
      </w:pPr>
      <w:r w:rsidRPr="0060729E">
        <w:rPr>
          <w:szCs w:val="24"/>
          <w:lang w:eastAsia="ja-JP"/>
        </w:rPr>
        <w:t xml:space="preserve">obtenir </w:t>
      </w:r>
      <w:r w:rsidR="00AA0D96" w:rsidRPr="0060729E">
        <w:rPr>
          <w:szCs w:val="24"/>
          <w:lang w:eastAsia="ja-JP"/>
        </w:rPr>
        <w:t xml:space="preserve">de la part des déposants </w:t>
      </w:r>
      <w:r w:rsidRPr="0060729E">
        <w:rPr>
          <w:szCs w:val="24"/>
          <w:lang w:eastAsia="ja-JP"/>
        </w:rPr>
        <w:t>plus d</w:t>
      </w:r>
      <w:r w:rsidR="001D6EDD" w:rsidRPr="0060729E">
        <w:rPr>
          <w:szCs w:val="24"/>
          <w:lang w:eastAsia="ja-JP"/>
        </w:rPr>
        <w:t>’</w:t>
      </w:r>
      <w:r w:rsidRPr="0060729E">
        <w:rPr>
          <w:szCs w:val="24"/>
          <w:lang w:eastAsia="ja-JP"/>
        </w:rPr>
        <w:t xml:space="preserve">informations sur les actes </w:t>
      </w:r>
      <w:r w:rsidR="00F06DF8" w:rsidRPr="0060729E">
        <w:rPr>
          <w:szCs w:val="24"/>
          <w:lang w:eastAsia="ja-JP"/>
        </w:rPr>
        <w:t>innovants</w:t>
      </w:r>
      <w:r w:rsidRPr="0060729E">
        <w:rPr>
          <w:szCs w:val="24"/>
          <w:lang w:eastAsia="ja-JP"/>
        </w:rPr>
        <w:t>, plutôt qu</w:t>
      </w:r>
      <w:r w:rsidR="001D6EDD" w:rsidRPr="0060729E">
        <w:rPr>
          <w:szCs w:val="24"/>
          <w:lang w:eastAsia="ja-JP"/>
        </w:rPr>
        <w:t>’</w:t>
      </w:r>
      <w:r w:rsidRPr="0060729E">
        <w:rPr>
          <w:szCs w:val="24"/>
          <w:lang w:eastAsia="ja-JP"/>
        </w:rPr>
        <w:t>uniquement des dates.</w:t>
      </w:r>
    </w:p>
    <w:p w14:paraId="60EEF54D" w14:textId="77777777" w:rsidR="00C5365E" w:rsidRPr="0060729E" w:rsidRDefault="00C5365E" w:rsidP="00297E41"/>
    <w:p w14:paraId="4A458841" w14:textId="6605BD1B" w:rsidR="00C5365E" w:rsidRPr="0060729E" w:rsidRDefault="003C7623" w:rsidP="00297E41">
      <w:pPr>
        <w:pStyle w:val="Heading2"/>
        <w:rPr>
          <w:lang w:val="fr-FR"/>
        </w:rPr>
      </w:pPr>
      <w:r w:rsidRPr="0060729E">
        <w:rPr>
          <w:lang w:val="fr-FR"/>
        </w:rPr>
        <w:t xml:space="preserve">Questions pertinentes dans le </w:t>
      </w:r>
      <w:r w:rsidR="00087C5E" w:rsidRPr="0060729E">
        <w:rPr>
          <w:lang w:val="fr-FR"/>
        </w:rPr>
        <w:t>document CC/92/10</w:t>
      </w:r>
    </w:p>
    <w:p w14:paraId="6888F410" w14:textId="77777777" w:rsidR="00087C5E" w:rsidRPr="0060729E" w:rsidRDefault="00087C5E" w:rsidP="00297E41"/>
    <w:tbl>
      <w:tblPr>
        <w:tblStyle w:val="TableGrid"/>
        <w:tblW w:w="9781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8"/>
        <w:gridCol w:w="6172"/>
        <w:gridCol w:w="2471"/>
      </w:tblGrid>
      <w:tr w:rsidR="0060729E" w:rsidRPr="0060729E" w14:paraId="5EF9AB80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7EA78" w14:textId="6011B187" w:rsidR="00087C5E" w:rsidRPr="0060729E" w:rsidRDefault="00426166" w:rsidP="00426166">
            <w:r w:rsidRPr="0060729E">
              <w:t>Question n°</w:t>
            </w:r>
            <w:r w:rsidR="009F1C92" w:rsidRPr="0060729E">
              <w:t> </w:t>
            </w:r>
            <w:r w:rsidRPr="0060729E">
              <w:t>11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FBAE392" w14:textId="75CBC083" w:rsidR="00087C5E" w:rsidRPr="0060729E" w:rsidRDefault="00426166" w:rsidP="00426166">
            <w:pPr>
              <w:jc w:val="left"/>
            </w:pPr>
            <w:r w:rsidRPr="0060729E">
              <w:t>b)</w:t>
            </w:r>
            <w:r w:rsidRPr="0060729E">
              <w:tab/>
              <w:t>Examiner la base sur laquelle les services chargés de l</w:t>
            </w:r>
            <w:r w:rsidR="001D6EDD" w:rsidRPr="0060729E">
              <w:t>’</w:t>
            </w:r>
            <w:r w:rsidRPr="0060729E">
              <w:t>observation préliminaire seraient choisis pour mener l</w:t>
            </w:r>
            <w:r w:rsidR="001D6EDD" w:rsidRPr="0060729E">
              <w:t>’</w:t>
            </w:r>
            <w:r w:rsidRPr="0060729E">
              <w:t>observation préliminaire.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3A0B" w14:textId="77777777" w:rsidR="00C5365E" w:rsidRPr="0060729E" w:rsidRDefault="00426166" w:rsidP="00426166">
            <w:pPr>
              <w:jc w:val="left"/>
            </w:pPr>
            <w:r w:rsidRPr="0060729E">
              <w:t>Nouveauté</w:t>
            </w:r>
          </w:p>
          <w:p w14:paraId="2FF4A851" w14:textId="77777777" w:rsidR="00C5365E" w:rsidRPr="0060729E" w:rsidRDefault="00087C5E" w:rsidP="00297E41">
            <w:pPr>
              <w:jc w:val="left"/>
            </w:pPr>
            <w:r w:rsidRPr="0060729E">
              <w:t>i)</w:t>
            </w:r>
          </w:p>
          <w:p w14:paraId="57E9E9B1" w14:textId="77777777" w:rsidR="00C5365E" w:rsidRPr="0060729E" w:rsidRDefault="00426166" w:rsidP="00426166">
            <w:pPr>
              <w:jc w:val="left"/>
            </w:pPr>
            <w:r w:rsidRPr="0060729E">
              <w:t>Dénomination</w:t>
            </w:r>
          </w:p>
          <w:p w14:paraId="43B702F8" w14:textId="77777777" w:rsidR="00087C5E" w:rsidRPr="0060729E" w:rsidRDefault="006853D1" w:rsidP="00297E41">
            <w:pPr>
              <w:jc w:val="left"/>
            </w:pPr>
            <w:r w:rsidRPr="0060729E">
              <w:t xml:space="preserve">i), ii), </w:t>
            </w:r>
            <w:r w:rsidR="00087C5E" w:rsidRPr="0060729E">
              <w:t>iii)</w:t>
            </w:r>
          </w:p>
        </w:tc>
      </w:tr>
      <w:tr w:rsidR="0060729E" w:rsidRPr="0060729E" w14:paraId="537957ED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352B50" w14:textId="21D46BB3" w:rsidR="00087C5E" w:rsidRPr="0060729E" w:rsidRDefault="00426166" w:rsidP="00426166">
            <w:r w:rsidRPr="0060729E">
              <w:t>Question n°</w:t>
            </w:r>
            <w:r w:rsidR="009F1C92" w:rsidRPr="0060729E">
              <w:t> </w:t>
            </w:r>
            <w:r w:rsidRPr="0060729E">
              <w:t>12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CB5F6D" w14:textId="439FB5FF" w:rsidR="00087C5E" w:rsidRPr="0060729E" w:rsidRDefault="00426166" w:rsidP="00426166">
            <w:pPr>
              <w:jc w:val="left"/>
            </w:pPr>
            <w:r w:rsidRPr="0060729E">
              <w:t>a)</w:t>
            </w:r>
            <w:r w:rsidRPr="0060729E">
              <w:tab/>
              <w:t>Préciser qu</w:t>
            </w:r>
            <w:r w:rsidR="001D6EDD" w:rsidRPr="0060729E">
              <w:t>’</w:t>
            </w:r>
            <w:r w:rsidRPr="0060729E">
              <w:t>une observation préliminaire devrait, dans la mesure du possible, avoir pour but d</w:t>
            </w:r>
            <w:r w:rsidR="001D6EDD" w:rsidRPr="0060729E">
              <w:t>’</w:t>
            </w:r>
            <w:r w:rsidRPr="0060729E">
              <w:t>évaluer l</w:t>
            </w:r>
            <w:r w:rsidR="001D6EDD" w:rsidRPr="0060729E">
              <w:t>’</w:t>
            </w:r>
            <w:r w:rsidRPr="0060729E">
              <w:t>acceptabilité d</w:t>
            </w:r>
            <w:r w:rsidR="001D6EDD" w:rsidRPr="0060729E">
              <w:t>’</w:t>
            </w:r>
            <w:r w:rsidRPr="0060729E">
              <w:t>une dénomination variétale proposée pour tous les membres de l</w:t>
            </w:r>
            <w:r w:rsidR="001D6EDD" w:rsidRPr="0060729E">
              <w:t>’</w:t>
            </w:r>
            <w:r w:rsidRPr="0060729E">
              <w:t>Union.</w:t>
            </w:r>
            <w:r w:rsidR="00087C5E" w:rsidRPr="0060729E">
              <w:t xml:space="preserve"> 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89763" w14:textId="77777777" w:rsidR="00C5365E" w:rsidRPr="0060729E" w:rsidRDefault="00426166" w:rsidP="00426166">
            <w:pPr>
              <w:jc w:val="left"/>
            </w:pPr>
            <w:r w:rsidRPr="0060729E">
              <w:t>Nouveauté</w:t>
            </w:r>
          </w:p>
          <w:p w14:paraId="6474930B" w14:textId="77777777" w:rsidR="00C5365E" w:rsidRPr="0060729E" w:rsidRDefault="00087C5E" w:rsidP="00297E41">
            <w:pPr>
              <w:jc w:val="left"/>
            </w:pPr>
            <w:r w:rsidRPr="0060729E">
              <w:t>i)</w:t>
            </w:r>
          </w:p>
          <w:p w14:paraId="673A0448" w14:textId="77777777" w:rsidR="00C5365E" w:rsidRPr="0060729E" w:rsidRDefault="009E028F" w:rsidP="009E028F">
            <w:pPr>
              <w:jc w:val="left"/>
            </w:pPr>
            <w:r w:rsidRPr="0060729E">
              <w:t>Dénomination</w:t>
            </w:r>
          </w:p>
          <w:p w14:paraId="37C31E97" w14:textId="77777777" w:rsidR="00087C5E" w:rsidRPr="0060729E" w:rsidRDefault="00087C5E" w:rsidP="00297E41">
            <w:pPr>
              <w:jc w:val="left"/>
            </w:pPr>
            <w:r w:rsidRPr="0060729E">
              <w:t>iii)</w:t>
            </w:r>
          </w:p>
        </w:tc>
      </w:tr>
      <w:tr w:rsidR="0060729E" w:rsidRPr="0060729E" w14:paraId="34920201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F0D77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247D6D" w14:textId="1D70E2BA" w:rsidR="00087C5E" w:rsidRPr="0060729E" w:rsidRDefault="009E028F" w:rsidP="009E028F">
            <w:pPr>
              <w:jc w:val="left"/>
            </w:pPr>
            <w:r w:rsidRPr="0060729E">
              <w:t>c)</w:t>
            </w:r>
            <w:r w:rsidRPr="0060729E">
              <w:tab/>
              <w:t>Examiner comment prendre en considération les membres de l</w:t>
            </w:r>
            <w:r w:rsidR="001D6EDD" w:rsidRPr="0060729E">
              <w:t>’</w:t>
            </w:r>
            <w:r w:rsidRPr="0060729E">
              <w:t>Union qui ne disposent pas de catalogues nationaux et ceux qui ne publient pas leurs données dans la base de données PLUTO.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C875A" w14:textId="77777777" w:rsidR="00C5365E" w:rsidRPr="0060729E" w:rsidRDefault="009E028F" w:rsidP="009E028F">
            <w:pPr>
              <w:jc w:val="left"/>
            </w:pPr>
            <w:r w:rsidRPr="0060729E">
              <w:t>Nouveauté</w:t>
            </w:r>
          </w:p>
          <w:p w14:paraId="34116FD9" w14:textId="77777777" w:rsidR="00C5365E" w:rsidRPr="0060729E" w:rsidRDefault="00087C5E" w:rsidP="00297E41">
            <w:pPr>
              <w:jc w:val="left"/>
            </w:pPr>
            <w:r w:rsidRPr="0060729E">
              <w:t>i)</w:t>
            </w:r>
          </w:p>
          <w:p w14:paraId="1BFC9DBE" w14:textId="77777777" w:rsidR="00C5365E" w:rsidRPr="0060729E" w:rsidRDefault="009E028F" w:rsidP="009E028F">
            <w:pPr>
              <w:jc w:val="left"/>
            </w:pPr>
            <w:r w:rsidRPr="0060729E">
              <w:t>Dénomination</w:t>
            </w:r>
          </w:p>
          <w:p w14:paraId="453C478F" w14:textId="77777777" w:rsidR="00087C5E" w:rsidRPr="0060729E" w:rsidRDefault="006853D1" w:rsidP="00297E41">
            <w:pPr>
              <w:jc w:val="left"/>
            </w:pPr>
            <w:r w:rsidRPr="0060729E">
              <w:t xml:space="preserve">i), ii), iv), </w:t>
            </w:r>
            <w:r w:rsidR="00087C5E" w:rsidRPr="0060729E">
              <w:t>v)</w:t>
            </w:r>
          </w:p>
        </w:tc>
      </w:tr>
      <w:tr w:rsidR="0060729E" w:rsidRPr="0060729E" w14:paraId="043526F9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063BE06" w14:textId="6D347BD4" w:rsidR="00087C5E" w:rsidRPr="0060729E" w:rsidRDefault="00213B70" w:rsidP="00213B70">
            <w:r w:rsidRPr="0060729E">
              <w:t>Question n°</w:t>
            </w:r>
            <w:r w:rsidR="009F1C92" w:rsidRPr="0060729E">
              <w:t> </w:t>
            </w:r>
            <w:r w:rsidRPr="0060729E">
              <w:t>16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D7DC7F7" w14:textId="117F7100" w:rsidR="00087C5E" w:rsidRPr="0060729E" w:rsidRDefault="00213B70" w:rsidP="00213B70">
            <w:pPr>
              <w:jc w:val="left"/>
            </w:pPr>
            <w:r w:rsidRPr="0060729E">
              <w:t>Rappeler que le formulaire type de l</w:t>
            </w:r>
            <w:r w:rsidR="001D6EDD" w:rsidRPr="0060729E">
              <w:t>’</w:t>
            </w:r>
            <w:r w:rsidRPr="0060729E">
              <w:t>UPOV pour la demande de protection d</w:t>
            </w:r>
            <w:r w:rsidR="001D6EDD" w:rsidRPr="0060729E">
              <w:t>’</w:t>
            </w:r>
            <w:r w:rsidRPr="0060729E">
              <w:t>une obtention végétale (document TGP/5 “Expérience et coopération en matière d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 xml:space="preserve">DHS”, </w:t>
            </w:r>
            <w:r w:rsidR="001D6EDD" w:rsidRPr="0060729E">
              <w:t>section 2</w:t>
            </w:r>
            <w:r w:rsidRPr="0060729E">
              <w:t xml:space="preserve">) contient, en son </w:t>
            </w:r>
            <w:r w:rsidR="001D6EDD" w:rsidRPr="0060729E">
              <w:t>point 8</w:t>
            </w:r>
            <w:r w:rsidRPr="0060729E">
              <w:t>, une question concernant la nouveauté.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D3C21" w14:textId="77777777" w:rsidR="00C5365E" w:rsidRPr="0060729E" w:rsidRDefault="00213B70" w:rsidP="00213B70">
            <w:pPr>
              <w:jc w:val="left"/>
            </w:pPr>
            <w:r w:rsidRPr="0060729E">
              <w:t>Nouveauté</w:t>
            </w:r>
          </w:p>
          <w:p w14:paraId="32A878F5" w14:textId="77777777" w:rsidR="00087C5E" w:rsidRPr="0060729E" w:rsidRDefault="00087C5E" w:rsidP="00297E41">
            <w:pPr>
              <w:jc w:val="left"/>
            </w:pPr>
            <w:r w:rsidRPr="0060729E">
              <w:t>i)</w:t>
            </w:r>
          </w:p>
        </w:tc>
      </w:tr>
      <w:tr w:rsidR="0060729E" w:rsidRPr="0060729E" w14:paraId="5564DC50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24DB61" w14:textId="611EBF93" w:rsidR="00087C5E" w:rsidRPr="0060729E" w:rsidRDefault="00213B70" w:rsidP="00213B70">
            <w:r w:rsidRPr="0060729E">
              <w:t>Question n°</w:t>
            </w:r>
            <w:r w:rsidR="009F1C92" w:rsidRPr="0060729E">
              <w:t> </w:t>
            </w:r>
            <w:r w:rsidRPr="0060729E">
              <w:t>17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F00BF33" w14:textId="4BC63CB8" w:rsidR="00087C5E" w:rsidRPr="0060729E" w:rsidRDefault="00213B70" w:rsidP="00213B70">
            <w:pPr>
              <w:jc w:val="left"/>
            </w:pPr>
            <w:r w:rsidRPr="0060729E">
              <w:t>a)</w:t>
            </w:r>
            <w:r w:rsidRPr="0060729E">
              <w:tab/>
              <w:t>Rappeler que la base de données PLUTO contient une rubrique permettant de fournir des informations sur les dates auxquelles une variété a été commercialisée pour la première fois dans le territoire de la demande et dans d</w:t>
            </w:r>
            <w:r w:rsidR="001D6EDD" w:rsidRPr="0060729E">
              <w:t>’</w:t>
            </w:r>
            <w:r w:rsidRPr="0060729E">
              <w:t>autres territoires.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3F2BF" w14:textId="77777777" w:rsidR="00C5365E" w:rsidRPr="0060729E" w:rsidRDefault="00213B70" w:rsidP="00213B70">
            <w:pPr>
              <w:jc w:val="left"/>
            </w:pPr>
            <w:r w:rsidRPr="0060729E">
              <w:t>Nouveauté</w:t>
            </w:r>
          </w:p>
          <w:p w14:paraId="147486D2" w14:textId="77777777" w:rsidR="00087C5E" w:rsidRPr="0060729E" w:rsidRDefault="00087C5E" w:rsidP="00297E41">
            <w:pPr>
              <w:jc w:val="left"/>
            </w:pPr>
            <w:r w:rsidRPr="0060729E">
              <w:t>i)</w:t>
            </w:r>
          </w:p>
        </w:tc>
      </w:tr>
      <w:tr w:rsidR="00087C5E" w:rsidRPr="0060729E" w14:paraId="60726246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4C17B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95F4C0C" w14:textId="13E3D95D" w:rsidR="00087C5E" w:rsidRPr="0060729E" w:rsidRDefault="00213B70" w:rsidP="00213B70">
            <w:pPr>
              <w:jc w:val="left"/>
            </w:pPr>
            <w:r w:rsidRPr="0060729E">
              <w:t>b)</w:t>
            </w:r>
            <w:r w:rsidRPr="0060729E">
              <w:tab/>
              <w:t>Tenir compte du fait que la notion de “première commercialisation” diffère selon les membres de l</w:t>
            </w:r>
            <w:r w:rsidR="001D6EDD" w:rsidRPr="0060729E">
              <w:t>’</w:t>
            </w:r>
            <w:r w:rsidRPr="0060729E">
              <w:t>UPOV.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F54352" w14:textId="77777777" w:rsidR="00C5365E" w:rsidRPr="0060729E" w:rsidRDefault="00213B70" w:rsidP="00213B70">
            <w:pPr>
              <w:jc w:val="left"/>
            </w:pPr>
            <w:r w:rsidRPr="0060729E">
              <w:t>Nouveauté</w:t>
            </w:r>
          </w:p>
          <w:p w14:paraId="47248E42" w14:textId="77777777" w:rsidR="00087C5E" w:rsidRPr="0060729E" w:rsidRDefault="006853D1" w:rsidP="00297E41">
            <w:pPr>
              <w:jc w:val="left"/>
            </w:pPr>
            <w:r w:rsidRPr="0060729E">
              <w:t xml:space="preserve">ii), </w:t>
            </w:r>
            <w:r w:rsidR="00087C5E" w:rsidRPr="0060729E">
              <w:t>iii)</w:t>
            </w:r>
          </w:p>
        </w:tc>
      </w:tr>
    </w:tbl>
    <w:p w14:paraId="387E7DDF" w14:textId="77777777" w:rsidR="00C5365E" w:rsidRPr="0060729E" w:rsidRDefault="00C5365E" w:rsidP="00297E41"/>
    <w:p w14:paraId="67AF9DD0" w14:textId="77777777" w:rsidR="00C5365E" w:rsidRPr="0060729E" w:rsidRDefault="00C5365E" w:rsidP="00297E41"/>
    <w:p w14:paraId="5746318B" w14:textId="77777777" w:rsidR="00C5365E" w:rsidRPr="0060729E" w:rsidRDefault="00411C78" w:rsidP="006853D1">
      <w:pPr>
        <w:pStyle w:val="Heading1"/>
        <w:rPr>
          <w:color w:val="auto"/>
          <w:lang w:val="fr-FR"/>
        </w:rPr>
      </w:pPr>
      <w:r w:rsidRPr="0060729E">
        <w:rPr>
          <w:color w:val="auto"/>
          <w:lang w:val="fr-FR"/>
        </w:rPr>
        <w:t>DROIT DE PRIORITÉ</w:t>
      </w:r>
    </w:p>
    <w:p w14:paraId="3AE77A70" w14:textId="77777777" w:rsidR="00C5365E" w:rsidRPr="0060729E" w:rsidRDefault="00C5365E" w:rsidP="00297E41">
      <w:pPr>
        <w:rPr>
          <w:lang w:eastAsia="ja-JP"/>
        </w:rPr>
      </w:pPr>
    </w:p>
    <w:p w14:paraId="4F2D6D74" w14:textId="372C9FF4" w:rsidR="00060960" w:rsidRPr="0060729E" w:rsidRDefault="00060960" w:rsidP="00060960">
      <w:pPr>
        <w:pStyle w:val="Heading2"/>
        <w:rPr>
          <w:lang w:val="fr-FR"/>
        </w:rPr>
      </w:pPr>
      <w:r w:rsidRPr="0060729E">
        <w:rPr>
          <w:lang w:val="fr-FR"/>
        </w:rPr>
        <w:t>Besoins des services de protection des obtentions végétales</w:t>
      </w:r>
    </w:p>
    <w:p w14:paraId="5D50E577" w14:textId="7574BAA0" w:rsidR="00C5365E" w:rsidRPr="0060729E" w:rsidRDefault="00C5365E" w:rsidP="00297E41">
      <w:pPr>
        <w:pStyle w:val="Heading2"/>
        <w:rPr>
          <w:lang w:val="fr-FR"/>
        </w:rPr>
      </w:pPr>
    </w:p>
    <w:p w14:paraId="5D5C11D8" w14:textId="261E7C59" w:rsidR="00C5365E" w:rsidRPr="0060729E" w:rsidRDefault="00513ABC" w:rsidP="00F53986">
      <w:pPr>
        <w:pStyle w:val="ListParagraph"/>
        <w:numPr>
          <w:ilvl w:val="0"/>
          <w:numId w:val="27"/>
        </w:numPr>
        <w:ind w:left="1134" w:hanging="567"/>
        <w:rPr>
          <w:szCs w:val="24"/>
          <w:lang w:eastAsia="ja-JP"/>
        </w:rPr>
      </w:pPr>
      <w:r w:rsidRPr="0060729E">
        <w:rPr>
          <w:szCs w:val="24"/>
          <w:lang w:eastAsia="ja-JP"/>
        </w:rPr>
        <w:t>améliorer les délais</w:t>
      </w:r>
      <w:r w:rsidR="005600DD" w:rsidRPr="0060729E">
        <w:rPr>
          <w:szCs w:val="24"/>
          <w:lang w:eastAsia="ja-JP"/>
        </w:rPr>
        <w:t xml:space="preserve"> de disponibilité</w:t>
      </w:r>
      <w:r w:rsidR="004672E6" w:rsidRPr="0060729E">
        <w:rPr>
          <w:szCs w:val="24"/>
          <w:lang w:eastAsia="ja-JP"/>
        </w:rPr>
        <w:t xml:space="preserve"> </w:t>
      </w:r>
      <w:r w:rsidR="005600DD" w:rsidRPr="0060729E">
        <w:rPr>
          <w:szCs w:val="24"/>
          <w:lang w:eastAsia="ja-JP"/>
        </w:rPr>
        <w:t xml:space="preserve">des données </w:t>
      </w:r>
      <w:r w:rsidR="004672E6" w:rsidRPr="0060729E">
        <w:rPr>
          <w:szCs w:val="24"/>
          <w:lang w:eastAsia="ja-JP"/>
        </w:rPr>
        <w:t>et l</w:t>
      </w:r>
      <w:r w:rsidR="005600DD" w:rsidRPr="0060729E">
        <w:rPr>
          <w:szCs w:val="24"/>
          <w:lang w:eastAsia="ja-JP"/>
        </w:rPr>
        <w:t xml:space="preserve">eur </w:t>
      </w:r>
      <w:r w:rsidR="004672E6" w:rsidRPr="0060729E">
        <w:rPr>
          <w:szCs w:val="24"/>
          <w:lang w:eastAsia="ja-JP"/>
        </w:rPr>
        <w:t>qualité au sein de l</w:t>
      </w:r>
      <w:r w:rsidR="001D6EDD" w:rsidRPr="0060729E">
        <w:rPr>
          <w:szCs w:val="24"/>
          <w:lang w:eastAsia="ja-JP"/>
        </w:rPr>
        <w:t>’</w:t>
      </w:r>
      <w:r w:rsidR="004672E6" w:rsidRPr="0060729E">
        <w:rPr>
          <w:szCs w:val="24"/>
          <w:lang w:eastAsia="ja-JP"/>
        </w:rPr>
        <w:t xml:space="preserve">UPOV en ce qui concerne la priorité, </w:t>
      </w:r>
      <w:r w:rsidR="007743D4" w:rsidRPr="0060729E">
        <w:rPr>
          <w:szCs w:val="24"/>
          <w:lang w:eastAsia="ja-JP"/>
        </w:rPr>
        <w:t>notamment</w:t>
      </w:r>
      <w:r w:rsidR="004672E6" w:rsidRPr="0060729E">
        <w:rPr>
          <w:szCs w:val="24"/>
          <w:lang w:eastAsia="ja-JP"/>
        </w:rPr>
        <w:t xml:space="preserve"> les dates </w:t>
      </w:r>
      <w:r w:rsidR="005600DD" w:rsidRPr="0060729E">
        <w:rPr>
          <w:szCs w:val="24"/>
          <w:lang w:eastAsia="ja-JP"/>
        </w:rPr>
        <w:t xml:space="preserve">de dépôt </w:t>
      </w:r>
      <w:r w:rsidR="004672E6" w:rsidRPr="0060729E">
        <w:rPr>
          <w:szCs w:val="24"/>
          <w:lang w:eastAsia="ja-JP"/>
        </w:rPr>
        <w:t>des demandes</w:t>
      </w:r>
      <w:r w:rsidR="007743D4" w:rsidRPr="0060729E">
        <w:rPr>
          <w:szCs w:val="24"/>
          <w:lang w:eastAsia="ja-JP"/>
        </w:rPr>
        <w:t>.</w:t>
      </w:r>
    </w:p>
    <w:p w14:paraId="74547287" w14:textId="77777777" w:rsidR="00F53986" w:rsidRPr="0060729E" w:rsidRDefault="00F53986" w:rsidP="00F53986">
      <w:pPr>
        <w:rPr>
          <w:lang w:eastAsia="ja-JP"/>
        </w:rPr>
      </w:pPr>
    </w:p>
    <w:p w14:paraId="4391B2AE" w14:textId="77777777" w:rsidR="001D6EDD" w:rsidRPr="0060729E" w:rsidRDefault="0093134C" w:rsidP="00297E41">
      <w:pPr>
        <w:pStyle w:val="Heading2"/>
        <w:rPr>
          <w:lang w:val="fr-FR"/>
        </w:rPr>
      </w:pPr>
      <w:r w:rsidRPr="0060729E">
        <w:rPr>
          <w:lang w:val="fr-FR"/>
        </w:rPr>
        <w:t xml:space="preserve">Questions pertinentes dans le document </w:t>
      </w:r>
      <w:r w:rsidR="00087C5E" w:rsidRPr="0060729E">
        <w:rPr>
          <w:lang w:val="fr-FR"/>
        </w:rPr>
        <w:t>CC/92/10</w:t>
      </w:r>
    </w:p>
    <w:p w14:paraId="1A5703C5" w14:textId="77777777" w:rsidR="00F53986" w:rsidRPr="0060729E" w:rsidRDefault="00F53986" w:rsidP="00F53986"/>
    <w:p w14:paraId="29E528BF" w14:textId="17386267" w:rsidR="00C5365E" w:rsidRPr="0060729E" w:rsidRDefault="00411C78" w:rsidP="00F53986">
      <w:pPr>
        <w:rPr>
          <w:lang w:eastAsia="ja-JP"/>
        </w:rPr>
      </w:pPr>
      <w:r w:rsidRPr="0060729E">
        <w:rPr>
          <w:lang w:eastAsia="ja-JP"/>
        </w:rPr>
        <w:t>[néant]</w:t>
      </w:r>
    </w:p>
    <w:p w14:paraId="6923C7FB" w14:textId="77777777" w:rsidR="00F53986" w:rsidRPr="0060729E" w:rsidRDefault="00F53986" w:rsidP="00F53986">
      <w:pPr>
        <w:rPr>
          <w:lang w:eastAsia="ja-JP"/>
        </w:rPr>
      </w:pPr>
    </w:p>
    <w:p w14:paraId="1CBBDBBA" w14:textId="77777777" w:rsidR="00F53986" w:rsidRPr="0060729E" w:rsidRDefault="00F53986" w:rsidP="00F53986">
      <w:pPr>
        <w:rPr>
          <w:lang w:eastAsia="ja-JP"/>
        </w:rPr>
      </w:pPr>
    </w:p>
    <w:p w14:paraId="5758F1CA" w14:textId="77777777" w:rsidR="00C5365E" w:rsidRPr="0060729E" w:rsidRDefault="00411C78" w:rsidP="006853D1">
      <w:pPr>
        <w:pStyle w:val="Heading1"/>
        <w:rPr>
          <w:color w:val="auto"/>
          <w:lang w:val="fr-FR"/>
        </w:rPr>
      </w:pPr>
      <w:r w:rsidRPr="0060729E">
        <w:rPr>
          <w:color w:val="auto"/>
          <w:lang w:val="fr-FR"/>
        </w:rPr>
        <w:t>DÉNOMINATION</w:t>
      </w:r>
    </w:p>
    <w:p w14:paraId="0A40BA63" w14:textId="77777777" w:rsidR="00C5365E" w:rsidRPr="0060729E" w:rsidRDefault="00C5365E" w:rsidP="00297E41">
      <w:pPr>
        <w:keepNext/>
        <w:rPr>
          <w:lang w:eastAsia="ja-JP"/>
        </w:rPr>
      </w:pPr>
    </w:p>
    <w:p w14:paraId="703B1FEF" w14:textId="45E4BF42" w:rsidR="00C5365E" w:rsidRPr="0060729E" w:rsidRDefault="00176AED" w:rsidP="00297E41">
      <w:pPr>
        <w:pStyle w:val="Heading2"/>
        <w:rPr>
          <w:lang w:val="fr-FR"/>
        </w:rPr>
      </w:pPr>
      <w:r w:rsidRPr="0060729E">
        <w:rPr>
          <w:lang w:val="fr-FR"/>
        </w:rPr>
        <w:t>Besoins des services de protection des obtentions végétales</w:t>
      </w:r>
    </w:p>
    <w:p w14:paraId="274507F7" w14:textId="77777777" w:rsidR="00C5365E" w:rsidRPr="0060729E" w:rsidRDefault="00C5365E" w:rsidP="00297E41">
      <w:pPr>
        <w:keepNext/>
        <w:rPr>
          <w:lang w:eastAsia="ja-JP"/>
        </w:rPr>
      </w:pPr>
    </w:p>
    <w:p w14:paraId="1E4F5730" w14:textId="46584204" w:rsidR="00C5365E" w:rsidRPr="0060729E" w:rsidRDefault="003B22DB" w:rsidP="00F53986">
      <w:pPr>
        <w:pStyle w:val="ListParagraph"/>
        <w:numPr>
          <w:ilvl w:val="0"/>
          <w:numId w:val="28"/>
        </w:numPr>
        <w:ind w:left="1134" w:hanging="567"/>
        <w:rPr>
          <w:szCs w:val="24"/>
          <w:lang w:eastAsia="ja-JP"/>
        </w:rPr>
      </w:pPr>
      <w:r w:rsidRPr="0060729E">
        <w:rPr>
          <w:szCs w:val="24"/>
          <w:lang w:eastAsia="ja-JP"/>
        </w:rPr>
        <w:t>faciliter l</w:t>
      </w:r>
      <w:r w:rsidR="001D6EDD" w:rsidRPr="0060729E">
        <w:rPr>
          <w:szCs w:val="24"/>
          <w:lang w:eastAsia="ja-JP"/>
        </w:rPr>
        <w:t>’</w:t>
      </w:r>
      <w:r w:rsidRPr="0060729E">
        <w:rPr>
          <w:szCs w:val="24"/>
          <w:lang w:eastAsia="ja-JP"/>
        </w:rPr>
        <w:t>accès aux informations sur l</w:t>
      </w:r>
      <w:r w:rsidR="002837DE" w:rsidRPr="0060729E">
        <w:rPr>
          <w:szCs w:val="24"/>
          <w:lang w:eastAsia="ja-JP"/>
        </w:rPr>
        <w:t>es</w:t>
      </w:r>
      <w:r w:rsidRPr="0060729E">
        <w:rPr>
          <w:szCs w:val="24"/>
          <w:lang w:eastAsia="ja-JP"/>
        </w:rPr>
        <w:t xml:space="preserve"> dénomination</w:t>
      </w:r>
      <w:r w:rsidR="002837DE" w:rsidRPr="0060729E">
        <w:rPr>
          <w:szCs w:val="24"/>
          <w:lang w:eastAsia="ja-JP"/>
        </w:rPr>
        <w:t>s</w:t>
      </w:r>
      <w:r w:rsidRPr="0060729E">
        <w:rPr>
          <w:szCs w:val="24"/>
          <w:lang w:eastAsia="ja-JP"/>
        </w:rPr>
        <w:t xml:space="preserve"> variétale</w:t>
      </w:r>
      <w:r w:rsidR="002837DE" w:rsidRPr="0060729E">
        <w:rPr>
          <w:szCs w:val="24"/>
          <w:lang w:eastAsia="ja-JP"/>
        </w:rPr>
        <w:t>s</w:t>
      </w:r>
      <w:r w:rsidRPr="0060729E">
        <w:rPr>
          <w:szCs w:val="24"/>
          <w:lang w:eastAsia="ja-JP"/>
        </w:rPr>
        <w:t>,</w:t>
      </w:r>
    </w:p>
    <w:p w14:paraId="64D098B6" w14:textId="0F2132C9" w:rsidR="00C5365E" w:rsidRPr="0060729E" w:rsidRDefault="00DF060E" w:rsidP="00F53986">
      <w:pPr>
        <w:pStyle w:val="ListParagraph"/>
        <w:numPr>
          <w:ilvl w:val="0"/>
          <w:numId w:val="28"/>
        </w:numPr>
        <w:ind w:left="1134" w:hanging="567"/>
        <w:rPr>
          <w:szCs w:val="24"/>
          <w:lang w:eastAsia="ja-JP"/>
        </w:rPr>
      </w:pPr>
      <w:r w:rsidRPr="0060729E">
        <w:rPr>
          <w:szCs w:val="24"/>
          <w:lang w:eastAsia="ja-JP"/>
        </w:rPr>
        <w:t xml:space="preserve">faciliter </w:t>
      </w:r>
      <w:r w:rsidR="00DD5938" w:rsidRPr="0060729E">
        <w:rPr>
          <w:szCs w:val="24"/>
          <w:lang w:eastAsia="ja-JP"/>
        </w:rPr>
        <w:t>l</w:t>
      </w:r>
      <w:r w:rsidR="001D6EDD" w:rsidRPr="0060729E">
        <w:rPr>
          <w:szCs w:val="24"/>
          <w:lang w:eastAsia="ja-JP"/>
        </w:rPr>
        <w:t>’</w:t>
      </w:r>
      <w:r w:rsidR="00DD5938" w:rsidRPr="0060729E">
        <w:rPr>
          <w:szCs w:val="24"/>
          <w:lang w:eastAsia="ja-JP"/>
        </w:rPr>
        <w:t xml:space="preserve">accès à des informations complètes et </w:t>
      </w:r>
      <w:r w:rsidR="0056087F" w:rsidRPr="0060729E">
        <w:rPr>
          <w:szCs w:val="24"/>
          <w:lang w:eastAsia="ja-JP"/>
        </w:rPr>
        <w:t>actualisées</w:t>
      </w:r>
      <w:r w:rsidR="00DD5938" w:rsidRPr="0060729E">
        <w:rPr>
          <w:szCs w:val="24"/>
          <w:lang w:eastAsia="ja-JP"/>
        </w:rPr>
        <w:t xml:space="preserve"> sur l</w:t>
      </w:r>
      <w:r w:rsidR="002837DE" w:rsidRPr="0060729E">
        <w:rPr>
          <w:szCs w:val="24"/>
          <w:lang w:eastAsia="ja-JP"/>
        </w:rPr>
        <w:t>es</w:t>
      </w:r>
      <w:r w:rsidRPr="0060729E">
        <w:rPr>
          <w:szCs w:val="24"/>
          <w:lang w:eastAsia="ja-JP"/>
        </w:rPr>
        <w:t xml:space="preserve"> dénomination</w:t>
      </w:r>
      <w:r w:rsidR="002837DE" w:rsidRPr="0060729E">
        <w:rPr>
          <w:szCs w:val="24"/>
          <w:lang w:eastAsia="ja-JP"/>
        </w:rPr>
        <w:t>s</w:t>
      </w:r>
      <w:r w:rsidRPr="0060729E">
        <w:rPr>
          <w:szCs w:val="24"/>
          <w:lang w:eastAsia="ja-JP"/>
        </w:rPr>
        <w:t xml:space="preserve"> variétale</w:t>
      </w:r>
      <w:r w:rsidR="002837DE" w:rsidRPr="0060729E">
        <w:rPr>
          <w:szCs w:val="24"/>
          <w:lang w:eastAsia="ja-JP"/>
        </w:rPr>
        <w:t>s</w:t>
      </w:r>
      <w:r w:rsidRPr="0060729E">
        <w:rPr>
          <w:szCs w:val="24"/>
          <w:lang w:eastAsia="ja-JP"/>
        </w:rPr>
        <w:t>,</w:t>
      </w:r>
    </w:p>
    <w:p w14:paraId="524968B3" w14:textId="05E5A509" w:rsidR="001D6EDD" w:rsidRPr="0060729E" w:rsidRDefault="000A013C" w:rsidP="00F53986">
      <w:pPr>
        <w:pStyle w:val="ListParagraph"/>
        <w:numPr>
          <w:ilvl w:val="0"/>
          <w:numId w:val="28"/>
        </w:numPr>
        <w:ind w:left="1134" w:hanging="567"/>
        <w:rPr>
          <w:szCs w:val="24"/>
          <w:lang w:eastAsia="ja-JP"/>
        </w:rPr>
      </w:pPr>
      <w:r w:rsidRPr="0060729E">
        <w:rPr>
          <w:szCs w:val="24"/>
          <w:lang w:eastAsia="ja-JP"/>
        </w:rPr>
        <w:t xml:space="preserve">créer </w:t>
      </w:r>
      <w:r w:rsidR="00A83729" w:rsidRPr="0060729E">
        <w:rPr>
          <w:szCs w:val="24"/>
          <w:lang w:eastAsia="ja-JP"/>
        </w:rPr>
        <w:t xml:space="preserve">un outil ou un </w:t>
      </w:r>
      <w:r w:rsidR="00BD0D81" w:rsidRPr="0060729E">
        <w:rPr>
          <w:szCs w:val="24"/>
          <w:lang w:eastAsia="ja-JP"/>
        </w:rPr>
        <w:t xml:space="preserve">service commun </w:t>
      </w:r>
      <w:r w:rsidR="00A83729" w:rsidRPr="0060729E">
        <w:rPr>
          <w:szCs w:val="24"/>
          <w:lang w:eastAsia="ja-JP"/>
        </w:rPr>
        <w:t xml:space="preserve">visant à </w:t>
      </w:r>
      <w:r w:rsidR="00BD0D81" w:rsidRPr="0060729E">
        <w:rPr>
          <w:szCs w:val="24"/>
          <w:lang w:eastAsia="ja-JP"/>
        </w:rPr>
        <w:t xml:space="preserve">faciliter </w:t>
      </w:r>
      <w:r w:rsidR="00A83729" w:rsidRPr="0060729E">
        <w:rPr>
          <w:szCs w:val="24"/>
          <w:lang w:eastAsia="ja-JP"/>
        </w:rPr>
        <w:t>l</w:t>
      </w:r>
      <w:r w:rsidR="001D6EDD" w:rsidRPr="0060729E">
        <w:rPr>
          <w:szCs w:val="24"/>
          <w:lang w:eastAsia="ja-JP"/>
        </w:rPr>
        <w:t>’</w:t>
      </w:r>
      <w:r w:rsidR="00A83729" w:rsidRPr="0060729E">
        <w:rPr>
          <w:szCs w:val="24"/>
          <w:lang w:eastAsia="ja-JP"/>
        </w:rPr>
        <w:t>harmonisation d</w:t>
      </w:r>
      <w:r w:rsidR="00BD0D81" w:rsidRPr="0060729E">
        <w:rPr>
          <w:szCs w:val="24"/>
          <w:lang w:eastAsia="ja-JP"/>
        </w:rPr>
        <w:t>es décisions sur les dénominations variétales,</w:t>
      </w:r>
    </w:p>
    <w:p w14:paraId="0299A76A" w14:textId="672B8C04" w:rsidR="00C5365E" w:rsidRPr="0060729E" w:rsidRDefault="00A57D7E" w:rsidP="00F53986">
      <w:pPr>
        <w:pStyle w:val="ListParagraph"/>
        <w:numPr>
          <w:ilvl w:val="0"/>
          <w:numId w:val="28"/>
        </w:numPr>
        <w:ind w:left="1134" w:hanging="567"/>
        <w:rPr>
          <w:szCs w:val="24"/>
          <w:lang w:eastAsia="ja-JP"/>
        </w:rPr>
      </w:pPr>
      <w:r w:rsidRPr="0060729E">
        <w:rPr>
          <w:szCs w:val="24"/>
          <w:lang w:eastAsia="ja-JP"/>
        </w:rPr>
        <w:t xml:space="preserve">obtenir </w:t>
      </w:r>
      <w:r w:rsidR="00F0375E" w:rsidRPr="0060729E">
        <w:rPr>
          <w:szCs w:val="24"/>
          <w:lang w:eastAsia="ja-JP"/>
        </w:rPr>
        <w:t>des informations sur les motifs de rejet</w:t>
      </w:r>
      <w:r w:rsidR="000A013C" w:rsidRPr="0060729E">
        <w:rPr>
          <w:szCs w:val="24"/>
          <w:lang w:eastAsia="ja-JP"/>
        </w:rPr>
        <w:t>, par les membres de l</w:t>
      </w:r>
      <w:r w:rsidR="001D6EDD" w:rsidRPr="0060729E">
        <w:rPr>
          <w:szCs w:val="24"/>
          <w:lang w:eastAsia="ja-JP"/>
        </w:rPr>
        <w:t>’</w:t>
      </w:r>
      <w:r w:rsidR="000A013C" w:rsidRPr="0060729E">
        <w:rPr>
          <w:szCs w:val="24"/>
          <w:lang w:eastAsia="ja-JP"/>
        </w:rPr>
        <w:t>Union, de</w:t>
      </w:r>
      <w:r w:rsidR="00F0375E" w:rsidRPr="0060729E">
        <w:rPr>
          <w:szCs w:val="24"/>
          <w:lang w:eastAsia="ja-JP"/>
        </w:rPr>
        <w:t xml:space="preserve"> dénominations qui avaient déjà été proposées ou enregistrées par un autre membre de l</w:t>
      </w:r>
      <w:r w:rsidR="001D6EDD" w:rsidRPr="0060729E">
        <w:rPr>
          <w:szCs w:val="24"/>
          <w:lang w:eastAsia="ja-JP"/>
        </w:rPr>
        <w:t>’</w:t>
      </w:r>
      <w:r w:rsidR="00F0375E" w:rsidRPr="0060729E">
        <w:rPr>
          <w:szCs w:val="24"/>
          <w:lang w:eastAsia="ja-JP"/>
        </w:rPr>
        <w:t>Union,</w:t>
      </w:r>
      <w:r w:rsidR="00087C5E" w:rsidRPr="0060729E">
        <w:rPr>
          <w:szCs w:val="24"/>
          <w:lang w:eastAsia="ja-JP"/>
        </w:rPr>
        <w:t xml:space="preserve"> </w:t>
      </w:r>
      <w:r w:rsidR="00F0375E" w:rsidRPr="0060729E">
        <w:rPr>
          <w:szCs w:val="24"/>
          <w:lang w:eastAsia="ja-JP"/>
        </w:rPr>
        <w:t>et</w:t>
      </w:r>
    </w:p>
    <w:p w14:paraId="5BB83E49" w14:textId="0C57225E" w:rsidR="00C5365E" w:rsidRPr="0060729E" w:rsidRDefault="00CC2173" w:rsidP="00F53986">
      <w:pPr>
        <w:pStyle w:val="ListParagraph"/>
        <w:numPr>
          <w:ilvl w:val="0"/>
          <w:numId w:val="28"/>
        </w:numPr>
        <w:ind w:left="1134" w:hanging="567"/>
        <w:rPr>
          <w:szCs w:val="24"/>
          <w:lang w:eastAsia="ja-JP"/>
        </w:rPr>
      </w:pPr>
      <w:r w:rsidRPr="0060729E">
        <w:rPr>
          <w:szCs w:val="24"/>
          <w:lang w:eastAsia="ja-JP"/>
        </w:rPr>
        <w:t xml:space="preserve">établir </w:t>
      </w:r>
      <w:r w:rsidR="004B5E58" w:rsidRPr="0060729E">
        <w:rPr>
          <w:szCs w:val="24"/>
          <w:lang w:eastAsia="ja-JP"/>
        </w:rPr>
        <w:t xml:space="preserve">un réseau </w:t>
      </w:r>
      <w:r w:rsidR="00641D12" w:rsidRPr="0060729E">
        <w:rPr>
          <w:szCs w:val="24"/>
          <w:lang w:eastAsia="ja-JP"/>
        </w:rPr>
        <w:t>d</w:t>
      </w:r>
      <w:r w:rsidR="001D6EDD" w:rsidRPr="0060729E">
        <w:rPr>
          <w:szCs w:val="24"/>
          <w:lang w:eastAsia="ja-JP"/>
        </w:rPr>
        <w:t>’</w:t>
      </w:r>
      <w:r w:rsidR="00641D12" w:rsidRPr="0060729E">
        <w:rPr>
          <w:szCs w:val="24"/>
          <w:lang w:eastAsia="ja-JP"/>
        </w:rPr>
        <w:t xml:space="preserve">interlocuteurs chargés des questions relatives </w:t>
      </w:r>
      <w:r w:rsidR="00BB535B" w:rsidRPr="0060729E">
        <w:rPr>
          <w:szCs w:val="24"/>
          <w:lang w:eastAsia="ja-JP"/>
        </w:rPr>
        <w:t>à la dénomination</w:t>
      </w:r>
      <w:r w:rsidR="004B5E58" w:rsidRPr="0060729E">
        <w:rPr>
          <w:szCs w:val="24"/>
          <w:lang w:eastAsia="ja-JP"/>
        </w:rPr>
        <w:t>.</w:t>
      </w:r>
    </w:p>
    <w:p w14:paraId="463A59E0" w14:textId="77777777" w:rsidR="00C5365E" w:rsidRPr="0060729E" w:rsidRDefault="00C5365E" w:rsidP="00297E41">
      <w:pPr>
        <w:keepNext/>
        <w:rPr>
          <w:lang w:eastAsia="ja-JP"/>
        </w:rPr>
      </w:pPr>
    </w:p>
    <w:p w14:paraId="4796D1AC" w14:textId="08EE9F80" w:rsidR="00C5365E" w:rsidRPr="0060729E" w:rsidRDefault="00112FB5" w:rsidP="00297E41">
      <w:pPr>
        <w:pStyle w:val="Heading2"/>
        <w:rPr>
          <w:lang w:val="fr-FR"/>
        </w:rPr>
      </w:pPr>
      <w:r w:rsidRPr="0060729E">
        <w:rPr>
          <w:lang w:val="fr-FR"/>
        </w:rPr>
        <w:t xml:space="preserve">Questions pertinentes dans le </w:t>
      </w:r>
      <w:r w:rsidR="00087C5E" w:rsidRPr="0060729E">
        <w:rPr>
          <w:lang w:val="fr-FR"/>
        </w:rPr>
        <w:t>document CC/92/10</w:t>
      </w:r>
    </w:p>
    <w:p w14:paraId="7FF69184" w14:textId="77777777" w:rsidR="00087C5E" w:rsidRPr="0060729E" w:rsidRDefault="00087C5E" w:rsidP="00297E41">
      <w:pPr>
        <w:keepNext/>
        <w:rPr>
          <w:lang w:eastAsia="ja-JP"/>
        </w:rPr>
      </w:pPr>
    </w:p>
    <w:tbl>
      <w:tblPr>
        <w:tblStyle w:val="TableGrid"/>
        <w:tblW w:w="9781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8"/>
        <w:gridCol w:w="6172"/>
        <w:gridCol w:w="2471"/>
      </w:tblGrid>
      <w:tr w:rsidR="0060729E" w:rsidRPr="0060729E" w14:paraId="5F80BBB8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97395" w14:textId="73A85B8B" w:rsidR="00087C5E" w:rsidRPr="0060729E" w:rsidRDefault="00411C78" w:rsidP="00411C78">
            <w:pPr>
              <w:keepNext/>
            </w:pPr>
            <w:r w:rsidRPr="0060729E">
              <w:t>Question n°</w:t>
            </w:r>
            <w:r w:rsidR="009F1C92" w:rsidRPr="0060729E">
              <w:t> </w:t>
            </w:r>
            <w:r w:rsidRPr="0060729E">
              <w:t>11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413F413" w14:textId="63ED369C" w:rsidR="00087C5E" w:rsidRPr="0060729E" w:rsidRDefault="00411C78" w:rsidP="00411C78">
            <w:pPr>
              <w:keepNext/>
              <w:jc w:val="left"/>
            </w:pPr>
            <w:r w:rsidRPr="0060729E">
              <w:t>b)</w:t>
            </w:r>
            <w:r w:rsidRPr="0060729E">
              <w:tab/>
              <w:t>Examiner la base sur laquelle les services chargés de l</w:t>
            </w:r>
            <w:r w:rsidR="001D6EDD" w:rsidRPr="0060729E">
              <w:t>’</w:t>
            </w:r>
            <w:r w:rsidRPr="0060729E">
              <w:t>observation préliminaire seraient choisis pour mener l</w:t>
            </w:r>
            <w:r w:rsidR="001D6EDD" w:rsidRPr="0060729E">
              <w:t>’</w:t>
            </w:r>
            <w:r w:rsidRPr="0060729E">
              <w:t>observation préliminaire.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72152" w14:textId="77777777" w:rsidR="00C5365E" w:rsidRPr="0060729E" w:rsidRDefault="00411C78" w:rsidP="00411C78">
            <w:pPr>
              <w:keepNext/>
              <w:jc w:val="left"/>
            </w:pPr>
            <w:r w:rsidRPr="0060729E">
              <w:t>Nouveauté</w:t>
            </w:r>
          </w:p>
          <w:p w14:paraId="371604E8" w14:textId="77777777" w:rsidR="00C5365E" w:rsidRPr="0060729E" w:rsidRDefault="00087C5E" w:rsidP="00087C5E">
            <w:pPr>
              <w:keepNext/>
              <w:jc w:val="left"/>
            </w:pPr>
            <w:r w:rsidRPr="0060729E">
              <w:t>i)</w:t>
            </w:r>
          </w:p>
          <w:p w14:paraId="62C70202" w14:textId="77777777" w:rsidR="00C5365E" w:rsidRPr="0060729E" w:rsidRDefault="00411C78" w:rsidP="00411C78">
            <w:pPr>
              <w:keepNext/>
              <w:jc w:val="left"/>
            </w:pPr>
            <w:r w:rsidRPr="0060729E">
              <w:t>Dénomination</w:t>
            </w:r>
          </w:p>
          <w:p w14:paraId="07A4FCBE" w14:textId="77777777" w:rsidR="00087C5E" w:rsidRPr="0060729E" w:rsidRDefault="006853D1" w:rsidP="00087C5E">
            <w:pPr>
              <w:keepNext/>
              <w:jc w:val="left"/>
            </w:pPr>
            <w:r w:rsidRPr="0060729E">
              <w:t xml:space="preserve">i), ii), </w:t>
            </w:r>
            <w:r w:rsidR="00087C5E" w:rsidRPr="0060729E">
              <w:t>iii)</w:t>
            </w:r>
          </w:p>
        </w:tc>
      </w:tr>
      <w:tr w:rsidR="0060729E" w:rsidRPr="0060729E" w14:paraId="4410DB99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8AE729C" w14:textId="1CCCC7FA" w:rsidR="00087C5E" w:rsidRPr="0060729E" w:rsidRDefault="00411C78" w:rsidP="00411C78">
            <w:pPr>
              <w:keepNext/>
            </w:pPr>
            <w:r w:rsidRPr="0060729E">
              <w:t>Question n°</w:t>
            </w:r>
            <w:r w:rsidR="009F1C92" w:rsidRPr="0060729E">
              <w:t> </w:t>
            </w:r>
            <w:r w:rsidRPr="0060729E">
              <w:t>12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76FB2AD" w14:textId="54A271CB" w:rsidR="00087C5E" w:rsidRPr="0060729E" w:rsidRDefault="00411C78" w:rsidP="00411C78">
            <w:pPr>
              <w:keepNext/>
              <w:jc w:val="left"/>
            </w:pPr>
            <w:r w:rsidRPr="0060729E">
              <w:t>a)</w:t>
            </w:r>
            <w:r w:rsidRPr="0060729E">
              <w:tab/>
              <w:t>Préciser qu</w:t>
            </w:r>
            <w:r w:rsidR="001D6EDD" w:rsidRPr="0060729E">
              <w:t>’</w:t>
            </w:r>
            <w:r w:rsidRPr="0060729E">
              <w:t>une observation préliminaire devrait, dans la mesure du possible, avoir pour but d</w:t>
            </w:r>
            <w:r w:rsidR="001D6EDD" w:rsidRPr="0060729E">
              <w:t>’</w:t>
            </w:r>
            <w:r w:rsidRPr="0060729E">
              <w:t>évaluer l</w:t>
            </w:r>
            <w:r w:rsidR="001D6EDD" w:rsidRPr="0060729E">
              <w:t>’</w:t>
            </w:r>
            <w:r w:rsidRPr="0060729E">
              <w:t>acceptabilité d</w:t>
            </w:r>
            <w:r w:rsidR="001D6EDD" w:rsidRPr="0060729E">
              <w:t>’</w:t>
            </w:r>
            <w:r w:rsidRPr="0060729E">
              <w:t>une dénomination variétale proposée pour tous les membres de l</w:t>
            </w:r>
            <w:r w:rsidR="001D6EDD" w:rsidRPr="0060729E">
              <w:t>’</w:t>
            </w:r>
            <w:r w:rsidRPr="0060729E">
              <w:t>Union.</w:t>
            </w:r>
            <w:r w:rsidR="00087C5E" w:rsidRPr="0060729E">
              <w:t xml:space="preserve"> 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64ED1" w14:textId="77777777" w:rsidR="00C5365E" w:rsidRPr="0060729E" w:rsidRDefault="00411C78" w:rsidP="00411C78">
            <w:pPr>
              <w:keepNext/>
              <w:jc w:val="left"/>
            </w:pPr>
            <w:r w:rsidRPr="0060729E">
              <w:t>Nouveauté</w:t>
            </w:r>
          </w:p>
          <w:p w14:paraId="4FAA9C10" w14:textId="77777777" w:rsidR="00C5365E" w:rsidRPr="0060729E" w:rsidRDefault="00087C5E" w:rsidP="00087C5E">
            <w:pPr>
              <w:keepNext/>
              <w:jc w:val="left"/>
            </w:pPr>
            <w:r w:rsidRPr="0060729E">
              <w:t>i)</w:t>
            </w:r>
          </w:p>
          <w:p w14:paraId="5F32007B" w14:textId="77777777" w:rsidR="00C5365E" w:rsidRPr="0060729E" w:rsidRDefault="00411C78" w:rsidP="00411C78">
            <w:pPr>
              <w:keepNext/>
              <w:jc w:val="left"/>
            </w:pPr>
            <w:r w:rsidRPr="0060729E">
              <w:t>Dénomination</w:t>
            </w:r>
          </w:p>
          <w:p w14:paraId="1C495364" w14:textId="77777777" w:rsidR="00087C5E" w:rsidRPr="0060729E" w:rsidRDefault="00087C5E" w:rsidP="00087C5E">
            <w:pPr>
              <w:keepNext/>
              <w:jc w:val="left"/>
            </w:pPr>
            <w:r w:rsidRPr="0060729E">
              <w:t>iii)</w:t>
            </w:r>
          </w:p>
        </w:tc>
      </w:tr>
      <w:tr w:rsidR="0060729E" w:rsidRPr="0060729E" w14:paraId="2646D3BB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C5663B" w14:textId="77777777" w:rsidR="00087C5E" w:rsidRPr="0060729E" w:rsidRDefault="00087C5E" w:rsidP="00087C5E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EFC39F" w14:textId="1A3E660F" w:rsidR="00087C5E" w:rsidRPr="0060729E" w:rsidRDefault="00411C78" w:rsidP="00411C78">
            <w:pPr>
              <w:jc w:val="left"/>
            </w:pPr>
            <w:r w:rsidRPr="0060729E">
              <w:t>b)</w:t>
            </w:r>
            <w:r w:rsidRPr="0060729E">
              <w:tab/>
              <w:t>Examiner comment prendre en considération les marques, les indications géographiques et les appellations d</w:t>
            </w:r>
            <w:r w:rsidR="001D6EDD" w:rsidRPr="0060729E">
              <w:t>’</w:t>
            </w:r>
            <w:r w:rsidRPr="0060729E">
              <w:t>origine.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06A99" w14:textId="77777777" w:rsidR="00C5365E" w:rsidRPr="0060729E" w:rsidRDefault="00411C78" w:rsidP="00411C78">
            <w:pPr>
              <w:jc w:val="left"/>
            </w:pPr>
            <w:r w:rsidRPr="0060729E">
              <w:t>Dénomination</w:t>
            </w:r>
          </w:p>
          <w:p w14:paraId="3176667F" w14:textId="77777777" w:rsidR="00087C5E" w:rsidRPr="0060729E" w:rsidRDefault="00087C5E" w:rsidP="00087C5E">
            <w:pPr>
              <w:jc w:val="left"/>
            </w:pPr>
            <w:r w:rsidRPr="0060729E">
              <w:t>iv)</w:t>
            </w:r>
          </w:p>
        </w:tc>
      </w:tr>
      <w:tr w:rsidR="0060729E" w:rsidRPr="0060729E" w14:paraId="5EBA5AE7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56C40" w14:textId="77777777" w:rsidR="00087C5E" w:rsidRPr="0060729E" w:rsidRDefault="00087C5E" w:rsidP="00087C5E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869962" w14:textId="6E0453B3" w:rsidR="00087C5E" w:rsidRPr="0060729E" w:rsidRDefault="00411C78" w:rsidP="00411C78">
            <w:pPr>
              <w:jc w:val="left"/>
            </w:pPr>
            <w:r w:rsidRPr="0060729E">
              <w:t>c)</w:t>
            </w:r>
            <w:r w:rsidRPr="0060729E">
              <w:tab/>
              <w:t>Examiner comment prendre en considération les membres de l</w:t>
            </w:r>
            <w:r w:rsidR="001D6EDD" w:rsidRPr="0060729E">
              <w:t>’</w:t>
            </w:r>
            <w:r w:rsidRPr="0060729E">
              <w:t>Union qui ne disposent pas de catalogues nationaux et ceux qui ne publient pas leurs données dans la base de données PLUTO.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71F0B" w14:textId="77777777" w:rsidR="00C5365E" w:rsidRPr="0060729E" w:rsidRDefault="00411C78" w:rsidP="00411C78">
            <w:pPr>
              <w:jc w:val="left"/>
            </w:pPr>
            <w:r w:rsidRPr="0060729E">
              <w:t>Nouveauté</w:t>
            </w:r>
          </w:p>
          <w:p w14:paraId="142EA5B1" w14:textId="77777777" w:rsidR="00C5365E" w:rsidRPr="0060729E" w:rsidRDefault="00087C5E" w:rsidP="00087C5E">
            <w:pPr>
              <w:jc w:val="left"/>
            </w:pPr>
            <w:r w:rsidRPr="0060729E">
              <w:t>i)</w:t>
            </w:r>
          </w:p>
          <w:p w14:paraId="5C972FB8" w14:textId="77777777" w:rsidR="00C5365E" w:rsidRPr="0060729E" w:rsidRDefault="00411C78" w:rsidP="00411C78">
            <w:pPr>
              <w:jc w:val="left"/>
            </w:pPr>
            <w:r w:rsidRPr="0060729E">
              <w:t>Dénomination</w:t>
            </w:r>
          </w:p>
          <w:p w14:paraId="2F0E9D6E" w14:textId="77777777" w:rsidR="00087C5E" w:rsidRPr="0060729E" w:rsidRDefault="006853D1" w:rsidP="00087C5E">
            <w:pPr>
              <w:jc w:val="left"/>
            </w:pPr>
            <w:r w:rsidRPr="0060729E">
              <w:t xml:space="preserve">i), ii), iv), </w:t>
            </w:r>
            <w:r w:rsidR="00087C5E" w:rsidRPr="0060729E">
              <w:t>v)</w:t>
            </w:r>
          </w:p>
        </w:tc>
      </w:tr>
      <w:tr w:rsidR="0060729E" w:rsidRPr="0060729E" w14:paraId="3514ADA8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3E36DF" w14:textId="77208B9F" w:rsidR="00087C5E" w:rsidRPr="0060729E" w:rsidRDefault="00411C78" w:rsidP="00411C78">
            <w:r w:rsidRPr="0060729E">
              <w:t>Question n°</w:t>
            </w:r>
            <w:r w:rsidR="009F1C92" w:rsidRPr="0060729E">
              <w:t> </w:t>
            </w:r>
            <w:r w:rsidRPr="0060729E">
              <w:t>13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3CBD285" w14:textId="645174CE" w:rsidR="00087C5E" w:rsidRPr="0060729E" w:rsidRDefault="00411C78" w:rsidP="00411C78">
            <w:pPr>
              <w:jc w:val="left"/>
            </w:pPr>
            <w:r w:rsidRPr="0060729E">
              <w:t>Envisager, dans le cas où un membre de l</w:t>
            </w:r>
            <w:r w:rsidR="001D6EDD" w:rsidRPr="0060729E">
              <w:t>’</w:t>
            </w:r>
            <w:r w:rsidRPr="0060729E">
              <w:t>Union considérerait ultérieurement que la dénomination proposée était inappropriée sur son territoire, la procédure permettant à l</w:t>
            </w:r>
            <w:r w:rsidR="001D6EDD" w:rsidRPr="0060729E">
              <w:t>’</w:t>
            </w:r>
            <w:r w:rsidRPr="0060729E">
              <w:t>obtenteur de soumettre une autre dénomination.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7F30F" w14:textId="77777777" w:rsidR="00C5365E" w:rsidRPr="0060729E" w:rsidRDefault="00411C78" w:rsidP="00411C78">
            <w:pPr>
              <w:jc w:val="left"/>
            </w:pPr>
            <w:r w:rsidRPr="0060729E">
              <w:t>Dénomination</w:t>
            </w:r>
          </w:p>
          <w:p w14:paraId="12146FE0" w14:textId="77777777" w:rsidR="00087C5E" w:rsidRPr="0060729E" w:rsidRDefault="00087C5E" w:rsidP="00087C5E">
            <w:pPr>
              <w:jc w:val="left"/>
            </w:pPr>
            <w:r w:rsidRPr="0060729E">
              <w:t>iii)</w:t>
            </w:r>
          </w:p>
        </w:tc>
      </w:tr>
      <w:tr w:rsidR="0060729E" w:rsidRPr="0060729E" w14:paraId="7D5AAF99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56D23B" w14:textId="36994FBE" w:rsidR="00087C5E" w:rsidRPr="0060729E" w:rsidRDefault="00411C78" w:rsidP="00411C78">
            <w:r w:rsidRPr="0060729E">
              <w:t>Question n°</w:t>
            </w:r>
            <w:r w:rsidR="009F1C92" w:rsidRPr="0060729E">
              <w:t> </w:t>
            </w:r>
            <w:r w:rsidRPr="0060729E">
              <w:t>14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CC1739" w14:textId="6F3B6EF3" w:rsidR="00087C5E" w:rsidRPr="0060729E" w:rsidRDefault="00411C78" w:rsidP="00A7225F">
            <w:pPr>
              <w:jc w:val="left"/>
            </w:pPr>
            <w:r w:rsidRPr="0060729E">
              <w:t>Prendre note de la valeur d</w:t>
            </w:r>
            <w:r w:rsidR="001D6EDD" w:rsidRPr="0060729E">
              <w:t>’</w:t>
            </w:r>
            <w:r w:rsidRPr="0060729E">
              <w:t xml:space="preserve">un outil de recherche </w:t>
            </w:r>
            <w:r w:rsidR="00A7225F" w:rsidRPr="0060729E">
              <w:t xml:space="preserve">de similitudes </w:t>
            </w:r>
            <w:r w:rsidRPr="0060729E">
              <w:t>de l</w:t>
            </w:r>
            <w:r w:rsidR="001D6EDD" w:rsidRPr="0060729E">
              <w:t>’</w:t>
            </w:r>
            <w:r w:rsidRPr="0060729E">
              <w:t>UPOV aux fins de la dénomination variétale et envisager de développer cet outil de sorte qu</w:t>
            </w:r>
            <w:r w:rsidR="001D6EDD" w:rsidRPr="0060729E">
              <w:t>’</w:t>
            </w:r>
            <w:r w:rsidRPr="0060729E">
              <w:t>il inclue des mots ou des éléments que les membres de l</w:t>
            </w:r>
            <w:r w:rsidR="001D6EDD" w:rsidRPr="0060729E">
              <w:t>’</w:t>
            </w:r>
            <w:r w:rsidRPr="0060729E">
              <w:t>Union considèrent inappropriés.</w:t>
            </w:r>
            <w:r w:rsidR="00087C5E" w:rsidRPr="0060729E">
              <w:t xml:space="preserve"> 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3ADDE" w14:textId="77777777" w:rsidR="00C5365E" w:rsidRPr="0060729E" w:rsidRDefault="00411C78" w:rsidP="00411C78">
            <w:pPr>
              <w:jc w:val="left"/>
            </w:pPr>
            <w:r w:rsidRPr="0060729E">
              <w:t>Dénomination</w:t>
            </w:r>
          </w:p>
          <w:p w14:paraId="2051CE0E" w14:textId="77777777" w:rsidR="00087C5E" w:rsidRPr="0060729E" w:rsidRDefault="00087C5E" w:rsidP="00087C5E">
            <w:pPr>
              <w:jc w:val="left"/>
            </w:pPr>
            <w:r w:rsidRPr="0060729E">
              <w:t>iii)</w:t>
            </w:r>
          </w:p>
        </w:tc>
      </w:tr>
      <w:tr w:rsidR="00087C5E" w:rsidRPr="0060729E" w14:paraId="3D07AE0A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0F697C" w14:textId="329504F7" w:rsidR="00087C5E" w:rsidRPr="0060729E" w:rsidRDefault="00411C78" w:rsidP="00411C78">
            <w:r w:rsidRPr="0060729E">
              <w:t>Question n°</w:t>
            </w:r>
            <w:r w:rsidR="009F1C92" w:rsidRPr="0060729E">
              <w:t> </w:t>
            </w:r>
            <w:r w:rsidRPr="0060729E">
              <w:t>15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94E78EA" w14:textId="4EC9C18A" w:rsidR="00087C5E" w:rsidRPr="0060729E" w:rsidRDefault="00411C78" w:rsidP="00411C78">
            <w:pPr>
              <w:jc w:val="left"/>
            </w:pPr>
            <w:r w:rsidRPr="0060729E">
              <w:t>Examiner la nécessité d</w:t>
            </w:r>
            <w:r w:rsidR="001D6EDD" w:rsidRPr="0060729E">
              <w:t>’</w:t>
            </w:r>
            <w:r w:rsidRPr="0060729E">
              <w:t>étendre l</w:t>
            </w:r>
            <w:r w:rsidR="001D6EDD" w:rsidRPr="0060729E">
              <w:t>’</w:t>
            </w:r>
            <w:r w:rsidRPr="0060729E">
              <w:t>examen, au</w:t>
            </w:r>
            <w:r w:rsidR="00F53986" w:rsidRPr="0060729E">
              <w:noBreakHyphen/>
            </w:r>
            <w:r w:rsidRPr="0060729E">
              <w:t>delà des dénominations actuellement comprises dans la base de données PLUTO, à d</w:t>
            </w:r>
            <w:r w:rsidR="001D6EDD" w:rsidRPr="0060729E">
              <w:t>’</w:t>
            </w:r>
            <w:r w:rsidRPr="0060729E">
              <w:t>autres dénominations considérées par les membres de l</w:t>
            </w:r>
            <w:r w:rsidR="001D6EDD" w:rsidRPr="0060729E">
              <w:t>’</w:t>
            </w:r>
            <w:r w:rsidRPr="0060729E">
              <w:t>Union.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16BB2" w14:textId="77777777" w:rsidR="00C5365E" w:rsidRPr="0060729E" w:rsidRDefault="00411C78" w:rsidP="00411C78">
            <w:pPr>
              <w:jc w:val="left"/>
            </w:pPr>
            <w:r w:rsidRPr="0060729E">
              <w:t>Dénomination</w:t>
            </w:r>
          </w:p>
          <w:p w14:paraId="0A0D5878" w14:textId="77777777" w:rsidR="00087C5E" w:rsidRPr="0060729E" w:rsidRDefault="006853D1" w:rsidP="00087C5E">
            <w:pPr>
              <w:jc w:val="left"/>
            </w:pPr>
            <w:r w:rsidRPr="0060729E">
              <w:t xml:space="preserve">i), ii), </w:t>
            </w:r>
            <w:r w:rsidR="00087C5E" w:rsidRPr="0060729E">
              <w:t>v)</w:t>
            </w:r>
          </w:p>
        </w:tc>
      </w:tr>
    </w:tbl>
    <w:p w14:paraId="6AAC832E" w14:textId="77777777" w:rsidR="00C5365E" w:rsidRPr="0060729E" w:rsidRDefault="00C5365E" w:rsidP="006853D1">
      <w:pPr>
        <w:pStyle w:val="Heading1"/>
        <w:rPr>
          <w:color w:val="auto"/>
          <w:lang w:val="fr-FR"/>
        </w:rPr>
      </w:pPr>
    </w:p>
    <w:p w14:paraId="77317BD6" w14:textId="77777777" w:rsidR="00C5365E" w:rsidRPr="0060729E" w:rsidRDefault="00C5365E" w:rsidP="006853D1">
      <w:pPr>
        <w:pStyle w:val="Heading1"/>
        <w:rPr>
          <w:color w:val="auto"/>
          <w:lang w:val="fr-FR"/>
        </w:rPr>
      </w:pPr>
    </w:p>
    <w:p w14:paraId="4068B1CF" w14:textId="77777777" w:rsidR="00C5365E" w:rsidRPr="0060729E" w:rsidRDefault="00087C5E">
      <w:pPr>
        <w:jc w:val="left"/>
        <w:rPr>
          <w:caps/>
          <w:lang w:eastAsia="ja-JP"/>
        </w:rPr>
      </w:pPr>
      <w:r w:rsidRPr="0060729E">
        <w:rPr>
          <w:lang w:eastAsia="ja-JP"/>
        </w:rPr>
        <w:br w:type="page"/>
      </w:r>
    </w:p>
    <w:p w14:paraId="0B7A2FCA" w14:textId="0DF6EB01" w:rsidR="00C5365E" w:rsidRPr="0060729E" w:rsidRDefault="00DD7D18" w:rsidP="006853D1">
      <w:pPr>
        <w:pStyle w:val="Heading1"/>
        <w:rPr>
          <w:color w:val="auto"/>
          <w:lang w:val="fr-FR"/>
        </w:rPr>
      </w:pPr>
      <w:r w:rsidRPr="0060729E">
        <w:rPr>
          <w:color w:val="auto"/>
          <w:lang w:val="fr-FR"/>
        </w:rPr>
        <w:t>COOP</w:t>
      </w:r>
      <w:r w:rsidRPr="0060729E">
        <w:rPr>
          <w:rFonts w:cs="Arial"/>
          <w:color w:val="auto"/>
          <w:lang w:val="fr-FR"/>
        </w:rPr>
        <w:t>É</w:t>
      </w:r>
      <w:r w:rsidRPr="0060729E">
        <w:rPr>
          <w:color w:val="auto"/>
          <w:lang w:val="fr-FR"/>
        </w:rPr>
        <w:t>RATION SUR LES QUESTIONS ADMINISTRATIVES</w:t>
      </w:r>
    </w:p>
    <w:p w14:paraId="698806D6" w14:textId="77777777" w:rsidR="00C5365E" w:rsidRPr="0060729E" w:rsidRDefault="00C5365E" w:rsidP="00297E41">
      <w:pPr>
        <w:rPr>
          <w:lang w:eastAsia="ja-JP"/>
        </w:rPr>
      </w:pPr>
    </w:p>
    <w:p w14:paraId="227B3143" w14:textId="46D34B8B" w:rsidR="00C5365E" w:rsidRPr="0060729E" w:rsidRDefault="00C8465F" w:rsidP="00297E41">
      <w:pPr>
        <w:pStyle w:val="Heading2"/>
        <w:rPr>
          <w:lang w:val="fr-FR"/>
        </w:rPr>
      </w:pPr>
      <w:r w:rsidRPr="0060729E">
        <w:rPr>
          <w:lang w:val="fr-FR"/>
        </w:rPr>
        <w:t>Besoins des services de protection des obtentions végétales</w:t>
      </w:r>
    </w:p>
    <w:p w14:paraId="6B1D91EE" w14:textId="77777777" w:rsidR="00C5365E" w:rsidRPr="0060729E" w:rsidRDefault="00C5365E" w:rsidP="00297E41">
      <w:pPr>
        <w:rPr>
          <w:lang w:eastAsia="ja-JP"/>
        </w:rPr>
      </w:pPr>
    </w:p>
    <w:p w14:paraId="0A91C262" w14:textId="19EC4283" w:rsidR="000E6B15" w:rsidRPr="0060729E" w:rsidRDefault="00A6014F" w:rsidP="00F53986">
      <w:pPr>
        <w:pStyle w:val="ListParagraph"/>
        <w:numPr>
          <w:ilvl w:val="0"/>
          <w:numId w:val="29"/>
        </w:numPr>
        <w:ind w:left="1134" w:hanging="567"/>
        <w:rPr>
          <w:szCs w:val="24"/>
          <w:lang w:eastAsia="ja-JP"/>
        </w:rPr>
      </w:pPr>
      <w:r w:rsidRPr="0060729E">
        <w:rPr>
          <w:szCs w:val="24"/>
          <w:lang w:eastAsia="ja-JP"/>
        </w:rPr>
        <w:t xml:space="preserve">mettre en place </w:t>
      </w:r>
      <w:r w:rsidR="00A330C6" w:rsidRPr="0060729E">
        <w:rPr>
          <w:szCs w:val="24"/>
          <w:lang w:eastAsia="ja-JP"/>
        </w:rPr>
        <w:t xml:space="preserve">un </w:t>
      </w:r>
      <w:r w:rsidR="00F7566B" w:rsidRPr="0060729E">
        <w:rPr>
          <w:szCs w:val="24"/>
          <w:lang w:eastAsia="ja-JP"/>
        </w:rPr>
        <w:t xml:space="preserve">moyen de </w:t>
      </w:r>
      <w:r w:rsidR="00E71C44" w:rsidRPr="0060729E">
        <w:rPr>
          <w:szCs w:val="24"/>
          <w:lang w:eastAsia="ja-JP"/>
        </w:rPr>
        <w:t>reconnaissance mutuelle</w:t>
      </w:r>
      <w:r w:rsidR="00F7566B" w:rsidRPr="0060729E">
        <w:rPr>
          <w:szCs w:val="24"/>
          <w:lang w:eastAsia="ja-JP"/>
        </w:rPr>
        <w:t xml:space="preserve"> des documents produits par d</w:t>
      </w:r>
      <w:r w:rsidR="001D6EDD" w:rsidRPr="0060729E">
        <w:rPr>
          <w:szCs w:val="24"/>
          <w:lang w:eastAsia="ja-JP"/>
        </w:rPr>
        <w:t>’</w:t>
      </w:r>
      <w:r w:rsidR="00F7566B" w:rsidRPr="0060729E">
        <w:rPr>
          <w:szCs w:val="24"/>
          <w:lang w:eastAsia="ja-JP"/>
        </w:rPr>
        <w:t>autres membres de l</w:t>
      </w:r>
      <w:r w:rsidR="001D6EDD" w:rsidRPr="0060729E">
        <w:rPr>
          <w:szCs w:val="24"/>
          <w:lang w:eastAsia="ja-JP"/>
        </w:rPr>
        <w:t>’</w:t>
      </w:r>
      <w:r w:rsidR="00F7566B" w:rsidRPr="0060729E">
        <w:rPr>
          <w:szCs w:val="24"/>
          <w:lang w:eastAsia="ja-JP"/>
        </w:rPr>
        <w:t xml:space="preserve">Union, </w:t>
      </w:r>
      <w:r w:rsidR="00E71C44" w:rsidRPr="0060729E">
        <w:rPr>
          <w:szCs w:val="24"/>
          <w:lang w:eastAsia="ja-JP"/>
        </w:rPr>
        <w:t xml:space="preserve">tel que </w:t>
      </w:r>
      <w:r w:rsidR="00F7566B" w:rsidRPr="0060729E">
        <w:rPr>
          <w:szCs w:val="24"/>
          <w:lang w:eastAsia="ja-JP"/>
        </w:rPr>
        <w:t>p.</w:t>
      </w:r>
      <w:r w:rsidR="009F1C92" w:rsidRPr="0060729E">
        <w:rPr>
          <w:szCs w:val="24"/>
          <w:lang w:eastAsia="ja-JP"/>
        </w:rPr>
        <w:t> </w:t>
      </w:r>
      <w:r w:rsidR="00F7566B" w:rsidRPr="0060729E">
        <w:rPr>
          <w:szCs w:val="24"/>
          <w:lang w:eastAsia="ja-JP"/>
        </w:rPr>
        <w:t>ex.</w:t>
      </w:r>
      <w:r w:rsidR="00E71C44" w:rsidRPr="0060729E">
        <w:rPr>
          <w:szCs w:val="24"/>
          <w:lang w:eastAsia="ja-JP"/>
        </w:rPr>
        <w:t>, u</w:t>
      </w:r>
      <w:r w:rsidR="00F7566B" w:rsidRPr="0060729E">
        <w:rPr>
          <w:szCs w:val="24"/>
          <w:lang w:eastAsia="ja-JP"/>
        </w:rPr>
        <w:t>ne signature numérique,</w:t>
      </w:r>
      <w:r w:rsidR="00087C5E" w:rsidRPr="0060729E">
        <w:rPr>
          <w:szCs w:val="24"/>
          <w:lang w:eastAsia="ja-JP"/>
        </w:rPr>
        <w:t xml:space="preserve"> </w:t>
      </w:r>
      <w:r w:rsidR="00F7566B" w:rsidRPr="0060729E">
        <w:rPr>
          <w:szCs w:val="24"/>
          <w:lang w:eastAsia="ja-JP"/>
        </w:rPr>
        <w:t>et</w:t>
      </w:r>
    </w:p>
    <w:p w14:paraId="71CBDCD0" w14:textId="17C059B5" w:rsidR="00C5365E" w:rsidRPr="0060729E" w:rsidRDefault="00DA2FEE" w:rsidP="00F53986">
      <w:pPr>
        <w:pStyle w:val="ListParagraph"/>
        <w:numPr>
          <w:ilvl w:val="0"/>
          <w:numId w:val="29"/>
        </w:numPr>
        <w:ind w:left="1134" w:hanging="567"/>
        <w:rPr>
          <w:szCs w:val="24"/>
          <w:lang w:eastAsia="ja-JP"/>
        </w:rPr>
      </w:pPr>
      <w:r w:rsidRPr="0060729E">
        <w:rPr>
          <w:szCs w:val="24"/>
          <w:lang w:eastAsia="ja-JP"/>
        </w:rPr>
        <w:t xml:space="preserve">mettre en place </w:t>
      </w:r>
      <w:r w:rsidR="006D2CFB" w:rsidRPr="0060729E">
        <w:rPr>
          <w:szCs w:val="24"/>
          <w:lang w:eastAsia="ja-JP"/>
        </w:rPr>
        <w:t>un mécanisme permettant de recevoir</w:t>
      </w:r>
      <w:r w:rsidR="000E6B15" w:rsidRPr="0060729E">
        <w:rPr>
          <w:szCs w:val="24"/>
          <w:lang w:eastAsia="ja-JP"/>
        </w:rPr>
        <w:t>, de la part d</w:t>
      </w:r>
      <w:r w:rsidR="001D6EDD" w:rsidRPr="0060729E">
        <w:rPr>
          <w:szCs w:val="24"/>
          <w:lang w:eastAsia="ja-JP"/>
        </w:rPr>
        <w:t>’</w:t>
      </w:r>
      <w:r w:rsidR="000E6B15" w:rsidRPr="0060729E">
        <w:rPr>
          <w:szCs w:val="24"/>
          <w:lang w:eastAsia="ja-JP"/>
        </w:rPr>
        <w:t>autres membres de l</w:t>
      </w:r>
      <w:r w:rsidR="001D6EDD" w:rsidRPr="0060729E">
        <w:rPr>
          <w:szCs w:val="24"/>
          <w:lang w:eastAsia="ja-JP"/>
        </w:rPr>
        <w:t>’</w:t>
      </w:r>
      <w:r w:rsidR="000E6B15" w:rsidRPr="0060729E">
        <w:rPr>
          <w:szCs w:val="24"/>
          <w:lang w:eastAsia="ja-JP"/>
        </w:rPr>
        <w:t xml:space="preserve">Union, </w:t>
      </w:r>
      <w:r w:rsidR="006D2CFB" w:rsidRPr="0060729E">
        <w:rPr>
          <w:szCs w:val="24"/>
          <w:lang w:eastAsia="ja-JP"/>
        </w:rPr>
        <w:t>des paiements pour la prise en charge des rapports DHS</w:t>
      </w:r>
      <w:r w:rsidRPr="0060729E">
        <w:rPr>
          <w:szCs w:val="24"/>
          <w:lang w:eastAsia="ja-JP"/>
        </w:rPr>
        <w:t>.</w:t>
      </w:r>
    </w:p>
    <w:p w14:paraId="34E31046" w14:textId="77777777" w:rsidR="00C5365E" w:rsidRPr="0060729E" w:rsidRDefault="00C5365E" w:rsidP="00297E41">
      <w:pPr>
        <w:rPr>
          <w:lang w:eastAsia="ja-JP"/>
        </w:rPr>
      </w:pPr>
    </w:p>
    <w:p w14:paraId="05F418E3" w14:textId="72B7EC70" w:rsidR="00C5365E" w:rsidRPr="0060729E" w:rsidRDefault="00DA2FEE" w:rsidP="00297E41">
      <w:pPr>
        <w:pStyle w:val="Heading2"/>
        <w:rPr>
          <w:lang w:val="fr-FR"/>
        </w:rPr>
      </w:pPr>
      <w:r w:rsidRPr="0060729E">
        <w:rPr>
          <w:lang w:val="fr-FR"/>
        </w:rPr>
        <w:t xml:space="preserve">Questions pertinentes dans le </w:t>
      </w:r>
      <w:r w:rsidR="00087C5E" w:rsidRPr="0060729E">
        <w:rPr>
          <w:lang w:val="fr-FR"/>
        </w:rPr>
        <w:t>document CC/92/10</w:t>
      </w:r>
    </w:p>
    <w:p w14:paraId="006B6C93" w14:textId="77777777" w:rsidR="00087C5E" w:rsidRPr="0060729E" w:rsidRDefault="00087C5E" w:rsidP="00297E41">
      <w:pPr>
        <w:rPr>
          <w:lang w:eastAsia="ja-JP"/>
        </w:rPr>
      </w:pPr>
    </w:p>
    <w:tbl>
      <w:tblPr>
        <w:tblStyle w:val="TableGrid"/>
        <w:tblW w:w="9781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6172"/>
        <w:gridCol w:w="2471"/>
      </w:tblGrid>
      <w:tr w:rsidR="00087C5E" w:rsidRPr="0060729E" w14:paraId="5315BE7B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30E80B" w14:textId="493E3E7C" w:rsidR="00087C5E" w:rsidRPr="0060729E" w:rsidRDefault="00411C78" w:rsidP="00411C78">
            <w:r w:rsidRPr="0060729E">
              <w:t>Question n°</w:t>
            </w:r>
            <w:r w:rsidR="009F1C92" w:rsidRPr="0060729E">
              <w:t> </w:t>
            </w:r>
            <w:r w:rsidRPr="0060729E">
              <w:t>24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42C104" w14:textId="049DDBFA" w:rsidR="00087C5E" w:rsidRPr="0060729E" w:rsidRDefault="00C573E9" w:rsidP="00C573E9">
            <w:pPr>
              <w:jc w:val="left"/>
            </w:pPr>
            <w:r w:rsidRPr="0060729E">
              <w:t>Déterminer si l</w:t>
            </w:r>
            <w:r w:rsidR="001D6EDD" w:rsidRPr="0060729E">
              <w:t>’</w:t>
            </w:r>
            <w:r w:rsidRPr="0060729E">
              <w:t>examen par les membres de l</w:t>
            </w:r>
            <w:r w:rsidR="001D6EDD" w:rsidRPr="0060729E">
              <w:t>’</w:t>
            </w:r>
            <w:r w:rsidRPr="0060729E">
              <w:t>Union ayant recours</w:t>
            </w:r>
            <w:r w:rsidR="001D6EDD" w:rsidRPr="0060729E">
              <w:t xml:space="preserve"> </w:t>
            </w:r>
            <w:r w:rsidR="00967920">
              <w:t>à l’ISC</w:t>
            </w:r>
            <w:r w:rsidRPr="0060729E">
              <w:t xml:space="preserve"> serait financé par les membres de l</w:t>
            </w:r>
            <w:r w:rsidR="001D6EDD" w:rsidRPr="0060729E">
              <w:t>’</w:t>
            </w:r>
            <w:r w:rsidRPr="0060729E">
              <w:t>Union dans le cadre de leurs arrangements actuels relatifs à l</w:t>
            </w:r>
            <w:r w:rsidR="001D6EDD" w:rsidRPr="0060729E">
              <w:t>’</w:t>
            </w:r>
            <w:r w:rsidRPr="0060729E">
              <w:t>examen des demandes et si la collecte des taxes visant à couvrir ces travaux pourrait être organisée dans le cadre du système international d</w:t>
            </w:r>
            <w:r w:rsidR="001D6EDD" w:rsidRPr="0060729E">
              <w:t>’</w:t>
            </w:r>
            <w:r w:rsidRPr="0060729E">
              <w:t>administration d</w:t>
            </w:r>
            <w:r w:rsidR="001D6EDD" w:rsidRPr="0060729E">
              <w:t>’</w:t>
            </w:r>
            <w:r w:rsidR="00967920">
              <w:t>un ISC</w:t>
            </w:r>
            <w:r w:rsidRPr="0060729E">
              <w:t>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98C48" w14:textId="77777777" w:rsidR="001D6EDD" w:rsidRPr="0060729E" w:rsidRDefault="00B465E4" w:rsidP="00297E41">
            <w:pPr>
              <w:jc w:val="left"/>
            </w:pPr>
            <w:r w:rsidRPr="0060729E">
              <w:t>Coopération sur les questions administratives</w:t>
            </w:r>
          </w:p>
          <w:p w14:paraId="18280A09" w14:textId="65428F8A" w:rsidR="00087C5E" w:rsidRPr="0060729E" w:rsidRDefault="00087C5E" w:rsidP="00297E41">
            <w:pPr>
              <w:jc w:val="left"/>
            </w:pPr>
            <w:r w:rsidRPr="0060729E">
              <w:t>ii)</w:t>
            </w:r>
          </w:p>
        </w:tc>
      </w:tr>
    </w:tbl>
    <w:p w14:paraId="04394BE7" w14:textId="77777777" w:rsidR="00C5365E" w:rsidRPr="0060729E" w:rsidRDefault="00C5365E" w:rsidP="00297E41">
      <w:pPr>
        <w:pStyle w:val="Heading2"/>
        <w:rPr>
          <w:lang w:val="fr-FR" w:eastAsia="ja-JP"/>
        </w:rPr>
      </w:pPr>
    </w:p>
    <w:p w14:paraId="2521A0E1" w14:textId="77777777" w:rsidR="00C5365E" w:rsidRPr="0060729E" w:rsidRDefault="00C5365E" w:rsidP="00297E41">
      <w:pPr>
        <w:rPr>
          <w:lang w:eastAsia="ja-JP"/>
        </w:rPr>
      </w:pPr>
    </w:p>
    <w:p w14:paraId="1625A7EA" w14:textId="77777777" w:rsidR="00C5365E" w:rsidRPr="0060729E" w:rsidRDefault="00C573E9" w:rsidP="006853D1">
      <w:pPr>
        <w:pStyle w:val="Heading1"/>
        <w:rPr>
          <w:color w:val="auto"/>
          <w:lang w:val="fr-FR"/>
        </w:rPr>
      </w:pPr>
      <w:r w:rsidRPr="0060729E">
        <w:rPr>
          <w:color w:val="auto"/>
          <w:lang w:val="fr-FR"/>
        </w:rPr>
        <w:t>FACILITATION DU DÉPÔT DES DEMANDES</w:t>
      </w:r>
    </w:p>
    <w:p w14:paraId="3DA77D1F" w14:textId="77777777" w:rsidR="00C5365E" w:rsidRPr="0060729E" w:rsidRDefault="00C5365E" w:rsidP="00297E41">
      <w:pPr>
        <w:rPr>
          <w:lang w:eastAsia="ja-JP"/>
        </w:rPr>
      </w:pPr>
    </w:p>
    <w:p w14:paraId="5D77E22E" w14:textId="1724AA36" w:rsidR="00C5365E" w:rsidRPr="0060729E" w:rsidRDefault="00301909" w:rsidP="00297E41">
      <w:pPr>
        <w:pStyle w:val="Heading2"/>
        <w:rPr>
          <w:lang w:val="fr-FR"/>
        </w:rPr>
      </w:pPr>
      <w:r w:rsidRPr="0060729E">
        <w:rPr>
          <w:lang w:val="fr-FR"/>
        </w:rPr>
        <w:t>Besoins des services de protection des obtentions végétales</w:t>
      </w:r>
    </w:p>
    <w:p w14:paraId="5B2CE955" w14:textId="77777777" w:rsidR="00C5365E" w:rsidRPr="0060729E" w:rsidRDefault="00C5365E" w:rsidP="00297E41">
      <w:pPr>
        <w:rPr>
          <w:lang w:eastAsia="ja-JP"/>
        </w:rPr>
      </w:pPr>
    </w:p>
    <w:p w14:paraId="65004DEC" w14:textId="3D5B8CA2" w:rsidR="00C5365E" w:rsidRPr="0060729E" w:rsidRDefault="00720EBE" w:rsidP="00F53986">
      <w:pPr>
        <w:pStyle w:val="ListParagraph"/>
        <w:numPr>
          <w:ilvl w:val="0"/>
          <w:numId w:val="30"/>
        </w:numPr>
        <w:ind w:left="1134" w:hanging="567"/>
        <w:rPr>
          <w:szCs w:val="24"/>
          <w:lang w:eastAsia="ja-JP"/>
        </w:rPr>
      </w:pPr>
      <w:r w:rsidRPr="0060729E">
        <w:rPr>
          <w:szCs w:val="24"/>
          <w:lang w:eastAsia="ja-JP"/>
        </w:rPr>
        <w:t xml:space="preserve">faciliter </w:t>
      </w:r>
      <w:r w:rsidR="00F51746" w:rsidRPr="0060729E">
        <w:rPr>
          <w:szCs w:val="24"/>
          <w:lang w:eastAsia="ja-JP"/>
        </w:rPr>
        <w:t>le dépôt d</w:t>
      </w:r>
      <w:r w:rsidRPr="0060729E">
        <w:rPr>
          <w:szCs w:val="24"/>
          <w:lang w:eastAsia="ja-JP"/>
        </w:rPr>
        <w:t>es demandes des résidents et des non</w:t>
      </w:r>
      <w:r w:rsidR="00F53986" w:rsidRPr="0060729E">
        <w:rPr>
          <w:szCs w:val="24"/>
          <w:lang w:eastAsia="ja-JP"/>
        </w:rPr>
        <w:noBreakHyphen/>
      </w:r>
      <w:r w:rsidRPr="0060729E">
        <w:rPr>
          <w:szCs w:val="24"/>
          <w:lang w:eastAsia="ja-JP"/>
        </w:rPr>
        <w:t xml:space="preserve">résidents, </w:t>
      </w:r>
      <w:r w:rsidR="001D6EDD" w:rsidRPr="0060729E">
        <w:rPr>
          <w:szCs w:val="24"/>
          <w:lang w:eastAsia="ja-JP"/>
        </w:rPr>
        <w:t>y compris</w:t>
      </w:r>
      <w:r w:rsidRPr="0060729E">
        <w:rPr>
          <w:szCs w:val="24"/>
          <w:lang w:eastAsia="ja-JP"/>
        </w:rPr>
        <w:t xml:space="preserve"> notamment les demandes de particuliers et de </w:t>
      </w:r>
      <w:r w:rsidR="00E504CA" w:rsidRPr="0060729E">
        <w:rPr>
          <w:szCs w:val="24"/>
          <w:lang w:eastAsia="ja-JP"/>
        </w:rPr>
        <w:t>petites et moyennes entreprises</w:t>
      </w:r>
      <w:r w:rsidRPr="0060729E">
        <w:rPr>
          <w:szCs w:val="24"/>
          <w:lang w:eastAsia="ja-JP"/>
        </w:rPr>
        <w:t>/organisations, afin d</w:t>
      </w:r>
      <w:r w:rsidR="001D6EDD" w:rsidRPr="0060729E">
        <w:rPr>
          <w:szCs w:val="24"/>
          <w:lang w:eastAsia="ja-JP"/>
        </w:rPr>
        <w:t>’</w:t>
      </w:r>
      <w:r w:rsidRPr="0060729E">
        <w:rPr>
          <w:szCs w:val="24"/>
          <w:lang w:eastAsia="ja-JP"/>
        </w:rPr>
        <w:t>accroître le nombre de variétés disponibles dans les pays membres de l</w:t>
      </w:r>
      <w:r w:rsidR="001D6EDD" w:rsidRPr="0060729E">
        <w:rPr>
          <w:szCs w:val="24"/>
          <w:lang w:eastAsia="ja-JP"/>
        </w:rPr>
        <w:t>’</w:t>
      </w:r>
      <w:r w:rsidRPr="0060729E">
        <w:rPr>
          <w:szCs w:val="24"/>
          <w:lang w:eastAsia="ja-JP"/>
        </w:rPr>
        <w:t>Union, et</w:t>
      </w:r>
    </w:p>
    <w:p w14:paraId="2238CBC7" w14:textId="0C657A0F" w:rsidR="00C5365E" w:rsidRPr="0060729E" w:rsidRDefault="00507D54" w:rsidP="00F53986">
      <w:pPr>
        <w:pStyle w:val="ListParagraph"/>
        <w:numPr>
          <w:ilvl w:val="0"/>
          <w:numId w:val="30"/>
        </w:numPr>
        <w:ind w:left="1134" w:hanging="567"/>
        <w:rPr>
          <w:szCs w:val="24"/>
          <w:lang w:eastAsia="ja-JP"/>
        </w:rPr>
      </w:pPr>
      <w:r w:rsidRPr="0060729E">
        <w:rPr>
          <w:szCs w:val="24"/>
          <w:lang w:eastAsia="ja-JP"/>
        </w:rPr>
        <w:t>disposer d</w:t>
      </w:r>
      <w:r w:rsidR="001D6EDD" w:rsidRPr="0060729E">
        <w:rPr>
          <w:szCs w:val="24"/>
          <w:lang w:eastAsia="ja-JP"/>
        </w:rPr>
        <w:t>’</w:t>
      </w:r>
      <w:r w:rsidRPr="0060729E">
        <w:rPr>
          <w:szCs w:val="24"/>
          <w:lang w:eastAsia="ja-JP"/>
        </w:rPr>
        <w:t xml:space="preserve">un </w:t>
      </w:r>
      <w:r w:rsidR="000F41FD" w:rsidRPr="0060729E">
        <w:rPr>
          <w:szCs w:val="24"/>
          <w:lang w:eastAsia="ja-JP"/>
        </w:rPr>
        <w:t xml:space="preserve">arrangement </w:t>
      </w:r>
      <w:r w:rsidRPr="0060729E">
        <w:rPr>
          <w:szCs w:val="24"/>
          <w:lang w:eastAsia="ja-JP"/>
        </w:rPr>
        <w:t xml:space="preserve">plus efficace </w:t>
      </w:r>
      <w:r w:rsidR="000F41FD" w:rsidRPr="0060729E">
        <w:rPr>
          <w:szCs w:val="24"/>
          <w:lang w:eastAsia="ja-JP"/>
        </w:rPr>
        <w:t>pour traiter l</w:t>
      </w:r>
      <w:r w:rsidRPr="0060729E">
        <w:rPr>
          <w:szCs w:val="24"/>
          <w:lang w:eastAsia="ja-JP"/>
        </w:rPr>
        <w:t>es demandes afin d</w:t>
      </w:r>
      <w:r w:rsidR="001D6EDD" w:rsidRPr="0060729E">
        <w:rPr>
          <w:szCs w:val="24"/>
          <w:lang w:eastAsia="ja-JP"/>
        </w:rPr>
        <w:t>’</w:t>
      </w:r>
      <w:r w:rsidRPr="0060729E">
        <w:rPr>
          <w:szCs w:val="24"/>
          <w:lang w:eastAsia="ja-JP"/>
        </w:rPr>
        <w:t xml:space="preserve">éviter les retards liés à une augmentation du nombre de </w:t>
      </w:r>
      <w:r w:rsidR="00F51746" w:rsidRPr="0060729E">
        <w:rPr>
          <w:szCs w:val="24"/>
          <w:lang w:eastAsia="ja-JP"/>
        </w:rPr>
        <w:t xml:space="preserve">dépôts de </w:t>
      </w:r>
      <w:r w:rsidRPr="0060729E">
        <w:rPr>
          <w:szCs w:val="24"/>
          <w:lang w:eastAsia="ja-JP"/>
        </w:rPr>
        <w:t>demandes.</w:t>
      </w:r>
    </w:p>
    <w:p w14:paraId="77EE4777" w14:textId="77777777" w:rsidR="00C5365E" w:rsidRPr="0060729E" w:rsidRDefault="00C5365E" w:rsidP="00297E41">
      <w:pPr>
        <w:rPr>
          <w:lang w:eastAsia="ja-JP"/>
        </w:rPr>
      </w:pPr>
    </w:p>
    <w:p w14:paraId="0B388696" w14:textId="3E5267EC" w:rsidR="00C5365E" w:rsidRPr="0060729E" w:rsidRDefault="000F789B" w:rsidP="00297E41">
      <w:pPr>
        <w:pStyle w:val="Heading2"/>
        <w:rPr>
          <w:lang w:val="fr-FR"/>
        </w:rPr>
      </w:pPr>
      <w:r w:rsidRPr="0060729E">
        <w:rPr>
          <w:lang w:val="fr-FR"/>
        </w:rPr>
        <w:t xml:space="preserve">Questions pertinentes dans le </w:t>
      </w:r>
      <w:r w:rsidR="00087C5E" w:rsidRPr="0060729E">
        <w:rPr>
          <w:lang w:val="fr-FR"/>
        </w:rPr>
        <w:t>document CC/92/10</w:t>
      </w:r>
    </w:p>
    <w:p w14:paraId="128FE0C4" w14:textId="77777777" w:rsidR="00087C5E" w:rsidRPr="0060729E" w:rsidRDefault="00087C5E" w:rsidP="00297E41">
      <w:pPr>
        <w:rPr>
          <w:lang w:eastAsia="ja-JP"/>
        </w:rPr>
      </w:pPr>
    </w:p>
    <w:tbl>
      <w:tblPr>
        <w:tblStyle w:val="TableGrid"/>
        <w:tblW w:w="9781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8"/>
        <w:gridCol w:w="6172"/>
        <w:gridCol w:w="2471"/>
      </w:tblGrid>
      <w:tr w:rsidR="0060729E" w:rsidRPr="0060729E" w14:paraId="0BA10D5A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AE827D" w14:textId="73EFEAB1" w:rsidR="00087C5E" w:rsidRPr="0060729E" w:rsidRDefault="00C573E9" w:rsidP="00C573E9">
            <w:r w:rsidRPr="0060729E">
              <w:t>Question n°</w:t>
            </w:r>
            <w:r w:rsidR="009F1C92" w:rsidRPr="0060729E">
              <w:t> </w:t>
            </w:r>
            <w:r w:rsidRPr="0060729E">
              <w:t>2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D0D399" w14:textId="685CC54C" w:rsidR="00087C5E" w:rsidRPr="0060729E" w:rsidRDefault="00C573E9" w:rsidP="00C573E9">
            <w:pPr>
              <w:jc w:val="left"/>
            </w:pPr>
            <w:r w:rsidRPr="0060729E">
              <w:t>b)</w:t>
            </w:r>
            <w:r w:rsidRPr="0060729E">
              <w:tab/>
              <w:t>Utiliser les logiciels et les caractéristiques techniques qui permettraient à tous les membres de l</w:t>
            </w:r>
            <w:r w:rsidR="001D6EDD" w:rsidRPr="0060729E">
              <w:t>’</w:t>
            </w:r>
            <w:r w:rsidRPr="0060729E">
              <w:t xml:space="preserve">Union de participer à </w:t>
            </w:r>
            <w:r w:rsidR="00967920">
              <w:t>un ISC</w:t>
            </w:r>
            <w:r w:rsidRPr="0060729E">
              <w:t xml:space="preserve"> sans préjudice des normes nationales.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07C20" w14:textId="77777777" w:rsidR="001D6EDD" w:rsidRPr="0060729E" w:rsidRDefault="00C573E9" w:rsidP="00C573E9">
            <w:pPr>
              <w:jc w:val="left"/>
            </w:pPr>
            <w:r w:rsidRPr="0060729E">
              <w:t>Facilitation du dépôt des demandes</w:t>
            </w:r>
          </w:p>
          <w:p w14:paraId="4635739C" w14:textId="411C2D71" w:rsidR="00087C5E" w:rsidRPr="0060729E" w:rsidRDefault="00087C5E" w:rsidP="00967920">
            <w:pPr>
              <w:jc w:val="left"/>
            </w:pPr>
            <w:r w:rsidRPr="0060729E">
              <w:t>i)</w:t>
            </w:r>
          </w:p>
        </w:tc>
      </w:tr>
      <w:tr w:rsidR="00087C5E" w:rsidRPr="0060729E" w14:paraId="57ADDA80" w14:textId="77777777" w:rsidTr="00087C5E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89FBD4" w14:textId="560B8BB9" w:rsidR="00087C5E" w:rsidRPr="0060729E" w:rsidRDefault="00C573E9" w:rsidP="00C573E9">
            <w:r w:rsidRPr="0060729E">
              <w:t>Question n°</w:t>
            </w:r>
            <w:r w:rsidR="009F1C92" w:rsidRPr="0060729E">
              <w:t> </w:t>
            </w:r>
            <w:r w:rsidRPr="0060729E">
              <w:t>19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8ECE75" w14:textId="4C103970" w:rsidR="00087C5E" w:rsidRPr="0060729E" w:rsidRDefault="00C573E9" w:rsidP="00967920">
            <w:r w:rsidRPr="0060729E">
              <w:t>Voir si le projet EAF, ou</w:t>
            </w:r>
            <w:r w:rsidR="001D6EDD" w:rsidRPr="0060729E">
              <w:t xml:space="preserve"> </w:t>
            </w:r>
            <w:r w:rsidR="00967920">
              <w:t>l’ISC</w:t>
            </w:r>
            <w:r w:rsidRPr="0060729E">
              <w:t>, pourrait servir de base aux membres de l</w:t>
            </w:r>
            <w:r w:rsidR="001D6EDD" w:rsidRPr="0060729E">
              <w:t>’</w:t>
            </w:r>
            <w:r w:rsidRPr="0060729E">
              <w:t>Union pour mieux harmoniser leurs formulaires de demande, permettant ainsi d</w:t>
            </w:r>
            <w:r w:rsidR="001D6EDD" w:rsidRPr="0060729E">
              <w:t>’</w:t>
            </w:r>
            <w:r w:rsidRPr="0060729E">
              <w:t>inscrire plus tard, dans le cadre</w:t>
            </w:r>
            <w:r w:rsidR="001D6EDD" w:rsidRPr="0060729E">
              <w:t xml:space="preserve"> </w:t>
            </w:r>
            <w:r w:rsidR="00967920">
              <w:t>à l’ISC</w:t>
            </w:r>
            <w:r w:rsidRPr="0060729E">
              <w:t>, la vérification de l</w:t>
            </w:r>
            <w:r w:rsidR="001D6EDD" w:rsidRPr="0060729E">
              <w:t>’</w:t>
            </w:r>
            <w:r w:rsidRPr="0060729E">
              <w:t>exhaustivité de la demande, la préparation à des fins de publication et la saisie des informations pertinentes au sujet de la demande dans une base de données centralisée.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31B32" w14:textId="77777777" w:rsidR="00C5365E" w:rsidRPr="0060729E" w:rsidRDefault="00C573E9" w:rsidP="00C573E9">
            <w:pPr>
              <w:jc w:val="left"/>
              <w:rPr>
                <w:lang w:eastAsia="ja-JP"/>
              </w:rPr>
            </w:pPr>
            <w:r w:rsidRPr="0060729E">
              <w:rPr>
                <w:lang w:eastAsia="ja-JP"/>
              </w:rPr>
              <w:t>Facilitation du dépôt des demandes</w:t>
            </w:r>
          </w:p>
          <w:p w14:paraId="37872BF3" w14:textId="77777777" w:rsidR="00087C5E" w:rsidRPr="0060729E" w:rsidRDefault="00087C5E" w:rsidP="00297E41">
            <w:pPr>
              <w:jc w:val="left"/>
            </w:pPr>
            <w:r w:rsidRPr="0060729E">
              <w:rPr>
                <w:lang w:eastAsia="ja-JP"/>
              </w:rPr>
              <w:t>ii)</w:t>
            </w:r>
          </w:p>
        </w:tc>
      </w:tr>
    </w:tbl>
    <w:p w14:paraId="43A43671" w14:textId="77777777" w:rsidR="00C5365E" w:rsidRPr="0060729E" w:rsidRDefault="00C5365E" w:rsidP="00297E41">
      <w:pPr>
        <w:rPr>
          <w:lang w:eastAsia="ja-JP"/>
        </w:rPr>
      </w:pPr>
    </w:p>
    <w:p w14:paraId="0DC97401" w14:textId="77777777" w:rsidR="00C5365E" w:rsidRPr="0060729E" w:rsidRDefault="00C5365E" w:rsidP="00297E41">
      <w:pPr>
        <w:rPr>
          <w:lang w:eastAsia="ja-JP"/>
        </w:rPr>
      </w:pPr>
    </w:p>
    <w:p w14:paraId="047413DF" w14:textId="77777777" w:rsidR="00C5365E" w:rsidRPr="0060729E" w:rsidRDefault="00C5365E" w:rsidP="00297E41">
      <w:pPr>
        <w:rPr>
          <w:lang w:eastAsia="ja-JP"/>
        </w:rPr>
      </w:pPr>
    </w:p>
    <w:p w14:paraId="742B0CC1" w14:textId="2E998B06" w:rsidR="00C5365E" w:rsidRPr="0060729E" w:rsidRDefault="00C573E9" w:rsidP="00C573E9">
      <w:pPr>
        <w:jc w:val="right"/>
        <w:rPr>
          <w:lang w:eastAsia="ja-JP"/>
        </w:rPr>
      </w:pPr>
      <w:r w:rsidRPr="0060729E">
        <w:rPr>
          <w:lang w:eastAsia="ja-JP"/>
        </w:rPr>
        <w:t>[L</w:t>
      </w:r>
      <w:r w:rsidR="001D6EDD" w:rsidRPr="0060729E">
        <w:rPr>
          <w:lang w:eastAsia="ja-JP"/>
        </w:rPr>
        <w:t>’annexe I</w:t>
      </w:r>
      <w:r w:rsidRPr="0060729E">
        <w:rPr>
          <w:lang w:eastAsia="ja-JP"/>
        </w:rPr>
        <w:t>I suit]</w:t>
      </w:r>
    </w:p>
    <w:p w14:paraId="3295318A" w14:textId="77777777" w:rsidR="00C5365E" w:rsidRPr="0060729E" w:rsidRDefault="00C5365E" w:rsidP="00297E41">
      <w:pPr>
        <w:rPr>
          <w:lang w:eastAsia="ja-JP"/>
        </w:rPr>
      </w:pPr>
    </w:p>
    <w:p w14:paraId="209A447D" w14:textId="77777777" w:rsidR="00A40E05" w:rsidRPr="0060729E" w:rsidRDefault="00A40E05">
      <w:pPr>
        <w:jc w:val="left"/>
        <w:rPr>
          <w:lang w:eastAsia="ja-JP"/>
        </w:rPr>
        <w:sectPr w:rsidR="00A40E05" w:rsidRPr="0060729E" w:rsidSect="00A40E05">
          <w:headerReference w:type="default" r:id="rId1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59424294" w14:textId="2FC9792F" w:rsidR="00C5365E" w:rsidRPr="0060729E" w:rsidRDefault="00A40E05" w:rsidP="00A40E05">
      <w:pPr>
        <w:jc w:val="center"/>
      </w:pPr>
      <w:r w:rsidRPr="0060729E">
        <w:t>UPOV/WG</w:t>
      </w:r>
      <w:r w:rsidR="00F53986" w:rsidRPr="0060729E">
        <w:noBreakHyphen/>
      </w:r>
      <w:r w:rsidRPr="0060729E">
        <w:t>ISC/2/2</w:t>
      </w:r>
    </w:p>
    <w:p w14:paraId="5E01196E" w14:textId="77777777" w:rsidR="00C5365E" w:rsidRPr="0060729E" w:rsidRDefault="00C5365E">
      <w:pPr>
        <w:jc w:val="left"/>
        <w:rPr>
          <w:lang w:eastAsia="ja-JP"/>
        </w:rPr>
      </w:pPr>
    </w:p>
    <w:p w14:paraId="6B397FDA" w14:textId="77777777" w:rsidR="00C5365E" w:rsidRPr="0060729E" w:rsidRDefault="00087C5E" w:rsidP="00297E41">
      <w:pPr>
        <w:spacing w:after="360"/>
        <w:jc w:val="center"/>
        <w:rPr>
          <w:lang w:eastAsia="ja-JP"/>
        </w:rPr>
      </w:pPr>
      <w:r w:rsidRPr="0060729E">
        <w:rPr>
          <w:lang w:eastAsia="ja-JP"/>
        </w:rPr>
        <w:t>ANNEX</w:t>
      </w:r>
      <w:r w:rsidR="006853D1" w:rsidRPr="0060729E">
        <w:rPr>
          <w:lang w:eastAsia="ja-JP"/>
        </w:rPr>
        <w:t>E </w:t>
      </w:r>
      <w:r w:rsidRPr="0060729E">
        <w:rPr>
          <w:lang w:eastAsia="ja-JP"/>
        </w:rPr>
        <w:t>II</w:t>
      </w:r>
    </w:p>
    <w:p w14:paraId="64CE3938" w14:textId="60805D98" w:rsidR="001D6EDD" w:rsidRPr="0060729E" w:rsidRDefault="005168C7" w:rsidP="0093532F">
      <w:pPr>
        <w:jc w:val="center"/>
        <w:rPr>
          <w:caps/>
          <w:szCs w:val="24"/>
          <w:lang w:eastAsia="ja-JP"/>
        </w:rPr>
      </w:pPr>
      <w:r w:rsidRPr="0060729E">
        <w:t xml:space="preserve">EXAMEN DES QUESTIONS FIGURANT DANS LE </w:t>
      </w:r>
      <w:r w:rsidR="00087C5E" w:rsidRPr="0060729E">
        <w:t xml:space="preserve">DOCUMENT CC/92/10 </w:t>
      </w:r>
      <w:r w:rsidRPr="0060729E">
        <w:t>RELATIVE</w:t>
      </w:r>
      <w:r w:rsidR="0093532F" w:rsidRPr="0060729E">
        <w:t>S AU MANDAT</w:t>
      </w:r>
      <w:r w:rsidR="0099384B">
        <w:br/>
      </w:r>
      <w:r w:rsidR="0093532F" w:rsidRPr="0060729E">
        <w:t xml:space="preserve">DU </w:t>
      </w:r>
      <w:r w:rsidR="0093532F" w:rsidRPr="0060729E">
        <w:rPr>
          <w:caps/>
        </w:rPr>
        <w:t>Groupe de travail sur un éventuel système international de coopération</w:t>
      </w:r>
      <w:r w:rsidR="0099384B">
        <w:br/>
      </w:r>
      <w:r w:rsidR="00545A4E">
        <w:t>(WG-ISC)</w:t>
      </w:r>
      <w:r w:rsidR="00087C5E" w:rsidRPr="0060729E">
        <w:rPr>
          <w:szCs w:val="24"/>
          <w:lang w:eastAsia="ja-JP"/>
        </w:rPr>
        <w:t xml:space="preserve"> </w:t>
      </w:r>
      <w:r w:rsidR="0093532F" w:rsidRPr="0060729E">
        <w:rPr>
          <w:szCs w:val="24"/>
          <w:lang w:eastAsia="ja-JP"/>
        </w:rPr>
        <w:t xml:space="preserve">ET AUX </w:t>
      </w:r>
      <w:r w:rsidR="00C45236" w:rsidRPr="0060729E">
        <w:rPr>
          <w:caps/>
          <w:szCs w:val="24"/>
          <w:lang w:eastAsia="ja-JP"/>
        </w:rPr>
        <w:t>besoins des servic</w:t>
      </w:r>
      <w:r w:rsidR="0099384B">
        <w:rPr>
          <w:caps/>
          <w:szCs w:val="24"/>
          <w:lang w:eastAsia="ja-JP"/>
        </w:rPr>
        <w:t>es de protection des obtentions</w:t>
      </w:r>
      <w:r w:rsidR="0099384B">
        <w:rPr>
          <w:caps/>
          <w:szCs w:val="24"/>
          <w:lang w:eastAsia="ja-JP"/>
        </w:rPr>
        <w:br/>
      </w:r>
      <w:r w:rsidR="00C45236" w:rsidRPr="0060729E">
        <w:rPr>
          <w:caps/>
          <w:szCs w:val="24"/>
          <w:lang w:eastAsia="ja-JP"/>
        </w:rPr>
        <w:t xml:space="preserve">végétales tels </w:t>
      </w:r>
      <w:r w:rsidR="00774BA8" w:rsidRPr="0060729E">
        <w:t>QU</w:t>
      </w:r>
      <w:r w:rsidR="00774BA8">
        <w:t>E RECENSÉS</w:t>
      </w:r>
      <w:r w:rsidR="00774BA8" w:rsidRPr="0060729E">
        <w:t xml:space="preserve"> </w:t>
      </w:r>
      <w:r w:rsidR="00C45236" w:rsidRPr="0060729E">
        <w:rPr>
          <w:caps/>
          <w:szCs w:val="24"/>
          <w:lang w:eastAsia="ja-JP"/>
        </w:rPr>
        <w:t xml:space="preserve">lors de la première réunion du </w:t>
      </w:r>
      <w:r w:rsidR="0099384B">
        <w:rPr>
          <w:caps/>
          <w:szCs w:val="24"/>
          <w:lang w:eastAsia="ja-JP"/>
        </w:rPr>
        <w:t>WG-ISC</w:t>
      </w:r>
    </w:p>
    <w:p w14:paraId="24FFFC2F" w14:textId="1B06894E" w:rsidR="00087C5E" w:rsidRPr="0060729E" w:rsidRDefault="00087C5E" w:rsidP="00297E41">
      <w:pPr>
        <w:jc w:val="center"/>
        <w:rPr>
          <w:rFonts w:cs="Arial"/>
          <w:sz w:val="19"/>
          <w:szCs w:val="19"/>
        </w:rPr>
      </w:pPr>
    </w:p>
    <w:tbl>
      <w:tblPr>
        <w:tblStyle w:val="TableGrid"/>
        <w:tblW w:w="9781" w:type="dxa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6172"/>
        <w:gridCol w:w="2471"/>
      </w:tblGrid>
      <w:tr w:rsidR="0060729E" w:rsidRPr="0060729E" w14:paraId="45B64598" w14:textId="77777777" w:rsidTr="00E126E3">
        <w:trPr>
          <w:cantSplit/>
          <w:tblHeader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A6275" w14:textId="65C65D6C" w:rsidR="00087C5E" w:rsidRPr="0060729E" w:rsidRDefault="00087C5E" w:rsidP="00155EF0">
            <w:pPr>
              <w:jc w:val="left"/>
              <w:rPr>
                <w:b/>
                <w:u w:val="single"/>
              </w:rPr>
            </w:pPr>
            <w:r w:rsidRPr="0060729E">
              <w:rPr>
                <w:b/>
                <w:u w:val="single"/>
              </w:rPr>
              <w:t>CC/92/10 R</w:t>
            </w:r>
            <w:r w:rsidR="00155EF0" w:rsidRPr="0060729E">
              <w:rPr>
                <w:b/>
                <w:u w:val="single"/>
              </w:rPr>
              <w:t>éfé</w:t>
            </w:r>
            <w:r w:rsidRPr="0060729E">
              <w:rPr>
                <w:b/>
                <w:u w:val="single"/>
              </w:rPr>
              <w:t>rence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FCBA3" w14:textId="77777777" w:rsidR="00C5365E" w:rsidRPr="0060729E" w:rsidRDefault="00087C5E" w:rsidP="00E126E3">
            <w:pPr>
              <w:jc w:val="left"/>
              <w:rPr>
                <w:b/>
                <w:u w:val="single"/>
              </w:rPr>
            </w:pPr>
            <w:r w:rsidRPr="0060729E">
              <w:rPr>
                <w:b/>
                <w:u w:val="single"/>
              </w:rPr>
              <w:t>CC/92/10</w:t>
            </w:r>
          </w:p>
          <w:p w14:paraId="6BD421B3" w14:textId="6AD66FE1" w:rsidR="00087C5E" w:rsidRPr="0060729E" w:rsidRDefault="00155EF0" w:rsidP="00E126E3">
            <w:pPr>
              <w:jc w:val="left"/>
              <w:rPr>
                <w:b/>
                <w:u w:val="single"/>
              </w:rPr>
            </w:pPr>
            <w:r w:rsidRPr="0060729E">
              <w:rPr>
                <w:b/>
                <w:u w:val="single"/>
              </w:rPr>
              <w:t>Point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DC909" w14:textId="4687E864" w:rsidR="00087C5E" w:rsidRPr="0060729E" w:rsidRDefault="00155EF0" w:rsidP="00E126E3">
            <w:pPr>
              <w:jc w:val="left"/>
              <w:rPr>
                <w:b/>
                <w:u w:val="single"/>
              </w:rPr>
            </w:pPr>
            <w:r w:rsidRPr="0060729E">
              <w:rPr>
                <w:b/>
                <w:u w:val="single"/>
              </w:rPr>
              <w:t>Mesure proposée</w:t>
            </w:r>
          </w:p>
        </w:tc>
      </w:tr>
      <w:tr w:rsidR="0060729E" w:rsidRPr="0060729E" w14:paraId="3545AFD9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C98C490" w14:textId="094ED3E2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1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0BB9BB2E" w14:textId="2B9B9BBF" w:rsidR="00087C5E" w:rsidRPr="0060729E" w:rsidRDefault="00C873D6" w:rsidP="00C873D6">
            <w:pPr>
              <w:jc w:val="left"/>
            </w:pPr>
            <w:r w:rsidRPr="0060729E">
              <w:t>a)</w:t>
            </w:r>
            <w:r w:rsidRPr="0060729E">
              <w:tab/>
              <w:t>Préciser que</w:t>
            </w:r>
            <w:r w:rsidR="001D6EDD" w:rsidRPr="0060729E">
              <w:t xml:space="preserve"> </w:t>
            </w:r>
            <w:r w:rsidR="00967920">
              <w:t>l’ISC</w:t>
            </w:r>
            <w:r w:rsidRPr="0060729E">
              <w:t xml:space="preserve"> n</w:t>
            </w:r>
            <w:r w:rsidR="001D6EDD" w:rsidRPr="0060729E">
              <w:t>’</w:t>
            </w:r>
            <w:r w:rsidRPr="0060729E">
              <w:t>entamerait pas la responsabilité des membres de l</w:t>
            </w:r>
            <w:r w:rsidR="001D6EDD" w:rsidRPr="0060729E">
              <w:t>’</w:t>
            </w:r>
            <w:r w:rsidRPr="0060729E">
              <w:t>Union quant à l</w:t>
            </w:r>
            <w:r w:rsidR="001D6EDD" w:rsidRPr="0060729E">
              <w:t>’</w:t>
            </w:r>
            <w:r w:rsidRPr="0060729E">
              <w:t>octroi et à la protection des droits d</w:t>
            </w:r>
            <w:r w:rsidR="001D6EDD" w:rsidRPr="0060729E">
              <w:t>’</w:t>
            </w:r>
            <w:r w:rsidRPr="0060729E">
              <w:t>obtenteur.</w:t>
            </w:r>
            <w:r w:rsidR="00087C5E" w:rsidRPr="0060729E">
              <w:t xml:space="preserve"> 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F4E98B8" w14:textId="5E4B2A30" w:rsidR="00087C5E" w:rsidRPr="0060729E" w:rsidRDefault="00832094" w:rsidP="00832094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0350C188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D77EBFA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0CA4AEFD" w14:textId="4598213F" w:rsidR="00C5365E" w:rsidRPr="0060729E" w:rsidRDefault="00C873D6" w:rsidP="00C873D6">
            <w:pPr>
              <w:jc w:val="left"/>
            </w:pPr>
            <w:r w:rsidRPr="0060729E">
              <w:t>b)</w:t>
            </w:r>
            <w:r w:rsidRPr="0060729E">
              <w:tab/>
              <w:t>Préciser que</w:t>
            </w:r>
            <w:r w:rsidR="001D6EDD" w:rsidRPr="0060729E">
              <w:t> :</w:t>
            </w:r>
          </w:p>
          <w:p w14:paraId="24D9D93B" w14:textId="78DBEA9A" w:rsidR="00C5365E" w:rsidRPr="0060729E" w:rsidRDefault="00C873D6" w:rsidP="00C01DC0">
            <w:pPr>
              <w:pStyle w:val="ListParagraph"/>
              <w:numPr>
                <w:ilvl w:val="0"/>
                <w:numId w:val="7"/>
              </w:numPr>
              <w:jc w:val="left"/>
            </w:pPr>
            <w:r w:rsidRPr="0060729E">
              <w:t>les demandes ne seraient pas déposées auprès du Bureau de l</w:t>
            </w:r>
            <w:r w:rsidR="001D6EDD" w:rsidRPr="0060729E">
              <w:t>’</w:t>
            </w:r>
            <w:r w:rsidRPr="0060729E">
              <w:t>Union;</w:t>
            </w:r>
          </w:p>
          <w:p w14:paraId="0940BE3F" w14:textId="34F533FA" w:rsidR="001D6EDD" w:rsidRPr="0060729E" w:rsidRDefault="00C873D6" w:rsidP="00C01DC0">
            <w:pPr>
              <w:pStyle w:val="ListParagraph"/>
              <w:numPr>
                <w:ilvl w:val="0"/>
                <w:numId w:val="7"/>
              </w:numPr>
              <w:jc w:val="left"/>
            </w:pPr>
            <w:r w:rsidRPr="0060729E">
              <w:t>les demandes continueraient d</w:t>
            </w:r>
            <w:r w:rsidR="001D6EDD" w:rsidRPr="0060729E">
              <w:t>’</w:t>
            </w:r>
            <w:r w:rsidRPr="0060729E">
              <w:t>être déposées auprès de chacun des membres de l</w:t>
            </w:r>
            <w:r w:rsidR="001D6EDD" w:rsidRPr="0060729E">
              <w:t>’</w:t>
            </w:r>
            <w:r w:rsidRPr="0060729E">
              <w:t>Union;</w:t>
            </w:r>
          </w:p>
          <w:p w14:paraId="553CE013" w14:textId="7B5DB4FA" w:rsidR="00C5365E" w:rsidRPr="0060729E" w:rsidRDefault="00C873D6" w:rsidP="00C01DC0">
            <w:pPr>
              <w:pStyle w:val="ListParagraph"/>
              <w:numPr>
                <w:ilvl w:val="0"/>
                <w:numId w:val="7"/>
              </w:numPr>
              <w:jc w:val="left"/>
            </w:pPr>
            <w:r w:rsidRPr="0060729E">
              <w:t>l</w:t>
            </w:r>
            <w:r w:rsidR="001D6EDD" w:rsidRPr="0060729E">
              <w:t>’</w:t>
            </w:r>
            <w:r w:rsidRPr="0060729E">
              <w:t>examen des demandes ne serait pas effectué par le Bureau de l</w:t>
            </w:r>
            <w:r w:rsidR="001D6EDD" w:rsidRPr="0060729E">
              <w:t>’</w:t>
            </w:r>
            <w:r w:rsidRPr="0060729E">
              <w:t>Union;</w:t>
            </w:r>
          </w:p>
          <w:p w14:paraId="1B6D245A" w14:textId="7977D2F3" w:rsidR="00C5365E" w:rsidRPr="0060729E" w:rsidRDefault="00967920" w:rsidP="00C01DC0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un ISC</w:t>
            </w:r>
            <w:r w:rsidR="00C873D6" w:rsidRPr="0060729E">
              <w:t xml:space="preserve"> reposerait sur les formes existantes de coopération volontaire en matière d</w:t>
            </w:r>
            <w:r w:rsidR="001D6EDD" w:rsidRPr="0060729E">
              <w:t>’</w:t>
            </w:r>
            <w:r w:rsidR="00C873D6" w:rsidRPr="0060729E">
              <w:t>examen entre membres de l</w:t>
            </w:r>
            <w:r w:rsidR="001D6EDD" w:rsidRPr="0060729E">
              <w:t>’</w:t>
            </w:r>
            <w:r w:rsidR="00C873D6" w:rsidRPr="0060729E">
              <w:t>Union;</w:t>
            </w:r>
          </w:p>
          <w:p w14:paraId="4518564E" w14:textId="533A97E2" w:rsidR="00C5365E" w:rsidRPr="0060729E" w:rsidRDefault="00C873D6" w:rsidP="00C01DC0">
            <w:pPr>
              <w:pStyle w:val="ListParagraph"/>
              <w:numPr>
                <w:ilvl w:val="0"/>
                <w:numId w:val="7"/>
              </w:numPr>
              <w:jc w:val="left"/>
            </w:pPr>
            <w:r w:rsidRPr="0060729E">
              <w:t>la non</w:t>
            </w:r>
            <w:r w:rsidR="00F53986" w:rsidRPr="0060729E">
              <w:noBreakHyphen/>
            </w:r>
            <w:r w:rsidRPr="0060729E">
              <w:t xml:space="preserve">participation à </w:t>
            </w:r>
            <w:r w:rsidR="00967920">
              <w:t>un ISC</w:t>
            </w:r>
            <w:r w:rsidRPr="0060729E">
              <w:t xml:space="preserve"> n</w:t>
            </w:r>
            <w:r w:rsidR="001D6EDD" w:rsidRPr="0060729E">
              <w:t>’</w:t>
            </w:r>
            <w:r w:rsidRPr="0060729E">
              <w:t>aurait pas d</w:t>
            </w:r>
            <w:r w:rsidR="001D6EDD" w:rsidRPr="0060729E">
              <w:t>’</w:t>
            </w:r>
            <w:r w:rsidRPr="0060729E">
              <w:t>incidence sur la coopération en matière d</w:t>
            </w:r>
            <w:r w:rsidR="001D6EDD" w:rsidRPr="0060729E">
              <w:t>’</w:t>
            </w:r>
            <w:r w:rsidRPr="0060729E">
              <w:t>examen entre membres de l</w:t>
            </w:r>
            <w:r w:rsidR="001D6EDD" w:rsidRPr="0060729E">
              <w:t>’</w:t>
            </w:r>
            <w:r w:rsidRPr="0060729E">
              <w:t>Union;</w:t>
            </w:r>
          </w:p>
          <w:p w14:paraId="51B3BE5C" w14:textId="2F028B63" w:rsidR="00087C5E" w:rsidRPr="0060729E" w:rsidRDefault="00967920" w:rsidP="00C01DC0">
            <w:pPr>
              <w:pStyle w:val="ListParagraph"/>
              <w:numPr>
                <w:ilvl w:val="0"/>
                <w:numId w:val="7"/>
              </w:numPr>
              <w:jc w:val="left"/>
            </w:pPr>
            <w:r>
              <w:t>un ISC</w:t>
            </w:r>
            <w:r w:rsidR="00C873D6" w:rsidRPr="0060729E">
              <w:t xml:space="preserve"> n</w:t>
            </w:r>
            <w:r w:rsidR="001D6EDD" w:rsidRPr="0060729E">
              <w:t>’</w:t>
            </w:r>
            <w:r w:rsidR="00C873D6" w:rsidRPr="0060729E">
              <w:t>aurait pas d</w:t>
            </w:r>
            <w:r w:rsidR="001D6EDD" w:rsidRPr="0060729E">
              <w:t>’</w:t>
            </w:r>
            <w:r w:rsidR="00C873D6" w:rsidRPr="0060729E">
              <w:t>incidence sur le pouvoir souverain de décision des membres de l</w:t>
            </w:r>
            <w:r w:rsidR="001D6EDD" w:rsidRPr="0060729E">
              <w:t>’</w:t>
            </w:r>
            <w:r w:rsidR="00C873D6" w:rsidRPr="0060729E">
              <w:t>Union concernant l</w:t>
            </w:r>
            <w:r w:rsidR="001D6EDD" w:rsidRPr="0060729E">
              <w:t>’</w:t>
            </w:r>
            <w:r w:rsidR="00C873D6" w:rsidRPr="0060729E">
              <w:t>octroi et la protection des droits d</w:t>
            </w:r>
            <w:r w:rsidR="001D6EDD" w:rsidRPr="0060729E">
              <w:t>’</w:t>
            </w:r>
            <w:r w:rsidR="00C873D6" w:rsidRPr="0060729E">
              <w:t xml:space="preserve">obtenteur, </w:t>
            </w:r>
            <w:r w:rsidR="001D6EDD" w:rsidRPr="0060729E">
              <w:t>y compris</w:t>
            </w:r>
            <w:r w:rsidR="00C873D6" w:rsidRPr="0060729E">
              <w:t xml:space="preserve"> en ce qui concerne les conditions d</w:t>
            </w:r>
            <w:r w:rsidR="001D6EDD" w:rsidRPr="0060729E">
              <w:t>’</w:t>
            </w:r>
            <w:r w:rsidR="00C873D6" w:rsidRPr="0060729E">
              <w:t>octroi des droits d</w:t>
            </w:r>
            <w:r w:rsidR="001D6EDD" w:rsidRPr="0060729E">
              <w:t>’</w:t>
            </w:r>
            <w:r w:rsidR="00C873D6" w:rsidRPr="0060729E">
              <w:t>obtenteur.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79AA8F5" w14:textId="66667C43" w:rsidR="00087C5E" w:rsidRPr="0060729E" w:rsidRDefault="00832094" w:rsidP="00832094">
            <w:pPr>
              <w:jc w:val="left"/>
            </w:pPr>
            <w:r w:rsidRPr="0060729E">
              <w:t xml:space="preserve">Couvert par le mandat </w:t>
            </w:r>
          </w:p>
        </w:tc>
      </w:tr>
      <w:tr w:rsidR="0060729E" w:rsidRPr="0060729E" w14:paraId="22D3E91C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1D4211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97C60D8" w14:textId="0BE9E802" w:rsidR="00087C5E" w:rsidRPr="0060729E" w:rsidRDefault="00C873D6" w:rsidP="00C873D6">
            <w:pPr>
              <w:jc w:val="left"/>
            </w:pPr>
            <w:r w:rsidRPr="0060729E">
              <w:t>c)</w:t>
            </w:r>
            <w:r w:rsidRPr="0060729E">
              <w:tab/>
              <w:t>Préciser qu</w:t>
            </w:r>
            <w:r w:rsidR="001D6EDD" w:rsidRPr="0060729E">
              <w:t>’</w:t>
            </w:r>
            <w:r w:rsidR="00967920">
              <w:t>un ISC</w:t>
            </w:r>
            <w:r w:rsidRPr="0060729E">
              <w:t xml:space="preserve"> n</w:t>
            </w:r>
            <w:r w:rsidR="001D6EDD" w:rsidRPr="0060729E">
              <w:t>’</w:t>
            </w:r>
            <w:r w:rsidRPr="0060729E">
              <w:t>entamerait pas la marge de manœuvre des membres de l</w:t>
            </w:r>
            <w:r w:rsidR="001D6EDD" w:rsidRPr="0060729E">
              <w:t>’</w:t>
            </w:r>
            <w:r w:rsidRPr="0060729E">
              <w:t>Union s</w:t>
            </w:r>
            <w:r w:rsidR="001D6EDD" w:rsidRPr="0060729E">
              <w:t>’</w:t>
            </w:r>
            <w:r w:rsidRPr="0060729E">
              <w:t>agissant de la formulation d</w:t>
            </w:r>
            <w:r w:rsidR="001D6EDD" w:rsidRPr="0060729E">
              <w:t>’</w:t>
            </w:r>
            <w:r w:rsidRPr="0060729E">
              <w:t>une politique, de la satisfaction de leurs besoins spécifiques et de la prise en considération de leurs conditions particulières conformément à l</w:t>
            </w:r>
            <w:r w:rsidR="001D6EDD" w:rsidRPr="0060729E">
              <w:t>’</w:t>
            </w:r>
            <w:r w:rsidRPr="0060729E">
              <w:t xml:space="preserve">acte pertinent de la </w:t>
            </w:r>
            <w:r w:rsidR="001D6EDD" w:rsidRPr="0060729E">
              <w:t>Convention UPOV</w:t>
            </w:r>
            <w:r w:rsidRPr="0060729E">
              <w:t>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39C00B4" w14:textId="2BA6C38F" w:rsidR="00087C5E" w:rsidRPr="0060729E" w:rsidRDefault="00832094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6596269C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6A2AA58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96DBD46" w14:textId="570D5E94" w:rsidR="00087C5E" w:rsidRPr="0060729E" w:rsidRDefault="00C873D6" w:rsidP="00C873D6">
            <w:pPr>
              <w:jc w:val="left"/>
            </w:pPr>
            <w:r w:rsidRPr="0060729E">
              <w:t>d)</w:t>
            </w:r>
            <w:r w:rsidRPr="0060729E">
              <w:tab/>
              <w:t>Prendre en considération les normes et la législation des différents membres de l</w:t>
            </w:r>
            <w:r w:rsidR="001D6EDD" w:rsidRPr="0060729E">
              <w:t>’</w:t>
            </w:r>
            <w:r w:rsidRPr="0060729E">
              <w:t>Union afin de concevoir un cadre favorable à tous les membres.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202EEF6" w14:textId="2C8BAA65" w:rsidR="00087C5E" w:rsidRPr="0060729E" w:rsidRDefault="00832094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6DF5817E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54274E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374C61C" w14:textId="7EA5F11B" w:rsidR="00087C5E" w:rsidRPr="0060729E" w:rsidRDefault="00C873D6" w:rsidP="00C873D6">
            <w:pPr>
              <w:jc w:val="left"/>
            </w:pPr>
            <w:r w:rsidRPr="0060729E">
              <w:t>e)</w:t>
            </w:r>
            <w:r w:rsidRPr="0060729E">
              <w:tab/>
              <w:t>Préciser que les membres de l</w:t>
            </w:r>
            <w:r w:rsidR="001D6EDD" w:rsidRPr="0060729E">
              <w:t>’</w:t>
            </w:r>
            <w:r w:rsidRPr="0060729E">
              <w:t>Union pourraient choisir de participer à certains éléments d</w:t>
            </w:r>
            <w:r w:rsidR="001D6EDD" w:rsidRPr="0060729E">
              <w:t>’</w:t>
            </w:r>
            <w:r w:rsidR="00967920">
              <w:t>un ISC</w:t>
            </w:r>
            <w:r w:rsidRPr="0060729E">
              <w:t>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1E0F3CB" w14:textId="7B73B58B" w:rsidR="00087C5E" w:rsidRPr="0060729E" w:rsidRDefault="00832094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78E942B1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E75BB4D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059F74FC" w14:textId="53CA8ABA" w:rsidR="00C5365E" w:rsidRPr="0060729E" w:rsidRDefault="00C873D6" w:rsidP="00C873D6">
            <w:pPr>
              <w:jc w:val="left"/>
            </w:pPr>
            <w:r w:rsidRPr="0060729E">
              <w:t>f)</w:t>
            </w:r>
            <w:r w:rsidRPr="0060729E">
              <w:tab/>
              <w:t>Analyser</w:t>
            </w:r>
            <w:r w:rsidR="001D6EDD" w:rsidRPr="0060729E">
              <w:t> :</w:t>
            </w:r>
          </w:p>
          <w:p w14:paraId="51578C56" w14:textId="0FB659E8" w:rsidR="00C5365E" w:rsidRPr="0060729E" w:rsidRDefault="00C873D6" w:rsidP="00C01DC0">
            <w:pPr>
              <w:pStyle w:val="ListParagraph"/>
              <w:numPr>
                <w:ilvl w:val="0"/>
                <w:numId w:val="31"/>
              </w:numPr>
              <w:jc w:val="left"/>
            </w:pPr>
            <w:r w:rsidRPr="0060729E">
              <w:t>la représentation des obtenteurs au sein de chaque membre de l</w:t>
            </w:r>
            <w:r w:rsidR="001D6EDD" w:rsidRPr="0060729E">
              <w:t>’</w:t>
            </w:r>
            <w:r w:rsidRPr="0060729E">
              <w:t>Union;</w:t>
            </w:r>
          </w:p>
          <w:p w14:paraId="26AFA034" w14:textId="77777777" w:rsidR="00C5365E" w:rsidRPr="0060729E" w:rsidRDefault="00C873D6" w:rsidP="00C01DC0">
            <w:pPr>
              <w:pStyle w:val="ListParagraph"/>
              <w:numPr>
                <w:ilvl w:val="0"/>
                <w:numId w:val="31"/>
              </w:numPr>
              <w:jc w:val="left"/>
            </w:pPr>
            <w:r w:rsidRPr="0060729E">
              <w:t>les paiements en ligne ou en personne;</w:t>
            </w:r>
          </w:p>
          <w:p w14:paraId="3AA1A004" w14:textId="77777777" w:rsidR="00C5365E" w:rsidRPr="0060729E" w:rsidRDefault="00C873D6" w:rsidP="00C01DC0">
            <w:pPr>
              <w:pStyle w:val="ListParagraph"/>
              <w:numPr>
                <w:ilvl w:val="0"/>
                <w:numId w:val="31"/>
              </w:numPr>
              <w:jc w:val="left"/>
            </w:pPr>
            <w:r w:rsidRPr="0060729E">
              <w:t>la publication dans des journaux ou le bulletin officiel;</w:t>
            </w:r>
          </w:p>
          <w:p w14:paraId="65848AF9" w14:textId="41D5D6B5" w:rsidR="00C5365E" w:rsidRPr="0060729E" w:rsidRDefault="00C873D6" w:rsidP="00C01DC0">
            <w:pPr>
              <w:pStyle w:val="ListParagraph"/>
              <w:numPr>
                <w:ilvl w:val="0"/>
                <w:numId w:val="31"/>
              </w:numPr>
              <w:jc w:val="left"/>
            </w:pPr>
            <w:r w:rsidRPr="0060729E">
              <w:t>les commissions créées en application de la loi qui décident de l</w:t>
            </w:r>
            <w:r w:rsidR="001D6EDD" w:rsidRPr="0060729E">
              <w:t>’</w:t>
            </w:r>
            <w:r w:rsidRPr="0060729E">
              <w:t>enregistrement d</w:t>
            </w:r>
            <w:r w:rsidR="001D6EDD" w:rsidRPr="0060729E">
              <w:t>’</w:t>
            </w:r>
            <w:r w:rsidRPr="0060729E">
              <w:t>une variété;</w:t>
            </w:r>
          </w:p>
          <w:p w14:paraId="28D46446" w14:textId="62EF06FC" w:rsidR="00C5365E" w:rsidRPr="0060729E" w:rsidRDefault="00C873D6" w:rsidP="00C01DC0">
            <w:pPr>
              <w:pStyle w:val="ListParagraph"/>
              <w:numPr>
                <w:ilvl w:val="0"/>
                <w:numId w:val="31"/>
              </w:numPr>
              <w:jc w:val="left"/>
            </w:pPr>
            <w:r w:rsidRPr="0060729E">
              <w:t>l</w:t>
            </w:r>
            <w:r w:rsidR="001D6EDD" w:rsidRPr="0060729E">
              <w:t>’</w:t>
            </w:r>
            <w:r w:rsidRPr="0060729E">
              <w:t>extinction d</w:t>
            </w:r>
            <w:r w:rsidR="001D6EDD" w:rsidRPr="0060729E">
              <w:t>’</w:t>
            </w:r>
            <w:r w:rsidRPr="0060729E">
              <w:t>un droit d</w:t>
            </w:r>
            <w:r w:rsidR="001D6EDD" w:rsidRPr="0060729E">
              <w:t>’</w:t>
            </w:r>
            <w:r w:rsidRPr="0060729E">
              <w:t>obtenteur si elle est intervenue sur un autre territoire (disponibilité des informations);</w:t>
            </w:r>
          </w:p>
          <w:p w14:paraId="7717A7E5" w14:textId="30234D69" w:rsidR="00C5365E" w:rsidRPr="0060729E" w:rsidRDefault="00C873D6" w:rsidP="00C01DC0">
            <w:pPr>
              <w:pStyle w:val="ListParagraph"/>
              <w:numPr>
                <w:ilvl w:val="0"/>
                <w:numId w:val="31"/>
              </w:numPr>
              <w:jc w:val="left"/>
            </w:pPr>
            <w:r w:rsidRPr="0060729E">
              <w:t>l</w:t>
            </w:r>
            <w:r w:rsidR="001D6EDD" w:rsidRPr="0060729E">
              <w:t>’</w:t>
            </w:r>
            <w:r w:rsidRPr="0060729E">
              <w:t>obligation de remettre des échantillons représentatifs, même si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 n</w:t>
            </w:r>
            <w:r w:rsidR="001D6EDD" w:rsidRPr="0060729E">
              <w:t>’</w:t>
            </w:r>
            <w:r w:rsidRPr="0060729E">
              <w:t>est pas réalisé;  et</w:t>
            </w:r>
          </w:p>
          <w:p w14:paraId="6190ED8E" w14:textId="6F17CD4D" w:rsidR="00087C5E" w:rsidRPr="0060729E" w:rsidRDefault="00C873D6" w:rsidP="00C01DC0">
            <w:pPr>
              <w:pStyle w:val="ListParagraph"/>
              <w:numPr>
                <w:ilvl w:val="0"/>
                <w:numId w:val="31"/>
              </w:numPr>
              <w:jc w:val="left"/>
            </w:pPr>
            <w:r w:rsidRPr="0060729E">
              <w:t>l</w:t>
            </w:r>
            <w:r w:rsidR="001D6EDD" w:rsidRPr="0060729E">
              <w:t>’</w:t>
            </w:r>
            <w:r w:rsidRPr="0060729E">
              <w:t>obligation de présenter des documents légalisés (pouvoirs, cessions, etc.).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FF65A0C" w14:textId="39FA3025" w:rsidR="00087C5E" w:rsidRPr="0060729E" w:rsidRDefault="00832094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2126CC53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27B07351" w14:textId="555D737C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2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744BD5F" w14:textId="7FA8D935" w:rsidR="00087C5E" w:rsidRPr="0060729E" w:rsidRDefault="00C873D6" w:rsidP="00C873D6">
            <w:pPr>
              <w:jc w:val="left"/>
            </w:pPr>
            <w:r w:rsidRPr="0060729E">
              <w:t>a)</w:t>
            </w:r>
            <w:r w:rsidRPr="0060729E">
              <w:tab/>
              <w:t>Préciser qu</w:t>
            </w:r>
            <w:r w:rsidR="001D6EDD" w:rsidRPr="0060729E">
              <w:t>’</w:t>
            </w:r>
            <w:r w:rsidRPr="0060729E">
              <w:t>il incomberait à chaque membre de l</w:t>
            </w:r>
            <w:r w:rsidR="001D6EDD" w:rsidRPr="0060729E">
              <w:t>’</w:t>
            </w:r>
            <w:r w:rsidRPr="0060729E">
              <w:t>Union de décider s</w:t>
            </w:r>
            <w:r w:rsidR="001D6EDD" w:rsidRPr="0060729E">
              <w:t>’</w:t>
            </w:r>
            <w:r w:rsidRPr="0060729E">
              <w:t>il participe</w:t>
            </w:r>
            <w:r w:rsidR="001D6EDD" w:rsidRPr="0060729E">
              <w:t xml:space="preserve"> </w:t>
            </w:r>
            <w:r w:rsidR="00967920">
              <w:t>à l’ISC</w:t>
            </w:r>
            <w:r w:rsidRPr="0060729E">
              <w:t xml:space="preserve"> et, s</w:t>
            </w:r>
            <w:r w:rsidR="001D6EDD" w:rsidRPr="0060729E">
              <w:t>’</w:t>
            </w:r>
            <w:r w:rsidRPr="0060729E">
              <w:t>il y a lieu, de déterminer les mesures qu</w:t>
            </w:r>
            <w:r w:rsidR="001D6EDD" w:rsidRPr="0060729E">
              <w:t>’</w:t>
            </w:r>
            <w:r w:rsidRPr="0060729E">
              <w:t>il devrait prendre pour y participer.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321C245" w14:textId="424576E3" w:rsidR="00087C5E" w:rsidRPr="0060729E" w:rsidRDefault="00832094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6C24FDCA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95E46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228045" w14:textId="36D6E0F3" w:rsidR="00087C5E" w:rsidRPr="0060729E" w:rsidRDefault="00C873D6" w:rsidP="00C873D6">
            <w:pPr>
              <w:jc w:val="left"/>
            </w:pPr>
            <w:r w:rsidRPr="0060729E">
              <w:t>b)</w:t>
            </w:r>
            <w:r w:rsidRPr="0060729E">
              <w:tab/>
              <w:t>Utiliser les logiciels et les caractéristiques techniques qui permettraient à tous les membres de l</w:t>
            </w:r>
            <w:r w:rsidR="001D6EDD" w:rsidRPr="0060729E">
              <w:t>’</w:t>
            </w:r>
            <w:r w:rsidRPr="0060729E">
              <w:t xml:space="preserve">Union de participer à </w:t>
            </w:r>
            <w:r w:rsidR="00967920">
              <w:t>un ISC</w:t>
            </w:r>
            <w:r w:rsidRPr="0060729E">
              <w:t xml:space="preserve"> sans préjudice des normes nationales.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78E53" w14:textId="77777777" w:rsidR="001D6EDD" w:rsidRPr="0060729E" w:rsidRDefault="00C873D6" w:rsidP="00C873D6">
            <w:pPr>
              <w:jc w:val="left"/>
            </w:pPr>
            <w:r w:rsidRPr="0060729E">
              <w:t>Facilitation du dépôt des demandes</w:t>
            </w:r>
          </w:p>
          <w:p w14:paraId="27831E0F" w14:textId="27023527" w:rsidR="00087C5E" w:rsidRPr="0060729E" w:rsidRDefault="00087C5E" w:rsidP="0010368E">
            <w:pPr>
              <w:jc w:val="left"/>
            </w:pPr>
            <w:r w:rsidRPr="0060729E">
              <w:t>i)</w:t>
            </w:r>
          </w:p>
        </w:tc>
      </w:tr>
      <w:tr w:rsidR="0060729E" w:rsidRPr="0060729E" w14:paraId="237B8084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62290E24" w14:textId="7D243AAE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3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C105A50" w14:textId="1B7BA339" w:rsidR="00087C5E" w:rsidRPr="0060729E" w:rsidRDefault="00C873D6" w:rsidP="00C873D6">
            <w:pPr>
              <w:jc w:val="left"/>
            </w:pPr>
            <w:r w:rsidRPr="0060729E">
              <w:t>a)</w:t>
            </w:r>
            <w:r w:rsidRPr="0060729E">
              <w:tab/>
              <w:t>Examiner l</w:t>
            </w:r>
            <w:r w:rsidR="001D6EDD" w:rsidRPr="0060729E">
              <w:t>’</w:t>
            </w:r>
            <w:r w:rsidRPr="0060729E">
              <w:t>incidence possible d</w:t>
            </w:r>
            <w:r w:rsidR="001D6EDD" w:rsidRPr="0060729E">
              <w:t>’</w:t>
            </w:r>
            <w:r w:rsidR="00967920">
              <w:t>un ISC</w:t>
            </w:r>
            <w:r w:rsidRPr="0060729E">
              <w:t xml:space="preserve"> sur le nombre de demandes de droit d</w:t>
            </w:r>
            <w:r w:rsidR="001D6EDD" w:rsidRPr="0060729E">
              <w:t>’</w:t>
            </w:r>
            <w:r w:rsidRPr="0060729E">
              <w:t>obtenteur.</w:t>
            </w:r>
            <w:r w:rsidR="00087C5E" w:rsidRPr="0060729E">
              <w:t xml:space="preserve"> </w:t>
            </w:r>
            <w:r w:rsidR="009F1C92" w:rsidRPr="0060729E">
              <w:t xml:space="preserve">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A6583BA" w14:textId="56471EC7" w:rsidR="00087C5E" w:rsidRPr="0060729E" w:rsidRDefault="005A030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71A39E84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3FE0ADD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3F3A1FE" w14:textId="60A3477D" w:rsidR="00087C5E" w:rsidRPr="0060729E" w:rsidRDefault="00C873D6" w:rsidP="00C873D6">
            <w:pPr>
              <w:jc w:val="left"/>
            </w:pPr>
            <w:r w:rsidRPr="0060729E">
              <w:t>b)</w:t>
            </w:r>
            <w:r w:rsidRPr="0060729E">
              <w:tab/>
              <w:t>Examiner si une augmentation du nombre de demandes de droit d</w:t>
            </w:r>
            <w:r w:rsidR="001D6EDD" w:rsidRPr="0060729E">
              <w:t>’</w:t>
            </w:r>
            <w:r w:rsidRPr="0060729E">
              <w:t>obtenteur entraînerait des avantages pour les membres de l</w:t>
            </w:r>
            <w:r w:rsidR="001D6EDD" w:rsidRPr="0060729E">
              <w:t>’</w:t>
            </w:r>
            <w:r w:rsidRPr="0060729E">
              <w:t>UPOV.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49A61B8" w14:textId="699D3DBB" w:rsidR="00087C5E" w:rsidRPr="0060729E" w:rsidRDefault="005A030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48404F7B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D052384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93058A5" w14:textId="13FE8001" w:rsidR="00087C5E" w:rsidRPr="0060729E" w:rsidRDefault="00C873D6" w:rsidP="00C873D6">
            <w:pPr>
              <w:jc w:val="left"/>
            </w:pPr>
            <w:r w:rsidRPr="0060729E">
              <w:t>c)</w:t>
            </w:r>
            <w:r w:rsidRPr="0060729E">
              <w:tab/>
              <w:t>Étudier la demande des obtenteurs concernant la création d</w:t>
            </w:r>
            <w:r w:rsidR="001D6EDD" w:rsidRPr="0060729E">
              <w:t>’</w:t>
            </w:r>
            <w:r w:rsidR="00967920">
              <w:t>un ISC</w:t>
            </w:r>
            <w:r w:rsidRPr="0060729E">
              <w:t xml:space="preserve"> au moyen d</w:t>
            </w:r>
            <w:r w:rsidR="001D6EDD" w:rsidRPr="0060729E">
              <w:t>’</w:t>
            </w:r>
            <w:r w:rsidRPr="0060729E">
              <w:t>une série de questions ciblées afin d</w:t>
            </w:r>
            <w:r w:rsidR="001D6EDD" w:rsidRPr="0060729E">
              <w:t>’</w:t>
            </w:r>
            <w:r w:rsidRPr="0060729E">
              <w:t>obtenir des données plus fiables sur les avantages et l</w:t>
            </w:r>
            <w:r w:rsidR="001D6EDD" w:rsidRPr="0060729E">
              <w:t>’</w:t>
            </w:r>
            <w:r w:rsidRPr="0060729E">
              <w:t>utilisation potentielle de ce système par les obtenteurs.</w:t>
            </w:r>
            <w:r w:rsidR="00087C5E" w:rsidRPr="0060729E">
              <w:t xml:space="preserve"> </w:t>
            </w:r>
            <w:r w:rsidR="009F1C92" w:rsidRPr="0060729E">
              <w:t xml:space="preserve">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EC575AE" w14:textId="033A39E6" w:rsidR="00087C5E" w:rsidRPr="0060729E" w:rsidRDefault="005A030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78FE23C2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6635EF28" w14:textId="71EC0EDB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4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E24CAB1" w14:textId="0802EC1C" w:rsidR="00087C5E" w:rsidRPr="0060729E" w:rsidRDefault="00C873D6" w:rsidP="00C873D6">
            <w:pPr>
              <w:jc w:val="left"/>
            </w:pPr>
            <w:r w:rsidRPr="0060729E">
              <w:t>a)</w:t>
            </w:r>
            <w:r w:rsidRPr="0060729E">
              <w:tab/>
              <w:t>Préciser qu</w:t>
            </w:r>
            <w:r w:rsidR="001D6EDD" w:rsidRPr="0060729E">
              <w:t>’</w:t>
            </w:r>
            <w:r w:rsidRPr="0060729E">
              <w:t>il incomberait toujours à chaque membre de l</w:t>
            </w:r>
            <w:r w:rsidR="001D6EDD" w:rsidRPr="0060729E">
              <w:t>’</w:t>
            </w:r>
            <w:r w:rsidRPr="0060729E">
              <w:t>Union de déterminer ses propres arrangements relatifs à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DHS, notamment en matière de coopération avec d</w:t>
            </w:r>
            <w:r w:rsidR="001D6EDD" w:rsidRPr="0060729E">
              <w:t>’</w:t>
            </w:r>
            <w:r w:rsidRPr="0060729E">
              <w:t>autres membres de l</w:t>
            </w:r>
            <w:r w:rsidR="001D6EDD" w:rsidRPr="0060729E">
              <w:t>’</w:t>
            </w:r>
            <w:r w:rsidRPr="0060729E">
              <w:t>Union.</w:t>
            </w:r>
            <w:r w:rsidR="00087C5E" w:rsidRPr="0060729E">
              <w:t xml:space="preserve"> 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480B721" w14:textId="3EA1C023" w:rsidR="00087C5E" w:rsidRPr="0060729E" w:rsidRDefault="005A030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196E8905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8AEC136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33718A5" w14:textId="24976043" w:rsidR="00087C5E" w:rsidRPr="0060729E" w:rsidRDefault="00C873D6" w:rsidP="00C873D6">
            <w:pPr>
              <w:jc w:val="left"/>
            </w:pPr>
            <w:r w:rsidRPr="0060729E">
              <w:t>b)</w:t>
            </w:r>
            <w:r w:rsidRPr="0060729E">
              <w:tab/>
              <w:t>Préciser que les membres de l</w:t>
            </w:r>
            <w:r w:rsidR="001D6EDD" w:rsidRPr="0060729E">
              <w:t>’</w:t>
            </w:r>
            <w:r w:rsidRPr="0060729E">
              <w:t>UPOV conserveraient la responsabilité de la détermination de leurs taxes.</w:t>
            </w:r>
            <w:r w:rsidR="00087C5E" w:rsidRPr="0060729E">
              <w:t xml:space="preserve"> 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3B95E97" w14:textId="6D2DDCC4" w:rsidR="00087C5E" w:rsidRPr="0060729E" w:rsidRDefault="005A030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5703456A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08B4734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A376D2F" w14:textId="6FFE4C27" w:rsidR="00087C5E" w:rsidRPr="0060729E" w:rsidRDefault="00C873D6" w:rsidP="00C873D6">
            <w:pPr>
              <w:jc w:val="left"/>
            </w:pPr>
            <w:r w:rsidRPr="0060729E">
              <w:t>c)</w:t>
            </w:r>
            <w:r w:rsidRPr="0060729E">
              <w:tab/>
              <w:t>Examiner les conséquences d</w:t>
            </w:r>
            <w:r w:rsidR="001D6EDD" w:rsidRPr="0060729E">
              <w:t>’</w:t>
            </w:r>
            <w:r w:rsidR="00967920">
              <w:t>un ISC</w:t>
            </w:r>
            <w:r w:rsidRPr="0060729E">
              <w:t xml:space="preserve"> pour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 dans les différents pays de l</w:t>
            </w:r>
            <w:r w:rsidR="001D6EDD" w:rsidRPr="0060729E">
              <w:t>’</w:t>
            </w:r>
            <w:r w:rsidRPr="0060729E">
              <w:t>UPOV et pour les obtenteurs, notamment les petites et moyennes entreprises (PME).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B646F00" w14:textId="4AD00268" w:rsidR="00087C5E" w:rsidRPr="0060729E" w:rsidRDefault="005A030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20B6AC89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38ADB6F" w14:textId="7AAB5981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5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11108B0" w14:textId="1B061213" w:rsidR="00087C5E" w:rsidRPr="0060729E" w:rsidRDefault="00C873D6" w:rsidP="00C873D6">
            <w:pPr>
              <w:ind w:left="-11" w:firstLine="11"/>
              <w:jc w:val="left"/>
            </w:pPr>
            <w:r w:rsidRPr="0060729E">
              <w:t>Préciser qu</w:t>
            </w:r>
            <w:r w:rsidR="001D6EDD" w:rsidRPr="0060729E">
              <w:t>’</w:t>
            </w:r>
            <w:r w:rsidR="00967920">
              <w:t>un ISC</w:t>
            </w:r>
            <w:r w:rsidRPr="0060729E">
              <w:t xml:space="preserve"> ne devrait pas donner lieu à un examen unique et suffisant pour tous les membres de l</w:t>
            </w:r>
            <w:r w:rsidR="001D6EDD" w:rsidRPr="0060729E">
              <w:t>’</w:t>
            </w:r>
            <w:r w:rsidRPr="0060729E">
              <w:t>Union et toutes les espèces, tout en reconnaissant cependant les avantages d</w:t>
            </w:r>
            <w:r w:rsidR="001D6EDD" w:rsidRPr="0060729E">
              <w:t>’</w:t>
            </w:r>
            <w:r w:rsidRPr="0060729E">
              <w:t>une coopération accrue et facilitée entre membres de l</w:t>
            </w:r>
            <w:r w:rsidR="001D6EDD" w:rsidRPr="0060729E">
              <w:t>’</w:t>
            </w:r>
            <w:r w:rsidRPr="0060729E">
              <w:t>Union.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5874033" w14:textId="1BB2D8F6" w:rsidR="00087C5E" w:rsidRPr="0060729E" w:rsidRDefault="005A030F" w:rsidP="00297E41">
            <w:pPr>
              <w:ind w:left="-11" w:firstLine="11"/>
              <w:jc w:val="left"/>
            </w:pPr>
            <w:r w:rsidRPr="0060729E">
              <w:t>Couvert par le mandat</w:t>
            </w:r>
          </w:p>
        </w:tc>
      </w:tr>
      <w:tr w:rsidR="0060729E" w:rsidRPr="0060729E" w14:paraId="7D55519E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B05CC9A" w14:textId="1A95B010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6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4886F8B3" w14:textId="63041177" w:rsidR="00087C5E" w:rsidRPr="0060729E" w:rsidRDefault="00C873D6" w:rsidP="00C873D6">
            <w:pPr>
              <w:jc w:val="left"/>
            </w:pPr>
            <w:r w:rsidRPr="0060729E">
              <w:t>Examiner si les arrangements entre membres de l</w:t>
            </w:r>
            <w:r w:rsidR="001D6EDD" w:rsidRPr="0060729E">
              <w:t>’</w:t>
            </w:r>
            <w:r w:rsidRPr="0060729E">
              <w:t>Union relatifs à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 xml:space="preserve">DHS pourraient être intégrés dans </w:t>
            </w:r>
            <w:r w:rsidR="00967920">
              <w:t>un ISC</w:t>
            </w:r>
            <w:r w:rsidRPr="0060729E">
              <w:t>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CFFD32D" w14:textId="71650A61" w:rsidR="00087C5E" w:rsidRPr="0060729E" w:rsidRDefault="005A030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0D7AE3C1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4D29065F" w14:textId="61989858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7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9E63A9C" w14:textId="3619500C" w:rsidR="00087C5E" w:rsidRPr="0060729E" w:rsidRDefault="00C873D6" w:rsidP="00C873D6">
            <w:pPr>
              <w:jc w:val="left"/>
            </w:pPr>
            <w:r w:rsidRPr="0060729E">
              <w:t>Noter que les renseignements relatifs aux arrangements entre membres de l</w:t>
            </w:r>
            <w:r w:rsidR="001D6EDD" w:rsidRPr="0060729E">
              <w:t>’</w:t>
            </w:r>
            <w:r w:rsidRPr="0060729E">
              <w:t>Union concernant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 figurent déjà dans la base de données GENIE.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063532E" w14:textId="2A9D7D71" w:rsidR="00087C5E" w:rsidRPr="0060729E" w:rsidRDefault="005A030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21F5BECA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E802700" w14:textId="04209B4E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8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64F434" w14:textId="0455C32C" w:rsidR="00087C5E" w:rsidRPr="0060729E" w:rsidRDefault="00C873D6" w:rsidP="00C873D6">
            <w:pPr>
              <w:jc w:val="left"/>
            </w:pPr>
            <w:r w:rsidRPr="0060729E">
              <w:t>a)</w:t>
            </w:r>
            <w:r w:rsidRPr="0060729E">
              <w:tab/>
              <w:t>Examiner si l</w:t>
            </w:r>
            <w:r w:rsidR="001D6EDD" w:rsidRPr="0060729E">
              <w:t>’</w:t>
            </w:r>
            <w:r w:rsidRPr="0060729E">
              <w:t>établissement d</w:t>
            </w:r>
            <w:r w:rsidR="001D6EDD" w:rsidRPr="0060729E">
              <w:t>’</w:t>
            </w:r>
            <w:r w:rsidRPr="0060729E">
              <w:t>un système d</w:t>
            </w:r>
            <w:r w:rsidR="001D6EDD" w:rsidRPr="0060729E">
              <w:t>’</w:t>
            </w:r>
            <w:r w:rsidRPr="0060729E">
              <w:t>accréditation, ou de tout autre moyen de communiquer des informations objectives sur les capacités en matière d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DHS, pourrait simplifier la coopération en matière d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 et les caractéristiques d</w:t>
            </w:r>
            <w:r w:rsidR="001D6EDD" w:rsidRPr="0060729E">
              <w:t>’</w:t>
            </w:r>
            <w:r w:rsidRPr="0060729E">
              <w:t>un tel système.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E6662" w14:textId="77777777" w:rsidR="001D6EDD" w:rsidRPr="0060729E" w:rsidRDefault="00C873D6" w:rsidP="00C873D6">
            <w:pPr>
              <w:jc w:val="left"/>
            </w:pPr>
            <w:r w:rsidRPr="0060729E">
              <w:t>Examen DHS</w:t>
            </w:r>
          </w:p>
          <w:p w14:paraId="251140F5" w14:textId="0E488861" w:rsidR="00087C5E" w:rsidRPr="0060729E" w:rsidRDefault="006853D1" w:rsidP="00297E41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60729E" w:rsidRPr="0060729E" w14:paraId="58CB2CA8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A4FF4E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E34ED2" w14:textId="3D37B917" w:rsidR="00C5365E" w:rsidRPr="0060729E" w:rsidRDefault="00C873D6" w:rsidP="00C873D6">
            <w:pPr>
              <w:jc w:val="left"/>
            </w:pPr>
            <w:r w:rsidRPr="0060729E">
              <w:t>b)</w:t>
            </w:r>
            <w:r w:rsidRPr="0060729E">
              <w:tab/>
              <w:t>Examiner le fonctionnement d</w:t>
            </w:r>
            <w:r w:rsidR="001D6EDD" w:rsidRPr="0060729E">
              <w:t>’</w:t>
            </w:r>
            <w:r w:rsidRPr="0060729E">
              <w:t>un système d</w:t>
            </w:r>
            <w:r w:rsidR="001D6EDD" w:rsidRPr="0060729E">
              <w:t>’</w:t>
            </w:r>
            <w:r w:rsidRPr="0060729E">
              <w:t xml:space="preserve">accréditation, </w:t>
            </w:r>
            <w:r w:rsidR="001D6EDD" w:rsidRPr="0060729E">
              <w:t>y compris :</w:t>
            </w:r>
          </w:p>
          <w:p w14:paraId="32538EF4" w14:textId="0BCA5B28" w:rsidR="00C5365E" w:rsidRPr="0060729E" w:rsidRDefault="00C873D6" w:rsidP="00C873D6">
            <w:pPr>
              <w:pStyle w:val="ListParagraph"/>
              <w:numPr>
                <w:ilvl w:val="0"/>
                <w:numId w:val="9"/>
              </w:numPr>
              <w:jc w:val="left"/>
            </w:pPr>
            <w:r w:rsidRPr="0060729E">
              <w:t>l</w:t>
            </w:r>
            <w:r w:rsidR="001D6EDD" w:rsidRPr="0060729E">
              <w:t>’</w:t>
            </w:r>
            <w:r w:rsidRPr="0060729E">
              <w:t>entité qui donne l</w:t>
            </w:r>
            <w:r w:rsidR="001D6EDD" w:rsidRPr="0060729E">
              <w:t>’</w:t>
            </w:r>
            <w:r w:rsidRPr="0060729E">
              <w:t>accréditation, la période d</w:t>
            </w:r>
            <w:r w:rsidR="001D6EDD" w:rsidRPr="0060729E">
              <w:t>’</w:t>
            </w:r>
            <w:r w:rsidRPr="0060729E">
              <w:t>accréditation, les coûts associés aux offices et l</w:t>
            </w:r>
            <w:r w:rsidR="001D6EDD" w:rsidRPr="0060729E">
              <w:t>’</w:t>
            </w:r>
            <w:r w:rsidRPr="0060729E">
              <w:t>entité qui détermine les tarifs d</w:t>
            </w:r>
            <w:r w:rsidR="001D6EDD" w:rsidRPr="0060729E">
              <w:t>’</w:t>
            </w:r>
            <w:r w:rsidRPr="0060729E">
              <w:t>examen;</w:t>
            </w:r>
          </w:p>
          <w:p w14:paraId="4A9FF71D" w14:textId="6505C740" w:rsidR="00087C5E" w:rsidRPr="0060729E" w:rsidRDefault="00C873D6" w:rsidP="00C873D6">
            <w:pPr>
              <w:pStyle w:val="ListParagraph"/>
              <w:numPr>
                <w:ilvl w:val="0"/>
                <w:numId w:val="9"/>
              </w:numPr>
              <w:jc w:val="left"/>
            </w:pPr>
            <w:r w:rsidRPr="0060729E">
              <w:t>la question de savoir comment le système fonctionnerait pour les variétés indigènes de chaque pays et ce qui se passerait si ces variétés devaient être enregistrées dans</w:t>
            </w:r>
            <w:r w:rsidR="001D6EDD" w:rsidRPr="0060729E">
              <w:t xml:space="preserve"> </w:t>
            </w:r>
            <w:r w:rsidR="00967920">
              <w:t>l’ISC</w:t>
            </w:r>
            <w:r w:rsidRPr="0060729E">
              <w:t xml:space="preserve"> et que l</w:t>
            </w:r>
            <w:r w:rsidR="001D6EDD" w:rsidRPr="0060729E">
              <w:t>’</w:t>
            </w:r>
            <w:r w:rsidRPr="0060729E">
              <w:t>office n</w:t>
            </w:r>
            <w:r w:rsidR="001D6EDD" w:rsidRPr="0060729E">
              <w:t>’</w:t>
            </w:r>
            <w:r w:rsidRPr="0060729E">
              <w:t>était pas accrédité.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A84F5" w14:textId="77777777" w:rsidR="001D6EDD" w:rsidRPr="0060729E" w:rsidRDefault="00C873D6" w:rsidP="00C873D6">
            <w:pPr>
              <w:jc w:val="left"/>
            </w:pPr>
            <w:r w:rsidRPr="0060729E">
              <w:t>Examen DHS</w:t>
            </w:r>
          </w:p>
          <w:p w14:paraId="7833081D" w14:textId="38BD6442" w:rsidR="00087C5E" w:rsidRPr="0060729E" w:rsidRDefault="006853D1" w:rsidP="00297E41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60729E" w:rsidRPr="0060729E" w14:paraId="0E1A7C6C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7D0712" w14:textId="692D29CD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9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84EF71" w14:textId="04A98DDE" w:rsidR="00087C5E" w:rsidRPr="0060729E" w:rsidRDefault="00C873D6" w:rsidP="00C873D6">
            <w:pPr>
              <w:jc w:val="left"/>
            </w:pPr>
            <w:r w:rsidRPr="0060729E">
              <w:t>a)</w:t>
            </w:r>
            <w:r w:rsidRPr="0060729E">
              <w:tab/>
              <w:t>Examiner d</w:t>
            </w:r>
            <w:r w:rsidR="001D6EDD" w:rsidRPr="0060729E">
              <w:t>’</w:t>
            </w:r>
            <w:r w:rsidRPr="0060729E">
              <w:t>autres mesures susceptibles de faciliter la coopération en matière d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 entre membres de l</w:t>
            </w:r>
            <w:r w:rsidR="001D6EDD" w:rsidRPr="0060729E">
              <w:t>’</w:t>
            </w:r>
            <w:r w:rsidRPr="0060729E">
              <w:t>Union.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C9C91" w14:textId="77777777" w:rsidR="001D6EDD" w:rsidRPr="0060729E" w:rsidRDefault="00C873D6" w:rsidP="00C873D6">
            <w:pPr>
              <w:jc w:val="left"/>
            </w:pPr>
            <w:r w:rsidRPr="0060729E">
              <w:t>Examen DHS</w:t>
            </w:r>
          </w:p>
          <w:p w14:paraId="265B0D50" w14:textId="4E2C8EC9" w:rsidR="00087C5E" w:rsidRPr="0060729E" w:rsidRDefault="006853D1" w:rsidP="00297E41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60729E" w:rsidRPr="0060729E" w14:paraId="5BC6DE42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40437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5C288AC" w14:textId="77B442CE" w:rsidR="00087C5E" w:rsidRPr="0060729E" w:rsidRDefault="00C873D6" w:rsidP="00C873D6">
            <w:pPr>
              <w:jc w:val="left"/>
            </w:pPr>
            <w:r w:rsidRPr="0060729E">
              <w:t>b)</w:t>
            </w:r>
            <w:r w:rsidRPr="0060729E">
              <w:tab/>
              <w:t>Examiner comment le matériel végétal serait obtenu lorsque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 a été réalisé par un autre membre de l</w:t>
            </w:r>
            <w:r w:rsidR="001D6EDD" w:rsidRPr="0060729E">
              <w:t>’</w:t>
            </w:r>
            <w:r w:rsidRPr="0060729E">
              <w:t>Union.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38E0B" w14:textId="77777777" w:rsidR="001D6EDD" w:rsidRPr="0060729E" w:rsidRDefault="00C873D6" w:rsidP="00C873D6">
            <w:pPr>
              <w:jc w:val="left"/>
            </w:pPr>
            <w:r w:rsidRPr="0060729E">
              <w:t>Examen DHS</w:t>
            </w:r>
          </w:p>
          <w:p w14:paraId="30EEFF5A" w14:textId="2DEF59C4" w:rsidR="00087C5E" w:rsidRPr="0060729E" w:rsidRDefault="00087C5E" w:rsidP="00297E41">
            <w:pPr>
              <w:jc w:val="left"/>
            </w:pPr>
            <w:r w:rsidRPr="0060729E">
              <w:t>i)</w:t>
            </w:r>
          </w:p>
        </w:tc>
      </w:tr>
      <w:tr w:rsidR="0060729E" w:rsidRPr="0060729E" w14:paraId="54CEDCC8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97D83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610E3D" w14:textId="77777777" w:rsidR="00087C5E" w:rsidRPr="0060729E" w:rsidRDefault="00C873D6" w:rsidP="00C873D6">
            <w:pPr>
              <w:jc w:val="left"/>
            </w:pPr>
            <w:r w:rsidRPr="0060729E">
              <w:t>c)</w:t>
            </w:r>
            <w:r w:rsidRPr="0060729E">
              <w:tab/>
              <w:t>Examiner les différences relatives aux conditions géographiques et aux conditions de réalisation des examens en termes de pratiques agricoles.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23282" w14:textId="77777777" w:rsidR="001D6EDD" w:rsidRPr="0060729E" w:rsidRDefault="00C873D6" w:rsidP="00C873D6">
            <w:pPr>
              <w:jc w:val="left"/>
            </w:pPr>
            <w:r w:rsidRPr="0060729E">
              <w:t>Examen DHS</w:t>
            </w:r>
          </w:p>
          <w:p w14:paraId="7D1CCC19" w14:textId="6A7D0DAA" w:rsidR="00087C5E" w:rsidRPr="0060729E" w:rsidRDefault="00087C5E" w:rsidP="00297E41">
            <w:pPr>
              <w:jc w:val="left"/>
            </w:pPr>
            <w:r w:rsidRPr="0060729E">
              <w:t>ii)</w:t>
            </w:r>
          </w:p>
        </w:tc>
      </w:tr>
      <w:tr w:rsidR="0060729E" w:rsidRPr="0060729E" w14:paraId="0D22A517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EF8CEAF" w14:textId="5973CBC6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10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1DC3E0" w14:textId="72380156" w:rsidR="00087C5E" w:rsidRPr="0060729E" w:rsidRDefault="00C873D6" w:rsidP="00C873D6">
            <w:pPr>
              <w:jc w:val="left"/>
            </w:pPr>
            <w:r w:rsidRPr="0060729E">
              <w:t xml:space="preserve">Examiner la manière dont </w:t>
            </w:r>
            <w:r w:rsidR="00967920">
              <w:t>un ISC</w:t>
            </w:r>
            <w:r w:rsidRPr="0060729E">
              <w:t xml:space="preserve"> pourrait être utilisé pour appuyer les capacités en matière d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 xml:space="preserve">DHS en vue de faciliter la coopération, </w:t>
            </w:r>
            <w:r w:rsidR="001D6EDD" w:rsidRPr="0060729E">
              <w:t>y compris</w:t>
            </w:r>
            <w:r w:rsidRPr="0060729E">
              <w:t xml:space="preserve"> le développement de nouvelles capacités susceptibles de faciliter la coopération.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F039F8" w14:textId="77777777" w:rsidR="00C5365E" w:rsidRPr="0060729E" w:rsidRDefault="00C873D6" w:rsidP="00C873D6">
            <w:pPr>
              <w:jc w:val="left"/>
            </w:pPr>
            <w:r w:rsidRPr="0060729E">
              <w:t>Examen DHS</w:t>
            </w:r>
          </w:p>
          <w:p w14:paraId="04ECD7E2" w14:textId="15343F86" w:rsidR="00087C5E" w:rsidRPr="0060729E" w:rsidRDefault="006853D1" w:rsidP="00297E41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60729E" w:rsidRPr="0060729E" w14:paraId="72BE9EA0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05240860" w14:textId="7ACD2113" w:rsidR="00087C5E" w:rsidRPr="0060729E" w:rsidRDefault="00C873D6" w:rsidP="00C873D6">
            <w:r w:rsidRPr="0060729E">
              <w:t>Question n°</w:t>
            </w:r>
            <w:r w:rsidR="009F1C92" w:rsidRPr="0060729E">
              <w:t> </w:t>
            </w:r>
            <w:r w:rsidRPr="0060729E">
              <w:t>11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261F403" w14:textId="6F02B253" w:rsidR="00087C5E" w:rsidRPr="0060729E" w:rsidRDefault="00C873D6" w:rsidP="00C873D6">
            <w:pPr>
              <w:jc w:val="left"/>
            </w:pPr>
            <w:r w:rsidRPr="0060729E">
              <w:t>a)</w:t>
            </w:r>
            <w:r w:rsidRPr="0060729E">
              <w:tab/>
              <w:t>Préciser que les observations préliminaires sur la nouveauté et la dénomination n</w:t>
            </w:r>
            <w:r w:rsidR="001D6EDD" w:rsidRPr="0060729E">
              <w:t>’</w:t>
            </w:r>
            <w:r w:rsidRPr="0060729E">
              <w:t>entameraient pas le pouvoir souverain de décision des membres de l</w:t>
            </w:r>
            <w:r w:rsidR="001D6EDD" w:rsidRPr="0060729E">
              <w:t>’</w:t>
            </w:r>
            <w:r w:rsidRPr="0060729E">
              <w:t>Union quant à l</w:t>
            </w:r>
            <w:r w:rsidR="001D6EDD" w:rsidRPr="0060729E">
              <w:t>’</w:t>
            </w:r>
            <w:r w:rsidRPr="0060729E">
              <w:t>octroi et à la protection des droits d</w:t>
            </w:r>
            <w:r w:rsidR="001D6EDD" w:rsidRPr="0060729E">
              <w:t>’</w:t>
            </w:r>
            <w:r w:rsidRPr="0060729E">
              <w:t>obtenteur.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2DAE638" w14:textId="2560DDF7" w:rsidR="00087C5E" w:rsidRPr="0060729E" w:rsidRDefault="00DD54D2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0EAB42D5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84761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371368" w14:textId="1440EB56" w:rsidR="00087C5E" w:rsidRPr="0060729E" w:rsidRDefault="00C873D6" w:rsidP="00C873D6">
            <w:pPr>
              <w:jc w:val="left"/>
            </w:pPr>
            <w:r w:rsidRPr="0060729E">
              <w:t>b)</w:t>
            </w:r>
            <w:r w:rsidRPr="0060729E">
              <w:tab/>
              <w:t>Examiner la base sur laquelle les services chargés de l</w:t>
            </w:r>
            <w:r w:rsidR="001D6EDD" w:rsidRPr="0060729E">
              <w:t>’</w:t>
            </w:r>
            <w:r w:rsidRPr="0060729E">
              <w:t>observation préliminaire seraient choisis pour mener l</w:t>
            </w:r>
            <w:r w:rsidR="001D6EDD" w:rsidRPr="0060729E">
              <w:t>’</w:t>
            </w:r>
            <w:r w:rsidRPr="0060729E">
              <w:t>observation préliminaire.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034FA" w14:textId="77777777" w:rsidR="00C5365E" w:rsidRPr="0060729E" w:rsidRDefault="00C873D6" w:rsidP="00C873D6">
            <w:pPr>
              <w:jc w:val="left"/>
            </w:pPr>
            <w:r w:rsidRPr="0060729E">
              <w:t>Nouveauté</w:t>
            </w:r>
          </w:p>
          <w:p w14:paraId="362D3D80" w14:textId="77777777" w:rsidR="00C5365E" w:rsidRPr="0060729E" w:rsidRDefault="00087C5E" w:rsidP="00297E41">
            <w:pPr>
              <w:jc w:val="left"/>
            </w:pPr>
            <w:r w:rsidRPr="0060729E">
              <w:t>i)</w:t>
            </w:r>
          </w:p>
          <w:p w14:paraId="009D39CF" w14:textId="77777777" w:rsidR="00C5365E" w:rsidRPr="0060729E" w:rsidRDefault="00C873D6" w:rsidP="00C873D6">
            <w:pPr>
              <w:jc w:val="left"/>
            </w:pPr>
            <w:r w:rsidRPr="0060729E">
              <w:t>Dénomination</w:t>
            </w:r>
          </w:p>
          <w:p w14:paraId="2ABF79AA" w14:textId="77777777" w:rsidR="00087C5E" w:rsidRPr="0060729E" w:rsidRDefault="006853D1" w:rsidP="006853D1">
            <w:pPr>
              <w:jc w:val="left"/>
            </w:pPr>
            <w:r w:rsidRPr="0060729E">
              <w:t xml:space="preserve">i), ii), </w:t>
            </w:r>
            <w:r w:rsidR="00087C5E" w:rsidRPr="0060729E">
              <w:t>iii)</w:t>
            </w:r>
          </w:p>
        </w:tc>
      </w:tr>
      <w:tr w:rsidR="0060729E" w:rsidRPr="0060729E" w14:paraId="6CD3E1A4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B2F9CB6" w14:textId="2A7AD4E8" w:rsidR="00087C5E" w:rsidRPr="0060729E" w:rsidRDefault="00CF303E" w:rsidP="00CF303E">
            <w:r w:rsidRPr="0060729E">
              <w:t>Question n°</w:t>
            </w:r>
            <w:r w:rsidR="009F1C92" w:rsidRPr="0060729E">
              <w:t> </w:t>
            </w:r>
            <w:r w:rsidRPr="0060729E">
              <w:t>12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9BE492" w14:textId="55E40C5A" w:rsidR="00087C5E" w:rsidRPr="0060729E" w:rsidRDefault="00CF303E" w:rsidP="00CF303E">
            <w:pPr>
              <w:jc w:val="left"/>
            </w:pPr>
            <w:r w:rsidRPr="0060729E">
              <w:t>a)</w:t>
            </w:r>
            <w:r w:rsidRPr="0060729E">
              <w:tab/>
              <w:t>Préciser qu</w:t>
            </w:r>
            <w:r w:rsidR="001D6EDD" w:rsidRPr="0060729E">
              <w:t>’</w:t>
            </w:r>
            <w:r w:rsidRPr="0060729E">
              <w:t>une observation préliminaire devrait, dans la mesure du possible, avoir pour but d</w:t>
            </w:r>
            <w:r w:rsidR="001D6EDD" w:rsidRPr="0060729E">
              <w:t>’</w:t>
            </w:r>
            <w:r w:rsidRPr="0060729E">
              <w:t>évaluer l</w:t>
            </w:r>
            <w:r w:rsidR="001D6EDD" w:rsidRPr="0060729E">
              <w:t>’</w:t>
            </w:r>
            <w:r w:rsidRPr="0060729E">
              <w:t>acceptabilité d</w:t>
            </w:r>
            <w:r w:rsidR="001D6EDD" w:rsidRPr="0060729E">
              <w:t>’</w:t>
            </w:r>
            <w:r w:rsidRPr="0060729E">
              <w:t>une dénomination variétale proposée pour tous les membres de l</w:t>
            </w:r>
            <w:r w:rsidR="001D6EDD" w:rsidRPr="0060729E">
              <w:t>’</w:t>
            </w:r>
            <w:r w:rsidRPr="0060729E">
              <w:t>Union.</w:t>
            </w:r>
            <w:r w:rsidR="00087C5E" w:rsidRPr="0060729E">
              <w:t xml:space="preserve"> 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C8D28" w14:textId="77777777" w:rsidR="00C5365E" w:rsidRPr="0060729E" w:rsidRDefault="00CF303E" w:rsidP="00CF303E">
            <w:pPr>
              <w:jc w:val="left"/>
            </w:pPr>
            <w:r w:rsidRPr="0060729E">
              <w:t>Nouveauté</w:t>
            </w:r>
          </w:p>
          <w:p w14:paraId="77E00262" w14:textId="77777777" w:rsidR="00C5365E" w:rsidRPr="0060729E" w:rsidRDefault="00087C5E" w:rsidP="00297E41">
            <w:pPr>
              <w:jc w:val="left"/>
            </w:pPr>
            <w:r w:rsidRPr="0060729E">
              <w:t>i)</w:t>
            </w:r>
          </w:p>
          <w:p w14:paraId="67C8550C" w14:textId="77777777" w:rsidR="00C5365E" w:rsidRPr="0060729E" w:rsidRDefault="00CF303E" w:rsidP="00CF303E">
            <w:pPr>
              <w:jc w:val="left"/>
            </w:pPr>
            <w:r w:rsidRPr="0060729E">
              <w:t>Dénomination</w:t>
            </w:r>
          </w:p>
          <w:p w14:paraId="0B73997C" w14:textId="77777777" w:rsidR="00087C5E" w:rsidRPr="0060729E" w:rsidRDefault="00087C5E" w:rsidP="00297E41">
            <w:pPr>
              <w:jc w:val="left"/>
            </w:pPr>
            <w:r w:rsidRPr="0060729E">
              <w:t>iii)</w:t>
            </w:r>
          </w:p>
        </w:tc>
      </w:tr>
      <w:tr w:rsidR="0060729E" w:rsidRPr="0060729E" w14:paraId="5C87221D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4483E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D42925" w14:textId="1C1B320F" w:rsidR="00087C5E" w:rsidRPr="0060729E" w:rsidRDefault="00CF303E" w:rsidP="00CF303E">
            <w:pPr>
              <w:jc w:val="left"/>
            </w:pPr>
            <w:r w:rsidRPr="0060729E">
              <w:t>b)</w:t>
            </w:r>
            <w:r w:rsidRPr="0060729E">
              <w:tab/>
              <w:t>Examiner comment prendre en considération les marques, les indications géographiques et les appellations d</w:t>
            </w:r>
            <w:r w:rsidR="001D6EDD" w:rsidRPr="0060729E">
              <w:t>’</w:t>
            </w:r>
            <w:r w:rsidRPr="0060729E">
              <w:t>origine.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B5A3E" w14:textId="77777777" w:rsidR="00C5365E" w:rsidRPr="0060729E" w:rsidRDefault="00CF303E" w:rsidP="00CF303E">
            <w:pPr>
              <w:jc w:val="left"/>
            </w:pPr>
            <w:r w:rsidRPr="0060729E">
              <w:t>Dénomination</w:t>
            </w:r>
          </w:p>
          <w:p w14:paraId="1601C249" w14:textId="77777777" w:rsidR="00087C5E" w:rsidRPr="0060729E" w:rsidRDefault="00087C5E" w:rsidP="00297E41">
            <w:pPr>
              <w:jc w:val="left"/>
            </w:pPr>
            <w:r w:rsidRPr="0060729E">
              <w:t>iv)</w:t>
            </w:r>
          </w:p>
        </w:tc>
      </w:tr>
      <w:tr w:rsidR="0060729E" w:rsidRPr="0060729E" w14:paraId="1A257B19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4AA32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A721D13" w14:textId="1B89595E" w:rsidR="00087C5E" w:rsidRPr="0060729E" w:rsidRDefault="00CF303E" w:rsidP="00CF303E">
            <w:pPr>
              <w:jc w:val="left"/>
            </w:pPr>
            <w:r w:rsidRPr="0060729E">
              <w:t>c)</w:t>
            </w:r>
            <w:r w:rsidRPr="0060729E">
              <w:tab/>
              <w:t>Examiner comment prendre en considération les membres de l</w:t>
            </w:r>
            <w:r w:rsidR="001D6EDD" w:rsidRPr="0060729E">
              <w:t>’</w:t>
            </w:r>
            <w:r w:rsidRPr="0060729E">
              <w:t>Union qui ne disposent pas de catalogues nationaux et ceux qui ne publient pas leurs données dans la base de données PLUTO.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244BC" w14:textId="77777777" w:rsidR="00C5365E" w:rsidRPr="0060729E" w:rsidRDefault="00CF303E" w:rsidP="00CF303E">
            <w:pPr>
              <w:jc w:val="left"/>
            </w:pPr>
            <w:r w:rsidRPr="0060729E">
              <w:t>Nouveauté</w:t>
            </w:r>
          </w:p>
          <w:p w14:paraId="1BA3AA2E" w14:textId="77777777" w:rsidR="00C5365E" w:rsidRPr="0060729E" w:rsidRDefault="00087C5E" w:rsidP="00297E41">
            <w:pPr>
              <w:jc w:val="left"/>
            </w:pPr>
            <w:r w:rsidRPr="0060729E">
              <w:t>i)</w:t>
            </w:r>
          </w:p>
          <w:p w14:paraId="70C45DEE" w14:textId="77777777" w:rsidR="00C5365E" w:rsidRPr="0060729E" w:rsidRDefault="00CF303E" w:rsidP="00CF303E">
            <w:pPr>
              <w:jc w:val="left"/>
            </w:pPr>
            <w:r w:rsidRPr="0060729E">
              <w:t>Dénomination</w:t>
            </w:r>
          </w:p>
          <w:p w14:paraId="38546EA5" w14:textId="77777777" w:rsidR="00087C5E" w:rsidRPr="0060729E" w:rsidRDefault="00087C5E" w:rsidP="006853D1">
            <w:pPr>
              <w:jc w:val="left"/>
            </w:pPr>
            <w:r w:rsidRPr="0060729E">
              <w:t xml:space="preserve">i), </w:t>
            </w:r>
            <w:r w:rsidR="006853D1" w:rsidRPr="0060729E">
              <w:t xml:space="preserve">ii), iv), </w:t>
            </w:r>
            <w:r w:rsidRPr="0060729E">
              <w:t>v)</w:t>
            </w:r>
          </w:p>
        </w:tc>
      </w:tr>
      <w:tr w:rsidR="0060729E" w:rsidRPr="0060729E" w14:paraId="5D445EA8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AF028AD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A555055" w14:textId="77777777" w:rsidR="00087C5E" w:rsidRPr="0060729E" w:rsidRDefault="00CF303E" w:rsidP="00CF303E">
            <w:pPr>
              <w:jc w:val="left"/>
            </w:pPr>
            <w:r w:rsidRPr="0060729E">
              <w:t>d)</w:t>
            </w:r>
            <w:r w:rsidRPr="0060729E">
              <w:tab/>
              <w:t>Examiner comment gérer les dénominations variétales dans des alphabets différents.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5F7C4C4" w14:textId="1718B04E" w:rsidR="00087C5E" w:rsidRPr="0060729E" w:rsidRDefault="00DD54D2" w:rsidP="00774BA8">
            <w:pPr>
              <w:jc w:val="left"/>
            </w:pPr>
            <w:r w:rsidRPr="0060729E">
              <w:t xml:space="preserve">Non </w:t>
            </w:r>
            <w:r w:rsidR="00774BA8">
              <w:t>recensé</w:t>
            </w:r>
            <w:r w:rsidRPr="0060729E">
              <w:t xml:space="preserve"> comme besoin des services de protection des obtentions végétales lors de </w:t>
            </w:r>
            <w:r w:rsidR="00774BA8">
              <w:t>l’</w:t>
            </w:r>
            <w:r w:rsidR="00545A4E">
              <w:t>WG-ISC</w:t>
            </w:r>
            <w:r w:rsidR="00087C5E" w:rsidRPr="0060729E">
              <w:t>/1</w:t>
            </w:r>
          </w:p>
        </w:tc>
      </w:tr>
      <w:tr w:rsidR="0060729E" w:rsidRPr="0060729E" w14:paraId="1190CE28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F02980" w14:textId="45469DA0" w:rsidR="00087C5E" w:rsidRPr="0060729E" w:rsidRDefault="00CF303E" w:rsidP="00CF303E">
            <w:r w:rsidRPr="0060729E">
              <w:t>Question n°</w:t>
            </w:r>
            <w:r w:rsidR="009F1C92" w:rsidRPr="0060729E">
              <w:t> </w:t>
            </w:r>
            <w:r w:rsidRPr="0060729E">
              <w:t>13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74DE80" w14:textId="61F0A534" w:rsidR="00087C5E" w:rsidRPr="0060729E" w:rsidRDefault="00CF303E" w:rsidP="00CF303E">
            <w:pPr>
              <w:jc w:val="left"/>
            </w:pPr>
            <w:r w:rsidRPr="0060729E">
              <w:t>Envisager, dans le cas où un membre de l</w:t>
            </w:r>
            <w:r w:rsidR="001D6EDD" w:rsidRPr="0060729E">
              <w:t>’</w:t>
            </w:r>
            <w:r w:rsidRPr="0060729E">
              <w:t>Union considérerait ultérieurement que la dénomination proposée était inappropriée sur son territoire, la procédure permettant à l</w:t>
            </w:r>
            <w:r w:rsidR="001D6EDD" w:rsidRPr="0060729E">
              <w:t>’</w:t>
            </w:r>
            <w:r w:rsidRPr="0060729E">
              <w:t>obtenteur de soumettre une autre dénomination.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88CDE3" w14:textId="77777777" w:rsidR="00C5365E" w:rsidRPr="0060729E" w:rsidRDefault="00CF303E" w:rsidP="00CF303E">
            <w:pPr>
              <w:jc w:val="left"/>
            </w:pPr>
            <w:r w:rsidRPr="0060729E">
              <w:t>Dénomination</w:t>
            </w:r>
          </w:p>
          <w:p w14:paraId="034F3AD6" w14:textId="77777777" w:rsidR="00087C5E" w:rsidRPr="0060729E" w:rsidRDefault="00087C5E" w:rsidP="00297E41">
            <w:pPr>
              <w:jc w:val="left"/>
            </w:pPr>
            <w:r w:rsidRPr="0060729E">
              <w:t>iii)</w:t>
            </w:r>
          </w:p>
        </w:tc>
      </w:tr>
      <w:tr w:rsidR="0060729E" w:rsidRPr="0060729E" w14:paraId="29054C50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4180AA" w14:textId="4119D8B2" w:rsidR="00087C5E" w:rsidRPr="0060729E" w:rsidRDefault="00CF303E" w:rsidP="00CF303E">
            <w:r w:rsidRPr="0060729E">
              <w:t>Question n°</w:t>
            </w:r>
            <w:r w:rsidR="009F1C92" w:rsidRPr="0060729E">
              <w:t> </w:t>
            </w:r>
            <w:r w:rsidRPr="0060729E">
              <w:t>14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F1EA14" w14:textId="4A5DA0E7" w:rsidR="00087C5E" w:rsidRPr="0060729E" w:rsidRDefault="00CF303E" w:rsidP="00CF303E">
            <w:pPr>
              <w:jc w:val="left"/>
            </w:pPr>
            <w:r w:rsidRPr="0060729E">
              <w:t>Prendre note de la valeur d</w:t>
            </w:r>
            <w:r w:rsidR="001D6EDD" w:rsidRPr="0060729E">
              <w:t>’</w:t>
            </w:r>
            <w:r w:rsidRPr="0060729E">
              <w:t>un outil de recherche de similitudes de l</w:t>
            </w:r>
            <w:r w:rsidR="001D6EDD" w:rsidRPr="0060729E">
              <w:t>’</w:t>
            </w:r>
            <w:r w:rsidRPr="0060729E">
              <w:t>UPOV aux fins de la dénomination variétale et envisager de développer cet outil de sorte qu</w:t>
            </w:r>
            <w:r w:rsidR="001D6EDD" w:rsidRPr="0060729E">
              <w:t>’</w:t>
            </w:r>
            <w:r w:rsidRPr="0060729E">
              <w:t>il inclue des mots ou des éléments que les membres de l</w:t>
            </w:r>
            <w:r w:rsidR="001D6EDD" w:rsidRPr="0060729E">
              <w:t>’</w:t>
            </w:r>
            <w:r w:rsidRPr="0060729E">
              <w:t>Union considèrent inappropriés.</w:t>
            </w:r>
            <w:r w:rsidR="00087C5E" w:rsidRPr="0060729E">
              <w:t xml:space="preserve"> 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DBF88" w14:textId="77777777" w:rsidR="00C5365E" w:rsidRPr="0060729E" w:rsidRDefault="00CF303E" w:rsidP="00CF303E">
            <w:pPr>
              <w:jc w:val="left"/>
            </w:pPr>
            <w:r w:rsidRPr="0060729E">
              <w:t>Dénomination</w:t>
            </w:r>
          </w:p>
          <w:p w14:paraId="1D999C13" w14:textId="77777777" w:rsidR="00087C5E" w:rsidRPr="0060729E" w:rsidRDefault="00087C5E" w:rsidP="00297E41">
            <w:pPr>
              <w:jc w:val="left"/>
            </w:pPr>
            <w:r w:rsidRPr="0060729E">
              <w:t>iii)</w:t>
            </w:r>
          </w:p>
        </w:tc>
      </w:tr>
      <w:tr w:rsidR="0060729E" w:rsidRPr="0060729E" w14:paraId="59CDA7A9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4D5082" w14:textId="179AE8C7" w:rsidR="00087C5E" w:rsidRPr="0060729E" w:rsidRDefault="00CF303E" w:rsidP="00CF303E">
            <w:r w:rsidRPr="0060729E">
              <w:t>Question n°</w:t>
            </w:r>
            <w:r w:rsidR="009F1C92" w:rsidRPr="0060729E">
              <w:t> </w:t>
            </w:r>
            <w:r w:rsidRPr="0060729E">
              <w:t>15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1674F3" w14:textId="53389779" w:rsidR="00087C5E" w:rsidRPr="0060729E" w:rsidRDefault="00CF303E" w:rsidP="00CF303E">
            <w:pPr>
              <w:jc w:val="left"/>
            </w:pPr>
            <w:r w:rsidRPr="0060729E">
              <w:t>Examiner la nécessité d</w:t>
            </w:r>
            <w:r w:rsidR="001D6EDD" w:rsidRPr="0060729E">
              <w:t>’</w:t>
            </w:r>
            <w:r w:rsidRPr="0060729E">
              <w:t>étendre l</w:t>
            </w:r>
            <w:r w:rsidR="001D6EDD" w:rsidRPr="0060729E">
              <w:t>’</w:t>
            </w:r>
            <w:r w:rsidRPr="0060729E">
              <w:t>examen, au</w:t>
            </w:r>
            <w:r w:rsidR="00F53986" w:rsidRPr="0060729E">
              <w:noBreakHyphen/>
            </w:r>
            <w:r w:rsidRPr="0060729E">
              <w:t>delà des dénominations actuellement comprises dans la base de données PLUTO, à d</w:t>
            </w:r>
            <w:r w:rsidR="001D6EDD" w:rsidRPr="0060729E">
              <w:t>’</w:t>
            </w:r>
            <w:r w:rsidRPr="0060729E">
              <w:t>autres dénominations considérées par les membres de l</w:t>
            </w:r>
            <w:r w:rsidR="001D6EDD" w:rsidRPr="0060729E">
              <w:t>’</w:t>
            </w:r>
            <w:r w:rsidRPr="0060729E">
              <w:t>Union.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1736F" w14:textId="77777777" w:rsidR="00C5365E" w:rsidRPr="0060729E" w:rsidRDefault="00CF303E" w:rsidP="00CF303E">
            <w:pPr>
              <w:jc w:val="left"/>
            </w:pPr>
            <w:r w:rsidRPr="0060729E">
              <w:t>Dénomination</w:t>
            </w:r>
          </w:p>
          <w:p w14:paraId="6F062530" w14:textId="77777777" w:rsidR="00087C5E" w:rsidRPr="0060729E" w:rsidRDefault="006853D1" w:rsidP="00297E41">
            <w:pPr>
              <w:jc w:val="left"/>
            </w:pPr>
            <w:r w:rsidRPr="0060729E">
              <w:t xml:space="preserve">i), ii), </w:t>
            </w:r>
            <w:r w:rsidR="00087C5E" w:rsidRPr="0060729E">
              <w:t>v)</w:t>
            </w:r>
          </w:p>
        </w:tc>
      </w:tr>
      <w:tr w:rsidR="0060729E" w:rsidRPr="0060729E" w14:paraId="33A9284E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A5D6BC" w14:textId="2CE0D20B" w:rsidR="00087C5E" w:rsidRPr="0060729E" w:rsidRDefault="00CF303E" w:rsidP="00CF303E">
            <w:r w:rsidRPr="0060729E">
              <w:t>Question n°</w:t>
            </w:r>
            <w:r w:rsidR="009F1C92" w:rsidRPr="0060729E">
              <w:t> </w:t>
            </w:r>
            <w:r w:rsidRPr="0060729E">
              <w:t>16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2BCA0F" w14:textId="47E6A8DE" w:rsidR="00087C5E" w:rsidRPr="0060729E" w:rsidRDefault="00CF303E" w:rsidP="00CF303E">
            <w:pPr>
              <w:jc w:val="left"/>
            </w:pPr>
            <w:r w:rsidRPr="0060729E">
              <w:t>Rappeler que le formulaire type de l</w:t>
            </w:r>
            <w:r w:rsidR="001D6EDD" w:rsidRPr="0060729E">
              <w:t>’</w:t>
            </w:r>
            <w:r w:rsidRPr="0060729E">
              <w:t>UPOV pour la demande de protection d</w:t>
            </w:r>
            <w:r w:rsidR="001D6EDD" w:rsidRPr="0060729E">
              <w:t>’</w:t>
            </w:r>
            <w:r w:rsidRPr="0060729E">
              <w:t>une obtention végétale (document TGP/5 “Expérience et coopération en matière d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 xml:space="preserve">DHS”, </w:t>
            </w:r>
            <w:r w:rsidR="001D6EDD" w:rsidRPr="0060729E">
              <w:t>section 2</w:t>
            </w:r>
            <w:r w:rsidRPr="0060729E">
              <w:t xml:space="preserve">) contient, en son </w:t>
            </w:r>
            <w:r w:rsidR="001D6EDD" w:rsidRPr="0060729E">
              <w:t>point 8</w:t>
            </w:r>
            <w:r w:rsidRPr="0060729E">
              <w:t>, une question concernant la nouveauté.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35A2C" w14:textId="77777777" w:rsidR="00C5365E" w:rsidRPr="0060729E" w:rsidRDefault="00CF303E" w:rsidP="00CF303E">
            <w:pPr>
              <w:jc w:val="left"/>
            </w:pPr>
            <w:r w:rsidRPr="0060729E">
              <w:t>Nouveauté</w:t>
            </w:r>
          </w:p>
          <w:p w14:paraId="76D710B7" w14:textId="77777777" w:rsidR="00087C5E" w:rsidRPr="0060729E" w:rsidRDefault="00087C5E" w:rsidP="00297E41">
            <w:pPr>
              <w:jc w:val="left"/>
            </w:pPr>
            <w:r w:rsidRPr="0060729E">
              <w:t>i)</w:t>
            </w:r>
          </w:p>
        </w:tc>
      </w:tr>
      <w:tr w:rsidR="0060729E" w:rsidRPr="0060729E" w14:paraId="1E123B9E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B7BFA7F" w14:textId="76E92150" w:rsidR="00087C5E" w:rsidRPr="0060729E" w:rsidRDefault="00CF303E" w:rsidP="00CF303E">
            <w:r w:rsidRPr="0060729E">
              <w:t>Question n°</w:t>
            </w:r>
            <w:r w:rsidR="009F1C92" w:rsidRPr="0060729E">
              <w:t> </w:t>
            </w:r>
            <w:r w:rsidRPr="0060729E">
              <w:t>17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45C2E3" w14:textId="267EE7CD" w:rsidR="00087C5E" w:rsidRPr="0060729E" w:rsidRDefault="00CF303E" w:rsidP="00CF303E">
            <w:pPr>
              <w:jc w:val="left"/>
            </w:pPr>
            <w:r w:rsidRPr="0060729E">
              <w:t>a)</w:t>
            </w:r>
            <w:r w:rsidRPr="0060729E">
              <w:tab/>
              <w:t>Rappeler que la base de données PLUTO contient une rubrique permettant de fournir des informations sur les dates auxquelles une variété a été commercialisée pour la première fois dans le territoire de la demande et dans d</w:t>
            </w:r>
            <w:r w:rsidR="001D6EDD" w:rsidRPr="0060729E">
              <w:t>’</w:t>
            </w:r>
            <w:r w:rsidRPr="0060729E">
              <w:t>autres territoires.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5255E8" w14:textId="77777777" w:rsidR="00C5365E" w:rsidRPr="0060729E" w:rsidRDefault="00CF303E" w:rsidP="00CF303E">
            <w:pPr>
              <w:jc w:val="left"/>
            </w:pPr>
            <w:r w:rsidRPr="0060729E">
              <w:t>Nouveauté</w:t>
            </w:r>
          </w:p>
          <w:p w14:paraId="32B67E26" w14:textId="77777777" w:rsidR="00087C5E" w:rsidRPr="0060729E" w:rsidRDefault="00087C5E" w:rsidP="00297E41">
            <w:pPr>
              <w:jc w:val="left"/>
            </w:pPr>
            <w:r w:rsidRPr="0060729E">
              <w:t>i)</w:t>
            </w:r>
          </w:p>
        </w:tc>
      </w:tr>
      <w:tr w:rsidR="0060729E" w:rsidRPr="0060729E" w14:paraId="6601A014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5DEA3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BADC91" w14:textId="31859D3D" w:rsidR="00087C5E" w:rsidRPr="0060729E" w:rsidRDefault="00CF303E" w:rsidP="00CF303E">
            <w:pPr>
              <w:jc w:val="left"/>
            </w:pPr>
            <w:r w:rsidRPr="0060729E">
              <w:t>b)</w:t>
            </w:r>
            <w:r w:rsidRPr="0060729E">
              <w:tab/>
              <w:t>Tenir compte du fait que la notion de “première commercialisation” diffère selon les membres de l</w:t>
            </w:r>
            <w:r w:rsidR="001D6EDD" w:rsidRPr="0060729E">
              <w:t>’</w:t>
            </w:r>
            <w:r w:rsidRPr="0060729E">
              <w:t>UPOV.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CA035" w14:textId="77777777" w:rsidR="00C5365E" w:rsidRPr="0060729E" w:rsidRDefault="00CF303E" w:rsidP="00CF303E">
            <w:pPr>
              <w:jc w:val="left"/>
            </w:pPr>
            <w:r w:rsidRPr="0060729E">
              <w:t>Nouveauté</w:t>
            </w:r>
          </w:p>
          <w:p w14:paraId="6E8B0311" w14:textId="77777777" w:rsidR="00087C5E" w:rsidRPr="0060729E" w:rsidRDefault="006853D1" w:rsidP="00297E41">
            <w:pPr>
              <w:jc w:val="left"/>
            </w:pPr>
            <w:r w:rsidRPr="0060729E">
              <w:t xml:space="preserve">ii), </w:t>
            </w:r>
            <w:r w:rsidR="00087C5E" w:rsidRPr="0060729E">
              <w:t>iii)</w:t>
            </w:r>
          </w:p>
        </w:tc>
      </w:tr>
      <w:tr w:rsidR="0060729E" w:rsidRPr="0060729E" w14:paraId="24AE03EF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676717AC" w14:textId="68B00401" w:rsidR="00087C5E" w:rsidRPr="0060729E" w:rsidRDefault="00CF303E" w:rsidP="00CF303E">
            <w:r w:rsidRPr="0060729E">
              <w:t>Question n°</w:t>
            </w:r>
            <w:r w:rsidR="009F1C92" w:rsidRPr="0060729E">
              <w:t> </w:t>
            </w:r>
            <w:r w:rsidRPr="0060729E">
              <w:t>18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9041DB6" w14:textId="1537E1AD" w:rsidR="00087C5E" w:rsidRPr="0060729E" w:rsidRDefault="000B5199" w:rsidP="000B5199">
            <w:pPr>
              <w:jc w:val="left"/>
            </w:pPr>
            <w:r w:rsidRPr="0060729E">
              <w:t>Préciser qu</w:t>
            </w:r>
            <w:r w:rsidR="001D6EDD" w:rsidRPr="0060729E">
              <w:t>’</w:t>
            </w:r>
            <w:r w:rsidRPr="0060729E">
              <w:t>il ne conviendrait pas d</w:t>
            </w:r>
            <w:r w:rsidR="001D6EDD" w:rsidRPr="0060729E">
              <w:t>’</w:t>
            </w:r>
            <w:r w:rsidRPr="0060729E">
              <w:t>inscrire la vérification de l</w:t>
            </w:r>
            <w:r w:rsidR="001D6EDD" w:rsidRPr="0060729E">
              <w:t>’</w:t>
            </w:r>
            <w:r w:rsidRPr="0060729E">
              <w:t>exhaustivité de la demande, la préparation à des fins de publication et la saisie des informations pertinentes au sujet de la demande dans une base de données centralisée.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DF4D577" w14:textId="14C1FF26" w:rsidR="00087C5E" w:rsidRPr="0060729E" w:rsidRDefault="007E16B6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53D3B6D3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D9A929" w14:textId="439683A3" w:rsidR="00087C5E" w:rsidRPr="0060729E" w:rsidRDefault="00A42B53" w:rsidP="00A42B53">
            <w:r w:rsidRPr="0060729E">
              <w:t>Question n°</w:t>
            </w:r>
            <w:r w:rsidR="009F1C92" w:rsidRPr="0060729E">
              <w:t> </w:t>
            </w:r>
            <w:r w:rsidRPr="0060729E">
              <w:t>19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3B72B8" w14:textId="17F8C2BB" w:rsidR="00087C5E" w:rsidRPr="0060729E" w:rsidRDefault="00A42B53" w:rsidP="00A42B53">
            <w:pPr>
              <w:jc w:val="left"/>
            </w:pPr>
            <w:r w:rsidRPr="0060729E">
              <w:t>Voir si le projet EAF, ou</w:t>
            </w:r>
            <w:r w:rsidR="001D6EDD" w:rsidRPr="0060729E">
              <w:t xml:space="preserve"> </w:t>
            </w:r>
            <w:r w:rsidR="00967920">
              <w:t>l’ISC</w:t>
            </w:r>
            <w:r w:rsidRPr="0060729E">
              <w:t>, pourrait servir de base aux membres de l</w:t>
            </w:r>
            <w:r w:rsidR="001D6EDD" w:rsidRPr="0060729E">
              <w:t>’</w:t>
            </w:r>
            <w:r w:rsidRPr="0060729E">
              <w:t>Union pour mieux harmoniser leurs formulaires de demande, permettant ainsi d</w:t>
            </w:r>
            <w:r w:rsidR="001D6EDD" w:rsidRPr="0060729E">
              <w:t>’</w:t>
            </w:r>
            <w:r w:rsidRPr="0060729E">
              <w:t>inscrire plus tard, dans le cadre</w:t>
            </w:r>
            <w:r w:rsidR="001D6EDD" w:rsidRPr="0060729E">
              <w:t xml:space="preserve"> </w:t>
            </w:r>
            <w:r w:rsidR="00967920">
              <w:t>à l’ISC</w:t>
            </w:r>
            <w:r w:rsidRPr="0060729E">
              <w:t>, la vérification de l</w:t>
            </w:r>
            <w:r w:rsidR="001D6EDD" w:rsidRPr="0060729E">
              <w:t>’</w:t>
            </w:r>
            <w:r w:rsidRPr="0060729E">
              <w:t>exhaustivité de la demande, la préparation à des fins de publication et la saisie des informations pertinentes au sujet de la demande dans une base de données centralisée.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CDB1B" w14:textId="77777777" w:rsidR="00C5365E" w:rsidRPr="0060729E" w:rsidRDefault="00A42B53" w:rsidP="00A42B53">
            <w:pPr>
              <w:jc w:val="left"/>
              <w:rPr>
                <w:lang w:eastAsia="ja-JP"/>
              </w:rPr>
            </w:pPr>
            <w:r w:rsidRPr="0060729E">
              <w:rPr>
                <w:lang w:eastAsia="ja-JP"/>
              </w:rPr>
              <w:t>Facilitation du dépôt des demandes</w:t>
            </w:r>
          </w:p>
          <w:p w14:paraId="245E619E" w14:textId="77777777" w:rsidR="00087C5E" w:rsidRPr="0060729E" w:rsidRDefault="00087C5E" w:rsidP="00297E41">
            <w:pPr>
              <w:jc w:val="left"/>
            </w:pPr>
            <w:r w:rsidRPr="0060729E">
              <w:rPr>
                <w:lang w:eastAsia="ja-JP"/>
              </w:rPr>
              <w:t>ii)</w:t>
            </w:r>
          </w:p>
        </w:tc>
      </w:tr>
      <w:tr w:rsidR="0060729E" w:rsidRPr="0060729E" w14:paraId="7FDB3843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C19A0FA" w14:textId="0044E5ED" w:rsidR="00087C5E" w:rsidRPr="0060729E" w:rsidRDefault="00A42B53" w:rsidP="00A42B53">
            <w:r w:rsidRPr="0060729E">
              <w:t>Question n°</w:t>
            </w:r>
            <w:r w:rsidR="009F1C92" w:rsidRPr="0060729E">
              <w:t> </w:t>
            </w:r>
            <w:r w:rsidRPr="0060729E">
              <w:t>20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E419F56" w14:textId="150CE03B" w:rsidR="00087C5E" w:rsidRPr="0060729E" w:rsidRDefault="00A42B53" w:rsidP="00A42B53">
            <w:pPr>
              <w:jc w:val="left"/>
            </w:pPr>
            <w:r w:rsidRPr="0060729E">
              <w:t>a)</w:t>
            </w:r>
            <w:r w:rsidRPr="0060729E">
              <w:tab/>
              <w:t>Préciser qu</w:t>
            </w:r>
            <w:r w:rsidR="001D6EDD" w:rsidRPr="0060729E">
              <w:t>’</w:t>
            </w:r>
            <w:r w:rsidRPr="0060729E">
              <w:t>il y aurait des taxes liées à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 et des taxes propres aux membres de l</w:t>
            </w:r>
            <w:r w:rsidR="001D6EDD" w:rsidRPr="0060729E">
              <w:t>’</w:t>
            </w:r>
            <w:r w:rsidRPr="0060729E">
              <w:t>Union, en sus d</w:t>
            </w:r>
            <w:r w:rsidR="001D6EDD" w:rsidRPr="0060729E">
              <w:t>’</w:t>
            </w:r>
            <w:r w:rsidRPr="0060729E">
              <w:t xml:space="preserve">une “taxe </w:t>
            </w:r>
            <w:r w:rsidR="00967920">
              <w:t>ISC</w:t>
            </w:r>
            <w:r w:rsidRPr="0060729E">
              <w:t>”.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68AA4A6" w14:textId="7E230591" w:rsidR="00087C5E" w:rsidRPr="0060729E" w:rsidRDefault="00AD782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5B0729F0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80A58E1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60007100" w14:textId="77777777" w:rsidR="00087C5E" w:rsidRPr="0060729E" w:rsidRDefault="00A42B53" w:rsidP="00A42B53">
            <w:pPr>
              <w:jc w:val="left"/>
            </w:pPr>
            <w:r w:rsidRPr="0060729E">
              <w:t>b)</w:t>
            </w:r>
            <w:r w:rsidRPr="0060729E">
              <w:tab/>
              <w:t>Effectuer une analyse économique pour évaluer les incidences pour les obtenteurs.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BFBEEDC" w14:textId="4AB40869" w:rsidR="00087C5E" w:rsidRPr="0060729E" w:rsidRDefault="00AD782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32F6850A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CE0C8FC" w14:textId="112AAA64" w:rsidR="00087C5E" w:rsidRPr="0060729E" w:rsidRDefault="00A42B53" w:rsidP="00A42B53">
            <w:r w:rsidRPr="0060729E">
              <w:t>Question n°</w:t>
            </w:r>
            <w:r w:rsidR="009F1C92" w:rsidRPr="0060729E">
              <w:t> </w:t>
            </w:r>
            <w:r w:rsidRPr="0060729E">
              <w:t>21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68B3B80" w14:textId="0ED39F46" w:rsidR="00087C5E" w:rsidRPr="0060729E" w:rsidRDefault="00A42B53" w:rsidP="00A42B53">
            <w:pPr>
              <w:jc w:val="left"/>
            </w:pPr>
            <w:r w:rsidRPr="0060729E">
              <w:t>Sous réserve d</w:t>
            </w:r>
            <w:r w:rsidR="001D6EDD" w:rsidRPr="0060729E">
              <w:t>’</w:t>
            </w:r>
            <w:r w:rsidRPr="0060729E">
              <w:t>un accord sur les questions pertinentes, envisager le projet EAF, dans le cadre d</w:t>
            </w:r>
            <w:r w:rsidR="001D6EDD" w:rsidRPr="0060729E">
              <w:t>’</w:t>
            </w:r>
            <w:r w:rsidRPr="0060729E">
              <w:t xml:space="preserve">une extension appropriée de son mandat, comme point de départ du service international devant être fourni par </w:t>
            </w:r>
            <w:r w:rsidR="00967920">
              <w:t>un ISC</w:t>
            </w:r>
            <w:r w:rsidRPr="0060729E">
              <w:t>.</w:t>
            </w:r>
            <w:r w:rsidR="00087C5E" w:rsidRPr="0060729E">
              <w:t xml:space="preserve"> </w:t>
            </w:r>
            <w:r w:rsidR="009F1C92" w:rsidRPr="0060729E">
              <w:t xml:space="preserve">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67649B4" w14:textId="5B4A3456" w:rsidR="00087C5E" w:rsidRPr="0060729E" w:rsidRDefault="00AD782F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4D8C7BF2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65A93D8" w14:textId="2CD7758D" w:rsidR="00087C5E" w:rsidRPr="0060729E" w:rsidRDefault="00A42B53" w:rsidP="00A42B53">
            <w:r w:rsidRPr="0060729E">
              <w:t>Question n°</w:t>
            </w:r>
            <w:r w:rsidR="009F1C92" w:rsidRPr="0060729E">
              <w:t> </w:t>
            </w:r>
            <w:r w:rsidRPr="0060729E">
              <w:t>22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4BE69CAF" w14:textId="65B6F7E8" w:rsidR="00C5365E" w:rsidRPr="0060729E" w:rsidRDefault="00A42B53" w:rsidP="00A42B53">
            <w:pPr>
              <w:jc w:val="left"/>
            </w:pPr>
            <w:r w:rsidRPr="0060729E">
              <w:t>a)</w:t>
            </w:r>
            <w:r w:rsidRPr="0060729E">
              <w:tab/>
              <w:t>Préciser qu</w:t>
            </w:r>
            <w:r w:rsidR="001D6EDD" w:rsidRPr="0060729E">
              <w:t>’</w:t>
            </w:r>
            <w:r w:rsidR="00967920">
              <w:t>un ISC</w:t>
            </w:r>
            <w:r w:rsidRPr="0060729E">
              <w:t xml:space="preserve"> ne devrait pas</w:t>
            </w:r>
            <w:r w:rsidR="001D6EDD" w:rsidRPr="0060729E">
              <w:t> :</w:t>
            </w:r>
          </w:p>
          <w:p w14:paraId="6915CFE5" w14:textId="60C5770A" w:rsidR="00C5365E" w:rsidRPr="0060729E" w:rsidRDefault="00A42B53" w:rsidP="00C01DC0">
            <w:pPr>
              <w:pStyle w:val="ListParagraph"/>
              <w:numPr>
                <w:ilvl w:val="0"/>
                <w:numId w:val="10"/>
              </w:numPr>
              <w:jc w:val="left"/>
            </w:pPr>
            <w:r w:rsidRPr="0060729E">
              <w:t>suivre l</w:t>
            </w:r>
            <w:r w:rsidR="001D6EDD" w:rsidRPr="0060729E">
              <w:t>’</w:t>
            </w:r>
            <w:r w:rsidRPr="0060729E">
              <w:t>état d</w:t>
            </w:r>
            <w:r w:rsidR="001D6EDD" w:rsidRPr="0060729E">
              <w:t>’</w:t>
            </w:r>
            <w:r w:rsidRPr="0060729E">
              <w:t>avancement de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DHS;</w:t>
            </w:r>
          </w:p>
          <w:p w14:paraId="04D57ABB" w14:textId="5FF6A622" w:rsidR="00C5365E" w:rsidRPr="0060729E" w:rsidRDefault="00A42B53" w:rsidP="00C01DC0">
            <w:pPr>
              <w:pStyle w:val="ListParagraph"/>
              <w:numPr>
                <w:ilvl w:val="0"/>
                <w:numId w:val="10"/>
              </w:numPr>
              <w:jc w:val="left"/>
            </w:pPr>
            <w:r w:rsidRPr="0060729E">
              <w:t>recevoir et conserver les rapports sur les décisions relatives à l</w:t>
            </w:r>
            <w:r w:rsidR="001D6EDD" w:rsidRPr="0060729E">
              <w:t>’</w:t>
            </w:r>
            <w:r w:rsidRPr="0060729E">
              <w:t>octroi du droit d</w:t>
            </w:r>
            <w:r w:rsidR="001D6EDD" w:rsidRPr="0060729E">
              <w:t>’</w:t>
            </w:r>
            <w:r w:rsidRPr="0060729E">
              <w:t>obtenteur</w:t>
            </w:r>
          </w:p>
          <w:p w14:paraId="0CD2190D" w14:textId="1274AC27" w:rsidR="00C5365E" w:rsidRPr="0060729E" w:rsidRDefault="00A42B53" w:rsidP="00C01DC0">
            <w:pPr>
              <w:pStyle w:val="ListParagraph"/>
              <w:numPr>
                <w:ilvl w:val="0"/>
                <w:numId w:val="10"/>
              </w:numPr>
              <w:jc w:val="left"/>
            </w:pPr>
            <w:r w:rsidRPr="0060729E">
              <w:t>examiner les objections concernant le déroulement de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</w:t>
            </w:r>
          </w:p>
          <w:p w14:paraId="7317B547" w14:textId="4C312DF5" w:rsidR="00C5365E" w:rsidRPr="0060729E" w:rsidRDefault="00A42B53" w:rsidP="00C01DC0">
            <w:pPr>
              <w:pStyle w:val="ListParagraph"/>
              <w:numPr>
                <w:ilvl w:val="0"/>
                <w:numId w:val="10"/>
              </w:numPr>
              <w:jc w:val="left"/>
            </w:pPr>
            <w:r w:rsidRPr="0060729E">
              <w:t>conserver et publier toutes les informations “bibliographiques” pertinentes concernant les demandes de droit d</w:t>
            </w:r>
            <w:r w:rsidR="001D6EDD" w:rsidRPr="0060729E">
              <w:t>’</w:t>
            </w:r>
            <w:r w:rsidRPr="0060729E">
              <w:t>obtenteur</w:t>
            </w:r>
          </w:p>
          <w:p w14:paraId="6F924F6A" w14:textId="20FD0EC4" w:rsidR="00C5365E" w:rsidRPr="0060729E" w:rsidRDefault="00A42B53" w:rsidP="00C01DC0">
            <w:pPr>
              <w:pStyle w:val="ListParagraph"/>
              <w:numPr>
                <w:ilvl w:val="0"/>
                <w:numId w:val="10"/>
              </w:numPr>
              <w:jc w:val="left"/>
            </w:pPr>
            <w:r w:rsidRPr="0060729E">
              <w:t>tenir à jour les descriptions variétales normalisées selon les critères établis par l</w:t>
            </w:r>
            <w:r w:rsidR="001D6EDD" w:rsidRPr="0060729E">
              <w:t>’</w:t>
            </w:r>
            <w:r w:rsidRPr="0060729E">
              <w:t>UPOV, les informations sur les variétés notoirement connues qui sont prises en compte dans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DHS, le statut et l</w:t>
            </w:r>
            <w:r w:rsidR="001D6EDD" w:rsidRPr="0060729E">
              <w:t>’</w:t>
            </w:r>
            <w:r w:rsidRPr="0060729E">
              <w:t>usage de tout matériel de reproduction ou de multiplication fourni par l</w:t>
            </w:r>
            <w:r w:rsidR="001D6EDD" w:rsidRPr="0060729E">
              <w:t>’</w:t>
            </w:r>
            <w:r w:rsidRPr="0060729E">
              <w:t>obtenteur ainsi que les informations sur la généalogie et les lignées parentales des variétés hybrides (qui doivent restées confidentielles);</w:t>
            </w:r>
          </w:p>
          <w:p w14:paraId="5AFD81A1" w14:textId="57610CD2" w:rsidR="00087C5E" w:rsidRPr="0060729E" w:rsidRDefault="00A42B53" w:rsidP="00C01DC0">
            <w:pPr>
              <w:pStyle w:val="ListParagraph"/>
              <w:numPr>
                <w:ilvl w:val="0"/>
                <w:numId w:val="10"/>
              </w:numPr>
              <w:jc w:val="left"/>
            </w:pPr>
            <w:r w:rsidRPr="0060729E">
              <w:t>inclure la recherche de variétés notoirement connues avec lesquelles la variété faisant l</w:t>
            </w:r>
            <w:r w:rsidR="001D6EDD" w:rsidRPr="0060729E">
              <w:t>’</w:t>
            </w:r>
            <w:r w:rsidRPr="0060729E">
              <w:t>objet de la demande pourrait être comparée.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A62DB86" w14:textId="3FAFD15A" w:rsidR="00087C5E" w:rsidRPr="0060729E" w:rsidRDefault="00774BA8" w:rsidP="00297E41">
            <w:pPr>
              <w:jc w:val="left"/>
            </w:pPr>
            <w:r w:rsidRPr="0060729E">
              <w:t xml:space="preserve">Non </w:t>
            </w:r>
            <w:r>
              <w:t>recensé</w:t>
            </w:r>
            <w:r w:rsidRPr="0060729E">
              <w:t xml:space="preserve"> comme besoin des services de protection des obtentions végétales lors de </w:t>
            </w:r>
            <w:r>
              <w:t>l’</w:t>
            </w:r>
            <w:r w:rsidR="00545A4E">
              <w:t>WG-ISC</w:t>
            </w:r>
            <w:r w:rsidRPr="0060729E">
              <w:t>/1</w:t>
            </w:r>
          </w:p>
        </w:tc>
      </w:tr>
      <w:tr w:rsidR="0060729E" w:rsidRPr="0060729E" w14:paraId="5675A088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17BCBB5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429B99" w14:textId="58D40DE5" w:rsidR="00087C5E" w:rsidRPr="0060729E" w:rsidRDefault="00A42B53" w:rsidP="00A42B53">
            <w:pPr>
              <w:jc w:val="left"/>
            </w:pPr>
            <w:r w:rsidRPr="0060729E">
              <w:t>[partie] a)</w:t>
            </w:r>
            <w:r w:rsidRPr="0060729E">
              <w:tab/>
              <w:t>Examiner si les renseignements fournis à la question 22.i) à iv) devraient être contrôlés et conservés par les membres de l</w:t>
            </w:r>
            <w:r w:rsidR="001D6EDD" w:rsidRPr="0060729E">
              <w:t>’</w:t>
            </w:r>
            <w:r w:rsidRPr="0060729E">
              <w:t>Union, et mis à disposition d</w:t>
            </w:r>
            <w:r w:rsidR="001D6EDD" w:rsidRPr="0060729E">
              <w:t>’</w:t>
            </w:r>
            <w:r w:rsidRPr="0060729E">
              <w:t>une façon générale via la base de données PLUTO.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75802F2" w14:textId="7881E215" w:rsidR="00087C5E" w:rsidRPr="0060729E" w:rsidRDefault="00774BA8" w:rsidP="00297E41">
            <w:pPr>
              <w:jc w:val="left"/>
            </w:pPr>
            <w:r w:rsidRPr="0060729E">
              <w:t xml:space="preserve">Non </w:t>
            </w:r>
            <w:r>
              <w:t>recensé</w:t>
            </w:r>
            <w:r w:rsidRPr="0060729E">
              <w:t xml:space="preserve"> comme besoin des services de protection des obtentions végétales lors de </w:t>
            </w:r>
            <w:r>
              <w:t>l’</w:t>
            </w:r>
            <w:r w:rsidR="0099384B">
              <w:t>WG</w:t>
            </w:r>
            <w:r w:rsidR="0099384B">
              <w:noBreakHyphen/>
            </w:r>
            <w:r w:rsidR="00545A4E">
              <w:t>ISC</w:t>
            </w:r>
            <w:r w:rsidRPr="0060729E">
              <w:t>/1</w:t>
            </w:r>
          </w:p>
        </w:tc>
      </w:tr>
      <w:tr w:rsidR="0060729E" w:rsidRPr="0060729E" w14:paraId="720D4D43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C5818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96FD" w14:textId="5435110C" w:rsidR="00C5365E" w:rsidRPr="0060729E" w:rsidRDefault="00A42B53" w:rsidP="00A42B53">
            <w:pPr>
              <w:jc w:val="left"/>
            </w:pPr>
            <w:r w:rsidRPr="0060729E">
              <w:t>[partie] a)</w:t>
            </w:r>
            <w:r w:rsidRPr="0060729E">
              <w:tab/>
              <w:t>Examiner si les renseignements fournis à la question 22.v) et</w:t>
            </w:r>
            <w:r w:rsidR="00E523D6" w:rsidRPr="0060729E">
              <w:t> </w:t>
            </w:r>
            <w:r w:rsidRPr="0060729E">
              <w:t>vi) devraient être contrôlés et conservés par les membres de l</w:t>
            </w:r>
            <w:r w:rsidR="001D6EDD" w:rsidRPr="0060729E">
              <w:t>’</w:t>
            </w:r>
            <w:r w:rsidRPr="0060729E">
              <w:t>Union, et mis à disposition d</w:t>
            </w:r>
            <w:r w:rsidR="001D6EDD" w:rsidRPr="0060729E">
              <w:t>’</w:t>
            </w:r>
            <w:r w:rsidRPr="0060729E">
              <w:t>une façon générale via la base de données PLUTO.</w:t>
            </w:r>
          </w:p>
          <w:p w14:paraId="786954ED" w14:textId="77777777" w:rsidR="00C5365E" w:rsidRPr="0060729E" w:rsidRDefault="00C5365E" w:rsidP="00297E41">
            <w:pPr>
              <w:jc w:val="left"/>
            </w:pPr>
          </w:p>
          <w:p w14:paraId="7BEC1363" w14:textId="272C2A54" w:rsidR="00C5365E" w:rsidRPr="0060729E" w:rsidRDefault="00A42B53" w:rsidP="00A42B53">
            <w:pPr>
              <w:ind w:left="642"/>
              <w:jc w:val="left"/>
            </w:pPr>
            <w:r w:rsidRPr="0060729E">
              <w:t>[v)</w:t>
            </w:r>
            <w:r w:rsidRPr="0060729E">
              <w:tab/>
              <w:t>tenir à jour les descriptions variétales normalisées selon les critères établis par l</w:t>
            </w:r>
            <w:r w:rsidR="001D6EDD" w:rsidRPr="0060729E">
              <w:t>’</w:t>
            </w:r>
            <w:r w:rsidRPr="0060729E">
              <w:t>UPOV, les informations sur les variétés notoirement connues qui sont prises en considération dans l</w:t>
            </w:r>
            <w:r w:rsidR="001D6EDD" w:rsidRPr="0060729E">
              <w:t>’</w:t>
            </w:r>
            <w:r w:rsidRPr="0060729E">
              <w:t>examen</w:t>
            </w:r>
            <w:r w:rsidR="009F1C92" w:rsidRPr="0060729E">
              <w:t> </w:t>
            </w:r>
            <w:r w:rsidRPr="0060729E">
              <w:t>DHS, le statut et l</w:t>
            </w:r>
            <w:r w:rsidR="001D6EDD" w:rsidRPr="0060729E">
              <w:t>’</w:t>
            </w:r>
            <w:r w:rsidRPr="0060729E">
              <w:t>usage de tout matériel de reproduction ou de multiplication fourni par l</w:t>
            </w:r>
            <w:r w:rsidR="001D6EDD" w:rsidRPr="0060729E">
              <w:t>’</w:t>
            </w:r>
            <w:r w:rsidRPr="0060729E">
              <w:t>obtenteur, ainsi que les informations sur la généalogie et les lignées parentales des variétés hybrides (qui doivent rester confidentielles);  et</w:t>
            </w:r>
          </w:p>
          <w:p w14:paraId="2AB0B095" w14:textId="66AD0142" w:rsidR="00087C5E" w:rsidRPr="0060729E" w:rsidRDefault="00A42B53" w:rsidP="00A42B53">
            <w:pPr>
              <w:ind w:left="642"/>
              <w:jc w:val="left"/>
            </w:pPr>
            <w:r w:rsidRPr="0060729E">
              <w:t>vi)</w:t>
            </w:r>
            <w:r w:rsidRPr="0060729E">
              <w:tab/>
              <w:t>inclure la recherche de variétés notoirement connues avec lesquelles la variété faisant l</w:t>
            </w:r>
            <w:r w:rsidR="001D6EDD" w:rsidRPr="0060729E">
              <w:t>’</w:t>
            </w:r>
            <w:r w:rsidRPr="0060729E">
              <w:t>objet de la demande pourrait être comparée.]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0218" w14:textId="77777777" w:rsidR="00C5365E" w:rsidRPr="0060729E" w:rsidRDefault="00A42B53" w:rsidP="00A42B53">
            <w:pPr>
              <w:jc w:val="left"/>
            </w:pPr>
            <w:r w:rsidRPr="0060729E">
              <w:t>Examen DHS</w:t>
            </w:r>
          </w:p>
          <w:p w14:paraId="722434DF" w14:textId="24BED3D5" w:rsidR="00087C5E" w:rsidRPr="0060729E" w:rsidRDefault="006853D1" w:rsidP="00297E41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60729E" w:rsidRPr="0060729E" w14:paraId="07ADF61A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35A0618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2FA878D9" w14:textId="770AE1FE" w:rsidR="00087C5E" w:rsidRPr="0060729E" w:rsidRDefault="00A42B53" w:rsidP="00A42B53">
            <w:pPr>
              <w:jc w:val="left"/>
            </w:pPr>
            <w:r w:rsidRPr="0060729E">
              <w:t>[partie] b)</w:t>
            </w:r>
            <w:r w:rsidRPr="0060729E">
              <w:tab/>
              <w:t>Examiner si les renseignements fournis à la question 22.i) à iv) devraient être contrôlés et conservés par les membres de l</w:t>
            </w:r>
            <w:r w:rsidR="001D6EDD" w:rsidRPr="0060729E">
              <w:t>’</w:t>
            </w:r>
            <w:r w:rsidRPr="0060729E">
              <w:t>Union, et mis à disposition d</w:t>
            </w:r>
            <w:r w:rsidR="001D6EDD" w:rsidRPr="0060729E">
              <w:t>’</w:t>
            </w:r>
            <w:r w:rsidRPr="0060729E">
              <w:t>une façon générale via la base de données PLUTO.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D30E429" w14:textId="4A8F450A" w:rsidR="00087C5E" w:rsidRPr="0060729E" w:rsidRDefault="00774BA8" w:rsidP="00297E41">
            <w:pPr>
              <w:jc w:val="left"/>
            </w:pPr>
            <w:r w:rsidRPr="0060729E">
              <w:t xml:space="preserve">Non </w:t>
            </w:r>
            <w:r>
              <w:t>recensé</w:t>
            </w:r>
            <w:r w:rsidRPr="0060729E">
              <w:t xml:space="preserve"> comme besoin des services de protection des obtentions végétales lors de </w:t>
            </w:r>
            <w:r>
              <w:t>l’</w:t>
            </w:r>
            <w:r w:rsidR="0099384B">
              <w:t>WG</w:t>
            </w:r>
            <w:r w:rsidR="0099384B">
              <w:noBreakHyphen/>
            </w:r>
            <w:r w:rsidR="00545A4E">
              <w:t>ISC</w:t>
            </w:r>
            <w:r w:rsidRPr="0060729E">
              <w:t>/1</w:t>
            </w:r>
          </w:p>
        </w:tc>
      </w:tr>
      <w:tr w:rsidR="0060729E" w:rsidRPr="0060729E" w14:paraId="1AFE5043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70B01" w14:textId="77777777" w:rsidR="00087C5E" w:rsidRPr="0060729E" w:rsidRDefault="00087C5E" w:rsidP="00297E41"/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FDEABF" w14:textId="559D9BCD" w:rsidR="00087C5E" w:rsidRPr="0060729E" w:rsidRDefault="00A42B53" w:rsidP="00E523D6">
            <w:pPr>
              <w:jc w:val="left"/>
            </w:pPr>
            <w:r w:rsidRPr="0060729E">
              <w:t>[partie] b) Examiner si les renseignements fournis à la question 22.v) et</w:t>
            </w:r>
            <w:r w:rsidR="00E523D6" w:rsidRPr="0060729E">
              <w:t> </w:t>
            </w:r>
            <w:r w:rsidRPr="0060729E">
              <w:t>vi) devraient être contrôlés et conservés par les membres de l</w:t>
            </w:r>
            <w:r w:rsidR="001D6EDD" w:rsidRPr="0060729E">
              <w:t>’</w:t>
            </w:r>
            <w:r w:rsidRPr="0060729E">
              <w:t>Union, et mis à disposition d</w:t>
            </w:r>
            <w:r w:rsidR="001D6EDD" w:rsidRPr="0060729E">
              <w:t>’</w:t>
            </w:r>
            <w:r w:rsidRPr="0060729E">
              <w:t>une façon générale via la base de données PLUTO.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382DE" w14:textId="77777777" w:rsidR="00C5365E" w:rsidRPr="0060729E" w:rsidRDefault="00A42B53" w:rsidP="00A42B53">
            <w:pPr>
              <w:jc w:val="left"/>
            </w:pPr>
            <w:r w:rsidRPr="0060729E">
              <w:t>Examen DHS</w:t>
            </w:r>
          </w:p>
          <w:p w14:paraId="6660648D" w14:textId="6CD92598" w:rsidR="00087C5E" w:rsidRPr="0060729E" w:rsidRDefault="006853D1" w:rsidP="00297E41">
            <w:pPr>
              <w:jc w:val="left"/>
            </w:pPr>
            <w:r w:rsidRPr="0060729E">
              <w:t>i)</w:t>
            </w:r>
            <w:r w:rsidR="00F53986" w:rsidRPr="0060729E">
              <w:noBreakHyphen/>
            </w:r>
            <w:r w:rsidR="00087C5E" w:rsidRPr="0060729E">
              <w:t>v)</w:t>
            </w:r>
          </w:p>
        </w:tc>
      </w:tr>
      <w:tr w:rsidR="0060729E" w:rsidRPr="0060729E" w14:paraId="4FCFC0AA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2959E86B" w14:textId="6460AA09" w:rsidR="00087C5E" w:rsidRPr="0060729E" w:rsidRDefault="00A42B53" w:rsidP="00A42B53">
            <w:r w:rsidRPr="0060729E">
              <w:t>Question n°</w:t>
            </w:r>
            <w:r w:rsidR="009F1C92" w:rsidRPr="0060729E">
              <w:t> </w:t>
            </w:r>
            <w:r w:rsidRPr="0060729E">
              <w:t>23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9360EAF" w14:textId="4B6C770A" w:rsidR="00087C5E" w:rsidRPr="0060729E" w:rsidRDefault="00A42B53" w:rsidP="00A42B53">
            <w:pPr>
              <w:jc w:val="left"/>
            </w:pPr>
            <w:r w:rsidRPr="0060729E">
              <w:t xml:space="preserve">Envisager un fondement juridique approprié pour </w:t>
            </w:r>
            <w:r w:rsidR="00967920">
              <w:t>un ISC</w:t>
            </w:r>
            <w:r w:rsidRPr="0060729E">
              <w:t xml:space="preserve">, conformément à la </w:t>
            </w:r>
            <w:r w:rsidR="001D6EDD" w:rsidRPr="0060729E">
              <w:t>Convention UPOV</w:t>
            </w:r>
            <w:r w:rsidRPr="0060729E">
              <w:t>, notamment à l</w:t>
            </w:r>
            <w:r w:rsidR="001D6EDD" w:rsidRPr="0060729E">
              <w:t>’article 2</w:t>
            </w:r>
            <w:r w:rsidRPr="0060729E">
              <w:t>1 de l</w:t>
            </w:r>
            <w:r w:rsidR="001D6EDD" w:rsidRPr="0060729E">
              <w:t>’</w:t>
            </w:r>
            <w:r w:rsidRPr="0060729E">
              <w:t xml:space="preserve">Acte </w:t>
            </w:r>
            <w:r w:rsidR="001D6EDD" w:rsidRPr="0060729E">
              <w:t>de 1978</w:t>
            </w:r>
            <w:r w:rsidRPr="0060729E">
              <w:t xml:space="preserve"> [Missions du Conseil] et aux </w:t>
            </w:r>
            <w:r w:rsidR="001D6EDD" w:rsidRPr="0060729E">
              <w:t>articles 1</w:t>
            </w:r>
            <w:r w:rsidRPr="0060729E">
              <w:t>0 [Dépôt de demandes] et 26 [Le Conseil] de l</w:t>
            </w:r>
            <w:r w:rsidR="001D6EDD" w:rsidRPr="0060729E">
              <w:t>’</w:t>
            </w:r>
            <w:r w:rsidRPr="0060729E">
              <w:t xml:space="preserve">Acte </w:t>
            </w:r>
            <w:r w:rsidR="001D6EDD" w:rsidRPr="0060729E">
              <w:t>de 1991</w:t>
            </w:r>
            <w:r w:rsidRPr="0060729E">
              <w:t>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9DE4A29" w14:textId="5DF0D28F" w:rsidR="00087C5E" w:rsidRPr="0060729E" w:rsidRDefault="00AA2990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48F280DB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1F1551" w14:textId="6B680D15" w:rsidR="00087C5E" w:rsidRPr="0060729E" w:rsidRDefault="00A42B53" w:rsidP="00A42B53">
            <w:r w:rsidRPr="0060729E">
              <w:t>Question n°</w:t>
            </w:r>
            <w:r w:rsidR="009F1C92" w:rsidRPr="0060729E">
              <w:t> </w:t>
            </w:r>
            <w:r w:rsidRPr="0060729E">
              <w:t>24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81C347" w14:textId="572D94EC" w:rsidR="00087C5E" w:rsidRPr="0060729E" w:rsidRDefault="00A42B53" w:rsidP="00A42B53">
            <w:pPr>
              <w:jc w:val="left"/>
            </w:pPr>
            <w:r w:rsidRPr="0060729E">
              <w:t>Déterminer si l</w:t>
            </w:r>
            <w:r w:rsidR="001D6EDD" w:rsidRPr="0060729E">
              <w:t>’</w:t>
            </w:r>
            <w:r w:rsidRPr="0060729E">
              <w:t>examen par les membres de l</w:t>
            </w:r>
            <w:r w:rsidR="001D6EDD" w:rsidRPr="0060729E">
              <w:t>’</w:t>
            </w:r>
            <w:r w:rsidRPr="0060729E">
              <w:t>Union ayant recours</w:t>
            </w:r>
            <w:r w:rsidR="001D6EDD" w:rsidRPr="0060729E">
              <w:t xml:space="preserve"> </w:t>
            </w:r>
            <w:r w:rsidR="00967920">
              <w:t>à l’ISC</w:t>
            </w:r>
            <w:r w:rsidRPr="0060729E">
              <w:t xml:space="preserve"> serait financé par les membres de l</w:t>
            </w:r>
            <w:r w:rsidR="001D6EDD" w:rsidRPr="0060729E">
              <w:t>’</w:t>
            </w:r>
            <w:r w:rsidRPr="0060729E">
              <w:t>Union dans le cadre de leurs arrangements actuels relatifs à l</w:t>
            </w:r>
            <w:r w:rsidR="001D6EDD" w:rsidRPr="0060729E">
              <w:t>’</w:t>
            </w:r>
            <w:r w:rsidRPr="0060729E">
              <w:t>examen des demandes et si la collecte des taxes visant à couvrir ces travaux pourrait être organisée dans le cadre du système international d</w:t>
            </w:r>
            <w:r w:rsidR="001D6EDD" w:rsidRPr="0060729E">
              <w:t>’</w:t>
            </w:r>
            <w:r w:rsidRPr="0060729E">
              <w:t>administration d</w:t>
            </w:r>
            <w:r w:rsidR="001D6EDD" w:rsidRPr="0060729E">
              <w:t>’</w:t>
            </w:r>
            <w:r w:rsidR="00967920">
              <w:t>un ISC</w:t>
            </w:r>
            <w:r w:rsidRPr="0060729E">
              <w:t>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D6890" w14:textId="6BE22D91" w:rsidR="00C5365E" w:rsidRPr="0060729E" w:rsidRDefault="00AA2990" w:rsidP="00297E41">
            <w:pPr>
              <w:jc w:val="left"/>
            </w:pPr>
            <w:r w:rsidRPr="0060729E">
              <w:t>Coopération</w:t>
            </w:r>
            <w:r w:rsidR="00087C5E" w:rsidRPr="0060729E">
              <w:t xml:space="preserve"> </w:t>
            </w:r>
            <w:r w:rsidRPr="0060729E">
              <w:t>sur les questions administratives</w:t>
            </w:r>
          </w:p>
          <w:p w14:paraId="6D113A32" w14:textId="77777777" w:rsidR="00087C5E" w:rsidRPr="0060729E" w:rsidRDefault="00087C5E" w:rsidP="00297E41">
            <w:pPr>
              <w:jc w:val="left"/>
            </w:pPr>
            <w:r w:rsidRPr="0060729E">
              <w:t>ii)</w:t>
            </w:r>
          </w:p>
        </w:tc>
      </w:tr>
      <w:tr w:rsidR="0060729E" w:rsidRPr="0060729E" w14:paraId="7523D80E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A463298" w14:textId="11CADB76" w:rsidR="00087C5E" w:rsidRPr="0060729E" w:rsidRDefault="00A42B53" w:rsidP="00A42B53">
            <w:r w:rsidRPr="0060729E">
              <w:t>Question n°</w:t>
            </w:r>
            <w:r w:rsidR="009F1C92" w:rsidRPr="0060729E">
              <w:t> </w:t>
            </w:r>
            <w:r w:rsidRPr="0060729E">
              <w:t>25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20FAD50" w14:textId="77777777" w:rsidR="00087C5E" w:rsidRPr="0060729E" w:rsidRDefault="00A42B53" w:rsidP="00A42B53">
            <w:pPr>
              <w:jc w:val="left"/>
            </w:pPr>
            <w:r w:rsidRPr="0060729E">
              <w:t>[supprimé]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E78A376" w14:textId="77777777" w:rsidR="00087C5E" w:rsidRPr="0060729E" w:rsidRDefault="00087C5E" w:rsidP="00297E41">
            <w:pPr>
              <w:jc w:val="left"/>
            </w:pPr>
          </w:p>
        </w:tc>
      </w:tr>
      <w:tr w:rsidR="0060729E" w:rsidRPr="0060729E" w14:paraId="46405927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B248A64" w14:textId="2E5208DF" w:rsidR="00087C5E" w:rsidRPr="0060729E" w:rsidRDefault="00A42B53" w:rsidP="00A42B53">
            <w:r w:rsidRPr="0060729E">
              <w:t>Question n°</w:t>
            </w:r>
            <w:r w:rsidR="009F1C92" w:rsidRPr="0060729E">
              <w:t> </w:t>
            </w:r>
            <w:r w:rsidRPr="0060729E">
              <w:t>26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3DE2187" w14:textId="77777777" w:rsidR="00087C5E" w:rsidRPr="0060729E" w:rsidRDefault="00A42B53" w:rsidP="00A42B53">
            <w:pPr>
              <w:jc w:val="left"/>
            </w:pPr>
            <w:r w:rsidRPr="0060729E">
              <w:t>[supprimé]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BB913FB" w14:textId="77777777" w:rsidR="00087C5E" w:rsidRPr="0060729E" w:rsidRDefault="00087C5E" w:rsidP="00297E41">
            <w:pPr>
              <w:jc w:val="left"/>
            </w:pPr>
          </w:p>
        </w:tc>
      </w:tr>
      <w:tr w:rsidR="0060729E" w:rsidRPr="0060729E" w14:paraId="059ECC9E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2DA90642" w14:textId="1C2B2609" w:rsidR="00087C5E" w:rsidRPr="0060729E" w:rsidRDefault="00C5365E" w:rsidP="00C5365E">
            <w:r w:rsidRPr="0060729E">
              <w:t>Question n°</w:t>
            </w:r>
            <w:r w:rsidR="009F1C92" w:rsidRPr="0060729E">
              <w:t> </w:t>
            </w:r>
            <w:r w:rsidRPr="0060729E">
              <w:t>27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4861EAB1" w14:textId="2CE039E8" w:rsidR="00087C5E" w:rsidRPr="0060729E" w:rsidRDefault="00C5365E" w:rsidP="00C5365E">
            <w:pPr>
              <w:jc w:val="left"/>
            </w:pPr>
            <w:r w:rsidRPr="0060729E">
              <w:t>Noter que l</w:t>
            </w:r>
            <w:r w:rsidR="001D6EDD" w:rsidRPr="0060729E">
              <w:t>’</w:t>
            </w:r>
            <w:r w:rsidRPr="0060729E">
              <w:t>importance des ressources nécessaires</w:t>
            </w:r>
            <w:r w:rsidR="001D6EDD" w:rsidRPr="0060729E">
              <w:t xml:space="preserve"> </w:t>
            </w:r>
            <w:r w:rsidR="00967920">
              <w:t>à l’ISC</w:t>
            </w:r>
            <w:r w:rsidRPr="0060729E">
              <w:t xml:space="preserve"> serait déterminée par l</w:t>
            </w:r>
            <w:r w:rsidR="001D6EDD" w:rsidRPr="0060729E">
              <w:t>’</w:t>
            </w:r>
            <w:r w:rsidRPr="0060729E">
              <w:t>importance du système international d</w:t>
            </w:r>
            <w:r w:rsidR="001D6EDD" w:rsidRPr="0060729E">
              <w:t>’</w:t>
            </w:r>
            <w:r w:rsidRPr="0060729E">
              <w:t>administration.</w:t>
            </w:r>
            <w:r w:rsidR="00087C5E" w:rsidRPr="0060729E">
              <w:t xml:space="preserve"> 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F756489" w14:textId="447AA6E5" w:rsidR="00087C5E" w:rsidRPr="0060729E" w:rsidRDefault="006B230A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2CF33DBF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81C6BCB" w14:textId="3E5EE4A3" w:rsidR="00087C5E" w:rsidRPr="0060729E" w:rsidRDefault="00C5365E" w:rsidP="00C5365E">
            <w:r w:rsidRPr="0060729E">
              <w:t>Question n°</w:t>
            </w:r>
            <w:r w:rsidR="009F1C92" w:rsidRPr="0060729E">
              <w:t> </w:t>
            </w:r>
            <w:r w:rsidRPr="0060729E">
              <w:t>28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35600C89" w14:textId="3D6F033B" w:rsidR="00087C5E" w:rsidRPr="0060729E" w:rsidRDefault="00C5365E" w:rsidP="00C5365E">
            <w:pPr>
              <w:jc w:val="left"/>
            </w:pPr>
            <w:r w:rsidRPr="0060729E">
              <w:t>Déterminer si la mise au point et la maintenance</w:t>
            </w:r>
            <w:r w:rsidR="001D6EDD" w:rsidRPr="0060729E">
              <w:t xml:space="preserve"> </w:t>
            </w:r>
            <w:r w:rsidR="00967920">
              <w:t>à l’ISC</w:t>
            </w:r>
            <w:r w:rsidRPr="0060729E">
              <w:t xml:space="preserve"> devraient être entièrement financées par des recettes provenant des taxes payées par les obtenteurs.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0CDA9AE" w14:textId="21F56E0C" w:rsidR="00087C5E" w:rsidRPr="0060729E" w:rsidRDefault="006B230A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34D98951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0A949172" w14:textId="597611FC" w:rsidR="00087C5E" w:rsidRPr="0060729E" w:rsidRDefault="00C5365E" w:rsidP="00C5365E">
            <w:r w:rsidRPr="0060729E">
              <w:t>Question n°</w:t>
            </w:r>
            <w:r w:rsidR="009F1C92" w:rsidRPr="0060729E">
              <w:t> </w:t>
            </w:r>
            <w:r w:rsidRPr="0060729E">
              <w:t>29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009C79B7" w14:textId="271C6881" w:rsidR="00087C5E" w:rsidRPr="0060729E" w:rsidRDefault="00C5365E" w:rsidP="00C5365E">
            <w:pPr>
              <w:jc w:val="left"/>
            </w:pPr>
            <w:r w:rsidRPr="0060729E">
              <w:t>Déterminer si le projet EAF, tel que financé au moyen du programme et budget pour l</w:t>
            </w:r>
            <w:r w:rsidR="001D6EDD" w:rsidRPr="0060729E">
              <w:t>’</w:t>
            </w:r>
            <w:r w:rsidRPr="0060729E">
              <w:t xml:space="preserve">exercice </w:t>
            </w:r>
            <w:r w:rsidR="001D6EDD" w:rsidRPr="0060729E">
              <w:t>biennal 2016</w:t>
            </w:r>
            <w:r w:rsidR="00F53986" w:rsidRPr="0060729E">
              <w:noBreakHyphen/>
            </w:r>
            <w:r w:rsidRPr="0060729E">
              <w:t>2017, devrait fournir le fondement du système international d</w:t>
            </w:r>
            <w:r w:rsidR="001D6EDD" w:rsidRPr="0060729E">
              <w:t>’</w:t>
            </w:r>
            <w:r w:rsidRPr="0060729E">
              <w:t>administration.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DF616E8" w14:textId="3AAD225A" w:rsidR="00087C5E" w:rsidRPr="0060729E" w:rsidRDefault="006B230A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09BC2AA1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875AEE6" w14:textId="219CE969" w:rsidR="00087C5E" w:rsidRPr="0060729E" w:rsidRDefault="00C5365E" w:rsidP="00C5365E">
            <w:r w:rsidRPr="0060729E">
              <w:t>Question n°</w:t>
            </w:r>
            <w:r w:rsidR="009F1C92" w:rsidRPr="0060729E">
              <w:t> </w:t>
            </w:r>
            <w:r w:rsidRPr="0060729E">
              <w:t>30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75C36DCE" w14:textId="1EF6567A" w:rsidR="00087C5E" w:rsidRPr="0060729E" w:rsidRDefault="00C5365E" w:rsidP="00C5365E">
            <w:pPr>
              <w:jc w:val="left"/>
            </w:pPr>
            <w:r w:rsidRPr="0060729E">
              <w:t>Étudier les moyens de financer les éléments supplémentaires à incorporer dans le projet EAF, par exemple la réception des demandes transmises par les services récepteurs des membres de l</w:t>
            </w:r>
            <w:r w:rsidR="001D6EDD" w:rsidRPr="0060729E">
              <w:t>’</w:t>
            </w:r>
            <w:r w:rsidRPr="0060729E">
              <w:t>UPOV, les informations concernant les centres DHS accrédités et les informations concernant [le choix des] [les] services chargés de l</w:t>
            </w:r>
            <w:r w:rsidR="001D6EDD" w:rsidRPr="0060729E">
              <w:t>’</w:t>
            </w:r>
            <w:r w:rsidRPr="0060729E">
              <w:t>observation préliminaire.</w:t>
            </w:r>
            <w:r w:rsidR="00087C5E" w:rsidRPr="0060729E">
              <w:t xml:space="preserve">  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5585B87" w14:textId="30EC643A" w:rsidR="00087C5E" w:rsidRPr="0060729E" w:rsidRDefault="006B230A" w:rsidP="00297E41">
            <w:pPr>
              <w:jc w:val="left"/>
            </w:pPr>
            <w:r w:rsidRPr="0060729E">
              <w:t>Couvert par le mandat</w:t>
            </w:r>
          </w:p>
        </w:tc>
      </w:tr>
      <w:tr w:rsidR="0060729E" w:rsidRPr="0060729E" w14:paraId="37293F6B" w14:textId="77777777" w:rsidTr="00297E41">
        <w:trPr>
          <w:cantSplit/>
        </w:trPr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12BC1B23" w14:textId="1BB31419" w:rsidR="00087C5E" w:rsidRPr="0060729E" w:rsidRDefault="00C5365E" w:rsidP="00C5365E">
            <w:r w:rsidRPr="0060729E">
              <w:t>Question n°</w:t>
            </w:r>
            <w:r w:rsidR="009F1C92" w:rsidRPr="0060729E">
              <w:t> </w:t>
            </w:r>
            <w:r w:rsidRPr="0060729E">
              <w:t>31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hideMark/>
          </w:tcPr>
          <w:p w14:paraId="5569CD7A" w14:textId="2F25078D" w:rsidR="00087C5E" w:rsidRPr="0060729E" w:rsidRDefault="00C5365E" w:rsidP="00C5365E">
            <w:pPr>
              <w:jc w:val="left"/>
            </w:pPr>
            <w:r w:rsidRPr="0060729E">
              <w:t>Examiner et préciser la relation entre</w:t>
            </w:r>
            <w:r w:rsidR="001D6EDD" w:rsidRPr="0060729E">
              <w:t xml:space="preserve"> </w:t>
            </w:r>
            <w:r w:rsidR="00967920">
              <w:t>l’ISC</w:t>
            </w:r>
            <w:r w:rsidRPr="0060729E">
              <w:t xml:space="preserve"> et le Traité international sur les ressources phytogénétiques pour l</w:t>
            </w:r>
            <w:r w:rsidR="001D6EDD" w:rsidRPr="0060729E">
              <w:t>’</w:t>
            </w:r>
            <w:r w:rsidRPr="0060729E">
              <w:t>alimentation et l</w:t>
            </w:r>
            <w:r w:rsidR="001D6EDD" w:rsidRPr="0060729E">
              <w:t>’</w:t>
            </w:r>
            <w:r w:rsidRPr="0060729E">
              <w:t xml:space="preserve">agriculture </w:t>
            </w:r>
            <w:r w:rsidR="0099384B">
              <w:t xml:space="preserve">(ITPGRFA) </w:t>
            </w:r>
            <w:r w:rsidRPr="0060729E">
              <w:t>et la Convention sur la diversité biologique (CDB), le protocole de Nagoya, ainsi que l</w:t>
            </w:r>
            <w:r w:rsidR="001D6EDD" w:rsidRPr="0060729E">
              <w:t>’</w:t>
            </w:r>
            <w:r w:rsidRPr="0060729E">
              <w:t>effet qu</w:t>
            </w:r>
            <w:r w:rsidR="001D6EDD" w:rsidRPr="0060729E">
              <w:t>’</w:t>
            </w:r>
            <w:r w:rsidRPr="0060729E">
              <w:t xml:space="preserve">un éventuel </w:t>
            </w:r>
            <w:r w:rsidR="00967920">
              <w:t>ISC</w:t>
            </w:r>
            <w:r w:rsidRPr="0060729E">
              <w:t xml:space="preserve"> produirait à cet égard.</w:t>
            </w:r>
          </w:p>
        </w:tc>
        <w:tc>
          <w:tcPr>
            <w:tcW w:w="2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6FCB143" w14:textId="0E095F18" w:rsidR="00087C5E" w:rsidRPr="0060729E" w:rsidRDefault="00774BA8" w:rsidP="00297E41">
            <w:pPr>
              <w:jc w:val="left"/>
              <w:rPr>
                <w:snapToGrid w:val="0"/>
              </w:rPr>
            </w:pPr>
            <w:r w:rsidRPr="0060729E">
              <w:t xml:space="preserve">Non </w:t>
            </w:r>
            <w:r>
              <w:t>recensé</w:t>
            </w:r>
            <w:r w:rsidRPr="0060729E">
              <w:t xml:space="preserve"> comme besoin des services de protection des obtentions végétales lors de </w:t>
            </w:r>
            <w:r>
              <w:t>l’</w:t>
            </w:r>
            <w:r w:rsidR="0099384B">
              <w:t>WG</w:t>
            </w:r>
            <w:r w:rsidR="0099384B">
              <w:noBreakHyphen/>
            </w:r>
            <w:r w:rsidR="00545A4E">
              <w:t>ISC</w:t>
            </w:r>
            <w:r w:rsidRPr="0060729E">
              <w:t>/1</w:t>
            </w:r>
          </w:p>
        </w:tc>
      </w:tr>
    </w:tbl>
    <w:p w14:paraId="4472AAD0" w14:textId="77777777" w:rsidR="00C5365E" w:rsidRPr="0060729E" w:rsidRDefault="00C5365E" w:rsidP="00297E41">
      <w:pPr>
        <w:rPr>
          <w:lang w:eastAsia="ja-JP"/>
        </w:rPr>
      </w:pPr>
    </w:p>
    <w:p w14:paraId="7E0FB737" w14:textId="77777777" w:rsidR="00C5365E" w:rsidRPr="0060729E" w:rsidRDefault="00C5365E" w:rsidP="00B916B6"/>
    <w:p w14:paraId="3BF4A806" w14:textId="77777777" w:rsidR="00C5365E" w:rsidRPr="0060729E" w:rsidRDefault="00C5365E" w:rsidP="00B916B6"/>
    <w:p w14:paraId="33DECF83" w14:textId="2AE9FE85" w:rsidR="00C5365E" w:rsidRPr="0060729E" w:rsidRDefault="00C5365E" w:rsidP="00C5365E">
      <w:pPr>
        <w:jc w:val="right"/>
        <w:rPr>
          <w:lang w:eastAsia="ja-JP"/>
        </w:rPr>
      </w:pPr>
      <w:r w:rsidRPr="0060729E">
        <w:rPr>
          <w:lang w:eastAsia="ja-JP"/>
        </w:rPr>
        <w:t>[L</w:t>
      </w:r>
      <w:r w:rsidR="001D6EDD" w:rsidRPr="0060729E">
        <w:rPr>
          <w:lang w:eastAsia="ja-JP"/>
        </w:rPr>
        <w:t>’annexe I</w:t>
      </w:r>
      <w:r w:rsidRPr="0060729E">
        <w:rPr>
          <w:lang w:eastAsia="ja-JP"/>
        </w:rPr>
        <w:t>II suit]</w:t>
      </w:r>
    </w:p>
    <w:p w14:paraId="05CBAC8F" w14:textId="77777777" w:rsidR="00F2036C" w:rsidRPr="0060729E" w:rsidRDefault="00F2036C" w:rsidP="00F2036C">
      <w:pPr>
        <w:jc w:val="right"/>
        <w:rPr>
          <w:lang w:eastAsia="ja-JP"/>
        </w:rPr>
        <w:sectPr w:rsidR="00F2036C" w:rsidRPr="0060729E" w:rsidSect="00A40E05">
          <w:headerReference w:type="defaul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71A7A6DD" w14:textId="1A4CFB96" w:rsidR="00C5365E" w:rsidRPr="0060729E" w:rsidRDefault="003C320E" w:rsidP="003C320E">
      <w:pPr>
        <w:jc w:val="center"/>
      </w:pPr>
      <w:r w:rsidRPr="0060729E">
        <w:t>UPOV/WG</w:t>
      </w:r>
      <w:r w:rsidR="00F53986" w:rsidRPr="0060729E">
        <w:noBreakHyphen/>
      </w:r>
      <w:r w:rsidRPr="0060729E">
        <w:t>ISC/2/2</w:t>
      </w:r>
    </w:p>
    <w:p w14:paraId="47B95FF9" w14:textId="77777777" w:rsidR="00C5365E" w:rsidRPr="0060729E" w:rsidRDefault="00C5365E" w:rsidP="003C320E">
      <w:pPr>
        <w:jc w:val="left"/>
        <w:rPr>
          <w:lang w:eastAsia="ja-JP"/>
        </w:rPr>
      </w:pPr>
    </w:p>
    <w:p w14:paraId="2DA3BEAE" w14:textId="77777777" w:rsidR="00C5365E" w:rsidRPr="0060729E" w:rsidRDefault="00F2036C" w:rsidP="00F2036C">
      <w:pPr>
        <w:jc w:val="center"/>
        <w:rPr>
          <w:lang w:eastAsia="ja-JP"/>
        </w:rPr>
      </w:pPr>
      <w:r w:rsidRPr="0060729E">
        <w:rPr>
          <w:lang w:eastAsia="ja-JP"/>
        </w:rPr>
        <w:t>ANNEX</w:t>
      </w:r>
      <w:r w:rsidR="003F6FE2" w:rsidRPr="0060729E">
        <w:rPr>
          <w:lang w:eastAsia="ja-JP"/>
        </w:rPr>
        <w:t>E</w:t>
      </w:r>
      <w:r w:rsidRPr="0060729E">
        <w:rPr>
          <w:lang w:eastAsia="ja-JP"/>
        </w:rPr>
        <w:t xml:space="preserve"> III</w:t>
      </w:r>
    </w:p>
    <w:p w14:paraId="7DD6F046" w14:textId="77777777" w:rsidR="00C5365E" w:rsidRPr="0060729E" w:rsidRDefault="00C5365E" w:rsidP="00F2036C">
      <w:pPr>
        <w:jc w:val="center"/>
        <w:rPr>
          <w:lang w:eastAsia="ja-JP"/>
        </w:rPr>
      </w:pPr>
    </w:p>
    <w:p w14:paraId="39CCB02E" w14:textId="77777777" w:rsidR="00C5365E" w:rsidRPr="0060729E" w:rsidRDefault="00C5365E" w:rsidP="00F2036C">
      <w:pPr>
        <w:jc w:val="center"/>
        <w:rPr>
          <w:lang w:eastAsia="ja-JP"/>
        </w:rPr>
      </w:pPr>
    </w:p>
    <w:p w14:paraId="7C8FAD33" w14:textId="316CBFF7" w:rsidR="00C5365E" w:rsidRPr="0060729E" w:rsidRDefault="0010368E" w:rsidP="00F2036C">
      <w:pPr>
        <w:autoSpaceDE w:val="0"/>
        <w:autoSpaceDN w:val="0"/>
        <w:adjustRightInd w:val="0"/>
        <w:jc w:val="center"/>
      </w:pPr>
      <w:r w:rsidRPr="0060729E">
        <w:t xml:space="preserve">MANDAT </w:t>
      </w:r>
      <w:r>
        <w:t xml:space="preserve">DU </w:t>
      </w:r>
      <w:r w:rsidRPr="0060729E">
        <w:t xml:space="preserve">GROUPE DE </w:t>
      </w:r>
      <w:r>
        <w:t>TRAVAIL SUR UN ÉVENTUEL SYSTÈME</w:t>
      </w:r>
      <w:r>
        <w:br/>
      </w:r>
      <w:r w:rsidRPr="0060729E">
        <w:t xml:space="preserve">INTERNATIONAL DE COOPÉRATION </w:t>
      </w:r>
      <w:r>
        <w:t>(WG-ISC)</w:t>
      </w:r>
    </w:p>
    <w:p w14:paraId="2EF46B39" w14:textId="77777777" w:rsidR="00C5365E" w:rsidRPr="0060729E" w:rsidRDefault="00C5365E" w:rsidP="00F2036C">
      <w:pPr>
        <w:autoSpaceDE w:val="0"/>
        <w:autoSpaceDN w:val="0"/>
        <w:adjustRightInd w:val="0"/>
        <w:jc w:val="center"/>
      </w:pPr>
    </w:p>
    <w:p w14:paraId="71C2408C" w14:textId="5B516F4C" w:rsidR="00C5365E" w:rsidRPr="0060729E" w:rsidRDefault="00F2036C" w:rsidP="00F2036C">
      <w:pPr>
        <w:autoSpaceDE w:val="0"/>
        <w:autoSpaceDN w:val="0"/>
        <w:adjustRightInd w:val="0"/>
        <w:jc w:val="center"/>
      </w:pPr>
      <w:r w:rsidRPr="0060729E">
        <w:t>(</w:t>
      </w:r>
      <w:r w:rsidR="00CB0EA3" w:rsidRPr="0060729E">
        <w:t>tel qu</w:t>
      </w:r>
      <w:r w:rsidR="007D515A" w:rsidRPr="0060729E">
        <w:t>e convenu</w:t>
      </w:r>
      <w:r w:rsidR="00CB0EA3" w:rsidRPr="0060729E">
        <w:t xml:space="preserve"> par le Comité consultatif lors de sa quatre</w:t>
      </w:r>
      <w:r w:rsidR="00F53986" w:rsidRPr="0060729E">
        <w:noBreakHyphen/>
      </w:r>
      <w:r w:rsidR="00CB0EA3" w:rsidRPr="0060729E">
        <w:t>vingt</w:t>
      </w:r>
      <w:r w:rsidR="00F53986" w:rsidRPr="0060729E">
        <w:noBreakHyphen/>
      </w:r>
      <w:r w:rsidR="00CB0EA3" w:rsidRPr="0060729E">
        <w:t>douz</w:t>
      </w:r>
      <w:r w:rsidR="001D6EDD" w:rsidRPr="0060729E">
        <w:t>ième session</w:t>
      </w:r>
      <w:r w:rsidR="0010368E">
        <w:rPr>
          <w:snapToGrid w:val="0"/>
        </w:rPr>
        <w:t>,</w:t>
      </w:r>
      <w:r w:rsidR="0010368E">
        <w:rPr>
          <w:snapToGrid w:val="0"/>
        </w:rPr>
        <w:br/>
      </w:r>
      <w:r w:rsidR="00CB0EA3" w:rsidRPr="0060729E">
        <w:rPr>
          <w:snapToGrid w:val="0"/>
        </w:rPr>
        <w:t>tenue à Genève le 2</w:t>
      </w:r>
      <w:r w:rsidR="001D6EDD" w:rsidRPr="0060729E">
        <w:rPr>
          <w:snapToGrid w:val="0"/>
        </w:rPr>
        <w:t>7 octobre 20</w:t>
      </w:r>
      <w:r w:rsidR="00CB0EA3" w:rsidRPr="0060729E">
        <w:rPr>
          <w:snapToGrid w:val="0"/>
        </w:rPr>
        <w:t>16</w:t>
      </w:r>
      <w:r w:rsidR="001D6EDD" w:rsidRPr="0060729E">
        <w:rPr>
          <w:snapToGrid w:val="0"/>
        </w:rPr>
        <w:t> :</w:t>
      </w:r>
      <w:r w:rsidRPr="0060729E">
        <w:rPr>
          <w:snapToGrid w:val="0"/>
        </w:rPr>
        <w:t xml:space="preserve"> </w:t>
      </w:r>
      <w:r w:rsidR="00CB0EA3" w:rsidRPr="0060729E">
        <w:t>voir</w:t>
      </w:r>
      <w:r w:rsidR="00792A5E" w:rsidRPr="0060729E">
        <w:t xml:space="preserve"> le document CC/92/20</w:t>
      </w:r>
      <w:r w:rsidR="0010368E">
        <w:br/>
      </w:r>
      <w:r w:rsidR="009F1C92" w:rsidRPr="0060729E">
        <w:t>“</w:t>
      </w:r>
      <w:r w:rsidR="00CB0EA3" w:rsidRPr="0060729E">
        <w:t>Compte rendu des conclusions</w:t>
      </w:r>
      <w:r w:rsidR="009F1C92" w:rsidRPr="0060729E">
        <w:t>”</w:t>
      </w:r>
      <w:r w:rsidR="0010368E">
        <w:t xml:space="preserve">, </w:t>
      </w:r>
      <w:r w:rsidR="0010368E" w:rsidRPr="0060729E">
        <w:t>paragraphe 5</w:t>
      </w:r>
      <w:r w:rsidR="0010368E">
        <w:t>9</w:t>
      </w:r>
      <w:r w:rsidRPr="0060729E">
        <w:t>)</w:t>
      </w:r>
    </w:p>
    <w:p w14:paraId="443328B4" w14:textId="77777777" w:rsidR="00C5365E" w:rsidRPr="0060729E" w:rsidRDefault="00C5365E" w:rsidP="00F2036C"/>
    <w:p w14:paraId="79AD6651" w14:textId="77777777" w:rsidR="00C5365E" w:rsidRPr="0060729E" w:rsidRDefault="00C5365E" w:rsidP="00C5365E">
      <w:pPr>
        <w:keepNext/>
        <w:outlineLvl w:val="2"/>
        <w:rPr>
          <w:i/>
          <w:snapToGrid w:val="0"/>
        </w:rPr>
      </w:pPr>
      <w:r w:rsidRPr="0060729E">
        <w:rPr>
          <w:i/>
          <w:snapToGrid w:val="0"/>
        </w:rPr>
        <w:t>Objectif</w:t>
      </w:r>
    </w:p>
    <w:p w14:paraId="0C3B24F8" w14:textId="77777777" w:rsidR="00C5365E" w:rsidRPr="0060729E" w:rsidRDefault="00C5365E" w:rsidP="00C5365E">
      <w:pPr>
        <w:keepNext/>
        <w:rPr>
          <w:snapToGrid w:val="0"/>
        </w:rPr>
      </w:pPr>
    </w:p>
    <w:p w14:paraId="5405F52A" w14:textId="77777777" w:rsidR="00C5365E" w:rsidRPr="0060729E" w:rsidRDefault="00C5365E" w:rsidP="00C5365E">
      <w:pPr>
        <w:keepNext/>
        <w:ind w:left="709" w:hanging="425"/>
        <w:rPr>
          <w:snapToGrid w:val="0"/>
        </w:rPr>
      </w:pPr>
      <w:r w:rsidRPr="0060729E">
        <w:rPr>
          <w:snapToGrid w:val="0"/>
        </w:rPr>
        <w:t>1.</w:t>
      </w:r>
      <w:r w:rsidRPr="0060729E">
        <w:rPr>
          <w:snapToGrid w:val="0"/>
        </w:rPr>
        <w:tab/>
        <w:t>Élaborer des propositions, pour examen par le Comité consultatif, concernant un éventuel système international de coopération qui</w:t>
      </w:r>
    </w:p>
    <w:p w14:paraId="039B3982" w14:textId="77777777" w:rsidR="00C5365E" w:rsidRPr="0060729E" w:rsidRDefault="00C5365E" w:rsidP="00C5365E">
      <w:pPr>
        <w:keepNext/>
        <w:ind w:left="360"/>
        <w:rPr>
          <w:snapToGrid w:val="0"/>
        </w:rPr>
      </w:pPr>
    </w:p>
    <w:p w14:paraId="74F9DD41" w14:textId="2E15C292" w:rsidR="00C5365E" w:rsidRPr="0060729E" w:rsidRDefault="00C5365E" w:rsidP="00C5365E">
      <w:pPr>
        <w:keepNext/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n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entamerait pas la responsabilité des membres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 quant à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octroi et à la protection des droits d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obtenteur, ou d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autres obligations internationales;</w:t>
      </w:r>
    </w:p>
    <w:p w14:paraId="30AA0D30" w14:textId="52C4870E" w:rsidR="00C5365E" w:rsidRPr="0060729E" w:rsidRDefault="00C5365E" w:rsidP="00C5365E">
      <w:pPr>
        <w:keepNext/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concernerait tous les membres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Union, indépendamment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 xml:space="preserve">acte de la </w:t>
      </w:r>
      <w:r w:rsidR="001D6EDD" w:rsidRPr="0060729E">
        <w:rPr>
          <w:snapToGrid w:val="0"/>
        </w:rPr>
        <w:t>Convention UPOV</w:t>
      </w:r>
      <w:r w:rsidRPr="0060729E">
        <w:rPr>
          <w:snapToGrid w:val="0"/>
        </w:rPr>
        <w:t xml:space="preserve"> auquel ils ont adhéré;</w:t>
      </w:r>
    </w:p>
    <w:p w14:paraId="06C8A69C" w14:textId="7E294291" w:rsidR="00C5365E" w:rsidRPr="0060729E" w:rsidRDefault="00C5365E" w:rsidP="00C5365E">
      <w:pPr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n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entamerait pas la marge de manœuvre des membres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 s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agissant de formuler une politique et de répondre aux besoins et aux conditions qui leur sont spécifiques conformément à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 xml:space="preserve">acte pertinent de la </w:t>
      </w:r>
      <w:r w:rsidR="001D6EDD" w:rsidRPr="0060729E">
        <w:rPr>
          <w:snapToGrid w:val="0"/>
        </w:rPr>
        <w:t>Convention UPOV</w:t>
      </w:r>
      <w:r w:rsidRPr="0060729E">
        <w:rPr>
          <w:snapToGrid w:val="0"/>
        </w:rPr>
        <w:t>;</w:t>
      </w:r>
    </w:p>
    <w:p w14:paraId="5AAC5CAD" w14:textId="6127E63E" w:rsidR="00C5365E" w:rsidRPr="0060729E" w:rsidRDefault="00C5365E" w:rsidP="00C5365E">
      <w:pPr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serait fondé sur la participation volontaire des membres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Union, compte tenu des mesures que devrait prendre chaque membre pour y participer;</w:t>
      </w:r>
    </w:p>
    <w:p w14:paraId="216C46EB" w14:textId="22551F70" w:rsidR="00C5365E" w:rsidRPr="0060729E" w:rsidRDefault="00C5365E" w:rsidP="00C5365E">
      <w:pPr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permettrait aux membres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 de choisir de participer à certains éléments d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 système international de coopération;</w:t>
      </w:r>
    </w:p>
    <w:p w14:paraId="51E978B1" w14:textId="451A06B6" w:rsidR="00C5365E" w:rsidRPr="0060729E" w:rsidRDefault="00C5365E" w:rsidP="00C5365E">
      <w:pPr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serait fondé sur une coopération volontaire entre membres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Union;</w:t>
      </w:r>
    </w:p>
    <w:p w14:paraId="04C7F78B" w14:textId="594D89DB" w:rsidR="00C5365E" w:rsidRPr="0060729E" w:rsidRDefault="00C5365E" w:rsidP="00C5365E">
      <w:pPr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n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aurait pas d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incidence sur la coopération entre les membres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 qui ne participent pas à un système international de coopération;</w:t>
      </w:r>
    </w:p>
    <w:p w14:paraId="06704FCA" w14:textId="345CA34A" w:rsidR="00C5365E" w:rsidRPr="0060729E" w:rsidRDefault="00C5365E" w:rsidP="00C5365E">
      <w:pPr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serait fondé sur le dépôt de demandes auprès de chaque membre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 et non pas auprès du Bureau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Union;</w:t>
      </w:r>
    </w:p>
    <w:p w14:paraId="1DB1A604" w14:textId="4B7C268B" w:rsidR="00C5365E" w:rsidRPr="0060729E" w:rsidRDefault="00C5365E" w:rsidP="00C5365E">
      <w:pPr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ne serait pas fondé sur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examen des demandes par le Bureau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Union;</w:t>
      </w:r>
    </w:p>
    <w:p w14:paraId="433AB2AE" w14:textId="1CE3BAF3" w:rsidR="00C5365E" w:rsidRPr="0060729E" w:rsidRDefault="00C5365E" w:rsidP="00C5365E">
      <w:pPr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n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aurait pas d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incidence sur la fixation et le paiement du montant des taxes par chaque membre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Union;</w:t>
      </w:r>
    </w:p>
    <w:p w14:paraId="3DE5A523" w14:textId="36C62BF6" w:rsidR="00C5365E" w:rsidRPr="0060729E" w:rsidRDefault="00C5365E" w:rsidP="00C5365E">
      <w:pPr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ne serait pas opposable au droit de chaque membre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 de mener son propre examen pour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octroi des droits d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obtenteur;</w:t>
      </w:r>
    </w:p>
    <w:p w14:paraId="2DFD0715" w14:textId="7C300234" w:rsidR="00C5365E" w:rsidRPr="0060729E" w:rsidRDefault="00C5365E" w:rsidP="00C5365E">
      <w:pPr>
        <w:numPr>
          <w:ilvl w:val="0"/>
          <w:numId w:val="18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serait fondé, dans la mesure du possible, sur les initiatives et documents existants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UPOV, et en particulier</w:t>
      </w:r>
      <w:r w:rsidR="001D6EDD" w:rsidRPr="0060729E">
        <w:rPr>
          <w:snapToGrid w:val="0"/>
        </w:rPr>
        <w:t> :</w:t>
      </w:r>
      <w:r w:rsidRPr="0060729E">
        <w:rPr>
          <w:snapToGrid w:val="0"/>
        </w:rPr>
        <w:t xml:space="preserve"> la base de données GENIE;  le projet de formulaire de demande électronique; 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 xml:space="preserve">outil de recherche </w:t>
      </w:r>
      <w:r w:rsidR="00A7225F" w:rsidRPr="0060729E">
        <w:rPr>
          <w:snapToGrid w:val="0"/>
        </w:rPr>
        <w:t xml:space="preserve">de similitudes </w:t>
      </w:r>
      <w:r w:rsidRPr="0060729E">
        <w:rPr>
          <w:snapToGrid w:val="0"/>
        </w:rPr>
        <w:t>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UPOV aux fins de la dénomination variétale;  et les documents d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information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UPOV.</w:t>
      </w:r>
    </w:p>
    <w:p w14:paraId="5F058286" w14:textId="77777777" w:rsidR="00C5365E" w:rsidRPr="0060729E" w:rsidRDefault="00C5365E" w:rsidP="00C5365E">
      <w:pPr>
        <w:ind w:left="360"/>
        <w:jc w:val="left"/>
      </w:pPr>
    </w:p>
    <w:p w14:paraId="716D3CF9" w14:textId="77777777" w:rsidR="00C5365E" w:rsidRPr="0060729E" w:rsidRDefault="00C5365E" w:rsidP="00C5365E">
      <w:pPr>
        <w:ind w:left="709" w:hanging="425"/>
      </w:pPr>
      <w:r w:rsidRPr="0060729E">
        <w:t>2.</w:t>
      </w:r>
      <w:r w:rsidRPr="0060729E">
        <w:tab/>
        <w:t>Pour les propositions susmentionnées, fournir au Comité consultatif une analyse</w:t>
      </w:r>
    </w:p>
    <w:p w14:paraId="291BD752" w14:textId="77777777" w:rsidR="001D6EDD" w:rsidRPr="0060729E" w:rsidRDefault="001D6EDD" w:rsidP="00C5365E">
      <w:pPr>
        <w:ind w:left="360"/>
        <w:jc w:val="left"/>
      </w:pPr>
    </w:p>
    <w:p w14:paraId="68C57A86" w14:textId="796755FA" w:rsidR="00C5365E" w:rsidRPr="0060729E" w:rsidRDefault="00C5365E" w:rsidP="00C5365E">
      <w:pPr>
        <w:numPr>
          <w:ilvl w:val="0"/>
          <w:numId w:val="23"/>
        </w:numPr>
        <w:spacing w:after="60"/>
        <w:ind w:left="1494"/>
        <w:rPr>
          <w:snapToGrid w:val="0"/>
        </w:rPr>
      </w:pPr>
      <w:r w:rsidRPr="0060729E">
        <w:rPr>
          <w:snapToGrid w:val="0"/>
        </w:rPr>
        <w:t>sur la nécessité d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établir un système international de coopération;</w:t>
      </w:r>
    </w:p>
    <w:p w14:paraId="7AFA556C" w14:textId="77777777" w:rsidR="00C5365E" w:rsidRPr="0060729E" w:rsidRDefault="00C5365E" w:rsidP="00C5365E">
      <w:pPr>
        <w:numPr>
          <w:ilvl w:val="0"/>
          <w:numId w:val="23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des avantages et des inconvénients des propositions par rapport aux arrangements existants;</w:t>
      </w:r>
    </w:p>
    <w:p w14:paraId="70ABFBE7" w14:textId="7F65E1B7" w:rsidR="00C5365E" w:rsidRPr="0060729E" w:rsidRDefault="00C5365E" w:rsidP="00C5365E">
      <w:pPr>
        <w:numPr>
          <w:ilvl w:val="0"/>
          <w:numId w:val="23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 xml:space="preserve">existence des dispositions légales applicables en vertu des actes de la </w:t>
      </w:r>
      <w:r w:rsidR="001D6EDD" w:rsidRPr="0060729E">
        <w:rPr>
          <w:snapToGrid w:val="0"/>
        </w:rPr>
        <w:t>Convention UPOV</w:t>
      </w:r>
      <w:r w:rsidRPr="0060729E">
        <w:rPr>
          <w:snapToGrid w:val="0"/>
        </w:rPr>
        <w:t>;</w:t>
      </w:r>
    </w:p>
    <w:p w14:paraId="10EBCDDF" w14:textId="2ACCA5E7" w:rsidR="00C5365E" w:rsidRPr="0060729E" w:rsidRDefault="00C5365E" w:rsidP="00C5365E">
      <w:pPr>
        <w:numPr>
          <w:ilvl w:val="0"/>
          <w:numId w:val="23"/>
        </w:numPr>
        <w:spacing w:after="60"/>
        <w:ind w:left="1701" w:hanging="567"/>
        <w:rPr>
          <w:snapToGrid w:val="0"/>
        </w:rPr>
      </w:pPr>
      <w:r w:rsidRPr="0060729E">
        <w:rPr>
          <w:snapToGrid w:val="0"/>
        </w:rPr>
        <w:t>des incidences sur la législation nationale, les procédures administratives, les droits et le cadre de politique générale, en rapport avec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 xml:space="preserve">acte pertinent de la </w:t>
      </w:r>
      <w:r w:rsidR="001D6EDD" w:rsidRPr="0060729E">
        <w:rPr>
          <w:snapToGrid w:val="0"/>
        </w:rPr>
        <w:t>Convention UPOV</w:t>
      </w:r>
      <w:r w:rsidRPr="0060729E">
        <w:rPr>
          <w:snapToGrid w:val="0"/>
        </w:rPr>
        <w:t>, des services de protection des obtentions végétales des membres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UPOV;</w:t>
      </w:r>
    </w:p>
    <w:p w14:paraId="4145AEB7" w14:textId="77777777" w:rsidR="00C5365E" w:rsidRPr="0060729E" w:rsidRDefault="00C5365E" w:rsidP="00C5365E">
      <w:pPr>
        <w:numPr>
          <w:ilvl w:val="0"/>
          <w:numId w:val="23"/>
        </w:numPr>
        <w:spacing w:after="60"/>
        <w:ind w:left="1701" w:hanging="567"/>
      </w:pPr>
      <w:r w:rsidRPr="0060729E">
        <w:t>des avantages et des inconvénients potentiels pour</w:t>
      </w:r>
    </w:p>
    <w:p w14:paraId="294C7FFE" w14:textId="4DFBE0EA" w:rsidR="00C5365E" w:rsidRPr="0060729E" w:rsidRDefault="00C5365E" w:rsidP="00C5365E">
      <w:pPr>
        <w:spacing w:after="60"/>
        <w:ind w:left="2127" w:hanging="426"/>
      </w:pPr>
      <w:r w:rsidRPr="0060729E">
        <w:t>i)</w:t>
      </w:r>
      <w:r w:rsidRPr="0060729E">
        <w:tab/>
        <w:t>la société dans les membres de l</w:t>
      </w:r>
      <w:r w:rsidR="001D6EDD" w:rsidRPr="0060729E">
        <w:t>’</w:t>
      </w:r>
      <w:r w:rsidRPr="0060729E">
        <w:t>Union;</w:t>
      </w:r>
    </w:p>
    <w:p w14:paraId="76D7011F" w14:textId="666604A9" w:rsidR="00C5365E" w:rsidRPr="0060729E" w:rsidRDefault="00C5365E" w:rsidP="00C5365E">
      <w:pPr>
        <w:spacing w:after="60"/>
        <w:ind w:left="2127" w:hanging="426"/>
      </w:pPr>
      <w:r w:rsidRPr="0060729E">
        <w:t>ii)</w:t>
      </w:r>
      <w:r w:rsidRPr="0060729E">
        <w:tab/>
        <w:t>les services de protection des obtentions végétales des membres de l</w:t>
      </w:r>
      <w:r w:rsidR="001D6EDD" w:rsidRPr="0060729E">
        <w:t>’</w:t>
      </w:r>
      <w:r w:rsidRPr="0060729E">
        <w:t>Union, notamment en ce qui concerne</w:t>
      </w:r>
    </w:p>
    <w:p w14:paraId="3152F7E6" w14:textId="77777777" w:rsidR="00C5365E" w:rsidRPr="0060729E" w:rsidRDefault="00C5365E" w:rsidP="00C5365E">
      <w:pPr>
        <w:numPr>
          <w:ilvl w:val="2"/>
          <w:numId w:val="19"/>
        </w:numPr>
        <w:spacing w:after="60"/>
        <w:ind w:left="2410" w:hanging="284"/>
      </w:pPr>
      <w:r w:rsidRPr="0060729E">
        <w:t>les coûts et les recettes</w:t>
      </w:r>
    </w:p>
    <w:p w14:paraId="56FD1349" w14:textId="77777777" w:rsidR="00C5365E" w:rsidRPr="0060729E" w:rsidRDefault="00C5365E" w:rsidP="00C5365E">
      <w:pPr>
        <w:numPr>
          <w:ilvl w:val="2"/>
          <w:numId w:val="19"/>
        </w:numPr>
        <w:spacing w:after="60"/>
        <w:ind w:left="2410" w:hanging="284"/>
      </w:pPr>
      <w:r w:rsidRPr="0060729E">
        <w:t>le nombre de demandes et le montant des recettes obtenues grâce aux demandes;</w:t>
      </w:r>
    </w:p>
    <w:p w14:paraId="45D9C477" w14:textId="3D9BAAFB" w:rsidR="00C5365E" w:rsidRPr="0060729E" w:rsidRDefault="00C5365E" w:rsidP="00C5365E">
      <w:pPr>
        <w:spacing w:after="60"/>
        <w:ind w:left="2127" w:hanging="426"/>
      </w:pPr>
      <w:r w:rsidRPr="0060729E">
        <w:t>iii)</w:t>
      </w:r>
      <w:r w:rsidRPr="0060729E">
        <w:tab/>
        <w:t xml:space="preserve">les obtenteurs nationaux et étrangers, </w:t>
      </w:r>
      <w:r w:rsidR="001D6EDD" w:rsidRPr="0060729E">
        <w:t>y compris</w:t>
      </w:r>
      <w:r w:rsidRPr="0060729E">
        <w:t xml:space="preserve"> les petites et moyennes entreprises (PME);</w:t>
      </w:r>
    </w:p>
    <w:p w14:paraId="4E52E71D" w14:textId="77777777" w:rsidR="00C5365E" w:rsidRPr="0060729E" w:rsidRDefault="00C5365E" w:rsidP="00C5365E">
      <w:pPr>
        <w:spacing w:after="60"/>
        <w:ind w:left="2127" w:hanging="426"/>
      </w:pPr>
      <w:r w:rsidRPr="0060729E">
        <w:t>iv)</w:t>
      </w:r>
      <w:r w:rsidRPr="0060729E">
        <w:tab/>
        <w:t>les agriculteurs;  et</w:t>
      </w:r>
    </w:p>
    <w:p w14:paraId="5D79343A" w14:textId="562DC6C7" w:rsidR="00C5365E" w:rsidRPr="0060729E" w:rsidRDefault="00C5365E" w:rsidP="00C5365E">
      <w:pPr>
        <w:spacing w:after="60"/>
        <w:ind w:left="2127" w:hanging="426"/>
      </w:pPr>
      <w:r w:rsidRPr="0060729E">
        <w:t>v)</w:t>
      </w:r>
      <w:r w:rsidRPr="0060729E">
        <w:tab/>
        <w:t>l</w:t>
      </w:r>
      <w:r w:rsidR="001D6EDD" w:rsidRPr="0060729E">
        <w:t>’</w:t>
      </w:r>
      <w:r w:rsidRPr="0060729E">
        <w:t>UPOV.</w:t>
      </w:r>
    </w:p>
    <w:p w14:paraId="0DD5761B" w14:textId="77777777" w:rsidR="00C5365E" w:rsidRPr="0060729E" w:rsidRDefault="00C5365E" w:rsidP="00C5365E"/>
    <w:p w14:paraId="5120A5E6" w14:textId="77777777" w:rsidR="00C5365E" w:rsidRPr="0060729E" w:rsidRDefault="00C5365E" w:rsidP="00C5365E">
      <w:pPr>
        <w:keepNext/>
        <w:outlineLvl w:val="2"/>
        <w:rPr>
          <w:i/>
          <w:snapToGrid w:val="0"/>
        </w:rPr>
      </w:pPr>
      <w:r w:rsidRPr="0060729E">
        <w:rPr>
          <w:i/>
          <w:snapToGrid w:val="0"/>
        </w:rPr>
        <w:t>Composition</w:t>
      </w:r>
    </w:p>
    <w:p w14:paraId="6C895C51" w14:textId="77777777" w:rsidR="00C5365E" w:rsidRPr="0060729E" w:rsidRDefault="00C5365E" w:rsidP="00C5365E">
      <w:pPr>
        <w:rPr>
          <w:snapToGrid w:val="0"/>
        </w:rPr>
      </w:pPr>
    </w:p>
    <w:p w14:paraId="6CA7819D" w14:textId="0DE18DC3" w:rsidR="00C5365E" w:rsidRPr="0060729E" w:rsidRDefault="00C5365E" w:rsidP="00C5365E">
      <w:pPr>
        <w:numPr>
          <w:ilvl w:val="0"/>
          <w:numId w:val="20"/>
        </w:numPr>
        <w:ind w:left="851" w:hanging="425"/>
        <w:contextualSpacing/>
        <w:rPr>
          <w:snapToGrid w:val="0"/>
        </w:rPr>
      </w:pPr>
      <w:bookmarkStart w:id="2" w:name="_GoBack"/>
      <w:bookmarkEnd w:id="2"/>
      <w:r w:rsidRPr="0060729E">
        <w:rPr>
          <w:snapToGrid w:val="0"/>
        </w:rPr>
        <w:t>être constitué des membres ci</w:t>
      </w:r>
      <w:r w:rsidR="00F53986" w:rsidRPr="0060729E">
        <w:rPr>
          <w:snapToGrid w:val="0"/>
        </w:rPr>
        <w:noBreakHyphen/>
      </w:r>
      <w:r w:rsidRPr="0060729E">
        <w:rPr>
          <w:snapToGrid w:val="0"/>
        </w:rPr>
        <w:t>après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</w:t>
      </w:r>
      <w:r w:rsidR="001D6EDD" w:rsidRPr="0060729E">
        <w:rPr>
          <w:snapToGrid w:val="0"/>
        </w:rPr>
        <w:t> :</w:t>
      </w:r>
    </w:p>
    <w:p w14:paraId="71245D57" w14:textId="77777777" w:rsidR="00C5365E" w:rsidRPr="0060729E" w:rsidRDefault="00C5365E" w:rsidP="00C5365E">
      <w:pPr>
        <w:rPr>
          <w:snapToGrid w:val="0"/>
        </w:rPr>
      </w:pPr>
    </w:p>
    <w:p w14:paraId="1B1DD5CF" w14:textId="77777777" w:rsidR="00C5365E" w:rsidRPr="0060729E" w:rsidRDefault="00C5365E" w:rsidP="00C5365E">
      <w:pPr>
        <w:numPr>
          <w:ilvl w:val="0"/>
          <w:numId w:val="22"/>
        </w:numPr>
        <w:ind w:left="1494"/>
        <w:contextualSpacing/>
      </w:pPr>
      <w:r w:rsidRPr="0060729E">
        <w:t>Bolivie (État plurinational de)</w:t>
      </w:r>
    </w:p>
    <w:p w14:paraId="62A01BC5" w14:textId="77777777" w:rsidR="00C5365E" w:rsidRPr="0060729E" w:rsidRDefault="00C5365E" w:rsidP="00C5365E">
      <w:pPr>
        <w:numPr>
          <w:ilvl w:val="0"/>
          <w:numId w:val="22"/>
        </w:numPr>
        <w:ind w:left="1494"/>
        <w:contextualSpacing/>
      </w:pPr>
      <w:r w:rsidRPr="0060729E">
        <w:t>Brésil</w:t>
      </w:r>
    </w:p>
    <w:p w14:paraId="33564FE6" w14:textId="77777777" w:rsidR="00C5365E" w:rsidRPr="0060729E" w:rsidRDefault="00C5365E" w:rsidP="00C5365E">
      <w:pPr>
        <w:numPr>
          <w:ilvl w:val="0"/>
          <w:numId w:val="22"/>
        </w:numPr>
        <w:ind w:left="1494"/>
        <w:contextualSpacing/>
      </w:pPr>
      <w:r w:rsidRPr="0060729E">
        <w:t>Canada</w:t>
      </w:r>
    </w:p>
    <w:p w14:paraId="114403A6" w14:textId="77777777" w:rsidR="00C5365E" w:rsidRPr="0060729E" w:rsidRDefault="00C5365E" w:rsidP="00C5365E">
      <w:pPr>
        <w:numPr>
          <w:ilvl w:val="0"/>
          <w:numId w:val="22"/>
        </w:numPr>
        <w:ind w:left="1494"/>
        <w:contextualSpacing/>
      </w:pPr>
      <w:r w:rsidRPr="0060729E">
        <w:t>Chili</w:t>
      </w:r>
    </w:p>
    <w:p w14:paraId="794CA9A7" w14:textId="77777777" w:rsidR="00C5365E" w:rsidRPr="0060729E" w:rsidRDefault="00C5365E" w:rsidP="00C5365E">
      <w:pPr>
        <w:numPr>
          <w:ilvl w:val="0"/>
          <w:numId w:val="22"/>
        </w:numPr>
        <w:ind w:left="1494"/>
        <w:contextualSpacing/>
      </w:pPr>
      <w:r w:rsidRPr="0060729E">
        <w:t>Colombie</w:t>
      </w:r>
    </w:p>
    <w:p w14:paraId="0D156E45" w14:textId="77777777" w:rsidR="00C5365E" w:rsidRPr="0060729E" w:rsidRDefault="00C5365E" w:rsidP="00C5365E">
      <w:pPr>
        <w:numPr>
          <w:ilvl w:val="0"/>
          <w:numId w:val="22"/>
        </w:numPr>
        <w:ind w:left="1494"/>
        <w:contextualSpacing/>
      </w:pPr>
      <w:r w:rsidRPr="0060729E">
        <w:t>Équateur</w:t>
      </w:r>
    </w:p>
    <w:p w14:paraId="0A3417A0" w14:textId="7526EE0D" w:rsidR="00C5365E" w:rsidRPr="0060729E" w:rsidRDefault="00C5365E" w:rsidP="00C5365E">
      <w:pPr>
        <w:numPr>
          <w:ilvl w:val="0"/>
          <w:numId w:val="22"/>
        </w:numPr>
        <w:ind w:left="1494"/>
        <w:contextualSpacing/>
      </w:pPr>
      <w:r w:rsidRPr="0060729E">
        <w:rPr>
          <w:snapToGrid w:val="0"/>
        </w:rPr>
        <w:t>Union européenne (Commission européenne, Office communautaire des variétés végétales (OCVV)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Union européenne, Allemagne, Estonie, France, Pays</w:t>
      </w:r>
      <w:r w:rsidR="00F53986" w:rsidRPr="0060729E">
        <w:rPr>
          <w:snapToGrid w:val="0"/>
        </w:rPr>
        <w:noBreakHyphen/>
      </w:r>
      <w:r w:rsidRPr="0060729E">
        <w:rPr>
          <w:snapToGrid w:val="0"/>
        </w:rPr>
        <w:t>Bas et Royaume</w:t>
      </w:r>
      <w:r w:rsidR="00F53986" w:rsidRPr="0060729E">
        <w:rPr>
          <w:snapToGrid w:val="0"/>
        </w:rPr>
        <w:noBreakHyphen/>
      </w:r>
      <w:r w:rsidRPr="0060729E">
        <w:rPr>
          <w:snapToGrid w:val="0"/>
        </w:rPr>
        <w:t>Uni)</w:t>
      </w:r>
    </w:p>
    <w:p w14:paraId="0B7AFE57" w14:textId="77777777" w:rsidR="00C5365E" w:rsidRPr="0060729E" w:rsidRDefault="00C5365E" w:rsidP="00C5365E">
      <w:pPr>
        <w:numPr>
          <w:ilvl w:val="0"/>
          <w:numId w:val="22"/>
        </w:numPr>
        <w:ind w:left="1494"/>
        <w:contextualSpacing/>
      </w:pPr>
      <w:r w:rsidRPr="0060729E">
        <w:t>Japon</w:t>
      </w:r>
    </w:p>
    <w:p w14:paraId="087BFF57" w14:textId="77777777" w:rsidR="00C5365E" w:rsidRPr="0060729E" w:rsidRDefault="00C5365E" w:rsidP="00C5365E">
      <w:pPr>
        <w:numPr>
          <w:ilvl w:val="0"/>
          <w:numId w:val="22"/>
        </w:numPr>
        <w:ind w:left="1494"/>
        <w:contextualSpacing/>
      </w:pPr>
      <w:r w:rsidRPr="0060729E">
        <w:t>Norvège</w:t>
      </w:r>
    </w:p>
    <w:p w14:paraId="17FF54C5" w14:textId="71305085" w:rsidR="00C5365E" w:rsidRPr="0060729E" w:rsidRDefault="00C5365E" w:rsidP="00C5365E">
      <w:pPr>
        <w:numPr>
          <w:ilvl w:val="0"/>
          <w:numId w:val="22"/>
        </w:numPr>
        <w:ind w:left="1494"/>
        <w:contextualSpacing/>
      </w:pPr>
      <w:r w:rsidRPr="0060729E">
        <w:t>États</w:t>
      </w:r>
      <w:r w:rsidR="00F53986" w:rsidRPr="0060729E">
        <w:noBreakHyphen/>
      </w:r>
      <w:r w:rsidRPr="0060729E">
        <w:t>Unis d</w:t>
      </w:r>
      <w:r w:rsidR="001D6EDD" w:rsidRPr="0060729E">
        <w:t>’</w:t>
      </w:r>
      <w:r w:rsidRPr="0060729E">
        <w:t>Amérique</w:t>
      </w:r>
    </w:p>
    <w:p w14:paraId="3963CAD4" w14:textId="77777777" w:rsidR="00C5365E" w:rsidRPr="0060729E" w:rsidRDefault="00C5365E" w:rsidP="00C5365E">
      <w:pPr>
        <w:rPr>
          <w:snapToGrid w:val="0"/>
        </w:rPr>
      </w:pPr>
    </w:p>
    <w:p w14:paraId="446908DF" w14:textId="35CB1E64" w:rsidR="00C5365E" w:rsidRPr="0060729E" w:rsidRDefault="00C5365E" w:rsidP="00C5365E">
      <w:pPr>
        <w:numPr>
          <w:ilvl w:val="0"/>
          <w:numId w:val="20"/>
        </w:numPr>
        <w:ind w:left="851" w:hanging="425"/>
        <w:contextualSpacing/>
        <w:rPr>
          <w:snapToGrid w:val="0"/>
        </w:rPr>
      </w:pPr>
      <w:r w:rsidRPr="0060729E">
        <w:rPr>
          <w:snapToGrid w:val="0"/>
        </w:rPr>
        <w:t>les autres membres de l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 xml:space="preserve">Union seraient libres de participer à toute réunion du Groupe de travail </w:t>
      </w:r>
      <w:r w:rsidR="00545A4E">
        <w:rPr>
          <w:snapToGrid w:val="0"/>
        </w:rPr>
        <w:t>WG-ISC</w:t>
      </w:r>
      <w:r w:rsidRPr="0060729E">
        <w:rPr>
          <w:snapToGrid w:val="0"/>
        </w:rPr>
        <w:t xml:space="preserve"> s</w:t>
      </w:r>
      <w:r w:rsidR="001D6EDD" w:rsidRPr="0060729E">
        <w:rPr>
          <w:snapToGrid w:val="0"/>
        </w:rPr>
        <w:t>’</w:t>
      </w:r>
      <w:r w:rsidRPr="0060729E">
        <w:rPr>
          <w:snapToGrid w:val="0"/>
        </w:rPr>
        <w:t>ils le souhaitent;</w:t>
      </w:r>
    </w:p>
    <w:p w14:paraId="0C863565" w14:textId="77777777" w:rsidR="00C5365E" w:rsidRPr="0060729E" w:rsidRDefault="00C5365E" w:rsidP="00C5365E">
      <w:pPr>
        <w:rPr>
          <w:snapToGrid w:val="0"/>
        </w:rPr>
      </w:pPr>
    </w:p>
    <w:p w14:paraId="13BB2A21" w14:textId="3BB8ABBA" w:rsidR="00C5365E" w:rsidRPr="0060729E" w:rsidRDefault="00C5365E" w:rsidP="00C5365E">
      <w:pPr>
        <w:numPr>
          <w:ilvl w:val="0"/>
          <w:numId w:val="20"/>
        </w:numPr>
        <w:ind w:left="851" w:hanging="425"/>
        <w:contextualSpacing/>
        <w:rPr>
          <w:snapToGrid w:val="0"/>
        </w:rPr>
      </w:pPr>
      <w:r w:rsidRPr="0060729E">
        <w:rPr>
          <w:snapToGrid w:val="0"/>
        </w:rPr>
        <w:t xml:space="preserve">le </w:t>
      </w:r>
      <w:r w:rsidRPr="0060729E">
        <w:t xml:space="preserve">Groupe de travail </w:t>
      </w:r>
      <w:r w:rsidR="00545A4E">
        <w:t>WG-ISC</w:t>
      </w:r>
      <w:r w:rsidRPr="0060729E">
        <w:t xml:space="preserve"> serait réservé aux membres de l</w:t>
      </w:r>
      <w:r w:rsidR="001D6EDD" w:rsidRPr="0060729E">
        <w:t>’</w:t>
      </w:r>
      <w:r w:rsidRPr="0060729E">
        <w:t xml:space="preserve">Union et le Groupe de travail </w:t>
      </w:r>
      <w:r w:rsidR="00545A4E">
        <w:t>WG-ISC</w:t>
      </w:r>
      <w:r w:rsidRPr="0060729E">
        <w:t xml:space="preserve"> devrait revenir au Comité consultatif si le Groupe de travail </w:t>
      </w:r>
      <w:r w:rsidR="00545A4E">
        <w:t>WG-ISC</w:t>
      </w:r>
      <w:r w:rsidRPr="0060729E">
        <w:t xml:space="preserve"> recommande d</w:t>
      </w:r>
      <w:r w:rsidR="001D6EDD" w:rsidRPr="0060729E">
        <w:t>’</w:t>
      </w:r>
      <w:r w:rsidRPr="0060729E">
        <w:t>inviter des observateurs et des experts à l</w:t>
      </w:r>
      <w:r w:rsidR="001D6EDD" w:rsidRPr="0060729E">
        <w:t>’</w:t>
      </w:r>
      <w:r w:rsidRPr="0060729E">
        <w:t>une de ses réunions;</w:t>
      </w:r>
    </w:p>
    <w:p w14:paraId="0E4BDD94" w14:textId="77777777" w:rsidR="00C5365E" w:rsidRPr="0060729E" w:rsidRDefault="00C5365E" w:rsidP="00C5365E">
      <w:pPr>
        <w:ind w:left="851"/>
        <w:contextualSpacing/>
        <w:rPr>
          <w:snapToGrid w:val="0"/>
        </w:rPr>
      </w:pPr>
    </w:p>
    <w:p w14:paraId="0F8022FA" w14:textId="77777777" w:rsidR="00C5365E" w:rsidRPr="0060729E" w:rsidRDefault="00C5365E" w:rsidP="00C5365E">
      <w:pPr>
        <w:numPr>
          <w:ilvl w:val="0"/>
          <w:numId w:val="20"/>
        </w:numPr>
        <w:ind w:left="851" w:hanging="425"/>
        <w:contextualSpacing/>
        <w:rPr>
          <w:snapToGrid w:val="0"/>
        </w:rPr>
      </w:pPr>
      <w:r w:rsidRPr="0060729E">
        <w:rPr>
          <w:snapToGrid w:val="0"/>
        </w:rPr>
        <w:t>les réunions seraient présidées par le Secrétaire général adjoint.</w:t>
      </w:r>
    </w:p>
    <w:p w14:paraId="41CA8ABD" w14:textId="77777777" w:rsidR="00C5365E" w:rsidRPr="0060729E" w:rsidRDefault="00C5365E" w:rsidP="00C5365E">
      <w:pPr>
        <w:rPr>
          <w:snapToGrid w:val="0"/>
        </w:rPr>
      </w:pPr>
    </w:p>
    <w:p w14:paraId="12395E2A" w14:textId="77777777" w:rsidR="00C5365E" w:rsidRPr="002202D1" w:rsidRDefault="00C5365E" w:rsidP="00C5365E">
      <w:pPr>
        <w:keepNext/>
      </w:pPr>
      <w:r w:rsidRPr="002202D1">
        <w:t>Modus operandi</w:t>
      </w:r>
    </w:p>
    <w:p w14:paraId="3DDE1B25" w14:textId="77777777" w:rsidR="00C5365E" w:rsidRPr="0060729E" w:rsidRDefault="00C5365E" w:rsidP="00C5365E">
      <w:pPr>
        <w:keepNext/>
      </w:pPr>
    </w:p>
    <w:p w14:paraId="0CC42287" w14:textId="77777777" w:rsidR="00C5365E" w:rsidRPr="0060729E" w:rsidRDefault="00C5365E" w:rsidP="00C5365E">
      <w:pPr>
        <w:numPr>
          <w:ilvl w:val="0"/>
          <w:numId w:val="21"/>
        </w:numPr>
        <w:spacing w:after="60"/>
        <w:ind w:left="851" w:hanging="425"/>
      </w:pPr>
      <w:r w:rsidRPr="0060729E">
        <w:t>se réunir, dans la mesure du possible, en marge des sessions du Comité consultatif selon une périodicité permettant de répondre aux demandes dudit comité;</w:t>
      </w:r>
    </w:p>
    <w:p w14:paraId="5B6D3E7A" w14:textId="044A6BB5" w:rsidR="00C5365E" w:rsidRPr="0060729E" w:rsidRDefault="00C5365E" w:rsidP="00C5365E">
      <w:pPr>
        <w:numPr>
          <w:ilvl w:val="0"/>
          <w:numId w:val="21"/>
        </w:numPr>
        <w:spacing w:after="60"/>
        <w:ind w:left="851" w:hanging="425"/>
      </w:pPr>
      <w:r w:rsidRPr="0060729E">
        <w:t>élaborer dans un premier temps un document présentant les questions à examiner suivant la structure suivante</w:t>
      </w:r>
      <w:r w:rsidR="001D6EDD" w:rsidRPr="0060729E">
        <w:t> :</w:t>
      </w:r>
    </w:p>
    <w:p w14:paraId="0902B952" w14:textId="090DC76D" w:rsidR="00C5365E" w:rsidRPr="0060729E" w:rsidRDefault="00C5365E" w:rsidP="00C5365E">
      <w:pPr>
        <w:numPr>
          <w:ilvl w:val="1"/>
          <w:numId w:val="21"/>
        </w:numPr>
        <w:spacing w:after="60"/>
        <w:ind w:left="1701" w:hanging="567"/>
      </w:pPr>
      <w:r w:rsidRPr="0060729E">
        <w:t>Système international d</w:t>
      </w:r>
      <w:r w:rsidR="001D6EDD" w:rsidRPr="0060729E">
        <w:t>’</w:t>
      </w:r>
      <w:r w:rsidRPr="0060729E">
        <w:t>administration</w:t>
      </w:r>
    </w:p>
    <w:p w14:paraId="488C40F3" w14:textId="77777777" w:rsidR="00C5365E" w:rsidRPr="0060729E" w:rsidRDefault="00C5365E" w:rsidP="00C5365E">
      <w:pPr>
        <w:numPr>
          <w:ilvl w:val="1"/>
          <w:numId w:val="21"/>
        </w:numPr>
        <w:spacing w:after="60"/>
        <w:ind w:left="1701" w:hanging="567"/>
      </w:pPr>
      <w:r w:rsidRPr="0060729E">
        <w:t>Observation préliminaire concernant la nouveauté et la dénomination</w:t>
      </w:r>
    </w:p>
    <w:p w14:paraId="47A49307" w14:textId="77777777" w:rsidR="00C5365E" w:rsidRPr="0060729E" w:rsidRDefault="00C5365E" w:rsidP="00C5365E">
      <w:pPr>
        <w:numPr>
          <w:ilvl w:val="1"/>
          <w:numId w:val="21"/>
        </w:numPr>
        <w:spacing w:after="60"/>
        <w:ind w:left="1701" w:hanging="567"/>
      </w:pPr>
      <w:r w:rsidRPr="0060729E">
        <w:t>Examen DHS</w:t>
      </w:r>
    </w:p>
    <w:p w14:paraId="0FA94AD6" w14:textId="57DFD5DC" w:rsidR="00C5365E" w:rsidRPr="0060729E" w:rsidRDefault="00C5365E" w:rsidP="00C5365E">
      <w:pPr>
        <w:numPr>
          <w:ilvl w:val="1"/>
          <w:numId w:val="21"/>
        </w:numPr>
        <w:spacing w:after="60"/>
        <w:ind w:left="1701" w:hanging="567"/>
      </w:pPr>
      <w:r w:rsidRPr="0060729E">
        <w:t>Examen par les membres de l</w:t>
      </w:r>
      <w:r w:rsidR="001D6EDD" w:rsidRPr="0060729E">
        <w:t>’</w:t>
      </w:r>
      <w:r w:rsidRPr="0060729E">
        <w:t xml:space="preserve">Union ayant recours </w:t>
      </w:r>
      <w:r w:rsidR="00967920">
        <w:t>à l’ISC</w:t>
      </w:r>
    </w:p>
    <w:p w14:paraId="6CA8BEAB" w14:textId="5CDF1126" w:rsidR="00C5365E" w:rsidRPr="0060729E" w:rsidRDefault="00C5365E" w:rsidP="00C5365E">
      <w:pPr>
        <w:numPr>
          <w:ilvl w:val="0"/>
          <w:numId w:val="21"/>
        </w:numPr>
        <w:spacing w:after="60"/>
      </w:pPr>
      <w:r w:rsidRPr="0060729E">
        <w:t>Établir un document contenant des propositions, des analyses et des informations conformément à l</w:t>
      </w:r>
      <w:r w:rsidR="001D6EDD" w:rsidRPr="0060729E">
        <w:t>’</w:t>
      </w:r>
      <w:r w:rsidRPr="0060729E">
        <w:t>objectif susmentionné, pour examen par le Comité consultatif, selon un calendrier déterminé par le Comité consultatif;</w:t>
      </w:r>
    </w:p>
    <w:p w14:paraId="20A7988A" w14:textId="506AAA8B" w:rsidR="00C5365E" w:rsidRPr="0060729E" w:rsidRDefault="00C5365E" w:rsidP="00C5365E">
      <w:pPr>
        <w:numPr>
          <w:ilvl w:val="0"/>
          <w:numId w:val="21"/>
        </w:numPr>
        <w:spacing w:after="60"/>
      </w:pPr>
      <w:r w:rsidRPr="0060729E">
        <w:t xml:space="preserve">faire rapport sur les progrès accomplis au Comité consultatif après chaque réunion du Groupe de travail </w:t>
      </w:r>
      <w:r w:rsidR="00545A4E">
        <w:t>WG-ISC</w:t>
      </w:r>
      <w:r w:rsidRPr="0060729E">
        <w:t>;</w:t>
      </w:r>
    </w:p>
    <w:p w14:paraId="5893A7B2" w14:textId="32458411" w:rsidR="00C5365E" w:rsidRPr="0060729E" w:rsidRDefault="00C5365E" w:rsidP="00C01DC0">
      <w:pPr>
        <w:numPr>
          <w:ilvl w:val="0"/>
          <w:numId w:val="21"/>
        </w:numPr>
        <w:spacing w:after="60"/>
      </w:pPr>
      <w:r w:rsidRPr="0060729E">
        <w:t xml:space="preserve">mettre à la disposition du Comité consultatif les documents du Groupe de travail </w:t>
      </w:r>
      <w:r w:rsidR="00545A4E">
        <w:t>WG-ISC</w:t>
      </w:r>
      <w:r w:rsidRPr="0060729E">
        <w:t>;</w:t>
      </w:r>
    </w:p>
    <w:p w14:paraId="33952F08" w14:textId="77777777" w:rsidR="00C5365E" w:rsidRPr="0060729E" w:rsidRDefault="00C5365E" w:rsidP="00F2036C">
      <w:pPr>
        <w:jc w:val="right"/>
        <w:rPr>
          <w:lang w:eastAsia="ja-JP"/>
        </w:rPr>
      </w:pPr>
    </w:p>
    <w:p w14:paraId="7D3A17CD" w14:textId="77777777" w:rsidR="00C5365E" w:rsidRPr="0060729E" w:rsidRDefault="00C5365E" w:rsidP="00F2036C">
      <w:pPr>
        <w:jc w:val="right"/>
        <w:rPr>
          <w:lang w:eastAsia="ja-JP"/>
        </w:rPr>
      </w:pPr>
    </w:p>
    <w:p w14:paraId="38B001C5" w14:textId="77777777" w:rsidR="006853D1" w:rsidRPr="0060729E" w:rsidRDefault="006853D1" w:rsidP="00F2036C">
      <w:pPr>
        <w:jc w:val="right"/>
        <w:rPr>
          <w:lang w:eastAsia="ja-JP"/>
        </w:rPr>
      </w:pPr>
    </w:p>
    <w:p w14:paraId="5340A46D" w14:textId="7F7F7235" w:rsidR="00B916B6" w:rsidRPr="0060729E" w:rsidRDefault="00B916B6" w:rsidP="00F2036C">
      <w:pPr>
        <w:jc w:val="right"/>
      </w:pPr>
      <w:r w:rsidRPr="0060729E">
        <w:t>[</w:t>
      </w:r>
      <w:r w:rsidR="00C5365E" w:rsidRPr="0060729E">
        <w:t>Fin de l</w:t>
      </w:r>
      <w:r w:rsidR="001D6EDD" w:rsidRPr="0060729E">
        <w:t>’annexe I</w:t>
      </w:r>
      <w:r w:rsidRPr="0060729E">
        <w:t>I</w:t>
      </w:r>
      <w:r w:rsidR="00F2036C" w:rsidRPr="0060729E">
        <w:t>I</w:t>
      </w:r>
      <w:r w:rsidRPr="0060729E">
        <w:t xml:space="preserve"> </w:t>
      </w:r>
      <w:r w:rsidR="00C5365E" w:rsidRPr="0060729E">
        <w:t xml:space="preserve">et du </w:t>
      </w:r>
      <w:r w:rsidRPr="0060729E">
        <w:t>document]</w:t>
      </w:r>
    </w:p>
    <w:sectPr w:rsidR="00B916B6" w:rsidRPr="0060729E" w:rsidSect="00A40E05">
      <w:headerReference w:type="defaul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F0EAE" w14:textId="77777777" w:rsidR="009565BD" w:rsidRDefault="009565BD" w:rsidP="006655D3">
      <w:r>
        <w:separator/>
      </w:r>
    </w:p>
    <w:p w14:paraId="7392FC4E" w14:textId="77777777" w:rsidR="009565BD" w:rsidRDefault="009565BD" w:rsidP="006655D3"/>
    <w:p w14:paraId="68E62708" w14:textId="77777777" w:rsidR="009565BD" w:rsidRDefault="009565BD" w:rsidP="006655D3"/>
  </w:endnote>
  <w:endnote w:type="continuationSeparator" w:id="0">
    <w:p w14:paraId="6951409A" w14:textId="77777777" w:rsidR="009565BD" w:rsidRDefault="009565BD" w:rsidP="006655D3">
      <w:r>
        <w:separator/>
      </w:r>
    </w:p>
    <w:p w14:paraId="6D285019" w14:textId="77777777" w:rsidR="009565BD" w:rsidRPr="00294751" w:rsidRDefault="009565B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E95CE76" w14:textId="77777777" w:rsidR="009565BD" w:rsidRPr="00294751" w:rsidRDefault="009565BD" w:rsidP="006655D3"/>
    <w:p w14:paraId="141E569E" w14:textId="77777777" w:rsidR="009565BD" w:rsidRPr="00294751" w:rsidRDefault="009565BD" w:rsidP="006655D3"/>
  </w:endnote>
  <w:endnote w:type="continuationNotice" w:id="1">
    <w:p w14:paraId="39EEDDCC" w14:textId="77777777" w:rsidR="009565BD" w:rsidRPr="00294751" w:rsidRDefault="009565BD" w:rsidP="006655D3">
      <w:r w:rsidRPr="00294751">
        <w:t>[Suite de la note page suivante]</w:t>
      </w:r>
    </w:p>
    <w:p w14:paraId="1BBFA750" w14:textId="77777777" w:rsidR="009565BD" w:rsidRPr="00294751" w:rsidRDefault="009565BD" w:rsidP="006655D3"/>
    <w:p w14:paraId="2282777D" w14:textId="77777777" w:rsidR="009565BD" w:rsidRPr="00294751" w:rsidRDefault="009565B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38094" w14:textId="77777777" w:rsidR="009565BD" w:rsidRDefault="009565BD" w:rsidP="006655D3">
      <w:r>
        <w:separator/>
      </w:r>
    </w:p>
  </w:footnote>
  <w:footnote w:type="continuationSeparator" w:id="0">
    <w:p w14:paraId="5E7E479B" w14:textId="77777777" w:rsidR="009565BD" w:rsidRDefault="009565BD" w:rsidP="006655D3">
      <w:r>
        <w:separator/>
      </w:r>
    </w:p>
  </w:footnote>
  <w:footnote w:type="continuationNotice" w:id="1">
    <w:p w14:paraId="38E42D63" w14:textId="77777777" w:rsidR="009565BD" w:rsidRPr="00AB530F" w:rsidRDefault="009565B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4C3EA" w14:textId="77777777" w:rsidR="009565BD" w:rsidRDefault="009565BD" w:rsidP="00EB048E">
    <w:pPr>
      <w:pStyle w:val="Header"/>
    </w:pPr>
    <w:r>
      <w:t>UPOV/WG-ISC</w:t>
    </w:r>
    <w:r w:rsidRPr="00AC2883">
      <w:t>/</w:t>
    </w:r>
    <w:r>
      <w:t>2</w:t>
    </w:r>
    <w:r w:rsidRPr="00AC2883">
      <w:t>/</w:t>
    </w:r>
    <w:r>
      <w:t>2</w:t>
    </w:r>
  </w:p>
  <w:p w14:paraId="17ECD255" w14:textId="12B0D38A" w:rsidR="009565BD" w:rsidRPr="00C5280D" w:rsidRDefault="009565B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13A1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34DD70D" w14:textId="77777777" w:rsidR="009565BD" w:rsidRPr="00C5280D" w:rsidRDefault="009565BD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E7987" w14:textId="77777777" w:rsidR="009565BD" w:rsidRPr="00F2036C" w:rsidRDefault="009565BD" w:rsidP="00EB048E">
    <w:pPr>
      <w:pStyle w:val="Header"/>
      <w:rPr>
        <w:lang w:val="en-US"/>
      </w:rPr>
    </w:pPr>
    <w:r w:rsidRPr="00F2036C">
      <w:rPr>
        <w:lang w:val="en-US"/>
      </w:rPr>
      <w:t>UPOV/WG-ISC/2/2</w:t>
    </w:r>
  </w:p>
  <w:p w14:paraId="1C78D4E9" w14:textId="2517AC36" w:rsidR="009565BD" w:rsidRPr="00C5280D" w:rsidRDefault="009565BD" w:rsidP="00EB048E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13A10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14:paraId="628CB034" w14:textId="77777777" w:rsidR="009565BD" w:rsidRPr="00C5280D" w:rsidRDefault="009565BD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7DA9" w14:textId="77777777" w:rsidR="009565BD" w:rsidRDefault="009565BD" w:rsidP="00EB048E">
    <w:pPr>
      <w:pStyle w:val="Header"/>
    </w:pPr>
    <w:r>
      <w:t>UPOV/WG-ISC</w:t>
    </w:r>
    <w:r w:rsidRPr="00AC2883">
      <w:t>/</w:t>
    </w:r>
    <w:r>
      <w:t>2</w:t>
    </w:r>
    <w:r w:rsidRPr="00AC2883">
      <w:t>/</w:t>
    </w:r>
    <w:r>
      <w:t>2</w:t>
    </w:r>
  </w:p>
  <w:p w14:paraId="212C8454" w14:textId="2E9756E9" w:rsidR="009565BD" w:rsidRPr="00C5280D" w:rsidRDefault="009565BD" w:rsidP="00EB048E">
    <w:pPr>
      <w:pStyle w:val="Header"/>
      <w:rPr>
        <w:lang w:val="en-US"/>
      </w:rPr>
    </w:pPr>
    <w:r>
      <w:rPr>
        <w:lang w:val="en-US"/>
      </w:rPr>
      <w:t xml:space="preserve">Annexe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13A10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14:paraId="43DD4C61" w14:textId="77777777" w:rsidR="009565BD" w:rsidRPr="00C5280D" w:rsidRDefault="009565BD" w:rsidP="006655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02A4F" w14:textId="77777777" w:rsidR="009565BD" w:rsidRDefault="009565BD" w:rsidP="00EB048E">
    <w:pPr>
      <w:pStyle w:val="Header"/>
    </w:pPr>
    <w:r>
      <w:t>UPOV/WG-ISC</w:t>
    </w:r>
    <w:r w:rsidRPr="00AC2883">
      <w:t>/</w:t>
    </w:r>
    <w:r>
      <w:t>2</w:t>
    </w:r>
    <w:r w:rsidRPr="00AC2883">
      <w:t>/</w:t>
    </w:r>
    <w:r>
      <w:t>2</w:t>
    </w:r>
  </w:p>
  <w:p w14:paraId="7B84087D" w14:textId="1CA1FB71" w:rsidR="009565BD" w:rsidRPr="00C5280D" w:rsidRDefault="009565BD" w:rsidP="00EB048E">
    <w:pPr>
      <w:pStyle w:val="Header"/>
      <w:rPr>
        <w:lang w:val="en-US"/>
      </w:rPr>
    </w:pPr>
    <w:r>
      <w:rPr>
        <w:lang w:val="en-US"/>
      </w:rPr>
      <w:t xml:space="preserve">Annexe III,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13A1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346A3EA" w14:textId="77777777" w:rsidR="009565BD" w:rsidRPr="00C5280D" w:rsidRDefault="009565BD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9A8"/>
    <w:multiLevelType w:val="hybridMultilevel"/>
    <w:tmpl w:val="E256AC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D12183C"/>
    <w:multiLevelType w:val="hybridMultilevel"/>
    <w:tmpl w:val="D95ADBC8"/>
    <w:lvl w:ilvl="0" w:tplc="FE88457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864FA"/>
    <w:multiLevelType w:val="hybridMultilevel"/>
    <w:tmpl w:val="8DD24964"/>
    <w:lvl w:ilvl="0" w:tplc="0C3814F6">
      <w:start w:val="1"/>
      <w:numFmt w:val="lowerRoman"/>
      <w:lvlText w:val="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3D3151"/>
    <w:multiLevelType w:val="hybridMultilevel"/>
    <w:tmpl w:val="589CE2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4E48C7"/>
    <w:multiLevelType w:val="hybridMultilevel"/>
    <w:tmpl w:val="559CD9D4"/>
    <w:lvl w:ilvl="0" w:tplc="914EBF96">
      <w:start w:val="1"/>
      <w:numFmt w:val="lowerRoman"/>
      <w:lvlText w:val="%1)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00B78E2"/>
    <w:multiLevelType w:val="hybridMultilevel"/>
    <w:tmpl w:val="92EC1534"/>
    <w:lvl w:ilvl="0" w:tplc="F5FED78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65AF2"/>
    <w:multiLevelType w:val="hybridMultilevel"/>
    <w:tmpl w:val="1B0AD000"/>
    <w:lvl w:ilvl="0" w:tplc="8F0AED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52D8D"/>
    <w:multiLevelType w:val="hybridMultilevel"/>
    <w:tmpl w:val="92EC1534"/>
    <w:lvl w:ilvl="0" w:tplc="F5FED782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536BF"/>
    <w:multiLevelType w:val="hybridMultilevel"/>
    <w:tmpl w:val="104C77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7C5972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56C50"/>
    <w:multiLevelType w:val="hybridMultilevel"/>
    <w:tmpl w:val="CB2E37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034AD"/>
    <w:multiLevelType w:val="hybridMultilevel"/>
    <w:tmpl w:val="1B0AD000"/>
    <w:lvl w:ilvl="0" w:tplc="8F0AED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94019"/>
    <w:multiLevelType w:val="hybridMultilevel"/>
    <w:tmpl w:val="D96CA6D0"/>
    <w:lvl w:ilvl="0" w:tplc="6E8EB4C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1373E62"/>
    <w:multiLevelType w:val="hybridMultilevel"/>
    <w:tmpl w:val="1B0AD000"/>
    <w:lvl w:ilvl="0" w:tplc="8F0AED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B7B38"/>
    <w:multiLevelType w:val="hybridMultilevel"/>
    <w:tmpl w:val="C40C940C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BE870FA"/>
    <w:multiLevelType w:val="hybridMultilevel"/>
    <w:tmpl w:val="F018478A"/>
    <w:lvl w:ilvl="0" w:tplc="3F7CE816">
      <w:start w:val="1"/>
      <w:numFmt w:val="lowerRoman"/>
      <w:lvlText w:val="%1)"/>
      <w:lvlJc w:val="right"/>
      <w:pPr>
        <w:ind w:left="1287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F6CC5"/>
    <w:multiLevelType w:val="hybridMultilevel"/>
    <w:tmpl w:val="1B0AD000"/>
    <w:lvl w:ilvl="0" w:tplc="8F0AED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9229E"/>
    <w:multiLevelType w:val="hybridMultilevel"/>
    <w:tmpl w:val="A0289886"/>
    <w:lvl w:ilvl="0" w:tplc="8F0AEDD4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137C90"/>
    <w:multiLevelType w:val="hybridMultilevel"/>
    <w:tmpl w:val="E88C0B02"/>
    <w:lvl w:ilvl="0" w:tplc="35CE97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A0306D"/>
    <w:multiLevelType w:val="hybridMultilevel"/>
    <w:tmpl w:val="D95ADBC8"/>
    <w:lvl w:ilvl="0" w:tplc="FE88457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E0DEF"/>
    <w:multiLevelType w:val="hybridMultilevel"/>
    <w:tmpl w:val="73A0600A"/>
    <w:lvl w:ilvl="0" w:tplc="B0D20F96">
      <w:start w:val="1"/>
      <w:numFmt w:val="lowerRoman"/>
      <w:lvlText w:val="%1)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4D481A2D"/>
    <w:multiLevelType w:val="hybridMultilevel"/>
    <w:tmpl w:val="A0289886"/>
    <w:lvl w:ilvl="0" w:tplc="8F0AEDD4">
      <w:start w:val="1"/>
      <w:numFmt w:val="lowerRoman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361D3"/>
    <w:multiLevelType w:val="hybridMultilevel"/>
    <w:tmpl w:val="4A262B74"/>
    <w:lvl w:ilvl="0" w:tplc="3F7CE816">
      <w:start w:val="1"/>
      <w:numFmt w:val="lowerRoman"/>
      <w:lvlText w:val="%1)"/>
      <w:lvlJc w:val="right"/>
      <w:pPr>
        <w:ind w:left="1287" w:hanging="360"/>
      </w:pPr>
      <w:rPr>
        <w:rFonts w:cs="Times New Roman" w:hint="default"/>
        <w:color w:val="auto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44D6E"/>
    <w:multiLevelType w:val="hybridMultilevel"/>
    <w:tmpl w:val="10AA8FFA"/>
    <w:lvl w:ilvl="0" w:tplc="ACB89308">
      <w:start w:val="1"/>
      <w:numFmt w:val="lowerRoman"/>
      <w:lvlText w:val="%1."/>
      <w:lvlJc w:val="left"/>
      <w:pPr>
        <w:ind w:left="10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2" w:hanging="360"/>
      </w:pPr>
    </w:lvl>
    <w:lvl w:ilvl="2" w:tplc="0409001B" w:tentative="1">
      <w:start w:val="1"/>
      <w:numFmt w:val="lowerRoman"/>
      <w:lvlText w:val="%3."/>
      <w:lvlJc w:val="right"/>
      <w:pPr>
        <w:ind w:left="2442" w:hanging="180"/>
      </w:pPr>
    </w:lvl>
    <w:lvl w:ilvl="3" w:tplc="0409000F" w:tentative="1">
      <w:start w:val="1"/>
      <w:numFmt w:val="decimal"/>
      <w:lvlText w:val="%4."/>
      <w:lvlJc w:val="left"/>
      <w:pPr>
        <w:ind w:left="3162" w:hanging="360"/>
      </w:pPr>
    </w:lvl>
    <w:lvl w:ilvl="4" w:tplc="04090019" w:tentative="1">
      <w:start w:val="1"/>
      <w:numFmt w:val="lowerLetter"/>
      <w:lvlText w:val="%5."/>
      <w:lvlJc w:val="left"/>
      <w:pPr>
        <w:ind w:left="3882" w:hanging="360"/>
      </w:pPr>
    </w:lvl>
    <w:lvl w:ilvl="5" w:tplc="0409001B" w:tentative="1">
      <w:start w:val="1"/>
      <w:numFmt w:val="lowerRoman"/>
      <w:lvlText w:val="%6."/>
      <w:lvlJc w:val="right"/>
      <w:pPr>
        <w:ind w:left="4602" w:hanging="180"/>
      </w:pPr>
    </w:lvl>
    <w:lvl w:ilvl="6" w:tplc="0409000F" w:tentative="1">
      <w:start w:val="1"/>
      <w:numFmt w:val="decimal"/>
      <w:lvlText w:val="%7."/>
      <w:lvlJc w:val="left"/>
      <w:pPr>
        <w:ind w:left="5322" w:hanging="360"/>
      </w:pPr>
    </w:lvl>
    <w:lvl w:ilvl="7" w:tplc="04090019" w:tentative="1">
      <w:start w:val="1"/>
      <w:numFmt w:val="lowerLetter"/>
      <w:lvlText w:val="%8."/>
      <w:lvlJc w:val="left"/>
      <w:pPr>
        <w:ind w:left="6042" w:hanging="360"/>
      </w:pPr>
    </w:lvl>
    <w:lvl w:ilvl="8" w:tplc="040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3">
    <w:nsid w:val="500C2BB7"/>
    <w:multiLevelType w:val="hybridMultilevel"/>
    <w:tmpl w:val="53B810BA"/>
    <w:lvl w:ilvl="0" w:tplc="F332898C">
      <w:start w:val="1"/>
      <w:numFmt w:val="lowerRoman"/>
      <w:lvlText w:val="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3F22CB6"/>
    <w:multiLevelType w:val="hybridMultilevel"/>
    <w:tmpl w:val="E8F4664A"/>
    <w:lvl w:ilvl="0" w:tplc="1222229A">
      <w:start w:val="1"/>
      <w:numFmt w:val="lowerRoman"/>
      <w:lvlText w:val="%1)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5D476B3"/>
    <w:multiLevelType w:val="hybridMultilevel"/>
    <w:tmpl w:val="E5F6A462"/>
    <w:lvl w:ilvl="0" w:tplc="F5C429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D343B"/>
    <w:multiLevelType w:val="hybridMultilevel"/>
    <w:tmpl w:val="37702170"/>
    <w:lvl w:ilvl="0" w:tplc="BEDEF92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360F2"/>
    <w:multiLevelType w:val="hybridMultilevel"/>
    <w:tmpl w:val="D0909924"/>
    <w:lvl w:ilvl="0" w:tplc="682CB802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6B91F56"/>
    <w:multiLevelType w:val="hybridMultilevel"/>
    <w:tmpl w:val="1B0AD000"/>
    <w:lvl w:ilvl="0" w:tplc="8F0AED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EE4233"/>
    <w:multiLevelType w:val="hybridMultilevel"/>
    <w:tmpl w:val="0FE63BC2"/>
    <w:lvl w:ilvl="0" w:tplc="432696E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FA5C4B1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8616BF"/>
    <w:multiLevelType w:val="hybridMultilevel"/>
    <w:tmpl w:val="DAAA44F8"/>
    <w:lvl w:ilvl="0" w:tplc="3A8A50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C97258"/>
    <w:multiLevelType w:val="hybridMultilevel"/>
    <w:tmpl w:val="02F02AAA"/>
    <w:lvl w:ilvl="0" w:tplc="2618DC6C">
      <w:start w:val="1"/>
      <w:numFmt w:val="lowerRoman"/>
      <w:pStyle w:val="Heading4"/>
      <w:lvlText w:val="%1)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7FA93F85"/>
    <w:multiLevelType w:val="hybridMultilevel"/>
    <w:tmpl w:val="11B22A06"/>
    <w:lvl w:ilvl="0" w:tplc="2F28985C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147C5972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27"/>
  </w:num>
  <w:num w:numId="4">
    <w:abstractNumId w:val="7"/>
  </w:num>
  <w:num w:numId="5">
    <w:abstractNumId w:val="11"/>
  </w:num>
  <w:num w:numId="6">
    <w:abstractNumId w:val="2"/>
  </w:num>
  <w:num w:numId="7">
    <w:abstractNumId w:val="1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22"/>
  </w:num>
  <w:num w:numId="11">
    <w:abstractNumId w:val="26"/>
  </w:num>
  <w:num w:numId="12">
    <w:abstractNumId w:val="31"/>
  </w:num>
  <w:num w:numId="13">
    <w:abstractNumId w:val="19"/>
  </w:num>
  <w:num w:numId="14">
    <w:abstractNumId w:val="23"/>
  </w:num>
  <w:num w:numId="15">
    <w:abstractNumId w:val="24"/>
  </w:num>
  <w:num w:numId="16">
    <w:abstractNumId w:val="4"/>
  </w:num>
  <w:num w:numId="17">
    <w:abstractNumId w:val="16"/>
  </w:num>
  <w:num w:numId="18">
    <w:abstractNumId w:val="30"/>
  </w:num>
  <w:num w:numId="19">
    <w:abstractNumId w:val="8"/>
  </w:num>
  <w:num w:numId="20">
    <w:abstractNumId w:val="25"/>
  </w:num>
  <w:num w:numId="21">
    <w:abstractNumId w:val="29"/>
  </w:num>
  <w:num w:numId="22">
    <w:abstractNumId w:val="3"/>
  </w:num>
  <w:num w:numId="23">
    <w:abstractNumId w:val="17"/>
  </w:num>
  <w:num w:numId="24">
    <w:abstractNumId w:val="32"/>
  </w:num>
  <w:num w:numId="25">
    <w:abstractNumId w:val="20"/>
  </w:num>
  <w:num w:numId="26">
    <w:abstractNumId w:val="15"/>
  </w:num>
  <w:num w:numId="27">
    <w:abstractNumId w:val="12"/>
  </w:num>
  <w:num w:numId="28">
    <w:abstractNumId w:val="28"/>
  </w:num>
  <w:num w:numId="29">
    <w:abstractNumId w:val="10"/>
  </w:num>
  <w:num w:numId="30">
    <w:abstractNumId w:val="6"/>
  </w:num>
  <w:num w:numId="31">
    <w:abstractNumId w:val="1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|FR_TermBase"/>
    <w:docVar w:name="TermBaseURL" w:val="empty"/>
    <w:docVar w:name="TextBases" w:val="TextBase TMs\WorkspaceFTS\UPOV\UPOV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"/>
    <w:docVar w:name="TextBaseURL" w:val="empty"/>
    <w:docVar w:name="UILng" w:val="en"/>
  </w:docVars>
  <w:rsids>
    <w:rsidRoot w:val="00AA4E0A"/>
    <w:rsid w:val="00005D45"/>
    <w:rsid w:val="00010CF3"/>
    <w:rsid w:val="0001189D"/>
    <w:rsid w:val="00011E27"/>
    <w:rsid w:val="000148BC"/>
    <w:rsid w:val="000178F6"/>
    <w:rsid w:val="00022F87"/>
    <w:rsid w:val="00024AB8"/>
    <w:rsid w:val="00030854"/>
    <w:rsid w:val="00036028"/>
    <w:rsid w:val="00044642"/>
    <w:rsid w:val="000446B9"/>
    <w:rsid w:val="00047E21"/>
    <w:rsid w:val="00050E16"/>
    <w:rsid w:val="00060960"/>
    <w:rsid w:val="000677D7"/>
    <w:rsid w:val="00085505"/>
    <w:rsid w:val="00087C5E"/>
    <w:rsid w:val="000A013C"/>
    <w:rsid w:val="000B5199"/>
    <w:rsid w:val="000C4E25"/>
    <w:rsid w:val="000C7021"/>
    <w:rsid w:val="000C7B86"/>
    <w:rsid w:val="000D2259"/>
    <w:rsid w:val="000D6BBC"/>
    <w:rsid w:val="000D7780"/>
    <w:rsid w:val="000E636A"/>
    <w:rsid w:val="000E6B15"/>
    <w:rsid w:val="000F2F11"/>
    <w:rsid w:val="000F34CD"/>
    <w:rsid w:val="000F41FD"/>
    <w:rsid w:val="000F789B"/>
    <w:rsid w:val="0010368E"/>
    <w:rsid w:val="00105929"/>
    <w:rsid w:val="00107557"/>
    <w:rsid w:val="00110C36"/>
    <w:rsid w:val="00112FB5"/>
    <w:rsid w:val="001131D5"/>
    <w:rsid w:val="001154D5"/>
    <w:rsid w:val="0012121B"/>
    <w:rsid w:val="00141DB8"/>
    <w:rsid w:val="00155EF0"/>
    <w:rsid w:val="00172084"/>
    <w:rsid w:val="0017474A"/>
    <w:rsid w:val="001758C6"/>
    <w:rsid w:val="00176AED"/>
    <w:rsid w:val="001818B5"/>
    <w:rsid w:val="00182B99"/>
    <w:rsid w:val="00187253"/>
    <w:rsid w:val="001B28D9"/>
    <w:rsid w:val="001C1525"/>
    <w:rsid w:val="001C7B38"/>
    <w:rsid w:val="001D6EDD"/>
    <w:rsid w:val="001E128F"/>
    <w:rsid w:val="001E4148"/>
    <w:rsid w:val="0021332C"/>
    <w:rsid w:val="00213982"/>
    <w:rsid w:val="00213B70"/>
    <w:rsid w:val="002202D1"/>
    <w:rsid w:val="00223B79"/>
    <w:rsid w:val="00234672"/>
    <w:rsid w:val="0024416D"/>
    <w:rsid w:val="00271911"/>
    <w:rsid w:val="00275A31"/>
    <w:rsid w:val="002800A0"/>
    <w:rsid w:val="002801B3"/>
    <w:rsid w:val="00281060"/>
    <w:rsid w:val="002837DE"/>
    <w:rsid w:val="00284307"/>
    <w:rsid w:val="002940E8"/>
    <w:rsid w:val="00294751"/>
    <w:rsid w:val="00297E41"/>
    <w:rsid w:val="002A6E50"/>
    <w:rsid w:val="002B276B"/>
    <w:rsid w:val="002B4104"/>
    <w:rsid w:val="002B4298"/>
    <w:rsid w:val="002C256A"/>
    <w:rsid w:val="002D73F4"/>
    <w:rsid w:val="00301909"/>
    <w:rsid w:val="00305A7F"/>
    <w:rsid w:val="003152FE"/>
    <w:rsid w:val="00323536"/>
    <w:rsid w:val="00327436"/>
    <w:rsid w:val="00344BD6"/>
    <w:rsid w:val="00347520"/>
    <w:rsid w:val="0035528D"/>
    <w:rsid w:val="00361821"/>
    <w:rsid w:val="00361E9E"/>
    <w:rsid w:val="003975AE"/>
    <w:rsid w:val="003A4095"/>
    <w:rsid w:val="003A456B"/>
    <w:rsid w:val="003B22DB"/>
    <w:rsid w:val="003B5377"/>
    <w:rsid w:val="003C320E"/>
    <w:rsid w:val="003C5471"/>
    <w:rsid w:val="003C7514"/>
    <w:rsid w:val="003C7623"/>
    <w:rsid w:val="003C7FBE"/>
    <w:rsid w:val="003D227C"/>
    <w:rsid w:val="003D2B4D"/>
    <w:rsid w:val="003D6F8C"/>
    <w:rsid w:val="003F6FE2"/>
    <w:rsid w:val="00411C78"/>
    <w:rsid w:val="00426166"/>
    <w:rsid w:val="00444A88"/>
    <w:rsid w:val="00456116"/>
    <w:rsid w:val="004630EA"/>
    <w:rsid w:val="004672E6"/>
    <w:rsid w:val="00472891"/>
    <w:rsid w:val="00474DA4"/>
    <w:rsid w:val="00476B4D"/>
    <w:rsid w:val="00477AF9"/>
    <w:rsid w:val="004805FA"/>
    <w:rsid w:val="00485BC7"/>
    <w:rsid w:val="004935D2"/>
    <w:rsid w:val="004A11AC"/>
    <w:rsid w:val="004A1701"/>
    <w:rsid w:val="004B1215"/>
    <w:rsid w:val="004B5E58"/>
    <w:rsid w:val="004D047D"/>
    <w:rsid w:val="004D5B53"/>
    <w:rsid w:val="004D66C8"/>
    <w:rsid w:val="004F1E9E"/>
    <w:rsid w:val="004F305A"/>
    <w:rsid w:val="0050566E"/>
    <w:rsid w:val="00507D54"/>
    <w:rsid w:val="00512164"/>
    <w:rsid w:val="00513ABC"/>
    <w:rsid w:val="005168C7"/>
    <w:rsid w:val="00520297"/>
    <w:rsid w:val="00530A4D"/>
    <w:rsid w:val="005338F9"/>
    <w:rsid w:val="0054281C"/>
    <w:rsid w:val="00544581"/>
    <w:rsid w:val="00545A4E"/>
    <w:rsid w:val="0055268D"/>
    <w:rsid w:val="005600DD"/>
    <w:rsid w:val="0056087F"/>
    <w:rsid w:val="00572B29"/>
    <w:rsid w:val="00576BE4"/>
    <w:rsid w:val="00591AFB"/>
    <w:rsid w:val="00595700"/>
    <w:rsid w:val="005A030F"/>
    <w:rsid w:val="005A400A"/>
    <w:rsid w:val="005F4259"/>
    <w:rsid w:val="005F7B92"/>
    <w:rsid w:val="0060729E"/>
    <w:rsid w:val="0061117E"/>
    <w:rsid w:val="00612379"/>
    <w:rsid w:val="006153B6"/>
    <w:rsid w:val="0061555F"/>
    <w:rsid w:val="00636CA6"/>
    <w:rsid w:val="0064084A"/>
    <w:rsid w:val="00641200"/>
    <w:rsid w:val="00641D12"/>
    <w:rsid w:val="00644DF6"/>
    <w:rsid w:val="00645CA8"/>
    <w:rsid w:val="006655D3"/>
    <w:rsid w:val="0066644E"/>
    <w:rsid w:val="00667404"/>
    <w:rsid w:val="006816E1"/>
    <w:rsid w:val="006853D1"/>
    <w:rsid w:val="00685C9A"/>
    <w:rsid w:val="00687EB4"/>
    <w:rsid w:val="00695C56"/>
    <w:rsid w:val="006A5CDE"/>
    <w:rsid w:val="006A644A"/>
    <w:rsid w:val="006B0849"/>
    <w:rsid w:val="006B17D2"/>
    <w:rsid w:val="006B230A"/>
    <w:rsid w:val="006B5472"/>
    <w:rsid w:val="006C224E"/>
    <w:rsid w:val="006D2CFB"/>
    <w:rsid w:val="006D6F2B"/>
    <w:rsid w:val="006D780A"/>
    <w:rsid w:val="0071271E"/>
    <w:rsid w:val="00720EBE"/>
    <w:rsid w:val="00722AB3"/>
    <w:rsid w:val="00731D9C"/>
    <w:rsid w:val="00732DEC"/>
    <w:rsid w:val="00735BD5"/>
    <w:rsid w:val="007463CC"/>
    <w:rsid w:val="00751613"/>
    <w:rsid w:val="007556F6"/>
    <w:rsid w:val="00755946"/>
    <w:rsid w:val="00760EEF"/>
    <w:rsid w:val="0076145C"/>
    <w:rsid w:val="00770564"/>
    <w:rsid w:val="007710DA"/>
    <w:rsid w:val="007743D4"/>
    <w:rsid w:val="00774BA8"/>
    <w:rsid w:val="00777EE5"/>
    <w:rsid w:val="00784836"/>
    <w:rsid w:val="0079023E"/>
    <w:rsid w:val="00792A5E"/>
    <w:rsid w:val="00792E36"/>
    <w:rsid w:val="007A2854"/>
    <w:rsid w:val="007A487E"/>
    <w:rsid w:val="007C1D92"/>
    <w:rsid w:val="007C4CB9"/>
    <w:rsid w:val="007C55C4"/>
    <w:rsid w:val="007C5F8B"/>
    <w:rsid w:val="007D0B9D"/>
    <w:rsid w:val="007D1203"/>
    <w:rsid w:val="007D19B0"/>
    <w:rsid w:val="007D515A"/>
    <w:rsid w:val="007E16B6"/>
    <w:rsid w:val="007F498F"/>
    <w:rsid w:val="0080679D"/>
    <w:rsid w:val="008108B0"/>
    <w:rsid w:val="00811B20"/>
    <w:rsid w:val="00813A10"/>
    <w:rsid w:val="008211B5"/>
    <w:rsid w:val="0082296E"/>
    <w:rsid w:val="00824099"/>
    <w:rsid w:val="00832094"/>
    <w:rsid w:val="00834C4D"/>
    <w:rsid w:val="00846D7C"/>
    <w:rsid w:val="00867AC1"/>
    <w:rsid w:val="0087289D"/>
    <w:rsid w:val="00890DF8"/>
    <w:rsid w:val="00892C3B"/>
    <w:rsid w:val="008A6C6C"/>
    <w:rsid w:val="008A721D"/>
    <w:rsid w:val="008A743F"/>
    <w:rsid w:val="008C068F"/>
    <w:rsid w:val="008C0970"/>
    <w:rsid w:val="008C3987"/>
    <w:rsid w:val="008C62C5"/>
    <w:rsid w:val="008D0BC5"/>
    <w:rsid w:val="008D2CF7"/>
    <w:rsid w:val="008D5691"/>
    <w:rsid w:val="008E06B7"/>
    <w:rsid w:val="008E3B4D"/>
    <w:rsid w:val="00900C26"/>
    <w:rsid w:val="0090197F"/>
    <w:rsid w:val="00903264"/>
    <w:rsid w:val="0090499D"/>
    <w:rsid w:val="00906DDC"/>
    <w:rsid w:val="0091255F"/>
    <w:rsid w:val="00914251"/>
    <w:rsid w:val="00925513"/>
    <w:rsid w:val="009278AA"/>
    <w:rsid w:val="0093102D"/>
    <w:rsid w:val="0093134C"/>
    <w:rsid w:val="00934E09"/>
    <w:rsid w:val="0093532F"/>
    <w:rsid w:val="00935E83"/>
    <w:rsid w:val="00936253"/>
    <w:rsid w:val="00940D46"/>
    <w:rsid w:val="00951848"/>
    <w:rsid w:val="00952DD4"/>
    <w:rsid w:val="009565BD"/>
    <w:rsid w:val="00965AE7"/>
    <w:rsid w:val="00967920"/>
    <w:rsid w:val="00970FED"/>
    <w:rsid w:val="0097453F"/>
    <w:rsid w:val="00983CE5"/>
    <w:rsid w:val="00992D82"/>
    <w:rsid w:val="0099384B"/>
    <w:rsid w:val="00997029"/>
    <w:rsid w:val="009A0BBD"/>
    <w:rsid w:val="009A20FE"/>
    <w:rsid w:val="009A7339"/>
    <w:rsid w:val="009B440E"/>
    <w:rsid w:val="009D10B5"/>
    <w:rsid w:val="009D690D"/>
    <w:rsid w:val="009D6D0A"/>
    <w:rsid w:val="009E028F"/>
    <w:rsid w:val="009E65B6"/>
    <w:rsid w:val="009E7913"/>
    <w:rsid w:val="009F1C92"/>
    <w:rsid w:val="009F77CF"/>
    <w:rsid w:val="00A10DDA"/>
    <w:rsid w:val="00A15007"/>
    <w:rsid w:val="00A21052"/>
    <w:rsid w:val="00A24C10"/>
    <w:rsid w:val="00A27C53"/>
    <w:rsid w:val="00A32FE9"/>
    <w:rsid w:val="00A330C6"/>
    <w:rsid w:val="00A33150"/>
    <w:rsid w:val="00A40E05"/>
    <w:rsid w:val="00A42AC3"/>
    <w:rsid w:val="00A42B53"/>
    <w:rsid w:val="00A430CF"/>
    <w:rsid w:val="00A54309"/>
    <w:rsid w:val="00A57D7E"/>
    <w:rsid w:val="00A6014F"/>
    <w:rsid w:val="00A641A5"/>
    <w:rsid w:val="00A70F83"/>
    <w:rsid w:val="00A7225F"/>
    <w:rsid w:val="00A7773B"/>
    <w:rsid w:val="00A83729"/>
    <w:rsid w:val="00A9006E"/>
    <w:rsid w:val="00AA0D96"/>
    <w:rsid w:val="00AA2990"/>
    <w:rsid w:val="00AA4E0A"/>
    <w:rsid w:val="00AB2B93"/>
    <w:rsid w:val="00AB530F"/>
    <w:rsid w:val="00AB7E5B"/>
    <w:rsid w:val="00AC1F86"/>
    <w:rsid w:val="00AC2883"/>
    <w:rsid w:val="00AD782F"/>
    <w:rsid w:val="00AE0EF1"/>
    <w:rsid w:val="00AE2937"/>
    <w:rsid w:val="00B07301"/>
    <w:rsid w:val="00B11F3E"/>
    <w:rsid w:val="00B224DE"/>
    <w:rsid w:val="00B2479B"/>
    <w:rsid w:val="00B324D4"/>
    <w:rsid w:val="00B42248"/>
    <w:rsid w:val="00B44B12"/>
    <w:rsid w:val="00B44CAF"/>
    <w:rsid w:val="00B464E1"/>
    <w:rsid w:val="00B46575"/>
    <w:rsid w:val="00B465E4"/>
    <w:rsid w:val="00B5171B"/>
    <w:rsid w:val="00B61777"/>
    <w:rsid w:val="00B67675"/>
    <w:rsid w:val="00B84BBD"/>
    <w:rsid w:val="00B916B6"/>
    <w:rsid w:val="00B95C5A"/>
    <w:rsid w:val="00BA43FB"/>
    <w:rsid w:val="00BB535B"/>
    <w:rsid w:val="00BC127D"/>
    <w:rsid w:val="00BC1FE6"/>
    <w:rsid w:val="00BD0D81"/>
    <w:rsid w:val="00BE0F6F"/>
    <w:rsid w:val="00C01DC0"/>
    <w:rsid w:val="00C061B6"/>
    <w:rsid w:val="00C06ADB"/>
    <w:rsid w:val="00C07191"/>
    <w:rsid w:val="00C107AD"/>
    <w:rsid w:val="00C20AA7"/>
    <w:rsid w:val="00C23CF6"/>
    <w:rsid w:val="00C2446C"/>
    <w:rsid w:val="00C359B4"/>
    <w:rsid w:val="00C36AE5"/>
    <w:rsid w:val="00C41F17"/>
    <w:rsid w:val="00C45236"/>
    <w:rsid w:val="00C527FA"/>
    <w:rsid w:val="00C5280D"/>
    <w:rsid w:val="00C5365E"/>
    <w:rsid w:val="00C53EB3"/>
    <w:rsid w:val="00C567A0"/>
    <w:rsid w:val="00C573E9"/>
    <w:rsid w:val="00C5791C"/>
    <w:rsid w:val="00C57AF3"/>
    <w:rsid w:val="00C64C90"/>
    <w:rsid w:val="00C66290"/>
    <w:rsid w:val="00C71621"/>
    <w:rsid w:val="00C72B7A"/>
    <w:rsid w:val="00C8465F"/>
    <w:rsid w:val="00C873D6"/>
    <w:rsid w:val="00C973F2"/>
    <w:rsid w:val="00CA304C"/>
    <w:rsid w:val="00CA774A"/>
    <w:rsid w:val="00CB0EA3"/>
    <w:rsid w:val="00CC11B0"/>
    <w:rsid w:val="00CC2173"/>
    <w:rsid w:val="00CC2841"/>
    <w:rsid w:val="00CC3A47"/>
    <w:rsid w:val="00CD24E7"/>
    <w:rsid w:val="00CD59B3"/>
    <w:rsid w:val="00CF1330"/>
    <w:rsid w:val="00CF303E"/>
    <w:rsid w:val="00CF7E36"/>
    <w:rsid w:val="00D01882"/>
    <w:rsid w:val="00D1141B"/>
    <w:rsid w:val="00D313D3"/>
    <w:rsid w:val="00D3708D"/>
    <w:rsid w:val="00D40426"/>
    <w:rsid w:val="00D57C96"/>
    <w:rsid w:val="00D57D18"/>
    <w:rsid w:val="00D61E54"/>
    <w:rsid w:val="00D91203"/>
    <w:rsid w:val="00D95174"/>
    <w:rsid w:val="00DA2FEE"/>
    <w:rsid w:val="00DA4973"/>
    <w:rsid w:val="00DA6CFD"/>
    <w:rsid w:val="00DA6F36"/>
    <w:rsid w:val="00DB380A"/>
    <w:rsid w:val="00DB596E"/>
    <w:rsid w:val="00DB7773"/>
    <w:rsid w:val="00DC00EA"/>
    <w:rsid w:val="00DC3802"/>
    <w:rsid w:val="00DD54D2"/>
    <w:rsid w:val="00DD5938"/>
    <w:rsid w:val="00DD7D18"/>
    <w:rsid w:val="00DE724D"/>
    <w:rsid w:val="00DF060E"/>
    <w:rsid w:val="00E07D87"/>
    <w:rsid w:val="00E10DD4"/>
    <w:rsid w:val="00E11C44"/>
    <w:rsid w:val="00E11DD7"/>
    <w:rsid w:val="00E126E3"/>
    <w:rsid w:val="00E24AC1"/>
    <w:rsid w:val="00E32F7E"/>
    <w:rsid w:val="00E504CA"/>
    <w:rsid w:val="00E523D6"/>
    <w:rsid w:val="00E5267B"/>
    <w:rsid w:val="00E63C0E"/>
    <w:rsid w:val="00E7194B"/>
    <w:rsid w:val="00E71C44"/>
    <w:rsid w:val="00E72D49"/>
    <w:rsid w:val="00E7593C"/>
    <w:rsid w:val="00E7678A"/>
    <w:rsid w:val="00E935F1"/>
    <w:rsid w:val="00E93D58"/>
    <w:rsid w:val="00E94A81"/>
    <w:rsid w:val="00EA1FFB"/>
    <w:rsid w:val="00EA7F08"/>
    <w:rsid w:val="00EB048E"/>
    <w:rsid w:val="00EB4E9C"/>
    <w:rsid w:val="00EE34DF"/>
    <w:rsid w:val="00EF2F89"/>
    <w:rsid w:val="00F0375E"/>
    <w:rsid w:val="00F03E98"/>
    <w:rsid w:val="00F06BFC"/>
    <w:rsid w:val="00F06DF8"/>
    <w:rsid w:val="00F11199"/>
    <w:rsid w:val="00F1237A"/>
    <w:rsid w:val="00F136D6"/>
    <w:rsid w:val="00F2036C"/>
    <w:rsid w:val="00F22CBD"/>
    <w:rsid w:val="00F272F1"/>
    <w:rsid w:val="00F446F0"/>
    <w:rsid w:val="00F45372"/>
    <w:rsid w:val="00F51746"/>
    <w:rsid w:val="00F53986"/>
    <w:rsid w:val="00F560F7"/>
    <w:rsid w:val="00F620A7"/>
    <w:rsid w:val="00F6334D"/>
    <w:rsid w:val="00F63599"/>
    <w:rsid w:val="00F70196"/>
    <w:rsid w:val="00F71C14"/>
    <w:rsid w:val="00F7566B"/>
    <w:rsid w:val="00FA49AB"/>
    <w:rsid w:val="00FD172D"/>
    <w:rsid w:val="00FE39C7"/>
    <w:rsid w:val="00FE5F0F"/>
    <w:rsid w:val="00FE74C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60C3B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8B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6853D1"/>
    <w:pPr>
      <w:keepNext/>
      <w:jc w:val="both"/>
      <w:outlineLvl w:val="0"/>
    </w:pPr>
    <w:rPr>
      <w:rFonts w:ascii="Arial" w:hAnsi="Arial"/>
      <w:caps/>
      <w:color w:val="008000"/>
      <w:lang w:eastAsia="ja-JP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6853D1"/>
    <w:pPr>
      <w:keepNext/>
      <w:numPr>
        <w:numId w:val="12"/>
      </w:numPr>
      <w:ind w:left="1134" w:hanging="283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C3A4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C3A4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566E"/>
    <w:pPr>
      <w:ind w:left="720"/>
      <w:contextualSpacing/>
    </w:pPr>
    <w:rPr>
      <w:rFonts w:eastAsiaTheme="minorEastAsia"/>
    </w:rPr>
  </w:style>
  <w:style w:type="character" w:customStyle="1" w:styleId="FooterChar">
    <w:name w:val="Footer Char"/>
    <w:aliases w:val="doc_path_name Char"/>
    <w:basedOn w:val="DefaultParagraphFont"/>
    <w:link w:val="Footer"/>
    <w:rsid w:val="0050566E"/>
    <w:rPr>
      <w:rFonts w:ascii="Arial" w:hAnsi="Arial"/>
      <w:sz w:val="14"/>
    </w:rPr>
  </w:style>
  <w:style w:type="character" w:customStyle="1" w:styleId="DecisionParagraphsChar">
    <w:name w:val="DecisionParagraphs Char"/>
    <w:link w:val="DecisionParagraphs"/>
    <w:rsid w:val="00DB380A"/>
    <w:rPr>
      <w:rFonts w:ascii="Arial" w:hAnsi="Arial"/>
      <w:i/>
    </w:rPr>
  </w:style>
  <w:style w:type="table" w:styleId="TableGrid">
    <w:name w:val="Table Grid"/>
    <w:basedOn w:val="TableNormal"/>
    <w:rsid w:val="00087C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10D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0DDA"/>
  </w:style>
  <w:style w:type="character" w:customStyle="1" w:styleId="CommentTextChar">
    <w:name w:val="Comment Text Char"/>
    <w:basedOn w:val="DefaultParagraphFont"/>
    <w:link w:val="CommentText"/>
    <w:semiHidden/>
    <w:rsid w:val="00A10D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0DD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8B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6853D1"/>
    <w:pPr>
      <w:keepNext/>
      <w:jc w:val="both"/>
      <w:outlineLvl w:val="0"/>
    </w:pPr>
    <w:rPr>
      <w:rFonts w:ascii="Arial" w:hAnsi="Arial"/>
      <w:caps/>
      <w:color w:val="008000"/>
      <w:lang w:eastAsia="ja-JP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6853D1"/>
    <w:pPr>
      <w:keepNext/>
      <w:numPr>
        <w:numId w:val="12"/>
      </w:numPr>
      <w:ind w:left="1134" w:hanging="283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C3A4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C3A4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566E"/>
    <w:pPr>
      <w:ind w:left="720"/>
      <w:contextualSpacing/>
    </w:pPr>
    <w:rPr>
      <w:rFonts w:eastAsiaTheme="minorEastAsia"/>
    </w:rPr>
  </w:style>
  <w:style w:type="character" w:customStyle="1" w:styleId="FooterChar">
    <w:name w:val="Footer Char"/>
    <w:aliases w:val="doc_path_name Char"/>
    <w:basedOn w:val="DefaultParagraphFont"/>
    <w:link w:val="Footer"/>
    <w:rsid w:val="0050566E"/>
    <w:rPr>
      <w:rFonts w:ascii="Arial" w:hAnsi="Arial"/>
      <w:sz w:val="14"/>
    </w:rPr>
  </w:style>
  <w:style w:type="character" w:customStyle="1" w:styleId="DecisionParagraphsChar">
    <w:name w:val="DecisionParagraphs Char"/>
    <w:link w:val="DecisionParagraphs"/>
    <w:rsid w:val="00DB380A"/>
    <w:rPr>
      <w:rFonts w:ascii="Arial" w:hAnsi="Arial"/>
      <w:i/>
    </w:rPr>
  </w:style>
  <w:style w:type="table" w:styleId="TableGrid">
    <w:name w:val="Table Grid"/>
    <w:basedOn w:val="TableNormal"/>
    <w:rsid w:val="00087C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A10DD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0DDA"/>
  </w:style>
  <w:style w:type="character" w:customStyle="1" w:styleId="CommentTextChar">
    <w:name w:val="Comment Text Char"/>
    <w:basedOn w:val="DefaultParagraphFont"/>
    <w:link w:val="CommentText"/>
    <w:semiHidden/>
    <w:rsid w:val="00A10D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0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0D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2F47C-B92B-4B1A-B69C-C56609BB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13</Pages>
  <Words>5175</Words>
  <Characters>28868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WG-ISC/2/1</vt:lpstr>
      <vt:lpstr>WG-ISC/2/1</vt:lpstr>
    </vt:vector>
  </TitlesOfParts>
  <Company>UPOV</Company>
  <LinksUpToDate>false</LinksUpToDate>
  <CharactersWithSpaces>33976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BESSE Ariane</cp:lastModifiedBy>
  <cp:revision>20</cp:revision>
  <cp:lastPrinted>2017-03-03T08:31:00Z</cp:lastPrinted>
  <dcterms:created xsi:type="dcterms:W3CDTF">2017-02-20T08:24:00Z</dcterms:created>
  <dcterms:modified xsi:type="dcterms:W3CDTF">2017-03-03T08:32:00Z</dcterms:modified>
</cp:coreProperties>
</file>