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06D78" w:rsidRPr="00E3692F" w:rsidTr="006E63C1">
        <w:trPr>
          <w:trHeight w:val="1760"/>
        </w:trPr>
        <w:tc>
          <w:tcPr>
            <w:tcW w:w="4243" w:type="dxa"/>
          </w:tcPr>
          <w:p w:rsidR="00D06D78" w:rsidRPr="00E3692F" w:rsidRDefault="00D06D78" w:rsidP="006E63C1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D06D78" w:rsidRPr="00E3692F" w:rsidRDefault="00D06D78" w:rsidP="006E63C1">
            <w:pPr>
              <w:pStyle w:val="LogoUPOV"/>
              <w:rPr>
                <w:lang w:val="fr-FR"/>
              </w:rPr>
            </w:pPr>
            <w:r w:rsidRPr="00E3692F">
              <w:rPr>
                <w:noProof/>
              </w:rPr>
              <w:drawing>
                <wp:inline distT="0" distB="0" distL="0" distR="0" wp14:anchorId="7B7FEDD2" wp14:editId="75D39DDA">
                  <wp:extent cx="959485" cy="4508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06D78" w:rsidRPr="00EF3851" w:rsidRDefault="00D06D78" w:rsidP="006E63C1">
            <w:pPr>
              <w:pStyle w:val="Lettrine"/>
            </w:pPr>
            <w:r w:rsidRPr="00EF3851">
              <w:t>F</w:t>
            </w:r>
          </w:p>
          <w:p w:rsidR="00D06D78" w:rsidRPr="00EF3851" w:rsidRDefault="00D06D78" w:rsidP="006E63C1">
            <w:pPr>
              <w:pStyle w:val="Docoriginal"/>
            </w:pPr>
            <w:r w:rsidRPr="00EF3851">
              <w:t>TC</w:t>
            </w:r>
            <w:r w:rsidR="008C307A" w:rsidRPr="00EF3851">
              <w:noBreakHyphen/>
            </w:r>
            <w:r w:rsidRPr="00EF3851">
              <w:t>EDC/Jan15/14</w:t>
            </w:r>
          </w:p>
          <w:p w:rsidR="00D06D78" w:rsidRPr="00EF3851" w:rsidRDefault="00D06D78" w:rsidP="006E63C1">
            <w:pPr>
              <w:pStyle w:val="Docoriginal"/>
              <w:rPr>
                <w:b w:val="0"/>
                <w:spacing w:val="0"/>
              </w:rPr>
            </w:pPr>
            <w:r w:rsidRPr="00EF3851">
              <w:rPr>
                <w:rStyle w:val="StyleDoclangBold"/>
                <w:b/>
                <w:bCs/>
                <w:spacing w:val="0"/>
              </w:rPr>
              <w:t>ORIGINAL :</w:t>
            </w:r>
            <w:r w:rsidRPr="00EF3851">
              <w:rPr>
                <w:rStyle w:val="StyleDoclangBold"/>
                <w:bCs/>
                <w:spacing w:val="0"/>
              </w:rPr>
              <w:t xml:space="preserve"> anglais</w:t>
            </w:r>
          </w:p>
          <w:p w:rsidR="00D06D78" w:rsidRPr="00E3692F" w:rsidRDefault="00D06D78" w:rsidP="00FB0FDF">
            <w:pPr>
              <w:pStyle w:val="Docoriginal"/>
              <w:rPr>
                <w:lang w:val="fr-FR"/>
              </w:rPr>
            </w:pPr>
            <w:r w:rsidRPr="00E3692F">
              <w:rPr>
                <w:spacing w:val="0"/>
                <w:lang w:val="fr-FR"/>
              </w:rPr>
              <w:t>DATE :</w:t>
            </w:r>
            <w:r w:rsidRPr="00E3692F">
              <w:rPr>
                <w:b w:val="0"/>
                <w:spacing w:val="0"/>
                <w:lang w:val="fr-FR"/>
              </w:rPr>
              <w:t xml:space="preserve"> </w:t>
            </w:r>
            <w:r w:rsidR="00897EE4" w:rsidRPr="00897EE4">
              <w:rPr>
                <w:b w:val="0"/>
                <w:spacing w:val="0"/>
                <w:lang w:val="fr-FR"/>
              </w:rPr>
              <w:t>18</w:t>
            </w:r>
            <w:r w:rsidRPr="00897EE4">
              <w:rPr>
                <w:b w:val="0"/>
                <w:spacing w:val="0"/>
                <w:lang w:val="fr-FR"/>
              </w:rPr>
              <w:t> </w:t>
            </w:r>
            <w:r w:rsidR="00897EE4" w:rsidRPr="00897EE4">
              <w:rPr>
                <w:b w:val="0"/>
                <w:spacing w:val="0"/>
                <w:lang w:val="fr-FR"/>
              </w:rPr>
              <w:t>se</w:t>
            </w:r>
            <w:r w:rsidR="00FB0FDF">
              <w:rPr>
                <w:b w:val="0"/>
                <w:spacing w:val="0"/>
                <w:lang w:val="fr-FR"/>
              </w:rPr>
              <w:t>p</w:t>
            </w:r>
            <w:bookmarkStart w:id="0" w:name="_GoBack"/>
            <w:bookmarkEnd w:id="0"/>
            <w:r w:rsidR="00897EE4" w:rsidRPr="00897EE4">
              <w:rPr>
                <w:b w:val="0"/>
                <w:spacing w:val="0"/>
                <w:lang w:val="fr-FR"/>
              </w:rPr>
              <w:t>tembre</w:t>
            </w:r>
            <w:r w:rsidRPr="00897EE4">
              <w:rPr>
                <w:b w:val="0"/>
                <w:spacing w:val="0"/>
                <w:lang w:val="fr-FR"/>
              </w:rPr>
              <w:t> 2014</w:t>
            </w:r>
          </w:p>
        </w:tc>
      </w:tr>
      <w:tr w:rsidR="00D06D78" w:rsidRPr="00897EE4" w:rsidTr="006E63C1">
        <w:tc>
          <w:tcPr>
            <w:tcW w:w="10131" w:type="dxa"/>
            <w:gridSpan w:val="3"/>
          </w:tcPr>
          <w:p w:rsidR="00D06D78" w:rsidRPr="00E3692F" w:rsidRDefault="00D06D78" w:rsidP="006E63C1">
            <w:pPr>
              <w:pStyle w:val="upove"/>
              <w:rPr>
                <w:sz w:val="28"/>
                <w:lang w:val="fr-FR"/>
              </w:rPr>
            </w:pPr>
            <w:r w:rsidRPr="00E3692F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D06D78" w:rsidRPr="00E3692F" w:rsidTr="006E63C1">
        <w:tc>
          <w:tcPr>
            <w:tcW w:w="10131" w:type="dxa"/>
            <w:gridSpan w:val="3"/>
          </w:tcPr>
          <w:p w:rsidR="00D06D78" w:rsidRPr="00E3692F" w:rsidRDefault="00D06D78" w:rsidP="006E63C1">
            <w:pPr>
              <w:pStyle w:val="Country"/>
              <w:rPr>
                <w:lang w:val="fr-FR"/>
              </w:rPr>
            </w:pPr>
            <w:r w:rsidRPr="00E3692F">
              <w:rPr>
                <w:lang w:val="fr-FR"/>
              </w:rPr>
              <w:t>Genève</w:t>
            </w:r>
          </w:p>
        </w:tc>
      </w:tr>
    </w:tbl>
    <w:p w:rsidR="00D06D78" w:rsidRPr="00E3692F" w:rsidRDefault="00D06D78" w:rsidP="00D06D78">
      <w:pPr>
        <w:pStyle w:val="Sessiontc"/>
        <w:rPr>
          <w:lang w:val="fr-FR"/>
        </w:rPr>
      </w:pPr>
      <w:r w:rsidRPr="00E3692F">
        <w:rPr>
          <w:caps w:val="0"/>
          <w:lang w:val="fr-FR"/>
        </w:rPr>
        <w:t>COMITÉ DE RÉDACTION ÉLARGI</w:t>
      </w:r>
    </w:p>
    <w:p w:rsidR="00D06D78" w:rsidRPr="00E3692F" w:rsidRDefault="00D06D78" w:rsidP="00D06D78">
      <w:pPr>
        <w:pStyle w:val="Sessiontcplacedate"/>
        <w:rPr>
          <w:lang w:val="fr-FR"/>
        </w:rPr>
      </w:pPr>
      <w:r w:rsidRPr="00E3692F">
        <w:rPr>
          <w:lang w:val="fr-FR"/>
        </w:rPr>
        <w:t>Genève, 7 et 8 janvier 2015</w:t>
      </w:r>
    </w:p>
    <w:p w:rsidR="006C0016" w:rsidRPr="00DE5CF3" w:rsidRDefault="006C0016" w:rsidP="006C0016">
      <w:pPr>
        <w:pStyle w:val="Titleofdoc0"/>
        <w:rPr>
          <w:lang w:val="fr-CH"/>
        </w:rPr>
      </w:pPr>
      <w:r w:rsidRPr="00E3692F">
        <w:rPr>
          <w:lang w:val="fr-FR"/>
        </w:rPr>
        <w:t>Révision partielle des principes directeurs d</w:t>
      </w:r>
      <w:r w:rsidR="00626E14" w:rsidRPr="00E3692F">
        <w:rPr>
          <w:lang w:val="fr-FR"/>
        </w:rPr>
        <w:t>’</w:t>
      </w:r>
      <w:r w:rsidRPr="00E3692F">
        <w:rPr>
          <w:lang w:val="fr-FR"/>
        </w:rPr>
        <w:t>examen du concombre</w:t>
      </w:r>
      <w:r w:rsidR="00DE5CF3">
        <w:rPr>
          <w:lang w:val="fr-FR"/>
        </w:rPr>
        <w:t xml:space="preserve"> </w:t>
      </w:r>
      <w:r w:rsidR="00DE5CF3">
        <w:rPr>
          <w:lang w:val="fr-CH"/>
        </w:rPr>
        <w:t>(document </w:t>
      </w:r>
      <w:r w:rsidR="00DE5CF3" w:rsidRPr="00DE5CF3">
        <w:rPr>
          <w:lang w:val="fr-CH"/>
        </w:rPr>
        <w:t>TG/</w:t>
      </w:r>
      <w:r w:rsidR="00DE5CF3" w:rsidRPr="00DE5CF3">
        <w:rPr>
          <w:lang w:val="fr-CH" w:eastAsia="ja-JP"/>
        </w:rPr>
        <w:t>61</w:t>
      </w:r>
      <w:r w:rsidR="00DE5CF3" w:rsidRPr="00DE5CF3">
        <w:rPr>
          <w:lang w:val="fr-CH"/>
        </w:rPr>
        <w:t>/</w:t>
      </w:r>
      <w:r w:rsidR="00DE5CF3" w:rsidRPr="00DE5CF3">
        <w:rPr>
          <w:lang w:val="fr-CH" w:eastAsia="ja-JP"/>
        </w:rPr>
        <w:t>7 Rev.</w:t>
      </w:r>
      <w:r w:rsidR="00DE5CF3" w:rsidRPr="00DE5CF3">
        <w:rPr>
          <w:lang w:val="fr-CH"/>
        </w:rPr>
        <w:t>)</w:t>
      </w:r>
    </w:p>
    <w:p w:rsidR="006C0016" w:rsidRPr="00E3692F" w:rsidRDefault="006C0016" w:rsidP="006C0016">
      <w:pPr>
        <w:pStyle w:val="preparedby1"/>
        <w:rPr>
          <w:color w:val="A6A6A6" w:themeColor="background1" w:themeShade="A6"/>
          <w:lang w:val="fr-FR"/>
        </w:rPr>
      </w:pPr>
      <w:r w:rsidRPr="00E3692F">
        <w:rPr>
          <w:lang w:val="fr-FR"/>
        </w:rPr>
        <w:t>Document établi par le Bureau de l</w:t>
      </w:r>
      <w:r w:rsidR="00626E14" w:rsidRPr="00E3692F">
        <w:rPr>
          <w:lang w:val="fr-FR"/>
        </w:rPr>
        <w:t>’</w:t>
      </w:r>
      <w:r w:rsidRPr="00E3692F">
        <w:rPr>
          <w:lang w:val="fr-FR"/>
        </w:rPr>
        <w:t>Union</w:t>
      </w:r>
      <w:r w:rsidRPr="00E3692F">
        <w:rPr>
          <w:lang w:val="fr-FR"/>
        </w:rPr>
        <w:br/>
      </w:r>
      <w:r w:rsidRPr="00E3692F">
        <w:rPr>
          <w:lang w:val="fr-FR"/>
        </w:rPr>
        <w:br/>
      </w:r>
      <w:r w:rsidRPr="00E3692F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626E14" w:rsidRPr="00E3692F">
        <w:rPr>
          <w:color w:val="A6A6A6" w:themeColor="background1" w:themeShade="A6"/>
          <w:lang w:val="fr-FR"/>
        </w:rPr>
        <w:t>’</w:t>
      </w:r>
      <w:r w:rsidRPr="00E3692F">
        <w:rPr>
          <w:color w:val="A6A6A6" w:themeColor="background1" w:themeShade="A6"/>
          <w:lang w:val="fr-FR"/>
        </w:rPr>
        <w:t>UPOV</w:t>
      </w:r>
    </w:p>
    <w:p w:rsidR="00C65178" w:rsidRPr="00E3692F" w:rsidRDefault="00C65178" w:rsidP="00BD4526">
      <w:pPr>
        <w:rPr>
          <w:rFonts w:cs="Arial"/>
          <w:lang w:val="fr-FR"/>
        </w:rPr>
      </w:pPr>
      <w:r w:rsidRPr="00E3692F">
        <w:rPr>
          <w:rFonts w:cs="Arial"/>
          <w:lang w:val="fr-FR"/>
        </w:rPr>
        <w:fldChar w:fldCharType="begin"/>
      </w:r>
      <w:r w:rsidRPr="00E3692F">
        <w:rPr>
          <w:rFonts w:cs="Arial"/>
          <w:lang w:val="fr-FR"/>
        </w:rPr>
        <w:instrText xml:space="preserve"> AUTONUM  </w:instrText>
      </w:r>
      <w:r w:rsidRPr="00E3692F">
        <w:rPr>
          <w:rFonts w:cs="Arial"/>
          <w:lang w:val="fr-FR"/>
        </w:rPr>
        <w:fldChar w:fldCharType="end"/>
      </w:r>
      <w:r w:rsidRPr="00E3692F">
        <w:rPr>
          <w:rFonts w:cs="Arial"/>
          <w:lang w:val="fr-FR"/>
        </w:rPr>
        <w:tab/>
      </w:r>
      <w:r w:rsidR="006C0016" w:rsidRPr="00E3692F">
        <w:rPr>
          <w:rFonts w:cs="Arial"/>
          <w:lang w:val="fr-FR"/>
        </w:rPr>
        <w:t>À sa quarante</w:t>
      </w:r>
      <w:r w:rsidR="008C307A" w:rsidRPr="00E3692F">
        <w:rPr>
          <w:rFonts w:cs="Arial"/>
          <w:lang w:val="fr-FR"/>
        </w:rPr>
        <w:noBreakHyphen/>
      </w:r>
      <w:r w:rsidR="006C0016" w:rsidRPr="00E3692F">
        <w:rPr>
          <w:rFonts w:cs="Arial"/>
          <w:lang w:val="fr-FR"/>
        </w:rPr>
        <w:t>huitième</w:t>
      </w:r>
      <w:r w:rsidR="00F90B10" w:rsidRPr="00E3692F">
        <w:rPr>
          <w:rFonts w:cs="Arial"/>
          <w:lang w:val="fr-FR"/>
        </w:rPr>
        <w:t> </w:t>
      </w:r>
      <w:r w:rsidR="006C0016" w:rsidRPr="00E3692F">
        <w:rPr>
          <w:rFonts w:cs="Arial"/>
          <w:lang w:val="fr-FR"/>
        </w:rPr>
        <w:t>session tenue à Paestum (Italie) du 23 au 2</w:t>
      </w:r>
      <w:r w:rsidR="00626E14" w:rsidRPr="00E3692F">
        <w:rPr>
          <w:rFonts w:cs="Arial"/>
          <w:lang w:val="fr-FR"/>
        </w:rPr>
        <w:t>7 juin 20</w:t>
      </w:r>
      <w:r w:rsidR="006C0016" w:rsidRPr="00E3692F">
        <w:rPr>
          <w:rFonts w:cs="Arial"/>
          <w:lang w:val="fr-FR"/>
        </w:rPr>
        <w:t>14, le Groupe de travail technique sur les plantes potagères (TWV) a examiné la révision partielle des principes directeurs d</w:t>
      </w:r>
      <w:r w:rsidR="00626E14" w:rsidRPr="00E3692F">
        <w:rPr>
          <w:rFonts w:cs="Arial"/>
          <w:lang w:val="fr-FR"/>
        </w:rPr>
        <w:t>’</w:t>
      </w:r>
      <w:r w:rsidR="006C0016" w:rsidRPr="00E3692F">
        <w:rPr>
          <w:rFonts w:cs="Arial"/>
          <w:lang w:val="fr-FR"/>
        </w:rPr>
        <w:t>examen du concombre sur la base des documents</w:t>
      </w:r>
      <w:r w:rsidRPr="00E3692F">
        <w:rPr>
          <w:rFonts w:cs="Arial"/>
          <w:lang w:val="fr-FR"/>
        </w:rPr>
        <w:t xml:space="preserve"> TG/61/7 </w:t>
      </w:r>
      <w:r w:rsidR="006C0016" w:rsidRPr="00E3692F">
        <w:rPr>
          <w:rFonts w:cs="Arial"/>
          <w:lang w:val="fr-FR"/>
        </w:rPr>
        <w:t>et</w:t>
      </w:r>
      <w:r w:rsidRPr="00E3692F">
        <w:rPr>
          <w:rFonts w:cs="Arial"/>
          <w:lang w:val="fr-FR"/>
        </w:rPr>
        <w:t xml:space="preserve"> TWV/48/32 </w:t>
      </w:r>
      <w:r w:rsidR="003755FF" w:rsidRPr="00E3692F">
        <w:rPr>
          <w:rFonts w:cs="Arial"/>
          <w:lang w:val="fr-FR"/>
        </w:rPr>
        <w:t>“</w:t>
      </w:r>
      <w:r w:rsidR="00DE5CF3" w:rsidRPr="00DE5CF3">
        <w:rPr>
          <w:rFonts w:cs="Arial"/>
          <w:i/>
          <w:lang w:val="fr-CH"/>
        </w:rPr>
        <w:t>Partial Revision of the Test Guidelines for Cucumber (</w:t>
      </w:r>
      <w:r w:rsidR="00CF7ED4">
        <w:rPr>
          <w:rFonts w:cs="Arial"/>
          <w:i/>
          <w:lang w:val="fr-CH"/>
        </w:rPr>
        <w:t>D</w:t>
      </w:r>
      <w:r w:rsidR="00DE5CF3" w:rsidRPr="00DE5CF3">
        <w:rPr>
          <w:rFonts w:cs="Arial"/>
          <w:i/>
          <w:lang w:val="fr-CH"/>
        </w:rPr>
        <w:t>ocument TG/61/7)</w:t>
      </w:r>
      <w:r w:rsidR="003755FF" w:rsidRPr="00E3692F">
        <w:rPr>
          <w:rFonts w:cs="Arial"/>
          <w:lang w:val="fr-FR"/>
        </w:rPr>
        <w:t xml:space="preserve">” </w:t>
      </w:r>
      <w:r w:rsidR="006C0016" w:rsidRPr="00E3692F">
        <w:rPr>
          <w:rFonts w:cs="Arial"/>
          <w:lang w:val="fr-FR"/>
        </w:rPr>
        <w:t>et a proposé de réviser les Principes directeurs d</w:t>
      </w:r>
      <w:r w:rsidR="00626E14" w:rsidRPr="00E3692F">
        <w:rPr>
          <w:rFonts w:cs="Arial"/>
          <w:lang w:val="fr-FR"/>
        </w:rPr>
        <w:t>’</w:t>
      </w:r>
      <w:r w:rsidR="006C0016" w:rsidRPr="00E3692F">
        <w:rPr>
          <w:rFonts w:cs="Arial"/>
          <w:lang w:val="fr-FR"/>
        </w:rPr>
        <w:t>examen du concombre comme suit</w:t>
      </w:r>
      <w:r w:rsidRPr="00E3692F">
        <w:rPr>
          <w:rFonts w:cs="Arial"/>
          <w:lang w:val="fr-FR"/>
        </w:rPr>
        <w:t xml:space="preserve"> (</w:t>
      </w:r>
      <w:r w:rsidR="006C0016" w:rsidRPr="00E3692F">
        <w:rPr>
          <w:rFonts w:cs="Arial"/>
          <w:lang w:val="fr-FR"/>
        </w:rPr>
        <w:t xml:space="preserve">voir </w:t>
      </w:r>
      <w:r w:rsidR="00BD4526">
        <w:rPr>
          <w:rFonts w:cs="Arial"/>
          <w:lang w:val="fr-FR"/>
        </w:rPr>
        <w:t xml:space="preserve">le paragraphe 95 du </w:t>
      </w:r>
      <w:r w:rsidR="00626E14" w:rsidRPr="00E3692F">
        <w:rPr>
          <w:rFonts w:cs="Arial"/>
          <w:lang w:val="fr-FR"/>
        </w:rPr>
        <w:t>document TW</w:t>
      </w:r>
      <w:r w:rsidRPr="00E3692F">
        <w:rPr>
          <w:rFonts w:cs="Arial"/>
          <w:lang w:val="fr-FR"/>
        </w:rPr>
        <w:t>V/48/43 “</w:t>
      </w:r>
      <w:r w:rsidR="00DE5CF3" w:rsidRPr="00DE5CF3">
        <w:rPr>
          <w:rFonts w:cs="Arial"/>
          <w:i/>
          <w:lang w:val="fr-FR"/>
        </w:rPr>
        <w:t>Report</w:t>
      </w:r>
      <w:r w:rsidRPr="00E3692F">
        <w:rPr>
          <w:rFonts w:cs="Arial"/>
          <w:lang w:val="fr-FR"/>
        </w:rPr>
        <w:t>”)</w:t>
      </w:r>
      <w:r w:rsidR="00F90B10" w:rsidRPr="00E3692F">
        <w:rPr>
          <w:rFonts w:cs="Arial"/>
          <w:lang w:val="fr-FR"/>
        </w:rPr>
        <w:t> :</w:t>
      </w:r>
    </w:p>
    <w:p w:rsidR="003E2271" w:rsidRPr="00E3692F" w:rsidRDefault="003E2271" w:rsidP="00BD4526">
      <w:pPr>
        <w:rPr>
          <w:rFonts w:cs="Arial"/>
          <w:lang w:val="fr-FR"/>
        </w:rPr>
      </w:pPr>
    </w:p>
    <w:p w:rsidR="00564F07" w:rsidRPr="00E3692F" w:rsidRDefault="003E2271" w:rsidP="00BD4526">
      <w:pPr>
        <w:pStyle w:val="ListParagraph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3692F">
        <w:rPr>
          <w:rFonts w:ascii="Arial" w:hAnsi="Arial" w:cs="Arial"/>
          <w:sz w:val="20"/>
          <w:szCs w:val="20"/>
        </w:rPr>
        <w:t>A</w:t>
      </w:r>
      <w:r w:rsidR="00720FC2" w:rsidRPr="00E3692F">
        <w:rPr>
          <w:rFonts w:ascii="Arial" w:hAnsi="Arial" w:cs="Arial"/>
          <w:sz w:val="20"/>
          <w:szCs w:val="20"/>
        </w:rPr>
        <w:t xml:space="preserve">jout du nouveau caractère </w:t>
      </w:r>
      <w:r w:rsidR="003755FF" w:rsidRPr="00E3692F">
        <w:rPr>
          <w:rFonts w:ascii="Arial" w:hAnsi="Arial" w:cs="Arial"/>
          <w:sz w:val="20"/>
          <w:szCs w:val="20"/>
        </w:rPr>
        <w:t xml:space="preserve">51 </w:t>
      </w:r>
      <w:r w:rsidRPr="00E3692F">
        <w:rPr>
          <w:rFonts w:ascii="Arial" w:hAnsi="Arial" w:cs="Arial"/>
          <w:sz w:val="20"/>
          <w:szCs w:val="20"/>
        </w:rPr>
        <w:t>“R</w:t>
      </w:r>
      <w:r w:rsidR="00720FC2" w:rsidRPr="00E3692F">
        <w:rPr>
          <w:rFonts w:ascii="Arial" w:hAnsi="Arial" w:cs="Arial"/>
          <w:sz w:val="20"/>
          <w:szCs w:val="20"/>
        </w:rPr>
        <w:t>é</w:t>
      </w:r>
      <w:r w:rsidRPr="00E3692F">
        <w:rPr>
          <w:rFonts w:ascii="Arial" w:hAnsi="Arial" w:cs="Arial"/>
          <w:sz w:val="20"/>
          <w:szCs w:val="20"/>
        </w:rPr>
        <w:t xml:space="preserve">sistance </w:t>
      </w:r>
      <w:r w:rsidR="00720FC2" w:rsidRPr="00E3692F">
        <w:rPr>
          <w:rFonts w:ascii="Arial" w:hAnsi="Arial" w:cs="Arial"/>
          <w:sz w:val="20"/>
          <w:szCs w:val="20"/>
        </w:rPr>
        <w:t>au</w:t>
      </w:r>
      <w:r w:rsidRPr="00E3692F">
        <w:rPr>
          <w:rFonts w:ascii="Arial" w:hAnsi="Arial" w:cs="Arial"/>
          <w:sz w:val="20"/>
          <w:szCs w:val="20"/>
        </w:rPr>
        <w:t xml:space="preserve"> Cucurbit yellow stunting disorder virus (CYSDV)” </w:t>
      </w:r>
      <w:r w:rsidR="008C307A" w:rsidRPr="00E3692F">
        <w:rPr>
          <w:rFonts w:ascii="Arial" w:hAnsi="Arial" w:cs="Arial"/>
          <w:sz w:val="20"/>
          <w:szCs w:val="20"/>
        </w:rPr>
        <w:t xml:space="preserve">à la </w:t>
      </w:r>
      <w:r w:rsidR="008C307A" w:rsidRPr="00D9393D">
        <w:rPr>
          <w:rFonts w:ascii="Arial" w:hAnsi="Arial" w:cs="Arial"/>
          <w:sz w:val="20"/>
          <w:szCs w:val="20"/>
        </w:rPr>
        <w:t>suite du caractère </w:t>
      </w:r>
      <w:r w:rsidRPr="00D9393D">
        <w:rPr>
          <w:rFonts w:ascii="Arial" w:hAnsi="Arial" w:cs="Arial"/>
          <w:sz w:val="20"/>
          <w:szCs w:val="20"/>
        </w:rPr>
        <w:t xml:space="preserve">50 </w:t>
      </w:r>
      <w:r w:rsidR="00720FC2" w:rsidRPr="00D9393D">
        <w:rPr>
          <w:rFonts w:ascii="Arial" w:hAnsi="Arial" w:cs="Arial"/>
          <w:sz w:val="20"/>
          <w:szCs w:val="20"/>
        </w:rPr>
        <w:t>au chapitre</w:t>
      </w:r>
      <w:r w:rsidR="00F90B10" w:rsidRPr="00D9393D">
        <w:rPr>
          <w:rFonts w:ascii="Arial" w:hAnsi="Arial" w:cs="Arial"/>
          <w:sz w:val="20"/>
          <w:szCs w:val="20"/>
        </w:rPr>
        <w:t> </w:t>
      </w:r>
      <w:r w:rsidRPr="00D9393D">
        <w:rPr>
          <w:rFonts w:ascii="Arial" w:hAnsi="Arial" w:cs="Arial"/>
          <w:sz w:val="20"/>
          <w:szCs w:val="20"/>
        </w:rPr>
        <w:t>7 “Table</w:t>
      </w:r>
      <w:r w:rsidR="00720FC2" w:rsidRPr="00D9393D">
        <w:rPr>
          <w:rFonts w:ascii="Arial" w:hAnsi="Arial" w:cs="Arial"/>
          <w:sz w:val="20"/>
          <w:szCs w:val="20"/>
        </w:rPr>
        <w:t>au des caractères</w:t>
      </w:r>
      <w:r w:rsidRPr="00D9393D">
        <w:rPr>
          <w:rFonts w:ascii="Arial" w:hAnsi="Arial" w:cs="Arial"/>
          <w:sz w:val="20"/>
          <w:szCs w:val="20"/>
        </w:rPr>
        <w:t>”</w:t>
      </w:r>
      <w:r w:rsidR="003755FF" w:rsidRPr="00D9393D">
        <w:rPr>
          <w:rFonts w:ascii="Arial" w:hAnsi="Arial" w:cs="Arial"/>
          <w:sz w:val="20"/>
          <w:szCs w:val="20"/>
        </w:rPr>
        <w:t xml:space="preserve"> </w:t>
      </w:r>
      <w:r w:rsidR="00D9393D">
        <w:rPr>
          <w:rFonts w:ascii="Arial" w:hAnsi="Arial" w:cs="Arial"/>
          <w:sz w:val="20"/>
          <w:szCs w:val="20"/>
        </w:rPr>
        <w:t>ainsi qu</w:t>
      </w:r>
      <w:r w:rsidR="00BD4526">
        <w:rPr>
          <w:rFonts w:ascii="Arial" w:hAnsi="Arial" w:cs="Arial"/>
          <w:sz w:val="20"/>
          <w:szCs w:val="20"/>
        </w:rPr>
        <w:t>e d</w:t>
      </w:r>
      <w:r w:rsidR="00D9393D">
        <w:rPr>
          <w:rFonts w:ascii="Arial" w:hAnsi="Arial" w:cs="Arial"/>
          <w:sz w:val="20"/>
          <w:szCs w:val="20"/>
        </w:rPr>
        <w:t>’</w:t>
      </w:r>
      <w:r w:rsidR="00720FC2" w:rsidRPr="00D9393D">
        <w:rPr>
          <w:rFonts w:ascii="Arial" w:hAnsi="Arial" w:cs="Arial"/>
          <w:sz w:val="20"/>
          <w:szCs w:val="20"/>
        </w:rPr>
        <w:t xml:space="preserve">une explication </w:t>
      </w:r>
      <w:r w:rsidR="00D9393D">
        <w:rPr>
          <w:rFonts w:ascii="Arial" w:hAnsi="Arial" w:cs="Arial"/>
          <w:sz w:val="20"/>
          <w:szCs w:val="20"/>
        </w:rPr>
        <w:t>correspondante</w:t>
      </w:r>
      <w:r w:rsidR="003755FF" w:rsidRPr="00E3692F">
        <w:rPr>
          <w:rFonts w:ascii="Arial" w:hAnsi="Arial" w:cs="Arial"/>
          <w:sz w:val="20"/>
          <w:szCs w:val="20"/>
        </w:rPr>
        <w:t xml:space="preserve">, </w:t>
      </w:r>
      <w:r w:rsidR="00720FC2" w:rsidRPr="00E3692F">
        <w:rPr>
          <w:rFonts w:ascii="Arial" w:hAnsi="Arial" w:cs="Arial"/>
          <w:sz w:val="20"/>
          <w:szCs w:val="20"/>
        </w:rPr>
        <w:t xml:space="preserve">et </w:t>
      </w:r>
      <w:r w:rsidR="00D9393D">
        <w:rPr>
          <w:rFonts w:ascii="Arial" w:hAnsi="Arial" w:cs="Arial"/>
          <w:sz w:val="20"/>
          <w:szCs w:val="20"/>
        </w:rPr>
        <w:t>a</w:t>
      </w:r>
      <w:r w:rsidR="00720FC2" w:rsidRPr="00E3692F">
        <w:rPr>
          <w:rFonts w:ascii="Arial" w:hAnsi="Arial" w:cs="Arial"/>
          <w:sz w:val="20"/>
          <w:szCs w:val="20"/>
        </w:rPr>
        <w:t xml:space="preserve">jout </w:t>
      </w:r>
      <w:r w:rsidR="00D9393D">
        <w:rPr>
          <w:rFonts w:ascii="Arial" w:hAnsi="Arial" w:cs="Arial"/>
          <w:sz w:val="20"/>
          <w:szCs w:val="20"/>
        </w:rPr>
        <w:t>d</w:t>
      </w:r>
      <w:r w:rsidR="00720FC2" w:rsidRPr="00E3692F">
        <w:rPr>
          <w:rFonts w:ascii="Arial" w:hAnsi="Arial" w:cs="Arial"/>
          <w:sz w:val="20"/>
          <w:szCs w:val="20"/>
        </w:rPr>
        <w:t>u caractère dans le chapitre</w:t>
      </w:r>
      <w:r w:rsidR="00F90B10" w:rsidRPr="00E3692F">
        <w:rPr>
          <w:rFonts w:ascii="Arial" w:hAnsi="Arial" w:cs="Arial"/>
          <w:sz w:val="20"/>
          <w:szCs w:val="20"/>
        </w:rPr>
        <w:t> </w:t>
      </w:r>
      <w:r w:rsidR="00564F07" w:rsidRPr="00E3692F">
        <w:rPr>
          <w:rFonts w:ascii="Arial" w:hAnsi="Arial" w:cs="Arial"/>
          <w:sz w:val="20"/>
          <w:szCs w:val="20"/>
        </w:rPr>
        <w:t>Q</w:t>
      </w:r>
      <w:r w:rsidR="00720FC2" w:rsidRPr="00E3692F">
        <w:rPr>
          <w:rFonts w:ascii="Arial" w:hAnsi="Arial" w:cs="Arial"/>
          <w:sz w:val="20"/>
          <w:szCs w:val="20"/>
        </w:rPr>
        <w:t>T</w:t>
      </w:r>
      <w:r w:rsidR="008C307A" w:rsidRPr="00E3692F">
        <w:rPr>
          <w:rFonts w:ascii="Arial" w:hAnsi="Arial" w:cs="Arial"/>
          <w:sz w:val="20"/>
          <w:szCs w:val="20"/>
        </w:rPr>
        <w:t> </w:t>
      </w:r>
      <w:r w:rsidR="00564F07" w:rsidRPr="00E3692F">
        <w:rPr>
          <w:rFonts w:ascii="Arial" w:hAnsi="Arial" w:cs="Arial"/>
          <w:sz w:val="20"/>
          <w:szCs w:val="20"/>
        </w:rPr>
        <w:t>7 “</w:t>
      </w:r>
      <w:r w:rsidR="00720FC2" w:rsidRPr="00E3692F">
        <w:rPr>
          <w:rFonts w:ascii="Arial" w:hAnsi="Arial" w:cs="Arial"/>
          <w:sz w:val="20"/>
          <w:szCs w:val="20"/>
        </w:rPr>
        <w:t>Renseignements complémentaires pouvant faciliter l</w:t>
      </w:r>
      <w:r w:rsidR="00626E14" w:rsidRPr="00E3692F">
        <w:rPr>
          <w:rFonts w:ascii="Arial" w:hAnsi="Arial" w:cs="Arial"/>
          <w:sz w:val="20"/>
          <w:szCs w:val="20"/>
        </w:rPr>
        <w:t>’</w:t>
      </w:r>
      <w:r w:rsidR="00720FC2" w:rsidRPr="00E3692F">
        <w:rPr>
          <w:rFonts w:ascii="Arial" w:hAnsi="Arial" w:cs="Arial"/>
          <w:sz w:val="20"/>
          <w:szCs w:val="20"/>
        </w:rPr>
        <w:t>examen de la variété</w:t>
      </w:r>
      <w:r w:rsidR="00564F07" w:rsidRPr="00E3692F">
        <w:rPr>
          <w:rFonts w:ascii="Arial" w:hAnsi="Arial" w:cs="Arial"/>
          <w:sz w:val="20"/>
          <w:szCs w:val="20"/>
        </w:rPr>
        <w:t>”</w:t>
      </w:r>
    </w:p>
    <w:p w:rsidR="003E2271" w:rsidRPr="00E3692F" w:rsidRDefault="003E2271" w:rsidP="00BD4526">
      <w:pPr>
        <w:rPr>
          <w:lang w:val="fr-FR" w:eastAsia="ja-JP"/>
        </w:rPr>
      </w:pPr>
    </w:p>
    <w:p w:rsidR="003E2271" w:rsidRPr="00E3692F" w:rsidRDefault="003E2271" w:rsidP="00BD4526">
      <w:pPr>
        <w:rPr>
          <w:lang w:val="fr-FR" w:eastAsia="ja-JP"/>
        </w:rPr>
      </w:pPr>
    </w:p>
    <w:p w:rsidR="00626E14" w:rsidRPr="00E3692F" w:rsidRDefault="003E2271" w:rsidP="00BD4526">
      <w:pPr>
        <w:rPr>
          <w:rFonts w:cs="Arial"/>
          <w:u w:val="single"/>
          <w:lang w:val="fr-FR"/>
        </w:rPr>
      </w:pPr>
      <w:r w:rsidRPr="00E3692F">
        <w:rPr>
          <w:rFonts w:cs="Arial"/>
          <w:u w:val="single"/>
          <w:lang w:val="fr-FR"/>
        </w:rPr>
        <w:t>N</w:t>
      </w:r>
      <w:r w:rsidR="008C307A" w:rsidRPr="00E3692F">
        <w:rPr>
          <w:rFonts w:cs="Arial"/>
          <w:u w:val="single"/>
          <w:lang w:val="fr-FR"/>
        </w:rPr>
        <w:t>ouveau caractère </w:t>
      </w:r>
      <w:r w:rsidR="003755FF" w:rsidRPr="00E3692F">
        <w:rPr>
          <w:rFonts w:cs="Arial"/>
          <w:u w:val="single"/>
          <w:lang w:val="fr-FR"/>
        </w:rPr>
        <w:t>51</w:t>
      </w:r>
      <w:r w:rsidRPr="00E3692F">
        <w:rPr>
          <w:rFonts w:cs="Arial"/>
          <w:u w:val="single"/>
          <w:lang w:val="fr-FR"/>
        </w:rPr>
        <w:t xml:space="preserve"> “</w:t>
      </w:r>
      <w:r w:rsidR="008E42BB" w:rsidRPr="00E3692F">
        <w:rPr>
          <w:rFonts w:cs="Arial"/>
          <w:u w:val="single"/>
          <w:lang w:val="fr-FR"/>
        </w:rPr>
        <w:t>Résistance au Cucurbit yellow stunting disorder virus</w:t>
      </w:r>
      <w:r w:rsidRPr="00E3692F">
        <w:rPr>
          <w:rFonts w:cs="Arial"/>
          <w:u w:val="single"/>
          <w:lang w:val="fr-FR"/>
        </w:rPr>
        <w:t xml:space="preserve"> (CYSDV)”</w:t>
      </w:r>
    </w:p>
    <w:p w:rsidR="003755FF" w:rsidRPr="00E3692F" w:rsidRDefault="003755FF" w:rsidP="00BD4526">
      <w:pPr>
        <w:rPr>
          <w:lang w:val="fr-FR" w:eastAsia="ja-JP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E2271" w:rsidRPr="00897EE4" w:rsidTr="009300C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51. </w:t>
            </w: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DE5CF3" w:rsidRDefault="003E2271" w:rsidP="00BD4526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E5CF3">
              <w:rPr>
                <w:rFonts w:ascii="Arial" w:hAnsi="Arial" w:cs="Arial"/>
                <w:noProof w:val="0"/>
                <w:sz w:val="16"/>
                <w:szCs w:val="16"/>
              </w:rPr>
              <w:t>Resistance to Cucurbit yellow stunting disorder virus (CYSDV)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au Cucurbit yellow stunting disorder virus (CYSDV)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 xml:space="preserve">Resistenz gegen </w:t>
            </w: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Cucurbit yellow stunting disorder virus (CYSDV)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DE5CF3" w:rsidRDefault="003E2271" w:rsidP="00BD4526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E5CF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amarilleo del pepino (CYSDV)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DE5CF3" w:rsidRDefault="003E2271" w:rsidP="00BD4526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2271" w:rsidRPr="00DE5CF3" w:rsidRDefault="003E2271" w:rsidP="00BD4526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3E2271" w:rsidRPr="00E3692F" w:rsidTr="009300C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Burgos, Castro, Corona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1</w:t>
            </w:r>
          </w:p>
        </w:tc>
      </w:tr>
      <w:tr w:rsidR="003E2271" w:rsidRPr="00E3692F" w:rsidTr="009300C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 w:eastAsia="hu-HU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Atalaya, Fortyca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E2271" w:rsidRPr="00E3692F" w:rsidRDefault="003E2271" w:rsidP="00BD4526">
            <w:pPr>
              <w:pStyle w:val="Normalt"/>
              <w:keepNext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3692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9</w:t>
            </w:r>
          </w:p>
        </w:tc>
      </w:tr>
    </w:tbl>
    <w:p w:rsidR="003E2271" w:rsidRPr="00E3692F" w:rsidRDefault="003E2271" w:rsidP="00BD4526">
      <w:pPr>
        <w:jc w:val="right"/>
        <w:rPr>
          <w:rFonts w:cs="Arial"/>
          <w:snapToGrid w:val="0"/>
          <w:lang w:val="fr-FR"/>
        </w:rPr>
      </w:pPr>
    </w:p>
    <w:p w:rsidR="003E2271" w:rsidRPr="00E3692F" w:rsidRDefault="003E2271" w:rsidP="00BD4526">
      <w:pPr>
        <w:jc w:val="left"/>
        <w:rPr>
          <w:rFonts w:cs="Arial"/>
          <w:snapToGrid w:val="0"/>
          <w:lang w:val="fr-FR"/>
        </w:rPr>
      </w:pPr>
    </w:p>
    <w:p w:rsidR="003E2271" w:rsidRPr="00E3692F" w:rsidRDefault="003E2271" w:rsidP="00BD4526">
      <w:pPr>
        <w:jc w:val="left"/>
        <w:rPr>
          <w:rFonts w:cs="Arial"/>
          <w:snapToGrid w:val="0"/>
          <w:lang w:val="fr-FR"/>
        </w:rPr>
      </w:pPr>
      <w:r w:rsidRPr="00E3692F">
        <w:rPr>
          <w:rFonts w:cs="Arial"/>
          <w:snapToGrid w:val="0"/>
          <w:lang w:val="fr-FR"/>
        </w:rPr>
        <w:br w:type="page"/>
      </w:r>
    </w:p>
    <w:p w:rsidR="003E2271" w:rsidRPr="00DE5CF3" w:rsidRDefault="008C307A" w:rsidP="00BD4526">
      <w:pPr>
        <w:jc w:val="left"/>
        <w:rPr>
          <w:rFonts w:cs="Arial"/>
          <w:snapToGrid w:val="0"/>
          <w:u w:val="single"/>
        </w:rPr>
      </w:pPr>
      <w:r w:rsidRPr="00DE5CF3">
        <w:rPr>
          <w:u w:val="single"/>
        </w:rPr>
        <w:lastRenderedPageBreak/>
        <w:t>Ad. </w:t>
      </w:r>
      <w:r w:rsidR="003E2271" w:rsidRPr="00DE5CF3">
        <w:rPr>
          <w:u w:val="single"/>
        </w:rPr>
        <w:t>51</w:t>
      </w:r>
      <w:r w:rsidR="00F90B10" w:rsidRPr="00DE5CF3">
        <w:rPr>
          <w:u w:val="single"/>
        </w:rPr>
        <w:t> :</w:t>
      </w:r>
      <w:r w:rsidR="003E2271" w:rsidRPr="00DE5CF3">
        <w:rPr>
          <w:u w:val="single"/>
        </w:rPr>
        <w:t xml:space="preserve"> </w:t>
      </w:r>
      <w:r w:rsidR="00A501F5" w:rsidRPr="00DE5CF3">
        <w:rPr>
          <w:rFonts w:cs="Arial"/>
          <w:u w:val="single"/>
        </w:rPr>
        <w:t>Résistance au Cucurbit yellow stunting disorder virus</w:t>
      </w:r>
      <w:r w:rsidR="003E2271" w:rsidRPr="00DE5CF3">
        <w:rPr>
          <w:u w:val="single"/>
        </w:rPr>
        <w:t xml:space="preserve"> (CYSDV)</w:t>
      </w:r>
    </w:p>
    <w:p w:rsidR="003E2271" w:rsidRPr="00DE5CF3" w:rsidRDefault="003E2271" w:rsidP="00BD4526">
      <w:pPr>
        <w:jc w:val="left"/>
        <w:rPr>
          <w:rFonts w:cs="Arial"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1.</w:t>
            </w:r>
          </w:p>
        </w:tc>
        <w:tc>
          <w:tcPr>
            <w:tcW w:w="3164" w:type="dxa"/>
          </w:tcPr>
          <w:p w:rsidR="003E2271" w:rsidRPr="00E3692F" w:rsidRDefault="00B740ED" w:rsidP="00DE5CF3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Agent pathogène</w:t>
            </w:r>
          </w:p>
        </w:tc>
        <w:tc>
          <w:tcPr>
            <w:tcW w:w="5908" w:type="dxa"/>
          </w:tcPr>
          <w:p w:rsidR="003E2271" w:rsidRPr="00DE5CF3" w:rsidRDefault="003E2271" w:rsidP="00BD4526">
            <w:pPr>
              <w:spacing w:before="20" w:after="20"/>
              <w:rPr>
                <w:rFonts w:cs="Arial"/>
              </w:rPr>
            </w:pPr>
            <w:r w:rsidRPr="00DE5CF3">
              <w:rPr>
                <w:bCs/>
                <w:lang w:eastAsia="nl-NL"/>
              </w:rPr>
              <w:t>Cucurbit yellow stunting disorder virus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2.</w:t>
            </w:r>
          </w:p>
        </w:tc>
        <w:tc>
          <w:tcPr>
            <w:tcW w:w="3164" w:type="dxa"/>
          </w:tcPr>
          <w:p w:rsidR="003E2271" w:rsidRPr="00E3692F" w:rsidRDefault="00B740E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État de quarantaine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lang w:val="fr-FR" w:eastAsia="nl-NL"/>
              </w:rPr>
              <w:t>o</w:t>
            </w:r>
            <w:r w:rsidR="00B740ED" w:rsidRPr="00E3692F">
              <w:rPr>
                <w:lang w:val="fr-FR" w:eastAsia="nl-NL"/>
              </w:rPr>
              <w:t>ui</w:t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3.</w:t>
            </w:r>
          </w:p>
        </w:tc>
        <w:tc>
          <w:tcPr>
            <w:tcW w:w="3164" w:type="dxa"/>
          </w:tcPr>
          <w:p w:rsidR="003E2271" w:rsidRPr="00E3692F" w:rsidRDefault="00B740E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Espèces hôtes</w:t>
            </w:r>
          </w:p>
        </w:tc>
        <w:tc>
          <w:tcPr>
            <w:tcW w:w="5908" w:type="dxa"/>
          </w:tcPr>
          <w:p w:rsidR="003E2271" w:rsidRPr="00DE5CF3" w:rsidRDefault="003E2271" w:rsidP="00BD4526">
            <w:pPr>
              <w:spacing w:before="20" w:after="20"/>
              <w:rPr>
                <w:rFonts w:cs="Arial"/>
                <w:lang w:val="es-ES"/>
              </w:rPr>
            </w:pPr>
            <w:r w:rsidRPr="00DE5CF3">
              <w:rPr>
                <w:bCs/>
                <w:i/>
                <w:lang w:val="es-ES" w:eastAsia="nl-NL"/>
              </w:rPr>
              <w:t>Cucumber sativus, Cucumis melo, Cucurbita pepo, Citrullus lanatus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4.</w:t>
            </w:r>
          </w:p>
        </w:tc>
        <w:tc>
          <w:tcPr>
            <w:tcW w:w="3164" w:type="dxa"/>
          </w:tcPr>
          <w:p w:rsidR="003E2271" w:rsidRPr="00E3692F" w:rsidRDefault="00B740E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Source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bCs/>
                <w:lang w:val="fr-FR" w:eastAsia="nl-NL"/>
              </w:rPr>
            </w:pPr>
            <w:r w:rsidRPr="00E3692F">
              <w:rPr>
                <w:bCs/>
                <w:lang w:val="fr-FR" w:eastAsia="nl-NL"/>
              </w:rPr>
              <w:t>CSIC</w:t>
            </w:r>
            <w:r w:rsidR="008C307A" w:rsidRPr="00E3692F">
              <w:rPr>
                <w:bCs/>
                <w:lang w:val="fr-FR" w:eastAsia="nl-NL"/>
              </w:rPr>
              <w:noBreakHyphen/>
            </w:r>
            <w:r w:rsidRPr="00E3692F">
              <w:rPr>
                <w:bCs/>
                <w:lang w:val="fr-FR" w:eastAsia="nl-NL"/>
              </w:rPr>
              <w:t>La Mayora (Spain)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5.</w:t>
            </w:r>
          </w:p>
        </w:tc>
        <w:tc>
          <w:tcPr>
            <w:tcW w:w="3164" w:type="dxa"/>
          </w:tcPr>
          <w:p w:rsidR="003E2271" w:rsidRPr="00E3692F" w:rsidRDefault="003E2271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Isolat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bCs/>
                <w:lang w:val="fr-FR" w:eastAsia="nl-NL"/>
              </w:rPr>
            </w:pPr>
            <w:r w:rsidRPr="00E3692F">
              <w:rPr>
                <w:bCs/>
                <w:lang w:val="fr-FR" w:eastAsia="nl-NL"/>
              </w:rPr>
              <w:t>CYSDV La Mayora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6.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Identification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isolat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7.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Détermination du pouvoir pathogène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Multiplication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8.1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Milieu de multiplication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8.2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Variété multipliée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8.3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Stade de la plante lors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8.4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Milieu d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8.5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Méthode d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8.6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Récolte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8.7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Vérification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 récolté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8.8</w:t>
            </w:r>
          </w:p>
        </w:tc>
        <w:tc>
          <w:tcPr>
            <w:tcW w:w="3164" w:type="dxa"/>
          </w:tcPr>
          <w:p w:rsidR="00B379A6" w:rsidRPr="00E3692F" w:rsidRDefault="00B379A6" w:rsidP="00DE5CF3">
            <w:pPr>
              <w:spacing w:before="20" w:after="20"/>
              <w:jc w:val="left"/>
              <w:rPr>
                <w:lang w:val="fr-FR"/>
              </w:rPr>
            </w:pPr>
            <w:r w:rsidRPr="00E3692F">
              <w:rPr>
                <w:lang w:val="fr-FR"/>
              </w:rPr>
              <w:t>Durée de conservation/</w:t>
            </w:r>
          </w:p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viabilité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Format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essai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9.1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Nombre de plantes par génotype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20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9.2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Nombre de répétitions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2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9.3</w:t>
            </w: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Variétés témoins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tabs>
                <w:tab w:val="left" w:leader="dot" w:pos="3544"/>
              </w:tabs>
              <w:spacing w:before="20" w:after="20"/>
              <w:rPr>
                <w:rFonts w:cs="Arial"/>
                <w:lang w:val="fr-FR"/>
              </w:rPr>
            </w:pP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rFonts w:eastAsia="Arial Unicode MS"/>
                <w:lang w:val="fr-FR"/>
              </w:rPr>
              <w:t>sensibles</w:t>
            </w:r>
          </w:p>
        </w:tc>
        <w:tc>
          <w:tcPr>
            <w:tcW w:w="5908" w:type="dxa"/>
          </w:tcPr>
          <w:p w:rsidR="003E2271" w:rsidRPr="00DE5CF3" w:rsidRDefault="003E2271" w:rsidP="00BD4526">
            <w:pPr>
              <w:tabs>
                <w:tab w:val="left" w:leader="dot" w:pos="3544"/>
              </w:tabs>
              <w:spacing w:before="20" w:after="20"/>
              <w:rPr>
                <w:rFonts w:cs="Arial"/>
                <w:b/>
                <w:lang w:val="es-ES"/>
              </w:rPr>
            </w:pPr>
            <w:r w:rsidRPr="00DE5CF3">
              <w:rPr>
                <w:lang w:val="es-ES"/>
              </w:rPr>
              <w:t>(Cucumis sativus) Burgos, Castro</w:t>
            </w:r>
            <w:r w:rsidR="004837A0" w:rsidRPr="00DE5CF3">
              <w:rPr>
                <w:lang w:val="es-ES"/>
              </w:rPr>
              <w:t>, Corona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DE5CF3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ES"/>
              </w:rPr>
            </w:pPr>
          </w:p>
        </w:tc>
        <w:tc>
          <w:tcPr>
            <w:tcW w:w="3164" w:type="dxa"/>
          </w:tcPr>
          <w:p w:rsidR="003E2271" w:rsidRPr="00E3692F" w:rsidRDefault="00B379A6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rFonts w:eastAsia="Arial Unicode MS"/>
                <w:lang w:val="fr-FR"/>
              </w:rPr>
              <w:t>résistantes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tabs>
                <w:tab w:val="left" w:leader="dot" w:pos="3544"/>
              </w:tabs>
              <w:spacing w:before="20" w:after="20"/>
              <w:rPr>
                <w:lang w:val="fr-FR"/>
              </w:rPr>
            </w:pPr>
            <w:r w:rsidRPr="00E3692F">
              <w:rPr>
                <w:lang w:val="fr-FR"/>
              </w:rPr>
              <w:t>(Cucumis sativus) Atalaya, Fortyca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9.4</w:t>
            </w:r>
          </w:p>
        </w:tc>
        <w:tc>
          <w:tcPr>
            <w:tcW w:w="3164" w:type="dxa"/>
          </w:tcPr>
          <w:p w:rsidR="003E2271" w:rsidRPr="00E3692F" w:rsidRDefault="009275D7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Protocole d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essai</w:t>
            </w:r>
          </w:p>
        </w:tc>
        <w:tc>
          <w:tcPr>
            <w:tcW w:w="5908" w:type="dxa"/>
          </w:tcPr>
          <w:p w:rsidR="003E2271" w:rsidRPr="00E3692F" w:rsidRDefault="00EF385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9.5</w:t>
            </w:r>
          </w:p>
        </w:tc>
        <w:tc>
          <w:tcPr>
            <w:tcW w:w="3164" w:type="dxa"/>
          </w:tcPr>
          <w:p w:rsidR="003E2271" w:rsidRPr="00E3692F" w:rsidRDefault="009275D7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Installation d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essai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lang w:val="fr-FR" w:eastAsia="nl-NL"/>
              </w:rPr>
              <w:t>s</w:t>
            </w:r>
            <w:r w:rsidR="009275D7" w:rsidRPr="00E3692F">
              <w:rPr>
                <w:lang w:val="fr-FR" w:eastAsia="nl-NL"/>
              </w:rPr>
              <w:t>erre</w:t>
            </w:r>
            <w:r w:rsidR="003E2271" w:rsidRPr="00E3692F">
              <w:rPr>
                <w:lang w:val="fr-FR" w:eastAsia="nl-NL"/>
              </w:rPr>
              <w:t>/</w:t>
            </w:r>
            <w:r w:rsidR="009275D7" w:rsidRPr="00E3692F">
              <w:rPr>
                <w:lang w:val="fr-FR" w:eastAsia="nl-NL"/>
              </w:rPr>
              <w:t>serre tunnel</w:t>
            </w:r>
            <w:r w:rsidR="003E2271" w:rsidRPr="00E3692F">
              <w:rPr>
                <w:lang w:val="fr-FR" w:eastAsia="nl-NL"/>
              </w:rPr>
              <w:t>/</w:t>
            </w:r>
            <w:r w:rsidR="009275D7" w:rsidRPr="00E3692F">
              <w:rPr>
                <w:lang w:val="fr-FR" w:eastAsia="nl-NL"/>
              </w:rPr>
              <w:t>chambre climatisée</w:t>
            </w:r>
            <w:r w:rsidR="003E2271" w:rsidRPr="00E3692F">
              <w:rPr>
                <w:color w:val="0070C0"/>
                <w:lang w:val="fr-FR" w:eastAsia="nl-NL"/>
              </w:rPr>
              <w:t xml:space="preserve"> 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9.6</w:t>
            </w:r>
          </w:p>
        </w:tc>
        <w:tc>
          <w:tcPr>
            <w:tcW w:w="3164" w:type="dxa"/>
          </w:tcPr>
          <w:p w:rsidR="003E2271" w:rsidRPr="00E3692F" w:rsidRDefault="004240BC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Température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9.7</w:t>
            </w:r>
          </w:p>
        </w:tc>
        <w:tc>
          <w:tcPr>
            <w:tcW w:w="3164" w:type="dxa"/>
          </w:tcPr>
          <w:p w:rsidR="003E2271" w:rsidRPr="00E3692F" w:rsidRDefault="004240BC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Lumière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9.8</w:t>
            </w:r>
          </w:p>
        </w:tc>
        <w:tc>
          <w:tcPr>
            <w:tcW w:w="3164" w:type="dxa"/>
          </w:tcPr>
          <w:p w:rsidR="003E2271" w:rsidRPr="00E3692F" w:rsidRDefault="004240BC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Saison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9.9</w:t>
            </w:r>
          </w:p>
        </w:tc>
        <w:tc>
          <w:tcPr>
            <w:tcW w:w="3164" w:type="dxa"/>
          </w:tcPr>
          <w:p w:rsidR="003E2271" w:rsidRPr="00E3692F" w:rsidRDefault="004240BC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Mesures spéciales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lang w:val="fr-FR" w:eastAsia="nl-NL"/>
              </w:rPr>
              <w:t>E</w:t>
            </w:r>
            <w:r w:rsidR="00907895" w:rsidRPr="00E3692F">
              <w:rPr>
                <w:lang w:val="fr-FR" w:eastAsia="nl-NL"/>
              </w:rPr>
              <w:t>mpêcher la propagation de mouches blanches</w:t>
            </w:r>
            <w:r w:rsidR="00A75240" w:rsidRPr="00E3692F">
              <w:rPr>
                <w:lang w:val="fr-FR" w:eastAsia="nl-NL"/>
              </w:rPr>
              <w:t>;</w:t>
            </w:r>
            <w:r w:rsidR="003E2271" w:rsidRPr="00E3692F">
              <w:rPr>
                <w:lang w:val="fr-FR"/>
              </w:rPr>
              <w:t xml:space="preserve"> </w:t>
            </w:r>
            <w:r w:rsidR="00F90B10" w:rsidRPr="00E3692F">
              <w:rPr>
                <w:lang w:val="fr-FR" w:eastAsia="nl-NL"/>
              </w:rPr>
              <w:t xml:space="preserve"> </w:t>
            </w:r>
            <w:r w:rsidR="00A75240" w:rsidRPr="00E3692F">
              <w:rPr>
                <w:lang w:val="fr-FR"/>
              </w:rPr>
              <w:t>recouvrir les plantes avec un filet à l</w:t>
            </w:r>
            <w:r w:rsidR="00626E14" w:rsidRPr="00E3692F">
              <w:rPr>
                <w:lang w:val="fr-FR"/>
              </w:rPr>
              <w:t>’</w:t>
            </w:r>
            <w:r w:rsidR="00A75240" w:rsidRPr="00E3692F">
              <w:rPr>
                <w:lang w:val="fr-FR"/>
              </w:rPr>
              <w:t>épreuve des mouches blanches dans la serre</w:t>
            </w:r>
            <w:r w:rsidRPr="00E3692F">
              <w:rPr>
                <w:lang w:val="fr-FR"/>
              </w:rPr>
              <w:t>.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</w:t>
            </w:r>
          </w:p>
        </w:tc>
        <w:tc>
          <w:tcPr>
            <w:tcW w:w="3164" w:type="dxa"/>
          </w:tcPr>
          <w:p w:rsidR="003E2271" w:rsidRPr="00E3692F" w:rsidRDefault="003E2271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10.1</w:t>
            </w:r>
          </w:p>
        </w:tc>
        <w:tc>
          <w:tcPr>
            <w:tcW w:w="3164" w:type="dxa"/>
          </w:tcPr>
          <w:p w:rsidR="003E2271" w:rsidRPr="00E3692F" w:rsidRDefault="006319A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Préparation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10.2</w:t>
            </w:r>
          </w:p>
        </w:tc>
        <w:tc>
          <w:tcPr>
            <w:tcW w:w="3164" w:type="dxa"/>
          </w:tcPr>
          <w:p w:rsidR="003E2271" w:rsidRPr="00E3692F" w:rsidRDefault="006319A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Quantification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inoculum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10.3</w:t>
            </w:r>
          </w:p>
        </w:tc>
        <w:tc>
          <w:tcPr>
            <w:tcW w:w="3164" w:type="dxa"/>
          </w:tcPr>
          <w:p w:rsidR="003E2271" w:rsidRPr="00E3692F" w:rsidRDefault="006319A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Stade de la plante lors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lang w:val="fr-FR" w:eastAsia="nl-NL"/>
              </w:rPr>
              <w:t>2</w:t>
            </w:r>
            <w:r w:rsidR="006319AD" w:rsidRPr="00E3692F">
              <w:rPr>
                <w:lang w:val="fr-FR" w:eastAsia="nl-NL"/>
              </w:rPr>
              <w:t xml:space="preserve"> à </w:t>
            </w:r>
            <w:r w:rsidR="008C307A" w:rsidRPr="00E3692F">
              <w:rPr>
                <w:lang w:val="fr-FR" w:eastAsia="nl-NL"/>
              </w:rPr>
              <w:t>4 </w:t>
            </w:r>
            <w:r w:rsidR="006319AD" w:rsidRPr="00E3692F">
              <w:rPr>
                <w:lang w:val="fr-FR" w:eastAsia="nl-NL"/>
              </w:rPr>
              <w:t>semaines</w:t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10.4</w:t>
            </w:r>
          </w:p>
        </w:tc>
        <w:tc>
          <w:tcPr>
            <w:tcW w:w="3164" w:type="dxa"/>
          </w:tcPr>
          <w:p w:rsidR="003E2271" w:rsidRPr="00E3692F" w:rsidRDefault="006319AD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Méthode de l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inoculation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lang w:val="fr-FR" w:eastAsia="nl-NL"/>
              </w:rPr>
              <w:t>v</w:t>
            </w:r>
            <w:r w:rsidR="006319AD" w:rsidRPr="00E3692F">
              <w:rPr>
                <w:lang w:val="fr-FR" w:eastAsia="nl-NL"/>
              </w:rPr>
              <w:t>ecteur (mouches blanches Bemisia porteuses du virus</w:t>
            </w:r>
            <w:r w:rsidR="009A1C8F" w:rsidRPr="00E3692F">
              <w:rPr>
                <w:lang w:val="fr-FR" w:eastAsia="nl-NL"/>
              </w:rPr>
              <w:t xml:space="preserve"> </w:t>
            </w:r>
            <w:r w:rsidR="009A1C8F" w:rsidRPr="00DE5CF3">
              <w:rPr>
                <w:lang w:val="fr-FR"/>
              </w:rPr>
              <w:t>CYSDV</w:t>
            </w:r>
            <w:r w:rsidR="006319AD" w:rsidRPr="00E3692F">
              <w:rPr>
                <w:lang w:val="fr-FR" w:eastAsia="nl-NL"/>
              </w:rPr>
              <w:t>)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10.5</w:t>
            </w:r>
          </w:p>
        </w:tc>
        <w:tc>
          <w:tcPr>
            <w:tcW w:w="3164" w:type="dxa"/>
          </w:tcPr>
          <w:p w:rsidR="003E2271" w:rsidRPr="00E3692F" w:rsidRDefault="00E9206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Première observation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10.6</w:t>
            </w:r>
          </w:p>
        </w:tc>
        <w:tc>
          <w:tcPr>
            <w:tcW w:w="3164" w:type="dxa"/>
          </w:tcPr>
          <w:p w:rsidR="003E2271" w:rsidRPr="00E3692F" w:rsidRDefault="00E9206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Seconde observation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10.7</w:t>
            </w:r>
          </w:p>
        </w:tc>
        <w:tc>
          <w:tcPr>
            <w:tcW w:w="3164" w:type="dxa"/>
          </w:tcPr>
          <w:p w:rsidR="003E2271" w:rsidRPr="00E3692F" w:rsidRDefault="00E9206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Observations finales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bCs/>
                <w:lang w:val="fr-FR" w:eastAsia="nl-NL"/>
              </w:rPr>
              <w:t>1</w:t>
            </w:r>
            <w:r w:rsidR="00E9206B" w:rsidRPr="00E3692F">
              <w:rPr>
                <w:bCs/>
                <w:lang w:val="fr-FR" w:eastAsia="nl-NL"/>
              </w:rPr>
              <w:t xml:space="preserve"> à </w:t>
            </w:r>
            <w:r w:rsidRPr="00E3692F">
              <w:rPr>
                <w:bCs/>
                <w:lang w:val="fr-FR" w:eastAsia="nl-NL"/>
              </w:rPr>
              <w:t>2</w:t>
            </w:r>
            <w:r w:rsidR="008C307A" w:rsidRPr="00E3692F">
              <w:rPr>
                <w:bCs/>
                <w:lang w:val="fr-FR" w:eastAsia="nl-NL"/>
              </w:rPr>
              <w:t> </w:t>
            </w:r>
            <w:r w:rsidR="00E9206B" w:rsidRPr="00E3692F">
              <w:rPr>
                <w:bCs/>
                <w:lang w:val="fr-FR" w:eastAsia="nl-NL"/>
              </w:rPr>
              <w:t xml:space="preserve">mois </w:t>
            </w:r>
            <w:r w:rsidR="00E9206B" w:rsidRPr="00E3692F">
              <w:rPr>
                <w:rFonts w:eastAsia="Arial Unicode MS"/>
                <w:lang w:val="fr-FR"/>
              </w:rPr>
              <w:t>après inoculation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11.</w:t>
            </w:r>
          </w:p>
        </w:tc>
        <w:tc>
          <w:tcPr>
            <w:tcW w:w="3164" w:type="dxa"/>
          </w:tcPr>
          <w:p w:rsidR="003E2271" w:rsidRPr="00E3692F" w:rsidRDefault="00E9206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Observations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11.1</w:t>
            </w:r>
          </w:p>
        </w:tc>
        <w:tc>
          <w:tcPr>
            <w:tcW w:w="3164" w:type="dxa"/>
          </w:tcPr>
          <w:p w:rsidR="003E2271" w:rsidRPr="00E3692F" w:rsidRDefault="00E9206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Méthode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bCs/>
                <w:lang w:val="fr-FR" w:eastAsia="nl-NL"/>
              </w:rPr>
              <w:t>v</w:t>
            </w:r>
            <w:r w:rsidR="003E2271" w:rsidRPr="00E3692F">
              <w:rPr>
                <w:bCs/>
                <w:lang w:val="fr-FR" w:eastAsia="nl-NL"/>
              </w:rPr>
              <w:t>isu</w:t>
            </w:r>
            <w:r w:rsidR="005A1867" w:rsidRPr="00E3692F">
              <w:rPr>
                <w:bCs/>
                <w:lang w:val="fr-FR" w:eastAsia="nl-NL"/>
              </w:rPr>
              <w:t>e</w:t>
            </w:r>
            <w:r w:rsidR="003E2271" w:rsidRPr="00E3692F">
              <w:rPr>
                <w:bCs/>
                <w:lang w:val="fr-FR" w:eastAsia="nl-NL"/>
              </w:rPr>
              <w:t>l</w:t>
            </w:r>
            <w:r w:rsidR="005A1867" w:rsidRPr="00E3692F">
              <w:rPr>
                <w:bCs/>
                <w:lang w:val="fr-FR" w:eastAsia="nl-NL"/>
              </w:rPr>
              <w:t>le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11.2</w:t>
            </w:r>
          </w:p>
        </w:tc>
        <w:tc>
          <w:tcPr>
            <w:tcW w:w="3164" w:type="dxa"/>
          </w:tcPr>
          <w:p w:rsidR="003E2271" w:rsidRPr="00E3692F" w:rsidRDefault="00E9206B" w:rsidP="00DE5CF3">
            <w:pPr>
              <w:keepNext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Échelle d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>observation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bCs/>
                <w:lang w:val="fr-FR" w:eastAsia="nl-NL"/>
              </w:rPr>
              <w:t>s</w:t>
            </w:r>
            <w:r w:rsidR="00AA3B5D" w:rsidRPr="00E3692F">
              <w:rPr>
                <w:bCs/>
                <w:lang w:val="fr-FR" w:eastAsia="nl-NL"/>
              </w:rPr>
              <w:t>ymptômes : jaunissement des feuilles</w:t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11.3</w:t>
            </w:r>
          </w:p>
        </w:tc>
        <w:tc>
          <w:tcPr>
            <w:tcW w:w="3164" w:type="dxa"/>
          </w:tcPr>
          <w:p w:rsidR="003E2271" w:rsidRPr="00E3692F" w:rsidRDefault="003E2271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 xml:space="preserve">Validation </w:t>
            </w:r>
            <w:r w:rsidR="006C32F9" w:rsidRPr="00E3692F">
              <w:rPr>
                <w:rFonts w:cs="Arial"/>
                <w:lang w:val="fr-FR"/>
              </w:rPr>
              <w:t>de l</w:t>
            </w:r>
            <w:r w:rsidR="00626E14" w:rsidRPr="00E3692F">
              <w:rPr>
                <w:rFonts w:cs="Arial"/>
                <w:lang w:val="fr-FR"/>
              </w:rPr>
              <w:t>’</w:t>
            </w:r>
            <w:r w:rsidR="006C32F9" w:rsidRPr="00E3692F">
              <w:rPr>
                <w:rFonts w:cs="Arial"/>
                <w:lang w:val="fr-FR"/>
              </w:rPr>
              <w:t>essai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L</w:t>
            </w:r>
            <w:r w:rsidR="00626E14" w:rsidRPr="00E3692F">
              <w:rPr>
                <w:lang w:val="fr-FR"/>
              </w:rPr>
              <w:t>’</w:t>
            </w:r>
            <w:r w:rsidR="006C32F9" w:rsidRPr="00E3692F">
              <w:rPr>
                <w:lang w:val="fr-FR"/>
              </w:rPr>
              <w:t>évaluation de la résistance des variétés doit être calibrée avec les résultats des contrôles de résistance et de sensibilité</w:t>
            </w:r>
            <w:r w:rsidRPr="00E3692F">
              <w:rPr>
                <w:lang w:val="fr-FR"/>
              </w:rPr>
              <w:t>.</w:t>
            </w: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11.4</w:t>
            </w:r>
          </w:p>
        </w:tc>
        <w:tc>
          <w:tcPr>
            <w:tcW w:w="3164" w:type="dxa"/>
          </w:tcPr>
          <w:p w:rsidR="003E2271" w:rsidRPr="00E3692F" w:rsidRDefault="006E0C6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Hors</w:t>
            </w:r>
            <w:r w:rsidR="008C307A" w:rsidRPr="00E3692F">
              <w:rPr>
                <w:lang w:val="fr-FR"/>
              </w:rPr>
              <w:noBreakHyphen/>
            </w:r>
            <w:r w:rsidRPr="00E3692F">
              <w:rPr>
                <w:lang w:val="fr-FR"/>
              </w:rPr>
              <w:t>types</w:t>
            </w:r>
          </w:p>
        </w:tc>
        <w:tc>
          <w:tcPr>
            <w:tcW w:w="5908" w:type="dxa"/>
          </w:tcPr>
          <w:p w:rsidR="003E2271" w:rsidRPr="00E3692F" w:rsidRDefault="008C307A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noBreakHyphen/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12.</w:t>
            </w:r>
          </w:p>
        </w:tc>
        <w:tc>
          <w:tcPr>
            <w:tcW w:w="3164" w:type="dxa"/>
          </w:tcPr>
          <w:p w:rsidR="003E2271" w:rsidRPr="00E3692F" w:rsidRDefault="003B1CED" w:rsidP="00DE5CF3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E3692F">
              <w:rPr>
                <w:bCs/>
                <w:lang w:val="fr-FR"/>
              </w:rPr>
              <w:t>Interprétation des données en termes de niveaux d</w:t>
            </w:r>
            <w:r w:rsidR="00626E14" w:rsidRPr="00E3692F">
              <w:rPr>
                <w:bCs/>
                <w:lang w:val="fr-FR"/>
              </w:rPr>
              <w:t>’</w:t>
            </w:r>
            <w:r w:rsidRPr="00E3692F">
              <w:rPr>
                <w:bCs/>
                <w:lang w:val="fr-FR"/>
              </w:rPr>
              <w:t>expression des caractères de l</w:t>
            </w:r>
            <w:r w:rsidR="00626E14" w:rsidRPr="00E3692F">
              <w:rPr>
                <w:bCs/>
                <w:lang w:val="fr-FR"/>
              </w:rPr>
              <w:t>’</w:t>
            </w:r>
            <w:r w:rsidRPr="00E3692F">
              <w:rPr>
                <w:bCs/>
                <w:lang w:val="fr-FR"/>
              </w:rPr>
              <w:t>UPOV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</w:p>
        </w:tc>
      </w:tr>
      <w:tr w:rsidR="003E2271" w:rsidRPr="00E3692F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</w:p>
        </w:tc>
        <w:tc>
          <w:tcPr>
            <w:tcW w:w="3164" w:type="dxa"/>
          </w:tcPr>
          <w:p w:rsidR="003E2271" w:rsidRPr="00E3692F" w:rsidRDefault="003E2271" w:rsidP="00DE5CF3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absent</w:t>
            </w:r>
            <w:r w:rsidR="00E62006" w:rsidRPr="00E3692F">
              <w:rPr>
                <w:rFonts w:cs="Arial"/>
                <w:lang w:val="fr-FR"/>
              </w:rPr>
              <w:t>e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bCs/>
                <w:lang w:val="fr-FR" w:eastAsia="nl-NL"/>
              </w:rPr>
              <w:t>[1]</w:t>
            </w:r>
            <w:r w:rsidRPr="00E3692F">
              <w:rPr>
                <w:bCs/>
                <w:lang w:val="fr-FR" w:eastAsia="nl-NL"/>
              </w:rPr>
              <w:tab/>
            </w:r>
            <w:r w:rsidR="00E62006" w:rsidRPr="00E3692F">
              <w:rPr>
                <w:bCs/>
                <w:lang w:val="fr-FR" w:eastAsia="nl-NL"/>
              </w:rPr>
              <w:t>symptômes sévères</w:t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FR"/>
              </w:rPr>
            </w:pPr>
          </w:p>
        </w:tc>
        <w:tc>
          <w:tcPr>
            <w:tcW w:w="3164" w:type="dxa"/>
          </w:tcPr>
          <w:p w:rsidR="003E2271" w:rsidRPr="00E3692F" w:rsidRDefault="003E2271" w:rsidP="00DE5CF3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pr</w:t>
            </w:r>
            <w:r w:rsidR="00E62006" w:rsidRPr="00E3692F">
              <w:rPr>
                <w:rFonts w:cs="Arial"/>
                <w:lang w:val="fr-FR"/>
              </w:rPr>
              <w:t>é</w:t>
            </w:r>
            <w:r w:rsidRPr="00E3692F">
              <w:rPr>
                <w:rFonts w:cs="Arial"/>
                <w:lang w:val="fr-FR"/>
              </w:rPr>
              <w:t>sent</w:t>
            </w:r>
            <w:r w:rsidR="00E62006" w:rsidRPr="00E3692F">
              <w:rPr>
                <w:rFonts w:cs="Arial"/>
                <w:lang w:val="fr-FR"/>
              </w:rPr>
              <w:t>e</w:t>
            </w:r>
          </w:p>
        </w:tc>
        <w:tc>
          <w:tcPr>
            <w:tcW w:w="5908" w:type="dxa"/>
          </w:tcPr>
          <w:p w:rsidR="003E2271" w:rsidRPr="00E3692F" w:rsidRDefault="003E2271" w:rsidP="00BD4526">
            <w:pPr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bCs/>
                <w:lang w:val="fr-FR" w:eastAsia="nl-NL"/>
              </w:rPr>
              <w:t>[9]</w:t>
            </w:r>
            <w:r w:rsidRPr="00E3692F">
              <w:rPr>
                <w:bCs/>
                <w:lang w:val="fr-FR" w:eastAsia="nl-NL"/>
              </w:rPr>
              <w:tab/>
            </w:r>
            <w:r w:rsidR="00E62006" w:rsidRPr="00E3692F">
              <w:rPr>
                <w:bCs/>
                <w:lang w:val="fr-FR" w:eastAsia="nl-NL"/>
              </w:rPr>
              <w:t>aucun symptôme ou symptômes légers</w:t>
            </w:r>
          </w:p>
        </w:tc>
      </w:tr>
      <w:tr w:rsidR="003E2271" w:rsidRPr="00897EE4" w:rsidTr="009300CB">
        <w:trPr>
          <w:cantSplit/>
        </w:trPr>
        <w:tc>
          <w:tcPr>
            <w:tcW w:w="675" w:type="dxa"/>
          </w:tcPr>
          <w:p w:rsidR="003E2271" w:rsidRPr="00E3692F" w:rsidRDefault="003E2271" w:rsidP="00BD452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FR"/>
              </w:rPr>
            </w:pPr>
            <w:r w:rsidRPr="00E3692F">
              <w:rPr>
                <w:rFonts w:cs="Arial"/>
                <w:lang w:val="fr-FR"/>
              </w:rPr>
              <w:t>13.</w:t>
            </w:r>
          </w:p>
        </w:tc>
        <w:tc>
          <w:tcPr>
            <w:tcW w:w="3164" w:type="dxa"/>
          </w:tcPr>
          <w:p w:rsidR="003E2271" w:rsidRPr="00E3692F" w:rsidRDefault="00C921EB" w:rsidP="00DE5CF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Points critiques de contrôle</w:t>
            </w:r>
          </w:p>
        </w:tc>
        <w:tc>
          <w:tcPr>
            <w:tcW w:w="5908" w:type="dxa"/>
          </w:tcPr>
          <w:p w:rsidR="003E2271" w:rsidRPr="00E3692F" w:rsidRDefault="00E62006" w:rsidP="00BD4526">
            <w:pPr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>Dans le cas, non recommandé</w:t>
            </w:r>
            <w:r w:rsidR="00313361" w:rsidRPr="00E3692F">
              <w:rPr>
                <w:lang w:val="fr-FR"/>
              </w:rPr>
              <w:t>,</w:t>
            </w:r>
            <w:r w:rsidRPr="00E3692F">
              <w:rPr>
                <w:lang w:val="fr-FR"/>
              </w:rPr>
              <w:t xml:space="preserve"> d</w:t>
            </w:r>
            <w:r w:rsidR="00626E14" w:rsidRPr="00E3692F">
              <w:rPr>
                <w:lang w:val="fr-FR"/>
              </w:rPr>
              <w:t>’</w:t>
            </w:r>
            <w:r w:rsidRPr="00E3692F">
              <w:rPr>
                <w:lang w:val="fr-FR"/>
              </w:rPr>
              <w:t xml:space="preserve">une infection naturelle, la source de </w:t>
            </w:r>
            <w:r w:rsidR="004618D5" w:rsidRPr="00E3692F">
              <w:rPr>
                <w:lang w:val="fr-FR"/>
              </w:rPr>
              <w:t>l</w:t>
            </w:r>
            <w:r w:rsidR="00626E14" w:rsidRPr="00E3692F">
              <w:rPr>
                <w:lang w:val="fr-FR"/>
              </w:rPr>
              <w:t>’</w:t>
            </w:r>
            <w:r w:rsidR="004618D5" w:rsidRPr="00E3692F">
              <w:rPr>
                <w:lang w:val="fr-FR"/>
              </w:rPr>
              <w:t>inoculum n</w:t>
            </w:r>
            <w:r w:rsidR="00626E14" w:rsidRPr="00E3692F">
              <w:rPr>
                <w:lang w:val="fr-FR"/>
              </w:rPr>
              <w:t>’</w:t>
            </w:r>
            <w:r w:rsidR="004618D5" w:rsidRPr="00E3692F">
              <w:rPr>
                <w:lang w:val="fr-FR"/>
              </w:rPr>
              <w:t xml:space="preserve">est pas contrôlée. </w:t>
            </w:r>
            <w:r w:rsidR="00FC42A3" w:rsidRPr="00E3692F">
              <w:rPr>
                <w:lang w:val="fr-FR"/>
              </w:rPr>
              <w:t xml:space="preserve"> </w:t>
            </w:r>
            <w:r w:rsidR="004618D5" w:rsidRPr="00E3692F">
              <w:rPr>
                <w:lang w:val="fr-FR"/>
              </w:rPr>
              <w:t>Alors, l</w:t>
            </w:r>
            <w:r w:rsidR="00626E14" w:rsidRPr="00E3692F">
              <w:rPr>
                <w:lang w:val="fr-FR"/>
              </w:rPr>
              <w:t>’</w:t>
            </w:r>
            <w:r w:rsidR="004618D5" w:rsidRPr="00E3692F">
              <w:rPr>
                <w:lang w:val="fr-FR"/>
              </w:rPr>
              <w:t>identité du virus doit être confirm</w:t>
            </w:r>
            <w:r w:rsidR="00313361" w:rsidRPr="00E3692F">
              <w:rPr>
                <w:lang w:val="fr-FR"/>
              </w:rPr>
              <w:t>ée</w:t>
            </w:r>
            <w:r w:rsidR="004618D5" w:rsidRPr="00E3692F">
              <w:rPr>
                <w:lang w:val="fr-FR"/>
              </w:rPr>
              <w:t xml:space="preserve"> par ACP</w:t>
            </w:r>
            <w:r w:rsidR="00FC42A3" w:rsidRPr="00E3692F">
              <w:rPr>
                <w:lang w:val="fr-FR"/>
              </w:rPr>
              <w:t xml:space="preserve"> o</w:t>
            </w:r>
            <w:r w:rsidR="004618D5" w:rsidRPr="00E3692F">
              <w:rPr>
                <w:lang w:val="fr-FR"/>
              </w:rPr>
              <w:t>u</w:t>
            </w:r>
            <w:r w:rsidR="00FC42A3" w:rsidRPr="00E3692F">
              <w:rPr>
                <w:lang w:val="fr-FR"/>
              </w:rPr>
              <w:t xml:space="preserve"> </w:t>
            </w:r>
            <w:r w:rsidR="004618D5" w:rsidRPr="00E3692F">
              <w:rPr>
                <w:lang w:val="fr-FR"/>
              </w:rPr>
              <w:t>par hybridation</w:t>
            </w:r>
            <w:r w:rsidR="00FC42A3" w:rsidRPr="00E3692F">
              <w:rPr>
                <w:lang w:val="fr-FR"/>
              </w:rPr>
              <w:t xml:space="preserve">, </w:t>
            </w:r>
            <w:r w:rsidR="004618D5" w:rsidRPr="00E3692F">
              <w:rPr>
                <w:lang w:val="fr-FR"/>
              </w:rPr>
              <w:t>car les symptômes peuvent être similaires à ceux causés par d</w:t>
            </w:r>
            <w:r w:rsidR="00626E14" w:rsidRPr="00E3692F">
              <w:rPr>
                <w:lang w:val="fr-FR"/>
              </w:rPr>
              <w:t>’</w:t>
            </w:r>
            <w:r w:rsidR="004618D5" w:rsidRPr="00E3692F">
              <w:rPr>
                <w:lang w:val="fr-FR"/>
              </w:rPr>
              <w:t>autres virus</w:t>
            </w:r>
            <w:r w:rsidR="00FC42A3" w:rsidRPr="00E3692F">
              <w:rPr>
                <w:lang w:val="fr-FR"/>
              </w:rPr>
              <w:t>.</w:t>
            </w:r>
          </w:p>
        </w:tc>
      </w:tr>
    </w:tbl>
    <w:p w:rsidR="003E2271" w:rsidRPr="00E3692F" w:rsidRDefault="003E2271" w:rsidP="00BD4526">
      <w:pPr>
        <w:jc w:val="left"/>
        <w:rPr>
          <w:rFonts w:cs="Arial"/>
          <w:lang w:val="fr-FR"/>
        </w:rPr>
      </w:pPr>
    </w:p>
    <w:p w:rsidR="003755FF" w:rsidRPr="00E3692F" w:rsidRDefault="003755FF" w:rsidP="00BD4526">
      <w:pPr>
        <w:jc w:val="left"/>
        <w:rPr>
          <w:rFonts w:cs="Arial"/>
          <w:lang w:val="fr-FR"/>
        </w:rPr>
      </w:pPr>
    </w:p>
    <w:p w:rsidR="003755FF" w:rsidRPr="00E3692F" w:rsidRDefault="002A438C" w:rsidP="00BD4526">
      <w:pPr>
        <w:jc w:val="left"/>
        <w:rPr>
          <w:rFonts w:cs="Arial"/>
          <w:u w:val="single"/>
          <w:lang w:val="fr-FR"/>
        </w:rPr>
      </w:pPr>
      <w:r w:rsidRPr="00E3692F">
        <w:rPr>
          <w:rFonts w:cs="Arial"/>
          <w:u w:val="single"/>
          <w:lang w:val="fr-FR"/>
        </w:rPr>
        <w:t>A</w:t>
      </w:r>
      <w:r w:rsidR="008C307A" w:rsidRPr="00E3692F">
        <w:rPr>
          <w:rFonts w:cs="Arial"/>
          <w:u w:val="single"/>
          <w:lang w:val="fr-FR"/>
        </w:rPr>
        <w:t>jout du caractère </w:t>
      </w:r>
      <w:r w:rsidRPr="00E3692F">
        <w:rPr>
          <w:rFonts w:cs="Arial"/>
          <w:u w:val="single"/>
          <w:lang w:val="fr-FR"/>
        </w:rPr>
        <w:t xml:space="preserve">51 </w:t>
      </w:r>
      <w:r w:rsidR="007C1F55" w:rsidRPr="00E3692F">
        <w:rPr>
          <w:rFonts w:cs="Arial"/>
          <w:u w:val="single"/>
          <w:lang w:val="fr-FR"/>
        </w:rPr>
        <w:t>au chapitre</w:t>
      </w:r>
      <w:r w:rsidR="00F90B10" w:rsidRPr="00E3692F">
        <w:rPr>
          <w:rFonts w:cs="Arial"/>
          <w:u w:val="single"/>
          <w:lang w:val="fr-FR"/>
        </w:rPr>
        <w:t> </w:t>
      </w:r>
      <w:r w:rsidRPr="00E3692F">
        <w:rPr>
          <w:rFonts w:cs="Arial"/>
          <w:u w:val="single"/>
          <w:lang w:val="fr-FR"/>
        </w:rPr>
        <w:t>Q</w:t>
      </w:r>
      <w:r w:rsidR="007C1F55" w:rsidRPr="00E3692F">
        <w:rPr>
          <w:rFonts w:cs="Arial"/>
          <w:u w:val="single"/>
          <w:lang w:val="fr-FR"/>
        </w:rPr>
        <w:t>T</w:t>
      </w:r>
      <w:r w:rsidR="00E3692F" w:rsidRPr="00E3692F">
        <w:rPr>
          <w:rFonts w:cs="Arial"/>
          <w:u w:val="single"/>
          <w:lang w:val="fr-FR"/>
        </w:rPr>
        <w:t> </w:t>
      </w:r>
      <w:r w:rsidRPr="00E3692F">
        <w:rPr>
          <w:rFonts w:cs="Arial"/>
          <w:u w:val="single"/>
          <w:lang w:val="fr-FR"/>
        </w:rPr>
        <w:t>7 “</w:t>
      </w:r>
      <w:r w:rsidR="00D676A3" w:rsidRPr="00E3692F">
        <w:rPr>
          <w:rFonts w:cs="Arial"/>
          <w:u w:val="single"/>
          <w:lang w:val="fr-FR"/>
        </w:rPr>
        <w:t>Renseignements complémentaires pouvant faciliter l</w:t>
      </w:r>
      <w:r w:rsidR="00626E14" w:rsidRPr="00E3692F">
        <w:rPr>
          <w:rFonts w:cs="Arial"/>
          <w:u w:val="single"/>
          <w:lang w:val="fr-FR"/>
        </w:rPr>
        <w:t>’</w:t>
      </w:r>
      <w:r w:rsidR="00D676A3" w:rsidRPr="00E3692F">
        <w:rPr>
          <w:rFonts w:cs="Arial"/>
          <w:u w:val="single"/>
          <w:lang w:val="fr-FR"/>
        </w:rPr>
        <w:t>examen de la variété</w:t>
      </w:r>
      <w:r w:rsidRPr="00E3692F">
        <w:rPr>
          <w:rFonts w:cs="Arial"/>
          <w:u w:val="single"/>
          <w:lang w:val="fr-FR"/>
        </w:rPr>
        <w:t>”</w:t>
      </w:r>
    </w:p>
    <w:p w:rsidR="002A438C" w:rsidRPr="00E3692F" w:rsidRDefault="002A438C" w:rsidP="00BD4526">
      <w:pPr>
        <w:jc w:val="left"/>
        <w:rPr>
          <w:rFonts w:cs="Arial"/>
          <w:lang w:val="fr-FR"/>
        </w:rPr>
      </w:pPr>
    </w:p>
    <w:p w:rsidR="002A438C" w:rsidRPr="00E3692F" w:rsidRDefault="002A438C" w:rsidP="00BD4526">
      <w:pPr>
        <w:jc w:val="left"/>
        <w:rPr>
          <w:rFonts w:cs="Arial"/>
          <w:lang w:val="fr-FR"/>
        </w:rPr>
      </w:pPr>
      <w:r w:rsidRPr="00E3692F">
        <w:rPr>
          <w:rFonts w:cs="Arial"/>
          <w:lang w:val="fr-FR"/>
        </w:rPr>
        <w:t>“[…]</w:t>
      </w:r>
    </w:p>
    <w:p w:rsidR="002A438C" w:rsidRPr="00E3692F" w:rsidRDefault="002A438C" w:rsidP="00BD4526">
      <w:pPr>
        <w:jc w:val="left"/>
        <w:rPr>
          <w:rFonts w:cs="Arial"/>
          <w:lang w:val="fr-FR"/>
        </w:rPr>
      </w:pPr>
    </w:p>
    <w:p w:rsidR="002A438C" w:rsidRPr="00E3692F" w:rsidRDefault="00E3692F" w:rsidP="00BD4526">
      <w:pPr>
        <w:keepNext/>
        <w:tabs>
          <w:tab w:val="left" w:pos="601"/>
          <w:tab w:val="left" w:pos="1168"/>
        </w:tabs>
        <w:rPr>
          <w:lang w:val="fr-FR"/>
        </w:rPr>
      </w:pPr>
      <w:r w:rsidRPr="00E3692F">
        <w:rPr>
          <w:lang w:val="fr-FR"/>
        </w:rPr>
        <w:t>“</w:t>
      </w:r>
      <w:r w:rsidR="002A438C" w:rsidRPr="00E3692F">
        <w:rPr>
          <w:lang w:val="fr-FR"/>
        </w:rPr>
        <w:t>7.3</w:t>
      </w:r>
      <w:r w:rsidR="002A438C" w:rsidRPr="00E3692F">
        <w:rPr>
          <w:lang w:val="fr-FR"/>
        </w:rPr>
        <w:tab/>
      </w:r>
      <w:r w:rsidR="00E971BE" w:rsidRPr="00E3692F">
        <w:rPr>
          <w:lang w:val="fr-FR"/>
        </w:rPr>
        <w:t>Autres renseignements</w:t>
      </w:r>
    </w:p>
    <w:p w:rsidR="002A438C" w:rsidRPr="00E3692F" w:rsidRDefault="002A438C" w:rsidP="00BD4526">
      <w:pPr>
        <w:keepNext/>
        <w:rPr>
          <w:lang w:val="fr-FR"/>
        </w:rPr>
      </w:pPr>
    </w:p>
    <w:p w:rsidR="002A438C" w:rsidRPr="00E3692F" w:rsidRDefault="002A438C" w:rsidP="00BD4526">
      <w:pPr>
        <w:tabs>
          <w:tab w:val="left" w:pos="0"/>
        </w:tabs>
        <w:jc w:val="left"/>
        <w:rPr>
          <w:snapToGrid w:val="0"/>
          <w:lang w:val="fr-FR"/>
        </w:rPr>
      </w:pPr>
      <w:r w:rsidRPr="00E3692F">
        <w:rPr>
          <w:snapToGrid w:val="0"/>
          <w:lang w:val="fr-FR"/>
        </w:rPr>
        <w:tab/>
      </w:r>
      <w:r w:rsidR="00E3692F" w:rsidRPr="00E3692F">
        <w:rPr>
          <w:snapToGrid w:val="0"/>
          <w:lang w:val="fr-FR"/>
        </w:rPr>
        <w:t>“</w:t>
      </w:r>
      <w:r w:rsidRPr="00E3692F">
        <w:rPr>
          <w:snapToGrid w:val="0"/>
          <w:lang w:val="fr-FR"/>
        </w:rPr>
        <w:t>7.3.1</w:t>
      </w:r>
      <w:r w:rsidRPr="00E3692F">
        <w:rPr>
          <w:snapToGrid w:val="0"/>
          <w:lang w:val="fr-FR"/>
        </w:rPr>
        <w:tab/>
      </w:r>
      <w:r w:rsidR="00E971BE" w:rsidRPr="00E3692F">
        <w:rPr>
          <w:snapToGrid w:val="0"/>
          <w:lang w:val="fr-FR"/>
        </w:rPr>
        <w:t>Résistance aux parasites et aux maladies (si possible, veuillez préciser les pathotypes/souches</w:t>
      </w:r>
      <w:r w:rsidRPr="00E3692F">
        <w:rPr>
          <w:snapToGrid w:val="0"/>
          <w:lang w:val="fr-FR"/>
        </w:rPr>
        <w:t>)</w:t>
      </w:r>
    </w:p>
    <w:p w:rsidR="002A438C" w:rsidRPr="00E3692F" w:rsidRDefault="002A438C" w:rsidP="00BD4526">
      <w:pPr>
        <w:tabs>
          <w:tab w:val="left" w:pos="0"/>
        </w:tabs>
        <w:jc w:val="left"/>
        <w:rPr>
          <w:snapToGrid w:val="0"/>
          <w:lang w:val="fr-FR"/>
        </w:rPr>
      </w:pPr>
    </w:p>
    <w:tbl>
      <w:tblPr>
        <w:tblW w:w="8681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4913"/>
        <w:gridCol w:w="918"/>
        <w:gridCol w:w="1120"/>
        <w:gridCol w:w="1222"/>
      </w:tblGrid>
      <w:tr w:rsidR="007C1F55" w:rsidRPr="00E3692F" w:rsidTr="00E3692F">
        <w:trPr>
          <w:jc w:val="center"/>
        </w:trPr>
        <w:tc>
          <w:tcPr>
            <w:tcW w:w="508" w:type="dxa"/>
            <w:shd w:val="clear" w:color="auto" w:fill="auto"/>
          </w:tcPr>
          <w:p w:rsidR="002A438C" w:rsidRPr="00E3692F" w:rsidRDefault="002A438C" w:rsidP="00BD4526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lang w:val="fr-FR"/>
              </w:rPr>
            </w:pPr>
          </w:p>
        </w:tc>
        <w:tc>
          <w:tcPr>
            <w:tcW w:w="4913" w:type="dxa"/>
            <w:shd w:val="clear" w:color="auto" w:fill="auto"/>
          </w:tcPr>
          <w:p w:rsidR="002A438C" w:rsidRPr="00E3692F" w:rsidRDefault="002A438C" w:rsidP="00BD4526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lang w:val="fr-FR"/>
              </w:rPr>
            </w:pPr>
          </w:p>
        </w:tc>
        <w:tc>
          <w:tcPr>
            <w:tcW w:w="918" w:type="dxa"/>
            <w:shd w:val="clear" w:color="auto" w:fill="auto"/>
            <w:hideMark/>
          </w:tcPr>
          <w:p w:rsidR="002A438C" w:rsidRPr="00D9393D" w:rsidRDefault="002A438C" w:rsidP="00BD4526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lang w:val="fr-FR"/>
              </w:rPr>
            </w:pPr>
            <w:r w:rsidRPr="00D9393D">
              <w:rPr>
                <w:snapToGrid w:val="0"/>
                <w:lang w:val="fr-FR"/>
              </w:rPr>
              <w:t>absent</w:t>
            </w:r>
            <w:r w:rsidR="00D9393D" w:rsidRPr="00D9393D">
              <w:rPr>
                <w:snapToGrid w:val="0"/>
                <w:lang w:val="fr-FR"/>
              </w:rPr>
              <w:t>e</w:t>
            </w:r>
          </w:p>
        </w:tc>
        <w:tc>
          <w:tcPr>
            <w:tcW w:w="1120" w:type="dxa"/>
            <w:shd w:val="clear" w:color="auto" w:fill="auto"/>
            <w:hideMark/>
          </w:tcPr>
          <w:p w:rsidR="002A438C" w:rsidRPr="00D9393D" w:rsidRDefault="002A438C" w:rsidP="00BD4526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lang w:val="fr-FR"/>
              </w:rPr>
            </w:pPr>
            <w:r w:rsidRPr="00D9393D">
              <w:rPr>
                <w:snapToGrid w:val="0"/>
                <w:lang w:val="fr-FR"/>
              </w:rPr>
              <w:t>pr</w:t>
            </w:r>
            <w:r w:rsidR="00E971BE" w:rsidRPr="00D9393D">
              <w:rPr>
                <w:snapToGrid w:val="0"/>
                <w:lang w:val="fr-FR"/>
              </w:rPr>
              <w:t>é</w:t>
            </w:r>
            <w:r w:rsidRPr="00D9393D">
              <w:rPr>
                <w:snapToGrid w:val="0"/>
                <w:lang w:val="fr-FR"/>
              </w:rPr>
              <w:t>sent</w:t>
            </w:r>
            <w:r w:rsidR="00E971BE" w:rsidRPr="00D9393D">
              <w:rPr>
                <w:snapToGrid w:val="0"/>
                <w:lang w:val="fr-FR"/>
              </w:rPr>
              <w:t>e</w:t>
            </w:r>
          </w:p>
        </w:tc>
        <w:tc>
          <w:tcPr>
            <w:tcW w:w="1222" w:type="dxa"/>
            <w:shd w:val="clear" w:color="auto" w:fill="auto"/>
            <w:hideMark/>
          </w:tcPr>
          <w:p w:rsidR="002A438C" w:rsidRPr="00E3692F" w:rsidRDefault="00E971BE" w:rsidP="00BD4526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lang w:val="fr-FR"/>
              </w:rPr>
            </w:pPr>
            <w:r w:rsidRPr="00D9393D">
              <w:rPr>
                <w:snapToGrid w:val="0"/>
                <w:lang w:val="fr-FR"/>
              </w:rPr>
              <w:t>n</w:t>
            </w:r>
            <w:r w:rsidR="00626E14" w:rsidRPr="00D9393D">
              <w:rPr>
                <w:snapToGrid w:val="0"/>
                <w:lang w:val="fr-FR"/>
              </w:rPr>
              <w:t>’</w:t>
            </w:r>
            <w:r w:rsidRPr="00D9393D">
              <w:rPr>
                <w:snapToGrid w:val="0"/>
                <w:lang w:val="fr-FR"/>
              </w:rPr>
              <w:t>a pas été examinée</w:t>
            </w:r>
          </w:p>
        </w:tc>
      </w:tr>
      <w:tr w:rsidR="007C1F55" w:rsidRPr="00E3692F" w:rsidTr="00E3692F">
        <w:trPr>
          <w:jc w:val="center"/>
        </w:trPr>
        <w:tc>
          <w:tcPr>
            <w:tcW w:w="508" w:type="dxa"/>
            <w:shd w:val="clear" w:color="auto" w:fill="auto"/>
            <w:hideMark/>
          </w:tcPr>
          <w:p w:rsidR="00E971BE" w:rsidRPr="00E3692F" w:rsidRDefault="00E971BE" w:rsidP="00BD4526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lang w:val="fr-FR"/>
              </w:rPr>
            </w:pPr>
            <w:r w:rsidRPr="00E3692F">
              <w:rPr>
                <w:snapToGrid w:val="0"/>
                <w:lang w:val="fr-FR"/>
              </w:rPr>
              <w:t>a)</w:t>
            </w:r>
          </w:p>
        </w:tc>
        <w:tc>
          <w:tcPr>
            <w:tcW w:w="4913" w:type="dxa"/>
            <w:shd w:val="clear" w:color="auto" w:fill="auto"/>
            <w:hideMark/>
          </w:tcPr>
          <w:p w:rsidR="00E971BE" w:rsidRPr="00E3692F" w:rsidRDefault="00E971BE" w:rsidP="00BD4526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lang w:val="fr-FR"/>
              </w:rPr>
            </w:pPr>
            <w:r w:rsidRPr="00E3692F">
              <w:rPr>
                <w:lang w:val="fr-FR"/>
              </w:rPr>
              <w:t>Résistance au mildiou (</w:t>
            </w:r>
            <w:r w:rsidRPr="00E3692F">
              <w:rPr>
                <w:i/>
                <w:iCs/>
                <w:lang w:val="fr-FR"/>
              </w:rPr>
              <w:t>Pseudoperonospora cubensis</w:t>
            </w:r>
            <w:r w:rsidR="008C307A" w:rsidRPr="00E3692F">
              <w:rPr>
                <w:lang w:val="fr-FR"/>
              </w:rPr>
              <w:t>) (Pcu) (car. </w:t>
            </w:r>
            <w:r w:rsidRPr="00E3692F">
              <w:rPr>
                <w:lang w:val="fr-FR"/>
              </w:rPr>
              <w:t>47)</w:t>
            </w:r>
          </w:p>
        </w:tc>
        <w:tc>
          <w:tcPr>
            <w:tcW w:w="918" w:type="dxa"/>
            <w:shd w:val="clear" w:color="auto" w:fill="auto"/>
            <w:hideMark/>
          </w:tcPr>
          <w:p w:rsidR="00E971BE" w:rsidRPr="00E3692F" w:rsidRDefault="00E971BE" w:rsidP="00BD4526">
            <w:pPr>
              <w:spacing w:before="60" w:after="60"/>
              <w:jc w:val="center"/>
              <w:rPr>
                <w:lang w:val="fr-FR"/>
              </w:rPr>
            </w:pPr>
            <w:r w:rsidRPr="00E3692F">
              <w:rPr>
                <w:snapToGrid w:val="0"/>
                <w:lang w:val="fr-FR"/>
              </w:rPr>
              <w:t>[   ]</w:t>
            </w:r>
          </w:p>
        </w:tc>
        <w:tc>
          <w:tcPr>
            <w:tcW w:w="1120" w:type="dxa"/>
            <w:shd w:val="clear" w:color="auto" w:fill="auto"/>
            <w:hideMark/>
          </w:tcPr>
          <w:p w:rsidR="00E971BE" w:rsidRPr="00E3692F" w:rsidRDefault="00E971BE" w:rsidP="00BD4526">
            <w:pPr>
              <w:spacing w:before="60" w:after="60"/>
              <w:jc w:val="center"/>
              <w:rPr>
                <w:lang w:val="fr-FR"/>
              </w:rPr>
            </w:pPr>
            <w:r w:rsidRPr="00E3692F">
              <w:rPr>
                <w:snapToGrid w:val="0"/>
                <w:lang w:val="fr-FR"/>
              </w:rPr>
              <w:t>[   ]</w:t>
            </w:r>
          </w:p>
        </w:tc>
        <w:tc>
          <w:tcPr>
            <w:tcW w:w="1222" w:type="dxa"/>
            <w:shd w:val="clear" w:color="auto" w:fill="auto"/>
            <w:hideMark/>
          </w:tcPr>
          <w:p w:rsidR="00E971BE" w:rsidRPr="00E3692F" w:rsidRDefault="00E971BE" w:rsidP="00BD4526">
            <w:pPr>
              <w:spacing w:before="60" w:after="60"/>
              <w:jc w:val="center"/>
              <w:rPr>
                <w:lang w:val="fr-FR"/>
              </w:rPr>
            </w:pPr>
            <w:r w:rsidRPr="00E3692F">
              <w:rPr>
                <w:snapToGrid w:val="0"/>
                <w:lang w:val="fr-FR"/>
              </w:rPr>
              <w:t>[   ]</w:t>
            </w:r>
          </w:p>
        </w:tc>
      </w:tr>
      <w:tr w:rsidR="007C1F55" w:rsidRPr="00E3692F" w:rsidTr="00E3692F">
        <w:trPr>
          <w:jc w:val="center"/>
        </w:trPr>
        <w:tc>
          <w:tcPr>
            <w:tcW w:w="508" w:type="dxa"/>
            <w:shd w:val="clear" w:color="auto" w:fill="auto"/>
            <w:hideMark/>
          </w:tcPr>
          <w:p w:rsidR="002A438C" w:rsidRPr="00E3692F" w:rsidRDefault="002A438C" w:rsidP="00BD4526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lang w:val="fr-FR"/>
              </w:rPr>
            </w:pPr>
            <w:r w:rsidRPr="00E3692F">
              <w:rPr>
                <w:snapToGrid w:val="0"/>
                <w:lang w:val="fr-FR"/>
              </w:rPr>
              <w:t>b)</w:t>
            </w:r>
          </w:p>
        </w:tc>
        <w:tc>
          <w:tcPr>
            <w:tcW w:w="4913" w:type="dxa"/>
            <w:shd w:val="clear" w:color="auto" w:fill="auto"/>
            <w:hideMark/>
          </w:tcPr>
          <w:p w:rsidR="002A438C" w:rsidRPr="00E3692F" w:rsidRDefault="00C921EB" w:rsidP="00BD4526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lang w:val="fr-FR"/>
              </w:rPr>
            </w:pPr>
            <w:r w:rsidRPr="00E3692F">
              <w:rPr>
                <w:lang w:val="fr-FR"/>
              </w:rPr>
              <w:t xml:space="preserve">Résistance au virus de la mosaïque jaune de la courgette </w:t>
            </w:r>
            <w:r w:rsidR="008C307A" w:rsidRPr="00E3692F">
              <w:rPr>
                <w:lang w:val="fr-FR"/>
              </w:rPr>
              <w:t>(ZYMV) (car. </w:t>
            </w:r>
            <w:r w:rsidRPr="00E3692F">
              <w:rPr>
                <w:lang w:val="fr-FR"/>
              </w:rPr>
              <w:t>50)</w:t>
            </w:r>
          </w:p>
        </w:tc>
        <w:tc>
          <w:tcPr>
            <w:tcW w:w="918" w:type="dxa"/>
            <w:shd w:val="clear" w:color="auto" w:fill="auto"/>
            <w:hideMark/>
          </w:tcPr>
          <w:p w:rsidR="002A438C" w:rsidRPr="00E3692F" w:rsidRDefault="002A438C" w:rsidP="00BD4526">
            <w:pPr>
              <w:spacing w:before="60" w:after="60"/>
              <w:jc w:val="center"/>
              <w:rPr>
                <w:lang w:val="fr-FR"/>
              </w:rPr>
            </w:pPr>
            <w:r w:rsidRPr="00E3692F">
              <w:rPr>
                <w:snapToGrid w:val="0"/>
                <w:lang w:val="fr-FR"/>
              </w:rPr>
              <w:t>[   ]</w:t>
            </w:r>
          </w:p>
        </w:tc>
        <w:tc>
          <w:tcPr>
            <w:tcW w:w="1120" w:type="dxa"/>
            <w:shd w:val="clear" w:color="auto" w:fill="auto"/>
            <w:hideMark/>
          </w:tcPr>
          <w:p w:rsidR="002A438C" w:rsidRPr="00E3692F" w:rsidRDefault="002A438C" w:rsidP="00BD4526">
            <w:pPr>
              <w:spacing w:before="60" w:after="60"/>
              <w:jc w:val="center"/>
              <w:rPr>
                <w:lang w:val="fr-FR"/>
              </w:rPr>
            </w:pPr>
            <w:r w:rsidRPr="00E3692F">
              <w:rPr>
                <w:snapToGrid w:val="0"/>
                <w:lang w:val="fr-FR"/>
              </w:rPr>
              <w:t>[   ]</w:t>
            </w:r>
          </w:p>
        </w:tc>
        <w:tc>
          <w:tcPr>
            <w:tcW w:w="1222" w:type="dxa"/>
            <w:shd w:val="clear" w:color="auto" w:fill="auto"/>
            <w:hideMark/>
          </w:tcPr>
          <w:p w:rsidR="002A438C" w:rsidRPr="00E3692F" w:rsidRDefault="002A438C" w:rsidP="00BD4526">
            <w:pPr>
              <w:spacing w:before="60" w:after="60"/>
              <w:jc w:val="center"/>
              <w:rPr>
                <w:lang w:val="fr-FR"/>
              </w:rPr>
            </w:pPr>
            <w:r w:rsidRPr="00E3692F">
              <w:rPr>
                <w:snapToGrid w:val="0"/>
                <w:lang w:val="fr-FR"/>
              </w:rPr>
              <w:t>[   ]</w:t>
            </w:r>
          </w:p>
        </w:tc>
      </w:tr>
      <w:tr w:rsidR="007C1F55" w:rsidRPr="00E3692F" w:rsidTr="00E3692F">
        <w:trPr>
          <w:jc w:val="center"/>
        </w:trPr>
        <w:tc>
          <w:tcPr>
            <w:tcW w:w="508" w:type="dxa"/>
            <w:shd w:val="clear" w:color="auto" w:fill="auto"/>
          </w:tcPr>
          <w:p w:rsidR="00E971BE" w:rsidRPr="00E3692F" w:rsidRDefault="00E971BE" w:rsidP="00BD4526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  <w:lang w:val="fr-FR"/>
              </w:rPr>
            </w:pPr>
            <w:r w:rsidRPr="00E3692F">
              <w:rPr>
                <w:snapToGrid w:val="0"/>
                <w:highlight w:val="lightGray"/>
                <w:lang w:val="fr-FR"/>
              </w:rPr>
              <w:t>c)</w:t>
            </w:r>
          </w:p>
        </w:tc>
        <w:tc>
          <w:tcPr>
            <w:tcW w:w="4913" w:type="dxa"/>
            <w:shd w:val="clear" w:color="auto" w:fill="auto"/>
          </w:tcPr>
          <w:p w:rsidR="00E971BE" w:rsidRPr="00E3692F" w:rsidRDefault="00E971BE" w:rsidP="00BD4526">
            <w:pPr>
              <w:tabs>
                <w:tab w:val="left" w:pos="0"/>
              </w:tabs>
              <w:spacing w:before="60" w:after="60"/>
              <w:jc w:val="left"/>
              <w:rPr>
                <w:highlight w:val="lightGray"/>
                <w:lang w:val="fr-FR"/>
              </w:rPr>
            </w:pPr>
            <w:r w:rsidRPr="00E3692F">
              <w:rPr>
                <w:highlight w:val="lightGray"/>
                <w:lang w:val="fr-FR"/>
              </w:rPr>
              <w:t xml:space="preserve">Résistance au virus </w:t>
            </w:r>
            <w:r w:rsidR="000E0E0B" w:rsidRPr="00E3692F">
              <w:rPr>
                <w:rFonts w:cs="Arial"/>
                <w:highlight w:val="lightGray"/>
                <w:lang w:val="fr-FR"/>
              </w:rPr>
              <w:t>Cucurbit yellow stunting disorder virus (CYSDV</w:t>
            </w:r>
            <w:r w:rsidR="008C307A" w:rsidRPr="00E3692F">
              <w:rPr>
                <w:highlight w:val="lightGray"/>
                <w:lang w:val="fr-FR"/>
              </w:rPr>
              <w:t>) (car. </w:t>
            </w:r>
            <w:r w:rsidRPr="00E3692F">
              <w:rPr>
                <w:highlight w:val="lightGray"/>
                <w:lang w:val="fr-FR"/>
              </w:rPr>
              <w:t>5</w:t>
            </w:r>
            <w:r w:rsidR="000E0E0B" w:rsidRPr="00E3692F">
              <w:rPr>
                <w:highlight w:val="lightGray"/>
                <w:lang w:val="fr-FR"/>
              </w:rPr>
              <w:t>1</w:t>
            </w:r>
            <w:r w:rsidRPr="00E3692F">
              <w:rPr>
                <w:highlight w:val="lightGray"/>
                <w:lang w:val="fr-FR"/>
              </w:rPr>
              <w:t>)</w:t>
            </w:r>
          </w:p>
        </w:tc>
        <w:tc>
          <w:tcPr>
            <w:tcW w:w="918" w:type="dxa"/>
            <w:shd w:val="clear" w:color="auto" w:fill="auto"/>
          </w:tcPr>
          <w:p w:rsidR="00E971BE" w:rsidRPr="00E3692F" w:rsidRDefault="00E971BE" w:rsidP="00BD4526">
            <w:pPr>
              <w:spacing w:before="60" w:after="60"/>
              <w:jc w:val="center"/>
              <w:rPr>
                <w:highlight w:val="lightGray"/>
                <w:lang w:val="fr-FR"/>
              </w:rPr>
            </w:pPr>
            <w:r w:rsidRPr="00E3692F">
              <w:rPr>
                <w:snapToGrid w:val="0"/>
                <w:highlight w:val="lightGray"/>
                <w:lang w:val="fr-FR"/>
              </w:rPr>
              <w:t>[   ]</w:t>
            </w:r>
          </w:p>
        </w:tc>
        <w:tc>
          <w:tcPr>
            <w:tcW w:w="1120" w:type="dxa"/>
            <w:shd w:val="clear" w:color="auto" w:fill="auto"/>
          </w:tcPr>
          <w:p w:rsidR="00E971BE" w:rsidRPr="00E3692F" w:rsidRDefault="00E971BE" w:rsidP="00BD4526">
            <w:pPr>
              <w:spacing w:before="60" w:after="60"/>
              <w:jc w:val="center"/>
              <w:rPr>
                <w:highlight w:val="lightGray"/>
                <w:lang w:val="fr-FR"/>
              </w:rPr>
            </w:pPr>
            <w:r w:rsidRPr="00E3692F">
              <w:rPr>
                <w:snapToGrid w:val="0"/>
                <w:highlight w:val="lightGray"/>
                <w:lang w:val="fr-FR"/>
              </w:rPr>
              <w:t>[   ]</w:t>
            </w:r>
          </w:p>
        </w:tc>
        <w:tc>
          <w:tcPr>
            <w:tcW w:w="1222" w:type="dxa"/>
            <w:shd w:val="clear" w:color="auto" w:fill="auto"/>
          </w:tcPr>
          <w:p w:rsidR="00E971BE" w:rsidRPr="00E3692F" w:rsidRDefault="00E971BE" w:rsidP="00BD4526">
            <w:pPr>
              <w:spacing w:before="60" w:after="60"/>
              <w:jc w:val="center"/>
              <w:rPr>
                <w:highlight w:val="lightGray"/>
                <w:lang w:val="fr-FR"/>
              </w:rPr>
            </w:pPr>
            <w:r w:rsidRPr="00E3692F">
              <w:rPr>
                <w:snapToGrid w:val="0"/>
                <w:highlight w:val="lightGray"/>
                <w:lang w:val="fr-FR"/>
              </w:rPr>
              <w:t>[   ]</w:t>
            </w:r>
          </w:p>
        </w:tc>
      </w:tr>
    </w:tbl>
    <w:p w:rsidR="002A438C" w:rsidRPr="00E3692F" w:rsidRDefault="002A438C" w:rsidP="00BD4526">
      <w:pPr>
        <w:jc w:val="left"/>
        <w:rPr>
          <w:rFonts w:cs="Arial"/>
          <w:lang w:val="fr-FR"/>
        </w:rPr>
      </w:pPr>
    </w:p>
    <w:p w:rsidR="002A438C" w:rsidRPr="00E3692F" w:rsidRDefault="00E3692F" w:rsidP="00BD4526">
      <w:pPr>
        <w:jc w:val="left"/>
        <w:rPr>
          <w:rFonts w:cs="Arial"/>
          <w:lang w:val="fr-FR"/>
        </w:rPr>
      </w:pPr>
      <w:r w:rsidRPr="00E3692F">
        <w:rPr>
          <w:rFonts w:cs="Arial"/>
          <w:lang w:val="fr-FR"/>
        </w:rPr>
        <w:t>“</w:t>
      </w:r>
      <w:r w:rsidR="002A438C" w:rsidRPr="00E3692F">
        <w:rPr>
          <w:rFonts w:cs="Arial"/>
          <w:lang w:val="fr-FR"/>
        </w:rPr>
        <w:t>[…]”</w:t>
      </w:r>
    </w:p>
    <w:p w:rsidR="00564F07" w:rsidRPr="00E3692F" w:rsidRDefault="00564F07" w:rsidP="00BD4526">
      <w:pPr>
        <w:jc w:val="right"/>
        <w:rPr>
          <w:rFonts w:cs="Arial"/>
          <w:lang w:val="fr-FR"/>
        </w:rPr>
      </w:pPr>
    </w:p>
    <w:p w:rsidR="003E2271" w:rsidRPr="00E3692F" w:rsidRDefault="003E2271" w:rsidP="00BD4526">
      <w:pPr>
        <w:jc w:val="right"/>
        <w:rPr>
          <w:rFonts w:cs="Arial"/>
          <w:lang w:val="fr-FR"/>
        </w:rPr>
      </w:pPr>
    </w:p>
    <w:p w:rsidR="00564F07" w:rsidRPr="00E3692F" w:rsidRDefault="00564F07" w:rsidP="00BD4526">
      <w:pPr>
        <w:jc w:val="right"/>
        <w:rPr>
          <w:rFonts w:cs="Arial"/>
          <w:lang w:val="fr-FR"/>
        </w:rPr>
      </w:pPr>
    </w:p>
    <w:p w:rsidR="006B17D2" w:rsidRPr="00E3692F" w:rsidRDefault="00E971BE" w:rsidP="00BD4526">
      <w:pPr>
        <w:pStyle w:val="endofdoc"/>
        <w:rPr>
          <w:lang w:val="fr-FR"/>
        </w:rPr>
      </w:pPr>
      <w:r w:rsidRPr="00E3692F">
        <w:rPr>
          <w:lang w:val="fr-FR"/>
        </w:rPr>
        <w:t xml:space="preserve">[Fin du </w:t>
      </w:r>
      <w:r w:rsidR="0061555F" w:rsidRPr="00E3692F">
        <w:rPr>
          <w:lang w:val="fr-FR"/>
        </w:rPr>
        <w:t>document]</w:t>
      </w:r>
    </w:p>
    <w:sectPr w:rsidR="006B17D2" w:rsidRPr="00E3692F" w:rsidSect="004C63C0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8A" w:rsidRDefault="0026748A" w:rsidP="006655D3">
      <w:r>
        <w:separator/>
      </w:r>
    </w:p>
    <w:p w:rsidR="0026748A" w:rsidRDefault="0026748A" w:rsidP="006655D3"/>
    <w:p w:rsidR="0026748A" w:rsidRDefault="0026748A" w:rsidP="006655D3"/>
  </w:endnote>
  <w:endnote w:type="continuationSeparator" w:id="0">
    <w:p w:rsidR="0026748A" w:rsidRDefault="0026748A" w:rsidP="006655D3">
      <w:r>
        <w:separator/>
      </w:r>
    </w:p>
    <w:p w:rsidR="0026748A" w:rsidRPr="00311399" w:rsidRDefault="0026748A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endnote>
  <w:endnote w:type="continuationNotice" w:id="1">
    <w:p w:rsidR="0026748A" w:rsidRPr="00311399" w:rsidRDefault="0026748A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8A" w:rsidRDefault="0026748A" w:rsidP="006655D3">
      <w:r>
        <w:separator/>
      </w:r>
    </w:p>
  </w:footnote>
  <w:footnote w:type="continuationSeparator" w:id="0">
    <w:p w:rsidR="0026748A" w:rsidRDefault="0026748A" w:rsidP="006655D3">
      <w:r>
        <w:separator/>
      </w:r>
    </w:p>
    <w:p w:rsidR="0026748A" w:rsidRPr="00311399" w:rsidRDefault="0026748A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footnote>
  <w:footnote w:type="continuationNotice" w:id="1">
    <w:p w:rsidR="0026748A" w:rsidRPr="00311399" w:rsidRDefault="0026748A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26748A" w:rsidRPr="00311399" w:rsidRDefault="0026748A" w:rsidP="006655D3">
      <w:pPr>
        <w:rPr>
          <w:lang w:val="fr-CH"/>
        </w:rPr>
      </w:pPr>
    </w:p>
    <w:p w:rsidR="0026748A" w:rsidRPr="00311399" w:rsidRDefault="0026748A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DB7DC1">
      <w:rPr>
        <w:rStyle w:val="PageNumber"/>
        <w:lang w:val="en-US"/>
      </w:rPr>
      <w:t>14</w:t>
    </w:r>
  </w:p>
  <w:p w:rsidR="00125EFC" w:rsidRPr="00C5280D" w:rsidRDefault="00125EFC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0FD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31B"/>
    <w:multiLevelType w:val="hybridMultilevel"/>
    <w:tmpl w:val="53CA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B5AEC"/>
    <w:multiLevelType w:val="hybridMultilevel"/>
    <w:tmpl w:val="E042F1F4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E3293"/>
    <w:multiLevelType w:val="hybridMultilevel"/>
    <w:tmpl w:val="BA0C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B60EA"/>
    <w:multiLevelType w:val="hybridMultilevel"/>
    <w:tmpl w:val="732C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8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6448"/>
    <w:rsid w:val="00080429"/>
    <w:rsid w:val="00083EE0"/>
    <w:rsid w:val="00085505"/>
    <w:rsid w:val="000C7021"/>
    <w:rsid w:val="000D6BBC"/>
    <w:rsid w:val="000D7780"/>
    <w:rsid w:val="000E0E0B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438C"/>
    <w:rsid w:val="002A6E50"/>
    <w:rsid w:val="002C256A"/>
    <w:rsid w:val="002D0364"/>
    <w:rsid w:val="00305A7F"/>
    <w:rsid w:val="00311399"/>
    <w:rsid w:val="00313361"/>
    <w:rsid w:val="003152FE"/>
    <w:rsid w:val="00327436"/>
    <w:rsid w:val="00344BD6"/>
    <w:rsid w:val="0035528D"/>
    <w:rsid w:val="00361821"/>
    <w:rsid w:val="003755FF"/>
    <w:rsid w:val="003B1CED"/>
    <w:rsid w:val="003D227C"/>
    <w:rsid w:val="003D2B4D"/>
    <w:rsid w:val="003E2271"/>
    <w:rsid w:val="004240BC"/>
    <w:rsid w:val="00430411"/>
    <w:rsid w:val="00444A88"/>
    <w:rsid w:val="00446E29"/>
    <w:rsid w:val="004618D5"/>
    <w:rsid w:val="00474DA4"/>
    <w:rsid w:val="00476B4D"/>
    <w:rsid w:val="004805FA"/>
    <w:rsid w:val="004837A0"/>
    <w:rsid w:val="004C63C0"/>
    <w:rsid w:val="004D047D"/>
    <w:rsid w:val="004D3B68"/>
    <w:rsid w:val="004F305A"/>
    <w:rsid w:val="00505284"/>
    <w:rsid w:val="00512164"/>
    <w:rsid w:val="00520297"/>
    <w:rsid w:val="005338F9"/>
    <w:rsid w:val="0054281C"/>
    <w:rsid w:val="0055268D"/>
    <w:rsid w:val="00564F07"/>
    <w:rsid w:val="00576BE4"/>
    <w:rsid w:val="005A1867"/>
    <w:rsid w:val="005A400A"/>
    <w:rsid w:val="00612379"/>
    <w:rsid w:val="0061555F"/>
    <w:rsid w:val="00626E14"/>
    <w:rsid w:val="006319AD"/>
    <w:rsid w:val="00641200"/>
    <w:rsid w:val="006655D3"/>
    <w:rsid w:val="00687AC7"/>
    <w:rsid w:val="00687EB4"/>
    <w:rsid w:val="006A28BF"/>
    <w:rsid w:val="006B17A3"/>
    <w:rsid w:val="006B17D2"/>
    <w:rsid w:val="006C0016"/>
    <w:rsid w:val="006C224E"/>
    <w:rsid w:val="006C32F9"/>
    <w:rsid w:val="006C3850"/>
    <w:rsid w:val="006D780A"/>
    <w:rsid w:val="006E0C6B"/>
    <w:rsid w:val="00720FC2"/>
    <w:rsid w:val="00732DEC"/>
    <w:rsid w:val="00735BD5"/>
    <w:rsid w:val="007431ED"/>
    <w:rsid w:val="007556F6"/>
    <w:rsid w:val="00760EEF"/>
    <w:rsid w:val="00777EE5"/>
    <w:rsid w:val="00784836"/>
    <w:rsid w:val="0078600C"/>
    <w:rsid w:val="0079023E"/>
    <w:rsid w:val="007A2854"/>
    <w:rsid w:val="007C1F55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97EE4"/>
    <w:rsid w:val="008A743F"/>
    <w:rsid w:val="008B1B0C"/>
    <w:rsid w:val="008C0970"/>
    <w:rsid w:val="008C307A"/>
    <w:rsid w:val="008D2CF7"/>
    <w:rsid w:val="008E42BB"/>
    <w:rsid w:val="008F414B"/>
    <w:rsid w:val="00900C26"/>
    <w:rsid w:val="0090197F"/>
    <w:rsid w:val="00906DDC"/>
    <w:rsid w:val="00907895"/>
    <w:rsid w:val="00926AB3"/>
    <w:rsid w:val="009275D7"/>
    <w:rsid w:val="00934E09"/>
    <w:rsid w:val="00936253"/>
    <w:rsid w:val="00952DD4"/>
    <w:rsid w:val="00970FED"/>
    <w:rsid w:val="00997029"/>
    <w:rsid w:val="009A0C21"/>
    <w:rsid w:val="009A1C8F"/>
    <w:rsid w:val="009C7346"/>
    <w:rsid w:val="009D690D"/>
    <w:rsid w:val="009E65B6"/>
    <w:rsid w:val="00A24645"/>
    <w:rsid w:val="00A42AC3"/>
    <w:rsid w:val="00A430CF"/>
    <w:rsid w:val="00A501F5"/>
    <w:rsid w:val="00A54309"/>
    <w:rsid w:val="00A63CBC"/>
    <w:rsid w:val="00A67DE6"/>
    <w:rsid w:val="00A75240"/>
    <w:rsid w:val="00A93EBF"/>
    <w:rsid w:val="00AA3B5D"/>
    <w:rsid w:val="00AB2B93"/>
    <w:rsid w:val="00AB7E5B"/>
    <w:rsid w:val="00AE0EF1"/>
    <w:rsid w:val="00AE2937"/>
    <w:rsid w:val="00B07301"/>
    <w:rsid w:val="00B224DE"/>
    <w:rsid w:val="00B379A6"/>
    <w:rsid w:val="00B46575"/>
    <w:rsid w:val="00B740ED"/>
    <w:rsid w:val="00B84BBD"/>
    <w:rsid w:val="00BA43FB"/>
    <w:rsid w:val="00BC127D"/>
    <w:rsid w:val="00BC1FE6"/>
    <w:rsid w:val="00BD4526"/>
    <w:rsid w:val="00BE2A88"/>
    <w:rsid w:val="00C01157"/>
    <w:rsid w:val="00C061B6"/>
    <w:rsid w:val="00C21C04"/>
    <w:rsid w:val="00C2446C"/>
    <w:rsid w:val="00C36AE5"/>
    <w:rsid w:val="00C41F17"/>
    <w:rsid w:val="00C5280D"/>
    <w:rsid w:val="00C5791C"/>
    <w:rsid w:val="00C65178"/>
    <w:rsid w:val="00C66290"/>
    <w:rsid w:val="00C72B7A"/>
    <w:rsid w:val="00C921EB"/>
    <w:rsid w:val="00C973F2"/>
    <w:rsid w:val="00CA304C"/>
    <w:rsid w:val="00CA774A"/>
    <w:rsid w:val="00CC11B0"/>
    <w:rsid w:val="00CF7E36"/>
    <w:rsid w:val="00CF7ED4"/>
    <w:rsid w:val="00D06D78"/>
    <w:rsid w:val="00D3708D"/>
    <w:rsid w:val="00D40426"/>
    <w:rsid w:val="00D57C96"/>
    <w:rsid w:val="00D676A3"/>
    <w:rsid w:val="00D860A9"/>
    <w:rsid w:val="00D91203"/>
    <w:rsid w:val="00D9393D"/>
    <w:rsid w:val="00D95174"/>
    <w:rsid w:val="00DA3200"/>
    <w:rsid w:val="00DA6F36"/>
    <w:rsid w:val="00DA7950"/>
    <w:rsid w:val="00DB596E"/>
    <w:rsid w:val="00DB7DC1"/>
    <w:rsid w:val="00DC00EA"/>
    <w:rsid w:val="00DD4075"/>
    <w:rsid w:val="00DE5CF3"/>
    <w:rsid w:val="00DF1BE8"/>
    <w:rsid w:val="00E01807"/>
    <w:rsid w:val="00E32F7E"/>
    <w:rsid w:val="00E3692F"/>
    <w:rsid w:val="00E62006"/>
    <w:rsid w:val="00E72D49"/>
    <w:rsid w:val="00E7593C"/>
    <w:rsid w:val="00E7678A"/>
    <w:rsid w:val="00E9138D"/>
    <w:rsid w:val="00E9206B"/>
    <w:rsid w:val="00E935F1"/>
    <w:rsid w:val="00E94A81"/>
    <w:rsid w:val="00E971BE"/>
    <w:rsid w:val="00EA1FFB"/>
    <w:rsid w:val="00EB048E"/>
    <w:rsid w:val="00EE34DF"/>
    <w:rsid w:val="00EF2F89"/>
    <w:rsid w:val="00EF3851"/>
    <w:rsid w:val="00F1237A"/>
    <w:rsid w:val="00F22CBD"/>
    <w:rsid w:val="00F45372"/>
    <w:rsid w:val="00F560F7"/>
    <w:rsid w:val="00F6334D"/>
    <w:rsid w:val="00F90B10"/>
    <w:rsid w:val="00FA49AB"/>
    <w:rsid w:val="00FB0FDF"/>
    <w:rsid w:val="00FC42A3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3E227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3E22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">
    <w:name w:val="Normalt"/>
    <w:basedOn w:val="Normal"/>
    <w:uiPriority w:val="99"/>
    <w:rsid w:val="003E227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3E2271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3E2271"/>
    <w:rPr>
      <w:rFonts w:ascii="Arial" w:hAnsi="Arial"/>
      <w:lang w:val="fr-FR"/>
    </w:rPr>
  </w:style>
  <w:style w:type="paragraph" w:styleId="BalloonText">
    <w:name w:val="Balloon Text"/>
    <w:basedOn w:val="Normal"/>
    <w:link w:val="BalloonTextChar"/>
    <w:rsid w:val="00446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3E227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3E22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">
    <w:name w:val="Normalt"/>
    <w:basedOn w:val="Normal"/>
    <w:uiPriority w:val="99"/>
    <w:rsid w:val="003E227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3E2271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3E2271"/>
    <w:rPr>
      <w:rFonts w:ascii="Arial" w:hAnsi="Arial"/>
      <w:lang w:val="fr-FR"/>
    </w:rPr>
  </w:style>
  <w:style w:type="paragraph" w:styleId="BalloonText">
    <w:name w:val="Balloon Text"/>
    <w:basedOn w:val="Normal"/>
    <w:link w:val="BalloonTextChar"/>
    <w:rsid w:val="00446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2DD3-10CB-4078-A272-C2730D27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4632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PB/ko</cp:keywords>
  <cp:lastModifiedBy>OERTEL Romy</cp:lastModifiedBy>
  <cp:revision>17</cp:revision>
  <cp:lastPrinted>2014-11-11T15:16:00Z</cp:lastPrinted>
  <dcterms:created xsi:type="dcterms:W3CDTF">2014-10-16T06:23:00Z</dcterms:created>
  <dcterms:modified xsi:type="dcterms:W3CDTF">2014-11-11T15:17:00Z</dcterms:modified>
</cp:coreProperties>
</file>