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0279DB" w14:paraId="56F9845B" w14:textId="77777777" w:rsidTr="00EB4E9C">
        <w:tc>
          <w:tcPr>
            <w:tcW w:w="6522" w:type="dxa"/>
          </w:tcPr>
          <w:p w14:paraId="0A54ABAA" w14:textId="77777777" w:rsidR="00DC3802" w:rsidRPr="000279DB" w:rsidRDefault="00BB15AF" w:rsidP="00AC2883">
            <w:r w:rsidRPr="000279DB">
              <w:rPr>
                <w:noProof/>
              </w:rPr>
              <w:drawing>
                <wp:inline distT="0" distB="0" distL="0" distR="0" wp14:anchorId="47939FDC" wp14:editId="163444A1">
                  <wp:extent cx="933580" cy="266737"/>
                  <wp:effectExtent l="0" t="0" r="0" b="0"/>
                  <wp:docPr id="205790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00728" name="Picture 2057900728"/>
                          <pic:cNvPicPr/>
                        </pic:nvPicPr>
                        <pic:blipFill>
                          <a:blip r:embed="rId6">
                            <a:extLst>
                              <a:ext uri="{28A0092B-C50C-407E-A947-70E740481C1C}">
                                <a14:useLocalDpi xmlns:a14="http://schemas.microsoft.com/office/drawing/2010/main" val="0"/>
                              </a:ext>
                            </a:extLst>
                          </a:blip>
                          <a:stretch>
                            <a:fillRect/>
                          </a:stretch>
                        </pic:blipFill>
                        <pic:spPr>
                          <a:xfrm>
                            <a:off x="0" y="0"/>
                            <a:ext cx="933580" cy="266737"/>
                          </a:xfrm>
                          <a:prstGeom prst="rect">
                            <a:avLst/>
                          </a:prstGeom>
                        </pic:spPr>
                      </pic:pic>
                    </a:graphicData>
                  </a:graphic>
                </wp:inline>
              </w:drawing>
            </w:r>
          </w:p>
        </w:tc>
        <w:tc>
          <w:tcPr>
            <w:tcW w:w="3117" w:type="dxa"/>
          </w:tcPr>
          <w:p w14:paraId="6D4A505A" w14:textId="37733D16" w:rsidR="00DC3802" w:rsidRPr="000279DB" w:rsidRDefault="000279DB" w:rsidP="00AC2883">
            <w:pPr>
              <w:pStyle w:val="Lettrine"/>
            </w:pPr>
            <w:r>
              <w:t>F</w:t>
            </w:r>
          </w:p>
        </w:tc>
      </w:tr>
      <w:tr w:rsidR="00DC3802" w:rsidRPr="000279DB" w14:paraId="5EFD5EDE" w14:textId="77777777" w:rsidTr="00645CA8">
        <w:trPr>
          <w:trHeight w:val="219"/>
        </w:trPr>
        <w:tc>
          <w:tcPr>
            <w:tcW w:w="6522" w:type="dxa"/>
          </w:tcPr>
          <w:p w14:paraId="3D57740C" w14:textId="77777777" w:rsidR="00DC3802" w:rsidRPr="000279DB" w:rsidRDefault="00DC3802" w:rsidP="00AC2883">
            <w:pPr>
              <w:pStyle w:val="upove"/>
            </w:pPr>
            <w:r w:rsidRPr="000279DB">
              <w:t>Union internationale pour la protection des obtentions végétales</w:t>
            </w:r>
          </w:p>
        </w:tc>
        <w:tc>
          <w:tcPr>
            <w:tcW w:w="3117" w:type="dxa"/>
          </w:tcPr>
          <w:p w14:paraId="5F0BB3CB" w14:textId="77777777" w:rsidR="00DC3802" w:rsidRPr="000279DB" w:rsidRDefault="00DC3802" w:rsidP="00DA4973"/>
        </w:tc>
      </w:tr>
    </w:tbl>
    <w:p w14:paraId="392D489C" w14:textId="77777777" w:rsidR="00DC3802" w:rsidRPr="000279DB" w:rsidRDefault="00DC3802" w:rsidP="00DC3802"/>
    <w:p w14:paraId="194759F9" w14:textId="77777777" w:rsidR="00DA4973" w:rsidRPr="000279DB" w:rsidRDefault="00DA4973" w:rsidP="00DC3802"/>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0279DB" w14:paraId="31FD17CF" w14:textId="77777777" w:rsidTr="00EB4E9C">
        <w:tc>
          <w:tcPr>
            <w:tcW w:w="6512" w:type="dxa"/>
          </w:tcPr>
          <w:p w14:paraId="61535C01" w14:textId="77777777" w:rsidR="00EB4E9C" w:rsidRPr="000279DB" w:rsidRDefault="00EB4E9C" w:rsidP="00AC2883">
            <w:pPr>
              <w:pStyle w:val="Sessiontc"/>
              <w:spacing w:line="240" w:lineRule="auto"/>
            </w:pPr>
            <w:r w:rsidRPr="000279DB">
              <w:t>Comité technique</w:t>
            </w:r>
          </w:p>
          <w:p w14:paraId="55FD7531" w14:textId="77777777" w:rsidR="00296158" w:rsidRPr="000279DB" w:rsidRDefault="0086579E" w:rsidP="00CC461C">
            <w:pPr>
              <w:pStyle w:val="Sessiontcplacedate"/>
            </w:pPr>
            <w:r w:rsidRPr="000279DB">
              <w:t xml:space="preserve">Soixante-deuxième </w:t>
            </w:r>
            <w:r w:rsidR="00EB4E9C" w:rsidRPr="000279DB">
              <w:t>session</w:t>
            </w:r>
          </w:p>
          <w:p w14:paraId="7785C90A" w14:textId="5AFB440A" w:rsidR="00EB4E9C" w:rsidRPr="000279DB" w:rsidRDefault="00EB4E9C" w:rsidP="00D42AF1">
            <w:pPr>
              <w:pStyle w:val="Sessiontcplacedate"/>
              <w:rPr>
                <w:sz w:val="22"/>
              </w:rPr>
            </w:pPr>
            <w:r w:rsidRPr="000279DB">
              <w:t xml:space="preserve">Genève, </w:t>
            </w:r>
            <w:r w:rsidR="0086579E" w:rsidRPr="000279DB">
              <w:t xml:space="preserve">19 </w:t>
            </w:r>
            <w:r w:rsidR="008B6E60" w:rsidRPr="000279DB">
              <w:t>et</w:t>
            </w:r>
            <w:r w:rsidR="0086579E" w:rsidRPr="000279DB">
              <w:t xml:space="preserve"> 20 </w:t>
            </w:r>
            <w:r w:rsidR="008B6E60" w:rsidRPr="000279DB">
              <w:t>octobre</w:t>
            </w:r>
            <w:r w:rsidR="0086579E" w:rsidRPr="000279DB">
              <w:t xml:space="preserve"> 2026</w:t>
            </w:r>
          </w:p>
        </w:tc>
        <w:tc>
          <w:tcPr>
            <w:tcW w:w="3127" w:type="dxa"/>
          </w:tcPr>
          <w:p w14:paraId="627E8894" w14:textId="2FB123D9" w:rsidR="00EB4E9C" w:rsidRPr="000279DB" w:rsidRDefault="007278B9" w:rsidP="003C7FBE">
            <w:pPr>
              <w:pStyle w:val="Doccode"/>
              <w:rPr>
                <w:lang w:val="fr-FR"/>
              </w:rPr>
            </w:pPr>
            <w:r w:rsidRPr="000279DB">
              <w:rPr>
                <w:lang w:val="fr-FR"/>
              </w:rPr>
              <w:t>TC/62/1</w:t>
            </w:r>
          </w:p>
          <w:p w14:paraId="2B4A9106" w14:textId="77777777" w:rsidR="00EB4E9C" w:rsidRPr="009B7D5D" w:rsidRDefault="00EB4E9C" w:rsidP="003C7FBE">
            <w:pPr>
              <w:pStyle w:val="Docoriginal"/>
            </w:pPr>
            <w:r w:rsidRPr="009B7D5D">
              <w:t xml:space="preserve">Original : </w:t>
            </w:r>
            <w:r w:rsidRPr="009B7D5D">
              <w:rPr>
                <w:b w:val="0"/>
                <w:spacing w:val="0"/>
              </w:rPr>
              <w:t>anglais</w:t>
            </w:r>
          </w:p>
          <w:p w14:paraId="66AA654D" w14:textId="1E058FC7" w:rsidR="00EB4E9C" w:rsidRPr="000279DB" w:rsidRDefault="00EB4E9C" w:rsidP="001F34F7">
            <w:pPr>
              <w:pStyle w:val="Docoriginal"/>
            </w:pPr>
            <w:proofErr w:type="gramStart"/>
            <w:r w:rsidRPr="009B7D5D">
              <w:t>Date:</w:t>
            </w:r>
            <w:proofErr w:type="gramEnd"/>
            <w:r w:rsidR="008B6E60" w:rsidRPr="009B7D5D">
              <w:rPr>
                <w:b w:val="0"/>
                <w:spacing w:val="0"/>
              </w:rPr>
              <w:t xml:space="preserve">  </w:t>
            </w:r>
            <w:r w:rsidR="00D854A0" w:rsidRPr="009B7D5D">
              <w:rPr>
                <w:b w:val="0"/>
                <w:spacing w:val="0"/>
              </w:rPr>
              <w:t>1</w:t>
            </w:r>
            <w:r w:rsidR="009B7D5D" w:rsidRPr="009B7D5D">
              <w:rPr>
                <w:b w:val="0"/>
                <w:spacing w:val="0"/>
              </w:rPr>
              <w:t>6</w:t>
            </w:r>
            <w:r w:rsidR="005E779B" w:rsidRPr="009B7D5D">
              <w:rPr>
                <w:b w:val="0"/>
                <w:spacing w:val="0"/>
              </w:rPr>
              <w:t xml:space="preserve"> juin 2026</w:t>
            </w:r>
          </w:p>
        </w:tc>
      </w:tr>
    </w:tbl>
    <w:p w14:paraId="046F2390" w14:textId="77777777" w:rsidR="000279DB" w:rsidRPr="00820438" w:rsidRDefault="000279DB" w:rsidP="000279DB">
      <w:pPr>
        <w:pStyle w:val="Titleofdoc0"/>
      </w:pPr>
      <w:r w:rsidRPr="00820438">
        <w:t>Projet d'ordre du jour annoté</w:t>
      </w:r>
    </w:p>
    <w:p w14:paraId="36B40502" w14:textId="77777777" w:rsidR="000279DB" w:rsidRPr="00820438" w:rsidRDefault="000279DB" w:rsidP="000279DB">
      <w:pPr>
        <w:pStyle w:val="preparedby1"/>
        <w:jc w:val="left"/>
      </w:pPr>
      <w:r w:rsidRPr="00820438">
        <w:t>préparé par le Bureau de l'Union</w:t>
      </w:r>
    </w:p>
    <w:p w14:paraId="3330F252" w14:textId="77777777" w:rsidR="000279DB" w:rsidRPr="000D50F3" w:rsidRDefault="000279DB" w:rsidP="000279DB">
      <w:pPr>
        <w:pStyle w:val="Disclaimer"/>
        <w:rPr>
          <w:lang w:val="fr-FR"/>
        </w:rPr>
      </w:pPr>
      <w:r w:rsidRPr="000D50F3">
        <w:rPr>
          <w:lang w:val="fr-FR"/>
        </w:rPr>
        <w:t>Avertissement : le présent document ne représente pas les principes ou les orientations de l’UPOV.</w:t>
      </w:r>
      <w:r w:rsidRPr="000D50F3">
        <w:rPr>
          <w:lang w:val="fr-FR"/>
        </w:rPr>
        <w:br/>
      </w:r>
      <w:r w:rsidRPr="000D50F3">
        <w:rPr>
          <w:lang w:val="fr-FR"/>
        </w:rPr>
        <w:br/>
        <w:t>Ce document a été généré à l'aide d'une traduction automatique dont l'exactitude ne peut être garantie. Par conséquent, le texte dans la langue originale est la seule version authentique.</w:t>
      </w:r>
    </w:p>
    <w:p w14:paraId="4B5AA355" w14:textId="77777777" w:rsidR="005E779B" w:rsidRPr="000279DB" w:rsidRDefault="005E779B" w:rsidP="005E779B">
      <w:pPr>
        <w:pStyle w:val="agendaitemtitle"/>
      </w:pPr>
      <w:r w:rsidRPr="000279DB">
        <w:fldChar w:fldCharType="begin"/>
      </w:r>
      <w:r w:rsidRPr="000279DB">
        <w:instrText xml:space="preserve"> AUTONUM  </w:instrText>
      </w:r>
      <w:r w:rsidRPr="000279DB">
        <w:fldChar w:fldCharType="end"/>
      </w:r>
      <w:r w:rsidRPr="000279DB">
        <w:tab/>
        <w:t>Ouverture de la session</w:t>
      </w:r>
    </w:p>
    <w:p w14:paraId="6F38C686" w14:textId="77777777" w:rsidR="005E779B" w:rsidRPr="000279DB" w:rsidRDefault="005E779B" w:rsidP="005E779B"/>
    <w:p w14:paraId="7024E9EE" w14:textId="77777777" w:rsidR="005E779B" w:rsidRPr="000279DB" w:rsidRDefault="005E779B" w:rsidP="005E779B"/>
    <w:p w14:paraId="532F34FD" w14:textId="77777777" w:rsidR="005E779B" w:rsidRPr="000279DB" w:rsidRDefault="005E779B" w:rsidP="005E779B">
      <w:pPr>
        <w:pStyle w:val="agendaitemtitle"/>
      </w:pPr>
      <w:r w:rsidRPr="000279DB">
        <w:fldChar w:fldCharType="begin"/>
      </w:r>
      <w:r w:rsidRPr="000279DB">
        <w:instrText xml:space="preserve"> AUTONUM  </w:instrText>
      </w:r>
      <w:r w:rsidRPr="000279DB">
        <w:fldChar w:fldCharType="end"/>
      </w:r>
      <w:r w:rsidRPr="000279DB">
        <w:tab/>
        <w:t>Adoption de l'ordre du jour</w:t>
      </w:r>
    </w:p>
    <w:p w14:paraId="5510AC8B" w14:textId="77777777" w:rsidR="005E779B" w:rsidRPr="000279DB" w:rsidRDefault="005E779B" w:rsidP="005E779B"/>
    <w:p w14:paraId="7BB83A24" w14:textId="77777777" w:rsidR="005E779B" w:rsidRPr="000279DB" w:rsidRDefault="005E779B" w:rsidP="005E779B"/>
    <w:p w14:paraId="659B7BA0" w14:textId="2B31CA0E" w:rsidR="005E779B" w:rsidRPr="000279DB" w:rsidRDefault="005E779B" w:rsidP="000279DB">
      <w:pPr>
        <w:pStyle w:val="agendaitemtitle"/>
        <w:ind w:right="-426"/>
        <w:jc w:val="left"/>
        <w:rPr>
          <w:snapToGrid w:val="0"/>
        </w:rPr>
      </w:pPr>
      <w:r w:rsidRPr="000279DB">
        <w:fldChar w:fldCharType="begin"/>
      </w:r>
      <w:r w:rsidRPr="000279DB">
        <w:instrText xml:space="preserve"> AUTONUM  </w:instrText>
      </w:r>
      <w:r w:rsidRPr="000279DB">
        <w:fldChar w:fldCharType="end"/>
      </w:r>
      <w:r w:rsidRPr="000279DB">
        <w:tab/>
      </w:r>
      <w:r w:rsidR="000279DB" w:rsidRPr="00820438">
        <w:rPr>
          <w:snapToGrid w:val="0"/>
        </w:rPr>
        <w:t>Faits nouveaux intervenus à l’UPOV et aperçu des questions pertinentes pour</w:t>
      </w:r>
      <w:r w:rsidR="000279DB">
        <w:rPr>
          <w:snapToGrid w:val="0"/>
        </w:rPr>
        <w:t xml:space="preserve"> le</w:t>
      </w:r>
      <w:r w:rsidR="000279DB" w:rsidRPr="00820438">
        <w:rPr>
          <w:snapToGrid w:val="0"/>
        </w:rPr>
        <w:t xml:space="preserve"> </w:t>
      </w:r>
      <w:r w:rsidRPr="000279DB">
        <w:rPr>
          <w:snapToGrid w:val="0"/>
        </w:rPr>
        <w:t>Comité technique</w:t>
      </w:r>
    </w:p>
    <w:p w14:paraId="18E28F68" w14:textId="77777777" w:rsidR="005E779B" w:rsidRPr="000279DB" w:rsidRDefault="005E779B" w:rsidP="005E779B">
      <w:pPr>
        <w:ind w:firstLine="567"/>
        <w:rPr>
          <w:snapToGrid w:val="0"/>
        </w:rPr>
      </w:pPr>
      <w:r w:rsidRPr="000279DB">
        <w:rPr>
          <w:snapToGrid w:val="0"/>
        </w:rPr>
        <w:t xml:space="preserve">(document </w:t>
      </w:r>
      <w:r w:rsidRPr="000279DB">
        <w:t>SESSIONS/2026/1</w:t>
      </w:r>
      <w:r w:rsidRPr="000279DB">
        <w:rPr>
          <w:snapToGrid w:val="0"/>
        </w:rPr>
        <w:t>)</w:t>
      </w:r>
    </w:p>
    <w:p w14:paraId="46A439EF" w14:textId="77777777" w:rsidR="005E779B" w:rsidRPr="000279DB" w:rsidRDefault="005E779B" w:rsidP="005E779B">
      <w:pPr>
        <w:ind w:left="567" w:hanging="567"/>
        <w:rPr>
          <w:rFonts w:cs="Arial"/>
          <w:snapToGrid w:val="0"/>
        </w:rPr>
      </w:pPr>
    </w:p>
    <w:p w14:paraId="396A73F0" w14:textId="77777777" w:rsidR="000279DB" w:rsidRPr="00820438" w:rsidRDefault="000279DB" w:rsidP="000279DB">
      <w:pPr>
        <w:ind w:left="567"/>
      </w:pPr>
      <w:r w:rsidRPr="00820438">
        <w:rPr>
          <w:rFonts w:cs="Arial"/>
          <w:snapToGrid w:val="0"/>
        </w:rPr>
        <w:t xml:space="preserve">Une présentation sera faite sur les questions stratégiques, accompagnée d’une vidéo sur les </w:t>
      </w:r>
      <w:r>
        <w:rPr>
          <w:rFonts w:cs="Arial"/>
          <w:snapToGrid w:val="0"/>
        </w:rPr>
        <w:t xml:space="preserve">faits nouveaux intervenus à </w:t>
      </w:r>
      <w:r w:rsidRPr="000D50F3">
        <w:rPr>
          <w:rFonts w:cs="Arial"/>
          <w:snapToGrid w:val="0"/>
        </w:rPr>
        <w:t>l’UPOV</w:t>
      </w:r>
      <w:r>
        <w:rPr>
          <w:rFonts w:cs="Arial"/>
          <w:snapToGrid w:val="0"/>
        </w:rPr>
        <w:t>.</w:t>
      </w:r>
    </w:p>
    <w:p w14:paraId="71FBC415" w14:textId="77777777" w:rsidR="005E779B" w:rsidRPr="000279DB" w:rsidRDefault="005E779B" w:rsidP="005E779B"/>
    <w:p w14:paraId="629E429A" w14:textId="77777777" w:rsidR="005E779B" w:rsidRPr="000279DB" w:rsidRDefault="005E779B" w:rsidP="005E779B"/>
    <w:p w14:paraId="6C6DFA37" w14:textId="77777777" w:rsidR="005E779B" w:rsidRPr="000279DB" w:rsidRDefault="005E779B" w:rsidP="005E779B">
      <w:pPr>
        <w:pStyle w:val="agendaitemtitle"/>
        <w:ind w:left="1134"/>
        <w:rPr>
          <w:i/>
          <w:iCs/>
        </w:rPr>
      </w:pPr>
      <w:r w:rsidRPr="000279DB">
        <w:rPr>
          <w:i/>
          <w:iCs/>
        </w:rPr>
        <w:t>Questions à examiner :</w:t>
      </w:r>
    </w:p>
    <w:p w14:paraId="5224FBE0" w14:textId="77777777" w:rsidR="005E779B" w:rsidRPr="000279DB" w:rsidRDefault="005E779B" w:rsidP="005E779B"/>
    <w:p w14:paraId="6FDFAFCA" w14:textId="4602B7A0" w:rsidR="005E779B" w:rsidRPr="000279DB" w:rsidRDefault="005E779B" w:rsidP="005E779B">
      <w:pPr>
        <w:pStyle w:val="agendaitemtitle"/>
      </w:pPr>
      <w:r w:rsidRPr="000279DB">
        <w:fldChar w:fldCharType="begin"/>
      </w:r>
      <w:r w:rsidRPr="000279DB">
        <w:instrText xml:space="preserve"> AUTONUM  </w:instrText>
      </w:r>
      <w:r w:rsidRPr="000279DB">
        <w:fldChar w:fldCharType="end"/>
      </w:r>
      <w:r w:rsidRPr="000279DB">
        <w:tab/>
      </w:r>
      <w:r w:rsidR="000279DB" w:rsidRPr="000279DB">
        <w:t>Rapports sur l'état d'avancement des travaux des groupes de travail techniques</w:t>
      </w:r>
    </w:p>
    <w:p w14:paraId="7367DC67" w14:textId="77777777" w:rsidR="005E779B" w:rsidRPr="009B7D5D" w:rsidRDefault="005E779B" w:rsidP="005E779B">
      <w:pPr>
        <w:ind w:firstLine="567"/>
        <w:rPr>
          <w:lang w:val="en-US"/>
        </w:rPr>
      </w:pPr>
      <w:r w:rsidRPr="009B7D5D">
        <w:rPr>
          <w:spacing w:val="-2"/>
          <w:lang w:val="en-US"/>
        </w:rPr>
        <w:t>(documents TC/62/5, TWA/55/XX, TWF/57/XX, TWM/4/31, TWO/58/XX, TWV/60/8)</w:t>
      </w:r>
    </w:p>
    <w:p w14:paraId="727F5DB7" w14:textId="77777777" w:rsidR="005E779B" w:rsidRPr="009B7D5D" w:rsidRDefault="005E779B" w:rsidP="005E779B">
      <w:pPr>
        <w:ind w:left="567"/>
        <w:rPr>
          <w:lang w:val="en-US"/>
        </w:rPr>
      </w:pPr>
    </w:p>
    <w:p w14:paraId="1B3B30E4" w14:textId="1B47D945" w:rsidR="005E779B" w:rsidRPr="000279DB" w:rsidRDefault="005E779B" w:rsidP="005E779B">
      <w:pPr>
        <w:ind w:left="567"/>
      </w:pPr>
      <w:r w:rsidRPr="000279DB">
        <w:t xml:space="preserve">Le TC </w:t>
      </w:r>
      <w:r w:rsidR="000279DB" w:rsidRPr="000279DB">
        <w:t>recevra les présentations</w:t>
      </w:r>
      <w:r w:rsidRPr="000279DB">
        <w:t xml:space="preserve"> des présidents des TWP et examinera les sujets présentant un intérêt particulier pour chaque TWP, notamment les programmes de travail proposés et les principes directeurs d’examen qui feront l’objet de discussions en 2027. Le TC examinera le calendrier des sessions des TWP pour 2027 et les années suivantes.</w:t>
      </w:r>
    </w:p>
    <w:p w14:paraId="48CF5499" w14:textId="77777777" w:rsidR="005E779B" w:rsidRPr="000279DB" w:rsidRDefault="005E779B" w:rsidP="005E779B"/>
    <w:p w14:paraId="54ED4D25" w14:textId="77777777" w:rsidR="005E779B" w:rsidRPr="000279DB" w:rsidRDefault="005E779B" w:rsidP="005E779B"/>
    <w:p w14:paraId="2EB55CEF" w14:textId="6646A51F" w:rsidR="005E779B" w:rsidRPr="000279DB" w:rsidRDefault="005E779B" w:rsidP="005E779B">
      <w:pPr>
        <w:pStyle w:val="agendaitemtitle"/>
        <w:rPr>
          <w:b w:val="0"/>
          <w:bCs w:val="0"/>
          <w:color w:val="auto"/>
        </w:rPr>
      </w:pPr>
      <w:r w:rsidRPr="000279DB">
        <w:fldChar w:fldCharType="begin"/>
      </w:r>
      <w:r w:rsidRPr="000279DB">
        <w:instrText xml:space="preserve"> AUTONUM  </w:instrText>
      </w:r>
      <w:r w:rsidRPr="000279DB">
        <w:fldChar w:fldCharType="end"/>
      </w:r>
      <w:r w:rsidRPr="000279DB">
        <w:tab/>
      </w:r>
      <w:r w:rsidR="000279DB" w:rsidRPr="000279DB">
        <w:t>Questions découlant des groupes de travail techniques</w:t>
      </w:r>
      <w:r w:rsidRPr="000279DB">
        <w:t xml:space="preserve"> </w:t>
      </w:r>
      <w:r w:rsidRPr="000279DB">
        <w:rPr>
          <w:b w:val="0"/>
          <w:bCs w:val="0"/>
          <w:color w:val="auto"/>
        </w:rPr>
        <w:t xml:space="preserve">(document TC/62/3) </w:t>
      </w:r>
    </w:p>
    <w:p w14:paraId="7EBB0427" w14:textId="77777777" w:rsidR="005E779B" w:rsidRPr="000279DB" w:rsidRDefault="005E779B" w:rsidP="005E779B"/>
    <w:p w14:paraId="679B495F" w14:textId="77777777" w:rsidR="005E779B" w:rsidRPr="000279DB" w:rsidRDefault="005E779B" w:rsidP="005E779B">
      <w:pPr>
        <w:ind w:left="567"/>
      </w:pPr>
      <w:r w:rsidRPr="000279DB">
        <w:t>Le TC sera invité à examiner et/ou à prendre note des questions débattues au sein des TWP en 2026 qui ne sont pas couvertes par des points spécifiques de l'ordre du jour.</w:t>
      </w:r>
    </w:p>
    <w:p w14:paraId="4B5AAF6E" w14:textId="77777777" w:rsidR="005E779B" w:rsidRPr="000279DB" w:rsidRDefault="005E779B" w:rsidP="005E779B"/>
    <w:p w14:paraId="7108FAB5" w14:textId="77777777" w:rsidR="005E779B" w:rsidRPr="000279DB" w:rsidRDefault="005E779B" w:rsidP="005E779B"/>
    <w:bookmarkStart w:id="0" w:name="_Hlk193966668"/>
    <w:p w14:paraId="0086D33D" w14:textId="587F0501" w:rsidR="005E779B" w:rsidRPr="000279DB" w:rsidRDefault="005E779B" w:rsidP="005E779B">
      <w:pPr>
        <w:pStyle w:val="agendaitemtitle"/>
        <w:keepNext/>
      </w:pPr>
      <w:r w:rsidRPr="000279DB">
        <w:fldChar w:fldCharType="begin"/>
      </w:r>
      <w:r w:rsidRPr="000279DB">
        <w:instrText xml:space="preserve"> AUTONUM  </w:instrText>
      </w:r>
      <w:r w:rsidRPr="000279DB">
        <w:fldChar w:fldCharType="end"/>
      </w:r>
      <w:r w:rsidRPr="000279DB">
        <w:tab/>
      </w:r>
      <w:r w:rsidR="00254BE5" w:rsidRPr="00254BE5">
        <w:t>Élaboration d'orientations et documents proposés pour adoption par le Conseil</w:t>
      </w:r>
    </w:p>
    <w:p w14:paraId="4F628AC6" w14:textId="77777777" w:rsidR="005E779B" w:rsidRPr="000279DB" w:rsidRDefault="005E779B" w:rsidP="005E779B">
      <w:pPr>
        <w:keepNext/>
        <w:ind w:left="567"/>
        <w:rPr>
          <w:bCs/>
          <w:snapToGrid w:val="0"/>
          <w:szCs w:val="24"/>
        </w:rPr>
      </w:pPr>
      <w:r w:rsidRPr="000279DB">
        <w:rPr>
          <w:bCs/>
          <w:snapToGrid w:val="0"/>
          <w:szCs w:val="24"/>
        </w:rPr>
        <w:t>(</w:t>
      </w:r>
      <w:r w:rsidRPr="000279DB">
        <w:rPr>
          <w:rFonts w:cs="Arial"/>
          <w:snapToGrid w:val="0"/>
        </w:rPr>
        <w:t xml:space="preserve">document </w:t>
      </w:r>
      <w:r w:rsidRPr="000279DB">
        <w:t>SESSIONS/2026/2</w:t>
      </w:r>
      <w:r w:rsidRPr="000279DB">
        <w:rPr>
          <w:bCs/>
          <w:snapToGrid w:val="0"/>
          <w:szCs w:val="24"/>
        </w:rPr>
        <w:t xml:space="preserve">) </w:t>
      </w:r>
    </w:p>
    <w:p w14:paraId="54D45F9B" w14:textId="77777777" w:rsidR="005E779B" w:rsidRPr="000279DB" w:rsidRDefault="005E779B" w:rsidP="005E779B">
      <w:pPr>
        <w:keepNext/>
        <w:rPr>
          <w:rFonts w:cs="Arial"/>
          <w:snapToGrid w:val="0"/>
        </w:rPr>
      </w:pPr>
    </w:p>
    <w:p w14:paraId="726499D8" w14:textId="77777777" w:rsidR="005E779B" w:rsidRPr="000279DB" w:rsidRDefault="005E779B" w:rsidP="005E779B">
      <w:pPr>
        <w:ind w:left="1134" w:hanging="567"/>
        <w:jc w:val="left"/>
        <w:rPr>
          <w:rFonts w:eastAsia="Calibri" w:cs="Arial"/>
          <w:color w:val="006600"/>
          <w:bdr w:val="nil"/>
          <w:lang w:eastAsia="nl-NL"/>
        </w:rPr>
      </w:pPr>
      <w:bookmarkStart w:id="1" w:name="_Hlk225776505"/>
      <w:r w:rsidRPr="000279DB">
        <w:rPr>
          <w:rFonts w:eastAsia="Calibri" w:cs="Arial"/>
          <w:color w:val="006600"/>
          <w:bdr w:val="nil"/>
          <w:lang w:eastAsia="nl-NL"/>
        </w:rPr>
        <w:t>(a)</w:t>
      </w:r>
      <w:r w:rsidRPr="000279DB">
        <w:rPr>
          <w:rFonts w:eastAsia="Calibri" w:cs="Arial"/>
          <w:color w:val="006600"/>
          <w:bdr w:val="nil"/>
          <w:lang w:eastAsia="nl-NL"/>
        </w:rPr>
        <w:tab/>
        <w:t>Documents d’information :</w:t>
      </w:r>
    </w:p>
    <w:p w14:paraId="186ED9D3" w14:textId="77777777" w:rsidR="005E779B" w:rsidRPr="000279DB" w:rsidRDefault="005E779B" w:rsidP="005E779B">
      <w:pPr>
        <w:ind w:left="1134" w:hanging="567"/>
        <w:jc w:val="left"/>
        <w:rPr>
          <w:rFonts w:eastAsia="Calibri" w:cs="Arial"/>
          <w:color w:val="006600"/>
          <w:bdr w:val="nil"/>
          <w:lang w:eastAsia="nl-NL"/>
        </w:rPr>
      </w:pPr>
    </w:p>
    <w:p w14:paraId="1801A2BE" w14:textId="77777777" w:rsidR="00254BE5" w:rsidRPr="000D50F3" w:rsidRDefault="00254BE5" w:rsidP="00254BE5">
      <w:pPr>
        <w:ind w:left="2127" w:hanging="1560"/>
        <w:jc w:val="left"/>
        <w:rPr>
          <w:rFonts w:eastAsia="Calibri" w:cs="Arial"/>
          <w:bdr w:val="nil"/>
          <w:lang w:eastAsia="nl-NL"/>
        </w:rPr>
      </w:pPr>
      <w:r w:rsidRPr="000D50F3">
        <w:rPr>
          <w:rFonts w:eastAsia="Calibri" w:cs="Arial"/>
          <w:color w:val="006600"/>
          <w:bdr w:val="nil"/>
          <w:lang w:eastAsia="nl-NL"/>
        </w:rPr>
        <w:t>UPOV/INF/16</w:t>
      </w:r>
      <w:r w:rsidRPr="000D50F3">
        <w:rPr>
          <w:rFonts w:eastAsia="Calibri" w:cs="Arial"/>
          <w:color w:val="006600"/>
          <w:bdr w:val="nil"/>
          <w:lang w:eastAsia="nl-NL"/>
        </w:rPr>
        <w:tab/>
        <w:t xml:space="preserve">Logiciels échangeables (révision) </w:t>
      </w:r>
      <w:r w:rsidRPr="000D50F3">
        <w:rPr>
          <w:rFonts w:eastAsia="Calibri" w:cs="Arial"/>
          <w:bdr w:val="nil"/>
          <w:lang w:eastAsia="nl-NL"/>
        </w:rPr>
        <w:t xml:space="preserve">(document UPOV/INF/16/14 </w:t>
      </w:r>
      <w:r>
        <w:rPr>
          <w:rFonts w:eastAsia="Calibri" w:cs="Arial"/>
          <w:bdr w:val="nil"/>
          <w:lang w:eastAsia="nl-NL"/>
        </w:rPr>
        <w:t xml:space="preserve">Draft </w:t>
      </w:r>
      <w:r w:rsidRPr="000D50F3">
        <w:rPr>
          <w:rFonts w:eastAsia="Calibri" w:cs="Arial"/>
          <w:bdr w:val="nil"/>
          <w:lang w:eastAsia="nl-NL"/>
        </w:rPr>
        <w:t>1)</w:t>
      </w:r>
    </w:p>
    <w:p w14:paraId="7B4CE661" w14:textId="77777777" w:rsidR="005E779B" w:rsidRPr="000279DB" w:rsidRDefault="005E779B" w:rsidP="00254BE5">
      <w:pPr>
        <w:ind w:left="2127"/>
        <w:rPr>
          <w:rFonts w:eastAsia="Calibri" w:cs="Arial"/>
          <w:bdr w:val="nil"/>
          <w:lang w:eastAsia="nl-NL"/>
        </w:rPr>
      </w:pPr>
    </w:p>
    <w:p w14:paraId="66F12726" w14:textId="77777777" w:rsidR="00254BE5" w:rsidRPr="000D50F3" w:rsidRDefault="00254BE5" w:rsidP="00254BE5">
      <w:pPr>
        <w:ind w:left="2127"/>
        <w:rPr>
          <w:rFonts w:eastAsia="Calibri" w:cs="Arial"/>
          <w:bdr w:val="nil"/>
          <w:lang w:eastAsia="nl-NL"/>
        </w:rPr>
      </w:pPr>
      <w:r w:rsidRPr="000D50F3">
        <w:rPr>
          <w:rFonts w:eastAsia="Calibri" w:cs="Arial"/>
          <w:bdr w:val="nil"/>
          <w:lang w:eastAsia="nl-NL"/>
        </w:rPr>
        <w:t xml:space="preserve">Les logiciels échangeables désignent les logiciels développés par les membres de l’UPOV et mis à la disposition d’autres membres de l’UPOV, sous réserve de conditions spécifiées. Les propositions d’inclusion de nouveaux logiciels sont soumises pour examen au Groupe de travail technique sur les méthodes et </w:t>
      </w:r>
      <w:r w:rsidRPr="000D50F3">
        <w:rPr>
          <w:rFonts w:eastAsia="Calibri" w:cs="Arial"/>
          <w:bdr w:val="nil"/>
          <w:lang w:eastAsia="nl-NL"/>
        </w:rPr>
        <w:lastRenderedPageBreak/>
        <w:t>techniques d’essai (TWM). Le TWM formule une recommandation à l’intention du Comité technique (TC) quant à l’opportunité d’inclure ce logiciel dans le document UPOV/INF/16.</w:t>
      </w:r>
    </w:p>
    <w:p w14:paraId="3A4F940A" w14:textId="77777777" w:rsidR="005E779B" w:rsidRPr="000279DB" w:rsidRDefault="005E779B" w:rsidP="00254BE5">
      <w:pPr>
        <w:ind w:left="2127"/>
        <w:rPr>
          <w:rFonts w:eastAsia="Calibri" w:cs="Arial"/>
          <w:bdr w:val="nil"/>
          <w:lang w:eastAsia="nl-NL"/>
        </w:rPr>
      </w:pPr>
    </w:p>
    <w:p w14:paraId="19EF12E9" w14:textId="2E5B53A0" w:rsidR="005E779B" w:rsidRPr="000279DB" w:rsidRDefault="005E779B" w:rsidP="00254BE5">
      <w:pPr>
        <w:ind w:left="2127"/>
        <w:rPr>
          <w:rFonts w:eastAsia="Calibri" w:cs="Arial"/>
          <w:bdr w:val="nil"/>
          <w:lang w:eastAsia="nl-NL"/>
        </w:rPr>
      </w:pPr>
      <w:r w:rsidRPr="000279DB">
        <w:rPr>
          <w:rFonts w:eastAsia="Calibri" w:cs="Arial"/>
          <w:bdr w:val="nil"/>
          <w:lang w:eastAsia="nl-NL"/>
        </w:rPr>
        <w:t xml:space="preserve">Le TC recevra un compte rendu sur </w:t>
      </w:r>
      <w:r w:rsidR="00254BE5">
        <w:rPr>
          <w:rFonts w:eastAsia="Calibri" w:cs="Arial"/>
          <w:bdr w:val="nil"/>
          <w:lang w:eastAsia="nl-NL"/>
        </w:rPr>
        <w:t>les faits nouveaux</w:t>
      </w:r>
      <w:r w:rsidRPr="000279DB">
        <w:rPr>
          <w:rFonts w:eastAsia="Calibri" w:cs="Arial"/>
          <w:bdr w:val="nil"/>
          <w:lang w:eastAsia="nl-NL"/>
        </w:rPr>
        <w:t xml:space="preserve"> et examinera les recommandations éventuelles du TWM concernant l'inclusion d'un nouveau logiciel échange</w:t>
      </w:r>
      <w:r w:rsidR="00254BE5">
        <w:rPr>
          <w:rFonts w:eastAsia="Calibri" w:cs="Arial"/>
          <w:bdr w:val="nil"/>
          <w:lang w:eastAsia="nl-NL"/>
        </w:rPr>
        <w:t>able</w:t>
      </w:r>
      <w:r w:rsidRPr="000279DB">
        <w:rPr>
          <w:rFonts w:eastAsia="Calibri" w:cs="Arial"/>
          <w:bdr w:val="nil"/>
          <w:lang w:eastAsia="nl-NL"/>
        </w:rPr>
        <w:t xml:space="preserve"> dans le document UPOV/INF/16.</w:t>
      </w:r>
    </w:p>
    <w:p w14:paraId="03B52EDE" w14:textId="77777777" w:rsidR="005E779B" w:rsidRPr="000279DB" w:rsidRDefault="005E779B" w:rsidP="00254BE5">
      <w:pPr>
        <w:ind w:left="2127"/>
        <w:rPr>
          <w:rFonts w:eastAsia="Calibri" w:cs="Arial"/>
          <w:bdr w:val="nil"/>
          <w:lang w:eastAsia="nl-NL"/>
        </w:rPr>
      </w:pPr>
    </w:p>
    <w:p w14:paraId="2D332F2A" w14:textId="77777777" w:rsidR="00254BE5" w:rsidRPr="000D50F3" w:rsidRDefault="00254BE5" w:rsidP="00254BE5">
      <w:pPr>
        <w:ind w:left="2127"/>
        <w:rPr>
          <w:rFonts w:eastAsia="Calibri" w:cs="Arial"/>
          <w:bdr w:val="nil"/>
          <w:lang w:eastAsia="nl-NL"/>
        </w:rPr>
      </w:pPr>
      <w:r w:rsidRPr="000D50F3">
        <w:rPr>
          <w:rFonts w:eastAsia="Calibri" w:cs="Arial"/>
          <w:bdr w:val="nil"/>
          <w:lang w:eastAsia="nl-NL"/>
        </w:rPr>
        <w:t xml:space="preserve">Sur la base des recommandations du Comité consultatif en 2025, le Conseil sera invité à modifier la </w:t>
      </w:r>
      <w:r>
        <w:rPr>
          <w:rFonts w:eastAsia="Calibri" w:cs="Arial"/>
          <w:bdr w:val="nil"/>
          <w:lang w:eastAsia="nl-NL"/>
        </w:rPr>
        <w:t>“</w:t>
      </w:r>
      <w:r w:rsidRPr="000D50F3">
        <w:rPr>
          <w:rFonts w:eastAsia="Calibri" w:cs="Arial"/>
          <w:bdr w:val="nil"/>
          <w:lang w:eastAsia="nl-NL"/>
        </w:rPr>
        <w:t>Procédure d’inclusion des logiciels</w:t>
      </w:r>
      <w:r>
        <w:rPr>
          <w:rFonts w:eastAsia="Calibri" w:cs="Arial"/>
          <w:bdr w:val="nil"/>
          <w:lang w:eastAsia="nl-NL"/>
        </w:rPr>
        <w:t>”</w:t>
      </w:r>
      <w:r w:rsidRPr="000D50F3">
        <w:rPr>
          <w:rFonts w:eastAsia="Calibri" w:cs="Arial"/>
          <w:bdr w:val="nil"/>
          <w:lang w:eastAsia="nl-NL"/>
        </w:rPr>
        <w:t xml:space="preserve"> figurant dans le document UPOV/INF/16, de sorte que les révisions futures de ce document soient déléguées au Comité technique et ne nécessitent pas d’adoption formelle par le Conseil.</w:t>
      </w:r>
    </w:p>
    <w:p w14:paraId="4C922A5F" w14:textId="77777777" w:rsidR="005E779B" w:rsidRPr="000279DB" w:rsidRDefault="005E779B" w:rsidP="00254BE5">
      <w:pPr>
        <w:ind w:left="2127"/>
        <w:rPr>
          <w:rFonts w:eastAsia="Calibri" w:cs="Arial"/>
          <w:bdr w:val="nil"/>
          <w:lang w:eastAsia="nl-NL"/>
        </w:rPr>
      </w:pPr>
    </w:p>
    <w:p w14:paraId="36398E8E" w14:textId="77777777" w:rsidR="00254BE5" w:rsidRPr="000D50F3" w:rsidRDefault="00254BE5" w:rsidP="00254BE5">
      <w:pPr>
        <w:keepNext/>
        <w:ind w:left="2127" w:hanging="1560"/>
        <w:jc w:val="left"/>
        <w:rPr>
          <w:rFonts w:eastAsia="Calibri" w:cs="Arial"/>
          <w:bdr w:val="nil"/>
          <w:lang w:eastAsia="nl-NL"/>
        </w:rPr>
      </w:pPr>
      <w:r w:rsidRPr="000D50F3">
        <w:rPr>
          <w:rFonts w:eastAsia="Calibri" w:cs="Arial"/>
          <w:color w:val="006600"/>
          <w:bdr w:val="nil"/>
          <w:lang w:eastAsia="nl-NL"/>
        </w:rPr>
        <w:t>UPOV/INF/22</w:t>
      </w:r>
      <w:r w:rsidRPr="000D50F3">
        <w:rPr>
          <w:rFonts w:eastAsia="Calibri" w:cs="Arial"/>
          <w:color w:val="006600"/>
          <w:bdr w:val="nil"/>
          <w:lang w:eastAsia="nl-NL"/>
        </w:rPr>
        <w:tab/>
        <w:t>Logiciels et équipements utilisés par les membres de l’Union (révision)</w:t>
      </w:r>
      <w:r w:rsidRPr="000D50F3">
        <w:rPr>
          <w:rFonts w:eastAsia="Calibri" w:cs="Arial"/>
          <w:bdr w:val="nil"/>
          <w:lang w:eastAsia="nl-NL"/>
        </w:rPr>
        <w:br/>
        <w:t xml:space="preserve">(document UPOV/INF/22/13 </w:t>
      </w:r>
      <w:r>
        <w:rPr>
          <w:rFonts w:eastAsia="Calibri" w:cs="Arial"/>
          <w:bdr w:val="nil"/>
          <w:lang w:eastAsia="nl-NL"/>
        </w:rPr>
        <w:t xml:space="preserve">Draft </w:t>
      </w:r>
      <w:r w:rsidRPr="000D50F3">
        <w:rPr>
          <w:rFonts w:eastAsia="Calibri" w:cs="Arial"/>
          <w:bdr w:val="nil"/>
          <w:lang w:eastAsia="nl-NL"/>
        </w:rPr>
        <w:t xml:space="preserve">1) </w:t>
      </w:r>
    </w:p>
    <w:p w14:paraId="5A4A4037" w14:textId="77777777" w:rsidR="005E779B" w:rsidRPr="000279DB" w:rsidRDefault="005E779B" w:rsidP="00254BE5">
      <w:pPr>
        <w:ind w:left="2127"/>
        <w:rPr>
          <w:rFonts w:eastAsia="Calibri" w:cs="Arial"/>
          <w:bdr w:val="nil"/>
          <w:lang w:eastAsia="nl-NL"/>
        </w:rPr>
      </w:pPr>
    </w:p>
    <w:p w14:paraId="0BE4B116" w14:textId="77777777" w:rsidR="00254BE5" w:rsidRPr="000D50F3" w:rsidRDefault="00254BE5" w:rsidP="00254BE5">
      <w:pPr>
        <w:ind w:left="2127"/>
        <w:rPr>
          <w:rFonts w:eastAsia="Calibri" w:cs="Arial"/>
          <w:bdr w:val="nil"/>
          <w:lang w:eastAsia="nl-NL"/>
        </w:rPr>
      </w:pPr>
      <w:r w:rsidRPr="000D50F3">
        <w:rPr>
          <w:rFonts w:eastAsia="Calibri" w:cs="Arial"/>
          <w:bdr w:val="nil"/>
          <w:lang w:eastAsia="nl-NL"/>
        </w:rPr>
        <w:t>Le document UPOV/INF/22 est un catalogue des logiciels et équipements disponibles dans le commerce utilisés par les membres de l’UPOV à des fins de protection des obtentions végétales. Il couvre les outils de gestion des demandes de protection des obtentions végétales, les systèmes de dépôt en ligne, la vérification des dénominations variétales, ainsi que la conception des essais DHS et l’analyse des données. Les membres de l’UPOV rendent compte chaque année de leur utilisation des logiciels et équipements répertoriés, et le document est mis à jour de manière continue.</w:t>
      </w:r>
    </w:p>
    <w:p w14:paraId="5F6A56F5" w14:textId="77777777" w:rsidR="00254BE5" w:rsidRPr="000D50F3" w:rsidRDefault="00254BE5" w:rsidP="00254BE5">
      <w:pPr>
        <w:ind w:left="2127"/>
        <w:rPr>
          <w:rFonts w:eastAsia="Calibri" w:cs="Arial"/>
          <w:bdr w:val="nil"/>
          <w:lang w:eastAsia="nl-NL"/>
        </w:rPr>
      </w:pPr>
    </w:p>
    <w:p w14:paraId="0D96D72A" w14:textId="77777777" w:rsidR="00254BE5" w:rsidRPr="000D50F3" w:rsidRDefault="00254BE5" w:rsidP="00254BE5">
      <w:pPr>
        <w:ind w:left="2127"/>
        <w:rPr>
          <w:rFonts w:eastAsia="Calibri" w:cs="Arial"/>
          <w:bdr w:val="nil"/>
          <w:lang w:eastAsia="nl-NL"/>
        </w:rPr>
      </w:pPr>
      <w:r w:rsidRPr="000D50F3">
        <w:rPr>
          <w:rFonts w:eastAsia="Calibri" w:cs="Arial"/>
          <w:bdr w:val="nil"/>
          <w:lang w:eastAsia="nl-NL"/>
        </w:rPr>
        <w:t xml:space="preserve">Sur la base des recommandations du Comité consultatif en 2025, le Conseil sera invité à modifier la </w:t>
      </w:r>
      <w:r>
        <w:rPr>
          <w:rFonts w:eastAsia="Calibri" w:cs="Arial"/>
          <w:bdr w:val="nil"/>
          <w:lang w:eastAsia="nl-NL"/>
        </w:rPr>
        <w:t>“</w:t>
      </w:r>
      <w:r w:rsidRPr="000D50F3">
        <w:rPr>
          <w:rFonts w:eastAsia="Calibri" w:cs="Arial"/>
          <w:bdr w:val="nil"/>
          <w:lang w:eastAsia="nl-NL"/>
        </w:rPr>
        <w:t>Procédure d’inclusion des logiciels/équipements</w:t>
      </w:r>
      <w:r>
        <w:rPr>
          <w:rFonts w:eastAsia="Calibri" w:cs="Arial"/>
          <w:bdr w:val="nil"/>
          <w:lang w:eastAsia="nl-NL"/>
        </w:rPr>
        <w:t>”</w:t>
      </w:r>
      <w:r w:rsidRPr="000D50F3">
        <w:rPr>
          <w:rFonts w:eastAsia="Calibri" w:cs="Arial"/>
          <w:bdr w:val="nil"/>
          <w:lang w:eastAsia="nl-NL"/>
        </w:rPr>
        <w:t xml:space="preserve"> figurant dans le document UPOV/INF/22, de sorte que les révisions futures de ce document ne nécessitent pas d’adoption formelle par le Conseil. </w:t>
      </w:r>
    </w:p>
    <w:p w14:paraId="6145D198" w14:textId="77777777" w:rsidR="005E779B" w:rsidRPr="000279DB" w:rsidRDefault="005E779B" w:rsidP="00254BE5">
      <w:pPr>
        <w:ind w:left="2127"/>
        <w:rPr>
          <w:rFonts w:eastAsia="Calibri" w:cs="Arial"/>
          <w:bdr w:val="nil"/>
          <w:lang w:eastAsia="nl-NL"/>
        </w:rPr>
      </w:pPr>
    </w:p>
    <w:p w14:paraId="5287852C" w14:textId="77777777" w:rsidR="00254BE5" w:rsidRPr="000D50F3" w:rsidRDefault="00254BE5" w:rsidP="00254BE5">
      <w:pPr>
        <w:keepNext/>
        <w:ind w:left="1134" w:hanging="567"/>
        <w:jc w:val="left"/>
        <w:rPr>
          <w:rFonts w:eastAsia="Calibri" w:cs="Arial"/>
          <w:color w:val="006600"/>
          <w:bdr w:val="nil"/>
          <w:lang w:eastAsia="nl-NL"/>
        </w:rPr>
      </w:pPr>
      <w:r w:rsidRPr="000D50F3">
        <w:rPr>
          <w:rFonts w:eastAsia="Calibri" w:cs="Arial"/>
          <w:color w:val="006600"/>
          <w:bdr w:val="nil"/>
          <w:lang w:eastAsia="nl-NL"/>
        </w:rPr>
        <w:t>b)</w:t>
      </w:r>
      <w:r w:rsidRPr="000D50F3">
        <w:rPr>
          <w:rFonts w:eastAsia="Calibri" w:cs="Arial"/>
          <w:color w:val="006600"/>
          <w:bdr w:val="nil"/>
          <w:lang w:eastAsia="nl-NL"/>
        </w:rPr>
        <w:tab/>
        <w:t>Documents TGP :</w:t>
      </w:r>
    </w:p>
    <w:p w14:paraId="340CBDF4" w14:textId="77777777" w:rsidR="00254BE5" w:rsidRPr="000D50F3" w:rsidRDefault="00254BE5" w:rsidP="00254BE5">
      <w:pPr>
        <w:keepNext/>
        <w:ind w:left="1560" w:hanging="993"/>
        <w:jc w:val="left"/>
        <w:rPr>
          <w:rFonts w:eastAsia="Calibri" w:cs="Arial"/>
          <w:color w:val="006600"/>
          <w:bdr w:val="nil"/>
          <w:lang w:eastAsia="nl-NL"/>
        </w:rPr>
      </w:pPr>
    </w:p>
    <w:p w14:paraId="67E012BA" w14:textId="75399564" w:rsidR="00254BE5" w:rsidRPr="000D50F3" w:rsidRDefault="00254BE5" w:rsidP="00254BE5">
      <w:pPr>
        <w:ind w:left="2127" w:hanging="1560"/>
        <w:jc w:val="left"/>
        <w:rPr>
          <w:bCs/>
          <w:snapToGrid w:val="0"/>
          <w:szCs w:val="24"/>
        </w:rPr>
      </w:pPr>
      <w:r w:rsidRPr="000D50F3">
        <w:rPr>
          <w:rFonts w:eastAsia="Calibri" w:cs="Arial"/>
          <w:color w:val="006600"/>
          <w:bdr w:val="nil"/>
          <w:lang w:eastAsia="nl-NL"/>
        </w:rPr>
        <w:t>TGP/5</w:t>
      </w:r>
      <w:r w:rsidRPr="000D50F3">
        <w:rPr>
          <w:rFonts w:eastAsia="Calibri" w:cs="Arial"/>
          <w:color w:val="006600"/>
          <w:bdr w:val="nil"/>
          <w:lang w:eastAsia="nl-NL"/>
        </w:rPr>
        <w:tab/>
        <w:t xml:space="preserve">Expérience et coopération en matière d’examen DHS : section 11 </w:t>
      </w:r>
      <w:r>
        <w:rPr>
          <w:rFonts w:eastAsia="Calibri" w:cs="Arial"/>
          <w:color w:val="006600"/>
          <w:bdr w:val="nil"/>
          <w:lang w:eastAsia="nl-NL"/>
        </w:rPr>
        <w:t>“</w:t>
      </w:r>
      <w:r w:rsidRPr="000D50F3">
        <w:rPr>
          <w:rFonts w:eastAsia="Calibri" w:cs="Arial"/>
          <w:color w:val="006600"/>
          <w:bdr w:val="nil"/>
          <w:lang w:eastAsia="nl-NL"/>
        </w:rPr>
        <w:t>Exemples de politiques et de contrats relatifs au matériel soumis par l’obtenteur</w:t>
      </w:r>
      <w:r>
        <w:rPr>
          <w:rFonts w:eastAsia="Calibri" w:cs="Arial"/>
          <w:color w:val="006600"/>
          <w:bdr w:val="nil"/>
          <w:lang w:eastAsia="nl-NL"/>
        </w:rPr>
        <w:t>”</w:t>
      </w:r>
      <w:r w:rsidRPr="000D50F3">
        <w:rPr>
          <w:rFonts w:eastAsia="Calibri" w:cs="Arial"/>
          <w:color w:val="006600"/>
          <w:bdr w:val="nil"/>
          <w:lang w:eastAsia="nl-NL"/>
        </w:rPr>
        <w:t xml:space="preserve"> (révision)</w:t>
      </w:r>
      <w:r>
        <w:rPr>
          <w:rFonts w:eastAsia="Calibri" w:cs="Arial"/>
          <w:color w:val="006600"/>
          <w:bdr w:val="nil"/>
          <w:lang w:eastAsia="nl-NL"/>
        </w:rPr>
        <w:br/>
      </w:r>
      <w:r w:rsidRPr="000D50F3">
        <w:rPr>
          <w:rFonts w:cs="Arial"/>
          <w:snapToGrid w:val="0"/>
        </w:rPr>
        <w:t xml:space="preserve">(document </w:t>
      </w:r>
      <w:r w:rsidRPr="000D50F3">
        <w:t>TGP/5, section 11/2</w:t>
      </w:r>
      <w:r>
        <w:t xml:space="preserve"> Draft</w:t>
      </w:r>
      <w:r w:rsidRPr="000D50F3">
        <w:t xml:space="preserve"> 1</w:t>
      </w:r>
      <w:r w:rsidRPr="000D50F3">
        <w:rPr>
          <w:bCs/>
          <w:snapToGrid w:val="0"/>
          <w:szCs w:val="24"/>
        </w:rPr>
        <w:t>)</w:t>
      </w:r>
    </w:p>
    <w:p w14:paraId="1A3B68A7" w14:textId="77777777" w:rsidR="00254BE5" w:rsidRPr="000D50F3" w:rsidRDefault="00254BE5" w:rsidP="00254BE5"/>
    <w:p w14:paraId="742A848A" w14:textId="77777777" w:rsidR="00254BE5" w:rsidRPr="000D50F3" w:rsidRDefault="00254BE5" w:rsidP="00254BE5">
      <w:pPr>
        <w:ind w:left="2127"/>
      </w:pPr>
      <w:r w:rsidRPr="000D50F3">
        <w:t xml:space="preserve">Le Conseil sera invité à adopter une révision de la section 11 du document TGP/5 afin de remplacer les informations fournies précédemment par l’Union européenne par la politique actuelle concernant le statut du matériel végétal soumis à l’examen DHS.  </w:t>
      </w:r>
    </w:p>
    <w:p w14:paraId="1E2B92FA" w14:textId="77777777" w:rsidR="00254BE5" w:rsidRPr="000D50F3" w:rsidRDefault="00254BE5" w:rsidP="00254BE5">
      <w:pPr>
        <w:keepNext/>
        <w:jc w:val="left"/>
        <w:rPr>
          <w:rFonts w:eastAsia="Calibri" w:cs="Arial"/>
          <w:color w:val="006600"/>
          <w:bdr w:val="nil"/>
          <w:lang w:eastAsia="nl-NL"/>
        </w:rPr>
      </w:pPr>
    </w:p>
    <w:p w14:paraId="64C94453" w14:textId="77777777" w:rsidR="005E779B" w:rsidRPr="000279DB" w:rsidRDefault="005E779B" w:rsidP="00254BE5">
      <w:pPr>
        <w:ind w:left="2127" w:hanging="1560"/>
        <w:jc w:val="left"/>
        <w:rPr>
          <w:rFonts w:eastAsia="Calibri" w:cs="Arial"/>
          <w:bdr w:val="nil"/>
          <w:lang w:eastAsia="nl-NL"/>
        </w:rPr>
      </w:pPr>
      <w:r w:rsidRPr="000279DB">
        <w:rPr>
          <w:rFonts w:eastAsia="Calibri" w:cs="Arial"/>
          <w:color w:val="006600"/>
          <w:bdr w:val="nil"/>
          <w:lang w:eastAsia="nl-NL"/>
        </w:rPr>
        <w:t>TGP/7</w:t>
      </w:r>
      <w:r w:rsidRPr="000279DB">
        <w:rPr>
          <w:rFonts w:eastAsia="Calibri" w:cs="Arial"/>
          <w:color w:val="006600"/>
          <w:bdr w:val="nil"/>
          <w:lang w:eastAsia="nl-NL"/>
        </w:rPr>
        <w:tab/>
        <w:t>Élaboration de principes directeurs d’examen (révision)</w:t>
      </w:r>
      <w:r w:rsidRPr="000279DB">
        <w:rPr>
          <w:rFonts w:eastAsia="Calibri" w:cs="Arial"/>
          <w:color w:val="006600"/>
          <w:bdr w:val="nil"/>
          <w:lang w:eastAsia="nl-NL"/>
        </w:rPr>
        <w:br/>
      </w:r>
      <w:r w:rsidRPr="000279DB">
        <w:rPr>
          <w:rFonts w:eastAsia="Calibri" w:cs="Arial"/>
          <w:bdr w:val="nil"/>
          <w:lang w:eastAsia="nl-NL"/>
        </w:rPr>
        <w:t>(document SESSIONS/2026/2)</w:t>
      </w:r>
    </w:p>
    <w:p w14:paraId="184F1BD1" w14:textId="77777777" w:rsidR="005E779B" w:rsidRPr="000279DB" w:rsidRDefault="005E779B" w:rsidP="005E779B">
      <w:pPr>
        <w:ind w:left="1560" w:hanging="993"/>
        <w:jc w:val="left"/>
        <w:rPr>
          <w:rFonts w:eastAsia="Calibri" w:cs="Arial"/>
          <w:color w:val="006600"/>
          <w:bdr w:val="nil"/>
          <w:lang w:eastAsia="nl-NL"/>
        </w:rPr>
      </w:pPr>
    </w:p>
    <w:p w14:paraId="2DEAD77A" w14:textId="5FF5DE48" w:rsidR="005E779B" w:rsidRPr="000279DB" w:rsidRDefault="005E779B" w:rsidP="00254BE5">
      <w:pPr>
        <w:ind w:left="2410" w:hanging="283"/>
        <w:jc w:val="left"/>
        <w:rPr>
          <w:rFonts w:eastAsia="Calibri" w:cs="Arial"/>
          <w:color w:val="006600"/>
          <w:bdr w:val="nil"/>
          <w:lang w:eastAsia="nl-NL"/>
        </w:rPr>
      </w:pPr>
      <w:r w:rsidRPr="000279DB">
        <w:rPr>
          <w:rFonts w:eastAsia="Calibri" w:cs="Arial"/>
          <w:color w:val="006600"/>
          <w:bdr w:val="nil"/>
          <w:lang w:eastAsia="nl-NL"/>
        </w:rPr>
        <w:t>–</w:t>
      </w:r>
      <w:r w:rsidR="00254BE5">
        <w:rPr>
          <w:rFonts w:eastAsia="Calibri" w:cs="Arial"/>
          <w:color w:val="006600"/>
          <w:bdr w:val="nil"/>
          <w:lang w:eastAsia="nl-NL"/>
        </w:rPr>
        <w:tab/>
      </w:r>
      <w:r w:rsidRPr="000279DB">
        <w:rPr>
          <w:rFonts w:eastAsia="Calibri" w:cs="Arial"/>
          <w:color w:val="006600"/>
          <w:bdr w:val="nil"/>
          <w:lang w:eastAsia="nl-NL"/>
        </w:rPr>
        <w:t xml:space="preserve">Libellé standard universel dans les principes directeurs d’examen pour le </w:t>
      </w:r>
      <w:r w:rsidR="00254BE5">
        <w:rPr>
          <w:rFonts w:eastAsia="Calibri" w:cs="Arial"/>
          <w:color w:val="006600"/>
          <w:bdr w:val="nil"/>
          <w:lang w:eastAsia="nl-NL"/>
        </w:rPr>
        <w:t>“</w:t>
      </w:r>
      <w:r w:rsidRPr="000279DB">
        <w:rPr>
          <w:rFonts w:eastAsia="Calibri" w:cs="Arial"/>
          <w:color w:val="006600"/>
          <w:bdr w:val="nil"/>
          <w:lang w:eastAsia="nl-NL"/>
        </w:rPr>
        <w:t>nombre de cycles de végétation</w:t>
      </w:r>
      <w:r w:rsidR="00254BE5">
        <w:rPr>
          <w:rFonts w:eastAsia="Calibri" w:cs="Arial"/>
          <w:color w:val="006600"/>
          <w:bdr w:val="nil"/>
          <w:lang w:eastAsia="nl-NL"/>
        </w:rPr>
        <w:t>”</w:t>
      </w:r>
      <w:r w:rsidRPr="000279DB">
        <w:rPr>
          <w:rFonts w:eastAsia="Calibri" w:cs="Arial"/>
          <w:color w:val="006600"/>
          <w:bdr w:val="nil"/>
          <w:lang w:eastAsia="nl-NL"/>
        </w:rPr>
        <w:t xml:space="preserve"> ; </w:t>
      </w:r>
    </w:p>
    <w:p w14:paraId="25591FCA" w14:textId="0386D061" w:rsidR="005E779B" w:rsidRPr="000279DB" w:rsidRDefault="005E779B" w:rsidP="00254BE5">
      <w:pPr>
        <w:ind w:left="2410" w:right="-142" w:hanging="283"/>
        <w:jc w:val="left"/>
        <w:rPr>
          <w:rFonts w:eastAsia="Calibri" w:cs="Arial"/>
          <w:color w:val="006600"/>
          <w:bdr w:val="nil"/>
          <w:lang w:eastAsia="nl-NL"/>
        </w:rPr>
      </w:pPr>
      <w:r w:rsidRPr="000279DB">
        <w:rPr>
          <w:rFonts w:eastAsia="Calibri" w:cs="Arial"/>
          <w:color w:val="006600"/>
          <w:bdr w:val="nil"/>
          <w:lang w:eastAsia="nl-NL"/>
        </w:rPr>
        <w:t>–</w:t>
      </w:r>
      <w:r w:rsidR="00254BE5">
        <w:rPr>
          <w:rFonts w:eastAsia="Calibri" w:cs="Arial"/>
          <w:color w:val="006600"/>
          <w:bdr w:val="nil"/>
          <w:lang w:eastAsia="nl-NL"/>
        </w:rPr>
        <w:tab/>
        <w:t>Libellé</w:t>
      </w:r>
      <w:r w:rsidRPr="000279DB">
        <w:rPr>
          <w:rFonts w:eastAsia="Calibri" w:cs="Arial"/>
          <w:color w:val="006600"/>
          <w:bdr w:val="nil"/>
          <w:lang w:eastAsia="nl-NL"/>
        </w:rPr>
        <w:t xml:space="preserve"> standard supplémentaire pour le </w:t>
      </w:r>
      <w:r w:rsidR="00254BE5">
        <w:rPr>
          <w:rFonts w:eastAsia="Calibri" w:cs="Arial"/>
          <w:color w:val="006600"/>
          <w:bdr w:val="nil"/>
          <w:lang w:eastAsia="nl-NL"/>
        </w:rPr>
        <w:t>“</w:t>
      </w:r>
      <w:r w:rsidRPr="000279DB">
        <w:rPr>
          <w:rFonts w:eastAsia="Calibri" w:cs="Arial"/>
          <w:color w:val="006600"/>
          <w:bdr w:val="nil"/>
          <w:lang w:eastAsia="nl-NL"/>
        </w:rPr>
        <w:t>nombre de cycles de végétation</w:t>
      </w:r>
      <w:r w:rsidR="00254BE5">
        <w:rPr>
          <w:rFonts w:eastAsia="Calibri" w:cs="Arial"/>
          <w:color w:val="006600"/>
          <w:bdr w:val="nil"/>
          <w:lang w:eastAsia="nl-NL"/>
        </w:rPr>
        <w:t>”</w:t>
      </w:r>
      <w:r w:rsidRPr="000279DB">
        <w:rPr>
          <w:rFonts w:eastAsia="Calibri" w:cs="Arial"/>
          <w:color w:val="006600"/>
          <w:bdr w:val="nil"/>
          <w:lang w:eastAsia="nl-NL"/>
        </w:rPr>
        <w:t xml:space="preserve"> (ASW</w:t>
      </w:r>
      <w:r w:rsidR="00254BE5">
        <w:rPr>
          <w:rFonts w:eastAsia="Calibri" w:cs="Arial"/>
          <w:color w:val="006600"/>
          <w:bdr w:val="nil"/>
          <w:lang w:eastAsia="nl-NL"/>
        </w:rPr>
        <w:t> </w:t>
      </w:r>
      <w:r w:rsidRPr="000279DB">
        <w:rPr>
          <w:rFonts w:eastAsia="Calibri" w:cs="Arial"/>
          <w:color w:val="006600"/>
          <w:bdr w:val="nil"/>
          <w:lang w:eastAsia="nl-NL"/>
        </w:rPr>
        <w:t>2)</w:t>
      </w:r>
    </w:p>
    <w:p w14:paraId="67255243" w14:textId="3CBE0783" w:rsidR="005E779B" w:rsidRPr="000279DB" w:rsidRDefault="005E779B" w:rsidP="00254BE5">
      <w:pPr>
        <w:ind w:left="2410" w:hanging="283"/>
        <w:jc w:val="left"/>
        <w:rPr>
          <w:rFonts w:eastAsia="Calibri" w:cs="Arial"/>
          <w:color w:val="006600"/>
          <w:bdr w:val="nil"/>
          <w:lang w:eastAsia="nl-NL"/>
        </w:rPr>
      </w:pPr>
      <w:r w:rsidRPr="000279DB">
        <w:rPr>
          <w:rFonts w:eastAsia="Calibri" w:cs="Arial"/>
          <w:color w:val="006600"/>
          <w:bdr w:val="nil"/>
          <w:lang w:eastAsia="nl-NL"/>
        </w:rPr>
        <w:t>–</w:t>
      </w:r>
      <w:r w:rsidR="00254BE5">
        <w:rPr>
          <w:rFonts w:eastAsia="Calibri" w:cs="Arial"/>
          <w:color w:val="006600"/>
          <w:bdr w:val="nil"/>
          <w:lang w:eastAsia="nl-NL"/>
        </w:rPr>
        <w:tab/>
      </w:r>
      <w:r w:rsidRPr="000279DB">
        <w:rPr>
          <w:rFonts w:eastAsia="Calibri" w:cs="Arial"/>
          <w:color w:val="006600"/>
          <w:bdr w:val="nil"/>
          <w:lang w:eastAsia="nl-NL"/>
        </w:rPr>
        <w:t>Explication du cycle de végétation : espèces fruitières (ASW 3)</w:t>
      </w:r>
    </w:p>
    <w:p w14:paraId="1DD1B1ED" w14:textId="77777777" w:rsidR="005E779B" w:rsidRPr="000279DB" w:rsidRDefault="005E779B" w:rsidP="005E779B"/>
    <w:p w14:paraId="10A3A5EB" w14:textId="635EA362" w:rsidR="005E779B" w:rsidRPr="000279DB" w:rsidRDefault="005E779B" w:rsidP="00254BE5">
      <w:pPr>
        <w:ind w:left="2127"/>
      </w:pPr>
      <w:r w:rsidRPr="000279DB">
        <w:t xml:space="preserve">Le Comité technique sera invité à examiner les modifications proposées </w:t>
      </w:r>
      <w:r w:rsidR="00254BE5">
        <w:t>au libellé</w:t>
      </w:r>
      <w:r w:rsidRPr="000279DB">
        <w:t xml:space="preserve"> standard des principes directeurs d’examen concernant le </w:t>
      </w:r>
      <w:r w:rsidR="00254BE5">
        <w:t>“</w:t>
      </w:r>
      <w:r w:rsidRPr="000279DB">
        <w:t>nombre de cycles de végétation</w:t>
      </w:r>
      <w:r w:rsidR="00254BE5">
        <w:t>”</w:t>
      </w:r>
      <w:r w:rsidRPr="000279DB">
        <w:t xml:space="preserve"> afin de préciser à quel moment l’examen d’une variété peut être conclu. Le compte rendu des observations des groupes de travail techniques (TWP) sur cette proposition sera fourni.</w:t>
      </w:r>
    </w:p>
    <w:p w14:paraId="7120F386" w14:textId="77777777" w:rsidR="005E779B" w:rsidRPr="000279DB" w:rsidRDefault="005E779B" w:rsidP="005E779B">
      <w:pPr>
        <w:ind w:left="1560" w:hanging="993"/>
        <w:jc w:val="left"/>
        <w:rPr>
          <w:rFonts w:eastAsia="Calibri" w:cs="Arial"/>
          <w:color w:val="006600"/>
          <w:bdr w:val="nil"/>
          <w:lang w:eastAsia="nl-NL"/>
        </w:rPr>
      </w:pPr>
    </w:p>
    <w:bookmarkEnd w:id="1"/>
    <w:p w14:paraId="0182FC2C" w14:textId="77777777" w:rsidR="00254BE5" w:rsidRPr="000D50F3" w:rsidRDefault="00254BE5" w:rsidP="00254BE5">
      <w:pPr>
        <w:ind w:left="2127" w:hanging="1560"/>
        <w:jc w:val="left"/>
        <w:rPr>
          <w:bCs/>
          <w:snapToGrid w:val="0"/>
          <w:szCs w:val="24"/>
        </w:rPr>
      </w:pPr>
      <w:r w:rsidRPr="000D50F3">
        <w:rPr>
          <w:rFonts w:eastAsia="Calibri" w:cs="Arial"/>
          <w:color w:val="006600"/>
          <w:bdr w:val="nil"/>
          <w:lang w:eastAsia="nl-NL"/>
        </w:rPr>
        <w:t>TGP/15</w:t>
      </w:r>
      <w:r w:rsidRPr="000D50F3">
        <w:rPr>
          <w:rFonts w:eastAsia="Calibri" w:cs="Arial"/>
          <w:color w:val="006600"/>
          <w:bdr w:val="nil"/>
          <w:lang w:eastAsia="nl-NL"/>
        </w:rPr>
        <w:tab/>
        <w:t xml:space="preserve">Conseils </w:t>
      </w:r>
      <w:r w:rsidRPr="00775D6E">
        <w:rPr>
          <w:rFonts w:eastAsia="Calibri" w:cs="Arial"/>
          <w:color w:val="006600"/>
          <w:bdr w:val="nil"/>
          <w:lang w:eastAsia="nl-NL"/>
        </w:rPr>
        <w:t xml:space="preserve">en ce qui concerne </w:t>
      </w:r>
      <w:r w:rsidRPr="000D50F3">
        <w:rPr>
          <w:rFonts w:eastAsia="Calibri" w:cs="Arial"/>
          <w:color w:val="006600"/>
          <w:bdr w:val="nil"/>
          <w:lang w:eastAsia="nl-NL"/>
        </w:rPr>
        <w:t>l’utilisation de marqueurs biochimiques et moléculaires dans l’examen de la distinction, de l’homogénéité et de la stabilité (DHS) (révision)</w:t>
      </w:r>
      <w:r w:rsidRPr="000D50F3">
        <w:rPr>
          <w:rFonts w:eastAsia="Calibri" w:cs="Arial"/>
          <w:color w:val="006600"/>
          <w:bdr w:val="nil"/>
          <w:lang w:eastAsia="nl-NL"/>
        </w:rPr>
        <w:br/>
      </w:r>
      <w:r w:rsidRPr="000D50F3">
        <w:rPr>
          <w:rFonts w:cs="Arial"/>
          <w:snapToGrid w:val="0"/>
        </w:rPr>
        <w:t xml:space="preserve">(document </w:t>
      </w:r>
      <w:r w:rsidRPr="000D50F3">
        <w:t xml:space="preserve">TGP/15/4 </w:t>
      </w:r>
      <w:r>
        <w:t xml:space="preserve">Draft </w:t>
      </w:r>
      <w:r w:rsidRPr="000D50F3">
        <w:t>1</w:t>
      </w:r>
      <w:r w:rsidRPr="000D50F3">
        <w:rPr>
          <w:bCs/>
          <w:snapToGrid w:val="0"/>
          <w:szCs w:val="24"/>
        </w:rPr>
        <w:t>)</w:t>
      </w:r>
    </w:p>
    <w:p w14:paraId="1910CEFF" w14:textId="77777777" w:rsidR="00254BE5" w:rsidRPr="000D50F3" w:rsidRDefault="00254BE5" w:rsidP="00254BE5">
      <w:pPr>
        <w:ind w:left="2127"/>
        <w:jc w:val="left"/>
        <w:rPr>
          <w:rFonts w:eastAsia="Calibri" w:cs="Arial"/>
          <w:bdr w:val="nil"/>
          <w:lang w:eastAsia="nl-NL"/>
        </w:rPr>
      </w:pPr>
    </w:p>
    <w:p w14:paraId="34E1CA28" w14:textId="77777777" w:rsidR="00254BE5" w:rsidRPr="000D50F3" w:rsidRDefault="00254BE5" w:rsidP="00254BE5">
      <w:pPr>
        <w:ind w:left="2127"/>
        <w:rPr>
          <w:rFonts w:eastAsia="Calibri" w:cs="Arial"/>
          <w:bdr w:val="nil"/>
          <w:lang w:eastAsia="nl-NL"/>
        </w:rPr>
      </w:pPr>
      <w:r w:rsidRPr="000D50F3">
        <w:rPr>
          <w:rFonts w:eastAsia="Calibri" w:cs="Arial"/>
          <w:bdr w:val="nil"/>
          <w:lang w:eastAsia="nl-NL"/>
        </w:rPr>
        <w:t>Le Conseil sera invité à adopter une révision du document TGP/15 afin d'y inclure des procédures de validation des marqueurs moléculaires spécifiques à un caractère, ainsi qu'un modèle standard permettant de fournir, dans les principes directeurs d'examen, des informations sur la manière d'évaluer les caractères à l'aide de ces marqueurs.</w:t>
      </w:r>
    </w:p>
    <w:p w14:paraId="7F52C63D" w14:textId="77777777" w:rsidR="005E779B" w:rsidRPr="000279DB" w:rsidRDefault="005E779B" w:rsidP="005E779B"/>
    <w:p w14:paraId="258C0FBE" w14:textId="77777777" w:rsidR="005E779B" w:rsidRPr="000279DB" w:rsidRDefault="005E779B" w:rsidP="005E779B"/>
    <w:bookmarkEnd w:id="0"/>
    <w:p w14:paraId="0944AFFD" w14:textId="77777777" w:rsidR="005E779B" w:rsidRPr="000279DB" w:rsidRDefault="005E779B" w:rsidP="005E779B">
      <w:pPr>
        <w:pStyle w:val="agendaitemtitle"/>
        <w:rPr>
          <w:b w:val="0"/>
          <w:bCs w:val="0"/>
          <w:color w:val="auto"/>
        </w:rPr>
      </w:pPr>
      <w:r w:rsidRPr="000279DB">
        <w:fldChar w:fldCharType="begin"/>
      </w:r>
      <w:r w:rsidRPr="000279DB">
        <w:instrText xml:space="preserve"> AUTONUM  </w:instrText>
      </w:r>
      <w:r w:rsidRPr="000279DB">
        <w:fldChar w:fldCharType="end"/>
      </w:r>
      <w:r w:rsidRPr="000279DB">
        <w:tab/>
        <w:t xml:space="preserve">Mesures visant à renforcer la coopération en matière d'examen </w:t>
      </w:r>
      <w:r w:rsidRPr="000279DB">
        <w:rPr>
          <w:b w:val="0"/>
          <w:bCs w:val="0"/>
          <w:color w:val="auto"/>
        </w:rPr>
        <w:t>(document SESSIONS/2026/3)</w:t>
      </w:r>
    </w:p>
    <w:p w14:paraId="2B2026B9" w14:textId="77777777" w:rsidR="005E779B" w:rsidRPr="000279DB" w:rsidRDefault="005E779B" w:rsidP="005E779B"/>
    <w:p w14:paraId="0B7A4853" w14:textId="1DEBA8B9" w:rsidR="005E779B" w:rsidRPr="000279DB" w:rsidRDefault="005E779B" w:rsidP="005E779B">
      <w:pPr>
        <w:ind w:left="567"/>
      </w:pPr>
      <w:r w:rsidRPr="000279DB">
        <w:t xml:space="preserve">Le TC et le CAJ poursuivront leurs discussions sur les mesures susceptibles d’être prises pour renforcer la coopération en matière d’examen DHS et l’acceptation des rapports d’examen DHS. Un compte rendu sera présenté sur les webinaires organisés sur : (1) les effets de l’environnement sur l’expression des caractères, (2) l’exhaustivité et la pertinence des collections de variétés, et (3) les retards phytosanitaires dans les examens DHS. Les enregistrements des présentations des webinaires sont disponibles sur le site web de l’UPOV. </w:t>
      </w:r>
    </w:p>
    <w:p w14:paraId="6D3545B5" w14:textId="77777777" w:rsidR="005E779B" w:rsidRPr="000279DB" w:rsidRDefault="005E779B" w:rsidP="005E779B"/>
    <w:p w14:paraId="56C80485" w14:textId="77777777" w:rsidR="004E2DB7" w:rsidRPr="000279DB" w:rsidRDefault="004E2DB7" w:rsidP="005E779B"/>
    <w:p w14:paraId="2FC01B61" w14:textId="77777777" w:rsidR="005E779B" w:rsidRPr="000279DB" w:rsidRDefault="005E779B" w:rsidP="005E779B">
      <w:pPr>
        <w:pStyle w:val="agendaitemtitle"/>
        <w:keepNext/>
        <w:rPr>
          <w:b w:val="0"/>
          <w:bCs w:val="0"/>
          <w:color w:val="auto"/>
        </w:rPr>
      </w:pPr>
      <w:r w:rsidRPr="000279DB">
        <w:fldChar w:fldCharType="begin"/>
      </w:r>
      <w:r w:rsidRPr="000279DB">
        <w:instrText xml:space="preserve"> AUTONUM  </w:instrText>
      </w:r>
      <w:r w:rsidRPr="000279DB">
        <w:fldChar w:fldCharType="end"/>
      </w:r>
      <w:r w:rsidRPr="000279DB">
        <w:tab/>
        <w:t xml:space="preserve">Mesures visant à améliorer le soutien apporté à l’examen DHS </w:t>
      </w:r>
      <w:r w:rsidRPr="000279DB">
        <w:rPr>
          <w:b w:val="0"/>
          <w:bCs w:val="0"/>
          <w:color w:val="auto"/>
        </w:rPr>
        <w:t>(document TC/62/6)</w:t>
      </w:r>
    </w:p>
    <w:p w14:paraId="77E71DFE" w14:textId="77777777" w:rsidR="005E779B" w:rsidRPr="000279DB" w:rsidRDefault="005E779B" w:rsidP="004E2DB7">
      <w:pPr>
        <w:keepNext/>
      </w:pPr>
    </w:p>
    <w:p w14:paraId="7988C807" w14:textId="116337E3" w:rsidR="005E779B" w:rsidRPr="000279DB" w:rsidRDefault="005E779B" w:rsidP="005E779B">
      <w:pPr>
        <w:ind w:left="567"/>
      </w:pPr>
      <w:r w:rsidRPr="000279DB">
        <w:t>En 2025, l’outil en ligne de l’UPOV pour la rédaction des principes directeurs d’examen (</w:t>
      </w:r>
      <w:r w:rsidR="00254BE5">
        <w:t>“</w:t>
      </w:r>
      <w:r w:rsidRPr="000279DB">
        <w:t>modèle de principes directeurs</w:t>
      </w:r>
      <w:r w:rsidR="00254BE5">
        <w:t xml:space="preserve"> d’examen”</w:t>
      </w:r>
      <w:r w:rsidRPr="000279DB">
        <w:t xml:space="preserve">) a été utilisé pour consigner les résultats des discussions sur les projets de principes directeurs d’examen au sein du TWF. Le TC recevra un compte rendu sur l’utilisation de cette procédure dans tous les TWP tenus en 2026, dans le but de rationaliser le processus de rédaction des principes directeurs d’examen. D'autres propositions visant à améliorer encore le modèle de </w:t>
      </w:r>
      <w:r w:rsidR="00254BE5" w:rsidRPr="000279DB">
        <w:t>principes directeurs</w:t>
      </w:r>
      <w:r w:rsidR="00254BE5">
        <w:t xml:space="preserve"> d’examen</w:t>
      </w:r>
      <w:r w:rsidRPr="000279DB">
        <w:t xml:space="preserve"> en tant qu'outil de travail pour les membres de l'UPOV seront examinées par le TC, en fonction des résultats des discussions menées au sein des TWP.</w:t>
      </w:r>
    </w:p>
    <w:p w14:paraId="0F6E9F78" w14:textId="77777777" w:rsidR="005E779B" w:rsidRPr="000279DB" w:rsidRDefault="005E779B" w:rsidP="005E779B">
      <w:pPr>
        <w:ind w:left="567"/>
      </w:pPr>
    </w:p>
    <w:p w14:paraId="21E879DD" w14:textId="058A1B68" w:rsidR="005E779B" w:rsidRPr="000279DB" w:rsidRDefault="005E779B" w:rsidP="005E779B">
      <w:pPr>
        <w:ind w:left="567"/>
      </w:pPr>
      <w:r w:rsidRPr="000279DB">
        <w:t xml:space="preserve">Avec l’accord du TC, les TWP de 2026 offriront aux membres de l’UPOV l’occasion de présenter des </w:t>
      </w:r>
      <w:r w:rsidR="00254BE5">
        <w:t>caractères</w:t>
      </w:r>
      <w:r w:rsidRPr="000279DB">
        <w:t xml:space="preserve">, des approches ou des défis liés à l’examen DHS pertinents pour l’élaboration de principes directeurs d’examen nationaux. L’objectif est d’aider les membres de l’UPOV à élaborer des principes directeurs d’examen nationaux conformément aux orientations de l’UPOV, sans lien avec l’élaboration de principes directeurs d’examen de l’UPOV harmonisés au niveau international.  Le TC recevra un compte rendu sur la mise en œuvre de cette nouvelle approche de coopération technique et examinera si des ajustements seraient nécessaires aux procédures mises en œuvre. </w:t>
      </w:r>
    </w:p>
    <w:p w14:paraId="6E97E0C2" w14:textId="77777777" w:rsidR="005E779B" w:rsidRPr="000279DB" w:rsidRDefault="005E779B" w:rsidP="005E779B"/>
    <w:p w14:paraId="53966BA2" w14:textId="77777777" w:rsidR="005E779B" w:rsidRPr="000279DB" w:rsidRDefault="005E779B" w:rsidP="005E779B"/>
    <w:p w14:paraId="4CAC1B1D" w14:textId="77777777" w:rsidR="005E779B" w:rsidRPr="000279DB" w:rsidRDefault="005E779B" w:rsidP="005E779B">
      <w:pPr>
        <w:pStyle w:val="agendaitemtitle"/>
        <w:keepNext/>
        <w:rPr>
          <w:b w:val="0"/>
          <w:bCs w:val="0"/>
          <w:snapToGrid w:val="0"/>
          <w:color w:val="auto"/>
        </w:rPr>
      </w:pPr>
      <w:r w:rsidRPr="000279DB">
        <w:fldChar w:fldCharType="begin"/>
      </w:r>
      <w:r w:rsidRPr="000279DB">
        <w:instrText xml:space="preserve"> AUTONUM  </w:instrText>
      </w:r>
      <w:r w:rsidRPr="000279DB">
        <w:fldChar w:fldCharType="end"/>
      </w:r>
      <w:r w:rsidRPr="000279DB">
        <w:tab/>
      </w:r>
      <w:r w:rsidRPr="000279DB">
        <w:rPr>
          <w:snapToGrid w:val="0"/>
        </w:rPr>
        <w:t xml:space="preserve">Bases de données d'information de l'UPOV </w:t>
      </w:r>
      <w:r w:rsidRPr="000279DB">
        <w:rPr>
          <w:b w:val="0"/>
          <w:bCs w:val="0"/>
          <w:snapToGrid w:val="0"/>
          <w:color w:val="auto"/>
        </w:rPr>
        <w:t xml:space="preserve">(document SESSIONS/2026/5) </w:t>
      </w:r>
    </w:p>
    <w:p w14:paraId="01990BA5" w14:textId="77777777" w:rsidR="005E779B" w:rsidRPr="000279DB" w:rsidRDefault="005E779B" w:rsidP="005E779B">
      <w:pPr>
        <w:keepNext/>
      </w:pPr>
    </w:p>
    <w:p w14:paraId="67605FD4" w14:textId="3FD0D54D" w:rsidR="005E779B" w:rsidRPr="000279DB" w:rsidRDefault="005E779B" w:rsidP="005E779B">
      <w:pPr>
        <w:ind w:left="567"/>
      </w:pPr>
      <w:r w:rsidRPr="000279DB">
        <w:t>Le TC examinera des propositions visant à modifier les codes UPOV pour les espèces</w:t>
      </w:r>
      <w:r w:rsidR="00AF3E1E">
        <w:t xml:space="preserve"> de</w:t>
      </w:r>
      <w:r w:rsidRPr="000279DB">
        <w:t xml:space="preserve"> </w:t>
      </w:r>
      <w:r w:rsidR="00AF3E1E">
        <w:rPr>
          <w:i/>
          <w:iCs/>
        </w:rPr>
        <w:t xml:space="preserve">Citrus </w:t>
      </w:r>
      <w:r w:rsidRPr="000279DB">
        <w:t xml:space="preserve">qui ne sont plus reconnues comme des noms botaniques valides ; le TC notera que le CAJ sera invité à examiner l’analyse des résultats des enquêtes menées auprès des utilisateurs et des contributeurs de données de PLUTO, ainsi que toute recommandation qui en découlerait pour le programme d’amélioration de la base de données PLUTO. </w:t>
      </w:r>
    </w:p>
    <w:p w14:paraId="77492C45" w14:textId="77777777" w:rsidR="005E779B" w:rsidRPr="000279DB" w:rsidRDefault="005E779B" w:rsidP="005E779B">
      <w:pPr>
        <w:ind w:left="567"/>
      </w:pPr>
    </w:p>
    <w:p w14:paraId="4D3439B8" w14:textId="77777777" w:rsidR="005E779B" w:rsidRPr="000279DB" w:rsidRDefault="005E779B" w:rsidP="005E779B">
      <w:pPr>
        <w:ind w:left="567"/>
      </w:pPr>
    </w:p>
    <w:p w14:paraId="67971BFC" w14:textId="77777777" w:rsidR="005E779B" w:rsidRPr="000279DB" w:rsidRDefault="005E779B" w:rsidP="005E779B">
      <w:pPr>
        <w:pStyle w:val="agendaitemtitle"/>
        <w:rPr>
          <w:b w:val="0"/>
          <w:bCs w:val="0"/>
          <w:color w:val="auto"/>
        </w:rPr>
      </w:pPr>
      <w:r w:rsidRPr="000279DB">
        <w:fldChar w:fldCharType="begin"/>
      </w:r>
      <w:r w:rsidRPr="000279DB">
        <w:instrText xml:space="preserve"> AUTONUM  </w:instrText>
      </w:r>
      <w:r w:rsidRPr="000279DB">
        <w:fldChar w:fldCharType="end"/>
      </w:r>
      <w:r w:rsidRPr="000279DB">
        <w:tab/>
        <w:t xml:space="preserve">Techniques moléculaires </w:t>
      </w:r>
      <w:r w:rsidRPr="000279DB">
        <w:rPr>
          <w:b w:val="0"/>
          <w:bCs w:val="0"/>
          <w:snapToGrid w:val="0"/>
          <w:color w:val="auto"/>
        </w:rPr>
        <w:t xml:space="preserve">(document SESSIONS/2026/6) </w:t>
      </w:r>
    </w:p>
    <w:p w14:paraId="2B199214" w14:textId="77777777" w:rsidR="005E779B" w:rsidRPr="000279DB" w:rsidRDefault="005E779B" w:rsidP="005E779B"/>
    <w:p w14:paraId="0F05C297" w14:textId="77777777" w:rsidR="005E779B" w:rsidRPr="000279DB" w:rsidRDefault="005E779B" w:rsidP="005E779B">
      <w:pPr>
        <w:ind w:left="567"/>
      </w:pPr>
      <w:r w:rsidRPr="000279DB">
        <w:t>Le TC examinera les questions relatives à l’utilisation des techniques moléculaires dans l’examen de la distinction, de l’homogénéité et de la stabilité, notamment :</w:t>
      </w:r>
    </w:p>
    <w:p w14:paraId="6B06CC9B" w14:textId="77777777" w:rsidR="005E779B" w:rsidRPr="000279DB" w:rsidRDefault="005E779B" w:rsidP="005E779B"/>
    <w:p w14:paraId="2B873C13" w14:textId="77777777" w:rsidR="00AF3E1E" w:rsidRPr="00820438" w:rsidRDefault="00AF3E1E" w:rsidP="00AF3E1E">
      <w:pPr>
        <w:spacing w:after="120"/>
        <w:ind w:left="1134" w:hanging="567"/>
      </w:pPr>
      <w:r w:rsidRPr="00820438">
        <w:t>a)</w:t>
      </w:r>
      <w:r w:rsidRPr="00820438">
        <w:tab/>
      </w:r>
      <w:r>
        <w:t>l</w:t>
      </w:r>
      <w:r w:rsidRPr="00820438">
        <w:t>es travaux menés au sein du Groupe de travail technique sur les méthodes et techniques d'essai (TWM) concernant l'utilisation des marqueurs moléculaires dans l'examen DHS, l'identification des variétés, l'évaluation de la dérivation essentielle et l'application des droits;</w:t>
      </w:r>
    </w:p>
    <w:p w14:paraId="0961D7A0" w14:textId="77777777" w:rsidR="00AF3E1E" w:rsidRPr="00820438" w:rsidRDefault="00AF3E1E" w:rsidP="00AF3E1E">
      <w:pPr>
        <w:spacing w:after="120"/>
        <w:ind w:left="1134" w:hanging="567"/>
      </w:pPr>
      <w:r w:rsidRPr="00820438">
        <w:t>(b)</w:t>
      </w:r>
      <w:r w:rsidRPr="00820438">
        <w:tab/>
        <w:t>les discussions menées au sein des groupes de travail techniques sur la coopération en matière d’utilisation des informations moléculaires, y compris la mise au point conjointe de marqueurs moléculaires, la gestion des collections de variétés et l’identification des variétés;</w:t>
      </w:r>
    </w:p>
    <w:p w14:paraId="6D8EB826" w14:textId="77777777" w:rsidR="00AF3E1E" w:rsidRPr="00820438" w:rsidRDefault="00AF3E1E" w:rsidP="00AF3E1E">
      <w:pPr>
        <w:spacing w:after="120"/>
        <w:ind w:left="1134" w:hanging="567"/>
      </w:pPr>
      <w:r w:rsidRPr="00820438">
        <w:t>(c)</w:t>
      </w:r>
      <w:r w:rsidRPr="00820438">
        <w:tab/>
        <w:t xml:space="preserve">la coopération avec les organisations internationales, y compris d’éventuelles initiatives conjointes avec l’OCDE et l’ISTA : </w:t>
      </w:r>
    </w:p>
    <w:p w14:paraId="173B69A4" w14:textId="77777777" w:rsidR="00AF3E1E" w:rsidRPr="00820438" w:rsidRDefault="00AF3E1E" w:rsidP="00AF3E1E">
      <w:pPr>
        <w:ind w:left="1701" w:hanging="567"/>
      </w:pPr>
      <w:r w:rsidRPr="00820438">
        <w:t>(i)</w:t>
      </w:r>
      <w:r w:rsidRPr="00820438">
        <w:tab/>
        <w:t xml:space="preserve">l'harmonisation des termes, des définitions et des méthodes relatifs aux techniques moléculaires ; </w:t>
      </w:r>
    </w:p>
    <w:p w14:paraId="5D507857" w14:textId="77777777" w:rsidR="00AF3E1E" w:rsidRPr="00820438" w:rsidRDefault="00AF3E1E" w:rsidP="00AF3E1E">
      <w:pPr>
        <w:ind w:left="1701" w:hanging="567"/>
      </w:pPr>
      <w:r w:rsidRPr="00820438">
        <w:t>(ii)</w:t>
      </w:r>
      <w:r w:rsidRPr="00820438">
        <w:tab/>
      </w:r>
      <w:r>
        <w:t xml:space="preserve">une </w:t>
      </w:r>
      <w:r w:rsidRPr="00820438">
        <w:t xml:space="preserve">réunion conjointe avec le TWM, les programmes de l'OCDE sur les semences et le Comité des variétés de l'ISTA ; et </w:t>
      </w:r>
    </w:p>
    <w:p w14:paraId="7325918C" w14:textId="77777777" w:rsidR="00AF3E1E" w:rsidRPr="00820438" w:rsidRDefault="00AF3E1E" w:rsidP="00AF3E1E">
      <w:pPr>
        <w:spacing w:after="120"/>
        <w:ind w:left="1701" w:hanging="567"/>
      </w:pPr>
      <w:r w:rsidRPr="00820438">
        <w:t>(iii)</w:t>
      </w:r>
      <w:r w:rsidRPr="00820438">
        <w:tab/>
      </w:r>
      <w:r>
        <w:t>l’</w:t>
      </w:r>
      <w:r w:rsidRPr="00820438">
        <w:t>établissement d'ensembles communs de marqueurs moléculaires pour l'identification des variétés.</w:t>
      </w:r>
    </w:p>
    <w:p w14:paraId="5197A934" w14:textId="77777777" w:rsidR="00AF3E1E" w:rsidRPr="00820438" w:rsidRDefault="00AF3E1E" w:rsidP="00AF3E1E">
      <w:pPr>
        <w:ind w:left="567"/>
      </w:pPr>
      <w:r w:rsidRPr="00820438">
        <w:t>(d)</w:t>
      </w:r>
      <w:r w:rsidRPr="00820438">
        <w:tab/>
        <w:t>les résultats de l'enquête de 2026 sur l'utilisation des marqueurs moléculaires par culture.</w:t>
      </w:r>
    </w:p>
    <w:p w14:paraId="770EC80C" w14:textId="77777777" w:rsidR="005E779B" w:rsidRPr="000279DB" w:rsidRDefault="005E779B" w:rsidP="005E779B"/>
    <w:p w14:paraId="5BA11B66" w14:textId="77777777" w:rsidR="005E779B" w:rsidRPr="000279DB" w:rsidRDefault="005E779B" w:rsidP="005E779B">
      <w:pPr>
        <w:pStyle w:val="agendaitemtitle"/>
      </w:pPr>
      <w:r w:rsidRPr="000279DB">
        <w:fldChar w:fldCharType="begin"/>
      </w:r>
      <w:r w:rsidRPr="000279DB">
        <w:instrText xml:space="preserve"> AUTONUM  </w:instrText>
      </w:r>
      <w:r w:rsidRPr="000279DB">
        <w:fldChar w:fldCharType="end"/>
      </w:r>
      <w:r w:rsidRPr="000279DB">
        <w:tab/>
        <w:t xml:space="preserve">Ateliers et webinaires du TWP </w:t>
      </w:r>
      <w:r w:rsidRPr="000279DB">
        <w:rPr>
          <w:b w:val="0"/>
          <w:bCs w:val="0"/>
          <w:snapToGrid w:val="0"/>
          <w:color w:val="auto"/>
        </w:rPr>
        <w:t xml:space="preserve">(document TC/62/7) </w:t>
      </w:r>
    </w:p>
    <w:p w14:paraId="4EA4F198" w14:textId="77777777" w:rsidR="005E779B" w:rsidRPr="000279DB" w:rsidRDefault="005E779B" w:rsidP="005E779B">
      <w:pPr>
        <w:keepNext/>
        <w:ind w:left="567"/>
      </w:pPr>
    </w:p>
    <w:p w14:paraId="28D53062" w14:textId="59F12589" w:rsidR="005E779B" w:rsidRPr="000279DB" w:rsidRDefault="005E779B" w:rsidP="005E779B">
      <w:pPr>
        <w:ind w:left="567"/>
      </w:pPr>
      <w:r w:rsidRPr="000279DB">
        <w:t>Des ateliers et des webinaires sont organisés dans le but principal d’aider certains délégués à participer plus activement aux sessions d</w:t>
      </w:r>
      <w:r w:rsidR="00841276">
        <w:t>es</w:t>
      </w:r>
      <w:r w:rsidRPr="000279DB">
        <w:t xml:space="preserve"> Groupe de travail technique (TWP). Depuis 2021, les ateliers sont organisés sous forme de webinaires avant les sessions d</w:t>
      </w:r>
      <w:r w:rsidR="00841276">
        <w:t>es</w:t>
      </w:r>
      <w:r w:rsidRPr="000279DB">
        <w:t xml:space="preserve"> TWP et leurs enregistrements vidéo sont disponibles sur le site web de l’UPOV.  </w:t>
      </w:r>
    </w:p>
    <w:p w14:paraId="15ADE31D" w14:textId="77777777" w:rsidR="005E779B" w:rsidRPr="000279DB" w:rsidRDefault="005E779B" w:rsidP="005E779B">
      <w:pPr>
        <w:keepNext/>
        <w:ind w:left="1134" w:hanging="567"/>
      </w:pPr>
    </w:p>
    <w:p w14:paraId="4AEE9C43" w14:textId="77777777" w:rsidR="005E779B" w:rsidRPr="000279DB" w:rsidRDefault="005E779B" w:rsidP="005E779B">
      <w:pPr>
        <w:keepNext/>
        <w:ind w:left="567"/>
      </w:pPr>
      <w:r w:rsidRPr="000279DB">
        <w:t xml:space="preserve">Le TC examinera un compte rendu sur les </w:t>
      </w:r>
      <w:hyperlink r:id="rId7" w:anchor="technical-webinars" w:history="1">
        <w:r w:rsidRPr="000279DB">
          <w:rPr>
            <w:rStyle w:val="Hyperlink"/>
          </w:rPr>
          <w:t>webinaires</w:t>
        </w:r>
      </w:hyperlink>
      <w:r w:rsidRPr="000279DB">
        <w:t xml:space="preserve"> organisés en 2026 et des propositions de webinaires pour 2027.</w:t>
      </w:r>
    </w:p>
    <w:p w14:paraId="3EED902E" w14:textId="77777777" w:rsidR="005E779B" w:rsidRPr="000279DB" w:rsidRDefault="005E779B" w:rsidP="005E779B"/>
    <w:p w14:paraId="3AC10662" w14:textId="77777777" w:rsidR="005E779B" w:rsidRPr="000279DB" w:rsidRDefault="005E779B" w:rsidP="005E779B"/>
    <w:p w14:paraId="1A1EB6FE" w14:textId="77777777" w:rsidR="005E779B" w:rsidRPr="000279DB" w:rsidRDefault="005E779B" w:rsidP="005E779B">
      <w:pPr>
        <w:pStyle w:val="agendaitemtitle"/>
      </w:pPr>
      <w:r w:rsidRPr="000279DB">
        <w:fldChar w:fldCharType="begin"/>
      </w:r>
      <w:r w:rsidRPr="000279DB">
        <w:instrText xml:space="preserve"> AUTONUM  </w:instrText>
      </w:r>
      <w:r w:rsidRPr="000279DB">
        <w:fldChar w:fldCharType="end"/>
      </w:r>
      <w:r w:rsidRPr="000279DB">
        <w:tab/>
        <w:t>Discussion sur : L'effet de l'environnement sur l'expression des caractères ; L'exhaustivité et la pertinence des collections de variétés végétales ; Les questions phytosanitaires ayant une incidence sur l'accès au matériel végétal</w:t>
      </w:r>
    </w:p>
    <w:p w14:paraId="275EFC80" w14:textId="77777777" w:rsidR="005E779B" w:rsidRPr="000279DB" w:rsidRDefault="005E779B" w:rsidP="005E779B"/>
    <w:p w14:paraId="02098642" w14:textId="2DD418CE" w:rsidR="005E779B" w:rsidRPr="000279DB" w:rsidRDefault="005E779B" w:rsidP="005E779B">
      <w:pPr>
        <w:ind w:left="567"/>
      </w:pPr>
      <w:r w:rsidRPr="000279DB">
        <w:t xml:space="preserve">À sa soixante et unième session, le TC a décidé de tenir une séance de discussion ouverte sur les points susmentionnés, qui ont également été examinés au titre des </w:t>
      </w:r>
      <w:r w:rsidR="00254BE5">
        <w:t>“</w:t>
      </w:r>
      <w:r w:rsidRPr="000279DB">
        <w:t>Mesures visant à renforcer la coopération en matière d’examen</w:t>
      </w:r>
      <w:r w:rsidR="00254BE5">
        <w:t>”</w:t>
      </w:r>
      <w:r w:rsidRPr="000279DB">
        <w:t xml:space="preserve"> et qui feront l’objet des </w:t>
      </w:r>
      <w:hyperlink r:id="rId8" w:anchor="technical-webinars" w:history="1">
        <w:r w:rsidRPr="000279DB">
          <w:rPr>
            <w:rStyle w:val="Hyperlink"/>
          </w:rPr>
          <w:t>webinaires</w:t>
        </w:r>
      </w:hyperlink>
      <w:r w:rsidRPr="000279DB">
        <w:t xml:space="preserve"> organisés en 2026.</w:t>
      </w:r>
    </w:p>
    <w:p w14:paraId="42703797" w14:textId="77777777" w:rsidR="005E779B" w:rsidRPr="000279DB" w:rsidRDefault="005E779B" w:rsidP="005E779B"/>
    <w:p w14:paraId="66117CBD" w14:textId="77777777" w:rsidR="005E779B" w:rsidRPr="000279DB" w:rsidRDefault="005E779B" w:rsidP="005E779B"/>
    <w:p w14:paraId="47EB4A2F" w14:textId="77777777" w:rsidR="005E779B" w:rsidRPr="000279DB" w:rsidRDefault="005E779B" w:rsidP="005E779B">
      <w:pPr>
        <w:pStyle w:val="agendaitemtitle"/>
      </w:pPr>
      <w:r w:rsidRPr="000279DB">
        <w:fldChar w:fldCharType="begin"/>
      </w:r>
      <w:r w:rsidRPr="000279DB">
        <w:instrText xml:space="preserve"> AUTONUM  </w:instrText>
      </w:r>
      <w:r w:rsidRPr="000279DB">
        <w:fldChar w:fldCharType="end"/>
      </w:r>
      <w:r w:rsidRPr="000279DB">
        <w:tab/>
        <w:t xml:space="preserve">Principes directeurs d’examen </w:t>
      </w:r>
      <w:r w:rsidRPr="000279DB">
        <w:rPr>
          <w:b w:val="0"/>
          <w:bCs w:val="0"/>
          <w:color w:val="auto"/>
        </w:rPr>
        <w:t>(documents TC/62/2, TC/62/[xx])</w:t>
      </w:r>
    </w:p>
    <w:p w14:paraId="2889B9A7" w14:textId="77777777" w:rsidR="005E779B" w:rsidRPr="000279DB" w:rsidRDefault="005E779B" w:rsidP="005E779B"/>
    <w:p w14:paraId="46A40792" w14:textId="77777777" w:rsidR="005E779B" w:rsidRPr="000279DB" w:rsidRDefault="005E779B" w:rsidP="005E779B">
      <w:pPr>
        <w:ind w:left="567"/>
      </w:pPr>
      <w:r w:rsidRPr="000279DB">
        <w:t>Le TC sera invité à examiner (a) le programme d’élaboration et de révision des principes directeurs d’examen ; (b) les caractères/états d’expression supplémentaires notifiés par les membres de l’UPOV ; et (c) les expériences relatives aux nouveaux types et espèces examinées au sein des groupes de travail techniques (TWP).</w:t>
      </w:r>
    </w:p>
    <w:p w14:paraId="1DC345F5" w14:textId="77777777" w:rsidR="005E779B" w:rsidRPr="000279DB" w:rsidRDefault="005E779B" w:rsidP="005E779B"/>
    <w:p w14:paraId="675F7A47" w14:textId="77777777" w:rsidR="005E779B" w:rsidRPr="000279DB" w:rsidRDefault="005E779B" w:rsidP="005E779B"/>
    <w:p w14:paraId="54E2F16C" w14:textId="717EEB1B" w:rsidR="005E779B" w:rsidRPr="000279DB" w:rsidRDefault="005E779B" w:rsidP="005E779B">
      <w:pPr>
        <w:pStyle w:val="agendaitemtitle"/>
        <w:rPr>
          <w:snapToGrid w:val="0"/>
        </w:rPr>
      </w:pPr>
      <w:r w:rsidRPr="000279DB">
        <w:rPr>
          <w:snapToGrid w:val="0"/>
        </w:rPr>
        <w:fldChar w:fldCharType="begin"/>
      </w:r>
      <w:r w:rsidRPr="000279DB">
        <w:rPr>
          <w:snapToGrid w:val="0"/>
        </w:rPr>
        <w:instrText xml:space="preserve"> AUTONUM  </w:instrText>
      </w:r>
      <w:r w:rsidRPr="000279DB">
        <w:rPr>
          <w:snapToGrid w:val="0"/>
        </w:rPr>
        <w:fldChar w:fldCharType="end"/>
      </w:r>
      <w:r w:rsidRPr="000279DB">
        <w:rPr>
          <w:snapToGrid w:val="0"/>
        </w:rPr>
        <w:tab/>
      </w:r>
      <w:r w:rsidR="00561D05">
        <w:rPr>
          <w:snapToGrid w:val="0"/>
        </w:rPr>
        <w:t>Questions</w:t>
      </w:r>
      <w:r w:rsidRPr="000279DB">
        <w:rPr>
          <w:snapToGrid w:val="0"/>
        </w:rPr>
        <w:t xml:space="preserve"> pour information : </w:t>
      </w:r>
    </w:p>
    <w:p w14:paraId="2154B133" w14:textId="77777777" w:rsidR="005E779B" w:rsidRPr="000279DB" w:rsidRDefault="005E779B" w:rsidP="005E779B">
      <w:pPr>
        <w:ind w:left="567" w:hanging="567"/>
        <w:rPr>
          <w:rFonts w:cs="Arial"/>
          <w:snapToGrid w:val="0"/>
        </w:rPr>
      </w:pPr>
    </w:p>
    <w:p w14:paraId="491EB9C2" w14:textId="2C28713C" w:rsidR="005E779B" w:rsidRPr="000279DB" w:rsidRDefault="005E779B" w:rsidP="005E779B">
      <w:pPr>
        <w:ind w:left="1134" w:hanging="567"/>
        <w:rPr>
          <w:rFonts w:cs="Arial"/>
          <w:snapToGrid w:val="0"/>
        </w:rPr>
      </w:pPr>
      <w:r w:rsidRPr="000279DB">
        <w:rPr>
          <w:rFonts w:eastAsia="Calibri" w:cs="Arial"/>
          <w:color w:val="006600"/>
          <w:bdr w:val="nil"/>
          <w:lang w:eastAsia="nl-NL"/>
        </w:rPr>
        <w:t>(a)</w:t>
      </w:r>
      <w:r w:rsidRPr="000279DB">
        <w:rPr>
          <w:rFonts w:eastAsia="Calibri" w:cs="Arial"/>
          <w:color w:val="006600"/>
          <w:bdr w:val="nil"/>
          <w:lang w:eastAsia="nl-NL"/>
        </w:rPr>
        <w:tab/>
      </w:r>
      <w:r w:rsidR="00561D05">
        <w:rPr>
          <w:rFonts w:eastAsia="Calibri" w:cs="Arial"/>
          <w:color w:val="006600"/>
          <w:bdr w:val="nil"/>
          <w:lang w:eastAsia="nl-NL"/>
        </w:rPr>
        <w:t>Faits nouveaux</w:t>
      </w:r>
      <w:r w:rsidRPr="000279DB">
        <w:rPr>
          <w:rFonts w:eastAsia="Calibri" w:cs="Arial"/>
          <w:color w:val="006600"/>
          <w:bdr w:val="nil"/>
          <w:lang w:eastAsia="nl-NL"/>
        </w:rPr>
        <w:t xml:space="preserve"> concernant l’UPOV e-PVP </w:t>
      </w:r>
      <w:r w:rsidRPr="000279DB">
        <w:rPr>
          <w:rFonts w:cs="Arial"/>
          <w:snapToGrid w:val="0"/>
        </w:rPr>
        <w:t>(document SESSIONS/2026/4)</w:t>
      </w:r>
    </w:p>
    <w:p w14:paraId="3AC92536" w14:textId="77777777" w:rsidR="005E779B" w:rsidRPr="000279DB" w:rsidRDefault="005E779B" w:rsidP="005E779B">
      <w:pPr>
        <w:ind w:left="1134" w:hanging="567"/>
        <w:rPr>
          <w:rFonts w:cs="Arial"/>
          <w:snapToGrid w:val="0"/>
        </w:rPr>
      </w:pPr>
    </w:p>
    <w:p w14:paraId="51A56B5F" w14:textId="132C0694" w:rsidR="005E779B" w:rsidRPr="000279DB" w:rsidRDefault="005E779B" w:rsidP="00561D05">
      <w:pPr>
        <w:ind w:left="1134" w:hanging="567"/>
        <w:rPr>
          <w:rFonts w:cs="Arial"/>
        </w:rPr>
      </w:pPr>
      <w:r w:rsidRPr="000279DB">
        <w:rPr>
          <w:rFonts w:eastAsia="Calibri" w:cs="Arial"/>
          <w:color w:val="006600"/>
          <w:bdr w:val="nil"/>
          <w:lang w:eastAsia="nl-NL"/>
        </w:rPr>
        <w:t>(b)</w:t>
      </w:r>
      <w:r w:rsidRPr="000279DB">
        <w:rPr>
          <w:rFonts w:eastAsia="Calibri" w:cs="Arial"/>
          <w:color w:val="006600"/>
          <w:bdr w:val="nil"/>
          <w:lang w:eastAsia="nl-NL"/>
        </w:rPr>
        <w:tab/>
      </w:r>
      <w:r w:rsidR="00561D05" w:rsidRPr="00561D05">
        <w:rPr>
          <w:rFonts w:eastAsia="Calibri" w:cs="Arial"/>
          <w:color w:val="006600"/>
          <w:bdr w:val="nil"/>
          <w:lang w:eastAsia="nl-NL"/>
        </w:rPr>
        <w:t>Liste des genres et espèces pour lesquels les autorités ont une expérience pratique en matière</w:t>
      </w:r>
      <w:r w:rsidR="00561D05">
        <w:rPr>
          <w:rFonts w:eastAsia="Calibri" w:cs="Arial"/>
          <w:color w:val="006600"/>
          <w:bdr w:val="nil"/>
          <w:lang w:eastAsia="nl-NL"/>
        </w:rPr>
        <w:t xml:space="preserve"> </w:t>
      </w:r>
      <w:r w:rsidR="00561D05" w:rsidRPr="00561D05">
        <w:rPr>
          <w:rFonts w:eastAsia="Calibri" w:cs="Arial"/>
          <w:color w:val="006600"/>
          <w:bdr w:val="nil"/>
          <w:lang w:eastAsia="nl-NL"/>
        </w:rPr>
        <w:t>d’examen de la distinction, de l'homogénéité et de la stabilité</w:t>
      </w:r>
      <w:r w:rsidRPr="000279DB">
        <w:rPr>
          <w:rFonts w:eastAsia="Calibri" w:cs="Arial"/>
          <w:color w:val="006600"/>
          <w:bdr w:val="nil"/>
          <w:lang w:eastAsia="nl-NL"/>
        </w:rPr>
        <w:t xml:space="preserve"> </w:t>
      </w:r>
      <w:r w:rsidRPr="000279DB">
        <w:rPr>
          <w:rFonts w:cs="Arial"/>
        </w:rPr>
        <w:t>(document TC/62/4)</w:t>
      </w:r>
    </w:p>
    <w:p w14:paraId="521504C9" w14:textId="77777777" w:rsidR="005E779B" w:rsidRPr="000279DB" w:rsidRDefault="005E779B" w:rsidP="005E779B"/>
    <w:p w14:paraId="0B6574BB" w14:textId="77777777" w:rsidR="005E779B" w:rsidRPr="000279DB" w:rsidRDefault="005E779B" w:rsidP="005E779B"/>
    <w:p w14:paraId="4E3BD804" w14:textId="77777777" w:rsidR="005E779B" w:rsidRPr="000279DB" w:rsidRDefault="005E779B" w:rsidP="005E779B">
      <w:pPr>
        <w:pStyle w:val="agendaitemtitle"/>
        <w:keepNext/>
      </w:pPr>
      <w:r w:rsidRPr="000279DB">
        <w:fldChar w:fldCharType="begin"/>
      </w:r>
      <w:r w:rsidRPr="000279DB">
        <w:instrText xml:space="preserve"> AUTONUM  </w:instrText>
      </w:r>
      <w:r w:rsidRPr="000279DB">
        <w:fldChar w:fldCharType="end"/>
      </w:r>
      <w:r w:rsidRPr="000279DB">
        <w:tab/>
        <w:t xml:space="preserve">Programme de la soixante-troisième session </w:t>
      </w:r>
    </w:p>
    <w:p w14:paraId="68DAE020" w14:textId="77777777" w:rsidR="005E779B" w:rsidRPr="000279DB" w:rsidRDefault="005E779B" w:rsidP="005E779B">
      <w:pPr>
        <w:keepNext/>
        <w:ind w:left="567"/>
      </w:pPr>
    </w:p>
    <w:p w14:paraId="2FD52130" w14:textId="6EBA43FC" w:rsidR="005E779B" w:rsidRPr="000279DB" w:rsidRDefault="005E779B" w:rsidP="005E779B">
      <w:pPr>
        <w:ind w:left="567"/>
      </w:pPr>
      <w:r w:rsidRPr="000279DB">
        <w:t xml:space="preserve">Le TC sera invité à examiner son futur programme de travail, y compris le choix d’un thème pour la </w:t>
      </w:r>
      <w:r w:rsidR="00254BE5">
        <w:t>“</w:t>
      </w:r>
      <w:r w:rsidRPr="000279DB">
        <w:t>séance de discussion</w:t>
      </w:r>
      <w:r w:rsidR="00254BE5">
        <w:t>”</w:t>
      </w:r>
      <w:r w:rsidRPr="000279DB">
        <w:t>.</w:t>
      </w:r>
    </w:p>
    <w:p w14:paraId="1E67080E" w14:textId="77777777" w:rsidR="005E779B" w:rsidRPr="000279DB" w:rsidRDefault="005E779B" w:rsidP="005E779B">
      <w:pPr>
        <w:rPr>
          <w:rFonts w:cs="Arial"/>
        </w:rPr>
      </w:pPr>
    </w:p>
    <w:p w14:paraId="71ACBDDA" w14:textId="77777777" w:rsidR="005E779B" w:rsidRPr="000279DB" w:rsidRDefault="005E779B" w:rsidP="005E779B">
      <w:pPr>
        <w:rPr>
          <w:rFonts w:cs="Arial"/>
        </w:rPr>
      </w:pPr>
    </w:p>
    <w:p w14:paraId="0AFC39F4" w14:textId="325E1B5C" w:rsidR="005E779B" w:rsidRPr="000279DB" w:rsidRDefault="005E779B" w:rsidP="005E779B">
      <w:pPr>
        <w:pStyle w:val="agendaitemtitle"/>
      </w:pPr>
      <w:r w:rsidRPr="000279DB">
        <w:fldChar w:fldCharType="begin"/>
      </w:r>
      <w:r w:rsidRPr="000279DB">
        <w:instrText xml:space="preserve"> AUTONUM  </w:instrText>
      </w:r>
      <w:r w:rsidRPr="000279DB">
        <w:fldChar w:fldCharType="end"/>
      </w:r>
      <w:r w:rsidRPr="000279DB">
        <w:tab/>
        <w:t>Adoption du compte rendu (</w:t>
      </w:r>
      <w:r w:rsidR="00561D05" w:rsidRPr="00561D05">
        <w:t>selon le temps disponible</w:t>
      </w:r>
      <w:r w:rsidRPr="000279DB">
        <w:t xml:space="preserve">) </w:t>
      </w:r>
    </w:p>
    <w:p w14:paraId="0947EC88" w14:textId="77777777" w:rsidR="005E779B" w:rsidRPr="000279DB" w:rsidRDefault="005E779B" w:rsidP="005E779B">
      <w:pPr>
        <w:keepNext/>
      </w:pPr>
    </w:p>
    <w:p w14:paraId="2749DB4D" w14:textId="77777777" w:rsidR="005E779B" w:rsidRPr="000279DB" w:rsidRDefault="005E779B" w:rsidP="005E779B">
      <w:pPr>
        <w:keepNext/>
      </w:pPr>
    </w:p>
    <w:p w14:paraId="576ECDCC" w14:textId="77777777" w:rsidR="005E779B" w:rsidRPr="000279DB" w:rsidRDefault="005E779B" w:rsidP="005E779B">
      <w:pPr>
        <w:pStyle w:val="agendaitemtitle"/>
      </w:pPr>
      <w:r w:rsidRPr="000279DB">
        <w:fldChar w:fldCharType="begin"/>
      </w:r>
      <w:r w:rsidRPr="000279DB">
        <w:instrText xml:space="preserve"> AUTONUM  </w:instrText>
      </w:r>
      <w:r w:rsidRPr="000279DB">
        <w:fldChar w:fldCharType="end"/>
      </w:r>
      <w:r w:rsidRPr="000279DB">
        <w:tab/>
        <w:t>Clôture de la session</w:t>
      </w:r>
    </w:p>
    <w:p w14:paraId="50D9E71F" w14:textId="77777777" w:rsidR="005E779B" w:rsidRPr="000279DB" w:rsidRDefault="005E779B" w:rsidP="005E779B">
      <w:pPr>
        <w:jc w:val="left"/>
      </w:pPr>
    </w:p>
    <w:p w14:paraId="52846C33" w14:textId="77777777" w:rsidR="005E779B" w:rsidRPr="000279DB" w:rsidRDefault="005E779B" w:rsidP="005E779B">
      <w:pPr>
        <w:jc w:val="left"/>
      </w:pPr>
    </w:p>
    <w:p w14:paraId="3D37B57F" w14:textId="77777777" w:rsidR="005E779B" w:rsidRPr="000279DB" w:rsidRDefault="005E779B" w:rsidP="005E779B">
      <w:pPr>
        <w:jc w:val="left"/>
      </w:pPr>
    </w:p>
    <w:p w14:paraId="4CF8A892" w14:textId="77777777" w:rsidR="009B440E" w:rsidRPr="000279DB" w:rsidRDefault="00050E16" w:rsidP="00050E16">
      <w:pPr>
        <w:jc w:val="right"/>
      </w:pPr>
      <w:r w:rsidRPr="000279DB">
        <w:t>[Fin du document]</w:t>
      </w:r>
    </w:p>
    <w:p w14:paraId="7A67B90F" w14:textId="382F69B0" w:rsidR="007278B9" w:rsidRPr="000279DB" w:rsidRDefault="007278B9">
      <w:pPr>
        <w:jc w:val="left"/>
      </w:pPr>
    </w:p>
    <w:p w14:paraId="0C02BEDA" w14:textId="77777777" w:rsidR="00050E16" w:rsidRPr="000279DB" w:rsidRDefault="00050E16" w:rsidP="009B440E">
      <w:pPr>
        <w:jc w:val="left"/>
      </w:pPr>
    </w:p>
    <w:sectPr w:rsidR="00050E16" w:rsidRPr="000279DB" w:rsidSect="00906DDC">
      <w:headerReference w:type="default" r:id="rId9"/>
      <w:footerReference w:type="first" r:id="rId10"/>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49779" w14:textId="77777777" w:rsidR="00E338FC" w:rsidRDefault="00E338FC" w:rsidP="006655D3">
      <w:r>
        <w:separator/>
      </w:r>
    </w:p>
    <w:p w14:paraId="1C93DF57" w14:textId="77777777" w:rsidR="00E338FC" w:rsidRDefault="00E338FC" w:rsidP="006655D3"/>
    <w:p w14:paraId="6FEBD309" w14:textId="77777777" w:rsidR="00E338FC" w:rsidRDefault="00E338FC" w:rsidP="006655D3"/>
  </w:endnote>
  <w:endnote w:type="continuationSeparator" w:id="0">
    <w:p w14:paraId="76FF84C6" w14:textId="77777777" w:rsidR="00E338FC" w:rsidRDefault="00E338FC" w:rsidP="006655D3">
      <w:r>
        <w:separator/>
      </w:r>
    </w:p>
    <w:p w14:paraId="4395872E" w14:textId="77777777" w:rsidR="00E338FC" w:rsidRPr="00294751" w:rsidRDefault="00E338FC">
      <w:pPr>
        <w:pStyle w:val="Footer"/>
        <w:spacing w:after="60"/>
        <w:rPr>
          <w:sz w:val="18"/>
          <w:lang w:val="fr-FR"/>
        </w:rPr>
      </w:pPr>
      <w:r w:rsidRPr="00294751">
        <w:rPr>
          <w:sz w:val="18"/>
          <w:lang w:val="fr-FR"/>
        </w:rPr>
        <w:t>[Suite de la note de la page précédente]</w:t>
      </w:r>
    </w:p>
    <w:p w14:paraId="5A6FD53D" w14:textId="77777777" w:rsidR="00E338FC" w:rsidRPr="00294751" w:rsidRDefault="00E338FC" w:rsidP="006655D3"/>
    <w:p w14:paraId="0F5463B9" w14:textId="77777777" w:rsidR="00E338FC" w:rsidRPr="00294751" w:rsidRDefault="00E338FC" w:rsidP="006655D3"/>
  </w:endnote>
  <w:endnote w:type="continuationNotice" w:id="1">
    <w:p w14:paraId="2D8A32FD" w14:textId="77777777" w:rsidR="00E338FC" w:rsidRPr="00294751" w:rsidRDefault="00E338FC" w:rsidP="006655D3">
      <w:r w:rsidRPr="00294751">
        <w:t>[Suite de la note de la page suivante]</w:t>
      </w:r>
    </w:p>
    <w:p w14:paraId="29D2D360" w14:textId="77777777" w:rsidR="00E338FC" w:rsidRPr="00294751" w:rsidRDefault="00E338FC" w:rsidP="006655D3"/>
    <w:p w14:paraId="1803DDF3" w14:textId="77777777" w:rsidR="00E338FC" w:rsidRPr="00294751" w:rsidRDefault="00E338FC" w:rsidP="00665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C576" w14:textId="77777777" w:rsidR="008E6DB0" w:rsidRPr="000372C8" w:rsidRDefault="008E6DB0" w:rsidP="008E6DB0">
    <w:pPr>
      <w:tabs>
        <w:tab w:val="left" w:pos="2835"/>
      </w:tabs>
      <w:spacing w:before="60"/>
      <w:rPr>
        <w:sz w:val="16"/>
        <w:u w:val="single"/>
      </w:rPr>
    </w:pPr>
    <w:r w:rsidRPr="000372C8">
      <w:rPr>
        <w:sz w:val="16"/>
        <w:u w:val="single"/>
      </w:rPr>
      <w:tab/>
    </w:r>
  </w:p>
  <w:p w14:paraId="000E87A9" w14:textId="42F6994A" w:rsidR="008E6DB0" w:rsidRPr="008E6DB0" w:rsidRDefault="008E6DB0" w:rsidP="008E6DB0">
    <w:pPr>
      <w:spacing w:before="120"/>
      <w:rPr>
        <w:sz w:val="14"/>
        <w:szCs w:val="14"/>
      </w:rPr>
    </w:pPr>
    <w:r w:rsidRPr="00EA51C3">
      <w:rPr>
        <w:rFonts w:cs="Arial"/>
        <w:sz w:val="14"/>
        <w:szCs w:val="15"/>
      </w:rPr>
      <w:t xml:space="preserve">La session aura lieu au siège de l'UPOV (34, chemin des Colombettes, Genève, Suisse) </w:t>
    </w:r>
    <w:r w:rsidRPr="00EA51C3">
      <w:rPr>
        <w:sz w:val="14"/>
        <w:szCs w:val="15"/>
      </w:rPr>
      <w:t xml:space="preserve">les </w:t>
    </w:r>
    <w:r w:rsidRPr="00B67D96">
      <w:rPr>
        <w:sz w:val="14"/>
        <w:szCs w:val="15"/>
      </w:rPr>
      <w:t xml:space="preserve">lundi </w:t>
    </w:r>
    <w:r>
      <w:rPr>
        <w:sz w:val="14"/>
        <w:szCs w:val="15"/>
      </w:rPr>
      <w:t xml:space="preserve">19 et </w:t>
    </w:r>
    <w:r w:rsidRPr="00B67D96">
      <w:rPr>
        <w:sz w:val="14"/>
        <w:szCs w:val="15"/>
      </w:rPr>
      <w:t xml:space="preserve">mardi </w:t>
    </w:r>
    <w:r>
      <w:rPr>
        <w:sz w:val="14"/>
        <w:szCs w:val="15"/>
      </w:rPr>
      <w:t>20</w:t>
    </w:r>
    <w:r w:rsidRPr="00B67D96">
      <w:rPr>
        <w:sz w:val="14"/>
        <w:szCs w:val="15"/>
      </w:rPr>
      <w:t xml:space="preserve"> octobre </w:t>
    </w:r>
    <w:r>
      <w:rPr>
        <w:sz w:val="14"/>
        <w:szCs w:val="15"/>
      </w:rPr>
      <w:t xml:space="preserve">2025 </w:t>
    </w:r>
    <w:r w:rsidRPr="00EA51C3">
      <w:rPr>
        <w:sz w:val="14"/>
        <w:szCs w:val="15"/>
      </w:rPr>
      <w:t>et s'ouvrira à 9h30</w:t>
    </w:r>
    <w:r>
      <w:rPr>
        <w:sz w:val="14"/>
        <w:szCs w:val="15"/>
      </w:rPr>
      <w:t xml:space="preserve"> (heure de Genève (CET))</w:t>
    </w:r>
    <w:r w:rsidRPr="00EA51C3">
      <w:rPr>
        <w:sz w:val="14"/>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37CEE" w14:textId="77777777" w:rsidR="00E338FC" w:rsidRDefault="00E338FC" w:rsidP="006655D3">
      <w:r>
        <w:separator/>
      </w:r>
    </w:p>
  </w:footnote>
  <w:footnote w:type="continuationSeparator" w:id="0">
    <w:p w14:paraId="3D0E03D0" w14:textId="77777777" w:rsidR="00E338FC" w:rsidRDefault="00E338FC" w:rsidP="006655D3">
      <w:r>
        <w:separator/>
      </w:r>
    </w:p>
  </w:footnote>
  <w:footnote w:type="continuationNotice" w:id="1">
    <w:p w14:paraId="077FB38F" w14:textId="77777777" w:rsidR="00E338FC" w:rsidRPr="00AB530F" w:rsidRDefault="00E338FC"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98FA" w14:textId="0DA2C36A" w:rsidR="00182B99" w:rsidRPr="00C5280D" w:rsidRDefault="007278B9" w:rsidP="00EB048E">
    <w:pPr>
      <w:pStyle w:val="Header"/>
      <w:rPr>
        <w:rStyle w:val="PageNumber"/>
        <w:lang w:val="en-US"/>
      </w:rPr>
    </w:pPr>
    <w:r>
      <w:rPr>
        <w:rStyle w:val="PageNumber"/>
        <w:lang w:val="en-US"/>
      </w:rPr>
      <w:t>TC/62/1</w:t>
    </w:r>
  </w:p>
  <w:p w14:paraId="1E088690" w14:textId="77777777" w:rsidR="00182B99" w:rsidRPr="00C5280D" w:rsidRDefault="00182B99"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1F34F7">
      <w:rPr>
        <w:rStyle w:val="PageNumber"/>
        <w:noProof/>
        <w:lang w:val="en-US"/>
      </w:rPr>
      <w:t>2</w:t>
    </w:r>
    <w:r w:rsidRPr="00C5280D">
      <w:rPr>
        <w:rStyle w:val="PageNumber"/>
        <w:lang w:val="en-US"/>
      </w:rPr>
      <w:fldChar w:fldCharType="end"/>
    </w:r>
  </w:p>
  <w:p w14:paraId="481F10B0" w14:textId="77777777" w:rsidR="00182B99" w:rsidRPr="00C5280D" w:rsidRDefault="00182B99" w:rsidP="006655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FC"/>
    <w:rsid w:val="00010CF3"/>
    <w:rsid w:val="00011E27"/>
    <w:rsid w:val="00013345"/>
    <w:rsid w:val="000148BC"/>
    <w:rsid w:val="00024AB8"/>
    <w:rsid w:val="000279DB"/>
    <w:rsid w:val="00030854"/>
    <w:rsid w:val="00036028"/>
    <w:rsid w:val="00044642"/>
    <w:rsid w:val="000446B9"/>
    <w:rsid w:val="00047E21"/>
    <w:rsid w:val="00050E16"/>
    <w:rsid w:val="00062542"/>
    <w:rsid w:val="00085505"/>
    <w:rsid w:val="000C4E25"/>
    <w:rsid w:val="000C7021"/>
    <w:rsid w:val="000D6BBC"/>
    <w:rsid w:val="000D7780"/>
    <w:rsid w:val="000E636A"/>
    <w:rsid w:val="000F2F11"/>
    <w:rsid w:val="000F65FC"/>
    <w:rsid w:val="000F77B3"/>
    <w:rsid w:val="00105929"/>
    <w:rsid w:val="00110C36"/>
    <w:rsid w:val="001131D5"/>
    <w:rsid w:val="00131C84"/>
    <w:rsid w:val="00141DB8"/>
    <w:rsid w:val="00172084"/>
    <w:rsid w:val="0017474A"/>
    <w:rsid w:val="001758C6"/>
    <w:rsid w:val="00182B99"/>
    <w:rsid w:val="001F34F7"/>
    <w:rsid w:val="0021332C"/>
    <w:rsid w:val="00213982"/>
    <w:rsid w:val="0024416D"/>
    <w:rsid w:val="00254BE5"/>
    <w:rsid w:val="002634C6"/>
    <w:rsid w:val="00271911"/>
    <w:rsid w:val="002800A0"/>
    <w:rsid w:val="002801B3"/>
    <w:rsid w:val="00281060"/>
    <w:rsid w:val="0028593D"/>
    <w:rsid w:val="002940E8"/>
    <w:rsid w:val="00294751"/>
    <w:rsid w:val="00296158"/>
    <w:rsid w:val="002A6E50"/>
    <w:rsid w:val="002B4298"/>
    <w:rsid w:val="002C256A"/>
    <w:rsid w:val="00304827"/>
    <w:rsid w:val="00305A7F"/>
    <w:rsid w:val="003152FE"/>
    <w:rsid w:val="00327436"/>
    <w:rsid w:val="00344BD6"/>
    <w:rsid w:val="0035528D"/>
    <w:rsid w:val="00361821"/>
    <w:rsid w:val="00361E9E"/>
    <w:rsid w:val="003C7FBE"/>
    <w:rsid w:val="003D227C"/>
    <w:rsid w:val="003D2B4D"/>
    <w:rsid w:val="003E2587"/>
    <w:rsid w:val="00444A88"/>
    <w:rsid w:val="00464958"/>
    <w:rsid w:val="0047392F"/>
    <w:rsid w:val="00474DA4"/>
    <w:rsid w:val="00476B4D"/>
    <w:rsid w:val="004805FA"/>
    <w:rsid w:val="004935D2"/>
    <w:rsid w:val="004B1215"/>
    <w:rsid w:val="004B6946"/>
    <w:rsid w:val="004D047D"/>
    <w:rsid w:val="004E2DB7"/>
    <w:rsid w:val="004F1E9E"/>
    <w:rsid w:val="004F305A"/>
    <w:rsid w:val="00512164"/>
    <w:rsid w:val="00520297"/>
    <w:rsid w:val="005338F9"/>
    <w:rsid w:val="0054281C"/>
    <w:rsid w:val="00544581"/>
    <w:rsid w:val="0055268D"/>
    <w:rsid w:val="00561D05"/>
    <w:rsid w:val="00576BE4"/>
    <w:rsid w:val="005A400A"/>
    <w:rsid w:val="005E779B"/>
    <w:rsid w:val="005F7B92"/>
    <w:rsid w:val="00612379"/>
    <w:rsid w:val="006153B6"/>
    <w:rsid w:val="0061555F"/>
    <w:rsid w:val="00617608"/>
    <w:rsid w:val="00636CA6"/>
    <w:rsid w:val="00641200"/>
    <w:rsid w:val="00645CA8"/>
    <w:rsid w:val="006655D3"/>
    <w:rsid w:val="00667404"/>
    <w:rsid w:val="00687EB4"/>
    <w:rsid w:val="00695C56"/>
    <w:rsid w:val="006A5CDE"/>
    <w:rsid w:val="006A644A"/>
    <w:rsid w:val="006B17D2"/>
    <w:rsid w:val="006C224E"/>
    <w:rsid w:val="006D7435"/>
    <w:rsid w:val="006D780A"/>
    <w:rsid w:val="0071271E"/>
    <w:rsid w:val="007278B9"/>
    <w:rsid w:val="00732DEC"/>
    <w:rsid w:val="00735BD5"/>
    <w:rsid w:val="00751613"/>
    <w:rsid w:val="007556F6"/>
    <w:rsid w:val="00760EEF"/>
    <w:rsid w:val="00777EE5"/>
    <w:rsid w:val="00784836"/>
    <w:rsid w:val="0079023E"/>
    <w:rsid w:val="007A2854"/>
    <w:rsid w:val="007C1D92"/>
    <w:rsid w:val="007C4CB9"/>
    <w:rsid w:val="007D0B9D"/>
    <w:rsid w:val="007D19B0"/>
    <w:rsid w:val="007F498F"/>
    <w:rsid w:val="0080679D"/>
    <w:rsid w:val="008108B0"/>
    <w:rsid w:val="00811B20"/>
    <w:rsid w:val="008211B5"/>
    <w:rsid w:val="0082296E"/>
    <w:rsid w:val="00824099"/>
    <w:rsid w:val="00841276"/>
    <w:rsid w:val="00846D7C"/>
    <w:rsid w:val="00850C65"/>
    <w:rsid w:val="0086579E"/>
    <w:rsid w:val="00867AC1"/>
    <w:rsid w:val="00890DF8"/>
    <w:rsid w:val="008A743F"/>
    <w:rsid w:val="008B6E60"/>
    <w:rsid w:val="008C0970"/>
    <w:rsid w:val="008C5DA5"/>
    <w:rsid w:val="008D0BC5"/>
    <w:rsid w:val="008D2CF7"/>
    <w:rsid w:val="008D7E86"/>
    <w:rsid w:val="008E6DB0"/>
    <w:rsid w:val="00900C26"/>
    <w:rsid w:val="0090197F"/>
    <w:rsid w:val="00906DDC"/>
    <w:rsid w:val="00934E09"/>
    <w:rsid w:val="00936253"/>
    <w:rsid w:val="00940D46"/>
    <w:rsid w:val="00952DD4"/>
    <w:rsid w:val="00965AE7"/>
    <w:rsid w:val="00970FED"/>
    <w:rsid w:val="00992D82"/>
    <w:rsid w:val="00997029"/>
    <w:rsid w:val="009A7339"/>
    <w:rsid w:val="009B440E"/>
    <w:rsid w:val="009B7D5D"/>
    <w:rsid w:val="009D690D"/>
    <w:rsid w:val="009E65B6"/>
    <w:rsid w:val="00A24C10"/>
    <w:rsid w:val="00A37C2B"/>
    <w:rsid w:val="00A42AC3"/>
    <w:rsid w:val="00A430CF"/>
    <w:rsid w:val="00A54309"/>
    <w:rsid w:val="00A61DD7"/>
    <w:rsid w:val="00AB2B93"/>
    <w:rsid w:val="00AB530F"/>
    <w:rsid w:val="00AB7E5B"/>
    <w:rsid w:val="00AC2883"/>
    <w:rsid w:val="00AE0EF1"/>
    <w:rsid w:val="00AE2937"/>
    <w:rsid w:val="00AF3E1E"/>
    <w:rsid w:val="00B07301"/>
    <w:rsid w:val="00B11F3E"/>
    <w:rsid w:val="00B224DE"/>
    <w:rsid w:val="00B324D4"/>
    <w:rsid w:val="00B46575"/>
    <w:rsid w:val="00B61777"/>
    <w:rsid w:val="00B84BBD"/>
    <w:rsid w:val="00BA43FB"/>
    <w:rsid w:val="00BB15AF"/>
    <w:rsid w:val="00BC127D"/>
    <w:rsid w:val="00BC1FE6"/>
    <w:rsid w:val="00C061B6"/>
    <w:rsid w:val="00C2446C"/>
    <w:rsid w:val="00C36AE5"/>
    <w:rsid w:val="00C41F17"/>
    <w:rsid w:val="00C527FA"/>
    <w:rsid w:val="00C5280D"/>
    <w:rsid w:val="00C53EB3"/>
    <w:rsid w:val="00C5791C"/>
    <w:rsid w:val="00C66290"/>
    <w:rsid w:val="00C72B7A"/>
    <w:rsid w:val="00C75A58"/>
    <w:rsid w:val="00C973F2"/>
    <w:rsid w:val="00CA304C"/>
    <w:rsid w:val="00CA774A"/>
    <w:rsid w:val="00CC11B0"/>
    <w:rsid w:val="00CC2841"/>
    <w:rsid w:val="00CC461C"/>
    <w:rsid w:val="00CF1330"/>
    <w:rsid w:val="00CF7E36"/>
    <w:rsid w:val="00D3708D"/>
    <w:rsid w:val="00D40426"/>
    <w:rsid w:val="00D42AF1"/>
    <w:rsid w:val="00D57C96"/>
    <w:rsid w:val="00D57D18"/>
    <w:rsid w:val="00D854A0"/>
    <w:rsid w:val="00D91203"/>
    <w:rsid w:val="00D95174"/>
    <w:rsid w:val="00DA0A03"/>
    <w:rsid w:val="00DA4973"/>
    <w:rsid w:val="00DA6F36"/>
    <w:rsid w:val="00DB596E"/>
    <w:rsid w:val="00DB7773"/>
    <w:rsid w:val="00DC00EA"/>
    <w:rsid w:val="00DC3802"/>
    <w:rsid w:val="00E07D87"/>
    <w:rsid w:val="00E32F7E"/>
    <w:rsid w:val="00E338FC"/>
    <w:rsid w:val="00E5267B"/>
    <w:rsid w:val="00E63C0E"/>
    <w:rsid w:val="00E72D49"/>
    <w:rsid w:val="00E75233"/>
    <w:rsid w:val="00E7593C"/>
    <w:rsid w:val="00E7678A"/>
    <w:rsid w:val="00E935F1"/>
    <w:rsid w:val="00E94A81"/>
    <w:rsid w:val="00EA1FFB"/>
    <w:rsid w:val="00EB048E"/>
    <w:rsid w:val="00EB4E9C"/>
    <w:rsid w:val="00EB7ABF"/>
    <w:rsid w:val="00EE34DF"/>
    <w:rsid w:val="00EF2F89"/>
    <w:rsid w:val="00F03E98"/>
    <w:rsid w:val="00F1237A"/>
    <w:rsid w:val="00F22CBD"/>
    <w:rsid w:val="00F272F1"/>
    <w:rsid w:val="00F345F0"/>
    <w:rsid w:val="00F45372"/>
    <w:rsid w:val="00F50D7E"/>
    <w:rsid w:val="00F560F7"/>
    <w:rsid w:val="00F6334D"/>
    <w:rsid w:val="00F85EF6"/>
    <w:rsid w:val="00FA49AB"/>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8A06D"/>
  <w15:docId w15:val="{C896C274-8E05-4960-B82E-851F931C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79DB"/>
    <w:pPr>
      <w:jc w:val="both"/>
    </w:pPr>
    <w:rPr>
      <w:rFonts w:ascii="Arial" w:hAnsi="Arial"/>
      <w:lang w:val="fr-FR"/>
    </w:rPr>
  </w:style>
  <w:style w:type="paragraph" w:styleId="Heading1">
    <w:name w:val="heading 1"/>
    <w:next w:val="Normal"/>
    <w:autoRedefine/>
    <w:qFormat/>
    <w:rsid w:val="004805FA"/>
    <w:pPr>
      <w:keepNext/>
      <w:jc w:val="both"/>
      <w:outlineLvl w:val="0"/>
    </w:pPr>
    <w:rPr>
      <w:rFonts w:ascii="Arial" w:hAnsi="Arial"/>
      <w:caps/>
    </w:rPr>
  </w:style>
  <w:style w:type="paragraph" w:styleId="Heading2">
    <w:name w:val="heading 2"/>
    <w:next w:val="Normal"/>
    <w:autoRedefine/>
    <w:qFormat/>
    <w:rsid w:val="004805FA"/>
    <w:pPr>
      <w:keepNext/>
      <w:jc w:val="both"/>
      <w:outlineLvl w:val="1"/>
    </w:pPr>
    <w:rPr>
      <w:rFonts w:ascii="Arial" w:hAnsi="Arial"/>
      <w:u w:val="single"/>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lang w:val="fr-FR"/>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AB530F"/>
    <w:pPr>
      <w:tabs>
        <w:tab w:val="left" w:pos="5387"/>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304827"/>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304827"/>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next w:val="Normal"/>
    <w:autoRedefine/>
    <w:semiHidden/>
    <w:rsid w:val="00900C26"/>
    <w:pPr>
      <w:tabs>
        <w:tab w:val="right" w:leader="dot" w:pos="9639"/>
      </w:tabs>
      <w:spacing w:before="120"/>
      <w:ind w:left="454" w:right="851" w:hanging="284"/>
      <w:contextualSpacing/>
    </w:pPr>
    <w:rPr>
      <w:rFonts w:ascii="Arial" w:hAnsi="Arial"/>
      <w:smallCaps/>
    </w:rPr>
  </w:style>
  <w:style w:type="paragraph" w:styleId="TOC3">
    <w:name w:val="toc 3"/>
    <w:next w:val="Normal"/>
    <w:autoRedefine/>
    <w:semiHidden/>
    <w:rsid w:val="00900C26"/>
    <w:pPr>
      <w:tabs>
        <w:tab w:val="right" w:leader="dot" w:pos="9639"/>
      </w:tabs>
      <w:spacing w:before="120"/>
      <w:ind w:left="568" w:right="851" w:hanging="284"/>
      <w:contextualSpacing/>
    </w:pPr>
    <w:rPr>
      <w:rFonts w:ascii="Arial" w:hAnsi="Arial"/>
      <w:sz w:val="18"/>
      <w:lang w:val="fr-FR"/>
    </w:rPr>
  </w:style>
  <w:style w:type="character" w:styleId="Hyperlink">
    <w:name w:val="Hyperlink"/>
    <w:basedOn w:val="DefaultParagraphFont"/>
    <w:rsid w:val="00AB530F"/>
    <w:rPr>
      <w:rFonts w:ascii="Arial" w:hAnsi="Arial"/>
      <w:color w:val="0000FF"/>
      <w:u w:val="single"/>
    </w:rPr>
  </w:style>
  <w:style w:type="paragraph" w:styleId="TOC4">
    <w:name w:val="toc 4"/>
    <w:next w:val="Normal"/>
    <w:autoRedefine/>
    <w:semiHidden/>
    <w:rsid w:val="00900C26"/>
    <w:pPr>
      <w:tabs>
        <w:tab w:val="right" w:leader="dot" w:pos="9639"/>
      </w:tabs>
      <w:spacing w:before="120"/>
      <w:ind w:left="738" w:right="851" w:hanging="284"/>
    </w:pPr>
    <w:rPr>
      <w:rFonts w:ascii="Arial" w:hAnsi="Arial"/>
      <w:i/>
      <w:sz w:val="18"/>
      <w:lang w:val="fr-FR"/>
    </w:rPr>
  </w:style>
  <w:style w:type="paragraph" w:styleId="TOC1">
    <w:name w:val="toc 1"/>
    <w:next w:val="Normal"/>
    <w:autoRedefine/>
    <w:semiHidden/>
    <w:rsid w:val="00B07301"/>
    <w:pPr>
      <w:tabs>
        <w:tab w:val="right" w:leader="dot" w:pos="9639"/>
      </w:tabs>
      <w:contextualSpacing/>
      <w:jc w:val="center"/>
    </w:pPr>
    <w:rPr>
      <w:rFonts w:ascii="Arial" w:hAnsi="Arial"/>
      <w:caps/>
    </w:rPr>
  </w:style>
  <w:style w:type="paragraph" w:styleId="TOC5">
    <w:name w:val="toc 5"/>
    <w:next w:val="Normal"/>
    <w:autoRedefine/>
    <w:semiHidden/>
    <w:rsid w:val="00C72B7A"/>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customStyle="1" w:styleId="agendaitemtitle">
    <w:name w:val="agenda_item_title"/>
    <w:basedOn w:val="Normal"/>
    <w:link w:val="agendaitemtitleChar"/>
    <w:qFormat/>
    <w:rsid w:val="005E779B"/>
    <w:pPr>
      <w:ind w:left="567" w:hanging="567"/>
    </w:pPr>
    <w:rPr>
      <w:rFonts w:eastAsia="Calibri" w:cs="Arial"/>
      <w:b/>
      <w:bCs/>
      <w:color w:val="006600"/>
      <w:bdr w:val="nil"/>
      <w:lang w:eastAsia="nl-NL"/>
    </w:rPr>
  </w:style>
  <w:style w:type="character" w:customStyle="1" w:styleId="agendaitemtitleChar">
    <w:name w:val="agenda_item_title Char"/>
    <w:basedOn w:val="DefaultParagraphFont"/>
    <w:link w:val="agendaitemtitle"/>
    <w:rsid w:val="005E779B"/>
    <w:rPr>
      <w:rFonts w:ascii="Arial" w:eastAsia="Calibri" w:hAnsi="Arial" w:cs="Arial"/>
      <w:b/>
      <w:bCs/>
      <w:color w:val="006600"/>
      <w:bdr w:val="nil"/>
      <w:lang w:eastAsia="nl-NL"/>
    </w:rPr>
  </w:style>
  <w:style w:type="character" w:styleId="CommentReference">
    <w:name w:val="annotation reference"/>
    <w:basedOn w:val="DefaultParagraphFont"/>
    <w:semiHidden/>
    <w:unhideWhenUsed/>
    <w:rsid w:val="005E779B"/>
    <w:rPr>
      <w:sz w:val="16"/>
      <w:szCs w:val="16"/>
    </w:rPr>
  </w:style>
  <w:style w:type="paragraph" w:styleId="CommentText">
    <w:name w:val="annotation text"/>
    <w:basedOn w:val="Normal"/>
    <w:link w:val="CommentTextChar"/>
    <w:unhideWhenUsed/>
    <w:rsid w:val="005E779B"/>
  </w:style>
  <w:style w:type="character" w:customStyle="1" w:styleId="CommentTextChar">
    <w:name w:val="Comment Text Char"/>
    <w:basedOn w:val="DefaultParagraphFont"/>
    <w:link w:val="CommentText"/>
    <w:rsid w:val="005E779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pov.int/en/find-and-explore/information-and-guidance/examination-guidance" TargetMode="External"/><Relationship Id="rId3" Type="http://schemas.openxmlformats.org/officeDocument/2006/relationships/webSettings" Target="webSettings.xml"/><Relationship Id="rId7" Type="http://schemas.openxmlformats.org/officeDocument/2006/relationships/hyperlink" Target="https://www.upov.int/en/find-and-explore/information-and-guidance/examination-guidan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1692</Words>
  <Characters>10231</Characters>
  <Application>Microsoft Office Word</Application>
  <DocSecurity>0</DocSecurity>
  <Lines>255</Lines>
  <Paragraphs>89</Paragraphs>
  <ScaleCrop>false</ScaleCrop>
  <HeadingPairs>
    <vt:vector size="2" baseType="variant">
      <vt:variant>
        <vt:lpstr>Title</vt:lpstr>
      </vt:variant>
      <vt:variant>
        <vt:i4>1</vt:i4>
      </vt:variant>
    </vt:vector>
  </HeadingPairs>
  <TitlesOfParts>
    <vt:vector size="1" baseType="lpstr">
      <vt:lpstr>TC/62/1</vt:lpstr>
    </vt:vector>
  </TitlesOfParts>
  <Company>UPOV</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TC/62/1</dc:title>
  <dc:subject>Annotated Draft Agenda</dc:subject>
  <dc:creator>UPOV</dc:creator>
  <cp:keywords>, docId:10223E0A958D7D4E8F8CCCD730B2EF4B</cp:keywords>
  <cp:lastModifiedBy>NICOLO Laurianne</cp:lastModifiedBy>
  <cp:revision>8</cp:revision>
  <cp:lastPrinted>2016-11-22T15:41:00Z</cp:lastPrinted>
  <dcterms:created xsi:type="dcterms:W3CDTF">2026-06-11T18:58:00Z</dcterms:created>
  <dcterms:modified xsi:type="dcterms:W3CDTF">2026-06-16T09:08:00Z</dcterms:modified>
</cp:coreProperties>
</file>