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421571" w:rsidRPr="00C031AF" w14:paraId="3612A074" w14:textId="77777777" w:rsidTr="00F26786">
        <w:tc>
          <w:tcPr>
            <w:tcW w:w="6522" w:type="dxa"/>
          </w:tcPr>
          <w:p w14:paraId="334F9761" w14:textId="25DA0306" w:rsidR="00421571" w:rsidRPr="00C031AF" w:rsidRDefault="00711F8E" w:rsidP="00F26786">
            <w:pPr>
              <w:rPr>
                <w:lang w:val="fr-FR"/>
              </w:rPr>
            </w:pPr>
            <w:r w:rsidRPr="00C031AF">
              <w:rPr>
                <w:lang w:val="fr-FR" w:eastAsia="zh-CN"/>
              </w:rPr>
              <w:drawing>
                <wp:inline distT="0" distB="0" distL="0" distR="0" wp14:anchorId="6830DD8B" wp14:editId="1D5375C7">
                  <wp:extent cx="933450" cy="266700"/>
                  <wp:effectExtent l="0" t="0" r="0" b="0"/>
                  <wp:docPr id="581889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266700"/>
                          </a:xfrm>
                          <a:prstGeom prst="rect">
                            <a:avLst/>
                          </a:prstGeom>
                          <a:noFill/>
                          <a:ln>
                            <a:noFill/>
                          </a:ln>
                        </pic:spPr>
                      </pic:pic>
                    </a:graphicData>
                  </a:graphic>
                </wp:inline>
              </w:drawing>
            </w:r>
          </w:p>
        </w:tc>
        <w:tc>
          <w:tcPr>
            <w:tcW w:w="3117" w:type="dxa"/>
          </w:tcPr>
          <w:p w14:paraId="0F6F2607" w14:textId="3DF5977D" w:rsidR="00421571" w:rsidRPr="00C031AF" w:rsidRDefault="001623F4" w:rsidP="00F26786">
            <w:pPr>
              <w:pStyle w:val="Lettrine"/>
              <w:rPr>
                <w:lang w:val="fr-FR"/>
              </w:rPr>
            </w:pPr>
            <w:r>
              <w:rPr>
                <w:lang w:val="fr-FR"/>
              </w:rPr>
              <w:t>F</w:t>
            </w:r>
          </w:p>
        </w:tc>
      </w:tr>
      <w:tr w:rsidR="00421571" w:rsidRPr="00C031AF" w14:paraId="58F1FB94" w14:textId="77777777" w:rsidTr="00F26786">
        <w:trPr>
          <w:trHeight w:val="219"/>
        </w:trPr>
        <w:tc>
          <w:tcPr>
            <w:tcW w:w="6522" w:type="dxa"/>
          </w:tcPr>
          <w:p w14:paraId="03A247AE" w14:textId="77777777" w:rsidR="00421571" w:rsidRPr="00C031AF" w:rsidRDefault="00421571" w:rsidP="00F26786">
            <w:pPr>
              <w:pStyle w:val="upove"/>
              <w:rPr>
                <w:lang w:val="fr-FR"/>
              </w:rPr>
            </w:pPr>
            <w:r w:rsidRPr="00C031AF">
              <w:rPr>
                <w:lang w:val="fr-FR"/>
              </w:rPr>
              <w:t>Union internationale pour la protection des variétés végétales</w:t>
            </w:r>
          </w:p>
        </w:tc>
        <w:tc>
          <w:tcPr>
            <w:tcW w:w="3117" w:type="dxa"/>
          </w:tcPr>
          <w:p w14:paraId="03A480E8" w14:textId="77777777" w:rsidR="00421571" w:rsidRPr="00C031AF" w:rsidRDefault="00421571" w:rsidP="00F26786">
            <w:pPr>
              <w:rPr>
                <w:lang w:val="fr-FR"/>
              </w:rPr>
            </w:pPr>
          </w:p>
        </w:tc>
      </w:tr>
    </w:tbl>
    <w:p w14:paraId="564D388D" w14:textId="77777777" w:rsidR="00421571" w:rsidRPr="00C031AF" w:rsidRDefault="00421571" w:rsidP="00421571">
      <w:pPr>
        <w:rPr>
          <w:lang w:val="fr-FR"/>
        </w:rPr>
      </w:pPr>
    </w:p>
    <w:p w14:paraId="6B7F669E" w14:textId="77777777" w:rsidR="00F96C11" w:rsidRPr="00C031AF" w:rsidRDefault="00F96C11" w:rsidP="00F96C11">
      <w:pPr>
        <w:rPr>
          <w:lang w:val="fr-FR"/>
        </w:rPr>
      </w:pPr>
    </w:p>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F96C11" w:rsidRPr="00C031AF" w14:paraId="524487DA" w14:textId="77777777" w:rsidTr="00B314FB">
        <w:tc>
          <w:tcPr>
            <w:tcW w:w="6512" w:type="dxa"/>
          </w:tcPr>
          <w:p w14:paraId="11909CBC" w14:textId="77777777" w:rsidR="00F96C11" w:rsidRPr="00C031AF" w:rsidRDefault="00F96C11" w:rsidP="00B314FB">
            <w:pPr>
              <w:pStyle w:val="Sessiontc"/>
              <w:spacing w:line="240" w:lineRule="auto"/>
              <w:rPr>
                <w:lang w:val="fr-FR"/>
              </w:rPr>
            </w:pPr>
            <w:r w:rsidRPr="00C031AF">
              <w:rPr>
                <w:lang w:val="fr-FR"/>
              </w:rPr>
              <w:t>Comité technique</w:t>
            </w:r>
          </w:p>
          <w:p w14:paraId="73D989F9" w14:textId="77777777" w:rsidR="00F96C11" w:rsidRPr="00C031AF" w:rsidRDefault="00F96C11" w:rsidP="00B314FB">
            <w:pPr>
              <w:pStyle w:val="Sessiontcplacedate"/>
              <w:rPr>
                <w:lang w:val="fr-FR"/>
              </w:rPr>
            </w:pPr>
            <w:r w:rsidRPr="00C031AF">
              <w:rPr>
                <w:lang w:val="fr-FR"/>
              </w:rPr>
              <w:t>Soixante et unième session</w:t>
            </w:r>
          </w:p>
          <w:p w14:paraId="7B8EFFB4" w14:textId="77777777" w:rsidR="00F96C11" w:rsidRPr="00C031AF" w:rsidRDefault="00F96C11" w:rsidP="00B314FB">
            <w:pPr>
              <w:pStyle w:val="Sessiontcplacedate"/>
              <w:rPr>
                <w:sz w:val="22"/>
                <w:lang w:val="fr-FR"/>
              </w:rPr>
            </w:pPr>
            <w:r w:rsidRPr="00C031AF">
              <w:rPr>
                <w:lang w:val="fr-FR"/>
              </w:rPr>
              <w:t>Genève, les 20 et 21 octobre 2025</w:t>
            </w:r>
          </w:p>
        </w:tc>
        <w:tc>
          <w:tcPr>
            <w:tcW w:w="3127" w:type="dxa"/>
          </w:tcPr>
          <w:p w14:paraId="37F48C1C" w14:textId="0B38ABEB" w:rsidR="00F96C11" w:rsidRPr="00C031AF" w:rsidRDefault="0011619B" w:rsidP="00B314FB">
            <w:pPr>
              <w:pStyle w:val="Doccode"/>
              <w:rPr>
                <w:lang w:val="fr-FR"/>
              </w:rPr>
            </w:pPr>
            <w:r w:rsidRPr="00C031AF">
              <w:rPr>
                <w:lang w:val="fr-FR"/>
              </w:rPr>
              <w:t>TC/61/7</w:t>
            </w:r>
          </w:p>
          <w:p w14:paraId="3BAFE16B" w14:textId="77777777" w:rsidR="00F96C11" w:rsidRPr="00C031AF" w:rsidRDefault="00F96C11" w:rsidP="00B314FB">
            <w:pPr>
              <w:pStyle w:val="Docoriginal"/>
              <w:rPr>
                <w:lang w:val="fr-FR"/>
              </w:rPr>
            </w:pPr>
            <w:r w:rsidRPr="00C031AF">
              <w:rPr>
                <w:lang w:val="fr-FR"/>
              </w:rPr>
              <w:t xml:space="preserve">Original : </w:t>
            </w:r>
            <w:r w:rsidRPr="00C031AF">
              <w:rPr>
                <w:b w:val="0"/>
                <w:spacing w:val="0"/>
                <w:lang w:val="fr-FR"/>
              </w:rPr>
              <w:t>anglais</w:t>
            </w:r>
          </w:p>
          <w:p w14:paraId="65679824" w14:textId="0EC3E231" w:rsidR="00F96C11" w:rsidRPr="00C031AF" w:rsidRDefault="00F96C11" w:rsidP="00B314FB">
            <w:pPr>
              <w:pStyle w:val="Docoriginal"/>
              <w:rPr>
                <w:lang w:val="fr-FR"/>
              </w:rPr>
            </w:pPr>
            <w:r w:rsidRPr="00C031AF">
              <w:rPr>
                <w:lang w:val="fr-FR"/>
              </w:rPr>
              <w:t>Date:</w:t>
            </w:r>
            <w:r w:rsidRPr="00C031AF">
              <w:rPr>
                <w:b w:val="0"/>
                <w:spacing w:val="0"/>
                <w:lang w:val="fr-FR"/>
              </w:rPr>
              <w:t xml:space="preserve">  </w:t>
            </w:r>
            <w:r w:rsidR="003A47D4" w:rsidRPr="00C031AF">
              <w:rPr>
                <w:b w:val="0"/>
                <w:spacing w:val="0"/>
                <w:lang w:val="fr-FR"/>
              </w:rPr>
              <w:t xml:space="preserve"> 25 </w:t>
            </w:r>
            <w:r w:rsidR="00E13B15" w:rsidRPr="00C031AF">
              <w:rPr>
                <w:b w:val="0"/>
                <w:spacing w:val="0"/>
                <w:lang w:val="fr-FR"/>
              </w:rPr>
              <w:t>septembre</w:t>
            </w:r>
            <w:r w:rsidRPr="00C031AF">
              <w:rPr>
                <w:b w:val="0"/>
                <w:spacing w:val="0"/>
                <w:lang w:val="fr-FR"/>
              </w:rPr>
              <w:t xml:space="preserve"> 2025</w:t>
            </w:r>
          </w:p>
        </w:tc>
      </w:tr>
    </w:tbl>
    <w:p w14:paraId="2A1C89D1" w14:textId="41BE0B34" w:rsidR="00F96C11" w:rsidRPr="00C031AF" w:rsidRDefault="0011619B" w:rsidP="00F96C11">
      <w:pPr>
        <w:pStyle w:val="Titleofdoc0"/>
        <w:rPr>
          <w:lang w:val="fr-FR"/>
        </w:rPr>
      </w:pPr>
      <w:r w:rsidRPr="00C031AF">
        <w:rPr>
          <w:lang w:val="fr-FR"/>
        </w:rPr>
        <w:t xml:space="preserve">Ateliers et webinaires </w:t>
      </w:r>
      <w:r w:rsidR="001623F4">
        <w:rPr>
          <w:lang w:val="fr-FR"/>
        </w:rPr>
        <w:t xml:space="preserve">DES </w:t>
      </w:r>
      <w:r w:rsidRPr="00C031AF">
        <w:rPr>
          <w:lang w:val="fr-FR"/>
        </w:rPr>
        <w:t>TWP</w:t>
      </w:r>
    </w:p>
    <w:p w14:paraId="23DFE5AD" w14:textId="77777777" w:rsidR="003D0839" w:rsidRPr="00C031AF" w:rsidRDefault="003D0839" w:rsidP="003D0839">
      <w:pPr>
        <w:pStyle w:val="preparedby1"/>
        <w:jc w:val="left"/>
        <w:rPr>
          <w:lang w:val="fr-FR"/>
        </w:rPr>
      </w:pPr>
      <w:r w:rsidRPr="00C031AF">
        <w:rPr>
          <w:lang w:val="fr-FR"/>
        </w:rPr>
        <w:t>Document préparé par le Bureau de l'Union</w:t>
      </w:r>
    </w:p>
    <w:p w14:paraId="467787DA" w14:textId="77777777" w:rsidR="001623F4" w:rsidRPr="006365CE" w:rsidRDefault="001623F4" w:rsidP="001623F4">
      <w:pPr>
        <w:pStyle w:val="Disclaimer"/>
        <w:rPr>
          <w:lang w:val="fr-FR"/>
        </w:rPr>
      </w:pPr>
      <w:bookmarkStart w:id="0" w:name="_Toc475955714"/>
      <w:bookmarkStart w:id="1" w:name="_Toc203989697"/>
      <w:r w:rsidRPr="006365CE">
        <w:rPr>
          <w:lang w:val="fr-FR"/>
        </w:rPr>
        <w:t>Avertissement : le présent document ne représente pas les principes ou les orientations de l’UPOV</w:t>
      </w:r>
      <w:r>
        <w:rPr>
          <w:lang w:val="fr-FR"/>
        </w:rPr>
        <w:t>.</w:t>
      </w:r>
      <w:r>
        <w:rPr>
          <w:lang w:val="fr-FR"/>
        </w:rPr>
        <w:br/>
      </w:r>
      <w:r>
        <w:rPr>
          <w:lang w:val="fr-FR"/>
        </w:rPr>
        <w:br/>
      </w:r>
      <w:r w:rsidRPr="006365CE">
        <w:rPr>
          <w:lang w:val="fr-FR"/>
        </w:rPr>
        <w:t>Ce document a été généré à l'aide d'une traduction automatique dont l'exactitude ne peut être garantie. Par conséquent, le texte dans la langue originale est la seule version authentique.</w:t>
      </w:r>
    </w:p>
    <w:p w14:paraId="15F256E7" w14:textId="77777777" w:rsidR="00E3579A" w:rsidRPr="00C031AF" w:rsidRDefault="00E3579A" w:rsidP="00E3579A">
      <w:pPr>
        <w:pStyle w:val="Heading1"/>
        <w:rPr>
          <w:lang w:val="fr-FR"/>
        </w:rPr>
      </w:pPr>
      <w:r w:rsidRPr="00C031AF">
        <w:rPr>
          <w:lang w:val="fr-FR"/>
        </w:rPr>
        <w:t>RESUMÉ</w:t>
      </w:r>
      <w:bookmarkEnd w:id="0"/>
      <w:bookmarkEnd w:id="1"/>
    </w:p>
    <w:p w14:paraId="0CFC86A1" w14:textId="77777777" w:rsidR="00E3579A" w:rsidRPr="00C031AF" w:rsidRDefault="00E3579A" w:rsidP="00E3579A">
      <w:pPr>
        <w:autoSpaceDE w:val="0"/>
        <w:autoSpaceDN w:val="0"/>
        <w:adjustRightInd w:val="0"/>
        <w:rPr>
          <w:rFonts w:cs="Arial"/>
          <w:lang w:val="fr-FR"/>
        </w:rPr>
      </w:pPr>
    </w:p>
    <w:p w14:paraId="4EC5967E" w14:textId="19AE5C6C" w:rsidR="00E3579A" w:rsidRPr="00C031AF" w:rsidRDefault="00E3579A" w:rsidP="00E3579A">
      <w:pPr>
        <w:rPr>
          <w:rFonts w:cs="Arial"/>
          <w:lang w:val="fr-FR"/>
        </w:rPr>
      </w:pPr>
      <w:r w:rsidRPr="00C031AF">
        <w:rPr>
          <w:rFonts w:cs="Arial"/>
          <w:lang w:val="fr-FR"/>
        </w:rPr>
        <w:fldChar w:fldCharType="begin"/>
      </w:r>
      <w:r w:rsidRPr="00C031AF">
        <w:rPr>
          <w:rFonts w:cs="Arial"/>
          <w:lang w:val="fr-FR"/>
        </w:rPr>
        <w:instrText xml:space="preserve"> AUTONUM  </w:instrText>
      </w:r>
      <w:r w:rsidRPr="00C031AF">
        <w:rPr>
          <w:rFonts w:cs="Arial"/>
          <w:lang w:val="fr-FR"/>
        </w:rPr>
        <w:fldChar w:fldCharType="end"/>
      </w:r>
      <w:r w:rsidRPr="00C031AF">
        <w:rPr>
          <w:rFonts w:cs="Arial"/>
          <w:lang w:val="fr-FR"/>
        </w:rPr>
        <w:tab/>
        <w:t>Le présent document a pour objet de rendre compte des ateliers et webinaires du TWP organisés en</w:t>
      </w:r>
      <w:r w:rsidR="00E878CB" w:rsidRPr="00C031AF">
        <w:rPr>
          <w:rFonts w:cs="Arial"/>
          <w:lang w:val="fr-FR"/>
        </w:rPr>
        <w:t xml:space="preserve"> 2025 </w:t>
      </w:r>
      <w:r w:rsidRPr="00C031AF">
        <w:rPr>
          <w:rFonts w:cs="Arial"/>
          <w:lang w:val="fr-FR"/>
        </w:rPr>
        <w:t>et de présenter des propositions pour</w:t>
      </w:r>
      <w:r w:rsidR="00E878CB" w:rsidRPr="00C031AF">
        <w:rPr>
          <w:rFonts w:cs="Arial"/>
          <w:lang w:val="fr-FR"/>
        </w:rPr>
        <w:t xml:space="preserve"> 2026</w:t>
      </w:r>
      <w:r w:rsidRPr="00C031AF">
        <w:rPr>
          <w:rFonts w:cs="Arial"/>
          <w:lang w:val="fr-FR"/>
        </w:rPr>
        <w:t>.</w:t>
      </w:r>
    </w:p>
    <w:p w14:paraId="0D2B4EF8" w14:textId="77777777" w:rsidR="00E3579A" w:rsidRPr="00C031AF" w:rsidRDefault="00E3579A" w:rsidP="00E3579A">
      <w:pPr>
        <w:rPr>
          <w:rFonts w:cs="Arial"/>
          <w:lang w:val="fr-FR"/>
        </w:rPr>
      </w:pPr>
    </w:p>
    <w:p w14:paraId="518148D9" w14:textId="1C24AE29" w:rsidR="00E3579A" w:rsidRPr="00C031AF" w:rsidRDefault="00E3579A" w:rsidP="00E3579A">
      <w:pPr>
        <w:rPr>
          <w:rFonts w:cs="Arial"/>
          <w:lang w:val="fr-FR"/>
        </w:rPr>
      </w:pPr>
      <w:r w:rsidRPr="00C031AF">
        <w:rPr>
          <w:rFonts w:cs="Arial"/>
          <w:lang w:val="fr-FR"/>
        </w:rPr>
        <w:fldChar w:fldCharType="begin"/>
      </w:r>
      <w:r w:rsidRPr="00C031AF">
        <w:rPr>
          <w:rFonts w:cs="Arial"/>
          <w:lang w:val="fr-FR"/>
        </w:rPr>
        <w:instrText xml:space="preserve"> AUTONUM  </w:instrText>
      </w:r>
      <w:r w:rsidRPr="00C031AF">
        <w:rPr>
          <w:rFonts w:cs="Arial"/>
          <w:lang w:val="fr-FR"/>
        </w:rPr>
        <w:fldChar w:fldCharType="end"/>
      </w:r>
      <w:r w:rsidRPr="00C031AF">
        <w:rPr>
          <w:rFonts w:cs="Arial"/>
          <w:lang w:val="fr-FR"/>
        </w:rPr>
        <w:tab/>
        <w:t>Les ateliers et webinaires sont organisés dans le but principal d'aider certains délégués à participer plus activement aux sessions des groupes de travail techniques (TWP).  Depuis 2021, les ateliers sont organisés sous forme de webinaires avant les sessions des TWP.  Les enregistrements vidéo sont disponibles sur le site web de l'UPOV et sur la chaîne YouTube de l'UPOV (</w:t>
      </w:r>
      <w:hyperlink r:id="rId9" w:history="1">
        <w:r w:rsidRPr="00C031AF">
          <w:rPr>
            <w:rFonts w:cs="Arial"/>
            <w:color w:val="0000FF"/>
            <w:u w:val="single"/>
            <w:lang w:val="fr-FR"/>
          </w:rPr>
          <w:t>https://www.youtube.com/user/upov</w:t>
        </w:r>
      </w:hyperlink>
      <w:r w:rsidRPr="00C031AF">
        <w:rPr>
          <w:rFonts w:cs="Arial"/>
          <w:lang w:val="fr-FR"/>
        </w:rPr>
        <w:t xml:space="preserve">).  Les vidéos sur la chaîne YouTube de l'UPOV peuvent afficher des transcriptions et des sous-titres générés automatiquement dans différentes langues (« sous-titrage codé »).  </w:t>
      </w:r>
    </w:p>
    <w:p w14:paraId="67D494FB" w14:textId="77777777" w:rsidR="00E3579A" w:rsidRPr="00C031AF" w:rsidRDefault="00E3579A" w:rsidP="00E3579A">
      <w:pPr>
        <w:rPr>
          <w:rFonts w:cs="Arial"/>
          <w:lang w:val="fr-FR"/>
        </w:rPr>
      </w:pPr>
      <w:r w:rsidRPr="00C031AF">
        <w:rPr>
          <w:rFonts w:cs="Arial"/>
          <w:lang w:val="fr-FR"/>
        </w:rPr>
        <w:t xml:space="preserve">   </w:t>
      </w:r>
    </w:p>
    <w:p w14:paraId="61644D74" w14:textId="4931E931" w:rsidR="00E3579A" w:rsidRPr="00C031AF" w:rsidRDefault="00E3579A" w:rsidP="00E3579A">
      <w:pPr>
        <w:tabs>
          <w:tab w:val="left" w:pos="567"/>
          <w:tab w:val="left" w:pos="1134"/>
          <w:tab w:val="left" w:pos="5387"/>
          <w:tab w:val="left" w:pos="5954"/>
        </w:tabs>
        <w:rPr>
          <w:rFonts w:cs="Arial"/>
          <w:lang w:val="fr-FR"/>
        </w:rPr>
      </w:pPr>
      <w:r w:rsidRPr="00C031AF">
        <w:rPr>
          <w:rFonts w:cs="Arial"/>
          <w:lang w:val="fr-FR"/>
        </w:rPr>
        <w:fldChar w:fldCharType="begin"/>
      </w:r>
      <w:r w:rsidRPr="00C031AF">
        <w:rPr>
          <w:rFonts w:cs="Arial"/>
          <w:lang w:val="fr-FR"/>
        </w:rPr>
        <w:instrText xml:space="preserve"> AUTONUM  </w:instrText>
      </w:r>
      <w:r w:rsidRPr="00C031AF">
        <w:rPr>
          <w:rFonts w:cs="Arial"/>
          <w:lang w:val="fr-FR"/>
        </w:rPr>
        <w:fldChar w:fldCharType="end"/>
      </w:r>
      <w:r w:rsidRPr="00C031AF">
        <w:rPr>
          <w:rFonts w:cs="Arial"/>
          <w:lang w:val="fr-FR"/>
        </w:rPr>
        <w:tab/>
        <w:t>Le TC est invité à examiner l'opportunité d'organiser des webinaires techniques en</w:t>
      </w:r>
      <w:r w:rsidR="00E878CB" w:rsidRPr="00C031AF">
        <w:rPr>
          <w:rFonts w:cs="Arial"/>
          <w:lang w:val="fr-FR"/>
        </w:rPr>
        <w:t xml:space="preserve"> 2026</w:t>
      </w:r>
      <w:r w:rsidRPr="00C031AF">
        <w:rPr>
          <w:rFonts w:cs="Arial"/>
          <w:lang w:val="fr-FR"/>
        </w:rPr>
        <w:t>, à des dates appropriées en fonction du calendrier des sessions du TWP, ainsi que des ateliers avec participation physique, lorsque cela est demandé, comme indiqué aux paragraphes 16 à 19 du présent document</w:t>
      </w:r>
      <w:r w:rsidRPr="00C031AF">
        <w:rPr>
          <w:snapToGrid w:val="0"/>
          <w:lang w:val="fr-FR"/>
        </w:rPr>
        <w:t>.</w:t>
      </w:r>
    </w:p>
    <w:p w14:paraId="5FFC4709" w14:textId="77777777" w:rsidR="00E3579A" w:rsidRPr="00C031AF" w:rsidRDefault="00E3579A" w:rsidP="00E3579A">
      <w:pPr>
        <w:tabs>
          <w:tab w:val="left" w:pos="567"/>
          <w:tab w:val="left" w:pos="1134"/>
          <w:tab w:val="num" w:pos="5387"/>
          <w:tab w:val="left" w:pos="5954"/>
        </w:tabs>
        <w:ind w:left="567"/>
        <w:rPr>
          <w:rFonts w:cs="Arial"/>
          <w:lang w:val="fr-FR"/>
        </w:rPr>
      </w:pPr>
    </w:p>
    <w:p w14:paraId="6C3E13AF" w14:textId="77777777" w:rsidR="00E3579A" w:rsidRPr="00C031AF" w:rsidRDefault="00E3579A" w:rsidP="00E3579A">
      <w:pPr>
        <w:rPr>
          <w:rFonts w:cs="Arial"/>
          <w:color w:val="000000"/>
          <w:lang w:val="fr-FR"/>
        </w:rPr>
      </w:pPr>
      <w:r w:rsidRPr="00C031AF">
        <w:rPr>
          <w:rFonts w:cs="Arial"/>
          <w:color w:val="000000"/>
          <w:lang w:val="fr-FR"/>
        </w:rPr>
        <w:fldChar w:fldCharType="begin"/>
      </w:r>
      <w:r w:rsidRPr="00C031AF">
        <w:rPr>
          <w:rFonts w:cs="Arial"/>
          <w:color w:val="000000"/>
          <w:lang w:val="fr-FR"/>
        </w:rPr>
        <w:instrText xml:space="preserve"> AUTONUM  </w:instrText>
      </w:r>
      <w:r w:rsidRPr="00C031AF">
        <w:rPr>
          <w:rFonts w:cs="Arial"/>
          <w:color w:val="000000"/>
          <w:lang w:val="fr-FR"/>
        </w:rPr>
        <w:fldChar w:fldCharType="end"/>
      </w:r>
      <w:r w:rsidRPr="00C031AF">
        <w:rPr>
          <w:rFonts w:cs="Arial"/>
          <w:color w:val="000000"/>
          <w:lang w:val="fr-FR"/>
        </w:rPr>
        <w:tab/>
        <w:t>Les abréviations suivantes sont utilisées dans le présent document :</w:t>
      </w:r>
    </w:p>
    <w:p w14:paraId="2486249A" w14:textId="77777777" w:rsidR="00E3579A" w:rsidRPr="00C031AF" w:rsidRDefault="00E3579A" w:rsidP="00E3579A">
      <w:pPr>
        <w:rPr>
          <w:rFonts w:cs="Arial"/>
          <w:color w:val="000000"/>
          <w:lang w:val="fr-FR"/>
        </w:rPr>
      </w:pPr>
    </w:p>
    <w:p w14:paraId="4936DD85" w14:textId="77777777" w:rsidR="00E3579A" w:rsidRPr="00C031AF" w:rsidRDefault="00E3579A" w:rsidP="00E3579A">
      <w:pPr>
        <w:tabs>
          <w:tab w:val="left" w:pos="567"/>
        </w:tabs>
        <w:ind w:left="1418" w:hanging="851"/>
        <w:rPr>
          <w:rFonts w:cs="Arial"/>
          <w:color w:val="000000"/>
          <w:lang w:val="fr-FR"/>
        </w:rPr>
      </w:pPr>
      <w:r w:rsidRPr="00C031AF">
        <w:rPr>
          <w:rFonts w:cs="Arial"/>
          <w:color w:val="000000"/>
          <w:lang w:val="fr-FR"/>
        </w:rPr>
        <w:t>TC:</w:t>
      </w:r>
      <w:r w:rsidRPr="00C031AF">
        <w:rPr>
          <w:rFonts w:cs="Arial"/>
          <w:color w:val="000000"/>
          <w:lang w:val="fr-FR"/>
        </w:rPr>
        <w:tab/>
        <w:t>Comité technique</w:t>
      </w:r>
    </w:p>
    <w:p w14:paraId="58DD0C49" w14:textId="77777777" w:rsidR="00E3579A" w:rsidRPr="00C031AF" w:rsidRDefault="00E3579A" w:rsidP="00E3579A">
      <w:pPr>
        <w:tabs>
          <w:tab w:val="left" w:pos="567"/>
        </w:tabs>
        <w:ind w:left="1418" w:hanging="851"/>
        <w:rPr>
          <w:rFonts w:cs="Arial"/>
          <w:color w:val="000000"/>
          <w:lang w:val="fr-FR"/>
        </w:rPr>
      </w:pPr>
      <w:r w:rsidRPr="00C031AF">
        <w:rPr>
          <w:rFonts w:cs="Arial"/>
          <w:color w:val="000000"/>
          <w:lang w:val="fr-FR"/>
        </w:rPr>
        <w:t>TWA :</w:t>
      </w:r>
      <w:r w:rsidRPr="00C031AF">
        <w:rPr>
          <w:rFonts w:cs="Arial"/>
          <w:color w:val="000000"/>
          <w:lang w:val="fr-FR"/>
        </w:rPr>
        <w:tab/>
        <w:t>Groupe de travail technique pour les cultures agricoles</w:t>
      </w:r>
    </w:p>
    <w:p w14:paraId="332D259C" w14:textId="77777777" w:rsidR="00E3579A" w:rsidRPr="00C031AF" w:rsidRDefault="00E3579A" w:rsidP="00E3579A">
      <w:pPr>
        <w:ind w:left="1418" w:hanging="851"/>
        <w:rPr>
          <w:rFonts w:cs="Arial"/>
          <w:color w:val="000000"/>
          <w:lang w:val="fr-FR"/>
        </w:rPr>
      </w:pPr>
      <w:r w:rsidRPr="00C031AF">
        <w:rPr>
          <w:rFonts w:cs="Arial"/>
          <w:color w:val="000000"/>
          <w:lang w:val="fr-FR"/>
        </w:rPr>
        <w:t xml:space="preserve">TWF : </w:t>
      </w:r>
      <w:r w:rsidRPr="00C031AF">
        <w:rPr>
          <w:rFonts w:cs="Arial"/>
          <w:color w:val="000000"/>
          <w:lang w:val="fr-FR"/>
        </w:rPr>
        <w:tab/>
        <w:t>Groupe de travail technique pour les cultures fruitières</w:t>
      </w:r>
    </w:p>
    <w:p w14:paraId="6608AA63" w14:textId="77777777" w:rsidR="00E3579A" w:rsidRPr="00C031AF" w:rsidRDefault="00E3579A" w:rsidP="00E3579A">
      <w:pPr>
        <w:ind w:left="1418" w:hanging="851"/>
        <w:rPr>
          <w:rFonts w:cs="Arial"/>
          <w:color w:val="000000"/>
          <w:lang w:val="fr-FR"/>
        </w:rPr>
      </w:pPr>
      <w:r w:rsidRPr="00C031AF">
        <w:rPr>
          <w:rFonts w:cs="Arial"/>
          <w:color w:val="000000"/>
          <w:lang w:val="fr-FR"/>
        </w:rPr>
        <w:t>TWM :</w:t>
      </w:r>
      <w:r w:rsidRPr="00C031AF">
        <w:rPr>
          <w:rFonts w:cs="Arial"/>
          <w:color w:val="000000"/>
          <w:lang w:val="fr-FR"/>
        </w:rPr>
        <w:tab/>
      </w:r>
      <w:r w:rsidRPr="00C031AF">
        <w:rPr>
          <w:lang w:val="fr-FR"/>
        </w:rPr>
        <w:t>Groupe de travail technique sur les méthodes et techniques d'essai</w:t>
      </w:r>
    </w:p>
    <w:p w14:paraId="757D7433" w14:textId="77777777" w:rsidR="00E3579A" w:rsidRPr="00C031AF" w:rsidRDefault="00E3579A" w:rsidP="00E3579A">
      <w:pPr>
        <w:ind w:left="1418" w:hanging="851"/>
        <w:rPr>
          <w:rFonts w:cs="Arial"/>
          <w:color w:val="000000"/>
          <w:lang w:val="fr-FR"/>
        </w:rPr>
      </w:pPr>
      <w:r w:rsidRPr="00C031AF">
        <w:rPr>
          <w:rFonts w:cs="Arial"/>
          <w:color w:val="000000"/>
          <w:lang w:val="fr-FR"/>
        </w:rPr>
        <w:t>TWO :</w:t>
      </w:r>
      <w:r w:rsidRPr="00C031AF">
        <w:rPr>
          <w:rFonts w:cs="Arial"/>
          <w:color w:val="000000"/>
          <w:lang w:val="fr-FR"/>
        </w:rPr>
        <w:tab/>
        <w:t>Groupe de travail technique sur les plantes ornementales et les arbres forestiers</w:t>
      </w:r>
    </w:p>
    <w:p w14:paraId="68DFB95E" w14:textId="3E41C293" w:rsidR="00E3579A" w:rsidRPr="00C031AF" w:rsidRDefault="00E3579A" w:rsidP="00E3579A">
      <w:pPr>
        <w:tabs>
          <w:tab w:val="left" w:pos="567"/>
        </w:tabs>
        <w:ind w:left="1418" w:hanging="851"/>
        <w:rPr>
          <w:rFonts w:cs="Arial"/>
          <w:color w:val="000000"/>
          <w:lang w:val="fr-FR" w:eastAsia="ja-JP" w:bidi="th-TH"/>
        </w:rPr>
      </w:pPr>
      <w:r w:rsidRPr="00C031AF">
        <w:rPr>
          <w:rFonts w:cs="Arial"/>
          <w:color w:val="000000"/>
          <w:lang w:val="fr-FR" w:eastAsia="ja-JP" w:bidi="th-TH"/>
        </w:rPr>
        <w:t>TWP :</w:t>
      </w:r>
      <w:r w:rsidRPr="00C031AF">
        <w:rPr>
          <w:rFonts w:cs="Arial"/>
          <w:color w:val="000000"/>
          <w:lang w:val="fr-FR" w:eastAsia="ja-JP" w:bidi="th-TH"/>
        </w:rPr>
        <w:tab/>
        <w:t>Groupes de travail techniques</w:t>
      </w:r>
    </w:p>
    <w:p w14:paraId="69D73A44" w14:textId="77777777" w:rsidR="00E3579A" w:rsidRPr="00C031AF" w:rsidRDefault="00E3579A" w:rsidP="00E3579A">
      <w:pPr>
        <w:ind w:left="1418" w:hanging="851"/>
        <w:rPr>
          <w:rFonts w:cs="Arial"/>
          <w:color w:val="000000"/>
          <w:lang w:val="fr-FR"/>
        </w:rPr>
      </w:pPr>
      <w:r w:rsidRPr="00C031AF">
        <w:rPr>
          <w:rFonts w:cs="Arial"/>
          <w:color w:val="000000"/>
          <w:lang w:val="fr-FR"/>
        </w:rPr>
        <w:t>TWV :</w:t>
      </w:r>
      <w:r w:rsidRPr="00C031AF">
        <w:rPr>
          <w:rFonts w:cs="Arial"/>
          <w:color w:val="000000"/>
          <w:lang w:val="fr-FR"/>
        </w:rPr>
        <w:tab/>
        <w:t>Groupe de travail technique pour les légumes</w:t>
      </w:r>
    </w:p>
    <w:p w14:paraId="00E32ADC" w14:textId="77777777" w:rsidR="00E3579A" w:rsidRPr="00C031AF" w:rsidRDefault="00E3579A" w:rsidP="00E3579A">
      <w:pPr>
        <w:autoSpaceDE w:val="0"/>
        <w:autoSpaceDN w:val="0"/>
        <w:adjustRightInd w:val="0"/>
        <w:rPr>
          <w:rFonts w:cs="Arial"/>
          <w:snapToGrid w:val="0"/>
          <w:lang w:val="fr-FR"/>
        </w:rPr>
      </w:pPr>
    </w:p>
    <w:p w14:paraId="25EFD978" w14:textId="77777777" w:rsidR="00E3579A" w:rsidRPr="00C031AF" w:rsidRDefault="00E3579A" w:rsidP="00E3579A">
      <w:pPr>
        <w:autoSpaceDE w:val="0"/>
        <w:autoSpaceDN w:val="0"/>
        <w:adjustRightInd w:val="0"/>
        <w:rPr>
          <w:rFonts w:cs="Arial"/>
          <w:snapToGrid w:val="0"/>
          <w:lang w:val="fr-FR" w:eastAsia="ja-JP"/>
        </w:rPr>
      </w:pPr>
      <w:r w:rsidRPr="00C031AF">
        <w:rPr>
          <w:rFonts w:cs="Arial"/>
          <w:snapToGrid w:val="0"/>
          <w:lang w:val="fr-FR"/>
        </w:rPr>
        <w:fldChar w:fldCharType="begin"/>
      </w:r>
      <w:r w:rsidRPr="00C031AF">
        <w:rPr>
          <w:rFonts w:cs="Arial"/>
          <w:snapToGrid w:val="0"/>
          <w:lang w:val="fr-FR"/>
        </w:rPr>
        <w:instrText xml:space="preserve"> AUTONUM  </w:instrText>
      </w:r>
      <w:r w:rsidRPr="00C031AF">
        <w:rPr>
          <w:rFonts w:cs="Arial"/>
          <w:snapToGrid w:val="0"/>
          <w:lang w:val="fr-FR"/>
        </w:rPr>
        <w:fldChar w:fldCharType="end"/>
      </w:r>
      <w:r w:rsidRPr="00C031AF">
        <w:rPr>
          <w:rFonts w:cs="Arial"/>
          <w:snapToGrid w:val="0"/>
          <w:lang w:val="fr-FR"/>
        </w:rPr>
        <w:tab/>
      </w:r>
      <w:r w:rsidRPr="00C031AF">
        <w:rPr>
          <w:rFonts w:cs="Arial"/>
          <w:snapToGrid w:val="0"/>
          <w:lang w:val="fr-FR" w:eastAsia="ja-JP"/>
        </w:rPr>
        <w:t>La structure du présent document est la suivante :</w:t>
      </w:r>
    </w:p>
    <w:p w14:paraId="7D769620" w14:textId="77777777" w:rsidR="00E3579A" w:rsidRPr="00C031AF" w:rsidRDefault="00E3579A" w:rsidP="00E3579A">
      <w:pPr>
        <w:autoSpaceDE w:val="0"/>
        <w:autoSpaceDN w:val="0"/>
        <w:adjustRightInd w:val="0"/>
        <w:rPr>
          <w:rFonts w:cs="Arial"/>
          <w:snapToGrid w:val="0"/>
          <w:lang w:val="fr-FR" w:eastAsia="ja-JP"/>
        </w:rPr>
      </w:pPr>
    </w:p>
    <w:p w14:paraId="5EA8782C" w14:textId="24111611" w:rsidR="00E878CB" w:rsidRPr="00C031AF" w:rsidRDefault="00E3579A" w:rsidP="00B94BC8">
      <w:pPr>
        <w:pStyle w:val="TOC1"/>
        <w:rPr>
          <w:rFonts w:asciiTheme="minorHAnsi" w:eastAsiaTheme="minorEastAsia" w:hAnsiTheme="minorHAnsi" w:cstheme="minorBidi"/>
          <w:kern w:val="2"/>
          <w:sz w:val="24"/>
          <w:szCs w:val="24"/>
          <w:lang w:val="fr-FR"/>
          <w14:ligatures w14:val="standardContextual"/>
        </w:rPr>
      </w:pPr>
      <w:r w:rsidRPr="00C031AF">
        <w:rPr>
          <w:bCs/>
          <w:snapToGrid w:val="0"/>
          <w:lang w:val="fr-FR" w:eastAsia="ja-JP"/>
        </w:rPr>
        <w:fldChar w:fldCharType="begin"/>
      </w:r>
      <w:r w:rsidRPr="00C031AF">
        <w:rPr>
          <w:snapToGrid w:val="0"/>
          <w:lang w:val="fr-FR"/>
        </w:rPr>
        <w:instrText xml:space="preserve"> TOC \o "1-3" \h \z \u </w:instrText>
      </w:r>
      <w:r w:rsidRPr="00C031AF">
        <w:rPr>
          <w:bCs/>
          <w:snapToGrid w:val="0"/>
          <w:lang w:val="fr-FR" w:eastAsia="ja-JP"/>
        </w:rPr>
        <w:fldChar w:fldCharType="separate"/>
      </w:r>
      <w:hyperlink w:anchor="_Toc203989697" w:history="1">
        <w:r w:rsidR="00E878CB" w:rsidRPr="00C031AF">
          <w:rPr>
            <w:rStyle w:val="Hyperlink"/>
            <w:lang w:val="fr-FR"/>
          </w:rPr>
          <w:t>RESUMÉ</w:t>
        </w:r>
        <w:r w:rsidR="00E878CB" w:rsidRPr="00C031AF">
          <w:rPr>
            <w:webHidden/>
            <w:lang w:val="fr-FR"/>
          </w:rPr>
          <w:tab/>
        </w:r>
        <w:r w:rsidR="00E878CB" w:rsidRPr="00C031AF">
          <w:rPr>
            <w:webHidden/>
            <w:lang w:val="fr-FR"/>
          </w:rPr>
          <w:fldChar w:fldCharType="begin"/>
        </w:r>
        <w:r w:rsidR="00E878CB" w:rsidRPr="00C031AF">
          <w:rPr>
            <w:webHidden/>
            <w:lang w:val="fr-FR"/>
          </w:rPr>
          <w:instrText xml:space="preserve"> PAGEREF _Toc203989697 \h </w:instrText>
        </w:r>
        <w:r w:rsidR="00E878CB" w:rsidRPr="00C031AF">
          <w:rPr>
            <w:webHidden/>
            <w:lang w:val="fr-FR"/>
          </w:rPr>
        </w:r>
        <w:r w:rsidR="00E878CB" w:rsidRPr="00C031AF">
          <w:rPr>
            <w:webHidden/>
            <w:lang w:val="fr-FR"/>
          </w:rPr>
          <w:fldChar w:fldCharType="separate"/>
        </w:r>
        <w:r w:rsidR="00E878CB" w:rsidRPr="00C031AF">
          <w:rPr>
            <w:webHidden/>
            <w:lang w:val="fr-FR"/>
          </w:rPr>
          <w:t>1</w:t>
        </w:r>
        <w:r w:rsidR="00E878CB" w:rsidRPr="00C031AF">
          <w:rPr>
            <w:webHidden/>
            <w:lang w:val="fr-FR"/>
          </w:rPr>
          <w:fldChar w:fldCharType="end"/>
        </w:r>
      </w:hyperlink>
    </w:p>
    <w:p w14:paraId="0017282C" w14:textId="290CA2DD" w:rsidR="00E878CB" w:rsidRPr="00C031AF" w:rsidRDefault="00E878CB" w:rsidP="00B94BC8">
      <w:pPr>
        <w:pStyle w:val="TOC1"/>
        <w:rPr>
          <w:rFonts w:asciiTheme="minorHAnsi" w:eastAsiaTheme="minorEastAsia" w:hAnsiTheme="minorHAnsi" w:cstheme="minorBidi"/>
          <w:kern w:val="2"/>
          <w:sz w:val="24"/>
          <w:szCs w:val="24"/>
          <w:lang w:val="fr-FR"/>
          <w14:ligatures w14:val="standardContextual"/>
        </w:rPr>
      </w:pPr>
      <w:hyperlink w:anchor="_Toc203989698" w:history="1">
        <w:r w:rsidRPr="00C031AF">
          <w:rPr>
            <w:rStyle w:val="Hyperlink"/>
            <w:lang w:val="fr-FR"/>
          </w:rPr>
          <w:t>CONTEXTE</w:t>
        </w:r>
        <w:r w:rsidRPr="00C031AF">
          <w:rPr>
            <w:webHidden/>
            <w:lang w:val="fr-FR"/>
          </w:rPr>
          <w:tab/>
        </w:r>
        <w:r w:rsidRPr="00C031AF">
          <w:rPr>
            <w:webHidden/>
            <w:lang w:val="fr-FR"/>
          </w:rPr>
          <w:fldChar w:fldCharType="begin"/>
        </w:r>
        <w:r w:rsidRPr="00C031AF">
          <w:rPr>
            <w:webHidden/>
            <w:lang w:val="fr-FR"/>
          </w:rPr>
          <w:instrText xml:space="preserve"> PAGEREF _Toc203989698 \h </w:instrText>
        </w:r>
        <w:r w:rsidRPr="00C031AF">
          <w:rPr>
            <w:webHidden/>
            <w:lang w:val="fr-FR"/>
          </w:rPr>
        </w:r>
        <w:r w:rsidRPr="00C031AF">
          <w:rPr>
            <w:webHidden/>
            <w:lang w:val="fr-FR"/>
          </w:rPr>
          <w:fldChar w:fldCharType="separate"/>
        </w:r>
        <w:r w:rsidRPr="00C031AF">
          <w:rPr>
            <w:webHidden/>
            <w:lang w:val="fr-FR"/>
          </w:rPr>
          <w:t>1</w:t>
        </w:r>
        <w:r w:rsidRPr="00C031AF">
          <w:rPr>
            <w:webHidden/>
            <w:lang w:val="fr-FR"/>
          </w:rPr>
          <w:fldChar w:fldCharType="end"/>
        </w:r>
      </w:hyperlink>
    </w:p>
    <w:p w14:paraId="136CE0F3" w14:textId="1B2D693D" w:rsidR="00E878CB" w:rsidRPr="00C031AF" w:rsidRDefault="00E878CB" w:rsidP="00B94BC8">
      <w:pPr>
        <w:pStyle w:val="TOC1"/>
        <w:rPr>
          <w:rFonts w:asciiTheme="minorHAnsi" w:eastAsiaTheme="minorEastAsia" w:hAnsiTheme="minorHAnsi" w:cstheme="minorBidi"/>
          <w:kern w:val="2"/>
          <w:sz w:val="24"/>
          <w:szCs w:val="24"/>
          <w:lang w:val="fr-FR"/>
          <w14:ligatures w14:val="standardContextual"/>
        </w:rPr>
      </w:pPr>
      <w:hyperlink w:anchor="_Toc203989699" w:history="1">
        <w:r w:rsidRPr="00C031AF">
          <w:rPr>
            <w:rStyle w:val="Hyperlink"/>
            <w:lang w:val="fr-FR"/>
          </w:rPr>
          <w:t>Compte rendu sur les WEBINAIRES</w:t>
        </w:r>
        <w:r w:rsidRPr="00C031AF">
          <w:rPr>
            <w:webHidden/>
            <w:lang w:val="fr-FR"/>
          </w:rPr>
          <w:tab/>
        </w:r>
        <w:r w:rsidRPr="00C031AF">
          <w:rPr>
            <w:webHidden/>
            <w:lang w:val="fr-FR"/>
          </w:rPr>
          <w:fldChar w:fldCharType="begin"/>
        </w:r>
        <w:r w:rsidRPr="00C031AF">
          <w:rPr>
            <w:webHidden/>
            <w:lang w:val="fr-FR"/>
          </w:rPr>
          <w:instrText xml:space="preserve"> PAGEREF _Toc203989699 \h </w:instrText>
        </w:r>
        <w:r w:rsidRPr="00C031AF">
          <w:rPr>
            <w:webHidden/>
            <w:lang w:val="fr-FR"/>
          </w:rPr>
        </w:r>
        <w:r w:rsidRPr="00C031AF">
          <w:rPr>
            <w:webHidden/>
            <w:lang w:val="fr-FR"/>
          </w:rPr>
          <w:fldChar w:fldCharType="separate"/>
        </w:r>
        <w:r w:rsidRPr="00C031AF">
          <w:rPr>
            <w:webHidden/>
            <w:lang w:val="fr-FR"/>
          </w:rPr>
          <w:t>2</w:t>
        </w:r>
        <w:r w:rsidRPr="00C031AF">
          <w:rPr>
            <w:webHidden/>
            <w:lang w:val="fr-FR"/>
          </w:rPr>
          <w:fldChar w:fldCharType="end"/>
        </w:r>
      </w:hyperlink>
    </w:p>
    <w:p w14:paraId="52FE9043" w14:textId="054E8913" w:rsidR="00E878CB" w:rsidRPr="00C031AF" w:rsidRDefault="00E878CB" w:rsidP="00B94BC8">
      <w:pPr>
        <w:pStyle w:val="TOC1"/>
        <w:rPr>
          <w:rFonts w:asciiTheme="minorHAnsi" w:eastAsiaTheme="minorEastAsia" w:hAnsiTheme="minorHAnsi" w:cstheme="minorBidi"/>
          <w:kern w:val="2"/>
          <w:sz w:val="24"/>
          <w:szCs w:val="24"/>
          <w:lang w:val="fr-FR"/>
          <w14:ligatures w14:val="standardContextual"/>
        </w:rPr>
      </w:pPr>
      <w:hyperlink w:anchor="_Toc203989700" w:history="1">
        <w:r w:rsidRPr="00C031AF">
          <w:rPr>
            <w:rStyle w:val="Hyperlink"/>
            <w:lang w:val="fr-FR"/>
          </w:rPr>
          <w:t>Programme et format des travaux préparatoires en 2026</w:t>
        </w:r>
        <w:r w:rsidRPr="00C031AF">
          <w:rPr>
            <w:webHidden/>
            <w:lang w:val="fr-FR"/>
          </w:rPr>
          <w:tab/>
        </w:r>
        <w:r w:rsidRPr="00C031AF">
          <w:rPr>
            <w:webHidden/>
            <w:lang w:val="fr-FR"/>
          </w:rPr>
          <w:fldChar w:fldCharType="begin"/>
        </w:r>
        <w:r w:rsidRPr="00C031AF">
          <w:rPr>
            <w:webHidden/>
            <w:lang w:val="fr-FR"/>
          </w:rPr>
          <w:instrText xml:space="preserve"> PAGEREF _Toc203989700 \h </w:instrText>
        </w:r>
        <w:r w:rsidRPr="00C031AF">
          <w:rPr>
            <w:webHidden/>
            <w:lang w:val="fr-FR"/>
          </w:rPr>
        </w:r>
        <w:r w:rsidRPr="00C031AF">
          <w:rPr>
            <w:webHidden/>
            <w:lang w:val="fr-FR"/>
          </w:rPr>
          <w:fldChar w:fldCharType="separate"/>
        </w:r>
        <w:r w:rsidRPr="00C031AF">
          <w:rPr>
            <w:webHidden/>
            <w:lang w:val="fr-FR"/>
          </w:rPr>
          <w:t>3</w:t>
        </w:r>
        <w:r w:rsidRPr="00C031AF">
          <w:rPr>
            <w:webHidden/>
            <w:lang w:val="fr-FR"/>
          </w:rPr>
          <w:fldChar w:fldCharType="end"/>
        </w:r>
      </w:hyperlink>
    </w:p>
    <w:p w14:paraId="49F60991" w14:textId="0AF13480" w:rsidR="00E3579A" w:rsidRPr="00C031AF" w:rsidRDefault="00E3579A" w:rsidP="00E3579A">
      <w:pPr>
        <w:rPr>
          <w:snapToGrid w:val="0"/>
          <w:sz w:val="18"/>
          <w:szCs w:val="18"/>
          <w:lang w:val="fr-FR"/>
        </w:rPr>
      </w:pPr>
      <w:r w:rsidRPr="00C031AF">
        <w:rPr>
          <w:snapToGrid w:val="0"/>
          <w:lang w:val="fr-FR"/>
        </w:rPr>
        <w:fldChar w:fldCharType="end"/>
      </w:r>
      <w:r w:rsidRPr="00C031AF">
        <w:rPr>
          <w:snapToGrid w:val="0"/>
          <w:sz w:val="18"/>
          <w:szCs w:val="18"/>
          <w:lang w:val="fr-FR"/>
        </w:rPr>
        <w:t>Annexe : Programme des webinaires préparatoires en</w:t>
      </w:r>
      <w:r w:rsidR="00E878CB" w:rsidRPr="00C031AF">
        <w:rPr>
          <w:snapToGrid w:val="0"/>
          <w:sz w:val="18"/>
          <w:szCs w:val="18"/>
          <w:lang w:val="fr-FR"/>
        </w:rPr>
        <w:t xml:space="preserve"> 2025</w:t>
      </w:r>
    </w:p>
    <w:p w14:paraId="7ED9D46B" w14:textId="77777777" w:rsidR="00E3579A" w:rsidRPr="00C031AF" w:rsidRDefault="00E3579A" w:rsidP="00E3579A">
      <w:pPr>
        <w:rPr>
          <w:lang w:val="fr-FR"/>
        </w:rPr>
      </w:pPr>
    </w:p>
    <w:p w14:paraId="05B6F76C" w14:textId="77777777" w:rsidR="00E3579A" w:rsidRPr="00C031AF" w:rsidRDefault="00E3579A" w:rsidP="00E3579A">
      <w:pPr>
        <w:rPr>
          <w:lang w:val="fr-FR"/>
        </w:rPr>
      </w:pPr>
    </w:p>
    <w:p w14:paraId="573EA919" w14:textId="77777777" w:rsidR="00E3579A" w:rsidRPr="00C031AF" w:rsidRDefault="00E3579A" w:rsidP="00E3579A">
      <w:pPr>
        <w:pStyle w:val="Heading1"/>
        <w:rPr>
          <w:lang w:val="fr-FR"/>
        </w:rPr>
      </w:pPr>
      <w:bookmarkStart w:id="2" w:name="_Toc203989698"/>
      <w:r w:rsidRPr="00C031AF">
        <w:rPr>
          <w:lang w:val="fr-FR"/>
        </w:rPr>
        <w:lastRenderedPageBreak/>
        <w:t>CONTEXTE</w:t>
      </w:r>
      <w:bookmarkEnd w:id="2"/>
    </w:p>
    <w:p w14:paraId="19EA0D22" w14:textId="77777777" w:rsidR="00E3579A" w:rsidRPr="00C031AF" w:rsidRDefault="00E3579A" w:rsidP="00E3579A">
      <w:pPr>
        <w:keepNext/>
        <w:keepLines/>
        <w:rPr>
          <w:lang w:val="fr-FR"/>
        </w:rPr>
      </w:pPr>
    </w:p>
    <w:p w14:paraId="43069E27" w14:textId="43661509" w:rsidR="00E3579A" w:rsidRPr="00C031AF" w:rsidRDefault="00E3579A" w:rsidP="00E3579A">
      <w:pPr>
        <w:keepLines/>
        <w:autoSpaceDE w:val="0"/>
        <w:autoSpaceDN w:val="0"/>
        <w:adjustRightInd w:val="0"/>
        <w:rPr>
          <w:rFonts w:cs="Arial"/>
          <w:snapToGrid w:val="0"/>
          <w:lang w:val="fr-FR"/>
        </w:rPr>
      </w:pPr>
      <w:r w:rsidRPr="00C031AF">
        <w:rPr>
          <w:rFonts w:cs="Arial"/>
          <w:lang w:val="fr-FR"/>
        </w:rPr>
        <w:fldChar w:fldCharType="begin"/>
      </w:r>
      <w:r w:rsidRPr="00C031AF">
        <w:rPr>
          <w:rFonts w:cs="Arial"/>
          <w:lang w:val="fr-FR"/>
        </w:rPr>
        <w:instrText xml:space="preserve"> AUTONUM  </w:instrText>
      </w:r>
      <w:r w:rsidRPr="00C031AF">
        <w:rPr>
          <w:rFonts w:cs="Arial"/>
          <w:lang w:val="fr-FR"/>
        </w:rPr>
        <w:fldChar w:fldCharType="end"/>
      </w:r>
      <w:r w:rsidRPr="00C031AF">
        <w:rPr>
          <w:rFonts w:cs="Arial"/>
          <w:lang w:val="fr-FR"/>
        </w:rPr>
        <w:tab/>
        <w:t>À sa trente-huitième session</w:t>
      </w:r>
      <w:r w:rsidRPr="00C031AF">
        <w:rPr>
          <w:rFonts w:cs="Arial"/>
          <w:vertAlign w:val="superscript"/>
          <w:lang w:val="fr-FR"/>
        </w:rPr>
        <w:footnoteReference w:id="2"/>
      </w:r>
      <w:r w:rsidRPr="00C031AF">
        <w:rPr>
          <w:rFonts w:cs="Arial"/>
          <w:lang w:val="fr-FR"/>
        </w:rPr>
        <w:t xml:space="preserve"> , le TC a convenu, sur la base du document TC/38/12, d'organiser un atelier préparatoire avant chaque réunion du Groupe de travail technique (TWP), dans le but d'aider certains délégués à participer plus activement à la réunion (voir le document TC/38/16 « Compte rendu », paragraphe</w:t>
      </w:r>
      <w:r w:rsidR="00631FC0">
        <w:rPr>
          <w:rFonts w:cs="Arial"/>
          <w:lang w:val="fr-FR"/>
        </w:rPr>
        <w:t> </w:t>
      </w:r>
      <w:r w:rsidRPr="00C031AF">
        <w:rPr>
          <w:rFonts w:cs="Arial"/>
          <w:lang w:val="fr-FR"/>
        </w:rPr>
        <w:t>215).</w:t>
      </w:r>
    </w:p>
    <w:p w14:paraId="6FEE1EF9" w14:textId="77777777" w:rsidR="00E3579A" w:rsidRPr="00C031AF" w:rsidRDefault="00E3579A" w:rsidP="00E3579A">
      <w:pPr>
        <w:rPr>
          <w:lang w:val="fr-FR"/>
        </w:rPr>
      </w:pPr>
    </w:p>
    <w:p w14:paraId="1D272A60" w14:textId="77777777" w:rsidR="00E3579A" w:rsidRPr="00C031AF" w:rsidRDefault="00E3579A" w:rsidP="00E3579A">
      <w:pPr>
        <w:rPr>
          <w:lang w:val="fr-FR"/>
        </w:rPr>
      </w:pPr>
      <w:r w:rsidRPr="00C031AF">
        <w:rPr>
          <w:lang w:val="fr-FR"/>
        </w:rPr>
        <w:fldChar w:fldCharType="begin"/>
      </w:r>
      <w:r w:rsidRPr="00C031AF">
        <w:rPr>
          <w:lang w:val="fr-FR"/>
        </w:rPr>
        <w:instrText xml:space="preserve"> AUTONUM  </w:instrText>
      </w:r>
      <w:r w:rsidRPr="00C031AF">
        <w:rPr>
          <w:lang w:val="fr-FR"/>
        </w:rPr>
        <w:fldChar w:fldCharType="end"/>
      </w:r>
      <w:r w:rsidRPr="00C031AF">
        <w:rPr>
          <w:lang w:val="fr-FR"/>
        </w:rPr>
        <w:tab/>
        <w:t>À sa cinquante-cinquième session</w:t>
      </w:r>
      <w:r w:rsidRPr="00C031AF">
        <w:rPr>
          <w:vertAlign w:val="superscript"/>
          <w:lang w:val="fr-FR"/>
        </w:rPr>
        <w:footnoteReference w:id="3"/>
      </w:r>
      <w:r w:rsidRPr="00C031AF">
        <w:rPr>
          <w:lang w:val="fr-FR"/>
        </w:rPr>
        <w:t xml:space="preserve"> , le TC a rappelé que les ateliers préparatoires constituaient une occasion de former les participants locaux et est convenu que les hôtes des TWP devraient avoir la possibilité de décider d'organiser ou non un atelier préparatoire avant la session du TWP (voir le document TC/55/25 « Compte rendu », paragraphes 226 et 227).</w:t>
      </w:r>
    </w:p>
    <w:p w14:paraId="0291585B" w14:textId="77777777" w:rsidR="00E3579A" w:rsidRPr="00C031AF" w:rsidRDefault="00E3579A" w:rsidP="00E3579A">
      <w:pPr>
        <w:rPr>
          <w:lang w:val="fr-FR"/>
        </w:rPr>
      </w:pPr>
    </w:p>
    <w:p w14:paraId="1CF7465F" w14:textId="77777777" w:rsidR="00E3579A" w:rsidRPr="00C031AF" w:rsidRDefault="00E3579A" w:rsidP="00E3579A">
      <w:pPr>
        <w:rPr>
          <w:lang w:val="fr-FR"/>
        </w:rPr>
      </w:pPr>
      <w:r w:rsidRPr="00C031AF">
        <w:rPr>
          <w:lang w:val="fr-FR"/>
        </w:rPr>
        <w:fldChar w:fldCharType="begin"/>
      </w:r>
      <w:r w:rsidRPr="00C031AF">
        <w:rPr>
          <w:lang w:val="fr-FR"/>
        </w:rPr>
        <w:instrText xml:space="preserve"> AUTONUM  </w:instrText>
      </w:r>
      <w:r w:rsidRPr="00C031AF">
        <w:rPr>
          <w:lang w:val="fr-FR"/>
        </w:rPr>
        <w:fldChar w:fldCharType="end"/>
      </w:r>
      <w:r w:rsidRPr="00C031AF">
        <w:rPr>
          <w:lang w:val="fr-FR"/>
        </w:rPr>
        <w:tab/>
        <w:t>Lors de sa cinquante-cinquième session, le TC a convenu que les TWP devraient être invités à discuter de l'organisation éventuelle d'ateliers préparatoires lors de l'examen de la date et du lieu de leurs futures sessions.</w:t>
      </w:r>
    </w:p>
    <w:p w14:paraId="55535D8A" w14:textId="77777777" w:rsidR="00E3579A" w:rsidRPr="00C031AF" w:rsidRDefault="00E3579A" w:rsidP="00E3579A">
      <w:pPr>
        <w:rPr>
          <w:lang w:val="fr-FR"/>
        </w:rPr>
      </w:pPr>
    </w:p>
    <w:p w14:paraId="7A385C5C" w14:textId="77777777" w:rsidR="00E3579A" w:rsidRPr="00C031AF" w:rsidRDefault="00E3579A" w:rsidP="00E3579A">
      <w:pPr>
        <w:rPr>
          <w:snapToGrid w:val="0"/>
          <w:lang w:val="fr-FR"/>
        </w:rPr>
      </w:pPr>
      <w:r w:rsidRPr="00C031AF">
        <w:rPr>
          <w:lang w:val="fr-FR"/>
        </w:rPr>
        <w:fldChar w:fldCharType="begin"/>
      </w:r>
      <w:r w:rsidRPr="00C031AF">
        <w:rPr>
          <w:lang w:val="fr-FR"/>
        </w:rPr>
        <w:instrText xml:space="preserve"> AUTONUM  </w:instrText>
      </w:r>
      <w:r w:rsidRPr="00C031AF">
        <w:rPr>
          <w:lang w:val="fr-FR"/>
        </w:rPr>
        <w:fldChar w:fldCharType="end"/>
      </w:r>
      <w:r w:rsidRPr="00C031AF">
        <w:rPr>
          <w:lang w:val="fr-FR"/>
        </w:rPr>
        <w:tab/>
      </w:r>
      <w:bookmarkStart w:id="3" w:name="_Hlk176785890"/>
      <w:r w:rsidRPr="00C031AF">
        <w:rPr>
          <w:lang w:val="fr-FR"/>
        </w:rPr>
        <w:t>À sa cinquante-sixième session</w:t>
      </w:r>
      <w:r w:rsidRPr="00C031AF">
        <w:rPr>
          <w:vertAlign w:val="superscript"/>
          <w:lang w:val="fr-FR"/>
        </w:rPr>
        <w:footnoteReference w:id="4"/>
      </w:r>
      <w:r w:rsidRPr="00C031AF">
        <w:rPr>
          <w:lang w:val="fr-FR"/>
        </w:rPr>
        <w:t xml:space="preserve"> , le TC a décidé d'organiser des ateliers préparatoires sous la forme d'une série de webinaires à des dates appropriées, en fonction du calendrier des sessions des TWP.  </w:t>
      </w:r>
      <w:bookmarkEnd w:id="3"/>
      <w:r w:rsidRPr="00C031AF">
        <w:rPr>
          <w:lang w:val="fr-FR"/>
        </w:rPr>
        <w:t xml:space="preserve">Le TC </w:t>
      </w:r>
      <w:r w:rsidRPr="00C031AF">
        <w:rPr>
          <w:snapToGrid w:val="0"/>
          <w:lang w:val="fr-FR"/>
        </w:rPr>
        <w:t>a noté que les présentations des webinaires seraient enregistrées et mises à disposition en ligne, mais pas les discussions. Le TC a noté que le Bureau de l'Union fournirait le contenu des webinaires et inviterait des experts des membres à participer aux discussions en tant que panélistes et à fournir des exemples pratiques (</w:t>
      </w:r>
      <w:r w:rsidRPr="00C031AF">
        <w:rPr>
          <w:lang w:val="fr-FR"/>
        </w:rPr>
        <w:t>voir le document TC/56/23 « Compte rendu », paragraphes 71 et 75)</w:t>
      </w:r>
      <w:r w:rsidRPr="00C031AF">
        <w:rPr>
          <w:snapToGrid w:val="0"/>
          <w:lang w:val="fr-FR"/>
        </w:rPr>
        <w:t xml:space="preserve">.  </w:t>
      </w:r>
    </w:p>
    <w:p w14:paraId="5F3C1E78" w14:textId="77777777" w:rsidR="00E3579A" w:rsidRPr="00C031AF" w:rsidRDefault="00E3579A" w:rsidP="00E3579A">
      <w:pPr>
        <w:rPr>
          <w:rFonts w:cs="Arial"/>
          <w:lang w:val="fr-FR"/>
        </w:rPr>
      </w:pPr>
    </w:p>
    <w:p w14:paraId="2069D4E9" w14:textId="77777777" w:rsidR="00E3579A" w:rsidRPr="00C031AF" w:rsidRDefault="00E3579A" w:rsidP="00E3579A">
      <w:pPr>
        <w:rPr>
          <w:rFonts w:cs="Arial"/>
          <w:lang w:val="fr-FR"/>
        </w:rPr>
      </w:pPr>
      <w:r w:rsidRPr="00C031AF">
        <w:rPr>
          <w:rFonts w:cs="Arial"/>
          <w:lang w:val="fr-FR"/>
        </w:rPr>
        <w:fldChar w:fldCharType="begin"/>
      </w:r>
      <w:r w:rsidRPr="00C031AF">
        <w:rPr>
          <w:rFonts w:cs="Arial"/>
          <w:lang w:val="fr-FR"/>
        </w:rPr>
        <w:instrText xml:space="preserve"> AUTONUM  </w:instrText>
      </w:r>
      <w:r w:rsidRPr="00C031AF">
        <w:rPr>
          <w:rFonts w:cs="Arial"/>
          <w:lang w:val="fr-FR"/>
        </w:rPr>
        <w:fldChar w:fldCharType="end"/>
      </w:r>
      <w:r w:rsidRPr="00C031AF">
        <w:rPr>
          <w:rFonts w:cs="Arial"/>
          <w:lang w:val="fr-FR"/>
        </w:rPr>
        <w:tab/>
      </w:r>
      <w:r w:rsidRPr="00C031AF">
        <w:rPr>
          <w:lang w:val="fr-FR"/>
        </w:rPr>
        <w:t>À sa cinquante-sixième session,</w:t>
      </w:r>
      <w:r w:rsidRPr="00C031AF">
        <w:rPr>
          <w:rFonts w:cs="Arial"/>
          <w:lang w:val="fr-FR"/>
        </w:rPr>
        <w:t xml:space="preserve"> le TC a noté que, sous réserve d'une demande des hôtes des TWP, des ateliers avec participation physique pourraient être organisés en marge des sessions des TWP. Dans ce cas, le contenu serait adapté au contexte particulier.</w:t>
      </w:r>
    </w:p>
    <w:p w14:paraId="1719B707" w14:textId="77777777" w:rsidR="00E3579A" w:rsidRPr="00C031AF" w:rsidRDefault="00E3579A" w:rsidP="00E3579A">
      <w:pPr>
        <w:rPr>
          <w:lang w:val="fr-FR"/>
        </w:rPr>
      </w:pPr>
    </w:p>
    <w:p w14:paraId="63A13E76" w14:textId="77777777" w:rsidR="001D5B08" w:rsidRPr="00C031AF" w:rsidRDefault="001D5B08" w:rsidP="003D0839">
      <w:pPr>
        <w:rPr>
          <w:lang w:val="fr-FR"/>
        </w:rPr>
      </w:pPr>
    </w:p>
    <w:p w14:paraId="37A20B59" w14:textId="1DC8E0F5" w:rsidR="001D5B08" w:rsidRPr="00C031AF" w:rsidRDefault="001D5B08" w:rsidP="001D5B08">
      <w:pPr>
        <w:pStyle w:val="Heading1"/>
        <w:rPr>
          <w:i/>
          <w:lang w:val="fr-FR"/>
        </w:rPr>
      </w:pPr>
      <w:bookmarkStart w:id="4" w:name="_Toc524688361"/>
      <w:bookmarkStart w:id="5" w:name="_Toc203989699"/>
      <w:r w:rsidRPr="00C031AF">
        <w:rPr>
          <w:lang w:val="fr-FR"/>
        </w:rPr>
        <w:t xml:space="preserve">Compte rendu sur les WEBINAIRES TECHNIQUES organisés </w:t>
      </w:r>
      <w:bookmarkEnd w:id="4"/>
      <w:r w:rsidR="001745A0">
        <w:rPr>
          <w:lang w:val="fr-FR"/>
        </w:rPr>
        <w:t>EN</w:t>
      </w:r>
      <w:r w:rsidRPr="00C031AF">
        <w:rPr>
          <w:lang w:val="fr-FR"/>
        </w:rPr>
        <w:t xml:space="preserve"> 2025</w:t>
      </w:r>
      <w:bookmarkEnd w:id="5"/>
    </w:p>
    <w:p w14:paraId="5E9A1C36" w14:textId="77777777" w:rsidR="001D5B08" w:rsidRPr="00C031AF" w:rsidRDefault="001D5B08" w:rsidP="001D5B08">
      <w:pPr>
        <w:jc w:val="left"/>
        <w:rPr>
          <w:snapToGrid w:val="0"/>
          <w:lang w:val="fr-FR"/>
        </w:rPr>
      </w:pPr>
    </w:p>
    <w:p w14:paraId="59393D60" w14:textId="389C31C7" w:rsidR="001D5B08" w:rsidRPr="00C031AF" w:rsidRDefault="001D5B08" w:rsidP="001D5B08">
      <w:pPr>
        <w:rPr>
          <w:snapToGrid w:val="0"/>
          <w:lang w:val="fr-FR"/>
        </w:rPr>
      </w:pPr>
      <w:r w:rsidRPr="00C031AF">
        <w:rPr>
          <w:snapToGrid w:val="0"/>
          <w:lang w:val="fr-FR"/>
        </w:rPr>
        <w:fldChar w:fldCharType="begin"/>
      </w:r>
      <w:r w:rsidRPr="00C031AF">
        <w:rPr>
          <w:snapToGrid w:val="0"/>
          <w:lang w:val="fr-FR"/>
        </w:rPr>
        <w:instrText xml:space="preserve"> AUTONUM  </w:instrText>
      </w:r>
      <w:r w:rsidRPr="00C031AF">
        <w:rPr>
          <w:snapToGrid w:val="0"/>
          <w:lang w:val="fr-FR"/>
        </w:rPr>
        <w:fldChar w:fldCharType="end"/>
      </w:r>
      <w:r w:rsidRPr="00C031AF">
        <w:rPr>
          <w:snapToGrid w:val="0"/>
          <w:lang w:val="fr-FR"/>
        </w:rPr>
        <w:tab/>
      </w:r>
      <w:r w:rsidRPr="00C031AF">
        <w:rPr>
          <w:rFonts w:cs="Arial"/>
          <w:lang w:val="fr-FR"/>
        </w:rPr>
        <w:t>Au total, quatre webinaires ont été organisés avant les sessions des TWP, les matinées et après-midis des 11 et 12 mars 2025.</w:t>
      </w:r>
    </w:p>
    <w:p w14:paraId="03F46C16" w14:textId="77777777" w:rsidR="001D5B08" w:rsidRPr="00C031AF" w:rsidRDefault="001D5B08" w:rsidP="001D5B08">
      <w:pPr>
        <w:rPr>
          <w:snapToGrid w:val="0"/>
          <w:lang w:val="fr-FR"/>
        </w:rPr>
      </w:pPr>
    </w:p>
    <w:p w14:paraId="52E34429" w14:textId="77777777" w:rsidR="001D5B08" w:rsidRPr="00C031AF" w:rsidRDefault="001D5B08" w:rsidP="001D5B08">
      <w:pPr>
        <w:rPr>
          <w:snapToGrid w:val="0"/>
          <w:lang w:val="fr-FR"/>
        </w:rPr>
      </w:pPr>
      <w:r w:rsidRPr="00C031AF">
        <w:rPr>
          <w:snapToGrid w:val="0"/>
          <w:lang w:val="fr-FR"/>
        </w:rPr>
        <w:fldChar w:fldCharType="begin"/>
      </w:r>
      <w:r w:rsidRPr="00C031AF">
        <w:rPr>
          <w:snapToGrid w:val="0"/>
          <w:lang w:val="fr-FR"/>
        </w:rPr>
        <w:instrText xml:space="preserve"> AUTONUM  </w:instrText>
      </w:r>
      <w:r w:rsidRPr="00C031AF">
        <w:rPr>
          <w:snapToGrid w:val="0"/>
          <w:lang w:val="fr-FR"/>
        </w:rPr>
        <w:fldChar w:fldCharType="end"/>
      </w:r>
      <w:r w:rsidRPr="00C031AF">
        <w:rPr>
          <w:snapToGrid w:val="0"/>
          <w:lang w:val="fr-FR"/>
        </w:rPr>
        <w:tab/>
        <w:t>Le contenu des webinaires était le suivant :</w:t>
      </w:r>
    </w:p>
    <w:p w14:paraId="73BAAD43" w14:textId="77777777" w:rsidR="001D5B08" w:rsidRPr="00C031AF" w:rsidRDefault="001D5B08" w:rsidP="001D5B08">
      <w:pPr>
        <w:rPr>
          <w:snapToGrid w:val="0"/>
          <w:lang w:val="fr-FR"/>
        </w:rPr>
      </w:pPr>
    </w:p>
    <w:p w14:paraId="5B95D168" w14:textId="3C31139A" w:rsidR="001D5B08" w:rsidRPr="00C031AF" w:rsidRDefault="001D5B08" w:rsidP="001D5B08">
      <w:pPr>
        <w:numPr>
          <w:ilvl w:val="0"/>
          <w:numId w:val="2"/>
        </w:numPr>
        <w:rPr>
          <w:rFonts w:cs="Arial"/>
          <w:color w:val="000000" w:themeColor="text1"/>
          <w:szCs w:val="18"/>
          <w:lang w:val="fr-FR"/>
        </w:rPr>
      </w:pPr>
      <w:r w:rsidRPr="00C031AF">
        <w:rPr>
          <w:rFonts w:cs="Arial"/>
          <w:color w:val="000000" w:themeColor="text1"/>
          <w:szCs w:val="18"/>
          <w:lang w:val="fr-FR"/>
        </w:rPr>
        <w:t xml:space="preserve">Webinaire 1 :  </w:t>
      </w:r>
      <w:r w:rsidRPr="00C031AF">
        <w:rPr>
          <w:lang w:val="fr-FR"/>
        </w:rPr>
        <w:t>Rédaction des principes directeurs d'examen</w:t>
      </w:r>
    </w:p>
    <w:p w14:paraId="1D8F7C8B" w14:textId="169F1D37" w:rsidR="001D5B08" w:rsidRPr="00C031AF" w:rsidRDefault="001D5B08" w:rsidP="001D5B08">
      <w:pPr>
        <w:numPr>
          <w:ilvl w:val="0"/>
          <w:numId w:val="2"/>
        </w:numPr>
        <w:rPr>
          <w:rFonts w:cs="Arial"/>
          <w:color w:val="000000" w:themeColor="text1"/>
          <w:szCs w:val="18"/>
          <w:lang w:val="fr-FR"/>
        </w:rPr>
      </w:pPr>
      <w:r w:rsidRPr="00C031AF">
        <w:rPr>
          <w:rFonts w:cs="Arial"/>
          <w:color w:val="000000" w:themeColor="text1"/>
          <w:szCs w:val="18"/>
          <w:lang w:val="fr-FR"/>
        </w:rPr>
        <w:t>Webinaire 2 :  Caractéristiques utilisées dans les principes directeurs d'examen</w:t>
      </w:r>
    </w:p>
    <w:p w14:paraId="24A99A58" w14:textId="77777777" w:rsidR="001D5B08" w:rsidRPr="00C031AF" w:rsidRDefault="001D5B08" w:rsidP="001D5B08">
      <w:pPr>
        <w:rPr>
          <w:rFonts w:cs="Arial"/>
          <w:lang w:val="fr-FR"/>
        </w:rPr>
      </w:pPr>
    </w:p>
    <w:p w14:paraId="1992DE24" w14:textId="77777777" w:rsidR="001D5B08" w:rsidRPr="00C031AF" w:rsidRDefault="001D5B08" w:rsidP="001D5B08">
      <w:pPr>
        <w:rPr>
          <w:rFonts w:cs="Arial"/>
          <w:lang w:val="fr-FR"/>
        </w:rPr>
      </w:pPr>
      <w:r w:rsidRPr="00C031AF">
        <w:rPr>
          <w:rFonts w:cs="Arial"/>
          <w:lang w:val="fr-FR"/>
        </w:rPr>
        <w:fldChar w:fldCharType="begin"/>
      </w:r>
      <w:r w:rsidRPr="00C031AF">
        <w:rPr>
          <w:rFonts w:cs="Arial"/>
          <w:lang w:val="fr-FR"/>
        </w:rPr>
        <w:instrText xml:space="preserve"> AUTONUM  </w:instrText>
      </w:r>
      <w:r w:rsidRPr="00C031AF">
        <w:rPr>
          <w:rFonts w:cs="Arial"/>
          <w:lang w:val="fr-FR"/>
        </w:rPr>
        <w:fldChar w:fldCharType="end"/>
      </w:r>
      <w:r w:rsidRPr="00C031AF">
        <w:rPr>
          <w:rFonts w:cs="Arial"/>
          <w:lang w:val="fr-FR"/>
        </w:rPr>
        <w:tab/>
        <w:t>Le nombre de participants aux webinaires était le suivant :</w:t>
      </w:r>
    </w:p>
    <w:p w14:paraId="3260B916" w14:textId="77777777" w:rsidR="001D5B08" w:rsidRPr="00C031AF" w:rsidRDefault="001D5B08" w:rsidP="001D5B08">
      <w:pPr>
        <w:rPr>
          <w:color w:val="000000"/>
          <w:sz w:val="18"/>
          <w:lang w:val="fr-FR"/>
        </w:rPr>
      </w:pPr>
    </w:p>
    <w:tbl>
      <w:tblPr>
        <w:tblW w:w="9047" w:type="dxa"/>
        <w:tblInd w:w="-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104"/>
        <w:gridCol w:w="2392"/>
        <w:gridCol w:w="2551"/>
      </w:tblGrid>
      <w:tr w:rsidR="001D5B08" w:rsidRPr="00C031AF" w14:paraId="32DD98B1" w14:textId="77777777" w:rsidTr="00A839F8">
        <w:trPr>
          <w:trHeight w:val="315"/>
        </w:trPr>
        <w:tc>
          <w:tcPr>
            <w:tcW w:w="4104" w:type="dxa"/>
            <w:shd w:val="clear" w:color="auto" w:fill="auto"/>
            <w:noWrap/>
            <w:tcMar>
              <w:top w:w="0" w:type="dxa"/>
              <w:left w:w="108" w:type="dxa"/>
              <w:bottom w:w="0" w:type="dxa"/>
              <w:right w:w="108" w:type="dxa"/>
            </w:tcMar>
            <w:vAlign w:val="center"/>
          </w:tcPr>
          <w:p w14:paraId="43A948B3" w14:textId="77777777" w:rsidR="001D5B08" w:rsidRPr="00C031AF" w:rsidRDefault="001D5B08" w:rsidP="00946538">
            <w:pPr>
              <w:jc w:val="left"/>
              <w:rPr>
                <w:color w:val="000000"/>
                <w:sz w:val="18"/>
                <w:szCs w:val="18"/>
                <w:lang w:val="fr-FR"/>
              </w:rPr>
            </w:pPr>
            <w:r w:rsidRPr="00C031AF">
              <w:rPr>
                <w:color w:val="000000"/>
                <w:sz w:val="18"/>
                <w:szCs w:val="18"/>
                <w:lang w:val="fr-FR"/>
              </w:rPr>
              <w:t>Nombre total pour les deux sessions (matin/après-midi)</w:t>
            </w:r>
          </w:p>
        </w:tc>
        <w:tc>
          <w:tcPr>
            <w:tcW w:w="2392" w:type="dxa"/>
            <w:shd w:val="clear" w:color="auto" w:fill="auto"/>
            <w:noWrap/>
            <w:tcMar>
              <w:top w:w="0" w:type="dxa"/>
              <w:left w:w="108" w:type="dxa"/>
              <w:bottom w:w="0" w:type="dxa"/>
              <w:right w:w="108" w:type="dxa"/>
            </w:tcMar>
            <w:vAlign w:val="center"/>
          </w:tcPr>
          <w:p w14:paraId="5056CE59" w14:textId="741BEC54" w:rsidR="001D5B08" w:rsidRPr="00C031AF" w:rsidRDefault="001D5B08" w:rsidP="00946538">
            <w:pPr>
              <w:jc w:val="center"/>
              <w:rPr>
                <w:color w:val="000000"/>
                <w:sz w:val="18"/>
                <w:szCs w:val="18"/>
                <w:lang w:val="fr-FR"/>
              </w:rPr>
            </w:pPr>
            <w:r w:rsidRPr="00C031AF">
              <w:rPr>
                <w:rFonts w:cs="Arial"/>
                <w:color w:val="000000" w:themeColor="text1"/>
                <w:sz w:val="18"/>
                <w:szCs w:val="18"/>
                <w:lang w:val="fr-FR"/>
              </w:rPr>
              <w:t>Rédaction des principes directeurs d'examen</w:t>
            </w:r>
          </w:p>
        </w:tc>
        <w:tc>
          <w:tcPr>
            <w:tcW w:w="2551" w:type="dxa"/>
            <w:vAlign w:val="center"/>
          </w:tcPr>
          <w:p w14:paraId="2D370593" w14:textId="7FEE3C55" w:rsidR="001D5B08" w:rsidRPr="00C031AF" w:rsidRDefault="001D5B08" w:rsidP="00946538">
            <w:pPr>
              <w:jc w:val="center"/>
              <w:rPr>
                <w:color w:val="000000"/>
                <w:sz w:val="18"/>
                <w:szCs w:val="18"/>
                <w:lang w:val="fr-FR"/>
              </w:rPr>
            </w:pPr>
            <w:r w:rsidRPr="00C031AF">
              <w:rPr>
                <w:rFonts w:cs="Arial"/>
                <w:color w:val="000000" w:themeColor="text1"/>
                <w:sz w:val="18"/>
                <w:szCs w:val="18"/>
                <w:lang w:val="fr-FR"/>
              </w:rPr>
              <w:t>Caractéristiques utilisées dans les principes directeurs d'examen</w:t>
            </w:r>
          </w:p>
        </w:tc>
      </w:tr>
      <w:tr w:rsidR="001D5B08" w:rsidRPr="00C031AF" w14:paraId="3C8AE47D" w14:textId="77777777" w:rsidTr="00A839F8">
        <w:trPr>
          <w:trHeight w:val="773"/>
        </w:trPr>
        <w:tc>
          <w:tcPr>
            <w:tcW w:w="4104" w:type="dxa"/>
            <w:shd w:val="clear" w:color="auto" w:fill="auto"/>
            <w:noWrap/>
            <w:tcMar>
              <w:top w:w="0" w:type="dxa"/>
              <w:left w:w="108" w:type="dxa"/>
              <w:bottom w:w="0" w:type="dxa"/>
              <w:right w:w="108" w:type="dxa"/>
            </w:tcMar>
            <w:vAlign w:val="center"/>
            <w:hideMark/>
          </w:tcPr>
          <w:p w14:paraId="7A37924B" w14:textId="175E0A3C" w:rsidR="001D5B08" w:rsidRPr="00C031AF" w:rsidRDefault="001D5B08" w:rsidP="00946538">
            <w:pPr>
              <w:jc w:val="left"/>
              <w:rPr>
                <w:rFonts w:ascii="Calibri" w:hAnsi="Calibri" w:cs="Calibri"/>
                <w:color w:val="000000"/>
                <w:sz w:val="18"/>
                <w:szCs w:val="18"/>
                <w:lang w:val="fr-FR"/>
              </w:rPr>
            </w:pPr>
            <w:r w:rsidRPr="00C031AF">
              <w:rPr>
                <w:color w:val="000000"/>
                <w:sz w:val="18"/>
                <w:szCs w:val="18"/>
                <w:lang w:val="fr-FR"/>
              </w:rPr>
              <w:t xml:space="preserve">Nombre total de participants </w:t>
            </w:r>
            <w:r w:rsidR="00A839F8" w:rsidRPr="00C031AF">
              <w:rPr>
                <w:color w:val="000000"/>
                <w:sz w:val="18"/>
                <w:szCs w:val="18"/>
                <w:lang w:val="fr-FR"/>
              </w:rPr>
              <w:t>pendant la session en direct</w:t>
            </w:r>
          </w:p>
        </w:tc>
        <w:tc>
          <w:tcPr>
            <w:tcW w:w="2392" w:type="dxa"/>
            <w:shd w:val="clear" w:color="auto" w:fill="auto"/>
            <w:noWrap/>
            <w:tcMar>
              <w:top w:w="0" w:type="dxa"/>
              <w:left w:w="108" w:type="dxa"/>
              <w:bottom w:w="0" w:type="dxa"/>
              <w:right w:w="108" w:type="dxa"/>
            </w:tcMar>
            <w:vAlign w:val="center"/>
          </w:tcPr>
          <w:p w14:paraId="40F438D6" w14:textId="1FF3B904" w:rsidR="001D5B08" w:rsidRPr="00C031AF" w:rsidRDefault="00503E63" w:rsidP="00946538">
            <w:pPr>
              <w:jc w:val="center"/>
              <w:rPr>
                <w:color w:val="000000"/>
                <w:sz w:val="18"/>
                <w:szCs w:val="18"/>
                <w:lang w:val="fr-FR"/>
              </w:rPr>
            </w:pPr>
            <w:r w:rsidRPr="00C031AF">
              <w:rPr>
                <w:color w:val="000000"/>
                <w:sz w:val="18"/>
                <w:szCs w:val="18"/>
                <w:lang w:val="fr-FR"/>
              </w:rPr>
              <w:t>158</w:t>
            </w:r>
          </w:p>
        </w:tc>
        <w:tc>
          <w:tcPr>
            <w:tcW w:w="2551" w:type="dxa"/>
            <w:vAlign w:val="center"/>
          </w:tcPr>
          <w:p w14:paraId="743551AA" w14:textId="0352D41C" w:rsidR="001D5B08" w:rsidRPr="00C031AF" w:rsidRDefault="00503E63" w:rsidP="00946538">
            <w:pPr>
              <w:jc w:val="center"/>
              <w:rPr>
                <w:color w:val="000000"/>
                <w:sz w:val="18"/>
                <w:szCs w:val="18"/>
                <w:lang w:val="fr-FR"/>
              </w:rPr>
            </w:pPr>
            <w:r w:rsidRPr="00C031AF">
              <w:rPr>
                <w:color w:val="000000"/>
                <w:sz w:val="18"/>
                <w:szCs w:val="18"/>
                <w:lang w:val="fr-FR"/>
              </w:rPr>
              <w:t>141</w:t>
            </w:r>
          </w:p>
        </w:tc>
      </w:tr>
    </w:tbl>
    <w:p w14:paraId="719B398D" w14:textId="77777777" w:rsidR="001D5B08" w:rsidRPr="00C031AF" w:rsidRDefault="001D5B08" w:rsidP="001D5B08">
      <w:pPr>
        <w:rPr>
          <w:color w:val="000000"/>
          <w:sz w:val="18"/>
          <w:lang w:val="fr-FR"/>
        </w:rPr>
      </w:pPr>
    </w:p>
    <w:p w14:paraId="2EFD9F71" w14:textId="46F4C5E9" w:rsidR="00A705A5" w:rsidRPr="00C031AF" w:rsidRDefault="00A705A5" w:rsidP="00A705A5">
      <w:pPr>
        <w:rPr>
          <w:rFonts w:cs="Arial"/>
          <w:lang w:val="fr-FR"/>
        </w:rPr>
      </w:pPr>
      <w:r w:rsidRPr="00C031AF">
        <w:rPr>
          <w:rFonts w:cs="Arial"/>
          <w:lang w:val="fr-FR"/>
        </w:rPr>
        <w:fldChar w:fldCharType="begin"/>
      </w:r>
      <w:r w:rsidRPr="00C031AF">
        <w:rPr>
          <w:rFonts w:cs="Arial"/>
          <w:lang w:val="fr-FR"/>
        </w:rPr>
        <w:instrText xml:space="preserve"> AUTONUM  </w:instrText>
      </w:r>
      <w:r w:rsidRPr="00C031AF">
        <w:rPr>
          <w:rFonts w:cs="Arial"/>
          <w:lang w:val="fr-FR"/>
        </w:rPr>
        <w:fldChar w:fldCharType="end"/>
      </w:r>
      <w:r w:rsidRPr="00C031AF">
        <w:rPr>
          <w:rFonts w:cs="Arial"/>
          <w:lang w:val="fr-FR"/>
        </w:rPr>
        <w:tab/>
        <w:t>Les enregistrements vidéo des webinaires, à l'exception des sessions de discussion, ont été mis à disposition sur la page web de l'UPOV consacrée au TC et à chaque session du TWP en</w:t>
      </w:r>
      <w:r w:rsidR="00A839F8" w:rsidRPr="00C031AF">
        <w:rPr>
          <w:rFonts w:cs="Arial"/>
          <w:lang w:val="fr-FR"/>
        </w:rPr>
        <w:t xml:space="preserve"> 2025</w:t>
      </w:r>
      <w:r w:rsidRPr="00C031AF">
        <w:rPr>
          <w:rFonts w:cs="Arial"/>
          <w:lang w:val="fr-FR"/>
        </w:rPr>
        <w:t xml:space="preserve">, ainsi que sur la chaîne YouTube de l'UPOV. La chaîne YouTube de l'UPOV offre la possibilité de regarder les vidéos avec des sous-titres et des transcriptions générés automatiquement dans différentes langues.  </w:t>
      </w:r>
    </w:p>
    <w:p w14:paraId="52DA8D50" w14:textId="77777777" w:rsidR="00A705A5" w:rsidRPr="00C031AF" w:rsidRDefault="00A705A5" w:rsidP="00A705A5">
      <w:pPr>
        <w:rPr>
          <w:rFonts w:cs="Arial"/>
          <w:lang w:val="fr-FR"/>
        </w:rPr>
      </w:pPr>
    </w:p>
    <w:bookmarkStart w:id="6" w:name="_Hlk170920689"/>
    <w:p w14:paraId="256C190B" w14:textId="2D160731" w:rsidR="00A705A5" w:rsidRPr="00C031AF" w:rsidRDefault="00A705A5" w:rsidP="00A705A5">
      <w:pPr>
        <w:keepNext/>
        <w:rPr>
          <w:rFonts w:cs="Arial"/>
          <w:lang w:val="fr-FR"/>
        </w:rPr>
      </w:pPr>
      <w:r w:rsidRPr="00C031AF">
        <w:rPr>
          <w:rFonts w:cs="Arial"/>
          <w:lang w:val="fr-FR"/>
        </w:rPr>
        <w:lastRenderedPageBreak/>
        <w:fldChar w:fldCharType="begin"/>
      </w:r>
      <w:r w:rsidRPr="00C031AF">
        <w:rPr>
          <w:rFonts w:cs="Arial"/>
          <w:lang w:val="fr-FR"/>
        </w:rPr>
        <w:instrText xml:space="preserve"> AUTONUM  </w:instrText>
      </w:r>
      <w:r w:rsidRPr="00C031AF">
        <w:rPr>
          <w:rFonts w:cs="Arial"/>
          <w:lang w:val="fr-FR"/>
        </w:rPr>
        <w:fldChar w:fldCharType="end"/>
      </w:r>
      <w:r w:rsidRPr="00C031AF">
        <w:rPr>
          <w:rFonts w:cs="Arial"/>
          <w:lang w:val="fr-FR"/>
        </w:rPr>
        <w:tab/>
        <w:t xml:space="preserve">Le nombre </w:t>
      </w:r>
      <w:r w:rsidR="00366853" w:rsidRPr="00C031AF">
        <w:rPr>
          <w:rFonts w:cs="Arial"/>
          <w:lang w:val="fr-FR"/>
        </w:rPr>
        <w:t>cumulé</w:t>
      </w:r>
      <w:r w:rsidRPr="00C031AF">
        <w:rPr>
          <w:rFonts w:cs="Arial"/>
          <w:lang w:val="fr-FR"/>
        </w:rPr>
        <w:t xml:space="preserve"> de vues </w:t>
      </w:r>
      <w:r w:rsidR="00241187" w:rsidRPr="00C031AF">
        <w:rPr>
          <w:rFonts w:cs="Arial"/>
          <w:lang w:val="fr-FR"/>
        </w:rPr>
        <w:t xml:space="preserve">des vidéos des webinaires </w:t>
      </w:r>
      <w:r w:rsidRPr="00C031AF">
        <w:rPr>
          <w:rFonts w:cs="Arial"/>
          <w:lang w:val="fr-FR"/>
        </w:rPr>
        <w:t xml:space="preserve">enregistrées </w:t>
      </w:r>
      <w:r w:rsidR="00241187" w:rsidRPr="00C031AF">
        <w:rPr>
          <w:rFonts w:cs="Arial"/>
          <w:lang w:val="fr-FR"/>
        </w:rPr>
        <w:t xml:space="preserve">jusqu'à </w:t>
      </w:r>
      <w:r w:rsidR="006616F5" w:rsidRPr="00C031AF">
        <w:rPr>
          <w:rFonts w:cs="Arial"/>
          <w:lang w:val="fr-FR"/>
        </w:rPr>
        <w:t xml:space="preserve">la publication du présent document </w:t>
      </w:r>
      <w:r w:rsidRPr="00C031AF">
        <w:rPr>
          <w:rFonts w:cs="Arial"/>
          <w:lang w:val="fr-FR"/>
        </w:rPr>
        <w:t>était le suivant :</w:t>
      </w:r>
    </w:p>
    <w:p w14:paraId="7F793BD9" w14:textId="77777777" w:rsidR="00A705A5" w:rsidRPr="00C031AF" w:rsidRDefault="00A705A5" w:rsidP="00A705A5">
      <w:pPr>
        <w:keepNext/>
        <w:rPr>
          <w:rFonts w:cs="Arial"/>
          <w:lang w:val="fr-FR"/>
        </w:rPr>
      </w:pPr>
    </w:p>
    <w:tbl>
      <w:tblPr>
        <w:tblW w:w="9629"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400"/>
        <w:gridCol w:w="3544"/>
        <w:gridCol w:w="3685"/>
      </w:tblGrid>
      <w:tr w:rsidR="006616F5" w:rsidRPr="00C031AF" w14:paraId="56437BDB" w14:textId="348A4960" w:rsidTr="006616F5">
        <w:tc>
          <w:tcPr>
            <w:tcW w:w="24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E9E5931" w14:textId="29621464" w:rsidR="006616F5" w:rsidRPr="00C031AF" w:rsidRDefault="006616F5" w:rsidP="00B83BAC">
            <w:pPr>
              <w:keepNext/>
              <w:jc w:val="center"/>
              <w:rPr>
                <w:rFonts w:cs="Arial"/>
                <w:lang w:val="fr-FR"/>
              </w:rPr>
            </w:pPr>
            <w:r w:rsidRPr="00C031AF">
              <w:rPr>
                <w:rFonts w:cs="Arial"/>
                <w:lang w:val="fr-FR"/>
              </w:rPr>
              <w:t>Année</w:t>
            </w:r>
          </w:p>
        </w:tc>
        <w:tc>
          <w:tcPr>
            <w:tcW w:w="3544" w:type="dxa"/>
            <w:tcBorders>
              <w:top w:val="single" w:sz="8" w:space="0" w:color="A3A3A3"/>
              <w:left w:val="single" w:sz="8" w:space="0" w:color="A3A3A3"/>
              <w:bottom w:val="single" w:sz="8" w:space="0" w:color="A3A3A3"/>
              <w:right w:val="single" w:sz="8" w:space="0" w:color="A3A3A3"/>
            </w:tcBorders>
          </w:tcPr>
          <w:p w14:paraId="40BA0DFC" w14:textId="27E8B0A7" w:rsidR="006616F5" w:rsidRPr="00C031AF" w:rsidRDefault="006616F5" w:rsidP="006616F5">
            <w:pPr>
              <w:keepNext/>
              <w:jc w:val="center"/>
              <w:rPr>
                <w:rFonts w:cs="Arial"/>
                <w:highlight w:val="green"/>
                <w:lang w:val="fr-FR"/>
              </w:rPr>
            </w:pPr>
            <w:r w:rsidRPr="00C031AF">
              <w:rPr>
                <w:rFonts w:cs="Arial"/>
                <w:lang w:val="fr-FR"/>
              </w:rPr>
              <w:t>Pages vues</w:t>
            </w:r>
          </w:p>
        </w:tc>
        <w:tc>
          <w:tcPr>
            <w:tcW w:w="3685" w:type="dxa"/>
            <w:tcBorders>
              <w:top w:val="single" w:sz="8" w:space="0" w:color="A3A3A3"/>
              <w:left w:val="single" w:sz="8" w:space="0" w:color="A3A3A3"/>
              <w:bottom w:val="single" w:sz="8" w:space="0" w:color="A3A3A3"/>
              <w:right w:val="single" w:sz="8" w:space="0" w:color="A3A3A3"/>
            </w:tcBorders>
          </w:tcPr>
          <w:p w14:paraId="3FDB95D5" w14:textId="5AB33442" w:rsidR="006616F5" w:rsidRPr="00C031AF" w:rsidRDefault="006616F5" w:rsidP="006616F5">
            <w:pPr>
              <w:keepNext/>
              <w:jc w:val="center"/>
              <w:rPr>
                <w:rFonts w:cs="Arial"/>
                <w:lang w:val="fr-FR"/>
              </w:rPr>
            </w:pPr>
            <w:r w:rsidRPr="00C031AF">
              <w:rPr>
                <w:rFonts w:cs="Arial"/>
                <w:lang w:val="fr-FR"/>
              </w:rPr>
              <w:t>Visiteurs uniques</w:t>
            </w:r>
          </w:p>
        </w:tc>
      </w:tr>
      <w:tr w:rsidR="006616F5" w:rsidRPr="00C031AF" w14:paraId="10F60CE0" w14:textId="4F984DB4" w:rsidTr="006616F5">
        <w:tc>
          <w:tcPr>
            <w:tcW w:w="24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5F375F8" w14:textId="60817B55" w:rsidR="006616F5" w:rsidRPr="00C031AF" w:rsidRDefault="006616F5" w:rsidP="00B83BAC">
            <w:pPr>
              <w:keepNext/>
              <w:jc w:val="center"/>
              <w:rPr>
                <w:rFonts w:cs="Arial"/>
                <w:lang w:val="fr-FR"/>
              </w:rPr>
            </w:pPr>
            <w:r w:rsidRPr="00C031AF">
              <w:rPr>
                <w:rFonts w:cs="Arial"/>
                <w:lang w:val="fr-FR"/>
              </w:rPr>
              <w:t>2024</w:t>
            </w:r>
          </w:p>
        </w:tc>
        <w:tc>
          <w:tcPr>
            <w:tcW w:w="3544" w:type="dxa"/>
            <w:tcBorders>
              <w:top w:val="single" w:sz="8" w:space="0" w:color="A3A3A3"/>
              <w:left w:val="single" w:sz="8" w:space="0" w:color="A3A3A3"/>
              <w:bottom w:val="single" w:sz="8" w:space="0" w:color="A3A3A3"/>
              <w:right w:val="single" w:sz="8" w:space="0" w:color="A3A3A3"/>
            </w:tcBorders>
          </w:tcPr>
          <w:p w14:paraId="62C16B62" w14:textId="63916AE9" w:rsidR="006616F5" w:rsidRPr="00C031AF" w:rsidRDefault="006616F5" w:rsidP="00B83BAC">
            <w:pPr>
              <w:keepNext/>
              <w:jc w:val="center"/>
              <w:rPr>
                <w:rFonts w:cs="Arial"/>
                <w:highlight w:val="green"/>
                <w:lang w:val="fr-FR"/>
              </w:rPr>
            </w:pPr>
            <w:r w:rsidRPr="00C031AF">
              <w:rPr>
                <w:rFonts w:cs="Arial"/>
                <w:lang w:val="fr-FR"/>
              </w:rPr>
              <w:t>502</w:t>
            </w:r>
          </w:p>
        </w:tc>
        <w:tc>
          <w:tcPr>
            <w:tcW w:w="3685" w:type="dxa"/>
            <w:tcBorders>
              <w:top w:val="single" w:sz="8" w:space="0" w:color="A3A3A3"/>
              <w:left w:val="single" w:sz="8" w:space="0" w:color="A3A3A3"/>
              <w:bottom w:val="single" w:sz="8" w:space="0" w:color="A3A3A3"/>
              <w:right w:val="single" w:sz="8" w:space="0" w:color="A3A3A3"/>
            </w:tcBorders>
          </w:tcPr>
          <w:p w14:paraId="0B280235" w14:textId="2ED65ED0" w:rsidR="006616F5" w:rsidRPr="00C031AF" w:rsidRDefault="006616F5" w:rsidP="00B83BAC">
            <w:pPr>
              <w:keepNext/>
              <w:jc w:val="center"/>
              <w:rPr>
                <w:rFonts w:cs="Arial"/>
                <w:lang w:val="fr-FR"/>
              </w:rPr>
            </w:pPr>
            <w:r w:rsidRPr="00C031AF">
              <w:rPr>
                <w:rFonts w:cs="Arial"/>
                <w:lang w:val="fr-FR"/>
              </w:rPr>
              <w:t>225</w:t>
            </w:r>
          </w:p>
        </w:tc>
      </w:tr>
      <w:tr w:rsidR="006616F5" w:rsidRPr="00C031AF" w14:paraId="08FB5076" w14:textId="77777777" w:rsidTr="006616F5">
        <w:tc>
          <w:tcPr>
            <w:tcW w:w="24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283B318" w14:textId="77777777" w:rsidR="006616F5" w:rsidRPr="00C031AF" w:rsidRDefault="006616F5" w:rsidP="00B83BAC">
            <w:pPr>
              <w:keepNext/>
              <w:jc w:val="center"/>
              <w:rPr>
                <w:rFonts w:cs="Arial"/>
                <w:lang w:val="fr-FR"/>
              </w:rPr>
            </w:pPr>
            <w:r w:rsidRPr="00C031AF">
              <w:rPr>
                <w:rFonts w:cs="Arial"/>
                <w:lang w:val="fr-FR"/>
              </w:rPr>
              <w:t xml:space="preserve">2025 </w:t>
            </w:r>
          </w:p>
          <w:p w14:paraId="4A138CF3" w14:textId="623DA8DB" w:rsidR="006616F5" w:rsidRPr="00C031AF" w:rsidRDefault="006616F5" w:rsidP="00B83BAC">
            <w:pPr>
              <w:keepNext/>
              <w:jc w:val="center"/>
              <w:rPr>
                <w:rFonts w:cs="Arial"/>
                <w:lang w:val="fr-FR"/>
              </w:rPr>
            </w:pPr>
            <w:r w:rsidRPr="00C031AF">
              <w:rPr>
                <w:rFonts w:cs="Arial"/>
                <w:sz w:val="18"/>
                <w:szCs w:val="18"/>
                <w:lang w:val="fr-FR"/>
              </w:rPr>
              <w:t>(données partielles)</w:t>
            </w:r>
          </w:p>
        </w:tc>
        <w:tc>
          <w:tcPr>
            <w:tcW w:w="3544" w:type="dxa"/>
            <w:tcBorders>
              <w:top w:val="single" w:sz="8" w:space="0" w:color="A3A3A3"/>
              <w:left w:val="single" w:sz="8" w:space="0" w:color="A3A3A3"/>
              <w:bottom w:val="single" w:sz="8" w:space="0" w:color="A3A3A3"/>
              <w:right w:val="single" w:sz="8" w:space="0" w:color="A3A3A3"/>
            </w:tcBorders>
          </w:tcPr>
          <w:p w14:paraId="6B131BEB" w14:textId="44618491" w:rsidR="006616F5" w:rsidRPr="00C031AF" w:rsidRDefault="006616F5" w:rsidP="00B83BAC">
            <w:pPr>
              <w:keepNext/>
              <w:jc w:val="center"/>
              <w:rPr>
                <w:rFonts w:cs="Arial"/>
                <w:lang w:val="fr-FR"/>
              </w:rPr>
            </w:pPr>
            <w:r w:rsidRPr="00C031AF">
              <w:rPr>
                <w:rFonts w:cs="Arial"/>
                <w:lang w:val="fr-FR"/>
              </w:rPr>
              <w:t>1 076</w:t>
            </w:r>
          </w:p>
        </w:tc>
        <w:tc>
          <w:tcPr>
            <w:tcW w:w="3685" w:type="dxa"/>
            <w:tcBorders>
              <w:top w:val="single" w:sz="8" w:space="0" w:color="A3A3A3"/>
              <w:left w:val="single" w:sz="8" w:space="0" w:color="A3A3A3"/>
              <w:bottom w:val="single" w:sz="8" w:space="0" w:color="A3A3A3"/>
              <w:right w:val="single" w:sz="8" w:space="0" w:color="A3A3A3"/>
            </w:tcBorders>
          </w:tcPr>
          <w:p w14:paraId="7389C0B3" w14:textId="7344158D" w:rsidR="006616F5" w:rsidRPr="00C031AF" w:rsidRDefault="006616F5" w:rsidP="00B83BAC">
            <w:pPr>
              <w:keepNext/>
              <w:jc w:val="center"/>
              <w:rPr>
                <w:rFonts w:cs="Arial"/>
                <w:lang w:val="fr-FR"/>
              </w:rPr>
            </w:pPr>
            <w:r w:rsidRPr="00C031AF">
              <w:rPr>
                <w:rFonts w:cs="Arial"/>
                <w:lang w:val="fr-FR"/>
              </w:rPr>
              <w:t>449</w:t>
            </w:r>
          </w:p>
        </w:tc>
      </w:tr>
    </w:tbl>
    <w:p w14:paraId="6996A273" w14:textId="77777777" w:rsidR="008110A8" w:rsidRPr="00C031AF" w:rsidRDefault="008110A8" w:rsidP="006616F5">
      <w:pPr>
        <w:rPr>
          <w:lang w:val="fr-FR"/>
        </w:rPr>
      </w:pPr>
    </w:p>
    <w:bookmarkEnd w:id="6"/>
    <w:p w14:paraId="3CB6213A" w14:textId="77777777" w:rsidR="00A705A5" w:rsidRPr="00C031AF" w:rsidRDefault="00A705A5" w:rsidP="00A705A5">
      <w:pPr>
        <w:rPr>
          <w:lang w:val="fr-FR"/>
        </w:rPr>
      </w:pPr>
    </w:p>
    <w:p w14:paraId="6B9D55D5" w14:textId="7AAF81CC" w:rsidR="00E878CB" w:rsidRPr="00C031AF" w:rsidRDefault="00E878CB" w:rsidP="00E878CB">
      <w:pPr>
        <w:keepNext/>
        <w:keepLines/>
        <w:outlineLvl w:val="0"/>
        <w:rPr>
          <w:i/>
          <w:caps/>
          <w:lang w:val="fr-FR"/>
        </w:rPr>
      </w:pPr>
      <w:bookmarkStart w:id="7" w:name="_Toc524688363"/>
      <w:bookmarkStart w:id="8" w:name="_Toc177746472"/>
      <w:r w:rsidRPr="00C031AF">
        <w:rPr>
          <w:caps/>
          <w:lang w:val="fr-FR"/>
        </w:rPr>
        <w:t>Programme et format des travaux préparatoires en 20</w:t>
      </w:r>
      <w:bookmarkEnd w:id="7"/>
      <w:r w:rsidRPr="00C031AF">
        <w:rPr>
          <w:caps/>
          <w:lang w:val="fr-FR"/>
        </w:rPr>
        <w:t>2</w:t>
      </w:r>
      <w:bookmarkEnd w:id="8"/>
      <w:r w:rsidRPr="00C031AF">
        <w:rPr>
          <w:caps/>
          <w:lang w:val="fr-FR"/>
        </w:rPr>
        <w:t>6</w:t>
      </w:r>
    </w:p>
    <w:p w14:paraId="38BECF64" w14:textId="77777777" w:rsidR="00E878CB" w:rsidRPr="00C031AF" w:rsidRDefault="00E878CB" w:rsidP="00E878CB">
      <w:pPr>
        <w:keepNext/>
        <w:keepLines/>
        <w:rPr>
          <w:snapToGrid w:val="0"/>
          <w:lang w:val="fr-FR"/>
        </w:rPr>
      </w:pPr>
    </w:p>
    <w:p w14:paraId="0B26F829" w14:textId="77777777" w:rsidR="00E878CB" w:rsidRPr="00C031AF" w:rsidRDefault="00E878CB" w:rsidP="00E878CB">
      <w:pPr>
        <w:keepNext/>
        <w:snapToGrid w:val="0"/>
        <w:outlineLvl w:val="1"/>
        <w:rPr>
          <w:u w:val="single"/>
          <w:lang w:val="fr-FR"/>
        </w:rPr>
      </w:pPr>
      <w:bookmarkStart w:id="9" w:name="_Toc177745208"/>
      <w:bookmarkStart w:id="10" w:name="_Toc177746473"/>
      <w:r w:rsidRPr="00C031AF">
        <w:rPr>
          <w:u w:val="single"/>
          <w:lang w:val="fr-FR"/>
        </w:rPr>
        <w:t>Proposition :</w:t>
      </w:r>
      <w:bookmarkEnd w:id="9"/>
      <w:bookmarkEnd w:id="10"/>
    </w:p>
    <w:p w14:paraId="710B05A6" w14:textId="77777777" w:rsidR="00E878CB" w:rsidRPr="00C031AF" w:rsidRDefault="00E878CB" w:rsidP="00E878CB">
      <w:pPr>
        <w:keepNext/>
        <w:keepLines/>
        <w:rPr>
          <w:snapToGrid w:val="0"/>
          <w:lang w:val="fr-FR"/>
        </w:rPr>
      </w:pPr>
    </w:p>
    <w:p w14:paraId="4EE49974" w14:textId="1BAFB353" w:rsidR="00E878CB" w:rsidRPr="00C031AF" w:rsidRDefault="00E878CB" w:rsidP="00E878CB">
      <w:pPr>
        <w:keepNext/>
        <w:keepLines/>
        <w:rPr>
          <w:snapToGrid w:val="0"/>
          <w:lang w:val="fr-FR"/>
        </w:rPr>
      </w:pPr>
      <w:r w:rsidRPr="00C031AF">
        <w:rPr>
          <w:snapToGrid w:val="0"/>
          <w:lang w:val="fr-FR"/>
        </w:rPr>
        <w:fldChar w:fldCharType="begin"/>
      </w:r>
      <w:r w:rsidRPr="00C031AF">
        <w:rPr>
          <w:snapToGrid w:val="0"/>
          <w:lang w:val="fr-FR"/>
        </w:rPr>
        <w:instrText xml:space="preserve"> AUTONUM  </w:instrText>
      </w:r>
      <w:r w:rsidRPr="00C031AF">
        <w:rPr>
          <w:snapToGrid w:val="0"/>
          <w:lang w:val="fr-FR"/>
        </w:rPr>
        <w:fldChar w:fldCharType="end"/>
      </w:r>
      <w:r w:rsidRPr="00C031AF">
        <w:rPr>
          <w:snapToGrid w:val="0"/>
          <w:lang w:val="fr-FR"/>
        </w:rPr>
        <w:tab/>
        <w:t xml:space="preserve">Il est proposé d'organiser des webinaires techniques en 2026 à des dates appropriées, en fonction du calendrier des sessions du TWP.  Les présentations et les tables rondes des webinaires seraient enregistrées et mises à disposition en ligne.  La session de questions-réponses ne serait pas enregistrée ni mise à disposition en ligne. </w:t>
      </w:r>
    </w:p>
    <w:p w14:paraId="32DFE390" w14:textId="77777777" w:rsidR="00E878CB" w:rsidRPr="00C031AF" w:rsidRDefault="00E878CB" w:rsidP="00E878CB">
      <w:pPr>
        <w:rPr>
          <w:snapToGrid w:val="0"/>
          <w:lang w:val="fr-FR"/>
        </w:rPr>
      </w:pPr>
    </w:p>
    <w:p w14:paraId="5229DEC8" w14:textId="77777777" w:rsidR="00E878CB" w:rsidRPr="00C031AF" w:rsidRDefault="00E878CB" w:rsidP="00E878CB">
      <w:pPr>
        <w:rPr>
          <w:snapToGrid w:val="0"/>
          <w:lang w:val="fr-FR"/>
        </w:rPr>
      </w:pPr>
      <w:r w:rsidRPr="00C031AF">
        <w:rPr>
          <w:snapToGrid w:val="0"/>
          <w:lang w:val="fr-FR"/>
        </w:rPr>
        <w:fldChar w:fldCharType="begin"/>
      </w:r>
      <w:r w:rsidRPr="00C031AF">
        <w:rPr>
          <w:snapToGrid w:val="0"/>
          <w:lang w:val="fr-FR"/>
        </w:rPr>
        <w:instrText xml:space="preserve"> AUTONUM  </w:instrText>
      </w:r>
      <w:r w:rsidRPr="00C031AF">
        <w:rPr>
          <w:snapToGrid w:val="0"/>
          <w:lang w:val="fr-FR"/>
        </w:rPr>
        <w:fldChar w:fldCharType="end"/>
      </w:r>
      <w:r w:rsidRPr="00C031AF">
        <w:rPr>
          <w:snapToGrid w:val="0"/>
          <w:lang w:val="fr-FR"/>
        </w:rPr>
        <w:tab/>
        <w:t xml:space="preserve">Des experts des membres seraient invités à faire des présentations sur des contenus sélectionnés et à participer en tant que panélistes à la discussion.  </w:t>
      </w:r>
    </w:p>
    <w:p w14:paraId="2B5485D6" w14:textId="77777777" w:rsidR="00E878CB" w:rsidRPr="00C031AF" w:rsidRDefault="00E878CB" w:rsidP="00E878CB">
      <w:pPr>
        <w:rPr>
          <w:snapToGrid w:val="0"/>
          <w:lang w:val="fr-FR"/>
        </w:rPr>
      </w:pPr>
    </w:p>
    <w:p w14:paraId="649F1AC9" w14:textId="261EABDF" w:rsidR="00E878CB" w:rsidRPr="00C031AF" w:rsidRDefault="00E878CB" w:rsidP="00E878CB">
      <w:pPr>
        <w:rPr>
          <w:snapToGrid w:val="0"/>
          <w:lang w:val="fr-FR"/>
        </w:rPr>
      </w:pPr>
      <w:r w:rsidRPr="00C031AF">
        <w:rPr>
          <w:snapToGrid w:val="0"/>
          <w:lang w:val="fr-FR"/>
        </w:rPr>
        <w:fldChar w:fldCharType="begin"/>
      </w:r>
      <w:r w:rsidRPr="00C031AF">
        <w:rPr>
          <w:snapToGrid w:val="0"/>
          <w:lang w:val="fr-FR"/>
        </w:rPr>
        <w:instrText xml:space="preserve"> AUTONUM  </w:instrText>
      </w:r>
      <w:r w:rsidRPr="00C031AF">
        <w:rPr>
          <w:snapToGrid w:val="0"/>
          <w:lang w:val="fr-FR"/>
        </w:rPr>
        <w:fldChar w:fldCharType="end"/>
      </w:r>
      <w:r w:rsidRPr="00C031AF">
        <w:rPr>
          <w:snapToGrid w:val="0"/>
          <w:lang w:val="fr-FR"/>
        </w:rPr>
        <w:tab/>
        <w:t>Les modalités détaillées concernant les webinaires seraient finalisées par le Bureau de l'Union en coordination avec les présidents du TC et des TWP.</w:t>
      </w:r>
    </w:p>
    <w:p w14:paraId="46D38C20" w14:textId="77777777" w:rsidR="00E878CB" w:rsidRPr="00C031AF" w:rsidRDefault="00E878CB" w:rsidP="00E878CB">
      <w:pPr>
        <w:rPr>
          <w:rFonts w:cs="Arial"/>
          <w:lang w:val="fr-FR"/>
        </w:rPr>
      </w:pPr>
    </w:p>
    <w:p w14:paraId="3CB3922C" w14:textId="77777777" w:rsidR="00E878CB" w:rsidRPr="00C031AF" w:rsidRDefault="00E878CB" w:rsidP="00E878CB">
      <w:pPr>
        <w:rPr>
          <w:rFonts w:cs="Arial"/>
          <w:lang w:val="fr-FR"/>
        </w:rPr>
      </w:pPr>
      <w:r w:rsidRPr="00C031AF">
        <w:rPr>
          <w:lang w:val="fr-FR"/>
        </w:rPr>
        <w:fldChar w:fldCharType="begin"/>
      </w:r>
      <w:r w:rsidRPr="00C031AF">
        <w:rPr>
          <w:lang w:val="fr-FR"/>
        </w:rPr>
        <w:instrText xml:space="preserve"> AUTONUM  </w:instrText>
      </w:r>
      <w:r w:rsidRPr="00C031AF">
        <w:rPr>
          <w:lang w:val="fr-FR"/>
        </w:rPr>
        <w:fldChar w:fldCharType="end"/>
      </w:r>
      <w:r w:rsidRPr="00C031AF">
        <w:rPr>
          <w:lang w:val="fr-FR"/>
        </w:rPr>
        <w:tab/>
        <w:t xml:space="preserve">À </w:t>
      </w:r>
      <w:r w:rsidRPr="00C031AF">
        <w:rPr>
          <w:rFonts w:cs="Arial"/>
          <w:lang w:val="fr-FR"/>
        </w:rPr>
        <w:t>la demande des hôtes des TWP, des ateliers avec participation physique pourraient être organisés en marge des sessions des TWP. Dans ce cas, le contenu serait adapté au contexte particulier.</w:t>
      </w:r>
    </w:p>
    <w:p w14:paraId="4FFB8710" w14:textId="77777777" w:rsidR="00E878CB" w:rsidRPr="00C031AF" w:rsidRDefault="00E878CB" w:rsidP="00E878CB">
      <w:pPr>
        <w:rPr>
          <w:rFonts w:eastAsia="Calibri" w:cs="Arial"/>
          <w:lang w:val="fr-FR"/>
        </w:rPr>
      </w:pPr>
    </w:p>
    <w:p w14:paraId="7F794BEC" w14:textId="3122C22F" w:rsidR="00E878CB" w:rsidRPr="00C031AF" w:rsidRDefault="00E878CB" w:rsidP="00E878CB">
      <w:pPr>
        <w:pStyle w:val="DecisionParagraphs"/>
        <w:rPr>
          <w:rFonts w:cs="Arial"/>
          <w:lang w:val="fr-FR"/>
        </w:rPr>
      </w:pPr>
      <w:r w:rsidRPr="00C031AF">
        <w:rPr>
          <w:rFonts w:cs="Arial"/>
          <w:lang w:val="fr-FR"/>
        </w:rPr>
        <w:fldChar w:fldCharType="begin"/>
      </w:r>
      <w:r w:rsidRPr="00C031AF">
        <w:rPr>
          <w:rFonts w:cs="Arial"/>
          <w:lang w:val="fr-FR"/>
        </w:rPr>
        <w:instrText xml:space="preserve"> AUTONUM  </w:instrText>
      </w:r>
      <w:r w:rsidRPr="00C031AF">
        <w:rPr>
          <w:rFonts w:cs="Arial"/>
          <w:lang w:val="fr-FR"/>
        </w:rPr>
        <w:fldChar w:fldCharType="end"/>
      </w:r>
      <w:r w:rsidRPr="00C031AF">
        <w:rPr>
          <w:rFonts w:cs="Arial"/>
          <w:lang w:val="fr-FR"/>
        </w:rPr>
        <w:tab/>
        <w:t xml:space="preserve">Le TC est invité à </w:t>
      </w:r>
      <w:r w:rsidRPr="00C031AF">
        <w:rPr>
          <w:snapToGrid w:val="0"/>
          <w:lang w:val="fr-FR"/>
        </w:rPr>
        <w:t>examiner l'opportunité d'organiser en 2026 des webinaires techniques, à des dates appropriées en fonction du calendrier des sessions du TWP, ainsi que des ateliers avec participation physique, lorsque cela est demandé, comme indiqué aux paragraphes 16 à 19 du présent document.</w:t>
      </w:r>
    </w:p>
    <w:p w14:paraId="40737D36" w14:textId="77777777" w:rsidR="00E878CB" w:rsidRPr="00C031AF" w:rsidRDefault="00E878CB" w:rsidP="00E878CB">
      <w:pPr>
        <w:rPr>
          <w:lang w:val="fr-FR"/>
        </w:rPr>
      </w:pPr>
    </w:p>
    <w:p w14:paraId="29975C42" w14:textId="77777777" w:rsidR="00E878CB" w:rsidRPr="00C031AF" w:rsidRDefault="00E878CB" w:rsidP="00E878CB">
      <w:pPr>
        <w:jc w:val="left"/>
        <w:rPr>
          <w:lang w:val="fr-FR"/>
        </w:rPr>
      </w:pPr>
    </w:p>
    <w:p w14:paraId="2EBB0913" w14:textId="77777777" w:rsidR="00E878CB" w:rsidRPr="00C031AF" w:rsidRDefault="00E878CB" w:rsidP="00E878CB">
      <w:pPr>
        <w:rPr>
          <w:lang w:val="fr-FR"/>
        </w:rPr>
      </w:pPr>
    </w:p>
    <w:p w14:paraId="5857E11D" w14:textId="2FAFD9A1" w:rsidR="00E878CB" w:rsidRPr="00C031AF" w:rsidRDefault="00E878CB" w:rsidP="00E878CB">
      <w:pPr>
        <w:jc w:val="right"/>
        <w:rPr>
          <w:lang w:val="fr-FR"/>
        </w:rPr>
      </w:pPr>
      <w:r w:rsidRPr="00C031AF">
        <w:rPr>
          <w:lang w:val="fr-FR"/>
        </w:rPr>
        <w:t xml:space="preserve"> [</w:t>
      </w:r>
      <w:r w:rsidR="006D61AC">
        <w:rPr>
          <w:lang w:val="fr-FR"/>
        </w:rPr>
        <w:t>L’a</w:t>
      </w:r>
      <w:r w:rsidRPr="00C031AF">
        <w:rPr>
          <w:lang w:val="fr-FR"/>
        </w:rPr>
        <w:t xml:space="preserve">nnexe </w:t>
      </w:r>
      <w:r w:rsidR="006D61AC">
        <w:rPr>
          <w:lang w:val="fr-FR"/>
        </w:rPr>
        <w:t>suit</w:t>
      </w:r>
      <w:r w:rsidRPr="00C031AF">
        <w:rPr>
          <w:lang w:val="fr-FR"/>
        </w:rPr>
        <w:t>]</w:t>
      </w:r>
    </w:p>
    <w:p w14:paraId="3B9BC6B9" w14:textId="77777777" w:rsidR="008863BB" w:rsidRPr="00C031AF" w:rsidRDefault="008863BB" w:rsidP="00E878CB">
      <w:pPr>
        <w:keepNext/>
        <w:keepLines/>
        <w:outlineLvl w:val="0"/>
        <w:rPr>
          <w:lang w:val="fr-FR"/>
        </w:rPr>
        <w:sectPr w:rsidR="008863BB" w:rsidRPr="00C031AF" w:rsidSect="0004198B">
          <w:headerReference w:type="default" r:id="rId10"/>
          <w:pgSz w:w="11907" w:h="16840" w:code="9"/>
          <w:pgMar w:top="510" w:right="1134" w:bottom="1134" w:left="1134" w:header="510" w:footer="680" w:gutter="0"/>
          <w:pgNumType w:start="1"/>
          <w:cols w:space="720"/>
          <w:titlePg/>
        </w:sectPr>
      </w:pPr>
    </w:p>
    <w:p w14:paraId="765F4ED7" w14:textId="509A6DA2" w:rsidR="00284985" w:rsidRPr="00C031AF" w:rsidRDefault="00284985" w:rsidP="00284985">
      <w:pPr>
        <w:jc w:val="center"/>
        <w:rPr>
          <w:lang w:val="fr-FR"/>
        </w:rPr>
      </w:pPr>
      <w:bookmarkStart w:id="11" w:name="_Toc141103600"/>
      <w:bookmarkStart w:id="12" w:name="_Toc177745209"/>
      <w:r w:rsidRPr="00C031AF">
        <w:rPr>
          <w:lang w:val="fr-FR"/>
        </w:rPr>
        <w:lastRenderedPageBreak/>
        <w:t xml:space="preserve">PROGRAMME DES WEBINAIRES TECHNIQUES </w:t>
      </w:r>
      <w:bookmarkEnd w:id="11"/>
      <w:bookmarkEnd w:id="12"/>
      <w:r w:rsidR="00983688">
        <w:rPr>
          <w:lang w:val="fr-FR"/>
        </w:rPr>
        <w:t>EN</w:t>
      </w:r>
      <w:r w:rsidRPr="00C031AF">
        <w:rPr>
          <w:lang w:val="fr-FR"/>
        </w:rPr>
        <w:t xml:space="preserve"> 2025</w:t>
      </w:r>
    </w:p>
    <w:p w14:paraId="416073C9" w14:textId="77777777" w:rsidR="00284985" w:rsidRPr="00C031AF" w:rsidRDefault="00284985" w:rsidP="00284985">
      <w:pPr>
        <w:jc w:val="center"/>
        <w:rPr>
          <w:lang w:val="fr-FR"/>
        </w:rPr>
      </w:pPr>
      <w:r w:rsidRPr="00C031AF">
        <w:rPr>
          <w:lang w:val="fr-FR"/>
        </w:rPr>
        <w:t>Chaque webinaire est organisé deux fois</w:t>
      </w:r>
      <w:bookmarkStart w:id="13" w:name="_Hlk159257437"/>
      <w:r w:rsidRPr="00C031AF">
        <w:rPr>
          <w:lang w:val="fr-FR"/>
        </w:rPr>
        <w:t xml:space="preserve"> (à 8 heures et à 15 heures, heure de Genève - CET)</w:t>
      </w:r>
    </w:p>
    <w:bookmarkEnd w:id="13"/>
    <w:p w14:paraId="2BD4365A" w14:textId="77777777" w:rsidR="002B7E9E" w:rsidRPr="00C031AF" w:rsidRDefault="002B7E9E" w:rsidP="002B7E9E">
      <w:pPr>
        <w:rPr>
          <w:lang w:val="fr-FR"/>
        </w:rPr>
      </w:pPr>
    </w:p>
    <w:p w14:paraId="40C58DD1" w14:textId="77777777" w:rsidR="00284985" w:rsidRPr="00C031AF" w:rsidRDefault="00284985" w:rsidP="002B7E9E">
      <w:pPr>
        <w:rPr>
          <w:lang w:val="fr-FR"/>
        </w:rPr>
      </w:pPr>
    </w:p>
    <w:p w14:paraId="0735EB66" w14:textId="45A4EAF3" w:rsidR="002B7E9E" w:rsidRPr="00C031AF" w:rsidRDefault="002B7E9E" w:rsidP="002B7E9E">
      <w:pPr>
        <w:pStyle w:val="Heading1"/>
        <w:rPr>
          <w:lang w:val="fr-FR"/>
        </w:rPr>
      </w:pPr>
      <w:r w:rsidRPr="00C031AF">
        <w:rPr>
          <w:lang w:val="fr-FR"/>
        </w:rPr>
        <w:t xml:space="preserve">Mardi 11 mars 2025 :  </w:t>
      </w:r>
      <w:r w:rsidRPr="00C031AF">
        <w:rPr>
          <w:b/>
          <w:lang w:val="fr-FR"/>
        </w:rPr>
        <w:t xml:space="preserve">Webinaire 1 </w:t>
      </w:r>
      <w:r w:rsidRPr="00C031AF">
        <w:rPr>
          <w:lang w:val="fr-FR"/>
        </w:rPr>
        <w:t>:  Rédaction des principes directeurs d'e</w:t>
      </w:r>
      <w:r w:rsidR="00983688">
        <w:rPr>
          <w:lang w:val="fr-FR"/>
        </w:rPr>
        <w:t>XAMEN</w:t>
      </w:r>
    </w:p>
    <w:p w14:paraId="3A944D38" w14:textId="77777777" w:rsidR="002B7E9E" w:rsidRPr="00C031AF" w:rsidRDefault="002B7E9E" w:rsidP="002B7E9E">
      <w:pPr>
        <w:rPr>
          <w:lang w:val="fr-FR"/>
        </w:rPr>
      </w:pPr>
    </w:p>
    <w:p w14:paraId="66633AC7" w14:textId="77777777" w:rsidR="002B7E9E" w:rsidRPr="00C031AF" w:rsidRDefault="002B7E9E" w:rsidP="002B7E9E">
      <w:pPr>
        <w:pStyle w:val="Heading2"/>
        <w:rPr>
          <w:lang w:val="fr-FR"/>
        </w:rPr>
      </w:pPr>
      <w:r w:rsidRPr="00C031AF">
        <w:rPr>
          <w:lang w:val="fr-FR"/>
        </w:rPr>
        <w:t>Partie I : Présentations</w:t>
      </w:r>
    </w:p>
    <w:p w14:paraId="07D2D18B" w14:textId="77777777" w:rsidR="002B7E9E" w:rsidRPr="00C031AF" w:rsidRDefault="002B7E9E" w:rsidP="002B7E9E">
      <w:pPr>
        <w:rPr>
          <w:lang w:val="fr-FR"/>
        </w:rPr>
      </w:pPr>
    </w:p>
    <w:p w14:paraId="3DBD6E87" w14:textId="77777777" w:rsidR="002B7E9E" w:rsidRPr="00C031AF" w:rsidRDefault="002B7E9E" w:rsidP="002B7E9E">
      <w:pPr>
        <w:numPr>
          <w:ilvl w:val="1"/>
          <w:numId w:val="3"/>
        </w:numPr>
        <w:ind w:left="1134"/>
        <w:rPr>
          <w:lang w:val="fr-FR"/>
        </w:rPr>
      </w:pPr>
      <w:r w:rsidRPr="00C031AF">
        <w:rPr>
          <w:lang w:val="fr-FR"/>
        </w:rPr>
        <w:t xml:space="preserve">Introduction à la rédaction des principes directeurs d'examen de l'UPOV </w:t>
      </w:r>
    </w:p>
    <w:p w14:paraId="27461141" w14:textId="77777777" w:rsidR="002B7E9E" w:rsidRPr="00C031AF" w:rsidRDefault="002B7E9E" w:rsidP="002B7E9E">
      <w:pPr>
        <w:ind w:left="1134"/>
        <w:rPr>
          <w:lang w:val="fr-FR"/>
        </w:rPr>
      </w:pPr>
      <w:r w:rsidRPr="00C031AF">
        <w:rPr>
          <w:lang w:val="fr-FR"/>
        </w:rPr>
        <w:t>Mme Romy Oertel - Bureau de l'Union</w:t>
      </w:r>
    </w:p>
    <w:p w14:paraId="4610A6C8" w14:textId="77777777" w:rsidR="002B7E9E" w:rsidRPr="00C031AF" w:rsidRDefault="002B7E9E" w:rsidP="002B7E9E">
      <w:pPr>
        <w:ind w:left="1134"/>
        <w:rPr>
          <w:lang w:val="fr-FR"/>
        </w:rPr>
      </w:pPr>
    </w:p>
    <w:p w14:paraId="07DB1B07" w14:textId="77777777" w:rsidR="002B7E9E" w:rsidRPr="00C031AF" w:rsidRDefault="002B7E9E" w:rsidP="002B7E9E">
      <w:pPr>
        <w:numPr>
          <w:ilvl w:val="1"/>
          <w:numId w:val="3"/>
        </w:numPr>
        <w:ind w:left="1134"/>
        <w:rPr>
          <w:lang w:val="fr-FR"/>
        </w:rPr>
      </w:pPr>
      <w:r w:rsidRPr="00C031AF">
        <w:rPr>
          <w:lang w:val="fr-FR"/>
        </w:rPr>
        <w:t xml:space="preserve">Rédaction de principes directeurs d'examen nationaux en l'absence de principes directeurs d'examen de l'UPOV </w:t>
      </w:r>
    </w:p>
    <w:p w14:paraId="7BA8A33F" w14:textId="77777777" w:rsidR="002B7E9E" w:rsidRPr="00C031AF" w:rsidRDefault="002B7E9E" w:rsidP="002B7E9E">
      <w:pPr>
        <w:ind w:left="1134"/>
        <w:rPr>
          <w:lang w:val="fr-FR"/>
        </w:rPr>
      </w:pPr>
      <w:r w:rsidRPr="00C031AF">
        <w:rPr>
          <w:lang w:val="fr-FR"/>
        </w:rPr>
        <w:t>Mme Hilary Papworth – Royaume-Uni</w:t>
      </w:r>
    </w:p>
    <w:p w14:paraId="0F8BA193" w14:textId="77777777" w:rsidR="002B7E9E" w:rsidRPr="00C031AF" w:rsidRDefault="002B7E9E" w:rsidP="002B7E9E">
      <w:pPr>
        <w:rPr>
          <w:lang w:val="fr-FR"/>
        </w:rPr>
      </w:pPr>
    </w:p>
    <w:p w14:paraId="7AC23747" w14:textId="77777777" w:rsidR="002B7E9E" w:rsidRPr="00C031AF" w:rsidRDefault="002B7E9E" w:rsidP="002B7E9E">
      <w:pPr>
        <w:rPr>
          <w:lang w:val="fr-FR"/>
        </w:rPr>
      </w:pPr>
    </w:p>
    <w:p w14:paraId="07CF8573" w14:textId="77777777" w:rsidR="002B7E9E" w:rsidRPr="00C031AF" w:rsidRDefault="002B7E9E" w:rsidP="002B7E9E">
      <w:pPr>
        <w:pStyle w:val="Heading2"/>
        <w:rPr>
          <w:u w:val="none"/>
          <w:lang w:val="fr-FR"/>
        </w:rPr>
      </w:pPr>
      <w:r w:rsidRPr="00C031AF">
        <w:rPr>
          <w:lang w:val="fr-FR"/>
        </w:rPr>
        <w:t>Partie II : Séance de questions-réponses</w:t>
      </w:r>
    </w:p>
    <w:p w14:paraId="3F3F3A8F" w14:textId="77777777" w:rsidR="002B7E9E" w:rsidRPr="00C031AF" w:rsidRDefault="002B7E9E" w:rsidP="002B7E9E">
      <w:pPr>
        <w:rPr>
          <w:lang w:val="fr-FR"/>
        </w:rPr>
      </w:pPr>
    </w:p>
    <w:p w14:paraId="77B6591C" w14:textId="77777777" w:rsidR="002B7E9E" w:rsidRPr="00C031AF" w:rsidRDefault="002B7E9E" w:rsidP="002B7E9E">
      <w:pPr>
        <w:rPr>
          <w:lang w:val="fr-FR"/>
        </w:rPr>
      </w:pPr>
    </w:p>
    <w:p w14:paraId="29858D38" w14:textId="77777777" w:rsidR="002B7E9E" w:rsidRPr="00C031AF" w:rsidRDefault="002B7E9E" w:rsidP="002B7E9E">
      <w:pPr>
        <w:rPr>
          <w:lang w:val="fr-FR"/>
        </w:rPr>
      </w:pPr>
    </w:p>
    <w:p w14:paraId="0387758A" w14:textId="77777777" w:rsidR="002B7E9E" w:rsidRPr="00C031AF" w:rsidRDefault="002B7E9E" w:rsidP="002B7E9E">
      <w:pPr>
        <w:rPr>
          <w:lang w:val="fr-FR"/>
        </w:rPr>
      </w:pPr>
    </w:p>
    <w:p w14:paraId="7EB4DA96" w14:textId="77777777" w:rsidR="002B7E9E" w:rsidRPr="00C031AF" w:rsidRDefault="002B7E9E" w:rsidP="002B7E9E">
      <w:pPr>
        <w:pStyle w:val="Heading1"/>
        <w:rPr>
          <w:lang w:val="fr-FR"/>
        </w:rPr>
      </w:pPr>
      <w:r w:rsidRPr="00C031AF">
        <w:rPr>
          <w:lang w:val="fr-FR"/>
        </w:rPr>
        <w:t xml:space="preserve">Mercredi 12 mars 2025 :  </w:t>
      </w:r>
      <w:r w:rsidRPr="00C031AF">
        <w:rPr>
          <w:b/>
          <w:lang w:val="fr-FR"/>
        </w:rPr>
        <w:t xml:space="preserve">Webinaire 2 </w:t>
      </w:r>
      <w:r w:rsidRPr="00C031AF">
        <w:rPr>
          <w:lang w:val="fr-FR"/>
        </w:rPr>
        <w:t xml:space="preserve">:  caractéristiques utilisées dans les principes directeurs d'examen </w:t>
      </w:r>
    </w:p>
    <w:p w14:paraId="7B32BA2E" w14:textId="77777777" w:rsidR="002B7E9E" w:rsidRPr="00C031AF" w:rsidRDefault="002B7E9E" w:rsidP="002B7E9E">
      <w:pPr>
        <w:spacing w:line="276" w:lineRule="auto"/>
        <w:ind w:left="567"/>
        <w:rPr>
          <w:rFonts w:cs="Arial"/>
          <w:lang w:val="fr-FR"/>
        </w:rPr>
      </w:pPr>
    </w:p>
    <w:p w14:paraId="641D6321" w14:textId="77777777" w:rsidR="002B7E9E" w:rsidRPr="00C031AF" w:rsidRDefault="002B7E9E" w:rsidP="002B7E9E">
      <w:pPr>
        <w:pStyle w:val="Heading2"/>
        <w:rPr>
          <w:lang w:val="fr-FR"/>
        </w:rPr>
      </w:pPr>
      <w:r w:rsidRPr="00C031AF">
        <w:rPr>
          <w:lang w:val="fr-FR"/>
        </w:rPr>
        <w:t xml:space="preserve">Partie I : Présentations :  </w:t>
      </w:r>
    </w:p>
    <w:p w14:paraId="5670E2E5" w14:textId="77777777" w:rsidR="002B7E9E" w:rsidRPr="00C031AF" w:rsidRDefault="002B7E9E" w:rsidP="002B7E9E">
      <w:pPr>
        <w:rPr>
          <w:lang w:val="fr-FR"/>
        </w:rPr>
      </w:pPr>
    </w:p>
    <w:p w14:paraId="43BD5956" w14:textId="77777777" w:rsidR="002B7E9E" w:rsidRPr="00C031AF" w:rsidRDefault="002B7E9E" w:rsidP="002B7E9E">
      <w:pPr>
        <w:rPr>
          <w:lang w:val="fr-FR"/>
        </w:rPr>
      </w:pPr>
    </w:p>
    <w:p w14:paraId="52191288" w14:textId="77777777" w:rsidR="002B7E9E" w:rsidRPr="00C031AF" w:rsidRDefault="002B7E9E" w:rsidP="002B7E9E">
      <w:pPr>
        <w:numPr>
          <w:ilvl w:val="1"/>
          <w:numId w:val="3"/>
        </w:numPr>
        <w:ind w:left="1134"/>
        <w:rPr>
          <w:lang w:val="fr-FR"/>
        </w:rPr>
      </w:pPr>
      <w:r w:rsidRPr="00C031AF">
        <w:rPr>
          <w:lang w:val="fr-FR"/>
        </w:rPr>
        <w:t>Élaboration des caractères de forme et de couleur (document TGP 14 « Glossaire des termes utilisés dans les documents de l'UPOV »)</w:t>
      </w:r>
    </w:p>
    <w:p w14:paraId="26E8C087" w14:textId="77777777" w:rsidR="002B7E9E" w:rsidRPr="00C031AF" w:rsidRDefault="002B7E9E" w:rsidP="002B7E9E">
      <w:pPr>
        <w:ind w:left="1134"/>
        <w:rPr>
          <w:lang w:val="fr-FR"/>
        </w:rPr>
      </w:pPr>
      <w:r w:rsidRPr="00C031AF">
        <w:rPr>
          <w:lang w:val="fr-FR"/>
        </w:rPr>
        <w:t>M. Chris Barnaby – Nouvelle-Zélande</w:t>
      </w:r>
    </w:p>
    <w:p w14:paraId="4A2EBBB5" w14:textId="77777777" w:rsidR="002B7E9E" w:rsidRPr="00C031AF" w:rsidRDefault="002B7E9E" w:rsidP="002B7E9E">
      <w:pPr>
        <w:ind w:left="1134"/>
        <w:rPr>
          <w:lang w:val="fr-FR"/>
        </w:rPr>
      </w:pPr>
    </w:p>
    <w:p w14:paraId="7DE3DF39" w14:textId="77777777" w:rsidR="002B7E9E" w:rsidRPr="00C031AF" w:rsidRDefault="002B7E9E" w:rsidP="002B7E9E">
      <w:pPr>
        <w:numPr>
          <w:ilvl w:val="1"/>
          <w:numId w:val="3"/>
        </w:numPr>
        <w:ind w:left="1134"/>
        <w:rPr>
          <w:lang w:val="fr-FR"/>
        </w:rPr>
      </w:pPr>
      <w:r w:rsidRPr="00C031AF">
        <w:rPr>
          <w:lang w:val="fr-FR"/>
        </w:rPr>
        <w:t>Types de caractères et leur effet sur la distinction (document TGP/9 “Évaluation de la distinction”)</w:t>
      </w:r>
    </w:p>
    <w:p w14:paraId="29F7910F" w14:textId="77777777" w:rsidR="002B7E9E" w:rsidRPr="00C031AF" w:rsidRDefault="002B7E9E" w:rsidP="002B7E9E">
      <w:pPr>
        <w:ind w:left="1134"/>
        <w:rPr>
          <w:lang w:val="fr-FR"/>
        </w:rPr>
      </w:pPr>
      <w:r w:rsidRPr="00C031AF">
        <w:rPr>
          <w:lang w:val="fr-FR"/>
        </w:rPr>
        <w:t>Mme Pavla Bímová – République tchèque</w:t>
      </w:r>
    </w:p>
    <w:p w14:paraId="1984AFF6" w14:textId="77777777" w:rsidR="002B7E9E" w:rsidRPr="00C031AF" w:rsidRDefault="002B7E9E" w:rsidP="002B7E9E">
      <w:pPr>
        <w:rPr>
          <w:lang w:val="fr-FR"/>
        </w:rPr>
      </w:pPr>
    </w:p>
    <w:p w14:paraId="125F3D19" w14:textId="77777777" w:rsidR="002B7E9E" w:rsidRPr="00C031AF" w:rsidRDefault="002B7E9E" w:rsidP="002B7E9E">
      <w:pPr>
        <w:rPr>
          <w:lang w:val="fr-FR"/>
        </w:rPr>
      </w:pPr>
    </w:p>
    <w:p w14:paraId="6AB79B8E" w14:textId="77777777" w:rsidR="002B7E9E" w:rsidRPr="00C031AF" w:rsidRDefault="002B7E9E" w:rsidP="002B7E9E">
      <w:pPr>
        <w:pStyle w:val="Heading2"/>
        <w:rPr>
          <w:lang w:val="fr-FR"/>
        </w:rPr>
      </w:pPr>
      <w:r w:rsidRPr="00C031AF">
        <w:rPr>
          <w:lang w:val="fr-FR"/>
        </w:rPr>
        <w:t xml:space="preserve">Partie II : Séance de questions-réponses </w:t>
      </w:r>
    </w:p>
    <w:p w14:paraId="20D78EA0" w14:textId="77777777" w:rsidR="002B7E9E" w:rsidRPr="00C031AF" w:rsidRDefault="002B7E9E" w:rsidP="002B7E9E">
      <w:pPr>
        <w:rPr>
          <w:lang w:val="fr-FR"/>
        </w:rPr>
      </w:pPr>
    </w:p>
    <w:p w14:paraId="08874328" w14:textId="77777777" w:rsidR="002B7E9E" w:rsidRPr="00C031AF" w:rsidRDefault="002B7E9E" w:rsidP="002B7E9E">
      <w:pPr>
        <w:rPr>
          <w:lang w:val="fr-FR"/>
        </w:rPr>
      </w:pPr>
    </w:p>
    <w:p w14:paraId="4827FD65" w14:textId="77777777" w:rsidR="002B7E9E" w:rsidRPr="00C031AF" w:rsidRDefault="002B7E9E" w:rsidP="002B7E9E">
      <w:pPr>
        <w:rPr>
          <w:lang w:val="fr-FR"/>
        </w:rPr>
      </w:pPr>
    </w:p>
    <w:p w14:paraId="4130D772" w14:textId="77777777" w:rsidR="002B7E9E" w:rsidRPr="00C031AF" w:rsidRDefault="002B7E9E" w:rsidP="002B7E9E">
      <w:pPr>
        <w:rPr>
          <w:lang w:val="fr-FR"/>
        </w:rPr>
      </w:pPr>
    </w:p>
    <w:p w14:paraId="09C5FC65" w14:textId="44072789" w:rsidR="002B7E9E" w:rsidRPr="00C031AF" w:rsidRDefault="002B7E9E" w:rsidP="002B7E9E">
      <w:pPr>
        <w:jc w:val="right"/>
        <w:rPr>
          <w:snapToGrid w:val="0"/>
          <w:lang w:val="fr-FR"/>
        </w:rPr>
      </w:pPr>
      <w:r w:rsidRPr="00C031AF">
        <w:rPr>
          <w:snapToGrid w:val="0"/>
          <w:lang w:val="fr-FR"/>
        </w:rPr>
        <w:t>[Fin de l'annexe et du document]</w:t>
      </w:r>
    </w:p>
    <w:p w14:paraId="702947A9" w14:textId="77777777" w:rsidR="00050E16" w:rsidRPr="00C031AF" w:rsidRDefault="00050E16" w:rsidP="00E878CB">
      <w:pPr>
        <w:keepNext/>
        <w:keepLines/>
        <w:outlineLvl w:val="0"/>
        <w:rPr>
          <w:lang w:val="fr-FR"/>
        </w:rPr>
      </w:pPr>
    </w:p>
    <w:sectPr w:rsidR="00050E16" w:rsidRPr="00C031AF" w:rsidSect="002B7E9E">
      <w:headerReference w:type="even" r:id="rId11"/>
      <w:headerReference w:type="default" r:id="rId12"/>
      <w:headerReference w:type="first" r:id="rId13"/>
      <w:pgSz w:w="11907" w:h="16840" w:code="9"/>
      <w:pgMar w:top="851" w:right="1134" w:bottom="851"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B92E2" w14:textId="77777777" w:rsidR="00474A16" w:rsidRDefault="00474A16" w:rsidP="006655D3">
      <w:r>
        <w:separator/>
      </w:r>
    </w:p>
    <w:p w14:paraId="4C9EB820" w14:textId="77777777" w:rsidR="00474A16" w:rsidRDefault="00474A16" w:rsidP="006655D3"/>
    <w:p w14:paraId="000A7D2B" w14:textId="77777777" w:rsidR="00474A16" w:rsidRDefault="00474A16" w:rsidP="006655D3"/>
  </w:endnote>
  <w:endnote w:type="continuationSeparator" w:id="0">
    <w:p w14:paraId="526142BF" w14:textId="77777777" w:rsidR="00474A16" w:rsidRDefault="00474A16" w:rsidP="006655D3">
      <w:r>
        <w:separator/>
      </w:r>
    </w:p>
    <w:p w14:paraId="784A73BF" w14:textId="77777777" w:rsidR="00474A16" w:rsidRPr="00294751" w:rsidRDefault="00474A16">
      <w:pPr>
        <w:pStyle w:val="Footer"/>
        <w:spacing w:after="60"/>
        <w:rPr>
          <w:sz w:val="18"/>
          <w:lang w:val="fr-FR"/>
        </w:rPr>
      </w:pPr>
      <w:r w:rsidRPr="00294751">
        <w:rPr>
          <w:sz w:val="18"/>
          <w:lang w:val="fr-FR"/>
        </w:rPr>
        <w:t>[Suite de la note de la page précédente]</w:t>
      </w:r>
    </w:p>
    <w:p w14:paraId="5B4768D6" w14:textId="77777777" w:rsidR="00474A16" w:rsidRPr="00294751" w:rsidRDefault="00474A16" w:rsidP="006655D3">
      <w:pPr>
        <w:rPr>
          <w:lang w:val="fr-FR"/>
        </w:rPr>
      </w:pPr>
    </w:p>
    <w:p w14:paraId="5D8DBCB9" w14:textId="77777777" w:rsidR="00474A16" w:rsidRPr="00294751" w:rsidRDefault="00474A16" w:rsidP="006655D3">
      <w:pPr>
        <w:rPr>
          <w:lang w:val="fr-FR"/>
        </w:rPr>
      </w:pPr>
    </w:p>
  </w:endnote>
  <w:endnote w:type="continuationNotice" w:id="1">
    <w:p w14:paraId="5A650486" w14:textId="77777777" w:rsidR="00474A16" w:rsidRPr="00294751" w:rsidRDefault="00474A16" w:rsidP="006655D3">
      <w:pPr>
        <w:rPr>
          <w:lang w:val="fr-FR"/>
        </w:rPr>
      </w:pPr>
      <w:r w:rsidRPr="00294751">
        <w:rPr>
          <w:lang w:val="fr-FR"/>
        </w:rPr>
        <w:t>[Suite de la note page suivante]</w:t>
      </w:r>
    </w:p>
    <w:p w14:paraId="706B5E3F" w14:textId="77777777" w:rsidR="00474A16" w:rsidRPr="00294751" w:rsidRDefault="00474A16" w:rsidP="006655D3">
      <w:pPr>
        <w:rPr>
          <w:lang w:val="fr-FR"/>
        </w:rPr>
      </w:pPr>
    </w:p>
    <w:p w14:paraId="620B815C" w14:textId="77777777" w:rsidR="00474A16" w:rsidRPr="00294751" w:rsidRDefault="00474A16"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D8FAE" w14:textId="77777777" w:rsidR="00474A16" w:rsidRDefault="00474A16" w:rsidP="006655D3">
      <w:r>
        <w:separator/>
      </w:r>
    </w:p>
  </w:footnote>
  <w:footnote w:type="continuationSeparator" w:id="0">
    <w:p w14:paraId="571F458F" w14:textId="77777777" w:rsidR="00474A16" w:rsidRDefault="00474A16" w:rsidP="006655D3">
      <w:r>
        <w:separator/>
      </w:r>
    </w:p>
  </w:footnote>
  <w:footnote w:type="continuationNotice" w:id="1">
    <w:p w14:paraId="0564F208" w14:textId="77777777" w:rsidR="00474A16" w:rsidRPr="00AB530F" w:rsidRDefault="00474A16" w:rsidP="00AB530F">
      <w:pPr>
        <w:pStyle w:val="Footer"/>
      </w:pPr>
    </w:p>
  </w:footnote>
  <w:footnote w:id="2">
    <w:p w14:paraId="508F4CDA" w14:textId="77777777" w:rsidR="00E3579A" w:rsidRPr="00C031AF" w:rsidRDefault="00E3579A" w:rsidP="00E3579A">
      <w:pPr>
        <w:pStyle w:val="FootnoteText"/>
        <w:rPr>
          <w:lang w:val="fr-FR"/>
        </w:rPr>
      </w:pPr>
      <w:r>
        <w:rPr>
          <w:rStyle w:val="FootnoteReference"/>
        </w:rPr>
        <w:footnoteRef/>
      </w:r>
      <w:r w:rsidRPr="00C031AF">
        <w:rPr>
          <w:rFonts w:cs="Arial"/>
          <w:lang w:val="fr-FR"/>
        </w:rPr>
        <w:t xml:space="preserve"> tenue à Genève du 15 au 17 avril 2002</w:t>
      </w:r>
    </w:p>
  </w:footnote>
  <w:footnote w:id="3">
    <w:p w14:paraId="248421B6" w14:textId="77777777" w:rsidR="00E3579A" w:rsidRPr="00C031AF" w:rsidRDefault="00E3579A" w:rsidP="00E3579A">
      <w:pPr>
        <w:pStyle w:val="FootnoteText"/>
        <w:rPr>
          <w:lang w:val="fr-FR"/>
        </w:rPr>
      </w:pPr>
      <w:r>
        <w:rPr>
          <w:rStyle w:val="FootnoteReference"/>
        </w:rPr>
        <w:footnoteRef/>
      </w:r>
      <w:r w:rsidRPr="00C031AF">
        <w:rPr>
          <w:snapToGrid w:val="0"/>
          <w:lang w:val="fr-FR"/>
        </w:rPr>
        <w:t xml:space="preserve"> tenue à Genève les 28 et 29 octobre 2019</w:t>
      </w:r>
    </w:p>
  </w:footnote>
  <w:footnote w:id="4">
    <w:p w14:paraId="7C0E06C6" w14:textId="77777777" w:rsidR="00E3579A" w:rsidRPr="00C031AF" w:rsidRDefault="00E3579A" w:rsidP="00E3579A">
      <w:pPr>
        <w:pStyle w:val="FootnoteText"/>
        <w:rPr>
          <w:lang w:val="fr-FR"/>
        </w:rPr>
      </w:pPr>
      <w:r>
        <w:rPr>
          <w:rStyle w:val="FootnoteReference"/>
        </w:rPr>
        <w:footnoteRef/>
      </w:r>
      <w:r w:rsidRPr="00C031AF">
        <w:rPr>
          <w:snapToGrid w:val="0"/>
          <w:lang w:val="fr-FR"/>
        </w:rPr>
        <w:t xml:space="preserve"> tenue à Genève les 26 et 27 octobre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F0FAE" w14:textId="46C5A52B" w:rsidR="0004198B" w:rsidRPr="00C5280D" w:rsidRDefault="0011619B" w:rsidP="00EB048E">
    <w:pPr>
      <w:pStyle w:val="Header"/>
      <w:rPr>
        <w:rStyle w:val="PageNumber"/>
        <w:lang w:val="en-US"/>
      </w:rPr>
    </w:pPr>
    <w:r>
      <w:rPr>
        <w:rStyle w:val="PageNumber"/>
        <w:lang w:val="en-US"/>
      </w:rPr>
      <w:t>TC/61/7</w:t>
    </w:r>
  </w:p>
  <w:p w14:paraId="2659679F" w14:textId="77777777" w:rsidR="0004198B" w:rsidRPr="00C5280D" w:rsidRDefault="0004198B" w:rsidP="00EB048E">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6245ED">
      <w:rPr>
        <w:rStyle w:val="PageNumber"/>
        <w:noProof/>
        <w:lang w:val="en-US"/>
      </w:rPr>
      <w:t>2</w:t>
    </w:r>
    <w:r w:rsidRPr="00C5280D">
      <w:rPr>
        <w:rStyle w:val="PageNumber"/>
        <w:lang w:val="en-US"/>
      </w:rPr>
      <w:fldChar w:fldCharType="end"/>
    </w:r>
  </w:p>
  <w:p w14:paraId="4EE8F755" w14:textId="77777777" w:rsidR="0004198B" w:rsidRPr="00C5280D" w:rsidRDefault="0004198B"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06937" w14:textId="77777777" w:rsidR="00284985" w:rsidRDefault="00284985" w:rsidP="00117C11">
    <w:pPr>
      <w:pStyle w:val="Header"/>
      <w:rPr>
        <w:rStyle w:val="PageNumber"/>
        <w:lang w:val="fr-CH"/>
      </w:rPr>
    </w:pPr>
    <w:r w:rsidRPr="007273D4">
      <w:rPr>
        <w:rStyle w:val="PageNumber"/>
        <w:lang w:val="fr-CH"/>
      </w:rPr>
      <w:t xml:space="preserve">TC/55/25 </w:t>
    </w:r>
    <w:r>
      <w:rPr>
        <w:rStyle w:val="PageNumber"/>
        <w:lang w:val="fr-CH"/>
      </w:rPr>
      <w:t>Corr.</w:t>
    </w:r>
  </w:p>
  <w:p w14:paraId="72811122" w14:textId="77777777" w:rsidR="00284985" w:rsidRPr="007273D4" w:rsidRDefault="00284985" w:rsidP="00117C11">
    <w:pPr>
      <w:pStyle w:val="Header"/>
      <w:rPr>
        <w:lang w:val="fr-CH"/>
      </w:rPr>
    </w:pPr>
    <w:r>
      <w:rPr>
        <w:lang w:val="fr-CH"/>
      </w:rPr>
      <w:t xml:space="preserve">Annexe II, </w:t>
    </w:r>
    <w:r w:rsidRPr="007273D4">
      <w:rPr>
        <w:lang w:val="fr-CH"/>
      </w:rPr>
      <w:t xml:space="preserve">page </w:t>
    </w:r>
    <w:r w:rsidRPr="00C5280D">
      <w:rPr>
        <w:rStyle w:val="PageNumber"/>
        <w:lang w:val="en-US"/>
      </w:rPr>
      <w:fldChar w:fldCharType="begin"/>
    </w:r>
    <w:r w:rsidRPr="007273D4">
      <w:rPr>
        <w:rStyle w:val="PageNumber"/>
        <w:lang w:val="fr-CH"/>
      </w:rPr>
      <w:instrText xml:space="preserve"> PAGE </w:instrText>
    </w:r>
    <w:r w:rsidRPr="00C5280D">
      <w:rPr>
        <w:rStyle w:val="PageNumber"/>
        <w:lang w:val="en-US"/>
      </w:rPr>
      <w:fldChar w:fldCharType="separate"/>
    </w:r>
    <w:r>
      <w:rPr>
        <w:rStyle w:val="PageNumber"/>
        <w:noProof/>
        <w:lang w:val="fr-CH"/>
      </w:rPr>
      <w:t>8</w:t>
    </w:r>
    <w:r w:rsidRPr="00C5280D">
      <w:rPr>
        <w:rStyle w:val="PageNumber"/>
        <w:lang w:val="en-US"/>
      </w:rPr>
      <w:fldChar w:fldCharType="end"/>
    </w:r>
  </w:p>
  <w:p w14:paraId="5C7B415B" w14:textId="77777777" w:rsidR="00284985" w:rsidRPr="007273D4" w:rsidRDefault="00284985" w:rsidP="00117C11">
    <w:pPr>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5B55D" w14:textId="77777777" w:rsidR="00284985" w:rsidRPr="00673FC4" w:rsidRDefault="00284985" w:rsidP="00EB048E">
    <w:pPr>
      <w:pStyle w:val="Header"/>
      <w:rPr>
        <w:lang w:val="en-GB"/>
      </w:rPr>
    </w:pPr>
    <w:r w:rsidRPr="00673FC4">
      <w:rPr>
        <w:rStyle w:val="PageNumber"/>
        <w:lang w:val="en-GB"/>
      </w:rPr>
      <w:t>Webinaires : Ateliers préparatoires 2021</w:t>
    </w:r>
  </w:p>
  <w:p w14:paraId="248B6610" w14:textId="77777777" w:rsidR="00284985" w:rsidRPr="007273D4" w:rsidRDefault="00284985" w:rsidP="006655D3">
    <w:pPr>
      <w:rPr>
        <w:lang w:val="fr-CH"/>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EA391" w14:textId="7A6C5E8C" w:rsidR="00284985" w:rsidRDefault="00284985" w:rsidP="00284985">
    <w:pPr>
      <w:pStyle w:val="Header"/>
      <w:rPr>
        <w:lang w:val="en-US"/>
      </w:rPr>
    </w:pPr>
    <w:r>
      <w:rPr>
        <w:lang w:val="en-US"/>
      </w:rPr>
      <w:t>TC/61/7</w:t>
    </w:r>
  </w:p>
  <w:p w14:paraId="6B75A526" w14:textId="77777777" w:rsidR="00284985" w:rsidRDefault="00284985" w:rsidP="00284985">
    <w:pPr>
      <w:pStyle w:val="Header"/>
      <w:rPr>
        <w:lang w:val="en-US"/>
      </w:rPr>
    </w:pPr>
  </w:p>
  <w:p w14:paraId="1B4D9AD8" w14:textId="77777777" w:rsidR="00284985" w:rsidRDefault="00284985" w:rsidP="00284985">
    <w:pPr>
      <w:pStyle w:val="Header"/>
      <w:rPr>
        <w:lang w:val="en-US"/>
      </w:rPr>
    </w:pPr>
    <w:r>
      <w:rPr>
        <w:lang w:val="en-US"/>
      </w:rPr>
      <w:t>ANNEXE</w:t>
    </w:r>
  </w:p>
  <w:p w14:paraId="0B3A03A6" w14:textId="77777777" w:rsidR="00284985" w:rsidRPr="00A65A3E" w:rsidRDefault="00284985" w:rsidP="00284985">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941F2"/>
    <w:multiLevelType w:val="hybridMultilevel"/>
    <w:tmpl w:val="E2B2636C"/>
    <w:lvl w:ilvl="0" w:tplc="1AAE0152">
      <w:start w:val="1"/>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87D356A"/>
    <w:multiLevelType w:val="hybridMultilevel"/>
    <w:tmpl w:val="D1C02E6C"/>
    <w:lvl w:ilvl="0" w:tplc="01C2BD9E">
      <w:start w:val="1"/>
      <w:numFmt w:val="bullet"/>
      <w:lvlText w:val=""/>
      <w:lvlJc w:val="left"/>
      <w:pPr>
        <w:ind w:left="262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2" w15:restartNumberingAfterBreak="0">
    <w:nsid w:val="616A69EA"/>
    <w:multiLevelType w:val="hybridMultilevel"/>
    <w:tmpl w:val="1A464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72008266">
    <w:abstractNumId w:val="1"/>
  </w:num>
  <w:num w:numId="2" w16cid:durableId="544878224">
    <w:abstractNumId w:val="2"/>
  </w:num>
  <w:num w:numId="3" w16cid:durableId="1627420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A16"/>
    <w:rsid w:val="00010CF3"/>
    <w:rsid w:val="00011E27"/>
    <w:rsid w:val="000148BC"/>
    <w:rsid w:val="00021923"/>
    <w:rsid w:val="00024AB8"/>
    <w:rsid w:val="00030854"/>
    <w:rsid w:val="00031058"/>
    <w:rsid w:val="00036028"/>
    <w:rsid w:val="0004198B"/>
    <w:rsid w:val="00044642"/>
    <w:rsid w:val="000446B9"/>
    <w:rsid w:val="00047E21"/>
    <w:rsid w:val="00050E16"/>
    <w:rsid w:val="00085505"/>
    <w:rsid w:val="000C4E25"/>
    <w:rsid w:val="000C7021"/>
    <w:rsid w:val="000D6BBC"/>
    <w:rsid w:val="000D7780"/>
    <w:rsid w:val="000E636A"/>
    <w:rsid w:val="000F1412"/>
    <w:rsid w:val="000F2F11"/>
    <w:rsid w:val="00100A5F"/>
    <w:rsid w:val="00105929"/>
    <w:rsid w:val="00110BED"/>
    <w:rsid w:val="00110C36"/>
    <w:rsid w:val="001110C5"/>
    <w:rsid w:val="001131D5"/>
    <w:rsid w:val="00114547"/>
    <w:rsid w:val="0011619B"/>
    <w:rsid w:val="00132F56"/>
    <w:rsid w:val="00141DB8"/>
    <w:rsid w:val="001623F4"/>
    <w:rsid w:val="00172084"/>
    <w:rsid w:val="001745A0"/>
    <w:rsid w:val="0017474A"/>
    <w:rsid w:val="001758C6"/>
    <w:rsid w:val="00182B99"/>
    <w:rsid w:val="001A6E99"/>
    <w:rsid w:val="001C1525"/>
    <w:rsid w:val="001D5B08"/>
    <w:rsid w:val="002102F3"/>
    <w:rsid w:val="0021332C"/>
    <w:rsid w:val="00213982"/>
    <w:rsid w:val="002176C6"/>
    <w:rsid w:val="00225C36"/>
    <w:rsid w:val="00241187"/>
    <w:rsid w:val="00241ED9"/>
    <w:rsid w:val="0024416D"/>
    <w:rsid w:val="00247B0E"/>
    <w:rsid w:val="00261AFA"/>
    <w:rsid w:val="00271911"/>
    <w:rsid w:val="00273187"/>
    <w:rsid w:val="002800A0"/>
    <w:rsid w:val="002801B3"/>
    <w:rsid w:val="00281060"/>
    <w:rsid w:val="002816E0"/>
    <w:rsid w:val="00284050"/>
    <w:rsid w:val="00284985"/>
    <w:rsid w:val="00285BD0"/>
    <w:rsid w:val="002940E8"/>
    <w:rsid w:val="00294751"/>
    <w:rsid w:val="002A6E50"/>
    <w:rsid w:val="002B4298"/>
    <w:rsid w:val="002B7A36"/>
    <w:rsid w:val="002B7E9E"/>
    <w:rsid w:val="002C256A"/>
    <w:rsid w:val="002D5226"/>
    <w:rsid w:val="00305A7F"/>
    <w:rsid w:val="003151C8"/>
    <w:rsid w:val="003152FE"/>
    <w:rsid w:val="00324493"/>
    <w:rsid w:val="00327436"/>
    <w:rsid w:val="00344BD6"/>
    <w:rsid w:val="0034766C"/>
    <w:rsid w:val="0035528D"/>
    <w:rsid w:val="00357ADF"/>
    <w:rsid w:val="00361821"/>
    <w:rsid w:val="00361E9E"/>
    <w:rsid w:val="00366853"/>
    <w:rsid w:val="003753EE"/>
    <w:rsid w:val="003A0835"/>
    <w:rsid w:val="003A47D4"/>
    <w:rsid w:val="003A5AAF"/>
    <w:rsid w:val="003B700A"/>
    <w:rsid w:val="003C7FBE"/>
    <w:rsid w:val="003D0839"/>
    <w:rsid w:val="003D1881"/>
    <w:rsid w:val="003D227C"/>
    <w:rsid w:val="003D2B4D"/>
    <w:rsid w:val="003D5495"/>
    <w:rsid w:val="003F37F5"/>
    <w:rsid w:val="00421571"/>
    <w:rsid w:val="00444A88"/>
    <w:rsid w:val="00445B73"/>
    <w:rsid w:val="00463127"/>
    <w:rsid w:val="00474A16"/>
    <w:rsid w:val="00474DA4"/>
    <w:rsid w:val="00476B4D"/>
    <w:rsid w:val="004805FA"/>
    <w:rsid w:val="004935D2"/>
    <w:rsid w:val="004B1215"/>
    <w:rsid w:val="004D047D"/>
    <w:rsid w:val="004F1E9E"/>
    <w:rsid w:val="004F305A"/>
    <w:rsid w:val="00503E63"/>
    <w:rsid w:val="00512164"/>
    <w:rsid w:val="005146FA"/>
    <w:rsid w:val="00520297"/>
    <w:rsid w:val="00532347"/>
    <w:rsid w:val="005338F9"/>
    <w:rsid w:val="0054281C"/>
    <w:rsid w:val="00544581"/>
    <w:rsid w:val="0055268D"/>
    <w:rsid w:val="00553381"/>
    <w:rsid w:val="00575DE2"/>
    <w:rsid w:val="00576BE4"/>
    <w:rsid w:val="005779DB"/>
    <w:rsid w:val="005848DE"/>
    <w:rsid w:val="005A2A67"/>
    <w:rsid w:val="005A400A"/>
    <w:rsid w:val="005B269D"/>
    <w:rsid w:val="005D206F"/>
    <w:rsid w:val="005D5B82"/>
    <w:rsid w:val="005F7B92"/>
    <w:rsid w:val="00612379"/>
    <w:rsid w:val="006153B6"/>
    <w:rsid w:val="0061555F"/>
    <w:rsid w:val="006245ED"/>
    <w:rsid w:val="00631FC0"/>
    <w:rsid w:val="00636CA6"/>
    <w:rsid w:val="00641200"/>
    <w:rsid w:val="00645CA8"/>
    <w:rsid w:val="006616F5"/>
    <w:rsid w:val="006655D3"/>
    <w:rsid w:val="00667404"/>
    <w:rsid w:val="00687EB4"/>
    <w:rsid w:val="00695C56"/>
    <w:rsid w:val="006A5CDE"/>
    <w:rsid w:val="006A644A"/>
    <w:rsid w:val="006B17D2"/>
    <w:rsid w:val="006B71F4"/>
    <w:rsid w:val="006C224E"/>
    <w:rsid w:val="006D61AC"/>
    <w:rsid w:val="006D780A"/>
    <w:rsid w:val="00706976"/>
    <w:rsid w:val="00711F8E"/>
    <w:rsid w:val="0071271E"/>
    <w:rsid w:val="00732DEC"/>
    <w:rsid w:val="00735BD5"/>
    <w:rsid w:val="007451EC"/>
    <w:rsid w:val="007460E9"/>
    <w:rsid w:val="00751613"/>
    <w:rsid w:val="00753EE9"/>
    <w:rsid w:val="007556F6"/>
    <w:rsid w:val="00760EEF"/>
    <w:rsid w:val="00777EE5"/>
    <w:rsid w:val="00784836"/>
    <w:rsid w:val="0079023E"/>
    <w:rsid w:val="007A2854"/>
    <w:rsid w:val="007C1D92"/>
    <w:rsid w:val="007C4CB9"/>
    <w:rsid w:val="007D0B9D"/>
    <w:rsid w:val="007D19B0"/>
    <w:rsid w:val="007F498F"/>
    <w:rsid w:val="0080679D"/>
    <w:rsid w:val="008108B0"/>
    <w:rsid w:val="008110A8"/>
    <w:rsid w:val="00811B20"/>
    <w:rsid w:val="00812609"/>
    <w:rsid w:val="008211B5"/>
    <w:rsid w:val="0082296E"/>
    <w:rsid w:val="00824099"/>
    <w:rsid w:val="00846D7C"/>
    <w:rsid w:val="00867AC1"/>
    <w:rsid w:val="008751DE"/>
    <w:rsid w:val="008863BB"/>
    <w:rsid w:val="00890DF8"/>
    <w:rsid w:val="008A0ADE"/>
    <w:rsid w:val="008A743F"/>
    <w:rsid w:val="008C0970"/>
    <w:rsid w:val="008D0BC5"/>
    <w:rsid w:val="008D2CF7"/>
    <w:rsid w:val="008F2245"/>
    <w:rsid w:val="00900C26"/>
    <w:rsid w:val="0090197F"/>
    <w:rsid w:val="00902190"/>
    <w:rsid w:val="00903264"/>
    <w:rsid w:val="00906DDC"/>
    <w:rsid w:val="00934E09"/>
    <w:rsid w:val="00936253"/>
    <w:rsid w:val="00940D46"/>
    <w:rsid w:val="009413F1"/>
    <w:rsid w:val="00952DD4"/>
    <w:rsid w:val="009561F4"/>
    <w:rsid w:val="00965AE7"/>
    <w:rsid w:val="00970FED"/>
    <w:rsid w:val="00983688"/>
    <w:rsid w:val="00985E41"/>
    <w:rsid w:val="00992D82"/>
    <w:rsid w:val="00996813"/>
    <w:rsid w:val="00997029"/>
    <w:rsid w:val="009A7339"/>
    <w:rsid w:val="009B440E"/>
    <w:rsid w:val="009D690D"/>
    <w:rsid w:val="009E65B6"/>
    <w:rsid w:val="009F0A51"/>
    <w:rsid w:val="009F0B7F"/>
    <w:rsid w:val="009F77CF"/>
    <w:rsid w:val="00A12795"/>
    <w:rsid w:val="00A24C10"/>
    <w:rsid w:val="00A42AC3"/>
    <w:rsid w:val="00A430CF"/>
    <w:rsid w:val="00A54309"/>
    <w:rsid w:val="00A55168"/>
    <w:rsid w:val="00A610A9"/>
    <w:rsid w:val="00A705A5"/>
    <w:rsid w:val="00A80F2A"/>
    <w:rsid w:val="00A839F8"/>
    <w:rsid w:val="00A96C33"/>
    <w:rsid w:val="00AB2B93"/>
    <w:rsid w:val="00AB530F"/>
    <w:rsid w:val="00AB7E5B"/>
    <w:rsid w:val="00AC2883"/>
    <w:rsid w:val="00AE0EF1"/>
    <w:rsid w:val="00AE2937"/>
    <w:rsid w:val="00AE4EE7"/>
    <w:rsid w:val="00AF09FC"/>
    <w:rsid w:val="00B07301"/>
    <w:rsid w:val="00B11F3E"/>
    <w:rsid w:val="00B224DE"/>
    <w:rsid w:val="00B324D4"/>
    <w:rsid w:val="00B46575"/>
    <w:rsid w:val="00B57D2B"/>
    <w:rsid w:val="00B61777"/>
    <w:rsid w:val="00B622E6"/>
    <w:rsid w:val="00B64A58"/>
    <w:rsid w:val="00B80C62"/>
    <w:rsid w:val="00B83BAC"/>
    <w:rsid w:val="00B83E82"/>
    <w:rsid w:val="00B84BBD"/>
    <w:rsid w:val="00B87296"/>
    <w:rsid w:val="00B94BC8"/>
    <w:rsid w:val="00BA43FB"/>
    <w:rsid w:val="00BC127D"/>
    <w:rsid w:val="00BC1FE6"/>
    <w:rsid w:val="00C031AF"/>
    <w:rsid w:val="00C05BBC"/>
    <w:rsid w:val="00C060B9"/>
    <w:rsid w:val="00C061B6"/>
    <w:rsid w:val="00C14D83"/>
    <w:rsid w:val="00C2345E"/>
    <w:rsid w:val="00C2446C"/>
    <w:rsid w:val="00C36AE5"/>
    <w:rsid w:val="00C41F17"/>
    <w:rsid w:val="00C527FA"/>
    <w:rsid w:val="00C5280D"/>
    <w:rsid w:val="00C53EB3"/>
    <w:rsid w:val="00C5791C"/>
    <w:rsid w:val="00C66290"/>
    <w:rsid w:val="00C72B7A"/>
    <w:rsid w:val="00C75A58"/>
    <w:rsid w:val="00C80836"/>
    <w:rsid w:val="00C973F2"/>
    <w:rsid w:val="00CA304C"/>
    <w:rsid w:val="00CA774A"/>
    <w:rsid w:val="00CB4921"/>
    <w:rsid w:val="00CC11B0"/>
    <w:rsid w:val="00CC2841"/>
    <w:rsid w:val="00CC3CDF"/>
    <w:rsid w:val="00CF1330"/>
    <w:rsid w:val="00CF7E36"/>
    <w:rsid w:val="00D3708D"/>
    <w:rsid w:val="00D40426"/>
    <w:rsid w:val="00D57C96"/>
    <w:rsid w:val="00D57D18"/>
    <w:rsid w:val="00D70E65"/>
    <w:rsid w:val="00D91203"/>
    <w:rsid w:val="00D95174"/>
    <w:rsid w:val="00DA4973"/>
    <w:rsid w:val="00DA6F36"/>
    <w:rsid w:val="00DB2A78"/>
    <w:rsid w:val="00DB596E"/>
    <w:rsid w:val="00DB7773"/>
    <w:rsid w:val="00DC00EA"/>
    <w:rsid w:val="00DC3802"/>
    <w:rsid w:val="00DD6208"/>
    <w:rsid w:val="00DF1758"/>
    <w:rsid w:val="00DF7E99"/>
    <w:rsid w:val="00E07D87"/>
    <w:rsid w:val="00E13B15"/>
    <w:rsid w:val="00E249C8"/>
    <w:rsid w:val="00E32F7E"/>
    <w:rsid w:val="00E3579A"/>
    <w:rsid w:val="00E5267B"/>
    <w:rsid w:val="00E559F0"/>
    <w:rsid w:val="00E63C0E"/>
    <w:rsid w:val="00E72D49"/>
    <w:rsid w:val="00E7593C"/>
    <w:rsid w:val="00E7678A"/>
    <w:rsid w:val="00E81BE2"/>
    <w:rsid w:val="00E878CB"/>
    <w:rsid w:val="00E935F1"/>
    <w:rsid w:val="00E94A81"/>
    <w:rsid w:val="00EA1FFB"/>
    <w:rsid w:val="00EB048E"/>
    <w:rsid w:val="00EB4E9C"/>
    <w:rsid w:val="00EC634B"/>
    <w:rsid w:val="00EE34DF"/>
    <w:rsid w:val="00EF2F89"/>
    <w:rsid w:val="00F03E98"/>
    <w:rsid w:val="00F1237A"/>
    <w:rsid w:val="00F22CBD"/>
    <w:rsid w:val="00F272F1"/>
    <w:rsid w:val="00F31412"/>
    <w:rsid w:val="00F45372"/>
    <w:rsid w:val="00F54661"/>
    <w:rsid w:val="00F560F7"/>
    <w:rsid w:val="00F6334D"/>
    <w:rsid w:val="00F63599"/>
    <w:rsid w:val="00F71781"/>
    <w:rsid w:val="00F96C11"/>
    <w:rsid w:val="00FA2C30"/>
    <w:rsid w:val="00FA49AB"/>
    <w:rsid w:val="00FC5FD0"/>
    <w:rsid w:val="00FE39C7"/>
    <w:rsid w:val="00FF4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D09F0B"/>
  <w15:docId w15:val="{23DE11C2-5ECE-41B2-B5C7-4236A0FE0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rPr>
  </w:style>
  <w:style w:type="paragraph" w:styleId="Heading1">
    <w:name w:val="heading 1"/>
    <w:aliases w:val="COMMON NAME,common"/>
    <w:next w:val="Normal"/>
    <w:link w:val="Heading1Char"/>
    <w:autoRedefine/>
    <w:qFormat/>
    <w:rsid w:val="004805FA"/>
    <w:pPr>
      <w:keepNext/>
      <w:jc w:val="both"/>
      <w:outlineLvl w:val="0"/>
    </w:pPr>
    <w:rPr>
      <w:rFonts w:ascii="Arial" w:hAnsi="Arial"/>
      <w:caps/>
    </w:rPr>
  </w:style>
  <w:style w:type="paragraph" w:styleId="Heading2">
    <w:name w:val="heading 2"/>
    <w:next w:val="Normal"/>
    <w:link w:val="Heading2Char"/>
    <w:autoRedefine/>
    <w:qFormat/>
    <w:rsid w:val="005848DE"/>
    <w:pPr>
      <w:keepNext/>
      <w:jc w:val="both"/>
      <w:outlineLvl w:val="1"/>
    </w:pPr>
    <w:rPr>
      <w:rFonts w:ascii="Arial" w:hAnsi="Arial"/>
      <w:u w:val="single"/>
    </w:rPr>
  </w:style>
  <w:style w:type="paragraph" w:styleId="Heading3">
    <w:name w:val="heading 3"/>
    <w:next w:val="Normal"/>
    <w:autoRedefine/>
    <w:qFormat/>
    <w:rsid w:val="004805FA"/>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5779DB"/>
    <w:pPr>
      <w:tabs>
        <w:tab w:val="left" w:pos="5387"/>
        <w:tab w:val="left" w:pos="5954"/>
      </w:tabs>
      <w:ind w:left="4820"/>
    </w:pPr>
    <w:rPr>
      <w:i/>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link w:val="FootnoteTextChar"/>
    <w:autoRedefine/>
    <w:rsid w:val="009D690D"/>
    <w:pPr>
      <w:spacing w:before="60"/>
      <w:ind w:left="567" w:hanging="567"/>
      <w:jc w:val="both"/>
    </w:pPr>
    <w:rPr>
      <w:rFonts w:ascii="Arial" w:hAnsi="Arial"/>
      <w:sz w:val="16"/>
    </w:rPr>
  </w:style>
  <w:style w:type="character" w:styleId="FootnoteReference">
    <w:name w:val="footnote reference"/>
    <w:aliases w:val="Footnote,callout"/>
    <w:basedOn w:val="DefaultParagraphFont"/>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rsid w:val="00753EE9"/>
    <w:pPr>
      <w:tabs>
        <w:tab w:val="right" w:leader="dot" w:pos="9639"/>
      </w:tabs>
      <w:spacing w:after="120"/>
      <w:ind w:left="454" w:right="851" w:hanging="284"/>
      <w:contextualSpacing/>
    </w:pPr>
    <w:rPr>
      <w:rFonts w:ascii="Arial" w:hAnsi="Arial"/>
      <w:smallCaps/>
    </w:rPr>
  </w:style>
  <w:style w:type="paragraph" w:styleId="TOC3">
    <w:name w:val="toc 3"/>
    <w:next w:val="Normal"/>
    <w:autoRedefine/>
    <w:uiPriority w:val="39"/>
    <w:rsid w:val="00902190"/>
    <w:pPr>
      <w:tabs>
        <w:tab w:val="right" w:leader="dot" w:pos="9639"/>
      </w:tabs>
      <w:spacing w:after="60"/>
      <w:ind w:left="851" w:right="1418" w:hanging="284"/>
    </w:pPr>
    <w:rPr>
      <w:rFonts w:ascii="Arial" w:hAnsi="Arial"/>
      <w:i/>
      <w:sz w:val="18"/>
      <w:lang w:val="fr-FR"/>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rsid w:val="00753EE9"/>
    <w:pPr>
      <w:tabs>
        <w:tab w:val="right" w:leader="dot" w:pos="9639"/>
      </w:tabs>
      <w:spacing w:after="120"/>
      <w:ind w:left="738" w:right="851" w:hanging="284"/>
    </w:pPr>
    <w:rPr>
      <w:rFonts w:ascii="Arial" w:hAnsi="Arial"/>
      <w:i/>
      <w:sz w:val="18"/>
      <w:lang w:val="fr-FR"/>
    </w:rPr>
  </w:style>
  <w:style w:type="paragraph" w:styleId="TOC1">
    <w:name w:val="toc 1"/>
    <w:basedOn w:val="Normal"/>
    <w:next w:val="Normal"/>
    <w:autoRedefine/>
    <w:uiPriority w:val="39"/>
    <w:rsid w:val="00B94BC8"/>
    <w:pPr>
      <w:tabs>
        <w:tab w:val="right" w:leader="dot" w:pos="9639"/>
      </w:tabs>
      <w:spacing w:before="60"/>
      <w:ind w:right="1418"/>
      <w:jc w:val="left"/>
    </w:pPr>
    <w:rPr>
      <w:caps/>
      <w:sz w:val="18"/>
    </w:rPr>
  </w:style>
  <w:style w:type="paragraph" w:styleId="TOC5">
    <w:name w:val="toc 5"/>
    <w:next w:val="Normal"/>
    <w:autoRedefine/>
    <w:rsid w:val="00753EE9"/>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Heading2Char">
    <w:name w:val="Heading 2 Char"/>
    <w:basedOn w:val="DefaultParagraphFont"/>
    <w:link w:val="Heading2"/>
    <w:rsid w:val="005848DE"/>
    <w:rPr>
      <w:rFonts w:ascii="Arial" w:hAnsi="Arial"/>
      <w:u w:val="single"/>
    </w:rPr>
  </w:style>
  <w:style w:type="character" w:customStyle="1" w:styleId="Heading1Char">
    <w:name w:val="Heading 1 Char"/>
    <w:aliases w:val="COMMON NAME Char,common Char"/>
    <w:basedOn w:val="DefaultParagraphFont"/>
    <w:link w:val="Heading1"/>
    <w:rsid w:val="001D5B08"/>
    <w:rPr>
      <w:rFonts w:ascii="Arial" w:hAnsi="Arial"/>
      <w:caps/>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E3579A"/>
    <w:rPr>
      <w:rFonts w:ascii="Arial" w:hAnsi="Arial"/>
      <w:sz w:val="16"/>
    </w:rPr>
  </w:style>
  <w:style w:type="character" w:customStyle="1" w:styleId="HeaderChar">
    <w:name w:val="Header Char"/>
    <w:basedOn w:val="DefaultParagraphFont"/>
    <w:link w:val="Header"/>
    <w:uiPriority w:val="99"/>
    <w:rsid w:val="002B7E9E"/>
    <w:rPr>
      <w:rFonts w:ascii="Arial" w:hAnsi="Arial"/>
      <w:lang w:val="fr-FR"/>
    </w:rPr>
  </w:style>
  <w:style w:type="character" w:styleId="CommentReference">
    <w:name w:val="annotation reference"/>
    <w:basedOn w:val="DefaultParagraphFont"/>
    <w:semiHidden/>
    <w:unhideWhenUsed/>
    <w:rsid w:val="00B83BAC"/>
    <w:rPr>
      <w:sz w:val="16"/>
      <w:szCs w:val="16"/>
    </w:rPr>
  </w:style>
  <w:style w:type="paragraph" w:styleId="CommentText">
    <w:name w:val="annotation text"/>
    <w:basedOn w:val="Normal"/>
    <w:link w:val="CommentTextChar"/>
    <w:unhideWhenUsed/>
    <w:rsid w:val="00B83BAC"/>
  </w:style>
  <w:style w:type="character" w:customStyle="1" w:styleId="CommentTextChar">
    <w:name w:val="Comment Text Char"/>
    <w:basedOn w:val="DefaultParagraphFont"/>
    <w:link w:val="CommentText"/>
    <w:rsid w:val="00B83BAC"/>
    <w:rPr>
      <w:rFonts w:ascii="Arial" w:hAnsi="Arial"/>
    </w:rPr>
  </w:style>
  <w:style w:type="paragraph" w:styleId="CommentSubject">
    <w:name w:val="annotation subject"/>
    <w:basedOn w:val="CommentText"/>
    <w:next w:val="CommentText"/>
    <w:link w:val="CommentSubjectChar"/>
    <w:semiHidden/>
    <w:unhideWhenUsed/>
    <w:rsid w:val="00B83BAC"/>
    <w:rPr>
      <w:b/>
      <w:bCs/>
    </w:rPr>
  </w:style>
  <w:style w:type="character" w:customStyle="1" w:styleId="CommentSubjectChar">
    <w:name w:val="Comment Subject Char"/>
    <w:basedOn w:val="CommentTextChar"/>
    <w:link w:val="CommentSubject"/>
    <w:semiHidden/>
    <w:rsid w:val="00B83BA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7898">
      <w:bodyDiv w:val="1"/>
      <w:marLeft w:val="0"/>
      <w:marRight w:val="0"/>
      <w:marTop w:val="0"/>
      <w:marBottom w:val="0"/>
      <w:divBdr>
        <w:top w:val="none" w:sz="0" w:space="0" w:color="auto"/>
        <w:left w:val="none" w:sz="0" w:space="0" w:color="auto"/>
        <w:bottom w:val="none" w:sz="0" w:space="0" w:color="auto"/>
        <w:right w:val="none" w:sz="0" w:space="0" w:color="auto"/>
      </w:divBdr>
      <w:divsChild>
        <w:div w:id="1284536432">
          <w:marLeft w:val="0"/>
          <w:marRight w:val="0"/>
          <w:marTop w:val="0"/>
          <w:marBottom w:val="0"/>
          <w:divBdr>
            <w:top w:val="none" w:sz="0" w:space="0" w:color="auto"/>
            <w:left w:val="none" w:sz="0" w:space="0" w:color="auto"/>
            <w:bottom w:val="none" w:sz="0" w:space="0" w:color="auto"/>
            <w:right w:val="none" w:sz="0" w:space="0" w:color="auto"/>
          </w:divBdr>
        </w:div>
      </w:divsChild>
    </w:div>
    <w:div w:id="739249801">
      <w:bodyDiv w:val="1"/>
      <w:marLeft w:val="0"/>
      <w:marRight w:val="0"/>
      <w:marTop w:val="0"/>
      <w:marBottom w:val="0"/>
      <w:divBdr>
        <w:top w:val="none" w:sz="0" w:space="0" w:color="auto"/>
        <w:left w:val="none" w:sz="0" w:space="0" w:color="auto"/>
        <w:bottom w:val="none" w:sz="0" w:space="0" w:color="auto"/>
        <w:right w:val="none" w:sz="0" w:space="0" w:color="auto"/>
      </w:divBdr>
    </w:div>
    <w:div w:id="1173762915">
      <w:bodyDiv w:val="1"/>
      <w:marLeft w:val="0"/>
      <w:marRight w:val="0"/>
      <w:marTop w:val="0"/>
      <w:marBottom w:val="0"/>
      <w:divBdr>
        <w:top w:val="none" w:sz="0" w:space="0" w:color="auto"/>
        <w:left w:val="none" w:sz="0" w:space="0" w:color="auto"/>
        <w:bottom w:val="none" w:sz="0" w:space="0" w:color="auto"/>
        <w:right w:val="none" w:sz="0" w:space="0" w:color="auto"/>
      </w:divBdr>
    </w:div>
    <w:div w:id="1666131528">
      <w:bodyDiv w:val="1"/>
      <w:marLeft w:val="0"/>
      <w:marRight w:val="0"/>
      <w:marTop w:val="0"/>
      <w:marBottom w:val="0"/>
      <w:divBdr>
        <w:top w:val="none" w:sz="0" w:space="0" w:color="auto"/>
        <w:left w:val="none" w:sz="0" w:space="0" w:color="auto"/>
        <w:bottom w:val="none" w:sz="0" w:space="0" w:color="auto"/>
        <w:right w:val="none" w:sz="0" w:space="0" w:color="auto"/>
      </w:divBdr>
    </w:div>
    <w:div w:id="1848671645">
      <w:bodyDiv w:val="1"/>
      <w:marLeft w:val="0"/>
      <w:marRight w:val="0"/>
      <w:marTop w:val="0"/>
      <w:marBottom w:val="0"/>
      <w:divBdr>
        <w:top w:val="none" w:sz="0" w:space="0" w:color="auto"/>
        <w:left w:val="none" w:sz="0" w:space="0" w:color="auto"/>
        <w:bottom w:val="none" w:sz="0" w:space="0" w:color="auto"/>
        <w:right w:val="none" w:sz="0" w:space="0" w:color="auto"/>
      </w:divBdr>
      <w:divsChild>
        <w:div w:id="6559634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user/upov"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TC\TC61%20(2025)\templates\routing_slip_with_doc_tc_6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C2F6E-CF08-49CD-A37A-11446C2B2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routing_slip_with_doc_tc_61</Template>
  <TotalTime>233</TotalTime>
  <Pages>4</Pages>
  <Words>1202</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TC/60/7</vt:lpstr>
    </vt:vector>
  </TitlesOfParts>
  <Company>UPOV</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TC/61/7</dc:title>
  <dc:creator>MAY Jessica</dc:creator>
  <cp:keywords>, docId:092BAC5ACE45F5A3FB527D88F15271EC</cp:keywords>
  <cp:lastModifiedBy>MAY Jessica</cp:lastModifiedBy>
  <cp:revision>33</cp:revision>
  <cp:lastPrinted>2016-11-22T15:41:00Z</cp:lastPrinted>
  <dcterms:created xsi:type="dcterms:W3CDTF">2025-06-10T14:39:00Z</dcterms:created>
  <dcterms:modified xsi:type="dcterms:W3CDTF">2025-09-30T09:15:00Z</dcterms:modified>
</cp:coreProperties>
</file>