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421571" w:rsidRPr="001B41CB" w14:paraId="3612A074" w14:textId="77777777" w:rsidTr="00F26786">
        <w:tc>
          <w:tcPr>
            <w:tcW w:w="6522" w:type="dxa"/>
          </w:tcPr>
          <w:p w14:paraId="334F9761" w14:textId="11EE6AAE" w:rsidR="00421571" w:rsidRPr="001B41CB" w:rsidRDefault="00C16B87" w:rsidP="00F26786">
            <w:pPr>
              <w:rPr>
                <w:lang w:val="fr-FR"/>
              </w:rPr>
            </w:pPr>
            <w:r w:rsidRPr="001B41CB">
              <w:rPr>
                <w:lang w:val="fr-FR"/>
              </w:rPr>
              <w:drawing>
                <wp:inline distT="0" distB="0" distL="0" distR="0" wp14:anchorId="027F4B9E" wp14:editId="68848B91">
                  <wp:extent cx="933450" cy="266408"/>
                  <wp:effectExtent l="0" t="0" r="0" b="635"/>
                  <wp:docPr id="45706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6048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200" cy="267764"/>
                          </a:xfrm>
                          <a:prstGeom prst="rect">
                            <a:avLst/>
                          </a:prstGeom>
                          <a:noFill/>
                          <a:ln>
                            <a:noFill/>
                          </a:ln>
                        </pic:spPr>
                      </pic:pic>
                    </a:graphicData>
                  </a:graphic>
                </wp:inline>
              </w:drawing>
            </w:r>
          </w:p>
        </w:tc>
        <w:tc>
          <w:tcPr>
            <w:tcW w:w="3117" w:type="dxa"/>
          </w:tcPr>
          <w:p w14:paraId="0F6F2607" w14:textId="580E501B" w:rsidR="00421571" w:rsidRPr="001B41CB" w:rsidRDefault="00905B44" w:rsidP="00F26786">
            <w:pPr>
              <w:pStyle w:val="Lettrine"/>
              <w:rPr>
                <w:lang w:val="fr-FR"/>
              </w:rPr>
            </w:pPr>
            <w:r>
              <w:rPr>
                <w:lang w:val="fr-FR"/>
              </w:rPr>
              <w:t>F</w:t>
            </w:r>
          </w:p>
        </w:tc>
      </w:tr>
      <w:tr w:rsidR="00421571" w:rsidRPr="001B41CB" w14:paraId="58F1FB94" w14:textId="77777777" w:rsidTr="00F26786">
        <w:trPr>
          <w:trHeight w:val="219"/>
        </w:trPr>
        <w:tc>
          <w:tcPr>
            <w:tcW w:w="6522" w:type="dxa"/>
          </w:tcPr>
          <w:p w14:paraId="03A247AE" w14:textId="77777777" w:rsidR="00421571" w:rsidRPr="001B41CB" w:rsidRDefault="00421571" w:rsidP="00F26786">
            <w:pPr>
              <w:pStyle w:val="upove"/>
              <w:rPr>
                <w:lang w:val="fr-FR"/>
              </w:rPr>
            </w:pPr>
            <w:r w:rsidRPr="001B41CB">
              <w:rPr>
                <w:lang w:val="fr-FR"/>
              </w:rPr>
              <w:t>Union internationale pour la protection des variétés végétales</w:t>
            </w:r>
          </w:p>
        </w:tc>
        <w:tc>
          <w:tcPr>
            <w:tcW w:w="3117" w:type="dxa"/>
          </w:tcPr>
          <w:p w14:paraId="03A480E8" w14:textId="77777777" w:rsidR="00421571" w:rsidRPr="001B41CB" w:rsidRDefault="00421571" w:rsidP="00F26786">
            <w:pPr>
              <w:rPr>
                <w:lang w:val="fr-FR"/>
              </w:rPr>
            </w:pPr>
          </w:p>
        </w:tc>
      </w:tr>
    </w:tbl>
    <w:p w14:paraId="564D388D" w14:textId="77777777" w:rsidR="00421571" w:rsidRPr="001B41CB" w:rsidRDefault="00421571" w:rsidP="00421571">
      <w:pPr>
        <w:rPr>
          <w:lang w:val="fr-FR"/>
        </w:rPr>
      </w:pPr>
    </w:p>
    <w:p w14:paraId="6B7F669E" w14:textId="77777777" w:rsidR="00F96C11" w:rsidRPr="001B41CB" w:rsidRDefault="00F96C11" w:rsidP="00F96C11">
      <w:pPr>
        <w:rPr>
          <w:lang w:val="fr-FR"/>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F96C11" w:rsidRPr="001B41CB" w14:paraId="524487DA" w14:textId="77777777" w:rsidTr="00B314FB">
        <w:tc>
          <w:tcPr>
            <w:tcW w:w="6512" w:type="dxa"/>
          </w:tcPr>
          <w:p w14:paraId="11909CBC" w14:textId="77777777" w:rsidR="00F96C11" w:rsidRPr="001B41CB" w:rsidRDefault="00F96C11" w:rsidP="00B314FB">
            <w:pPr>
              <w:pStyle w:val="Sessiontc"/>
              <w:spacing w:line="240" w:lineRule="auto"/>
              <w:rPr>
                <w:lang w:val="fr-FR"/>
              </w:rPr>
            </w:pPr>
            <w:r w:rsidRPr="001B41CB">
              <w:rPr>
                <w:lang w:val="fr-FR"/>
              </w:rPr>
              <w:t>Comité technique</w:t>
            </w:r>
          </w:p>
          <w:p w14:paraId="73D989F9" w14:textId="77777777" w:rsidR="00F96C11" w:rsidRPr="001B41CB" w:rsidRDefault="00F96C11" w:rsidP="00B314FB">
            <w:pPr>
              <w:pStyle w:val="Sessiontcplacedate"/>
              <w:rPr>
                <w:lang w:val="fr-FR"/>
              </w:rPr>
            </w:pPr>
            <w:r w:rsidRPr="001B41CB">
              <w:rPr>
                <w:lang w:val="fr-FR"/>
              </w:rPr>
              <w:t>Soixante et unième session</w:t>
            </w:r>
          </w:p>
          <w:p w14:paraId="7B8EFFB4" w14:textId="77777777" w:rsidR="00F96C11" w:rsidRPr="001B41CB" w:rsidRDefault="00F96C11" w:rsidP="00B314FB">
            <w:pPr>
              <w:pStyle w:val="Sessiontcplacedate"/>
              <w:rPr>
                <w:sz w:val="22"/>
                <w:lang w:val="fr-FR"/>
              </w:rPr>
            </w:pPr>
            <w:r w:rsidRPr="001B41CB">
              <w:rPr>
                <w:lang w:val="fr-FR"/>
              </w:rPr>
              <w:t>Genève, les 20 et 21 octobre 2025</w:t>
            </w:r>
          </w:p>
        </w:tc>
        <w:tc>
          <w:tcPr>
            <w:tcW w:w="3127" w:type="dxa"/>
          </w:tcPr>
          <w:p w14:paraId="37F48C1C" w14:textId="69E8D929" w:rsidR="00F96C11" w:rsidRPr="001B41CB" w:rsidRDefault="00F54661" w:rsidP="00B314FB">
            <w:pPr>
              <w:pStyle w:val="Doccode"/>
              <w:rPr>
                <w:lang w:val="fr-FR"/>
              </w:rPr>
            </w:pPr>
            <w:r w:rsidRPr="001B41CB">
              <w:rPr>
                <w:lang w:val="fr-FR"/>
              </w:rPr>
              <w:t>TC/61/3</w:t>
            </w:r>
          </w:p>
          <w:p w14:paraId="3BAFE16B" w14:textId="77777777" w:rsidR="00F96C11" w:rsidRPr="001B41CB" w:rsidRDefault="00F96C11" w:rsidP="00B314FB">
            <w:pPr>
              <w:pStyle w:val="Docoriginal"/>
              <w:rPr>
                <w:lang w:val="fr-FR"/>
              </w:rPr>
            </w:pPr>
            <w:r w:rsidRPr="001B41CB">
              <w:rPr>
                <w:lang w:val="fr-FR"/>
              </w:rPr>
              <w:t xml:space="preserve">Original : </w:t>
            </w:r>
            <w:r w:rsidRPr="001B41CB">
              <w:rPr>
                <w:b w:val="0"/>
                <w:spacing w:val="0"/>
                <w:lang w:val="fr-FR"/>
              </w:rPr>
              <w:t>anglais</w:t>
            </w:r>
          </w:p>
          <w:p w14:paraId="65679824" w14:textId="48DC0766" w:rsidR="00F96C11" w:rsidRPr="001B41CB" w:rsidRDefault="00F96C11" w:rsidP="00B314FB">
            <w:pPr>
              <w:pStyle w:val="Docoriginal"/>
              <w:rPr>
                <w:lang w:val="fr-FR"/>
              </w:rPr>
            </w:pPr>
            <w:r w:rsidRPr="001B41CB">
              <w:rPr>
                <w:lang w:val="fr-FR"/>
              </w:rPr>
              <w:t>Date:</w:t>
            </w:r>
            <w:r w:rsidRPr="001B41CB">
              <w:rPr>
                <w:b w:val="0"/>
                <w:spacing w:val="0"/>
                <w:lang w:val="fr-FR"/>
              </w:rPr>
              <w:t xml:space="preserve">  </w:t>
            </w:r>
            <w:r w:rsidR="00397554" w:rsidRPr="001B41CB">
              <w:rPr>
                <w:b w:val="0"/>
                <w:spacing w:val="0"/>
                <w:lang w:val="fr-FR"/>
              </w:rPr>
              <w:t xml:space="preserve"> 22 </w:t>
            </w:r>
            <w:r w:rsidR="00F70CD4" w:rsidRPr="001B41CB">
              <w:rPr>
                <w:b w:val="0"/>
                <w:spacing w:val="0"/>
                <w:lang w:val="fr-FR"/>
              </w:rPr>
              <w:t>septembre</w:t>
            </w:r>
            <w:r w:rsidRPr="001B41CB">
              <w:rPr>
                <w:b w:val="0"/>
                <w:spacing w:val="0"/>
                <w:lang w:val="fr-FR"/>
              </w:rPr>
              <w:t xml:space="preserve"> 2025</w:t>
            </w:r>
          </w:p>
        </w:tc>
      </w:tr>
    </w:tbl>
    <w:p w14:paraId="2A1C89D1" w14:textId="3E8D6E23" w:rsidR="00F96C11" w:rsidRPr="001B41CB" w:rsidRDefault="00F54661" w:rsidP="00F96C11">
      <w:pPr>
        <w:pStyle w:val="Titleofdoc0"/>
        <w:rPr>
          <w:lang w:val="fr-FR"/>
        </w:rPr>
      </w:pPr>
      <w:r w:rsidRPr="001B41CB">
        <w:rPr>
          <w:lang w:val="fr-FR"/>
        </w:rPr>
        <w:t>Questions découlant des groupes de travail techniques</w:t>
      </w:r>
    </w:p>
    <w:p w14:paraId="23DFE5AD" w14:textId="77777777" w:rsidR="003D0839" w:rsidRPr="001B41CB" w:rsidRDefault="003D0839" w:rsidP="003D0839">
      <w:pPr>
        <w:pStyle w:val="preparedby1"/>
        <w:jc w:val="left"/>
        <w:rPr>
          <w:lang w:val="fr-FR"/>
        </w:rPr>
      </w:pPr>
      <w:r w:rsidRPr="001B41CB">
        <w:rPr>
          <w:lang w:val="fr-FR"/>
        </w:rPr>
        <w:t>Document préparé par le Bureau de l'Union</w:t>
      </w:r>
    </w:p>
    <w:p w14:paraId="2E35E6B5" w14:textId="77777777" w:rsidR="005E7A67" w:rsidRPr="006365CE" w:rsidRDefault="005E7A67" w:rsidP="005E7A67">
      <w:pPr>
        <w:pStyle w:val="Disclaimer"/>
        <w:rPr>
          <w:lang w:val="fr-FR"/>
        </w:rPr>
      </w:pPr>
      <w:bookmarkStart w:id="0" w:name="_Toc20505077"/>
      <w:bookmarkStart w:id="1" w:name="_Toc208828849"/>
      <w:r w:rsidRPr="006365CE">
        <w:rPr>
          <w:lang w:val="fr-FR"/>
        </w:rPr>
        <w:t>Avertissement : le présent document ne représente pas les principes ou les orientations de l’UPOV</w:t>
      </w:r>
      <w:r>
        <w:rPr>
          <w:lang w:val="fr-FR"/>
        </w:rPr>
        <w:t>.</w:t>
      </w:r>
      <w:r>
        <w:rPr>
          <w:lang w:val="fr-FR"/>
        </w:rPr>
        <w:br/>
      </w:r>
      <w:r>
        <w:rPr>
          <w:lang w:val="fr-FR"/>
        </w:rPr>
        <w:br/>
      </w:r>
      <w:r w:rsidRPr="006365CE">
        <w:rPr>
          <w:lang w:val="fr-FR"/>
        </w:rPr>
        <w:t>Ce document a été généré à l'aide d'une traduction automatique dont l'exactitude ne peut être garantie. Par conséquent, le texte dans la langue originale est la seule version authentique.</w:t>
      </w:r>
    </w:p>
    <w:p w14:paraId="02679996" w14:textId="77777777" w:rsidR="00F21482" w:rsidRPr="001B41CB" w:rsidRDefault="00F21482" w:rsidP="00F21482">
      <w:pPr>
        <w:keepNext/>
        <w:outlineLvl w:val="0"/>
        <w:rPr>
          <w:caps/>
          <w:lang w:val="fr-FR"/>
        </w:rPr>
      </w:pPr>
      <w:r w:rsidRPr="001B41CB">
        <w:rPr>
          <w:caps/>
          <w:lang w:val="fr-FR"/>
        </w:rPr>
        <w:t>RESUMÉ</w:t>
      </w:r>
      <w:bookmarkEnd w:id="0"/>
      <w:bookmarkEnd w:id="1"/>
    </w:p>
    <w:p w14:paraId="5B7BC1B1" w14:textId="77777777" w:rsidR="00F21482" w:rsidRPr="001B41CB" w:rsidRDefault="00F21482" w:rsidP="00F21482">
      <w:pPr>
        <w:rPr>
          <w:color w:val="000000"/>
          <w:lang w:val="fr-FR"/>
        </w:rPr>
      </w:pPr>
    </w:p>
    <w:p w14:paraId="35C297F8" w14:textId="770671AA" w:rsidR="00F21482" w:rsidRPr="001B41CB" w:rsidRDefault="00F21482" w:rsidP="00F21482">
      <w:pPr>
        <w:rPr>
          <w:color w:val="000000"/>
          <w:lang w:val="fr-FR"/>
        </w:rPr>
      </w:pPr>
      <w:r w:rsidRPr="001B41CB">
        <w:rPr>
          <w:color w:val="000000"/>
          <w:lang w:val="fr-FR"/>
        </w:rPr>
        <w:fldChar w:fldCharType="begin"/>
      </w:r>
      <w:r w:rsidRPr="001B41CB">
        <w:rPr>
          <w:color w:val="000000"/>
          <w:lang w:val="fr-FR"/>
        </w:rPr>
        <w:instrText xml:space="preserve"> AUTONUM  </w:instrText>
      </w:r>
      <w:r w:rsidRPr="001B41CB">
        <w:rPr>
          <w:color w:val="000000"/>
          <w:lang w:val="fr-FR"/>
        </w:rPr>
        <w:fldChar w:fldCharType="end"/>
      </w:r>
      <w:r w:rsidRPr="001B41CB">
        <w:rPr>
          <w:color w:val="000000"/>
          <w:lang w:val="fr-FR"/>
        </w:rPr>
        <w:tab/>
        <w:t xml:space="preserve">Le présent document compile les questions qui ne sont pas expressément couvertes par des points spécifiques de l'ordre du jour et qui découlent des sessions de 2025 du </w:t>
      </w:r>
      <w:r w:rsidRPr="001B41CB">
        <w:rPr>
          <w:rFonts w:eastAsia="PMingLiU"/>
          <w:szCs w:val="24"/>
          <w:lang w:val="fr-FR"/>
        </w:rPr>
        <w:t>Groupe de travail technique sur les plantes ornementales et les arbres forestiers (TWO)</w:t>
      </w:r>
      <w:r w:rsidRPr="001B41CB">
        <w:rPr>
          <w:rFonts w:eastAsia="PMingLiU"/>
          <w:szCs w:val="24"/>
          <w:vertAlign w:val="superscript"/>
          <w:lang w:val="fr-FR"/>
        </w:rPr>
        <w:footnoteReference w:id="2"/>
      </w:r>
      <w:r w:rsidRPr="001B41CB">
        <w:rPr>
          <w:rFonts w:eastAsia="PMingLiU"/>
          <w:szCs w:val="24"/>
          <w:lang w:val="fr-FR"/>
        </w:rPr>
        <w:t xml:space="preserve"> , du Groupe de travail technique sur les plantes potagères (TWV)</w:t>
      </w:r>
      <w:r w:rsidRPr="001B41CB">
        <w:rPr>
          <w:rFonts w:eastAsia="PMingLiU"/>
          <w:szCs w:val="24"/>
          <w:vertAlign w:val="superscript"/>
          <w:lang w:val="fr-FR"/>
        </w:rPr>
        <w:footnoteReference w:id="3"/>
      </w:r>
      <w:r w:rsidRPr="001B41CB">
        <w:rPr>
          <w:rFonts w:eastAsia="PMingLiU"/>
          <w:szCs w:val="24"/>
          <w:lang w:val="fr-FR"/>
        </w:rPr>
        <w:t xml:space="preserve"> , </w:t>
      </w:r>
      <w:r w:rsidRPr="001B41CB">
        <w:rPr>
          <w:color w:val="000000"/>
          <w:lang w:val="fr-FR"/>
        </w:rPr>
        <w:t>du Groupe de travail technique sur les méthodes et techniques d'essai (TWM)</w:t>
      </w:r>
      <w:r w:rsidRPr="001B41CB">
        <w:rPr>
          <w:rFonts w:eastAsia="PMingLiU"/>
          <w:szCs w:val="24"/>
          <w:vertAlign w:val="superscript"/>
          <w:lang w:val="fr-FR"/>
        </w:rPr>
        <w:footnoteReference w:id="4"/>
      </w:r>
      <w:r w:rsidRPr="001B41CB">
        <w:rPr>
          <w:rFonts w:eastAsia="PMingLiU"/>
          <w:szCs w:val="24"/>
          <w:lang w:val="fr-FR"/>
        </w:rPr>
        <w:t xml:space="preserve"> , du Groupe de travail technique sur les plantes agricoles (TWA)</w:t>
      </w:r>
      <w:r w:rsidRPr="001B41CB">
        <w:rPr>
          <w:rFonts w:eastAsia="PMingLiU"/>
          <w:szCs w:val="24"/>
          <w:vertAlign w:val="superscript"/>
          <w:lang w:val="fr-FR"/>
        </w:rPr>
        <w:footnoteReference w:id="5"/>
      </w:r>
      <w:r w:rsidRPr="001B41CB">
        <w:rPr>
          <w:rFonts w:eastAsia="PMingLiU"/>
          <w:szCs w:val="24"/>
          <w:lang w:val="fr-FR"/>
        </w:rPr>
        <w:t xml:space="preserve"> et du Groupe de travail technique sur les plantes fruitières </w:t>
      </w:r>
      <w:r w:rsidRPr="001B41CB">
        <w:rPr>
          <w:color w:val="000000"/>
          <w:lang w:val="fr-FR"/>
        </w:rPr>
        <w:t>(TWF)</w:t>
      </w:r>
      <w:r w:rsidRPr="001B41CB">
        <w:rPr>
          <w:color w:val="000000"/>
          <w:vertAlign w:val="superscript"/>
          <w:lang w:val="fr-FR"/>
        </w:rPr>
        <w:footnoteReference w:id="6"/>
      </w:r>
      <w:r w:rsidRPr="001B41CB">
        <w:rPr>
          <w:color w:val="000000"/>
          <w:lang w:val="fr-FR"/>
        </w:rPr>
        <w:t xml:space="preserve"> .  </w:t>
      </w:r>
    </w:p>
    <w:p w14:paraId="054CC875" w14:textId="77777777" w:rsidR="00F21482" w:rsidRPr="001B41CB" w:rsidRDefault="00F21482" w:rsidP="00F21482">
      <w:pPr>
        <w:rPr>
          <w:color w:val="000000"/>
          <w:lang w:val="fr-FR"/>
        </w:rPr>
      </w:pPr>
    </w:p>
    <w:p w14:paraId="6DB2EF4B" w14:textId="77777777" w:rsidR="00F21482" w:rsidRPr="001B41CB" w:rsidRDefault="00F21482" w:rsidP="00F21482">
      <w:pPr>
        <w:rPr>
          <w:lang w:val="fr-FR"/>
        </w:rPr>
      </w:pPr>
      <w:r w:rsidRPr="001B41CB">
        <w:rPr>
          <w:color w:val="000000"/>
          <w:lang w:val="fr-FR"/>
        </w:rPr>
        <w:fldChar w:fldCharType="begin"/>
      </w:r>
      <w:r w:rsidRPr="001B41CB">
        <w:rPr>
          <w:color w:val="000000"/>
          <w:lang w:val="fr-FR"/>
        </w:rPr>
        <w:instrText xml:space="preserve"> AUTONUM  </w:instrText>
      </w:r>
      <w:r w:rsidRPr="001B41CB">
        <w:rPr>
          <w:color w:val="000000"/>
          <w:lang w:val="fr-FR"/>
        </w:rPr>
        <w:fldChar w:fldCharType="end"/>
      </w:r>
      <w:r w:rsidRPr="001B41CB">
        <w:rPr>
          <w:color w:val="000000"/>
          <w:lang w:val="fr-FR"/>
        </w:rPr>
        <w:tab/>
        <w:t xml:space="preserve">Le présent document </w:t>
      </w:r>
      <w:r w:rsidRPr="001B41CB">
        <w:rPr>
          <w:lang w:val="fr-FR"/>
        </w:rPr>
        <w:t xml:space="preserve">comprend deux sections. La première section, intitulée </w:t>
      </w:r>
      <w:r w:rsidRPr="001B41CB">
        <w:rPr>
          <w:caps/>
          <w:lang w:val="fr-FR"/>
        </w:rPr>
        <w:t>«</w:t>
      </w:r>
      <w:r w:rsidRPr="001B41CB">
        <w:rPr>
          <w:lang w:val="fr-FR"/>
        </w:rPr>
        <w:t xml:space="preserve"> Questions soumises pour information et pour décision éventuelle du Comité technique (TC) </w:t>
      </w:r>
      <w:r w:rsidRPr="001B41CB">
        <w:rPr>
          <w:caps/>
          <w:lang w:val="fr-FR"/>
        </w:rPr>
        <w:t xml:space="preserve">», </w:t>
      </w:r>
      <w:r w:rsidRPr="001B41CB">
        <w:rPr>
          <w:lang w:val="fr-FR"/>
        </w:rPr>
        <w:t>recense les questions qui pourraient nécessiter une décision du TC.  Le Bureau de l'Union (Bureau) a mis en évidence les aspects sur lesquels le TC pourrait souhaiter prendre une décision en introduisant un paragraphe de décision proposée. La deuxième section, intitulée « Questions pour information », est fournie à titre d'information au TC, mais ne nécessite pas de décision à ce stade.</w:t>
      </w:r>
    </w:p>
    <w:p w14:paraId="0492F255" w14:textId="77777777" w:rsidR="00F21482" w:rsidRPr="001B41CB" w:rsidRDefault="00F21482" w:rsidP="00F21482">
      <w:pPr>
        <w:tabs>
          <w:tab w:val="left" w:pos="567"/>
          <w:tab w:val="left" w:pos="1701"/>
        </w:tabs>
        <w:ind w:left="1695" w:hanging="1695"/>
        <w:rPr>
          <w:rFonts w:eastAsia="PMingLiU"/>
          <w:szCs w:val="24"/>
          <w:lang w:val="fr-FR"/>
        </w:rPr>
      </w:pPr>
    </w:p>
    <w:p w14:paraId="14675184" w14:textId="77777777" w:rsidR="00F21482" w:rsidRPr="001B41CB" w:rsidRDefault="00F21482" w:rsidP="00F21482">
      <w:pPr>
        <w:tabs>
          <w:tab w:val="left" w:pos="567"/>
        </w:tabs>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Le TC est invité à : </w:t>
      </w:r>
    </w:p>
    <w:p w14:paraId="5AAEF5FD" w14:textId="77777777" w:rsidR="00F21482" w:rsidRPr="001B41CB" w:rsidRDefault="00F21482" w:rsidP="00F21482">
      <w:pPr>
        <w:tabs>
          <w:tab w:val="left" w:pos="567"/>
        </w:tabs>
        <w:rPr>
          <w:lang w:val="fr-FR"/>
        </w:rPr>
      </w:pPr>
    </w:p>
    <w:p w14:paraId="051FDE3B" w14:textId="7DE190BD" w:rsidR="00F21482" w:rsidRPr="001B41CB" w:rsidRDefault="008872DC" w:rsidP="008872DC">
      <w:pPr>
        <w:pStyle w:val="ListParagraph"/>
        <w:keepNext/>
        <w:keepLines/>
        <w:numPr>
          <w:ilvl w:val="0"/>
          <w:numId w:val="5"/>
        </w:numPr>
        <w:tabs>
          <w:tab w:val="left" w:pos="5387"/>
        </w:tabs>
        <w:rPr>
          <w:iCs/>
          <w:lang w:val="fr-FR" w:eastAsia="fr-FR"/>
        </w:rPr>
      </w:pPr>
      <w:r w:rsidRPr="001B41CB">
        <w:rPr>
          <w:iCs/>
          <w:lang w:val="fr-FR"/>
        </w:rPr>
        <w:t>examiner la proposition du TWV visant à mener une enquête auprès des membres de l'UPOV afin de déterminer si des caractères supplémentaires non inclus dans les principes directeurs d'examen pourraient constituer un obstacle à la reprise des rapports d'examen</w:t>
      </w:r>
      <w:r w:rsidRPr="001B41CB">
        <w:rPr>
          <w:iCs/>
          <w:lang w:val="fr-FR" w:eastAsia="fr-FR"/>
        </w:rPr>
        <w:t xml:space="preserve">, comme indiqué aux paragraphes 10 et 11 du présent document </w:t>
      </w:r>
      <w:r w:rsidR="00F21482" w:rsidRPr="001B41CB">
        <w:rPr>
          <w:iCs/>
          <w:lang w:val="fr-FR" w:eastAsia="fr-FR"/>
        </w:rPr>
        <w:t>; et</w:t>
      </w:r>
    </w:p>
    <w:p w14:paraId="329D1F74" w14:textId="77777777" w:rsidR="00F21482" w:rsidRPr="001B41CB" w:rsidRDefault="00F21482" w:rsidP="00F21482">
      <w:pPr>
        <w:tabs>
          <w:tab w:val="left" w:pos="567"/>
          <w:tab w:val="left" w:pos="1134"/>
        </w:tabs>
        <w:contextualSpacing/>
        <w:rPr>
          <w:rFonts w:eastAsiaTheme="minorEastAsia"/>
          <w:lang w:val="fr-FR" w:eastAsia="fr-FR"/>
        </w:rPr>
      </w:pPr>
    </w:p>
    <w:p w14:paraId="50CC6A73" w14:textId="77777777" w:rsidR="00F21482" w:rsidRPr="001B41CB" w:rsidRDefault="00F21482" w:rsidP="00F21482">
      <w:pPr>
        <w:numPr>
          <w:ilvl w:val="0"/>
          <w:numId w:val="5"/>
        </w:numPr>
        <w:tabs>
          <w:tab w:val="left" w:pos="567"/>
          <w:tab w:val="left" w:pos="1134"/>
        </w:tabs>
        <w:contextualSpacing/>
        <w:rPr>
          <w:rFonts w:eastAsiaTheme="minorEastAsia"/>
          <w:lang w:val="fr-FR" w:eastAsia="fr-FR"/>
        </w:rPr>
      </w:pPr>
      <w:r w:rsidRPr="001B41CB">
        <w:rPr>
          <w:rFonts w:eastAsiaTheme="minorEastAsia"/>
          <w:lang w:val="fr-FR"/>
        </w:rPr>
        <w:t>prendre note des développements au sein des TWP concernant :</w:t>
      </w:r>
    </w:p>
    <w:p w14:paraId="4D1C984A" w14:textId="4EF0C46E" w:rsidR="00F21482" w:rsidRPr="001B41CB" w:rsidRDefault="00F21482" w:rsidP="00563347">
      <w:pPr>
        <w:rPr>
          <w:lang w:val="fr-FR"/>
        </w:rPr>
      </w:pPr>
    </w:p>
    <w:p w14:paraId="5D0B38E8" w14:textId="252C4C26" w:rsidR="00F21482" w:rsidRPr="001B41CB" w:rsidRDefault="00365B2A" w:rsidP="00F21482">
      <w:pPr>
        <w:numPr>
          <w:ilvl w:val="0"/>
          <w:numId w:val="4"/>
        </w:numPr>
        <w:tabs>
          <w:tab w:val="left" w:pos="1701"/>
        </w:tabs>
        <w:ind w:left="1134" w:hanging="567"/>
        <w:contextualSpacing/>
        <w:rPr>
          <w:rFonts w:eastAsiaTheme="minorEastAsia"/>
          <w:lang w:val="fr-FR"/>
        </w:rPr>
      </w:pPr>
      <w:r w:rsidRPr="001B41CB">
        <w:rPr>
          <w:rFonts w:eastAsia="MS Mincho"/>
          <w:lang w:val="fr-FR"/>
        </w:rPr>
        <w:t xml:space="preserve">les caractères de résistance aux maladies </w:t>
      </w:r>
      <w:r w:rsidR="00F21482" w:rsidRPr="001B41CB">
        <w:rPr>
          <w:rFonts w:eastAsiaTheme="minorEastAsia"/>
          <w:lang w:val="fr-FR"/>
        </w:rPr>
        <w:t>;</w:t>
      </w:r>
    </w:p>
    <w:p w14:paraId="1292F6F3" w14:textId="6223C2E4" w:rsidR="00F21482" w:rsidRPr="001B41CB" w:rsidRDefault="00365B2A" w:rsidP="00F21482">
      <w:pPr>
        <w:numPr>
          <w:ilvl w:val="0"/>
          <w:numId w:val="4"/>
        </w:numPr>
        <w:tabs>
          <w:tab w:val="left" w:pos="1701"/>
        </w:tabs>
        <w:ind w:left="1134" w:hanging="567"/>
        <w:contextualSpacing/>
        <w:rPr>
          <w:rFonts w:eastAsiaTheme="minorEastAsia"/>
          <w:lang w:val="fr-FR"/>
        </w:rPr>
      </w:pPr>
      <w:r w:rsidRPr="001B41CB">
        <w:rPr>
          <w:rFonts w:eastAsia="MS Mincho"/>
          <w:lang w:val="fr-FR"/>
        </w:rPr>
        <w:t xml:space="preserve">les caractères observés au cours d'un cycle de végétation dans l'examen DHS, alors que la durée minimale des essais devrait normalement être de deux cycles de végétation indépendants </w:t>
      </w:r>
      <w:r w:rsidR="00F21482" w:rsidRPr="001B41CB">
        <w:rPr>
          <w:rFonts w:eastAsiaTheme="minorEastAsia"/>
          <w:lang w:val="fr-FR"/>
        </w:rPr>
        <w:t>;</w:t>
      </w:r>
    </w:p>
    <w:p w14:paraId="2B187383" w14:textId="25EE329C" w:rsidR="00F21482" w:rsidRPr="001B41CB" w:rsidRDefault="00365B2A" w:rsidP="00F21482">
      <w:pPr>
        <w:numPr>
          <w:ilvl w:val="0"/>
          <w:numId w:val="4"/>
        </w:numPr>
        <w:tabs>
          <w:tab w:val="left" w:pos="1701"/>
        </w:tabs>
        <w:ind w:left="1134" w:hanging="567"/>
        <w:contextualSpacing/>
        <w:rPr>
          <w:rFonts w:eastAsiaTheme="minorEastAsia"/>
          <w:lang w:val="fr-FR"/>
        </w:rPr>
      </w:pPr>
      <w:r w:rsidRPr="001B41CB">
        <w:rPr>
          <w:rFonts w:eastAsiaTheme="minorEastAsia"/>
          <w:lang w:val="fr-FR"/>
        </w:rPr>
        <w:t xml:space="preserve">l'évaluation de l'homogénéité des caractères non mentionnés dans les principes directeurs d'examen </w:t>
      </w:r>
      <w:r w:rsidR="00F21482" w:rsidRPr="001B41CB">
        <w:rPr>
          <w:rFonts w:eastAsiaTheme="minorEastAsia"/>
          <w:lang w:val="fr-FR"/>
        </w:rPr>
        <w:t>;</w:t>
      </w:r>
    </w:p>
    <w:p w14:paraId="64143B02" w14:textId="15FC5D40" w:rsidR="00F21482" w:rsidRPr="001B41CB" w:rsidRDefault="00365B2A" w:rsidP="00F21482">
      <w:pPr>
        <w:numPr>
          <w:ilvl w:val="0"/>
          <w:numId w:val="4"/>
        </w:numPr>
        <w:tabs>
          <w:tab w:val="left" w:pos="1701"/>
        </w:tabs>
        <w:ind w:left="1134" w:hanging="567"/>
        <w:contextualSpacing/>
        <w:rPr>
          <w:rFonts w:eastAsiaTheme="minorEastAsia"/>
          <w:lang w:val="fr-FR"/>
        </w:rPr>
      </w:pPr>
      <w:r w:rsidRPr="001B41CB">
        <w:rPr>
          <w:rFonts w:eastAsiaTheme="minorEastAsia"/>
          <w:lang w:val="fr-FR"/>
        </w:rPr>
        <w:t xml:space="preserve">Compte rendu sur les affaires judiciaires traitant de questions techniques : Allium </w:t>
      </w:r>
      <w:proofErr w:type="spellStart"/>
      <w:r w:rsidRPr="001B41CB">
        <w:rPr>
          <w:rFonts w:eastAsiaTheme="minorEastAsia"/>
          <w:lang w:val="fr-FR"/>
        </w:rPr>
        <w:t>cepa</w:t>
      </w:r>
      <w:proofErr w:type="spellEnd"/>
      <w:r w:rsidRPr="001B41CB">
        <w:rPr>
          <w:rFonts w:eastAsiaTheme="minorEastAsia"/>
          <w:lang w:val="fr-FR"/>
        </w:rPr>
        <w:t xml:space="preserve"> L. « SK20 » </w:t>
      </w:r>
      <w:r w:rsidR="00F21482" w:rsidRPr="001B41CB">
        <w:rPr>
          <w:rFonts w:eastAsiaTheme="minorEastAsia"/>
          <w:lang w:val="fr-FR"/>
        </w:rPr>
        <w:t>;</w:t>
      </w:r>
    </w:p>
    <w:p w14:paraId="7728B46F" w14:textId="123D3F85" w:rsidR="00F21482" w:rsidRPr="001B41CB" w:rsidRDefault="00365B2A" w:rsidP="00F21482">
      <w:pPr>
        <w:numPr>
          <w:ilvl w:val="0"/>
          <w:numId w:val="4"/>
        </w:numPr>
        <w:tabs>
          <w:tab w:val="left" w:pos="1701"/>
        </w:tabs>
        <w:ind w:left="1134" w:hanging="567"/>
        <w:contextualSpacing/>
        <w:rPr>
          <w:rFonts w:eastAsiaTheme="minorEastAsia" w:cs="Arial"/>
          <w:lang w:val="fr-FR"/>
        </w:rPr>
      </w:pPr>
      <w:r w:rsidRPr="001B41CB">
        <w:rPr>
          <w:rFonts w:eastAsiaTheme="minorEastAsia"/>
          <w:lang w:val="fr-FR"/>
        </w:rPr>
        <w:t xml:space="preserve">Bases de données d'informations : valeur et fiabilité des noms botaniques dans les plantes ornementales </w:t>
      </w:r>
      <w:r w:rsidR="00F21482" w:rsidRPr="001B41CB">
        <w:rPr>
          <w:rFonts w:eastAsiaTheme="minorEastAsia"/>
          <w:lang w:val="fr-FR"/>
        </w:rPr>
        <w:t>;</w:t>
      </w:r>
    </w:p>
    <w:p w14:paraId="6F9EF810" w14:textId="3385EFE9" w:rsidR="00F21482" w:rsidRPr="001B41CB" w:rsidRDefault="00365B2A" w:rsidP="00F21482">
      <w:pPr>
        <w:numPr>
          <w:ilvl w:val="0"/>
          <w:numId w:val="4"/>
        </w:numPr>
        <w:tabs>
          <w:tab w:val="left" w:pos="1701"/>
        </w:tabs>
        <w:ind w:left="1134" w:hanging="567"/>
        <w:contextualSpacing/>
        <w:rPr>
          <w:rFonts w:eastAsiaTheme="minorEastAsia"/>
          <w:lang w:val="fr-FR"/>
        </w:rPr>
      </w:pPr>
      <w:r w:rsidRPr="001B41CB">
        <w:rPr>
          <w:rFonts w:eastAsiaTheme="minorEastAsia"/>
          <w:lang w:val="fr-FR"/>
        </w:rPr>
        <w:t xml:space="preserve">Logiciels et méthodes d'analyse statistique pour l'examen DHS </w:t>
      </w:r>
      <w:r w:rsidR="00F21482" w:rsidRPr="001B41CB">
        <w:rPr>
          <w:rFonts w:eastAsiaTheme="minorEastAsia"/>
          <w:lang w:val="fr-FR"/>
        </w:rPr>
        <w:t>;</w:t>
      </w:r>
    </w:p>
    <w:p w14:paraId="409F73D3" w14:textId="0BF11227" w:rsidR="00F21482" w:rsidRPr="001B41CB" w:rsidRDefault="00365B2A" w:rsidP="00F21482">
      <w:pPr>
        <w:numPr>
          <w:ilvl w:val="0"/>
          <w:numId w:val="4"/>
        </w:numPr>
        <w:tabs>
          <w:tab w:val="left" w:pos="1701"/>
        </w:tabs>
        <w:ind w:left="1134" w:hanging="567"/>
        <w:contextualSpacing/>
        <w:rPr>
          <w:rFonts w:eastAsiaTheme="minorEastAsia"/>
          <w:lang w:val="fr-FR"/>
        </w:rPr>
      </w:pPr>
      <w:r w:rsidRPr="001B41CB">
        <w:rPr>
          <w:rFonts w:eastAsiaTheme="minorEastAsia"/>
          <w:lang w:val="fr-FR"/>
        </w:rPr>
        <w:lastRenderedPageBreak/>
        <w:t xml:space="preserve">Phénotypage et analyse d'images </w:t>
      </w:r>
      <w:r w:rsidR="00F21482" w:rsidRPr="001B41CB">
        <w:rPr>
          <w:rFonts w:eastAsiaTheme="minorEastAsia"/>
          <w:lang w:val="fr-FR"/>
        </w:rPr>
        <w:t>;</w:t>
      </w:r>
    </w:p>
    <w:p w14:paraId="402B42CA" w14:textId="7131BAF5" w:rsidR="00F21482" w:rsidRPr="001B41CB" w:rsidRDefault="00365B2A" w:rsidP="00F21482">
      <w:pPr>
        <w:numPr>
          <w:ilvl w:val="0"/>
          <w:numId w:val="4"/>
        </w:numPr>
        <w:tabs>
          <w:tab w:val="left" w:pos="1701"/>
        </w:tabs>
        <w:ind w:left="1134" w:hanging="567"/>
        <w:contextualSpacing/>
        <w:rPr>
          <w:rFonts w:eastAsiaTheme="minorEastAsia"/>
          <w:lang w:val="fr-FR"/>
        </w:rPr>
      </w:pPr>
      <w:r w:rsidRPr="001B41CB">
        <w:rPr>
          <w:rFonts w:eastAsiaTheme="minorEastAsia"/>
          <w:lang w:val="fr-FR"/>
        </w:rPr>
        <w:t xml:space="preserve">Collections de variétés : collection de variétés de cultures fruitières en Ukraine </w:t>
      </w:r>
      <w:r w:rsidR="00F21482" w:rsidRPr="001B41CB">
        <w:rPr>
          <w:rFonts w:eastAsiaTheme="minorEastAsia"/>
          <w:lang w:val="fr-FR"/>
        </w:rPr>
        <w:t>;</w:t>
      </w:r>
    </w:p>
    <w:p w14:paraId="0C93DACE" w14:textId="77777777" w:rsidR="00F21482" w:rsidRPr="001B41CB" w:rsidRDefault="00F21482" w:rsidP="00F21482">
      <w:pPr>
        <w:tabs>
          <w:tab w:val="left" w:pos="1701"/>
        </w:tabs>
        <w:rPr>
          <w:rFonts w:cs="Arial"/>
          <w:lang w:val="fr-FR"/>
        </w:rPr>
      </w:pPr>
    </w:p>
    <w:p w14:paraId="154C2C02" w14:textId="2DBED997" w:rsidR="00D30834" w:rsidRPr="001B41CB" w:rsidRDefault="00D30834" w:rsidP="00D30834">
      <w:pPr>
        <w:rPr>
          <w:snapToGrid w:val="0"/>
          <w:lang w:val="fr-FR"/>
        </w:rPr>
      </w:pPr>
      <w:r w:rsidRPr="001B41CB">
        <w:rPr>
          <w:snapToGrid w:val="0"/>
          <w:lang w:val="fr-FR"/>
        </w:rPr>
        <w:fldChar w:fldCharType="begin"/>
      </w:r>
      <w:r w:rsidRPr="001B41CB">
        <w:rPr>
          <w:snapToGrid w:val="0"/>
          <w:lang w:val="fr-FR"/>
        </w:rPr>
        <w:instrText xml:space="preserve"> AUTONUM  </w:instrText>
      </w:r>
      <w:r w:rsidRPr="001B41CB">
        <w:rPr>
          <w:snapToGrid w:val="0"/>
          <w:lang w:val="fr-FR"/>
        </w:rPr>
        <w:fldChar w:fldCharType="end"/>
      </w:r>
      <w:r w:rsidRPr="001B41CB">
        <w:rPr>
          <w:snapToGrid w:val="0"/>
          <w:lang w:val="fr-FR"/>
        </w:rPr>
        <w:tab/>
        <w:t xml:space="preserve">Les discussions sur le « Nombre de cycles de culture et examen final des plantes fruitières » (TWF) sont rapportées dans le document SESSIONS/2025/2 « Élaboration de documents d'orientation et d'information ». </w:t>
      </w:r>
    </w:p>
    <w:p w14:paraId="196AE87C" w14:textId="77777777" w:rsidR="00D30834" w:rsidRPr="001B41CB" w:rsidRDefault="00D30834" w:rsidP="00F21482">
      <w:pPr>
        <w:tabs>
          <w:tab w:val="left" w:pos="1701"/>
        </w:tabs>
        <w:rPr>
          <w:rFonts w:cs="Arial"/>
          <w:lang w:val="fr-FR"/>
        </w:rPr>
      </w:pPr>
    </w:p>
    <w:p w14:paraId="1F3DC48A" w14:textId="77777777" w:rsidR="00F21482" w:rsidRPr="001B41CB" w:rsidRDefault="00F21482" w:rsidP="00F21482">
      <w:pPr>
        <w:keepNext/>
        <w:rPr>
          <w:color w:val="000000"/>
          <w:lang w:val="fr-FR"/>
        </w:rPr>
      </w:pPr>
      <w:r w:rsidRPr="001B41CB">
        <w:rPr>
          <w:color w:val="000000"/>
          <w:lang w:val="fr-FR"/>
        </w:rPr>
        <w:fldChar w:fldCharType="begin"/>
      </w:r>
      <w:r w:rsidRPr="001B41CB">
        <w:rPr>
          <w:color w:val="000000"/>
          <w:lang w:val="fr-FR"/>
        </w:rPr>
        <w:instrText xml:space="preserve"> AUTONUM  </w:instrText>
      </w:r>
      <w:r w:rsidRPr="001B41CB">
        <w:rPr>
          <w:color w:val="000000"/>
          <w:lang w:val="fr-FR"/>
        </w:rPr>
        <w:fldChar w:fldCharType="end"/>
      </w:r>
      <w:r w:rsidRPr="001B41CB">
        <w:rPr>
          <w:color w:val="000000"/>
          <w:lang w:val="fr-FR"/>
        </w:rPr>
        <w:tab/>
        <w:t>Les abréviations suivantes sont utilisées dans le présent document :</w:t>
      </w:r>
    </w:p>
    <w:p w14:paraId="1FA9A259" w14:textId="77777777" w:rsidR="00F21482" w:rsidRPr="001B41CB" w:rsidRDefault="00F21482" w:rsidP="00F21482">
      <w:pPr>
        <w:keepNext/>
        <w:ind w:left="1692" w:hanging="1125"/>
        <w:jc w:val="left"/>
        <w:rPr>
          <w:color w:val="000000"/>
          <w:lang w:val="fr-FR"/>
        </w:rPr>
      </w:pPr>
    </w:p>
    <w:p w14:paraId="49C5FD5C" w14:textId="786AE87D" w:rsidR="00F21482" w:rsidRPr="001B41CB" w:rsidRDefault="00F21482" w:rsidP="00F21482">
      <w:pPr>
        <w:keepNext/>
        <w:tabs>
          <w:tab w:val="left" w:pos="567"/>
          <w:tab w:val="left" w:pos="1701"/>
        </w:tabs>
        <w:rPr>
          <w:lang w:val="fr-FR"/>
        </w:rPr>
      </w:pPr>
      <w:r w:rsidRPr="001B41CB">
        <w:rPr>
          <w:lang w:val="fr-FR"/>
        </w:rPr>
        <w:tab/>
        <w:t>TC</w:t>
      </w:r>
      <w:r w:rsidR="00204782">
        <w:rPr>
          <w:lang w:val="fr-FR"/>
        </w:rPr>
        <w:t xml:space="preserve"> </w:t>
      </w:r>
      <w:r w:rsidRPr="001B41CB">
        <w:rPr>
          <w:lang w:val="fr-FR"/>
        </w:rPr>
        <w:t>:</w:t>
      </w:r>
      <w:r w:rsidRPr="001B41CB">
        <w:rPr>
          <w:lang w:val="fr-FR"/>
        </w:rPr>
        <w:tab/>
        <w:t>Comité technique</w:t>
      </w:r>
    </w:p>
    <w:p w14:paraId="4B9581C5" w14:textId="77777777" w:rsidR="00F21482" w:rsidRPr="001B41CB" w:rsidRDefault="00F21482" w:rsidP="00F21482">
      <w:pPr>
        <w:keepNext/>
        <w:tabs>
          <w:tab w:val="left" w:pos="567"/>
          <w:tab w:val="left" w:pos="1701"/>
        </w:tabs>
        <w:rPr>
          <w:rFonts w:eastAsia="PMingLiU"/>
          <w:szCs w:val="24"/>
          <w:lang w:val="fr-FR"/>
        </w:rPr>
      </w:pPr>
      <w:r w:rsidRPr="001B41CB">
        <w:rPr>
          <w:rFonts w:eastAsia="PMingLiU"/>
          <w:szCs w:val="24"/>
          <w:lang w:val="fr-FR"/>
        </w:rPr>
        <w:tab/>
        <w:t>TWA :</w:t>
      </w:r>
      <w:r w:rsidRPr="001B41CB">
        <w:rPr>
          <w:rFonts w:eastAsia="PMingLiU"/>
          <w:szCs w:val="24"/>
          <w:lang w:val="fr-FR"/>
        </w:rPr>
        <w:tab/>
        <w:t>Groupe de travail technique sur les cultures agricoles</w:t>
      </w:r>
    </w:p>
    <w:p w14:paraId="41A04A1E" w14:textId="77777777" w:rsidR="00F21482" w:rsidRPr="001B41CB" w:rsidRDefault="00F21482" w:rsidP="00F21482">
      <w:pPr>
        <w:tabs>
          <w:tab w:val="left" w:pos="567"/>
          <w:tab w:val="left" w:pos="1701"/>
        </w:tabs>
        <w:rPr>
          <w:rFonts w:eastAsia="PMingLiU"/>
          <w:szCs w:val="24"/>
          <w:lang w:val="fr-FR"/>
        </w:rPr>
      </w:pPr>
      <w:r w:rsidRPr="001B41CB">
        <w:rPr>
          <w:rFonts w:eastAsia="PMingLiU"/>
          <w:szCs w:val="24"/>
          <w:lang w:val="fr-FR"/>
        </w:rPr>
        <w:tab/>
        <w:t xml:space="preserve">TWF : </w:t>
      </w:r>
      <w:r w:rsidRPr="001B41CB">
        <w:rPr>
          <w:rFonts w:eastAsia="PMingLiU"/>
          <w:szCs w:val="24"/>
          <w:lang w:val="fr-FR"/>
        </w:rPr>
        <w:tab/>
        <w:t>Groupe de travail technique sur les cultures fruitières</w:t>
      </w:r>
    </w:p>
    <w:p w14:paraId="3D483BC9" w14:textId="77777777" w:rsidR="00F21482" w:rsidRPr="001B41CB" w:rsidRDefault="00F21482" w:rsidP="00F21482">
      <w:pPr>
        <w:tabs>
          <w:tab w:val="left" w:pos="567"/>
          <w:tab w:val="left" w:pos="1701"/>
        </w:tabs>
        <w:rPr>
          <w:rFonts w:eastAsia="PMingLiU"/>
          <w:szCs w:val="24"/>
          <w:lang w:val="fr-FR"/>
        </w:rPr>
      </w:pPr>
      <w:r w:rsidRPr="001B41CB">
        <w:rPr>
          <w:rFonts w:eastAsia="PMingLiU"/>
          <w:szCs w:val="24"/>
          <w:lang w:val="fr-FR"/>
        </w:rPr>
        <w:tab/>
        <w:t xml:space="preserve">TWM : </w:t>
      </w:r>
      <w:r w:rsidRPr="001B41CB">
        <w:rPr>
          <w:rFonts w:eastAsia="PMingLiU"/>
          <w:szCs w:val="24"/>
          <w:lang w:val="fr-FR"/>
        </w:rPr>
        <w:tab/>
      </w:r>
      <w:r w:rsidRPr="001B41CB">
        <w:rPr>
          <w:color w:val="000000"/>
          <w:lang w:val="fr-FR"/>
        </w:rPr>
        <w:t>Groupe de travail technique sur les méthodes et techniques d'essai</w:t>
      </w:r>
    </w:p>
    <w:p w14:paraId="172A7486" w14:textId="114EC986" w:rsidR="00F21482" w:rsidRPr="001B41CB" w:rsidRDefault="00F21482" w:rsidP="00F21482">
      <w:pPr>
        <w:tabs>
          <w:tab w:val="left" w:pos="567"/>
          <w:tab w:val="left" w:pos="1701"/>
        </w:tabs>
        <w:rPr>
          <w:rFonts w:eastAsia="PMingLiU"/>
          <w:szCs w:val="24"/>
          <w:lang w:val="fr-FR"/>
        </w:rPr>
      </w:pPr>
      <w:r w:rsidRPr="001B41CB">
        <w:rPr>
          <w:rFonts w:eastAsia="PMingLiU"/>
          <w:szCs w:val="24"/>
          <w:lang w:val="fr-FR"/>
        </w:rPr>
        <w:tab/>
      </w:r>
      <w:r w:rsidR="00EB0819">
        <w:rPr>
          <w:rFonts w:eastAsia="PMingLiU"/>
          <w:szCs w:val="24"/>
          <w:lang w:val="fr-FR"/>
        </w:rPr>
        <w:t>TWO</w:t>
      </w:r>
      <w:r w:rsidRPr="001B41CB">
        <w:rPr>
          <w:rFonts w:eastAsia="PMingLiU"/>
          <w:szCs w:val="24"/>
          <w:lang w:val="fr-FR"/>
        </w:rPr>
        <w:t xml:space="preserve"> :</w:t>
      </w:r>
      <w:r w:rsidRPr="001B41CB">
        <w:rPr>
          <w:rFonts w:eastAsia="PMingLiU"/>
          <w:szCs w:val="24"/>
          <w:lang w:val="fr-FR"/>
        </w:rPr>
        <w:tab/>
        <w:t>Groupe de travail technique sur les plantes ornementales et les arbres forestiers</w:t>
      </w:r>
    </w:p>
    <w:p w14:paraId="52C4FEBD" w14:textId="77777777" w:rsidR="00F21482" w:rsidRPr="001B41CB" w:rsidRDefault="00F21482" w:rsidP="00F21482">
      <w:pPr>
        <w:tabs>
          <w:tab w:val="left" w:pos="567"/>
          <w:tab w:val="left" w:pos="1701"/>
        </w:tabs>
        <w:rPr>
          <w:rFonts w:eastAsia="PMingLiU"/>
          <w:szCs w:val="24"/>
          <w:lang w:val="fr-FR"/>
        </w:rPr>
      </w:pPr>
      <w:r w:rsidRPr="001B41CB">
        <w:rPr>
          <w:rFonts w:eastAsia="PMingLiU"/>
          <w:szCs w:val="24"/>
          <w:lang w:val="fr-FR"/>
        </w:rPr>
        <w:tab/>
        <w:t>TWP :</w:t>
      </w:r>
      <w:r w:rsidRPr="001B41CB">
        <w:rPr>
          <w:rFonts w:eastAsia="PMingLiU"/>
          <w:szCs w:val="24"/>
          <w:lang w:val="fr-FR"/>
        </w:rPr>
        <w:tab/>
        <w:t>Groupes de travail techniques</w:t>
      </w:r>
    </w:p>
    <w:p w14:paraId="6A6D6C21" w14:textId="77777777" w:rsidR="00F21482" w:rsidRPr="001B41CB" w:rsidRDefault="00F21482" w:rsidP="00F21482">
      <w:pPr>
        <w:tabs>
          <w:tab w:val="left" w:pos="567"/>
          <w:tab w:val="left" w:pos="1701"/>
        </w:tabs>
        <w:rPr>
          <w:rFonts w:eastAsia="PMingLiU"/>
          <w:szCs w:val="24"/>
          <w:lang w:val="fr-FR"/>
        </w:rPr>
      </w:pPr>
      <w:r w:rsidRPr="001B41CB">
        <w:rPr>
          <w:rFonts w:eastAsia="PMingLiU"/>
          <w:szCs w:val="24"/>
          <w:lang w:val="fr-FR"/>
        </w:rPr>
        <w:tab/>
        <w:t>TWV :</w:t>
      </w:r>
      <w:r w:rsidRPr="001B41CB">
        <w:rPr>
          <w:rFonts w:eastAsia="PMingLiU"/>
          <w:szCs w:val="24"/>
          <w:lang w:val="fr-FR"/>
        </w:rPr>
        <w:tab/>
        <w:t>Groupe de travail technique pour les légumes</w:t>
      </w:r>
    </w:p>
    <w:p w14:paraId="02DA152B" w14:textId="77777777" w:rsidR="00F21482" w:rsidRPr="001B41CB" w:rsidRDefault="00F21482" w:rsidP="00F21482">
      <w:pPr>
        <w:rPr>
          <w:highlight w:val="cyan"/>
          <w:lang w:val="fr-FR"/>
        </w:rPr>
      </w:pPr>
    </w:p>
    <w:p w14:paraId="036ACAAC" w14:textId="77777777" w:rsidR="00F21482" w:rsidRPr="001B41CB" w:rsidRDefault="00F21482" w:rsidP="00F21482">
      <w:pPr>
        <w:keepNext/>
        <w:rPr>
          <w:lang w:val="fr-FR"/>
        </w:rPr>
      </w:pPr>
      <w:r w:rsidRPr="001B41CB">
        <w:rPr>
          <w:color w:val="000000"/>
          <w:lang w:val="fr-FR"/>
        </w:rPr>
        <w:fldChar w:fldCharType="begin"/>
      </w:r>
      <w:r w:rsidRPr="001B41CB">
        <w:rPr>
          <w:color w:val="000000"/>
          <w:lang w:val="fr-FR"/>
        </w:rPr>
        <w:instrText xml:space="preserve"> AUTONUM  </w:instrText>
      </w:r>
      <w:r w:rsidRPr="001B41CB">
        <w:rPr>
          <w:color w:val="000000"/>
          <w:lang w:val="fr-FR"/>
        </w:rPr>
        <w:fldChar w:fldCharType="end"/>
      </w:r>
      <w:r w:rsidRPr="001B41CB">
        <w:rPr>
          <w:color w:val="000000"/>
          <w:lang w:val="fr-FR"/>
        </w:rPr>
        <w:tab/>
      </w:r>
      <w:r w:rsidRPr="001B41CB">
        <w:rPr>
          <w:lang w:val="fr-FR"/>
        </w:rPr>
        <w:t>La structure du présent document est la suivante :</w:t>
      </w:r>
    </w:p>
    <w:p w14:paraId="32EDD6DE" w14:textId="77777777" w:rsidR="00F21482" w:rsidRPr="001B41CB" w:rsidRDefault="00F21482" w:rsidP="00F21482">
      <w:pPr>
        <w:keepNext/>
        <w:rPr>
          <w:lang w:val="fr-FR"/>
        </w:rPr>
      </w:pPr>
    </w:p>
    <w:p w14:paraId="50948755" w14:textId="55EC848C" w:rsidR="005639BE" w:rsidRPr="001B41CB" w:rsidRDefault="00F21482">
      <w:pPr>
        <w:pStyle w:val="TOC1"/>
        <w:rPr>
          <w:rFonts w:asciiTheme="minorHAnsi" w:eastAsiaTheme="minorEastAsia" w:hAnsiTheme="minorHAnsi" w:cstheme="minorBidi"/>
          <w:caps w:val="0"/>
          <w:kern w:val="2"/>
          <w:sz w:val="24"/>
          <w:szCs w:val="24"/>
          <w:lang w:val="fr-FR"/>
          <w14:ligatures w14:val="standardContextual"/>
        </w:rPr>
      </w:pPr>
      <w:r w:rsidRPr="001B41CB">
        <w:rPr>
          <w:rFonts w:eastAsia="MS Mincho" w:cs="Arial"/>
          <w:lang w:val="fr-FR" w:eastAsia="ja-JP"/>
        </w:rPr>
        <w:fldChar w:fldCharType="begin"/>
      </w:r>
      <w:r w:rsidRPr="001B41CB">
        <w:rPr>
          <w:rFonts w:eastAsia="MS Mincho" w:cs="Arial"/>
          <w:lang w:val="fr-FR" w:eastAsia="ja-JP"/>
        </w:rPr>
        <w:instrText xml:space="preserve"> TOC \o "1-3" \u </w:instrText>
      </w:r>
      <w:r w:rsidRPr="001B41CB">
        <w:rPr>
          <w:rFonts w:eastAsia="MS Mincho" w:cs="Arial"/>
          <w:lang w:val="fr-FR" w:eastAsia="ja-JP"/>
        </w:rPr>
        <w:fldChar w:fldCharType="separate"/>
      </w:r>
      <w:r w:rsidR="005639BE" w:rsidRPr="001B41CB">
        <w:rPr>
          <w:lang w:val="fr-FR"/>
        </w:rPr>
        <w:t>RESUMÉ</w:t>
      </w:r>
      <w:r w:rsidR="005639BE" w:rsidRPr="001B41CB">
        <w:rPr>
          <w:lang w:val="fr-FR"/>
        </w:rPr>
        <w:tab/>
      </w:r>
      <w:r w:rsidR="005639BE" w:rsidRPr="001B41CB">
        <w:rPr>
          <w:lang w:val="fr-FR"/>
        </w:rPr>
        <w:fldChar w:fldCharType="begin"/>
      </w:r>
      <w:r w:rsidR="005639BE" w:rsidRPr="001B41CB">
        <w:rPr>
          <w:lang w:val="fr-FR"/>
        </w:rPr>
        <w:instrText xml:space="preserve"> PAGEREF _Toc208828849 \h </w:instrText>
      </w:r>
      <w:r w:rsidR="005639BE" w:rsidRPr="001B41CB">
        <w:rPr>
          <w:lang w:val="fr-FR"/>
        </w:rPr>
      </w:r>
      <w:r w:rsidR="005639BE" w:rsidRPr="001B41CB">
        <w:rPr>
          <w:lang w:val="fr-FR"/>
        </w:rPr>
        <w:fldChar w:fldCharType="separate"/>
      </w:r>
      <w:r w:rsidR="005639BE" w:rsidRPr="001B41CB">
        <w:rPr>
          <w:lang w:val="fr-FR"/>
        </w:rPr>
        <w:t>1</w:t>
      </w:r>
      <w:r w:rsidR="005639BE" w:rsidRPr="001B41CB">
        <w:rPr>
          <w:lang w:val="fr-FR"/>
        </w:rPr>
        <w:fldChar w:fldCharType="end"/>
      </w:r>
    </w:p>
    <w:p w14:paraId="6D18A5C3" w14:textId="0E9AEF7A" w:rsidR="005639BE" w:rsidRPr="001B41CB" w:rsidRDefault="005639BE">
      <w:pPr>
        <w:pStyle w:val="TOC1"/>
        <w:rPr>
          <w:rFonts w:asciiTheme="minorHAnsi" w:eastAsiaTheme="minorEastAsia" w:hAnsiTheme="minorHAnsi" w:cstheme="minorBidi"/>
          <w:caps w:val="0"/>
          <w:kern w:val="2"/>
          <w:sz w:val="24"/>
          <w:szCs w:val="24"/>
          <w:lang w:val="fr-FR"/>
          <w14:ligatures w14:val="standardContextual"/>
        </w:rPr>
      </w:pPr>
      <w:r w:rsidRPr="001B41CB">
        <w:rPr>
          <w:lang w:val="fr-FR"/>
        </w:rPr>
        <w:t>Questions pour information et décision éventuelle du Comité technique (TC)</w:t>
      </w:r>
      <w:r w:rsidRPr="001B41CB">
        <w:rPr>
          <w:lang w:val="fr-FR"/>
        </w:rPr>
        <w:tab/>
      </w:r>
      <w:r w:rsidRPr="001B41CB">
        <w:rPr>
          <w:lang w:val="fr-FR"/>
        </w:rPr>
        <w:fldChar w:fldCharType="begin"/>
      </w:r>
      <w:r w:rsidRPr="001B41CB">
        <w:rPr>
          <w:lang w:val="fr-FR"/>
        </w:rPr>
        <w:instrText xml:space="preserve"> PAGEREF _Toc208828850 \h </w:instrText>
      </w:r>
      <w:r w:rsidRPr="001B41CB">
        <w:rPr>
          <w:lang w:val="fr-FR"/>
        </w:rPr>
      </w:r>
      <w:r w:rsidRPr="001B41CB">
        <w:rPr>
          <w:lang w:val="fr-FR"/>
        </w:rPr>
        <w:fldChar w:fldCharType="separate"/>
      </w:r>
      <w:r w:rsidRPr="001B41CB">
        <w:rPr>
          <w:lang w:val="fr-FR"/>
        </w:rPr>
        <w:t>2</w:t>
      </w:r>
      <w:r w:rsidRPr="001B41CB">
        <w:rPr>
          <w:lang w:val="fr-FR"/>
        </w:rPr>
        <w:fldChar w:fldCharType="end"/>
      </w:r>
    </w:p>
    <w:p w14:paraId="659C1A88" w14:textId="381DCCEC" w:rsidR="005639BE" w:rsidRPr="001B41CB" w:rsidRDefault="005639BE">
      <w:pPr>
        <w:pStyle w:val="TOC2"/>
        <w:rPr>
          <w:rFonts w:asciiTheme="minorHAnsi" w:eastAsiaTheme="minorEastAsia" w:hAnsiTheme="minorHAnsi" w:cstheme="minorBidi"/>
          <w:kern w:val="2"/>
          <w:sz w:val="24"/>
          <w:szCs w:val="24"/>
          <w:lang w:val="fr-FR"/>
          <w14:ligatures w14:val="standardContextual"/>
        </w:rPr>
      </w:pPr>
      <w:r w:rsidRPr="001B41CB">
        <w:rPr>
          <w:rFonts w:eastAsia="MS Mincho"/>
          <w:lang w:val="fr-FR"/>
        </w:rPr>
        <w:t>Proposition d'enquête : obstacles à la reprise des rapports d'essai : caractères supplémentaires non inclus dans les principes directeurs d'essai</w:t>
      </w:r>
      <w:r w:rsidRPr="001B41CB">
        <w:rPr>
          <w:lang w:val="fr-FR"/>
        </w:rPr>
        <w:tab/>
      </w:r>
      <w:r w:rsidRPr="001B41CB">
        <w:rPr>
          <w:lang w:val="fr-FR"/>
        </w:rPr>
        <w:fldChar w:fldCharType="begin"/>
      </w:r>
      <w:r w:rsidRPr="001B41CB">
        <w:rPr>
          <w:lang w:val="fr-FR"/>
        </w:rPr>
        <w:instrText xml:space="preserve"> PAGEREF _Toc208828851 \h </w:instrText>
      </w:r>
      <w:r w:rsidRPr="001B41CB">
        <w:rPr>
          <w:lang w:val="fr-FR"/>
        </w:rPr>
      </w:r>
      <w:r w:rsidRPr="001B41CB">
        <w:rPr>
          <w:lang w:val="fr-FR"/>
        </w:rPr>
        <w:fldChar w:fldCharType="separate"/>
      </w:r>
      <w:r w:rsidRPr="001B41CB">
        <w:rPr>
          <w:lang w:val="fr-FR"/>
        </w:rPr>
        <w:t>2</w:t>
      </w:r>
      <w:r w:rsidRPr="001B41CB">
        <w:rPr>
          <w:lang w:val="fr-FR"/>
        </w:rPr>
        <w:fldChar w:fldCharType="end"/>
      </w:r>
    </w:p>
    <w:p w14:paraId="30B2B471" w14:textId="662B4793" w:rsidR="005639BE" w:rsidRPr="001B41CB" w:rsidRDefault="005639BE">
      <w:pPr>
        <w:pStyle w:val="TOC3"/>
        <w:rPr>
          <w:rFonts w:asciiTheme="minorHAnsi" w:eastAsiaTheme="minorEastAsia" w:hAnsiTheme="minorHAnsi" w:cstheme="minorBidi"/>
          <w:i w:val="0"/>
          <w:kern w:val="2"/>
          <w:sz w:val="24"/>
          <w:szCs w:val="24"/>
          <w14:ligatures w14:val="standardContextual"/>
        </w:rPr>
      </w:pPr>
      <w:r w:rsidRPr="001B41CB">
        <w:rPr>
          <w:rFonts w:eastAsia="MS Mincho"/>
        </w:rPr>
        <w:t>Contexte</w:t>
      </w:r>
      <w:r w:rsidRPr="001B41CB">
        <w:tab/>
      </w:r>
      <w:r w:rsidRPr="001B41CB">
        <w:fldChar w:fldCharType="begin"/>
      </w:r>
      <w:r w:rsidRPr="001B41CB">
        <w:instrText xml:space="preserve"> PAGEREF _Toc208828852 \h </w:instrText>
      </w:r>
      <w:r w:rsidRPr="001B41CB">
        <w:fldChar w:fldCharType="separate"/>
      </w:r>
      <w:r w:rsidRPr="001B41CB">
        <w:t>2</w:t>
      </w:r>
      <w:r w:rsidRPr="001B41CB">
        <w:fldChar w:fldCharType="end"/>
      </w:r>
    </w:p>
    <w:p w14:paraId="52C10F24" w14:textId="49CF89B6" w:rsidR="005639BE" w:rsidRPr="001B41CB" w:rsidRDefault="005639BE">
      <w:pPr>
        <w:pStyle w:val="TOC3"/>
        <w:rPr>
          <w:rFonts w:asciiTheme="minorHAnsi" w:eastAsiaTheme="minorEastAsia" w:hAnsiTheme="minorHAnsi" w:cstheme="minorBidi"/>
          <w:i w:val="0"/>
          <w:kern w:val="2"/>
          <w:sz w:val="24"/>
          <w:szCs w:val="24"/>
          <w14:ligatures w14:val="standardContextual"/>
        </w:rPr>
      </w:pPr>
      <w:r w:rsidRPr="001B41CB">
        <w:t>Proposition</w:t>
      </w:r>
      <w:r w:rsidRPr="001B41CB">
        <w:tab/>
      </w:r>
      <w:r w:rsidRPr="001B41CB">
        <w:fldChar w:fldCharType="begin"/>
      </w:r>
      <w:r w:rsidRPr="001B41CB">
        <w:instrText xml:space="preserve"> PAGEREF _Toc208828853 \h </w:instrText>
      </w:r>
      <w:r w:rsidRPr="001B41CB">
        <w:fldChar w:fldCharType="separate"/>
      </w:r>
      <w:r w:rsidRPr="001B41CB">
        <w:t>3</w:t>
      </w:r>
      <w:r w:rsidRPr="001B41CB">
        <w:fldChar w:fldCharType="end"/>
      </w:r>
    </w:p>
    <w:p w14:paraId="536ECBD7" w14:textId="50371F85" w:rsidR="005639BE" w:rsidRPr="001B41CB" w:rsidRDefault="005639BE">
      <w:pPr>
        <w:pStyle w:val="TOC1"/>
        <w:rPr>
          <w:rFonts w:asciiTheme="minorHAnsi" w:eastAsiaTheme="minorEastAsia" w:hAnsiTheme="minorHAnsi" w:cstheme="minorBidi"/>
          <w:caps w:val="0"/>
          <w:kern w:val="2"/>
          <w:sz w:val="24"/>
          <w:szCs w:val="24"/>
          <w:lang w:val="fr-FR"/>
          <w14:ligatures w14:val="standardContextual"/>
        </w:rPr>
      </w:pPr>
      <w:r w:rsidRPr="001B41CB">
        <w:rPr>
          <w:lang w:val="fr-FR"/>
        </w:rPr>
        <w:t>Questions pour information</w:t>
      </w:r>
      <w:r w:rsidRPr="001B41CB">
        <w:rPr>
          <w:lang w:val="fr-FR"/>
        </w:rPr>
        <w:tab/>
      </w:r>
      <w:r w:rsidRPr="001B41CB">
        <w:rPr>
          <w:lang w:val="fr-FR"/>
        </w:rPr>
        <w:fldChar w:fldCharType="begin"/>
      </w:r>
      <w:r w:rsidRPr="001B41CB">
        <w:rPr>
          <w:lang w:val="fr-FR"/>
        </w:rPr>
        <w:instrText xml:space="preserve"> PAGEREF _Toc208828854 \h </w:instrText>
      </w:r>
      <w:r w:rsidRPr="001B41CB">
        <w:rPr>
          <w:lang w:val="fr-FR"/>
        </w:rPr>
      </w:r>
      <w:r w:rsidRPr="001B41CB">
        <w:rPr>
          <w:lang w:val="fr-FR"/>
        </w:rPr>
        <w:fldChar w:fldCharType="separate"/>
      </w:r>
      <w:r w:rsidRPr="001B41CB">
        <w:rPr>
          <w:lang w:val="fr-FR"/>
        </w:rPr>
        <w:t>3</w:t>
      </w:r>
      <w:r w:rsidRPr="001B41CB">
        <w:rPr>
          <w:lang w:val="fr-FR"/>
        </w:rPr>
        <w:fldChar w:fldCharType="end"/>
      </w:r>
    </w:p>
    <w:p w14:paraId="5C8EE94B" w14:textId="23DB37ED" w:rsidR="005639BE" w:rsidRPr="001B41CB" w:rsidRDefault="005639BE">
      <w:pPr>
        <w:pStyle w:val="TOC2"/>
        <w:rPr>
          <w:rFonts w:asciiTheme="minorHAnsi" w:eastAsiaTheme="minorEastAsia" w:hAnsiTheme="minorHAnsi" w:cstheme="minorBidi"/>
          <w:kern w:val="2"/>
          <w:sz w:val="24"/>
          <w:szCs w:val="24"/>
          <w:lang w:val="fr-FR"/>
          <w14:ligatures w14:val="standardContextual"/>
        </w:rPr>
      </w:pPr>
      <w:r w:rsidRPr="001B41CB">
        <w:rPr>
          <w:rFonts w:eastAsia="MS Mincho"/>
          <w:lang w:val="fr-FR"/>
        </w:rPr>
        <w:t>Caractères de résistance aux maladies</w:t>
      </w:r>
      <w:r w:rsidRPr="001B41CB">
        <w:rPr>
          <w:lang w:val="fr-FR"/>
        </w:rPr>
        <w:tab/>
      </w:r>
      <w:r w:rsidRPr="001B41CB">
        <w:rPr>
          <w:lang w:val="fr-FR"/>
        </w:rPr>
        <w:fldChar w:fldCharType="begin"/>
      </w:r>
      <w:r w:rsidRPr="001B41CB">
        <w:rPr>
          <w:lang w:val="fr-FR"/>
        </w:rPr>
        <w:instrText xml:space="preserve"> PAGEREF _Toc208828855 \h </w:instrText>
      </w:r>
      <w:r w:rsidRPr="001B41CB">
        <w:rPr>
          <w:lang w:val="fr-FR"/>
        </w:rPr>
      </w:r>
      <w:r w:rsidRPr="001B41CB">
        <w:rPr>
          <w:lang w:val="fr-FR"/>
        </w:rPr>
        <w:fldChar w:fldCharType="separate"/>
      </w:r>
      <w:r w:rsidRPr="001B41CB">
        <w:rPr>
          <w:lang w:val="fr-FR"/>
        </w:rPr>
        <w:t>3</w:t>
      </w:r>
      <w:r w:rsidRPr="001B41CB">
        <w:rPr>
          <w:lang w:val="fr-FR"/>
        </w:rPr>
        <w:fldChar w:fldCharType="end"/>
      </w:r>
    </w:p>
    <w:p w14:paraId="7198DB8D" w14:textId="2F4FD79F" w:rsidR="005639BE" w:rsidRPr="001B41CB" w:rsidRDefault="005639BE">
      <w:pPr>
        <w:pStyle w:val="TOC3"/>
        <w:rPr>
          <w:rFonts w:asciiTheme="minorHAnsi" w:eastAsiaTheme="minorEastAsia" w:hAnsiTheme="minorHAnsi" w:cstheme="minorBidi"/>
          <w:i w:val="0"/>
          <w:kern w:val="2"/>
          <w:sz w:val="24"/>
          <w:szCs w:val="24"/>
          <w14:ligatures w14:val="standardContextual"/>
        </w:rPr>
      </w:pPr>
      <w:r w:rsidRPr="001B41CB">
        <w:rPr>
          <w:rFonts w:eastAsia="MS Mincho"/>
        </w:rPr>
        <w:t>Caractères de résistance aux maladies dans les principes directeurs d'examen</w:t>
      </w:r>
      <w:r w:rsidRPr="001B41CB">
        <w:tab/>
      </w:r>
      <w:r w:rsidRPr="001B41CB">
        <w:fldChar w:fldCharType="begin"/>
      </w:r>
      <w:r w:rsidRPr="001B41CB">
        <w:instrText xml:space="preserve"> PAGEREF _Toc208828856 \h </w:instrText>
      </w:r>
      <w:r w:rsidRPr="001B41CB">
        <w:fldChar w:fldCharType="separate"/>
      </w:r>
      <w:r w:rsidRPr="001B41CB">
        <w:t>3</w:t>
      </w:r>
      <w:r w:rsidRPr="001B41CB">
        <w:fldChar w:fldCharType="end"/>
      </w:r>
    </w:p>
    <w:p w14:paraId="102BB35A" w14:textId="68F45499" w:rsidR="005639BE" w:rsidRPr="001B41CB" w:rsidRDefault="005639BE">
      <w:pPr>
        <w:pStyle w:val="TOC3"/>
        <w:rPr>
          <w:rFonts w:asciiTheme="minorHAnsi" w:eastAsiaTheme="minorEastAsia" w:hAnsiTheme="minorHAnsi" w:cstheme="minorBidi"/>
          <w:i w:val="0"/>
          <w:kern w:val="2"/>
          <w:sz w:val="24"/>
          <w:szCs w:val="24"/>
          <w14:ligatures w14:val="standardContextual"/>
        </w:rPr>
      </w:pPr>
      <w:r w:rsidRPr="001B41CB">
        <w:t>Résistance au virus de la mosaïque verte du concombre (CGMMV)</w:t>
      </w:r>
      <w:r w:rsidRPr="001B41CB">
        <w:tab/>
      </w:r>
      <w:r w:rsidRPr="001B41CB">
        <w:fldChar w:fldCharType="begin"/>
      </w:r>
      <w:r w:rsidRPr="001B41CB">
        <w:instrText xml:space="preserve"> PAGEREF _Toc208828857 \h </w:instrText>
      </w:r>
      <w:r w:rsidRPr="001B41CB">
        <w:fldChar w:fldCharType="separate"/>
      </w:r>
      <w:r w:rsidRPr="001B41CB">
        <w:t>3</w:t>
      </w:r>
      <w:r w:rsidRPr="001B41CB">
        <w:fldChar w:fldCharType="end"/>
      </w:r>
    </w:p>
    <w:p w14:paraId="778C325F" w14:textId="41098BA9" w:rsidR="005639BE" w:rsidRPr="001B41CB" w:rsidRDefault="005639BE">
      <w:pPr>
        <w:pStyle w:val="TOC2"/>
        <w:rPr>
          <w:rFonts w:asciiTheme="minorHAnsi" w:eastAsiaTheme="minorEastAsia" w:hAnsiTheme="minorHAnsi" w:cstheme="minorBidi"/>
          <w:kern w:val="2"/>
          <w:sz w:val="24"/>
          <w:szCs w:val="24"/>
          <w:lang w:val="fr-FR"/>
          <w14:ligatures w14:val="standardContextual"/>
        </w:rPr>
      </w:pPr>
      <w:r w:rsidRPr="001B41CB">
        <w:rPr>
          <w:rFonts w:eastAsia="MS Mincho"/>
          <w:lang w:val="fr-FR"/>
        </w:rPr>
        <w:t>Caractères observés au cours d'un cycle de végétation dans le cadre de l'examen DHS, où la durée minimale des essais devrait normalement être de deux cycles de végétation indépendants</w:t>
      </w:r>
      <w:r w:rsidRPr="001B41CB">
        <w:rPr>
          <w:lang w:val="fr-FR"/>
        </w:rPr>
        <w:tab/>
      </w:r>
      <w:r w:rsidRPr="001B41CB">
        <w:rPr>
          <w:lang w:val="fr-FR"/>
        </w:rPr>
        <w:fldChar w:fldCharType="begin"/>
      </w:r>
      <w:r w:rsidRPr="001B41CB">
        <w:rPr>
          <w:lang w:val="fr-FR"/>
        </w:rPr>
        <w:instrText xml:space="preserve"> PAGEREF _Toc208828858 \h </w:instrText>
      </w:r>
      <w:r w:rsidRPr="001B41CB">
        <w:rPr>
          <w:lang w:val="fr-FR"/>
        </w:rPr>
      </w:r>
      <w:r w:rsidRPr="001B41CB">
        <w:rPr>
          <w:lang w:val="fr-FR"/>
        </w:rPr>
        <w:fldChar w:fldCharType="separate"/>
      </w:r>
      <w:r w:rsidRPr="001B41CB">
        <w:rPr>
          <w:lang w:val="fr-FR"/>
        </w:rPr>
        <w:t>4</w:t>
      </w:r>
      <w:r w:rsidRPr="001B41CB">
        <w:rPr>
          <w:lang w:val="fr-FR"/>
        </w:rPr>
        <w:fldChar w:fldCharType="end"/>
      </w:r>
    </w:p>
    <w:p w14:paraId="58756CEF" w14:textId="7163B503" w:rsidR="005639BE" w:rsidRPr="001B41CB" w:rsidRDefault="005639BE">
      <w:pPr>
        <w:pStyle w:val="TOC2"/>
        <w:rPr>
          <w:rFonts w:asciiTheme="minorHAnsi" w:eastAsiaTheme="minorEastAsia" w:hAnsiTheme="minorHAnsi" w:cstheme="minorBidi"/>
          <w:kern w:val="2"/>
          <w:sz w:val="24"/>
          <w:szCs w:val="24"/>
          <w:lang w:val="fr-FR"/>
          <w14:ligatures w14:val="standardContextual"/>
        </w:rPr>
      </w:pPr>
      <w:r w:rsidRPr="001B41CB">
        <w:rPr>
          <w:rFonts w:eastAsia="MS Mincho"/>
          <w:lang w:val="fr-FR"/>
        </w:rPr>
        <w:t>Évaluation de l'homogénéité des caractères non mentionnés dans les principes directeurs d'examen</w:t>
      </w:r>
      <w:r w:rsidRPr="001B41CB">
        <w:rPr>
          <w:lang w:val="fr-FR"/>
        </w:rPr>
        <w:tab/>
      </w:r>
      <w:r w:rsidRPr="001B41CB">
        <w:rPr>
          <w:lang w:val="fr-FR"/>
        </w:rPr>
        <w:fldChar w:fldCharType="begin"/>
      </w:r>
      <w:r w:rsidRPr="001B41CB">
        <w:rPr>
          <w:lang w:val="fr-FR"/>
        </w:rPr>
        <w:instrText xml:space="preserve"> PAGEREF _Toc208828859 \h </w:instrText>
      </w:r>
      <w:r w:rsidRPr="001B41CB">
        <w:rPr>
          <w:lang w:val="fr-FR"/>
        </w:rPr>
      </w:r>
      <w:r w:rsidRPr="001B41CB">
        <w:rPr>
          <w:lang w:val="fr-FR"/>
        </w:rPr>
        <w:fldChar w:fldCharType="separate"/>
      </w:r>
      <w:r w:rsidRPr="001B41CB">
        <w:rPr>
          <w:lang w:val="fr-FR"/>
        </w:rPr>
        <w:t>5</w:t>
      </w:r>
      <w:r w:rsidRPr="001B41CB">
        <w:rPr>
          <w:lang w:val="fr-FR"/>
        </w:rPr>
        <w:fldChar w:fldCharType="end"/>
      </w:r>
    </w:p>
    <w:p w14:paraId="2BE0E192" w14:textId="19A41947" w:rsidR="005639BE" w:rsidRPr="001B41CB" w:rsidRDefault="005639BE">
      <w:pPr>
        <w:pStyle w:val="TOC2"/>
        <w:rPr>
          <w:rFonts w:asciiTheme="minorHAnsi" w:eastAsiaTheme="minorEastAsia" w:hAnsiTheme="minorHAnsi" w:cstheme="minorBidi"/>
          <w:kern w:val="2"/>
          <w:sz w:val="24"/>
          <w:szCs w:val="24"/>
          <w:lang w:val="fr-FR"/>
          <w14:ligatures w14:val="standardContextual"/>
        </w:rPr>
      </w:pPr>
      <w:r w:rsidRPr="001B41CB">
        <w:rPr>
          <w:rFonts w:eastAsia="MS Mincho"/>
          <w:lang w:val="fr-FR"/>
        </w:rPr>
        <w:t xml:space="preserve">Compte rendu sur les affaires judiciaires traitant de questions techniques : </w:t>
      </w:r>
      <w:r w:rsidRPr="001B41CB">
        <w:rPr>
          <w:rFonts w:eastAsia="MS Mincho"/>
          <w:i/>
          <w:iCs/>
          <w:lang w:val="fr-FR"/>
        </w:rPr>
        <w:t xml:space="preserve">Allium </w:t>
      </w:r>
      <w:proofErr w:type="spellStart"/>
      <w:r w:rsidRPr="001B41CB">
        <w:rPr>
          <w:rFonts w:eastAsia="MS Mincho"/>
          <w:i/>
          <w:iCs/>
          <w:lang w:val="fr-FR"/>
        </w:rPr>
        <w:t>cepa</w:t>
      </w:r>
      <w:proofErr w:type="spellEnd"/>
      <w:r w:rsidRPr="001B41CB">
        <w:rPr>
          <w:rFonts w:eastAsia="MS Mincho"/>
          <w:i/>
          <w:iCs/>
          <w:lang w:val="fr-FR"/>
        </w:rPr>
        <w:t xml:space="preserve"> </w:t>
      </w:r>
      <w:r w:rsidRPr="001B41CB">
        <w:rPr>
          <w:rFonts w:eastAsia="MS Mincho"/>
          <w:lang w:val="fr-FR"/>
        </w:rPr>
        <w:t>L. « SK20 »</w:t>
      </w:r>
      <w:r w:rsidRPr="001B41CB">
        <w:rPr>
          <w:lang w:val="fr-FR"/>
        </w:rPr>
        <w:tab/>
      </w:r>
      <w:r w:rsidRPr="001B41CB">
        <w:rPr>
          <w:lang w:val="fr-FR"/>
        </w:rPr>
        <w:fldChar w:fldCharType="begin"/>
      </w:r>
      <w:r w:rsidRPr="001B41CB">
        <w:rPr>
          <w:lang w:val="fr-FR"/>
        </w:rPr>
        <w:instrText xml:space="preserve"> PAGEREF _Toc208828860 \h </w:instrText>
      </w:r>
      <w:r w:rsidRPr="001B41CB">
        <w:rPr>
          <w:lang w:val="fr-FR"/>
        </w:rPr>
      </w:r>
      <w:r w:rsidRPr="001B41CB">
        <w:rPr>
          <w:lang w:val="fr-FR"/>
        </w:rPr>
        <w:fldChar w:fldCharType="separate"/>
      </w:r>
      <w:r w:rsidRPr="001B41CB">
        <w:rPr>
          <w:lang w:val="fr-FR"/>
        </w:rPr>
        <w:t>5</w:t>
      </w:r>
      <w:r w:rsidRPr="001B41CB">
        <w:rPr>
          <w:lang w:val="fr-FR"/>
        </w:rPr>
        <w:fldChar w:fldCharType="end"/>
      </w:r>
    </w:p>
    <w:p w14:paraId="6D3A6239" w14:textId="589786F0" w:rsidR="005639BE" w:rsidRPr="001B41CB" w:rsidRDefault="005639BE">
      <w:pPr>
        <w:pStyle w:val="TOC2"/>
        <w:rPr>
          <w:rFonts w:asciiTheme="minorHAnsi" w:eastAsiaTheme="minorEastAsia" w:hAnsiTheme="minorHAnsi" w:cstheme="minorBidi"/>
          <w:kern w:val="2"/>
          <w:sz w:val="24"/>
          <w:szCs w:val="24"/>
          <w:lang w:val="fr-FR"/>
          <w14:ligatures w14:val="standardContextual"/>
        </w:rPr>
      </w:pPr>
      <w:r w:rsidRPr="001B41CB">
        <w:rPr>
          <w:lang w:val="fr-FR"/>
        </w:rPr>
        <w:t xml:space="preserve">Bases de données d'information : </w:t>
      </w:r>
      <w:r w:rsidRPr="001B41CB">
        <w:rPr>
          <w:rFonts w:eastAsia="MS Mincho"/>
          <w:lang w:val="fr-FR"/>
        </w:rPr>
        <w:t>valeur et fiabilité des noms botaniques dans le domaine des plantes ornementales</w:t>
      </w:r>
      <w:r w:rsidRPr="001B41CB">
        <w:rPr>
          <w:lang w:val="fr-FR"/>
        </w:rPr>
        <w:tab/>
      </w:r>
      <w:r w:rsidRPr="001B41CB">
        <w:rPr>
          <w:lang w:val="fr-FR"/>
        </w:rPr>
        <w:fldChar w:fldCharType="begin"/>
      </w:r>
      <w:r w:rsidRPr="001B41CB">
        <w:rPr>
          <w:lang w:val="fr-FR"/>
        </w:rPr>
        <w:instrText xml:space="preserve"> PAGEREF _Toc208828861 \h </w:instrText>
      </w:r>
      <w:r w:rsidRPr="001B41CB">
        <w:rPr>
          <w:lang w:val="fr-FR"/>
        </w:rPr>
      </w:r>
      <w:r w:rsidRPr="001B41CB">
        <w:rPr>
          <w:lang w:val="fr-FR"/>
        </w:rPr>
        <w:fldChar w:fldCharType="separate"/>
      </w:r>
      <w:r w:rsidRPr="001B41CB">
        <w:rPr>
          <w:lang w:val="fr-FR"/>
        </w:rPr>
        <w:t>5</w:t>
      </w:r>
      <w:r w:rsidRPr="001B41CB">
        <w:rPr>
          <w:lang w:val="fr-FR"/>
        </w:rPr>
        <w:fldChar w:fldCharType="end"/>
      </w:r>
    </w:p>
    <w:p w14:paraId="73D709C8" w14:textId="20A4ED81" w:rsidR="005639BE" w:rsidRPr="001B41CB" w:rsidRDefault="005639BE">
      <w:pPr>
        <w:pStyle w:val="TOC2"/>
        <w:rPr>
          <w:rFonts w:asciiTheme="minorHAnsi" w:eastAsiaTheme="minorEastAsia" w:hAnsiTheme="minorHAnsi" w:cstheme="minorBidi"/>
          <w:kern w:val="2"/>
          <w:sz w:val="24"/>
          <w:szCs w:val="24"/>
          <w:lang w:val="fr-FR"/>
          <w14:ligatures w14:val="standardContextual"/>
        </w:rPr>
      </w:pPr>
      <w:r w:rsidRPr="001B41CB">
        <w:rPr>
          <w:rFonts w:eastAsiaTheme="minorEastAsia"/>
          <w:lang w:val="fr-FR"/>
        </w:rPr>
        <w:t>Logiciels et méthodes d'analyse statistique pour l'examen DHS</w:t>
      </w:r>
      <w:r w:rsidRPr="001B41CB">
        <w:rPr>
          <w:lang w:val="fr-FR"/>
        </w:rPr>
        <w:tab/>
      </w:r>
      <w:r w:rsidRPr="001B41CB">
        <w:rPr>
          <w:lang w:val="fr-FR"/>
        </w:rPr>
        <w:fldChar w:fldCharType="begin"/>
      </w:r>
      <w:r w:rsidRPr="001B41CB">
        <w:rPr>
          <w:lang w:val="fr-FR"/>
        </w:rPr>
        <w:instrText xml:space="preserve"> PAGEREF _Toc208828862 \h </w:instrText>
      </w:r>
      <w:r w:rsidRPr="001B41CB">
        <w:rPr>
          <w:lang w:val="fr-FR"/>
        </w:rPr>
      </w:r>
      <w:r w:rsidRPr="001B41CB">
        <w:rPr>
          <w:lang w:val="fr-FR"/>
        </w:rPr>
        <w:fldChar w:fldCharType="separate"/>
      </w:r>
      <w:r w:rsidRPr="001B41CB">
        <w:rPr>
          <w:lang w:val="fr-FR"/>
        </w:rPr>
        <w:t>6</w:t>
      </w:r>
      <w:r w:rsidRPr="001B41CB">
        <w:rPr>
          <w:lang w:val="fr-FR"/>
        </w:rPr>
        <w:fldChar w:fldCharType="end"/>
      </w:r>
    </w:p>
    <w:p w14:paraId="1B9F3F36" w14:textId="6F806B79" w:rsidR="005639BE" w:rsidRPr="001B41CB" w:rsidRDefault="005639BE">
      <w:pPr>
        <w:pStyle w:val="TOC3"/>
        <w:rPr>
          <w:rFonts w:asciiTheme="minorHAnsi" w:eastAsiaTheme="minorEastAsia" w:hAnsiTheme="minorHAnsi" w:cstheme="minorBidi"/>
          <w:i w:val="0"/>
          <w:kern w:val="2"/>
          <w:sz w:val="24"/>
          <w:szCs w:val="24"/>
          <w14:ligatures w14:val="standardContextual"/>
        </w:rPr>
      </w:pPr>
      <w:r w:rsidRPr="001B41CB">
        <w:rPr>
          <w:rFonts w:eastAsiaTheme="minorEastAsia"/>
        </w:rPr>
        <w:t>Développement d'une plateforme de mégadonnées pour l'examen DHS</w:t>
      </w:r>
      <w:r w:rsidRPr="001B41CB">
        <w:tab/>
      </w:r>
      <w:r w:rsidRPr="001B41CB">
        <w:fldChar w:fldCharType="begin"/>
      </w:r>
      <w:r w:rsidRPr="001B41CB">
        <w:instrText xml:space="preserve"> PAGEREF _Toc208828863 \h </w:instrText>
      </w:r>
      <w:r w:rsidRPr="001B41CB">
        <w:fldChar w:fldCharType="separate"/>
      </w:r>
      <w:r w:rsidRPr="001B41CB">
        <w:t>6</w:t>
      </w:r>
      <w:r w:rsidRPr="001B41CB">
        <w:fldChar w:fldCharType="end"/>
      </w:r>
    </w:p>
    <w:p w14:paraId="4748B057" w14:textId="408CBE52" w:rsidR="005639BE" w:rsidRPr="001B41CB" w:rsidRDefault="005639BE">
      <w:pPr>
        <w:pStyle w:val="TOC3"/>
        <w:rPr>
          <w:rFonts w:asciiTheme="minorHAnsi" w:eastAsiaTheme="minorEastAsia" w:hAnsiTheme="minorHAnsi" w:cstheme="minorBidi"/>
          <w:i w:val="0"/>
          <w:kern w:val="2"/>
          <w:sz w:val="24"/>
          <w:szCs w:val="24"/>
          <w14:ligatures w14:val="standardContextual"/>
        </w:rPr>
      </w:pPr>
      <w:r w:rsidRPr="001B41CB">
        <w:rPr>
          <w:rFonts w:eastAsiaTheme="minorEastAsia"/>
        </w:rPr>
        <w:t>Critères de notation des caractères quantitatifs DHS de l'Anthurium par comparaison multiple</w:t>
      </w:r>
      <w:r w:rsidRPr="001B41CB">
        <w:tab/>
      </w:r>
      <w:r w:rsidRPr="001B41CB">
        <w:fldChar w:fldCharType="begin"/>
      </w:r>
      <w:r w:rsidRPr="001B41CB">
        <w:instrText xml:space="preserve"> PAGEREF _Toc208828864 \h </w:instrText>
      </w:r>
      <w:r w:rsidRPr="001B41CB">
        <w:fldChar w:fldCharType="separate"/>
      </w:r>
      <w:r w:rsidRPr="001B41CB">
        <w:t>6</w:t>
      </w:r>
      <w:r w:rsidRPr="001B41CB">
        <w:fldChar w:fldCharType="end"/>
      </w:r>
    </w:p>
    <w:p w14:paraId="4AA1DC83" w14:textId="050F5062" w:rsidR="005639BE" w:rsidRPr="001B41CB" w:rsidRDefault="005639BE">
      <w:pPr>
        <w:pStyle w:val="TOC3"/>
        <w:rPr>
          <w:rFonts w:asciiTheme="minorHAnsi" w:eastAsiaTheme="minorEastAsia" w:hAnsiTheme="minorHAnsi" w:cstheme="minorBidi"/>
          <w:i w:val="0"/>
          <w:kern w:val="2"/>
          <w:sz w:val="24"/>
          <w:szCs w:val="24"/>
          <w14:ligatures w14:val="standardContextual"/>
        </w:rPr>
      </w:pPr>
      <w:r w:rsidRPr="001B41CB">
        <w:rPr>
          <w:rFonts w:eastAsiaTheme="minorEastAsia"/>
        </w:rPr>
        <w:t>Mise à jour sur le développement du COYU 2025</w:t>
      </w:r>
      <w:r w:rsidRPr="001B41CB">
        <w:tab/>
      </w:r>
      <w:r w:rsidRPr="001B41CB">
        <w:fldChar w:fldCharType="begin"/>
      </w:r>
      <w:r w:rsidRPr="001B41CB">
        <w:instrText xml:space="preserve"> PAGEREF _Toc208828865 \h </w:instrText>
      </w:r>
      <w:r w:rsidRPr="001B41CB">
        <w:fldChar w:fldCharType="separate"/>
      </w:r>
      <w:r w:rsidRPr="001B41CB">
        <w:t>6</w:t>
      </w:r>
      <w:r w:rsidRPr="001B41CB">
        <w:fldChar w:fldCharType="end"/>
      </w:r>
    </w:p>
    <w:p w14:paraId="3E955E70" w14:textId="7B6E9C13" w:rsidR="005639BE" w:rsidRPr="001B41CB" w:rsidRDefault="005639BE">
      <w:pPr>
        <w:pStyle w:val="TOC2"/>
        <w:rPr>
          <w:rFonts w:asciiTheme="minorHAnsi" w:eastAsiaTheme="minorEastAsia" w:hAnsiTheme="minorHAnsi" w:cstheme="minorBidi"/>
          <w:kern w:val="2"/>
          <w:sz w:val="24"/>
          <w:szCs w:val="24"/>
          <w:lang w:val="fr-FR"/>
          <w14:ligatures w14:val="standardContextual"/>
        </w:rPr>
      </w:pPr>
      <w:r w:rsidRPr="001B41CB">
        <w:rPr>
          <w:rFonts w:eastAsiaTheme="minorEastAsia"/>
          <w:lang w:val="fr-FR"/>
        </w:rPr>
        <w:t>Phénotypage et analyse d'images</w:t>
      </w:r>
      <w:r w:rsidRPr="001B41CB">
        <w:rPr>
          <w:lang w:val="fr-FR"/>
        </w:rPr>
        <w:tab/>
      </w:r>
      <w:r w:rsidRPr="001B41CB">
        <w:rPr>
          <w:lang w:val="fr-FR"/>
        </w:rPr>
        <w:fldChar w:fldCharType="begin"/>
      </w:r>
      <w:r w:rsidRPr="001B41CB">
        <w:rPr>
          <w:lang w:val="fr-FR"/>
        </w:rPr>
        <w:instrText xml:space="preserve"> PAGEREF _Toc208828866 \h </w:instrText>
      </w:r>
      <w:r w:rsidRPr="001B41CB">
        <w:rPr>
          <w:lang w:val="fr-FR"/>
        </w:rPr>
      </w:r>
      <w:r w:rsidRPr="001B41CB">
        <w:rPr>
          <w:lang w:val="fr-FR"/>
        </w:rPr>
        <w:fldChar w:fldCharType="separate"/>
      </w:r>
      <w:r w:rsidRPr="001B41CB">
        <w:rPr>
          <w:lang w:val="fr-FR"/>
        </w:rPr>
        <w:t>6</w:t>
      </w:r>
      <w:r w:rsidRPr="001B41CB">
        <w:rPr>
          <w:lang w:val="fr-FR"/>
        </w:rPr>
        <w:fldChar w:fldCharType="end"/>
      </w:r>
    </w:p>
    <w:p w14:paraId="0354C828" w14:textId="3DC01494" w:rsidR="005639BE" w:rsidRPr="001B41CB" w:rsidRDefault="005639BE">
      <w:pPr>
        <w:pStyle w:val="TOC3"/>
        <w:rPr>
          <w:rFonts w:asciiTheme="minorHAnsi" w:eastAsiaTheme="minorEastAsia" w:hAnsiTheme="minorHAnsi" w:cstheme="minorBidi"/>
          <w:i w:val="0"/>
          <w:kern w:val="2"/>
          <w:sz w:val="24"/>
          <w:szCs w:val="24"/>
          <w14:ligatures w14:val="standardContextual"/>
        </w:rPr>
      </w:pPr>
      <w:r w:rsidRPr="001B41CB">
        <w:rPr>
          <w:rFonts w:eastAsiaTheme="minorEastAsia"/>
        </w:rPr>
        <w:t>Une nouvelle perspective sur l'examen DHS de la couleur du fruit de l'aubergine basée sur les paramètres de couleur en laboratoire</w:t>
      </w:r>
      <w:r w:rsidRPr="001B41CB">
        <w:tab/>
      </w:r>
      <w:r w:rsidRPr="001B41CB">
        <w:fldChar w:fldCharType="begin"/>
      </w:r>
      <w:r w:rsidRPr="001B41CB">
        <w:instrText xml:space="preserve"> PAGEREF _Toc208828867 \h </w:instrText>
      </w:r>
      <w:r w:rsidRPr="001B41CB">
        <w:fldChar w:fldCharType="separate"/>
      </w:r>
      <w:r w:rsidRPr="001B41CB">
        <w:t>6</w:t>
      </w:r>
      <w:r w:rsidRPr="001B41CB">
        <w:fldChar w:fldCharType="end"/>
      </w:r>
    </w:p>
    <w:p w14:paraId="668F555C" w14:textId="5F0E3B67" w:rsidR="005639BE" w:rsidRPr="001B41CB" w:rsidRDefault="005639BE">
      <w:pPr>
        <w:pStyle w:val="TOC3"/>
        <w:rPr>
          <w:rFonts w:asciiTheme="minorHAnsi" w:eastAsiaTheme="minorEastAsia" w:hAnsiTheme="minorHAnsi" w:cstheme="minorBidi"/>
          <w:i w:val="0"/>
          <w:kern w:val="2"/>
          <w:sz w:val="24"/>
          <w:szCs w:val="24"/>
          <w14:ligatures w14:val="standardContextual"/>
        </w:rPr>
      </w:pPr>
      <w:r w:rsidRPr="001B41CB">
        <w:rPr>
          <w:rFonts w:eastAsiaTheme="minorEastAsia"/>
        </w:rPr>
        <w:t>Dispositif de collecte de données sur la longueur pro</w:t>
      </w:r>
      <w:r w:rsidRPr="001B41CB">
        <w:tab/>
      </w:r>
      <w:r w:rsidRPr="001B41CB">
        <w:fldChar w:fldCharType="begin"/>
      </w:r>
      <w:r w:rsidRPr="001B41CB">
        <w:instrText xml:space="preserve"> PAGEREF _Toc208828868 \h </w:instrText>
      </w:r>
      <w:r w:rsidRPr="001B41CB">
        <w:fldChar w:fldCharType="separate"/>
      </w:r>
      <w:r w:rsidRPr="001B41CB">
        <w:t>6</w:t>
      </w:r>
      <w:r w:rsidRPr="001B41CB">
        <w:fldChar w:fldCharType="end"/>
      </w:r>
    </w:p>
    <w:p w14:paraId="23CA986C" w14:textId="538F03E0" w:rsidR="005639BE" w:rsidRPr="001B41CB" w:rsidRDefault="005639BE">
      <w:pPr>
        <w:pStyle w:val="TOC2"/>
        <w:rPr>
          <w:rFonts w:asciiTheme="minorHAnsi" w:eastAsiaTheme="minorEastAsia" w:hAnsiTheme="minorHAnsi" w:cstheme="minorBidi"/>
          <w:kern w:val="2"/>
          <w:sz w:val="24"/>
          <w:szCs w:val="24"/>
          <w:lang w:val="fr-FR"/>
          <w14:ligatures w14:val="standardContextual"/>
        </w:rPr>
      </w:pPr>
      <w:r w:rsidRPr="001B41CB">
        <w:rPr>
          <w:lang w:val="fr-FR"/>
        </w:rPr>
        <w:t>Collections de variétés : collection de variétés de cultures fruitières en Ukraine</w:t>
      </w:r>
      <w:r w:rsidRPr="001B41CB">
        <w:rPr>
          <w:lang w:val="fr-FR"/>
        </w:rPr>
        <w:tab/>
      </w:r>
      <w:r w:rsidRPr="001B41CB">
        <w:rPr>
          <w:lang w:val="fr-FR"/>
        </w:rPr>
        <w:fldChar w:fldCharType="begin"/>
      </w:r>
      <w:r w:rsidRPr="001B41CB">
        <w:rPr>
          <w:lang w:val="fr-FR"/>
        </w:rPr>
        <w:instrText xml:space="preserve"> PAGEREF _Toc208828869 \h </w:instrText>
      </w:r>
      <w:r w:rsidRPr="001B41CB">
        <w:rPr>
          <w:lang w:val="fr-FR"/>
        </w:rPr>
      </w:r>
      <w:r w:rsidRPr="001B41CB">
        <w:rPr>
          <w:lang w:val="fr-FR"/>
        </w:rPr>
        <w:fldChar w:fldCharType="separate"/>
      </w:r>
      <w:r w:rsidRPr="001B41CB">
        <w:rPr>
          <w:lang w:val="fr-FR"/>
        </w:rPr>
        <w:t>7</w:t>
      </w:r>
      <w:r w:rsidRPr="001B41CB">
        <w:rPr>
          <w:lang w:val="fr-FR"/>
        </w:rPr>
        <w:fldChar w:fldCharType="end"/>
      </w:r>
    </w:p>
    <w:p w14:paraId="72BEA969" w14:textId="2E46243A" w:rsidR="00E84163" w:rsidRPr="001B41CB" w:rsidRDefault="00F21482" w:rsidP="005639BE">
      <w:pPr>
        <w:rPr>
          <w:rFonts w:ascii="Calibri" w:hAnsi="Calibri"/>
          <w:lang w:val="fr-FR"/>
        </w:rPr>
      </w:pPr>
      <w:r w:rsidRPr="001B41CB">
        <w:rPr>
          <w:rFonts w:eastAsia="MS Mincho" w:cs="Arial"/>
          <w:caps/>
          <w:lang w:val="fr-FR" w:eastAsia="ja-JP"/>
        </w:rPr>
        <w:fldChar w:fldCharType="end"/>
      </w:r>
      <w:r w:rsidR="00E84163" w:rsidRPr="001B41CB">
        <w:rPr>
          <w:caps/>
          <w:lang w:val="fr-FR"/>
        </w:rPr>
        <w:fldChar w:fldCharType="begin"/>
      </w:r>
      <w:r w:rsidR="00E84163" w:rsidRPr="001B41CB">
        <w:rPr>
          <w:lang w:val="fr-FR"/>
        </w:rPr>
        <w:instrText xml:space="preserve"> TOC \o "1-3" \h \z \u </w:instrText>
      </w:r>
      <w:r w:rsidR="00E84163" w:rsidRPr="001B41CB">
        <w:rPr>
          <w:caps/>
          <w:lang w:val="fr-FR"/>
        </w:rPr>
        <w:fldChar w:fldCharType="separate"/>
      </w:r>
    </w:p>
    <w:p w14:paraId="17760AA5" w14:textId="77777777" w:rsidR="00E84163" w:rsidRPr="001B41CB" w:rsidRDefault="00E84163" w:rsidP="005639BE">
      <w:pPr>
        <w:rPr>
          <w:rFonts w:cs="Arial"/>
          <w:lang w:val="fr-FR"/>
        </w:rPr>
      </w:pPr>
      <w:r w:rsidRPr="001B41CB">
        <w:rPr>
          <w:lang w:val="fr-FR"/>
        </w:rPr>
        <w:fldChar w:fldCharType="end"/>
      </w:r>
    </w:p>
    <w:p w14:paraId="26832C31" w14:textId="77777777" w:rsidR="00E84163" w:rsidRPr="001B41CB" w:rsidRDefault="00E84163" w:rsidP="005639BE">
      <w:pPr>
        <w:pStyle w:val="Heading1"/>
        <w:rPr>
          <w:rFonts w:eastAsia="PMingLiU"/>
          <w:szCs w:val="24"/>
          <w:lang w:val="fr-FR"/>
        </w:rPr>
      </w:pPr>
      <w:bookmarkStart w:id="2" w:name="_Toc441497828"/>
      <w:bookmarkStart w:id="3" w:name="_Toc527377892"/>
      <w:bookmarkStart w:id="4" w:name="_Toc20505078"/>
      <w:bookmarkStart w:id="5" w:name="_Toc208828850"/>
      <w:r w:rsidRPr="001B41CB">
        <w:rPr>
          <w:lang w:val="fr-FR"/>
        </w:rPr>
        <w:t>Questions pour information et décision éventuelle du Comité technique (TC)</w:t>
      </w:r>
      <w:bookmarkEnd w:id="2"/>
      <w:bookmarkEnd w:id="3"/>
      <w:bookmarkEnd w:id="4"/>
      <w:bookmarkEnd w:id="5"/>
    </w:p>
    <w:p w14:paraId="72CC17E7" w14:textId="77777777" w:rsidR="006F0A99" w:rsidRPr="001B41CB" w:rsidRDefault="006F0A99" w:rsidP="006F0A99">
      <w:pPr>
        <w:rPr>
          <w:lang w:val="fr-FR"/>
        </w:rPr>
      </w:pPr>
    </w:p>
    <w:p w14:paraId="31E5F03A" w14:textId="25858B00" w:rsidR="006F0A99" w:rsidRPr="001B41CB" w:rsidRDefault="004A4BD7" w:rsidP="005639BE">
      <w:pPr>
        <w:pStyle w:val="Heading2"/>
        <w:rPr>
          <w:rFonts w:eastAsia="MS Mincho"/>
          <w:lang w:val="fr-FR"/>
        </w:rPr>
      </w:pPr>
      <w:bookmarkStart w:id="6" w:name="_Toc208828851"/>
      <w:r w:rsidRPr="001B41CB">
        <w:rPr>
          <w:rFonts w:eastAsia="MS Mincho"/>
          <w:lang w:val="fr-FR"/>
        </w:rPr>
        <w:t>Proposition d'enquête : obstacles à la reprise des rapports d'essai : caractères supplémentaires non inclus dans les principes directeurs d'examen</w:t>
      </w:r>
      <w:bookmarkEnd w:id="6"/>
      <w:r w:rsidRPr="001B41CB">
        <w:rPr>
          <w:rFonts w:eastAsia="MS Mincho"/>
          <w:lang w:val="fr-FR"/>
        </w:rPr>
        <w:t xml:space="preserve"> </w:t>
      </w:r>
    </w:p>
    <w:p w14:paraId="72F2CC49" w14:textId="77777777" w:rsidR="004A4BD7" w:rsidRPr="001B41CB" w:rsidRDefault="004A4BD7" w:rsidP="006F0A99">
      <w:pPr>
        <w:rPr>
          <w:rFonts w:eastAsia="MS Mincho"/>
          <w:lang w:val="fr-FR"/>
        </w:rPr>
      </w:pPr>
    </w:p>
    <w:p w14:paraId="7D02C1B8" w14:textId="1FCB200D" w:rsidR="00D50DFB" w:rsidRPr="001B41CB" w:rsidRDefault="00D50DFB" w:rsidP="00D50DFB">
      <w:pPr>
        <w:pStyle w:val="Heading3"/>
        <w:rPr>
          <w:rFonts w:eastAsia="MS Mincho"/>
          <w:lang w:val="fr-FR"/>
        </w:rPr>
      </w:pPr>
      <w:bookmarkStart w:id="7" w:name="_Toc208828852"/>
      <w:r w:rsidRPr="001B41CB">
        <w:rPr>
          <w:rFonts w:eastAsia="MS Mincho"/>
          <w:lang w:val="fr-FR"/>
        </w:rPr>
        <w:t>Contexte</w:t>
      </w:r>
      <w:bookmarkEnd w:id="7"/>
    </w:p>
    <w:p w14:paraId="07FEBE2E" w14:textId="77777777" w:rsidR="00D50DFB" w:rsidRPr="001B41CB" w:rsidRDefault="00D50DFB" w:rsidP="00D50DFB">
      <w:pPr>
        <w:rPr>
          <w:rFonts w:eastAsia="MS Mincho"/>
          <w:lang w:val="fr-FR"/>
        </w:rPr>
      </w:pPr>
    </w:p>
    <w:p w14:paraId="5D3DB297" w14:textId="37D6A940" w:rsidR="006F0A99" w:rsidRPr="001B41CB" w:rsidRDefault="0062210A" w:rsidP="006F0A99">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r>
      <w:r w:rsidR="006F0A99" w:rsidRPr="001B41CB">
        <w:rPr>
          <w:lang w:val="fr-FR"/>
        </w:rPr>
        <w:t>TWV</w:t>
      </w:r>
      <w:r w:rsidR="0018066F" w:rsidRPr="001B41CB">
        <w:rPr>
          <w:rStyle w:val="FootnoteReference"/>
          <w:lang w:val="fr-FR"/>
        </w:rPr>
        <w:footnoteReference w:id="7"/>
      </w:r>
      <w:r w:rsidR="006F0A99" w:rsidRPr="001B41CB">
        <w:rPr>
          <w:lang w:val="fr-FR"/>
        </w:rPr>
        <w:t xml:space="preserve"> a entendu un exposé intitulé « Révision des caractères de résistance aux maladies dans l'Union européenne », présenté par un expert de l'Union européenne.  Une copie de cet exposé figure dans le document </w:t>
      </w:r>
      <w:hyperlink r:id="rId9" w:history="1">
        <w:r w:rsidR="006F0A99" w:rsidRPr="001B41CB">
          <w:rPr>
            <w:rStyle w:val="Hyperlink"/>
            <w:rFonts w:eastAsia="MS Mincho"/>
            <w:lang w:val="fr-FR"/>
          </w:rPr>
          <w:t>TWV/59/10</w:t>
        </w:r>
      </w:hyperlink>
      <w:r w:rsidR="006F0A99" w:rsidRPr="001B41CB">
        <w:rPr>
          <w:rFonts w:eastAsia="MS Mincho"/>
          <w:lang w:val="fr-FR"/>
        </w:rPr>
        <w:t>.</w:t>
      </w:r>
    </w:p>
    <w:p w14:paraId="22F93CAC" w14:textId="77777777" w:rsidR="006F0A99" w:rsidRPr="001B41CB" w:rsidRDefault="006F0A99" w:rsidP="006F0A99">
      <w:pPr>
        <w:rPr>
          <w:lang w:val="fr-FR"/>
        </w:rPr>
      </w:pPr>
    </w:p>
    <w:p w14:paraId="4E9968F3" w14:textId="19E9EFD4" w:rsidR="006F0A99" w:rsidRPr="001B41CB" w:rsidRDefault="0062210A" w:rsidP="004915BA">
      <w:pPr>
        <w:keepLines/>
        <w:rPr>
          <w:lang w:val="fr-FR"/>
        </w:rPr>
      </w:pPr>
      <w:r w:rsidRPr="001B41CB">
        <w:rPr>
          <w:lang w:val="fr-FR"/>
        </w:rPr>
        <w:lastRenderedPageBreak/>
        <w:fldChar w:fldCharType="begin"/>
      </w:r>
      <w:r w:rsidRPr="001B41CB">
        <w:rPr>
          <w:lang w:val="fr-FR"/>
        </w:rPr>
        <w:instrText xml:space="preserve"> AUTONUM  </w:instrText>
      </w:r>
      <w:r w:rsidRPr="001B41CB">
        <w:rPr>
          <w:lang w:val="fr-FR"/>
        </w:rPr>
        <w:fldChar w:fldCharType="end"/>
      </w:r>
      <w:r w:rsidRPr="001B41CB">
        <w:rPr>
          <w:lang w:val="fr-FR"/>
        </w:rPr>
        <w:tab/>
      </w:r>
      <w:r w:rsidR="006F0A99" w:rsidRPr="001B41CB">
        <w:rPr>
          <w:lang w:val="fr-FR"/>
        </w:rPr>
        <w:t>Le TWV a pris note de l'invitation adressée par l'Union européenne aux membres de l'UPOV à se joindre aux groupes de travail régionaux créés pour examiner les caractères de résistance aux maladies chez le haricot, le concombre, le melon, le poivron, la tomate et les porte-greffes de tomate.  Le TWV a noté que les experts intéressés devraient contacter l'Office communautaire des variétés végétales de l'Union européenne (OCVV) pour obtenir de plus amples informations.</w:t>
      </w:r>
    </w:p>
    <w:p w14:paraId="6E5C23A4" w14:textId="77777777" w:rsidR="006F0A99" w:rsidRPr="001B41CB" w:rsidRDefault="006F0A99" w:rsidP="006F0A99">
      <w:pPr>
        <w:rPr>
          <w:lang w:val="fr-FR"/>
        </w:rPr>
      </w:pPr>
    </w:p>
    <w:p w14:paraId="5FD043F6" w14:textId="77777777" w:rsidR="006F0A99" w:rsidRPr="001B41CB" w:rsidRDefault="006F0A99" w:rsidP="006F0A99">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Le TWV a pris note des observations formulées par le représentant de la International </w:t>
      </w:r>
      <w:proofErr w:type="spellStart"/>
      <w:r w:rsidRPr="001B41CB">
        <w:rPr>
          <w:lang w:val="fr-FR"/>
        </w:rPr>
        <w:t>Seed</w:t>
      </w:r>
      <w:proofErr w:type="spellEnd"/>
      <w:r w:rsidRPr="001B41CB">
        <w:rPr>
          <w:lang w:val="fr-FR"/>
        </w:rPr>
        <w:t xml:space="preserve"> </w:t>
      </w:r>
      <w:proofErr w:type="spellStart"/>
      <w:r w:rsidRPr="001B41CB">
        <w:rPr>
          <w:lang w:val="fr-FR"/>
        </w:rPr>
        <w:t>Federation</w:t>
      </w:r>
      <w:proofErr w:type="spellEnd"/>
      <w:r w:rsidRPr="001B41CB">
        <w:rPr>
          <w:lang w:val="fr-FR"/>
        </w:rPr>
        <w:t xml:space="preserve"> (ISF) selon lesquelles les caractères utilisés au niveau national ou régional et non inclus dans les principes directeurs d'examen de l'UPOV ("caractères supplémentaires") pourraient constituer un obstacle à la reprise des rapports d'examen, bien qu'aucun cas de ce type n'ait été signalé.</w:t>
      </w:r>
    </w:p>
    <w:p w14:paraId="53CC1819" w14:textId="77777777" w:rsidR="006F0A99" w:rsidRPr="001B41CB" w:rsidRDefault="006F0A99" w:rsidP="006F0A99">
      <w:pPr>
        <w:rPr>
          <w:lang w:val="fr-FR"/>
        </w:rPr>
      </w:pPr>
    </w:p>
    <w:p w14:paraId="57C547DB" w14:textId="2566AA77" w:rsidR="006F0A99" w:rsidRPr="001B41CB" w:rsidRDefault="006F0A99" w:rsidP="006F0A99">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Le TWV a pris note du rapport de l'Allemagne selon lequel les caractères supplémentaires non inclus dans les principes directeurs d'examen étaient pris en considération lors de la décision de reprendre les rapports d'examen au cas par cas, en utilisant des critères similaires pour tous les caractères, y compris les résistances aux maladies.</w:t>
      </w:r>
    </w:p>
    <w:p w14:paraId="509C4B50" w14:textId="77777777" w:rsidR="00E566A0" w:rsidRPr="001B41CB" w:rsidRDefault="00E566A0" w:rsidP="006F0A99">
      <w:pPr>
        <w:rPr>
          <w:lang w:val="fr-FR"/>
        </w:rPr>
      </w:pPr>
    </w:p>
    <w:p w14:paraId="159BCEEA" w14:textId="0B262A31" w:rsidR="004A4BD7" w:rsidRPr="001B41CB" w:rsidRDefault="00E566A0" w:rsidP="00E566A0">
      <w:pPr>
        <w:pStyle w:val="Heading3"/>
        <w:rPr>
          <w:lang w:val="fr-FR"/>
        </w:rPr>
      </w:pPr>
      <w:bookmarkStart w:id="8" w:name="_Toc208828853"/>
      <w:r w:rsidRPr="001B41CB">
        <w:rPr>
          <w:lang w:val="fr-FR"/>
        </w:rPr>
        <w:t>Proposition</w:t>
      </w:r>
      <w:bookmarkEnd w:id="8"/>
    </w:p>
    <w:p w14:paraId="45BC9909" w14:textId="77777777" w:rsidR="004A4BD7" w:rsidRPr="001B41CB" w:rsidRDefault="004A4BD7" w:rsidP="006F0A99">
      <w:pPr>
        <w:rPr>
          <w:lang w:val="fr-FR"/>
        </w:rPr>
      </w:pPr>
    </w:p>
    <w:p w14:paraId="494B4566" w14:textId="77777777" w:rsidR="006F0A99" w:rsidRPr="001B41CB" w:rsidRDefault="006F0A99" w:rsidP="006F0A99">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Le TWV est convenu de proposer une enquête auprès des membres de l'UPOV afin de déterminer si les caractères supplémentaires non inclus dans les principes directeurs d'examen de l'UPOV pourraient constituer un obstacle à la reprise des rapports d'examen, par exemple les caractères de résistance aux maladies, en particulier lorsqu'ils servent de base pour distinguer la variété de la variété la plus proche.</w:t>
      </w:r>
    </w:p>
    <w:p w14:paraId="67B247AC" w14:textId="77777777" w:rsidR="006F0A99" w:rsidRPr="001B41CB" w:rsidRDefault="006F0A99" w:rsidP="006F0A99">
      <w:pPr>
        <w:rPr>
          <w:lang w:val="fr-FR"/>
        </w:rPr>
      </w:pPr>
    </w:p>
    <w:p w14:paraId="3D7487B9" w14:textId="08B535BD" w:rsidR="006F0A99" w:rsidRPr="001B41CB" w:rsidRDefault="0062210A" w:rsidP="006F0A99">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r>
      <w:r w:rsidR="006F0A99" w:rsidRPr="001B41CB">
        <w:rPr>
          <w:lang w:val="fr-FR"/>
        </w:rPr>
        <w:t xml:space="preserve">Le TWV est convenu que l'enquête devrait fournir le contexte des discussions, notamment le fait que les caractères de résistance aux maladies figurant dans les principes directeurs d'examen de l'UPOV n'étaient pas évalués par tous les membres de l'UPOV.  Le TWV est convenu que l'enquête devrait inclure des questions telles que : </w:t>
      </w:r>
    </w:p>
    <w:p w14:paraId="3A878FCF" w14:textId="77777777" w:rsidR="006F0A99" w:rsidRPr="001B41CB" w:rsidRDefault="006F0A99" w:rsidP="006F0A99">
      <w:pPr>
        <w:rPr>
          <w:lang w:val="fr-FR"/>
        </w:rPr>
      </w:pPr>
    </w:p>
    <w:p w14:paraId="7DA4DC9A" w14:textId="77777777" w:rsidR="006F0A99" w:rsidRPr="001B41CB" w:rsidRDefault="006F0A99" w:rsidP="006F0A99">
      <w:pPr>
        <w:pStyle w:val="ListParagraph"/>
        <w:numPr>
          <w:ilvl w:val="0"/>
          <w:numId w:val="2"/>
        </w:numPr>
        <w:rPr>
          <w:lang w:val="fr-FR"/>
        </w:rPr>
      </w:pPr>
      <w:r w:rsidRPr="001B41CB">
        <w:rPr>
          <w:lang w:val="fr-FR"/>
        </w:rPr>
        <w:t>Si les membres de l'UPOV accepteraient les rapports d'essai dans le cas où la distinction aurait été établie sur la base d'un caractère supplémentaire non inclus dans les principes directeurs d'examen de l'UPOV ;</w:t>
      </w:r>
    </w:p>
    <w:p w14:paraId="38AFE912" w14:textId="77777777" w:rsidR="006F0A99" w:rsidRPr="001B41CB" w:rsidRDefault="006F0A99" w:rsidP="006F0A99">
      <w:pPr>
        <w:rPr>
          <w:lang w:val="fr-FR"/>
        </w:rPr>
      </w:pPr>
    </w:p>
    <w:p w14:paraId="4F8D2B62" w14:textId="77777777" w:rsidR="006F0A99" w:rsidRPr="001B41CB" w:rsidRDefault="006F0A99" w:rsidP="006F0A99">
      <w:pPr>
        <w:pStyle w:val="ListParagraph"/>
        <w:numPr>
          <w:ilvl w:val="0"/>
          <w:numId w:val="2"/>
        </w:numPr>
        <w:rPr>
          <w:lang w:val="fr-FR"/>
        </w:rPr>
      </w:pPr>
      <w:r w:rsidRPr="001B41CB">
        <w:rPr>
          <w:lang w:val="fr-FR"/>
        </w:rPr>
        <w:t>S'il existait une différence dans les décisions de reprise des comptes rendus d'examen selon que le caractère supplémentaire était un caractère de résistance à une maladie.</w:t>
      </w:r>
    </w:p>
    <w:p w14:paraId="7DB3B67E" w14:textId="77777777" w:rsidR="00364964" w:rsidRPr="001B41CB" w:rsidRDefault="00364964" w:rsidP="00364964">
      <w:pPr>
        <w:rPr>
          <w:lang w:val="fr-FR"/>
        </w:rPr>
      </w:pPr>
    </w:p>
    <w:p w14:paraId="726D0511" w14:textId="65FC22BB" w:rsidR="00364964" w:rsidRPr="001B41CB" w:rsidRDefault="00364964" w:rsidP="00364964">
      <w:pPr>
        <w:keepNext/>
        <w:keepLines/>
        <w:tabs>
          <w:tab w:val="left" w:pos="5387"/>
        </w:tabs>
        <w:ind w:left="4536"/>
        <w:rPr>
          <w:i/>
          <w:lang w:val="fr-FR" w:eastAsia="fr-FR"/>
        </w:rPr>
      </w:pPr>
      <w:r w:rsidRPr="001B41CB">
        <w:rPr>
          <w:i/>
          <w:lang w:val="fr-FR"/>
        </w:rPr>
        <w:fldChar w:fldCharType="begin"/>
      </w:r>
      <w:r w:rsidRPr="001B41CB">
        <w:rPr>
          <w:i/>
          <w:lang w:val="fr-FR"/>
        </w:rPr>
        <w:instrText xml:space="preserve"> AUTONUM  </w:instrText>
      </w:r>
      <w:r w:rsidRPr="001B41CB">
        <w:rPr>
          <w:i/>
          <w:lang w:val="fr-FR"/>
        </w:rPr>
        <w:fldChar w:fldCharType="end"/>
      </w:r>
      <w:r w:rsidRPr="001B41CB">
        <w:rPr>
          <w:i/>
          <w:lang w:val="fr-FR"/>
        </w:rPr>
        <w:tab/>
        <w:t xml:space="preserve">Le TC est invité à examiner la </w:t>
      </w:r>
      <w:r w:rsidR="00CF497D" w:rsidRPr="001B41CB">
        <w:rPr>
          <w:i/>
          <w:lang w:val="fr-FR"/>
        </w:rPr>
        <w:t xml:space="preserve">proposition </w:t>
      </w:r>
      <w:r w:rsidRPr="001B41CB">
        <w:rPr>
          <w:i/>
          <w:lang w:val="fr-FR"/>
        </w:rPr>
        <w:t xml:space="preserve">du TWV visant à </w:t>
      </w:r>
      <w:r w:rsidR="00CF497D" w:rsidRPr="001B41CB">
        <w:rPr>
          <w:i/>
          <w:lang w:val="fr-FR"/>
        </w:rPr>
        <w:t>mener une enquête auprès des membres de l'UPOV afin de déterminer si les caractères supplémentaires non inclus dans les principes directeurs d'examen pourraient constituer un obstacle à la reprise des rapports d'examen</w:t>
      </w:r>
      <w:r w:rsidRPr="001B41CB">
        <w:rPr>
          <w:i/>
          <w:lang w:val="fr-FR" w:eastAsia="fr-FR"/>
        </w:rPr>
        <w:t xml:space="preserve">, comme indiqué aux </w:t>
      </w:r>
      <w:r w:rsidR="00CF497D" w:rsidRPr="001B41CB">
        <w:rPr>
          <w:i/>
          <w:lang w:val="fr-FR" w:eastAsia="fr-FR"/>
        </w:rPr>
        <w:t xml:space="preserve">paragraphes 10 et 11 </w:t>
      </w:r>
      <w:r w:rsidRPr="001B41CB">
        <w:rPr>
          <w:i/>
          <w:lang w:val="fr-FR" w:eastAsia="fr-FR"/>
        </w:rPr>
        <w:t>du présent document.</w:t>
      </w:r>
    </w:p>
    <w:p w14:paraId="4EA21AAC" w14:textId="77777777" w:rsidR="00364964" w:rsidRPr="001B41CB" w:rsidRDefault="00364964" w:rsidP="00364964">
      <w:pPr>
        <w:rPr>
          <w:lang w:val="fr-FR"/>
        </w:rPr>
      </w:pPr>
    </w:p>
    <w:p w14:paraId="471812AA" w14:textId="77777777" w:rsidR="00AC0937" w:rsidRPr="001B41CB" w:rsidRDefault="00AC0937" w:rsidP="00AC0937">
      <w:pPr>
        <w:rPr>
          <w:lang w:val="fr-FR"/>
        </w:rPr>
      </w:pPr>
    </w:p>
    <w:p w14:paraId="0190D835" w14:textId="77777777" w:rsidR="00AC0937" w:rsidRPr="001B41CB" w:rsidRDefault="00AC0937" w:rsidP="005639BE">
      <w:pPr>
        <w:pStyle w:val="Heading1"/>
        <w:rPr>
          <w:lang w:val="fr-FR"/>
        </w:rPr>
      </w:pPr>
      <w:bookmarkStart w:id="9" w:name="_Toc441497830"/>
      <w:bookmarkStart w:id="10" w:name="_Toc527377899"/>
      <w:bookmarkStart w:id="11" w:name="_Toc20505079"/>
      <w:bookmarkStart w:id="12" w:name="_Toc141461052"/>
      <w:bookmarkStart w:id="13" w:name="_Toc141461212"/>
      <w:bookmarkStart w:id="14" w:name="_Toc208828854"/>
      <w:r w:rsidRPr="001B41CB">
        <w:rPr>
          <w:lang w:val="fr-FR"/>
        </w:rPr>
        <w:t>Questions pour information</w:t>
      </w:r>
      <w:bookmarkEnd w:id="9"/>
      <w:bookmarkEnd w:id="10"/>
      <w:bookmarkEnd w:id="11"/>
      <w:bookmarkEnd w:id="12"/>
      <w:bookmarkEnd w:id="13"/>
      <w:bookmarkEnd w:id="14"/>
    </w:p>
    <w:p w14:paraId="4D0B51CF" w14:textId="77777777" w:rsidR="00AC0937" w:rsidRPr="001B41CB" w:rsidRDefault="00AC0937" w:rsidP="003602B2">
      <w:pPr>
        <w:rPr>
          <w:rFonts w:eastAsia="MS Mincho"/>
          <w:lang w:val="fr-FR"/>
        </w:rPr>
      </w:pPr>
    </w:p>
    <w:p w14:paraId="32AF6066" w14:textId="0D11FC01" w:rsidR="00D97966" w:rsidRPr="001B41CB" w:rsidRDefault="00D97966" w:rsidP="00365B2A">
      <w:pPr>
        <w:pStyle w:val="Heading2"/>
        <w:rPr>
          <w:rFonts w:eastAsia="MS Mincho"/>
          <w:lang w:val="fr-FR"/>
        </w:rPr>
      </w:pPr>
      <w:bookmarkStart w:id="15" w:name="_Toc208828855"/>
      <w:r w:rsidRPr="001B41CB">
        <w:rPr>
          <w:rFonts w:eastAsia="MS Mincho"/>
          <w:lang w:val="fr-FR"/>
        </w:rPr>
        <w:t xml:space="preserve">Caractères de résistance aux maladies </w:t>
      </w:r>
      <w:bookmarkEnd w:id="15"/>
    </w:p>
    <w:p w14:paraId="4489526F" w14:textId="77777777" w:rsidR="00D97966" w:rsidRPr="001B41CB" w:rsidRDefault="00D97966" w:rsidP="003602B2">
      <w:pPr>
        <w:rPr>
          <w:rFonts w:eastAsia="MS Mincho"/>
          <w:lang w:val="fr-FR"/>
        </w:rPr>
      </w:pPr>
    </w:p>
    <w:p w14:paraId="7E78D36F" w14:textId="77777777" w:rsidR="003602B2" w:rsidRPr="001B41CB" w:rsidRDefault="003602B2" w:rsidP="00D97966">
      <w:pPr>
        <w:pStyle w:val="Heading3"/>
        <w:rPr>
          <w:rFonts w:eastAsia="MS Mincho"/>
          <w:lang w:val="fr-FR"/>
        </w:rPr>
      </w:pPr>
      <w:bookmarkStart w:id="16" w:name="_Toc208828856"/>
      <w:r w:rsidRPr="001B41CB">
        <w:rPr>
          <w:rFonts w:eastAsia="MS Mincho"/>
          <w:lang w:val="fr-FR"/>
        </w:rPr>
        <w:t xml:space="preserve">Caractères de résistance aux maladies dans les principes directeurs d'examen </w:t>
      </w:r>
      <w:bookmarkEnd w:id="16"/>
    </w:p>
    <w:p w14:paraId="7C544481" w14:textId="77777777" w:rsidR="003602B2" w:rsidRPr="001B41CB" w:rsidRDefault="003602B2" w:rsidP="003602B2">
      <w:pPr>
        <w:rPr>
          <w:rFonts w:eastAsia="MS Mincho"/>
          <w:lang w:val="fr-FR"/>
        </w:rPr>
      </w:pPr>
    </w:p>
    <w:p w14:paraId="47D4FA61" w14:textId="77777777" w:rsidR="003602B2" w:rsidRPr="001B41CB" w:rsidRDefault="003602B2" w:rsidP="003602B2">
      <w:pPr>
        <w:rPr>
          <w:rFonts w:eastAsia="MS Mincho"/>
          <w:lang w:val="fr-FR"/>
        </w:rPr>
      </w:pPr>
      <w:r w:rsidRPr="001B41CB">
        <w:rPr>
          <w:rFonts w:eastAsia="MS Mincho"/>
          <w:lang w:val="fr-FR"/>
        </w:rPr>
        <w:fldChar w:fldCharType="begin"/>
      </w:r>
      <w:r w:rsidRPr="001B41CB">
        <w:rPr>
          <w:rFonts w:eastAsia="MS Mincho"/>
          <w:lang w:val="fr-FR"/>
        </w:rPr>
        <w:instrText xml:space="preserve"> AUTONUM  </w:instrText>
      </w:r>
      <w:r w:rsidRPr="001B41CB">
        <w:rPr>
          <w:rFonts w:eastAsia="MS Mincho"/>
          <w:lang w:val="fr-FR"/>
        </w:rPr>
        <w:fldChar w:fldCharType="end"/>
      </w:r>
      <w:r w:rsidRPr="001B41CB">
        <w:rPr>
          <w:rFonts w:eastAsia="MS Mincho"/>
          <w:lang w:val="fr-FR"/>
        </w:rPr>
        <w:tab/>
        <w:t xml:space="preserve">Le TWV a examiné le document </w:t>
      </w:r>
      <w:hyperlink r:id="rId10" w:history="1">
        <w:r w:rsidRPr="001B41CB">
          <w:rPr>
            <w:rStyle w:val="Hyperlink"/>
            <w:rFonts w:eastAsia="MS Mincho"/>
            <w:lang w:val="fr-FR"/>
          </w:rPr>
          <w:t>TWV/59/11 intitulé</w:t>
        </w:r>
      </w:hyperlink>
      <w:r w:rsidRPr="001B41CB">
        <w:rPr>
          <w:rFonts w:eastAsia="MS Mincho"/>
          <w:lang w:val="fr-FR"/>
        </w:rPr>
        <w:t xml:space="preserve"> « Caractères de résistance aux maladies dans les principes directeurs d'examen »</w:t>
      </w:r>
      <w:r w:rsidRPr="001B41CB">
        <w:rPr>
          <w:rStyle w:val="FootnoteReference"/>
          <w:rFonts w:eastAsia="MS Mincho"/>
          <w:lang w:val="fr-FR"/>
        </w:rPr>
        <w:footnoteReference w:id="8"/>
      </w:r>
      <w:r w:rsidRPr="001B41CB">
        <w:rPr>
          <w:rFonts w:eastAsia="MS Mincho"/>
          <w:lang w:val="fr-FR"/>
        </w:rPr>
        <w:t xml:space="preserve"> .</w:t>
      </w:r>
    </w:p>
    <w:p w14:paraId="50963C45" w14:textId="77777777" w:rsidR="003602B2" w:rsidRPr="001B41CB" w:rsidRDefault="003602B2" w:rsidP="003602B2">
      <w:pPr>
        <w:rPr>
          <w:rFonts w:eastAsia="MS Mincho"/>
          <w:lang w:val="fr-FR"/>
        </w:rPr>
      </w:pPr>
    </w:p>
    <w:p w14:paraId="2E930586" w14:textId="77777777" w:rsidR="003602B2" w:rsidRPr="001B41CB" w:rsidRDefault="003602B2" w:rsidP="003602B2">
      <w:pPr>
        <w:rPr>
          <w:rFonts w:eastAsia="MS Mincho"/>
          <w:lang w:val="fr-FR"/>
        </w:rPr>
      </w:pPr>
      <w:r w:rsidRPr="001B41CB">
        <w:rPr>
          <w:rFonts w:eastAsia="MS Mincho"/>
          <w:lang w:val="fr-FR"/>
        </w:rPr>
        <w:fldChar w:fldCharType="begin"/>
      </w:r>
      <w:r w:rsidRPr="001B41CB">
        <w:rPr>
          <w:rFonts w:eastAsia="MS Mincho"/>
          <w:lang w:val="fr-FR"/>
        </w:rPr>
        <w:instrText xml:space="preserve"> AUTONUM  </w:instrText>
      </w:r>
      <w:r w:rsidRPr="001B41CB">
        <w:rPr>
          <w:rFonts w:eastAsia="MS Mincho"/>
          <w:lang w:val="fr-FR"/>
        </w:rPr>
        <w:fldChar w:fldCharType="end"/>
      </w:r>
      <w:r w:rsidRPr="001B41CB">
        <w:rPr>
          <w:rFonts w:eastAsia="MS Mincho"/>
          <w:lang w:val="fr-FR"/>
        </w:rPr>
        <w:tab/>
        <w:t xml:space="preserve">Le TWV est convenu d'inviter </w:t>
      </w:r>
      <w:r w:rsidRPr="001B41CB">
        <w:rPr>
          <w:lang w:val="fr-FR"/>
        </w:rPr>
        <w:t>les membres de l'UPOV</w:t>
      </w:r>
      <w:r w:rsidRPr="001B41CB">
        <w:rPr>
          <w:rFonts w:eastAsia="MS Mincho"/>
          <w:lang w:val="fr-FR"/>
        </w:rPr>
        <w:t xml:space="preserve"> à </w:t>
      </w:r>
      <w:r w:rsidRPr="001B41CB">
        <w:rPr>
          <w:lang w:val="fr-FR"/>
        </w:rPr>
        <w:t xml:space="preserve">présenter des comptes rendus sur les caractères supplémentaires dans l'examen DHS, y compris les caractères de résistance aux maladies. Le TWV est convenu d'inviter des experts de premier plan à organiser des réunions intersessions des sous-groupes d'experts intéressés afin de faire avancer les discussions sur les révisions partielles des principes directeurs d'examen. </w:t>
      </w:r>
    </w:p>
    <w:p w14:paraId="5947B314" w14:textId="77777777" w:rsidR="003602B2" w:rsidRPr="001B41CB" w:rsidRDefault="003602B2" w:rsidP="003602B2">
      <w:pPr>
        <w:rPr>
          <w:lang w:val="fr-FR"/>
        </w:rPr>
      </w:pPr>
    </w:p>
    <w:p w14:paraId="2EADF875" w14:textId="77777777" w:rsidR="003602B2" w:rsidRPr="001B41CB" w:rsidRDefault="003602B2" w:rsidP="003602B2">
      <w:pPr>
        <w:rPr>
          <w:lang w:val="fr-FR"/>
        </w:rPr>
      </w:pPr>
      <w:r w:rsidRPr="001B41CB">
        <w:rPr>
          <w:lang w:val="fr-FR"/>
        </w:rPr>
        <w:lastRenderedPageBreak/>
        <w:fldChar w:fldCharType="begin"/>
      </w:r>
      <w:r w:rsidRPr="001B41CB">
        <w:rPr>
          <w:lang w:val="fr-FR"/>
        </w:rPr>
        <w:instrText xml:space="preserve"> AUTONUM  </w:instrText>
      </w:r>
      <w:r w:rsidRPr="001B41CB">
        <w:rPr>
          <w:lang w:val="fr-FR"/>
        </w:rPr>
        <w:fldChar w:fldCharType="end"/>
      </w:r>
      <w:r w:rsidRPr="001B41CB">
        <w:rPr>
          <w:lang w:val="fr-FR"/>
        </w:rPr>
        <w:tab/>
        <w:t xml:space="preserve">Le TWV a noté que les membres de l'UPOV avaient des capacités différentes pour évaluer les caractères de résistance aux maladies et a convenu que cela posait des difficultés pour leur utilisation dans l'examen DHS et l'harmonisation internationale. </w:t>
      </w:r>
    </w:p>
    <w:p w14:paraId="6E8A6A9D" w14:textId="77777777" w:rsidR="00D97966" w:rsidRPr="001B41CB" w:rsidRDefault="00D97966" w:rsidP="00E33353">
      <w:pPr>
        <w:rPr>
          <w:lang w:val="fr-FR"/>
        </w:rPr>
      </w:pPr>
    </w:p>
    <w:p w14:paraId="464136BA" w14:textId="1892F3E3" w:rsidR="00E33353" w:rsidRPr="001B41CB" w:rsidRDefault="003602B2" w:rsidP="00A63DB9">
      <w:pPr>
        <w:pStyle w:val="Heading3"/>
        <w:keepLines/>
        <w:rPr>
          <w:lang w:val="fr-FR"/>
        </w:rPr>
      </w:pPr>
      <w:bookmarkStart w:id="17" w:name="_Toc208828857"/>
      <w:r w:rsidRPr="001B41CB">
        <w:rPr>
          <w:lang w:val="fr-FR"/>
        </w:rPr>
        <w:t xml:space="preserve">Résistance au virus de la mosaïque verte du concombre (CGMMV) </w:t>
      </w:r>
      <w:bookmarkEnd w:id="17"/>
    </w:p>
    <w:p w14:paraId="4EDD535D" w14:textId="77777777" w:rsidR="00E33353" w:rsidRPr="001B41CB" w:rsidRDefault="00E33353" w:rsidP="00A63DB9">
      <w:pPr>
        <w:keepNext/>
        <w:keepLines/>
        <w:jc w:val="left"/>
        <w:rPr>
          <w:lang w:val="fr-FR"/>
        </w:rPr>
      </w:pPr>
    </w:p>
    <w:p w14:paraId="2CA35D39" w14:textId="7EA1FF45" w:rsidR="00E33353" w:rsidRPr="001B41CB" w:rsidRDefault="0062210A" w:rsidP="00A63DB9">
      <w:pPr>
        <w:keepNext/>
        <w:keepLines/>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r>
      <w:r w:rsidR="00E33353" w:rsidRPr="001B41CB">
        <w:rPr>
          <w:lang w:val="fr-FR"/>
        </w:rPr>
        <w:t>Le TWV</w:t>
      </w:r>
      <w:r w:rsidRPr="001B41CB">
        <w:rPr>
          <w:rStyle w:val="FootnoteReference"/>
          <w:lang w:val="fr-FR"/>
        </w:rPr>
        <w:footnoteReference w:id="9"/>
      </w:r>
      <w:r w:rsidR="00E33353" w:rsidRPr="001B41CB">
        <w:rPr>
          <w:lang w:val="fr-FR"/>
        </w:rPr>
        <w:t xml:space="preserve"> a examiné la révision partielle des principes directeurs d'examen du concombre en vue d'y inclure le caractère « Résistance au virus de la mosaïque verte du concombre (CGMMV) », qui avait été proposé pour adoption par le Comité technique en 2024 (document </w:t>
      </w:r>
      <w:hyperlink r:id="rId11" w:history="1">
        <w:r w:rsidR="00E33353" w:rsidRPr="001B41CB">
          <w:rPr>
            <w:rStyle w:val="Hyperlink"/>
            <w:lang w:val="fr-FR"/>
          </w:rPr>
          <w:t>TWV/58/6</w:t>
        </w:r>
      </w:hyperlink>
      <w:r w:rsidR="00E33353" w:rsidRPr="001B41CB">
        <w:rPr>
          <w:lang w:val="fr-FR"/>
        </w:rPr>
        <w:t xml:space="preserve">) et renvoyé au TWV.  Le TWV a noté que le caractère avait été introduit dans les principes directeurs d'examen de </w:t>
      </w:r>
      <w:bookmarkStart w:id="18" w:name="_Hlk197533073"/>
      <w:r w:rsidR="00E33353" w:rsidRPr="001B41CB">
        <w:rPr>
          <w:lang w:val="fr-FR"/>
        </w:rPr>
        <w:t>l'Union européenne en 2025 (</w:t>
      </w:r>
      <w:r w:rsidR="003602B2" w:rsidRPr="001B41CB">
        <w:rPr>
          <w:lang w:val="fr-FR"/>
        </w:rPr>
        <w:t xml:space="preserve">documents TG/61/7 </w:t>
      </w:r>
      <w:proofErr w:type="spellStart"/>
      <w:r w:rsidR="003602B2" w:rsidRPr="001B41CB">
        <w:rPr>
          <w:lang w:val="fr-FR"/>
        </w:rPr>
        <w:t>Rev</w:t>
      </w:r>
      <w:proofErr w:type="spellEnd"/>
      <w:r w:rsidR="003602B2" w:rsidRPr="001B41CB">
        <w:rPr>
          <w:lang w:val="fr-FR"/>
        </w:rPr>
        <w:t xml:space="preserve">. 3 et </w:t>
      </w:r>
      <w:hyperlink r:id="rId12" w:history="1">
        <w:r w:rsidR="003602B2" w:rsidRPr="001B41CB">
          <w:rPr>
            <w:rStyle w:val="Hyperlink"/>
            <w:lang w:val="fr-FR"/>
          </w:rPr>
          <w:t>TWV/59/12).</w:t>
        </w:r>
      </w:hyperlink>
    </w:p>
    <w:p w14:paraId="76C28F54" w14:textId="77777777" w:rsidR="003602B2" w:rsidRPr="001B41CB" w:rsidRDefault="003602B2" w:rsidP="00E33353">
      <w:pPr>
        <w:rPr>
          <w:lang w:val="fr-FR"/>
        </w:rPr>
      </w:pPr>
    </w:p>
    <w:p w14:paraId="123C0DB4" w14:textId="4EAF53F4" w:rsidR="00E33353" w:rsidRPr="001B41CB" w:rsidRDefault="00E33353" w:rsidP="00E33353">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Le TWV a convenu que le caractère devait être révisé à l'aide d'une échelle à trois notes (QN) </w:t>
      </w:r>
      <w:r w:rsidR="00C1785B" w:rsidRPr="001B41CB">
        <w:rPr>
          <w:lang w:val="fr-FR"/>
        </w:rPr>
        <w:t>[au lieu de QL : « absent</w:t>
      </w:r>
      <w:r w:rsidR="00421043" w:rsidRPr="001B41CB">
        <w:rPr>
          <w:lang w:val="fr-FR"/>
        </w:rPr>
        <w:t xml:space="preserve"> » /</w:t>
      </w:r>
      <w:r w:rsidR="00C1785B" w:rsidRPr="001B41CB">
        <w:rPr>
          <w:lang w:val="fr-FR"/>
        </w:rPr>
        <w:t>« présent »]</w:t>
      </w:r>
      <w:r w:rsidRPr="001B41CB">
        <w:rPr>
          <w:lang w:val="fr-FR"/>
        </w:rPr>
        <w:t xml:space="preserve">.  </w:t>
      </w:r>
    </w:p>
    <w:p w14:paraId="24E67C7F" w14:textId="77777777" w:rsidR="00E33353" w:rsidRPr="001B41CB" w:rsidRDefault="00E33353" w:rsidP="00E33353">
      <w:pPr>
        <w:rPr>
          <w:lang w:val="fr-FR"/>
        </w:rPr>
      </w:pPr>
    </w:p>
    <w:p w14:paraId="3942E044" w14:textId="77777777" w:rsidR="00E33353" w:rsidRPr="001B41CB" w:rsidRDefault="00E33353" w:rsidP="00E33353">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Le TWV a examiné l'utilisation d'une échelle qualitative (QL) de notes pour le caractère CGMMV, qui s'exprimait par une gamme continue de symptômes.  Le TWV est convenu qu'il n'y avait pas de différence nette entre les états d'expression « absent / présent ».  </w:t>
      </w:r>
    </w:p>
    <w:p w14:paraId="55A25928" w14:textId="77777777" w:rsidR="00E33353" w:rsidRPr="001B41CB" w:rsidRDefault="00E33353" w:rsidP="00E33353">
      <w:pPr>
        <w:rPr>
          <w:lang w:val="fr-FR"/>
        </w:rPr>
      </w:pPr>
    </w:p>
    <w:p w14:paraId="5043462C" w14:textId="77777777" w:rsidR="00E33353" w:rsidRPr="001B41CB" w:rsidRDefault="00E33353" w:rsidP="00E33353">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Le TWV a examiné la recommandation formulée par le Comité de rédaction élargi (TC-EDC) d'utiliser une échelle quantitative (QN) pour le caractère (par exemple, trois notes).  Le TWV a pris note de l'explication fournie par la France et les Pays-Bas (Royaume des) selon laquelle aucune variété de contrôle seuil robuste n'avait été identifiée pour permettre de définir le seuil de démarcation pour un troisième état d'expression, autre que absent/présent.</w:t>
      </w:r>
    </w:p>
    <w:p w14:paraId="3FE7DC61" w14:textId="77777777" w:rsidR="00E33353" w:rsidRPr="001B41CB" w:rsidRDefault="00E33353" w:rsidP="00E33353">
      <w:pPr>
        <w:rPr>
          <w:lang w:val="fr-FR"/>
        </w:rPr>
      </w:pPr>
    </w:p>
    <w:p w14:paraId="3CFE3946" w14:textId="77777777" w:rsidR="00E33353" w:rsidRPr="001B41CB" w:rsidRDefault="00E33353" w:rsidP="00E33353">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Le TWV a noté que l'exigence relative aux variétés citées en exemple dans le cas des caractères QN avec des échelles « 1-5 » / « 1-3 » était de fournir des variétés citées en exemple pour au moins </w:t>
      </w:r>
      <w:r w:rsidRPr="001B41CB">
        <w:rPr>
          <w:u w:val="single"/>
          <w:lang w:val="fr-FR"/>
        </w:rPr>
        <w:t xml:space="preserve">deux </w:t>
      </w:r>
      <w:r w:rsidRPr="001B41CB">
        <w:rPr>
          <w:lang w:val="fr-FR"/>
        </w:rPr>
        <w:t xml:space="preserve">états d'expression (voir : document TGP/7 « Élaboration des principes directeurs d'examen », GN 28, section 2.4).  Le TWV est convenu que seules deux variétés citées en exemple seraient nécessaires pour les caractères de résistance aux maladies comportant trois états d'expression. </w:t>
      </w:r>
    </w:p>
    <w:p w14:paraId="7FE80991" w14:textId="77777777" w:rsidR="00E33353" w:rsidRPr="001B41CB" w:rsidRDefault="00E33353" w:rsidP="00E33353">
      <w:pPr>
        <w:rPr>
          <w:lang w:val="fr-FR"/>
        </w:rPr>
      </w:pPr>
    </w:p>
    <w:p w14:paraId="03C40966" w14:textId="72E6BB02" w:rsidR="00E33353" w:rsidRPr="001B41CB" w:rsidRDefault="00E33353" w:rsidP="00E33353">
      <w:pPr>
        <w:rPr>
          <w:rFonts w:eastAsiaTheme="minorEastAsia" w:cs="Arial"/>
          <w:color w:val="333333"/>
          <w:shd w:val="clear" w:color="auto" w:fill="FFFFFF"/>
          <w:lang w:val="fr-FR"/>
        </w:rPr>
      </w:pPr>
      <w:r w:rsidRPr="001B41CB">
        <w:rPr>
          <w:rFonts w:eastAsiaTheme="minorEastAsia" w:cs="Arial"/>
          <w:color w:val="333333"/>
          <w:shd w:val="clear" w:color="auto" w:fill="FFFFFF"/>
          <w:lang w:val="fr-FR"/>
        </w:rPr>
        <w:fldChar w:fldCharType="begin"/>
      </w:r>
      <w:r w:rsidRPr="001B41CB">
        <w:rPr>
          <w:rFonts w:eastAsiaTheme="minorEastAsia" w:cs="Arial"/>
          <w:color w:val="333333"/>
          <w:shd w:val="clear" w:color="auto" w:fill="FFFFFF"/>
          <w:lang w:val="fr-FR"/>
        </w:rPr>
        <w:instrText xml:space="preserve"> AUTONUM  </w:instrText>
      </w:r>
      <w:r w:rsidRPr="001B41CB">
        <w:rPr>
          <w:rFonts w:eastAsiaTheme="minorEastAsia" w:cs="Arial"/>
          <w:color w:val="333333"/>
          <w:shd w:val="clear" w:color="auto" w:fill="FFFFFF"/>
          <w:lang w:val="fr-FR"/>
        </w:rPr>
        <w:fldChar w:fldCharType="end"/>
      </w:r>
      <w:r w:rsidRPr="001B41CB">
        <w:rPr>
          <w:rFonts w:eastAsiaTheme="minorEastAsia" w:cs="Arial"/>
          <w:color w:val="333333"/>
          <w:shd w:val="clear" w:color="auto" w:fill="FFFFFF"/>
          <w:lang w:val="fr-FR"/>
        </w:rPr>
        <w:tab/>
        <w:t xml:space="preserve">Le TWV a examiné la limite entre deux états d'expression autour du seuil de contrôle et la différence requise pour démontrer une différence claire entre deux variétés proches de la limite (par exemple, l'extrémité supérieure de </w:t>
      </w:r>
      <w:r w:rsidR="004D4458" w:rsidRPr="001B41CB">
        <w:rPr>
          <w:rFonts w:eastAsiaTheme="minorEastAsia" w:cs="Arial"/>
          <w:color w:val="333333"/>
          <w:shd w:val="clear" w:color="auto" w:fill="FFFFFF"/>
          <w:lang w:val="fr-FR"/>
        </w:rPr>
        <w:t xml:space="preserve">« absent » </w:t>
      </w:r>
      <w:r w:rsidRPr="001B41CB">
        <w:rPr>
          <w:rFonts w:eastAsiaTheme="minorEastAsia" w:cs="Arial"/>
          <w:color w:val="333333"/>
          <w:shd w:val="clear" w:color="auto" w:fill="FFFFFF"/>
          <w:lang w:val="fr-FR"/>
        </w:rPr>
        <w:t xml:space="preserve">et l'extrémité inférieure de </w:t>
      </w:r>
      <w:r w:rsidR="004D4458" w:rsidRPr="001B41CB">
        <w:rPr>
          <w:rFonts w:eastAsiaTheme="minorEastAsia" w:cs="Arial"/>
          <w:color w:val="333333"/>
          <w:shd w:val="clear" w:color="auto" w:fill="FFFFFF"/>
          <w:lang w:val="fr-FR"/>
        </w:rPr>
        <w:t>« présent »</w:t>
      </w:r>
      <w:r w:rsidRPr="001B41CB">
        <w:rPr>
          <w:rFonts w:eastAsiaTheme="minorEastAsia" w:cs="Arial"/>
          <w:color w:val="333333"/>
          <w:shd w:val="clear" w:color="auto" w:fill="FFFFFF"/>
          <w:lang w:val="fr-FR"/>
        </w:rPr>
        <w:t xml:space="preserve">). Le TWV a pris note de l'expérience de la France en matière d'utilisation de l'analyse statistique pour établir la distinction entre les variétés dans cette situation. </w:t>
      </w:r>
    </w:p>
    <w:p w14:paraId="12A93C24" w14:textId="77777777" w:rsidR="00E33353" w:rsidRPr="001B41CB" w:rsidRDefault="00E33353" w:rsidP="00E33353">
      <w:pPr>
        <w:rPr>
          <w:lang w:val="fr-FR"/>
        </w:rPr>
      </w:pPr>
    </w:p>
    <w:p w14:paraId="0174D965" w14:textId="18A14167" w:rsidR="00E33353" w:rsidRPr="001B41CB" w:rsidRDefault="00E33353" w:rsidP="00E33353">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Le TWV est convenu que l'approche pour les caractères de résistance aux maladies QN utilisant des seuils de contrôle serait appropriée pour la détermination de la distinction dans le cadre de comparaisons côte à côte, avec le recours à l'analyse statistique si nécessaire. Le TWV est convenu que cette approche ne serait pas appropriée pour le regroupement des variétés sur la base des descriptions variétales.</w:t>
      </w:r>
    </w:p>
    <w:p w14:paraId="7AC4A086" w14:textId="77777777" w:rsidR="00E33353" w:rsidRPr="001B41CB" w:rsidRDefault="00E33353" w:rsidP="00E33353">
      <w:pPr>
        <w:rPr>
          <w:lang w:val="fr-FR"/>
        </w:rPr>
      </w:pPr>
    </w:p>
    <w:p w14:paraId="644F34A8" w14:textId="77777777" w:rsidR="00E33353" w:rsidRPr="001B41CB" w:rsidRDefault="00E33353" w:rsidP="00E33353">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Le TWV a pris note de l'utilisation des caractères de résistance aux maladies pour regrouper les variétés et est convenu que l'utilisation d'une échelle qualitative (QL) pour un caractère quantitatif (QN) traitait les variétés limites de la même manière que les notes consécutives dans les échelles QN (par exemple, notes 1/9 = 1/2 ou 2/3).  </w:t>
      </w:r>
    </w:p>
    <w:p w14:paraId="4DA3FFB3" w14:textId="77777777" w:rsidR="00E33353" w:rsidRPr="001B41CB" w:rsidRDefault="00E33353" w:rsidP="00E33353">
      <w:pPr>
        <w:rPr>
          <w:lang w:val="fr-FR"/>
        </w:rPr>
      </w:pPr>
    </w:p>
    <w:p w14:paraId="27955ABC" w14:textId="77777777" w:rsidR="00E33353" w:rsidRPr="001B41CB" w:rsidRDefault="00E33353" w:rsidP="00E33353">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Le TWV a examiné l'évaluation de l'homogénéité des caractères quantitatifs de résistance aux maladies décrits comme des caractères qualitatifs et la possibilité d'avoir des plantes de la même variété dans des classes présentant différents niveaux d'expression. Le TWV a pris note de l'explication de la France selon laquelle l'évaluation de l'homogénéité tenait compte de la répartition des plantes entre les classes et des plantes hors-type en dehors de la fourchette de répartition attendue.</w:t>
      </w:r>
    </w:p>
    <w:p w14:paraId="27C69692" w14:textId="77777777" w:rsidR="00E33353" w:rsidRPr="001B41CB" w:rsidRDefault="00E33353" w:rsidP="00E33353">
      <w:pPr>
        <w:rPr>
          <w:lang w:val="fr-FR"/>
        </w:rPr>
      </w:pPr>
    </w:p>
    <w:p w14:paraId="088B2254" w14:textId="77777777" w:rsidR="00E33353" w:rsidRPr="001B41CB" w:rsidRDefault="00E33353" w:rsidP="00E33353">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Le TWV a examiné les questions générales relatives aux caractères quantitatifs de résistance aux maladies et est convenu d'inviter les Pays-Bas (Royaume des) à identifier les aspects des orientations de l'UPOV qui pourraient être modifiés afin de refléter les caractéristiques particulières des caractères quantitatifs de résistance aux maladies, telles que les procédures relatives aux variétés limites.  </w:t>
      </w:r>
    </w:p>
    <w:p w14:paraId="5CB0A856" w14:textId="77777777" w:rsidR="00E33353" w:rsidRPr="001B41CB" w:rsidRDefault="00E33353" w:rsidP="00E33353">
      <w:pPr>
        <w:rPr>
          <w:lang w:val="fr-FR"/>
        </w:rPr>
      </w:pPr>
    </w:p>
    <w:bookmarkEnd w:id="18"/>
    <w:p w14:paraId="0036D173" w14:textId="3A3216E3" w:rsidR="00E33353" w:rsidRPr="001B41CB" w:rsidRDefault="00C1785B" w:rsidP="00E33353">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r>
      <w:r w:rsidR="00E33353" w:rsidRPr="001B41CB">
        <w:rPr>
          <w:lang w:val="fr-FR"/>
        </w:rPr>
        <w:t xml:space="preserve">Le TWV a pris note de l'observation du Japon selon laquelle les discussions futures sur les caractères de résistance aux maladies bénéficieraient de la participation d'experts juridiques, tels que les représentants des membres de l'UPOV au Comité administratif et juridique (CAJ). </w:t>
      </w:r>
    </w:p>
    <w:p w14:paraId="017A4C92" w14:textId="77777777" w:rsidR="00FC0F25" w:rsidRPr="001B41CB" w:rsidRDefault="00FC0F25" w:rsidP="003D0839">
      <w:pPr>
        <w:rPr>
          <w:snapToGrid w:val="0"/>
          <w:lang w:val="fr-FR"/>
        </w:rPr>
      </w:pPr>
    </w:p>
    <w:p w14:paraId="506EE2B3" w14:textId="77777777" w:rsidR="00FC0F25" w:rsidRPr="001B41CB" w:rsidRDefault="00FC0F25" w:rsidP="00365B2A">
      <w:pPr>
        <w:pStyle w:val="Heading2"/>
        <w:rPr>
          <w:lang w:val="fr-FR"/>
        </w:rPr>
      </w:pPr>
      <w:bookmarkStart w:id="19" w:name="_Toc207646166"/>
      <w:bookmarkStart w:id="20" w:name="_Toc208828858"/>
      <w:bookmarkStart w:id="21" w:name="_Toc191917557"/>
      <w:r w:rsidRPr="001B41CB">
        <w:rPr>
          <w:rFonts w:eastAsia="MS Mincho"/>
          <w:lang w:val="fr-FR"/>
        </w:rPr>
        <w:t>Caractères observés au cours d'un cycle de culture dans l'examen DHS, où la durée minimale des essais devrait normalement être de deux cycles de culture indépendants</w:t>
      </w:r>
      <w:bookmarkEnd w:id="19"/>
      <w:bookmarkEnd w:id="20"/>
    </w:p>
    <w:p w14:paraId="48FBBD0D" w14:textId="77777777" w:rsidR="00FC0F25" w:rsidRPr="001B41CB" w:rsidRDefault="00FC0F25" w:rsidP="00FC0F25">
      <w:pPr>
        <w:rPr>
          <w:lang w:val="fr-FR"/>
        </w:rPr>
      </w:pPr>
    </w:p>
    <w:p w14:paraId="7C907542" w14:textId="77777777" w:rsidR="00FC0F25" w:rsidRPr="001B41CB" w:rsidRDefault="00FC0F25" w:rsidP="00FC0F25">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Lors de leurs sessions de 2025, le TWV et le TWA ont assisté à une présentation intitulée « Caractères observés au cours d'un cycle de végétation dans le cadre d'examens DHS où la durée minimale des examens devrait normalement être de deux cycles de végétation indépendants », faite par un expert de l'Union européenne.  La présentation figure dans les documents </w:t>
      </w:r>
      <w:hyperlink r:id="rId13" w:history="1">
        <w:r w:rsidRPr="001B41CB">
          <w:rPr>
            <w:rStyle w:val="Hyperlink"/>
            <w:lang w:val="fr-FR"/>
          </w:rPr>
          <w:t>TWV/59/9</w:t>
        </w:r>
      </w:hyperlink>
      <w:r w:rsidRPr="001B41CB">
        <w:rPr>
          <w:lang w:val="fr-FR"/>
        </w:rPr>
        <w:t xml:space="preserve"> et </w:t>
      </w:r>
      <w:hyperlink r:id="rId14" w:history="1">
        <w:r w:rsidRPr="001B41CB">
          <w:rPr>
            <w:rStyle w:val="Hyperlink"/>
            <w:lang w:val="fr-FR"/>
          </w:rPr>
          <w:t>TWA/54/3</w:t>
        </w:r>
      </w:hyperlink>
      <w:r w:rsidRPr="001B41CB">
        <w:rPr>
          <w:lang w:val="fr-FR"/>
        </w:rPr>
        <w:t>.</w:t>
      </w:r>
    </w:p>
    <w:p w14:paraId="4CEF6780" w14:textId="77777777" w:rsidR="00FC0F25" w:rsidRPr="001B41CB" w:rsidRDefault="00FC0F25" w:rsidP="00FC0F25">
      <w:pPr>
        <w:rPr>
          <w:lang w:val="fr-FR"/>
        </w:rPr>
      </w:pPr>
    </w:p>
    <w:p w14:paraId="17628387" w14:textId="77777777" w:rsidR="00FC0F25" w:rsidRPr="001B41CB" w:rsidRDefault="00FC0F25" w:rsidP="00FC0F25">
      <w:pPr>
        <w:keepLines/>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Le TWV a examiné s'il convenait de modifier le libellé standard des principes directeurs d'examen de l'UPOV afin de préciser que certains caractères pouvaient être évalués au cours d'un seul cycle de végétation. Le TWV a pris note des comptes rendus du Japon et de Kenya sur la manière dont ces principes directeurs étaient interprétés dans ces pays. Le TWV est convenu que ces principes directeurs offraient une certaine souplesse pour conclure l'examen après un seul cycle de végétation, dans le cas où un résultat fiable pouvait être obtenu, ou pour effectuer des cycles de végétation supplémentaires, si nécessaire.</w:t>
      </w:r>
    </w:p>
    <w:p w14:paraId="395C8658" w14:textId="77777777" w:rsidR="00FC0F25" w:rsidRPr="001B41CB" w:rsidRDefault="00FC0F25" w:rsidP="00FC0F25">
      <w:pPr>
        <w:rPr>
          <w:rFonts w:cs="Arial"/>
          <w:color w:val="39394D"/>
          <w:lang w:val="fr-FR"/>
        </w:rPr>
      </w:pPr>
    </w:p>
    <w:p w14:paraId="2D9AAF91" w14:textId="77777777" w:rsidR="00FC0F25" w:rsidRPr="001B41CB" w:rsidRDefault="00FC0F25" w:rsidP="00FC0F25">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Le TWA a convenu que les orientations figurant dans le document TG/1/3 ("Introduction générale à l'examen de la distinction, de l'homogénéité et de la stabilité et à l'élaboration de descriptions harmonisées des nouvelles variétés végétales") et dans les principes directeurs d'examen offraient suffisamment de souplesse aux services pour décider quand deux cycles de végétation seraient nécessaires pour que l'expression des caractères soit considérée comme suffisamment constante et reproductible dans un environnement donné. </w:t>
      </w:r>
    </w:p>
    <w:p w14:paraId="224E2019" w14:textId="77777777" w:rsidR="00FC0F25" w:rsidRPr="001B41CB" w:rsidRDefault="00FC0F25" w:rsidP="00FC0F25">
      <w:pPr>
        <w:rPr>
          <w:lang w:val="fr-FR"/>
        </w:rPr>
      </w:pPr>
    </w:p>
    <w:p w14:paraId="57D3EA4F" w14:textId="77777777" w:rsidR="00A44D2D" w:rsidRPr="001B41CB" w:rsidRDefault="00A44D2D" w:rsidP="00A44D2D">
      <w:pPr>
        <w:rPr>
          <w:lang w:val="fr-FR"/>
        </w:rPr>
      </w:pPr>
    </w:p>
    <w:p w14:paraId="77D0CB90" w14:textId="62B130AD" w:rsidR="00A44D2D" w:rsidRPr="001B41CB" w:rsidRDefault="00A44D2D" w:rsidP="005639BE">
      <w:pPr>
        <w:pStyle w:val="Heading2"/>
        <w:keepLines/>
        <w:rPr>
          <w:rFonts w:eastAsia="MS Mincho"/>
          <w:lang w:val="fr-FR"/>
        </w:rPr>
      </w:pPr>
      <w:bookmarkStart w:id="22" w:name="_Toc207212888"/>
      <w:bookmarkStart w:id="23" w:name="_Toc208828859"/>
      <w:bookmarkStart w:id="24" w:name="_Hlk208828547"/>
      <w:r w:rsidRPr="001B41CB">
        <w:rPr>
          <w:rFonts w:eastAsia="MS Mincho"/>
          <w:lang w:val="fr-FR"/>
        </w:rPr>
        <w:t>Évaluation de l'homogénéité des caractères non répertoriés dans les principes directeurs d'examen</w:t>
      </w:r>
      <w:bookmarkEnd w:id="22"/>
      <w:bookmarkEnd w:id="23"/>
      <w:r w:rsidRPr="001B41CB">
        <w:rPr>
          <w:rFonts w:eastAsia="MS Mincho"/>
          <w:lang w:val="fr-FR"/>
        </w:rPr>
        <w:t xml:space="preserve"> </w:t>
      </w:r>
    </w:p>
    <w:bookmarkEnd w:id="24"/>
    <w:p w14:paraId="201E3E9D" w14:textId="77777777" w:rsidR="00A44D2D" w:rsidRPr="001B41CB" w:rsidRDefault="00A44D2D" w:rsidP="005639BE">
      <w:pPr>
        <w:keepNext/>
        <w:keepLines/>
        <w:rPr>
          <w:rFonts w:eastAsia="MS Mincho"/>
          <w:lang w:val="fr-FR"/>
        </w:rPr>
      </w:pPr>
    </w:p>
    <w:p w14:paraId="4354C4B5" w14:textId="77777777" w:rsidR="00A44D2D" w:rsidRPr="001B41CB" w:rsidRDefault="00A44D2D" w:rsidP="005639BE">
      <w:pPr>
        <w:keepNext/>
        <w:keepLines/>
        <w:rPr>
          <w:rFonts w:eastAsia="MS Mincho"/>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r>
      <w:r w:rsidRPr="001B41CB">
        <w:rPr>
          <w:rFonts w:eastAsia="MS Mincho"/>
          <w:lang w:val="fr-FR"/>
        </w:rPr>
        <w:t xml:space="preserve">Le TWO a examiné le document TWO/57/7 intitulé « Proposition de révision des documents TGP/9/2 (Examen de la distinction) et TGP/10/2 (Examen de l'homogénéité) » et est convenu qu'il n'était pas nécessaire de modifier les orientations figurant dans les documents TGP/9 et TGP/10 afin de préciser la possibilité d'utiliser des caractères supplémentaires pour l'examen DHS en plus de ceux figurant dans les principes directeurs d'examen de l'UPOV.  Le TWO a rappelé les indications figurant au paragraphe 4.2.3 du document TG/1/3 intitulé « Introduction générale à l'examen de la distinction, de l'homogénéité et de la stabilité et à l'élaboration de descriptions harmonisées des nouvelles variétés végétales » (l'« Introduction générale »), qui stipule : </w:t>
      </w:r>
    </w:p>
    <w:p w14:paraId="260B2C05" w14:textId="77777777" w:rsidR="00A44D2D" w:rsidRPr="001B41CB" w:rsidRDefault="00A44D2D" w:rsidP="00A44D2D">
      <w:pPr>
        <w:rPr>
          <w:rFonts w:eastAsia="MS Mincho"/>
          <w:lang w:val="fr-FR"/>
        </w:rPr>
      </w:pPr>
    </w:p>
    <w:p w14:paraId="15A4949C" w14:textId="77777777" w:rsidR="00A44D2D" w:rsidRPr="001B41CB" w:rsidRDefault="00A44D2D" w:rsidP="00A44D2D">
      <w:pPr>
        <w:tabs>
          <w:tab w:val="left" w:pos="1276"/>
        </w:tabs>
        <w:ind w:left="567" w:right="567"/>
        <w:rPr>
          <w:rFonts w:eastAsia="MS Mincho"/>
          <w:sz w:val="18"/>
          <w:szCs w:val="18"/>
          <w:lang w:val="fr-FR"/>
        </w:rPr>
      </w:pPr>
      <w:r w:rsidRPr="001B41CB">
        <w:rPr>
          <w:rFonts w:eastAsia="MS Mincho"/>
          <w:sz w:val="18"/>
          <w:szCs w:val="18"/>
          <w:lang w:val="fr-FR"/>
        </w:rPr>
        <w:t>« 4.2.3</w:t>
      </w:r>
      <w:r w:rsidRPr="001B41CB">
        <w:rPr>
          <w:rFonts w:eastAsia="MS Mincho"/>
          <w:sz w:val="18"/>
          <w:szCs w:val="18"/>
          <w:lang w:val="fr-FR"/>
        </w:rPr>
        <w:tab/>
        <w:t>[…] Les caractères figurant dans les principes directeurs d'examen individuels ne sont pas nécessairement exhaustifs et peuvent être complétés par d'autres caractères si cela s'avère utile et si ces derniers remplissent les conditions énoncées ci-dessus. » [conditions de base qu'un caractère doit remplir avant d'être utilisé pour l'examen DHS]</w:t>
      </w:r>
    </w:p>
    <w:p w14:paraId="65E5E183" w14:textId="77777777" w:rsidR="00A44D2D" w:rsidRPr="001B41CB" w:rsidRDefault="00A44D2D" w:rsidP="00A44D2D">
      <w:pPr>
        <w:rPr>
          <w:lang w:val="fr-FR"/>
        </w:rPr>
      </w:pPr>
    </w:p>
    <w:p w14:paraId="3F094B50" w14:textId="37349DEB" w:rsidR="00A44D2D" w:rsidRPr="001B41CB" w:rsidRDefault="00A44D2D" w:rsidP="00A44D2D">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Le TWO a examiné </w:t>
      </w:r>
      <w:bookmarkStart w:id="25" w:name="_Hlk207308398"/>
      <w:r w:rsidRPr="001B41CB">
        <w:rPr>
          <w:lang w:val="fr-FR"/>
        </w:rPr>
        <w:t>l'évaluation de caractéristiques supplémentaires non incluses dans les principes directeurs d'examen de la Convention UPOV, comme indiqué dans le document TWO/57/7, et la question de savoir s'il serait approprié que ces caractéristiques soient évaluées uniquement pour l'homogénéité et non pour la distinction</w:t>
      </w:r>
      <w:bookmarkEnd w:id="25"/>
      <w:r w:rsidRPr="001B41CB">
        <w:rPr>
          <w:lang w:val="fr-FR"/>
        </w:rPr>
        <w:t xml:space="preserve"> . Le TWO a rappelé que la Convention UPOV exige qu'une variété soit examinée pour la détermination de la distinction, d'homogénéité et de stabilité, et est convenu que toute caractéristique supplémentaire serait soumise à la même base juridique. </w:t>
      </w:r>
    </w:p>
    <w:p w14:paraId="629B050A" w14:textId="77777777" w:rsidR="00A44D2D" w:rsidRPr="001B41CB" w:rsidRDefault="00A44D2D" w:rsidP="00A44D2D">
      <w:pPr>
        <w:rPr>
          <w:lang w:val="fr-FR"/>
        </w:rPr>
      </w:pPr>
    </w:p>
    <w:p w14:paraId="21E5C25C" w14:textId="77777777" w:rsidR="00A44D2D" w:rsidRPr="001B41CB" w:rsidRDefault="00A44D2D" w:rsidP="00A44D2D">
      <w:pPr>
        <w:rPr>
          <w:lang w:val="fr-FR"/>
        </w:rPr>
      </w:pPr>
    </w:p>
    <w:p w14:paraId="4FCFD53B" w14:textId="124B1860" w:rsidR="00BA470A" w:rsidRPr="001B41CB" w:rsidRDefault="00302A22" w:rsidP="00365B2A">
      <w:pPr>
        <w:pStyle w:val="Heading2"/>
        <w:rPr>
          <w:rFonts w:eastAsia="MS Mincho"/>
          <w:lang w:val="fr-FR"/>
        </w:rPr>
      </w:pPr>
      <w:bookmarkStart w:id="26" w:name="_Toc208828860"/>
      <w:r w:rsidRPr="001B41CB">
        <w:rPr>
          <w:rFonts w:eastAsia="MS Mincho"/>
          <w:lang w:val="fr-FR"/>
        </w:rPr>
        <w:t xml:space="preserve">Compte rendu sur les affaires judiciaires traitant de questions </w:t>
      </w:r>
      <w:r w:rsidR="00AC0937" w:rsidRPr="001B41CB">
        <w:rPr>
          <w:rFonts w:eastAsia="MS Mincho"/>
          <w:lang w:val="fr-FR"/>
        </w:rPr>
        <w:t>techniques</w:t>
      </w:r>
      <w:bookmarkStart w:id="27" w:name="_Hlk205555062"/>
      <w:r w:rsidR="00AC0937" w:rsidRPr="001B41CB">
        <w:rPr>
          <w:rFonts w:eastAsia="MS Mincho"/>
          <w:lang w:val="fr-FR"/>
        </w:rPr>
        <w:t xml:space="preserve"> : </w:t>
      </w:r>
      <w:r w:rsidR="00BA470A" w:rsidRPr="001B41CB">
        <w:rPr>
          <w:rFonts w:eastAsia="MS Mincho"/>
          <w:i/>
          <w:iCs/>
          <w:lang w:val="fr-FR"/>
        </w:rPr>
        <w:t xml:space="preserve">Allium </w:t>
      </w:r>
      <w:proofErr w:type="spellStart"/>
      <w:r w:rsidR="00BA470A" w:rsidRPr="001B41CB">
        <w:rPr>
          <w:rFonts w:eastAsia="MS Mincho"/>
          <w:i/>
          <w:iCs/>
          <w:lang w:val="fr-FR"/>
        </w:rPr>
        <w:t>cepa</w:t>
      </w:r>
      <w:proofErr w:type="spellEnd"/>
      <w:r w:rsidR="00BA470A" w:rsidRPr="001B41CB">
        <w:rPr>
          <w:rFonts w:eastAsia="MS Mincho"/>
          <w:i/>
          <w:iCs/>
          <w:lang w:val="fr-FR"/>
        </w:rPr>
        <w:t xml:space="preserve"> </w:t>
      </w:r>
      <w:r w:rsidR="00BA470A" w:rsidRPr="001B41CB">
        <w:rPr>
          <w:rFonts w:eastAsia="MS Mincho"/>
          <w:lang w:val="fr-FR"/>
        </w:rPr>
        <w:t>L. « SK20 »</w:t>
      </w:r>
      <w:bookmarkEnd w:id="26"/>
    </w:p>
    <w:bookmarkEnd w:id="27"/>
    <w:p w14:paraId="58EED9CC" w14:textId="77777777" w:rsidR="00BA470A" w:rsidRPr="001B41CB" w:rsidRDefault="00BA470A" w:rsidP="00302A22">
      <w:pPr>
        <w:rPr>
          <w:rFonts w:eastAsia="MS Mincho"/>
          <w:lang w:val="fr-FR"/>
        </w:rPr>
      </w:pPr>
    </w:p>
    <w:p w14:paraId="5966E818" w14:textId="70F03F4C" w:rsidR="00BA470A" w:rsidRPr="001B41CB" w:rsidRDefault="001E6406" w:rsidP="00BA470A">
      <w:pPr>
        <w:rPr>
          <w:lang w:val="fr-FR"/>
        </w:rPr>
      </w:pPr>
      <w:r w:rsidRPr="001B41CB">
        <w:rPr>
          <w:rFonts w:eastAsia="MS Mincho"/>
          <w:lang w:val="fr-FR"/>
        </w:rPr>
        <w:fldChar w:fldCharType="begin"/>
      </w:r>
      <w:r w:rsidRPr="001B41CB">
        <w:rPr>
          <w:rFonts w:eastAsia="MS Mincho"/>
          <w:lang w:val="fr-FR"/>
        </w:rPr>
        <w:instrText xml:space="preserve"> AUTONUM  </w:instrText>
      </w:r>
      <w:r w:rsidRPr="001B41CB">
        <w:rPr>
          <w:rFonts w:eastAsia="MS Mincho"/>
          <w:lang w:val="fr-FR"/>
        </w:rPr>
        <w:fldChar w:fldCharType="end"/>
      </w:r>
      <w:r w:rsidRPr="001B41CB">
        <w:rPr>
          <w:rFonts w:eastAsia="MS Mincho"/>
          <w:lang w:val="fr-FR"/>
        </w:rPr>
        <w:tab/>
      </w:r>
      <w:r w:rsidR="00302A22" w:rsidRPr="001B41CB">
        <w:rPr>
          <w:rFonts w:eastAsia="MS Mincho"/>
          <w:lang w:val="fr-FR"/>
        </w:rPr>
        <w:t>Le TWO</w:t>
      </w:r>
      <w:r w:rsidR="001B6C83" w:rsidRPr="001B41CB">
        <w:rPr>
          <w:rFonts w:eastAsia="MS Mincho"/>
          <w:lang w:val="fr-FR"/>
        </w:rPr>
        <w:t xml:space="preserve">, le TWV et le TWF </w:t>
      </w:r>
      <w:r w:rsidR="00302A22" w:rsidRPr="001B41CB">
        <w:rPr>
          <w:rFonts w:eastAsia="MS Mincho"/>
          <w:lang w:val="fr-FR"/>
        </w:rPr>
        <w:t xml:space="preserve">ont entendu un exposé </w:t>
      </w:r>
      <w:r w:rsidR="001B6C83" w:rsidRPr="001B41CB">
        <w:rPr>
          <w:rFonts w:eastAsia="MS Mincho"/>
          <w:lang w:val="fr-FR"/>
        </w:rPr>
        <w:t>de l'Union européenne sur l'affaire judiciaire "</w:t>
      </w:r>
      <w:r w:rsidR="001B6C83" w:rsidRPr="001B41CB">
        <w:rPr>
          <w:rFonts w:eastAsia="MS Mincho"/>
          <w:i/>
          <w:iCs/>
          <w:lang w:val="fr-FR"/>
        </w:rPr>
        <w:t>Allium</w:t>
      </w:r>
      <w:r w:rsidR="00421043">
        <w:rPr>
          <w:rFonts w:eastAsia="MS Mincho"/>
          <w:i/>
          <w:iCs/>
          <w:lang w:val="fr-FR"/>
        </w:rPr>
        <w:t> </w:t>
      </w:r>
      <w:proofErr w:type="spellStart"/>
      <w:r w:rsidR="001B6C83" w:rsidRPr="001B41CB">
        <w:rPr>
          <w:rFonts w:eastAsia="MS Mincho"/>
          <w:i/>
          <w:iCs/>
          <w:lang w:val="fr-FR"/>
        </w:rPr>
        <w:t>cepa</w:t>
      </w:r>
      <w:proofErr w:type="spellEnd"/>
      <w:r w:rsidR="001B6C83" w:rsidRPr="001B41CB">
        <w:rPr>
          <w:rFonts w:eastAsia="MS Mincho"/>
          <w:i/>
          <w:iCs/>
          <w:lang w:val="fr-FR"/>
        </w:rPr>
        <w:t xml:space="preserve"> </w:t>
      </w:r>
      <w:r w:rsidR="001B6C83" w:rsidRPr="001B41CB">
        <w:rPr>
          <w:rFonts w:eastAsia="MS Mincho"/>
          <w:lang w:val="fr-FR"/>
        </w:rPr>
        <w:t xml:space="preserve">L. 'SK20'", telle que présentée dans les documents </w:t>
      </w:r>
      <w:hyperlink r:id="rId15" w:history="1">
        <w:r w:rsidR="001B6C83" w:rsidRPr="001B41CB">
          <w:rPr>
            <w:rStyle w:val="Hyperlink"/>
            <w:rFonts w:eastAsia="MS Mincho"/>
            <w:lang w:val="fr-FR"/>
          </w:rPr>
          <w:t>TWO/57/4</w:t>
        </w:r>
      </w:hyperlink>
      <w:r w:rsidR="001B6C83" w:rsidRPr="001B41CB">
        <w:rPr>
          <w:rFonts w:eastAsia="MS Mincho"/>
          <w:lang w:val="fr-FR"/>
        </w:rPr>
        <w:t xml:space="preserve">, </w:t>
      </w:r>
      <w:hyperlink r:id="rId16" w:history="1">
        <w:r w:rsidR="00BA470A" w:rsidRPr="001B41CB">
          <w:rPr>
            <w:rStyle w:val="Hyperlink"/>
            <w:lang w:val="fr-FR"/>
          </w:rPr>
          <w:t>TWV/59/8</w:t>
        </w:r>
      </w:hyperlink>
      <w:r w:rsidR="001B6C83" w:rsidRPr="001B41CB">
        <w:rPr>
          <w:lang w:val="fr-FR"/>
        </w:rPr>
        <w:t xml:space="preserve"> et </w:t>
      </w:r>
      <w:hyperlink r:id="rId17" w:history="1">
        <w:r w:rsidR="00BA470A" w:rsidRPr="001B41CB">
          <w:rPr>
            <w:rStyle w:val="Hyperlink"/>
            <w:lang w:val="fr-FR"/>
          </w:rPr>
          <w:t>TWF/56/4</w:t>
        </w:r>
      </w:hyperlink>
      <w:r w:rsidR="001B6C83" w:rsidRPr="001B41CB">
        <w:rPr>
          <w:rStyle w:val="FootnoteReference"/>
          <w:lang w:val="fr-FR"/>
        </w:rPr>
        <w:footnoteReference w:id="10"/>
      </w:r>
      <w:r w:rsidR="00BA470A" w:rsidRPr="001B41CB">
        <w:rPr>
          <w:lang w:val="fr-FR"/>
        </w:rPr>
        <w:t xml:space="preserve"> .</w:t>
      </w:r>
    </w:p>
    <w:p w14:paraId="4951999C" w14:textId="77777777" w:rsidR="00302A22" w:rsidRPr="001B41CB" w:rsidRDefault="00302A22" w:rsidP="00302A22">
      <w:pPr>
        <w:rPr>
          <w:rFonts w:eastAsia="MS Mincho"/>
          <w:lang w:val="fr-FR"/>
        </w:rPr>
      </w:pPr>
    </w:p>
    <w:p w14:paraId="5A7ECF23" w14:textId="1C8FEFED" w:rsidR="00302A22" w:rsidRPr="001B41CB" w:rsidRDefault="001E6406" w:rsidP="00302A22">
      <w:pPr>
        <w:rPr>
          <w:rFonts w:eastAsia="MS Mincho"/>
          <w:lang w:val="fr-FR"/>
        </w:rPr>
      </w:pPr>
      <w:r w:rsidRPr="001B41CB">
        <w:rPr>
          <w:rFonts w:eastAsia="MS Mincho"/>
          <w:lang w:val="fr-FR"/>
        </w:rPr>
        <w:fldChar w:fldCharType="begin"/>
      </w:r>
      <w:r w:rsidRPr="001B41CB">
        <w:rPr>
          <w:rFonts w:eastAsia="MS Mincho"/>
          <w:lang w:val="fr-FR"/>
        </w:rPr>
        <w:instrText xml:space="preserve"> AUTONUM  </w:instrText>
      </w:r>
      <w:r w:rsidRPr="001B41CB">
        <w:rPr>
          <w:rFonts w:eastAsia="MS Mincho"/>
          <w:lang w:val="fr-FR"/>
        </w:rPr>
        <w:fldChar w:fldCharType="end"/>
      </w:r>
      <w:r w:rsidRPr="001B41CB">
        <w:rPr>
          <w:rFonts w:eastAsia="MS Mincho"/>
          <w:lang w:val="fr-FR"/>
        </w:rPr>
        <w:tab/>
      </w:r>
      <w:r w:rsidR="00302A22" w:rsidRPr="001B41CB">
        <w:rPr>
          <w:rFonts w:eastAsia="MS Mincho"/>
          <w:lang w:val="fr-FR"/>
        </w:rPr>
        <w:t xml:space="preserve">Le TWO a examiné la proposition figurant dans le document TWO/57/4 visant à réduire les informations fournies dans les descriptions variétales sur les caractères par lesquels le candidat se distingue de la variété similaire et est convenu que les informations sur les caractères les plus pertinents devraient être fournies dans </w:t>
      </w:r>
      <w:r w:rsidR="00302A22" w:rsidRPr="001B41CB">
        <w:rPr>
          <w:lang w:val="fr-FR"/>
        </w:rPr>
        <w:t>le compte rendu d'examen technique</w:t>
      </w:r>
      <w:r w:rsidR="00302A22" w:rsidRPr="001B41CB">
        <w:rPr>
          <w:rFonts w:eastAsia="MS Mincho"/>
          <w:lang w:val="fr-FR"/>
        </w:rPr>
        <w:t xml:space="preserve">. </w:t>
      </w:r>
    </w:p>
    <w:bookmarkEnd w:id="21"/>
    <w:p w14:paraId="0B558C0D" w14:textId="77777777" w:rsidR="006F0A99" w:rsidRPr="001B41CB" w:rsidRDefault="006F0A99" w:rsidP="006F0A99">
      <w:pPr>
        <w:rPr>
          <w:lang w:val="fr-FR"/>
        </w:rPr>
      </w:pPr>
    </w:p>
    <w:p w14:paraId="6BEA7C47" w14:textId="249B0C1D" w:rsidR="006F0A99" w:rsidRPr="001B41CB" w:rsidRDefault="001E6406" w:rsidP="006F0A99">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r>
      <w:r w:rsidR="006F0A99" w:rsidRPr="001B41CB">
        <w:rPr>
          <w:lang w:val="fr-FR"/>
        </w:rPr>
        <w:t xml:space="preserve">Le TWV a examiné l'utilisation de caractères supplémentaires non inclus dans les principes directeurs d'examen et a pris note de l'une des raisons invoquées par la Cour, à savoir que les caractères figurant dans </w:t>
      </w:r>
      <w:r w:rsidR="006F0A99" w:rsidRPr="001B41CB">
        <w:rPr>
          <w:lang w:val="fr-FR"/>
        </w:rPr>
        <w:lastRenderedPageBreak/>
        <w:t xml:space="preserve">la description variétale « n'ont pas pour but de refléter l'expression de tous les caractères résultant du génotype de la variété, mais seulement certains caractères qui suffisent à démontrer le respect de l'exigence de distinction ».  </w:t>
      </w:r>
    </w:p>
    <w:p w14:paraId="1DAE9A6B" w14:textId="77777777" w:rsidR="006F0A99" w:rsidRPr="001B41CB" w:rsidRDefault="006F0A99" w:rsidP="006F0A99">
      <w:pPr>
        <w:rPr>
          <w:lang w:val="fr-FR"/>
        </w:rPr>
      </w:pPr>
    </w:p>
    <w:p w14:paraId="4E66C0A1" w14:textId="6ECD7D9C" w:rsidR="006F0A99" w:rsidRPr="001B41CB" w:rsidRDefault="001E6406" w:rsidP="006F0A99">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r>
      <w:r w:rsidR="006F0A99" w:rsidRPr="001B41CB">
        <w:rPr>
          <w:lang w:val="fr-FR"/>
        </w:rPr>
        <w:t>Le TWV a examiné la proposition figurant dans le document TWV/59/8 visant à réduire les informations fournies dans les descriptions variétales sur les caractères par lesquels le candidat se distingue de la variété similaire et a convenu qu'il existait des divergences de vues sur cette question au sein des différents groupes de travail techniques (TWP).</w:t>
      </w:r>
    </w:p>
    <w:p w14:paraId="34FA8E9A" w14:textId="77777777" w:rsidR="009357CF" w:rsidRPr="001B41CB" w:rsidRDefault="009357CF" w:rsidP="009357CF">
      <w:pPr>
        <w:rPr>
          <w:lang w:val="fr-FR"/>
        </w:rPr>
      </w:pPr>
    </w:p>
    <w:p w14:paraId="0B3D8CDB" w14:textId="77777777" w:rsidR="009357CF" w:rsidRPr="001B41CB" w:rsidRDefault="009357CF" w:rsidP="009357CF">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Le TWF a examiné le nombre de caractères figurant dans les principes directeurs d'examen et est convenu qu'il fallait trouver un équilibre entre un nombre suffisant de caractères permettant de décrire la variété et la nécessité de se concentrer sur les caractères les plus utiles pour la distinction. </w:t>
      </w:r>
    </w:p>
    <w:p w14:paraId="5351580B" w14:textId="77777777" w:rsidR="009357CF" w:rsidRPr="001B41CB" w:rsidRDefault="009357CF" w:rsidP="009357CF">
      <w:pPr>
        <w:rPr>
          <w:lang w:val="fr-FR"/>
        </w:rPr>
      </w:pPr>
    </w:p>
    <w:p w14:paraId="72AB7775" w14:textId="7A147BC8" w:rsidR="009357CF" w:rsidRPr="001B41CB" w:rsidRDefault="006B68C2" w:rsidP="009357CF">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r>
      <w:r w:rsidR="009357CF" w:rsidRPr="001B41CB">
        <w:rPr>
          <w:lang w:val="fr-FR"/>
        </w:rPr>
        <w:t xml:space="preserve">Le TWF a salué l'initiative de présenter une affaire judiciaire traitant de questions techniques et a convenu d'inviter des présentations similaires à l'avenir. </w:t>
      </w:r>
    </w:p>
    <w:p w14:paraId="3CF62047" w14:textId="77777777" w:rsidR="00302A22" w:rsidRPr="001B41CB" w:rsidRDefault="00302A22" w:rsidP="00302A22">
      <w:pPr>
        <w:jc w:val="left"/>
        <w:rPr>
          <w:rFonts w:eastAsia="MS Mincho"/>
          <w:lang w:val="fr-FR"/>
        </w:rPr>
      </w:pPr>
    </w:p>
    <w:p w14:paraId="07521527" w14:textId="77777777" w:rsidR="004675E5" w:rsidRPr="001B41CB" w:rsidRDefault="004675E5" w:rsidP="00302A22">
      <w:pPr>
        <w:jc w:val="left"/>
        <w:rPr>
          <w:rFonts w:eastAsia="MS Mincho"/>
          <w:lang w:val="fr-FR"/>
        </w:rPr>
      </w:pPr>
    </w:p>
    <w:p w14:paraId="1C3F74F5" w14:textId="2DBFAD48" w:rsidR="009C0E22" w:rsidRPr="001B41CB" w:rsidRDefault="003B4826" w:rsidP="00365B2A">
      <w:pPr>
        <w:pStyle w:val="Heading2"/>
        <w:rPr>
          <w:rFonts w:eastAsia="MS Mincho"/>
          <w:lang w:val="fr-FR"/>
        </w:rPr>
      </w:pPr>
      <w:bookmarkStart w:id="28" w:name="_Toc208828861"/>
      <w:r w:rsidRPr="001B41CB">
        <w:rPr>
          <w:lang w:val="fr-FR"/>
        </w:rPr>
        <w:t xml:space="preserve">Bases de données d'information </w:t>
      </w:r>
      <w:r w:rsidR="00AC0937" w:rsidRPr="001B41CB">
        <w:rPr>
          <w:lang w:val="fr-FR"/>
        </w:rPr>
        <w:t xml:space="preserve">: </w:t>
      </w:r>
      <w:r w:rsidR="009C0E22" w:rsidRPr="001B41CB">
        <w:rPr>
          <w:rFonts w:eastAsia="MS Mincho"/>
          <w:lang w:val="fr-FR"/>
        </w:rPr>
        <w:t>valeur et fiabilité des noms botaniques dans le domaine des plantes ornementales</w:t>
      </w:r>
      <w:bookmarkEnd w:id="28"/>
    </w:p>
    <w:p w14:paraId="4976911A" w14:textId="77777777" w:rsidR="009C0E22" w:rsidRPr="001B41CB" w:rsidRDefault="009C0E22" w:rsidP="009C0E22">
      <w:pPr>
        <w:jc w:val="left"/>
        <w:rPr>
          <w:rFonts w:eastAsia="MS Mincho"/>
          <w:lang w:val="fr-FR"/>
        </w:rPr>
      </w:pPr>
    </w:p>
    <w:p w14:paraId="64A971D4" w14:textId="4B1FC887" w:rsidR="009C0E22" w:rsidRPr="001B41CB" w:rsidRDefault="00092C1C" w:rsidP="009C0E22">
      <w:pPr>
        <w:rPr>
          <w:rFonts w:eastAsia="MS Mincho"/>
          <w:lang w:val="fr-FR"/>
        </w:rPr>
      </w:pPr>
      <w:r w:rsidRPr="001B41CB">
        <w:rPr>
          <w:rFonts w:eastAsia="MS Mincho"/>
          <w:lang w:val="fr-FR"/>
        </w:rPr>
        <w:fldChar w:fldCharType="begin"/>
      </w:r>
      <w:r w:rsidRPr="001B41CB">
        <w:rPr>
          <w:rFonts w:eastAsia="MS Mincho"/>
          <w:lang w:val="fr-FR"/>
        </w:rPr>
        <w:instrText xml:space="preserve"> AUTONUM  </w:instrText>
      </w:r>
      <w:r w:rsidRPr="001B41CB">
        <w:rPr>
          <w:rFonts w:eastAsia="MS Mincho"/>
          <w:lang w:val="fr-FR"/>
        </w:rPr>
        <w:fldChar w:fldCharType="end"/>
      </w:r>
      <w:r w:rsidRPr="001B41CB">
        <w:rPr>
          <w:rFonts w:eastAsia="MS Mincho"/>
          <w:lang w:val="fr-FR"/>
        </w:rPr>
        <w:tab/>
      </w:r>
      <w:r w:rsidR="009C0E22" w:rsidRPr="001B41CB">
        <w:rPr>
          <w:rFonts w:eastAsia="MS Mincho"/>
          <w:lang w:val="fr-FR"/>
        </w:rPr>
        <w:t>Le TWO</w:t>
      </w:r>
      <w:r w:rsidR="003B4826" w:rsidRPr="001B41CB">
        <w:rPr>
          <w:rStyle w:val="FootnoteReference"/>
          <w:rFonts w:eastAsia="MS Mincho"/>
          <w:lang w:val="fr-FR"/>
        </w:rPr>
        <w:footnoteReference w:id="11"/>
      </w:r>
      <w:r w:rsidR="009C0E22" w:rsidRPr="001B41CB">
        <w:rPr>
          <w:rFonts w:eastAsia="MS Mincho"/>
          <w:lang w:val="fr-FR"/>
        </w:rPr>
        <w:t xml:space="preserve"> a entendu un exposé sur « La valeur et la fiabilité des noms botaniques dans les plantes ornementales » présenté par un expert des Pays-Bas (Royaume des). L'exposé figure dans le document</w:t>
      </w:r>
      <w:bookmarkStart w:id="29" w:name="OLE_LINK1"/>
      <w:r w:rsidR="003B4826" w:rsidRPr="001B41CB">
        <w:rPr>
          <w:rFonts w:eastAsia="MS Mincho"/>
          <w:lang w:val="fr-FR"/>
        </w:rPr>
        <w:fldChar w:fldCharType="begin"/>
      </w:r>
      <w:r w:rsidR="003B4826" w:rsidRPr="001B41CB">
        <w:rPr>
          <w:rFonts w:eastAsia="MS Mincho"/>
          <w:lang w:val="fr-FR"/>
        </w:rPr>
        <w:instrText>HYPERLINK "https://www.upov.int/edocs/mdocs/upov/en/two_57/two_57_8.pdf"</w:instrText>
      </w:r>
      <w:r w:rsidR="003B4826" w:rsidRPr="001B41CB">
        <w:rPr>
          <w:rFonts w:eastAsia="MS Mincho"/>
          <w:lang w:val="fr-FR"/>
        </w:rPr>
      </w:r>
      <w:r w:rsidR="003B4826" w:rsidRPr="001B41CB">
        <w:rPr>
          <w:rFonts w:eastAsia="MS Mincho"/>
          <w:lang w:val="fr-FR"/>
        </w:rPr>
        <w:fldChar w:fldCharType="separate"/>
      </w:r>
      <w:r w:rsidR="009C0E22" w:rsidRPr="001B41CB">
        <w:rPr>
          <w:rStyle w:val="Hyperlink"/>
          <w:rFonts w:eastAsia="MS Mincho"/>
          <w:lang w:val="fr-FR"/>
        </w:rPr>
        <w:t xml:space="preserve"> TWO/57/8</w:t>
      </w:r>
      <w:bookmarkEnd w:id="29"/>
      <w:r w:rsidR="003B4826" w:rsidRPr="001B41CB">
        <w:rPr>
          <w:rFonts w:eastAsia="MS Mincho"/>
          <w:lang w:val="fr-FR"/>
        </w:rPr>
        <w:fldChar w:fldCharType="end"/>
      </w:r>
      <w:r w:rsidR="009C0E22" w:rsidRPr="001B41CB">
        <w:rPr>
          <w:rFonts w:eastAsia="MS Mincho"/>
          <w:lang w:val="fr-FR"/>
        </w:rPr>
        <w:t xml:space="preserve"> .</w:t>
      </w:r>
    </w:p>
    <w:p w14:paraId="5380B49F" w14:textId="77777777" w:rsidR="009C0E22" w:rsidRPr="001B41CB" w:rsidRDefault="009C0E22" w:rsidP="009C0E22">
      <w:pPr>
        <w:rPr>
          <w:rFonts w:eastAsia="MS Mincho"/>
          <w:lang w:val="fr-FR"/>
        </w:rPr>
      </w:pPr>
    </w:p>
    <w:p w14:paraId="0B9E131A" w14:textId="75F2AFA1" w:rsidR="009C0E22" w:rsidRPr="001B41CB" w:rsidRDefault="00092C1C" w:rsidP="009C0E22">
      <w:pPr>
        <w:rPr>
          <w:rFonts w:eastAsia="MS Mincho"/>
          <w:lang w:val="fr-FR"/>
        </w:rPr>
      </w:pPr>
      <w:r w:rsidRPr="001B41CB">
        <w:rPr>
          <w:rFonts w:eastAsia="MS Mincho"/>
          <w:lang w:val="fr-FR"/>
        </w:rPr>
        <w:fldChar w:fldCharType="begin"/>
      </w:r>
      <w:r w:rsidRPr="001B41CB">
        <w:rPr>
          <w:rFonts w:eastAsia="MS Mincho"/>
          <w:lang w:val="fr-FR"/>
        </w:rPr>
        <w:instrText xml:space="preserve"> AUTONUM  </w:instrText>
      </w:r>
      <w:r w:rsidRPr="001B41CB">
        <w:rPr>
          <w:rFonts w:eastAsia="MS Mincho"/>
          <w:lang w:val="fr-FR"/>
        </w:rPr>
        <w:fldChar w:fldCharType="end"/>
      </w:r>
      <w:r w:rsidRPr="001B41CB">
        <w:rPr>
          <w:rFonts w:eastAsia="MS Mincho"/>
          <w:lang w:val="fr-FR"/>
        </w:rPr>
        <w:tab/>
      </w:r>
      <w:r w:rsidR="009C0E22" w:rsidRPr="001B41CB">
        <w:rPr>
          <w:rFonts w:eastAsia="MS Mincho"/>
          <w:lang w:val="fr-FR"/>
        </w:rPr>
        <w:t>Le TWO a pris note du compte rendu figurant dans le document TWO/57/8, selon lequel des informations taxonomiques imprécises fournies par les demandeurs pourraient avoir des conséquences administratives pour la coopération internationale et l'octroi des droits d'obtenteur.</w:t>
      </w:r>
    </w:p>
    <w:p w14:paraId="4A4F9008" w14:textId="77777777" w:rsidR="009C0E22" w:rsidRPr="001B41CB" w:rsidRDefault="009C0E22" w:rsidP="009C0E22">
      <w:pPr>
        <w:rPr>
          <w:rFonts w:eastAsia="MS Mincho"/>
          <w:lang w:val="fr-FR"/>
        </w:rPr>
      </w:pPr>
    </w:p>
    <w:p w14:paraId="69555699" w14:textId="71AE2CE6" w:rsidR="009C0E22" w:rsidRPr="001B41CB" w:rsidRDefault="00092C1C" w:rsidP="009C0E22">
      <w:pPr>
        <w:rPr>
          <w:rFonts w:eastAsia="MS Mincho"/>
          <w:lang w:val="fr-FR"/>
        </w:rPr>
      </w:pPr>
      <w:r w:rsidRPr="001B41CB">
        <w:rPr>
          <w:rFonts w:eastAsia="MS Mincho"/>
          <w:lang w:val="fr-FR"/>
        </w:rPr>
        <w:fldChar w:fldCharType="begin"/>
      </w:r>
      <w:r w:rsidRPr="001B41CB">
        <w:rPr>
          <w:rFonts w:eastAsia="MS Mincho"/>
          <w:lang w:val="fr-FR"/>
        </w:rPr>
        <w:instrText xml:space="preserve"> AUTONUM  </w:instrText>
      </w:r>
      <w:r w:rsidRPr="001B41CB">
        <w:rPr>
          <w:rFonts w:eastAsia="MS Mincho"/>
          <w:lang w:val="fr-FR"/>
        </w:rPr>
        <w:fldChar w:fldCharType="end"/>
      </w:r>
      <w:r w:rsidRPr="001B41CB">
        <w:rPr>
          <w:rFonts w:eastAsia="MS Mincho"/>
          <w:lang w:val="fr-FR"/>
        </w:rPr>
        <w:tab/>
      </w:r>
      <w:r w:rsidR="009C0E22" w:rsidRPr="001B41CB">
        <w:rPr>
          <w:rFonts w:eastAsia="MS Mincho"/>
          <w:lang w:val="fr-FR"/>
        </w:rPr>
        <w:t xml:space="preserve">Le TWO a convenu que les obtenteurs pourraient avoir des difficultés à fournir des informations taxonomiques précises pour certaines variétés végétales ornementales, en particulier celles dont la taxonomie est complexe.  Le TWO a convenu que, dans de tels cas, la sélection de variétés végétales similaires devrait tenir compte de l'ensemble du genre afin d'éviter de passer à côté de variétés végétales pouvant être utilisées à des fins de comparaison dans l'essai en culture.  </w:t>
      </w:r>
    </w:p>
    <w:p w14:paraId="09E827AB" w14:textId="77777777" w:rsidR="009C0E22" w:rsidRPr="001B41CB" w:rsidRDefault="009C0E22" w:rsidP="009C0E22">
      <w:pPr>
        <w:rPr>
          <w:rFonts w:eastAsia="MS Mincho"/>
          <w:lang w:val="fr-FR"/>
        </w:rPr>
      </w:pPr>
    </w:p>
    <w:p w14:paraId="2A4676CE" w14:textId="54E28589" w:rsidR="009C0E22" w:rsidRPr="001B41CB" w:rsidRDefault="00092C1C" w:rsidP="009C0E22">
      <w:pPr>
        <w:rPr>
          <w:rFonts w:eastAsia="MS Mincho"/>
          <w:lang w:val="fr-FR"/>
        </w:rPr>
      </w:pPr>
      <w:r w:rsidRPr="001B41CB">
        <w:rPr>
          <w:rFonts w:eastAsia="MS Mincho"/>
          <w:lang w:val="fr-FR"/>
        </w:rPr>
        <w:fldChar w:fldCharType="begin"/>
      </w:r>
      <w:r w:rsidRPr="001B41CB">
        <w:rPr>
          <w:rFonts w:eastAsia="MS Mincho"/>
          <w:lang w:val="fr-FR"/>
        </w:rPr>
        <w:instrText xml:space="preserve"> AUTONUM  </w:instrText>
      </w:r>
      <w:r w:rsidRPr="001B41CB">
        <w:rPr>
          <w:rFonts w:eastAsia="MS Mincho"/>
          <w:lang w:val="fr-FR"/>
        </w:rPr>
        <w:fldChar w:fldCharType="end"/>
      </w:r>
      <w:r w:rsidRPr="001B41CB">
        <w:rPr>
          <w:rFonts w:eastAsia="MS Mincho"/>
          <w:lang w:val="fr-FR"/>
        </w:rPr>
        <w:tab/>
      </w:r>
      <w:r w:rsidR="009C0E22" w:rsidRPr="001B41CB">
        <w:rPr>
          <w:rFonts w:eastAsia="MS Mincho"/>
          <w:lang w:val="fr-FR"/>
        </w:rPr>
        <w:t xml:space="preserve">Le TWO a examiné la proposition figurant dans le document TWO/57/8 visant à utiliser la classification par groupes dans le cas des plantes ornementales dont la taxonomie est complexe et est convenu que cette approche devrait être envisagée au cas par cas.  </w:t>
      </w:r>
    </w:p>
    <w:p w14:paraId="098A381B" w14:textId="77777777" w:rsidR="00445B73" w:rsidRPr="001B41CB" w:rsidRDefault="00445B73" w:rsidP="00445B73">
      <w:pPr>
        <w:rPr>
          <w:lang w:val="fr-FR"/>
        </w:rPr>
      </w:pPr>
    </w:p>
    <w:p w14:paraId="7BE71397" w14:textId="77777777" w:rsidR="00852529" w:rsidRPr="001B41CB" w:rsidRDefault="00852529" w:rsidP="00852529">
      <w:pPr>
        <w:rPr>
          <w:rFonts w:eastAsiaTheme="minorEastAsia" w:cs="Calibri"/>
          <w:szCs w:val="22"/>
          <w:lang w:val="fr-FR"/>
          <w14:ligatures w14:val="standardContextual"/>
        </w:rPr>
      </w:pPr>
    </w:p>
    <w:p w14:paraId="6AE791DF" w14:textId="77777777" w:rsidR="00852529" w:rsidRPr="001B41CB" w:rsidRDefault="00852529" w:rsidP="00365B2A">
      <w:pPr>
        <w:pStyle w:val="Heading2"/>
        <w:rPr>
          <w:rFonts w:eastAsiaTheme="minorEastAsia"/>
          <w:lang w:val="fr-FR"/>
        </w:rPr>
      </w:pPr>
      <w:bookmarkStart w:id="30" w:name="_Toc208828862"/>
      <w:r w:rsidRPr="001B41CB">
        <w:rPr>
          <w:rFonts w:eastAsiaTheme="minorEastAsia"/>
          <w:lang w:val="fr-FR"/>
        </w:rPr>
        <w:t>Logiciels et méthodes d'analyse statistique pour l'examen DHS</w:t>
      </w:r>
      <w:bookmarkEnd w:id="30"/>
    </w:p>
    <w:p w14:paraId="50D40854" w14:textId="77777777" w:rsidR="00852529" w:rsidRPr="001B41CB" w:rsidRDefault="00852529" w:rsidP="00852529">
      <w:pPr>
        <w:jc w:val="left"/>
        <w:rPr>
          <w:rFonts w:eastAsiaTheme="minorEastAsia" w:cs="Calibri"/>
          <w:lang w:val="fr-FR"/>
          <w14:ligatures w14:val="standardContextual"/>
        </w:rPr>
      </w:pPr>
    </w:p>
    <w:p w14:paraId="71506324" w14:textId="77777777" w:rsidR="00852529" w:rsidRPr="001B41CB" w:rsidRDefault="00852529" w:rsidP="00642D69">
      <w:pPr>
        <w:pStyle w:val="Heading3"/>
        <w:rPr>
          <w:rFonts w:eastAsiaTheme="minorEastAsia"/>
          <w:lang w:val="fr-FR"/>
        </w:rPr>
      </w:pPr>
      <w:bookmarkStart w:id="31" w:name="_Hlk193879452"/>
      <w:bookmarkStart w:id="32" w:name="_Toc208828863"/>
      <w:r w:rsidRPr="001B41CB">
        <w:rPr>
          <w:rFonts w:eastAsiaTheme="minorEastAsia"/>
          <w:lang w:val="fr-FR"/>
        </w:rPr>
        <w:t>Développement d'une plateforme de mégadonnées pour l'examen DHS</w:t>
      </w:r>
      <w:bookmarkEnd w:id="31"/>
      <w:bookmarkEnd w:id="32"/>
    </w:p>
    <w:p w14:paraId="33F85A1C" w14:textId="77777777" w:rsidR="00852529" w:rsidRPr="001B41CB" w:rsidRDefault="00852529" w:rsidP="00852529">
      <w:pPr>
        <w:jc w:val="left"/>
        <w:rPr>
          <w:rFonts w:eastAsiaTheme="minorEastAsia" w:cs="Calibri"/>
          <w:szCs w:val="22"/>
          <w:lang w:val="fr-FR"/>
          <w14:ligatures w14:val="standardContextual"/>
        </w:rPr>
      </w:pPr>
    </w:p>
    <w:p w14:paraId="59A5ABBA" w14:textId="2D2B1E68" w:rsidR="00852529" w:rsidRPr="001B41CB" w:rsidRDefault="00092C1C" w:rsidP="00852529">
      <w:pPr>
        <w:contextualSpacing/>
        <w:jc w:val="left"/>
        <w:rPr>
          <w:rFonts w:eastAsiaTheme="minorEastAsia" w:cs="Calibri"/>
          <w:szCs w:val="22"/>
          <w:lang w:val="fr-FR"/>
          <w14:ligatures w14:val="standardContextual"/>
        </w:rPr>
      </w:pPr>
      <w:r w:rsidRPr="001B41CB">
        <w:rPr>
          <w:rFonts w:eastAsiaTheme="minorEastAsia" w:cs="Calibri"/>
          <w:szCs w:val="22"/>
          <w:lang w:val="fr-FR"/>
          <w14:ligatures w14:val="standardContextual"/>
        </w:rPr>
        <w:fldChar w:fldCharType="begin"/>
      </w:r>
      <w:r w:rsidRPr="001B41CB">
        <w:rPr>
          <w:rFonts w:eastAsiaTheme="minorEastAsia" w:cs="Calibri"/>
          <w:szCs w:val="22"/>
          <w:lang w:val="fr-FR"/>
          <w14:ligatures w14:val="standardContextual"/>
        </w:rPr>
        <w:instrText xml:space="preserve"> AUTONUM  </w:instrText>
      </w:r>
      <w:r w:rsidRPr="001B41CB">
        <w:rPr>
          <w:rFonts w:eastAsiaTheme="minorEastAsia" w:cs="Calibri"/>
          <w:szCs w:val="22"/>
          <w:lang w:val="fr-FR"/>
          <w14:ligatures w14:val="standardContextual"/>
        </w:rPr>
        <w:fldChar w:fldCharType="end"/>
      </w:r>
      <w:r w:rsidRPr="001B41CB">
        <w:rPr>
          <w:rFonts w:eastAsiaTheme="minorEastAsia" w:cs="Calibri"/>
          <w:szCs w:val="22"/>
          <w:lang w:val="fr-FR"/>
          <w14:ligatures w14:val="standardContextual"/>
        </w:rPr>
        <w:tab/>
      </w:r>
      <w:r w:rsidR="00852529" w:rsidRPr="001B41CB">
        <w:rPr>
          <w:rFonts w:eastAsiaTheme="minorEastAsia" w:cs="Calibri"/>
          <w:szCs w:val="22"/>
          <w:lang w:val="fr-FR"/>
          <w14:ligatures w14:val="standardContextual"/>
        </w:rPr>
        <w:t>Le TWM</w:t>
      </w:r>
      <w:r w:rsidR="00693F23" w:rsidRPr="001B41CB">
        <w:rPr>
          <w:rStyle w:val="FootnoteReference"/>
          <w:rFonts w:eastAsiaTheme="minorEastAsia" w:cs="Calibri"/>
          <w:szCs w:val="22"/>
          <w:lang w:val="fr-FR"/>
          <w14:ligatures w14:val="standardContextual"/>
        </w:rPr>
        <w:footnoteReference w:id="12"/>
      </w:r>
      <w:r w:rsidR="00852529" w:rsidRPr="001B41CB">
        <w:rPr>
          <w:rFonts w:eastAsiaTheme="minorEastAsia" w:cs="Calibri"/>
          <w:szCs w:val="22"/>
          <w:lang w:val="fr-FR"/>
          <w14:ligatures w14:val="standardContextual"/>
        </w:rPr>
        <w:t xml:space="preserve"> a entendu un exposé de M. Kun Yang </w:t>
      </w:r>
      <w:r w:rsidR="00852529" w:rsidRPr="001B41CB">
        <w:rPr>
          <w:rFonts w:eastAsiaTheme="minorEastAsia" w:cs="Calibri"/>
          <w:szCs w:val="22"/>
          <w:lang w:val="fr-FR" w:eastAsia="ja-JP"/>
          <w14:ligatures w14:val="standardContextual"/>
        </w:rPr>
        <w:t xml:space="preserve">(Chine) </w:t>
      </w:r>
      <w:r w:rsidR="00852529" w:rsidRPr="001B41CB">
        <w:rPr>
          <w:rFonts w:eastAsiaTheme="minorEastAsia" w:cs="Calibri"/>
          <w:szCs w:val="22"/>
          <w:lang w:val="fr-FR"/>
          <w14:ligatures w14:val="standardContextual"/>
        </w:rPr>
        <w:t>intitulé «</w:t>
      </w:r>
      <w:r w:rsidR="00421043">
        <w:rPr>
          <w:rFonts w:eastAsiaTheme="minorEastAsia" w:cs="Calibri"/>
          <w:szCs w:val="22"/>
          <w:lang w:val="fr-FR"/>
          <w14:ligatures w14:val="standardContextual"/>
        </w:rPr>
        <w:t> </w:t>
      </w:r>
      <w:r w:rsidR="00852529" w:rsidRPr="001B41CB">
        <w:rPr>
          <w:rFonts w:eastAsiaTheme="minorEastAsia" w:cs="Calibri"/>
          <w:szCs w:val="22"/>
          <w:lang w:val="fr-FR"/>
          <w14:ligatures w14:val="standardContextual"/>
        </w:rPr>
        <w:t xml:space="preserve">Développement d'une plateforme de mégadonnées pour l'examen DHS », </w:t>
      </w:r>
      <w:r w:rsidR="00852529" w:rsidRPr="001B41CB">
        <w:rPr>
          <w:rFonts w:eastAsiaTheme="minorEastAsia" w:cs="Arial"/>
          <w:iCs/>
          <w:szCs w:val="22"/>
          <w:lang w:val="fr-FR"/>
          <w14:ligatures w14:val="standardContextual"/>
        </w:rPr>
        <w:t xml:space="preserve">dont une copie figure dans le document </w:t>
      </w:r>
      <w:hyperlink r:id="rId18" w:history="1">
        <w:r w:rsidR="00852529" w:rsidRPr="001B41CB">
          <w:rPr>
            <w:rStyle w:val="Hyperlink"/>
            <w:rFonts w:eastAsiaTheme="minorEastAsia" w:cs="Calibri"/>
            <w:szCs w:val="22"/>
            <w:lang w:val="fr-FR" w:eastAsia="ja-JP"/>
            <w14:ligatures w14:val="standardContextual"/>
          </w:rPr>
          <w:t>TWM/3/19</w:t>
        </w:r>
      </w:hyperlink>
      <w:r w:rsidR="00852529" w:rsidRPr="001B41CB">
        <w:rPr>
          <w:rFonts w:eastAsiaTheme="minorEastAsia" w:cs="Calibri"/>
          <w:szCs w:val="22"/>
          <w:lang w:val="fr-FR"/>
          <w14:ligatures w14:val="standardContextual"/>
        </w:rPr>
        <w:t xml:space="preserve">.  </w:t>
      </w:r>
    </w:p>
    <w:p w14:paraId="43B9EA51" w14:textId="77777777" w:rsidR="00852529" w:rsidRPr="001B41CB" w:rsidRDefault="00852529" w:rsidP="00852529">
      <w:pPr>
        <w:contextualSpacing/>
        <w:rPr>
          <w:rFonts w:eastAsiaTheme="minorEastAsia" w:cs="Calibri"/>
          <w:szCs w:val="22"/>
          <w:lang w:val="fr-FR"/>
          <w14:ligatures w14:val="standardContextual"/>
        </w:rPr>
      </w:pPr>
    </w:p>
    <w:p w14:paraId="4E5F06E8" w14:textId="3AEFEB31" w:rsidR="00852529" w:rsidRPr="001B41CB" w:rsidRDefault="00092C1C" w:rsidP="00092C1C">
      <w:pPr>
        <w:contextualSpacing/>
        <w:jc w:val="left"/>
        <w:rPr>
          <w:rFonts w:eastAsiaTheme="minorEastAsia" w:cs="Calibri"/>
          <w:szCs w:val="22"/>
          <w:lang w:val="fr-FR"/>
          <w14:ligatures w14:val="standardContextual"/>
        </w:rPr>
      </w:pPr>
      <w:r w:rsidRPr="001B41CB">
        <w:rPr>
          <w:rFonts w:eastAsiaTheme="minorEastAsia" w:cs="Calibri"/>
          <w:szCs w:val="22"/>
          <w:lang w:val="fr-FR"/>
          <w14:ligatures w14:val="standardContextual"/>
        </w:rPr>
        <w:fldChar w:fldCharType="begin"/>
      </w:r>
      <w:r w:rsidRPr="001B41CB">
        <w:rPr>
          <w:rFonts w:eastAsiaTheme="minorEastAsia" w:cs="Calibri"/>
          <w:szCs w:val="22"/>
          <w:lang w:val="fr-FR"/>
          <w14:ligatures w14:val="standardContextual"/>
        </w:rPr>
        <w:instrText xml:space="preserve"> AUTONUM  </w:instrText>
      </w:r>
      <w:r w:rsidRPr="001B41CB">
        <w:rPr>
          <w:rFonts w:eastAsiaTheme="minorEastAsia" w:cs="Calibri"/>
          <w:szCs w:val="22"/>
          <w:lang w:val="fr-FR"/>
          <w14:ligatures w14:val="standardContextual"/>
        </w:rPr>
        <w:fldChar w:fldCharType="end"/>
      </w:r>
      <w:r w:rsidRPr="001B41CB">
        <w:rPr>
          <w:rFonts w:eastAsiaTheme="minorEastAsia" w:cs="Calibri"/>
          <w:szCs w:val="22"/>
          <w:lang w:val="fr-FR"/>
          <w14:ligatures w14:val="standardContextual"/>
        </w:rPr>
        <w:tab/>
      </w:r>
      <w:r w:rsidR="00852529" w:rsidRPr="001B41CB">
        <w:rPr>
          <w:rFonts w:eastAsiaTheme="minorEastAsia" w:cs="Calibri"/>
          <w:szCs w:val="22"/>
          <w:lang w:val="fr-FR"/>
          <w14:ligatures w14:val="standardContextual"/>
        </w:rPr>
        <w:t xml:space="preserve">Le TWM a pris note </w:t>
      </w:r>
      <w:r w:rsidR="00852529" w:rsidRPr="001B41CB">
        <w:rPr>
          <w:rFonts w:eastAsiaTheme="minorEastAsia" w:cs="Calibri"/>
          <w:szCs w:val="22"/>
          <w:lang w:val="fr-FR" w:eastAsia="ja-JP"/>
          <w14:ligatures w14:val="standardContextual"/>
        </w:rPr>
        <w:t>du logiciel utilisé pour la gestion des données d'essais DHS, y compris la gestion des données, l'analyse statistique et l'analyse d'images. Le TWM a pris note des projets visant à poursuivre le développement de la plateforme et a invité l'expert de Chine à rendre compte des progrès réalisés lors de sa quatrième session.</w:t>
      </w:r>
    </w:p>
    <w:p w14:paraId="7444AA8D" w14:textId="77777777" w:rsidR="00AC0937" w:rsidRPr="001B41CB" w:rsidRDefault="00AC0937" w:rsidP="00852529">
      <w:pPr>
        <w:jc w:val="left"/>
        <w:rPr>
          <w:rFonts w:eastAsiaTheme="minorEastAsia" w:cs="Calibri"/>
          <w:szCs w:val="22"/>
          <w:lang w:val="fr-FR"/>
          <w14:ligatures w14:val="standardContextual"/>
        </w:rPr>
      </w:pPr>
    </w:p>
    <w:p w14:paraId="38AA5E1D" w14:textId="77777777" w:rsidR="00852529" w:rsidRPr="001B41CB" w:rsidRDefault="00852529" w:rsidP="00642D69">
      <w:pPr>
        <w:pStyle w:val="Heading3"/>
        <w:rPr>
          <w:rFonts w:eastAsiaTheme="minorEastAsia"/>
          <w:lang w:val="fr-FR"/>
        </w:rPr>
      </w:pPr>
      <w:bookmarkStart w:id="33" w:name="_Toc208828864"/>
      <w:r w:rsidRPr="001B41CB">
        <w:rPr>
          <w:rFonts w:eastAsiaTheme="minorEastAsia"/>
          <w:lang w:val="fr-FR"/>
        </w:rPr>
        <w:t>Critères de classement des caractères quantitatifs de l'Anthurium par comparaison multiple</w:t>
      </w:r>
      <w:bookmarkEnd w:id="33"/>
    </w:p>
    <w:p w14:paraId="7AE94C9B" w14:textId="77777777" w:rsidR="00852529" w:rsidRPr="001B41CB" w:rsidRDefault="00852529" w:rsidP="00852529">
      <w:pPr>
        <w:jc w:val="left"/>
        <w:rPr>
          <w:rFonts w:eastAsiaTheme="minorEastAsia" w:cs="Calibri"/>
          <w:szCs w:val="22"/>
          <w:lang w:val="fr-FR"/>
          <w14:ligatures w14:val="standardContextual"/>
        </w:rPr>
      </w:pPr>
    </w:p>
    <w:p w14:paraId="632CE0D9" w14:textId="4D3950FE" w:rsidR="00852529" w:rsidRPr="001B41CB" w:rsidRDefault="00092C1C" w:rsidP="00092C1C">
      <w:pPr>
        <w:contextualSpacing/>
        <w:jc w:val="left"/>
        <w:rPr>
          <w:rFonts w:eastAsiaTheme="minorEastAsia" w:cs="Calibri"/>
          <w:szCs w:val="22"/>
          <w:lang w:val="fr-FR"/>
          <w14:ligatures w14:val="standardContextual"/>
        </w:rPr>
      </w:pPr>
      <w:r w:rsidRPr="001B41CB">
        <w:rPr>
          <w:rFonts w:eastAsiaTheme="minorEastAsia" w:cs="Calibri"/>
          <w:szCs w:val="22"/>
          <w:lang w:val="fr-FR"/>
          <w14:ligatures w14:val="standardContextual"/>
        </w:rPr>
        <w:fldChar w:fldCharType="begin"/>
      </w:r>
      <w:r w:rsidRPr="001B41CB">
        <w:rPr>
          <w:rFonts w:eastAsiaTheme="minorEastAsia" w:cs="Calibri"/>
          <w:szCs w:val="22"/>
          <w:lang w:val="fr-FR"/>
          <w14:ligatures w14:val="standardContextual"/>
        </w:rPr>
        <w:instrText xml:space="preserve"> AUTONUM  </w:instrText>
      </w:r>
      <w:r w:rsidRPr="001B41CB">
        <w:rPr>
          <w:rFonts w:eastAsiaTheme="minorEastAsia" w:cs="Calibri"/>
          <w:szCs w:val="22"/>
          <w:lang w:val="fr-FR"/>
          <w14:ligatures w14:val="standardContextual"/>
        </w:rPr>
        <w:fldChar w:fldCharType="end"/>
      </w:r>
      <w:r w:rsidRPr="001B41CB">
        <w:rPr>
          <w:rFonts w:eastAsiaTheme="minorEastAsia" w:cs="Calibri"/>
          <w:szCs w:val="22"/>
          <w:lang w:val="fr-FR"/>
          <w14:ligatures w14:val="standardContextual"/>
        </w:rPr>
        <w:tab/>
      </w:r>
      <w:r w:rsidR="00852529" w:rsidRPr="001B41CB">
        <w:rPr>
          <w:rFonts w:eastAsiaTheme="minorEastAsia" w:cs="Calibri"/>
          <w:szCs w:val="22"/>
          <w:lang w:val="fr-FR"/>
          <w14:ligatures w14:val="standardContextual"/>
        </w:rPr>
        <w:t>L</w:t>
      </w:r>
      <w:r w:rsidR="00421043">
        <w:rPr>
          <w:rFonts w:eastAsiaTheme="minorEastAsia" w:cs="Calibri"/>
          <w:szCs w:val="22"/>
          <w:lang w:val="fr-FR"/>
          <w14:ligatures w14:val="standardContextual"/>
        </w:rPr>
        <w:t>e TWM</w:t>
      </w:r>
      <w:r w:rsidR="00693F23" w:rsidRPr="001B41CB">
        <w:rPr>
          <w:rStyle w:val="FootnoteReference"/>
          <w:rFonts w:eastAsiaTheme="minorEastAsia" w:cs="Calibri"/>
          <w:szCs w:val="22"/>
          <w:lang w:val="fr-FR"/>
          <w14:ligatures w14:val="standardContextual"/>
        </w:rPr>
        <w:footnoteReference w:id="13"/>
      </w:r>
      <w:r w:rsidR="00852529" w:rsidRPr="001B41CB">
        <w:rPr>
          <w:rFonts w:eastAsiaTheme="minorEastAsia" w:cs="Calibri"/>
          <w:szCs w:val="22"/>
          <w:lang w:val="fr-FR"/>
          <w14:ligatures w14:val="standardContextual"/>
        </w:rPr>
        <w:t xml:space="preserve"> a entendu un exposé de Mme </w:t>
      </w:r>
      <w:proofErr w:type="spellStart"/>
      <w:r w:rsidR="00852529" w:rsidRPr="001B41CB">
        <w:rPr>
          <w:rFonts w:eastAsiaTheme="minorEastAsia" w:cs="Calibri"/>
          <w:szCs w:val="22"/>
          <w:lang w:val="fr-FR"/>
          <w14:ligatures w14:val="standardContextual"/>
        </w:rPr>
        <w:t>Yunxia</w:t>
      </w:r>
      <w:proofErr w:type="spellEnd"/>
      <w:r w:rsidR="00852529" w:rsidRPr="001B41CB">
        <w:rPr>
          <w:rFonts w:eastAsiaTheme="minorEastAsia" w:cs="Calibri"/>
          <w:szCs w:val="22"/>
          <w:lang w:val="fr-FR"/>
          <w14:ligatures w14:val="standardContextual"/>
        </w:rPr>
        <w:t xml:space="preserve"> Chu </w:t>
      </w:r>
      <w:r w:rsidR="00852529" w:rsidRPr="001B41CB">
        <w:rPr>
          <w:rFonts w:eastAsiaTheme="minorEastAsia" w:cs="Calibri"/>
          <w:szCs w:val="22"/>
          <w:lang w:val="fr-FR" w:eastAsia="ja-JP"/>
          <w14:ligatures w14:val="standardContextual"/>
        </w:rPr>
        <w:t xml:space="preserve">(Chine) </w:t>
      </w:r>
      <w:r w:rsidR="00852529" w:rsidRPr="001B41CB">
        <w:rPr>
          <w:rFonts w:eastAsiaTheme="minorEastAsia" w:cs="Calibri"/>
          <w:szCs w:val="22"/>
          <w:lang w:val="fr-FR"/>
          <w14:ligatures w14:val="standardContextual"/>
        </w:rPr>
        <w:t xml:space="preserve">sur les « Critères de classement des caractères quantitatifs de l'Anthurium par comparaison multiple », </w:t>
      </w:r>
      <w:r w:rsidR="00852529" w:rsidRPr="001B41CB">
        <w:rPr>
          <w:rFonts w:eastAsiaTheme="minorEastAsia" w:cs="Arial"/>
          <w:iCs/>
          <w:szCs w:val="22"/>
          <w:lang w:val="fr-FR"/>
          <w14:ligatures w14:val="standardContextual"/>
        </w:rPr>
        <w:t xml:space="preserve">dont une copie figure dans le document </w:t>
      </w:r>
      <w:hyperlink r:id="rId19" w:history="1">
        <w:r w:rsidR="00852529" w:rsidRPr="001B41CB">
          <w:rPr>
            <w:rStyle w:val="Hyperlink"/>
            <w:rFonts w:eastAsiaTheme="minorEastAsia" w:cs="Calibri"/>
            <w:szCs w:val="22"/>
            <w:lang w:val="fr-FR" w:eastAsia="ja-JP"/>
            <w14:ligatures w14:val="standardContextual"/>
          </w:rPr>
          <w:t>TWM/3/12</w:t>
        </w:r>
      </w:hyperlink>
      <w:r w:rsidR="00852529" w:rsidRPr="001B41CB">
        <w:rPr>
          <w:rFonts w:eastAsiaTheme="minorEastAsia" w:cs="Calibri"/>
          <w:szCs w:val="22"/>
          <w:lang w:val="fr-FR"/>
          <w14:ligatures w14:val="standardContextual"/>
        </w:rPr>
        <w:t xml:space="preserve">.  </w:t>
      </w:r>
    </w:p>
    <w:p w14:paraId="4BBADF7D" w14:textId="77777777" w:rsidR="00852529" w:rsidRPr="001B41CB" w:rsidRDefault="00852529" w:rsidP="00852529">
      <w:pPr>
        <w:contextualSpacing/>
        <w:rPr>
          <w:rFonts w:eastAsiaTheme="minorEastAsia" w:cs="Calibri"/>
          <w:szCs w:val="22"/>
          <w:lang w:val="fr-FR"/>
          <w14:ligatures w14:val="standardContextual"/>
        </w:rPr>
      </w:pPr>
    </w:p>
    <w:bookmarkStart w:id="34" w:name="_Hlk196746844"/>
    <w:p w14:paraId="5B1CA583" w14:textId="6CBE73FA" w:rsidR="00852529" w:rsidRPr="001B41CB" w:rsidRDefault="00092C1C" w:rsidP="00092C1C">
      <w:pPr>
        <w:contextualSpacing/>
        <w:jc w:val="left"/>
        <w:rPr>
          <w:rFonts w:eastAsiaTheme="minorEastAsia" w:cs="Calibri"/>
          <w:szCs w:val="22"/>
          <w:lang w:val="fr-FR"/>
          <w14:ligatures w14:val="standardContextual"/>
        </w:rPr>
      </w:pPr>
      <w:r w:rsidRPr="001B41CB">
        <w:rPr>
          <w:rFonts w:eastAsiaTheme="minorEastAsia" w:cs="Calibri"/>
          <w:szCs w:val="22"/>
          <w:lang w:val="fr-FR"/>
          <w14:ligatures w14:val="standardContextual"/>
        </w:rPr>
        <w:lastRenderedPageBreak/>
        <w:fldChar w:fldCharType="begin"/>
      </w:r>
      <w:r w:rsidRPr="001B41CB">
        <w:rPr>
          <w:rFonts w:eastAsiaTheme="minorEastAsia" w:cs="Calibri"/>
          <w:szCs w:val="22"/>
          <w:lang w:val="fr-FR"/>
          <w14:ligatures w14:val="standardContextual"/>
        </w:rPr>
        <w:instrText xml:space="preserve"> AUTONUM  </w:instrText>
      </w:r>
      <w:r w:rsidRPr="001B41CB">
        <w:rPr>
          <w:rFonts w:eastAsiaTheme="minorEastAsia" w:cs="Calibri"/>
          <w:szCs w:val="22"/>
          <w:lang w:val="fr-FR"/>
          <w14:ligatures w14:val="standardContextual"/>
        </w:rPr>
        <w:fldChar w:fldCharType="end"/>
      </w:r>
      <w:r w:rsidRPr="001B41CB">
        <w:rPr>
          <w:rFonts w:eastAsiaTheme="minorEastAsia" w:cs="Calibri"/>
          <w:szCs w:val="22"/>
          <w:lang w:val="fr-FR"/>
          <w14:ligatures w14:val="standardContextual"/>
        </w:rPr>
        <w:tab/>
      </w:r>
      <w:r w:rsidR="00852529" w:rsidRPr="001B41CB">
        <w:rPr>
          <w:rFonts w:eastAsiaTheme="minorEastAsia" w:cs="Calibri"/>
          <w:szCs w:val="22"/>
          <w:lang w:val="fr-FR"/>
          <w14:ligatures w14:val="standardContextual"/>
        </w:rPr>
        <w:t xml:space="preserve">Le TWM a pris note </w:t>
      </w:r>
      <w:r w:rsidR="00852529" w:rsidRPr="001B41CB">
        <w:rPr>
          <w:rFonts w:eastAsiaTheme="minorEastAsia" w:cs="Calibri"/>
          <w:szCs w:val="22"/>
          <w:lang w:val="fr-FR" w:eastAsia="ja-JP"/>
          <w14:ligatures w14:val="standardContextual"/>
        </w:rPr>
        <w:t>de la possibilité de réduire le taux d'erreur dans l'analyse des caractères quantitatifs mesurés chez Anthurium grâce à la méthode des comparaisons multiples.</w:t>
      </w:r>
    </w:p>
    <w:bookmarkEnd w:id="34"/>
    <w:p w14:paraId="55C101C7" w14:textId="77777777" w:rsidR="00AC0937" w:rsidRPr="001B41CB" w:rsidRDefault="00AC0937" w:rsidP="00852529">
      <w:pPr>
        <w:contextualSpacing/>
        <w:rPr>
          <w:rFonts w:eastAsiaTheme="minorEastAsia" w:cs="Calibri"/>
          <w:szCs w:val="22"/>
          <w:lang w:val="fr-FR"/>
          <w14:ligatures w14:val="standardContextual"/>
        </w:rPr>
      </w:pPr>
    </w:p>
    <w:p w14:paraId="121E8DC6" w14:textId="77777777" w:rsidR="00852529" w:rsidRPr="001B41CB" w:rsidRDefault="00852529" w:rsidP="00642D69">
      <w:pPr>
        <w:pStyle w:val="Heading3"/>
        <w:rPr>
          <w:rFonts w:eastAsiaTheme="minorEastAsia"/>
          <w:lang w:val="fr-FR"/>
        </w:rPr>
      </w:pPr>
      <w:bookmarkStart w:id="35" w:name="_Toc208828865"/>
      <w:r w:rsidRPr="001B41CB">
        <w:rPr>
          <w:rFonts w:eastAsiaTheme="minorEastAsia"/>
          <w:lang w:val="fr-FR"/>
        </w:rPr>
        <w:t>Le point sur l'élaboration du COYU 2025</w:t>
      </w:r>
      <w:bookmarkEnd w:id="35"/>
    </w:p>
    <w:p w14:paraId="3931A8E4" w14:textId="77777777" w:rsidR="00852529" w:rsidRPr="001B41CB" w:rsidRDefault="00852529" w:rsidP="00852529">
      <w:pPr>
        <w:jc w:val="left"/>
        <w:rPr>
          <w:rFonts w:eastAsiaTheme="minorEastAsia" w:cs="Calibri"/>
          <w:szCs w:val="22"/>
          <w:lang w:val="fr-FR"/>
          <w14:ligatures w14:val="standardContextual"/>
        </w:rPr>
      </w:pPr>
    </w:p>
    <w:p w14:paraId="41290300" w14:textId="1A736206" w:rsidR="00852529" w:rsidRPr="001B41CB" w:rsidRDefault="00092C1C" w:rsidP="00092C1C">
      <w:pPr>
        <w:contextualSpacing/>
        <w:jc w:val="left"/>
        <w:rPr>
          <w:rFonts w:eastAsiaTheme="minorEastAsia" w:cs="Calibri"/>
          <w:szCs w:val="22"/>
          <w:lang w:val="fr-FR"/>
          <w14:ligatures w14:val="standardContextual"/>
        </w:rPr>
      </w:pPr>
      <w:r w:rsidRPr="001B41CB">
        <w:rPr>
          <w:rFonts w:eastAsiaTheme="minorEastAsia" w:cs="Calibri"/>
          <w:szCs w:val="22"/>
          <w:lang w:val="fr-FR"/>
          <w14:ligatures w14:val="standardContextual"/>
        </w:rPr>
        <w:fldChar w:fldCharType="begin"/>
      </w:r>
      <w:r w:rsidRPr="001B41CB">
        <w:rPr>
          <w:rFonts w:eastAsiaTheme="minorEastAsia" w:cs="Calibri"/>
          <w:szCs w:val="22"/>
          <w:lang w:val="fr-FR"/>
          <w14:ligatures w14:val="standardContextual"/>
        </w:rPr>
        <w:instrText xml:space="preserve"> AUTONUM  </w:instrText>
      </w:r>
      <w:r w:rsidRPr="001B41CB">
        <w:rPr>
          <w:rFonts w:eastAsiaTheme="minorEastAsia" w:cs="Calibri"/>
          <w:szCs w:val="22"/>
          <w:lang w:val="fr-FR"/>
          <w14:ligatures w14:val="standardContextual"/>
        </w:rPr>
        <w:fldChar w:fldCharType="end"/>
      </w:r>
      <w:r w:rsidRPr="001B41CB">
        <w:rPr>
          <w:rFonts w:eastAsiaTheme="minorEastAsia" w:cs="Calibri"/>
          <w:szCs w:val="22"/>
          <w:lang w:val="fr-FR"/>
          <w14:ligatures w14:val="standardContextual"/>
        </w:rPr>
        <w:tab/>
      </w:r>
      <w:bookmarkStart w:id="36" w:name="_Hlk195532654"/>
      <w:r w:rsidR="00852529" w:rsidRPr="001B41CB">
        <w:rPr>
          <w:rFonts w:eastAsiaTheme="minorEastAsia" w:cs="Calibri"/>
          <w:szCs w:val="22"/>
          <w:lang w:val="fr-FR"/>
          <w14:ligatures w14:val="standardContextual"/>
        </w:rPr>
        <w:t>Le TWM</w:t>
      </w:r>
      <w:r w:rsidR="00693F23" w:rsidRPr="001B41CB">
        <w:rPr>
          <w:rStyle w:val="FootnoteReference"/>
          <w:rFonts w:eastAsiaTheme="minorEastAsia" w:cs="Calibri"/>
          <w:szCs w:val="22"/>
          <w:lang w:val="fr-FR"/>
          <w14:ligatures w14:val="standardContextual"/>
        </w:rPr>
        <w:footnoteReference w:id="14"/>
      </w:r>
      <w:r w:rsidR="00852529" w:rsidRPr="001B41CB">
        <w:rPr>
          <w:rFonts w:eastAsiaTheme="minorEastAsia" w:cs="Calibri"/>
          <w:szCs w:val="22"/>
          <w:lang w:val="fr-FR"/>
          <w14:ligatures w14:val="standardContextual"/>
        </w:rPr>
        <w:t xml:space="preserve"> a entendu un exposé de Mme </w:t>
      </w:r>
      <w:proofErr w:type="spellStart"/>
      <w:r w:rsidR="00852529" w:rsidRPr="001B41CB">
        <w:rPr>
          <w:rFonts w:eastAsiaTheme="minorEastAsia" w:cs="Calibri"/>
          <w:szCs w:val="22"/>
          <w:lang w:val="fr-FR" w:eastAsia="ja-JP"/>
          <w14:ligatures w14:val="standardContextual"/>
        </w:rPr>
        <w:t>Trudyann</w:t>
      </w:r>
      <w:proofErr w:type="spellEnd"/>
      <w:r w:rsidR="00852529" w:rsidRPr="001B41CB">
        <w:rPr>
          <w:rFonts w:eastAsiaTheme="minorEastAsia" w:cs="Calibri"/>
          <w:szCs w:val="22"/>
          <w:lang w:val="fr-FR" w:eastAsia="ja-JP"/>
          <w14:ligatures w14:val="standardContextual"/>
        </w:rPr>
        <w:t xml:space="preserve"> Kelly </w:t>
      </w:r>
      <w:r w:rsidR="00852529" w:rsidRPr="001B41CB">
        <w:rPr>
          <w:rFonts w:eastAsiaTheme="minorEastAsia" w:cs="Calibri"/>
          <w:szCs w:val="22"/>
          <w:lang w:val="fr-FR"/>
          <w14:ligatures w14:val="standardContextual"/>
        </w:rPr>
        <w:t>(Royaume-Uni)</w:t>
      </w:r>
      <w:bookmarkEnd w:id="36"/>
      <w:r w:rsidR="00852529" w:rsidRPr="001B41CB">
        <w:rPr>
          <w:rFonts w:eastAsiaTheme="minorEastAsia" w:cs="Calibri"/>
          <w:szCs w:val="22"/>
          <w:lang w:val="fr-FR"/>
          <w14:ligatures w14:val="standardContextual"/>
        </w:rPr>
        <w:t xml:space="preserve"> sur le thème “Le point sur l'élaboration des COYU 2025”, </w:t>
      </w:r>
      <w:r w:rsidR="00852529" w:rsidRPr="001B41CB">
        <w:rPr>
          <w:rFonts w:eastAsiaTheme="minorEastAsia" w:cs="Arial"/>
          <w:iCs/>
          <w:szCs w:val="22"/>
          <w:lang w:val="fr-FR"/>
          <w14:ligatures w14:val="standardContextual"/>
        </w:rPr>
        <w:t xml:space="preserve">dont une copie figure dans le document </w:t>
      </w:r>
      <w:hyperlink r:id="rId20" w:history="1">
        <w:r w:rsidR="00852529" w:rsidRPr="001B41CB">
          <w:rPr>
            <w:rStyle w:val="Hyperlink"/>
            <w:rFonts w:eastAsiaTheme="minorEastAsia" w:cs="Calibri"/>
            <w:szCs w:val="22"/>
            <w:lang w:val="fr-FR" w:eastAsia="ja-JP"/>
            <w14:ligatures w14:val="standardContextual"/>
          </w:rPr>
          <w:t>TWM/3/5</w:t>
        </w:r>
      </w:hyperlink>
      <w:r w:rsidR="00852529" w:rsidRPr="001B41CB">
        <w:rPr>
          <w:rFonts w:eastAsiaTheme="minorEastAsia" w:cs="Calibri"/>
          <w:szCs w:val="22"/>
          <w:lang w:val="fr-FR"/>
          <w14:ligatures w14:val="standardContextual"/>
        </w:rPr>
        <w:t xml:space="preserve">.  </w:t>
      </w:r>
    </w:p>
    <w:p w14:paraId="5D64FE79" w14:textId="77777777" w:rsidR="00852529" w:rsidRPr="001B41CB" w:rsidRDefault="00852529" w:rsidP="00852529">
      <w:pPr>
        <w:contextualSpacing/>
        <w:rPr>
          <w:rFonts w:eastAsiaTheme="minorEastAsia" w:cs="Calibri"/>
          <w:szCs w:val="22"/>
          <w:lang w:val="fr-FR"/>
          <w14:ligatures w14:val="standardContextual"/>
        </w:rPr>
      </w:pPr>
    </w:p>
    <w:p w14:paraId="0683623E" w14:textId="34BBAE63" w:rsidR="00852529" w:rsidRPr="001B41CB" w:rsidRDefault="00092C1C" w:rsidP="00092C1C">
      <w:pPr>
        <w:contextualSpacing/>
        <w:rPr>
          <w:rFonts w:eastAsiaTheme="minorEastAsia" w:cs="Calibri"/>
          <w:szCs w:val="22"/>
          <w:lang w:val="fr-FR"/>
          <w14:ligatures w14:val="standardContextual"/>
        </w:rPr>
      </w:pPr>
      <w:r w:rsidRPr="001B41CB">
        <w:rPr>
          <w:rFonts w:eastAsiaTheme="minorEastAsia" w:cs="Calibri"/>
          <w:szCs w:val="22"/>
          <w:lang w:val="fr-FR"/>
          <w14:ligatures w14:val="standardContextual"/>
        </w:rPr>
        <w:fldChar w:fldCharType="begin"/>
      </w:r>
      <w:r w:rsidRPr="001B41CB">
        <w:rPr>
          <w:rFonts w:eastAsiaTheme="minorEastAsia" w:cs="Calibri"/>
          <w:szCs w:val="22"/>
          <w:lang w:val="fr-FR"/>
          <w14:ligatures w14:val="standardContextual"/>
        </w:rPr>
        <w:instrText xml:space="preserve"> AUTONUM  </w:instrText>
      </w:r>
      <w:r w:rsidRPr="001B41CB">
        <w:rPr>
          <w:rFonts w:eastAsiaTheme="minorEastAsia" w:cs="Calibri"/>
          <w:szCs w:val="22"/>
          <w:lang w:val="fr-FR"/>
          <w14:ligatures w14:val="standardContextual"/>
        </w:rPr>
        <w:fldChar w:fldCharType="end"/>
      </w:r>
      <w:r w:rsidRPr="001B41CB">
        <w:rPr>
          <w:rFonts w:eastAsiaTheme="minorEastAsia" w:cs="Calibri"/>
          <w:szCs w:val="22"/>
          <w:lang w:val="fr-FR"/>
          <w14:ligatures w14:val="standardContextual"/>
        </w:rPr>
        <w:tab/>
      </w:r>
      <w:r w:rsidR="00852529" w:rsidRPr="001B41CB">
        <w:rPr>
          <w:rFonts w:eastAsiaTheme="minorEastAsia" w:cs="Calibri"/>
          <w:szCs w:val="22"/>
          <w:lang w:val="fr-FR"/>
          <w14:ligatures w14:val="standardContextual"/>
        </w:rPr>
        <w:t xml:space="preserve">Le TWM a reçu une mise à jour sur la mise en œuvre </w:t>
      </w:r>
      <w:r w:rsidR="00852529" w:rsidRPr="001B41CB">
        <w:rPr>
          <w:rFonts w:eastAsiaTheme="minorEastAsia" w:cs="Calibri"/>
          <w:szCs w:val="22"/>
          <w:lang w:val="fr-FR" w:eastAsia="ja-JP"/>
          <w14:ligatures w14:val="standardContextual"/>
        </w:rPr>
        <w:t xml:space="preserve">du </w:t>
      </w:r>
      <w:r w:rsidR="00852529" w:rsidRPr="001B41CB">
        <w:rPr>
          <w:rFonts w:eastAsiaTheme="minorEastAsia" w:cs="Calibri"/>
          <w:szCs w:val="22"/>
          <w:lang w:val="fr-FR"/>
          <w14:ligatures w14:val="standardContextual"/>
        </w:rPr>
        <w:t xml:space="preserve">critère d'homogénéité combiné sur plusieurs années avec </w:t>
      </w:r>
      <w:proofErr w:type="spellStart"/>
      <w:r w:rsidR="00852529" w:rsidRPr="001B41CB">
        <w:rPr>
          <w:rFonts w:eastAsiaTheme="minorEastAsia" w:cs="Calibri"/>
          <w:szCs w:val="22"/>
          <w:lang w:val="fr-FR"/>
          <w14:ligatures w14:val="standardContextual"/>
        </w:rPr>
        <w:t>Splines</w:t>
      </w:r>
      <w:proofErr w:type="spellEnd"/>
      <w:r w:rsidR="00852529" w:rsidRPr="001B41CB">
        <w:rPr>
          <w:rFonts w:eastAsiaTheme="minorEastAsia" w:cs="Calibri"/>
          <w:szCs w:val="22"/>
          <w:lang w:val="fr-FR"/>
          <w14:ligatures w14:val="standardContextual"/>
        </w:rPr>
        <w:t xml:space="preserve"> (COYU). Le TWM a noté que l'analyse avait été développée et testée dans les logiciels DUSTNT et R et que le logiciel serait mis à jour à la suite des commentaires des utilisateurs testeurs </w:t>
      </w:r>
      <w:r w:rsidR="00852529" w:rsidRPr="001B41CB">
        <w:rPr>
          <w:rFonts w:eastAsiaTheme="minorEastAsia" w:cs="Calibri"/>
          <w:szCs w:val="22"/>
          <w:lang w:val="fr-FR" w:eastAsia="ja-JP"/>
          <w14:ligatures w14:val="standardContextual"/>
        </w:rPr>
        <w:t>(</w:t>
      </w:r>
      <w:r w:rsidR="00852529" w:rsidRPr="001B41CB">
        <w:rPr>
          <w:rFonts w:eastAsiaTheme="minorEastAsia" w:cs="Calibri"/>
          <w:szCs w:val="22"/>
          <w:lang w:val="fr-FR"/>
          <w14:ligatures w14:val="standardContextual"/>
        </w:rPr>
        <w:t>Finlande</w:t>
      </w:r>
      <w:r w:rsidR="00852529" w:rsidRPr="001B41CB">
        <w:rPr>
          <w:rFonts w:eastAsiaTheme="minorEastAsia" w:cs="Calibri"/>
          <w:szCs w:val="22"/>
          <w:lang w:val="fr-FR" w:eastAsia="ja-JP"/>
          <w14:ligatures w14:val="standardContextual"/>
        </w:rPr>
        <w:t xml:space="preserve">, </w:t>
      </w:r>
      <w:r w:rsidR="00852529" w:rsidRPr="001B41CB">
        <w:rPr>
          <w:rFonts w:eastAsiaTheme="minorEastAsia" w:cs="Calibri"/>
          <w:szCs w:val="22"/>
          <w:lang w:val="fr-FR"/>
          <w14:ligatures w14:val="standardContextual"/>
        </w:rPr>
        <w:t xml:space="preserve">Pays-Bas </w:t>
      </w:r>
      <w:r w:rsidR="00852529" w:rsidRPr="001B41CB">
        <w:rPr>
          <w:rFonts w:eastAsiaTheme="minorEastAsia" w:cs="Calibri"/>
          <w:szCs w:val="22"/>
          <w:lang w:val="fr-FR" w:eastAsia="ja-JP"/>
          <w14:ligatures w14:val="standardContextual"/>
        </w:rPr>
        <w:t xml:space="preserve">(Royaume des) </w:t>
      </w:r>
      <w:r w:rsidR="00852529" w:rsidRPr="001B41CB">
        <w:rPr>
          <w:rFonts w:eastAsiaTheme="minorEastAsia" w:cs="Calibri"/>
          <w:szCs w:val="22"/>
          <w:lang w:val="fr-FR"/>
          <w14:ligatures w14:val="standardContextual"/>
        </w:rPr>
        <w:t xml:space="preserve">et </w:t>
      </w:r>
      <w:r w:rsidR="00852529" w:rsidRPr="001B41CB">
        <w:rPr>
          <w:rFonts w:eastAsiaTheme="minorEastAsia" w:cs="Calibri"/>
          <w:szCs w:val="22"/>
          <w:lang w:val="fr-FR" w:eastAsia="ja-JP"/>
          <w14:ligatures w14:val="standardContextual"/>
        </w:rPr>
        <w:t>Royaume-Uni</w:t>
      </w:r>
      <w:r w:rsidR="00852529" w:rsidRPr="001B41CB">
        <w:rPr>
          <w:rFonts w:eastAsiaTheme="minorEastAsia" w:cs="Calibri"/>
          <w:szCs w:val="22"/>
          <w:lang w:val="fr-FR"/>
          <w14:ligatures w14:val="standardContextual"/>
        </w:rPr>
        <w:t>).  Le TWM a noté que le logiciel serait mis à la disposition des membres</w:t>
      </w:r>
      <w:r w:rsidR="00852529" w:rsidRPr="001B41CB">
        <w:rPr>
          <w:rFonts w:eastAsiaTheme="minorEastAsia" w:cs="Calibri"/>
          <w:szCs w:val="22"/>
          <w:lang w:val="fr-FR" w:eastAsia="ja-JP"/>
          <w14:ligatures w14:val="standardContextual"/>
        </w:rPr>
        <w:t xml:space="preserve"> de l'UPOV </w:t>
      </w:r>
      <w:r w:rsidR="00852529" w:rsidRPr="001B41CB">
        <w:rPr>
          <w:rFonts w:eastAsiaTheme="minorEastAsia" w:cs="Calibri"/>
          <w:szCs w:val="22"/>
          <w:lang w:val="fr-FR"/>
          <w14:ligatures w14:val="standardContextual"/>
        </w:rPr>
        <w:t xml:space="preserve">et a invité </w:t>
      </w:r>
      <w:r w:rsidR="00852529" w:rsidRPr="001B41CB">
        <w:rPr>
          <w:rFonts w:eastAsiaTheme="minorEastAsia" w:cs="Calibri"/>
          <w:szCs w:val="22"/>
          <w:lang w:val="fr-FR" w:eastAsia="ja-JP"/>
          <w14:ligatures w14:val="standardContextual"/>
        </w:rPr>
        <w:t xml:space="preserve">le </w:t>
      </w:r>
      <w:r w:rsidR="00852529" w:rsidRPr="001B41CB">
        <w:rPr>
          <w:rFonts w:eastAsiaTheme="minorEastAsia" w:cs="Calibri"/>
          <w:szCs w:val="22"/>
          <w:lang w:val="fr-FR"/>
          <w14:ligatures w14:val="standardContextual"/>
        </w:rPr>
        <w:t xml:space="preserve">Royaume-Uni à fournir, lors de sa prochaine session, des informations actualisées sur </w:t>
      </w:r>
      <w:r w:rsidR="00852529" w:rsidRPr="001B41CB">
        <w:rPr>
          <w:rFonts w:eastAsiaTheme="minorEastAsia" w:cs="Calibri"/>
          <w:szCs w:val="22"/>
          <w:lang w:val="fr-FR" w:eastAsia="ja-JP"/>
          <w14:ligatures w14:val="standardContextual"/>
        </w:rPr>
        <w:t xml:space="preserve">le logiciel, l'expérience acquise lors de sa mise en œuvre au Royaume-Uni et des conseils sur la manière de gérer </w:t>
      </w:r>
      <w:r w:rsidR="00852529" w:rsidRPr="001B41CB">
        <w:rPr>
          <w:rFonts w:eastAsiaTheme="minorEastAsia" w:cs="Calibri"/>
          <w:szCs w:val="22"/>
          <w:lang w:val="fr-FR"/>
          <w14:ligatures w14:val="standardContextual"/>
        </w:rPr>
        <w:t>l'extrapolation dans le cadre du COYU.</w:t>
      </w:r>
    </w:p>
    <w:p w14:paraId="795CA8C8" w14:textId="77777777" w:rsidR="00852529" w:rsidRPr="001B41CB" w:rsidRDefault="00852529" w:rsidP="00092C1C">
      <w:pPr>
        <w:rPr>
          <w:rFonts w:eastAsiaTheme="minorEastAsia" w:cs="Calibri"/>
          <w:szCs w:val="22"/>
          <w:lang w:val="fr-FR"/>
          <w14:ligatures w14:val="standardContextual"/>
        </w:rPr>
      </w:pPr>
    </w:p>
    <w:p w14:paraId="0E6C930D" w14:textId="77777777" w:rsidR="00D97966" w:rsidRPr="001B41CB" w:rsidRDefault="00D97966" w:rsidP="00092C1C">
      <w:pPr>
        <w:rPr>
          <w:rFonts w:eastAsiaTheme="minorEastAsia" w:cs="Calibri"/>
          <w:szCs w:val="22"/>
          <w:lang w:val="fr-FR"/>
          <w14:ligatures w14:val="standardContextual"/>
        </w:rPr>
      </w:pPr>
    </w:p>
    <w:p w14:paraId="72C3ECB3" w14:textId="77777777" w:rsidR="00852529" w:rsidRPr="001B41CB" w:rsidRDefault="00852529" w:rsidP="00365B2A">
      <w:pPr>
        <w:pStyle w:val="Heading2"/>
        <w:rPr>
          <w:rFonts w:eastAsiaTheme="minorEastAsia"/>
          <w:lang w:val="fr-FR"/>
        </w:rPr>
      </w:pPr>
      <w:bookmarkStart w:id="37" w:name="_Toc208828866"/>
      <w:r w:rsidRPr="001B41CB">
        <w:rPr>
          <w:rFonts w:eastAsiaTheme="minorEastAsia"/>
          <w:lang w:val="fr-FR"/>
        </w:rPr>
        <w:t>Phénotypage et analyse d'images</w:t>
      </w:r>
      <w:bookmarkEnd w:id="37"/>
    </w:p>
    <w:p w14:paraId="615C8C88" w14:textId="77777777" w:rsidR="00852529" w:rsidRPr="001B41CB" w:rsidRDefault="00852529" w:rsidP="00092C1C">
      <w:pPr>
        <w:rPr>
          <w:rFonts w:eastAsiaTheme="minorEastAsia" w:cs="Calibri"/>
          <w:szCs w:val="22"/>
          <w:lang w:val="fr-FR"/>
          <w14:ligatures w14:val="standardContextual"/>
        </w:rPr>
      </w:pPr>
    </w:p>
    <w:p w14:paraId="368820D6" w14:textId="77777777" w:rsidR="00852529" w:rsidRPr="001B41CB" w:rsidRDefault="00852529" w:rsidP="00092C1C">
      <w:pPr>
        <w:pStyle w:val="Heading3"/>
        <w:rPr>
          <w:rFonts w:eastAsiaTheme="minorEastAsia"/>
          <w:lang w:val="fr-FR"/>
        </w:rPr>
      </w:pPr>
      <w:bookmarkStart w:id="38" w:name="_Toc208828867"/>
      <w:r w:rsidRPr="001B41CB">
        <w:rPr>
          <w:rFonts w:eastAsiaTheme="minorEastAsia"/>
          <w:lang w:val="fr-FR"/>
        </w:rPr>
        <w:t>Une nouvelle perspective sur l'examen DHS de la couleur du fruit de l'aubergine basée sur des paramètres de couleur en laboratoire</w:t>
      </w:r>
      <w:bookmarkEnd w:id="38"/>
    </w:p>
    <w:p w14:paraId="1F608D02" w14:textId="77777777" w:rsidR="00852529" w:rsidRPr="001B41CB" w:rsidRDefault="00852529" w:rsidP="00092C1C">
      <w:pPr>
        <w:rPr>
          <w:rFonts w:eastAsiaTheme="minorEastAsia" w:cs="Calibri"/>
          <w:szCs w:val="22"/>
          <w:lang w:val="fr-FR"/>
          <w14:ligatures w14:val="standardContextual"/>
        </w:rPr>
      </w:pPr>
    </w:p>
    <w:p w14:paraId="560E4258" w14:textId="48F05C71" w:rsidR="00852529" w:rsidRPr="001B41CB" w:rsidRDefault="00092C1C" w:rsidP="00092C1C">
      <w:pPr>
        <w:contextualSpacing/>
        <w:rPr>
          <w:rFonts w:eastAsiaTheme="minorEastAsia" w:cs="Calibri"/>
          <w:szCs w:val="22"/>
          <w:lang w:val="fr-FR"/>
          <w14:ligatures w14:val="standardContextual"/>
        </w:rPr>
      </w:pPr>
      <w:r w:rsidRPr="001B41CB">
        <w:rPr>
          <w:rFonts w:eastAsiaTheme="minorEastAsia" w:cs="Calibri"/>
          <w:szCs w:val="22"/>
          <w:lang w:val="fr-FR"/>
          <w14:ligatures w14:val="standardContextual"/>
        </w:rPr>
        <w:fldChar w:fldCharType="begin"/>
      </w:r>
      <w:r w:rsidRPr="001B41CB">
        <w:rPr>
          <w:rFonts w:eastAsiaTheme="minorEastAsia" w:cs="Calibri"/>
          <w:szCs w:val="22"/>
          <w:lang w:val="fr-FR"/>
          <w14:ligatures w14:val="standardContextual"/>
        </w:rPr>
        <w:instrText xml:space="preserve"> AUTONUM  </w:instrText>
      </w:r>
      <w:r w:rsidRPr="001B41CB">
        <w:rPr>
          <w:rFonts w:eastAsiaTheme="minorEastAsia" w:cs="Calibri"/>
          <w:szCs w:val="22"/>
          <w:lang w:val="fr-FR"/>
          <w14:ligatures w14:val="standardContextual"/>
        </w:rPr>
        <w:fldChar w:fldCharType="end"/>
      </w:r>
      <w:r w:rsidRPr="001B41CB">
        <w:rPr>
          <w:rFonts w:eastAsiaTheme="minorEastAsia" w:cs="Calibri"/>
          <w:szCs w:val="22"/>
          <w:lang w:val="fr-FR"/>
          <w14:ligatures w14:val="standardContextual"/>
        </w:rPr>
        <w:tab/>
      </w:r>
      <w:r w:rsidR="00852529" w:rsidRPr="001B41CB">
        <w:rPr>
          <w:rFonts w:eastAsiaTheme="minorEastAsia" w:cs="Calibri"/>
          <w:szCs w:val="22"/>
          <w:lang w:val="fr-FR"/>
          <w14:ligatures w14:val="standardContextual"/>
        </w:rPr>
        <w:t>Le TWM</w:t>
      </w:r>
      <w:r w:rsidR="00693F23" w:rsidRPr="001B41CB">
        <w:rPr>
          <w:rStyle w:val="FootnoteReference"/>
          <w:rFonts w:eastAsiaTheme="minorEastAsia" w:cs="Calibri"/>
          <w:szCs w:val="22"/>
          <w:lang w:val="fr-FR"/>
          <w14:ligatures w14:val="standardContextual"/>
        </w:rPr>
        <w:footnoteReference w:id="15"/>
      </w:r>
      <w:r w:rsidR="00852529" w:rsidRPr="001B41CB">
        <w:rPr>
          <w:rFonts w:eastAsiaTheme="minorEastAsia" w:cs="Calibri"/>
          <w:szCs w:val="22"/>
          <w:lang w:val="fr-FR"/>
          <w14:ligatures w14:val="standardContextual"/>
        </w:rPr>
        <w:t xml:space="preserve"> a entendu un exposé de Mme </w:t>
      </w:r>
      <w:proofErr w:type="spellStart"/>
      <w:r w:rsidR="00852529" w:rsidRPr="001B41CB">
        <w:rPr>
          <w:rFonts w:eastAsiaTheme="minorEastAsia" w:cs="Calibri"/>
          <w:szCs w:val="22"/>
          <w:lang w:val="fr-FR"/>
          <w14:ligatures w14:val="standardContextual"/>
        </w:rPr>
        <w:t>Yiying</w:t>
      </w:r>
      <w:proofErr w:type="spellEnd"/>
      <w:r w:rsidR="00852529" w:rsidRPr="001B41CB">
        <w:rPr>
          <w:rFonts w:eastAsiaTheme="minorEastAsia" w:cs="Calibri"/>
          <w:szCs w:val="22"/>
          <w:lang w:val="fr-FR"/>
          <w14:ligatures w14:val="standardContextual"/>
        </w:rPr>
        <w:t xml:space="preserve"> Zhang </w:t>
      </w:r>
      <w:r w:rsidR="00852529" w:rsidRPr="001B41CB">
        <w:rPr>
          <w:rFonts w:eastAsiaTheme="minorEastAsia" w:cs="Calibri"/>
          <w:szCs w:val="22"/>
          <w:lang w:val="fr-FR" w:eastAsia="ja-JP"/>
          <w14:ligatures w14:val="standardContextual"/>
        </w:rPr>
        <w:t xml:space="preserve">(Chine) </w:t>
      </w:r>
      <w:r w:rsidR="00852529" w:rsidRPr="001B41CB">
        <w:rPr>
          <w:rFonts w:eastAsiaTheme="minorEastAsia" w:cs="Calibri"/>
          <w:szCs w:val="22"/>
          <w:lang w:val="fr-FR"/>
          <w14:ligatures w14:val="standardContextual"/>
        </w:rPr>
        <w:t xml:space="preserve">intitulé « Nouvelle perspective sur l'examen DHS de la couleur du fruit de l'aubergine fondée sur les paramètres de couleur en laboratoire », </w:t>
      </w:r>
      <w:r w:rsidR="00852529" w:rsidRPr="001B41CB">
        <w:rPr>
          <w:rFonts w:eastAsiaTheme="minorEastAsia" w:cs="Arial"/>
          <w:iCs/>
          <w:szCs w:val="22"/>
          <w:lang w:val="fr-FR"/>
          <w14:ligatures w14:val="standardContextual"/>
        </w:rPr>
        <w:t xml:space="preserve">dont une copie figure dans le document </w:t>
      </w:r>
      <w:hyperlink r:id="rId21" w:history="1">
        <w:r w:rsidR="00852529" w:rsidRPr="001B41CB">
          <w:rPr>
            <w:rStyle w:val="Hyperlink"/>
            <w:rFonts w:eastAsiaTheme="minorEastAsia" w:cs="Calibri"/>
            <w:szCs w:val="22"/>
            <w:lang w:val="fr-FR" w:eastAsia="ja-JP"/>
            <w14:ligatures w14:val="standardContextual"/>
          </w:rPr>
          <w:t>TWM/3/13</w:t>
        </w:r>
      </w:hyperlink>
      <w:r w:rsidR="00852529" w:rsidRPr="001B41CB">
        <w:rPr>
          <w:rFonts w:eastAsiaTheme="minorEastAsia" w:cs="Calibri"/>
          <w:szCs w:val="22"/>
          <w:lang w:val="fr-FR"/>
          <w14:ligatures w14:val="standardContextual"/>
        </w:rPr>
        <w:t xml:space="preserve">.  </w:t>
      </w:r>
    </w:p>
    <w:p w14:paraId="7C1401C8" w14:textId="77777777" w:rsidR="00852529" w:rsidRPr="001B41CB" w:rsidRDefault="00852529" w:rsidP="00092C1C">
      <w:pPr>
        <w:contextualSpacing/>
        <w:rPr>
          <w:rFonts w:eastAsiaTheme="minorEastAsia" w:cs="Calibri"/>
          <w:szCs w:val="22"/>
          <w:lang w:val="fr-FR"/>
          <w14:ligatures w14:val="standardContextual"/>
        </w:rPr>
      </w:pPr>
    </w:p>
    <w:p w14:paraId="2695515D" w14:textId="5887F520" w:rsidR="00852529" w:rsidRPr="001B41CB" w:rsidRDefault="00092C1C" w:rsidP="00092C1C">
      <w:pPr>
        <w:contextualSpacing/>
        <w:rPr>
          <w:rFonts w:eastAsiaTheme="minorEastAsia" w:cs="Calibri"/>
          <w:szCs w:val="22"/>
          <w:lang w:val="fr-FR"/>
          <w14:ligatures w14:val="standardContextual"/>
        </w:rPr>
      </w:pPr>
      <w:r w:rsidRPr="001B41CB">
        <w:rPr>
          <w:rFonts w:eastAsiaTheme="minorEastAsia" w:cs="Calibri"/>
          <w:szCs w:val="22"/>
          <w:lang w:val="fr-FR"/>
          <w14:ligatures w14:val="standardContextual"/>
        </w:rPr>
        <w:fldChar w:fldCharType="begin"/>
      </w:r>
      <w:r w:rsidRPr="001B41CB">
        <w:rPr>
          <w:rFonts w:eastAsiaTheme="minorEastAsia" w:cs="Calibri"/>
          <w:szCs w:val="22"/>
          <w:lang w:val="fr-FR"/>
          <w14:ligatures w14:val="standardContextual"/>
        </w:rPr>
        <w:instrText xml:space="preserve"> AUTONUM  </w:instrText>
      </w:r>
      <w:r w:rsidRPr="001B41CB">
        <w:rPr>
          <w:rFonts w:eastAsiaTheme="minorEastAsia" w:cs="Calibri"/>
          <w:szCs w:val="22"/>
          <w:lang w:val="fr-FR"/>
          <w14:ligatures w14:val="standardContextual"/>
        </w:rPr>
        <w:fldChar w:fldCharType="end"/>
      </w:r>
      <w:r w:rsidRPr="001B41CB">
        <w:rPr>
          <w:rFonts w:eastAsiaTheme="minorEastAsia" w:cs="Calibri"/>
          <w:szCs w:val="22"/>
          <w:lang w:val="fr-FR"/>
          <w14:ligatures w14:val="standardContextual"/>
        </w:rPr>
        <w:tab/>
      </w:r>
      <w:r w:rsidR="00852529" w:rsidRPr="001B41CB">
        <w:rPr>
          <w:rFonts w:eastAsiaTheme="minorEastAsia" w:cs="Calibri"/>
          <w:szCs w:val="22"/>
          <w:lang w:val="fr-FR"/>
          <w14:ligatures w14:val="standardContextual"/>
        </w:rPr>
        <w:t xml:space="preserve">Le TWM </w:t>
      </w:r>
      <w:r w:rsidR="00852529" w:rsidRPr="001B41CB">
        <w:rPr>
          <w:rFonts w:eastAsiaTheme="minorEastAsia" w:cs="Calibri"/>
          <w:szCs w:val="22"/>
          <w:lang w:val="fr-FR" w:eastAsia="ja-JP"/>
          <w14:ligatures w14:val="standardContextual"/>
        </w:rPr>
        <w:t xml:space="preserve">a noté que les principes directeurs d'examen de l'aubergine étaient en cours de révision et a invité Mme Zhang à présenter l'analyse de la couleur de la peau du fruit au sous-groupe d'experts, lors de la prochaine session du TWV. </w:t>
      </w:r>
    </w:p>
    <w:p w14:paraId="495F326E" w14:textId="77777777" w:rsidR="00852529" w:rsidRPr="001B41CB" w:rsidRDefault="00852529" w:rsidP="00092C1C">
      <w:pPr>
        <w:rPr>
          <w:rFonts w:eastAsiaTheme="minorEastAsia" w:cs="Calibri"/>
          <w:szCs w:val="22"/>
          <w:lang w:val="fr-FR"/>
          <w14:ligatures w14:val="standardContextual"/>
        </w:rPr>
      </w:pPr>
    </w:p>
    <w:p w14:paraId="641E710A" w14:textId="77777777" w:rsidR="00852529" w:rsidRPr="001B41CB" w:rsidRDefault="00852529" w:rsidP="00092C1C">
      <w:pPr>
        <w:pStyle w:val="Heading3"/>
        <w:rPr>
          <w:rFonts w:eastAsiaTheme="minorEastAsia"/>
          <w:lang w:val="fr-FR"/>
        </w:rPr>
      </w:pPr>
      <w:bookmarkStart w:id="39" w:name="_Toc208828868"/>
      <w:r w:rsidRPr="001B41CB">
        <w:rPr>
          <w:rFonts w:eastAsiaTheme="minorEastAsia"/>
          <w:lang w:val="fr-FR"/>
        </w:rPr>
        <w:t>Dispositif de collecte de données sur la longueur</w:t>
      </w:r>
      <w:bookmarkEnd w:id="39"/>
    </w:p>
    <w:p w14:paraId="7EE3669E" w14:textId="77777777" w:rsidR="00852529" w:rsidRPr="001B41CB" w:rsidRDefault="00852529" w:rsidP="00092C1C">
      <w:pPr>
        <w:rPr>
          <w:rFonts w:eastAsiaTheme="minorEastAsia" w:cs="Calibri"/>
          <w:szCs w:val="22"/>
          <w:lang w:val="fr-FR"/>
          <w14:ligatures w14:val="standardContextual"/>
        </w:rPr>
      </w:pPr>
    </w:p>
    <w:p w14:paraId="74E4C15E" w14:textId="0A4A887A" w:rsidR="00852529" w:rsidRPr="001B41CB" w:rsidRDefault="00092C1C" w:rsidP="00092C1C">
      <w:pPr>
        <w:contextualSpacing/>
        <w:rPr>
          <w:rFonts w:eastAsiaTheme="minorEastAsia" w:cs="Calibri"/>
          <w:szCs w:val="22"/>
          <w:lang w:val="fr-FR"/>
          <w14:ligatures w14:val="standardContextual"/>
        </w:rPr>
      </w:pPr>
      <w:r w:rsidRPr="001B41CB">
        <w:rPr>
          <w:rFonts w:eastAsiaTheme="minorEastAsia" w:cs="Calibri"/>
          <w:szCs w:val="22"/>
          <w:lang w:val="fr-FR"/>
          <w14:ligatures w14:val="standardContextual"/>
        </w:rPr>
        <w:fldChar w:fldCharType="begin"/>
      </w:r>
      <w:r w:rsidRPr="001B41CB">
        <w:rPr>
          <w:rFonts w:eastAsiaTheme="minorEastAsia" w:cs="Calibri"/>
          <w:szCs w:val="22"/>
          <w:lang w:val="fr-FR"/>
          <w14:ligatures w14:val="standardContextual"/>
        </w:rPr>
        <w:instrText xml:space="preserve"> AUTONUM  </w:instrText>
      </w:r>
      <w:r w:rsidRPr="001B41CB">
        <w:rPr>
          <w:rFonts w:eastAsiaTheme="minorEastAsia" w:cs="Calibri"/>
          <w:szCs w:val="22"/>
          <w:lang w:val="fr-FR"/>
          <w14:ligatures w14:val="standardContextual"/>
        </w:rPr>
        <w:fldChar w:fldCharType="end"/>
      </w:r>
      <w:r w:rsidRPr="001B41CB">
        <w:rPr>
          <w:rFonts w:eastAsiaTheme="minorEastAsia" w:cs="Calibri"/>
          <w:szCs w:val="22"/>
          <w:lang w:val="fr-FR"/>
          <w14:ligatures w14:val="standardContextual"/>
        </w:rPr>
        <w:tab/>
      </w:r>
      <w:r w:rsidR="00852529" w:rsidRPr="001B41CB">
        <w:rPr>
          <w:rFonts w:eastAsiaTheme="minorEastAsia" w:cs="Calibri"/>
          <w:szCs w:val="22"/>
          <w:lang w:val="fr-FR"/>
          <w14:ligatures w14:val="standardContextual"/>
        </w:rPr>
        <w:t>Le TWM</w:t>
      </w:r>
      <w:r w:rsidR="00693F23" w:rsidRPr="001B41CB">
        <w:rPr>
          <w:rStyle w:val="FootnoteReference"/>
          <w:rFonts w:eastAsiaTheme="minorEastAsia" w:cs="Calibri"/>
          <w:szCs w:val="22"/>
          <w:lang w:val="fr-FR"/>
          <w14:ligatures w14:val="standardContextual"/>
        </w:rPr>
        <w:footnoteReference w:id="16"/>
      </w:r>
      <w:r w:rsidR="00852529" w:rsidRPr="001B41CB">
        <w:rPr>
          <w:rFonts w:eastAsiaTheme="minorEastAsia" w:cs="Calibri"/>
          <w:szCs w:val="22"/>
          <w:lang w:val="fr-FR"/>
          <w14:ligatures w14:val="standardContextual"/>
        </w:rPr>
        <w:t xml:space="preserve"> a entendu un exposé de Mme Shan Lu </w:t>
      </w:r>
      <w:r w:rsidR="00852529" w:rsidRPr="001B41CB">
        <w:rPr>
          <w:rFonts w:eastAsiaTheme="minorEastAsia" w:cs="Calibri"/>
          <w:szCs w:val="22"/>
          <w:lang w:val="fr-FR" w:eastAsia="ja-JP"/>
          <w14:ligatures w14:val="standardContextual"/>
        </w:rPr>
        <w:t xml:space="preserve">(Chine) </w:t>
      </w:r>
      <w:r w:rsidR="00852529" w:rsidRPr="001B41CB">
        <w:rPr>
          <w:rFonts w:eastAsiaTheme="minorEastAsia" w:cs="Calibri"/>
          <w:szCs w:val="22"/>
          <w:lang w:val="fr-FR"/>
          <w14:ligatures w14:val="standardContextual"/>
        </w:rPr>
        <w:t xml:space="preserve">sur le « Dispositif de collecte de données sur la longueur », </w:t>
      </w:r>
      <w:r w:rsidR="00852529" w:rsidRPr="001B41CB">
        <w:rPr>
          <w:rFonts w:eastAsiaTheme="minorEastAsia" w:cs="Arial"/>
          <w:iCs/>
          <w:szCs w:val="22"/>
          <w:lang w:val="fr-FR"/>
          <w14:ligatures w14:val="standardContextual"/>
        </w:rPr>
        <w:t xml:space="preserve">dont une copie figure dans le document </w:t>
      </w:r>
      <w:hyperlink r:id="rId22" w:history="1">
        <w:r w:rsidR="00852529" w:rsidRPr="001B41CB">
          <w:rPr>
            <w:rStyle w:val="Hyperlink"/>
            <w:rFonts w:eastAsiaTheme="minorEastAsia" w:cs="Calibri"/>
            <w:szCs w:val="22"/>
            <w:lang w:val="fr-FR" w:eastAsia="ja-JP"/>
            <w14:ligatures w14:val="standardContextual"/>
          </w:rPr>
          <w:t>TWM/3/14</w:t>
        </w:r>
      </w:hyperlink>
      <w:r w:rsidR="00852529" w:rsidRPr="001B41CB">
        <w:rPr>
          <w:rFonts w:eastAsiaTheme="minorEastAsia" w:cs="Calibri"/>
          <w:szCs w:val="22"/>
          <w:lang w:val="fr-FR"/>
          <w14:ligatures w14:val="standardContextual"/>
        </w:rPr>
        <w:t xml:space="preserve">.  </w:t>
      </w:r>
    </w:p>
    <w:p w14:paraId="06DB2AAA" w14:textId="77777777" w:rsidR="00852529" w:rsidRPr="001B41CB" w:rsidRDefault="00852529" w:rsidP="00092C1C">
      <w:pPr>
        <w:contextualSpacing/>
        <w:rPr>
          <w:rFonts w:eastAsiaTheme="minorEastAsia" w:cs="Calibri"/>
          <w:szCs w:val="22"/>
          <w:lang w:val="fr-FR"/>
          <w14:ligatures w14:val="standardContextual"/>
        </w:rPr>
      </w:pPr>
    </w:p>
    <w:p w14:paraId="21006472" w14:textId="0F0245B1" w:rsidR="00852529" w:rsidRPr="001B41CB" w:rsidRDefault="00092C1C" w:rsidP="00092C1C">
      <w:pPr>
        <w:contextualSpacing/>
        <w:rPr>
          <w:rFonts w:eastAsiaTheme="minorEastAsia" w:cs="Calibri"/>
          <w:szCs w:val="22"/>
          <w:lang w:val="fr-FR"/>
          <w14:ligatures w14:val="standardContextual"/>
        </w:rPr>
      </w:pPr>
      <w:r w:rsidRPr="001B41CB">
        <w:rPr>
          <w:rFonts w:eastAsiaTheme="minorEastAsia" w:cs="Calibri"/>
          <w:szCs w:val="22"/>
          <w:lang w:val="fr-FR"/>
          <w14:ligatures w14:val="standardContextual"/>
        </w:rPr>
        <w:fldChar w:fldCharType="begin"/>
      </w:r>
      <w:r w:rsidRPr="001B41CB">
        <w:rPr>
          <w:rFonts w:eastAsiaTheme="minorEastAsia" w:cs="Calibri"/>
          <w:szCs w:val="22"/>
          <w:lang w:val="fr-FR"/>
          <w14:ligatures w14:val="standardContextual"/>
        </w:rPr>
        <w:instrText xml:space="preserve"> AUTONUM  </w:instrText>
      </w:r>
      <w:r w:rsidRPr="001B41CB">
        <w:rPr>
          <w:rFonts w:eastAsiaTheme="minorEastAsia" w:cs="Calibri"/>
          <w:szCs w:val="22"/>
          <w:lang w:val="fr-FR"/>
          <w14:ligatures w14:val="standardContextual"/>
        </w:rPr>
        <w:fldChar w:fldCharType="end"/>
      </w:r>
      <w:r w:rsidRPr="001B41CB">
        <w:rPr>
          <w:rFonts w:eastAsiaTheme="minorEastAsia" w:cs="Calibri"/>
          <w:szCs w:val="22"/>
          <w:lang w:val="fr-FR"/>
          <w14:ligatures w14:val="standardContextual"/>
        </w:rPr>
        <w:tab/>
      </w:r>
      <w:r w:rsidR="00852529" w:rsidRPr="001B41CB">
        <w:rPr>
          <w:rFonts w:eastAsiaTheme="minorEastAsia" w:cs="Calibri"/>
          <w:szCs w:val="22"/>
          <w:lang w:val="fr-FR"/>
          <w14:ligatures w14:val="standardContextual"/>
        </w:rPr>
        <w:t xml:space="preserve">Le TWM a noté </w:t>
      </w:r>
      <w:r w:rsidR="00852529" w:rsidRPr="001B41CB">
        <w:rPr>
          <w:rFonts w:eastAsiaTheme="minorEastAsia" w:cs="Calibri"/>
          <w:szCs w:val="22"/>
          <w:lang w:val="fr-FR" w:eastAsia="ja-JP"/>
          <w14:ligatures w14:val="standardContextual"/>
        </w:rPr>
        <w:t>que les membres et les observateurs intéressés par le dispositif de collecte de données pouvaient contacter l'expert de Chine pour obtenir de plus amples informations et collaborer.</w:t>
      </w:r>
    </w:p>
    <w:p w14:paraId="16971C4F" w14:textId="77777777" w:rsidR="00445B73" w:rsidRPr="001B41CB" w:rsidRDefault="00445B73" w:rsidP="00092C1C">
      <w:pPr>
        <w:rPr>
          <w:lang w:val="fr-FR"/>
        </w:rPr>
      </w:pPr>
    </w:p>
    <w:p w14:paraId="432FFB51" w14:textId="77777777" w:rsidR="00163DB6" w:rsidRPr="001B41CB" w:rsidRDefault="00163DB6" w:rsidP="00092C1C">
      <w:pPr>
        <w:keepNext/>
        <w:rPr>
          <w:lang w:val="fr-FR"/>
        </w:rPr>
      </w:pPr>
    </w:p>
    <w:p w14:paraId="22C92D51" w14:textId="12163858" w:rsidR="00163DB6" w:rsidRPr="001B41CB" w:rsidRDefault="00AC0937" w:rsidP="00365B2A">
      <w:pPr>
        <w:pStyle w:val="Heading2"/>
        <w:rPr>
          <w:lang w:val="fr-FR"/>
        </w:rPr>
      </w:pPr>
      <w:bookmarkStart w:id="40" w:name="_Toc208828869"/>
      <w:r w:rsidRPr="001B41CB">
        <w:rPr>
          <w:lang w:val="fr-FR"/>
        </w:rPr>
        <w:t xml:space="preserve">Collections de variétés : </w:t>
      </w:r>
      <w:r w:rsidR="00163DB6" w:rsidRPr="001B41CB">
        <w:rPr>
          <w:lang w:val="fr-FR"/>
        </w:rPr>
        <w:t>Collection de variétés de plantes fruitières en Ukraine</w:t>
      </w:r>
      <w:bookmarkEnd w:id="40"/>
    </w:p>
    <w:p w14:paraId="1ADC3C91" w14:textId="77777777" w:rsidR="00163DB6" w:rsidRPr="001B41CB" w:rsidRDefault="00163DB6" w:rsidP="00092C1C">
      <w:pPr>
        <w:rPr>
          <w:lang w:val="fr-FR"/>
        </w:rPr>
      </w:pPr>
    </w:p>
    <w:p w14:paraId="0E0C4CBD" w14:textId="0779FCA9" w:rsidR="00163DB6" w:rsidRPr="001B41CB" w:rsidRDefault="00163DB6" w:rsidP="00092C1C">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Le TWF</w:t>
      </w:r>
      <w:r w:rsidR="00B270F3" w:rsidRPr="001B41CB">
        <w:rPr>
          <w:rStyle w:val="FootnoteReference"/>
          <w:lang w:val="fr-FR"/>
        </w:rPr>
        <w:footnoteReference w:id="17"/>
      </w:r>
      <w:r w:rsidRPr="001B41CB">
        <w:rPr>
          <w:lang w:val="fr-FR"/>
        </w:rPr>
        <w:t xml:space="preserve"> , a entendu un exposé intitulé "Collection de variétés de plantes fruitières en Ukraine", présenté par un expert de l'Ukraine. Une copie de cet exposé figure dans le document </w:t>
      </w:r>
      <w:hyperlink r:id="rId23" w:history="1">
        <w:r w:rsidRPr="001B41CB">
          <w:rPr>
            <w:rStyle w:val="Hyperlink"/>
            <w:lang w:val="fr-FR"/>
          </w:rPr>
          <w:t>TWF/56/5</w:t>
        </w:r>
      </w:hyperlink>
      <w:r w:rsidRPr="001B41CB">
        <w:rPr>
          <w:lang w:val="fr-FR"/>
        </w:rPr>
        <w:t>.</w:t>
      </w:r>
    </w:p>
    <w:p w14:paraId="08E89BC5" w14:textId="77777777" w:rsidR="00163DB6" w:rsidRPr="001B41CB" w:rsidRDefault="00163DB6" w:rsidP="00092C1C">
      <w:pPr>
        <w:rPr>
          <w:lang w:val="fr-FR"/>
        </w:rPr>
      </w:pPr>
    </w:p>
    <w:p w14:paraId="5EAC9561" w14:textId="77777777" w:rsidR="00163DB6" w:rsidRPr="001B41CB" w:rsidRDefault="00163DB6" w:rsidP="00092C1C">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Le TWF a pris note des procédures d'examen DHS, y compris la coopération avec les obtenteurs. Le TWF a pris note du compte rendu de l'Ukraine sur les difficultés rencontrées par les obtenteurs pour décrire les variétés, qui seront abordées à l'avenir avec un soutien accru à la coopération en matière d'examen DHS.</w:t>
      </w:r>
    </w:p>
    <w:p w14:paraId="1DEB88A6" w14:textId="77777777" w:rsidR="00163DB6" w:rsidRPr="001B41CB" w:rsidRDefault="00163DB6" w:rsidP="00092C1C">
      <w:pPr>
        <w:rPr>
          <w:lang w:val="fr-FR"/>
        </w:rPr>
      </w:pPr>
    </w:p>
    <w:p w14:paraId="6FE61D0C" w14:textId="77777777" w:rsidR="00163DB6" w:rsidRPr="001B41CB" w:rsidRDefault="00163DB6" w:rsidP="00092C1C">
      <w:pPr>
        <w:rPr>
          <w:lang w:val="fr-FR"/>
        </w:rPr>
      </w:pPr>
      <w:r w:rsidRPr="001B41CB">
        <w:rPr>
          <w:lang w:val="fr-FR"/>
        </w:rPr>
        <w:fldChar w:fldCharType="begin"/>
      </w:r>
      <w:r w:rsidRPr="001B41CB">
        <w:rPr>
          <w:lang w:val="fr-FR"/>
        </w:rPr>
        <w:instrText xml:space="preserve"> AUTONUM  </w:instrText>
      </w:r>
      <w:r w:rsidRPr="001B41CB">
        <w:rPr>
          <w:lang w:val="fr-FR"/>
        </w:rPr>
        <w:fldChar w:fldCharType="end"/>
      </w:r>
      <w:r w:rsidRPr="001B41CB">
        <w:rPr>
          <w:lang w:val="fr-FR"/>
        </w:rPr>
        <w:tab/>
        <w:t xml:space="preserve">Le TWF a noté que l'Ukraine avait donné accès à la base de données nationale sur les variétés végétales, qui comprenait des descriptions variétales (disponible à l'adresse suivante : </w:t>
      </w:r>
      <w:hyperlink r:id="rId24" w:history="1">
        <w:r w:rsidRPr="001B41CB">
          <w:rPr>
            <w:rStyle w:val="Hyperlink"/>
            <w:lang w:val="fr-FR"/>
          </w:rPr>
          <w:t xml:space="preserve"> http://sort.sops.gov.ua/search/search</w:t>
        </w:r>
      </w:hyperlink>
      <w:r w:rsidRPr="001B41CB">
        <w:rPr>
          <w:lang w:val="fr-FR"/>
        </w:rPr>
        <w:t>).</w:t>
      </w:r>
    </w:p>
    <w:p w14:paraId="69F53FE8" w14:textId="77777777" w:rsidR="00163DB6" w:rsidRPr="001B41CB" w:rsidRDefault="00163DB6" w:rsidP="00092C1C">
      <w:pPr>
        <w:rPr>
          <w:lang w:val="fr-FR"/>
        </w:rPr>
      </w:pPr>
    </w:p>
    <w:p w14:paraId="20FA0CB4" w14:textId="77777777" w:rsidR="00693F23" w:rsidRPr="001B41CB" w:rsidRDefault="00693F23" w:rsidP="00163DB6">
      <w:pPr>
        <w:rPr>
          <w:lang w:val="fr-FR"/>
        </w:rPr>
      </w:pPr>
    </w:p>
    <w:p w14:paraId="3E25B487" w14:textId="77777777" w:rsidR="00445B73" w:rsidRPr="001B41CB" w:rsidRDefault="00445B73" w:rsidP="00445B73">
      <w:pPr>
        <w:rPr>
          <w:lang w:val="fr-FR"/>
        </w:rPr>
      </w:pPr>
    </w:p>
    <w:p w14:paraId="478B70DD" w14:textId="77777777" w:rsidR="00445B73" w:rsidRPr="001B41CB" w:rsidRDefault="00445B73" w:rsidP="00445B73">
      <w:pPr>
        <w:jc w:val="right"/>
        <w:rPr>
          <w:lang w:val="fr-FR"/>
        </w:rPr>
      </w:pPr>
      <w:r w:rsidRPr="001B41CB">
        <w:rPr>
          <w:lang w:val="fr-FR"/>
        </w:rPr>
        <w:t xml:space="preserve"> [Fin du document]</w:t>
      </w:r>
    </w:p>
    <w:p w14:paraId="4B75B59C" w14:textId="77777777" w:rsidR="00445B73" w:rsidRPr="001B41CB" w:rsidRDefault="00445B73" w:rsidP="00445B73">
      <w:pPr>
        <w:jc w:val="left"/>
        <w:rPr>
          <w:lang w:val="fr-FR"/>
        </w:rPr>
      </w:pPr>
    </w:p>
    <w:p w14:paraId="6236C102" w14:textId="33C6123C" w:rsidR="00B270F3" w:rsidRPr="001B41CB" w:rsidRDefault="00B270F3" w:rsidP="00B270F3">
      <w:pPr>
        <w:tabs>
          <w:tab w:val="left" w:pos="4308"/>
        </w:tabs>
        <w:rPr>
          <w:lang w:val="fr-FR"/>
        </w:rPr>
      </w:pPr>
    </w:p>
    <w:sectPr w:rsidR="00B270F3" w:rsidRPr="001B41CB" w:rsidSect="0004198B">
      <w:headerReference w:type="default" r:id="rId25"/>
      <w:headerReference w:type="first" r:id="rId26"/>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92E2" w14:textId="77777777" w:rsidR="00474A16" w:rsidRDefault="00474A16" w:rsidP="006655D3">
      <w:r>
        <w:separator/>
      </w:r>
    </w:p>
    <w:p w14:paraId="4C9EB820" w14:textId="77777777" w:rsidR="00474A16" w:rsidRDefault="00474A16" w:rsidP="006655D3"/>
    <w:p w14:paraId="000A7D2B" w14:textId="77777777" w:rsidR="00474A16" w:rsidRDefault="00474A16" w:rsidP="006655D3"/>
  </w:endnote>
  <w:endnote w:type="continuationSeparator" w:id="0">
    <w:p w14:paraId="526142BF" w14:textId="77777777" w:rsidR="00474A16" w:rsidRDefault="00474A16" w:rsidP="006655D3">
      <w:r>
        <w:separator/>
      </w:r>
    </w:p>
    <w:p w14:paraId="784A73BF" w14:textId="77777777" w:rsidR="00474A16" w:rsidRPr="00294751" w:rsidRDefault="00474A16">
      <w:pPr>
        <w:pStyle w:val="Footer"/>
        <w:spacing w:after="60"/>
        <w:rPr>
          <w:sz w:val="18"/>
          <w:lang w:val="fr-FR"/>
        </w:rPr>
      </w:pPr>
      <w:r w:rsidRPr="00294751">
        <w:rPr>
          <w:sz w:val="18"/>
          <w:lang w:val="fr-FR"/>
        </w:rPr>
        <w:t>[Suite de la note de la page précédente]</w:t>
      </w:r>
    </w:p>
    <w:p w14:paraId="5B4768D6" w14:textId="77777777" w:rsidR="00474A16" w:rsidRPr="00294751" w:rsidRDefault="00474A16" w:rsidP="006655D3">
      <w:pPr>
        <w:rPr>
          <w:lang w:val="fr-FR"/>
        </w:rPr>
      </w:pPr>
    </w:p>
    <w:p w14:paraId="5D8DBCB9" w14:textId="77777777" w:rsidR="00474A16" w:rsidRPr="00294751" w:rsidRDefault="00474A16" w:rsidP="006655D3">
      <w:pPr>
        <w:rPr>
          <w:lang w:val="fr-FR"/>
        </w:rPr>
      </w:pPr>
    </w:p>
  </w:endnote>
  <w:endnote w:type="continuationNotice" w:id="1">
    <w:p w14:paraId="5A650486" w14:textId="77777777" w:rsidR="00474A16" w:rsidRPr="00294751" w:rsidRDefault="00474A16" w:rsidP="006655D3">
      <w:pPr>
        <w:rPr>
          <w:lang w:val="fr-FR"/>
        </w:rPr>
      </w:pPr>
      <w:r w:rsidRPr="00294751">
        <w:rPr>
          <w:lang w:val="fr-FR"/>
        </w:rPr>
        <w:t>[Suite de la note page suivante]</w:t>
      </w:r>
    </w:p>
    <w:p w14:paraId="706B5E3F" w14:textId="77777777" w:rsidR="00474A16" w:rsidRPr="00294751" w:rsidRDefault="00474A16" w:rsidP="006655D3">
      <w:pPr>
        <w:rPr>
          <w:lang w:val="fr-FR"/>
        </w:rPr>
      </w:pPr>
    </w:p>
    <w:p w14:paraId="620B815C" w14:textId="77777777" w:rsidR="00474A16" w:rsidRPr="00294751" w:rsidRDefault="00474A16"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8FAE" w14:textId="77777777" w:rsidR="00474A16" w:rsidRDefault="00474A16" w:rsidP="006655D3">
      <w:r>
        <w:separator/>
      </w:r>
    </w:p>
  </w:footnote>
  <w:footnote w:type="continuationSeparator" w:id="0">
    <w:p w14:paraId="571F458F" w14:textId="77777777" w:rsidR="00474A16" w:rsidRDefault="00474A16" w:rsidP="006655D3">
      <w:r>
        <w:separator/>
      </w:r>
    </w:p>
  </w:footnote>
  <w:footnote w:type="continuationNotice" w:id="1">
    <w:p w14:paraId="0564F208" w14:textId="77777777" w:rsidR="00474A16" w:rsidRPr="00AB530F" w:rsidRDefault="00474A16" w:rsidP="00AB530F">
      <w:pPr>
        <w:pStyle w:val="Footer"/>
      </w:pPr>
    </w:p>
  </w:footnote>
  <w:footnote w:id="2">
    <w:p w14:paraId="4D43872F" w14:textId="5D5A207C" w:rsidR="00F21482" w:rsidRPr="001B41CB" w:rsidRDefault="00F21482" w:rsidP="00F21482">
      <w:pPr>
        <w:pStyle w:val="FootnoteText"/>
        <w:rPr>
          <w:lang w:val="fr-FR"/>
        </w:rPr>
      </w:pPr>
      <w:r>
        <w:rPr>
          <w:rStyle w:val="FootnoteReference"/>
        </w:rPr>
        <w:footnoteRef/>
      </w:r>
      <w:r w:rsidRPr="001B41CB">
        <w:rPr>
          <w:lang w:val="fr-FR"/>
        </w:rPr>
        <w:t xml:space="preserve"> </w:t>
      </w:r>
      <w:r w:rsidR="00DD3255">
        <w:rPr>
          <w:lang w:val="fr-FR"/>
        </w:rPr>
        <w:t>TWO</w:t>
      </w:r>
      <w:r w:rsidRPr="001B41CB">
        <w:rPr>
          <w:lang w:val="fr-FR"/>
        </w:rPr>
        <w:t xml:space="preserve">, lors de sa cinquante-septième session, tenue à </w:t>
      </w:r>
      <w:proofErr w:type="spellStart"/>
      <w:r w:rsidRPr="001B41CB">
        <w:rPr>
          <w:lang w:val="fr-FR"/>
        </w:rPr>
        <w:t>Roelofarendsveen</w:t>
      </w:r>
      <w:proofErr w:type="spellEnd"/>
      <w:r w:rsidRPr="001B41CB">
        <w:rPr>
          <w:lang w:val="fr-FR"/>
        </w:rPr>
        <w:t>, aux Pays-Bas (Royaume des), du 31 mars au 3 avril 2025.</w:t>
      </w:r>
    </w:p>
  </w:footnote>
  <w:footnote w:id="3">
    <w:p w14:paraId="4AEB2409" w14:textId="0C933320" w:rsidR="00F21482" w:rsidRPr="001B41CB" w:rsidRDefault="00F21482" w:rsidP="00F21482">
      <w:pPr>
        <w:pStyle w:val="FootnoteText"/>
        <w:rPr>
          <w:lang w:val="fr-FR"/>
        </w:rPr>
      </w:pPr>
      <w:r>
        <w:rPr>
          <w:rStyle w:val="FootnoteReference"/>
        </w:rPr>
        <w:footnoteRef/>
      </w:r>
      <w:r w:rsidRPr="001B41CB">
        <w:rPr>
          <w:lang w:val="fr-FR"/>
        </w:rPr>
        <w:t xml:space="preserve"> TWV, lors de sa cinquante-neuvième session, tenue par voie électronique, du 5 au 8 mai 2025.</w:t>
      </w:r>
    </w:p>
  </w:footnote>
  <w:footnote w:id="4">
    <w:p w14:paraId="3841BD0A" w14:textId="184F1994" w:rsidR="00F21482" w:rsidRPr="001B41CB" w:rsidRDefault="00F21482" w:rsidP="00F21482">
      <w:pPr>
        <w:pStyle w:val="FootnoteText"/>
        <w:rPr>
          <w:lang w:val="fr-FR"/>
        </w:rPr>
      </w:pPr>
      <w:r>
        <w:rPr>
          <w:rStyle w:val="FootnoteReference"/>
        </w:rPr>
        <w:footnoteRef/>
      </w:r>
      <w:r w:rsidRPr="001B41CB">
        <w:rPr>
          <w:lang w:val="fr-FR"/>
        </w:rPr>
        <w:t xml:space="preserve"> TWM, lors de sa troisième session, tenue à Beijing (Chine) du</w:t>
      </w:r>
      <w:r w:rsidR="004300F4" w:rsidRPr="001B41CB">
        <w:rPr>
          <w:lang w:val="fr-FR"/>
        </w:rPr>
        <w:t xml:space="preserve"> 28 avril au 1er mai</w:t>
      </w:r>
      <w:r w:rsidRPr="001B41CB">
        <w:rPr>
          <w:lang w:val="fr-FR"/>
        </w:rPr>
        <w:t xml:space="preserve"> 2025.</w:t>
      </w:r>
    </w:p>
  </w:footnote>
  <w:footnote w:id="5">
    <w:p w14:paraId="52D3B0C8" w14:textId="1258E53D" w:rsidR="00F21482" w:rsidRPr="001B41CB" w:rsidRDefault="00F21482" w:rsidP="00F21482">
      <w:pPr>
        <w:pStyle w:val="FootnoteText"/>
        <w:rPr>
          <w:lang w:val="fr-FR"/>
        </w:rPr>
      </w:pPr>
      <w:r>
        <w:rPr>
          <w:rStyle w:val="FootnoteReference"/>
        </w:rPr>
        <w:footnoteRef/>
      </w:r>
      <w:r w:rsidRPr="001B41CB">
        <w:rPr>
          <w:lang w:val="fr-FR"/>
        </w:rPr>
        <w:t xml:space="preserve"> TWA, lors de sa </w:t>
      </w:r>
      <w:r w:rsidR="004300F4" w:rsidRPr="001B41CB">
        <w:rPr>
          <w:lang w:val="fr-FR"/>
        </w:rPr>
        <w:t xml:space="preserve">cinquante-quatrième </w:t>
      </w:r>
      <w:r w:rsidRPr="001B41CB">
        <w:rPr>
          <w:lang w:val="fr-FR"/>
        </w:rPr>
        <w:t xml:space="preserve">session, tenue </w:t>
      </w:r>
      <w:r w:rsidR="004300F4" w:rsidRPr="001B41CB">
        <w:rPr>
          <w:lang w:val="fr-FR"/>
        </w:rPr>
        <w:t xml:space="preserve">à Arusha, République-Unie de Tanzanie, </w:t>
      </w:r>
      <w:r w:rsidRPr="001B41CB">
        <w:rPr>
          <w:lang w:val="fr-FR"/>
        </w:rPr>
        <w:t>du</w:t>
      </w:r>
      <w:r w:rsidR="004300F4" w:rsidRPr="001B41CB">
        <w:rPr>
          <w:lang w:val="fr-FR"/>
        </w:rPr>
        <w:t xml:space="preserve"> 19 </w:t>
      </w:r>
      <w:r w:rsidRPr="001B41CB">
        <w:rPr>
          <w:lang w:val="fr-FR"/>
        </w:rPr>
        <w:t>au</w:t>
      </w:r>
      <w:r w:rsidR="004300F4" w:rsidRPr="001B41CB">
        <w:rPr>
          <w:lang w:val="fr-FR"/>
        </w:rPr>
        <w:t xml:space="preserve"> 22 </w:t>
      </w:r>
      <w:r w:rsidRPr="001B41CB">
        <w:rPr>
          <w:lang w:val="fr-FR"/>
        </w:rPr>
        <w:t>mai 2025</w:t>
      </w:r>
      <w:r w:rsidR="004300F4" w:rsidRPr="001B41CB">
        <w:rPr>
          <w:lang w:val="fr-FR"/>
        </w:rPr>
        <w:t>.</w:t>
      </w:r>
    </w:p>
  </w:footnote>
  <w:footnote w:id="6">
    <w:p w14:paraId="1E31D980" w14:textId="45469F1A" w:rsidR="00F21482" w:rsidRPr="001B41CB" w:rsidRDefault="00F21482" w:rsidP="00F21482">
      <w:pPr>
        <w:pStyle w:val="FootnoteText"/>
        <w:rPr>
          <w:lang w:val="fr-FR"/>
        </w:rPr>
      </w:pPr>
      <w:r>
        <w:rPr>
          <w:rStyle w:val="FootnoteReference"/>
        </w:rPr>
        <w:footnoteRef/>
      </w:r>
      <w:r w:rsidRPr="001B41CB">
        <w:rPr>
          <w:lang w:val="fr-FR"/>
        </w:rPr>
        <w:t xml:space="preserve"> TWF, lors de sa </w:t>
      </w:r>
      <w:r w:rsidR="004300F4" w:rsidRPr="001B41CB">
        <w:rPr>
          <w:lang w:val="fr-FR"/>
        </w:rPr>
        <w:t xml:space="preserve">cinquante-sixième </w:t>
      </w:r>
      <w:r w:rsidRPr="001B41CB">
        <w:rPr>
          <w:lang w:val="fr-FR"/>
        </w:rPr>
        <w:t xml:space="preserve">session, tenue </w:t>
      </w:r>
      <w:r w:rsidR="004300F4" w:rsidRPr="001B41CB">
        <w:rPr>
          <w:lang w:val="fr-FR"/>
        </w:rPr>
        <w:t xml:space="preserve">à Bursa, en Türkiye, </w:t>
      </w:r>
      <w:r w:rsidRPr="001B41CB">
        <w:rPr>
          <w:lang w:val="fr-FR"/>
        </w:rPr>
        <w:t>du</w:t>
      </w:r>
      <w:r w:rsidR="004300F4" w:rsidRPr="001B41CB">
        <w:rPr>
          <w:lang w:val="fr-FR"/>
        </w:rPr>
        <w:t xml:space="preserve"> 23 </w:t>
      </w:r>
      <w:r w:rsidRPr="001B41CB">
        <w:rPr>
          <w:lang w:val="fr-FR"/>
        </w:rPr>
        <w:t>au</w:t>
      </w:r>
      <w:r w:rsidR="004300F4" w:rsidRPr="001B41CB">
        <w:rPr>
          <w:lang w:val="fr-FR"/>
        </w:rPr>
        <w:t xml:space="preserve"> 26 </w:t>
      </w:r>
      <w:r w:rsidRPr="001B41CB">
        <w:rPr>
          <w:lang w:val="fr-FR"/>
        </w:rPr>
        <w:t>juin 2025</w:t>
      </w:r>
      <w:r w:rsidR="004300F4" w:rsidRPr="001B41CB">
        <w:rPr>
          <w:lang w:val="fr-FR"/>
        </w:rPr>
        <w:t>.</w:t>
      </w:r>
    </w:p>
  </w:footnote>
  <w:footnote w:id="7">
    <w:p w14:paraId="769DC14B" w14:textId="7E765A72" w:rsidR="0018066F" w:rsidRPr="001B41CB" w:rsidRDefault="0018066F" w:rsidP="0018066F">
      <w:pPr>
        <w:pStyle w:val="FootnoteText"/>
        <w:rPr>
          <w:lang w:val="fr-FR"/>
        </w:rPr>
      </w:pPr>
      <w:r>
        <w:rPr>
          <w:rStyle w:val="FootnoteReference"/>
        </w:rPr>
        <w:footnoteRef/>
      </w:r>
      <w:r w:rsidRPr="001B41CB">
        <w:rPr>
          <w:lang w:val="fr-FR"/>
        </w:rPr>
        <w:t xml:space="preserve"> TWV, cinquante-neuvième session, voir le document TWV/59/19 « Compte rendu », paragraphes 16 à 21</w:t>
      </w:r>
    </w:p>
    <w:p w14:paraId="5A12E953" w14:textId="1D0D41CD" w:rsidR="0018066F" w:rsidRPr="001B41CB" w:rsidRDefault="0018066F">
      <w:pPr>
        <w:pStyle w:val="FootnoteText"/>
        <w:rPr>
          <w:lang w:val="fr-FR"/>
        </w:rPr>
      </w:pPr>
    </w:p>
  </w:footnote>
  <w:footnote w:id="8">
    <w:p w14:paraId="1556DF8B" w14:textId="5C153298" w:rsidR="003602B2" w:rsidRPr="001B41CB" w:rsidRDefault="003602B2" w:rsidP="003602B2">
      <w:pPr>
        <w:pStyle w:val="FootnoteText"/>
        <w:rPr>
          <w:lang w:val="fr-FR"/>
        </w:rPr>
      </w:pPr>
      <w:r>
        <w:rPr>
          <w:rStyle w:val="FootnoteReference"/>
        </w:rPr>
        <w:footnoteRef/>
      </w:r>
      <w:r w:rsidRPr="001B41CB">
        <w:rPr>
          <w:lang w:val="fr-FR"/>
        </w:rPr>
        <w:t xml:space="preserve"> TWV, cinquante-neuvième session, voir le document TWV/59/19 « Compte rendu », paragraphes 13 à 15</w:t>
      </w:r>
    </w:p>
  </w:footnote>
  <w:footnote w:id="9">
    <w:p w14:paraId="151552D7" w14:textId="01C26CA2" w:rsidR="0062210A" w:rsidRPr="001B41CB" w:rsidRDefault="0062210A">
      <w:pPr>
        <w:pStyle w:val="FootnoteText"/>
        <w:rPr>
          <w:lang w:val="fr-FR"/>
        </w:rPr>
      </w:pPr>
      <w:r>
        <w:rPr>
          <w:rStyle w:val="FootnoteReference"/>
        </w:rPr>
        <w:footnoteRef/>
      </w:r>
      <w:r w:rsidRPr="001B41CB">
        <w:rPr>
          <w:lang w:val="fr-FR"/>
        </w:rPr>
        <w:t xml:space="preserve"> TWV, cinquante-neuvième session, voir le document TWV/59/19 « Compte rendu », paragraphes 47 à 57</w:t>
      </w:r>
    </w:p>
  </w:footnote>
  <w:footnote w:id="10">
    <w:p w14:paraId="1395F27C" w14:textId="2543DE5D" w:rsidR="001B6C83" w:rsidRPr="001B41CB" w:rsidRDefault="001B6C83">
      <w:pPr>
        <w:pStyle w:val="FootnoteText"/>
        <w:rPr>
          <w:lang w:val="fr-FR"/>
        </w:rPr>
      </w:pPr>
      <w:r>
        <w:rPr>
          <w:rStyle w:val="FootnoteReference"/>
        </w:rPr>
        <w:footnoteRef/>
      </w:r>
      <w:r w:rsidRPr="001B41CB">
        <w:rPr>
          <w:i/>
          <w:iCs/>
          <w:lang w:val="fr-FR"/>
        </w:rPr>
        <w:t xml:space="preserve"> Allium </w:t>
      </w:r>
      <w:proofErr w:type="spellStart"/>
      <w:r w:rsidRPr="001B41CB">
        <w:rPr>
          <w:i/>
          <w:iCs/>
          <w:lang w:val="fr-FR"/>
        </w:rPr>
        <w:t>cepa</w:t>
      </w:r>
      <w:proofErr w:type="spellEnd"/>
      <w:r w:rsidRPr="001B41CB">
        <w:rPr>
          <w:i/>
          <w:iCs/>
          <w:lang w:val="fr-FR"/>
        </w:rPr>
        <w:t xml:space="preserve"> </w:t>
      </w:r>
      <w:r w:rsidRPr="001B41CB">
        <w:rPr>
          <w:lang w:val="fr-FR"/>
        </w:rPr>
        <w:t xml:space="preserve">L. « SK20 » : voir les documents </w:t>
      </w:r>
      <w:r w:rsidR="001E6406" w:rsidRPr="001B41CB">
        <w:rPr>
          <w:lang w:val="fr-FR"/>
        </w:rPr>
        <w:t>TWO/57/10 « Compte rendu », paragraphes 16 et 17 ; TWV/59/19 « Compte rendu », paragraphes 10 à 12 ; et TWF/56/7 « Compte rendu », paragraphes 8 à 10</w:t>
      </w:r>
    </w:p>
  </w:footnote>
  <w:footnote w:id="11">
    <w:p w14:paraId="373DF61C" w14:textId="150B72AD" w:rsidR="003B4826" w:rsidRPr="001B41CB" w:rsidRDefault="003B4826">
      <w:pPr>
        <w:pStyle w:val="FootnoteText"/>
        <w:rPr>
          <w:lang w:val="fr-FR"/>
        </w:rPr>
      </w:pPr>
      <w:r>
        <w:rPr>
          <w:rStyle w:val="FootnoteReference"/>
        </w:rPr>
        <w:footnoteRef/>
      </w:r>
      <w:r w:rsidRPr="001B41CB">
        <w:rPr>
          <w:lang w:val="fr-FR"/>
        </w:rPr>
        <w:t xml:space="preserve"> Voir le document TWO/57/10 « Compte rendu », paragraphes 30 à 33</w:t>
      </w:r>
    </w:p>
  </w:footnote>
  <w:footnote w:id="12">
    <w:p w14:paraId="68C1A62F" w14:textId="42302418" w:rsidR="00693F23" w:rsidRPr="001B41CB" w:rsidRDefault="00693F23">
      <w:pPr>
        <w:pStyle w:val="FootnoteText"/>
        <w:rPr>
          <w:lang w:val="fr-FR"/>
        </w:rPr>
      </w:pPr>
      <w:r>
        <w:rPr>
          <w:rStyle w:val="FootnoteReference"/>
        </w:rPr>
        <w:footnoteRef/>
      </w:r>
      <w:r w:rsidRPr="001B41CB">
        <w:rPr>
          <w:lang w:val="fr-FR"/>
        </w:rPr>
        <w:t xml:space="preserve"> TWM, troisième session, voir document TWM/3/29 « Compte rendu », paragraphes 8 et 9</w:t>
      </w:r>
    </w:p>
  </w:footnote>
  <w:footnote w:id="13">
    <w:p w14:paraId="0B5F19F7" w14:textId="42A0A130" w:rsidR="00693F23" w:rsidRPr="001B41CB" w:rsidRDefault="00693F23">
      <w:pPr>
        <w:pStyle w:val="FootnoteText"/>
        <w:rPr>
          <w:lang w:val="fr-FR"/>
        </w:rPr>
      </w:pPr>
      <w:r>
        <w:rPr>
          <w:rStyle w:val="FootnoteReference"/>
        </w:rPr>
        <w:footnoteRef/>
      </w:r>
      <w:r w:rsidRPr="001B41CB">
        <w:rPr>
          <w:lang w:val="fr-FR"/>
        </w:rPr>
        <w:t xml:space="preserve"> TWM, troisième session, voir document TWM/3/29 « Compte rendu », paragraphes 10 et 11</w:t>
      </w:r>
    </w:p>
  </w:footnote>
  <w:footnote w:id="14">
    <w:p w14:paraId="70A0E19A" w14:textId="4B7721AF" w:rsidR="00693F23" w:rsidRPr="001B41CB" w:rsidRDefault="00693F23">
      <w:pPr>
        <w:pStyle w:val="FootnoteText"/>
        <w:rPr>
          <w:lang w:val="fr-FR"/>
        </w:rPr>
      </w:pPr>
      <w:r>
        <w:rPr>
          <w:rStyle w:val="FootnoteReference"/>
        </w:rPr>
        <w:footnoteRef/>
      </w:r>
      <w:r w:rsidRPr="001B41CB">
        <w:rPr>
          <w:lang w:val="fr-FR"/>
        </w:rPr>
        <w:t xml:space="preserve"> TWM, troisième session, voir document TWM/3/29 « Compte rendu », paragraphes 12 et 13</w:t>
      </w:r>
    </w:p>
  </w:footnote>
  <w:footnote w:id="15">
    <w:p w14:paraId="18EC79D6" w14:textId="70F0238A" w:rsidR="00693F23" w:rsidRPr="001B41CB" w:rsidRDefault="00693F23">
      <w:pPr>
        <w:pStyle w:val="FootnoteText"/>
        <w:rPr>
          <w:lang w:val="fr-FR"/>
        </w:rPr>
      </w:pPr>
      <w:r>
        <w:rPr>
          <w:rStyle w:val="FootnoteReference"/>
        </w:rPr>
        <w:footnoteRef/>
      </w:r>
      <w:r w:rsidRPr="001B41CB">
        <w:rPr>
          <w:lang w:val="fr-FR"/>
        </w:rPr>
        <w:t xml:space="preserve"> TWM, troisième session, voir document TWM/3/29 « Compte rendu », paragraphes 14 et 15</w:t>
      </w:r>
    </w:p>
  </w:footnote>
  <w:footnote w:id="16">
    <w:p w14:paraId="08BD6F4E" w14:textId="09884126" w:rsidR="00693F23" w:rsidRPr="001B41CB" w:rsidRDefault="00693F23">
      <w:pPr>
        <w:pStyle w:val="FootnoteText"/>
        <w:rPr>
          <w:lang w:val="fr-FR"/>
        </w:rPr>
      </w:pPr>
      <w:r>
        <w:rPr>
          <w:rStyle w:val="FootnoteReference"/>
        </w:rPr>
        <w:footnoteRef/>
      </w:r>
      <w:r w:rsidRPr="001B41CB">
        <w:rPr>
          <w:lang w:val="fr-FR"/>
        </w:rPr>
        <w:t xml:space="preserve"> TWM, troisième session, voir document TWM/3/29 « Compte rendu », paragraphes 16 et 17</w:t>
      </w:r>
    </w:p>
  </w:footnote>
  <w:footnote w:id="17">
    <w:p w14:paraId="6DDE9305" w14:textId="4EBB3429" w:rsidR="00B270F3" w:rsidRPr="001B41CB" w:rsidRDefault="00B270F3">
      <w:pPr>
        <w:pStyle w:val="FootnoteText"/>
        <w:rPr>
          <w:lang w:val="fr-FR"/>
        </w:rPr>
      </w:pPr>
      <w:r>
        <w:rPr>
          <w:rStyle w:val="FootnoteReference"/>
        </w:rPr>
        <w:footnoteRef/>
      </w:r>
      <w:r w:rsidRPr="001B41CB">
        <w:rPr>
          <w:lang w:val="fr-FR"/>
        </w:rPr>
        <w:t xml:space="preserve"> TWF, cinquante-sixième session, voir document TWF/56/7 « Compte rendu », paragraphes 20 à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0FAE" w14:textId="1E6CD5DC" w:rsidR="0004198B" w:rsidRPr="00C5280D" w:rsidRDefault="00C80836" w:rsidP="00EB048E">
    <w:pPr>
      <w:pStyle w:val="Header"/>
      <w:rPr>
        <w:rStyle w:val="PageNumber"/>
        <w:lang w:val="en-US"/>
      </w:rPr>
    </w:pPr>
    <w:r>
      <w:rPr>
        <w:rStyle w:val="PageNumber"/>
        <w:lang w:val="en-US"/>
      </w:rPr>
      <w:t>TC/61/3</w:t>
    </w:r>
  </w:p>
  <w:p w14:paraId="2659679F"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245ED">
      <w:rPr>
        <w:rStyle w:val="PageNumber"/>
        <w:noProof/>
        <w:lang w:val="en-US"/>
      </w:rPr>
      <w:t>2</w:t>
    </w:r>
    <w:r w:rsidRPr="00C5280D">
      <w:rPr>
        <w:rStyle w:val="PageNumber"/>
        <w:lang w:val="en-US"/>
      </w:rPr>
      <w:fldChar w:fldCharType="end"/>
    </w:r>
  </w:p>
  <w:p w14:paraId="4EE8F755"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E854" w14:textId="77777777" w:rsidR="0004198B" w:rsidRPr="0004198B" w:rsidRDefault="0004198B"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E2E4B"/>
    <w:multiLevelType w:val="hybridMultilevel"/>
    <w:tmpl w:val="574A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C4B7A"/>
    <w:multiLevelType w:val="hybridMultilevel"/>
    <w:tmpl w:val="FC94616E"/>
    <w:lvl w:ilvl="0" w:tplc="CC94EB5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B4B56"/>
    <w:multiLevelType w:val="hybridMultilevel"/>
    <w:tmpl w:val="4F8C24BC"/>
    <w:lvl w:ilvl="0" w:tplc="64F0AAC8">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4" w15:restartNumberingAfterBreak="0">
    <w:nsid w:val="61E264F1"/>
    <w:multiLevelType w:val="hybridMultilevel"/>
    <w:tmpl w:val="5C86174C"/>
    <w:lvl w:ilvl="0" w:tplc="75AA9FE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008266">
    <w:abstractNumId w:val="3"/>
  </w:num>
  <w:num w:numId="2" w16cid:durableId="1701930538">
    <w:abstractNumId w:val="0"/>
  </w:num>
  <w:num w:numId="3" w16cid:durableId="381710990">
    <w:abstractNumId w:val="4"/>
  </w:num>
  <w:num w:numId="4" w16cid:durableId="1812792951">
    <w:abstractNumId w:val="2"/>
  </w:num>
  <w:num w:numId="5" w16cid:durableId="77721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16"/>
    <w:rsid w:val="00010CF3"/>
    <w:rsid w:val="00011E27"/>
    <w:rsid w:val="000148BC"/>
    <w:rsid w:val="00024AB8"/>
    <w:rsid w:val="00030854"/>
    <w:rsid w:val="00036028"/>
    <w:rsid w:val="0004198B"/>
    <w:rsid w:val="00044642"/>
    <w:rsid w:val="000446B9"/>
    <w:rsid w:val="00047E21"/>
    <w:rsid w:val="00050E16"/>
    <w:rsid w:val="00085505"/>
    <w:rsid w:val="00092C1C"/>
    <w:rsid w:val="000C4E25"/>
    <w:rsid w:val="000C7021"/>
    <w:rsid w:val="000D6BBC"/>
    <w:rsid w:val="000D7780"/>
    <w:rsid w:val="000E636A"/>
    <w:rsid w:val="000F1412"/>
    <w:rsid w:val="000F2F11"/>
    <w:rsid w:val="00100A5F"/>
    <w:rsid w:val="00105929"/>
    <w:rsid w:val="00110BED"/>
    <w:rsid w:val="00110C36"/>
    <w:rsid w:val="001131D5"/>
    <w:rsid w:val="00114547"/>
    <w:rsid w:val="00141DB8"/>
    <w:rsid w:val="00163DB6"/>
    <w:rsid w:val="00164E4A"/>
    <w:rsid w:val="00172084"/>
    <w:rsid w:val="0017474A"/>
    <w:rsid w:val="001758C6"/>
    <w:rsid w:val="0018066F"/>
    <w:rsid w:val="00182B99"/>
    <w:rsid w:val="001B41CB"/>
    <w:rsid w:val="001B6C83"/>
    <w:rsid w:val="001C1525"/>
    <w:rsid w:val="001E6406"/>
    <w:rsid w:val="00204782"/>
    <w:rsid w:val="0021332C"/>
    <w:rsid w:val="00213982"/>
    <w:rsid w:val="0023752D"/>
    <w:rsid w:val="0024416D"/>
    <w:rsid w:val="00247B0E"/>
    <w:rsid w:val="00271911"/>
    <w:rsid w:val="00273187"/>
    <w:rsid w:val="002800A0"/>
    <w:rsid w:val="002801B3"/>
    <w:rsid w:val="00281060"/>
    <w:rsid w:val="00284050"/>
    <w:rsid w:val="00285BD0"/>
    <w:rsid w:val="002940E8"/>
    <w:rsid w:val="00294751"/>
    <w:rsid w:val="002A6E50"/>
    <w:rsid w:val="002B4298"/>
    <w:rsid w:val="002B7A36"/>
    <w:rsid w:val="002C256A"/>
    <w:rsid w:val="002D5226"/>
    <w:rsid w:val="00302A22"/>
    <w:rsid w:val="00305A7F"/>
    <w:rsid w:val="003152FE"/>
    <w:rsid w:val="00327436"/>
    <w:rsid w:val="003328E1"/>
    <w:rsid w:val="00344BD6"/>
    <w:rsid w:val="0035528D"/>
    <w:rsid w:val="003602B2"/>
    <w:rsid w:val="00361821"/>
    <w:rsid w:val="00361E9E"/>
    <w:rsid w:val="00364964"/>
    <w:rsid w:val="00365B2A"/>
    <w:rsid w:val="003753EE"/>
    <w:rsid w:val="00387426"/>
    <w:rsid w:val="00397554"/>
    <w:rsid w:val="003A0835"/>
    <w:rsid w:val="003A5AAF"/>
    <w:rsid w:val="003B4826"/>
    <w:rsid w:val="003B700A"/>
    <w:rsid w:val="003C7FBE"/>
    <w:rsid w:val="003D0839"/>
    <w:rsid w:val="003D227C"/>
    <w:rsid w:val="003D2B4D"/>
    <w:rsid w:val="003F37F5"/>
    <w:rsid w:val="00421043"/>
    <w:rsid w:val="00421571"/>
    <w:rsid w:val="004300F4"/>
    <w:rsid w:val="00444A88"/>
    <w:rsid w:val="00445B73"/>
    <w:rsid w:val="004675E5"/>
    <w:rsid w:val="00474A16"/>
    <w:rsid w:val="00474DA4"/>
    <w:rsid w:val="00476B4D"/>
    <w:rsid w:val="004805FA"/>
    <w:rsid w:val="004915BA"/>
    <w:rsid w:val="004935D2"/>
    <w:rsid w:val="004A4BD7"/>
    <w:rsid w:val="004B1215"/>
    <w:rsid w:val="004D047D"/>
    <w:rsid w:val="004D4458"/>
    <w:rsid w:val="004F1E9E"/>
    <w:rsid w:val="004F305A"/>
    <w:rsid w:val="00512164"/>
    <w:rsid w:val="00520297"/>
    <w:rsid w:val="005338F9"/>
    <w:rsid w:val="0054281C"/>
    <w:rsid w:val="00544581"/>
    <w:rsid w:val="0055268D"/>
    <w:rsid w:val="00563347"/>
    <w:rsid w:val="005639BE"/>
    <w:rsid w:val="00575DE2"/>
    <w:rsid w:val="00576BE4"/>
    <w:rsid w:val="005779DB"/>
    <w:rsid w:val="005848DE"/>
    <w:rsid w:val="005A2A67"/>
    <w:rsid w:val="005A400A"/>
    <w:rsid w:val="005B269D"/>
    <w:rsid w:val="005E7A67"/>
    <w:rsid w:val="005F7B92"/>
    <w:rsid w:val="00612379"/>
    <w:rsid w:val="006153B6"/>
    <w:rsid w:val="0061555F"/>
    <w:rsid w:val="0062210A"/>
    <w:rsid w:val="006245ED"/>
    <w:rsid w:val="00636CA6"/>
    <w:rsid w:val="00641200"/>
    <w:rsid w:val="00642D69"/>
    <w:rsid w:val="00645CA8"/>
    <w:rsid w:val="006655D3"/>
    <w:rsid w:val="00667404"/>
    <w:rsid w:val="00687EB4"/>
    <w:rsid w:val="00693F23"/>
    <w:rsid w:val="00694058"/>
    <w:rsid w:val="00695C56"/>
    <w:rsid w:val="006A5CDE"/>
    <w:rsid w:val="006A644A"/>
    <w:rsid w:val="006B17D2"/>
    <w:rsid w:val="006B68C2"/>
    <w:rsid w:val="006C224E"/>
    <w:rsid w:val="006D780A"/>
    <w:rsid w:val="006F0A99"/>
    <w:rsid w:val="0071271E"/>
    <w:rsid w:val="00732DEC"/>
    <w:rsid w:val="00735BD5"/>
    <w:rsid w:val="007451EC"/>
    <w:rsid w:val="00751613"/>
    <w:rsid w:val="00753EE9"/>
    <w:rsid w:val="007556F6"/>
    <w:rsid w:val="00760EEF"/>
    <w:rsid w:val="00764C5C"/>
    <w:rsid w:val="00777EE5"/>
    <w:rsid w:val="00784836"/>
    <w:rsid w:val="0079023E"/>
    <w:rsid w:val="007A2854"/>
    <w:rsid w:val="007C1D92"/>
    <w:rsid w:val="007C4CB9"/>
    <w:rsid w:val="007D0B9D"/>
    <w:rsid w:val="007D19B0"/>
    <w:rsid w:val="007F498F"/>
    <w:rsid w:val="0080679D"/>
    <w:rsid w:val="008108B0"/>
    <w:rsid w:val="00811B20"/>
    <w:rsid w:val="00812609"/>
    <w:rsid w:val="008211B5"/>
    <w:rsid w:val="0082202C"/>
    <w:rsid w:val="0082296E"/>
    <w:rsid w:val="00824099"/>
    <w:rsid w:val="00846D7C"/>
    <w:rsid w:val="00852529"/>
    <w:rsid w:val="00854B12"/>
    <w:rsid w:val="00867AC1"/>
    <w:rsid w:val="008751DE"/>
    <w:rsid w:val="008872DC"/>
    <w:rsid w:val="00890DF8"/>
    <w:rsid w:val="008A0ADE"/>
    <w:rsid w:val="008A743F"/>
    <w:rsid w:val="008C0970"/>
    <w:rsid w:val="008D0BC5"/>
    <w:rsid w:val="008D2CF7"/>
    <w:rsid w:val="00900C26"/>
    <w:rsid w:val="0090197F"/>
    <w:rsid w:val="00902190"/>
    <w:rsid w:val="00903264"/>
    <w:rsid w:val="00905B44"/>
    <w:rsid w:val="00906DDC"/>
    <w:rsid w:val="00934E09"/>
    <w:rsid w:val="009357CF"/>
    <w:rsid w:val="00936253"/>
    <w:rsid w:val="00940D46"/>
    <w:rsid w:val="009413F1"/>
    <w:rsid w:val="00952DD4"/>
    <w:rsid w:val="009561F4"/>
    <w:rsid w:val="00965AE7"/>
    <w:rsid w:val="00970FED"/>
    <w:rsid w:val="00985E41"/>
    <w:rsid w:val="00992D82"/>
    <w:rsid w:val="00997029"/>
    <w:rsid w:val="009A7339"/>
    <w:rsid w:val="009B440E"/>
    <w:rsid w:val="009C0E22"/>
    <w:rsid w:val="009D690D"/>
    <w:rsid w:val="009E65B6"/>
    <w:rsid w:val="009F0A51"/>
    <w:rsid w:val="009F0B7F"/>
    <w:rsid w:val="009F77CF"/>
    <w:rsid w:val="00A12795"/>
    <w:rsid w:val="00A24C10"/>
    <w:rsid w:val="00A42AC3"/>
    <w:rsid w:val="00A430CF"/>
    <w:rsid w:val="00A44D2D"/>
    <w:rsid w:val="00A54309"/>
    <w:rsid w:val="00A55168"/>
    <w:rsid w:val="00A610A9"/>
    <w:rsid w:val="00A63DB9"/>
    <w:rsid w:val="00A766EF"/>
    <w:rsid w:val="00A80F2A"/>
    <w:rsid w:val="00A92701"/>
    <w:rsid w:val="00A96C33"/>
    <w:rsid w:val="00AA2342"/>
    <w:rsid w:val="00AA35F9"/>
    <w:rsid w:val="00AB2B93"/>
    <w:rsid w:val="00AB530F"/>
    <w:rsid w:val="00AB7E5B"/>
    <w:rsid w:val="00AC0937"/>
    <w:rsid w:val="00AC2883"/>
    <w:rsid w:val="00AE0EF1"/>
    <w:rsid w:val="00AE2937"/>
    <w:rsid w:val="00AE4EE7"/>
    <w:rsid w:val="00AF09FC"/>
    <w:rsid w:val="00B07301"/>
    <w:rsid w:val="00B11F3E"/>
    <w:rsid w:val="00B224DE"/>
    <w:rsid w:val="00B270F3"/>
    <w:rsid w:val="00B324D4"/>
    <w:rsid w:val="00B46575"/>
    <w:rsid w:val="00B57D2B"/>
    <w:rsid w:val="00B61777"/>
    <w:rsid w:val="00B622E6"/>
    <w:rsid w:val="00B83E82"/>
    <w:rsid w:val="00B84BBD"/>
    <w:rsid w:val="00BA43FB"/>
    <w:rsid w:val="00BA470A"/>
    <w:rsid w:val="00BC127D"/>
    <w:rsid w:val="00BC1FE6"/>
    <w:rsid w:val="00C061B6"/>
    <w:rsid w:val="00C16B87"/>
    <w:rsid w:val="00C1785B"/>
    <w:rsid w:val="00C2446C"/>
    <w:rsid w:val="00C36AE5"/>
    <w:rsid w:val="00C41F17"/>
    <w:rsid w:val="00C527FA"/>
    <w:rsid w:val="00C5280D"/>
    <w:rsid w:val="00C53EB3"/>
    <w:rsid w:val="00C5791C"/>
    <w:rsid w:val="00C66290"/>
    <w:rsid w:val="00C72B7A"/>
    <w:rsid w:val="00C75A58"/>
    <w:rsid w:val="00C80836"/>
    <w:rsid w:val="00C973F2"/>
    <w:rsid w:val="00CA304C"/>
    <w:rsid w:val="00CA774A"/>
    <w:rsid w:val="00CB4921"/>
    <w:rsid w:val="00CC11B0"/>
    <w:rsid w:val="00CC2841"/>
    <w:rsid w:val="00CF1330"/>
    <w:rsid w:val="00CF497D"/>
    <w:rsid w:val="00CF7E36"/>
    <w:rsid w:val="00D30834"/>
    <w:rsid w:val="00D3708D"/>
    <w:rsid w:val="00D40426"/>
    <w:rsid w:val="00D50DFB"/>
    <w:rsid w:val="00D57C96"/>
    <w:rsid w:val="00D57D18"/>
    <w:rsid w:val="00D70E65"/>
    <w:rsid w:val="00D90661"/>
    <w:rsid w:val="00D91203"/>
    <w:rsid w:val="00D95174"/>
    <w:rsid w:val="00D97966"/>
    <w:rsid w:val="00DA4973"/>
    <w:rsid w:val="00DA6F36"/>
    <w:rsid w:val="00DA7979"/>
    <w:rsid w:val="00DB46F4"/>
    <w:rsid w:val="00DB596E"/>
    <w:rsid w:val="00DB7773"/>
    <w:rsid w:val="00DC00EA"/>
    <w:rsid w:val="00DC3802"/>
    <w:rsid w:val="00DD3255"/>
    <w:rsid w:val="00DD3EDF"/>
    <w:rsid w:val="00DD6208"/>
    <w:rsid w:val="00DF7E99"/>
    <w:rsid w:val="00E07D87"/>
    <w:rsid w:val="00E249C8"/>
    <w:rsid w:val="00E32F7E"/>
    <w:rsid w:val="00E33353"/>
    <w:rsid w:val="00E5267B"/>
    <w:rsid w:val="00E559F0"/>
    <w:rsid w:val="00E566A0"/>
    <w:rsid w:val="00E63C0E"/>
    <w:rsid w:val="00E72D49"/>
    <w:rsid w:val="00E7593C"/>
    <w:rsid w:val="00E7678A"/>
    <w:rsid w:val="00E81BE2"/>
    <w:rsid w:val="00E84163"/>
    <w:rsid w:val="00E935F1"/>
    <w:rsid w:val="00E94A81"/>
    <w:rsid w:val="00EA1FFB"/>
    <w:rsid w:val="00EA28EE"/>
    <w:rsid w:val="00EB048E"/>
    <w:rsid w:val="00EB0819"/>
    <w:rsid w:val="00EB4E9C"/>
    <w:rsid w:val="00EB7080"/>
    <w:rsid w:val="00EC634B"/>
    <w:rsid w:val="00EE34DF"/>
    <w:rsid w:val="00EF2F89"/>
    <w:rsid w:val="00F03E98"/>
    <w:rsid w:val="00F1237A"/>
    <w:rsid w:val="00F21482"/>
    <w:rsid w:val="00F22CBD"/>
    <w:rsid w:val="00F272F1"/>
    <w:rsid w:val="00F31412"/>
    <w:rsid w:val="00F45372"/>
    <w:rsid w:val="00F54661"/>
    <w:rsid w:val="00F560F7"/>
    <w:rsid w:val="00F6334D"/>
    <w:rsid w:val="00F63599"/>
    <w:rsid w:val="00F70CD4"/>
    <w:rsid w:val="00F71781"/>
    <w:rsid w:val="00F96C11"/>
    <w:rsid w:val="00FA49AB"/>
    <w:rsid w:val="00FC0F25"/>
    <w:rsid w:val="00FC5FD0"/>
    <w:rsid w:val="00FE39C7"/>
    <w:rsid w:val="00FF4D07"/>
    <w:rsid w:val="00FF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09F0B"/>
  <w15:docId w15:val="{23DE11C2-5ECE-41B2-B5C7-4236A0FE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365B2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rsid w:val="00365B2A"/>
    <w:pPr>
      <w:tabs>
        <w:tab w:val="right" w:leader="dot" w:pos="9639"/>
      </w:tabs>
      <w:ind w:left="568" w:right="851" w:hanging="284"/>
      <w:contextualSpacing/>
      <w:jc w:val="left"/>
    </w:pPr>
    <w:rPr>
      <w:sz w:val="18"/>
    </w:rPr>
  </w:style>
  <w:style w:type="paragraph" w:styleId="TOC3">
    <w:name w:val="toc 3"/>
    <w:next w:val="Normal"/>
    <w:autoRedefine/>
    <w:uiPriority w:val="39"/>
    <w:rsid w:val="00365B2A"/>
    <w:pPr>
      <w:tabs>
        <w:tab w:val="right" w:leader="dot" w:pos="9639"/>
      </w:tabs>
      <w:spacing w:after="60"/>
      <w:ind w:left="851" w:right="1418" w:hanging="284"/>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365B2A"/>
    <w:pPr>
      <w:tabs>
        <w:tab w:val="right" w:leader="dot" w:pos="9639"/>
      </w:tabs>
      <w:spacing w:before="60"/>
      <w:ind w:right="1418"/>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365B2A"/>
    <w:rPr>
      <w:rFonts w:ascii="Arial" w:hAnsi="Arial"/>
      <w:u w:val="single"/>
    </w:rPr>
  </w:style>
  <w:style w:type="character" w:customStyle="1" w:styleId="Heading3Char">
    <w:name w:val="Heading 3 Char"/>
    <w:basedOn w:val="DefaultParagraphFont"/>
    <w:link w:val="Heading3"/>
    <w:rsid w:val="00302A22"/>
    <w:rPr>
      <w:rFonts w:ascii="Arial" w:hAnsi="Arial"/>
      <w:i/>
    </w:rPr>
  </w:style>
  <w:style w:type="character" w:customStyle="1" w:styleId="Heading1Char">
    <w:name w:val="Heading 1 Char"/>
    <w:basedOn w:val="DefaultParagraphFont"/>
    <w:link w:val="Heading1"/>
    <w:rsid w:val="00302A22"/>
    <w:rPr>
      <w:rFonts w:ascii="Arial" w:hAnsi="Arial"/>
      <w:caps/>
    </w:rPr>
  </w:style>
  <w:style w:type="paragraph" w:styleId="ListParagraph">
    <w:name w:val="List Paragraph"/>
    <w:aliases w:val="auto_list_(i),List Paragraph1"/>
    <w:basedOn w:val="Normal"/>
    <w:link w:val="ListParagraphChar"/>
    <w:uiPriority w:val="34"/>
    <w:qFormat/>
    <w:rsid w:val="006F0A99"/>
    <w:pPr>
      <w:ind w:left="720"/>
      <w:contextualSpacing/>
    </w:pPr>
    <w:rPr>
      <w:rFonts w:eastAsiaTheme="minorEastAsia"/>
    </w:rPr>
  </w:style>
  <w:style w:type="character" w:customStyle="1" w:styleId="ListParagraphChar">
    <w:name w:val="List Paragraph Char"/>
    <w:aliases w:val="auto_list_(i) Char,List Paragraph1 Char"/>
    <w:basedOn w:val="DefaultParagraphFont"/>
    <w:link w:val="ListParagraph"/>
    <w:uiPriority w:val="34"/>
    <w:locked/>
    <w:rsid w:val="006F0A99"/>
    <w:rPr>
      <w:rFonts w:ascii="Arial" w:eastAsiaTheme="minorEastAsia" w:hAnsi="Arial"/>
    </w:rPr>
  </w:style>
  <w:style w:type="character" w:customStyle="1" w:styleId="FootnoteTextChar">
    <w:name w:val="Footnote Text Char"/>
    <w:basedOn w:val="DefaultParagraphFont"/>
    <w:link w:val="FootnoteText"/>
    <w:rsid w:val="00F21482"/>
    <w:rPr>
      <w:rFonts w:ascii="Arial" w:hAnsi="Arial"/>
      <w:sz w:val="16"/>
    </w:rPr>
  </w:style>
  <w:style w:type="character" w:styleId="UnresolvedMention">
    <w:name w:val="Unresolved Mention"/>
    <w:basedOn w:val="DefaultParagraphFont"/>
    <w:uiPriority w:val="99"/>
    <w:semiHidden/>
    <w:unhideWhenUsed/>
    <w:rsid w:val="00364964"/>
    <w:rPr>
      <w:color w:val="605E5C"/>
      <w:shd w:val="clear" w:color="auto" w:fill="E1DFDD"/>
    </w:rPr>
  </w:style>
  <w:style w:type="character" w:styleId="FollowedHyperlink">
    <w:name w:val="FollowedHyperlink"/>
    <w:basedOn w:val="DefaultParagraphFont"/>
    <w:semiHidden/>
    <w:unhideWhenUsed/>
    <w:rsid w:val="00364964"/>
    <w:rPr>
      <w:color w:val="800080" w:themeColor="followedHyperlink"/>
      <w:u w:val="single"/>
    </w:rPr>
  </w:style>
  <w:style w:type="character" w:styleId="CommentReference">
    <w:name w:val="annotation reference"/>
    <w:basedOn w:val="DefaultParagraphFont"/>
    <w:semiHidden/>
    <w:unhideWhenUsed/>
    <w:rsid w:val="00FC0F25"/>
    <w:rPr>
      <w:sz w:val="16"/>
      <w:szCs w:val="16"/>
    </w:rPr>
  </w:style>
  <w:style w:type="paragraph" w:styleId="CommentText">
    <w:name w:val="annotation text"/>
    <w:basedOn w:val="Normal"/>
    <w:link w:val="CommentTextChar"/>
    <w:unhideWhenUsed/>
    <w:rsid w:val="00FC0F25"/>
  </w:style>
  <w:style w:type="character" w:customStyle="1" w:styleId="CommentTextChar">
    <w:name w:val="Comment Text Char"/>
    <w:basedOn w:val="DefaultParagraphFont"/>
    <w:link w:val="CommentText"/>
    <w:rsid w:val="00FC0F25"/>
    <w:rPr>
      <w:rFonts w:ascii="Arial" w:hAnsi="Arial"/>
    </w:rPr>
  </w:style>
  <w:style w:type="paragraph" w:styleId="CommentSubject">
    <w:name w:val="annotation subject"/>
    <w:basedOn w:val="CommentText"/>
    <w:next w:val="CommentText"/>
    <w:link w:val="CommentSubjectChar"/>
    <w:semiHidden/>
    <w:unhideWhenUsed/>
    <w:rsid w:val="00D90661"/>
    <w:rPr>
      <w:b/>
      <w:bCs/>
    </w:rPr>
  </w:style>
  <w:style w:type="character" w:customStyle="1" w:styleId="CommentSubjectChar">
    <w:name w:val="Comment Subject Char"/>
    <w:basedOn w:val="CommentTextChar"/>
    <w:link w:val="CommentSubject"/>
    <w:semiHidden/>
    <w:rsid w:val="00D9066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16497">
      <w:bodyDiv w:val="1"/>
      <w:marLeft w:val="0"/>
      <w:marRight w:val="0"/>
      <w:marTop w:val="0"/>
      <w:marBottom w:val="0"/>
      <w:divBdr>
        <w:top w:val="none" w:sz="0" w:space="0" w:color="auto"/>
        <w:left w:val="none" w:sz="0" w:space="0" w:color="auto"/>
        <w:bottom w:val="none" w:sz="0" w:space="0" w:color="auto"/>
        <w:right w:val="none" w:sz="0" w:space="0" w:color="auto"/>
      </w:divBdr>
    </w:div>
    <w:div w:id="1456174827">
      <w:bodyDiv w:val="1"/>
      <w:marLeft w:val="0"/>
      <w:marRight w:val="0"/>
      <w:marTop w:val="0"/>
      <w:marBottom w:val="0"/>
      <w:divBdr>
        <w:top w:val="none" w:sz="0" w:space="0" w:color="auto"/>
        <w:left w:val="none" w:sz="0" w:space="0" w:color="auto"/>
        <w:bottom w:val="none" w:sz="0" w:space="0" w:color="auto"/>
        <w:right w:val="none" w:sz="0" w:space="0" w:color="auto"/>
      </w:divBdr>
    </w:div>
    <w:div w:id="166613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edocs/mdocs/upov/en/twv_59/twv_59_9.pdf" TargetMode="External"/><Relationship Id="rId18" Type="http://schemas.openxmlformats.org/officeDocument/2006/relationships/hyperlink" Target="https://www.upov.int/edocs/mdocs/upov/en/twm_3/twm_3_19.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upov.int/edocs/mdocs/upov/en/twm_3/twm_3_13.pdf" TargetMode="External"/><Relationship Id="rId7" Type="http://schemas.openxmlformats.org/officeDocument/2006/relationships/endnotes" Target="endnotes.xml"/><Relationship Id="rId12" Type="http://schemas.openxmlformats.org/officeDocument/2006/relationships/hyperlink" Target="https://www.upov.int/edocs/mdocs/upov/en/twv_59/twv_59_12.pdf" TargetMode="External"/><Relationship Id="rId17" Type="http://schemas.openxmlformats.org/officeDocument/2006/relationships/hyperlink" Target="https://www.upov.int/edocs/mdocs/upov/en/twf_56/twf_56_4.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pov.int/edocs/mdocs/upov/en/twv_59/twv_59_8.pdf" TargetMode="External"/><Relationship Id="rId20" Type="http://schemas.openxmlformats.org/officeDocument/2006/relationships/hyperlink" Target="https://www.upov.int/edocs/mdocs/upov/en/twm_3/twm_3_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twv_58/twv_58_6.pdf" TargetMode="External"/><Relationship Id="rId24" Type="http://schemas.openxmlformats.org/officeDocument/2006/relationships/hyperlink" Target="http://sort.sops.gov.ua/search/search" TargetMode="External"/><Relationship Id="rId5" Type="http://schemas.openxmlformats.org/officeDocument/2006/relationships/webSettings" Target="webSettings.xml"/><Relationship Id="rId15" Type="http://schemas.openxmlformats.org/officeDocument/2006/relationships/hyperlink" Target="https://www.upov.int/edocs/mdocs/upov/en/two_57/two_57_4.pdf" TargetMode="External"/><Relationship Id="rId23" Type="http://schemas.openxmlformats.org/officeDocument/2006/relationships/hyperlink" Target="https://www.upov.int/edocs/mdocs/upov/en/twf_56/twf_56_5.pdf" TargetMode="External"/><Relationship Id="rId28" Type="http://schemas.openxmlformats.org/officeDocument/2006/relationships/theme" Target="theme/theme1.xml"/><Relationship Id="rId10" Type="http://schemas.openxmlformats.org/officeDocument/2006/relationships/hyperlink" Target="https://www.upov.int/edocs/mdocs/upov/en/twv_59/twv_59_11.pdf" TargetMode="External"/><Relationship Id="rId19" Type="http://schemas.openxmlformats.org/officeDocument/2006/relationships/hyperlink" Target="https://www.upov.int/edocs/mdocs/upov/en/twm_3/twm_3_12.pdf" TargetMode="External"/><Relationship Id="rId4" Type="http://schemas.openxmlformats.org/officeDocument/2006/relationships/settings" Target="settings.xml"/><Relationship Id="rId9" Type="http://schemas.openxmlformats.org/officeDocument/2006/relationships/hyperlink" Target="https://www.upov.int/edocs/mdocs/upov/en/twv_59/twv_59_10.pdf" TargetMode="External"/><Relationship Id="rId14" Type="http://schemas.openxmlformats.org/officeDocument/2006/relationships/hyperlink" Target="https://www.upov.int/edocs/mdocs/upov/en/twa_54/twa_54_3.pdf" TargetMode="External"/><Relationship Id="rId22" Type="http://schemas.openxmlformats.org/officeDocument/2006/relationships/hyperlink" Target="https://www.upov.int/edocs/mdocs/upov/en/twm_3/twm_3_14.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routing_slip_with_doc_tc_6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2F6E-CF08-49CD-A37A-11446C2B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routing_slip_with_doc_tc_61</Template>
  <TotalTime>16</TotalTime>
  <Pages>7</Pages>
  <Words>3816</Words>
  <Characters>23048</Characters>
  <Application>Microsoft Office Word</Application>
  <DocSecurity>0</DocSecurity>
  <Lines>490</Lines>
  <Paragraphs>200</Paragraphs>
  <ScaleCrop>false</ScaleCrop>
  <HeadingPairs>
    <vt:vector size="2" baseType="variant">
      <vt:variant>
        <vt:lpstr>Title</vt:lpstr>
      </vt:variant>
      <vt:variant>
        <vt:i4>1</vt:i4>
      </vt:variant>
    </vt:vector>
  </HeadingPairs>
  <TitlesOfParts>
    <vt:vector size="1" baseType="lpstr">
      <vt:lpstr>TC/60</vt:lpstr>
    </vt:vector>
  </TitlesOfParts>
  <Company>UPOV</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TC/61/3</dc:title>
  <dc:creator>MAY Jessica</dc:creator>
  <cp:keywords>, docId:455732C08A79B96E2021FAA863C879D0</cp:keywords>
  <cp:lastModifiedBy>MAY Jessica</cp:lastModifiedBy>
  <cp:revision>15</cp:revision>
  <cp:lastPrinted>2016-11-22T15:41:00Z</cp:lastPrinted>
  <dcterms:created xsi:type="dcterms:W3CDTF">2025-09-15T09:42:00Z</dcterms:created>
  <dcterms:modified xsi:type="dcterms:W3CDTF">2025-09-23T07:50:00Z</dcterms:modified>
</cp:coreProperties>
</file>