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EA4F84" w14:paraId="744EBB8A" w14:textId="77777777" w:rsidTr="00EB4E9C">
        <w:tc>
          <w:tcPr>
            <w:tcW w:w="6522" w:type="dxa"/>
          </w:tcPr>
          <w:p w14:paraId="2DC0A08B" w14:textId="39C3389D" w:rsidR="00DC3802" w:rsidRPr="00EA4F84" w:rsidRDefault="00284360" w:rsidP="00AC2883">
            <w:r w:rsidRPr="00EA4F84">
              <w:rPr>
                <w:noProof/>
              </w:rPr>
              <w:drawing>
                <wp:inline distT="0" distB="0" distL="0" distR="0" wp14:anchorId="115FA40C" wp14:editId="1D251F00">
                  <wp:extent cx="933333" cy="266667"/>
                  <wp:effectExtent l="0" t="0" r="635" b="635"/>
                  <wp:docPr id="389024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24261" name="Picture 389024261"/>
                          <pic:cNvPicPr/>
                        </pic:nvPicPr>
                        <pic:blipFill>
                          <a:blip r:embed="rId11">
                            <a:extLst>
                              <a:ext uri="{28A0092B-C50C-407E-A947-70E740481C1C}">
                                <a14:useLocalDpi xmlns:a14="http://schemas.microsoft.com/office/drawing/2010/main" val="0"/>
                              </a:ext>
                            </a:extLst>
                          </a:blip>
                          <a:stretch>
                            <a:fillRect/>
                          </a:stretch>
                        </pic:blipFill>
                        <pic:spPr>
                          <a:xfrm>
                            <a:off x="0" y="0"/>
                            <a:ext cx="933333" cy="266667"/>
                          </a:xfrm>
                          <a:prstGeom prst="rect">
                            <a:avLst/>
                          </a:prstGeom>
                        </pic:spPr>
                      </pic:pic>
                    </a:graphicData>
                  </a:graphic>
                </wp:inline>
              </w:drawing>
            </w:r>
          </w:p>
        </w:tc>
        <w:tc>
          <w:tcPr>
            <w:tcW w:w="3117" w:type="dxa"/>
          </w:tcPr>
          <w:p w14:paraId="51DBB229" w14:textId="6F2375AA" w:rsidR="00DC3802" w:rsidRPr="00EA4F84" w:rsidRDefault="00EA4F84" w:rsidP="00AC2883">
            <w:pPr>
              <w:pStyle w:val="Lettrine"/>
            </w:pPr>
            <w:r w:rsidRPr="00EA4F84">
              <w:t>F</w:t>
            </w:r>
          </w:p>
        </w:tc>
      </w:tr>
      <w:tr w:rsidR="00DC3802" w:rsidRPr="00EA4F84" w14:paraId="2E52EA0A" w14:textId="77777777" w:rsidTr="00645CA8">
        <w:trPr>
          <w:trHeight w:val="219"/>
        </w:trPr>
        <w:tc>
          <w:tcPr>
            <w:tcW w:w="6522" w:type="dxa"/>
          </w:tcPr>
          <w:p w14:paraId="0B7D8583" w14:textId="77777777" w:rsidR="00DC3802" w:rsidRPr="00EA4F84" w:rsidRDefault="00DC3802" w:rsidP="00AC2883">
            <w:pPr>
              <w:pStyle w:val="upove"/>
            </w:pPr>
            <w:r w:rsidRPr="00EA4F84">
              <w:t>Union internationale pour la protection des variétés végétales</w:t>
            </w:r>
          </w:p>
        </w:tc>
        <w:tc>
          <w:tcPr>
            <w:tcW w:w="3117" w:type="dxa"/>
          </w:tcPr>
          <w:p w14:paraId="6977A71D" w14:textId="77777777" w:rsidR="00DC3802" w:rsidRPr="00EA4F84" w:rsidRDefault="00DC3802" w:rsidP="00DA4973"/>
        </w:tc>
      </w:tr>
    </w:tbl>
    <w:p w14:paraId="3DE947B1" w14:textId="77777777" w:rsidR="00DC3802" w:rsidRPr="00EA4F84" w:rsidRDefault="00DC3802" w:rsidP="00DC3802"/>
    <w:p w14:paraId="397024C6" w14:textId="77777777" w:rsidR="00B22ED6" w:rsidRPr="00EA4F84" w:rsidRDefault="00B22ED6" w:rsidP="00B22ED6"/>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B22ED6" w:rsidRPr="00EA4F84" w14:paraId="5431E896" w14:textId="77777777" w:rsidTr="00D7425C">
        <w:tc>
          <w:tcPr>
            <w:tcW w:w="6512" w:type="dxa"/>
          </w:tcPr>
          <w:p w14:paraId="1E3F80BF" w14:textId="77777777" w:rsidR="00B22ED6" w:rsidRPr="00EA4F84" w:rsidRDefault="00B22ED6" w:rsidP="00D7425C">
            <w:pPr>
              <w:pStyle w:val="Sessiontwp"/>
            </w:pPr>
            <w:r w:rsidRPr="00EA4F84">
              <w:t>Comité technique</w:t>
            </w:r>
          </w:p>
          <w:p w14:paraId="053AD770" w14:textId="277A50A3" w:rsidR="00B22ED6" w:rsidRPr="00EA4F84" w:rsidRDefault="00CD74E3" w:rsidP="00D7425C">
            <w:pPr>
              <w:pStyle w:val="Sessiontwpplacedate"/>
            </w:pPr>
            <w:r w:rsidRPr="00EA4F84">
              <w:rPr>
                <w:rFonts w:hint="eastAsia"/>
                <w:lang w:eastAsia="ja-JP"/>
              </w:rPr>
              <w:t xml:space="preserve">Soixante et unième </w:t>
            </w:r>
            <w:r w:rsidR="00B22ED6" w:rsidRPr="00EA4F84">
              <w:t>session</w:t>
            </w:r>
          </w:p>
          <w:p w14:paraId="3D679212" w14:textId="3E65E6BB" w:rsidR="00B22ED6" w:rsidRPr="00EA4F84" w:rsidRDefault="00B22ED6" w:rsidP="00D7425C">
            <w:pPr>
              <w:rPr>
                <w:lang w:eastAsia="ja-JP"/>
              </w:rPr>
            </w:pPr>
            <w:r w:rsidRPr="00EA4F84">
              <w:t xml:space="preserve">Genève, </w:t>
            </w:r>
            <w:r w:rsidR="00CD74E3" w:rsidRPr="00EA4F84">
              <w:rPr>
                <w:rFonts w:hint="eastAsia"/>
                <w:lang w:eastAsia="ja-JP"/>
              </w:rPr>
              <w:t xml:space="preserve">20 </w:t>
            </w:r>
            <w:r w:rsidRPr="00EA4F84">
              <w:t>et</w:t>
            </w:r>
            <w:r w:rsidR="00CD74E3" w:rsidRPr="00EA4F84">
              <w:rPr>
                <w:rFonts w:hint="eastAsia"/>
                <w:lang w:eastAsia="ja-JP"/>
              </w:rPr>
              <w:t xml:space="preserve"> 21 </w:t>
            </w:r>
            <w:r w:rsidRPr="00EA4F84">
              <w:t>octobre</w:t>
            </w:r>
            <w:r w:rsidR="00CD74E3" w:rsidRPr="00EA4F84">
              <w:rPr>
                <w:rFonts w:hint="eastAsia"/>
                <w:lang w:eastAsia="ja-JP"/>
              </w:rPr>
              <w:t xml:space="preserve"> 2025</w:t>
            </w:r>
          </w:p>
          <w:p w14:paraId="495B80B9" w14:textId="77777777" w:rsidR="00B22ED6" w:rsidRPr="00EA4F84" w:rsidRDefault="00B22ED6" w:rsidP="00D7425C"/>
          <w:p w14:paraId="56661E49" w14:textId="77777777" w:rsidR="00B22ED6" w:rsidRPr="00EA4F84" w:rsidRDefault="00B22ED6" w:rsidP="00D7425C">
            <w:pPr>
              <w:pStyle w:val="Sessiontwp"/>
            </w:pPr>
            <w:r w:rsidRPr="00EA4F84">
              <w:t>Comité administratif et juridique</w:t>
            </w:r>
          </w:p>
          <w:p w14:paraId="26A4B1A2" w14:textId="5BE06E70" w:rsidR="00B22ED6" w:rsidRPr="00EA4F84" w:rsidRDefault="001D71DF" w:rsidP="00D7425C">
            <w:pPr>
              <w:pStyle w:val="Sessiontwp"/>
              <w:rPr>
                <w:b w:val="0"/>
              </w:rPr>
            </w:pPr>
            <w:r w:rsidRPr="00EA4F84">
              <w:rPr>
                <w:rFonts w:hint="eastAsia"/>
                <w:b w:val="0"/>
                <w:lang w:eastAsia="ja-JP"/>
              </w:rPr>
              <w:t xml:space="preserve">Quatre-vingt-deuxième </w:t>
            </w:r>
            <w:r w:rsidR="00B22ED6" w:rsidRPr="00EA4F84">
              <w:rPr>
                <w:b w:val="0"/>
              </w:rPr>
              <w:t>session</w:t>
            </w:r>
          </w:p>
          <w:p w14:paraId="1EAC1B76" w14:textId="38A93B40" w:rsidR="00B22ED6" w:rsidRPr="00EA4F84" w:rsidRDefault="00B22ED6" w:rsidP="00E20F65">
            <w:pPr>
              <w:pStyle w:val="Sessiontwpplacedate"/>
              <w:rPr>
                <w:lang w:eastAsia="ja-JP"/>
              </w:rPr>
            </w:pPr>
            <w:r w:rsidRPr="00EA4F84">
              <w:t>Genève,</w:t>
            </w:r>
            <w:r w:rsidR="001D71DF" w:rsidRPr="00EA4F84">
              <w:rPr>
                <w:rFonts w:hint="eastAsia"/>
                <w:lang w:eastAsia="ja-JP"/>
              </w:rPr>
              <w:t xml:space="preserve"> 22</w:t>
            </w:r>
            <w:r w:rsidRPr="00EA4F84">
              <w:t xml:space="preserve"> octobre</w:t>
            </w:r>
            <w:r w:rsidR="001D71DF" w:rsidRPr="00EA4F84">
              <w:rPr>
                <w:rFonts w:hint="eastAsia"/>
                <w:lang w:eastAsia="ja-JP"/>
              </w:rPr>
              <w:t xml:space="preserve"> 2025</w:t>
            </w:r>
          </w:p>
        </w:tc>
        <w:tc>
          <w:tcPr>
            <w:tcW w:w="3127" w:type="dxa"/>
          </w:tcPr>
          <w:p w14:paraId="4BA62DBF" w14:textId="21B76062" w:rsidR="00B22ED6" w:rsidRPr="00EA4F84" w:rsidRDefault="002A12E1" w:rsidP="00D7425C">
            <w:pPr>
              <w:pStyle w:val="Doccode"/>
              <w:rPr>
                <w:lang w:val="fr-FR"/>
              </w:rPr>
            </w:pPr>
            <w:r w:rsidRPr="00EA4F84">
              <w:rPr>
                <w:lang w:val="fr-FR"/>
              </w:rPr>
              <w:t>SESSIONS/2025/6</w:t>
            </w:r>
          </w:p>
          <w:p w14:paraId="4135D4D9" w14:textId="77777777" w:rsidR="00B22ED6" w:rsidRPr="00EA4F84" w:rsidRDefault="00B22ED6" w:rsidP="00D7425C">
            <w:pPr>
              <w:pStyle w:val="Docoriginal"/>
            </w:pPr>
            <w:r w:rsidRPr="00EA4F84">
              <w:t xml:space="preserve">Original : </w:t>
            </w:r>
            <w:r w:rsidRPr="00EA4F84">
              <w:rPr>
                <w:b w:val="0"/>
                <w:spacing w:val="0"/>
              </w:rPr>
              <w:t>anglais</w:t>
            </w:r>
          </w:p>
          <w:p w14:paraId="49336837" w14:textId="66516408" w:rsidR="00B22ED6" w:rsidRPr="00EA4F84" w:rsidRDefault="00B22ED6" w:rsidP="00D7425C">
            <w:pPr>
              <w:pStyle w:val="Docoriginal"/>
              <w:rPr>
                <w:lang w:eastAsia="ja-JP"/>
              </w:rPr>
            </w:pPr>
            <w:r w:rsidRPr="00EA4F84">
              <w:t>Date:</w:t>
            </w:r>
            <w:r w:rsidRPr="00EA4F84">
              <w:rPr>
                <w:b w:val="0"/>
                <w:spacing w:val="0"/>
              </w:rPr>
              <w:t xml:space="preserve"> </w:t>
            </w:r>
            <w:r w:rsidR="0077577B" w:rsidRPr="00EA4F84">
              <w:rPr>
                <w:b w:val="0"/>
                <w:spacing w:val="0"/>
                <w:lang w:eastAsia="ja-JP"/>
              </w:rPr>
              <w:t xml:space="preserve"> 30</w:t>
            </w:r>
            <w:r w:rsidR="00551D2C" w:rsidRPr="00EA4F84">
              <w:rPr>
                <w:b w:val="0"/>
                <w:spacing w:val="0"/>
                <w:lang w:eastAsia="ja-JP"/>
              </w:rPr>
              <w:t xml:space="preserve"> septembre</w:t>
            </w:r>
            <w:r w:rsidR="00CD74E3" w:rsidRPr="00EA4F84">
              <w:rPr>
                <w:rFonts w:hint="eastAsia"/>
                <w:b w:val="0"/>
                <w:spacing w:val="0"/>
                <w:lang w:eastAsia="ja-JP"/>
              </w:rPr>
              <w:t xml:space="preserve"> 2025</w:t>
            </w:r>
          </w:p>
        </w:tc>
      </w:tr>
    </w:tbl>
    <w:p w14:paraId="19B49DD5" w14:textId="5975D39E" w:rsidR="007B73A9" w:rsidRPr="00EA4F84" w:rsidRDefault="002A12E1" w:rsidP="007B73A9">
      <w:pPr>
        <w:pStyle w:val="Titleofdoc0"/>
      </w:pPr>
      <w:r w:rsidRPr="00EA4F84">
        <w:t>Techniques moléculaires</w:t>
      </w:r>
    </w:p>
    <w:p w14:paraId="4117B7F7" w14:textId="77777777" w:rsidR="001D736D" w:rsidRPr="00EA4F84" w:rsidRDefault="001D736D" w:rsidP="001D736D">
      <w:pPr>
        <w:pStyle w:val="preparedby1"/>
        <w:jc w:val="left"/>
      </w:pPr>
      <w:r w:rsidRPr="00EA4F84">
        <w:t>Document préparé par le Bureau de l'Union</w:t>
      </w:r>
    </w:p>
    <w:p w14:paraId="5A18C030" w14:textId="77777777" w:rsidR="00EA4F84" w:rsidRPr="006365CE" w:rsidRDefault="00EA4F84" w:rsidP="00EA4F84">
      <w:pPr>
        <w:pStyle w:val="Disclaimer"/>
        <w:rPr>
          <w:lang w:val="fr-FR"/>
        </w:rPr>
      </w:pPr>
      <w:bookmarkStart w:id="0" w:name="_Toc177773938"/>
      <w:bookmarkStart w:id="1" w:name="_Toc84413225"/>
      <w:bookmarkStart w:id="2" w:name="_Toc97892774"/>
      <w:r w:rsidRPr="006365CE">
        <w:rPr>
          <w:lang w:val="fr-FR"/>
        </w:rPr>
        <w:t>Avertissement : le présent document ne représente pas les principes ou les orientations de l’UPOV</w:t>
      </w:r>
      <w:r>
        <w:rPr>
          <w:lang w:val="fr-FR"/>
        </w:rPr>
        <w:t>.</w:t>
      </w:r>
      <w:r>
        <w:rPr>
          <w:lang w:val="fr-FR"/>
        </w:rPr>
        <w:br/>
      </w:r>
      <w:r>
        <w:rPr>
          <w:lang w:val="fr-FR"/>
        </w:rPr>
        <w:br/>
      </w:r>
      <w:r w:rsidRPr="006365CE">
        <w:rPr>
          <w:lang w:val="fr-FR"/>
        </w:rPr>
        <w:t>Ce document a été généré à l'aide d'une traduction automatique dont l'exactitude ne peut être garantie. Par conséquent, le texte dans la langue originale est la seule version authentique.</w:t>
      </w:r>
    </w:p>
    <w:p w14:paraId="0FD86AF0" w14:textId="77777777" w:rsidR="00EF4B00" w:rsidRPr="00EA4F84" w:rsidRDefault="00EF4B00" w:rsidP="00EF4B00">
      <w:pPr>
        <w:keepNext/>
        <w:outlineLvl w:val="0"/>
        <w:rPr>
          <w:caps/>
          <w:snapToGrid w:val="0"/>
          <w:lang w:eastAsia="ja-JP"/>
        </w:rPr>
      </w:pPr>
      <w:r w:rsidRPr="00EA4F84">
        <w:rPr>
          <w:caps/>
          <w:snapToGrid w:val="0"/>
          <w:lang w:eastAsia="ja-JP"/>
        </w:rPr>
        <w:t>Résumé</w:t>
      </w:r>
      <w:bookmarkEnd w:id="0"/>
    </w:p>
    <w:p w14:paraId="7C8B2385" w14:textId="77777777" w:rsidR="00EF4B00" w:rsidRPr="00EA4F84" w:rsidRDefault="00EF4B00" w:rsidP="00EF4B00">
      <w:pPr>
        <w:rPr>
          <w:lang w:eastAsia="ja-JP"/>
        </w:rPr>
      </w:pPr>
    </w:p>
    <w:p w14:paraId="48B4C3D0" w14:textId="758AE2EF" w:rsidR="00BA2810" w:rsidRPr="00EA4F84" w:rsidRDefault="008B6969" w:rsidP="00EF4B00">
      <w:r w:rsidRPr="00EA4F84">
        <w:fldChar w:fldCharType="begin"/>
      </w:r>
      <w:r w:rsidRPr="00EA4F84">
        <w:instrText xml:space="preserve"> AUTONUM  </w:instrText>
      </w:r>
      <w:r w:rsidRPr="00EA4F84">
        <w:fldChar w:fldCharType="end"/>
      </w:r>
      <w:r w:rsidRPr="00EA4F84">
        <w:tab/>
      </w:r>
      <w:r w:rsidR="00D248B8" w:rsidRPr="00EA4F84">
        <w:t xml:space="preserve">Le présent document contient des propositions visant </w:t>
      </w:r>
      <w:r w:rsidR="004D3EE1" w:rsidRPr="00EA4F84">
        <w:t xml:space="preserve">à élaborer </w:t>
      </w:r>
      <w:r w:rsidR="00AF7C82" w:rsidRPr="00EA4F84">
        <w:t xml:space="preserve">des </w:t>
      </w:r>
      <w:r w:rsidR="00EA4F84">
        <w:t xml:space="preserve">orientations </w:t>
      </w:r>
      <w:r w:rsidR="00AF7C82" w:rsidRPr="00EA4F84">
        <w:t xml:space="preserve">sur les marqueurs moléculaires dans </w:t>
      </w:r>
      <w:r w:rsidR="00E10DA2" w:rsidRPr="00EA4F84">
        <w:t xml:space="preserve">l'examen de </w:t>
      </w:r>
      <w:r w:rsidR="00940E2B" w:rsidRPr="00EA4F84">
        <w:t xml:space="preserve">la distinction, de l'homogénéité et de la stabilité </w:t>
      </w:r>
      <w:r w:rsidR="00E10DA2" w:rsidRPr="00EA4F84">
        <w:t>(</w:t>
      </w:r>
      <w:r w:rsidR="00AF7C82" w:rsidRPr="00EA4F84">
        <w:t>DHS</w:t>
      </w:r>
      <w:r w:rsidR="00E10DA2" w:rsidRPr="00EA4F84">
        <w:t xml:space="preserve">) </w:t>
      </w:r>
      <w:r w:rsidR="00B3260D" w:rsidRPr="00EA4F84">
        <w:t xml:space="preserve">et la coopération avec </w:t>
      </w:r>
      <w:r w:rsidR="00BA2810" w:rsidRPr="00EA4F84">
        <w:t>les organisations internationales</w:t>
      </w:r>
      <w:r w:rsidR="00EE0E99" w:rsidRPr="00EA4F84">
        <w:t xml:space="preserve">, comme suit :  </w:t>
      </w:r>
    </w:p>
    <w:p w14:paraId="0CD2A987" w14:textId="77777777" w:rsidR="00BA2810" w:rsidRPr="00EA4F84" w:rsidRDefault="00BA2810" w:rsidP="00D16288"/>
    <w:p w14:paraId="30F045A8" w14:textId="63A86183" w:rsidR="00120291" w:rsidRPr="00EA4F84" w:rsidRDefault="00EA4F84" w:rsidP="004322FB">
      <w:pPr>
        <w:pStyle w:val="ListParagraph"/>
        <w:numPr>
          <w:ilvl w:val="0"/>
          <w:numId w:val="45"/>
        </w:numPr>
        <w:ind w:left="1134" w:hanging="567"/>
        <w:jc w:val="both"/>
      </w:pPr>
      <w:r>
        <w:t>e</w:t>
      </w:r>
      <w:r w:rsidR="004322FB" w:rsidRPr="00EA4F84">
        <w:t xml:space="preserve">xaminer </w:t>
      </w:r>
      <w:r w:rsidR="00120291" w:rsidRPr="00EA4F84">
        <w:t xml:space="preserve">le projet </w:t>
      </w:r>
      <w:r>
        <w:t>d’orientations</w:t>
      </w:r>
      <w:r w:rsidR="00120291" w:rsidRPr="00EA4F84">
        <w:t xml:space="preserve"> sur la manière de valider les marqueurs moléculaires</w:t>
      </w:r>
      <w:r w:rsidR="00B4760D" w:rsidRPr="00EA4F84">
        <w:t xml:space="preserve"> "spécifiques à un caractère" </w:t>
      </w:r>
      <w:r w:rsidR="00120291" w:rsidRPr="00EA4F84">
        <w:t xml:space="preserve">pour l'examen DHS et </w:t>
      </w:r>
      <w:r w:rsidR="00547554" w:rsidRPr="00EA4F84">
        <w:rPr>
          <w:lang w:eastAsia="ja-JP"/>
        </w:rPr>
        <w:t>le modèle</w:t>
      </w:r>
      <w:r w:rsidR="003D1917" w:rsidRPr="00EA4F84">
        <w:rPr>
          <w:lang w:eastAsia="ja-JP"/>
        </w:rPr>
        <w:t xml:space="preserve"> standard </w:t>
      </w:r>
      <w:r w:rsidR="00B948B3" w:rsidRPr="00EA4F84">
        <w:t xml:space="preserve">décrivant </w:t>
      </w:r>
      <w:r w:rsidR="00130945" w:rsidRPr="00EA4F84">
        <w:t xml:space="preserve">leur utilisation </w:t>
      </w:r>
      <w:r w:rsidR="006E5114" w:rsidRPr="00EA4F84">
        <w:t xml:space="preserve">pour évaluer les caractères </w:t>
      </w:r>
      <w:r w:rsidR="00B948B3" w:rsidRPr="00EA4F84">
        <w:rPr>
          <w:lang w:eastAsia="ja-JP"/>
        </w:rPr>
        <w:t xml:space="preserve">dans </w:t>
      </w:r>
      <w:r w:rsidR="00B948B3" w:rsidRPr="00EA4F84">
        <w:t xml:space="preserve">les principes directeurs d'examen </w:t>
      </w:r>
      <w:r w:rsidR="004D3FA3" w:rsidRPr="00EA4F84">
        <w:t xml:space="preserve">(voir l'annexe </w:t>
      </w:r>
      <w:r w:rsidR="006E5114" w:rsidRPr="00EA4F84">
        <w:t xml:space="preserve">du </w:t>
      </w:r>
      <w:r w:rsidR="004D3FA3" w:rsidRPr="00EA4F84">
        <w:t>présent document)</w:t>
      </w:r>
    </w:p>
    <w:p w14:paraId="2C5A1401" w14:textId="77777777" w:rsidR="00D16288" w:rsidRPr="00EA4F84" w:rsidRDefault="00D16288" w:rsidP="004322FB">
      <w:pPr>
        <w:ind w:left="1134" w:hanging="567"/>
      </w:pPr>
    </w:p>
    <w:p w14:paraId="2DFDE956" w14:textId="37EB8F64" w:rsidR="004D3EE1" w:rsidRPr="00EA4F84" w:rsidRDefault="00EA4F84" w:rsidP="004322FB">
      <w:pPr>
        <w:pStyle w:val="ListParagraph"/>
        <w:numPr>
          <w:ilvl w:val="0"/>
          <w:numId w:val="45"/>
        </w:numPr>
        <w:ind w:left="1134" w:hanging="567"/>
        <w:jc w:val="both"/>
      </w:pPr>
      <w:r>
        <w:t>i</w:t>
      </w:r>
      <w:r w:rsidR="00AB5644" w:rsidRPr="00EA4F84">
        <w:t xml:space="preserve">nviter </w:t>
      </w:r>
      <w:r w:rsidR="00B514DB" w:rsidRPr="00EA4F84">
        <w:t xml:space="preserve">la France </w:t>
      </w:r>
      <w:r w:rsidR="00A62C60" w:rsidRPr="00EA4F84">
        <w:t xml:space="preserve">à </w:t>
      </w:r>
      <w:r w:rsidR="00A20C9A" w:rsidRPr="00EA4F84">
        <w:t xml:space="preserve">coordonner </w:t>
      </w:r>
      <w:r w:rsidR="008520D3" w:rsidRPr="00EA4F84">
        <w:t xml:space="preserve">les travaux </w:t>
      </w:r>
      <w:r w:rsidR="00A62C60" w:rsidRPr="00EA4F84">
        <w:t xml:space="preserve">de l'UPOV </w:t>
      </w:r>
      <w:r w:rsidR="008520D3" w:rsidRPr="00EA4F84">
        <w:t xml:space="preserve">visant à </w:t>
      </w:r>
      <w:r w:rsidR="00A62C60" w:rsidRPr="00EA4F84">
        <w:t xml:space="preserve">harmoniser </w:t>
      </w:r>
      <w:r w:rsidR="00650A61" w:rsidRPr="00EA4F84">
        <w:t xml:space="preserve">la terminologie </w:t>
      </w:r>
      <w:r w:rsidR="007D762E" w:rsidRPr="00EA4F84">
        <w:t xml:space="preserve">relative </w:t>
      </w:r>
      <w:r w:rsidR="00FA5FE2" w:rsidRPr="00EA4F84">
        <w:t xml:space="preserve">aux marqueurs moléculaires </w:t>
      </w:r>
      <w:r w:rsidR="00B015DA" w:rsidRPr="00EA4F84">
        <w:t xml:space="preserve">avec </w:t>
      </w:r>
      <w:r w:rsidR="0084006D" w:rsidRPr="00EA4F84">
        <w:t>l'Organisation de coopération et de développement économiques (</w:t>
      </w:r>
      <w:r w:rsidR="00940E2B" w:rsidRPr="00EA4F84">
        <w:t>OCDE</w:t>
      </w:r>
      <w:r w:rsidR="0084006D" w:rsidRPr="00EA4F84">
        <w:t xml:space="preserve">) et l'Association internationale d’essais de semences (ISTA) </w:t>
      </w:r>
    </w:p>
    <w:p w14:paraId="4F920CEE" w14:textId="77777777" w:rsidR="00D16288" w:rsidRPr="00EA4F84" w:rsidRDefault="00D16288" w:rsidP="004322FB">
      <w:pPr>
        <w:ind w:left="1134" w:hanging="567"/>
      </w:pPr>
    </w:p>
    <w:p w14:paraId="2A605944" w14:textId="14ABA8A1" w:rsidR="004D3EE1" w:rsidRPr="00EA4F84" w:rsidRDefault="00EA4F84" w:rsidP="004322FB">
      <w:pPr>
        <w:pStyle w:val="ListParagraph"/>
        <w:numPr>
          <w:ilvl w:val="0"/>
          <w:numId w:val="45"/>
        </w:numPr>
        <w:ind w:left="1134" w:hanging="567"/>
        <w:jc w:val="both"/>
      </w:pPr>
      <w:r>
        <w:t>r</w:t>
      </w:r>
      <w:r w:rsidR="00D16288" w:rsidRPr="00EA4F84">
        <w:t xml:space="preserve">éaliser une enquête </w:t>
      </w:r>
      <w:r w:rsidR="00192639" w:rsidRPr="00EA4F84">
        <w:t xml:space="preserve">auprès des membres de l'UPOV </w:t>
      </w:r>
      <w:r w:rsidR="00D16288" w:rsidRPr="00EA4F84">
        <w:t xml:space="preserve">afin de </w:t>
      </w:r>
      <w:r w:rsidR="00192639" w:rsidRPr="00EA4F84">
        <w:t xml:space="preserve">mettre à jour </w:t>
      </w:r>
      <w:r w:rsidR="00FA5FE2" w:rsidRPr="00EA4F84">
        <w:t xml:space="preserve">la liste des marqueurs moléculaires utilisés </w:t>
      </w:r>
      <w:r w:rsidR="00B514DB" w:rsidRPr="00EA4F84">
        <w:t xml:space="preserve">pour chaque </w:t>
      </w:r>
      <w:r w:rsidR="00FA5FE2" w:rsidRPr="00EA4F84">
        <w:t xml:space="preserve">culture </w:t>
      </w:r>
    </w:p>
    <w:p w14:paraId="6EA1499C" w14:textId="77777777" w:rsidR="00D16288" w:rsidRPr="00EA4F84" w:rsidRDefault="00D16288" w:rsidP="004322FB">
      <w:pPr>
        <w:ind w:left="1134" w:hanging="567"/>
      </w:pPr>
    </w:p>
    <w:p w14:paraId="2C69F4BB" w14:textId="3BCD6EC0" w:rsidR="00FA5FE2" w:rsidRPr="00EA4F84" w:rsidRDefault="00EA4F84" w:rsidP="004322FB">
      <w:pPr>
        <w:pStyle w:val="ListParagraph"/>
        <w:numPr>
          <w:ilvl w:val="0"/>
          <w:numId w:val="45"/>
        </w:numPr>
        <w:ind w:left="1134" w:hanging="567"/>
        <w:jc w:val="both"/>
      </w:pPr>
      <w:r>
        <w:t>c</w:t>
      </w:r>
      <w:r w:rsidR="00D16288" w:rsidRPr="00EA4F84">
        <w:t xml:space="preserve">oopérer </w:t>
      </w:r>
      <w:r w:rsidR="00EE5ED7" w:rsidRPr="00EA4F84">
        <w:t xml:space="preserve">avec l'OCDE et l'ISTA afin d'élaborer </w:t>
      </w:r>
      <w:r w:rsidR="00FA5FE2" w:rsidRPr="00EA4F84">
        <w:t>des ensembles communs de marqueurs moléculaires pour l'identification des variétés</w:t>
      </w:r>
    </w:p>
    <w:p w14:paraId="04C8E8DD" w14:textId="77777777" w:rsidR="001F1740" w:rsidRPr="00EA4F84" w:rsidRDefault="001F1740" w:rsidP="004322FB">
      <w:pPr>
        <w:pStyle w:val="Heading3"/>
        <w:rPr>
          <w:i w:val="0"/>
          <w:iCs/>
          <w:lang w:val="fr-FR"/>
        </w:rPr>
      </w:pPr>
    </w:p>
    <w:p w14:paraId="2D860414" w14:textId="5AEA208B" w:rsidR="00461438" w:rsidRPr="00EA4F84" w:rsidRDefault="00D16288" w:rsidP="00461438">
      <w:r w:rsidRPr="00EA4F84">
        <w:fldChar w:fldCharType="begin"/>
      </w:r>
      <w:r w:rsidRPr="00EA4F84">
        <w:instrText xml:space="preserve"> AUTONUM  </w:instrText>
      </w:r>
      <w:r w:rsidRPr="00EA4F84">
        <w:fldChar w:fldCharType="end"/>
      </w:r>
      <w:r w:rsidRPr="00EA4F84">
        <w:tab/>
      </w:r>
      <w:r w:rsidR="008E4C3D" w:rsidRPr="00EA4F84">
        <w:t xml:space="preserve">En ce qui concerne la </w:t>
      </w:r>
      <w:r w:rsidR="00EA4F84">
        <w:t>“ </w:t>
      </w:r>
      <w:r w:rsidR="008E4C3D" w:rsidRPr="00EA4F84">
        <w:t>confidentialité et la propriété des informations moléculaires</w:t>
      </w:r>
      <w:r w:rsidR="00EA4F84">
        <w:t> »</w:t>
      </w:r>
      <w:r w:rsidR="008E4C3D" w:rsidRPr="00EA4F84">
        <w:t xml:space="preserve">, </w:t>
      </w:r>
      <w:r w:rsidR="00A11577" w:rsidRPr="00EA4F84">
        <w:t xml:space="preserve">le Comité technique (TC) est invité à </w:t>
      </w:r>
      <w:r w:rsidR="008375C0" w:rsidRPr="00EA4F84">
        <w:t xml:space="preserve">prendre note des discussions </w:t>
      </w:r>
      <w:r w:rsidR="003816C7" w:rsidRPr="00EA4F84">
        <w:t xml:space="preserve">menées au sein des groupes de travail techniques (TWP) en 2025 </w:t>
      </w:r>
      <w:r w:rsidR="008375C0" w:rsidRPr="00EA4F84">
        <w:t xml:space="preserve">et à envisager d'organiser </w:t>
      </w:r>
      <w:r w:rsidR="00461438" w:rsidRPr="00EA4F84">
        <w:t>de futures discussions sur la base de cas concrets et de situations spécifiques</w:t>
      </w:r>
      <w:r w:rsidR="004E1C5B" w:rsidRPr="00EA4F84">
        <w:t xml:space="preserve">.  </w:t>
      </w:r>
      <w:r w:rsidR="003A429E" w:rsidRPr="00EA4F84">
        <w:t xml:space="preserve">Le TC est invité à noter qu'une </w:t>
      </w:r>
      <w:r w:rsidR="00EA4F84">
        <w:t>“ </w:t>
      </w:r>
      <w:r w:rsidR="00461438" w:rsidRPr="00EA4F84">
        <w:t>Politique relative au statut du matériel végétal soumis à des essais DHS</w:t>
      </w:r>
      <w:r w:rsidR="00EA4F84">
        <w:t> »</w:t>
      </w:r>
      <w:r w:rsidR="00461438" w:rsidRPr="00EA4F84">
        <w:t xml:space="preserve"> </w:t>
      </w:r>
      <w:r w:rsidR="00A859F9" w:rsidRPr="00EA4F84">
        <w:t xml:space="preserve">a été </w:t>
      </w:r>
      <w:r w:rsidR="00461438" w:rsidRPr="00EA4F84">
        <w:t xml:space="preserve">communiquée par l'Union européenne </w:t>
      </w:r>
      <w:r w:rsidR="00003913" w:rsidRPr="00EA4F84">
        <w:t xml:space="preserve">et est disponible </w:t>
      </w:r>
      <w:hyperlink r:id="rId12" w:history="1">
        <w:r w:rsidR="00003913" w:rsidRPr="00EA4F84">
          <w:rPr>
            <w:rStyle w:val="Hyperlink"/>
          </w:rPr>
          <w:t>en ligne</w:t>
        </w:r>
      </w:hyperlink>
      <w:r w:rsidR="00F9202D" w:rsidRPr="00EA4F84">
        <w:t>.</w:t>
      </w:r>
    </w:p>
    <w:p w14:paraId="74446157" w14:textId="77777777" w:rsidR="00461438" w:rsidRPr="00EA4F84" w:rsidRDefault="00461438" w:rsidP="001F1740"/>
    <w:p w14:paraId="7E43C9CE" w14:textId="1604E9D2" w:rsidR="00FA5FE2" w:rsidRPr="00EA4F84" w:rsidRDefault="00F9202D" w:rsidP="001F1740">
      <w:r w:rsidRPr="00EA4F84">
        <w:fldChar w:fldCharType="begin"/>
      </w:r>
      <w:r w:rsidRPr="00EA4F84">
        <w:instrText xml:space="preserve"> AUTONUM  </w:instrText>
      </w:r>
      <w:r w:rsidRPr="00EA4F84">
        <w:fldChar w:fldCharType="end"/>
      </w:r>
      <w:r w:rsidRPr="00EA4F84">
        <w:tab/>
      </w:r>
      <w:r w:rsidR="00FA2B4C" w:rsidRPr="00EA4F84">
        <w:t xml:space="preserve">Les discussions sur les marqueurs moléculaires </w:t>
      </w:r>
      <w:r w:rsidR="00245273" w:rsidRPr="00EA4F84">
        <w:t xml:space="preserve">qui </w:t>
      </w:r>
      <w:r w:rsidR="00FA2B4C" w:rsidRPr="00EA4F84">
        <w:t xml:space="preserve">ont </w:t>
      </w:r>
      <w:r w:rsidR="00BB3FBC" w:rsidRPr="00EA4F84">
        <w:t xml:space="preserve">eu lieu </w:t>
      </w:r>
      <w:r w:rsidR="00FA2B4C" w:rsidRPr="00EA4F84">
        <w:t xml:space="preserve">au sein </w:t>
      </w:r>
      <w:r w:rsidR="005D1C40" w:rsidRPr="00EA4F84">
        <w:t xml:space="preserve">des groupes de travail techniques </w:t>
      </w:r>
      <w:r w:rsidR="00D16288" w:rsidRPr="00EA4F84">
        <w:t xml:space="preserve">depuis les </w:t>
      </w:r>
      <w:r w:rsidR="002D2D96" w:rsidRPr="00EA4F84">
        <w:t>sessions de l'UPOV</w:t>
      </w:r>
      <w:r w:rsidR="00245273" w:rsidRPr="00EA4F84">
        <w:t xml:space="preserve"> de 2024 sont </w:t>
      </w:r>
      <w:r w:rsidR="005D1C40" w:rsidRPr="00EA4F84">
        <w:t>rapportées à titre d'information</w:t>
      </w:r>
      <w:r w:rsidR="00FA2B4C" w:rsidRPr="00EA4F84">
        <w:t xml:space="preserve">. </w:t>
      </w:r>
    </w:p>
    <w:p w14:paraId="2FABB6BA" w14:textId="77777777" w:rsidR="00DF29B7" w:rsidRPr="00EA4F84" w:rsidRDefault="00DF29B7" w:rsidP="00EF4B00">
      <w:pPr>
        <w:tabs>
          <w:tab w:val="left" w:pos="567"/>
          <w:tab w:val="left" w:pos="1134"/>
          <w:tab w:val="left" w:pos="5387"/>
          <w:tab w:val="left" w:pos="5954"/>
        </w:tabs>
      </w:pPr>
    </w:p>
    <w:p w14:paraId="4C3FC292" w14:textId="77777777" w:rsidR="00EF4B00" w:rsidRPr="00EA4F84" w:rsidRDefault="00EF4B00" w:rsidP="00EA4F84">
      <w:pPr>
        <w:spacing w:after="120"/>
      </w:pPr>
      <w:r w:rsidRPr="00EA4F84">
        <w:fldChar w:fldCharType="begin"/>
      </w:r>
      <w:r w:rsidRPr="00EA4F84">
        <w:instrText xml:space="preserve"> AUTONUM  </w:instrText>
      </w:r>
      <w:r w:rsidRPr="00EA4F84">
        <w:fldChar w:fldCharType="end"/>
      </w:r>
      <w:r w:rsidRPr="00EA4F84">
        <w:tab/>
        <w:t>Les abréviations suivantes sont utilisées dans le présent document :</w:t>
      </w:r>
    </w:p>
    <w:p w14:paraId="37BB5BDF" w14:textId="77777777" w:rsidR="00EF4B00" w:rsidRPr="00EA4F84" w:rsidRDefault="00EF4B00" w:rsidP="00EF4B00">
      <w:pPr>
        <w:keepNext/>
        <w:tabs>
          <w:tab w:val="left" w:pos="567"/>
        </w:tabs>
        <w:ind w:left="1701" w:hanging="1134"/>
        <w:rPr>
          <w:sz w:val="18"/>
        </w:rPr>
      </w:pPr>
      <w:r w:rsidRPr="00EA4F84">
        <w:rPr>
          <w:sz w:val="18"/>
        </w:rPr>
        <w:t xml:space="preserve">CAJ : </w:t>
      </w:r>
      <w:r w:rsidRPr="00EA4F84">
        <w:rPr>
          <w:sz w:val="18"/>
        </w:rPr>
        <w:tab/>
        <w:t xml:space="preserve">Comité administratif et juridique  </w:t>
      </w:r>
    </w:p>
    <w:p w14:paraId="29C04252" w14:textId="77777777" w:rsidR="00EF4B00" w:rsidRPr="00EA4F84" w:rsidRDefault="00EF4B00" w:rsidP="00EF4B00">
      <w:pPr>
        <w:ind w:left="1701" w:hanging="1134"/>
        <w:rPr>
          <w:rFonts w:cs="Arial"/>
          <w:snapToGrid w:val="0"/>
          <w:sz w:val="18"/>
          <w:szCs w:val="24"/>
          <w:lang w:eastAsia="ja-JP"/>
        </w:rPr>
      </w:pPr>
      <w:r w:rsidRPr="00EA4F84">
        <w:rPr>
          <w:rFonts w:eastAsia="PMingLiU" w:cs="Arial"/>
          <w:snapToGrid w:val="0"/>
          <w:sz w:val="18"/>
          <w:szCs w:val="24"/>
          <w:lang w:eastAsia="fr-FR"/>
        </w:rPr>
        <w:t xml:space="preserve">ISTA : </w:t>
      </w:r>
      <w:r w:rsidRPr="00EA4F84">
        <w:rPr>
          <w:rFonts w:eastAsia="PMingLiU" w:cs="Arial"/>
          <w:snapToGrid w:val="0"/>
          <w:sz w:val="18"/>
          <w:szCs w:val="24"/>
          <w:lang w:eastAsia="fr-FR"/>
        </w:rPr>
        <w:tab/>
        <w:t>Association internationale d'essais de semences</w:t>
      </w:r>
    </w:p>
    <w:p w14:paraId="4FBD0221" w14:textId="77777777" w:rsidR="00EF4B00" w:rsidRPr="00EA4F84" w:rsidRDefault="00EF4B00" w:rsidP="00EF4B00">
      <w:pPr>
        <w:ind w:left="1701" w:hanging="1134"/>
        <w:rPr>
          <w:rFonts w:eastAsia="PMingLiU" w:cs="Arial"/>
          <w:snapToGrid w:val="0"/>
          <w:sz w:val="18"/>
          <w:szCs w:val="24"/>
        </w:rPr>
      </w:pPr>
      <w:r w:rsidRPr="00EA4F84">
        <w:rPr>
          <w:rFonts w:eastAsia="PMingLiU" w:cs="Arial"/>
          <w:sz w:val="18"/>
          <w:szCs w:val="24"/>
        </w:rPr>
        <w:t>OCDE :</w:t>
      </w:r>
      <w:r w:rsidRPr="00EA4F84">
        <w:rPr>
          <w:rFonts w:eastAsia="PMingLiU" w:cs="Arial"/>
          <w:sz w:val="18"/>
          <w:szCs w:val="24"/>
        </w:rPr>
        <w:tab/>
      </w:r>
      <w:r w:rsidRPr="00EA4F84">
        <w:rPr>
          <w:rFonts w:eastAsia="PMingLiU" w:cs="Arial"/>
          <w:snapToGrid w:val="0"/>
          <w:sz w:val="18"/>
          <w:szCs w:val="24"/>
        </w:rPr>
        <w:t>Organisation de coopération et de développement économiques</w:t>
      </w:r>
    </w:p>
    <w:p w14:paraId="21078AA0" w14:textId="77777777" w:rsidR="00EF4B00" w:rsidRPr="00EA4F84" w:rsidRDefault="00EF4B00" w:rsidP="00EF4B00">
      <w:pPr>
        <w:keepNext/>
        <w:tabs>
          <w:tab w:val="left" w:pos="567"/>
        </w:tabs>
        <w:ind w:left="1701" w:hanging="1134"/>
        <w:rPr>
          <w:sz w:val="18"/>
        </w:rPr>
      </w:pPr>
      <w:r w:rsidRPr="00EA4F84">
        <w:rPr>
          <w:sz w:val="18"/>
        </w:rPr>
        <w:t>TC:</w:t>
      </w:r>
      <w:r w:rsidRPr="00EA4F84">
        <w:rPr>
          <w:sz w:val="18"/>
        </w:rPr>
        <w:tab/>
        <w:t>Comité technique</w:t>
      </w:r>
    </w:p>
    <w:p w14:paraId="395DDF69" w14:textId="77777777" w:rsidR="00EF4B00" w:rsidRPr="00EA4F84" w:rsidRDefault="00EF4B00" w:rsidP="00EF4B00">
      <w:pPr>
        <w:ind w:left="1701" w:hanging="1134"/>
        <w:rPr>
          <w:rFonts w:eastAsia="PMingLiU" w:cs="Arial"/>
          <w:sz w:val="18"/>
          <w:szCs w:val="24"/>
        </w:rPr>
      </w:pPr>
      <w:r w:rsidRPr="00EA4F84">
        <w:rPr>
          <w:rFonts w:eastAsia="PMingLiU" w:cs="Arial"/>
          <w:sz w:val="18"/>
          <w:szCs w:val="24"/>
        </w:rPr>
        <w:t>TWA :</w:t>
      </w:r>
      <w:r w:rsidRPr="00EA4F84">
        <w:rPr>
          <w:rFonts w:eastAsia="PMingLiU" w:cs="Arial"/>
          <w:sz w:val="18"/>
          <w:szCs w:val="24"/>
        </w:rPr>
        <w:tab/>
        <w:t>Groupe de travail technique pour les cultures agricoles</w:t>
      </w:r>
    </w:p>
    <w:p w14:paraId="61509D54" w14:textId="77777777" w:rsidR="00EF4B00" w:rsidRPr="00EA4F84" w:rsidRDefault="00EF4B00" w:rsidP="00EF4B00">
      <w:pPr>
        <w:ind w:left="1701" w:hanging="1134"/>
        <w:rPr>
          <w:rFonts w:eastAsia="PMingLiU" w:cs="Arial"/>
          <w:sz w:val="18"/>
          <w:szCs w:val="24"/>
        </w:rPr>
      </w:pPr>
      <w:r w:rsidRPr="00EA4F84">
        <w:rPr>
          <w:rFonts w:eastAsia="PMingLiU" w:cs="Arial"/>
          <w:sz w:val="18"/>
          <w:szCs w:val="24"/>
        </w:rPr>
        <w:t>TWF :</w:t>
      </w:r>
      <w:r w:rsidRPr="00EA4F84">
        <w:rPr>
          <w:rFonts w:eastAsia="PMingLiU" w:cs="Arial"/>
          <w:sz w:val="18"/>
          <w:szCs w:val="24"/>
        </w:rPr>
        <w:tab/>
        <w:t>Groupe de travail technique sur les cultures fruitières</w:t>
      </w:r>
    </w:p>
    <w:p w14:paraId="6CB085B7" w14:textId="77777777" w:rsidR="00EF4B00" w:rsidRPr="00EA4F84" w:rsidRDefault="00EF4B00" w:rsidP="00EF4B00">
      <w:pPr>
        <w:ind w:left="1701" w:hanging="1134"/>
        <w:rPr>
          <w:rFonts w:eastAsia="PMingLiU" w:cs="Arial"/>
          <w:sz w:val="18"/>
          <w:szCs w:val="24"/>
        </w:rPr>
      </w:pPr>
      <w:r w:rsidRPr="00EA4F84">
        <w:rPr>
          <w:rFonts w:eastAsia="PMingLiU" w:cs="Arial"/>
          <w:sz w:val="18"/>
          <w:szCs w:val="24"/>
        </w:rPr>
        <w:t>TWM :</w:t>
      </w:r>
      <w:r w:rsidRPr="00EA4F84">
        <w:rPr>
          <w:rFonts w:eastAsia="PMingLiU" w:cs="Arial"/>
          <w:sz w:val="18"/>
          <w:szCs w:val="24"/>
        </w:rPr>
        <w:tab/>
        <w:t>Groupe de travail technique sur les méthodes et techniques d'essai</w:t>
      </w:r>
    </w:p>
    <w:p w14:paraId="4B06B464" w14:textId="77777777" w:rsidR="00EF4B00" w:rsidRPr="00EA4F84" w:rsidRDefault="00EF4B00" w:rsidP="00EF4B00">
      <w:pPr>
        <w:ind w:left="1701" w:hanging="1134"/>
        <w:rPr>
          <w:rFonts w:eastAsia="PMingLiU" w:cs="Arial"/>
          <w:sz w:val="18"/>
          <w:szCs w:val="24"/>
        </w:rPr>
      </w:pPr>
      <w:r w:rsidRPr="00EA4F84">
        <w:rPr>
          <w:rFonts w:eastAsia="PMingLiU" w:cs="Arial"/>
          <w:sz w:val="18"/>
          <w:szCs w:val="24"/>
        </w:rPr>
        <w:t>TWO :</w:t>
      </w:r>
      <w:r w:rsidRPr="00EA4F84">
        <w:rPr>
          <w:rFonts w:eastAsia="PMingLiU" w:cs="Arial"/>
          <w:sz w:val="18"/>
          <w:szCs w:val="24"/>
        </w:rPr>
        <w:tab/>
        <w:t>Groupe de travail technique sur les plantes ornementales et les arbres forestiers</w:t>
      </w:r>
    </w:p>
    <w:p w14:paraId="5B43445B" w14:textId="77777777" w:rsidR="00EF4B00" w:rsidRPr="00EA4F84" w:rsidRDefault="00EF4B00" w:rsidP="00EF4B00">
      <w:pPr>
        <w:ind w:left="1701" w:hanging="1134"/>
        <w:rPr>
          <w:rFonts w:eastAsia="PMingLiU" w:cs="Arial"/>
          <w:sz w:val="18"/>
          <w:szCs w:val="24"/>
        </w:rPr>
      </w:pPr>
      <w:proofErr w:type="spellStart"/>
      <w:r w:rsidRPr="00EA4F84">
        <w:rPr>
          <w:rFonts w:eastAsia="PMingLiU" w:cs="Arial"/>
          <w:sz w:val="18"/>
          <w:szCs w:val="24"/>
        </w:rPr>
        <w:t>TWPs</w:t>
      </w:r>
      <w:proofErr w:type="spellEnd"/>
      <w:r w:rsidRPr="00EA4F84">
        <w:rPr>
          <w:rFonts w:eastAsia="PMingLiU" w:cs="Arial"/>
          <w:sz w:val="18"/>
          <w:szCs w:val="24"/>
        </w:rPr>
        <w:t xml:space="preserve"> :</w:t>
      </w:r>
      <w:r w:rsidRPr="00EA4F84">
        <w:rPr>
          <w:rFonts w:eastAsia="PMingLiU" w:cs="Arial"/>
          <w:sz w:val="18"/>
          <w:szCs w:val="24"/>
        </w:rPr>
        <w:tab/>
        <w:t>Groupes de travail techniques</w:t>
      </w:r>
    </w:p>
    <w:p w14:paraId="3EA243B4" w14:textId="77777777" w:rsidR="00EF4B00" w:rsidRPr="00EA4F84" w:rsidRDefault="00EF4B00" w:rsidP="00EF4B00">
      <w:pPr>
        <w:ind w:left="1701" w:hanging="1134"/>
        <w:rPr>
          <w:rFonts w:eastAsia="PMingLiU" w:cs="Arial"/>
          <w:sz w:val="18"/>
          <w:szCs w:val="24"/>
        </w:rPr>
      </w:pPr>
      <w:r w:rsidRPr="00EA4F84">
        <w:rPr>
          <w:rFonts w:eastAsia="PMingLiU" w:cs="Arial"/>
          <w:sz w:val="18"/>
          <w:szCs w:val="24"/>
        </w:rPr>
        <w:t>TWV :</w:t>
      </w:r>
      <w:r w:rsidRPr="00EA4F84">
        <w:rPr>
          <w:rFonts w:eastAsia="PMingLiU" w:cs="Arial"/>
          <w:sz w:val="18"/>
          <w:szCs w:val="24"/>
        </w:rPr>
        <w:tab/>
        <w:t>Groupe de travail technique sur les légumes</w:t>
      </w:r>
    </w:p>
    <w:p w14:paraId="59EA9204" w14:textId="134ADDAE" w:rsidR="00EF4B00" w:rsidRPr="00EA4F84" w:rsidRDefault="00EF4B00" w:rsidP="00943F68">
      <w:pPr>
        <w:keepNext/>
      </w:pPr>
      <w:r w:rsidRPr="00EA4F84">
        <w:lastRenderedPageBreak/>
        <w:fldChar w:fldCharType="begin"/>
      </w:r>
      <w:r w:rsidRPr="00EA4F84">
        <w:instrText xml:space="preserve"> AUTONUM  </w:instrText>
      </w:r>
      <w:r w:rsidRPr="00EA4F84">
        <w:fldChar w:fldCharType="end"/>
      </w:r>
      <w:r w:rsidRPr="00EA4F84">
        <w:tab/>
        <w:t>La structure du présent document est la suivante :</w:t>
      </w:r>
    </w:p>
    <w:p w14:paraId="16F082FD" w14:textId="77777777" w:rsidR="00EF4B00" w:rsidRPr="00EA4F84" w:rsidRDefault="00EF4B00" w:rsidP="00943F68">
      <w:pPr>
        <w:keepNext/>
        <w:rPr>
          <w:rFonts w:cs="Arial"/>
          <w:caps/>
          <w:szCs w:val="18"/>
        </w:rPr>
      </w:pPr>
    </w:p>
    <w:p w14:paraId="37BDA8BB" w14:textId="7B9D8FE0" w:rsidR="008C6931" w:rsidRDefault="00047CF1">
      <w:pPr>
        <w:pStyle w:val="TOC1"/>
        <w:rPr>
          <w:rFonts w:asciiTheme="minorHAnsi" w:hAnsiTheme="minorHAnsi" w:cstheme="minorBidi"/>
          <w:caps w:val="0"/>
          <w:noProof/>
          <w:kern w:val="2"/>
          <w:sz w:val="24"/>
          <w:szCs w:val="24"/>
          <w:lang w:val="en-GB" w:eastAsia="en-GB"/>
          <w14:ligatures w14:val="standardContextual"/>
        </w:rPr>
      </w:pPr>
      <w:r w:rsidRPr="00EA4F84">
        <w:rPr>
          <w:rFonts w:cs="Arial"/>
          <w:bCs/>
          <w:szCs w:val="18"/>
        </w:rPr>
        <w:fldChar w:fldCharType="begin"/>
      </w:r>
      <w:r w:rsidRPr="00EA4F84">
        <w:rPr>
          <w:rFonts w:cs="Arial"/>
          <w:bCs/>
          <w:szCs w:val="18"/>
        </w:rPr>
        <w:instrText xml:space="preserve"> TOC \t "Heading 1,1,Heading 2,2,Heading 3,3" </w:instrText>
      </w:r>
      <w:r w:rsidRPr="00EA4F84">
        <w:rPr>
          <w:rFonts w:cs="Arial"/>
          <w:bCs/>
          <w:szCs w:val="18"/>
        </w:rPr>
        <w:fldChar w:fldCharType="separate"/>
      </w:r>
      <w:r w:rsidR="008C6931" w:rsidRPr="006A2219">
        <w:rPr>
          <w:noProof/>
        </w:rPr>
        <w:t>Lignes directrices pour la validation d'un nouveau protocole de marqueurs moléculaires spécifiques à un caractère comme méthode alternative d'observation</w:t>
      </w:r>
      <w:r w:rsidR="008C6931">
        <w:rPr>
          <w:noProof/>
        </w:rPr>
        <w:tab/>
      </w:r>
      <w:r w:rsidR="008C6931">
        <w:rPr>
          <w:noProof/>
        </w:rPr>
        <w:fldChar w:fldCharType="begin"/>
      </w:r>
      <w:r w:rsidR="008C6931">
        <w:rPr>
          <w:noProof/>
        </w:rPr>
        <w:instrText xml:space="preserve"> PAGEREF _Toc210661209 \h </w:instrText>
      </w:r>
      <w:r w:rsidR="008C6931">
        <w:rPr>
          <w:noProof/>
        </w:rPr>
      </w:r>
      <w:r w:rsidR="008C6931">
        <w:rPr>
          <w:noProof/>
        </w:rPr>
        <w:fldChar w:fldCharType="separate"/>
      </w:r>
      <w:r w:rsidR="008C6931">
        <w:rPr>
          <w:noProof/>
        </w:rPr>
        <w:t>3</w:t>
      </w:r>
      <w:r w:rsidR="008C6931">
        <w:rPr>
          <w:noProof/>
        </w:rPr>
        <w:fldChar w:fldCharType="end"/>
      </w:r>
    </w:p>
    <w:p w14:paraId="01FEDE30" w14:textId="7668F8AF" w:rsidR="008C6931" w:rsidRDefault="008C6931">
      <w:pPr>
        <w:pStyle w:val="TOC2"/>
        <w:rPr>
          <w:rFonts w:asciiTheme="minorHAnsi" w:hAnsiTheme="minorHAnsi" w:cstheme="minorBidi"/>
          <w:noProof/>
          <w:kern w:val="2"/>
          <w:sz w:val="24"/>
          <w:szCs w:val="24"/>
          <w:lang w:val="en-GB" w:eastAsia="en-GB"/>
          <w14:ligatures w14:val="standardContextual"/>
        </w:rPr>
      </w:pPr>
      <w:r w:rsidRPr="006A2219">
        <w:rPr>
          <w:noProof/>
        </w:rPr>
        <w:t>Contexte</w:t>
      </w:r>
      <w:r>
        <w:rPr>
          <w:noProof/>
        </w:rPr>
        <w:tab/>
      </w:r>
      <w:r>
        <w:rPr>
          <w:noProof/>
        </w:rPr>
        <w:fldChar w:fldCharType="begin"/>
      </w:r>
      <w:r>
        <w:rPr>
          <w:noProof/>
        </w:rPr>
        <w:instrText xml:space="preserve"> PAGEREF _Toc210661210 \h </w:instrText>
      </w:r>
      <w:r>
        <w:rPr>
          <w:noProof/>
        </w:rPr>
      </w:r>
      <w:r>
        <w:rPr>
          <w:noProof/>
        </w:rPr>
        <w:fldChar w:fldCharType="separate"/>
      </w:r>
      <w:r>
        <w:rPr>
          <w:noProof/>
        </w:rPr>
        <w:t>3</w:t>
      </w:r>
      <w:r>
        <w:rPr>
          <w:noProof/>
        </w:rPr>
        <w:fldChar w:fldCharType="end"/>
      </w:r>
    </w:p>
    <w:p w14:paraId="299E7928" w14:textId="4752546C" w:rsidR="008C6931" w:rsidRDefault="008C6931">
      <w:pPr>
        <w:pStyle w:val="TOC2"/>
        <w:rPr>
          <w:rFonts w:asciiTheme="minorHAnsi" w:hAnsiTheme="minorHAnsi" w:cstheme="minorBidi"/>
          <w:noProof/>
          <w:kern w:val="2"/>
          <w:sz w:val="24"/>
          <w:szCs w:val="24"/>
          <w:lang w:val="en-GB" w:eastAsia="en-GB"/>
          <w14:ligatures w14:val="standardContextual"/>
        </w:rPr>
      </w:pPr>
      <w:r w:rsidRPr="006A2219">
        <w:rPr>
          <w:noProof/>
          <w:lang w:eastAsia="ja-JP"/>
        </w:rPr>
        <w:t>Évolution au sein des groupes de travail techniques lors de leurs sessions de 2025</w:t>
      </w:r>
      <w:r>
        <w:rPr>
          <w:noProof/>
        </w:rPr>
        <w:tab/>
      </w:r>
      <w:r>
        <w:rPr>
          <w:noProof/>
        </w:rPr>
        <w:fldChar w:fldCharType="begin"/>
      </w:r>
      <w:r>
        <w:rPr>
          <w:noProof/>
        </w:rPr>
        <w:instrText xml:space="preserve"> PAGEREF _Toc210661211 \h </w:instrText>
      </w:r>
      <w:r>
        <w:rPr>
          <w:noProof/>
        </w:rPr>
      </w:r>
      <w:r>
        <w:rPr>
          <w:noProof/>
        </w:rPr>
        <w:fldChar w:fldCharType="separate"/>
      </w:r>
      <w:r>
        <w:rPr>
          <w:noProof/>
        </w:rPr>
        <w:t>3</w:t>
      </w:r>
      <w:r>
        <w:rPr>
          <w:noProof/>
        </w:rPr>
        <w:fldChar w:fldCharType="end"/>
      </w:r>
    </w:p>
    <w:p w14:paraId="3F9AC355" w14:textId="35BF98EA" w:rsidR="008C6931" w:rsidRDefault="008C6931">
      <w:pPr>
        <w:pStyle w:val="TOC3"/>
        <w:rPr>
          <w:rFonts w:asciiTheme="minorHAnsi" w:hAnsiTheme="minorHAnsi" w:cstheme="minorBidi"/>
          <w:i w:val="0"/>
          <w:noProof/>
          <w:kern w:val="2"/>
          <w:sz w:val="24"/>
          <w:szCs w:val="24"/>
          <w:lang w:val="en-GB" w:eastAsia="en-GB"/>
          <w14:ligatures w14:val="standardContextual"/>
        </w:rPr>
      </w:pPr>
      <w:r w:rsidRPr="006A2219">
        <w:rPr>
          <w:noProof/>
          <w:lang w:eastAsia="ja-JP"/>
        </w:rPr>
        <w:t>Validation des marqueurs moléculaires spécifiques à un caractère pour les principes directeurs d'examen.</w:t>
      </w:r>
      <w:r>
        <w:rPr>
          <w:noProof/>
        </w:rPr>
        <w:tab/>
      </w:r>
      <w:r>
        <w:rPr>
          <w:noProof/>
        </w:rPr>
        <w:fldChar w:fldCharType="begin"/>
      </w:r>
      <w:r>
        <w:rPr>
          <w:noProof/>
        </w:rPr>
        <w:instrText xml:space="preserve"> PAGEREF _Toc210661212 \h </w:instrText>
      </w:r>
      <w:r>
        <w:rPr>
          <w:noProof/>
        </w:rPr>
      </w:r>
      <w:r>
        <w:rPr>
          <w:noProof/>
        </w:rPr>
        <w:fldChar w:fldCharType="separate"/>
      </w:r>
      <w:r>
        <w:rPr>
          <w:noProof/>
        </w:rPr>
        <w:t>3</w:t>
      </w:r>
      <w:r>
        <w:rPr>
          <w:noProof/>
        </w:rPr>
        <w:fldChar w:fldCharType="end"/>
      </w:r>
    </w:p>
    <w:p w14:paraId="2F446F84" w14:textId="25512384" w:rsidR="008C6931" w:rsidRDefault="008C6931">
      <w:pPr>
        <w:pStyle w:val="TOC3"/>
        <w:rPr>
          <w:rFonts w:asciiTheme="minorHAnsi" w:hAnsiTheme="minorHAnsi" w:cstheme="minorBidi"/>
          <w:i w:val="0"/>
          <w:noProof/>
          <w:kern w:val="2"/>
          <w:sz w:val="24"/>
          <w:szCs w:val="24"/>
          <w:lang w:val="en-GB" w:eastAsia="en-GB"/>
          <w14:ligatures w14:val="standardContextual"/>
        </w:rPr>
      </w:pPr>
      <w:r w:rsidRPr="006A2219">
        <w:rPr>
          <w:noProof/>
        </w:rPr>
        <w:t>Marqueurs moléculaires constituant des secrets commerciaux</w:t>
      </w:r>
      <w:r>
        <w:rPr>
          <w:noProof/>
        </w:rPr>
        <w:tab/>
      </w:r>
      <w:r>
        <w:rPr>
          <w:noProof/>
        </w:rPr>
        <w:fldChar w:fldCharType="begin"/>
      </w:r>
      <w:r>
        <w:rPr>
          <w:noProof/>
        </w:rPr>
        <w:instrText xml:space="preserve"> PAGEREF _Toc210661213 \h </w:instrText>
      </w:r>
      <w:r>
        <w:rPr>
          <w:noProof/>
        </w:rPr>
      </w:r>
      <w:r>
        <w:rPr>
          <w:noProof/>
        </w:rPr>
        <w:fldChar w:fldCharType="separate"/>
      </w:r>
      <w:r>
        <w:rPr>
          <w:noProof/>
        </w:rPr>
        <w:t>4</w:t>
      </w:r>
      <w:r>
        <w:rPr>
          <w:noProof/>
        </w:rPr>
        <w:fldChar w:fldCharType="end"/>
      </w:r>
    </w:p>
    <w:p w14:paraId="6F76FA69" w14:textId="1D326409" w:rsidR="008C6931" w:rsidRDefault="008C6931">
      <w:pPr>
        <w:pStyle w:val="TOC3"/>
        <w:rPr>
          <w:rFonts w:asciiTheme="minorHAnsi" w:hAnsiTheme="minorHAnsi" w:cstheme="minorBidi"/>
          <w:i w:val="0"/>
          <w:noProof/>
          <w:kern w:val="2"/>
          <w:sz w:val="24"/>
          <w:szCs w:val="24"/>
          <w:lang w:val="en-GB" w:eastAsia="en-GB"/>
          <w14:ligatures w14:val="standardContextual"/>
        </w:rPr>
      </w:pPr>
      <w:r w:rsidRPr="006A2219">
        <w:rPr>
          <w:noProof/>
        </w:rPr>
        <w:t>Protocole standard pour les marqueurs moléculaires spécifiques à un caractère dans les principes directeurs d'examen</w:t>
      </w:r>
      <w:r>
        <w:rPr>
          <w:noProof/>
        </w:rPr>
        <w:tab/>
      </w:r>
      <w:r>
        <w:rPr>
          <w:noProof/>
        </w:rPr>
        <w:fldChar w:fldCharType="begin"/>
      </w:r>
      <w:r>
        <w:rPr>
          <w:noProof/>
        </w:rPr>
        <w:instrText xml:space="preserve"> PAGEREF _Toc210661214 \h </w:instrText>
      </w:r>
      <w:r>
        <w:rPr>
          <w:noProof/>
        </w:rPr>
      </w:r>
      <w:r>
        <w:rPr>
          <w:noProof/>
        </w:rPr>
        <w:fldChar w:fldCharType="separate"/>
      </w:r>
      <w:r>
        <w:rPr>
          <w:noProof/>
        </w:rPr>
        <w:t>4</w:t>
      </w:r>
      <w:r>
        <w:rPr>
          <w:noProof/>
        </w:rPr>
        <w:fldChar w:fldCharType="end"/>
      </w:r>
    </w:p>
    <w:p w14:paraId="427177B8" w14:textId="422B28A7" w:rsidR="008C6931" w:rsidRDefault="008C6931">
      <w:pPr>
        <w:pStyle w:val="TOC3"/>
        <w:rPr>
          <w:rFonts w:asciiTheme="minorHAnsi" w:hAnsiTheme="minorHAnsi" w:cstheme="minorBidi"/>
          <w:i w:val="0"/>
          <w:noProof/>
          <w:kern w:val="2"/>
          <w:sz w:val="24"/>
          <w:szCs w:val="24"/>
          <w:lang w:val="en-GB" w:eastAsia="en-GB"/>
          <w14:ligatures w14:val="standardContextual"/>
        </w:rPr>
      </w:pPr>
      <w:r w:rsidRPr="006A2219">
        <w:rPr>
          <w:noProof/>
        </w:rPr>
        <w:t>Caractères obtenus à l'aide de nouvelles techniques de sélection</w:t>
      </w:r>
      <w:r>
        <w:rPr>
          <w:noProof/>
        </w:rPr>
        <w:tab/>
      </w:r>
      <w:r>
        <w:rPr>
          <w:noProof/>
        </w:rPr>
        <w:fldChar w:fldCharType="begin"/>
      </w:r>
      <w:r>
        <w:rPr>
          <w:noProof/>
        </w:rPr>
        <w:instrText xml:space="preserve"> PAGEREF _Toc210661215 \h </w:instrText>
      </w:r>
      <w:r>
        <w:rPr>
          <w:noProof/>
        </w:rPr>
      </w:r>
      <w:r>
        <w:rPr>
          <w:noProof/>
        </w:rPr>
        <w:fldChar w:fldCharType="separate"/>
      </w:r>
      <w:r>
        <w:rPr>
          <w:noProof/>
        </w:rPr>
        <w:t>4</w:t>
      </w:r>
      <w:r>
        <w:rPr>
          <w:noProof/>
        </w:rPr>
        <w:fldChar w:fldCharType="end"/>
      </w:r>
    </w:p>
    <w:p w14:paraId="160AA523" w14:textId="3F95B483" w:rsidR="008C6931" w:rsidRDefault="008C6931">
      <w:pPr>
        <w:pStyle w:val="TOC2"/>
        <w:rPr>
          <w:rFonts w:asciiTheme="minorHAnsi" w:hAnsiTheme="minorHAnsi" w:cstheme="minorBidi"/>
          <w:noProof/>
          <w:kern w:val="2"/>
          <w:sz w:val="24"/>
          <w:szCs w:val="24"/>
          <w:lang w:val="en-GB" w:eastAsia="en-GB"/>
          <w14:ligatures w14:val="standardContextual"/>
        </w:rPr>
      </w:pPr>
      <w:r w:rsidRPr="006A2219">
        <w:rPr>
          <w:noProof/>
          <w:lang w:eastAsia="ja-JP"/>
        </w:rPr>
        <w:t>Proposition</w:t>
      </w:r>
      <w:r>
        <w:rPr>
          <w:noProof/>
        </w:rPr>
        <w:tab/>
      </w:r>
      <w:r>
        <w:rPr>
          <w:noProof/>
        </w:rPr>
        <w:fldChar w:fldCharType="begin"/>
      </w:r>
      <w:r>
        <w:rPr>
          <w:noProof/>
        </w:rPr>
        <w:instrText xml:space="preserve"> PAGEREF _Toc210661216 \h </w:instrText>
      </w:r>
      <w:r>
        <w:rPr>
          <w:noProof/>
        </w:rPr>
      </w:r>
      <w:r>
        <w:rPr>
          <w:noProof/>
        </w:rPr>
        <w:fldChar w:fldCharType="separate"/>
      </w:r>
      <w:r>
        <w:rPr>
          <w:noProof/>
        </w:rPr>
        <w:t>4</w:t>
      </w:r>
      <w:r>
        <w:rPr>
          <w:noProof/>
        </w:rPr>
        <w:fldChar w:fldCharType="end"/>
      </w:r>
    </w:p>
    <w:p w14:paraId="316DFAA5" w14:textId="04AEC6C0" w:rsidR="008C6931" w:rsidRDefault="008C6931">
      <w:pPr>
        <w:pStyle w:val="TOC1"/>
        <w:rPr>
          <w:rFonts w:asciiTheme="minorHAnsi" w:hAnsiTheme="minorHAnsi" w:cstheme="minorBidi"/>
          <w:caps w:val="0"/>
          <w:noProof/>
          <w:kern w:val="2"/>
          <w:sz w:val="24"/>
          <w:szCs w:val="24"/>
          <w:lang w:val="en-GB" w:eastAsia="en-GB"/>
          <w14:ligatures w14:val="standardContextual"/>
        </w:rPr>
      </w:pPr>
      <w:r w:rsidRPr="006A2219">
        <w:rPr>
          <w:noProof/>
        </w:rPr>
        <w:t>Confidentialité et propriété des informations moléculaires</w:t>
      </w:r>
      <w:r>
        <w:rPr>
          <w:noProof/>
        </w:rPr>
        <w:tab/>
      </w:r>
      <w:r>
        <w:rPr>
          <w:noProof/>
        </w:rPr>
        <w:fldChar w:fldCharType="begin"/>
      </w:r>
      <w:r>
        <w:rPr>
          <w:noProof/>
        </w:rPr>
        <w:instrText xml:space="preserve"> PAGEREF _Toc210661217 \h </w:instrText>
      </w:r>
      <w:r>
        <w:rPr>
          <w:noProof/>
        </w:rPr>
      </w:r>
      <w:r>
        <w:rPr>
          <w:noProof/>
        </w:rPr>
        <w:fldChar w:fldCharType="separate"/>
      </w:r>
      <w:r>
        <w:rPr>
          <w:noProof/>
        </w:rPr>
        <w:t>4</w:t>
      </w:r>
      <w:r>
        <w:rPr>
          <w:noProof/>
        </w:rPr>
        <w:fldChar w:fldCharType="end"/>
      </w:r>
    </w:p>
    <w:p w14:paraId="633557FE" w14:textId="1294D5F3" w:rsidR="008C6931" w:rsidRDefault="008C6931">
      <w:pPr>
        <w:pStyle w:val="TOC2"/>
        <w:rPr>
          <w:rFonts w:asciiTheme="minorHAnsi" w:hAnsiTheme="minorHAnsi" w:cstheme="minorBidi"/>
          <w:noProof/>
          <w:kern w:val="2"/>
          <w:sz w:val="24"/>
          <w:szCs w:val="24"/>
          <w:lang w:val="en-GB" w:eastAsia="en-GB"/>
          <w14:ligatures w14:val="standardContextual"/>
        </w:rPr>
      </w:pPr>
      <w:r w:rsidRPr="006A2219">
        <w:rPr>
          <w:noProof/>
        </w:rPr>
        <w:t>Contexte</w:t>
      </w:r>
      <w:r>
        <w:rPr>
          <w:noProof/>
        </w:rPr>
        <w:tab/>
      </w:r>
      <w:r>
        <w:rPr>
          <w:noProof/>
        </w:rPr>
        <w:fldChar w:fldCharType="begin"/>
      </w:r>
      <w:r>
        <w:rPr>
          <w:noProof/>
        </w:rPr>
        <w:instrText xml:space="preserve"> PAGEREF _Toc210661218 \h </w:instrText>
      </w:r>
      <w:r>
        <w:rPr>
          <w:noProof/>
        </w:rPr>
      </w:r>
      <w:r>
        <w:rPr>
          <w:noProof/>
        </w:rPr>
        <w:fldChar w:fldCharType="separate"/>
      </w:r>
      <w:r>
        <w:rPr>
          <w:noProof/>
        </w:rPr>
        <w:t>4</w:t>
      </w:r>
      <w:r>
        <w:rPr>
          <w:noProof/>
        </w:rPr>
        <w:fldChar w:fldCharType="end"/>
      </w:r>
    </w:p>
    <w:p w14:paraId="107D9321" w14:textId="2AB3350B" w:rsidR="008C6931" w:rsidRDefault="008C6931">
      <w:pPr>
        <w:pStyle w:val="TOC3"/>
        <w:rPr>
          <w:rFonts w:asciiTheme="minorHAnsi" w:hAnsiTheme="minorHAnsi" w:cstheme="minorBidi"/>
          <w:i w:val="0"/>
          <w:noProof/>
          <w:kern w:val="2"/>
          <w:sz w:val="24"/>
          <w:szCs w:val="24"/>
          <w:lang w:val="en-GB" w:eastAsia="en-GB"/>
          <w14:ligatures w14:val="standardContextual"/>
        </w:rPr>
      </w:pPr>
      <w:r w:rsidRPr="006A2219">
        <w:rPr>
          <w:noProof/>
        </w:rPr>
        <w:t>Orientations existantes</w:t>
      </w:r>
      <w:r>
        <w:rPr>
          <w:noProof/>
        </w:rPr>
        <w:tab/>
      </w:r>
      <w:r>
        <w:rPr>
          <w:noProof/>
        </w:rPr>
        <w:fldChar w:fldCharType="begin"/>
      </w:r>
      <w:r>
        <w:rPr>
          <w:noProof/>
        </w:rPr>
        <w:instrText xml:space="preserve"> PAGEREF _Toc210661219 \h </w:instrText>
      </w:r>
      <w:r>
        <w:rPr>
          <w:noProof/>
        </w:rPr>
      </w:r>
      <w:r>
        <w:rPr>
          <w:noProof/>
        </w:rPr>
        <w:fldChar w:fldCharType="separate"/>
      </w:r>
      <w:r>
        <w:rPr>
          <w:noProof/>
        </w:rPr>
        <w:t>5</w:t>
      </w:r>
      <w:r>
        <w:rPr>
          <w:noProof/>
        </w:rPr>
        <w:fldChar w:fldCharType="end"/>
      </w:r>
    </w:p>
    <w:p w14:paraId="3C820306" w14:textId="74A5347B" w:rsidR="008C6931" w:rsidRDefault="008C6931">
      <w:pPr>
        <w:pStyle w:val="TOC2"/>
        <w:rPr>
          <w:rFonts w:asciiTheme="minorHAnsi" w:hAnsiTheme="minorHAnsi" w:cstheme="minorBidi"/>
          <w:noProof/>
          <w:kern w:val="2"/>
          <w:sz w:val="24"/>
          <w:szCs w:val="24"/>
          <w:lang w:val="en-GB" w:eastAsia="en-GB"/>
          <w14:ligatures w14:val="standardContextual"/>
        </w:rPr>
      </w:pPr>
      <w:r w:rsidRPr="006A2219">
        <w:rPr>
          <w:noProof/>
          <w:lang w:eastAsia="ja-JP"/>
        </w:rPr>
        <w:t>Évolution des travaux des groupes de travail techniques lors de leurs sessions de 2025</w:t>
      </w:r>
      <w:r>
        <w:rPr>
          <w:noProof/>
        </w:rPr>
        <w:tab/>
      </w:r>
      <w:r>
        <w:rPr>
          <w:noProof/>
        </w:rPr>
        <w:fldChar w:fldCharType="begin"/>
      </w:r>
      <w:r>
        <w:rPr>
          <w:noProof/>
        </w:rPr>
        <w:instrText xml:space="preserve"> PAGEREF _Toc210661220 \h </w:instrText>
      </w:r>
      <w:r>
        <w:rPr>
          <w:noProof/>
        </w:rPr>
      </w:r>
      <w:r>
        <w:rPr>
          <w:noProof/>
        </w:rPr>
        <w:fldChar w:fldCharType="separate"/>
      </w:r>
      <w:r>
        <w:rPr>
          <w:noProof/>
        </w:rPr>
        <w:t>5</w:t>
      </w:r>
      <w:r>
        <w:rPr>
          <w:noProof/>
        </w:rPr>
        <w:fldChar w:fldCharType="end"/>
      </w:r>
    </w:p>
    <w:p w14:paraId="62BAD332" w14:textId="79FED516" w:rsidR="008C6931" w:rsidRDefault="008C6931">
      <w:pPr>
        <w:pStyle w:val="TOC1"/>
        <w:rPr>
          <w:rFonts w:asciiTheme="minorHAnsi" w:hAnsiTheme="minorHAnsi" w:cstheme="minorBidi"/>
          <w:caps w:val="0"/>
          <w:noProof/>
          <w:kern w:val="2"/>
          <w:sz w:val="24"/>
          <w:szCs w:val="24"/>
          <w:lang w:val="en-GB" w:eastAsia="en-GB"/>
          <w14:ligatures w14:val="standardContextual"/>
        </w:rPr>
      </w:pPr>
      <w:r w:rsidRPr="006A2219">
        <w:rPr>
          <w:noProof/>
          <w:snapToGrid w:val="0"/>
          <w:lang w:eastAsia="ja-JP"/>
        </w:rPr>
        <w:t>COOPÉRATION ENTRE ORGANISATIONS INTERNATIONALES</w:t>
      </w:r>
      <w:r>
        <w:rPr>
          <w:noProof/>
        </w:rPr>
        <w:tab/>
      </w:r>
      <w:r>
        <w:rPr>
          <w:noProof/>
        </w:rPr>
        <w:fldChar w:fldCharType="begin"/>
      </w:r>
      <w:r>
        <w:rPr>
          <w:noProof/>
        </w:rPr>
        <w:instrText xml:space="preserve"> PAGEREF _Toc210661221 \h </w:instrText>
      </w:r>
      <w:r>
        <w:rPr>
          <w:noProof/>
        </w:rPr>
      </w:r>
      <w:r>
        <w:rPr>
          <w:noProof/>
        </w:rPr>
        <w:fldChar w:fldCharType="separate"/>
      </w:r>
      <w:r>
        <w:rPr>
          <w:noProof/>
        </w:rPr>
        <w:t>7</w:t>
      </w:r>
      <w:r>
        <w:rPr>
          <w:noProof/>
        </w:rPr>
        <w:fldChar w:fldCharType="end"/>
      </w:r>
    </w:p>
    <w:p w14:paraId="34451316" w14:textId="323998E7" w:rsidR="008C6931" w:rsidRDefault="008C6931">
      <w:pPr>
        <w:pStyle w:val="TOC2"/>
        <w:rPr>
          <w:rFonts w:asciiTheme="minorHAnsi" w:hAnsiTheme="minorHAnsi" w:cstheme="minorBidi"/>
          <w:noProof/>
          <w:kern w:val="2"/>
          <w:sz w:val="24"/>
          <w:szCs w:val="24"/>
          <w:lang w:val="en-GB" w:eastAsia="en-GB"/>
          <w14:ligatures w14:val="standardContextual"/>
        </w:rPr>
      </w:pPr>
      <w:r w:rsidRPr="006A2219">
        <w:rPr>
          <w:noProof/>
        </w:rPr>
        <w:t>Contexte</w:t>
      </w:r>
      <w:r>
        <w:rPr>
          <w:noProof/>
        </w:rPr>
        <w:tab/>
      </w:r>
      <w:r>
        <w:rPr>
          <w:noProof/>
        </w:rPr>
        <w:fldChar w:fldCharType="begin"/>
      </w:r>
      <w:r>
        <w:rPr>
          <w:noProof/>
        </w:rPr>
        <w:instrText xml:space="preserve"> PAGEREF _Toc210661222 \h </w:instrText>
      </w:r>
      <w:r>
        <w:rPr>
          <w:noProof/>
        </w:rPr>
      </w:r>
      <w:r>
        <w:rPr>
          <w:noProof/>
        </w:rPr>
        <w:fldChar w:fldCharType="separate"/>
      </w:r>
      <w:r>
        <w:rPr>
          <w:noProof/>
        </w:rPr>
        <w:t>7</w:t>
      </w:r>
      <w:r>
        <w:rPr>
          <w:noProof/>
        </w:rPr>
        <w:fldChar w:fldCharType="end"/>
      </w:r>
    </w:p>
    <w:p w14:paraId="58F9F860" w14:textId="61E769A4" w:rsidR="008C6931" w:rsidRDefault="008C6931">
      <w:pPr>
        <w:pStyle w:val="TOC2"/>
        <w:rPr>
          <w:rFonts w:asciiTheme="minorHAnsi" w:hAnsiTheme="minorHAnsi" w:cstheme="minorBidi"/>
          <w:noProof/>
          <w:kern w:val="2"/>
          <w:sz w:val="24"/>
          <w:szCs w:val="24"/>
          <w:lang w:val="en-GB" w:eastAsia="en-GB"/>
          <w14:ligatures w14:val="standardContextual"/>
        </w:rPr>
      </w:pPr>
      <w:r w:rsidRPr="006A2219">
        <w:rPr>
          <w:noProof/>
        </w:rPr>
        <w:t>Harmonisation des termes, définitions et méthodes entre l'UPOV, l'OCDE et l'ISTA</w:t>
      </w:r>
      <w:r>
        <w:rPr>
          <w:noProof/>
        </w:rPr>
        <w:tab/>
      </w:r>
      <w:r>
        <w:rPr>
          <w:noProof/>
        </w:rPr>
        <w:fldChar w:fldCharType="begin"/>
      </w:r>
      <w:r>
        <w:rPr>
          <w:noProof/>
        </w:rPr>
        <w:instrText xml:space="preserve"> PAGEREF _Toc210661223 \h </w:instrText>
      </w:r>
      <w:r>
        <w:rPr>
          <w:noProof/>
        </w:rPr>
      </w:r>
      <w:r>
        <w:rPr>
          <w:noProof/>
        </w:rPr>
        <w:fldChar w:fldCharType="separate"/>
      </w:r>
      <w:r>
        <w:rPr>
          <w:noProof/>
        </w:rPr>
        <w:t>7</w:t>
      </w:r>
      <w:r>
        <w:rPr>
          <w:noProof/>
        </w:rPr>
        <w:fldChar w:fldCharType="end"/>
      </w:r>
    </w:p>
    <w:p w14:paraId="08BA5C5C" w14:textId="161C6D66" w:rsidR="008C6931" w:rsidRDefault="008C6931">
      <w:pPr>
        <w:pStyle w:val="TOC2"/>
        <w:rPr>
          <w:rFonts w:asciiTheme="minorHAnsi" w:hAnsiTheme="minorHAnsi" w:cstheme="minorBidi"/>
          <w:noProof/>
          <w:kern w:val="2"/>
          <w:sz w:val="24"/>
          <w:szCs w:val="24"/>
          <w:lang w:val="en-GB" w:eastAsia="en-GB"/>
          <w14:ligatures w14:val="standardContextual"/>
        </w:rPr>
      </w:pPr>
      <w:r w:rsidRPr="006A2219">
        <w:rPr>
          <w:noProof/>
          <w:snapToGrid w:val="0"/>
        </w:rPr>
        <w:t>Mise à jour de la liste des marqueurs moléculaires utilisés par culture</w:t>
      </w:r>
      <w:r>
        <w:rPr>
          <w:noProof/>
        </w:rPr>
        <w:tab/>
      </w:r>
      <w:r>
        <w:rPr>
          <w:noProof/>
        </w:rPr>
        <w:fldChar w:fldCharType="begin"/>
      </w:r>
      <w:r>
        <w:rPr>
          <w:noProof/>
        </w:rPr>
        <w:instrText xml:space="preserve"> PAGEREF _Toc210661224 \h </w:instrText>
      </w:r>
      <w:r>
        <w:rPr>
          <w:noProof/>
        </w:rPr>
      </w:r>
      <w:r>
        <w:rPr>
          <w:noProof/>
        </w:rPr>
        <w:fldChar w:fldCharType="separate"/>
      </w:r>
      <w:r>
        <w:rPr>
          <w:noProof/>
        </w:rPr>
        <w:t>7</w:t>
      </w:r>
      <w:r>
        <w:rPr>
          <w:noProof/>
        </w:rPr>
        <w:fldChar w:fldCharType="end"/>
      </w:r>
    </w:p>
    <w:p w14:paraId="7075F4F5" w14:textId="461CC3FC" w:rsidR="008C6931" w:rsidRDefault="008C6931">
      <w:pPr>
        <w:pStyle w:val="TOC2"/>
        <w:rPr>
          <w:rFonts w:asciiTheme="minorHAnsi" w:hAnsiTheme="minorHAnsi" w:cstheme="minorBidi"/>
          <w:noProof/>
          <w:kern w:val="2"/>
          <w:sz w:val="24"/>
          <w:szCs w:val="24"/>
          <w:lang w:val="en-GB" w:eastAsia="en-GB"/>
          <w14:ligatures w14:val="standardContextual"/>
        </w:rPr>
      </w:pPr>
      <w:r w:rsidRPr="006A2219">
        <w:rPr>
          <w:noProof/>
        </w:rPr>
        <w:t>Ensembles communs de marqueurs moléculaires pour l'identification des variétés</w:t>
      </w:r>
      <w:r>
        <w:rPr>
          <w:noProof/>
        </w:rPr>
        <w:tab/>
      </w:r>
      <w:r>
        <w:rPr>
          <w:noProof/>
        </w:rPr>
        <w:fldChar w:fldCharType="begin"/>
      </w:r>
      <w:r>
        <w:rPr>
          <w:noProof/>
        </w:rPr>
        <w:instrText xml:space="preserve"> PAGEREF _Toc210661225 \h </w:instrText>
      </w:r>
      <w:r>
        <w:rPr>
          <w:noProof/>
        </w:rPr>
      </w:r>
      <w:r>
        <w:rPr>
          <w:noProof/>
        </w:rPr>
        <w:fldChar w:fldCharType="separate"/>
      </w:r>
      <w:r>
        <w:rPr>
          <w:noProof/>
        </w:rPr>
        <w:t>8</w:t>
      </w:r>
      <w:r>
        <w:rPr>
          <w:noProof/>
        </w:rPr>
        <w:fldChar w:fldCharType="end"/>
      </w:r>
    </w:p>
    <w:p w14:paraId="78435C67" w14:textId="4680DE51" w:rsidR="008C6931" w:rsidRDefault="008C6931">
      <w:pPr>
        <w:pStyle w:val="TOC3"/>
        <w:rPr>
          <w:rFonts w:asciiTheme="minorHAnsi" w:hAnsiTheme="minorHAnsi" w:cstheme="minorBidi"/>
          <w:i w:val="0"/>
          <w:noProof/>
          <w:kern w:val="2"/>
          <w:sz w:val="24"/>
          <w:szCs w:val="24"/>
          <w:lang w:val="en-GB" w:eastAsia="en-GB"/>
          <w14:ligatures w14:val="standardContextual"/>
        </w:rPr>
      </w:pPr>
      <w:r w:rsidRPr="006A2219">
        <w:rPr>
          <w:noProof/>
          <w:lang w:eastAsia="ja-JP"/>
        </w:rPr>
        <w:t>Analyse prospective</w:t>
      </w:r>
      <w:r>
        <w:rPr>
          <w:noProof/>
        </w:rPr>
        <w:tab/>
      </w:r>
      <w:r>
        <w:rPr>
          <w:noProof/>
        </w:rPr>
        <w:fldChar w:fldCharType="begin"/>
      </w:r>
      <w:r>
        <w:rPr>
          <w:noProof/>
        </w:rPr>
        <w:instrText xml:space="preserve"> PAGEREF _Toc210661226 \h </w:instrText>
      </w:r>
      <w:r>
        <w:rPr>
          <w:noProof/>
        </w:rPr>
      </w:r>
      <w:r>
        <w:rPr>
          <w:noProof/>
        </w:rPr>
        <w:fldChar w:fldCharType="separate"/>
      </w:r>
      <w:r>
        <w:rPr>
          <w:noProof/>
        </w:rPr>
        <w:t>8</w:t>
      </w:r>
      <w:r>
        <w:rPr>
          <w:noProof/>
        </w:rPr>
        <w:fldChar w:fldCharType="end"/>
      </w:r>
    </w:p>
    <w:p w14:paraId="4B3CCFEE" w14:textId="495D1E6B" w:rsidR="008C6931" w:rsidRDefault="008C6931">
      <w:pPr>
        <w:pStyle w:val="TOC3"/>
        <w:rPr>
          <w:rFonts w:asciiTheme="minorHAnsi" w:hAnsiTheme="minorHAnsi" w:cstheme="minorBidi"/>
          <w:i w:val="0"/>
          <w:noProof/>
          <w:kern w:val="2"/>
          <w:sz w:val="24"/>
          <w:szCs w:val="24"/>
          <w:lang w:val="en-GB" w:eastAsia="en-GB"/>
          <w14:ligatures w14:val="standardContextual"/>
        </w:rPr>
      </w:pPr>
      <w:r w:rsidRPr="006A2219">
        <w:rPr>
          <w:noProof/>
        </w:rPr>
        <w:t>Faits nouveaux au sein du Groupe de travail technique sur les méthodes et techniques d'examen</w:t>
      </w:r>
      <w:r>
        <w:rPr>
          <w:noProof/>
        </w:rPr>
        <w:tab/>
      </w:r>
      <w:r>
        <w:rPr>
          <w:noProof/>
        </w:rPr>
        <w:fldChar w:fldCharType="begin"/>
      </w:r>
      <w:r>
        <w:rPr>
          <w:noProof/>
        </w:rPr>
        <w:instrText xml:space="preserve"> PAGEREF _Toc210661227 \h </w:instrText>
      </w:r>
      <w:r>
        <w:rPr>
          <w:noProof/>
        </w:rPr>
      </w:r>
      <w:r>
        <w:rPr>
          <w:noProof/>
        </w:rPr>
        <w:fldChar w:fldCharType="separate"/>
      </w:r>
      <w:r>
        <w:rPr>
          <w:noProof/>
        </w:rPr>
        <w:t>8</w:t>
      </w:r>
      <w:r>
        <w:rPr>
          <w:noProof/>
        </w:rPr>
        <w:fldChar w:fldCharType="end"/>
      </w:r>
    </w:p>
    <w:p w14:paraId="7701C8AE" w14:textId="7A7A5404" w:rsidR="008C6931" w:rsidRDefault="008C6931">
      <w:pPr>
        <w:pStyle w:val="TOC2"/>
        <w:rPr>
          <w:rFonts w:asciiTheme="minorHAnsi" w:hAnsiTheme="minorHAnsi" w:cstheme="minorBidi"/>
          <w:noProof/>
          <w:kern w:val="2"/>
          <w:sz w:val="24"/>
          <w:szCs w:val="24"/>
          <w:lang w:val="en-GB" w:eastAsia="en-GB"/>
          <w14:ligatures w14:val="standardContextual"/>
        </w:rPr>
      </w:pPr>
      <w:r w:rsidRPr="006A2219">
        <w:rPr>
          <w:noProof/>
        </w:rPr>
        <w:t>Informations sur l'utilisation des techniques moléculaires dans chaque organisation : possibilité d'une réunion conjointe</w:t>
      </w:r>
      <w:r>
        <w:rPr>
          <w:noProof/>
        </w:rPr>
        <w:tab/>
      </w:r>
      <w:r>
        <w:rPr>
          <w:noProof/>
        </w:rPr>
        <w:fldChar w:fldCharType="begin"/>
      </w:r>
      <w:r>
        <w:rPr>
          <w:noProof/>
        </w:rPr>
        <w:instrText xml:space="preserve"> PAGEREF _Toc210661228 \h </w:instrText>
      </w:r>
      <w:r>
        <w:rPr>
          <w:noProof/>
        </w:rPr>
      </w:r>
      <w:r>
        <w:rPr>
          <w:noProof/>
        </w:rPr>
        <w:fldChar w:fldCharType="separate"/>
      </w:r>
      <w:r>
        <w:rPr>
          <w:noProof/>
        </w:rPr>
        <w:t>8</w:t>
      </w:r>
      <w:r>
        <w:rPr>
          <w:noProof/>
        </w:rPr>
        <w:fldChar w:fldCharType="end"/>
      </w:r>
    </w:p>
    <w:p w14:paraId="1A7CB8A5" w14:textId="1B15D99C" w:rsidR="008C6931" w:rsidRDefault="008C6931">
      <w:pPr>
        <w:pStyle w:val="TOC1"/>
        <w:rPr>
          <w:rFonts w:asciiTheme="minorHAnsi" w:hAnsiTheme="minorHAnsi" w:cstheme="minorBidi"/>
          <w:caps w:val="0"/>
          <w:noProof/>
          <w:kern w:val="2"/>
          <w:sz w:val="24"/>
          <w:szCs w:val="24"/>
          <w:lang w:val="en-GB" w:eastAsia="en-GB"/>
          <w14:ligatures w14:val="standardContextual"/>
        </w:rPr>
      </w:pPr>
      <w:r w:rsidRPr="006A2219">
        <w:rPr>
          <w:noProof/>
          <w:snapToGrid w:val="0"/>
          <w:lang w:eastAsia="ja-JP"/>
        </w:rPr>
        <w:t>Questions pour information</w:t>
      </w:r>
      <w:r>
        <w:rPr>
          <w:noProof/>
        </w:rPr>
        <w:tab/>
      </w:r>
      <w:r>
        <w:rPr>
          <w:noProof/>
        </w:rPr>
        <w:fldChar w:fldCharType="begin"/>
      </w:r>
      <w:r>
        <w:rPr>
          <w:noProof/>
        </w:rPr>
        <w:instrText xml:space="preserve"> PAGEREF _Toc210661229 \h </w:instrText>
      </w:r>
      <w:r>
        <w:rPr>
          <w:noProof/>
        </w:rPr>
      </w:r>
      <w:r>
        <w:rPr>
          <w:noProof/>
        </w:rPr>
        <w:fldChar w:fldCharType="separate"/>
      </w:r>
      <w:r>
        <w:rPr>
          <w:noProof/>
        </w:rPr>
        <w:t>9</w:t>
      </w:r>
      <w:r>
        <w:rPr>
          <w:noProof/>
        </w:rPr>
        <w:fldChar w:fldCharType="end"/>
      </w:r>
    </w:p>
    <w:p w14:paraId="3DC4481D" w14:textId="201D35FC" w:rsidR="008C6931" w:rsidRDefault="008C6931">
      <w:pPr>
        <w:pStyle w:val="TOC2"/>
        <w:rPr>
          <w:rFonts w:asciiTheme="minorHAnsi" w:hAnsiTheme="minorHAnsi" w:cstheme="minorBidi"/>
          <w:noProof/>
          <w:kern w:val="2"/>
          <w:sz w:val="24"/>
          <w:szCs w:val="24"/>
          <w:lang w:val="en-GB" w:eastAsia="en-GB"/>
          <w14:ligatures w14:val="standardContextual"/>
        </w:rPr>
      </w:pPr>
      <w:r w:rsidRPr="006A2219">
        <w:rPr>
          <w:noProof/>
        </w:rPr>
        <w:t>Derniers développements en matière de techniques moléculaires et de bio-informatique</w:t>
      </w:r>
      <w:r>
        <w:rPr>
          <w:noProof/>
        </w:rPr>
        <w:tab/>
      </w:r>
      <w:r>
        <w:rPr>
          <w:noProof/>
        </w:rPr>
        <w:fldChar w:fldCharType="begin"/>
      </w:r>
      <w:r>
        <w:rPr>
          <w:noProof/>
        </w:rPr>
        <w:instrText xml:space="preserve"> PAGEREF _Toc210661230 \h </w:instrText>
      </w:r>
      <w:r>
        <w:rPr>
          <w:noProof/>
        </w:rPr>
      </w:r>
      <w:r>
        <w:rPr>
          <w:noProof/>
        </w:rPr>
        <w:fldChar w:fldCharType="separate"/>
      </w:r>
      <w:r>
        <w:rPr>
          <w:noProof/>
        </w:rPr>
        <w:t>9</w:t>
      </w:r>
      <w:r>
        <w:rPr>
          <w:noProof/>
        </w:rPr>
        <w:fldChar w:fldCharType="end"/>
      </w:r>
    </w:p>
    <w:p w14:paraId="2E0F66E3" w14:textId="4FB74656" w:rsidR="008C6931" w:rsidRDefault="008C6931">
      <w:pPr>
        <w:pStyle w:val="TOC3"/>
        <w:rPr>
          <w:rFonts w:asciiTheme="minorHAnsi" w:hAnsiTheme="minorHAnsi" w:cstheme="minorBidi"/>
          <w:i w:val="0"/>
          <w:noProof/>
          <w:kern w:val="2"/>
          <w:sz w:val="24"/>
          <w:szCs w:val="24"/>
          <w:lang w:val="en-GB" w:eastAsia="en-GB"/>
          <w14:ligatures w14:val="standardContextual"/>
        </w:rPr>
      </w:pPr>
      <w:r w:rsidRPr="006A2219">
        <w:rPr>
          <w:noProof/>
        </w:rPr>
        <w:t>Activités de science des données au Naktuinbouw en vue du génotypage et du phénotypage : mise à jour</w:t>
      </w:r>
      <w:r>
        <w:rPr>
          <w:noProof/>
        </w:rPr>
        <w:tab/>
      </w:r>
      <w:r>
        <w:rPr>
          <w:noProof/>
        </w:rPr>
        <w:fldChar w:fldCharType="begin"/>
      </w:r>
      <w:r>
        <w:rPr>
          <w:noProof/>
        </w:rPr>
        <w:instrText xml:space="preserve"> PAGEREF _Toc210661231 \h </w:instrText>
      </w:r>
      <w:r>
        <w:rPr>
          <w:noProof/>
        </w:rPr>
      </w:r>
      <w:r>
        <w:rPr>
          <w:noProof/>
        </w:rPr>
        <w:fldChar w:fldCharType="separate"/>
      </w:r>
      <w:r>
        <w:rPr>
          <w:noProof/>
        </w:rPr>
        <w:t>9</w:t>
      </w:r>
      <w:r>
        <w:rPr>
          <w:noProof/>
        </w:rPr>
        <w:fldChar w:fldCharType="end"/>
      </w:r>
    </w:p>
    <w:p w14:paraId="1FEAF0F4" w14:textId="67F414CE" w:rsidR="008C6931" w:rsidRDefault="008C6931">
      <w:pPr>
        <w:pStyle w:val="TOC2"/>
        <w:rPr>
          <w:rFonts w:asciiTheme="minorHAnsi" w:hAnsiTheme="minorHAnsi" w:cstheme="minorBidi"/>
          <w:noProof/>
          <w:kern w:val="2"/>
          <w:sz w:val="24"/>
          <w:szCs w:val="24"/>
          <w:lang w:val="en-GB" w:eastAsia="en-GB"/>
          <w14:ligatures w14:val="standardContextual"/>
        </w:rPr>
      </w:pPr>
      <w:r w:rsidRPr="006A2219">
        <w:rPr>
          <w:noProof/>
        </w:rPr>
        <w:t>Coopération entre organisations internationales</w:t>
      </w:r>
      <w:r>
        <w:rPr>
          <w:noProof/>
        </w:rPr>
        <w:tab/>
      </w:r>
      <w:r>
        <w:rPr>
          <w:noProof/>
        </w:rPr>
        <w:fldChar w:fldCharType="begin"/>
      </w:r>
      <w:r>
        <w:rPr>
          <w:noProof/>
        </w:rPr>
        <w:instrText xml:space="preserve"> PAGEREF _Toc210661232 \h </w:instrText>
      </w:r>
      <w:r>
        <w:rPr>
          <w:noProof/>
        </w:rPr>
      </w:r>
      <w:r>
        <w:rPr>
          <w:noProof/>
        </w:rPr>
        <w:fldChar w:fldCharType="separate"/>
      </w:r>
      <w:r>
        <w:rPr>
          <w:noProof/>
        </w:rPr>
        <w:t>9</w:t>
      </w:r>
      <w:r>
        <w:rPr>
          <w:noProof/>
        </w:rPr>
        <w:fldChar w:fldCharType="end"/>
      </w:r>
    </w:p>
    <w:p w14:paraId="132A75FE" w14:textId="35B49F87" w:rsidR="008C6931" w:rsidRDefault="008C6931">
      <w:pPr>
        <w:pStyle w:val="TOC3"/>
        <w:rPr>
          <w:rFonts w:asciiTheme="minorHAnsi" w:hAnsiTheme="minorHAnsi" w:cstheme="minorBidi"/>
          <w:i w:val="0"/>
          <w:noProof/>
          <w:kern w:val="2"/>
          <w:sz w:val="24"/>
          <w:szCs w:val="24"/>
          <w:lang w:val="en-GB" w:eastAsia="en-GB"/>
          <w14:ligatures w14:val="standardContextual"/>
        </w:rPr>
      </w:pPr>
      <w:r w:rsidRPr="006A2219">
        <w:rPr>
          <w:noProof/>
        </w:rPr>
        <w:t>ISTA</w:t>
      </w:r>
      <w:r>
        <w:rPr>
          <w:noProof/>
        </w:rPr>
        <w:tab/>
      </w:r>
      <w:r>
        <w:rPr>
          <w:noProof/>
        </w:rPr>
        <w:fldChar w:fldCharType="begin"/>
      </w:r>
      <w:r>
        <w:rPr>
          <w:noProof/>
        </w:rPr>
        <w:instrText xml:space="preserve"> PAGEREF _Toc210661233 \h </w:instrText>
      </w:r>
      <w:r>
        <w:rPr>
          <w:noProof/>
        </w:rPr>
      </w:r>
      <w:r>
        <w:rPr>
          <w:noProof/>
        </w:rPr>
        <w:fldChar w:fldCharType="separate"/>
      </w:r>
      <w:r>
        <w:rPr>
          <w:noProof/>
        </w:rPr>
        <w:t>9</w:t>
      </w:r>
      <w:r>
        <w:rPr>
          <w:noProof/>
        </w:rPr>
        <w:fldChar w:fldCharType="end"/>
      </w:r>
    </w:p>
    <w:p w14:paraId="5EFD5156" w14:textId="038CF438" w:rsidR="008C6931" w:rsidRDefault="008C6931">
      <w:pPr>
        <w:pStyle w:val="TOC3"/>
        <w:rPr>
          <w:rFonts w:asciiTheme="minorHAnsi" w:hAnsiTheme="minorHAnsi" w:cstheme="minorBidi"/>
          <w:i w:val="0"/>
          <w:noProof/>
          <w:kern w:val="2"/>
          <w:sz w:val="24"/>
          <w:szCs w:val="24"/>
          <w:lang w:val="en-GB" w:eastAsia="en-GB"/>
          <w14:ligatures w14:val="standardContextual"/>
        </w:rPr>
      </w:pPr>
      <w:r w:rsidRPr="006A2219">
        <w:rPr>
          <w:noProof/>
        </w:rPr>
        <w:t>OCDE</w:t>
      </w:r>
      <w:r>
        <w:rPr>
          <w:noProof/>
        </w:rPr>
        <w:tab/>
      </w:r>
      <w:r>
        <w:rPr>
          <w:noProof/>
        </w:rPr>
        <w:fldChar w:fldCharType="begin"/>
      </w:r>
      <w:r>
        <w:rPr>
          <w:noProof/>
        </w:rPr>
        <w:instrText xml:space="preserve"> PAGEREF _Toc210661234 \h </w:instrText>
      </w:r>
      <w:r>
        <w:rPr>
          <w:noProof/>
        </w:rPr>
      </w:r>
      <w:r>
        <w:rPr>
          <w:noProof/>
        </w:rPr>
        <w:fldChar w:fldCharType="separate"/>
      </w:r>
      <w:r>
        <w:rPr>
          <w:noProof/>
        </w:rPr>
        <w:t>9</w:t>
      </w:r>
      <w:r>
        <w:rPr>
          <w:noProof/>
        </w:rPr>
        <w:fldChar w:fldCharType="end"/>
      </w:r>
    </w:p>
    <w:p w14:paraId="372635B2" w14:textId="78180414" w:rsidR="008C6931" w:rsidRDefault="008C6931">
      <w:pPr>
        <w:pStyle w:val="TOC2"/>
        <w:rPr>
          <w:rFonts w:asciiTheme="minorHAnsi" w:hAnsiTheme="minorHAnsi" w:cstheme="minorBidi"/>
          <w:noProof/>
          <w:kern w:val="2"/>
          <w:sz w:val="24"/>
          <w:szCs w:val="24"/>
          <w:lang w:val="en-GB" w:eastAsia="en-GB"/>
          <w14:ligatures w14:val="standardContextual"/>
        </w:rPr>
      </w:pPr>
      <w:r w:rsidRPr="006A2219">
        <w:rPr>
          <w:noProof/>
        </w:rPr>
        <w:t>Compte rendu sur les travaux relatifs aux techniques moléculaires dans le cadre de l'examen DHS</w:t>
      </w:r>
      <w:r>
        <w:rPr>
          <w:noProof/>
        </w:rPr>
        <w:tab/>
      </w:r>
      <w:r>
        <w:rPr>
          <w:noProof/>
        </w:rPr>
        <w:fldChar w:fldCharType="begin"/>
      </w:r>
      <w:r>
        <w:rPr>
          <w:noProof/>
        </w:rPr>
        <w:instrText xml:space="preserve"> PAGEREF _Toc210661235 \h </w:instrText>
      </w:r>
      <w:r>
        <w:rPr>
          <w:noProof/>
        </w:rPr>
      </w:r>
      <w:r>
        <w:rPr>
          <w:noProof/>
        </w:rPr>
        <w:fldChar w:fldCharType="separate"/>
      </w:r>
      <w:r>
        <w:rPr>
          <w:noProof/>
        </w:rPr>
        <w:t>9</w:t>
      </w:r>
      <w:r>
        <w:rPr>
          <w:noProof/>
        </w:rPr>
        <w:fldChar w:fldCharType="end"/>
      </w:r>
    </w:p>
    <w:p w14:paraId="4FE6C541" w14:textId="52E50556" w:rsidR="008C6931" w:rsidRDefault="008C6931">
      <w:pPr>
        <w:pStyle w:val="TOC3"/>
        <w:rPr>
          <w:rFonts w:asciiTheme="minorHAnsi" w:hAnsiTheme="minorHAnsi" w:cstheme="minorBidi"/>
          <w:i w:val="0"/>
          <w:noProof/>
          <w:kern w:val="2"/>
          <w:sz w:val="24"/>
          <w:szCs w:val="24"/>
          <w:lang w:val="en-GB" w:eastAsia="en-GB"/>
          <w14:ligatures w14:val="standardContextual"/>
        </w:rPr>
      </w:pPr>
      <w:r w:rsidRPr="006A2219">
        <w:rPr>
          <w:noProof/>
        </w:rPr>
        <w:t>Derniers développements en matière de marqueurs moléculaires spécifiques à certains caractères au Naktuinbouw : appel à l'échange de connaissances</w:t>
      </w:r>
      <w:r>
        <w:rPr>
          <w:noProof/>
        </w:rPr>
        <w:tab/>
      </w:r>
      <w:r>
        <w:rPr>
          <w:noProof/>
        </w:rPr>
        <w:fldChar w:fldCharType="begin"/>
      </w:r>
      <w:r>
        <w:rPr>
          <w:noProof/>
        </w:rPr>
        <w:instrText xml:space="preserve"> PAGEREF _Toc210661236 \h </w:instrText>
      </w:r>
      <w:r>
        <w:rPr>
          <w:noProof/>
        </w:rPr>
      </w:r>
      <w:r>
        <w:rPr>
          <w:noProof/>
        </w:rPr>
        <w:fldChar w:fldCharType="separate"/>
      </w:r>
      <w:r>
        <w:rPr>
          <w:noProof/>
        </w:rPr>
        <w:t>9</w:t>
      </w:r>
      <w:r>
        <w:rPr>
          <w:noProof/>
        </w:rPr>
        <w:fldChar w:fldCharType="end"/>
      </w:r>
    </w:p>
    <w:p w14:paraId="632A356A" w14:textId="2F0CFE5B" w:rsidR="008C6931" w:rsidRDefault="008C6931">
      <w:pPr>
        <w:pStyle w:val="TOC3"/>
        <w:rPr>
          <w:rFonts w:asciiTheme="minorHAnsi" w:hAnsiTheme="minorHAnsi" w:cstheme="minorBidi"/>
          <w:i w:val="0"/>
          <w:noProof/>
          <w:kern w:val="2"/>
          <w:sz w:val="24"/>
          <w:szCs w:val="24"/>
          <w:lang w:val="en-GB" w:eastAsia="en-GB"/>
          <w14:ligatures w14:val="standardContextual"/>
        </w:rPr>
      </w:pPr>
      <w:r w:rsidRPr="006A2219">
        <w:rPr>
          <w:noProof/>
        </w:rPr>
        <w:t>Utilisation de la technologie biomoléculaire dans l'examen DHS - étude de cas sur l'orge</w:t>
      </w:r>
      <w:r>
        <w:rPr>
          <w:noProof/>
        </w:rPr>
        <w:tab/>
      </w:r>
      <w:r>
        <w:rPr>
          <w:noProof/>
        </w:rPr>
        <w:fldChar w:fldCharType="begin"/>
      </w:r>
      <w:r>
        <w:rPr>
          <w:noProof/>
        </w:rPr>
        <w:instrText xml:space="preserve"> PAGEREF _Toc210661237 \h </w:instrText>
      </w:r>
      <w:r>
        <w:rPr>
          <w:noProof/>
        </w:rPr>
      </w:r>
      <w:r>
        <w:rPr>
          <w:noProof/>
        </w:rPr>
        <w:fldChar w:fldCharType="separate"/>
      </w:r>
      <w:r>
        <w:rPr>
          <w:noProof/>
        </w:rPr>
        <w:t>10</w:t>
      </w:r>
      <w:r>
        <w:rPr>
          <w:noProof/>
        </w:rPr>
        <w:fldChar w:fldCharType="end"/>
      </w:r>
    </w:p>
    <w:p w14:paraId="65500570" w14:textId="6CE7239D" w:rsidR="008C6931" w:rsidRDefault="008C6931">
      <w:pPr>
        <w:pStyle w:val="TOC3"/>
        <w:rPr>
          <w:rFonts w:asciiTheme="minorHAnsi" w:hAnsiTheme="minorHAnsi" w:cstheme="minorBidi"/>
          <w:i w:val="0"/>
          <w:noProof/>
          <w:kern w:val="2"/>
          <w:sz w:val="24"/>
          <w:szCs w:val="24"/>
          <w:lang w:val="en-GB" w:eastAsia="en-GB"/>
          <w14:ligatures w14:val="standardContextual"/>
        </w:rPr>
      </w:pPr>
      <w:r w:rsidRPr="006A2219">
        <w:rPr>
          <w:noProof/>
        </w:rPr>
        <w:t>Intelligence artificielle et marqueurs moléculaires dans les fruits rouges : une validation de principe</w:t>
      </w:r>
      <w:r>
        <w:rPr>
          <w:noProof/>
        </w:rPr>
        <w:tab/>
      </w:r>
      <w:r>
        <w:rPr>
          <w:noProof/>
        </w:rPr>
        <w:fldChar w:fldCharType="begin"/>
      </w:r>
      <w:r>
        <w:rPr>
          <w:noProof/>
        </w:rPr>
        <w:instrText xml:space="preserve"> PAGEREF _Toc210661238 \h </w:instrText>
      </w:r>
      <w:r>
        <w:rPr>
          <w:noProof/>
        </w:rPr>
      </w:r>
      <w:r>
        <w:rPr>
          <w:noProof/>
        </w:rPr>
        <w:fldChar w:fldCharType="separate"/>
      </w:r>
      <w:r>
        <w:rPr>
          <w:noProof/>
        </w:rPr>
        <w:t>10</w:t>
      </w:r>
      <w:r>
        <w:rPr>
          <w:noProof/>
        </w:rPr>
        <w:fldChar w:fldCharType="end"/>
      </w:r>
    </w:p>
    <w:p w14:paraId="49ED8309" w14:textId="22BFC9A3" w:rsidR="008C6931" w:rsidRDefault="008C6931">
      <w:pPr>
        <w:pStyle w:val="TOC3"/>
        <w:rPr>
          <w:rFonts w:asciiTheme="minorHAnsi" w:hAnsiTheme="minorHAnsi" w:cstheme="minorBidi"/>
          <w:i w:val="0"/>
          <w:noProof/>
          <w:kern w:val="2"/>
          <w:sz w:val="24"/>
          <w:szCs w:val="24"/>
          <w:lang w:val="en-GB" w:eastAsia="en-GB"/>
          <w14:ligatures w14:val="standardContextual"/>
        </w:rPr>
      </w:pPr>
      <w:r w:rsidRPr="006A2219">
        <w:rPr>
          <w:noProof/>
        </w:rPr>
        <w:t>Une meilleure compréhension de l'architecture génétique des caractères DHS du blé peut-elle contribuer à rationaliser les processus DHS ?</w:t>
      </w:r>
      <w:r>
        <w:rPr>
          <w:noProof/>
        </w:rPr>
        <w:tab/>
      </w:r>
      <w:r>
        <w:rPr>
          <w:noProof/>
        </w:rPr>
        <w:fldChar w:fldCharType="begin"/>
      </w:r>
      <w:r>
        <w:rPr>
          <w:noProof/>
        </w:rPr>
        <w:instrText xml:space="preserve"> PAGEREF _Toc210661239 \h </w:instrText>
      </w:r>
      <w:r>
        <w:rPr>
          <w:noProof/>
        </w:rPr>
      </w:r>
      <w:r>
        <w:rPr>
          <w:noProof/>
        </w:rPr>
        <w:fldChar w:fldCharType="separate"/>
      </w:r>
      <w:r>
        <w:rPr>
          <w:noProof/>
        </w:rPr>
        <w:t>10</w:t>
      </w:r>
      <w:r>
        <w:rPr>
          <w:noProof/>
        </w:rPr>
        <w:fldChar w:fldCharType="end"/>
      </w:r>
    </w:p>
    <w:p w14:paraId="37C8D8F2" w14:textId="52F036DE" w:rsidR="008C6931" w:rsidRDefault="008C6931">
      <w:pPr>
        <w:pStyle w:val="TOC3"/>
        <w:rPr>
          <w:rFonts w:asciiTheme="minorHAnsi" w:hAnsiTheme="minorHAnsi" w:cstheme="minorBidi"/>
          <w:i w:val="0"/>
          <w:noProof/>
          <w:kern w:val="2"/>
          <w:sz w:val="24"/>
          <w:szCs w:val="24"/>
          <w:lang w:val="en-GB" w:eastAsia="en-GB"/>
          <w14:ligatures w14:val="standardContextual"/>
        </w:rPr>
      </w:pPr>
      <w:r w:rsidRPr="006A2219">
        <w:rPr>
          <w:noProof/>
        </w:rPr>
        <w:t>Prédiction génomique pour la gestion des collections variétales de blé</w:t>
      </w:r>
      <w:r>
        <w:rPr>
          <w:noProof/>
        </w:rPr>
        <w:tab/>
      </w:r>
      <w:r>
        <w:rPr>
          <w:noProof/>
        </w:rPr>
        <w:fldChar w:fldCharType="begin"/>
      </w:r>
      <w:r>
        <w:rPr>
          <w:noProof/>
        </w:rPr>
        <w:instrText xml:space="preserve"> PAGEREF _Toc210661240 \h </w:instrText>
      </w:r>
      <w:r>
        <w:rPr>
          <w:noProof/>
        </w:rPr>
      </w:r>
      <w:r>
        <w:rPr>
          <w:noProof/>
        </w:rPr>
        <w:fldChar w:fldCharType="separate"/>
      </w:r>
      <w:r>
        <w:rPr>
          <w:noProof/>
        </w:rPr>
        <w:t>10</w:t>
      </w:r>
      <w:r>
        <w:rPr>
          <w:noProof/>
        </w:rPr>
        <w:fldChar w:fldCharType="end"/>
      </w:r>
    </w:p>
    <w:p w14:paraId="2F378C3D" w14:textId="13821C73" w:rsidR="008C6931" w:rsidRDefault="008C6931">
      <w:pPr>
        <w:pStyle w:val="TOC3"/>
        <w:rPr>
          <w:rFonts w:asciiTheme="minorHAnsi" w:hAnsiTheme="minorHAnsi" w:cstheme="minorBidi"/>
          <w:i w:val="0"/>
          <w:noProof/>
          <w:kern w:val="2"/>
          <w:sz w:val="24"/>
          <w:szCs w:val="24"/>
          <w:lang w:val="en-GB" w:eastAsia="en-GB"/>
          <w14:ligatures w14:val="standardContextual"/>
        </w:rPr>
      </w:pPr>
      <w:r w:rsidRPr="006A2219">
        <w:rPr>
          <w:noProof/>
        </w:rPr>
        <w:t>Critère de distinction amélioré COYD-GP pour les plantes agricoles à pollinisation croisée</w:t>
      </w:r>
      <w:r>
        <w:rPr>
          <w:noProof/>
        </w:rPr>
        <w:tab/>
      </w:r>
      <w:r>
        <w:rPr>
          <w:noProof/>
        </w:rPr>
        <w:fldChar w:fldCharType="begin"/>
      </w:r>
      <w:r>
        <w:rPr>
          <w:noProof/>
        </w:rPr>
        <w:instrText xml:space="preserve"> PAGEREF _Toc210661241 \h </w:instrText>
      </w:r>
      <w:r>
        <w:rPr>
          <w:noProof/>
        </w:rPr>
      </w:r>
      <w:r>
        <w:rPr>
          <w:noProof/>
        </w:rPr>
        <w:fldChar w:fldCharType="separate"/>
      </w:r>
      <w:r>
        <w:rPr>
          <w:noProof/>
        </w:rPr>
        <w:t>10</w:t>
      </w:r>
      <w:r>
        <w:rPr>
          <w:noProof/>
        </w:rPr>
        <w:fldChar w:fldCharType="end"/>
      </w:r>
    </w:p>
    <w:p w14:paraId="010BCF37" w14:textId="29026CC5" w:rsidR="008C6931" w:rsidRDefault="008C6931">
      <w:pPr>
        <w:pStyle w:val="TOC3"/>
        <w:rPr>
          <w:rFonts w:asciiTheme="minorHAnsi" w:hAnsiTheme="minorHAnsi" w:cstheme="minorBidi"/>
          <w:i w:val="0"/>
          <w:noProof/>
          <w:kern w:val="2"/>
          <w:sz w:val="24"/>
          <w:szCs w:val="24"/>
          <w:lang w:val="en-GB" w:eastAsia="en-GB"/>
          <w14:ligatures w14:val="standardContextual"/>
        </w:rPr>
      </w:pPr>
      <w:r w:rsidRPr="006A2219">
        <w:rPr>
          <w:noProof/>
        </w:rPr>
        <w:t>Activités de recherche-développement de l’Office communautaire des variétés végétales (OCVV)</w:t>
      </w:r>
      <w:r>
        <w:rPr>
          <w:noProof/>
        </w:rPr>
        <w:tab/>
      </w:r>
      <w:r>
        <w:rPr>
          <w:noProof/>
        </w:rPr>
        <w:fldChar w:fldCharType="begin"/>
      </w:r>
      <w:r>
        <w:rPr>
          <w:noProof/>
        </w:rPr>
        <w:instrText xml:space="preserve"> PAGEREF _Toc210661242 \h </w:instrText>
      </w:r>
      <w:r>
        <w:rPr>
          <w:noProof/>
        </w:rPr>
      </w:r>
      <w:r>
        <w:rPr>
          <w:noProof/>
        </w:rPr>
        <w:fldChar w:fldCharType="separate"/>
      </w:r>
      <w:r>
        <w:rPr>
          <w:noProof/>
        </w:rPr>
        <w:t>11</w:t>
      </w:r>
      <w:r>
        <w:rPr>
          <w:noProof/>
        </w:rPr>
        <w:fldChar w:fldCharType="end"/>
      </w:r>
    </w:p>
    <w:p w14:paraId="3D19164C" w14:textId="545A80A9" w:rsidR="008C6931" w:rsidRDefault="008C6931">
      <w:pPr>
        <w:pStyle w:val="TOC2"/>
        <w:rPr>
          <w:rFonts w:asciiTheme="minorHAnsi" w:hAnsiTheme="minorHAnsi" w:cstheme="minorBidi"/>
          <w:noProof/>
          <w:kern w:val="2"/>
          <w:sz w:val="24"/>
          <w:szCs w:val="24"/>
          <w:lang w:val="en-GB" w:eastAsia="en-GB"/>
          <w14:ligatures w14:val="standardContextual"/>
        </w:rPr>
      </w:pPr>
      <w:r w:rsidRPr="006A2219">
        <w:rPr>
          <w:noProof/>
        </w:rPr>
        <w:t>Méthodes d'analyse des données moléculaires, gestion des bases de données et échange de données et de matériel</w:t>
      </w:r>
      <w:r>
        <w:rPr>
          <w:noProof/>
        </w:rPr>
        <w:tab/>
      </w:r>
      <w:r>
        <w:rPr>
          <w:noProof/>
        </w:rPr>
        <w:fldChar w:fldCharType="begin"/>
      </w:r>
      <w:r>
        <w:rPr>
          <w:noProof/>
        </w:rPr>
        <w:instrText xml:space="preserve"> PAGEREF _Toc210661243 \h </w:instrText>
      </w:r>
      <w:r>
        <w:rPr>
          <w:noProof/>
        </w:rPr>
      </w:r>
      <w:r>
        <w:rPr>
          <w:noProof/>
        </w:rPr>
        <w:fldChar w:fldCharType="separate"/>
      </w:r>
      <w:r>
        <w:rPr>
          <w:noProof/>
        </w:rPr>
        <w:t>11</w:t>
      </w:r>
      <w:r>
        <w:rPr>
          <w:noProof/>
        </w:rPr>
        <w:fldChar w:fldCharType="end"/>
      </w:r>
    </w:p>
    <w:p w14:paraId="067926A0" w14:textId="2FE2B4F1" w:rsidR="008C6931" w:rsidRDefault="008C6931">
      <w:pPr>
        <w:pStyle w:val="TOC3"/>
        <w:rPr>
          <w:rFonts w:asciiTheme="minorHAnsi" w:hAnsiTheme="minorHAnsi" w:cstheme="minorBidi"/>
          <w:i w:val="0"/>
          <w:noProof/>
          <w:kern w:val="2"/>
          <w:sz w:val="24"/>
          <w:szCs w:val="24"/>
          <w:lang w:val="en-GB" w:eastAsia="en-GB"/>
          <w14:ligatures w14:val="standardContextual"/>
        </w:rPr>
      </w:pPr>
      <w:r w:rsidRPr="006A2219">
        <w:rPr>
          <w:noProof/>
        </w:rPr>
        <w:t>Exploitation des marqueurs de polymorphismes haplotypes des cultures pour l'identification généalogique</w:t>
      </w:r>
      <w:r>
        <w:rPr>
          <w:noProof/>
        </w:rPr>
        <w:tab/>
      </w:r>
      <w:r>
        <w:rPr>
          <w:noProof/>
        </w:rPr>
        <w:fldChar w:fldCharType="begin"/>
      </w:r>
      <w:r>
        <w:rPr>
          <w:noProof/>
        </w:rPr>
        <w:instrText xml:space="preserve"> PAGEREF _Toc210661244 \h </w:instrText>
      </w:r>
      <w:r>
        <w:rPr>
          <w:noProof/>
        </w:rPr>
      </w:r>
      <w:r>
        <w:rPr>
          <w:noProof/>
        </w:rPr>
        <w:fldChar w:fldCharType="separate"/>
      </w:r>
      <w:r>
        <w:rPr>
          <w:noProof/>
        </w:rPr>
        <w:t>11</w:t>
      </w:r>
      <w:r>
        <w:rPr>
          <w:noProof/>
        </w:rPr>
        <w:fldChar w:fldCharType="end"/>
      </w:r>
    </w:p>
    <w:p w14:paraId="70CB6BDD" w14:textId="031CCC65" w:rsidR="008C6931" w:rsidRDefault="008C6931">
      <w:pPr>
        <w:pStyle w:val="TOC3"/>
        <w:rPr>
          <w:rFonts w:asciiTheme="minorHAnsi" w:hAnsiTheme="minorHAnsi" w:cstheme="minorBidi"/>
          <w:i w:val="0"/>
          <w:noProof/>
          <w:kern w:val="2"/>
          <w:sz w:val="24"/>
          <w:szCs w:val="24"/>
          <w:lang w:val="en-GB" w:eastAsia="en-GB"/>
          <w14:ligatures w14:val="standardContextual"/>
        </w:rPr>
      </w:pPr>
      <w:r w:rsidRPr="006A2219">
        <w:rPr>
          <w:noProof/>
        </w:rPr>
        <w:t>PAD – un algorithme de détection des descendants et des ancêtres basé sur les profils génétiques</w:t>
      </w:r>
      <w:r>
        <w:rPr>
          <w:noProof/>
        </w:rPr>
        <w:tab/>
      </w:r>
      <w:r>
        <w:rPr>
          <w:noProof/>
        </w:rPr>
        <w:fldChar w:fldCharType="begin"/>
      </w:r>
      <w:r>
        <w:rPr>
          <w:noProof/>
        </w:rPr>
        <w:instrText xml:space="preserve"> PAGEREF _Toc210661245 \h </w:instrText>
      </w:r>
      <w:r>
        <w:rPr>
          <w:noProof/>
        </w:rPr>
      </w:r>
      <w:r>
        <w:rPr>
          <w:noProof/>
        </w:rPr>
        <w:fldChar w:fldCharType="separate"/>
      </w:r>
      <w:r>
        <w:rPr>
          <w:noProof/>
        </w:rPr>
        <w:t>11</w:t>
      </w:r>
      <w:r>
        <w:rPr>
          <w:noProof/>
        </w:rPr>
        <w:fldChar w:fldCharType="end"/>
      </w:r>
    </w:p>
    <w:p w14:paraId="46F5EFC7" w14:textId="7CDBDC6C" w:rsidR="008C6931" w:rsidRDefault="008C6931">
      <w:pPr>
        <w:pStyle w:val="TOC3"/>
        <w:rPr>
          <w:rFonts w:asciiTheme="minorHAnsi" w:hAnsiTheme="minorHAnsi" w:cstheme="minorBidi"/>
          <w:i w:val="0"/>
          <w:noProof/>
          <w:kern w:val="2"/>
          <w:sz w:val="24"/>
          <w:szCs w:val="24"/>
          <w:lang w:val="en-GB" w:eastAsia="en-GB"/>
          <w14:ligatures w14:val="standardContextual"/>
        </w:rPr>
      </w:pPr>
      <w:r w:rsidRPr="006A2219">
        <w:rPr>
          <w:noProof/>
        </w:rPr>
        <w:t>DurdusTools : état actuel et utilisation dans l'examen DHS</w:t>
      </w:r>
      <w:r>
        <w:rPr>
          <w:noProof/>
        </w:rPr>
        <w:tab/>
      </w:r>
      <w:r>
        <w:rPr>
          <w:noProof/>
        </w:rPr>
        <w:fldChar w:fldCharType="begin"/>
      </w:r>
      <w:r>
        <w:rPr>
          <w:noProof/>
        </w:rPr>
        <w:instrText xml:space="preserve"> PAGEREF _Toc210661246 \h </w:instrText>
      </w:r>
      <w:r>
        <w:rPr>
          <w:noProof/>
        </w:rPr>
      </w:r>
      <w:r>
        <w:rPr>
          <w:noProof/>
        </w:rPr>
        <w:fldChar w:fldCharType="separate"/>
      </w:r>
      <w:r>
        <w:rPr>
          <w:noProof/>
        </w:rPr>
        <w:t>11</w:t>
      </w:r>
      <w:r>
        <w:rPr>
          <w:noProof/>
        </w:rPr>
        <w:fldChar w:fldCharType="end"/>
      </w:r>
    </w:p>
    <w:p w14:paraId="63FC6DBF" w14:textId="48A33115" w:rsidR="008C6931" w:rsidRDefault="008C6931">
      <w:pPr>
        <w:pStyle w:val="TOC3"/>
        <w:rPr>
          <w:rFonts w:asciiTheme="minorHAnsi" w:hAnsiTheme="minorHAnsi" w:cstheme="minorBidi"/>
          <w:i w:val="0"/>
          <w:noProof/>
          <w:kern w:val="2"/>
          <w:sz w:val="24"/>
          <w:szCs w:val="24"/>
          <w:lang w:val="en-GB" w:eastAsia="en-GB"/>
          <w14:ligatures w14:val="standardContextual"/>
        </w:rPr>
      </w:pPr>
      <w:r w:rsidRPr="006A2219">
        <w:rPr>
          <w:noProof/>
        </w:rPr>
        <w:t>Mise au point d'outils de phénotypage DHS pour et avec les services d'examen : expérience acquise</w:t>
      </w:r>
      <w:r>
        <w:rPr>
          <w:noProof/>
        </w:rPr>
        <w:tab/>
      </w:r>
      <w:r>
        <w:rPr>
          <w:noProof/>
        </w:rPr>
        <w:fldChar w:fldCharType="begin"/>
      </w:r>
      <w:r>
        <w:rPr>
          <w:noProof/>
        </w:rPr>
        <w:instrText xml:space="preserve"> PAGEREF _Toc210661247 \h </w:instrText>
      </w:r>
      <w:r>
        <w:rPr>
          <w:noProof/>
        </w:rPr>
      </w:r>
      <w:r>
        <w:rPr>
          <w:noProof/>
        </w:rPr>
        <w:fldChar w:fldCharType="separate"/>
      </w:r>
      <w:r>
        <w:rPr>
          <w:noProof/>
        </w:rPr>
        <w:t>11</w:t>
      </w:r>
      <w:r>
        <w:rPr>
          <w:noProof/>
        </w:rPr>
        <w:fldChar w:fldCharType="end"/>
      </w:r>
    </w:p>
    <w:p w14:paraId="660B2B06" w14:textId="625EC608" w:rsidR="008C6931" w:rsidRDefault="008C6931">
      <w:pPr>
        <w:pStyle w:val="TOC3"/>
        <w:rPr>
          <w:rFonts w:asciiTheme="minorHAnsi" w:hAnsiTheme="minorHAnsi" w:cstheme="minorBidi"/>
          <w:i w:val="0"/>
          <w:noProof/>
          <w:kern w:val="2"/>
          <w:sz w:val="24"/>
          <w:szCs w:val="24"/>
          <w:lang w:val="en-GB" w:eastAsia="en-GB"/>
          <w14:ligatures w14:val="standardContextual"/>
        </w:rPr>
      </w:pPr>
      <w:r w:rsidRPr="006A2219">
        <w:rPr>
          <w:noProof/>
        </w:rPr>
        <w:t>Concept de phénotypage pour renforcer la chaîne de protection des obtentions végétales grâce à l'utilisation combinée de l'IA&amp;AI</w:t>
      </w:r>
      <w:r>
        <w:rPr>
          <w:noProof/>
        </w:rPr>
        <w:tab/>
      </w:r>
      <w:r>
        <w:rPr>
          <w:noProof/>
        </w:rPr>
        <w:fldChar w:fldCharType="begin"/>
      </w:r>
      <w:r>
        <w:rPr>
          <w:noProof/>
        </w:rPr>
        <w:instrText xml:space="preserve"> PAGEREF _Toc210661248 \h </w:instrText>
      </w:r>
      <w:r>
        <w:rPr>
          <w:noProof/>
        </w:rPr>
      </w:r>
      <w:r>
        <w:rPr>
          <w:noProof/>
        </w:rPr>
        <w:fldChar w:fldCharType="separate"/>
      </w:r>
      <w:r>
        <w:rPr>
          <w:noProof/>
        </w:rPr>
        <w:t>12</w:t>
      </w:r>
      <w:r>
        <w:rPr>
          <w:noProof/>
        </w:rPr>
        <w:fldChar w:fldCharType="end"/>
      </w:r>
    </w:p>
    <w:p w14:paraId="557E81EF" w14:textId="7560CF03" w:rsidR="008C6931" w:rsidRDefault="008C6931">
      <w:pPr>
        <w:pStyle w:val="TOC3"/>
        <w:rPr>
          <w:rFonts w:asciiTheme="minorHAnsi" w:hAnsiTheme="minorHAnsi" w:cstheme="minorBidi"/>
          <w:i w:val="0"/>
          <w:noProof/>
          <w:kern w:val="2"/>
          <w:sz w:val="24"/>
          <w:szCs w:val="24"/>
          <w:lang w:val="en-GB" w:eastAsia="en-GB"/>
          <w14:ligatures w14:val="standardContextual"/>
        </w:rPr>
      </w:pPr>
      <w:r w:rsidRPr="006A2219">
        <w:rPr>
          <w:noProof/>
        </w:rPr>
        <w:t>Utilisation des bases de données ADN à Naktuinbouw pour améliorer les travaux DHS</w:t>
      </w:r>
      <w:r>
        <w:rPr>
          <w:noProof/>
        </w:rPr>
        <w:tab/>
      </w:r>
      <w:r>
        <w:rPr>
          <w:noProof/>
        </w:rPr>
        <w:fldChar w:fldCharType="begin"/>
      </w:r>
      <w:r>
        <w:rPr>
          <w:noProof/>
        </w:rPr>
        <w:instrText xml:space="preserve"> PAGEREF _Toc210661249 \h </w:instrText>
      </w:r>
      <w:r>
        <w:rPr>
          <w:noProof/>
        </w:rPr>
      </w:r>
      <w:r>
        <w:rPr>
          <w:noProof/>
        </w:rPr>
        <w:fldChar w:fldCharType="separate"/>
      </w:r>
      <w:r>
        <w:rPr>
          <w:noProof/>
        </w:rPr>
        <w:t>12</w:t>
      </w:r>
      <w:r>
        <w:rPr>
          <w:noProof/>
        </w:rPr>
        <w:fldChar w:fldCharType="end"/>
      </w:r>
    </w:p>
    <w:p w14:paraId="714B9838" w14:textId="7D13E8C2" w:rsidR="008C6931" w:rsidRDefault="008C6931">
      <w:pPr>
        <w:pStyle w:val="TOC3"/>
        <w:rPr>
          <w:rFonts w:asciiTheme="minorHAnsi" w:hAnsiTheme="minorHAnsi" w:cstheme="minorBidi"/>
          <w:i w:val="0"/>
          <w:noProof/>
          <w:kern w:val="2"/>
          <w:sz w:val="24"/>
          <w:szCs w:val="24"/>
          <w:lang w:val="en-GB" w:eastAsia="en-GB"/>
          <w14:ligatures w14:val="standardContextual"/>
        </w:rPr>
      </w:pPr>
      <w:r w:rsidRPr="006A2219">
        <w:rPr>
          <w:noProof/>
        </w:rPr>
        <w:t>Base de données moléculaires partagée</w:t>
      </w:r>
      <w:r>
        <w:rPr>
          <w:noProof/>
        </w:rPr>
        <w:tab/>
      </w:r>
      <w:r>
        <w:rPr>
          <w:noProof/>
        </w:rPr>
        <w:fldChar w:fldCharType="begin"/>
      </w:r>
      <w:r>
        <w:rPr>
          <w:noProof/>
        </w:rPr>
        <w:instrText xml:space="preserve"> PAGEREF _Toc210661250 \h </w:instrText>
      </w:r>
      <w:r>
        <w:rPr>
          <w:noProof/>
        </w:rPr>
      </w:r>
      <w:r>
        <w:rPr>
          <w:noProof/>
        </w:rPr>
        <w:fldChar w:fldCharType="separate"/>
      </w:r>
      <w:r>
        <w:rPr>
          <w:noProof/>
        </w:rPr>
        <w:t>12</w:t>
      </w:r>
      <w:r>
        <w:rPr>
          <w:noProof/>
        </w:rPr>
        <w:fldChar w:fldCharType="end"/>
      </w:r>
    </w:p>
    <w:p w14:paraId="7C1B99D8" w14:textId="3397DE7A" w:rsidR="008C6931" w:rsidRDefault="008C6931">
      <w:pPr>
        <w:pStyle w:val="TOC2"/>
        <w:rPr>
          <w:rFonts w:asciiTheme="minorHAnsi" w:hAnsiTheme="minorHAnsi" w:cstheme="minorBidi"/>
          <w:noProof/>
          <w:kern w:val="2"/>
          <w:sz w:val="24"/>
          <w:szCs w:val="24"/>
          <w:lang w:val="en-GB" w:eastAsia="en-GB"/>
          <w14:ligatures w14:val="standardContextual"/>
        </w:rPr>
      </w:pPr>
      <w:r w:rsidRPr="006A2219">
        <w:rPr>
          <w:noProof/>
        </w:rPr>
        <w:t>Utilisation des techniques moléculaires dans l'évaluation de la dérivation essentielle</w:t>
      </w:r>
      <w:r>
        <w:rPr>
          <w:noProof/>
        </w:rPr>
        <w:tab/>
      </w:r>
      <w:r>
        <w:rPr>
          <w:noProof/>
        </w:rPr>
        <w:fldChar w:fldCharType="begin"/>
      </w:r>
      <w:r>
        <w:rPr>
          <w:noProof/>
        </w:rPr>
        <w:instrText xml:space="preserve"> PAGEREF _Toc210661251 \h </w:instrText>
      </w:r>
      <w:r>
        <w:rPr>
          <w:noProof/>
        </w:rPr>
      </w:r>
      <w:r>
        <w:rPr>
          <w:noProof/>
        </w:rPr>
        <w:fldChar w:fldCharType="separate"/>
      </w:r>
      <w:r>
        <w:rPr>
          <w:noProof/>
        </w:rPr>
        <w:t>12</w:t>
      </w:r>
      <w:r>
        <w:rPr>
          <w:noProof/>
        </w:rPr>
        <w:fldChar w:fldCharType="end"/>
      </w:r>
    </w:p>
    <w:p w14:paraId="49E9FD43" w14:textId="583E16CE" w:rsidR="008C6931" w:rsidRDefault="008C6931">
      <w:pPr>
        <w:pStyle w:val="TOC3"/>
        <w:rPr>
          <w:rFonts w:asciiTheme="minorHAnsi" w:hAnsiTheme="minorHAnsi" w:cstheme="minorBidi"/>
          <w:i w:val="0"/>
          <w:noProof/>
          <w:kern w:val="2"/>
          <w:sz w:val="24"/>
          <w:szCs w:val="24"/>
          <w:lang w:val="en-GB" w:eastAsia="en-GB"/>
          <w14:ligatures w14:val="standardContextual"/>
        </w:rPr>
      </w:pPr>
      <w:r w:rsidRPr="006A2219">
        <w:rPr>
          <w:noProof/>
        </w:rPr>
        <w:t>Exploration des techniques d'identification fondées sur les marqueurs SNP pour les variétés de blé essentiellement dérivées</w:t>
      </w:r>
      <w:r>
        <w:rPr>
          <w:noProof/>
        </w:rPr>
        <w:tab/>
      </w:r>
      <w:r>
        <w:rPr>
          <w:noProof/>
        </w:rPr>
        <w:fldChar w:fldCharType="begin"/>
      </w:r>
      <w:r>
        <w:rPr>
          <w:noProof/>
        </w:rPr>
        <w:instrText xml:space="preserve"> PAGEREF _Toc210661252 \h </w:instrText>
      </w:r>
      <w:r>
        <w:rPr>
          <w:noProof/>
        </w:rPr>
      </w:r>
      <w:r>
        <w:rPr>
          <w:noProof/>
        </w:rPr>
        <w:fldChar w:fldCharType="separate"/>
      </w:r>
      <w:r>
        <w:rPr>
          <w:noProof/>
        </w:rPr>
        <w:t>12</w:t>
      </w:r>
      <w:r>
        <w:rPr>
          <w:noProof/>
        </w:rPr>
        <w:fldChar w:fldCharType="end"/>
      </w:r>
    </w:p>
    <w:p w14:paraId="30A5CEAE" w14:textId="0374F892" w:rsidR="008C6931" w:rsidRDefault="008C6931">
      <w:pPr>
        <w:pStyle w:val="TOC3"/>
        <w:rPr>
          <w:rFonts w:asciiTheme="minorHAnsi" w:hAnsiTheme="minorHAnsi" w:cstheme="minorBidi"/>
          <w:i w:val="0"/>
          <w:noProof/>
          <w:kern w:val="2"/>
          <w:sz w:val="24"/>
          <w:szCs w:val="24"/>
          <w:lang w:val="en-GB" w:eastAsia="en-GB"/>
          <w14:ligatures w14:val="standardContextual"/>
        </w:rPr>
      </w:pPr>
      <w:r w:rsidRPr="006A2219">
        <w:rPr>
          <w:noProof/>
        </w:rPr>
        <w:t>Élaboration d'un seuil pour les variétés essentiellement dérivées (VED) dans le soja</w:t>
      </w:r>
      <w:r>
        <w:rPr>
          <w:noProof/>
        </w:rPr>
        <w:tab/>
      </w:r>
      <w:r>
        <w:rPr>
          <w:noProof/>
        </w:rPr>
        <w:fldChar w:fldCharType="begin"/>
      </w:r>
      <w:r>
        <w:rPr>
          <w:noProof/>
        </w:rPr>
        <w:instrText xml:space="preserve"> PAGEREF _Toc210661253 \h </w:instrText>
      </w:r>
      <w:r>
        <w:rPr>
          <w:noProof/>
        </w:rPr>
      </w:r>
      <w:r>
        <w:rPr>
          <w:noProof/>
        </w:rPr>
        <w:fldChar w:fldCharType="separate"/>
      </w:r>
      <w:r>
        <w:rPr>
          <w:noProof/>
        </w:rPr>
        <w:t>12</w:t>
      </w:r>
      <w:r>
        <w:rPr>
          <w:noProof/>
        </w:rPr>
        <w:fldChar w:fldCharType="end"/>
      </w:r>
    </w:p>
    <w:p w14:paraId="63F6ACCB" w14:textId="334F0D59" w:rsidR="008C6931" w:rsidRDefault="008C6931">
      <w:pPr>
        <w:pStyle w:val="TOC2"/>
        <w:rPr>
          <w:rFonts w:asciiTheme="minorHAnsi" w:hAnsiTheme="minorHAnsi" w:cstheme="minorBidi"/>
          <w:noProof/>
          <w:kern w:val="2"/>
          <w:sz w:val="24"/>
          <w:szCs w:val="24"/>
          <w:lang w:val="en-GB" w:eastAsia="en-GB"/>
          <w14:ligatures w14:val="standardContextual"/>
        </w:rPr>
      </w:pPr>
      <w:r w:rsidRPr="006A2219">
        <w:rPr>
          <w:noProof/>
        </w:rPr>
        <w:t>Utilisation des techniques moléculaires pour l'application de la loi</w:t>
      </w:r>
      <w:r>
        <w:rPr>
          <w:noProof/>
        </w:rPr>
        <w:tab/>
      </w:r>
      <w:r>
        <w:rPr>
          <w:noProof/>
        </w:rPr>
        <w:fldChar w:fldCharType="begin"/>
      </w:r>
      <w:r>
        <w:rPr>
          <w:noProof/>
        </w:rPr>
        <w:instrText xml:space="preserve"> PAGEREF _Toc210661254 \h </w:instrText>
      </w:r>
      <w:r>
        <w:rPr>
          <w:noProof/>
        </w:rPr>
      </w:r>
      <w:r>
        <w:rPr>
          <w:noProof/>
        </w:rPr>
        <w:fldChar w:fldCharType="separate"/>
      </w:r>
      <w:r>
        <w:rPr>
          <w:noProof/>
        </w:rPr>
        <w:t>13</w:t>
      </w:r>
      <w:r>
        <w:rPr>
          <w:noProof/>
        </w:rPr>
        <w:fldChar w:fldCharType="end"/>
      </w:r>
    </w:p>
    <w:p w14:paraId="094FE1CF" w14:textId="3007C728" w:rsidR="008C6931" w:rsidRDefault="008C6931">
      <w:pPr>
        <w:pStyle w:val="TOC3"/>
        <w:rPr>
          <w:rFonts w:asciiTheme="minorHAnsi" w:hAnsiTheme="minorHAnsi" w:cstheme="minorBidi"/>
          <w:i w:val="0"/>
          <w:noProof/>
          <w:kern w:val="2"/>
          <w:sz w:val="24"/>
          <w:szCs w:val="24"/>
          <w:lang w:val="en-GB" w:eastAsia="en-GB"/>
          <w14:ligatures w14:val="standardContextual"/>
        </w:rPr>
      </w:pPr>
      <w:r w:rsidRPr="006A2219">
        <w:rPr>
          <w:noProof/>
        </w:rPr>
        <w:t>Utilisation des techniques ADN pour l'application des droits de variété végétale au Pérou</w:t>
      </w:r>
      <w:r>
        <w:rPr>
          <w:noProof/>
        </w:rPr>
        <w:tab/>
      </w:r>
      <w:r>
        <w:rPr>
          <w:noProof/>
        </w:rPr>
        <w:fldChar w:fldCharType="begin"/>
      </w:r>
      <w:r>
        <w:rPr>
          <w:noProof/>
        </w:rPr>
        <w:instrText xml:space="preserve"> PAGEREF _Toc210661255 \h </w:instrText>
      </w:r>
      <w:r>
        <w:rPr>
          <w:noProof/>
        </w:rPr>
      </w:r>
      <w:r>
        <w:rPr>
          <w:noProof/>
        </w:rPr>
        <w:fldChar w:fldCharType="separate"/>
      </w:r>
      <w:r>
        <w:rPr>
          <w:noProof/>
        </w:rPr>
        <w:t>13</w:t>
      </w:r>
      <w:r>
        <w:rPr>
          <w:noProof/>
        </w:rPr>
        <w:fldChar w:fldCharType="end"/>
      </w:r>
    </w:p>
    <w:p w14:paraId="5896718D" w14:textId="28A55539" w:rsidR="008C6931" w:rsidRDefault="008C6931">
      <w:pPr>
        <w:pStyle w:val="TOC3"/>
        <w:rPr>
          <w:rFonts w:asciiTheme="minorHAnsi" w:hAnsiTheme="minorHAnsi" w:cstheme="minorBidi"/>
          <w:i w:val="0"/>
          <w:noProof/>
          <w:kern w:val="2"/>
          <w:sz w:val="24"/>
          <w:szCs w:val="24"/>
          <w:lang w:val="en-GB" w:eastAsia="en-GB"/>
          <w14:ligatures w14:val="standardContextual"/>
        </w:rPr>
      </w:pPr>
      <w:r w:rsidRPr="006A2219">
        <w:rPr>
          <w:noProof/>
        </w:rPr>
        <w:t>Utilisation des marqueurs moléculaires comme outil pour faire respecter les droits de variété végétale (PBR) sur le soja en Uruguay</w:t>
      </w:r>
      <w:r>
        <w:rPr>
          <w:noProof/>
        </w:rPr>
        <w:tab/>
      </w:r>
      <w:r>
        <w:rPr>
          <w:noProof/>
        </w:rPr>
        <w:fldChar w:fldCharType="begin"/>
      </w:r>
      <w:r>
        <w:rPr>
          <w:noProof/>
        </w:rPr>
        <w:instrText xml:space="preserve"> PAGEREF _Toc210661256 \h </w:instrText>
      </w:r>
      <w:r>
        <w:rPr>
          <w:noProof/>
        </w:rPr>
      </w:r>
      <w:r>
        <w:rPr>
          <w:noProof/>
        </w:rPr>
        <w:fldChar w:fldCharType="separate"/>
      </w:r>
      <w:r>
        <w:rPr>
          <w:noProof/>
        </w:rPr>
        <w:t>13</w:t>
      </w:r>
      <w:r>
        <w:rPr>
          <w:noProof/>
        </w:rPr>
        <w:fldChar w:fldCharType="end"/>
      </w:r>
    </w:p>
    <w:p w14:paraId="05761C05" w14:textId="1E8F26A3" w:rsidR="00342001" w:rsidRPr="00EA4F84" w:rsidRDefault="00047CF1" w:rsidP="00CA073A">
      <w:pPr>
        <w:tabs>
          <w:tab w:val="center" w:pos="4479"/>
        </w:tabs>
        <w:spacing w:before="120"/>
        <w:ind w:left="851" w:right="851" w:hanging="851"/>
        <w:contextualSpacing/>
        <w:rPr>
          <w:sz w:val="18"/>
          <w:szCs w:val="18"/>
        </w:rPr>
      </w:pPr>
      <w:r w:rsidRPr="00EA4F84">
        <w:rPr>
          <w:rFonts w:cs="Arial"/>
          <w:bCs/>
          <w:sz w:val="18"/>
          <w:szCs w:val="18"/>
        </w:rPr>
        <w:fldChar w:fldCharType="end"/>
      </w:r>
      <w:r w:rsidR="00F509D3" w:rsidRPr="00EA4F84">
        <w:rPr>
          <w:rFonts w:cs="Arial"/>
          <w:bCs/>
          <w:caps/>
          <w:sz w:val="18"/>
          <w:szCs w:val="18"/>
        </w:rPr>
        <w:t>Annexe :</w:t>
      </w:r>
      <w:r w:rsidR="008A52E0" w:rsidRPr="00EA4F84">
        <w:rPr>
          <w:rFonts w:cs="Arial"/>
          <w:bCs/>
          <w:caps/>
          <w:sz w:val="18"/>
          <w:szCs w:val="18"/>
        </w:rPr>
        <w:tab/>
      </w:r>
      <w:r w:rsidR="004C3519">
        <w:rPr>
          <w:sz w:val="18"/>
          <w:szCs w:val="18"/>
        </w:rPr>
        <w:t>Lignes directrices</w:t>
      </w:r>
      <w:r w:rsidR="00F509D3" w:rsidRPr="00EA4F84">
        <w:rPr>
          <w:sz w:val="18"/>
          <w:szCs w:val="18"/>
        </w:rPr>
        <w:t xml:space="preserve"> pour la validation d'un nouveau protocole de marqueurs moléculaires spécifiques à un caractère pour </w:t>
      </w:r>
      <w:r w:rsidR="00F1282A" w:rsidRPr="00EA4F84">
        <w:rPr>
          <w:sz w:val="18"/>
          <w:szCs w:val="18"/>
        </w:rPr>
        <w:t xml:space="preserve">l'examen </w:t>
      </w:r>
      <w:r w:rsidR="00F509D3" w:rsidRPr="00EA4F84">
        <w:rPr>
          <w:sz w:val="18"/>
          <w:szCs w:val="18"/>
        </w:rPr>
        <w:t>DHS en tant que méthode alternative d'observation</w:t>
      </w:r>
    </w:p>
    <w:p w14:paraId="43AC56C6" w14:textId="77777777" w:rsidR="008A52E0" w:rsidRPr="00EA4F84" w:rsidRDefault="008A52E0" w:rsidP="00342001">
      <w:pPr>
        <w:jc w:val="left"/>
      </w:pPr>
    </w:p>
    <w:p w14:paraId="5B099308" w14:textId="77777777" w:rsidR="00047CF1" w:rsidRPr="00EA4F84" w:rsidRDefault="00047CF1" w:rsidP="00342001">
      <w:pPr>
        <w:jc w:val="left"/>
      </w:pPr>
    </w:p>
    <w:p w14:paraId="7A7FC83A" w14:textId="7733668F" w:rsidR="00342001" w:rsidRPr="00EA4F84" w:rsidRDefault="00342001" w:rsidP="00642CEF">
      <w:pPr>
        <w:pStyle w:val="Heading1"/>
        <w:rPr>
          <w:lang w:val="fr-FR"/>
        </w:rPr>
      </w:pPr>
      <w:bookmarkStart w:id="3" w:name="_Toc177773940"/>
      <w:bookmarkStart w:id="4" w:name="_Toc210661209"/>
      <w:r w:rsidRPr="00EA4F84">
        <w:rPr>
          <w:lang w:val="fr-FR"/>
        </w:rPr>
        <w:t>Lignes directrices pour la validation d'un nouveau protocole de marqueurs moléculaires spécifiques à un caractère comme méthode alternative d'observation</w:t>
      </w:r>
      <w:bookmarkEnd w:id="3"/>
      <w:bookmarkEnd w:id="4"/>
    </w:p>
    <w:p w14:paraId="555C066E" w14:textId="77777777" w:rsidR="007B317A" w:rsidRPr="00EA4F84" w:rsidRDefault="007B317A" w:rsidP="00642CEF">
      <w:pPr>
        <w:keepNext/>
      </w:pPr>
    </w:p>
    <w:p w14:paraId="7475F605" w14:textId="77777777" w:rsidR="00FE21AF" w:rsidRPr="00EA4F84" w:rsidRDefault="00FE21AF" w:rsidP="00642CEF">
      <w:pPr>
        <w:pStyle w:val="Heading2"/>
        <w:rPr>
          <w:lang w:val="fr-FR"/>
        </w:rPr>
      </w:pPr>
      <w:bookmarkStart w:id="5" w:name="_Toc210661210"/>
      <w:r w:rsidRPr="00EA4F84">
        <w:rPr>
          <w:lang w:val="fr-FR"/>
        </w:rPr>
        <w:t>Contexte</w:t>
      </w:r>
      <w:bookmarkEnd w:id="5"/>
    </w:p>
    <w:p w14:paraId="46E2F720" w14:textId="77777777" w:rsidR="00FE39FA" w:rsidRPr="00EA4F84" w:rsidRDefault="00FE39FA" w:rsidP="00642CEF">
      <w:pPr>
        <w:keepNext/>
      </w:pPr>
    </w:p>
    <w:p w14:paraId="3208FD3E" w14:textId="1E2E0551" w:rsidR="001576C8" w:rsidRPr="00EA4F84" w:rsidRDefault="001576C8" w:rsidP="00BF7C58">
      <w:r w:rsidRPr="00EA4F84">
        <w:fldChar w:fldCharType="begin"/>
      </w:r>
      <w:r w:rsidRPr="00EA4F84">
        <w:instrText xml:space="preserve"> AUTONUM  </w:instrText>
      </w:r>
      <w:r w:rsidRPr="00EA4F84">
        <w:fldChar w:fldCharType="end"/>
      </w:r>
      <w:r w:rsidRPr="00EA4F84">
        <w:tab/>
        <w:t xml:space="preserve">Le </w:t>
      </w:r>
      <w:r w:rsidR="00472ACC" w:rsidRPr="00EA4F84">
        <w:rPr>
          <w:rFonts w:hint="eastAsia"/>
          <w:lang w:eastAsia="ja-JP"/>
        </w:rPr>
        <w:t>TC</w:t>
      </w:r>
      <w:r w:rsidRPr="00EA4F84">
        <w:rPr>
          <w:rStyle w:val="FootnoteReference"/>
          <w:lang w:eastAsia="ja-JP"/>
        </w:rPr>
        <w:footnoteReference w:id="2"/>
      </w:r>
      <w:r w:rsidR="009426D0">
        <w:t>,</w:t>
      </w:r>
      <w:r w:rsidRPr="00EA4F84">
        <w:t xml:space="preserve"> à sa </w:t>
      </w:r>
      <w:r w:rsidR="00C3565D" w:rsidRPr="00EA4F84">
        <w:rPr>
          <w:lang w:eastAsia="ja-JP"/>
        </w:rPr>
        <w:t xml:space="preserve">soixantième </w:t>
      </w:r>
      <w:r w:rsidRPr="00EA4F84">
        <w:t xml:space="preserve">session, </w:t>
      </w:r>
      <w:r w:rsidR="00472ACC" w:rsidRPr="00EA4F84">
        <w:t>est convenu de demander aux TWP, lors de leurs sessions de 2025, d'examiner la proposition de directives pour la validation d'un nouveau protocole de marqueurs moléculaires spécifiques à un caractère pour l'examen DHS</w:t>
      </w:r>
      <w:r w:rsidRPr="00EA4F84">
        <w:t>.</w:t>
      </w:r>
    </w:p>
    <w:p w14:paraId="0261E89D" w14:textId="77777777" w:rsidR="00EF443F" w:rsidRPr="00EA4F84" w:rsidRDefault="00EF443F" w:rsidP="00FE39FA"/>
    <w:p w14:paraId="3CEBB30B" w14:textId="77777777" w:rsidR="00221BB8" w:rsidRPr="00EA4F84" w:rsidRDefault="00221BB8" w:rsidP="00FE39FA"/>
    <w:p w14:paraId="11917B86" w14:textId="25F16930" w:rsidR="00FE39FA" w:rsidRPr="00EA4F84" w:rsidRDefault="00FE39FA" w:rsidP="001B3715">
      <w:pPr>
        <w:pStyle w:val="Heading2"/>
        <w:rPr>
          <w:lang w:val="fr-FR" w:eastAsia="ja-JP"/>
        </w:rPr>
      </w:pPr>
      <w:bookmarkStart w:id="6" w:name="_Toc210661211"/>
      <w:r w:rsidRPr="00EA4F84">
        <w:rPr>
          <w:lang w:val="fr-FR" w:eastAsia="ja-JP"/>
        </w:rPr>
        <w:t>Évolution au sein des groupes de travail techniques lors de leurs sessions de</w:t>
      </w:r>
      <w:r w:rsidRPr="00EA4F84">
        <w:rPr>
          <w:rFonts w:hint="eastAsia"/>
          <w:lang w:val="fr-FR" w:eastAsia="ja-JP"/>
        </w:rPr>
        <w:t xml:space="preserve"> 2025</w:t>
      </w:r>
      <w:bookmarkEnd w:id="6"/>
    </w:p>
    <w:p w14:paraId="133152E8" w14:textId="77777777" w:rsidR="00342001" w:rsidRPr="00EA4F84" w:rsidRDefault="00342001" w:rsidP="001B3715">
      <w:pPr>
        <w:keepNext/>
      </w:pPr>
    </w:p>
    <w:p w14:paraId="0B8747CF" w14:textId="63B4E5D1" w:rsidR="00D14C85" w:rsidRPr="00EA4F84" w:rsidRDefault="00A655A8" w:rsidP="00221BB8">
      <w:pPr>
        <w:rPr>
          <w:lang w:eastAsia="ja-JP"/>
        </w:rPr>
      </w:pPr>
      <w:r w:rsidRPr="00EA4F84">
        <w:fldChar w:fldCharType="begin"/>
      </w:r>
      <w:r w:rsidRPr="00EA4F84">
        <w:instrText xml:space="preserve"> AUTONUM  </w:instrText>
      </w:r>
      <w:r w:rsidRPr="00EA4F84">
        <w:fldChar w:fldCharType="end"/>
      </w:r>
      <w:r w:rsidRPr="00EA4F84">
        <w:tab/>
      </w:r>
      <w:r w:rsidR="00700E80" w:rsidRPr="00EA4F84">
        <w:t>À leurs sessions de</w:t>
      </w:r>
      <w:r w:rsidR="00700E80" w:rsidRPr="00EA4F84">
        <w:rPr>
          <w:rFonts w:hint="eastAsia"/>
          <w:lang w:eastAsia="ja-JP"/>
        </w:rPr>
        <w:t xml:space="preserve"> 2025</w:t>
      </w:r>
      <w:r w:rsidR="00700E80" w:rsidRPr="00EA4F84">
        <w:t xml:space="preserve">, le </w:t>
      </w:r>
      <w:r w:rsidR="00951044" w:rsidRPr="00EA4F84">
        <w:rPr>
          <w:rFonts w:hint="eastAsia"/>
          <w:lang w:eastAsia="ja-JP"/>
        </w:rPr>
        <w:t>TWO</w:t>
      </w:r>
      <w:r w:rsidR="00951044" w:rsidRPr="00EA4F84">
        <w:rPr>
          <w:rStyle w:val="FootnoteReference"/>
          <w:lang w:eastAsia="ja-JP"/>
        </w:rPr>
        <w:footnoteReference w:id="3"/>
      </w:r>
      <w:r w:rsidR="009426D0">
        <w:t>,</w:t>
      </w:r>
      <w:r w:rsidR="00700E80" w:rsidRPr="00EA4F84">
        <w:t xml:space="preserve"> </w:t>
      </w:r>
      <w:r w:rsidR="007E36E5" w:rsidRPr="00EA4F84">
        <w:rPr>
          <w:rFonts w:hint="eastAsia"/>
          <w:lang w:eastAsia="ja-JP"/>
        </w:rPr>
        <w:t>le TWM</w:t>
      </w:r>
      <w:r w:rsidR="007E36E5" w:rsidRPr="00EA4F84">
        <w:rPr>
          <w:rStyle w:val="FootnoteReference"/>
        </w:rPr>
        <w:footnoteReference w:id="4"/>
      </w:r>
      <w:r w:rsidR="009426D0">
        <w:rPr>
          <w:rFonts w:hint="eastAsia"/>
          <w:lang w:eastAsia="ja-JP"/>
        </w:rPr>
        <w:t>,</w:t>
      </w:r>
      <w:r w:rsidR="005751C4" w:rsidRPr="00EA4F84">
        <w:rPr>
          <w:rFonts w:hint="eastAsia"/>
          <w:lang w:eastAsia="ja-JP"/>
        </w:rPr>
        <w:t xml:space="preserve"> </w:t>
      </w:r>
      <w:r w:rsidR="00E95E7F" w:rsidRPr="00EA4F84">
        <w:rPr>
          <w:rFonts w:hint="eastAsia"/>
          <w:lang w:eastAsia="ja-JP"/>
        </w:rPr>
        <w:t>le TWV</w:t>
      </w:r>
      <w:r w:rsidR="00E95E7F" w:rsidRPr="00EA4F84">
        <w:rPr>
          <w:rStyle w:val="FootnoteReference"/>
        </w:rPr>
        <w:footnoteReference w:id="5"/>
      </w:r>
      <w:r w:rsidR="009426D0">
        <w:t>,</w:t>
      </w:r>
      <w:r w:rsidR="005751C4" w:rsidRPr="00EA4F84">
        <w:t xml:space="preserve"> </w:t>
      </w:r>
      <w:r w:rsidR="00E95E7F" w:rsidRPr="00EA4F84">
        <w:rPr>
          <w:rFonts w:hint="eastAsia"/>
          <w:lang w:eastAsia="ja-JP"/>
        </w:rPr>
        <w:t>le TWA</w:t>
      </w:r>
      <w:r w:rsidR="00E95E7F" w:rsidRPr="00EA4F84">
        <w:rPr>
          <w:rStyle w:val="FootnoteReference"/>
        </w:rPr>
        <w:footnoteReference w:id="6"/>
      </w:r>
      <w:r w:rsidR="00700E80" w:rsidRPr="00EA4F84">
        <w:t xml:space="preserve"> et </w:t>
      </w:r>
      <w:r w:rsidR="006E2D2D" w:rsidRPr="00EA4F84">
        <w:rPr>
          <w:lang w:eastAsia="ja-JP"/>
        </w:rPr>
        <w:t>le TWF</w:t>
      </w:r>
      <w:r w:rsidR="006E2D2D" w:rsidRPr="00EA4F84">
        <w:rPr>
          <w:rStyle w:val="FootnoteReference"/>
        </w:rPr>
        <w:footnoteReference w:id="7"/>
      </w:r>
      <w:r w:rsidR="00921B4E" w:rsidRPr="00EA4F84">
        <w:t xml:space="preserve"> ont examiné le document TWP/9/4 et les directives proposées pour la validation des méthodes d'évaluation des marqueurs moléculaires spécifiques à un caractère pour l'examen DHS, présentées par </w:t>
      </w:r>
      <w:r w:rsidR="00287F52" w:rsidRPr="00EA4F84">
        <w:t xml:space="preserve">des experts </w:t>
      </w:r>
      <w:r w:rsidR="00921B4E" w:rsidRPr="00EA4F84">
        <w:t xml:space="preserve">des Pays-Bas (Royaume </w:t>
      </w:r>
      <w:r w:rsidR="006C7330" w:rsidRPr="00EA4F84">
        <w:t>des</w:t>
      </w:r>
      <w:r w:rsidR="00921B4E" w:rsidRPr="00EA4F84">
        <w:t>).</w:t>
      </w:r>
    </w:p>
    <w:p w14:paraId="3BE7E50F" w14:textId="77777777" w:rsidR="00F1282A" w:rsidRPr="00EA4F84" w:rsidRDefault="00F1282A" w:rsidP="00921B4E">
      <w:pPr>
        <w:rPr>
          <w:lang w:eastAsia="ja-JP"/>
        </w:rPr>
      </w:pPr>
    </w:p>
    <w:p w14:paraId="2AE65456" w14:textId="024F235C" w:rsidR="009D0402" w:rsidRPr="00EA4F84" w:rsidRDefault="00544205" w:rsidP="00882559">
      <w:pPr>
        <w:pStyle w:val="Heading3"/>
        <w:rPr>
          <w:lang w:val="fr-FR" w:eastAsia="ja-JP"/>
        </w:rPr>
      </w:pPr>
      <w:bookmarkStart w:id="7" w:name="_Toc210661212"/>
      <w:r w:rsidRPr="00EA4F84">
        <w:rPr>
          <w:lang w:val="fr-FR" w:eastAsia="ja-JP"/>
        </w:rPr>
        <w:t xml:space="preserve">Validation des </w:t>
      </w:r>
      <w:r w:rsidR="009A070B" w:rsidRPr="00EA4F84">
        <w:rPr>
          <w:lang w:val="fr-FR" w:eastAsia="ja-JP"/>
        </w:rPr>
        <w:t xml:space="preserve">marqueurs moléculaires spécifiques à un caractère </w:t>
      </w:r>
      <w:r w:rsidR="00AD3753" w:rsidRPr="00EA4F84">
        <w:rPr>
          <w:lang w:val="fr-FR" w:eastAsia="ja-JP"/>
        </w:rPr>
        <w:t xml:space="preserve">pour </w:t>
      </w:r>
      <w:r w:rsidR="009D0402" w:rsidRPr="00EA4F84">
        <w:rPr>
          <w:lang w:val="fr-FR" w:eastAsia="ja-JP"/>
        </w:rPr>
        <w:t>les principes directeurs d'examen.</w:t>
      </w:r>
      <w:bookmarkEnd w:id="7"/>
    </w:p>
    <w:p w14:paraId="3CC7C9CA" w14:textId="77777777" w:rsidR="0080077B" w:rsidRPr="00EA4F84" w:rsidRDefault="0080077B" w:rsidP="00921B4E">
      <w:pPr>
        <w:rPr>
          <w:lang w:eastAsia="ja-JP"/>
        </w:rPr>
      </w:pPr>
    </w:p>
    <w:p w14:paraId="72161E2A" w14:textId="648A360A" w:rsidR="00A655A8" w:rsidRPr="00EA4F84" w:rsidRDefault="00D14C85" w:rsidP="00921B4E">
      <w:r w:rsidRPr="00EA4F84">
        <w:fldChar w:fldCharType="begin"/>
      </w:r>
      <w:r w:rsidRPr="00EA4F84">
        <w:instrText xml:space="preserve"> AUTONUM  </w:instrText>
      </w:r>
      <w:r w:rsidRPr="00EA4F84">
        <w:fldChar w:fldCharType="end"/>
      </w:r>
      <w:r w:rsidRPr="00EA4F84">
        <w:tab/>
      </w:r>
      <w:r w:rsidR="00921B4E" w:rsidRPr="00EA4F84">
        <w:t>Le TWO a noté que les principes directeurs proposés seraient appliqués pour valider les marqueurs moléculaires proposés comme méthodes alternatives pour l'évaluation des caractères individuels dans les principes directeurs d'examen.</w:t>
      </w:r>
    </w:p>
    <w:p w14:paraId="1FAC3620" w14:textId="77777777" w:rsidR="00AC2EA1" w:rsidRPr="00EA4F84" w:rsidRDefault="00AC2EA1" w:rsidP="00AC2EA1"/>
    <w:p w14:paraId="2CA5238C" w14:textId="77777777" w:rsidR="00AC2EA1" w:rsidRPr="00EA4F84" w:rsidRDefault="00AC2EA1" w:rsidP="00AC2EA1">
      <w:pPr>
        <w:pStyle w:val="ListParagraph"/>
        <w:ind w:left="0"/>
        <w:jc w:val="both"/>
        <w:rPr>
          <w:rFonts w:eastAsiaTheme="minorEastAsia"/>
          <w:lang w:eastAsia="ja-JP"/>
        </w:rPr>
      </w:pPr>
      <w:r w:rsidRPr="00EA4F84">
        <w:fldChar w:fldCharType="begin"/>
      </w:r>
      <w:r w:rsidRPr="00EA4F84">
        <w:instrText xml:space="preserve"> AUTONUM  </w:instrText>
      </w:r>
      <w:r w:rsidRPr="00EA4F84">
        <w:fldChar w:fldCharType="end"/>
      </w:r>
      <w:r w:rsidRPr="00EA4F84">
        <w:tab/>
        <w:t xml:space="preserve">Le </w:t>
      </w:r>
      <w:r w:rsidRPr="00EA4F84">
        <w:rPr>
          <w:rFonts w:hint="eastAsia"/>
          <w:lang w:eastAsia="ja-JP"/>
        </w:rPr>
        <w:t xml:space="preserve">TWM </w:t>
      </w:r>
      <w:r w:rsidRPr="00EA4F84">
        <w:t>a noté que la procédure proposée concernait une procédure possible pour la validation des marqueurs moléculaires et est convenu que les marqueurs moléculaires pouvaient être validés par leur publication dans des revues à comité de lecture.</w:t>
      </w:r>
    </w:p>
    <w:p w14:paraId="5DEAD99C" w14:textId="77777777" w:rsidR="00675087" w:rsidRPr="00EA4F84" w:rsidRDefault="00675087" w:rsidP="00675087">
      <w:pPr>
        <w:pStyle w:val="ListParagraph"/>
        <w:ind w:left="0"/>
        <w:jc w:val="both"/>
        <w:rPr>
          <w:rFonts w:eastAsiaTheme="minorEastAsia"/>
          <w:lang w:eastAsia="ja-JP"/>
        </w:rPr>
      </w:pPr>
    </w:p>
    <w:p w14:paraId="15AB1835" w14:textId="07E27F84" w:rsidR="00675087" w:rsidRPr="00EA4F84" w:rsidRDefault="00675087" w:rsidP="00675087">
      <w:pPr>
        <w:pStyle w:val="ListParagraph"/>
        <w:ind w:left="0"/>
        <w:jc w:val="both"/>
        <w:rPr>
          <w:rFonts w:eastAsiaTheme="minorEastAsia"/>
          <w:lang w:eastAsia="ja-JP"/>
        </w:rPr>
      </w:pPr>
      <w:r w:rsidRPr="00EA4F84">
        <w:fldChar w:fldCharType="begin"/>
      </w:r>
      <w:r w:rsidRPr="00EA4F84">
        <w:instrText xml:space="preserve"> AUTONUM  </w:instrText>
      </w:r>
      <w:r w:rsidRPr="00EA4F84">
        <w:fldChar w:fldCharType="end"/>
      </w:r>
      <w:r w:rsidRPr="00EA4F84">
        <w:tab/>
      </w:r>
      <w:r w:rsidRPr="00EA4F84">
        <w:rPr>
          <w:rFonts w:eastAsiaTheme="minorEastAsia"/>
          <w:lang w:eastAsia="ja-JP"/>
        </w:rPr>
        <w:t xml:space="preserve">Le TWA a noté que les orientations proposées rendaient compte des expériences de la France, de l'Italie et </w:t>
      </w:r>
      <w:r w:rsidR="002256BC">
        <w:rPr>
          <w:rFonts w:eastAsiaTheme="minorEastAsia"/>
          <w:lang w:eastAsia="ja-JP"/>
        </w:rPr>
        <w:t>des</w:t>
      </w:r>
      <w:r w:rsidRPr="00EA4F84">
        <w:rPr>
          <w:rFonts w:eastAsiaTheme="minorEastAsia"/>
          <w:lang w:eastAsia="ja-JP"/>
        </w:rPr>
        <w:t xml:space="preserve"> Pays-Bas </w:t>
      </w:r>
      <w:r w:rsidR="002256BC">
        <w:rPr>
          <w:rFonts w:eastAsiaTheme="minorEastAsia"/>
          <w:lang w:eastAsia="ja-JP"/>
        </w:rPr>
        <w:t xml:space="preserve">(Royaume des) </w:t>
      </w:r>
      <w:r w:rsidRPr="00EA4F84">
        <w:rPr>
          <w:rFonts w:eastAsiaTheme="minorEastAsia"/>
          <w:lang w:eastAsia="ja-JP"/>
        </w:rPr>
        <w:t>dans la validation de marqueurs moléculaires spécifiques à un caractère comme méthodes alternatives pour l'évaluation des caractères dans les principes directeurs d'examen. Le TWA est convenu qu'il fallait faire preuve de souplesse quant aux différents types ou procédures de validation à utiliser comme base pour l'inclusion de marqueurs moléculaires dans les principes directeurs d'examen.</w:t>
      </w:r>
    </w:p>
    <w:p w14:paraId="5FCC5742" w14:textId="77777777" w:rsidR="00675087" w:rsidRPr="00EA4F84" w:rsidRDefault="00675087" w:rsidP="00675087"/>
    <w:p w14:paraId="3D3C6D0C" w14:textId="77777777" w:rsidR="00675087" w:rsidRPr="00EA4F84" w:rsidRDefault="00675087" w:rsidP="00675087">
      <w:pPr>
        <w:pStyle w:val="ListParagraph"/>
        <w:ind w:left="0"/>
        <w:jc w:val="both"/>
        <w:rPr>
          <w:rFonts w:eastAsiaTheme="minorEastAsia"/>
          <w:lang w:eastAsia="ja-JP"/>
        </w:rPr>
      </w:pPr>
      <w:r w:rsidRPr="00EA4F84">
        <w:fldChar w:fldCharType="begin"/>
      </w:r>
      <w:r w:rsidRPr="00EA4F84">
        <w:instrText xml:space="preserve"> AUTONUM  </w:instrText>
      </w:r>
      <w:r w:rsidRPr="00EA4F84">
        <w:fldChar w:fldCharType="end"/>
      </w:r>
      <w:r w:rsidRPr="00EA4F84">
        <w:tab/>
        <w:t xml:space="preserve">Le </w:t>
      </w:r>
      <w:r w:rsidRPr="00EA4F84">
        <w:rPr>
          <w:rFonts w:eastAsiaTheme="minorEastAsia" w:hint="eastAsia"/>
          <w:lang w:eastAsia="ja-JP"/>
        </w:rPr>
        <w:t xml:space="preserve">TWF </w:t>
      </w:r>
      <w:r w:rsidRPr="00EA4F84">
        <w:rPr>
          <w:rFonts w:eastAsiaTheme="minorEastAsia"/>
          <w:lang w:eastAsia="ja-JP"/>
        </w:rPr>
        <w:t>a approuvé la procédure proposée pour valider les marqueurs moléculaires développés par les services d'examen pour les marqueurs moléculaires spécifiques à un caractère, qui seraient utilisés comme méthodes alternatives pour l'évaluation des caractères dans les principes directeurs d'essai.</w:t>
      </w:r>
    </w:p>
    <w:p w14:paraId="565174FE" w14:textId="77777777" w:rsidR="00AC2EA1" w:rsidRPr="00EA4F84" w:rsidRDefault="00AC2EA1" w:rsidP="00AC2EA1">
      <w:pPr>
        <w:pStyle w:val="ListParagraph"/>
        <w:ind w:left="0"/>
        <w:jc w:val="both"/>
        <w:rPr>
          <w:rFonts w:eastAsiaTheme="minorEastAsia"/>
          <w:lang w:eastAsia="ja-JP"/>
        </w:rPr>
      </w:pPr>
    </w:p>
    <w:p w14:paraId="0E022AE3" w14:textId="77777777" w:rsidR="00AC2EA1" w:rsidRPr="00EA4F84" w:rsidRDefault="00AC2EA1" w:rsidP="00AC2EA1">
      <w:pPr>
        <w:pStyle w:val="ListParagraph"/>
        <w:ind w:left="0"/>
        <w:jc w:val="both"/>
        <w:rPr>
          <w:rFonts w:eastAsiaTheme="minorEastAsia"/>
          <w:lang w:eastAsia="ja-JP"/>
        </w:rPr>
      </w:pPr>
      <w:r w:rsidRPr="00EA4F84">
        <w:fldChar w:fldCharType="begin"/>
      </w:r>
      <w:r w:rsidRPr="00EA4F84">
        <w:instrText xml:space="preserve"> AUTONUM  </w:instrText>
      </w:r>
      <w:r w:rsidRPr="00EA4F84">
        <w:fldChar w:fldCharType="end"/>
      </w:r>
      <w:r w:rsidRPr="00EA4F84">
        <w:tab/>
        <w:t xml:space="preserve">Le TWM est convenu </w:t>
      </w:r>
      <w:r w:rsidRPr="00EA4F84">
        <w:rPr>
          <w:rFonts w:hint="eastAsia"/>
          <w:lang w:eastAsia="ja-JP"/>
        </w:rPr>
        <w:t xml:space="preserve">que </w:t>
      </w:r>
      <w:r w:rsidRPr="00EA4F84">
        <w:rPr>
          <w:lang w:eastAsia="ja-JP"/>
        </w:rPr>
        <w:t>les informations figurant aux paragraphes</w:t>
      </w:r>
      <w:r w:rsidRPr="00EA4F84">
        <w:t xml:space="preserve"> 21 et 28 du </w:t>
      </w:r>
      <w:r w:rsidRPr="00EA4F84">
        <w:rPr>
          <w:rFonts w:cs="Arial"/>
          <w:iCs/>
        </w:rPr>
        <w:t xml:space="preserve">document </w:t>
      </w:r>
      <w:r w:rsidRPr="00EA4F84">
        <w:rPr>
          <w:rFonts w:hint="eastAsia"/>
          <w:lang w:eastAsia="ja-JP"/>
        </w:rPr>
        <w:t xml:space="preserve">TWP/9/4 </w:t>
      </w:r>
      <w:r w:rsidRPr="00EA4F84">
        <w:t xml:space="preserve">devraient être révisées afin de clarifier les méthodes de validation. Le TWM est convenu que l'encadré du point 8 du tableau devrait être modifié comme suit : </w:t>
      </w:r>
    </w:p>
    <w:p w14:paraId="04340E8D" w14:textId="77777777" w:rsidR="00AC2EA1" w:rsidRPr="00EA4F84" w:rsidRDefault="00AC2EA1" w:rsidP="00AC2EA1">
      <w:pPr>
        <w:contextualSpacing/>
        <w:rPr>
          <w:rFonts w:cs="Calibri"/>
          <w:szCs w:val="22"/>
          <w14:ligatures w14:val="standardContextual"/>
        </w:rPr>
      </w:pPr>
    </w:p>
    <w:p w14:paraId="5C1EE0A8" w14:textId="77777777" w:rsidR="00AC2EA1" w:rsidRPr="00EA4F84" w:rsidRDefault="00AC2EA1" w:rsidP="00AC2EA1">
      <w:pPr>
        <w:ind w:left="567" w:right="567"/>
        <w:rPr>
          <w:rFonts w:cs="Arial"/>
          <w:color w:val="000000" w:themeColor="text1"/>
          <w:sz w:val="18"/>
          <w:szCs w:val="18"/>
          <w:lang w:eastAsia="nl-NL"/>
          <w14:ligatures w14:val="standardContextual"/>
        </w:rPr>
      </w:pPr>
      <w:r w:rsidRPr="00EA4F84">
        <w:rPr>
          <w:rFonts w:cs="Arial"/>
          <w:color w:val="000000" w:themeColor="text1"/>
          <w:sz w:val="18"/>
          <w:szCs w:val="18"/>
          <w:lang w:eastAsia="nl-NL"/>
          <w14:ligatures w14:val="standardContextual"/>
        </w:rPr>
        <w:t xml:space="preserve">“Si le résultat du test par marqueur ADN ne confirme pas la déclaration figurant dans le questionnaire technique, il convient de procéder à un essai en plein champ ou à un essai biologique </w:t>
      </w:r>
      <w:r w:rsidRPr="00EA4F84">
        <w:rPr>
          <w:rFonts w:cs="Arial"/>
          <w:strike/>
          <w:color w:val="000000" w:themeColor="text1"/>
          <w:sz w:val="18"/>
          <w:szCs w:val="18"/>
          <w:highlight w:val="lightGray"/>
          <w:lang w:eastAsia="nl-NL"/>
          <w14:ligatures w14:val="standardContextual"/>
        </w:rPr>
        <w:t>afin d’évaluer l’exactitude de la déclaration figurant dans le questionnaire technique</w:t>
      </w:r>
      <w:r w:rsidRPr="00EA4F84">
        <w:rPr>
          <w:rFonts w:cs="Arial"/>
          <w:color w:val="000000" w:themeColor="text1"/>
          <w:sz w:val="18"/>
          <w:szCs w:val="18"/>
          <w:lang w:eastAsia="nl-NL"/>
          <w14:ligatures w14:val="standardContextual"/>
        </w:rPr>
        <w:t xml:space="preserve">.” </w:t>
      </w:r>
    </w:p>
    <w:p w14:paraId="279D7808" w14:textId="77777777" w:rsidR="00AC2EA1" w:rsidRPr="00EA4F84" w:rsidRDefault="00AC2EA1" w:rsidP="00AC2EA1"/>
    <w:p w14:paraId="5F128D11" w14:textId="1143EEED" w:rsidR="00AC2EA1" w:rsidRPr="00EA4F84" w:rsidRDefault="00AC2EA1" w:rsidP="00AC2EA1">
      <w:pPr>
        <w:pStyle w:val="ListParagraph"/>
        <w:ind w:left="0"/>
      </w:pPr>
      <w:r w:rsidRPr="00EA4F84">
        <w:fldChar w:fldCharType="begin"/>
      </w:r>
      <w:r w:rsidRPr="00EA4F84">
        <w:instrText xml:space="preserve"> AUTONUM  </w:instrText>
      </w:r>
      <w:r w:rsidRPr="00EA4F84">
        <w:fldChar w:fldCharType="end"/>
      </w:r>
      <w:r w:rsidRPr="00EA4F84">
        <w:tab/>
        <w:t xml:space="preserve">Le </w:t>
      </w:r>
      <w:r w:rsidRPr="00EA4F84">
        <w:rPr>
          <w:rFonts w:eastAsiaTheme="minorEastAsia" w:hint="eastAsia"/>
          <w:lang w:eastAsia="ja-JP"/>
        </w:rPr>
        <w:t xml:space="preserve">TWV </w:t>
      </w:r>
      <w:r w:rsidRPr="00EA4F84">
        <w:t xml:space="preserve">a approuvé les modifications suivantes au texte du </w:t>
      </w:r>
      <w:r w:rsidR="00EA4F84">
        <w:t>“ </w:t>
      </w:r>
      <w:r w:rsidRPr="00EA4F84">
        <w:t>Tableau 1</w:t>
      </w:r>
      <w:r w:rsidR="00EA4F84">
        <w:t> »</w:t>
      </w:r>
      <w:r w:rsidRPr="00EA4F84">
        <w:t xml:space="preserve"> :</w:t>
      </w:r>
    </w:p>
    <w:p w14:paraId="65BAADEC" w14:textId="77777777" w:rsidR="00AC2EA1" w:rsidRPr="00EA4F84" w:rsidRDefault="00AC2EA1" w:rsidP="00AC2EA1">
      <w:pPr>
        <w:pStyle w:val="ListParagraph"/>
      </w:pPr>
    </w:p>
    <w:p w14:paraId="45AF3464" w14:textId="7327D1DF" w:rsidR="00AC2EA1" w:rsidRPr="00EA4F84" w:rsidRDefault="00AC2EA1" w:rsidP="00AC2EA1">
      <w:pPr>
        <w:pStyle w:val="ListParagraph"/>
        <w:numPr>
          <w:ilvl w:val="0"/>
          <w:numId w:val="19"/>
        </w:numPr>
        <w:jc w:val="both"/>
      </w:pPr>
      <w:r w:rsidRPr="00EA4F84">
        <w:t xml:space="preserve">Points 1 et 2 : mettre à jour la référence à la version actuelle des </w:t>
      </w:r>
      <w:r w:rsidR="00616166">
        <w:t xml:space="preserve">principes directeurs d’examen </w:t>
      </w:r>
      <w:r w:rsidRPr="00EA4F84">
        <w:t>pour la tomate (TG/44/12)</w:t>
      </w:r>
    </w:p>
    <w:p w14:paraId="6D79AB41" w14:textId="77777777" w:rsidR="00AC2EA1" w:rsidRPr="00EA4F84" w:rsidRDefault="00AC2EA1" w:rsidP="00AC2EA1"/>
    <w:p w14:paraId="6FABCF07" w14:textId="6CB13CFE" w:rsidR="00AC2EA1" w:rsidRPr="00EA4F84" w:rsidRDefault="00AC2EA1" w:rsidP="00AC2EA1">
      <w:pPr>
        <w:pStyle w:val="ListParagraph"/>
        <w:numPr>
          <w:ilvl w:val="0"/>
          <w:numId w:val="19"/>
        </w:numPr>
        <w:jc w:val="both"/>
      </w:pPr>
      <w:r w:rsidRPr="00EA4F84">
        <w:lastRenderedPageBreak/>
        <w:t xml:space="preserve">Point 8 : remplacer par </w:t>
      </w:r>
      <w:r w:rsidR="00EA4F84">
        <w:t>“ </w:t>
      </w:r>
      <w:r w:rsidRPr="00EA4F84">
        <w:t xml:space="preserve">[…] Si le résultat du test de marqueurs ADN ne confirme pas la déclaration figurant dans le questionnaire technique, un essai en plein champ ou un test biologique devrait être effectué </w:t>
      </w:r>
      <w:r w:rsidRPr="00EA4F84">
        <w:rPr>
          <w:strike/>
          <w:highlight w:val="lightGray"/>
        </w:rPr>
        <w:t>afin d'évaluer l'exactitude de la déclaration figurant dans le questionnaire technique</w:t>
      </w:r>
      <w:r w:rsidRPr="00EA4F84">
        <w:t>.</w:t>
      </w:r>
      <w:r w:rsidR="00EA4F84">
        <w:t> »</w:t>
      </w:r>
    </w:p>
    <w:p w14:paraId="5612A500" w14:textId="77777777" w:rsidR="0080077B" w:rsidRPr="00EA4F84" w:rsidRDefault="0080077B" w:rsidP="0080077B">
      <w:pPr>
        <w:rPr>
          <w:lang w:eastAsia="ja-JP"/>
        </w:rPr>
      </w:pPr>
    </w:p>
    <w:p w14:paraId="04FE4D90" w14:textId="1D52C881" w:rsidR="00CA5C5B" w:rsidRPr="00EA4F84" w:rsidRDefault="00616166" w:rsidP="00642CEF">
      <w:pPr>
        <w:pStyle w:val="Heading3"/>
        <w:rPr>
          <w:lang w:val="fr-FR"/>
        </w:rPr>
      </w:pPr>
      <w:bookmarkStart w:id="8" w:name="_Toc210661213"/>
      <w:r>
        <w:rPr>
          <w:lang w:val="fr-FR"/>
        </w:rPr>
        <w:t>M</w:t>
      </w:r>
      <w:r w:rsidR="008D2D25" w:rsidRPr="00EA4F84">
        <w:rPr>
          <w:lang w:val="fr-FR"/>
        </w:rPr>
        <w:t>arqueurs moléculaires constituant des secrets commerciaux</w:t>
      </w:r>
      <w:bookmarkEnd w:id="8"/>
      <w:r w:rsidR="008D2D25" w:rsidRPr="00EA4F84">
        <w:rPr>
          <w:lang w:val="fr-FR"/>
        </w:rPr>
        <w:t xml:space="preserve"> </w:t>
      </w:r>
    </w:p>
    <w:p w14:paraId="27CCEBBD" w14:textId="77777777" w:rsidR="00EB5A96" w:rsidRPr="00EA4F84" w:rsidRDefault="00EB5A96" w:rsidP="00642CEF">
      <w:pPr>
        <w:keepNext/>
      </w:pPr>
    </w:p>
    <w:p w14:paraId="27821E40" w14:textId="37E3AA92" w:rsidR="00AC2EA1" w:rsidRPr="00EA4F84" w:rsidRDefault="00AC2EA1" w:rsidP="001F298F">
      <w:r w:rsidRPr="00EA4F84">
        <w:fldChar w:fldCharType="begin"/>
      </w:r>
      <w:r w:rsidRPr="00EA4F84">
        <w:instrText xml:space="preserve"> AUTONUM  </w:instrText>
      </w:r>
      <w:r w:rsidRPr="00EA4F84">
        <w:fldChar w:fldCharType="end"/>
      </w:r>
      <w:r w:rsidRPr="00EA4F84">
        <w:tab/>
        <w:t xml:space="preserve">Le TWO a examiné, dans le cadre de l'élaboration des principes directeurs d'examen de l'UPOV, les questions à prendre en considération concernant l'utilisation de marqueurs moléculaires susceptibles de constituer des secrets d'affaires (voir </w:t>
      </w:r>
      <w:r w:rsidR="00DA1F61" w:rsidRPr="00EA4F84">
        <w:t xml:space="preserve">l'annexe du présent document, </w:t>
      </w:r>
      <w:r w:rsidRPr="00EA4F84">
        <w:t>paragraphe 31).  Le TWO a noté que, dans de tels cas, le marqueur ne serait pas décrit dans les principes directeurs d'examen et que l'autorisation du propriétaire du marqueur serait requise pour que les membres de l'UPOV puissent l'utiliser. Le TWO a noté que les marqueurs moléculaires étaient le plus souvent fournis par les obtenteurs et a estimé que l'accès des membres de l'UPOV aux marqueurs susceptibles de constituer un secret</w:t>
      </w:r>
      <w:r w:rsidR="00650BCB" w:rsidRPr="00EA4F84">
        <w:t xml:space="preserve"> commercial </w:t>
      </w:r>
      <w:r w:rsidRPr="00EA4F84">
        <w:t>serait important pour la coopération internationale et l'échange de rapports d'examen DHS.</w:t>
      </w:r>
    </w:p>
    <w:p w14:paraId="0A4823BF" w14:textId="77777777" w:rsidR="0014382F" w:rsidRPr="00EA4F84" w:rsidRDefault="0014382F" w:rsidP="0063724C">
      <w:pPr>
        <w:pStyle w:val="ListParagraph"/>
        <w:ind w:left="0"/>
        <w:jc w:val="both"/>
        <w:rPr>
          <w:rFonts w:eastAsiaTheme="minorEastAsia"/>
          <w:lang w:eastAsia="ja-JP"/>
        </w:rPr>
      </w:pPr>
    </w:p>
    <w:p w14:paraId="2BC6AB3C" w14:textId="62AC0425" w:rsidR="003524FA" w:rsidRPr="00EA4F84" w:rsidRDefault="0014382F" w:rsidP="001F298F">
      <w:pPr>
        <w:pStyle w:val="ListParagraph"/>
        <w:ind w:left="0"/>
        <w:jc w:val="both"/>
      </w:pPr>
      <w:r w:rsidRPr="00EA4F84">
        <w:fldChar w:fldCharType="begin"/>
      </w:r>
      <w:r w:rsidRPr="00EA4F84">
        <w:instrText xml:space="preserve"> AUTONUM  </w:instrText>
      </w:r>
      <w:r w:rsidRPr="00EA4F84">
        <w:fldChar w:fldCharType="end"/>
      </w:r>
      <w:r w:rsidRPr="00EA4F84">
        <w:tab/>
      </w:r>
      <w:r w:rsidR="00F515A1" w:rsidRPr="00EA4F84">
        <w:rPr>
          <w:rFonts w:eastAsiaTheme="minorEastAsia"/>
          <w:lang w:eastAsia="ja-JP"/>
        </w:rPr>
        <w:t xml:space="preserve">Le TWA </w:t>
      </w:r>
      <w:r w:rsidR="00C93F66" w:rsidRPr="00EA4F84">
        <w:rPr>
          <w:rFonts w:eastAsiaTheme="minorEastAsia"/>
          <w:lang w:eastAsia="ja-JP"/>
        </w:rPr>
        <w:t xml:space="preserve">et le TWF </w:t>
      </w:r>
      <w:r w:rsidR="00F515A1" w:rsidRPr="00EA4F84">
        <w:rPr>
          <w:rFonts w:eastAsiaTheme="minorEastAsia"/>
          <w:lang w:eastAsia="ja-JP"/>
        </w:rPr>
        <w:t xml:space="preserve">ont examiné la question de l'accès aux méthodes utilisées dans les principes directeurs d'examen en relation avec la situation décrite au paragraphe 31 </w:t>
      </w:r>
      <w:r w:rsidR="00D9352F" w:rsidRPr="00EA4F84">
        <w:rPr>
          <w:rFonts w:eastAsiaTheme="minorEastAsia"/>
          <w:lang w:eastAsia="ja-JP"/>
        </w:rPr>
        <w:t>de</w:t>
      </w:r>
      <w:r w:rsidR="007D744C" w:rsidRPr="00EA4F84">
        <w:rPr>
          <w:rFonts w:eastAsiaTheme="minorEastAsia"/>
          <w:lang w:eastAsia="ja-JP"/>
        </w:rPr>
        <w:t xml:space="preserve"> l'annexe </w:t>
      </w:r>
      <w:r w:rsidR="00D9352F" w:rsidRPr="00EA4F84">
        <w:rPr>
          <w:rFonts w:eastAsiaTheme="minorEastAsia"/>
          <w:lang w:eastAsia="ja-JP"/>
        </w:rPr>
        <w:t xml:space="preserve">du projet de principes directeurs </w:t>
      </w:r>
      <w:r w:rsidR="00F515A1" w:rsidRPr="00EA4F84">
        <w:rPr>
          <w:rFonts w:eastAsiaTheme="minorEastAsia"/>
          <w:lang w:eastAsia="ja-JP"/>
        </w:rPr>
        <w:t>("protocole relatif aux secrets commerciaux"). Le TWA est convenu qu'un examen plus approfondi serait nécessaire dans le cas où un marqueur moléculaire à accès restreint serait proposé pour inclusion dans les principes directeurs d'examen.</w:t>
      </w:r>
    </w:p>
    <w:p w14:paraId="77C49FF1" w14:textId="77777777" w:rsidR="005F0B8B" w:rsidRPr="00EA4F84" w:rsidRDefault="005F0B8B" w:rsidP="005F0B8B">
      <w:pPr>
        <w:rPr>
          <w:lang w:eastAsia="ja-JP"/>
        </w:rPr>
      </w:pPr>
    </w:p>
    <w:p w14:paraId="4D38D105" w14:textId="77777777" w:rsidR="005F0B8B" w:rsidRPr="00EA4F84" w:rsidRDefault="005F0B8B" w:rsidP="00882559">
      <w:pPr>
        <w:pStyle w:val="Heading3"/>
        <w:rPr>
          <w:lang w:val="fr-FR" w:eastAsia="ja-JP"/>
        </w:rPr>
      </w:pPr>
      <w:bookmarkStart w:id="9" w:name="_Toc210661214"/>
      <w:r w:rsidRPr="00EA4F84">
        <w:rPr>
          <w:lang w:val="fr-FR"/>
        </w:rPr>
        <w:t>Protocole standard pour les marqueurs moléculaires spécifiques à un caractère dans les principes directeurs d'examen</w:t>
      </w:r>
      <w:bookmarkEnd w:id="9"/>
    </w:p>
    <w:p w14:paraId="17B77905" w14:textId="77777777" w:rsidR="005F0B8B" w:rsidRPr="00EA4F84" w:rsidRDefault="005F0B8B" w:rsidP="005F0B8B"/>
    <w:p w14:paraId="74AA843D" w14:textId="02836879" w:rsidR="005F0B8B" w:rsidRPr="00EA4F84" w:rsidRDefault="005F0B8B" w:rsidP="005F0B8B">
      <w:pPr>
        <w:pStyle w:val="ListParagraph"/>
        <w:ind w:left="0"/>
        <w:jc w:val="both"/>
        <w:rPr>
          <w:rFonts w:eastAsiaTheme="minorEastAsia"/>
          <w:lang w:eastAsia="ja-JP"/>
        </w:rPr>
      </w:pPr>
      <w:r w:rsidRPr="00EA4F84">
        <w:fldChar w:fldCharType="begin"/>
      </w:r>
      <w:r w:rsidRPr="00EA4F84">
        <w:instrText xml:space="preserve"> AUTONUM  </w:instrText>
      </w:r>
      <w:r w:rsidRPr="00EA4F84">
        <w:fldChar w:fldCharType="end"/>
      </w:r>
      <w:r w:rsidRPr="00EA4F84">
        <w:tab/>
        <w:t xml:space="preserve">Le </w:t>
      </w:r>
      <w:r w:rsidRPr="00EA4F84">
        <w:rPr>
          <w:rFonts w:eastAsiaTheme="minorEastAsia" w:hint="eastAsia"/>
          <w:lang w:eastAsia="ja-JP"/>
        </w:rPr>
        <w:t xml:space="preserve">TWA </w:t>
      </w:r>
      <w:r w:rsidRPr="00EA4F84">
        <w:rPr>
          <w:rFonts w:eastAsiaTheme="minorEastAsia"/>
          <w:lang w:eastAsia="ja-JP"/>
        </w:rPr>
        <w:t xml:space="preserve">et le TWF sont convenus que le protocole standard proposé pour l'évaluation des caractères à l'aide de marqueurs moléculaires constituait une base appropriée pour harmoniser la manière dont les informations devraient être fournies dans les principes directeurs d'examen (voir l'annexe, section V </w:t>
      </w:r>
      <w:r w:rsidR="00EA4F84">
        <w:rPr>
          <w:rFonts w:eastAsiaTheme="minorEastAsia"/>
          <w:lang w:eastAsia="ja-JP"/>
        </w:rPr>
        <w:t>“ </w:t>
      </w:r>
      <w:r w:rsidRPr="00EA4F84">
        <w:rPr>
          <w:rFonts w:eastAsia="Times New Roman"/>
        </w:rPr>
        <w:t>Protocole standard pour les marqueurs moléculaires spécifiques à un caractère</w:t>
      </w:r>
      <w:r w:rsidR="00EA4F84">
        <w:rPr>
          <w:rFonts w:eastAsia="Times New Roman"/>
        </w:rPr>
        <w:t> »</w:t>
      </w:r>
      <w:r w:rsidRPr="00EA4F84">
        <w:rPr>
          <w:rFonts w:eastAsiaTheme="minorEastAsia"/>
          <w:lang w:eastAsia="ja-JP"/>
        </w:rPr>
        <w:t>).</w:t>
      </w:r>
    </w:p>
    <w:p w14:paraId="4CA006AE" w14:textId="77777777" w:rsidR="005F0B8B" w:rsidRPr="00EA4F84" w:rsidRDefault="005F0B8B" w:rsidP="005F0B8B"/>
    <w:p w14:paraId="4790E5F9" w14:textId="63E49965" w:rsidR="00537E91" w:rsidRPr="00EA4F84" w:rsidRDefault="00895431" w:rsidP="00882559">
      <w:pPr>
        <w:pStyle w:val="Heading3"/>
        <w:rPr>
          <w:lang w:val="fr-FR" w:eastAsia="ja-JP"/>
        </w:rPr>
      </w:pPr>
      <w:bookmarkStart w:id="10" w:name="_Toc210661215"/>
      <w:r w:rsidRPr="00EA4F84">
        <w:rPr>
          <w:lang w:val="fr-FR"/>
        </w:rPr>
        <w:t>Caractères obtenus à l'aide de nouvelles techniques de sélection</w:t>
      </w:r>
      <w:bookmarkEnd w:id="10"/>
    </w:p>
    <w:p w14:paraId="2BEB87B1" w14:textId="77777777" w:rsidR="007F72C4" w:rsidRPr="00EA4F84" w:rsidRDefault="007F72C4" w:rsidP="00B52114">
      <w:pPr>
        <w:pStyle w:val="ListParagraph"/>
        <w:ind w:left="0"/>
        <w:jc w:val="both"/>
        <w:rPr>
          <w:rFonts w:eastAsiaTheme="minorEastAsia"/>
          <w:lang w:eastAsia="ja-JP"/>
        </w:rPr>
      </w:pPr>
    </w:p>
    <w:p w14:paraId="1975DEBF" w14:textId="15CC9374" w:rsidR="00B52114" w:rsidRPr="00EA4F84" w:rsidRDefault="00B52114" w:rsidP="00B52114">
      <w:pPr>
        <w:pStyle w:val="ListParagraph"/>
        <w:ind w:left="0"/>
        <w:jc w:val="both"/>
        <w:rPr>
          <w:rFonts w:eastAsiaTheme="minorEastAsia"/>
          <w:lang w:eastAsia="ja-JP"/>
        </w:rPr>
      </w:pPr>
      <w:r w:rsidRPr="00EA4F84">
        <w:fldChar w:fldCharType="begin"/>
      </w:r>
      <w:r w:rsidRPr="00EA4F84">
        <w:instrText xml:space="preserve"> AUTONUM  </w:instrText>
      </w:r>
      <w:r w:rsidRPr="00EA4F84">
        <w:fldChar w:fldCharType="end"/>
      </w:r>
      <w:r w:rsidRPr="00EA4F84">
        <w:tab/>
        <w:t>Le TWF a examiné l'utilisation de marqueurs moléculaires pour évaluer les caractères obtenus par de nouvelles techniques de sélection. Le TWF a noté qu'aucune expérience n'avait été signalée à ce sujet et est convenu de recevoir à l'avenir des informations actualisées sur les expériences menées dans ce domaine.</w:t>
      </w:r>
    </w:p>
    <w:p w14:paraId="264DA7CA" w14:textId="77777777" w:rsidR="00342001" w:rsidRPr="00EA4F84" w:rsidRDefault="00342001" w:rsidP="00EF4B00"/>
    <w:p w14:paraId="7C256A0A" w14:textId="77777777" w:rsidR="00221BB8" w:rsidRPr="00EA4F84" w:rsidRDefault="00221BB8" w:rsidP="00EF4B00"/>
    <w:p w14:paraId="4B870AFB" w14:textId="463FDA45" w:rsidR="00A7229D" w:rsidRPr="00EA4F84" w:rsidRDefault="004B3C4C" w:rsidP="00EF24D5">
      <w:pPr>
        <w:pStyle w:val="Heading2"/>
        <w:rPr>
          <w:lang w:val="fr-FR" w:eastAsia="ja-JP"/>
        </w:rPr>
      </w:pPr>
      <w:bookmarkStart w:id="11" w:name="_Toc176335742"/>
      <w:bookmarkStart w:id="12" w:name="_Toc210661216"/>
      <w:bookmarkEnd w:id="11"/>
      <w:r>
        <w:rPr>
          <w:lang w:val="fr-FR" w:eastAsia="ja-JP"/>
        </w:rPr>
        <w:t>Pro</w:t>
      </w:r>
      <w:r w:rsidR="00270BD7" w:rsidRPr="00EA4F84">
        <w:rPr>
          <w:rFonts w:hint="eastAsia"/>
          <w:lang w:val="fr-FR" w:eastAsia="ja-JP"/>
        </w:rPr>
        <w:t>position</w:t>
      </w:r>
      <w:bookmarkEnd w:id="12"/>
    </w:p>
    <w:p w14:paraId="26BFF67B" w14:textId="77777777" w:rsidR="00270BD7" w:rsidRPr="00EA4F84" w:rsidRDefault="00270BD7" w:rsidP="00145CA2">
      <w:pPr>
        <w:keepNext/>
        <w:rPr>
          <w:lang w:eastAsia="ja-JP"/>
        </w:rPr>
      </w:pPr>
    </w:p>
    <w:p w14:paraId="16BD0C70" w14:textId="209DDFA5" w:rsidR="00A7229D" w:rsidRPr="00EA4F84" w:rsidRDefault="00A7229D" w:rsidP="001F298F">
      <w:pPr>
        <w:rPr>
          <w:lang w:eastAsia="ja-JP"/>
        </w:rPr>
      </w:pPr>
      <w:r w:rsidRPr="00EA4F84">
        <w:fldChar w:fldCharType="begin"/>
      </w:r>
      <w:r w:rsidRPr="00EA4F84">
        <w:instrText xml:space="preserve"> AUTONUM  </w:instrText>
      </w:r>
      <w:r w:rsidRPr="00EA4F84">
        <w:fldChar w:fldCharType="end"/>
      </w:r>
      <w:r w:rsidRPr="00EA4F84">
        <w:tab/>
      </w:r>
      <w:r w:rsidR="00884600" w:rsidRPr="00EA4F84">
        <w:t xml:space="preserve">Sur </w:t>
      </w:r>
      <w:r w:rsidRPr="00EA4F84">
        <w:t>la</w:t>
      </w:r>
      <w:r w:rsidR="00884600" w:rsidRPr="00EA4F84">
        <w:t xml:space="preserve"> base </w:t>
      </w:r>
      <w:r w:rsidRPr="00EA4F84">
        <w:t xml:space="preserve">des observations formulées par les groupes de travail </w:t>
      </w:r>
      <w:r w:rsidR="002604A7">
        <w:t xml:space="preserve">techniques </w:t>
      </w:r>
      <w:r w:rsidRPr="00EA4F84">
        <w:t>lors de leurs sessions de</w:t>
      </w:r>
      <w:r w:rsidR="00DC4D1B" w:rsidRPr="00EA4F84">
        <w:rPr>
          <w:rFonts w:hint="eastAsia"/>
          <w:lang w:eastAsia="ja-JP"/>
        </w:rPr>
        <w:t xml:space="preserve"> 2025</w:t>
      </w:r>
      <w:r w:rsidRPr="00EA4F84">
        <w:t xml:space="preserve">, le TC pourrait souhaiter examiner </w:t>
      </w:r>
      <w:r w:rsidR="009834A3" w:rsidRPr="00EA4F84">
        <w:t xml:space="preserve">les </w:t>
      </w:r>
      <w:r w:rsidR="0098754F" w:rsidRPr="00EA4F84">
        <w:t xml:space="preserve">principes directeurs proposés </w:t>
      </w:r>
      <w:r w:rsidR="002709DB" w:rsidRPr="00EA4F84">
        <w:t xml:space="preserve">pour </w:t>
      </w:r>
      <w:r w:rsidR="00DF0A78" w:rsidRPr="00EA4F84">
        <w:t xml:space="preserve">la validation des marqueurs moléculaires en vue de </w:t>
      </w:r>
      <w:r w:rsidR="00132FC5" w:rsidRPr="00EA4F84">
        <w:t xml:space="preserve">leur inclusion dans les principes directeurs d'examen en tant que méthodes d'examen alternatives.  </w:t>
      </w:r>
      <w:r w:rsidR="004E1F5A" w:rsidRPr="00EA4F84">
        <w:t xml:space="preserve">Le TC pourrait souhaiter </w:t>
      </w:r>
      <w:r w:rsidR="00EE6B94" w:rsidRPr="00EA4F84">
        <w:t xml:space="preserve">envisager </w:t>
      </w:r>
      <w:r w:rsidR="00101639" w:rsidRPr="00EA4F84">
        <w:t xml:space="preserve">l'inclusion des principes directeurs proposés dans </w:t>
      </w:r>
      <w:r w:rsidR="006E4B3B" w:rsidRPr="00EA4F84">
        <w:t xml:space="preserve">la série </w:t>
      </w:r>
      <w:r w:rsidR="004777B2" w:rsidRPr="00EA4F84">
        <w:t xml:space="preserve">de documents </w:t>
      </w:r>
      <w:r w:rsidR="00E91CCF" w:rsidRPr="00EA4F84">
        <w:t xml:space="preserve">de l'UPOV </w:t>
      </w:r>
      <w:r w:rsidR="00291EBF" w:rsidRPr="00EA4F84">
        <w:t xml:space="preserve">précisant </w:t>
      </w:r>
      <w:r w:rsidR="004777B2" w:rsidRPr="00EA4F84">
        <w:t xml:space="preserve">les procédures des principes directeurs d'examen </w:t>
      </w:r>
      <w:r w:rsidR="00A47C5C" w:rsidRPr="00EA4F84">
        <w:t>(</w:t>
      </w:r>
      <w:r w:rsidR="009D7047" w:rsidRPr="00EA4F84">
        <w:t>documents TGP</w:t>
      </w:r>
      <w:r w:rsidR="00485129" w:rsidRPr="00EA4F84">
        <w:t>).</w:t>
      </w:r>
    </w:p>
    <w:p w14:paraId="3C0B092B" w14:textId="77777777" w:rsidR="00A7229D" w:rsidRPr="00EA4F84" w:rsidRDefault="00A7229D" w:rsidP="00A7229D"/>
    <w:p w14:paraId="0E6B9017" w14:textId="7090EE3A" w:rsidR="00ED2FBB" w:rsidRPr="00EA4F84" w:rsidRDefault="00A7229D" w:rsidP="00ED2FBB">
      <w:pPr>
        <w:pStyle w:val="DecisionParagraphs"/>
      </w:pPr>
      <w:r w:rsidRPr="00EA4F84">
        <w:rPr>
          <w:rFonts w:eastAsia="MS Mincho"/>
        </w:rPr>
        <w:fldChar w:fldCharType="begin"/>
      </w:r>
      <w:r w:rsidRPr="00EA4F84">
        <w:rPr>
          <w:rFonts w:eastAsia="MS Mincho"/>
        </w:rPr>
        <w:instrText xml:space="preserve"> AUTONUM  </w:instrText>
      </w:r>
      <w:r w:rsidRPr="00EA4F84">
        <w:rPr>
          <w:rFonts w:eastAsia="MS Mincho"/>
        </w:rPr>
        <w:fldChar w:fldCharType="end"/>
      </w:r>
      <w:r w:rsidRPr="00EA4F84">
        <w:rPr>
          <w:rFonts w:eastAsia="MS Mincho"/>
        </w:rPr>
        <w:tab/>
      </w:r>
      <w:r w:rsidRPr="00EA4F84">
        <w:t xml:space="preserve">Le TC est invité à examiner </w:t>
      </w:r>
      <w:r w:rsidR="00895393" w:rsidRPr="00EA4F84">
        <w:t xml:space="preserve">les </w:t>
      </w:r>
      <w:r w:rsidR="000B17C9" w:rsidRPr="00EA4F84">
        <w:t xml:space="preserve">orientations proposées </w:t>
      </w:r>
      <w:r w:rsidR="009F3FA7" w:rsidRPr="00EA4F84">
        <w:t>pour la validation des marqueurs moléculaires dans les principes directeurs d'examen</w:t>
      </w:r>
      <w:r w:rsidR="003445B5" w:rsidRPr="00EA4F84">
        <w:t xml:space="preserve">, </w:t>
      </w:r>
      <w:r w:rsidR="00DB26D0" w:rsidRPr="00EA4F84">
        <w:t>telles qu'elles figurent dans l'annexe du présent document</w:t>
      </w:r>
      <w:r w:rsidR="00ED2FBB" w:rsidRPr="00EA4F84">
        <w:t xml:space="preserve">. </w:t>
      </w:r>
    </w:p>
    <w:p w14:paraId="5A101B3D" w14:textId="77777777" w:rsidR="00550FF9" w:rsidRPr="00EA4F84" w:rsidRDefault="00550FF9" w:rsidP="00EF4B00"/>
    <w:p w14:paraId="535B9F03" w14:textId="77777777" w:rsidR="001F298F" w:rsidRPr="00EA4F84" w:rsidRDefault="001F298F" w:rsidP="00EF4B00"/>
    <w:p w14:paraId="557C9F6A" w14:textId="77777777" w:rsidR="00221BB8" w:rsidRPr="00EA4F84" w:rsidRDefault="00221BB8" w:rsidP="00EF4B00"/>
    <w:p w14:paraId="048EE061" w14:textId="2ABEE590" w:rsidR="00EF4B00" w:rsidRPr="00EA4F84" w:rsidRDefault="00EF4B00" w:rsidP="00311464">
      <w:pPr>
        <w:pStyle w:val="Heading1"/>
        <w:rPr>
          <w:lang w:val="fr-FR"/>
        </w:rPr>
      </w:pPr>
      <w:bookmarkStart w:id="13" w:name="_Toc177773941"/>
      <w:bookmarkStart w:id="14" w:name="_Toc210661217"/>
      <w:r w:rsidRPr="00EA4F84">
        <w:rPr>
          <w:lang w:val="fr-FR"/>
        </w:rPr>
        <w:t xml:space="preserve">Confidentialité </w:t>
      </w:r>
      <w:r w:rsidR="00825360" w:rsidRPr="00EA4F84">
        <w:rPr>
          <w:lang w:val="fr-FR"/>
        </w:rPr>
        <w:t xml:space="preserve">et </w:t>
      </w:r>
      <w:r w:rsidRPr="00EA4F84">
        <w:rPr>
          <w:lang w:val="fr-FR"/>
        </w:rPr>
        <w:t>propriété des informations moléculaires</w:t>
      </w:r>
      <w:bookmarkEnd w:id="1"/>
      <w:bookmarkEnd w:id="2"/>
      <w:bookmarkEnd w:id="13"/>
      <w:bookmarkEnd w:id="14"/>
    </w:p>
    <w:p w14:paraId="784293B8" w14:textId="77777777" w:rsidR="00EF4B00" w:rsidRPr="00EA4F84" w:rsidRDefault="00EF4B00" w:rsidP="00975B88">
      <w:pPr>
        <w:keepNext/>
      </w:pPr>
    </w:p>
    <w:p w14:paraId="2D29F9AC" w14:textId="77777777" w:rsidR="00EF4B00" w:rsidRPr="00EA4F84" w:rsidRDefault="00EF4B00" w:rsidP="00EF24D5">
      <w:pPr>
        <w:pStyle w:val="Heading2"/>
        <w:rPr>
          <w:lang w:val="fr-FR"/>
        </w:rPr>
      </w:pPr>
      <w:bookmarkStart w:id="15" w:name="_Toc177773942"/>
      <w:bookmarkStart w:id="16" w:name="_Toc210661218"/>
      <w:r w:rsidRPr="00EA4F84">
        <w:rPr>
          <w:lang w:val="fr-FR"/>
        </w:rPr>
        <w:t>Contexte</w:t>
      </w:r>
      <w:bookmarkEnd w:id="15"/>
      <w:bookmarkEnd w:id="16"/>
    </w:p>
    <w:p w14:paraId="639A3579" w14:textId="77777777" w:rsidR="004730C8" w:rsidRPr="00EA4F84" w:rsidRDefault="004730C8" w:rsidP="004730C8"/>
    <w:p w14:paraId="40004238" w14:textId="3A2F172F" w:rsidR="00EF4B00" w:rsidRPr="00EA4F84" w:rsidRDefault="00F6462C" w:rsidP="00FA1C4F">
      <w:r w:rsidRPr="00EA4F84">
        <w:fldChar w:fldCharType="begin"/>
      </w:r>
      <w:r w:rsidRPr="00EA4F84">
        <w:instrText xml:space="preserve"> AUTONUM  </w:instrText>
      </w:r>
      <w:r w:rsidRPr="00EA4F84">
        <w:fldChar w:fldCharType="end"/>
      </w:r>
      <w:r w:rsidRPr="00EA4F84">
        <w:tab/>
      </w:r>
      <w:r w:rsidR="00B17ED9" w:rsidRPr="00EA4F84">
        <w:t xml:space="preserve">Depuis 2019, </w:t>
      </w:r>
      <w:r w:rsidR="00E046C3" w:rsidRPr="00EA4F84">
        <w:t xml:space="preserve">les discussions sur la coopération </w:t>
      </w:r>
      <w:r w:rsidR="00005CE9" w:rsidRPr="00EA4F84">
        <w:t xml:space="preserve">en matière d'utilisation des techniques moléculaires </w:t>
      </w:r>
      <w:r w:rsidR="00DB2D3C" w:rsidRPr="00EA4F84">
        <w:t xml:space="preserve">incluent la </w:t>
      </w:r>
      <w:r w:rsidR="004A0FFD" w:rsidRPr="00EA4F84">
        <w:t xml:space="preserve">demande d'examiner </w:t>
      </w:r>
      <w:r w:rsidR="00DB2D3C" w:rsidRPr="00EA4F84">
        <w:t xml:space="preserve">les directives relatives à </w:t>
      </w:r>
      <w:r w:rsidR="0097706E" w:rsidRPr="00EA4F84">
        <w:t xml:space="preserve">la propriété et à la confidentialité des informations moléculaires (voir </w:t>
      </w:r>
      <w:r w:rsidR="00081B61" w:rsidRPr="00EA4F84">
        <w:t xml:space="preserve">le document </w:t>
      </w:r>
      <w:hyperlink r:id="rId13" w:history="1">
        <w:r w:rsidR="00081B61" w:rsidRPr="00EA4F84">
          <w:rPr>
            <w:rStyle w:val="Hyperlink"/>
          </w:rPr>
          <w:t>TC/55/7</w:t>
        </w:r>
      </w:hyperlink>
      <w:r w:rsidR="00081B61" w:rsidRPr="00EA4F84">
        <w:t xml:space="preserve"> </w:t>
      </w:r>
      <w:r w:rsidR="00EA4F84">
        <w:t>“ </w:t>
      </w:r>
      <w:r w:rsidR="00081B61" w:rsidRPr="00EA4F84">
        <w:t>Techniques moléculaires</w:t>
      </w:r>
      <w:r w:rsidR="00EA4F84">
        <w:t> »</w:t>
      </w:r>
      <w:r w:rsidR="00081B61" w:rsidRPr="00EA4F84">
        <w:t>)</w:t>
      </w:r>
      <w:r w:rsidR="00892001" w:rsidRPr="00EA4F84">
        <w:t xml:space="preserve">.  </w:t>
      </w:r>
      <w:r w:rsidR="00B01CD5" w:rsidRPr="00EA4F84">
        <w:t xml:space="preserve">À </w:t>
      </w:r>
      <w:r w:rsidR="002A29A3" w:rsidRPr="00EA4F84">
        <w:t>sa cinquante-huitième session</w:t>
      </w:r>
      <w:r w:rsidR="002A29A3" w:rsidRPr="00EA4F84">
        <w:rPr>
          <w:vertAlign w:val="superscript"/>
        </w:rPr>
        <w:footnoteReference w:id="8"/>
      </w:r>
      <w:r w:rsidR="009426D0">
        <w:t>,</w:t>
      </w:r>
      <w:r w:rsidR="002A29A3" w:rsidRPr="00EA4F84">
        <w:t xml:space="preserve"> </w:t>
      </w:r>
      <w:r w:rsidR="000C22CC" w:rsidRPr="00EA4F84">
        <w:t xml:space="preserve">le TC a pris note des préoccupations exprimées par les organisations d'obtenteurs selon lesquelles les informations moléculaires utilisées lors de l'examen d'une variété ne devraient pas être communiquées par </w:t>
      </w:r>
      <w:r w:rsidR="000C22CC" w:rsidRPr="00EA4F84">
        <w:lastRenderedPageBreak/>
        <w:t>l'autorité qui a reçu la demande sans l'autorisation de l'obtenteur.</w:t>
      </w:r>
      <w:r w:rsidR="00090551" w:rsidRPr="00EA4F84">
        <w:t xml:space="preserve"> </w:t>
      </w:r>
      <w:r w:rsidR="002604A7">
        <w:t xml:space="preserve"> </w:t>
      </w:r>
      <w:r w:rsidR="002D2C7C" w:rsidRPr="00EA4F84">
        <w:t xml:space="preserve">Le TC a invité les membres et </w:t>
      </w:r>
      <w:r w:rsidR="00EF4B00" w:rsidRPr="00EA4F84">
        <w:t xml:space="preserve">les observateurs à rendre </w:t>
      </w:r>
      <w:r w:rsidR="00986E0C" w:rsidRPr="00EA4F84">
        <w:t xml:space="preserve">compte des </w:t>
      </w:r>
      <w:r w:rsidR="00EF4B00" w:rsidRPr="00EA4F84">
        <w:t>politiques existantes en matière de confidentialité des informations moléculaires lors des sessions des TWP en 2023</w:t>
      </w:r>
      <w:r w:rsidR="00CE1599" w:rsidRPr="00EA4F84">
        <w:rPr>
          <w:vertAlign w:val="superscript"/>
        </w:rPr>
        <w:t>7</w:t>
      </w:r>
      <w:r w:rsidR="002604A7">
        <w:t xml:space="preserve">, </w:t>
      </w:r>
      <w:r w:rsidR="002D2C7C" w:rsidRPr="00EA4F84">
        <w:t>2024</w:t>
      </w:r>
      <w:r w:rsidR="00CE1599" w:rsidRPr="00EA4F84">
        <w:rPr>
          <w:vertAlign w:val="superscript"/>
        </w:rPr>
        <w:footnoteReference w:id="9"/>
      </w:r>
      <w:r w:rsidR="002D2C7C" w:rsidRPr="00EA4F84">
        <w:t xml:space="preserve"> et 2025</w:t>
      </w:r>
      <w:r w:rsidR="002D2C7C" w:rsidRPr="00EA4F84">
        <w:rPr>
          <w:vertAlign w:val="superscript"/>
        </w:rPr>
        <w:footnoteReference w:id="10"/>
      </w:r>
      <w:r w:rsidR="002D2C7C" w:rsidRPr="00EA4F84">
        <w:t xml:space="preserve">. </w:t>
      </w:r>
    </w:p>
    <w:p w14:paraId="3099E96D" w14:textId="77777777" w:rsidR="005963F0" w:rsidRPr="00EA4F84" w:rsidRDefault="005963F0" w:rsidP="005963F0">
      <w:pPr>
        <w:pStyle w:val="ListParagraph"/>
        <w:ind w:left="0"/>
        <w:jc w:val="both"/>
        <w:rPr>
          <w:rFonts w:eastAsiaTheme="minorEastAsia"/>
          <w:lang w:eastAsia="ja-JP"/>
        </w:rPr>
      </w:pPr>
    </w:p>
    <w:p w14:paraId="33033FFA" w14:textId="77777777" w:rsidR="00DD1446" w:rsidRPr="00EA4F84" w:rsidRDefault="00DD1446" w:rsidP="001F298F">
      <w:pPr>
        <w:pStyle w:val="Heading3"/>
        <w:rPr>
          <w:lang w:val="fr-FR"/>
        </w:rPr>
      </w:pPr>
      <w:bookmarkStart w:id="17" w:name="_Toc210661219"/>
      <w:r w:rsidRPr="00EA4F84">
        <w:rPr>
          <w:lang w:val="fr-FR"/>
        </w:rPr>
        <w:t>Orientations existantes</w:t>
      </w:r>
      <w:bookmarkEnd w:id="17"/>
    </w:p>
    <w:p w14:paraId="1EBA237A" w14:textId="77777777" w:rsidR="00DD1446" w:rsidRPr="00EA4F84" w:rsidRDefault="00DD1446" w:rsidP="001F298F">
      <w:pPr>
        <w:keepNext/>
      </w:pPr>
    </w:p>
    <w:p w14:paraId="65EFC800" w14:textId="77777777" w:rsidR="00DD1446" w:rsidRPr="00EA4F84" w:rsidRDefault="00DD1446" w:rsidP="001F298F">
      <w:pPr>
        <w:keepNext/>
      </w:pPr>
      <w:r w:rsidRPr="00EA4F84">
        <w:fldChar w:fldCharType="begin"/>
      </w:r>
      <w:r w:rsidRPr="00EA4F84">
        <w:instrText xml:space="preserve"> AUTONUM  </w:instrText>
      </w:r>
      <w:r w:rsidRPr="00EA4F84">
        <w:fldChar w:fldCharType="end"/>
      </w:r>
      <w:r w:rsidRPr="00EA4F84">
        <w:tab/>
        <w:t>Les orientations suivantes sont actuellement fournies par l'UPOV en matière de confidentialité des informations moléculaires :</w:t>
      </w:r>
    </w:p>
    <w:p w14:paraId="3AD8892F" w14:textId="77777777" w:rsidR="00DD1446" w:rsidRPr="00EA4F84" w:rsidRDefault="00DD1446" w:rsidP="001F298F">
      <w:pPr>
        <w:pStyle w:val="ListParagraph"/>
        <w:keepNext/>
        <w:ind w:left="0"/>
        <w:jc w:val="both"/>
        <w:rPr>
          <w:rFonts w:eastAsiaTheme="minorEastAsia"/>
          <w:lang w:eastAsia="ja-JP"/>
        </w:rPr>
      </w:pPr>
    </w:p>
    <w:p w14:paraId="20139A1B" w14:textId="49CD88FE" w:rsidR="00DD1446" w:rsidRPr="00EA4F84" w:rsidRDefault="00DD1446" w:rsidP="00BF7C58">
      <w:pPr>
        <w:pStyle w:val="ListParagraph"/>
        <w:keepNext/>
        <w:ind w:left="0" w:firstLine="567"/>
        <w:jc w:val="both"/>
        <w:rPr>
          <w:rFonts w:eastAsiaTheme="minorEastAsia"/>
          <w:lang w:eastAsia="ja-JP"/>
        </w:rPr>
      </w:pPr>
      <w:r w:rsidRPr="00EA4F84">
        <w:rPr>
          <w:rFonts w:eastAsiaTheme="minorEastAsia"/>
          <w:lang w:eastAsia="ja-JP"/>
        </w:rPr>
        <w:t>(a)</w:t>
      </w:r>
      <w:r w:rsidRPr="00EA4F84">
        <w:rPr>
          <w:rFonts w:eastAsiaTheme="minorEastAsia"/>
          <w:lang w:eastAsia="ja-JP"/>
        </w:rPr>
        <w:tab/>
        <w:t xml:space="preserve">Document </w:t>
      </w:r>
      <w:hyperlink r:id="rId14" w:history="1">
        <w:r w:rsidRPr="00EA4F84">
          <w:rPr>
            <w:rStyle w:val="Hyperlink"/>
            <w:rFonts w:eastAsiaTheme="minorEastAsia"/>
            <w:lang w:eastAsia="ja-JP"/>
          </w:rPr>
          <w:t>UPOV/INF/15/4</w:t>
        </w:r>
      </w:hyperlink>
      <w:r w:rsidRPr="00EA4F84">
        <w:rPr>
          <w:rFonts w:eastAsiaTheme="minorEastAsia"/>
          <w:lang w:eastAsia="ja-JP"/>
        </w:rPr>
        <w:t xml:space="preserve"> </w:t>
      </w:r>
      <w:r w:rsidR="00EA4F84">
        <w:rPr>
          <w:rFonts w:eastAsiaTheme="minorEastAsia"/>
          <w:lang w:eastAsia="ja-JP"/>
        </w:rPr>
        <w:t>“ </w:t>
      </w:r>
      <w:r w:rsidRPr="00EA4F84">
        <w:rPr>
          <w:rFonts w:eastAsiaTheme="minorEastAsia"/>
          <w:lang w:eastAsia="ja-JP"/>
        </w:rPr>
        <w:t>Orientations à l'intention des membres de l'UPOV</w:t>
      </w:r>
      <w:r w:rsidR="00EA4F84">
        <w:rPr>
          <w:rFonts w:eastAsiaTheme="minorEastAsia"/>
          <w:lang w:eastAsia="ja-JP"/>
        </w:rPr>
        <w:t> »</w:t>
      </w:r>
      <w:r w:rsidRPr="00EA4F84">
        <w:rPr>
          <w:rFonts w:eastAsiaTheme="minorEastAsia"/>
          <w:lang w:eastAsia="ja-JP"/>
        </w:rPr>
        <w:t>, paragraphe 38 :</w:t>
      </w:r>
    </w:p>
    <w:p w14:paraId="2B0BC2F8" w14:textId="77777777" w:rsidR="00DD1446" w:rsidRPr="00EA4F84" w:rsidRDefault="00DD1446" w:rsidP="00BF7C58">
      <w:pPr>
        <w:pStyle w:val="ListParagraph"/>
        <w:keepNext/>
        <w:ind w:left="0"/>
        <w:jc w:val="both"/>
        <w:rPr>
          <w:rFonts w:eastAsiaTheme="minorEastAsia"/>
          <w:lang w:eastAsia="ja-JP"/>
        </w:rPr>
      </w:pPr>
    </w:p>
    <w:p w14:paraId="7D4370AB" w14:textId="320E5FFA" w:rsidR="00DD1446" w:rsidRPr="00EA4F84" w:rsidRDefault="00EA4F84" w:rsidP="00DD1446">
      <w:pPr>
        <w:pStyle w:val="ListParagraph"/>
        <w:ind w:left="1134"/>
        <w:jc w:val="both"/>
        <w:rPr>
          <w:rFonts w:eastAsiaTheme="minorEastAsia"/>
          <w:lang w:eastAsia="ja-JP"/>
        </w:rPr>
      </w:pPr>
      <w:r>
        <w:rPr>
          <w:rFonts w:eastAsiaTheme="minorEastAsia"/>
          <w:lang w:eastAsia="ja-JP"/>
        </w:rPr>
        <w:t>“ </w:t>
      </w:r>
      <w:r w:rsidR="00DD1446" w:rsidRPr="00EA4F84">
        <w:rPr>
          <w:rFonts w:eastAsiaTheme="minorEastAsia"/>
          <w:lang w:eastAsia="ja-JP"/>
        </w:rPr>
        <w:t>38.</w:t>
      </w:r>
      <w:r w:rsidR="001F298F" w:rsidRPr="00EA4F84">
        <w:rPr>
          <w:rFonts w:eastAsiaTheme="minorEastAsia"/>
          <w:lang w:eastAsia="ja-JP"/>
        </w:rPr>
        <w:tab/>
      </w:r>
      <w:r w:rsidR="00DD1446" w:rsidRPr="00EA4F84">
        <w:rPr>
          <w:rFonts w:eastAsiaTheme="minorEastAsia"/>
          <w:lang w:eastAsia="ja-JP"/>
        </w:rPr>
        <w:t>Comme indiqué à l'article 12, aux fins de l'examen, l'autorité peut exiger du sélectionneur qu'il fournisse toutes les informations, tous les documents ou tout le matériel nécessaires. À cet égard, les autorités devraient envisager des mesures appropriées en matière de confidentialité, par exemple en ce qui concerne les informations généalogiques.</w:t>
      </w:r>
      <w:r>
        <w:rPr>
          <w:rFonts w:eastAsiaTheme="minorEastAsia"/>
          <w:lang w:eastAsia="ja-JP"/>
        </w:rPr>
        <w:t> »</w:t>
      </w:r>
    </w:p>
    <w:p w14:paraId="1F464264" w14:textId="77777777" w:rsidR="00DD1446" w:rsidRPr="00EA4F84" w:rsidRDefault="00DD1446" w:rsidP="00DD1446">
      <w:pPr>
        <w:pStyle w:val="ListParagraph"/>
        <w:ind w:left="0"/>
        <w:jc w:val="both"/>
        <w:rPr>
          <w:rFonts w:eastAsiaTheme="minorEastAsia"/>
          <w:lang w:eastAsia="ja-JP"/>
        </w:rPr>
      </w:pPr>
    </w:p>
    <w:p w14:paraId="656DA9F4" w14:textId="3D5FDB96" w:rsidR="00DD1446" w:rsidRPr="00EA4F84" w:rsidRDefault="00DD1446" w:rsidP="00DD1446">
      <w:pPr>
        <w:pStyle w:val="ListParagraph"/>
        <w:tabs>
          <w:tab w:val="left" w:pos="1134"/>
        </w:tabs>
        <w:ind w:left="1134" w:hanging="567"/>
        <w:jc w:val="both"/>
        <w:rPr>
          <w:rFonts w:eastAsiaTheme="minorEastAsia"/>
          <w:lang w:eastAsia="ja-JP"/>
        </w:rPr>
      </w:pPr>
      <w:r w:rsidRPr="00EA4F84">
        <w:rPr>
          <w:rFonts w:eastAsiaTheme="minorEastAsia"/>
          <w:lang w:eastAsia="ja-JP"/>
        </w:rPr>
        <w:t>(b)</w:t>
      </w:r>
      <w:r w:rsidRPr="00EA4F84">
        <w:rPr>
          <w:rFonts w:eastAsiaTheme="minorEastAsia"/>
          <w:lang w:eastAsia="ja-JP"/>
        </w:rPr>
        <w:tab/>
        <w:t xml:space="preserve">Document </w:t>
      </w:r>
      <w:hyperlink r:id="rId15" w:history="1">
        <w:r w:rsidRPr="00EA4F84">
          <w:rPr>
            <w:rStyle w:val="Hyperlink"/>
            <w:rFonts w:eastAsiaTheme="minorEastAsia"/>
            <w:lang w:eastAsia="ja-JP"/>
          </w:rPr>
          <w:t>TGP/5, section 1/3</w:t>
        </w:r>
      </w:hyperlink>
      <w:r w:rsidRPr="00EA4F84">
        <w:rPr>
          <w:rFonts w:eastAsiaTheme="minorEastAsia"/>
          <w:lang w:eastAsia="ja-JP"/>
        </w:rPr>
        <w:t xml:space="preserve"> </w:t>
      </w:r>
      <w:r w:rsidR="00EA4F84">
        <w:rPr>
          <w:rFonts w:eastAsiaTheme="minorEastAsia"/>
          <w:lang w:eastAsia="ja-JP"/>
        </w:rPr>
        <w:t>“ </w:t>
      </w:r>
      <w:r w:rsidRPr="00EA4F84">
        <w:rPr>
          <w:rFonts w:eastAsiaTheme="minorEastAsia"/>
          <w:lang w:eastAsia="ja-JP"/>
        </w:rPr>
        <w:t>Modèle d'accord administratif pour la coopération internationale en matière d'examen des variétés</w:t>
      </w:r>
      <w:r w:rsidR="00EA4F84">
        <w:rPr>
          <w:rFonts w:eastAsiaTheme="minorEastAsia"/>
          <w:lang w:eastAsia="ja-JP"/>
        </w:rPr>
        <w:t> »</w:t>
      </w:r>
      <w:r w:rsidRPr="00EA4F84">
        <w:rPr>
          <w:rFonts w:eastAsiaTheme="minorEastAsia"/>
          <w:lang w:eastAsia="ja-JP"/>
        </w:rPr>
        <w:t>, article 4 :</w:t>
      </w:r>
    </w:p>
    <w:p w14:paraId="3B1DD540" w14:textId="77777777" w:rsidR="00DD1446" w:rsidRPr="00EA4F84" w:rsidRDefault="00DD1446" w:rsidP="00DD1446">
      <w:pPr>
        <w:pStyle w:val="ListParagraph"/>
        <w:ind w:left="0"/>
        <w:jc w:val="both"/>
        <w:rPr>
          <w:rFonts w:eastAsiaTheme="minorEastAsia"/>
          <w:lang w:eastAsia="ja-JP"/>
        </w:rPr>
      </w:pPr>
    </w:p>
    <w:p w14:paraId="028AC967" w14:textId="0EAC8D50" w:rsidR="00DD1446" w:rsidRPr="00EA4F84" w:rsidRDefault="00EA4F84" w:rsidP="00DD1446">
      <w:pPr>
        <w:pStyle w:val="ListParagraph"/>
        <w:ind w:left="1134"/>
        <w:jc w:val="both"/>
        <w:rPr>
          <w:rFonts w:eastAsiaTheme="minorEastAsia"/>
          <w:lang w:eastAsia="ja-JP"/>
        </w:rPr>
      </w:pPr>
      <w:r>
        <w:rPr>
          <w:rFonts w:eastAsiaTheme="minorEastAsia"/>
          <w:lang w:eastAsia="ja-JP"/>
        </w:rPr>
        <w:t>“ </w:t>
      </w:r>
      <w:r w:rsidR="00DD1446" w:rsidRPr="00EA4F84">
        <w:rPr>
          <w:rFonts w:eastAsiaTheme="minorEastAsia"/>
          <w:lang w:eastAsia="ja-JP"/>
        </w:rPr>
        <w:t>(1) Les autorités prennent toutes les mesures nécessaires pour protéger les droits du demandeur.</w:t>
      </w:r>
      <w:r>
        <w:rPr>
          <w:rFonts w:eastAsiaTheme="minorEastAsia"/>
          <w:lang w:eastAsia="ja-JP"/>
        </w:rPr>
        <w:t> »</w:t>
      </w:r>
      <w:r w:rsidR="00DD1446" w:rsidRPr="00EA4F84">
        <w:rPr>
          <w:rFonts w:eastAsiaTheme="minorEastAsia"/>
          <w:lang w:eastAsia="ja-JP"/>
        </w:rPr>
        <w:t xml:space="preserve"> </w:t>
      </w:r>
    </w:p>
    <w:p w14:paraId="215D1D08" w14:textId="77777777" w:rsidR="00DD1446" w:rsidRPr="00EA4F84" w:rsidRDefault="00DD1446" w:rsidP="00DD1446">
      <w:pPr>
        <w:pStyle w:val="ListParagraph"/>
        <w:ind w:left="1134"/>
        <w:jc w:val="both"/>
        <w:rPr>
          <w:rFonts w:eastAsiaTheme="minorEastAsia"/>
          <w:lang w:eastAsia="ja-JP"/>
        </w:rPr>
      </w:pPr>
    </w:p>
    <w:p w14:paraId="0C2F809F" w14:textId="3C4B4818" w:rsidR="00DD1446" w:rsidRPr="00EA4F84" w:rsidRDefault="00EA4F84" w:rsidP="00DD1446">
      <w:pPr>
        <w:pStyle w:val="ListParagraph"/>
        <w:ind w:left="1134"/>
        <w:jc w:val="both"/>
        <w:rPr>
          <w:rFonts w:eastAsiaTheme="minorEastAsia"/>
          <w:lang w:eastAsia="ja-JP"/>
        </w:rPr>
      </w:pPr>
      <w:r>
        <w:rPr>
          <w:rFonts w:eastAsiaTheme="minorEastAsia"/>
          <w:lang w:eastAsia="ja-JP"/>
        </w:rPr>
        <w:t>“ </w:t>
      </w:r>
      <w:r w:rsidR="00DD1446" w:rsidRPr="00EA4F84">
        <w:rPr>
          <w:rFonts w:eastAsiaTheme="minorEastAsia"/>
          <w:lang w:eastAsia="ja-JP"/>
        </w:rPr>
        <w:t>(2) Sauf autorisation expresse de l'autorité réceptrice et du demandeur, l'autorité d'exécution s'abstient de transmettre à un tiers tout matériel, y compris l'ADN, ou toute information moléculaire, concernant les variétés pour lesquelles l'examen a été demandé.</w:t>
      </w:r>
      <w:r>
        <w:rPr>
          <w:rFonts w:eastAsiaTheme="minorEastAsia"/>
          <w:lang w:eastAsia="ja-JP"/>
        </w:rPr>
        <w:t> »</w:t>
      </w:r>
    </w:p>
    <w:p w14:paraId="15660D89" w14:textId="77777777" w:rsidR="00DD1446" w:rsidRPr="00EA4F84" w:rsidRDefault="00DD1446" w:rsidP="00DD1446">
      <w:pPr>
        <w:pStyle w:val="ListParagraph"/>
        <w:ind w:left="0"/>
        <w:jc w:val="both"/>
        <w:rPr>
          <w:rFonts w:eastAsiaTheme="minorEastAsia"/>
          <w:lang w:eastAsia="ja-JP"/>
        </w:rPr>
      </w:pPr>
    </w:p>
    <w:p w14:paraId="6A2A8338" w14:textId="77777777" w:rsidR="007C0689" w:rsidRPr="00EA4F84" w:rsidRDefault="007C0689" w:rsidP="00EF4B00">
      <w:pPr>
        <w:rPr>
          <w:lang w:eastAsia="ja-JP"/>
        </w:rPr>
      </w:pPr>
    </w:p>
    <w:p w14:paraId="0D861CBE" w14:textId="3DE92F5E" w:rsidR="00EF4B00" w:rsidRPr="00EA4F84" w:rsidRDefault="00EF4B00" w:rsidP="00642CEF">
      <w:pPr>
        <w:pStyle w:val="Heading2"/>
        <w:rPr>
          <w:lang w:val="fr-FR" w:eastAsia="ja-JP"/>
        </w:rPr>
      </w:pPr>
      <w:bookmarkStart w:id="18" w:name="_Toc177773944"/>
      <w:bookmarkStart w:id="19" w:name="_Toc210661220"/>
      <w:r w:rsidRPr="00EA4F84">
        <w:rPr>
          <w:lang w:val="fr-FR" w:eastAsia="ja-JP"/>
        </w:rPr>
        <w:t>Évolution des travaux des groupes de travail techniques lors de leurs sessions de 202</w:t>
      </w:r>
      <w:bookmarkEnd w:id="18"/>
      <w:r w:rsidR="00F9705D" w:rsidRPr="00EA4F84">
        <w:rPr>
          <w:rFonts w:hint="eastAsia"/>
          <w:lang w:val="fr-FR" w:eastAsia="ja-JP"/>
        </w:rPr>
        <w:t>5</w:t>
      </w:r>
      <w:bookmarkEnd w:id="19"/>
    </w:p>
    <w:p w14:paraId="6D096396" w14:textId="77777777" w:rsidR="00EF4B00" w:rsidRPr="00EA4F84" w:rsidRDefault="00EF4B00" w:rsidP="00642CEF">
      <w:pPr>
        <w:keepNext/>
        <w:jc w:val="left"/>
      </w:pPr>
    </w:p>
    <w:p w14:paraId="187CEC14" w14:textId="02B6F45B" w:rsidR="006D0B09" w:rsidRPr="00EA4F84" w:rsidRDefault="00C161BF" w:rsidP="00642CEF">
      <w:pPr>
        <w:keepNext/>
      </w:pPr>
      <w:r w:rsidRPr="00EA4F84">
        <w:fldChar w:fldCharType="begin"/>
      </w:r>
      <w:r w:rsidRPr="00EA4F84">
        <w:instrText xml:space="preserve"> AUTONUM  </w:instrText>
      </w:r>
      <w:r w:rsidRPr="00EA4F84">
        <w:fldChar w:fldCharType="end"/>
      </w:r>
      <w:r w:rsidRPr="00EA4F84">
        <w:tab/>
        <w:t xml:space="preserve">Le </w:t>
      </w:r>
      <w:r w:rsidRPr="00EA4F84">
        <w:rPr>
          <w:rFonts w:hint="eastAsia"/>
          <w:lang w:eastAsia="ja-JP"/>
        </w:rPr>
        <w:t>TWO</w:t>
      </w:r>
      <w:r w:rsidRPr="00EA4F84">
        <w:rPr>
          <w:rStyle w:val="FootnoteReference"/>
          <w:lang w:eastAsia="ja-JP"/>
        </w:rPr>
        <w:footnoteReference w:id="11"/>
      </w:r>
      <w:r w:rsidR="009426D0">
        <w:t>,</w:t>
      </w:r>
      <w:r w:rsidRPr="00EA4F84">
        <w:t xml:space="preserve"> à sa </w:t>
      </w:r>
      <w:r w:rsidRPr="00EA4F84">
        <w:rPr>
          <w:rFonts w:hint="eastAsia"/>
          <w:lang w:eastAsia="ja-JP"/>
        </w:rPr>
        <w:t xml:space="preserve">cinquante-septième </w:t>
      </w:r>
      <w:r w:rsidRPr="00EA4F84">
        <w:t xml:space="preserve">session, </w:t>
      </w:r>
      <w:r w:rsidR="00392435" w:rsidRPr="00EA4F84">
        <w:t xml:space="preserve">a convenu de l'importance d'utiliser les informations fondées sur l'ADN pour la coopération internationale en matière d'examen des variétés.  Le TWO a examiné la manière dont les informations fondées sur l'ADN </w:t>
      </w:r>
      <w:r w:rsidR="77C10F92" w:rsidRPr="00EA4F84">
        <w:t xml:space="preserve">pourraient </w:t>
      </w:r>
      <w:r w:rsidR="6D2E54D7" w:rsidRPr="00EA4F84">
        <w:t xml:space="preserve">être </w:t>
      </w:r>
      <w:r w:rsidR="00392435" w:rsidRPr="00EA4F84">
        <w:t>partagées entre les membres de l'UPOV et a pris note de l'offre des organisations d'obtenteurs visant à développer conjointement des marqueurs moléculaires qui ne révéleraient pas les stratégies d'obtention des obtenteurs individuels.</w:t>
      </w:r>
    </w:p>
    <w:p w14:paraId="53766F18" w14:textId="77777777" w:rsidR="00395C92" w:rsidRPr="00EA4F84" w:rsidRDefault="00395C92" w:rsidP="00392435"/>
    <w:p w14:paraId="72301553" w14:textId="7E85E0A7" w:rsidR="005B6C70" w:rsidRPr="00EA4F84" w:rsidRDefault="00395C92" w:rsidP="00392435">
      <w:r w:rsidRPr="00EA4F84">
        <w:fldChar w:fldCharType="begin"/>
      </w:r>
      <w:r w:rsidRPr="00EA4F84">
        <w:instrText xml:space="preserve"> AUTONUM  </w:instrText>
      </w:r>
      <w:r w:rsidRPr="00EA4F84">
        <w:fldChar w:fldCharType="end"/>
      </w:r>
      <w:r w:rsidRPr="00EA4F84">
        <w:tab/>
      </w:r>
      <w:r w:rsidR="00392435" w:rsidRPr="00EA4F84">
        <w:t xml:space="preserve">Le TWO a pris note des orientations existantes sur la confidentialité des informations moléculaires dans les documents UPOV UPOV/INF/15 </w:t>
      </w:r>
      <w:r w:rsidR="00EA4F84">
        <w:t>“ </w:t>
      </w:r>
      <w:r w:rsidR="00392435" w:rsidRPr="00EA4F84">
        <w:t>Orientations à l'intention des membres de l'UPOV</w:t>
      </w:r>
      <w:r w:rsidR="00EA4F84">
        <w:t> »</w:t>
      </w:r>
      <w:r w:rsidR="00392435" w:rsidRPr="00EA4F84">
        <w:t xml:space="preserve"> et TGP/5, section 1 </w:t>
      </w:r>
      <w:r w:rsidR="00EA4F84">
        <w:t>“ </w:t>
      </w:r>
      <w:r w:rsidR="00392435" w:rsidRPr="00EA4F84">
        <w:t>Modèle d'accord administratif pour la coopération internationale en matière d'examen des variétés</w:t>
      </w:r>
      <w:r w:rsidR="00EA4F84">
        <w:t> »</w:t>
      </w:r>
      <w:r w:rsidR="00392435" w:rsidRPr="00EA4F84">
        <w:t xml:space="preserve">.  Le TWO a pris note de la proposition des organisations d'obtenteurs d'examiner le </w:t>
      </w:r>
      <w:r w:rsidR="3DAF4DD3" w:rsidRPr="00EA4F84">
        <w:t xml:space="preserve">document </w:t>
      </w:r>
      <w:r w:rsidR="4F0F013D" w:rsidRPr="00EA4F84">
        <w:t xml:space="preserve">intitulé </w:t>
      </w:r>
      <w:r w:rsidR="00EA4F84">
        <w:t>“ </w:t>
      </w:r>
      <w:r w:rsidR="4F0F013D" w:rsidRPr="00EA4F84">
        <w:t>Politique relative au statut du matériel végétal soumis à des essais DHS</w:t>
      </w:r>
      <w:r w:rsidR="00EA4F84">
        <w:t> »</w:t>
      </w:r>
      <w:r w:rsidR="1B45E346" w:rsidRPr="00EA4F84">
        <w:t xml:space="preserve"> </w:t>
      </w:r>
      <w:r w:rsidR="00392435" w:rsidRPr="00EA4F84">
        <w:t>élaboré par l'Union européenne comme exemple pour l'élaboration future d'un modèle commun.</w:t>
      </w:r>
    </w:p>
    <w:p w14:paraId="4D3D54AE" w14:textId="77777777" w:rsidR="00B66ECE" w:rsidRPr="00EA4F84" w:rsidRDefault="00B66ECE" w:rsidP="00392435">
      <w:pPr>
        <w:rPr>
          <w:iCs/>
        </w:rPr>
      </w:pPr>
    </w:p>
    <w:p w14:paraId="52B6548A" w14:textId="4E0DF149" w:rsidR="005B6C70" w:rsidRPr="00EA4F84" w:rsidRDefault="008A52E0" w:rsidP="00F6446D">
      <w:pPr>
        <w:rPr>
          <w:lang w:eastAsia="ja-JP"/>
        </w:rPr>
      </w:pPr>
      <w:r w:rsidRPr="00EA4F84">
        <w:fldChar w:fldCharType="begin"/>
      </w:r>
      <w:r w:rsidRPr="00EA4F84">
        <w:instrText xml:space="preserve"> AUTONUM  </w:instrText>
      </w:r>
      <w:r w:rsidRPr="00EA4F84">
        <w:fldChar w:fldCharType="end"/>
      </w:r>
      <w:r w:rsidRPr="00EA4F84">
        <w:tab/>
      </w:r>
      <w:r w:rsidR="00173C8F" w:rsidRPr="00EA4F84">
        <w:rPr>
          <w:rFonts w:hint="eastAsia"/>
          <w:lang w:eastAsia="ja-JP"/>
        </w:rPr>
        <w:t xml:space="preserve">À sa troisième session, </w:t>
      </w:r>
      <w:r w:rsidR="005B6C70" w:rsidRPr="00EA4F84">
        <w:rPr>
          <w:lang w:eastAsia="ja-JP"/>
        </w:rPr>
        <w:t xml:space="preserve">le </w:t>
      </w:r>
      <w:r w:rsidR="00173C8F" w:rsidRPr="00EA4F84">
        <w:rPr>
          <w:rFonts w:hint="eastAsia"/>
          <w:lang w:eastAsia="ja-JP"/>
        </w:rPr>
        <w:t>TWM</w:t>
      </w:r>
      <w:r w:rsidR="00A655A8" w:rsidRPr="00EA4F84">
        <w:rPr>
          <w:rStyle w:val="FootnoteReference"/>
          <w:lang w:eastAsia="ja-JP"/>
        </w:rPr>
        <w:footnoteReference w:id="12"/>
      </w:r>
      <w:r w:rsidR="00173C8F" w:rsidRPr="00EA4F84">
        <w:rPr>
          <w:rFonts w:hint="eastAsia"/>
          <w:lang w:eastAsia="ja-JP"/>
        </w:rPr>
        <w:t xml:space="preserve"> </w:t>
      </w:r>
      <w:r w:rsidR="00F6446D" w:rsidRPr="00EA4F84">
        <w:rPr>
          <w:lang w:eastAsia="ja-JP"/>
        </w:rPr>
        <w:t xml:space="preserve">a rappelé les directives de l'UPOV sur la confidentialité des informations moléculaires fournies dans les documents TGP/5, section 1, </w:t>
      </w:r>
      <w:r w:rsidR="00EA4F84">
        <w:rPr>
          <w:lang w:eastAsia="ja-JP"/>
        </w:rPr>
        <w:t>“ </w:t>
      </w:r>
      <w:r w:rsidR="00F6446D" w:rsidRPr="00EA4F84">
        <w:rPr>
          <w:lang w:eastAsia="ja-JP"/>
        </w:rPr>
        <w:t>Modèle d'accord administratif pour la coopération internationale en matière d'examen des variétés</w:t>
      </w:r>
      <w:r w:rsidR="00EA4F84">
        <w:rPr>
          <w:lang w:eastAsia="ja-JP"/>
        </w:rPr>
        <w:t> »</w:t>
      </w:r>
      <w:r w:rsidR="00F6446D" w:rsidRPr="00EA4F84">
        <w:rPr>
          <w:lang w:eastAsia="ja-JP"/>
        </w:rPr>
        <w:t xml:space="preserve">, et INF/15, </w:t>
      </w:r>
      <w:r w:rsidR="00EA4F84">
        <w:rPr>
          <w:lang w:eastAsia="ja-JP"/>
        </w:rPr>
        <w:t>“ </w:t>
      </w:r>
      <w:r w:rsidR="0004055F">
        <w:rPr>
          <w:lang w:eastAsia="ja-JP"/>
        </w:rPr>
        <w:t>Orientations</w:t>
      </w:r>
      <w:r w:rsidR="00F6446D" w:rsidRPr="00EA4F84">
        <w:rPr>
          <w:lang w:eastAsia="ja-JP"/>
        </w:rPr>
        <w:t xml:space="preserve"> à l'intention des membres de l'UPOV</w:t>
      </w:r>
      <w:r w:rsidR="00EA4F84">
        <w:rPr>
          <w:lang w:eastAsia="ja-JP"/>
        </w:rPr>
        <w:t> »</w:t>
      </w:r>
      <w:r w:rsidR="00F6446D" w:rsidRPr="00EA4F84">
        <w:rPr>
          <w:lang w:eastAsia="ja-JP"/>
        </w:rPr>
        <w:t>.  Le TWM a noté qu'aucun compte rendu sur la confidentialité des informations moléculaires ne lui avait été communiqué et a convenu de l'importance de préserver la confidentialité des lignées parentales et des formules hybrides. Le TWM a noté qu'une discussion similaire était en cours à l'OCDE.</w:t>
      </w:r>
    </w:p>
    <w:p w14:paraId="2917A6D2" w14:textId="77777777" w:rsidR="005B6C70" w:rsidRPr="00EA4F84" w:rsidRDefault="005B6C70" w:rsidP="00EF4B00">
      <w:pPr>
        <w:rPr>
          <w:lang w:eastAsia="ja-JP"/>
        </w:rPr>
      </w:pPr>
    </w:p>
    <w:p w14:paraId="73DB8C4D" w14:textId="07EE647A" w:rsidR="00CB0DEE" w:rsidRPr="00EA4F84" w:rsidRDefault="008A52E0" w:rsidP="00CB0DEE">
      <w:r w:rsidRPr="00EA4F84">
        <w:fldChar w:fldCharType="begin"/>
      </w:r>
      <w:r w:rsidRPr="00EA4F84">
        <w:instrText xml:space="preserve"> AUTONUM  </w:instrText>
      </w:r>
      <w:r w:rsidRPr="00EA4F84">
        <w:fldChar w:fldCharType="end"/>
      </w:r>
      <w:r w:rsidRPr="00EA4F84">
        <w:tab/>
      </w:r>
      <w:r w:rsidR="003F18BE" w:rsidRPr="00EA4F84">
        <w:t xml:space="preserve">À sa </w:t>
      </w:r>
      <w:r w:rsidR="003F18BE" w:rsidRPr="00EA4F84">
        <w:rPr>
          <w:rFonts w:hint="eastAsia"/>
          <w:lang w:eastAsia="ja-JP"/>
        </w:rPr>
        <w:t xml:space="preserve">cinquante-neuvième </w:t>
      </w:r>
      <w:r w:rsidR="003F18BE" w:rsidRPr="00EA4F84">
        <w:t>session, le TWV</w:t>
      </w:r>
      <w:r w:rsidR="003F18BE" w:rsidRPr="00EA4F84">
        <w:rPr>
          <w:rStyle w:val="FootnoteReference"/>
        </w:rPr>
        <w:footnoteReference w:id="13"/>
      </w:r>
      <w:r w:rsidR="003F18BE" w:rsidRPr="00EA4F84">
        <w:t xml:space="preserve"> </w:t>
      </w:r>
      <w:r w:rsidR="00CB0DEE" w:rsidRPr="00EA4F84">
        <w:t>a noté qu'aucun compte rendu sur les politiques existantes en matière de confidentialité des informations moléculaires n'avait été communiqué avant la session du TWV.</w:t>
      </w:r>
    </w:p>
    <w:p w14:paraId="1022033F" w14:textId="77777777" w:rsidR="00CE357F" w:rsidRPr="00EA4F84" w:rsidRDefault="00CE357F" w:rsidP="00CB0DEE"/>
    <w:p w14:paraId="65108B44" w14:textId="2C6E33E2" w:rsidR="00CB0DEE" w:rsidRPr="00EA4F84" w:rsidRDefault="00CE357F" w:rsidP="00CB0DEE">
      <w:r w:rsidRPr="00EA4F84">
        <w:lastRenderedPageBreak/>
        <w:fldChar w:fldCharType="begin"/>
      </w:r>
      <w:r w:rsidRPr="00EA4F84">
        <w:instrText xml:space="preserve"> AUTONUM  </w:instrText>
      </w:r>
      <w:r w:rsidRPr="00EA4F84">
        <w:fldChar w:fldCharType="end"/>
      </w:r>
      <w:r w:rsidRPr="00EA4F84">
        <w:tab/>
      </w:r>
      <w:r w:rsidR="00CB0DEE" w:rsidRPr="00EA4F84">
        <w:t>Le TWV a pris note du compte rendu du Japon, qui envisageait d'utiliser les informations fondées sur l'ADN dans le cadre des informations à fournir pour la protection des obtentions végétales. Le TWV a noté que le Japon considérait ces informations comme utiles pour soutenir l'exercice des droits d'obtenteur.</w:t>
      </w:r>
    </w:p>
    <w:p w14:paraId="3D1AEDDF" w14:textId="77777777" w:rsidR="00D43671" w:rsidRPr="00EA4F84" w:rsidRDefault="00D43671" w:rsidP="00CB0DEE"/>
    <w:p w14:paraId="4C6C5E3E" w14:textId="1AC93581" w:rsidR="00F94824" w:rsidRPr="00EA4F84" w:rsidRDefault="00D43671" w:rsidP="00CB0DEE">
      <w:r w:rsidRPr="00EA4F84">
        <w:fldChar w:fldCharType="begin"/>
      </w:r>
      <w:r w:rsidRPr="00EA4F84">
        <w:instrText xml:space="preserve"> AUTONUM  </w:instrText>
      </w:r>
      <w:r w:rsidRPr="00EA4F84">
        <w:fldChar w:fldCharType="end"/>
      </w:r>
      <w:r w:rsidRPr="00EA4F84">
        <w:tab/>
      </w:r>
      <w:r w:rsidR="00CB0DEE" w:rsidRPr="00EA4F84">
        <w:t xml:space="preserve">Le TWV a pris note des préoccupations exprimées par les organisations d'obtenteurs concernant la divulgation des sources de matériel génétique utilisées par les obtenteurs dans différents programmes d'obtention. Le TWV est convenu que les obtenteurs devraient être associés à la sélection des marqueurs moléculaires pour l'identification des variétés et à la gestion des collections de variétés, en particulier lorsque ces informations seraient rendues publiques. </w:t>
      </w:r>
    </w:p>
    <w:p w14:paraId="5FB1DDB1" w14:textId="77777777" w:rsidR="00F94824" w:rsidRPr="00EA4F84" w:rsidRDefault="00F94824" w:rsidP="00CB0DEE"/>
    <w:p w14:paraId="14E1E946" w14:textId="34164585" w:rsidR="005B6C70" w:rsidRPr="00EA4F84" w:rsidRDefault="00F94824" w:rsidP="00CB0DEE">
      <w:pPr>
        <w:rPr>
          <w:lang w:eastAsia="ja-JP"/>
        </w:rPr>
      </w:pPr>
      <w:r w:rsidRPr="00EA4F84">
        <w:fldChar w:fldCharType="begin"/>
      </w:r>
      <w:r w:rsidRPr="00EA4F84">
        <w:instrText xml:space="preserve"> AUTONUM  </w:instrText>
      </w:r>
      <w:r w:rsidRPr="00EA4F84">
        <w:fldChar w:fldCharType="end"/>
      </w:r>
      <w:r w:rsidRPr="00EA4F84">
        <w:tab/>
      </w:r>
      <w:r w:rsidR="00CB0DEE" w:rsidRPr="00EA4F84">
        <w:t>Le TWV a rappelé que l'élaboration des directives de l'UPOV s'appuyait sur des exemples et des expériences fournis par les membres et les observateurs de l'UPOV. Le TWV est convenu que différentes approches devaient être envisagées pour examiner la question de la confidentialité des informations moléculaires, telles que des cas concrets et des situations spécifiques identifiés par les organisations d'obtenteurs.</w:t>
      </w:r>
    </w:p>
    <w:p w14:paraId="485274D3" w14:textId="77777777" w:rsidR="0012713E" w:rsidRPr="00EA4F84" w:rsidRDefault="0012713E" w:rsidP="0012713E">
      <w:pPr>
        <w:pStyle w:val="ListParagraph"/>
        <w:ind w:left="0"/>
        <w:rPr>
          <w:rFonts w:eastAsiaTheme="minorEastAsia"/>
          <w:lang w:eastAsia="ja-JP"/>
        </w:rPr>
      </w:pPr>
    </w:p>
    <w:p w14:paraId="0F477E1E" w14:textId="71F6690C" w:rsidR="000346AB" w:rsidRPr="00EA4F84" w:rsidRDefault="00B73C40" w:rsidP="001F298F">
      <w:pPr>
        <w:pStyle w:val="ListParagraph"/>
        <w:ind w:left="0"/>
        <w:jc w:val="both"/>
        <w:rPr>
          <w:rFonts w:eastAsiaTheme="minorEastAsia"/>
          <w:lang w:eastAsia="ja-JP"/>
        </w:rPr>
      </w:pPr>
      <w:r w:rsidRPr="00EA4F84">
        <w:fldChar w:fldCharType="begin"/>
      </w:r>
      <w:r w:rsidRPr="00EA4F84">
        <w:instrText xml:space="preserve"> AUTONUM  </w:instrText>
      </w:r>
      <w:r w:rsidRPr="00EA4F84">
        <w:fldChar w:fldCharType="end"/>
      </w:r>
      <w:r w:rsidRPr="00EA4F84">
        <w:tab/>
      </w:r>
      <w:r w:rsidR="0012713E" w:rsidRPr="00EA4F84">
        <w:t xml:space="preserve">À sa </w:t>
      </w:r>
      <w:r w:rsidR="0012713E" w:rsidRPr="00EA4F84">
        <w:rPr>
          <w:rFonts w:eastAsiaTheme="minorEastAsia" w:hint="eastAsia"/>
          <w:lang w:eastAsia="ja-JP"/>
        </w:rPr>
        <w:t xml:space="preserve">cinquante-quatrième </w:t>
      </w:r>
      <w:r w:rsidR="0012713E" w:rsidRPr="00EA4F84">
        <w:t xml:space="preserve">session, le </w:t>
      </w:r>
      <w:r w:rsidR="0012713E" w:rsidRPr="00EA4F84">
        <w:rPr>
          <w:rFonts w:eastAsiaTheme="minorEastAsia" w:hint="eastAsia"/>
          <w:lang w:eastAsia="ja-JP"/>
        </w:rPr>
        <w:t>TWA</w:t>
      </w:r>
      <w:r w:rsidR="0012713E" w:rsidRPr="00EA4F84">
        <w:rPr>
          <w:rStyle w:val="FootnoteReference"/>
        </w:rPr>
        <w:footnoteReference w:id="14"/>
      </w:r>
      <w:r w:rsidR="00915C02" w:rsidRPr="00EA4F84">
        <w:t xml:space="preserve"> a pris note des comptes rendus de l'Union européenne, d'Allemagne et du Royaume-Uni indiquant que leurs politiques nationales relatives au matériel végétal et aux données utilisées dans l'examen DHS couvraient les informations moléculaires. Le TWA a noté que, dans l'Union européenne, le questionnaire technique offrait aux demandeurs la possibilité de sélectionner les informations à traiter comme confidentielles et que la politique relative au matériel végétal dans l'examen DHS était disponible en ligne, comme indiqué dans le document TWA/54/2 “Compte rendus des membres et des observateurs” (voir : </w:t>
      </w:r>
      <w:hyperlink r:id="rId16" w:history="1">
        <w:r w:rsidR="000346AB" w:rsidRPr="00EA4F84">
          <w:rPr>
            <w:rStyle w:val="Hyperlink"/>
          </w:rPr>
          <w:t>https://cpvo.europa.eu/en/cpvo-policy-status-plant-material-used-dus-testing-purposes)</w:t>
        </w:r>
      </w:hyperlink>
      <w:r w:rsidR="00915C02" w:rsidRPr="00EA4F84">
        <w:t>.</w:t>
      </w:r>
    </w:p>
    <w:p w14:paraId="78D0B198" w14:textId="77777777" w:rsidR="000346AB" w:rsidRPr="00EA4F84" w:rsidRDefault="000346AB" w:rsidP="00915C02">
      <w:pPr>
        <w:pStyle w:val="ListParagraph"/>
        <w:ind w:left="0"/>
        <w:jc w:val="both"/>
        <w:rPr>
          <w:rFonts w:eastAsiaTheme="minorEastAsia"/>
          <w:lang w:eastAsia="ja-JP"/>
        </w:rPr>
      </w:pPr>
    </w:p>
    <w:p w14:paraId="660E98AF" w14:textId="77777777" w:rsidR="000346AB" w:rsidRPr="00EA4F84" w:rsidRDefault="000346AB" w:rsidP="00915C02">
      <w:pPr>
        <w:pStyle w:val="ListParagraph"/>
        <w:ind w:left="0"/>
        <w:jc w:val="both"/>
        <w:rPr>
          <w:rFonts w:eastAsiaTheme="minorEastAsia"/>
          <w:lang w:eastAsia="ja-JP"/>
        </w:rPr>
      </w:pPr>
      <w:r w:rsidRPr="00EA4F84">
        <w:fldChar w:fldCharType="begin"/>
      </w:r>
      <w:r w:rsidRPr="00EA4F84">
        <w:instrText xml:space="preserve"> AUTONUM  </w:instrText>
      </w:r>
      <w:r w:rsidRPr="00EA4F84">
        <w:fldChar w:fldCharType="end"/>
      </w:r>
      <w:r w:rsidRPr="00EA4F84">
        <w:tab/>
      </w:r>
      <w:r w:rsidR="00915C02" w:rsidRPr="00EA4F84">
        <w:t>Le TWA a pris note des rapports du Brésil et du Canada indiquant qu'il n'existait dans ces pays aucune politique spécifique relative à la confidentialité des informations moléculaires sur le matériel végétal et des données utilisées dans l'examen DHS. Le TWA a noté que le Brésil et le Canada ne demandaient pas aux demandeurs de fournir des informations fondées sur l'ADN.</w:t>
      </w:r>
    </w:p>
    <w:p w14:paraId="16606114" w14:textId="77777777" w:rsidR="000346AB" w:rsidRPr="00EA4F84" w:rsidRDefault="000346AB" w:rsidP="00915C02">
      <w:pPr>
        <w:pStyle w:val="ListParagraph"/>
        <w:ind w:left="0"/>
        <w:jc w:val="both"/>
        <w:rPr>
          <w:rFonts w:eastAsiaTheme="minorEastAsia"/>
          <w:lang w:eastAsia="ja-JP"/>
        </w:rPr>
      </w:pPr>
    </w:p>
    <w:p w14:paraId="7B5E65A7" w14:textId="655FF190" w:rsidR="0012713E" w:rsidRPr="00EA4F84" w:rsidRDefault="000346AB" w:rsidP="00915C02">
      <w:pPr>
        <w:pStyle w:val="ListParagraph"/>
        <w:ind w:left="0"/>
        <w:jc w:val="both"/>
      </w:pPr>
      <w:r w:rsidRPr="00EA4F84">
        <w:fldChar w:fldCharType="begin"/>
      </w:r>
      <w:r w:rsidRPr="00EA4F84">
        <w:instrText xml:space="preserve"> AUTONUM  </w:instrText>
      </w:r>
      <w:r w:rsidRPr="00EA4F84">
        <w:fldChar w:fldCharType="end"/>
      </w:r>
      <w:r w:rsidRPr="00EA4F84">
        <w:tab/>
      </w:r>
      <w:r w:rsidR="00915C02" w:rsidRPr="00EA4F84">
        <w:t>Le TWA a examiné la possibilité de mener une enquête auprès des membres de l'UPOV afin qu'ils rendent compte des politiques existantes en matière de confidentialité des informations moléculaires. Le TWA est convenu qu'il faudrait poursuivre l'examen de la portée et des objectifs d'une telle enquête, notamment en identifiant les scénarios pertinents pour renforcer la participation aux discussions.</w:t>
      </w:r>
    </w:p>
    <w:p w14:paraId="6F6EA91B" w14:textId="77777777" w:rsidR="0012713E" w:rsidRPr="00EA4F84" w:rsidRDefault="0012713E" w:rsidP="0012713E"/>
    <w:p w14:paraId="68C550E5" w14:textId="1A70C4DD" w:rsidR="00B52114" w:rsidRPr="00EA4F84" w:rsidRDefault="0012713E" w:rsidP="00B52114">
      <w:pPr>
        <w:pStyle w:val="ListParagraph"/>
        <w:ind w:left="0"/>
        <w:jc w:val="both"/>
        <w:rPr>
          <w:rFonts w:eastAsiaTheme="minorEastAsia"/>
          <w:lang w:eastAsia="ja-JP"/>
        </w:rPr>
      </w:pPr>
      <w:r w:rsidRPr="00EA4F84">
        <w:fldChar w:fldCharType="begin"/>
      </w:r>
      <w:r w:rsidRPr="00EA4F84">
        <w:instrText xml:space="preserve"> AUTONUM  </w:instrText>
      </w:r>
      <w:r w:rsidRPr="00EA4F84">
        <w:fldChar w:fldCharType="end"/>
      </w:r>
      <w:r w:rsidRPr="00EA4F84">
        <w:tab/>
      </w:r>
      <w:r w:rsidR="0EDE8B78" w:rsidRPr="00EA4F84">
        <w:rPr>
          <w:rFonts w:eastAsiaTheme="minorEastAsia"/>
          <w:lang w:eastAsia="ja-JP"/>
        </w:rPr>
        <w:t xml:space="preserve">Le </w:t>
      </w:r>
      <w:r w:rsidR="0EDE8B78" w:rsidRPr="00EA4F84">
        <w:t>TWF</w:t>
      </w:r>
      <w:r w:rsidRPr="00EA4F84">
        <w:rPr>
          <w:rStyle w:val="FootnoteReference"/>
        </w:rPr>
        <w:footnoteReference w:id="15"/>
      </w:r>
      <w:r w:rsidR="009426D0">
        <w:t>,</w:t>
      </w:r>
      <w:r w:rsidR="0EDE8B78" w:rsidRPr="00EA4F84">
        <w:t xml:space="preserve"> à sa </w:t>
      </w:r>
      <w:r w:rsidR="0EDE8B78" w:rsidRPr="00EA4F84">
        <w:rPr>
          <w:rFonts w:eastAsiaTheme="minorEastAsia"/>
          <w:lang w:eastAsia="ja-JP"/>
        </w:rPr>
        <w:t xml:space="preserve">cinquante-sixième </w:t>
      </w:r>
      <w:r w:rsidR="0EDE8B78" w:rsidRPr="00EA4F84">
        <w:t xml:space="preserve">session, </w:t>
      </w:r>
      <w:r w:rsidR="0EDE8B78" w:rsidRPr="00EA4F84">
        <w:rPr>
          <w:rFonts w:eastAsiaTheme="minorEastAsia"/>
          <w:lang w:eastAsia="ja-JP"/>
        </w:rPr>
        <w:t xml:space="preserve">a noté </w:t>
      </w:r>
      <w:r w:rsidR="5CE26707" w:rsidRPr="00EA4F84">
        <w:rPr>
          <w:rFonts w:eastAsiaTheme="minorEastAsia"/>
          <w:lang w:eastAsia="ja-JP"/>
        </w:rPr>
        <w:t>que les membres et les observateurs de l'UPOV étaient invités à présenter des exemples de politiques en matière de confidentialité et d'accès aux données moléculaires lors des sessions du TWP en 2025.</w:t>
      </w:r>
    </w:p>
    <w:p w14:paraId="40566C3F" w14:textId="77777777" w:rsidR="00695D23" w:rsidRPr="00EA4F84" w:rsidRDefault="00695D23" w:rsidP="009F76CF">
      <w:pPr>
        <w:pStyle w:val="ListParagraph"/>
        <w:ind w:left="0"/>
        <w:jc w:val="both"/>
        <w:rPr>
          <w:rFonts w:eastAsiaTheme="minorEastAsia"/>
          <w:lang w:eastAsia="ja-JP"/>
        </w:rPr>
      </w:pPr>
    </w:p>
    <w:bookmarkStart w:id="21" w:name="_Toc460313637"/>
    <w:p w14:paraId="43BA9895" w14:textId="77777777" w:rsidR="00FA16FA" w:rsidRPr="00EA4F84" w:rsidRDefault="00EF4B00" w:rsidP="008F2CBB">
      <w:pPr>
        <w:tabs>
          <w:tab w:val="left" w:pos="5387"/>
          <w:tab w:val="left" w:pos="5954"/>
        </w:tabs>
        <w:spacing w:after="120"/>
        <w:ind w:left="4820"/>
        <w:rPr>
          <w:i/>
          <w:snapToGrid w:val="0"/>
          <w:lang w:eastAsia="ja-JP"/>
        </w:rPr>
      </w:pPr>
      <w:r w:rsidRPr="00EA4F84">
        <w:rPr>
          <w:i/>
          <w:snapToGrid w:val="0"/>
          <w:lang w:eastAsia="ja-JP"/>
        </w:rPr>
        <w:fldChar w:fldCharType="begin"/>
      </w:r>
      <w:r w:rsidRPr="00EA4F84">
        <w:rPr>
          <w:i/>
          <w:snapToGrid w:val="0"/>
          <w:lang w:eastAsia="ja-JP"/>
        </w:rPr>
        <w:instrText xml:space="preserve"> AUTONUM  </w:instrText>
      </w:r>
      <w:r w:rsidRPr="00EA4F84">
        <w:rPr>
          <w:i/>
          <w:snapToGrid w:val="0"/>
          <w:lang w:eastAsia="ja-JP"/>
        </w:rPr>
        <w:fldChar w:fldCharType="end"/>
      </w:r>
      <w:r w:rsidRPr="00EA4F84">
        <w:rPr>
          <w:i/>
          <w:snapToGrid w:val="0"/>
          <w:lang w:eastAsia="ja-JP"/>
        </w:rPr>
        <w:tab/>
        <w:t xml:space="preserve">Le TC est invité à </w:t>
      </w:r>
      <w:r w:rsidR="00FA16FA" w:rsidRPr="00EA4F84">
        <w:rPr>
          <w:i/>
          <w:snapToGrid w:val="0"/>
          <w:lang w:eastAsia="ja-JP"/>
        </w:rPr>
        <w:t>:</w:t>
      </w:r>
    </w:p>
    <w:p w14:paraId="6B1344C0" w14:textId="54F2CA49" w:rsidR="00B43354" w:rsidRPr="00EA4F84" w:rsidRDefault="009D5FF3" w:rsidP="008F2CBB">
      <w:pPr>
        <w:pStyle w:val="ListParagraph"/>
        <w:numPr>
          <w:ilvl w:val="0"/>
          <w:numId w:val="46"/>
        </w:numPr>
        <w:tabs>
          <w:tab w:val="left" w:pos="5387"/>
          <w:tab w:val="left" w:pos="5954"/>
        </w:tabs>
        <w:spacing w:after="120"/>
        <w:ind w:left="4820" w:firstLine="567"/>
        <w:contextualSpacing w:val="0"/>
        <w:jc w:val="both"/>
        <w:rPr>
          <w:i/>
          <w:snapToGrid w:val="0"/>
          <w:lang w:eastAsia="ja-JP"/>
        </w:rPr>
      </w:pPr>
      <w:r w:rsidRPr="00EA4F84">
        <w:rPr>
          <w:i/>
          <w:snapToGrid w:val="0"/>
          <w:lang w:eastAsia="ja-JP"/>
        </w:rPr>
        <w:t xml:space="preserve">prendre note des discussions </w:t>
      </w:r>
      <w:r w:rsidR="00EE21CC" w:rsidRPr="00EA4F84">
        <w:rPr>
          <w:rFonts w:hint="eastAsia"/>
          <w:i/>
          <w:snapToGrid w:val="0"/>
          <w:lang w:eastAsia="ja-JP"/>
        </w:rPr>
        <w:t xml:space="preserve">sur </w:t>
      </w:r>
      <w:r w:rsidR="00EE21CC" w:rsidRPr="00EA4F84">
        <w:rPr>
          <w:i/>
          <w:snapToGrid w:val="0"/>
          <w:lang w:eastAsia="ja-JP"/>
        </w:rPr>
        <w:t xml:space="preserve">la confidentialité et la propriété des informations moléculaires </w:t>
      </w:r>
      <w:r w:rsidR="001A1382" w:rsidRPr="00EA4F84">
        <w:rPr>
          <w:rFonts w:hint="eastAsia"/>
          <w:i/>
          <w:snapToGrid w:val="0"/>
          <w:lang w:eastAsia="ja-JP"/>
        </w:rPr>
        <w:t xml:space="preserve">lors </w:t>
      </w:r>
      <w:r w:rsidR="001A1382" w:rsidRPr="00EA4F84">
        <w:rPr>
          <w:i/>
          <w:snapToGrid w:val="0"/>
          <w:lang w:eastAsia="ja-JP"/>
        </w:rPr>
        <w:t xml:space="preserve">des </w:t>
      </w:r>
      <w:r w:rsidR="001A1382" w:rsidRPr="00EA4F84">
        <w:rPr>
          <w:rFonts w:hint="eastAsia"/>
          <w:i/>
          <w:snapToGrid w:val="0"/>
          <w:lang w:eastAsia="ja-JP"/>
        </w:rPr>
        <w:t>sessions d</w:t>
      </w:r>
      <w:r w:rsidR="00944075">
        <w:rPr>
          <w:i/>
          <w:snapToGrid w:val="0"/>
          <w:lang w:eastAsia="ja-JP"/>
        </w:rPr>
        <w:t>es</w:t>
      </w:r>
      <w:r w:rsidR="001A1382" w:rsidRPr="00EA4F84">
        <w:rPr>
          <w:rFonts w:hint="eastAsia"/>
          <w:i/>
          <w:snapToGrid w:val="0"/>
          <w:lang w:eastAsia="ja-JP"/>
        </w:rPr>
        <w:t xml:space="preserve"> TWP en 2025 </w:t>
      </w:r>
      <w:r w:rsidR="00FA16FA" w:rsidRPr="00EA4F84">
        <w:rPr>
          <w:i/>
          <w:snapToGrid w:val="0"/>
          <w:lang w:eastAsia="ja-JP"/>
        </w:rPr>
        <w:t>;</w:t>
      </w:r>
    </w:p>
    <w:p w14:paraId="057BC4BF" w14:textId="34A9DD6F" w:rsidR="00DA7220" w:rsidRPr="00EA4F84" w:rsidRDefault="00DA7220" w:rsidP="008F2CBB">
      <w:pPr>
        <w:pStyle w:val="ListParagraph"/>
        <w:numPr>
          <w:ilvl w:val="0"/>
          <w:numId w:val="46"/>
        </w:numPr>
        <w:tabs>
          <w:tab w:val="left" w:pos="5387"/>
          <w:tab w:val="left" w:pos="5954"/>
        </w:tabs>
        <w:spacing w:after="120"/>
        <w:ind w:left="4820" w:firstLine="567"/>
        <w:contextualSpacing w:val="0"/>
        <w:jc w:val="both"/>
        <w:rPr>
          <w:i/>
          <w:snapToGrid w:val="0"/>
          <w:lang w:eastAsia="ja-JP"/>
        </w:rPr>
      </w:pPr>
      <w:r w:rsidRPr="00EA4F84">
        <w:rPr>
          <w:i/>
        </w:rPr>
        <w:t xml:space="preserve">prendre note de la </w:t>
      </w:r>
      <w:r w:rsidR="00EA4F84">
        <w:rPr>
          <w:i/>
        </w:rPr>
        <w:t>“ </w:t>
      </w:r>
      <w:r w:rsidRPr="00EA4F84">
        <w:rPr>
          <w:i/>
        </w:rPr>
        <w:t>Politique relative au statut du matériel végétal soumis à des essais DHS</w:t>
      </w:r>
      <w:r w:rsidR="00EA4F84">
        <w:rPr>
          <w:i/>
        </w:rPr>
        <w:t> »</w:t>
      </w:r>
      <w:r w:rsidRPr="00EA4F84">
        <w:rPr>
          <w:i/>
        </w:rPr>
        <w:t xml:space="preserve"> présentée par l'Union européenne au TWA, comme indiqué au paragraphe 29 du présent document </w:t>
      </w:r>
      <w:r w:rsidRPr="00EA4F84">
        <w:rPr>
          <w:i/>
          <w:snapToGrid w:val="0"/>
          <w:lang w:eastAsia="ja-JP"/>
        </w:rPr>
        <w:t>;</w:t>
      </w:r>
    </w:p>
    <w:p w14:paraId="1291124E" w14:textId="256EB536" w:rsidR="00DA7220" w:rsidRPr="00EA4F84" w:rsidRDefault="004C0FB6" w:rsidP="008F2CBB">
      <w:pPr>
        <w:pStyle w:val="ListParagraph"/>
        <w:numPr>
          <w:ilvl w:val="0"/>
          <w:numId w:val="46"/>
        </w:numPr>
        <w:tabs>
          <w:tab w:val="left" w:pos="5387"/>
          <w:tab w:val="left" w:pos="5954"/>
        </w:tabs>
        <w:spacing w:after="120"/>
        <w:ind w:left="4820" w:firstLine="567"/>
        <w:contextualSpacing w:val="0"/>
        <w:jc w:val="both"/>
        <w:rPr>
          <w:i/>
        </w:rPr>
      </w:pPr>
      <w:r w:rsidRPr="00EA4F84">
        <w:rPr>
          <w:i/>
        </w:rPr>
        <w:t xml:space="preserve">envisager </w:t>
      </w:r>
      <w:r w:rsidR="000C75DB" w:rsidRPr="00EA4F84">
        <w:rPr>
          <w:i/>
        </w:rPr>
        <w:t xml:space="preserve">d'inviter </w:t>
      </w:r>
      <w:r w:rsidR="00110DC3" w:rsidRPr="00EA4F84">
        <w:rPr>
          <w:i/>
        </w:rPr>
        <w:t xml:space="preserve">les TWP </w:t>
      </w:r>
      <w:r w:rsidR="00832DD2" w:rsidRPr="00EA4F84">
        <w:rPr>
          <w:i/>
        </w:rPr>
        <w:t xml:space="preserve">à organiser </w:t>
      </w:r>
      <w:r w:rsidR="003238DE" w:rsidRPr="00EA4F84">
        <w:rPr>
          <w:i/>
        </w:rPr>
        <w:t xml:space="preserve">de futures discussions </w:t>
      </w:r>
      <w:r w:rsidR="0044240F" w:rsidRPr="00EA4F84">
        <w:rPr>
          <w:rFonts w:hint="eastAsia"/>
          <w:i/>
          <w:snapToGrid w:val="0"/>
          <w:lang w:eastAsia="ja-JP"/>
        </w:rPr>
        <w:t xml:space="preserve">sur </w:t>
      </w:r>
      <w:r w:rsidR="0044240F" w:rsidRPr="00EA4F84">
        <w:rPr>
          <w:i/>
          <w:snapToGrid w:val="0"/>
          <w:lang w:eastAsia="ja-JP"/>
        </w:rPr>
        <w:t xml:space="preserve">la confidentialité et la propriété des informations moléculaires </w:t>
      </w:r>
      <w:r w:rsidR="00B7479D" w:rsidRPr="00EA4F84">
        <w:rPr>
          <w:i/>
        </w:rPr>
        <w:t xml:space="preserve">sur la base de </w:t>
      </w:r>
      <w:r w:rsidR="000733EC" w:rsidRPr="00EA4F84">
        <w:rPr>
          <w:i/>
        </w:rPr>
        <w:t xml:space="preserve">cas concrets et </w:t>
      </w:r>
      <w:r w:rsidR="00B7479D" w:rsidRPr="00EA4F84">
        <w:rPr>
          <w:i/>
        </w:rPr>
        <w:t xml:space="preserve">de </w:t>
      </w:r>
      <w:r w:rsidR="000733EC" w:rsidRPr="00EA4F84">
        <w:rPr>
          <w:i/>
        </w:rPr>
        <w:t xml:space="preserve">situations spécifiques </w:t>
      </w:r>
      <w:r w:rsidR="00C16AE1" w:rsidRPr="00EA4F84">
        <w:rPr>
          <w:i/>
        </w:rPr>
        <w:t xml:space="preserve">; </w:t>
      </w:r>
      <w:r w:rsidR="00DA7220" w:rsidRPr="00EA4F84">
        <w:rPr>
          <w:i/>
        </w:rPr>
        <w:t>et</w:t>
      </w:r>
    </w:p>
    <w:p w14:paraId="0820E63B" w14:textId="4A68D25A" w:rsidR="000733EC" w:rsidRPr="00EA4F84" w:rsidRDefault="00DA7220" w:rsidP="00B65947">
      <w:pPr>
        <w:pStyle w:val="ListParagraph"/>
        <w:numPr>
          <w:ilvl w:val="0"/>
          <w:numId w:val="46"/>
        </w:numPr>
        <w:tabs>
          <w:tab w:val="left" w:pos="5387"/>
          <w:tab w:val="left" w:pos="5954"/>
        </w:tabs>
        <w:ind w:left="4820" w:firstLine="567"/>
        <w:jc w:val="both"/>
        <w:rPr>
          <w:i/>
        </w:rPr>
      </w:pPr>
      <w:bookmarkStart w:id="22" w:name="_Hlk209621520"/>
      <w:r w:rsidRPr="00EA4F84">
        <w:rPr>
          <w:i/>
        </w:rPr>
        <w:t xml:space="preserve">envisager d'inviter les TWP à </w:t>
      </w:r>
      <w:r w:rsidR="00B65947" w:rsidRPr="00EA4F84">
        <w:rPr>
          <w:i/>
        </w:rPr>
        <w:t>discuter de la coopération en matière d'utilisation des informations moléculaires, par exemple lors des sessions de 2025 du TWO (</w:t>
      </w:r>
      <w:r w:rsidRPr="00EA4F84">
        <w:rPr>
          <w:i/>
        </w:rPr>
        <w:t>développement conjoint de marqueurs moléculaires</w:t>
      </w:r>
      <w:r w:rsidR="00B65947" w:rsidRPr="00EA4F84">
        <w:rPr>
          <w:i/>
        </w:rPr>
        <w:t>) et du TWV (</w:t>
      </w:r>
      <w:r w:rsidRPr="00EA4F84">
        <w:rPr>
          <w:i/>
        </w:rPr>
        <w:t xml:space="preserve">gestion des collections de variétés </w:t>
      </w:r>
      <w:r w:rsidR="00B65947" w:rsidRPr="00EA4F84">
        <w:rPr>
          <w:i/>
        </w:rPr>
        <w:t>et identification des variétés)</w:t>
      </w:r>
      <w:r w:rsidR="00AA7EF7" w:rsidRPr="00EA4F84">
        <w:rPr>
          <w:i/>
        </w:rPr>
        <w:t xml:space="preserve">. </w:t>
      </w:r>
      <w:bookmarkEnd w:id="22"/>
    </w:p>
    <w:p w14:paraId="0F20EC14" w14:textId="77777777" w:rsidR="003012FA" w:rsidRPr="00EA4F84" w:rsidRDefault="003012FA" w:rsidP="00EF4B00">
      <w:pPr>
        <w:rPr>
          <w:snapToGrid w:val="0"/>
          <w:lang w:eastAsia="ja-JP"/>
        </w:rPr>
      </w:pPr>
    </w:p>
    <w:p w14:paraId="15A37244" w14:textId="6FDA7B9D" w:rsidR="00825360" w:rsidRPr="00EA4F84" w:rsidRDefault="00311464" w:rsidP="00E45D45">
      <w:pPr>
        <w:pStyle w:val="Heading1"/>
        <w:keepLines/>
        <w:rPr>
          <w:snapToGrid w:val="0"/>
          <w:lang w:val="fr-FR" w:eastAsia="ja-JP"/>
        </w:rPr>
      </w:pPr>
      <w:bookmarkStart w:id="23" w:name="_Toc210661221"/>
      <w:r w:rsidRPr="00EA4F84">
        <w:rPr>
          <w:snapToGrid w:val="0"/>
          <w:lang w:val="fr-FR" w:eastAsia="ja-JP"/>
        </w:rPr>
        <w:lastRenderedPageBreak/>
        <w:t>COOPÉRATION ENTRE ORGANISATIONS INTERNATIONALES</w:t>
      </w:r>
      <w:bookmarkEnd w:id="23"/>
    </w:p>
    <w:p w14:paraId="29E9EBBA" w14:textId="77777777" w:rsidR="00311464" w:rsidRPr="00EA4F84" w:rsidRDefault="00311464" w:rsidP="00E45D45">
      <w:pPr>
        <w:keepNext/>
        <w:keepLines/>
        <w:rPr>
          <w:snapToGrid w:val="0"/>
          <w:lang w:eastAsia="ja-JP"/>
        </w:rPr>
      </w:pPr>
    </w:p>
    <w:p w14:paraId="3548DC72" w14:textId="483C02FC" w:rsidR="006F66D1" w:rsidRPr="00EA4F84" w:rsidRDefault="006F66D1" w:rsidP="00EF24D5">
      <w:pPr>
        <w:pStyle w:val="Heading2"/>
        <w:rPr>
          <w:lang w:val="fr-FR"/>
        </w:rPr>
      </w:pPr>
      <w:bookmarkStart w:id="24" w:name="_Toc210661222"/>
      <w:r w:rsidRPr="00EA4F84">
        <w:rPr>
          <w:lang w:val="fr-FR"/>
        </w:rPr>
        <w:t>Contexte</w:t>
      </w:r>
      <w:bookmarkEnd w:id="24"/>
    </w:p>
    <w:p w14:paraId="035B7785" w14:textId="77777777" w:rsidR="006F66D1" w:rsidRPr="00EA4F84" w:rsidRDefault="006F66D1" w:rsidP="00E45D45">
      <w:pPr>
        <w:keepNext/>
        <w:keepLines/>
        <w:rPr>
          <w:snapToGrid w:val="0"/>
          <w:lang w:eastAsia="ja-JP"/>
        </w:rPr>
      </w:pPr>
    </w:p>
    <w:p w14:paraId="4B0DD088" w14:textId="0A0119C3" w:rsidR="009E25B1" w:rsidRPr="00EA4F84" w:rsidRDefault="008D0B9F" w:rsidP="00E45D45">
      <w:pPr>
        <w:pStyle w:val="ListParagraph"/>
        <w:keepNext/>
        <w:keepLines/>
        <w:ind w:left="0"/>
        <w:jc w:val="both"/>
        <w:rPr>
          <w:rFonts w:eastAsiaTheme="minorEastAsia"/>
          <w:lang w:eastAsia="ja-JP"/>
        </w:rPr>
      </w:pPr>
      <w:r w:rsidRPr="00EA4F84">
        <w:fldChar w:fldCharType="begin"/>
      </w:r>
      <w:r w:rsidRPr="00EA4F84">
        <w:instrText xml:space="preserve"> AUTONUM  </w:instrText>
      </w:r>
      <w:r w:rsidRPr="00EA4F84">
        <w:fldChar w:fldCharType="end"/>
      </w:r>
      <w:r w:rsidRPr="00EA4F84">
        <w:tab/>
        <w:t xml:space="preserve">Le </w:t>
      </w:r>
      <w:r w:rsidR="000300DE" w:rsidRPr="00EA4F84">
        <w:rPr>
          <w:rFonts w:eastAsiaTheme="minorEastAsia" w:hint="eastAsia"/>
          <w:lang w:eastAsia="ja-JP"/>
        </w:rPr>
        <w:t>TC</w:t>
      </w:r>
      <w:r w:rsidRPr="00EA4F84">
        <w:rPr>
          <w:rStyle w:val="FootnoteReference"/>
        </w:rPr>
        <w:footnoteReference w:id="16"/>
      </w:r>
      <w:r w:rsidR="009426D0">
        <w:t>,</w:t>
      </w:r>
      <w:r w:rsidRPr="00EA4F84">
        <w:t xml:space="preserve"> </w:t>
      </w:r>
      <w:r w:rsidR="009E25B1" w:rsidRPr="00EA4F84">
        <w:t>à sa cinquante-septième session, est convenu de proposer les thèmes suivants pour un futur atelier conjoint UPOV/OCDE/ISTA :</w:t>
      </w:r>
    </w:p>
    <w:p w14:paraId="7D5E5635" w14:textId="77777777" w:rsidR="009E25B1" w:rsidRPr="00EA4F84" w:rsidRDefault="009E25B1" w:rsidP="00AA5620">
      <w:pPr>
        <w:pStyle w:val="ListParagraph"/>
        <w:ind w:left="0"/>
        <w:jc w:val="both"/>
        <w:rPr>
          <w:rFonts w:eastAsiaTheme="minorEastAsia"/>
          <w:lang w:eastAsia="ja-JP"/>
        </w:rPr>
      </w:pPr>
    </w:p>
    <w:p w14:paraId="6C05D8CE" w14:textId="5B17778E" w:rsidR="009E25B1" w:rsidRPr="00EA4F84" w:rsidRDefault="009E25B1" w:rsidP="00AA5620">
      <w:pPr>
        <w:pStyle w:val="ListParagraph"/>
        <w:numPr>
          <w:ilvl w:val="0"/>
          <w:numId w:val="20"/>
        </w:numPr>
        <w:ind w:left="1134" w:hanging="567"/>
        <w:jc w:val="both"/>
      </w:pPr>
      <w:r w:rsidRPr="00EA4F84">
        <w:t>fournir des informations sur l'utilisation des techniques moléculaires dans chaque organisation ;</w:t>
      </w:r>
    </w:p>
    <w:p w14:paraId="6463D26D" w14:textId="065E4B8B" w:rsidR="009E25B1" w:rsidRPr="00EA4F84" w:rsidRDefault="009E25B1" w:rsidP="00AA5620">
      <w:pPr>
        <w:pStyle w:val="ListParagraph"/>
        <w:numPr>
          <w:ilvl w:val="0"/>
          <w:numId w:val="20"/>
        </w:numPr>
        <w:ind w:left="1134" w:hanging="567"/>
        <w:jc w:val="both"/>
      </w:pPr>
      <w:r w:rsidRPr="00EA4F84">
        <w:t>procédure d'approbation des méthodes biochimiques et moléculaires dans chaque organisation</w:t>
      </w:r>
      <w:r w:rsidR="00AC0FEA">
        <w:t> </w:t>
      </w:r>
      <w:r w:rsidRPr="00EA4F84">
        <w:t>; et</w:t>
      </w:r>
    </w:p>
    <w:p w14:paraId="39052F3F" w14:textId="29FBB215" w:rsidR="008D0B9F" w:rsidRPr="00EA4F84" w:rsidRDefault="009E25B1" w:rsidP="00AA5620">
      <w:pPr>
        <w:pStyle w:val="ListParagraph"/>
        <w:numPr>
          <w:ilvl w:val="0"/>
          <w:numId w:val="20"/>
        </w:numPr>
        <w:ind w:left="1134" w:hanging="567"/>
        <w:jc w:val="both"/>
      </w:pPr>
      <w:r w:rsidRPr="00EA4F84">
        <w:t>possibilités d'harmonisation des termes, définitions et méthodes entre l'UPOV, l'OCDE et l'ISTA.</w:t>
      </w:r>
    </w:p>
    <w:p w14:paraId="4F5442A0" w14:textId="77777777" w:rsidR="008D0B9F" w:rsidRPr="00EA4F84" w:rsidRDefault="008D0B9F" w:rsidP="00AA5620">
      <w:pPr>
        <w:rPr>
          <w:snapToGrid w:val="0"/>
          <w:lang w:eastAsia="ja-JP"/>
        </w:rPr>
      </w:pPr>
    </w:p>
    <w:p w14:paraId="2B6D06E7" w14:textId="77777777" w:rsidR="008D0B9F" w:rsidRPr="00EA4F84" w:rsidRDefault="008D0B9F" w:rsidP="00AA5620">
      <w:pPr>
        <w:rPr>
          <w:snapToGrid w:val="0"/>
          <w:lang w:eastAsia="ja-JP"/>
        </w:rPr>
      </w:pPr>
    </w:p>
    <w:p w14:paraId="64751580" w14:textId="0F22FB86" w:rsidR="00D675E7" w:rsidRPr="00EA4F84" w:rsidRDefault="00D675E7" w:rsidP="00AF5629">
      <w:pPr>
        <w:pStyle w:val="Heading2"/>
        <w:rPr>
          <w:snapToGrid w:val="0"/>
          <w:lang w:val="fr-FR" w:eastAsia="ja-JP"/>
        </w:rPr>
      </w:pPr>
      <w:bookmarkStart w:id="25" w:name="_Toc210661223"/>
      <w:r w:rsidRPr="00EA4F84">
        <w:rPr>
          <w:lang w:val="fr-FR"/>
        </w:rPr>
        <w:t>Harmonisation des termes, définitions et méthodes entre l'UPOV, l'OCDE et l'ISTA</w:t>
      </w:r>
      <w:bookmarkEnd w:id="25"/>
    </w:p>
    <w:p w14:paraId="3543D5C9" w14:textId="77777777" w:rsidR="00D675E7" w:rsidRPr="00EA4F84" w:rsidRDefault="00D675E7" w:rsidP="00D856D9">
      <w:pPr>
        <w:keepNext/>
        <w:keepLines/>
        <w:rPr>
          <w:snapToGrid w:val="0"/>
          <w:lang w:eastAsia="ja-JP"/>
        </w:rPr>
      </w:pPr>
    </w:p>
    <w:p w14:paraId="59A20E5F" w14:textId="01AFD80F" w:rsidR="00F2781E" w:rsidRPr="00EA4F84" w:rsidRDefault="00B63F38" w:rsidP="001F298F">
      <w:pPr>
        <w:pStyle w:val="ListParagraph"/>
        <w:ind w:left="0"/>
        <w:jc w:val="both"/>
        <w:rPr>
          <w:rFonts w:eastAsiaTheme="minorEastAsia"/>
          <w:lang w:eastAsia="ja-JP"/>
        </w:rPr>
      </w:pPr>
      <w:r w:rsidRPr="00EA4F84">
        <w:fldChar w:fldCharType="begin"/>
      </w:r>
      <w:r w:rsidRPr="00EA4F84">
        <w:instrText xml:space="preserve"> AUTONUM  </w:instrText>
      </w:r>
      <w:r w:rsidRPr="00EA4F84">
        <w:fldChar w:fldCharType="end"/>
      </w:r>
      <w:r w:rsidRPr="00EA4F84">
        <w:tab/>
        <w:t xml:space="preserve">Le </w:t>
      </w:r>
      <w:r w:rsidR="00E3484E" w:rsidRPr="00EA4F84">
        <w:rPr>
          <w:rFonts w:eastAsiaTheme="minorEastAsia" w:hint="eastAsia"/>
          <w:lang w:eastAsia="ja-JP"/>
        </w:rPr>
        <w:t>TWM</w:t>
      </w:r>
      <w:r w:rsidRPr="00EA4F84">
        <w:rPr>
          <w:rStyle w:val="FootnoteReference"/>
        </w:rPr>
        <w:footnoteReference w:id="17"/>
      </w:r>
      <w:r w:rsidR="009426D0">
        <w:t>,</w:t>
      </w:r>
      <w:r w:rsidRPr="00EA4F84">
        <w:t xml:space="preserve"> lors de sa </w:t>
      </w:r>
      <w:r w:rsidR="00E3484E" w:rsidRPr="00EA4F84">
        <w:rPr>
          <w:rFonts w:eastAsiaTheme="minorEastAsia" w:hint="eastAsia"/>
          <w:lang w:eastAsia="ja-JP"/>
        </w:rPr>
        <w:t xml:space="preserve">troisième </w:t>
      </w:r>
      <w:r w:rsidRPr="00EA4F84">
        <w:t xml:space="preserve">session, </w:t>
      </w:r>
      <w:r w:rsidR="00064944" w:rsidRPr="00EA4F84">
        <w:t>a examiné les activités conjointes possibles avec l'OCDE et l'ISTA et l'</w:t>
      </w:r>
      <w:bookmarkStart w:id="26" w:name="_Hlk201678787"/>
      <w:r w:rsidR="00064944" w:rsidRPr="00EA4F84">
        <w:t>harmonisation possible des termes, définitions et méthodes en relation avec les techniques moléculaires</w:t>
      </w:r>
      <w:bookmarkEnd w:id="26"/>
      <w:r w:rsidR="00064944" w:rsidRPr="00EA4F84">
        <w:t xml:space="preserve"> . Le TWM a décidé d'inviter l'expert de</w:t>
      </w:r>
      <w:r w:rsidR="00AC0FEA">
        <w:t xml:space="preserve"> la</w:t>
      </w:r>
      <w:r w:rsidR="00064944" w:rsidRPr="00EA4F84">
        <w:t xml:space="preserve"> France à </w:t>
      </w:r>
      <w:r w:rsidR="00361889" w:rsidRPr="00EA4F84">
        <w:t xml:space="preserve">coordonner </w:t>
      </w:r>
      <w:r w:rsidR="00064944" w:rsidRPr="00EA4F84">
        <w:t xml:space="preserve">les discussions afin d'organiser les informations pertinentes sur les termes et définitions. Le TWM a pris note de l'intérêt manifesté par les experts d'Argentine, de Chine, d'Allemagne, des Pays-Bas (Royaume des), du Royaume-Uni, de la CIOPORA et de l'ISF pour contribuer à cet exercice. </w:t>
      </w:r>
    </w:p>
    <w:p w14:paraId="72D34751" w14:textId="77777777" w:rsidR="00F2781E" w:rsidRPr="00EA4F84" w:rsidRDefault="00F2781E" w:rsidP="00064944">
      <w:pPr>
        <w:pStyle w:val="ListParagraph"/>
        <w:ind w:left="0"/>
        <w:jc w:val="both"/>
        <w:rPr>
          <w:rFonts w:eastAsiaTheme="minorEastAsia"/>
          <w:lang w:eastAsia="ja-JP"/>
        </w:rPr>
      </w:pPr>
    </w:p>
    <w:p w14:paraId="35A2259C" w14:textId="5A75C8A2" w:rsidR="0001494C" w:rsidRPr="00EA4F84" w:rsidRDefault="0001494C" w:rsidP="0001494C">
      <w:r w:rsidRPr="00EA4F84">
        <w:fldChar w:fldCharType="begin"/>
      </w:r>
      <w:r w:rsidRPr="00EA4F84">
        <w:instrText xml:space="preserve"> AUTONUM  </w:instrText>
      </w:r>
      <w:r w:rsidRPr="00EA4F84">
        <w:fldChar w:fldCharType="end"/>
      </w:r>
      <w:r w:rsidRPr="00EA4F84">
        <w:tab/>
      </w:r>
      <w:r w:rsidR="00064944" w:rsidRPr="00EA4F84">
        <w:t>Le TWM a pris note du compte rendu du représentant de l'OCDE selon lequel les programmes semenciers de l'OCDE avaient déjà approuvé la collaboration avec l'UPOV en vue d'une éventuelle harmonisation des définitions et des termes.</w:t>
      </w:r>
    </w:p>
    <w:p w14:paraId="3E1F556F" w14:textId="77777777" w:rsidR="00257D41" w:rsidRPr="00EA4F84" w:rsidRDefault="00257D41" w:rsidP="0001494C"/>
    <w:p w14:paraId="584A3239" w14:textId="2A7EE10A" w:rsidR="006F3491" w:rsidRPr="00EA4F84" w:rsidRDefault="00D856D9" w:rsidP="00CD197C">
      <w:pPr>
        <w:tabs>
          <w:tab w:val="left" w:pos="5387"/>
          <w:tab w:val="left" w:pos="6237"/>
        </w:tabs>
        <w:ind w:left="4820"/>
        <w:rPr>
          <w:i/>
          <w:iCs/>
        </w:rPr>
      </w:pPr>
      <w:r w:rsidRPr="00EA4F84">
        <w:rPr>
          <w:i/>
          <w:iCs/>
        </w:rPr>
        <w:fldChar w:fldCharType="begin"/>
      </w:r>
      <w:r w:rsidRPr="00EA4F84">
        <w:rPr>
          <w:i/>
          <w:iCs/>
        </w:rPr>
        <w:instrText xml:space="preserve"> AUTONUM  </w:instrText>
      </w:r>
      <w:r w:rsidRPr="00EA4F84">
        <w:rPr>
          <w:i/>
          <w:iCs/>
        </w:rPr>
        <w:fldChar w:fldCharType="end"/>
      </w:r>
      <w:r w:rsidRPr="00EA4F84">
        <w:rPr>
          <w:i/>
          <w:iCs/>
        </w:rPr>
        <w:tab/>
        <w:t xml:space="preserve">Le TC est invité à </w:t>
      </w:r>
      <w:r w:rsidR="006F3491" w:rsidRPr="00EA4F84">
        <w:rPr>
          <w:i/>
          <w:iCs/>
        </w:rPr>
        <w:t>:</w:t>
      </w:r>
    </w:p>
    <w:p w14:paraId="51A93B1C" w14:textId="77777777" w:rsidR="006F3491" w:rsidRPr="00EA4F84" w:rsidRDefault="006F3491" w:rsidP="00CD197C">
      <w:pPr>
        <w:tabs>
          <w:tab w:val="left" w:pos="5387"/>
          <w:tab w:val="left" w:pos="6237"/>
        </w:tabs>
        <w:ind w:left="4820"/>
        <w:rPr>
          <w:i/>
          <w:iCs/>
        </w:rPr>
      </w:pPr>
    </w:p>
    <w:p w14:paraId="411EB28D" w14:textId="79D9A9A9" w:rsidR="00D856D9" w:rsidRPr="00EA4F84" w:rsidRDefault="00CD197C" w:rsidP="005972A1">
      <w:pPr>
        <w:tabs>
          <w:tab w:val="left" w:pos="5387"/>
          <w:tab w:val="left" w:pos="5954"/>
        </w:tabs>
        <w:ind w:left="4820"/>
        <w:rPr>
          <w:i/>
          <w:iCs/>
        </w:rPr>
      </w:pPr>
      <w:r w:rsidRPr="00EA4F84">
        <w:rPr>
          <w:i/>
          <w:iCs/>
        </w:rPr>
        <w:tab/>
      </w:r>
      <w:r w:rsidR="006F3491" w:rsidRPr="00EA4F84">
        <w:rPr>
          <w:i/>
          <w:iCs/>
        </w:rPr>
        <w:t>a)</w:t>
      </w:r>
      <w:r w:rsidR="006F3491" w:rsidRPr="00EA4F84">
        <w:rPr>
          <w:i/>
          <w:iCs/>
        </w:rPr>
        <w:tab/>
      </w:r>
      <w:r w:rsidR="00A748EB" w:rsidRPr="00EA4F84">
        <w:rPr>
          <w:i/>
          <w:iCs/>
        </w:rPr>
        <w:t xml:space="preserve">envisager d'inviter </w:t>
      </w:r>
      <w:r w:rsidR="00AC0FEA">
        <w:rPr>
          <w:i/>
          <w:iCs/>
        </w:rPr>
        <w:t xml:space="preserve">la </w:t>
      </w:r>
      <w:r w:rsidR="00D52ECB" w:rsidRPr="00EA4F84">
        <w:rPr>
          <w:i/>
          <w:iCs/>
        </w:rPr>
        <w:t>France</w:t>
      </w:r>
      <w:r w:rsidR="002A4C99" w:rsidRPr="00EA4F84">
        <w:rPr>
          <w:i/>
          <w:iCs/>
        </w:rPr>
        <w:t xml:space="preserve">, en </w:t>
      </w:r>
      <w:r w:rsidR="00865A4D" w:rsidRPr="00EA4F84">
        <w:rPr>
          <w:i/>
          <w:iCs/>
        </w:rPr>
        <w:t xml:space="preserve">collaboration avec </w:t>
      </w:r>
      <w:r w:rsidR="00AC0FEA">
        <w:rPr>
          <w:i/>
          <w:iCs/>
        </w:rPr>
        <w:t>l’</w:t>
      </w:r>
      <w:r w:rsidR="00865A4D" w:rsidRPr="00EA4F84">
        <w:rPr>
          <w:i/>
          <w:iCs/>
        </w:rPr>
        <w:t xml:space="preserve">Argentine, </w:t>
      </w:r>
      <w:r w:rsidR="00AC0FEA">
        <w:rPr>
          <w:i/>
          <w:iCs/>
        </w:rPr>
        <w:t xml:space="preserve">la </w:t>
      </w:r>
      <w:r w:rsidR="00865A4D" w:rsidRPr="00EA4F84">
        <w:rPr>
          <w:i/>
          <w:iCs/>
        </w:rPr>
        <w:t xml:space="preserve">Chine, </w:t>
      </w:r>
      <w:r w:rsidR="00AC0FEA">
        <w:rPr>
          <w:i/>
          <w:iCs/>
        </w:rPr>
        <w:t>l’</w:t>
      </w:r>
      <w:r w:rsidR="00865A4D" w:rsidRPr="00EA4F84">
        <w:rPr>
          <w:i/>
          <w:iCs/>
        </w:rPr>
        <w:t xml:space="preserve">Allemagne, </w:t>
      </w:r>
      <w:r w:rsidR="00AC0FEA">
        <w:rPr>
          <w:i/>
          <w:iCs/>
        </w:rPr>
        <w:t xml:space="preserve">les </w:t>
      </w:r>
      <w:r w:rsidR="00865A4D" w:rsidRPr="00EA4F84">
        <w:rPr>
          <w:i/>
          <w:iCs/>
        </w:rPr>
        <w:t xml:space="preserve">Pays-Bas (Royaume des), </w:t>
      </w:r>
      <w:r w:rsidR="00AC0FEA">
        <w:rPr>
          <w:i/>
          <w:iCs/>
        </w:rPr>
        <w:t xml:space="preserve">le </w:t>
      </w:r>
      <w:r w:rsidR="00865A4D" w:rsidRPr="00EA4F84">
        <w:rPr>
          <w:i/>
          <w:iCs/>
        </w:rPr>
        <w:t>Royaume-Uni, la CIOPORA et l'ISF</w:t>
      </w:r>
      <w:r w:rsidR="00361889" w:rsidRPr="00EA4F84">
        <w:rPr>
          <w:i/>
          <w:iCs/>
        </w:rPr>
        <w:t xml:space="preserve">, </w:t>
      </w:r>
      <w:r w:rsidR="00865A4D" w:rsidRPr="00EA4F84">
        <w:rPr>
          <w:i/>
          <w:iCs/>
        </w:rPr>
        <w:t xml:space="preserve">à </w:t>
      </w:r>
      <w:r w:rsidR="00A40CBB" w:rsidRPr="00EA4F84">
        <w:rPr>
          <w:i/>
          <w:iCs/>
        </w:rPr>
        <w:t xml:space="preserve">organiser les informations </w:t>
      </w:r>
      <w:r w:rsidR="00640E10" w:rsidRPr="00EA4F84">
        <w:rPr>
          <w:i/>
          <w:iCs/>
        </w:rPr>
        <w:t xml:space="preserve">sur les termes et définitions </w:t>
      </w:r>
      <w:r w:rsidR="00F320EE" w:rsidRPr="00EA4F84">
        <w:rPr>
          <w:i/>
          <w:iCs/>
        </w:rPr>
        <w:t>relatifs aux techniques moléculaires utilisées à l'UPOV</w:t>
      </w:r>
      <w:r w:rsidR="009112CA" w:rsidRPr="00EA4F84">
        <w:rPr>
          <w:i/>
          <w:iCs/>
        </w:rPr>
        <w:t xml:space="preserve">, pour examen par le TWM </w:t>
      </w:r>
      <w:r w:rsidR="002D369F" w:rsidRPr="00EA4F84">
        <w:rPr>
          <w:i/>
          <w:iCs/>
        </w:rPr>
        <w:t>et le TC en 2026 ; et</w:t>
      </w:r>
    </w:p>
    <w:p w14:paraId="1B7B5C0F" w14:textId="3E6B326D" w:rsidR="002D369F" w:rsidRPr="00EA4F84" w:rsidRDefault="002D369F" w:rsidP="00CD197C">
      <w:pPr>
        <w:tabs>
          <w:tab w:val="left" w:pos="5387"/>
          <w:tab w:val="left" w:pos="6237"/>
        </w:tabs>
        <w:ind w:left="4820"/>
        <w:rPr>
          <w:i/>
          <w:iCs/>
        </w:rPr>
      </w:pPr>
    </w:p>
    <w:p w14:paraId="36C6CA10" w14:textId="6F8D1E4C" w:rsidR="002D369F" w:rsidRPr="00EA4F84" w:rsidRDefault="00CD197C" w:rsidP="00CD197C">
      <w:pPr>
        <w:tabs>
          <w:tab w:val="left" w:pos="5387"/>
          <w:tab w:val="left" w:pos="5954"/>
        </w:tabs>
        <w:ind w:left="4820"/>
        <w:rPr>
          <w:i/>
          <w:iCs/>
        </w:rPr>
      </w:pPr>
      <w:r w:rsidRPr="00EA4F84">
        <w:rPr>
          <w:i/>
          <w:iCs/>
        </w:rPr>
        <w:tab/>
      </w:r>
      <w:r w:rsidR="002D369F" w:rsidRPr="00EA4F84">
        <w:rPr>
          <w:i/>
          <w:iCs/>
        </w:rPr>
        <w:t>b)</w:t>
      </w:r>
      <w:r w:rsidR="002D369F" w:rsidRPr="00EA4F84">
        <w:rPr>
          <w:i/>
          <w:iCs/>
        </w:rPr>
        <w:tab/>
      </w:r>
      <w:r w:rsidR="005972A1" w:rsidRPr="00EA4F84">
        <w:rPr>
          <w:i/>
          <w:iCs/>
        </w:rPr>
        <w:t>noter que les programmes semenciers de l'OCDE ont approuvé la collaboration avec l'UPOV en vue d'une éventuelle harmonisation des définitions et des termes.</w:t>
      </w:r>
    </w:p>
    <w:p w14:paraId="1ABCE205" w14:textId="77777777" w:rsidR="00D856D9" w:rsidRPr="00EA4F84" w:rsidRDefault="00D856D9" w:rsidP="0001494C"/>
    <w:p w14:paraId="5E361452" w14:textId="77777777" w:rsidR="00CF2609" w:rsidRPr="00EA4F84" w:rsidRDefault="00CF2609" w:rsidP="001F298F">
      <w:pPr>
        <w:rPr>
          <w:snapToGrid w:val="0"/>
          <w:lang w:eastAsia="ja-JP"/>
        </w:rPr>
      </w:pPr>
    </w:p>
    <w:p w14:paraId="5BB67E8E" w14:textId="77777777" w:rsidR="00CF2609" w:rsidRPr="00EA4F84" w:rsidRDefault="00CF2609" w:rsidP="00EF24D5">
      <w:pPr>
        <w:pStyle w:val="Heading2"/>
        <w:rPr>
          <w:snapToGrid w:val="0"/>
          <w:lang w:val="fr-FR"/>
        </w:rPr>
      </w:pPr>
      <w:bookmarkStart w:id="27" w:name="_Toc210661224"/>
      <w:bookmarkStart w:id="28" w:name="_Hlk208420603"/>
      <w:r w:rsidRPr="00EA4F84">
        <w:rPr>
          <w:snapToGrid w:val="0"/>
          <w:lang w:val="fr-FR"/>
        </w:rPr>
        <w:t>Mise à jour de la liste des marqueurs moléculaires utilisés par culture</w:t>
      </w:r>
      <w:bookmarkEnd w:id="27"/>
    </w:p>
    <w:bookmarkEnd w:id="28"/>
    <w:p w14:paraId="6A704C9A" w14:textId="77777777" w:rsidR="00475A2F" w:rsidRPr="00EA4F84" w:rsidRDefault="00475A2F" w:rsidP="004C120A">
      <w:pPr>
        <w:keepLines/>
        <w:rPr>
          <w:snapToGrid w:val="0"/>
          <w:lang w:eastAsia="ja-JP"/>
        </w:rPr>
      </w:pPr>
    </w:p>
    <w:p w14:paraId="67C4AC8E" w14:textId="0B42B3E9" w:rsidR="009C1407" w:rsidRPr="00EA4F84" w:rsidRDefault="009C1407" w:rsidP="001F298F">
      <w:pPr>
        <w:rPr>
          <w:lang w:eastAsia="ja-JP"/>
        </w:rPr>
      </w:pPr>
      <w:r w:rsidRPr="00EA4F84">
        <w:fldChar w:fldCharType="begin"/>
      </w:r>
      <w:r w:rsidRPr="00EA4F84">
        <w:instrText xml:space="preserve"> AUTONUM  </w:instrText>
      </w:r>
      <w:r w:rsidRPr="00EA4F84">
        <w:fldChar w:fldCharType="end"/>
      </w:r>
      <w:r w:rsidRPr="00EA4F84">
        <w:tab/>
        <w:t xml:space="preserve">Le TWM a rappelé que les résultats de l'enquête menée auprès des membres de l'UPOV </w:t>
      </w:r>
      <w:r w:rsidR="004B0DEA">
        <w:br/>
      </w:r>
      <w:r w:rsidRPr="00EA4F84">
        <w:t xml:space="preserve">sur l'utilisation des marqueurs moléculaires par culture étaient disponibles sous forme de tableau </w:t>
      </w:r>
      <w:r w:rsidR="004B0DEA">
        <w:br/>
      </w:r>
      <w:r w:rsidRPr="00EA4F84">
        <w:t xml:space="preserve">sur la page web </w:t>
      </w:r>
      <w:r w:rsidR="004B0DEA">
        <w:t xml:space="preserve">de la </w:t>
      </w:r>
      <w:r w:rsidR="004B0DEA" w:rsidRPr="00EA4F84">
        <w:t xml:space="preserve">cinquante-huitième session </w:t>
      </w:r>
      <w:r w:rsidRPr="00EA4F84">
        <w:t xml:space="preserve">du Comité technique (voir : </w:t>
      </w:r>
      <w:hyperlink r:id="rId17" w:history="1">
        <w:r w:rsidRPr="00EA4F84">
          <w:rPr>
            <w:rStyle w:val="Hyperlink"/>
          </w:rPr>
          <w:t>https://www.upov.int/meetings/en/doc_details.jsp?meeting_id=67786&amp;doc_id=586962</w:t>
        </w:r>
      </w:hyperlink>
      <w:r w:rsidRPr="00EA4F84">
        <w:t>).</w:t>
      </w:r>
    </w:p>
    <w:p w14:paraId="77E329BD" w14:textId="77777777" w:rsidR="00CF2609" w:rsidRPr="00EA4F84" w:rsidRDefault="00CF2609" w:rsidP="00CF2609">
      <w:pPr>
        <w:rPr>
          <w:snapToGrid w:val="0"/>
          <w:lang w:eastAsia="ja-JP"/>
        </w:rPr>
      </w:pPr>
    </w:p>
    <w:p w14:paraId="60C54067" w14:textId="5807E8F6" w:rsidR="00CF2609" w:rsidRPr="00EA4F84" w:rsidRDefault="00CF2609" w:rsidP="00CF2609">
      <w:pPr>
        <w:rPr>
          <w:snapToGrid w:val="0"/>
          <w:lang w:eastAsia="ja-JP"/>
        </w:rPr>
      </w:pPr>
      <w:r w:rsidRPr="00EA4F84">
        <w:fldChar w:fldCharType="begin"/>
      </w:r>
      <w:r w:rsidRPr="00EA4F84">
        <w:instrText xml:space="preserve"> AUTONUM  </w:instrText>
      </w:r>
      <w:r w:rsidRPr="00EA4F84">
        <w:fldChar w:fldCharType="end"/>
      </w:r>
      <w:r w:rsidRPr="00EA4F84">
        <w:tab/>
        <w:t>L</w:t>
      </w:r>
      <w:r w:rsidR="008D34F6" w:rsidRPr="00EA4F84">
        <w:t xml:space="preserve">e </w:t>
      </w:r>
      <w:r w:rsidR="008D34F6" w:rsidRPr="00EA4F84">
        <w:rPr>
          <w:rFonts w:hint="eastAsia"/>
          <w:lang w:eastAsia="ja-JP"/>
        </w:rPr>
        <w:t>TWM</w:t>
      </w:r>
      <w:r w:rsidRPr="00EA4F84">
        <w:rPr>
          <w:rStyle w:val="FootnoteReference"/>
        </w:rPr>
        <w:footnoteReference w:id="18"/>
      </w:r>
      <w:r w:rsidRPr="00EA4F84">
        <w:t xml:space="preserve"> a accueilli favorablement la proposition des Pays-Bas (Royaume des) de </w:t>
      </w:r>
      <w:r w:rsidR="00361889" w:rsidRPr="00EA4F84">
        <w:t xml:space="preserve">coordonner </w:t>
      </w:r>
      <w:r w:rsidRPr="00EA4F84">
        <w:t>la mise à jour de la liste des marqueurs moléculaires utilisés par culture, qui avait été communiquée au Comité technique à sa cinquante-huitième session</w:t>
      </w:r>
      <w:r w:rsidRPr="00EA4F84">
        <w:rPr>
          <w:rFonts w:hint="eastAsia"/>
          <w:lang w:eastAsia="ja-JP"/>
        </w:rPr>
        <w:t>.</w:t>
      </w:r>
    </w:p>
    <w:p w14:paraId="35F67DA0" w14:textId="77777777" w:rsidR="00BD40C6" w:rsidRPr="00EA4F84" w:rsidRDefault="00BD40C6" w:rsidP="00BD40C6">
      <w:pPr>
        <w:rPr>
          <w:lang w:eastAsia="ja-JP"/>
        </w:rPr>
      </w:pPr>
    </w:p>
    <w:p w14:paraId="4C3E394B" w14:textId="3A3E659A" w:rsidR="00BD40C6" w:rsidRPr="00EA4F84" w:rsidRDefault="00BD40C6" w:rsidP="001F298F">
      <w:pPr>
        <w:pStyle w:val="DecisionParagraphs"/>
        <w:rPr>
          <w:lang w:eastAsia="ja-JP"/>
        </w:rPr>
      </w:pPr>
      <w:r w:rsidRPr="00EA4F84">
        <w:rPr>
          <w:lang w:eastAsia="ja-JP"/>
        </w:rPr>
        <w:fldChar w:fldCharType="begin"/>
      </w:r>
      <w:r w:rsidRPr="00EA4F84">
        <w:rPr>
          <w:lang w:eastAsia="ja-JP"/>
        </w:rPr>
        <w:instrText xml:space="preserve"> AUTONUM  </w:instrText>
      </w:r>
      <w:r w:rsidRPr="00EA4F84">
        <w:rPr>
          <w:lang w:eastAsia="ja-JP"/>
        </w:rPr>
        <w:fldChar w:fldCharType="end"/>
      </w:r>
      <w:r w:rsidRPr="00EA4F84">
        <w:rPr>
          <w:lang w:eastAsia="ja-JP"/>
        </w:rPr>
        <w:tab/>
        <w:t xml:space="preserve">Le TC est invité à envisager d'inviter </w:t>
      </w:r>
      <w:r w:rsidR="006A31DD">
        <w:rPr>
          <w:lang w:eastAsia="ja-JP"/>
        </w:rPr>
        <w:t xml:space="preserve">les </w:t>
      </w:r>
      <w:r w:rsidRPr="00EA4F84">
        <w:rPr>
          <w:lang w:eastAsia="ja-JP"/>
        </w:rPr>
        <w:t>Pays</w:t>
      </w:r>
      <w:r w:rsidR="006A31DD">
        <w:rPr>
          <w:lang w:eastAsia="ja-JP"/>
        </w:rPr>
        <w:noBreakHyphen/>
      </w:r>
      <w:r w:rsidRPr="00EA4F84">
        <w:rPr>
          <w:lang w:eastAsia="ja-JP"/>
        </w:rPr>
        <w:t xml:space="preserve">Bas </w:t>
      </w:r>
      <w:r w:rsidR="006A31DD">
        <w:rPr>
          <w:lang w:eastAsia="ja-JP"/>
        </w:rPr>
        <w:t>(</w:t>
      </w:r>
      <w:r w:rsidR="006A31DD" w:rsidRPr="00EA4F84">
        <w:rPr>
          <w:lang w:eastAsia="ja-JP"/>
        </w:rPr>
        <w:t>Royaume des</w:t>
      </w:r>
      <w:r w:rsidR="006A31DD">
        <w:rPr>
          <w:lang w:eastAsia="ja-JP"/>
        </w:rPr>
        <w:t>)</w:t>
      </w:r>
      <w:r w:rsidR="006A31DD" w:rsidRPr="00EA4F84">
        <w:rPr>
          <w:lang w:eastAsia="ja-JP"/>
        </w:rPr>
        <w:t xml:space="preserve"> </w:t>
      </w:r>
      <w:r w:rsidRPr="00EA4F84">
        <w:rPr>
          <w:lang w:eastAsia="ja-JP"/>
        </w:rPr>
        <w:t xml:space="preserve">à </w:t>
      </w:r>
      <w:r w:rsidR="00361889" w:rsidRPr="00EA4F84">
        <w:rPr>
          <w:lang w:eastAsia="ja-JP"/>
        </w:rPr>
        <w:t xml:space="preserve">coordonner </w:t>
      </w:r>
      <w:r w:rsidRPr="00EA4F84">
        <w:rPr>
          <w:lang w:eastAsia="ja-JP"/>
        </w:rPr>
        <w:t>la mise à jour de la liste des marqueurs moléculaires utilisés par culture élaborée par l'UPOV et disponible sur la page</w:t>
      </w:r>
      <w:r w:rsidR="006A31DD">
        <w:rPr>
          <w:lang w:eastAsia="ja-JP"/>
        </w:rPr>
        <w:t> w</w:t>
      </w:r>
      <w:r w:rsidRPr="00EA4F84">
        <w:rPr>
          <w:lang w:eastAsia="ja-JP"/>
        </w:rPr>
        <w:t xml:space="preserve">eb de la </w:t>
      </w:r>
      <w:r w:rsidR="001F298F" w:rsidRPr="00EA4F84">
        <w:rPr>
          <w:lang w:eastAsia="ja-JP"/>
        </w:rPr>
        <w:t xml:space="preserve">cinquante-huitième </w:t>
      </w:r>
      <w:r w:rsidRPr="00EA4F84">
        <w:rPr>
          <w:lang w:eastAsia="ja-JP"/>
        </w:rPr>
        <w:t xml:space="preserve">session du TC. </w:t>
      </w:r>
    </w:p>
    <w:p w14:paraId="09654555" w14:textId="2C61F37C" w:rsidR="00773ED0" w:rsidRPr="00EA4F84" w:rsidRDefault="0035048E" w:rsidP="00AF5629">
      <w:pPr>
        <w:pStyle w:val="Heading2"/>
        <w:rPr>
          <w:lang w:val="fr-FR" w:eastAsia="ja-JP"/>
        </w:rPr>
      </w:pPr>
      <w:bookmarkStart w:id="29" w:name="_Toc210661225"/>
      <w:r w:rsidRPr="00EA4F84">
        <w:rPr>
          <w:lang w:val="fr-FR"/>
        </w:rPr>
        <w:lastRenderedPageBreak/>
        <w:t>Ensembles communs de marqueurs moléculaires pour l'identification des variétés</w:t>
      </w:r>
      <w:bookmarkEnd w:id="29"/>
    </w:p>
    <w:p w14:paraId="50592673" w14:textId="77777777" w:rsidR="00773ED0" w:rsidRPr="00EA4F84" w:rsidRDefault="00773ED0" w:rsidP="00A00571">
      <w:pPr>
        <w:pStyle w:val="ListParagraph"/>
        <w:keepNext/>
        <w:tabs>
          <w:tab w:val="left" w:pos="567"/>
        </w:tabs>
        <w:ind w:left="0"/>
        <w:jc w:val="both"/>
        <w:rPr>
          <w:rFonts w:eastAsiaTheme="minorEastAsia"/>
          <w:lang w:eastAsia="ja-JP"/>
        </w:rPr>
      </w:pPr>
    </w:p>
    <w:p w14:paraId="0FBA0A2C" w14:textId="0D59DE81" w:rsidR="00F37B93" w:rsidRPr="00EA4F84" w:rsidRDefault="00F37B93" w:rsidP="00F37B93">
      <w:pPr>
        <w:pStyle w:val="Heading3"/>
        <w:rPr>
          <w:lang w:val="fr-FR" w:eastAsia="ja-JP"/>
        </w:rPr>
      </w:pPr>
      <w:bookmarkStart w:id="30" w:name="_Toc210661226"/>
      <w:r w:rsidRPr="00EA4F84">
        <w:rPr>
          <w:lang w:val="fr-FR" w:eastAsia="ja-JP"/>
        </w:rPr>
        <w:t>Analyse prospective</w:t>
      </w:r>
      <w:bookmarkEnd w:id="30"/>
    </w:p>
    <w:p w14:paraId="2DCC6C7E" w14:textId="77777777" w:rsidR="00F37B93" w:rsidRPr="00EA4F84" w:rsidRDefault="00F37B93" w:rsidP="00A00571">
      <w:pPr>
        <w:pStyle w:val="ListParagraph"/>
        <w:keepNext/>
        <w:tabs>
          <w:tab w:val="left" w:pos="567"/>
        </w:tabs>
        <w:ind w:left="0"/>
        <w:jc w:val="both"/>
        <w:rPr>
          <w:rFonts w:eastAsiaTheme="minorEastAsia"/>
          <w:lang w:eastAsia="ja-JP"/>
        </w:rPr>
      </w:pPr>
    </w:p>
    <w:p w14:paraId="5526299C" w14:textId="77777777" w:rsidR="00F37B93" w:rsidRPr="00EA4F84" w:rsidRDefault="00EA4921" w:rsidP="00FE38C7">
      <w:r w:rsidRPr="00EA4F84">
        <w:fldChar w:fldCharType="begin"/>
      </w:r>
      <w:r w:rsidRPr="00EA4F84">
        <w:instrText xml:space="preserve"> AUTONUM  </w:instrText>
      </w:r>
      <w:r w:rsidRPr="00EA4F84">
        <w:fldChar w:fldCharType="end"/>
      </w:r>
      <w:r w:rsidRPr="00EA4F84">
        <w:tab/>
      </w:r>
      <w:r w:rsidR="00361889" w:rsidRPr="00EA4F84">
        <w:t>L'exercice d'analyse prospective</w:t>
      </w:r>
      <w:r w:rsidR="00C94359" w:rsidRPr="00EA4F84">
        <w:t xml:space="preserve"> de l'UPOV </w:t>
      </w:r>
      <w:r w:rsidR="00361889" w:rsidRPr="00EA4F84">
        <w:t xml:space="preserve">résumé dans le Plan stratégique de l'UPOV pour 2026-2029 (document C/59/14) a mis en évidence le recours croissant à l'analyse de l'ADN à </w:t>
      </w:r>
      <w:r w:rsidR="00C94359" w:rsidRPr="00EA4F84">
        <w:t>des fins d'</w:t>
      </w:r>
      <w:r w:rsidR="00361889" w:rsidRPr="00EA4F84">
        <w:t>identification des variétés</w:t>
      </w:r>
      <w:r w:rsidR="00C94359" w:rsidRPr="00EA4F84">
        <w:t xml:space="preserve">. Il a également </w:t>
      </w:r>
      <w:r w:rsidR="00361889" w:rsidRPr="00EA4F84">
        <w:t xml:space="preserve">appelé l'UPOV à élaborer des normes dans ce domaine et à explorer les moyens de gérer les données et de collaborer dans le domaine des activités liées à la science des données.  </w:t>
      </w:r>
    </w:p>
    <w:p w14:paraId="792BB336" w14:textId="77777777" w:rsidR="00F37B93" w:rsidRPr="00EA4F84" w:rsidRDefault="00F37B93" w:rsidP="00F37B93"/>
    <w:p w14:paraId="094C606C" w14:textId="50E9E3E9" w:rsidR="00F37B93" w:rsidRPr="00EA4F84" w:rsidRDefault="008C6931" w:rsidP="00F37B93">
      <w:pPr>
        <w:pStyle w:val="Heading3"/>
        <w:rPr>
          <w:lang w:val="fr-FR"/>
        </w:rPr>
      </w:pPr>
      <w:bookmarkStart w:id="31" w:name="_Toc210661227"/>
      <w:r>
        <w:rPr>
          <w:lang w:val="fr-FR"/>
        </w:rPr>
        <w:t>Faits nouveaux</w:t>
      </w:r>
      <w:r w:rsidR="00F37B93" w:rsidRPr="00EA4F84">
        <w:rPr>
          <w:lang w:val="fr-FR"/>
        </w:rPr>
        <w:t xml:space="preserve"> au sein du Groupe de travail technique sur les méthodes et techniques d'examen</w:t>
      </w:r>
      <w:bookmarkEnd w:id="31"/>
    </w:p>
    <w:p w14:paraId="19CA48EC" w14:textId="77777777" w:rsidR="00F37B93" w:rsidRPr="00EA4F84" w:rsidRDefault="00F37B93" w:rsidP="00F37B93"/>
    <w:p w14:paraId="494A1816" w14:textId="0DC8D7D9" w:rsidR="00752016" w:rsidRPr="00EA4F84" w:rsidRDefault="00F37B93" w:rsidP="00BF7C58">
      <w:r w:rsidRPr="00EA4F84">
        <w:fldChar w:fldCharType="begin"/>
      </w:r>
      <w:r w:rsidRPr="00EA4F84">
        <w:instrText xml:space="preserve"> AUTONUM  </w:instrText>
      </w:r>
      <w:r w:rsidRPr="00EA4F84">
        <w:fldChar w:fldCharType="end"/>
      </w:r>
      <w:r w:rsidRPr="00EA4F84">
        <w:tab/>
      </w:r>
      <w:r w:rsidR="00064944" w:rsidRPr="00EA4F84">
        <w:t>L</w:t>
      </w:r>
      <w:r w:rsidR="008C6931">
        <w:t>e TWM</w:t>
      </w:r>
      <w:r w:rsidR="0035048E" w:rsidRPr="00EA4F84">
        <w:rPr>
          <w:rStyle w:val="FootnoteReference"/>
        </w:rPr>
        <w:footnoteReference w:id="19"/>
      </w:r>
      <w:r w:rsidR="00064944" w:rsidRPr="00EA4F84">
        <w:t xml:space="preserve">  a examiné la création d'ensembles communs de marqueurs moléculaires pour l'identification des variétés et a convenu d'inviter l'UPOV, l'OCDE et l'ISTA à examiner plus avant les défis et les opportunités de cette initiative, tels que les cultures, l'échelle d'harmonisation (par exemple régionale, mondiale) et les aspects liés aux marqueurs moléculaires. Le TWM a convenu que la collaboration avec les obtenteurs pourrait faciliter la sélection d'ensembles de marqueurs représentant ces programmes d'obtention.</w:t>
      </w:r>
    </w:p>
    <w:p w14:paraId="42A6E392" w14:textId="77777777" w:rsidR="00646FDE" w:rsidRPr="00EA4F84" w:rsidRDefault="00646FDE" w:rsidP="0001494C"/>
    <w:p w14:paraId="517CB2F5" w14:textId="263EABE3" w:rsidR="00752016" w:rsidRPr="00EA4F84" w:rsidRDefault="00752016" w:rsidP="0001494C">
      <w:pPr>
        <w:rPr>
          <w:lang w:eastAsia="ja-JP"/>
        </w:rPr>
      </w:pPr>
      <w:r w:rsidRPr="00EA4F84">
        <w:rPr>
          <w:lang w:eastAsia="ja-JP"/>
        </w:rPr>
        <w:fldChar w:fldCharType="begin"/>
      </w:r>
      <w:r w:rsidRPr="00EA4F84">
        <w:rPr>
          <w:lang w:eastAsia="ja-JP"/>
        </w:rPr>
        <w:instrText xml:space="preserve"> AUTONUM  </w:instrText>
      </w:r>
      <w:r w:rsidRPr="00EA4F84">
        <w:rPr>
          <w:lang w:eastAsia="ja-JP"/>
        </w:rPr>
        <w:fldChar w:fldCharType="end"/>
      </w:r>
      <w:r w:rsidRPr="00EA4F84">
        <w:rPr>
          <w:lang w:eastAsia="ja-JP"/>
        </w:rPr>
        <w:tab/>
      </w:r>
      <w:r w:rsidR="00C1212B" w:rsidRPr="00EA4F84">
        <w:rPr>
          <w:lang w:eastAsia="ja-JP"/>
        </w:rPr>
        <w:t xml:space="preserve">À la suite de la session du TWM, </w:t>
      </w:r>
      <w:r w:rsidR="0013452A" w:rsidRPr="00EA4F84">
        <w:rPr>
          <w:lang w:eastAsia="ja-JP"/>
        </w:rPr>
        <w:t xml:space="preserve">la réunion annuelle des régimes semenciers de l'OCDE </w:t>
      </w:r>
      <w:r w:rsidR="00F82AE5" w:rsidRPr="00EA4F84">
        <w:rPr>
          <w:lang w:eastAsia="ja-JP"/>
        </w:rPr>
        <w:t xml:space="preserve">a approuvé </w:t>
      </w:r>
      <w:r w:rsidR="008C3929" w:rsidRPr="00EA4F84">
        <w:rPr>
          <w:lang w:eastAsia="ja-JP"/>
        </w:rPr>
        <w:t xml:space="preserve">la collaboration des régimes semenciers de l'OCDE avec l'ISTA et l'UPOV afin de commencer à travailler à l'établissement d'ensembles communs de marqueurs moléculaires pour l'identification des variétés. </w:t>
      </w:r>
      <w:r w:rsidR="00873F5B" w:rsidRPr="00EA4F84">
        <w:rPr>
          <w:lang w:eastAsia="ja-JP"/>
        </w:rPr>
        <w:t xml:space="preserve">Les régimes semenciers de l'OCDE </w:t>
      </w:r>
      <w:r w:rsidR="00F024D6" w:rsidRPr="00EA4F84">
        <w:rPr>
          <w:lang w:eastAsia="ja-JP"/>
        </w:rPr>
        <w:t>ont convenu d'inviter les autorités nationales désignées (</w:t>
      </w:r>
      <w:r w:rsidR="00E57E20" w:rsidRPr="00EA4F84">
        <w:rPr>
          <w:lang w:eastAsia="ja-JP"/>
        </w:rPr>
        <w:t>AND</w:t>
      </w:r>
      <w:r w:rsidR="00F024D6" w:rsidRPr="00EA4F84">
        <w:rPr>
          <w:lang w:eastAsia="ja-JP"/>
        </w:rPr>
        <w:t xml:space="preserve">) </w:t>
      </w:r>
      <w:r w:rsidR="00E57E20" w:rsidRPr="00EA4F84">
        <w:rPr>
          <w:lang w:eastAsia="ja-JP"/>
        </w:rPr>
        <w:t xml:space="preserve">à fournir </w:t>
      </w:r>
      <w:r w:rsidR="00332065" w:rsidRPr="00EA4F84">
        <w:rPr>
          <w:lang w:eastAsia="ja-JP"/>
        </w:rPr>
        <w:t xml:space="preserve">les noms </w:t>
      </w:r>
      <w:r w:rsidR="00E57E20" w:rsidRPr="00EA4F84">
        <w:rPr>
          <w:lang w:eastAsia="ja-JP"/>
        </w:rPr>
        <w:t>d'experts afin de commencer à travailler sur ce sujet</w:t>
      </w:r>
      <w:r w:rsidR="00A07516" w:rsidRPr="00EA4F84">
        <w:rPr>
          <w:rStyle w:val="FootnoteReference"/>
          <w:lang w:eastAsia="ja-JP"/>
        </w:rPr>
        <w:t xml:space="preserve">. </w:t>
      </w:r>
      <w:r w:rsidR="00A07516" w:rsidRPr="00EA4F84">
        <w:rPr>
          <w:rStyle w:val="FootnoteReference"/>
          <w:lang w:eastAsia="ja-JP"/>
        </w:rPr>
        <w:footnoteReference w:id="20"/>
      </w:r>
    </w:p>
    <w:p w14:paraId="0D8CC3FB" w14:textId="77777777" w:rsidR="00B63F38" w:rsidRPr="00EA4F84" w:rsidRDefault="00B63F38" w:rsidP="00EF4B00">
      <w:pPr>
        <w:rPr>
          <w:snapToGrid w:val="0"/>
          <w:lang w:eastAsia="ja-JP"/>
        </w:rPr>
      </w:pPr>
    </w:p>
    <w:p w14:paraId="754791A4" w14:textId="606741C0" w:rsidR="00726D57" w:rsidRPr="00EA4F84" w:rsidRDefault="002E5282" w:rsidP="00060045">
      <w:pPr>
        <w:pStyle w:val="DecisionParagraphs"/>
        <w:rPr>
          <w:snapToGrid w:val="0"/>
          <w:lang w:eastAsia="ja-JP"/>
        </w:rPr>
      </w:pPr>
      <w:r w:rsidRPr="00EA4F84">
        <w:rPr>
          <w:snapToGrid w:val="0"/>
          <w:lang w:eastAsia="ja-JP"/>
        </w:rPr>
        <w:fldChar w:fldCharType="begin"/>
      </w:r>
      <w:r w:rsidRPr="00EA4F84">
        <w:rPr>
          <w:snapToGrid w:val="0"/>
          <w:lang w:eastAsia="ja-JP"/>
        </w:rPr>
        <w:instrText xml:space="preserve"> AUTONUM  </w:instrText>
      </w:r>
      <w:r w:rsidRPr="00EA4F84">
        <w:rPr>
          <w:snapToGrid w:val="0"/>
          <w:lang w:eastAsia="ja-JP"/>
        </w:rPr>
        <w:fldChar w:fldCharType="end"/>
      </w:r>
      <w:r w:rsidRPr="00EA4F84">
        <w:rPr>
          <w:snapToGrid w:val="0"/>
          <w:lang w:eastAsia="ja-JP"/>
        </w:rPr>
        <w:tab/>
        <w:t xml:space="preserve">Le TC </w:t>
      </w:r>
      <w:r w:rsidR="00361889" w:rsidRPr="00EA4F84">
        <w:rPr>
          <w:snapToGrid w:val="0"/>
          <w:lang w:eastAsia="ja-JP"/>
        </w:rPr>
        <w:t xml:space="preserve">et le CAJ sont </w:t>
      </w:r>
      <w:r w:rsidRPr="00EA4F84">
        <w:rPr>
          <w:snapToGrid w:val="0"/>
          <w:lang w:eastAsia="ja-JP"/>
        </w:rPr>
        <w:t xml:space="preserve">invités à </w:t>
      </w:r>
      <w:r w:rsidR="00726D57" w:rsidRPr="00EA4F84">
        <w:rPr>
          <w:snapToGrid w:val="0"/>
          <w:lang w:eastAsia="ja-JP"/>
        </w:rPr>
        <w:t>:</w:t>
      </w:r>
    </w:p>
    <w:p w14:paraId="23D02233" w14:textId="77777777" w:rsidR="00726D57" w:rsidRPr="00EA4F84" w:rsidRDefault="00726D57" w:rsidP="00060045">
      <w:pPr>
        <w:pStyle w:val="DecisionParagraphs"/>
        <w:rPr>
          <w:snapToGrid w:val="0"/>
          <w:lang w:eastAsia="ja-JP"/>
        </w:rPr>
      </w:pPr>
    </w:p>
    <w:p w14:paraId="2CC2A13D" w14:textId="1A2A9CB9" w:rsidR="00AA6936" w:rsidRPr="00EA4F84" w:rsidRDefault="00726D57" w:rsidP="00060045">
      <w:pPr>
        <w:pStyle w:val="DecisionParagraphs"/>
        <w:rPr>
          <w:snapToGrid w:val="0"/>
          <w:lang w:eastAsia="ja-JP"/>
        </w:rPr>
      </w:pPr>
      <w:r w:rsidRPr="00EA4F84">
        <w:rPr>
          <w:snapToGrid w:val="0"/>
          <w:lang w:eastAsia="ja-JP"/>
        </w:rPr>
        <w:tab/>
        <w:t>(a)</w:t>
      </w:r>
      <w:r w:rsidRPr="00EA4F84">
        <w:rPr>
          <w:snapToGrid w:val="0"/>
          <w:lang w:eastAsia="ja-JP"/>
        </w:rPr>
        <w:tab/>
      </w:r>
      <w:r w:rsidR="00361889" w:rsidRPr="00EA4F84">
        <w:rPr>
          <w:snapToGrid w:val="0"/>
          <w:lang w:eastAsia="ja-JP"/>
        </w:rPr>
        <w:t xml:space="preserve">approuver la collaboration </w:t>
      </w:r>
      <w:r w:rsidR="00CF689F" w:rsidRPr="00EA4F84">
        <w:rPr>
          <w:snapToGrid w:val="0"/>
          <w:lang w:eastAsia="ja-JP"/>
        </w:rPr>
        <w:t xml:space="preserve">avec l'OCDE et l'ISTA en vue </w:t>
      </w:r>
      <w:r w:rsidR="00DC3382" w:rsidRPr="00EA4F84">
        <w:rPr>
          <w:rFonts w:hint="eastAsia"/>
          <w:lang w:eastAsia="ja-JP"/>
        </w:rPr>
        <w:t xml:space="preserve">d'établir des ensembles communs de </w:t>
      </w:r>
      <w:r w:rsidR="00DC3382" w:rsidRPr="00EA4F84">
        <w:t xml:space="preserve">marqueurs moléculaires pour l'identification des variétés </w:t>
      </w:r>
      <w:r w:rsidRPr="00EA4F84">
        <w:rPr>
          <w:snapToGrid w:val="0"/>
          <w:lang w:eastAsia="ja-JP"/>
        </w:rPr>
        <w:t xml:space="preserve">; </w:t>
      </w:r>
    </w:p>
    <w:p w14:paraId="0DE974D9" w14:textId="77777777" w:rsidR="00AA6936" w:rsidRPr="00EA4F84" w:rsidRDefault="00AA6936" w:rsidP="00060045">
      <w:pPr>
        <w:pStyle w:val="DecisionParagraphs"/>
        <w:rPr>
          <w:snapToGrid w:val="0"/>
          <w:lang w:eastAsia="ja-JP"/>
        </w:rPr>
      </w:pPr>
    </w:p>
    <w:p w14:paraId="44A495CF" w14:textId="0DEF88C9" w:rsidR="00DC3382" w:rsidRPr="00EA4F84" w:rsidRDefault="00AA6936" w:rsidP="00060045">
      <w:pPr>
        <w:pStyle w:val="DecisionParagraphs"/>
        <w:rPr>
          <w:snapToGrid w:val="0"/>
          <w:lang w:eastAsia="ja-JP"/>
        </w:rPr>
      </w:pPr>
      <w:r w:rsidRPr="00EA4F84">
        <w:rPr>
          <w:snapToGrid w:val="0"/>
          <w:lang w:eastAsia="ja-JP"/>
        </w:rPr>
        <w:tab/>
        <w:t>(b)</w:t>
      </w:r>
      <w:r w:rsidRPr="00EA4F84">
        <w:rPr>
          <w:snapToGrid w:val="0"/>
          <w:lang w:eastAsia="ja-JP"/>
        </w:rPr>
        <w:tab/>
        <w:t xml:space="preserve">examiner s'il convient de </w:t>
      </w:r>
      <w:r w:rsidR="00FF4213" w:rsidRPr="00EA4F84">
        <w:rPr>
          <w:snapToGrid w:val="0"/>
          <w:lang w:eastAsia="ja-JP"/>
        </w:rPr>
        <w:t xml:space="preserve">sélectionner </w:t>
      </w:r>
      <w:r w:rsidR="00361889" w:rsidRPr="00EA4F84">
        <w:rPr>
          <w:snapToGrid w:val="0"/>
          <w:lang w:eastAsia="ja-JP"/>
        </w:rPr>
        <w:t xml:space="preserve">un </w:t>
      </w:r>
      <w:r w:rsidR="00FF4213" w:rsidRPr="00EA4F84">
        <w:rPr>
          <w:snapToGrid w:val="0"/>
          <w:lang w:eastAsia="ja-JP"/>
        </w:rPr>
        <w:t xml:space="preserve">expert et/ou des experts intéressés pour </w:t>
      </w:r>
      <w:r w:rsidR="00361889" w:rsidRPr="00EA4F84">
        <w:rPr>
          <w:snapToGrid w:val="0"/>
          <w:lang w:eastAsia="ja-JP"/>
        </w:rPr>
        <w:t xml:space="preserve">coordonner </w:t>
      </w:r>
      <w:r w:rsidR="00F470DB" w:rsidRPr="00EA4F84">
        <w:rPr>
          <w:snapToGrid w:val="0"/>
          <w:lang w:eastAsia="ja-JP"/>
        </w:rPr>
        <w:t xml:space="preserve">les travaux sur ce sujet ; </w:t>
      </w:r>
      <w:r w:rsidR="00726D57" w:rsidRPr="00EA4F84">
        <w:rPr>
          <w:snapToGrid w:val="0"/>
          <w:lang w:eastAsia="ja-JP"/>
        </w:rPr>
        <w:t>et</w:t>
      </w:r>
    </w:p>
    <w:p w14:paraId="33426E8B" w14:textId="77777777" w:rsidR="00726D57" w:rsidRPr="00EA4F84" w:rsidRDefault="00726D57" w:rsidP="00060045">
      <w:pPr>
        <w:pStyle w:val="DecisionParagraphs"/>
        <w:rPr>
          <w:snapToGrid w:val="0"/>
          <w:lang w:eastAsia="ja-JP"/>
        </w:rPr>
      </w:pPr>
    </w:p>
    <w:p w14:paraId="7075F582" w14:textId="395F38EC" w:rsidR="00726D57" w:rsidRPr="00EA4F84" w:rsidRDefault="00726D57" w:rsidP="00060045">
      <w:pPr>
        <w:pStyle w:val="DecisionParagraphs"/>
        <w:rPr>
          <w:snapToGrid w:val="0"/>
          <w:lang w:eastAsia="ja-JP"/>
        </w:rPr>
      </w:pPr>
      <w:r w:rsidRPr="00EA4F84">
        <w:rPr>
          <w:snapToGrid w:val="0"/>
          <w:lang w:eastAsia="ja-JP"/>
        </w:rPr>
        <w:tab/>
      </w:r>
      <w:r w:rsidR="00F470DB" w:rsidRPr="00EA4F84">
        <w:rPr>
          <w:snapToGrid w:val="0"/>
          <w:lang w:eastAsia="ja-JP"/>
        </w:rPr>
        <w:t>c</w:t>
      </w:r>
      <w:r w:rsidRPr="00EA4F84">
        <w:rPr>
          <w:snapToGrid w:val="0"/>
          <w:lang w:eastAsia="ja-JP"/>
        </w:rPr>
        <w:t>)</w:t>
      </w:r>
      <w:r w:rsidRPr="00EA4F84">
        <w:rPr>
          <w:snapToGrid w:val="0"/>
          <w:lang w:eastAsia="ja-JP"/>
        </w:rPr>
        <w:tab/>
        <w:t>note</w:t>
      </w:r>
      <w:r w:rsidR="00060045">
        <w:rPr>
          <w:snapToGrid w:val="0"/>
          <w:lang w:eastAsia="ja-JP"/>
        </w:rPr>
        <w:t>r</w:t>
      </w:r>
      <w:r w:rsidRPr="00EA4F84">
        <w:rPr>
          <w:snapToGrid w:val="0"/>
          <w:lang w:eastAsia="ja-JP"/>
        </w:rPr>
        <w:t xml:space="preserve"> que </w:t>
      </w:r>
      <w:r w:rsidR="0090265A" w:rsidRPr="00EA4F84">
        <w:rPr>
          <w:snapToGrid w:val="0"/>
          <w:lang w:eastAsia="ja-JP"/>
        </w:rPr>
        <w:t xml:space="preserve">l'OCDE a approuvé le </w:t>
      </w:r>
      <w:r w:rsidR="00AA6936" w:rsidRPr="00EA4F84">
        <w:rPr>
          <w:snapToGrid w:val="0"/>
          <w:lang w:eastAsia="ja-JP"/>
        </w:rPr>
        <w:t xml:space="preserve">lancement des travaux </w:t>
      </w:r>
      <w:r w:rsidR="00F470DB" w:rsidRPr="00EA4F84">
        <w:rPr>
          <w:snapToGrid w:val="0"/>
          <w:lang w:eastAsia="ja-JP"/>
        </w:rPr>
        <w:t xml:space="preserve">visant à établir </w:t>
      </w:r>
      <w:r w:rsidR="00AA6936" w:rsidRPr="00EA4F84">
        <w:rPr>
          <w:snapToGrid w:val="0"/>
          <w:lang w:eastAsia="ja-JP"/>
        </w:rPr>
        <w:t>des ensembles communs de marqueurs moléculaires pour l'identification des variétés, en collaboration avec l'ISTA et l'UPOV.</w:t>
      </w:r>
    </w:p>
    <w:p w14:paraId="05D549FA" w14:textId="77777777" w:rsidR="00AA6936" w:rsidRPr="00EA4F84" w:rsidRDefault="00AA6936" w:rsidP="00FE38C7"/>
    <w:p w14:paraId="782BDC71" w14:textId="77777777" w:rsidR="006B2C85" w:rsidRPr="00EA4F84" w:rsidRDefault="006B2C85" w:rsidP="006B2C85">
      <w:pPr>
        <w:pStyle w:val="ListParagraph"/>
        <w:ind w:left="0"/>
        <w:jc w:val="both"/>
        <w:rPr>
          <w:rFonts w:eastAsiaTheme="minorEastAsia"/>
          <w:lang w:eastAsia="ja-JP"/>
        </w:rPr>
      </w:pPr>
    </w:p>
    <w:p w14:paraId="45B4CC6B" w14:textId="2916AB67" w:rsidR="006B2C85" w:rsidRPr="00EA4F84" w:rsidRDefault="006B2C85" w:rsidP="00AF5629">
      <w:pPr>
        <w:pStyle w:val="Heading2"/>
        <w:rPr>
          <w:lang w:val="fr-FR" w:eastAsia="ja-JP"/>
        </w:rPr>
      </w:pPr>
      <w:bookmarkStart w:id="32" w:name="_Toc210661228"/>
      <w:r w:rsidRPr="00EA4F84">
        <w:rPr>
          <w:lang w:val="fr-FR"/>
        </w:rPr>
        <w:t xml:space="preserve">Informations sur l'utilisation des techniques moléculaires dans chaque organisation </w:t>
      </w:r>
      <w:r w:rsidR="00792A2B" w:rsidRPr="00EA4F84">
        <w:rPr>
          <w:lang w:val="fr-FR"/>
        </w:rPr>
        <w:t xml:space="preserve">: </w:t>
      </w:r>
      <w:r w:rsidR="00E52427" w:rsidRPr="00EA4F84">
        <w:rPr>
          <w:lang w:val="fr-FR"/>
        </w:rPr>
        <w:t xml:space="preserve">possibilité </w:t>
      </w:r>
      <w:r w:rsidR="00792A2B" w:rsidRPr="00EA4F84">
        <w:rPr>
          <w:lang w:val="fr-FR"/>
        </w:rPr>
        <w:t>d'une réunion conjointe</w:t>
      </w:r>
      <w:bookmarkEnd w:id="32"/>
      <w:r w:rsidR="00792A2B" w:rsidRPr="00EA4F84">
        <w:rPr>
          <w:lang w:val="fr-FR"/>
        </w:rPr>
        <w:t xml:space="preserve"> </w:t>
      </w:r>
    </w:p>
    <w:p w14:paraId="4412F7F7" w14:textId="77777777" w:rsidR="006B2C85" w:rsidRPr="00EA4F84" w:rsidRDefault="006B2C85" w:rsidP="006B2C85">
      <w:pPr>
        <w:pStyle w:val="ListParagraph"/>
        <w:ind w:left="0"/>
        <w:jc w:val="both"/>
        <w:rPr>
          <w:rFonts w:eastAsiaTheme="minorEastAsia"/>
          <w:lang w:eastAsia="ja-JP"/>
        </w:rPr>
      </w:pPr>
    </w:p>
    <w:p w14:paraId="26BFA96E" w14:textId="77777777" w:rsidR="006B2C85" w:rsidRPr="00EA4F84" w:rsidRDefault="006B2C85" w:rsidP="006B2C85">
      <w:pPr>
        <w:rPr>
          <w:lang w:eastAsia="ja-JP"/>
        </w:rPr>
      </w:pPr>
      <w:r w:rsidRPr="00EA4F84">
        <w:fldChar w:fldCharType="begin"/>
      </w:r>
      <w:r w:rsidRPr="00EA4F84">
        <w:instrText xml:space="preserve"> AUTONUM  </w:instrText>
      </w:r>
      <w:r w:rsidRPr="00EA4F84">
        <w:fldChar w:fldCharType="end"/>
      </w:r>
      <w:r w:rsidRPr="00EA4F84">
        <w:tab/>
        <w:t>Le TWM a examiné la possibilité d'organiser une réunion conjointe avec des participants du TWM, des programmes semenciers de l'OCDE et du Comité des variétés de l'ISTA afin de discuter de la coopération en matière d'utilisation des marqueurs moléculaires aux fins de chaque organisation. Le TWM est convenu que l'organisation d'une réunion conjointe avec des experts des trois organisations nécessiterait des dispositions spécifiques et devrait faire l'objet de discussions plus approfondies entre l'UPOV, l'OCDE et l'ISTA.</w:t>
      </w:r>
    </w:p>
    <w:p w14:paraId="21D3AD9D" w14:textId="77777777" w:rsidR="006B2C85" w:rsidRPr="00EA4F84" w:rsidRDefault="006B2C85" w:rsidP="006B2C85">
      <w:pPr>
        <w:pStyle w:val="ListParagraph"/>
        <w:ind w:left="0"/>
        <w:jc w:val="both"/>
        <w:rPr>
          <w:rFonts w:eastAsiaTheme="minorEastAsia"/>
          <w:lang w:eastAsia="ja-JP"/>
        </w:rPr>
      </w:pPr>
    </w:p>
    <w:p w14:paraId="50B832E8" w14:textId="74524308" w:rsidR="006B2C85" w:rsidRPr="00EA4F84" w:rsidRDefault="006B2C85" w:rsidP="006B2C85">
      <w:pPr>
        <w:pStyle w:val="ListParagraph"/>
        <w:ind w:left="0"/>
        <w:jc w:val="both"/>
      </w:pPr>
      <w:r w:rsidRPr="00EA4F84">
        <w:rPr>
          <w:rFonts w:eastAsiaTheme="minorEastAsia"/>
          <w:lang w:eastAsia="ja-JP"/>
        </w:rPr>
        <w:fldChar w:fldCharType="begin"/>
      </w:r>
      <w:r w:rsidRPr="00EA4F84">
        <w:instrText xml:space="preserve"> AUTONUM  </w:instrText>
      </w:r>
      <w:r w:rsidRPr="00EA4F84">
        <w:rPr>
          <w:rFonts w:eastAsiaTheme="minorEastAsia"/>
          <w:lang w:eastAsia="ja-JP"/>
        </w:rPr>
        <w:fldChar w:fldCharType="end"/>
      </w:r>
      <w:r w:rsidRPr="00EA4F84">
        <w:rPr>
          <w:rFonts w:eastAsiaTheme="minorEastAsia"/>
          <w:lang w:eastAsia="ja-JP"/>
        </w:rPr>
        <w:tab/>
        <w:t xml:space="preserve">Le TC </w:t>
      </w:r>
      <w:r w:rsidR="00C94359" w:rsidRPr="00EA4F84">
        <w:rPr>
          <w:rFonts w:eastAsiaTheme="minorEastAsia"/>
          <w:lang w:eastAsia="ja-JP"/>
        </w:rPr>
        <w:t xml:space="preserve">et le CAJ </w:t>
      </w:r>
      <w:r w:rsidRPr="00EA4F84">
        <w:rPr>
          <w:rFonts w:eastAsiaTheme="minorEastAsia"/>
          <w:lang w:eastAsia="ja-JP"/>
        </w:rPr>
        <w:t xml:space="preserve">pourraient </w:t>
      </w:r>
      <w:r w:rsidR="00C94359" w:rsidRPr="00EA4F84">
        <w:rPr>
          <w:rFonts w:eastAsiaTheme="minorEastAsia"/>
          <w:lang w:eastAsia="ja-JP"/>
        </w:rPr>
        <w:t xml:space="preserve">approuver l'organisation </w:t>
      </w:r>
      <w:r w:rsidRPr="00EA4F84">
        <w:rPr>
          <w:rFonts w:eastAsiaTheme="minorEastAsia"/>
          <w:lang w:eastAsia="ja-JP"/>
        </w:rPr>
        <w:t xml:space="preserve">d'une </w:t>
      </w:r>
      <w:r w:rsidRPr="00EA4F84">
        <w:t xml:space="preserve">réunion conjointe avec des participants de l'UPOV, des programmes de l'OCDE sur les semences et du Comité des variétés de l'ISTA afin de discuter de la coopération en matière d'utilisation des marqueurs moléculaires aux fins de chaque organisation.  En cas de réponse positive, les dispositions relatives à la réunion conjointe seraient soumises à l'examen de l'OCDE et de l'ISTA.  Les futurs hôtes des sessions du TWM pourraient également être consultés à cet égard. </w:t>
      </w:r>
    </w:p>
    <w:p w14:paraId="4585C413" w14:textId="77777777" w:rsidR="006B2C85" w:rsidRPr="00EA4F84" w:rsidRDefault="006B2C85" w:rsidP="006B2C85">
      <w:pPr>
        <w:pStyle w:val="ListParagraph"/>
        <w:ind w:left="0"/>
        <w:jc w:val="both"/>
        <w:rPr>
          <w:rFonts w:eastAsiaTheme="minorEastAsia"/>
          <w:lang w:eastAsia="ja-JP"/>
        </w:rPr>
      </w:pPr>
    </w:p>
    <w:p w14:paraId="37BFE5EB" w14:textId="49F96AD3" w:rsidR="006B2C85" w:rsidRPr="00EA4F84" w:rsidRDefault="006B2C85" w:rsidP="006B2C85">
      <w:pPr>
        <w:pStyle w:val="ListParagraph"/>
        <w:keepNext/>
        <w:keepLines/>
        <w:tabs>
          <w:tab w:val="left" w:pos="5387"/>
        </w:tabs>
        <w:ind w:left="4820"/>
        <w:jc w:val="both"/>
        <w:rPr>
          <w:rFonts w:eastAsiaTheme="minorEastAsia"/>
          <w:i/>
          <w:iCs/>
          <w:lang w:eastAsia="ja-JP"/>
        </w:rPr>
      </w:pPr>
      <w:r w:rsidRPr="00EA4F84">
        <w:rPr>
          <w:rFonts w:eastAsiaTheme="minorEastAsia"/>
          <w:i/>
          <w:iCs/>
          <w:lang w:eastAsia="ja-JP"/>
        </w:rPr>
        <w:lastRenderedPageBreak/>
        <w:fldChar w:fldCharType="begin"/>
      </w:r>
      <w:r w:rsidRPr="00EA4F84">
        <w:instrText xml:space="preserve"> AUTONUM  </w:instrText>
      </w:r>
      <w:r w:rsidRPr="00EA4F84">
        <w:rPr>
          <w:rFonts w:eastAsiaTheme="minorEastAsia"/>
          <w:i/>
          <w:iCs/>
          <w:lang w:eastAsia="ja-JP"/>
        </w:rPr>
        <w:fldChar w:fldCharType="end"/>
      </w:r>
      <w:r w:rsidRPr="00EA4F84">
        <w:rPr>
          <w:rFonts w:eastAsiaTheme="minorEastAsia"/>
          <w:i/>
          <w:iCs/>
          <w:lang w:eastAsia="ja-JP"/>
        </w:rPr>
        <w:tab/>
        <w:t xml:space="preserve">Le TC </w:t>
      </w:r>
      <w:r w:rsidR="00C94359" w:rsidRPr="00EA4F84">
        <w:rPr>
          <w:rFonts w:eastAsiaTheme="minorEastAsia"/>
          <w:i/>
          <w:iCs/>
          <w:lang w:eastAsia="ja-JP"/>
        </w:rPr>
        <w:t xml:space="preserve">et le CAJ sont </w:t>
      </w:r>
      <w:r w:rsidRPr="00EA4F84">
        <w:rPr>
          <w:rFonts w:eastAsiaTheme="minorEastAsia"/>
          <w:i/>
          <w:iCs/>
          <w:lang w:eastAsia="ja-JP"/>
        </w:rPr>
        <w:t xml:space="preserve">invités à </w:t>
      </w:r>
      <w:r w:rsidR="00C94359" w:rsidRPr="00EA4F84">
        <w:rPr>
          <w:rFonts w:eastAsiaTheme="minorEastAsia"/>
          <w:i/>
          <w:iCs/>
          <w:lang w:eastAsia="ja-JP"/>
        </w:rPr>
        <w:t xml:space="preserve">approuver l'organisation </w:t>
      </w:r>
      <w:r w:rsidRPr="00EA4F84">
        <w:rPr>
          <w:rFonts w:eastAsiaTheme="minorEastAsia"/>
          <w:i/>
          <w:iCs/>
          <w:lang w:eastAsia="ja-JP"/>
        </w:rPr>
        <w:t xml:space="preserve">d'une réunion conjointe avec des participants de l'UPOV, des programmes semenciers de l'OCDE et du Comité des variétés de l'ISTA afin de discuter de la coopération en matière d'utilisation des marqueurs moléculaires aux fins de chaque organisation. </w:t>
      </w:r>
    </w:p>
    <w:p w14:paraId="57E43A1E" w14:textId="77777777" w:rsidR="006B2C85" w:rsidRPr="00EA4F84" w:rsidRDefault="006B2C85" w:rsidP="00FE38C7"/>
    <w:p w14:paraId="1D74746F" w14:textId="77777777" w:rsidR="00BF7C58" w:rsidRPr="00EA4F84" w:rsidRDefault="00BF7C58" w:rsidP="00FE38C7"/>
    <w:p w14:paraId="68752683" w14:textId="77777777" w:rsidR="00A00571" w:rsidRPr="00EA4F84" w:rsidRDefault="00A00571" w:rsidP="00FE38C7"/>
    <w:p w14:paraId="38D9EA8D" w14:textId="77777777" w:rsidR="00EF4B00" w:rsidRPr="00EA4F84" w:rsidRDefault="00EF4B00" w:rsidP="00975B88">
      <w:pPr>
        <w:pStyle w:val="Heading1"/>
        <w:rPr>
          <w:snapToGrid w:val="0"/>
          <w:lang w:val="fr-FR" w:eastAsia="ja-JP"/>
        </w:rPr>
      </w:pPr>
      <w:bookmarkStart w:id="33" w:name="_Toc177773948"/>
      <w:bookmarkStart w:id="34" w:name="_Toc210661229"/>
      <w:r w:rsidRPr="00EA4F84">
        <w:rPr>
          <w:snapToGrid w:val="0"/>
          <w:lang w:val="fr-FR" w:eastAsia="ja-JP"/>
        </w:rPr>
        <w:t>Questions pour information</w:t>
      </w:r>
      <w:bookmarkEnd w:id="33"/>
      <w:bookmarkEnd w:id="34"/>
    </w:p>
    <w:bookmarkEnd w:id="21"/>
    <w:p w14:paraId="41B95F77" w14:textId="77777777" w:rsidR="00EF4B00" w:rsidRPr="00EA4F84" w:rsidRDefault="00EF4B00" w:rsidP="00975B88">
      <w:pPr>
        <w:keepNext/>
        <w:jc w:val="left"/>
      </w:pPr>
    </w:p>
    <w:p w14:paraId="4F60587D" w14:textId="456D9223" w:rsidR="00EF4B00" w:rsidRPr="00EA4F84" w:rsidRDefault="00A33FD0" w:rsidP="00825360">
      <w:r w:rsidRPr="00EA4F84">
        <w:fldChar w:fldCharType="begin"/>
      </w:r>
      <w:r w:rsidRPr="00EA4F84">
        <w:instrText xml:space="preserve"> AUTONUM  </w:instrText>
      </w:r>
      <w:r w:rsidRPr="00EA4F84">
        <w:fldChar w:fldCharType="end"/>
      </w:r>
      <w:r w:rsidRPr="00EA4F84">
        <w:tab/>
        <w:t xml:space="preserve">Le TWM a tenu sa </w:t>
      </w:r>
      <w:r w:rsidR="00487C3A" w:rsidRPr="00EA4F84">
        <w:rPr>
          <w:rFonts w:hint="eastAsia"/>
          <w:lang w:eastAsia="ja-JP"/>
        </w:rPr>
        <w:t xml:space="preserve">troisième </w:t>
      </w:r>
      <w:r w:rsidRPr="00EA4F84">
        <w:t xml:space="preserve">session </w:t>
      </w:r>
      <w:r w:rsidR="00487C3A" w:rsidRPr="00EA4F84">
        <w:rPr>
          <w:rFonts w:hint="eastAsia"/>
          <w:lang w:eastAsia="ja-JP"/>
        </w:rPr>
        <w:t xml:space="preserve">à Beijing (Chine) </w:t>
      </w:r>
      <w:r w:rsidRPr="00EA4F84">
        <w:t>du 28 avril au 1</w:t>
      </w:r>
      <w:r w:rsidRPr="00BA0908">
        <w:rPr>
          <w:vertAlign w:val="superscript"/>
        </w:rPr>
        <w:t>er</w:t>
      </w:r>
      <w:r w:rsidR="00BA0908">
        <w:t xml:space="preserve"> </w:t>
      </w:r>
      <w:r w:rsidR="00487C3A" w:rsidRPr="00EA4F84">
        <w:rPr>
          <w:rFonts w:hint="eastAsia"/>
          <w:lang w:eastAsia="ja-JP"/>
        </w:rPr>
        <w:t>mai</w:t>
      </w:r>
      <w:r w:rsidR="006A3BDC" w:rsidRPr="00EA4F84">
        <w:rPr>
          <w:rFonts w:hint="eastAsia"/>
          <w:lang w:eastAsia="ja-JP"/>
        </w:rPr>
        <w:t xml:space="preserve"> 2025</w:t>
      </w:r>
      <w:r w:rsidRPr="00EA4F84">
        <w:t>. Les sections suivantes rendent compte des développements en matière de techniques moléculaires.</w:t>
      </w:r>
    </w:p>
    <w:p w14:paraId="0E6C8259" w14:textId="77777777" w:rsidR="00A33FD0" w:rsidRPr="00EA4F84" w:rsidRDefault="00A33FD0" w:rsidP="00EF4B00"/>
    <w:p w14:paraId="5617DE68" w14:textId="77777777" w:rsidR="00E65203" w:rsidRPr="00EA4F84" w:rsidRDefault="00E65203" w:rsidP="003127BF">
      <w:pPr>
        <w:pStyle w:val="Heading2"/>
        <w:keepLines/>
        <w:rPr>
          <w:lang w:val="fr-FR"/>
        </w:rPr>
      </w:pPr>
      <w:bookmarkStart w:id="35" w:name="_Toc210661230"/>
      <w:r w:rsidRPr="00EA4F84">
        <w:rPr>
          <w:lang w:val="fr-FR"/>
        </w:rPr>
        <w:t>Derniers développements en matière de techniques moléculaires et de bio-informatique</w:t>
      </w:r>
      <w:bookmarkEnd w:id="35"/>
    </w:p>
    <w:p w14:paraId="6CBC0D3A" w14:textId="77777777" w:rsidR="00E65203" w:rsidRPr="00EA4F84" w:rsidRDefault="00E65203" w:rsidP="003127BF">
      <w:pPr>
        <w:keepNext/>
        <w:keepLines/>
      </w:pPr>
    </w:p>
    <w:p w14:paraId="055454EC" w14:textId="77777777" w:rsidR="00E65203" w:rsidRPr="00EA4F84" w:rsidRDefault="00E65203" w:rsidP="003127BF">
      <w:pPr>
        <w:pStyle w:val="Heading3"/>
        <w:keepLines/>
        <w:rPr>
          <w:lang w:val="fr-FR"/>
        </w:rPr>
      </w:pPr>
      <w:bookmarkStart w:id="36" w:name="_Toc210661231"/>
      <w:r w:rsidRPr="00EA4F84">
        <w:rPr>
          <w:lang w:val="fr-FR"/>
        </w:rPr>
        <w:t>Activités de science des données au Naktuinbouw en vue du génotypage et du phénotypage : mise à jour</w:t>
      </w:r>
      <w:bookmarkEnd w:id="36"/>
    </w:p>
    <w:p w14:paraId="0F4A961D" w14:textId="77777777" w:rsidR="00E65203" w:rsidRPr="00EA4F84" w:rsidRDefault="00E65203" w:rsidP="003127BF">
      <w:pPr>
        <w:keepNext/>
        <w:keepLines/>
      </w:pPr>
    </w:p>
    <w:p w14:paraId="3B6D88BD" w14:textId="78219BB8" w:rsidR="00E65203" w:rsidRPr="00EA4F84" w:rsidRDefault="00BF7C58" w:rsidP="00BF7C58">
      <w:pPr>
        <w:ind w:left="11"/>
      </w:pPr>
      <w:r w:rsidRPr="00EA4F84">
        <w:fldChar w:fldCharType="begin"/>
      </w:r>
      <w:r w:rsidRPr="00EA4F84">
        <w:instrText xml:space="preserve"> AUTONUM  </w:instrText>
      </w:r>
      <w:r w:rsidRPr="00EA4F84">
        <w:fldChar w:fldCharType="end"/>
      </w:r>
      <w:r w:rsidRPr="00EA4F84">
        <w:tab/>
      </w:r>
      <w:r w:rsidR="00E65203" w:rsidRPr="00EA4F84">
        <w:t xml:space="preserve">Le TWM a entendu une présentation de Mme </w:t>
      </w:r>
      <w:proofErr w:type="spellStart"/>
      <w:r w:rsidR="00E65203" w:rsidRPr="00EA4F84">
        <w:t>Sanchari</w:t>
      </w:r>
      <w:proofErr w:type="spellEnd"/>
      <w:r w:rsidR="00E65203" w:rsidRPr="00EA4F84">
        <w:t xml:space="preserve"> </w:t>
      </w:r>
      <w:proofErr w:type="spellStart"/>
      <w:r w:rsidR="00E65203" w:rsidRPr="00EA4F84">
        <w:t>Sircar</w:t>
      </w:r>
      <w:bookmarkStart w:id="37" w:name="_Hlk195532544"/>
      <w:proofErr w:type="spellEnd"/>
      <w:r w:rsidR="00E65203" w:rsidRPr="00EA4F84">
        <w:rPr>
          <w:rFonts w:hint="eastAsia"/>
          <w:lang w:eastAsia="ja-JP"/>
        </w:rPr>
        <w:t xml:space="preserve"> (</w:t>
      </w:r>
      <w:bookmarkStart w:id="38" w:name="_Hlk195537397"/>
      <w:r w:rsidR="00E65203" w:rsidRPr="00EA4F84">
        <w:rPr>
          <w:lang w:eastAsia="ja-JP"/>
        </w:rPr>
        <w:t>Pays-Bas (Royaume des)</w:t>
      </w:r>
      <w:bookmarkEnd w:id="38"/>
      <w:r w:rsidR="00E65203" w:rsidRPr="00EA4F84">
        <w:rPr>
          <w:rFonts w:hint="eastAsia"/>
          <w:lang w:eastAsia="ja-JP"/>
        </w:rPr>
        <w:t>)</w:t>
      </w:r>
      <w:bookmarkEnd w:id="37"/>
      <w:r w:rsidR="00E65203" w:rsidRPr="00EA4F84">
        <w:t xml:space="preserve"> sur les </w:t>
      </w:r>
      <w:r w:rsidR="00EA4F84">
        <w:t>“ </w:t>
      </w:r>
      <w:r w:rsidR="00E65203" w:rsidRPr="00EA4F84">
        <w:t>Activités de science des données au Naktuinbouw en vue du génotypage et du phénotypage : mise à jour</w:t>
      </w:r>
      <w:r w:rsidR="00EA4F84">
        <w:t> »</w:t>
      </w:r>
      <w:r w:rsidR="00E65203" w:rsidRPr="00EA4F84">
        <w:t xml:space="preserve">, </w:t>
      </w:r>
      <w:r w:rsidR="00E65203" w:rsidRPr="00EA4F84">
        <w:rPr>
          <w:rFonts w:cs="Arial"/>
          <w:iCs/>
        </w:rPr>
        <w:t xml:space="preserve">dont une copie figure dans le document </w:t>
      </w:r>
      <w:r w:rsidR="00E65203" w:rsidRPr="00EA4F84">
        <w:rPr>
          <w:rFonts w:hint="eastAsia"/>
          <w:lang w:eastAsia="ja-JP"/>
        </w:rPr>
        <w:t>TWM/3/16</w:t>
      </w:r>
      <w:r w:rsidR="00E65203" w:rsidRPr="00EA4F84">
        <w:t xml:space="preserve">. </w:t>
      </w:r>
    </w:p>
    <w:p w14:paraId="742388F5" w14:textId="77777777" w:rsidR="00E65203" w:rsidRPr="00EA4F84" w:rsidRDefault="00E65203" w:rsidP="00E65203">
      <w:pPr>
        <w:pStyle w:val="ListParagraph"/>
        <w:ind w:left="0"/>
        <w:jc w:val="both"/>
      </w:pPr>
    </w:p>
    <w:p w14:paraId="124A1817" w14:textId="13A05D32"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t>Le TWM a pris note du développement de logiciels au Naktuinbouw et de l'invitation à collaborer à des activités de science des données, notamment l'analyse d'images et le phénotypage, le développement de flux de travail, l'intelligence artificielle et d'autres efforts de collaboration.</w:t>
      </w:r>
    </w:p>
    <w:p w14:paraId="3F8AF236" w14:textId="77777777" w:rsidR="00E65203" w:rsidRPr="00EA4F84" w:rsidRDefault="00E65203" w:rsidP="00E65203"/>
    <w:p w14:paraId="507AE2E0" w14:textId="77777777" w:rsidR="00E65203" w:rsidRPr="00EA4F84" w:rsidRDefault="00E65203" w:rsidP="00EF24D5">
      <w:pPr>
        <w:pStyle w:val="Heading2"/>
        <w:rPr>
          <w:lang w:val="fr-FR"/>
        </w:rPr>
      </w:pPr>
      <w:bookmarkStart w:id="39" w:name="_Toc210661232"/>
      <w:r w:rsidRPr="00EA4F84">
        <w:rPr>
          <w:lang w:val="fr-FR"/>
        </w:rPr>
        <w:t>Coopération entre organisations internationales</w:t>
      </w:r>
      <w:bookmarkEnd w:id="39"/>
    </w:p>
    <w:p w14:paraId="155E7C60" w14:textId="77777777" w:rsidR="00E65203" w:rsidRPr="00EA4F84" w:rsidRDefault="00E65203" w:rsidP="00E65203"/>
    <w:p w14:paraId="64D62FE9" w14:textId="77777777" w:rsidR="00E65203" w:rsidRPr="00EA4F84" w:rsidRDefault="00E65203" w:rsidP="00EF24D5">
      <w:pPr>
        <w:pStyle w:val="Heading3"/>
        <w:rPr>
          <w:lang w:val="fr-FR"/>
        </w:rPr>
      </w:pPr>
      <w:bookmarkStart w:id="40" w:name="_Toc210661233"/>
      <w:r w:rsidRPr="00EA4F84">
        <w:rPr>
          <w:lang w:val="fr-FR"/>
        </w:rPr>
        <w:t>ISTA</w:t>
      </w:r>
      <w:bookmarkEnd w:id="40"/>
    </w:p>
    <w:p w14:paraId="07F8F0F7" w14:textId="77777777" w:rsidR="00E65203" w:rsidRPr="00EA4F84" w:rsidRDefault="00E65203" w:rsidP="00E65203"/>
    <w:p w14:paraId="7440D5BF" w14:textId="782E9E06"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t>Le TWM a entendu une présentation de Mme Ana Vicario</w:t>
      </w:r>
      <w:r w:rsidR="00E65203" w:rsidRPr="00EA4F84">
        <w:rPr>
          <w:rFonts w:hint="eastAsia"/>
          <w:lang w:eastAsia="ja-JP"/>
        </w:rPr>
        <w:t xml:space="preserve">, </w:t>
      </w:r>
      <w:r w:rsidR="00E65203" w:rsidRPr="00EA4F84">
        <w:t xml:space="preserve">de </w:t>
      </w:r>
      <w:r w:rsidR="00E65203" w:rsidRPr="00EA4F84">
        <w:rPr>
          <w:lang w:eastAsia="ja-JP"/>
        </w:rPr>
        <w:t>l'Association internationale d’essais de semences (ISTA)</w:t>
      </w:r>
      <w:r w:rsidR="00E65203" w:rsidRPr="00EA4F84">
        <w:t xml:space="preserve">, sur le thème </w:t>
      </w:r>
      <w:r w:rsidR="00EA4F84">
        <w:t>“ </w:t>
      </w:r>
      <w:r w:rsidR="00E65203" w:rsidRPr="00EA4F84">
        <w:rPr>
          <w:lang w:eastAsia="ja-JP"/>
        </w:rPr>
        <w:t>Le point sur l'utilisation des techniques d'identification et de vérification des variétés par l'ISTA</w:t>
      </w:r>
      <w:r w:rsidR="00EA4F84">
        <w:rPr>
          <w:lang w:eastAsia="ja-JP"/>
        </w:rPr>
        <w:t> »</w:t>
      </w:r>
      <w:r w:rsidR="00E65203" w:rsidRPr="00EA4F84">
        <w:t xml:space="preserve">, </w:t>
      </w:r>
      <w:r w:rsidR="00E65203" w:rsidRPr="00EA4F84">
        <w:rPr>
          <w:rFonts w:cs="Arial"/>
          <w:iCs/>
        </w:rPr>
        <w:t xml:space="preserve">dont une copie figure dans le document </w:t>
      </w:r>
      <w:r w:rsidR="00E65203" w:rsidRPr="00EA4F84">
        <w:rPr>
          <w:rFonts w:hint="eastAsia"/>
          <w:lang w:eastAsia="ja-JP"/>
        </w:rPr>
        <w:t>TWM/3/25</w:t>
      </w:r>
      <w:r w:rsidR="00E65203" w:rsidRPr="00EA4F84">
        <w:t>.</w:t>
      </w:r>
    </w:p>
    <w:p w14:paraId="7654EC0E" w14:textId="77777777" w:rsidR="00E65203" w:rsidRPr="00EA4F84" w:rsidRDefault="00E65203" w:rsidP="00E65203">
      <w:pPr>
        <w:pStyle w:val="ListParagraph"/>
        <w:ind w:left="0"/>
        <w:jc w:val="both"/>
      </w:pPr>
    </w:p>
    <w:p w14:paraId="32F0D60A" w14:textId="433A6032"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t xml:space="preserve">Le TWM a noté que les marqueurs sélectionnés pour détecter les types pérennes dans le ray-grass annuel n'étaient pas nécessairement associés à des caractéristiques morphologiques et étaient basés sur des variétés provenant de différents pays. Le TWM </w:t>
      </w:r>
      <w:r w:rsidR="00E65203" w:rsidRPr="00EA4F84">
        <w:rPr>
          <w:lang w:eastAsia="ja-JP"/>
        </w:rPr>
        <w:t>a noté que les marqueurs identifiés dans le cadre du projet seraient publiés dans les règles de l'ISTA.</w:t>
      </w:r>
    </w:p>
    <w:p w14:paraId="5C500856" w14:textId="77777777" w:rsidR="00E65203" w:rsidRPr="00EA4F84" w:rsidRDefault="00E65203" w:rsidP="00E65203">
      <w:pPr>
        <w:pStyle w:val="ListParagraph"/>
      </w:pPr>
    </w:p>
    <w:p w14:paraId="055CA8C2" w14:textId="5387A1D8"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t xml:space="preserve">Le TWM a noté que le réseau neuronal utilisé pour soutenir </w:t>
      </w:r>
      <w:r w:rsidR="00E65203" w:rsidRPr="00EA4F84">
        <w:rPr>
          <w:rFonts w:hint="eastAsia"/>
          <w:lang w:eastAsia="ja-JP"/>
        </w:rPr>
        <w:t xml:space="preserve">l'identification des variétés </w:t>
      </w:r>
      <w:r w:rsidR="00E65203" w:rsidRPr="00EA4F84">
        <w:t xml:space="preserve">était un logiciel propriétaire. </w:t>
      </w:r>
    </w:p>
    <w:p w14:paraId="2097F002" w14:textId="77777777" w:rsidR="00E65203" w:rsidRPr="00EA4F84" w:rsidRDefault="00E65203" w:rsidP="00E65203"/>
    <w:p w14:paraId="7FDF36F1" w14:textId="77777777" w:rsidR="00E65203" w:rsidRPr="00EA4F84" w:rsidRDefault="00E65203" w:rsidP="00EF24D5">
      <w:pPr>
        <w:pStyle w:val="Heading3"/>
        <w:rPr>
          <w:lang w:val="fr-FR"/>
        </w:rPr>
      </w:pPr>
      <w:bookmarkStart w:id="41" w:name="_Toc210661234"/>
      <w:r w:rsidRPr="00EA4F84">
        <w:rPr>
          <w:lang w:val="fr-FR"/>
        </w:rPr>
        <w:t>OCDE</w:t>
      </w:r>
      <w:bookmarkEnd w:id="41"/>
    </w:p>
    <w:p w14:paraId="314BC0ED" w14:textId="77777777" w:rsidR="00E65203" w:rsidRPr="00EA4F84" w:rsidRDefault="00E65203" w:rsidP="00E65203">
      <w:pPr>
        <w:pStyle w:val="ListParagraph"/>
        <w:keepNext/>
        <w:ind w:left="0"/>
        <w:jc w:val="both"/>
      </w:pPr>
    </w:p>
    <w:p w14:paraId="423503DD" w14:textId="7F7D39EA" w:rsidR="00E65203" w:rsidRPr="00EA4F84" w:rsidRDefault="00BF7C58" w:rsidP="00BF7C58">
      <w:pPr>
        <w:keepNext/>
      </w:pPr>
      <w:r w:rsidRPr="00EA4F84">
        <w:fldChar w:fldCharType="begin"/>
      </w:r>
      <w:r w:rsidRPr="00EA4F84">
        <w:instrText xml:space="preserve"> AUTONUM  </w:instrText>
      </w:r>
      <w:r w:rsidRPr="00EA4F84">
        <w:fldChar w:fldCharType="end"/>
      </w:r>
      <w:r w:rsidRPr="00EA4F84">
        <w:tab/>
      </w:r>
      <w:r w:rsidR="00E65203" w:rsidRPr="00EA4F84">
        <w:t xml:space="preserve">Le TWM a entendu un exposé de </w:t>
      </w:r>
      <w:r w:rsidR="00E65203" w:rsidRPr="00EA4F84">
        <w:rPr>
          <w:rFonts w:hint="eastAsia"/>
          <w:lang w:eastAsia="ja-JP"/>
        </w:rPr>
        <w:t>M</w:t>
      </w:r>
      <w:r w:rsidR="00E65203" w:rsidRPr="00EA4F84">
        <w:t xml:space="preserve">. </w:t>
      </w:r>
      <w:proofErr w:type="spellStart"/>
      <w:r w:rsidR="00E65203" w:rsidRPr="00EA4F84">
        <w:t>Csaba</w:t>
      </w:r>
      <w:proofErr w:type="spellEnd"/>
      <w:r w:rsidR="00E65203" w:rsidRPr="00EA4F84">
        <w:t xml:space="preserve"> Gaspar</w:t>
      </w:r>
      <w:r w:rsidR="00E65203" w:rsidRPr="00EA4F84">
        <w:rPr>
          <w:rFonts w:hint="eastAsia"/>
          <w:lang w:eastAsia="ja-JP"/>
        </w:rPr>
        <w:t xml:space="preserve">, </w:t>
      </w:r>
      <w:r w:rsidR="00E65203" w:rsidRPr="00EA4F84">
        <w:rPr>
          <w:lang w:eastAsia="ja-JP"/>
        </w:rPr>
        <w:t>de l'Organisation de coopération et de développement économiques (OCDE)</w:t>
      </w:r>
      <w:r w:rsidR="00E65203" w:rsidRPr="00EA4F84">
        <w:t xml:space="preserve">, sur </w:t>
      </w:r>
      <w:r w:rsidR="00E65203" w:rsidRPr="00EA4F84">
        <w:rPr>
          <w:lang w:eastAsia="ja-JP"/>
        </w:rPr>
        <w:t xml:space="preserve">les </w:t>
      </w:r>
      <w:r w:rsidR="00E65203" w:rsidRPr="00EA4F84">
        <w:t>"</w:t>
      </w:r>
      <w:r w:rsidR="00E65203" w:rsidRPr="00EA4F84">
        <w:rPr>
          <w:lang w:eastAsia="ja-JP"/>
        </w:rPr>
        <w:t>Derniers développements dans la demande de la méthode BMT dans le cadre des programmes de l'OCDE relatifs aux semences</w:t>
      </w:r>
      <w:r w:rsidR="00E65203" w:rsidRPr="00EA4F84">
        <w:t xml:space="preserve">", </w:t>
      </w:r>
      <w:r w:rsidR="00E65203" w:rsidRPr="00EA4F84">
        <w:rPr>
          <w:rFonts w:cs="Arial"/>
          <w:iCs/>
        </w:rPr>
        <w:t xml:space="preserve">dont une copie figure dans le document </w:t>
      </w:r>
      <w:r w:rsidR="00E65203" w:rsidRPr="00EA4F84">
        <w:rPr>
          <w:rFonts w:hint="eastAsia"/>
          <w:lang w:eastAsia="ja-JP"/>
        </w:rPr>
        <w:t>TWM/3/26</w:t>
      </w:r>
      <w:r w:rsidR="00E65203" w:rsidRPr="00EA4F84">
        <w:t>.</w:t>
      </w:r>
    </w:p>
    <w:p w14:paraId="60805204" w14:textId="77777777" w:rsidR="00E65203" w:rsidRPr="00EA4F84" w:rsidRDefault="00E65203" w:rsidP="00E65203">
      <w:pPr>
        <w:pStyle w:val="ListParagraph"/>
        <w:ind w:left="0"/>
        <w:jc w:val="both"/>
        <w:rPr>
          <w:rFonts w:eastAsiaTheme="minorEastAsia"/>
          <w:lang w:eastAsia="ja-JP"/>
        </w:rPr>
      </w:pPr>
    </w:p>
    <w:p w14:paraId="35D754AC" w14:textId="77777777" w:rsidR="00E65203" w:rsidRPr="00EA4F84" w:rsidRDefault="00E65203" w:rsidP="00EF24D5">
      <w:pPr>
        <w:pStyle w:val="Heading2"/>
        <w:rPr>
          <w:lang w:val="fr-FR"/>
        </w:rPr>
      </w:pPr>
      <w:bookmarkStart w:id="42" w:name="_Toc210661235"/>
      <w:r w:rsidRPr="00EA4F84">
        <w:rPr>
          <w:lang w:val="fr-FR"/>
        </w:rPr>
        <w:t>Compte rendu sur les travaux relatifs aux techniques moléculaires dans le cadre de l'examen DHS</w:t>
      </w:r>
      <w:bookmarkEnd w:id="42"/>
    </w:p>
    <w:p w14:paraId="7BA9A33E" w14:textId="77777777" w:rsidR="00E65203" w:rsidRPr="00EA4F84" w:rsidRDefault="00E65203" w:rsidP="00E65203">
      <w:pPr>
        <w:pStyle w:val="ListParagraph"/>
        <w:ind w:left="0"/>
        <w:jc w:val="both"/>
        <w:rPr>
          <w:rFonts w:eastAsiaTheme="minorEastAsia"/>
          <w:lang w:eastAsia="ja-JP"/>
        </w:rPr>
      </w:pPr>
    </w:p>
    <w:p w14:paraId="35E874B0" w14:textId="77777777" w:rsidR="00E65203" w:rsidRPr="00EA4F84" w:rsidRDefault="00E65203" w:rsidP="00EF24D5">
      <w:pPr>
        <w:pStyle w:val="Heading3"/>
        <w:rPr>
          <w:lang w:val="fr-FR"/>
        </w:rPr>
      </w:pPr>
      <w:bookmarkStart w:id="43" w:name="_Toc210661236"/>
      <w:r w:rsidRPr="00EA4F84">
        <w:rPr>
          <w:lang w:val="fr-FR"/>
        </w:rPr>
        <w:t>Derniers développements en matière de marqueurs moléculaires spécifiques à certains caractères au Naktuinbouw : appel à l'échange de connaissances</w:t>
      </w:r>
      <w:bookmarkEnd w:id="43"/>
    </w:p>
    <w:p w14:paraId="31D164D2" w14:textId="77777777" w:rsidR="00E65203" w:rsidRPr="00EA4F84" w:rsidRDefault="00E65203" w:rsidP="00E65203"/>
    <w:p w14:paraId="4915A0CF" w14:textId="54267A58"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t xml:space="preserve">Le TWM a entendu un exposé de Mme Claire </w:t>
      </w:r>
      <w:proofErr w:type="spellStart"/>
      <w:r w:rsidR="00E65203" w:rsidRPr="00EA4F84">
        <w:t>Kamei</w:t>
      </w:r>
      <w:proofErr w:type="spellEnd"/>
      <w:r w:rsidR="00E65203" w:rsidRPr="00EA4F84">
        <w:t xml:space="preserve"> </w:t>
      </w:r>
      <w:r w:rsidR="00E65203" w:rsidRPr="00EA4F84">
        <w:rPr>
          <w:lang w:eastAsia="ja-JP"/>
        </w:rPr>
        <w:t>(Pays-Bas (Royaume des)</w:t>
      </w:r>
      <w:r w:rsidR="00E65203" w:rsidRPr="00EA4F84">
        <w:rPr>
          <w:rFonts w:hint="eastAsia"/>
          <w:lang w:eastAsia="ja-JP"/>
        </w:rPr>
        <w:t xml:space="preserve">) </w:t>
      </w:r>
      <w:r w:rsidR="00E65203" w:rsidRPr="00EA4F84">
        <w:t xml:space="preserve">sur les “Derniers développements en matière de marqueurs moléculaires spécifiques à certains caractères au Naktuinbouw : appel à l’échange de connaissances”, </w:t>
      </w:r>
      <w:r w:rsidR="00E65203" w:rsidRPr="00EA4F84">
        <w:rPr>
          <w:rFonts w:cs="Arial"/>
          <w:iCs/>
        </w:rPr>
        <w:t xml:space="preserve">dont une copie figure dans le document </w:t>
      </w:r>
      <w:r w:rsidR="00E65203" w:rsidRPr="00EA4F84">
        <w:rPr>
          <w:rFonts w:hint="eastAsia"/>
          <w:lang w:eastAsia="ja-JP"/>
        </w:rPr>
        <w:t>TWM/3/7</w:t>
      </w:r>
      <w:r w:rsidR="00E65203" w:rsidRPr="00EA4F84">
        <w:t xml:space="preserve">.  </w:t>
      </w:r>
    </w:p>
    <w:p w14:paraId="5DC6FAD7" w14:textId="77777777" w:rsidR="00E65203" w:rsidRPr="00EA4F84" w:rsidRDefault="00E65203" w:rsidP="00E65203">
      <w:pPr>
        <w:pStyle w:val="ListParagraph"/>
        <w:ind w:left="0"/>
        <w:jc w:val="both"/>
      </w:pPr>
    </w:p>
    <w:p w14:paraId="3591FB8C" w14:textId="3598C581"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t xml:space="preserve">Le TWM a noté </w:t>
      </w:r>
      <w:r w:rsidR="00E65203" w:rsidRPr="00EA4F84">
        <w:rPr>
          <w:rFonts w:hint="eastAsia"/>
          <w:lang w:eastAsia="ja-JP"/>
        </w:rPr>
        <w:t xml:space="preserve">que </w:t>
      </w:r>
      <w:r w:rsidR="00E65203" w:rsidRPr="00EA4F84">
        <w:rPr>
          <w:lang w:eastAsia="ja-JP"/>
        </w:rPr>
        <w:t xml:space="preserve">le Naktuinbouw lançait un projet de sélection de marqueurs moléculaires pour la laitue et que les experts intéressés devraient contacter l'expert des Pays-Bas (Royaume </w:t>
      </w:r>
      <w:r w:rsidR="00E65203" w:rsidRPr="00EA4F84">
        <w:rPr>
          <w:rFonts w:hint="eastAsia"/>
          <w:lang w:eastAsia="ja-JP"/>
        </w:rPr>
        <w:t>des</w:t>
      </w:r>
      <w:r w:rsidR="00E65203" w:rsidRPr="00EA4F84">
        <w:rPr>
          <w:lang w:eastAsia="ja-JP"/>
        </w:rPr>
        <w:t>) pour d'éventuels partenariats.</w:t>
      </w:r>
    </w:p>
    <w:p w14:paraId="3C6C03D9" w14:textId="77777777" w:rsidR="00E65203" w:rsidRPr="00EA4F84" w:rsidRDefault="00E65203" w:rsidP="00E65203">
      <w:pPr>
        <w:pStyle w:val="ListParagraph"/>
        <w:ind w:left="0"/>
        <w:jc w:val="both"/>
      </w:pPr>
    </w:p>
    <w:p w14:paraId="16DC7B72" w14:textId="24B229A2" w:rsidR="00E65203" w:rsidRPr="00EA4F84" w:rsidRDefault="00BF7C58" w:rsidP="00BF7C58">
      <w:r w:rsidRPr="00EA4F84">
        <w:lastRenderedPageBreak/>
        <w:fldChar w:fldCharType="begin"/>
      </w:r>
      <w:r w:rsidRPr="00EA4F84">
        <w:instrText xml:space="preserve"> AUTONUM  </w:instrText>
      </w:r>
      <w:r w:rsidRPr="00EA4F84">
        <w:fldChar w:fldCharType="end"/>
      </w:r>
      <w:r w:rsidRPr="00EA4F84">
        <w:tab/>
      </w:r>
      <w:r w:rsidR="00E65203" w:rsidRPr="00EA4F84">
        <w:rPr>
          <w:lang w:eastAsia="ja-JP"/>
        </w:rPr>
        <w:t xml:space="preserve">Le TWM </w:t>
      </w:r>
      <w:r w:rsidR="00E65203" w:rsidRPr="00EA4F84">
        <w:t xml:space="preserve">est convenu que les organisations devraient envisager de mettre en commun leurs ressources pour soutenir des projets communs. Le TWM a examiné les options permettant de diffuser les informations sur les projets élaborés par les membres et les observateurs de l'UPOV et </w:t>
      </w:r>
      <w:r w:rsidR="00E65203" w:rsidRPr="00EA4F84">
        <w:rPr>
          <w:lang w:eastAsia="ja-JP"/>
        </w:rPr>
        <w:t xml:space="preserve">est convenu qu'elles pourraient être communiquées avant chaque session du TWM afin d'être incluses dans le document </w:t>
      </w:r>
      <w:r w:rsidR="00E65203" w:rsidRPr="00EA4F84">
        <w:t xml:space="preserve">TWM/3/2 intitulé </w:t>
      </w:r>
      <w:r w:rsidR="00EA4F84">
        <w:t>“ </w:t>
      </w:r>
      <w:r w:rsidR="00E65203" w:rsidRPr="00EA4F84">
        <w:t>Comptes rendus des membres et des observateurs sur les faits nouveaux en matière de protection des obtentions végétales</w:t>
      </w:r>
      <w:r w:rsidR="00EA4F84">
        <w:t> »</w:t>
      </w:r>
      <w:r w:rsidR="00E65203" w:rsidRPr="00EA4F84">
        <w:t>.</w:t>
      </w:r>
    </w:p>
    <w:p w14:paraId="23786F33" w14:textId="77777777" w:rsidR="00E65203" w:rsidRPr="00EA4F84" w:rsidRDefault="00E65203" w:rsidP="00E65203">
      <w:pPr>
        <w:pStyle w:val="ListParagraph"/>
        <w:ind w:left="0"/>
        <w:jc w:val="both"/>
      </w:pPr>
    </w:p>
    <w:p w14:paraId="5E4EC680" w14:textId="37AD1ABB"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t xml:space="preserve">Le TWM a accueilli favorablement la proposition du Royaume </w:t>
      </w:r>
      <w:r w:rsidR="00E65203" w:rsidRPr="00EA4F84">
        <w:rPr>
          <w:rFonts w:hint="eastAsia"/>
          <w:lang w:eastAsia="ja-JP"/>
        </w:rPr>
        <w:t xml:space="preserve">des Pays-Bas </w:t>
      </w:r>
      <w:r w:rsidR="00E65203" w:rsidRPr="00EA4F84">
        <w:t xml:space="preserve">de diriger </w:t>
      </w:r>
      <w:r w:rsidR="00AF43D7">
        <w:br/>
      </w:r>
      <w:r w:rsidR="00E65203" w:rsidRPr="00EA4F84">
        <w:t xml:space="preserve">la mise à jour de la liste des marqueurs moléculaires utilisés par culture, qui avait été communiquée au </w:t>
      </w:r>
      <w:r w:rsidR="00AF43D7">
        <w:br/>
      </w:r>
      <w:r w:rsidR="00E65203" w:rsidRPr="00EA4F84">
        <w:t xml:space="preserve">Comité technique à sa cinquante-huitième session (disponible à l'adresse suivante : </w:t>
      </w:r>
      <w:hyperlink r:id="rId18" w:history="1">
        <w:r w:rsidR="00E65203" w:rsidRPr="00EA4F84">
          <w:rPr>
            <w:rStyle w:val="Hyperlink"/>
          </w:rPr>
          <w:t>https://www.upov.int/meetings/en/doc_details.jsp?meeting_id=67786&amp;doc_id=586962</w:t>
        </w:r>
      </w:hyperlink>
      <w:r w:rsidR="00E65203" w:rsidRPr="00EA4F84">
        <w:t>).</w:t>
      </w:r>
    </w:p>
    <w:p w14:paraId="0F220793" w14:textId="77777777" w:rsidR="00E65203" w:rsidRPr="00EA4F84" w:rsidRDefault="00E65203" w:rsidP="00E65203">
      <w:pPr>
        <w:pStyle w:val="ListParagraph"/>
        <w:ind w:left="0"/>
        <w:jc w:val="both"/>
        <w:rPr>
          <w:rFonts w:eastAsiaTheme="minorEastAsia"/>
          <w:lang w:eastAsia="ja-JP"/>
        </w:rPr>
      </w:pPr>
    </w:p>
    <w:p w14:paraId="27895B89" w14:textId="77777777" w:rsidR="00E65203" w:rsidRPr="00EA4F84" w:rsidRDefault="00E65203" w:rsidP="00EF24D5">
      <w:pPr>
        <w:pStyle w:val="Heading3"/>
        <w:rPr>
          <w:lang w:val="fr-FR"/>
        </w:rPr>
      </w:pPr>
      <w:bookmarkStart w:id="44" w:name="_Toc210661237"/>
      <w:r w:rsidRPr="00EA4F84">
        <w:rPr>
          <w:lang w:val="fr-FR"/>
        </w:rPr>
        <w:t>Utilisation de la technologie biomoléculaire dans l'examen DHS - étude de cas sur l'orge</w:t>
      </w:r>
      <w:bookmarkEnd w:id="44"/>
    </w:p>
    <w:p w14:paraId="5B895509" w14:textId="77777777" w:rsidR="00E65203" w:rsidRPr="00EA4F84" w:rsidRDefault="00E65203" w:rsidP="00E65203"/>
    <w:p w14:paraId="3E9011F0" w14:textId="6896D3F7"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t xml:space="preserve">Le TWM a entendu un exposé de Mme Vanessa MacMillan (Royaume-Uni) sur </w:t>
      </w:r>
      <w:r w:rsidR="00EA4F84">
        <w:t>“ </w:t>
      </w:r>
      <w:r w:rsidR="00E65203" w:rsidRPr="00EA4F84">
        <w:t>L'utilisation de la technologie biomoléculaire dans l'examen DHS – étude de cas sur l'orge</w:t>
      </w:r>
      <w:r w:rsidR="00EA4F84">
        <w:t> »</w:t>
      </w:r>
      <w:r w:rsidR="00E65203" w:rsidRPr="00EA4F84">
        <w:t xml:space="preserve">, </w:t>
      </w:r>
      <w:r w:rsidR="00E65203" w:rsidRPr="00EA4F84">
        <w:rPr>
          <w:rFonts w:cs="Arial"/>
          <w:iCs/>
        </w:rPr>
        <w:t xml:space="preserve">dont une copie figure dans le document </w:t>
      </w:r>
      <w:r w:rsidR="00E65203" w:rsidRPr="00EA4F84">
        <w:rPr>
          <w:rFonts w:hint="eastAsia"/>
          <w:lang w:eastAsia="ja-JP"/>
        </w:rPr>
        <w:t>TWM/3/20</w:t>
      </w:r>
      <w:r w:rsidR="00E65203" w:rsidRPr="00EA4F84">
        <w:t xml:space="preserve">.  </w:t>
      </w:r>
    </w:p>
    <w:p w14:paraId="380CEB98" w14:textId="77777777" w:rsidR="00E65203" w:rsidRPr="00EA4F84" w:rsidRDefault="00E65203" w:rsidP="00E65203">
      <w:pPr>
        <w:pStyle w:val="ListParagraph"/>
        <w:ind w:left="0"/>
        <w:jc w:val="both"/>
      </w:pPr>
    </w:p>
    <w:p w14:paraId="62B70407" w14:textId="7EEBC497"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t xml:space="preserve">Le TWM a pris note </w:t>
      </w:r>
      <w:r w:rsidR="00E65203" w:rsidRPr="00EA4F84">
        <w:rPr>
          <w:lang w:eastAsia="ja-JP"/>
        </w:rPr>
        <w:t>du compte rendu présenté dans le document et a invité l'experte du Royaume-Uni à rendre compte des progrès accomplis à la quatrième session du TWM</w:t>
      </w:r>
      <w:r w:rsidR="00E65203" w:rsidRPr="00EA4F84">
        <w:rPr>
          <w:rFonts w:hint="eastAsia"/>
          <w:lang w:eastAsia="ja-JP"/>
        </w:rPr>
        <w:t xml:space="preserve">.  </w:t>
      </w:r>
    </w:p>
    <w:p w14:paraId="22226A45" w14:textId="77777777" w:rsidR="00E65203" w:rsidRPr="00EA4F84" w:rsidRDefault="00E65203" w:rsidP="00E65203">
      <w:pPr>
        <w:pStyle w:val="ListParagraph"/>
        <w:ind w:left="0"/>
        <w:jc w:val="both"/>
      </w:pPr>
    </w:p>
    <w:p w14:paraId="1D5397DC" w14:textId="77777777" w:rsidR="00E65203" w:rsidRPr="00EA4F84" w:rsidRDefault="00E65203" w:rsidP="00EF24D5">
      <w:pPr>
        <w:pStyle w:val="Heading3"/>
        <w:rPr>
          <w:lang w:val="fr-FR"/>
        </w:rPr>
      </w:pPr>
      <w:bookmarkStart w:id="45" w:name="_Toc210661238"/>
      <w:r w:rsidRPr="00EA4F84">
        <w:rPr>
          <w:lang w:val="fr-FR"/>
        </w:rPr>
        <w:t>Intelligence artificielle et marqueurs moléculaires dans les fruits rouges : une validation de principe</w:t>
      </w:r>
      <w:bookmarkEnd w:id="45"/>
    </w:p>
    <w:p w14:paraId="2AF58EA4" w14:textId="77777777" w:rsidR="00E65203" w:rsidRPr="00EA4F84" w:rsidRDefault="00E65203" w:rsidP="00E65203"/>
    <w:p w14:paraId="296DFA81" w14:textId="48EFFED2"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t xml:space="preserve">Le TWM a entendu un exposé de Mme Margaret Wallace </w:t>
      </w:r>
      <w:r w:rsidR="00E65203" w:rsidRPr="00EA4F84">
        <w:rPr>
          <w:rFonts w:hint="eastAsia"/>
          <w:lang w:eastAsia="ja-JP"/>
        </w:rPr>
        <w:t>(</w:t>
      </w:r>
      <w:r w:rsidR="00E65203" w:rsidRPr="00EA4F84">
        <w:rPr>
          <w:lang w:eastAsia="ja-JP"/>
        </w:rPr>
        <w:t>Royaume-Uni</w:t>
      </w:r>
      <w:r w:rsidR="00E65203" w:rsidRPr="00EA4F84">
        <w:rPr>
          <w:rFonts w:hint="eastAsia"/>
          <w:lang w:eastAsia="ja-JP"/>
        </w:rPr>
        <w:t xml:space="preserve">) </w:t>
      </w:r>
      <w:r w:rsidR="00E65203" w:rsidRPr="00EA4F84">
        <w:t xml:space="preserve">sur </w:t>
      </w:r>
      <w:r w:rsidR="00EA4F84">
        <w:t>“ </w:t>
      </w:r>
      <w:r w:rsidR="00E65203" w:rsidRPr="00EA4F84">
        <w:t>L'intelligence artificielle et les marqueurs moléculaires dans les fruits à chair tendre : une validation de principe</w:t>
      </w:r>
      <w:r w:rsidR="00EA4F84">
        <w:t> »</w:t>
      </w:r>
      <w:r w:rsidR="00E65203" w:rsidRPr="00EA4F84">
        <w:t xml:space="preserve">, </w:t>
      </w:r>
      <w:r w:rsidR="00E65203" w:rsidRPr="00EA4F84">
        <w:rPr>
          <w:rFonts w:cs="Arial"/>
          <w:iCs/>
        </w:rPr>
        <w:t xml:space="preserve">dont une copie figure dans le document </w:t>
      </w:r>
      <w:r w:rsidR="00E65203" w:rsidRPr="00EA4F84">
        <w:rPr>
          <w:rFonts w:hint="eastAsia"/>
          <w:lang w:eastAsia="ja-JP"/>
        </w:rPr>
        <w:t>TWM/3/24</w:t>
      </w:r>
      <w:r w:rsidR="00E65203" w:rsidRPr="00EA4F84">
        <w:t xml:space="preserve">.  </w:t>
      </w:r>
    </w:p>
    <w:p w14:paraId="7B2FE0EE" w14:textId="77777777" w:rsidR="00E65203" w:rsidRPr="00EA4F84" w:rsidRDefault="00E65203" w:rsidP="00E65203">
      <w:pPr>
        <w:pStyle w:val="ListParagraph"/>
        <w:ind w:left="0"/>
        <w:jc w:val="both"/>
      </w:pPr>
    </w:p>
    <w:p w14:paraId="76D501E5" w14:textId="7B29CF3A"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t xml:space="preserve">Le TWM a pris note </w:t>
      </w:r>
      <w:r w:rsidR="00E65203" w:rsidRPr="00EA4F84">
        <w:rPr>
          <w:rFonts w:hint="eastAsia"/>
          <w:lang w:eastAsia="ja-JP"/>
        </w:rPr>
        <w:t xml:space="preserve">des progrès réalisés dans </w:t>
      </w:r>
      <w:r w:rsidR="00E65203" w:rsidRPr="00EA4F84">
        <w:rPr>
          <w:lang w:eastAsia="ja-JP"/>
        </w:rPr>
        <w:t xml:space="preserve">la </w:t>
      </w:r>
      <w:r w:rsidR="00E65203" w:rsidRPr="00EA4F84">
        <w:rPr>
          <w:rFonts w:hint="eastAsia"/>
          <w:lang w:eastAsia="ja-JP"/>
        </w:rPr>
        <w:t xml:space="preserve">prédiction génétique de caractéristiques morphologiques telles que la </w:t>
      </w:r>
      <w:r w:rsidR="00E65203" w:rsidRPr="00EA4F84">
        <w:rPr>
          <w:lang w:eastAsia="ja-JP"/>
        </w:rPr>
        <w:t xml:space="preserve">présence </w:t>
      </w:r>
      <w:r w:rsidR="00E65203" w:rsidRPr="00EA4F84">
        <w:rPr>
          <w:rFonts w:hint="eastAsia"/>
          <w:lang w:eastAsia="ja-JP"/>
        </w:rPr>
        <w:t>d</w:t>
      </w:r>
      <w:r w:rsidR="00E65203" w:rsidRPr="00EA4F84">
        <w:rPr>
          <w:rFonts w:hint="eastAsia"/>
          <w:lang w:eastAsia="ja-JP"/>
        </w:rPr>
        <w:t>’</w:t>
      </w:r>
      <w:r w:rsidR="00E65203" w:rsidRPr="00EA4F84">
        <w:rPr>
          <w:rFonts w:hint="eastAsia"/>
          <w:lang w:eastAsia="ja-JP"/>
        </w:rPr>
        <w:t xml:space="preserve">épines chez </w:t>
      </w:r>
      <w:r w:rsidR="00E65203" w:rsidRPr="00EA4F84">
        <w:rPr>
          <w:lang w:eastAsia="ja-JP"/>
        </w:rPr>
        <w:t>la framboise</w:t>
      </w:r>
      <w:r w:rsidR="00E65203" w:rsidRPr="00EA4F84">
        <w:rPr>
          <w:rFonts w:hint="eastAsia"/>
          <w:lang w:eastAsia="ja-JP"/>
        </w:rPr>
        <w:t xml:space="preserve">.  Le TWM </w:t>
      </w:r>
      <w:r w:rsidR="00E65203" w:rsidRPr="00EA4F84">
        <w:rPr>
          <w:lang w:eastAsia="ja-JP"/>
        </w:rPr>
        <w:t xml:space="preserve">a examiné </w:t>
      </w:r>
      <w:r w:rsidR="00E65203" w:rsidRPr="00EA4F84">
        <w:rPr>
          <w:rFonts w:hint="eastAsia"/>
          <w:lang w:eastAsia="ja-JP"/>
        </w:rPr>
        <w:t>les facteurs liés à la prédiction génétique des caractéristiques morphologiques, dans la mesure où ils se rapportaient aux résultats présentés dans l</w:t>
      </w:r>
      <w:r w:rsidR="00E65203" w:rsidRPr="00EA4F84">
        <w:rPr>
          <w:rFonts w:hint="eastAsia"/>
          <w:lang w:eastAsia="ja-JP"/>
        </w:rPr>
        <w:t>’</w:t>
      </w:r>
      <w:r w:rsidR="00E65203" w:rsidRPr="00EA4F84">
        <w:rPr>
          <w:rFonts w:hint="eastAsia"/>
          <w:lang w:eastAsia="ja-JP"/>
        </w:rPr>
        <w:t>étude de validation.</w:t>
      </w:r>
    </w:p>
    <w:p w14:paraId="64B69CB5" w14:textId="77777777" w:rsidR="00E65203" w:rsidRPr="00EA4F84" w:rsidRDefault="00E65203" w:rsidP="00E65203">
      <w:pPr>
        <w:pStyle w:val="ListParagraph"/>
      </w:pPr>
    </w:p>
    <w:p w14:paraId="4CA6C8F5" w14:textId="77777777" w:rsidR="00E65203" w:rsidRPr="00EA4F84" w:rsidRDefault="00E65203" w:rsidP="00EF24D5">
      <w:pPr>
        <w:pStyle w:val="Heading3"/>
        <w:rPr>
          <w:lang w:val="fr-FR"/>
        </w:rPr>
      </w:pPr>
      <w:bookmarkStart w:id="46" w:name="_Toc210661239"/>
      <w:r w:rsidRPr="00EA4F84">
        <w:rPr>
          <w:lang w:val="fr-FR"/>
        </w:rPr>
        <w:t>Une meilleure compréhension de l'architecture génétique des caractères DHS du blé peut-elle contribuer à rationaliser les processus DHS ?</w:t>
      </w:r>
      <w:bookmarkEnd w:id="46"/>
    </w:p>
    <w:p w14:paraId="35784CDA" w14:textId="77777777" w:rsidR="00E65203" w:rsidRPr="00EA4F84" w:rsidRDefault="00E65203" w:rsidP="00E65203"/>
    <w:p w14:paraId="6329059C" w14:textId="6EF9148C"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t xml:space="preserve">Le TWM a entendu un exposé de Mme </w:t>
      </w:r>
      <w:proofErr w:type="spellStart"/>
      <w:r w:rsidR="00E65203" w:rsidRPr="00EA4F84">
        <w:t>Camila</w:t>
      </w:r>
      <w:proofErr w:type="spellEnd"/>
      <w:r w:rsidR="00E65203" w:rsidRPr="00EA4F84">
        <w:t xml:space="preserve"> </w:t>
      </w:r>
      <w:proofErr w:type="spellStart"/>
      <w:r w:rsidR="00E65203" w:rsidRPr="00EA4F84">
        <w:t>Zanella</w:t>
      </w:r>
      <w:proofErr w:type="spellEnd"/>
      <w:r w:rsidR="00E65203" w:rsidRPr="00EA4F84">
        <w:t xml:space="preserve"> (Royaume-Uni) intitulé “Une meilleure compréhension de l'architecture génétique des caractères DHS du blé peut-elle contribuer à rationaliser les processus DHS ?”, </w:t>
      </w:r>
      <w:r w:rsidR="00E65203" w:rsidRPr="00EA4F84">
        <w:rPr>
          <w:rFonts w:cs="Arial"/>
          <w:iCs/>
        </w:rPr>
        <w:t xml:space="preserve">dont une copie figure dans le document </w:t>
      </w:r>
      <w:r w:rsidR="00E65203" w:rsidRPr="00EA4F84">
        <w:rPr>
          <w:rFonts w:hint="eastAsia"/>
          <w:lang w:eastAsia="ja-JP"/>
        </w:rPr>
        <w:t>TWM/3/22</w:t>
      </w:r>
      <w:r w:rsidR="00E65203" w:rsidRPr="00EA4F84">
        <w:t xml:space="preserve">.  </w:t>
      </w:r>
    </w:p>
    <w:p w14:paraId="37C91747" w14:textId="77777777" w:rsidR="00E65203" w:rsidRPr="00EA4F84" w:rsidRDefault="00E65203" w:rsidP="00E65203">
      <w:pPr>
        <w:pStyle w:val="ListParagraph"/>
        <w:ind w:left="0"/>
        <w:jc w:val="both"/>
      </w:pPr>
    </w:p>
    <w:p w14:paraId="388EBDF5" w14:textId="270E4DCD"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t xml:space="preserve">Le TWM </w:t>
      </w:r>
      <w:r w:rsidR="00E65203" w:rsidRPr="00EA4F84">
        <w:rPr>
          <w:lang w:eastAsia="ja-JP"/>
        </w:rPr>
        <w:t>a examiné les conditions requises pour la mise en œuvre des marqueurs moléculaires dans l'examen systématique des variétés et est convenu qu'ils devraient à la fois accroître l'efficacité de l'autorité chargée de l'examen et profiter aux demandeurs</w:t>
      </w:r>
      <w:r w:rsidR="00E65203" w:rsidRPr="00EA4F84">
        <w:rPr>
          <w:rFonts w:hint="eastAsia"/>
          <w:lang w:eastAsia="ja-JP"/>
        </w:rPr>
        <w:t>.</w:t>
      </w:r>
    </w:p>
    <w:p w14:paraId="571A3E90" w14:textId="77777777" w:rsidR="00E65203" w:rsidRPr="00EA4F84" w:rsidRDefault="00E65203" w:rsidP="00E65203">
      <w:pPr>
        <w:pStyle w:val="ListParagraph"/>
        <w:ind w:left="0"/>
        <w:jc w:val="both"/>
      </w:pPr>
    </w:p>
    <w:p w14:paraId="24DEFCFF" w14:textId="77777777" w:rsidR="00E65203" w:rsidRPr="00EA4F84" w:rsidRDefault="00E65203" w:rsidP="00EF24D5">
      <w:pPr>
        <w:pStyle w:val="Heading3"/>
        <w:rPr>
          <w:lang w:val="fr-FR"/>
        </w:rPr>
      </w:pPr>
      <w:bookmarkStart w:id="47" w:name="_Toc210661240"/>
      <w:r w:rsidRPr="00EA4F84">
        <w:rPr>
          <w:lang w:val="fr-FR"/>
        </w:rPr>
        <w:t>Prédiction génomique pour la gestion des collections variétales de blé</w:t>
      </w:r>
      <w:bookmarkEnd w:id="47"/>
    </w:p>
    <w:p w14:paraId="199C7E95" w14:textId="77777777" w:rsidR="00E65203" w:rsidRPr="00EA4F84" w:rsidRDefault="00E65203" w:rsidP="00E65203"/>
    <w:p w14:paraId="23B0D998" w14:textId="482A9105"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t xml:space="preserve">Le TWM a entendu un exposé de M. Adrian Roberts (Royaume-Uni) intitulé “Prévision génomique pour la gestion des collections variétales de blé”, </w:t>
      </w:r>
      <w:r w:rsidR="00E65203" w:rsidRPr="00EA4F84">
        <w:rPr>
          <w:rFonts w:cs="Arial"/>
          <w:iCs/>
        </w:rPr>
        <w:t xml:space="preserve">dont une copie figure dans le document </w:t>
      </w:r>
      <w:r w:rsidR="00E65203" w:rsidRPr="00EA4F84">
        <w:rPr>
          <w:rFonts w:hint="eastAsia"/>
          <w:lang w:eastAsia="ja-JP"/>
        </w:rPr>
        <w:t>TWM/3/6</w:t>
      </w:r>
      <w:r w:rsidR="00E65203" w:rsidRPr="00EA4F84">
        <w:t xml:space="preserve">.  </w:t>
      </w:r>
    </w:p>
    <w:p w14:paraId="5298704A" w14:textId="77777777" w:rsidR="00E65203" w:rsidRPr="00EA4F84" w:rsidRDefault="00E65203" w:rsidP="00E65203">
      <w:pPr>
        <w:pStyle w:val="ListParagraph"/>
        <w:ind w:left="0"/>
        <w:jc w:val="both"/>
      </w:pPr>
    </w:p>
    <w:p w14:paraId="3D189914" w14:textId="02F99DB7"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t xml:space="preserve">Le TWM a noté </w:t>
      </w:r>
      <w:r w:rsidR="00E65203" w:rsidRPr="00EA4F84">
        <w:rPr>
          <w:rFonts w:hint="eastAsia"/>
          <w:lang w:eastAsia="ja-JP"/>
        </w:rPr>
        <w:t xml:space="preserve">que </w:t>
      </w:r>
      <w:r w:rsidR="00E65203" w:rsidRPr="00EA4F84">
        <w:rPr>
          <w:lang w:eastAsia="ja-JP"/>
        </w:rPr>
        <w:t>des ajustements étaient nécessaires pour que la méthode fonctionne avec des notes (données ordinales) plutôt qu'avec des mesures réelles et a invité l'expert du Royaume-Uni à rendre compte des progrès réalisés lors de la quatrième session du TWM</w:t>
      </w:r>
      <w:r w:rsidR="00E65203" w:rsidRPr="00EA4F84">
        <w:rPr>
          <w:rFonts w:hint="eastAsia"/>
          <w:lang w:eastAsia="ja-JP"/>
        </w:rPr>
        <w:t xml:space="preserve">.  </w:t>
      </w:r>
    </w:p>
    <w:p w14:paraId="73B57811" w14:textId="77777777" w:rsidR="00E65203" w:rsidRPr="00EA4F84" w:rsidRDefault="00E65203" w:rsidP="00E65203"/>
    <w:p w14:paraId="13CC2248" w14:textId="77777777" w:rsidR="00E65203" w:rsidRPr="00EA4F84" w:rsidRDefault="00E65203" w:rsidP="00EF24D5">
      <w:pPr>
        <w:pStyle w:val="Heading3"/>
        <w:rPr>
          <w:lang w:val="fr-FR"/>
        </w:rPr>
      </w:pPr>
      <w:bookmarkStart w:id="48" w:name="_Toc210661241"/>
      <w:r w:rsidRPr="00EA4F84">
        <w:rPr>
          <w:lang w:val="fr-FR"/>
        </w:rPr>
        <w:t>Critère de distinction amélioré COYD-GP pour les plantes agricoles à pollinisation croisée</w:t>
      </w:r>
      <w:bookmarkEnd w:id="48"/>
    </w:p>
    <w:p w14:paraId="194BF29C" w14:textId="77777777" w:rsidR="00E65203" w:rsidRPr="00EA4F84" w:rsidRDefault="00E65203" w:rsidP="00E65203"/>
    <w:p w14:paraId="11A704F8" w14:textId="6588B539"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t xml:space="preserve">Le TWM a entendu un exposé de M. Adrian Roberts </w:t>
      </w:r>
      <w:r w:rsidR="00E65203" w:rsidRPr="00EA4F84">
        <w:rPr>
          <w:rFonts w:hint="eastAsia"/>
          <w:lang w:eastAsia="ja-JP"/>
        </w:rPr>
        <w:t>(</w:t>
      </w:r>
      <w:r w:rsidR="00E65203" w:rsidRPr="00EA4F84">
        <w:rPr>
          <w:lang w:eastAsia="ja-JP"/>
        </w:rPr>
        <w:t>Royaume-Uni</w:t>
      </w:r>
      <w:r w:rsidR="00E65203" w:rsidRPr="00EA4F84">
        <w:rPr>
          <w:rFonts w:hint="eastAsia"/>
          <w:lang w:eastAsia="ja-JP"/>
        </w:rPr>
        <w:t xml:space="preserve">) </w:t>
      </w:r>
      <w:r w:rsidR="00E65203" w:rsidRPr="00EA4F84">
        <w:t xml:space="preserve">sur le thème “Critère de distinction amélioré COYD-GP pour les plantes agricoles à pollinisation croisée”, </w:t>
      </w:r>
      <w:r w:rsidR="00E65203" w:rsidRPr="00EA4F84">
        <w:rPr>
          <w:rFonts w:cs="Arial"/>
          <w:iCs/>
        </w:rPr>
        <w:t xml:space="preserve">dont une copie figure dans le document </w:t>
      </w:r>
      <w:r w:rsidR="00E65203" w:rsidRPr="00EA4F84">
        <w:rPr>
          <w:rFonts w:hint="eastAsia"/>
          <w:lang w:eastAsia="ja-JP"/>
        </w:rPr>
        <w:t>TWM/3/4</w:t>
      </w:r>
      <w:r w:rsidR="00E65203" w:rsidRPr="00EA4F84">
        <w:t xml:space="preserve">.  </w:t>
      </w:r>
    </w:p>
    <w:p w14:paraId="4F765DB5" w14:textId="77777777" w:rsidR="00E65203" w:rsidRPr="00EA4F84" w:rsidRDefault="00E65203" w:rsidP="00E65203">
      <w:pPr>
        <w:pStyle w:val="ListParagraph"/>
        <w:ind w:left="0"/>
        <w:jc w:val="both"/>
      </w:pPr>
    </w:p>
    <w:p w14:paraId="0AF5CAC4" w14:textId="1495BD33"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t xml:space="preserve">Le TWM a noté </w:t>
      </w:r>
      <w:r w:rsidR="00E65203" w:rsidRPr="00EA4F84">
        <w:rPr>
          <w:rFonts w:hint="eastAsia"/>
          <w:lang w:eastAsia="ja-JP"/>
        </w:rPr>
        <w:t xml:space="preserve">que </w:t>
      </w:r>
      <w:r w:rsidR="00E65203" w:rsidRPr="00EA4F84">
        <w:rPr>
          <w:lang w:eastAsia="ja-JP"/>
        </w:rPr>
        <w:t>l'efficacité accrue de la nouvelle méthode COYD-GP pour la détermination de la distinction avait été calculée pour chaque caractère et est convenu qu'il faudrait approfondir l'étude du gain d'efficacité global. Le TWM a invité l'expert du Royaume-Uni à rendre compte des développements lors de la quatrième session du TWM.</w:t>
      </w:r>
    </w:p>
    <w:p w14:paraId="127064CC" w14:textId="77777777" w:rsidR="00E65203" w:rsidRPr="00EA4F84" w:rsidRDefault="00E65203" w:rsidP="00E65203">
      <w:pPr>
        <w:pStyle w:val="ListParagraph"/>
        <w:ind w:left="0"/>
        <w:jc w:val="both"/>
      </w:pPr>
    </w:p>
    <w:p w14:paraId="7CD7A44C" w14:textId="77777777" w:rsidR="00E65203" w:rsidRPr="00EA4F84" w:rsidRDefault="00E65203" w:rsidP="00EF24D5">
      <w:pPr>
        <w:pStyle w:val="Heading3"/>
        <w:rPr>
          <w:lang w:val="fr-FR"/>
        </w:rPr>
      </w:pPr>
      <w:bookmarkStart w:id="49" w:name="_Toc210661242"/>
      <w:r w:rsidRPr="00EA4F84">
        <w:rPr>
          <w:lang w:val="fr-FR"/>
        </w:rPr>
        <w:lastRenderedPageBreak/>
        <w:t>Activités de recherche-développement de l’Office communautaire des variétés végétales (OCVV)</w:t>
      </w:r>
      <w:bookmarkEnd w:id="49"/>
    </w:p>
    <w:p w14:paraId="77C6EEAB" w14:textId="77777777" w:rsidR="00E65203" w:rsidRPr="00EA4F84" w:rsidRDefault="00E65203" w:rsidP="00E65203">
      <w:pPr>
        <w:keepNext/>
      </w:pPr>
    </w:p>
    <w:p w14:paraId="25BF0817" w14:textId="05CFDEB2" w:rsidR="00E65203" w:rsidRPr="00EA4F84" w:rsidRDefault="00BF7C58" w:rsidP="00BF7C58">
      <w:pPr>
        <w:keepNext/>
      </w:pPr>
      <w:r w:rsidRPr="00EA4F84">
        <w:fldChar w:fldCharType="begin"/>
      </w:r>
      <w:r w:rsidRPr="00EA4F84">
        <w:instrText xml:space="preserve"> AUTONUM  </w:instrText>
      </w:r>
      <w:r w:rsidRPr="00EA4F84">
        <w:fldChar w:fldCharType="end"/>
      </w:r>
      <w:r w:rsidRPr="00EA4F84">
        <w:tab/>
      </w:r>
      <w:r w:rsidR="00E65203" w:rsidRPr="00EA4F84">
        <w:t xml:space="preserve">Le TWM a entendu un exposé de Mme </w:t>
      </w:r>
      <w:proofErr w:type="spellStart"/>
      <w:r w:rsidR="00E65203" w:rsidRPr="00EA4F84">
        <w:t>Cecile</w:t>
      </w:r>
      <w:proofErr w:type="spellEnd"/>
      <w:r w:rsidR="00E65203" w:rsidRPr="00EA4F84">
        <w:t xml:space="preserve"> </w:t>
      </w:r>
      <w:proofErr w:type="spellStart"/>
      <w:r w:rsidR="00E65203" w:rsidRPr="00EA4F84">
        <w:t>Collonnier</w:t>
      </w:r>
      <w:proofErr w:type="spellEnd"/>
      <w:r w:rsidR="00E65203" w:rsidRPr="00EA4F84">
        <w:rPr>
          <w:rFonts w:hint="eastAsia"/>
          <w:lang w:eastAsia="ja-JP"/>
        </w:rPr>
        <w:t xml:space="preserve">, </w:t>
      </w:r>
      <w:r w:rsidR="00E65203" w:rsidRPr="00EA4F84">
        <w:t xml:space="preserve">de </w:t>
      </w:r>
      <w:r w:rsidR="00E65203" w:rsidRPr="00EA4F84">
        <w:rPr>
          <w:lang w:eastAsia="ja-JP"/>
        </w:rPr>
        <w:t>l'Office communautaire des variétés végétales (OCVV)</w:t>
      </w:r>
      <w:r w:rsidR="00E65203" w:rsidRPr="00EA4F84">
        <w:t xml:space="preserve">, sur les </w:t>
      </w:r>
      <w:r w:rsidR="00EA4F84">
        <w:t>“ </w:t>
      </w:r>
      <w:r w:rsidR="00E65203" w:rsidRPr="00EA4F84">
        <w:t>Activités de R&amp;D de l'OCVV</w:t>
      </w:r>
      <w:r w:rsidR="00EA4F84">
        <w:t> »</w:t>
      </w:r>
      <w:r w:rsidR="00E65203" w:rsidRPr="00EA4F84">
        <w:t xml:space="preserve">, </w:t>
      </w:r>
      <w:r w:rsidR="00E65203" w:rsidRPr="00EA4F84">
        <w:rPr>
          <w:rFonts w:cs="Arial"/>
          <w:iCs/>
        </w:rPr>
        <w:t xml:space="preserve">dont une copie figure dans le document </w:t>
      </w:r>
      <w:r w:rsidR="00E65203" w:rsidRPr="00EA4F84">
        <w:rPr>
          <w:rFonts w:hint="eastAsia"/>
          <w:lang w:eastAsia="ja-JP"/>
        </w:rPr>
        <w:t>TWM/3/15</w:t>
      </w:r>
      <w:r w:rsidR="00E65203" w:rsidRPr="00EA4F84">
        <w:t xml:space="preserve">.  </w:t>
      </w:r>
    </w:p>
    <w:p w14:paraId="2CA61879" w14:textId="77777777" w:rsidR="00E65203" w:rsidRPr="00EA4F84" w:rsidRDefault="00E65203" w:rsidP="00E65203">
      <w:pPr>
        <w:pStyle w:val="ListParagraph"/>
        <w:ind w:left="0"/>
        <w:jc w:val="both"/>
      </w:pPr>
    </w:p>
    <w:p w14:paraId="7B05A3AF" w14:textId="48BC4CA3"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t xml:space="preserve">Le TWM a pris note </w:t>
      </w:r>
      <w:r w:rsidR="00E65203" w:rsidRPr="00EA4F84">
        <w:rPr>
          <w:lang w:eastAsia="ja-JP"/>
        </w:rPr>
        <w:t xml:space="preserve">du compte rendu sur les projets récemment achevés et en cours cofinancés par l'OCVV. Le TWM a noté que les marqueurs moléculaires sélectionnés dans le cadre des projets étaient accessibles au public et a pris note de l'offre de </w:t>
      </w:r>
      <w:r w:rsidR="00E65203" w:rsidRPr="00EA4F84">
        <w:t>la Chine d'échanger une sélection de marqueurs KASP.</w:t>
      </w:r>
    </w:p>
    <w:p w14:paraId="22656697" w14:textId="77777777" w:rsidR="00E65203" w:rsidRPr="00EA4F84" w:rsidRDefault="00E65203" w:rsidP="00E65203"/>
    <w:p w14:paraId="271D65A1" w14:textId="77777777" w:rsidR="00E65203" w:rsidRPr="00EA4F84" w:rsidRDefault="00E65203" w:rsidP="00EF24D5">
      <w:pPr>
        <w:pStyle w:val="Heading2"/>
        <w:rPr>
          <w:lang w:val="fr-FR"/>
        </w:rPr>
      </w:pPr>
      <w:bookmarkStart w:id="50" w:name="_Toc210661243"/>
      <w:r w:rsidRPr="00EA4F84">
        <w:rPr>
          <w:lang w:val="fr-FR"/>
        </w:rPr>
        <w:t>Méthodes d'analyse des données moléculaires, gestion des bases de données et échange de données et de matériel</w:t>
      </w:r>
      <w:bookmarkEnd w:id="50"/>
    </w:p>
    <w:p w14:paraId="2DD0A2DD" w14:textId="77777777" w:rsidR="00E65203" w:rsidRPr="00EA4F84" w:rsidRDefault="00E65203" w:rsidP="00E65203"/>
    <w:p w14:paraId="3804B5CD" w14:textId="77777777" w:rsidR="00E65203" w:rsidRPr="00EA4F84" w:rsidRDefault="00E65203" w:rsidP="00EF24D5">
      <w:pPr>
        <w:pStyle w:val="Heading3"/>
        <w:rPr>
          <w:lang w:val="fr-FR"/>
        </w:rPr>
      </w:pPr>
      <w:bookmarkStart w:id="51" w:name="_Toc210661244"/>
      <w:r w:rsidRPr="00EA4F84">
        <w:rPr>
          <w:lang w:val="fr-FR"/>
        </w:rPr>
        <w:t>Exploitation des marqueurs de polymorphismes haplotypes des cultures pour l'identification généalogique</w:t>
      </w:r>
      <w:bookmarkEnd w:id="51"/>
    </w:p>
    <w:p w14:paraId="27BF582F" w14:textId="77777777" w:rsidR="00E65203" w:rsidRPr="00EA4F84" w:rsidRDefault="00E65203" w:rsidP="00E65203"/>
    <w:p w14:paraId="72A6CD53" w14:textId="794E29A9"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t xml:space="preserve">Le TWM a entendu un exposé de </w:t>
      </w:r>
      <w:r w:rsidR="00E65203" w:rsidRPr="00EA4F84">
        <w:rPr>
          <w:rFonts w:hint="eastAsia"/>
          <w:lang w:eastAsia="ja-JP"/>
        </w:rPr>
        <w:t>M</w:t>
      </w:r>
      <w:r w:rsidR="00E65203" w:rsidRPr="00EA4F84">
        <w:t xml:space="preserve">. </w:t>
      </w:r>
      <w:proofErr w:type="spellStart"/>
      <w:r w:rsidR="00E65203" w:rsidRPr="00EA4F84">
        <w:t>Yikun</w:t>
      </w:r>
      <w:proofErr w:type="spellEnd"/>
      <w:r w:rsidR="00E65203" w:rsidRPr="00EA4F84">
        <w:t xml:space="preserve"> Zhao (Chine) intitulé </w:t>
      </w:r>
      <w:r w:rsidR="00EA4F84">
        <w:t>“ </w:t>
      </w:r>
      <w:r w:rsidR="00E65203" w:rsidRPr="00EA4F84">
        <w:t>Exploitation des marqueurs de polymorphismes haplotypes (HTP) des cultures pour l'identification généalogique</w:t>
      </w:r>
      <w:r w:rsidR="00EA4F84">
        <w:t> »</w:t>
      </w:r>
      <w:r w:rsidR="00E65203" w:rsidRPr="00EA4F84">
        <w:t xml:space="preserve">, </w:t>
      </w:r>
      <w:r w:rsidR="00E65203" w:rsidRPr="00EA4F84">
        <w:rPr>
          <w:rFonts w:cs="Arial"/>
          <w:iCs/>
        </w:rPr>
        <w:t xml:space="preserve">dont une copie figure dans le document </w:t>
      </w:r>
      <w:r w:rsidR="00E65203" w:rsidRPr="00EA4F84">
        <w:rPr>
          <w:lang w:eastAsia="ja-JP"/>
        </w:rPr>
        <w:t>TWM/3/10</w:t>
      </w:r>
      <w:r w:rsidR="00E65203" w:rsidRPr="00EA4F84">
        <w:t xml:space="preserve">.  </w:t>
      </w:r>
    </w:p>
    <w:p w14:paraId="041FE995" w14:textId="77777777" w:rsidR="00E65203" w:rsidRPr="00EA4F84" w:rsidRDefault="00E65203" w:rsidP="00E65203">
      <w:pPr>
        <w:pStyle w:val="ListParagraph"/>
        <w:ind w:left="0"/>
        <w:jc w:val="both"/>
      </w:pPr>
    </w:p>
    <w:p w14:paraId="5750B97E" w14:textId="1576DAD5"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rPr>
          <w:lang w:eastAsia="ja-JP"/>
        </w:rPr>
        <w:t xml:space="preserve">Le TWM a examiné l'utilité des marqueurs HTP pour l'identification généalogique des hybrides triples de maïs et leur utilisation possible pour le soja. Le TWM a examiné les méthodes statistiques permettant d'évaluer la fiabilité de la méthode et a pris note de l'identification correcte de 94 % des échantillons dans les tests effectués. </w:t>
      </w:r>
      <w:r w:rsidR="00E65203" w:rsidRPr="00EA4F84">
        <w:t xml:space="preserve">Le TWM </w:t>
      </w:r>
      <w:r w:rsidR="00E65203" w:rsidRPr="00EA4F84">
        <w:rPr>
          <w:lang w:eastAsia="ja-JP"/>
        </w:rPr>
        <w:t>a noté que les marqueurs HTP pourraient éventuellement être utilisés pour évaluer les variétés essentiellement dérivées (EDV). Le TWM a convenu d'inviter l'expert de Chine à rendre compte des développements lors de sa quatrième session.</w:t>
      </w:r>
    </w:p>
    <w:p w14:paraId="4EE8F1BC" w14:textId="77777777" w:rsidR="00E65203" w:rsidRPr="00EA4F84" w:rsidRDefault="00E65203" w:rsidP="00E65203">
      <w:pPr>
        <w:pStyle w:val="ListParagraph"/>
        <w:ind w:left="0"/>
        <w:jc w:val="both"/>
      </w:pPr>
    </w:p>
    <w:p w14:paraId="598EA6C4" w14:textId="77777777" w:rsidR="00E65203" w:rsidRPr="00EA4F84" w:rsidRDefault="00E65203" w:rsidP="00EF24D5">
      <w:pPr>
        <w:pStyle w:val="Heading3"/>
        <w:keepLines/>
        <w:rPr>
          <w:lang w:val="fr-FR"/>
        </w:rPr>
      </w:pPr>
      <w:bookmarkStart w:id="52" w:name="_Toc210661245"/>
      <w:r w:rsidRPr="00EA4F84">
        <w:rPr>
          <w:lang w:val="fr-FR"/>
        </w:rPr>
        <w:t>PAD – un algorithme de détection des descendants et des ancêtres basé sur les profils génétiques</w:t>
      </w:r>
      <w:bookmarkEnd w:id="52"/>
    </w:p>
    <w:p w14:paraId="50A09581" w14:textId="77777777" w:rsidR="00E65203" w:rsidRPr="00EA4F84" w:rsidRDefault="00E65203" w:rsidP="00EF24D5">
      <w:pPr>
        <w:keepNext/>
        <w:keepLines/>
      </w:pPr>
    </w:p>
    <w:p w14:paraId="3B9449B5" w14:textId="326C92AD" w:rsidR="00E65203" w:rsidRPr="00EA4F84" w:rsidRDefault="00BF7C58" w:rsidP="00BF7C58">
      <w:pPr>
        <w:keepNext/>
        <w:keepLines/>
      </w:pPr>
      <w:r w:rsidRPr="00EA4F84">
        <w:fldChar w:fldCharType="begin"/>
      </w:r>
      <w:r w:rsidRPr="00EA4F84">
        <w:instrText xml:space="preserve"> AUTONUM  </w:instrText>
      </w:r>
      <w:r w:rsidRPr="00EA4F84">
        <w:fldChar w:fldCharType="end"/>
      </w:r>
      <w:r w:rsidRPr="00EA4F84">
        <w:tab/>
      </w:r>
      <w:r w:rsidR="00E65203" w:rsidRPr="00EA4F84">
        <w:t xml:space="preserve">Le TWM a entendu une présentation de </w:t>
      </w:r>
      <w:r w:rsidR="00E65203" w:rsidRPr="00EA4F84">
        <w:rPr>
          <w:rFonts w:hint="eastAsia"/>
          <w:lang w:eastAsia="ja-JP"/>
        </w:rPr>
        <w:t>M</w:t>
      </w:r>
      <w:r w:rsidR="00E65203" w:rsidRPr="00EA4F84">
        <w:t xml:space="preserve">. Emerson </w:t>
      </w:r>
      <w:proofErr w:type="spellStart"/>
      <w:r w:rsidR="00E65203" w:rsidRPr="00EA4F84">
        <w:t>Limberger</w:t>
      </w:r>
      <w:proofErr w:type="spellEnd"/>
      <w:r w:rsidR="00E65203" w:rsidRPr="00EA4F84">
        <w:t xml:space="preserve">, International </w:t>
      </w:r>
      <w:proofErr w:type="spellStart"/>
      <w:r w:rsidR="00E65203" w:rsidRPr="00EA4F84">
        <w:t>Seed</w:t>
      </w:r>
      <w:proofErr w:type="spellEnd"/>
      <w:r w:rsidR="00E65203" w:rsidRPr="00EA4F84">
        <w:t xml:space="preserve"> </w:t>
      </w:r>
      <w:proofErr w:type="spellStart"/>
      <w:r w:rsidR="00E65203" w:rsidRPr="00EA4F84">
        <w:t>Federation</w:t>
      </w:r>
      <w:proofErr w:type="spellEnd"/>
      <w:r w:rsidR="00E65203" w:rsidRPr="00EA4F84">
        <w:t xml:space="preserve"> (ISF), sur le thème </w:t>
      </w:r>
      <w:r w:rsidR="00EA4F84">
        <w:t>“ </w:t>
      </w:r>
      <w:r w:rsidR="00E65203" w:rsidRPr="00EA4F84">
        <w:t>PAD – un algorithme de détection des descendants et des ancêtres basé sur les profils génétiques</w:t>
      </w:r>
      <w:r w:rsidR="00EA4F84">
        <w:t> »</w:t>
      </w:r>
      <w:r w:rsidR="00E65203" w:rsidRPr="00EA4F84">
        <w:t xml:space="preserve">, </w:t>
      </w:r>
      <w:r w:rsidR="00E65203" w:rsidRPr="00EA4F84">
        <w:rPr>
          <w:rFonts w:cs="Arial"/>
          <w:iCs/>
        </w:rPr>
        <w:t xml:space="preserve">dont une copie figure dans le document </w:t>
      </w:r>
      <w:r w:rsidR="00E65203" w:rsidRPr="00EA4F84">
        <w:rPr>
          <w:rFonts w:hint="eastAsia"/>
          <w:lang w:eastAsia="ja-JP"/>
        </w:rPr>
        <w:t>TWM/3/17</w:t>
      </w:r>
      <w:r w:rsidR="00E65203" w:rsidRPr="00EA4F84">
        <w:t xml:space="preserve">.  </w:t>
      </w:r>
    </w:p>
    <w:p w14:paraId="42DC8869" w14:textId="77777777" w:rsidR="00E65203" w:rsidRPr="00EA4F84" w:rsidRDefault="00E65203" w:rsidP="00E65203">
      <w:pPr>
        <w:pStyle w:val="ListParagraph"/>
        <w:ind w:left="0"/>
        <w:jc w:val="both"/>
      </w:pPr>
    </w:p>
    <w:p w14:paraId="2169EDF3" w14:textId="1238D85B"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t xml:space="preserve">Le TWM a noté que les marqueurs MNP donneraient de meilleurs résultats, mais qu'en </w:t>
      </w:r>
      <w:r w:rsidR="00E65203" w:rsidRPr="00EA4F84">
        <w:rPr>
          <w:rFonts w:hint="eastAsia"/>
          <w:lang w:eastAsia="ja-JP"/>
        </w:rPr>
        <w:t xml:space="preserve">l'absence </w:t>
      </w:r>
      <w:r w:rsidR="00E65203" w:rsidRPr="00EA4F84">
        <w:t>de marqueurs MNP, des marqueurs génétiques basés sur des blocs de recombinaison pourraient être utilisés comme alternative, bien que des tests supplémentaires soient nécessaires. Le TWM a noté qu'une version test de l'algorithme serait mise à la disposition des experts intéressés.</w:t>
      </w:r>
    </w:p>
    <w:p w14:paraId="77DA59E4" w14:textId="77777777" w:rsidR="00E65203" w:rsidRPr="00EA4F84" w:rsidRDefault="00E65203" w:rsidP="00E65203"/>
    <w:p w14:paraId="0EB77F22" w14:textId="77777777" w:rsidR="00E65203" w:rsidRPr="00EA4F84" w:rsidRDefault="00E65203" w:rsidP="00EF24D5">
      <w:pPr>
        <w:pStyle w:val="Heading3"/>
        <w:rPr>
          <w:lang w:val="fr-FR"/>
        </w:rPr>
      </w:pPr>
      <w:bookmarkStart w:id="53" w:name="_Toc210661246"/>
      <w:proofErr w:type="spellStart"/>
      <w:r w:rsidRPr="00EA4F84">
        <w:rPr>
          <w:lang w:val="fr-FR"/>
        </w:rPr>
        <w:t>DurdusTools</w:t>
      </w:r>
      <w:proofErr w:type="spellEnd"/>
      <w:r w:rsidRPr="00EA4F84">
        <w:rPr>
          <w:lang w:val="fr-FR"/>
        </w:rPr>
        <w:t xml:space="preserve"> : état actuel et utilisation dans l'examen DHS</w:t>
      </w:r>
      <w:bookmarkEnd w:id="53"/>
    </w:p>
    <w:p w14:paraId="30950635" w14:textId="77777777" w:rsidR="00E65203" w:rsidRPr="00EA4F84" w:rsidRDefault="00E65203" w:rsidP="00E65203"/>
    <w:p w14:paraId="601BE456" w14:textId="0CE5E27A"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t xml:space="preserve">Le TWM a entendu un exposé de Mme Alexandra </w:t>
      </w:r>
      <w:proofErr w:type="spellStart"/>
      <w:r w:rsidR="00E65203" w:rsidRPr="00EA4F84">
        <w:t>Ribarits</w:t>
      </w:r>
      <w:proofErr w:type="spellEnd"/>
      <w:r w:rsidR="00E65203" w:rsidRPr="00EA4F84">
        <w:t xml:space="preserve"> (</w:t>
      </w:r>
      <w:r w:rsidR="00E65203" w:rsidRPr="00EA4F84">
        <w:rPr>
          <w:rFonts w:hint="eastAsia"/>
          <w:lang w:eastAsia="ja-JP"/>
        </w:rPr>
        <w:t>Autriche</w:t>
      </w:r>
      <w:r w:rsidR="00E65203" w:rsidRPr="00EA4F84">
        <w:t>) sur le thème “</w:t>
      </w:r>
      <w:proofErr w:type="spellStart"/>
      <w:r w:rsidR="00E65203" w:rsidRPr="00EA4F84">
        <w:t>DurdusTools</w:t>
      </w:r>
      <w:proofErr w:type="spellEnd"/>
      <w:r w:rsidR="00E65203" w:rsidRPr="00EA4F84">
        <w:t xml:space="preserve"> : état actuel et utilisation dans l’examen DHS”, </w:t>
      </w:r>
      <w:r w:rsidR="00E65203" w:rsidRPr="00EA4F84">
        <w:rPr>
          <w:rFonts w:cs="Arial"/>
          <w:iCs/>
        </w:rPr>
        <w:t xml:space="preserve">dont une copie figure dans le document </w:t>
      </w:r>
      <w:r w:rsidR="00E65203" w:rsidRPr="00EA4F84">
        <w:rPr>
          <w:rFonts w:hint="eastAsia"/>
          <w:lang w:eastAsia="ja-JP"/>
        </w:rPr>
        <w:t>TWM/3/21</w:t>
      </w:r>
      <w:r w:rsidR="00E65203" w:rsidRPr="00EA4F84">
        <w:t xml:space="preserve">. </w:t>
      </w:r>
    </w:p>
    <w:p w14:paraId="2913A337" w14:textId="77777777" w:rsidR="00E65203" w:rsidRPr="00EA4F84" w:rsidRDefault="00E65203" w:rsidP="00E65203">
      <w:pPr>
        <w:pStyle w:val="ListParagraph"/>
        <w:ind w:left="0"/>
        <w:jc w:val="both"/>
      </w:pPr>
    </w:p>
    <w:p w14:paraId="71694500" w14:textId="16EF31A2"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rPr>
          <w:lang w:eastAsia="ja-JP"/>
        </w:rPr>
        <w:t xml:space="preserve">Le TWM a pris note de l'utilisation de </w:t>
      </w:r>
      <w:proofErr w:type="spellStart"/>
      <w:r w:rsidR="00E65203" w:rsidRPr="00EA4F84">
        <w:t>DurdusTools</w:t>
      </w:r>
      <w:proofErr w:type="spellEnd"/>
      <w:r w:rsidR="00E65203" w:rsidRPr="00EA4F84">
        <w:t xml:space="preserve"> </w:t>
      </w:r>
      <w:r w:rsidR="00E65203" w:rsidRPr="00EA4F84">
        <w:rPr>
          <w:lang w:eastAsia="ja-JP"/>
        </w:rPr>
        <w:t>pour calculer les distances génétiques à l'appui de l'examen DHS de routine des autorités participantes depuis 2024. Le TWM a noté que les autorités participantes couvraient les coûts opérationnels, y compris la maintenance de la base de données et la génération de données moléculaires.</w:t>
      </w:r>
    </w:p>
    <w:p w14:paraId="6E8910E6" w14:textId="77777777" w:rsidR="00E65203" w:rsidRPr="00EA4F84" w:rsidRDefault="00E65203" w:rsidP="00E65203">
      <w:pPr>
        <w:pStyle w:val="ListParagraph"/>
        <w:ind w:left="0"/>
        <w:jc w:val="both"/>
      </w:pPr>
    </w:p>
    <w:p w14:paraId="1B5A4A28" w14:textId="77777777" w:rsidR="00E65203" w:rsidRPr="00EA4F84" w:rsidRDefault="00E65203" w:rsidP="00EF24D5">
      <w:pPr>
        <w:pStyle w:val="Heading3"/>
        <w:rPr>
          <w:lang w:val="fr-FR"/>
        </w:rPr>
      </w:pPr>
      <w:bookmarkStart w:id="54" w:name="_Toc210661247"/>
      <w:r w:rsidRPr="00EA4F84">
        <w:rPr>
          <w:lang w:val="fr-FR"/>
        </w:rPr>
        <w:t>Mise au point d'outils de phénotypage DHS pour et avec les services d'examen : expérience acquise</w:t>
      </w:r>
      <w:bookmarkEnd w:id="54"/>
    </w:p>
    <w:p w14:paraId="71DBAB15" w14:textId="77777777" w:rsidR="00E65203" w:rsidRPr="00EA4F84" w:rsidRDefault="00E65203" w:rsidP="00E65203"/>
    <w:p w14:paraId="133F3A92" w14:textId="62A78FC7"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t xml:space="preserve">Le TWM a entendu un exposé de M. Joseph Peller </w:t>
      </w:r>
      <w:r w:rsidR="00E65203" w:rsidRPr="00EA4F84">
        <w:rPr>
          <w:lang w:eastAsia="ja-JP"/>
        </w:rPr>
        <w:t>(Pays-Bas (Royaume des)</w:t>
      </w:r>
      <w:r w:rsidR="00E65203" w:rsidRPr="00EA4F84">
        <w:rPr>
          <w:rFonts w:hint="eastAsia"/>
          <w:lang w:eastAsia="ja-JP"/>
        </w:rPr>
        <w:t>)</w:t>
      </w:r>
      <w:r w:rsidR="00E65203" w:rsidRPr="00EA4F84">
        <w:t xml:space="preserve">, intitulé </w:t>
      </w:r>
      <w:r w:rsidR="00EA4F84">
        <w:t>“ </w:t>
      </w:r>
      <w:r w:rsidR="00E65203" w:rsidRPr="00EA4F84">
        <w:t>Développement d'outils de phénotypage DHS pour et avec les services d'examen : expérience acquise</w:t>
      </w:r>
      <w:r w:rsidR="00EA4F84">
        <w:t> »</w:t>
      </w:r>
      <w:r w:rsidR="00E65203" w:rsidRPr="00EA4F84">
        <w:t xml:space="preserve">, </w:t>
      </w:r>
      <w:r w:rsidR="00E65203" w:rsidRPr="00EA4F84">
        <w:rPr>
          <w:rFonts w:cs="Arial"/>
          <w:iCs/>
        </w:rPr>
        <w:t xml:space="preserve">dont une copie figure dans le document </w:t>
      </w:r>
      <w:r w:rsidR="00E65203" w:rsidRPr="00EA4F84">
        <w:rPr>
          <w:rFonts w:hint="eastAsia"/>
          <w:lang w:eastAsia="ja-JP"/>
        </w:rPr>
        <w:t>TWM/3/27</w:t>
      </w:r>
      <w:r w:rsidR="00E65203" w:rsidRPr="00EA4F84">
        <w:t xml:space="preserve">.  </w:t>
      </w:r>
    </w:p>
    <w:p w14:paraId="7BB6A2EA" w14:textId="77777777" w:rsidR="00E65203" w:rsidRPr="00EA4F84" w:rsidRDefault="00E65203" w:rsidP="00E65203">
      <w:pPr>
        <w:rPr>
          <w:rFonts w:eastAsia="Times New Roman"/>
          <w:kern w:val="2"/>
        </w:rPr>
      </w:pPr>
    </w:p>
    <w:p w14:paraId="2894EDD6" w14:textId="06E7420B"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t xml:space="preserve">Le TWM a pris note </w:t>
      </w:r>
      <w:r w:rsidR="00E65203" w:rsidRPr="00EA4F84">
        <w:rPr>
          <w:rFonts w:eastAsia="Times New Roman"/>
          <w:kern w:val="2"/>
        </w:rPr>
        <w:t xml:space="preserve">de la disponibilité d'un prototype d'application pour téléphone mobile permettant d'évaluer les rapports de volume et de forme des fruits, à partir d'images capturées dans une perspective descendante.  </w:t>
      </w:r>
      <w:r w:rsidR="00E65203" w:rsidRPr="00EA4F84">
        <w:rPr>
          <w:lang w:eastAsia="ja-JP"/>
        </w:rPr>
        <w:t xml:space="preserve">Le TWM a noté </w:t>
      </w:r>
      <w:r w:rsidR="00E65203" w:rsidRPr="00EA4F84">
        <w:rPr>
          <w:rFonts w:eastAsia="Times New Roman"/>
          <w:kern w:val="2"/>
        </w:rPr>
        <w:t xml:space="preserve">que le code de programmation de la demande était open source et disponible sur GitHub.  Le TWM a pris note de l'invitation à collaborer pour poursuivre le développement de la demande, en particulier pour stabiliser l'interface du téléphone mobile. La demande et le tutoriel sont disponibles à l'adresse suivante : </w:t>
      </w:r>
      <w:hyperlink r:id="rId19" w:history="1">
        <w:r w:rsidR="00E65203" w:rsidRPr="00EA4F84">
          <w:rPr>
            <w:rFonts w:eastAsia="Times New Roman"/>
            <w:color w:val="0000FF"/>
            <w:kern w:val="2"/>
            <w:u w:val="single"/>
          </w:rPr>
          <w:t>https://play.google.com/store/apps/details?id=com.wur.invite.morph_app&amp;hl=en-US)</w:t>
        </w:r>
      </w:hyperlink>
      <w:r w:rsidR="00E65203" w:rsidRPr="00EA4F84">
        <w:rPr>
          <w:rFonts w:eastAsia="Times New Roman"/>
          <w:kern w:val="2"/>
        </w:rPr>
        <w:t xml:space="preserve">.  </w:t>
      </w:r>
    </w:p>
    <w:p w14:paraId="7474E3E9" w14:textId="77777777" w:rsidR="00E65203" w:rsidRPr="00EA4F84" w:rsidRDefault="00E65203" w:rsidP="00E65203">
      <w:pPr>
        <w:rPr>
          <w:rFonts w:eastAsia="Times New Roman"/>
          <w:kern w:val="2"/>
        </w:rPr>
      </w:pPr>
    </w:p>
    <w:p w14:paraId="43585230" w14:textId="69B91E59"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rPr>
          <w:rFonts w:eastAsia="Times New Roman"/>
          <w:kern w:val="2"/>
        </w:rPr>
        <w:t xml:space="preserve">Le TWM a convenu de l'importance des demandes pour appareils mobiles afin d'améliorer l'efficacité de l'examen DHS. </w:t>
      </w:r>
    </w:p>
    <w:p w14:paraId="2E55CEAF" w14:textId="77777777" w:rsidR="00E65203" w:rsidRPr="00EA4F84" w:rsidRDefault="00E65203" w:rsidP="00E65203">
      <w:pPr>
        <w:pStyle w:val="ListParagraph"/>
        <w:ind w:left="0"/>
        <w:jc w:val="both"/>
      </w:pPr>
    </w:p>
    <w:p w14:paraId="2CE6E1D9" w14:textId="35681E2D" w:rsidR="00E65203" w:rsidRPr="00EA4F84" w:rsidRDefault="00E65203" w:rsidP="00EF24D5">
      <w:pPr>
        <w:pStyle w:val="Heading3"/>
        <w:rPr>
          <w:lang w:val="fr-FR"/>
        </w:rPr>
      </w:pPr>
      <w:bookmarkStart w:id="55" w:name="_Toc210661248"/>
      <w:r w:rsidRPr="00EA4F84">
        <w:rPr>
          <w:lang w:val="fr-FR"/>
        </w:rPr>
        <w:lastRenderedPageBreak/>
        <w:t>Concept de phénotypage pour renforcer la chaîne de protection des obtentions végétales grâce à l'utilisation combinée de l'</w:t>
      </w:r>
      <w:r w:rsidR="00CA073A" w:rsidRPr="00CA073A">
        <w:rPr>
          <w:lang w:val="fr-FR"/>
        </w:rPr>
        <w:t>IA&amp;AI</w:t>
      </w:r>
      <w:bookmarkEnd w:id="55"/>
    </w:p>
    <w:p w14:paraId="3073063E" w14:textId="77777777" w:rsidR="00E65203" w:rsidRPr="00EA4F84" w:rsidRDefault="00E65203" w:rsidP="00E65203">
      <w:pPr>
        <w:keepNext/>
      </w:pPr>
    </w:p>
    <w:p w14:paraId="47C34C25" w14:textId="52E791E9" w:rsidR="00E65203" w:rsidRPr="00EA4F84" w:rsidRDefault="00BF7C58" w:rsidP="00BF7C58">
      <w:pPr>
        <w:keepNext/>
      </w:pPr>
      <w:r w:rsidRPr="00EA4F84">
        <w:fldChar w:fldCharType="begin"/>
      </w:r>
      <w:r w:rsidRPr="00EA4F84">
        <w:instrText xml:space="preserve"> AUTONUM  </w:instrText>
      </w:r>
      <w:r w:rsidRPr="00EA4F84">
        <w:fldChar w:fldCharType="end"/>
      </w:r>
      <w:r w:rsidRPr="00EA4F84">
        <w:tab/>
      </w:r>
      <w:r w:rsidR="00E65203" w:rsidRPr="00EA4F84">
        <w:t xml:space="preserve">Le TWM a entendu une présentation de </w:t>
      </w:r>
      <w:r w:rsidR="00E65203" w:rsidRPr="00EA4F84">
        <w:rPr>
          <w:rFonts w:hint="eastAsia"/>
          <w:lang w:eastAsia="ja-JP"/>
        </w:rPr>
        <w:t>M</w:t>
      </w:r>
      <w:r w:rsidR="00E65203" w:rsidRPr="00EA4F84">
        <w:t xml:space="preserve">. </w:t>
      </w:r>
      <w:proofErr w:type="spellStart"/>
      <w:r w:rsidR="00E65203" w:rsidRPr="00EA4F84">
        <w:t>Zsolt</w:t>
      </w:r>
      <w:proofErr w:type="spellEnd"/>
      <w:r w:rsidR="00E65203" w:rsidRPr="00EA4F84">
        <w:t xml:space="preserve"> </w:t>
      </w:r>
      <w:proofErr w:type="spellStart"/>
      <w:r w:rsidR="00E65203" w:rsidRPr="00EA4F84">
        <w:t>Szani</w:t>
      </w:r>
      <w:proofErr w:type="spellEnd"/>
      <w:r w:rsidR="00E65203" w:rsidRPr="00EA4F84">
        <w:t xml:space="preserve"> (Hongrie) sur le thème "Concept de phénotypage pour renforcer la chaîne de protection des obtentions végétales grâce à l'utilisation combinée de l'analyse d'images et de l'intelligence artificielle (IA&amp;AI)", </w:t>
      </w:r>
      <w:r w:rsidR="00E65203" w:rsidRPr="00EA4F84">
        <w:rPr>
          <w:rFonts w:cs="Arial"/>
          <w:iCs/>
        </w:rPr>
        <w:t xml:space="preserve">dont une copie figure dans le document </w:t>
      </w:r>
      <w:r w:rsidR="00E65203" w:rsidRPr="00EA4F84">
        <w:rPr>
          <w:rFonts w:hint="eastAsia"/>
          <w:lang w:eastAsia="ja-JP"/>
        </w:rPr>
        <w:t>TWM/3/28</w:t>
      </w:r>
      <w:r w:rsidR="00E65203" w:rsidRPr="00EA4F84">
        <w:t xml:space="preserve">.  </w:t>
      </w:r>
    </w:p>
    <w:p w14:paraId="2A4CF631" w14:textId="77777777" w:rsidR="00E65203" w:rsidRPr="00EA4F84" w:rsidRDefault="00E65203" w:rsidP="00E65203">
      <w:pPr>
        <w:pStyle w:val="ListParagraph"/>
        <w:ind w:left="0"/>
        <w:jc w:val="both"/>
      </w:pPr>
    </w:p>
    <w:p w14:paraId="658D8BF7" w14:textId="0609D9F7" w:rsidR="00E65203" w:rsidRPr="00EA4F84" w:rsidRDefault="00BF7C58" w:rsidP="00BF7C58">
      <w:pPr>
        <w:rPr>
          <w:lang w:eastAsia="ja-JP"/>
        </w:rPr>
      </w:pPr>
      <w:r w:rsidRPr="00EA4F84">
        <w:fldChar w:fldCharType="begin"/>
      </w:r>
      <w:r w:rsidRPr="00EA4F84">
        <w:instrText xml:space="preserve"> AUTONUM  </w:instrText>
      </w:r>
      <w:r w:rsidRPr="00EA4F84">
        <w:fldChar w:fldCharType="end"/>
      </w:r>
      <w:r w:rsidRPr="00EA4F84">
        <w:tab/>
      </w:r>
      <w:r w:rsidR="00E65203" w:rsidRPr="00EA4F84">
        <w:t xml:space="preserve">Le TWM </w:t>
      </w:r>
      <w:r w:rsidR="00E65203" w:rsidRPr="00EA4F84">
        <w:rPr>
          <w:lang w:eastAsia="ja-JP"/>
        </w:rPr>
        <w:t xml:space="preserve">a examiné l'utilisation d'algorithmes pour l'analyse d'images et est convenu qu'ils devaient être décrits et validés. Le TWM est convenu que l'introduction d'outils de phénotypage dans l'examen des variétés nécessite une quantité suffisante de </w:t>
      </w:r>
      <w:r w:rsidR="00E65203" w:rsidRPr="00EA4F84">
        <w:rPr>
          <w:rFonts w:hint="eastAsia"/>
          <w:lang w:eastAsia="ja-JP"/>
        </w:rPr>
        <w:t>données</w:t>
      </w:r>
      <w:r w:rsidR="00E65203" w:rsidRPr="00EA4F84">
        <w:rPr>
          <w:lang w:eastAsia="ja-JP"/>
        </w:rPr>
        <w:t xml:space="preserve"> variétales pour l'apprentissage des algorithmes et la validation des analyses générées.</w:t>
      </w:r>
    </w:p>
    <w:p w14:paraId="023F7E97" w14:textId="77777777" w:rsidR="00E65203" w:rsidRPr="00EA4F84" w:rsidRDefault="00E65203" w:rsidP="00E65203">
      <w:pPr>
        <w:pStyle w:val="ListParagraph"/>
        <w:ind w:left="0"/>
        <w:jc w:val="both"/>
      </w:pPr>
    </w:p>
    <w:p w14:paraId="58E823FF" w14:textId="77777777" w:rsidR="00E65203" w:rsidRPr="00EA4F84" w:rsidRDefault="00E65203" w:rsidP="00EF24D5">
      <w:pPr>
        <w:pStyle w:val="Heading3"/>
        <w:rPr>
          <w:lang w:val="fr-FR"/>
        </w:rPr>
      </w:pPr>
      <w:bookmarkStart w:id="56" w:name="_Toc210661249"/>
      <w:r w:rsidRPr="00EA4F84">
        <w:rPr>
          <w:lang w:val="fr-FR"/>
        </w:rPr>
        <w:t>Utilisation des bases de données ADN à Naktuinbouw pour améliorer les travaux DHS</w:t>
      </w:r>
      <w:bookmarkEnd w:id="56"/>
    </w:p>
    <w:p w14:paraId="5CB9CFDE" w14:textId="77777777" w:rsidR="00E65203" w:rsidRPr="00EA4F84" w:rsidRDefault="00E65203" w:rsidP="00E65203"/>
    <w:p w14:paraId="5F686D82" w14:textId="2C2DF6A7"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t xml:space="preserve">Le TWM a entendu une présentation de Mme Cécile Marchenay </w:t>
      </w:r>
      <w:r w:rsidR="00E65203" w:rsidRPr="00EA4F84">
        <w:rPr>
          <w:lang w:eastAsia="ja-JP"/>
        </w:rPr>
        <w:t>(Pays-Bas (Royaume des)</w:t>
      </w:r>
      <w:r w:rsidR="00E65203" w:rsidRPr="00EA4F84">
        <w:rPr>
          <w:rFonts w:hint="eastAsia"/>
          <w:lang w:eastAsia="ja-JP"/>
        </w:rPr>
        <w:t xml:space="preserve">) </w:t>
      </w:r>
      <w:r w:rsidR="00E65203" w:rsidRPr="00EA4F84">
        <w:t xml:space="preserve">sur </w:t>
      </w:r>
      <w:r w:rsidR="00EA4F84">
        <w:t>“ </w:t>
      </w:r>
      <w:r w:rsidR="00E65203" w:rsidRPr="00EA4F84">
        <w:t>L'utilisation des bases de données ADN au Naktuinbouw pour améliorer le travail DHS</w:t>
      </w:r>
      <w:r w:rsidR="00EA4F84">
        <w:t> »</w:t>
      </w:r>
      <w:r w:rsidR="00E65203" w:rsidRPr="00EA4F84">
        <w:t xml:space="preserve">, </w:t>
      </w:r>
      <w:r w:rsidR="00E65203" w:rsidRPr="00EA4F84">
        <w:rPr>
          <w:rFonts w:cs="Arial"/>
          <w:iCs/>
        </w:rPr>
        <w:t xml:space="preserve">dont une copie figure dans le document </w:t>
      </w:r>
      <w:r w:rsidR="00E65203" w:rsidRPr="00EA4F84">
        <w:rPr>
          <w:rFonts w:hint="eastAsia"/>
          <w:lang w:eastAsia="ja-JP"/>
        </w:rPr>
        <w:t>TWM/3/8</w:t>
      </w:r>
      <w:r w:rsidR="00E65203" w:rsidRPr="00EA4F84">
        <w:t>.</w:t>
      </w:r>
    </w:p>
    <w:p w14:paraId="443E09B7" w14:textId="50CDDF8D" w:rsidR="00E65203" w:rsidRPr="00EA4F84" w:rsidRDefault="00E65203" w:rsidP="00E65203">
      <w:pPr>
        <w:pStyle w:val="ListParagraph"/>
        <w:ind w:left="0"/>
        <w:jc w:val="both"/>
      </w:pPr>
    </w:p>
    <w:p w14:paraId="1B078421" w14:textId="10978CE3"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t xml:space="preserve">Le TWM a examiné les défis et les possibilités liés à l'utilisation des informations fondées sur l'ADN comme base pour optimiser les collections de variétés et l'organisation des essais en culture. Le TWM a examiné l'utilisation des informations fondées sur l'ADN pour réduire le nombre de cycles de culture pour les plantes qui seraient normalement examinées dans le cadre de deux essais en culture.  </w:t>
      </w:r>
    </w:p>
    <w:p w14:paraId="0A64A6E1" w14:textId="77777777" w:rsidR="00E65203" w:rsidRPr="00EA4F84" w:rsidRDefault="00E65203" w:rsidP="00E65203">
      <w:pPr>
        <w:pStyle w:val="ListParagraph"/>
        <w:ind w:left="0"/>
        <w:jc w:val="both"/>
      </w:pPr>
    </w:p>
    <w:p w14:paraId="5262C4C1" w14:textId="77777777" w:rsidR="00E65203" w:rsidRPr="00EA4F84" w:rsidRDefault="00E65203" w:rsidP="00EF24D5">
      <w:pPr>
        <w:pStyle w:val="Heading3"/>
        <w:rPr>
          <w:lang w:val="fr-FR"/>
        </w:rPr>
      </w:pPr>
      <w:bookmarkStart w:id="57" w:name="_Toc210661250"/>
      <w:r w:rsidRPr="00EA4F84">
        <w:rPr>
          <w:lang w:val="fr-FR"/>
        </w:rPr>
        <w:t>Base de données moléculaires partagée</w:t>
      </w:r>
      <w:bookmarkEnd w:id="57"/>
    </w:p>
    <w:p w14:paraId="3222F0BD" w14:textId="77777777" w:rsidR="00E65203" w:rsidRPr="00EA4F84" w:rsidRDefault="00E65203" w:rsidP="00E65203"/>
    <w:p w14:paraId="017A4739" w14:textId="3C6A1A58"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t xml:space="preserve">Le TWM a entendu un exposé de </w:t>
      </w:r>
      <w:r w:rsidR="00E65203" w:rsidRPr="00EA4F84">
        <w:rPr>
          <w:rFonts w:hint="eastAsia"/>
          <w:lang w:eastAsia="ja-JP"/>
        </w:rPr>
        <w:t>M</w:t>
      </w:r>
      <w:r w:rsidR="00E65203" w:rsidRPr="00EA4F84">
        <w:t xml:space="preserve">. René Mathis </w:t>
      </w:r>
      <w:r w:rsidR="00E65203" w:rsidRPr="00EA4F84">
        <w:rPr>
          <w:lang w:eastAsia="ja-JP"/>
        </w:rPr>
        <w:t>(</w:t>
      </w:r>
      <w:r w:rsidR="00E65203" w:rsidRPr="00EA4F84">
        <w:rPr>
          <w:rFonts w:hint="eastAsia"/>
          <w:lang w:eastAsia="ja-JP"/>
        </w:rPr>
        <w:t xml:space="preserve">France) </w:t>
      </w:r>
      <w:r w:rsidR="00E65203" w:rsidRPr="00EA4F84">
        <w:t xml:space="preserve">sur le thème </w:t>
      </w:r>
      <w:r w:rsidR="00EA4F84">
        <w:t>“ </w:t>
      </w:r>
      <w:r w:rsidR="00E65203" w:rsidRPr="00EA4F84">
        <w:t>Base de données moléculaires partagées</w:t>
      </w:r>
      <w:r w:rsidR="00EA4F84">
        <w:t> »</w:t>
      </w:r>
      <w:r w:rsidR="00E65203" w:rsidRPr="00EA4F84">
        <w:t xml:space="preserve">, </w:t>
      </w:r>
      <w:r w:rsidR="00E65203" w:rsidRPr="00EA4F84">
        <w:rPr>
          <w:rFonts w:cs="Arial"/>
          <w:iCs/>
        </w:rPr>
        <w:t xml:space="preserve">dont une copie figure dans le document </w:t>
      </w:r>
      <w:r w:rsidR="00E65203" w:rsidRPr="00EA4F84">
        <w:rPr>
          <w:rFonts w:hint="eastAsia"/>
          <w:lang w:eastAsia="ja-JP"/>
        </w:rPr>
        <w:t>TWM/3/23</w:t>
      </w:r>
      <w:r w:rsidR="00E65203" w:rsidRPr="00EA4F84">
        <w:t xml:space="preserve">.  </w:t>
      </w:r>
    </w:p>
    <w:p w14:paraId="4B0B10E6" w14:textId="77777777" w:rsidR="00E65203" w:rsidRPr="00EA4F84" w:rsidRDefault="00E65203" w:rsidP="00E65203">
      <w:pPr>
        <w:pStyle w:val="ListParagraph"/>
        <w:ind w:left="0"/>
        <w:jc w:val="both"/>
      </w:pPr>
    </w:p>
    <w:p w14:paraId="0294346E" w14:textId="19570619"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rPr>
          <w:lang w:eastAsia="ja-JP"/>
        </w:rPr>
        <w:t xml:space="preserve">Le TWM a convenu de l'utilité des bases de données partagées et </w:t>
      </w:r>
      <w:r w:rsidR="00E65203" w:rsidRPr="00EA4F84">
        <w:t xml:space="preserve">a pris note </w:t>
      </w:r>
      <w:r w:rsidR="00E65203" w:rsidRPr="00EA4F84">
        <w:rPr>
          <w:lang w:eastAsia="ja-JP"/>
        </w:rPr>
        <w:t xml:space="preserve">des projets de bases de données partagées dans l'Union européenne. </w:t>
      </w:r>
    </w:p>
    <w:p w14:paraId="593B0C23" w14:textId="6A57DF79" w:rsidR="00E65203" w:rsidRPr="00EA4F84" w:rsidRDefault="00E65203" w:rsidP="00DC2B85">
      <w:pPr>
        <w:pStyle w:val="ListParagraph"/>
        <w:ind w:left="0"/>
        <w:jc w:val="both"/>
        <w:rPr>
          <w:rFonts w:eastAsiaTheme="minorEastAsia"/>
          <w:lang w:eastAsia="ja-JP"/>
        </w:rPr>
      </w:pPr>
    </w:p>
    <w:p w14:paraId="494D7993" w14:textId="77777777" w:rsidR="00E65203" w:rsidRPr="00EA4F84" w:rsidRDefault="00E65203" w:rsidP="00EF24D5">
      <w:pPr>
        <w:pStyle w:val="Heading2"/>
        <w:rPr>
          <w:lang w:val="fr-FR"/>
        </w:rPr>
      </w:pPr>
      <w:bookmarkStart w:id="58" w:name="_Toc210661251"/>
      <w:r w:rsidRPr="00EA4F84">
        <w:rPr>
          <w:lang w:val="fr-FR"/>
        </w:rPr>
        <w:t>Utilisation des techniques moléculaires dans l'évaluation de la dérivation essentielle</w:t>
      </w:r>
      <w:bookmarkEnd w:id="58"/>
    </w:p>
    <w:p w14:paraId="3C3DD498" w14:textId="77777777" w:rsidR="00E65203" w:rsidRPr="00EA4F84" w:rsidRDefault="00E65203" w:rsidP="00E65203"/>
    <w:p w14:paraId="2B119D0B" w14:textId="0EE14E6C" w:rsidR="00E65203" w:rsidRPr="00EA4F84" w:rsidRDefault="004C3519" w:rsidP="00EF24D5">
      <w:pPr>
        <w:pStyle w:val="Heading3"/>
        <w:rPr>
          <w:lang w:val="fr-FR"/>
        </w:rPr>
      </w:pPr>
      <w:bookmarkStart w:id="59" w:name="_Hlk198890312"/>
      <w:bookmarkStart w:id="60" w:name="_Toc210661252"/>
      <w:bookmarkEnd w:id="59"/>
      <w:r>
        <w:rPr>
          <w:lang w:val="fr-FR"/>
        </w:rPr>
        <w:t>Exploration d</w:t>
      </w:r>
      <w:r w:rsidR="00E65203" w:rsidRPr="00EA4F84">
        <w:rPr>
          <w:lang w:val="fr-FR"/>
        </w:rPr>
        <w:t>es techniques d'identification fondées sur les marqueurs SNP pour les variétés de blé essentiellement dérivées</w:t>
      </w:r>
      <w:bookmarkEnd w:id="60"/>
    </w:p>
    <w:p w14:paraId="5DC26FF5" w14:textId="77777777" w:rsidR="00E65203" w:rsidRPr="00EA4F84" w:rsidRDefault="00E65203" w:rsidP="00E65203"/>
    <w:p w14:paraId="074DF65B" w14:textId="7A0D562A"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t xml:space="preserve">Le TWM a entendu un exposé de Mme </w:t>
      </w:r>
      <w:proofErr w:type="spellStart"/>
      <w:r w:rsidR="00E65203" w:rsidRPr="00EA4F84">
        <w:t>Binshuang</w:t>
      </w:r>
      <w:proofErr w:type="spellEnd"/>
      <w:r w:rsidR="00E65203" w:rsidRPr="00EA4F84">
        <w:t xml:space="preserve"> </w:t>
      </w:r>
      <w:proofErr w:type="spellStart"/>
      <w:r w:rsidR="00E65203" w:rsidRPr="00EA4F84">
        <w:t>Pang</w:t>
      </w:r>
      <w:proofErr w:type="spellEnd"/>
      <w:r w:rsidR="00E65203" w:rsidRPr="00EA4F84">
        <w:t xml:space="preserve"> </w:t>
      </w:r>
      <w:r w:rsidR="00E65203" w:rsidRPr="00EA4F84">
        <w:rPr>
          <w:lang w:eastAsia="ja-JP"/>
        </w:rPr>
        <w:t>(</w:t>
      </w:r>
      <w:r w:rsidR="00E65203" w:rsidRPr="00EA4F84">
        <w:rPr>
          <w:rFonts w:hint="eastAsia"/>
          <w:lang w:eastAsia="ja-JP"/>
        </w:rPr>
        <w:t xml:space="preserve">Chine) </w:t>
      </w:r>
      <w:r w:rsidR="00E65203" w:rsidRPr="00EA4F84">
        <w:t>sur l'</w:t>
      </w:r>
      <w:r w:rsidR="00EA4F84">
        <w:t>“ </w:t>
      </w:r>
      <w:r w:rsidR="00E65203" w:rsidRPr="00EA4F84">
        <w:t>Exploration des techniques d'identification fondées sur les marqueurs SNP pour les variétés de blé essentiellement dérivées</w:t>
      </w:r>
      <w:r w:rsidR="00EA4F84">
        <w:t> »</w:t>
      </w:r>
      <w:r w:rsidR="00E65203" w:rsidRPr="00EA4F84">
        <w:t xml:space="preserve">, </w:t>
      </w:r>
      <w:r w:rsidR="00E65203" w:rsidRPr="00EA4F84">
        <w:rPr>
          <w:rFonts w:cs="Arial"/>
          <w:iCs/>
        </w:rPr>
        <w:t xml:space="preserve">dont une copie figure dans le document </w:t>
      </w:r>
      <w:r w:rsidR="00E65203" w:rsidRPr="00EA4F84">
        <w:rPr>
          <w:rFonts w:hint="eastAsia"/>
          <w:lang w:eastAsia="ja-JP"/>
        </w:rPr>
        <w:t>TWM/3/11</w:t>
      </w:r>
      <w:r w:rsidR="00E65203" w:rsidRPr="00EA4F84">
        <w:t>.</w:t>
      </w:r>
    </w:p>
    <w:p w14:paraId="54F0A732" w14:textId="77777777" w:rsidR="00E65203" w:rsidRPr="00EA4F84" w:rsidRDefault="00E65203" w:rsidP="00E65203">
      <w:pPr>
        <w:pStyle w:val="ListParagraph"/>
        <w:ind w:left="0"/>
        <w:jc w:val="both"/>
      </w:pPr>
    </w:p>
    <w:p w14:paraId="2F4B1476" w14:textId="7DD15A12"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t xml:space="preserve">Le TWM a pris note de la méthode permettant d'établir un seuil de 92 % de dérivation prédominante en utilisant </w:t>
      </w:r>
      <w:r w:rsidR="00E65203" w:rsidRPr="00EA4F84">
        <w:rPr>
          <w:rFonts w:hint="eastAsia"/>
          <w:lang w:eastAsia="ja-JP"/>
        </w:rPr>
        <w:t>au moins</w:t>
      </w:r>
      <w:r w:rsidR="00E65203" w:rsidRPr="00EA4F84">
        <w:t xml:space="preserve"> 20 000 </w:t>
      </w:r>
      <w:r w:rsidR="00E65203" w:rsidRPr="00EA4F84">
        <w:rPr>
          <w:rFonts w:hint="eastAsia"/>
          <w:lang w:eastAsia="ja-JP"/>
        </w:rPr>
        <w:t xml:space="preserve">SNP </w:t>
      </w:r>
      <w:r w:rsidR="00E65203" w:rsidRPr="00EA4F84">
        <w:t>et des variétés essentiellement dérivées (EDV) communément connues comme base de l'analyse.</w:t>
      </w:r>
    </w:p>
    <w:p w14:paraId="6E5CD0E6" w14:textId="77777777" w:rsidR="00E65203" w:rsidRPr="00EA4F84" w:rsidRDefault="00E65203" w:rsidP="00E65203">
      <w:pPr>
        <w:pStyle w:val="ListParagraph"/>
        <w:ind w:left="0"/>
        <w:jc w:val="both"/>
      </w:pPr>
    </w:p>
    <w:p w14:paraId="79C7062E" w14:textId="73B08257"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t xml:space="preserve">Le TWM a convenu </w:t>
      </w:r>
      <w:r w:rsidR="00E65203" w:rsidRPr="00EA4F84">
        <w:rPr>
          <w:rFonts w:hint="eastAsia"/>
          <w:lang w:eastAsia="ja-JP"/>
        </w:rPr>
        <w:t xml:space="preserve">que </w:t>
      </w:r>
      <w:r w:rsidR="00E65203" w:rsidRPr="00EA4F84">
        <w:t xml:space="preserve">la méthode de sélection des variétés utilisée et leur pedigree étaient des éléments importants pour l'évaluation de la dérivation essentielle. Le TWM a rappelé les orientations de l'UPOV figurant dans le document UPOV/EXN/EDV/3, selon lesquelles un degré élevé de similitude ne signifie pas automatiquement qu'une variété a été dérivée de manière prédominante, comme dans le cas de la sélection convergente.  </w:t>
      </w:r>
    </w:p>
    <w:p w14:paraId="63451203" w14:textId="77777777" w:rsidR="00E65203" w:rsidRPr="00EA4F84" w:rsidRDefault="00E65203" w:rsidP="00E65203">
      <w:pPr>
        <w:pStyle w:val="ListParagraph"/>
        <w:ind w:left="0"/>
        <w:jc w:val="both"/>
      </w:pPr>
    </w:p>
    <w:p w14:paraId="6BD0EE4E" w14:textId="52264BA5"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t>Le TWM a noté que la méthode décrite dans la présentation consistait en un recalibrage à l'aide de SNP d'un seuil précédemment établi à l'aide de marqueurs SSR.</w:t>
      </w:r>
    </w:p>
    <w:p w14:paraId="495311C8" w14:textId="77777777" w:rsidR="00E65203" w:rsidRPr="00EA4F84" w:rsidRDefault="00E65203" w:rsidP="00E65203">
      <w:pPr>
        <w:pStyle w:val="ListParagraph"/>
        <w:ind w:left="0"/>
        <w:jc w:val="both"/>
      </w:pPr>
    </w:p>
    <w:p w14:paraId="12DE11C8" w14:textId="3892645B" w:rsidR="00E65203" w:rsidRPr="00EA4F84" w:rsidRDefault="00E65203" w:rsidP="00EF24D5">
      <w:pPr>
        <w:pStyle w:val="Heading3"/>
        <w:rPr>
          <w:lang w:val="fr-FR"/>
        </w:rPr>
      </w:pPr>
      <w:bookmarkStart w:id="61" w:name="_Toc210661253"/>
      <w:r w:rsidRPr="00EA4F84">
        <w:rPr>
          <w:lang w:val="fr-FR"/>
        </w:rPr>
        <w:t>Élaboration d'un seuil pour les variétés essentiellement dérivées (VED) dans le soja</w:t>
      </w:r>
      <w:bookmarkEnd w:id="61"/>
    </w:p>
    <w:p w14:paraId="6C5CDD40" w14:textId="77777777" w:rsidR="00E65203" w:rsidRPr="00EA4F84" w:rsidRDefault="00E65203" w:rsidP="00E65203">
      <w:pPr>
        <w:keepNext/>
      </w:pPr>
    </w:p>
    <w:p w14:paraId="41A0D7E9" w14:textId="115BFA41" w:rsidR="00E65203" w:rsidRPr="00EA4F84" w:rsidRDefault="00BF7C58" w:rsidP="00BF7C58">
      <w:pPr>
        <w:keepNext/>
      </w:pPr>
      <w:r w:rsidRPr="00EA4F84">
        <w:fldChar w:fldCharType="begin"/>
      </w:r>
      <w:r w:rsidRPr="00EA4F84">
        <w:instrText xml:space="preserve"> AUTONUM  </w:instrText>
      </w:r>
      <w:r w:rsidRPr="00EA4F84">
        <w:fldChar w:fldCharType="end"/>
      </w:r>
      <w:r w:rsidRPr="00EA4F84">
        <w:tab/>
      </w:r>
      <w:r w:rsidR="00E65203" w:rsidRPr="00EA4F84">
        <w:t xml:space="preserve">Le TWM a entendu une présentation de </w:t>
      </w:r>
      <w:r w:rsidR="00E65203" w:rsidRPr="00EA4F84">
        <w:rPr>
          <w:rFonts w:hint="eastAsia"/>
          <w:lang w:eastAsia="ja-JP"/>
        </w:rPr>
        <w:t>M</w:t>
      </w:r>
      <w:r w:rsidR="00E65203" w:rsidRPr="00EA4F84">
        <w:t xml:space="preserve">. Barry Nelson, de la International </w:t>
      </w:r>
      <w:proofErr w:type="spellStart"/>
      <w:r w:rsidR="00E65203" w:rsidRPr="00EA4F84">
        <w:t>Seed</w:t>
      </w:r>
      <w:proofErr w:type="spellEnd"/>
      <w:r w:rsidR="00E65203" w:rsidRPr="00EA4F84">
        <w:t xml:space="preserve"> </w:t>
      </w:r>
      <w:proofErr w:type="spellStart"/>
      <w:r w:rsidR="00E65203" w:rsidRPr="00EA4F84">
        <w:t>Federation</w:t>
      </w:r>
      <w:proofErr w:type="spellEnd"/>
      <w:r w:rsidR="00E65203" w:rsidRPr="00EA4F84">
        <w:t xml:space="preserve"> (ISF), sur l'élaboration d'un seuil pour les variétés essentiellement dérivées (EDV) dans le soja, </w:t>
      </w:r>
      <w:r w:rsidR="00E65203" w:rsidRPr="00EA4F84">
        <w:rPr>
          <w:rFonts w:cs="Arial"/>
          <w:iCs/>
        </w:rPr>
        <w:t xml:space="preserve">dont une copie figure dans le document </w:t>
      </w:r>
      <w:r w:rsidR="00E65203" w:rsidRPr="00EA4F84">
        <w:rPr>
          <w:rFonts w:hint="eastAsia"/>
          <w:lang w:eastAsia="ja-JP"/>
        </w:rPr>
        <w:t>TWM/3/9</w:t>
      </w:r>
      <w:r w:rsidR="00E65203" w:rsidRPr="00EA4F84">
        <w:t xml:space="preserve">. </w:t>
      </w:r>
    </w:p>
    <w:p w14:paraId="5287E2A1" w14:textId="77777777" w:rsidR="00E65203" w:rsidRPr="00EA4F84" w:rsidRDefault="00E65203" w:rsidP="00E65203">
      <w:pPr>
        <w:pStyle w:val="ListParagraph"/>
        <w:ind w:left="0"/>
        <w:jc w:val="both"/>
      </w:pPr>
    </w:p>
    <w:p w14:paraId="420E244A" w14:textId="22B7403C"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t xml:space="preserve">Le TWM a noté que le seuil préliminaire serait évalué par les sélectionneurs participant à l'étude en fonction de leurs programmes actuels de développement du soja; si le seuil était approuvé, il serait communiqué aux associations semencières concernées pour accord et adoption éventuelle.  </w:t>
      </w:r>
    </w:p>
    <w:p w14:paraId="3392F0A4" w14:textId="77777777" w:rsidR="00E65203" w:rsidRPr="00EA4F84" w:rsidRDefault="00E65203" w:rsidP="00E65203">
      <w:pPr>
        <w:pStyle w:val="ListParagraph"/>
        <w:ind w:left="0"/>
        <w:jc w:val="both"/>
      </w:pPr>
    </w:p>
    <w:p w14:paraId="2726A18A" w14:textId="4C1B7FA4" w:rsidR="00E65203" w:rsidRPr="00EA4F84" w:rsidRDefault="00BF7C58" w:rsidP="00BF7C58">
      <w:r w:rsidRPr="00EA4F84">
        <w:lastRenderedPageBreak/>
        <w:fldChar w:fldCharType="begin"/>
      </w:r>
      <w:r w:rsidRPr="00EA4F84">
        <w:instrText xml:space="preserve"> AUTONUM  </w:instrText>
      </w:r>
      <w:r w:rsidRPr="00EA4F84">
        <w:fldChar w:fldCharType="end"/>
      </w:r>
      <w:r w:rsidRPr="00EA4F84">
        <w:tab/>
      </w:r>
      <w:r w:rsidR="00E65203" w:rsidRPr="00EA4F84">
        <w:t xml:space="preserve">Le TWM a convenu de l'importance de la contribution des sélectionneurs à la détermination des seuils et à la prévention des litiges concernant les EDV.  Le TWM a convenu que la mise en œuvre d'un seuil nécessiterait d'examiner les pedigrees des variétés et la manière d'évaluer les critères restants pour déterminer la dérivation essentielle. </w:t>
      </w:r>
    </w:p>
    <w:p w14:paraId="100FFC6F" w14:textId="77777777" w:rsidR="00E65203" w:rsidRPr="00EA4F84" w:rsidRDefault="00E65203" w:rsidP="00E65203"/>
    <w:p w14:paraId="5053E4DF" w14:textId="77777777" w:rsidR="00E65203" w:rsidRPr="00EA4F84" w:rsidRDefault="00E65203" w:rsidP="00733A63">
      <w:pPr>
        <w:pStyle w:val="Heading2"/>
        <w:rPr>
          <w:lang w:val="fr-FR"/>
        </w:rPr>
      </w:pPr>
      <w:bookmarkStart w:id="62" w:name="_Toc210661254"/>
      <w:r w:rsidRPr="00EA4F84">
        <w:rPr>
          <w:lang w:val="fr-FR"/>
        </w:rPr>
        <w:t>Utilisation des techniques moléculaires pour l'application de la loi</w:t>
      </w:r>
      <w:bookmarkEnd w:id="62"/>
    </w:p>
    <w:p w14:paraId="3D8021D8" w14:textId="77777777" w:rsidR="00E65203" w:rsidRPr="00EA4F84" w:rsidRDefault="00E65203" w:rsidP="00E65203"/>
    <w:p w14:paraId="779F2558" w14:textId="77777777" w:rsidR="00E65203" w:rsidRPr="00EA4F84" w:rsidRDefault="00E65203" w:rsidP="00EF24D5">
      <w:pPr>
        <w:pStyle w:val="Heading3"/>
        <w:rPr>
          <w:lang w:val="fr-FR"/>
        </w:rPr>
      </w:pPr>
      <w:bookmarkStart w:id="63" w:name="_Toc210661255"/>
      <w:r w:rsidRPr="00EA4F84">
        <w:rPr>
          <w:lang w:val="fr-FR"/>
        </w:rPr>
        <w:t>Utilisation des techniques ADN pour l'application des droits de variété végétale au Pérou</w:t>
      </w:r>
      <w:bookmarkEnd w:id="63"/>
    </w:p>
    <w:p w14:paraId="2F68A4EB" w14:textId="77777777" w:rsidR="00E65203" w:rsidRPr="00EA4F84" w:rsidRDefault="00E65203" w:rsidP="00E65203"/>
    <w:p w14:paraId="5C8BA043" w14:textId="227BE52C"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t xml:space="preserve">Le TWM a entendu une présentation de </w:t>
      </w:r>
      <w:r w:rsidR="00E65203" w:rsidRPr="00EA4F84">
        <w:rPr>
          <w:rFonts w:hint="eastAsia"/>
          <w:lang w:eastAsia="ja-JP"/>
        </w:rPr>
        <w:t>M</w:t>
      </w:r>
      <w:r w:rsidR="00E65203" w:rsidRPr="00EA4F84">
        <w:t xml:space="preserve">. Diego F. Ortega </w:t>
      </w:r>
      <w:proofErr w:type="spellStart"/>
      <w:r w:rsidR="00E65203" w:rsidRPr="00EA4F84">
        <w:t>Sanabria</w:t>
      </w:r>
      <w:proofErr w:type="spellEnd"/>
      <w:r w:rsidR="00E65203" w:rsidRPr="00EA4F84">
        <w:t xml:space="preserve"> (</w:t>
      </w:r>
      <w:r w:rsidR="00E65203" w:rsidRPr="00EA4F84">
        <w:rPr>
          <w:rFonts w:hint="eastAsia"/>
          <w:lang w:eastAsia="ja-JP"/>
        </w:rPr>
        <w:t>Pérou</w:t>
      </w:r>
      <w:r w:rsidR="00E65203" w:rsidRPr="00EA4F84">
        <w:t xml:space="preserve">) sur </w:t>
      </w:r>
      <w:r w:rsidR="00EA4F84">
        <w:t>“ </w:t>
      </w:r>
      <w:r w:rsidR="00E65203" w:rsidRPr="00EA4F84">
        <w:t>L'utilisation des techniques ADN pour l'application des droits de variété végétale au Pérou</w:t>
      </w:r>
      <w:r w:rsidR="00EA4F84">
        <w:t> »</w:t>
      </w:r>
      <w:r w:rsidR="00E65203" w:rsidRPr="00EA4F84">
        <w:t xml:space="preserve">, </w:t>
      </w:r>
      <w:r w:rsidR="00E65203" w:rsidRPr="00EA4F84">
        <w:rPr>
          <w:rFonts w:cs="Arial"/>
          <w:iCs/>
        </w:rPr>
        <w:t xml:space="preserve">dont une copie figure dans le document </w:t>
      </w:r>
      <w:r w:rsidR="00E65203" w:rsidRPr="00EA4F84">
        <w:rPr>
          <w:rFonts w:hint="eastAsia"/>
          <w:lang w:eastAsia="ja-JP"/>
        </w:rPr>
        <w:t>TWM/3/3</w:t>
      </w:r>
      <w:r w:rsidR="00E65203" w:rsidRPr="00EA4F84">
        <w:t xml:space="preserve">. </w:t>
      </w:r>
    </w:p>
    <w:p w14:paraId="739022D2" w14:textId="77777777" w:rsidR="00E65203" w:rsidRPr="00EA4F84" w:rsidRDefault="00E65203" w:rsidP="00E65203">
      <w:pPr>
        <w:pStyle w:val="ListParagraph"/>
        <w:ind w:left="0"/>
        <w:jc w:val="both"/>
      </w:pPr>
    </w:p>
    <w:p w14:paraId="7B94D57C" w14:textId="1F1F3787" w:rsidR="00E65203" w:rsidRPr="00EA4F84" w:rsidRDefault="00BF7C58" w:rsidP="00BF7C58">
      <w:pPr>
        <w:ind w:left="-3"/>
        <w:rPr>
          <w:lang w:eastAsia="ja-JP"/>
        </w:rPr>
      </w:pPr>
      <w:r w:rsidRPr="00EA4F84">
        <w:fldChar w:fldCharType="begin"/>
      </w:r>
      <w:r w:rsidRPr="00EA4F84">
        <w:instrText xml:space="preserve"> AUTONUM  </w:instrText>
      </w:r>
      <w:r w:rsidRPr="00EA4F84">
        <w:fldChar w:fldCharType="end"/>
      </w:r>
      <w:r w:rsidRPr="00EA4F84">
        <w:tab/>
      </w:r>
      <w:r w:rsidR="00E65203" w:rsidRPr="00EA4F84">
        <w:rPr>
          <w:lang w:eastAsia="ja-JP"/>
        </w:rPr>
        <w:t xml:space="preserve">Le TWM a pris note des procédures en vigueur au Pérou pour </w:t>
      </w:r>
      <w:r w:rsidR="00E65203" w:rsidRPr="00EA4F84">
        <w:rPr>
          <w:rFonts w:hint="eastAsia"/>
          <w:lang w:eastAsia="ja-JP"/>
        </w:rPr>
        <w:t>les inspections</w:t>
      </w:r>
      <w:r w:rsidR="00E65203" w:rsidRPr="00EA4F84">
        <w:rPr>
          <w:lang w:eastAsia="ja-JP"/>
        </w:rPr>
        <w:t xml:space="preserve"> sur pied dans les cas de contrefaçon, notamment le rôle de l'autorité administrative dans la conduite des inspections sur pied et l'existence de directives relatives aux informations fondées sur l'ADN.  Le TWM a noté qu'au Pérou, le plaignant doit démontrer la spécificité des marqueurs utilisés pour identifier la variété protégée.  </w:t>
      </w:r>
    </w:p>
    <w:p w14:paraId="17CEF85A" w14:textId="77777777" w:rsidR="00E65203" w:rsidRPr="00EA4F84" w:rsidRDefault="00E65203" w:rsidP="00E65203">
      <w:pPr>
        <w:ind w:left="-3"/>
        <w:rPr>
          <w:lang w:eastAsia="ja-JP"/>
        </w:rPr>
      </w:pPr>
    </w:p>
    <w:p w14:paraId="7A1A435F" w14:textId="6201AC75" w:rsidR="00E65203" w:rsidRPr="00EA4F84" w:rsidRDefault="00BF7C58" w:rsidP="00BF7C58">
      <w:pPr>
        <w:ind w:left="-3"/>
      </w:pPr>
      <w:r w:rsidRPr="00EA4F84">
        <w:fldChar w:fldCharType="begin"/>
      </w:r>
      <w:r w:rsidRPr="00EA4F84">
        <w:instrText xml:space="preserve"> AUTONUM  </w:instrText>
      </w:r>
      <w:r w:rsidRPr="00EA4F84">
        <w:fldChar w:fldCharType="end"/>
      </w:r>
      <w:r w:rsidRPr="00EA4F84">
        <w:tab/>
      </w:r>
      <w:r w:rsidR="00E65203" w:rsidRPr="00EA4F84">
        <w:rPr>
          <w:lang w:eastAsia="ja-JP"/>
        </w:rPr>
        <w:t>Le TWM a pris note des difficultés signalées en matière d'application des droits sur les fruits exportés en raison du temps nécessaire à l'identification des variétés.  Le TWM est convenu qu'il était important de renforcer la coopération entre les autorités des membres de l'UPOV en matière d'application des droits.</w:t>
      </w:r>
    </w:p>
    <w:p w14:paraId="5C9799EF" w14:textId="77777777" w:rsidR="00E65203" w:rsidRPr="00EA4F84" w:rsidRDefault="00E65203" w:rsidP="00E65203">
      <w:pPr>
        <w:pStyle w:val="ListParagraph"/>
        <w:ind w:left="0"/>
        <w:jc w:val="both"/>
      </w:pPr>
    </w:p>
    <w:p w14:paraId="3EF93A92" w14:textId="77777777" w:rsidR="00E65203" w:rsidRPr="00EA4F84" w:rsidRDefault="00E65203" w:rsidP="00EF24D5">
      <w:pPr>
        <w:pStyle w:val="Heading3"/>
        <w:rPr>
          <w:lang w:val="fr-FR"/>
        </w:rPr>
      </w:pPr>
      <w:bookmarkStart w:id="64" w:name="_Toc210661256"/>
      <w:r w:rsidRPr="00EA4F84">
        <w:rPr>
          <w:lang w:val="fr-FR"/>
        </w:rPr>
        <w:t>Utilisation des marqueurs moléculaires comme outil pour faire respecter les droits de variété végétale (PBR) sur le soja en Uruguay</w:t>
      </w:r>
      <w:bookmarkEnd w:id="64"/>
    </w:p>
    <w:p w14:paraId="7A48B738" w14:textId="77777777" w:rsidR="00E65203" w:rsidRPr="00EA4F84" w:rsidRDefault="00E65203" w:rsidP="00E65203">
      <w:pPr>
        <w:pStyle w:val="ListParagraph"/>
        <w:ind w:left="0"/>
        <w:jc w:val="both"/>
      </w:pPr>
    </w:p>
    <w:p w14:paraId="52A9EAC9" w14:textId="36CDF331"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t xml:space="preserve">Le TWM a entendu une présentation de Mme Vanessa Sosa, Mme Pilar </w:t>
      </w:r>
      <w:proofErr w:type="spellStart"/>
      <w:r w:rsidR="00E65203" w:rsidRPr="00EA4F84">
        <w:t>Zorilla</w:t>
      </w:r>
      <w:proofErr w:type="spellEnd"/>
      <w:r w:rsidR="00E65203" w:rsidRPr="00EA4F84">
        <w:t xml:space="preserve"> </w:t>
      </w:r>
      <w:r w:rsidR="00E65203" w:rsidRPr="00EA4F84">
        <w:rPr>
          <w:lang w:eastAsia="ja-JP"/>
        </w:rPr>
        <w:t>(</w:t>
      </w:r>
      <w:r w:rsidR="00E65203" w:rsidRPr="00EA4F84">
        <w:rPr>
          <w:rFonts w:hint="eastAsia"/>
          <w:lang w:eastAsia="ja-JP"/>
        </w:rPr>
        <w:t xml:space="preserve">Uruguay) </w:t>
      </w:r>
      <w:r w:rsidR="00E65203" w:rsidRPr="00EA4F84">
        <w:rPr>
          <w:lang w:eastAsia="ja-JP"/>
        </w:rPr>
        <w:t xml:space="preserve">et M. Diego </w:t>
      </w:r>
      <w:proofErr w:type="spellStart"/>
      <w:r w:rsidR="00E65203" w:rsidRPr="00EA4F84">
        <w:rPr>
          <w:lang w:eastAsia="ja-JP"/>
        </w:rPr>
        <w:t>Risso</w:t>
      </w:r>
      <w:proofErr w:type="spellEnd"/>
      <w:r w:rsidR="00E65203" w:rsidRPr="00EA4F84">
        <w:rPr>
          <w:lang w:eastAsia="ja-JP"/>
        </w:rPr>
        <w:t xml:space="preserve"> (Association des semenciers des Amériques) </w:t>
      </w:r>
      <w:r w:rsidR="00E65203" w:rsidRPr="00EA4F84">
        <w:t xml:space="preserve">sur </w:t>
      </w:r>
      <w:r w:rsidR="00EA4F84">
        <w:t>“ </w:t>
      </w:r>
      <w:r w:rsidR="00E65203" w:rsidRPr="00EA4F84">
        <w:t>L'utilisation des marqueurs moléculaires comme outil pour faire respecter les droits de variété végétale (PBR) sur le soja en Uruguay</w:t>
      </w:r>
      <w:r w:rsidR="00EA4F84">
        <w:t> »</w:t>
      </w:r>
      <w:r w:rsidR="00E65203" w:rsidRPr="00EA4F84">
        <w:t xml:space="preserve">, </w:t>
      </w:r>
      <w:r w:rsidR="00E65203" w:rsidRPr="00EA4F84">
        <w:rPr>
          <w:rFonts w:cs="Arial"/>
          <w:iCs/>
        </w:rPr>
        <w:t xml:space="preserve">dont une copie sera fournie en annexe au document </w:t>
      </w:r>
      <w:r w:rsidR="00E65203" w:rsidRPr="00EA4F84">
        <w:rPr>
          <w:rFonts w:hint="eastAsia"/>
          <w:lang w:eastAsia="ja-JP"/>
        </w:rPr>
        <w:t>TWM/3/18</w:t>
      </w:r>
      <w:r w:rsidR="00E65203" w:rsidRPr="00EA4F84">
        <w:t>.</w:t>
      </w:r>
    </w:p>
    <w:p w14:paraId="5BA0FC35" w14:textId="77777777" w:rsidR="00E65203" w:rsidRPr="00EA4F84" w:rsidRDefault="00E65203" w:rsidP="00E65203">
      <w:pPr>
        <w:pStyle w:val="ListParagraph"/>
        <w:ind w:left="0"/>
        <w:jc w:val="both"/>
      </w:pPr>
    </w:p>
    <w:p w14:paraId="49F85944" w14:textId="2CEBF5EB"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rPr>
          <w:lang w:eastAsia="ja-JP"/>
        </w:rPr>
        <w:t xml:space="preserve">Le TWM a noté qu'en Uruguay, l'association des obtenteurs et l'Institut national des semences effectuaient des inspections sur le terrain. Le TWM a noté que la procédure d'identification des variétés pouvait prendre jusqu'à deux jours dans certains cas. </w:t>
      </w:r>
      <w:r w:rsidR="00E65203" w:rsidRPr="00EA4F84">
        <w:t xml:space="preserve">Le TWM a noté </w:t>
      </w:r>
      <w:r w:rsidR="00E65203" w:rsidRPr="00EA4F84">
        <w:rPr>
          <w:lang w:eastAsia="ja-JP"/>
        </w:rPr>
        <w:t>que les amendes pour contrefaçon en Uruguay étaient basées sur la valeur du matériel récolté et considérées comme une mesure efficace.</w:t>
      </w:r>
    </w:p>
    <w:p w14:paraId="578561A4" w14:textId="77777777" w:rsidR="00E65203" w:rsidRPr="00EA4F84" w:rsidRDefault="00E65203" w:rsidP="00E65203">
      <w:pPr>
        <w:pStyle w:val="ListParagraph"/>
        <w:ind w:left="0"/>
        <w:jc w:val="both"/>
      </w:pPr>
    </w:p>
    <w:p w14:paraId="32FFA58C" w14:textId="542FF32E" w:rsidR="00E65203" w:rsidRPr="00EA4F84" w:rsidRDefault="00BF7C58" w:rsidP="00BF7C58">
      <w:r w:rsidRPr="00EA4F84">
        <w:fldChar w:fldCharType="begin"/>
      </w:r>
      <w:r w:rsidRPr="00EA4F84">
        <w:instrText xml:space="preserve"> AUTONUM  </w:instrText>
      </w:r>
      <w:r w:rsidRPr="00EA4F84">
        <w:fldChar w:fldCharType="end"/>
      </w:r>
      <w:r w:rsidRPr="00EA4F84">
        <w:tab/>
      </w:r>
      <w:r w:rsidR="00E65203" w:rsidRPr="00EA4F84">
        <w:rPr>
          <w:lang w:eastAsia="ja-JP"/>
        </w:rPr>
        <w:t xml:space="preserve">Le TWM </w:t>
      </w:r>
      <w:r w:rsidR="00E65203" w:rsidRPr="00EA4F84">
        <w:rPr>
          <w:rFonts w:hint="eastAsia"/>
          <w:lang w:eastAsia="ja-JP"/>
        </w:rPr>
        <w:t xml:space="preserve">a noté </w:t>
      </w:r>
      <w:r w:rsidR="00E65203" w:rsidRPr="00EA4F84">
        <w:rPr>
          <w:lang w:eastAsia="ja-JP"/>
        </w:rPr>
        <w:t xml:space="preserve">que l'analyse d'images était également utilisée pour l'identification des variétés à partir de semences de variétés protégées. </w:t>
      </w:r>
    </w:p>
    <w:p w14:paraId="3D54CAEA" w14:textId="77777777" w:rsidR="00F37B93" w:rsidRPr="00EA4F84" w:rsidRDefault="00F37B93" w:rsidP="00F37B93"/>
    <w:p w14:paraId="7BE78A14" w14:textId="77777777" w:rsidR="00F37B93" w:rsidRPr="00EA4F84" w:rsidRDefault="00F37B93" w:rsidP="00F37B93"/>
    <w:p w14:paraId="7EFA2FD3" w14:textId="77777777" w:rsidR="00F37B93" w:rsidRPr="00EA4F84" w:rsidRDefault="00F37B93" w:rsidP="00F37B93"/>
    <w:p w14:paraId="4839E0EE" w14:textId="752CEDD5" w:rsidR="00EF4B00" w:rsidRPr="00EA4F84" w:rsidRDefault="00F16D33" w:rsidP="003127BF">
      <w:pPr>
        <w:jc w:val="right"/>
      </w:pPr>
      <w:r w:rsidRPr="00EA4F84">
        <w:t>[</w:t>
      </w:r>
      <w:r w:rsidR="0004582C">
        <w:t>L’a</w:t>
      </w:r>
      <w:r w:rsidRPr="00EA4F84">
        <w:t xml:space="preserve">nnexe </w:t>
      </w:r>
      <w:r w:rsidR="0004582C">
        <w:t>suit</w:t>
      </w:r>
      <w:r w:rsidRPr="00EA4F84">
        <w:t>]</w:t>
      </w:r>
    </w:p>
    <w:p w14:paraId="40A56936" w14:textId="77777777" w:rsidR="00550FF9" w:rsidRPr="00EA4F84" w:rsidRDefault="00550FF9" w:rsidP="00EF4B00">
      <w:pPr>
        <w:sectPr w:rsidR="00550FF9" w:rsidRPr="00EA4F84" w:rsidSect="00616166">
          <w:headerReference w:type="default" r:id="rId20"/>
          <w:footerReference w:type="even" r:id="rId21"/>
          <w:footerReference w:type="default" r:id="rId22"/>
          <w:footerReference w:type="first" r:id="rId23"/>
          <w:pgSz w:w="11907" w:h="16840" w:code="9"/>
          <w:pgMar w:top="510" w:right="1134" w:bottom="709" w:left="1134" w:header="510" w:footer="680" w:gutter="0"/>
          <w:pgNumType w:start="1"/>
          <w:cols w:space="720"/>
          <w:titlePg/>
        </w:sectPr>
      </w:pPr>
    </w:p>
    <w:p w14:paraId="039ED3C5" w14:textId="530BEEC3" w:rsidR="00D52685" w:rsidRPr="00EA4F84" w:rsidRDefault="004C3519" w:rsidP="00E22EB9">
      <w:pPr>
        <w:spacing w:before="120" w:after="240"/>
        <w:jc w:val="left"/>
        <w:rPr>
          <w:rFonts w:eastAsia="Times New Roman"/>
          <w:b/>
          <w:caps/>
        </w:rPr>
      </w:pPr>
      <w:bookmarkStart w:id="65" w:name="_Hlk190367062"/>
      <w:r>
        <w:rPr>
          <w:rFonts w:eastAsia="Times New Roman"/>
          <w:b/>
          <w:bCs/>
          <w:caps/>
        </w:rPr>
        <w:lastRenderedPageBreak/>
        <w:t>Lignes directrices</w:t>
      </w:r>
      <w:r w:rsidR="00D52685" w:rsidRPr="00EA4F84">
        <w:rPr>
          <w:rFonts w:eastAsia="Times New Roman"/>
          <w:b/>
          <w:bCs/>
          <w:caps/>
        </w:rPr>
        <w:t xml:space="preserve"> pour la validation d'un nouveau protocole de marqueurs moléculaires spécifiques à un caractère comme méthode alternative d'observation</w:t>
      </w:r>
    </w:p>
    <w:p w14:paraId="7F2ED21A" w14:textId="77777777" w:rsidR="00D52685" w:rsidRPr="00EA4F84" w:rsidRDefault="00D52685" w:rsidP="00D52685">
      <w:pPr>
        <w:spacing w:after="240"/>
        <w:jc w:val="left"/>
        <w:rPr>
          <w:rFonts w:eastAsia="Times New Roman"/>
          <w:i/>
          <w:iCs/>
        </w:rPr>
      </w:pPr>
      <w:bookmarkStart w:id="66" w:name="Prepared"/>
      <w:bookmarkEnd w:id="66"/>
      <w:bookmarkEnd w:id="65"/>
      <w:r w:rsidRPr="00EA4F84">
        <w:rPr>
          <w:rFonts w:eastAsia="Times New Roman"/>
          <w:i/>
          <w:iCs/>
        </w:rPr>
        <w:t>Document préparé par des experts de la France, d'Italie et du Royaume des Pays-Bas</w:t>
      </w:r>
    </w:p>
    <w:p w14:paraId="4F6657C3" w14:textId="0D5DDE48" w:rsidR="00D52685" w:rsidRPr="00EA4F84" w:rsidRDefault="00D52685" w:rsidP="00E22EB9">
      <w:pPr>
        <w:spacing w:after="480"/>
        <w:jc w:val="left"/>
        <w:rPr>
          <w:i/>
          <w:iCs/>
          <w:color w:val="A6A6A6" w:themeColor="background1" w:themeShade="A6"/>
          <w:lang w:eastAsia="ja-JP"/>
        </w:rPr>
      </w:pPr>
      <w:r w:rsidRPr="00EA4F84">
        <w:rPr>
          <w:rFonts w:eastAsia="Times New Roman"/>
          <w:i/>
          <w:iCs/>
          <w:color w:val="A6A6A6" w:themeColor="background1" w:themeShade="A6"/>
        </w:rPr>
        <w:t>Avertissement : ce document ne représente pas les politiques ou les orientations de l'UPOV.</w:t>
      </w:r>
    </w:p>
    <w:p w14:paraId="1B9A3378" w14:textId="21ABF10F" w:rsidR="00D52685" w:rsidRPr="00EA4F84" w:rsidRDefault="00D52685" w:rsidP="00D52685">
      <w:pPr>
        <w:spacing w:after="120"/>
      </w:pPr>
      <w:bookmarkStart w:id="67" w:name="_Toc189576551"/>
      <w:r w:rsidRPr="00EA4F84">
        <w:rPr>
          <w:u w:val="single"/>
        </w:rPr>
        <w:t xml:space="preserve">Table des matières </w:t>
      </w:r>
      <w:r w:rsidRPr="00EA4F84">
        <w:t>:</w:t>
      </w:r>
    </w:p>
    <w:p w14:paraId="0D934003" w14:textId="28F0EB0E" w:rsidR="00BC380B" w:rsidRDefault="00AF5629">
      <w:pPr>
        <w:pStyle w:val="TOC1"/>
        <w:rPr>
          <w:rFonts w:asciiTheme="minorHAnsi" w:hAnsiTheme="minorHAnsi" w:cstheme="minorBidi"/>
          <w:caps w:val="0"/>
          <w:noProof/>
          <w:kern w:val="2"/>
          <w:sz w:val="24"/>
          <w:szCs w:val="24"/>
          <w:lang w:val="en-GB" w:eastAsia="en-GB"/>
          <w14:ligatures w14:val="standardContextual"/>
        </w:rPr>
      </w:pPr>
      <w:r w:rsidRPr="00EA4F84">
        <w:rPr>
          <w:rFonts w:cs="Arial"/>
          <w:lang w:eastAsia="fr-FR"/>
        </w:rPr>
        <w:fldChar w:fldCharType="begin"/>
      </w:r>
      <w:r w:rsidRPr="00EA4F84">
        <w:rPr>
          <w:rFonts w:cs="Arial"/>
          <w:lang w:eastAsia="fr-FR"/>
        </w:rPr>
        <w:instrText xml:space="preserve"> TOC \u \t "Heading 1 Annex,1,Heading 2 Annex,2,Heading 3 Annex,3" </w:instrText>
      </w:r>
      <w:r w:rsidRPr="00EA4F84">
        <w:rPr>
          <w:rFonts w:cs="Arial"/>
          <w:lang w:eastAsia="fr-FR"/>
        </w:rPr>
        <w:fldChar w:fldCharType="separate"/>
      </w:r>
      <w:r w:rsidR="00BC380B" w:rsidRPr="00FD7328">
        <w:rPr>
          <w:noProof/>
        </w:rPr>
        <w:t>I.</w:t>
      </w:r>
      <w:r w:rsidR="00BC380B">
        <w:rPr>
          <w:rFonts w:asciiTheme="minorHAnsi" w:hAnsiTheme="minorHAnsi" w:cstheme="minorBidi"/>
          <w:caps w:val="0"/>
          <w:noProof/>
          <w:kern w:val="2"/>
          <w:sz w:val="24"/>
          <w:szCs w:val="24"/>
          <w:lang w:val="en-GB" w:eastAsia="en-GB"/>
          <w14:ligatures w14:val="standardContextual"/>
        </w:rPr>
        <w:tab/>
      </w:r>
      <w:r w:rsidR="00BC380B" w:rsidRPr="00FD7328">
        <w:rPr>
          <w:noProof/>
        </w:rPr>
        <w:t>Objectifs des présentes directives</w:t>
      </w:r>
      <w:r w:rsidR="00BC380B">
        <w:rPr>
          <w:noProof/>
        </w:rPr>
        <w:tab/>
      </w:r>
      <w:r w:rsidR="00BC380B">
        <w:rPr>
          <w:noProof/>
        </w:rPr>
        <w:fldChar w:fldCharType="begin"/>
      </w:r>
      <w:r w:rsidR="00BC380B">
        <w:rPr>
          <w:noProof/>
        </w:rPr>
        <w:instrText xml:space="preserve"> PAGEREF _Toc210663396 \h </w:instrText>
      </w:r>
      <w:r w:rsidR="00BC380B">
        <w:rPr>
          <w:noProof/>
        </w:rPr>
      </w:r>
      <w:r w:rsidR="00BC380B">
        <w:rPr>
          <w:noProof/>
        </w:rPr>
        <w:fldChar w:fldCharType="separate"/>
      </w:r>
      <w:r w:rsidR="00BC380B">
        <w:rPr>
          <w:noProof/>
        </w:rPr>
        <w:t>2</w:t>
      </w:r>
      <w:r w:rsidR="00BC380B">
        <w:rPr>
          <w:noProof/>
        </w:rPr>
        <w:fldChar w:fldCharType="end"/>
      </w:r>
    </w:p>
    <w:p w14:paraId="650B6823" w14:textId="7D5A57FA" w:rsidR="00BC380B" w:rsidRDefault="00BC380B">
      <w:pPr>
        <w:pStyle w:val="TOC1"/>
        <w:rPr>
          <w:rFonts w:asciiTheme="minorHAnsi" w:hAnsiTheme="minorHAnsi" w:cstheme="minorBidi"/>
          <w:caps w:val="0"/>
          <w:noProof/>
          <w:kern w:val="2"/>
          <w:sz w:val="24"/>
          <w:szCs w:val="24"/>
          <w:lang w:val="en-GB" w:eastAsia="en-GB"/>
          <w14:ligatures w14:val="standardContextual"/>
        </w:rPr>
      </w:pPr>
      <w:r w:rsidRPr="00FD7328">
        <w:rPr>
          <w:noProof/>
        </w:rPr>
        <w:t>II.</w:t>
      </w:r>
      <w:r>
        <w:rPr>
          <w:rFonts w:asciiTheme="minorHAnsi" w:hAnsiTheme="minorHAnsi" w:cstheme="minorBidi"/>
          <w:caps w:val="0"/>
          <w:noProof/>
          <w:kern w:val="2"/>
          <w:sz w:val="24"/>
          <w:szCs w:val="24"/>
          <w:lang w:val="en-GB" w:eastAsia="en-GB"/>
          <w14:ligatures w14:val="standardContextual"/>
        </w:rPr>
        <w:tab/>
      </w:r>
      <w:r w:rsidRPr="00FD7328">
        <w:rPr>
          <w:noProof/>
        </w:rPr>
        <w:t>Champ d'application des présentes lignes directrices</w:t>
      </w:r>
      <w:r>
        <w:rPr>
          <w:noProof/>
        </w:rPr>
        <w:tab/>
      </w:r>
      <w:r>
        <w:rPr>
          <w:noProof/>
        </w:rPr>
        <w:fldChar w:fldCharType="begin"/>
      </w:r>
      <w:r>
        <w:rPr>
          <w:noProof/>
        </w:rPr>
        <w:instrText xml:space="preserve"> PAGEREF _Toc210663397 \h </w:instrText>
      </w:r>
      <w:r>
        <w:rPr>
          <w:noProof/>
        </w:rPr>
      </w:r>
      <w:r>
        <w:rPr>
          <w:noProof/>
        </w:rPr>
        <w:fldChar w:fldCharType="separate"/>
      </w:r>
      <w:r>
        <w:rPr>
          <w:noProof/>
        </w:rPr>
        <w:t>2</w:t>
      </w:r>
      <w:r>
        <w:rPr>
          <w:noProof/>
        </w:rPr>
        <w:fldChar w:fldCharType="end"/>
      </w:r>
    </w:p>
    <w:p w14:paraId="01A6F7A3" w14:textId="7EF19C0C" w:rsidR="00BC380B" w:rsidRDefault="00BC380B">
      <w:pPr>
        <w:pStyle w:val="TOC1"/>
        <w:rPr>
          <w:rFonts w:asciiTheme="minorHAnsi" w:hAnsiTheme="minorHAnsi" w:cstheme="minorBidi"/>
          <w:caps w:val="0"/>
          <w:noProof/>
          <w:kern w:val="2"/>
          <w:sz w:val="24"/>
          <w:szCs w:val="24"/>
          <w:lang w:val="en-GB" w:eastAsia="en-GB"/>
          <w14:ligatures w14:val="standardContextual"/>
        </w:rPr>
      </w:pPr>
      <w:r w:rsidRPr="00FD7328">
        <w:rPr>
          <w:noProof/>
        </w:rPr>
        <w:t>III.</w:t>
      </w:r>
      <w:r>
        <w:rPr>
          <w:rFonts w:asciiTheme="minorHAnsi" w:hAnsiTheme="minorHAnsi" w:cstheme="minorBidi"/>
          <w:caps w:val="0"/>
          <w:noProof/>
          <w:kern w:val="2"/>
          <w:sz w:val="24"/>
          <w:szCs w:val="24"/>
          <w:lang w:val="en-GB" w:eastAsia="en-GB"/>
          <w14:ligatures w14:val="standardContextual"/>
        </w:rPr>
        <w:tab/>
      </w:r>
      <w:r w:rsidRPr="00FD7328">
        <w:rPr>
          <w:noProof/>
        </w:rPr>
        <w:t>Critères de performance pour un nouveau protocole basé sur les marqueurs moléculaires</w:t>
      </w:r>
      <w:r>
        <w:rPr>
          <w:noProof/>
        </w:rPr>
        <w:tab/>
      </w:r>
      <w:r>
        <w:rPr>
          <w:noProof/>
        </w:rPr>
        <w:fldChar w:fldCharType="begin"/>
      </w:r>
      <w:r>
        <w:rPr>
          <w:noProof/>
        </w:rPr>
        <w:instrText xml:space="preserve"> PAGEREF _Toc210663398 \h </w:instrText>
      </w:r>
      <w:r>
        <w:rPr>
          <w:noProof/>
        </w:rPr>
      </w:r>
      <w:r>
        <w:rPr>
          <w:noProof/>
        </w:rPr>
        <w:fldChar w:fldCharType="separate"/>
      </w:r>
      <w:r>
        <w:rPr>
          <w:noProof/>
        </w:rPr>
        <w:t>2</w:t>
      </w:r>
      <w:r>
        <w:rPr>
          <w:noProof/>
        </w:rPr>
        <w:fldChar w:fldCharType="end"/>
      </w:r>
    </w:p>
    <w:p w14:paraId="7D76D16C" w14:textId="10E966A7" w:rsidR="00BC380B" w:rsidRDefault="00BC380B">
      <w:pPr>
        <w:pStyle w:val="TOC2"/>
        <w:rPr>
          <w:rFonts w:asciiTheme="minorHAnsi" w:hAnsiTheme="minorHAnsi" w:cstheme="minorBidi"/>
          <w:noProof/>
          <w:kern w:val="2"/>
          <w:sz w:val="24"/>
          <w:szCs w:val="24"/>
          <w:lang w:val="en-GB" w:eastAsia="en-GB"/>
          <w14:ligatures w14:val="standardContextual"/>
        </w:rPr>
      </w:pPr>
      <w:r w:rsidRPr="00FD7328">
        <w:rPr>
          <w:noProof/>
        </w:rPr>
        <w:t>Spécificité</w:t>
      </w:r>
      <w:r>
        <w:rPr>
          <w:noProof/>
        </w:rPr>
        <w:tab/>
      </w:r>
      <w:r>
        <w:rPr>
          <w:noProof/>
        </w:rPr>
        <w:fldChar w:fldCharType="begin"/>
      </w:r>
      <w:r>
        <w:rPr>
          <w:noProof/>
        </w:rPr>
        <w:instrText xml:space="preserve"> PAGEREF _Toc210663399 \h </w:instrText>
      </w:r>
      <w:r>
        <w:rPr>
          <w:noProof/>
        </w:rPr>
      </w:r>
      <w:r>
        <w:rPr>
          <w:noProof/>
        </w:rPr>
        <w:fldChar w:fldCharType="separate"/>
      </w:r>
      <w:r>
        <w:rPr>
          <w:noProof/>
        </w:rPr>
        <w:t>2</w:t>
      </w:r>
      <w:r>
        <w:rPr>
          <w:noProof/>
        </w:rPr>
        <w:fldChar w:fldCharType="end"/>
      </w:r>
    </w:p>
    <w:p w14:paraId="524D18B1" w14:textId="440318D4" w:rsidR="00BC380B" w:rsidRDefault="00BC380B">
      <w:pPr>
        <w:pStyle w:val="TOC3"/>
        <w:rPr>
          <w:rFonts w:asciiTheme="minorHAnsi" w:hAnsiTheme="minorHAnsi" w:cstheme="minorBidi"/>
          <w:i w:val="0"/>
          <w:noProof/>
          <w:kern w:val="2"/>
          <w:sz w:val="24"/>
          <w:szCs w:val="24"/>
          <w:lang w:val="en-GB" w:eastAsia="en-GB"/>
          <w14:ligatures w14:val="standardContextual"/>
        </w:rPr>
      </w:pPr>
      <w:r w:rsidRPr="00FD7328">
        <w:rPr>
          <w:noProof/>
        </w:rPr>
        <w:t>Définition</w:t>
      </w:r>
      <w:r>
        <w:rPr>
          <w:noProof/>
        </w:rPr>
        <w:tab/>
      </w:r>
      <w:r>
        <w:rPr>
          <w:noProof/>
        </w:rPr>
        <w:fldChar w:fldCharType="begin"/>
      </w:r>
      <w:r>
        <w:rPr>
          <w:noProof/>
        </w:rPr>
        <w:instrText xml:space="preserve"> PAGEREF _Toc210663400 \h </w:instrText>
      </w:r>
      <w:r>
        <w:rPr>
          <w:noProof/>
        </w:rPr>
      </w:r>
      <w:r>
        <w:rPr>
          <w:noProof/>
        </w:rPr>
        <w:fldChar w:fldCharType="separate"/>
      </w:r>
      <w:r>
        <w:rPr>
          <w:noProof/>
        </w:rPr>
        <w:t>2</w:t>
      </w:r>
      <w:r>
        <w:rPr>
          <w:noProof/>
        </w:rPr>
        <w:fldChar w:fldCharType="end"/>
      </w:r>
    </w:p>
    <w:p w14:paraId="72B91870" w14:textId="2FBDCF96" w:rsidR="00BC380B" w:rsidRDefault="00BC380B">
      <w:pPr>
        <w:pStyle w:val="TOC3"/>
        <w:rPr>
          <w:rFonts w:asciiTheme="minorHAnsi" w:hAnsiTheme="minorHAnsi" w:cstheme="minorBidi"/>
          <w:i w:val="0"/>
          <w:noProof/>
          <w:kern w:val="2"/>
          <w:sz w:val="24"/>
          <w:szCs w:val="24"/>
          <w:lang w:val="en-GB" w:eastAsia="en-GB"/>
          <w14:ligatures w14:val="standardContextual"/>
        </w:rPr>
      </w:pPr>
      <w:r w:rsidRPr="00FD7328">
        <w:rPr>
          <w:noProof/>
        </w:rPr>
        <w:t>Exigence</w:t>
      </w:r>
      <w:r>
        <w:rPr>
          <w:noProof/>
        </w:rPr>
        <w:tab/>
      </w:r>
      <w:r>
        <w:rPr>
          <w:noProof/>
        </w:rPr>
        <w:fldChar w:fldCharType="begin"/>
      </w:r>
      <w:r>
        <w:rPr>
          <w:noProof/>
        </w:rPr>
        <w:instrText xml:space="preserve"> PAGEREF _Toc210663401 \h </w:instrText>
      </w:r>
      <w:r>
        <w:rPr>
          <w:noProof/>
        </w:rPr>
      </w:r>
      <w:r>
        <w:rPr>
          <w:noProof/>
        </w:rPr>
        <w:fldChar w:fldCharType="separate"/>
      </w:r>
      <w:r>
        <w:rPr>
          <w:noProof/>
        </w:rPr>
        <w:t>2</w:t>
      </w:r>
      <w:r>
        <w:rPr>
          <w:noProof/>
        </w:rPr>
        <w:fldChar w:fldCharType="end"/>
      </w:r>
    </w:p>
    <w:p w14:paraId="41EB6E3C" w14:textId="43C03F5F" w:rsidR="00BC380B" w:rsidRDefault="00BC380B">
      <w:pPr>
        <w:pStyle w:val="TOC3"/>
        <w:rPr>
          <w:rFonts w:asciiTheme="minorHAnsi" w:hAnsiTheme="minorHAnsi" w:cstheme="minorBidi"/>
          <w:i w:val="0"/>
          <w:noProof/>
          <w:kern w:val="2"/>
          <w:sz w:val="24"/>
          <w:szCs w:val="24"/>
          <w:lang w:val="en-GB" w:eastAsia="en-GB"/>
          <w14:ligatures w14:val="standardContextual"/>
        </w:rPr>
      </w:pPr>
      <w:r w:rsidRPr="00FD7328">
        <w:rPr>
          <w:noProof/>
        </w:rPr>
        <w:t>Comment l'évaluer ?</w:t>
      </w:r>
      <w:r>
        <w:rPr>
          <w:noProof/>
        </w:rPr>
        <w:tab/>
      </w:r>
      <w:r>
        <w:rPr>
          <w:noProof/>
        </w:rPr>
        <w:fldChar w:fldCharType="begin"/>
      </w:r>
      <w:r>
        <w:rPr>
          <w:noProof/>
        </w:rPr>
        <w:instrText xml:space="preserve"> PAGEREF _Toc210663402 \h </w:instrText>
      </w:r>
      <w:r>
        <w:rPr>
          <w:noProof/>
        </w:rPr>
      </w:r>
      <w:r>
        <w:rPr>
          <w:noProof/>
        </w:rPr>
        <w:fldChar w:fldCharType="separate"/>
      </w:r>
      <w:r>
        <w:rPr>
          <w:noProof/>
        </w:rPr>
        <w:t>2</w:t>
      </w:r>
      <w:r>
        <w:rPr>
          <w:noProof/>
        </w:rPr>
        <w:fldChar w:fldCharType="end"/>
      </w:r>
    </w:p>
    <w:p w14:paraId="7FF0BCD9" w14:textId="19A42F23" w:rsidR="00BC380B" w:rsidRDefault="00BC380B">
      <w:pPr>
        <w:pStyle w:val="TOC2"/>
        <w:rPr>
          <w:rFonts w:asciiTheme="minorHAnsi" w:hAnsiTheme="minorHAnsi" w:cstheme="minorBidi"/>
          <w:noProof/>
          <w:kern w:val="2"/>
          <w:sz w:val="24"/>
          <w:szCs w:val="24"/>
          <w:lang w:val="en-GB" w:eastAsia="en-GB"/>
          <w14:ligatures w14:val="standardContextual"/>
        </w:rPr>
      </w:pPr>
      <w:r w:rsidRPr="00FD7328">
        <w:rPr>
          <w:noProof/>
        </w:rPr>
        <w:t>Sensibilité et limite de détection</w:t>
      </w:r>
      <w:r>
        <w:rPr>
          <w:noProof/>
        </w:rPr>
        <w:tab/>
      </w:r>
      <w:r>
        <w:rPr>
          <w:noProof/>
        </w:rPr>
        <w:fldChar w:fldCharType="begin"/>
      </w:r>
      <w:r>
        <w:rPr>
          <w:noProof/>
        </w:rPr>
        <w:instrText xml:space="preserve"> PAGEREF _Toc210663403 \h </w:instrText>
      </w:r>
      <w:r>
        <w:rPr>
          <w:noProof/>
        </w:rPr>
      </w:r>
      <w:r>
        <w:rPr>
          <w:noProof/>
        </w:rPr>
        <w:fldChar w:fldCharType="separate"/>
      </w:r>
      <w:r>
        <w:rPr>
          <w:noProof/>
        </w:rPr>
        <w:t>2</w:t>
      </w:r>
      <w:r>
        <w:rPr>
          <w:noProof/>
        </w:rPr>
        <w:fldChar w:fldCharType="end"/>
      </w:r>
    </w:p>
    <w:p w14:paraId="5189D4DB" w14:textId="0884E7E9" w:rsidR="00BC380B" w:rsidRDefault="00BC380B">
      <w:pPr>
        <w:pStyle w:val="TOC3"/>
        <w:rPr>
          <w:rFonts w:asciiTheme="minorHAnsi" w:hAnsiTheme="minorHAnsi" w:cstheme="minorBidi"/>
          <w:i w:val="0"/>
          <w:noProof/>
          <w:kern w:val="2"/>
          <w:sz w:val="24"/>
          <w:szCs w:val="24"/>
          <w:lang w:val="en-GB" w:eastAsia="en-GB"/>
          <w14:ligatures w14:val="standardContextual"/>
        </w:rPr>
      </w:pPr>
      <w:r w:rsidRPr="00FD7328">
        <w:rPr>
          <w:noProof/>
        </w:rPr>
        <w:t>Définition</w:t>
      </w:r>
      <w:r>
        <w:rPr>
          <w:noProof/>
        </w:rPr>
        <w:tab/>
      </w:r>
      <w:r>
        <w:rPr>
          <w:noProof/>
        </w:rPr>
        <w:fldChar w:fldCharType="begin"/>
      </w:r>
      <w:r>
        <w:rPr>
          <w:noProof/>
        </w:rPr>
        <w:instrText xml:space="preserve"> PAGEREF _Toc210663404 \h </w:instrText>
      </w:r>
      <w:r>
        <w:rPr>
          <w:noProof/>
        </w:rPr>
      </w:r>
      <w:r>
        <w:rPr>
          <w:noProof/>
        </w:rPr>
        <w:fldChar w:fldCharType="separate"/>
      </w:r>
      <w:r>
        <w:rPr>
          <w:noProof/>
        </w:rPr>
        <w:t>2</w:t>
      </w:r>
      <w:r>
        <w:rPr>
          <w:noProof/>
        </w:rPr>
        <w:fldChar w:fldCharType="end"/>
      </w:r>
    </w:p>
    <w:p w14:paraId="2FB7B17F" w14:textId="34A21CD7" w:rsidR="00BC380B" w:rsidRDefault="00BC380B">
      <w:pPr>
        <w:pStyle w:val="TOC3"/>
        <w:rPr>
          <w:rFonts w:asciiTheme="minorHAnsi" w:hAnsiTheme="minorHAnsi" w:cstheme="minorBidi"/>
          <w:i w:val="0"/>
          <w:noProof/>
          <w:kern w:val="2"/>
          <w:sz w:val="24"/>
          <w:szCs w:val="24"/>
          <w:lang w:val="en-GB" w:eastAsia="en-GB"/>
          <w14:ligatures w14:val="standardContextual"/>
        </w:rPr>
      </w:pPr>
      <w:r w:rsidRPr="00FD7328">
        <w:rPr>
          <w:noProof/>
        </w:rPr>
        <w:t>Exigence</w:t>
      </w:r>
      <w:r>
        <w:rPr>
          <w:noProof/>
        </w:rPr>
        <w:tab/>
      </w:r>
      <w:r>
        <w:rPr>
          <w:noProof/>
        </w:rPr>
        <w:fldChar w:fldCharType="begin"/>
      </w:r>
      <w:r>
        <w:rPr>
          <w:noProof/>
        </w:rPr>
        <w:instrText xml:space="preserve"> PAGEREF _Toc210663405 \h </w:instrText>
      </w:r>
      <w:r>
        <w:rPr>
          <w:noProof/>
        </w:rPr>
      </w:r>
      <w:r>
        <w:rPr>
          <w:noProof/>
        </w:rPr>
        <w:fldChar w:fldCharType="separate"/>
      </w:r>
      <w:r>
        <w:rPr>
          <w:noProof/>
        </w:rPr>
        <w:t>3</w:t>
      </w:r>
      <w:r>
        <w:rPr>
          <w:noProof/>
        </w:rPr>
        <w:fldChar w:fldCharType="end"/>
      </w:r>
    </w:p>
    <w:p w14:paraId="35212A1B" w14:textId="0F8ECFA9" w:rsidR="00BC380B" w:rsidRDefault="00BC380B">
      <w:pPr>
        <w:pStyle w:val="TOC3"/>
        <w:rPr>
          <w:rFonts w:asciiTheme="minorHAnsi" w:hAnsiTheme="minorHAnsi" w:cstheme="minorBidi"/>
          <w:i w:val="0"/>
          <w:noProof/>
          <w:kern w:val="2"/>
          <w:sz w:val="24"/>
          <w:szCs w:val="24"/>
          <w:lang w:val="en-GB" w:eastAsia="en-GB"/>
          <w14:ligatures w14:val="standardContextual"/>
        </w:rPr>
      </w:pPr>
      <w:r w:rsidRPr="00FD7328">
        <w:rPr>
          <w:noProof/>
        </w:rPr>
        <w:t>Comment l'évaluer ?</w:t>
      </w:r>
      <w:r>
        <w:rPr>
          <w:noProof/>
        </w:rPr>
        <w:tab/>
      </w:r>
      <w:r>
        <w:rPr>
          <w:noProof/>
        </w:rPr>
        <w:fldChar w:fldCharType="begin"/>
      </w:r>
      <w:r>
        <w:rPr>
          <w:noProof/>
        </w:rPr>
        <w:instrText xml:space="preserve"> PAGEREF _Toc210663406 \h </w:instrText>
      </w:r>
      <w:r>
        <w:rPr>
          <w:noProof/>
        </w:rPr>
      </w:r>
      <w:r>
        <w:rPr>
          <w:noProof/>
        </w:rPr>
        <w:fldChar w:fldCharType="separate"/>
      </w:r>
      <w:r>
        <w:rPr>
          <w:noProof/>
        </w:rPr>
        <w:t>3</w:t>
      </w:r>
      <w:r>
        <w:rPr>
          <w:noProof/>
        </w:rPr>
        <w:fldChar w:fldCharType="end"/>
      </w:r>
    </w:p>
    <w:p w14:paraId="545926E6" w14:textId="34CD2690" w:rsidR="00BC380B" w:rsidRDefault="00BC380B">
      <w:pPr>
        <w:pStyle w:val="TOC2"/>
        <w:rPr>
          <w:rFonts w:asciiTheme="minorHAnsi" w:hAnsiTheme="minorHAnsi" w:cstheme="minorBidi"/>
          <w:noProof/>
          <w:kern w:val="2"/>
          <w:sz w:val="24"/>
          <w:szCs w:val="24"/>
          <w:lang w:val="en-GB" w:eastAsia="en-GB"/>
          <w14:ligatures w14:val="standardContextual"/>
        </w:rPr>
      </w:pPr>
      <w:r w:rsidRPr="00FD7328">
        <w:rPr>
          <w:noProof/>
        </w:rPr>
        <w:t>Répétabilité</w:t>
      </w:r>
      <w:r>
        <w:rPr>
          <w:noProof/>
        </w:rPr>
        <w:tab/>
      </w:r>
      <w:r>
        <w:rPr>
          <w:noProof/>
        </w:rPr>
        <w:fldChar w:fldCharType="begin"/>
      </w:r>
      <w:r>
        <w:rPr>
          <w:noProof/>
        </w:rPr>
        <w:instrText xml:space="preserve"> PAGEREF _Toc210663407 \h </w:instrText>
      </w:r>
      <w:r>
        <w:rPr>
          <w:noProof/>
        </w:rPr>
      </w:r>
      <w:r>
        <w:rPr>
          <w:noProof/>
        </w:rPr>
        <w:fldChar w:fldCharType="separate"/>
      </w:r>
      <w:r>
        <w:rPr>
          <w:noProof/>
        </w:rPr>
        <w:t>3</w:t>
      </w:r>
      <w:r>
        <w:rPr>
          <w:noProof/>
        </w:rPr>
        <w:fldChar w:fldCharType="end"/>
      </w:r>
    </w:p>
    <w:p w14:paraId="7B361E44" w14:textId="55998664" w:rsidR="00BC380B" w:rsidRDefault="00BC380B">
      <w:pPr>
        <w:pStyle w:val="TOC3"/>
        <w:rPr>
          <w:rFonts w:asciiTheme="minorHAnsi" w:hAnsiTheme="minorHAnsi" w:cstheme="minorBidi"/>
          <w:i w:val="0"/>
          <w:noProof/>
          <w:kern w:val="2"/>
          <w:sz w:val="24"/>
          <w:szCs w:val="24"/>
          <w:lang w:val="en-GB" w:eastAsia="en-GB"/>
          <w14:ligatures w14:val="standardContextual"/>
        </w:rPr>
      </w:pPr>
      <w:r w:rsidRPr="00FD7328">
        <w:rPr>
          <w:noProof/>
        </w:rPr>
        <w:t>Définition (basée sur la norme ISO 16 577:2016 ; référence à UPOV/INF/17)</w:t>
      </w:r>
      <w:r>
        <w:rPr>
          <w:noProof/>
        </w:rPr>
        <w:tab/>
      </w:r>
      <w:r>
        <w:rPr>
          <w:noProof/>
        </w:rPr>
        <w:fldChar w:fldCharType="begin"/>
      </w:r>
      <w:r>
        <w:rPr>
          <w:noProof/>
        </w:rPr>
        <w:instrText xml:space="preserve"> PAGEREF _Toc210663408 \h </w:instrText>
      </w:r>
      <w:r>
        <w:rPr>
          <w:noProof/>
        </w:rPr>
      </w:r>
      <w:r>
        <w:rPr>
          <w:noProof/>
        </w:rPr>
        <w:fldChar w:fldCharType="separate"/>
      </w:r>
      <w:r>
        <w:rPr>
          <w:noProof/>
        </w:rPr>
        <w:t>3</w:t>
      </w:r>
      <w:r>
        <w:rPr>
          <w:noProof/>
        </w:rPr>
        <w:fldChar w:fldCharType="end"/>
      </w:r>
    </w:p>
    <w:p w14:paraId="6634194D" w14:textId="21AAC669" w:rsidR="00BC380B" w:rsidRDefault="00BC380B">
      <w:pPr>
        <w:pStyle w:val="TOC3"/>
        <w:rPr>
          <w:rFonts w:asciiTheme="minorHAnsi" w:hAnsiTheme="minorHAnsi" w:cstheme="minorBidi"/>
          <w:i w:val="0"/>
          <w:noProof/>
          <w:kern w:val="2"/>
          <w:sz w:val="24"/>
          <w:szCs w:val="24"/>
          <w:lang w:val="en-GB" w:eastAsia="en-GB"/>
          <w14:ligatures w14:val="standardContextual"/>
        </w:rPr>
      </w:pPr>
      <w:r w:rsidRPr="00FD7328">
        <w:rPr>
          <w:noProof/>
        </w:rPr>
        <w:t>Exigence</w:t>
      </w:r>
      <w:r>
        <w:rPr>
          <w:noProof/>
        </w:rPr>
        <w:tab/>
      </w:r>
      <w:r>
        <w:rPr>
          <w:noProof/>
        </w:rPr>
        <w:fldChar w:fldCharType="begin"/>
      </w:r>
      <w:r>
        <w:rPr>
          <w:noProof/>
        </w:rPr>
        <w:instrText xml:space="preserve"> PAGEREF _Toc210663409 \h </w:instrText>
      </w:r>
      <w:r>
        <w:rPr>
          <w:noProof/>
        </w:rPr>
      </w:r>
      <w:r>
        <w:rPr>
          <w:noProof/>
        </w:rPr>
        <w:fldChar w:fldCharType="separate"/>
      </w:r>
      <w:r>
        <w:rPr>
          <w:noProof/>
        </w:rPr>
        <w:t>3</w:t>
      </w:r>
      <w:r>
        <w:rPr>
          <w:noProof/>
        </w:rPr>
        <w:fldChar w:fldCharType="end"/>
      </w:r>
    </w:p>
    <w:p w14:paraId="77BB8FE3" w14:textId="6C69D515" w:rsidR="00BC380B" w:rsidRDefault="00BC380B">
      <w:pPr>
        <w:pStyle w:val="TOC3"/>
        <w:rPr>
          <w:rFonts w:asciiTheme="minorHAnsi" w:hAnsiTheme="minorHAnsi" w:cstheme="minorBidi"/>
          <w:i w:val="0"/>
          <w:noProof/>
          <w:kern w:val="2"/>
          <w:sz w:val="24"/>
          <w:szCs w:val="24"/>
          <w:lang w:val="en-GB" w:eastAsia="en-GB"/>
          <w14:ligatures w14:val="standardContextual"/>
        </w:rPr>
      </w:pPr>
      <w:r w:rsidRPr="00FD7328">
        <w:rPr>
          <w:noProof/>
        </w:rPr>
        <w:t>Comment l'évaluer ?</w:t>
      </w:r>
      <w:r>
        <w:rPr>
          <w:noProof/>
        </w:rPr>
        <w:tab/>
      </w:r>
      <w:r>
        <w:rPr>
          <w:noProof/>
        </w:rPr>
        <w:fldChar w:fldCharType="begin"/>
      </w:r>
      <w:r>
        <w:rPr>
          <w:noProof/>
        </w:rPr>
        <w:instrText xml:space="preserve"> PAGEREF _Toc210663410 \h </w:instrText>
      </w:r>
      <w:r>
        <w:rPr>
          <w:noProof/>
        </w:rPr>
      </w:r>
      <w:r>
        <w:rPr>
          <w:noProof/>
        </w:rPr>
        <w:fldChar w:fldCharType="separate"/>
      </w:r>
      <w:r>
        <w:rPr>
          <w:noProof/>
        </w:rPr>
        <w:t>3</w:t>
      </w:r>
      <w:r>
        <w:rPr>
          <w:noProof/>
        </w:rPr>
        <w:fldChar w:fldCharType="end"/>
      </w:r>
    </w:p>
    <w:p w14:paraId="718BED66" w14:textId="017FAF87" w:rsidR="00BC380B" w:rsidRDefault="00BC380B">
      <w:pPr>
        <w:pStyle w:val="TOC2"/>
        <w:rPr>
          <w:rFonts w:asciiTheme="minorHAnsi" w:hAnsiTheme="minorHAnsi" w:cstheme="minorBidi"/>
          <w:noProof/>
          <w:kern w:val="2"/>
          <w:sz w:val="24"/>
          <w:szCs w:val="24"/>
          <w:lang w:val="en-GB" w:eastAsia="en-GB"/>
          <w14:ligatures w14:val="standardContextual"/>
        </w:rPr>
      </w:pPr>
      <w:r w:rsidRPr="00FD7328">
        <w:rPr>
          <w:noProof/>
        </w:rPr>
        <w:t>Reproductibilité</w:t>
      </w:r>
      <w:r>
        <w:rPr>
          <w:noProof/>
        </w:rPr>
        <w:tab/>
      </w:r>
      <w:r>
        <w:rPr>
          <w:noProof/>
        </w:rPr>
        <w:fldChar w:fldCharType="begin"/>
      </w:r>
      <w:r>
        <w:rPr>
          <w:noProof/>
        </w:rPr>
        <w:instrText xml:space="preserve"> PAGEREF _Toc210663411 \h </w:instrText>
      </w:r>
      <w:r>
        <w:rPr>
          <w:noProof/>
        </w:rPr>
      </w:r>
      <w:r>
        <w:rPr>
          <w:noProof/>
        </w:rPr>
        <w:fldChar w:fldCharType="separate"/>
      </w:r>
      <w:r>
        <w:rPr>
          <w:noProof/>
        </w:rPr>
        <w:t>3</w:t>
      </w:r>
      <w:r>
        <w:rPr>
          <w:noProof/>
        </w:rPr>
        <w:fldChar w:fldCharType="end"/>
      </w:r>
    </w:p>
    <w:p w14:paraId="201F5EAA" w14:textId="5AD908C2" w:rsidR="00BC380B" w:rsidRDefault="00BC380B">
      <w:pPr>
        <w:pStyle w:val="TOC3"/>
        <w:rPr>
          <w:rFonts w:asciiTheme="minorHAnsi" w:hAnsiTheme="minorHAnsi" w:cstheme="minorBidi"/>
          <w:i w:val="0"/>
          <w:noProof/>
          <w:kern w:val="2"/>
          <w:sz w:val="24"/>
          <w:szCs w:val="24"/>
          <w:lang w:val="en-GB" w:eastAsia="en-GB"/>
          <w14:ligatures w14:val="standardContextual"/>
        </w:rPr>
      </w:pPr>
      <w:r w:rsidRPr="00FD7328">
        <w:rPr>
          <w:noProof/>
        </w:rPr>
        <w:t>Définition (basée sur la norme ISO 16 577:2016 ; référence à UPOV/INF/17)</w:t>
      </w:r>
      <w:r>
        <w:rPr>
          <w:noProof/>
        </w:rPr>
        <w:tab/>
      </w:r>
      <w:r>
        <w:rPr>
          <w:noProof/>
        </w:rPr>
        <w:fldChar w:fldCharType="begin"/>
      </w:r>
      <w:r>
        <w:rPr>
          <w:noProof/>
        </w:rPr>
        <w:instrText xml:space="preserve"> PAGEREF _Toc210663412 \h </w:instrText>
      </w:r>
      <w:r>
        <w:rPr>
          <w:noProof/>
        </w:rPr>
      </w:r>
      <w:r>
        <w:rPr>
          <w:noProof/>
        </w:rPr>
        <w:fldChar w:fldCharType="separate"/>
      </w:r>
      <w:r>
        <w:rPr>
          <w:noProof/>
        </w:rPr>
        <w:t>3</w:t>
      </w:r>
      <w:r>
        <w:rPr>
          <w:noProof/>
        </w:rPr>
        <w:fldChar w:fldCharType="end"/>
      </w:r>
    </w:p>
    <w:p w14:paraId="6E7F55EE" w14:textId="3A0864DC" w:rsidR="00BC380B" w:rsidRDefault="00BC380B">
      <w:pPr>
        <w:pStyle w:val="TOC3"/>
        <w:rPr>
          <w:rFonts w:asciiTheme="minorHAnsi" w:hAnsiTheme="minorHAnsi" w:cstheme="minorBidi"/>
          <w:i w:val="0"/>
          <w:noProof/>
          <w:kern w:val="2"/>
          <w:sz w:val="24"/>
          <w:szCs w:val="24"/>
          <w:lang w:val="en-GB" w:eastAsia="en-GB"/>
          <w14:ligatures w14:val="standardContextual"/>
        </w:rPr>
      </w:pPr>
      <w:r w:rsidRPr="00FD7328">
        <w:rPr>
          <w:noProof/>
        </w:rPr>
        <w:t>Exigence</w:t>
      </w:r>
      <w:r>
        <w:rPr>
          <w:noProof/>
        </w:rPr>
        <w:tab/>
      </w:r>
      <w:r>
        <w:rPr>
          <w:noProof/>
        </w:rPr>
        <w:fldChar w:fldCharType="begin"/>
      </w:r>
      <w:r>
        <w:rPr>
          <w:noProof/>
        </w:rPr>
        <w:instrText xml:space="preserve"> PAGEREF _Toc210663413 \h </w:instrText>
      </w:r>
      <w:r>
        <w:rPr>
          <w:noProof/>
        </w:rPr>
      </w:r>
      <w:r>
        <w:rPr>
          <w:noProof/>
        </w:rPr>
        <w:fldChar w:fldCharType="separate"/>
      </w:r>
      <w:r>
        <w:rPr>
          <w:noProof/>
        </w:rPr>
        <w:t>3</w:t>
      </w:r>
      <w:r>
        <w:rPr>
          <w:noProof/>
        </w:rPr>
        <w:fldChar w:fldCharType="end"/>
      </w:r>
    </w:p>
    <w:p w14:paraId="261071D1" w14:textId="22D5A2D4" w:rsidR="00BC380B" w:rsidRDefault="00BC380B">
      <w:pPr>
        <w:pStyle w:val="TOC3"/>
        <w:rPr>
          <w:rFonts w:asciiTheme="minorHAnsi" w:hAnsiTheme="minorHAnsi" w:cstheme="minorBidi"/>
          <w:i w:val="0"/>
          <w:noProof/>
          <w:kern w:val="2"/>
          <w:sz w:val="24"/>
          <w:szCs w:val="24"/>
          <w:lang w:val="en-GB" w:eastAsia="en-GB"/>
          <w14:ligatures w14:val="standardContextual"/>
        </w:rPr>
      </w:pPr>
      <w:r w:rsidRPr="00FD7328">
        <w:rPr>
          <w:noProof/>
        </w:rPr>
        <w:t>Comment l'évaluer ?</w:t>
      </w:r>
      <w:r>
        <w:rPr>
          <w:noProof/>
        </w:rPr>
        <w:tab/>
      </w:r>
      <w:r>
        <w:rPr>
          <w:noProof/>
        </w:rPr>
        <w:fldChar w:fldCharType="begin"/>
      </w:r>
      <w:r>
        <w:rPr>
          <w:noProof/>
        </w:rPr>
        <w:instrText xml:space="preserve"> PAGEREF _Toc210663414 \h </w:instrText>
      </w:r>
      <w:r>
        <w:rPr>
          <w:noProof/>
        </w:rPr>
      </w:r>
      <w:r>
        <w:rPr>
          <w:noProof/>
        </w:rPr>
        <w:fldChar w:fldCharType="separate"/>
      </w:r>
      <w:r>
        <w:rPr>
          <w:noProof/>
        </w:rPr>
        <w:t>3</w:t>
      </w:r>
      <w:r>
        <w:rPr>
          <w:noProof/>
        </w:rPr>
        <w:fldChar w:fldCharType="end"/>
      </w:r>
    </w:p>
    <w:p w14:paraId="5FEB1732" w14:textId="0827D283" w:rsidR="00BC380B" w:rsidRDefault="00BC380B">
      <w:pPr>
        <w:pStyle w:val="TOC2"/>
        <w:rPr>
          <w:rFonts w:asciiTheme="minorHAnsi" w:hAnsiTheme="minorHAnsi" w:cstheme="minorBidi"/>
          <w:noProof/>
          <w:kern w:val="2"/>
          <w:sz w:val="24"/>
          <w:szCs w:val="24"/>
          <w:lang w:val="en-GB" w:eastAsia="en-GB"/>
          <w14:ligatures w14:val="standardContextual"/>
        </w:rPr>
      </w:pPr>
      <w:r w:rsidRPr="00FD7328">
        <w:rPr>
          <w:noProof/>
        </w:rPr>
        <w:t>Robustesse</w:t>
      </w:r>
      <w:r>
        <w:rPr>
          <w:noProof/>
        </w:rPr>
        <w:tab/>
      </w:r>
      <w:r>
        <w:rPr>
          <w:noProof/>
        </w:rPr>
        <w:fldChar w:fldCharType="begin"/>
      </w:r>
      <w:r>
        <w:rPr>
          <w:noProof/>
        </w:rPr>
        <w:instrText xml:space="preserve"> PAGEREF _Toc210663415 \h </w:instrText>
      </w:r>
      <w:r>
        <w:rPr>
          <w:noProof/>
        </w:rPr>
      </w:r>
      <w:r>
        <w:rPr>
          <w:noProof/>
        </w:rPr>
        <w:fldChar w:fldCharType="separate"/>
      </w:r>
      <w:r>
        <w:rPr>
          <w:noProof/>
        </w:rPr>
        <w:t>4</w:t>
      </w:r>
      <w:r>
        <w:rPr>
          <w:noProof/>
        </w:rPr>
        <w:fldChar w:fldCharType="end"/>
      </w:r>
    </w:p>
    <w:p w14:paraId="58E5C2D0" w14:textId="3F9D0B1F" w:rsidR="00BC380B" w:rsidRDefault="00BC380B">
      <w:pPr>
        <w:pStyle w:val="TOC3"/>
        <w:rPr>
          <w:rFonts w:asciiTheme="minorHAnsi" w:hAnsiTheme="minorHAnsi" w:cstheme="minorBidi"/>
          <w:i w:val="0"/>
          <w:noProof/>
          <w:kern w:val="2"/>
          <w:sz w:val="24"/>
          <w:szCs w:val="24"/>
          <w:lang w:val="en-GB" w:eastAsia="en-GB"/>
          <w14:ligatures w14:val="standardContextual"/>
        </w:rPr>
      </w:pPr>
      <w:r w:rsidRPr="00FD7328">
        <w:rPr>
          <w:noProof/>
        </w:rPr>
        <w:t>Définition (basée sur la norme ISO 16 577:2016 ; référence à UPOV/INF/17)</w:t>
      </w:r>
      <w:r>
        <w:rPr>
          <w:noProof/>
        </w:rPr>
        <w:tab/>
      </w:r>
      <w:r>
        <w:rPr>
          <w:noProof/>
        </w:rPr>
        <w:fldChar w:fldCharType="begin"/>
      </w:r>
      <w:r>
        <w:rPr>
          <w:noProof/>
        </w:rPr>
        <w:instrText xml:space="preserve"> PAGEREF _Toc210663416 \h </w:instrText>
      </w:r>
      <w:r>
        <w:rPr>
          <w:noProof/>
        </w:rPr>
      </w:r>
      <w:r>
        <w:rPr>
          <w:noProof/>
        </w:rPr>
        <w:fldChar w:fldCharType="separate"/>
      </w:r>
      <w:r>
        <w:rPr>
          <w:noProof/>
        </w:rPr>
        <w:t>4</w:t>
      </w:r>
      <w:r>
        <w:rPr>
          <w:noProof/>
        </w:rPr>
        <w:fldChar w:fldCharType="end"/>
      </w:r>
    </w:p>
    <w:p w14:paraId="016F83C0" w14:textId="216200BE" w:rsidR="00BC380B" w:rsidRDefault="00BC380B">
      <w:pPr>
        <w:pStyle w:val="TOC3"/>
        <w:rPr>
          <w:rFonts w:asciiTheme="minorHAnsi" w:hAnsiTheme="minorHAnsi" w:cstheme="minorBidi"/>
          <w:i w:val="0"/>
          <w:noProof/>
          <w:kern w:val="2"/>
          <w:sz w:val="24"/>
          <w:szCs w:val="24"/>
          <w:lang w:val="en-GB" w:eastAsia="en-GB"/>
          <w14:ligatures w14:val="standardContextual"/>
        </w:rPr>
      </w:pPr>
      <w:r w:rsidRPr="00FD7328">
        <w:rPr>
          <w:noProof/>
        </w:rPr>
        <w:t>Exigence</w:t>
      </w:r>
      <w:r>
        <w:rPr>
          <w:noProof/>
        </w:rPr>
        <w:tab/>
      </w:r>
      <w:r>
        <w:rPr>
          <w:noProof/>
        </w:rPr>
        <w:fldChar w:fldCharType="begin"/>
      </w:r>
      <w:r>
        <w:rPr>
          <w:noProof/>
        </w:rPr>
        <w:instrText xml:space="preserve"> PAGEREF _Toc210663417 \h </w:instrText>
      </w:r>
      <w:r>
        <w:rPr>
          <w:noProof/>
        </w:rPr>
      </w:r>
      <w:r>
        <w:rPr>
          <w:noProof/>
        </w:rPr>
        <w:fldChar w:fldCharType="separate"/>
      </w:r>
      <w:r>
        <w:rPr>
          <w:noProof/>
        </w:rPr>
        <w:t>4</w:t>
      </w:r>
      <w:r>
        <w:rPr>
          <w:noProof/>
        </w:rPr>
        <w:fldChar w:fldCharType="end"/>
      </w:r>
    </w:p>
    <w:p w14:paraId="2E1E1C97" w14:textId="25893C6F" w:rsidR="00BC380B" w:rsidRDefault="00BC380B">
      <w:pPr>
        <w:pStyle w:val="TOC3"/>
        <w:rPr>
          <w:rFonts w:asciiTheme="minorHAnsi" w:hAnsiTheme="minorHAnsi" w:cstheme="minorBidi"/>
          <w:i w:val="0"/>
          <w:noProof/>
          <w:kern w:val="2"/>
          <w:sz w:val="24"/>
          <w:szCs w:val="24"/>
          <w:lang w:val="en-GB" w:eastAsia="en-GB"/>
          <w14:ligatures w14:val="standardContextual"/>
        </w:rPr>
      </w:pPr>
      <w:r w:rsidRPr="00FD7328">
        <w:rPr>
          <w:noProof/>
        </w:rPr>
        <w:t>Comment l'évaluer ?</w:t>
      </w:r>
      <w:r>
        <w:rPr>
          <w:noProof/>
        </w:rPr>
        <w:tab/>
      </w:r>
      <w:r>
        <w:rPr>
          <w:noProof/>
        </w:rPr>
        <w:fldChar w:fldCharType="begin"/>
      </w:r>
      <w:r>
        <w:rPr>
          <w:noProof/>
        </w:rPr>
        <w:instrText xml:space="preserve"> PAGEREF _Toc210663418 \h </w:instrText>
      </w:r>
      <w:r>
        <w:rPr>
          <w:noProof/>
        </w:rPr>
      </w:r>
      <w:r>
        <w:rPr>
          <w:noProof/>
        </w:rPr>
        <w:fldChar w:fldCharType="separate"/>
      </w:r>
      <w:r>
        <w:rPr>
          <w:noProof/>
        </w:rPr>
        <w:t>4</w:t>
      </w:r>
      <w:r>
        <w:rPr>
          <w:noProof/>
        </w:rPr>
        <w:fldChar w:fldCharType="end"/>
      </w:r>
    </w:p>
    <w:p w14:paraId="543B9D67" w14:textId="5EA879B1" w:rsidR="00BC380B" w:rsidRDefault="00BC380B">
      <w:pPr>
        <w:pStyle w:val="TOC1"/>
        <w:rPr>
          <w:rFonts w:asciiTheme="minorHAnsi" w:hAnsiTheme="minorHAnsi" w:cstheme="minorBidi"/>
          <w:caps w:val="0"/>
          <w:noProof/>
          <w:kern w:val="2"/>
          <w:sz w:val="24"/>
          <w:szCs w:val="24"/>
          <w:lang w:val="en-GB" w:eastAsia="en-GB"/>
          <w14:ligatures w14:val="standardContextual"/>
        </w:rPr>
      </w:pPr>
      <w:r w:rsidRPr="00FD7328">
        <w:rPr>
          <w:noProof/>
        </w:rPr>
        <w:t>IV.</w:t>
      </w:r>
      <w:r>
        <w:rPr>
          <w:rFonts w:asciiTheme="minorHAnsi" w:hAnsiTheme="minorHAnsi" w:cstheme="minorBidi"/>
          <w:caps w:val="0"/>
          <w:noProof/>
          <w:kern w:val="2"/>
          <w:sz w:val="24"/>
          <w:szCs w:val="24"/>
          <w:lang w:val="en-GB" w:eastAsia="en-GB"/>
          <w14:ligatures w14:val="standardContextual"/>
        </w:rPr>
        <w:tab/>
      </w:r>
      <w:r w:rsidRPr="00FD7328">
        <w:rPr>
          <w:noProof/>
        </w:rPr>
        <w:t>Compte rendu de validation</w:t>
      </w:r>
      <w:r>
        <w:rPr>
          <w:noProof/>
        </w:rPr>
        <w:tab/>
      </w:r>
      <w:r>
        <w:rPr>
          <w:noProof/>
        </w:rPr>
        <w:fldChar w:fldCharType="begin"/>
      </w:r>
      <w:r>
        <w:rPr>
          <w:noProof/>
        </w:rPr>
        <w:instrText xml:space="preserve"> PAGEREF _Toc210663419 \h </w:instrText>
      </w:r>
      <w:r>
        <w:rPr>
          <w:noProof/>
        </w:rPr>
      </w:r>
      <w:r>
        <w:rPr>
          <w:noProof/>
        </w:rPr>
        <w:fldChar w:fldCharType="separate"/>
      </w:r>
      <w:r>
        <w:rPr>
          <w:noProof/>
        </w:rPr>
        <w:t>4</w:t>
      </w:r>
      <w:r>
        <w:rPr>
          <w:noProof/>
        </w:rPr>
        <w:fldChar w:fldCharType="end"/>
      </w:r>
    </w:p>
    <w:p w14:paraId="0E1267E1" w14:textId="4FEDA1B1" w:rsidR="00BC380B" w:rsidRDefault="00BC380B">
      <w:pPr>
        <w:pStyle w:val="TOC2"/>
        <w:rPr>
          <w:rFonts w:asciiTheme="minorHAnsi" w:hAnsiTheme="minorHAnsi" w:cstheme="minorBidi"/>
          <w:noProof/>
          <w:kern w:val="2"/>
          <w:sz w:val="24"/>
          <w:szCs w:val="24"/>
          <w:lang w:val="en-GB" w:eastAsia="en-GB"/>
          <w14:ligatures w14:val="standardContextual"/>
        </w:rPr>
      </w:pPr>
      <w:r w:rsidRPr="00FD7328">
        <w:rPr>
          <w:noProof/>
        </w:rPr>
        <w:t>Contenu du compte rendu de validation</w:t>
      </w:r>
      <w:r>
        <w:rPr>
          <w:noProof/>
        </w:rPr>
        <w:tab/>
      </w:r>
      <w:r>
        <w:rPr>
          <w:noProof/>
        </w:rPr>
        <w:fldChar w:fldCharType="begin"/>
      </w:r>
      <w:r>
        <w:rPr>
          <w:noProof/>
        </w:rPr>
        <w:instrText xml:space="preserve"> PAGEREF _Toc210663420 \h </w:instrText>
      </w:r>
      <w:r>
        <w:rPr>
          <w:noProof/>
        </w:rPr>
      </w:r>
      <w:r>
        <w:rPr>
          <w:noProof/>
        </w:rPr>
        <w:fldChar w:fldCharType="separate"/>
      </w:r>
      <w:r>
        <w:rPr>
          <w:noProof/>
        </w:rPr>
        <w:t>4</w:t>
      </w:r>
      <w:r>
        <w:rPr>
          <w:noProof/>
        </w:rPr>
        <w:fldChar w:fldCharType="end"/>
      </w:r>
    </w:p>
    <w:p w14:paraId="7327CA4C" w14:textId="218F0873" w:rsidR="00BC380B" w:rsidRDefault="00BC380B">
      <w:pPr>
        <w:pStyle w:val="TOC2"/>
        <w:rPr>
          <w:rFonts w:asciiTheme="minorHAnsi" w:hAnsiTheme="minorHAnsi" w:cstheme="minorBidi"/>
          <w:noProof/>
          <w:kern w:val="2"/>
          <w:sz w:val="24"/>
          <w:szCs w:val="24"/>
          <w:lang w:val="en-GB" w:eastAsia="en-GB"/>
          <w14:ligatures w14:val="standardContextual"/>
        </w:rPr>
      </w:pPr>
      <w:r w:rsidRPr="00FD7328">
        <w:rPr>
          <w:noProof/>
        </w:rPr>
        <w:t>Publicité</w:t>
      </w:r>
      <w:r>
        <w:rPr>
          <w:noProof/>
        </w:rPr>
        <w:tab/>
      </w:r>
      <w:r>
        <w:rPr>
          <w:noProof/>
        </w:rPr>
        <w:fldChar w:fldCharType="begin"/>
      </w:r>
      <w:r>
        <w:rPr>
          <w:noProof/>
        </w:rPr>
        <w:instrText xml:space="preserve"> PAGEREF _Toc210663421 \h </w:instrText>
      </w:r>
      <w:r>
        <w:rPr>
          <w:noProof/>
        </w:rPr>
      </w:r>
      <w:r>
        <w:rPr>
          <w:noProof/>
        </w:rPr>
        <w:fldChar w:fldCharType="separate"/>
      </w:r>
      <w:r>
        <w:rPr>
          <w:noProof/>
        </w:rPr>
        <w:t>4</w:t>
      </w:r>
      <w:r>
        <w:rPr>
          <w:noProof/>
        </w:rPr>
        <w:fldChar w:fldCharType="end"/>
      </w:r>
    </w:p>
    <w:p w14:paraId="5888C237" w14:textId="516EE13B" w:rsidR="00BC380B" w:rsidRDefault="00BC380B">
      <w:pPr>
        <w:pStyle w:val="TOC1"/>
        <w:rPr>
          <w:rFonts w:asciiTheme="minorHAnsi" w:hAnsiTheme="minorHAnsi" w:cstheme="minorBidi"/>
          <w:caps w:val="0"/>
          <w:noProof/>
          <w:kern w:val="2"/>
          <w:sz w:val="24"/>
          <w:szCs w:val="24"/>
          <w:lang w:val="en-GB" w:eastAsia="en-GB"/>
          <w14:ligatures w14:val="standardContextual"/>
        </w:rPr>
      </w:pPr>
      <w:r w:rsidRPr="00FD7328">
        <w:rPr>
          <w:noProof/>
        </w:rPr>
        <w:t>V.</w:t>
      </w:r>
      <w:r>
        <w:rPr>
          <w:rFonts w:asciiTheme="minorHAnsi" w:hAnsiTheme="minorHAnsi" w:cstheme="minorBidi"/>
          <w:caps w:val="0"/>
          <w:noProof/>
          <w:kern w:val="2"/>
          <w:sz w:val="24"/>
          <w:szCs w:val="24"/>
          <w:lang w:val="en-GB" w:eastAsia="en-GB"/>
          <w14:ligatures w14:val="standardContextual"/>
        </w:rPr>
        <w:tab/>
      </w:r>
      <w:r w:rsidRPr="00FD7328">
        <w:rPr>
          <w:noProof/>
        </w:rPr>
        <w:t>Protocole standard pour les marqueurs moléculaires spécifiques à un caractère</w:t>
      </w:r>
      <w:r>
        <w:rPr>
          <w:noProof/>
        </w:rPr>
        <w:tab/>
      </w:r>
      <w:r>
        <w:rPr>
          <w:noProof/>
        </w:rPr>
        <w:fldChar w:fldCharType="begin"/>
      </w:r>
      <w:r>
        <w:rPr>
          <w:noProof/>
        </w:rPr>
        <w:instrText xml:space="preserve"> PAGEREF _Toc210663422 \h </w:instrText>
      </w:r>
      <w:r>
        <w:rPr>
          <w:noProof/>
        </w:rPr>
      </w:r>
      <w:r>
        <w:rPr>
          <w:noProof/>
        </w:rPr>
        <w:fldChar w:fldCharType="separate"/>
      </w:r>
      <w:r>
        <w:rPr>
          <w:noProof/>
        </w:rPr>
        <w:t>5</w:t>
      </w:r>
      <w:r>
        <w:rPr>
          <w:noProof/>
        </w:rPr>
        <w:fldChar w:fldCharType="end"/>
      </w:r>
    </w:p>
    <w:p w14:paraId="118F9485" w14:textId="581C2610" w:rsidR="00BC380B" w:rsidRDefault="00BC380B">
      <w:pPr>
        <w:pStyle w:val="TOC1"/>
        <w:rPr>
          <w:rFonts w:asciiTheme="minorHAnsi" w:hAnsiTheme="minorHAnsi" w:cstheme="minorBidi"/>
          <w:caps w:val="0"/>
          <w:noProof/>
          <w:kern w:val="2"/>
          <w:sz w:val="24"/>
          <w:szCs w:val="24"/>
          <w:lang w:val="en-GB" w:eastAsia="en-GB"/>
          <w14:ligatures w14:val="standardContextual"/>
        </w:rPr>
      </w:pPr>
      <w:r w:rsidRPr="00FD7328">
        <w:rPr>
          <w:noProof/>
        </w:rPr>
        <w:t>VI.</w:t>
      </w:r>
      <w:r>
        <w:rPr>
          <w:rFonts w:asciiTheme="minorHAnsi" w:hAnsiTheme="minorHAnsi" w:cstheme="minorBidi"/>
          <w:caps w:val="0"/>
          <w:noProof/>
          <w:kern w:val="2"/>
          <w:sz w:val="24"/>
          <w:szCs w:val="24"/>
          <w:lang w:val="en-GB" w:eastAsia="en-GB"/>
          <w14:ligatures w14:val="standardContextual"/>
        </w:rPr>
        <w:tab/>
      </w:r>
      <w:r w:rsidRPr="00FD7328">
        <w:rPr>
          <w:noProof/>
        </w:rPr>
        <w:t>Enquête de suivi après approbation</w:t>
      </w:r>
      <w:r>
        <w:rPr>
          <w:noProof/>
        </w:rPr>
        <w:tab/>
      </w:r>
      <w:r>
        <w:rPr>
          <w:noProof/>
        </w:rPr>
        <w:fldChar w:fldCharType="begin"/>
      </w:r>
      <w:r>
        <w:rPr>
          <w:noProof/>
        </w:rPr>
        <w:instrText xml:space="preserve"> PAGEREF _Toc210663423 \h </w:instrText>
      </w:r>
      <w:r>
        <w:rPr>
          <w:noProof/>
        </w:rPr>
      </w:r>
      <w:r>
        <w:rPr>
          <w:noProof/>
        </w:rPr>
        <w:fldChar w:fldCharType="separate"/>
      </w:r>
      <w:r>
        <w:rPr>
          <w:noProof/>
        </w:rPr>
        <w:t>8</w:t>
      </w:r>
      <w:r>
        <w:rPr>
          <w:noProof/>
        </w:rPr>
        <w:fldChar w:fldCharType="end"/>
      </w:r>
    </w:p>
    <w:p w14:paraId="4C41724E" w14:textId="046243A3" w:rsidR="00BC380B" w:rsidRDefault="00BC380B">
      <w:pPr>
        <w:pStyle w:val="TOC1"/>
        <w:rPr>
          <w:rFonts w:asciiTheme="minorHAnsi" w:hAnsiTheme="minorHAnsi" w:cstheme="minorBidi"/>
          <w:caps w:val="0"/>
          <w:noProof/>
          <w:kern w:val="2"/>
          <w:sz w:val="24"/>
          <w:szCs w:val="24"/>
          <w:lang w:val="en-GB" w:eastAsia="en-GB"/>
          <w14:ligatures w14:val="standardContextual"/>
        </w:rPr>
      </w:pPr>
      <w:r w:rsidRPr="00FD7328">
        <w:rPr>
          <w:noProof/>
        </w:rPr>
        <w:t>VII.</w:t>
      </w:r>
      <w:r>
        <w:rPr>
          <w:rFonts w:asciiTheme="minorHAnsi" w:hAnsiTheme="minorHAnsi" w:cstheme="minorBidi"/>
          <w:caps w:val="0"/>
          <w:noProof/>
          <w:kern w:val="2"/>
          <w:sz w:val="24"/>
          <w:szCs w:val="24"/>
          <w:lang w:val="en-GB" w:eastAsia="en-GB"/>
          <w14:ligatures w14:val="standardContextual"/>
        </w:rPr>
        <w:tab/>
      </w:r>
      <w:r w:rsidRPr="00FD7328">
        <w:rPr>
          <w:noProof/>
        </w:rPr>
        <w:t>BIBLIOGRAPHIE</w:t>
      </w:r>
      <w:r>
        <w:rPr>
          <w:noProof/>
        </w:rPr>
        <w:tab/>
      </w:r>
      <w:r>
        <w:rPr>
          <w:noProof/>
        </w:rPr>
        <w:fldChar w:fldCharType="begin"/>
      </w:r>
      <w:r>
        <w:rPr>
          <w:noProof/>
        </w:rPr>
        <w:instrText xml:space="preserve"> PAGEREF _Toc210663424 \h </w:instrText>
      </w:r>
      <w:r>
        <w:rPr>
          <w:noProof/>
        </w:rPr>
      </w:r>
      <w:r>
        <w:rPr>
          <w:noProof/>
        </w:rPr>
        <w:fldChar w:fldCharType="separate"/>
      </w:r>
      <w:r>
        <w:rPr>
          <w:noProof/>
        </w:rPr>
        <w:t>8</w:t>
      </w:r>
      <w:r>
        <w:rPr>
          <w:noProof/>
        </w:rPr>
        <w:fldChar w:fldCharType="end"/>
      </w:r>
    </w:p>
    <w:p w14:paraId="3F14DA8C" w14:textId="05CAF8D3" w:rsidR="00D52685" w:rsidRPr="00EA4F84" w:rsidRDefault="00AF5629" w:rsidP="00D52685">
      <w:pPr>
        <w:rPr>
          <w:rFonts w:cs="Arial"/>
          <w:lang w:eastAsia="fr-FR"/>
        </w:rPr>
      </w:pPr>
      <w:r w:rsidRPr="00EA4F84">
        <w:rPr>
          <w:rFonts w:cs="Arial"/>
          <w:lang w:eastAsia="fr-FR"/>
        </w:rPr>
        <w:fldChar w:fldCharType="end"/>
      </w:r>
    </w:p>
    <w:p w14:paraId="74DF8BDE" w14:textId="77777777" w:rsidR="00D52685" w:rsidRPr="00EA4F84" w:rsidRDefault="00D52685" w:rsidP="00D52685">
      <w:pPr>
        <w:keepNext/>
        <w:outlineLvl w:val="0"/>
        <w:rPr>
          <w:caps/>
          <w:lang w:eastAsia="ja-JP"/>
        </w:rPr>
      </w:pPr>
    </w:p>
    <w:p w14:paraId="2441B9F8" w14:textId="62DDDFCC" w:rsidR="00D52685" w:rsidRPr="00EA4F84" w:rsidRDefault="00D52685" w:rsidP="00D52685">
      <w:pPr>
        <w:keepNext/>
        <w:outlineLvl w:val="0"/>
        <w:rPr>
          <w:rFonts w:eastAsia="Times New Roman"/>
          <w:caps/>
        </w:rPr>
      </w:pPr>
      <w:r w:rsidRPr="00EA4F84">
        <w:rPr>
          <w:rFonts w:eastAsia="Times New Roman"/>
          <w:caps/>
        </w:rPr>
        <w:t>Documents connexes</w:t>
      </w:r>
      <w:bookmarkEnd w:id="67"/>
    </w:p>
    <w:p w14:paraId="088828AD" w14:textId="77777777" w:rsidR="00D52685" w:rsidRPr="00EA4F84" w:rsidRDefault="00D52685" w:rsidP="00D52685">
      <w:pPr>
        <w:rPr>
          <w:rFonts w:eastAsia="Times New Roman" w:cs="Arial"/>
          <w:lang w:eastAsia="fr-FR"/>
        </w:rPr>
      </w:pPr>
    </w:p>
    <w:p w14:paraId="6A8D368F" w14:textId="77777777" w:rsidR="00D52685" w:rsidRPr="00EA4F84" w:rsidRDefault="00D52685" w:rsidP="00D52685">
      <w:pPr>
        <w:numPr>
          <w:ilvl w:val="0"/>
          <w:numId w:val="16"/>
        </w:numPr>
        <w:tabs>
          <w:tab w:val="left" w:pos="567"/>
        </w:tabs>
        <w:spacing w:after="60"/>
        <w:ind w:left="2268" w:hanging="1911"/>
        <w:rPr>
          <w:rFonts w:eastAsia="Calibri" w:cs="Arial"/>
        </w:rPr>
      </w:pPr>
      <w:r w:rsidRPr="00EA4F84">
        <w:rPr>
          <w:rFonts w:eastAsia="Calibri" w:cs="Arial"/>
        </w:rPr>
        <w:t>TG/1/3 :</w:t>
      </w:r>
      <w:r w:rsidRPr="00EA4F84">
        <w:rPr>
          <w:rFonts w:eastAsia="Calibri" w:cs="Arial"/>
        </w:rPr>
        <w:tab/>
        <w:t>Introduction générale à l'examen de la distinction, de l'homogénéité et de la stabilité et à l'élaboration de descriptions harmonisées des nouvelles variétés végétales</w:t>
      </w:r>
    </w:p>
    <w:p w14:paraId="4672F141" w14:textId="77777777" w:rsidR="00D52685" w:rsidRPr="00EA4F84" w:rsidRDefault="00D52685" w:rsidP="00D52685">
      <w:pPr>
        <w:numPr>
          <w:ilvl w:val="0"/>
          <w:numId w:val="16"/>
        </w:numPr>
        <w:tabs>
          <w:tab w:val="left" w:pos="567"/>
        </w:tabs>
        <w:spacing w:after="60"/>
        <w:ind w:left="2268" w:hanging="1911"/>
        <w:rPr>
          <w:rFonts w:eastAsia="Calibri" w:cs="Arial"/>
        </w:rPr>
      </w:pPr>
      <w:r w:rsidRPr="00EA4F84">
        <w:rPr>
          <w:rFonts w:eastAsia="Calibri" w:cs="Arial"/>
        </w:rPr>
        <w:t>TG/44 :</w:t>
      </w:r>
      <w:r w:rsidRPr="00EA4F84">
        <w:rPr>
          <w:rFonts w:eastAsia="Calibri" w:cs="Arial"/>
        </w:rPr>
        <w:tab/>
        <w:t>Principes directeurs pour la conduite des essais de distinction, d'homogénéité et de stabilité pour la tomate</w:t>
      </w:r>
    </w:p>
    <w:p w14:paraId="429E1445" w14:textId="77777777" w:rsidR="00D52685" w:rsidRPr="00EA4F84" w:rsidRDefault="00D52685" w:rsidP="00D52685">
      <w:pPr>
        <w:numPr>
          <w:ilvl w:val="0"/>
          <w:numId w:val="16"/>
        </w:numPr>
        <w:tabs>
          <w:tab w:val="left" w:pos="567"/>
        </w:tabs>
        <w:spacing w:after="60"/>
        <w:ind w:left="2268" w:hanging="1911"/>
        <w:rPr>
          <w:rFonts w:eastAsia="Calibri" w:cs="Arial"/>
        </w:rPr>
      </w:pPr>
      <w:r w:rsidRPr="00EA4F84">
        <w:rPr>
          <w:rFonts w:eastAsia="Calibri" w:cs="Arial"/>
        </w:rPr>
        <w:t>TGP/9 :</w:t>
      </w:r>
      <w:r w:rsidRPr="00EA4F84">
        <w:rPr>
          <w:rFonts w:eastAsia="Calibri" w:cs="Arial"/>
        </w:rPr>
        <w:tab/>
        <w:t>Examen de la distinction</w:t>
      </w:r>
    </w:p>
    <w:p w14:paraId="457C63BF" w14:textId="77777777" w:rsidR="00D52685" w:rsidRPr="00EA4F84" w:rsidRDefault="00D52685" w:rsidP="00D52685">
      <w:pPr>
        <w:numPr>
          <w:ilvl w:val="0"/>
          <w:numId w:val="16"/>
        </w:numPr>
        <w:tabs>
          <w:tab w:val="left" w:pos="567"/>
        </w:tabs>
        <w:spacing w:after="60"/>
        <w:ind w:left="2268" w:hanging="1911"/>
        <w:rPr>
          <w:rFonts w:eastAsia="Calibri" w:cs="Arial"/>
        </w:rPr>
      </w:pPr>
      <w:r w:rsidRPr="00EA4F84">
        <w:rPr>
          <w:rFonts w:eastAsia="Calibri" w:cs="Arial"/>
        </w:rPr>
        <w:t>TGP/10 :</w:t>
      </w:r>
      <w:r w:rsidRPr="00EA4F84">
        <w:rPr>
          <w:rFonts w:eastAsia="Calibri" w:cs="Arial"/>
        </w:rPr>
        <w:tab/>
        <w:t>Examen de l'homogénéité</w:t>
      </w:r>
    </w:p>
    <w:p w14:paraId="500B7791" w14:textId="77777777" w:rsidR="00D52685" w:rsidRPr="00EA4F84" w:rsidRDefault="00D52685" w:rsidP="00D52685">
      <w:pPr>
        <w:numPr>
          <w:ilvl w:val="0"/>
          <w:numId w:val="16"/>
        </w:numPr>
        <w:tabs>
          <w:tab w:val="left" w:pos="567"/>
        </w:tabs>
        <w:spacing w:after="60"/>
        <w:ind w:left="2268" w:hanging="1911"/>
        <w:rPr>
          <w:rFonts w:eastAsia="Calibri" w:cs="Arial"/>
        </w:rPr>
      </w:pPr>
      <w:r w:rsidRPr="00EA4F84">
        <w:rPr>
          <w:rFonts w:eastAsia="Calibri" w:cs="Arial"/>
        </w:rPr>
        <w:t>TGP/12 :</w:t>
      </w:r>
      <w:r w:rsidRPr="00EA4F84">
        <w:rPr>
          <w:rFonts w:eastAsia="Calibri" w:cs="Arial"/>
        </w:rPr>
        <w:tab/>
        <w:t>Directives concernant certains caractères physiologiques</w:t>
      </w:r>
    </w:p>
    <w:p w14:paraId="62F6E611" w14:textId="77777777" w:rsidR="00D52685" w:rsidRPr="00EA4F84" w:rsidRDefault="00D52685" w:rsidP="00D52685">
      <w:pPr>
        <w:numPr>
          <w:ilvl w:val="0"/>
          <w:numId w:val="16"/>
        </w:numPr>
        <w:tabs>
          <w:tab w:val="left" w:pos="567"/>
        </w:tabs>
        <w:spacing w:after="60"/>
        <w:ind w:left="2268" w:hanging="1911"/>
        <w:rPr>
          <w:rFonts w:eastAsia="Calibri" w:cs="Arial"/>
          <w:b/>
          <w:bCs/>
        </w:rPr>
      </w:pPr>
      <w:r w:rsidRPr="00EA4F84">
        <w:rPr>
          <w:rFonts w:eastAsia="Calibri" w:cs="Arial"/>
        </w:rPr>
        <w:t>TGP/15 :</w:t>
      </w:r>
      <w:r w:rsidRPr="00EA4F84">
        <w:rPr>
          <w:rFonts w:eastAsia="Calibri" w:cs="Arial"/>
        </w:rPr>
        <w:tab/>
        <w:t>Conseils concernant l'utilisation de marqueurs biochimiques et moléculaires dans l'examen de la distinction, de l'homogénéité et de la stabilité (DHS)</w:t>
      </w:r>
    </w:p>
    <w:p w14:paraId="34E505B3" w14:textId="77777777" w:rsidR="00D52685" w:rsidRPr="00EA4F84" w:rsidRDefault="00D52685" w:rsidP="00D52685">
      <w:pPr>
        <w:numPr>
          <w:ilvl w:val="0"/>
          <w:numId w:val="16"/>
        </w:numPr>
        <w:tabs>
          <w:tab w:val="left" w:pos="567"/>
        </w:tabs>
        <w:spacing w:after="60"/>
        <w:ind w:left="2268" w:hanging="1911"/>
        <w:rPr>
          <w:rFonts w:eastAsia="Calibri" w:cs="Arial"/>
        </w:rPr>
      </w:pPr>
      <w:r w:rsidRPr="00EA4F84">
        <w:rPr>
          <w:rFonts w:eastAsia="Calibri" w:cs="Arial"/>
        </w:rPr>
        <w:t>UPOV/INF/17</w:t>
      </w:r>
      <w:r w:rsidRPr="00EA4F84">
        <w:rPr>
          <w:rFonts w:eastAsia="Calibri" w:cs="Arial"/>
        </w:rPr>
        <w:tab/>
        <w:t xml:space="preserve">Directives concernant les profils d'ADN : sélection des marqueurs moléculaires et constitution d'une base de données </w:t>
      </w:r>
    </w:p>
    <w:p w14:paraId="5118709A" w14:textId="77777777" w:rsidR="00D52685" w:rsidRPr="00EA4F84" w:rsidRDefault="00D52685" w:rsidP="00D52685">
      <w:pPr>
        <w:numPr>
          <w:ilvl w:val="0"/>
          <w:numId w:val="16"/>
        </w:numPr>
        <w:tabs>
          <w:tab w:val="left" w:pos="567"/>
        </w:tabs>
        <w:spacing w:after="60"/>
        <w:ind w:left="2268" w:hanging="1911"/>
        <w:rPr>
          <w:rFonts w:eastAsia="Calibri" w:cs="Arial"/>
          <w:b/>
          <w:bCs/>
        </w:rPr>
      </w:pPr>
      <w:r w:rsidRPr="00EA4F84">
        <w:rPr>
          <w:rFonts w:eastAsia="Calibri" w:cs="Arial"/>
        </w:rPr>
        <w:t>UPOV/INF/18</w:t>
      </w:r>
      <w:r w:rsidRPr="00EA4F84">
        <w:rPr>
          <w:rFonts w:eastAsia="Calibri" w:cs="Arial"/>
        </w:rPr>
        <w:tab/>
        <w:t>Utilisation possible des marqueurs moléculaires dans l'examen de la distinction, de l'homogénéité et de la stabilité (DHS)</w:t>
      </w:r>
    </w:p>
    <w:p w14:paraId="16EF0F89" w14:textId="3A2F99BB" w:rsidR="0077577B" w:rsidRPr="00E22EB9" w:rsidRDefault="00D52685" w:rsidP="008A0AAB">
      <w:pPr>
        <w:numPr>
          <w:ilvl w:val="0"/>
          <w:numId w:val="16"/>
        </w:numPr>
        <w:tabs>
          <w:tab w:val="left" w:pos="567"/>
        </w:tabs>
        <w:spacing w:after="200" w:line="276" w:lineRule="auto"/>
        <w:ind w:left="2268" w:hanging="1911"/>
        <w:contextualSpacing/>
        <w:jc w:val="left"/>
        <w:rPr>
          <w:rFonts w:eastAsia="Calibri"/>
        </w:rPr>
      </w:pPr>
      <w:r w:rsidRPr="00E22EB9">
        <w:rPr>
          <w:rFonts w:eastAsia="Calibri" w:cs="Arial"/>
        </w:rPr>
        <w:t xml:space="preserve">TWV/54/7 + </w:t>
      </w:r>
      <w:proofErr w:type="spellStart"/>
      <w:r w:rsidRPr="00E22EB9">
        <w:rPr>
          <w:rFonts w:eastAsia="Calibri" w:cs="Arial"/>
        </w:rPr>
        <w:t>Add</w:t>
      </w:r>
      <w:proofErr w:type="spellEnd"/>
      <w:r w:rsidRPr="00E22EB9">
        <w:rPr>
          <w:rFonts w:eastAsia="Calibri" w:cs="Arial"/>
        </w:rPr>
        <w:tab/>
        <w:t>Utilisation des techniques moléculaires dans l'examen DHS</w:t>
      </w:r>
      <w:r w:rsidR="0077577B" w:rsidRPr="00E22EB9">
        <w:rPr>
          <w:rFonts w:eastAsia="Calibri"/>
        </w:rPr>
        <w:br w:type="page"/>
      </w:r>
    </w:p>
    <w:p w14:paraId="15827AA1" w14:textId="77777777" w:rsidR="00D52685" w:rsidRPr="00EA4F84" w:rsidRDefault="00D52685" w:rsidP="0077577B">
      <w:pPr>
        <w:pStyle w:val="Heading1Annex"/>
        <w:rPr>
          <w:lang w:val="fr-FR"/>
        </w:rPr>
      </w:pPr>
      <w:bookmarkStart w:id="68" w:name="_Toc189576552"/>
      <w:bookmarkStart w:id="69" w:name="_Toc210663396"/>
      <w:r w:rsidRPr="00EA4F84">
        <w:rPr>
          <w:lang w:val="fr-FR"/>
        </w:rPr>
        <w:lastRenderedPageBreak/>
        <w:t>I.</w:t>
      </w:r>
      <w:r w:rsidRPr="00EA4F84">
        <w:rPr>
          <w:lang w:val="fr-FR"/>
        </w:rPr>
        <w:tab/>
        <w:t>Objectifs des présentes directives</w:t>
      </w:r>
      <w:bookmarkEnd w:id="68"/>
      <w:bookmarkEnd w:id="69"/>
    </w:p>
    <w:p w14:paraId="49A7413D" w14:textId="77777777" w:rsidR="00D52685" w:rsidRPr="00EA4F84" w:rsidRDefault="00D52685" w:rsidP="00D52685">
      <w:pPr>
        <w:keepNext/>
        <w:rPr>
          <w:lang w:eastAsia="ja-JP"/>
        </w:rPr>
      </w:pPr>
    </w:p>
    <w:p w14:paraId="307E9754" w14:textId="4616A4F3" w:rsidR="00D52685" w:rsidRPr="00EA4F84" w:rsidRDefault="00DC4B65" w:rsidP="00D52685">
      <w:pPr>
        <w:rPr>
          <w:rFonts w:eastAsia="Times New Roman"/>
          <w:lang w:eastAsia="fr-FR"/>
        </w:rPr>
      </w:pPr>
      <w:r w:rsidRPr="00EA4F84">
        <w:rPr>
          <w:rFonts w:hint="eastAsia"/>
          <w:lang w:eastAsia="ja-JP"/>
        </w:rPr>
        <w:t>1.</w:t>
      </w:r>
      <w:r w:rsidRPr="00EA4F84">
        <w:rPr>
          <w:rFonts w:eastAsia="Times New Roman"/>
          <w:lang w:eastAsia="fr-FR"/>
        </w:rPr>
        <w:tab/>
      </w:r>
      <w:r w:rsidR="00D52685" w:rsidRPr="00EA4F84">
        <w:rPr>
          <w:rFonts w:eastAsia="Times New Roman"/>
          <w:lang w:eastAsia="fr-FR"/>
        </w:rPr>
        <w:t>Les présentes directives ont pour objet de développer les principes énoncés dans l'introduction générale (document TG/1/3) et les documents TGP connexes afin d'établir des orientations pratiques détaillées pour la validation harmonisée d'une nouvelle méthode fondée sur des marqueurs moléculaires spécifiques à un caractère avant son utilisation comme test de substitution. Les critères de performance requis pour la validation sont décrits et des orientations sont fournies pour leur évaluation. Les présentes directives décrivent également un protocole standard comprenant des chapitres obligatoires et facultatifs. L'enquête après acceptation est également décrite.</w:t>
      </w:r>
    </w:p>
    <w:p w14:paraId="03804703" w14:textId="77777777" w:rsidR="00D52685" w:rsidRPr="00EA4F84" w:rsidRDefault="00D52685" w:rsidP="00D52685">
      <w:pPr>
        <w:rPr>
          <w:rFonts w:eastAsia="Times New Roman"/>
          <w:lang w:eastAsia="fr-FR"/>
        </w:rPr>
      </w:pPr>
    </w:p>
    <w:p w14:paraId="6B30FB3B" w14:textId="129772C5" w:rsidR="00D52685" w:rsidRPr="00EA4F84" w:rsidRDefault="00DC4B65" w:rsidP="00D52685">
      <w:pPr>
        <w:rPr>
          <w:rFonts w:eastAsia="Times New Roman"/>
          <w:lang w:eastAsia="fr-FR"/>
        </w:rPr>
      </w:pPr>
      <w:r w:rsidRPr="00EA4F84">
        <w:rPr>
          <w:rFonts w:hint="eastAsia"/>
          <w:lang w:eastAsia="ja-JP"/>
        </w:rPr>
        <w:t>2.</w:t>
      </w:r>
      <w:r w:rsidR="00D52685" w:rsidRPr="00EA4F84">
        <w:rPr>
          <w:rFonts w:eastAsia="Times New Roman"/>
          <w:lang w:eastAsia="fr-FR"/>
        </w:rPr>
        <w:tab/>
        <w:t>Si une technique différente est utilisée, le laboratoire doit valider sa méthode par rapport à la méthode de référence (afin de démontrer que la technique alternative donne les mêmes résultats).</w:t>
      </w:r>
    </w:p>
    <w:p w14:paraId="5122E8AA" w14:textId="77777777" w:rsidR="00D52685" w:rsidRPr="00EA4F84" w:rsidRDefault="00D52685" w:rsidP="00D52685">
      <w:pPr>
        <w:rPr>
          <w:rFonts w:eastAsia="Times New Roman"/>
          <w:lang w:eastAsia="fr-FR"/>
        </w:rPr>
      </w:pPr>
    </w:p>
    <w:p w14:paraId="4344A0B1" w14:textId="77777777" w:rsidR="00D52685" w:rsidRPr="00EA4F84" w:rsidRDefault="00D52685" w:rsidP="00D52685">
      <w:pPr>
        <w:rPr>
          <w:rFonts w:eastAsia="Times New Roman"/>
          <w:lang w:eastAsia="fr-FR"/>
        </w:rPr>
      </w:pPr>
    </w:p>
    <w:p w14:paraId="3AD58576" w14:textId="77777777" w:rsidR="00D52685" w:rsidRPr="00EA4F84" w:rsidRDefault="00D52685" w:rsidP="0077577B">
      <w:pPr>
        <w:pStyle w:val="Heading1Annex"/>
        <w:rPr>
          <w:lang w:val="fr-FR"/>
        </w:rPr>
      </w:pPr>
      <w:bookmarkStart w:id="70" w:name="_Toc189576553"/>
      <w:bookmarkStart w:id="71" w:name="_Toc210663397"/>
      <w:r w:rsidRPr="00EA4F84">
        <w:rPr>
          <w:lang w:val="fr-FR"/>
        </w:rPr>
        <w:t>II.</w:t>
      </w:r>
      <w:r w:rsidRPr="00EA4F84">
        <w:rPr>
          <w:lang w:val="fr-FR"/>
        </w:rPr>
        <w:tab/>
        <w:t>Champ d'application des présentes lignes directrices</w:t>
      </w:r>
      <w:bookmarkEnd w:id="70"/>
      <w:bookmarkEnd w:id="71"/>
    </w:p>
    <w:p w14:paraId="2C6DCD92" w14:textId="77777777" w:rsidR="00D52685" w:rsidRPr="00EA4F84" w:rsidRDefault="00D52685" w:rsidP="00D52685">
      <w:pPr>
        <w:rPr>
          <w:rFonts w:eastAsia="Times New Roman"/>
          <w:lang w:eastAsia="fr-FR"/>
        </w:rPr>
      </w:pPr>
    </w:p>
    <w:p w14:paraId="0B741B61" w14:textId="77777777" w:rsidR="00D52685" w:rsidRPr="00EA4F84" w:rsidRDefault="00D52685" w:rsidP="00592AD3">
      <w:pPr>
        <w:ind w:left="567"/>
        <w:rPr>
          <w:rFonts w:eastAsia="Times New Roman"/>
          <w:lang w:eastAsia="fr-FR"/>
        </w:rPr>
      </w:pPr>
      <w:r w:rsidRPr="00EA4F84">
        <w:rPr>
          <w:rFonts w:eastAsia="Times New Roman"/>
          <w:lang w:eastAsia="fr-FR"/>
        </w:rPr>
        <w:t>Toutes les cultures</w:t>
      </w:r>
    </w:p>
    <w:p w14:paraId="004B1AB4" w14:textId="77777777" w:rsidR="00D52685" w:rsidRPr="00EA4F84" w:rsidRDefault="00D52685" w:rsidP="00592AD3">
      <w:pPr>
        <w:ind w:left="567"/>
        <w:rPr>
          <w:rFonts w:eastAsia="Times New Roman"/>
          <w:lang w:eastAsia="fr-FR"/>
        </w:rPr>
      </w:pPr>
      <w:r w:rsidRPr="00EA4F84">
        <w:rPr>
          <w:rFonts w:eastAsia="Times New Roman"/>
          <w:lang w:eastAsia="fr-FR"/>
        </w:rPr>
        <w:t>Marqueurs moléculaires spécifiques à un caractère</w:t>
      </w:r>
    </w:p>
    <w:p w14:paraId="5C4C2349" w14:textId="77777777" w:rsidR="00D52685" w:rsidRPr="00EA4F84" w:rsidRDefault="00D52685" w:rsidP="00592AD3">
      <w:pPr>
        <w:ind w:left="567"/>
        <w:rPr>
          <w:rFonts w:eastAsia="Times New Roman"/>
          <w:lang w:eastAsia="fr-FR"/>
        </w:rPr>
      </w:pPr>
      <w:r w:rsidRPr="00EA4F84">
        <w:rPr>
          <w:rFonts w:eastAsia="Times New Roman"/>
          <w:lang w:eastAsia="fr-FR"/>
        </w:rPr>
        <w:t>Pour l'examen de la distinction, de l'homogénéité et de la stabilité (DHS).</w:t>
      </w:r>
    </w:p>
    <w:p w14:paraId="6FF294B0" w14:textId="77777777" w:rsidR="00D52685" w:rsidRPr="00EA4F84" w:rsidRDefault="00D52685" w:rsidP="00D52685">
      <w:pPr>
        <w:rPr>
          <w:rFonts w:eastAsia="Times New Roman"/>
          <w:lang w:eastAsia="fr-FR"/>
        </w:rPr>
      </w:pPr>
    </w:p>
    <w:p w14:paraId="483F251D" w14:textId="77777777" w:rsidR="00D52685" w:rsidRPr="00EA4F84" w:rsidRDefault="00D52685" w:rsidP="00D52685">
      <w:pPr>
        <w:rPr>
          <w:rFonts w:eastAsia="Times New Roman"/>
          <w:lang w:eastAsia="fr-FR"/>
        </w:rPr>
      </w:pPr>
    </w:p>
    <w:p w14:paraId="397FA912" w14:textId="77777777" w:rsidR="00D52685" w:rsidRPr="00EA4F84" w:rsidRDefault="00D52685" w:rsidP="0077577B">
      <w:pPr>
        <w:pStyle w:val="Heading1Annex"/>
        <w:rPr>
          <w:lang w:val="fr-FR"/>
        </w:rPr>
      </w:pPr>
      <w:bookmarkStart w:id="72" w:name="_Toc189576554"/>
      <w:bookmarkStart w:id="73" w:name="_Toc210663398"/>
      <w:r w:rsidRPr="00EA4F84">
        <w:rPr>
          <w:lang w:val="fr-FR"/>
        </w:rPr>
        <w:t>III.</w:t>
      </w:r>
      <w:r w:rsidRPr="00EA4F84">
        <w:rPr>
          <w:lang w:val="fr-FR"/>
        </w:rPr>
        <w:tab/>
        <w:t>Critères de performance pour un nouveau protocole basé sur les marqueurs moléculaires</w:t>
      </w:r>
      <w:bookmarkEnd w:id="72"/>
      <w:bookmarkEnd w:id="73"/>
    </w:p>
    <w:p w14:paraId="7185E1B7" w14:textId="77777777" w:rsidR="00D52685" w:rsidRPr="00EA4F84" w:rsidRDefault="00D52685" w:rsidP="00D52685">
      <w:pPr>
        <w:rPr>
          <w:rFonts w:eastAsia="Times New Roman"/>
          <w:lang w:eastAsia="fr-FR"/>
        </w:rPr>
      </w:pPr>
    </w:p>
    <w:p w14:paraId="383122F1" w14:textId="77777777" w:rsidR="00D52685" w:rsidRPr="00EA4F84" w:rsidRDefault="00D52685" w:rsidP="0077577B">
      <w:pPr>
        <w:pStyle w:val="Heading2Annex"/>
        <w:rPr>
          <w:lang w:val="fr-FR"/>
        </w:rPr>
      </w:pPr>
      <w:bookmarkStart w:id="74" w:name="_Toc189576555"/>
      <w:bookmarkStart w:id="75" w:name="_Toc210663399"/>
      <w:r w:rsidRPr="00EA4F84">
        <w:rPr>
          <w:lang w:val="fr-FR"/>
        </w:rPr>
        <w:t>Spécificité</w:t>
      </w:r>
      <w:bookmarkEnd w:id="74"/>
      <w:bookmarkEnd w:id="75"/>
    </w:p>
    <w:p w14:paraId="50163BF6" w14:textId="77777777" w:rsidR="00D52685" w:rsidRPr="00EA4F84" w:rsidRDefault="00D52685" w:rsidP="00D52685">
      <w:pPr>
        <w:rPr>
          <w:rFonts w:eastAsia="Times New Roman"/>
          <w:lang w:eastAsia="fr-FR"/>
        </w:rPr>
      </w:pPr>
    </w:p>
    <w:p w14:paraId="00071FFE" w14:textId="77777777" w:rsidR="00D52685" w:rsidRPr="00EA4F84" w:rsidRDefault="00D52685" w:rsidP="0077577B">
      <w:pPr>
        <w:pStyle w:val="Heading3Annex"/>
        <w:rPr>
          <w:lang w:val="fr-FR"/>
        </w:rPr>
      </w:pPr>
      <w:bookmarkStart w:id="76" w:name="_Toc189576556"/>
      <w:bookmarkStart w:id="77" w:name="_Toc210663400"/>
      <w:r w:rsidRPr="00EA4F84">
        <w:rPr>
          <w:lang w:val="fr-FR"/>
        </w:rPr>
        <w:t>Définition</w:t>
      </w:r>
      <w:bookmarkEnd w:id="76"/>
      <w:bookmarkEnd w:id="77"/>
    </w:p>
    <w:p w14:paraId="2C62FBA9" w14:textId="77777777" w:rsidR="00D52685" w:rsidRPr="00EA4F84" w:rsidRDefault="00D52685" w:rsidP="00D52685">
      <w:pPr>
        <w:rPr>
          <w:rFonts w:eastAsia="Times New Roman"/>
          <w:u w:val="single"/>
          <w:lang w:eastAsia="fr-FR"/>
        </w:rPr>
      </w:pPr>
    </w:p>
    <w:p w14:paraId="6C5D5890" w14:textId="1D54BE45" w:rsidR="00D52685" w:rsidRPr="00EA4F84" w:rsidRDefault="00DC4B65" w:rsidP="00D52685">
      <w:pPr>
        <w:rPr>
          <w:rFonts w:eastAsia="Times New Roman"/>
          <w:lang w:eastAsia="fr-FR"/>
        </w:rPr>
      </w:pPr>
      <w:r w:rsidRPr="00EA4F84">
        <w:rPr>
          <w:rFonts w:hint="eastAsia"/>
          <w:lang w:eastAsia="ja-JP"/>
        </w:rPr>
        <w:t>3.</w:t>
      </w:r>
      <w:r w:rsidR="00D52685" w:rsidRPr="00EA4F84">
        <w:rPr>
          <w:rFonts w:eastAsia="Times New Roman"/>
          <w:lang w:eastAsia="fr-FR"/>
        </w:rPr>
        <w:tab/>
        <w:t xml:space="preserve">Corrélation entre le génotype et le phénotype, </w:t>
      </w:r>
      <w:r w:rsidR="00D52685" w:rsidRPr="00EA4F84">
        <w:rPr>
          <w:rFonts w:eastAsia="Times New Roman"/>
          <w:i/>
          <w:iCs/>
          <w:lang w:eastAsia="fr-FR"/>
        </w:rPr>
        <w:t xml:space="preserve">c'est-à-dire </w:t>
      </w:r>
      <w:r w:rsidR="00D52685" w:rsidRPr="00EA4F84">
        <w:rPr>
          <w:rFonts w:eastAsia="Times New Roman"/>
          <w:lang w:eastAsia="fr-FR"/>
        </w:rPr>
        <w:t>fiabilité du lien entre le marqueur et le caractère.</w:t>
      </w:r>
    </w:p>
    <w:p w14:paraId="541B6F71" w14:textId="77777777" w:rsidR="00D52685" w:rsidRPr="00EA4F84" w:rsidRDefault="00D52685" w:rsidP="00D52685">
      <w:pPr>
        <w:rPr>
          <w:rFonts w:eastAsia="Times New Roman"/>
          <w:lang w:eastAsia="fr-FR"/>
        </w:rPr>
      </w:pPr>
    </w:p>
    <w:p w14:paraId="3B8F27E1" w14:textId="77777777" w:rsidR="00D52685" w:rsidRPr="00EA4F84" w:rsidRDefault="00D52685" w:rsidP="0077577B">
      <w:pPr>
        <w:pStyle w:val="Heading3Annex"/>
        <w:rPr>
          <w:lang w:val="fr-FR"/>
        </w:rPr>
      </w:pPr>
      <w:bookmarkStart w:id="78" w:name="_Toc189576557"/>
      <w:bookmarkStart w:id="79" w:name="_Toc210663401"/>
      <w:r w:rsidRPr="00EA4F84">
        <w:rPr>
          <w:lang w:val="fr-FR"/>
        </w:rPr>
        <w:t>Exigence</w:t>
      </w:r>
      <w:bookmarkEnd w:id="78"/>
      <w:bookmarkEnd w:id="79"/>
    </w:p>
    <w:p w14:paraId="7DF9B6CE" w14:textId="77777777" w:rsidR="00D52685" w:rsidRPr="00EA4F84" w:rsidRDefault="00D52685" w:rsidP="00D52685">
      <w:pPr>
        <w:rPr>
          <w:rFonts w:eastAsia="Times New Roman"/>
          <w:u w:val="single"/>
          <w:lang w:eastAsia="fr-FR"/>
        </w:rPr>
      </w:pPr>
    </w:p>
    <w:p w14:paraId="6FE6F565" w14:textId="75846EC4" w:rsidR="00D52685" w:rsidRPr="00EA4F84" w:rsidRDefault="00DC4B65" w:rsidP="00D52685">
      <w:pPr>
        <w:rPr>
          <w:rFonts w:eastAsia="Times New Roman"/>
          <w:lang w:eastAsia="fr-FR"/>
        </w:rPr>
      </w:pPr>
      <w:r w:rsidRPr="00EA4F84">
        <w:rPr>
          <w:rFonts w:hint="eastAsia"/>
          <w:lang w:eastAsia="ja-JP"/>
        </w:rPr>
        <w:t>4.</w:t>
      </w:r>
      <w:r w:rsidR="00D52685" w:rsidRPr="00EA4F84">
        <w:rPr>
          <w:rFonts w:eastAsia="Times New Roman"/>
          <w:lang w:eastAsia="fr-FR"/>
        </w:rPr>
        <w:tab/>
        <w:t>En principe, corrélation de 100 % entre le génotype et le phénotype. Si la corrélation est inférieure à 100 %, un ou plusieurs tests de suivi doivent être effectués afin de garantir la fiabilité des résultats. Une règle de décision peut être utilisée dans ce cas. Une corrélation inférieure à 100 % peut être due à d'autres facteurs génétiques.</w:t>
      </w:r>
    </w:p>
    <w:p w14:paraId="0A610793" w14:textId="77777777" w:rsidR="00D52685" w:rsidRPr="00EA4F84" w:rsidRDefault="00D52685" w:rsidP="00D52685">
      <w:pPr>
        <w:rPr>
          <w:lang w:eastAsia="ja-JP"/>
        </w:rPr>
      </w:pPr>
    </w:p>
    <w:p w14:paraId="476C4AD3" w14:textId="1CE8C057" w:rsidR="00D52685" w:rsidRPr="00EA4F84" w:rsidRDefault="00D52685" w:rsidP="0077577B">
      <w:pPr>
        <w:pStyle w:val="Heading3Annex"/>
        <w:rPr>
          <w:lang w:val="fr-FR"/>
        </w:rPr>
      </w:pPr>
      <w:bookmarkStart w:id="80" w:name="_Toc210663402"/>
      <w:r w:rsidRPr="00EA4F84">
        <w:rPr>
          <w:lang w:val="fr-FR"/>
        </w:rPr>
        <w:t>Comment l'évaluer ?</w:t>
      </w:r>
      <w:bookmarkEnd w:id="80"/>
    </w:p>
    <w:p w14:paraId="207F51E0" w14:textId="77777777" w:rsidR="00D52685" w:rsidRPr="00EA4F84" w:rsidRDefault="00D52685" w:rsidP="00D52685">
      <w:pPr>
        <w:rPr>
          <w:rFonts w:eastAsia="Times New Roman"/>
          <w:u w:val="single"/>
          <w:lang w:eastAsia="fr-FR"/>
        </w:rPr>
      </w:pPr>
    </w:p>
    <w:p w14:paraId="4F74D451" w14:textId="206E1350" w:rsidR="00D52685" w:rsidRPr="00EA4F84" w:rsidRDefault="00DC4B65" w:rsidP="00D52685">
      <w:pPr>
        <w:rPr>
          <w:rFonts w:eastAsia="Times New Roman"/>
          <w:lang w:eastAsia="fr-FR"/>
        </w:rPr>
      </w:pPr>
      <w:r w:rsidRPr="00EA4F84">
        <w:rPr>
          <w:rFonts w:hint="eastAsia"/>
          <w:lang w:eastAsia="ja-JP"/>
        </w:rPr>
        <w:t>5.</w:t>
      </w:r>
      <w:r w:rsidR="00D52685" w:rsidRPr="00EA4F84">
        <w:rPr>
          <w:rFonts w:eastAsia="Times New Roman"/>
          <w:lang w:eastAsia="fr-FR"/>
        </w:rPr>
        <w:tab/>
        <w:t xml:space="preserve">Nombre de variétés : pour lancer le processus de sélection des marqueurs, il faut disposer d'un nombre approprié de variétés (ensemble de développement) afin de refléter au mieux la diversité observée au sein du groupe/de la culture/de l'espèce/du type pour lequel les marqueurs sont destinés à être discriminants. </w:t>
      </w:r>
    </w:p>
    <w:p w14:paraId="50020E60" w14:textId="77777777" w:rsidR="00D52685" w:rsidRPr="00EA4F84" w:rsidRDefault="00D52685" w:rsidP="00D52685">
      <w:pPr>
        <w:rPr>
          <w:rFonts w:eastAsia="Times New Roman"/>
          <w:lang w:eastAsia="fr-FR"/>
        </w:rPr>
      </w:pPr>
    </w:p>
    <w:p w14:paraId="79EE68BD" w14:textId="0F553387" w:rsidR="00D52685" w:rsidRPr="00EA4F84" w:rsidRDefault="00DC4B65" w:rsidP="00D52685">
      <w:pPr>
        <w:keepLines/>
        <w:rPr>
          <w:rFonts w:eastAsia="Times New Roman"/>
          <w:lang w:eastAsia="fr-FR"/>
        </w:rPr>
      </w:pPr>
      <w:r w:rsidRPr="00EA4F84">
        <w:rPr>
          <w:rFonts w:hint="eastAsia"/>
          <w:lang w:eastAsia="ja-JP"/>
        </w:rPr>
        <w:t>6.</w:t>
      </w:r>
      <w:r w:rsidR="00D52685" w:rsidRPr="00EA4F84">
        <w:rPr>
          <w:rFonts w:eastAsia="Times New Roman"/>
          <w:lang w:eastAsia="fr-FR"/>
        </w:rPr>
        <w:tab/>
        <w:t>Les variétés doivent représenter les différents états d'expression (si l'on connaît des variétés hétérozygotes et homozygotes), provenant de différents sélectionneurs, avec des antécédents génétiques différents pour le caractère et des types différents. Il convient d'utiliser, lorsqu'elles sont disponibles, des variétés bien caractérisées phénotypiquement pour le caractère d'intérêt.</w:t>
      </w:r>
    </w:p>
    <w:p w14:paraId="4A352221" w14:textId="77777777" w:rsidR="00D52685" w:rsidRPr="00EA4F84" w:rsidRDefault="00D52685" w:rsidP="00D52685">
      <w:pPr>
        <w:rPr>
          <w:rFonts w:eastAsia="Times New Roman"/>
          <w:lang w:eastAsia="fr-FR"/>
        </w:rPr>
      </w:pPr>
    </w:p>
    <w:p w14:paraId="736B3569" w14:textId="3F05D4BD" w:rsidR="00D52685" w:rsidRPr="00EA4F84" w:rsidRDefault="00DC4B65" w:rsidP="00D52685">
      <w:pPr>
        <w:rPr>
          <w:rFonts w:eastAsia="Times New Roman"/>
          <w:lang w:eastAsia="fr-FR"/>
        </w:rPr>
      </w:pPr>
      <w:r w:rsidRPr="00EA4F84">
        <w:rPr>
          <w:rFonts w:hint="eastAsia"/>
          <w:lang w:eastAsia="ja-JP"/>
        </w:rPr>
        <w:t>7.</w:t>
      </w:r>
      <w:r w:rsidR="00D52685" w:rsidRPr="00EA4F84">
        <w:rPr>
          <w:rFonts w:eastAsia="Times New Roman"/>
          <w:lang w:eastAsia="fr-FR"/>
        </w:rPr>
        <w:tab/>
        <w:t>Nombre de plantes par variété : au moins une plante par variété si les variétés disponibles sont bien caractérisées sur le plan phénotypique. Dans le cas contraire, le nombre de plantes doit être le même que pour l'observation morphologique décrite dans les principes directeurs d'examen de l'UPOV.</w:t>
      </w:r>
    </w:p>
    <w:p w14:paraId="72ECECC9" w14:textId="77777777" w:rsidR="00D52685" w:rsidRPr="00EA4F84" w:rsidRDefault="00D52685" w:rsidP="00D52685">
      <w:pPr>
        <w:rPr>
          <w:rFonts w:eastAsia="Times New Roman"/>
          <w:lang w:eastAsia="fr-FR"/>
        </w:rPr>
      </w:pPr>
    </w:p>
    <w:p w14:paraId="0644CDBD" w14:textId="3D221B85" w:rsidR="00D52685" w:rsidRPr="00EA4F84" w:rsidRDefault="00DC4B65" w:rsidP="00D52685">
      <w:pPr>
        <w:rPr>
          <w:rFonts w:eastAsia="Times New Roman"/>
          <w:lang w:eastAsia="fr-FR"/>
        </w:rPr>
      </w:pPr>
      <w:r w:rsidRPr="00EA4F84">
        <w:rPr>
          <w:rFonts w:hint="eastAsia"/>
          <w:lang w:eastAsia="ja-JP"/>
        </w:rPr>
        <w:t>8.</w:t>
      </w:r>
      <w:r w:rsidR="00D52685" w:rsidRPr="00EA4F84">
        <w:rPr>
          <w:rFonts w:eastAsia="Times New Roman"/>
          <w:lang w:eastAsia="fr-FR"/>
        </w:rPr>
        <w:tab/>
        <w:t>La spécificité peut être évaluée au sein d'un même laboratoire.</w:t>
      </w:r>
    </w:p>
    <w:p w14:paraId="189582BC" w14:textId="77777777" w:rsidR="00D52685" w:rsidRPr="00EA4F84" w:rsidRDefault="00D52685" w:rsidP="00D52685">
      <w:pPr>
        <w:rPr>
          <w:rFonts w:eastAsia="Times New Roman"/>
          <w:lang w:eastAsia="fr-FR"/>
        </w:rPr>
      </w:pPr>
    </w:p>
    <w:p w14:paraId="3AC52D2E" w14:textId="77777777" w:rsidR="00D52685" w:rsidRPr="00EA4F84" w:rsidRDefault="00D52685" w:rsidP="0077577B">
      <w:pPr>
        <w:pStyle w:val="Heading2Annex"/>
        <w:rPr>
          <w:lang w:val="fr-FR"/>
        </w:rPr>
      </w:pPr>
      <w:bookmarkStart w:id="81" w:name="_Toc189576558"/>
      <w:bookmarkStart w:id="82" w:name="_Toc210663403"/>
      <w:r w:rsidRPr="00EA4F84">
        <w:rPr>
          <w:lang w:val="fr-FR"/>
        </w:rPr>
        <w:t>Sensibilité et limite de détection</w:t>
      </w:r>
      <w:bookmarkEnd w:id="81"/>
      <w:bookmarkEnd w:id="82"/>
    </w:p>
    <w:p w14:paraId="3963111B" w14:textId="77777777" w:rsidR="00D52685" w:rsidRPr="00EA4F84" w:rsidRDefault="00D52685" w:rsidP="00D52685">
      <w:pPr>
        <w:rPr>
          <w:rFonts w:eastAsia="Times New Roman"/>
          <w:lang w:eastAsia="fr-FR"/>
        </w:rPr>
      </w:pPr>
    </w:p>
    <w:p w14:paraId="28941905" w14:textId="77777777" w:rsidR="00D52685" w:rsidRPr="00EA4F84" w:rsidRDefault="00D52685" w:rsidP="0077577B">
      <w:pPr>
        <w:pStyle w:val="Heading3Annex"/>
        <w:rPr>
          <w:lang w:val="fr-FR"/>
        </w:rPr>
      </w:pPr>
      <w:bookmarkStart w:id="83" w:name="_Toc189576559"/>
      <w:bookmarkStart w:id="84" w:name="_Toc210663404"/>
      <w:r w:rsidRPr="00EA4F84">
        <w:rPr>
          <w:lang w:val="fr-FR"/>
        </w:rPr>
        <w:t>Définition</w:t>
      </w:r>
      <w:bookmarkEnd w:id="83"/>
      <w:bookmarkEnd w:id="84"/>
    </w:p>
    <w:p w14:paraId="549090FC" w14:textId="77777777" w:rsidR="00D52685" w:rsidRPr="00EA4F84" w:rsidRDefault="00D52685" w:rsidP="00D52685">
      <w:pPr>
        <w:rPr>
          <w:rFonts w:eastAsia="Times New Roman"/>
          <w:u w:val="single"/>
          <w:lang w:eastAsia="fr-FR"/>
        </w:rPr>
      </w:pPr>
    </w:p>
    <w:p w14:paraId="4916E7EA" w14:textId="07E5C0F1" w:rsidR="00D52685" w:rsidRPr="00EA4F84" w:rsidRDefault="00DC4B65" w:rsidP="00D52685">
      <w:pPr>
        <w:rPr>
          <w:rFonts w:eastAsia="Times New Roman"/>
          <w:lang w:eastAsia="fr-FR"/>
        </w:rPr>
      </w:pPr>
      <w:r w:rsidRPr="00EA4F84">
        <w:rPr>
          <w:rFonts w:hint="eastAsia"/>
          <w:lang w:eastAsia="ja-JP"/>
        </w:rPr>
        <w:t>9.</w:t>
      </w:r>
      <w:r w:rsidR="00D52685" w:rsidRPr="00EA4F84">
        <w:rPr>
          <w:rFonts w:eastAsia="Times New Roman"/>
          <w:lang w:eastAsia="fr-FR"/>
        </w:rPr>
        <w:tab/>
        <w:t>La limite de détection est définie comme la quantité minimale de la cible pouvant être détectée de manière fiable.</w:t>
      </w:r>
    </w:p>
    <w:p w14:paraId="0ECBEA15" w14:textId="77777777" w:rsidR="00D52685" w:rsidRPr="00EA4F84" w:rsidRDefault="00D52685" w:rsidP="00D52685">
      <w:pPr>
        <w:rPr>
          <w:rFonts w:eastAsia="Times New Roman"/>
          <w:lang w:eastAsia="fr-FR"/>
        </w:rPr>
      </w:pPr>
    </w:p>
    <w:p w14:paraId="3FDFD496" w14:textId="3E43D41C" w:rsidR="00D52685" w:rsidRPr="00EA4F84" w:rsidRDefault="00DC4B65" w:rsidP="00D52685">
      <w:pPr>
        <w:rPr>
          <w:rFonts w:eastAsia="Times New Roman"/>
          <w:lang w:eastAsia="fr-FR"/>
        </w:rPr>
      </w:pPr>
      <w:r w:rsidRPr="00EA4F84">
        <w:rPr>
          <w:rFonts w:hint="eastAsia"/>
          <w:lang w:eastAsia="ja-JP"/>
        </w:rPr>
        <w:lastRenderedPageBreak/>
        <w:t>10.</w:t>
      </w:r>
      <w:r w:rsidR="00D52685" w:rsidRPr="00EA4F84">
        <w:rPr>
          <w:rFonts w:eastAsia="Times New Roman"/>
          <w:lang w:eastAsia="fr-FR"/>
        </w:rPr>
        <w:tab/>
        <w:t>Dans le cas d'analyses effectuées sur des échantillons en vrac (</w:t>
      </w:r>
      <w:r w:rsidR="00D52685" w:rsidRPr="00EA4F84">
        <w:rPr>
          <w:rFonts w:eastAsia="Times New Roman"/>
          <w:i/>
          <w:iCs/>
          <w:lang w:eastAsia="fr-FR"/>
        </w:rPr>
        <w:t xml:space="preserve">par exemple, </w:t>
      </w:r>
      <w:r w:rsidR="00D52685" w:rsidRPr="00EA4F84">
        <w:rPr>
          <w:rFonts w:eastAsia="Times New Roman"/>
          <w:lang w:eastAsia="fr-FR"/>
        </w:rPr>
        <w:t>un ensemble de différentes plantes de la même variété), la sensibilité est essentielle et doit être évaluée. Pour une utilisation sur des plantes individuelles, la quantité de la cible n'est pas essentielle et ce critère de performance est facultatif.</w:t>
      </w:r>
    </w:p>
    <w:p w14:paraId="08EB57BC" w14:textId="77777777" w:rsidR="00D52685" w:rsidRPr="00EA4F84" w:rsidRDefault="00D52685" w:rsidP="00D52685">
      <w:pPr>
        <w:rPr>
          <w:rFonts w:eastAsia="Times New Roman"/>
          <w:lang w:eastAsia="fr-FR"/>
        </w:rPr>
      </w:pPr>
    </w:p>
    <w:p w14:paraId="47918796" w14:textId="77777777" w:rsidR="00D52685" w:rsidRPr="00EA4F84" w:rsidRDefault="00D52685" w:rsidP="0077577B">
      <w:pPr>
        <w:pStyle w:val="Heading3Annex"/>
        <w:rPr>
          <w:lang w:val="fr-FR"/>
        </w:rPr>
      </w:pPr>
      <w:bookmarkStart w:id="85" w:name="_Toc189576560"/>
      <w:bookmarkStart w:id="86" w:name="_Toc210663405"/>
      <w:r w:rsidRPr="00EA4F84">
        <w:rPr>
          <w:lang w:val="fr-FR"/>
        </w:rPr>
        <w:t>Exigence</w:t>
      </w:r>
      <w:bookmarkEnd w:id="85"/>
      <w:bookmarkEnd w:id="86"/>
    </w:p>
    <w:p w14:paraId="350B597D" w14:textId="77777777" w:rsidR="00D52685" w:rsidRPr="00EA4F84" w:rsidRDefault="00D52685" w:rsidP="00D52685">
      <w:pPr>
        <w:rPr>
          <w:rFonts w:eastAsia="Times New Roman"/>
          <w:lang w:eastAsia="fr-FR"/>
        </w:rPr>
      </w:pPr>
    </w:p>
    <w:p w14:paraId="0F74DBA4" w14:textId="7C02216C" w:rsidR="00D52685" w:rsidRPr="00EA4F84" w:rsidRDefault="00DC4B65" w:rsidP="00D52685">
      <w:pPr>
        <w:rPr>
          <w:rFonts w:eastAsia="Times New Roman"/>
          <w:lang w:eastAsia="fr-FR"/>
        </w:rPr>
      </w:pPr>
      <w:r w:rsidRPr="00EA4F84">
        <w:rPr>
          <w:rFonts w:hint="eastAsia"/>
          <w:lang w:eastAsia="ja-JP"/>
        </w:rPr>
        <w:t>11.</w:t>
      </w:r>
      <w:r w:rsidR="00D52685" w:rsidRPr="00EA4F84">
        <w:rPr>
          <w:rFonts w:eastAsia="Times New Roman"/>
          <w:lang w:eastAsia="fr-FR"/>
        </w:rPr>
        <w:tab/>
        <w:t>Dans le cas du pool, l'exigence serait de détecter au moins un individu hors-type dans le pool.</w:t>
      </w:r>
    </w:p>
    <w:p w14:paraId="111AE425" w14:textId="77777777" w:rsidR="00D52685" w:rsidRPr="00EA4F84" w:rsidRDefault="00D52685" w:rsidP="00D52685">
      <w:pPr>
        <w:rPr>
          <w:rFonts w:eastAsia="Times New Roman"/>
          <w:lang w:eastAsia="fr-FR"/>
        </w:rPr>
      </w:pPr>
    </w:p>
    <w:p w14:paraId="4FAF1072" w14:textId="77777777" w:rsidR="00D52685" w:rsidRPr="00EA4F84" w:rsidRDefault="00D52685" w:rsidP="0077577B">
      <w:pPr>
        <w:pStyle w:val="Heading3Annex"/>
        <w:rPr>
          <w:lang w:val="fr-FR"/>
        </w:rPr>
      </w:pPr>
      <w:bookmarkStart w:id="87" w:name="_Toc189576561"/>
      <w:bookmarkStart w:id="88" w:name="_Toc210663406"/>
      <w:r w:rsidRPr="00EA4F84">
        <w:rPr>
          <w:lang w:val="fr-FR"/>
        </w:rPr>
        <w:t>Comment l'évaluer ?</w:t>
      </w:r>
      <w:bookmarkEnd w:id="87"/>
      <w:bookmarkEnd w:id="88"/>
    </w:p>
    <w:p w14:paraId="0A16B750" w14:textId="77777777" w:rsidR="00D52685" w:rsidRPr="00EA4F84" w:rsidRDefault="00D52685" w:rsidP="00D52685">
      <w:pPr>
        <w:rPr>
          <w:rFonts w:eastAsia="Times New Roman"/>
          <w:lang w:eastAsia="fr-FR"/>
        </w:rPr>
      </w:pPr>
    </w:p>
    <w:p w14:paraId="24833FFF" w14:textId="266E8F02" w:rsidR="00D52685" w:rsidRPr="00EA4F84" w:rsidRDefault="00DC4B65" w:rsidP="00D52685">
      <w:pPr>
        <w:rPr>
          <w:rFonts w:eastAsia="Times New Roman"/>
          <w:lang w:eastAsia="fr-FR"/>
        </w:rPr>
      </w:pPr>
      <w:r w:rsidRPr="00EA4F84">
        <w:rPr>
          <w:rFonts w:hint="eastAsia"/>
          <w:lang w:eastAsia="ja-JP"/>
        </w:rPr>
        <w:t>12.</w:t>
      </w:r>
      <w:r w:rsidR="00D52685" w:rsidRPr="00EA4F84">
        <w:rPr>
          <w:rFonts w:eastAsia="Times New Roman"/>
          <w:lang w:eastAsia="fr-FR"/>
        </w:rPr>
        <w:tab/>
        <w:t xml:space="preserve">Utiliser des échantillons artificiels en mélangeant un échantillon hors type à un pool afin de vérifier la sensibilité de la détection. </w:t>
      </w:r>
    </w:p>
    <w:p w14:paraId="5A3ADB7F" w14:textId="77777777" w:rsidR="00D52685" w:rsidRPr="00EA4F84" w:rsidRDefault="00D52685" w:rsidP="00D52685">
      <w:pPr>
        <w:rPr>
          <w:rFonts w:eastAsia="Times New Roman"/>
          <w:lang w:eastAsia="fr-FR"/>
        </w:rPr>
      </w:pPr>
    </w:p>
    <w:p w14:paraId="1F038A61" w14:textId="77777777" w:rsidR="00D52685" w:rsidRPr="00EA4F84" w:rsidRDefault="00D52685" w:rsidP="0077577B">
      <w:pPr>
        <w:pStyle w:val="Heading2Annex"/>
        <w:rPr>
          <w:lang w:val="fr-FR"/>
        </w:rPr>
      </w:pPr>
      <w:bookmarkStart w:id="89" w:name="_Toc189576562"/>
      <w:bookmarkStart w:id="90" w:name="_Toc210663407"/>
      <w:r w:rsidRPr="00EA4F84">
        <w:rPr>
          <w:lang w:val="fr-FR"/>
        </w:rPr>
        <w:t>Répétabilité</w:t>
      </w:r>
      <w:bookmarkEnd w:id="89"/>
      <w:bookmarkEnd w:id="90"/>
    </w:p>
    <w:p w14:paraId="65E06CA6" w14:textId="77777777" w:rsidR="00D52685" w:rsidRPr="00EA4F84" w:rsidRDefault="00D52685" w:rsidP="00D52685">
      <w:pPr>
        <w:keepNext/>
        <w:rPr>
          <w:rFonts w:eastAsia="Times New Roman"/>
          <w:lang w:eastAsia="fr-FR"/>
        </w:rPr>
      </w:pPr>
    </w:p>
    <w:p w14:paraId="6DB50C18" w14:textId="77777777" w:rsidR="00D52685" w:rsidRPr="00EA4F84" w:rsidRDefault="00D52685" w:rsidP="0077577B">
      <w:pPr>
        <w:pStyle w:val="Heading3Annex"/>
        <w:rPr>
          <w:lang w:val="fr-FR"/>
        </w:rPr>
      </w:pPr>
      <w:bookmarkStart w:id="91" w:name="_Toc189576563"/>
      <w:bookmarkStart w:id="92" w:name="_Toc210663408"/>
      <w:r w:rsidRPr="00EA4F84">
        <w:rPr>
          <w:lang w:val="fr-FR"/>
        </w:rPr>
        <w:t>Définition (basée sur la norme ISO 16 577:2016 ; référence à UPOV/INF/17)</w:t>
      </w:r>
      <w:bookmarkEnd w:id="91"/>
      <w:bookmarkEnd w:id="92"/>
    </w:p>
    <w:p w14:paraId="559DF538" w14:textId="77777777" w:rsidR="00D52685" w:rsidRPr="00EA4F84" w:rsidRDefault="00D52685" w:rsidP="00D52685">
      <w:pPr>
        <w:rPr>
          <w:rFonts w:eastAsia="Times New Roman"/>
          <w:lang w:eastAsia="fr-FR"/>
        </w:rPr>
      </w:pPr>
    </w:p>
    <w:p w14:paraId="27D552F7" w14:textId="517A41A5" w:rsidR="00D52685" w:rsidRPr="00EA4F84" w:rsidRDefault="00DC4B65" w:rsidP="00D52685">
      <w:pPr>
        <w:rPr>
          <w:rFonts w:eastAsia="Times New Roman"/>
          <w:lang w:eastAsia="fr-FR"/>
        </w:rPr>
      </w:pPr>
      <w:r w:rsidRPr="00EA4F84">
        <w:rPr>
          <w:rFonts w:hint="eastAsia"/>
          <w:lang w:eastAsia="ja-JP"/>
        </w:rPr>
        <w:t>13.</w:t>
      </w:r>
      <w:r w:rsidR="00D52685" w:rsidRPr="00EA4F84">
        <w:rPr>
          <w:rFonts w:eastAsia="Times New Roman"/>
          <w:lang w:eastAsia="fr-FR"/>
        </w:rPr>
        <w:tab/>
      </w:r>
      <w:r w:rsidR="00EA4F84">
        <w:rPr>
          <w:rFonts w:eastAsia="Times New Roman"/>
          <w:lang w:eastAsia="fr-FR"/>
        </w:rPr>
        <w:t>“ </w:t>
      </w:r>
      <w:r w:rsidR="00D52685" w:rsidRPr="00EA4F84">
        <w:rPr>
          <w:rFonts w:eastAsia="Times New Roman"/>
          <w:i/>
          <w:iCs/>
          <w:lang w:eastAsia="fr-FR"/>
        </w:rPr>
        <w:t>Répétabilité : obtention de résultats d'essai identiques avec la même méthode, sur des éléments d'essai identiques, dans le même laboratoire, par le même opérateur, à l'aide du même équipement, dans des intervalles de temps courts.</w:t>
      </w:r>
      <w:r w:rsidR="00EA4F84">
        <w:rPr>
          <w:rFonts w:eastAsia="Times New Roman"/>
          <w:i/>
          <w:iCs/>
          <w:lang w:eastAsia="fr-FR"/>
        </w:rPr>
        <w:t> »</w:t>
      </w:r>
    </w:p>
    <w:p w14:paraId="3DDC9D9B" w14:textId="77777777" w:rsidR="00D52685" w:rsidRPr="00EA4F84" w:rsidRDefault="00D52685" w:rsidP="00D52685">
      <w:pPr>
        <w:rPr>
          <w:rFonts w:eastAsia="Times New Roman"/>
          <w:lang w:eastAsia="fr-FR"/>
        </w:rPr>
      </w:pPr>
    </w:p>
    <w:p w14:paraId="53970EE9" w14:textId="3603105F" w:rsidR="00D52685" w:rsidRPr="00EA4F84" w:rsidRDefault="00DC4B65" w:rsidP="00D52685">
      <w:pPr>
        <w:rPr>
          <w:rFonts w:eastAsia="Times New Roman"/>
          <w:lang w:eastAsia="fr-FR"/>
        </w:rPr>
      </w:pPr>
      <w:r w:rsidRPr="00EA4F84">
        <w:rPr>
          <w:rFonts w:hint="eastAsia"/>
          <w:lang w:eastAsia="ja-JP"/>
        </w:rPr>
        <w:t>14.</w:t>
      </w:r>
      <w:r w:rsidR="00D52685" w:rsidRPr="00EA4F84">
        <w:rPr>
          <w:rFonts w:eastAsia="Times New Roman"/>
          <w:lang w:eastAsia="fr-FR"/>
        </w:rPr>
        <w:tab/>
        <w:t xml:space="preserve">Pour les méthodes qualitatives, la conformité équivaut à la répétabilité des méthodes quantitatives (Langton </w:t>
      </w:r>
      <w:r w:rsidR="00D52685" w:rsidRPr="00EA4F84">
        <w:rPr>
          <w:rFonts w:eastAsia="Times New Roman"/>
          <w:i/>
          <w:iCs/>
          <w:lang w:eastAsia="fr-FR"/>
        </w:rPr>
        <w:t>et al</w:t>
      </w:r>
      <w:r w:rsidR="00D52685" w:rsidRPr="00EA4F84">
        <w:rPr>
          <w:rFonts w:eastAsia="Times New Roman"/>
          <w:lang w:eastAsia="fr-FR"/>
        </w:rPr>
        <w:t>., 2002).</w:t>
      </w:r>
    </w:p>
    <w:p w14:paraId="6523E50C" w14:textId="77777777" w:rsidR="00D52685" w:rsidRPr="00EA4F84" w:rsidRDefault="00D52685" w:rsidP="00D52685">
      <w:pPr>
        <w:rPr>
          <w:rFonts w:eastAsia="Times New Roman"/>
          <w:u w:val="single"/>
          <w:lang w:eastAsia="fr-FR"/>
        </w:rPr>
      </w:pPr>
    </w:p>
    <w:p w14:paraId="2D16E67C" w14:textId="77777777" w:rsidR="00D52685" w:rsidRPr="00EA4F84" w:rsidRDefault="00D52685" w:rsidP="0077577B">
      <w:pPr>
        <w:pStyle w:val="Heading3Annex"/>
        <w:rPr>
          <w:lang w:val="fr-FR"/>
        </w:rPr>
      </w:pPr>
      <w:bookmarkStart w:id="93" w:name="_Toc189576564"/>
      <w:bookmarkStart w:id="94" w:name="_Toc210663409"/>
      <w:r w:rsidRPr="00EA4F84">
        <w:rPr>
          <w:lang w:val="fr-FR"/>
        </w:rPr>
        <w:t>Exigence</w:t>
      </w:r>
      <w:bookmarkEnd w:id="93"/>
      <w:bookmarkEnd w:id="94"/>
    </w:p>
    <w:p w14:paraId="6294F6D1" w14:textId="77777777" w:rsidR="00D52685" w:rsidRPr="00EA4F84" w:rsidRDefault="00D52685" w:rsidP="00D52685">
      <w:pPr>
        <w:rPr>
          <w:rFonts w:eastAsia="Times New Roman"/>
          <w:lang w:eastAsia="fr-FR"/>
        </w:rPr>
      </w:pPr>
    </w:p>
    <w:p w14:paraId="07CD8C9E" w14:textId="09CE33E1" w:rsidR="00D52685" w:rsidRPr="00EA4F84" w:rsidRDefault="00DC4B65" w:rsidP="00D52685">
      <w:pPr>
        <w:rPr>
          <w:rFonts w:eastAsia="Times New Roman"/>
          <w:lang w:eastAsia="fr-FR"/>
        </w:rPr>
      </w:pPr>
      <w:r w:rsidRPr="00EA4F84">
        <w:rPr>
          <w:rFonts w:hint="eastAsia"/>
          <w:lang w:eastAsia="ja-JP"/>
        </w:rPr>
        <w:t>15.</w:t>
      </w:r>
      <w:r w:rsidR="00D52685" w:rsidRPr="00EA4F84">
        <w:rPr>
          <w:rFonts w:eastAsia="Times New Roman"/>
          <w:lang w:eastAsia="fr-FR"/>
        </w:rPr>
        <w:tab/>
        <w:t xml:space="preserve">Idéalement 100 %, une performance ≥ 90 % est généralement acceptée. Si la répétabilité de la méthode de référence est publiée, la répétabilité de la méthode alternative doit être au moins équivalente. </w:t>
      </w:r>
    </w:p>
    <w:p w14:paraId="739830F5" w14:textId="77777777" w:rsidR="00D52685" w:rsidRPr="00EA4F84" w:rsidRDefault="00D52685" w:rsidP="00D52685">
      <w:pPr>
        <w:rPr>
          <w:rFonts w:eastAsia="Times New Roman"/>
          <w:lang w:eastAsia="fr-FR"/>
        </w:rPr>
      </w:pPr>
    </w:p>
    <w:p w14:paraId="309B239C" w14:textId="77777777" w:rsidR="00D52685" w:rsidRPr="00EA4F84" w:rsidRDefault="00D52685" w:rsidP="0077577B">
      <w:pPr>
        <w:pStyle w:val="Heading3Annex"/>
        <w:rPr>
          <w:lang w:val="fr-FR"/>
        </w:rPr>
      </w:pPr>
      <w:bookmarkStart w:id="95" w:name="_Toc189576565"/>
      <w:bookmarkStart w:id="96" w:name="_Toc210663410"/>
      <w:r w:rsidRPr="00EA4F84">
        <w:rPr>
          <w:lang w:val="fr-FR"/>
        </w:rPr>
        <w:t>Comment l'évaluer ?</w:t>
      </w:r>
      <w:bookmarkEnd w:id="95"/>
      <w:bookmarkEnd w:id="96"/>
    </w:p>
    <w:p w14:paraId="4AB1F435" w14:textId="77777777" w:rsidR="00D52685" w:rsidRPr="00EA4F84" w:rsidRDefault="00D52685" w:rsidP="00D52685">
      <w:pPr>
        <w:rPr>
          <w:rFonts w:eastAsia="Times New Roman"/>
          <w:lang w:eastAsia="fr-FR"/>
        </w:rPr>
      </w:pPr>
    </w:p>
    <w:p w14:paraId="27F27B9C" w14:textId="740E378E" w:rsidR="00D52685" w:rsidRPr="00EA4F84" w:rsidRDefault="00DC4B65" w:rsidP="00D52685">
      <w:pPr>
        <w:rPr>
          <w:rFonts w:eastAsia="Times New Roman"/>
          <w:lang w:eastAsia="fr-FR"/>
        </w:rPr>
      </w:pPr>
      <w:r w:rsidRPr="00EA4F84">
        <w:rPr>
          <w:rFonts w:hint="eastAsia"/>
          <w:lang w:eastAsia="ja-JP"/>
        </w:rPr>
        <w:t>16.</w:t>
      </w:r>
      <w:r w:rsidR="00D52685" w:rsidRPr="00EA4F84">
        <w:rPr>
          <w:rFonts w:eastAsia="Times New Roman"/>
          <w:lang w:eastAsia="fr-FR"/>
        </w:rPr>
        <w:tab/>
        <w:t>La répétabilité peut être évaluée au sein d'un même laboratoire.</w:t>
      </w:r>
    </w:p>
    <w:p w14:paraId="1C7CC7CC" w14:textId="77777777" w:rsidR="00D52685" w:rsidRPr="00EA4F84" w:rsidRDefault="00D52685" w:rsidP="00D52685">
      <w:pPr>
        <w:rPr>
          <w:rFonts w:eastAsia="Times New Roman"/>
          <w:lang w:eastAsia="fr-FR"/>
        </w:rPr>
      </w:pPr>
    </w:p>
    <w:p w14:paraId="7A099275" w14:textId="34566D93" w:rsidR="00D52685" w:rsidRPr="00EA4F84" w:rsidRDefault="00DC4B65" w:rsidP="00D52685">
      <w:pPr>
        <w:rPr>
          <w:rFonts w:eastAsia="Times New Roman"/>
          <w:lang w:eastAsia="fr-FR"/>
        </w:rPr>
      </w:pPr>
      <w:r w:rsidRPr="00EA4F84">
        <w:rPr>
          <w:rFonts w:hint="eastAsia"/>
          <w:lang w:eastAsia="ja-JP"/>
        </w:rPr>
        <w:t>17.</w:t>
      </w:r>
      <w:r w:rsidR="00D52685" w:rsidRPr="00EA4F84">
        <w:rPr>
          <w:rFonts w:eastAsia="Times New Roman"/>
          <w:lang w:eastAsia="fr-FR"/>
        </w:rPr>
        <w:tab/>
        <w:t xml:space="preserve">Au moins trois </w:t>
      </w:r>
      <w:proofErr w:type="spellStart"/>
      <w:r w:rsidR="00D52685" w:rsidRPr="00EA4F84">
        <w:rPr>
          <w:rFonts w:eastAsia="Times New Roman"/>
          <w:lang w:eastAsia="fr-FR"/>
        </w:rPr>
        <w:t>réplicats</w:t>
      </w:r>
      <w:proofErr w:type="spellEnd"/>
      <w:r w:rsidR="00D52685" w:rsidRPr="00EA4F84">
        <w:rPr>
          <w:rFonts w:eastAsia="Times New Roman"/>
          <w:lang w:eastAsia="fr-FR"/>
        </w:rPr>
        <w:t xml:space="preserve"> techniques provenant d'une même plante (trois extractions d'ADN indépendantes). Inclure au moins tous les types de génotypes attendus.</w:t>
      </w:r>
    </w:p>
    <w:p w14:paraId="5C4478EE" w14:textId="77777777" w:rsidR="00D52685" w:rsidRPr="00EA4F84" w:rsidRDefault="00D52685" w:rsidP="00D52685">
      <w:pPr>
        <w:rPr>
          <w:rFonts w:eastAsia="Times New Roman"/>
          <w:lang w:eastAsia="fr-FR"/>
        </w:rPr>
      </w:pPr>
    </w:p>
    <w:p w14:paraId="49E027FD" w14:textId="77777777" w:rsidR="00D52685" w:rsidRPr="00EA4F84" w:rsidRDefault="00D52685" w:rsidP="0077577B">
      <w:pPr>
        <w:pStyle w:val="Heading2Annex"/>
        <w:rPr>
          <w:lang w:val="fr-FR"/>
        </w:rPr>
      </w:pPr>
      <w:bookmarkStart w:id="97" w:name="_Toc189576566"/>
      <w:bookmarkStart w:id="98" w:name="_Toc210663411"/>
      <w:r w:rsidRPr="00EA4F84">
        <w:rPr>
          <w:lang w:val="fr-FR"/>
        </w:rPr>
        <w:t>Reproductibilité</w:t>
      </w:r>
      <w:bookmarkEnd w:id="97"/>
      <w:bookmarkEnd w:id="98"/>
    </w:p>
    <w:p w14:paraId="376AF378" w14:textId="77777777" w:rsidR="00D52685" w:rsidRPr="00EA4F84" w:rsidRDefault="00D52685" w:rsidP="00D52685">
      <w:pPr>
        <w:rPr>
          <w:rFonts w:eastAsia="Times New Roman"/>
          <w:lang w:eastAsia="fr-FR"/>
        </w:rPr>
      </w:pPr>
    </w:p>
    <w:p w14:paraId="1D0B2547" w14:textId="77777777" w:rsidR="00D52685" w:rsidRPr="00EA4F84" w:rsidRDefault="00D52685" w:rsidP="0077577B">
      <w:pPr>
        <w:pStyle w:val="Heading3Annex"/>
        <w:rPr>
          <w:lang w:val="fr-FR"/>
        </w:rPr>
      </w:pPr>
      <w:bookmarkStart w:id="99" w:name="_Toc189576567"/>
      <w:bookmarkStart w:id="100" w:name="_Toc210663412"/>
      <w:r w:rsidRPr="00EA4F84">
        <w:rPr>
          <w:lang w:val="fr-FR"/>
        </w:rPr>
        <w:t>Définition (basée sur la norme ISO 16 577:2016 ; référence à UPOV/INF/17)</w:t>
      </w:r>
      <w:bookmarkEnd w:id="99"/>
      <w:bookmarkEnd w:id="100"/>
    </w:p>
    <w:p w14:paraId="4FA1D0BC" w14:textId="77777777" w:rsidR="00D52685" w:rsidRPr="00EA4F84" w:rsidRDefault="00D52685" w:rsidP="00D52685">
      <w:pPr>
        <w:rPr>
          <w:rFonts w:eastAsia="Times New Roman"/>
          <w:lang w:eastAsia="fr-FR"/>
        </w:rPr>
      </w:pPr>
    </w:p>
    <w:p w14:paraId="0DD1A221" w14:textId="494C0FE9" w:rsidR="00D52685" w:rsidRPr="00EA4F84" w:rsidRDefault="00DC4B65" w:rsidP="00D52685">
      <w:pPr>
        <w:rPr>
          <w:rFonts w:eastAsia="Times New Roman"/>
          <w:lang w:eastAsia="fr-FR"/>
        </w:rPr>
      </w:pPr>
      <w:r w:rsidRPr="00EA4F84">
        <w:rPr>
          <w:rFonts w:hint="eastAsia"/>
          <w:lang w:eastAsia="ja-JP"/>
        </w:rPr>
        <w:t>18.</w:t>
      </w:r>
      <w:r w:rsidR="00D52685" w:rsidRPr="00EA4F84">
        <w:rPr>
          <w:rFonts w:eastAsia="Times New Roman"/>
          <w:lang w:eastAsia="fr-FR"/>
        </w:rPr>
        <w:tab/>
      </w:r>
      <w:r w:rsidR="00EA4F84">
        <w:rPr>
          <w:rFonts w:eastAsia="Times New Roman"/>
          <w:lang w:eastAsia="fr-FR"/>
        </w:rPr>
        <w:t>“ </w:t>
      </w:r>
      <w:r w:rsidR="00D52685" w:rsidRPr="00EA4F84">
        <w:rPr>
          <w:rFonts w:eastAsia="Times New Roman"/>
          <w:i/>
          <w:iCs/>
          <w:lang w:eastAsia="fr-FR"/>
        </w:rPr>
        <w:t>Reproductibilité : lorsque les résultats des essais sont obtenus avec la même méthode, sur des éléments d'essai identiques, au sein du même laboratoire ou entre différents laboratoires, avec différents opérateurs, à l'aide d'équipements différents</w:t>
      </w:r>
      <w:r w:rsidR="00EA4F84">
        <w:rPr>
          <w:rFonts w:eastAsia="Times New Roman"/>
          <w:i/>
          <w:iCs/>
          <w:lang w:eastAsia="fr-FR"/>
        </w:rPr>
        <w:t> »</w:t>
      </w:r>
      <w:r w:rsidR="00D52685" w:rsidRPr="00EA4F84">
        <w:rPr>
          <w:rFonts w:eastAsia="Times New Roman"/>
          <w:lang w:eastAsia="fr-FR"/>
        </w:rPr>
        <w:t xml:space="preserve"> à des moments différents.</w:t>
      </w:r>
    </w:p>
    <w:p w14:paraId="3E4579B2" w14:textId="77777777" w:rsidR="00D52685" w:rsidRPr="00EA4F84" w:rsidRDefault="00D52685" w:rsidP="00D52685">
      <w:pPr>
        <w:rPr>
          <w:rFonts w:eastAsia="Times New Roman"/>
          <w:lang w:eastAsia="fr-FR"/>
        </w:rPr>
      </w:pPr>
    </w:p>
    <w:p w14:paraId="0A5A73DD" w14:textId="52AED652" w:rsidR="00D52685" w:rsidRPr="00EA4F84" w:rsidRDefault="00DC4B65" w:rsidP="00D52685">
      <w:pPr>
        <w:rPr>
          <w:rFonts w:eastAsia="Times New Roman"/>
          <w:lang w:eastAsia="fr-FR"/>
        </w:rPr>
      </w:pPr>
      <w:r w:rsidRPr="00EA4F84">
        <w:rPr>
          <w:rFonts w:hint="eastAsia"/>
          <w:lang w:eastAsia="ja-JP"/>
        </w:rPr>
        <w:t>19.</w:t>
      </w:r>
      <w:r w:rsidR="00D52685" w:rsidRPr="00EA4F84">
        <w:rPr>
          <w:rFonts w:eastAsia="Times New Roman"/>
          <w:lang w:eastAsia="fr-FR"/>
        </w:rPr>
        <w:tab/>
        <w:t xml:space="preserve">Pour les méthodes qualitatives, la concordance équivaut à la reproductibilité des méthodes quantitatives (Langton </w:t>
      </w:r>
      <w:r w:rsidR="00D52685" w:rsidRPr="00EA4F84">
        <w:rPr>
          <w:rFonts w:eastAsia="Times New Roman"/>
          <w:i/>
          <w:iCs/>
          <w:lang w:eastAsia="fr-FR"/>
        </w:rPr>
        <w:t>et al</w:t>
      </w:r>
      <w:r w:rsidR="00D52685" w:rsidRPr="00EA4F84">
        <w:rPr>
          <w:rFonts w:eastAsia="Times New Roman"/>
          <w:lang w:eastAsia="fr-FR"/>
        </w:rPr>
        <w:t>., 2002).</w:t>
      </w:r>
    </w:p>
    <w:p w14:paraId="4B1BA2BA" w14:textId="77777777" w:rsidR="00D52685" w:rsidRPr="00EA4F84" w:rsidRDefault="00D52685" w:rsidP="00D52685">
      <w:pPr>
        <w:rPr>
          <w:rFonts w:eastAsia="Times New Roman"/>
          <w:u w:val="single"/>
          <w:lang w:eastAsia="fr-FR"/>
        </w:rPr>
      </w:pPr>
    </w:p>
    <w:p w14:paraId="7E3E914F" w14:textId="77777777" w:rsidR="00D52685" w:rsidRPr="00EA4F84" w:rsidRDefault="00D52685" w:rsidP="0077577B">
      <w:pPr>
        <w:pStyle w:val="Heading3Annex"/>
        <w:rPr>
          <w:lang w:val="fr-FR"/>
        </w:rPr>
      </w:pPr>
      <w:bookmarkStart w:id="101" w:name="_Toc189576568"/>
      <w:bookmarkStart w:id="102" w:name="_Toc210663413"/>
      <w:r w:rsidRPr="00EA4F84">
        <w:rPr>
          <w:lang w:val="fr-FR"/>
        </w:rPr>
        <w:t>Exigence</w:t>
      </w:r>
      <w:bookmarkEnd w:id="101"/>
      <w:bookmarkEnd w:id="102"/>
    </w:p>
    <w:p w14:paraId="41597870" w14:textId="77777777" w:rsidR="00D52685" w:rsidRPr="00EA4F84" w:rsidRDefault="00D52685" w:rsidP="00D52685">
      <w:pPr>
        <w:keepNext/>
        <w:rPr>
          <w:rFonts w:eastAsia="Times New Roman"/>
          <w:lang w:eastAsia="fr-FR"/>
        </w:rPr>
      </w:pPr>
    </w:p>
    <w:p w14:paraId="206E3A87" w14:textId="599F585A" w:rsidR="00D52685" w:rsidRPr="00EA4F84" w:rsidRDefault="00DC4B65" w:rsidP="00D52685">
      <w:pPr>
        <w:keepNext/>
        <w:rPr>
          <w:rFonts w:eastAsia="Times New Roman"/>
          <w:lang w:eastAsia="fr-FR"/>
        </w:rPr>
      </w:pPr>
      <w:r w:rsidRPr="00EA4F84">
        <w:rPr>
          <w:rFonts w:hint="eastAsia"/>
          <w:lang w:eastAsia="ja-JP"/>
        </w:rPr>
        <w:t>20.</w:t>
      </w:r>
      <w:r w:rsidR="00D52685" w:rsidRPr="00EA4F84">
        <w:rPr>
          <w:rFonts w:eastAsia="Times New Roman"/>
          <w:lang w:eastAsia="fr-FR"/>
        </w:rPr>
        <w:tab/>
        <w:t xml:space="preserve">Idéalement 100 %, une performance ≥ 90 % est généralement acceptée. Si la reproductibilité de la méthode de référence est publiée, la reproductibilité de la méthode alternative doit être au moins équivalente. </w:t>
      </w:r>
    </w:p>
    <w:p w14:paraId="3FC81EB7" w14:textId="77777777" w:rsidR="00D52685" w:rsidRPr="00EA4F84" w:rsidRDefault="00D52685" w:rsidP="00D52685">
      <w:pPr>
        <w:rPr>
          <w:rFonts w:eastAsia="Times New Roman"/>
          <w:lang w:eastAsia="fr-FR"/>
        </w:rPr>
      </w:pPr>
    </w:p>
    <w:p w14:paraId="7B4F2BDE" w14:textId="77777777" w:rsidR="00D52685" w:rsidRPr="00EA4F84" w:rsidRDefault="00D52685" w:rsidP="0077577B">
      <w:pPr>
        <w:pStyle w:val="Heading3Annex"/>
        <w:rPr>
          <w:lang w:val="fr-FR"/>
        </w:rPr>
      </w:pPr>
      <w:bookmarkStart w:id="103" w:name="_Toc189576569"/>
      <w:bookmarkStart w:id="104" w:name="_Toc210663414"/>
      <w:r w:rsidRPr="00EA4F84">
        <w:rPr>
          <w:lang w:val="fr-FR"/>
        </w:rPr>
        <w:t>Comment l'évaluer ?</w:t>
      </w:r>
      <w:bookmarkEnd w:id="103"/>
      <w:bookmarkEnd w:id="104"/>
    </w:p>
    <w:p w14:paraId="2752D83D" w14:textId="77777777" w:rsidR="00D52685" w:rsidRPr="00EA4F84" w:rsidRDefault="00D52685" w:rsidP="00D52685">
      <w:pPr>
        <w:rPr>
          <w:rFonts w:eastAsia="Times New Roman"/>
          <w:lang w:eastAsia="fr-FR"/>
        </w:rPr>
      </w:pPr>
    </w:p>
    <w:p w14:paraId="303E67EA" w14:textId="5A7BF9B2" w:rsidR="00D52685" w:rsidRPr="00EA4F84" w:rsidRDefault="00DC4B65" w:rsidP="00592AD3">
      <w:pPr>
        <w:rPr>
          <w:lang w:eastAsia="fr-FR"/>
        </w:rPr>
      </w:pPr>
      <w:r w:rsidRPr="00EA4F84">
        <w:rPr>
          <w:rFonts w:hint="eastAsia"/>
          <w:lang w:eastAsia="ja-JP"/>
        </w:rPr>
        <w:t>21.</w:t>
      </w:r>
      <w:r w:rsidR="00D52685" w:rsidRPr="00EA4F84">
        <w:rPr>
          <w:lang w:eastAsia="fr-FR"/>
        </w:rPr>
        <w:tab/>
        <w:t xml:space="preserve">La reproductibilité doit être évaluée entre différents laboratoires au moyen d'une étude de validation </w:t>
      </w:r>
      <w:proofErr w:type="spellStart"/>
      <w:r w:rsidR="00D52685" w:rsidRPr="00EA4F84">
        <w:rPr>
          <w:lang w:eastAsia="fr-FR"/>
        </w:rPr>
        <w:t>interlaboratoires</w:t>
      </w:r>
      <w:proofErr w:type="spellEnd"/>
      <w:r w:rsidR="00D52685" w:rsidRPr="00EA4F84">
        <w:rPr>
          <w:lang w:eastAsia="fr-FR"/>
        </w:rPr>
        <w:t xml:space="preserve"> (test </w:t>
      </w:r>
      <w:proofErr w:type="spellStart"/>
      <w:r w:rsidR="00D52685" w:rsidRPr="00EA4F84">
        <w:rPr>
          <w:lang w:eastAsia="fr-FR"/>
        </w:rPr>
        <w:t>interlaboratoire</w:t>
      </w:r>
      <w:proofErr w:type="spellEnd"/>
      <w:r w:rsidR="00D52685" w:rsidRPr="00EA4F84">
        <w:rPr>
          <w:lang w:eastAsia="fr-FR"/>
        </w:rPr>
        <w:t>) avec des échantillons codés de génotypes connus. Tous les types de génotypes attendus doivent être inclus.</w:t>
      </w:r>
    </w:p>
    <w:p w14:paraId="5479FBE8" w14:textId="77777777" w:rsidR="00592AD3" w:rsidRPr="00EA4F84" w:rsidRDefault="00592AD3" w:rsidP="00592AD3">
      <w:pPr>
        <w:rPr>
          <w:lang w:eastAsia="fr-FR"/>
        </w:rPr>
      </w:pPr>
    </w:p>
    <w:p w14:paraId="652547FC" w14:textId="7E7B346A" w:rsidR="00D52685" w:rsidRPr="00EA4F84" w:rsidRDefault="00DC4B65" w:rsidP="00592AD3">
      <w:pPr>
        <w:rPr>
          <w:lang w:eastAsia="fr-FR"/>
        </w:rPr>
      </w:pPr>
      <w:r w:rsidRPr="00EA4F84">
        <w:rPr>
          <w:rFonts w:hint="eastAsia"/>
          <w:lang w:eastAsia="ja-JP"/>
        </w:rPr>
        <w:t>22.</w:t>
      </w:r>
      <w:r w:rsidR="00D52685" w:rsidRPr="00EA4F84">
        <w:rPr>
          <w:lang w:eastAsia="fr-FR"/>
        </w:rPr>
        <w:tab/>
        <w:t xml:space="preserve">Le test </w:t>
      </w:r>
      <w:proofErr w:type="spellStart"/>
      <w:r w:rsidR="00D52685" w:rsidRPr="00EA4F84">
        <w:rPr>
          <w:lang w:eastAsia="fr-FR"/>
        </w:rPr>
        <w:t>interlaboratoire</w:t>
      </w:r>
      <w:proofErr w:type="spellEnd"/>
      <w:r w:rsidR="00D52685" w:rsidRPr="00EA4F84">
        <w:rPr>
          <w:lang w:eastAsia="fr-FR"/>
        </w:rPr>
        <w:t xml:space="preserve"> doit impliquer au moins trois laboratoires différents, dont au moins deux bureaux d'examen différents (</w:t>
      </w:r>
      <w:r w:rsidR="00D52685" w:rsidRPr="00EA4F84">
        <w:rPr>
          <w:i/>
          <w:iCs/>
          <w:lang w:eastAsia="fr-FR"/>
        </w:rPr>
        <w:t xml:space="preserve">par exemple, </w:t>
      </w:r>
      <w:r w:rsidR="00D52685" w:rsidRPr="00EA4F84">
        <w:rPr>
          <w:lang w:eastAsia="fr-FR"/>
        </w:rPr>
        <w:t xml:space="preserve">dans </w:t>
      </w:r>
      <w:r w:rsidR="00D52685" w:rsidRPr="00EA4F84">
        <w:rPr>
          <w:lang w:eastAsia="nl-NL"/>
        </w:rPr>
        <w:t>le projet</w:t>
      </w:r>
      <w:r w:rsidR="00D52685" w:rsidRPr="00EA4F84">
        <w:rPr>
          <w:lang w:eastAsia="fr-FR"/>
        </w:rPr>
        <w:t xml:space="preserve"> INVITE </w:t>
      </w:r>
      <w:r w:rsidR="00D52685" w:rsidRPr="00EA4F84">
        <w:rPr>
          <w:lang w:eastAsia="nl-NL"/>
        </w:rPr>
        <w:t>EU</w:t>
      </w:r>
      <w:r w:rsidR="00D52685" w:rsidRPr="00EA4F84">
        <w:rPr>
          <w:color w:val="333333"/>
          <w:shd w:val="clear" w:color="auto" w:fill="FFFFFF"/>
          <w:lang w:eastAsia="nl-NL"/>
        </w:rPr>
        <w:t xml:space="preserve"> 817970 </w:t>
      </w:r>
      <w:r w:rsidR="00D52685" w:rsidRPr="00EA4F84">
        <w:rPr>
          <w:lang w:eastAsia="nl-NL"/>
        </w:rPr>
        <w:t>DOI</w:t>
      </w:r>
      <w:hyperlink r:id="rId24" w:history="1">
        <w:r w:rsidR="00D52685" w:rsidRPr="00EA4F84">
          <w:rPr>
            <w:rFonts w:ascii="Segoe UI" w:hAnsi="Segoe UI" w:cs="Segoe UI"/>
            <w:color w:val="0000FF"/>
            <w:sz w:val="18"/>
            <w:szCs w:val="18"/>
            <w:u w:val="single"/>
            <w:lang w:eastAsia="nl-NL"/>
          </w:rPr>
          <w:t xml:space="preserve"> 10.3030/817970</w:t>
        </w:r>
      </w:hyperlink>
      <w:r w:rsidR="00D52685" w:rsidRPr="00EA4F84">
        <w:rPr>
          <w:rFonts w:ascii="Segoe UI" w:hAnsi="Segoe UI" w:cs="Segoe UI"/>
          <w:sz w:val="18"/>
          <w:szCs w:val="18"/>
          <w:lang w:eastAsia="nl-NL"/>
        </w:rPr>
        <w:t xml:space="preserve">, </w:t>
      </w:r>
      <w:r w:rsidR="00D52685" w:rsidRPr="00EA4F84">
        <w:rPr>
          <w:lang w:eastAsia="fr-FR"/>
        </w:rPr>
        <w:t xml:space="preserve">trois bureaux d'examen ont participé au test de validation). Si possible, il convient de faire appel à des laboratoires expérimentés qui connaissent bien l'espèce et la technique. Si ce n'est pas le cas, une formation peut être </w:t>
      </w:r>
      <w:r w:rsidR="00D52685" w:rsidRPr="00EA4F84">
        <w:rPr>
          <w:lang w:eastAsia="fr-FR"/>
        </w:rPr>
        <w:lastRenderedPageBreak/>
        <w:t xml:space="preserve">organisée avant le test </w:t>
      </w:r>
      <w:proofErr w:type="spellStart"/>
      <w:r w:rsidR="00D52685" w:rsidRPr="00EA4F84">
        <w:rPr>
          <w:lang w:eastAsia="fr-FR"/>
        </w:rPr>
        <w:t>interlaboratoire</w:t>
      </w:r>
      <w:proofErr w:type="spellEnd"/>
      <w:r w:rsidR="00D52685" w:rsidRPr="00EA4F84">
        <w:rPr>
          <w:lang w:eastAsia="fr-FR"/>
        </w:rPr>
        <w:t xml:space="preserve"> avec des échantillons non codés. Les laboratoires peuvent participer à un test </w:t>
      </w:r>
      <w:proofErr w:type="spellStart"/>
      <w:r w:rsidR="00D52685" w:rsidRPr="00EA4F84">
        <w:rPr>
          <w:lang w:eastAsia="fr-FR"/>
        </w:rPr>
        <w:t>interlaboratoire</w:t>
      </w:r>
      <w:proofErr w:type="spellEnd"/>
      <w:r w:rsidR="00D52685" w:rsidRPr="00EA4F84">
        <w:rPr>
          <w:lang w:eastAsia="fr-FR"/>
        </w:rPr>
        <w:t xml:space="preserve"> sur une base volontaire. En l'absence de volontaires, une évaluation de la reproductibilité intra-laboratoire sera possible avec différents opérateurs.</w:t>
      </w:r>
    </w:p>
    <w:p w14:paraId="36793252" w14:textId="77777777" w:rsidR="00592AD3" w:rsidRPr="00EA4F84" w:rsidRDefault="00592AD3" w:rsidP="00592AD3">
      <w:pPr>
        <w:rPr>
          <w:lang w:eastAsia="nl-NL"/>
        </w:rPr>
      </w:pPr>
    </w:p>
    <w:p w14:paraId="62476F6D" w14:textId="6639BC12" w:rsidR="00D52685" w:rsidRPr="00EA4F84" w:rsidRDefault="00DC4B65" w:rsidP="00D52685">
      <w:pPr>
        <w:rPr>
          <w:rFonts w:eastAsia="Times New Roman"/>
          <w:lang w:eastAsia="fr-FR"/>
        </w:rPr>
      </w:pPr>
      <w:r w:rsidRPr="00EA4F84">
        <w:rPr>
          <w:rFonts w:hint="eastAsia"/>
          <w:lang w:eastAsia="ja-JP"/>
        </w:rPr>
        <w:t>23.</w:t>
      </w:r>
      <w:r w:rsidR="00D52685" w:rsidRPr="00EA4F84">
        <w:rPr>
          <w:rFonts w:eastAsia="Times New Roman"/>
          <w:lang w:eastAsia="fr-FR"/>
        </w:rPr>
        <w:tab/>
        <w:t xml:space="preserve">Tous les laboratoires doivent suivre le protocole à valider. Dans le protocole, les parties obligatoires et facultatives peuvent être définies par l'équipe de validation. </w:t>
      </w:r>
      <w:r w:rsidR="00BD1333" w:rsidRPr="00EA4F84">
        <w:rPr>
          <w:rFonts w:eastAsia="Times New Roman"/>
          <w:highlight w:val="lightGray"/>
          <w:u w:val="single"/>
          <w:lang w:eastAsia="fr-FR"/>
        </w:rPr>
        <w:t xml:space="preserve">Les laboratoires peuvent participer à un essai </w:t>
      </w:r>
      <w:proofErr w:type="spellStart"/>
      <w:r w:rsidR="00BD1333" w:rsidRPr="00EA4F84">
        <w:rPr>
          <w:rFonts w:eastAsia="Times New Roman"/>
          <w:highlight w:val="lightGray"/>
          <w:u w:val="single"/>
          <w:lang w:eastAsia="fr-FR"/>
        </w:rPr>
        <w:t>interlaboratoire</w:t>
      </w:r>
      <w:proofErr w:type="spellEnd"/>
      <w:r w:rsidR="00BD1333" w:rsidRPr="00EA4F84">
        <w:rPr>
          <w:rFonts w:eastAsia="Times New Roman"/>
          <w:highlight w:val="lightGray"/>
          <w:u w:val="single"/>
          <w:lang w:eastAsia="fr-FR"/>
        </w:rPr>
        <w:t xml:space="preserve"> sur une base volontaire. En l'absence de volontaires, la reproductibilité peut être déterminée au sein d'un seul laboratoire</w:t>
      </w:r>
      <w:r w:rsidR="00BD1333" w:rsidRPr="00EA4F84">
        <w:rPr>
          <w:rFonts w:eastAsia="Times New Roman"/>
          <w:highlight w:val="lightGray"/>
          <w:lang w:eastAsia="fr-FR"/>
        </w:rPr>
        <w:t>.</w:t>
      </w:r>
    </w:p>
    <w:p w14:paraId="698AA37A" w14:textId="77777777" w:rsidR="00D52685" w:rsidRPr="00EA4F84" w:rsidRDefault="00D52685" w:rsidP="00D52685">
      <w:pPr>
        <w:rPr>
          <w:rFonts w:eastAsia="Times New Roman"/>
          <w:lang w:eastAsia="fr-FR"/>
        </w:rPr>
      </w:pPr>
    </w:p>
    <w:p w14:paraId="06AE7B55" w14:textId="4F01BF84" w:rsidR="00D52685" w:rsidRPr="00EA4F84" w:rsidRDefault="00DC4B65" w:rsidP="00592AD3">
      <w:pPr>
        <w:keepNext/>
        <w:rPr>
          <w:rFonts w:eastAsia="Times New Roman"/>
          <w:lang w:eastAsia="fr-FR"/>
        </w:rPr>
      </w:pPr>
      <w:r w:rsidRPr="00EA4F84">
        <w:rPr>
          <w:rFonts w:hint="eastAsia"/>
          <w:lang w:eastAsia="ja-JP"/>
        </w:rPr>
        <w:t>24.</w:t>
      </w:r>
      <w:r w:rsidR="00D52685" w:rsidRPr="00EA4F84">
        <w:rPr>
          <w:rFonts w:eastAsia="Times New Roman"/>
          <w:lang w:eastAsia="fr-FR"/>
        </w:rPr>
        <w:tab/>
        <w:t>Nombre de variétés : inclure au moins tous les types de génotypes attendus.</w:t>
      </w:r>
    </w:p>
    <w:p w14:paraId="6EBE1097" w14:textId="77777777" w:rsidR="00D52685" w:rsidRPr="00EA4F84" w:rsidRDefault="00D52685" w:rsidP="00592AD3">
      <w:pPr>
        <w:keepNext/>
        <w:rPr>
          <w:rFonts w:eastAsia="Times New Roman" w:cs="Arial"/>
          <w:lang w:eastAsia="fr-FR"/>
        </w:rPr>
      </w:pPr>
    </w:p>
    <w:p w14:paraId="0C8F7136" w14:textId="02C77E3E" w:rsidR="00D52685" w:rsidRPr="00EA4F84" w:rsidRDefault="00DC4B65" w:rsidP="00D52685">
      <w:pPr>
        <w:rPr>
          <w:rFonts w:eastAsia="Times New Roman" w:cs="Arial"/>
          <w:lang w:eastAsia="fr-FR"/>
        </w:rPr>
      </w:pPr>
      <w:r w:rsidRPr="00EA4F84">
        <w:rPr>
          <w:rFonts w:cs="Arial" w:hint="eastAsia"/>
          <w:lang w:eastAsia="ja-JP"/>
        </w:rPr>
        <w:t>25.</w:t>
      </w:r>
      <w:r w:rsidR="00D52685" w:rsidRPr="00EA4F84">
        <w:rPr>
          <w:rFonts w:eastAsia="Times New Roman" w:cs="Arial"/>
          <w:lang w:eastAsia="fr-FR"/>
        </w:rPr>
        <w:tab/>
        <w:t xml:space="preserve">Les lignes directrices/normes relatives aux études </w:t>
      </w:r>
      <w:proofErr w:type="spellStart"/>
      <w:r w:rsidR="00D52685" w:rsidRPr="00EA4F84">
        <w:rPr>
          <w:rFonts w:eastAsia="Times New Roman" w:cs="Arial"/>
          <w:lang w:eastAsia="fr-FR"/>
        </w:rPr>
        <w:t>interlaboratoires</w:t>
      </w:r>
      <w:proofErr w:type="spellEnd"/>
      <w:r w:rsidR="00D52685" w:rsidRPr="00EA4F84">
        <w:rPr>
          <w:rFonts w:eastAsia="Times New Roman" w:cs="Arial"/>
          <w:lang w:eastAsia="fr-FR"/>
        </w:rPr>
        <w:t xml:space="preserve"> peuvent être suivies : ISO 13495 </w:t>
      </w:r>
      <w:r w:rsidR="00D52685" w:rsidRPr="00EA4F84">
        <w:rPr>
          <w:rFonts w:eastAsia="Times New Roman" w:cs="Arial"/>
          <w:i/>
          <w:iCs/>
          <w:lang w:eastAsia="fr-FR"/>
        </w:rPr>
        <w:t xml:space="preserve">Denrées alimentaires - Principes de sélection et critères de validation des méthodes d'identification variétale utilisant des acides nucléiques spécifiques, </w:t>
      </w:r>
      <w:r w:rsidR="00D52685" w:rsidRPr="00EA4F84">
        <w:rPr>
          <w:rFonts w:eastAsia="Times New Roman" w:cs="Arial"/>
          <w:lang w:eastAsia="fr-FR"/>
        </w:rPr>
        <w:t xml:space="preserve">ISO 17043 </w:t>
      </w:r>
      <w:r w:rsidR="00D52685" w:rsidRPr="00EA4F84">
        <w:rPr>
          <w:rFonts w:eastAsia="Times New Roman" w:cs="Arial"/>
          <w:i/>
          <w:iCs/>
          <w:lang w:eastAsia="fr-FR"/>
        </w:rPr>
        <w:t xml:space="preserve">Évaluation de la conformité - Exigences générales pour les essais d'aptitude, </w:t>
      </w:r>
      <w:r w:rsidR="00D52685" w:rsidRPr="00EA4F84">
        <w:rPr>
          <w:rFonts w:eastAsia="Times New Roman" w:cs="Arial"/>
          <w:lang w:eastAsia="fr-FR"/>
        </w:rPr>
        <w:t xml:space="preserve">EPPO pm7-122-2 </w:t>
      </w:r>
      <w:r w:rsidR="00D52685" w:rsidRPr="00EA4F84">
        <w:rPr>
          <w:rFonts w:eastAsia="Times New Roman" w:cs="Arial"/>
          <w:i/>
          <w:iCs/>
          <w:lang w:eastAsia="fr-FR"/>
        </w:rPr>
        <w:t xml:space="preserve">Lignes directrices pour l'organisation de comparaisons </w:t>
      </w:r>
      <w:proofErr w:type="spellStart"/>
      <w:r w:rsidR="00D52685" w:rsidRPr="00EA4F84">
        <w:rPr>
          <w:rFonts w:eastAsia="Times New Roman" w:cs="Arial"/>
          <w:i/>
          <w:iCs/>
          <w:lang w:eastAsia="fr-FR"/>
        </w:rPr>
        <w:t>interlaboratoires</w:t>
      </w:r>
      <w:proofErr w:type="spellEnd"/>
      <w:r w:rsidR="00D52685" w:rsidRPr="00EA4F84">
        <w:rPr>
          <w:rFonts w:eastAsia="Times New Roman" w:cs="Arial"/>
          <w:i/>
          <w:iCs/>
          <w:lang w:eastAsia="fr-FR"/>
        </w:rPr>
        <w:t xml:space="preserve"> par les laboratoires de diagnostic des organismes nuisibles aux végétaux, </w:t>
      </w:r>
      <w:r w:rsidR="00D52685" w:rsidRPr="00EA4F84">
        <w:rPr>
          <w:rFonts w:eastAsia="Times New Roman" w:cs="Arial"/>
          <w:lang w:eastAsia="fr-FR"/>
        </w:rPr>
        <w:t xml:space="preserve">ISTA </w:t>
      </w:r>
      <w:r w:rsidR="00D52685" w:rsidRPr="00EA4F84">
        <w:rPr>
          <w:rFonts w:eastAsia="Times New Roman" w:cs="Arial"/>
          <w:i/>
          <w:iCs/>
          <w:lang w:eastAsia="fr-FR"/>
        </w:rPr>
        <w:t xml:space="preserve">TCOM-P-10-Validation des méthodes de contrôle sanitaire des semences et organisation et analyse des essais comparatifs </w:t>
      </w:r>
      <w:proofErr w:type="spellStart"/>
      <w:r w:rsidR="00D52685" w:rsidRPr="00EA4F84">
        <w:rPr>
          <w:rFonts w:eastAsia="Times New Roman" w:cs="Arial"/>
          <w:i/>
          <w:iCs/>
          <w:lang w:eastAsia="fr-FR"/>
        </w:rPr>
        <w:t>interlaboratoires</w:t>
      </w:r>
      <w:proofErr w:type="spellEnd"/>
      <w:r w:rsidR="00D52685" w:rsidRPr="00EA4F84">
        <w:rPr>
          <w:rFonts w:eastAsia="Times New Roman" w:cs="Arial"/>
          <w:i/>
          <w:iCs/>
          <w:lang w:eastAsia="fr-FR"/>
        </w:rPr>
        <w:t xml:space="preserve"> (CT)</w:t>
      </w:r>
      <w:r w:rsidR="00D52685" w:rsidRPr="00EA4F84">
        <w:rPr>
          <w:rFonts w:eastAsia="Times New Roman" w:cs="Arial"/>
          <w:lang w:eastAsia="fr-FR"/>
        </w:rPr>
        <w:t>... L'équipe de validation peut citer les lignes directrices suivies dans son rapport.</w:t>
      </w:r>
    </w:p>
    <w:p w14:paraId="75F6DDEF" w14:textId="77777777" w:rsidR="00D52685" w:rsidRPr="00EA4F84" w:rsidRDefault="00D52685" w:rsidP="00D52685">
      <w:pPr>
        <w:rPr>
          <w:rFonts w:eastAsia="Times New Roman"/>
          <w:lang w:eastAsia="fr-FR"/>
        </w:rPr>
      </w:pPr>
    </w:p>
    <w:p w14:paraId="1AAD184E" w14:textId="77777777" w:rsidR="00D52685" w:rsidRPr="00EA4F84" w:rsidRDefault="00D52685" w:rsidP="0077577B">
      <w:pPr>
        <w:pStyle w:val="Heading2Annex"/>
        <w:rPr>
          <w:lang w:val="fr-FR"/>
        </w:rPr>
      </w:pPr>
      <w:bookmarkStart w:id="105" w:name="_Toc189576570"/>
      <w:bookmarkStart w:id="106" w:name="_Toc210663415"/>
      <w:r w:rsidRPr="00EA4F84">
        <w:rPr>
          <w:lang w:val="fr-FR"/>
        </w:rPr>
        <w:t>Robustesse</w:t>
      </w:r>
      <w:bookmarkEnd w:id="105"/>
      <w:bookmarkEnd w:id="106"/>
    </w:p>
    <w:p w14:paraId="7D8A3330" w14:textId="77777777" w:rsidR="00D52685" w:rsidRPr="00EA4F84" w:rsidRDefault="00D52685" w:rsidP="00D52685">
      <w:pPr>
        <w:rPr>
          <w:rFonts w:eastAsia="Times New Roman"/>
          <w:lang w:eastAsia="fr-FR"/>
        </w:rPr>
      </w:pPr>
    </w:p>
    <w:p w14:paraId="39DAA3E3" w14:textId="77777777" w:rsidR="00D52685" w:rsidRPr="00EA4F84" w:rsidRDefault="00D52685" w:rsidP="0077577B">
      <w:pPr>
        <w:pStyle w:val="Heading3Annex"/>
        <w:rPr>
          <w:lang w:val="fr-FR"/>
        </w:rPr>
      </w:pPr>
      <w:bookmarkStart w:id="107" w:name="_Toc189576571"/>
      <w:bookmarkStart w:id="108" w:name="_Toc210663416"/>
      <w:r w:rsidRPr="00EA4F84">
        <w:rPr>
          <w:lang w:val="fr-FR"/>
        </w:rPr>
        <w:t>Définition</w:t>
      </w:r>
      <w:bookmarkEnd w:id="107"/>
      <w:r w:rsidRPr="00EA4F84">
        <w:rPr>
          <w:lang w:val="fr-FR"/>
        </w:rPr>
        <w:t xml:space="preserve"> (basée sur la norme ISO 16 577:2016 ; référence à UPOV/INF/17)</w:t>
      </w:r>
      <w:bookmarkEnd w:id="108"/>
    </w:p>
    <w:p w14:paraId="13CE013A" w14:textId="77777777" w:rsidR="00D52685" w:rsidRPr="00EA4F84" w:rsidRDefault="00D52685" w:rsidP="00D52685">
      <w:pPr>
        <w:rPr>
          <w:rFonts w:eastAsia="Times New Roman"/>
          <w:highlight w:val="yellow"/>
          <w:lang w:eastAsia="fr-FR"/>
        </w:rPr>
      </w:pPr>
    </w:p>
    <w:p w14:paraId="6111C5AA" w14:textId="75F23203" w:rsidR="00D52685" w:rsidRPr="00EA4F84" w:rsidRDefault="00DC4B65" w:rsidP="00D52685">
      <w:pPr>
        <w:rPr>
          <w:rFonts w:eastAsia="Times New Roman"/>
          <w:lang w:eastAsia="fr-FR"/>
        </w:rPr>
      </w:pPr>
      <w:r w:rsidRPr="00EA4F84">
        <w:rPr>
          <w:rFonts w:hint="eastAsia"/>
          <w:lang w:eastAsia="ja-JP"/>
        </w:rPr>
        <w:t>26.</w:t>
      </w:r>
      <w:r w:rsidR="00D52685" w:rsidRPr="00EA4F84">
        <w:rPr>
          <w:rFonts w:eastAsia="Times New Roman"/>
          <w:lang w:eastAsia="fr-FR"/>
        </w:rPr>
        <w:tab/>
      </w:r>
      <w:r w:rsidR="00EA4F84">
        <w:rPr>
          <w:rFonts w:eastAsia="Times New Roman"/>
          <w:lang w:eastAsia="fr-FR"/>
        </w:rPr>
        <w:t>“ </w:t>
      </w:r>
      <w:r w:rsidR="00D52685" w:rsidRPr="00EA4F84">
        <w:rPr>
          <w:rFonts w:eastAsia="Times New Roman"/>
          <w:i/>
          <w:iCs/>
          <w:lang w:eastAsia="fr-FR"/>
        </w:rPr>
        <w:t>Robustesse : mesure de la capacité à ne pas être affecté par des écarts mineurs mais délibérés par rapport aux conditions expérimentales décrites dans les paramètres de la procédure, qui fournit une indication de sa fiabilité dans des conditions normales d'utilisation</w:t>
      </w:r>
      <w:r w:rsidR="00EA4F84">
        <w:rPr>
          <w:rFonts w:eastAsia="Times New Roman"/>
          <w:i/>
          <w:iCs/>
          <w:lang w:eastAsia="fr-FR"/>
        </w:rPr>
        <w:t> »</w:t>
      </w:r>
      <w:r w:rsidR="00D52685" w:rsidRPr="00EA4F84">
        <w:rPr>
          <w:rFonts w:eastAsia="Times New Roman"/>
          <w:i/>
          <w:iCs/>
          <w:lang w:eastAsia="fr-FR"/>
        </w:rPr>
        <w:t xml:space="preserve"> </w:t>
      </w:r>
      <w:r w:rsidR="00D52685" w:rsidRPr="00EA4F84">
        <w:rPr>
          <w:rFonts w:eastAsia="Times New Roman"/>
          <w:lang w:eastAsia="fr-FR"/>
        </w:rPr>
        <w:t>(</w:t>
      </w:r>
      <w:r w:rsidR="00D52685" w:rsidRPr="00EA4F84">
        <w:rPr>
          <w:rFonts w:eastAsia="Times New Roman"/>
          <w:i/>
          <w:iCs/>
          <w:lang w:eastAsia="fr-FR"/>
        </w:rPr>
        <w:t xml:space="preserve">par exemple, </w:t>
      </w:r>
      <w:r w:rsidR="00D52685" w:rsidRPr="00EA4F84">
        <w:rPr>
          <w:rFonts w:eastAsia="Times New Roman"/>
          <w:lang w:eastAsia="fr-FR"/>
        </w:rPr>
        <w:t>changement de méthode d'extraction d'ADN ou changement d'appareil en temps réel).</w:t>
      </w:r>
    </w:p>
    <w:p w14:paraId="01D9026C" w14:textId="77777777" w:rsidR="00D52685" w:rsidRPr="00EA4F84" w:rsidRDefault="00D52685" w:rsidP="00D52685">
      <w:pPr>
        <w:rPr>
          <w:rFonts w:eastAsia="Times New Roman"/>
          <w:lang w:eastAsia="fr-FR"/>
        </w:rPr>
      </w:pPr>
    </w:p>
    <w:p w14:paraId="7D3E9FC7" w14:textId="77777777" w:rsidR="00D52685" w:rsidRPr="00EA4F84" w:rsidRDefault="00D52685" w:rsidP="0077577B">
      <w:pPr>
        <w:pStyle w:val="Heading3Annex"/>
        <w:rPr>
          <w:lang w:val="fr-FR"/>
        </w:rPr>
      </w:pPr>
      <w:bookmarkStart w:id="109" w:name="_Toc189576572"/>
      <w:bookmarkStart w:id="110" w:name="_Toc210663417"/>
      <w:r w:rsidRPr="00EA4F84">
        <w:rPr>
          <w:lang w:val="fr-FR"/>
        </w:rPr>
        <w:t>Exigence</w:t>
      </w:r>
      <w:bookmarkEnd w:id="109"/>
      <w:bookmarkEnd w:id="110"/>
    </w:p>
    <w:p w14:paraId="66849E7D" w14:textId="77777777" w:rsidR="00D52685" w:rsidRPr="00EA4F84" w:rsidRDefault="00D52685" w:rsidP="00D52685">
      <w:pPr>
        <w:rPr>
          <w:rFonts w:eastAsia="Times New Roman"/>
          <w:lang w:eastAsia="fr-FR"/>
        </w:rPr>
      </w:pPr>
    </w:p>
    <w:p w14:paraId="08C1024C" w14:textId="61833338" w:rsidR="00D52685" w:rsidRPr="00EA4F84" w:rsidRDefault="00DC4B65" w:rsidP="00D52685">
      <w:pPr>
        <w:rPr>
          <w:rFonts w:eastAsia="Times New Roman"/>
          <w:lang w:eastAsia="fr-FR"/>
        </w:rPr>
      </w:pPr>
      <w:r w:rsidRPr="00EA4F84">
        <w:rPr>
          <w:rFonts w:hint="eastAsia"/>
          <w:lang w:eastAsia="ja-JP"/>
        </w:rPr>
        <w:t>27.</w:t>
      </w:r>
      <w:r w:rsidR="00D52685" w:rsidRPr="00EA4F84">
        <w:rPr>
          <w:rFonts w:eastAsia="Times New Roman"/>
          <w:lang w:eastAsia="fr-FR"/>
        </w:rPr>
        <w:tab/>
        <w:t>Idéalement 100 %, si ce chiffre est inférieur, cela signifie que la méthode n'est pas robuste face à un changement d'un paramètre et cela doit être indiqué dans le protocole comme une étape obligatoire (</w:t>
      </w:r>
      <w:r w:rsidR="00D52685" w:rsidRPr="00EA4F84">
        <w:rPr>
          <w:rFonts w:eastAsia="Times New Roman"/>
          <w:i/>
          <w:iCs/>
          <w:lang w:eastAsia="fr-FR"/>
        </w:rPr>
        <w:t xml:space="preserve">par exemple, </w:t>
      </w:r>
      <w:r w:rsidR="00D52685" w:rsidRPr="00EA4F84">
        <w:rPr>
          <w:rFonts w:eastAsia="Times New Roman"/>
          <w:lang w:eastAsia="fr-FR"/>
        </w:rPr>
        <w:t>un changement de mélange maître qui serait critique).</w:t>
      </w:r>
    </w:p>
    <w:p w14:paraId="6F81CBC3" w14:textId="77777777" w:rsidR="00D52685" w:rsidRPr="00EA4F84" w:rsidRDefault="00D52685" w:rsidP="00D52685">
      <w:pPr>
        <w:rPr>
          <w:rFonts w:eastAsia="Times New Roman"/>
          <w:lang w:eastAsia="fr-FR"/>
        </w:rPr>
      </w:pPr>
    </w:p>
    <w:p w14:paraId="6172F3D8" w14:textId="77777777" w:rsidR="00D52685" w:rsidRPr="00EA4F84" w:rsidRDefault="00D52685" w:rsidP="0077577B">
      <w:pPr>
        <w:pStyle w:val="Heading3Annex"/>
        <w:rPr>
          <w:lang w:val="fr-FR"/>
        </w:rPr>
      </w:pPr>
      <w:bookmarkStart w:id="111" w:name="_Toc189576573"/>
      <w:bookmarkStart w:id="112" w:name="_Toc210663418"/>
      <w:r w:rsidRPr="00EA4F84">
        <w:rPr>
          <w:lang w:val="fr-FR"/>
        </w:rPr>
        <w:t>Comment l'évaluer ?</w:t>
      </w:r>
      <w:bookmarkEnd w:id="111"/>
      <w:bookmarkEnd w:id="112"/>
    </w:p>
    <w:p w14:paraId="120196FD" w14:textId="77777777" w:rsidR="00D52685" w:rsidRPr="00EA4F84" w:rsidRDefault="00D52685" w:rsidP="00D52685">
      <w:pPr>
        <w:rPr>
          <w:rFonts w:eastAsia="Times New Roman"/>
          <w:lang w:eastAsia="fr-FR"/>
        </w:rPr>
      </w:pPr>
    </w:p>
    <w:p w14:paraId="620A2281" w14:textId="0373AD56" w:rsidR="00D52685" w:rsidRPr="00EA4F84" w:rsidRDefault="00DC4B65" w:rsidP="00D52685">
      <w:pPr>
        <w:rPr>
          <w:rFonts w:eastAsia="Times New Roman"/>
          <w:lang w:eastAsia="fr-FR"/>
        </w:rPr>
      </w:pPr>
      <w:r w:rsidRPr="00EA4F84">
        <w:rPr>
          <w:rFonts w:hint="eastAsia"/>
          <w:lang w:eastAsia="ja-JP"/>
        </w:rPr>
        <w:t>28.</w:t>
      </w:r>
      <w:r w:rsidR="00D52685" w:rsidRPr="00EA4F84">
        <w:rPr>
          <w:rFonts w:eastAsia="Times New Roman"/>
          <w:lang w:eastAsia="fr-FR"/>
        </w:rPr>
        <w:tab/>
        <w:t xml:space="preserve">L'évaluation est facultative, et la robustesse est évaluée en partie lors de l'essai </w:t>
      </w:r>
      <w:proofErr w:type="spellStart"/>
      <w:r w:rsidR="00D52685" w:rsidRPr="00EA4F84">
        <w:rPr>
          <w:rFonts w:eastAsia="Times New Roman"/>
          <w:lang w:eastAsia="fr-FR"/>
        </w:rPr>
        <w:t>interlaboratoire</w:t>
      </w:r>
      <w:proofErr w:type="spellEnd"/>
      <w:r w:rsidR="00D52685" w:rsidRPr="00EA4F84">
        <w:rPr>
          <w:rFonts w:eastAsia="Times New Roman"/>
          <w:lang w:eastAsia="fr-FR"/>
        </w:rPr>
        <w:t xml:space="preserve"> (reproductibilité) (différents laboratoires, équipements, machines, </w:t>
      </w:r>
      <w:r w:rsidR="00D52685" w:rsidRPr="00EA4F84">
        <w:rPr>
          <w:rFonts w:eastAsia="Times New Roman"/>
          <w:strike/>
          <w:highlight w:val="lightGray"/>
          <w:lang w:eastAsia="fr-FR"/>
        </w:rPr>
        <w:t>personnes</w:t>
      </w:r>
      <w:r w:rsidR="00D52685" w:rsidRPr="00EA4F84">
        <w:rPr>
          <w:rFonts w:eastAsia="Times New Roman"/>
          <w:lang w:eastAsia="fr-FR"/>
        </w:rPr>
        <w:t>, etc.).</w:t>
      </w:r>
    </w:p>
    <w:p w14:paraId="39DA8A5A" w14:textId="77777777" w:rsidR="00D52685" w:rsidRPr="00EA4F84" w:rsidRDefault="00D52685" w:rsidP="00D52685">
      <w:pPr>
        <w:rPr>
          <w:rFonts w:eastAsia="Times New Roman"/>
          <w:lang w:eastAsia="fr-FR"/>
        </w:rPr>
      </w:pPr>
    </w:p>
    <w:p w14:paraId="0FFA7038" w14:textId="77777777" w:rsidR="00D52685" w:rsidRPr="00EA4F84" w:rsidRDefault="00D52685" w:rsidP="00D52685">
      <w:pPr>
        <w:rPr>
          <w:rFonts w:eastAsia="Times New Roman"/>
          <w:lang w:eastAsia="fr-FR"/>
        </w:rPr>
      </w:pPr>
    </w:p>
    <w:p w14:paraId="15AFDFCD" w14:textId="77777777" w:rsidR="00D52685" w:rsidRPr="00EA4F84" w:rsidRDefault="00D52685" w:rsidP="0077577B">
      <w:pPr>
        <w:pStyle w:val="Heading1Annex"/>
        <w:rPr>
          <w:lang w:val="fr-FR"/>
        </w:rPr>
      </w:pPr>
      <w:bookmarkStart w:id="113" w:name="_Toc189576574"/>
      <w:bookmarkStart w:id="114" w:name="_Toc210663419"/>
      <w:r w:rsidRPr="00EA4F84">
        <w:rPr>
          <w:lang w:val="fr-FR"/>
        </w:rPr>
        <w:t>IV.</w:t>
      </w:r>
      <w:r w:rsidRPr="00EA4F84">
        <w:rPr>
          <w:lang w:val="fr-FR"/>
        </w:rPr>
        <w:tab/>
        <w:t>Compte rendu de validation</w:t>
      </w:r>
      <w:bookmarkEnd w:id="113"/>
      <w:bookmarkEnd w:id="114"/>
    </w:p>
    <w:p w14:paraId="17296B94" w14:textId="77777777" w:rsidR="00D52685" w:rsidRPr="00EA4F84" w:rsidRDefault="00D52685" w:rsidP="00D52685">
      <w:pPr>
        <w:rPr>
          <w:rFonts w:eastAsia="Times New Roman"/>
          <w:lang w:eastAsia="fr-FR"/>
        </w:rPr>
      </w:pPr>
    </w:p>
    <w:p w14:paraId="2B10D7C5" w14:textId="7DD2CDEC" w:rsidR="00D52685" w:rsidRPr="00EA4F84" w:rsidRDefault="00DC4B65" w:rsidP="00D52685">
      <w:pPr>
        <w:rPr>
          <w:rFonts w:eastAsia="Arial"/>
        </w:rPr>
      </w:pPr>
      <w:r w:rsidRPr="00EA4F84">
        <w:rPr>
          <w:rFonts w:hint="eastAsia"/>
          <w:szCs w:val="24"/>
          <w:lang w:eastAsia="ja-JP"/>
        </w:rPr>
        <w:t>29.</w:t>
      </w:r>
      <w:r w:rsidR="00D52685" w:rsidRPr="00EA4F84">
        <w:rPr>
          <w:rFonts w:eastAsia="Times New Roman"/>
          <w:szCs w:val="24"/>
          <w:lang w:eastAsia="fr-FR"/>
        </w:rPr>
        <w:tab/>
        <w:t xml:space="preserve">Le compte rendu de validation </w:t>
      </w:r>
      <w:r w:rsidR="00D52685" w:rsidRPr="00EA4F84">
        <w:rPr>
          <w:rFonts w:eastAsia="Arial"/>
        </w:rPr>
        <w:t xml:space="preserve">et les résultats doivent être examinés par deux pairs (de préférence trois si la reproductibilité a été évaluée au sein d'un seul laboratoire) des organismes responsables. </w:t>
      </w:r>
      <w:r w:rsidR="00D52685" w:rsidRPr="00EA4F84">
        <w:rPr>
          <w:rFonts w:eastAsia="Arial"/>
          <w:highlight w:val="lightGray"/>
          <w:u w:val="single"/>
        </w:rPr>
        <w:t xml:space="preserve">L'examen est volontaire, mais il est préférable </w:t>
      </w:r>
      <w:r w:rsidR="008B3FE8" w:rsidRPr="00EA4F84">
        <w:rPr>
          <w:rFonts w:hint="eastAsia"/>
          <w:highlight w:val="lightGray"/>
          <w:u w:val="single"/>
          <w:lang w:eastAsia="ja-JP"/>
        </w:rPr>
        <w:t xml:space="preserve">qu'il soit effectué </w:t>
      </w:r>
      <w:r w:rsidR="00D52685" w:rsidRPr="00EA4F84">
        <w:rPr>
          <w:rFonts w:eastAsia="Arial"/>
          <w:highlight w:val="lightGray"/>
          <w:u w:val="single"/>
        </w:rPr>
        <w:t>par un laboratoire familiarisé avec l'espèce et la méthode.</w:t>
      </w:r>
    </w:p>
    <w:p w14:paraId="40327396" w14:textId="77777777" w:rsidR="00D52685" w:rsidRPr="00EA4F84" w:rsidRDefault="00D52685" w:rsidP="00D52685">
      <w:pPr>
        <w:rPr>
          <w:rFonts w:eastAsia="Arial"/>
        </w:rPr>
      </w:pPr>
    </w:p>
    <w:p w14:paraId="6A892538" w14:textId="34166105" w:rsidR="00D52685" w:rsidRPr="00EA4F84" w:rsidRDefault="00DC4B65" w:rsidP="00D52685">
      <w:pPr>
        <w:rPr>
          <w:rFonts w:eastAsia="Arial"/>
        </w:rPr>
      </w:pPr>
      <w:r w:rsidRPr="00EA4F84">
        <w:rPr>
          <w:rFonts w:hint="eastAsia"/>
          <w:lang w:eastAsia="ja-JP"/>
        </w:rPr>
        <w:t>30.</w:t>
      </w:r>
      <w:r w:rsidR="00D52685" w:rsidRPr="00EA4F84">
        <w:rPr>
          <w:rFonts w:eastAsia="Arial"/>
        </w:rPr>
        <w:tab/>
        <w:t>Au cours du processus d'examen, les examinateurs peuvent demander des données de validation supplémentaires en concertation avec l'équipe de validation.</w:t>
      </w:r>
    </w:p>
    <w:p w14:paraId="2A65CC7B" w14:textId="77777777" w:rsidR="00D52685" w:rsidRPr="00EA4F84" w:rsidRDefault="00D52685" w:rsidP="00D52685">
      <w:pPr>
        <w:rPr>
          <w:rFonts w:eastAsia="Times New Roman"/>
          <w:szCs w:val="24"/>
          <w:u w:val="single"/>
          <w:lang w:eastAsia="fr-FR"/>
        </w:rPr>
      </w:pPr>
    </w:p>
    <w:p w14:paraId="1E625D2F" w14:textId="77777777" w:rsidR="00D52685" w:rsidRPr="00EA4F84" w:rsidRDefault="00D52685" w:rsidP="0077577B">
      <w:pPr>
        <w:pStyle w:val="Heading2Annex"/>
        <w:rPr>
          <w:lang w:val="fr-FR"/>
        </w:rPr>
      </w:pPr>
      <w:bookmarkStart w:id="115" w:name="_Toc210663420"/>
      <w:r w:rsidRPr="00EA4F84">
        <w:rPr>
          <w:lang w:val="fr-FR"/>
        </w:rPr>
        <w:t>Contenu du compte rendu de validation</w:t>
      </w:r>
      <w:bookmarkEnd w:id="115"/>
    </w:p>
    <w:p w14:paraId="3E9D8707" w14:textId="77777777" w:rsidR="00D52685" w:rsidRPr="00EA4F84" w:rsidRDefault="00D52685" w:rsidP="00D52685">
      <w:pPr>
        <w:keepNext/>
        <w:rPr>
          <w:rFonts w:eastAsia="Times New Roman"/>
          <w:u w:val="single"/>
          <w:lang w:eastAsia="fr-FR"/>
        </w:rPr>
      </w:pPr>
    </w:p>
    <w:p w14:paraId="3C51DECD" w14:textId="77777777" w:rsidR="00D52685" w:rsidRPr="00EA4F84" w:rsidRDefault="00D52685" w:rsidP="00D52685">
      <w:pPr>
        <w:keepNext/>
        <w:numPr>
          <w:ilvl w:val="0"/>
          <w:numId w:val="15"/>
        </w:numPr>
        <w:spacing w:after="200" w:line="276" w:lineRule="auto"/>
        <w:contextualSpacing/>
        <w:rPr>
          <w:rFonts w:eastAsia="Calibri" w:cs="Arial"/>
        </w:rPr>
      </w:pPr>
      <w:r w:rsidRPr="00EA4F84">
        <w:rPr>
          <w:rFonts w:eastAsia="Calibri" w:cs="Arial"/>
        </w:rPr>
        <w:t>Données brutes générées au cours des différentes étapes du processus de validation</w:t>
      </w:r>
    </w:p>
    <w:p w14:paraId="2BDD2E59" w14:textId="77777777" w:rsidR="00D52685" w:rsidRPr="00EA4F84" w:rsidRDefault="00D52685" w:rsidP="00D52685">
      <w:pPr>
        <w:keepNext/>
        <w:numPr>
          <w:ilvl w:val="0"/>
          <w:numId w:val="15"/>
        </w:numPr>
        <w:spacing w:after="200" w:line="276" w:lineRule="auto"/>
        <w:contextualSpacing/>
        <w:rPr>
          <w:rFonts w:eastAsia="Calibri" w:cs="Arial"/>
        </w:rPr>
      </w:pPr>
      <w:r w:rsidRPr="00EA4F84">
        <w:rPr>
          <w:rFonts w:eastAsia="Calibri" w:cs="Arial"/>
        </w:rPr>
        <w:t>Protocole détaillé avec définition des étapes facultatives et obligatoires</w:t>
      </w:r>
    </w:p>
    <w:p w14:paraId="5F47D7EF" w14:textId="77777777" w:rsidR="00D52685" w:rsidRPr="00EA4F84" w:rsidRDefault="00D52685" w:rsidP="00D52685">
      <w:pPr>
        <w:keepNext/>
        <w:numPr>
          <w:ilvl w:val="0"/>
          <w:numId w:val="15"/>
        </w:numPr>
        <w:spacing w:after="200" w:line="276" w:lineRule="auto"/>
        <w:contextualSpacing/>
        <w:rPr>
          <w:rFonts w:eastAsia="Calibri" w:cs="Arial"/>
        </w:rPr>
      </w:pPr>
      <w:r w:rsidRPr="00EA4F84">
        <w:rPr>
          <w:rFonts w:eastAsia="Calibri" w:cs="Arial"/>
        </w:rPr>
        <w:t>Évaluation des critères de performance</w:t>
      </w:r>
    </w:p>
    <w:p w14:paraId="6233D03A" w14:textId="77777777" w:rsidR="00D52685" w:rsidRPr="00EA4F84" w:rsidRDefault="00D52685" w:rsidP="00D52685">
      <w:pPr>
        <w:numPr>
          <w:ilvl w:val="0"/>
          <w:numId w:val="15"/>
        </w:numPr>
        <w:spacing w:after="200" w:line="276" w:lineRule="auto"/>
        <w:contextualSpacing/>
        <w:rPr>
          <w:rFonts w:eastAsia="Calibri" w:cs="Arial"/>
        </w:rPr>
      </w:pPr>
      <w:r w:rsidRPr="00EA4F84">
        <w:rPr>
          <w:rFonts w:eastAsia="Calibri" w:cs="Arial"/>
        </w:rPr>
        <w:t>Conclusion</w:t>
      </w:r>
    </w:p>
    <w:p w14:paraId="78C82A31" w14:textId="77777777" w:rsidR="00D52685" w:rsidRPr="00EA4F84" w:rsidRDefault="00D52685" w:rsidP="00D52685">
      <w:pPr>
        <w:rPr>
          <w:rFonts w:eastAsia="Calibri"/>
        </w:rPr>
      </w:pPr>
    </w:p>
    <w:p w14:paraId="320793EF" w14:textId="77777777" w:rsidR="00D52685" w:rsidRPr="00EA4F84" w:rsidRDefault="00D52685" w:rsidP="0077577B">
      <w:pPr>
        <w:pStyle w:val="Heading2Annex"/>
        <w:rPr>
          <w:lang w:val="fr-FR"/>
        </w:rPr>
      </w:pPr>
      <w:bookmarkStart w:id="116" w:name="_Toc210663421"/>
      <w:r w:rsidRPr="00EA4F84">
        <w:rPr>
          <w:lang w:val="fr-FR"/>
        </w:rPr>
        <w:t>Publicité</w:t>
      </w:r>
      <w:bookmarkEnd w:id="116"/>
    </w:p>
    <w:p w14:paraId="67C314A9" w14:textId="77777777" w:rsidR="00D52685" w:rsidRPr="00EA4F84" w:rsidRDefault="00D52685" w:rsidP="00D52685">
      <w:pPr>
        <w:keepNext/>
        <w:rPr>
          <w:rFonts w:eastAsia="Times New Roman"/>
          <w:lang w:eastAsia="fr-FR"/>
        </w:rPr>
      </w:pPr>
    </w:p>
    <w:p w14:paraId="41FC7342" w14:textId="505358E1" w:rsidR="00D52685" w:rsidRPr="00EA4F84" w:rsidRDefault="00DC4B65" w:rsidP="00D52685">
      <w:pPr>
        <w:rPr>
          <w:rFonts w:eastAsia="Times New Roman"/>
          <w:lang w:eastAsia="fr-FR"/>
        </w:rPr>
      </w:pPr>
      <w:r w:rsidRPr="00EA4F84">
        <w:rPr>
          <w:rFonts w:hint="eastAsia"/>
          <w:lang w:eastAsia="ja-JP"/>
        </w:rPr>
        <w:t>31.</w:t>
      </w:r>
      <w:r w:rsidR="00D52685" w:rsidRPr="00EA4F84">
        <w:rPr>
          <w:rFonts w:eastAsia="Times New Roman"/>
          <w:lang w:eastAsia="fr-FR"/>
        </w:rPr>
        <w:tab/>
        <w:t xml:space="preserve">Le rapport de validation doit être disponible sur demande. Dans le nouveau protocole, le processus de validation doit être mentionné avec le bureau d'examen de contact. Dans certains cas particuliers, </w:t>
      </w:r>
      <w:r w:rsidR="00D52685" w:rsidRPr="00EA4F84">
        <w:rPr>
          <w:rFonts w:eastAsia="Times New Roman"/>
          <w:i/>
          <w:lang w:eastAsia="fr-FR"/>
        </w:rPr>
        <w:t xml:space="preserve">par exemple </w:t>
      </w:r>
      <w:r w:rsidR="00D52685" w:rsidRPr="00EA4F84">
        <w:rPr>
          <w:rFonts w:eastAsia="Times New Roman"/>
          <w:lang w:eastAsia="fr-FR"/>
        </w:rPr>
        <w:t xml:space="preserve">un </w:t>
      </w:r>
      <w:r w:rsidR="00EA4F84">
        <w:rPr>
          <w:rFonts w:eastAsia="Times New Roman"/>
          <w:lang w:eastAsia="fr-FR"/>
        </w:rPr>
        <w:t>“ </w:t>
      </w:r>
      <w:r w:rsidR="00D52685" w:rsidRPr="00EA4F84">
        <w:rPr>
          <w:rFonts w:eastAsia="Times New Roman"/>
          <w:lang w:eastAsia="fr-FR"/>
        </w:rPr>
        <w:t>protocole de secret commercial</w:t>
      </w:r>
      <w:r w:rsidR="00EA4F84">
        <w:rPr>
          <w:rFonts w:eastAsia="Times New Roman"/>
          <w:lang w:eastAsia="fr-FR"/>
        </w:rPr>
        <w:t> »</w:t>
      </w:r>
      <w:r w:rsidR="00D52685" w:rsidRPr="00EA4F84">
        <w:rPr>
          <w:rFonts w:eastAsia="Times New Roman"/>
          <w:lang w:eastAsia="fr-FR"/>
        </w:rPr>
        <w:t xml:space="preserve"> (stérilité mâle cytoplasmique dans le chou), le protocole et le rapport de validation </w:t>
      </w:r>
      <w:r w:rsidR="00D52685" w:rsidRPr="00EA4F84">
        <w:rPr>
          <w:rFonts w:eastAsia="Times New Roman"/>
          <w:strike/>
          <w:highlight w:val="lightGray"/>
          <w:lang w:eastAsia="fr-FR"/>
        </w:rPr>
        <w:t>ne</w:t>
      </w:r>
      <w:r w:rsidR="00D52685" w:rsidRPr="00EA4F84">
        <w:rPr>
          <w:rFonts w:eastAsia="Times New Roman"/>
          <w:lang w:eastAsia="fr-FR"/>
        </w:rPr>
        <w:t xml:space="preserve"> peuvent être partagés </w:t>
      </w:r>
      <w:r w:rsidR="00E606D5">
        <w:rPr>
          <w:rFonts w:eastAsia="Times New Roman"/>
          <w:strike/>
          <w:highlight w:val="lightGray"/>
          <w:lang w:eastAsia="fr-FR"/>
        </w:rPr>
        <w:t xml:space="preserve">en dehors </w:t>
      </w:r>
      <w:proofErr w:type="gramStart"/>
      <w:r w:rsidR="00E606D5">
        <w:rPr>
          <w:rFonts w:eastAsia="Times New Roman"/>
          <w:strike/>
          <w:highlight w:val="lightGray"/>
          <w:lang w:eastAsia="fr-FR"/>
        </w:rPr>
        <w:t>d</w:t>
      </w:r>
      <w:r w:rsidR="00D52685" w:rsidRPr="00EA4F84">
        <w:rPr>
          <w:rFonts w:eastAsia="Times New Roman"/>
          <w:strike/>
          <w:highlight w:val="lightGray"/>
          <w:lang w:eastAsia="fr-FR"/>
        </w:rPr>
        <w:t>es</w:t>
      </w:r>
      <w:proofErr w:type="gramEnd"/>
      <w:r w:rsidR="00D52685" w:rsidRPr="00EA4F84">
        <w:rPr>
          <w:rFonts w:eastAsia="Times New Roman"/>
          <w:strike/>
          <w:highlight w:val="lightGray"/>
          <w:lang w:eastAsia="fr-FR"/>
        </w:rPr>
        <w:t xml:space="preserve"> </w:t>
      </w:r>
      <w:r w:rsidR="00E606D5" w:rsidRPr="00EA4F84">
        <w:rPr>
          <w:rFonts w:eastAsia="Times New Roman"/>
          <w:highlight w:val="lightGray"/>
          <w:u w:val="single"/>
          <w:lang w:eastAsia="fr-FR"/>
        </w:rPr>
        <w:t>qu'entre</w:t>
      </w:r>
      <w:r w:rsidR="00E606D5">
        <w:rPr>
          <w:rFonts w:eastAsia="Times New Roman"/>
          <w:highlight w:val="lightGray"/>
          <w:u w:val="single"/>
          <w:lang w:eastAsia="fr-FR"/>
        </w:rPr>
        <w:t xml:space="preserve"> les </w:t>
      </w:r>
      <w:r w:rsidR="00D52685" w:rsidRPr="00EA4F84">
        <w:rPr>
          <w:rFonts w:eastAsia="Times New Roman"/>
          <w:lang w:eastAsia="fr-FR"/>
        </w:rPr>
        <w:t>bureaux d'examen.</w:t>
      </w:r>
    </w:p>
    <w:p w14:paraId="0CDE78FB" w14:textId="77777777" w:rsidR="00D52685" w:rsidRPr="00EA4F84" w:rsidRDefault="00D52685" w:rsidP="00D52685">
      <w:pPr>
        <w:rPr>
          <w:rFonts w:eastAsia="Times New Roman"/>
          <w:lang w:eastAsia="fr-FR"/>
        </w:rPr>
      </w:pPr>
    </w:p>
    <w:p w14:paraId="71D76716" w14:textId="77777777" w:rsidR="0077577B" w:rsidRPr="00EA4F84" w:rsidRDefault="0077577B" w:rsidP="00D52685">
      <w:pPr>
        <w:rPr>
          <w:rFonts w:eastAsia="Times New Roman"/>
          <w:lang w:eastAsia="fr-FR"/>
        </w:rPr>
      </w:pPr>
    </w:p>
    <w:p w14:paraId="4DD3EC08" w14:textId="2208156A" w:rsidR="00D52685" w:rsidRPr="00EA4F84" w:rsidRDefault="00D52685" w:rsidP="0077577B">
      <w:pPr>
        <w:pStyle w:val="Heading1Annex"/>
        <w:rPr>
          <w:lang w:val="fr-FR"/>
        </w:rPr>
      </w:pPr>
      <w:bookmarkStart w:id="117" w:name="_Toc210663422"/>
      <w:bookmarkStart w:id="118" w:name="_Toc189576575"/>
      <w:r w:rsidRPr="00EA4F84">
        <w:rPr>
          <w:lang w:val="fr-FR"/>
        </w:rPr>
        <w:t>V.</w:t>
      </w:r>
      <w:r w:rsidRPr="00EA4F84">
        <w:rPr>
          <w:lang w:val="fr-FR"/>
        </w:rPr>
        <w:tab/>
        <w:t xml:space="preserve">Protocole standard pour </w:t>
      </w:r>
      <w:r w:rsidR="005E3AC7">
        <w:rPr>
          <w:lang w:val="fr-FR"/>
        </w:rPr>
        <w:t>les</w:t>
      </w:r>
      <w:r w:rsidRPr="00EA4F84">
        <w:rPr>
          <w:lang w:val="fr-FR"/>
        </w:rPr>
        <w:t xml:space="preserve"> marqueurs moléculaires spécifiques à un caractère</w:t>
      </w:r>
      <w:bookmarkEnd w:id="117"/>
      <w:r w:rsidRPr="00EA4F84">
        <w:rPr>
          <w:lang w:val="fr-FR"/>
        </w:rPr>
        <w:t xml:space="preserve"> </w:t>
      </w:r>
      <w:bookmarkEnd w:id="118"/>
    </w:p>
    <w:p w14:paraId="5612C73F" w14:textId="77777777" w:rsidR="00D52685" w:rsidRPr="00EA4F84" w:rsidRDefault="00D52685" w:rsidP="00D52685">
      <w:pPr>
        <w:rPr>
          <w:rFonts w:eastAsia="Times New Roman"/>
          <w:lang w:eastAsia="fr-FR"/>
        </w:rPr>
      </w:pPr>
    </w:p>
    <w:p w14:paraId="29729BA6" w14:textId="30B6DE7B" w:rsidR="00D52685" w:rsidRPr="00EA4F84" w:rsidRDefault="00DC4B65" w:rsidP="00D52685">
      <w:pPr>
        <w:rPr>
          <w:rFonts w:eastAsia="Times New Roman"/>
          <w:lang w:eastAsia="fr-FR"/>
        </w:rPr>
      </w:pPr>
      <w:r w:rsidRPr="00EA4F84">
        <w:rPr>
          <w:rFonts w:hint="eastAsia"/>
          <w:lang w:eastAsia="ja-JP"/>
        </w:rPr>
        <w:t>32.</w:t>
      </w:r>
      <w:r w:rsidR="00D52685" w:rsidRPr="00EA4F84">
        <w:rPr>
          <w:rFonts w:eastAsia="Times New Roman"/>
          <w:lang w:eastAsia="fr-FR"/>
        </w:rPr>
        <w:tab/>
        <w:t xml:space="preserve">Les éléments obligatoires sont indiqués dans la colonne </w:t>
      </w:r>
      <w:r w:rsidR="00EA4F84">
        <w:rPr>
          <w:rFonts w:eastAsia="Times New Roman"/>
          <w:lang w:eastAsia="fr-FR"/>
        </w:rPr>
        <w:t>“ </w:t>
      </w:r>
      <w:r w:rsidR="00D52685" w:rsidRPr="00EA4F84">
        <w:rPr>
          <w:rFonts w:eastAsia="Times New Roman"/>
          <w:lang w:eastAsia="fr-FR"/>
        </w:rPr>
        <w:t>informations essentielles</w:t>
      </w:r>
      <w:r w:rsidR="00EA4F84">
        <w:rPr>
          <w:rFonts w:eastAsia="Times New Roman"/>
          <w:lang w:eastAsia="fr-FR"/>
        </w:rPr>
        <w:t> »</w:t>
      </w:r>
      <w:r w:rsidR="00D52685" w:rsidRPr="00EA4F84">
        <w:rPr>
          <w:rFonts w:eastAsia="Times New Roman"/>
          <w:lang w:eastAsia="fr-FR"/>
        </w:rPr>
        <w:t>, les autres éléments peuvent être utilisés en fonction du protocole d'essai du caractère. Si un laboratoire souhaite adapter/modifier/changer un chapitre obligatoire ou un élément d'un chapitre obligatoire, il doit valider sa méthode par rapport à la méthode de référence (afin de démontrer qu'il obtient les mêmes résultats que la méthode publiée).</w:t>
      </w:r>
    </w:p>
    <w:p w14:paraId="2CC9E807" w14:textId="77777777" w:rsidR="00D52685" w:rsidRPr="00EA4F84" w:rsidRDefault="00D52685" w:rsidP="00D52685">
      <w:pPr>
        <w:rPr>
          <w:rFonts w:eastAsia="Times New Roman"/>
          <w:lang w:eastAsia="fr-FR"/>
        </w:rPr>
      </w:pPr>
    </w:p>
    <w:p w14:paraId="58D71B46" w14:textId="11F6DA40" w:rsidR="00D52685" w:rsidRPr="00EA4F84" w:rsidRDefault="00D52685" w:rsidP="00D52685">
      <w:pPr>
        <w:keepNext/>
        <w:jc w:val="center"/>
        <w:rPr>
          <w:rFonts w:eastAsia="Times New Roman"/>
          <w:lang w:eastAsia="fr-FR"/>
        </w:rPr>
      </w:pPr>
      <w:r w:rsidRPr="00EA4F84">
        <w:rPr>
          <w:rFonts w:eastAsia="Calibri" w:cs="Arial"/>
        </w:rPr>
        <w:t xml:space="preserve">Tableau 1 </w:t>
      </w:r>
      <w:r w:rsidRPr="00EA4F84">
        <w:rPr>
          <w:rFonts w:eastAsia="Times New Roman"/>
          <w:lang w:eastAsia="fr-FR"/>
        </w:rPr>
        <w:t>: Protocole standard pour les marqueurs moléculaires spécifiques à un caractère (les</w:t>
      </w:r>
      <w:r w:rsidR="00BC380B">
        <w:rPr>
          <w:rFonts w:eastAsia="Times New Roman"/>
          <w:lang w:eastAsia="fr-FR"/>
        </w:rPr>
        <w:t> </w:t>
      </w:r>
      <w:r w:rsidRPr="00EA4F84">
        <w:rPr>
          <w:rFonts w:eastAsia="Times New Roman"/>
          <w:lang w:eastAsia="fr-FR"/>
        </w:rPr>
        <w:t xml:space="preserve">modifications sont </w:t>
      </w:r>
      <w:r w:rsidRPr="00EA4F84">
        <w:rPr>
          <w:rFonts w:eastAsia="Times New Roman"/>
          <w:highlight w:val="lightGray"/>
          <w:lang w:eastAsia="fr-FR"/>
        </w:rPr>
        <w:t>surlignées en gris</w:t>
      </w:r>
      <w:r w:rsidRPr="00EA4F84">
        <w:rPr>
          <w:rFonts w:eastAsia="Times New Roman"/>
          <w:lang w:eastAsia="fr-FR"/>
        </w:rPr>
        <w:t>)</w:t>
      </w:r>
    </w:p>
    <w:p w14:paraId="4F3E3840" w14:textId="77777777" w:rsidR="00D52685" w:rsidRPr="00EA4F84" w:rsidRDefault="00D52685" w:rsidP="00D52685">
      <w:pPr>
        <w:keepNext/>
        <w:rPr>
          <w:rFonts w:eastAsia="Times New Roman"/>
          <w:lang w:eastAsia="fr-FR"/>
        </w:rPr>
      </w:pPr>
    </w:p>
    <w:tbl>
      <w:tblPr>
        <w:tblW w:w="529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28" w:type="dxa"/>
          <w:right w:w="28" w:type="dxa"/>
        </w:tblCellMar>
        <w:tblLook w:val="04A0" w:firstRow="1" w:lastRow="0" w:firstColumn="1" w:lastColumn="0" w:noHBand="0" w:noVBand="1"/>
      </w:tblPr>
      <w:tblGrid>
        <w:gridCol w:w="846"/>
        <w:gridCol w:w="1701"/>
        <w:gridCol w:w="2415"/>
        <w:gridCol w:w="1124"/>
        <w:gridCol w:w="3952"/>
        <w:gridCol w:w="159"/>
      </w:tblGrid>
      <w:tr w:rsidR="00D52685" w:rsidRPr="00EA4F84" w14:paraId="2949FA35" w14:textId="77777777" w:rsidTr="00BC380B">
        <w:trPr>
          <w:gridAfter w:val="1"/>
          <w:wAfter w:w="78" w:type="pct"/>
          <w:trHeight w:val="810"/>
          <w:tblHeader/>
        </w:trPr>
        <w:tc>
          <w:tcPr>
            <w:tcW w:w="415" w:type="pct"/>
            <w:shd w:val="clear" w:color="auto" w:fill="F2F2F2" w:themeFill="background1" w:themeFillShade="F2"/>
            <w:vAlign w:val="center"/>
            <w:hideMark/>
          </w:tcPr>
          <w:p w14:paraId="2100D7B4"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Chapitre</w:t>
            </w:r>
          </w:p>
        </w:tc>
        <w:tc>
          <w:tcPr>
            <w:tcW w:w="834" w:type="pct"/>
            <w:shd w:val="clear" w:color="auto" w:fill="F2F2F2" w:themeFill="background1" w:themeFillShade="F2"/>
            <w:vAlign w:val="center"/>
            <w:hideMark/>
          </w:tcPr>
          <w:p w14:paraId="385FCFCF" w14:textId="1C3DDE68"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 xml:space="preserve">Éléments d'un protocole standard </w:t>
            </w:r>
            <w:r w:rsidR="00BC380B">
              <w:rPr>
                <w:rFonts w:eastAsia="Times New Roman" w:cs="Arial"/>
                <w:color w:val="000000"/>
                <w:sz w:val="18"/>
                <w:szCs w:val="18"/>
                <w:lang w:eastAsia="nl-NL"/>
              </w:rPr>
              <w:t>pour les</w:t>
            </w:r>
            <w:r w:rsidRPr="00EA4F84">
              <w:rPr>
                <w:rFonts w:eastAsia="Times New Roman" w:cs="Arial"/>
                <w:color w:val="000000"/>
                <w:sz w:val="18"/>
                <w:szCs w:val="18"/>
                <w:lang w:eastAsia="nl-NL"/>
              </w:rPr>
              <w:t xml:space="preserve"> marqueurs moléculaires </w:t>
            </w:r>
            <w:r w:rsidR="00BC380B">
              <w:rPr>
                <w:rFonts w:eastAsia="Times New Roman" w:cs="Arial"/>
                <w:color w:val="000000"/>
                <w:sz w:val="18"/>
                <w:szCs w:val="18"/>
                <w:lang w:eastAsia="nl-NL"/>
              </w:rPr>
              <w:t>spécifiques à un caractère</w:t>
            </w:r>
          </w:p>
        </w:tc>
        <w:tc>
          <w:tcPr>
            <w:tcW w:w="1184" w:type="pct"/>
            <w:shd w:val="clear" w:color="auto" w:fill="F2F2F2" w:themeFill="background1" w:themeFillShade="F2"/>
            <w:vAlign w:val="center"/>
            <w:hideMark/>
          </w:tcPr>
          <w:p w14:paraId="4EB4139C"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Exemple</w:t>
            </w:r>
          </w:p>
        </w:tc>
        <w:tc>
          <w:tcPr>
            <w:tcW w:w="551" w:type="pct"/>
            <w:shd w:val="clear" w:color="auto" w:fill="F2F2F2" w:themeFill="background1" w:themeFillShade="F2"/>
            <w:vAlign w:val="center"/>
            <w:hideMark/>
          </w:tcPr>
          <w:p w14:paraId="6D613896" w14:textId="16E9A3CE"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Informations essentielles pour l'</w:t>
            </w:r>
            <w:proofErr w:type="spellStart"/>
            <w:r w:rsidRPr="00EA4F84">
              <w:rPr>
                <w:rFonts w:eastAsia="Times New Roman" w:cs="Arial"/>
                <w:color w:val="000000"/>
                <w:sz w:val="18"/>
                <w:szCs w:val="18"/>
                <w:lang w:eastAsia="nl-NL"/>
              </w:rPr>
              <w:t>harmoni</w:t>
            </w:r>
            <w:r w:rsidR="00BC380B">
              <w:rPr>
                <w:rFonts w:eastAsia="Times New Roman" w:cs="Arial"/>
                <w:color w:val="000000"/>
                <w:sz w:val="18"/>
                <w:szCs w:val="18"/>
                <w:lang w:eastAsia="nl-NL"/>
              </w:rPr>
              <w:t>-</w:t>
            </w:r>
            <w:r w:rsidRPr="00EA4F84">
              <w:rPr>
                <w:rFonts w:eastAsia="Times New Roman" w:cs="Arial"/>
                <w:color w:val="000000"/>
                <w:sz w:val="18"/>
                <w:szCs w:val="18"/>
                <w:lang w:eastAsia="nl-NL"/>
              </w:rPr>
              <w:t>sation</w:t>
            </w:r>
            <w:proofErr w:type="spellEnd"/>
          </w:p>
        </w:tc>
        <w:tc>
          <w:tcPr>
            <w:tcW w:w="1938" w:type="pct"/>
            <w:shd w:val="clear" w:color="auto" w:fill="F2F2F2" w:themeFill="background1" w:themeFillShade="F2"/>
            <w:vAlign w:val="center"/>
            <w:hideMark/>
          </w:tcPr>
          <w:p w14:paraId="45C4C86E"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Remarque</w:t>
            </w:r>
          </w:p>
        </w:tc>
      </w:tr>
      <w:tr w:rsidR="00D52685" w:rsidRPr="00EA4F84" w14:paraId="75E059D9" w14:textId="77777777" w:rsidTr="00BC380B">
        <w:trPr>
          <w:gridAfter w:val="1"/>
          <w:wAfter w:w="78" w:type="pct"/>
          <w:cantSplit/>
          <w:trHeight w:val="300"/>
        </w:trPr>
        <w:tc>
          <w:tcPr>
            <w:tcW w:w="415" w:type="pct"/>
            <w:vMerge w:val="restart"/>
            <w:vAlign w:val="center"/>
            <w:hideMark/>
          </w:tcPr>
          <w:p w14:paraId="1610795B"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1</w:t>
            </w:r>
          </w:p>
        </w:tc>
        <w:tc>
          <w:tcPr>
            <w:tcW w:w="834" w:type="pct"/>
            <w:vMerge w:val="restart"/>
            <w:vAlign w:val="center"/>
            <w:hideMark/>
          </w:tcPr>
          <w:p w14:paraId="110C5115" w14:textId="775D7819"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Caract</w:t>
            </w:r>
            <w:r w:rsidR="00BC380B">
              <w:rPr>
                <w:rFonts w:eastAsia="Times New Roman" w:cs="Arial"/>
                <w:color w:val="000000"/>
                <w:sz w:val="18"/>
                <w:szCs w:val="18"/>
                <w:lang w:eastAsia="nl-NL"/>
              </w:rPr>
              <w:t>ère</w:t>
            </w:r>
          </w:p>
        </w:tc>
        <w:tc>
          <w:tcPr>
            <w:tcW w:w="1184" w:type="pct"/>
            <w:vAlign w:val="center"/>
            <w:hideMark/>
          </w:tcPr>
          <w:p w14:paraId="208F4EE0"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Résistance au virus de la mosaïque de la tomate (</w:t>
            </w:r>
            <w:proofErr w:type="spellStart"/>
            <w:r w:rsidRPr="00EA4F84">
              <w:rPr>
                <w:rFonts w:eastAsia="Times New Roman" w:cs="Arial"/>
                <w:color w:val="000000"/>
                <w:sz w:val="18"/>
                <w:szCs w:val="18"/>
                <w:lang w:eastAsia="nl-NL"/>
              </w:rPr>
              <w:t>ToMV</w:t>
            </w:r>
            <w:proofErr w:type="spellEnd"/>
            <w:r w:rsidRPr="00EA4F84">
              <w:rPr>
                <w:rFonts w:eastAsia="Times New Roman" w:cs="Arial"/>
                <w:color w:val="000000"/>
                <w:sz w:val="18"/>
                <w:szCs w:val="18"/>
                <w:lang w:eastAsia="nl-NL"/>
              </w:rPr>
              <w:t>)</w:t>
            </w:r>
          </w:p>
        </w:tc>
        <w:tc>
          <w:tcPr>
            <w:tcW w:w="551" w:type="pct"/>
            <w:vMerge w:val="restart"/>
            <w:vAlign w:val="center"/>
            <w:hideMark/>
          </w:tcPr>
          <w:p w14:paraId="34D19C5A"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OUI</w:t>
            </w:r>
          </w:p>
        </w:tc>
        <w:tc>
          <w:tcPr>
            <w:tcW w:w="1938" w:type="pct"/>
            <w:vMerge w:val="restart"/>
            <w:vAlign w:val="center"/>
            <w:hideMark/>
          </w:tcPr>
          <w:p w14:paraId="6867EC47" w14:textId="77777777" w:rsidR="00D52685" w:rsidRPr="00EA4F84" w:rsidRDefault="00D52685" w:rsidP="00D52685">
            <w:pPr>
              <w:jc w:val="left"/>
              <w:rPr>
                <w:rFonts w:eastAsia="Times New Roman" w:cs="Arial"/>
                <w:color w:val="000000"/>
                <w:sz w:val="18"/>
                <w:szCs w:val="18"/>
                <w:lang w:eastAsia="fr-FR"/>
              </w:rPr>
            </w:pPr>
          </w:p>
        </w:tc>
      </w:tr>
      <w:tr w:rsidR="00D52685" w:rsidRPr="00EA4F84" w14:paraId="2393EB6E" w14:textId="77777777" w:rsidTr="00BC380B">
        <w:trPr>
          <w:gridAfter w:val="1"/>
          <w:wAfter w:w="78" w:type="pct"/>
          <w:cantSplit/>
          <w:trHeight w:val="315"/>
        </w:trPr>
        <w:tc>
          <w:tcPr>
            <w:tcW w:w="415" w:type="pct"/>
            <w:vMerge/>
            <w:vAlign w:val="center"/>
            <w:hideMark/>
          </w:tcPr>
          <w:p w14:paraId="3AE3D5EA" w14:textId="77777777" w:rsidR="00D52685" w:rsidRPr="00EA4F84" w:rsidRDefault="00D52685" w:rsidP="00D52685">
            <w:pPr>
              <w:jc w:val="left"/>
              <w:rPr>
                <w:rFonts w:eastAsia="Times New Roman" w:cs="Arial"/>
                <w:color w:val="000000"/>
                <w:sz w:val="18"/>
                <w:szCs w:val="18"/>
                <w:lang w:eastAsia="fr-FR"/>
              </w:rPr>
            </w:pPr>
          </w:p>
        </w:tc>
        <w:tc>
          <w:tcPr>
            <w:tcW w:w="834" w:type="pct"/>
            <w:vMerge/>
            <w:vAlign w:val="center"/>
            <w:hideMark/>
          </w:tcPr>
          <w:p w14:paraId="5192440E" w14:textId="77777777" w:rsidR="00D52685" w:rsidRPr="00EA4F84" w:rsidRDefault="00D52685" w:rsidP="00D52685">
            <w:pPr>
              <w:jc w:val="left"/>
              <w:rPr>
                <w:rFonts w:eastAsia="Times New Roman" w:cs="Arial"/>
                <w:color w:val="000000"/>
                <w:sz w:val="18"/>
                <w:szCs w:val="18"/>
                <w:lang w:eastAsia="fr-FR"/>
              </w:rPr>
            </w:pPr>
          </w:p>
        </w:tc>
        <w:tc>
          <w:tcPr>
            <w:tcW w:w="1184" w:type="pct"/>
            <w:vAlign w:val="center"/>
            <w:hideMark/>
          </w:tcPr>
          <w:p w14:paraId="7349A2F3" w14:textId="4CBBCDEC" w:rsidR="00D52685" w:rsidRPr="00EA4F84" w:rsidRDefault="00D52685" w:rsidP="00D52685">
            <w:pPr>
              <w:jc w:val="left"/>
              <w:rPr>
                <w:rFonts w:eastAsia="Times New Roman" w:cs="Arial"/>
                <w:i/>
                <w:iCs/>
                <w:color w:val="000000"/>
                <w:sz w:val="18"/>
                <w:szCs w:val="18"/>
                <w:lang w:eastAsia="fr-FR"/>
              </w:rPr>
            </w:pPr>
            <w:r w:rsidRPr="00EA4F84">
              <w:rPr>
                <w:rFonts w:eastAsia="Times New Roman" w:cs="Arial"/>
                <w:i/>
                <w:iCs/>
                <w:color w:val="000000"/>
                <w:sz w:val="18"/>
                <w:szCs w:val="18"/>
                <w:lang w:eastAsia="fr-FR"/>
              </w:rPr>
              <w:t xml:space="preserve">Voir </w:t>
            </w:r>
            <w:r w:rsidRPr="00EA4F84">
              <w:rPr>
                <w:rFonts w:eastAsia="Times New Roman" w:cs="Arial"/>
                <w:i/>
                <w:iCs/>
                <w:strike/>
                <w:color w:val="000000"/>
                <w:sz w:val="18"/>
                <w:szCs w:val="18"/>
                <w:highlight w:val="lightGray"/>
                <w:lang w:eastAsia="fr-FR"/>
              </w:rPr>
              <w:t xml:space="preserve">TG/44/1211/rev3 </w:t>
            </w:r>
            <w:r w:rsidRPr="00EA4F84">
              <w:rPr>
                <w:rFonts w:eastAsia="Times New Roman" w:cs="Arial"/>
                <w:i/>
                <w:iCs/>
                <w:color w:val="000000"/>
                <w:sz w:val="18"/>
                <w:szCs w:val="18"/>
                <w:lang w:eastAsia="fr-FR"/>
              </w:rPr>
              <w:t xml:space="preserve">– Ad 51 : ii Test de marqueur ADN </w:t>
            </w:r>
          </w:p>
        </w:tc>
        <w:tc>
          <w:tcPr>
            <w:tcW w:w="551" w:type="pct"/>
            <w:vMerge/>
            <w:vAlign w:val="center"/>
            <w:hideMark/>
          </w:tcPr>
          <w:p w14:paraId="6AFD4A9F" w14:textId="77777777" w:rsidR="00D52685" w:rsidRPr="00EA4F84" w:rsidRDefault="00D52685" w:rsidP="00D52685">
            <w:pPr>
              <w:jc w:val="left"/>
              <w:rPr>
                <w:rFonts w:eastAsia="Times New Roman" w:cs="Arial"/>
                <w:color w:val="000000"/>
                <w:sz w:val="18"/>
                <w:szCs w:val="18"/>
                <w:lang w:eastAsia="fr-FR"/>
              </w:rPr>
            </w:pPr>
          </w:p>
        </w:tc>
        <w:tc>
          <w:tcPr>
            <w:tcW w:w="1938" w:type="pct"/>
            <w:vMerge/>
            <w:vAlign w:val="center"/>
            <w:hideMark/>
          </w:tcPr>
          <w:p w14:paraId="1224A9D4" w14:textId="77777777" w:rsidR="00D52685" w:rsidRPr="00EA4F84" w:rsidRDefault="00D52685" w:rsidP="00D52685">
            <w:pPr>
              <w:jc w:val="left"/>
              <w:rPr>
                <w:rFonts w:eastAsia="Times New Roman" w:cs="Arial"/>
                <w:color w:val="000000"/>
                <w:sz w:val="18"/>
                <w:szCs w:val="18"/>
                <w:lang w:eastAsia="fr-FR"/>
              </w:rPr>
            </w:pPr>
          </w:p>
        </w:tc>
      </w:tr>
      <w:tr w:rsidR="00D52685" w:rsidRPr="00EA4F84" w14:paraId="340FF67C" w14:textId="77777777" w:rsidTr="00BC380B">
        <w:trPr>
          <w:gridAfter w:val="1"/>
          <w:wAfter w:w="78" w:type="pct"/>
          <w:cantSplit/>
          <w:trHeight w:val="525"/>
        </w:trPr>
        <w:tc>
          <w:tcPr>
            <w:tcW w:w="415" w:type="pct"/>
            <w:vAlign w:val="center"/>
            <w:hideMark/>
          </w:tcPr>
          <w:p w14:paraId="7CBBA463"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2</w:t>
            </w:r>
          </w:p>
        </w:tc>
        <w:tc>
          <w:tcPr>
            <w:tcW w:w="834" w:type="pct"/>
            <w:vAlign w:val="center"/>
            <w:hideMark/>
          </w:tcPr>
          <w:p w14:paraId="459E6A78"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Gènes et allèles</w:t>
            </w:r>
          </w:p>
        </w:tc>
        <w:tc>
          <w:tcPr>
            <w:tcW w:w="1184" w:type="pct"/>
            <w:vAlign w:val="center"/>
            <w:hideMark/>
          </w:tcPr>
          <w:p w14:paraId="696744D9" w14:textId="1B16F74F" w:rsidR="00D52685" w:rsidRPr="00EA4F84" w:rsidRDefault="00D52685" w:rsidP="00D52685">
            <w:pPr>
              <w:jc w:val="left"/>
              <w:rPr>
                <w:rFonts w:eastAsia="Times New Roman" w:cs="Arial"/>
                <w:i/>
                <w:iCs/>
                <w:color w:val="000000"/>
                <w:sz w:val="18"/>
                <w:szCs w:val="18"/>
                <w:lang w:eastAsia="fr-FR"/>
              </w:rPr>
            </w:pPr>
            <w:r w:rsidRPr="00EA4F84">
              <w:rPr>
                <w:rFonts w:eastAsia="Times New Roman" w:cs="Arial"/>
                <w:i/>
                <w:iCs/>
                <w:color w:val="000000"/>
                <w:sz w:val="18"/>
                <w:szCs w:val="18"/>
                <w:lang w:eastAsia="fr-FR"/>
              </w:rPr>
              <w:t xml:space="preserve">Voir </w:t>
            </w:r>
            <w:r w:rsidR="00D21487" w:rsidRPr="00EA4F84">
              <w:rPr>
                <w:rFonts w:eastAsia="Times New Roman" w:cs="Arial"/>
                <w:i/>
                <w:iCs/>
                <w:strike/>
                <w:color w:val="000000"/>
                <w:sz w:val="18"/>
                <w:szCs w:val="18"/>
                <w:highlight w:val="lightGray"/>
                <w:lang w:eastAsia="fr-FR"/>
              </w:rPr>
              <w:t xml:space="preserve">TG/44/1211/rev3 </w:t>
            </w:r>
            <w:r w:rsidRPr="00EA4F84">
              <w:rPr>
                <w:rFonts w:eastAsia="Times New Roman" w:cs="Arial"/>
                <w:i/>
                <w:iCs/>
                <w:color w:val="000000"/>
                <w:sz w:val="18"/>
                <w:szCs w:val="18"/>
                <w:lang w:eastAsia="fr-FR"/>
              </w:rPr>
              <w:t>– Ad 51 : ii Test de marqueurs ADN ajouter 2</w:t>
            </w:r>
          </w:p>
        </w:tc>
        <w:tc>
          <w:tcPr>
            <w:tcW w:w="551" w:type="pct"/>
            <w:vAlign w:val="center"/>
            <w:hideMark/>
          </w:tcPr>
          <w:p w14:paraId="39C92F12"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OUI</w:t>
            </w:r>
          </w:p>
        </w:tc>
        <w:tc>
          <w:tcPr>
            <w:tcW w:w="1938" w:type="pct"/>
            <w:vAlign w:val="center"/>
            <w:hideMark/>
          </w:tcPr>
          <w:p w14:paraId="761F9124"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Il faut éviter les marqueurs dominants ou les marqueurs de présence/absence, sinon la robustesse doit être évaluée</w:t>
            </w:r>
          </w:p>
        </w:tc>
      </w:tr>
      <w:tr w:rsidR="00D52685" w:rsidRPr="00EA4F84" w14:paraId="5094D7F9" w14:textId="77777777" w:rsidTr="00BC380B">
        <w:trPr>
          <w:gridAfter w:val="1"/>
          <w:wAfter w:w="78" w:type="pct"/>
          <w:cantSplit/>
          <w:trHeight w:val="510"/>
        </w:trPr>
        <w:tc>
          <w:tcPr>
            <w:tcW w:w="415" w:type="pct"/>
            <w:vMerge w:val="restart"/>
            <w:vAlign w:val="center"/>
            <w:hideMark/>
          </w:tcPr>
          <w:p w14:paraId="636FB5CE"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2.1</w:t>
            </w:r>
          </w:p>
        </w:tc>
        <w:tc>
          <w:tcPr>
            <w:tcW w:w="834" w:type="pct"/>
            <w:vMerge w:val="restart"/>
            <w:vAlign w:val="center"/>
            <w:hideMark/>
          </w:tcPr>
          <w:p w14:paraId="4F9E99F8"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Gène(s) ciblé(s)</w:t>
            </w:r>
          </w:p>
        </w:tc>
        <w:tc>
          <w:tcPr>
            <w:tcW w:w="1184" w:type="pct"/>
            <w:vAlign w:val="center"/>
            <w:hideMark/>
          </w:tcPr>
          <w:p w14:paraId="12859BC8"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 xml:space="preserve">Gène de résistance </w:t>
            </w:r>
            <w:r w:rsidRPr="00EA4F84">
              <w:rPr>
                <w:rFonts w:eastAsia="Times New Roman" w:cs="Arial"/>
                <w:i/>
                <w:color w:val="000000"/>
                <w:sz w:val="18"/>
                <w:szCs w:val="18"/>
                <w:lang w:eastAsia="nl-NL"/>
              </w:rPr>
              <w:t>Tm2</w:t>
            </w:r>
          </w:p>
        </w:tc>
        <w:tc>
          <w:tcPr>
            <w:tcW w:w="551" w:type="pct"/>
            <w:vMerge w:val="restart"/>
            <w:vAlign w:val="center"/>
            <w:hideMark/>
          </w:tcPr>
          <w:p w14:paraId="2AB61595"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OUI</w:t>
            </w:r>
          </w:p>
        </w:tc>
        <w:tc>
          <w:tcPr>
            <w:tcW w:w="1938" w:type="pct"/>
            <w:vAlign w:val="center"/>
            <w:hideMark/>
          </w:tcPr>
          <w:p w14:paraId="2666CB60"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 xml:space="preserve">a) Fichier(s) contenant les informations sur la séquence d'ADN (ordre des nucléotides) </w:t>
            </w:r>
          </w:p>
        </w:tc>
      </w:tr>
      <w:tr w:rsidR="00D52685" w:rsidRPr="00EA4F84" w14:paraId="4993AD7B" w14:textId="77777777" w:rsidTr="00BC380B">
        <w:trPr>
          <w:gridAfter w:val="1"/>
          <w:wAfter w:w="78" w:type="pct"/>
          <w:cantSplit/>
          <w:trHeight w:val="510"/>
        </w:trPr>
        <w:tc>
          <w:tcPr>
            <w:tcW w:w="415" w:type="pct"/>
            <w:vMerge/>
            <w:vAlign w:val="center"/>
            <w:hideMark/>
          </w:tcPr>
          <w:p w14:paraId="792E4AD6" w14:textId="77777777" w:rsidR="00D52685" w:rsidRPr="00EA4F84" w:rsidRDefault="00D52685" w:rsidP="00D52685">
            <w:pPr>
              <w:jc w:val="left"/>
              <w:rPr>
                <w:rFonts w:eastAsia="Times New Roman" w:cs="Arial"/>
                <w:color w:val="000000"/>
                <w:sz w:val="18"/>
                <w:szCs w:val="18"/>
                <w:lang w:eastAsia="fr-FR"/>
              </w:rPr>
            </w:pPr>
          </w:p>
        </w:tc>
        <w:tc>
          <w:tcPr>
            <w:tcW w:w="834" w:type="pct"/>
            <w:vMerge/>
            <w:vAlign w:val="center"/>
            <w:hideMark/>
          </w:tcPr>
          <w:p w14:paraId="7FF9FCB5" w14:textId="77777777" w:rsidR="00D52685" w:rsidRPr="00EA4F84" w:rsidRDefault="00D52685" w:rsidP="00D52685">
            <w:pPr>
              <w:jc w:val="left"/>
              <w:rPr>
                <w:rFonts w:eastAsia="Times New Roman" w:cs="Arial"/>
                <w:color w:val="000000"/>
                <w:sz w:val="18"/>
                <w:szCs w:val="18"/>
                <w:lang w:eastAsia="fr-FR"/>
              </w:rPr>
            </w:pPr>
          </w:p>
        </w:tc>
        <w:tc>
          <w:tcPr>
            <w:tcW w:w="1184" w:type="pct"/>
            <w:vAlign w:val="center"/>
            <w:hideMark/>
          </w:tcPr>
          <w:p w14:paraId="3460AD75" w14:textId="77777777" w:rsidR="00D52685" w:rsidRPr="00EA4F84" w:rsidRDefault="00D52685" w:rsidP="00D52685">
            <w:pPr>
              <w:jc w:val="left"/>
              <w:rPr>
                <w:rFonts w:eastAsia="Times New Roman" w:cs="Arial"/>
                <w:color w:val="000000"/>
                <w:sz w:val="18"/>
                <w:szCs w:val="18"/>
                <w:lang w:eastAsia="fr-FR"/>
              </w:rPr>
            </w:pPr>
            <w:proofErr w:type="spellStart"/>
            <w:r w:rsidRPr="00EA4F84">
              <w:rPr>
                <w:rFonts w:eastAsia="Times New Roman" w:cs="Arial"/>
                <w:color w:val="000000"/>
                <w:sz w:val="18"/>
                <w:szCs w:val="18"/>
                <w:lang w:eastAsia="fr-FR"/>
              </w:rPr>
              <w:t>Arens</w:t>
            </w:r>
            <w:proofErr w:type="spellEnd"/>
            <w:r w:rsidRPr="00EA4F84">
              <w:rPr>
                <w:rFonts w:eastAsia="Times New Roman" w:cs="Arial"/>
                <w:color w:val="000000"/>
                <w:sz w:val="18"/>
                <w:szCs w:val="18"/>
                <w:lang w:eastAsia="fr-FR"/>
              </w:rPr>
              <w:t>, P. et al (2010)</w:t>
            </w:r>
          </w:p>
        </w:tc>
        <w:tc>
          <w:tcPr>
            <w:tcW w:w="551" w:type="pct"/>
            <w:vMerge/>
            <w:vAlign w:val="center"/>
            <w:hideMark/>
          </w:tcPr>
          <w:p w14:paraId="7BEB2529" w14:textId="77777777" w:rsidR="00D52685" w:rsidRPr="00EA4F84" w:rsidRDefault="00D52685" w:rsidP="00D52685">
            <w:pPr>
              <w:jc w:val="left"/>
              <w:rPr>
                <w:rFonts w:eastAsia="Times New Roman" w:cs="Arial"/>
                <w:color w:val="000000"/>
                <w:sz w:val="18"/>
                <w:szCs w:val="18"/>
                <w:lang w:eastAsia="fr-FR"/>
              </w:rPr>
            </w:pPr>
          </w:p>
        </w:tc>
        <w:tc>
          <w:tcPr>
            <w:tcW w:w="1938" w:type="pct"/>
            <w:vAlign w:val="center"/>
            <w:hideMark/>
          </w:tcPr>
          <w:p w14:paraId="06FD96ED"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 xml:space="preserve">b) référence aux informations sur l'ADN dans les bases de données publiques (comme </w:t>
            </w:r>
            <w:proofErr w:type="spellStart"/>
            <w:r w:rsidRPr="00EA4F84">
              <w:rPr>
                <w:rFonts w:eastAsia="Times New Roman" w:cs="Arial"/>
                <w:color w:val="000000"/>
                <w:sz w:val="18"/>
                <w:szCs w:val="18"/>
                <w:lang w:eastAsia="nl-NL"/>
              </w:rPr>
              <w:t>GeneBank</w:t>
            </w:r>
            <w:proofErr w:type="spellEnd"/>
            <w:r w:rsidRPr="00EA4F84">
              <w:rPr>
                <w:rFonts w:eastAsia="Times New Roman" w:cs="Arial"/>
                <w:color w:val="000000"/>
                <w:sz w:val="18"/>
                <w:szCs w:val="18"/>
                <w:lang w:eastAsia="nl-NL"/>
              </w:rPr>
              <w:t>)</w:t>
            </w:r>
          </w:p>
        </w:tc>
      </w:tr>
      <w:tr w:rsidR="00D52685" w:rsidRPr="00EA4F84" w14:paraId="6B6522EB" w14:textId="77777777" w:rsidTr="00BC380B">
        <w:trPr>
          <w:gridAfter w:val="1"/>
          <w:wAfter w:w="78" w:type="pct"/>
          <w:cantSplit/>
          <w:trHeight w:val="765"/>
        </w:trPr>
        <w:tc>
          <w:tcPr>
            <w:tcW w:w="415" w:type="pct"/>
            <w:vMerge/>
            <w:vAlign w:val="center"/>
            <w:hideMark/>
          </w:tcPr>
          <w:p w14:paraId="4173280B" w14:textId="77777777" w:rsidR="00D52685" w:rsidRPr="00EA4F84" w:rsidRDefault="00D52685" w:rsidP="00D52685">
            <w:pPr>
              <w:jc w:val="left"/>
              <w:rPr>
                <w:rFonts w:eastAsia="Times New Roman" w:cs="Arial"/>
                <w:color w:val="000000"/>
                <w:sz w:val="18"/>
                <w:szCs w:val="18"/>
                <w:lang w:eastAsia="fr-FR"/>
              </w:rPr>
            </w:pPr>
          </w:p>
        </w:tc>
        <w:tc>
          <w:tcPr>
            <w:tcW w:w="834" w:type="pct"/>
            <w:vMerge/>
            <w:vAlign w:val="center"/>
            <w:hideMark/>
          </w:tcPr>
          <w:p w14:paraId="79D3F819" w14:textId="77777777" w:rsidR="00D52685" w:rsidRPr="00EA4F84" w:rsidRDefault="00D52685" w:rsidP="00D52685">
            <w:pPr>
              <w:jc w:val="left"/>
              <w:rPr>
                <w:rFonts w:eastAsia="Times New Roman" w:cs="Arial"/>
                <w:color w:val="000000"/>
                <w:sz w:val="18"/>
                <w:szCs w:val="18"/>
                <w:lang w:eastAsia="fr-FR"/>
              </w:rPr>
            </w:pPr>
          </w:p>
        </w:tc>
        <w:tc>
          <w:tcPr>
            <w:tcW w:w="1184" w:type="pct"/>
            <w:vAlign w:val="center"/>
            <w:hideMark/>
          </w:tcPr>
          <w:p w14:paraId="53E1C992" w14:textId="77777777" w:rsidR="00D52685" w:rsidRPr="00EA4F84" w:rsidRDefault="00D52685" w:rsidP="00D52685">
            <w:pPr>
              <w:jc w:val="left"/>
              <w:rPr>
                <w:rFonts w:eastAsia="Times New Roman" w:cs="Arial"/>
                <w:i/>
                <w:iCs/>
                <w:color w:val="000000"/>
                <w:sz w:val="18"/>
                <w:szCs w:val="18"/>
                <w:lang w:eastAsia="fr-FR"/>
              </w:rPr>
            </w:pPr>
          </w:p>
        </w:tc>
        <w:tc>
          <w:tcPr>
            <w:tcW w:w="551" w:type="pct"/>
            <w:vMerge/>
            <w:vAlign w:val="center"/>
            <w:hideMark/>
          </w:tcPr>
          <w:p w14:paraId="17FED4DC" w14:textId="77777777" w:rsidR="00D52685" w:rsidRPr="00EA4F84" w:rsidRDefault="00D52685" w:rsidP="00D52685">
            <w:pPr>
              <w:jc w:val="left"/>
              <w:rPr>
                <w:rFonts w:eastAsia="Times New Roman" w:cs="Arial"/>
                <w:color w:val="000000"/>
                <w:sz w:val="18"/>
                <w:szCs w:val="18"/>
                <w:lang w:eastAsia="fr-FR"/>
              </w:rPr>
            </w:pPr>
          </w:p>
        </w:tc>
        <w:tc>
          <w:tcPr>
            <w:tcW w:w="1938" w:type="pct"/>
            <w:vAlign w:val="center"/>
            <w:hideMark/>
          </w:tcPr>
          <w:p w14:paraId="2638C833"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c) référence à des publications (scientifiques) dans lesquelles les informations sur la séquence d'ADN des états d'expression du caractère sont révélées.</w:t>
            </w:r>
          </w:p>
        </w:tc>
      </w:tr>
      <w:tr w:rsidR="00D52685" w:rsidRPr="00EA4F84" w14:paraId="6D887419" w14:textId="77777777" w:rsidTr="00BC380B">
        <w:trPr>
          <w:gridAfter w:val="1"/>
          <w:wAfter w:w="78" w:type="pct"/>
          <w:cantSplit/>
          <w:trHeight w:val="525"/>
        </w:trPr>
        <w:tc>
          <w:tcPr>
            <w:tcW w:w="415" w:type="pct"/>
            <w:vMerge/>
            <w:vAlign w:val="center"/>
            <w:hideMark/>
          </w:tcPr>
          <w:p w14:paraId="21F97BC5" w14:textId="77777777" w:rsidR="00D52685" w:rsidRPr="00EA4F84" w:rsidRDefault="00D52685" w:rsidP="00D52685">
            <w:pPr>
              <w:jc w:val="left"/>
              <w:rPr>
                <w:rFonts w:eastAsia="Times New Roman" w:cs="Arial"/>
                <w:color w:val="000000"/>
                <w:sz w:val="18"/>
                <w:szCs w:val="18"/>
                <w:lang w:eastAsia="fr-FR"/>
              </w:rPr>
            </w:pPr>
          </w:p>
        </w:tc>
        <w:tc>
          <w:tcPr>
            <w:tcW w:w="834" w:type="pct"/>
            <w:vMerge/>
            <w:vAlign w:val="center"/>
            <w:hideMark/>
          </w:tcPr>
          <w:p w14:paraId="7B0E0BB4" w14:textId="77777777" w:rsidR="00D52685" w:rsidRPr="00EA4F84" w:rsidRDefault="00D52685" w:rsidP="00D52685">
            <w:pPr>
              <w:jc w:val="left"/>
              <w:rPr>
                <w:rFonts w:eastAsia="Times New Roman" w:cs="Arial"/>
                <w:color w:val="000000"/>
                <w:sz w:val="18"/>
                <w:szCs w:val="18"/>
                <w:lang w:eastAsia="fr-FR"/>
              </w:rPr>
            </w:pPr>
          </w:p>
        </w:tc>
        <w:tc>
          <w:tcPr>
            <w:tcW w:w="1184" w:type="pct"/>
            <w:hideMark/>
          </w:tcPr>
          <w:p w14:paraId="64E4021B" w14:textId="77777777" w:rsidR="00D52685" w:rsidRPr="00EA4F84" w:rsidRDefault="00D52685" w:rsidP="00D52685">
            <w:pPr>
              <w:jc w:val="left"/>
              <w:rPr>
                <w:rFonts w:eastAsia="Times New Roman" w:cs="Arial"/>
                <w:color w:val="000000"/>
                <w:sz w:val="18"/>
                <w:szCs w:val="18"/>
                <w:lang w:eastAsia="fr-FR"/>
              </w:rPr>
            </w:pPr>
          </w:p>
        </w:tc>
        <w:tc>
          <w:tcPr>
            <w:tcW w:w="551" w:type="pct"/>
            <w:vMerge/>
            <w:vAlign w:val="center"/>
            <w:hideMark/>
          </w:tcPr>
          <w:p w14:paraId="1A31C09E" w14:textId="77777777" w:rsidR="00D52685" w:rsidRPr="00EA4F84" w:rsidRDefault="00D52685" w:rsidP="00D52685">
            <w:pPr>
              <w:jc w:val="left"/>
              <w:rPr>
                <w:rFonts w:eastAsia="Times New Roman" w:cs="Arial"/>
                <w:color w:val="000000"/>
                <w:sz w:val="18"/>
                <w:szCs w:val="18"/>
                <w:lang w:eastAsia="fr-FR"/>
              </w:rPr>
            </w:pPr>
          </w:p>
        </w:tc>
        <w:tc>
          <w:tcPr>
            <w:tcW w:w="1938" w:type="pct"/>
            <w:vAlign w:val="center"/>
            <w:hideMark/>
          </w:tcPr>
          <w:p w14:paraId="01B73C14"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d) référence à une position particulière sur la version publiée du génome de référence.</w:t>
            </w:r>
          </w:p>
        </w:tc>
      </w:tr>
      <w:tr w:rsidR="00D52685" w:rsidRPr="00EA4F84" w14:paraId="39D85085" w14:textId="77777777" w:rsidTr="00BC380B">
        <w:trPr>
          <w:gridAfter w:val="1"/>
          <w:wAfter w:w="78" w:type="pct"/>
          <w:cantSplit/>
          <w:trHeight w:val="510"/>
        </w:trPr>
        <w:tc>
          <w:tcPr>
            <w:tcW w:w="415" w:type="pct"/>
            <w:vMerge w:val="restart"/>
            <w:vAlign w:val="center"/>
            <w:hideMark/>
          </w:tcPr>
          <w:p w14:paraId="26DAE310"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2.2</w:t>
            </w:r>
          </w:p>
        </w:tc>
        <w:tc>
          <w:tcPr>
            <w:tcW w:w="834" w:type="pct"/>
            <w:vMerge w:val="restart"/>
            <w:vAlign w:val="center"/>
            <w:hideMark/>
          </w:tcPr>
          <w:p w14:paraId="3645B0A8"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 xml:space="preserve">Allèle correspondant à l'état d'expression 1 </w:t>
            </w:r>
          </w:p>
        </w:tc>
        <w:tc>
          <w:tcPr>
            <w:tcW w:w="1184" w:type="pct"/>
            <w:vAlign w:val="center"/>
            <w:hideMark/>
          </w:tcPr>
          <w:p w14:paraId="2A9700B0" w14:textId="77777777" w:rsidR="00D52685" w:rsidRPr="00EA4F84" w:rsidRDefault="00D52685" w:rsidP="00D52685">
            <w:pPr>
              <w:jc w:val="left"/>
              <w:rPr>
                <w:rFonts w:eastAsia="Times New Roman" w:cs="Arial"/>
                <w:i/>
                <w:color w:val="000000"/>
                <w:sz w:val="18"/>
                <w:szCs w:val="18"/>
                <w:lang w:eastAsia="fr-FR"/>
              </w:rPr>
            </w:pPr>
            <w:r w:rsidRPr="00EA4F84">
              <w:rPr>
                <w:rFonts w:eastAsia="Times New Roman" w:cs="Arial"/>
                <w:i/>
                <w:color w:val="000000"/>
                <w:sz w:val="18"/>
                <w:szCs w:val="18"/>
                <w:lang w:eastAsia="nl-NL"/>
              </w:rPr>
              <w:t>tm2</w:t>
            </w:r>
          </w:p>
        </w:tc>
        <w:tc>
          <w:tcPr>
            <w:tcW w:w="551" w:type="pct"/>
            <w:vMerge w:val="restart"/>
            <w:vAlign w:val="center"/>
            <w:hideMark/>
          </w:tcPr>
          <w:p w14:paraId="7E0229BD"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OUI</w:t>
            </w:r>
          </w:p>
        </w:tc>
        <w:tc>
          <w:tcPr>
            <w:tcW w:w="1938" w:type="pct"/>
            <w:vAlign w:val="center"/>
            <w:hideMark/>
          </w:tcPr>
          <w:p w14:paraId="340834A4"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 xml:space="preserve">a) fichier(s) contenant les informations sur la séquence d'ADN (ordre des nucléotides) </w:t>
            </w:r>
          </w:p>
        </w:tc>
      </w:tr>
      <w:tr w:rsidR="00D52685" w:rsidRPr="00EA4F84" w14:paraId="5FBAC9C9" w14:textId="77777777" w:rsidTr="00BC380B">
        <w:trPr>
          <w:gridAfter w:val="1"/>
          <w:wAfter w:w="78" w:type="pct"/>
          <w:cantSplit/>
          <w:trHeight w:val="510"/>
        </w:trPr>
        <w:tc>
          <w:tcPr>
            <w:tcW w:w="415" w:type="pct"/>
            <w:vMerge/>
            <w:vAlign w:val="center"/>
            <w:hideMark/>
          </w:tcPr>
          <w:p w14:paraId="3A95C918" w14:textId="77777777" w:rsidR="00D52685" w:rsidRPr="00EA4F84" w:rsidRDefault="00D52685" w:rsidP="00D52685">
            <w:pPr>
              <w:jc w:val="left"/>
              <w:rPr>
                <w:rFonts w:eastAsia="Times New Roman" w:cs="Arial"/>
                <w:color w:val="000000"/>
                <w:sz w:val="18"/>
                <w:szCs w:val="18"/>
                <w:lang w:eastAsia="fr-FR"/>
              </w:rPr>
            </w:pPr>
          </w:p>
        </w:tc>
        <w:tc>
          <w:tcPr>
            <w:tcW w:w="834" w:type="pct"/>
            <w:vMerge/>
            <w:vAlign w:val="center"/>
            <w:hideMark/>
          </w:tcPr>
          <w:p w14:paraId="1F508233" w14:textId="77777777" w:rsidR="00D52685" w:rsidRPr="00EA4F84" w:rsidRDefault="00D52685" w:rsidP="00D52685">
            <w:pPr>
              <w:jc w:val="left"/>
              <w:rPr>
                <w:rFonts w:eastAsia="Times New Roman" w:cs="Arial"/>
                <w:color w:val="000000"/>
                <w:sz w:val="18"/>
                <w:szCs w:val="18"/>
                <w:lang w:eastAsia="fr-FR"/>
              </w:rPr>
            </w:pPr>
          </w:p>
        </w:tc>
        <w:tc>
          <w:tcPr>
            <w:tcW w:w="1184" w:type="pct"/>
            <w:vAlign w:val="center"/>
            <w:hideMark/>
          </w:tcPr>
          <w:p w14:paraId="6E9FA841" w14:textId="77777777" w:rsidR="00D52685" w:rsidRPr="00EA4F84" w:rsidRDefault="00D52685" w:rsidP="00D52685">
            <w:pPr>
              <w:jc w:val="left"/>
              <w:rPr>
                <w:rFonts w:eastAsia="Times New Roman" w:cs="Arial"/>
                <w:color w:val="000000"/>
                <w:sz w:val="18"/>
                <w:szCs w:val="18"/>
                <w:lang w:eastAsia="fr-FR"/>
              </w:rPr>
            </w:pPr>
            <w:proofErr w:type="spellStart"/>
            <w:r w:rsidRPr="00EA4F84">
              <w:rPr>
                <w:rFonts w:eastAsia="Times New Roman" w:cs="Arial"/>
                <w:color w:val="000000"/>
                <w:sz w:val="18"/>
                <w:szCs w:val="18"/>
                <w:lang w:eastAsia="fr-FR"/>
              </w:rPr>
              <w:t>Arens</w:t>
            </w:r>
            <w:proofErr w:type="spellEnd"/>
            <w:r w:rsidRPr="00EA4F84">
              <w:rPr>
                <w:rFonts w:eastAsia="Times New Roman" w:cs="Arial"/>
                <w:color w:val="000000"/>
                <w:sz w:val="18"/>
                <w:szCs w:val="18"/>
                <w:lang w:eastAsia="fr-FR"/>
              </w:rPr>
              <w:t>, P. et al (2010)</w:t>
            </w:r>
          </w:p>
        </w:tc>
        <w:tc>
          <w:tcPr>
            <w:tcW w:w="551" w:type="pct"/>
            <w:vMerge/>
            <w:vAlign w:val="center"/>
            <w:hideMark/>
          </w:tcPr>
          <w:p w14:paraId="7E06BB9F" w14:textId="77777777" w:rsidR="00D52685" w:rsidRPr="00EA4F84" w:rsidRDefault="00D52685" w:rsidP="00D52685">
            <w:pPr>
              <w:jc w:val="left"/>
              <w:rPr>
                <w:rFonts w:eastAsia="Times New Roman" w:cs="Arial"/>
                <w:color w:val="000000"/>
                <w:sz w:val="18"/>
                <w:szCs w:val="18"/>
                <w:lang w:eastAsia="fr-FR"/>
              </w:rPr>
            </w:pPr>
          </w:p>
        </w:tc>
        <w:tc>
          <w:tcPr>
            <w:tcW w:w="1938" w:type="pct"/>
            <w:vAlign w:val="center"/>
            <w:hideMark/>
          </w:tcPr>
          <w:p w14:paraId="6358C642"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 xml:space="preserve">b) référence aux informations sur l'ADN dans les bases de données publiques (comme </w:t>
            </w:r>
            <w:proofErr w:type="spellStart"/>
            <w:r w:rsidRPr="00EA4F84">
              <w:rPr>
                <w:rFonts w:eastAsia="Times New Roman" w:cs="Arial"/>
                <w:color w:val="000000"/>
                <w:sz w:val="18"/>
                <w:szCs w:val="18"/>
                <w:lang w:eastAsia="nl-NL"/>
              </w:rPr>
              <w:t>GeneBank</w:t>
            </w:r>
            <w:proofErr w:type="spellEnd"/>
            <w:r w:rsidRPr="00EA4F84">
              <w:rPr>
                <w:rFonts w:eastAsia="Times New Roman" w:cs="Arial"/>
                <w:color w:val="000000"/>
                <w:sz w:val="18"/>
                <w:szCs w:val="18"/>
                <w:lang w:eastAsia="nl-NL"/>
              </w:rPr>
              <w:t>)</w:t>
            </w:r>
          </w:p>
        </w:tc>
      </w:tr>
      <w:tr w:rsidR="00D52685" w:rsidRPr="00EA4F84" w14:paraId="50A8DD70" w14:textId="77777777" w:rsidTr="00BC380B">
        <w:trPr>
          <w:gridAfter w:val="1"/>
          <w:wAfter w:w="78" w:type="pct"/>
          <w:cantSplit/>
          <w:trHeight w:val="765"/>
        </w:trPr>
        <w:tc>
          <w:tcPr>
            <w:tcW w:w="415" w:type="pct"/>
            <w:vMerge/>
            <w:vAlign w:val="center"/>
            <w:hideMark/>
          </w:tcPr>
          <w:p w14:paraId="1BDC0EDF" w14:textId="77777777" w:rsidR="00D52685" w:rsidRPr="00EA4F84" w:rsidRDefault="00D52685" w:rsidP="00D52685">
            <w:pPr>
              <w:jc w:val="left"/>
              <w:rPr>
                <w:rFonts w:eastAsia="Times New Roman" w:cs="Arial"/>
                <w:color w:val="000000"/>
                <w:sz w:val="18"/>
                <w:szCs w:val="18"/>
                <w:lang w:eastAsia="fr-FR"/>
              </w:rPr>
            </w:pPr>
          </w:p>
        </w:tc>
        <w:tc>
          <w:tcPr>
            <w:tcW w:w="834" w:type="pct"/>
            <w:vMerge/>
            <w:vAlign w:val="center"/>
            <w:hideMark/>
          </w:tcPr>
          <w:p w14:paraId="6433353C" w14:textId="77777777" w:rsidR="00D52685" w:rsidRPr="00EA4F84" w:rsidRDefault="00D52685" w:rsidP="00D52685">
            <w:pPr>
              <w:jc w:val="left"/>
              <w:rPr>
                <w:rFonts w:eastAsia="Times New Roman" w:cs="Arial"/>
                <w:color w:val="000000"/>
                <w:sz w:val="18"/>
                <w:szCs w:val="18"/>
                <w:lang w:eastAsia="fr-FR"/>
              </w:rPr>
            </w:pPr>
          </w:p>
        </w:tc>
        <w:tc>
          <w:tcPr>
            <w:tcW w:w="1184" w:type="pct"/>
            <w:vAlign w:val="center"/>
            <w:hideMark/>
          </w:tcPr>
          <w:p w14:paraId="1B8E2FCB" w14:textId="77777777" w:rsidR="00D52685" w:rsidRPr="00EA4F84" w:rsidRDefault="00D52685" w:rsidP="00D52685">
            <w:pPr>
              <w:jc w:val="left"/>
              <w:rPr>
                <w:rFonts w:eastAsia="Times New Roman" w:cs="Arial"/>
                <w:color w:val="000000"/>
                <w:sz w:val="18"/>
                <w:szCs w:val="18"/>
                <w:lang w:eastAsia="fr-FR"/>
              </w:rPr>
            </w:pPr>
          </w:p>
        </w:tc>
        <w:tc>
          <w:tcPr>
            <w:tcW w:w="551" w:type="pct"/>
            <w:vMerge/>
            <w:vAlign w:val="center"/>
            <w:hideMark/>
          </w:tcPr>
          <w:p w14:paraId="38CC2EED" w14:textId="77777777" w:rsidR="00D52685" w:rsidRPr="00EA4F84" w:rsidRDefault="00D52685" w:rsidP="00D52685">
            <w:pPr>
              <w:jc w:val="left"/>
              <w:rPr>
                <w:rFonts w:eastAsia="Times New Roman" w:cs="Arial"/>
                <w:color w:val="000000"/>
                <w:sz w:val="18"/>
                <w:szCs w:val="18"/>
                <w:lang w:eastAsia="fr-FR"/>
              </w:rPr>
            </w:pPr>
          </w:p>
        </w:tc>
        <w:tc>
          <w:tcPr>
            <w:tcW w:w="1938" w:type="pct"/>
            <w:vAlign w:val="center"/>
            <w:hideMark/>
          </w:tcPr>
          <w:p w14:paraId="0C310C13"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c) référence à des publications (scientifiques) dans lesquelles sont révélées les informations sur la séquence d'ADN des états d'expression du caractère.</w:t>
            </w:r>
          </w:p>
        </w:tc>
      </w:tr>
      <w:tr w:rsidR="00D52685" w:rsidRPr="00EA4F84" w14:paraId="20FC4373" w14:textId="77777777" w:rsidTr="00BC380B">
        <w:trPr>
          <w:gridAfter w:val="1"/>
          <w:wAfter w:w="78" w:type="pct"/>
          <w:cantSplit/>
          <w:trHeight w:val="1035"/>
        </w:trPr>
        <w:tc>
          <w:tcPr>
            <w:tcW w:w="415" w:type="pct"/>
            <w:vMerge/>
            <w:vAlign w:val="center"/>
            <w:hideMark/>
          </w:tcPr>
          <w:p w14:paraId="7943F5CA" w14:textId="77777777" w:rsidR="00D52685" w:rsidRPr="00EA4F84" w:rsidRDefault="00D52685" w:rsidP="00D52685">
            <w:pPr>
              <w:jc w:val="left"/>
              <w:rPr>
                <w:rFonts w:eastAsia="Times New Roman" w:cs="Arial"/>
                <w:color w:val="000000"/>
                <w:sz w:val="18"/>
                <w:szCs w:val="18"/>
                <w:lang w:eastAsia="fr-FR"/>
              </w:rPr>
            </w:pPr>
          </w:p>
        </w:tc>
        <w:tc>
          <w:tcPr>
            <w:tcW w:w="834" w:type="pct"/>
            <w:vMerge/>
            <w:vAlign w:val="center"/>
            <w:hideMark/>
          </w:tcPr>
          <w:p w14:paraId="3F3939FF" w14:textId="77777777" w:rsidR="00D52685" w:rsidRPr="00EA4F84" w:rsidRDefault="00D52685" w:rsidP="00D52685">
            <w:pPr>
              <w:jc w:val="left"/>
              <w:rPr>
                <w:rFonts w:eastAsia="Times New Roman" w:cs="Arial"/>
                <w:color w:val="000000"/>
                <w:sz w:val="18"/>
                <w:szCs w:val="18"/>
                <w:lang w:eastAsia="fr-FR"/>
              </w:rPr>
            </w:pPr>
          </w:p>
        </w:tc>
        <w:tc>
          <w:tcPr>
            <w:tcW w:w="1184" w:type="pct"/>
            <w:hideMark/>
          </w:tcPr>
          <w:p w14:paraId="1172CFF8" w14:textId="77777777" w:rsidR="00D52685" w:rsidRPr="00EA4F84" w:rsidRDefault="00D52685" w:rsidP="00D52685">
            <w:pPr>
              <w:jc w:val="left"/>
              <w:rPr>
                <w:rFonts w:eastAsia="Times New Roman" w:cs="Arial"/>
                <w:color w:val="000000"/>
                <w:sz w:val="18"/>
                <w:szCs w:val="18"/>
                <w:lang w:eastAsia="fr-FR"/>
              </w:rPr>
            </w:pPr>
          </w:p>
        </w:tc>
        <w:tc>
          <w:tcPr>
            <w:tcW w:w="551" w:type="pct"/>
            <w:vMerge/>
            <w:vAlign w:val="center"/>
            <w:hideMark/>
          </w:tcPr>
          <w:p w14:paraId="7CA118E2" w14:textId="77777777" w:rsidR="00D52685" w:rsidRPr="00EA4F84" w:rsidRDefault="00D52685" w:rsidP="00D52685">
            <w:pPr>
              <w:jc w:val="left"/>
              <w:rPr>
                <w:rFonts w:eastAsia="Times New Roman" w:cs="Arial"/>
                <w:color w:val="000000"/>
                <w:sz w:val="18"/>
                <w:szCs w:val="18"/>
                <w:lang w:eastAsia="fr-FR"/>
              </w:rPr>
            </w:pPr>
          </w:p>
        </w:tc>
        <w:tc>
          <w:tcPr>
            <w:tcW w:w="1938" w:type="pct"/>
            <w:vAlign w:val="center"/>
            <w:hideMark/>
          </w:tcPr>
          <w:p w14:paraId="4B44945B"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d) référence à une position particulière sur la version publiée du génome de référence en combinaison avec le SNP ou l'INDEL responsable de l'état d'expression.</w:t>
            </w:r>
          </w:p>
        </w:tc>
      </w:tr>
      <w:tr w:rsidR="00D52685" w:rsidRPr="00EA4F84" w14:paraId="316FC3F6" w14:textId="77777777" w:rsidTr="00BC380B">
        <w:trPr>
          <w:gridAfter w:val="1"/>
          <w:wAfter w:w="78" w:type="pct"/>
          <w:cantSplit/>
          <w:trHeight w:val="510"/>
        </w:trPr>
        <w:tc>
          <w:tcPr>
            <w:tcW w:w="415" w:type="pct"/>
            <w:vMerge w:val="restart"/>
            <w:vAlign w:val="center"/>
            <w:hideMark/>
          </w:tcPr>
          <w:p w14:paraId="08B444D5" w14:textId="77777777" w:rsidR="00D52685" w:rsidRPr="00EA4F84" w:rsidRDefault="00D52685" w:rsidP="00D52685">
            <w:pPr>
              <w:keepNext/>
              <w:jc w:val="left"/>
              <w:rPr>
                <w:rFonts w:eastAsia="Times New Roman" w:cs="Arial"/>
                <w:color w:val="000000"/>
                <w:sz w:val="18"/>
                <w:szCs w:val="18"/>
                <w:lang w:eastAsia="fr-FR"/>
              </w:rPr>
            </w:pPr>
            <w:r w:rsidRPr="00EA4F84">
              <w:rPr>
                <w:rFonts w:eastAsia="Times New Roman" w:cs="Arial"/>
                <w:color w:val="000000"/>
                <w:sz w:val="18"/>
                <w:szCs w:val="18"/>
                <w:lang w:eastAsia="nl-NL"/>
              </w:rPr>
              <w:lastRenderedPageBreak/>
              <w:t>2.3</w:t>
            </w:r>
          </w:p>
        </w:tc>
        <w:tc>
          <w:tcPr>
            <w:tcW w:w="834" w:type="pct"/>
            <w:vMerge w:val="restart"/>
            <w:vAlign w:val="center"/>
            <w:hideMark/>
          </w:tcPr>
          <w:p w14:paraId="06C15FBF" w14:textId="77777777" w:rsidR="00D52685" w:rsidRPr="00EA4F84" w:rsidRDefault="00D52685" w:rsidP="00D52685">
            <w:pPr>
              <w:keepNext/>
              <w:jc w:val="left"/>
              <w:rPr>
                <w:rFonts w:eastAsia="Times New Roman" w:cs="Arial"/>
                <w:color w:val="000000"/>
                <w:sz w:val="18"/>
                <w:szCs w:val="18"/>
                <w:lang w:eastAsia="fr-FR"/>
              </w:rPr>
            </w:pPr>
            <w:r w:rsidRPr="00EA4F84">
              <w:rPr>
                <w:rFonts w:eastAsia="Times New Roman" w:cs="Arial"/>
                <w:color w:val="000000"/>
                <w:sz w:val="18"/>
                <w:szCs w:val="18"/>
                <w:lang w:eastAsia="nl-NL"/>
              </w:rPr>
              <w:t xml:space="preserve">Allèle correspondant à l'état d'expression n </w:t>
            </w:r>
          </w:p>
        </w:tc>
        <w:tc>
          <w:tcPr>
            <w:tcW w:w="1184" w:type="pct"/>
            <w:vAlign w:val="center"/>
            <w:hideMark/>
          </w:tcPr>
          <w:p w14:paraId="4382D6FD" w14:textId="77777777" w:rsidR="00D52685" w:rsidRPr="00EA4F84" w:rsidRDefault="00D52685" w:rsidP="00D52685">
            <w:pPr>
              <w:keepNext/>
              <w:jc w:val="left"/>
              <w:rPr>
                <w:rFonts w:eastAsia="Times New Roman" w:cs="Arial"/>
                <w:color w:val="000000"/>
                <w:sz w:val="18"/>
                <w:szCs w:val="18"/>
                <w:lang w:eastAsia="fr-FR"/>
              </w:rPr>
            </w:pPr>
            <w:r w:rsidRPr="00EA4F84">
              <w:rPr>
                <w:rFonts w:eastAsia="Times New Roman" w:cs="Arial"/>
                <w:i/>
                <w:color w:val="000000"/>
                <w:sz w:val="18"/>
                <w:szCs w:val="18"/>
                <w:lang w:eastAsia="nl-NL"/>
              </w:rPr>
              <w:t xml:space="preserve">Tm2 </w:t>
            </w:r>
            <w:r w:rsidRPr="00EA4F84">
              <w:rPr>
                <w:rFonts w:eastAsia="Times New Roman" w:cs="Arial"/>
                <w:color w:val="000000"/>
                <w:sz w:val="18"/>
                <w:szCs w:val="18"/>
                <w:lang w:eastAsia="nl-NL"/>
              </w:rPr>
              <w:t xml:space="preserve">et </w:t>
            </w:r>
            <w:r w:rsidRPr="00EA4F84">
              <w:rPr>
                <w:rFonts w:eastAsia="Times New Roman" w:cs="Arial"/>
                <w:i/>
                <w:color w:val="000000"/>
                <w:sz w:val="18"/>
                <w:szCs w:val="18"/>
                <w:lang w:eastAsia="nl-NL"/>
              </w:rPr>
              <w:t>Tm2</w:t>
            </w:r>
            <w:r w:rsidRPr="00EA4F84">
              <w:rPr>
                <w:rFonts w:eastAsia="Times New Roman" w:cs="Arial"/>
                <w:color w:val="000000"/>
                <w:sz w:val="18"/>
                <w:szCs w:val="18"/>
                <w:vertAlign w:val="superscript"/>
                <w:lang w:eastAsia="nl-NL"/>
              </w:rPr>
              <w:t>2</w:t>
            </w:r>
          </w:p>
        </w:tc>
        <w:tc>
          <w:tcPr>
            <w:tcW w:w="551" w:type="pct"/>
            <w:vMerge w:val="restart"/>
            <w:vAlign w:val="center"/>
            <w:hideMark/>
          </w:tcPr>
          <w:p w14:paraId="0D7E6F05" w14:textId="77777777" w:rsidR="00D52685" w:rsidRPr="00EA4F84" w:rsidRDefault="00D52685" w:rsidP="00D52685">
            <w:pPr>
              <w:keepNext/>
              <w:jc w:val="left"/>
              <w:rPr>
                <w:rFonts w:eastAsia="Times New Roman" w:cs="Arial"/>
                <w:color w:val="000000"/>
                <w:sz w:val="18"/>
                <w:szCs w:val="18"/>
                <w:lang w:eastAsia="fr-FR"/>
              </w:rPr>
            </w:pPr>
            <w:r w:rsidRPr="00EA4F84">
              <w:rPr>
                <w:rFonts w:eastAsia="Times New Roman" w:cs="Arial"/>
                <w:color w:val="000000"/>
                <w:sz w:val="18"/>
                <w:szCs w:val="18"/>
                <w:lang w:eastAsia="nl-NL"/>
              </w:rPr>
              <w:t>OUI</w:t>
            </w:r>
          </w:p>
        </w:tc>
        <w:tc>
          <w:tcPr>
            <w:tcW w:w="1938" w:type="pct"/>
            <w:vAlign w:val="center"/>
            <w:hideMark/>
          </w:tcPr>
          <w:p w14:paraId="4675D4C1" w14:textId="77777777" w:rsidR="00D52685" w:rsidRPr="00EA4F84" w:rsidRDefault="00D52685" w:rsidP="00D52685">
            <w:pPr>
              <w:keepNext/>
              <w:jc w:val="left"/>
              <w:rPr>
                <w:rFonts w:eastAsia="Times New Roman" w:cs="Arial"/>
                <w:color w:val="000000"/>
                <w:sz w:val="18"/>
                <w:szCs w:val="18"/>
                <w:lang w:eastAsia="fr-FR"/>
              </w:rPr>
            </w:pPr>
            <w:r w:rsidRPr="00EA4F84">
              <w:rPr>
                <w:rFonts w:eastAsia="Times New Roman" w:cs="Arial"/>
                <w:color w:val="000000"/>
                <w:sz w:val="18"/>
                <w:szCs w:val="18"/>
                <w:lang w:eastAsia="nl-NL"/>
              </w:rPr>
              <w:t xml:space="preserve">a) Fichier(s) contenant les informations sur la séquence d'ADN (ordre des nucléotides) </w:t>
            </w:r>
          </w:p>
        </w:tc>
      </w:tr>
      <w:tr w:rsidR="00D52685" w:rsidRPr="00EA4F84" w14:paraId="391ED4AA" w14:textId="77777777" w:rsidTr="00BC380B">
        <w:trPr>
          <w:gridAfter w:val="1"/>
          <w:wAfter w:w="78" w:type="pct"/>
          <w:cantSplit/>
          <w:trHeight w:val="510"/>
        </w:trPr>
        <w:tc>
          <w:tcPr>
            <w:tcW w:w="415" w:type="pct"/>
            <w:vMerge/>
            <w:vAlign w:val="center"/>
            <w:hideMark/>
          </w:tcPr>
          <w:p w14:paraId="27BD71A9" w14:textId="77777777" w:rsidR="00D52685" w:rsidRPr="00EA4F84" w:rsidRDefault="00D52685" w:rsidP="00D52685">
            <w:pPr>
              <w:keepNext/>
              <w:jc w:val="left"/>
              <w:rPr>
                <w:rFonts w:eastAsia="Times New Roman" w:cs="Arial"/>
                <w:color w:val="000000"/>
                <w:sz w:val="18"/>
                <w:szCs w:val="18"/>
                <w:lang w:eastAsia="fr-FR"/>
              </w:rPr>
            </w:pPr>
          </w:p>
        </w:tc>
        <w:tc>
          <w:tcPr>
            <w:tcW w:w="834" w:type="pct"/>
            <w:vMerge/>
            <w:vAlign w:val="center"/>
            <w:hideMark/>
          </w:tcPr>
          <w:p w14:paraId="29BE2A33" w14:textId="77777777" w:rsidR="00D52685" w:rsidRPr="00EA4F84" w:rsidRDefault="00D52685" w:rsidP="00D52685">
            <w:pPr>
              <w:keepNext/>
              <w:jc w:val="left"/>
              <w:rPr>
                <w:rFonts w:eastAsia="Times New Roman" w:cs="Arial"/>
                <w:color w:val="000000"/>
                <w:sz w:val="18"/>
                <w:szCs w:val="18"/>
                <w:lang w:eastAsia="fr-FR"/>
              </w:rPr>
            </w:pPr>
          </w:p>
        </w:tc>
        <w:tc>
          <w:tcPr>
            <w:tcW w:w="1184" w:type="pct"/>
            <w:vAlign w:val="center"/>
            <w:hideMark/>
          </w:tcPr>
          <w:p w14:paraId="7F65BD24" w14:textId="77777777" w:rsidR="00D52685" w:rsidRPr="00EA4F84" w:rsidRDefault="00D52685" w:rsidP="00D52685">
            <w:pPr>
              <w:keepNext/>
              <w:jc w:val="left"/>
              <w:rPr>
                <w:rFonts w:eastAsia="Times New Roman" w:cs="Arial"/>
                <w:color w:val="000000"/>
                <w:sz w:val="18"/>
                <w:szCs w:val="18"/>
                <w:lang w:eastAsia="fr-FR"/>
              </w:rPr>
            </w:pPr>
            <w:proofErr w:type="spellStart"/>
            <w:r w:rsidRPr="00EA4F84">
              <w:rPr>
                <w:rFonts w:eastAsia="Times New Roman" w:cs="Arial"/>
                <w:color w:val="000000"/>
                <w:sz w:val="18"/>
                <w:szCs w:val="18"/>
                <w:lang w:eastAsia="fr-FR"/>
              </w:rPr>
              <w:t>Arens</w:t>
            </w:r>
            <w:proofErr w:type="spellEnd"/>
            <w:r w:rsidRPr="00EA4F84">
              <w:rPr>
                <w:rFonts w:eastAsia="Times New Roman" w:cs="Arial"/>
                <w:color w:val="000000"/>
                <w:sz w:val="18"/>
                <w:szCs w:val="18"/>
                <w:lang w:eastAsia="fr-FR"/>
              </w:rPr>
              <w:t>, P. et al (2010)</w:t>
            </w:r>
          </w:p>
        </w:tc>
        <w:tc>
          <w:tcPr>
            <w:tcW w:w="551" w:type="pct"/>
            <w:vMerge/>
            <w:vAlign w:val="center"/>
            <w:hideMark/>
          </w:tcPr>
          <w:p w14:paraId="7D160D61" w14:textId="77777777" w:rsidR="00D52685" w:rsidRPr="00EA4F84" w:rsidRDefault="00D52685" w:rsidP="00D52685">
            <w:pPr>
              <w:keepNext/>
              <w:jc w:val="left"/>
              <w:rPr>
                <w:rFonts w:eastAsia="Times New Roman" w:cs="Arial"/>
                <w:color w:val="000000"/>
                <w:sz w:val="18"/>
                <w:szCs w:val="18"/>
                <w:lang w:eastAsia="fr-FR"/>
              </w:rPr>
            </w:pPr>
          </w:p>
        </w:tc>
        <w:tc>
          <w:tcPr>
            <w:tcW w:w="1938" w:type="pct"/>
            <w:vAlign w:val="center"/>
            <w:hideMark/>
          </w:tcPr>
          <w:p w14:paraId="520C3374" w14:textId="77777777" w:rsidR="00D52685" w:rsidRPr="00EA4F84" w:rsidRDefault="00D52685" w:rsidP="00D52685">
            <w:pPr>
              <w:keepNext/>
              <w:jc w:val="left"/>
              <w:rPr>
                <w:rFonts w:eastAsia="Times New Roman" w:cs="Arial"/>
                <w:color w:val="000000"/>
                <w:sz w:val="18"/>
                <w:szCs w:val="18"/>
                <w:lang w:eastAsia="fr-FR"/>
              </w:rPr>
            </w:pPr>
            <w:r w:rsidRPr="00EA4F84">
              <w:rPr>
                <w:rFonts w:eastAsia="Times New Roman" w:cs="Arial"/>
                <w:color w:val="000000"/>
                <w:sz w:val="18"/>
                <w:szCs w:val="18"/>
                <w:lang w:eastAsia="nl-NL"/>
              </w:rPr>
              <w:t xml:space="preserve">b) référence aux informations sur l'ADN dans les bases de données publiques (comme </w:t>
            </w:r>
            <w:proofErr w:type="spellStart"/>
            <w:r w:rsidRPr="00EA4F84">
              <w:rPr>
                <w:rFonts w:eastAsia="Times New Roman" w:cs="Arial"/>
                <w:color w:val="000000"/>
                <w:sz w:val="18"/>
                <w:szCs w:val="18"/>
                <w:lang w:eastAsia="nl-NL"/>
              </w:rPr>
              <w:t>GeneBank</w:t>
            </w:r>
            <w:proofErr w:type="spellEnd"/>
            <w:r w:rsidRPr="00EA4F84">
              <w:rPr>
                <w:rFonts w:eastAsia="Times New Roman" w:cs="Arial"/>
                <w:color w:val="000000"/>
                <w:sz w:val="18"/>
                <w:szCs w:val="18"/>
                <w:lang w:eastAsia="nl-NL"/>
              </w:rPr>
              <w:t>)</w:t>
            </w:r>
          </w:p>
        </w:tc>
      </w:tr>
      <w:tr w:rsidR="00D52685" w:rsidRPr="00EA4F84" w14:paraId="62C89C4F" w14:textId="77777777" w:rsidTr="00BC380B">
        <w:trPr>
          <w:gridAfter w:val="1"/>
          <w:wAfter w:w="78" w:type="pct"/>
          <w:cantSplit/>
          <w:trHeight w:val="765"/>
        </w:trPr>
        <w:tc>
          <w:tcPr>
            <w:tcW w:w="415" w:type="pct"/>
            <w:vMerge/>
            <w:vAlign w:val="center"/>
            <w:hideMark/>
          </w:tcPr>
          <w:p w14:paraId="6ED14A55" w14:textId="77777777" w:rsidR="00D52685" w:rsidRPr="00EA4F84" w:rsidRDefault="00D52685" w:rsidP="00D52685">
            <w:pPr>
              <w:keepNext/>
              <w:jc w:val="left"/>
              <w:rPr>
                <w:rFonts w:eastAsia="Times New Roman" w:cs="Arial"/>
                <w:color w:val="000000"/>
                <w:sz w:val="18"/>
                <w:szCs w:val="18"/>
                <w:lang w:eastAsia="fr-FR"/>
              </w:rPr>
            </w:pPr>
          </w:p>
        </w:tc>
        <w:tc>
          <w:tcPr>
            <w:tcW w:w="834" w:type="pct"/>
            <w:vMerge/>
            <w:vAlign w:val="center"/>
            <w:hideMark/>
          </w:tcPr>
          <w:p w14:paraId="6E1D9124" w14:textId="77777777" w:rsidR="00D52685" w:rsidRPr="00EA4F84" w:rsidRDefault="00D52685" w:rsidP="00D52685">
            <w:pPr>
              <w:keepNext/>
              <w:jc w:val="left"/>
              <w:rPr>
                <w:rFonts w:eastAsia="Times New Roman" w:cs="Arial"/>
                <w:color w:val="000000"/>
                <w:sz w:val="18"/>
                <w:szCs w:val="18"/>
                <w:lang w:eastAsia="fr-FR"/>
              </w:rPr>
            </w:pPr>
          </w:p>
        </w:tc>
        <w:tc>
          <w:tcPr>
            <w:tcW w:w="1184" w:type="pct"/>
            <w:vAlign w:val="center"/>
            <w:hideMark/>
          </w:tcPr>
          <w:p w14:paraId="7F56126D" w14:textId="77777777" w:rsidR="00D52685" w:rsidRPr="00EA4F84" w:rsidRDefault="00D52685" w:rsidP="00D52685">
            <w:pPr>
              <w:keepNext/>
              <w:jc w:val="left"/>
              <w:rPr>
                <w:rFonts w:eastAsia="Times New Roman" w:cs="Arial"/>
                <w:color w:val="000000"/>
                <w:sz w:val="18"/>
                <w:szCs w:val="18"/>
                <w:lang w:eastAsia="nl-NL"/>
              </w:rPr>
            </w:pPr>
          </w:p>
          <w:p w14:paraId="240DE5A5" w14:textId="77777777" w:rsidR="00D52685" w:rsidRPr="00EA4F84" w:rsidRDefault="00D52685" w:rsidP="00D52685">
            <w:pPr>
              <w:keepNext/>
              <w:jc w:val="left"/>
              <w:rPr>
                <w:rFonts w:eastAsia="Times New Roman" w:cs="Arial"/>
                <w:color w:val="000000"/>
                <w:sz w:val="18"/>
                <w:szCs w:val="18"/>
                <w:lang w:eastAsia="fr-FR"/>
              </w:rPr>
            </w:pPr>
          </w:p>
        </w:tc>
        <w:tc>
          <w:tcPr>
            <w:tcW w:w="551" w:type="pct"/>
            <w:vMerge/>
            <w:vAlign w:val="center"/>
            <w:hideMark/>
          </w:tcPr>
          <w:p w14:paraId="442FC322" w14:textId="77777777" w:rsidR="00D52685" w:rsidRPr="00EA4F84" w:rsidRDefault="00D52685" w:rsidP="00D52685">
            <w:pPr>
              <w:keepNext/>
              <w:jc w:val="left"/>
              <w:rPr>
                <w:rFonts w:eastAsia="Times New Roman" w:cs="Arial"/>
                <w:color w:val="000000"/>
                <w:sz w:val="18"/>
                <w:szCs w:val="18"/>
                <w:lang w:eastAsia="fr-FR"/>
              </w:rPr>
            </w:pPr>
          </w:p>
        </w:tc>
        <w:tc>
          <w:tcPr>
            <w:tcW w:w="1938" w:type="pct"/>
            <w:vAlign w:val="center"/>
            <w:hideMark/>
          </w:tcPr>
          <w:p w14:paraId="775DC12C" w14:textId="77777777" w:rsidR="00D52685" w:rsidRPr="00EA4F84" w:rsidRDefault="00D52685" w:rsidP="00D52685">
            <w:pPr>
              <w:keepNext/>
              <w:jc w:val="left"/>
              <w:rPr>
                <w:rFonts w:eastAsia="Times New Roman" w:cs="Arial"/>
                <w:color w:val="000000"/>
                <w:sz w:val="18"/>
                <w:szCs w:val="18"/>
                <w:lang w:eastAsia="fr-FR"/>
              </w:rPr>
            </w:pPr>
            <w:r w:rsidRPr="00EA4F84">
              <w:rPr>
                <w:rFonts w:eastAsia="Times New Roman" w:cs="Arial"/>
                <w:color w:val="000000"/>
                <w:sz w:val="18"/>
                <w:szCs w:val="18"/>
                <w:lang w:eastAsia="nl-NL"/>
              </w:rPr>
              <w:t>c) référence à des publications (scientifiques) dans lesquelles les informations sur la séquence d'ADN des états d'expression du caractère sont révélées.</w:t>
            </w:r>
          </w:p>
        </w:tc>
      </w:tr>
      <w:tr w:rsidR="00D52685" w:rsidRPr="00EA4F84" w14:paraId="7010C98F" w14:textId="77777777" w:rsidTr="00BC380B">
        <w:trPr>
          <w:gridAfter w:val="1"/>
          <w:wAfter w:w="78" w:type="pct"/>
          <w:cantSplit/>
          <w:trHeight w:val="1035"/>
        </w:trPr>
        <w:tc>
          <w:tcPr>
            <w:tcW w:w="415" w:type="pct"/>
            <w:vMerge/>
            <w:vAlign w:val="center"/>
            <w:hideMark/>
          </w:tcPr>
          <w:p w14:paraId="45216F1F" w14:textId="77777777" w:rsidR="00D52685" w:rsidRPr="00EA4F84" w:rsidRDefault="00D52685" w:rsidP="00D52685">
            <w:pPr>
              <w:jc w:val="left"/>
              <w:rPr>
                <w:rFonts w:eastAsia="Times New Roman" w:cs="Arial"/>
                <w:color w:val="000000"/>
                <w:sz w:val="18"/>
                <w:szCs w:val="18"/>
                <w:lang w:eastAsia="fr-FR"/>
              </w:rPr>
            </w:pPr>
          </w:p>
        </w:tc>
        <w:tc>
          <w:tcPr>
            <w:tcW w:w="834" w:type="pct"/>
            <w:vMerge/>
            <w:vAlign w:val="center"/>
            <w:hideMark/>
          </w:tcPr>
          <w:p w14:paraId="2EB0CBBC" w14:textId="77777777" w:rsidR="00D52685" w:rsidRPr="00EA4F84" w:rsidRDefault="00D52685" w:rsidP="00D52685">
            <w:pPr>
              <w:jc w:val="left"/>
              <w:rPr>
                <w:rFonts w:eastAsia="Times New Roman" w:cs="Arial"/>
                <w:color w:val="000000"/>
                <w:sz w:val="18"/>
                <w:szCs w:val="18"/>
                <w:lang w:eastAsia="fr-FR"/>
              </w:rPr>
            </w:pPr>
          </w:p>
        </w:tc>
        <w:tc>
          <w:tcPr>
            <w:tcW w:w="1184" w:type="pct"/>
            <w:vAlign w:val="center"/>
            <w:hideMark/>
          </w:tcPr>
          <w:p w14:paraId="4F84AC1C" w14:textId="77777777" w:rsidR="00D52685" w:rsidRPr="00EA4F84" w:rsidRDefault="00D52685" w:rsidP="00D52685">
            <w:pPr>
              <w:jc w:val="left"/>
              <w:rPr>
                <w:rFonts w:eastAsia="Times New Roman" w:cs="Arial"/>
                <w:color w:val="000000"/>
                <w:sz w:val="18"/>
                <w:szCs w:val="18"/>
                <w:lang w:eastAsia="fr-FR"/>
              </w:rPr>
            </w:pPr>
          </w:p>
        </w:tc>
        <w:tc>
          <w:tcPr>
            <w:tcW w:w="551" w:type="pct"/>
            <w:vMerge/>
            <w:vAlign w:val="center"/>
            <w:hideMark/>
          </w:tcPr>
          <w:p w14:paraId="2FCB8C95" w14:textId="77777777" w:rsidR="00D52685" w:rsidRPr="00EA4F84" w:rsidRDefault="00D52685" w:rsidP="00D52685">
            <w:pPr>
              <w:jc w:val="left"/>
              <w:rPr>
                <w:rFonts w:eastAsia="Times New Roman" w:cs="Arial"/>
                <w:color w:val="000000"/>
                <w:sz w:val="18"/>
                <w:szCs w:val="18"/>
                <w:lang w:eastAsia="fr-FR"/>
              </w:rPr>
            </w:pPr>
          </w:p>
        </w:tc>
        <w:tc>
          <w:tcPr>
            <w:tcW w:w="1938" w:type="pct"/>
            <w:vAlign w:val="center"/>
            <w:hideMark/>
          </w:tcPr>
          <w:p w14:paraId="2EDD04E0"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d) référence à une position particulière sur la version publiée du génome de référence en combinaison avec le SNP ou l'INDEL responsable de l'état d'expression.</w:t>
            </w:r>
          </w:p>
        </w:tc>
      </w:tr>
      <w:tr w:rsidR="00D52685" w:rsidRPr="00EA4F84" w14:paraId="329C6F59" w14:textId="77777777" w:rsidTr="00BC380B">
        <w:trPr>
          <w:gridAfter w:val="1"/>
          <w:wAfter w:w="78" w:type="pct"/>
          <w:cantSplit/>
          <w:trHeight w:val="780"/>
        </w:trPr>
        <w:tc>
          <w:tcPr>
            <w:tcW w:w="415" w:type="pct"/>
            <w:vAlign w:val="center"/>
            <w:hideMark/>
          </w:tcPr>
          <w:p w14:paraId="4F115807"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3</w:t>
            </w:r>
          </w:p>
        </w:tc>
        <w:tc>
          <w:tcPr>
            <w:tcW w:w="834" w:type="pct"/>
            <w:vAlign w:val="center"/>
            <w:hideMark/>
          </w:tcPr>
          <w:p w14:paraId="676ADFBB"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themeColor="text1"/>
                <w:sz w:val="18"/>
                <w:szCs w:val="18"/>
                <w:lang w:eastAsia="nl-NL"/>
              </w:rPr>
              <w:t>Amorces (et sondes)</w:t>
            </w:r>
          </w:p>
        </w:tc>
        <w:tc>
          <w:tcPr>
            <w:tcW w:w="1184" w:type="pct"/>
            <w:vAlign w:val="center"/>
            <w:hideMark/>
          </w:tcPr>
          <w:p w14:paraId="0A15E4F3" w14:textId="77777777" w:rsidR="00D52685" w:rsidRPr="00EA4F84" w:rsidRDefault="00D52685" w:rsidP="00D52685">
            <w:pPr>
              <w:jc w:val="left"/>
              <w:rPr>
                <w:rFonts w:eastAsia="Times New Roman" w:cs="Arial"/>
                <w:i/>
                <w:iCs/>
                <w:color w:val="000000"/>
                <w:sz w:val="18"/>
                <w:szCs w:val="18"/>
                <w:lang w:eastAsia="fr-FR"/>
              </w:rPr>
            </w:pPr>
            <w:r w:rsidRPr="00EA4F84">
              <w:rPr>
                <w:rFonts w:eastAsia="Times New Roman" w:cs="Arial"/>
                <w:i/>
                <w:iCs/>
                <w:color w:val="000000"/>
                <w:sz w:val="18"/>
                <w:szCs w:val="18"/>
                <w:lang w:eastAsia="fr-FR"/>
              </w:rPr>
              <w:t>Voir TG/44/11/rev3 – Ad 51 : ii Test de marqueurs ADN ajouter 3, 3.1 et 3.2</w:t>
            </w:r>
          </w:p>
        </w:tc>
        <w:tc>
          <w:tcPr>
            <w:tcW w:w="551" w:type="pct"/>
            <w:vAlign w:val="center"/>
            <w:hideMark/>
          </w:tcPr>
          <w:p w14:paraId="04FCF3DB"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OUI</w:t>
            </w:r>
          </w:p>
        </w:tc>
        <w:tc>
          <w:tcPr>
            <w:tcW w:w="1938" w:type="pct"/>
            <w:vAlign w:val="center"/>
            <w:hideMark/>
          </w:tcPr>
          <w:p w14:paraId="7723C729"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Séquences d'amorces et de sondes, référence aux accessions et séquences dans les bases de données publiques (numéros de la banque de gènes), littérature</w:t>
            </w:r>
          </w:p>
        </w:tc>
      </w:tr>
      <w:tr w:rsidR="00D52685" w:rsidRPr="00EA4F84" w14:paraId="5AC20C0C" w14:textId="77777777" w:rsidTr="00BC380B">
        <w:trPr>
          <w:gridAfter w:val="1"/>
          <w:wAfter w:w="78" w:type="pct"/>
          <w:cantSplit/>
          <w:trHeight w:val="525"/>
        </w:trPr>
        <w:tc>
          <w:tcPr>
            <w:tcW w:w="415" w:type="pct"/>
            <w:vAlign w:val="center"/>
            <w:hideMark/>
          </w:tcPr>
          <w:p w14:paraId="3668821F"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3.1</w:t>
            </w:r>
          </w:p>
        </w:tc>
        <w:tc>
          <w:tcPr>
            <w:tcW w:w="834" w:type="pct"/>
            <w:vAlign w:val="center"/>
            <w:hideMark/>
          </w:tcPr>
          <w:p w14:paraId="6254C277" w14:textId="7DE4B9A2"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themeColor="text1"/>
                <w:sz w:val="18"/>
                <w:szCs w:val="18"/>
                <w:lang w:eastAsia="nl-NL"/>
              </w:rPr>
              <w:t xml:space="preserve">Amorces (et sondes) pour détecter l'allèle </w:t>
            </w:r>
            <w:r w:rsidR="00EA4F84">
              <w:rPr>
                <w:rFonts w:eastAsia="Times New Roman" w:cs="Arial"/>
                <w:color w:val="000000" w:themeColor="text1"/>
                <w:sz w:val="18"/>
                <w:szCs w:val="18"/>
                <w:lang w:eastAsia="nl-NL"/>
              </w:rPr>
              <w:t>“ </w:t>
            </w:r>
            <w:r w:rsidRPr="00EA4F84">
              <w:rPr>
                <w:rFonts w:eastAsia="Times New Roman" w:cs="Arial"/>
                <w:color w:val="000000" w:themeColor="text1"/>
                <w:sz w:val="18"/>
                <w:szCs w:val="18"/>
                <w:lang w:eastAsia="nl-NL"/>
              </w:rPr>
              <w:t>9</w:t>
            </w:r>
            <w:r w:rsidR="00EA4F84">
              <w:rPr>
                <w:rFonts w:eastAsia="Times New Roman" w:cs="Arial"/>
                <w:color w:val="000000" w:themeColor="text1"/>
                <w:sz w:val="18"/>
                <w:szCs w:val="18"/>
                <w:lang w:eastAsia="nl-NL"/>
              </w:rPr>
              <w:t> »</w:t>
            </w:r>
          </w:p>
        </w:tc>
        <w:tc>
          <w:tcPr>
            <w:tcW w:w="1184" w:type="pct"/>
            <w:vAlign w:val="center"/>
            <w:hideMark/>
          </w:tcPr>
          <w:p w14:paraId="68B53BF3" w14:textId="77777777" w:rsidR="00D52685" w:rsidRPr="00EA4F84" w:rsidRDefault="00D52685" w:rsidP="00D52685">
            <w:pPr>
              <w:jc w:val="left"/>
              <w:rPr>
                <w:rFonts w:eastAsia="Times New Roman" w:cs="Arial"/>
                <w:color w:val="000000"/>
                <w:sz w:val="18"/>
                <w:szCs w:val="18"/>
                <w:lang w:eastAsia="fr-FR"/>
              </w:rPr>
            </w:pPr>
          </w:p>
        </w:tc>
        <w:tc>
          <w:tcPr>
            <w:tcW w:w="551" w:type="pct"/>
            <w:vAlign w:val="center"/>
            <w:hideMark/>
          </w:tcPr>
          <w:p w14:paraId="0BC9C8A0"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OUI</w:t>
            </w:r>
          </w:p>
        </w:tc>
        <w:tc>
          <w:tcPr>
            <w:tcW w:w="1938" w:type="pct"/>
            <w:vAlign w:val="center"/>
            <w:hideMark/>
          </w:tcPr>
          <w:p w14:paraId="57225274" w14:textId="3AC7086C"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 xml:space="preserve">Séquences d'amorces correspondant au(x) allèle(s) pour l'expression </w:t>
            </w:r>
            <w:r w:rsidR="00EA4F84">
              <w:rPr>
                <w:rFonts w:eastAsia="Times New Roman" w:cs="Arial"/>
                <w:color w:val="000000"/>
                <w:sz w:val="18"/>
                <w:szCs w:val="18"/>
                <w:lang w:eastAsia="nl-NL"/>
              </w:rPr>
              <w:t>“ </w:t>
            </w:r>
            <w:r w:rsidRPr="00EA4F84">
              <w:rPr>
                <w:rFonts w:eastAsia="Times New Roman" w:cs="Arial"/>
                <w:color w:val="000000"/>
                <w:sz w:val="18"/>
                <w:szCs w:val="18"/>
                <w:lang w:eastAsia="nl-NL"/>
              </w:rPr>
              <w:t>9</w:t>
            </w:r>
            <w:r w:rsidR="00EA4F84">
              <w:rPr>
                <w:rFonts w:eastAsia="Times New Roman" w:cs="Arial"/>
                <w:color w:val="000000"/>
                <w:sz w:val="18"/>
                <w:szCs w:val="18"/>
                <w:lang w:eastAsia="nl-NL"/>
              </w:rPr>
              <w:t> »</w:t>
            </w:r>
            <w:r w:rsidRPr="00EA4F84">
              <w:rPr>
                <w:rFonts w:eastAsia="Times New Roman" w:cs="Arial"/>
                <w:color w:val="000000"/>
                <w:sz w:val="18"/>
                <w:szCs w:val="18"/>
                <w:lang w:eastAsia="nl-NL"/>
              </w:rPr>
              <w:t xml:space="preserve"> (résistance)</w:t>
            </w:r>
          </w:p>
        </w:tc>
      </w:tr>
      <w:tr w:rsidR="00D52685" w:rsidRPr="00EA4F84" w14:paraId="3E995A45" w14:textId="77777777" w:rsidTr="00BC380B">
        <w:trPr>
          <w:gridAfter w:val="1"/>
          <w:wAfter w:w="78" w:type="pct"/>
          <w:cantSplit/>
          <w:trHeight w:val="525"/>
        </w:trPr>
        <w:tc>
          <w:tcPr>
            <w:tcW w:w="415" w:type="pct"/>
            <w:vAlign w:val="center"/>
            <w:hideMark/>
          </w:tcPr>
          <w:p w14:paraId="61551561"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3.2</w:t>
            </w:r>
          </w:p>
        </w:tc>
        <w:tc>
          <w:tcPr>
            <w:tcW w:w="834" w:type="pct"/>
            <w:vAlign w:val="center"/>
            <w:hideMark/>
          </w:tcPr>
          <w:p w14:paraId="18220F18" w14:textId="51DA6630"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themeColor="text1"/>
                <w:sz w:val="18"/>
                <w:szCs w:val="18"/>
                <w:lang w:eastAsia="nl-NL"/>
              </w:rPr>
              <w:t xml:space="preserve">Amorces (et sondes) pour détecter l'allèle </w:t>
            </w:r>
            <w:r w:rsidR="00EA4F84">
              <w:rPr>
                <w:rFonts w:eastAsia="Times New Roman" w:cs="Arial"/>
                <w:color w:val="000000" w:themeColor="text1"/>
                <w:sz w:val="18"/>
                <w:szCs w:val="18"/>
                <w:lang w:eastAsia="nl-NL"/>
              </w:rPr>
              <w:t>“ </w:t>
            </w:r>
            <w:r w:rsidRPr="00EA4F84">
              <w:rPr>
                <w:rFonts w:eastAsia="Times New Roman" w:cs="Arial"/>
                <w:color w:val="000000" w:themeColor="text1"/>
                <w:sz w:val="18"/>
                <w:szCs w:val="18"/>
                <w:lang w:eastAsia="nl-NL"/>
              </w:rPr>
              <w:t>1</w:t>
            </w:r>
            <w:r w:rsidR="00EA4F84">
              <w:rPr>
                <w:rFonts w:eastAsia="Times New Roman" w:cs="Arial"/>
                <w:color w:val="000000" w:themeColor="text1"/>
                <w:sz w:val="18"/>
                <w:szCs w:val="18"/>
                <w:lang w:eastAsia="nl-NL"/>
              </w:rPr>
              <w:t> »</w:t>
            </w:r>
          </w:p>
        </w:tc>
        <w:tc>
          <w:tcPr>
            <w:tcW w:w="1184" w:type="pct"/>
            <w:vAlign w:val="center"/>
            <w:hideMark/>
          </w:tcPr>
          <w:p w14:paraId="6DA9D1ED" w14:textId="77777777" w:rsidR="00D52685" w:rsidRPr="00EA4F84" w:rsidRDefault="00D52685" w:rsidP="00D52685">
            <w:pPr>
              <w:jc w:val="left"/>
              <w:rPr>
                <w:rFonts w:eastAsia="Times New Roman" w:cs="Arial"/>
                <w:color w:val="000000"/>
                <w:sz w:val="18"/>
                <w:szCs w:val="18"/>
                <w:lang w:eastAsia="fr-FR"/>
              </w:rPr>
            </w:pPr>
          </w:p>
        </w:tc>
        <w:tc>
          <w:tcPr>
            <w:tcW w:w="551" w:type="pct"/>
            <w:vAlign w:val="center"/>
            <w:hideMark/>
          </w:tcPr>
          <w:p w14:paraId="26E75282"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OUI</w:t>
            </w:r>
          </w:p>
        </w:tc>
        <w:tc>
          <w:tcPr>
            <w:tcW w:w="1938" w:type="pct"/>
            <w:vAlign w:val="center"/>
            <w:hideMark/>
          </w:tcPr>
          <w:p w14:paraId="1354FDCD" w14:textId="07846D8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 xml:space="preserve">Séquences d'amorces correspondant à l'allèle ou aux allèles pour l'expression </w:t>
            </w:r>
            <w:r w:rsidR="00EA4F84">
              <w:rPr>
                <w:rFonts w:eastAsia="Times New Roman" w:cs="Arial"/>
                <w:color w:val="000000"/>
                <w:sz w:val="18"/>
                <w:szCs w:val="18"/>
                <w:lang w:eastAsia="nl-NL"/>
              </w:rPr>
              <w:t>“ </w:t>
            </w:r>
            <w:r w:rsidRPr="00EA4F84">
              <w:rPr>
                <w:rFonts w:eastAsia="Times New Roman" w:cs="Arial"/>
                <w:color w:val="000000"/>
                <w:sz w:val="18"/>
                <w:szCs w:val="18"/>
                <w:lang w:eastAsia="nl-NL"/>
              </w:rPr>
              <w:t>1</w:t>
            </w:r>
            <w:r w:rsidR="00EA4F84">
              <w:rPr>
                <w:rFonts w:eastAsia="Times New Roman" w:cs="Arial"/>
                <w:color w:val="000000"/>
                <w:sz w:val="18"/>
                <w:szCs w:val="18"/>
                <w:lang w:eastAsia="nl-NL"/>
              </w:rPr>
              <w:t> »</w:t>
            </w:r>
            <w:r w:rsidRPr="00EA4F84">
              <w:rPr>
                <w:rFonts w:eastAsia="Times New Roman" w:cs="Arial"/>
                <w:color w:val="000000"/>
                <w:sz w:val="18"/>
                <w:szCs w:val="18"/>
                <w:lang w:eastAsia="nl-NL"/>
              </w:rPr>
              <w:t xml:space="preserve"> (sensibilité)</w:t>
            </w:r>
          </w:p>
        </w:tc>
      </w:tr>
      <w:tr w:rsidR="00D52685" w:rsidRPr="00EA4F84" w14:paraId="46D20EF1" w14:textId="77777777" w:rsidTr="00BC380B">
        <w:trPr>
          <w:gridAfter w:val="1"/>
          <w:wAfter w:w="78" w:type="pct"/>
          <w:cantSplit/>
          <w:trHeight w:val="525"/>
        </w:trPr>
        <w:tc>
          <w:tcPr>
            <w:tcW w:w="415" w:type="pct"/>
            <w:vAlign w:val="center"/>
            <w:hideMark/>
          </w:tcPr>
          <w:p w14:paraId="1C28D6C5"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3.3</w:t>
            </w:r>
          </w:p>
        </w:tc>
        <w:tc>
          <w:tcPr>
            <w:tcW w:w="834" w:type="pct"/>
            <w:vAlign w:val="center"/>
            <w:hideMark/>
          </w:tcPr>
          <w:p w14:paraId="65C404E7" w14:textId="56B2D870"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themeColor="text1"/>
                <w:sz w:val="18"/>
                <w:szCs w:val="18"/>
                <w:lang w:eastAsia="nl-NL"/>
              </w:rPr>
              <w:t xml:space="preserve">Amorces (et sondes) pour détecter l'allèle </w:t>
            </w:r>
            <w:r w:rsidR="00EA4F84">
              <w:rPr>
                <w:rFonts w:eastAsia="Times New Roman" w:cs="Arial"/>
                <w:color w:val="000000" w:themeColor="text1"/>
                <w:sz w:val="18"/>
                <w:szCs w:val="18"/>
                <w:lang w:eastAsia="nl-NL"/>
              </w:rPr>
              <w:t>“ </w:t>
            </w:r>
            <w:r w:rsidRPr="00EA4F84">
              <w:rPr>
                <w:rFonts w:eastAsia="Times New Roman" w:cs="Arial"/>
                <w:color w:val="000000" w:themeColor="text1"/>
                <w:sz w:val="18"/>
                <w:szCs w:val="18"/>
                <w:lang w:eastAsia="nl-NL"/>
              </w:rPr>
              <w:t>x</w:t>
            </w:r>
            <w:r w:rsidR="00EA4F84">
              <w:rPr>
                <w:rFonts w:eastAsia="Times New Roman" w:cs="Arial"/>
                <w:color w:val="000000" w:themeColor="text1"/>
                <w:sz w:val="18"/>
                <w:szCs w:val="18"/>
                <w:lang w:eastAsia="nl-NL"/>
              </w:rPr>
              <w:t> »</w:t>
            </w:r>
          </w:p>
        </w:tc>
        <w:tc>
          <w:tcPr>
            <w:tcW w:w="1184" w:type="pct"/>
            <w:vAlign w:val="center"/>
            <w:hideMark/>
          </w:tcPr>
          <w:p w14:paraId="2BFCFABF" w14:textId="77777777" w:rsidR="00D52685" w:rsidRPr="00EA4F84" w:rsidRDefault="00D52685" w:rsidP="00D52685">
            <w:pPr>
              <w:jc w:val="left"/>
              <w:rPr>
                <w:rFonts w:eastAsia="Times New Roman" w:cs="Arial"/>
                <w:color w:val="000000"/>
                <w:sz w:val="18"/>
                <w:szCs w:val="18"/>
                <w:lang w:eastAsia="fr-FR"/>
              </w:rPr>
            </w:pPr>
          </w:p>
        </w:tc>
        <w:tc>
          <w:tcPr>
            <w:tcW w:w="551" w:type="pct"/>
            <w:vAlign w:val="center"/>
            <w:hideMark/>
          </w:tcPr>
          <w:p w14:paraId="232C2949"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OUI</w:t>
            </w:r>
          </w:p>
        </w:tc>
        <w:tc>
          <w:tcPr>
            <w:tcW w:w="1938" w:type="pct"/>
            <w:vAlign w:val="center"/>
            <w:hideMark/>
          </w:tcPr>
          <w:p w14:paraId="70389C53" w14:textId="1FC5F3DB"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 xml:space="preserve">Séquences d'amorces correspondant à l'allèle ou aux allèles pour l'expression </w:t>
            </w:r>
            <w:r w:rsidR="00EA4F84">
              <w:rPr>
                <w:rFonts w:eastAsia="Times New Roman" w:cs="Arial"/>
                <w:color w:val="000000"/>
                <w:sz w:val="18"/>
                <w:szCs w:val="18"/>
                <w:lang w:eastAsia="nl-NL"/>
              </w:rPr>
              <w:t>“ </w:t>
            </w:r>
            <w:r w:rsidRPr="00EA4F84">
              <w:rPr>
                <w:rFonts w:eastAsia="Times New Roman" w:cs="Arial"/>
                <w:color w:val="000000"/>
                <w:sz w:val="18"/>
                <w:szCs w:val="18"/>
                <w:lang w:eastAsia="nl-NL"/>
              </w:rPr>
              <w:t>x</w:t>
            </w:r>
            <w:r w:rsidR="00EA4F84">
              <w:rPr>
                <w:rFonts w:eastAsia="Times New Roman" w:cs="Arial"/>
                <w:color w:val="000000"/>
                <w:sz w:val="18"/>
                <w:szCs w:val="18"/>
                <w:lang w:eastAsia="nl-NL"/>
              </w:rPr>
              <w:t> »</w:t>
            </w:r>
            <w:r w:rsidRPr="00EA4F84">
              <w:rPr>
                <w:rFonts w:eastAsia="Times New Roman" w:cs="Arial"/>
                <w:color w:val="000000"/>
                <w:sz w:val="18"/>
                <w:szCs w:val="18"/>
                <w:lang w:eastAsia="nl-NL"/>
              </w:rPr>
              <w:t xml:space="preserve"> </w:t>
            </w:r>
          </w:p>
        </w:tc>
      </w:tr>
      <w:tr w:rsidR="00D52685" w:rsidRPr="00EA4F84" w14:paraId="7D26617B" w14:textId="77777777" w:rsidTr="00BC380B">
        <w:trPr>
          <w:gridAfter w:val="1"/>
          <w:wAfter w:w="78" w:type="pct"/>
          <w:cantSplit/>
          <w:trHeight w:val="315"/>
        </w:trPr>
        <w:tc>
          <w:tcPr>
            <w:tcW w:w="415" w:type="pct"/>
            <w:vAlign w:val="center"/>
            <w:hideMark/>
          </w:tcPr>
          <w:p w14:paraId="039417E2"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4</w:t>
            </w:r>
          </w:p>
        </w:tc>
        <w:tc>
          <w:tcPr>
            <w:tcW w:w="834" w:type="pct"/>
            <w:vAlign w:val="center"/>
            <w:hideMark/>
          </w:tcPr>
          <w:p w14:paraId="6364F4E4"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themeColor="text1"/>
                <w:sz w:val="18"/>
                <w:szCs w:val="18"/>
                <w:lang w:eastAsia="nl-NL"/>
              </w:rPr>
              <w:t>Format du test</w:t>
            </w:r>
          </w:p>
        </w:tc>
        <w:tc>
          <w:tcPr>
            <w:tcW w:w="1184" w:type="pct"/>
            <w:vAlign w:val="center"/>
            <w:hideMark/>
          </w:tcPr>
          <w:p w14:paraId="3313CD15" w14:textId="77777777" w:rsidR="00D52685" w:rsidRPr="00EA4F84" w:rsidRDefault="00D52685" w:rsidP="00D52685">
            <w:pPr>
              <w:jc w:val="left"/>
              <w:rPr>
                <w:rFonts w:eastAsia="Times New Roman" w:cs="Arial"/>
                <w:color w:val="000000"/>
                <w:sz w:val="18"/>
                <w:szCs w:val="18"/>
                <w:lang w:eastAsia="fr-FR"/>
              </w:rPr>
            </w:pPr>
          </w:p>
        </w:tc>
        <w:tc>
          <w:tcPr>
            <w:tcW w:w="551" w:type="pct"/>
            <w:vAlign w:val="center"/>
            <w:hideMark/>
          </w:tcPr>
          <w:p w14:paraId="19AF7AF1" w14:textId="77777777" w:rsidR="00D52685" w:rsidRPr="00EA4F84" w:rsidRDefault="00D52685" w:rsidP="00D52685">
            <w:pPr>
              <w:jc w:val="left"/>
              <w:rPr>
                <w:rFonts w:eastAsia="Times New Roman" w:cs="Arial"/>
                <w:color w:val="000000"/>
                <w:sz w:val="18"/>
                <w:szCs w:val="18"/>
                <w:lang w:eastAsia="fr-FR"/>
              </w:rPr>
            </w:pPr>
          </w:p>
        </w:tc>
        <w:tc>
          <w:tcPr>
            <w:tcW w:w="1938" w:type="pct"/>
            <w:vAlign w:val="center"/>
            <w:hideMark/>
          </w:tcPr>
          <w:p w14:paraId="7C0C40FF" w14:textId="77777777" w:rsidR="00D52685" w:rsidRPr="00EA4F84" w:rsidRDefault="00D52685" w:rsidP="00D52685">
            <w:pPr>
              <w:jc w:val="left"/>
              <w:rPr>
                <w:rFonts w:eastAsia="Times New Roman" w:cs="Arial"/>
                <w:color w:val="000000"/>
                <w:sz w:val="18"/>
                <w:szCs w:val="18"/>
                <w:lang w:eastAsia="fr-FR"/>
              </w:rPr>
            </w:pPr>
          </w:p>
        </w:tc>
      </w:tr>
      <w:tr w:rsidR="00D52685" w:rsidRPr="00EA4F84" w14:paraId="4829C467" w14:textId="77777777" w:rsidTr="00BC380B">
        <w:trPr>
          <w:gridAfter w:val="1"/>
          <w:wAfter w:w="78" w:type="pct"/>
          <w:cantSplit/>
          <w:trHeight w:val="1725"/>
        </w:trPr>
        <w:tc>
          <w:tcPr>
            <w:tcW w:w="415" w:type="pct"/>
            <w:vAlign w:val="center"/>
            <w:hideMark/>
          </w:tcPr>
          <w:p w14:paraId="4476ACC9"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4.1</w:t>
            </w:r>
          </w:p>
        </w:tc>
        <w:tc>
          <w:tcPr>
            <w:tcW w:w="834" w:type="pct"/>
            <w:vAlign w:val="center"/>
            <w:hideMark/>
          </w:tcPr>
          <w:p w14:paraId="17CF73AA"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themeColor="text1"/>
                <w:sz w:val="18"/>
                <w:szCs w:val="18"/>
                <w:lang w:eastAsia="nl-NL"/>
              </w:rPr>
              <w:t>Nombre de plantes par génotype</w:t>
            </w:r>
          </w:p>
        </w:tc>
        <w:tc>
          <w:tcPr>
            <w:tcW w:w="1184" w:type="pct"/>
            <w:vAlign w:val="center"/>
            <w:hideMark/>
          </w:tcPr>
          <w:p w14:paraId="0C94EFAB"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≥20</w:t>
            </w:r>
          </w:p>
        </w:tc>
        <w:tc>
          <w:tcPr>
            <w:tcW w:w="551" w:type="pct"/>
            <w:vAlign w:val="center"/>
            <w:hideMark/>
          </w:tcPr>
          <w:p w14:paraId="48BB1B5B"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OUI</w:t>
            </w:r>
          </w:p>
        </w:tc>
        <w:tc>
          <w:tcPr>
            <w:tcW w:w="1938" w:type="pct"/>
            <w:vAlign w:val="center"/>
            <w:hideMark/>
          </w:tcPr>
          <w:p w14:paraId="4D1560A7"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Nombre minimal de plantes individuelles requis : le test du marqueur est effectué sur le même nombre de plantes individuelles, avec les mêmes critères de distinction, d'homogénéité et de stabilité que pour l'examen du caractère par un test d'observation (documents TGP/9 et TGP/10).</w:t>
            </w:r>
          </w:p>
        </w:tc>
      </w:tr>
      <w:tr w:rsidR="00D52685" w:rsidRPr="00EA4F84" w14:paraId="40117CF9" w14:textId="77777777" w:rsidTr="00BC380B">
        <w:trPr>
          <w:gridAfter w:val="1"/>
          <w:wAfter w:w="78" w:type="pct"/>
          <w:cantSplit/>
          <w:trHeight w:val="3000"/>
        </w:trPr>
        <w:tc>
          <w:tcPr>
            <w:tcW w:w="415" w:type="pct"/>
            <w:vAlign w:val="center"/>
            <w:hideMark/>
          </w:tcPr>
          <w:p w14:paraId="0560862D"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4.2</w:t>
            </w:r>
          </w:p>
        </w:tc>
        <w:tc>
          <w:tcPr>
            <w:tcW w:w="834" w:type="pct"/>
            <w:vAlign w:val="center"/>
            <w:hideMark/>
          </w:tcPr>
          <w:p w14:paraId="63082F42"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Variétés témoins</w:t>
            </w:r>
          </w:p>
        </w:tc>
        <w:tc>
          <w:tcPr>
            <w:tcW w:w="1184" w:type="pct"/>
            <w:vAlign w:val="center"/>
            <w:hideMark/>
          </w:tcPr>
          <w:p w14:paraId="4C09D8AF" w14:textId="77777777" w:rsidR="00D52685" w:rsidRPr="00EA4F84" w:rsidRDefault="00D52685" w:rsidP="00D52685">
            <w:pPr>
              <w:jc w:val="left"/>
              <w:rPr>
                <w:rFonts w:eastAsia="Times New Roman" w:cs="Arial"/>
                <w:i/>
                <w:iCs/>
                <w:color w:val="000000"/>
                <w:sz w:val="18"/>
                <w:szCs w:val="18"/>
                <w:lang w:eastAsia="fr-FR"/>
              </w:rPr>
            </w:pPr>
            <w:r w:rsidRPr="00EA4F84">
              <w:rPr>
                <w:rFonts w:eastAsia="Times New Roman" w:cs="Arial"/>
                <w:i/>
                <w:iCs/>
                <w:color w:val="000000"/>
                <w:sz w:val="18"/>
                <w:szCs w:val="18"/>
                <w:lang w:eastAsia="fr-FR"/>
              </w:rPr>
              <w:t>Voir TG/44/11/rev3 – Ad 51 : ii Test de marqueurs ADN ajouter 4.2</w:t>
            </w:r>
          </w:p>
        </w:tc>
        <w:tc>
          <w:tcPr>
            <w:tcW w:w="551" w:type="pct"/>
            <w:vAlign w:val="center"/>
            <w:hideMark/>
          </w:tcPr>
          <w:p w14:paraId="30CA8605"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OUI</w:t>
            </w:r>
          </w:p>
        </w:tc>
        <w:tc>
          <w:tcPr>
            <w:tcW w:w="1938" w:type="pct"/>
            <w:vAlign w:val="center"/>
            <w:hideMark/>
          </w:tcPr>
          <w:p w14:paraId="64843C7D"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themeColor="text1"/>
                <w:sz w:val="18"/>
                <w:szCs w:val="18"/>
                <w:lang w:eastAsia="nl-NL"/>
              </w:rPr>
              <w:t>Variétés témoins (les mêmes que dans l'essai d'observation) comme normes représentant toutes les combinaisons pertinentes d'allèles. Par exemple, homozygotes pour l'allèle correspondant à l'état d'expression 9 (présent), homozygotes pour l'allèle correspondant à l'état d'expression 1 (absent) et hétérozygotes (les deux allèles sont présents dans un diploïde) correspondant à la résistance, à la sensibilité ou à la résistance intermédiaire de la variété (selon la fonction du gène ; dominant - récessif). Les contrôles ADN peuvent être utilisés directement.</w:t>
            </w:r>
          </w:p>
        </w:tc>
      </w:tr>
      <w:tr w:rsidR="00D52685" w:rsidRPr="00EA4F84" w14:paraId="74DDF8DA" w14:textId="77777777" w:rsidTr="00BC380B">
        <w:trPr>
          <w:gridAfter w:val="1"/>
          <w:wAfter w:w="78" w:type="pct"/>
          <w:cantSplit/>
          <w:trHeight w:val="1770"/>
        </w:trPr>
        <w:tc>
          <w:tcPr>
            <w:tcW w:w="415" w:type="pct"/>
          </w:tcPr>
          <w:p w14:paraId="79F43611" w14:textId="77777777" w:rsidR="00D52685" w:rsidRPr="00EA4F84" w:rsidRDefault="00D52685" w:rsidP="00D52685">
            <w:pPr>
              <w:jc w:val="left"/>
              <w:rPr>
                <w:rFonts w:eastAsia="Times New Roman" w:cs="Arial"/>
                <w:color w:val="000000"/>
                <w:sz w:val="18"/>
                <w:szCs w:val="18"/>
                <w:lang w:eastAsia="nl-NL"/>
              </w:rPr>
            </w:pPr>
            <w:r w:rsidRPr="00EA4F84">
              <w:rPr>
                <w:rFonts w:eastAsia="Times New Roman" w:cs="Arial"/>
                <w:color w:val="000000"/>
                <w:sz w:val="18"/>
                <w:szCs w:val="18"/>
                <w:lang w:eastAsia="nl-NL"/>
              </w:rPr>
              <w:t>4.3</w:t>
            </w:r>
          </w:p>
        </w:tc>
        <w:tc>
          <w:tcPr>
            <w:tcW w:w="834" w:type="pct"/>
          </w:tcPr>
          <w:p w14:paraId="28CB33AC" w14:textId="77777777" w:rsidR="00D52685" w:rsidRPr="00EA4F84" w:rsidRDefault="00D52685" w:rsidP="00D52685">
            <w:pPr>
              <w:jc w:val="left"/>
              <w:rPr>
                <w:rFonts w:eastAsia="Times New Roman" w:cs="Arial"/>
                <w:color w:val="000000"/>
                <w:sz w:val="18"/>
                <w:szCs w:val="18"/>
                <w:lang w:eastAsia="nl-NL"/>
              </w:rPr>
            </w:pPr>
            <w:r w:rsidRPr="00EA4F84">
              <w:rPr>
                <w:rFonts w:eastAsia="Times New Roman" w:cs="Arial"/>
                <w:color w:val="000000" w:themeColor="text1"/>
                <w:sz w:val="18"/>
                <w:szCs w:val="18"/>
                <w:lang w:eastAsia="nl-NL"/>
              </w:rPr>
              <w:t>Contrôles de processus</w:t>
            </w:r>
          </w:p>
        </w:tc>
        <w:tc>
          <w:tcPr>
            <w:tcW w:w="1184" w:type="pct"/>
          </w:tcPr>
          <w:p w14:paraId="168A0CF4" w14:textId="77777777" w:rsidR="00D52685" w:rsidRPr="00EA4F84" w:rsidRDefault="00D52685" w:rsidP="00D52685">
            <w:pPr>
              <w:jc w:val="left"/>
              <w:rPr>
                <w:rFonts w:eastAsia="Times New Roman" w:cs="Arial"/>
                <w:i/>
                <w:iCs/>
                <w:color w:val="000000"/>
                <w:sz w:val="18"/>
                <w:szCs w:val="18"/>
                <w:lang w:eastAsia="fr-FR"/>
              </w:rPr>
            </w:pPr>
            <w:r w:rsidRPr="00EA4F84">
              <w:rPr>
                <w:rFonts w:eastAsia="Times New Roman" w:cs="Arial"/>
                <w:i/>
                <w:sz w:val="18"/>
                <w:szCs w:val="18"/>
              </w:rPr>
              <w:t>Par exemple, tampon utilisé pour l'extraction ; marqueur ciblant le gène de la cytochrome oxydase comme marqueur d'amplification interne.</w:t>
            </w:r>
          </w:p>
        </w:tc>
        <w:tc>
          <w:tcPr>
            <w:tcW w:w="551" w:type="pct"/>
          </w:tcPr>
          <w:p w14:paraId="491F9A59" w14:textId="77777777" w:rsidR="00D52685" w:rsidRPr="00EA4F84" w:rsidRDefault="00D52685" w:rsidP="00D52685">
            <w:pPr>
              <w:jc w:val="left"/>
              <w:rPr>
                <w:rFonts w:eastAsia="Times New Roman" w:cs="Arial"/>
                <w:color w:val="000000"/>
                <w:sz w:val="18"/>
                <w:szCs w:val="18"/>
                <w:lang w:eastAsia="nl-NL"/>
              </w:rPr>
            </w:pPr>
            <w:r w:rsidRPr="00EA4F84">
              <w:rPr>
                <w:rFonts w:eastAsia="Times New Roman" w:cs="Arial"/>
                <w:color w:val="000000" w:themeColor="text1"/>
                <w:sz w:val="18"/>
                <w:szCs w:val="18"/>
                <w:lang w:eastAsia="nl-NL"/>
              </w:rPr>
              <w:t>OUI</w:t>
            </w:r>
          </w:p>
        </w:tc>
        <w:tc>
          <w:tcPr>
            <w:tcW w:w="1938" w:type="pct"/>
          </w:tcPr>
          <w:p w14:paraId="5C711A87" w14:textId="77777777" w:rsidR="00D52685" w:rsidRPr="00EA4F84" w:rsidRDefault="00D52685" w:rsidP="00D52685">
            <w:pPr>
              <w:numPr>
                <w:ilvl w:val="0"/>
                <w:numId w:val="17"/>
              </w:numPr>
              <w:spacing w:after="200" w:line="276" w:lineRule="auto"/>
              <w:contextualSpacing/>
              <w:jc w:val="left"/>
              <w:rPr>
                <w:rFonts w:eastAsia="Calibri" w:cs="Arial"/>
                <w:color w:val="000000"/>
                <w:sz w:val="18"/>
                <w:szCs w:val="18"/>
                <w:lang w:eastAsia="nl-NL"/>
              </w:rPr>
            </w:pPr>
            <w:r w:rsidRPr="00EA4F84">
              <w:rPr>
                <w:rFonts w:eastAsia="Calibri" w:cs="Arial"/>
                <w:color w:val="000000" w:themeColor="text1"/>
                <w:sz w:val="18"/>
                <w:szCs w:val="18"/>
                <w:lang w:eastAsia="nl-NL"/>
              </w:rPr>
              <w:t>Contrôle(s) négatif(s) du processus</w:t>
            </w:r>
          </w:p>
          <w:p w14:paraId="7A1390D8" w14:textId="77777777" w:rsidR="00D52685" w:rsidRPr="00EA4F84" w:rsidRDefault="00D52685" w:rsidP="00D52685">
            <w:pPr>
              <w:numPr>
                <w:ilvl w:val="0"/>
                <w:numId w:val="17"/>
              </w:numPr>
              <w:spacing w:after="200" w:line="276" w:lineRule="auto"/>
              <w:contextualSpacing/>
              <w:jc w:val="left"/>
              <w:rPr>
                <w:rFonts w:eastAsia="Calibri" w:cs="Arial"/>
                <w:color w:val="000000"/>
                <w:sz w:val="18"/>
                <w:szCs w:val="18"/>
                <w:lang w:eastAsia="nl-NL"/>
              </w:rPr>
            </w:pPr>
            <w:r w:rsidRPr="00EA4F84">
              <w:rPr>
                <w:rFonts w:eastAsia="Calibri" w:cs="Arial"/>
                <w:color w:val="000000" w:themeColor="text1"/>
                <w:sz w:val="18"/>
                <w:szCs w:val="18"/>
                <w:lang w:eastAsia="nl-NL"/>
              </w:rPr>
              <w:t>Contrôle(s) ADN positif(s) pouvant être les variétés témoins</w:t>
            </w:r>
          </w:p>
          <w:p w14:paraId="5BA8AC92" w14:textId="02CBF92B" w:rsidR="00D52685" w:rsidRPr="00EA4F84" w:rsidRDefault="00D52685" w:rsidP="00D52685">
            <w:pPr>
              <w:numPr>
                <w:ilvl w:val="0"/>
                <w:numId w:val="17"/>
              </w:numPr>
              <w:spacing w:after="200" w:line="276" w:lineRule="auto"/>
              <w:contextualSpacing/>
              <w:jc w:val="left"/>
              <w:rPr>
                <w:rFonts w:eastAsia="Calibri" w:cs="Arial"/>
                <w:color w:val="000000"/>
                <w:sz w:val="18"/>
                <w:szCs w:val="18"/>
                <w:lang w:eastAsia="nl-NL"/>
              </w:rPr>
            </w:pPr>
            <w:r w:rsidRPr="00EA4F84">
              <w:rPr>
                <w:rFonts w:eastAsia="Calibri" w:cs="Arial"/>
                <w:color w:val="000000" w:themeColor="text1"/>
                <w:sz w:val="18"/>
                <w:szCs w:val="18"/>
                <w:lang w:eastAsia="nl-NL"/>
              </w:rPr>
              <w:t>Contrôle d'amplification interne en cas de marqueur de présence/absence</w:t>
            </w:r>
          </w:p>
          <w:p w14:paraId="70F151D9" w14:textId="77777777" w:rsidR="00D52685" w:rsidRPr="00EA4F84" w:rsidRDefault="00D52685" w:rsidP="00D52685">
            <w:pPr>
              <w:ind w:left="360"/>
              <w:jc w:val="left"/>
              <w:rPr>
                <w:rFonts w:eastAsia="Times New Roman" w:cs="Arial"/>
                <w:color w:val="000000"/>
                <w:sz w:val="18"/>
                <w:szCs w:val="18"/>
                <w:lang w:eastAsia="nl-NL"/>
              </w:rPr>
            </w:pPr>
          </w:p>
        </w:tc>
      </w:tr>
      <w:tr w:rsidR="00D52685" w:rsidRPr="00EA4F84" w14:paraId="6B12A2CB" w14:textId="77777777" w:rsidTr="00BC380B">
        <w:trPr>
          <w:gridAfter w:val="1"/>
          <w:wAfter w:w="78" w:type="pct"/>
          <w:cantSplit/>
          <w:trHeight w:val="510"/>
        </w:trPr>
        <w:tc>
          <w:tcPr>
            <w:tcW w:w="415" w:type="pct"/>
            <w:vMerge w:val="restart"/>
            <w:vAlign w:val="center"/>
            <w:hideMark/>
          </w:tcPr>
          <w:p w14:paraId="02A0A954"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lastRenderedPageBreak/>
              <w:t>5</w:t>
            </w:r>
          </w:p>
        </w:tc>
        <w:tc>
          <w:tcPr>
            <w:tcW w:w="834" w:type="pct"/>
            <w:vMerge w:val="restart"/>
            <w:vAlign w:val="center"/>
            <w:hideMark/>
          </w:tcPr>
          <w:p w14:paraId="688C9ECE"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Préparations</w:t>
            </w:r>
          </w:p>
        </w:tc>
        <w:tc>
          <w:tcPr>
            <w:tcW w:w="1184" w:type="pct"/>
            <w:vMerge w:val="restart"/>
            <w:vAlign w:val="center"/>
            <w:hideMark/>
          </w:tcPr>
          <w:p w14:paraId="75B533E1"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 xml:space="preserve"> Par </w:t>
            </w:r>
            <w:r w:rsidRPr="00EA4F84">
              <w:rPr>
                <w:rFonts w:eastAsia="Times New Roman" w:cs="Arial"/>
                <w:i/>
                <w:color w:val="000000"/>
                <w:sz w:val="18"/>
                <w:szCs w:val="18"/>
                <w:lang w:eastAsia="nl-NL"/>
              </w:rPr>
              <w:t xml:space="preserve">exemple, </w:t>
            </w:r>
            <w:r w:rsidRPr="00EA4F84">
              <w:rPr>
                <w:rFonts w:eastAsia="Times New Roman" w:cs="Arial"/>
                <w:color w:val="000000"/>
                <w:sz w:val="18"/>
                <w:szCs w:val="18"/>
                <w:lang w:eastAsia="nl-NL"/>
              </w:rPr>
              <w:t>échantillonnage de plantules âgées de 4 jours suivi d'une extraction d'ADN à l'aide de la méthode CTAB</w:t>
            </w:r>
          </w:p>
        </w:tc>
        <w:tc>
          <w:tcPr>
            <w:tcW w:w="551" w:type="pct"/>
            <w:vMerge w:val="restart"/>
            <w:vAlign w:val="center"/>
            <w:hideMark/>
          </w:tcPr>
          <w:p w14:paraId="439436EC"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NON</w:t>
            </w:r>
          </w:p>
        </w:tc>
        <w:tc>
          <w:tcPr>
            <w:tcW w:w="1938" w:type="pct"/>
            <w:vAlign w:val="center"/>
            <w:hideMark/>
          </w:tcPr>
          <w:p w14:paraId="280BE310"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Selon la méthode utilisée. Ne figure pas dans les lignes directrices pour les essais. Le ou les protocoles détaillés peuvent être fournis à titre d'exemple en annexe ou sur demande à l'organisme qui a mis au point le marqueur.</w:t>
            </w:r>
          </w:p>
        </w:tc>
      </w:tr>
      <w:tr w:rsidR="00D52685" w:rsidRPr="00EA4F84" w14:paraId="6BF79411" w14:textId="77777777" w:rsidTr="00BC380B">
        <w:trPr>
          <w:gridAfter w:val="1"/>
          <w:wAfter w:w="78" w:type="pct"/>
          <w:cantSplit/>
          <w:trHeight w:val="50"/>
        </w:trPr>
        <w:tc>
          <w:tcPr>
            <w:tcW w:w="415" w:type="pct"/>
            <w:vMerge/>
            <w:vAlign w:val="center"/>
            <w:hideMark/>
          </w:tcPr>
          <w:p w14:paraId="44FC389C" w14:textId="77777777" w:rsidR="00D52685" w:rsidRPr="00EA4F84" w:rsidRDefault="00D52685" w:rsidP="00D52685">
            <w:pPr>
              <w:jc w:val="left"/>
              <w:rPr>
                <w:rFonts w:eastAsia="Times New Roman" w:cs="Arial"/>
                <w:color w:val="000000"/>
                <w:sz w:val="18"/>
                <w:szCs w:val="18"/>
                <w:lang w:eastAsia="fr-FR"/>
              </w:rPr>
            </w:pPr>
          </w:p>
        </w:tc>
        <w:tc>
          <w:tcPr>
            <w:tcW w:w="834" w:type="pct"/>
            <w:vMerge/>
            <w:vAlign w:val="center"/>
            <w:hideMark/>
          </w:tcPr>
          <w:p w14:paraId="1B14A40C" w14:textId="77777777" w:rsidR="00D52685" w:rsidRPr="00EA4F84" w:rsidRDefault="00D52685" w:rsidP="00D52685">
            <w:pPr>
              <w:jc w:val="left"/>
              <w:rPr>
                <w:rFonts w:eastAsia="Times New Roman" w:cs="Arial"/>
                <w:color w:val="000000"/>
                <w:sz w:val="18"/>
                <w:szCs w:val="18"/>
                <w:lang w:eastAsia="fr-FR"/>
              </w:rPr>
            </w:pPr>
          </w:p>
        </w:tc>
        <w:tc>
          <w:tcPr>
            <w:tcW w:w="1184" w:type="pct"/>
            <w:vMerge/>
            <w:vAlign w:val="center"/>
            <w:hideMark/>
          </w:tcPr>
          <w:p w14:paraId="01E61F01" w14:textId="77777777" w:rsidR="00D52685" w:rsidRPr="00EA4F84" w:rsidRDefault="00D52685" w:rsidP="00D52685">
            <w:pPr>
              <w:jc w:val="left"/>
              <w:rPr>
                <w:rFonts w:eastAsia="Times New Roman" w:cs="Arial"/>
                <w:color w:val="000000"/>
                <w:sz w:val="18"/>
                <w:szCs w:val="18"/>
                <w:lang w:eastAsia="fr-FR"/>
              </w:rPr>
            </w:pPr>
          </w:p>
        </w:tc>
        <w:tc>
          <w:tcPr>
            <w:tcW w:w="551" w:type="pct"/>
            <w:vMerge/>
            <w:vAlign w:val="center"/>
            <w:hideMark/>
          </w:tcPr>
          <w:p w14:paraId="74401724" w14:textId="77777777" w:rsidR="00D52685" w:rsidRPr="00EA4F84" w:rsidRDefault="00D52685" w:rsidP="00D52685">
            <w:pPr>
              <w:jc w:val="left"/>
              <w:rPr>
                <w:rFonts w:eastAsia="Times New Roman" w:cs="Arial"/>
                <w:color w:val="000000"/>
                <w:sz w:val="18"/>
                <w:szCs w:val="18"/>
                <w:lang w:eastAsia="fr-FR"/>
              </w:rPr>
            </w:pPr>
          </w:p>
        </w:tc>
        <w:tc>
          <w:tcPr>
            <w:tcW w:w="1938" w:type="pct"/>
            <w:vAlign w:val="center"/>
            <w:hideMark/>
          </w:tcPr>
          <w:p w14:paraId="59C4BF9B" w14:textId="77777777" w:rsidR="00D52685" w:rsidRPr="00EA4F84" w:rsidRDefault="00D52685" w:rsidP="00D52685">
            <w:pPr>
              <w:jc w:val="left"/>
              <w:rPr>
                <w:rFonts w:eastAsia="Times New Roman" w:cs="Arial"/>
                <w:color w:val="000000"/>
                <w:sz w:val="18"/>
                <w:szCs w:val="18"/>
                <w:lang w:eastAsia="fr-FR"/>
              </w:rPr>
            </w:pPr>
          </w:p>
        </w:tc>
      </w:tr>
      <w:tr w:rsidR="00D52685" w:rsidRPr="00EA4F84" w14:paraId="0BD44695" w14:textId="77777777" w:rsidTr="00BC380B">
        <w:trPr>
          <w:gridAfter w:val="1"/>
          <w:wAfter w:w="78" w:type="pct"/>
          <w:cantSplit/>
          <w:trHeight w:val="510"/>
        </w:trPr>
        <w:tc>
          <w:tcPr>
            <w:tcW w:w="415" w:type="pct"/>
            <w:vMerge w:val="restart"/>
            <w:vAlign w:val="center"/>
            <w:hideMark/>
          </w:tcPr>
          <w:p w14:paraId="13F84C8F"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6</w:t>
            </w:r>
          </w:p>
        </w:tc>
        <w:tc>
          <w:tcPr>
            <w:tcW w:w="834" w:type="pct"/>
            <w:vMerge w:val="restart"/>
            <w:vAlign w:val="center"/>
            <w:hideMark/>
          </w:tcPr>
          <w:p w14:paraId="379DD182"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Technique de la méthode</w:t>
            </w:r>
          </w:p>
        </w:tc>
        <w:tc>
          <w:tcPr>
            <w:tcW w:w="1184" w:type="pct"/>
            <w:vAlign w:val="center"/>
            <w:hideMark/>
          </w:tcPr>
          <w:p w14:paraId="3C7B2D9C"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i/>
                <w:color w:val="000000" w:themeColor="text1"/>
                <w:sz w:val="18"/>
                <w:szCs w:val="18"/>
                <w:lang w:eastAsia="nl-NL"/>
              </w:rPr>
              <w:t xml:space="preserve">Par exemple, </w:t>
            </w:r>
            <w:r w:rsidRPr="00EA4F84">
              <w:rPr>
                <w:rFonts w:eastAsia="Times New Roman" w:cs="Arial"/>
                <w:color w:val="000000" w:themeColor="text1"/>
                <w:sz w:val="18"/>
                <w:szCs w:val="18"/>
                <w:lang w:eastAsia="nl-NL"/>
              </w:rPr>
              <w:t xml:space="preserve">PCR conventionnelle, TETRA-ARMS, </w:t>
            </w:r>
            <w:proofErr w:type="spellStart"/>
            <w:r w:rsidRPr="00EA4F84">
              <w:rPr>
                <w:rFonts w:eastAsia="Times New Roman" w:cs="Arial"/>
                <w:color w:val="000000" w:themeColor="text1"/>
                <w:sz w:val="18"/>
                <w:szCs w:val="18"/>
                <w:lang w:eastAsia="nl-NL"/>
              </w:rPr>
              <w:t>qPCR</w:t>
            </w:r>
            <w:proofErr w:type="spellEnd"/>
            <w:r w:rsidRPr="00EA4F84">
              <w:rPr>
                <w:rFonts w:eastAsia="Times New Roman" w:cs="Arial"/>
                <w:color w:val="000000" w:themeColor="text1"/>
                <w:sz w:val="18"/>
                <w:szCs w:val="18"/>
                <w:lang w:eastAsia="nl-NL"/>
              </w:rPr>
              <w:t xml:space="preserve">, KASP, séquençage d'amplicons. </w:t>
            </w:r>
          </w:p>
        </w:tc>
        <w:tc>
          <w:tcPr>
            <w:tcW w:w="551" w:type="pct"/>
            <w:vMerge w:val="restart"/>
            <w:vAlign w:val="center"/>
            <w:hideMark/>
          </w:tcPr>
          <w:p w14:paraId="5C919B27"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themeColor="text1"/>
                <w:sz w:val="18"/>
                <w:szCs w:val="18"/>
                <w:lang w:eastAsia="nl-NL"/>
              </w:rPr>
              <w:t>OUI</w:t>
            </w:r>
          </w:p>
        </w:tc>
        <w:tc>
          <w:tcPr>
            <w:tcW w:w="1938" w:type="pct"/>
            <w:vMerge w:val="restart"/>
            <w:vAlign w:val="center"/>
            <w:hideMark/>
          </w:tcPr>
          <w:p w14:paraId="58FA0D12"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 xml:space="preserve">. </w:t>
            </w:r>
          </w:p>
        </w:tc>
      </w:tr>
      <w:tr w:rsidR="00D52685" w:rsidRPr="00EA4F84" w14:paraId="549DA130" w14:textId="77777777" w:rsidTr="00BC380B">
        <w:trPr>
          <w:gridAfter w:val="1"/>
          <w:wAfter w:w="78" w:type="pct"/>
          <w:cantSplit/>
          <w:trHeight w:val="525"/>
        </w:trPr>
        <w:tc>
          <w:tcPr>
            <w:tcW w:w="415" w:type="pct"/>
            <w:vMerge/>
            <w:vAlign w:val="center"/>
            <w:hideMark/>
          </w:tcPr>
          <w:p w14:paraId="69A469D7" w14:textId="77777777" w:rsidR="00D52685" w:rsidRPr="00EA4F84" w:rsidRDefault="00D52685" w:rsidP="00D52685">
            <w:pPr>
              <w:jc w:val="left"/>
              <w:rPr>
                <w:rFonts w:eastAsia="Times New Roman" w:cs="Arial"/>
                <w:color w:val="000000"/>
                <w:sz w:val="18"/>
                <w:szCs w:val="18"/>
                <w:lang w:eastAsia="fr-FR"/>
              </w:rPr>
            </w:pPr>
          </w:p>
        </w:tc>
        <w:tc>
          <w:tcPr>
            <w:tcW w:w="834" w:type="pct"/>
            <w:vMerge/>
            <w:vAlign w:val="center"/>
            <w:hideMark/>
          </w:tcPr>
          <w:p w14:paraId="637D4148" w14:textId="77777777" w:rsidR="00D52685" w:rsidRPr="00EA4F84" w:rsidRDefault="00D52685" w:rsidP="00D52685">
            <w:pPr>
              <w:jc w:val="left"/>
              <w:rPr>
                <w:rFonts w:eastAsia="Times New Roman" w:cs="Arial"/>
                <w:color w:val="000000"/>
                <w:sz w:val="18"/>
                <w:szCs w:val="18"/>
                <w:lang w:eastAsia="fr-FR"/>
              </w:rPr>
            </w:pPr>
          </w:p>
        </w:tc>
        <w:tc>
          <w:tcPr>
            <w:tcW w:w="1184" w:type="pct"/>
            <w:vAlign w:val="center"/>
            <w:hideMark/>
          </w:tcPr>
          <w:p w14:paraId="573E61BD" w14:textId="77777777" w:rsidR="00D52685" w:rsidRPr="00EA4F84" w:rsidRDefault="00D52685" w:rsidP="00D52685">
            <w:pPr>
              <w:jc w:val="left"/>
              <w:rPr>
                <w:rFonts w:eastAsia="Times New Roman" w:cs="Arial"/>
                <w:i/>
                <w:iCs/>
                <w:color w:val="000000"/>
                <w:sz w:val="18"/>
                <w:szCs w:val="18"/>
                <w:lang w:eastAsia="fr-FR"/>
              </w:rPr>
            </w:pPr>
            <w:r w:rsidRPr="00EA4F84">
              <w:rPr>
                <w:rFonts w:eastAsia="Times New Roman" w:cs="Arial"/>
                <w:i/>
                <w:color w:val="000000" w:themeColor="text1"/>
                <w:sz w:val="18"/>
                <w:szCs w:val="18"/>
                <w:lang w:eastAsia="fr-FR"/>
              </w:rPr>
              <w:t>Voir TG/44/11/rev3 – Ad 51 : ii Test de marqueurs ADN ajouter 6</w:t>
            </w:r>
          </w:p>
        </w:tc>
        <w:tc>
          <w:tcPr>
            <w:tcW w:w="551" w:type="pct"/>
            <w:vMerge/>
            <w:vAlign w:val="center"/>
            <w:hideMark/>
          </w:tcPr>
          <w:p w14:paraId="0F386FCC" w14:textId="77777777" w:rsidR="00D52685" w:rsidRPr="00EA4F84" w:rsidRDefault="00D52685" w:rsidP="00D52685">
            <w:pPr>
              <w:jc w:val="left"/>
              <w:rPr>
                <w:rFonts w:eastAsia="Times New Roman" w:cs="Arial"/>
                <w:color w:val="000000"/>
                <w:sz w:val="18"/>
                <w:szCs w:val="18"/>
                <w:lang w:eastAsia="fr-FR"/>
              </w:rPr>
            </w:pPr>
          </w:p>
        </w:tc>
        <w:tc>
          <w:tcPr>
            <w:tcW w:w="1938" w:type="pct"/>
            <w:vMerge/>
            <w:vAlign w:val="center"/>
            <w:hideMark/>
          </w:tcPr>
          <w:p w14:paraId="03259A50" w14:textId="77777777" w:rsidR="00D52685" w:rsidRPr="00EA4F84" w:rsidRDefault="00D52685" w:rsidP="00D52685">
            <w:pPr>
              <w:jc w:val="left"/>
              <w:rPr>
                <w:rFonts w:eastAsia="Times New Roman" w:cs="Arial"/>
                <w:color w:val="000000"/>
                <w:sz w:val="18"/>
                <w:szCs w:val="18"/>
                <w:lang w:eastAsia="fr-FR"/>
              </w:rPr>
            </w:pPr>
          </w:p>
        </w:tc>
      </w:tr>
      <w:tr w:rsidR="00D52685" w:rsidRPr="00EA4F84" w14:paraId="3866CB4D" w14:textId="77777777" w:rsidTr="00BC380B">
        <w:trPr>
          <w:gridAfter w:val="1"/>
          <w:wAfter w:w="78" w:type="pct"/>
          <w:cantSplit/>
          <w:trHeight w:val="300"/>
        </w:trPr>
        <w:tc>
          <w:tcPr>
            <w:tcW w:w="415" w:type="pct"/>
            <w:vMerge w:val="restart"/>
            <w:vAlign w:val="center"/>
            <w:hideMark/>
          </w:tcPr>
          <w:p w14:paraId="3E3D9C23"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6.1</w:t>
            </w:r>
          </w:p>
        </w:tc>
        <w:tc>
          <w:tcPr>
            <w:tcW w:w="834" w:type="pct"/>
            <w:vMerge w:val="restart"/>
            <w:vAlign w:val="center"/>
            <w:hideMark/>
          </w:tcPr>
          <w:p w14:paraId="5C9BB232"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Conditions particulières</w:t>
            </w:r>
          </w:p>
        </w:tc>
        <w:tc>
          <w:tcPr>
            <w:tcW w:w="1184" w:type="pct"/>
            <w:vMerge w:val="restart"/>
            <w:vAlign w:val="center"/>
            <w:hideMark/>
          </w:tcPr>
          <w:p w14:paraId="5C100CF1"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i/>
                <w:color w:val="000000"/>
                <w:sz w:val="18"/>
                <w:szCs w:val="18"/>
                <w:lang w:eastAsia="nl-NL"/>
              </w:rPr>
              <w:t xml:space="preserve">Par exemple, </w:t>
            </w:r>
            <w:r w:rsidRPr="00EA4F84">
              <w:rPr>
                <w:rFonts w:eastAsia="Times New Roman" w:cs="Arial"/>
                <w:color w:val="000000"/>
                <w:sz w:val="18"/>
                <w:szCs w:val="18"/>
                <w:lang w:eastAsia="nl-NL"/>
              </w:rPr>
              <w:t xml:space="preserve">protocole PCR décrivant les concentrations d'amorces, d'enzymes et de dNTP, schéma du cycle PCR. </w:t>
            </w:r>
          </w:p>
        </w:tc>
        <w:tc>
          <w:tcPr>
            <w:tcW w:w="551" w:type="pct"/>
            <w:vMerge w:val="restart"/>
            <w:vAlign w:val="center"/>
            <w:hideMark/>
          </w:tcPr>
          <w:p w14:paraId="6ECD5F27"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NON</w:t>
            </w:r>
          </w:p>
        </w:tc>
        <w:tc>
          <w:tcPr>
            <w:tcW w:w="1938" w:type="pct"/>
            <w:vMerge w:val="restart"/>
            <w:vAlign w:val="center"/>
            <w:hideMark/>
          </w:tcPr>
          <w:p w14:paraId="57C840B2"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Selon la méthode utilisée. Ne figure pas dans les principes directeurs d'essai. Le ou les protocoles détaillés peuvent être fournis à titre d'exemple en annexe ou sur demande à l'institut qui a mis au point le marqueur.</w:t>
            </w:r>
          </w:p>
        </w:tc>
      </w:tr>
      <w:tr w:rsidR="00D52685" w:rsidRPr="00EA4F84" w14:paraId="5F0B8011" w14:textId="77777777" w:rsidTr="00BC380B">
        <w:trPr>
          <w:cantSplit/>
          <w:trHeight w:val="1005"/>
        </w:trPr>
        <w:tc>
          <w:tcPr>
            <w:tcW w:w="415" w:type="pct"/>
            <w:vMerge/>
            <w:vAlign w:val="center"/>
            <w:hideMark/>
          </w:tcPr>
          <w:p w14:paraId="5A920C42" w14:textId="77777777" w:rsidR="00D52685" w:rsidRPr="00EA4F84" w:rsidRDefault="00D52685" w:rsidP="00D52685">
            <w:pPr>
              <w:jc w:val="left"/>
              <w:rPr>
                <w:rFonts w:eastAsia="Times New Roman" w:cs="Arial"/>
                <w:color w:val="000000"/>
                <w:sz w:val="18"/>
                <w:szCs w:val="18"/>
                <w:lang w:eastAsia="fr-FR"/>
              </w:rPr>
            </w:pPr>
          </w:p>
        </w:tc>
        <w:tc>
          <w:tcPr>
            <w:tcW w:w="834" w:type="pct"/>
            <w:vMerge/>
            <w:vAlign w:val="center"/>
            <w:hideMark/>
          </w:tcPr>
          <w:p w14:paraId="2FED1E2A" w14:textId="77777777" w:rsidR="00D52685" w:rsidRPr="00EA4F84" w:rsidRDefault="00D52685" w:rsidP="00D52685">
            <w:pPr>
              <w:jc w:val="left"/>
              <w:rPr>
                <w:rFonts w:eastAsia="Times New Roman" w:cs="Arial"/>
                <w:color w:val="000000"/>
                <w:sz w:val="18"/>
                <w:szCs w:val="18"/>
                <w:lang w:eastAsia="fr-FR"/>
              </w:rPr>
            </w:pPr>
          </w:p>
        </w:tc>
        <w:tc>
          <w:tcPr>
            <w:tcW w:w="1184" w:type="pct"/>
            <w:vMerge/>
            <w:vAlign w:val="center"/>
            <w:hideMark/>
          </w:tcPr>
          <w:p w14:paraId="36AAF119" w14:textId="77777777" w:rsidR="00D52685" w:rsidRPr="00EA4F84" w:rsidRDefault="00D52685" w:rsidP="00D52685">
            <w:pPr>
              <w:jc w:val="left"/>
              <w:rPr>
                <w:rFonts w:eastAsia="Times New Roman" w:cs="Arial"/>
                <w:color w:val="000000"/>
                <w:sz w:val="18"/>
                <w:szCs w:val="18"/>
                <w:lang w:eastAsia="fr-FR"/>
              </w:rPr>
            </w:pPr>
          </w:p>
        </w:tc>
        <w:tc>
          <w:tcPr>
            <w:tcW w:w="551" w:type="pct"/>
            <w:vMerge/>
            <w:vAlign w:val="center"/>
            <w:hideMark/>
          </w:tcPr>
          <w:p w14:paraId="56F01CA1" w14:textId="77777777" w:rsidR="00D52685" w:rsidRPr="00EA4F84" w:rsidRDefault="00D52685" w:rsidP="00D52685">
            <w:pPr>
              <w:jc w:val="left"/>
              <w:rPr>
                <w:rFonts w:eastAsia="Times New Roman" w:cs="Arial"/>
                <w:color w:val="000000"/>
                <w:sz w:val="18"/>
                <w:szCs w:val="18"/>
                <w:lang w:eastAsia="fr-FR"/>
              </w:rPr>
            </w:pPr>
          </w:p>
        </w:tc>
        <w:tc>
          <w:tcPr>
            <w:tcW w:w="1938" w:type="pct"/>
            <w:vMerge/>
            <w:vAlign w:val="center"/>
            <w:hideMark/>
          </w:tcPr>
          <w:p w14:paraId="54873071" w14:textId="77777777" w:rsidR="00D52685" w:rsidRPr="00EA4F84" w:rsidRDefault="00D52685" w:rsidP="00D52685">
            <w:pPr>
              <w:jc w:val="left"/>
              <w:rPr>
                <w:rFonts w:eastAsia="Times New Roman" w:cs="Arial"/>
                <w:color w:val="000000"/>
                <w:sz w:val="18"/>
                <w:szCs w:val="18"/>
                <w:lang w:eastAsia="fr-FR"/>
              </w:rPr>
            </w:pPr>
          </w:p>
        </w:tc>
        <w:tc>
          <w:tcPr>
            <w:tcW w:w="78" w:type="pct"/>
            <w:noWrap/>
            <w:vAlign w:val="bottom"/>
            <w:hideMark/>
          </w:tcPr>
          <w:p w14:paraId="615A44BA" w14:textId="77777777" w:rsidR="00D52685" w:rsidRPr="00EA4F84" w:rsidRDefault="00D52685" w:rsidP="00D52685">
            <w:pPr>
              <w:rPr>
                <w:rFonts w:eastAsia="Times New Roman" w:cs="Arial"/>
                <w:color w:val="000000"/>
                <w:lang w:eastAsia="fr-FR"/>
              </w:rPr>
            </w:pPr>
          </w:p>
        </w:tc>
      </w:tr>
      <w:tr w:rsidR="00D52685" w:rsidRPr="00EA4F84" w14:paraId="34659FBE" w14:textId="77777777" w:rsidTr="00BC380B">
        <w:trPr>
          <w:cantSplit/>
          <w:trHeight w:val="300"/>
        </w:trPr>
        <w:tc>
          <w:tcPr>
            <w:tcW w:w="415" w:type="pct"/>
            <w:vMerge w:val="restart"/>
            <w:vAlign w:val="center"/>
            <w:hideMark/>
          </w:tcPr>
          <w:p w14:paraId="573CE69D" w14:textId="77777777" w:rsidR="00D52685" w:rsidRPr="00EA4F84" w:rsidRDefault="00D52685" w:rsidP="00D52685">
            <w:pPr>
              <w:keepNext/>
              <w:jc w:val="left"/>
              <w:rPr>
                <w:rFonts w:eastAsia="Times New Roman" w:cs="Arial"/>
                <w:color w:val="000000"/>
                <w:sz w:val="18"/>
                <w:szCs w:val="18"/>
                <w:lang w:eastAsia="fr-FR"/>
              </w:rPr>
            </w:pPr>
            <w:r w:rsidRPr="00EA4F84">
              <w:rPr>
                <w:rFonts w:eastAsia="Times New Roman" w:cs="Arial"/>
                <w:color w:val="000000"/>
                <w:sz w:val="18"/>
                <w:szCs w:val="18"/>
                <w:lang w:eastAsia="nl-NL"/>
              </w:rPr>
              <w:t>6.2</w:t>
            </w:r>
          </w:p>
        </w:tc>
        <w:tc>
          <w:tcPr>
            <w:tcW w:w="834" w:type="pct"/>
            <w:vMerge w:val="restart"/>
            <w:vAlign w:val="center"/>
            <w:hideMark/>
          </w:tcPr>
          <w:p w14:paraId="5667F817" w14:textId="77777777" w:rsidR="00D52685" w:rsidRPr="00EA4F84" w:rsidRDefault="00D52685" w:rsidP="00D52685">
            <w:pPr>
              <w:keepNext/>
              <w:jc w:val="left"/>
              <w:rPr>
                <w:rFonts w:eastAsia="Times New Roman" w:cs="Arial"/>
                <w:color w:val="000000"/>
                <w:sz w:val="18"/>
                <w:szCs w:val="18"/>
                <w:lang w:eastAsia="fr-FR"/>
              </w:rPr>
            </w:pPr>
            <w:r w:rsidRPr="00EA4F84">
              <w:rPr>
                <w:rFonts w:eastAsia="Times New Roman" w:cs="Arial"/>
                <w:color w:val="000000"/>
                <w:sz w:val="18"/>
                <w:szCs w:val="18"/>
                <w:lang w:eastAsia="nl-NL"/>
              </w:rPr>
              <w:t>Matériel ou infrastructure particuliers</w:t>
            </w:r>
          </w:p>
        </w:tc>
        <w:tc>
          <w:tcPr>
            <w:tcW w:w="1184" w:type="pct"/>
            <w:vMerge w:val="restart"/>
            <w:vAlign w:val="center"/>
            <w:hideMark/>
          </w:tcPr>
          <w:p w14:paraId="6DA56923" w14:textId="77777777" w:rsidR="00D52685" w:rsidRPr="00EA4F84" w:rsidRDefault="00D52685" w:rsidP="00D52685">
            <w:pPr>
              <w:keepNext/>
              <w:jc w:val="left"/>
              <w:rPr>
                <w:rFonts w:eastAsia="Times New Roman" w:cs="Arial"/>
                <w:color w:val="000000"/>
                <w:sz w:val="18"/>
                <w:szCs w:val="18"/>
                <w:lang w:eastAsia="fr-FR"/>
              </w:rPr>
            </w:pPr>
            <w:r w:rsidRPr="00EA4F84">
              <w:rPr>
                <w:rFonts w:eastAsia="Times New Roman" w:cs="Arial"/>
                <w:i/>
                <w:color w:val="000000"/>
                <w:sz w:val="18"/>
                <w:szCs w:val="18"/>
                <w:lang w:eastAsia="nl-NL"/>
              </w:rPr>
              <w:t>Par exemple</w:t>
            </w:r>
            <w:r w:rsidRPr="00EA4F84">
              <w:rPr>
                <w:rFonts w:eastAsia="Times New Roman" w:cs="Arial"/>
                <w:color w:val="000000"/>
                <w:sz w:val="18"/>
                <w:szCs w:val="18"/>
                <w:lang w:eastAsia="nl-NL"/>
              </w:rPr>
              <w:t xml:space="preserve">, machines, kits commerciaux, fabricants de composants, numéros de lot des produits chimiques. </w:t>
            </w:r>
          </w:p>
        </w:tc>
        <w:tc>
          <w:tcPr>
            <w:tcW w:w="551" w:type="pct"/>
            <w:vMerge w:val="restart"/>
            <w:vAlign w:val="center"/>
            <w:hideMark/>
          </w:tcPr>
          <w:p w14:paraId="7DBF5B4C" w14:textId="77777777" w:rsidR="00D52685" w:rsidRPr="00EA4F84" w:rsidRDefault="00D52685" w:rsidP="00D52685">
            <w:pPr>
              <w:keepNext/>
              <w:jc w:val="left"/>
              <w:rPr>
                <w:rFonts w:eastAsia="Times New Roman" w:cs="Arial"/>
                <w:color w:val="000000"/>
                <w:sz w:val="18"/>
                <w:szCs w:val="18"/>
                <w:lang w:eastAsia="fr-FR"/>
              </w:rPr>
            </w:pPr>
            <w:r w:rsidRPr="00EA4F84">
              <w:rPr>
                <w:rFonts w:eastAsia="Times New Roman" w:cs="Arial"/>
                <w:color w:val="000000"/>
                <w:sz w:val="18"/>
                <w:szCs w:val="18"/>
                <w:lang w:eastAsia="nl-NL"/>
              </w:rPr>
              <w:t>NON</w:t>
            </w:r>
          </w:p>
        </w:tc>
        <w:tc>
          <w:tcPr>
            <w:tcW w:w="1938" w:type="pct"/>
            <w:vMerge w:val="restart"/>
            <w:vAlign w:val="center"/>
            <w:hideMark/>
          </w:tcPr>
          <w:p w14:paraId="311E6EEB" w14:textId="77777777" w:rsidR="00D52685" w:rsidRPr="00EA4F84" w:rsidRDefault="00D52685" w:rsidP="00D52685">
            <w:pPr>
              <w:keepNext/>
              <w:jc w:val="left"/>
              <w:rPr>
                <w:rFonts w:eastAsia="Times New Roman" w:cs="Arial"/>
                <w:color w:val="000000"/>
                <w:sz w:val="18"/>
                <w:szCs w:val="18"/>
                <w:lang w:eastAsia="fr-FR"/>
              </w:rPr>
            </w:pPr>
            <w:r w:rsidRPr="00EA4F84">
              <w:rPr>
                <w:rFonts w:eastAsia="Times New Roman" w:cs="Arial"/>
                <w:color w:val="000000"/>
                <w:sz w:val="18"/>
                <w:szCs w:val="18"/>
                <w:lang w:eastAsia="nl-NL"/>
              </w:rPr>
              <w:t>Selon la méthode utilisée. Ne figure pas dans les lignes directrices d'essai. Le ou les protocoles détaillés peuvent être fournis à titre d'exemple en annexe ou sur demande auprès de l'institut qui a mis au point le marqueur.</w:t>
            </w:r>
          </w:p>
        </w:tc>
        <w:tc>
          <w:tcPr>
            <w:tcW w:w="78" w:type="pct"/>
            <w:vAlign w:val="center"/>
            <w:hideMark/>
          </w:tcPr>
          <w:p w14:paraId="7791EE08" w14:textId="77777777" w:rsidR="00D52685" w:rsidRPr="00EA4F84" w:rsidRDefault="00D52685" w:rsidP="00D52685">
            <w:pPr>
              <w:keepNext/>
              <w:rPr>
                <w:rFonts w:ascii="Times New Roman" w:eastAsia="Times New Roman" w:hAnsi="Times New Roman"/>
                <w:lang w:eastAsia="fr-FR"/>
              </w:rPr>
            </w:pPr>
          </w:p>
        </w:tc>
      </w:tr>
      <w:tr w:rsidR="00D52685" w:rsidRPr="00EA4F84" w14:paraId="5EF8C19F" w14:textId="77777777" w:rsidTr="00BC380B">
        <w:trPr>
          <w:cantSplit/>
          <w:trHeight w:val="1005"/>
        </w:trPr>
        <w:tc>
          <w:tcPr>
            <w:tcW w:w="415" w:type="pct"/>
            <w:vMerge/>
            <w:vAlign w:val="center"/>
            <w:hideMark/>
          </w:tcPr>
          <w:p w14:paraId="39AE1929" w14:textId="77777777" w:rsidR="00D52685" w:rsidRPr="00EA4F84" w:rsidRDefault="00D52685" w:rsidP="00D52685">
            <w:pPr>
              <w:jc w:val="left"/>
              <w:rPr>
                <w:rFonts w:eastAsia="Times New Roman" w:cs="Arial"/>
                <w:color w:val="000000"/>
                <w:sz w:val="18"/>
                <w:szCs w:val="18"/>
                <w:lang w:eastAsia="fr-FR"/>
              </w:rPr>
            </w:pPr>
          </w:p>
        </w:tc>
        <w:tc>
          <w:tcPr>
            <w:tcW w:w="834" w:type="pct"/>
            <w:vMerge/>
            <w:vAlign w:val="center"/>
            <w:hideMark/>
          </w:tcPr>
          <w:p w14:paraId="67080B44" w14:textId="77777777" w:rsidR="00D52685" w:rsidRPr="00EA4F84" w:rsidRDefault="00D52685" w:rsidP="00D52685">
            <w:pPr>
              <w:jc w:val="left"/>
              <w:rPr>
                <w:rFonts w:eastAsia="Times New Roman" w:cs="Arial"/>
                <w:color w:val="000000"/>
                <w:sz w:val="18"/>
                <w:szCs w:val="18"/>
                <w:lang w:eastAsia="fr-FR"/>
              </w:rPr>
            </w:pPr>
          </w:p>
        </w:tc>
        <w:tc>
          <w:tcPr>
            <w:tcW w:w="1184" w:type="pct"/>
            <w:vMerge/>
            <w:vAlign w:val="center"/>
            <w:hideMark/>
          </w:tcPr>
          <w:p w14:paraId="3AA51395" w14:textId="77777777" w:rsidR="00D52685" w:rsidRPr="00EA4F84" w:rsidRDefault="00D52685" w:rsidP="00D52685">
            <w:pPr>
              <w:jc w:val="left"/>
              <w:rPr>
                <w:rFonts w:eastAsia="Times New Roman" w:cs="Arial"/>
                <w:color w:val="000000"/>
                <w:sz w:val="18"/>
                <w:szCs w:val="18"/>
                <w:lang w:eastAsia="fr-FR"/>
              </w:rPr>
            </w:pPr>
          </w:p>
        </w:tc>
        <w:tc>
          <w:tcPr>
            <w:tcW w:w="551" w:type="pct"/>
            <w:vMerge/>
            <w:vAlign w:val="center"/>
            <w:hideMark/>
          </w:tcPr>
          <w:p w14:paraId="69ED19D6" w14:textId="77777777" w:rsidR="00D52685" w:rsidRPr="00EA4F84" w:rsidRDefault="00D52685" w:rsidP="00D52685">
            <w:pPr>
              <w:jc w:val="left"/>
              <w:rPr>
                <w:rFonts w:eastAsia="Times New Roman" w:cs="Arial"/>
                <w:color w:val="000000"/>
                <w:sz w:val="18"/>
                <w:szCs w:val="18"/>
                <w:lang w:eastAsia="fr-FR"/>
              </w:rPr>
            </w:pPr>
          </w:p>
        </w:tc>
        <w:tc>
          <w:tcPr>
            <w:tcW w:w="1938" w:type="pct"/>
            <w:vMerge/>
            <w:vAlign w:val="center"/>
            <w:hideMark/>
          </w:tcPr>
          <w:p w14:paraId="4805175C" w14:textId="77777777" w:rsidR="00D52685" w:rsidRPr="00EA4F84" w:rsidRDefault="00D52685" w:rsidP="00D52685">
            <w:pPr>
              <w:jc w:val="left"/>
              <w:rPr>
                <w:rFonts w:eastAsia="Times New Roman" w:cs="Arial"/>
                <w:color w:val="000000"/>
                <w:sz w:val="18"/>
                <w:szCs w:val="18"/>
                <w:lang w:eastAsia="fr-FR"/>
              </w:rPr>
            </w:pPr>
          </w:p>
        </w:tc>
        <w:tc>
          <w:tcPr>
            <w:tcW w:w="78" w:type="pct"/>
            <w:noWrap/>
            <w:vAlign w:val="bottom"/>
            <w:hideMark/>
          </w:tcPr>
          <w:p w14:paraId="065DFE7D" w14:textId="77777777" w:rsidR="00D52685" w:rsidRPr="00EA4F84" w:rsidRDefault="00D52685" w:rsidP="00D52685">
            <w:pPr>
              <w:rPr>
                <w:rFonts w:eastAsia="Times New Roman" w:cs="Arial"/>
                <w:color w:val="000000"/>
                <w:lang w:eastAsia="fr-FR"/>
              </w:rPr>
            </w:pPr>
          </w:p>
        </w:tc>
      </w:tr>
      <w:tr w:rsidR="00D52685" w:rsidRPr="00EA4F84" w14:paraId="0911E5F5" w14:textId="77777777" w:rsidTr="00BC380B">
        <w:trPr>
          <w:cantSplit/>
          <w:trHeight w:val="300"/>
        </w:trPr>
        <w:tc>
          <w:tcPr>
            <w:tcW w:w="415" w:type="pct"/>
            <w:vMerge w:val="restart"/>
            <w:vAlign w:val="center"/>
            <w:hideMark/>
          </w:tcPr>
          <w:p w14:paraId="0828E428"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7</w:t>
            </w:r>
          </w:p>
        </w:tc>
        <w:tc>
          <w:tcPr>
            <w:tcW w:w="834" w:type="pct"/>
            <w:vMerge w:val="restart"/>
            <w:vAlign w:val="center"/>
            <w:hideMark/>
          </w:tcPr>
          <w:p w14:paraId="23C57B85"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Observations</w:t>
            </w:r>
          </w:p>
        </w:tc>
        <w:tc>
          <w:tcPr>
            <w:tcW w:w="1184" w:type="pct"/>
            <w:vMerge w:val="restart"/>
            <w:vAlign w:val="center"/>
            <w:hideMark/>
          </w:tcPr>
          <w:p w14:paraId="6A205E80"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i/>
                <w:color w:val="000000"/>
                <w:sz w:val="18"/>
                <w:szCs w:val="18"/>
                <w:lang w:eastAsia="nl-NL"/>
              </w:rPr>
              <w:t xml:space="preserve">Par exemple, </w:t>
            </w:r>
            <w:r w:rsidRPr="00EA4F84">
              <w:rPr>
                <w:rFonts w:eastAsia="Times New Roman" w:cs="Arial"/>
                <w:color w:val="000000"/>
                <w:sz w:val="18"/>
                <w:szCs w:val="18"/>
                <w:lang w:eastAsia="nl-NL"/>
              </w:rPr>
              <w:t>bandes sur gel d'agarose (PCR conventionnelle), valeurs Ct (</w:t>
            </w:r>
            <w:proofErr w:type="spellStart"/>
            <w:r w:rsidRPr="00EA4F84">
              <w:rPr>
                <w:rFonts w:eastAsia="Times New Roman" w:cs="Arial"/>
                <w:color w:val="000000"/>
                <w:sz w:val="18"/>
                <w:szCs w:val="18"/>
                <w:lang w:eastAsia="nl-NL"/>
              </w:rPr>
              <w:t>qPCR</w:t>
            </w:r>
            <w:proofErr w:type="spellEnd"/>
            <w:r w:rsidRPr="00EA4F84">
              <w:rPr>
                <w:rFonts w:eastAsia="Times New Roman" w:cs="Arial"/>
                <w:color w:val="000000"/>
                <w:sz w:val="18"/>
                <w:szCs w:val="18"/>
                <w:lang w:eastAsia="nl-NL"/>
              </w:rPr>
              <w:t xml:space="preserve">), identification des variants basée sur les lectures de séquençage. </w:t>
            </w:r>
          </w:p>
        </w:tc>
        <w:tc>
          <w:tcPr>
            <w:tcW w:w="551" w:type="pct"/>
            <w:vMerge w:val="restart"/>
            <w:vAlign w:val="center"/>
            <w:hideMark/>
          </w:tcPr>
          <w:p w14:paraId="76D655C0"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NON</w:t>
            </w:r>
          </w:p>
        </w:tc>
        <w:tc>
          <w:tcPr>
            <w:tcW w:w="1938" w:type="pct"/>
            <w:vMerge w:val="restart"/>
            <w:vAlign w:val="center"/>
            <w:hideMark/>
          </w:tcPr>
          <w:p w14:paraId="17A48D41"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nl-NL"/>
              </w:rPr>
              <w:t>Selon la méthode utilisée. Ne figure pas dans les lignes directrices relatives aux essais. Le ou les protocoles détaillés peuvent être fournis à titre d'exemple en annexe ou sur demande auprès de l'institut qui a développé le marqueur.</w:t>
            </w:r>
          </w:p>
        </w:tc>
        <w:tc>
          <w:tcPr>
            <w:tcW w:w="78" w:type="pct"/>
            <w:vAlign w:val="center"/>
            <w:hideMark/>
          </w:tcPr>
          <w:p w14:paraId="1ECBBCAC" w14:textId="77777777" w:rsidR="00D52685" w:rsidRPr="00EA4F84" w:rsidRDefault="00D52685" w:rsidP="00D52685">
            <w:pPr>
              <w:rPr>
                <w:rFonts w:ascii="Times New Roman" w:eastAsia="Times New Roman" w:hAnsi="Times New Roman"/>
                <w:lang w:eastAsia="fr-FR"/>
              </w:rPr>
            </w:pPr>
          </w:p>
        </w:tc>
      </w:tr>
      <w:tr w:rsidR="00D52685" w:rsidRPr="00EA4F84" w14:paraId="28A1C2C1" w14:textId="77777777" w:rsidTr="00BC380B">
        <w:trPr>
          <w:cantSplit/>
          <w:trHeight w:val="945"/>
        </w:trPr>
        <w:tc>
          <w:tcPr>
            <w:tcW w:w="415" w:type="pct"/>
            <w:vMerge/>
            <w:vAlign w:val="center"/>
            <w:hideMark/>
          </w:tcPr>
          <w:p w14:paraId="0EAFA8D2" w14:textId="77777777" w:rsidR="00D52685" w:rsidRPr="00EA4F84" w:rsidRDefault="00D52685" w:rsidP="00D52685">
            <w:pPr>
              <w:jc w:val="left"/>
              <w:rPr>
                <w:rFonts w:eastAsia="Times New Roman" w:cs="Arial"/>
                <w:color w:val="000000"/>
                <w:sz w:val="18"/>
                <w:szCs w:val="18"/>
                <w:lang w:eastAsia="fr-FR"/>
              </w:rPr>
            </w:pPr>
          </w:p>
        </w:tc>
        <w:tc>
          <w:tcPr>
            <w:tcW w:w="834" w:type="pct"/>
            <w:vMerge/>
            <w:vAlign w:val="center"/>
            <w:hideMark/>
          </w:tcPr>
          <w:p w14:paraId="03EC3857" w14:textId="77777777" w:rsidR="00D52685" w:rsidRPr="00EA4F84" w:rsidRDefault="00D52685" w:rsidP="00D52685">
            <w:pPr>
              <w:jc w:val="left"/>
              <w:rPr>
                <w:rFonts w:eastAsia="Times New Roman" w:cs="Arial"/>
                <w:color w:val="000000"/>
                <w:sz w:val="18"/>
                <w:szCs w:val="18"/>
                <w:lang w:eastAsia="fr-FR"/>
              </w:rPr>
            </w:pPr>
          </w:p>
        </w:tc>
        <w:tc>
          <w:tcPr>
            <w:tcW w:w="1184" w:type="pct"/>
            <w:vMerge/>
            <w:vAlign w:val="center"/>
            <w:hideMark/>
          </w:tcPr>
          <w:p w14:paraId="183A0FFD" w14:textId="77777777" w:rsidR="00D52685" w:rsidRPr="00EA4F84" w:rsidRDefault="00D52685" w:rsidP="00D52685">
            <w:pPr>
              <w:jc w:val="left"/>
              <w:rPr>
                <w:rFonts w:eastAsia="Times New Roman" w:cs="Arial"/>
                <w:color w:val="000000"/>
                <w:sz w:val="18"/>
                <w:szCs w:val="18"/>
                <w:lang w:eastAsia="fr-FR"/>
              </w:rPr>
            </w:pPr>
          </w:p>
        </w:tc>
        <w:tc>
          <w:tcPr>
            <w:tcW w:w="551" w:type="pct"/>
            <w:vMerge/>
            <w:vAlign w:val="center"/>
            <w:hideMark/>
          </w:tcPr>
          <w:p w14:paraId="06842119" w14:textId="77777777" w:rsidR="00D52685" w:rsidRPr="00EA4F84" w:rsidRDefault="00D52685" w:rsidP="00D52685">
            <w:pPr>
              <w:jc w:val="left"/>
              <w:rPr>
                <w:rFonts w:eastAsia="Times New Roman" w:cs="Arial"/>
                <w:color w:val="000000"/>
                <w:sz w:val="18"/>
                <w:szCs w:val="18"/>
                <w:lang w:eastAsia="fr-FR"/>
              </w:rPr>
            </w:pPr>
          </w:p>
        </w:tc>
        <w:tc>
          <w:tcPr>
            <w:tcW w:w="1938" w:type="pct"/>
            <w:vMerge/>
            <w:vAlign w:val="center"/>
            <w:hideMark/>
          </w:tcPr>
          <w:p w14:paraId="15F67ACD" w14:textId="77777777" w:rsidR="00D52685" w:rsidRPr="00EA4F84" w:rsidRDefault="00D52685" w:rsidP="00D52685">
            <w:pPr>
              <w:jc w:val="left"/>
              <w:rPr>
                <w:rFonts w:eastAsia="Times New Roman" w:cs="Arial"/>
                <w:color w:val="000000"/>
                <w:sz w:val="18"/>
                <w:szCs w:val="18"/>
                <w:lang w:eastAsia="fr-FR"/>
              </w:rPr>
            </w:pPr>
          </w:p>
        </w:tc>
        <w:tc>
          <w:tcPr>
            <w:tcW w:w="78" w:type="pct"/>
            <w:noWrap/>
            <w:vAlign w:val="bottom"/>
            <w:hideMark/>
          </w:tcPr>
          <w:p w14:paraId="2BD1BF39" w14:textId="77777777" w:rsidR="00D52685" w:rsidRPr="00EA4F84" w:rsidRDefault="00D52685" w:rsidP="00D52685">
            <w:pPr>
              <w:rPr>
                <w:rFonts w:eastAsia="Times New Roman" w:cs="Arial"/>
                <w:color w:val="000000"/>
                <w:lang w:eastAsia="fr-FR"/>
              </w:rPr>
            </w:pPr>
          </w:p>
        </w:tc>
      </w:tr>
      <w:tr w:rsidR="00D52685" w:rsidRPr="00EA4F84" w14:paraId="09DE84D1" w14:textId="77777777" w:rsidTr="00BC380B">
        <w:trPr>
          <w:cantSplit/>
          <w:trHeight w:val="300"/>
        </w:trPr>
        <w:tc>
          <w:tcPr>
            <w:tcW w:w="415" w:type="pct"/>
            <w:vAlign w:val="center"/>
          </w:tcPr>
          <w:p w14:paraId="60B91FCE" w14:textId="77777777" w:rsidR="00D52685" w:rsidRPr="00EA4F84" w:rsidRDefault="00D52685" w:rsidP="00D52685">
            <w:pPr>
              <w:jc w:val="left"/>
              <w:rPr>
                <w:rFonts w:eastAsia="Times New Roman" w:cs="Arial"/>
                <w:color w:val="000000"/>
                <w:sz w:val="18"/>
                <w:szCs w:val="18"/>
                <w:lang w:eastAsia="nl-NL"/>
              </w:rPr>
            </w:pPr>
            <w:r w:rsidRPr="00EA4F84">
              <w:rPr>
                <w:rFonts w:eastAsia="Times New Roman" w:cs="Arial"/>
                <w:color w:val="000000" w:themeColor="text1"/>
                <w:sz w:val="18"/>
                <w:szCs w:val="18"/>
                <w:lang w:eastAsia="nl-NL"/>
              </w:rPr>
              <w:t>7.1</w:t>
            </w:r>
          </w:p>
        </w:tc>
        <w:tc>
          <w:tcPr>
            <w:tcW w:w="834" w:type="pct"/>
            <w:vAlign w:val="center"/>
          </w:tcPr>
          <w:p w14:paraId="39061CCB" w14:textId="77777777" w:rsidR="00D52685" w:rsidRPr="00EA4F84" w:rsidRDefault="00D52685" w:rsidP="00D52685">
            <w:pPr>
              <w:jc w:val="left"/>
              <w:rPr>
                <w:rFonts w:eastAsia="Times New Roman" w:cs="Arial"/>
                <w:color w:val="000000"/>
                <w:sz w:val="18"/>
                <w:szCs w:val="18"/>
                <w:lang w:eastAsia="nl-NL"/>
              </w:rPr>
            </w:pPr>
            <w:r w:rsidRPr="00EA4F84">
              <w:rPr>
                <w:rFonts w:eastAsia="Times New Roman" w:cs="Arial"/>
                <w:color w:val="000000" w:themeColor="text1"/>
                <w:sz w:val="18"/>
                <w:szCs w:val="18"/>
                <w:lang w:eastAsia="nl-NL"/>
              </w:rPr>
              <w:t>Validité des résultats</w:t>
            </w:r>
          </w:p>
        </w:tc>
        <w:tc>
          <w:tcPr>
            <w:tcW w:w="1184" w:type="pct"/>
            <w:vAlign w:val="center"/>
          </w:tcPr>
          <w:p w14:paraId="3A8B745C"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i/>
                <w:color w:val="000000" w:themeColor="text1"/>
                <w:sz w:val="18"/>
                <w:szCs w:val="18"/>
                <w:lang w:eastAsia="fr-FR"/>
              </w:rPr>
              <w:t xml:space="preserve">Par exemple, </w:t>
            </w:r>
            <w:r w:rsidRPr="00EA4F84">
              <w:rPr>
                <w:rFonts w:eastAsia="Times New Roman" w:cs="Arial"/>
                <w:color w:val="000000" w:themeColor="text1"/>
                <w:sz w:val="18"/>
                <w:szCs w:val="18"/>
                <w:lang w:eastAsia="fr-FR"/>
              </w:rPr>
              <w:t xml:space="preserve">pour la </w:t>
            </w:r>
            <w:proofErr w:type="spellStart"/>
            <w:r w:rsidRPr="00EA4F84">
              <w:rPr>
                <w:rFonts w:eastAsia="Times New Roman" w:cs="Arial"/>
                <w:color w:val="000000" w:themeColor="text1"/>
                <w:sz w:val="18"/>
                <w:szCs w:val="18"/>
                <w:lang w:eastAsia="fr-FR"/>
              </w:rPr>
              <w:t>qPCR</w:t>
            </w:r>
            <w:proofErr w:type="spellEnd"/>
            <w:r w:rsidRPr="00EA4F84">
              <w:rPr>
                <w:rFonts w:eastAsia="Times New Roman" w:cs="Arial"/>
                <w:color w:val="000000" w:themeColor="text1"/>
                <w:sz w:val="18"/>
                <w:szCs w:val="18"/>
                <w:lang w:eastAsia="fr-FR"/>
              </w:rPr>
              <w:t>, vérifier les courbes d'amplification exponentielles typiques. Vérifier si les contrôles sont conformes aux attentes (contrôles négatifs = aucun signal ; contrôles positifs = signaux attendus pour tous les fluorophores).</w:t>
            </w:r>
          </w:p>
        </w:tc>
        <w:tc>
          <w:tcPr>
            <w:tcW w:w="551" w:type="pct"/>
            <w:vAlign w:val="center"/>
          </w:tcPr>
          <w:p w14:paraId="12FBB462" w14:textId="77777777" w:rsidR="00D52685" w:rsidRPr="00EA4F84" w:rsidRDefault="00D52685" w:rsidP="00D52685">
            <w:pPr>
              <w:jc w:val="left"/>
              <w:rPr>
                <w:rFonts w:eastAsia="Times New Roman" w:cs="Arial"/>
                <w:color w:val="000000"/>
                <w:sz w:val="18"/>
                <w:szCs w:val="18"/>
                <w:lang w:eastAsia="nl-NL"/>
              </w:rPr>
            </w:pPr>
            <w:r w:rsidRPr="00EA4F84">
              <w:rPr>
                <w:rFonts w:eastAsia="Times New Roman" w:cs="Arial"/>
                <w:color w:val="000000" w:themeColor="text1"/>
                <w:sz w:val="18"/>
                <w:szCs w:val="18"/>
                <w:lang w:eastAsia="nl-NL"/>
              </w:rPr>
              <w:t>OUI</w:t>
            </w:r>
          </w:p>
        </w:tc>
        <w:tc>
          <w:tcPr>
            <w:tcW w:w="1938" w:type="pct"/>
            <w:vAlign w:val="center"/>
          </w:tcPr>
          <w:p w14:paraId="5D43C79A" w14:textId="77777777" w:rsidR="00D52685" w:rsidRPr="00EA4F84" w:rsidRDefault="00D52685" w:rsidP="00D52685">
            <w:pPr>
              <w:jc w:val="left"/>
              <w:rPr>
                <w:rFonts w:eastAsia="Times New Roman" w:cs="Arial"/>
                <w:color w:val="000000"/>
                <w:sz w:val="18"/>
                <w:szCs w:val="18"/>
                <w:lang w:eastAsia="nl-NL"/>
              </w:rPr>
            </w:pPr>
            <w:r w:rsidRPr="00EA4F84">
              <w:rPr>
                <w:rFonts w:eastAsia="Times New Roman" w:cs="Arial"/>
                <w:color w:val="000000" w:themeColor="text1"/>
                <w:sz w:val="18"/>
                <w:szCs w:val="18"/>
                <w:lang w:eastAsia="nl-NL"/>
              </w:rPr>
              <w:t xml:space="preserve">Selon la méthode utilisée. </w:t>
            </w:r>
          </w:p>
        </w:tc>
        <w:tc>
          <w:tcPr>
            <w:tcW w:w="78" w:type="pct"/>
            <w:vAlign w:val="center"/>
          </w:tcPr>
          <w:p w14:paraId="0C4D3B09" w14:textId="77777777" w:rsidR="00D52685" w:rsidRPr="00EA4F84" w:rsidRDefault="00D52685" w:rsidP="00D52685">
            <w:pPr>
              <w:rPr>
                <w:rFonts w:ascii="Times New Roman" w:eastAsia="Times New Roman" w:hAnsi="Times New Roman"/>
                <w:lang w:eastAsia="fr-FR"/>
              </w:rPr>
            </w:pPr>
          </w:p>
        </w:tc>
      </w:tr>
      <w:tr w:rsidR="00D52685" w:rsidRPr="00EA4F84" w14:paraId="3392CE77" w14:textId="77777777" w:rsidTr="00BC380B">
        <w:trPr>
          <w:cantSplit/>
          <w:trHeight w:val="300"/>
        </w:trPr>
        <w:tc>
          <w:tcPr>
            <w:tcW w:w="415" w:type="pct"/>
            <w:vAlign w:val="center"/>
          </w:tcPr>
          <w:p w14:paraId="3899F069" w14:textId="77777777" w:rsidR="00D52685" w:rsidRPr="00EA4F84" w:rsidRDefault="00D52685" w:rsidP="00D52685">
            <w:pPr>
              <w:jc w:val="left"/>
              <w:rPr>
                <w:rFonts w:eastAsia="Times New Roman" w:cs="Arial"/>
                <w:color w:val="000000"/>
                <w:sz w:val="18"/>
                <w:szCs w:val="18"/>
                <w:highlight w:val="lightGray"/>
                <w:lang w:eastAsia="nl-NL"/>
              </w:rPr>
            </w:pPr>
            <w:r w:rsidRPr="00EA4F84">
              <w:rPr>
                <w:rFonts w:eastAsia="Times New Roman" w:cs="Arial"/>
                <w:color w:val="000000"/>
                <w:sz w:val="18"/>
                <w:szCs w:val="18"/>
                <w:lang w:eastAsia="nl-NL"/>
              </w:rPr>
              <w:t>8</w:t>
            </w:r>
          </w:p>
        </w:tc>
        <w:tc>
          <w:tcPr>
            <w:tcW w:w="834" w:type="pct"/>
            <w:vAlign w:val="center"/>
          </w:tcPr>
          <w:p w14:paraId="04A8C59D" w14:textId="77777777" w:rsidR="00D52685" w:rsidRPr="00EA4F84" w:rsidRDefault="00D52685" w:rsidP="00D52685">
            <w:pPr>
              <w:jc w:val="left"/>
              <w:rPr>
                <w:rFonts w:eastAsia="Times New Roman" w:cs="Arial"/>
                <w:color w:val="000000"/>
                <w:sz w:val="18"/>
                <w:szCs w:val="18"/>
                <w:highlight w:val="lightGray"/>
                <w:lang w:eastAsia="nl-NL"/>
              </w:rPr>
            </w:pPr>
            <w:r w:rsidRPr="00EA4F84">
              <w:rPr>
                <w:rFonts w:eastAsia="Times New Roman" w:cs="Arial"/>
                <w:color w:val="000000"/>
                <w:sz w:val="18"/>
                <w:szCs w:val="18"/>
                <w:lang w:eastAsia="nl-NL"/>
              </w:rPr>
              <w:t>Interprétation des résultats du test</w:t>
            </w:r>
          </w:p>
        </w:tc>
        <w:tc>
          <w:tcPr>
            <w:tcW w:w="1184" w:type="pct"/>
            <w:vAlign w:val="center"/>
          </w:tcPr>
          <w:p w14:paraId="59B1C6DD" w14:textId="77777777" w:rsidR="00D52685" w:rsidRPr="00EA4F84" w:rsidRDefault="00D52685" w:rsidP="00D52685">
            <w:pPr>
              <w:jc w:val="left"/>
              <w:rPr>
                <w:rFonts w:eastAsia="Times New Roman" w:cs="Arial"/>
                <w:color w:val="000000"/>
                <w:sz w:val="18"/>
                <w:szCs w:val="18"/>
                <w:highlight w:val="lightGray"/>
                <w:lang w:eastAsia="fr-FR"/>
              </w:rPr>
            </w:pPr>
            <w:r w:rsidRPr="00EA4F84">
              <w:rPr>
                <w:rFonts w:eastAsia="Times New Roman" w:cs="Arial"/>
                <w:i/>
                <w:iCs/>
                <w:color w:val="000000"/>
                <w:sz w:val="18"/>
                <w:szCs w:val="18"/>
                <w:lang w:eastAsia="fr-FR"/>
              </w:rPr>
              <w:t>Voir TG/44/11/rev3 – Ad 51 : ii Test de marqueurs ADN ajouter 8</w:t>
            </w:r>
          </w:p>
        </w:tc>
        <w:tc>
          <w:tcPr>
            <w:tcW w:w="551" w:type="pct"/>
            <w:vAlign w:val="center"/>
          </w:tcPr>
          <w:p w14:paraId="1426FA48" w14:textId="77777777" w:rsidR="00D52685" w:rsidRPr="00EA4F84" w:rsidRDefault="00D52685" w:rsidP="00D52685">
            <w:pPr>
              <w:jc w:val="left"/>
              <w:rPr>
                <w:rFonts w:eastAsia="Times New Roman" w:cs="Arial"/>
                <w:color w:val="000000"/>
                <w:sz w:val="18"/>
                <w:szCs w:val="18"/>
                <w:highlight w:val="lightGray"/>
                <w:lang w:eastAsia="nl-NL"/>
              </w:rPr>
            </w:pPr>
            <w:r w:rsidRPr="00EA4F84">
              <w:rPr>
                <w:rFonts w:eastAsia="Times New Roman" w:cs="Arial"/>
                <w:color w:val="000000"/>
                <w:sz w:val="18"/>
                <w:szCs w:val="18"/>
                <w:lang w:eastAsia="nl-NL"/>
              </w:rPr>
              <w:t>OUI</w:t>
            </w:r>
          </w:p>
        </w:tc>
        <w:tc>
          <w:tcPr>
            <w:tcW w:w="1938" w:type="pct"/>
            <w:vAlign w:val="center"/>
          </w:tcPr>
          <w:p w14:paraId="365C6882" w14:textId="77777777" w:rsidR="00D52685" w:rsidRPr="00EA4F84" w:rsidRDefault="00D52685" w:rsidP="00D52685">
            <w:pPr>
              <w:jc w:val="left"/>
              <w:rPr>
                <w:rFonts w:eastAsia="Times New Roman" w:cs="Arial"/>
                <w:color w:val="000000"/>
                <w:sz w:val="18"/>
                <w:szCs w:val="18"/>
                <w:lang w:eastAsia="nl-NL"/>
              </w:rPr>
            </w:pPr>
            <w:r w:rsidRPr="00EA4F84">
              <w:rPr>
                <w:rFonts w:eastAsia="Times New Roman" w:cs="Arial"/>
                <w:color w:val="000000"/>
                <w:sz w:val="18"/>
                <w:szCs w:val="18"/>
                <w:lang w:eastAsia="nl-NL"/>
              </w:rPr>
              <w:t>Relation entre les allèles et les expressions (avec ses notes)</w:t>
            </w:r>
          </w:p>
          <w:p w14:paraId="12222097" w14:textId="77777777" w:rsidR="00D52685" w:rsidRPr="00EA4F84" w:rsidRDefault="00D52685" w:rsidP="00D52685">
            <w:pPr>
              <w:jc w:val="left"/>
              <w:rPr>
                <w:rFonts w:eastAsia="Times New Roman" w:cs="Arial"/>
                <w:color w:val="000000"/>
                <w:sz w:val="18"/>
                <w:szCs w:val="18"/>
                <w:lang w:eastAsia="nl-NL"/>
              </w:rPr>
            </w:pPr>
          </w:p>
          <w:p w14:paraId="424900C5" w14:textId="77777777" w:rsidR="00D52685" w:rsidRPr="00EA4F84" w:rsidRDefault="00D52685" w:rsidP="00D52685">
            <w:pPr>
              <w:jc w:val="left"/>
              <w:rPr>
                <w:rFonts w:eastAsia="Times New Roman" w:cs="Arial"/>
                <w:color w:val="000000"/>
                <w:sz w:val="18"/>
                <w:szCs w:val="18"/>
                <w:lang w:eastAsia="nl-NL"/>
              </w:rPr>
            </w:pPr>
            <w:r w:rsidRPr="00EA4F84">
              <w:rPr>
                <w:rFonts w:eastAsia="Times New Roman" w:cs="Arial"/>
                <w:color w:val="000000"/>
                <w:sz w:val="18"/>
                <w:szCs w:val="18"/>
                <w:lang w:eastAsia="nl-NL"/>
              </w:rPr>
              <w:t xml:space="preserve">Si le résultat du test de marqueurs ADN ne confirme pas la déclaration figurant dans le questionnaire technique, un essai en plein champ ou un test biologique doit être réalisé </w:t>
            </w:r>
            <w:r w:rsidRPr="00EA4F84">
              <w:rPr>
                <w:rFonts w:eastAsia="Times New Roman" w:cs="Arial"/>
                <w:strike/>
                <w:color w:val="000000"/>
                <w:sz w:val="18"/>
                <w:szCs w:val="18"/>
                <w:highlight w:val="lightGray"/>
                <w:lang w:eastAsia="nl-NL"/>
              </w:rPr>
              <w:t>afin d'évaluer l'exactitude de la déclaration figurant dans le questionnaire technique</w:t>
            </w:r>
            <w:r w:rsidRPr="00EA4F84">
              <w:rPr>
                <w:rFonts w:eastAsia="Times New Roman" w:cs="Arial"/>
                <w:color w:val="000000"/>
                <w:sz w:val="18"/>
                <w:szCs w:val="18"/>
                <w:highlight w:val="lightGray"/>
                <w:lang w:eastAsia="nl-NL"/>
              </w:rPr>
              <w:t>.</w:t>
            </w:r>
          </w:p>
        </w:tc>
        <w:tc>
          <w:tcPr>
            <w:tcW w:w="78" w:type="pct"/>
            <w:vAlign w:val="center"/>
          </w:tcPr>
          <w:p w14:paraId="05AF5D16" w14:textId="77777777" w:rsidR="00D52685" w:rsidRPr="00EA4F84" w:rsidRDefault="00D52685" w:rsidP="00D52685">
            <w:pPr>
              <w:rPr>
                <w:rFonts w:ascii="Times New Roman" w:eastAsia="Times New Roman" w:hAnsi="Times New Roman"/>
                <w:lang w:eastAsia="fr-FR"/>
              </w:rPr>
            </w:pPr>
          </w:p>
        </w:tc>
      </w:tr>
      <w:tr w:rsidR="00D52685" w:rsidRPr="00EA4F84" w14:paraId="49BDB119" w14:textId="77777777" w:rsidTr="00BC380B">
        <w:trPr>
          <w:cantSplit/>
          <w:trHeight w:val="300"/>
        </w:trPr>
        <w:tc>
          <w:tcPr>
            <w:tcW w:w="415" w:type="pct"/>
            <w:vAlign w:val="center"/>
          </w:tcPr>
          <w:p w14:paraId="22076AEC" w14:textId="77777777" w:rsidR="00D52685" w:rsidRPr="00EA4F84" w:rsidRDefault="00D52685" w:rsidP="00D52685">
            <w:pPr>
              <w:jc w:val="left"/>
              <w:rPr>
                <w:rFonts w:eastAsia="Times New Roman" w:cs="Arial"/>
                <w:color w:val="000000"/>
                <w:sz w:val="18"/>
                <w:szCs w:val="18"/>
                <w:lang w:eastAsia="nl-NL"/>
              </w:rPr>
            </w:pPr>
            <w:r w:rsidRPr="00EA4F84">
              <w:rPr>
                <w:rFonts w:eastAsia="Times New Roman" w:cs="Arial"/>
                <w:color w:val="000000"/>
                <w:sz w:val="18"/>
                <w:szCs w:val="18"/>
                <w:lang w:eastAsia="fr-FR"/>
              </w:rPr>
              <w:t>9</w:t>
            </w:r>
          </w:p>
        </w:tc>
        <w:tc>
          <w:tcPr>
            <w:tcW w:w="834" w:type="pct"/>
            <w:vAlign w:val="center"/>
          </w:tcPr>
          <w:p w14:paraId="119DA259" w14:textId="56569B96" w:rsidR="00D52685" w:rsidRPr="00EA4F84" w:rsidRDefault="00D52685" w:rsidP="00D52685">
            <w:pPr>
              <w:jc w:val="left"/>
              <w:rPr>
                <w:rFonts w:eastAsia="Times New Roman" w:cs="Arial"/>
                <w:color w:val="000000"/>
                <w:sz w:val="18"/>
                <w:szCs w:val="18"/>
                <w:lang w:eastAsia="nl-NL"/>
              </w:rPr>
            </w:pPr>
            <w:r w:rsidRPr="00EA4F84">
              <w:rPr>
                <w:rFonts w:eastAsia="Times New Roman" w:cs="Arial"/>
                <w:color w:val="000000"/>
                <w:sz w:val="18"/>
                <w:szCs w:val="18"/>
                <w:lang w:eastAsia="fr-FR"/>
              </w:rPr>
              <w:t>Validation de la méthode</w:t>
            </w:r>
          </w:p>
        </w:tc>
        <w:tc>
          <w:tcPr>
            <w:tcW w:w="1184" w:type="pct"/>
            <w:vAlign w:val="center"/>
          </w:tcPr>
          <w:p w14:paraId="6769F62A"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sz w:val="18"/>
                <w:szCs w:val="18"/>
                <w:lang w:eastAsia="fr-FR"/>
              </w:rPr>
              <w:t xml:space="preserve">Ce protocole a été validé par un essai </w:t>
            </w:r>
            <w:proofErr w:type="spellStart"/>
            <w:r w:rsidRPr="00EA4F84">
              <w:rPr>
                <w:rFonts w:eastAsia="Times New Roman" w:cs="Arial"/>
                <w:color w:val="000000"/>
                <w:sz w:val="18"/>
                <w:szCs w:val="18"/>
                <w:lang w:eastAsia="fr-FR"/>
              </w:rPr>
              <w:t>interlaboratoire</w:t>
            </w:r>
            <w:proofErr w:type="spellEnd"/>
            <w:r w:rsidRPr="00EA4F84">
              <w:rPr>
                <w:rFonts w:eastAsia="Times New Roman" w:cs="Arial"/>
                <w:color w:val="000000"/>
                <w:sz w:val="18"/>
                <w:szCs w:val="18"/>
                <w:lang w:eastAsia="fr-FR"/>
              </w:rPr>
              <w:t xml:space="preserve"> avec différents laboratoires. </w:t>
            </w:r>
          </w:p>
        </w:tc>
        <w:tc>
          <w:tcPr>
            <w:tcW w:w="551" w:type="pct"/>
            <w:vAlign w:val="center"/>
          </w:tcPr>
          <w:p w14:paraId="67158E2F" w14:textId="77777777" w:rsidR="00D52685" w:rsidRPr="00EA4F84" w:rsidRDefault="00D52685" w:rsidP="00D52685">
            <w:pPr>
              <w:jc w:val="left"/>
              <w:rPr>
                <w:rFonts w:eastAsia="Times New Roman" w:cs="Arial"/>
                <w:color w:val="000000"/>
                <w:sz w:val="18"/>
                <w:szCs w:val="18"/>
                <w:lang w:eastAsia="nl-NL"/>
              </w:rPr>
            </w:pPr>
            <w:r w:rsidRPr="00EA4F84">
              <w:rPr>
                <w:rFonts w:eastAsia="Times New Roman" w:cs="Arial"/>
                <w:color w:val="000000"/>
                <w:sz w:val="18"/>
                <w:szCs w:val="18"/>
                <w:lang w:eastAsia="nl-NL"/>
              </w:rPr>
              <w:t xml:space="preserve"> OUI</w:t>
            </w:r>
          </w:p>
        </w:tc>
        <w:tc>
          <w:tcPr>
            <w:tcW w:w="1938" w:type="pct"/>
            <w:vAlign w:val="center"/>
          </w:tcPr>
          <w:p w14:paraId="40FC949D" w14:textId="77777777" w:rsidR="00D52685" w:rsidRPr="00EA4F84" w:rsidRDefault="00D52685" w:rsidP="00D52685">
            <w:pPr>
              <w:jc w:val="left"/>
              <w:rPr>
                <w:rFonts w:eastAsia="Times New Roman" w:cs="Arial"/>
                <w:color w:val="000000"/>
                <w:sz w:val="18"/>
                <w:szCs w:val="18"/>
                <w:lang w:eastAsia="nl-NL"/>
              </w:rPr>
            </w:pPr>
            <w:r w:rsidRPr="00EA4F84">
              <w:rPr>
                <w:rFonts w:eastAsia="Times New Roman" w:cs="Arial"/>
                <w:color w:val="000000"/>
                <w:sz w:val="18"/>
                <w:szCs w:val="18"/>
                <w:lang w:eastAsia="fr-FR"/>
              </w:rPr>
              <w:t>(</w:t>
            </w:r>
            <w:r w:rsidRPr="00EA4F84">
              <w:rPr>
                <w:rFonts w:eastAsia="Times New Roman" w:cs="Arial"/>
                <w:i/>
                <w:color w:val="000000"/>
                <w:sz w:val="18"/>
                <w:szCs w:val="18"/>
                <w:lang w:eastAsia="fr-FR"/>
              </w:rPr>
              <w:t xml:space="preserve">par exemple, </w:t>
            </w:r>
            <w:r w:rsidRPr="00EA4F84">
              <w:rPr>
                <w:rFonts w:eastAsia="Times New Roman" w:cs="Arial"/>
                <w:color w:val="000000"/>
                <w:sz w:val="18"/>
                <w:szCs w:val="18"/>
                <w:lang w:eastAsia="fr-FR"/>
              </w:rPr>
              <w:t xml:space="preserve">essai comparatif </w:t>
            </w:r>
            <w:proofErr w:type="spellStart"/>
            <w:r w:rsidRPr="00EA4F84">
              <w:rPr>
                <w:rFonts w:eastAsia="Times New Roman" w:cs="Arial"/>
                <w:color w:val="000000"/>
                <w:sz w:val="18"/>
                <w:szCs w:val="18"/>
                <w:lang w:eastAsia="fr-FR"/>
              </w:rPr>
              <w:t>interlaboratoires</w:t>
            </w:r>
            <w:proofErr w:type="spellEnd"/>
            <w:r w:rsidRPr="00EA4F84">
              <w:rPr>
                <w:rFonts w:eastAsia="Times New Roman" w:cs="Arial"/>
                <w:color w:val="000000"/>
                <w:sz w:val="18"/>
                <w:szCs w:val="18"/>
                <w:lang w:eastAsia="fr-FR"/>
              </w:rPr>
              <w:t xml:space="preserve"> INVITE </w:t>
            </w:r>
            <w:proofErr w:type="gramStart"/>
            <w:r w:rsidRPr="00EA4F84">
              <w:rPr>
                <w:rFonts w:eastAsia="Times New Roman" w:cs="Arial"/>
                <w:color w:val="000000"/>
                <w:sz w:val="18"/>
                <w:szCs w:val="18"/>
                <w:lang w:eastAsia="fr-FR"/>
              </w:rPr>
              <w:t xml:space="preserve">2024 </w:t>
            </w:r>
            <w:r w:rsidRPr="00EA4F84">
              <w:rPr>
                <w:rFonts w:ascii="Segoe UI" w:eastAsia="Times New Roman" w:hAnsi="Segoe UI" w:cs="Arial"/>
                <w:color w:val="333333"/>
                <w:sz w:val="18"/>
                <w:szCs w:val="18"/>
                <w:shd w:val="clear" w:color="auto" w:fill="FFFFFF"/>
              </w:rPr>
              <w:t xml:space="preserve"> 817970</w:t>
            </w:r>
            <w:proofErr w:type="gramEnd"/>
            <w:r w:rsidRPr="00EA4F84">
              <w:rPr>
                <w:rFonts w:ascii="Segoe UI" w:eastAsia="Times New Roman" w:hAnsi="Segoe UI" w:cs="Arial"/>
                <w:color w:val="333333"/>
                <w:sz w:val="18"/>
                <w:szCs w:val="18"/>
                <w:shd w:val="clear" w:color="auto" w:fill="FFFFFF"/>
              </w:rPr>
              <w:t xml:space="preserve"> </w:t>
            </w:r>
            <w:r w:rsidRPr="00EA4F84">
              <w:rPr>
                <w:rFonts w:ascii="Segoe UI" w:eastAsia="Times New Roman" w:hAnsi="Segoe UI" w:cs="Arial"/>
                <w:sz w:val="18"/>
                <w:szCs w:val="18"/>
              </w:rPr>
              <w:t>DOI</w:t>
            </w:r>
            <w:hyperlink r:id="rId25" w:history="1">
              <w:r w:rsidRPr="00EA4F84">
                <w:rPr>
                  <w:rFonts w:ascii="Segoe UI" w:eastAsia="Times New Roman" w:hAnsi="Segoe UI" w:cs="Arial"/>
                  <w:color w:val="0000FF"/>
                  <w:sz w:val="18"/>
                  <w:szCs w:val="18"/>
                  <w:u w:val="single"/>
                </w:rPr>
                <w:t xml:space="preserve"> 10.3030/817970</w:t>
              </w:r>
            </w:hyperlink>
            <w:r w:rsidRPr="00EA4F84">
              <w:rPr>
                <w:rFonts w:eastAsia="Times New Roman" w:cs="Arial"/>
                <w:sz w:val="18"/>
                <w:szCs w:val="18"/>
              </w:rPr>
              <w:t>)</w:t>
            </w:r>
          </w:p>
        </w:tc>
        <w:tc>
          <w:tcPr>
            <w:tcW w:w="78" w:type="pct"/>
            <w:vAlign w:val="center"/>
          </w:tcPr>
          <w:p w14:paraId="34DE2852" w14:textId="77777777" w:rsidR="00D52685" w:rsidRPr="00EA4F84" w:rsidRDefault="00D52685" w:rsidP="00D52685">
            <w:pPr>
              <w:rPr>
                <w:rFonts w:ascii="Times New Roman" w:eastAsia="Times New Roman" w:hAnsi="Times New Roman"/>
                <w:lang w:eastAsia="fr-FR"/>
              </w:rPr>
            </w:pPr>
          </w:p>
        </w:tc>
      </w:tr>
      <w:tr w:rsidR="00D52685" w:rsidRPr="00EA4F84" w14:paraId="6F6E3FFF" w14:textId="77777777" w:rsidTr="00BC380B">
        <w:trPr>
          <w:cantSplit/>
          <w:trHeight w:val="300"/>
        </w:trPr>
        <w:tc>
          <w:tcPr>
            <w:tcW w:w="415" w:type="pct"/>
            <w:vMerge w:val="restart"/>
            <w:vAlign w:val="center"/>
          </w:tcPr>
          <w:p w14:paraId="0D3FE7B9"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themeColor="text1"/>
                <w:sz w:val="18"/>
                <w:szCs w:val="18"/>
                <w:lang w:eastAsia="fr-FR"/>
              </w:rPr>
              <w:t>9.1</w:t>
            </w:r>
          </w:p>
        </w:tc>
        <w:tc>
          <w:tcPr>
            <w:tcW w:w="834" w:type="pct"/>
            <w:vMerge w:val="restart"/>
            <w:vAlign w:val="center"/>
          </w:tcPr>
          <w:p w14:paraId="67A95D4D"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themeColor="text1"/>
                <w:sz w:val="18"/>
                <w:szCs w:val="18"/>
                <w:lang w:eastAsia="fr-FR"/>
              </w:rPr>
              <w:t>Contacter le bureau d'examen</w:t>
            </w:r>
          </w:p>
        </w:tc>
        <w:tc>
          <w:tcPr>
            <w:tcW w:w="1184" w:type="pct"/>
            <w:vMerge w:val="restart"/>
            <w:vAlign w:val="center"/>
          </w:tcPr>
          <w:p w14:paraId="676D3C8B"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i/>
                <w:color w:val="000000" w:themeColor="text1"/>
                <w:sz w:val="18"/>
                <w:szCs w:val="18"/>
                <w:lang w:eastAsia="fr-FR"/>
              </w:rPr>
              <w:t xml:space="preserve">par exemple </w:t>
            </w:r>
            <w:r w:rsidRPr="00EA4F84">
              <w:rPr>
                <w:rFonts w:eastAsia="Times New Roman" w:cs="Arial"/>
                <w:color w:val="000000" w:themeColor="text1"/>
                <w:sz w:val="18"/>
                <w:szCs w:val="18"/>
                <w:lang w:eastAsia="fr-FR"/>
              </w:rPr>
              <w:t>Naktuinbouw</w:t>
            </w:r>
          </w:p>
        </w:tc>
        <w:tc>
          <w:tcPr>
            <w:tcW w:w="551" w:type="pct"/>
            <w:vMerge w:val="restart"/>
            <w:vAlign w:val="center"/>
          </w:tcPr>
          <w:p w14:paraId="64B89E13"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themeColor="text1"/>
                <w:sz w:val="18"/>
                <w:szCs w:val="18"/>
                <w:lang w:eastAsia="fr-FR"/>
              </w:rPr>
              <w:t>OUI</w:t>
            </w:r>
          </w:p>
        </w:tc>
        <w:tc>
          <w:tcPr>
            <w:tcW w:w="1938" w:type="pct"/>
            <w:vMerge w:val="restart"/>
            <w:vAlign w:val="center"/>
          </w:tcPr>
          <w:p w14:paraId="1995293A" w14:textId="77777777" w:rsidR="00D52685" w:rsidRPr="00EA4F84" w:rsidRDefault="00D52685" w:rsidP="00D52685">
            <w:pPr>
              <w:jc w:val="left"/>
              <w:rPr>
                <w:rFonts w:eastAsia="Times New Roman" w:cs="Arial"/>
                <w:color w:val="000000"/>
                <w:sz w:val="18"/>
                <w:szCs w:val="18"/>
                <w:lang w:eastAsia="fr-FR"/>
              </w:rPr>
            </w:pPr>
            <w:r w:rsidRPr="00EA4F84">
              <w:rPr>
                <w:rFonts w:eastAsia="Times New Roman" w:cs="Arial"/>
                <w:color w:val="000000" w:themeColor="text1"/>
                <w:sz w:val="18"/>
                <w:szCs w:val="18"/>
                <w:lang w:eastAsia="fr-FR"/>
              </w:rPr>
              <w:t>Coordonnées de l'institut qui a développé ce protocole, nom du service.</w:t>
            </w:r>
          </w:p>
        </w:tc>
        <w:tc>
          <w:tcPr>
            <w:tcW w:w="78" w:type="pct"/>
            <w:vAlign w:val="center"/>
            <w:hideMark/>
          </w:tcPr>
          <w:p w14:paraId="0A5B663F" w14:textId="77777777" w:rsidR="00D52685" w:rsidRPr="00EA4F84" w:rsidRDefault="00D52685" w:rsidP="00D52685">
            <w:pPr>
              <w:rPr>
                <w:rFonts w:ascii="Times New Roman" w:eastAsia="Times New Roman" w:hAnsi="Times New Roman"/>
                <w:lang w:eastAsia="fr-FR"/>
              </w:rPr>
            </w:pPr>
          </w:p>
        </w:tc>
      </w:tr>
      <w:tr w:rsidR="00D52685" w:rsidRPr="00EA4F84" w14:paraId="7A17199C" w14:textId="77777777" w:rsidTr="00BC380B">
        <w:trPr>
          <w:trHeight w:val="300"/>
        </w:trPr>
        <w:tc>
          <w:tcPr>
            <w:tcW w:w="415" w:type="pct"/>
            <w:vMerge/>
            <w:vAlign w:val="center"/>
          </w:tcPr>
          <w:p w14:paraId="739A13EB" w14:textId="77777777" w:rsidR="00D52685" w:rsidRPr="00EA4F84" w:rsidRDefault="00D52685" w:rsidP="00D52685">
            <w:pPr>
              <w:rPr>
                <w:rFonts w:eastAsia="Times New Roman" w:cs="Arial"/>
                <w:color w:val="000000"/>
                <w:sz w:val="18"/>
                <w:szCs w:val="18"/>
                <w:lang w:eastAsia="nl-NL"/>
              </w:rPr>
            </w:pPr>
          </w:p>
        </w:tc>
        <w:tc>
          <w:tcPr>
            <w:tcW w:w="834" w:type="pct"/>
            <w:vMerge/>
            <w:vAlign w:val="center"/>
          </w:tcPr>
          <w:p w14:paraId="78FB08FE" w14:textId="77777777" w:rsidR="00D52685" w:rsidRPr="00EA4F84" w:rsidRDefault="00D52685" w:rsidP="00D52685">
            <w:pPr>
              <w:rPr>
                <w:rFonts w:eastAsia="Times New Roman" w:cs="Arial"/>
                <w:color w:val="000000"/>
                <w:sz w:val="18"/>
                <w:szCs w:val="18"/>
                <w:lang w:eastAsia="nl-NL"/>
              </w:rPr>
            </w:pPr>
          </w:p>
        </w:tc>
        <w:tc>
          <w:tcPr>
            <w:tcW w:w="1184" w:type="pct"/>
            <w:vMerge/>
            <w:vAlign w:val="center"/>
          </w:tcPr>
          <w:p w14:paraId="5194E465" w14:textId="77777777" w:rsidR="00D52685" w:rsidRPr="00EA4F84" w:rsidRDefault="00D52685" w:rsidP="00D52685">
            <w:pPr>
              <w:rPr>
                <w:rFonts w:eastAsia="Times New Roman" w:cs="Arial"/>
                <w:i/>
                <w:iCs/>
                <w:color w:val="000000"/>
                <w:sz w:val="18"/>
                <w:szCs w:val="18"/>
                <w:lang w:eastAsia="fr-FR"/>
              </w:rPr>
            </w:pPr>
          </w:p>
        </w:tc>
        <w:tc>
          <w:tcPr>
            <w:tcW w:w="551" w:type="pct"/>
            <w:vMerge/>
            <w:vAlign w:val="center"/>
          </w:tcPr>
          <w:p w14:paraId="580AD4BA" w14:textId="77777777" w:rsidR="00D52685" w:rsidRPr="00EA4F84" w:rsidRDefault="00D52685" w:rsidP="00D52685">
            <w:pPr>
              <w:rPr>
                <w:rFonts w:eastAsia="Times New Roman" w:cs="Arial"/>
                <w:color w:val="000000"/>
                <w:sz w:val="18"/>
                <w:szCs w:val="18"/>
                <w:lang w:eastAsia="nl-NL"/>
              </w:rPr>
            </w:pPr>
          </w:p>
        </w:tc>
        <w:tc>
          <w:tcPr>
            <w:tcW w:w="1938" w:type="pct"/>
            <w:vMerge/>
            <w:vAlign w:val="center"/>
          </w:tcPr>
          <w:p w14:paraId="328FBBD6" w14:textId="77777777" w:rsidR="00D52685" w:rsidRPr="00EA4F84" w:rsidRDefault="00D52685" w:rsidP="00D52685">
            <w:pPr>
              <w:rPr>
                <w:rFonts w:eastAsia="Times New Roman" w:cs="Arial"/>
                <w:color w:val="000000"/>
                <w:sz w:val="18"/>
                <w:szCs w:val="18"/>
                <w:lang w:eastAsia="nl-NL"/>
              </w:rPr>
            </w:pPr>
          </w:p>
        </w:tc>
        <w:tc>
          <w:tcPr>
            <w:tcW w:w="78" w:type="pct"/>
            <w:vAlign w:val="center"/>
          </w:tcPr>
          <w:p w14:paraId="4F25D988" w14:textId="77777777" w:rsidR="00D52685" w:rsidRPr="00EA4F84" w:rsidRDefault="00D52685" w:rsidP="00D52685">
            <w:pPr>
              <w:rPr>
                <w:rFonts w:ascii="Times New Roman" w:eastAsia="Times New Roman" w:hAnsi="Times New Roman"/>
                <w:lang w:eastAsia="fr-FR"/>
              </w:rPr>
            </w:pPr>
          </w:p>
        </w:tc>
      </w:tr>
      <w:tr w:rsidR="00D52685" w:rsidRPr="00EA4F84" w14:paraId="27FE4647" w14:textId="77777777" w:rsidTr="00BC380B">
        <w:trPr>
          <w:trHeight w:val="315"/>
        </w:trPr>
        <w:tc>
          <w:tcPr>
            <w:tcW w:w="415" w:type="pct"/>
            <w:vMerge/>
            <w:vAlign w:val="center"/>
          </w:tcPr>
          <w:p w14:paraId="633E6264" w14:textId="77777777" w:rsidR="00D52685" w:rsidRPr="00EA4F84" w:rsidRDefault="00D52685" w:rsidP="00D52685">
            <w:pPr>
              <w:rPr>
                <w:rFonts w:eastAsia="Times New Roman" w:cs="Arial"/>
                <w:color w:val="000000"/>
                <w:sz w:val="18"/>
                <w:szCs w:val="18"/>
                <w:lang w:eastAsia="fr-FR"/>
              </w:rPr>
            </w:pPr>
          </w:p>
        </w:tc>
        <w:tc>
          <w:tcPr>
            <w:tcW w:w="834" w:type="pct"/>
            <w:vMerge/>
            <w:vAlign w:val="center"/>
          </w:tcPr>
          <w:p w14:paraId="6B5185BF" w14:textId="77777777" w:rsidR="00D52685" w:rsidRPr="00EA4F84" w:rsidRDefault="00D52685" w:rsidP="00D52685">
            <w:pPr>
              <w:rPr>
                <w:rFonts w:eastAsia="Times New Roman" w:cs="Arial"/>
                <w:color w:val="000000"/>
                <w:sz w:val="18"/>
                <w:szCs w:val="18"/>
                <w:lang w:eastAsia="fr-FR"/>
              </w:rPr>
            </w:pPr>
          </w:p>
        </w:tc>
        <w:tc>
          <w:tcPr>
            <w:tcW w:w="1184" w:type="pct"/>
            <w:vMerge/>
            <w:vAlign w:val="center"/>
          </w:tcPr>
          <w:p w14:paraId="3184CE0C" w14:textId="77777777" w:rsidR="00D52685" w:rsidRPr="00EA4F84" w:rsidRDefault="00D52685" w:rsidP="00D52685">
            <w:pPr>
              <w:rPr>
                <w:rFonts w:eastAsia="Times New Roman" w:cs="Arial"/>
                <w:i/>
                <w:iCs/>
                <w:color w:val="000000"/>
                <w:sz w:val="18"/>
                <w:szCs w:val="18"/>
                <w:lang w:eastAsia="fr-FR"/>
              </w:rPr>
            </w:pPr>
          </w:p>
        </w:tc>
        <w:tc>
          <w:tcPr>
            <w:tcW w:w="551" w:type="pct"/>
            <w:vMerge/>
            <w:vAlign w:val="center"/>
          </w:tcPr>
          <w:p w14:paraId="4EE17E4C" w14:textId="77777777" w:rsidR="00D52685" w:rsidRPr="00EA4F84" w:rsidRDefault="00D52685" w:rsidP="00D52685">
            <w:pPr>
              <w:rPr>
                <w:rFonts w:eastAsia="Times New Roman" w:cs="Arial"/>
                <w:color w:val="000000"/>
                <w:sz w:val="18"/>
                <w:szCs w:val="18"/>
                <w:lang w:eastAsia="fr-FR"/>
              </w:rPr>
            </w:pPr>
          </w:p>
        </w:tc>
        <w:tc>
          <w:tcPr>
            <w:tcW w:w="1938" w:type="pct"/>
            <w:vMerge/>
            <w:vAlign w:val="center"/>
          </w:tcPr>
          <w:p w14:paraId="3BB6FE94" w14:textId="77777777" w:rsidR="00D52685" w:rsidRPr="00EA4F84" w:rsidRDefault="00D52685" w:rsidP="00D52685">
            <w:pPr>
              <w:rPr>
                <w:rFonts w:eastAsia="Times New Roman" w:cs="Arial"/>
                <w:color w:val="000000"/>
                <w:sz w:val="18"/>
                <w:szCs w:val="18"/>
                <w:lang w:eastAsia="fr-FR"/>
              </w:rPr>
            </w:pPr>
          </w:p>
        </w:tc>
        <w:tc>
          <w:tcPr>
            <w:tcW w:w="78" w:type="pct"/>
            <w:noWrap/>
            <w:vAlign w:val="bottom"/>
            <w:hideMark/>
          </w:tcPr>
          <w:p w14:paraId="76514CDA" w14:textId="77777777" w:rsidR="00D52685" w:rsidRPr="00EA4F84" w:rsidRDefault="00D52685" w:rsidP="00D52685">
            <w:pPr>
              <w:rPr>
                <w:rFonts w:eastAsia="Times New Roman" w:cs="Arial"/>
                <w:color w:val="000000"/>
                <w:lang w:eastAsia="fr-FR"/>
              </w:rPr>
            </w:pPr>
          </w:p>
        </w:tc>
      </w:tr>
    </w:tbl>
    <w:p w14:paraId="60DAC7AA" w14:textId="77777777" w:rsidR="00D52685" w:rsidRPr="00EA4F84" w:rsidRDefault="00D52685" w:rsidP="00D52685">
      <w:pPr>
        <w:rPr>
          <w:rFonts w:eastAsia="Times New Roman"/>
          <w:lang w:eastAsia="fr-FR"/>
        </w:rPr>
      </w:pPr>
    </w:p>
    <w:p w14:paraId="442AB59A" w14:textId="77777777" w:rsidR="00D52685" w:rsidRPr="00EA4F84" w:rsidRDefault="00D52685" w:rsidP="00D52685">
      <w:pPr>
        <w:rPr>
          <w:rFonts w:eastAsia="Times New Roman"/>
          <w:lang w:eastAsia="fr-FR"/>
        </w:rPr>
      </w:pPr>
    </w:p>
    <w:p w14:paraId="35859D8D" w14:textId="77777777" w:rsidR="00D52685" w:rsidRPr="00EA4F84" w:rsidRDefault="00D52685" w:rsidP="0077577B">
      <w:pPr>
        <w:pStyle w:val="Heading1Annex"/>
        <w:rPr>
          <w:lang w:val="fr-FR"/>
        </w:rPr>
      </w:pPr>
      <w:bookmarkStart w:id="119" w:name="_Toc189576576"/>
      <w:bookmarkStart w:id="120" w:name="_Toc210663423"/>
      <w:r w:rsidRPr="00EA4F84">
        <w:rPr>
          <w:lang w:val="fr-FR"/>
        </w:rPr>
        <w:lastRenderedPageBreak/>
        <w:t>VI.</w:t>
      </w:r>
      <w:r w:rsidRPr="00EA4F84">
        <w:rPr>
          <w:lang w:val="fr-FR"/>
        </w:rPr>
        <w:tab/>
        <w:t>Enquête de suivi après approbation</w:t>
      </w:r>
      <w:bookmarkEnd w:id="119"/>
      <w:bookmarkEnd w:id="120"/>
    </w:p>
    <w:p w14:paraId="61FA046F" w14:textId="77777777" w:rsidR="00D52685" w:rsidRPr="00EA4F84" w:rsidRDefault="00D52685" w:rsidP="00D52685">
      <w:pPr>
        <w:keepNext/>
        <w:rPr>
          <w:rFonts w:eastAsia="Times New Roman"/>
          <w:lang w:eastAsia="fr-FR"/>
        </w:rPr>
      </w:pPr>
    </w:p>
    <w:p w14:paraId="4F890AD6" w14:textId="078302A8" w:rsidR="00D52685" w:rsidRPr="00EA4F84" w:rsidRDefault="00DC4B65" w:rsidP="00D52685">
      <w:pPr>
        <w:rPr>
          <w:rFonts w:eastAsia="Times New Roman"/>
          <w:lang w:eastAsia="fr-FR"/>
        </w:rPr>
      </w:pPr>
      <w:r w:rsidRPr="00EA4F84">
        <w:rPr>
          <w:rFonts w:hint="eastAsia"/>
          <w:lang w:eastAsia="ja-JP"/>
        </w:rPr>
        <w:t>33.</w:t>
      </w:r>
      <w:r w:rsidR="00D52685" w:rsidRPr="00EA4F84">
        <w:rPr>
          <w:rFonts w:eastAsia="Times New Roman"/>
          <w:lang w:eastAsia="fr-FR"/>
        </w:rPr>
        <w:tab/>
        <w:t xml:space="preserve">La validation du marqueur n'est pas définitive, car de nouvelles caractéristiques génétiques peuvent apparaître sur le marché. Il s'agit d'un processus d'évaluation continu. La spécificité doit être réévaluée après l'acceptation de la validation à l'aide de tests parallèles (test de marqueur et </w:t>
      </w:r>
      <w:proofErr w:type="spellStart"/>
      <w:r w:rsidR="00D52685" w:rsidRPr="00EA4F84">
        <w:rPr>
          <w:rFonts w:eastAsia="Times New Roman"/>
          <w:lang w:eastAsia="fr-FR"/>
        </w:rPr>
        <w:t>bioessai</w:t>
      </w:r>
      <w:proofErr w:type="spellEnd"/>
      <w:r w:rsidR="00D52685" w:rsidRPr="00EA4F84">
        <w:rPr>
          <w:rFonts w:eastAsia="Times New Roman"/>
          <w:lang w:eastAsia="fr-FR"/>
        </w:rPr>
        <w:t xml:space="preserve">) au moins pendant la première année avec une méthode d'observation. </w:t>
      </w:r>
    </w:p>
    <w:p w14:paraId="57719EE3" w14:textId="77777777" w:rsidR="00D52685" w:rsidRPr="00EA4F84" w:rsidRDefault="00D52685" w:rsidP="00D52685">
      <w:pPr>
        <w:rPr>
          <w:rFonts w:eastAsia="Times New Roman"/>
          <w:lang w:eastAsia="fr-FR"/>
        </w:rPr>
      </w:pPr>
    </w:p>
    <w:p w14:paraId="3CE960ED" w14:textId="13556EE3" w:rsidR="00D52685" w:rsidRPr="00EA4F84" w:rsidRDefault="00DC4B65" w:rsidP="00D52685">
      <w:pPr>
        <w:rPr>
          <w:rFonts w:eastAsia="Times New Roman"/>
          <w:lang w:eastAsia="fr-FR"/>
        </w:rPr>
      </w:pPr>
      <w:r w:rsidRPr="00EA4F84">
        <w:rPr>
          <w:rFonts w:hint="eastAsia"/>
          <w:lang w:eastAsia="ja-JP"/>
        </w:rPr>
        <w:t>34.</w:t>
      </w:r>
      <w:r w:rsidR="00D52685" w:rsidRPr="00EA4F84">
        <w:rPr>
          <w:rFonts w:eastAsia="Times New Roman"/>
          <w:lang w:eastAsia="fr-FR"/>
        </w:rPr>
        <w:tab/>
        <w:t>Après la première année d'acceptation du protocole, des contrôles morphologiques doivent être effectués sur environ 10 % des nouvelles variétés.</w:t>
      </w:r>
    </w:p>
    <w:p w14:paraId="6038449B" w14:textId="77777777" w:rsidR="00D52685" w:rsidRPr="00EA4F84" w:rsidRDefault="00D52685" w:rsidP="00D52685">
      <w:pPr>
        <w:jc w:val="left"/>
        <w:rPr>
          <w:rFonts w:eastAsia="Times New Roman"/>
        </w:rPr>
      </w:pPr>
    </w:p>
    <w:p w14:paraId="425408FA" w14:textId="77777777" w:rsidR="00BF7C58" w:rsidRPr="00EA4F84" w:rsidRDefault="00BF7C58" w:rsidP="00D52685">
      <w:pPr>
        <w:jc w:val="left"/>
        <w:rPr>
          <w:rFonts w:eastAsia="Times New Roman"/>
        </w:rPr>
      </w:pPr>
    </w:p>
    <w:p w14:paraId="69ACC659" w14:textId="77777777" w:rsidR="00D52685" w:rsidRPr="00EA4F84" w:rsidRDefault="00D52685" w:rsidP="0077577B">
      <w:pPr>
        <w:pStyle w:val="Heading1Annex"/>
        <w:rPr>
          <w:lang w:val="fr-FR"/>
        </w:rPr>
      </w:pPr>
      <w:bookmarkStart w:id="121" w:name="_Toc210663424"/>
      <w:r w:rsidRPr="00EA4F84">
        <w:rPr>
          <w:lang w:val="fr-FR"/>
        </w:rPr>
        <w:t>VII.</w:t>
      </w:r>
      <w:r w:rsidRPr="00EA4F84">
        <w:rPr>
          <w:lang w:val="fr-FR"/>
        </w:rPr>
        <w:tab/>
        <w:t>BIBLIOGRAPHIE</w:t>
      </w:r>
      <w:bookmarkEnd w:id="121"/>
    </w:p>
    <w:p w14:paraId="24422E95" w14:textId="77777777" w:rsidR="00D52685" w:rsidRPr="00EA4F84" w:rsidRDefault="00D52685" w:rsidP="00D52685">
      <w:pPr>
        <w:jc w:val="left"/>
        <w:rPr>
          <w:rFonts w:eastAsia="Times New Roman"/>
        </w:rPr>
      </w:pPr>
    </w:p>
    <w:p w14:paraId="1A01D356" w14:textId="77777777" w:rsidR="00D52685" w:rsidRPr="00EA4F84" w:rsidRDefault="00D52685" w:rsidP="00D52685">
      <w:pPr>
        <w:rPr>
          <w:rFonts w:eastAsia="Times New Roman"/>
        </w:rPr>
      </w:pPr>
      <w:proofErr w:type="spellStart"/>
      <w:r w:rsidRPr="00EA4F84">
        <w:rPr>
          <w:rFonts w:eastAsia="Times New Roman"/>
        </w:rPr>
        <w:t>Arens</w:t>
      </w:r>
      <w:proofErr w:type="spellEnd"/>
      <w:r w:rsidRPr="00EA4F84">
        <w:rPr>
          <w:rFonts w:eastAsia="Times New Roman"/>
        </w:rPr>
        <w:t xml:space="preserve"> P., </w:t>
      </w:r>
      <w:proofErr w:type="spellStart"/>
      <w:r w:rsidRPr="00EA4F84">
        <w:rPr>
          <w:rFonts w:eastAsia="Times New Roman"/>
        </w:rPr>
        <w:t>Mansilla</w:t>
      </w:r>
      <w:proofErr w:type="spellEnd"/>
      <w:r w:rsidRPr="00EA4F84">
        <w:rPr>
          <w:rFonts w:eastAsia="Times New Roman"/>
        </w:rPr>
        <w:t xml:space="preserve"> C., </w:t>
      </w:r>
      <w:proofErr w:type="spellStart"/>
      <w:r w:rsidRPr="00EA4F84">
        <w:rPr>
          <w:rFonts w:eastAsia="Times New Roman"/>
        </w:rPr>
        <w:t>Deinum</w:t>
      </w:r>
      <w:proofErr w:type="spellEnd"/>
      <w:r w:rsidRPr="00EA4F84">
        <w:rPr>
          <w:rFonts w:eastAsia="Times New Roman"/>
        </w:rPr>
        <w:t xml:space="preserve"> D., </w:t>
      </w:r>
      <w:proofErr w:type="spellStart"/>
      <w:r w:rsidRPr="00EA4F84">
        <w:rPr>
          <w:rFonts w:eastAsia="Times New Roman"/>
        </w:rPr>
        <w:t>Cavellini</w:t>
      </w:r>
      <w:proofErr w:type="spellEnd"/>
      <w:r w:rsidRPr="00EA4F84">
        <w:rPr>
          <w:rFonts w:eastAsia="Times New Roman"/>
        </w:rPr>
        <w:t xml:space="preserve"> L., Moretti A., Rolland S., van der </w:t>
      </w:r>
      <w:proofErr w:type="spellStart"/>
      <w:r w:rsidRPr="00EA4F84">
        <w:rPr>
          <w:rFonts w:eastAsia="Times New Roman"/>
        </w:rPr>
        <w:t>Schoot</w:t>
      </w:r>
      <w:proofErr w:type="spellEnd"/>
      <w:r w:rsidRPr="00EA4F84">
        <w:rPr>
          <w:rFonts w:eastAsia="Times New Roman"/>
        </w:rPr>
        <w:t xml:space="preserve"> H., </w:t>
      </w:r>
      <w:proofErr w:type="spellStart"/>
      <w:r w:rsidRPr="00EA4F84">
        <w:rPr>
          <w:rFonts w:eastAsia="Times New Roman"/>
        </w:rPr>
        <w:t>Calvache</w:t>
      </w:r>
      <w:proofErr w:type="spellEnd"/>
      <w:r w:rsidRPr="00EA4F84">
        <w:rPr>
          <w:rFonts w:eastAsia="Times New Roman"/>
        </w:rPr>
        <w:t xml:space="preserve"> D., </w:t>
      </w:r>
      <w:proofErr w:type="spellStart"/>
      <w:r w:rsidRPr="00EA4F84">
        <w:rPr>
          <w:rFonts w:eastAsia="Times New Roman"/>
        </w:rPr>
        <w:t>Ponz</w:t>
      </w:r>
      <w:proofErr w:type="spellEnd"/>
      <w:r w:rsidRPr="00EA4F84">
        <w:rPr>
          <w:rFonts w:eastAsia="Times New Roman"/>
        </w:rPr>
        <w:t xml:space="preserve"> F., </w:t>
      </w:r>
      <w:proofErr w:type="spellStart"/>
      <w:r w:rsidRPr="00EA4F84">
        <w:rPr>
          <w:rFonts w:eastAsia="Times New Roman"/>
        </w:rPr>
        <w:t>Collonnier</w:t>
      </w:r>
      <w:proofErr w:type="spellEnd"/>
      <w:r w:rsidRPr="00EA4F84">
        <w:rPr>
          <w:rFonts w:eastAsia="Times New Roman"/>
        </w:rPr>
        <w:t xml:space="preserve"> C., Mathis R., </w:t>
      </w:r>
      <w:proofErr w:type="spellStart"/>
      <w:r w:rsidRPr="00EA4F84">
        <w:rPr>
          <w:rFonts w:eastAsia="Times New Roman"/>
        </w:rPr>
        <w:t>Smilde</w:t>
      </w:r>
      <w:proofErr w:type="spellEnd"/>
      <w:r w:rsidRPr="00EA4F84">
        <w:rPr>
          <w:rFonts w:eastAsia="Times New Roman"/>
        </w:rPr>
        <w:t xml:space="preserve"> D., </w:t>
      </w:r>
      <w:proofErr w:type="spellStart"/>
      <w:r w:rsidRPr="00EA4F84">
        <w:rPr>
          <w:rFonts w:eastAsia="Times New Roman"/>
        </w:rPr>
        <w:t>Caranta</w:t>
      </w:r>
      <w:proofErr w:type="spellEnd"/>
      <w:r w:rsidRPr="00EA4F84">
        <w:rPr>
          <w:rFonts w:eastAsia="Times New Roman"/>
        </w:rPr>
        <w:t xml:space="preserve"> C. ; </w:t>
      </w:r>
      <w:proofErr w:type="spellStart"/>
      <w:r w:rsidRPr="00EA4F84">
        <w:rPr>
          <w:rFonts w:eastAsia="Times New Roman"/>
        </w:rPr>
        <w:t>Vosman</w:t>
      </w:r>
      <w:proofErr w:type="spellEnd"/>
      <w:r w:rsidRPr="00EA4F84">
        <w:rPr>
          <w:rFonts w:eastAsia="Times New Roman"/>
        </w:rPr>
        <w:t xml:space="preserve"> B., 2010 : Développement et évaluation de marqueurs moléculaires robustes liés à la résistance aux maladies chez la tomate pour les tests de distinction, d'uniformité et de stabilité. </w:t>
      </w:r>
    </w:p>
    <w:p w14:paraId="53154F7A" w14:textId="77777777" w:rsidR="00D52685" w:rsidRPr="00EA4F84" w:rsidRDefault="00D52685" w:rsidP="00D52685">
      <w:pPr>
        <w:jc w:val="left"/>
        <w:rPr>
          <w:rFonts w:eastAsia="Times New Roman"/>
        </w:rPr>
      </w:pPr>
      <w:r w:rsidRPr="00EA4F84">
        <w:rPr>
          <w:rFonts w:eastAsia="Times New Roman"/>
        </w:rPr>
        <w:t>Génétique théorique et appliquée 120(3). pp. 655-64</w:t>
      </w:r>
    </w:p>
    <w:p w14:paraId="7396CEDD" w14:textId="77777777" w:rsidR="00D52685" w:rsidRPr="00EA4F84" w:rsidRDefault="00D52685" w:rsidP="00D52685">
      <w:pPr>
        <w:rPr>
          <w:rFonts w:eastAsia="Times New Roman"/>
        </w:rPr>
      </w:pPr>
    </w:p>
    <w:p w14:paraId="7B8AE26D" w14:textId="77777777" w:rsidR="00D52685" w:rsidRPr="00EA4F84" w:rsidRDefault="00D52685" w:rsidP="00D52685">
      <w:pPr>
        <w:rPr>
          <w:rFonts w:eastAsia="Times New Roman"/>
        </w:rPr>
      </w:pPr>
      <w:r w:rsidRPr="00EA4F84">
        <w:rPr>
          <w:rFonts w:eastAsia="Times New Roman"/>
        </w:rPr>
        <w:t xml:space="preserve">Langton, S.D., </w:t>
      </w:r>
      <w:proofErr w:type="spellStart"/>
      <w:r w:rsidRPr="00EA4F84">
        <w:rPr>
          <w:rFonts w:eastAsia="Times New Roman"/>
        </w:rPr>
        <w:t>Chevennement</w:t>
      </w:r>
      <w:proofErr w:type="spellEnd"/>
      <w:r w:rsidRPr="00EA4F84">
        <w:rPr>
          <w:rFonts w:eastAsia="Times New Roman"/>
        </w:rPr>
        <w:t xml:space="preserve">, R., </w:t>
      </w:r>
      <w:proofErr w:type="spellStart"/>
      <w:r w:rsidRPr="00EA4F84">
        <w:rPr>
          <w:rFonts w:eastAsia="Times New Roman"/>
        </w:rPr>
        <w:t>Nagelkerke</w:t>
      </w:r>
      <w:proofErr w:type="spellEnd"/>
      <w:r w:rsidRPr="00EA4F84">
        <w:rPr>
          <w:rFonts w:eastAsia="Times New Roman"/>
        </w:rPr>
        <w:t xml:space="preserve">, N. et Lombard, B. (2002). Analyse d'essais collaboratifs pour des méthodes microbiologiques qualitatives : conformité et concordance. International Journal of Food </w:t>
      </w:r>
      <w:proofErr w:type="spellStart"/>
      <w:r w:rsidRPr="00EA4F84">
        <w:rPr>
          <w:rFonts w:eastAsia="Times New Roman"/>
        </w:rPr>
        <w:t>Microbiology</w:t>
      </w:r>
      <w:proofErr w:type="spellEnd"/>
      <w:r w:rsidRPr="00EA4F84">
        <w:rPr>
          <w:rFonts w:eastAsia="Times New Roman"/>
        </w:rPr>
        <w:t>, 79, 175-181</w:t>
      </w:r>
    </w:p>
    <w:p w14:paraId="339E95E3" w14:textId="77777777" w:rsidR="00550FF9" w:rsidRPr="00EA4F84" w:rsidRDefault="00550FF9" w:rsidP="00550FF9">
      <w:pPr>
        <w:jc w:val="left"/>
      </w:pPr>
    </w:p>
    <w:p w14:paraId="3FB988CA" w14:textId="77777777" w:rsidR="00EF4B00" w:rsidRPr="00EA4F84" w:rsidRDefault="00EF4B00" w:rsidP="00EF4B00"/>
    <w:p w14:paraId="465282EF" w14:textId="77777777" w:rsidR="003D7A73" w:rsidRPr="00EA4F84" w:rsidRDefault="003D7A73" w:rsidP="00EF4B00"/>
    <w:p w14:paraId="530048DF" w14:textId="043B73C2" w:rsidR="003D7A73" w:rsidRPr="00EA4F84" w:rsidRDefault="003D7A73" w:rsidP="003D7A73">
      <w:pPr>
        <w:jc w:val="right"/>
      </w:pPr>
      <w:r w:rsidRPr="00EA4F84">
        <w:t>[Fin de l'annexe et du document]</w:t>
      </w:r>
    </w:p>
    <w:sectPr w:rsidR="003D7A73" w:rsidRPr="00EA4F84" w:rsidSect="0077577B">
      <w:headerReference w:type="default" r:id="rId26"/>
      <w:headerReference w:type="first" r:id="rId27"/>
      <w:pgSz w:w="11907" w:h="16840" w:code="9"/>
      <w:pgMar w:top="510" w:right="1134" w:bottom="709" w:left="1134" w:header="510" w:footer="51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C330F" w14:textId="77777777" w:rsidR="00506A9E" w:rsidRPr="00EA4F84" w:rsidRDefault="00506A9E" w:rsidP="006655D3">
      <w:r w:rsidRPr="00EA4F84">
        <w:separator/>
      </w:r>
    </w:p>
    <w:p w14:paraId="127F7907" w14:textId="77777777" w:rsidR="00506A9E" w:rsidRPr="00EA4F84" w:rsidRDefault="00506A9E" w:rsidP="006655D3"/>
    <w:p w14:paraId="3F52CC52" w14:textId="77777777" w:rsidR="00506A9E" w:rsidRPr="00EA4F84" w:rsidRDefault="00506A9E" w:rsidP="006655D3"/>
    <w:p w14:paraId="66754A44" w14:textId="77777777" w:rsidR="00506A9E" w:rsidRPr="00EA4F84" w:rsidRDefault="00506A9E"/>
  </w:endnote>
  <w:endnote w:type="continuationSeparator" w:id="0">
    <w:p w14:paraId="210B1BC3" w14:textId="77777777" w:rsidR="00506A9E" w:rsidRPr="00EA4F84" w:rsidRDefault="00506A9E" w:rsidP="006655D3">
      <w:r w:rsidRPr="00EA4F84">
        <w:separator/>
      </w:r>
    </w:p>
    <w:p w14:paraId="4234BE8A" w14:textId="77777777" w:rsidR="00506A9E" w:rsidRPr="00EA4F84" w:rsidRDefault="00506A9E">
      <w:pPr>
        <w:pStyle w:val="Footer"/>
        <w:spacing w:after="60"/>
        <w:rPr>
          <w:sz w:val="18"/>
          <w:lang w:val="fr-FR"/>
        </w:rPr>
      </w:pPr>
      <w:r w:rsidRPr="00EA4F84">
        <w:rPr>
          <w:sz w:val="18"/>
          <w:lang w:val="fr-FR"/>
        </w:rPr>
        <w:t>[Suite de la note de la page précédente]</w:t>
      </w:r>
    </w:p>
    <w:p w14:paraId="7C7E7E89" w14:textId="77777777" w:rsidR="00506A9E" w:rsidRPr="00EA4F84" w:rsidRDefault="00506A9E" w:rsidP="006655D3"/>
    <w:p w14:paraId="1BC935C6" w14:textId="77777777" w:rsidR="00506A9E" w:rsidRPr="00EA4F84" w:rsidRDefault="00506A9E" w:rsidP="006655D3"/>
    <w:p w14:paraId="1120A4E8" w14:textId="77777777" w:rsidR="00506A9E" w:rsidRPr="00EA4F84" w:rsidRDefault="00506A9E"/>
  </w:endnote>
  <w:endnote w:type="continuationNotice" w:id="1">
    <w:p w14:paraId="6CF817F8" w14:textId="77777777" w:rsidR="00506A9E" w:rsidRPr="00EA4F84" w:rsidRDefault="00506A9E" w:rsidP="006655D3">
      <w:r w:rsidRPr="00EA4F84">
        <w:t>[Suite de la note page suivante]</w:t>
      </w:r>
    </w:p>
    <w:p w14:paraId="04BC69CD" w14:textId="77777777" w:rsidR="00506A9E" w:rsidRPr="00EA4F84" w:rsidRDefault="00506A9E" w:rsidP="006655D3"/>
    <w:p w14:paraId="4B3395BE" w14:textId="77777777" w:rsidR="00506A9E" w:rsidRPr="00EA4F84" w:rsidRDefault="00506A9E" w:rsidP="006655D3"/>
    <w:p w14:paraId="150483AD" w14:textId="77777777" w:rsidR="00506A9E" w:rsidRPr="00EA4F84" w:rsidRDefault="00506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93D0" w14:textId="4B02B252" w:rsidR="00441A8C" w:rsidRPr="00EA4F84" w:rsidRDefault="00441A8C">
    <w:pPr>
      <w:pStyle w:val="Footer"/>
      <w:rPr>
        <w:lang w:val="fr-FR"/>
      </w:rPr>
    </w:pPr>
    <w:r w:rsidRPr="00EA4F84">
      <w:rPr>
        <w:noProof/>
        <w:lang w:val="fr-FR"/>
      </w:rPr>
      <mc:AlternateContent>
        <mc:Choice Requires="wps">
          <w:drawing>
            <wp:anchor distT="0" distB="0" distL="0" distR="0" simplePos="0" relativeHeight="251658241" behindDoc="0" locked="0" layoutInCell="1" allowOverlap="1" wp14:anchorId="417FCA55" wp14:editId="0E8A0F40">
              <wp:simplePos x="635" y="635"/>
              <wp:positionH relativeFrom="page">
                <wp:align>center</wp:align>
              </wp:positionH>
              <wp:positionV relativeFrom="page">
                <wp:align>bottom</wp:align>
              </wp:positionV>
              <wp:extent cx="1714500" cy="342900"/>
              <wp:effectExtent l="0" t="0" r="0" b="0"/>
              <wp:wrapNone/>
              <wp:docPr id="1188866040"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4500" cy="342900"/>
                      </a:xfrm>
                      <a:prstGeom prst="rect">
                        <a:avLst/>
                      </a:prstGeom>
                      <a:noFill/>
                      <a:ln>
                        <a:noFill/>
                      </a:ln>
                    </wps:spPr>
                    <wps:txbx>
                      <w:txbxContent>
                        <w:p w14:paraId="6CE73ED2" w14:textId="7E61F1E6" w:rsidR="00441A8C" w:rsidRPr="00EA4F84" w:rsidRDefault="00441A8C" w:rsidP="00441A8C">
                          <w:pPr>
                            <w:rPr>
                              <w:rFonts w:ascii="Aptos" w:eastAsia="Aptos" w:hAnsi="Aptos" w:cs="Aptos"/>
                              <w:color w:val="000000"/>
                            </w:rPr>
                          </w:pPr>
                          <w:r w:rsidRPr="00EA4F84">
                            <w:rPr>
                              <w:rFonts w:ascii="Aptos" w:eastAsia="Aptos" w:hAnsi="Aptos" w:cs="Aptos"/>
                              <w:color w:val="000000"/>
                            </w:rPr>
                            <w:t xml:space="preserve">WIPO À USAGE OFFICIEL UNIQUEMENT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7FCA55"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35pt;height:27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" filled="f" stroked="f">
              <v:textbox style="mso-fit-shape-to-text:t" inset="0,0,0,15pt">
                <w:txbxContent>
                  <w:p w14:paraId="6CE73ED2" w14:textId="7E61F1E6" w:rsidR="00441A8C" w:rsidRPr="00EA4F84" w:rsidRDefault="00441A8C" w:rsidP="00441A8C">
                    <w:pPr>
                      <w:rPr>
                        <w:rFonts w:ascii="Aptos" w:eastAsia="Aptos" w:hAnsi="Aptos" w:cs="Aptos"/>
                        <w:color w:val="000000"/>
                      </w:rPr>
                    </w:pPr>
                    <w:r w:rsidRPr="00EA4F84">
                      <w:rPr>
                        <w:rFonts w:ascii="Aptos" w:eastAsia="Aptos" w:hAnsi="Aptos" w:cs="Aptos"/>
                        <w:color w:val="000000"/>
                      </w:rPr>
                      <w:t xml:space="preserve">WIPO À USAGE OFFICIEL UNIQUEMENT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24D0" w14:textId="4AF84BC2" w:rsidR="00441A8C" w:rsidRPr="00EA4F84" w:rsidRDefault="00441A8C">
    <w:pPr>
      <w:pStyle w:val="Footer"/>
      <w:rPr>
        <w:lang w:val="fr-FR"/>
      </w:rPr>
    </w:pPr>
    <w:r w:rsidRPr="00EA4F84">
      <w:rPr>
        <w:noProof/>
        <w:lang w:val="fr-FR"/>
      </w:rPr>
      <mc:AlternateContent>
        <mc:Choice Requires="wps">
          <w:drawing>
            <wp:anchor distT="0" distB="0" distL="0" distR="0" simplePos="0" relativeHeight="251658242" behindDoc="0" locked="0" layoutInCell="1" allowOverlap="1" wp14:anchorId="327F29AB" wp14:editId="4A2ACB0D">
              <wp:simplePos x="635" y="635"/>
              <wp:positionH relativeFrom="page">
                <wp:align>center</wp:align>
              </wp:positionH>
              <wp:positionV relativeFrom="page">
                <wp:align>bottom</wp:align>
              </wp:positionV>
              <wp:extent cx="1714500" cy="342900"/>
              <wp:effectExtent l="0" t="0" r="0" b="0"/>
              <wp:wrapNone/>
              <wp:docPr id="227772304"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4500" cy="342900"/>
                      </a:xfrm>
                      <a:prstGeom prst="rect">
                        <a:avLst/>
                      </a:prstGeom>
                      <a:noFill/>
                      <a:ln>
                        <a:noFill/>
                      </a:ln>
                    </wps:spPr>
                    <wps:txbx>
                      <w:txbxContent>
                        <w:p w14:paraId="63B477B8" w14:textId="44F7AF26" w:rsidR="00441A8C" w:rsidRPr="00EA4F84" w:rsidRDefault="00441A8C" w:rsidP="00441A8C">
                          <w:pPr>
                            <w:rPr>
                              <w:rFonts w:ascii="Aptos" w:eastAsia="Aptos" w:hAnsi="Aptos" w:cs="Aptos"/>
                              <w:color w:val="00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7F29AB" id="_x0000_t202" coordsize="21600,21600" o:spt="202" path="m,l,21600r21600,l21600,xe">
              <v:stroke joinstyle="miter"/>
              <v:path gradientshapeok="t" o:connecttype="rect"/>
            </v:shapetype>
            <v:shape id="Text Box 3" o:spid="_x0000_s1027" type="#_x0000_t202" alt="WIPO FOR OFFICIAL USE ONLY " style="position:absolute;left:0;text-align:left;margin-left:0;margin-top:0;width:135pt;height:27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" filled="f" stroked="f">
              <v:textbox style="mso-fit-shape-to-text:t" inset="0,0,0,15pt">
                <w:txbxContent>
                  <w:p w14:paraId="63B477B8" w14:textId="44F7AF26" w:rsidR="00441A8C" w:rsidRPr="00EA4F84" w:rsidRDefault="00441A8C" w:rsidP="00441A8C">
                    <w:pPr>
                      <w:rPr>
                        <w:rFonts w:ascii="Aptos" w:eastAsia="Aptos" w:hAnsi="Aptos" w:cs="Aptos"/>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019D" w14:textId="3892D320" w:rsidR="00441A8C" w:rsidRPr="00EA4F84" w:rsidRDefault="00441A8C">
    <w:pPr>
      <w:pStyle w:val="Footer"/>
      <w:rPr>
        <w:lang w:val="fr-FR"/>
      </w:rPr>
    </w:pPr>
    <w:r w:rsidRPr="00EA4F84">
      <w:rPr>
        <w:noProof/>
        <w:lang w:val="fr-FR"/>
      </w:rPr>
      <mc:AlternateContent>
        <mc:Choice Requires="wps">
          <w:drawing>
            <wp:anchor distT="0" distB="0" distL="0" distR="0" simplePos="0" relativeHeight="251658240" behindDoc="0" locked="0" layoutInCell="1" allowOverlap="1" wp14:anchorId="73BA486A" wp14:editId="3B4C063A">
              <wp:simplePos x="635" y="635"/>
              <wp:positionH relativeFrom="page">
                <wp:align>center</wp:align>
              </wp:positionH>
              <wp:positionV relativeFrom="page">
                <wp:align>bottom</wp:align>
              </wp:positionV>
              <wp:extent cx="1714500" cy="342900"/>
              <wp:effectExtent l="0" t="0" r="0" b="0"/>
              <wp:wrapNone/>
              <wp:docPr id="1880760879"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4500" cy="342900"/>
                      </a:xfrm>
                      <a:prstGeom prst="rect">
                        <a:avLst/>
                      </a:prstGeom>
                      <a:noFill/>
                      <a:ln>
                        <a:noFill/>
                      </a:ln>
                    </wps:spPr>
                    <wps:txbx>
                      <w:txbxContent>
                        <w:p w14:paraId="0C89C6FA" w14:textId="1C9FF1FE" w:rsidR="00441A8C" w:rsidRPr="00EA4F84" w:rsidRDefault="00441A8C" w:rsidP="00441A8C">
                          <w:pPr>
                            <w:rPr>
                              <w:rFonts w:ascii="Aptos" w:eastAsia="Aptos" w:hAnsi="Aptos" w:cs="Aptos"/>
                              <w:color w:val="00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A486A" id="_x0000_t202" coordsize="21600,21600" o:spt="202" path="m,l,21600r21600,l21600,xe">
              <v:stroke joinstyle="miter"/>
              <v:path gradientshapeok="t" o:connecttype="rect"/>
            </v:shapetype>
            <v:shape id="Text Box 1" o:spid="_x0000_s1028" type="#_x0000_t202" alt="WIPO FOR OFFICIAL USE ONLY " style="position:absolute;left:0;text-align:left;margin-left:0;margin-top:0;width:135pt;height:27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" filled="f" stroked="f">
              <v:textbox style="mso-fit-shape-to-text:t" inset="0,0,0,15pt">
                <w:txbxContent>
                  <w:p w14:paraId="0C89C6FA" w14:textId="1C9FF1FE" w:rsidR="00441A8C" w:rsidRPr="00EA4F84" w:rsidRDefault="00441A8C" w:rsidP="00441A8C">
                    <w:pPr>
                      <w:rPr>
                        <w:rFonts w:ascii="Aptos" w:eastAsia="Aptos" w:hAnsi="Aptos" w:cs="Aptos"/>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61C70" w14:textId="77777777" w:rsidR="00506A9E" w:rsidRPr="00EA4F84" w:rsidRDefault="00506A9E" w:rsidP="006655D3">
      <w:r w:rsidRPr="00EA4F84">
        <w:separator/>
      </w:r>
    </w:p>
  </w:footnote>
  <w:footnote w:type="continuationSeparator" w:id="0">
    <w:p w14:paraId="5E5B254D" w14:textId="77777777" w:rsidR="00506A9E" w:rsidRPr="00EA4F84" w:rsidRDefault="00506A9E" w:rsidP="006655D3">
      <w:r w:rsidRPr="00EA4F84">
        <w:separator/>
      </w:r>
    </w:p>
    <w:p w14:paraId="69B2E871" w14:textId="77777777" w:rsidR="00506A9E" w:rsidRPr="00EA4F84" w:rsidRDefault="00506A9E"/>
  </w:footnote>
  <w:footnote w:type="continuationNotice" w:id="1">
    <w:p w14:paraId="0D9B938B" w14:textId="77777777" w:rsidR="00506A9E" w:rsidRPr="00EA4F84" w:rsidRDefault="00506A9E" w:rsidP="00AB530F">
      <w:pPr>
        <w:pStyle w:val="Footer"/>
        <w:rPr>
          <w:lang w:val="fr-FR"/>
        </w:rPr>
      </w:pPr>
    </w:p>
    <w:p w14:paraId="2477F8CA" w14:textId="77777777" w:rsidR="00506A9E" w:rsidRPr="00EA4F84" w:rsidRDefault="00506A9E"/>
  </w:footnote>
  <w:footnote w:id="2">
    <w:p w14:paraId="1DE810F6" w14:textId="1FF48946" w:rsidR="001576C8" w:rsidRPr="00EA4F84" w:rsidRDefault="001576C8" w:rsidP="001576C8">
      <w:pPr>
        <w:pStyle w:val="FootnoteText"/>
        <w:rPr>
          <w:lang w:val="fr-FR"/>
        </w:rPr>
      </w:pPr>
      <w:r w:rsidRPr="00EA4F84">
        <w:rPr>
          <w:rStyle w:val="FootnoteReference"/>
          <w:lang w:val="fr-FR"/>
        </w:rPr>
        <w:footnoteRef/>
      </w:r>
      <w:r w:rsidRPr="00EA4F84">
        <w:rPr>
          <w:lang w:val="fr-FR"/>
        </w:rPr>
        <w:t xml:space="preserve"> TC</w:t>
      </w:r>
      <w:r w:rsidR="00405700" w:rsidRPr="00EA4F84">
        <w:rPr>
          <w:rFonts w:hint="eastAsia"/>
          <w:lang w:val="fr-FR" w:eastAsia="ja-JP"/>
        </w:rPr>
        <w:t xml:space="preserve">, soixantième </w:t>
      </w:r>
      <w:r w:rsidRPr="00EA4F84">
        <w:rPr>
          <w:lang w:val="fr-FR"/>
        </w:rPr>
        <w:t xml:space="preserve">session, tenue </w:t>
      </w:r>
      <w:r w:rsidR="004101A6" w:rsidRPr="00EA4F84">
        <w:rPr>
          <w:rFonts w:hint="eastAsia"/>
          <w:lang w:val="fr-FR" w:eastAsia="ja-JP"/>
        </w:rPr>
        <w:t xml:space="preserve">à Genève, </w:t>
      </w:r>
      <w:r w:rsidRPr="00EA4F84">
        <w:rPr>
          <w:lang w:val="fr-FR"/>
        </w:rPr>
        <w:t>du</w:t>
      </w:r>
      <w:r w:rsidR="004101A6" w:rsidRPr="00EA4F84">
        <w:rPr>
          <w:rFonts w:hint="eastAsia"/>
          <w:lang w:val="fr-FR" w:eastAsia="ja-JP"/>
        </w:rPr>
        <w:t xml:space="preserve"> 21 </w:t>
      </w:r>
      <w:r w:rsidRPr="00EA4F84">
        <w:rPr>
          <w:lang w:val="fr-FR"/>
        </w:rPr>
        <w:t>au</w:t>
      </w:r>
      <w:r w:rsidR="004101A6" w:rsidRPr="00EA4F84">
        <w:rPr>
          <w:rFonts w:hint="eastAsia"/>
          <w:lang w:val="fr-FR" w:eastAsia="ja-JP"/>
        </w:rPr>
        <w:t xml:space="preserve"> 22 octobre</w:t>
      </w:r>
      <w:r w:rsidRPr="00EA4F84">
        <w:rPr>
          <w:lang w:val="fr-FR"/>
        </w:rPr>
        <w:t xml:space="preserve"> 2024. </w:t>
      </w:r>
      <w:r w:rsidR="009B03FA" w:rsidRPr="00EA4F84">
        <w:rPr>
          <w:rFonts w:hint="eastAsia"/>
          <w:lang w:val="fr-FR" w:eastAsia="ja-JP"/>
        </w:rPr>
        <w:t xml:space="preserve">Voir le document TC/60/8 </w:t>
      </w:r>
      <w:r w:rsidR="00EA4F84">
        <w:rPr>
          <w:lang w:val="fr-FR" w:eastAsia="ja-JP"/>
        </w:rPr>
        <w:t>“ </w:t>
      </w:r>
      <w:r w:rsidR="009B03FA" w:rsidRPr="00EA4F84">
        <w:rPr>
          <w:rFonts w:hint="eastAsia"/>
          <w:lang w:val="fr-FR" w:eastAsia="ja-JP"/>
        </w:rPr>
        <w:t xml:space="preserve">Compte </w:t>
      </w:r>
      <w:r w:rsidR="009B03FA" w:rsidRPr="00EA4F84">
        <w:rPr>
          <w:lang w:val="fr-FR" w:eastAsia="ja-JP"/>
        </w:rPr>
        <w:t>rendu</w:t>
      </w:r>
      <w:r w:rsidR="00EA4F84">
        <w:rPr>
          <w:lang w:val="fr-FR" w:eastAsia="ja-JP"/>
        </w:rPr>
        <w:t> »</w:t>
      </w:r>
      <w:r w:rsidR="009B03FA" w:rsidRPr="00EA4F84">
        <w:rPr>
          <w:lang w:val="fr-FR" w:eastAsia="ja-JP"/>
        </w:rPr>
        <w:t xml:space="preserve">, </w:t>
      </w:r>
      <w:r w:rsidR="009B03FA" w:rsidRPr="00EA4F84">
        <w:rPr>
          <w:rFonts w:hint="eastAsia"/>
          <w:lang w:val="fr-FR" w:eastAsia="ja-JP"/>
        </w:rPr>
        <w:t>paragraphes 51</w:t>
      </w:r>
    </w:p>
  </w:footnote>
  <w:footnote w:id="3">
    <w:p w14:paraId="2EF65F53" w14:textId="3A6D9C20" w:rsidR="00951044" w:rsidRPr="00EA4F84" w:rsidRDefault="00951044" w:rsidP="00951044">
      <w:pPr>
        <w:pStyle w:val="FootnoteText"/>
        <w:rPr>
          <w:lang w:val="fr-FR"/>
        </w:rPr>
      </w:pPr>
      <w:r w:rsidRPr="00EA4F84">
        <w:rPr>
          <w:rStyle w:val="FootnoteReference"/>
          <w:lang w:val="fr-FR"/>
        </w:rPr>
        <w:footnoteRef/>
      </w:r>
      <w:r w:rsidRPr="00EA4F84">
        <w:rPr>
          <w:lang w:val="fr-FR"/>
        </w:rPr>
        <w:t xml:space="preserve"> TWO</w:t>
      </w:r>
      <w:r w:rsidRPr="00EA4F84">
        <w:rPr>
          <w:rFonts w:hint="eastAsia"/>
          <w:lang w:val="fr-FR" w:eastAsia="ja-JP"/>
        </w:rPr>
        <w:t xml:space="preserve">, cinquante-septième </w:t>
      </w:r>
      <w:r w:rsidRPr="00EA4F84">
        <w:rPr>
          <w:lang w:val="fr-FR"/>
        </w:rPr>
        <w:t xml:space="preserve">session, tenue </w:t>
      </w:r>
      <w:r w:rsidRPr="00EA4F84">
        <w:rPr>
          <w:rFonts w:hint="eastAsia"/>
          <w:lang w:val="fr-FR" w:eastAsia="ja-JP"/>
        </w:rPr>
        <w:t xml:space="preserve">à </w:t>
      </w:r>
      <w:r w:rsidRPr="00EA4F84">
        <w:rPr>
          <w:lang w:val="fr-FR" w:eastAsia="ja-JP"/>
        </w:rPr>
        <w:t xml:space="preserve">Roelofarendsveen, Royaume des Pays-Bas, </w:t>
      </w:r>
      <w:r w:rsidRPr="00EA4F84">
        <w:rPr>
          <w:lang w:val="fr-FR"/>
        </w:rPr>
        <w:t>du</w:t>
      </w:r>
      <w:r w:rsidRPr="00EA4F84">
        <w:rPr>
          <w:rFonts w:hint="eastAsia"/>
          <w:lang w:val="fr-FR" w:eastAsia="ja-JP"/>
        </w:rPr>
        <w:t xml:space="preserve"> 31 mars </w:t>
      </w:r>
      <w:r w:rsidRPr="00EA4F84">
        <w:rPr>
          <w:lang w:val="fr-FR"/>
        </w:rPr>
        <w:t>au</w:t>
      </w:r>
      <w:r w:rsidRPr="00EA4F84">
        <w:rPr>
          <w:rFonts w:hint="eastAsia"/>
          <w:lang w:val="fr-FR" w:eastAsia="ja-JP"/>
        </w:rPr>
        <w:t xml:space="preserve"> 3 avril</w:t>
      </w:r>
      <w:r w:rsidRPr="00EA4F84">
        <w:rPr>
          <w:lang w:val="fr-FR"/>
        </w:rPr>
        <w:t xml:space="preserve"> 2025</w:t>
      </w:r>
      <w:r w:rsidRPr="00EA4F84">
        <w:rPr>
          <w:rFonts w:hint="eastAsia"/>
          <w:lang w:val="fr-FR" w:eastAsia="ja-JP"/>
        </w:rPr>
        <w:t xml:space="preserve">. </w:t>
      </w:r>
      <w:r w:rsidRPr="00EA4F84">
        <w:rPr>
          <w:lang w:val="fr-FR"/>
        </w:rPr>
        <w:t xml:space="preserve">Voir le document </w:t>
      </w:r>
      <w:r w:rsidRPr="00EA4F84">
        <w:rPr>
          <w:rFonts w:hint="eastAsia"/>
          <w:lang w:val="fr-FR" w:eastAsia="ja-JP"/>
        </w:rPr>
        <w:t xml:space="preserve">TWO/57/10 </w:t>
      </w:r>
      <w:r w:rsidR="00EA4F84">
        <w:rPr>
          <w:lang w:val="fr-FR"/>
        </w:rPr>
        <w:t>“ </w:t>
      </w:r>
      <w:r w:rsidRPr="00EA4F84">
        <w:rPr>
          <w:lang w:val="fr-FR"/>
        </w:rPr>
        <w:t>Compte rendu</w:t>
      </w:r>
      <w:r w:rsidR="00EA4F84">
        <w:rPr>
          <w:lang w:val="fr-FR"/>
        </w:rPr>
        <w:t> »</w:t>
      </w:r>
      <w:r w:rsidRPr="00EA4F84">
        <w:rPr>
          <w:lang w:val="fr-FR"/>
        </w:rPr>
        <w:t>, paragraphes</w:t>
      </w:r>
      <w:r w:rsidRPr="00EA4F84">
        <w:rPr>
          <w:rFonts w:hint="eastAsia"/>
          <w:lang w:val="fr-FR" w:eastAsia="ja-JP"/>
        </w:rPr>
        <w:t xml:space="preserve"> 22 </w:t>
      </w:r>
      <w:r w:rsidRPr="00EA4F84">
        <w:rPr>
          <w:lang w:val="fr-FR"/>
        </w:rPr>
        <w:t>à</w:t>
      </w:r>
      <w:r w:rsidRPr="00EA4F84">
        <w:rPr>
          <w:rFonts w:hint="eastAsia"/>
          <w:lang w:val="fr-FR" w:eastAsia="ja-JP"/>
        </w:rPr>
        <w:t xml:space="preserve"> 23.</w:t>
      </w:r>
    </w:p>
  </w:footnote>
  <w:footnote w:id="4">
    <w:p w14:paraId="302941B0" w14:textId="40E4D806" w:rsidR="007E36E5" w:rsidRPr="00EA4F84" w:rsidRDefault="007E36E5" w:rsidP="007E36E5">
      <w:pPr>
        <w:pStyle w:val="FootnoteText"/>
        <w:rPr>
          <w:lang w:val="fr-FR"/>
        </w:rPr>
      </w:pPr>
      <w:r w:rsidRPr="00EA4F84">
        <w:rPr>
          <w:rStyle w:val="FootnoteReference"/>
          <w:lang w:val="fr-FR"/>
        </w:rPr>
        <w:footnoteRef/>
      </w:r>
      <w:r w:rsidRPr="00EA4F84">
        <w:rPr>
          <w:spacing w:val="-2"/>
          <w:lang w:val="fr-FR"/>
        </w:rPr>
        <w:t xml:space="preserve"> TWM</w:t>
      </w:r>
      <w:r w:rsidRPr="00EA4F84">
        <w:rPr>
          <w:rFonts w:hint="eastAsia"/>
          <w:spacing w:val="-2"/>
          <w:lang w:val="fr-FR" w:eastAsia="ja-JP"/>
        </w:rPr>
        <w:t xml:space="preserve">, troisième </w:t>
      </w:r>
      <w:r w:rsidRPr="00EA4F84">
        <w:rPr>
          <w:spacing w:val="-2"/>
          <w:lang w:val="fr-FR"/>
        </w:rPr>
        <w:t xml:space="preserve">session, tenue </w:t>
      </w:r>
      <w:r w:rsidRPr="00EA4F84">
        <w:rPr>
          <w:rFonts w:hint="eastAsia"/>
          <w:spacing w:val="-2"/>
          <w:lang w:val="fr-FR" w:eastAsia="ja-JP"/>
        </w:rPr>
        <w:t xml:space="preserve">à Beijing (Chine) </w:t>
      </w:r>
      <w:r w:rsidRPr="00EA4F84">
        <w:rPr>
          <w:spacing w:val="-2"/>
          <w:lang w:val="fr-FR"/>
        </w:rPr>
        <w:t>du 28 avril au</w:t>
      </w:r>
      <w:r w:rsidRPr="00EA4F84">
        <w:rPr>
          <w:rFonts w:hint="eastAsia"/>
          <w:spacing w:val="-2"/>
          <w:lang w:val="fr-FR" w:eastAsia="ja-JP"/>
        </w:rPr>
        <w:t xml:space="preserve"> 1er mai</w:t>
      </w:r>
      <w:r w:rsidRPr="00EA4F84">
        <w:rPr>
          <w:spacing w:val="-2"/>
          <w:lang w:val="fr-FR"/>
        </w:rPr>
        <w:t xml:space="preserve"> 2025</w:t>
      </w:r>
      <w:r w:rsidRPr="00EA4F84">
        <w:rPr>
          <w:rFonts w:hint="eastAsia"/>
          <w:spacing w:val="-2"/>
          <w:lang w:val="fr-FR" w:eastAsia="ja-JP"/>
        </w:rPr>
        <w:t xml:space="preserve">. </w:t>
      </w:r>
      <w:r w:rsidRPr="00EA4F84">
        <w:rPr>
          <w:spacing w:val="-2"/>
          <w:lang w:val="fr-FR"/>
        </w:rPr>
        <w:t xml:space="preserve">Voir le document </w:t>
      </w:r>
      <w:r w:rsidRPr="00EA4F84">
        <w:rPr>
          <w:rFonts w:hint="eastAsia"/>
          <w:spacing w:val="-2"/>
          <w:lang w:val="fr-FR" w:eastAsia="ja-JP"/>
        </w:rPr>
        <w:t xml:space="preserve">TWM/3/29 </w:t>
      </w:r>
      <w:r w:rsidR="00EA4F84">
        <w:rPr>
          <w:spacing w:val="-2"/>
          <w:lang w:val="fr-FR"/>
        </w:rPr>
        <w:t>“ </w:t>
      </w:r>
      <w:r w:rsidRPr="00EA4F84">
        <w:rPr>
          <w:spacing w:val="-2"/>
          <w:lang w:val="fr-FR"/>
        </w:rPr>
        <w:t>Compte rendu</w:t>
      </w:r>
      <w:r w:rsidR="00EA4F84">
        <w:rPr>
          <w:spacing w:val="-2"/>
          <w:lang w:val="fr-FR"/>
        </w:rPr>
        <w:t> »</w:t>
      </w:r>
      <w:r w:rsidRPr="00EA4F84">
        <w:rPr>
          <w:spacing w:val="-2"/>
          <w:lang w:val="fr-FR"/>
        </w:rPr>
        <w:t>, paragraphes</w:t>
      </w:r>
      <w:r w:rsidRPr="00EA4F84">
        <w:rPr>
          <w:rFonts w:hint="eastAsia"/>
          <w:spacing w:val="-2"/>
          <w:lang w:val="fr-FR" w:eastAsia="ja-JP"/>
        </w:rPr>
        <w:t xml:space="preserve"> 29 </w:t>
      </w:r>
      <w:r w:rsidRPr="00EA4F84">
        <w:rPr>
          <w:spacing w:val="-2"/>
          <w:lang w:val="fr-FR"/>
        </w:rPr>
        <w:t>à</w:t>
      </w:r>
      <w:r w:rsidRPr="00EA4F84">
        <w:rPr>
          <w:rFonts w:hint="eastAsia"/>
          <w:spacing w:val="-2"/>
          <w:lang w:val="fr-FR" w:eastAsia="ja-JP"/>
        </w:rPr>
        <w:t xml:space="preserve"> 31.</w:t>
      </w:r>
    </w:p>
  </w:footnote>
  <w:footnote w:id="5">
    <w:p w14:paraId="70F0AF2C" w14:textId="091684F7" w:rsidR="00E95E7F" w:rsidRPr="00EA4F84" w:rsidRDefault="00E95E7F" w:rsidP="00E95E7F">
      <w:pPr>
        <w:pStyle w:val="FootnoteText"/>
        <w:rPr>
          <w:lang w:val="fr-FR"/>
        </w:rPr>
      </w:pPr>
      <w:r w:rsidRPr="00EA4F84">
        <w:rPr>
          <w:rStyle w:val="FootnoteReference"/>
          <w:lang w:val="fr-FR"/>
        </w:rPr>
        <w:footnoteRef/>
      </w:r>
      <w:r w:rsidRPr="00EA4F84">
        <w:rPr>
          <w:spacing w:val="-2"/>
          <w:lang w:val="fr-FR"/>
        </w:rPr>
        <w:t xml:space="preserve"> TW</w:t>
      </w:r>
      <w:r w:rsidRPr="00EA4F84">
        <w:rPr>
          <w:rFonts w:hint="eastAsia"/>
          <w:spacing w:val="-2"/>
          <w:lang w:val="fr-FR" w:eastAsia="ja-JP"/>
        </w:rPr>
        <w:t xml:space="preserve">V, cinquante-neuvième </w:t>
      </w:r>
      <w:r w:rsidRPr="00EA4F84">
        <w:rPr>
          <w:spacing w:val="-2"/>
          <w:lang w:val="fr-FR"/>
        </w:rPr>
        <w:t xml:space="preserve">session, tenue </w:t>
      </w:r>
      <w:r w:rsidRPr="00EA4F84">
        <w:rPr>
          <w:rFonts w:hint="eastAsia"/>
          <w:spacing w:val="-2"/>
          <w:lang w:val="fr-FR" w:eastAsia="ja-JP"/>
        </w:rPr>
        <w:t xml:space="preserve">par voie électronique, </w:t>
      </w:r>
      <w:r w:rsidRPr="00EA4F84">
        <w:rPr>
          <w:spacing w:val="-2"/>
          <w:lang w:val="fr-FR"/>
        </w:rPr>
        <w:t xml:space="preserve">du 5 au 8 </w:t>
      </w:r>
      <w:r w:rsidRPr="00EA4F84">
        <w:rPr>
          <w:rFonts w:hint="eastAsia"/>
          <w:spacing w:val="-2"/>
          <w:lang w:val="fr-FR" w:eastAsia="ja-JP"/>
        </w:rPr>
        <w:t>mai</w:t>
      </w:r>
      <w:r w:rsidRPr="00EA4F84">
        <w:rPr>
          <w:spacing w:val="-2"/>
          <w:lang w:val="fr-FR"/>
        </w:rPr>
        <w:t xml:space="preserve"> 2025</w:t>
      </w:r>
      <w:r w:rsidRPr="00EA4F84">
        <w:rPr>
          <w:rFonts w:hint="eastAsia"/>
          <w:spacing w:val="-2"/>
          <w:lang w:val="fr-FR" w:eastAsia="ja-JP"/>
        </w:rPr>
        <w:t xml:space="preserve">. </w:t>
      </w:r>
      <w:r w:rsidRPr="00EA4F84">
        <w:rPr>
          <w:spacing w:val="-2"/>
          <w:lang w:val="fr-FR"/>
        </w:rPr>
        <w:t xml:space="preserve">Voir le document TWV/59/19 </w:t>
      </w:r>
      <w:r w:rsidR="00EA4F84">
        <w:rPr>
          <w:spacing w:val="-2"/>
          <w:lang w:val="fr-FR"/>
        </w:rPr>
        <w:t>“ </w:t>
      </w:r>
      <w:r w:rsidRPr="00EA4F84">
        <w:rPr>
          <w:spacing w:val="-2"/>
          <w:lang w:val="fr-FR"/>
        </w:rPr>
        <w:t>Compte rendu</w:t>
      </w:r>
      <w:r w:rsidR="00EA4F84">
        <w:rPr>
          <w:spacing w:val="-2"/>
          <w:lang w:val="fr-FR"/>
        </w:rPr>
        <w:t> »</w:t>
      </w:r>
      <w:r w:rsidRPr="00EA4F84">
        <w:rPr>
          <w:spacing w:val="-2"/>
          <w:lang w:val="fr-FR"/>
        </w:rPr>
        <w:t>, paragraphes</w:t>
      </w:r>
      <w:r w:rsidRPr="00EA4F84">
        <w:rPr>
          <w:rFonts w:hint="eastAsia"/>
          <w:spacing w:val="-2"/>
          <w:lang w:val="fr-FR" w:eastAsia="ja-JP"/>
        </w:rPr>
        <w:t xml:space="preserve"> 25 </w:t>
      </w:r>
      <w:r w:rsidRPr="00EA4F84">
        <w:rPr>
          <w:spacing w:val="-2"/>
          <w:lang w:val="fr-FR"/>
        </w:rPr>
        <w:t>à</w:t>
      </w:r>
      <w:r w:rsidRPr="00EA4F84">
        <w:rPr>
          <w:rFonts w:hint="eastAsia"/>
          <w:spacing w:val="-2"/>
          <w:lang w:val="fr-FR" w:eastAsia="ja-JP"/>
        </w:rPr>
        <w:t xml:space="preserve"> 26.</w:t>
      </w:r>
    </w:p>
  </w:footnote>
  <w:footnote w:id="6">
    <w:p w14:paraId="509C3AE5" w14:textId="1CC032CC" w:rsidR="00E95E7F" w:rsidRPr="00EA4F84" w:rsidRDefault="00E95E7F" w:rsidP="00E95E7F">
      <w:pPr>
        <w:pStyle w:val="FootnoteText"/>
        <w:rPr>
          <w:lang w:val="fr-FR"/>
        </w:rPr>
      </w:pPr>
      <w:r w:rsidRPr="00EA4F84">
        <w:rPr>
          <w:rStyle w:val="FootnoteReference"/>
          <w:lang w:val="fr-FR"/>
        </w:rPr>
        <w:footnoteRef/>
      </w:r>
      <w:r w:rsidRPr="00EA4F84">
        <w:rPr>
          <w:spacing w:val="-2"/>
          <w:lang w:val="fr-FR"/>
        </w:rPr>
        <w:t xml:space="preserve"> TWA</w:t>
      </w:r>
      <w:r w:rsidRPr="00EA4F84">
        <w:rPr>
          <w:rFonts w:hint="eastAsia"/>
          <w:spacing w:val="-2"/>
          <w:lang w:val="fr-FR" w:eastAsia="ja-JP"/>
        </w:rPr>
        <w:t xml:space="preserve">, cinquante-quatrième </w:t>
      </w:r>
      <w:r w:rsidRPr="00EA4F84">
        <w:rPr>
          <w:spacing w:val="-2"/>
          <w:lang w:val="fr-FR"/>
        </w:rPr>
        <w:t xml:space="preserve">session, tenue à </w:t>
      </w:r>
      <w:r w:rsidRPr="00EA4F84">
        <w:rPr>
          <w:rFonts w:hint="eastAsia"/>
          <w:spacing w:val="-2"/>
          <w:lang w:val="fr-FR" w:eastAsia="ja-JP"/>
        </w:rPr>
        <w:t xml:space="preserve">Arusha (République-Unie de Tanzanie) </w:t>
      </w:r>
      <w:r w:rsidRPr="00EA4F84">
        <w:rPr>
          <w:spacing w:val="-2"/>
          <w:lang w:val="fr-FR"/>
        </w:rPr>
        <w:t>du</w:t>
      </w:r>
      <w:r w:rsidRPr="00EA4F84">
        <w:rPr>
          <w:rFonts w:hint="eastAsia"/>
          <w:spacing w:val="-2"/>
          <w:lang w:val="fr-FR" w:eastAsia="ja-JP"/>
        </w:rPr>
        <w:t xml:space="preserve"> 19 </w:t>
      </w:r>
      <w:r w:rsidRPr="00EA4F84">
        <w:rPr>
          <w:spacing w:val="-2"/>
          <w:lang w:val="fr-FR"/>
        </w:rPr>
        <w:t>au</w:t>
      </w:r>
      <w:r w:rsidRPr="00EA4F84">
        <w:rPr>
          <w:rFonts w:hint="eastAsia"/>
          <w:spacing w:val="-2"/>
          <w:lang w:val="fr-FR" w:eastAsia="ja-JP"/>
        </w:rPr>
        <w:t xml:space="preserve"> 22 mai</w:t>
      </w:r>
      <w:r w:rsidRPr="00EA4F84">
        <w:rPr>
          <w:spacing w:val="-2"/>
          <w:lang w:val="fr-FR"/>
        </w:rPr>
        <w:t xml:space="preserve"> 2025</w:t>
      </w:r>
      <w:r w:rsidRPr="00EA4F84">
        <w:rPr>
          <w:rFonts w:hint="eastAsia"/>
          <w:spacing w:val="-2"/>
          <w:lang w:val="fr-FR" w:eastAsia="ja-JP"/>
        </w:rPr>
        <w:t xml:space="preserve">. </w:t>
      </w:r>
      <w:r w:rsidRPr="00EA4F84">
        <w:rPr>
          <w:spacing w:val="-2"/>
          <w:lang w:val="fr-FR"/>
        </w:rPr>
        <w:t xml:space="preserve">Voir le document TWA/54/7 </w:t>
      </w:r>
      <w:r w:rsidR="00EA4F84">
        <w:rPr>
          <w:spacing w:val="-2"/>
          <w:lang w:val="fr-FR"/>
        </w:rPr>
        <w:t>“ </w:t>
      </w:r>
      <w:r w:rsidRPr="00EA4F84">
        <w:rPr>
          <w:spacing w:val="-2"/>
          <w:lang w:val="fr-FR"/>
        </w:rPr>
        <w:t>Compte rendu</w:t>
      </w:r>
      <w:r w:rsidR="00EA4F84">
        <w:rPr>
          <w:spacing w:val="-2"/>
          <w:lang w:val="fr-FR"/>
        </w:rPr>
        <w:t> »</w:t>
      </w:r>
      <w:r w:rsidRPr="00EA4F84">
        <w:rPr>
          <w:spacing w:val="-2"/>
          <w:lang w:val="fr-FR"/>
        </w:rPr>
        <w:t>, paragraphes</w:t>
      </w:r>
      <w:r w:rsidRPr="00EA4F84">
        <w:rPr>
          <w:rFonts w:hint="eastAsia"/>
          <w:spacing w:val="-2"/>
          <w:lang w:val="fr-FR" w:eastAsia="ja-JP"/>
        </w:rPr>
        <w:t xml:space="preserve"> 13 </w:t>
      </w:r>
      <w:r w:rsidRPr="00EA4F84">
        <w:rPr>
          <w:spacing w:val="-2"/>
          <w:lang w:val="fr-FR"/>
        </w:rPr>
        <w:t>à</w:t>
      </w:r>
      <w:r w:rsidRPr="00EA4F84">
        <w:rPr>
          <w:rFonts w:hint="eastAsia"/>
          <w:spacing w:val="-2"/>
          <w:lang w:val="fr-FR" w:eastAsia="ja-JP"/>
        </w:rPr>
        <w:t xml:space="preserve"> 16.</w:t>
      </w:r>
    </w:p>
  </w:footnote>
  <w:footnote w:id="7">
    <w:p w14:paraId="1451F2EC" w14:textId="2E54A35C" w:rsidR="006E2D2D" w:rsidRPr="00EA4F84" w:rsidRDefault="006E2D2D" w:rsidP="006E2D2D">
      <w:pPr>
        <w:pStyle w:val="FootnoteText"/>
        <w:rPr>
          <w:lang w:val="fr-FR"/>
        </w:rPr>
      </w:pPr>
      <w:r w:rsidRPr="00EA4F84">
        <w:rPr>
          <w:rStyle w:val="FootnoteReference"/>
          <w:lang w:val="fr-FR"/>
        </w:rPr>
        <w:footnoteRef/>
      </w:r>
      <w:r w:rsidRPr="00EA4F84">
        <w:rPr>
          <w:spacing w:val="-2"/>
          <w:lang w:val="fr-FR"/>
        </w:rPr>
        <w:t xml:space="preserve"> TWF</w:t>
      </w:r>
      <w:r w:rsidRPr="00EA4F84">
        <w:rPr>
          <w:rFonts w:hint="eastAsia"/>
          <w:spacing w:val="-2"/>
          <w:lang w:val="fr-FR" w:eastAsia="ja-JP"/>
        </w:rPr>
        <w:t xml:space="preserve">, cinquante-sixième </w:t>
      </w:r>
      <w:r w:rsidRPr="00EA4F84">
        <w:rPr>
          <w:spacing w:val="-2"/>
          <w:lang w:val="fr-FR"/>
        </w:rPr>
        <w:t>session, tenue à Bursa (Türkiye) du</w:t>
      </w:r>
      <w:r w:rsidRPr="00EA4F84">
        <w:rPr>
          <w:rFonts w:hint="eastAsia"/>
          <w:spacing w:val="-2"/>
          <w:lang w:val="fr-FR" w:eastAsia="ja-JP"/>
        </w:rPr>
        <w:t xml:space="preserve"> 23 </w:t>
      </w:r>
      <w:r w:rsidRPr="00EA4F84">
        <w:rPr>
          <w:spacing w:val="-2"/>
          <w:lang w:val="fr-FR"/>
        </w:rPr>
        <w:t>au</w:t>
      </w:r>
      <w:r w:rsidRPr="00EA4F84">
        <w:rPr>
          <w:rFonts w:hint="eastAsia"/>
          <w:spacing w:val="-2"/>
          <w:lang w:val="fr-FR" w:eastAsia="ja-JP"/>
        </w:rPr>
        <w:t xml:space="preserve"> 26 juin</w:t>
      </w:r>
      <w:r w:rsidRPr="00EA4F84">
        <w:rPr>
          <w:spacing w:val="-2"/>
          <w:lang w:val="fr-FR"/>
        </w:rPr>
        <w:t xml:space="preserve"> 2025</w:t>
      </w:r>
      <w:r w:rsidRPr="00EA4F84">
        <w:rPr>
          <w:rFonts w:hint="eastAsia"/>
          <w:spacing w:val="-2"/>
          <w:lang w:val="fr-FR" w:eastAsia="ja-JP"/>
        </w:rPr>
        <w:t xml:space="preserve">. </w:t>
      </w:r>
      <w:r w:rsidRPr="00EA4F84">
        <w:rPr>
          <w:spacing w:val="-2"/>
          <w:lang w:val="fr-FR"/>
        </w:rPr>
        <w:t xml:space="preserve">Voir le document TWF/56/7 </w:t>
      </w:r>
      <w:r w:rsidR="00EA4F84">
        <w:rPr>
          <w:spacing w:val="-2"/>
          <w:lang w:val="fr-FR"/>
        </w:rPr>
        <w:t>“ </w:t>
      </w:r>
      <w:r w:rsidRPr="00EA4F84">
        <w:rPr>
          <w:spacing w:val="-2"/>
          <w:lang w:val="fr-FR"/>
        </w:rPr>
        <w:t>Compte rendu</w:t>
      </w:r>
      <w:r w:rsidR="00EA4F84">
        <w:rPr>
          <w:spacing w:val="-2"/>
          <w:lang w:val="fr-FR"/>
        </w:rPr>
        <w:t> »</w:t>
      </w:r>
      <w:r w:rsidRPr="00EA4F84">
        <w:rPr>
          <w:spacing w:val="-2"/>
          <w:lang w:val="fr-FR"/>
        </w:rPr>
        <w:t>, paragraphes</w:t>
      </w:r>
      <w:r w:rsidRPr="00EA4F84">
        <w:rPr>
          <w:rFonts w:hint="eastAsia"/>
          <w:spacing w:val="-2"/>
          <w:lang w:val="fr-FR" w:eastAsia="ja-JP"/>
        </w:rPr>
        <w:t xml:space="preserve"> 32 </w:t>
      </w:r>
      <w:r w:rsidRPr="00EA4F84">
        <w:rPr>
          <w:spacing w:val="-2"/>
          <w:lang w:val="fr-FR"/>
        </w:rPr>
        <w:t>à</w:t>
      </w:r>
      <w:r w:rsidRPr="00EA4F84">
        <w:rPr>
          <w:rFonts w:hint="eastAsia"/>
          <w:spacing w:val="-2"/>
          <w:lang w:val="fr-FR" w:eastAsia="ja-JP"/>
        </w:rPr>
        <w:t xml:space="preserve"> 36.</w:t>
      </w:r>
    </w:p>
  </w:footnote>
  <w:footnote w:id="8">
    <w:p w14:paraId="588E3C4C" w14:textId="1365E8EC" w:rsidR="002A29A3" w:rsidRPr="00EA4F84" w:rsidRDefault="002A29A3" w:rsidP="002A29A3">
      <w:pPr>
        <w:pStyle w:val="FootnoteText"/>
        <w:rPr>
          <w:lang w:val="fr-FR"/>
        </w:rPr>
      </w:pPr>
      <w:r w:rsidRPr="00EA4F84">
        <w:rPr>
          <w:rStyle w:val="FootnoteReference"/>
          <w:lang w:val="fr-FR"/>
        </w:rPr>
        <w:footnoteRef/>
      </w:r>
      <w:r w:rsidRPr="00EA4F84">
        <w:rPr>
          <w:lang w:val="fr-FR"/>
        </w:rPr>
        <w:t xml:space="preserve"> TC, cinquante-huitième session, tenue à Genève, les 24 </w:t>
      </w:r>
      <w:r w:rsidRPr="00EA4F84">
        <w:rPr>
          <w:rFonts w:hint="eastAsia"/>
          <w:lang w:val="fr-FR" w:eastAsia="ja-JP"/>
        </w:rPr>
        <w:t>et</w:t>
      </w:r>
      <w:r w:rsidRPr="00EA4F84">
        <w:rPr>
          <w:lang w:val="fr-FR"/>
        </w:rPr>
        <w:t xml:space="preserve"> 25 octobre 2022. Voir le document TC/58/31 </w:t>
      </w:r>
      <w:r w:rsidR="00EA4F84">
        <w:rPr>
          <w:lang w:val="fr-FR"/>
        </w:rPr>
        <w:t>“ </w:t>
      </w:r>
      <w:r w:rsidRPr="00EA4F84">
        <w:rPr>
          <w:lang w:val="fr-FR"/>
        </w:rPr>
        <w:t>Compte rendu</w:t>
      </w:r>
      <w:r w:rsidR="00EA4F84">
        <w:rPr>
          <w:lang w:val="fr-FR"/>
        </w:rPr>
        <w:t> »</w:t>
      </w:r>
      <w:r w:rsidRPr="00EA4F84">
        <w:rPr>
          <w:lang w:val="fr-FR"/>
        </w:rPr>
        <w:t>, paragraphes</w:t>
      </w:r>
      <w:r w:rsidR="002604A7">
        <w:rPr>
          <w:lang w:val="fr-FR"/>
        </w:rPr>
        <w:t> </w:t>
      </w:r>
      <w:r w:rsidRPr="00EA4F84">
        <w:rPr>
          <w:lang w:val="fr-FR"/>
        </w:rPr>
        <w:t>48 à 50.</w:t>
      </w:r>
    </w:p>
  </w:footnote>
  <w:footnote w:id="9">
    <w:p w14:paraId="7A5B00BB" w14:textId="77777777" w:rsidR="00CE1599" w:rsidRPr="00EA4F84" w:rsidRDefault="00CE1599" w:rsidP="00CE1599">
      <w:pPr>
        <w:pStyle w:val="FootnoteText"/>
        <w:rPr>
          <w:lang w:val="fr-FR"/>
        </w:rPr>
      </w:pPr>
      <w:r w:rsidRPr="00EA4F84">
        <w:rPr>
          <w:rStyle w:val="FootnoteReference"/>
          <w:lang w:val="fr-FR"/>
        </w:rPr>
        <w:footnoteRef/>
      </w:r>
      <w:r w:rsidRPr="00EA4F84">
        <w:rPr>
          <w:lang w:val="fr-FR"/>
        </w:rPr>
        <w:t xml:space="preserve"> TC, cinquante-neuvième session, tenue à Genève, les 23 </w:t>
      </w:r>
      <w:r w:rsidRPr="00EA4F84">
        <w:rPr>
          <w:rFonts w:hint="eastAsia"/>
          <w:lang w:val="fr-FR" w:eastAsia="ja-JP"/>
        </w:rPr>
        <w:t>et</w:t>
      </w:r>
      <w:r w:rsidRPr="00EA4F84">
        <w:rPr>
          <w:lang w:val="fr-FR"/>
        </w:rPr>
        <w:t xml:space="preserve"> 24 octobre 2023.</w:t>
      </w:r>
    </w:p>
  </w:footnote>
  <w:footnote w:id="10">
    <w:p w14:paraId="1E5F073A" w14:textId="77777777" w:rsidR="002D2C7C" w:rsidRPr="00EA4F84" w:rsidRDefault="002D2C7C" w:rsidP="002D2C7C">
      <w:pPr>
        <w:pStyle w:val="FootnoteText"/>
        <w:rPr>
          <w:lang w:val="fr-FR"/>
        </w:rPr>
      </w:pPr>
      <w:r w:rsidRPr="00EA4F84">
        <w:rPr>
          <w:rStyle w:val="FootnoteReference"/>
          <w:lang w:val="fr-FR"/>
        </w:rPr>
        <w:footnoteRef/>
      </w:r>
      <w:r w:rsidRPr="00EA4F84">
        <w:rPr>
          <w:rFonts w:hint="eastAsia"/>
          <w:lang w:val="fr-FR" w:eastAsia="ja-JP"/>
        </w:rPr>
        <w:t xml:space="preserve"> TC</w:t>
      </w:r>
      <w:r w:rsidRPr="00EA4F84">
        <w:rPr>
          <w:lang w:val="fr-FR"/>
        </w:rPr>
        <w:t xml:space="preserve">, </w:t>
      </w:r>
      <w:r w:rsidRPr="00EA4F84">
        <w:rPr>
          <w:rFonts w:hint="eastAsia"/>
          <w:lang w:val="fr-FR" w:eastAsia="ja-JP"/>
        </w:rPr>
        <w:t xml:space="preserve">soixantième </w:t>
      </w:r>
      <w:r w:rsidRPr="00EA4F84">
        <w:rPr>
          <w:lang w:val="fr-FR"/>
        </w:rPr>
        <w:t xml:space="preserve">session, tenue à Genève, les 21 </w:t>
      </w:r>
      <w:r w:rsidRPr="00EA4F84">
        <w:rPr>
          <w:rFonts w:hint="eastAsia"/>
          <w:lang w:val="fr-FR" w:eastAsia="ja-JP"/>
        </w:rPr>
        <w:t>et</w:t>
      </w:r>
      <w:r w:rsidRPr="00EA4F84">
        <w:rPr>
          <w:lang w:val="fr-FR"/>
        </w:rPr>
        <w:t xml:space="preserve"> 22 octobre 2024</w:t>
      </w:r>
      <w:r w:rsidRPr="00EA4F84">
        <w:rPr>
          <w:rFonts w:hint="eastAsia"/>
          <w:lang w:val="fr-FR" w:eastAsia="ja-JP"/>
        </w:rPr>
        <w:t>.</w:t>
      </w:r>
    </w:p>
  </w:footnote>
  <w:footnote w:id="11">
    <w:p w14:paraId="6BDF8AF5" w14:textId="6CC0A964" w:rsidR="00C161BF" w:rsidRPr="00EA4F84" w:rsidRDefault="00C161BF" w:rsidP="00C161BF">
      <w:pPr>
        <w:pStyle w:val="FootnoteText"/>
        <w:rPr>
          <w:lang w:val="fr-FR"/>
        </w:rPr>
      </w:pPr>
      <w:r w:rsidRPr="00EA4F84">
        <w:rPr>
          <w:rStyle w:val="FootnoteReference"/>
          <w:lang w:val="fr-FR"/>
        </w:rPr>
        <w:footnoteRef/>
      </w:r>
      <w:r w:rsidRPr="00EA4F84">
        <w:rPr>
          <w:lang w:val="fr-FR"/>
        </w:rPr>
        <w:t xml:space="preserve"> TWO</w:t>
      </w:r>
      <w:r w:rsidRPr="00EA4F84">
        <w:rPr>
          <w:rFonts w:hint="eastAsia"/>
          <w:lang w:val="fr-FR" w:eastAsia="ja-JP"/>
        </w:rPr>
        <w:t xml:space="preserve">, cinquante-septième </w:t>
      </w:r>
      <w:r w:rsidRPr="00EA4F84">
        <w:rPr>
          <w:lang w:val="fr-FR"/>
        </w:rPr>
        <w:t xml:space="preserve">session, tenue </w:t>
      </w:r>
      <w:r w:rsidRPr="00EA4F84">
        <w:rPr>
          <w:rFonts w:hint="eastAsia"/>
          <w:lang w:val="fr-FR" w:eastAsia="ja-JP"/>
        </w:rPr>
        <w:t xml:space="preserve">à </w:t>
      </w:r>
      <w:r w:rsidRPr="00EA4F84">
        <w:rPr>
          <w:lang w:val="fr-FR" w:eastAsia="ja-JP"/>
        </w:rPr>
        <w:t xml:space="preserve">Roelofarendsveen, Royaume des Pays-Bas, </w:t>
      </w:r>
      <w:r w:rsidRPr="00EA4F84">
        <w:rPr>
          <w:lang w:val="fr-FR"/>
        </w:rPr>
        <w:t>du</w:t>
      </w:r>
      <w:r w:rsidRPr="00EA4F84">
        <w:rPr>
          <w:rFonts w:hint="eastAsia"/>
          <w:lang w:val="fr-FR" w:eastAsia="ja-JP"/>
        </w:rPr>
        <w:t xml:space="preserve"> 31 mars </w:t>
      </w:r>
      <w:r w:rsidRPr="00EA4F84">
        <w:rPr>
          <w:lang w:val="fr-FR"/>
        </w:rPr>
        <w:t>au</w:t>
      </w:r>
      <w:r w:rsidRPr="00EA4F84">
        <w:rPr>
          <w:rFonts w:hint="eastAsia"/>
          <w:lang w:val="fr-FR" w:eastAsia="ja-JP"/>
        </w:rPr>
        <w:t xml:space="preserve"> 3 avril</w:t>
      </w:r>
      <w:r w:rsidRPr="00EA4F84">
        <w:rPr>
          <w:lang w:val="fr-FR"/>
        </w:rPr>
        <w:t xml:space="preserve"> 2025</w:t>
      </w:r>
      <w:r w:rsidRPr="00EA4F84">
        <w:rPr>
          <w:rFonts w:hint="eastAsia"/>
          <w:lang w:val="fr-FR" w:eastAsia="ja-JP"/>
        </w:rPr>
        <w:t xml:space="preserve">. </w:t>
      </w:r>
      <w:r w:rsidRPr="00EA4F84">
        <w:rPr>
          <w:lang w:val="fr-FR"/>
        </w:rPr>
        <w:t xml:space="preserve">Voir le document </w:t>
      </w:r>
      <w:r w:rsidRPr="00EA4F84">
        <w:rPr>
          <w:rFonts w:hint="eastAsia"/>
          <w:lang w:val="fr-FR" w:eastAsia="ja-JP"/>
        </w:rPr>
        <w:t xml:space="preserve">TWO/57/10 </w:t>
      </w:r>
      <w:r w:rsidR="00EA4F84">
        <w:rPr>
          <w:lang w:val="fr-FR"/>
        </w:rPr>
        <w:t>“ </w:t>
      </w:r>
      <w:r w:rsidRPr="00EA4F84">
        <w:rPr>
          <w:lang w:val="fr-FR"/>
        </w:rPr>
        <w:t>Compte rendu</w:t>
      </w:r>
      <w:r w:rsidR="00EA4F84">
        <w:rPr>
          <w:lang w:val="fr-FR"/>
        </w:rPr>
        <w:t> »</w:t>
      </w:r>
      <w:r w:rsidRPr="00EA4F84">
        <w:rPr>
          <w:lang w:val="fr-FR"/>
        </w:rPr>
        <w:t>, paragraphes</w:t>
      </w:r>
      <w:r w:rsidRPr="00EA4F84">
        <w:rPr>
          <w:rFonts w:hint="eastAsia"/>
          <w:lang w:val="fr-FR" w:eastAsia="ja-JP"/>
        </w:rPr>
        <w:t xml:space="preserve"> 24 </w:t>
      </w:r>
      <w:r w:rsidRPr="00EA4F84">
        <w:rPr>
          <w:lang w:val="fr-FR"/>
        </w:rPr>
        <w:t>à</w:t>
      </w:r>
      <w:r w:rsidRPr="00EA4F84">
        <w:rPr>
          <w:rFonts w:hint="eastAsia"/>
          <w:lang w:val="fr-FR" w:eastAsia="ja-JP"/>
        </w:rPr>
        <w:t xml:space="preserve"> 27</w:t>
      </w:r>
      <w:r w:rsidR="00F03F6E" w:rsidRPr="00EA4F84">
        <w:rPr>
          <w:rFonts w:hint="eastAsia"/>
          <w:lang w:val="fr-FR" w:eastAsia="ja-JP"/>
        </w:rPr>
        <w:t>.</w:t>
      </w:r>
    </w:p>
  </w:footnote>
  <w:footnote w:id="12">
    <w:p w14:paraId="0AAEB1AB" w14:textId="513F216D" w:rsidR="00A655A8" w:rsidRPr="00EA4F84" w:rsidRDefault="00A655A8" w:rsidP="008A52E0">
      <w:pPr>
        <w:pStyle w:val="FootnoteText"/>
        <w:rPr>
          <w:lang w:val="fr-FR"/>
        </w:rPr>
      </w:pPr>
      <w:r w:rsidRPr="00EA4F84">
        <w:rPr>
          <w:rStyle w:val="FootnoteReference"/>
          <w:lang w:val="fr-FR"/>
        </w:rPr>
        <w:footnoteRef/>
      </w:r>
      <w:bookmarkStart w:id="20" w:name="_Hlk198887361"/>
      <w:r w:rsidRPr="00EA4F84">
        <w:rPr>
          <w:lang w:val="fr-FR"/>
        </w:rPr>
        <w:t xml:space="preserve"> TWM, </w:t>
      </w:r>
      <w:r w:rsidR="00173C8F" w:rsidRPr="00EA4F84">
        <w:rPr>
          <w:lang w:val="fr-FR" w:eastAsia="ja-JP"/>
        </w:rPr>
        <w:t xml:space="preserve">troisième session, tenue à Pékin (Chine) du 28 avril au 1er mai 2025. Voir le document </w:t>
      </w:r>
      <w:r w:rsidR="000320D1" w:rsidRPr="00EA4F84">
        <w:rPr>
          <w:rFonts w:hint="eastAsia"/>
          <w:lang w:val="fr-FR" w:eastAsia="ja-JP"/>
        </w:rPr>
        <w:t xml:space="preserve">TWM/3/29 </w:t>
      </w:r>
      <w:r w:rsidR="00EA4F84">
        <w:rPr>
          <w:lang w:val="fr-FR" w:eastAsia="ja-JP"/>
        </w:rPr>
        <w:t>“ </w:t>
      </w:r>
      <w:r w:rsidR="00173C8F" w:rsidRPr="00EA4F84">
        <w:rPr>
          <w:lang w:val="fr-FR" w:eastAsia="ja-JP"/>
        </w:rPr>
        <w:t>Compte rendu</w:t>
      </w:r>
      <w:r w:rsidR="00EA4F84">
        <w:rPr>
          <w:lang w:val="fr-FR" w:eastAsia="ja-JP"/>
        </w:rPr>
        <w:t> »</w:t>
      </w:r>
      <w:r w:rsidR="00173C8F" w:rsidRPr="00EA4F84">
        <w:rPr>
          <w:lang w:val="fr-FR" w:eastAsia="ja-JP"/>
        </w:rPr>
        <w:t>, paragraphes</w:t>
      </w:r>
      <w:r w:rsidR="00173C8F" w:rsidRPr="00EA4F84">
        <w:rPr>
          <w:rFonts w:hint="eastAsia"/>
          <w:lang w:val="fr-FR" w:eastAsia="ja-JP"/>
        </w:rPr>
        <w:t xml:space="preserve"> 63 </w:t>
      </w:r>
      <w:r w:rsidR="00173C8F" w:rsidRPr="00EA4F84">
        <w:rPr>
          <w:lang w:val="fr-FR" w:eastAsia="ja-JP"/>
        </w:rPr>
        <w:t>à</w:t>
      </w:r>
      <w:r w:rsidR="000320D1" w:rsidRPr="00EA4F84">
        <w:rPr>
          <w:rFonts w:hint="eastAsia"/>
          <w:lang w:val="fr-FR" w:eastAsia="ja-JP"/>
        </w:rPr>
        <w:t xml:space="preserve"> 64.</w:t>
      </w:r>
      <w:bookmarkEnd w:id="20"/>
    </w:p>
  </w:footnote>
  <w:footnote w:id="13">
    <w:p w14:paraId="5DB9BB8B" w14:textId="524B8C12" w:rsidR="003F18BE" w:rsidRPr="00EA4F84" w:rsidRDefault="003F18BE" w:rsidP="003F18BE">
      <w:pPr>
        <w:pStyle w:val="FootnoteText"/>
        <w:rPr>
          <w:lang w:val="fr-FR"/>
        </w:rPr>
      </w:pPr>
      <w:r w:rsidRPr="00EA4F84">
        <w:rPr>
          <w:rStyle w:val="FootnoteReference"/>
          <w:lang w:val="fr-FR"/>
        </w:rPr>
        <w:footnoteRef/>
      </w:r>
      <w:r w:rsidRPr="00EA4F84">
        <w:rPr>
          <w:spacing w:val="-2"/>
          <w:lang w:val="fr-FR"/>
        </w:rPr>
        <w:t xml:space="preserve"> TW</w:t>
      </w:r>
      <w:r w:rsidRPr="00EA4F84">
        <w:rPr>
          <w:rFonts w:hint="eastAsia"/>
          <w:spacing w:val="-2"/>
          <w:lang w:val="fr-FR" w:eastAsia="ja-JP"/>
        </w:rPr>
        <w:t xml:space="preserve">V, cinquante-neuvième </w:t>
      </w:r>
      <w:r w:rsidRPr="00EA4F84">
        <w:rPr>
          <w:spacing w:val="-2"/>
          <w:lang w:val="fr-FR"/>
        </w:rPr>
        <w:t xml:space="preserve">session, tenue </w:t>
      </w:r>
      <w:r w:rsidRPr="00EA4F84">
        <w:rPr>
          <w:rFonts w:hint="eastAsia"/>
          <w:spacing w:val="-2"/>
          <w:lang w:val="fr-FR" w:eastAsia="ja-JP"/>
        </w:rPr>
        <w:t xml:space="preserve">par voie électronique, </w:t>
      </w:r>
      <w:r w:rsidRPr="00EA4F84">
        <w:rPr>
          <w:spacing w:val="-2"/>
          <w:lang w:val="fr-FR"/>
        </w:rPr>
        <w:t xml:space="preserve">du 5 au 8 </w:t>
      </w:r>
      <w:r w:rsidRPr="00EA4F84">
        <w:rPr>
          <w:rFonts w:hint="eastAsia"/>
          <w:spacing w:val="-2"/>
          <w:lang w:val="fr-FR" w:eastAsia="ja-JP"/>
        </w:rPr>
        <w:t>mai</w:t>
      </w:r>
      <w:r w:rsidRPr="00EA4F84">
        <w:rPr>
          <w:spacing w:val="-2"/>
          <w:lang w:val="fr-FR"/>
        </w:rPr>
        <w:t xml:space="preserve"> 2025</w:t>
      </w:r>
      <w:r w:rsidRPr="00EA4F84">
        <w:rPr>
          <w:rFonts w:hint="eastAsia"/>
          <w:spacing w:val="-2"/>
          <w:lang w:val="fr-FR" w:eastAsia="ja-JP"/>
        </w:rPr>
        <w:t xml:space="preserve">. </w:t>
      </w:r>
      <w:r w:rsidRPr="00EA4F84">
        <w:rPr>
          <w:spacing w:val="-2"/>
          <w:lang w:val="fr-FR"/>
        </w:rPr>
        <w:t xml:space="preserve">Voir le document TWV/59/19 </w:t>
      </w:r>
      <w:r w:rsidR="00EA4F84">
        <w:rPr>
          <w:spacing w:val="-2"/>
          <w:lang w:val="fr-FR"/>
        </w:rPr>
        <w:t>“ </w:t>
      </w:r>
      <w:r w:rsidRPr="00EA4F84">
        <w:rPr>
          <w:spacing w:val="-2"/>
          <w:lang w:val="fr-FR"/>
        </w:rPr>
        <w:t>Compte rendu</w:t>
      </w:r>
      <w:r w:rsidR="00EA4F84">
        <w:rPr>
          <w:spacing w:val="-2"/>
          <w:lang w:val="fr-FR"/>
        </w:rPr>
        <w:t> »</w:t>
      </w:r>
      <w:r w:rsidRPr="00EA4F84">
        <w:rPr>
          <w:spacing w:val="-2"/>
          <w:lang w:val="fr-FR"/>
        </w:rPr>
        <w:t>, paragraphes</w:t>
      </w:r>
      <w:r w:rsidRPr="00EA4F84">
        <w:rPr>
          <w:rFonts w:hint="eastAsia"/>
          <w:spacing w:val="-2"/>
          <w:lang w:val="fr-FR" w:eastAsia="ja-JP"/>
        </w:rPr>
        <w:t xml:space="preserve"> 27 </w:t>
      </w:r>
      <w:r w:rsidRPr="00EA4F84">
        <w:rPr>
          <w:spacing w:val="-2"/>
          <w:lang w:val="fr-FR"/>
        </w:rPr>
        <w:t>à</w:t>
      </w:r>
      <w:r w:rsidR="00BC6C1D" w:rsidRPr="00EA4F84">
        <w:rPr>
          <w:rFonts w:hint="eastAsia"/>
          <w:spacing w:val="-2"/>
          <w:lang w:val="fr-FR" w:eastAsia="ja-JP"/>
        </w:rPr>
        <w:t xml:space="preserve"> 32.</w:t>
      </w:r>
    </w:p>
  </w:footnote>
  <w:footnote w:id="14">
    <w:p w14:paraId="3FB9D152" w14:textId="156CEBF7" w:rsidR="0012713E" w:rsidRPr="00EA4F84" w:rsidRDefault="0012713E" w:rsidP="0012713E">
      <w:pPr>
        <w:pStyle w:val="FootnoteText"/>
        <w:rPr>
          <w:lang w:val="fr-FR"/>
        </w:rPr>
      </w:pPr>
      <w:r w:rsidRPr="00EA4F84">
        <w:rPr>
          <w:rStyle w:val="FootnoteReference"/>
          <w:lang w:val="fr-FR"/>
        </w:rPr>
        <w:footnoteRef/>
      </w:r>
      <w:r w:rsidRPr="00EA4F84">
        <w:rPr>
          <w:spacing w:val="-2"/>
          <w:lang w:val="fr-FR"/>
        </w:rPr>
        <w:t xml:space="preserve"> TWA</w:t>
      </w:r>
      <w:r w:rsidRPr="00EA4F84">
        <w:rPr>
          <w:rFonts w:hint="eastAsia"/>
          <w:spacing w:val="-2"/>
          <w:lang w:val="fr-FR" w:eastAsia="ja-JP"/>
        </w:rPr>
        <w:t xml:space="preserve">, cinquante-quatrième </w:t>
      </w:r>
      <w:r w:rsidRPr="00EA4F84">
        <w:rPr>
          <w:spacing w:val="-2"/>
          <w:lang w:val="fr-FR"/>
        </w:rPr>
        <w:t xml:space="preserve">session, tenue à </w:t>
      </w:r>
      <w:r w:rsidRPr="00EA4F84">
        <w:rPr>
          <w:rFonts w:hint="eastAsia"/>
          <w:spacing w:val="-2"/>
          <w:lang w:val="fr-FR" w:eastAsia="ja-JP"/>
        </w:rPr>
        <w:t xml:space="preserve">Arusha (République-Unie de Tanzanie) </w:t>
      </w:r>
      <w:r w:rsidRPr="00EA4F84">
        <w:rPr>
          <w:spacing w:val="-2"/>
          <w:lang w:val="fr-FR"/>
        </w:rPr>
        <w:t>du</w:t>
      </w:r>
      <w:r w:rsidRPr="00EA4F84">
        <w:rPr>
          <w:rFonts w:hint="eastAsia"/>
          <w:spacing w:val="-2"/>
          <w:lang w:val="fr-FR" w:eastAsia="ja-JP"/>
        </w:rPr>
        <w:t xml:space="preserve"> 19 </w:t>
      </w:r>
      <w:r w:rsidRPr="00EA4F84">
        <w:rPr>
          <w:spacing w:val="-2"/>
          <w:lang w:val="fr-FR"/>
        </w:rPr>
        <w:t>au</w:t>
      </w:r>
      <w:r w:rsidRPr="00EA4F84">
        <w:rPr>
          <w:rFonts w:hint="eastAsia"/>
          <w:spacing w:val="-2"/>
          <w:lang w:val="fr-FR" w:eastAsia="ja-JP"/>
        </w:rPr>
        <w:t xml:space="preserve"> 22 mai</w:t>
      </w:r>
      <w:r w:rsidRPr="00EA4F84">
        <w:rPr>
          <w:spacing w:val="-2"/>
          <w:lang w:val="fr-FR"/>
        </w:rPr>
        <w:t xml:space="preserve"> 2025</w:t>
      </w:r>
      <w:r w:rsidRPr="00EA4F84">
        <w:rPr>
          <w:rFonts w:hint="eastAsia"/>
          <w:spacing w:val="-2"/>
          <w:lang w:val="fr-FR" w:eastAsia="ja-JP"/>
        </w:rPr>
        <w:t xml:space="preserve">. </w:t>
      </w:r>
      <w:r w:rsidRPr="00EA4F84">
        <w:rPr>
          <w:spacing w:val="-2"/>
          <w:lang w:val="fr-FR"/>
        </w:rPr>
        <w:t xml:space="preserve">Voir le document TWA/54/7 </w:t>
      </w:r>
      <w:r w:rsidR="00EA4F84">
        <w:rPr>
          <w:spacing w:val="-2"/>
          <w:lang w:val="fr-FR"/>
        </w:rPr>
        <w:t>“ </w:t>
      </w:r>
      <w:r w:rsidRPr="00EA4F84">
        <w:rPr>
          <w:spacing w:val="-2"/>
          <w:lang w:val="fr-FR"/>
        </w:rPr>
        <w:t>Compte rendu</w:t>
      </w:r>
      <w:r w:rsidR="00EA4F84">
        <w:rPr>
          <w:spacing w:val="-2"/>
          <w:lang w:val="fr-FR"/>
        </w:rPr>
        <w:t> »</w:t>
      </w:r>
      <w:r w:rsidRPr="00EA4F84">
        <w:rPr>
          <w:spacing w:val="-2"/>
          <w:lang w:val="fr-FR"/>
        </w:rPr>
        <w:t>, paragraphes</w:t>
      </w:r>
      <w:r w:rsidR="000346AB" w:rsidRPr="00EA4F84">
        <w:rPr>
          <w:rFonts w:hint="eastAsia"/>
          <w:spacing w:val="-2"/>
          <w:lang w:val="fr-FR" w:eastAsia="ja-JP"/>
        </w:rPr>
        <w:t xml:space="preserve"> 17 </w:t>
      </w:r>
      <w:r w:rsidRPr="00EA4F84">
        <w:rPr>
          <w:spacing w:val="-2"/>
          <w:lang w:val="fr-FR"/>
        </w:rPr>
        <w:t>à</w:t>
      </w:r>
      <w:r w:rsidR="000346AB" w:rsidRPr="00EA4F84">
        <w:rPr>
          <w:rFonts w:hint="eastAsia"/>
          <w:spacing w:val="-2"/>
          <w:lang w:val="fr-FR" w:eastAsia="ja-JP"/>
        </w:rPr>
        <w:t xml:space="preserve"> 21.</w:t>
      </w:r>
    </w:p>
  </w:footnote>
  <w:footnote w:id="15">
    <w:p w14:paraId="56A006A9" w14:textId="713D1F4C" w:rsidR="0012713E" w:rsidRPr="00EA4F84" w:rsidRDefault="0012713E" w:rsidP="0012713E">
      <w:pPr>
        <w:pStyle w:val="FootnoteText"/>
        <w:rPr>
          <w:lang w:val="fr-FR"/>
        </w:rPr>
      </w:pPr>
      <w:r w:rsidRPr="00EA4F84">
        <w:rPr>
          <w:rStyle w:val="FootnoteReference"/>
          <w:lang w:val="fr-FR"/>
        </w:rPr>
        <w:footnoteRef/>
      </w:r>
      <w:r w:rsidRPr="00EA4F84">
        <w:rPr>
          <w:spacing w:val="-2"/>
          <w:lang w:val="fr-FR"/>
        </w:rPr>
        <w:t xml:space="preserve"> TWF</w:t>
      </w:r>
      <w:r w:rsidRPr="00EA4F84">
        <w:rPr>
          <w:rFonts w:hint="eastAsia"/>
          <w:spacing w:val="-2"/>
          <w:lang w:val="fr-FR" w:eastAsia="ja-JP"/>
        </w:rPr>
        <w:t xml:space="preserve">, cinquante-sixième </w:t>
      </w:r>
      <w:r w:rsidRPr="00EA4F84">
        <w:rPr>
          <w:spacing w:val="-2"/>
          <w:lang w:val="fr-FR"/>
        </w:rPr>
        <w:t>session, tenue à Bursa, en Türkiye, du</w:t>
      </w:r>
      <w:r w:rsidRPr="00EA4F84">
        <w:rPr>
          <w:rFonts w:hint="eastAsia"/>
          <w:spacing w:val="-2"/>
          <w:lang w:val="fr-FR" w:eastAsia="ja-JP"/>
        </w:rPr>
        <w:t xml:space="preserve"> 23 </w:t>
      </w:r>
      <w:r w:rsidRPr="00EA4F84">
        <w:rPr>
          <w:spacing w:val="-2"/>
          <w:lang w:val="fr-FR"/>
        </w:rPr>
        <w:t>au</w:t>
      </w:r>
      <w:r w:rsidRPr="00EA4F84">
        <w:rPr>
          <w:rFonts w:hint="eastAsia"/>
          <w:spacing w:val="-2"/>
          <w:lang w:val="fr-FR" w:eastAsia="ja-JP"/>
        </w:rPr>
        <w:t xml:space="preserve"> 26 juin</w:t>
      </w:r>
      <w:r w:rsidRPr="00EA4F84">
        <w:rPr>
          <w:spacing w:val="-2"/>
          <w:lang w:val="fr-FR"/>
        </w:rPr>
        <w:t xml:space="preserve"> 2025</w:t>
      </w:r>
      <w:r w:rsidRPr="00EA4F84">
        <w:rPr>
          <w:rFonts w:hint="eastAsia"/>
          <w:spacing w:val="-2"/>
          <w:lang w:val="fr-FR" w:eastAsia="ja-JP"/>
        </w:rPr>
        <w:t xml:space="preserve">. </w:t>
      </w:r>
      <w:r w:rsidRPr="00EA4F84">
        <w:rPr>
          <w:spacing w:val="-2"/>
          <w:lang w:val="fr-FR"/>
        </w:rPr>
        <w:t xml:space="preserve">Voir le document TWF/56/7 </w:t>
      </w:r>
      <w:r w:rsidR="00EA4F84">
        <w:rPr>
          <w:spacing w:val="-2"/>
          <w:lang w:val="fr-FR"/>
        </w:rPr>
        <w:t>“ </w:t>
      </w:r>
      <w:r w:rsidRPr="00EA4F84">
        <w:rPr>
          <w:spacing w:val="-2"/>
          <w:lang w:val="fr-FR"/>
        </w:rPr>
        <w:t>Compte rendu</w:t>
      </w:r>
      <w:r w:rsidR="00EA4F84">
        <w:rPr>
          <w:spacing w:val="-2"/>
          <w:lang w:val="fr-FR"/>
        </w:rPr>
        <w:t> »</w:t>
      </w:r>
      <w:r w:rsidRPr="00EA4F84">
        <w:rPr>
          <w:spacing w:val="-2"/>
          <w:lang w:val="fr-FR"/>
        </w:rPr>
        <w:t>, paragraphes</w:t>
      </w:r>
      <w:r w:rsidR="00B52114" w:rsidRPr="00EA4F84">
        <w:rPr>
          <w:rFonts w:hint="eastAsia"/>
          <w:spacing w:val="-2"/>
          <w:lang w:val="fr-FR" w:eastAsia="ja-JP"/>
        </w:rPr>
        <w:t xml:space="preserve"> 37 </w:t>
      </w:r>
      <w:r w:rsidRPr="00EA4F84">
        <w:rPr>
          <w:spacing w:val="-2"/>
          <w:lang w:val="fr-FR"/>
        </w:rPr>
        <w:t>à</w:t>
      </w:r>
      <w:r w:rsidR="00B52114" w:rsidRPr="00EA4F84">
        <w:rPr>
          <w:rFonts w:hint="eastAsia"/>
          <w:spacing w:val="-2"/>
          <w:lang w:val="fr-FR" w:eastAsia="ja-JP"/>
        </w:rPr>
        <w:t xml:space="preserve"> 38.</w:t>
      </w:r>
    </w:p>
  </w:footnote>
  <w:footnote w:id="16">
    <w:p w14:paraId="16F25E54" w14:textId="016A620A" w:rsidR="008D0B9F" w:rsidRPr="00EA4F84" w:rsidRDefault="008D0B9F" w:rsidP="008D0B9F">
      <w:pPr>
        <w:pStyle w:val="FootnoteText"/>
        <w:rPr>
          <w:lang w:val="fr-FR"/>
        </w:rPr>
      </w:pPr>
      <w:r w:rsidRPr="00EA4F84">
        <w:rPr>
          <w:rStyle w:val="FootnoteReference"/>
          <w:lang w:val="fr-FR"/>
        </w:rPr>
        <w:footnoteRef/>
      </w:r>
      <w:r w:rsidR="00001225" w:rsidRPr="00EA4F84">
        <w:rPr>
          <w:rFonts w:hint="eastAsia"/>
          <w:spacing w:val="-2"/>
          <w:lang w:val="fr-FR" w:eastAsia="ja-JP"/>
        </w:rPr>
        <w:t xml:space="preserve"> TC</w:t>
      </w:r>
      <w:r w:rsidR="00A66DD1" w:rsidRPr="00EA4F84">
        <w:rPr>
          <w:spacing w:val="-2"/>
          <w:lang w:val="fr-FR"/>
        </w:rPr>
        <w:t xml:space="preserve">, cinquante-septième session, tenue à Genève, les 25 </w:t>
      </w:r>
      <w:r w:rsidR="00825147" w:rsidRPr="00EA4F84">
        <w:rPr>
          <w:rFonts w:hint="eastAsia"/>
          <w:spacing w:val="-2"/>
          <w:lang w:val="fr-FR" w:eastAsia="ja-JP"/>
        </w:rPr>
        <w:t>et</w:t>
      </w:r>
      <w:r w:rsidR="00A66DD1" w:rsidRPr="00EA4F84">
        <w:rPr>
          <w:spacing w:val="-2"/>
          <w:lang w:val="fr-FR"/>
        </w:rPr>
        <w:t xml:space="preserve"> 26 octobre 2021</w:t>
      </w:r>
      <w:r w:rsidR="00107461" w:rsidRPr="00EA4F84">
        <w:rPr>
          <w:rFonts w:hint="eastAsia"/>
          <w:spacing w:val="-2"/>
          <w:lang w:val="fr-FR" w:eastAsia="ja-JP"/>
        </w:rPr>
        <w:t>.</w:t>
      </w:r>
    </w:p>
  </w:footnote>
  <w:footnote w:id="17">
    <w:p w14:paraId="27FF64D4" w14:textId="6FEC399B" w:rsidR="00B63F38" w:rsidRPr="00EA4F84" w:rsidRDefault="00B63F38" w:rsidP="00B63F38">
      <w:pPr>
        <w:pStyle w:val="FootnoteText"/>
        <w:rPr>
          <w:lang w:val="fr-FR"/>
        </w:rPr>
      </w:pPr>
      <w:r w:rsidRPr="00EA4F84">
        <w:rPr>
          <w:rStyle w:val="FootnoteReference"/>
          <w:lang w:val="fr-FR"/>
        </w:rPr>
        <w:footnoteRef/>
      </w:r>
      <w:r w:rsidR="00E3484E" w:rsidRPr="00EA4F84">
        <w:rPr>
          <w:spacing w:val="-2"/>
          <w:lang w:val="fr-FR"/>
        </w:rPr>
        <w:t xml:space="preserve"> TWM, troisième session, tenue à Pékin (Chine) du 28 avril au 1er mai 2025. Voir le document TWM/3/29 </w:t>
      </w:r>
      <w:r w:rsidR="00EA4F84">
        <w:rPr>
          <w:spacing w:val="-2"/>
          <w:lang w:val="fr-FR"/>
        </w:rPr>
        <w:t>“ </w:t>
      </w:r>
      <w:r w:rsidR="00E3484E" w:rsidRPr="00EA4F84">
        <w:rPr>
          <w:spacing w:val="-2"/>
          <w:lang w:val="fr-FR"/>
        </w:rPr>
        <w:t>Compte rendu</w:t>
      </w:r>
      <w:r w:rsidR="00EA4F84">
        <w:rPr>
          <w:spacing w:val="-2"/>
          <w:lang w:val="fr-FR"/>
        </w:rPr>
        <w:t> »</w:t>
      </w:r>
      <w:r w:rsidR="00E3484E" w:rsidRPr="00EA4F84">
        <w:rPr>
          <w:spacing w:val="-2"/>
          <w:lang w:val="fr-FR"/>
        </w:rPr>
        <w:t>, paragraphes</w:t>
      </w:r>
      <w:r w:rsidR="006A31DD">
        <w:rPr>
          <w:spacing w:val="-2"/>
          <w:lang w:val="fr-FR" w:eastAsia="ja-JP"/>
        </w:rPr>
        <w:t> </w:t>
      </w:r>
      <w:r w:rsidR="0019155A" w:rsidRPr="00EA4F84">
        <w:rPr>
          <w:rFonts w:hint="eastAsia"/>
          <w:spacing w:val="-2"/>
          <w:lang w:val="fr-FR" w:eastAsia="ja-JP"/>
        </w:rPr>
        <w:t xml:space="preserve">20 </w:t>
      </w:r>
      <w:r w:rsidR="00E3484E" w:rsidRPr="00EA4F84">
        <w:rPr>
          <w:spacing w:val="-2"/>
          <w:lang w:val="fr-FR"/>
        </w:rPr>
        <w:t>à</w:t>
      </w:r>
      <w:r w:rsidR="0019155A" w:rsidRPr="00EA4F84">
        <w:rPr>
          <w:rFonts w:hint="eastAsia"/>
          <w:spacing w:val="-2"/>
          <w:lang w:val="fr-FR" w:eastAsia="ja-JP"/>
        </w:rPr>
        <w:t xml:space="preserve"> 28.</w:t>
      </w:r>
    </w:p>
  </w:footnote>
  <w:footnote w:id="18">
    <w:p w14:paraId="15EDE158" w14:textId="2567C6DB" w:rsidR="00CF2609" w:rsidRPr="00EA4F84" w:rsidRDefault="00CF2609" w:rsidP="00CF2609">
      <w:pPr>
        <w:pStyle w:val="FootnoteText"/>
        <w:rPr>
          <w:lang w:val="fr-FR"/>
        </w:rPr>
      </w:pPr>
      <w:r w:rsidRPr="00EA4F84">
        <w:rPr>
          <w:rStyle w:val="FootnoteReference"/>
          <w:lang w:val="fr-FR"/>
        </w:rPr>
        <w:footnoteRef/>
      </w:r>
      <w:r w:rsidRPr="00EA4F84">
        <w:rPr>
          <w:spacing w:val="-2"/>
          <w:lang w:val="fr-FR"/>
        </w:rPr>
        <w:t xml:space="preserve"> TWM, troisième session, tenue à Pékin (Chine) du 28 avril au 1er mai 2025. Voir le document TWM/3/29 </w:t>
      </w:r>
      <w:r w:rsidR="00EA4F84">
        <w:rPr>
          <w:spacing w:val="-2"/>
          <w:lang w:val="fr-FR"/>
        </w:rPr>
        <w:t>“ </w:t>
      </w:r>
      <w:r w:rsidRPr="00EA4F84">
        <w:rPr>
          <w:spacing w:val="-2"/>
          <w:lang w:val="fr-FR"/>
        </w:rPr>
        <w:t>Compte rendu</w:t>
      </w:r>
      <w:r w:rsidR="00EA4F84">
        <w:rPr>
          <w:spacing w:val="-2"/>
          <w:lang w:val="fr-FR"/>
        </w:rPr>
        <w:t> »</w:t>
      </w:r>
      <w:r w:rsidRPr="00EA4F84">
        <w:rPr>
          <w:spacing w:val="-2"/>
          <w:lang w:val="fr-FR"/>
        </w:rPr>
        <w:t>, paragraphes</w:t>
      </w:r>
      <w:r w:rsidR="006A31DD">
        <w:rPr>
          <w:spacing w:val="-2"/>
          <w:lang w:val="fr-FR" w:eastAsia="ja-JP"/>
        </w:rPr>
        <w:t> </w:t>
      </w:r>
      <w:r w:rsidRPr="00EA4F84">
        <w:rPr>
          <w:rFonts w:hint="eastAsia"/>
          <w:spacing w:val="-2"/>
          <w:lang w:val="fr-FR" w:eastAsia="ja-JP"/>
        </w:rPr>
        <w:t>35.</w:t>
      </w:r>
    </w:p>
  </w:footnote>
  <w:footnote w:id="19">
    <w:p w14:paraId="34506994" w14:textId="13397C1D" w:rsidR="0035048E" w:rsidRPr="00EA4F84" w:rsidRDefault="0035048E">
      <w:pPr>
        <w:pStyle w:val="FootnoteText"/>
        <w:rPr>
          <w:lang w:val="fr-FR"/>
        </w:rPr>
      </w:pPr>
      <w:r w:rsidRPr="00EA4F84">
        <w:rPr>
          <w:rStyle w:val="FootnoteReference"/>
          <w:lang w:val="fr-FR"/>
        </w:rPr>
        <w:footnoteRef/>
      </w:r>
      <w:r w:rsidRPr="00EA4F84">
        <w:rPr>
          <w:spacing w:val="-2"/>
          <w:lang w:val="fr-FR"/>
        </w:rPr>
        <w:t xml:space="preserve"> TWM, troisième session, tenue à Pékin (Chine) du 28 avril au 1er mai 2025. Voir le document TWM/3/29 </w:t>
      </w:r>
      <w:r w:rsidR="00EA4F84">
        <w:rPr>
          <w:spacing w:val="-2"/>
          <w:lang w:val="fr-FR"/>
        </w:rPr>
        <w:t>“ </w:t>
      </w:r>
      <w:r w:rsidRPr="00EA4F84">
        <w:rPr>
          <w:spacing w:val="-2"/>
          <w:lang w:val="fr-FR"/>
        </w:rPr>
        <w:t>Compte rendu</w:t>
      </w:r>
      <w:r w:rsidR="00EA4F84">
        <w:rPr>
          <w:spacing w:val="-2"/>
          <w:lang w:val="fr-FR"/>
        </w:rPr>
        <w:t> »</w:t>
      </w:r>
      <w:r w:rsidRPr="00EA4F84">
        <w:rPr>
          <w:spacing w:val="-2"/>
          <w:lang w:val="fr-FR"/>
        </w:rPr>
        <w:t>, paragraphe</w:t>
      </w:r>
      <w:r w:rsidR="004E1C10">
        <w:rPr>
          <w:spacing w:val="-2"/>
          <w:lang w:val="fr-FR"/>
        </w:rPr>
        <w:t> </w:t>
      </w:r>
      <w:r w:rsidRPr="00EA4F84">
        <w:rPr>
          <w:spacing w:val="-2"/>
          <w:lang w:val="fr-FR"/>
        </w:rPr>
        <w:t>28.</w:t>
      </w:r>
    </w:p>
  </w:footnote>
  <w:footnote w:id="20">
    <w:p w14:paraId="3DFCCC84" w14:textId="29411051" w:rsidR="00A07516" w:rsidRDefault="00A07516" w:rsidP="00A07516">
      <w:pPr>
        <w:pStyle w:val="FootnoteText"/>
      </w:pPr>
      <w:r w:rsidRPr="00EA4F84">
        <w:rPr>
          <w:rStyle w:val="FootnoteReference"/>
          <w:lang w:val="fr-FR"/>
        </w:rPr>
        <w:footnoteRef/>
      </w:r>
      <w:r w:rsidRPr="00EA4F84">
        <w:rPr>
          <w:lang w:val="fr-FR"/>
        </w:rPr>
        <w:t xml:space="preserve"> Réunion annuelle des programmes de semences de l'OCDE, 12-13 juin 2025. Voir le document </w:t>
      </w:r>
      <w:r w:rsidR="00EA4F84">
        <w:rPr>
          <w:lang w:val="fr-FR"/>
        </w:rPr>
        <w:t>“ </w:t>
      </w:r>
      <w:r w:rsidRPr="00EA4F84">
        <w:rPr>
          <w:lang w:val="fr-FR"/>
        </w:rPr>
        <w:t>Confirmation des résultats</w:t>
      </w:r>
      <w:r w:rsidR="00EA4F84">
        <w:rPr>
          <w:lang w:val="fr-FR"/>
        </w:rPr>
        <w:t> »</w:t>
      </w:r>
      <w:r w:rsidRPr="00EA4F84">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E0C3" w14:textId="01BB6E3A" w:rsidR="0004198B" w:rsidRPr="00EA4F84" w:rsidRDefault="002A12E1" w:rsidP="00EB048E">
    <w:pPr>
      <w:pStyle w:val="Header"/>
      <w:rPr>
        <w:rStyle w:val="PageNumber"/>
      </w:rPr>
    </w:pPr>
    <w:r w:rsidRPr="00EA4F84">
      <w:rPr>
        <w:rStyle w:val="PageNumber"/>
      </w:rPr>
      <w:t>SESSIONS/2025/6</w:t>
    </w:r>
  </w:p>
  <w:p w14:paraId="757C8FAC" w14:textId="77777777" w:rsidR="0004198B" w:rsidRPr="00EA4F84" w:rsidRDefault="0004198B" w:rsidP="00EB048E">
    <w:pPr>
      <w:pStyle w:val="Header"/>
    </w:pPr>
    <w:r w:rsidRPr="00EA4F84">
      <w:t xml:space="preserve">page </w:t>
    </w:r>
    <w:r w:rsidRPr="00EA4F84">
      <w:rPr>
        <w:rStyle w:val="PageNumber"/>
      </w:rPr>
      <w:fldChar w:fldCharType="begin"/>
    </w:r>
    <w:r w:rsidRPr="00EA4F84">
      <w:rPr>
        <w:rStyle w:val="PageNumber"/>
      </w:rPr>
      <w:instrText xml:space="preserve"> PAGE </w:instrText>
    </w:r>
    <w:r w:rsidRPr="00EA4F84">
      <w:rPr>
        <w:rStyle w:val="PageNumber"/>
      </w:rPr>
      <w:fldChar w:fldCharType="separate"/>
    </w:r>
    <w:r w:rsidR="00EF49B5" w:rsidRPr="00EA4F84">
      <w:rPr>
        <w:rStyle w:val="PageNumber"/>
      </w:rPr>
      <w:t>2</w:t>
    </w:r>
    <w:r w:rsidRPr="00EA4F84">
      <w:rPr>
        <w:rStyle w:val="PageNumber"/>
      </w:rPr>
      <w:fldChar w:fldCharType="end"/>
    </w:r>
  </w:p>
  <w:p w14:paraId="46A0BCFC" w14:textId="77777777" w:rsidR="0004198B" w:rsidRPr="00EA4F84"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6C33" w14:textId="51DF9A3F" w:rsidR="00550FF9" w:rsidRPr="00EA4F84" w:rsidRDefault="00A53467" w:rsidP="00EB048E">
    <w:pPr>
      <w:pStyle w:val="Header"/>
      <w:rPr>
        <w:rStyle w:val="PageNumber"/>
      </w:rPr>
    </w:pPr>
    <w:r>
      <w:rPr>
        <w:rStyle w:val="PageNumber"/>
      </w:rPr>
      <w:t>SESSIONS/2025</w:t>
    </w:r>
    <w:r w:rsidR="00550FF9" w:rsidRPr="00EA4F84">
      <w:rPr>
        <w:rStyle w:val="PageNumber"/>
      </w:rPr>
      <w:t>/6</w:t>
    </w:r>
  </w:p>
  <w:p w14:paraId="2F93ACBB" w14:textId="18BCFE7B" w:rsidR="00550FF9" w:rsidRPr="00EA4F84" w:rsidRDefault="00550FF9" w:rsidP="00EB048E">
    <w:pPr>
      <w:pStyle w:val="Header"/>
    </w:pPr>
    <w:r w:rsidRPr="00EA4F84">
      <w:t xml:space="preserve">Annexe, page </w:t>
    </w:r>
    <w:r w:rsidRPr="00EA4F84">
      <w:rPr>
        <w:rStyle w:val="PageNumber"/>
      </w:rPr>
      <w:fldChar w:fldCharType="begin"/>
    </w:r>
    <w:r w:rsidRPr="00EA4F84">
      <w:rPr>
        <w:rStyle w:val="PageNumber"/>
      </w:rPr>
      <w:instrText xml:space="preserve"> PAGE </w:instrText>
    </w:r>
    <w:r w:rsidRPr="00EA4F84">
      <w:rPr>
        <w:rStyle w:val="PageNumber"/>
      </w:rPr>
      <w:fldChar w:fldCharType="separate"/>
    </w:r>
    <w:r w:rsidRPr="00EA4F84">
      <w:rPr>
        <w:rStyle w:val="PageNumber"/>
      </w:rPr>
      <w:t>2</w:t>
    </w:r>
    <w:r w:rsidRPr="00EA4F84">
      <w:rPr>
        <w:rStyle w:val="PageNumber"/>
      </w:rPr>
      <w:fldChar w:fldCharType="end"/>
    </w:r>
  </w:p>
  <w:p w14:paraId="4F56515B" w14:textId="77777777" w:rsidR="00550FF9" w:rsidRPr="00EA4F84" w:rsidRDefault="00550FF9" w:rsidP="006655D3"/>
  <w:p w14:paraId="0D1CDE71" w14:textId="77777777" w:rsidR="001E2051" w:rsidRPr="00EA4F84" w:rsidRDefault="001E20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F377" w14:textId="079319D0" w:rsidR="00550FF9" w:rsidRPr="00EA4F84" w:rsidRDefault="00A53467" w:rsidP="00550FF9">
    <w:pPr>
      <w:pStyle w:val="Header"/>
      <w:rPr>
        <w:rStyle w:val="PageNumber"/>
      </w:rPr>
    </w:pPr>
    <w:r>
      <w:rPr>
        <w:rStyle w:val="PageNumber"/>
      </w:rPr>
      <w:t>SESSIONS/2025</w:t>
    </w:r>
    <w:r w:rsidR="00550FF9" w:rsidRPr="00EA4F84">
      <w:rPr>
        <w:rStyle w:val="PageNumber"/>
      </w:rPr>
      <w:t>/6</w:t>
    </w:r>
  </w:p>
  <w:p w14:paraId="3C5FC7EA" w14:textId="2DD73E5C" w:rsidR="00550FF9" w:rsidRPr="00EA4F84" w:rsidRDefault="00550FF9" w:rsidP="00550FF9">
    <w:pPr>
      <w:pStyle w:val="Header"/>
    </w:pPr>
  </w:p>
  <w:p w14:paraId="0EE73618" w14:textId="289FAE55" w:rsidR="00550FF9" w:rsidRPr="00EA4F84" w:rsidRDefault="00550FF9" w:rsidP="00550FF9">
    <w:pPr>
      <w:pStyle w:val="Header"/>
    </w:pPr>
    <w:r w:rsidRPr="00EA4F84">
      <w:t>ANNEXE</w:t>
    </w:r>
  </w:p>
  <w:p w14:paraId="3602BF50" w14:textId="77777777" w:rsidR="00550FF9" w:rsidRPr="00EA4F84" w:rsidRDefault="00550FF9" w:rsidP="00041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D5F"/>
    <w:multiLevelType w:val="hybridMultilevel"/>
    <w:tmpl w:val="BF688754"/>
    <w:lvl w:ilvl="0" w:tplc="3CE208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FDD"/>
    <w:multiLevelType w:val="hybridMultilevel"/>
    <w:tmpl w:val="30C0A312"/>
    <w:lvl w:ilvl="0" w:tplc="D316845A">
      <w:start w:val="1"/>
      <w:numFmt w:val="lowerLetter"/>
      <w:lvlText w:val="(%1)"/>
      <w:lvlJc w:val="left"/>
      <w:pPr>
        <w:ind w:left="7732" w:hanging="360"/>
      </w:pPr>
      <w:rPr>
        <w:rFonts w:hint="default"/>
      </w:rPr>
    </w:lvl>
    <w:lvl w:ilvl="1" w:tplc="04090019" w:tentative="1">
      <w:start w:val="1"/>
      <w:numFmt w:val="lowerLetter"/>
      <w:lvlText w:val="%2."/>
      <w:lvlJc w:val="left"/>
      <w:pPr>
        <w:ind w:left="6260" w:hanging="360"/>
      </w:pPr>
    </w:lvl>
    <w:lvl w:ilvl="2" w:tplc="0409001B" w:tentative="1">
      <w:start w:val="1"/>
      <w:numFmt w:val="lowerRoman"/>
      <w:lvlText w:val="%3."/>
      <w:lvlJc w:val="right"/>
      <w:pPr>
        <w:ind w:left="6980" w:hanging="180"/>
      </w:pPr>
    </w:lvl>
    <w:lvl w:ilvl="3" w:tplc="0409000F" w:tentative="1">
      <w:start w:val="1"/>
      <w:numFmt w:val="decimal"/>
      <w:lvlText w:val="%4."/>
      <w:lvlJc w:val="left"/>
      <w:pPr>
        <w:ind w:left="7700" w:hanging="360"/>
      </w:pPr>
    </w:lvl>
    <w:lvl w:ilvl="4" w:tplc="04090019" w:tentative="1">
      <w:start w:val="1"/>
      <w:numFmt w:val="lowerLetter"/>
      <w:lvlText w:val="%5."/>
      <w:lvlJc w:val="left"/>
      <w:pPr>
        <w:ind w:left="8420" w:hanging="360"/>
      </w:pPr>
    </w:lvl>
    <w:lvl w:ilvl="5" w:tplc="0409001B" w:tentative="1">
      <w:start w:val="1"/>
      <w:numFmt w:val="lowerRoman"/>
      <w:lvlText w:val="%6."/>
      <w:lvlJc w:val="right"/>
      <w:pPr>
        <w:ind w:left="9140" w:hanging="180"/>
      </w:pPr>
    </w:lvl>
    <w:lvl w:ilvl="6" w:tplc="0409000F" w:tentative="1">
      <w:start w:val="1"/>
      <w:numFmt w:val="decimal"/>
      <w:lvlText w:val="%7."/>
      <w:lvlJc w:val="left"/>
      <w:pPr>
        <w:ind w:left="9860" w:hanging="360"/>
      </w:pPr>
    </w:lvl>
    <w:lvl w:ilvl="7" w:tplc="04090019" w:tentative="1">
      <w:start w:val="1"/>
      <w:numFmt w:val="lowerLetter"/>
      <w:lvlText w:val="%8."/>
      <w:lvlJc w:val="left"/>
      <w:pPr>
        <w:ind w:left="10580" w:hanging="360"/>
      </w:pPr>
    </w:lvl>
    <w:lvl w:ilvl="8" w:tplc="0409001B" w:tentative="1">
      <w:start w:val="1"/>
      <w:numFmt w:val="lowerRoman"/>
      <w:lvlText w:val="%9."/>
      <w:lvlJc w:val="right"/>
      <w:pPr>
        <w:ind w:left="11300" w:hanging="180"/>
      </w:pPr>
    </w:lvl>
  </w:abstractNum>
  <w:abstractNum w:abstractNumId="2" w15:restartNumberingAfterBreak="0">
    <w:nsid w:val="04E62763"/>
    <w:multiLevelType w:val="hybridMultilevel"/>
    <w:tmpl w:val="C1B26032"/>
    <w:lvl w:ilvl="0" w:tplc="F3860B7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5940B5"/>
    <w:multiLevelType w:val="hybridMultilevel"/>
    <w:tmpl w:val="38C2D7C4"/>
    <w:lvl w:ilvl="0" w:tplc="E7BA855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690737"/>
    <w:multiLevelType w:val="hybridMultilevel"/>
    <w:tmpl w:val="23722A68"/>
    <w:lvl w:ilvl="0" w:tplc="619C1EB4">
      <w:start w:val="1"/>
      <w:numFmt w:val="lowerRoman"/>
      <w:lvlText w:val="(%1)"/>
      <w:lvlJc w:val="left"/>
      <w:pPr>
        <w:ind w:left="3617" w:hanging="360"/>
      </w:pPr>
      <w:rPr>
        <w:rFonts w:hint="default"/>
      </w:rPr>
    </w:lvl>
    <w:lvl w:ilvl="1" w:tplc="04090019">
      <w:start w:val="1"/>
      <w:numFmt w:val="lowerLetter"/>
      <w:lvlText w:val="%2."/>
      <w:lvlJc w:val="left"/>
      <w:pPr>
        <w:ind w:left="3704" w:hanging="360"/>
      </w:pPr>
    </w:lvl>
    <w:lvl w:ilvl="2" w:tplc="0409001B" w:tentative="1">
      <w:start w:val="1"/>
      <w:numFmt w:val="lowerRoman"/>
      <w:lvlText w:val="%3."/>
      <w:lvlJc w:val="right"/>
      <w:pPr>
        <w:ind w:left="4424" w:hanging="180"/>
      </w:pPr>
    </w:lvl>
    <w:lvl w:ilvl="3" w:tplc="0409000F" w:tentative="1">
      <w:start w:val="1"/>
      <w:numFmt w:val="decimal"/>
      <w:lvlText w:val="%4."/>
      <w:lvlJc w:val="left"/>
      <w:pPr>
        <w:ind w:left="5144" w:hanging="360"/>
      </w:pPr>
    </w:lvl>
    <w:lvl w:ilvl="4" w:tplc="04090019" w:tentative="1">
      <w:start w:val="1"/>
      <w:numFmt w:val="lowerLetter"/>
      <w:lvlText w:val="%5."/>
      <w:lvlJc w:val="left"/>
      <w:pPr>
        <w:ind w:left="5864" w:hanging="360"/>
      </w:pPr>
    </w:lvl>
    <w:lvl w:ilvl="5" w:tplc="0409001B" w:tentative="1">
      <w:start w:val="1"/>
      <w:numFmt w:val="lowerRoman"/>
      <w:lvlText w:val="%6."/>
      <w:lvlJc w:val="right"/>
      <w:pPr>
        <w:ind w:left="6584" w:hanging="180"/>
      </w:pPr>
    </w:lvl>
    <w:lvl w:ilvl="6" w:tplc="0409000F" w:tentative="1">
      <w:start w:val="1"/>
      <w:numFmt w:val="decimal"/>
      <w:lvlText w:val="%7."/>
      <w:lvlJc w:val="left"/>
      <w:pPr>
        <w:ind w:left="7304" w:hanging="360"/>
      </w:pPr>
    </w:lvl>
    <w:lvl w:ilvl="7" w:tplc="04090019" w:tentative="1">
      <w:start w:val="1"/>
      <w:numFmt w:val="lowerLetter"/>
      <w:lvlText w:val="%8."/>
      <w:lvlJc w:val="left"/>
      <w:pPr>
        <w:ind w:left="8024" w:hanging="360"/>
      </w:pPr>
    </w:lvl>
    <w:lvl w:ilvl="8" w:tplc="0409001B" w:tentative="1">
      <w:start w:val="1"/>
      <w:numFmt w:val="lowerRoman"/>
      <w:lvlText w:val="%9."/>
      <w:lvlJc w:val="right"/>
      <w:pPr>
        <w:ind w:left="8744" w:hanging="180"/>
      </w:pPr>
    </w:lvl>
  </w:abstractNum>
  <w:abstractNum w:abstractNumId="5" w15:restartNumberingAfterBreak="0">
    <w:nsid w:val="12E479A8"/>
    <w:multiLevelType w:val="hybridMultilevel"/>
    <w:tmpl w:val="9F867802"/>
    <w:lvl w:ilvl="0" w:tplc="6E204B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F31C84"/>
    <w:multiLevelType w:val="hybridMultilevel"/>
    <w:tmpl w:val="A306CBA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34572F2"/>
    <w:multiLevelType w:val="hybridMultilevel"/>
    <w:tmpl w:val="5F30261E"/>
    <w:lvl w:ilvl="0" w:tplc="E7BA855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B10F0F"/>
    <w:multiLevelType w:val="hybridMultilevel"/>
    <w:tmpl w:val="B10EEDB6"/>
    <w:lvl w:ilvl="0" w:tplc="B59C8E6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4DA1B03"/>
    <w:multiLevelType w:val="multilevel"/>
    <w:tmpl w:val="FD9E35BC"/>
    <w:lvl w:ilvl="0">
      <w:start w:val="76"/>
      <w:numFmt w:val="decimal"/>
      <w:lvlText w:val="%1."/>
      <w:lvlJc w:val="left"/>
      <w:pPr>
        <w:ind w:left="643"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2704" w:hanging="720"/>
      </w:pPr>
      <w:rPr>
        <w:rFonts w:hint="default"/>
      </w:rPr>
    </w:lvl>
    <w:lvl w:ilvl="4">
      <w:start w:val="1"/>
      <w:numFmt w:val="decimal"/>
      <w:lvlText w:val="%1.%2.%3.%4.%5"/>
      <w:lvlJc w:val="left"/>
      <w:pPr>
        <w:ind w:left="3631" w:hanging="1080"/>
      </w:pPr>
      <w:rPr>
        <w:rFonts w:hint="default"/>
      </w:rPr>
    </w:lvl>
    <w:lvl w:ilvl="5">
      <w:start w:val="1"/>
      <w:numFmt w:val="decimal"/>
      <w:lvlText w:val="%1.%2.%3.%4.%5.%6"/>
      <w:lvlJc w:val="left"/>
      <w:pPr>
        <w:ind w:left="4198" w:hanging="1080"/>
      </w:pPr>
      <w:rPr>
        <w:rFonts w:hint="default"/>
      </w:rPr>
    </w:lvl>
    <w:lvl w:ilvl="6">
      <w:start w:val="1"/>
      <w:numFmt w:val="decimal"/>
      <w:lvlText w:val="%1.%2.%3.%4.%5.%6.%7"/>
      <w:lvlJc w:val="left"/>
      <w:pPr>
        <w:ind w:left="5125" w:hanging="1440"/>
      </w:pPr>
      <w:rPr>
        <w:rFonts w:hint="default"/>
      </w:rPr>
    </w:lvl>
    <w:lvl w:ilvl="7">
      <w:start w:val="1"/>
      <w:numFmt w:val="decimal"/>
      <w:lvlText w:val="%1.%2.%3.%4.%5.%6.%7.%8"/>
      <w:lvlJc w:val="left"/>
      <w:pPr>
        <w:ind w:left="5692" w:hanging="1440"/>
      </w:pPr>
      <w:rPr>
        <w:rFonts w:hint="default"/>
      </w:rPr>
    </w:lvl>
    <w:lvl w:ilvl="8">
      <w:start w:val="1"/>
      <w:numFmt w:val="decimal"/>
      <w:lvlText w:val="%1.%2.%3.%4.%5.%6.%7.%8.%9"/>
      <w:lvlJc w:val="left"/>
      <w:pPr>
        <w:ind w:left="6619" w:hanging="1800"/>
      </w:pPr>
      <w:rPr>
        <w:rFonts w:hint="default"/>
      </w:rPr>
    </w:lvl>
  </w:abstractNum>
  <w:abstractNum w:abstractNumId="10" w15:restartNumberingAfterBreak="0">
    <w:nsid w:val="18442C53"/>
    <w:multiLevelType w:val="hybridMultilevel"/>
    <w:tmpl w:val="3DD6C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DD2F17"/>
    <w:multiLevelType w:val="hybridMultilevel"/>
    <w:tmpl w:val="F9EA1182"/>
    <w:lvl w:ilvl="0" w:tplc="132CD72A">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1C331171"/>
    <w:multiLevelType w:val="hybridMultilevel"/>
    <w:tmpl w:val="8C401B9A"/>
    <w:lvl w:ilvl="0" w:tplc="3CE208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4469F0"/>
    <w:multiLevelType w:val="multilevel"/>
    <w:tmpl w:val="F9FE3962"/>
    <w:lvl w:ilvl="0">
      <w:start w:val="1"/>
      <w:numFmt w:val="decimal"/>
      <w:lvlText w:val="%1."/>
      <w:lvlJc w:val="left"/>
      <w:pPr>
        <w:ind w:left="720" w:hanging="360"/>
      </w:pPr>
      <w:rPr>
        <w:i w:val="0"/>
        <w:iCs/>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238F655F"/>
    <w:multiLevelType w:val="hybridMultilevel"/>
    <w:tmpl w:val="F10638D8"/>
    <w:lvl w:ilvl="0" w:tplc="9D46F8E4">
      <w:start w:val="1"/>
      <w:numFmt w:val="lowerLetter"/>
      <w:lvlText w:val="(%1)"/>
      <w:lvlJc w:val="left"/>
      <w:pPr>
        <w:ind w:left="5960" w:hanging="570"/>
      </w:pPr>
      <w:rPr>
        <w:rFonts w:hint="default"/>
      </w:rPr>
    </w:lvl>
    <w:lvl w:ilvl="1" w:tplc="04090019" w:tentative="1">
      <w:start w:val="1"/>
      <w:numFmt w:val="lowerLetter"/>
      <w:lvlText w:val="%2."/>
      <w:lvlJc w:val="left"/>
      <w:pPr>
        <w:ind w:left="6470" w:hanging="360"/>
      </w:pPr>
    </w:lvl>
    <w:lvl w:ilvl="2" w:tplc="0409001B" w:tentative="1">
      <w:start w:val="1"/>
      <w:numFmt w:val="lowerRoman"/>
      <w:lvlText w:val="%3."/>
      <w:lvlJc w:val="right"/>
      <w:pPr>
        <w:ind w:left="7190" w:hanging="180"/>
      </w:pPr>
    </w:lvl>
    <w:lvl w:ilvl="3" w:tplc="0409000F" w:tentative="1">
      <w:start w:val="1"/>
      <w:numFmt w:val="decimal"/>
      <w:lvlText w:val="%4."/>
      <w:lvlJc w:val="left"/>
      <w:pPr>
        <w:ind w:left="7910" w:hanging="360"/>
      </w:pPr>
    </w:lvl>
    <w:lvl w:ilvl="4" w:tplc="04090019" w:tentative="1">
      <w:start w:val="1"/>
      <w:numFmt w:val="lowerLetter"/>
      <w:lvlText w:val="%5."/>
      <w:lvlJc w:val="left"/>
      <w:pPr>
        <w:ind w:left="8630" w:hanging="360"/>
      </w:pPr>
    </w:lvl>
    <w:lvl w:ilvl="5" w:tplc="0409001B" w:tentative="1">
      <w:start w:val="1"/>
      <w:numFmt w:val="lowerRoman"/>
      <w:lvlText w:val="%6."/>
      <w:lvlJc w:val="right"/>
      <w:pPr>
        <w:ind w:left="9350" w:hanging="180"/>
      </w:pPr>
    </w:lvl>
    <w:lvl w:ilvl="6" w:tplc="0409000F" w:tentative="1">
      <w:start w:val="1"/>
      <w:numFmt w:val="decimal"/>
      <w:lvlText w:val="%7."/>
      <w:lvlJc w:val="left"/>
      <w:pPr>
        <w:ind w:left="10070" w:hanging="360"/>
      </w:pPr>
    </w:lvl>
    <w:lvl w:ilvl="7" w:tplc="04090019" w:tentative="1">
      <w:start w:val="1"/>
      <w:numFmt w:val="lowerLetter"/>
      <w:lvlText w:val="%8."/>
      <w:lvlJc w:val="left"/>
      <w:pPr>
        <w:ind w:left="10790" w:hanging="360"/>
      </w:pPr>
    </w:lvl>
    <w:lvl w:ilvl="8" w:tplc="0409001B" w:tentative="1">
      <w:start w:val="1"/>
      <w:numFmt w:val="lowerRoman"/>
      <w:lvlText w:val="%9."/>
      <w:lvlJc w:val="right"/>
      <w:pPr>
        <w:ind w:left="11510" w:hanging="180"/>
      </w:pPr>
    </w:lvl>
  </w:abstractNum>
  <w:abstractNum w:abstractNumId="15" w15:restartNumberingAfterBreak="0">
    <w:nsid w:val="29F42C76"/>
    <w:multiLevelType w:val="hybridMultilevel"/>
    <w:tmpl w:val="C4A69530"/>
    <w:lvl w:ilvl="0" w:tplc="473C44DA">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2CA159F6"/>
    <w:multiLevelType w:val="hybridMultilevel"/>
    <w:tmpl w:val="D8A27B5A"/>
    <w:lvl w:ilvl="0" w:tplc="E7BCA674">
      <w:start w:val="29"/>
      <w:numFmt w:val="decimal"/>
      <w:lvlText w:val="%1."/>
      <w:lvlJc w:val="left"/>
      <w:pPr>
        <w:ind w:left="1497"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77B29"/>
    <w:multiLevelType w:val="hybridMultilevel"/>
    <w:tmpl w:val="31FE252C"/>
    <w:lvl w:ilvl="0" w:tplc="3CE20842">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C0F35"/>
    <w:multiLevelType w:val="hybridMultilevel"/>
    <w:tmpl w:val="0DDC2D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BF7A37"/>
    <w:multiLevelType w:val="hybridMultilevel"/>
    <w:tmpl w:val="E3863DBA"/>
    <w:lvl w:ilvl="0" w:tplc="D00E4B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EF0FDE"/>
    <w:multiLevelType w:val="hybridMultilevel"/>
    <w:tmpl w:val="F632A1FA"/>
    <w:lvl w:ilvl="0" w:tplc="D02CC792">
      <w:start w:val="1"/>
      <w:numFmt w:val="lowerRoman"/>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7944BA"/>
    <w:multiLevelType w:val="multilevel"/>
    <w:tmpl w:val="C67E5D5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3176382"/>
    <w:multiLevelType w:val="hybridMultilevel"/>
    <w:tmpl w:val="0B10DD5A"/>
    <w:lvl w:ilvl="0" w:tplc="15F6FA9C">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70058BA"/>
    <w:multiLevelType w:val="hybridMultilevel"/>
    <w:tmpl w:val="547A2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01C5907"/>
    <w:multiLevelType w:val="hybridMultilevel"/>
    <w:tmpl w:val="A6F0F198"/>
    <w:lvl w:ilvl="0" w:tplc="52EA5E6A">
      <w:start w:val="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E264F1"/>
    <w:multiLevelType w:val="hybridMultilevel"/>
    <w:tmpl w:val="EC368690"/>
    <w:lvl w:ilvl="0" w:tplc="75AA9FE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EF2081"/>
    <w:multiLevelType w:val="hybridMultilevel"/>
    <w:tmpl w:val="5B72938E"/>
    <w:lvl w:ilvl="0" w:tplc="3CE208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2F5964"/>
    <w:multiLevelType w:val="hybridMultilevel"/>
    <w:tmpl w:val="4282F72A"/>
    <w:lvl w:ilvl="0" w:tplc="36DAD95C">
      <w:start w:val="47"/>
      <w:numFmt w:val="decimal"/>
      <w:lvlText w:val="%1."/>
      <w:lvlJc w:val="left"/>
      <w:pPr>
        <w:ind w:left="1497"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563B4B"/>
    <w:multiLevelType w:val="hybridMultilevel"/>
    <w:tmpl w:val="DF86C034"/>
    <w:lvl w:ilvl="0" w:tplc="CCBE4B30">
      <w:start w:val="41"/>
      <w:numFmt w:val="decimal"/>
      <w:lvlText w:val="%1."/>
      <w:lvlJc w:val="left"/>
      <w:pPr>
        <w:ind w:left="129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D26B13"/>
    <w:multiLevelType w:val="hybridMultilevel"/>
    <w:tmpl w:val="020E3D4C"/>
    <w:lvl w:ilvl="0" w:tplc="3CA85E3E">
      <w:start w:val="2"/>
      <w:numFmt w:val="bullet"/>
      <w:lvlText w:val="-"/>
      <w:lvlJc w:val="left"/>
      <w:pPr>
        <w:ind w:left="1287" w:hanging="360"/>
      </w:pPr>
      <w:rPr>
        <w:rFonts w:ascii="Arial" w:eastAsia="MS Mincho"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6DB1711D"/>
    <w:multiLevelType w:val="hybridMultilevel"/>
    <w:tmpl w:val="484CD798"/>
    <w:lvl w:ilvl="0" w:tplc="FFFFFFFF">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70A11C9C"/>
    <w:multiLevelType w:val="hybridMultilevel"/>
    <w:tmpl w:val="763ECAFA"/>
    <w:lvl w:ilvl="0" w:tplc="6E204BC8">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5677810">
    <w:abstractNumId w:val="25"/>
  </w:num>
  <w:num w:numId="2" w16cid:durableId="400761307">
    <w:abstractNumId w:val="21"/>
  </w:num>
  <w:num w:numId="3" w16cid:durableId="2101874822">
    <w:abstractNumId w:val="13"/>
  </w:num>
  <w:num w:numId="4" w16cid:durableId="408501716">
    <w:abstractNumId w:val="4"/>
  </w:num>
  <w:num w:numId="5" w16cid:durableId="937522431">
    <w:abstractNumId w:val="9"/>
  </w:num>
  <w:num w:numId="6" w16cid:durableId="484014185">
    <w:abstractNumId w:val="11"/>
  </w:num>
  <w:num w:numId="7" w16cid:durableId="1027028850">
    <w:abstractNumId w:val="11"/>
    <w:lvlOverride w:ilvl="0">
      <w:startOverride w:val="1"/>
    </w:lvlOverride>
  </w:num>
  <w:num w:numId="8" w16cid:durableId="748161896">
    <w:abstractNumId w:val="11"/>
    <w:lvlOverride w:ilvl="0">
      <w:startOverride w:val="1"/>
    </w:lvlOverride>
  </w:num>
  <w:num w:numId="9" w16cid:durableId="1246569638">
    <w:abstractNumId w:val="11"/>
    <w:lvlOverride w:ilvl="0">
      <w:startOverride w:val="1"/>
    </w:lvlOverride>
  </w:num>
  <w:num w:numId="10" w16cid:durableId="730927524">
    <w:abstractNumId w:val="11"/>
    <w:lvlOverride w:ilvl="0">
      <w:startOverride w:val="1"/>
    </w:lvlOverride>
  </w:num>
  <w:num w:numId="11" w16cid:durableId="1772823668">
    <w:abstractNumId w:val="4"/>
    <w:lvlOverride w:ilvl="0">
      <w:startOverride w:val="1"/>
    </w:lvlOverride>
  </w:num>
  <w:num w:numId="12" w16cid:durableId="1272204577">
    <w:abstractNumId w:val="11"/>
    <w:lvlOverride w:ilvl="0">
      <w:startOverride w:val="1"/>
    </w:lvlOverride>
  </w:num>
  <w:num w:numId="13" w16cid:durableId="1515454636">
    <w:abstractNumId w:val="11"/>
    <w:lvlOverride w:ilvl="0">
      <w:startOverride w:val="1"/>
    </w:lvlOverride>
  </w:num>
  <w:num w:numId="14" w16cid:durableId="465464437">
    <w:abstractNumId w:val="11"/>
    <w:lvlOverride w:ilvl="0">
      <w:startOverride w:val="1"/>
    </w:lvlOverride>
  </w:num>
  <w:num w:numId="15" w16cid:durableId="1802335823">
    <w:abstractNumId w:val="2"/>
  </w:num>
  <w:num w:numId="16" w16cid:durableId="14625678">
    <w:abstractNumId w:val="8"/>
  </w:num>
  <w:num w:numId="17" w16cid:durableId="532770014">
    <w:abstractNumId w:val="6"/>
  </w:num>
  <w:num w:numId="18" w16cid:durableId="1126849963">
    <w:abstractNumId w:val="16"/>
  </w:num>
  <w:num w:numId="19" w16cid:durableId="1938708738">
    <w:abstractNumId w:val="23"/>
  </w:num>
  <w:num w:numId="20" w16cid:durableId="938828387">
    <w:abstractNumId w:val="5"/>
  </w:num>
  <w:num w:numId="21" w16cid:durableId="1515991896">
    <w:abstractNumId w:val="31"/>
  </w:num>
  <w:num w:numId="22" w16cid:durableId="1793865248">
    <w:abstractNumId w:val="29"/>
  </w:num>
  <w:num w:numId="23" w16cid:durableId="1899050148">
    <w:abstractNumId w:val="19"/>
  </w:num>
  <w:num w:numId="24" w16cid:durableId="1829856298">
    <w:abstractNumId w:val="28"/>
  </w:num>
  <w:num w:numId="25" w16cid:durableId="1475292000">
    <w:abstractNumId w:val="15"/>
  </w:num>
  <w:num w:numId="26" w16cid:durableId="418718097">
    <w:abstractNumId w:val="27"/>
  </w:num>
  <w:num w:numId="27" w16cid:durableId="1905876233">
    <w:abstractNumId w:val="15"/>
    <w:lvlOverride w:ilvl="0">
      <w:startOverride w:val="1"/>
    </w:lvlOverride>
  </w:num>
  <w:num w:numId="28" w16cid:durableId="1128475455">
    <w:abstractNumId w:val="15"/>
    <w:lvlOverride w:ilvl="0">
      <w:startOverride w:val="2"/>
    </w:lvlOverride>
  </w:num>
  <w:num w:numId="29" w16cid:durableId="967013536">
    <w:abstractNumId w:val="30"/>
  </w:num>
  <w:num w:numId="30" w16cid:durableId="1535456979">
    <w:abstractNumId w:val="15"/>
    <w:lvlOverride w:ilvl="0">
      <w:startOverride w:val="2"/>
    </w:lvlOverride>
  </w:num>
  <w:num w:numId="31" w16cid:durableId="1705521657">
    <w:abstractNumId w:val="20"/>
  </w:num>
  <w:num w:numId="32" w16cid:durableId="2042780483">
    <w:abstractNumId w:val="15"/>
    <w:lvlOverride w:ilvl="0">
      <w:startOverride w:val="2"/>
    </w:lvlOverride>
  </w:num>
  <w:num w:numId="33" w16cid:durableId="1923835561">
    <w:abstractNumId w:val="17"/>
  </w:num>
  <w:num w:numId="34" w16cid:durableId="1716351571">
    <w:abstractNumId w:val="24"/>
  </w:num>
  <w:num w:numId="35" w16cid:durableId="815300399">
    <w:abstractNumId w:val="19"/>
    <w:lvlOverride w:ilvl="0">
      <w:startOverride w:val="1"/>
    </w:lvlOverride>
  </w:num>
  <w:num w:numId="36" w16cid:durableId="1672023006">
    <w:abstractNumId w:val="19"/>
    <w:lvlOverride w:ilvl="0">
      <w:startOverride w:val="1"/>
    </w:lvlOverride>
  </w:num>
  <w:num w:numId="37" w16cid:durableId="1953244152">
    <w:abstractNumId w:val="12"/>
  </w:num>
  <w:num w:numId="38" w16cid:durableId="1158376455">
    <w:abstractNumId w:val="22"/>
  </w:num>
  <w:num w:numId="39" w16cid:durableId="77404864">
    <w:abstractNumId w:val="22"/>
    <w:lvlOverride w:ilvl="0">
      <w:startOverride w:val="1"/>
    </w:lvlOverride>
  </w:num>
  <w:num w:numId="40" w16cid:durableId="315883774">
    <w:abstractNumId w:val="18"/>
  </w:num>
  <w:num w:numId="41" w16cid:durableId="1844275654">
    <w:abstractNumId w:val="7"/>
  </w:num>
  <w:num w:numId="42" w16cid:durableId="381172685">
    <w:abstractNumId w:val="26"/>
  </w:num>
  <w:num w:numId="43" w16cid:durableId="1433474779">
    <w:abstractNumId w:val="0"/>
  </w:num>
  <w:num w:numId="44" w16cid:durableId="1876044072">
    <w:abstractNumId w:val="10"/>
  </w:num>
  <w:num w:numId="45" w16cid:durableId="648823072">
    <w:abstractNumId w:val="3"/>
  </w:num>
  <w:num w:numId="46" w16cid:durableId="1087115865">
    <w:abstractNumId w:val="1"/>
  </w:num>
  <w:num w:numId="47" w16cid:durableId="1755104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CA"/>
    <w:rsid w:val="00001225"/>
    <w:rsid w:val="000025FB"/>
    <w:rsid w:val="00003913"/>
    <w:rsid w:val="00005CE9"/>
    <w:rsid w:val="00010CF3"/>
    <w:rsid w:val="00011E27"/>
    <w:rsid w:val="00012D24"/>
    <w:rsid w:val="000148BC"/>
    <w:rsid w:val="0001494C"/>
    <w:rsid w:val="000222AF"/>
    <w:rsid w:val="000230FE"/>
    <w:rsid w:val="00024AB8"/>
    <w:rsid w:val="000271AF"/>
    <w:rsid w:val="000300DE"/>
    <w:rsid w:val="00030854"/>
    <w:rsid w:val="000320D1"/>
    <w:rsid w:val="000346AB"/>
    <w:rsid w:val="0003579E"/>
    <w:rsid w:val="00035884"/>
    <w:rsid w:val="00035DDA"/>
    <w:rsid w:val="00036028"/>
    <w:rsid w:val="0003662F"/>
    <w:rsid w:val="0004055F"/>
    <w:rsid w:val="0004198B"/>
    <w:rsid w:val="00043781"/>
    <w:rsid w:val="00044642"/>
    <w:rsid w:val="000446B9"/>
    <w:rsid w:val="0004582C"/>
    <w:rsid w:val="000465DE"/>
    <w:rsid w:val="00046B8C"/>
    <w:rsid w:val="0004795C"/>
    <w:rsid w:val="00047CF1"/>
    <w:rsid w:val="00047E21"/>
    <w:rsid w:val="00050514"/>
    <w:rsid w:val="00050E16"/>
    <w:rsid w:val="00051ADC"/>
    <w:rsid w:val="00055E73"/>
    <w:rsid w:val="00057B88"/>
    <w:rsid w:val="00060045"/>
    <w:rsid w:val="000604D6"/>
    <w:rsid w:val="00060F09"/>
    <w:rsid w:val="0006133B"/>
    <w:rsid w:val="00064944"/>
    <w:rsid w:val="0006562C"/>
    <w:rsid w:val="00066D43"/>
    <w:rsid w:val="00071409"/>
    <w:rsid w:val="00071903"/>
    <w:rsid w:val="00071B4A"/>
    <w:rsid w:val="00072B66"/>
    <w:rsid w:val="000733EC"/>
    <w:rsid w:val="000809D7"/>
    <w:rsid w:val="00081996"/>
    <w:rsid w:val="00081B61"/>
    <w:rsid w:val="00085505"/>
    <w:rsid w:val="00086156"/>
    <w:rsid w:val="00090551"/>
    <w:rsid w:val="000A0A16"/>
    <w:rsid w:val="000A1A3F"/>
    <w:rsid w:val="000A267E"/>
    <w:rsid w:val="000A33B8"/>
    <w:rsid w:val="000A4310"/>
    <w:rsid w:val="000A4770"/>
    <w:rsid w:val="000A5916"/>
    <w:rsid w:val="000A6090"/>
    <w:rsid w:val="000A67F8"/>
    <w:rsid w:val="000B17C9"/>
    <w:rsid w:val="000B5600"/>
    <w:rsid w:val="000B714A"/>
    <w:rsid w:val="000C0FD4"/>
    <w:rsid w:val="000C211C"/>
    <w:rsid w:val="000C22CC"/>
    <w:rsid w:val="000C4ABD"/>
    <w:rsid w:val="000C4E25"/>
    <w:rsid w:val="000C7021"/>
    <w:rsid w:val="000C75DB"/>
    <w:rsid w:val="000D2C46"/>
    <w:rsid w:val="000D5FE9"/>
    <w:rsid w:val="000D6BBC"/>
    <w:rsid w:val="000D7780"/>
    <w:rsid w:val="000D7A1B"/>
    <w:rsid w:val="000E00AC"/>
    <w:rsid w:val="000E0474"/>
    <w:rsid w:val="000E2D6A"/>
    <w:rsid w:val="000E4974"/>
    <w:rsid w:val="000E5A79"/>
    <w:rsid w:val="000E62E5"/>
    <w:rsid w:val="000E636A"/>
    <w:rsid w:val="000F0487"/>
    <w:rsid w:val="000F2F11"/>
    <w:rsid w:val="000F44A5"/>
    <w:rsid w:val="000F52A5"/>
    <w:rsid w:val="000F538B"/>
    <w:rsid w:val="000F6BBA"/>
    <w:rsid w:val="0010001A"/>
    <w:rsid w:val="00100A5F"/>
    <w:rsid w:val="00101639"/>
    <w:rsid w:val="001057FB"/>
    <w:rsid w:val="00105929"/>
    <w:rsid w:val="00107461"/>
    <w:rsid w:val="001074F3"/>
    <w:rsid w:val="00107851"/>
    <w:rsid w:val="00107CD3"/>
    <w:rsid w:val="00107F6D"/>
    <w:rsid w:val="00110AC8"/>
    <w:rsid w:val="00110BED"/>
    <w:rsid w:val="00110C36"/>
    <w:rsid w:val="00110C4D"/>
    <w:rsid w:val="00110DC3"/>
    <w:rsid w:val="001110C5"/>
    <w:rsid w:val="00111359"/>
    <w:rsid w:val="001131D5"/>
    <w:rsid w:val="00114547"/>
    <w:rsid w:val="00115C10"/>
    <w:rsid w:val="001160C8"/>
    <w:rsid w:val="00116E11"/>
    <w:rsid w:val="0011734E"/>
    <w:rsid w:val="0012007F"/>
    <w:rsid w:val="00120291"/>
    <w:rsid w:val="00122553"/>
    <w:rsid w:val="00122C95"/>
    <w:rsid w:val="00123959"/>
    <w:rsid w:val="00124B80"/>
    <w:rsid w:val="00124F48"/>
    <w:rsid w:val="00125A34"/>
    <w:rsid w:val="00125CB1"/>
    <w:rsid w:val="00126679"/>
    <w:rsid w:val="00126B74"/>
    <w:rsid w:val="0012713E"/>
    <w:rsid w:val="00130945"/>
    <w:rsid w:val="00131AC1"/>
    <w:rsid w:val="00132FC5"/>
    <w:rsid w:val="00133695"/>
    <w:rsid w:val="0013452A"/>
    <w:rsid w:val="00135F06"/>
    <w:rsid w:val="00136277"/>
    <w:rsid w:val="00141DB8"/>
    <w:rsid w:val="0014382F"/>
    <w:rsid w:val="00143B09"/>
    <w:rsid w:val="001440A0"/>
    <w:rsid w:val="0014464E"/>
    <w:rsid w:val="0014482F"/>
    <w:rsid w:val="0014520E"/>
    <w:rsid w:val="0014552D"/>
    <w:rsid w:val="00145B4D"/>
    <w:rsid w:val="00145CA2"/>
    <w:rsid w:val="001479BD"/>
    <w:rsid w:val="00153980"/>
    <w:rsid w:val="00154B12"/>
    <w:rsid w:val="0015556F"/>
    <w:rsid w:val="001576C8"/>
    <w:rsid w:val="00163EEF"/>
    <w:rsid w:val="001650EA"/>
    <w:rsid w:val="00165994"/>
    <w:rsid w:val="00165DF3"/>
    <w:rsid w:val="00172084"/>
    <w:rsid w:val="00172360"/>
    <w:rsid w:val="00173741"/>
    <w:rsid w:val="00173B6D"/>
    <w:rsid w:val="00173C8F"/>
    <w:rsid w:val="0017474A"/>
    <w:rsid w:val="001758C6"/>
    <w:rsid w:val="001764F8"/>
    <w:rsid w:val="00176FD4"/>
    <w:rsid w:val="00181B8C"/>
    <w:rsid w:val="00182356"/>
    <w:rsid w:val="00182B99"/>
    <w:rsid w:val="00182D22"/>
    <w:rsid w:val="001844E8"/>
    <w:rsid w:val="001862A6"/>
    <w:rsid w:val="0019155A"/>
    <w:rsid w:val="00192639"/>
    <w:rsid w:val="0019267D"/>
    <w:rsid w:val="001946ED"/>
    <w:rsid w:val="001949D0"/>
    <w:rsid w:val="00196FC5"/>
    <w:rsid w:val="001A0DD8"/>
    <w:rsid w:val="001A1382"/>
    <w:rsid w:val="001A1B0D"/>
    <w:rsid w:val="001A621F"/>
    <w:rsid w:val="001A63A4"/>
    <w:rsid w:val="001B0E7D"/>
    <w:rsid w:val="001B2365"/>
    <w:rsid w:val="001B2E98"/>
    <w:rsid w:val="001B3715"/>
    <w:rsid w:val="001B49F9"/>
    <w:rsid w:val="001B721A"/>
    <w:rsid w:val="001B7A9E"/>
    <w:rsid w:val="001C0955"/>
    <w:rsid w:val="001C1009"/>
    <w:rsid w:val="001C1525"/>
    <w:rsid w:val="001C1CD0"/>
    <w:rsid w:val="001C3B54"/>
    <w:rsid w:val="001C4D2A"/>
    <w:rsid w:val="001C7987"/>
    <w:rsid w:val="001D080E"/>
    <w:rsid w:val="001D1BAC"/>
    <w:rsid w:val="001D2593"/>
    <w:rsid w:val="001D332A"/>
    <w:rsid w:val="001D3A36"/>
    <w:rsid w:val="001D41B4"/>
    <w:rsid w:val="001D42B6"/>
    <w:rsid w:val="001D71DF"/>
    <w:rsid w:val="001D736D"/>
    <w:rsid w:val="001E093B"/>
    <w:rsid w:val="001E2051"/>
    <w:rsid w:val="001E26DD"/>
    <w:rsid w:val="001E29C4"/>
    <w:rsid w:val="001E629A"/>
    <w:rsid w:val="001F1740"/>
    <w:rsid w:val="001F298F"/>
    <w:rsid w:val="001F2C27"/>
    <w:rsid w:val="001F357C"/>
    <w:rsid w:val="00200D17"/>
    <w:rsid w:val="002010C6"/>
    <w:rsid w:val="00202982"/>
    <w:rsid w:val="00203631"/>
    <w:rsid w:val="00205CAF"/>
    <w:rsid w:val="00210B35"/>
    <w:rsid w:val="0021273E"/>
    <w:rsid w:val="0021332C"/>
    <w:rsid w:val="00213982"/>
    <w:rsid w:val="002140B8"/>
    <w:rsid w:val="0021556A"/>
    <w:rsid w:val="00217760"/>
    <w:rsid w:val="00220C27"/>
    <w:rsid w:val="00221BB8"/>
    <w:rsid w:val="00222D6D"/>
    <w:rsid w:val="00223F3E"/>
    <w:rsid w:val="00224395"/>
    <w:rsid w:val="002256BC"/>
    <w:rsid w:val="00226B9A"/>
    <w:rsid w:val="00227B1C"/>
    <w:rsid w:val="00233C38"/>
    <w:rsid w:val="00235763"/>
    <w:rsid w:val="00235ABA"/>
    <w:rsid w:val="00240F17"/>
    <w:rsid w:val="00241B61"/>
    <w:rsid w:val="002439E9"/>
    <w:rsid w:val="0024416D"/>
    <w:rsid w:val="00244976"/>
    <w:rsid w:val="00245273"/>
    <w:rsid w:val="002516C3"/>
    <w:rsid w:val="00251D2C"/>
    <w:rsid w:val="00251E2A"/>
    <w:rsid w:val="0025439E"/>
    <w:rsid w:val="0025596F"/>
    <w:rsid w:val="00257D41"/>
    <w:rsid w:val="00257F3C"/>
    <w:rsid w:val="002604A7"/>
    <w:rsid w:val="00260887"/>
    <w:rsid w:val="002629C3"/>
    <w:rsid w:val="00263789"/>
    <w:rsid w:val="00265782"/>
    <w:rsid w:val="00265E0F"/>
    <w:rsid w:val="00267D23"/>
    <w:rsid w:val="002709DB"/>
    <w:rsid w:val="00270BD7"/>
    <w:rsid w:val="00271911"/>
    <w:rsid w:val="002721F9"/>
    <w:rsid w:val="00272BAB"/>
    <w:rsid w:val="00273187"/>
    <w:rsid w:val="002800A0"/>
    <w:rsid w:val="002801B3"/>
    <w:rsid w:val="00281060"/>
    <w:rsid w:val="0028168A"/>
    <w:rsid w:val="002829E4"/>
    <w:rsid w:val="00284360"/>
    <w:rsid w:val="00285BD0"/>
    <w:rsid w:val="00287F52"/>
    <w:rsid w:val="00290373"/>
    <w:rsid w:val="00291EBF"/>
    <w:rsid w:val="00292C38"/>
    <w:rsid w:val="00292EF7"/>
    <w:rsid w:val="002940E8"/>
    <w:rsid w:val="00294751"/>
    <w:rsid w:val="00294986"/>
    <w:rsid w:val="00295B22"/>
    <w:rsid w:val="00296F12"/>
    <w:rsid w:val="00297B41"/>
    <w:rsid w:val="002A0E18"/>
    <w:rsid w:val="002A12E1"/>
    <w:rsid w:val="002A29A3"/>
    <w:rsid w:val="002A4C99"/>
    <w:rsid w:val="002A546D"/>
    <w:rsid w:val="002A6E50"/>
    <w:rsid w:val="002A78BA"/>
    <w:rsid w:val="002B0C00"/>
    <w:rsid w:val="002B0D5B"/>
    <w:rsid w:val="002B38CA"/>
    <w:rsid w:val="002B4298"/>
    <w:rsid w:val="002B4F38"/>
    <w:rsid w:val="002B61CD"/>
    <w:rsid w:val="002B62B0"/>
    <w:rsid w:val="002B681B"/>
    <w:rsid w:val="002B7A36"/>
    <w:rsid w:val="002B7F26"/>
    <w:rsid w:val="002C131E"/>
    <w:rsid w:val="002C1649"/>
    <w:rsid w:val="002C22A2"/>
    <w:rsid w:val="002C256A"/>
    <w:rsid w:val="002C317F"/>
    <w:rsid w:val="002C40A1"/>
    <w:rsid w:val="002C5E60"/>
    <w:rsid w:val="002C78B3"/>
    <w:rsid w:val="002D0AA1"/>
    <w:rsid w:val="002D2C7C"/>
    <w:rsid w:val="002D2D96"/>
    <w:rsid w:val="002D369F"/>
    <w:rsid w:val="002D5226"/>
    <w:rsid w:val="002D5AC9"/>
    <w:rsid w:val="002E00AC"/>
    <w:rsid w:val="002E19F6"/>
    <w:rsid w:val="002E5282"/>
    <w:rsid w:val="002E70C9"/>
    <w:rsid w:val="002F0351"/>
    <w:rsid w:val="002F242E"/>
    <w:rsid w:val="002F2CAA"/>
    <w:rsid w:val="002F3119"/>
    <w:rsid w:val="002F3898"/>
    <w:rsid w:val="002F3B82"/>
    <w:rsid w:val="002F4E52"/>
    <w:rsid w:val="002F4F15"/>
    <w:rsid w:val="002F74E3"/>
    <w:rsid w:val="002F74FC"/>
    <w:rsid w:val="00300AEA"/>
    <w:rsid w:val="003012FA"/>
    <w:rsid w:val="00303952"/>
    <w:rsid w:val="00305A7F"/>
    <w:rsid w:val="0030673D"/>
    <w:rsid w:val="00307CA9"/>
    <w:rsid w:val="00310DD2"/>
    <w:rsid w:val="00311464"/>
    <w:rsid w:val="003127BF"/>
    <w:rsid w:val="003138C6"/>
    <w:rsid w:val="00313BFE"/>
    <w:rsid w:val="00314144"/>
    <w:rsid w:val="0031427C"/>
    <w:rsid w:val="003152FE"/>
    <w:rsid w:val="00315540"/>
    <w:rsid w:val="003238DE"/>
    <w:rsid w:val="00324AC9"/>
    <w:rsid w:val="00324FFF"/>
    <w:rsid w:val="00325FC9"/>
    <w:rsid w:val="00327436"/>
    <w:rsid w:val="00327494"/>
    <w:rsid w:val="00332065"/>
    <w:rsid w:val="00334E44"/>
    <w:rsid w:val="00342001"/>
    <w:rsid w:val="00343E88"/>
    <w:rsid w:val="003445B5"/>
    <w:rsid w:val="00344BD6"/>
    <w:rsid w:val="00344E2E"/>
    <w:rsid w:val="0035048E"/>
    <w:rsid w:val="003524C5"/>
    <w:rsid w:val="003524FA"/>
    <w:rsid w:val="003532B5"/>
    <w:rsid w:val="00353CEA"/>
    <w:rsid w:val="0035528D"/>
    <w:rsid w:val="00356FB2"/>
    <w:rsid w:val="00361821"/>
    <w:rsid w:val="00361889"/>
    <w:rsid w:val="003619ED"/>
    <w:rsid w:val="00361E9E"/>
    <w:rsid w:val="00362980"/>
    <w:rsid w:val="0036318B"/>
    <w:rsid w:val="003633F8"/>
    <w:rsid w:val="003674BD"/>
    <w:rsid w:val="003679B0"/>
    <w:rsid w:val="00370AC7"/>
    <w:rsid w:val="00370E64"/>
    <w:rsid w:val="00371D06"/>
    <w:rsid w:val="0037411B"/>
    <w:rsid w:val="003743DA"/>
    <w:rsid w:val="0037470A"/>
    <w:rsid w:val="003753EE"/>
    <w:rsid w:val="003816C7"/>
    <w:rsid w:val="0038246F"/>
    <w:rsid w:val="00383D5A"/>
    <w:rsid w:val="0039176E"/>
    <w:rsid w:val="00392435"/>
    <w:rsid w:val="00392676"/>
    <w:rsid w:val="00393E94"/>
    <w:rsid w:val="003956E8"/>
    <w:rsid w:val="00395C92"/>
    <w:rsid w:val="003A0835"/>
    <w:rsid w:val="003A2DA4"/>
    <w:rsid w:val="003A3516"/>
    <w:rsid w:val="003A429E"/>
    <w:rsid w:val="003A471F"/>
    <w:rsid w:val="003A5735"/>
    <w:rsid w:val="003A5AAF"/>
    <w:rsid w:val="003A6F72"/>
    <w:rsid w:val="003A7741"/>
    <w:rsid w:val="003B1549"/>
    <w:rsid w:val="003B2B31"/>
    <w:rsid w:val="003B700A"/>
    <w:rsid w:val="003B7AA2"/>
    <w:rsid w:val="003C1A61"/>
    <w:rsid w:val="003C1A95"/>
    <w:rsid w:val="003C2A29"/>
    <w:rsid w:val="003C4763"/>
    <w:rsid w:val="003C4D6A"/>
    <w:rsid w:val="003C4DFE"/>
    <w:rsid w:val="003C6ABA"/>
    <w:rsid w:val="003C7FBE"/>
    <w:rsid w:val="003D180A"/>
    <w:rsid w:val="003D1917"/>
    <w:rsid w:val="003D227C"/>
    <w:rsid w:val="003D289F"/>
    <w:rsid w:val="003D2B4D"/>
    <w:rsid w:val="003D3189"/>
    <w:rsid w:val="003D345A"/>
    <w:rsid w:val="003D43A1"/>
    <w:rsid w:val="003D4631"/>
    <w:rsid w:val="003D5706"/>
    <w:rsid w:val="003D5A4B"/>
    <w:rsid w:val="003D5D38"/>
    <w:rsid w:val="003D6319"/>
    <w:rsid w:val="003D7A73"/>
    <w:rsid w:val="003E0592"/>
    <w:rsid w:val="003E3646"/>
    <w:rsid w:val="003E5381"/>
    <w:rsid w:val="003E5C6A"/>
    <w:rsid w:val="003F18BE"/>
    <w:rsid w:val="003F1BA1"/>
    <w:rsid w:val="003F2673"/>
    <w:rsid w:val="003F37F5"/>
    <w:rsid w:val="004000B8"/>
    <w:rsid w:val="00402208"/>
    <w:rsid w:val="00404431"/>
    <w:rsid w:val="00405700"/>
    <w:rsid w:val="00406659"/>
    <w:rsid w:val="00407828"/>
    <w:rsid w:val="004101A6"/>
    <w:rsid w:val="00411805"/>
    <w:rsid w:val="004153C2"/>
    <w:rsid w:val="004216D0"/>
    <w:rsid w:val="0042184A"/>
    <w:rsid w:val="00421DAF"/>
    <w:rsid w:val="00423B19"/>
    <w:rsid w:val="00424819"/>
    <w:rsid w:val="00425BA1"/>
    <w:rsid w:val="0042675A"/>
    <w:rsid w:val="00426911"/>
    <w:rsid w:val="004322FB"/>
    <w:rsid w:val="00432C7D"/>
    <w:rsid w:val="00434A77"/>
    <w:rsid w:val="00434F38"/>
    <w:rsid w:val="00440043"/>
    <w:rsid w:val="00440730"/>
    <w:rsid w:val="00441A8C"/>
    <w:rsid w:val="004420EC"/>
    <w:rsid w:val="0044240F"/>
    <w:rsid w:val="00444A88"/>
    <w:rsid w:val="004515E3"/>
    <w:rsid w:val="0045299F"/>
    <w:rsid w:val="004543F5"/>
    <w:rsid w:val="00454749"/>
    <w:rsid w:val="0045550C"/>
    <w:rsid w:val="00456A49"/>
    <w:rsid w:val="004601C9"/>
    <w:rsid w:val="00461438"/>
    <w:rsid w:val="0046299F"/>
    <w:rsid w:val="00464AE1"/>
    <w:rsid w:val="0046537A"/>
    <w:rsid w:val="00465ABE"/>
    <w:rsid w:val="00470586"/>
    <w:rsid w:val="00470990"/>
    <w:rsid w:val="00471342"/>
    <w:rsid w:val="0047169D"/>
    <w:rsid w:val="00471AF6"/>
    <w:rsid w:val="00472388"/>
    <w:rsid w:val="00472ACC"/>
    <w:rsid w:val="00472B51"/>
    <w:rsid w:val="004730C8"/>
    <w:rsid w:val="00473F56"/>
    <w:rsid w:val="004745CD"/>
    <w:rsid w:val="00474DA4"/>
    <w:rsid w:val="00475810"/>
    <w:rsid w:val="00475A2F"/>
    <w:rsid w:val="00475AB0"/>
    <w:rsid w:val="004767D6"/>
    <w:rsid w:val="00476B4D"/>
    <w:rsid w:val="004777B2"/>
    <w:rsid w:val="004805B3"/>
    <w:rsid w:val="004805FA"/>
    <w:rsid w:val="00481656"/>
    <w:rsid w:val="00485129"/>
    <w:rsid w:val="0048716E"/>
    <w:rsid w:val="00487C3A"/>
    <w:rsid w:val="00487C4A"/>
    <w:rsid w:val="00490B73"/>
    <w:rsid w:val="0049206E"/>
    <w:rsid w:val="004935D2"/>
    <w:rsid w:val="00493995"/>
    <w:rsid w:val="004954D4"/>
    <w:rsid w:val="00495FDB"/>
    <w:rsid w:val="004A0FFD"/>
    <w:rsid w:val="004A1ED5"/>
    <w:rsid w:val="004A2823"/>
    <w:rsid w:val="004A4889"/>
    <w:rsid w:val="004A622D"/>
    <w:rsid w:val="004A683A"/>
    <w:rsid w:val="004A6C71"/>
    <w:rsid w:val="004B01D5"/>
    <w:rsid w:val="004B0DEA"/>
    <w:rsid w:val="004B1215"/>
    <w:rsid w:val="004B3C4C"/>
    <w:rsid w:val="004C0FB6"/>
    <w:rsid w:val="004C120A"/>
    <w:rsid w:val="004C26EE"/>
    <w:rsid w:val="004C3519"/>
    <w:rsid w:val="004C3564"/>
    <w:rsid w:val="004C4EE8"/>
    <w:rsid w:val="004D03AB"/>
    <w:rsid w:val="004D047D"/>
    <w:rsid w:val="004D217B"/>
    <w:rsid w:val="004D2C46"/>
    <w:rsid w:val="004D3CC7"/>
    <w:rsid w:val="004D3EE1"/>
    <w:rsid w:val="004D3FA3"/>
    <w:rsid w:val="004D46E0"/>
    <w:rsid w:val="004E1C10"/>
    <w:rsid w:val="004E1C5B"/>
    <w:rsid w:val="004E1F5A"/>
    <w:rsid w:val="004E38C5"/>
    <w:rsid w:val="004E76CD"/>
    <w:rsid w:val="004F1E9E"/>
    <w:rsid w:val="004F2420"/>
    <w:rsid w:val="004F305A"/>
    <w:rsid w:val="004F477C"/>
    <w:rsid w:val="004F4E5F"/>
    <w:rsid w:val="004F5DA8"/>
    <w:rsid w:val="00501680"/>
    <w:rsid w:val="00504359"/>
    <w:rsid w:val="00506A9E"/>
    <w:rsid w:val="00506FC9"/>
    <w:rsid w:val="00506FF1"/>
    <w:rsid w:val="00512164"/>
    <w:rsid w:val="00512B0D"/>
    <w:rsid w:val="00515759"/>
    <w:rsid w:val="00515FCE"/>
    <w:rsid w:val="00520297"/>
    <w:rsid w:val="00521806"/>
    <w:rsid w:val="00522128"/>
    <w:rsid w:val="00522B11"/>
    <w:rsid w:val="00522B64"/>
    <w:rsid w:val="00522CFF"/>
    <w:rsid w:val="00524F4D"/>
    <w:rsid w:val="00526738"/>
    <w:rsid w:val="00530B03"/>
    <w:rsid w:val="00530DD3"/>
    <w:rsid w:val="00532259"/>
    <w:rsid w:val="0053261C"/>
    <w:rsid w:val="00533444"/>
    <w:rsid w:val="005337F8"/>
    <w:rsid w:val="005338F9"/>
    <w:rsid w:val="00533933"/>
    <w:rsid w:val="00534295"/>
    <w:rsid w:val="005362A5"/>
    <w:rsid w:val="00537E91"/>
    <w:rsid w:val="005409C7"/>
    <w:rsid w:val="00540A88"/>
    <w:rsid w:val="005419DB"/>
    <w:rsid w:val="00542736"/>
    <w:rsid w:val="0054281C"/>
    <w:rsid w:val="00544205"/>
    <w:rsid w:val="00544280"/>
    <w:rsid w:val="00544581"/>
    <w:rsid w:val="00547554"/>
    <w:rsid w:val="00550FF9"/>
    <w:rsid w:val="00551D2C"/>
    <w:rsid w:val="0055268D"/>
    <w:rsid w:val="0055351F"/>
    <w:rsid w:val="0055465C"/>
    <w:rsid w:val="00556675"/>
    <w:rsid w:val="00560089"/>
    <w:rsid w:val="005612DD"/>
    <w:rsid w:val="0056173A"/>
    <w:rsid w:val="005656A6"/>
    <w:rsid w:val="00571065"/>
    <w:rsid w:val="00572817"/>
    <w:rsid w:val="005728B1"/>
    <w:rsid w:val="00573061"/>
    <w:rsid w:val="00573F07"/>
    <w:rsid w:val="0057480B"/>
    <w:rsid w:val="005751C4"/>
    <w:rsid w:val="00575DE2"/>
    <w:rsid w:val="00576BE4"/>
    <w:rsid w:val="005779DB"/>
    <w:rsid w:val="00577F8E"/>
    <w:rsid w:val="00582869"/>
    <w:rsid w:val="0058500B"/>
    <w:rsid w:val="0058621D"/>
    <w:rsid w:val="00591BAE"/>
    <w:rsid w:val="00592AD3"/>
    <w:rsid w:val="00595A50"/>
    <w:rsid w:val="00596380"/>
    <w:rsid w:val="005963F0"/>
    <w:rsid w:val="005972A1"/>
    <w:rsid w:val="005972FA"/>
    <w:rsid w:val="005A0B93"/>
    <w:rsid w:val="005A3CCA"/>
    <w:rsid w:val="005A400A"/>
    <w:rsid w:val="005A5ACE"/>
    <w:rsid w:val="005A61CB"/>
    <w:rsid w:val="005B1F18"/>
    <w:rsid w:val="005B269D"/>
    <w:rsid w:val="005B333F"/>
    <w:rsid w:val="005B4904"/>
    <w:rsid w:val="005B5A0A"/>
    <w:rsid w:val="005B6C70"/>
    <w:rsid w:val="005B74C2"/>
    <w:rsid w:val="005C0078"/>
    <w:rsid w:val="005C0FB5"/>
    <w:rsid w:val="005C297B"/>
    <w:rsid w:val="005C29E4"/>
    <w:rsid w:val="005C30C9"/>
    <w:rsid w:val="005C3343"/>
    <w:rsid w:val="005C6042"/>
    <w:rsid w:val="005D165A"/>
    <w:rsid w:val="005D1C40"/>
    <w:rsid w:val="005D33F5"/>
    <w:rsid w:val="005D4129"/>
    <w:rsid w:val="005D55E5"/>
    <w:rsid w:val="005D7F77"/>
    <w:rsid w:val="005E1862"/>
    <w:rsid w:val="005E2395"/>
    <w:rsid w:val="005E3AC7"/>
    <w:rsid w:val="005E5546"/>
    <w:rsid w:val="005F0A13"/>
    <w:rsid w:val="005F0B8B"/>
    <w:rsid w:val="005F30EF"/>
    <w:rsid w:val="005F37CE"/>
    <w:rsid w:val="005F5AEF"/>
    <w:rsid w:val="005F6CA8"/>
    <w:rsid w:val="005F73D3"/>
    <w:rsid w:val="005F7B92"/>
    <w:rsid w:val="00600EC5"/>
    <w:rsid w:val="006010EF"/>
    <w:rsid w:val="0060242D"/>
    <w:rsid w:val="0060311C"/>
    <w:rsid w:val="00604707"/>
    <w:rsid w:val="00606919"/>
    <w:rsid w:val="00612379"/>
    <w:rsid w:val="00612C35"/>
    <w:rsid w:val="00613450"/>
    <w:rsid w:val="006153B6"/>
    <w:rsid w:val="0061555F"/>
    <w:rsid w:val="00616166"/>
    <w:rsid w:val="00622B7E"/>
    <w:rsid w:val="00623817"/>
    <w:rsid w:val="006245ED"/>
    <w:rsid w:val="006255E8"/>
    <w:rsid w:val="00630462"/>
    <w:rsid w:val="00631C28"/>
    <w:rsid w:val="006345F6"/>
    <w:rsid w:val="00636CA6"/>
    <w:rsid w:val="0063724C"/>
    <w:rsid w:val="00637BCF"/>
    <w:rsid w:val="00640E10"/>
    <w:rsid w:val="00641200"/>
    <w:rsid w:val="00642CE6"/>
    <w:rsid w:val="00642CEF"/>
    <w:rsid w:val="00643623"/>
    <w:rsid w:val="00644FB1"/>
    <w:rsid w:val="00645CA8"/>
    <w:rsid w:val="00646BF3"/>
    <w:rsid w:val="00646FDE"/>
    <w:rsid w:val="0064783F"/>
    <w:rsid w:val="0065031E"/>
    <w:rsid w:val="00650A61"/>
    <w:rsid w:val="00650BCB"/>
    <w:rsid w:val="00650FB2"/>
    <w:rsid w:val="00652348"/>
    <w:rsid w:val="00653C19"/>
    <w:rsid w:val="00653E0E"/>
    <w:rsid w:val="00657F4A"/>
    <w:rsid w:val="00657FCA"/>
    <w:rsid w:val="00662FC4"/>
    <w:rsid w:val="006639AA"/>
    <w:rsid w:val="006655D3"/>
    <w:rsid w:val="00666976"/>
    <w:rsid w:val="0066701E"/>
    <w:rsid w:val="006671EB"/>
    <w:rsid w:val="00667404"/>
    <w:rsid w:val="00671E8A"/>
    <w:rsid w:val="00673FBF"/>
    <w:rsid w:val="00675087"/>
    <w:rsid w:val="00675D1F"/>
    <w:rsid w:val="00676E2A"/>
    <w:rsid w:val="00676EFE"/>
    <w:rsid w:val="006779DC"/>
    <w:rsid w:val="0068095B"/>
    <w:rsid w:val="00681443"/>
    <w:rsid w:val="00683842"/>
    <w:rsid w:val="0068528F"/>
    <w:rsid w:val="006868F8"/>
    <w:rsid w:val="00687EB4"/>
    <w:rsid w:val="00690900"/>
    <w:rsid w:val="0069298B"/>
    <w:rsid w:val="0069391E"/>
    <w:rsid w:val="00695C56"/>
    <w:rsid w:val="00695D23"/>
    <w:rsid w:val="006971FC"/>
    <w:rsid w:val="006A1613"/>
    <w:rsid w:val="006A263B"/>
    <w:rsid w:val="006A31DD"/>
    <w:rsid w:val="006A3BDC"/>
    <w:rsid w:val="006A5CDE"/>
    <w:rsid w:val="006A6182"/>
    <w:rsid w:val="006A644A"/>
    <w:rsid w:val="006B17D2"/>
    <w:rsid w:val="006B2C85"/>
    <w:rsid w:val="006C03E6"/>
    <w:rsid w:val="006C0785"/>
    <w:rsid w:val="006C224E"/>
    <w:rsid w:val="006C3F6E"/>
    <w:rsid w:val="006C5E05"/>
    <w:rsid w:val="006C7330"/>
    <w:rsid w:val="006D0B09"/>
    <w:rsid w:val="006D0BDB"/>
    <w:rsid w:val="006D1194"/>
    <w:rsid w:val="006D3882"/>
    <w:rsid w:val="006D4149"/>
    <w:rsid w:val="006D4AAC"/>
    <w:rsid w:val="006D74B6"/>
    <w:rsid w:val="006D780A"/>
    <w:rsid w:val="006D7B49"/>
    <w:rsid w:val="006E0B11"/>
    <w:rsid w:val="006E2D2D"/>
    <w:rsid w:val="006E36AA"/>
    <w:rsid w:val="006E3774"/>
    <w:rsid w:val="006E4B3B"/>
    <w:rsid w:val="006E4B7F"/>
    <w:rsid w:val="006E4C6D"/>
    <w:rsid w:val="006E4F4F"/>
    <w:rsid w:val="006E5114"/>
    <w:rsid w:val="006E7ACD"/>
    <w:rsid w:val="006F0437"/>
    <w:rsid w:val="006F04E7"/>
    <w:rsid w:val="006F3491"/>
    <w:rsid w:val="006F66D1"/>
    <w:rsid w:val="006F79A0"/>
    <w:rsid w:val="006F7D96"/>
    <w:rsid w:val="00700E80"/>
    <w:rsid w:val="00702901"/>
    <w:rsid w:val="007052B8"/>
    <w:rsid w:val="00705887"/>
    <w:rsid w:val="007068DA"/>
    <w:rsid w:val="0071271E"/>
    <w:rsid w:val="00713D4D"/>
    <w:rsid w:val="00714D7F"/>
    <w:rsid w:val="00714E18"/>
    <w:rsid w:val="00714E2F"/>
    <w:rsid w:val="007154FD"/>
    <w:rsid w:val="0072016D"/>
    <w:rsid w:val="00720AB3"/>
    <w:rsid w:val="00726D57"/>
    <w:rsid w:val="00731381"/>
    <w:rsid w:val="00732DEC"/>
    <w:rsid w:val="00733877"/>
    <w:rsid w:val="00733A63"/>
    <w:rsid w:val="007359DF"/>
    <w:rsid w:val="00735BD5"/>
    <w:rsid w:val="007370C3"/>
    <w:rsid w:val="00742BD3"/>
    <w:rsid w:val="00742BD6"/>
    <w:rsid w:val="007451EC"/>
    <w:rsid w:val="0074558C"/>
    <w:rsid w:val="00747D33"/>
    <w:rsid w:val="0075057A"/>
    <w:rsid w:val="00751613"/>
    <w:rsid w:val="00752016"/>
    <w:rsid w:val="007523FB"/>
    <w:rsid w:val="00752DC0"/>
    <w:rsid w:val="00752F0F"/>
    <w:rsid w:val="00753EE9"/>
    <w:rsid w:val="007546B2"/>
    <w:rsid w:val="007556F6"/>
    <w:rsid w:val="007558F4"/>
    <w:rsid w:val="007578C5"/>
    <w:rsid w:val="00760EEF"/>
    <w:rsid w:val="00761064"/>
    <w:rsid w:val="00762E8C"/>
    <w:rsid w:val="00763C99"/>
    <w:rsid w:val="007722B5"/>
    <w:rsid w:val="00773832"/>
    <w:rsid w:val="00773ED0"/>
    <w:rsid w:val="0077577B"/>
    <w:rsid w:val="00777EE5"/>
    <w:rsid w:val="00781B8B"/>
    <w:rsid w:val="00784836"/>
    <w:rsid w:val="00784BBE"/>
    <w:rsid w:val="0078529E"/>
    <w:rsid w:val="007861CD"/>
    <w:rsid w:val="00786778"/>
    <w:rsid w:val="0079023E"/>
    <w:rsid w:val="00790EBF"/>
    <w:rsid w:val="007915EA"/>
    <w:rsid w:val="00792A2B"/>
    <w:rsid w:val="007955AE"/>
    <w:rsid w:val="00795BFF"/>
    <w:rsid w:val="007960A1"/>
    <w:rsid w:val="007A0D7E"/>
    <w:rsid w:val="007A2854"/>
    <w:rsid w:val="007A3B9D"/>
    <w:rsid w:val="007A7FCA"/>
    <w:rsid w:val="007B2604"/>
    <w:rsid w:val="007B317A"/>
    <w:rsid w:val="007B6664"/>
    <w:rsid w:val="007B6D37"/>
    <w:rsid w:val="007B73A9"/>
    <w:rsid w:val="007C01EB"/>
    <w:rsid w:val="007C0689"/>
    <w:rsid w:val="007C1D92"/>
    <w:rsid w:val="007C28FB"/>
    <w:rsid w:val="007C2A57"/>
    <w:rsid w:val="007C4CB9"/>
    <w:rsid w:val="007C6C55"/>
    <w:rsid w:val="007C7012"/>
    <w:rsid w:val="007D0461"/>
    <w:rsid w:val="007D0B9D"/>
    <w:rsid w:val="007D19B0"/>
    <w:rsid w:val="007D2C3E"/>
    <w:rsid w:val="007D3293"/>
    <w:rsid w:val="007D46BF"/>
    <w:rsid w:val="007D744C"/>
    <w:rsid w:val="007D762E"/>
    <w:rsid w:val="007E05E5"/>
    <w:rsid w:val="007E1602"/>
    <w:rsid w:val="007E2BB2"/>
    <w:rsid w:val="007E36E5"/>
    <w:rsid w:val="007E4687"/>
    <w:rsid w:val="007F1318"/>
    <w:rsid w:val="007F1DBF"/>
    <w:rsid w:val="007F3BBD"/>
    <w:rsid w:val="007F4487"/>
    <w:rsid w:val="007F498F"/>
    <w:rsid w:val="007F4A57"/>
    <w:rsid w:val="007F4AA5"/>
    <w:rsid w:val="007F58E5"/>
    <w:rsid w:val="007F5FA2"/>
    <w:rsid w:val="007F6BAB"/>
    <w:rsid w:val="007F72C4"/>
    <w:rsid w:val="007F7701"/>
    <w:rsid w:val="00800686"/>
    <w:rsid w:val="0080077B"/>
    <w:rsid w:val="00800D00"/>
    <w:rsid w:val="00802749"/>
    <w:rsid w:val="0080468C"/>
    <w:rsid w:val="0080679D"/>
    <w:rsid w:val="00807505"/>
    <w:rsid w:val="00807671"/>
    <w:rsid w:val="0081000F"/>
    <w:rsid w:val="008108B0"/>
    <w:rsid w:val="00811B20"/>
    <w:rsid w:val="00812609"/>
    <w:rsid w:val="008129D3"/>
    <w:rsid w:val="00813914"/>
    <w:rsid w:val="00814FF1"/>
    <w:rsid w:val="008211B5"/>
    <w:rsid w:val="0082296E"/>
    <w:rsid w:val="00824099"/>
    <w:rsid w:val="00824188"/>
    <w:rsid w:val="0082434F"/>
    <w:rsid w:val="0082493F"/>
    <w:rsid w:val="00825147"/>
    <w:rsid w:val="00825360"/>
    <w:rsid w:val="008261BF"/>
    <w:rsid w:val="008313AE"/>
    <w:rsid w:val="00831868"/>
    <w:rsid w:val="008318BF"/>
    <w:rsid w:val="00832960"/>
    <w:rsid w:val="00832DD2"/>
    <w:rsid w:val="00833141"/>
    <w:rsid w:val="00834D62"/>
    <w:rsid w:val="008375C0"/>
    <w:rsid w:val="0084006D"/>
    <w:rsid w:val="00843455"/>
    <w:rsid w:val="008441D1"/>
    <w:rsid w:val="00844AFF"/>
    <w:rsid w:val="00845148"/>
    <w:rsid w:val="00845306"/>
    <w:rsid w:val="00846D7C"/>
    <w:rsid w:val="00847509"/>
    <w:rsid w:val="00850960"/>
    <w:rsid w:val="008518DD"/>
    <w:rsid w:val="008520D3"/>
    <w:rsid w:val="008529A3"/>
    <w:rsid w:val="008534C1"/>
    <w:rsid w:val="00853E9D"/>
    <w:rsid w:val="00854A65"/>
    <w:rsid w:val="00855888"/>
    <w:rsid w:val="00857BDD"/>
    <w:rsid w:val="00860743"/>
    <w:rsid w:val="00863194"/>
    <w:rsid w:val="00864F74"/>
    <w:rsid w:val="00865A4D"/>
    <w:rsid w:val="00867156"/>
    <w:rsid w:val="00867AC1"/>
    <w:rsid w:val="00870B29"/>
    <w:rsid w:val="008732FE"/>
    <w:rsid w:val="00873F5B"/>
    <w:rsid w:val="008744E8"/>
    <w:rsid w:val="00874D30"/>
    <w:rsid w:val="008751DE"/>
    <w:rsid w:val="008773FF"/>
    <w:rsid w:val="008801D0"/>
    <w:rsid w:val="00881720"/>
    <w:rsid w:val="00882559"/>
    <w:rsid w:val="00882BE8"/>
    <w:rsid w:val="00884600"/>
    <w:rsid w:val="00884AE8"/>
    <w:rsid w:val="008864D3"/>
    <w:rsid w:val="00886E5D"/>
    <w:rsid w:val="00887232"/>
    <w:rsid w:val="0088732A"/>
    <w:rsid w:val="0088748D"/>
    <w:rsid w:val="00887594"/>
    <w:rsid w:val="0088784C"/>
    <w:rsid w:val="008902B6"/>
    <w:rsid w:val="00890B81"/>
    <w:rsid w:val="00890DF8"/>
    <w:rsid w:val="00892001"/>
    <w:rsid w:val="008950F1"/>
    <w:rsid w:val="00895393"/>
    <w:rsid w:val="00895431"/>
    <w:rsid w:val="0089621A"/>
    <w:rsid w:val="008A0ADE"/>
    <w:rsid w:val="008A13D6"/>
    <w:rsid w:val="008A1A19"/>
    <w:rsid w:val="008A22E1"/>
    <w:rsid w:val="008A3D22"/>
    <w:rsid w:val="008A4C42"/>
    <w:rsid w:val="008A52E0"/>
    <w:rsid w:val="008A5709"/>
    <w:rsid w:val="008A743F"/>
    <w:rsid w:val="008A7BE8"/>
    <w:rsid w:val="008A7BEE"/>
    <w:rsid w:val="008B34E7"/>
    <w:rsid w:val="008B3FE8"/>
    <w:rsid w:val="008B4286"/>
    <w:rsid w:val="008B5FBB"/>
    <w:rsid w:val="008B6969"/>
    <w:rsid w:val="008C0970"/>
    <w:rsid w:val="008C14E1"/>
    <w:rsid w:val="008C1675"/>
    <w:rsid w:val="008C2174"/>
    <w:rsid w:val="008C31C8"/>
    <w:rsid w:val="008C37A5"/>
    <w:rsid w:val="008C3929"/>
    <w:rsid w:val="008C4AAE"/>
    <w:rsid w:val="008C5C23"/>
    <w:rsid w:val="008C63BD"/>
    <w:rsid w:val="008C6931"/>
    <w:rsid w:val="008D0B9F"/>
    <w:rsid w:val="008D0BC5"/>
    <w:rsid w:val="008D2CF7"/>
    <w:rsid w:val="008D2D25"/>
    <w:rsid w:val="008D34F6"/>
    <w:rsid w:val="008D4285"/>
    <w:rsid w:val="008D4A28"/>
    <w:rsid w:val="008D6514"/>
    <w:rsid w:val="008D74F8"/>
    <w:rsid w:val="008D7E0C"/>
    <w:rsid w:val="008D7E12"/>
    <w:rsid w:val="008E07B0"/>
    <w:rsid w:val="008E41E4"/>
    <w:rsid w:val="008E4C3D"/>
    <w:rsid w:val="008E6220"/>
    <w:rsid w:val="008F163D"/>
    <w:rsid w:val="008F2B43"/>
    <w:rsid w:val="008F2CBB"/>
    <w:rsid w:val="008F32FF"/>
    <w:rsid w:val="008F512A"/>
    <w:rsid w:val="008F64F2"/>
    <w:rsid w:val="008F6E67"/>
    <w:rsid w:val="008F6F97"/>
    <w:rsid w:val="008F7B4A"/>
    <w:rsid w:val="00900C26"/>
    <w:rsid w:val="00901880"/>
    <w:rsid w:val="0090197F"/>
    <w:rsid w:val="0090265A"/>
    <w:rsid w:val="00903264"/>
    <w:rsid w:val="0090346B"/>
    <w:rsid w:val="0090508A"/>
    <w:rsid w:val="00906DDC"/>
    <w:rsid w:val="00910C1E"/>
    <w:rsid w:val="009112CA"/>
    <w:rsid w:val="0091222B"/>
    <w:rsid w:val="00915C02"/>
    <w:rsid w:val="0091603E"/>
    <w:rsid w:val="00916F22"/>
    <w:rsid w:val="00917967"/>
    <w:rsid w:val="00921232"/>
    <w:rsid w:val="00921B4E"/>
    <w:rsid w:val="0092328D"/>
    <w:rsid w:val="00925CD1"/>
    <w:rsid w:val="0092781C"/>
    <w:rsid w:val="00927F33"/>
    <w:rsid w:val="00930097"/>
    <w:rsid w:val="00930D0E"/>
    <w:rsid w:val="009331AA"/>
    <w:rsid w:val="00934E09"/>
    <w:rsid w:val="009353F9"/>
    <w:rsid w:val="00936253"/>
    <w:rsid w:val="00940700"/>
    <w:rsid w:val="00940D46"/>
    <w:rsid w:val="00940E2B"/>
    <w:rsid w:val="009413F1"/>
    <w:rsid w:val="009426D0"/>
    <w:rsid w:val="00943F68"/>
    <w:rsid w:val="00944075"/>
    <w:rsid w:val="00945BA3"/>
    <w:rsid w:val="00946401"/>
    <w:rsid w:val="00946C0D"/>
    <w:rsid w:val="00946D69"/>
    <w:rsid w:val="00950632"/>
    <w:rsid w:val="00951044"/>
    <w:rsid w:val="0095105D"/>
    <w:rsid w:val="009517C7"/>
    <w:rsid w:val="00952DD4"/>
    <w:rsid w:val="009543F6"/>
    <w:rsid w:val="009561F4"/>
    <w:rsid w:val="00957521"/>
    <w:rsid w:val="00960466"/>
    <w:rsid w:val="00962BD8"/>
    <w:rsid w:val="00965AE7"/>
    <w:rsid w:val="00965E0F"/>
    <w:rsid w:val="009669BC"/>
    <w:rsid w:val="00970EA0"/>
    <w:rsid w:val="00970FED"/>
    <w:rsid w:val="00971032"/>
    <w:rsid w:val="00974746"/>
    <w:rsid w:val="0097485B"/>
    <w:rsid w:val="00975B88"/>
    <w:rsid w:val="009765A7"/>
    <w:rsid w:val="0097706E"/>
    <w:rsid w:val="0098110F"/>
    <w:rsid w:val="009834A3"/>
    <w:rsid w:val="00983F89"/>
    <w:rsid w:val="00984070"/>
    <w:rsid w:val="009847C1"/>
    <w:rsid w:val="009848D7"/>
    <w:rsid w:val="00984AF4"/>
    <w:rsid w:val="00986E0C"/>
    <w:rsid w:val="0098754F"/>
    <w:rsid w:val="009905F0"/>
    <w:rsid w:val="009906B3"/>
    <w:rsid w:val="0099218F"/>
    <w:rsid w:val="00992616"/>
    <w:rsid w:val="00992D82"/>
    <w:rsid w:val="00997029"/>
    <w:rsid w:val="009A00D9"/>
    <w:rsid w:val="009A0109"/>
    <w:rsid w:val="009A070B"/>
    <w:rsid w:val="009A1C20"/>
    <w:rsid w:val="009A26EE"/>
    <w:rsid w:val="009A4E71"/>
    <w:rsid w:val="009A5BEC"/>
    <w:rsid w:val="009A7339"/>
    <w:rsid w:val="009A796B"/>
    <w:rsid w:val="009A7E1A"/>
    <w:rsid w:val="009B0366"/>
    <w:rsid w:val="009B03FA"/>
    <w:rsid w:val="009B0BC5"/>
    <w:rsid w:val="009B1AED"/>
    <w:rsid w:val="009B1C2C"/>
    <w:rsid w:val="009B23AC"/>
    <w:rsid w:val="009B4181"/>
    <w:rsid w:val="009B440E"/>
    <w:rsid w:val="009B44C7"/>
    <w:rsid w:val="009B7AF7"/>
    <w:rsid w:val="009C1313"/>
    <w:rsid w:val="009C1407"/>
    <w:rsid w:val="009C44C2"/>
    <w:rsid w:val="009C71BB"/>
    <w:rsid w:val="009C7353"/>
    <w:rsid w:val="009D0402"/>
    <w:rsid w:val="009D2E02"/>
    <w:rsid w:val="009D3CBE"/>
    <w:rsid w:val="009D5FF3"/>
    <w:rsid w:val="009D690D"/>
    <w:rsid w:val="009D7047"/>
    <w:rsid w:val="009E1109"/>
    <w:rsid w:val="009E25B1"/>
    <w:rsid w:val="009E30EF"/>
    <w:rsid w:val="009E4D9F"/>
    <w:rsid w:val="009E5911"/>
    <w:rsid w:val="009E65B6"/>
    <w:rsid w:val="009F036B"/>
    <w:rsid w:val="009F0607"/>
    <w:rsid w:val="009F0A51"/>
    <w:rsid w:val="009F3FA7"/>
    <w:rsid w:val="009F4EF8"/>
    <w:rsid w:val="009F5096"/>
    <w:rsid w:val="009F5435"/>
    <w:rsid w:val="009F696E"/>
    <w:rsid w:val="009F6D86"/>
    <w:rsid w:val="009F76CF"/>
    <w:rsid w:val="009F77CF"/>
    <w:rsid w:val="009F7B9C"/>
    <w:rsid w:val="00A00571"/>
    <w:rsid w:val="00A02C6D"/>
    <w:rsid w:val="00A060A9"/>
    <w:rsid w:val="00A063DA"/>
    <w:rsid w:val="00A07516"/>
    <w:rsid w:val="00A07627"/>
    <w:rsid w:val="00A11577"/>
    <w:rsid w:val="00A1714A"/>
    <w:rsid w:val="00A20C9A"/>
    <w:rsid w:val="00A21829"/>
    <w:rsid w:val="00A2240A"/>
    <w:rsid w:val="00A239AB"/>
    <w:rsid w:val="00A24C10"/>
    <w:rsid w:val="00A26088"/>
    <w:rsid w:val="00A26BA4"/>
    <w:rsid w:val="00A27817"/>
    <w:rsid w:val="00A32BD8"/>
    <w:rsid w:val="00A3394F"/>
    <w:rsid w:val="00A33FD0"/>
    <w:rsid w:val="00A36972"/>
    <w:rsid w:val="00A40CBB"/>
    <w:rsid w:val="00A41782"/>
    <w:rsid w:val="00A42AC3"/>
    <w:rsid w:val="00A430CF"/>
    <w:rsid w:val="00A43BA5"/>
    <w:rsid w:val="00A477C8"/>
    <w:rsid w:val="00A47C5C"/>
    <w:rsid w:val="00A51C56"/>
    <w:rsid w:val="00A53467"/>
    <w:rsid w:val="00A54309"/>
    <w:rsid w:val="00A55F6E"/>
    <w:rsid w:val="00A56E3B"/>
    <w:rsid w:val="00A610A9"/>
    <w:rsid w:val="00A61E95"/>
    <w:rsid w:val="00A62C60"/>
    <w:rsid w:val="00A6494D"/>
    <w:rsid w:val="00A64978"/>
    <w:rsid w:val="00A655A8"/>
    <w:rsid w:val="00A66274"/>
    <w:rsid w:val="00A66DD1"/>
    <w:rsid w:val="00A71069"/>
    <w:rsid w:val="00A7217D"/>
    <w:rsid w:val="00A7229D"/>
    <w:rsid w:val="00A74630"/>
    <w:rsid w:val="00A7475B"/>
    <w:rsid w:val="00A748EB"/>
    <w:rsid w:val="00A74AF8"/>
    <w:rsid w:val="00A808CA"/>
    <w:rsid w:val="00A80F2A"/>
    <w:rsid w:val="00A81216"/>
    <w:rsid w:val="00A82132"/>
    <w:rsid w:val="00A83A48"/>
    <w:rsid w:val="00A84782"/>
    <w:rsid w:val="00A848CC"/>
    <w:rsid w:val="00A84F7D"/>
    <w:rsid w:val="00A859F9"/>
    <w:rsid w:val="00A90491"/>
    <w:rsid w:val="00A920CC"/>
    <w:rsid w:val="00A92701"/>
    <w:rsid w:val="00A92EB6"/>
    <w:rsid w:val="00A93AB7"/>
    <w:rsid w:val="00A95D32"/>
    <w:rsid w:val="00A96C33"/>
    <w:rsid w:val="00A96D6A"/>
    <w:rsid w:val="00AA00C5"/>
    <w:rsid w:val="00AA13A2"/>
    <w:rsid w:val="00AA25D7"/>
    <w:rsid w:val="00AA3024"/>
    <w:rsid w:val="00AA3CE0"/>
    <w:rsid w:val="00AA4E7E"/>
    <w:rsid w:val="00AA5303"/>
    <w:rsid w:val="00AA5620"/>
    <w:rsid w:val="00AA580B"/>
    <w:rsid w:val="00AA6936"/>
    <w:rsid w:val="00AA69DD"/>
    <w:rsid w:val="00AA7EF7"/>
    <w:rsid w:val="00AB2B93"/>
    <w:rsid w:val="00AB530F"/>
    <w:rsid w:val="00AB54D6"/>
    <w:rsid w:val="00AB5644"/>
    <w:rsid w:val="00AB5B02"/>
    <w:rsid w:val="00AB5DE2"/>
    <w:rsid w:val="00AB7E5B"/>
    <w:rsid w:val="00AC0FEA"/>
    <w:rsid w:val="00AC2883"/>
    <w:rsid w:val="00AC2EA1"/>
    <w:rsid w:val="00AC348D"/>
    <w:rsid w:val="00AC4BE5"/>
    <w:rsid w:val="00AD05AA"/>
    <w:rsid w:val="00AD1EEE"/>
    <w:rsid w:val="00AD3527"/>
    <w:rsid w:val="00AD3753"/>
    <w:rsid w:val="00AD3E1D"/>
    <w:rsid w:val="00AD3F12"/>
    <w:rsid w:val="00AD431F"/>
    <w:rsid w:val="00AD4605"/>
    <w:rsid w:val="00AD4721"/>
    <w:rsid w:val="00AD63EB"/>
    <w:rsid w:val="00AE0EF1"/>
    <w:rsid w:val="00AE1052"/>
    <w:rsid w:val="00AE2937"/>
    <w:rsid w:val="00AE2BF9"/>
    <w:rsid w:val="00AE7553"/>
    <w:rsid w:val="00AF43D7"/>
    <w:rsid w:val="00AF510C"/>
    <w:rsid w:val="00AF5629"/>
    <w:rsid w:val="00AF646F"/>
    <w:rsid w:val="00AF7C82"/>
    <w:rsid w:val="00B001D3"/>
    <w:rsid w:val="00B015DA"/>
    <w:rsid w:val="00B01CD5"/>
    <w:rsid w:val="00B01E60"/>
    <w:rsid w:val="00B01EAD"/>
    <w:rsid w:val="00B047D9"/>
    <w:rsid w:val="00B04EAF"/>
    <w:rsid w:val="00B04FEE"/>
    <w:rsid w:val="00B07301"/>
    <w:rsid w:val="00B11F3E"/>
    <w:rsid w:val="00B13218"/>
    <w:rsid w:val="00B1511A"/>
    <w:rsid w:val="00B17649"/>
    <w:rsid w:val="00B17997"/>
    <w:rsid w:val="00B17ED9"/>
    <w:rsid w:val="00B20F05"/>
    <w:rsid w:val="00B21BB3"/>
    <w:rsid w:val="00B224DE"/>
    <w:rsid w:val="00B22A08"/>
    <w:rsid w:val="00B22ED6"/>
    <w:rsid w:val="00B236B7"/>
    <w:rsid w:val="00B23A70"/>
    <w:rsid w:val="00B2430A"/>
    <w:rsid w:val="00B324D4"/>
    <w:rsid w:val="00B3260D"/>
    <w:rsid w:val="00B33E9C"/>
    <w:rsid w:val="00B34A6E"/>
    <w:rsid w:val="00B34C57"/>
    <w:rsid w:val="00B34FEB"/>
    <w:rsid w:val="00B352C1"/>
    <w:rsid w:val="00B3794E"/>
    <w:rsid w:val="00B40D4F"/>
    <w:rsid w:val="00B42CC2"/>
    <w:rsid w:val="00B43354"/>
    <w:rsid w:val="00B4392D"/>
    <w:rsid w:val="00B43A2A"/>
    <w:rsid w:val="00B45100"/>
    <w:rsid w:val="00B46575"/>
    <w:rsid w:val="00B47541"/>
    <w:rsid w:val="00B4760D"/>
    <w:rsid w:val="00B514DB"/>
    <w:rsid w:val="00B52114"/>
    <w:rsid w:val="00B52CE1"/>
    <w:rsid w:val="00B52D4B"/>
    <w:rsid w:val="00B57573"/>
    <w:rsid w:val="00B606EB"/>
    <w:rsid w:val="00B61777"/>
    <w:rsid w:val="00B622E6"/>
    <w:rsid w:val="00B62F56"/>
    <w:rsid w:val="00B63542"/>
    <w:rsid w:val="00B63F38"/>
    <w:rsid w:val="00B64F5E"/>
    <w:rsid w:val="00B65947"/>
    <w:rsid w:val="00B668C3"/>
    <w:rsid w:val="00B66ECE"/>
    <w:rsid w:val="00B70EFA"/>
    <w:rsid w:val="00B70F5C"/>
    <w:rsid w:val="00B7199D"/>
    <w:rsid w:val="00B72F57"/>
    <w:rsid w:val="00B73C40"/>
    <w:rsid w:val="00B7479D"/>
    <w:rsid w:val="00B74B71"/>
    <w:rsid w:val="00B74D30"/>
    <w:rsid w:val="00B76036"/>
    <w:rsid w:val="00B767CC"/>
    <w:rsid w:val="00B770FD"/>
    <w:rsid w:val="00B83D02"/>
    <w:rsid w:val="00B83E82"/>
    <w:rsid w:val="00B84BBD"/>
    <w:rsid w:val="00B91BD8"/>
    <w:rsid w:val="00B91C8B"/>
    <w:rsid w:val="00B92695"/>
    <w:rsid w:val="00B948B3"/>
    <w:rsid w:val="00B95B29"/>
    <w:rsid w:val="00BA0908"/>
    <w:rsid w:val="00BA1D85"/>
    <w:rsid w:val="00BA2810"/>
    <w:rsid w:val="00BA43FB"/>
    <w:rsid w:val="00BA65A2"/>
    <w:rsid w:val="00BB0116"/>
    <w:rsid w:val="00BB186A"/>
    <w:rsid w:val="00BB3227"/>
    <w:rsid w:val="00BB3FBC"/>
    <w:rsid w:val="00BB4EF6"/>
    <w:rsid w:val="00BC127D"/>
    <w:rsid w:val="00BC1FE6"/>
    <w:rsid w:val="00BC35C3"/>
    <w:rsid w:val="00BC380B"/>
    <w:rsid w:val="00BC54F0"/>
    <w:rsid w:val="00BC6103"/>
    <w:rsid w:val="00BC66E8"/>
    <w:rsid w:val="00BC6C1D"/>
    <w:rsid w:val="00BC7769"/>
    <w:rsid w:val="00BD1333"/>
    <w:rsid w:val="00BD40C6"/>
    <w:rsid w:val="00BD475B"/>
    <w:rsid w:val="00BD5CF7"/>
    <w:rsid w:val="00BD5DAA"/>
    <w:rsid w:val="00BD722D"/>
    <w:rsid w:val="00BD7BC4"/>
    <w:rsid w:val="00BE00E7"/>
    <w:rsid w:val="00BE25D0"/>
    <w:rsid w:val="00BE54E1"/>
    <w:rsid w:val="00BE5683"/>
    <w:rsid w:val="00BE6A55"/>
    <w:rsid w:val="00BF05D4"/>
    <w:rsid w:val="00BF5F4C"/>
    <w:rsid w:val="00BF7C58"/>
    <w:rsid w:val="00C01088"/>
    <w:rsid w:val="00C011F7"/>
    <w:rsid w:val="00C039B2"/>
    <w:rsid w:val="00C047FC"/>
    <w:rsid w:val="00C04FC4"/>
    <w:rsid w:val="00C061B6"/>
    <w:rsid w:val="00C07061"/>
    <w:rsid w:val="00C0753C"/>
    <w:rsid w:val="00C1212B"/>
    <w:rsid w:val="00C12F14"/>
    <w:rsid w:val="00C13791"/>
    <w:rsid w:val="00C13A89"/>
    <w:rsid w:val="00C14398"/>
    <w:rsid w:val="00C1570F"/>
    <w:rsid w:val="00C159EC"/>
    <w:rsid w:val="00C161BF"/>
    <w:rsid w:val="00C167EE"/>
    <w:rsid w:val="00C16AE1"/>
    <w:rsid w:val="00C211B0"/>
    <w:rsid w:val="00C243EE"/>
    <w:rsid w:val="00C2446C"/>
    <w:rsid w:val="00C264ED"/>
    <w:rsid w:val="00C27E72"/>
    <w:rsid w:val="00C3093B"/>
    <w:rsid w:val="00C331DD"/>
    <w:rsid w:val="00C3424E"/>
    <w:rsid w:val="00C3565D"/>
    <w:rsid w:val="00C36992"/>
    <w:rsid w:val="00C36AE5"/>
    <w:rsid w:val="00C40583"/>
    <w:rsid w:val="00C41F17"/>
    <w:rsid w:val="00C42632"/>
    <w:rsid w:val="00C51358"/>
    <w:rsid w:val="00C527FA"/>
    <w:rsid w:val="00C5280D"/>
    <w:rsid w:val="00C52BCE"/>
    <w:rsid w:val="00C52DA5"/>
    <w:rsid w:val="00C52DAE"/>
    <w:rsid w:val="00C53D7F"/>
    <w:rsid w:val="00C53EB3"/>
    <w:rsid w:val="00C5460C"/>
    <w:rsid w:val="00C56AA6"/>
    <w:rsid w:val="00C570EB"/>
    <w:rsid w:val="00C5791C"/>
    <w:rsid w:val="00C612E0"/>
    <w:rsid w:val="00C6321D"/>
    <w:rsid w:val="00C64319"/>
    <w:rsid w:val="00C64C5F"/>
    <w:rsid w:val="00C64D52"/>
    <w:rsid w:val="00C66290"/>
    <w:rsid w:val="00C67438"/>
    <w:rsid w:val="00C70CF4"/>
    <w:rsid w:val="00C72B7A"/>
    <w:rsid w:val="00C75454"/>
    <w:rsid w:val="00C76AD0"/>
    <w:rsid w:val="00C819A0"/>
    <w:rsid w:val="00C8345B"/>
    <w:rsid w:val="00C91E94"/>
    <w:rsid w:val="00C924B0"/>
    <w:rsid w:val="00C93F66"/>
    <w:rsid w:val="00C94359"/>
    <w:rsid w:val="00C973F2"/>
    <w:rsid w:val="00CA0644"/>
    <w:rsid w:val="00CA073A"/>
    <w:rsid w:val="00CA10CB"/>
    <w:rsid w:val="00CA1F55"/>
    <w:rsid w:val="00CA226E"/>
    <w:rsid w:val="00CA304C"/>
    <w:rsid w:val="00CA31C1"/>
    <w:rsid w:val="00CA3846"/>
    <w:rsid w:val="00CA3AD1"/>
    <w:rsid w:val="00CA5C5B"/>
    <w:rsid w:val="00CA6678"/>
    <w:rsid w:val="00CA6E8F"/>
    <w:rsid w:val="00CA774A"/>
    <w:rsid w:val="00CB0DEE"/>
    <w:rsid w:val="00CB1A1F"/>
    <w:rsid w:val="00CB2690"/>
    <w:rsid w:val="00CB411A"/>
    <w:rsid w:val="00CB4921"/>
    <w:rsid w:val="00CC11B0"/>
    <w:rsid w:val="00CC1D66"/>
    <w:rsid w:val="00CC1E29"/>
    <w:rsid w:val="00CC2841"/>
    <w:rsid w:val="00CC5F84"/>
    <w:rsid w:val="00CC62D8"/>
    <w:rsid w:val="00CC729A"/>
    <w:rsid w:val="00CD0D1F"/>
    <w:rsid w:val="00CD197C"/>
    <w:rsid w:val="00CD52E6"/>
    <w:rsid w:val="00CD6AE6"/>
    <w:rsid w:val="00CD74E3"/>
    <w:rsid w:val="00CE11AE"/>
    <w:rsid w:val="00CE1218"/>
    <w:rsid w:val="00CE12C2"/>
    <w:rsid w:val="00CE1599"/>
    <w:rsid w:val="00CE357F"/>
    <w:rsid w:val="00CE4D85"/>
    <w:rsid w:val="00CE55DB"/>
    <w:rsid w:val="00CE6618"/>
    <w:rsid w:val="00CE6908"/>
    <w:rsid w:val="00CE6FEE"/>
    <w:rsid w:val="00CE7A59"/>
    <w:rsid w:val="00CE7ED7"/>
    <w:rsid w:val="00CF1330"/>
    <w:rsid w:val="00CF1F2B"/>
    <w:rsid w:val="00CF2609"/>
    <w:rsid w:val="00CF2DF4"/>
    <w:rsid w:val="00CF38BA"/>
    <w:rsid w:val="00CF5F61"/>
    <w:rsid w:val="00CF61FF"/>
    <w:rsid w:val="00CF689F"/>
    <w:rsid w:val="00CF7E36"/>
    <w:rsid w:val="00D00CE3"/>
    <w:rsid w:val="00D00F56"/>
    <w:rsid w:val="00D02E24"/>
    <w:rsid w:val="00D1289F"/>
    <w:rsid w:val="00D14C85"/>
    <w:rsid w:val="00D14E7C"/>
    <w:rsid w:val="00D153DE"/>
    <w:rsid w:val="00D16288"/>
    <w:rsid w:val="00D173BC"/>
    <w:rsid w:val="00D21487"/>
    <w:rsid w:val="00D2172E"/>
    <w:rsid w:val="00D2250B"/>
    <w:rsid w:val="00D248B8"/>
    <w:rsid w:val="00D24A50"/>
    <w:rsid w:val="00D31443"/>
    <w:rsid w:val="00D315CD"/>
    <w:rsid w:val="00D317D8"/>
    <w:rsid w:val="00D324EA"/>
    <w:rsid w:val="00D33B7C"/>
    <w:rsid w:val="00D33C99"/>
    <w:rsid w:val="00D3529B"/>
    <w:rsid w:val="00D3708D"/>
    <w:rsid w:val="00D37270"/>
    <w:rsid w:val="00D40426"/>
    <w:rsid w:val="00D4053D"/>
    <w:rsid w:val="00D413EF"/>
    <w:rsid w:val="00D41F59"/>
    <w:rsid w:val="00D43671"/>
    <w:rsid w:val="00D43C0B"/>
    <w:rsid w:val="00D43CD1"/>
    <w:rsid w:val="00D447A6"/>
    <w:rsid w:val="00D44989"/>
    <w:rsid w:val="00D449F7"/>
    <w:rsid w:val="00D44D89"/>
    <w:rsid w:val="00D45477"/>
    <w:rsid w:val="00D47783"/>
    <w:rsid w:val="00D50B77"/>
    <w:rsid w:val="00D52685"/>
    <w:rsid w:val="00D52ECB"/>
    <w:rsid w:val="00D52F5C"/>
    <w:rsid w:val="00D56635"/>
    <w:rsid w:val="00D57C8A"/>
    <w:rsid w:val="00D57C96"/>
    <w:rsid w:val="00D57D18"/>
    <w:rsid w:val="00D60D7E"/>
    <w:rsid w:val="00D632F1"/>
    <w:rsid w:val="00D63E32"/>
    <w:rsid w:val="00D65B8E"/>
    <w:rsid w:val="00D675E7"/>
    <w:rsid w:val="00D70E65"/>
    <w:rsid w:val="00D71BED"/>
    <w:rsid w:val="00D71C59"/>
    <w:rsid w:val="00D72D2E"/>
    <w:rsid w:val="00D72E27"/>
    <w:rsid w:val="00D75462"/>
    <w:rsid w:val="00D755D6"/>
    <w:rsid w:val="00D84B87"/>
    <w:rsid w:val="00D856D9"/>
    <w:rsid w:val="00D8658B"/>
    <w:rsid w:val="00D91203"/>
    <w:rsid w:val="00D914FE"/>
    <w:rsid w:val="00D9352F"/>
    <w:rsid w:val="00D94460"/>
    <w:rsid w:val="00D95174"/>
    <w:rsid w:val="00D97864"/>
    <w:rsid w:val="00DA1F61"/>
    <w:rsid w:val="00DA4973"/>
    <w:rsid w:val="00DA6F36"/>
    <w:rsid w:val="00DA7220"/>
    <w:rsid w:val="00DA7C1A"/>
    <w:rsid w:val="00DA7CE0"/>
    <w:rsid w:val="00DB0627"/>
    <w:rsid w:val="00DB26D0"/>
    <w:rsid w:val="00DB2D3C"/>
    <w:rsid w:val="00DB596E"/>
    <w:rsid w:val="00DB651B"/>
    <w:rsid w:val="00DB7773"/>
    <w:rsid w:val="00DC00EA"/>
    <w:rsid w:val="00DC1ACD"/>
    <w:rsid w:val="00DC2B85"/>
    <w:rsid w:val="00DC3382"/>
    <w:rsid w:val="00DC3802"/>
    <w:rsid w:val="00DC3CD5"/>
    <w:rsid w:val="00DC4AB7"/>
    <w:rsid w:val="00DC4B65"/>
    <w:rsid w:val="00DC4D1B"/>
    <w:rsid w:val="00DC51CA"/>
    <w:rsid w:val="00DD0E4B"/>
    <w:rsid w:val="00DD1446"/>
    <w:rsid w:val="00DD2834"/>
    <w:rsid w:val="00DD43E0"/>
    <w:rsid w:val="00DD6208"/>
    <w:rsid w:val="00DE23D7"/>
    <w:rsid w:val="00DE272C"/>
    <w:rsid w:val="00DE4BB5"/>
    <w:rsid w:val="00DE5C7B"/>
    <w:rsid w:val="00DF0A78"/>
    <w:rsid w:val="00DF0F78"/>
    <w:rsid w:val="00DF113D"/>
    <w:rsid w:val="00DF156E"/>
    <w:rsid w:val="00DF29B7"/>
    <w:rsid w:val="00DF378E"/>
    <w:rsid w:val="00DF3D64"/>
    <w:rsid w:val="00DF7042"/>
    <w:rsid w:val="00DF7E99"/>
    <w:rsid w:val="00E0025C"/>
    <w:rsid w:val="00E0070C"/>
    <w:rsid w:val="00E00944"/>
    <w:rsid w:val="00E00EF4"/>
    <w:rsid w:val="00E027D2"/>
    <w:rsid w:val="00E028F6"/>
    <w:rsid w:val="00E035E4"/>
    <w:rsid w:val="00E0390B"/>
    <w:rsid w:val="00E046C3"/>
    <w:rsid w:val="00E04A16"/>
    <w:rsid w:val="00E07439"/>
    <w:rsid w:val="00E07D87"/>
    <w:rsid w:val="00E1009D"/>
    <w:rsid w:val="00E10DA2"/>
    <w:rsid w:val="00E116A4"/>
    <w:rsid w:val="00E11A64"/>
    <w:rsid w:val="00E14A4A"/>
    <w:rsid w:val="00E1599F"/>
    <w:rsid w:val="00E203B4"/>
    <w:rsid w:val="00E20F65"/>
    <w:rsid w:val="00E21CB7"/>
    <w:rsid w:val="00E21D39"/>
    <w:rsid w:val="00E22647"/>
    <w:rsid w:val="00E22EB9"/>
    <w:rsid w:val="00E249C8"/>
    <w:rsid w:val="00E259F7"/>
    <w:rsid w:val="00E264A8"/>
    <w:rsid w:val="00E32F7E"/>
    <w:rsid w:val="00E33B89"/>
    <w:rsid w:val="00E33F47"/>
    <w:rsid w:val="00E3484E"/>
    <w:rsid w:val="00E35AD3"/>
    <w:rsid w:val="00E37133"/>
    <w:rsid w:val="00E4062A"/>
    <w:rsid w:val="00E40E09"/>
    <w:rsid w:val="00E4323C"/>
    <w:rsid w:val="00E43C04"/>
    <w:rsid w:val="00E44C4F"/>
    <w:rsid w:val="00E45D45"/>
    <w:rsid w:val="00E45EAC"/>
    <w:rsid w:val="00E52427"/>
    <w:rsid w:val="00E5267B"/>
    <w:rsid w:val="00E54443"/>
    <w:rsid w:val="00E559F0"/>
    <w:rsid w:val="00E561BF"/>
    <w:rsid w:val="00E56F86"/>
    <w:rsid w:val="00E57D0C"/>
    <w:rsid w:val="00E57E20"/>
    <w:rsid w:val="00E606D5"/>
    <w:rsid w:val="00E60968"/>
    <w:rsid w:val="00E63C0E"/>
    <w:rsid w:val="00E6458C"/>
    <w:rsid w:val="00E64B51"/>
    <w:rsid w:val="00E65203"/>
    <w:rsid w:val="00E65627"/>
    <w:rsid w:val="00E6765B"/>
    <w:rsid w:val="00E70303"/>
    <w:rsid w:val="00E70E86"/>
    <w:rsid w:val="00E72D49"/>
    <w:rsid w:val="00E73D53"/>
    <w:rsid w:val="00E74BF8"/>
    <w:rsid w:val="00E7593C"/>
    <w:rsid w:val="00E75B60"/>
    <w:rsid w:val="00E7678A"/>
    <w:rsid w:val="00E804DA"/>
    <w:rsid w:val="00E809AC"/>
    <w:rsid w:val="00E82896"/>
    <w:rsid w:val="00E862FC"/>
    <w:rsid w:val="00E87AB9"/>
    <w:rsid w:val="00E91CCF"/>
    <w:rsid w:val="00E929BB"/>
    <w:rsid w:val="00E92EBD"/>
    <w:rsid w:val="00E935F1"/>
    <w:rsid w:val="00E93F0D"/>
    <w:rsid w:val="00E94A81"/>
    <w:rsid w:val="00E95E7F"/>
    <w:rsid w:val="00E96D40"/>
    <w:rsid w:val="00EA1FFB"/>
    <w:rsid w:val="00EA428C"/>
    <w:rsid w:val="00EA4921"/>
    <w:rsid w:val="00EA4E4D"/>
    <w:rsid w:val="00EA4F84"/>
    <w:rsid w:val="00EA7051"/>
    <w:rsid w:val="00EB048E"/>
    <w:rsid w:val="00EB0981"/>
    <w:rsid w:val="00EB105A"/>
    <w:rsid w:val="00EB11E1"/>
    <w:rsid w:val="00EB2B9A"/>
    <w:rsid w:val="00EB445E"/>
    <w:rsid w:val="00EB48DE"/>
    <w:rsid w:val="00EB4E9C"/>
    <w:rsid w:val="00EB5A96"/>
    <w:rsid w:val="00EB6270"/>
    <w:rsid w:val="00EC1D8C"/>
    <w:rsid w:val="00EC2E94"/>
    <w:rsid w:val="00EC318D"/>
    <w:rsid w:val="00EC33A0"/>
    <w:rsid w:val="00EC40C6"/>
    <w:rsid w:val="00ED04E5"/>
    <w:rsid w:val="00ED1C54"/>
    <w:rsid w:val="00ED2395"/>
    <w:rsid w:val="00ED2FBB"/>
    <w:rsid w:val="00ED3925"/>
    <w:rsid w:val="00ED6749"/>
    <w:rsid w:val="00ED7072"/>
    <w:rsid w:val="00ED7E51"/>
    <w:rsid w:val="00EE0E99"/>
    <w:rsid w:val="00EE21CC"/>
    <w:rsid w:val="00EE3009"/>
    <w:rsid w:val="00EE34DF"/>
    <w:rsid w:val="00EE37A0"/>
    <w:rsid w:val="00EE4CA7"/>
    <w:rsid w:val="00EE5ED7"/>
    <w:rsid w:val="00EE6B94"/>
    <w:rsid w:val="00EE76DF"/>
    <w:rsid w:val="00EF1618"/>
    <w:rsid w:val="00EF24D5"/>
    <w:rsid w:val="00EF2F89"/>
    <w:rsid w:val="00EF3377"/>
    <w:rsid w:val="00EF443F"/>
    <w:rsid w:val="00EF49B5"/>
    <w:rsid w:val="00EF4B00"/>
    <w:rsid w:val="00EF64C1"/>
    <w:rsid w:val="00EF6D30"/>
    <w:rsid w:val="00EF7893"/>
    <w:rsid w:val="00F0038B"/>
    <w:rsid w:val="00F024D6"/>
    <w:rsid w:val="00F02756"/>
    <w:rsid w:val="00F02D45"/>
    <w:rsid w:val="00F033F7"/>
    <w:rsid w:val="00F03E98"/>
    <w:rsid w:val="00F03F6E"/>
    <w:rsid w:val="00F04856"/>
    <w:rsid w:val="00F05E2B"/>
    <w:rsid w:val="00F05ED3"/>
    <w:rsid w:val="00F06EB5"/>
    <w:rsid w:val="00F07B06"/>
    <w:rsid w:val="00F07BAF"/>
    <w:rsid w:val="00F1019D"/>
    <w:rsid w:val="00F10A34"/>
    <w:rsid w:val="00F10B8A"/>
    <w:rsid w:val="00F1237A"/>
    <w:rsid w:val="00F1282A"/>
    <w:rsid w:val="00F1319A"/>
    <w:rsid w:val="00F13840"/>
    <w:rsid w:val="00F158F2"/>
    <w:rsid w:val="00F16285"/>
    <w:rsid w:val="00F16D33"/>
    <w:rsid w:val="00F21B88"/>
    <w:rsid w:val="00F22CBD"/>
    <w:rsid w:val="00F26C83"/>
    <w:rsid w:val="00F272F1"/>
    <w:rsid w:val="00F27569"/>
    <w:rsid w:val="00F27767"/>
    <w:rsid w:val="00F2781E"/>
    <w:rsid w:val="00F31175"/>
    <w:rsid w:val="00F31412"/>
    <w:rsid w:val="00F31A2E"/>
    <w:rsid w:val="00F31FF7"/>
    <w:rsid w:val="00F320EE"/>
    <w:rsid w:val="00F32994"/>
    <w:rsid w:val="00F32ABD"/>
    <w:rsid w:val="00F34F9D"/>
    <w:rsid w:val="00F3524B"/>
    <w:rsid w:val="00F35BA4"/>
    <w:rsid w:val="00F37B93"/>
    <w:rsid w:val="00F418A1"/>
    <w:rsid w:val="00F41F9F"/>
    <w:rsid w:val="00F42327"/>
    <w:rsid w:val="00F43350"/>
    <w:rsid w:val="00F44615"/>
    <w:rsid w:val="00F45372"/>
    <w:rsid w:val="00F46168"/>
    <w:rsid w:val="00F470DB"/>
    <w:rsid w:val="00F47B12"/>
    <w:rsid w:val="00F509D3"/>
    <w:rsid w:val="00F50B23"/>
    <w:rsid w:val="00F515A1"/>
    <w:rsid w:val="00F5283A"/>
    <w:rsid w:val="00F5305E"/>
    <w:rsid w:val="00F5327D"/>
    <w:rsid w:val="00F545B6"/>
    <w:rsid w:val="00F560F7"/>
    <w:rsid w:val="00F6206A"/>
    <w:rsid w:val="00F62132"/>
    <w:rsid w:val="00F62A67"/>
    <w:rsid w:val="00F62B0A"/>
    <w:rsid w:val="00F6334D"/>
    <w:rsid w:val="00F63599"/>
    <w:rsid w:val="00F6446D"/>
    <w:rsid w:val="00F6462C"/>
    <w:rsid w:val="00F647BF"/>
    <w:rsid w:val="00F6626A"/>
    <w:rsid w:val="00F672A7"/>
    <w:rsid w:val="00F706A6"/>
    <w:rsid w:val="00F71781"/>
    <w:rsid w:val="00F71851"/>
    <w:rsid w:val="00F71BF9"/>
    <w:rsid w:val="00F7281B"/>
    <w:rsid w:val="00F75F4C"/>
    <w:rsid w:val="00F81ABC"/>
    <w:rsid w:val="00F8242D"/>
    <w:rsid w:val="00F82AE5"/>
    <w:rsid w:val="00F84259"/>
    <w:rsid w:val="00F844E3"/>
    <w:rsid w:val="00F862AE"/>
    <w:rsid w:val="00F9020B"/>
    <w:rsid w:val="00F9202D"/>
    <w:rsid w:val="00F937A7"/>
    <w:rsid w:val="00F94824"/>
    <w:rsid w:val="00F9705D"/>
    <w:rsid w:val="00FA0089"/>
    <w:rsid w:val="00FA16FA"/>
    <w:rsid w:val="00FA19CC"/>
    <w:rsid w:val="00FA1C4F"/>
    <w:rsid w:val="00FA22A4"/>
    <w:rsid w:val="00FA22AE"/>
    <w:rsid w:val="00FA2AB3"/>
    <w:rsid w:val="00FA2B4C"/>
    <w:rsid w:val="00FA2C58"/>
    <w:rsid w:val="00FA32A4"/>
    <w:rsid w:val="00FA49AB"/>
    <w:rsid w:val="00FA5FE2"/>
    <w:rsid w:val="00FB1364"/>
    <w:rsid w:val="00FB352A"/>
    <w:rsid w:val="00FB7DC3"/>
    <w:rsid w:val="00FC07ED"/>
    <w:rsid w:val="00FC1B6E"/>
    <w:rsid w:val="00FC3365"/>
    <w:rsid w:val="00FC468D"/>
    <w:rsid w:val="00FC5D60"/>
    <w:rsid w:val="00FC5EAD"/>
    <w:rsid w:val="00FC5FD0"/>
    <w:rsid w:val="00FD0DFB"/>
    <w:rsid w:val="00FD31CE"/>
    <w:rsid w:val="00FD4C97"/>
    <w:rsid w:val="00FD6EC6"/>
    <w:rsid w:val="00FD741B"/>
    <w:rsid w:val="00FE14EE"/>
    <w:rsid w:val="00FE16B5"/>
    <w:rsid w:val="00FE21AF"/>
    <w:rsid w:val="00FE3532"/>
    <w:rsid w:val="00FE38C7"/>
    <w:rsid w:val="00FE39C7"/>
    <w:rsid w:val="00FE39FA"/>
    <w:rsid w:val="00FE6528"/>
    <w:rsid w:val="00FE6662"/>
    <w:rsid w:val="00FF041A"/>
    <w:rsid w:val="00FF1AD6"/>
    <w:rsid w:val="00FF2307"/>
    <w:rsid w:val="00FF4213"/>
    <w:rsid w:val="00FF4D07"/>
    <w:rsid w:val="00FF5779"/>
    <w:rsid w:val="00FF66C8"/>
    <w:rsid w:val="0327EC69"/>
    <w:rsid w:val="04907425"/>
    <w:rsid w:val="05A256E5"/>
    <w:rsid w:val="067423C1"/>
    <w:rsid w:val="07A35934"/>
    <w:rsid w:val="08291739"/>
    <w:rsid w:val="09A70763"/>
    <w:rsid w:val="0A73A534"/>
    <w:rsid w:val="0B83FF05"/>
    <w:rsid w:val="0BB76CD5"/>
    <w:rsid w:val="0C4A5536"/>
    <w:rsid w:val="0D7DA81F"/>
    <w:rsid w:val="0E51548B"/>
    <w:rsid w:val="0EDE8B78"/>
    <w:rsid w:val="1018819F"/>
    <w:rsid w:val="11E466DA"/>
    <w:rsid w:val="11FBD274"/>
    <w:rsid w:val="124D122D"/>
    <w:rsid w:val="143FBD6E"/>
    <w:rsid w:val="147A8731"/>
    <w:rsid w:val="15507C9C"/>
    <w:rsid w:val="167BE5C6"/>
    <w:rsid w:val="1A3DB0EE"/>
    <w:rsid w:val="1A7E7AF3"/>
    <w:rsid w:val="1B45E346"/>
    <w:rsid w:val="1BF7B9BC"/>
    <w:rsid w:val="1BFAE721"/>
    <w:rsid w:val="1DA84C0D"/>
    <w:rsid w:val="1DC319AE"/>
    <w:rsid w:val="20908E12"/>
    <w:rsid w:val="21644E8B"/>
    <w:rsid w:val="21CC9125"/>
    <w:rsid w:val="22BDC0BB"/>
    <w:rsid w:val="22C7B696"/>
    <w:rsid w:val="240DB7C5"/>
    <w:rsid w:val="271CD8F8"/>
    <w:rsid w:val="27DF6945"/>
    <w:rsid w:val="28E066D8"/>
    <w:rsid w:val="2974E5D7"/>
    <w:rsid w:val="29AB2BBA"/>
    <w:rsid w:val="29F2D928"/>
    <w:rsid w:val="2A486FAE"/>
    <w:rsid w:val="2ABAC2E9"/>
    <w:rsid w:val="2AF58345"/>
    <w:rsid w:val="2B399CD9"/>
    <w:rsid w:val="2B7D9FCB"/>
    <w:rsid w:val="2C7CFC64"/>
    <w:rsid w:val="2D44A7F9"/>
    <w:rsid w:val="2DC34A72"/>
    <w:rsid w:val="30388049"/>
    <w:rsid w:val="30AF2D42"/>
    <w:rsid w:val="3386983C"/>
    <w:rsid w:val="341AD705"/>
    <w:rsid w:val="34250D52"/>
    <w:rsid w:val="3697F629"/>
    <w:rsid w:val="3766A127"/>
    <w:rsid w:val="38AAEF73"/>
    <w:rsid w:val="399A97CB"/>
    <w:rsid w:val="3CD29307"/>
    <w:rsid w:val="3DAF4DD3"/>
    <w:rsid w:val="41B617F2"/>
    <w:rsid w:val="422650DD"/>
    <w:rsid w:val="42FD59A9"/>
    <w:rsid w:val="44A5A4CD"/>
    <w:rsid w:val="464547AA"/>
    <w:rsid w:val="474BF2F3"/>
    <w:rsid w:val="47C3426A"/>
    <w:rsid w:val="48BC0F87"/>
    <w:rsid w:val="48E7E8B3"/>
    <w:rsid w:val="49597D24"/>
    <w:rsid w:val="496D6919"/>
    <w:rsid w:val="4B87349A"/>
    <w:rsid w:val="4C8ADCF3"/>
    <w:rsid w:val="4CA284CF"/>
    <w:rsid w:val="4D15AABC"/>
    <w:rsid w:val="4F0F013D"/>
    <w:rsid w:val="4F516C91"/>
    <w:rsid w:val="4FC5053E"/>
    <w:rsid w:val="4FED2B58"/>
    <w:rsid w:val="51511B75"/>
    <w:rsid w:val="53313B9A"/>
    <w:rsid w:val="569EB7E5"/>
    <w:rsid w:val="57124D38"/>
    <w:rsid w:val="572B9A5D"/>
    <w:rsid w:val="57944C7F"/>
    <w:rsid w:val="59C012EC"/>
    <w:rsid w:val="5AE50338"/>
    <w:rsid w:val="5AE98DCF"/>
    <w:rsid w:val="5C847E0C"/>
    <w:rsid w:val="5CE26707"/>
    <w:rsid w:val="5DF21CBA"/>
    <w:rsid w:val="5EAC83CA"/>
    <w:rsid w:val="607A1097"/>
    <w:rsid w:val="60EE8A6D"/>
    <w:rsid w:val="612A13EE"/>
    <w:rsid w:val="620537F8"/>
    <w:rsid w:val="639FA41D"/>
    <w:rsid w:val="653BBB11"/>
    <w:rsid w:val="685EFEB5"/>
    <w:rsid w:val="6A90069F"/>
    <w:rsid w:val="6CD56267"/>
    <w:rsid w:val="6D114DA3"/>
    <w:rsid w:val="6D2E54D7"/>
    <w:rsid w:val="6DA62762"/>
    <w:rsid w:val="6DCF412A"/>
    <w:rsid w:val="6EDBA7DD"/>
    <w:rsid w:val="71476734"/>
    <w:rsid w:val="71652829"/>
    <w:rsid w:val="72015946"/>
    <w:rsid w:val="724A7DC9"/>
    <w:rsid w:val="74DE63C0"/>
    <w:rsid w:val="76609421"/>
    <w:rsid w:val="77BC0B46"/>
    <w:rsid w:val="77C10F92"/>
    <w:rsid w:val="78BA0C10"/>
    <w:rsid w:val="78CA7419"/>
    <w:rsid w:val="792A03DA"/>
    <w:rsid w:val="79DBD532"/>
    <w:rsid w:val="79DDFC26"/>
    <w:rsid w:val="7A1E3E31"/>
    <w:rsid w:val="7A6888A1"/>
    <w:rsid w:val="7AC588ED"/>
    <w:rsid w:val="7ADBEA66"/>
    <w:rsid w:val="7FC97B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33824"/>
  <w15:docId w15:val="{676C6B3B-3DB6-40A1-B520-2A363D88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lang w:val="fr-FR"/>
    </w:rPr>
  </w:style>
  <w:style w:type="paragraph" w:styleId="Heading1">
    <w:name w:val="heading 1"/>
    <w:next w:val="Normal"/>
    <w:autoRedefine/>
    <w:qFormat/>
    <w:rsid w:val="004805FA"/>
    <w:pPr>
      <w:keepNext/>
      <w:jc w:val="both"/>
      <w:outlineLvl w:val="0"/>
    </w:pPr>
    <w:rPr>
      <w:rFonts w:ascii="Arial" w:hAnsi="Arial"/>
      <w:caps/>
    </w:rPr>
  </w:style>
  <w:style w:type="paragraph" w:styleId="Heading2">
    <w:name w:val="heading 2"/>
    <w:next w:val="Normal"/>
    <w:autoRedefine/>
    <w:qFormat/>
    <w:rsid w:val="00EF24D5"/>
    <w:pPr>
      <w:keepNext/>
      <w:jc w:val="both"/>
      <w:outlineLvl w:val="1"/>
    </w:pPr>
    <w:rPr>
      <w:rFonts w:ascii="Arial" w:hAnsi="Arial"/>
      <w:u w:val="single"/>
    </w:rPr>
  </w:style>
  <w:style w:type="paragraph" w:styleId="Heading3">
    <w:name w:val="heading 3"/>
    <w:next w:val="Normal"/>
    <w:link w:val="Heading3Char"/>
    <w:autoRedefine/>
    <w:qFormat/>
    <w:rsid w:val="003127BF"/>
    <w:pPr>
      <w:keepNext/>
      <w:tabs>
        <w:tab w:val="left" w:pos="720"/>
      </w:tabs>
      <w:jc w:val="both"/>
      <w:outlineLvl w:val="2"/>
    </w:pPr>
    <w:rPr>
      <w:rFonts w:ascii="Arial" w:hAnsi="Arial"/>
      <w:i/>
    </w:rPr>
  </w:style>
  <w:style w:type="paragraph" w:styleId="Heading4">
    <w:name w:val="heading 4"/>
    <w:next w:val="Normal"/>
    <w:autoRedefine/>
    <w:qFormat/>
    <w:rsid w:val="00E52427"/>
    <w:pPr>
      <w:keepNext/>
      <w:ind w:left="567"/>
      <w:jc w:val="both"/>
      <w:outlineLvl w:val="3"/>
    </w:pPr>
    <w:rPr>
      <w:rFonts w:ascii="Arial" w:hAnsi="Arial"/>
      <w:spacing w:val="-2"/>
      <w:sz w:val="18"/>
      <w:szCs w:val="18"/>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link w:val="FootnoteTextChar"/>
    <w:autoRedefine/>
    <w:rsid w:val="008A52E0"/>
    <w:pPr>
      <w:spacing w:before="60"/>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link w:val="pldetailsChar"/>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link w:val="TitleofdocChar"/>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basedOn w:val="Normal"/>
    <w:next w:val="Normal"/>
    <w:autoRedefine/>
    <w:uiPriority w:val="39"/>
    <w:rsid w:val="00C3093B"/>
    <w:pPr>
      <w:tabs>
        <w:tab w:val="right" w:leader="dot" w:pos="9639"/>
      </w:tabs>
      <w:spacing w:after="60"/>
      <w:ind w:left="568" w:right="284" w:hanging="284"/>
      <w:contextualSpacing/>
      <w:jc w:val="left"/>
    </w:pPr>
    <w:rPr>
      <w:sz w:val="18"/>
    </w:rPr>
  </w:style>
  <w:style w:type="paragraph" w:styleId="TOC3">
    <w:name w:val="toc 3"/>
    <w:next w:val="Normal"/>
    <w:autoRedefine/>
    <w:uiPriority w:val="39"/>
    <w:rsid w:val="00733A63"/>
    <w:pPr>
      <w:tabs>
        <w:tab w:val="right" w:leader="dot" w:pos="9639"/>
      </w:tabs>
      <w:spacing w:after="60"/>
      <w:ind w:left="851" w:right="567" w:hanging="284"/>
      <w:contextualSpacing/>
    </w:pPr>
    <w:rPr>
      <w:rFonts w:ascii="Arial" w:hAnsi="Arial"/>
      <w:i/>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basedOn w:val="Normal"/>
    <w:next w:val="Normal"/>
    <w:autoRedefine/>
    <w:uiPriority w:val="39"/>
    <w:rsid w:val="00C211B0"/>
    <w:pPr>
      <w:tabs>
        <w:tab w:val="right" w:leader="dot" w:pos="9639"/>
      </w:tabs>
      <w:spacing w:before="60" w:after="60"/>
      <w:ind w:left="567" w:right="567" w:hanging="567"/>
      <w:jc w:val="left"/>
    </w:pPr>
    <w:rPr>
      <w:caps/>
      <w:sz w:val="18"/>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TitleofdocChar">
    <w:name w:val="Title_of_doc Char"/>
    <w:link w:val="Titleofdoc0"/>
    <w:rsid w:val="007B73A9"/>
    <w:rPr>
      <w:rFonts w:ascii="Arial" w:hAnsi="Arial"/>
      <w:b/>
      <w:caps/>
    </w:rPr>
  </w:style>
  <w:style w:type="paragraph" w:customStyle="1" w:styleId="Sessiontwp">
    <w:name w:val="Session_twp"/>
    <w:basedOn w:val="Normal"/>
    <w:next w:val="Normal"/>
    <w:qFormat/>
    <w:rsid w:val="007B73A9"/>
    <w:rPr>
      <w:b/>
    </w:rPr>
  </w:style>
  <w:style w:type="paragraph" w:customStyle="1" w:styleId="Sessiontwpplacedate">
    <w:name w:val="Session_twp_place_date"/>
    <w:basedOn w:val="Normal"/>
    <w:next w:val="Normal"/>
    <w:qFormat/>
    <w:rsid w:val="007B73A9"/>
  </w:style>
  <w:style w:type="character" w:customStyle="1" w:styleId="FootnoteTextChar">
    <w:name w:val="Footnote Text Char"/>
    <w:basedOn w:val="DefaultParagraphFont"/>
    <w:link w:val="FootnoteText"/>
    <w:rsid w:val="008A52E0"/>
    <w:rPr>
      <w:rFonts w:ascii="Arial" w:hAnsi="Arial"/>
      <w:sz w:val="16"/>
    </w:rPr>
  </w:style>
  <w:style w:type="character" w:customStyle="1" w:styleId="Heading3Char">
    <w:name w:val="Heading 3 Char"/>
    <w:basedOn w:val="DefaultParagraphFont"/>
    <w:link w:val="Heading3"/>
    <w:rsid w:val="00EF24D5"/>
    <w:rPr>
      <w:rFonts w:ascii="Arial" w:hAnsi="Arial"/>
      <w:i/>
    </w:rPr>
  </w:style>
  <w:style w:type="paragraph" w:styleId="BodyTextIndent">
    <w:name w:val="Body Text Indent"/>
    <w:basedOn w:val="Normal"/>
    <w:link w:val="BodyTextIndentChar"/>
    <w:rsid w:val="00EF4B00"/>
    <w:pPr>
      <w:ind w:left="567"/>
      <w:jc w:val="left"/>
    </w:pPr>
    <w:rPr>
      <w:rFonts w:eastAsiaTheme="minorHAnsi" w:cs="Calibri"/>
      <w:szCs w:val="22"/>
      <w:lang w:val="es-ES_tradnl"/>
      <w14:ligatures w14:val="standardContextual"/>
    </w:rPr>
  </w:style>
  <w:style w:type="character" w:customStyle="1" w:styleId="BodyTextIndentChar">
    <w:name w:val="Body Text Indent Char"/>
    <w:basedOn w:val="DefaultParagraphFont"/>
    <w:link w:val="BodyTextIndent"/>
    <w:rsid w:val="00EF4B00"/>
    <w:rPr>
      <w:rFonts w:ascii="Arial" w:eastAsiaTheme="minorHAnsi" w:hAnsi="Arial" w:cs="Calibri"/>
      <w:szCs w:val="22"/>
      <w:lang w:val="es-ES_tradnl"/>
      <w14:ligatures w14:val="standardContextual"/>
    </w:rPr>
  </w:style>
  <w:style w:type="paragraph" w:styleId="ListParagraph">
    <w:name w:val="List Paragraph"/>
    <w:aliases w:val="auto_list_(i),List Paragraph1"/>
    <w:basedOn w:val="Normal"/>
    <w:link w:val="ListParagraphChar"/>
    <w:uiPriority w:val="34"/>
    <w:qFormat/>
    <w:rsid w:val="00EF4B00"/>
    <w:pPr>
      <w:ind w:left="720"/>
      <w:contextualSpacing/>
      <w:jc w:val="left"/>
    </w:pPr>
    <w:rPr>
      <w:rFonts w:eastAsiaTheme="minorHAnsi" w:cs="Calibri"/>
      <w:szCs w:val="22"/>
      <w14:ligatures w14:val="standardContextual"/>
    </w:rPr>
  </w:style>
  <w:style w:type="character" w:customStyle="1" w:styleId="ListParagraphChar">
    <w:name w:val="List Paragraph Char"/>
    <w:aliases w:val="auto_list_(i) Char,List Paragraph1 Char"/>
    <w:basedOn w:val="DefaultParagraphFont"/>
    <w:link w:val="ListParagraph"/>
    <w:uiPriority w:val="34"/>
    <w:rsid w:val="00EF4B00"/>
    <w:rPr>
      <w:rFonts w:ascii="Arial" w:eastAsiaTheme="minorHAnsi" w:hAnsi="Arial" w:cs="Calibri"/>
      <w:szCs w:val="22"/>
      <w14:ligatures w14:val="standardContextual"/>
    </w:rPr>
  </w:style>
  <w:style w:type="character" w:customStyle="1" w:styleId="pldetailsChar">
    <w:name w:val="pldetails Char"/>
    <w:link w:val="pldetails"/>
    <w:locked/>
    <w:rsid w:val="009C1313"/>
    <w:rPr>
      <w:rFonts w:ascii="Arial" w:hAnsi="Arial"/>
      <w:noProof/>
      <w:snapToGrid w:val="0"/>
    </w:rPr>
  </w:style>
  <w:style w:type="paragraph" w:styleId="Revision">
    <w:name w:val="Revision"/>
    <w:hidden/>
    <w:uiPriority w:val="99"/>
    <w:semiHidden/>
    <w:rsid w:val="00110AC8"/>
    <w:rPr>
      <w:rFonts w:ascii="Arial" w:hAnsi="Arial"/>
    </w:rPr>
  </w:style>
  <w:style w:type="paragraph" w:customStyle="1" w:styleId="Heading1Annex">
    <w:name w:val="Heading 1 Annex"/>
    <w:basedOn w:val="Heading1"/>
    <w:next w:val="Normal"/>
    <w:qFormat/>
    <w:rsid w:val="00A21829"/>
    <w:rPr>
      <w:lang w:eastAsia="fr-FR"/>
    </w:rPr>
  </w:style>
  <w:style w:type="paragraph" w:customStyle="1" w:styleId="Heading2Annex">
    <w:name w:val="Heading 2 Annex"/>
    <w:basedOn w:val="Heading2"/>
    <w:qFormat/>
    <w:rsid w:val="00FE6528"/>
    <w:rPr>
      <w:lang w:eastAsia="fr-FR"/>
    </w:rPr>
  </w:style>
  <w:style w:type="paragraph" w:customStyle="1" w:styleId="Heading3Annex">
    <w:name w:val="Heading 3 Annex"/>
    <w:basedOn w:val="Heading3"/>
    <w:qFormat/>
    <w:rsid w:val="00FE6528"/>
    <w:rPr>
      <w:lang w:eastAsia="fr-FR"/>
    </w:rPr>
  </w:style>
  <w:style w:type="character" w:styleId="UnresolvedMention">
    <w:name w:val="Unresolved Mention"/>
    <w:basedOn w:val="DefaultParagraphFont"/>
    <w:uiPriority w:val="99"/>
    <w:semiHidden/>
    <w:unhideWhenUsed/>
    <w:rsid w:val="0001494C"/>
    <w:rPr>
      <w:color w:val="605E5C"/>
      <w:shd w:val="clear" w:color="auto" w:fill="E1DFDD"/>
    </w:rPr>
  </w:style>
  <w:style w:type="character" w:styleId="CommentReference">
    <w:name w:val="annotation reference"/>
    <w:basedOn w:val="DefaultParagraphFont"/>
    <w:semiHidden/>
    <w:unhideWhenUsed/>
    <w:rsid w:val="00921232"/>
    <w:rPr>
      <w:sz w:val="16"/>
      <w:szCs w:val="16"/>
    </w:rPr>
  </w:style>
  <w:style w:type="paragraph" w:styleId="CommentText">
    <w:name w:val="annotation text"/>
    <w:basedOn w:val="Normal"/>
    <w:link w:val="CommentTextChar"/>
    <w:unhideWhenUsed/>
    <w:rsid w:val="00921232"/>
  </w:style>
  <w:style w:type="character" w:customStyle="1" w:styleId="CommentTextChar">
    <w:name w:val="Comment Text Char"/>
    <w:basedOn w:val="DefaultParagraphFont"/>
    <w:link w:val="CommentText"/>
    <w:rsid w:val="00921232"/>
    <w:rPr>
      <w:rFonts w:ascii="Arial" w:hAnsi="Arial"/>
    </w:rPr>
  </w:style>
  <w:style w:type="paragraph" w:styleId="CommentSubject">
    <w:name w:val="annotation subject"/>
    <w:basedOn w:val="CommentText"/>
    <w:next w:val="CommentText"/>
    <w:link w:val="CommentSubjectChar"/>
    <w:semiHidden/>
    <w:unhideWhenUsed/>
    <w:rsid w:val="00921232"/>
    <w:rPr>
      <w:b/>
      <w:bCs/>
    </w:rPr>
  </w:style>
  <w:style w:type="character" w:customStyle="1" w:styleId="CommentSubjectChar">
    <w:name w:val="Comment Subject Char"/>
    <w:basedOn w:val="CommentTextChar"/>
    <w:link w:val="CommentSubject"/>
    <w:semiHidden/>
    <w:rsid w:val="00921232"/>
    <w:rPr>
      <w:rFonts w:ascii="Arial" w:hAnsi="Arial"/>
      <w:b/>
      <w:bCs/>
    </w:rPr>
  </w:style>
  <w:style w:type="character" w:styleId="Mention">
    <w:name w:val="Mention"/>
    <w:basedOn w:val="DefaultParagraphFont"/>
    <w:uiPriority w:val="99"/>
    <w:unhideWhenUsed/>
    <w:rsid w:val="003C2A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1380">
      <w:bodyDiv w:val="1"/>
      <w:marLeft w:val="0"/>
      <w:marRight w:val="0"/>
      <w:marTop w:val="0"/>
      <w:marBottom w:val="0"/>
      <w:divBdr>
        <w:top w:val="none" w:sz="0" w:space="0" w:color="auto"/>
        <w:left w:val="none" w:sz="0" w:space="0" w:color="auto"/>
        <w:bottom w:val="none" w:sz="0" w:space="0" w:color="auto"/>
        <w:right w:val="none" w:sz="0" w:space="0" w:color="auto"/>
      </w:divBdr>
    </w:div>
    <w:div w:id="1298955907">
      <w:bodyDiv w:val="1"/>
      <w:marLeft w:val="0"/>
      <w:marRight w:val="0"/>
      <w:marTop w:val="0"/>
      <w:marBottom w:val="0"/>
      <w:divBdr>
        <w:top w:val="none" w:sz="0" w:space="0" w:color="auto"/>
        <w:left w:val="none" w:sz="0" w:space="0" w:color="auto"/>
        <w:bottom w:val="none" w:sz="0" w:space="0" w:color="auto"/>
        <w:right w:val="none" w:sz="0" w:space="0" w:color="auto"/>
      </w:divBdr>
    </w:div>
    <w:div w:id="1789741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pov.int/edocs/mdocs/upov/en/tc_55/tc_55_7.pdf" TargetMode="External"/><Relationship Id="rId18" Type="http://schemas.openxmlformats.org/officeDocument/2006/relationships/hyperlink" Target="https://www.upov.int/meetings/en/doc_details.jsp?meeting_id=67786&amp;doc_id=586962"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pvo.europa.eu/en/cpvo-policy-status-plant-material-used-dus-testing-purposes" TargetMode="External"/><Relationship Id="rId17" Type="http://schemas.openxmlformats.org/officeDocument/2006/relationships/hyperlink" Target="https://www.upov.int/meetings/en/doc_details.jsp?meeting_id=67786&amp;doc_id=586962" TargetMode="External"/><Relationship Id="rId25" Type="http://schemas.openxmlformats.org/officeDocument/2006/relationships/hyperlink" Target="https://doi.org/10.3030/817970" TargetMode="External"/><Relationship Id="rId2" Type="http://schemas.openxmlformats.org/officeDocument/2006/relationships/customXml" Target="../customXml/item2.xml"/><Relationship Id="rId16" Type="http://schemas.openxmlformats.org/officeDocument/2006/relationships/hyperlink" Target="https://cpvo.europa.eu/en/cpvo-policy-status-plant-material-used-dus-testing-purposes"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3030/817970" TargetMode="External"/><Relationship Id="rId5" Type="http://schemas.openxmlformats.org/officeDocument/2006/relationships/numbering" Target="numbering.xml"/><Relationship Id="rId15" Type="http://schemas.openxmlformats.org/officeDocument/2006/relationships/hyperlink" Target="https://www.upov.int/edocs/tgpdocs/en/tgp_5_section_1.pdf"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lay.google.com/store/apps/details?id=com.wur.invite.morph_app&amp;hl=en-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pov.int/edocs/infdocs/en/upov_inf_15.pdf" TargetMode="External"/><Relationship Id="rId22" Type="http://schemas.openxmlformats.org/officeDocument/2006/relationships/footer" Target="footer2.xml"/><Relationship Id="rId27"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SESSIONS_docs\sessions_2024\templates\routing_slip_with_doc_SESSIONS_202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5902601C100489B1F49B37D492AF5" ma:contentTypeVersion="3" ma:contentTypeDescription="Create a new document." ma:contentTypeScope="" ma:versionID="154ce688bf457e80fb1b2822bc60b085">
  <xsd:schema xmlns:xsd="http://www.w3.org/2001/XMLSchema" xmlns:xs="http://www.w3.org/2001/XMLSchema" xmlns:p="http://schemas.microsoft.com/office/2006/metadata/properties" xmlns:ns2="185ede89-064b-44e6-abc2-21e41e6af941" targetNamespace="http://schemas.microsoft.com/office/2006/metadata/properties" ma:root="true" ma:fieldsID="2e8b7abcf56edb438094a138cc2a90c8" ns2:_="">
    <xsd:import namespace="185ede89-064b-44e6-abc2-21e41e6af94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ede89-064b-44e6-abc2-21e41e6af9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46C0E-9B12-44F0-9142-FA3D1895E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ede89-064b-44e6-abc2-21e41e6af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1EB87C-D112-4C07-B029-C8E77623FB20}">
  <ds:schemaRefs>
    <ds:schemaRef ds:uri="http://schemas.microsoft.com/sharepoint/v3/contenttype/forms"/>
  </ds:schemaRefs>
</ds:datastoreItem>
</file>

<file path=customXml/itemProps3.xml><?xml version="1.0" encoding="utf-8"?>
<ds:datastoreItem xmlns:ds="http://schemas.openxmlformats.org/officeDocument/2006/customXml" ds:itemID="{EDEFC862-1DEB-4AA8-8CE2-4A5A44732B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47F104-B5AB-46CA-B442-640F44C4A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routing_slip_with_doc_SESSIONS_2024.dotm</Template>
  <TotalTime>45</TotalTime>
  <Pages>21</Pages>
  <Words>9822</Words>
  <Characters>60076</Characters>
  <Application>Microsoft Office Word</Application>
  <DocSecurity>0</DocSecurity>
  <Lines>1623</Lines>
  <Paragraphs>635</Paragraphs>
  <ScaleCrop>false</ScaleCrop>
  <HeadingPairs>
    <vt:vector size="2" baseType="variant">
      <vt:variant>
        <vt:lpstr>Title</vt:lpstr>
      </vt:variant>
      <vt:variant>
        <vt:i4>1</vt:i4>
      </vt:variant>
    </vt:vector>
  </HeadingPairs>
  <TitlesOfParts>
    <vt:vector size="1" baseType="lpstr">
      <vt:lpstr>SESSIONS/2025/6</vt:lpstr>
    </vt:vector>
  </TitlesOfParts>
  <Company>UPOV</Company>
  <LinksUpToDate>false</LinksUpToDate>
  <CharactersWithSpaces>69263</CharactersWithSpaces>
  <SharedDoc>false</SharedDoc>
  <HLinks>
    <vt:vector size="228" baseType="variant">
      <vt:variant>
        <vt:i4>2752610</vt:i4>
      </vt:variant>
      <vt:variant>
        <vt:i4>379</vt:i4>
      </vt:variant>
      <vt:variant>
        <vt:i4>0</vt:i4>
      </vt:variant>
      <vt:variant>
        <vt:i4>5</vt:i4>
      </vt:variant>
      <vt:variant>
        <vt:lpwstr>https://doi.org/10.3030/817970</vt:lpwstr>
      </vt:variant>
      <vt:variant>
        <vt:lpwstr/>
      </vt:variant>
      <vt:variant>
        <vt:i4>2752610</vt:i4>
      </vt:variant>
      <vt:variant>
        <vt:i4>376</vt:i4>
      </vt:variant>
      <vt:variant>
        <vt:i4>0</vt:i4>
      </vt:variant>
      <vt:variant>
        <vt:i4>5</vt:i4>
      </vt:variant>
      <vt:variant>
        <vt:lpwstr>https://doi.org/10.3030/817970</vt:lpwstr>
      </vt:variant>
      <vt:variant>
        <vt:lpwstr/>
      </vt:variant>
      <vt:variant>
        <vt:i4>1769530</vt:i4>
      </vt:variant>
      <vt:variant>
        <vt:i4>369</vt:i4>
      </vt:variant>
      <vt:variant>
        <vt:i4>0</vt:i4>
      </vt:variant>
      <vt:variant>
        <vt:i4>5</vt:i4>
      </vt:variant>
      <vt:variant>
        <vt:lpwstr/>
      </vt:variant>
      <vt:variant>
        <vt:lpwstr>_Toc189576576</vt:lpwstr>
      </vt:variant>
      <vt:variant>
        <vt:i4>1769530</vt:i4>
      </vt:variant>
      <vt:variant>
        <vt:i4>363</vt:i4>
      </vt:variant>
      <vt:variant>
        <vt:i4>0</vt:i4>
      </vt:variant>
      <vt:variant>
        <vt:i4>5</vt:i4>
      </vt:variant>
      <vt:variant>
        <vt:lpwstr/>
      </vt:variant>
      <vt:variant>
        <vt:lpwstr>_Toc189576575</vt:lpwstr>
      </vt:variant>
      <vt:variant>
        <vt:i4>1769530</vt:i4>
      </vt:variant>
      <vt:variant>
        <vt:i4>357</vt:i4>
      </vt:variant>
      <vt:variant>
        <vt:i4>0</vt:i4>
      </vt:variant>
      <vt:variant>
        <vt:i4>5</vt:i4>
      </vt:variant>
      <vt:variant>
        <vt:lpwstr/>
      </vt:variant>
      <vt:variant>
        <vt:lpwstr>_Toc189576574</vt:lpwstr>
      </vt:variant>
      <vt:variant>
        <vt:i4>1769530</vt:i4>
      </vt:variant>
      <vt:variant>
        <vt:i4>351</vt:i4>
      </vt:variant>
      <vt:variant>
        <vt:i4>0</vt:i4>
      </vt:variant>
      <vt:variant>
        <vt:i4>5</vt:i4>
      </vt:variant>
      <vt:variant>
        <vt:lpwstr/>
      </vt:variant>
      <vt:variant>
        <vt:lpwstr>_Toc189576573</vt:lpwstr>
      </vt:variant>
      <vt:variant>
        <vt:i4>1769530</vt:i4>
      </vt:variant>
      <vt:variant>
        <vt:i4>345</vt:i4>
      </vt:variant>
      <vt:variant>
        <vt:i4>0</vt:i4>
      </vt:variant>
      <vt:variant>
        <vt:i4>5</vt:i4>
      </vt:variant>
      <vt:variant>
        <vt:lpwstr/>
      </vt:variant>
      <vt:variant>
        <vt:lpwstr>_Toc189576572</vt:lpwstr>
      </vt:variant>
      <vt:variant>
        <vt:i4>1769530</vt:i4>
      </vt:variant>
      <vt:variant>
        <vt:i4>339</vt:i4>
      </vt:variant>
      <vt:variant>
        <vt:i4>0</vt:i4>
      </vt:variant>
      <vt:variant>
        <vt:i4>5</vt:i4>
      </vt:variant>
      <vt:variant>
        <vt:lpwstr/>
      </vt:variant>
      <vt:variant>
        <vt:lpwstr>_Toc189576571</vt:lpwstr>
      </vt:variant>
      <vt:variant>
        <vt:i4>1769530</vt:i4>
      </vt:variant>
      <vt:variant>
        <vt:i4>333</vt:i4>
      </vt:variant>
      <vt:variant>
        <vt:i4>0</vt:i4>
      </vt:variant>
      <vt:variant>
        <vt:i4>5</vt:i4>
      </vt:variant>
      <vt:variant>
        <vt:lpwstr/>
      </vt:variant>
      <vt:variant>
        <vt:lpwstr>_Toc189576570</vt:lpwstr>
      </vt:variant>
      <vt:variant>
        <vt:i4>1703994</vt:i4>
      </vt:variant>
      <vt:variant>
        <vt:i4>327</vt:i4>
      </vt:variant>
      <vt:variant>
        <vt:i4>0</vt:i4>
      </vt:variant>
      <vt:variant>
        <vt:i4>5</vt:i4>
      </vt:variant>
      <vt:variant>
        <vt:lpwstr/>
      </vt:variant>
      <vt:variant>
        <vt:lpwstr>_Toc189576569</vt:lpwstr>
      </vt:variant>
      <vt:variant>
        <vt:i4>1703994</vt:i4>
      </vt:variant>
      <vt:variant>
        <vt:i4>321</vt:i4>
      </vt:variant>
      <vt:variant>
        <vt:i4>0</vt:i4>
      </vt:variant>
      <vt:variant>
        <vt:i4>5</vt:i4>
      </vt:variant>
      <vt:variant>
        <vt:lpwstr/>
      </vt:variant>
      <vt:variant>
        <vt:lpwstr>_Toc189576568</vt:lpwstr>
      </vt:variant>
      <vt:variant>
        <vt:i4>1703994</vt:i4>
      </vt:variant>
      <vt:variant>
        <vt:i4>315</vt:i4>
      </vt:variant>
      <vt:variant>
        <vt:i4>0</vt:i4>
      </vt:variant>
      <vt:variant>
        <vt:i4>5</vt:i4>
      </vt:variant>
      <vt:variant>
        <vt:lpwstr/>
      </vt:variant>
      <vt:variant>
        <vt:lpwstr>_Toc189576567</vt:lpwstr>
      </vt:variant>
      <vt:variant>
        <vt:i4>1703994</vt:i4>
      </vt:variant>
      <vt:variant>
        <vt:i4>309</vt:i4>
      </vt:variant>
      <vt:variant>
        <vt:i4>0</vt:i4>
      </vt:variant>
      <vt:variant>
        <vt:i4>5</vt:i4>
      </vt:variant>
      <vt:variant>
        <vt:lpwstr/>
      </vt:variant>
      <vt:variant>
        <vt:lpwstr>_Toc189576566</vt:lpwstr>
      </vt:variant>
      <vt:variant>
        <vt:i4>1703994</vt:i4>
      </vt:variant>
      <vt:variant>
        <vt:i4>303</vt:i4>
      </vt:variant>
      <vt:variant>
        <vt:i4>0</vt:i4>
      </vt:variant>
      <vt:variant>
        <vt:i4>5</vt:i4>
      </vt:variant>
      <vt:variant>
        <vt:lpwstr/>
      </vt:variant>
      <vt:variant>
        <vt:lpwstr>_Toc189576565</vt:lpwstr>
      </vt:variant>
      <vt:variant>
        <vt:i4>1703994</vt:i4>
      </vt:variant>
      <vt:variant>
        <vt:i4>297</vt:i4>
      </vt:variant>
      <vt:variant>
        <vt:i4>0</vt:i4>
      </vt:variant>
      <vt:variant>
        <vt:i4>5</vt:i4>
      </vt:variant>
      <vt:variant>
        <vt:lpwstr/>
      </vt:variant>
      <vt:variant>
        <vt:lpwstr>_Toc189576564</vt:lpwstr>
      </vt:variant>
      <vt:variant>
        <vt:i4>1703994</vt:i4>
      </vt:variant>
      <vt:variant>
        <vt:i4>291</vt:i4>
      </vt:variant>
      <vt:variant>
        <vt:i4>0</vt:i4>
      </vt:variant>
      <vt:variant>
        <vt:i4>5</vt:i4>
      </vt:variant>
      <vt:variant>
        <vt:lpwstr/>
      </vt:variant>
      <vt:variant>
        <vt:lpwstr>_Toc189576563</vt:lpwstr>
      </vt:variant>
      <vt:variant>
        <vt:i4>1703994</vt:i4>
      </vt:variant>
      <vt:variant>
        <vt:i4>285</vt:i4>
      </vt:variant>
      <vt:variant>
        <vt:i4>0</vt:i4>
      </vt:variant>
      <vt:variant>
        <vt:i4>5</vt:i4>
      </vt:variant>
      <vt:variant>
        <vt:lpwstr/>
      </vt:variant>
      <vt:variant>
        <vt:lpwstr>_Toc189576562</vt:lpwstr>
      </vt:variant>
      <vt:variant>
        <vt:i4>1703994</vt:i4>
      </vt:variant>
      <vt:variant>
        <vt:i4>279</vt:i4>
      </vt:variant>
      <vt:variant>
        <vt:i4>0</vt:i4>
      </vt:variant>
      <vt:variant>
        <vt:i4>5</vt:i4>
      </vt:variant>
      <vt:variant>
        <vt:lpwstr/>
      </vt:variant>
      <vt:variant>
        <vt:lpwstr>_Toc189576561</vt:lpwstr>
      </vt:variant>
      <vt:variant>
        <vt:i4>1703994</vt:i4>
      </vt:variant>
      <vt:variant>
        <vt:i4>273</vt:i4>
      </vt:variant>
      <vt:variant>
        <vt:i4>0</vt:i4>
      </vt:variant>
      <vt:variant>
        <vt:i4>5</vt:i4>
      </vt:variant>
      <vt:variant>
        <vt:lpwstr/>
      </vt:variant>
      <vt:variant>
        <vt:lpwstr>_Toc189576560</vt:lpwstr>
      </vt:variant>
      <vt:variant>
        <vt:i4>1638458</vt:i4>
      </vt:variant>
      <vt:variant>
        <vt:i4>267</vt:i4>
      </vt:variant>
      <vt:variant>
        <vt:i4>0</vt:i4>
      </vt:variant>
      <vt:variant>
        <vt:i4>5</vt:i4>
      </vt:variant>
      <vt:variant>
        <vt:lpwstr/>
      </vt:variant>
      <vt:variant>
        <vt:lpwstr>_Toc189576559</vt:lpwstr>
      </vt:variant>
      <vt:variant>
        <vt:i4>1638458</vt:i4>
      </vt:variant>
      <vt:variant>
        <vt:i4>261</vt:i4>
      </vt:variant>
      <vt:variant>
        <vt:i4>0</vt:i4>
      </vt:variant>
      <vt:variant>
        <vt:i4>5</vt:i4>
      </vt:variant>
      <vt:variant>
        <vt:lpwstr/>
      </vt:variant>
      <vt:variant>
        <vt:lpwstr>_Toc189576558</vt:lpwstr>
      </vt:variant>
      <vt:variant>
        <vt:i4>1638458</vt:i4>
      </vt:variant>
      <vt:variant>
        <vt:i4>255</vt:i4>
      </vt:variant>
      <vt:variant>
        <vt:i4>0</vt:i4>
      </vt:variant>
      <vt:variant>
        <vt:i4>5</vt:i4>
      </vt:variant>
      <vt:variant>
        <vt:lpwstr/>
      </vt:variant>
      <vt:variant>
        <vt:lpwstr>_Toc189576557</vt:lpwstr>
      </vt:variant>
      <vt:variant>
        <vt:i4>1638458</vt:i4>
      </vt:variant>
      <vt:variant>
        <vt:i4>249</vt:i4>
      </vt:variant>
      <vt:variant>
        <vt:i4>0</vt:i4>
      </vt:variant>
      <vt:variant>
        <vt:i4>5</vt:i4>
      </vt:variant>
      <vt:variant>
        <vt:lpwstr/>
      </vt:variant>
      <vt:variant>
        <vt:lpwstr>_Toc189576556</vt:lpwstr>
      </vt:variant>
      <vt:variant>
        <vt:i4>1638458</vt:i4>
      </vt:variant>
      <vt:variant>
        <vt:i4>243</vt:i4>
      </vt:variant>
      <vt:variant>
        <vt:i4>0</vt:i4>
      </vt:variant>
      <vt:variant>
        <vt:i4>5</vt:i4>
      </vt:variant>
      <vt:variant>
        <vt:lpwstr/>
      </vt:variant>
      <vt:variant>
        <vt:lpwstr>_Toc189576555</vt:lpwstr>
      </vt:variant>
      <vt:variant>
        <vt:i4>1638458</vt:i4>
      </vt:variant>
      <vt:variant>
        <vt:i4>237</vt:i4>
      </vt:variant>
      <vt:variant>
        <vt:i4>0</vt:i4>
      </vt:variant>
      <vt:variant>
        <vt:i4>5</vt:i4>
      </vt:variant>
      <vt:variant>
        <vt:lpwstr/>
      </vt:variant>
      <vt:variant>
        <vt:lpwstr>_Toc189576554</vt:lpwstr>
      </vt:variant>
      <vt:variant>
        <vt:i4>1638458</vt:i4>
      </vt:variant>
      <vt:variant>
        <vt:i4>231</vt:i4>
      </vt:variant>
      <vt:variant>
        <vt:i4>0</vt:i4>
      </vt:variant>
      <vt:variant>
        <vt:i4>5</vt:i4>
      </vt:variant>
      <vt:variant>
        <vt:lpwstr/>
      </vt:variant>
      <vt:variant>
        <vt:lpwstr>_Toc189576553</vt:lpwstr>
      </vt:variant>
      <vt:variant>
        <vt:i4>1638458</vt:i4>
      </vt:variant>
      <vt:variant>
        <vt:i4>225</vt:i4>
      </vt:variant>
      <vt:variant>
        <vt:i4>0</vt:i4>
      </vt:variant>
      <vt:variant>
        <vt:i4>5</vt:i4>
      </vt:variant>
      <vt:variant>
        <vt:lpwstr/>
      </vt:variant>
      <vt:variant>
        <vt:lpwstr>_Toc189576552</vt:lpwstr>
      </vt:variant>
      <vt:variant>
        <vt:i4>1638458</vt:i4>
      </vt:variant>
      <vt:variant>
        <vt:i4>219</vt:i4>
      </vt:variant>
      <vt:variant>
        <vt:i4>0</vt:i4>
      </vt:variant>
      <vt:variant>
        <vt:i4>5</vt:i4>
      </vt:variant>
      <vt:variant>
        <vt:lpwstr/>
      </vt:variant>
      <vt:variant>
        <vt:lpwstr>_Toc189576551</vt:lpwstr>
      </vt:variant>
      <vt:variant>
        <vt:i4>2752532</vt:i4>
      </vt:variant>
      <vt:variant>
        <vt:i4>214</vt:i4>
      </vt:variant>
      <vt:variant>
        <vt:i4>0</vt:i4>
      </vt:variant>
      <vt:variant>
        <vt:i4>5</vt:i4>
      </vt:variant>
      <vt:variant>
        <vt:lpwstr>https://play.google.com/store/apps/details?id=com.wur.invite.morph_app&amp;hl=en-US</vt:lpwstr>
      </vt:variant>
      <vt:variant>
        <vt:lpwstr/>
      </vt:variant>
      <vt:variant>
        <vt:i4>1638504</vt:i4>
      </vt:variant>
      <vt:variant>
        <vt:i4>211</vt:i4>
      </vt:variant>
      <vt:variant>
        <vt:i4>0</vt:i4>
      </vt:variant>
      <vt:variant>
        <vt:i4>5</vt:i4>
      </vt:variant>
      <vt:variant>
        <vt:lpwstr>https://www.upov.int/meetings/en/doc_details.jsp?meeting_id=67786&amp;doc_id=586962</vt:lpwstr>
      </vt:variant>
      <vt:variant>
        <vt:lpwstr/>
      </vt:variant>
      <vt:variant>
        <vt:i4>1638504</vt:i4>
      </vt:variant>
      <vt:variant>
        <vt:i4>202</vt:i4>
      </vt:variant>
      <vt:variant>
        <vt:i4>0</vt:i4>
      </vt:variant>
      <vt:variant>
        <vt:i4>5</vt:i4>
      </vt:variant>
      <vt:variant>
        <vt:lpwstr>https://www.upov.int/meetings/en/doc_details.jsp?meeting_id=67786&amp;doc_id=586962</vt:lpwstr>
      </vt:variant>
      <vt:variant>
        <vt:lpwstr/>
      </vt:variant>
      <vt:variant>
        <vt:i4>1638504</vt:i4>
      </vt:variant>
      <vt:variant>
        <vt:i4>173</vt:i4>
      </vt:variant>
      <vt:variant>
        <vt:i4>0</vt:i4>
      </vt:variant>
      <vt:variant>
        <vt:i4>5</vt:i4>
      </vt:variant>
      <vt:variant>
        <vt:lpwstr>https://www.upov.int/meetings/en/doc_details.jsp?meeting_id=67786&amp;doc_id=586962</vt:lpwstr>
      </vt:variant>
      <vt:variant>
        <vt:lpwstr/>
      </vt:variant>
      <vt:variant>
        <vt:i4>327750</vt:i4>
      </vt:variant>
      <vt:variant>
        <vt:i4>156</vt:i4>
      </vt:variant>
      <vt:variant>
        <vt:i4>0</vt:i4>
      </vt:variant>
      <vt:variant>
        <vt:i4>5</vt:i4>
      </vt:variant>
      <vt:variant>
        <vt:lpwstr>https://cpvo.europa.eu/en/cpvo-policy-status-plant-material-used-dus-testing-purposes</vt:lpwstr>
      </vt:variant>
      <vt:variant>
        <vt:lpwstr/>
      </vt:variant>
      <vt:variant>
        <vt:i4>7602267</vt:i4>
      </vt:variant>
      <vt:variant>
        <vt:i4>149</vt:i4>
      </vt:variant>
      <vt:variant>
        <vt:i4>0</vt:i4>
      </vt:variant>
      <vt:variant>
        <vt:i4>5</vt:i4>
      </vt:variant>
      <vt:variant>
        <vt:lpwstr>https://www.upov.int/edocs/tgpdocs/en/tgp_5_section_1.pdf</vt:lpwstr>
      </vt:variant>
      <vt:variant>
        <vt:lpwstr/>
      </vt:variant>
      <vt:variant>
        <vt:i4>65540</vt:i4>
      </vt:variant>
      <vt:variant>
        <vt:i4>146</vt:i4>
      </vt:variant>
      <vt:variant>
        <vt:i4>0</vt:i4>
      </vt:variant>
      <vt:variant>
        <vt:i4>5</vt:i4>
      </vt:variant>
      <vt:variant>
        <vt:lpwstr>https://www.upov.int/edocs/infdocs/en/upov_inf_15.pdf</vt:lpwstr>
      </vt:variant>
      <vt:variant>
        <vt:lpwstr/>
      </vt:variant>
      <vt:variant>
        <vt:i4>327750</vt:i4>
      </vt:variant>
      <vt:variant>
        <vt:i4>135</vt:i4>
      </vt:variant>
      <vt:variant>
        <vt:i4>0</vt:i4>
      </vt:variant>
      <vt:variant>
        <vt:i4>5</vt:i4>
      </vt:variant>
      <vt:variant>
        <vt:lpwstr>https://cpvo.europa.eu/en/cpvo-policy-status-plant-material-used-dus-testing-purposes</vt:lpwstr>
      </vt:variant>
      <vt:variant>
        <vt:lpwstr/>
      </vt:variant>
      <vt:variant>
        <vt:i4>2162755</vt:i4>
      </vt:variant>
      <vt:variant>
        <vt:i4>116</vt:i4>
      </vt:variant>
      <vt:variant>
        <vt:i4>0</vt:i4>
      </vt:variant>
      <vt:variant>
        <vt:i4>5</vt:i4>
      </vt:variant>
      <vt:variant>
        <vt:lpwstr>https://www.upov.int/edocs/mdocs/upov/en/tc_55/tc_55_7.pdf</vt:lpwstr>
      </vt:variant>
      <vt:variant>
        <vt:lpwstr/>
      </vt:variant>
      <vt:variant>
        <vt:i4>6488131</vt:i4>
      </vt:variant>
      <vt:variant>
        <vt:i4>4</vt:i4>
      </vt:variant>
      <vt:variant>
        <vt:i4>0</vt:i4>
      </vt:variant>
      <vt:variant>
        <vt:i4>5</vt:i4>
      </vt:variant>
      <vt:variant>
        <vt:lpwstr>https://www.upov.int/edocs/tgpdocs/en/tgp_15.pdf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SESSIONS/2025/6</dc:title>
  <dc:creator>SANCHEZ VIZCAINO GOMEZ Rosa Maria</dc:creator>
  <cp:keywords>, docId:EE6C77BFA8EEA8194984830EFEC6D5A4</cp:keywords>
  <cp:lastModifiedBy>SANCHEZ VIZCAINO GOMEZ Rosa Maria</cp:lastModifiedBy>
  <cp:revision>32</cp:revision>
  <cp:lastPrinted>2025-07-21T16:08:00Z</cp:lastPrinted>
  <dcterms:created xsi:type="dcterms:W3CDTF">2025-10-06T12:34:00Z</dcterms:created>
  <dcterms:modified xsi:type="dcterms:W3CDTF">2025-10-06T16:06:00Z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0x010100A6D5902601C100489B1F49B37D492AF5</vt:lpwstr>
  </property>
  <property fmtid="{D5CDD505-2E9C-101B-9397-08002B2CF9AE}" pid="3" name="ClassificationContentMarkingFooterShapeIds">
    <vt:lpwstr>701a222f,46dca7f8,d938790</vt:lpwstr>
  </property>
  <property fmtid="{D5CDD505-2E9C-101B-9397-08002B2CF9AE}" pid="4" name="ClassificationContentMarkingFooterFontProps">
    <vt:lpwstr>#000000,10,Aptos</vt:lpwstr>
  </property>
  <property fmtid="{D5CDD505-2E9C-101B-9397-08002B2CF9AE}" pid="5" name="ClassificationContentMarkingFooterText">
    <vt:lpwstr>WIPO FOR OFFICIAL USE ONLY </vt:lpwstr>
  </property>
  <property fmtid="{D5CDD505-2E9C-101B-9397-08002B2CF9AE}" pid="6" name="MSIP_Label_bfc084f7-b690-4c43-8ee6-d475b6d3461d_Enabled">
    <vt:lpwstr>true</vt:lpwstr>
  </property>
  <property fmtid="{D5CDD505-2E9C-101B-9397-08002B2CF9AE}" pid="7" name="MSIP_Label_bfc084f7-b690-4c43-8ee6-d475b6d3461d_SetDate">
    <vt:lpwstr>2025-08-13T11:48:55Z</vt:lpwstr>
  </property>
  <property fmtid="{D5CDD505-2E9C-101B-9397-08002B2CF9AE}" pid="8" name="MSIP_Label_bfc084f7-b690-4c43-8ee6-d475b6d3461d_Method">
    <vt:lpwstr>Standard</vt:lpwstr>
  </property>
  <property fmtid="{D5CDD505-2E9C-101B-9397-08002B2CF9AE}" pid="9" name="MSIP_Label_bfc084f7-b690-4c43-8ee6-d475b6d3461d_Name">
    <vt:lpwstr>FOR OFFICIAL USE ONLY</vt:lpwstr>
  </property>
  <property fmtid="{D5CDD505-2E9C-101B-9397-08002B2CF9AE}" pid="10" name="MSIP_Label_bfc084f7-b690-4c43-8ee6-d475b6d3461d_SiteId">
    <vt:lpwstr>faa31b06-8ccc-48c9-867f-f7510dd11c02</vt:lpwstr>
  </property>
  <property fmtid="{D5CDD505-2E9C-101B-9397-08002B2CF9AE}" pid="11" name="MSIP_Label_bfc084f7-b690-4c43-8ee6-d475b6d3461d_ActionId">
    <vt:lpwstr>70f1b218-f72a-4676-b3ad-a332e7aae2a1</vt:lpwstr>
  </property>
  <property fmtid="{D5CDD505-2E9C-101B-9397-08002B2CF9AE}" pid="12" name="MSIP_Label_bfc084f7-b690-4c43-8ee6-d475b6d3461d_ContentBits">
    <vt:lpwstr>2</vt:lpwstr>
  </property>
  <property fmtid="{D5CDD505-2E9C-101B-9397-08002B2CF9AE}" pid="13" name="MSIP_Label_bfc084f7-b690-4c43-8ee6-d475b6d3461d_Tag">
    <vt:lpwstr>10, 3, 0, 2</vt:lpwstr>
  </property>
  <property fmtid="{D5CDD505-2E9C-101B-9397-08002B2CF9AE}" pid="14" name="docLang">
    <vt:lpwstr>en</vt:lpwstr>
  </property>
</Properties>
</file>