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1A18847" w14:textId="77777777" w:rsidTr="00EB4E9C">
        <w:tc>
          <w:tcPr>
            <w:tcW w:w="6522" w:type="dxa"/>
          </w:tcPr>
          <w:p w14:paraId="28C5EE0C" w14:textId="77777777" w:rsidR="00DC3802" w:rsidRPr="00AC2883" w:rsidRDefault="00DC3802" w:rsidP="00AC2883">
            <w:r w:rsidRPr="00D250C5">
              <w:rPr>
                <w:noProof/>
                <w:lang w:val="de-DE" w:eastAsia="de-DE"/>
              </w:rPr>
              <w:drawing>
                <wp:inline distT="0" distB="0" distL="0" distR="0" wp14:anchorId="17284CC2" wp14:editId="00155D3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4C4A18AD" w14:textId="4A0B24B0" w:rsidR="00C24582" w:rsidRDefault="002B6508">
            <w:pPr>
              <w:pStyle w:val="Lettrine"/>
            </w:pPr>
            <w:r>
              <w:t>F</w:t>
            </w:r>
          </w:p>
        </w:tc>
      </w:tr>
      <w:tr w:rsidR="00DC3802" w:rsidRPr="00EF7D09" w14:paraId="6A864EFD" w14:textId="77777777" w:rsidTr="00645CA8">
        <w:trPr>
          <w:trHeight w:val="219"/>
        </w:trPr>
        <w:tc>
          <w:tcPr>
            <w:tcW w:w="6522" w:type="dxa"/>
          </w:tcPr>
          <w:p w14:paraId="3CF5E70E" w14:textId="77777777" w:rsidR="00C24582" w:rsidRPr="00523186" w:rsidRDefault="00523186">
            <w:pPr>
              <w:pStyle w:val="upove"/>
              <w:rPr>
                <w:lang w:val="fr-CH"/>
              </w:rPr>
            </w:pPr>
            <w:r w:rsidRPr="00523186">
              <w:rPr>
                <w:lang w:val="fr-CH"/>
              </w:rPr>
              <w:t>Union internationale pour la protection des obtentions végétales</w:t>
            </w:r>
          </w:p>
        </w:tc>
        <w:tc>
          <w:tcPr>
            <w:tcW w:w="3117" w:type="dxa"/>
          </w:tcPr>
          <w:p w14:paraId="40ADE711" w14:textId="77777777" w:rsidR="00DC3802" w:rsidRPr="00523186" w:rsidRDefault="00DC3802" w:rsidP="00DA4973">
            <w:pPr>
              <w:rPr>
                <w:lang w:val="fr-CH"/>
              </w:rPr>
            </w:pPr>
          </w:p>
        </w:tc>
      </w:tr>
    </w:tbl>
    <w:p w14:paraId="3D913B9E" w14:textId="77777777" w:rsidR="00DC3802" w:rsidRPr="00523186" w:rsidRDefault="00DC3802" w:rsidP="00DC3802">
      <w:pPr>
        <w:rPr>
          <w:lang w:val="fr-CH"/>
        </w:rPr>
      </w:pPr>
    </w:p>
    <w:p w14:paraId="07A8F1F8" w14:textId="77777777" w:rsidR="003D0839" w:rsidRPr="00523186" w:rsidRDefault="003D0839" w:rsidP="003D0839">
      <w:pPr>
        <w:rPr>
          <w:lang w:val="fr-CH"/>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EF7D09" w14:paraId="43BD454A" w14:textId="77777777" w:rsidTr="007A4FDD">
        <w:tc>
          <w:tcPr>
            <w:tcW w:w="6512" w:type="dxa"/>
          </w:tcPr>
          <w:p w14:paraId="77577B33" w14:textId="77777777" w:rsidR="00C24582" w:rsidRPr="00523186" w:rsidRDefault="00523186">
            <w:pPr>
              <w:pStyle w:val="Sessiontc"/>
              <w:spacing w:line="240" w:lineRule="auto"/>
              <w:rPr>
                <w:lang w:val="fr-CH"/>
              </w:rPr>
            </w:pPr>
            <w:r w:rsidRPr="00523186">
              <w:rPr>
                <w:lang w:val="fr-CH"/>
              </w:rPr>
              <w:t>Comité technique</w:t>
            </w:r>
          </w:p>
          <w:p w14:paraId="721E57FF" w14:textId="77777777" w:rsidR="00C24582" w:rsidRPr="00523186" w:rsidRDefault="00523186">
            <w:pPr>
              <w:pStyle w:val="Sessiontcplacedate"/>
              <w:rPr>
                <w:sz w:val="22"/>
                <w:lang w:val="fr-CH"/>
              </w:rPr>
            </w:pPr>
            <w:r w:rsidRPr="00523186">
              <w:rPr>
                <w:lang w:val="fr-CH"/>
              </w:rPr>
              <w:t xml:space="preserve">Cinquante-neuvième session </w:t>
            </w:r>
            <w:r w:rsidRPr="00523186">
              <w:rPr>
                <w:lang w:val="fr-CH"/>
              </w:rPr>
              <w:br/>
              <w:t xml:space="preserve">Genève, </w:t>
            </w:r>
            <w:r w:rsidR="00E81BE2" w:rsidRPr="00523186">
              <w:rPr>
                <w:lang w:val="fr-CH"/>
              </w:rPr>
              <w:t xml:space="preserve">23 </w:t>
            </w:r>
            <w:r w:rsidRPr="00523186">
              <w:rPr>
                <w:lang w:val="fr-CH"/>
              </w:rPr>
              <w:t xml:space="preserve">et </w:t>
            </w:r>
            <w:r w:rsidR="00E81BE2" w:rsidRPr="00523186">
              <w:rPr>
                <w:lang w:val="fr-CH"/>
              </w:rPr>
              <w:t xml:space="preserve">24 </w:t>
            </w:r>
            <w:r w:rsidRPr="00523186">
              <w:rPr>
                <w:lang w:val="fr-CH"/>
              </w:rPr>
              <w:t xml:space="preserve">octobre </w:t>
            </w:r>
            <w:r w:rsidR="00E81BE2" w:rsidRPr="00523186">
              <w:rPr>
                <w:lang w:val="fr-CH"/>
              </w:rPr>
              <w:t>2023</w:t>
            </w:r>
          </w:p>
        </w:tc>
        <w:tc>
          <w:tcPr>
            <w:tcW w:w="3127" w:type="dxa"/>
          </w:tcPr>
          <w:p w14:paraId="1122D73D" w14:textId="77777777" w:rsidR="00C24582" w:rsidRPr="00523186" w:rsidRDefault="005D3F4E">
            <w:pPr>
              <w:pStyle w:val="Doccode"/>
              <w:rPr>
                <w:lang w:val="fr-CH"/>
              </w:rPr>
            </w:pPr>
            <w:r w:rsidRPr="00523186">
              <w:rPr>
                <w:lang w:val="fr-CH"/>
              </w:rPr>
              <w:t>TC/59/7</w:t>
            </w:r>
          </w:p>
          <w:p w14:paraId="00A7ED8C" w14:textId="77777777" w:rsidR="00C24582" w:rsidRPr="00523186" w:rsidRDefault="00523186">
            <w:pPr>
              <w:pStyle w:val="Docoriginal"/>
              <w:rPr>
                <w:lang w:val="fr-CH"/>
              </w:rPr>
            </w:pPr>
            <w:r w:rsidRPr="00523186">
              <w:rPr>
                <w:lang w:val="fr-CH"/>
              </w:rPr>
              <w:t>Original :</w:t>
            </w:r>
            <w:r w:rsidRPr="00523186">
              <w:rPr>
                <w:b w:val="0"/>
                <w:spacing w:val="0"/>
                <w:lang w:val="fr-CH"/>
              </w:rPr>
              <w:t xml:space="preserve">  Anglais</w:t>
            </w:r>
          </w:p>
          <w:p w14:paraId="4550B1AE" w14:textId="79FBD5C1" w:rsidR="00C24582" w:rsidRPr="00523186" w:rsidRDefault="00523186">
            <w:pPr>
              <w:pStyle w:val="Docoriginal"/>
              <w:rPr>
                <w:lang w:val="fr-CH"/>
              </w:rPr>
            </w:pPr>
            <w:r w:rsidRPr="00523186">
              <w:rPr>
                <w:lang w:val="fr-CH"/>
              </w:rPr>
              <w:t>Date</w:t>
            </w:r>
            <w:r>
              <w:rPr>
                <w:lang w:val="fr-CH"/>
              </w:rPr>
              <w:t xml:space="preserve"> </w:t>
            </w:r>
            <w:r w:rsidRPr="00523186">
              <w:rPr>
                <w:lang w:val="fr-CH"/>
              </w:rPr>
              <w:t xml:space="preserve">:  </w:t>
            </w:r>
            <w:r w:rsidR="00091B62" w:rsidRPr="002B6508">
              <w:rPr>
                <w:b w:val="0"/>
                <w:spacing w:val="0"/>
                <w:lang w:val="fr-CH"/>
              </w:rPr>
              <w:t>15</w:t>
            </w:r>
            <w:r w:rsidR="001C7E1F" w:rsidRPr="002B6508">
              <w:rPr>
                <w:b w:val="0"/>
                <w:spacing w:val="0"/>
                <w:lang w:val="fr-CH"/>
              </w:rPr>
              <w:t xml:space="preserve"> septembre </w:t>
            </w:r>
            <w:r w:rsidR="00E81BE2" w:rsidRPr="002B6508">
              <w:rPr>
                <w:b w:val="0"/>
                <w:spacing w:val="0"/>
                <w:lang w:val="fr-CH"/>
              </w:rPr>
              <w:t>2023</w:t>
            </w:r>
          </w:p>
        </w:tc>
      </w:tr>
    </w:tbl>
    <w:p w14:paraId="4F180E76" w14:textId="687DC365" w:rsidR="00C24582" w:rsidRPr="00523186" w:rsidRDefault="00523186">
      <w:pPr>
        <w:pStyle w:val="Titleofdoc0"/>
        <w:rPr>
          <w:lang w:val="fr-CH"/>
        </w:rPr>
      </w:pPr>
      <w:r w:rsidRPr="00523186">
        <w:rPr>
          <w:lang w:val="fr-CH"/>
        </w:rPr>
        <w:t xml:space="preserve">Bases de données </w:t>
      </w:r>
      <w:r w:rsidR="00EF7D09">
        <w:rPr>
          <w:lang w:val="fr-CH"/>
        </w:rPr>
        <w:t>sur les</w:t>
      </w:r>
      <w:r w:rsidRPr="00523186">
        <w:rPr>
          <w:lang w:val="fr-CH"/>
        </w:rPr>
        <w:t xml:space="preserve"> descriptions variétales</w:t>
      </w:r>
    </w:p>
    <w:p w14:paraId="68EF91E4" w14:textId="77777777" w:rsidR="00C24582" w:rsidRPr="00523186" w:rsidRDefault="00523186">
      <w:pPr>
        <w:pStyle w:val="preparedby1"/>
        <w:jc w:val="left"/>
        <w:rPr>
          <w:lang w:val="fr-CH"/>
        </w:rPr>
      </w:pPr>
      <w:r w:rsidRPr="00523186">
        <w:rPr>
          <w:lang w:val="fr-CH"/>
        </w:rPr>
        <w:t>Document préparé par le Bureau de l'Union</w:t>
      </w:r>
    </w:p>
    <w:p w14:paraId="217E10C4" w14:textId="77777777" w:rsidR="002B6508" w:rsidRPr="006365CE" w:rsidRDefault="002B6508" w:rsidP="002B6508">
      <w:pPr>
        <w:pStyle w:val="Disclaimer"/>
        <w:rPr>
          <w:lang w:val="fr-FR"/>
        </w:rPr>
      </w:pPr>
      <w:bookmarkStart w:id="0" w:name="_Toc20505077"/>
      <w:bookmarkStart w:id="1" w:name="_Toc141454349"/>
      <w:r w:rsidRPr="006365CE">
        <w:rPr>
          <w:lang w:val="fr-FR"/>
        </w:rPr>
        <w:t>Avertissement : le présent document ne représente pas les principes ou les orientations de l’UPOV</w:t>
      </w:r>
      <w:r>
        <w:rPr>
          <w:lang w:val="fr-FR"/>
        </w:rPr>
        <w:t>.</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6B260EAE" w14:textId="4AE1A547" w:rsidR="00C24582" w:rsidRPr="00523186" w:rsidRDefault="00523186">
      <w:pPr>
        <w:pStyle w:val="Heading1"/>
        <w:rPr>
          <w:lang w:val="fr-CH"/>
        </w:rPr>
      </w:pPr>
      <w:bookmarkStart w:id="2" w:name="_Toc146186468"/>
      <w:r w:rsidRPr="00523186">
        <w:rPr>
          <w:lang w:val="fr-CH"/>
        </w:rPr>
        <w:t>R</w:t>
      </w:r>
      <w:r w:rsidR="00BC0B08">
        <w:rPr>
          <w:lang w:val="fr-CH"/>
        </w:rPr>
        <w:t>É</w:t>
      </w:r>
      <w:r w:rsidRPr="00523186">
        <w:rPr>
          <w:lang w:val="fr-CH"/>
        </w:rPr>
        <w:t>SUMÉ</w:t>
      </w:r>
      <w:bookmarkEnd w:id="0"/>
      <w:bookmarkEnd w:id="1"/>
      <w:bookmarkEnd w:id="2"/>
    </w:p>
    <w:p w14:paraId="2E0E2A77" w14:textId="77777777" w:rsidR="001C7E1F" w:rsidRPr="00523186" w:rsidRDefault="001C7E1F" w:rsidP="001C7E1F">
      <w:pPr>
        <w:rPr>
          <w:snapToGrid w:val="0"/>
          <w:lang w:val="fr-CH"/>
        </w:rPr>
      </w:pPr>
    </w:p>
    <w:p w14:paraId="707FD771" w14:textId="77777777" w:rsidR="00C24582" w:rsidRPr="00523186" w:rsidRDefault="00523186">
      <w:pPr>
        <w:rPr>
          <w:lang w:val="fr-CH"/>
        </w:rPr>
      </w:pPr>
      <w:r w:rsidRPr="00E55054">
        <w:rPr>
          <w:snapToGrid w:val="0"/>
          <w:lang w:val="en-GB"/>
        </w:rPr>
        <w:fldChar w:fldCharType="begin"/>
      </w:r>
      <w:r w:rsidRPr="00523186">
        <w:rPr>
          <w:snapToGrid w:val="0"/>
          <w:lang w:val="fr-CH"/>
        </w:rPr>
        <w:instrText xml:space="preserve"> AUTONUM  </w:instrText>
      </w:r>
      <w:r w:rsidRPr="00E55054">
        <w:rPr>
          <w:snapToGrid w:val="0"/>
          <w:lang w:val="en-GB"/>
        </w:rPr>
        <w:fldChar w:fldCharType="end"/>
      </w:r>
      <w:r w:rsidRPr="00523186">
        <w:rPr>
          <w:snapToGrid w:val="0"/>
          <w:lang w:val="fr-CH"/>
        </w:rPr>
        <w:tab/>
        <w:t xml:space="preserve">L'objectif de ce document est de rendre compte des développements concernant les bases de données de description variétale et d'inviter les membres de l'Union </w:t>
      </w:r>
      <w:r w:rsidRPr="00523186">
        <w:rPr>
          <w:lang w:val="fr-CH"/>
        </w:rPr>
        <w:t>à rendre compte des travaux concernant le développement de bases de données contenant des données morphologiques et/ou moléculaires.</w:t>
      </w:r>
    </w:p>
    <w:p w14:paraId="7378FD70" w14:textId="77777777" w:rsidR="001C7E1F" w:rsidRPr="00523186" w:rsidRDefault="001C7E1F" w:rsidP="001C7E1F">
      <w:pPr>
        <w:rPr>
          <w:lang w:val="fr-CH"/>
        </w:rPr>
      </w:pPr>
    </w:p>
    <w:p w14:paraId="039FA767" w14:textId="42976CAE" w:rsidR="00C24582" w:rsidRPr="00523186" w:rsidRDefault="00523186">
      <w:pPr>
        <w:tabs>
          <w:tab w:val="left" w:pos="567"/>
          <w:tab w:val="left" w:pos="1134"/>
          <w:tab w:val="left" w:pos="5387"/>
        </w:tabs>
        <w:rPr>
          <w:color w:val="000000"/>
          <w:lang w:val="fr-CH"/>
        </w:rPr>
      </w:pPr>
      <w:r w:rsidRPr="003D0878">
        <w:rPr>
          <w:lang w:val="en-GB"/>
        </w:rPr>
        <w:fldChar w:fldCharType="begin"/>
      </w:r>
      <w:r w:rsidRPr="00523186">
        <w:rPr>
          <w:lang w:val="fr-CH"/>
        </w:rPr>
        <w:instrText xml:space="preserve"> AUTONUM  </w:instrText>
      </w:r>
      <w:r w:rsidRPr="003D0878">
        <w:rPr>
          <w:lang w:val="en-GB"/>
        </w:rPr>
        <w:fldChar w:fldCharType="end"/>
      </w:r>
      <w:r w:rsidRPr="00523186">
        <w:rPr>
          <w:lang w:val="fr-CH"/>
        </w:rPr>
        <w:tab/>
        <w:t>Le T</w:t>
      </w:r>
      <w:r w:rsidR="00BF1CF5">
        <w:rPr>
          <w:lang w:val="fr-CH"/>
        </w:rPr>
        <w:t>C</w:t>
      </w:r>
      <w:r w:rsidRPr="00523186">
        <w:rPr>
          <w:lang w:val="fr-CH"/>
        </w:rPr>
        <w:t xml:space="preserve"> est invité à </w:t>
      </w:r>
      <w:r w:rsidR="00957372" w:rsidRPr="00523186">
        <w:rPr>
          <w:lang w:val="fr-CH"/>
        </w:rPr>
        <w:t>prendre note des questions pour information rendues dans ce document.</w:t>
      </w:r>
    </w:p>
    <w:p w14:paraId="1EE5DBAF" w14:textId="77777777" w:rsidR="00726192" w:rsidRPr="00523186" w:rsidRDefault="00726192" w:rsidP="00726192">
      <w:pPr>
        <w:tabs>
          <w:tab w:val="left" w:pos="567"/>
          <w:tab w:val="left" w:pos="1701"/>
        </w:tabs>
        <w:ind w:left="1695" w:hanging="1695"/>
        <w:rPr>
          <w:rFonts w:eastAsia="PMingLiU"/>
          <w:szCs w:val="24"/>
          <w:lang w:val="fr-CH"/>
        </w:rPr>
      </w:pPr>
    </w:p>
    <w:p w14:paraId="73298411" w14:textId="77777777" w:rsidR="00C24582" w:rsidRPr="00523186" w:rsidRDefault="00523186">
      <w:pPr>
        <w:keepNext/>
        <w:rPr>
          <w:color w:val="000000"/>
          <w:lang w:val="fr-CH"/>
        </w:rPr>
      </w:pPr>
      <w:r w:rsidRPr="00350522">
        <w:rPr>
          <w:color w:val="000000"/>
        </w:rPr>
        <w:fldChar w:fldCharType="begin"/>
      </w:r>
      <w:r w:rsidRPr="00523186">
        <w:rPr>
          <w:color w:val="000000"/>
          <w:lang w:val="fr-CH"/>
        </w:rPr>
        <w:instrText xml:space="preserve"> AUTONUM  </w:instrText>
      </w:r>
      <w:r w:rsidRPr="00350522">
        <w:rPr>
          <w:color w:val="000000"/>
        </w:rPr>
        <w:fldChar w:fldCharType="end"/>
      </w:r>
      <w:r w:rsidRPr="00523186">
        <w:rPr>
          <w:color w:val="000000"/>
          <w:lang w:val="fr-CH"/>
        </w:rPr>
        <w:tab/>
        <w:t>Les abréviations suivantes sont utilisées dans ce document :</w:t>
      </w:r>
    </w:p>
    <w:p w14:paraId="1ABC628F" w14:textId="77777777" w:rsidR="00726192" w:rsidRPr="00523186" w:rsidRDefault="00726192" w:rsidP="00726192">
      <w:pPr>
        <w:keepNext/>
        <w:ind w:left="1692" w:hanging="1125"/>
        <w:jc w:val="left"/>
        <w:rPr>
          <w:color w:val="000000"/>
          <w:lang w:val="fr-CH"/>
        </w:rPr>
      </w:pPr>
    </w:p>
    <w:p w14:paraId="481DCE75" w14:textId="6AAEA4C3" w:rsidR="00C24582" w:rsidRPr="00523186" w:rsidRDefault="00523186">
      <w:pPr>
        <w:keepNext/>
        <w:tabs>
          <w:tab w:val="left" w:pos="567"/>
          <w:tab w:val="left" w:pos="1701"/>
        </w:tabs>
        <w:rPr>
          <w:lang w:val="fr-CH"/>
        </w:rPr>
      </w:pPr>
      <w:r w:rsidRPr="00523186">
        <w:rPr>
          <w:lang w:val="fr-CH"/>
        </w:rPr>
        <w:tab/>
      </w:r>
      <w:r w:rsidR="00D55B58">
        <w:rPr>
          <w:lang w:val="fr-CH"/>
        </w:rPr>
        <w:t>TC :</w:t>
      </w:r>
      <w:r w:rsidR="00D55B58">
        <w:rPr>
          <w:lang w:val="fr-CH"/>
        </w:rPr>
        <w:tab/>
      </w:r>
      <w:r w:rsidRPr="00523186">
        <w:rPr>
          <w:lang w:val="fr-CH"/>
        </w:rPr>
        <w:t>Comité technique</w:t>
      </w:r>
    </w:p>
    <w:p w14:paraId="3A86356C" w14:textId="48F3B511" w:rsidR="00C24582" w:rsidRPr="00523186" w:rsidRDefault="00523186">
      <w:pPr>
        <w:keepNext/>
        <w:tabs>
          <w:tab w:val="left" w:pos="567"/>
          <w:tab w:val="left" w:pos="1701"/>
        </w:tabs>
        <w:rPr>
          <w:rFonts w:eastAsia="PMingLiU"/>
          <w:szCs w:val="24"/>
          <w:lang w:val="fr-CH"/>
        </w:rPr>
      </w:pPr>
      <w:r w:rsidRPr="00523186">
        <w:rPr>
          <w:rFonts w:eastAsia="PMingLiU"/>
          <w:szCs w:val="24"/>
          <w:lang w:val="fr-CH"/>
        </w:rPr>
        <w:tab/>
        <w:t>TWA</w:t>
      </w:r>
      <w:r w:rsidR="00D55B58">
        <w:rPr>
          <w:rFonts w:eastAsia="PMingLiU"/>
          <w:szCs w:val="24"/>
          <w:lang w:val="fr-CH"/>
        </w:rPr>
        <w:t xml:space="preserve"> </w:t>
      </w:r>
      <w:r w:rsidRPr="00523186">
        <w:rPr>
          <w:rFonts w:eastAsia="PMingLiU"/>
          <w:szCs w:val="24"/>
          <w:lang w:val="fr-CH"/>
        </w:rPr>
        <w:t>:</w:t>
      </w:r>
      <w:r w:rsidRPr="00523186">
        <w:rPr>
          <w:rFonts w:eastAsia="PMingLiU"/>
          <w:szCs w:val="24"/>
          <w:lang w:val="fr-CH"/>
        </w:rPr>
        <w:tab/>
        <w:t xml:space="preserve">Groupe de travail technique sur les plantes agricoles </w:t>
      </w:r>
    </w:p>
    <w:p w14:paraId="49BC3EAF" w14:textId="48761A0D" w:rsidR="00C24582" w:rsidRPr="00523186" w:rsidRDefault="00523186">
      <w:pPr>
        <w:tabs>
          <w:tab w:val="left" w:pos="567"/>
          <w:tab w:val="left" w:pos="1701"/>
        </w:tabs>
        <w:rPr>
          <w:rFonts w:eastAsia="PMingLiU"/>
          <w:szCs w:val="24"/>
          <w:lang w:val="fr-CH"/>
        </w:rPr>
      </w:pPr>
      <w:r w:rsidRPr="00523186">
        <w:rPr>
          <w:rFonts w:eastAsia="PMingLiU"/>
          <w:szCs w:val="24"/>
          <w:lang w:val="fr-CH"/>
        </w:rPr>
        <w:tab/>
        <w:t xml:space="preserve">TWF : </w:t>
      </w:r>
      <w:r w:rsidRPr="00523186">
        <w:rPr>
          <w:rFonts w:eastAsia="PMingLiU"/>
          <w:szCs w:val="24"/>
          <w:lang w:val="fr-CH"/>
        </w:rPr>
        <w:tab/>
        <w:t xml:space="preserve">Groupe de travail technique sur les plantes fruitières </w:t>
      </w:r>
    </w:p>
    <w:p w14:paraId="55BDA03B" w14:textId="75D24C7F" w:rsidR="00C24582" w:rsidRPr="00523186" w:rsidRDefault="00523186">
      <w:pPr>
        <w:tabs>
          <w:tab w:val="left" w:pos="567"/>
          <w:tab w:val="left" w:pos="1701"/>
        </w:tabs>
        <w:rPr>
          <w:rFonts w:eastAsia="PMingLiU"/>
          <w:szCs w:val="24"/>
          <w:lang w:val="fr-CH"/>
        </w:rPr>
      </w:pPr>
      <w:r w:rsidRPr="00523186">
        <w:rPr>
          <w:rFonts w:eastAsia="PMingLiU"/>
          <w:szCs w:val="24"/>
          <w:lang w:val="fr-CH"/>
        </w:rPr>
        <w:tab/>
      </w:r>
      <w:r w:rsidR="00D55B58">
        <w:rPr>
          <w:rFonts w:eastAsia="PMingLiU"/>
          <w:szCs w:val="24"/>
          <w:lang w:val="fr-CH"/>
        </w:rPr>
        <w:t>TWO :</w:t>
      </w:r>
      <w:r w:rsidR="00D55B58">
        <w:rPr>
          <w:rFonts w:eastAsia="PMingLiU"/>
          <w:szCs w:val="24"/>
          <w:lang w:val="fr-CH"/>
        </w:rPr>
        <w:tab/>
      </w:r>
      <w:r w:rsidRPr="00523186">
        <w:rPr>
          <w:rFonts w:eastAsia="PMingLiU"/>
          <w:szCs w:val="24"/>
          <w:lang w:val="fr-CH"/>
        </w:rPr>
        <w:t xml:space="preserve">Groupe de travail technique sur les ornementales et les arbres forestiers </w:t>
      </w:r>
    </w:p>
    <w:p w14:paraId="66B8DD69" w14:textId="623AE156" w:rsidR="00C24582" w:rsidRPr="00523186" w:rsidRDefault="00523186">
      <w:pPr>
        <w:tabs>
          <w:tab w:val="left" w:pos="567"/>
          <w:tab w:val="left" w:pos="1701"/>
        </w:tabs>
        <w:rPr>
          <w:rFonts w:eastAsia="PMingLiU"/>
          <w:szCs w:val="24"/>
          <w:lang w:val="fr-CH"/>
        </w:rPr>
      </w:pPr>
      <w:r w:rsidRPr="00523186">
        <w:rPr>
          <w:rFonts w:eastAsia="PMingLiU"/>
          <w:szCs w:val="24"/>
          <w:lang w:val="fr-CH"/>
        </w:rPr>
        <w:tab/>
        <w:t>TWP</w:t>
      </w:r>
      <w:r w:rsidR="00FB4067">
        <w:rPr>
          <w:rFonts w:eastAsia="PMingLiU"/>
          <w:szCs w:val="24"/>
          <w:lang w:val="fr-CH"/>
        </w:rPr>
        <w:t xml:space="preserve"> </w:t>
      </w:r>
      <w:r w:rsidRPr="00523186">
        <w:rPr>
          <w:rFonts w:eastAsia="PMingLiU"/>
          <w:szCs w:val="24"/>
          <w:lang w:val="fr-CH"/>
        </w:rPr>
        <w:t>:</w:t>
      </w:r>
      <w:r w:rsidRPr="00523186">
        <w:rPr>
          <w:rFonts w:eastAsia="PMingLiU"/>
          <w:szCs w:val="24"/>
          <w:lang w:val="fr-CH"/>
        </w:rPr>
        <w:tab/>
        <w:t>Technical Working Part</w:t>
      </w:r>
      <w:r w:rsidR="00B47E12">
        <w:rPr>
          <w:rFonts w:eastAsia="PMingLiU"/>
          <w:szCs w:val="24"/>
          <w:lang w:val="fr-CH"/>
        </w:rPr>
        <w:t>ies</w:t>
      </w:r>
      <w:r w:rsidRPr="00523186">
        <w:rPr>
          <w:rFonts w:eastAsia="PMingLiU"/>
          <w:szCs w:val="24"/>
          <w:lang w:val="fr-CH"/>
        </w:rPr>
        <w:t xml:space="preserve"> (groupes de travail techniques)</w:t>
      </w:r>
    </w:p>
    <w:p w14:paraId="5D12E726" w14:textId="4F9C9362" w:rsidR="00C24582" w:rsidRPr="00523186" w:rsidRDefault="00523186">
      <w:pPr>
        <w:tabs>
          <w:tab w:val="left" w:pos="567"/>
          <w:tab w:val="left" w:pos="1701"/>
        </w:tabs>
        <w:rPr>
          <w:rFonts w:eastAsia="PMingLiU"/>
          <w:szCs w:val="24"/>
          <w:lang w:val="fr-CH"/>
        </w:rPr>
      </w:pPr>
      <w:r w:rsidRPr="00523186">
        <w:rPr>
          <w:rFonts w:eastAsia="PMingLiU"/>
          <w:szCs w:val="24"/>
          <w:lang w:val="fr-CH"/>
        </w:rPr>
        <w:tab/>
      </w:r>
      <w:r w:rsidR="00D55B58">
        <w:rPr>
          <w:rFonts w:eastAsia="PMingLiU"/>
          <w:szCs w:val="24"/>
          <w:lang w:val="fr-CH"/>
        </w:rPr>
        <w:t>TWV :</w:t>
      </w:r>
      <w:r w:rsidR="00D55B58">
        <w:rPr>
          <w:rFonts w:eastAsia="PMingLiU"/>
          <w:szCs w:val="24"/>
          <w:lang w:val="fr-CH"/>
        </w:rPr>
        <w:tab/>
      </w:r>
      <w:r w:rsidRPr="00523186">
        <w:rPr>
          <w:rFonts w:eastAsia="PMingLiU"/>
          <w:szCs w:val="24"/>
          <w:lang w:val="fr-CH"/>
        </w:rPr>
        <w:t>Groupe de travail technique sur les plantes potagères</w:t>
      </w:r>
    </w:p>
    <w:p w14:paraId="393A8D1F" w14:textId="77777777" w:rsidR="00D95B6C" w:rsidRPr="00523186" w:rsidRDefault="00D95B6C" w:rsidP="008A17B9">
      <w:pPr>
        <w:rPr>
          <w:lang w:val="fr-CH"/>
        </w:rPr>
      </w:pPr>
    </w:p>
    <w:p w14:paraId="1644C2D1" w14:textId="77777777" w:rsidR="00C24582" w:rsidRPr="00523186" w:rsidRDefault="00523186">
      <w:pPr>
        <w:rPr>
          <w:lang w:val="fr-CH"/>
        </w:rPr>
      </w:pPr>
      <w:r w:rsidRPr="00A9190F">
        <w:rPr>
          <w:color w:val="000000"/>
        </w:rPr>
        <w:fldChar w:fldCharType="begin"/>
      </w:r>
      <w:r w:rsidRPr="00523186">
        <w:rPr>
          <w:color w:val="000000"/>
          <w:lang w:val="fr-CH"/>
        </w:rPr>
        <w:instrText xml:space="preserve"> AUTONUM  </w:instrText>
      </w:r>
      <w:r w:rsidRPr="00A9190F">
        <w:rPr>
          <w:color w:val="000000"/>
        </w:rPr>
        <w:fldChar w:fldCharType="end"/>
      </w:r>
      <w:r w:rsidRPr="00523186">
        <w:rPr>
          <w:color w:val="000000"/>
          <w:lang w:val="fr-CH"/>
        </w:rPr>
        <w:tab/>
      </w:r>
      <w:r w:rsidRPr="00523186">
        <w:rPr>
          <w:lang w:val="fr-CH"/>
        </w:rPr>
        <w:t>La structure de ce document est la suivante :</w:t>
      </w:r>
    </w:p>
    <w:p w14:paraId="66F29C9F" w14:textId="77777777" w:rsidR="00D95B6C" w:rsidRPr="00523186" w:rsidRDefault="00D95B6C" w:rsidP="00D95B6C">
      <w:pPr>
        <w:rPr>
          <w:sz w:val="12"/>
          <w:lang w:val="fr-CH"/>
        </w:rPr>
      </w:pPr>
    </w:p>
    <w:p w14:paraId="7420AB39" w14:textId="763E51B9" w:rsidR="001B1AA3" w:rsidRDefault="00D95B6C">
      <w:pPr>
        <w:pStyle w:val="TOC1"/>
        <w:rPr>
          <w:rFonts w:asciiTheme="minorHAnsi" w:eastAsiaTheme="minorEastAsia" w:hAnsiTheme="minorHAnsi" w:cstheme="minorBidi"/>
          <w:caps w:val="0"/>
          <w:sz w:val="22"/>
          <w:szCs w:val="22"/>
          <w:lang w:val="en-US"/>
        </w:rPr>
      </w:pPr>
      <w:r w:rsidRPr="00A9190F">
        <w:rPr>
          <w:rFonts w:cs="Arial"/>
          <w:bCs/>
          <w:smallCaps/>
        </w:rPr>
        <w:fldChar w:fldCharType="begin"/>
      </w:r>
      <w:r w:rsidR="00523186" w:rsidRPr="00A9190F">
        <w:rPr>
          <w:rFonts w:cs="Arial"/>
          <w:bCs/>
        </w:rPr>
        <w:instrText xml:space="preserve"> TOC \o "1-3" \h \z \u </w:instrText>
      </w:r>
      <w:r w:rsidRPr="00A9190F">
        <w:rPr>
          <w:rFonts w:cs="Arial"/>
          <w:bCs/>
          <w:smallCaps/>
        </w:rPr>
        <w:fldChar w:fldCharType="separate"/>
      </w:r>
      <w:hyperlink w:anchor="_Toc146186468" w:history="1">
        <w:r w:rsidR="001B1AA3" w:rsidRPr="00BD6F4A">
          <w:rPr>
            <w:rStyle w:val="Hyperlink"/>
            <w:lang w:val="fr-CH"/>
          </w:rPr>
          <w:t>RÉSUMÉ</w:t>
        </w:r>
        <w:r w:rsidR="001B1AA3">
          <w:rPr>
            <w:webHidden/>
          </w:rPr>
          <w:tab/>
        </w:r>
        <w:r w:rsidR="001B1AA3">
          <w:rPr>
            <w:webHidden/>
          </w:rPr>
          <w:fldChar w:fldCharType="begin"/>
        </w:r>
        <w:r w:rsidR="001B1AA3">
          <w:rPr>
            <w:webHidden/>
          </w:rPr>
          <w:instrText xml:space="preserve"> PAGEREF _Toc146186468 \h </w:instrText>
        </w:r>
        <w:r w:rsidR="001B1AA3">
          <w:rPr>
            <w:webHidden/>
          </w:rPr>
        </w:r>
        <w:r w:rsidR="001B1AA3">
          <w:rPr>
            <w:webHidden/>
          </w:rPr>
          <w:fldChar w:fldCharType="separate"/>
        </w:r>
        <w:r w:rsidR="001B1AA3">
          <w:rPr>
            <w:webHidden/>
          </w:rPr>
          <w:t>1</w:t>
        </w:r>
        <w:r w:rsidR="001B1AA3">
          <w:rPr>
            <w:webHidden/>
          </w:rPr>
          <w:fldChar w:fldCharType="end"/>
        </w:r>
      </w:hyperlink>
    </w:p>
    <w:p w14:paraId="2455B154" w14:textId="6B78C809" w:rsidR="001B1AA3" w:rsidRDefault="00EF7D09">
      <w:pPr>
        <w:pStyle w:val="TOC1"/>
        <w:rPr>
          <w:rFonts w:asciiTheme="minorHAnsi" w:eastAsiaTheme="minorEastAsia" w:hAnsiTheme="minorHAnsi" w:cstheme="minorBidi"/>
          <w:caps w:val="0"/>
          <w:sz w:val="22"/>
          <w:szCs w:val="22"/>
          <w:lang w:val="en-US"/>
        </w:rPr>
      </w:pPr>
      <w:hyperlink w:anchor="_Toc146186469" w:history="1">
        <w:r w:rsidR="001B1AA3" w:rsidRPr="00BD6F4A">
          <w:rPr>
            <w:rStyle w:val="Hyperlink"/>
            <w:lang w:val="fr-CH"/>
          </w:rPr>
          <w:t>arrière-plan</w:t>
        </w:r>
        <w:r w:rsidR="001B1AA3">
          <w:rPr>
            <w:webHidden/>
          </w:rPr>
          <w:tab/>
        </w:r>
        <w:r w:rsidR="001B1AA3">
          <w:rPr>
            <w:webHidden/>
          </w:rPr>
          <w:fldChar w:fldCharType="begin"/>
        </w:r>
        <w:r w:rsidR="001B1AA3">
          <w:rPr>
            <w:webHidden/>
          </w:rPr>
          <w:instrText xml:space="preserve"> PAGEREF _Toc146186469 \h </w:instrText>
        </w:r>
        <w:r w:rsidR="001B1AA3">
          <w:rPr>
            <w:webHidden/>
          </w:rPr>
        </w:r>
        <w:r w:rsidR="001B1AA3">
          <w:rPr>
            <w:webHidden/>
          </w:rPr>
          <w:fldChar w:fldCharType="separate"/>
        </w:r>
        <w:r w:rsidR="001B1AA3">
          <w:rPr>
            <w:webHidden/>
          </w:rPr>
          <w:t>1</w:t>
        </w:r>
        <w:r w:rsidR="001B1AA3">
          <w:rPr>
            <w:webHidden/>
          </w:rPr>
          <w:fldChar w:fldCharType="end"/>
        </w:r>
      </w:hyperlink>
    </w:p>
    <w:p w14:paraId="0680B4AB" w14:textId="43981AA6" w:rsidR="001B1AA3" w:rsidRDefault="00EF7D09">
      <w:pPr>
        <w:pStyle w:val="TOC1"/>
        <w:rPr>
          <w:rFonts w:asciiTheme="minorHAnsi" w:eastAsiaTheme="minorEastAsia" w:hAnsiTheme="minorHAnsi" w:cstheme="minorBidi"/>
          <w:caps w:val="0"/>
          <w:sz w:val="22"/>
          <w:szCs w:val="22"/>
          <w:lang w:val="en-US"/>
        </w:rPr>
      </w:pPr>
      <w:hyperlink w:anchor="_Toc146186470" w:history="1">
        <w:r w:rsidR="001B1AA3" w:rsidRPr="00BD6F4A">
          <w:rPr>
            <w:rStyle w:val="Hyperlink"/>
            <w:lang w:val="fr-FR"/>
          </w:rPr>
          <w:t>Développements au sein des groupes de travail techniques lors de leurs sessions EN 2023</w:t>
        </w:r>
        <w:r w:rsidR="001B1AA3">
          <w:rPr>
            <w:webHidden/>
          </w:rPr>
          <w:tab/>
        </w:r>
        <w:r w:rsidR="001B1AA3">
          <w:rPr>
            <w:webHidden/>
          </w:rPr>
          <w:fldChar w:fldCharType="begin"/>
        </w:r>
        <w:r w:rsidR="001B1AA3">
          <w:rPr>
            <w:webHidden/>
          </w:rPr>
          <w:instrText xml:space="preserve"> PAGEREF _Toc146186470 \h </w:instrText>
        </w:r>
        <w:r w:rsidR="001B1AA3">
          <w:rPr>
            <w:webHidden/>
          </w:rPr>
        </w:r>
        <w:r w:rsidR="001B1AA3">
          <w:rPr>
            <w:webHidden/>
          </w:rPr>
          <w:fldChar w:fldCharType="separate"/>
        </w:r>
        <w:r w:rsidR="001B1AA3">
          <w:rPr>
            <w:webHidden/>
          </w:rPr>
          <w:t>2</w:t>
        </w:r>
        <w:r w:rsidR="001B1AA3">
          <w:rPr>
            <w:webHidden/>
          </w:rPr>
          <w:fldChar w:fldCharType="end"/>
        </w:r>
      </w:hyperlink>
    </w:p>
    <w:p w14:paraId="129FACBC" w14:textId="2D612E6F" w:rsidR="001B1AA3" w:rsidRDefault="00EF7D09">
      <w:pPr>
        <w:pStyle w:val="TOC2"/>
        <w:rPr>
          <w:rFonts w:asciiTheme="minorHAnsi" w:eastAsiaTheme="minorEastAsia" w:hAnsiTheme="minorHAnsi" w:cstheme="minorBidi"/>
          <w:noProof/>
          <w:sz w:val="22"/>
          <w:szCs w:val="22"/>
        </w:rPr>
      </w:pPr>
      <w:hyperlink w:anchor="_Toc146186471" w:history="1">
        <w:r w:rsidR="001B1AA3" w:rsidRPr="00BD6F4A">
          <w:rPr>
            <w:rStyle w:val="Hyperlink"/>
            <w:noProof/>
            <w:lang w:val="fr-FR"/>
          </w:rPr>
          <w:t>"Plateforme Bigdata pour l'examen DHS"</w:t>
        </w:r>
        <w:r w:rsidR="001B1AA3">
          <w:rPr>
            <w:noProof/>
            <w:webHidden/>
          </w:rPr>
          <w:tab/>
        </w:r>
        <w:r w:rsidR="001B1AA3">
          <w:rPr>
            <w:noProof/>
            <w:webHidden/>
          </w:rPr>
          <w:fldChar w:fldCharType="begin"/>
        </w:r>
        <w:r w:rsidR="001B1AA3">
          <w:rPr>
            <w:noProof/>
            <w:webHidden/>
          </w:rPr>
          <w:instrText xml:space="preserve"> PAGEREF _Toc146186471 \h </w:instrText>
        </w:r>
        <w:r w:rsidR="001B1AA3">
          <w:rPr>
            <w:noProof/>
            <w:webHidden/>
          </w:rPr>
        </w:r>
        <w:r w:rsidR="001B1AA3">
          <w:rPr>
            <w:noProof/>
            <w:webHidden/>
          </w:rPr>
          <w:fldChar w:fldCharType="separate"/>
        </w:r>
        <w:r w:rsidR="001B1AA3">
          <w:rPr>
            <w:noProof/>
            <w:webHidden/>
          </w:rPr>
          <w:t>2</w:t>
        </w:r>
        <w:r w:rsidR="001B1AA3">
          <w:rPr>
            <w:noProof/>
            <w:webHidden/>
          </w:rPr>
          <w:fldChar w:fldCharType="end"/>
        </w:r>
      </w:hyperlink>
    </w:p>
    <w:p w14:paraId="12B26D02" w14:textId="28978A4E" w:rsidR="001B1AA3" w:rsidRDefault="00EF7D09">
      <w:pPr>
        <w:pStyle w:val="TOC2"/>
        <w:rPr>
          <w:rFonts w:asciiTheme="minorHAnsi" w:eastAsiaTheme="minorEastAsia" w:hAnsiTheme="minorHAnsi" w:cstheme="minorBidi"/>
          <w:noProof/>
          <w:sz w:val="22"/>
          <w:szCs w:val="22"/>
        </w:rPr>
      </w:pPr>
      <w:hyperlink w:anchor="_Toc146186472" w:history="1">
        <w:r w:rsidR="001B1AA3" w:rsidRPr="00BD6F4A">
          <w:rPr>
            <w:rStyle w:val="Hyperlink"/>
            <w:noProof/>
            <w:lang w:val="fr-FR"/>
          </w:rPr>
          <w:t>Bases de données descriptives pomologiques</w:t>
        </w:r>
        <w:r w:rsidR="001B1AA3">
          <w:rPr>
            <w:noProof/>
            <w:webHidden/>
          </w:rPr>
          <w:tab/>
        </w:r>
        <w:r w:rsidR="001B1AA3">
          <w:rPr>
            <w:noProof/>
            <w:webHidden/>
          </w:rPr>
          <w:fldChar w:fldCharType="begin"/>
        </w:r>
        <w:r w:rsidR="001B1AA3">
          <w:rPr>
            <w:noProof/>
            <w:webHidden/>
          </w:rPr>
          <w:instrText xml:space="preserve"> PAGEREF _Toc146186472 \h </w:instrText>
        </w:r>
        <w:r w:rsidR="001B1AA3">
          <w:rPr>
            <w:noProof/>
            <w:webHidden/>
          </w:rPr>
        </w:r>
        <w:r w:rsidR="001B1AA3">
          <w:rPr>
            <w:noProof/>
            <w:webHidden/>
          </w:rPr>
          <w:fldChar w:fldCharType="separate"/>
        </w:r>
        <w:r w:rsidR="001B1AA3">
          <w:rPr>
            <w:noProof/>
            <w:webHidden/>
          </w:rPr>
          <w:t>2</w:t>
        </w:r>
        <w:r w:rsidR="001B1AA3">
          <w:rPr>
            <w:noProof/>
            <w:webHidden/>
          </w:rPr>
          <w:fldChar w:fldCharType="end"/>
        </w:r>
      </w:hyperlink>
    </w:p>
    <w:p w14:paraId="2D86D9DE" w14:textId="554DCAC4" w:rsidR="00091B62" w:rsidRDefault="00D95B6C" w:rsidP="00305744">
      <w:r w:rsidRPr="00A9190F">
        <w:fldChar w:fldCharType="end"/>
      </w:r>
    </w:p>
    <w:p w14:paraId="2468A323" w14:textId="77777777" w:rsidR="00AE18CA" w:rsidRPr="00E55054" w:rsidRDefault="00AE18CA" w:rsidP="00305744">
      <w:pPr>
        <w:rPr>
          <w:lang w:val="en-GB"/>
        </w:rPr>
      </w:pPr>
    </w:p>
    <w:p w14:paraId="2960E15B" w14:textId="77777777" w:rsidR="00C24582" w:rsidRPr="00523186" w:rsidRDefault="00523186">
      <w:pPr>
        <w:keepNext/>
        <w:keepLines/>
        <w:outlineLvl w:val="0"/>
        <w:rPr>
          <w:caps/>
          <w:lang w:val="fr-CH"/>
        </w:rPr>
      </w:pPr>
      <w:bookmarkStart w:id="3" w:name="_Toc132919917"/>
      <w:bookmarkStart w:id="4" w:name="_Toc146186469"/>
      <w:r w:rsidRPr="00523186">
        <w:rPr>
          <w:caps/>
          <w:lang w:val="fr-CH"/>
        </w:rPr>
        <w:t>arrière-plan</w:t>
      </w:r>
      <w:bookmarkEnd w:id="3"/>
      <w:bookmarkEnd w:id="4"/>
    </w:p>
    <w:p w14:paraId="04B23362" w14:textId="77777777" w:rsidR="00305744" w:rsidRPr="00523186" w:rsidRDefault="00305744" w:rsidP="00305744">
      <w:pPr>
        <w:rPr>
          <w:lang w:val="fr-CH"/>
        </w:rPr>
      </w:pPr>
    </w:p>
    <w:p w14:paraId="4369E97A" w14:textId="233B0AEA" w:rsidR="00C24582" w:rsidRDefault="00523186">
      <w:pPr>
        <w:rPr>
          <w:lang w:val="fr-CH"/>
        </w:rPr>
      </w:pPr>
      <w:r w:rsidRPr="00E55054">
        <w:rPr>
          <w:lang w:val="en-GB"/>
        </w:rPr>
        <w:fldChar w:fldCharType="begin"/>
      </w:r>
      <w:r w:rsidRPr="00523186">
        <w:rPr>
          <w:lang w:val="fr-CH"/>
        </w:rPr>
        <w:instrText xml:space="preserve"> AUTONUM  </w:instrText>
      </w:r>
      <w:r w:rsidRPr="00E55054">
        <w:rPr>
          <w:lang w:val="en-GB"/>
        </w:rPr>
        <w:fldChar w:fldCharType="end"/>
      </w:r>
      <w:r w:rsidRPr="00523186">
        <w:rPr>
          <w:lang w:val="fr-CH"/>
        </w:rPr>
        <w:tab/>
      </w:r>
      <w:r w:rsidR="002F0CA0">
        <w:rPr>
          <w:lang w:val="fr-CH"/>
        </w:rPr>
        <w:t xml:space="preserve">À </w:t>
      </w:r>
      <w:r w:rsidRPr="00523186">
        <w:rPr>
          <w:lang w:val="fr-CH"/>
        </w:rPr>
        <w:t>sa quarante-cinquième session</w:t>
      </w:r>
      <w:r w:rsidRPr="00E55054">
        <w:rPr>
          <w:vertAlign w:val="superscript"/>
          <w:lang w:val="en-GB"/>
        </w:rPr>
        <w:footnoteReference w:id="2"/>
      </w:r>
      <w:r w:rsidRPr="00523186">
        <w:rPr>
          <w:lang w:val="fr-CH"/>
        </w:rPr>
        <w:t xml:space="preserve">, </w:t>
      </w:r>
      <w:r w:rsidRPr="00523186">
        <w:rPr>
          <w:snapToGrid w:val="0"/>
          <w:lang w:val="fr-CH"/>
        </w:rPr>
        <w:t xml:space="preserve">le TC a pris note des faits nouveaux rendus dans le document TC/45/9 "Publication des descriptions variétales" selon lesquels les membres de l'Union mettent au point des bases de données contenant des données morphologiques et/ou moléculaires et, le cas échéant, collaborent à la mise au point de bases de données pour la gestion des collections de variétés, en particulier à l'échelon régional.  Le TC est convenu qu'il pourrait être utile d'offrir aux membres de l'Union la possibilité de rendre compte de ces travaux de manière cohérente au TC, aux TWP et au BMT.  Sur cette base, le TC est convenu de remplacer le point de l'ordre du jour intitulé "Publication des descriptions variétales" par un point intitulé "Bases de données des descriptions variétales" dans les ordres du jour des prochaines sessions du TC, des TWP et du BMT.  </w:t>
      </w:r>
      <w:r w:rsidR="006821D8">
        <w:rPr>
          <w:lang w:val="fr-CH"/>
        </w:rPr>
        <w:t xml:space="preserve">À </w:t>
      </w:r>
      <w:r w:rsidRPr="00523186">
        <w:rPr>
          <w:snapToGrid w:val="0"/>
          <w:lang w:val="fr-CH"/>
        </w:rPr>
        <w:t xml:space="preserve">cet égard, il a rappelé l'importance de la </w:t>
      </w:r>
      <w:r w:rsidRPr="00523186">
        <w:rPr>
          <w:lang w:val="fr-CH"/>
        </w:rPr>
        <w:t xml:space="preserve">liste des critères à prendre en considération pour l'utilisation des descriptions obtenues à partir de différents lieux et sources, telle qu'elle figure dans le </w:t>
      </w:r>
      <w:r w:rsidRPr="00523186">
        <w:rPr>
          <w:lang w:val="fr-CH"/>
        </w:rPr>
        <w:lastRenderedPageBreak/>
        <w:t>document TC/45/9, paragraphe 3, et reproduite ci-après.  Le TC est également convenu que les informations présentées n'auraient pas besoin d'être liées à la publication des descriptions (</w:t>
      </w:r>
      <w:r w:rsidRPr="00523186">
        <w:rPr>
          <w:color w:val="000000"/>
          <w:lang w:val="fr-CH"/>
        </w:rPr>
        <w:t xml:space="preserve">voir le document </w:t>
      </w:r>
      <w:r w:rsidRPr="00523186">
        <w:rPr>
          <w:snapToGrid w:val="0"/>
          <w:color w:val="000000"/>
          <w:lang w:val="fr-CH"/>
        </w:rPr>
        <w:t>TC/45/16 "Compte rendu", paragraphe 173)</w:t>
      </w:r>
      <w:r w:rsidRPr="00523186">
        <w:rPr>
          <w:lang w:val="fr-CH"/>
        </w:rPr>
        <w:t>.</w:t>
      </w:r>
    </w:p>
    <w:p w14:paraId="2B1E88CD" w14:textId="77777777" w:rsidR="006821D8" w:rsidRPr="00523186" w:rsidRDefault="006821D8">
      <w:pPr>
        <w:rPr>
          <w:lang w:val="fr-CH"/>
        </w:rPr>
      </w:pPr>
    </w:p>
    <w:p w14:paraId="512ED3F9" w14:textId="77777777" w:rsidR="00C24582" w:rsidRPr="00523186" w:rsidRDefault="00523186">
      <w:pPr>
        <w:tabs>
          <w:tab w:val="left" w:pos="1134"/>
          <w:tab w:val="left" w:pos="1701"/>
        </w:tabs>
        <w:ind w:left="567" w:right="567"/>
        <w:rPr>
          <w:rFonts w:cs="Arial"/>
          <w:sz w:val="18"/>
          <w:szCs w:val="18"/>
          <w:lang w:val="fr-CH"/>
        </w:rPr>
      </w:pPr>
      <w:r w:rsidRPr="00523186">
        <w:rPr>
          <w:rFonts w:cs="Arial"/>
          <w:sz w:val="18"/>
          <w:szCs w:val="18"/>
          <w:lang w:val="fr-CH"/>
        </w:rPr>
        <w:t>"3.</w:t>
      </w:r>
      <w:r w:rsidRPr="00523186">
        <w:rPr>
          <w:rFonts w:cs="Arial"/>
          <w:sz w:val="18"/>
          <w:szCs w:val="18"/>
          <w:lang w:val="fr-CH"/>
        </w:rPr>
        <w:tab/>
        <w:t xml:space="preserve">Lors de sa quarante-troisième </w:t>
      </w:r>
      <w:r w:rsidRPr="00523186">
        <w:rPr>
          <w:rFonts w:cs="Arial"/>
          <w:sz w:val="18"/>
          <w:szCs w:val="18"/>
          <w:lang w:val="fr-CH"/>
        </w:rPr>
        <w:noBreakHyphen/>
        <w:t xml:space="preserve">session, tenue à Genève du 26 au 28 mars 2007, le Comité technique (TC) a approuvé </w:t>
      </w:r>
      <w:r w:rsidRPr="00523186">
        <w:rPr>
          <w:rFonts w:cs="Arial"/>
          <w:snapToGrid w:val="0"/>
          <w:sz w:val="18"/>
          <w:szCs w:val="18"/>
          <w:lang w:val="fr-CH"/>
        </w:rPr>
        <w:t xml:space="preserve">la </w:t>
      </w:r>
      <w:r w:rsidRPr="00523186">
        <w:rPr>
          <w:rFonts w:cs="Arial"/>
          <w:sz w:val="18"/>
          <w:szCs w:val="18"/>
          <w:lang w:val="fr-CH"/>
        </w:rPr>
        <w:t>liste des critères à examiner par les groupes de travail techniques (TWP) pour l'utilisation des descriptions obtenues à partir de différents lieux et sources, comme suit :</w:t>
      </w:r>
    </w:p>
    <w:p w14:paraId="0C86CB75" w14:textId="77777777" w:rsidR="00305744" w:rsidRPr="00523186" w:rsidRDefault="00305744" w:rsidP="00305744">
      <w:pPr>
        <w:tabs>
          <w:tab w:val="left" w:pos="1134"/>
          <w:tab w:val="left" w:pos="1701"/>
        </w:tabs>
        <w:ind w:left="567" w:right="567"/>
        <w:rPr>
          <w:rFonts w:cs="Arial"/>
          <w:sz w:val="18"/>
          <w:szCs w:val="18"/>
          <w:lang w:val="fr-CH"/>
        </w:rPr>
      </w:pPr>
    </w:p>
    <w:p w14:paraId="2A37EC5F" w14:textId="77777777" w:rsidR="00C24582" w:rsidRPr="00523186" w:rsidRDefault="00523186">
      <w:pPr>
        <w:tabs>
          <w:tab w:val="left" w:pos="1701"/>
        </w:tabs>
        <w:spacing w:after="40" w:line="276" w:lineRule="auto"/>
        <w:ind w:left="1701" w:right="567" w:hanging="567"/>
        <w:rPr>
          <w:rFonts w:cs="Arial"/>
          <w:sz w:val="18"/>
          <w:szCs w:val="18"/>
          <w:lang w:val="fr-CH"/>
        </w:rPr>
      </w:pPr>
      <w:r w:rsidRPr="00523186">
        <w:rPr>
          <w:rFonts w:cs="Arial"/>
          <w:sz w:val="18"/>
          <w:szCs w:val="18"/>
          <w:lang w:val="fr-CH"/>
        </w:rPr>
        <w:t xml:space="preserve">"a) </w:t>
      </w:r>
      <w:r w:rsidRPr="00523186">
        <w:rPr>
          <w:rFonts w:cs="Arial"/>
          <w:sz w:val="18"/>
          <w:szCs w:val="18"/>
          <w:lang w:val="fr-CH"/>
        </w:rPr>
        <w:tab/>
        <w:t xml:space="preserve">d'examiner les espèces pour lesquelles ils voient un réel intérêt à créer une base de données internationale avec des descriptions </w:t>
      </w:r>
      <w:r w:rsidRPr="00523186">
        <w:rPr>
          <w:rFonts w:cs="Arial"/>
          <w:sz w:val="18"/>
          <w:szCs w:val="18"/>
          <w:lang w:val="fr-CH"/>
        </w:rPr>
        <w:tab/>
        <w:t>variétales ;</w:t>
      </w:r>
    </w:p>
    <w:p w14:paraId="3E73BA13" w14:textId="77777777" w:rsidR="00C24582" w:rsidRPr="00523186" w:rsidRDefault="00523186">
      <w:pPr>
        <w:tabs>
          <w:tab w:val="left" w:pos="1701"/>
        </w:tabs>
        <w:spacing w:after="40" w:line="276" w:lineRule="auto"/>
        <w:ind w:left="1701" w:right="567" w:hanging="567"/>
        <w:rPr>
          <w:rFonts w:cs="Arial"/>
          <w:sz w:val="18"/>
          <w:szCs w:val="18"/>
          <w:lang w:val="fr-CH"/>
        </w:rPr>
      </w:pPr>
      <w:r w:rsidRPr="00523186">
        <w:rPr>
          <w:rFonts w:cs="Arial"/>
          <w:sz w:val="18"/>
          <w:szCs w:val="18"/>
          <w:lang w:val="fr-CH"/>
        </w:rPr>
        <w:t xml:space="preserve">"b) </w:t>
      </w:r>
      <w:r w:rsidRPr="00523186">
        <w:rPr>
          <w:rFonts w:cs="Arial"/>
          <w:sz w:val="18"/>
          <w:szCs w:val="18"/>
          <w:lang w:val="fr-CH"/>
        </w:rPr>
        <w:tab/>
        <w:t>préciser l'objectif et les bénéfices attendus ;</w:t>
      </w:r>
    </w:p>
    <w:p w14:paraId="78B64244" w14:textId="77777777" w:rsidR="00C24582" w:rsidRPr="00523186" w:rsidRDefault="00523186">
      <w:pPr>
        <w:tabs>
          <w:tab w:val="left" w:pos="1701"/>
        </w:tabs>
        <w:spacing w:after="40" w:line="276" w:lineRule="auto"/>
        <w:ind w:left="1701" w:right="567" w:hanging="567"/>
        <w:rPr>
          <w:rFonts w:cs="Arial"/>
          <w:sz w:val="18"/>
          <w:szCs w:val="18"/>
          <w:lang w:val="fr-CH"/>
        </w:rPr>
      </w:pPr>
      <w:r w:rsidRPr="00523186">
        <w:rPr>
          <w:rFonts w:cs="Arial"/>
          <w:sz w:val="18"/>
          <w:szCs w:val="18"/>
          <w:lang w:val="fr-CH"/>
        </w:rPr>
        <w:t xml:space="preserve">"c) </w:t>
      </w:r>
      <w:r w:rsidRPr="00523186">
        <w:rPr>
          <w:rFonts w:cs="Arial"/>
          <w:sz w:val="18"/>
          <w:szCs w:val="18"/>
          <w:lang w:val="fr-CH"/>
        </w:rPr>
        <w:tab/>
        <w:t xml:space="preserve">sélectionner les caractéristiques pour lesquelles des descriptions doivent être publiées ; </w:t>
      </w:r>
    </w:p>
    <w:p w14:paraId="031922F8" w14:textId="77777777" w:rsidR="00C24582" w:rsidRPr="00523186" w:rsidRDefault="00523186">
      <w:pPr>
        <w:tabs>
          <w:tab w:val="left" w:pos="1701"/>
        </w:tabs>
        <w:spacing w:after="40" w:line="276" w:lineRule="auto"/>
        <w:ind w:left="1701" w:right="567" w:hanging="567"/>
        <w:rPr>
          <w:rFonts w:cs="Arial"/>
          <w:sz w:val="18"/>
          <w:szCs w:val="18"/>
          <w:lang w:val="fr-CH"/>
        </w:rPr>
      </w:pPr>
      <w:r w:rsidRPr="00523186">
        <w:rPr>
          <w:rFonts w:cs="Arial"/>
          <w:sz w:val="18"/>
          <w:szCs w:val="18"/>
          <w:lang w:val="fr-CH"/>
        </w:rPr>
        <w:t xml:space="preserve">"d) </w:t>
      </w:r>
      <w:r w:rsidRPr="00523186">
        <w:rPr>
          <w:rFonts w:cs="Arial"/>
          <w:sz w:val="18"/>
          <w:szCs w:val="18"/>
          <w:lang w:val="fr-CH"/>
        </w:rPr>
        <w:tab/>
        <w:t>préciser pour chaque caractéristique le degré d'harmonisation déjà atteint ou visé (dans ce dernier cas, préciser si des actions doivent être prévues afin d'améliorer le niveau d'harmonisation : ring tests, révision de la description de la méthode d'observation dans la ligne directrice, ...) ;</w:t>
      </w:r>
    </w:p>
    <w:p w14:paraId="765F25BC" w14:textId="77777777" w:rsidR="00C24582" w:rsidRPr="00523186" w:rsidRDefault="00523186">
      <w:pPr>
        <w:tabs>
          <w:tab w:val="left" w:pos="1701"/>
        </w:tabs>
        <w:spacing w:after="40" w:line="276" w:lineRule="auto"/>
        <w:ind w:left="1701" w:right="567" w:hanging="567"/>
        <w:rPr>
          <w:rFonts w:cs="Arial"/>
          <w:sz w:val="18"/>
          <w:szCs w:val="18"/>
          <w:lang w:val="fr-CH"/>
        </w:rPr>
      </w:pPr>
      <w:r w:rsidRPr="00523186">
        <w:rPr>
          <w:rFonts w:cs="Arial"/>
          <w:sz w:val="18"/>
          <w:szCs w:val="18"/>
          <w:lang w:val="fr-CH"/>
        </w:rPr>
        <w:t xml:space="preserve">"e) </w:t>
      </w:r>
      <w:r w:rsidRPr="00523186">
        <w:rPr>
          <w:rFonts w:cs="Arial"/>
          <w:sz w:val="18"/>
          <w:szCs w:val="18"/>
          <w:lang w:val="fr-CH"/>
        </w:rPr>
        <w:tab/>
        <w:t>étudier la pertinence d'une "approche régionale", plutôt que d'une "approche internationale" (considérer des groupes de pays et comparer les descriptions au sein de ces groupes uniquement) ;</w:t>
      </w:r>
    </w:p>
    <w:p w14:paraId="3B378C7E" w14:textId="77777777" w:rsidR="00C24582" w:rsidRPr="00523186" w:rsidRDefault="00523186">
      <w:pPr>
        <w:tabs>
          <w:tab w:val="left" w:pos="1701"/>
        </w:tabs>
        <w:spacing w:after="40" w:line="276" w:lineRule="auto"/>
        <w:ind w:left="1701" w:right="567" w:hanging="567"/>
        <w:rPr>
          <w:rFonts w:cs="Arial"/>
          <w:sz w:val="18"/>
          <w:szCs w:val="18"/>
          <w:lang w:val="fr-CH"/>
        </w:rPr>
      </w:pPr>
      <w:r w:rsidRPr="00523186">
        <w:rPr>
          <w:rFonts w:cs="Arial"/>
          <w:sz w:val="18"/>
          <w:szCs w:val="18"/>
          <w:lang w:val="fr-CH"/>
        </w:rPr>
        <w:t xml:space="preserve">"f) </w:t>
      </w:r>
      <w:r w:rsidRPr="00523186">
        <w:rPr>
          <w:rFonts w:cs="Arial"/>
          <w:sz w:val="18"/>
          <w:szCs w:val="18"/>
          <w:lang w:val="fr-CH"/>
        </w:rPr>
        <w:tab/>
        <w:t xml:space="preserve">proposer des distances minimales lors de la comparaison des données, pour les caractéristiques </w:t>
      </w:r>
      <w:r w:rsidRPr="00523186">
        <w:rPr>
          <w:rFonts w:cs="Arial"/>
          <w:sz w:val="18"/>
          <w:szCs w:val="18"/>
          <w:lang w:val="fr-CH"/>
        </w:rPr>
        <w:tab/>
        <w:t>pertinentes ;</w:t>
      </w:r>
    </w:p>
    <w:p w14:paraId="5D159D9B" w14:textId="77777777" w:rsidR="00C24582" w:rsidRPr="00523186" w:rsidRDefault="00523186">
      <w:pPr>
        <w:tabs>
          <w:tab w:val="left" w:pos="1701"/>
        </w:tabs>
        <w:spacing w:after="40" w:line="276" w:lineRule="auto"/>
        <w:ind w:left="1701" w:right="567" w:hanging="567"/>
        <w:rPr>
          <w:rFonts w:cs="Arial"/>
          <w:sz w:val="18"/>
          <w:szCs w:val="18"/>
          <w:lang w:val="fr-CH"/>
        </w:rPr>
      </w:pPr>
      <w:r w:rsidRPr="00523186">
        <w:rPr>
          <w:rFonts w:cs="Arial"/>
          <w:sz w:val="18"/>
          <w:szCs w:val="18"/>
          <w:lang w:val="fr-CH"/>
        </w:rPr>
        <w:t xml:space="preserve">"g) </w:t>
      </w:r>
      <w:r w:rsidRPr="00523186">
        <w:rPr>
          <w:rFonts w:cs="Arial"/>
          <w:sz w:val="18"/>
          <w:szCs w:val="18"/>
          <w:lang w:val="fr-CH"/>
        </w:rPr>
        <w:tab/>
        <w:t xml:space="preserve">dresser la liste des pays qui contribueraient à la publication ; </w:t>
      </w:r>
    </w:p>
    <w:p w14:paraId="214C295D" w14:textId="77777777" w:rsidR="00C24582" w:rsidRPr="00523186" w:rsidRDefault="00523186">
      <w:pPr>
        <w:tabs>
          <w:tab w:val="left" w:pos="1701"/>
        </w:tabs>
        <w:spacing w:after="40" w:line="276" w:lineRule="auto"/>
        <w:ind w:left="1701" w:right="567" w:hanging="567"/>
        <w:rPr>
          <w:rFonts w:cs="Arial"/>
          <w:sz w:val="18"/>
          <w:szCs w:val="18"/>
          <w:lang w:val="fr-CH"/>
        </w:rPr>
      </w:pPr>
      <w:r w:rsidRPr="00523186">
        <w:rPr>
          <w:rFonts w:cs="Arial"/>
          <w:sz w:val="18"/>
          <w:szCs w:val="18"/>
          <w:lang w:val="fr-CH"/>
        </w:rPr>
        <w:t xml:space="preserve">"h) </w:t>
      </w:r>
      <w:r w:rsidRPr="00523186">
        <w:rPr>
          <w:rFonts w:cs="Arial"/>
          <w:sz w:val="18"/>
          <w:szCs w:val="18"/>
          <w:lang w:val="fr-CH"/>
        </w:rPr>
        <w:tab/>
        <w:t>examiner le type d'accès (gratuit ou limité aux contributeurs) ; et</w:t>
      </w:r>
    </w:p>
    <w:p w14:paraId="01DB9767" w14:textId="77777777" w:rsidR="00C24582" w:rsidRPr="00523186" w:rsidRDefault="00523186">
      <w:pPr>
        <w:tabs>
          <w:tab w:val="left" w:pos="1701"/>
        </w:tabs>
        <w:spacing w:after="40" w:line="276" w:lineRule="auto"/>
        <w:ind w:left="1701" w:right="567" w:hanging="567"/>
        <w:rPr>
          <w:rFonts w:cs="Arial"/>
          <w:sz w:val="18"/>
          <w:szCs w:val="18"/>
          <w:lang w:val="fr-CH"/>
        </w:rPr>
      </w:pPr>
      <w:r w:rsidRPr="00523186">
        <w:rPr>
          <w:rFonts w:cs="Arial"/>
          <w:sz w:val="18"/>
          <w:szCs w:val="18"/>
          <w:lang w:val="fr-CH"/>
        </w:rPr>
        <w:t xml:space="preserve">"(i)de </w:t>
      </w:r>
      <w:r w:rsidRPr="00523186">
        <w:rPr>
          <w:rFonts w:cs="Arial"/>
          <w:sz w:val="18"/>
          <w:szCs w:val="18"/>
          <w:lang w:val="fr-CH"/>
        </w:rPr>
        <w:tab/>
        <w:t>prendre en compte le coût de tout projet".</w:t>
      </w:r>
    </w:p>
    <w:p w14:paraId="604BE9E3" w14:textId="77777777" w:rsidR="00305744" w:rsidRPr="00523186" w:rsidRDefault="00305744" w:rsidP="00305744">
      <w:pPr>
        <w:rPr>
          <w:lang w:val="fr-CH"/>
        </w:rPr>
      </w:pPr>
    </w:p>
    <w:p w14:paraId="5B588E65" w14:textId="77777777" w:rsidR="00C24582" w:rsidRPr="0045102A" w:rsidRDefault="00523186">
      <w:pPr>
        <w:rPr>
          <w:lang w:val="fr-FR"/>
        </w:rPr>
      </w:pPr>
      <w:r w:rsidRPr="00E55054">
        <w:rPr>
          <w:lang w:val="en-GB"/>
        </w:rPr>
        <w:fldChar w:fldCharType="begin"/>
      </w:r>
      <w:r w:rsidRPr="0045102A">
        <w:rPr>
          <w:lang w:val="fr-FR"/>
        </w:rPr>
        <w:instrText xml:space="preserve"> AUTONUM  </w:instrText>
      </w:r>
      <w:r w:rsidRPr="00E55054">
        <w:rPr>
          <w:lang w:val="en-GB"/>
        </w:rPr>
        <w:fldChar w:fldCharType="end"/>
      </w:r>
      <w:r w:rsidRPr="0045102A">
        <w:rPr>
          <w:lang w:val="fr-FR"/>
        </w:rPr>
        <w:tab/>
        <w:t xml:space="preserve">Compte tenu de la décision prise par le TC à sa quarante-cinquième session, il est rappelé que les membres de l'Union sont invités à rendre compte au </w:t>
      </w:r>
      <w:r w:rsidRPr="0045102A">
        <w:rPr>
          <w:snapToGrid w:val="0"/>
          <w:szCs w:val="24"/>
          <w:lang w:val="fr-FR"/>
        </w:rPr>
        <w:t xml:space="preserve">TC et aux TWP </w:t>
      </w:r>
      <w:r w:rsidRPr="0045102A">
        <w:rPr>
          <w:lang w:val="fr-FR"/>
        </w:rPr>
        <w:t>des travaux concernant l'élaboration de bases de données contenant des données morphologiques et/ou moléculaires.</w:t>
      </w:r>
    </w:p>
    <w:p w14:paraId="6F5B9CDE" w14:textId="5D4738B3" w:rsidR="0041093C" w:rsidRDefault="0041093C" w:rsidP="00305744">
      <w:pPr>
        <w:rPr>
          <w:lang w:val="fr-FR"/>
        </w:rPr>
      </w:pPr>
      <w:bookmarkStart w:id="5" w:name="_Toc512935370"/>
    </w:p>
    <w:p w14:paraId="105713B5" w14:textId="77777777" w:rsidR="00AE18CA" w:rsidRPr="0045102A" w:rsidRDefault="00AE18CA" w:rsidP="00305744">
      <w:pPr>
        <w:rPr>
          <w:lang w:val="fr-FR"/>
        </w:rPr>
      </w:pPr>
    </w:p>
    <w:p w14:paraId="289DEB3C" w14:textId="160EA638" w:rsidR="00C24582" w:rsidRPr="0045102A" w:rsidRDefault="00523186">
      <w:pPr>
        <w:keepNext/>
        <w:outlineLvl w:val="0"/>
        <w:rPr>
          <w:caps/>
          <w:lang w:val="fr-FR"/>
        </w:rPr>
      </w:pPr>
      <w:bookmarkStart w:id="6" w:name="_Toc132919918"/>
      <w:bookmarkStart w:id="7" w:name="_Toc146186470"/>
      <w:bookmarkEnd w:id="5"/>
      <w:r w:rsidRPr="0045102A">
        <w:rPr>
          <w:caps/>
          <w:lang w:val="fr-FR"/>
        </w:rPr>
        <w:t xml:space="preserve">Développements au sein des groupes de travail techniques lors de leurs sessions </w:t>
      </w:r>
      <w:r w:rsidR="00B57009">
        <w:rPr>
          <w:caps/>
          <w:lang w:val="fr-FR"/>
        </w:rPr>
        <w:t>EN</w:t>
      </w:r>
      <w:r w:rsidRPr="0045102A">
        <w:rPr>
          <w:caps/>
          <w:lang w:val="fr-FR"/>
        </w:rPr>
        <w:t xml:space="preserve"> 2023</w:t>
      </w:r>
      <w:bookmarkEnd w:id="6"/>
      <w:bookmarkEnd w:id="7"/>
    </w:p>
    <w:p w14:paraId="4D561691" w14:textId="77777777" w:rsidR="00305744" w:rsidRPr="0045102A" w:rsidRDefault="00305744" w:rsidP="00305744">
      <w:pPr>
        <w:rPr>
          <w:lang w:val="fr-FR"/>
        </w:rPr>
      </w:pPr>
    </w:p>
    <w:p w14:paraId="7AAC943C" w14:textId="77777777" w:rsidR="00C24582" w:rsidRPr="0045102A" w:rsidRDefault="00523186">
      <w:pPr>
        <w:keepNext/>
        <w:keepLines/>
        <w:rPr>
          <w:lang w:val="fr-FR"/>
        </w:rPr>
      </w:pPr>
      <w:r w:rsidRPr="00612455">
        <w:rPr>
          <w:snapToGrid w:val="0"/>
        </w:rPr>
        <w:fldChar w:fldCharType="begin"/>
      </w:r>
      <w:r w:rsidRPr="0045102A">
        <w:rPr>
          <w:snapToGrid w:val="0"/>
          <w:lang w:val="fr-FR"/>
        </w:rPr>
        <w:instrText xml:space="preserve"> AUTONUM  </w:instrText>
      </w:r>
      <w:r w:rsidRPr="00612455">
        <w:rPr>
          <w:snapToGrid w:val="0"/>
        </w:rPr>
        <w:fldChar w:fldCharType="end"/>
      </w:r>
      <w:r w:rsidRPr="0045102A">
        <w:rPr>
          <w:snapToGrid w:val="0"/>
          <w:lang w:val="fr-FR"/>
        </w:rPr>
        <w:tab/>
      </w:r>
      <w:r w:rsidRPr="0045102A">
        <w:rPr>
          <w:lang w:val="fr-FR"/>
        </w:rPr>
        <w:t xml:space="preserve">Lors de leurs sessions de </w:t>
      </w:r>
      <w:r w:rsidR="00CB7CBB" w:rsidRPr="0045102A">
        <w:rPr>
          <w:lang w:val="fr-FR"/>
        </w:rPr>
        <w:t>2023</w:t>
      </w:r>
      <w:r w:rsidRPr="0045102A">
        <w:rPr>
          <w:lang w:val="fr-FR"/>
        </w:rPr>
        <w:t xml:space="preserve">, </w:t>
      </w:r>
      <w:r w:rsidR="00CB7CBB" w:rsidRPr="0045102A">
        <w:rPr>
          <w:color w:val="000000"/>
          <w:lang w:val="fr-FR"/>
        </w:rPr>
        <w:t xml:space="preserve">les </w:t>
      </w:r>
      <w:r w:rsidR="00CB7CBB" w:rsidRPr="0045102A">
        <w:rPr>
          <w:rFonts w:eastAsia="PMingLiU"/>
          <w:szCs w:val="24"/>
          <w:lang w:val="fr-FR"/>
        </w:rPr>
        <w:t>TWV</w:t>
      </w:r>
      <w:r w:rsidR="00CB7CBB" w:rsidRPr="00350522">
        <w:rPr>
          <w:rFonts w:eastAsia="PMingLiU"/>
          <w:szCs w:val="24"/>
          <w:vertAlign w:val="superscript"/>
        </w:rPr>
        <w:footnoteReference w:id="3"/>
      </w:r>
      <w:r w:rsidR="00CB7CBB" w:rsidRPr="0045102A">
        <w:rPr>
          <w:rFonts w:eastAsia="PMingLiU"/>
          <w:szCs w:val="24"/>
          <w:lang w:val="fr-FR"/>
        </w:rPr>
        <w:t xml:space="preserve"> , TWA</w:t>
      </w:r>
      <w:r w:rsidR="00CB7CBB" w:rsidRPr="00350522">
        <w:rPr>
          <w:rFonts w:eastAsia="PMingLiU"/>
          <w:szCs w:val="24"/>
          <w:vertAlign w:val="superscript"/>
        </w:rPr>
        <w:footnoteReference w:id="4"/>
      </w:r>
      <w:r w:rsidR="00CB7CBB" w:rsidRPr="0045102A">
        <w:rPr>
          <w:rFonts w:eastAsia="PMingLiU"/>
          <w:szCs w:val="24"/>
          <w:lang w:val="fr-FR"/>
        </w:rPr>
        <w:t xml:space="preserve"> , TWO</w:t>
      </w:r>
      <w:r w:rsidR="00CB7CBB" w:rsidRPr="00350522">
        <w:rPr>
          <w:rFonts w:eastAsia="PMingLiU"/>
          <w:szCs w:val="24"/>
          <w:vertAlign w:val="superscript"/>
        </w:rPr>
        <w:footnoteReference w:id="5"/>
      </w:r>
      <w:r w:rsidR="00CB7CBB" w:rsidRPr="0045102A">
        <w:rPr>
          <w:rFonts w:eastAsia="PMingLiU"/>
          <w:szCs w:val="24"/>
          <w:lang w:val="fr-FR"/>
        </w:rPr>
        <w:t xml:space="preserve"> et </w:t>
      </w:r>
      <w:r w:rsidR="00CB7CBB" w:rsidRPr="0045102A">
        <w:rPr>
          <w:color w:val="000000"/>
          <w:lang w:val="fr-FR"/>
        </w:rPr>
        <w:t>TWF</w:t>
      </w:r>
      <w:r w:rsidR="00CB7CBB" w:rsidRPr="00350522">
        <w:rPr>
          <w:color w:val="000000"/>
          <w:vertAlign w:val="superscript"/>
        </w:rPr>
        <w:footnoteReference w:id="6"/>
      </w:r>
      <w:r w:rsidR="006B1D22" w:rsidRPr="0045102A">
        <w:rPr>
          <w:lang w:val="fr-FR"/>
        </w:rPr>
        <w:t xml:space="preserve"> ont noté que le document </w:t>
      </w:r>
      <w:r w:rsidR="00CB7CBB" w:rsidRPr="0045102A">
        <w:rPr>
          <w:lang w:val="fr-FR"/>
        </w:rPr>
        <w:t xml:space="preserve">TWP/7/6 </w:t>
      </w:r>
      <w:r w:rsidRPr="0045102A">
        <w:rPr>
          <w:lang w:val="fr-FR"/>
        </w:rPr>
        <w:t xml:space="preserve">"Bases de données de descriptions variétales" </w:t>
      </w:r>
      <w:r w:rsidR="006B1D22" w:rsidRPr="0045102A">
        <w:rPr>
          <w:lang w:val="fr-FR"/>
        </w:rPr>
        <w:t xml:space="preserve">contenait des éléments uniquement à titre d'information </w:t>
      </w:r>
      <w:r w:rsidRPr="0045102A">
        <w:rPr>
          <w:lang w:val="fr-FR"/>
        </w:rPr>
        <w:t xml:space="preserve">(voir les documents </w:t>
      </w:r>
      <w:r w:rsidR="00213CC1" w:rsidRPr="0045102A">
        <w:rPr>
          <w:lang w:val="fr-FR"/>
        </w:rPr>
        <w:t xml:space="preserve">TWV/57/26 </w:t>
      </w:r>
      <w:r w:rsidRPr="0045102A">
        <w:rPr>
          <w:lang w:val="fr-FR"/>
        </w:rPr>
        <w:t xml:space="preserve">"Rapport", paragraphe </w:t>
      </w:r>
      <w:r w:rsidR="00213CC1" w:rsidRPr="0045102A">
        <w:rPr>
          <w:lang w:val="fr-FR"/>
        </w:rPr>
        <w:t xml:space="preserve">84 </w:t>
      </w:r>
      <w:r w:rsidRPr="0045102A">
        <w:rPr>
          <w:lang w:val="fr-FR"/>
        </w:rPr>
        <w:t xml:space="preserve">; TWA/52/11 "Rapport", paragraphe </w:t>
      </w:r>
      <w:r w:rsidR="00213CC1" w:rsidRPr="0045102A">
        <w:rPr>
          <w:lang w:val="fr-FR"/>
        </w:rPr>
        <w:t xml:space="preserve">55 </w:t>
      </w:r>
      <w:r w:rsidRPr="0045102A">
        <w:rPr>
          <w:lang w:val="fr-FR"/>
        </w:rPr>
        <w:t xml:space="preserve">; </w:t>
      </w:r>
      <w:r w:rsidR="00213CC1" w:rsidRPr="0045102A">
        <w:rPr>
          <w:lang w:val="fr-FR"/>
        </w:rPr>
        <w:t xml:space="preserve">TWO/55/11 </w:t>
      </w:r>
      <w:r w:rsidRPr="0045102A">
        <w:rPr>
          <w:lang w:val="fr-FR"/>
        </w:rPr>
        <w:t xml:space="preserve">"Rapport", paragraphe </w:t>
      </w:r>
      <w:r w:rsidR="00213CC1" w:rsidRPr="0045102A">
        <w:rPr>
          <w:lang w:val="fr-FR"/>
        </w:rPr>
        <w:t xml:space="preserve">58 </w:t>
      </w:r>
      <w:r w:rsidRPr="0045102A">
        <w:rPr>
          <w:lang w:val="fr-FR"/>
        </w:rPr>
        <w:t xml:space="preserve">; </w:t>
      </w:r>
      <w:r w:rsidR="00A971C1" w:rsidRPr="0045102A">
        <w:rPr>
          <w:lang w:val="fr-FR"/>
        </w:rPr>
        <w:t xml:space="preserve">et </w:t>
      </w:r>
      <w:r w:rsidR="00213CC1" w:rsidRPr="0045102A">
        <w:rPr>
          <w:lang w:val="fr-FR"/>
        </w:rPr>
        <w:t xml:space="preserve">TWF/54/13 </w:t>
      </w:r>
      <w:r w:rsidRPr="0045102A">
        <w:rPr>
          <w:lang w:val="fr-FR"/>
        </w:rPr>
        <w:t xml:space="preserve">"Compte rendu", paragraphe </w:t>
      </w:r>
      <w:r w:rsidR="00213CC1" w:rsidRPr="0045102A">
        <w:rPr>
          <w:lang w:val="fr-FR"/>
        </w:rPr>
        <w:t>53</w:t>
      </w:r>
      <w:r w:rsidR="00A971C1" w:rsidRPr="0045102A">
        <w:rPr>
          <w:lang w:val="fr-FR"/>
        </w:rPr>
        <w:t>)</w:t>
      </w:r>
      <w:r w:rsidRPr="0045102A">
        <w:rPr>
          <w:lang w:val="fr-FR" w:eastAsia="ja-JP"/>
        </w:rPr>
        <w:t>.</w:t>
      </w:r>
    </w:p>
    <w:p w14:paraId="49BFC0A6" w14:textId="77777777" w:rsidR="00AA47CA" w:rsidRPr="0045102A" w:rsidRDefault="00AA47CA" w:rsidP="00445B73">
      <w:pPr>
        <w:rPr>
          <w:snapToGrid w:val="0"/>
          <w:lang w:val="fr-FR"/>
        </w:rPr>
      </w:pPr>
    </w:p>
    <w:p w14:paraId="5C4E8E13" w14:textId="77777777" w:rsidR="00C24582" w:rsidRPr="0045102A" w:rsidRDefault="00523186">
      <w:pPr>
        <w:pStyle w:val="Heading2"/>
        <w:rPr>
          <w:snapToGrid w:val="0"/>
          <w:lang w:val="fr-FR"/>
        </w:rPr>
      </w:pPr>
      <w:bookmarkStart w:id="8" w:name="_Toc146186471"/>
      <w:r w:rsidRPr="0045102A">
        <w:rPr>
          <w:lang w:val="fr-FR"/>
        </w:rPr>
        <w:t>"Plateforme Bigdata pour l'examen DHS"</w:t>
      </w:r>
      <w:bookmarkEnd w:id="8"/>
    </w:p>
    <w:p w14:paraId="4CAD4CB6" w14:textId="77777777" w:rsidR="00985352" w:rsidRPr="0045102A" w:rsidRDefault="00985352" w:rsidP="00985352">
      <w:pPr>
        <w:rPr>
          <w:rFonts w:cs="Arial"/>
          <w:lang w:val="fr-FR"/>
        </w:rPr>
      </w:pPr>
    </w:p>
    <w:p w14:paraId="2F64CBD8" w14:textId="77777777" w:rsidR="00C24582" w:rsidRPr="0045102A" w:rsidRDefault="00523186">
      <w:pPr>
        <w:autoSpaceDE w:val="0"/>
        <w:autoSpaceDN w:val="0"/>
        <w:adjustRightInd w:val="0"/>
        <w:rPr>
          <w:rFonts w:cs="Arial"/>
          <w:lang w:val="fr-FR"/>
        </w:rPr>
      </w:pPr>
      <w:r w:rsidRPr="00E2339A">
        <w:rPr>
          <w:rFonts w:cs="Arial"/>
        </w:rPr>
        <w:fldChar w:fldCharType="begin"/>
      </w:r>
      <w:r w:rsidRPr="0045102A">
        <w:rPr>
          <w:rFonts w:cs="Arial"/>
          <w:lang w:val="fr-FR"/>
        </w:rPr>
        <w:instrText xml:space="preserve"> AUTONUM  </w:instrText>
      </w:r>
      <w:r w:rsidRPr="00E2339A">
        <w:rPr>
          <w:rFonts w:cs="Arial"/>
        </w:rPr>
        <w:fldChar w:fldCharType="end"/>
      </w:r>
      <w:r w:rsidRPr="0045102A">
        <w:rPr>
          <w:rFonts w:cs="Arial"/>
          <w:lang w:val="fr-FR"/>
        </w:rPr>
        <w:tab/>
        <w:t>Le TWO</w:t>
      </w:r>
      <w:r w:rsidR="006310A8" w:rsidRPr="0045102A">
        <w:rPr>
          <w:rFonts w:cs="Arial"/>
          <w:lang w:val="fr-FR"/>
        </w:rPr>
        <w:t>, à sa cinquante-cinquième session</w:t>
      </w:r>
      <w:r w:rsidR="006310A8" w:rsidRPr="00350522">
        <w:rPr>
          <w:rFonts w:eastAsia="PMingLiU"/>
          <w:szCs w:val="24"/>
          <w:vertAlign w:val="superscript"/>
        </w:rPr>
        <w:footnoteReference w:id="7"/>
      </w:r>
      <w:r w:rsidRPr="0045102A">
        <w:rPr>
          <w:rFonts w:cs="Arial"/>
          <w:lang w:val="fr-FR"/>
        </w:rPr>
        <w:t xml:space="preserve"> , a entendu un exposé sur la "Plateforme de Bigdata pour l'examen DHS" présenté </w:t>
      </w:r>
      <w:r w:rsidR="006310A8" w:rsidRPr="0045102A">
        <w:rPr>
          <w:rFonts w:cs="Arial"/>
          <w:lang w:val="fr-FR"/>
        </w:rPr>
        <w:t xml:space="preserve">par </w:t>
      </w:r>
      <w:r w:rsidRPr="0045102A">
        <w:rPr>
          <w:rFonts w:cs="Arial"/>
          <w:lang w:val="fr-FR"/>
        </w:rPr>
        <w:t xml:space="preserve">un expert de la Chine.  Une copie de cet exposé figure dans le document </w:t>
      </w:r>
      <w:r w:rsidRPr="0045102A">
        <w:rPr>
          <w:rFonts w:eastAsia="MS Mincho"/>
          <w:lang w:val="fr-FR"/>
        </w:rPr>
        <w:t>TWO/55/7 (voir le document TWO/55/11 "Compte rendu", paragraphe 37)</w:t>
      </w:r>
      <w:r w:rsidRPr="0045102A">
        <w:rPr>
          <w:rFonts w:cs="Arial"/>
          <w:lang w:val="fr-FR"/>
        </w:rPr>
        <w:t>.</w:t>
      </w:r>
    </w:p>
    <w:p w14:paraId="48ECDC42" w14:textId="77777777" w:rsidR="00AA47CA" w:rsidRPr="0045102A" w:rsidRDefault="00AA47CA" w:rsidP="00AA47CA">
      <w:pPr>
        <w:rPr>
          <w:lang w:val="fr-FR"/>
        </w:rPr>
      </w:pPr>
    </w:p>
    <w:p w14:paraId="41CAB20F" w14:textId="77777777" w:rsidR="00C24582" w:rsidRPr="0045102A" w:rsidRDefault="00523186">
      <w:pPr>
        <w:pStyle w:val="Heading2"/>
        <w:rPr>
          <w:lang w:val="fr-FR"/>
        </w:rPr>
      </w:pPr>
      <w:bookmarkStart w:id="9" w:name="_Toc146186472"/>
      <w:r w:rsidRPr="0045102A">
        <w:rPr>
          <w:lang w:val="fr-FR"/>
        </w:rPr>
        <w:t>Bases de données descriptives pomologiques</w:t>
      </w:r>
      <w:bookmarkEnd w:id="9"/>
    </w:p>
    <w:p w14:paraId="181DBA60" w14:textId="77777777" w:rsidR="00AA47CA" w:rsidRPr="0045102A" w:rsidRDefault="00AA47CA" w:rsidP="00AA47CA">
      <w:pPr>
        <w:pStyle w:val="Heading4"/>
      </w:pPr>
    </w:p>
    <w:p w14:paraId="4783AEF2" w14:textId="77777777" w:rsidR="00C24582" w:rsidRPr="0045102A" w:rsidRDefault="00523186">
      <w:pPr>
        <w:rPr>
          <w:lang w:val="fr-FR"/>
        </w:rPr>
      </w:pPr>
      <w:r>
        <w:fldChar w:fldCharType="begin"/>
      </w:r>
      <w:r w:rsidRPr="0045102A">
        <w:rPr>
          <w:lang w:val="fr-FR"/>
        </w:rPr>
        <w:instrText xml:space="preserve"> AUTONUM  </w:instrText>
      </w:r>
      <w:r>
        <w:fldChar w:fldCharType="end"/>
      </w:r>
      <w:r w:rsidRPr="0045102A">
        <w:rPr>
          <w:lang w:val="fr-FR"/>
        </w:rPr>
        <w:tab/>
        <w:t>Le TWF</w:t>
      </w:r>
      <w:r w:rsidR="002E2E50" w:rsidRPr="0045102A">
        <w:rPr>
          <w:lang w:val="fr-FR"/>
        </w:rPr>
        <w:t xml:space="preserve">, à sa cinquante-quatrième session, a </w:t>
      </w:r>
      <w:r w:rsidRPr="0045102A">
        <w:rPr>
          <w:lang w:val="fr-FR"/>
        </w:rPr>
        <w:t>entendu un exposé sur la "Nouvelle recherche dans la base de données australienne sur les droits d'obtenteur", présenté par un expert de l'Australie. Un exemplaire de cet exposé figurera dans le document TWF/54/3.  Le TWF a pris note de la disponibilité de données sur les variétés en format consultable, y compris les descriptions et les données relatives aux essais DHS (voir le paragraphe 26 du document TWF/54/13 "Compte rendu").</w:t>
      </w:r>
    </w:p>
    <w:p w14:paraId="21DB4AFD" w14:textId="77777777" w:rsidR="00AA47CA" w:rsidRPr="0045102A" w:rsidRDefault="00AA47CA" w:rsidP="00AA47CA">
      <w:pPr>
        <w:rPr>
          <w:lang w:val="fr-FR"/>
        </w:rPr>
      </w:pPr>
    </w:p>
    <w:p w14:paraId="74D893EA" w14:textId="12E9FBD3" w:rsidR="00C24582" w:rsidRPr="0045102A" w:rsidRDefault="00523186" w:rsidP="00AE18CA">
      <w:pPr>
        <w:keepNext/>
        <w:keepLines/>
        <w:rPr>
          <w:lang w:val="fr-FR"/>
        </w:rPr>
      </w:pPr>
      <w:r>
        <w:lastRenderedPageBreak/>
        <w:fldChar w:fldCharType="begin"/>
      </w:r>
      <w:r w:rsidRPr="0045102A">
        <w:rPr>
          <w:lang w:val="fr-FR"/>
        </w:rPr>
        <w:instrText xml:space="preserve"> AUTONUM  </w:instrText>
      </w:r>
      <w:r>
        <w:fldChar w:fldCharType="end"/>
      </w:r>
      <w:r w:rsidRPr="0045102A">
        <w:rPr>
          <w:lang w:val="fr-FR"/>
        </w:rPr>
        <w:tab/>
      </w:r>
      <w:r w:rsidR="00B13BCE">
        <w:rPr>
          <w:lang w:val="fr-CH"/>
        </w:rPr>
        <w:t xml:space="preserve">À </w:t>
      </w:r>
      <w:r w:rsidR="002E2E50" w:rsidRPr="0045102A">
        <w:rPr>
          <w:lang w:val="fr-FR"/>
        </w:rPr>
        <w:t xml:space="preserve">sa cinquante-quatrième session, le TWF a </w:t>
      </w:r>
      <w:r w:rsidRPr="0045102A">
        <w:rPr>
          <w:lang w:val="fr-FR"/>
        </w:rPr>
        <w:t xml:space="preserve">entendu un exposé sur les bases de données descriptives pomologiques présenté par un expert de la Communauté internationale des obtenteurs de plantes ornementales et fruitières de reproduction asexuée (CIOPORA).  Un exemplaire de cet exposé figure dans le document TWF/54/8 </w:t>
      </w:r>
      <w:r w:rsidR="002E2E50" w:rsidRPr="0045102A">
        <w:rPr>
          <w:lang w:val="fr-FR"/>
        </w:rPr>
        <w:t>(voir le paragraphe 27 du document TWF/54/13 "Compte rendu").</w:t>
      </w:r>
    </w:p>
    <w:p w14:paraId="33AF6734" w14:textId="77777777" w:rsidR="00AA47CA" w:rsidRPr="0045102A" w:rsidRDefault="00AA47CA" w:rsidP="00EE7BEF">
      <w:pPr>
        <w:tabs>
          <w:tab w:val="left" w:pos="5387"/>
        </w:tabs>
        <w:ind w:left="4820"/>
        <w:rPr>
          <w:i/>
          <w:iCs/>
          <w:lang w:val="fr-FR"/>
        </w:rPr>
      </w:pPr>
    </w:p>
    <w:p w14:paraId="6B16FEA5" w14:textId="47186E00" w:rsidR="00C24582" w:rsidRPr="0045102A" w:rsidRDefault="00523186">
      <w:pPr>
        <w:tabs>
          <w:tab w:val="left" w:pos="567"/>
          <w:tab w:val="left" w:pos="1134"/>
          <w:tab w:val="left" w:pos="5387"/>
        </w:tabs>
        <w:ind w:left="4820"/>
        <w:rPr>
          <w:i/>
          <w:iCs/>
          <w:color w:val="000000"/>
          <w:lang w:val="fr-FR"/>
        </w:rPr>
      </w:pPr>
      <w:r w:rsidRPr="00EE7BEF">
        <w:rPr>
          <w:i/>
          <w:iCs/>
          <w:lang w:val="en-GB"/>
        </w:rPr>
        <w:fldChar w:fldCharType="begin"/>
      </w:r>
      <w:r w:rsidRPr="0045102A">
        <w:rPr>
          <w:i/>
          <w:iCs/>
          <w:lang w:val="fr-FR"/>
        </w:rPr>
        <w:instrText xml:space="preserve"> AUTONUM  </w:instrText>
      </w:r>
      <w:r w:rsidRPr="00EE7BEF">
        <w:rPr>
          <w:i/>
          <w:iCs/>
          <w:lang w:val="en-GB"/>
        </w:rPr>
        <w:fldChar w:fldCharType="end"/>
      </w:r>
      <w:r w:rsidRPr="0045102A">
        <w:rPr>
          <w:i/>
          <w:iCs/>
          <w:lang w:val="fr-FR"/>
        </w:rPr>
        <w:tab/>
        <w:t>Le T</w:t>
      </w:r>
      <w:r w:rsidR="00B13BCE">
        <w:rPr>
          <w:i/>
          <w:iCs/>
          <w:lang w:val="fr-FR"/>
        </w:rPr>
        <w:t>C</w:t>
      </w:r>
      <w:r w:rsidRPr="0045102A">
        <w:rPr>
          <w:i/>
          <w:iCs/>
          <w:lang w:val="fr-FR"/>
        </w:rPr>
        <w:t xml:space="preserve"> est invité à prendre note des questions pour information rendues dans ce document.</w:t>
      </w:r>
    </w:p>
    <w:p w14:paraId="6C33E817" w14:textId="77777777" w:rsidR="00EE7BEF" w:rsidRPr="0045102A" w:rsidRDefault="00EE7BEF" w:rsidP="00445B73">
      <w:pPr>
        <w:rPr>
          <w:lang w:val="fr-FR"/>
        </w:rPr>
      </w:pPr>
    </w:p>
    <w:p w14:paraId="1E5BA6C7" w14:textId="77777777" w:rsidR="00445B73" w:rsidRPr="0045102A" w:rsidRDefault="00445B73" w:rsidP="00445B73">
      <w:pPr>
        <w:jc w:val="left"/>
        <w:rPr>
          <w:lang w:val="fr-FR"/>
        </w:rPr>
      </w:pPr>
    </w:p>
    <w:p w14:paraId="3D19F3D7" w14:textId="77777777" w:rsidR="00445B73" w:rsidRPr="0045102A" w:rsidRDefault="00445B73" w:rsidP="00445B73">
      <w:pPr>
        <w:rPr>
          <w:lang w:val="fr-FR"/>
        </w:rPr>
      </w:pPr>
    </w:p>
    <w:p w14:paraId="27AC46E3" w14:textId="77777777" w:rsidR="00C24582" w:rsidRDefault="00523186">
      <w:pPr>
        <w:jc w:val="right"/>
      </w:pPr>
      <w:r w:rsidRPr="0045102A">
        <w:rPr>
          <w:lang w:val="fr-FR"/>
        </w:rPr>
        <w:t xml:space="preserve"> </w:t>
      </w:r>
      <w:r w:rsidRPr="00C5280D">
        <w:t>[Fin du document]</w:t>
      </w:r>
    </w:p>
    <w:sectPr w:rsidR="00C24582" w:rsidSect="0004198B">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69116C" w14:textId="77777777" w:rsidR="00707BB7" w:rsidRDefault="00707BB7" w:rsidP="006655D3">
      <w:r>
        <w:separator/>
      </w:r>
    </w:p>
    <w:p w14:paraId="19CE42AA" w14:textId="77777777" w:rsidR="00707BB7" w:rsidRDefault="00707BB7" w:rsidP="006655D3"/>
    <w:p w14:paraId="18E032DA" w14:textId="77777777" w:rsidR="00707BB7" w:rsidRDefault="00707BB7" w:rsidP="006655D3"/>
  </w:endnote>
  <w:endnote w:type="continuationSeparator" w:id="0">
    <w:p w14:paraId="1130C40A" w14:textId="77777777" w:rsidR="00707BB7" w:rsidRDefault="00707BB7" w:rsidP="006655D3">
      <w:r>
        <w:separator/>
      </w:r>
    </w:p>
    <w:p w14:paraId="16DD6F34" w14:textId="77777777" w:rsidR="00C24582" w:rsidRDefault="00523186">
      <w:pPr>
        <w:pStyle w:val="Footer"/>
        <w:spacing w:after="60"/>
        <w:rPr>
          <w:sz w:val="18"/>
          <w:lang w:val="fr-FR"/>
        </w:rPr>
      </w:pPr>
      <w:r w:rsidRPr="00294751">
        <w:rPr>
          <w:sz w:val="18"/>
          <w:lang w:val="fr-FR"/>
        </w:rPr>
        <w:t>[Suite de la note de la page précédente].</w:t>
      </w:r>
    </w:p>
    <w:p w14:paraId="47FFE0E0" w14:textId="77777777" w:rsidR="00707BB7" w:rsidRPr="00294751" w:rsidRDefault="00707BB7" w:rsidP="006655D3">
      <w:pPr>
        <w:rPr>
          <w:lang w:val="fr-FR"/>
        </w:rPr>
      </w:pPr>
    </w:p>
    <w:p w14:paraId="3E62DA0D" w14:textId="77777777" w:rsidR="00707BB7" w:rsidRPr="00294751" w:rsidRDefault="00707BB7" w:rsidP="006655D3">
      <w:pPr>
        <w:rPr>
          <w:lang w:val="fr-FR"/>
        </w:rPr>
      </w:pPr>
    </w:p>
  </w:endnote>
  <w:endnote w:type="continuationNotice" w:id="1">
    <w:p w14:paraId="3CEC9C69" w14:textId="77777777" w:rsidR="00C24582" w:rsidRDefault="00523186">
      <w:pPr>
        <w:rPr>
          <w:lang w:val="fr-FR"/>
        </w:rPr>
      </w:pPr>
      <w:r w:rsidRPr="00294751">
        <w:rPr>
          <w:lang w:val="fr-FR"/>
        </w:rPr>
        <w:t>[Suite de la note page suivante]</w:t>
      </w:r>
    </w:p>
    <w:p w14:paraId="5C3933E5" w14:textId="77777777" w:rsidR="00707BB7" w:rsidRPr="00294751" w:rsidRDefault="00707BB7" w:rsidP="006655D3">
      <w:pPr>
        <w:rPr>
          <w:lang w:val="fr-FR"/>
        </w:rPr>
      </w:pPr>
    </w:p>
    <w:p w14:paraId="1988CA89" w14:textId="77777777" w:rsidR="00707BB7" w:rsidRPr="00294751" w:rsidRDefault="00707BB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68776" w14:textId="77777777" w:rsidR="00707BB7" w:rsidRDefault="00707BB7" w:rsidP="006655D3">
      <w:r>
        <w:separator/>
      </w:r>
    </w:p>
  </w:footnote>
  <w:footnote w:type="continuationSeparator" w:id="0">
    <w:p w14:paraId="6773163A" w14:textId="77777777" w:rsidR="00707BB7" w:rsidRDefault="00707BB7" w:rsidP="006655D3">
      <w:r>
        <w:separator/>
      </w:r>
    </w:p>
  </w:footnote>
  <w:footnote w:type="continuationNotice" w:id="1">
    <w:p w14:paraId="41D3A4E4" w14:textId="77777777" w:rsidR="00707BB7" w:rsidRPr="00AB530F" w:rsidRDefault="00707BB7" w:rsidP="00AB530F">
      <w:pPr>
        <w:pStyle w:val="Footer"/>
      </w:pPr>
    </w:p>
  </w:footnote>
  <w:footnote w:id="2">
    <w:p w14:paraId="223A30FC" w14:textId="0B271210" w:rsidR="00C24582" w:rsidRPr="0045102A" w:rsidRDefault="00523186">
      <w:pPr>
        <w:pStyle w:val="FootnoteText"/>
        <w:rPr>
          <w:lang w:val="fr-FR"/>
        </w:rPr>
      </w:pPr>
      <w:r>
        <w:rPr>
          <w:rStyle w:val="FootnoteReference"/>
        </w:rPr>
        <w:footnoteRef/>
      </w:r>
      <w:r w:rsidRPr="0045102A">
        <w:rPr>
          <w:lang w:val="fr-FR"/>
        </w:rPr>
        <w:t xml:space="preserve"> </w:t>
      </w:r>
      <w:r w:rsidR="006821D8">
        <w:rPr>
          <w:lang w:val="fr-FR"/>
        </w:rPr>
        <w:t xml:space="preserve">TC, cinquante-quatrième session, </w:t>
      </w:r>
      <w:r w:rsidRPr="0045102A">
        <w:rPr>
          <w:lang w:val="fr-FR"/>
        </w:rPr>
        <w:t>tenue à Genève du 30 mars au 1er avril 2009</w:t>
      </w:r>
    </w:p>
  </w:footnote>
  <w:footnote w:id="3">
    <w:p w14:paraId="2D75F64F" w14:textId="77777777" w:rsidR="00C24582" w:rsidRPr="0045102A" w:rsidRDefault="00523186">
      <w:pPr>
        <w:pStyle w:val="FootnoteText"/>
        <w:rPr>
          <w:lang w:val="fr-FR"/>
        </w:rPr>
      </w:pPr>
      <w:r>
        <w:rPr>
          <w:rStyle w:val="FootnoteReference"/>
        </w:rPr>
        <w:footnoteRef/>
      </w:r>
      <w:r w:rsidRPr="0045102A">
        <w:rPr>
          <w:lang w:val="fr-FR"/>
        </w:rPr>
        <w:t xml:space="preserve"> lors de sa cinquante-septième session, tenue à Antalya, Türkiye, du 1er au 5 </w:t>
      </w:r>
      <w:r w:rsidR="0082264E" w:rsidRPr="0045102A">
        <w:rPr>
          <w:lang w:val="fr-FR"/>
        </w:rPr>
        <w:t xml:space="preserve">mai </w:t>
      </w:r>
      <w:r w:rsidRPr="0045102A">
        <w:rPr>
          <w:lang w:val="fr-FR"/>
        </w:rPr>
        <w:t>2023.</w:t>
      </w:r>
    </w:p>
  </w:footnote>
  <w:footnote w:id="4">
    <w:p w14:paraId="21770879" w14:textId="77777777" w:rsidR="00C24582" w:rsidRPr="0045102A" w:rsidRDefault="00523186">
      <w:pPr>
        <w:pStyle w:val="FootnoteText"/>
        <w:rPr>
          <w:lang w:val="fr-FR"/>
        </w:rPr>
      </w:pPr>
      <w:r>
        <w:rPr>
          <w:rStyle w:val="FootnoteReference"/>
        </w:rPr>
        <w:footnoteRef/>
      </w:r>
      <w:r w:rsidRPr="0045102A">
        <w:rPr>
          <w:lang w:val="fr-FR"/>
        </w:rPr>
        <w:t xml:space="preserve"> lors de sa cinquante-deuxième session, tenue par voie électronique, du 22 au 26 mai 2023.</w:t>
      </w:r>
    </w:p>
  </w:footnote>
  <w:footnote w:id="5">
    <w:p w14:paraId="6E8CC047" w14:textId="77777777" w:rsidR="00C24582" w:rsidRPr="0045102A" w:rsidRDefault="00523186">
      <w:pPr>
        <w:pStyle w:val="FootnoteText"/>
        <w:rPr>
          <w:lang w:val="fr-FR"/>
        </w:rPr>
      </w:pPr>
      <w:r>
        <w:rPr>
          <w:rStyle w:val="FootnoteReference"/>
        </w:rPr>
        <w:footnoteRef/>
      </w:r>
      <w:r w:rsidRPr="0045102A">
        <w:rPr>
          <w:lang w:val="fr-FR"/>
        </w:rPr>
        <w:t xml:space="preserve"> lors de sa cinquante-cinquième session, tenue par voie électronique, du 12 au 16 juin 2023.</w:t>
      </w:r>
    </w:p>
  </w:footnote>
  <w:footnote w:id="6">
    <w:p w14:paraId="28B95815" w14:textId="77777777" w:rsidR="00C24582" w:rsidRPr="0045102A" w:rsidRDefault="00523186">
      <w:pPr>
        <w:pStyle w:val="FootnoteText"/>
        <w:rPr>
          <w:lang w:val="fr-FR"/>
        </w:rPr>
      </w:pPr>
      <w:r>
        <w:rPr>
          <w:rStyle w:val="FootnoteReference"/>
        </w:rPr>
        <w:footnoteRef/>
      </w:r>
      <w:r w:rsidRPr="0045102A">
        <w:rPr>
          <w:lang w:val="fr-FR"/>
        </w:rPr>
        <w:t xml:space="preserve"> lors de sa cinquante-quatrième session, tenue à Nîmes, France, du 3 au 7 juillet 2023</w:t>
      </w:r>
      <w:r w:rsidR="0082264E" w:rsidRPr="0045102A">
        <w:rPr>
          <w:lang w:val="fr-FR"/>
        </w:rPr>
        <w:t>.</w:t>
      </w:r>
    </w:p>
  </w:footnote>
  <w:footnote w:id="7">
    <w:p w14:paraId="6974F3DF" w14:textId="77777777" w:rsidR="00C24582" w:rsidRPr="0045102A" w:rsidRDefault="00523186">
      <w:pPr>
        <w:pStyle w:val="FootnoteText"/>
        <w:rPr>
          <w:lang w:val="fr-FR"/>
        </w:rPr>
      </w:pPr>
      <w:r>
        <w:rPr>
          <w:rStyle w:val="FootnoteReference"/>
        </w:rPr>
        <w:footnoteRef/>
      </w:r>
      <w:r w:rsidRPr="0045102A">
        <w:rPr>
          <w:lang w:val="fr-FR"/>
        </w:rPr>
        <w:t xml:space="preserve"> lors de sa cinquante-cinquième session, tenue par voie électronique, du 12 au 16 juin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7F67" w14:textId="77777777" w:rsidR="00C24582" w:rsidRDefault="001C7E1F">
    <w:pPr>
      <w:pStyle w:val="Header"/>
      <w:rPr>
        <w:rStyle w:val="PageNumber"/>
        <w:lang w:val="en-US"/>
      </w:rPr>
    </w:pPr>
    <w:r>
      <w:rPr>
        <w:rStyle w:val="PageNumber"/>
        <w:lang w:val="en-US"/>
      </w:rPr>
      <w:t>TC/59/7</w:t>
    </w:r>
  </w:p>
  <w:p w14:paraId="7401680F" w14:textId="77777777" w:rsidR="00C24582" w:rsidRDefault="00523186">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003E7">
      <w:rPr>
        <w:rStyle w:val="PageNumber"/>
        <w:noProof/>
        <w:lang w:val="en-US"/>
      </w:rPr>
      <w:t>2</w:t>
    </w:r>
    <w:r w:rsidRPr="00C5280D">
      <w:rPr>
        <w:rStyle w:val="PageNumber"/>
        <w:lang w:val="en-US"/>
      </w:rPr>
      <w:fldChar w:fldCharType="end"/>
    </w:r>
  </w:p>
  <w:p w14:paraId="7501F8E3"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21D5A"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 w15:restartNumberingAfterBreak="0">
    <w:nsid w:val="7C2A305E"/>
    <w:multiLevelType w:val="hybridMultilevel"/>
    <w:tmpl w:val="76949C28"/>
    <w:lvl w:ilvl="0" w:tplc="04090001">
      <w:start w:val="1"/>
      <w:numFmt w:val="bulle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num w:numId="1" w16cid:durableId="457143179">
    <w:abstractNumId w:val="0"/>
  </w:num>
  <w:num w:numId="2" w16cid:durableId="616639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6"/>
    <w:rsid w:val="00010CF3"/>
    <w:rsid w:val="00011E27"/>
    <w:rsid w:val="000148BC"/>
    <w:rsid w:val="00024AB8"/>
    <w:rsid w:val="00030854"/>
    <w:rsid w:val="00031149"/>
    <w:rsid w:val="00036028"/>
    <w:rsid w:val="0004198B"/>
    <w:rsid w:val="00044642"/>
    <w:rsid w:val="000446B9"/>
    <w:rsid w:val="00047E21"/>
    <w:rsid w:val="00050E16"/>
    <w:rsid w:val="00085505"/>
    <w:rsid w:val="00091B62"/>
    <w:rsid w:val="0009672A"/>
    <w:rsid w:val="000C4E25"/>
    <w:rsid w:val="000C7021"/>
    <w:rsid w:val="000D6BBC"/>
    <w:rsid w:val="000D7780"/>
    <w:rsid w:val="000E636A"/>
    <w:rsid w:val="000F2F11"/>
    <w:rsid w:val="00100A5F"/>
    <w:rsid w:val="00105929"/>
    <w:rsid w:val="00110BED"/>
    <w:rsid w:val="00110C36"/>
    <w:rsid w:val="001131D5"/>
    <w:rsid w:val="00114547"/>
    <w:rsid w:val="00141DB8"/>
    <w:rsid w:val="00172084"/>
    <w:rsid w:val="0017474A"/>
    <w:rsid w:val="001758C6"/>
    <w:rsid w:val="00182B99"/>
    <w:rsid w:val="001935FF"/>
    <w:rsid w:val="001A3AF1"/>
    <w:rsid w:val="001B1AA3"/>
    <w:rsid w:val="001C1525"/>
    <w:rsid w:val="001C7E1F"/>
    <w:rsid w:val="001D6D3F"/>
    <w:rsid w:val="0021332C"/>
    <w:rsid w:val="00213982"/>
    <w:rsid w:val="00213CC1"/>
    <w:rsid w:val="0024416D"/>
    <w:rsid w:val="00271911"/>
    <w:rsid w:val="00273187"/>
    <w:rsid w:val="002800A0"/>
    <w:rsid w:val="002801B3"/>
    <w:rsid w:val="00281060"/>
    <w:rsid w:val="00284050"/>
    <w:rsid w:val="00285BD0"/>
    <w:rsid w:val="002940E8"/>
    <w:rsid w:val="00294751"/>
    <w:rsid w:val="002A6E50"/>
    <w:rsid w:val="002B4298"/>
    <w:rsid w:val="002B6508"/>
    <w:rsid w:val="002B7A36"/>
    <w:rsid w:val="002C256A"/>
    <w:rsid w:val="002D5226"/>
    <w:rsid w:val="002E2E50"/>
    <w:rsid w:val="002F0CA0"/>
    <w:rsid w:val="00305744"/>
    <w:rsid w:val="00305A7F"/>
    <w:rsid w:val="003152FE"/>
    <w:rsid w:val="00327436"/>
    <w:rsid w:val="00344BD6"/>
    <w:rsid w:val="0035528D"/>
    <w:rsid w:val="00361821"/>
    <w:rsid w:val="00361E9E"/>
    <w:rsid w:val="003753EE"/>
    <w:rsid w:val="003A0835"/>
    <w:rsid w:val="003A2CDE"/>
    <w:rsid w:val="003A5AAF"/>
    <w:rsid w:val="003A709C"/>
    <w:rsid w:val="003B700A"/>
    <w:rsid w:val="003C7FBE"/>
    <w:rsid w:val="003D0839"/>
    <w:rsid w:val="003D227C"/>
    <w:rsid w:val="003D2B4D"/>
    <w:rsid w:val="003F37F5"/>
    <w:rsid w:val="0041093C"/>
    <w:rsid w:val="00444A88"/>
    <w:rsid w:val="00445B73"/>
    <w:rsid w:val="0045102A"/>
    <w:rsid w:val="00474DA4"/>
    <w:rsid w:val="00476B4D"/>
    <w:rsid w:val="004805FA"/>
    <w:rsid w:val="004935D2"/>
    <w:rsid w:val="00496EE6"/>
    <w:rsid w:val="004B1215"/>
    <w:rsid w:val="004D047D"/>
    <w:rsid w:val="004F1E9E"/>
    <w:rsid w:val="004F305A"/>
    <w:rsid w:val="00512164"/>
    <w:rsid w:val="00520297"/>
    <w:rsid w:val="00523186"/>
    <w:rsid w:val="005338F9"/>
    <w:rsid w:val="0054281C"/>
    <w:rsid w:val="00544581"/>
    <w:rsid w:val="00551760"/>
    <w:rsid w:val="0055268D"/>
    <w:rsid w:val="00575DE2"/>
    <w:rsid w:val="00576BE4"/>
    <w:rsid w:val="005779DB"/>
    <w:rsid w:val="0059240F"/>
    <w:rsid w:val="005A2A67"/>
    <w:rsid w:val="005A400A"/>
    <w:rsid w:val="005B269D"/>
    <w:rsid w:val="005D3F4E"/>
    <w:rsid w:val="005F7B92"/>
    <w:rsid w:val="00612379"/>
    <w:rsid w:val="006153B6"/>
    <w:rsid w:val="0061555F"/>
    <w:rsid w:val="006245ED"/>
    <w:rsid w:val="006310A8"/>
    <w:rsid w:val="00636CA6"/>
    <w:rsid w:val="00641200"/>
    <w:rsid w:val="00645CA8"/>
    <w:rsid w:val="00663918"/>
    <w:rsid w:val="006655D3"/>
    <w:rsid w:val="00667404"/>
    <w:rsid w:val="006821D8"/>
    <w:rsid w:val="00687EB4"/>
    <w:rsid w:val="00695C56"/>
    <w:rsid w:val="006A5CDE"/>
    <w:rsid w:val="006A644A"/>
    <w:rsid w:val="006B17D2"/>
    <w:rsid w:val="006B1D22"/>
    <w:rsid w:val="006C224E"/>
    <w:rsid w:val="006D780A"/>
    <w:rsid w:val="007003E7"/>
    <w:rsid w:val="00707BB7"/>
    <w:rsid w:val="0071271E"/>
    <w:rsid w:val="00724A06"/>
    <w:rsid w:val="00726192"/>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1928"/>
    <w:rsid w:val="007F498F"/>
    <w:rsid w:val="0080679D"/>
    <w:rsid w:val="008108B0"/>
    <w:rsid w:val="00811B20"/>
    <w:rsid w:val="00812609"/>
    <w:rsid w:val="008211B5"/>
    <w:rsid w:val="0082264E"/>
    <w:rsid w:val="0082296E"/>
    <w:rsid w:val="00824099"/>
    <w:rsid w:val="0084641C"/>
    <w:rsid w:val="00846D7C"/>
    <w:rsid w:val="008552C8"/>
    <w:rsid w:val="00867AC1"/>
    <w:rsid w:val="008751DE"/>
    <w:rsid w:val="00890DF8"/>
    <w:rsid w:val="008A0ADE"/>
    <w:rsid w:val="008A17B9"/>
    <w:rsid w:val="008A743F"/>
    <w:rsid w:val="008C0970"/>
    <w:rsid w:val="008D0BC5"/>
    <w:rsid w:val="008D2CF7"/>
    <w:rsid w:val="00900C26"/>
    <w:rsid w:val="0090197F"/>
    <w:rsid w:val="00903264"/>
    <w:rsid w:val="00906DDC"/>
    <w:rsid w:val="00934E09"/>
    <w:rsid w:val="00936253"/>
    <w:rsid w:val="00940D46"/>
    <w:rsid w:val="009413F1"/>
    <w:rsid w:val="00952DD4"/>
    <w:rsid w:val="009561F4"/>
    <w:rsid w:val="00957372"/>
    <w:rsid w:val="00965AE7"/>
    <w:rsid w:val="00970FED"/>
    <w:rsid w:val="00985352"/>
    <w:rsid w:val="00985E41"/>
    <w:rsid w:val="00992D82"/>
    <w:rsid w:val="00997029"/>
    <w:rsid w:val="009A7339"/>
    <w:rsid w:val="009B440E"/>
    <w:rsid w:val="009D690D"/>
    <w:rsid w:val="009E65B6"/>
    <w:rsid w:val="009F0A51"/>
    <w:rsid w:val="009F0B7F"/>
    <w:rsid w:val="009F77CF"/>
    <w:rsid w:val="00A12795"/>
    <w:rsid w:val="00A24C10"/>
    <w:rsid w:val="00A42AC3"/>
    <w:rsid w:val="00A430CF"/>
    <w:rsid w:val="00A53175"/>
    <w:rsid w:val="00A54309"/>
    <w:rsid w:val="00A55168"/>
    <w:rsid w:val="00A610A9"/>
    <w:rsid w:val="00A80F2A"/>
    <w:rsid w:val="00A96C33"/>
    <w:rsid w:val="00A971C1"/>
    <w:rsid w:val="00AA04BF"/>
    <w:rsid w:val="00AA47CA"/>
    <w:rsid w:val="00AB2B93"/>
    <w:rsid w:val="00AB530F"/>
    <w:rsid w:val="00AB7E5B"/>
    <w:rsid w:val="00AC2883"/>
    <w:rsid w:val="00AE0EF1"/>
    <w:rsid w:val="00AE18CA"/>
    <w:rsid w:val="00AE2937"/>
    <w:rsid w:val="00B07301"/>
    <w:rsid w:val="00B11F3E"/>
    <w:rsid w:val="00B13BCE"/>
    <w:rsid w:val="00B224DE"/>
    <w:rsid w:val="00B324D4"/>
    <w:rsid w:val="00B46575"/>
    <w:rsid w:val="00B47E12"/>
    <w:rsid w:val="00B57009"/>
    <w:rsid w:val="00B61777"/>
    <w:rsid w:val="00B622E6"/>
    <w:rsid w:val="00B83E82"/>
    <w:rsid w:val="00B84BBD"/>
    <w:rsid w:val="00BA43FB"/>
    <w:rsid w:val="00BA61B2"/>
    <w:rsid w:val="00BC0B08"/>
    <w:rsid w:val="00BC127D"/>
    <w:rsid w:val="00BC1FE6"/>
    <w:rsid w:val="00BF1CF5"/>
    <w:rsid w:val="00C061B6"/>
    <w:rsid w:val="00C2446C"/>
    <w:rsid w:val="00C24582"/>
    <w:rsid w:val="00C36AE5"/>
    <w:rsid w:val="00C41F17"/>
    <w:rsid w:val="00C527FA"/>
    <w:rsid w:val="00C5280D"/>
    <w:rsid w:val="00C53EB3"/>
    <w:rsid w:val="00C5791C"/>
    <w:rsid w:val="00C66290"/>
    <w:rsid w:val="00C72B7A"/>
    <w:rsid w:val="00C973F2"/>
    <w:rsid w:val="00CA21DF"/>
    <w:rsid w:val="00CA304C"/>
    <w:rsid w:val="00CA774A"/>
    <w:rsid w:val="00CB4921"/>
    <w:rsid w:val="00CB7CBB"/>
    <w:rsid w:val="00CC11B0"/>
    <w:rsid w:val="00CC2841"/>
    <w:rsid w:val="00CF1330"/>
    <w:rsid w:val="00CF7E36"/>
    <w:rsid w:val="00D22396"/>
    <w:rsid w:val="00D3708D"/>
    <w:rsid w:val="00D40426"/>
    <w:rsid w:val="00D55B58"/>
    <w:rsid w:val="00D57C96"/>
    <w:rsid w:val="00D57D18"/>
    <w:rsid w:val="00D70E65"/>
    <w:rsid w:val="00D91203"/>
    <w:rsid w:val="00D95174"/>
    <w:rsid w:val="00D95B6C"/>
    <w:rsid w:val="00DA4973"/>
    <w:rsid w:val="00DA6F36"/>
    <w:rsid w:val="00DB596E"/>
    <w:rsid w:val="00DB7773"/>
    <w:rsid w:val="00DC00EA"/>
    <w:rsid w:val="00DC3802"/>
    <w:rsid w:val="00DD6208"/>
    <w:rsid w:val="00DF7E99"/>
    <w:rsid w:val="00E07D87"/>
    <w:rsid w:val="00E249C8"/>
    <w:rsid w:val="00E32F7E"/>
    <w:rsid w:val="00E5267B"/>
    <w:rsid w:val="00E559F0"/>
    <w:rsid w:val="00E63C0E"/>
    <w:rsid w:val="00E72D49"/>
    <w:rsid w:val="00E7593C"/>
    <w:rsid w:val="00E7678A"/>
    <w:rsid w:val="00E81BE2"/>
    <w:rsid w:val="00E935F1"/>
    <w:rsid w:val="00E94A81"/>
    <w:rsid w:val="00EA1FFB"/>
    <w:rsid w:val="00EB048E"/>
    <w:rsid w:val="00EB4E9C"/>
    <w:rsid w:val="00EC634B"/>
    <w:rsid w:val="00EE34DF"/>
    <w:rsid w:val="00EE7BEF"/>
    <w:rsid w:val="00EF2F89"/>
    <w:rsid w:val="00EF7D09"/>
    <w:rsid w:val="00F03E98"/>
    <w:rsid w:val="00F1237A"/>
    <w:rsid w:val="00F22CBD"/>
    <w:rsid w:val="00F272F1"/>
    <w:rsid w:val="00F31412"/>
    <w:rsid w:val="00F45372"/>
    <w:rsid w:val="00F560F7"/>
    <w:rsid w:val="00F6334D"/>
    <w:rsid w:val="00F63599"/>
    <w:rsid w:val="00F71781"/>
    <w:rsid w:val="00FA49AB"/>
    <w:rsid w:val="00FB0072"/>
    <w:rsid w:val="00FB4067"/>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4064C736"/>
  <w15:docId w15:val="{0E041C53-2CB6-4611-A4F0-A42E41B6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aliases w:val="VARIETY,variety"/>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8552C8"/>
    <w:pPr>
      <w:tabs>
        <w:tab w:val="right" w:leader="dot" w:pos="9639"/>
      </w:tabs>
      <w:ind w:left="568" w:right="851" w:hanging="284"/>
      <w:contextualSpacing/>
      <w:jc w:val="left"/>
    </w:pPr>
    <w:rPr>
      <w:sz w:val="18"/>
    </w:rPr>
  </w:style>
  <w:style w:type="paragraph" w:styleId="TOC3">
    <w:name w:val="toc 3"/>
    <w:next w:val="Normal"/>
    <w:autoRedefine/>
    <w:rsid w:val="00753EE9"/>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8552C8"/>
    <w:pPr>
      <w:tabs>
        <w:tab w:val="right" w:leader="dot" w:pos="9639"/>
      </w:tabs>
      <w:spacing w:before="60"/>
      <w:ind w:right="1418"/>
      <w:jc w:val="left"/>
    </w:pPr>
    <w:rPr>
      <w:caps/>
      <w:noProof/>
      <w:sz w:val="18"/>
      <w:lang w:val="en-GB"/>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4Char">
    <w:name w:val="Heading 4 Char"/>
    <w:basedOn w:val="DefaultParagraphFont"/>
    <w:link w:val="Heading4"/>
    <w:rsid w:val="00AA47CA"/>
    <w:rPr>
      <w:rFonts w:ascii="Arial" w:hAnsi="Arial"/>
      <w:u w:val="single"/>
      <w:lang w:val="fr-FR"/>
    </w:rPr>
  </w:style>
  <w:style w:type="character" w:customStyle="1" w:styleId="Heading2Char">
    <w:name w:val="Heading 2 Char"/>
    <w:aliases w:val="VARIETY Char,variety Char"/>
    <w:basedOn w:val="DefaultParagraphFont"/>
    <w:link w:val="Heading2"/>
    <w:rsid w:val="008A17B9"/>
    <w:rPr>
      <w:rFonts w:ascii="Arial" w:hAnsi="Arial"/>
      <w:u w:val="single"/>
    </w:rPr>
  </w:style>
  <w:style w:type="character" w:customStyle="1" w:styleId="Heading3Char">
    <w:name w:val="Heading 3 Char"/>
    <w:basedOn w:val="DefaultParagraphFont"/>
    <w:link w:val="Heading3"/>
    <w:rsid w:val="008A17B9"/>
    <w:rPr>
      <w:rFonts w:ascii="Arial" w:hAnsi="Arial"/>
      <w:i/>
    </w:rPr>
  </w:style>
  <w:style w:type="character" w:customStyle="1" w:styleId="FootnoteTextChar">
    <w:name w:val="Footnote Text Char"/>
    <w:basedOn w:val="DefaultParagraphFont"/>
    <w:link w:val="FootnoteText"/>
    <w:rsid w:val="008A17B9"/>
    <w:rPr>
      <w:rFonts w:ascii="Arial" w:hAnsi="Arial"/>
      <w:sz w:val="16"/>
    </w:rPr>
  </w:style>
  <w:style w:type="character" w:customStyle="1" w:styleId="ListParagraphChar">
    <w:name w:val="List Paragraph Char"/>
    <w:aliases w:val="auto_list_(i) Char,List Paragraph1 Char"/>
    <w:basedOn w:val="DefaultParagraphFont"/>
    <w:link w:val="ListParagraph"/>
    <w:uiPriority w:val="34"/>
    <w:locked/>
    <w:rsid w:val="008A17B9"/>
    <w:rPr>
      <w:rFonts w:ascii="Arial" w:eastAsia="MS Mincho" w:hAnsi="Arial" w:cs="Arial"/>
    </w:rPr>
  </w:style>
  <w:style w:type="paragraph" w:styleId="ListParagraph">
    <w:name w:val="List Paragraph"/>
    <w:aliases w:val="auto_list_(i),List Paragraph1"/>
    <w:basedOn w:val="Normal"/>
    <w:link w:val="ListParagraphChar"/>
    <w:uiPriority w:val="34"/>
    <w:qFormat/>
    <w:rsid w:val="008A17B9"/>
    <w:pPr>
      <w:ind w:left="720"/>
      <w:contextualSpacing/>
    </w:pPr>
    <w:rPr>
      <w:rFonts w:eastAsia="MS Mincho" w:cs="Arial"/>
    </w:rPr>
  </w:style>
  <w:style w:type="character" w:customStyle="1" w:styleId="Heading1Char">
    <w:name w:val="Heading 1 Char"/>
    <w:basedOn w:val="DefaultParagraphFont"/>
    <w:link w:val="Heading1"/>
    <w:rsid w:val="00726192"/>
    <w:rPr>
      <w:rFonts w:ascii="Arial" w:hAnsi="Arial"/>
      <w:caps/>
    </w:rPr>
  </w:style>
  <w:style w:type="paragraph" w:styleId="Revision">
    <w:name w:val="Revision"/>
    <w:hidden/>
    <w:uiPriority w:val="99"/>
    <w:semiHidden/>
    <w:rsid w:val="0082264E"/>
    <w:rPr>
      <w:rFonts w:ascii="Arial" w:hAnsi="Arial"/>
    </w:rPr>
  </w:style>
  <w:style w:type="character" w:styleId="CommentReference">
    <w:name w:val="annotation reference"/>
    <w:basedOn w:val="DefaultParagraphFont"/>
    <w:semiHidden/>
    <w:unhideWhenUsed/>
    <w:rsid w:val="007003E7"/>
    <w:rPr>
      <w:sz w:val="16"/>
      <w:szCs w:val="16"/>
    </w:rPr>
  </w:style>
  <w:style w:type="paragraph" w:styleId="CommentText">
    <w:name w:val="annotation text"/>
    <w:basedOn w:val="Normal"/>
    <w:link w:val="CommentTextChar"/>
    <w:semiHidden/>
    <w:unhideWhenUsed/>
    <w:rsid w:val="007003E7"/>
  </w:style>
  <w:style w:type="character" w:customStyle="1" w:styleId="CommentTextChar">
    <w:name w:val="Comment Text Char"/>
    <w:basedOn w:val="DefaultParagraphFont"/>
    <w:link w:val="CommentText"/>
    <w:semiHidden/>
    <w:rsid w:val="007003E7"/>
    <w:rPr>
      <w:rFonts w:ascii="Arial" w:hAnsi="Arial"/>
    </w:rPr>
  </w:style>
  <w:style w:type="paragraph" w:styleId="CommentSubject">
    <w:name w:val="annotation subject"/>
    <w:basedOn w:val="CommentText"/>
    <w:next w:val="CommentText"/>
    <w:link w:val="CommentSubjectChar"/>
    <w:semiHidden/>
    <w:unhideWhenUsed/>
    <w:rsid w:val="007003E7"/>
    <w:rPr>
      <w:b/>
      <w:bCs/>
    </w:rPr>
  </w:style>
  <w:style w:type="character" w:customStyle="1" w:styleId="CommentSubjectChar">
    <w:name w:val="Comment Subject Char"/>
    <w:basedOn w:val="CommentTextChar"/>
    <w:link w:val="CommentSubject"/>
    <w:semiHidden/>
    <w:rsid w:val="007003E7"/>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 w:id="17284093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routing_slip_with_doc_tc_59.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7F6FC-EA83-4157-B662-9A38CC091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routing_slip_with_doc_tc_59</Template>
  <TotalTime>25</TotalTime>
  <Pages>3</Pages>
  <Words>1004</Words>
  <Characters>5925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TC/59/7</vt:lpstr>
    </vt:vector>
  </TitlesOfParts>
  <Company>UPOV</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TC/59/7</dc:title>
  <dc:creator>MAY Jessica</dc:creator>
  <cp:keywords>, docId:3C010760E93963A6284CC2274A7A130E</cp:keywords>
  <cp:lastModifiedBy>MAY Jessica</cp:lastModifiedBy>
  <cp:revision>25</cp:revision>
  <cp:lastPrinted>2016-11-22T15:41:00Z</cp:lastPrinted>
  <dcterms:created xsi:type="dcterms:W3CDTF">2023-09-14T17:43:00Z</dcterms:created>
  <dcterms:modified xsi:type="dcterms:W3CDTF">2023-09-21T11:57:00Z</dcterms:modified>
</cp:coreProperties>
</file>