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50522" w14:paraId="39468E34" w14:textId="77777777" w:rsidTr="00EB4E9C">
        <w:tc>
          <w:tcPr>
            <w:tcW w:w="6522" w:type="dxa"/>
          </w:tcPr>
          <w:p w14:paraId="2C4F120D" w14:textId="77777777" w:rsidR="00DC3802" w:rsidRPr="00350522" w:rsidRDefault="00DC3802" w:rsidP="00AC2883">
            <w:r w:rsidRPr="00350522">
              <w:rPr>
                <w:noProof/>
              </w:rPr>
              <w:drawing>
                <wp:inline distT="0" distB="0" distL="0" distR="0" wp14:anchorId="3B717575" wp14:editId="0AB3EC3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07450A4" w14:textId="77D9CC54" w:rsidR="000D6252" w:rsidRDefault="005D7D77">
            <w:pPr>
              <w:pStyle w:val="Lettrine"/>
            </w:pPr>
            <w:r>
              <w:t>F</w:t>
            </w:r>
          </w:p>
        </w:tc>
      </w:tr>
      <w:tr w:rsidR="00DC3802" w:rsidRPr="0036713B" w14:paraId="3AC6DE00" w14:textId="77777777" w:rsidTr="00645CA8">
        <w:trPr>
          <w:trHeight w:val="219"/>
        </w:trPr>
        <w:tc>
          <w:tcPr>
            <w:tcW w:w="6522" w:type="dxa"/>
          </w:tcPr>
          <w:p w14:paraId="62CA26A6" w14:textId="77777777" w:rsidR="000D6252" w:rsidRPr="003445F5" w:rsidRDefault="007D4A8C">
            <w:pPr>
              <w:pStyle w:val="upove"/>
              <w:rPr>
                <w:lang w:val="fr-CH"/>
              </w:rPr>
            </w:pPr>
            <w:r w:rsidRPr="003445F5">
              <w:rPr>
                <w:lang w:val="fr-CH"/>
              </w:rPr>
              <w:t>Union internationale pour la protection des obtentions végétales</w:t>
            </w:r>
          </w:p>
        </w:tc>
        <w:tc>
          <w:tcPr>
            <w:tcW w:w="3117" w:type="dxa"/>
          </w:tcPr>
          <w:p w14:paraId="00398C45" w14:textId="77777777" w:rsidR="00DC3802" w:rsidRPr="003445F5" w:rsidRDefault="00DC3802" w:rsidP="00DA4973">
            <w:pPr>
              <w:rPr>
                <w:lang w:val="fr-CH"/>
              </w:rPr>
            </w:pPr>
          </w:p>
        </w:tc>
      </w:tr>
    </w:tbl>
    <w:p w14:paraId="7A3F82E9" w14:textId="77777777" w:rsidR="00DC3802" w:rsidRPr="003445F5" w:rsidRDefault="00DC3802" w:rsidP="00DC3802">
      <w:pPr>
        <w:rPr>
          <w:lang w:val="fr-CH"/>
        </w:rPr>
      </w:pPr>
    </w:p>
    <w:p w14:paraId="718E15DC" w14:textId="77777777" w:rsidR="003D0839" w:rsidRPr="003445F5" w:rsidRDefault="003D0839" w:rsidP="003D0839">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36713B" w14:paraId="7B7F4B68" w14:textId="77777777" w:rsidTr="00507C08">
        <w:tc>
          <w:tcPr>
            <w:tcW w:w="6512" w:type="dxa"/>
          </w:tcPr>
          <w:p w14:paraId="72E98471" w14:textId="77777777" w:rsidR="000D6252" w:rsidRPr="003445F5" w:rsidRDefault="007D4A8C">
            <w:pPr>
              <w:pStyle w:val="Sessiontc"/>
              <w:spacing w:line="240" w:lineRule="auto"/>
              <w:rPr>
                <w:lang w:val="fr-CH"/>
              </w:rPr>
            </w:pPr>
            <w:r w:rsidRPr="003445F5">
              <w:rPr>
                <w:lang w:val="fr-CH"/>
              </w:rPr>
              <w:t>Comité technique</w:t>
            </w:r>
          </w:p>
          <w:p w14:paraId="038AD612" w14:textId="77777777" w:rsidR="000D6252" w:rsidRPr="003445F5" w:rsidRDefault="00E81BE2">
            <w:pPr>
              <w:pStyle w:val="Sessiontcplacedate"/>
              <w:rPr>
                <w:sz w:val="22"/>
                <w:lang w:val="fr-CH"/>
              </w:rPr>
            </w:pPr>
            <w:r w:rsidRPr="003445F5">
              <w:rPr>
                <w:lang w:val="fr-CH"/>
              </w:rPr>
              <w:t xml:space="preserve">Cinquante-neuvième </w:t>
            </w:r>
            <w:r w:rsidR="007D4A8C" w:rsidRPr="003445F5">
              <w:rPr>
                <w:lang w:val="fr-CH"/>
              </w:rPr>
              <w:t xml:space="preserve">session </w:t>
            </w:r>
            <w:r w:rsidR="007D4A8C" w:rsidRPr="003445F5">
              <w:rPr>
                <w:lang w:val="fr-CH"/>
              </w:rPr>
              <w:br/>
              <w:t xml:space="preserve">Genève, </w:t>
            </w:r>
            <w:r w:rsidRPr="003445F5">
              <w:rPr>
                <w:lang w:val="fr-CH"/>
              </w:rPr>
              <w:t xml:space="preserve">23 </w:t>
            </w:r>
            <w:r w:rsidR="007D4A8C" w:rsidRPr="003445F5">
              <w:rPr>
                <w:lang w:val="fr-CH"/>
              </w:rPr>
              <w:t xml:space="preserve">et </w:t>
            </w:r>
            <w:r w:rsidRPr="003445F5">
              <w:rPr>
                <w:lang w:val="fr-CH"/>
              </w:rPr>
              <w:t xml:space="preserve">24 </w:t>
            </w:r>
            <w:r w:rsidR="007D4A8C" w:rsidRPr="003445F5">
              <w:rPr>
                <w:lang w:val="fr-CH"/>
              </w:rPr>
              <w:t xml:space="preserve">octobre </w:t>
            </w:r>
            <w:r w:rsidRPr="003445F5">
              <w:rPr>
                <w:lang w:val="fr-CH"/>
              </w:rPr>
              <w:t>2023</w:t>
            </w:r>
          </w:p>
        </w:tc>
        <w:tc>
          <w:tcPr>
            <w:tcW w:w="3127" w:type="dxa"/>
          </w:tcPr>
          <w:p w14:paraId="00431D20" w14:textId="77777777" w:rsidR="000D6252" w:rsidRPr="003445F5" w:rsidRDefault="00913553">
            <w:pPr>
              <w:pStyle w:val="Doccode"/>
              <w:rPr>
                <w:lang w:val="fr-CH"/>
              </w:rPr>
            </w:pPr>
            <w:r w:rsidRPr="003445F5">
              <w:rPr>
                <w:lang w:val="fr-CH"/>
              </w:rPr>
              <w:t>TC/59/3</w:t>
            </w:r>
          </w:p>
          <w:p w14:paraId="29C10B06" w14:textId="77777777" w:rsidR="000D6252" w:rsidRPr="003445F5" w:rsidRDefault="007D4A8C">
            <w:pPr>
              <w:pStyle w:val="Docoriginal"/>
              <w:rPr>
                <w:lang w:val="fr-CH"/>
              </w:rPr>
            </w:pPr>
            <w:r w:rsidRPr="003445F5">
              <w:rPr>
                <w:lang w:val="fr-CH"/>
              </w:rPr>
              <w:t>Original :</w:t>
            </w:r>
            <w:r w:rsidRPr="003445F5">
              <w:rPr>
                <w:b w:val="0"/>
                <w:spacing w:val="0"/>
                <w:lang w:val="fr-CH"/>
              </w:rPr>
              <w:t xml:space="preserve">  Anglais</w:t>
            </w:r>
          </w:p>
          <w:p w14:paraId="6DD0BA13" w14:textId="0AD328C4" w:rsidR="000D6252" w:rsidRPr="003445F5" w:rsidRDefault="0036713B">
            <w:pPr>
              <w:pStyle w:val="Docoriginal"/>
              <w:rPr>
                <w:lang w:val="fr-CH"/>
              </w:rPr>
            </w:pPr>
            <w:r w:rsidRPr="003445F5">
              <w:rPr>
                <w:lang w:val="fr-CH"/>
              </w:rPr>
              <w:t>Date :</w:t>
            </w:r>
            <w:r w:rsidR="007D4A8C" w:rsidRPr="003445F5">
              <w:rPr>
                <w:lang w:val="fr-CH"/>
              </w:rPr>
              <w:t xml:space="preserve">  </w:t>
            </w:r>
            <w:r w:rsidR="00413B4E" w:rsidRPr="003445F5">
              <w:rPr>
                <w:b w:val="0"/>
                <w:spacing w:val="0"/>
                <w:lang w:val="fr-CH"/>
              </w:rPr>
              <w:t xml:space="preserve">6 </w:t>
            </w:r>
            <w:r w:rsidR="007D4A8C" w:rsidRPr="003445F5">
              <w:rPr>
                <w:b w:val="0"/>
                <w:spacing w:val="0"/>
                <w:lang w:val="fr-CH"/>
              </w:rPr>
              <w:t xml:space="preserve">septembre </w:t>
            </w:r>
            <w:r w:rsidR="00E81BE2" w:rsidRPr="003445F5">
              <w:rPr>
                <w:b w:val="0"/>
                <w:spacing w:val="0"/>
                <w:lang w:val="fr-CH"/>
              </w:rPr>
              <w:t>2023</w:t>
            </w:r>
          </w:p>
        </w:tc>
      </w:tr>
    </w:tbl>
    <w:p w14:paraId="5D7CD32F" w14:textId="5FAEFE92" w:rsidR="000D6252" w:rsidRPr="003445F5" w:rsidRDefault="007D4A8C">
      <w:pPr>
        <w:pStyle w:val="Titleofdoc0"/>
        <w:rPr>
          <w:lang w:val="fr-CH"/>
        </w:rPr>
      </w:pPr>
      <w:r w:rsidRPr="003445F5">
        <w:rPr>
          <w:lang w:val="fr-CH"/>
        </w:rPr>
        <w:t xml:space="preserve">Questions </w:t>
      </w:r>
      <w:r>
        <w:rPr>
          <w:lang w:val="fr-CH"/>
        </w:rPr>
        <w:t>découlant d</w:t>
      </w:r>
      <w:r w:rsidRPr="003445F5">
        <w:rPr>
          <w:lang w:val="fr-CH"/>
        </w:rPr>
        <w:t>es groupes de travail techniques</w:t>
      </w:r>
    </w:p>
    <w:p w14:paraId="18BE9C66" w14:textId="77777777" w:rsidR="000D6252" w:rsidRPr="003445F5" w:rsidRDefault="007D4A8C">
      <w:pPr>
        <w:pStyle w:val="preparedby1"/>
        <w:jc w:val="left"/>
        <w:rPr>
          <w:lang w:val="fr-CH"/>
        </w:rPr>
      </w:pPr>
      <w:r w:rsidRPr="003445F5">
        <w:rPr>
          <w:lang w:val="fr-CH"/>
        </w:rPr>
        <w:t>Document préparé par le Bureau de l'Union</w:t>
      </w:r>
    </w:p>
    <w:p w14:paraId="5D1F16BB" w14:textId="77777777" w:rsidR="005D7D77" w:rsidRPr="006365CE" w:rsidRDefault="005D7D77" w:rsidP="005D7D77">
      <w:pPr>
        <w:pStyle w:val="Disclaimer"/>
        <w:rPr>
          <w:lang w:val="fr-FR"/>
        </w:rPr>
      </w:pPr>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2AD5298C" w14:textId="77777777" w:rsidR="000D6252" w:rsidRPr="003445F5" w:rsidRDefault="007D4A8C">
      <w:pPr>
        <w:keepNext/>
        <w:outlineLvl w:val="0"/>
        <w:rPr>
          <w:caps/>
          <w:lang w:val="fr-CH"/>
        </w:rPr>
      </w:pPr>
      <w:bookmarkStart w:id="0" w:name="_Toc20505077"/>
      <w:bookmarkStart w:id="1" w:name="_Toc145578025"/>
      <w:r w:rsidRPr="003445F5">
        <w:rPr>
          <w:caps/>
          <w:lang w:val="fr-CH"/>
        </w:rPr>
        <w:t>RÉSUMÉ EXÉCUTIF</w:t>
      </w:r>
      <w:bookmarkEnd w:id="0"/>
      <w:bookmarkEnd w:id="1"/>
    </w:p>
    <w:p w14:paraId="4EA7B3C7" w14:textId="77777777" w:rsidR="00372918" w:rsidRPr="003445F5" w:rsidRDefault="00372918" w:rsidP="00372918">
      <w:pPr>
        <w:rPr>
          <w:color w:val="000000"/>
          <w:lang w:val="fr-CH"/>
        </w:rPr>
      </w:pPr>
    </w:p>
    <w:p w14:paraId="12A8C3EB" w14:textId="77777777" w:rsidR="000D6252" w:rsidRPr="003445F5" w:rsidRDefault="007D4A8C">
      <w:pPr>
        <w:rPr>
          <w:color w:val="000000"/>
          <w:lang w:val="fr-CH"/>
        </w:rPr>
      </w:pPr>
      <w:r w:rsidRPr="00372918">
        <w:rPr>
          <w:color w:val="000000"/>
        </w:rPr>
        <w:fldChar w:fldCharType="begin"/>
      </w:r>
      <w:r w:rsidRPr="003445F5">
        <w:rPr>
          <w:color w:val="000000"/>
          <w:lang w:val="fr-CH"/>
        </w:rPr>
        <w:instrText xml:space="preserve"> AUTONUM  </w:instrText>
      </w:r>
      <w:r w:rsidRPr="00372918">
        <w:rPr>
          <w:color w:val="000000"/>
        </w:rPr>
        <w:fldChar w:fldCharType="end"/>
      </w:r>
      <w:r w:rsidRPr="003445F5">
        <w:rPr>
          <w:color w:val="000000"/>
          <w:lang w:val="fr-CH"/>
        </w:rPr>
        <w:tab/>
        <w:t xml:space="preserve">Le présent document rassemble les questions qui ne sont pas expressément couvertes par des points spécifiques de l'ordre du jour découlant des sessions de 2023 du Groupe de </w:t>
      </w:r>
      <w:r w:rsidRPr="003445F5">
        <w:rPr>
          <w:rFonts w:eastAsia="PMingLiU"/>
          <w:szCs w:val="24"/>
          <w:lang w:val="fr-CH"/>
        </w:rPr>
        <w:t>travail technique sur les plantes potagères (TWV)</w:t>
      </w:r>
      <w:r w:rsidRPr="00372918">
        <w:rPr>
          <w:rFonts w:eastAsia="PMingLiU"/>
          <w:szCs w:val="24"/>
          <w:vertAlign w:val="superscript"/>
        </w:rPr>
        <w:footnoteReference w:id="2"/>
      </w:r>
      <w:r w:rsidRPr="003445F5">
        <w:rPr>
          <w:rFonts w:eastAsia="PMingLiU"/>
          <w:szCs w:val="24"/>
          <w:lang w:val="fr-CH"/>
        </w:rPr>
        <w:t xml:space="preserve"> , du Groupe de travail technique sur les plantes agricoles (TWA)</w:t>
      </w:r>
      <w:r w:rsidRPr="00372918">
        <w:rPr>
          <w:rFonts w:eastAsia="PMingLiU"/>
          <w:szCs w:val="24"/>
          <w:vertAlign w:val="superscript"/>
        </w:rPr>
        <w:footnoteReference w:id="3"/>
      </w:r>
      <w:r w:rsidRPr="003445F5">
        <w:rPr>
          <w:rFonts w:eastAsia="PMingLiU"/>
          <w:szCs w:val="24"/>
          <w:lang w:val="fr-CH"/>
        </w:rPr>
        <w:t xml:space="preserve"> , du Groupe de travail technique sur les plantes ornementales et les arbres forestiers (TWO)</w:t>
      </w:r>
      <w:r w:rsidRPr="00372918">
        <w:rPr>
          <w:rFonts w:eastAsia="PMingLiU"/>
          <w:szCs w:val="24"/>
          <w:vertAlign w:val="superscript"/>
        </w:rPr>
        <w:footnoteReference w:id="4"/>
      </w:r>
      <w:r w:rsidRPr="003445F5">
        <w:rPr>
          <w:rFonts w:eastAsia="PMingLiU"/>
          <w:szCs w:val="24"/>
          <w:lang w:val="fr-CH"/>
        </w:rPr>
        <w:t xml:space="preserve"> , et du Groupe de travail technique sur les plantes fruitières </w:t>
      </w:r>
      <w:r w:rsidRPr="003445F5">
        <w:rPr>
          <w:color w:val="000000"/>
          <w:lang w:val="fr-CH"/>
        </w:rPr>
        <w:t>(TWF)</w:t>
      </w:r>
      <w:r w:rsidRPr="00372918">
        <w:rPr>
          <w:color w:val="000000"/>
          <w:vertAlign w:val="superscript"/>
        </w:rPr>
        <w:footnoteReference w:id="5"/>
      </w:r>
      <w:r w:rsidRPr="003445F5">
        <w:rPr>
          <w:color w:val="000000"/>
          <w:lang w:val="fr-CH"/>
        </w:rPr>
        <w:t xml:space="preserve"> .  </w:t>
      </w:r>
    </w:p>
    <w:p w14:paraId="6F70D40D" w14:textId="77777777" w:rsidR="00372918" w:rsidRPr="003445F5" w:rsidRDefault="00372918" w:rsidP="00372918">
      <w:pPr>
        <w:rPr>
          <w:color w:val="000000"/>
          <w:lang w:val="fr-CH"/>
        </w:rPr>
      </w:pPr>
    </w:p>
    <w:p w14:paraId="5683F414" w14:textId="77777777" w:rsidR="000D6252" w:rsidRPr="003445F5" w:rsidRDefault="007D4A8C">
      <w:pPr>
        <w:rPr>
          <w:lang w:val="fr-CH"/>
        </w:rPr>
      </w:pPr>
      <w:r w:rsidRPr="00372918">
        <w:rPr>
          <w:color w:val="000000"/>
        </w:rPr>
        <w:fldChar w:fldCharType="begin"/>
      </w:r>
      <w:r w:rsidRPr="003445F5">
        <w:rPr>
          <w:color w:val="000000"/>
          <w:lang w:val="fr-CH"/>
        </w:rPr>
        <w:instrText xml:space="preserve"> AUTONUM  </w:instrText>
      </w:r>
      <w:r w:rsidRPr="00372918">
        <w:rPr>
          <w:color w:val="000000"/>
        </w:rPr>
        <w:fldChar w:fldCharType="end"/>
      </w:r>
      <w:r w:rsidRPr="003445F5">
        <w:rPr>
          <w:color w:val="000000"/>
          <w:lang w:val="fr-CH"/>
        </w:rPr>
        <w:tab/>
        <w:t xml:space="preserve">Ce document est </w:t>
      </w:r>
      <w:r w:rsidRPr="003445F5">
        <w:rPr>
          <w:lang w:val="fr-CH"/>
        </w:rPr>
        <w:t>présenté en deux sections.  La première section, "Questions pour information et pour une éventuelle décision à prendre par le Comité technique (TC)</w:t>
      </w:r>
      <w:r w:rsidRPr="003445F5">
        <w:rPr>
          <w:caps/>
          <w:lang w:val="fr-CH"/>
        </w:rPr>
        <w:t xml:space="preserve">", </w:t>
      </w:r>
      <w:r w:rsidRPr="003445F5">
        <w:rPr>
          <w:lang w:val="fr-CH"/>
        </w:rPr>
        <w:t xml:space="preserve">identifie les questions qui pourraient nécessiter une décision du TC.  Le Bureau de l'Union (Bureau) a mis en évidence les aspects pour lesquels le TC pourrait souhaiter prendre une décision en introduisant une proposition de paragraphe de décision.  La deuxième section, "Questions pour information", est fournie pour l'information du </w:t>
      </w:r>
      <w:r w:rsidRPr="003445F5">
        <w:rPr>
          <w:color w:val="000000"/>
          <w:lang w:val="fr-CH"/>
        </w:rPr>
        <w:t xml:space="preserve">TC </w:t>
      </w:r>
      <w:r w:rsidRPr="003445F5">
        <w:rPr>
          <w:lang w:val="fr-CH"/>
        </w:rPr>
        <w:t>mais n'exige pas de décision à ce stade.</w:t>
      </w:r>
    </w:p>
    <w:p w14:paraId="1F3778C3" w14:textId="77777777" w:rsidR="00372918" w:rsidRPr="003445F5" w:rsidRDefault="00372918" w:rsidP="00372918">
      <w:pPr>
        <w:tabs>
          <w:tab w:val="left" w:pos="567"/>
          <w:tab w:val="left" w:pos="1701"/>
        </w:tabs>
        <w:ind w:left="1695" w:hanging="1695"/>
        <w:rPr>
          <w:rFonts w:eastAsia="PMingLiU"/>
          <w:szCs w:val="24"/>
          <w:lang w:val="fr-CH"/>
        </w:rPr>
      </w:pPr>
    </w:p>
    <w:p w14:paraId="2E208DFC" w14:textId="77777777" w:rsidR="000D6252" w:rsidRPr="003445F5" w:rsidRDefault="007D4A8C">
      <w:pPr>
        <w:tabs>
          <w:tab w:val="left" w:pos="567"/>
        </w:tabs>
        <w:rPr>
          <w:lang w:val="fr-CH"/>
        </w:rPr>
      </w:pPr>
      <w:r w:rsidRPr="00372918">
        <w:fldChar w:fldCharType="begin"/>
      </w:r>
      <w:r w:rsidRPr="003445F5">
        <w:rPr>
          <w:lang w:val="fr-CH"/>
        </w:rPr>
        <w:instrText xml:space="preserve"> AUTONUM  </w:instrText>
      </w:r>
      <w:r w:rsidRPr="00372918">
        <w:fldChar w:fldCharType="end"/>
      </w:r>
      <w:r w:rsidRPr="003445F5">
        <w:rPr>
          <w:lang w:val="fr-CH"/>
        </w:rPr>
        <w:tab/>
        <w:t xml:space="preserve">Le comité technique est invité à </w:t>
      </w:r>
    </w:p>
    <w:p w14:paraId="31F3B86A" w14:textId="77777777" w:rsidR="00372918" w:rsidRPr="003445F5" w:rsidRDefault="00372918" w:rsidP="00372918">
      <w:pPr>
        <w:tabs>
          <w:tab w:val="left" w:pos="567"/>
        </w:tabs>
        <w:rPr>
          <w:lang w:val="fr-CH"/>
        </w:rPr>
      </w:pPr>
    </w:p>
    <w:p w14:paraId="6DF6995D" w14:textId="77777777" w:rsidR="000D6252" w:rsidRPr="003445F5" w:rsidRDefault="007D4A8C">
      <w:pPr>
        <w:tabs>
          <w:tab w:val="left" w:pos="567"/>
        </w:tabs>
        <w:rPr>
          <w:lang w:val="fr-CH" w:eastAsia="fr-FR"/>
        </w:rPr>
      </w:pPr>
      <w:r w:rsidRPr="003445F5">
        <w:rPr>
          <w:lang w:val="fr-CH"/>
        </w:rPr>
        <w:t xml:space="preserve">(a) </w:t>
      </w:r>
      <w:r w:rsidRPr="003445F5">
        <w:rPr>
          <w:lang w:val="fr-CH"/>
        </w:rPr>
        <w:tab/>
        <w:t>examiner la proposition visant à soutenir l'</w:t>
      </w:r>
      <w:r w:rsidRPr="003445F5">
        <w:rPr>
          <w:lang w:val="fr-CH" w:eastAsia="fr-FR"/>
        </w:rPr>
        <w:t xml:space="preserve">échange d'informations sur les variétés mutantes de pommes, comme indiqué </w:t>
      </w:r>
      <w:r w:rsidRPr="0036713B">
        <w:rPr>
          <w:lang w:val="fr-CH" w:eastAsia="fr-FR"/>
        </w:rPr>
        <w:t xml:space="preserve">aux paragraphes 6 à 10 du </w:t>
      </w:r>
      <w:r w:rsidRPr="003445F5">
        <w:rPr>
          <w:lang w:val="fr-CH" w:eastAsia="fr-FR"/>
        </w:rPr>
        <w:t>présent document ; et</w:t>
      </w:r>
    </w:p>
    <w:p w14:paraId="28668357" w14:textId="77777777" w:rsidR="00372918" w:rsidRPr="003445F5" w:rsidRDefault="00372918" w:rsidP="00372918">
      <w:pPr>
        <w:tabs>
          <w:tab w:val="left" w:pos="567"/>
        </w:tabs>
        <w:rPr>
          <w:lang w:val="fr-CH"/>
        </w:rPr>
      </w:pPr>
    </w:p>
    <w:p w14:paraId="7FC97280" w14:textId="77777777" w:rsidR="000D6252" w:rsidRPr="003445F5" w:rsidRDefault="007D4A8C">
      <w:pPr>
        <w:tabs>
          <w:tab w:val="left" w:pos="567"/>
        </w:tabs>
        <w:rPr>
          <w:lang w:val="fr-CH"/>
        </w:rPr>
      </w:pPr>
      <w:r w:rsidRPr="003445F5">
        <w:rPr>
          <w:lang w:val="fr-CH"/>
        </w:rPr>
        <w:t xml:space="preserve">(b) </w:t>
      </w:r>
      <w:r w:rsidRPr="003445F5">
        <w:rPr>
          <w:lang w:val="fr-CH"/>
        </w:rPr>
        <w:tab/>
        <w:t>noter les développements dans les PTF concernant :</w:t>
      </w:r>
    </w:p>
    <w:p w14:paraId="6E3A86CB" w14:textId="77777777" w:rsidR="00372918" w:rsidRPr="003445F5" w:rsidRDefault="00372918" w:rsidP="00372918">
      <w:pPr>
        <w:tabs>
          <w:tab w:val="left" w:pos="567"/>
        </w:tabs>
        <w:rPr>
          <w:lang w:val="fr-CH"/>
        </w:rPr>
      </w:pPr>
    </w:p>
    <w:p w14:paraId="565201F8" w14:textId="77777777" w:rsidR="000D6252" w:rsidRPr="003445F5" w:rsidRDefault="007D4A8C">
      <w:pPr>
        <w:tabs>
          <w:tab w:val="left" w:pos="1701"/>
        </w:tabs>
        <w:ind w:left="1134" w:hanging="567"/>
        <w:rPr>
          <w:lang w:val="fr-CH"/>
        </w:rPr>
      </w:pPr>
      <w:r w:rsidRPr="003445F5">
        <w:rPr>
          <w:lang w:val="fr-CH"/>
        </w:rPr>
        <w:t xml:space="preserve">(i) </w:t>
      </w:r>
      <w:r w:rsidRPr="003445F5">
        <w:rPr>
          <w:lang w:val="fr-CH"/>
        </w:rPr>
        <w:tab/>
        <w:t>Évaluation de la distinction des caractéristiques de résistance aux maladies ;</w:t>
      </w:r>
    </w:p>
    <w:p w14:paraId="23227A69" w14:textId="77777777" w:rsidR="000D6252" w:rsidRPr="003445F5" w:rsidRDefault="007D4A8C">
      <w:pPr>
        <w:tabs>
          <w:tab w:val="left" w:pos="1701"/>
        </w:tabs>
        <w:ind w:left="1134" w:hanging="567"/>
        <w:rPr>
          <w:lang w:val="fr-CH"/>
        </w:rPr>
      </w:pPr>
      <w:r w:rsidRPr="003445F5">
        <w:rPr>
          <w:lang w:val="fr-CH"/>
        </w:rPr>
        <w:t xml:space="preserve">(ii) </w:t>
      </w:r>
      <w:r w:rsidRPr="003445F5">
        <w:rPr>
          <w:lang w:val="fr-CH"/>
        </w:rPr>
        <w:tab/>
        <w:t>Nouvelles technologies en matière d'examen DHS ;</w:t>
      </w:r>
    </w:p>
    <w:p w14:paraId="7CBED686" w14:textId="77777777" w:rsidR="000D6252" w:rsidRPr="003445F5" w:rsidRDefault="007D4A8C">
      <w:pPr>
        <w:tabs>
          <w:tab w:val="left" w:pos="1701"/>
        </w:tabs>
        <w:ind w:left="1134" w:hanging="567"/>
        <w:rPr>
          <w:lang w:val="fr-CH"/>
        </w:rPr>
      </w:pPr>
      <w:r w:rsidRPr="003445F5">
        <w:rPr>
          <w:lang w:val="fr-CH"/>
        </w:rPr>
        <w:t xml:space="preserve">(iii) </w:t>
      </w:r>
      <w:r w:rsidRPr="003445F5">
        <w:rPr>
          <w:lang w:val="fr-CH"/>
        </w:rPr>
        <w:tab/>
        <w:t>Analyse d'images de cultures maraîchères ;</w:t>
      </w:r>
    </w:p>
    <w:p w14:paraId="4038BE5A" w14:textId="77777777" w:rsidR="000D6252" w:rsidRPr="003445F5" w:rsidRDefault="007D4A8C">
      <w:pPr>
        <w:tabs>
          <w:tab w:val="left" w:pos="1701"/>
        </w:tabs>
        <w:ind w:left="1134" w:hanging="567"/>
        <w:rPr>
          <w:lang w:val="fr-CH"/>
        </w:rPr>
      </w:pPr>
      <w:r w:rsidRPr="003445F5">
        <w:rPr>
          <w:lang w:val="fr-CH"/>
        </w:rPr>
        <w:t xml:space="preserve">(iv) le </w:t>
      </w:r>
      <w:r w:rsidRPr="003445F5">
        <w:rPr>
          <w:lang w:val="fr-CH"/>
        </w:rPr>
        <w:tab/>
        <w:t>logiciel d'analyse statistique DUSCEL ; et</w:t>
      </w:r>
    </w:p>
    <w:p w14:paraId="5BEB5D48" w14:textId="77777777" w:rsidR="000D6252" w:rsidRPr="003445F5" w:rsidRDefault="007D4A8C">
      <w:pPr>
        <w:tabs>
          <w:tab w:val="left" w:pos="1701"/>
        </w:tabs>
        <w:ind w:left="1134" w:hanging="567"/>
        <w:rPr>
          <w:lang w:val="fr-CH"/>
        </w:rPr>
      </w:pPr>
      <w:r w:rsidRPr="003445F5">
        <w:rPr>
          <w:lang w:val="fr-CH"/>
        </w:rPr>
        <w:t xml:space="preserve">(v) </w:t>
      </w:r>
      <w:r w:rsidRPr="003445F5">
        <w:rPr>
          <w:lang w:val="fr-CH"/>
        </w:rPr>
        <w:tab/>
        <w:t>Expériences avec de nouveaux types et espèces.</w:t>
      </w:r>
    </w:p>
    <w:p w14:paraId="6F668425" w14:textId="77777777" w:rsidR="000D6252" w:rsidRPr="003445F5" w:rsidRDefault="007D4A8C">
      <w:pPr>
        <w:tabs>
          <w:tab w:val="left" w:pos="1701"/>
        </w:tabs>
        <w:ind w:left="1134" w:hanging="567"/>
        <w:rPr>
          <w:lang w:val="fr-CH"/>
        </w:rPr>
      </w:pPr>
      <w:r w:rsidRPr="003445F5">
        <w:rPr>
          <w:lang w:val="fr-CH"/>
        </w:rPr>
        <w:t xml:space="preserve">(vi) </w:t>
      </w:r>
      <w:r w:rsidRPr="003445F5">
        <w:rPr>
          <w:lang w:val="fr-CH"/>
        </w:rPr>
        <w:tab/>
        <w:t>Variétés ornementales de cultures agricoles, fruitières ou légumières</w:t>
      </w:r>
    </w:p>
    <w:p w14:paraId="4AE87C59" w14:textId="77777777" w:rsidR="00372918" w:rsidRPr="003445F5" w:rsidRDefault="00372918" w:rsidP="00372918">
      <w:pPr>
        <w:tabs>
          <w:tab w:val="left" w:pos="1701"/>
        </w:tabs>
        <w:rPr>
          <w:rFonts w:cs="Arial"/>
          <w:lang w:val="fr-CH"/>
        </w:rPr>
      </w:pPr>
    </w:p>
    <w:p w14:paraId="53F73461" w14:textId="77777777" w:rsidR="000D6252" w:rsidRPr="003445F5" w:rsidRDefault="007D4A8C">
      <w:pPr>
        <w:keepNext/>
        <w:rPr>
          <w:color w:val="000000"/>
          <w:lang w:val="fr-CH"/>
        </w:rPr>
      </w:pPr>
      <w:r w:rsidRPr="00372918">
        <w:rPr>
          <w:color w:val="000000"/>
        </w:rPr>
        <w:fldChar w:fldCharType="begin"/>
      </w:r>
      <w:r w:rsidRPr="003445F5">
        <w:rPr>
          <w:color w:val="000000"/>
          <w:lang w:val="fr-CH"/>
        </w:rPr>
        <w:instrText xml:space="preserve"> AUTONUM  </w:instrText>
      </w:r>
      <w:r w:rsidRPr="00372918">
        <w:rPr>
          <w:color w:val="000000"/>
        </w:rPr>
        <w:fldChar w:fldCharType="end"/>
      </w:r>
      <w:r w:rsidRPr="003445F5">
        <w:rPr>
          <w:color w:val="000000"/>
          <w:lang w:val="fr-CH"/>
        </w:rPr>
        <w:tab/>
        <w:t>Les abréviations suivantes sont utilisées dans ce document :</w:t>
      </w:r>
    </w:p>
    <w:p w14:paraId="4DA1431B" w14:textId="77777777" w:rsidR="00372918" w:rsidRPr="003445F5" w:rsidRDefault="00372918" w:rsidP="00372918">
      <w:pPr>
        <w:keepNext/>
        <w:ind w:left="1692" w:hanging="1125"/>
        <w:jc w:val="left"/>
        <w:rPr>
          <w:color w:val="000000"/>
          <w:lang w:val="fr-CH"/>
        </w:rPr>
      </w:pPr>
    </w:p>
    <w:p w14:paraId="3E9842CB" w14:textId="77777777" w:rsidR="000D6252" w:rsidRPr="003445F5" w:rsidRDefault="007D4A8C">
      <w:pPr>
        <w:keepNext/>
        <w:tabs>
          <w:tab w:val="left" w:pos="567"/>
          <w:tab w:val="left" w:pos="1701"/>
        </w:tabs>
        <w:rPr>
          <w:lang w:val="fr-CH"/>
        </w:rPr>
      </w:pPr>
      <w:r w:rsidRPr="003445F5">
        <w:rPr>
          <w:lang w:val="fr-CH"/>
        </w:rPr>
        <w:tab/>
        <w:t>TC:</w:t>
      </w:r>
      <w:r w:rsidRPr="003445F5">
        <w:rPr>
          <w:lang w:val="fr-CH"/>
        </w:rPr>
        <w:tab/>
        <w:t>Comité technique</w:t>
      </w:r>
    </w:p>
    <w:p w14:paraId="7247335E" w14:textId="77777777" w:rsidR="000D6252" w:rsidRPr="003445F5" w:rsidRDefault="007D4A8C">
      <w:pPr>
        <w:keepNext/>
        <w:tabs>
          <w:tab w:val="left" w:pos="567"/>
          <w:tab w:val="left" w:pos="1701"/>
        </w:tabs>
        <w:rPr>
          <w:rFonts w:eastAsia="PMingLiU"/>
          <w:szCs w:val="24"/>
          <w:lang w:val="fr-CH"/>
        </w:rPr>
      </w:pPr>
      <w:r w:rsidRPr="003445F5">
        <w:rPr>
          <w:rFonts w:eastAsia="PMingLiU"/>
          <w:szCs w:val="24"/>
          <w:lang w:val="fr-CH"/>
        </w:rPr>
        <w:tab/>
        <w:t>TWA:</w:t>
      </w:r>
      <w:r w:rsidRPr="003445F5">
        <w:rPr>
          <w:rFonts w:eastAsia="PMingLiU"/>
          <w:szCs w:val="24"/>
          <w:lang w:val="fr-CH"/>
        </w:rPr>
        <w:tab/>
        <w:t>Groupe de travail technique pour les cultures agricoles</w:t>
      </w:r>
    </w:p>
    <w:p w14:paraId="308AA43F" w14:textId="77777777" w:rsidR="000D6252" w:rsidRPr="003445F5" w:rsidRDefault="007D4A8C">
      <w:pPr>
        <w:tabs>
          <w:tab w:val="left" w:pos="567"/>
          <w:tab w:val="left" w:pos="1701"/>
        </w:tabs>
        <w:rPr>
          <w:rFonts w:eastAsia="PMingLiU"/>
          <w:szCs w:val="24"/>
          <w:lang w:val="fr-CH"/>
        </w:rPr>
      </w:pPr>
      <w:r w:rsidRPr="003445F5">
        <w:rPr>
          <w:rFonts w:eastAsia="PMingLiU"/>
          <w:szCs w:val="24"/>
          <w:lang w:val="fr-CH"/>
        </w:rPr>
        <w:tab/>
        <w:t xml:space="preserve">TWF : </w:t>
      </w:r>
      <w:r w:rsidRPr="003445F5">
        <w:rPr>
          <w:rFonts w:eastAsia="PMingLiU"/>
          <w:szCs w:val="24"/>
          <w:lang w:val="fr-CH"/>
        </w:rPr>
        <w:tab/>
        <w:t>Groupe de travail technique pour les cultures fruitières</w:t>
      </w:r>
    </w:p>
    <w:p w14:paraId="51CBCB8B" w14:textId="77777777" w:rsidR="000D6252" w:rsidRPr="003445F5" w:rsidRDefault="007D4A8C">
      <w:pPr>
        <w:tabs>
          <w:tab w:val="left" w:pos="567"/>
          <w:tab w:val="left" w:pos="1701"/>
        </w:tabs>
        <w:rPr>
          <w:rFonts w:eastAsia="PMingLiU"/>
          <w:szCs w:val="24"/>
          <w:lang w:val="fr-CH"/>
        </w:rPr>
      </w:pPr>
      <w:r w:rsidRPr="003445F5">
        <w:rPr>
          <w:rFonts w:eastAsia="PMingLiU"/>
          <w:szCs w:val="24"/>
          <w:lang w:val="fr-CH"/>
        </w:rPr>
        <w:tab/>
        <w:t>TWO:</w:t>
      </w:r>
      <w:r w:rsidRPr="003445F5">
        <w:rPr>
          <w:rFonts w:eastAsia="PMingLiU"/>
          <w:szCs w:val="24"/>
          <w:lang w:val="fr-CH"/>
        </w:rPr>
        <w:tab/>
        <w:t>Groupe de travail technique pour les plantes ornementales et les arbres forestiers</w:t>
      </w:r>
    </w:p>
    <w:p w14:paraId="124C785A" w14:textId="77777777" w:rsidR="000D6252" w:rsidRPr="003445F5" w:rsidRDefault="007D4A8C">
      <w:pPr>
        <w:tabs>
          <w:tab w:val="left" w:pos="567"/>
          <w:tab w:val="left" w:pos="1701"/>
        </w:tabs>
        <w:rPr>
          <w:rFonts w:eastAsia="PMingLiU"/>
          <w:szCs w:val="24"/>
          <w:lang w:val="fr-CH"/>
        </w:rPr>
      </w:pPr>
      <w:r w:rsidRPr="003445F5">
        <w:rPr>
          <w:rFonts w:eastAsia="PMingLiU"/>
          <w:szCs w:val="24"/>
          <w:lang w:val="fr-CH"/>
        </w:rPr>
        <w:tab/>
        <w:t>TWP:</w:t>
      </w:r>
      <w:r w:rsidRPr="003445F5">
        <w:rPr>
          <w:rFonts w:eastAsia="PMingLiU"/>
          <w:szCs w:val="24"/>
          <w:lang w:val="fr-CH"/>
        </w:rPr>
        <w:tab/>
      </w:r>
      <w:proofErr w:type="spellStart"/>
      <w:r w:rsidRPr="003445F5">
        <w:rPr>
          <w:rFonts w:eastAsia="PMingLiU"/>
          <w:szCs w:val="24"/>
          <w:lang w:val="fr-CH"/>
        </w:rPr>
        <w:t>Technical</w:t>
      </w:r>
      <w:proofErr w:type="spellEnd"/>
      <w:r w:rsidRPr="003445F5">
        <w:rPr>
          <w:rFonts w:eastAsia="PMingLiU"/>
          <w:szCs w:val="24"/>
          <w:lang w:val="fr-CH"/>
        </w:rPr>
        <w:t xml:space="preserve"> </w:t>
      </w:r>
      <w:proofErr w:type="spellStart"/>
      <w:r w:rsidRPr="003445F5">
        <w:rPr>
          <w:rFonts w:eastAsia="PMingLiU"/>
          <w:szCs w:val="24"/>
          <w:lang w:val="fr-CH"/>
        </w:rPr>
        <w:t>Working</w:t>
      </w:r>
      <w:proofErr w:type="spellEnd"/>
      <w:r w:rsidRPr="003445F5">
        <w:rPr>
          <w:rFonts w:eastAsia="PMingLiU"/>
          <w:szCs w:val="24"/>
          <w:lang w:val="fr-CH"/>
        </w:rPr>
        <w:t xml:space="preserve"> Party (groupes de travail techniques)</w:t>
      </w:r>
    </w:p>
    <w:p w14:paraId="1AB1DAE8" w14:textId="77777777" w:rsidR="000D6252" w:rsidRPr="003445F5" w:rsidRDefault="007D4A8C">
      <w:pPr>
        <w:tabs>
          <w:tab w:val="left" w:pos="567"/>
          <w:tab w:val="left" w:pos="1701"/>
        </w:tabs>
        <w:rPr>
          <w:rFonts w:eastAsia="PMingLiU"/>
          <w:szCs w:val="24"/>
          <w:lang w:val="fr-CH"/>
        </w:rPr>
      </w:pPr>
      <w:r w:rsidRPr="003445F5">
        <w:rPr>
          <w:rFonts w:eastAsia="PMingLiU"/>
          <w:szCs w:val="24"/>
          <w:lang w:val="fr-CH"/>
        </w:rPr>
        <w:lastRenderedPageBreak/>
        <w:tab/>
        <w:t>TWV:</w:t>
      </w:r>
      <w:r w:rsidRPr="003445F5">
        <w:rPr>
          <w:rFonts w:eastAsia="PMingLiU"/>
          <w:szCs w:val="24"/>
          <w:lang w:val="fr-CH"/>
        </w:rPr>
        <w:tab/>
        <w:t>Groupe de travail technique sur les légumes</w:t>
      </w:r>
    </w:p>
    <w:p w14:paraId="3427B153" w14:textId="77777777" w:rsidR="00372918" w:rsidRPr="003445F5" w:rsidRDefault="00372918" w:rsidP="00372918">
      <w:pPr>
        <w:rPr>
          <w:highlight w:val="cyan"/>
          <w:lang w:val="fr-CH"/>
        </w:rPr>
      </w:pPr>
    </w:p>
    <w:p w14:paraId="71CA9C15" w14:textId="77777777" w:rsidR="000D6252" w:rsidRPr="003445F5" w:rsidRDefault="007D4A8C">
      <w:pPr>
        <w:keepNext/>
        <w:rPr>
          <w:lang w:val="fr-CH"/>
        </w:rPr>
      </w:pPr>
      <w:r w:rsidRPr="00372918">
        <w:rPr>
          <w:color w:val="000000"/>
        </w:rPr>
        <w:fldChar w:fldCharType="begin"/>
      </w:r>
      <w:r w:rsidRPr="003445F5">
        <w:rPr>
          <w:color w:val="000000"/>
          <w:lang w:val="fr-CH"/>
        </w:rPr>
        <w:instrText xml:space="preserve"> AUTONUM  </w:instrText>
      </w:r>
      <w:r w:rsidRPr="00372918">
        <w:rPr>
          <w:color w:val="000000"/>
        </w:rPr>
        <w:fldChar w:fldCharType="end"/>
      </w:r>
      <w:r w:rsidRPr="003445F5">
        <w:rPr>
          <w:color w:val="000000"/>
          <w:lang w:val="fr-CH"/>
        </w:rPr>
        <w:tab/>
      </w:r>
      <w:r w:rsidRPr="003445F5">
        <w:rPr>
          <w:lang w:val="fr-CH"/>
        </w:rPr>
        <w:t>La structure de ce document est la suivante :</w:t>
      </w:r>
    </w:p>
    <w:p w14:paraId="04D2D728" w14:textId="77777777" w:rsidR="00372918" w:rsidRPr="003445F5" w:rsidRDefault="00372918" w:rsidP="0083189F">
      <w:pPr>
        <w:keepNext/>
        <w:rPr>
          <w:lang w:val="fr-CH"/>
        </w:rPr>
      </w:pPr>
    </w:p>
    <w:p w14:paraId="5EA2F7F9" w14:textId="4DFCD734" w:rsidR="007D4A8C" w:rsidRPr="0036713B" w:rsidRDefault="007D4A8C">
      <w:pPr>
        <w:pStyle w:val="TOC1"/>
        <w:rPr>
          <w:rFonts w:asciiTheme="minorHAnsi" w:eastAsiaTheme="minorEastAsia" w:hAnsiTheme="minorHAnsi" w:cstheme="minorBidi"/>
          <w:caps w:val="0"/>
          <w:noProof/>
          <w:sz w:val="22"/>
          <w:szCs w:val="22"/>
          <w:lang w:val="fr-CH" w:eastAsia="en-GB"/>
        </w:rPr>
      </w:pPr>
      <w:r>
        <w:rPr>
          <w:rFonts w:eastAsia="MS Mincho" w:cs="Arial"/>
          <w:caps w:val="0"/>
          <w:noProof/>
          <w:lang w:eastAsia="ja-JP"/>
        </w:rPr>
        <w:fldChar w:fldCharType="begin"/>
      </w:r>
      <w:r w:rsidRPr="005D7D77">
        <w:rPr>
          <w:rFonts w:eastAsia="MS Mincho" w:cs="Arial"/>
          <w:noProof/>
          <w:lang w:val="fr-CH" w:eastAsia="ja-JP"/>
        </w:rPr>
        <w:instrText xml:space="preserve"> TOC \o "1-3" \u </w:instrText>
      </w:r>
      <w:r>
        <w:rPr>
          <w:rFonts w:eastAsia="MS Mincho" w:cs="Arial"/>
          <w:caps w:val="0"/>
          <w:noProof/>
          <w:lang w:eastAsia="ja-JP"/>
        </w:rPr>
        <w:fldChar w:fldCharType="separate"/>
      </w:r>
      <w:r w:rsidRPr="00102B69">
        <w:rPr>
          <w:noProof/>
          <w:lang w:val="fr-CH"/>
        </w:rPr>
        <w:t>RÉSUMÉ EXÉCUTIF</w:t>
      </w:r>
      <w:r w:rsidRPr="0036713B">
        <w:rPr>
          <w:noProof/>
          <w:lang w:val="fr-CH"/>
        </w:rPr>
        <w:tab/>
      </w:r>
      <w:r>
        <w:rPr>
          <w:noProof/>
        </w:rPr>
        <w:fldChar w:fldCharType="begin"/>
      </w:r>
      <w:r w:rsidRPr="0036713B">
        <w:rPr>
          <w:noProof/>
          <w:lang w:val="fr-CH"/>
        </w:rPr>
        <w:instrText xml:space="preserve"> PAGEREF _Toc145578025 \h </w:instrText>
      </w:r>
      <w:r>
        <w:rPr>
          <w:noProof/>
        </w:rPr>
      </w:r>
      <w:r>
        <w:rPr>
          <w:noProof/>
        </w:rPr>
        <w:fldChar w:fldCharType="separate"/>
      </w:r>
      <w:r w:rsidRPr="0036713B">
        <w:rPr>
          <w:noProof/>
          <w:lang w:val="fr-CH"/>
        </w:rPr>
        <w:t>1</w:t>
      </w:r>
      <w:r>
        <w:rPr>
          <w:noProof/>
        </w:rPr>
        <w:fldChar w:fldCharType="end"/>
      </w:r>
    </w:p>
    <w:p w14:paraId="2D100465" w14:textId="6D33B740" w:rsidR="007D4A8C" w:rsidRPr="0036713B" w:rsidRDefault="007D4A8C">
      <w:pPr>
        <w:pStyle w:val="TOC1"/>
        <w:rPr>
          <w:rFonts w:asciiTheme="minorHAnsi" w:eastAsiaTheme="minorEastAsia" w:hAnsiTheme="minorHAnsi" w:cstheme="minorBidi"/>
          <w:caps w:val="0"/>
          <w:noProof/>
          <w:sz w:val="22"/>
          <w:szCs w:val="22"/>
          <w:lang w:val="fr-CH" w:eastAsia="en-GB"/>
        </w:rPr>
      </w:pPr>
      <w:r w:rsidRPr="00102B69">
        <w:rPr>
          <w:noProof/>
          <w:lang w:val="fr-CH"/>
        </w:rPr>
        <w:t>Questions pour information et pour une éventuelle décision à prendre par le Comité technique (CT)</w:t>
      </w:r>
      <w:r w:rsidRPr="0036713B">
        <w:rPr>
          <w:noProof/>
          <w:lang w:val="fr-CH"/>
        </w:rPr>
        <w:tab/>
      </w:r>
      <w:r>
        <w:rPr>
          <w:noProof/>
        </w:rPr>
        <w:fldChar w:fldCharType="begin"/>
      </w:r>
      <w:r w:rsidRPr="0036713B">
        <w:rPr>
          <w:noProof/>
          <w:lang w:val="fr-CH"/>
        </w:rPr>
        <w:instrText xml:space="preserve"> PAGEREF _Toc145578026 \h </w:instrText>
      </w:r>
      <w:r>
        <w:rPr>
          <w:noProof/>
        </w:rPr>
      </w:r>
      <w:r>
        <w:rPr>
          <w:noProof/>
        </w:rPr>
        <w:fldChar w:fldCharType="separate"/>
      </w:r>
      <w:r w:rsidRPr="0036713B">
        <w:rPr>
          <w:noProof/>
          <w:lang w:val="fr-CH"/>
        </w:rPr>
        <w:t>2</w:t>
      </w:r>
      <w:r>
        <w:rPr>
          <w:noProof/>
        </w:rPr>
        <w:fldChar w:fldCharType="end"/>
      </w:r>
    </w:p>
    <w:p w14:paraId="5A85509C" w14:textId="1B47A83B" w:rsidR="007D4A8C" w:rsidRPr="0036713B" w:rsidRDefault="007D4A8C">
      <w:pPr>
        <w:pStyle w:val="TOC2"/>
        <w:rPr>
          <w:rFonts w:asciiTheme="minorHAnsi" w:eastAsiaTheme="minorEastAsia" w:hAnsiTheme="minorHAnsi" w:cstheme="minorBidi"/>
          <w:noProof/>
          <w:sz w:val="22"/>
          <w:szCs w:val="22"/>
          <w:lang w:val="fr-CH" w:eastAsia="en-GB"/>
        </w:rPr>
      </w:pPr>
      <w:r w:rsidRPr="00102B69">
        <w:rPr>
          <w:noProof/>
          <w:lang w:val="fr-CH"/>
        </w:rPr>
        <w:t>Informations sur les variétés mutantes de pommes utiles pour l'examen DHS</w:t>
      </w:r>
      <w:r w:rsidRPr="0036713B">
        <w:rPr>
          <w:noProof/>
          <w:lang w:val="fr-CH"/>
        </w:rPr>
        <w:tab/>
      </w:r>
      <w:r>
        <w:rPr>
          <w:noProof/>
        </w:rPr>
        <w:fldChar w:fldCharType="begin"/>
      </w:r>
      <w:r w:rsidRPr="0036713B">
        <w:rPr>
          <w:noProof/>
          <w:lang w:val="fr-CH"/>
        </w:rPr>
        <w:instrText xml:space="preserve"> PAGEREF _Toc145578027 \h </w:instrText>
      </w:r>
      <w:r>
        <w:rPr>
          <w:noProof/>
        </w:rPr>
      </w:r>
      <w:r>
        <w:rPr>
          <w:noProof/>
        </w:rPr>
        <w:fldChar w:fldCharType="separate"/>
      </w:r>
      <w:r w:rsidRPr="0036713B">
        <w:rPr>
          <w:noProof/>
          <w:lang w:val="fr-CH"/>
        </w:rPr>
        <w:t>2</w:t>
      </w:r>
      <w:r>
        <w:rPr>
          <w:noProof/>
        </w:rPr>
        <w:fldChar w:fldCharType="end"/>
      </w:r>
    </w:p>
    <w:p w14:paraId="47725A2C" w14:textId="7C6AF09D" w:rsidR="007D4A8C" w:rsidRPr="0036713B" w:rsidRDefault="007D4A8C">
      <w:pPr>
        <w:pStyle w:val="TOC1"/>
        <w:rPr>
          <w:rFonts w:asciiTheme="minorHAnsi" w:eastAsiaTheme="minorEastAsia" w:hAnsiTheme="minorHAnsi" w:cstheme="minorBidi"/>
          <w:caps w:val="0"/>
          <w:noProof/>
          <w:sz w:val="22"/>
          <w:szCs w:val="22"/>
          <w:lang w:val="fr-CH" w:eastAsia="en-GB"/>
        </w:rPr>
      </w:pPr>
      <w:r w:rsidRPr="00102B69">
        <w:rPr>
          <w:noProof/>
          <w:lang w:val="fr-CH"/>
        </w:rPr>
        <w:t>Questions pour information</w:t>
      </w:r>
      <w:r w:rsidRPr="0036713B">
        <w:rPr>
          <w:noProof/>
          <w:lang w:val="fr-CH"/>
        </w:rPr>
        <w:tab/>
      </w:r>
      <w:r>
        <w:rPr>
          <w:noProof/>
        </w:rPr>
        <w:fldChar w:fldCharType="begin"/>
      </w:r>
      <w:r w:rsidRPr="0036713B">
        <w:rPr>
          <w:noProof/>
          <w:lang w:val="fr-CH"/>
        </w:rPr>
        <w:instrText xml:space="preserve"> PAGEREF _Toc145578028 \h </w:instrText>
      </w:r>
      <w:r>
        <w:rPr>
          <w:noProof/>
        </w:rPr>
      </w:r>
      <w:r>
        <w:rPr>
          <w:noProof/>
        </w:rPr>
        <w:fldChar w:fldCharType="separate"/>
      </w:r>
      <w:r w:rsidRPr="0036713B">
        <w:rPr>
          <w:noProof/>
          <w:lang w:val="fr-CH"/>
        </w:rPr>
        <w:t>3</w:t>
      </w:r>
      <w:r>
        <w:rPr>
          <w:noProof/>
        </w:rPr>
        <w:fldChar w:fldCharType="end"/>
      </w:r>
    </w:p>
    <w:p w14:paraId="08FA1A3C" w14:textId="36268C91" w:rsidR="007D4A8C" w:rsidRPr="0036713B" w:rsidRDefault="007D4A8C">
      <w:pPr>
        <w:pStyle w:val="TOC2"/>
        <w:rPr>
          <w:rFonts w:asciiTheme="minorHAnsi" w:eastAsiaTheme="minorEastAsia" w:hAnsiTheme="minorHAnsi" w:cstheme="minorBidi"/>
          <w:noProof/>
          <w:sz w:val="22"/>
          <w:szCs w:val="22"/>
          <w:lang w:val="fr-CH" w:eastAsia="en-GB"/>
        </w:rPr>
      </w:pPr>
      <w:r w:rsidRPr="00102B69">
        <w:rPr>
          <w:rFonts w:eastAsia="MS Mincho"/>
          <w:noProof/>
          <w:lang w:val="fr-CH"/>
        </w:rPr>
        <w:t>Évaluation de la distinction des caractéristiques de résistance aux maladies</w:t>
      </w:r>
      <w:r w:rsidRPr="0036713B">
        <w:rPr>
          <w:noProof/>
          <w:lang w:val="fr-CH"/>
        </w:rPr>
        <w:tab/>
      </w:r>
      <w:r>
        <w:rPr>
          <w:noProof/>
        </w:rPr>
        <w:fldChar w:fldCharType="begin"/>
      </w:r>
      <w:r w:rsidRPr="0036713B">
        <w:rPr>
          <w:noProof/>
          <w:lang w:val="fr-CH"/>
        </w:rPr>
        <w:instrText xml:space="preserve"> PAGEREF _Toc145578029 \h </w:instrText>
      </w:r>
      <w:r>
        <w:rPr>
          <w:noProof/>
        </w:rPr>
      </w:r>
      <w:r>
        <w:rPr>
          <w:noProof/>
        </w:rPr>
        <w:fldChar w:fldCharType="separate"/>
      </w:r>
      <w:r w:rsidRPr="0036713B">
        <w:rPr>
          <w:noProof/>
          <w:lang w:val="fr-CH"/>
        </w:rPr>
        <w:t>3</w:t>
      </w:r>
      <w:r>
        <w:rPr>
          <w:noProof/>
        </w:rPr>
        <w:fldChar w:fldCharType="end"/>
      </w:r>
    </w:p>
    <w:p w14:paraId="7DCD37E0" w14:textId="6561EB2A" w:rsidR="007D4A8C" w:rsidRPr="0036713B" w:rsidRDefault="007D4A8C">
      <w:pPr>
        <w:pStyle w:val="TOC3"/>
        <w:rPr>
          <w:rFonts w:asciiTheme="minorHAnsi" w:eastAsiaTheme="minorEastAsia" w:hAnsiTheme="minorHAnsi" w:cstheme="minorBidi"/>
          <w:noProof/>
          <w:sz w:val="22"/>
          <w:szCs w:val="22"/>
          <w:lang w:val="fr-CH" w:eastAsia="en-GB"/>
        </w:rPr>
      </w:pPr>
      <w:r w:rsidRPr="00102B69">
        <w:rPr>
          <w:noProof/>
          <w:lang w:val="fr-CH"/>
        </w:rPr>
        <w:t>Distinction sur la base d'une différence d'une note pour les maladies</w:t>
      </w:r>
      <w:r>
        <w:rPr>
          <w:noProof/>
        </w:rPr>
        <w:tab/>
      </w:r>
      <w:r>
        <w:rPr>
          <w:noProof/>
        </w:rPr>
        <w:fldChar w:fldCharType="begin"/>
      </w:r>
      <w:r>
        <w:rPr>
          <w:noProof/>
        </w:rPr>
        <w:instrText xml:space="preserve"> PAGEREF _Toc145578030 \h </w:instrText>
      </w:r>
      <w:r>
        <w:rPr>
          <w:noProof/>
        </w:rPr>
      </w:r>
      <w:r>
        <w:rPr>
          <w:noProof/>
        </w:rPr>
        <w:fldChar w:fldCharType="separate"/>
      </w:r>
      <w:r>
        <w:rPr>
          <w:noProof/>
        </w:rPr>
        <w:t>3</w:t>
      </w:r>
      <w:r>
        <w:rPr>
          <w:noProof/>
        </w:rPr>
        <w:fldChar w:fldCharType="end"/>
      </w:r>
    </w:p>
    <w:p w14:paraId="44E58289" w14:textId="492509D2" w:rsidR="007D4A8C" w:rsidRPr="0036713B" w:rsidRDefault="007D4A8C">
      <w:pPr>
        <w:pStyle w:val="TOC3"/>
        <w:rPr>
          <w:rFonts w:asciiTheme="minorHAnsi" w:eastAsiaTheme="minorEastAsia" w:hAnsiTheme="minorHAnsi" w:cstheme="minorBidi"/>
          <w:noProof/>
          <w:sz w:val="22"/>
          <w:szCs w:val="22"/>
          <w:lang w:val="fr-CH" w:eastAsia="en-GB"/>
        </w:rPr>
      </w:pPr>
      <w:r w:rsidRPr="00102B69">
        <w:rPr>
          <w:noProof/>
          <w:lang w:val="fr-CH"/>
        </w:rPr>
        <w:t>Caractéristique quantitative de résistance à la maladie avec seulement deux niveaux d'expression</w:t>
      </w:r>
      <w:r>
        <w:rPr>
          <w:noProof/>
        </w:rPr>
        <w:tab/>
      </w:r>
      <w:r>
        <w:rPr>
          <w:noProof/>
        </w:rPr>
        <w:fldChar w:fldCharType="begin"/>
      </w:r>
      <w:r>
        <w:rPr>
          <w:noProof/>
        </w:rPr>
        <w:instrText xml:space="preserve"> PAGEREF _Toc145578031 \h </w:instrText>
      </w:r>
      <w:r>
        <w:rPr>
          <w:noProof/>
        </w:rPr>
      </w:r>
      <w:r>
        <w:rPr>
          <w:noProof/>
        </w:rPr>
        <w:fldChar w:fldCharType="separate"/>
      </w:r>
      <w:r>
        <w:rPr>
          <w:noProof/>
        </w:rPr>
        <w:t>3</w:t>
      </w:r>
      <w:r>
        <w:rPr>
          <w:noProof/>
        </w:rPr>
        <w:fldChar w:fldCharType="end"/>
      </w:r>
    </w:p>
    <w:p w14:paraId="33CDACD8" w14:textId="649BEEBB" w:rsidR="007D4A8C" w:rsidRPr="0036713B" w:rsidRDefault="007D4A8C">
      <w:pPr>
        <w:pStyle w:val="TOC2"/>
        <w:rPr>
          <w:rFonts w:asciiTheme="minorHAnsi" w:eastAsiaTheme="minorEastAsia" w:hAnsiTheme="minorHAnsi" w:cstheme="minorBidi"/>
          <w:noProof/>
          <w:sz w:val="22"/>
          <w:szCs w:val="22"/>
          <w:lang w:val="fr-CH" w:eastAsia="en-GB"/>
        </w:rPr>
      </w:pPr>
      <w:r w:rsidRPr="00102B69">
        <w:rPr>
          <w:rFonts w:eastAsia="MS Mincho"/>
          <w:noProof/>
          <w:lang w:val="fr-CH"/>
        </w:rPr>
        <w:t>Nouvelles technologies en matière d'examen DHS</w:t>
      </w:r>
      <w:r w:rsidRPr="0036713B">
        <w:rPr>
          <w:noProof/>
          <w:lang w:val="fr-CH"/>
        </w:rPr>
        <w:tab/>
      </w:r>
      <w:r>
        <w:rPr>
          <w:noProof/>
        </w:rPr>
        <w:fldChar w:fldCharType="begin"/>
      </w:r>
      <w:r w:rsidRPr="0036713B">
        <w:rPr>
          <w:noProof/>
          <w:lang w:val="fr-CH"/>
        </w:rPr>
        <w:instrText xml:space="preserve"> PAGEREF _Toc145578032 \h </w:instrText>
      </w:r>
      <w:r>
        <w:rPr>
          <w:noProof/>
        </w:rPr>
      </w:r>
      <w:r>
        <w:rPr>
          <w:noProof/>
        </w:rPr>
        <w:fldChar w:fldCharType="separate"/>
      </w:r>
      <w:r w:rsidRPr="0036713B">
        <w:rPr>
          <w:noProof/>
          <w:lang w:val="fr-CH"/>
        </w:rPr>
        <w:t>3</w:t>
      </w:r>
      <w:r>
        <w:rPr>
          <w:noProof/>
        </w:rPr>
        <w:fldChar w:fldCharType="end"/>
      </w:r>
    </w:p>
    <w:p w14:paraId="746CA399" w14:textId="71B65211" w:rsidR="007D4A8C" w:rsidRPr="0036713B" w:rsidRDefault="007D4A8C">
      <w:pPr>
        <w:pStyle w:val="TOC2"/>
        <w:rPr>
          <w:rFonts w:asciiTheme="minorHAnsi" w:eastAsiaTheme="minorEastAsia" w:hAnsiTheme="minorHAnsi" w:cstheme="minorBidi"/>
          <w:noProof/>
          <w:sz w:val="22"/>
          <w:szCs w:val="22"/>
          <w:lang w:val="fr-CH" w:eastAsia="en-GB"/>
        </w:rPr>
      </w:pPr>
      <w:r w:rsidRPr="00102B69">
        <w:rPr>
          <w:rFonts w:eastAsia="MS Mincho"/>
          <w:noProof/>
          <w:lang w:val="fr-CH"/>
        </w:rPr>
        <w:t>Analyse d'images de cultures maraîchères</w:t>
      </w:r>
      <w:r w:rsidRPr="0036713B">
        <w:rPr>
          <w:noProof/>
          <w:lang w:val="fr-CH"/>
        </w:rPr>
        <w:tab/>
      </w:r>
      <w:r>
        <w:rPr>
          <w:noProof/>
        </w:rPr>
        <w:fldChar w:fldCharType="begin"/>
      </w:r>
      <w:r w:rsidRPr="0036713B">
        <w:rPr>
          <w:noProof/>
          <w:lang w:val="fr-CH"/>
        </w:rPr>
        <w:instrText xml:space="preserve"> PAGEREF _Toc145578033 \h </w:instrText>
      </w:r>
      <w:r>
        <w:rPr>
          <w:noProof/>
        </w:rPr>
      </w:r>
      <w:r>
        <w:rPr>
          <w:noProof/>
        </w:rPr>
        <w:fldChar w:fldCharType="separate"/>
      </w:r>
      <w:r w:rsidRPr="0036713B">
        <w:rPr>
          <w:noProof/>
          <w:lang w:val="fr-CH"/>
        </w:rPr>
        <w:t>4</w:t>
      </w:r>
      <w:r>
        <w:rPr>
          <w:noProof/>
        </w:rPr>
        <w:fldChar w:fldCharType="end"/>
      </w:r>
    </w:p>
    <w:p w14:paraId="06CD0937" w14:textId="251CB865" w:rsidR="007D4A8C" w:rsidRPr="0036713B" w:rsidRDefault="007D4A8C">
      <w:pPr>
        <w:pStyle w:val="TOC2"/>
        <w:rPr>
          <w:rFonts w:asciiTheme="minorHAnsi" w:eastAsiaTheme="minorEastAsia" w:hAnsiTheme="minorHAnsi" w:cstheme="minorBidi"/>
          <w:noProof/>
          <w:sz w:val="22"/>
          <w:szCs w:val="22"/>
          <w:lang w:val="fr-CH" w:eastAsia="en-GB"/>
        </w:rPr>
      </w:pPr>
      <w:r w:rsidRPr="00102B69">
        <w:rPr>
          <w:rFonts w:eastAsia="MS Mincho"/>
          <w:noProof/>
          <w:lang w:val="fr-CH"/>
        </w:rPr>
        <w:t>Logiciel d'analyse statistique DUSCEL</w:t>
      </w:r>
      <w:r w:rsidRPr="0036713B">
        <w:rPr>
          <w:noProof/>
          <w:lang w:val="fr-CH"/>
        </w:rPr>
        <w:tab/>
      </w:r>
      <w:r>
        <w:rPr>
          <w:noProof/>
        </w:rPr>
        <w:fldChar w:fldCharType="begin"/>
      </w:r>
      <w:r w:rsidRPr="0036713B">
        <w:rPr>
          <w:noProof/>
          <w:lang w:val="fr-CH"/>
        </w:rPr>
        <w:instrText xml:space="preserve"> PAGEREF _Toc145578034 \h </w:instrText>
      </w:r>
      <w:r>
        <w:rPr>
          <w:noProof/>
        </w:rPr>
      </w:r>
      <w:r>
        <w:rPr>
          <w:noProof/>
        </w:rPr>
        <w:fldChar w:fldCharType="separate"/>
      </w:r>
      <w:r w:rsidRPr="0036713B">
        <w:rPr>
          <w:noProof/>
          <w:lang w:val="fr-CH"/>
        </w:rPr>
        <w:t>4</w:t>
      </w:r>
      <w:r>
        <w:rPr>
          <w:noProof/>
        </w:rPr>
        <w:fldChar w:fldCharType="end"/>
      </w:r>
    </w:p>
    <w:p w14:paraId="02E7345D" w14:textId="2BA16531" w:rsidR="007D4A8C" w:rsidRPr="0036713B" w:rsidRDefault="007D4A8C">
      <w:pPr>
        <w:pStyle w:val="TOC2"/>
        <w:rPr>
          <w:rFonts w:asciiTheme="minorHAnsi" w:eastAsiaTheme="minorEastAsia" w:hAnsiTheme="minorHAnsi" w:cstheme="minorBidi"/>
          <w:noProof/>
          <w:sz w:val="22"/>
          <w:szCs w:val="22"/>
          <w:lang w:val="fr-CH" w:eastAsia="en-GB"/>
        </w:rPr>
      </w:pPr>
      <w:r w:rsidRPr="00102B69">
        <w:rPr>
          <w:rFonts w:eastAsia="MS Mincho"/>
          <w:noProof/>
          <w:lang w:val="fr-CH"/>
        </w:rPr>
        <w:t>Expériences avec de nouveaux types et espèces</w:t>
      </w:r>
      <w:r w:rsidRPr="0036713B">
        <w:rPr>
          <w:noProof/>
          <w:lang w:val="fr-CH"/>
        </w:rPr>
        <w:tab/>
      </w:r>
      <w:r>
        <w:rPr>
          <w:noProof/>
        </w:rPr>
        <w:fldChar w:fldCharType="begin"/>
      </w:r>
      <w:r w:rsidRPr="0036713B">
        <w:rPr>
          <w:noProof/>
          <w:lang w:val="fr-CH"/>
        </w:rPr>
        <w:instrText xml:space="preserve"> PAGEREF _Toc145578035 \h </w:instrText>
      </w:r>
      <w:r>
        <w:rPr>
          <w:noProof/>
        </w:rPr>
      </w:r>
      <w:r>
        <w:rPr>
          <w:noProof/>
        </w:rPr>
        <w:fldChar w:fldCharType="separate"/>
      </w:r>
      <w:r w:rsidRPr="0036713B">
        <w:rPr>
          <w:noProof/>
          <w:lang w:val="fr-CH"/>
        </w:rPr>
        <w:t>4</w:t>
      </w:r>
      <w:r>
        <w:rPr>
          <w:noProof/>
        </w:rPr>
        <w:fldChar w:fldCharType="end"/>
      </w:r>
    </w:p>
    <w:p w14:paraId="7AD07BCB" w14:textId="53A3A651" w:rsidR="007D4A8C" w:rsidRPr="0036713B" w:rsidRDefault="007D4A8C">
      <w:pPr>
        <w:pStyle w:val="TOC3"/>
        <w:rPr>
          <w:rFonts w:asciiTheme="minorHAnsi" w:eastAsiaTheme="minorEastAsia" w:hAnsiTheme="minorHAnsi" w:cstheme="minorBidi"/>
          <w:noProof/>
          <w:sz w:val="22"/>
          <w:szCs w:val="22"/>
          <w:lang w:val="fr-CH" w:eastAsia="en-GB"/>
        </w:rPr>
      </w:pPr>
      <w:r w:rsidRPr="00102B69">
        <w:rPr>
          <w:noProof/>
          <w:lang w:val="fr-CH"/>
        </w:rPr>
        <w:t>Chanvre/Cannabis</w:t>
      </w:r>
      <w:r>
        <w:rPr>
          <w:noProof/>
        </w:rPr>
        <w:tab/>
      </w:r>
      <w:r>
        <w:rPr>
          <w:noProof/>
        </w:rPr>
        <w:fldChar w:fldCharType="begin"/>
      </w:r>
      <w:r>
        <w:rPr>
          <w:noProof/>
        </w:rPr>
        <w:instrText xml:space="preserve"> PAGEREF _Toc145578036 \h </w:instrText>
      </w:r>
      <w:r>
        <w:rPr>
          <w:noProof/>
        </w:rPr>
      </w:r>
      <w:r>
        <w:rPr>
          <w:noProof/>
        </w:rPr>
        <w:fldChar w:fldCharType="separate"/>
      </w:r>
      <w:r>
        <w:rPr>
          <w:noProof/>
        </w:rPr>
        <w:t>4</w:t>
      </w:r>
      <w:r>
        <w:rPr>
          <w:noProof/>
        </w:rPr>
        <w:fldChar w:fldCharType="end"/>
      </w:r>
    </w:p>
    <w:p w14:paraId="2B2A1ACD" w14:textId="015571AA" w:rsidR="007D4A8C" w:rsidRPr="0036713B" w:rsidRDefault="007D4A8C">
      <w:pPr>
        <w:pStyle w:val="TOC3"/>
        <w:rPr>
          <w:rFonts w:asciiTheme="minorHAnsi" w:eastAsiaTheme="minorEastAsia" w:hAnsiTheme="minorHAnsi" w:cstheme="minorBidi"/>
          <w:noProof/>
          <w:sz w:val="22"/>
          <w:szCs w:val="22"/>
          <w:lang w:val="fr-CH" w:eastAsia="en-GB"/>
        </w:rPr>
      </w:pPr>
      <w:r w:rsidRPr="00102B69">
        <w:rPr>
          <w:noProof/>
          <w:lang w:val="fr-CH"/>
        </w:rPr>
        <w:t>Variétés à multiplication végétative</w:t>
      </w:r>
      <w:r>
        <w:rPr>
          <w:noProof/>
        </w:rPr>
        <w:tab/>
      </w:r>
      <w:r>
        <w:rPr>
          <w:noProof/>
        </w:rPr>
        <w:fldChar w:fldCharType="begin"/>
      </w:r>
      <w:r>
        <w:rPr>
          <w:noProof/>
        </w:rPr>
        <w:instrText xml:space="preserve"> PAGEREF _Toc145578037 \h </w:instrText>
      </w:r>
      <w:r>
        <w:rPr>
          <w:noProof/>
        </w:rPr>
      </w:r>
      <w:r>
        <w:rPr>
          <w:noProof/>
        </w:rPr>
        <w:fldChar w:fldCharType="separate"/>
      </w:r>
      <w:r>
        <w:rPr>
          <w:noProof/>
        </w:rPr>
        <w:t>4</w:t>
      </w:r>
      <w:r>
        <w:rPr>
          <w:noProof/>
        </w:rPr>
        <w:fldChar w:fldCharType="end"/>
      </w:r>
    </w:p>
    <w:p w14:paraId="09530537" w14:textId="1F98CC14" w:rsidR="007D4A8C" w:rsidRPr="0036713B" w:rsidRDefault="007D4A8C">
      <w:pPr>
        <w:pStyle w:val="TOC3"/>
        <w:rPr>
          <w:rFonts w:asciiTheme="minorHAnsi" w:eastAsiaTheme="minorEastAsia" w:hAnsiTheme="minorHAnsi" w:cstheme="minorBidi"/>
          <w:noProof/>
          <w:sz w:val="22"/>
          <w:szCs w:val="22"/>
          <w:lang w:val="fr-CH" w:eastAsia="en-GB"/>
        </w:rPr>
      </w:pPr>
      <w:r w:rsidRPr="00102B69">
        <w:rPr>
          <w:noProof/>
          <w:lang w:val="fr-CH"/>
        </w:rPr>
        <w:t>Lotus (Nelumbo)</w:t>
      </w:r>
      <w:r>
        <w:rPr>
          <w:noProof/>
        </w:rPr>
        <w:tab/>
      </w:r>
      <w:r>
        <w:rPr>
          <w:noProof/>
        </w:rPr>
        <w:fldChar w:fldCharType="begin"/>
      </w:r>
      <w:r>
        <w:rPr>
          <w:noProof/>
        </w:rPr>
        <w:instrText xml:space="preserve"> PAGEREF _Toc145578038 \h </w:instrText>
      </w:r>
      <w:r>
        <w:rPr>
          <w:noProof/>
        </w:rPr>
      </w:r>
      <w:r>
        <w:rPr>
          <w:noProof/>
        </w:rPr>
        <w:fldChar w:fldCharType="separate"/>
      </w:r>
      <w:r>
        <w:rPr>
          <w:noProof/>
        </w:rPr>
        <w:t>4</w:t>
      </w:r>
      <w:r>
        <w:rPr>
          <w:noProof/>
        </w:rPr>
        <w:fldChar w:fldCharType="end"/>
      </w:r>
    </w:p>
    <w:p w14:paraId="50FBC12F" w14:textId="138F1CA3" w:rsidR="007D4A8C" w:rsidRPr="0036713B" w:rsidRDefault="007D4A8C">
      <w:pPr>
        <w:pStyle w:val="TOC2"/>
        <w:rPr>
          <w:rFonts w:asciiTheme="minorHAnsi" w:eastAsiaTheme="minorEastAsia" w:hAnsiTheme="minorHAnsi" w:cstheme="minorBidi"/>
          <w:noProof/>
          <w:sz w:val="22"/>
          <w:szCs w:val="22"/>
          <w:lang w:val="fr-CH" w:eastAsia="en-GB"/>
        </w:rPr>
      </w:pPr>
      <w:r w:rsidRPr="00102B69">
        <w:rPr>
          <w:rFonts w:eastAsia="MS Mincho"/>
          <w:noProof/>
          <w:lang w:val="fr-CH"/>
        </w:rPr>
        <w:t>Variétés ornementales de cultures agricoles, fruitières ou légumières</w:t>
      </w:r>
      <w:r w:rsidRPr="0036713B">
        <w:rPr>
          <w:noProof/>
          <w:lang w:val="fr-CH"/>
        </w:rPr>
        <w:tab/>
      </w:r>
      <w:r>
        <w:rPr>
          <w:noProof/>
        </w:rPr>
        <w:fldChar w:fldCharType="begin"/>
      </w:r>
      <w:r w:rsidRPr="0036713B">
        <w:rPr>
          <w:noProof/>
          <w:lang w:val="fr-CH"/>
        </w:rPr>
        <w:instrText xml:space="preserve"> PAGEREF _Toc145578039 \h </w:instrText>
      </w:r>
      <w:r>
        <w:rPr>
          <w:noProof/>
        </w:rPr>
      </w:r>
      <w:r>
        <w:rPr>
          <w:noProof/>
        </w:rPr>
        <w:fldChar w:fldCharType="separate"/>
      </w:r>
      <w:r w:rsidRPr="0036713B">
        <w:rPr>
          <w:noProof/>
          <w:lang w:val="fr-CH"/>
        </w:rPr>
        <w:t>5</w:t>
      </w:r>
      <w:r>
        <w:rPr>
          <w:noProof/>
        </w:rPr>
        <w:fldChar w:fldCharType="end"/>
      </w:r>
    </w:p>
    <w:p w14:paraId="0A18EBA3" w14:textId="77777777" w:rsidR="000D6252" w:rsidRPr="005D7D77" w:rsidRDefault="007D4A8C">
      <w:pPr>
        <w:keepNext/>
        <w:rPr>
          <w:rFonts w:ascii="Calibri" w:hAnsi="Calibri"/>
          <w:noProof/>
          <w:sz w:val="22"/>
          <w:szCs w:val="22"/>
          <w:lang w:val="fr-CH"/>
        </w:rPr>
      </w:pPr>
      <w:r>
        <w:rPr>
          <w:rFonts w:eastAsia="MS Mincho" w:cs="Arial"/>
          <w:caps/>
          <w:noProof/>
          <w:lang w:eastAsia="ja-JP"/>
        </w:rPr>
        <w:fldChar w:fldCharType="end"/>
      </w:r>
      <w:r w:rsidR="00372918" w:rsidRPr="00372918">
        <w:rPr>
          <w:caps/>
          <w:sz w:val="18"/>
        </w:rPr>
        <w:fldChar w:fldCharType="begin"/>
      </w:r>
      <w:r w:rsidR="00372918" w:rsidRPr="005D7D77">
        <w:rPr>
          <w:lang w:val="fr-CH"/>
        </w:rPr>
        <w:instrText xml:space="preserve"> TOC \o "1-3" \h \z \u </w:instrText>
      </w:r>
      <w:r w:rsidR="00372918" w:rsidRPr="00372918">
        <w:rPr>
          <w:caps/>
          <w:sz w:val="18"/>
        </w:rPr>
        <w:fldChar w:fldCharType="separate"/>
      </w:r>
    </w:p>
    <w:p w14:paraId="79147CB1" w14:textId="77777777" w:rsidR="00372918" w:rsidRPr="005D7D77" w:rsidRDefault="00372918" w:rsidP="00372918">
      <w:pPr>
        <w:tabs>
          <w:tab w:val="left" w:pos="567"/>
        </w:tabs>
        <w:rPr>
          <w:rFonts w:cs="Arial"/>
          <w:lang w:val="fr-CH"/>
        </w:rPr>
      </w:pPr>
      <w:r w:rsidRPr="00372918">
        <w:fldChar w:fldCharType="end"/>
      </w:r>
    </w:p>
    <w:p w14:paraId="22008026" w14:textId="77777777" w:rsidR="000D6252" w:rsidRPr="003445F5" w:rsidRDefault="007D4A8C">
      <w:pPr>
        <w:keepNext/>
        <w:outlineLvl w:val="0"/>
        <w:rPr>
          <w:rFonts w:eastAsia="PMingLiU"/>
          <w:caps/>
          <w:szCs w:val="24"/>
          <w:lang w:val="fr-CH"/>
        </w:rPr>
      </w:pPr>
      <w:bookmarkStart w:id="2" w:name="_Toc441497828"/>
      <w:bookmarkStart w:id="3" w:name="_Toc527377892"/>
      <w:bookmarkStart w:id="4" w:name="_Toc20505078"/>
      <w:bookmarkStart w:id="5" w:name="_Toc145578026"/>
      <w:r w:rsidRPr="003445F5">
        <w:rPr>
          <w:caps/>
          <w:lang w:val="fr-CH"/>
        </w:rPr>
        <w:t>Questions pour information et pour une éventuelle décision à prendre par le Comité technique (CT)</w:t>
      </w:r>
      <w:bookmarkEnd w:id="2"/>
      <w:bookmarkEnd w:id="3"/>
      <w:bookmarkEnd w:id="4"/>
      <w:bookmarkEnd w:id="5"/>
    </w:p>
    <w:p w14:paraId="0840F060" w14:textId="77777777" w:rsidR="00372918" w:rsidRPr="003445F5" w:rsidRDefault="00372918" w:rsidP="00372918">
      <w:pPr>
        <w:rPr>
          <w:lang w:val="fr-CH"/>
        </w:rPr>
      </w:pPr>
    </w:p>
    <w:p w14:paraId="3E5239B0" w14:textId="77777777" w:rsidR="000D6252" w:rsidRPr="003445F5" w:rsidRDefault="007D4A8C">
      <w:pPr>
        <w:pStyle w:val="Heading2"/>
        <w:rPr>
          <w:lang w:val="fr-CH"/>
        </w:rPr>
      </w:pPr>
      <w:bookmarkStart w:id="6" w:name="_Toc145578027"/>
      <w:r w:rsidRPr="003445F5">
        <w:rPr>
          <w:lang w:val="fr-CH"/>
        </w:rPr>
        <w:t>Informations sur les variétés mutantes de pommes utiles pour l'examen DHS</w:t>
      </w:r>
      <w:bookmarkEnd w:id="6"/>
    </w:p>
    <w:p w14:paraId="737BF238" w14:textId="77777777" w:rsidR="00372918" w:rsidRPr="003445F5" w:rsidRDefault="00372918" w:rsidP="00372918">
      <w:pPr>
        <w:rPr>
          <w:lang w:val="fr-CH"/>
        </w:rPr>
      </w:pPr>
    </w:p>
    <w:p w14:paraId="75085403" w14:textId="77777777" w:rsidR="000D6252" w:rsidRPr="003445F5" w:rsidRDefault="007D4A8C">
      <w:pPr>
        <w:rPr>
          <w:lang w:val="fr-CH"/>
        </w:rPr>
      </w:pPr>
      <w:r w:rsidRPr="00372918">
        <w:fldChar w:fldCharType="begin"/>
      </w:r>
      <w:r w:rsidRPr="003445F5">
        <w:rPr>
          <w:lang w:val="fr-CH"/>
        </w:rPr>
        <w:instrText xml:space="preserve"> AUTONUM  </w:instrText>
      </w:r>
      <w:r w:rsidRPr="00372918">
        <w:fldChar w:fldCharType="end"/>
      </w:r>
      <w:r w:rsidRPr="003445F5">
        <w:rPr>
          <w:lang w:val="fr-CH"/>
        </w:rPr>
        <w:tab/>
        <w:t>Le TWF</w:t>
      </w:r>
      <w:r w:rsidRPr="00372918">
        <w:rPr>
          <w:color w:val="000000"/>
          <w:vertAlign w:val="superscript"/>
        </w:rPr>
        <w:footnoteReference w:id="6"/>
      </w:r>
      <w:r w:rsidRPr="003445F5">
        <w:rPr>
          <w:lang w:val="fr-CH"/>
        </w:rPr>
        <w:t xml:space="preserve"> a examiné le document TWF/54/6, présenté par un expert de l'Union européenne (voir le document TWF/54/13 "Rapport", paragraphes 21 à 25).</w:t>
      </w:r>
    </w:p>
    <w:p w14:paraId="5B8BF917" w14:textId="77777777" w:rsidR="00372918" w:rsidRPr="003445F5" w:rsidRDefault="00372918" w:rsidP="00372918">
      <w:pPr>
        <w:rPr>
          <w:lang w:val="fr-CH"/>
        </w:rPr>
      </w:pPr>
    </w:p>
    <w:p w14:paraId="23DFC6E4" w14:textId="77777777" w:rsidR="000D6252" w:rsidRPr="003445F5" w:rsidRDefault="007D4A8C">
      <w:pPr>
        <w:rPr>
          <w:rFonts w:eastAsia="Cambria"/>
          <w:lang w:val="fr-CH"/>
        </w:rPr>
      </w:pPr>
      <w:r w:rsidRPr="00372918">
        <w:fldChar w:fldCharType="begin"/>
      </w:r>
      <w:r w:rsidRPr="003445F5">
        <w:rPr>
          <w:lang w:val="fr-CH"/>
        </w:rPr>
        <w:instrText xml:space="preserve"> AUTONUM  </w:instrText>
      </w:r>
      <w:r w:rsidRPr="00372918">
        <w:fldChar w:fldCharType="end"/>
      </w:r>
      <w:r w:rsidRPr="003445F5">
        <w:rPr>
          <w:lang w:val="fr-CH"/>
        </w:rPr>
        <w:tab/>
      </w:r>
      <w:r w:rsidRPr="003445F5">
        <w:rPr>
          <w:lang w:val="fr-CH" w:eastAsia="fr-FR"/>
        </w:rPr>
        <w:t xml:space="preserve">Le TWF a pris note de l'échange antérieur d'informations sur les demandes et les variétés enregistrées dans certains groupes de mutation de la pomme </w:t>
      </w:r>
      <w:r w:rsidRPr="003445F5">
        <w:rPr>
          <w:rFonts w:eastAsia="Cambria"/>
          <w:lang w:val="fr-CH"/>
        </w:rPr>
        <w:t>au moyen d'une feuille de calcul diffusée par courrier électronique aux experts du TWF.</w:t>
      </w:r>
    </w:p>
    <w:p w14:paraId="5ADDE301" w14:textId="77777777" w:rsidR="00372918" w:rsidRPr="003445F5" w:rsidRDefault="00372918" w:rsidP="00372918">
      <w:pPr>
        <w:rPr>
          <w:rFonts w:eastAsia="Cambria"/>
          <w:lang w:val="fr-CH"/>
        </w:rPr>
      </w:pPr>
    </w:p>
    <w:p w14:paraId="0D5A96D3" w14:textId="77777777" w:rsidR="000D6252" w:rsidRPr="003445F5" w:rsidRDefault="007D4A8C">
      <w:pPr>
        <w:rPr>
          <w:rFonts w:eastAsia="Cambria"/>
          <w:lang w:val="fr-CH"/>
        </w:rPr>
      </w:pPr>
      <w:r w:rsidRPr="00372918">
        <w:rPr>
          <w:rFonts w:eastAsia="Cambria"/>
        </w:rPr>
        <w:fldChar w:fldCharType="begin"/>
      </w:r>
      <w:r w:rsidRPr="003445F5">
        <w:rPr>
          <w:rFonts w:eastAsia="Cambria"/>
          <w:lang w:val="fr-CH"/>
        </w:rPr>
        <w:instrText xml:space="preserve"> AUTONUM  </w:instrText>
      </w:r>
      <w:r w:rsidRPr="00372918">
        <w:rPr>
          <w:rFonts w:eastAsia="Cambria"/>
        </w:rPr>
        <w:fldChar w:fldCharType="end"/>
      </w:r>
      <w:r w:rsidRPr="003445F5">
        <w:rPr>
          <w:rFonts w:eastAsia="Cambria"/>
          <w:lang w:val="fr-CH"/>
        </w:rPr>
        <w:tab/>
        <w:t xml:space="preserve">Le TWF a décidé d'inviter les autorités à fournir les informations suivantes chaque fois qu'une demande de variété de pomme mutante est déposée, y compris la variété parentale ou le groupe de variétés : </w:t>
      </w:r>
    </w:p>
    <w:p w14:paraId="6758E0FC" w14:textId="77777777" w:rsidR="00372918" w:rsidRPr="003445F5" w:rsidRDefault="00372918" w:rsidP="00372918">
      <w:pPr>
        <w:rPr>
          <w:rFonts w:eastAsia="Cambria"/>
          <w:lang w:val="fr-CH"/>
        </w:rPr>
      </w:pPr>
    </w:p>
    <w:p w14:paraId="57BC1690" w14:textId="77777777" w:rsidR="000D6252" w:rsidRDefault="007D4A8C">
      <w:pPr>
        <w:numPr>
          <w:ilvl w:val="0"/>
          <w:numId w:val="2"/>
        </w:numPr>
        <w:ind w:left="1134" w:hanging="567"/>
        <w:contextualSpacing/>
        <w:rPr>
          <w:rFonts w:eastAsia="MS Mincho" w:cs="Arial"/>
          <w:lang w:eastAsia="en-GB"/>
        </w:rPr>
      </w:pPr>
      <w:r w:rsidRPr="00372918">
        <w:rPr>
          <w:rFonts w:eastAsia="MS Mincho" w:cs="Arial"/>
          <w:lang w:eastAsia="en-GB"/>
        </w:rPr>
        <w:t>Pays</w:t>
      </w:r>
    </w:p>
    <w:p w14:paraId="65BA652E" w14:textId="77777777" w:rsidR="000D6252" w:rsidRDefault="007D4A8C">
      <w:pPr>
        <w:numPr>
          <w:ilvl w:val="0"/>
          <w:numId w:val="2"/>
        </w:numPr>
        <w:ind w:left="1134" w:hanging="567"/>
        <w:contextualSpacing/>
        <w:rPr>
          <w:rFonts w:eastAsia="MS Mincho" w:cs="Arial"/>
          <w:lang w:eastAsia="en-GB"/>
        </w:rPr>
      </w:pPr>
      <w:r w:rsidRPr="00372918">
        <w:rPr>
          <w:rFonts w:eastAsia="MS Mincho" w:cs="Arial"/>
          <w:lang w:eastAsia="en-GB"/>
        </w:rPr>
        <w:t>Référence de l'éleveur</w:t>
      </w:r>
    </w:p>
    <w:p w14:paraId="3AC891DE" w14:textId="77777777" w:rsidR="000D6252" w:rsidRDefault="007D4A8C">
      <w:pPr>
        <w:numPr>
          <w:ilvl w:val="0"/>
          <w:numId w:val="2"/>
        </w:numPr>
        <w:ind w:left="1134" w:hanging="567"/>
        <w:contextualSpacing/>
        <w:rPr>
          <w:rFonts w:eastAsia="MS Mincho" w:cs="Arial"/>
          <w:lang w:eastAsia="en-GB"/>
        </w:rPr>
      </w:pPr>
      <w:r w:rsidRPr="00372918">
        <w:rPr>
          <w:rFonts w:eastAsia="MS Mincho" w:cs="Arial"/>
          <w:lang w:eastAsia="en-GB"/>
        </w:rPr>
        <w:t xml:space="preserve">Dénomination </w:t>
      </w:r>
    </w:p>
    <w:p w14:paraId="3B90CAAA" w14:textId="77777777" w:rsidR="000D6252" w:rsidRDefault="007D4A8C">
      <w:pPr>
        <w:numPr>
          <w:ilvl w:val="0"/>
          <w:numId w:val="2"/>
        </w:numPr>
        <w:ind w:left="1134" w:hanging="567"/>
        <w:contextualSpacing/>
        <w:rPr>
          <w:rFonts w:eastAsia="MS Mincho" w:cs="Arial"/>
          <w:lang w:eastAsia="en-GB"/>
        </w:rPr>
      </w:pPr>
      <w:r w:rsidRPr="00372918">
        <w:rPr>
          <w:rFonts w:eastAsia="MS Mincho" w:cs="Arial"/>
          <w:lang w:eastAsia="en-GB"/>
        </w:rPr>
        <w:t>Variété ou groupe de parents</w:t>
      </w:r>
    </w:p>
    <w:p w14:paraId="3CBBAD81" w14:textId="77777777" w:rsidR="000D6252" w:rsidRDefault="007D4A8C">
      <w:pPr>
        <w:numPr>
          <w:ilvl w:val="0"/>
          <w:numId w:val="2"/>
        </w:numPr>
        <w:ind w:left="1134" w:hanging="567"/>
        <w:contextualSpacing/>
        <w:rPr>
          <w:rFonts w:eastAsia="MS Mincho" w:cs="Arial"/>
          <w:lang w:eastAsia="en-GB"/>
        </w:rPr>
      </w:pPr>
      <w:r w:rsidRPr="00372918">
        <w:rPr>
          <w:rFonts w:eastAsia="MS Mincho" w:cs="Arial"/>
          <w:lang w:eastAsia="en-GB"/>
        </w:rPr>
        <w:t>Type de procédure : PBR/autre</w:t>
      </w:r>
    </w:p>
    <w:p w14:paraId="06FC0E3A" w14:textId="77777777" w:rsidR="000D6252" w:rsidRPr="003445F5" w:rsidRDefault="007D4A8C">
      <w:pPr>
        <w:numPr>
          <w:ilvl w:val="0"/>
          <w:numId w:val="2"/>
        </w:numPr>
        <w:ind w:left="1134" w:hanging="567"/>
        <w:contextualSpacing/>
        <w:rPr>
          <w:rFonts w:eastAsia="MS Mincho" w:cs="Arial"/>
          <w:lang w:val="fr-CH" w:eastAsia="en-GB"/>
        </w:rPr>
      </w:pPr>
      <w:r w:rsidRPr="003445F5">
        <w:rPr>
          <w:rFonts w:eastAsia="MS Mincho" w:cs="Arial"/>
          <w:lang w:val="fr-CH" w:eastAsia="en-GB"/>
        </w:rPr>
        <w:t>Statut de la variété : demande / enregistrée / rejetée / résiliée</w:t>
      </w:r>
    </w:p>
    <w:p w14:paraId="0EBA6AD0" w14:textId="77777777" w:rsidR="000D6252" w:rsidRPr="003445F5" w:rsidRDefault="007D4A8C">
      <w:pPr>
        <w:numPr>
          <w:ilvl w:val="0"/>
          <w:numId w:val="2"/>
        </w:numPr>
        <w:ind w:left="1134" w:hanging="567"/>
        <w:contextualSpacing/>
        <w:rPr>
          <w:rFonts w:eastAsia="MS Mincho" w:cs="Arial"/>
          <w:lang w:val="fr-CH" w:eastAsia="en-GB"/>
        </w:rPr>
      </w:pPr>
      <w:r w:rsidRPr="003445F5">
        <w:rPr>
          <w:rFonts w:eastAsia="MS Mincho" w:cs="Arial"/>
          <w:lang w:val="fr-CH" w:eastAsia="en-GB"/>
        </w:rPr>
        <w:t>Date de la demande (le cas échéant)</w:t>
      </w:r>
    </w:p>
    <w:p w14:paraId="20A079B1" w14:textId="77777777" w:rsidR="000D6252" w:rsidRPr="003445F5" w:rsidRDefault="007D4A8C">
      <w:pPr>
        <w:numPr>
          <w:ilvl w:val="0"/>
          <w:numId w:val="2"/>
        </w:numPr>
        <w:ind w:left="1134" w:hanging="567"/>
        <w:contextualSpacing/>
        <w:rPr>
          <w:rFonts w:eastAsia="MS Mincho" w:cs="Arial"/>
          <w:lang w:val="fr-CH" w:eastAsia="en-GB"/>
        </w:rPr>
      </w:pPr>
      <w:r w:rsidRPr="003445F5">
        <w:rPr>
          <w:rFonts w:eastAsia="MS Mincho" w:cs="Arial"/>
          <w:lang w:val="fr-CH" w:eastAsia="en-GB"/>
        </w:rPr>
        <w:t>Date d'attribution (le cas échéant)</w:t>
      </w:r>
    </w:p>
    <w:p w14:paraId="476943C2" w14:textId="77777777" w:rsidR="000D6252" w:rsidRDefault="007D4A8C">
      <w:pPr>
        <w:numPr>
          <w:ilvl w:val="0"/>
          <w:numId w:val="2"/>
        </w:numPr>
        <w:ind w:left="1134" w:hanging="567"/>
        <w:contextualSpacing/>
        <w:rPr>
          <w:rFonts w:eastAsia="MS Mincho" w:cs="Arial"/>
          <w:lang w:eastAsia="en-GB"/>
        </w:rPr>
      </w:pPr>
      <w:r w:rsidRPr="00372918">
        <w:rPr>
          <w:rFonts w:eastAsia="MS Mincho" w:cs="Arial"/>
          <w:lang w:eastAsia="en-GB"/>
        </w:rPr>
        <w:t xml:space="preserve">Nom du </w:t>
      </w:r>
      <w:proofErr w:type="spellStart"/>
      <w:r w:rsidRPr="00372918">
        <w:rPr>
          <w:rFonts w:eastAsia="MS Mincho" w:cs="Arial"/>
          <w:lang w:eastAsia="en-GB"/>
        </w:rPr>
        <w:t>détenteur</w:t>
      </w:r>
      <w:proofErr w:type="spellEnd"/>
      <w:r w:rsidRPr="00372918">
        <w:rPr>
          <w:rFonts w:eastAsia="MS Mincho" w:cs="Arial"/>
          <w:lang w:eastAsia="en-GB"/>
        </w:rPr>
        <w:t xml:space="preserve"> du </w:t>
      </w:r>
      <w:proofErr w:type="spellStart"/>
      <w:r w:rsidRPr="00372918">
        <w:rPr>
          <w:rFonts w:eastAsia="MS Mincho" w:cs="Arial"/>
          <w:lang w:eastAsia="en-GB"/>
        </w:rPr>
        <w:t>titre</w:t>
      </w:r>
      <w:proofErr w:type="spellEnd"/>
    </w:p>
    <w:p w14:paraId="2C5935C1" w14:textId="77777777" w:rsidR="000D6252" w:rsidRDefault="007D4A8C">
      <w:pPr>
        <w:numPr>
          <w:ilvl w:val="0"/>
          <w:numId w:val="2"/>
        </w:numPr>
        <w:ind w:left="1134" w:hanging="567"/>
        <w:contextualSpacing/>
        <w:rPr>
          <w:rFonts w:eastAsia="MS Mincho" w:cs="Arial"/>
          <w:lang w:eastAsia="en-GB"/>
        </w:rPr>
      </w:pPr>
      <w:r w:rsidRPr="00372918">
        <w:rPr>
          <w:rFonts w:eastAsia="MS Mincho" w:cs="Arial"/>
          <w:lang w:eastAsia="en-GB"/>
        </w:rPr>
        <w:t>Synonymes commerciaux</w:t>
      </w:r>
    </w:p>
    <w:p w14:paraId="75700381" w14:textId="77777777" w:rsidR="00372918" w:rsidRPr="00372918" w:rsidRDefault="00372918" w:rsidP="00372918">
      <w:pPr>
        <w:rPr>
          <w:rFonts w:eastAsia="Cambria"/>
        </w:rPr>
      </w:pPr>
    </w:p>
    <w:p w14:paraId="65435642" w14:textId="77777777" w:rsidR="000D6252" w:rsidRPr="003445F5" w:rsidRDefault="007D4A8C">
      <w:pPr>
        <w:rPr>
          <w:rFonts w:eastAsia="Cambria"/>
          <w:lang w:val="fr-CH"/>
        </w:rPr>
      </w:pPr>
      <w:r w:rsidRPr="00372918">
        <w:rPr>
          <w:rFonts w:eastAsia="Cambria"/>
        </w:rPr>
        <w:fldChar w:fldCharType="begin"/>
      </w:r>
      <w:r w:rsidRPr="003445F5">
        <w:rPr>
          <w:rFonts w:eastAsia="Cambria"/>
          <w:lang w:val="fr-CH"/>
        </w:rPr>
        <w:instrText xml:space="preserve"> AUTONUM  </w:instrText>
      </w:r>
      <w:r w:rsidRPr="00372918">
        <w:rPr>
          <w:rFonts w:eastAsia="Cambria"/>
        </w:rPr>
        <w:fldChar w:fldCharType="end"/>
      </w:r>
      <w:r w:rsidRPr="003445F5">
        <w:rPr>
          <w:rFonts w:eastAsia="Cambria"/>
          <w:lang w:val="fr-CH"/>
        </w:rPr>
        <w:tab/>
        <w:t xml:space="preserve">Le TWF est convenu que toute information fournie sur la filiation ou les groupes de variétés doit être traitée comme une information privilégiée et ne doit pas être mise à disposition en dehors des offices de protection des obtentions végétales participants. Le TWF a reconnu que tous les services ne seraient pas en mesure de fournir des informations en raison des restrictions relatives à la divulgation d'informations sur la filiation ou les groupes de variétés avant que ces informations ne soient accessibles au public. </w:t>
      </w:r>
    </w:p>
    <w:p w14:paraId="63511F7B" w14:textId="77777777" w:rsidR="00372918" w:rsidRPr="003445F5" w:rsidRDefault="00372918" w:rsidP="00372918">
      <w:pPr>
        <w:rPr>
          <w:rFonts w:eastAsia="Cambria"/>
          <w:lang w:val="fr-CH"/>
        </w:rPr>
      </w:pPr>
    </w:p>
    <w:p w14:paraId="3A31950A" w14:textId="77777777" w:rsidR="000D6252" w:rsidRPr="003445F5" w:rsidRDefault="007D4A8C">
      <w:pPr>
        <w:keepLines/>
        <w:contextualSpacing/>
        <w:rPr>
          <w:rFonts w:eastAsia="Cambria" w:cs="Arial"/>
          <w:lang w:val="fr-CH"/>
        </w:rPr>
      </w:pPr>
      <w:r w:rsidRPr="00372918">
        <w:rPr>
          <w:rFonts w:eastAsia="Cambria" w:cs="Arial"/>
        </w:rPr>
        <w:lastRenderedPageBreak/>
        <w:fldChar w:fldCharType="begin"/>
      </w:r>
      <w:r w:rsidRPr="003445F5">
        <w:rPr>
          <w:rFonts w:eastAsia="Cambria" w:cs="Arial"/>
          <w:lang w:val="fr-CH"/>
        </w:rPr>
        <w:instrText xml:space="preserve"> AUTONUM  </w:instrText>
      </w:r>
      <w:r w:rsidRPr="00372918">
        <w:rPr>
          <w:rFonts w:eastAsia="Cambria" w:cs="Arial"/>
        </w:rPr>
        <w:fldChar w:fldCharType="end"/>
      </w:r>
      <w:r w:rsidRPr="003445F5">
        <w:rPr>
          <w:rFonts w:eastAsia="Cambria" w:cs="Arial"/>
          <w:lang w:val="fr-CH"/>
        </w:rPr>
        <w:tab/>
        <w:t xml:space="preserve">Le TWF a examiné les possibilités d'hébergement des informations sur les variétés mutantes de pommier et est convenu qu'il serait préférable de créer une zone réservée sur le site Web de l'UPOV.  </w:t>
      </w:r>
      <w:r w:rsidRPr="003445F5">
        <w:rPr>
          <w:rFonts w:eastAsia="MS Mincho" w:cs="Arial"/>
          <w:lang w:val="fr-CH"/>
        </w:rPr>
        <w:t xml:space="preserve">Le TWF est convenu d'inviter le Bureau de l'Union à étudier les possibilités de mettre à disposition sur le site Web de l'UPOV une version modifiable de la feuille de calcul pour l'apport de données (par exemple, "SharePoint").  Le </w:t>
      </w:r>
      <w:r w:rsidRPr="003445F5">
        <w:rPr>
          <w:rFonts w:eastAsia="Cambria" w:cs="Arial"/>
          <w:lang w:val="fr-CH"/>
        </w:rPr>
        <w:t xml:space="preserve">TWF est convenu que la zone à accès restreint du site Web devrait également permettre de télécharger des questionnaires techniques ou des descriptions variétales. </w:t>
      </w:r>
    </w:p>
    <w:p w14:paraId="1B2F74EE" w14:textId="77777777" w:rsidR="00372918" w:rsidRPr="003445F5" w:rsidRDefault="00372918" w:rsidP="00372918">
      <w:pPr>
        <w:rPr>
          <w:lang w:val="fr-CH"/>
        </w:rPr>
      </w:pPr>
    </w:p>
    <w:p w14:paraId="06A58F34" w14:textId="77777777" w:rsidR="000D6252" w:rsidRPr="003445F5" w:rsidRDefault="007D4A8C">
      <w:pPr>
        <w:keepNext/>
        <w:keepLines/>
        <w:tabs>
          <w:tab w:val="left" w:pos="5387"/>
        </w:tabs>
        <w:ind w:left="4820"/>
        <w:rPr>
          <w:i/>
          <w:lang w:val="fr-CH" w:eastAsia="fr-FR"/>
        </w:rPr>
      </w:pPr>
      <w:r w:rsidRPr="00372918">
        <w:rPr>
          <w:i/>
        </w:rPr>
        <w:fldChar w:fldCharType="begin"/>
      </w:r>
      <w:r w:rsidRPr="003445F5">
        <w:rPr>
          <w:i/>
          <w:lang w:val="fr-CH"/>
        </w:rPr>
        <w:instrText xml:space="preserve"> AUTONUM  </w:instrText>
      </w:r>
      <w:r w:rsidRPr="00372918">
        <w:rPr>
          <w:i/>
        </w:rPr>
        <w:fldChar w:fldCharType="end"/>
      </w:r>
      <w:r w:rsidRPr="003445F5">
        <w:rPr>
          <w:i/>
          <w:lang w:val="fr-CH"/>
        </w:rPr>
        <w:tab/>
        <w:t>Le TC est invité à examiner la proposition visant à soutenir l'</w:t>
      </w:r>
      <w:r w:rsidRPr="003445F5">
        <w:rPr>
          <w:i/>
          <w:lang w:val="fr-CH" w:eastAsia="fr-FR"/>
        </w:rPr>
        <w:t xml:space="preserve">échange d'informations sur les variétés mutantes de pommes, comme indiqué aux </w:t>
      </w:r>
      <w:r w:rsidRPr="0036713B">
        <w:rPr>
          <w:i/>
          <w:lang w:val="fr-CH" w:eastAsia="fr-FR"/>
        </w:rPr>
        <w:t>paragraphes 6 à 10 du présent document.</w:t>
      </w:r>
    </w:p>
    <w:p w14:paraId="18736EF9" w14:textId="77777777" w:rsidR="00D62C7A" w:rsidRPr="003445F5" w:rsidRDefault="00D62C7A" w:rsidP="00BF1B0A">
      <w:pPr>
        <w:rPr>
          <w:lang w:val="fr-CH"/>
        </w:rPr>
      </w:pPr>
    </w:p>
    <w:p w14:paraId="1F74F8F6" w14:textId="77777777" w:rsidR="00804AEC" w:rsidRPr="003445F5" w:rsidRDefault="00804AEC" w:rsidP="00804AEC">
      <w:pPr>
        <w:rPr>
          <w:lang w:val="fr-CH"/>
        </w:rPr>
      </w:pPr>
    </w:p>
    <w:p w14:paraId="657FB92D" w14:textId="77777777" w:rsidR="000D6252" w:rsidRPr="003445F5" w:rsidRDefault="007D4A8C">
      <w:pPr>
        <w:keepNext/>
        <w:outlineLvl w:val="0"/>
        <w:rPr>
          <w:caps/>
          <w:lang w:val="fr-CH"/>
        </w:rPr>
      </w:pPr>
      <w:bookmarkStart w:id="7" w:name="_Toc441497830"/>
      <w:bookmarkStart w:id="8" w:name="_Toc527377899"/>
      <w:bookmarkStart w:id="9" w:name="_Toc20505079"/>
      <w:bookmarkStart w:id="10" w:name="_Toc141461052"/>
      <w:bookmarkStart w:id="11" w:name="_Toc141461212"/>
      <w:bookmarkStart w:id="12" w:name="_Toc145578028"/>
      <w:r w:rsidRPr="003445F5">
        <w:rPr>
          <w:caps/>
          <w:lang w:val="fr-CH"/>
        </w:rPr>
        <w:t>Questions pour information</w:t>
      </w:r>
      <w:bookmarkEnd w:id="7"/>
      <w:bookmarkEnd w:id="8"/>
      <w:bookmarkEnd w:id="9"/>
      <w:bookmarkEnd w:id="10"/>
      <w:bookmarkEnd w:id="11"/>
      <w:bookmarkEnd w:id="12"/>
    </w:p>
    <w:p w14:paraId="6FEFDBF2" w14:textId="77777777" w:rsidR="00BF1B0A" w:rsidRPr="003445F5" w:rsidRDefault="00BF1B0A" w:rsidP="00BF1B0A">
      <w:pPr>
        <w:jc w:val="left"/>
        <w:rPr>
          <w:lang w:val="fr-CH"/>
        </w:rPr>
      </w:pPr>
    </w:p>
    <w:p w14:paraId="5FD5C2A1" w14:textId="77777777" w:rsidR="000D6252" w:rsidRPr="003445F5" w:rsidRDefault="007D4A8C">
      <w:pPr>
        <w:pStyle w:val="Heading2"/>
        <w:rPr>
          <w:highlight w:val="cyan"/>
          <w:lang w:val="fr-CH"/>
        </w:rPr>
      </w:pPr>
      <w:bookmarkStart w:id="13" w:name="_Toc141461053"/>
      <w:bookmarkStart w:id="14" w:name="_Toc141461213"/>
      <w:bookmarkStart w:id="15" w:name="_Toc145578029"/>
      <w:r w:rsidRPr="003445F5">
        <w:rPr>
          <w:rFonts w:eastAsia="MS Mincho"/>
          <w:lang w:val="fr-CH"/>
        </w:rPr>
        <w:t>Évaluation de la distinction des caractéristiques de résistance aux maladies</w:t>
      </w:r>
      <w:bookmarkEnd w:id="13"/>
      <w:bookmarkEnd w:id="14"/>
      <w:bookmarkEnd w:id="15"/>
    </w:p>
    <w:p w14:paraId="26989419" w14:textId="77777777" w:rsidR="00BF1B0A" w:rsidRPr="003445F5" w:rsidRDefault="00BF1B0A" w:rsidP="00BF1B0A">
      <w:pPr>
        <w:pStyle w:val="Heading2"/>
        <w:rPr>
          <w:highlight w:val="cyan"/>
          <w:lang w:val="fr-CH"/>
        </w:rPr>
      </w:pPr>
    </w:p>
    <w:p w14:paraId="4676555A" w14:textId="77777777" w:rsidR="000D6252" w:rsidRPr="003445F5" w:rsidRDefault="007D4A8C">
      <w:pPr>
        <w:pStyle w:val="Heading3"/>
        <w:rPr>
          <w:highlight w:val="cyan"/>
          <w:lang w:val="fr-CH"/>
        </w:rPr>
      </w:pPr>
      <w:bookmarkStart w:id="16" w:name="_Toc141461054"/>
      <w:bookmarkStart w:id="17" w:name="_Toc141461214"/>
      <w:bookmarkStart w:id="18" w:name="_Toc145578030"/>
      <w:r w:rsidRPr="003445F5">
        <w:rPr>
          <w:lang w:val="fr-CH"/>
        </w:rPr>
        <w:t>Distinction sur la base d'une différence d'une note pour les maladies</w:t>
      </w:r>
      <w:bookmarkEnd w:id="16"/>
      <w:bookmarkEnd w:id="17"/>
      <w:bookmarkEnd w:id="18"/>
    </w:p>
    <w:p w14:paraId="44B54878" w14:textId="77777777" w:rsidR="00F37B39" w:rsidRPr="003445F5" w:rsidRDefault="00F37B39" w:rsidP="00F37B39">
      <w:pPr>
        <w:rPr>
          <w:highlight w:val="cyan"/>
          <w:lang w:val="fr-CH"/>
        </w:rPr>
      </w:pPr>
    </w:p>
    <w:p w14:paraId="79A9F736" w14:textId="77777777" w:rsidR="000D6252" w:rsidRPr="003445F5" w:rsidRDefault="007D4A8C">
      <w:pPr>
        <w:rPr>
          <w:lang w:val="fr-CH"/>
        </w:rPr>
      </w:pPr>
      <w:r w:rsidRPr="00350522">
        <w:fldChar w:fldCharType="begin"/>
      </w:r>
      <w:r w:rsidRPr="003445F5">
        <w:rPr>
          <w:lang w:val="fr-CH"/>
        </w:rPr>
        <w:instrText xml:space="preserve"> AUTONUM  </w:instrText>
      </w:r>
      <w:r w:rsidRPr="00350522">
        <w:fldChar w:fldCharType="end"/>
      </w:r>
      <w:r w:rsidRPr="003445F5">
        <w:rPr>
          <w:lang w:val="fr-CH"/>
        </w:rPr>
        <w:tab/>
        <w:t xml:space="preserve">Le TWV a examiné le document </w:t>
      </w:r>
      <w:r w:rsidRPr="003445F5">
        <w:rPr>
          <w:rFonts w:eastAsia="MS Mincho"/>
          <w:lang w:val="fr-CH"/>
        </w:rPr>
        <w:t>TWV/57/10 (voir le document TWV/57/26 "Rapport", paragraphes 17 à 28).</w:t>
      </w:r>
    </w:p>
    <w:p w14:paraId="087DC7BC" w14:textId="77777777" w:rsidR="00BF1B0A" w:rsidRPr="003445F5" w:rsidRDefault="00BF1B0A" w:rsidP="00BF1B0A">
      <w:pPr>
        <w:jc w:val="left"/>
        <w:rPr>
          <w:lang w:val="fr-CH"/>
        </w:rPr>
      </w:pPr>
    </w:p>
    <w:p w14:paraId="5C64272D" w14:textId="77777777" w:rsidR="000D6252" w:rsidRPr="003445F5" w:rsidRDefault="007D4A8C">
      <w:pPr>
        <w:rPr>
          <w:lang w:val="fr-CH"/>
        </w:rPr>
      </w:pPr>
      <w:r w:rsidRPr="00350522">
        <w:fldChar w:fldCharType="begin"/>
      </w:r>
      <w:r w:rsidRPr="003445F5">
        <w:rPr>
          <w:lang w:val="fr-CH"/>
        </w:rPr>
        <w:instrText xml:space="preserve"> AUTONUM  </w:instrText>
      </w:r>
      <w:r w:rsidRPr="00350522">
        <w:fldChar w:fldCharType="end"/>
      </w:r>
      <w:r w:rsidRPr="003445F5">
        <w:rPr>
          <w:lang w:val="fr-CH"/>
        </w:rPr>
        <w:tab/>
        <w:t xml:space="preserve">Le TWV a examiné les critères relatifs aux caractères de résistance aux maladies figurant dans les principes directeurs d'examen de l'UPOV, tels qu'ils sont énoncés au paragraphe 11 du </w:t>
      </w:r>
      <w:r w:rsidRPr="003445F5">
        <w:rPr>
          <w:lang w:val="fr-CH"/>
        </w:rPr>
        <w:tab/>
        <w:t xml:space="preserve">document </w:t>
      </w:r>
      <w:r w:rsidRPr="003445F5">
        <w:rPr>
          <w:rFonts w:eastAsia="MS Mincho"/>
          <w:lang w:val="fr-CH"/>
        </w:rPr>
        <w:t>TWV/57/10.</w:t>
      </w:r>
    </w:p>
    <w:p w14:paraId="093FC5D0" w14:textId="77777777" w:rsidR="00BF1B0A" w:rsidRPr="003445F5" w:rsidRDefault="00BF1B0A" w:rsidP="00BF1B0A">
      <w:pPr>
        <w:rPr>
          <w:lang w:val="fr-CH"/>
        </w:rPr>
      </w:pPr>
    </w:p>
    <w:p w14:paraId="6E947595" w14:textId="77777777" w:rsidR="000D6252" w:rsidRPr="003445F5" w:rsidRDefault="007D4A8C">
      <w:pPr>
        <w:rPr>
          <w:color w:val="000000" w:themeColor="text1"/>
          <w:lang w:val="fr-CH"/>
        </w:rPr>
      </w:pPr>
      <w:r w:rsidRPr="00350522">
        <w:fldChar w:fldCharType="begin"/>
      </w:r>
      <w:r w:rsidRPr="003445F5">
        <w:rPr>
          <w:lang w:val="fr-CH"/>
        </w:rPr>
        <w:instrText xml:space="preserve"> AUTONUM  </w:instrText>
      </w:r>
      <w:r w:rsidRPr="00350522">
        <w:fldChar w:fldCharType="end"/>
      </w:r>
      <w:r w:rsidRPr="003445F5">
        <w:rPr>
          <w:lang w:val="fr-CH"/>
        </w:rPr>
        <w:tab/>
        <w:t xml:space="preserve">Le TWV est convenu que les </w:t>
      </w:r>
      <w:r w:rsidRPr="003445F5">
        <w:rPr>
          <w:color w:val="000000" w:themeColor="text1"/>
          <w:lang w:val="fr-CH"/>
        </w:rPr>
        <w:t xml:space="preserve">échelles normalisées de notes pour les caractères quantitatifs (QN) doivent être utilisées, le cas échéant, pour les caractères de résistance aux maladies, comme l'échelle condensée (notes 1 à 3) dans l'exemple suivant : "Résistance à la maladie 'x'" avec les niveaux d'expression "absente ou faible", note 1 ; "moyenne", note 2 ; et "élevée", note 3. </w:t>
      </w:r>
      <w:bookmarkStart w:id="19" w:name="_Hlk130399650"/>
    </w:p>
    <w:p w14:paraId="506FB7BC" w14:textId="77777777" w:rsidR="00BF1B0A" w:rsidRPr="003445F5" w:rsidRDefault="00BF1B0A" w:rsidP="00BF1B0A">
      <w:pPr>
        <w:tabs>
          <w:tab w:val="left" w:pos="567"/>
        </w:tabs>
        <w:contextualSpacing/>
        <w:rPr>
          <w:color w:val="000000" w:themeColor="text1"/>
          <w:lang w:val="fr-CH"/>
        </w:rPr>
      </w:pPr>
    </w:p>
    <w:p w14:paraId="68E882A2" w14:textId="77777777" w:rsidR="000D6252" w:rsidRPr="003445F5" w:rsidRDefault="007D4A8C">
      <w:pPr>
        <w:tabs>
          <w:tab w:val="left" w:pos="567"/>
        </w:tabs>
        <w:contextualSpacing/>
        <w:rPr>
          <w:lang w:val="fr-CH"/>
        </w:rPr>
      </w:pPr>
      <w:r w:rsidRPr="00350522">
        <w:rPr>
          <w:color w:val="000000" w:themeColor="text1"/>
        </w:rPr>
        <w:fldChar w:fldCharType="begin"/>
      </w:r>
      <w:r w:rsidRPr="003445F5">
        <w:rPr>
          <w:color w:val="000000" w:themeColor="text1"/>
          <w:lang w:val="fr-CH"/>
        </w:rPr>
        <w:instrText xml:space="preserve"> AUTONUM  </w:instrText>
      </w:r>
      <w:r w:rsidRPr="00350522">
        <w:rPr>
          <w:color w:val="000000" w:themeColor="text1"/>
        </w:rPr>
        <w:fldChar w:fldCharType="end"/>
      </w:r>
      <w:r w:rsidRPr="003445F5">
        <w:rPr>
          <w:color w:val="000000" w:themeColor="text1"/>
          <w:lang w:val="fr-CH"/>
        </w:rPr>
        <w:tab/>
        <w:t>Le TWV a examiné l'évaluation de la distinction sur la base d'une différence d'une note pour les caractères de résistance aux maladies en utilisant une échelle quantitative condensée de trois notes (notes 1 à 3).  Le TWV a rappelé que, dans le cadre d'une comparaison côte à côte, "</w:t>
      </w:r>
      <w:r w:rsidRPr="003445F5">
        <w:rPr>
          <w:lang w:val="fr-CH"/>
        </w:rPr>
        <w:t xml:space="preserve">une différence entre deux variétés est acceptable dès lors qu'elle peut être évaluée visuellement et mesurée, même si cette mesure peut être peu pratique ou exiger un effort déraisonnable", comme indiqué dans la section 5.5.2.2.2 du document TG/1/3 "Introduction générale".  </w:t>
      </w:r>
    </w:p>
    <w:p w14:paraId="3AE86ACD" w14:textId="77777777" w:rsidR="00BF1B0A" w:rsidRPr="003445F5" w:rsidRDefault="00BF1B0A" w:rsidP="00BF1B0A">
      <w:pPr>
        <w:tabs>
          <w:tab w:val="left" w:pos="567"/>
        </w:tabs>
        <w:contextualSpacing/>
        <w:rPr>
          <w:lang w:val="fr-CH"/>
        </w:rPr>
      </w:pPr>
    </w:p>
    <w:p w14:paraId="01560E2C" w14:textId="77777777" w:rsidR="000D6252" w:rsidRPr="003445F5" w:rsidRDefault="007D4A8C">
      <w:pPr>
        <w:tabs>
          <w:tab w:val="left" w:pos="567"/>
        </w:tabs>
        <w:contextualSpacing/>
        <w:rPr>
          <w:lang w:val="fr-CH"/>
        </w:rPr>
      </w:pPr>
      <w:r w:rsidRPr="00350522">
        <w:fldChar w:fldCharType="begin"/>
      </w:r>
      <w:r w:rsidRPr="003445F5">
        <w:rPr>
          <w:lang w:val="fr-CH"/>
        </w:rPr>
        <w:instrText xml:space="preserve"> AUTONUM  </w:instrText>
      </w:r>
      <w:r w:rsidRPr="00350522">
        <w:fldChar w:fldCharType="end"/>
      </w:r>
      <w:r w:rsidRPr="003445F5">
        <w:rPr>
          <w:lang w:val="fr-CH"/>
        </w:rPr>
        <w:tab/>
        <w:t xml:space="preserve">Le TWV a rappelé que, pour les comparaisons visuelles côte à côte, </w:t>
      </w:r>
      <w:r w:rsidRPr="003445F5">
        <w:rPr>
          <w:color w:val="000000" w:themeColor="text1"/>
          <w:lang w:val="fr-CH"/>
        </w:rPr>
        <w:t>"</w:t>
      </w:r>
      <w:r w:rsidRPr="003445F5">
        <w:rPr>
          <w:lang w:val="fr-CH"/>
        </w:rPr>
        <w:t xml:space="preserve">lorsque la comparaison est effectuée au niveau des </w:t>
      </w:r>
      <w:r w:rsidR="00122D63" w:rsidRPr="003445F5">
        <w:rPr>
          <w:lang w:val="fr-CH"/>
        </w:rPr>
        <w:t xml:space="preserve">valeurs mesurées (MG, </w:t>
      </w:r>
      <w:r w:rsidRPr="003445F5">
        <w:rPr>
          <w:lang w:val="fr-CH"/>
        </w:rPr>
        <w:t>moyenne de MS), une différence inférieure à deux notes peut représenter une différence nette", comme indiqué dans le document TGP/9 "Examen de la distinction", section 5.2.3.2.3.3.</w:t>
      </w:r>
    </w:p>
    <w:p w14:paraId="5D6A5D56" w14:textId="77777777" w:rsidR="00BF1B0A" w:rsidRPr="003445F5" w:rsidRDefault="00BF1B0A" w:rsidP="00BF1B0A">
      <w:pPr>
        <w:tabs>
          <w:tab w:val="left" w:pos="567"/>
        </w:tabs>
        <w:contextualSpacing/>
        <w:rPr>
          <w:lang w:val="fr-CH"/>
        </w:rPr>
      </w:pPr>
    </w:p>
    <w:p w14:paraId="548BA4A7" w14:textId="77777777" w:rsidR="000D6252" w:rsidRPr="003445F5" w:rsidRDefault="007D4A8C">
      <w:pPr>
        <w:tabs>
          <w:tab w:val="left" w:pos="567"/>
        </w:tabs>
        <w:contextualSpacing/>
        <w:rPr>
          <w:color w:val="000000" w:themeColor="text1"/>
          <w:lang w:val="fr-CH"/>
        </w:rPr>
      </w:pPr>
      <w:r w:rsidRPr="00350522">
        <w:fldChar w:fldCharType="begin"/>
      </w:r>
      <w:r w:rsidRPr="003445F5">
        <w:rPr>
          <w:lang w:val="fr-CH"/>
        </w:rPr>
        <w:instrText xml:space="preserve"> AUTONUM  </w:instrText>
      </w:r>
      <w:r w:rsidRPr="00350522">
        <w:fldChar w:fldCharType="end"/>
      </w:r>
      <w:r w:rsidRPr="003445F5">
        <w:rPr>
          <w:lang w:val="fr-CH"/>
        </w:rPr>
        <w:tab/>
        <w:t xml:space="preserve">Le TWV a noté que des méthodes statistiques ont été utilisées pour l'évaluation de la distinction pour les caractères de résistance aux maladies et a rappelé que "[...] deux variétés qui s'avèrent être significativement différentes pour un ou plusieurs caractères quantitatifs peuvent être considérées comme distinctes" (voir le document </w:t>
      </w:r>
      <w:r w:rsidRPr="003445F5">
        <w:rPr>
          <w:color w:val="000000" w:themeColor="text1"/>
          <w:lang w:val="fr-CH"/>
        </w:rPr>
        <w:t xml:space="preserve">TGP/9 "Examen de la distinction", section </w:t>
      </w:r>
      <w:r w:rsidRPr="003445F5">
        <w:rPr>
          <w:lang w:val="fr-CH"/>
        </w:rPr>
        <w:t>5.2.4.5.3).</w:t>
      </w:r>
    </w:p>
    <w:p w14:paraId="0C387C01" w14:textId="77777777" w:rsidR="00BF1B0A" w:rsidRPr="003445F5" w:rsidRDefault="00BF1B0A" w:rsidP="00BF1B0A">
      <w:pPr>
        <w:tabs>
          <w:tab w:val="left" w:pos="567"/>
        </w:tabs>
        <w:contextualSpacing/>
        <w:rPr>
          <w:color w:val="000000" w:themeColor="text1"/>
          <w:lang w:val="fr-CH"/>
        </w:rPr>
      </w:pPr>
    </w:p>
    <w:p w14:paraId="6DF9E3F7" w14:textId="77777777" w:rsidR="000D6252" w:rsidRPr="003445F5" w:rsidRDefault="007D4A8C">
      <w:pPr>
        <w:pStyle w:val="Heading3"/>
        <w:rPr>
          <w:lang w:val="fr-CH"/>
        </w:rPr>
      </w:pPr>
      <w:bookmarkStart w:id="20" w:name="_Toc141461055"/>
      <w:bookmarkStart w:id="21" w:name="_Toc141461215"/>
      <w:bookmarkStart w:id="22" w:name="_Toc145578031"/>
      <w:r w:rsidRPr="003445F5">
        <w:rPr>
          <w:lang w:val="fr-CH"/>
        </w:rPr>
        <w:t>Caractéristique quantitative de résistance à la maladie avec seulement deux niveaux d'expression</w:t>
      </w:r>
      <w:bookmarkEnd w:id="20"/>
      <w:bookmarkEnd w:id="21"/>
      <w:bookmarkEnd w:id="22"/>
    </w:p>
    <w:p w14:paraId="26AB5E03" w14:textId="77777777" w:rsidR="00FF2F34" w:rsidRPr="003445F5" w:rsidRDefault="00FF2F34" w:rsidP="00BF1B0A">
      <w:pPr>
        <w:tabs>
          <w:tab w:val="left" w:pos="567"/>
        </w:tabs>
        <w:contextualSpacing/>
        <w:rPr>
          <w:color w:val="000000" w:themeColor="text1"/>
          <w:lang w:val="fr-CH"/>
        </w:rPr>
      </w:pPr>
    </w:p>
    <w:p w14:paraId="1742667E" w14:textId="77777777" w:rsidR="000D6252" w:rsidRPr="003445F5" w:rsidRDefault="007D4A8C">
      <w:pPr>
        <w:tabs>
          <w:tab w:val="left" w:pos="567"/>
        </w:tabs>
        <w:contextualSpacing/>
        <w:rPr>
          <w:rFonts w:cs="Arial"/>
          <w:color w:val="000000" w:themeColor="text1"/>
          <w:lang w:val="fr-CH"/>
        </w:rPr>
      </w:pPr>
      <w:r w:rsidRPr="00350522">
        <w:rPr>
          <w:color w:val="000000" w:themeColor="text1"/>
        </w:rPr>
        <w:fldChar w:fldCharType="begin"/>
      </w:r>
      <w:r w:rsidRPr="003445F5">
        <w:rPr>
          <w:color w:val="000000" w:themeColor="text1"/>
          <w:lang w:val="fr-CH"/>
        </w:rPr>
        <w:instrText xml:space="preserve"> AUTONUM  </w:instrText>
      </w:r>
      <w:r w:rsidRPr="00350522">
        <w:rPr>
          <w:color w:val="000000" w:themeColor="text1"/>
        </w:rPr>
        <w:fldChar w:fldCharType="end"/>
      </w:r>
      <w:r w:rsidRPr="003445F5">
        <w:rPr>
          <w:color w:val="000000" w:themeColor="text1"/>
          <w:lang w:val="fr-CH"/>
        </w:rPr>
        <w:tab/>
        <w:t xml:space="preserve">Le TWV est convenu que pour certains </w:t>
      </w:r>
      <w:r w:rsidRPr="003445F5">
        <w:rPr>
          <w:lang w:val="fr-CH"/>
        </w:rPr>
        <w:t xml:space="preserve">caractères quantitatifs </w:t>
      </w:r>
      <w:r w:rsidRPr="003445F5">
        <w:rPr>
          <w:color w:val="000000" w:themeColor="text1"/>
          <w:lang w:val="fr-CH"/>
        </w:rPr>
        <w:t xml:space="preserve">(QN) </w:t>
      </w:r>
      <w:r w:rsidRPr="003445F5">
        <w:rPr>
          <w:lang w:val="fr-CH"/>
        </w:rPr>
        <w:t xml:space="preserve">de résistance aux maladies, il </w:t>
      </w:r>
      <w:r w:rsidRPr="003445F5">
        <w:rPr>
          <w:color w:val="000000" w:themeColor="text1"/>
          <w:lang w:val="fr-CH"/>
        </w:rPr>
        <w:t xml:space="preserve">n'est pas possible de décrire différents niveaux de résistance en fonction des niveaux d'expression QN en raison de l'influence des conditions d'essai et du manque d'informations sur le fond génétique. </w:t>
      </w:r>
      <w:r w:rsidRPr="003445F5">
        <w:rPr>
          <w:rFonts w:cs="Arial"/>
          <w:color w:val="000000" w:themeColor="text1"/>
          <w:lang w:val="fr-CH"/>
        </w:rPr>
        <w:t xml:space="preserve"> </w:t>
      </w:r>
    </w:p>
    <w:p w14:paraId="6962BB99" w14:textId="77777777" w:rsidR="00BF1B0A" w:rsidRPr="003445F5" w:rsidRDefault="00BF1B0A" w:rsidP="00BF1B0A">
      <w:pPr>
        <w:tabs>
          <w:tab w:val="left" w:pos="567"/>
        </w:tabs>
        <w:contextualSpacing/>
        <w:rPr>
          <w:rFonts w:cs="Arial"/>
          <w:color w:val="000000" w:themeColor="text1"/>
          <w:lang w:val="fr-CH"/>
        </w:rPr>
      </w:pPr>
    </w:p>
    <w:p w14:paraId="0BC3D5E5" w14:textId="77777777" w:rsidR="000D6252" w:rsidRPr="003445F5" w:rsidRDefault="007D4A8C">
      <w:pPr>
        <w:tabs>
          <w:tab w:val="left" w:pos="567"/>
        </w:tabs>
        <w:contextualSpacing/>
        <w:rPr>
          <w:color w:val="000000" w:themeColor="text1"/>
          <w:lang w:val="fr-CH"/>
        </w:rPr>
      </w:pPr>
      <w:r w:rsidRPr="00350522">
        <w:rPr>
          <w:rFonts w:cs="Arial"/>
          <w:color w:val="000000" w:themeColor="text1"/>
        </w:rPr>
        <w:fldChar w:fldCharType="begin"/>
      </w:r>
      <w:r w:rsidRPr="003445F5">
        <w:rPr>
          <w:rFonts w:cs="Arial"/>
          <w:color w:val="000000" w:themeColor="text1"/>
          <w:lang w:val="fr-CH"/>
        </w:rPr>
        <w:instrText xml:space="preserve"> AUTONUM  </w:instrText>
      </w:r>
      <w:r w:rsidRPr="00350522">
        <w:rPr>
          <w:rFonts w:cs="Arial"/>
          <w:color w:val="000000" w:themeColor="text1"/>
        </w:rPr>
        <w:fldChar w:fldCharType="end"/>
      </w:r>
      <w:r w:rsidRPr="003445F5">
        <w:rPr>
          <w:rFonts w:cs="Arial"/>
          <w:color w:val="000000" w:themeColor="text1"/>
          <w:lang w:val="fr-CH"/>
        </w:rPr>
        <w:tab/>
        <w:t>Le TWV est convenu d'inviter les experts de la France et des Pays-Bas, avec l'appui de l'Union européenne, du Japon et des organisations d'obtenteurs, à rédiger une proposition relative à un type particulier de caractère quantitatif de résistance aux maladies ne comportant que deux niveaux d'expression.  Le TWV est convenu que la proposition, accompagnée d'une explication sur les critères d'utilisation de ce type de caractère, devrait être présentée à la cinquante-huitième session du TWV.</w:t>
      </w:r>
      <w:bookmarkEnd w:id="19"/>
    </w:p>
    <w:p w14:paraId="72F16896" w14:textId="77777777" w:rsidR="00D62C7A" w:rsidRPr="003445F5" w:rsidRDefault="00D62C7A" w:rsidP="00901942">
      <w:pPr>
        <w:rPr>
          <w:lang w:val="fr-CH"/>
        </w:rPr>
      </w:pPr>
    </w:p>
    <w:p w14:paraId="32463DC0" w14:textId="77777777" w:rsidR="000D6252" w:rsidRPr="003445F5" w:rsidRDefault="007D4A8C" w:rsidP="0036713B">
      <w:pPr>
        <w:pStyle w:val="Heading2"/>
        <w:rPr>
          <w:lang w:val="fr-CH"/>
        </w:rPr>
      </w:pPr>
      <w:bookmarkStart w:id="23" w:name="_Toc141461058"/>
      <w:bookmarkStart w:id="24" w:name="_Toc141461217"/>
      <w:bookmarkStart w:id="25" w:name="_Toc145578032"/>
      <w:r w:rsidRPr="003445F5">
        <w:rPr>
          <w:rFonts w:eastAsia="MS Mincho"/>
          <w:lang w:val="fr-CH"/>
        </w:rPr>
        <w:lastRenderedPageBreak/>
        <w:t>Nouvelles technologies en matière d'examen DHS</w:t>
      </w:r>
      <w:bookmarkEnd w:id="23"/>
      <w:bookmarkEnd w:id="24"/>
      <w:bookmarkEnd w:id="25"/>
    </w:p>
    <w:p w14:paraId="4BBBC0F2" w14:textId="77777777" w:rsidR="00901942" w:rsidRPr="003445F5" w:rsidRDefault="00901942" w:rsidP="0036713B">
      <w:pPr>
        <w:keepNext/>
        <w:rPr>
          <w:lang w:val="fr-CH"/>
        </w:rPr>
      </w:pPr>
    </w:p>
    <w:p w14:paraId="7CE5E7B7" w14:textId="77777777" w:rsidR="000D6252" w:rsidRPr="003445F5" w:rsidRDefault="007D4A8C" w:rsidP="0036713B">
      <w:pPr>
        <w:keepNext/>
        <w:rPr>
          <w:rFonts w:eastAsia="MS Mincho"/>
          <w:lang w:val="fr-CH"/>
        </w:rPr>
      </w:pPr>
      <w:r w:rsidRPr="00350522">
        <w:fldChar w:fldCharType="begin"/>
      </w:r>
      <w:r w:rsidRPr="003445F5">
        <w:rPr>
          <w:lang w:val="fr-CH"/>
        </w:rPr>
        <w:instrText xml:space="preserve"> AUTONUM  </w:instrText>
      </w:r>
      <w:r w:rsidRPr="00350522">
        <w:fldChar w:fldCharType="end"/>
      </w:r>
      <w:r w:rsidRPr="003445F5">
        <w:rPr>
          <w:lang w:val="fr-CH"/>
        </w:rPr>
        <w:tab/>
        <w:t xml:space="preserve">Le TWA a entendu un exposé sur l'imagerie par drone dans les essais DHS sur le blé d'hiver, présenté par un expert du Danemark.  Un </w:t>
      </w:r>
      <w:r w:rsidRPr="003445F5">
        <w:rPr>
          <w:lang w:val="fr-CH"/>
        </w:rPr>
        <w:tab/>
        <w:t xml:space="preserve">exemplaire de cet exposé figure à l'annexe I du document </w:t>
      </w:r>
      <w:r w:rsidRPr="003445F5">
        <w:rPr>
          <w:rFonts w:eastAsia="MS Mincho"/>
          <w:lang w:val="fr-CH"/>
        </w:rPr>
        <w:t xml:space="preserve">TWA/52/7.  </w:t>
      </w:r>
      <w:r w:rsidRPr="003445F5">
        <w:rPr>
          <w:lang w:val="fr-CH"/>
        </w:rPr>
        <w:t>Le TWA a pris note des travaux présentés et est convenu d'inviter l'expert du Danemark à rendre compte des faits nouveaux à sa cinquante-troisième session (voir le document TWA/52/11 "Rapport", paragraphes 22 à 26).</w:t>
      </w:r>
    </w:p>
    <w:p w14:paraId="1AF75596" w14:textId="77777777" w:rsidR="00901942" w:rsidRPr="003445F5" w:rsidRDefault="00901942" w:rsidP="00901942">
      <w:pPr>
        <w:rPr>
          <w:rFonts w:eastAsia="MS Mincho"/>
          <w:lang w:val="fr-CH"/>
        </w:rPr>
      </w:pPr>
    </w:p>
    <w:p w14:paraId="1D9B29F2" w14:textId="77777777" w:rsidR="000D6252" w:rsidRPr="003445F5" w:rsidRDefault="007D4A8C">
      <w:pPr>
        <w:rPr>
          <w:lang w:val="fr-CH"/>
        </w:rPr>
      </w:pPr>
      <w:r w:rsidRPr="00350522">
        <w:fldChar w:fldCharType="begin"/>
      </w:r>
      <w:r w:rsidRPr="003445F5">
        <w:rPr>
          <w:lang w:val="fr-CH"/>
        </w:rPr>
        <w:instrText xml:space="preserve"> AUTONUM  </w:instrText>
      </w:r>
      <w:r w:rsidRPr="00350522">
        <w:fldChar w:fldCharType="end"/>
      </w:r>
      <w:r w:rsidRPr="003445F5">
        <w:rPr>
          <w:lang w:val="fr-CH"/>
        </w:rPr>
        <w:tab/>
        <w:t>Le TWA a entendu un exposé sur le thème "UAV-</w:t>
      </w:r>
      <w:proofErr w:type="spellStart"/>
      <w:r w:rsidRPr="003445F5">
        <w:rPr>
          <w:lang w:val="fr-CH"/>
        </w:rPr>
        <w:t>Based</w:t>
      </w:r>
      <w:proofErr w:type="spellEnd"/>
      <w:r w:rsidRPr="003445F5">
        <w:rPr>
          <w:lang w:val="fr-CH"/>
        </w:rPr>
        <w:t xml:space="preserve"> Field </w:t>
      </w:r>
      <w:proofErr w:type="spellStart"/>
      <w:r w:rsidRPr="003445F5">
        <w:rPr>
          <w:lang w:val="fr-CH"/>
        </w:rPr>
        <w:t>Phenotyping</w:t>
      </w:r>
      <w:proofErr w:type="spellEnd"/>
      <w:r w:rsidRPr="003445F5">
        <w:rPr>
          <w:lang w:val="fr-CH"/>
        </w:rPr>
        <w:t xml:space="preserve"> in the United </w:t>
      </w:r>
      <w:proofErr w:type="spellStart"/>
      <w:r w:rsidRPr="003445F5">
        <w:rPr>
          <w:lang w:val="fr-CH"/>
        </w:rPr>
        <w:t>Kingdom</w:t>
      </w:r>
      <w:proofErr w:type="spellEnd"/>
      <w:r w:rsidRPr="003445F5">
        <w:rPr>
          <w:lang w:val="fr-CH"/>
        </w:rPr>
        <w:t xml:space="preserve"> Agricultural DHS </w:t>
      </w:r>
      <w:proofErr w:type="spellStart"/>
      <w:r w:rsidRPr="003445F5">
        <w:rPr>
          <w:lang w:val="fr-CH"/>
        </w:rPr>
        <w:t>testing</w:t>
      </w:r>
      <w:proofErr w:type="spellEnd"/>
      <w:r w:rsidRPr="003445F5">
        <w:rPr>
          <w:lang w:val="fr-CH"/>
        </w:rPr>
        <w:t xml:space="preserve">", présenté par un expert du Royaume-Uni.  Un </w:t>
      </w:r>
      <w:r w:rsidRPr="003445F5">
        <w:rPr>
          <w:lang w:val="fr-CH"/>
        </w:rPr>
        <w:tab/>
        <w:t xml:space="preserve">exemplaire de cet exposé figure à l'annexe II du document </w:t>
      </w:r>
      <w:r w:rsidRPr="003445F5">
        <w:rPr>
          <w:rFonts w:eastAsia="MS Mincho"/>
          <w:lang w:val="fr-CH"/>
        </w:rPr>
        <w:t xml:space="preserve">TWA/52/7.  </w:t>
      </w:r>
      <w:r w:rsidRPr="003445F5">
        <w:rPr>
          <w:lang w:val="fr-CH"/>
        </w:rPr>
        <w:t>Le TWA a pris note des travaux présentés et est convenu d'inviter l'expert du Royaume-Uni à rendre compte des faits nouveaux à sa cinquante-troisième session.</w:t>
      </w:r>
    </w:p>
    <w:p w14:paraId="64A4E335" w14:textId="77777777" w:rsidR="00901942" w:rsidRPr="003445F5" w:rsidRDefault="00901942" w:rsidP="00901942">
      <w:pPr>
        <w:rPr>
          <w:lang w:val="fr-CH"/>
        </w:rPr>
      </w:pPr>
    </w:p>
    <w:p w14:paraId="24AD4E3C" w14:textId="77777777" w:rsidR="000D6252" w:rsidRPr="003445F5" w:rsidRDefault="007D4A8C">
      <w:pPr>
        <w:rPr>
          <w:lang w:val="fr-CH"/>
        </w:rPr>
      </w:pPr>
      <w:r w:rsidRPr="00350522">
        <w:fldChar w:fldCharType="begin"/>
      </w:r>
      <w:r w:rsidRPr="003445F5">
        <w:rPr>
          <w:lang w:val="fr-CH"/>
        </w:rPr>
        <w:instrText xml:space="preserve"> AUTONUM  </w:instrText>
      </w:r>
      <w:r w:rsidRPr="00350522">
        <w:fldChar w:fldCharType="end"/>
      </w:r>
      <w:r w:rsidRPr="003445F5">
        <w:rPr>
          <w:lang w:val="fr-CH"/>
        </w:rPr>
        <w:tab/>
        <w:t xml:space="preserve">Le TWA a entendu un exposé sur l'analyse d'images pour l'épi et le grain de maïs, présenté par un expert de la Chine.  Un </w:t>
      </w:r>
      <w:r w:rsidRPr="003445F5">
        <w:rPr>
          <w:lang w:val="fr-CH"/>
        </w:rPr>
        <w:tab/>
        <w:t xml:space="preserve">exemplaire de cet exposé figure en annexe du document </w:t>
      </w:r>
      <w:r w:rsidRPr="003445F5">
        <w:rPr>
          <w:rFonts w:eastAsia="MS Mincho"/>
          <w:lang w:val="fr-CH"/>
        </w:rPr>
        <w:t xml:space="preserve">TWA/52/7 </w:t>
      </w:r>
      <w:proofErr w:type="spellStart"/>
      <w:r w:rsidRPr="003445F5">
        <w:rPr>
          <w:rFonts w:eastAsia="MS Mincho"/>
          <w:lang w:val="fr-CH"/>
        </w:rPr>
        <w:t>Add</w:t>
      </w:r>
      <w:proofErr w:type="spellEnd"/>
      <w:r w:rsidRPr="003445F5">
        <w:rPr>
          <w:rFonts w:eastAsia="MS Mincho"/>
          <w:lang w:val="fr-CH"/>
        </w:rPr>
        <w:t xml:space="preserve">.  </w:t>
      </w:r>
      <w:r w:rsidRPr="003445F5">
        <w:rPr>
          <w:lang w:val="fr-CH"/>
        </w:rPr>
        <w:t>Le TWA a pris note des travaux présentés et est convenu d'inviter l'expert de la Chine à rendre compte des faits nouveaux à sa cinquante-troisième session.</w:t>
      </w:r>
    </w:p>
    <w:p w14:paraId="279F0F71" w14:textId="77777777" w:rsidR="00901942" w:rsidRPr="003445F5" w:rsidRDefault="00901942" w:rsidP="00901942">
      <w:pPr>
        <w:rPr>
          <w:lang w:val="fr-CH"/>
        </w:rPr>
      </w:pPr>
    </w:p>
    <w:p w14:paraId="1C202C02" w14:textId="77777777" w:rsidR="000D6252" w:rsidRPr="003445F5" w:rsidRDefault="007D4A8C">
      <w:pPr>
        <w:pStyle w:val="CommentText"/>
        <w:rPr>
          <w:lang w:val="fr-CH"/>
        </w:rPr>
      </w:pPr>
      <w:r w:rsidRPr="00350522">
        <w:fldChar w:fldCharType="begin"/>
      </w:r>
      <w:r w:rsidRPr="003445F5">
        <w:rPr>
          <w:lang w:val="fr-CH"/>
        </w:rPr>
        <w:instrText xml:space="preserve"> AUTONUM  </w:instrText>
      </w:r>
      <w:r w:rsidRPr="00350522">
        <w:fldChar w:fldCharType="end"/>
      </w:r>
      <w:r w:rsidRPr="003445F5">
        <w:rPr>
          <w:lang w:val="fr-CH"/>
        </w:rPr>
        <w:tab/>
        <w:t>Le TWA est convenu qu'il était important de recevoir des rapports sur l'utilisation de nouvelles technologies dans le cadre de l'examen DHS pour les cultures agricoles afin de mieux faire connaître les évolutions et d'examiner les limites et les défis associés aux nouvelles technologies.</w:t>
      </w:r>
    </w:p>
    <w:p w14:paraId="194506EB" w14:textId="77777777" w:rsidR="00901942" w:rsidRPr="003445F5" w:rsidRDefault="00901942" w:rsidP="00901942">
      <w:pPr>
        <w:rPr>
          <w:lang w:val="fr-CH"/>
        </w:rPr>
      </w:pPr>
    </w:p>
    <w:p w14:paraId="08273613" w14:textId="77777777" w:rsidR="000D6252" w:rsidRPr="003445F5" w:rsidRDefault="007D4A8C">
      <w:pPr>
        <w:rPr>
          <w:lang w:val="fr-CH"/>
        </w:rPr>
      </w:pPr>
      <w:r w:rsidRPr="00350522">
        <w:fldChar w:fldCharType="begin"/>
      </w:r>
      <w:r w:rsidRPr="003445F5">
        <w:rPr>
          <w:lang w:val="fr-CH"/>
        </w:rPr>
        <w:instrText xml:space="preserve"> AUTONUM  </w:instrText>
      </w:r>
      <w:r w:rsidRPr="00350522">
        <w:fldChar w:fldCharType="end"/>
      </w:r>
      <w:r w:rsidRPr="003445F5">
        <w:rPr>
          <w:lang w:val="fr-CH"/>
        </w:rPr>
        <w:tab/>
        <w:t>Le TWA est convenu de proposer l'organisation future d'un séminaire en ligne pour les TWP sur l'analyse d'images dans le cadre de l'examen DHS.</w:t>
      </w:r>
    </w:p>
    <w:p w14:paraId="63521C11" w14:textId="77777777" w:rsidR="00E938D2" w:rsidRPr="003445F5" w:rsidRDefault="00E938D2" w:rsidP="00E938D2">
      <w:pPr>
        <w:rPr>
          <w:lang w:val="fr-CH"/>
        </w:rPr>
      </w:pPr>
    </w:p>
    <w:p w14:paraId="600B959C" w14:textId="77777777" w:rsidR="000D6252" w:rsidRPr="003445F5" w:rsidRDefault="007D4A8C">
      <w:pPr>
        <w:pStyle w:val="Heading2"/>
        <w:rPr>
          <w:lang w:val="fr-CH"/>
        </w:rPr>
      </w:pPr>
      <w:bookmarkStart w:id="26" w:name="_Toc141461059"/>
      <w:bookmarkStart w:id="27" w:name="_Toc141461218"/>
      <w:bookmarkStart w:id="28" w:name="_Toc145578033"/>
      <w:r w:rsidRPr="003445F5">
        <w:rPr>
          <w:rFonts w:eastAsia="MS Mincho"/>
          <w:lang w:val="fr-CH"/>
        </w:rPr>
        <w:t>Analyse d'images de cultures maraîchères</w:t>
      </w:r>
      <w:bookmarkEnd w:id="26"/>
      <w:bookmarkEnd w:id="27"/>
      <w:bookmarkEnd w:id="28"/>
    </w:p>
    <w:p w14:paraId="37776EEB" w14:textId="77777777" w:rsidR="00E938D2" w:rsidRPr="003445F5" w:rsidRDefault="00E938D2" w:rsidP="00E938D2">
      <w:pPr>
        <w:jc w:val="left"/>
        <w:rPr>
          <w:lang w:val="fr-CH"/>
        </w:rPr>
      </w:pPr>
    </w:p>
    <w:p w14:paraId="7BE700C3" w14:textId="77777777" w:rsidR="000D6252" w:rsidRPr="003445F5" w:rsidRDefault="007D4A8C">
      <w:pPr>
        <w:rPr>
          <w:lang w:val="fr-CH"/>
        </w:rPr>
      </w:pPr>
      <w:r w:rsidRPr="00350522">
        <w:fldChar w:fldCharType="begin"/>
      </w:r>
      <w:r w:rsidRPr="003445F5">
        <w:rPr>
          <w:lang w:val="fr-CH"/>
        </w:rPr>
        <w:instrText xml:space="preserve"> AUTONUM  </w:instrText>
      </w:r>
      <w:r w:rsidRPr="00350522">
        <w:fldChar w:fldCharType="end"/>
      </w:r>
      <w:r w:rsidRPr="003445F5">
        <w:rPr>
          <w:lang w:val="fr-CH"/>
        </w:rPr>
        <w:tab/>
        <w:t xml:space="preserve">Le TWV a reçu un exposé sur l'analyse d'images pour les fruits de la tomate, présenté par un expert de la Chine. Une copie de cette présentation figure dans le document </w:t>
      </w:r>
      <w:r w:rsidRPr="003445F5">
        <w:rPr>
          <w:rFonts w:eastAsia="MS Mincho"/>
          <w:lang w:val="fr-CH"/>
        </w:rPr>
        <w:t>TWV/57/24 (voir le document TWV/57/26 "Rapport", paragraphes 29 et 30).</w:t>
      </w:r>
    </w:p>
    <w:p w14:paraId="68153F69" w14:textId="77777777" w:rsidR="00E938D2" w:rsidRPr="003445F5" w:rsidRDefault="00E938D2" w:rsidP="00E938D2">
      <w:pPr>
        <w:rPr>
          <w:lang w:val="fr-CH"/>
        </w:rPr>
      </w:pPr>
    </w:p>
    <w:p w14:paraId="122E81AE" w14:textId="77777777" w:rsidR="000D6252" w:rsidRPr="003445F5" w:rsidRDefault="007D4A8C">
      <w:pPr>
        <w:rPr>
          <w:lang w:val="fr-CH"/>
        </w:rPr>
      </w:pPr>
      <w:r w:rsidRPr="00350522">
        <w:fldChar w:fldCharType="begin"/>
      </w:r>
      <w:r w:rsidRPr="003445F5">
        <w:rPr>
          <w:lang w:val="fr-CH"/>
        </w:rPr>
        <w:instrText xml:space="preserve"> AUTONUM  </w:instrText>
      </w:r>
      <w:r w:rsidRPr="00350522">
        <w:fldChar w:fldCharType="end"/>
      </w:r>
      <w:r w:rsidRPr="003445F5">
        <w:rPr>
          <w:lang w:val="fr-CH"/>
        </w:rPr>
        <w:tab/>
        <w:t xml:space="preserve">Le TWV a rappelé que la section 11 du document TGP/8 intitulée "Examen des caractères à l'aide de l'analyse d'images" prévoit que "les caractères qui peuvent être examinés par analyse d'images doivent également pouvoir être examinés par observation visuelle ou par mesure manuelle, selon le cas".  Le TWV est convenu que l'analyse d'images est utile pour automatiser l'évaluation des caractères mesurés et pour appuyer l'analyse d'un grand nombre de variétés.  </w:t>
      </w:r>
    </w:p>
    <w:p w14:paraId="1D319E38" w14:textId="77777777" w:rsidR="00E938D2" w:rsidRPr="003445F5" w:rsidRDefault="00E938D2" w:rsidP="00E938D2">
      <w:pPr>
        <w:rPr>
          <w:lang w:val="fr-CH"/>
        </w:rPr>
      </w:pPr>
    </w:p>
    <w:p w14:paraId="138F920E" w14:textId="77777777" w:rsidR="000D6252" w:rsidRPr="003445F5" w:rsidRDefault="007D4A8C">
      <w:pPr>
        <w:pStyle w:val="Heading2"/>
        <w:rPr>
          <w:lang w:val="fr-CH"/>
        </w:rPr>
      </w:pPr>
      <w:bookmarkStart w:id="29" w:name="_Toc141461060"/>
      <w:bookmarkStart w:id="30" w:name="_Toc141461219"/>
      <w:bookmarkStart w:id="31" w:name="_Toc145578034"/>
      <w:r w:rsidRPr="003445F5">
        <w:rPr>
          <w:rFonts w:eastAsia="MS Mincho"/>
          <w:lang w:val="fr-CH"/>
        </w:rPr>
        <w:t>Logiciel d'analyse statistique DUSCEL</w:t>
      </w:r>
      <w:bookmarkEnd w:id="29"/>
      <w:bookmarkEnd w:id="30"/>
      <w:bookmarkEnd w:id="31"/>
    </w:p>
    <w:p w14:paraId="05E2D00C" w14:textId="77777777" w:rsidR="00E938D2" w:rsidRPr="003445F5" w:rsidRDefault="00E938D2" w:rsidP="00E938D2">
      <w:pPr>
        <w:rPr>
          <w:lang w:val="fr-CH"/>
        </w:rPr>
      </w:pPr>
    </w:p>
    <w:p w14:paraId="69540F3C" w14:textId="77777777" w:rsidR="000D6252" w:rsidRPr="003445F5" w:rsidRDefault="007D4A8C">
      <w:pPr>
        <w:rPr>
          <w:lang w:val="fr-CH"/>
        </w:rPr>
      </w:pPr>
      <w:r w:rsidRPr="00350522">
        <w:fldChar w:fldCharType="begin"/>
      </w:r>
      <w:r w:rsidRPr="003445F5">
        <w:rPr>
          <w:lang w:val="fr-CH"/>
        </w:rPr>
        <w:instrText xml:space="preserve"> AUTONUM  </w:instrText>
      </w:r>
      <w:r w:rsidRPr="00350522">
        <w:fldChar w:fldCharType="end"/>
      </w:r>
      <w:r w:rsidRPr="003445F5">
        <w:rPr>
          <w:lang w:val="fr-CH"/>
        </w:rPr>
        <w:tab/>
        <w:t>Le TWA a assisté à une présentation sur le "Développement d'un logiciel d'analyse statistique : DUSCEL4.5" par un expert de la Chine.  Une copie de cette présentation figure dans le document TWA/52/5 (voir le document TWA/52/11 "Rapport", paragraphes 20 et 21).</w:t>
      </w:r>
    </w:p>
    <w:p w14:paraId="58D95773" w14:textId="77777777" w:rsidR="00E938D2" w:rsidRPr="003445F5" w:rsidRDefault="00E938D2" w:rsidP="00E938D2">
      <w:pPr>
        <w:rPr>
          <w:lang w:val="fr-CH"/>
        </w:rPr>
      </w:pPr>
    </w:p>
    <w:p w14:paraId="24FCAAC6" w14:textId="77777777" w:rsidR="000D6252" w:rsidRPr="003445F5" w:rsidRDefault="007D4A8C">
      <w:pPr>
        <w:rPr>
          <w:lang w:val="fr-CH"/>
        </w:rPr>
      </w:pPr>
      <w:r w:rsidRPr="00350522">
        <w:fldChar w:fldCharType="begin"/>
      </w:r>
      <w:r w:rsidRPr="003445F5">
        <w:rPr>
          <w:lang w:val="fr-CH"/>
        </w:rPr>
        <w:instrText xml:space="preserve"> AUTONUM  </w:instrText>
      </w:r>
      <w:r w:rsidRPr="00350522">
        <w:fldChar w:fldCharType="end"/>
      </w:r>
      <w:r w:rsidRPr="003445F5">
        <w:rPr>
          <w:lang w:val="fr-CH"/>
        </w:rPr>
        <w:tab/>
        <w:t>Le TWA a pris note de la poursuite du développement du logiciel, y compris le travail d'étalonnage pour l'analyse d'image des caractéristiques de couleur.</w:t>
      </w:r>
    </w:p>
    <w:p w14:paraId="0C303929" w14:textId="77777777" w:rsidR="00901942" w:rsidRPr="003445F5" w:rsidRDefault="00901942" w:rsidP="00901942">
      <w:pPr>
        <w:rPr>
          <w:lang w:val="fr-CH"/>
        </w:rPr>
      </w:pPr>
    </w:p>
    <w:p w14:paraId="310D9B75" w14:textId="77777777" w:rsidR="000D6252" w:rsidRPr="003445F5" w:rsidRDefault="007D4A8C">
      <w:pPr>
        <w:pStyle w:val="Heading2"/>
        <w:rPr>
          <w:lang w:val="fr-CH"/>
        </w:rPr>
      </w:pPr>
      <w:bookmarkStart w:id="32" w:name="_Toc141461061"/>
      <w:bookmarkStart w:id="33" w:name="_Toc141461220"/>
      <w:bookmarkStart w:id="34" w:name="_Toc145578035"/>
      <w:r w:rsidRPr="003445F5">
        <w:rPr>
          <w:rFonts w:eastAsia="MS Mincho"/>
          <w:lang w:val="fr-CH"/>
        </w:rPr>
        <w:t>Expériences avec de nouveaux types et espèces</w:t>
      </w:r>
      <w:bookmarkEnd w:id="32"/>
      <w:bookmarkEnd w:id="33"/>
      <w:bookmarkEnd w:id="34"/>
    </w:p>
    <w:p w14:paraId="7211AEDE" w14:textId="77777777" w:rsidR="00901942" w:rsidRPr="003445F5" w:rsidRDefault="00901942" w:rsidP="00901942">
      <w:pPr>
        <w:rPr>
          <w:lang w:val="fr-CH"/>
        </w:rPr>
      </w:pPr>
    </w:p>
    <w:p w14:paraId="2B6E72E9" w14:textId="77777777" w:rsidR="000D6252" w:rsidRPr="003445F5" w:rsidRDefault="007D4A8C">
      <w:pPr>
        <w:pStyle w:val="Heading3"/>
        <w:rPr>
          <w:lang w:val="fr-CH"/>
        </w:rPr>
      </w:pPr>
      <w:bookmarkStart w:id="35" w:name="_Toc141461062"/>
      <w:bookmarkStart w:id="36" w:name="_Toc141461221"/>
      <w:bookmarkStart w:id="37" w:name="_Toc145578036"/>
      <w:r w:rsidRPr="003445F5">
        <w:rPr>
          <w:lang w:val="fr-CH"/>
        </w:rPr>
        <w:t>Chanvre/Cannabis</w:t>
      </w:r>
      <w:bookmarkEnd w:id="35"/>
      <w:bookmarkEnd w:id="36"/>
      <w:bookmarkEnd w:id="37"/>
    </w:p>
    <w:p w14:paraId="473B1CA7" w14:textId="77777777" w:rsidR="00454CCD" w:rsidRPr="003445F5" w:rsidRDefault="00454CCD" w:rsidP="00901942">
      <w:pPr>
        <w:rPr>
          <w:lang w:val="fr-CH"/>
        </w:rPr>
      </w:pPr>
    </w:p>
    <w:p w14:paraId="41C6FB80" w14:textId="77777777" w:rsidR="000D6252" w:rsidRPr="003445F5" w:rsidRDefault="007D4A8C">
      <w:pPr>
        <w:rPr>
          <w:lang w:val="fr-CH"/>
        </w:rPr>
      </w:pPr>
      <w:r w:rsidRPr="00350522">
        <w:fldChar w:fldCharType="begin"/>
      </w:r>
      <w:r w:rsidRPr="003445F5">
        <w:rPr>
          <w:lang w:val="fr-CH"/>
        </w:rPr>
        <w:instrText xml:space="preserve"> AUTONUM  </w:instrText>
      </w:r>
      <w:r w:rsidRPr="00350522">
        <w:fldChar w:fldCharType="end"/>
      </w:r>
      <w:r w:rsidRPr="003445F5">
        <w:rPr>
          <w:lang w:val="fr-CH"/>
        </w:rPr>
        <w:tab/>
        <w:t xml:space="preserve">Le TWA a reçu un exposé intitulé "TG </w:t>
      </w:r>
      <w:proofErr w:type="spellStart"/>
      <w:r w:rsidRPr="003445F5">
        <w:rPr>
          <w:lang w:val="fr-CH"/>
        </w:rPr>
        <w:t>Hemp</w:t>
      </w:r>
      <w:proofErr w:type="spellEnd"/>
      <w:r w:rsidRPr="003445F5">
        <w:rPr>
          <w:lang w:val="fr-CH"/>
        </w:rPr>
        <w:t xml:space="preserve">/Cannabis", présenté par un expert des Pays-Bas.  Un exemplaire de cet exposé figure à l'annexe du document </w:t>
      </w:r>
      <w:r w:rsidRPr="003445F5">
        <w:rPr>
          <w:rFonts w:eastAsia="MS Mincho"/>
          <w:lang w:val="fr-CH"/>
        </w:rPr>
        <w:t xml:space="preserve">TWA/52/9 </w:t>
      </w:r>
      <w:r w:rsidRPr="003445F5">
        <w:rPr>
          <w:lang w:val="fr-CH"/>
        </w:rPr>
        <w:t>(voir le paragraphe 40 du document TWA/52/11 "Rapport")</w:t>
      </w:r>
      <w:r w:rsidRPr="003445F5">
        <w:rPr>
          <w:rFonts w:eastAsia="MS Mincho"/>
          <w:lang w:val="fr-CH"/>
        </w:rPr>
        <w:t>.</w:t>
      </w:r>
    </w:p>
    <w:p w14:paraId="09AB2642" w14:textId="77777777" w:rsidR="00114381" w:rsidRPr="003445F5" w:rsidRDefault="00114381" w:rsidP="00114381">
      <w:pPr>
        <w:rPr>
          <w:lang w:val="fr-CH"/>
        </w:rPr>
      </w:pPr>
    </w:p>
    <w:p w14:paraId="05E773C4" w14:textId="77777777" w:rsidR="000D6252" w:rsidRPr="003445F5" w:rsidRDefault="007D4A8C">
      <w:pPr>
        <w:pStyle w:val="Heading3"/>
        <w:rPr>
          <w:lang w:val="fr-CH"/>
        </w:rPr>
      </w:pPr>
      <w:bookmarkStart w:id="38" w:name="_Toc141461063"/>
      <w:bookmarkStart w:id="39" w:name="_Toc141461222"/>
      <w:bookmarkStart w:id="40" w:name="_Toc145578037"/>
      <w:r w:rsidRPr="003445F5">
        <w:rPr>
          <w:lang w:val="fr-CH"/>
        </w:rPr>
        <w:t>Variétés à multiplication végétative</w:t>
      </w:r>
      <w:bookmarkEnd w:id="38"/>
      <w:bookmarkEnd w:id="39"/>
      <w:bookmarkEnd w:id="40"/>
    </w:p>
    <w:p w14:paraId="1B50EC1D" w14:textId="77777777" w:rsidR="00454CCD" w:rsidRPr="003445F5" w:rsidRDefault="00454CCD" w:rsidP="00114381">
      <w:pPr>
        <w:rPr>
          <w:lang w:val="fr-CH"/>
        </w:rPr>
      </w:pPr>
    </w:p>
    <w:p w14:paraId="0A7EDA12" w14:textId="77777777" w:rsidR="000D6252" w:rsidRPr="003445F5" w:rsidRDefault="007D4A8C">
      <w:pPr>
        <w:rPr>
          <w:lang w:val="fr-CH"/>
        </w:rPr>
      </w:pPr>
      <w:r w:rsidRPr="00350522">
        <w:fldChar w:fldCharType="begin"/>
      </w:r>
      <w:r w:rsidRPr="003445F5">
        <w:rPr>
          <w:lang w:val="fr-CH"/>
        </w:rPr>
        <w:instrText xml:space="preserve"> AUTONUM  </w:instrText>
      </w:r>
      <w:r w:rsidRPr="00350522">
        <w:fldChar w:fldCharType="end"/>
      </w:r>
      <w:r w:rsidRPr="003445F5">
        <w:rPr>
          <w:lang w:val="fr-CH"/>
        </w:rPr>
        <w:tab/>
        <w:t xml:space="preserve">Le TWF a entendu un exposé sur le "US Plant </w:t>
      </w:r>
      <w:proofErr w:type="spellStart"/>
      <w:r w:rsidRPr="003445F5">
        <w:rPr>
          <w:lang w:val="fr-CH"/>
        </w:rPr>
        <w:t>Variety</w:t>
      </w:r>
      <w:proofErr w:type="spellEnd"/>
      <w:r w:rsidRPr="003445F5">
        <w:rPr>
          <w:lang w:val="fr-CH"/>
        </w:rPr>
        <w:t xml:space="preserve"> Protection Office" présenté par un expert des États-Unis d'Amérique.  Un exemplaire de cet exposé figure dans le document TWF/54/5 (voir le document TWF/54/13 "Rapport", paragraphe 38).</w:t>
      </w:r>
    </w:p>
    <w:p w14:paraId="3F80AD98" w14:textId="77777777" w:rsidR="00A72F82" w:rsidRPr="003445F5" w:rsidRDefault="00A72F82" w:rsidP="00A72F82">
      <w:pPr>
        <w:rPr>
          <w:lang w:val="fr-CH"/>
        </w:rPr>
      </w:pPr>
    </w:p>
    <w:p w14:paraId="46907DE1" w14:textId="77777777" w:rsidR="000D6252" w:rsidRPr="003445F5" w:rsidRDefault="007D4A8C" w:rsidP="0036713B">
      <w:pPr>
        <w:pStyle w:val="Heading3"/>
        <w:rPr>
          <w:lang w:val="fr-CH"/>
        </w:rPr>
      </w:pPr>
      <w:bookmarkStart w:id="41" w:name="_Toc141461064"/>
      <w:bookmarkStart w:id="42" w:name="_Toc141461223"/>
      <w:bookmarkStart w:id="43" w:name="_Toc145578038"/>
      <w:r w:rsidRPr="003445F5">
        <w:rPr>
          <w:lang w:val="fr-CH"/>
        </w:rPr>
        <w:lastRenderedPageBreak/>
        <w:t>Lotus (Nelumbo)</w:t>
      </w:r>
      <w:bookmarkEnd w:id="41"/>
      <w:bookmarkEnd w:id="42"/>
      <w:bookmarkEnd w:id="43"/>
    </w:p>
    <w:p w14:paraId="3039FC87" w14:textId="77777777" w:rsidR="00454CCD" w:rsidRPr="003445F5" w:rsidRDefault="00454CCD" w:rsidP="0036713B">
      <w:pPr>
        <w:keepNext/>
        <w:rPr>
          <w:lang w:val="fr-CH"/>
        </w:rPr>
      </w:pPr>
    </w:p>
    <w:p w14:paraId="3B998E13" w14:textId="77777777" w:rsidR="000D6252" w:rsidRPr="003445F5" w:rsidRDefault="007D4A8C" w:rsidP="0036713B">
      <w:pPr>
        <w:keepNext/>
        <w:rPr>
          <w:lang w:val="fr-CH"/>
        </w:rPr>
      </w:pPr>
      <w:r w:rsidRPr="00350522">
        <w:fldChar w:fldCharType="begin"/>
      </w:r>
      <w:r w:rsidRPr="003445F5">
        <w:rPr>
          <w:lang w:val="fr-CH"/>
        </w:rPr>
        <w:instrText xml:space="preserve"> AUTONUM  </w:instrText>
      </w:r>
      <w:r w:rsidRPr="00350522">
        <w:fldChar w:fldCharType="end"/>
      </w:r>
      <w:r w:rsidRPr="003445F5">
        <w:rPr>
          <w:lang w:val="fr-CH"/>
        </w:rPr>
        <w:tab/>
        <w:t>Le TWO a reçu un rapport sur le lotus (</w:t>
      </w:r>
      <w:r w:rsidRPr="003445F5">
        <w:rPr>
          <w:i/>
          <w:lang w:val="fr-CH"/>
        </w:rPr>
        <w:t xml:space="preserve">Nelumbo </w:t>
      </w:r>
      <w:proofErr w:type="spellStart"/>
      <w:r w:rsidRPr="003445F5">
        <w:rPr>
          <w:lang w:val="fr-CH"/>
        </w:rPr>
        <w:t>Adans</w:t>
      </w:r>
      <w:proofErr w:type="spellEnd"/>
      <w:r w:rsidRPr="003445F5">
        <w:rPr>
          <w:lang w:val="fr-CH"/>
        </w:rPr>
        <w:t xml:space="preserve">.) de la part d'un expert de la Chine. Une copie de l'exposé figurera dans le document TWO/55/3 </w:t>
      </w:r>
      <w:r w:rsidRPr="003445F5">
        <w:rPr>
          <w:rFonts w:eastAsia="MS Mincho"/>
          <w:lang w:val="fr-CH"/>
        </w:rPr>
        <w:t>(voir le document TWO/55/11 "Rapport", paragraphe 42)</w:t>
      </w:r>
      <w:r w:rsidRPr="003445F5">
        <w:rPr>
          <w:rFonts w:cs="Arial"/>
          <w:lang w:val="fr-CH"/>
        </w:rPr>
        <w:t>.</w:t>
      </w:r>
    </w:p>
    <w:p w14:paraId="0CEC503D" w14:textId="77777777" w:rsidR="00AD6CF4" w:rsidRPr="003445F5" w:rsidRDefault="00AD6CF4" w:rsidP="00AD6CF4">
      <w:pPr>
        <w:tabs>
          <w:tab w:val="left" w:pos="567"/>
          <w:tab w:val="left" w:pos="1134"/>
          <w:tab w:val="left" w:pos="5387"/>
          <w:tab w:val="left" w:pos="5954"/>
        </w:tabs>
        <w:rPr>
          <w:lang w:val="fr-CH"/>
        </w:rPr>
      </w:pPr>
    </w:p>
    <w:p w14:paraId="60CEE5C3" w14:textId="77777777" w:rsidR="000D6252" w:rsidRPr="003445F5" w:rsidRDefault="007D4A8C">
      <w:pPr>
        <w:pStyle w:val="Heading2"/>
        <w:rPr>
          <w:rFonts w:eastAsia="MS Mincho"/>
          <w:lang w:val="fr-CH"/>
        </w:rPr>
      </w:pPr>
      <w:bookmarkStart w:id="44" w:name="_Toc145578039"/>
      <w:bookmarkStart w:id="45" w:name="_Toc141444833"/>
      <w:bookmarkStart w:id="46" w:name="_Toc144401938"/>
      <w:r w:rsidRPr="003445F5">
        <w:rPr>
          <w:rFonts w:eastAsia="MS Mincho"/>
          <w:lang w:val="fr-CH"/>
        </w:rPr>
        <w:t>Variétés ornementales de cultures agricoles, fruitières ou légumières</w:t>
      </w:r>
      <w:bookmarkEnd w:id="44"/>
      <w:r w:rsidRPr="003445F5">
        <w:rPr>
          <w:rFonts w:eastAsia="MS Mincho"/>
          <w:lang w:val="fr-CH"/>
        </w:rPr>
        <w:t xml:space="preserve"> </w:t>
      </w:r>
      <w:bookmarkEnd w:id="45"/>
      <w:bookmarkEnd w:id="46"/>
    </w:p>
    <w:p w14:paraId="7C514D1E" w14:textId="77777777" w:rsidR="00AD6CF4" w:rsidRPr="003445F5" w:rsidRDefault="00AD6CF4" w:rsidP="002078DF">
      <w:pPr>
        <w:keepNext/>
        <w:rPr>
          <w:lang w:val="fr-CH"/>
        </w:rPr>
      </w:pPr>
    </w:p>
    <w:p w14:paraId="56086B96" w14:textId="77777777" w:rsidR="000D6252" w:rsidRPr="003445F5" w:rsidRDefault="007D4A8C">
      <w:pPr>
        <w:keepNext/>
        <w:rPr>
          <w:rFonts w:eastAsia="MS Mincho"/>
          <w:lang w:val="fr-CH"/>
        </w:rPr>
      </w:pPr>
      <w:r w:rsidRPr="00350522">
        <w:rPr>
          <w:rFonts w:eastAsia="MS Mincho"/>
        </w:rPr>
        <w:fldChar w:fldCharType="begin"/>
      </w:r>
      <w:r w:rsidRPr="003445F5">
        <w:rPr>
          <w:rFonts w:eastAsia="MS Mincho"/>
          <w:lang w:val="fr-CH"/>
        </w:rPr>
        <w:instrText xml:space="preserve"> AUTONUM  </w:instrText>
      </w:r>
      <w:r w:rsidRPr="00350522">
        <w:rPr>
          <w:rFonts w:eastAsia="MS Mincho"/>
        </w:rPr>
        <w:fldChar w:fldCharType="end"/>
      </w:r>
      <w:r w:rsidRPr="003445F5">
        <w:rPr>
          <w:rFonts w:eastAsia="MS Mincho"/>
          <w:lang w:val="fr-CH"/>
        </w:rPr>
        <w:tab/>
        <w:t>Le TWO, à sa cinquante-cinquième session (</w:t>
      </w:r>
      <w:r>
        <w:rPr>
          <w:rStyle w:val="FootnoteReference"/>
          <w:rFonts w:eastAsia="MS Mincho"/>
        </w:rPr>
        <w:footnoteReference w:id="7"/>
      </w:r>
      <w:r w:rsidRPr="003445F5">
        <w:rPr>
          <w:rFonts w:eastAsia="MS Mincho"/>
          <w:lang w:val="fr-CH"/>
        </w:rPr>
        <w:t xml:space="preserve"> ), a entendu un exposé sur les </w:t>
      </w:r>
      <w:r w:rsidRPr="003445F5">
        <w:rPr>
          <w:lang w:val="fr-CH"/>
        </w:rPr>
        <w:t xml:space="preserve">examens des variétés ornementales de plantes agricoles, fruitières ou potagères - point de vue du Royaume-Uni, présenté par un expert du Royaume-Uni.  Une copie de cet exposé figure dans le document </w:t>
      </w:r>
      <w:r w:rsidRPr="003445F5">
        <w:rPr>
          <w:rFonts w:eastAsia="MS Mincho"/>
          <w:lang w:val="fr-CH"/>
        </w:rPr>
        <w:t xml:space="preserve">TWO/55/5 (voir le document TWO/55/11 "Rapport", paragraphes 14 à 20).    </w:t>
      </w:r>
    </w:p>
    <w:p w14:paraId="1C1444B8" w14:textId="77777777" w:rsidR="00AD6CF4" w:rsidRPr="003445F5" w:rsidRDefault="00AD6CF4" w:rsidP="00AD6CF4">
      <w:pPr>
        <w:rPr>
          <w:rFonts w:eastAsia="MS Mincho"/>
          <w:lang w:val="fr-CH"/>
        </w:rPr>
      </w:pPr>
    </w:p>
    <w:p w14:paraId="509CF78C" w14:textId="77777777" w:rsidR="000D6252" w:rsidRPr="003445F5" w:rsidRDefault="007D4A8C">
      <w:pPr>
        <w:rPr>
          <w:rFonts w:eastAsia="MS Mincho"/>
          <w:lang w:val="fr-CH"/>
        </w:rPr>
      </w:pPr>
      <w:r w:rsidRPr="00350522">
        <w:rPr>
          <w:rFonts w:eastAsia="MS Mincho"/>
        </w:rPr>
        <w:fldChar w:fldCharType="begin"/>
      </w:r>
      <w:r w:rsidRPr="003445F5">
        <w:rPr>
          <w:rFonts w:eastAsia="MS Mincho"/>
          <w:lang w:val="fr-CH"/>
        </w:rPr>
        <w:instrText xml:space="preserve"> AUTONUM  </w:instrText>
      </w:r>
      <w:r w:rsidRPr="00350522">
        <w:rPr>
          <w:rFonts w:eastAsia="MS Mincho"/>
        </w:rPr>
        <w:fldChar w:fldCharType="end"/>
      </w:r>
      <w:r w:rsidRPr="003445F5">
        <w:rPr>
          <w:rFonts w:eastAsia="MS Mincho"/>
          <w:lang w:val="fr-CH"/>
        </w:rPr>
        <w:tab/>
        <w:t>Le TWO a entendu un exposé sur les "</w:t>
      </w:r>
      <w:r w:rsidRPr="003445F5">
        <w:rPr>
          <w:lang w:val="fr-CH"/>
        </w:rPr>
        <w:t xml:space="preserve">variétés ornementales de plantes agricoles, fruitières ou potagères", présenté par un expert de la France.  Une copie de cet exposé figure dans le document </w:t>
      </w:r>
      <w:r w:rsidRPr="003445F5">
        <w:rPr>
          <w:rFonts w:eastAsia="MS Mincho"/>
          <w:lang w:val="fr-CH"/>
        </w:rPr>
        <w:t xml:space="preserve">TWO/55/5 </w:t>
      </w:r>
      <w:proofErr w:type="spellStart"/>
      <w:r w:rsidRPr="003445F5">
        <w:rPr>
          <w:rFonts w:eastAsia="MS Mincho"/>
          <w:lang w:val="fr-CH"/>
        </w:rPr>
        <w:t>Add</w:t>
      </w:r>
      <w:proofErr w:type="spellEnd"/>
      <w:r w:rsidRPr="003445F5">
        <w:rPr>
          <w:rFonts w:eastAsia="MS Mincho"/>
          <w:lang w:val="fr-CH"/>
        </w:rPr>
        <w:t>.</w:t>
      </w:r>
    </w:p>
    <w:p w14:paraId="30D1923F" w14:textId="77777777" w:rsidR="00AD6CF4" w:rsidRPr="003445F5" w:rsidRDefault="00AD6CF4" w:rsidP="00AD6CF4">
      <w:pPr>
        <w:rPr>
          <w:rFonts w:eastAsia="MS Mincho"/>
          <w:lang w:val="fr-CH"/>
        </w:rPr>
      </w:pPr>
    </w:p>
    <w:p w14:paraId="72E4534D" w14:textId="77777777" w:rsidR="000D6252" w:rsidRPr="003445F5" w:rsidRDefault="007D4A8C">
      <w:pPr>
        <w:rPr>
          <w:lang w:val="fr-CH"/>
        </w:rPr>
      </w:pPr>
      <w:r w:rsidRPr="00350522">
        <w:rPr>
          <w:rFonts w:eastAsia="MS Mincho"/>
        </w:rPr>
        <w:fldChar w:fldCharType="begin"/>
      </w:r>
      <w:r w:rsidRPr="003445F5">
        <w:rPr>
          <w:rFonts w:eastAsia="MS Mincho"/>
          <w:lang w:val="fr-CH"/>
        </w:rPr>
        <w:instrText xml:space="preserve"> AUTONUM  </w:instrText>
      </w:r>
      <w:r w:rsidRPr="00350522">
        <w:rPr>
          <w:rFonts w:eastAsia="MS Mincho"/>
        </w:rPr>
        <w:fldChar w:fldCharType="end"/>
      </w:r>
      <w:r w:rsidRPr="003445F5">
        <w:rPr>
          <w:rFonts w:eastAsia="MS Mincho"/>
          <w:lang w:val="fr-CH"/>
        </w:rPr>
        <w:tab/>
        <w:t xml:space="preserve">Le TWO est convenu de recommander aux rédacteurs des principes directeurs d'examen d'éviter d'exclure explicitement les variétés ornementales du champ d'application des principes directeurs d'examen.  Le TWO est convenu que les situations dans lesquelles il existe des variétés ornementales d'autres secteurs de culture doivent être traitées par l'inclusion du libellé standard sur la </w:t>
      </w:r>
      <w:r w:rsidRPr="003445F5">
        <w:rPr>
          <w:lang w:val="fr-CH"/>
        </w:rPr>
        <w:t xml:space="preserve">"couverture des types de variétés dans les principes directeurs d'examen", comme suit </w:t>
      </w:r>
      <w:r w:rsidRPr="003445F5">
        <w:rPr>
          <w:rFonts w:eastAsia="MS Mincho"/>
          <w:lang w:val="fr-CH"/>
        </w:rPr>
        <w:t xml:space="preserve">(voir le document TGP/7 "Élaboration des principes directeurs d'examen, </w:t>
      </w:r>
      <w:r w:rsidRPr="003445F5">
        <w:rPr>
          <w:lang w:val="fr-CH"/>
        </w:rPr>
        <w:t>ASW 0) :</w:t>
      </w:r>
    </w:p>
    <w:p w14:paraId="3C5C97B3" w14:textId="77777777" w:rsidR="00AD6CF4" w:rsidRPr="003445F5" w:rsidRDefault="00AD6CF4" w:rsidP="00AD6CF4">
      <w:pPr>
        <w:rPr>
          <w:lang w:val="fr-CH"/>
        </w:rPr>
      </w:pPr>
    </w:p>
    <w:p w14:paraId="47348911" w14:textId="77777777" w:rsidR="000D6252" w:rsidRPr="003445F5" w:rsidRDefault="007D4A8C">
      <w:pPr>
        <w:ind w:left="567" w:right="567"/>
        <w:rPr>
          <w:rFonts w:eastAsia="MS Mincho"/>
          <w:lang w:val="fr-CH"/>
        </w:rPr>
      </w:pPr>
      <w:r w:rsidRPr="003445F5">
        <w:rPr>
          <w:lang w:val="fr-CH"/>
        </w:rPr>
        <w:t>"Dans le cas des variétés ornementales, en particulier, il peut être nécessaire d'utiliser des caractères ou des niveaux d'expression supplémentaires par rapport à ceux qui figurent dans le tableau des caractères afin d'examiner la distinction, l'homogénéité et la stabilité.</w:t>
      </w:r>
    </w:p>
    <w:p w14:paraId="457B1F40" w14:textId="77777777" w:rsidR="00AD6CF4" w:rsidRPr="003445F5" w:rsidRDefault="00AD6CF4" w:rsidP="00AD6CF4">
      <w:pPr>
        <w:rPr>
          <w:rFonts w:eastAsia="MS Mincho"/>
          <w:lang w:val="fr-CH"/>
        </w:rPr>
      </w:pPr>
    </w:p>
    <w:p w14:paraId="1F6ABE6E" w14:textId="77777777" w:rsidR="000D6252" w:rsidRPr="003445F5" w:rsidRDefault="007D4A8C">
      <w:pPr>
        <w:rPr>
          <w:lang w:val="fr-CH"/>
        </w:rPr>
      </w:pPr>
      <w:r w:rsidRPr="00350522">
        <w:fldChar w:fldCharType="begin"/>
      </w:r>
      <w:r w:rsidRPr="003445F5">
        <w:rPr>
          <w:lang w:val="fr-CH"/>
        </w:rPr>
        <w:instrText xml:space="preserve"> AUTONUM  </w:instrText>
      </w:r>
      <w:r w:rsidRPr="00350522">
        <w:fldChar w:fldCharType="end"/>
      </w:r>
      <w:r w:rsidRPr="003445F5">
        <w:rPr>
          <w:lang w:val="fr-CH"/>
        </w:rPr>
        <w:tab/>
        <w:t>Le TWO a rappelé que ce libellé ne devrait pas conduire à des conclusions particulières quant à la question de savoir si d'autres types de variétés devraient ou non être couverts par l'élaboration de principes directeurs d'examen distincts, étant donné que cette question devrait être examinée au cas par cas.</w:t>
      </w:r>
    </w:p>
    <w:p w14:paraId="5D18562E" w14:textId="77777777" w:rsidR="00AD6CF4" w:rsidRPr="003445F5" w:rsidRDefault="00AD6CF4" w:rsidP="00AD6CF4">
      <w:pPr>
        <w:rPr>
          <w:rFonts w:eastAsia="MS Mincho"/>
          <w:lang w:val="fr-CH"/>
        </w:rPr>
      </w:pPr>
    </w:p>
    <w:p w14:paraId="09AF02D9" w14:textId="77777777" w:rsidR="000D6252" w:rsidRPr="003445F5" w:rsidRDefault="007D4A8C">
      <w:pPr>
        <w:rPr>
          <w:rFonts w:eastAsia="MS Mincho"/>
          <w:lang w:val="fr-CH"/>
        </w:rPr>
      </w:pPr>
      <w:r w:rsidRPr="00350522">
        <w:rPr>
          <w:rFonts w:eastAsia="MS Mincho"/>
        </w:rPr>
        <w:fldChar w:fldCharType="begin"/>
      </w:r>
      <w:r w:rsidRPr="003445F5">
        <w:rPr>
          <w:rFonts w:eastAsia="MS Mincho"/>
          <w:lang w:val="fr-CH"/>
        </w:rPr>
        <w:instrText xml:space="preserve"> AUTONUM  </w:instrText>
      </w:r>
      <w:r w:rsidRPr="00350522">
        <w:rPr>
          <w:rFonts w:eastAsia="MS Mincho"/>
        </w:rPr>
        <w:fldChar w:fldCharType="end"/>
      </w:r>
      <w:r w:rsidRPr="003445F5">
        <w:rPr>
          <w:rFonts w:eastAsia="MS Mincho"/>
          <w:lang w:val="fr-CH"/>
        </w:rPr>
        <w:tab/>
        <w:t xml:space="preserve">Le TWO est convenu que les principes directeurs d'examen élaborés pour d'autres secteurs de culture constituaient un bon point de départ pour l'examen des variétés ornementales, suivi d'une évaluation de la nécessité d'ajouter des caractères ou des niveaux d'expression.  </w:t>
      </w:r>
    </w:p>
    <w:p w14:paraId="1A0CF409" w14:textId="77777777" w:rsidR="00AD6CF4" w:rsidRPr="003445F5" w:rsidRDefault="00AD6CF4" w:rsidP="00AD6CF4">
      <w:pPr>
        <w:rPr>
          <w:rFonts w:eastAsia="MS Mincho"/>
          <w:lang w:val="fr-CH"/>
        </w:rPr>
      </w:pPr>
    </w:p>
    <w:p w14:paraId="7DFAAF65" w14:textId="77777777" w:rsidR="000D6252" w:rsidRPr="003445F5" w:rsidRDefault="007D4A8C">
      <w:pPr>
        <w:rPr>
          <w:rFonts w:eastAsia="MS Mincho"/>
          <w:lang w:val="fr-CH"/>
        </w:rPr>
      </w:pPr>
      <w:r w:rsidRPr="00350522">
        <w:rPr>
          <w:rFonts w:eastAsia="MS Mincho"/>
        </w:rPr>
        <w:fldChar w:fldCharType="begin"/>
      </w:r>
      <w:r w:rsidRPr="003445F5">
        <w:rPr>
          <w:rFonts w:eastAsia="MS Mincho"/>
          <w:lang w:val="fr-CH"/>
        </w:rPr>
        <w:instrText xml:space="preserve"> AUTONUM  </w:instrText>
      </w:r>
      <w:r w:rsidRPr="00350522">
        <w:rPr>
          <w:rFonts w:eastAsia="MS Mincho"/>
        </w:rPr>
        <w:fldChar w:fldCharType="end"/>
      </w:r>
      <w:r w:rsidRPr="003445F5">
        <w:rPr>
          <w:rFonts w:eastAsia="MS Mincho"/>
          <w:lang w:val="fr-CH"/>
        </w:rPr>
        <w:tab/>
        <w:t xml:space="preserve">Le TWO a examiné l'exemple d'examen DHS de variétés ornementales de patate douce présenté dans le document TWO/55/5.  Le TWO a noté que les caractères racinaires indiqués dans les principes directeurs d'examen n'ont pas pu être observés en raison du faible développement racinaire des variétés ornementales examinées.  Le TWO est convenu que l'utilisation de principes directeurs d'examen élaborés pour d'autres secteurs de culture afin d'examiner des variétés ornementales pourrait conduire à des situations similaires dans lesquelles certains caractères ne pourraient pas être observés. </w:t>
      </w:r>
    </w:p>
    <w:p w14:paraId="1527A364" w14:textId="77777777" w:rsidR="00AD6CF4" w:rsidRPr="003445F5" w:rsidRDefault="00AD6CF4" w:rsidP="00AD6CF4">
      <w:pPr>
        <w:rPr>
          <w:rFonts w:eastAsia="MS Mincho"/>
          <w:lang w:val="fr-CH"/>
        </w:rPr>
      </w:pPr>
    </w:p>
    <w:p w14:paraId="2CB3E3CF" w14:textId="77777777" w:rsidR="000D6252" w:rsidRPr="003445F5" w:rsidRDefault="007D4A8C">
      <w:pPr>
        <w:rPr>
          <w:rFonts w:eastAsia="MS Mincho"/>
          <w:lang w:val="fr-CH"/>
        </w:rPr>
      </w:pPr>
      <w:r w:rsidRPr="00350522">
        <w:rPr>
          <w:rFonts w:eastAsia="MS Mincho"/>
        </w:rPr>
        <w:fldChar w:fldCharType="begin"/>
      </w:r>
      <w:r w:rsidRPr="003445F5">
        <w:rPr>
          <w:rFonts w:eastAsia="MS Mincho"/>
          <w:lang w:val="fr-CH"/>
        </w:rPr>
        <w:instrText xml:space="preserve"> AUTONUM  </w:instrText>
      </w:r>
      <w:r w:rsidRPr="00350522">
        <w:rPr>
          <w:rFonts w:eastAsia="MS Mincho"/>
        </w:rPr>
        <w:fldChar w:fldCharType="end"/>
      </w:r>
      <w:r w:rsidRPr="003445F5">
        <w:rPr>
          <w:rFonts w:eastAsia="MS Mincho"/>
          <w:lang w:val="fr-CH"/>
        </w:rPr>
        <w:tab/>
        <w:t xml:space="preserve">Le TWO est convenu d'examiner à chaque session la liste des principes directeurs d'examen en cours d'élaboration par d'autres TWP en cas d'intérêt pour l'examen des variétés ornementales et, le cas échéant, de fournir des experts intéressés. </w:t>
      </w:r>
    </w:p>
    <w:p w14:paraId="0C3743AF" w14:textId="77777777" w:rsidR="00AD6CF4" w:rsidRPr="003445F5" w:rsidRDefault="00AD6CF4" w:rsidP="00AD6CF4">
      <w:pPr>
        <w:rPr>
          <w:rFonts w:eastAsia="MS Mincho"/>
          <w:lang w:val="fr-CH"/>
        </w:rPr>
      </w:pPr>
    </w:p>
    <w:p w14:paraId="3F2C4EFD" w14:textId="77777777" w:rsidR="00AD6CF4" w:rsidRPr="003445F5" w:rsidRDefault="00AD6CF4" w:rsidP="00445B73">
      <w:pPr>
        <w:rPr>
          <w:lang w:val="fr-CH"/>
        </w:rPr>
      </w:pPr>
    </w:p>
    <w:p w14:paraId="21DF2584" w14:textId="77777777" w:rsidR="009A78BB" w:rsidRPr="003445F5" w:rsidRDefault="009A78BB" w:rsidP="00445B73">
      <w:pPr>
        <w:rPr>
          <w:lang w:val="fr-CH"/>
        </w:rPr>
      </w:pPr>
    </w:p>
    <w:p w14:paraId="08AEF81F" w14:textId="77777777" w:rsidR="000D6252" w:rsidRDefault="007D4A8C">
      <w:pPr>
        <w:jc w:val="right"/>
      </w:pPr>
      <w:r w:rsidRPr="003445F5">
        <w:rPr>
          <w:lang w:val="fr-CH"/>
        </w:rPr>
        <w:t xml:space="preserve"> </w:t>
      </w:r>
      <w:r w:rsidRPr="00350522">
        <w:t>[Fin du document]</w:t>
      </w:r>
    </w:p>
    <w:sectPr w:rsidR="000D6252"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B08E" w14:textId="77777777" w:rsidR="00507C08" w:rsidRDefault="00507C08" w:rsidP="006655D3">
      <w:r>
        <w:separator/>
      </w:r>
    </w:p>
    <w:p w14:paraId="5D68EAE9" w14:textId="77777777" w:rsidR="00507C08" w:rsidRDefault="00507C08" w:rsidP="006655D3"/>
    <w:p w14:paraId="1D08D6BF" w14:textId="77777777" w:rsidR="00507C08" w:rsidRDefault="00507C08" w:rsidP="006655D3"/>
  </w:endnote>
  <w:endnote w:type="continuationSeparator" w:id="0">
    <w:p w14:paraId="1875B283" w14:textId="77777777" w:rsidR="00507C08" w:rsidRDefault="00507C08" w:rsidP="006655D3">
      <w:r>
        <w:separator/>
      </w:r>
    </w:p>
    <w:p w14:paraId="764DF82B" w14:textId="77777777" w:rsidR="000D6252" w:rsidRDefault="007D4A8C">
      <w:pPr>
        <w:pStyle w:val="Footer"/>
        <w:spacing w:after="60"/>
        <w:rPr>
          <w:sz w:val="18"/>
          <w:lang w:val="fr-FR"/>
        </w:rPr>
      </w:pPr>
      <w:r w:rsidRPr="00294751">
        <w:rPr>
          <w:sz w:val="18"/>
          <w:lang w:val="fr-FR"/>
        </w:rPr>
        <w:t>[Suite de la note de la page précédente]</w:t>
      </w:r>
    </w:p>
    <w:p w14:paraId="28368CBF" w14:textId="77777777" w:rsidR="00507C08" w:rsidRPr="00294751" w:rsidRDefault="00507C08" w:rsidP="006655D3">
      <w:pPr>
        <w:rPr>
          <w:lang w:val="fr-FR"/>
        </w:rPr>
      </w:pPr>
    </w:p>
    <w:p w14:paraId="4FC2506E" w14:textId="77777777" w:rsidR="00507C08" w:rsidRPr="00294751" w:rsidRDefault="00507C08" w:rsidP="006655D3">
      <w:pPr>
        <w:rPr>
          <w:lang w:val="fr-FR"/>
        </w:rPr>
      </w:pPr>
    </w:p>
  </w:endnote>
  <w:endnote w:type="continuationNotice" w:id="1">
    <w:p w14:paraId="1500D06A" w14:textId="77777777" w:rsidR="000D6252" w:rsidRDefault="007D4A8C">
      <w:pPr>
        <w:rPr>
          <w:lang w:val="fr-FR"/>
        </w:rPr>
      </w:pPr>
      <w:r w:rsidRPr="00294751">
        <w:rPr>
          <w:lang w:val="fr-FR"/>
        </w:rPr>
        <w:t>[Suite de la note page suivante]</w:t>
      </w:r>
    </w:p>
    <w:p w14:paraId="5B4828D4" w14:textId="77777777" w:rsidR="00507C08" w:rsidRPr="00294751" w:rsidRDefault="00507C08" w:rsidP="006655D3">
      <w:pPr>
        <w:rPr>
          <w:lang w:val="fr-FR"/>
        </w:rPr>
      </w:pPr>
    </w:p>
    <w:p w14:paraId="7A53414D" w14:textId="77777777" w:rsidR="00507C08" w:rsidRPr="00294751" w:rsidRDefault="00507C0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8A962" w14:textId="77777777" w:rsidR="00507C08" w:rsidRDefault="00507C08" w:rsidP="006655D3">
      <w:r>
        <w:separator/>
      </w:r>
    </w:p>
  </w:footnote>
  <w:footnote w:type="continuationSeparator" w:id="0">
    <w:p w14:paraId="1C02643F" w14:textId="77777777" w:rsidR="00507C08" w:rsidRDefault="00507C08" w:rsidP="006655D3">
      <w:r>
        <w:separator/>
      </w:r>
    </w:p>
  </w:footnote>
  <w:footnote w:type="continuationNotice" w:id="1">
    <w:p w14:paraId="1DCCE470" w14:textId="77777777" w:rsidR="00507C08" w:rsidRPr="00AB530F" w:rsidRDefault="00507C08" w:rsidP="00AB530F">
      <w:pPr>
        <w:pStyle w:val="Footer"/>
      </w:pPr>
    </w:p>
  </w:footnote>
  <w:footnote w:id="2">
    <w:p w14:paraId="1797F65B" w14:textId="77777777" w:rsidR="000D6252" w:rsidRPr="003445F5" w:rsidRDefault="007D4A8C">
      <w:pPr>
        <w:pStyle w:val="FootnoteText"/>
        <w:rPr>
          <w:lang w:val="fr-CH"/>
        </w:rPr>
      </w:pPr>
      <w:r>
        <w:rPr>
          <w:rStyle w:val="FootnoteReference"/>
        </w:rPr>
        <w:footnoteRef/>
      </w:r>
      <w:r w:rsidRPr="003445F5">
        <w:rPr>
          <w:lang w:val="fr-CH"/>
        </w:rPr>
        <w:t xml:space="preserve"> lors de sa cinquante-septième session, tenue à Antalya, Turquie, du 1er au 5 mai 2023.</w:t>
      </w:r>
    </w:p>
  </w:footnote>
  <w:footnote w:id="3">
    <w:p w14:paraId="3BD2BCA1" w14:textId="77777777" w:rsidR="000D6252" w:rsidRPr="003445F5" w:rsidRDefault="007D4A8C">
      <w:pPr>
        <w:pStyle w:val="FootnoteText"/>
        <w:rPr>
          <w:lang w:val="fr-CH"/>
        </w:rPr>
      </w:pPr>
      <w:r>
        <w:rPr>
          <w:rStyle w:val="FootnoteReference"/>
        </w:rPr>
        <w:footnoteRef/>
      </w:r>
      <w:r w:rsidRPr="003445F5">
        <w:rPr>
          <w:lang w:val="fr-CH"/>
        </w:rPr>
        <w:t xml:space="preserve"> lors de sa cinquante-deuxième session, tenue par voie électronique, du 22 au 26 mai 2023.</w:t>
      </w:r>
    </w:p>
  </w:footnote>
  <w:footnote w:id="4">
    <w:p w14:paraId="1E9B2F7A" w14:textId="77777777" w:rsidR="000D6252" w:rsidRPr="003445F5" w:rsidRDefault="007D4A8C">
      <w:pPr>
        <w:pStyle w:val="FootnoteText"/>
        <w:rPr>
          <w:lang w:val="fr-CH"/>
        </w:rPr>
      </w:pPr>
      <w:r>
        <w:rPr>
          <w:rStyle w:val="FootnoteReference"/>
        </w:rPr>
        <w:footnoteRef/>
      </w:r>
      <w:r w:rsidRPr="003445F5">
        <w:rPr>
          <w:lang w:val="fr-CH"/>
        </w:rPr>
        <w:t xml:space="preserve"> lors de sa cinquante-cinquième session, tenue par voie électronique, du 12 au 16 juin 2023.</w:t>
      </w:r>
    </w:p>
  </w:footnote>
  <w:footnote w:id="5">
    <w:p w14:paraId="42791DA2" w14:textId="77777777" w:rsidR="000D6252" w:rsidRPr="003445F5" w:rsidRDefault="007D4A8C">
      <w:pPr>
        <w:pStyle w:val="FootnoteText"/>
        <w:rPr>
          <w:lang w:val="fr-CH"/>
        </w:rPr>
      </w:pPr>
      <w:r>
        <w:rPr>
          <w:rStyle w:val="FootnoteReference"/>
        </w:rPr>
        <w:footnoteRef/>
      </w:r>
      <w:r w:rsidRPr="003445F5">
        <w:rPr>
          <w:lang w:val="fr-CH"/>
        </w:rPr>
        <w:t xml:space="preserve"> lors de sa cinquante-quatrième session, tenue à Nîmes, France, du 3 au 7 juillet 2023</w:t>
      </w:r>
    </w:p>
  </w:footnote>
  <w:footnote w:id="6">
    <w:p w14:paraId="3B72A02D" w14:textId="77777777" w:rsidR="000D6252" w:rsidRPr="003445F5" w:rsidRDefault="007D4A8C">
      <w:pPr>
        <w:pStyle w:val="FootnoteText"/>
        <w:rPr>
          <w:lang w:val="fr-CH"/>
        </w:rPr>
      </w:pPr>
      <w:r>
        <w:rPr>
          <w:rStyle w:val="FootnoteReference"/>
        </w:rPr>
        <w:footnoteRef/>
      </w:r>
      <w:r w:rsidRPr="003445F5">
        <w:rPr>
          <w:lang w:val="fr-CH"/>
        </w:rPr>
        <w:t xml:space="preserve"> lors de sa cinquante-quatrième session, tenue à Nîmes, France, du 3 au 7 juillet 2023</w:t>
      </w:r>
    </w:p>
  </w:footnote>
  <w:footnote w:id="7">
    <w:p w14:paraId="3777AD66" w14:textId="77777777" w:rsidR="000D6252" w:rsidRPr="003445F5" w:rsidRDefault="007D4A8C">
      <w:pPr>
        <w:pStyle w:val="FootnoteText"/>
        <w:rPr>
          <w:lang w:val="fr-CH"/>
        </w:rPr>
      </w:pPr>
      <w:r>
        <w:rPr>
          <w:rStyle w:val="FootnoteReference"/>
        </w:rPr>
        <w:footnoteRef/>
      </w:r>
      <w:r w:rsidRPr="003445F5">
        <w:rPr>
          <w:rFonts w:eastAsia="MS Mincho"/>
          <w:lang w:val="fr-CH"/>
        </w:rPr>
        <w:t xml:space="preserve"> par voie électronique, du 12 au 16 juin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C14E" w14:textId="77777777" w:rsidR="000D6252" w:rsidRDefault="007D4A8C">
    <w:pPr>
      <w:pStyle w:val="Header"/>
      <w:rPr>
        <w:rStyle w:val="PageNumber"/>
        <w:lang w:val="en-US"/>
      </w:rPr>
    </w:pPr>
    <w:r>
      <w:rPr>
        <w:rStyle w:val="PageNumber"/>
        <w:lang w:val="en-US"/>
      </w:rPr>
      <w:t>TC/59/3</w:t>
    </w:r>
  </w:p>
  <w:p w14:paraId="06E68D54" w14:textId="77777777" w:rsidR="000D6252" w:rsidRDefault="007D4A8C">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3189F">
      <w:rPr>
        <w:rStyle w:val="PageNumber"/>
        <w:noProof/>
        <w:lang w:val="en-US"/>
      </w:rPr>
      <w:t>4</w:t>
    </w:r>
    <w:r w:rsidRPr="00C5280D">
      <w:rPr>
        <w:rStyle w:val="PageNumber"/>
        <w:lang w:val="en-US"/>
      </w:rPr>
      <w:fldChar w:fldCharType="end"/>
    </w:r>
  </w:p>
  <w:p w14:paraId="55C887A3" w14:textId="77777777" w:rsidR="00507C08" w:rsidRPr="00C5280D" w:rsidRDefault="00507C08"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9187" w14:textId="77777777" w:rsidR="00507C08" w:rsidRPr="0004198B" w:rsidRDefault="00507C08"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A753E"/>
    <w:multiLevelType w:val="hybridMultilevel"/>
    <w:tmpl w:val="F4866BFE"/>
    <w:lvl w:ilvl="0" w:tplc="545A88D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77F4303E"/>
    <w:multiLevelType w:val="hybridMultilevel"/>
    <w:tmpl w:val="D65C2250"/>
    <w:lvl w:ilvl="0" w:tplc="FFFFFFFF">
      <w:start w:val="1"/>
      <w:numFmt w:val="lowerLetter"/>
      <w:lvlText w:val="(%1)"/>
      <w:lvlJc w:val="left"/>
      <w:pPr>
        <w:ind w:left="927" w:hanging="360"/>
      </w:pPr>
      <w:rPr>
        <w:rFonts w:eastAsia="MS Mincho"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2118593788">
    <w:abstractNumId w:val="1"/>
  </w:num>
  <w:num w:numId="2" w16cid:durableId="461117863">
    <w:abstractNumId w:val="3"/>
  </w:num>
  <w:num w:numId="3" w16cid:durableId="925186975">
    <w:abstractNumId w:val="0"/>
  </w:num>
  <w:num w:numId="4" w16cid:durableId="1901014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15B59"/>
    <w:rsid w:val="00024AB8"/>
    <w:rsid w:val="00030854"/>
    <w:rsid w:val="00036028"/>
    <w:rsid w:val="0004198B"/>
    <w:rsid w:val="00044642"/>
    <w:rsid w:val="000446B9"/>
    <w:rsid w:val="00047E21"/>
    <w:rsid w:val="00050E16"/>
    <w:rsid w:val="00085505"/>
    <w:rsid w:val="000A5667"/>
    <w:rsid w:val="000C4E25"/>
    <w:rsid w:val="000C7021"/>
    <w:rsid w:val="000D6252"/>
    <w:rsid w:val="000D6BBC"/>
    <w:rsid w:val="000D7780"/>
    <w:rsid w:val="000E636A"/>
    <w:rsid w:val="000F2F11"/>
    <w:rsid w:val="00100A5F"/>
    <w:rsid w:val="00105929"/>
    <w:rsid w:val="00110BED"/>
    <w:rsid w:val="00110C36"/>
    <w:rsid w:val="001131D5"/>
    <w:rsid w:val="00114381"/>
    <w:rsid w:val="00114547"/>
    <w:rsid w:val="00122D63"/>
    <w:rsid w:val="00141DB8"/>
    <w:rsid w:val="0014420C"/>
    <w:rsid w:val="001671B1"/>
    <w:rsid w:val="00172084"/>
    <w:rsid w:val="0017474A"/>
    <w:rsid w:val="001758C6"/>
    <w:rsid w:val="00182B99"/>
    <w:rsid w:val="001B650F"/>
    <w:rsid w:val="001C1525"/>
    <w:rsid w:val="002078DF"/>
    <w:rsid w:val="0021332C"/>
    <w:rsid w:val="00213982"/>
    <w:rsid w:val="0024416D"/>
    <w:rsid w:val="00253176"/>
    <w:rsid w:val="00271911"/>
    <w:rsid w:val="00273187"/>
    <w:rsid w:val="00274F1A"/>
    <w:rsid w:val="002800A0"/>
    <w:rsid w:val="002801B3"/>
    <w:rsid w:val="00281060"/>
    <w:rsid w:val="00284050"/>
    <w:rsid w:val="00285BD0"/>
    <w:rsid w:val="002940E8"/>
    <w:rsid w:val="00294751"/>
    <w:rsid w:val="002A6E50"/>
    <w:rsid w:val="002B4298"/>
    <w:rsid w:val="002B7A36"/>
    <w:rsid w:val="002C10D1"/>
    <w:rsid w:val="002C256A"/>
    <w:rsid w:val="002D5226"/>
    <w:rsid w:val="002E4DBD"/>
    <w:rsid w:val="00305A7F"/>
    <w:rsid w:val="003152FE"/>
    <w:rsid w:val="00327436"/>
    <w:rsid w:val="00342FEC"/>
    <w:rsid w:val="003445F5"/>
    <w:rsid w:val="00344BD6"/>
    <w:rsid w:val="00350522"/>
    <w:rsid w:val="0035528D"/>
    <w:rsid w:val="00361821"/>
    <w:rsid w:val="00361E9E"/>
    <w:rsid w:val="0036713B"/>
    <w:rsid w:val="00372918"/>
    <w:rsid w:val="003753EE"/>
    <w:rsid w:val="003969E5"/>
    <w:rsid w:val="003A0835"/>
    <w:rsid w:val="003A5AAF"/>
    <w:rsid w:val="003B700A"/>
    <w:rsid w:val="003C7FBE"/>
    <w:rsid w:val="003D0839"/>
    <w:rsid w:val="003D227C"/>
    <w:rsid w:val="003D2B4D"/>
    <w:rsid w:val="003F37F5"/>
    <w:rsid w:val="003F645F"/>
    <w:rsid w:val="00413B4E"/>
    <w:rsid w:val="00444A88"/>
    <w:rsid w:val="00445B73"/>
    <w:rsid w:val="00454CCD"/>
    <w:rsid w:val="00474DA4"/>
    <w:rsid w:val="00476B4D"/>
    <w:rsid w:val="004805FA"/>
    <w:rsid w:val="004935D2"/>
    <w:rsid w:val="00496EE6"/>
    <w:rsid w:val="004B1215"/>
    <w:rsid w:val="004D047D"/>
    <w:rsid w:val="004D1334"/>
    <w:rsid w:val="004F1E9E"/>
    <w:rsid w:val="004F305A"/>
    <w:rsid w:val="00507C08"/>
    <w:rsid w:val="00512164"/>
    <w:rsid w:val="00520297"/>
    <w:rsid w:val="005338F9"/>
    <w:rsid w:val="0054281C"/>
    <w:rsid w:val="00544581"/>
    <w:rsid w:val="0055268D"/>
    <w:rsid w:val="00575DE2"/>
    <w:rsid w:val="00576BE4"/>
    <w:rsid w:val="005779DB"/>
    <w:rsid w:val="00581447"/>
    <w:rsid w:val="00594B53"/>
    <w:rsid w:val="005A2A67"/>
    <w:rsid w:val="005A400A"/>
    <w:rsid w:val="005B269D"/>
    <w:rsid w:val="005D7D77"/>
    <w:rsid w:val="005F7B92"/>
    <w:rsid w:val="006053EE"/>
    <w:rsid w:val="00612379"/>
    <w:rsid w:val="006153B6"/>
    <w:rsid w:val="0061555F"/>
    <w:rsid w:val="006229B7"/>
    <w:rsid w:val="006245ED"/>
    <w:rsid w:val="00636CA6"/>
    <w:rsid w:val="006404F7"/>
    <w:rsid w:val="00641200"/>
    <w:rsid w:val="00645CA8"/>
    <w:rsid w:val="00647E8C"/>
    <w:rsid w:val="006655D3"/>
    <w:rsid w:val="00667404"/>
    <w:rsid w:val="00687EB4"/>
    <w:rsid w:val="00695C56"/>
    <w:rsid w:val="006A5CDE"/>
    <w:rsid w:val="006A644A"/>
    <w:rsid w:val="006A7772"/>
    <w:rsid w:val="006B053C"/>
    <w:rsid w:val="006B17D2"/>
    <w:rsid w:val="006C224E"/>
    <w:rsid w:val="006D780A"/>
    <w:rsid w:val="006E1E47"/>
    <w:rsid w:val="00700DDA"/>
    <w:rsid w:val="00710B5E"/>
    <w:rsid w:val="0071271E"/>
    <w:rsid w:val="00732DEC"/>
    <w:rsid w:val="00735BD5"/>
    <w:rsid w:val="007451EC"/>
    <w:rsid w:val="00751613"/>
    <w:rsid w:val="00753EE9"/>
    <w:rsid w:val="007556F6"/>
    <w:rsid w:val="00760EEF"/>
    <w:rsid w:val="00777EE5"/>
    <w:rsid w:val="00784836"/>
    <w:rsid w:val="007875B0"/>
    <w:rsid w:val="0079023E"/>
    <w:rsid w:val="007A2854"/>
    <w:rsid w:val="007A2C97"/>
    <w:rsid w:val="007C1D92"/>
    <w:rsid w:val="007C4CB9"/>
    <w:rsid w:val="007D0B9D"/>
    <w:rsid w:val="007D19B0"/>
    <w:rsid w:val="007D4A8C"/>
    <w:rsid w:val="007E6DE2"/>
    <w:rsid w:val="007F498F"/>
    <w:rsid w:val="00804AEC"/>
    <w:rsid w:val="0080679D"/>
    <w:rsid w:val="008108B0"/>
    <w:rsid w:val="00811B20"/>
    <w:rsid w:val="00812609"/>
    <w:rsid w:val="008211B5"/>
    <w:rsid w:val="0082296E"/>
    <w:rsid w:val="00823C2E"/>
    <w:rsid w:val="00824099"/>
    <w:rsid w:val="0083189F"/>
    <w:rsid w:val="00846D7C"/>
    <w:rsid w:val="00867AC1"/>
    <w:rsid w:val="008751DE"/>
    <w:rsid w:val="00890DF8"/>
    <w:rsid w:val="00893F9F"/>
    <w:rsid w:val="008A0ADE"/>
    <w:rsid w:val="008A743F"/>
    <w:rsid w:val="008C0970"/>
    <w:rsid w:val="008D02AC"/>
    <w:rsid w:val="008D0BC5"/>
    <w:rsid w:val="008D2CF7"/>
    <w:rsid w:val="00900C26"/>
    <w:rsid w:val="00901791"/>
    <w:rsid w:val="00901942"/>
    <w:rsid w:val="0090197F"/>
    <w:rsid w:val="00903264"/>
    <w:rsid w:val="0090404E"/>
    <w:rsid w:val="00904B56"/>
    <w:rsid w:val="00906DDC"/>
    <w:rsid w:val="00913553"/>
    <w:rsid w:val="00914A66"/>
    <w:rsid w:val="00921C3F"/>
    <w:rsid w:val="0092478F"/>
    <w:rsid w:val="00934E09"/>
    <w:rsid w:val="00936253"/>
    <w:rsid w:val="00940D46"/>
    <w:rsid w:val="009413F1"/>
    <w:rsid w:val="00952DD4"/>
    <w:rsid w:val="009561F4"/>
    <w:rsid w:val="00965AE7"/>
    <w:rsid w:val="00970FED"/>
    <w:rsid w:val="00985E41"/>
    <w:rsid w:val="00990799"/>
    <w:rsid w:val="00992D82"/>
    <w:rsid w:val="00997029"/>
    <w:rsid w:val="009A7339"/>
    <w:rsid w:val="009A78BB"/>
    <w:rsid w:val="009B440E"/>
    <w:rsid w:val="009D690D"/>
    <w:rsid w:val="009E65B6"/>
    <w:rsid w:val="009F0A51"/>
    <w:rsid w:val="009F0B7F"/>
    <w:rsid w:val="009F44A5"/>
    <w:rsid w:val="009F77CF"/>
    <w:rsid w:val="00A12795"/>
    <w:rsid w:val="00A24C10"/>
    <w:rsid w:val="00A273D0"/>
    <w:rsid w:val="00A42AC3"/>
    <w:rsid w:val="00A430CF"/>
    <w:rsid w:val="00A54309"/>
    <w:rsid w:val="00A55168"/>
    <w:rsid w:val="00A610A9"/>
    <w:rsid w:val="00A72F82"/>
    <w:rsid w:val="00A80F2A"/>
    <w:rsid w:val="00A96C33"/>
    <w:rsid w:val="00AB2B93"/>
    <w:rsid w:val="00AB530F"/>
    <w:rsid w:val="00AB7E5B"/>
    <w:rsid w:val="00AC2883"/>
    <w:rsid w:val="00AD6CF4"/>
    <w:rsid w:val="00AE0EF1"/>
    <w:rsid w:val="00AE2937"/>
    <w:rsid w:val="00B01755"/>
    <w:rsid w:val="00B07301"/>
    <w:rsid w:val="00B11F3E"/>
    <w:rsid w:val="00B17CD7"/>
    <w:rsid w:val="00B224DE"/>
    <w:rsid w:val="00B324D4"/>
    <w:rsid w:val="00B46575"/>
    <w:rsid w:val="00B61777"/>
    <w:rsid w:val="00B622E6"/>
    <w:rsid w:val="00B83E82"/>
    <w:rsid w:val="00B84BBD"/>
    <w:rsid w:val="00BA43FB"/>
    <w:rsid w:val="00BB26DB"/>
    <w:rsid w:val="00BC127D"/>
    <w:rsid w:val="00BC1FE6"/>
    <w:rsid w:val="00BF1B0A"/>
    <w:rsid w:val="00C061B6"/>
    <w:rsid w:val="00C236D0"/>
    <w:rsid w:val="00C24005"/>
    <w:rsid w:val="00C2446C"/>
    <w:rsid w:val="00C36AE5"/>
    <w:rsid w:val="00C41F17"/>
    <w:rsid w:val="00C527FA"/>
    <w:rsid w:val="00C5280D"/>
    <w:rsid w:val="00C53EB3"/>
    <w:rsid w:val="00C5791C"/>
    <w:rsid w:val="00C66290"/>
    <w:rsid w:val="00C72B7A"/>
    <w:rsid w:val="00C9015E"/>
    <w:rsid w:val="00C973F2"/>
    <w:rsid w:val="00CA304C"/>
    <w:rsid w:val="00CA774A"/>
    <w:rsid w:val="00CB4921"/>
    <w:rsid w:val="00CC11B0"/>
    <w:rsid w:val="00CC2841"/>
    <w:rsid w:val="00CF1330"/>
    <w:rsid w:val="00CF7E36"/>
    <w:rsid w:val="00D3708D"/>
    <w:rsid w:val="00D40426"/>
    <w:rsid w:val="00D4447E"/>
    <w:rsid w:val="00D57C96"/>
    <w:rsid w:val="00D57D18"/>
    <w:rsid w:val="00D62C7A"/>
    <w:rsid w:val="00D70E65"/>
    <w:rsid w:val="00D91203"/>
    <w:rsid w:val="00D95174"/>
    <w:rsid w:val="00DA4973"/>
    <w:rsid w:val="00DA6F36"/>
    <w:rsid w:val="00DB596E"/>
    <w:rsid w:val="00DB7773"/>
    <w:rsid w:val="00DC00EA"/>
    <w:rsid w:val="00DC0B4F"/>
    <w:rsid w:val="00DC3802"/>
    <w:rsid w:val="00DD6208"/>
    <w:rsid w:val="00DF7E99"/>
    <w:rsid w:val="00E07D87"/>
    <w:rsid w:val="00E249C8"/>
    <w:rsid w:val="00E32F7E"/>
    <w:rsid w:val="00E5267B"/>
    <w:rsid w:val="00E559F0"/>
    <w:rsid w:val="00E63C0E"/>
    <w:rsid w:val="00E72D49"/>
    <w:rsid w:val="00E7593C"/>
    <w:rsid w:val="00E7678A"/>
    <w:rsid w:val="00E81BE2"/>
    <w:rsid w:val="00E935F1"/>
    <w:rsid w:val="00E938D2"/>
    <w:rsid w:val="00E94A81"/>
    <w:rsid w:val="00EA1FFB"/>
    <w:rsid w:val="00EB048E"/>
    <w:rsid w:val="00EB4E9C"/>
    <w:rsid w:val="00EC634B"/>
    <w:rsid w:val="00EE34DF"/>
    <w:rsid w:val="00EF2F89"/>
    <w:rsid w:val="00F03E98"/>
    <w:rsid w:val="00F056A3"/>
    <w:rsid w:val="00F11635"/>
    <w:rsid w:val="00F1237A"/>
    <w:rsid w:val="00F12AD9"/>
    <w:rsid w:val="00F14665"/>
    <w:rsid w:val="00F22CBD"/>
    <w:rsid w:val="00F272F1"/>
    <w:rsid w:val="00F31412"/>
    <w:rsid w:val="00F37B39"/>
    <w:rsid w:val="00F45372"/>
    <w:rsid w:val="00F560F7"/>
    <w:rsid w:val="00F6334D"/>
    <w:rsid w:val="00F63599"/>
    <w:rsid w:val="00F71781"/>
    <w:rsid w:val="00FA49AB"/>
    <w:rsid w:val="00FA49CC"/>
    <w:rsid w:val="00FC5FD0"/>
    <w:rsid w:val="00FE39C7"/>
    <w:rsid w:val="00FF2F34"/>
    <w:rsid w:val="00FF4D07"/>
    <w:rsid w:val="00FF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80C3757"/>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F14665"/>
    <w:pPr>
      <w:tabs>
        <w:tab w:val="right" w:leader="dot" w:pos="9639"/>
      </w:tabs>
      <w:ind w:left="568" w:right="851" w:hanging="284"/>
      <w:contextualSpacing/>
      <w:jc w:val="left"/>
    </w:pPr>
    <w:rPr>
      <w:sz w:val="18"/>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F14665"/>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9015E"/>
    <w:rPr>
      <w:rFonts w:ascii="Arial" w:hAnsi="Arial"/>
      <w:caps/>
    </w:rPr>
  </w:style>
  <w:style w:type="character" w:customStyle="1" w:styleId="Heading2Char">
    <w:name w:val="Heading 2 Char"/>
    <w:basedOn w:val="DefaultParagraphFont"/>
    <w:link w:val="Heading2"/>
    <w:rsid w:val="00C9015E"/>
    <w:rPr>
      <w:rFonts w:ascii="Arial" w:hAnsi="Arial"/>
      <w:u w:val="single"/>
    </w:rPr>
  </w:style>
  <w:style w:type="character" w:customStyle="1" w:styleId="FootnoteTextChar">
    <w:name w:val="Footnote Text Char"/>
    <w:basedOn w:val="DefaultParagraphFont"/>
    <w:link w:val="FootnoteText"/>
    <w:rsid w:val="00C9015E"/>
    <w:rPr>
      <w:rFonts w:ascii="Arial" w:hAnsi="Arial"/>
      <w:sz w:val="16"/>
    </w:rPr>
  </w:style>
  <w:style w:type="paragraph" w:styleId="CommentText">
    <w:name w:val="annotation text"/>
    <w:basedOn w:val="Normal"/>
    <w:link w:val="CommentTextChar"/>
    <w:semiHidden/>
    <w:unhideWhenUsed/>
    <w:rsid w:val="00901942"/>
  </w:style>
  <w:style w:type="character" w:customStyle="1" w:styleId="CommentTextChar">
    <w:name w:val="Comment Text Char"/>
    <w:basedOn w:val="DefaultParagraphFont"/>
    <w:link w:val="CommentText"/>
    <w:semiHidden/>
    <w:rsid w:val="00901942"/>
    <w:rPr>
      <w:rFonts w:ascii="Arial" w:hAnsi="Arial"/>
    </w:rPr>
  </w:style>
  <w:style w:type="character" w:customStyle="1" w:styleId="ListParagraphChar">
    <w:name w:val="List Paragraph Char"/>
    <w:aliases w:val="auto_list_(i) Char,List Paragraph1 Char"/>
    <w:basedOn w:val="DefaultParagraphFont"/>
    <w:link w:val="ListParagraph"/>
    <w:uiPriority w:val="34"/>
    <w:locked/>
    <w:rsid w:val="00253176"/>
    <w:rPr>
      <w:rFonts w:ascii="Arial" w:eastAsia="MS Mincho" w:hAnsi="Arial" w:cs="Arial"/>
    </w:rPr>
  </w:style>
  <w:style w:type="paragraph" w:styleId="ListParagraph">
    <w:name w:val="List Paragraph"/>
    <w:aliases w:val="auto_list_(i),List Paragraph1"/>
    <w:basedOn w:val="Normal"/>
    <w:link w:val="ListParagraphChar"/>
    <w:uiPriority w:val="34"/>
    <w:qFormat/>
    <w:rsid w:val="00253176"/>
    <w:pPr>
      <w:ind w:left="720"/>
      <w:contextualSpacing/>
    </w:pPr>
    <w:rPr>
      <w:rFonts w:eastAsia="MS Mincho" w:cs="Arial"/>
    </w:rPr>
  </w:style>
  <w:style w:type="paragraph" w:styleId="Revision">
    <w:name w:val="Revision"/>
    <w:hidden/>
    <w:uiPriority w:val="99"/>
    <w:semiHidden/>
    <w:rsid w:val="005D7D7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5314">
      <w:bodyDiv w:val="1"/>
      <w:marLeft w:val="0"/>
      <w:marRight w:val="0"/>
      <w:marTop w:val="0"/>
      <w:marBottom w:val="0"/>
      <w:divBdr>
        <w:top w:val="none" w:sz="0" w:space="0" w:color="auto"/>
        <w:left w:val="none" w:sz="0" w:space="0" w:color="auto"/>
        <w:bottom w:val="none" w:sz="0" w:space="0" w:color="auto"/>
        <w:right w:val="none" w:sz="0" w:space="0" w:color="auto"/>
      </w:divBdr>
    </w:div>
    <w:div w:id="690181545">
      <w:bodyDiv w:val="1"/>
      <w:marLeft w:val="0"/>
      <w:marRight w:val="0"/>
      <w:marTop w:val="0"/>
      <w:marBottom w:val="0"/>
      <w:divBdr>
        <w:top w:val="none" w:sz="0" w:space="0" w:color="auto"/>
        <w:left w:val="none" w:sz="0" w:space="0" w:color="auto"/>
        <w:bottom w:val="none" w:sz="0" w:space="0" w:color="auto"/>
        <w:right w:val="none" w:sz="0" w:space="0" w:color="auto"/>
      </w:divBdr>
    </w:div>
    <w:div w:id="1182666680">
      <w:bodyDiv w:val="1"/>
      <w:marLeft w:val="0"/>
      <w:marRight w:val="0"/>
      <w:marTop w:val="0"/>
      <w:marBottom w:val="0"/>
      <w:divBdr>
        <w:top w:val="none" w:sz="0" w:space="0" w:color="auto"/>
        <w:left w:val="none" w:sz="0" w:space="0" w:color="auto"/>
        <w:bottom w:val="none" w:sz="0" w:space="0" w:color="auto"/>
        <w:right w:val="none" w:sz="0" w:space="0" w:color="auto"/>
      </w:divBdr>
    </w:div>
    <w:div w:id="1381399102">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1ED30-7061-4D26-899D-4279BD2B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0</TotalTime>
  <Pages>5</Pages>
  <Words>2391</Words>
  <Characters>14021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TC/59/3</vt:lpstr>
    </vt:vector>
  </TitlesOfParts>
  <Company>UPOV</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TC/59/3</dc:title>
  <dc:creator>MAY Jessica</dc:creator>
  <cp:keywords>, docId:00F1A24BF894CCF778BD202AD5C8CB27</cp:keywords>
  <cp:lastModifiedBy>MAY Jessica</cp:lastModifiedBy>
  <cp:revision>5</cp:revision>
  <cp:lastPrinted>2016-11-22T15:41:00Z</cp:lastPrinted>
  <dcterms:created xsi:type="dcterms:W3CDTF">2023-09-14T07:57:00Z</dcterms:created>
  <dcterms:modified xsi:type="dcterms:W3CDTF">2023-09-14T08:43:00Z</dcterms:modified>
</cp:coreProperties>
</file>