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D6FC6" w14:paraId="11E4BEE1" w14:textId="77777777" w:rsidTr="00EB4E9C">
        <w:tc>
          <w:tcPr>
            <w:tcW w:w="6522" w:type="dxa"/>
          </w:tcPr>
          <w:p w14:paraId="4A221DBB" w14:textId="77777777" w:rsidR="00DC3802" w:rsidRPr="002D6FC6" w:rsidRDefault="00DC3802" w:rsidP="00AC2883">
            <w:pPr>
              <w:rPr>
                <w:lang w:val="fr-CH"/>
              </w:rPr>
            </w:pPr>
            <w:r w:rsidRPr="002D6FC6">
              <w:rPr>
                <w:noProof/>
              </w:rPr>
              <w:drawing>
                <wp:inline distT="0" distB="0" distL="0" distR="0" wp14:anchorId="41434F84" wp14:editId="4E4E41A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9DB6CAC" w14:textId="77777777" w:rsidR="00DC3802" w:rsidRPr="002D6FC6" w:rsidRDefault="00DC3802" w:rsidP="00AC2883">
            <w:pPr>
              <w:pStyle w:val="Lettrine"/>
              <w:rPr>
                <w:lang w:val="fr-CH"/>
              </w:rPr>
            </w:pPr>
            <w:r w:rsidRPr="002D6FC6">
              <w:rPr>
                <w:lang w:val="fr-CH"/>
              </w:rPr>
              <w:t>F</w:t>
            </w:r>
          </w:p>
        </w:tc>
      </w:tr>
      <w:tr w:rsidR="00DC3802" w:rsidRPr="00F80F77" w14:paraId="68084188" w14:textId="77777777" w:rsidTr="00645CA8">
        <w:trPr>
          <w:trHeight w:val="219"/>
        </w:trPr>
        <w:tc>
          <w:tcPr>
            <w:tcW w:w="6522" w:type="dxa"/>
          </w:tcPr>
          <w:p w14:paraId="0F7B80A7" w14:textId="77777777" w:rsidR="00DC3802" w:rsidRPr="002D6FC6" w:rsidRDefault="00DC3802" w:rsidP="00AC2883">
            <w:pPr>
              <w:pStyle w:val="upove"/>
              <w:rPr>
                <w:lang w:val="fr-CH"/>
              </w:rPr>
            </w:pPr>
            <w:r w:rsidRPr="002D6FC6">
              <w:rPr>
                <w:lang w:val="fr-CH"/>
              </w:rPr>
              <w:t>Union internationale pour la protection des obtentions végétales</w:t>
            </w:r>
          </w:p>
        </w:tc>
        <w:tc>
          <w:tcPr>
            <w:tcW w:w="3117" w:type="dxa"/>
          </w:tcPr>
          <w:p w14:paraId="10034204" w14:textId="77777777" w:rsidR="00DC3802" w:rsidRPr="002D6FC6" w:rsidRDefault="00DC3802" w:rsidP="00DA4973">
            <w:pPr>
              <w:rPr>
                <w:lang w:val="fr-CH"/>
              </w:rPr>
            </w:pPr>
          </w:p>
        </w:tc>
      </w:tr>
    </w:tbl>
    <w:p w14:paraId="1FC6F372" w14:textId="77777777" w:rsidR="00DC3802" w:rsidRPr="002D6FC6" w:rsidRDefault="00DC3802" w:rsidP="00DC3802">
      <w:pPr>
        <w:rPr>
          <w:lang w:val="fr-CH"/>
        </w:rPr>
      </w:pPr>
    </w:p>
    <w:p w14:paraId="2E762B9D" w14:textId="77777777" w:rsidR="003D0839" w:rsidRPr="002D6FC6" w:rsidRDefault="003D0839" w:rsidP="003D0839">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F80F77" w14:paraId="77B58EA8" w14:textId="77777777" w:rsidTr="00C916AB">
        <w:tc>
          <w:tcPr>
            <w:tcW w:w="6512" w:type="dxa"/>
          </w:tcPr>
          <w:p w14:paraId="0673FFA7" w14:textId="77777777" w:rsidR="003D0839" w:rsidRPr="002D6FC6" w:rsidRDefault="003D0839" w:rsidP="00C916AB">
            <w:pPr>
              <w:pStyle w:val="Sessiontc"/>
              <w:spacing w:line="240" w:lineRule="auto"/>
              <w:rPr>
                <w:lang w:val="fr-CH"/>
              </w:rPr>
            </w:pPr>
            <w:r w:rsidRPr="002D6FC6">
              <w:rPr>
                <w:lang w:val="fr-CH"/>
              </w:rPr>
              <w:t>Comité technique</w:t>
            </w:r>
          </w:p>
          <w:p w14:paraId="2B236670" w14:textId="2A8FC0AC" w:rsidR="003D0839" w:rsidRPr="002D6FC6" w:rsidRDefault="003D0839" w:rsidP="00C916AB">
            <w:pPr>
              <w:pStyle w:val="Sessiontcplacedate"/>
              <w:rPr>
                <w:sz w:val="22"/>
                <w:lang w:val="fr-CH"/>
              </w:rPr>
            </w:pPr>
            <w:r w:rsidRPr="002D6FC6">
              <w:rPr>
                <w:lang w:val="fr-CH"/>
              </w:rPr>
              <w:t>Cinquante</w:t>
            </w:r>
            <w:r w:rsidR="00ED3D7A">
              <w:rPr>
                <w:lang w:val="fr-CH"/>
              </w:rPr>
              <w:noBreakHyphen/>
            </w:r>
            <w:r w:rsidRPr="002D6FC6">
              <w:rPr>
                <w:lang w:val="fr-CH"/>
              </w:rPr>
              <w:t>huit</w:t>
            </w:r>
            <w:r w:rsidR="008E4A6E">
              <w:rPr>
                <w:lang w:val="fr-CH"/>
              </w:rPr>
              <w:t>ième session</w:t>
            </w:r>
            <w:r w:rsidRPr="002D6FC6">
              <w:rPr>
                <w:b w:val="0"/>
                <w:bCs w:val="0"/>
                <w:lang w:val="fr-CH"/>
              </w:rPr>
              <w:br/>
            </w:r>
            <w:r w:rsidRPr="002D6FC6">
              <w:rPr>
                <w:lang w:val="fr-CH"/>
              </w:rPr>
              <w:t>Genève, 24 et 2</w:t>
            </w:r>
            <w:r w:rsidR="008E4A6E" w:rsidRPr="002D6FC6">
              <w:rPr>
                <w:lang w:val="fr-CH"/>
              </w:rPr>
              <w:t>5</w:t>
            </w:r>
            <w:r w:rsidR="008E4A6E">
              <w:rPr>
                <w:lang w:val="fr-CH"/>
              </w:rPr>
              <w:t> </w:t>
            </w:r>
            <w:r w:rsidR="008E4A6E" w:rsidRPr="002D6FC6">
              <w:rPr>
                <w:lang w:val="fr-CH"/>
              </w:rPr>
              <w:t>octobre</w:t>
            </w:r>
            <w:r w:rsidR="008E4A6E">
              <w:rPr>
                <w:lang w:val="fr-CH"/>
              </w:rPr>
              <w:t> </w:t>
            </w:r>
            <w:r w:rsidR="008E4A6E" w:rsidRPr="002D6FC6">
              <w:rPr>
                <w:lang w:val="fr-CH"/>
              </w:rPr>
              <w:t>20</w:t>
            </w:r>
            <w:r w:rsidRPr="002D6FC6">
              <w:rPr>
                <w:lang w:val="fr-CH"/>
              </w:rPr>
              <w:t>22</w:t>
            </w:r>
          </w:p>
        </w:tc>
        <w:tc>
          <w:tcPr>
            <w:tcW w:w="3127" w:type="dxa"/>
          </w:tcPr>
          <w:p w14:paraId="081D9615" w14:textId="77777777" w:rsidR="003D0839" w:rsidRPr="002D6FC6" w:rsidRDefault="003D0839" w:rsidP="00C916AB">
            <w:pPr>
              <w:pStyle w:val="Doccode"/>
              <w:rPr>
                <w:lang w:val="fr-CH"/>
              </w:rPr>
            </w:pPr>
            <w:r w:rsidRPr="002D6FC6">
              <w:rPr>
                <w:lang w:val="fr-CH"/>
              </w:rPr>
              <w:t>TC/58/INF/6</w:t>
            </w:r>
          </w:p>
          <w:p w14:paraId="72134A5D" w14:textId="63AD6DBF" w:rsidR="003D0839" w:rsidRPr="002D6FC6" w:rsidRDefault="003D0839" w:rsidP="00C916AB">
            <w:pPr>
              <w:pStyle w:val="Docoriginal"/>
              <w:rPr>
                <w:lang w:val="fr-CH"/>
              </w:rPr>
            </w:pPr>
            <w:r w:rsidRPr="002D6FC6">
              <w:rPr>
                <w:lang w:val="fr-CH"/>
              </w:rPr>
              <w:t>Original</w:t>
            </w:r>
            <w:r w:rsidR="008E4A6E">
              <w:rPr>
                <w:lang w:val="fr-CH"/>
              </w:rPr>
              <w:t> :</w:t>
            </w:r>
            <w:r w:rsidRPr="002D6FC6">
              <w:rPr>
                <w:b w:val="0"/>
                <w:bCs w:val="0"/>
                <w:lang w:val="fr-CH"/>
              </w:rPr>
              <w:t xml:space="preserve"> anglais</w:t>
            </w:r>
          </w:p>
          <w:p w14:paraId="6918CE77" w14:textId="4274DE81" w:rsidR="003D0839" w:rsidRPr="002D6FC6" w:rsidRDefault="003D0839" w:rsidP="009B1294">
            <w:pPr>
              <w:pStyle w:val="Docoriginal"/>
              <w:rPr>
                <w:lang w:val="fr-CH"/>
              </w:rPr>
            </w:pPr>
            <w:r w:rsidRPr="002D6FC6">
              <w:rPr>
                <w:lang w:val="fr-CH"/>
              </w:rPr>
              <w:t>Date</w:t>
            </w:r>
            <w:r w:rsidR="008E4A6E">
              <w:rPr>
                <w:lang w:val="fr-CH"/>
              </w:rPr>
              <w:t> :</w:t>
            </w:r>
            <w:r w:rsidRPr="002D6FC6">
              <w:rPr>
                <w:b w:val="0"/>
                <w:bCs w:val="0"/>
                <w:lang w:val="fr-CH"/>
              </w:rPr>
              <w:t xml:space="preserve"> 1</w:t>
            </w:r>
            <w:r w:rsidR="008E4A6E" w:rsidRPr="002D6FC6">
              <w:rPr>
                <w:b w:val="0"/>
                <w:bCs w:val="0"/>
                <w:lang w:val="fr-CH"/>
              </w:rPr>
              <w:t>2</w:t>
            </w:r>
            <w:r w:rsidR="008E4A6E">
              <w:rPr>
                <w:b w:val="0"/>
                <w:bCs w:val="0"/>
                <w:lang w:val="fr-CH"/>
              </w:rPr>
              <w:t> </w:t>
            </w:r>
            <w:r w:rsidR="008E4A6E" w:rsidRPr="002D6FC6">
              <w:rPr>
                <w:b w:val="0"/>
                <w:bCs w:val="0"/>
                <w:lang w:val="fr-CH"/>
              </w:rPr>
              <w:t>octobre</w:t>
            </w:r>
            <w:r w:rsidRPr="002D6FC6">
              <w:rPr>
                <w:b w:val="0"/>
                <w:bCs w:val="0"/>
                <w:lang w:val="fr-CH"/>
              </w:rPr>
              <w:t> 2022</w:t>
            </w:r>
          </w:p>
        </w:tc>
      </w:tr>
    </w:tbl>
    <w:p w14:paraId="0B2EC4A9" w14:textId="77777777" w:rsidR="003D0839" w:rsidRPr="002D6FC6" w:rsidRDefault="00EB74E5" w:rsidP="003D0839">
      <w:pPr>
        <w:pStyle w:val="Titleofdoc0"/>
        <w:rPr>
          <w:lang w:val="fr-CH"/>
        </w:rPr>
      </w:pPr>
      <w:r w:rsidRPr="002D6FC6">
        <w:rPr>
          <w:bCs/>
          <w:lang w:val="fr-CH"/>
        </w:rPr>
        <w:t>Techniques moléculaires</w:t>
      </w:r>
    </w:p>
    <w:p w14:paraId="1C3B442A" w14:textId="1C11B072" w:rsidR="003D0839" w:rsidRPr="002D6FC6" w:rsidRDefault="003D0839" w:rsidP="003D0839">
      <w:pPr>
        <w:pStyle w:val="preparedby1"/>
        <w:jc w:val="left"/>
        <w:rPr>
          <w:lang w:val="fr-CH"/>
        </w:rPr>
      </w:pPr>
      <w:r w:rsidRPr="002D6FC6">
        <w:rPr>
          <w:lang w:val="fr-CH"/>
        </w:rPr>
        <w:t>Document établi par le Bureau de l</w:t>
      </w:r>
      <w:r w:rsidR="008E4A6E">
        <w:rPr>
          <w:lang w:val="fr-CH"/>
        </w:rPr>
        <w:t>’</w:t>
      </w:r>
      <w:r w:rsidRPr="002D6FC6">
        <w:rPr>
          <w:lang w:val="fr-CH"/>
        </w:rPr>
        <w:t>Union</w:t>
      </w:r>
    </w:p>
    <w:p w14:paraId="28B2BEA6" w14:textId="4AC2E625" w:rsidR="003D0839" w:rsidRPr="002D6FC6" w:rsidRDefault="003D0839" w:rsidP="003D0839">
      <w:pPr>
        <w:pStyle w:val="Disclaimer"/>
        <w:rPr>
          <w:lang w:val="fr-CH"/>
        </w:rPr>
      </w:pPr>
      <w:r w:rsidRPr="002D6FC6">
        <w:rPr>
          <w:lang w:val="fr-CH"/>
        </w:rPr>
        <w:t>Avertissement</w:t>
      </w:r>
      <w:r w:rsidR="008E4A6E">
        <w:rPr>
          <w:lang w:val="fr-CH"/>
        </w:rPr>
        <w:t> :</w:t>
      </w:r>
      <w:r w:rsidRPr="002D6FC6">
        <w:rPr>
          <w:lang w:val="fr-CH"/>
        </w:rPr>
        <w:t xml:space="preserve"> le présent document ne représente pas les principes ou les orientations de l</w:t>
      </w:r>
      <w:r w:rsidR="008E4A6E">
        <w:rPr>
          <w:lang w:val="fr-CH"/>
        </w:rPr>
        <w:t>’</w:t>
      </w:r>
      <w:r w:rsidRPr="002D6FC6">
        <w:rPr>
          <w:lang w:val="fr-CH"/>
        </w:rPr>
        <w:t>UPOV</w:t>
      </w:r>
    </w:p>
    <w:p w14:paraId="6C48B367" w14:textId="4B4A1133" w:rsidR="008422AD" w:rsidRPr="002D6FC6" w:rsidRDefault="008422AD" w:rsidP="008422AD">
      <w:pPr>
        <w:keepNext/>
        <w:outlineLvl w:val="0"/>
        <w:rPr>
          <w:rFonts w:eastAsiaTheme="minorEastAsia"/>
          <w:caps/>
          <w:lang w:val="fr-CH"/>
        </w:rPr>
      </w:pPr>
      <w:bookmarkStart w:id="0" w:name="_Toc524691135"/>
      <w:bookmarkStart w:id="1" w:name="_Toc483235547"/>
      <w:bookmarkStart w:id="2" w:name="_Toc474404967"/>
      <w:bookmarkStart w:id="3" w:name="_Ref438649598"/>
      <w:bookmarkStart w:id="4" w:name="_Toc17894057"/>
      <w:bookmarkStart w:id="5" w:name="_Toc475955714"/>
      <w:bookmarkStart w:id="6" w:name="_Toc117072741"/>
      <w:r w:rsidRPr="002D6FC6">
        <w:rPr>
          <w:rFonts w:eastAsiaTheme="minorEastAsia"/>
          <w:caps/>
          <w:lang w:val="fr-CH"/>
        </w:rPr>
        <w:t>R</w:t>
      </w:r>
      <w:r w:rsidR="00ED3D7A">
        <w:rPr>
          <w:rFonts w:eastAsiaTheme="minorEastAsia"/>
          <w:caps/>
          <w:lang w:val="fr-CH"/>
        </w:rPr>
        <w:t>ésumé</w:t>
      </w:r>
      <w:bookmarkEnd w:id="0"/>
      <w:bookmarkEnd w:id="1"/>
      <w:bookmarkEnd w:id="2"/>
      <w:bookmarkEnd w:id="3"/>
      <w:bookmarkEnd w:id="6"/>
    </w:p>
    <w:p w14:paraId="3C177319" w14:textId="77777777" w:rsidR="008422AD" w:rsidRPr="002D6FC6" w:rsidRDefault="008422AD" w:rsidP="008422AD">
      <w:pPr>
        <w:rPr>
          <w:rFonts w:eastAsiaTheme="minorEastAsia"/>
          <w:lang w:val="fr-CH"/>
        </w:rPr>
      </w:pPr>
    </w:p>
    <w:p w14:paraId="6AA76982" w14:textId="5CFA9E6E" w:rsidR="00A65330" w:rsidRPr="002D6FC6" w:rsidRDefault="00A65330" w:rsidP="00A6533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présent document a pour objet de rendre compte de l</w:t>
      </w:r>
      <w:r w:rsidR="008E4A6E">
        <w:rPr>
          <w:lang w:val="fr-CH"/>
        </w:rPr>
        <w:t>’</w:t>
      </w:r>
      <w:r w:rsidRPr="002D6FC6">
        <w:rPr>
          <w:lang w:val="fr-CH"/>
        </w:rPr>
        <w:t xml:space="preserve">évolution des travaux relatifs aux techniques moléculaires aux groupes de travail techniques, lors de leurs sessions </w:t>
      </w:r>
      <w:r w:rsidR="008E4A6E" w:rsidRPr="002D6FC6">
        <w:rPr>
          <w:lang w:val="fr-CH"/>
        </w:rPr>
        <w:t>de</w:t>
      </w:r>
      <w:r w:rsidR="008E4A6E">
        <w:rPr>
          <w:lang w:val="fr-CH"/>
        </w:rPr>
        <w:t> </w:t>
      </w:r>
      <w:r w:rsidR="008E4A6E" w:rsidRPr="002D6FC6">
        <w:rPr>
          <w:lang w:val="fr-CH"/>
        </w:rPr>
        <w:t>2022</w:t>
      </w:r>
      <w:r w:rsidRPr="002D6FC6">
        <w:rPr>
          <w:lang w:val="fr-CH"/>
        </w:rPr>
        <w:t>.</w:t>
      </w:r>
    </w:p>
    <w:p w14:paraId="3387A1DB" w14:textId="77777777" w:rsidR="00A65330" w:rsidRPr="002D6FC6" w:rsidRDefault="00A65330" w:rsidP="00A65330">
      <w:pPr>
        <w:rPr>
          <w:lang w:val="fr-CH"/>
        </w:rPr>
      </w:pPr>
    </w:p>
    <w:p w14:paraId="75590B2C" w14:textId="47E13FAD" w:rsidR="00A65330" w:rsidRPr="002D6FC6" w:rsidRDefault="00A65330" w:rsidP="00A6533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 xml:space="preserve">Les questions à examiner par le </w:t>
      </w:r>
      <w:r w:rsidRPr="002D6FC6">
        <w:rPr>
          <w:snapToGrid w:val="0"/>
          <w:lang w:val="fr-CH"/>
        </w:rPr>
        <w:t>Comité technique concernant</w:t>
      </w:r>
      <w:r w:rsidR="008E4A6E">
        <w:rPr>
          <w:snapToGrid w:val="0"/>
          <w:lang w:val="fr-CH"/>
        </w:rPr>
        <w:t> :</w:t>
      </w:r>
      <w:r w:rsidRPr="002D6FC6">
        <w:rPr>
          <w:snapToGrid w:val="0"/>
          <w:lang w:val="fr-CH"/>
        </w:rPr>
        <w:t xml:space="preserve"> 1) la coopération entre organisations </w:t>
      </w:r>
      <w:proofErr w:type="gramStart"/>
      <w:r w:rsidRPr="002D6FC6">
        <w:rPr>
          <w:snapToGrid w:val="0"/>
          <w:lang w:val="fr-CH"/>
        </w:rPr>
        <w:t>internationales;  2</w:t>
      </w:r>
      <w:proofErr w:type="gramEnd"/>
      <w:r w:rsidRPr="002D6FC6">
        <w:rPr>
          <w:snapToGrid w:val="0"/>
          <w:lang w:val="fr-CH"/>
        </w:rPr>
        <w:t>) les sessions visant à faciliter la coopération dans le domaine des techniques moléculaires;  et 3) </w:t>
      </w:r>
      <w:r w:rsidRPr="002D6FC6">
        <w:rPr>
          <w:lang w:val="fr-CH"/>
        </w:rPr>
        <w:t>la confidentialité, la propriété et l</w:t>
      </w:r>
      <w:r w:rsidR="008E4A6E">
        <w:rPr>
          <w:lang w:val="fr-CH"/>
        </w:rPr>
        <w:t>’</w:t>
      </w:r>
      <w:r w:rsidRPr="002D6FC6">
        <w:rPr>
          <w:lang w:val="fr-CH"/>
        </w:rPr>
        <w:t>accès en matière de données moléculaires</w:t>
      </w:r>
      <w:r w:rsidRPr="002D6FC6">
        <w:rPr>
          <w:snapToGrid w:val="0"/>
          <w:lang w:val="fr-CH"/>
        </w:rPr>
        <w:t xml:space="preserve"> </w:t>
      </w:r>
      <w:r w:rsidRPr="002D6FC6">
        <w:rPr>
          <w:lang w:val="fr-CH"/>
        </w:rPr>
        <w:t xml:space="preserve">sont présentés dans les </w:t>
      </w:r>
      <w:r w:rsidR="008E4A6E" w:rsidRPr="002D6FC6">
        <w:rPr>
          <w:lang w:val="fr-CH"/>
        </w:rPr>
        <w:t>documents</w:t>
      </w:r>
      <w:r w:rsidR="008E4A6E">
        <w:rPr>
          <w:lang w:val="fr-CH"/>
        </w:rPr>
        <w:t xml:space="preserve"> TC</w:t>
      </w:r>
      <w:r w:rsidRPr="002D6FC6">
        <w:rPr>
          <w:lang w:val="fr-CH"/>
        </w:rPr>
        <w:t>/58/7 “Techniques moléculaires” et</w:t>
      </w:r>
      <w:r w:rsidR="008E4A6E">
        <w:rPr>
          <w:lang w:val="fr-CH"/>
        </w:rPr>
        <w:t> TC</w:t>
      </w:r>
      <w:r w:rsidRPr="002D6FC6">
        <w:rPr>
          <w:lang w:val="fr-CH"/>
        </w:rPr>
        <w:t>/58/17 “Rapports sur l</w:t>
      </w:r>
      <w:r w:rsidR="008E4A6E">
        <w:rPr>
          <w:lang w:val="fr-CH"/>
        </w:rPr>
        <w:t>’</w:t>
      </w:r>
      <w:r w:rsidRPr="002D6FC6">
        <w:rPr>
          <w:lang w:val="fr-CH"/>
        </w:rPr>
        <w:t>état d</w:t>
      </w:r>
      <w:r w:rsidR="008E4A6E">
        <w:rPr>
          <w:lang w:val="fr-CH"/>
        </w:rPr>
        <w:t>’</w:t>
      </w:r>
      <w:r w:rsidRPr="002D6FC6">
        <w:rPr>
          <w:lang w:val="fr-CH"/>
        </w:rPr>
        <w:t>avancement des travaux des groupes de travail techniques”.</w:t>
      </w:r>
    </w:p>
    <w:p w14:paraId="740E9529" w14:textId="77777777" w:rsidR="00F72BBA" w:rsidRPr="002D6FC6" w:rsidRDefault="00F72BBA" w:rsidP="00F72BBA">
      <w:pPr>
        <w:ind w:firstLine="630"/>
        <w:rPr>
          <w:i/>
          <w:lang w:val="fr-CH"/>
        </w:rPr>
      </w:pPr>
    </w:p>
    <w:p w14:paraId="6E7D4199" w14:textId="5FF97C18" w:rsidR="008422AD" w:rsidRPr="002D6FC6" w:rsidRDefault="008422AD" w:rsidP="008422AD">
      <w:pPr>
        <w:keepNext/>
        <w:keepLines/>
        <w:spacing w:after="240"/>
        <w:rPr>
          <w:snapToGrid w:val="0"/>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r>
      <w:r w:rsidRPr="002D6FC6">
        <w:rPr>
          <w:snapToGrid w:val="0"/>
          <w:lang w:val="fr-CH"/>
        </w:rPr>
        <w:t>Le présent document est structuré comme suit</w:t>
      </w:r>
      <w:r w:rsidR="008E4A6E">
        <w:rPr>
          <w:snapToGrid w:val="0"/>
          <w:lang w:val="fr-CH"/>
        </w:rPr>
        <w:t> :</w:t>
      </w:r>
    </w:p>
    <w:p w14:paraId="396ACCE1" w14:textId="4C4101DC" w:rsidR="006A3800" w:rsidRPr="006A3800" w:rsidRDefault="008422AD">
      <w:pPr>
        <w:pStyle w:val="TOC1"/>
        <w:rPr>
          <w:rFonts w:asciiTheme="minorHAnsi" w:eastAsiaTheme="minorEastAsia" w:hAnsiTheme="minorHAnsi" w:cstheme="minorBidi"/>
          <w:caps w:val="0"/>
          <w:noProof/>
          <w:sz w:val="22"/>
          <w:szCs w:val="22"/>
          <w:lang w:val="fr-CH"/>
        </w:rPr>
      </w:pPr>
      <w:r w:rsidRPr="002D6FC6">
        <w:rPr>
          <w:lang w:val="fr-CH"/>
        </w:rPr>
        <w:fldChar w:fldCharType="begin"/>
      </w:r>
      <w:r w:rsidRPr="002D6FC6">
        <w:rPr>
          <w:rFonts w:cs="Arial"/>
          <w:noProof/>
          <w:snapToGrid w:val="0"/>
          <w:sz w:val="22"/>
          <w:lang w:val="fr-CH"/>
        </w:rPr>
        <w:instrText xml:space="preserve"> TOC \o "1-3" \u </w:instrText>
      </w:r>
      <w:r w:rsidRPr="002D6FC6">
        <w:rPr>
          <w:lang w:val="fr-CH"/>
        </w:rPr>
        <w:fldChar w:fldCharType="separate"/>
      </w:r>
      <w:r w:rsidR="006A3800" w:rsidRPr="00671BE0">
        <w:rPr>
          <w:rFonts w:eastAsiaTheme="minorEastAsia"/>
          <w:noProof/>
          <w:lang w:val="fr-CH"/>
        </w:rPr>
        <w:t>RÉSUMÉ</w:t>
      </w:r>
      <w:r w:rsidR="006A3800" w:rsidRPr="006A3800">
        <w:rPr>
          <w:noProof/>
          <w:lang w:val="fr-CH"/>
        </w:rPr>
        <w:tab/>
      </w:r>
      <w:r w:rsidR="006A3800">
        <w:rPr>
          <w:noProof/>
        </w:rPr>
        <w:fldChar w:fldCharType="begin"/>
      </w:r>
      <w:r w:rsidR="006A3800" w:rsidRPr="006A3800">
        <w:rPr>
          <w:noProof/>
          <w:lang w:val="fr-CH"/>
        </w:rPr>
        <w:instrText xml:space="preserve"> PAGEREF _Toc117072741 \h </w:instrText>
      </w:r>
      <w:r w:rsidR="006A3800">
        <w:rPr>
          <w:noProof/>
        </w:rPr>
      </w:r>
      <w:r w:rsidR="006A3800">
        <w:rPr>
          <w:noProof/>
        </w:rPr>
        <w:fldChar w:fldCharType="separate"/>
      </w:r>
      <w:r w:rsidR="006A3800" w:rsidRPr="006A3800">
        <w:rPr>
          <w:noProof/>
          <w:lang w:val="fr-CH"/>
        </w:rPr>
        <w:t>1</w:t>
      </w:r>
      <w:r w:rsidR="006A3800">
        <w:rPr>
          <w:noProof/>
        </w:rPr>
        <w:fldChar w:fldCharType="end"/>
      </w:r>
    </w:p>
    <w:p w14:paraId="5142B12C" w14:textId="7CF4D242" w:rsidR="006A3800" w:rsidRPr="006A3800" w:rsidRDefault="006A3800">
      <w:pPr>
        <w:pStyle w:val="TOC1"/>
        <w:rPr>
          <w:rFonts w:asciiTheme="minorHAnsi" w:eastAsiaTheme="minorEastAsia" w:hAnsiTheme="minorHAnsi" w:cstheme="minorBidi"/>
          <w:caps w:val="0"/>
          <w:noProof/>
          <w:sz w:val="22"/>
          <w:szCs w:val="22"/>
          <w:lang w:val="fr-CH"/>
        </w:rPr>
      </w:pPr>
      <w:r w:rsidRPr="00671BE0">
        <w:rPr>
          <w:noProof/>
          <w:lang w:val="fr-CH"/>
        </w:rPr>
        <w:t>FAITS NOUVEAUX SURVENUS AU SEIN DES GROUPES DE TRAVAIL TECHNIQUES À LEURS SESSIONS DE 2022</w:t>
      </w:r>
      <w:r w:rsidRPr="006A3800">
        <w:rPr>
          <w:noProof/>
          <w:lang w:val="fr-CH"/>
        </w:rPr>
        <w:tab/>
      </w:r>
      <w:r>
        <w:rPr>
          <w:noProof/>
        </w:rPr>
        <w:fldChar w:fldCharType="begin"/>
      </w:r>
      <w:r w:rsidRPr="006A3800">
        <w:rPr>
          <w:noProof/>
          <w:lang w:val="fr-CH"/>
        </w:rPr>
        <w:instrText xml:space="preserve"> PAGEREF _Toc117072742 \h </w:instrText>
      </w:r>
      <w:r>
        <w:rPr>
          <w:noProof/>
        </w:rPr>
      </w:r>
      <w:r>
        <w:rPr>
          <w:noProof/>
        </w:rPr>
        <w:fldChar w:fldCharType="separate"/>
      </w:r>
      <w:r w:rsidRPr="006A3800">
        <w:rPr>
          <w:noProof/>
          <w:lang w:val="fr-CH"/>
        </w:rPr>
        <w:t>2</w:t>
      </w:r>
      <w:r>
        <w:rPr>
          <w:noProof/>
        </w:rPr>
        <w:fldChar w:fldCharType="end"/>
      </w:r>
    </w:p>
    <w:p w14:paraId="0693D23C" w14:textId="0E8F5C15" w:rsidR="006A3800" w:rsidRPr="006A3800" w:rsidRDefault="006A3800">
      <w:pPr>
        <w:pStyle w:val="TOC2"/>
        <w:rPr>
          <w:rFonts w:asciiTheme="minorHAnsi" w:eastAsiaTheme="minorEastAsia" w:hAnsiTheme="minorHAnsi" w:cstheme="minorBidi"/>
          <w:noProof/>
          <w:sz w:val="22"/>
          <w:szCs w:val="22"/>
          <w:lang w:val="fr-CH"/>
        </w:rPr>
      </w:pPr>
      <w:r w:rsidRPr="00671BE0">
        <w:rPr>
          <w:noProof/>
          <w:lang w:val="fr-CH"/>
        </w:rPr>
        <w:t>Exposé sur l’utilisation des techniques moléculaires dans l’examen DHS</w:t>
      </w:r>
      <w:r w:rsidRPr="006A3800">
        <w:rPr>
          <w:noProof/>
          <w:lang w:val="fr-CH"/>
        </w:rPr>
        <w:tab/>
      </w:r>
      <w:r>
        <w:rPr>
          <w:noProof/>
        </w:rPr>
        <w:fldChar w:fldCharType="begin"/>
      </w:r>
      <w:r w:rsidRPr="006A3800">
        <w:rPr>
          <w:noProof/>
          <w:lang w:val="fr-CH"/>
        </w:rPr>
        <w:instrText xml:space="preserve"> PAGEREF _Toc117072743 \h </w:instrText>
      </w:r>
      <w:r>
        <w:rPr>
          <w:noProof/>
        </w:rPr>
      </w:r>
      <w:r>
        <w:rPr>
          <w:noProof/>
        </w:rPr>
        <w:fldChar w:fldCharType="separate"/>
      </w:r>
      <w:r w:rsidRPr="006A3800">
        <w:rPr>
          <w:noProof/>
          <w:lang w:val="fr-CH"/>
        </w:rPr>
        <w:t>2</w:t>
      </w:r>
      <w:r>
        <w:rPr>
          <w:noProof/>
        </w:rPr>
        <w:fldChar w:fldCharType="end"/>
      </w:r>
    </w:p>
    <w:p w14:paraId="6FF4F4D4" w14:textId="0A5775DE" w:rsidR="006A3800" w:rsidRPr="006A3800" w:rsidRDefault="006A3800">
      <w:pPr>
        <w:pStyle w:val="TOC1"/>
        <w:rPr>
          <w:rFonts w:asciiTheme="minorHAnsi" w:eastAsiaTheme="minorEastAsia" w:hAnsiTheme="minorHAnsi" w:cstheme="minorBidi"/>
          <w:caps w:val="0"/>
          <w:noProof/>
          <w:sz w:val="22"/>
          <w:szCs w:val="22"/>
          <w:lang w:val="fr-CH"/>
        </w:rPr>
      </w:pPr>
      <w:r w:rsidRPr="00671BE0">
        <w:rPr>
          <w:noProof/>
          <w:lang w:val="fr-CH"/>
        </w:rPr>
        <w:t>faits nouveaux à la première session du Groupe de travail technique sur les méthodes et techniques d’essai (twm)</w:t>
      </w:r>
      <w:r w:rsidRPr="006A3800">
        <w:rPr>
          <w:noProof/>
          <w:lang w:val="fr-CH"/>
        </w:rPr>
        <w:tab/>
      </w:r>
      <w:r>
        <w:rPr>
          <w:noProof/>
        </w:rPr>
        <w:fldChar w:fldCharType="begin"/>
      </w:r>
      <w:r w:rsidRPr="006A3800">
        <w:rPr>
          <w:noProof/>
          <w:lang w:val="fr-CH"/>
        </w:rPr>
        <w:instrText xml:space="preserve"> PAGEREF _Toc117072744 \h </w:instrText>
      </w:r>
      <w:r>
        <w:rPr>
          <w:noProof/>
        </w:rPr>
      </w:r>
      <w:r>
        <w:rPr>
          <w:noProof/>
        </w:rPr>
        <w:fldChar w:fldCharType="separate"/>
      </w:r>
      <w:r w:rsidRPr="006A3800">
        <w:rPr>
          <w:noProof/>
          <w:lang w:val="fr-CH"/>
        </w:rPr>
        <w:t>3</w:t>
      </w:r>
      <w:r>
        <w:rPr>
          <w:noProof/>
        </w:rPr>
        <w:fldChar w:fldCharType="end"/>
      </w:r>
    </w:p>
    <w:p w14:paraId="2361493A" w14:textId="23A130DD" w:rsidR="006A3800" w:rsidRPr="006A3800" w:rsidRDefault="006A3800">
      <w:pPr>
        <w:pStyle w:val="TOC2"/>
        <w:rPr>
          <w:rFonts w:asciiTheme="minorHAnsi" w:eastAsiaTheme="minorEastAsia" w:hAnsiTheme="minorHAnsi" w:cstheme="minorBidi"/>
          <w:noProof/>
          <w:sz w:val="22"/>
          <w:szCs w:val="22"/>
          <w:lang w:val="fr-CH"/>
        </w:rPr>
      </w:pPr>
      <w:r w:rsidRPr="00671BE0">
        <w:rPr>
          <w:noProof/>
          <w:lang w:val="fr-CH"/>
        </w:rPr>
        <w:t>Documents présentés</w:t>
      </w:r>
      <w:r w:rsidRPr="006A3800">
        <w:rPr>
          <w:noProof/>
          <w:lang w:val="fr-CH"/>
        </w:rPr>
        <w:tab/>
      </w:r>
      <w:r>
        <w:rPr>
          <w:noProof/>
        </w:rPr>
        <w:fldChar w:fldCharType="begin"/>
      </w:r>
      <w:r w:rsidRPr="006A3800">
        <w:rPr>
          <w:noProof/>
          <w:lang w:val="fr-CH"/>
        </w:rPr>
        <w:instrText xml:space="preserve"> PAGEREF _Toc117072745 \h </w:instrText>
      </w:r>
      <w:r>
        <w:rPr>
          <w:noProof/>
        </w:rPr>
      </w:r>
      <w:r>
        <w:rPr>
          <w:noProof/>
        </w:rPr>
        <w:fldChar w:fldCharType="separate"/>
      </w:r>
      <w:r w:rsidRPr="006A3800">
        <w:rPr>
          <w:noProof/>
          <w:lang w:val="fr-CH"/>
        </w:rPr>
        <w:t>3</w:t>
      </w:r>
      <w:r>
        <w:rPr>
          <w:noProof/>
        </w:rPr>
        <w:fldChar w:fldCharType="end"/>
      </w:r>
    </w:p>
    <w:p w14:paraId="6642F23C" w14:textId="4DD39A65" w:rsidR="006A3800" w:rsidRPr="006A3800" w:rsidRDefault="006A3800">
      <w:pPr>
        <w:pStyle w:val="TOC2"/>
        <w:rPr>
          <w:rFonts w:asciiTheme="minorHAnsi" w:eastAsiaTheme="minorEastAsia" w:hAnsiTheme="minorHAnsi" w:cstheme="minorBidi"/>
          <w:noProof/>
          <w:sz w:val="22"/>
          <w:szCs w:val="22"/>
          <w:lang w:val="fr-CH"/>
        </w:rPr>
      </w:pPr>
      <w:r w:rsidRPr="00671BE0">
        <w:rPr>
          <w:noProof/>
          <w:lang w:val="fr-CH"/>
        </w:rPr>
        <w:t>Compte rendu des travaux sur les techniques moléculaires dans le cadre de l’examen DHS</w:t>
      </w:r>
      <w:r w:rsidRPr="006A3800">
        <w:rPr>
          <w:noProof/>
          <w:lang w:val="fr-CH"/>
        </w:rPr>
        <w:tab/>
      </w:r>
      <w:r>
        <w:rPr>
          <w:noProof/>
        </w:rPr>
        <w:fldChar w:fldCharType="begin"/>
      </w:r>
      <w:r w:rsidRPr="006A3800">
        <w:rPr>
          <w:noProof/>
          <w:lang w:val="fr-CH"/>
        </w:rPr>
        <w:instrText xml:space="preserve"> PAGEREF _Toc117072746 \h </w:instrText>
      </w:r>
      <w:r>
        <w:rPr>
          <w:noProof/>
        </w:rPr>
      </w:r>
      <w:r>
        <w:rPr>
          <w:noProof/>
        </w:rPr>
        <w:fldChar w:fldCharType="separate"/>
      </w:r>
      <w:r w:rsidRPr="006A3800">
        <w:rPr>
          <w:noProof/>
          <w:lang w:val="fr-CH"/>
        </w:rPr>
        <w:t>4</w:t>
      </w:r>
      <w:r>
        <w:rPr>
          <w:noProof/>
        </w:rPr>
        <w:fldChar w:fldCharType="end"/>
      </w:r>
    </w:p>
    <w:p w14:paraId="3153E288" w14:textId="4A7B3583" w:rsidR="006A3800" w:rsidRPr="006A3800" w:rsidRDefault="006A3800">
      <w:pPr>
        <w:pStyle w:val="TOC2"/>
        <w:rPr>
          <w:rFonts w:asciiTheme="minorHAnsi" w:eastAsiaTheme="minorEastAsia" w:hAnsiTheme="minorHAnsi" w:cstheme="minorBidi"/>
          <w:noProof/>
          <w:sz w:val="22"/>
          <w:szCs w:val="22"/>
          <w:lang w:val="fr-CH"/>
        </w:rPr>
      </w:pPr>
      <w:r w:rsidRPr="00671BE0">
        <w:rPr>
          <w:noProof/>
          <w:lang w:val="fr-CH"/>
        </w:rPr>
        <w:t>Méthodes d’analyse des données moléculaires, gestion des bases de données et échange de données et de matériel</w:t>
      </w:r>
      <w:r w:rsidRPr="006A3800">
        <w:rPr>
          <w:noProof/>
          <w:lang w:val="fr-CH"/>
        </w:rPr>
        <w:tab/>
      </w:r>
      <w:r>
        <w:rPr>
          <w:noProof/>
        </w:rPr>
        <w:fldChar w:fldCharType="begin"/>
      </w:r>
      <w:r w:rsidRPr="006A3800">
        <w:rPr>
          <w:noProof/>
          <w:lang w:val="fr-CH"/>
        </w:rPr>
        <w:instrText xml:space="preserve"> PAGEREF _Toc117072747 \h </w:instrText>
      </w:r>
      <w:r>
        <w:rPr>
          <w:noProof/>
        </w:rPr>
      </w:r>
      <w:r>
        <w:rPr>
          <w:noProof/>
        </w:rPr>
        <w:fldChar w:fldCharType="separate"/>
      </w:r>
      <w:r w:rsidRPr="006A3800">
        <w:rPr>
          <w:noProof/>
          <w:lang w:val="fr-CH"/>
        </w:rPr>
        <w:t>4</w:t>
      </w:r>
      <w:r>
        <w:rPr>
          <w:noProof/>
        </w:rPr>
        <w:fldChar w:fldCharType="end"/>
      </w:r>
    </w:p>
    <w:p w14:paraId="7A26431C" w14:textId="6A2837A6" w:rsidR="006A3800" w:rsidRPr="006A3800" w:rsidRDefault="006A3800">
      <w:pPr>
        <w:pStyle w:val="TOC2"/>
        <w:rPr>
          <w:rFonts w:asciiTheme="minorHAnsi" w:eastAsiaTheme="minorEastAsia" w:hAnsiTheme="minorHAnsi" w:cstheme="minorBidi"/>
          <w:noProof/>
          <w:sz w:val="22"/>
          <w:szCs w:val="22"/>
          <w:lang w:val="fr-CH"/>
        </w:rPr>
      </w:pPr>
      <w:r w:rsidRPr="00671BE0">
        <w:rPr>
          <w:noProof/>
          <w:lang w:val="fr-CH"/>
        </w:rPr>
        <w:t>Utilisation des techniques moléculaires pour l’examen des variétés essentiellement dérivées</w:t>
      </w:r>
      <w:r w:rsidRPr="006A3800">
        <w:rPr>
          <w:noProof/>
          <w:lang w:val="fr-CH"/>
        </w:rPr>
        <w:tab/>
      </w:r>
      <w:r>
        <w:rPr>
          <w:noProof/>
        </w:rPr>
        <w:fldChar w:fldCharType="begin"/>
      </w:r>
      <w:r w:rsidRPr="006A3800">
        <w:rPr>
          <w:noProof/>
          <w:lang w:val="fr-CH"/>
        </w:rPr>
        <w:instrText xml:space="preserve"> PAGEREF _Toc117072748 \h </w:instrText>
      </w:r>
      <w:r>
        <w:rPr>
          <w:noProof/>
        </w:rPr>
      </w:r>
      <w:r>
        <w:rPr>
          <w:noProof/>
        </w:rPr>
        <w:fldChar w:fldCharType="separate"/>
      </w:r>
      <w:r w:rsidRPr="006A3800">
        <w:rPr>
          <w:noProof/>
          <w:lang w:val="fr-CH"/>
        </w:rPr>
        <w:t>5</w:t>
      </w:r>
      <w:r>
        <w:rPr>
          <w:noProof/>
        </w:rPr>
        <w:fldChar w:fldCharType="end"/>
      </w:r>
    </w:p>
    <w:p w14:paraId="28E982DB" w14:textId="052EE5CD" w:rsidR="006A3800" w:rsidRPr="006A3800" w:rsidRDefault="006A3800">
      <w:pPr>
        <w:pStyle w:val="TOC2"/>
        <w:rPr>
          <w:rFonts w:asciiTheme="minorHAnsi" w:eastAsiaTheme="minorEastAsia" w:hAnsiTheme="minorHAnsi" w:cstheme="minorBidi"/>
          <w:noProof/>
          <w:sz w:val="22"/>
          <w:szCs w:val="22"/>
          <w:lang w:val="fr-CH"/>
        </w:rPr>
      </w:pPr>
      <w:r w:rsidRPr="00671BE0">
        <w:rPr>
          <w:noProof/>
          <w:lang w:val="fr-CH"/>
        </w:rPr>
        <w:t>Utilisation des techniques moléculaires pour l’identification des variétés</w:t>
      </w:r>
      <w:r w:rsidRPr="006A3800">
        <w:rPr>
          <w:noProof/>
          <w:lang w:val="fr-CH"/>
        </w:rPr>
        <w:tab/>
      </w:r>
      <w:r>
        <w:rPr>
          <w:noProof/>
        </w:rPr>
        <w:fldChar w:fldCharType="begin"/>
      </w:r>
      <w:r w:rsidRPr="006A3800">
        <w:rPr>
          <w:noProof/>
          <w:lang w:val="fr-CH"/>
        </w:rPr>
        <w:instrText xml:space="preserve"> PAGEREF _Toc117072749 \h </w:instrText>
      </w:r>
      <w:r>
        <w:rPr>
          <w:noProof/>
        </w:rPr>
      </w:r>
      <w:r>
        <w:rPr>
          <w:noProof/>
        </w:rPr>
        <w:fldChar w:fldCharType="separate"/>
      </w:r>
      <w:r w:rsidRPr="006A3800">
        <w:rPr>
          <w:noProof/>
          <w:lang w:val="fr-CH"/>
        </w:rPr>
        <w:t>5</w:t>
      </w:r>
      <w:r>
        <w:rPr>
          <w:noProof/>
        </w:rPr>
        <w:fldChar w:fldCharType="end"/>
      </w:r>
    </w:p>
    <w:p w14:paraId="214DE4CD" w14:textId="0659BF13" w:rsidR="006A3800" w:rsidRPr="006A3800" w:rsidRDefault="006A3800">
      <w:pPr>
        <w:pStyle w:val="TOC2"/>
        <w:rPr>
          <w:rFonts w:asciiTheme="minorHAnsi" w:eastAsiaTheme="minorEastAsia" w:hAnsiTheme="minorHAnsi" w:cstheme="minorBidi"/>
          <w:noProof/>
          <w:sz w:val="22"/>
          <w:szCs w:val="22"/>
          <w:lang w:val="fr-CH"/>
        </w:rPr>
      </w:pPr>
      <w:r w:rsidRPr="00671BE0">
        <w:rPr>
          <w:noProof/>
          <w:lang w:val="fr-CH"/>
        </w:rPr>
        <w:t>Utilisation des techniques moléculaires pour l’application des droits</w:t>
      </w:r>
      <w:r w:rsidRPr="006A3800">
        <w:rPr>
          <w:noProof/>
          <w:lang w:val="fr-CH"/>
        </w:rPr>
        <w:tab/>
      </w:r>
      <w:r>
        <w:rPr>
          <w:noProof/>
        </w:rPr>
        <w:fldChar w:fldCharType="begin"/>
      </w:r>
      <w:r w:rsidRPr="006A3800">
        <w:rPr>
          <w:noProof/>
          <w:lang w:val="fr-CH"/>
        </w:rPr>
        <w:instrText xml:space="preserve"> PAGEREF _Toc117072750 \h </w:instrText>
      </w:r>
      <w:r>
        <w:rPr>
          <w:noProof/>
        </w:rPr>
      </w:r>
      <w:r>
        <w:rPr>
          <w:noProof/>
        </w:rPr>
        <w:fldChar w:fldCharType="separate"/>
      </w:r>
      <w:r w:rsidRPr="006A3800">
        <w:rPr>
          <w:noProof/>
          <w:lang w:val="fr-CH"/>
        </w:rPr>
        <w:t>5</w:t>
      </w:r>
      <w:r>
        <w:rPr>
          <w:noProof/>
        </w:rPr>
        <w:fldChar w:fldCharType="end"/>
      </w:r>
    </w:p>
    <w:p w14:paraId="25001691" w14:textId="6230B827" w:rsidR="000F6B3F" w:rsidRPr="002D6FC6" w:rsidRDefault="008422AD" w:rsidP="000F6B3F">
      <w:pPr>
        <w:spacing w:before="60" w:after="120"/>
        <w:ind w:left="1134" w:hanging="1134"/>
        <w:rPr>
          <w:snapToGrid w:val="0"/>
          <w:sz w:val="18"/>
          <w:szCs w:val="18"/>
          <w:lang w:val="fr-CH"/>
        </w:rPr>
      </w:pPr>
      <w:r w:rsidRPr="002D6FC6">
        <w:rPr>
          <w:lang w:val="fr-CH"/>
        </w:rPr>
        <w:fldChar w:fldCharType="end"/>
      </w:r>
      <w:r w:rsidRPr="002D6FC6">
        <w:rPr>
          <w:snapToGrid w:val="0"/>
          <w:sz w:val="18"/>
          <w:szCs w:val="18"/>
          <w:lang w:val="fr-CH"/>
        </w:rPr>
        <w:t>ANNEXE</w:t>
      </w:r>
      <w:r w:rsidRPr="002D6FC6">
        <w:rPr>
          <w:snapToGrid w:val="0"/>
          <w:sz w:val="18"/>
          <w:szCs w:val="18"/>
          <w:lang w:val="fr-CH"/>
        </w:rPr>
        <w:tab/>
        <w:t>ÉLÉMENTS POUR UN PROJET DE DOCUMENT COMMUN EXPLIQUANT LES PARTICULARITÉS DES SYSTÈMES DE L</w:t>
      </w:r>
      <w:r w:rsidR="008E4A6E">
        <w:rPr>
          <w:snapToGrid w:val="0"/>
          <w:sz w:val="18"/>
          <w:szCs w:val="18"/>
          <w:lang w:val="fr-CH"/>
        </w:rPr>
        <w:t>’</w:t>
      </w:r>
      <w:r w:rsidRPr="002D6FC6">
        <w:rPr>
          <w:snapToGrid w:val="0"/>
          <w:sz w:val="18"/>
          <w:szCs w:val="18"/>
          <w:lang w:val="fr-CH"/>
        </w:rPr>
        <w:t>OCDE, DE L</w:t>
      </w:r>
      <w:r w:rsidR="008E4A6E">
        <w:rPr>
          <w:snapToGrid w:val="0"/>
          <w:sz w:val="18"/>
          <w:szCs w:val="18"/>
          <w:lang w:val="fr-CH"/>
        </w:rPr>
        <w:t>’</w:t>
      </w:r>
      <w:r w:rsidRPr="002D6FC6">
        <w:rPr>
          <w:snapToGrid w:val="0"/>
          <w:sz w:val="18"/>
          <w:szCs w:val="18"/>
          <w:lang w:val="fr-CH"/>
        </w:rPr>
        <w:t>UPOV ET DE L</w:t>
      </w:r>
      <w:r w:rsidR="008E4A6E">
        <w:rPr>
          <w:snapToGrid w:val="0"/>
          <w:sz w:val="18"/>
          <w:szCs w:val="18"/>
          <w:lang w:val="fr-CH"/>
        </w:rPr>
        <w:t>’</w:t>
      </w:r>
      <w:r w:rsidRPr="002D6FC6">
        <w:rPr>
          <w:snapToGrid w:val="0"/>
          <w:sz w:val="18"/>
          <w:szCs w:val="18"/>
          <w:lang w:val="fr-CH"/>
        </w:rPr>
        <w:t>ISTA</w:t>
      </w:r>
    </w:p>
    <w:p w14:paraId="0F6E7991" w14:textId="77777777" w:rsidR="008422AD" w:rsidRPr="002D6FC6" w:rsidRDefault="008422AD" w:rsidP="000F6B3F">
      <w:pPr>
        <w:spacing w:before="120"/>
        <w:ind w:left="1138" w:hanging="1138"/>
        <w:rPr>
          <w:rFonts w:cs="Arial"/>
          <w:bCs/>
          <w:caps/>
          <w:noProof/>
          <w:snapToGrid w:val="0"/>
          <w:sz w:val="18"/>
          <w:lang w:val="fr-CH"/>
        </w:rPr>
      </w:pPr>
    </w:p>
    <w:p w14:paraId="1C3A6EB1" w14:textId="746CB7F7" w:rsidR="008422AD" w:rsidRPr="002D6FC6" w:rsidRDefault="008422AD" w:rsidP="008422AD">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Les abréviations suivantes sont utilisées dans le présent document</w:t>
      </w:r>
      <w:r w:rsidR="008E4A6E">
        <w:rPr>
          <w:lang w:val="fr-CH"/>
        </w:rPr>
        <w:t> :</w:t>
      </w:r>
    </w:p>
    <w:p w14:paraId="08B54CED" w14:textId="77777777" w:rsidR="008422AD" w:rsidRPr="002D6FC6" w:rsidRDefault="008422AD" w:rsidP="008422AD">
      <w:pPr>
        <w:rPr>
          <w:color w:val="000000"/>
          <w:sz w:val="16"/>
          <w:lang w:val="fr-CH"/>
        </w:rPr>
      </w:pPr>
    </w:p>
    <w:p w14:paraId="2E54E4A9" w14:textId="77141E07" w:rsidR="008422AD" w:rsidRPr="002D6FC6" w:rsidRDefault="008422AD" w:rsidP="008422AD">
      <w:pPr>
        <w:ind w:left="1701" w:hanging="1134"/>
        <w:rPr>
          <w:lang w:val="fr-CH"/>
        </w:rPr>
      </w:pPr>
      <w:r w:rsidRPr="002D6FC6">
        <w:rPr>
          <w:lang w:val="fr-CH"/>
        </w:rPr>
        <w:t>TC</w:t>
      </w:r>
      <w:r w:rsidR="008E4A6E">
        <w:rPr>
          <w:lang w:val="fr-CH"/>
        </w:rPr>
        <w:t> :</w:t>
      </w:r>
      <w:r w:rsidRPr="002D6FC6">
        <w:rPr>
          <w:lang w:val="fr-CH"/>
        </w:rPr>
        <w:tab/>
        <w:t>Comité technique</w:t>
      </w:r>
    </w:p>
    <w:p w14:paraId="09D4E297" w14:textId="2E5380C4" w:rsidR="008422AD" w:rsidRPr="002D6FC6" w:rsidRDefault="008422AD" w:rsidP="008422AD">
      <w:pPr>
        <w:ind w:left="1701" w:hanging="1134"/>
        <w:rPr>
          <w:lang w:val="fr-CH"/>
        </w:rPr>
      </w:pPr>
      <w:r w:rsidRPr="002D6FC6">
        <w:rPr>
          <w:lang w:val="fr-CH"/>
        </w:rPr>
        <w:t>TC</w:t>
      </w:r>
      <w:r w:rsidR="00ED3D7A">
        <w:rPr>
          <w:lang w:val="fr-CH"/>
        </w:rPr>
        <w:noBreakHyphen/>
      </w:r>
      <w:r w:rsidRPr="002D6FC6">
        <w:rPr>
          <w:lang w:val="fr-CH"/>
        </w:rPr>
        <w:t>EDC</w:t>
      </w:r>
      <w:r w:rsidR="008E4A6E">
        <w:rPr>
          <w:lang w:val="fr-CH"/>
        </w:rPr>
        <w:t> :</w:t>
      </w:r>
      <w:r w:rsidRPr="002D6FC6">
        <w:rPr>
          <w:lang w:val="fr-CH"/>
        </w:rPr>
        <w:tab/>
        <w:t>Comité de rédaction élargi</w:t>
      </w:r>
    </w:p>
    <w:p w14:paraId="4705815D" w14:textId="3206ADA4" w:rsidR="008422AD" w:rsidRPr="002D6FC6" w:rsidRDefault="008422AD" w:rsidP="008422AD">
      <w:pPr>
        <w:ind w:left="1701" w:hanging="1134"/>
        <w:rPr>
          <w:lang w:val="fr-CH"/>
        </w:rPr>
      </w:pPr>
      <w:r w:rsidRPr="002D6FC6">
        <w:rPr>
          <w:lang w:val="fr-CH"/>
        </w:rPr>
        <w:t>TWA</w:t>
      </w:r>
      <w:r w:rsidR="008E4A6E">
        <w:rPr>
          <w:lang w:val="fr-CH"/>
        </w:rPr>
        <w:t> :</w:t>
      </w:r>
      <w:r w:rsidRPr="002D6FC6">
        <w:rPr>
          <w:lang w:val="fr-CH"/>
        </w:rPr>
        <w:tab/>
        <w:t>Groupe de travail technique sur les plantes agricoles</w:t>
      </w:r>
    </w:p>
    <w:p w14:paraId="3940A3B4" w14:textId="0F286003" w:rsidR="008422AD" w:rsidRPr="002D6FC6" w:rsidRDefault="008422AD" w:rsidP="008422AD">
      <w:pPr>
        <w:ind w:left="1701" w:hanging="1134"/>
        <w:rPr>
          <w:lang w:val="fr-CH"/>
        </w:rPr>
      </w:pPr>
      <w:r w:rsidRPr="002D6FC6">
        <w:rPr>
          <w:lang w:val="fr-CH"/>
        </w:rPr>
        <w:t>TWC</w:t>
      </w:r>
      <w:r w:rsidR="008E4A6E">
        <w:rPr>
          <w:lang w:val="fr-CH"/>
        </w:rPr>
        <w:t> :</w:t>
      </w:r>
      <w:r w:rsidR="00A734C0" w:rsidRPr="002D6FC6">
        <w:rPr>
          <w:lang w:val="fr-CH"/>
        </w:rPr>
        <w:tab/>
      </w:r>
      <w:r w:rsidRPr="002D6FC6">
        <w:rPr>
          <w:lang w:val="fr-CH"/>
        </w:rPr>
        <w:t>Groupe de travail technique sur les systèmes d</w:t>
      </w:r>
      <w:r w:rsidR="008E4A6E">
        <w:rPr>
          <w:lang w:val="fr-CH"/>
        </w:rPr>
        <w:t>’</w:t>
      </w:r>
      <w:r w:rsidRPr="002D6FC6">
        <w:rPr>
          <w:lang w:val="fr-CH"/>
        </w:rPr>
        <w:t>automatisation et les programmes d</w:t>
      </w:r>
      <w:r w:rsidR="008E4A6E">
        <w:rPr>
          <w:lang w:val="fr-CH"/>
        </w:rPr>
        <w:t>’</w:t>
      </w:r>
      <w:r w:rsidRPr="002D6FC6">
        <w:rPr>
          <w:lang w:val="fr-CH"/>
        </w:rPr>
        <w:t>ordinateur</w:t>
      </w:r>
    </w:p>
    <w:p w14:paraId="7FD4FED6" w14:textId="64B65D33" w:rsidR="007B1BA8" w:rsidRPr="002D6FC6" w:rsidRDefault="008422AD" w:rsidP="008422AD">
      <w:pPr>
        <w:ind w:left="1701" w:hanging="1134"/>
        <w:rPr>
          <w:lang w:val="fr-CH"/>
        </w:rPr>
      </w:pPr>
      <w:r w:rsidRPr="002D6FC6">
        <w:rPr>
          <w:lang w:val="fr-CH"/>
        </w:rPr>
        <w:t>TWF</w:t>
      </w:r>
      <w:r w:rsidR="008E4A6E">
        <w:rPr>
          <w:lang w:val="fr-CH"/>
        </w:rPr>
        <w:t> :</w:t>
      </w:r>
      <w:r w:rsidRPr="002D6FC6">
        <w:rPr>
          <w:lang w:val="fr-CH"/>
        </w:rPr>
        <w:tab/>
        <w:t>Groupe de travail technique sur les plantes fruitières</w:t>
      </w:r>
    </w:p>
    <w:p w14:paraId="12808B7B" w14:textId="38A28F62" w:rsidR="008E4A6E" w:rsidRDefault="007B1BA8" w:rsidP="008422AD">
      <w:pPr>
        <w:ind w:left="1701" w:hanging="1134"/>
        <w:rPr>
          <w:lang w:val="fr-CH"/>
        </w:rPr>
      </w:pPr>
      <w:r w:rsidRPr="002D6FC6">
        <w:rPr>
          <w:lang w:val="fr-CH"/>
        </w:rPr>
        <w:t>TWM</w:t>
      </w:r>
      <w:r w:rsidR="008E4A6E">
        <w:rPr>
          <w:lang w:val="fr-CH"/>
        </w:rPr>
        <w:t> :</w:t>
      </w:r>
      <w:r w:rsidRPr="002D6FC6">
        <w:rPr>
          <w:lang w:val="fr-CH"/>
        </w:rPr>
        <w:tab/>
        <w:t>Groupe de travail technique sur les méthodes et techniques d</w:t>
      </w:r>
      <w:r w:rsidR="008E4A6E">
        <w:rPr>
          <w:lang w:val="fr-CH"/>
        </w:rPr>
        <w:t>’</w:t>
      </w:r>
      <w:r w:rsidRPr="002D6FC6">
        <w:rPr>
          <w:lang w:val="fr-CH"/>
        </w:rPr>
        <w:t>essai</w:t>
      </w:r>
    </w:p>
    <w:p w14:paraId="3A198F9D" w14:textId="79D3F430" w:rsidR="008E4A6E" w:rsidRDefault="008422AD" w:rsidP="008422AD">
      <w:pPr>
        <w:ind w:left="1701" w:hanging="1134"/>
        <w:rPr>
          <w:lang w:val="fr-CH"/>
        </w:rPr>
      </w:pPr>
      <w:r w:rsidRPr="002D6FC6">
        <w:rPr>
          <w:lang w:val="fr-CH"/>
        </w:rPr>
        <w:t>TWO</w:t>
      </w:r>
      <w:r w:rsidR="008E4A6E">
        <w:rPr>
          <w:lang w:val="fr-CH"/>
        </w:rPr>
        <w:t> :</w:t>
      </w:r>
      <w:r w:rsidRPr="002D6FC6">
        <w:rPr>
          <w:lang w:val="fr-CH"/>
        </w:rPr>
        <w:tab/>
        <w:t>Groupe de travail technique sur les plantes ornementales et les arbres forestiers</w:t>
      </w:r>
    </w:p>
    <w:p w14:paraId="02ABA7AD" w14:textId="5C99B33A" w:rsidR="008422AD" w:rsidRPr="002D6FC6" w:rsidRDefault="008422AD" w:rsidP="008422AD">
      <w:pPr>
        <w:ind w:left="1701" w:hanging="1134"/>
        <w:rPr>
          <w:color w:val="000000"/>
          <w:lang w:val="fr-CH"/>
        </w:rPr>
      </w:pPr>
      <w:r w:rsidRPr="002D6FC6">
        <w:rPr>
          <w:color w:val="000000"/>
          <w:lang w:val="fr-CH"/>
        </w:rPr>
        <w:t>TWP</w:t>
      </w:r>
      <w:r w:rsidR="008E4A6E">
        <w:rPr>
          <w:color w:val="000000"/>
          <w:lang w:val="fr-CH"/>
        </w:rPr>
        <w:t> :</w:t>
      </w:r>
      <w:r w:rsidRPr="002D6FC6">
        <w:rPr>
          <w:color w:val="000000"/>
          <w:lang w:val="fr-CH"/>
        </w:rPr>
        <w:tab/>
        <w:t>Groupe(s) de travail technique(s)</w:t>
      </w:r>
    </w:p>
    <w:p w14:paraId="0E4C5990" w14:textId="04882EA9" w:rsidR="008422AD" w:rsidRPr="002D6FC6" w:rsidRDefault="008422AD" w:rsidP="008422AD">
      <w:pPr>
        <w:ind w:left="1701" w:hanging="1134"/>
        <w:rPr>
          <w:lang w:val="fr-CH"/>
        </w:rPr>
      </w:pPr>
      <w:r w:rsidRPr="002D6FC6">
        <w:rPr>
          <w:lang w:val="fr-CH"/>
        </w:rPr>
        <w:t>TWV</w:t>
      </w:r>
      <w:r w:rsidR="008E4A6E">
        <w:rPr>
          <w:lang w:val="fr-CH"/>
        </w:rPr>
        <w:t> :</w:t>
      </w:r>
      <w:r w:rsidRPr="002D6FC6">
        <w:rPr>
          <w:lang w:val="fr-CH"/>
        </w:rPr>
        <w:tab/>
        <w:t>Groupe de travail technique sur les plantes potagères</w:t>
      </w:r>
    </w:p>
    <w:p w14:paraId="2214A842" w14:textId="77777777" w:rsidR="008422AD" w:rsidRPr="002D6FC6" w:rsidRDefault="008422AD" w:rsidP="008422AD">
      <w:pPr>
        <w:rPr>
          <w:lang w:val="fr-CH"/>
        </w:rPr>
      </w:pPr>
    </w:p>
    <w:p w14:paraId="0D87A646" w14:textId="703C81A5" w:rsidR="00EF757F" w:rsidRPr="002D6FC6" w:rsidRDefault="00EF757F" w:rsidP="005C548D">
      <w:pPr>
        <w:pStyle w:val="Heading1"/>
        <w:rPr>
          <w:lang w:val="fr-CH"/>
        </w:rPr>
      </w:pPr>
      <w:bookmarkStart w:id="7" w:name="_Toc52799199"/>
      <w:bookmarkStart w:id="8" w:name="_Toc52877567"/>
      <w:bookmarkStart w:id="9" w:name="_Toc84413227"/>
      <w:bookmarkStart w:id="10" w:name="_Toc117072742"/>
      <w:bookmarkEnd w:id="4"/>
      <w:bookmarkEnd w:id="5"/>
      <w:r w:rsidRPr="002D6FC6">
        <w:rPr>
          <w:lang w:val="fr-CH"/>
        </w:rPr>
        <w:lastRenderedPageBreak/>
        <w:t>F</w:t>
      </w:r>
      <w:r w:rsidR="00ED3D7A">
        <w:rPr>
          <w:lang w:val="fr-CH"/>
        </w:rPr>
        <w:t xml:space="preserve">aits nouveaux survenus au sein des groupes de travail techniques à leurs sessions de </w:t>
      </w:r>
      <w:r w:rsidRPr="002D6FC6">
        <w:rPr>
          <w:lang w:val="fr-CH"/>
        </w:rPr>
        <w:t>2022</w:t>
      </w:r>
      <w:bookmarkEnd w:id="7"/>
      <w:bookmarkEnd w:id="8"/>
      <w:bookmarkEnd w:id="9"/>
      <w:bookmarkEnd w:id="10"/>
    </w:p>
    <w:p w14:paraId="28028B0C" w14:textId="77777777" w:rsidR="00E217B5" w:rsidRPr="002D6FC6" w:rsidRDefault="00E217B5" w:rsidP="005C548D">
      <w:pPr>
        <w:keepNext/>
        <w:rPr>
          <w:lang w:val="fr-CH"/>
        </w:rPr>
      </w:pPr>
    </w:p>
    <w:p w14:paraId="049D0702" w14:textId="25526924" w:rsidR="00BE7EB4" w:rsidRPr="002D6FC6" w:rsidRDefault="00BE7EB4" w:rsidP="005C548D">
      <w:pPr>
        <w:keepNext/>
        <w:keepLines/>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 xml:space="preserve">Lors de leurs sessions </w:t>
      </w:r>
      <w:r w:rsidR="008E4A6E" w:rsidRPr="002D6FC6">
        <w:rPr>
          <w:lang w:val="fr-CH"/>
        </w:rPr>
        <w:t>de</w:t>
      </w:r>
      <w:r w:rsidR="008E4A6E">
        <w:rPr>
          <w:lang w:val="fr-CH"/>
        </w:rPr>
        <w:t> </w:t>
      </w:r>
      <w:r w:rsidR="008E4A6E" w:rsidRPr="002D6FC6">
        <w:rPr>
          <w:lang w:val="fr-CH"/>
        </w:rPr>
        <w:t>2022</w:t>
      </w:r>
      <w:r w:rsidRPr="002D6FC6">
        <w:rPr>
          <w:lang w:val="fr-CH"/>
        </w:rPr>
        <w:t>,</w:t>
      </w:r>
      <w:r w:rsidR="008E4A6E" w:rsidRPr="002D6FC6">
        <w:rPr>
          <w:lang w:val="fr-CH"/>
        </w:rPr>
        <w:t xml:space="preserve"> le</w:t>
      </w:r>
      <w:r w:rsidR="008E4A6E">
        <w:rPr>
          <w:lang w:val="fr-CH"/>
        </w:rPr>
        <w:t> </w:t>
      </w:r>
      <w:r w:rsidR="008E4A6E" w:rsidRPr="002D6FC6">
        <w:rPr>
          <w:lang w:val="fr-CH"/>
        </w:rPr>
        <w:t>TWV</w:t>
      </w:r>
      <w:r w:rsidRPr="002D6FC6">
        <w:rPr>
          <w:vertAlign w:val="superscript"/>
          <w:lang w:val="fr-CH"/>
        </w:rPr>
        <w:footnoteReference w:id="2"/>
      </w:r>
      <w:r w:rsidRPr="002D6FC6">
        <w:rPr>
          <w:lang w:val="fr-CH"/>
        </w:rPr>
        <w:t>,</w:t>
      </w:r>
      <w:r w:rsidR="008E4A6E" w:rsidRPr="002D6FC6">
        <w:rPr>
          <w:lang w:val="fr-CH"/>
        </w:rPr>
        <w:t xml:space="preserve"> le</w:t>
      </w:r>
      <w:r w:rsidR="008E4A6E">
        <w:rPr>
          <w:lang w:val="fr-CH"/>
        </w:rPr>
        <w:t> </w:t>
      </w:r>
      <w:r w:rsidR="008E4A6E" w:rsidRPr="002D6FC6">
        <w:rPr>
          <w:lang w:val="fr-CH"/>
        </w:rPr>
        <w:t>TWA</w:t>
      </w:r>
      <w:r w:rsidRPr="002D6FC6">
        <w:rPr>
          <w:vertAlign w:val="superscript"/>
          <w:lang w:val="fr-CH"/>
        </w:rPr>
        <w:footnoteReference w:id="3"/>
      </w:r>
      <w:r w:rsidRPr="002D6FC6">
        <w:rPr>
          <w:lang w:val="fr-CH"/>
        </w:rPr>
        <w:t>,</w:t>
      </w:r>
      <w:r w:rsidR="008E4A6E" w:rsidRPr="002D6FC6">
        <w:rPr>
          <w:lang w:val="fr-CH"/>
        </w:rPr>
        <w:t xml:space="preserve"> le</w:t>
      </w:r>
      <w:r w:rsidR="008E4A6E">
        <w:rPr>
          <w:lang w:val="fr-CH"/>
        </w:rPr>
        <w:t> </w:t>
      </w:r>
      <w:r w:rsidR="008E4A6E" w:rsidRPr="002D6FC6">
        <w:rPr>
          <w:lang w:val="fr-CH"/>
        </w:rPr>
        <w:t>TWO</w:t>
      </w:r>
      <w:r w:rsidRPr="002D6FC6">
        <w:rPr>
          <w:vertAlign w:val="superscript"/>
          <w:lang w:val="fr-CH"/>
        </w:rPr>
        <w:footnoteReference w:id="4"/>
      </w:r>
      <w:r w:rsidRPr="002D6FC6">
        <w:rPr>
          <w:lang w:val="fr-CH"/>
        </w:rPr>
        <w:t>,</w:t>
      </w:r>
      <w:r w:rsidR="008E4A6E" w:rsidRPr="002D6FC6">
        <w:rPr>
          <w:lang w:val="fr-CH"/>
        </w:rPr>
        <w:t xml:space="preserve"> le</w:t>
      </w:r>
      <w:r w:rsidR="008E4A6E">
        <w:rPr>
          <w:lang w:val="fr-CH"/>
        </w:rPr>
        <w:t> </w:t>
      </w:r>
      <w:r w:rsidR="008E4A6E" w:rsidRPr="002D6FC6">
        <w:rPr>
          <w:lang w:val="fr-CH"/>
        </w:rPr>
        <w:t>TWF</w:t>
      </w:r>
      <w:r w:rsidRPr="002D6FC6">
        <w:rPr>
          <w:vertAlign w:val="superscript"/>
          <w:lang w:val="fr-CH"/>
        </w:rPr>
        <w:footnoteReference w:id="5"/>
      </w:r>
      <w:r w:rsidRPr="002D6FC6">
        <w:rPr>
          <w:lang w:val="fr-CH"/>
        </w:rPr>
        <w:t xml:space="preserve"> et</w:t>
      </w:r>
      <w:r w:rsidR="008E4A6E" w:rsidRPr="002D6FC6">
        <w:rPr>
          <w:lang w:val="fr-CH"/>
        </w:rPr>
        <w:t xml:space="preserve"> le</w:t>
      </w:r>
      <w:r w:rsidR="008E4A6E">
        <w:rPr>
          <w:lang w:val="fr-CH"/>
        </w:rPr>
        <w:t> </w:t>
      </w:r>
      <w:r w:rsidR="008E4A6E" w:rsidRPr="002D6FC6">
        <w:rPr>
          <w:snapToGrid w:val="0"/>
          <w:lang w:val="fr-CH"/>
        </w:rPr>
        <w:t>TWM</w:t>
      </w:r>
      <w:r w:rsidRPr="002D6FC6">
        <w:rPr>
          <w:snapToGrid w:val="0"/>
          <w:vertAlign w:val="superscript"/>
          <w:lang w:val="fr-CH"/>
        </w:rPr>
        <w:footnoteReference w:id="6"/>
      </w:r>
      <w:r w:rsidRPr="002D6FC6">
        <w:rPr>
          <w:lang w:val="fr-CH"/>
        </w:rPr>
        <w:t xml:space="preserve"> ont examiné le document TWP/6/7 “Techniques moléculaires” (voir les documents TWV/56/22 “Rapport”, paragraphes 55 à 62; </w:t>
      </w:r>
      <w:r w:rsidR="00F44F14">
        <w:rPr>
          <w:lang w:val="fr-CH"/>
        </w:rPr>
        <w:t xml:space="preserve"> </w:t>
      </w:r>
      <w:r w:rsidRPr="002D6FC6">
        <w:rPr>
          <w:lang w:val="fr-CH"/>
        </w:rPr>
        <w:t xml:space="preserve">TWA/51/11 “Rapport”, </w:t>
      </w:r>
      <w:r w:rsidR="008E4A6E" w:rsidRPr="002D6FC6">
        <w:rPr>
          <w:lang w:val="fr-CH"/>
        </w:rPr>
        <w:t>paragraphes</w:t>
      </w:r>
      <w:r w:rsidR="008E4A6E">
        <w:rPr>
          <w:lang w:val="fr-CH"/>
        </w:rPr>
        <w:t> </w:t>
      </w:r>
      <w:r w:rsidR="008E4A6E" w:rsidRPr="002D6FC6">
        <w:rPr>
          <w:lang w:val="fr-CH"/>
        </w:rPr>
        <w:t>6</w:t>
      </w:r>
      <w:r w:rsidRPr="002D6FC6">
        <w:rPr>
          <w:lang w:val="fr-CH"/>
        </w:rPr>
        <w:t>8 à 79</w:t>
      </w:r>
      <w:r w:rsidR="00F44F14">
        <w:rPr>
          <w:lang w:val="fr-CH"/>
        </w:rPr>
        <w:t xml:space="preserve">;  </w:t>
      </w:r>
      <w:r w:rsidRPr="002D6FC6">
        <w:rPr>
          <w:lang w:val="fr-CH"/>
        </w:rPr>
        <w:t xml:space="preserve">TWO/54/6 “Rapport”, </w:t>
      </w:r>
      <w:r w:rsidR="008E4A6E" w:rsidRPr="002D6FC6">
        <w:rPr>
          <w:lang w:val="fr-CH"/>
        </w:rPr>
        <w:t>paragraphes</w:t>
      </w:r>
      <w:r w:rsidR="008E4A6E">
        <w:rPr>
          <w:lang w:val="fr-CH"/>
        </w:rPr>
        <w:t> </w:t>
      </w:r>
      <w:r w:rsidR="008E4A6E" w:rsidRPr="002D6FC6">
        <w:rPr>
          <w:lang w:val="fr-CH"/>
        </w:rPr>
        <w:t>6</w:t>
      </w:r>
      <w:r w:rsidRPr="002D6FC6">
        <w:rPr>
          <w:lang w:val="fr-CH"/>
        </w:rPr>
        <w:t>4 à 73</w:t>
      </w:r>
      <w:r w:rsidR="00F44F14">
        <w:rPr>
          <w:lang w:val="fr-CH"/>
        </w:rPr>
        <w:t xml:space="preserve">;  </w:t>
      </w:r>
      <w:r w:rsidRPr="002D6FC6">
        <w:rPr>
          <w:lang w:val="fr-CH"/>
        </w:rPr>
        <w:t xml:space="preserve">TWF/53/14 “Rapport”, </w:t>
      </w:r>
      <w:r w:rsidR="008E4A6E" w:rsidRPr="002D6FC6">
        <w:rPr>
          <w:lang w:val="fr-CH"/>
        </w:rPr>
        <w:t>paragraphes</w:t>
      </w:r>
      <w:r w:rsidR="008E4A6E">
        <w:rPr>
          <w:lang w:val="fr-CH"/>
        </w:rPr>
        <w:t> </w:t>
      </w:r>
      <w:r w:rsidR="008E4A6E" w:rsidRPr="002D6FC6">
        <w:rPr>
          <w:lang w:val="fr-CH"/>
        </w:rPr>
        <w:t>7</w:t>
      </w:r>
      <w:r w:rsidRPr="002D6FC6">
        <w:rPr>
          <w:lang w:val="fr-CH"/>
        </w:rPr>
        <w:t>9 à 87</w:t>
      </w:r>
      <w:r w:rsidR="00F44F14">
        <w:rPr>
          <w:lang w:val="fr-CH"/>
        </w:rPr>
        <w:t xml:space="preserve">;  </w:t>
      </w:r>
      <w:r w:rsidRPr="002D6FC6">
        <w:rPr>
          <w:lang w:val="fr-CH"/>
        </w:rPr>
        <w:t xml:space="preserve">et TWM/1/26 “Rapport”, </w:t>
      </w:r>
      <w:r w:rsidR="008E4A6E" w:rsidRPr="002D6FC6">
        <w:rPr>
          <w:lang w:val="fr-CH"/>
        </w:rPr>
        <w:t>paragraphes</w:t>
      </w:r>
      <w:r w:rsidR="008E4A6E">
        <w:rPr>
          <w:lang w:val="fr-CH"/>
        </w:rPr>
        <w:t> </w:t>
      </w:r>
      <w:r w:rsidR="008E4A6E" w:rsidRPr="002D6FC6">
        <w:rPr>
          <w:lang w:val="fr-CH"/>
        </w:rPr>
        <w:t>7</w:t>
      </w:r>
      <w:r w:rsidRPr="002D6FC6">
        <w:rPr>
          <w:lang w:val="fr-CH"/>
        </w:rPr>
        <w:t>3 à 80).</w:t>
      </w:r>
    </w:p>
    <w:p w14:paraId="17227B52" w14:textId="77777777" w:rsidR="00374CE4" w:rsidRPr="002D6FC6" w:rsidRDefault="00374CE4" w:rsidP="00EF757F">
      <w:pPr>
        <w:rPr>
          <w:highlight w:val="cyan"/>
          <w:lang w:val="fr-CH"/>
        </w:rPr>
      </w:pPr>
    </w:p>
    <w:p w14:paraId="20E1B6FB" w14:textId="64F9AEA5" w:rsidR="00374CE4" w:rsidRPr="002D6FC6" w:rsidRDefault="00374CE4" w:rsidP="005C548D">
      <w:pPr>
        <w:pStyle w:val="Heading2"/>
        <w:rPr>
          <w:lang w:val="fr-CH"/>
        </w:rPr>
      </w:pPr>
      <w:bookmarkStart w:id="11" w:name="_Toc117072743"/>
      <w:r w:rsidRPr="002D6FC6">
        <w:rPr>
          <w:lang w:val="fr-CH"/>
        </w:rPr>
        <w:t>Exposé sur l</w:t>
      </w:r>
      <w:r w:rsidR="008E4A6E">
        <w:rPr>
          <w:lang w:val="fr-CH"/>
        </w:rPr>
        <w:t>’</w:t>
      </w:r>
      <w:r w:rsidRPr="002D6FC6">
        <w:rPr>
          <w:lang w:val="fr-CH"/>
        </w:rPr>
        <w:t>utilisation des techniques moléculaires dans l</w:t>
      </w:r>
      <w:r w:rsidR="008E4A6E">
        <w:rPr>
          <w:lang w:val="fr-CH"/>
        </w:rPr>
        <w:t>’</w:t>
      </w:r>
      <w:r w:rsidRPr="002D6FC6">
        <w:rPr>
          <w:lang w:val="fr-CH"/>
        </w:rPr>
        <w:t>examen DHS</w:t>
      </w:r>
      <w:bookmarkEnd w:id="11"/>
    </w:p>
    <w:p w14:paraId="0E358BE2" w14:textId="77777777" w:rsidR="00374CE4" w:rsidRPr="002D6FC6" w:rsidRDefault="00374CE4" w:rsidP="00374CE4">
      <w:pPr>
        <w:rPr>
          <w:lang w:val="fr-CH"/>
        </w:rPr>
      </w:pPr>
    </w:p>
    <w:p w14:paraId="374428A1" w14:textId="39FA2B8F" w:rsidR="00374CE4" w:rsidRPr="002D6FC6" w:rsidRDefault="00374CE4" w:rsidP="00374CE4">
      <w:pPr>
        <w:rPr>
          <w:rFonts w:eastAsia="Times New Roman"/>
          <w:snapToGrid w:val="0"/>
          <w:lang w:val="fr-CH"/>
        </w:rPr>
      </w:pPr>
      <w:r w:rsidRPr="002D6FC6">
        <w:rPr>
          <w:rFonts w:eastAsia="Times New Roman"/>
          <w:lang w:val="fr-CH"/>
        </w:rPr>
        <w:fldChar w:fldCharType="begin"/>
      </w:r>
      <w:r w:rsidRPr="002D6FC6">
        <w:rPr>
          <w:rFonts w:eastAsia="Times New Roman"/>
          <w:lang w:val="fr-CH"/>
        </w:rPr>
        <w:instrText xml:space="preserve"> AUTONUM  </w:instrText>
      </w:r>
      <w:r w:rsidRPr="002D6FC6">
        <w:rPr>
          <w:rFonts w:eastAsia="Times New Roman"/>
          <w:lang w:val="fr-CH"/>
        </w:rPr>
        <w:fldChar w:fldCharType="end"/>
      </w:r>
      <w:r w:rsidRPr="002D6FC6">
        <w:rPr>
          <w:rFonts w:eastAsia="Times New Roman"/>
          <w:lang w:val="fr-CH"/>
        </w:rPr>
        <w:tab/>
        <w:t xml:space="preserve">LE TWV a assisté à un exposé intitulé </w:t>
      </w:r>
      <w:r w:rsidRPr="002D6FC6">
        <w:rPr>
          <w:rFonts w:eastAsia="Times New Roman"/>
          <w:snapToGrid w:val="0"/>
          <w:lang w:val="fr-CH"/>
        </w:rPr>
        <w:t xml:space="preserve">“International </w:t>
      </w:r>
      <w:proofErr w:type="spellStart"/>
      <w:r w:rsidRPr="002D6FC6">
        <w:rPr>
          <w:rFonts w:eastAsia="Times New Roman"/>
          <w:snapToGrid w:val="0"/>
          <w:lang w:val="fr-CH"/>
        </w:rPr>
        <w:t>harmonization</w:t>
      </w:r>
      <w:proofErr w:type="spellEnd"/>
      <w:r w:rsidRPr="002D6FC6">
        <w:rPr>
          <w:rFonts w:eastAsia="Times New Roman"/>
          <w:snapToGrid w:val="0"/>
          <w:lang w:val="fr-CH"/>
        </w:rPr>
        <w:t xml:space="preserve"> and validation of a SNP set for the management of </w:t>
      </w:r>
      <w:proofErr w:type="spellStart"/>
      <w:r w:rsidRPr="002D6FC6">
        <w:rPr>
          <w:rFonts w:eastAsia="Times New Roman"/>
          <w:snapToGrid w:val="0"/>
          <w:lang w:val="fr-CH"/>
        </w:rPr>
        <w:t>tomato</w:t>
      </w:r>
      <w:proofErr w:type="spellEnd"/>
      <w:r w:rsidRPr="002D6FC6">
        <w:rPr>
          <w:rFonts w:eastAsia="Times New Roman"/>
          <w:snapToGrid w:val="0"/>
          <w:lang w:val="fr-CH"/>
        </w:rPr>
        <w:t xml:space="preserve"> </w:t>
      </w:r>
      <w:proofErr w:type="spellStart"/>
      <w:r w:rsidRPr="002D6FC6">
        <w:rPr>
          <w:rFonts w:eastAsia="Times New Roman"/>
          <w:snapToGrid w:val="0"/>
          <w:lang w:val="fr-CH"/>
        </w:rPr>
        <w:t>reference</w:t>
      </w:r>
      <w:proofErr w:type="spellEnd"/>
      <w:r w:rsidRPr="002D6FC6">
        <w:rPr>
          <w:rFonts w:eastAsia="Times New Roman"/>
          <w:snapToGrid w:val="0"/>
          <w:lang w:val="fr-CH"/>
        </w:rPr>
        <w:t xml:space="preserve"> collection” (Harmonisation et validation internationales d</w:t>
      </w:r>
      <w:r w:rsidR="008E4A6E">
        <w:rPr>
          <w:rFonts w:eastAsia="Times New Roman"/>
          <w:snapToGrid w:val="0"/>
          <w:lang w:val="fr-CH"/>
        </w:rPr>
        <w:t>’</w:t>
      </w:r>
      <w:r w:rsidRPr="002D6FC6">
        <w:rPr>
          <w:rFonts w:eastAsia="Times New Roman"/>
          <w:snapToGrid w:val="0"/>
          <w:lang w:val="fr-CH"/>
        </w:rPr>
        <w:t>un ensemble de marqueurs SNP pour la gestion de la collection de référence pour la tomate) présenté par un expert des Pays</w:t>
      </w:r>
      <w:r w:rsidR="00ED3D7A">
        <w:rPr>
          <w:rFonts w:eastAsia="Times New Roman"/>
          <w:snapToGrid w:val="0"/>
          <w:lang w:val="fr-CH"/>
        </w:rPr>
        <w:noBreakHyphen/>
      </w:r>
      <w:r w:rsidRPr="002D6FC6">
        <w:rPr>
          <w:rFonts w:eastAsia="Times New Roman"/>
          <w:snapToGrid w:val="0"/>
          <w:lang w:val="fr-CH"/>
        </w:rPr>
        <w:t>B</w:t>
      </w:r>
      <w:r w:rsidR="00F80F77" w:rsidRPr="002D6FC6">
        <w:rPr>
          <w:rFonts w:eastAsia="Times New Roman"/>
          <w:snapToGrid w:val="0"/>
          <w:lang w:val="fr-CH"/>
        </w:rPr>
        <w:t>as</w:t>
      </w:r>
      <w:r w:rsidR="00F80F77">
        <w:rPr>
          <w:rFonts w:eastAsia="Times New Roman"/>
          <w:snapToGrid w:val="0"/>
          <w:lang w:val="fr-CH"/>
        </w:rPr>
        <w:t xml:space="preserve">.  </w:t>
      </w:r>
      <w:r w:rsidR="00F80F77" w:rsidRPr="002D6FC6">
        <w:rPr>
          <w:rFonts w:eastAsia="Times New Roman"/>
          <w:snapToGrid w:val="0"/>
          <w:lang w:val="fr-CH"/>
        </w:rPr>
        <w:t>On</w:t>
      </w:r>
      <w:r w:rsidRPr="002D6FC6">
        <w:rPr>
          <w:rFonts w:eastAsia="Times New Roman"/>
          <w:snapToGrid w:val="0"/>
          <w:lang w:val="fr-CH"/>
        </w:rPr>
        <w:t xml:space="preserve"> trouvera une copie de cet exposé dans le document TWV/56/21.</w:t>
      </w:r>
    </w:p>
    <w:p w14:paraId="4CD785EC" w14:textId="77777777" w:rsidR="00374CE4" w:rsidRPr="002D6FC6" w:rsidRDefault="00374CE4" w:rsidP="00374CE4">
      <w:pPr>
        <w:rPr>
          <w:rFonts w:eastAsia="Times New Roman"/>
          <w:snapToGrid w:val="0"/>
          <w:lang w:val="fr-CH"/>
        </w:rPr>
      </w:pPr>
    </w:p>
    <w:p w14:paraId="03399BFC" w14:textId="00C2FBCA" w:rsidR="00374CE4" w:rsidRPr="002D6FC6" w:rsidRDefault="00374CE4" w:rsidP="00374CE4">
      <w:pPr>
        <w:rPr>
          <w:rFonts w:eastAsia="Times New Roman"/>
          <w:lang w:val="fr-CH"/>
        </w:rPr>
      </w:pPr>
      <w:r w:rsidRPr="002D6FC6">
        <w:rPr>
          <w:rFonts w:eastAsia="Times New Roman"/>
          <w:lang w:val="fr-CH"/>
        </w:rPr>
        <w:fldChar w:fldCharType="begin"/>
      </w:r>
      <w:r w:rsidRPr="002D6FC6">
        <w:rPr>
          <w:rFonts w:eastAsia="Times New Roman"/>
          <w:lang w:val="fr-CH"/>
        </w:rPr>
        <w:instrText xml:space="preserve"> AUTONUM  </w:instrText>
      </w:r>
      <w:r w:rsidRPr="002D6FC6">
        <w:rPr>
          <w:rFonts w:eastAsia="Times New Roman"/>
          <w:lang w:val="fr-CH"/>
        </w:rPr>
        <w:fldChar w:fldCharType="end"/>
      </w:r>
      <w:r w:rsidRPr="002D6FC6">
        <w:rPr>
          <w:rFonts w:eastAsia="Times New Roman"/>
          <w:lang w:val="fr-CH"/>
        </w:rPr>
        <w:tab/>
        <w:t>Le TWV a examiné la procédure d</w:t>
      </w:r>
      <w:r w:rsidR="008E4A6E">
        <w:rPr>
          <w:rFonts w:eastAsia="Times New Roman"/>
          <w:lang w:val="fr-CH"/>
        </w:rPr>
        <w:t>’</w:t>
      </w:r>
      <w:r w:rsidRPr="002D6FC6">
        <w:rPr>
          <w:rFonts w:eastAsia="Times New Roman"/>
          <w:lang w:val="fr-CH"/>
        </w:rPr>
        <w:t>autorisation, par les obtenteurs, de l</w:t>
      </w:r>
      <w:r w:rsidR="008E4A6E">
        <w:rPr>
          <w:rFonts w:eastAsia="Times New Roman"/>
          <w:lang w:val="fr-CH"/>
        </w:rPr>
        <w:t>’</w:t>
      </w:r>
      <w:r w:rsidRPr="002D6FC6">
        <w:rPr>
          <w:rFonts w:eastAsia="Times New Roman"/>
          <w:lang w:val="fr-CH"/>
        </w:rPr>
        <w:t>utilisation de variétés dans le cadre du projet et noté l</w:t>
      </w:r>
      <w:r w:rsidR="008E4A6E">
        <w:rPr>
          <w:rFonts w:eastAsia="Times New Roman"/>
          <w:lang w:val="fr-CH"/>
        </w:rPr>
        <w:t>’</w:t>
      </w:r>
      <w:r w:rsidRPr="002D6FC6">
        <w:rPr>
          <w:rFonts w:eastAsia="Times New Roman"/>
          <w:lang w:val="fr-CH"/>
        </w:rPr>
        <w:t>importance de l</w:t>
      </w:r>
      <w:r w:rsidR="008E4A6E">
        <w:rPr>
          <w:rFonts w:eastAsia="Times New Roman"/>
          <w:lang w:val="fr-CH"/>
        </w:rPr>
        <w:t>’</w:t>
      </w:r>
      <w:r w:rsidRPr="002D6FC6">
        <w:rPr>
          <w:rFonts w:eastAsia="Times New Roman"/>
          <w:lang w:val="fr-CH"/>
        </w:rPr>
        <w:t>accord établi afin de réglementer l</w:t>
      </w:r>
      <w:r w:rsidR="008E4A6E">
        <w:rPr>
          <w:rFonts w:eastAsia="Times New Roman"/>
          <w:lang w:val="fr-CH"/>
        </w:rPr>
        <w:t>’</w:t>
      </w:r>
      <w:r w:rsidRPr="002D6FC6">
        <w:rPr>
          <w:rFonts w:eastAsia="Times New Roman"/>
          <w:lang w:val="fr-CH"/>
        </w:rPr>
        <w:t>accès à l</w:t>
      </w:r>
      <w:r w:rsidR="008E4A6E">
        <w:rPr>
          <w:rFonts w:eastAsia="Times New Roman"/>
          <w:lang w:val="fr-CH"/>
        </w:rPr>
        <w:t>’</w:t>
      </w:r>
      <w:r w:rsidRPr="002D6FC6">
        <w:rPr>
          <w:rFonts w:eastAsia="Times New Roman"/>
          <w:lang w:val="fr-CH"/>
        </w:rPr>
        <w:t>information génétique des variétés et les aspects liés à la confidentialité.</w:t>
      </w:r>
    </w:p>
    <w:p w14:paraId="5421BF94" w14:textId="77777777" w:rsidR="00374CE4" w:rsidRPr="002D6FC6" w:rsidRDefault="00374CE4" w:rsidP="00EF757F">
      <w:pPr>
        <w:rPr>
          <w:lang w:val="fr-CH"/>
        </w:rPr>
      </w:pPr>
    </w:p>
    <w:p w14:paraId="2DBF70FA" w14:textId="4AEAD399" w:rsidR="00374CE4" w:rsidRPr="002D6FC6" w:rsidRDefault="00374CE4" w:rsidP="00374CE4">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 xml:space="preserve">Le TWA a assisté à un exposé intitulé “Use of </w:t>
      </w:r>
      <w:proofErr w:type="spellStart"/>
      <w:r w:rsidRPr="002D6FC6">
        <w:rPr>
          <w:lang w:val="fr-CH"/>
        </w:rPr>
        <w:t>molecular</w:t>
      </w:r>
      <w:proofErr w:type="spellEnd"/>
      <w:r w:rsidRPr="002D6FC6">
        <w:rPr>
          <w:lang w:val="fr-CH"/>
        </w:rPr>
        <w:t xml:space="preserve"> techniques in DUS </w:t>
      </w:r>
      <w:proofErr w:type="spellStart"/>
      <w:r w:rsidRPr="002D6FC6">
        <w:rPr>
          <w:lang w:val="fr-CH"/>
        </w:rPr>
        <w:t>examination</w:t>
      </w:r>
      <w:proofErr w:type="spellEnd"/>
      <w:r w:rsidRPr="002D6FC6">
        <w:rPr>
          <w:lang w:val="fr-CH"/>
        </w:rPr>
        <w:t xml:space="preserve">: Report </w:t>
      </w:r>
      <w:proofErr w:type="spellStart"/>
      <w:r w:rsidRPr="002D6FC6">
        <w:rPr>
          <w:lang w:val="fr-CH"/>
        </w:rPr>
        <w:t>from</w:t>
      </w:r>
      <w:proofErr w:type="spellEnd"/>
      <w:r w:rsidRPr="002D6FC6">
        <w:rPr>
          <w:lang w:val="fr-CH"/>
        </w:rPr>
        <w:t xml:space="preserve"> Argentina” (Utilisation des techniques moléculaires dans l</w:t>
      </w:r>
      <w:r w:rsidR="008E4A6E">
        <w:rPr>
          <w:lang w:val="fr-CH"/>
        </w:rPr>
        <w:t>’</w:t>
      </w:r>
      <w:r w:rsidRPr="002D6FC6">
        <w:rPr>
          <w:lang w:val="fr-CH"/>
        </w:rPr>
        <w:t>examen</w:t>
      </w:r>
      <w:r w:rsidR="00A43950">
        <w:rPr>
          <w:lang w:val="fr-CH"/>
        </w:rPr>
        <w:t> </w:t>
      </w:r>
      <w:r w:rsidRPr="002D6FC6">
        <w:rPr>
          <w:lang w:val="fr-CH"/>
        </w:rPr>
        <w:t>DHS</w:t>
      </w:r>
      <w:r w:rsidR="008E4A6E">
        <w:rPr>
          <w:lang w:val="fr-CH"/>
        </w:rPr>
        <w:t> :</w:t>
      </w:r>
      <w:r w:rsidRPr="002D6FC6">
        <w:rPr>
          <w:lang w:val="fr-CH"/>
        </w:rPr>
        <w:t xml:space="preserve"> rapport de l</w:t>
      </w:r>
      <w:r w:rsidR="008E4A6E">
        <w:rPr>
          <w:lang w:val="fr-CH"/>
        </w:rPr>
        <w:t>’</w:t>
      </w:r>
      <w:r w:rsidRPr="002D6FC6">
        <w:rPr>
          <w:lang w:val="fr-CH"/>
        </w:rPr>
        <w:t>Argentine) présenté par un expert de l</w:t>
      </w:r>
      <w:r w:rsidR="008E4A6E">
        <w:rPr>
          <w:lang w:val="fr-CH"/>
        </w:rPr>
        <w:t>’</w:t>
      </w:r>
      <w:r w:rsidRPr="002D6FC6">
        <w:rPr>
          <w:lang w:val="fr-CH"/>
        </w:rPr>
        <w:t>Argenti</w:t>
      </w:r>
      <w:r w:rsidR="00F80F77" w:rsidRPr="002D6FC6">
        <w:rPr>
          <w:lang w:val="fr-CH"/>
        </w:rPr>
        <w:t>ne</w:t>
      </w:r>
      <w:r w:rsidR="00F80F77">
        <w:rPr>
          <w:lang w:val="fr-CH"/>
        </w:rPr>
        <w:t xml:space="preserve">.  </w:t>
      </w:r>
      <w:r w:rsidR="00F80F77" w:rsidRPr="002D6FC6">
        <w:rPr>
          <w:lang w:val="fr-CH"/>
        </w:rPr>
        <w:t>On</w:t>
      </w:r>
      <w:r w:rsidRPr="002D6FC6">
        <w:rPr>
          <w:lang w:val="fr-CH"/>
        </w:rPr>
        <w:t xml:space="preserve"> trouvera une copie de cet exposé dans le document TWA/51/4.</w:t>
      </w:r>
    </w:p>
    <w:p w14:paraId="245DF9FE" w14:textId="77777777" w:rsidR="00374CE4" w:rsidRPr="002D6FC6" w:rsidRDefault="00374CE4" w:rsidP="00374CE4">
      <w:pPr>
        <w:rPr>
          <w:lang w:val="fr-CH"/>
        </w:rPr>
      </w:pPr>
    </w:p>
    <w:p w14:paraId="444C5094" w14:textId="61861B90" w:rsidR="00374CE4" w:rsidRPr="002D6FC6" w:rsidRDefault="00374CE4" w:rsidP="00374CE4">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TWA a assisté à un exposé intitulé “</w:t>
      </w:r>
      <w:proofErr w:type="spellStart"/>
      <w:r w:rsidRPr="002D6FC6">
        <w:rPr>
          <w:lang w:val="fr-CH"/>
        </w:rPr>
        <w:t>Developing</w:t>
      </w:r>
      <w:proofErr w:type="spellEnd"/>
      <w:r w:rsidRPr="002D6FC6">
        <w:rPr>
          <w:lang w:val="fr-CH"/>
        </w:rPr>
        <w:t xml:space="preserve"> a </w:t>
      </w:r>
      <w:proofErr w:type="spellStart"/>
      <w:r w:rsidRPr="002D6FC6">
        <w:rPr>
          <w:lang w:val="fr-CH"/>
        </w:rPr>
        <w:t>strategy</w:t>
      </w:r>
      <w:proofErr w:type="spellEnd"/>
      <w:r w:rsidRPr="002D6FC6">
        <w:rPr>
          <w:lang w:val="fr-CH"/>
        </w:rPr>
        <w:t xml:space="preserve"> to </w:t>
      </w:r>
      <w:proofErr w:type="spellStart"/>
      <w:r w:rsidRPr="002D6FC6">
        <w:rPr>
          <w:lang w:val="fr-CH"/>
        </w:rPr>
        <w:t>apply</w:t>
      </w:r>
      <w:proofErr w:type="spellEnd"/>
      <w:r w:rsidRPr="002D6FC6">
        <w:rPr>
          <w:lang w:val="fr-CH"/>
        </w:rPr>
        <w:t xml:space="preserve"> SNP </w:t>
      </w:r>
      <w:proofErr w:type="spellStart"/>
      <w:r w:rsidRPr="002D6FC6">
        <w:rPr>
          <w:lang w:val="fr-CH"/>
        </w:rPr>
        <w:t>molecular</w:t>
      </w:r>
      <w:proofErr w:type="spellEnd"/>
      <w:r w:rsidRPr="002D6FC6">
        <w:rPr>
          <w:lang w:val="fr-CH"/>
        </w:rPr>
        <w:t xml:space="preserve"> markers in the </w:t>
      </w:r>
      <w:proofErr w:type="spellStart"/>
      <w:r w:rsidRPr="002D6FC6">
        <w:rPr>
          <w:lang w:val="fr-CH"/>
        </w:rPr>
        <w:t>framework</w:t>
      </w:r>
      <w:proofErr w:type="spellEnd"/>
      <w:r w:rsidRPr="002D6FC6">
        <w:rPr>
          <w:lang w:val="fr-CH"/>
        </w:rPr>
        <w:t xml:space="preserve"> of </w:t>
      </w:r>
      <w:proofErr w:type="spellStart"/>
      <w:r w:rsidRPr="002D6FC6">
        <w:rPr>
          <w:lang w:val="fr-CH"/>
        </w:rPr>
        <w:t>winter</w:t>
      </w:r>
      <w:proofErr w:type="spellEnd"/>
      <w:r w:rsidRPr="002D6FC6">
        <w:rPr>
          <w:lang w:val="fr-CH"/>
        </w:rPr>
        <w:t xml:space="preserve"> </w:t>
      </w:r>
      <w:proofErr w:type="spellStart"/>
      <w:r w:rsidRPr="002D6FC6">
        <w:rPr>
          <w:lang w:val="fr-CH"/>
        </w:rPr>
        <w:t>oilseed</w:t>
      </w:r>
      <w:proofErr w:type="spellEnd"/>
      <w:r w:rsidRPr="002D6FC6">
        <w:rPr>
          <w:lang w:val="fr-CH"/>
        </w:rPr>
        <w:t xml:space="preserve"> </w:t>
      </w:r>
      <w:proofErr w:type="spellStart"/>
      <w:r w:rsidRPr="002D6FC6">
        <w:rPr>
          <w:lang w:val="fr-CH"/>
        </w:rPr>
        <w:t>rape</w:t>
      </w:r>
      <w:proofErr w:type="spellEnd"/>
      <w:r w:rsidRPr="002D6FC6">
        <w:rPr>
          <w:lang w:val="fr-CH"/>
        </w:rPr>
        <w:t xml:space="preserve"> DUS </w:t>
      </w:r>
      <w:proofErr w:type="spellStart"/>
      <w:r w:rsidRPr="002D6FC6">
        <w:rPr>
          <w:lang w:val="fr-CH"/>
        </w:rPr>
        <w:t>testing</w:t>
      </w:r>
      <w:proofErr w:type="spellEnd"/>
      <w:r w:rsidRPr="002D6FC6">
        <w:rPr>
          <w:lang w:val="fr-CH"/>
        </w:rPr>
        <w:t>” (Élaboration d</w:t>
      </w:r>
      <w:r w:rsidR="008E4A6E">
        <w:rPr>
          <w:lang w:val="fr-CH"/>
        </w:rPr>
        <w:t>’</w:t>
      </w:r>
      <w:r w:rsidRPr="002D6FC6">
        <w:rPr>
          <w:lang w:val="fr-CH"/>
        </w:rPr>
        <w:t>une stratégie relative à l</w:t>
      </w:r>
      <w:r w:rsidR="008E4A6E">
        <w:rPr>
          <w:lang w:val="fr-CH"/>
        </w:rPr>
        <w:t>’</w:t>
      </w:r>
      <w:r w:rsidRPr="002D6FC6">
        <w:rPr>
          <w:lang w:val="fr-CH"/>
        </w:rPr>
        <w:t>application de marqueurs moléculaires de type SNP dans le cadre de l</w:t>
      </w:r>
      <w:r w:rsidR="008E4A6E">
        <w:rPr>
          <w:lang w:val="fr-CH"/>
        </w:rPr>
        <w:t>’</w:t>
      </w:r>
      <w:r w:rsidRPr="002D6FC6">
        <w:rPr>
          <w:lang w:val="fr-CH"/>
        </w:rPr>
        <w:t>examen</w:t>
      </w:r>
      <w:r w:rsidR="00A43950">
        <w:rPr>
          <w:lang w:val="fr-CH"/>
        </w:rPr>
        <w:t> </w:t>
      </w:r>
      <w:r w:rsidRPr="002D6FC6">
        <w:rPr>
          <w:lang w:val="fr-CH"/>
        </w:rPr>
        <w:t>DHS du colza oléagineux d</w:t>
      </w:r>
      <w:r w:rsidR="008E4A6E">
        <w:rPr>
          <w:lang w:val="fr-CH"/>
        </w:rPr>
        <w:t>’</w:t>
      </w:r>
      <w:r w:rsidRPr="002D6FC6">
        <w:rPr>
          <w:lang w:val="fr-CH"/>
        </w:rPr>
        <w:t>hiver) présenté par un expert de la Fran</w:t>
      </w:r>
      <w:r w:rsidR="00F80F77" w:rsidRPr="002D6FC6">
        <w:rPr>
          <w:lang w:val="fr-CH"/>
        </w:rPr>
        <w:t>ce</w:t>
      </w:r>
      <w:r w:rsidR="00F80F77">
        <w:rPr>
          <w:lang w:val="fr-CH"/>
        </w:rPr>
        <w:t xml:space="preserve">.  </w:t>
      </w:r>
      <w:r w:rsidR="00F80F77" w:rsidRPr="002D6FC6">
        <w:rPr>
          <w:lang w:val="fr-CH"/>
        </w:rPr>
        <w:t>On</w:t>
      </w:r>
      <w:r w:rsidRPr="002D6FC6">
        <w:rPr>
          <w:lang w:val="fr-CH"/>
        </w:rPr>
        <w:t xml:space="preserve"> trouvera une copie de cet exposé dans le document TWA/51/4</w:t>
      </w:r>
      <w:r w:rsidR="00A43950">
        <w:rPr>
          <w:lang w:val="fr-CH"/>
        </w:rPr>
        <w:t> </w:t>
      </w:r>
      <w:proofErr w:type="spellStart"/>
      <w:r w:rsidRPr="002D6FC6">
        <w:rPr>
          <w:lang w:val="fr-CH"/>
        </w:rPr>
        <w:t>Add</w:t>
      </w:r>
      <w:proofErr w:type="spellEnd"/>
      <w:r w:rsidRPr="002D6FC6">
        <w:rPr>
          <w:lang w:val="fr-CH"/>
        </w:rPr>
        <w:t>.</w:t>
      </w:r>
    </w:p>
    <w:p w14:paraId="3EBC064C" w14:textId="77777777" w:rsidR="00374CE4" w:rsidRPr="002D6FC6" w:rsidRDefault="00374CE4" w:rsidP="00374CE4">
      <w:pPr>
        <w:jc w:val="left"/>
        <w:rPr>
          <w:lang w:val="fr-CH"/>
        </w:rPr>
      </w:pPr>
    </w:p>
    <w:p w14:paraId="4E4A64DB" w14:textId="3F768C4A" w:rsidR="00374CE4" w:rsidRPr="002D6FC6" w:rsidRDefault="00374CE4" w:rsidP="00374CE4">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 xml:space="preserve">Le TWF a assisté à un exposé intitulé “Application of </w:t>
      </w:r>
      <w:proofErr w:type="spellStart"/>
      <w:r w:rsidRPr="002D6FC6">
        <w:rPr>
          <w:lang w:val="fr-CH"/>
        </w:rPr>
        <w:t>molecular</w:t>
      </w:r>
      <w:proofErr w:type="spellEnd"/>
      <w:r w:rsidRPr="002D6FC6">
        <w:rPr>
          <w:lang w:val="fr-CH"/>
        </w:rPr>
        <w:t xml:space="preserve"> techniques in DUS </w:t>
      </w:r>
      <w:proofErr w:type="spellStart"/>
      <w:r w:rsidRPr="002D6FC6">
        <w:rPr>
          <w:lang w:val="fr-CH"/>
        </w:rPr>
        <w:t>testing</w:t>
      </w:r>
      <w:proofErr w:type="spellEnd"/>
      <w:r w:rsidRPr="002D6FC6">
        <w:rPr>
          <w:lang w:val="fr-CH"/>
        </w:rPr>
        <w:t xml:space="preserve"> and PBR </w:t>
      </w:r>
      <w:proofErr w:type="spellStart"/>
      <w:r w:rsidRPr="002D6FC6">
        <w:rPr>
          <w:lang w:val="fr-CH"/>
        </w:rPr>
        <w:t>enforcement</w:t>
      </w:r>
      <w:proofErr w:type="spellEnd"/>
      <w:r w:rsidRPr="002D6FC6">
        <w:rPr>
          <w:lang w:val="fr-CH"/>
        </w:rPr>
        <w:t xml:space="preserve"> of fruit </w:t>
      </w:r>
      <w:proofErr w:type="spellStart"/>
      <w:r w:rsidRPr="002D6FC6">
        <w:rPr>
          <w:lang w:val="fr-CH"/>
        </w:rPr>
        <w:t>sector</w:t>
      </w:r>
      <w:proofErr w:type="spellEnd"/>
      <w:r w:rsidRPr="002D6FC6">
        <w:rPr>
          <w:lang w:val="fr-CH"/>
        </w:rPr>
        <w:t xml:space="preserve"> in China” (Application des techniques moléculaires dans l</w:t>
      </w:r>
      <w:r w:rsidR="008E4A6E">
        <w:rPr>
          <w:lang w:val="fr-CH"/>
        </w:rPr>
        <w:t>’</w:t>
      </w:r>
      <w:r w:rsidRPr="002D6FC6">
        <w:rPr>
          <w:lang w:val="fr-CH"/>
        </w:rPr>
        <w:t>examen</w:t>
      </w:r>
      <w:r w:rsidR="00A43950">
        <w:rPr>
          <w:lang w:val="fr-CH"/>
        </w:rPr>
        <w:t> </w:t>
      </w:r>
      <w:r w:rsidRPr="002D6FC6">
        <w:rPr>
          <w:lang w:val="fr-CH"/>
        </w:rPr>
        <w:t>DHS et respect des droits d</w:t>
      </w:r>
      <w:r w:rsidR="008E4A6E">
        <w:rPr>
          <w:lang w:val="fr-CH"/>
        </w:rPr>
        <w:t>’</w:t>
      </w:r>
      <w:r w:rsidRPr="002D6FC6">
        <w:rPr>
          <w:lang w:val="fr-CH"/>
        </w:rPr>
        <w:t>obtenteur du secteur fruitier en Chine) présenté par un expert de la Chi</w:t>
      </w:r>
      <w:r w:rsidR="00F80F77" w:rsidRPr="002D6FC6">
        <w:rPr>
          <w:lang w:val="fr-CH"/>
        </w:rPr>
        <w:t>ne</w:t>
      </w:r>
      <w:r w:rsidR="00F80F77">
        <w:rPr>
          <w:lang w:val="fr-CH"/>
        </w:rPr>
        <w:t xml:space="preserve">.  </w:t>
      </w:r>
      <w:r w:rsidR="00F80F77" w:rsidRPr="002D6FC6">
        <w:rPr>
          <w:lang w:val="fr-CH"/>
        </w:rPr>
        <w:t>On</w:t>
      </w:r>
      <w:r w:rsidRPr="002D6FC6">
        <w:rPr>
          <w:lang w:val="fr-CH"/>
        </w:rPr>
        <w:t xml:space="preserve"> trouvera une copie de cet exposé dans le document TWF/53/12.</w:t>
      </w:r>
    </w:p>
    <w:p w14:paraId="170BF7D5" w14:textId="77777777" w:rsidR="00374CE4" w:rsidRPr="002D6FC6" w:rsidRDefault="00374CE4" w:rsidP="00374CE4">
      <w:pPr>
        <w:rPr>
          <w:lang w:val="fr-CH"/>
        </w:rPr>
      </w:pPr>
    </w:p>
    <w:p w14:paraId="412F6ACA" w14:textId="3B17A09B" w:rsidR="00374CE4" w:rsidRPr="002D6FC6" w:rsidRDefault="00374CE4" w:rsidP="00374CE4">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TWF a noté que les marqueurs moléculaires pourraient être utilisés en Chine comme preuves initiales aux fins de la défense des droits d</w:t>
      </w:r>
      <w:r w:rsidR="008E4A6E">
        <w:rPr>
          <w:lang w:val="fr-CH"/>
        </w:rPr>
        <w:t>’</w:t>
      </w:r>
      <w:r w:rsidRPr="002D6FC6">
        <w:rPr>
          <w:lang w:val="fr-CH"/>
        </w:rPr>
        <w:t>obtenteur, avant de procéder, le cas échéant, à un essai en culture.</w:t>
      </w:r>
    </w:p>
    <w:p w14:paraId="53209B00" w14:textId="77777777" w:rsidR="00374CE4" w:rsidRPr="002D6FC6" w:rsidRDefault="00374CE4" w:rsidP="00374CE4">
      <w:pPr>
        <w:rPr>
          <w:lang w:val="fr-CH"/>
        </w:rPr>
      </w:pPr>
    </w:p>
    <w:p w14:paraId="24E7441D" w14:textId="2016FDA7" w:rsidR="00374CE4" w:rsidRPr="002D6FC6" w:rsidRDefault="00374CE4" w:rsidP="00374CE4">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Au terme de l</w:t>
      </w:r>
      <w:r w:rsidR="008E4A6E">
        <w:rPr>
          <w:lang w:val="fr-CH"/>
        </w:rPr>
        <w:t>’</w:t>
      </w:r>
      <w:r w:rsidRPr="002D6FC6">
        <w:rPr>
          <w:lang w:val="fr-CH"/>
        </w:rPr>
        <w:t>exposé de la Chine,</w:t>
      </w:r>
      <w:r w:rsidR="008E4A6E" w:rsidRPr="002D6FC6">
        <w:rPr>
          <w:lang w:val="fr-CH"/>
        </w:rPr>
        <w:t xml:space="preserve"> le</w:t>
      </w:r>
      <w:r w:rsidR="008E4A6E">
        <w:rPr>
          <w:lang w:val="fr-CH"/>
        </w:rPr>
        <w:t> </w:t>
      </w:r>
      <w:r w:rsidR="008E4A6E" w:rsidRPr="002D6FC6">
        <w:rPr>
          <w:lang w:val="fr-CH"/>
        </w:rPr>
        <w:t>TWF</w:t>
      </w:r>
      <w:r w:rsidRPr="002D6FC6">
        <w:rPr>
          <w:lang w:val="fr-CH"/>
        </w:rPr>
        <w:t xml:space="preserve"> a tenu un débat ouvert sur l</w:t>
      </w:r>
      <w:r w:rsidR="008E4A6E">
        <w:rPr>
          <w:lang w:val="fr-CH"/>
        </w:rPr>
        <w:t>’</w:t>
      </w:r>
      <w:r w:rsidRPr="002D6FC6">
        <w:rPr>
          <w:lang w:val="fr-CH"/>
        </w:rPr>
        <w:t>utilisation des marqueurs moléculaires dans l</w:t>
      </w:r>
      <w:r w:rsidR="008E4A6E">
        <w:rPr>
          <w:lang w:val="fr-CH"/>
        </w:rPr>
        <w:t>’</w:t>
      </w:r>
      <w:r w:rsidRPr="002D6FC6">
        <w:rPr>
          <w:lang w:val="fr-CH"/>
        </w:rPr>
        <w:t>examen</w:t>
      </w:r>
      <w:r w:rsidR="00A43950">
        <w:rPr>
          <w:lang w:val="fr-CH"/>
        </w:rPr>
        <w:t> </w:t>
      </w:r>
      <w:r w:rsidRPr="002D6FC6">
        <w:rPr>
          <w:lang w:val="fr-CH"/>
        </w:rPr>
        <w:t>DHS et l</w:t>
      </w:r>
      <w:r w:rsidR="008E4A6E">
        <w:rPr>
          <w:lang w:val="fr-CH"/>
        </w:rPr>
        <w:t>’</w:t>
      </w:r>
      <w:r w:rsidRPr="002D6FC6">
        <w:rPr>
          <w:lang w:val="fr-CH"/>
        </w:rPr>
        <w:t>identification des variét</w:t>
      </w:r>
      <w:r w:rsidR="00F80F77" w:rsidRPr="002D6FC6">
        <w:rPr>
          <w:lang w:val="fr-CH"/>
        </w:rPr>
        <w:t>és</w:t>
      </w:r>
      <w:r w:rsidR="00F80F77">
        <w:rPr>
          <w:lang w:val="fr-CH"/>
        </w:rPr>
        <w:t xml:space="preserve">.  </w:t>
      </w:r>
      <w:r w:rsidR="00F80F77" w:rsidRPr="002D6FC6">
        <w:rPr>
          <w:lang w:val="fr-CH"/>
        </w:rPr>
        <w:t>Le</w:t>
      </w:r>
      <w:r w:rsidRPr="002D6FC6">
        <w:rPr>
          <w:lang w:val="fr-CH"/>
        </w:rPr>
        <w:t>s aspects suivants ont été mentionnés par les participants</w:t>
      </w:r>
      <w:r w:rsidR="008E4A6E">
        <w:rPr>
          <w:lang w:val="fr-CH"/>
        </w:rPr>
        <w:t> :</w:t>
      </w:r>
    </w:p>
    <w:p w14:paraId="572CE2B4" w14:textId="77777777" w:rsidR="00374CE4" w:rsidRPr="002D6FC6" w:rsidRDefault="00374CE4" w:rsidP="00374CE4">
      <w:pPr>
        <w:rPr>
          <w:lang w:val="fr-CH"/>
        </w:rPr>
      </w:pPr>
    </w:p>
    <w:p w14:paraId="7001E8E2" w14:textId="604F0802" w:rsidR="00374CE4" w:rsidRPr="002D6FC6" w:rsidRDefault="00374CE4" w:rsidP="00374CE4">
      <w:pPr>
        <w:pStyle w:val="ListParagraph"/>
        <w:numPr>
          <w:ilvl w:val="0"/>
          <w:numId w:val="14"/>
        </w:numPr>
        <w:spacing w:line="276" w:lineRule="auto"/>
        <w:ind w:left="1134" w:hanging="567"/>
        <w:rPr>
          <w:lang w:val="fr-CH"/>
        </w:rPr>
      </w:pPr>
      <w:proofErr w:type="gramStart"/>
      <w:r w:rsidRPr="002D6FC6">
        <w:rPr>
          <w:lang w:val="fr-CH"/>
        </w:rPr>
        <w:t>possibilités</w:t>
      </w:r>
      <w:proofErr w:type="gramEnd"/>
      <w:r w:rsidRPr="002D6FC6">
        <w:rPr>
          <w:lang w:val="fr-CH"/>
        </w:rPr>
        <w:t xml:space="preserve"> de coopération sur la constitution de bases de données communes, </w:t>
      </w:r>
      <w:r w:rsidR="008E4A6E">
        <w:rPr>
          <w:lang w:val="fr-CH"/>
        </w:rPr>
        <w:t>y compris</w:t>
      </w:r>
      <w:r w:rsidRPr="002D6FC6">
        <w:rPr>
          <w:lang w:val="fr-CH"/>
        </w:rPr>
        <w:t xml:space="preserve"> pour les autorités recevant relativement peu de demandes pour des cultures données;</w:t>
      </w:r>
    </w:p>
    <w:p w14:paraId="1450099C" w14:textId="7EBAE423" w:rsidR="00374CE4" w:rsidRPr="002D6FC6" w:rsidRDefault="00374CE4" w:rsidP="00453C55">
      <w:pPr>
        <w:pStyle w:val="ListParagraph"/>
        <w:numPr>
          <w:ilvl w:val="0"/>
          <w:numId w:val="14"/>
        </w:numPr>
        <w:spacing w:line="276" w:lineRule="auto"/>
        <w:ind w:left="1134" w:hanging="567"/>
        <w:rPr>
          <w:lang w:val="fr-CH"/>
        </w:rPr>
      </w:pPr>
      <w:proofErr w:type="gramStart"/>
      <w:r w:rsidRPr="002D6FC6">
        <w:rPr>
          <w:lang w:val="fr-CH"/>
        </w:rPr>
        <w:t>origine</w:t>
      </w:r>
      <w:proofErr w:type="gramEnd"/>
      <w:r w:rsidRPr="002D6FC6">
        <w:rPr>
          <w:lang w:val="fr-CH"/>
        </w:rPr>
        <w:t xml:space="preserve"> du matériel végétal pour l</w:t>
      </w:r>
      <w:r w:rsidR="008E4A6E">
        <w:rPr>
          <w:lang w:val="fr-CH"/>
        </w:rPr>
        <w:t>’</w:t>
      </w:r>
      <w:r w:rsidRPr="002D6FC6">
        <w:rPr>
          <w:lang w:val="fr-CH"/>
        </w:rPr>
        <w:t>extraction d</w:t>
      </w:r>
      <w:r w:rsidR="008E4A6E">
        <w:rPr>
          <w:lang w:val="fr-CH"/>
        </w:rPr>
        <w:t>’</w:t>
      </w:r>
      <w:r w:rsidRPr="002D6FC6">
        <w:rPr>
          <w:lang w:val="fr-CH"/>
        </w:rPr>
        <w:t>ADN (par exemple le matériel fourni en vue de l</w:t>
      </w:r>
      <w:r w:rsidR="008E4A6E">
        <w:rPr>
          <w:lang w:val="fr-CH"/>
        </w:rPr>
        <w:t>’</w:t>
      </w:r>
      <w:r w:rsidRPr="002D6FC6">
        <w:rPr>
          <w:lang w:val="fr-CH"/>
        </w:rPr>
        <w:t>examen</w:t>
      </w:r>
      <w:r w:rsidR="00A43950">
        <w:rPr>
          <w:lang w:val="fr-CH"/>
        </w:rPr>
        <w:t> </w:t>
      </w:r>
      <w:r w:rsidRPr="002D6FC6">
        <w:rPr>
          <w:lang w:val="fr-CH"/>
        </w:rPr>
        <w:t>DHS);</w:t>
      </w:r>
    </w:p>
    <w:p w14:paraId="5D8D618A" w14:textId="74953473" w:rsidR="00374CE4" w:rsidRPr="002D6FC6" w:rsidRDefault="00374CE4" w:rsidP="00374CE4">
      <w:pPr>
        <w:pStyle w:val="ListParagraph"/>
        <w:numPr>
          <w:ilvl w:val="0"/>
          <w:numId w:val="14"/>
        </w:numPr>
        <w:spacing w:line="276" w:lineRule="auto"/>
        <w:ind w:left="1134" w:hanging="567"/>
        <w:rPr>
          <w:lang w:val="fr-CH"/>
        </w:rPr>
      </w:pPr>
      <w:proofErr w:type="gramStart"/>
      <w:r w:rsidRPr="002D6FC6">
        <w:rPr>
          <w:lang w:val="fr-CH"/>
        </w:rPr>
        <w:t>choix</w:t>
      </w:r>
      <w:proofErr w:type="gramEnd"/>
      <w:r w:rsidRPr="002D6FC6">
        <w:rPr>
          <w:lang w:val="fr-CH"/>
        </w:rPr>
        <w:t xml:space="preserve"> des marqueurs pour chaque culture, en fonction de l</w:t>
      </w:r>
      <w:r w:rsidR="008E4A6E">
        <w:rPr>
          <w:lang w:val="fr-CH"/>
        </w:rPr>
        <w:t>’</w:t>
      </w:r>
      <w:r w:rsidRPr="002D6FC6">
        <w:rPr>
          <w:lang w:val="fr-CH"/>
        </w:rPr>
        <w:t>utilisation prévue (par exemple pour les droits d</w:t>
      </w:r>
      <w:r w:rsidR="008E4A6E">
        <w:rPr>
          <w:lang w:val="fr-CH"/>
        </w:rPr>
        <w:t>’</w:t>
      </w:r>
      <w:r w:rsidRPr="002D6FC6">
        <w:rPr>
          <w:lang w:val="fr-CH"/>
        </w:rPr>
        <w:t>obtenteur et/ou l</w:t>
      </w:r>
      <w:r w:rsidR="008E4A6E">
        <w:rPr>
          <w:lang w:val="fr-CH"/>
        </w:rPr>
        <w:t>’</w:t>
      </w:r>
      <w:r w:rsidRPr="002D6FC6">
        <w:rPr>
          <w:lang w:val="fr-CH"/>
        </w:rPr>
        <w:t>identification des variétés);</w:t>
      </w:r>
    </w:p>
    <w:p w14:paraId="13E3C9FF" w14:textId="6A328347" w:rsidR="00374CE4" w:rsidRPr="002D6FC6" w:rsidRDefault="00374CE4" w:rsidP="00374CE4">
      <w:pPr>
        <w:pStyle w:val="ListParagraph"/>
        <w:numPr>
          <w:ilvl w:val="0"/>
          <w:numId w:val="14"/>
        </w:numPr>
        <w:spacing w:line="276" w:lineRule="auto"/>
        <w:ind w:left="1134" w:hanging="567"/>
        <w:rPr>
          <w:lang w:val="fr-CH"/>
        </w:rPr>
      </w:pPr>
      <w:proofErr w:type="gramStart"/>
      <w:r w:rsidRPr="002D6FC6">
        <w:rPr>
          <w:lang w:val="fr-CH"/>
        </w:rPr>
        <w:t>choix</w:t>
      </w:r>
      <w:proofErr w:type="gramEnd"/>
      <w:r w:rsidRPr="002D6FC6">
        <w:rPr>
          <w:lang w:val="fr-CH"/>
        </w:rPr>
        <w:t xml:space="preserve"> d</w:t>
      </w:r>
      <w:r w:rsidR="008E4A6E">
        <w:rPr>
          <w:lang w:val="fr-CH"/>
        </w:rPr>
        <w:t>’</w:t>
      </w:r>
      <w:r w:rsidRPr="002D6FC6">
        <w:rPr>
          <w:lang w:val="fr-CH"/>
        </w:rPr>
        <w:t>un ou plusieurs laboratoires à même de fournir des profils moléculaires de haute qualité (par exemple réserve de sécurité);</w:t>
      </w:r>
    </w:p>
    <w:p w14:paraId="24C8ED77" w14:textId="19E1FFC3" w:rsidR="00374CE4" w:rsidRPr="002D6FC6" w:rsidRDefault="00374CE4" w:rsidP="00CE6691">
      <w:pPr>
        <w:pStyle w:val="ListParagraph"/>
        <w:numPr>
          <w:ilvl w:val="0"/>
          <w:numId w:val="14"/>
        </w:numPr>
        <w:spacing w:line="276" w:lineRule="auto"/>
        <w:ind w:left="1134" w:hanging="567"/>
        <w:rPr>
          <w:lang w:val="fr-CH"/>
        </w:rPr>
      </w:pPr>
      <w:proofErr w:type="gramStart"/>
      <w:r w:rsidRPr="002D6FC6">
        <w:rPr>
          <w:lang w:val="fr-CH"/>
        </w:rPr>
        <w:t>coût</w:t>
      </w:r>
      <w:proofErr w:type="gramEnd"/>
      <w:r w:rsidRPr="002D6FC6">
        <w:rPr>
          <w:lang w:val="fr-CH"/>
        </w:rPr>
        <w:t xml:space="preserve"> élevé de l</w:t>
      </w:r>
      <w:r w:rsidR="008E4A6E">
        <w:rPr>
          <w:lang w:val="fr-CH"/>
        </w:rPr>
        <w:t>’</w:t>
      </w:r>
      <w:r w:rsidRPr="002D6FC6">
        <w:rPr>
          <w:lang w:val="fr-CH"/>
        </w:rPr>
        <w:t>harmonisation des méthodologies aux fins des profils d</w:t>
      </w:r>
      <w:r w:rsidR="008E4A6E">
        <w:rPr>
          <w:lang w:val="fr-CH"/>
        </w:rPr>
        <w:t>’</w:t>
      </w:r>
      <w:r w:rsidRPr="002D6FC6">
        <w:rPr>
          <w:lang w:val="fr-CH"/>
        </w:rPr>
        <w:t>ADN entre les différents laboratoires;</w:t>
      </w:r>
    </w:p>
    <w:p w14:paraId="4B4AC00D" w14:textId="77777777" w:rsidR="00374CE4" w:rsidRPr="002D6FC6" w:rsidRDefault="00374CE4" w:rsidP="00CE6691">
      <w:pPr>
        <w:pStyle w:val="ListParagraph"/>
        <w:numPr>
          <w:ilvl w:val="0"/>
          <w:numId w:val="14"/>
        </w:numPr>
        <w:spacing w:line="276" w:lineRule="auto"/>
        <w:ind w:left="1134" w:hanging="567"/>
        <w:rPr>
          <w:lang w:val="fr-CH"/>
        </w:rPr>
      </w:pPr>
      <w:proofErr w:type="gramStart"/>
      <w:r w:rsidRPr="002D6FC6">
        <w:rPr>
          <w:lang w:val="fr-CH"/>
        </w:rPr>
        <w:t>difficultés</w:t>
      </w:r>
      <w:proofErr w:type="gramEnd"/>
      <w:r w:rsidRPr="002D6FC6">
        <w:rPr>
          <w:lang w:val="fr-CH"/>
        </w:rPr>
        <w:t xml:space="preserve"> à obtenir les mêmes résultats, même pour les laboratoires qui utilisent des méthodologies harmonisées.</w:t>
      </w:r>
    </w:p>
    <w:p w14:paraId="0DB69A0D" w14:textId="77777777" w:rsidR="00374CE4" w:rsidRPr="002D6FC6" w:rsidRDefault="00374CE4" w:rsidP="00374CE4">
      <w:pPr>
        <w:rPr>
          <w:lang w:val="fr-CH"/>
        </w:rPr>
      </w:pPr>
    </w:p>
    <w:p w14:paraId="3140AAB5" w14:textId="77777777" w:rsidR="00374CE4" w:rsidRPr="002D6FC6" w:rsidRDefault="00374CE4" w:rsidP="00374CE4">
      <w:pPr>
        <w:ind w:left="567" w:hanging="567"/>
        <w:rPr>
          <w:lang w:val="fr-CH"/>
        </w:rPr>
      </w:pPr>
    </w:p>
    <w:p w14:paraId="5287623A" w14:textId="28A1305B" w:rsidR="008E4A6E" w:rsidRDefault="00ED3D7A" w:rsidP="00CA1EF5">
      <w:pPr>
        <w:pStyle w:val="Heading1"/>
        <w:rPr>
          <w:lang w:val="fr-CH"/>
        </w:rPr>
      </w:pPr>
      <w:bookmarkStart w:id="12" w:name="_Toc525647178"/>
      <w:bookmarkStart w:id="13" w:name="_Toc526175650"/>
      <w:bookmarkStart w:id="14" w:name="_Toc53728409"/>
      <w:bookmarkStart w:id="15" w:name="_Toc84413230"/>
      <w:bookmarkStart w:id="16" w:name="_Toc117072744"/>
      <w:r>
        <w:rPr>
          <w:lang w:val="fr-CH"/>
        </w:rPr>
        <w:lastRenderedPageBreak/>
        <w:t>F</w:t>
      </w:r>
      <w:r w:rsidR="00374CE4" w:rsidRPr="002D6FC6">
        <w:rPr>
          <w:lang w:val="fr-CH"/>
        </w:rPr>
        <w:t>aits nouveaux à la première session du Groupe de travail technique sur les méthodes et techniques d</w:t>
      </w:r>
      <w:r w:rsidR="008E4A6E">
        <w:rPr>
          <w:lang w:val="fr-CH"/>
        </w:rPr>
        <w:t>’</w:t>
      </w:r>
      <w:r>
        <w:rPr>
          <w:lang w:val="fr-CH"/>
        </w:rPr>
        <w:t>essai (TWM</w:t>
      </w:r>
      <w:r w:rsidR="00374CE4" w:rsidRPr="002D6FC6">
        <w:rPr>
          <w:lang w:val="fr-CH"/>
        </w:rPr>
        <w:t>)</w:t>
      </w:r>
      <w:bookmarkEnd w:id="12"/>
      <w:bookmarkEnd w:id="13"/>
      <w:bookmarkEnd w:id="14"/>
      <w:bookmarkEnd w:id="15"/>
      <w:bookmarkEnd w:id="16"/>
    </w:p>
    <w:p w14:paraId="24E6DEEA" w14:textId="19EA7496" w:rsidR="00374CE4" w:rsidRPr="002D6FC6" w:rsidRDefault="00374CE4" w:rsidP="00CA1EF5">
      <w:pPr>
        <w:pStyle w:val="Heading1"/>
        <w:rPr>
          <w:lang w:val="fr-CH"/>
        </w:rPr>
      </w:pPr>
    </w:p>
    <w:p w14:paraId="48026EAE" w14:textId="6050C813" w:rsidR="00374CE4" w:rsidRPr="002D6FC6" w:rsidRDefault="00374CE4" w:rsidP="00374CE4">
      <w:pPr>
        <w:rPr>
          <w:lang w:val="fr-CH"/>
        </w:rPr>
      </w:pPr>
      <w:r w:rsidRPr="002D6FC6">
        <w:rPr>
          <w:color w:val="000000"/>
          <w:lang w:val="fr-CH"/>
        </w:rPr>
        <w:fldChar w:fldCharType="begin"/>
      </w:r>
      <w:r w:rsidRPr="002D6FC6">
        <w:rPr>
          <w:color w:val="000000"/>
          <w:lang w:val="fr-CH"/>
        </w:rPr>
        <w:instrText xml:space="preserve"> AUTONUM  </w:instrText>
      </w:r>
      <w:r w:rsidRPr="002D6FC6">
        <w:rPr>
          <w:color w:val="000000"/>
          <w:lang w:val="fr-CH"/>
        </w:rPr>
        <w:fldChar w:fldCharType="end"/>
      </w:r>
      <w:r w:rsidRPr="002D6FC6">
        <w:rPr>
          <w:color w:val="000000"/>
          <w:lang w:val="fr-CH"/>
        </w:rPr>
        <w:tab/>
        <w:t xml:space="preserve">Le TWM a tenu sa première session par voie électronique du 19 au 23 septembre 2022 (voir le document TWM/1/26 “Rapport”, </w:t>
      </w:r>
      <w:r w:rsidR="008E4A6E" w:rsidRPr="002D6FC6">
        <w:rPr>
          <w:color w:val="000000"/>
          <w:lang w:val="fr-CH"/>
        </w:rPr>
        <w:t>paragraphe</w:t>
      </w:r>
      <w:r w:rsidR="008E4A6E">
        <w:rPr>
          <w:color w:val="000000"/>
          <w:lang w:val="fr-CH"/>
        </w:rPr>
        <w:t> </w:t>
      </w:r>
      <w:r w:rsidR="008E4A6E" w:rsidRPr="002D6FC6">
        <w:rPr>
          <w:color w:val="000000"/>
          <w:lang w:val="fr-CH"/>
        </w:rPr>
        <w:t>1</w:t>
      </w:r>
      <w:r w:rsidRPr="002D6FC6">
        <w:rPr>
          <w:color w:val="000000"/>
          <w:lang w:val="fr-CH"/>
        </w:rPr>
        <w:t>).</w:t>
      </w:r>
    </w:p>
    <w:p w14:paraId="205CE17B" w14:textId="77777777" w:rsidR="005C548D" w:rsidRPr="002D6FC6" w:rsidRDefault="005C548D" w:rsidP="005C548D">
      <w:pPr>
        <w:pStyle w:val="Heading2"/>
        <w:rPr>
          <w:lang w:val="fr-CH"/>
        </w:rPr>
      </w:pPr>
      <w:bookmarkStart w:id="17" w:name="_Toc525647179"/>
      <w:bookmarkStart w:id="18" w:name="_Toc526175651"/>
      <w:bookmarkStart w:id="19" w:name="_Toc53728410"/>
      <w:bookmarkStart w:id="20" w:name="_Toc84413231"/>
    </w:p>
    <w:p w14:paraId="2642DE1D" w14:textId="77777777" w:rsidR="00EF757F" w:rsidRPr="002D6FC6" w:rsidRDefault="00EF757F" w:rsidP="005C548D">
      <w:pPr>
        <w:pStyle w:val="Heading2"/>
        <w:keepNext/>
        <w:rPr>
          <w:lang w:val="fr-CH"/>
        </w:rPr>
      </w:pPr>
      <w:bookmarkStart w:id="21" w:name="_Toc117072745"/>
      <w:r w:rsidRPr="002D6FC6">
        <w:rPr>
          <w:lang w:val="fr-CH"/>
        </w:rPr>
        <w:t>Documents présentés</w:t>
      </w:r>
      <w:bookmarkEnd w:id="17"/>
      <w:bookmarkEnd w:id="18"/>
      <w:bookmarkEnd w:id="19"/>
      <w:bookmarkEnd w:id="20"/>
      <w:bookmarkEnd w:id="21"/>
    </w:p>
    <w:p w14:paraId="6E4FBB60" w14:textId="77777777" w:rsidR="00EF757F" w:rsidRPr="002D6FC6" w:rsidRDefault="00EF757F" w:rsidP="005C548D">
      <w:pPr>
        <w:keepNext/>
        <w:rPr>
          <w:highlight w:val="cyan"/>
          <w:lang w:val="fr-CH"/>
        </w:rPr>
      </w:pPr>
    </w:p>
    <w:p w14:paraId="03D43E9A" w14:textId="1E2A32D8" w:rsidR="00EF757F" w:rsidRPr="002D6FC6" w:rsidRDefault="00EF757F" w:rsidP="00EF757F">
      <w:pPr>
        <w:keepNext/>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Les documents présentés au titre des points de l</w:t>
      </w:r>
      <w:r w:rsidR="008E4A6E">
        <w:rPr>
          <w:lang w:val="fr-CH"/>
        </w:rPr>
        <w:t>’</w:t>
      </w:r>
      <w:r w:rsidRPr="002D6FC6">
        <w:rPr>
          <w:lang w:val="fr-CH"/>
        </w:rPr>
        <w:t>ordre du jour de la première session</w:t>
      </w:r>
      <w:r w:rsidR="008E4A6E" w:rsidRPr="002D6FC6">
        <w:rPr>
          <w:lang w:val="fr-CH"/>
        </w:rPr>
        <w:t xml:space="preserve"> du</w:t>
      </w:r>
      <w:r w:rsidR="008E4A6E">
        <w:rPr>
          <w:lang w:val="fr-CH"/>
        </w:rPr>
        <w:t> </w:t>
      </w:r>
      <w:r w:rsidR="008E4A6E" w:rsidRPr="002D6FC6">
        <w:rPr>
          <w:lang w:val="fr-CH"/>
        </w:rPr>
        <w:t>TWM</w:t>
      </w:r>
      <w:r w:rsidRPr="002D6FC6">
        <w:rPr>
          <w:lang w:val="fr-CH"/>
        </w:rPr>
        <w:t xml:space="preserve"> sont les suivants</w:t>
      </w:r>
      <w:r w:rsidR="008E4A6E">
        <w:rPr>
          <w:lang w:val="fr-CH"/>
        </w:rPr>
        <w:t> :</w:t>
      </w:r>
    </w:p>
    <w:p w14:paraId="00723CA4" w14:textId="77777777" w:rsidR="000F0880" w:rsidRPr="002D6FC6" w:rsidRDefault="000F0880" w:rsidP="00EF757F">
      <w:pPr>
        <w:spacing w:after="120"/>
        <w:ind w:left="567"/>
        <w:rPr>
          <w:i/>
          <w:snapToGrid w:val="0"/>
          <w:lang w:val="fr-CH"/>
        </w:rPr>
      </w:pPr>
    </w:p>
    <w:p w14:paraId="034FC2DF" w14:textId="1BD1E3A8" w:rsidR="008E4A6E" w:rsidRDefault="00EF757F" w:rsidP="00EF757F">
      <w:pPr>
        <w:spacing w:after="120"/>
        <w:ind w:left="567"/>
        <w:rPr>
          <w:i/>
          <w:iCs/>
          <w:snapToGrid w:val="0"/>
          <w:lang w:val="fr-CH"/>
        </w:rPr>
      </w:pPr>
      <w:r w:rsidRPr="002D6FC6">
        <w:rPr>
          <w:i/>
          <w:iCs/>
          <w:snapToGrid w:val="0"/>
          <w:lang w:val="fr-CH"/>
        </w:rPr>
        <w:t>Rapports sur les faits nouveaux survenus à l</w:t>
      </w:r>
      <w:r w:rsidR="008E4A6E">
        <w:rPr>
          <w:i/>
          <w:iCs/>
          <w:snapToGrid w:val="0"/>
          <w:lang w:val="fr-CH"/>
        </w:rPr>
        <w:t>’</w:t>
      </w:r>
      <w:r w:rsidRPr="002D6FC6">
        <w:rPr>
          <w:i/>
          <w:iCs/>
          <w:snapToGrid w:val="0"/>
          <w:lang w:val="fr-CH"/>
        </w:rPr>
        <w:t>UPOV (document TWM/1/2)</w:t>
      </w:r>
    </w:p>
    <w:p w14:paraId="0C1F913F" w14:textId="329BC1A0" w:rsidR="008E4A6E" w:rsidRDefault="00EF757F" w:rsidP="00EF757F">
      <w:pPr>
        <w:spacing w:after="120"/>
        <w:ind w:left="567"/>
        <w:rPr>
          <w:i/>
          <w:iCs/>
          <w:snapToGrid w:val="0"/>
          <w:lang w:val="fr-CH"/>
        </w:rPr>
      </w:pPr>
      <w:r w:rsidRPr="002D6FC6">
        <w:rPr>
          <w:i/>
          <w:iCs/>
          <w:snapToGrid w:val="0"/>
          <w:lang w:val="fr-CH"/>
        </w:rPr>
        <w:t>Exposés succincts sur les faits nouveaux en matière de techniques biochimiques et moléculaires, présentés par des spécialistes de l</w:t>
      </w:r>
      <w:r w:rsidR="008E4A6E">
        <w:rPr>
          <w:i/>
          <w:iCs/>
          <w:snapToGrid w:val="0"/>
          <w:lang w:val="fr-CH"/>
        </w:rPr>
        <w:t>’</w:t>
      </w:r>
      <w:r w:rsidRPr="002D6FC6">
        <w:rPr>
          <w:i/>
          <w:iCs/>
          <w:snapToGrid w:val="0"/>
          <w:lang w:val="fr-CH"/>
        </w:rPr>
        <w:t>examen</w:t>
      </w:r>
      <w:r w:rsidR="00A43950">
        <w:rPr>
          <w:i/>
          <w:iCs/>
          <w:snapToGrid w:val="0"/>
          <w:lang w:val="fr-CH"/>
        </w:rPr>
        <w:t> </w:t>
      </w:r>
      <w:r w:rsidRPr="002D6FC6">
        <w:rPr>
          <w:i/>
          <w:iCs/>
          <w:snapToGrid w:val="0"/>
          <w:lang w:val="fr-CH"/>
        </w:rPr>
        <w:t>DHS, des spécialistes des techniques biochimiques et moléculaires, des obtenteurs et les organisations internationales concernées (document TWM/1/3)</w:t>
      </w:r>
    </w:p>
    <w:p w14:paraId="3B84E347" w14:textId="263CA6B9" w:rsidR="008E4A6E" w:rsidRDefault="000F0880" w:rsidP="000F0880">
      <w:pPr>
        <w:spacing w:after="120"/>
        <w:ind w:left="567" w:hanging="5"/>
        <w:rPr>
          <w:i/>
          <w:iCs/>
          <w:snapToGrid w:val="0"/>
          <w:lang w:val="fr-CH"/>
        </w:rPr>
      </w:pPr>
      <w:r w:rsidRPr="002D6FC6">
        <w:rPr>
          <w:i/>
          <w:iCs/>
          <w:snapToGrid w:val="0"/>
          <w:lang w:val="fr-CH"/>
        </w:rPr>
        <w:t>Logiciels et méthodes d</w:t>
      </w:r>
      <w:r w:rsidR="008E4A6E">
        <w:rPr>
          <w:i/>
          <w:iCs/>
          <w:snapToGrid w:val="0"/>
          <w:lang w:val="fr-CH"/>
        </w:rPr>
        <w:t>’</w:t>
      </w:r>
      <w:r w:rsidRPr="002D6FC6">
        <w:rPr>
          <w:i/>
          <w:iCs/>
          <w:snapToGrid w:val="0"/>
          <w:lang w:val="fr-CH"/>
        </w:rPr>
        <w:t>analyse statistique pour l</w:t>
      </w:r>
      <w:r w:rsidR="008E4A6E">
        <w:rPr>
          <w:i/>
          <w:iCs/>
          <w:snapToGrid w:val="0"/>
          <w:lang w:val="fr-CH"/>
        </w:rPr>
        <w:t>’</w:t>
      </w:r>
      <w:r w:rsidRPr="002D6FC6">
        <w:rPr>
          <w:i/>
          <w:iCs/>
          <w:snapToGrid w:val="0"/>
          <w:lang w:val="fr-CH"/>
        </w:rPr>
        <w:t>examen</w:t>
      </w:r>
      <w:r w:rsidR="00A43950">
        <w:rPr>
          <w:i/>
          <w:iCs/>
          <w:snapToGrid w:val="0"/>
          <w:lang w:val="fr-CH"/>
        </w:rPr>
        <w:t> </w:t>
      </w:r>
      <w:r w:rsidRPr="002D6FC6">
        <w:rPr>
          <w:i/>
          <w:iCs/>
          <w:snapToGrid w:val="0"/>
          <w:lang w:val="fr-CH"/>
        </w:rPr>
        <w:t>DHS</w:t>
      </w:r>
    </w:p>
    <w:p w14:paraId="33475181" w14:textId="375380E6" w:rsidR="000F0880" w:rsidRPr="002D6FC6" w:rsidRDefault="000F0880" w:rsidP="000F0880">
      <w:pPr>
        <w:spacing w:after="120"/>
        <w:ind w:left="567" w:hanging="5"/>
        <w:rPr>
          <w:i/>
          <w:snapToGrid w:val="0"/>
          <w:lang w:val="fr-CH"/>
        </w:rPr>
      </w:pPr>
      <w:r w:rsidRPr="002D6FC6">
        <w:rPr>
          <w:i/>
          <w:iCs/>
          <w:snapToGrid w:val="0"/>
          <w:lang w:val="fr-CH"/>
        </w:rPr>
        <w:t>a)</w:t>
      </w:r>
      <w:r w:rsidRPr="002D6FC6">
        <w:rPr>
          <w:i/>
          <w:iCs/>
          <w:snapToGrid w:val="0"/>
          <w:lang w:val="fr-CH"/>
        </w:rPr>
        <w:tab/>
        <w:t>Outils et méthodes statistiques pour l</w:t>
      </w:r>
      <w:r w:rsidR="008E4A6E">
        <w:rPr>
          <w:i/>
          <w:iCs/>
          <w:snapToGrid w:val="0"/>
          <w:lang w:val="fr-CH"/>
        </w:rPr>
        <w:t>’</w:t>
      </w:r>
      <w:r w:rsidRPr="002D6FC6">
        <w:rPr>
          <w:i/>
          <w:iCs/>
          <w:snapToGrid w:val="0"/>
          <w:lang w:val="fr-CH"/>
        </w:rPr>
        <w:t>examen</w:t>
      </w:r>
      <w:r w:rsidR="00A43950">
        <w:rPr>
          <w:i/>
          <w:iCs/>
          <w:snapToGrid w:val="0"/>
          <w:lang w:val="fr-CH"/>
        </w:rPr>
        <w:t> </w:t>
      </w:r>
      <w:r w:rsidRPr="002D6FC6">
        <w:rPr>
          <w:i/>
          <w:iCs/>
          <w:snapToGrid w:val="0"/>
          <w:lang w:val="fr-CH"/>
        </w:rPr>
        <w:t>DHS</w:t>
      </w:r>
    </w:p>
    <w:p w14:paraId="24C989C6" w14:textId="676EC24E" w:rsidR="008E4A6E" w:rsidRDefault="00017EC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Faits nouveaux sur la méthode COYU améliorée (</w:t>
      </w:r>
      <w:proofErr w:type="spellStart"/>
      <w:r w:rsidRPr="002D6FC6">
        <w:rPr>
          <w:i/>
          <w:iCs/>
          <w:snapToGrid w:val="0"/>
          <w:lang w:val="fr-CH"/>
        </w:rPr>
        <w:t>splines</w:t>
      </w:r>
      <w:proofErr w:type="spellEnd"/>
      <w:r w:rsidRPr="002D6FC6">
        <w:rPr>
          <w:i/>
          <w:iCs/>
          <w:snapToGrid w:val="0"/>
          <w:lang w:val="fr-CH"/>
        </w:rPr>
        <w:t>) (TWM/1/8 et TWM/1/8</w:t>
      </w:r>
      <w:r w:rsidR="00A43950">
        <w:rPr>
          <w:i/>
          <w:iCs/>
          <w:snapToGrid w:val="0"/>
          <w:lang w:val="fr-CH"/>
        </w:rPr>
        <w:t> </w:t>
      </w:r>
      <w:proofErr w:type="spellStart"/>
      <w:r w:rsidRPr="002D6FC6">
        <w:rPr>
          <w:i/>
          <w:iCs/>
          <w:snapToGrid w:val="0"/>
          <w:lang w:val="fr-CH"/>
        </w:rPr>
        <w:t>Add</w:t>
      </w:r>
      <w:proofErr w:type="spellEnd"/>
      <w:r w:rsidRPr="002D6FC6">
        <w:rPr>
          <w:i/>
          <w:iCs/>
          <w:snapToGrid w:val="0"/>
          <w:lang w:val="fr-CH"/>
        </w:rPr>
        <w:t>.)</w:t>
      </w:r>
    </w:p>
    <w:p w14:paraId="13721903" w14:textId="5302C8FD" w:rsidR="008E4A6E" w:rsidRDefault="000F0880" w:rsidP="00ED3D7A">
      <w:pPr>
        <w:spacing w:after="120"/>
        <w:ind w:left="567" w:hanging="5"/>
        <w:rPr>
          <w:i/>
          <w:iCs/>
          <w:snapToGrid w:val="0"/>
          <w:lang w:val="fr-CH"/>
        </w:rPr>
      </w:pPr>
      <w:r w:rsidRPr="002D6FC6">
        <w:rPr>
          <w:snapToGrid w:val="0"/>
          <w:lang w:val="fr-CH"/>
        </w:rPr>
        <w:tab/>
      </w:r>
      <w:r w:rsidRPr="002D6FC6">
        <w:rPr>
          <w:snapToGrid w:val="0"/>
          <w:lang w:val="fr-CH"/>
        </w:rPr>
        <w:tab/>
      </w:r>
      <w:r w:rsidR="00370290">
        <w:rPr>
          <w:snapToGrid w:val="0"/>
          <w:lang w:val="fr-CH"/>
        </w:rPr>
        <w:t>–</w:t>
      </w:r>
      <w:r w:rsidR="00AF1116" w:rsidRPr="002D6FC6">
        <w:rPr>
          <w:snapToGrid w:val="0"/>
          <w:lang w:val="fr-CH"/>
        </w:rPr>
        <w:t xml:space="preserve"> </w:t>
      </w:r>
      <w:r w:rsidRPr="002D6FC6">
        <w:rPr>
          <w:i/>
          <w:iCs/>
          <w:snapToGrid w:val="0"/>
          <w:lang w:val="fr-CH"/>
        </w:rPr>
        <w:t>Analyse globale de l</w:t>
      </w:r>
      <w:r w:rsidR="008E4A6E">
        <w:rPr>
          <w:i/>
          <w:iCs/>
          <w:snapToGrid w:val="0"/>
          <w:lang w:val="fr-CH"/>
        </w:rPr>
        <w:t>’</w:t>
      </w:r>
      <w:r w:rsidRPr="002D6FC6">
        <w:rPr>
          <w:i/>
          <w:iCs/>
          <w:snapToGrid w:val="0"/>
          <w:lang w:val="fr-CH"/>
        </w:rPr>
        <w:t>homogénéité sur plusieurs années</w:t>
      </w:r>
      <w:r w:rsidR="008E4A6E">
        <w:rPr>
          <w:i/>
          <w:iCs/>
          <w:snapToGrid w:val="0"/>
          <w:lang w:val="fr-CH"/>
        </w:rPr>
        <w:t> :</w:t>
      </w:r>
      <w:r w:rsidRPr="002D6FC6">
        <w:rPr>
          <w:i/>
          <w:iCs/>
          <w:snapToGrid w:val="0"/>
          <w:lang w:val="fr-CH"/>
        </w:rPr>
        <w:t xml:space="preserve"> extrapolation (TWM/1/7 et TWM/1/7</w:t>
      </w:r>
      <w:r w:rsidR="00DB48D3" w:rsidRPr="002D6FC6">
        <w:rPr>
          <w:i/>
          <w:iCs/>
          <w:snapToGrid w:val="0"/>
          <w:lang w:val="fr-CH"/>
        </w:rPr>
        <w:t> </w:t>
      </w:r>
      <w:proofErr w:type="spellStart"/>
      <w:r w:rsidRPr="002D6FC6">
        <w:rPr>
          <w:i/>
          <w:iCs/>
          <w:snapToGrid w:val="0"/>
          <w:lang w:val="fr-CH"/>
        </w:rPr>
        <w:t>Add</w:t>
      </w:r>
      <w:proofErr w:type="spellEnd"/>
      <w:r w:rsidRPr="002D6FC6">
        <w:rPr>
          <w:i/>
          <w:iCs/>
          <w:snapToGrid w:val="0"/>
          <w:lang w:val="fr-CH"/>
        </w:rPr>
        <w:t>.)</w:t>
      </w:r>
    </w:p>
    <w:p w14:paraId="76EA9425" w14:textId="305273DD" w:rsidR="000F0880" w:rsidRPr="002D6FC6" w:rsidRDefault="000F0880" w:rsidP="000F0880">
      <w:pPr>
        <w:spacing w:after="120"/>
        <w:ind w:left="567" w:hanging="5"/>
        <w:rPr>
          <w:i/>
          <w:snapToGrid w:val="0"/>
          <w:lang w:val="fr-CH"/>
        </w:rPr>
      </w:pPr>
      <w:r w:rsidRPr="002D6FC6">
        <w:rPr>
          <w:i/>
          <w:iCs/>
          <w:snapToGrid w:val="0"/>
          <w:lang w:val="fr-CH"/>
        </w:rPr>
        <w:t>b)</w:t>
      </w:r>
      <w:r w:rsidRPr="002D6FC6">
        <w:rPr>
          <w:i/>
          <w:iCs/>
          <w:snapToGrid w:val="0"/>
          <w:lang w:val="fr-CH"/>
        </w:rPr>
        <w:tab/>
        <w:t>Échange et utilisation de logiciels et d</w:t>
      </w:r>
      <w:r w:rsidR="008E4A6E">
        <w:rPr>
          <w:i/>
          <w:iCs/>
          <w:snapToGrid w:val="0"/>
          <w:lang w:val="fr-CH"/>
        </w:rPr>
        <w:t>’</w:t>
      </w:r>
      <w:r w:rsidRPr="002D6FC6">
        <w:rPr>
          <w:i/>
          <w:iCs/>
          <w:snapToGrid w:val="0"/>
          <w:lang w:val="fr-CH"/>
        </w:rPr>
        <w:t>équipements</w:t>
      </w:r>
    </w:p>
    <w:p w14:paraId="295DE00A" w14:textId="7B79F2DB"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Élaboration de logiciels d</w:t>
      </w:r>
      <w:r w:rsidR="008E4A6E">
        <w:rPr>
          <w:i/>
          <w:iCs/>
          <w:snapToGrid w:val="0"/>
          <w:lang w:val="fr-CH"/>
        </w:rPr>
        <w:t>’</w:t>
      </w:r>
      <w:r w:rsidRPr="002D6FC6">
        <w:rPr>
          <w:i/>
          <w:iCs/>
          <w:snapToGrid w:val="0"/>
          <w:lang w:val="fr-CH"/>
        </w:rPr>
        <w:t>analyse statistique</w:t>
      </w:r>
      <w:r w:rsidR="008E4A6E">
        <w:rPr>
          <w:i/>
          <w:iCs/>
          <w:snapToGrid w:val="0"/>
          <w:lang w:val="fr-CH"/>
        </w:rPr>
        <w:t> :</w:t>
      </w:r>
      <w:r w:rsidRPr="002D6FC6">
        <w:rPr>
          <w:i/>
          <w:iCs/>
          <w:snapToGrid w:val="0"/>
          <w:lang w:val="fr-CH"/>
        </w:rPr>
        <w:t xml:space="preserve"> DUSCEL (TWM/1/10)</w:t>
      </w:r>
    </w:p>
    <w:p w14:paraId="2C047288" w14:textId="4D107E1C" w:rsidR="000F0880" w:rsidRPr="002D6FC6"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snapToGrid w:val="0"/>
          <w:lang w:val="fr-CH"/>
        </w:rPr>
        <w:t>–</w:t>
      </w:r>
      <w:r w:rsidRPr="002D6FC6">
        <w:rPr>
          <w:snapToGrid w:val="0"/>
          <w:lang w:val="fr-CH"/>
        </w:rPr>
        <w:t xml:space="preserve"> </w:t>
      </w:r>
      <w:r w:rsidRPr="002D6FC6">
        <w:rPr>
          <w:i/>
          <w:iCs/>
          <w:snapToGrid w:val="0"/>
          <w:lang w:val="fr-CH"/>
        </w:rPr>
        <w:t>Application PATHOSTAT (TWM/1/11)</w:t>
      </w:r>
    </w:p>
    <w:p w14:paraId="751C9C9D" w14:textId="3EBB96CD" w:rsidR="008E4A6E" w:rsidRDefault="000F0880" w:rsidP="000F0880">
      <w:pPr>
        <w:spacing w:after="120"/>
        <w:ind w:left="567" w:hanging="5"/>
        <w:rPr>
          <w:i/>
          <w:iCs/>
          <w:snapToGrid w:val="0"/>
          <w:lang w:val="fr-CH"/>
        </w:rPr>
      </w:pPr>
      <w:r w:rsidRPr="002D6FC6">
        <w:rPr>
          <w:i/>
          <w:iCs/>
          <w:snapToGrid w:val="0"/>
          <w:lang w:val="fr-CH"/>
        </w:rPr>
        <w:t>Établissement de phénotypes et analyse d</w:t>
      </w:r>
      <w:r w:rsidR="008E4A6E">
        <w:rPr>
          <w:i/>
          <w:iCs/>
          <w:snapToGrid w:val="0"/>
          <w:lang w:val="fr-CH"/>
        </w:rPr>
        <w:t>’</w:t>
      </w:r>
      <w:r w:rsidRPr="002D6FC6">
        <w:rPr>
          <w:i/>
          <w:iCs/>
          <w:snapToGrid w:val="0"/>
          <w:lang w:val="fr-CH"/>
        </w:rPr>
        <w:t>images</w:t>
      </w:r>
    </w:p>
    <w:p w14:paraId="5B047186" w14:textId="2B3B9507"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Analyse d</w:t>
      </w:r>
      <w:r w:rsidR="008E4A6E">
        <w:rPr>
          <w:i/>
          <w:iCs/>
          <w:snapToGrid w:val="0"/>
          <w:lang w:val="fr-CH"/>
        </w:rPr>
        <w:t>’</w:t>
      </w:r>
      <w:r w:rsidRPr="002D6FC6">
        <w:rPr>
          <w:i/>
          <w:iCs/>
          <w:snapToGrid w:val="0"/>
          <w:lang w:val="fr-CH"/>
        </w:rPr>
        <w:t>images dans l</w:t>
      </w:r>
      <w:r w:rsidR="008E4A6E">
        <w:rPr>
          <w:i/>
          <w:iCs/>
          <w:snapToGrid w:val="0"/>
          <w:lang w:val="fr-CH"/>
        </w:rPr>
        <w:t>’</w:t>
      </w:r>
      <w:r w:rsidRPr="002D6FC6">
        <w:rPr>
          <w:i/>
          <w:iCs/>
          <w:snapToGrid w:val="0"/>
          <w:lang w:val="fr-CH"/>
        </w:rPr>
        <w:t>examen des variétés végétales (TWM/1/4)</w:t>
      </w:r>
    </w:p>
    <w:p w14:paraId="6A73DF86" w14:textId="16D90603"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Système d</w:t>
      </w:r>
      <w:r w:rsidR="008E4A6E">
        <w:rPr>
          <w:i/>
          <w:iCs/>
          <w:snapToGrid w:val="0"/>
          <w:lang w:val="fr-CH"/>
        </w:rPr>
        <w:t>’</w:t>
      </w:r>
      <w:r w:rsidRPr="002D6FC6">
        <w:rPr>
          <w:i/>
          <w:iCs/>
          <w:snapToGrid w:val="0"/>
          <w:lang w:val="fr-CH"/>
        </w:rPr>
        <w:t>analyse par imageri</w:t>
      </w:r>
      <w:bookmarkStart w:id="22" w:name="_GoBack"/>
      <w:bookmarkEnd w:id="22"/>
      <w:r w:rsidRPr="002D6FC6">
        <w:rPr>
          <w:i/>
          <w:iCs/>
          <w:snapToGrid w:val="0"/>
          <w:lang w:val="fr-CH"/>
        </w:rPr>
        <w:t>e en couleur (TWM/1/5)</w:t>
      </w:r>
    </w:p>
    <w:p w14:paraId="5E47079D" w14:textId="087A982B"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Processeur d</w:t>
      </w:r>
      <w:r w:rsidR="008E4A6E">
        <w:rPr>
          <w:i/>
          <w:iCs/>
          <w:snapToGrid w:val="0"/>
          <w:lang w:val="fr-CH"/>
        </w:rPr>
        <w:t>’</w:t>
      </w:r>
      <w:r w:rsidRPr="002D6FC6">
        <w:rPr>
          <w:i/>
          <w:iCs/>
          <w:snapToGrid w:val="0"/>
          <w:lang w:val="fr-CH"/>
        </w:rPr>
        <w:t>images des caractères DHS (TWM/1/6)</w:t>
      </w:r>
    </w:p>
    <w:p w14:paraId="09C0B0CA" w14:textId="5A69C059" w:rsidR="000F0880" w:rsidRPr="002D6FC6" w:rsidRDefault="000F0880" w:rsidP="000F0880">
      <w:pPr>
        <w:spacing w:after="120"/>
        <w:ind w:left="567" w:hanging="5"/>
        <w:rPr>
          <w:i/>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Potentiel des drones dans l</w:t>
      </w:r>
      <w:r w:rsidR="008E4A6E">
        <w:rPr>
          <w:i/>
          <w:iCs/>
          <w:snapToGrid w:val="0"/>
          <w:lang w:val="fr-CH"/>
        </w:rPr>
        <w:t>’</w:t>
      </w:r>
      <w:r w:rsidRPr="002D6FC6">
        <w:rPr>
          <w:i/>
          <w:iCs/>
          <w:snapToGrid w:val="0"/>
          <w:lang w:val="fr-CH"/>
        </w:rPr>
        <w:t>examen</w:t>
      </w:r>
      <w:r w:rsidR="00A43950">
        <w:rPr>
          <w:i/>
          <w:iCs/>
          <w:snapToGrid w:val="0"/>
          <w:lang w:val="fr-CH"/>
        </w:rPr>
        <w:t> </w:t>
      </w:r>
      <w:r w:rsidRPr="002D6FC6">
        <w:rPr>
          <w:i/>
          <w:iCs/>
          <w:snapToGrid w:val="0"/>
          <w:lang w:val="fr-CH"/>
        </w:rPr>
        <w:t>DHS (TWM/1/20)</w:t>
      </w:r>
    </w:p>
    <w:p w14:paraId="404ADFDE" w14:textId="292D9AC0" w:rsidR="000F0880" w:rsidRPr="002D6FC6" w:rsidRDefault="000F0880" w:rsidP="000F0880">
      <w:pPr>
        <w:spacing w:after="120"/>
        <w:ind w:left="567" w:hanging="5"/>
        <w:rPr>
          <w:i/>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Projet </w:t>
      </w:r>
      <w:proofErr w:type="spellStart"/>
      <w:r w:rsidRPr="002D6FC6">
        <w:rPr>
          <w:i/>
          <w:iCs/>
          <w:snapToGrid w:val="0"/>
          <w:lang w:val="fr-CH"/>
        </w:rPr>
        <w:t>InnoVar</w:t>
      </w:r>
      <w:proofErr w:type="spellEnd"/>
      <w:r w:rsidR="008E4A6E">
        <w:rPr>
          <w:i/>
          <w:iCs/>
          <w:snapToGrid w:val="0"/>
          <w:lang w:val="fr-CH"/>
        </w:rPr>
        <w:t xml:space="preserve"> – </w:t>
      </w:r>
      <w:r w:rsidRPr="002D6FC6">
        <w:rPr>
          <w:i/>
          <w:iCs/>
          <w:snapToGrid w:val="0"/>
          <w:lang w:val="fr-CH"/>
        </w:rPr>
        <w:t>Apprentissage automatique (TWM/1/25)</w:t>
      </w:r>
    </w:p>
    <w:p w14:paraId="0C4445AC" w14:textId="5AFFF1C9" w:rsidR="008E4A6E" w:rsidRDefault="000F0880" w:rsidP="000F0880">
      <w:pPr>
        <w:spacing w:after="120"/>
        <w:ind w:left="567" w:hanging="5"/>
        <w:rPr>
          <w:i/>
          <w:iCs/>
          <w:snapToGrid w:val="0"/>
          <w:lang w:val="fr-CH"/>
        </w:rPr>
      </w:pPr>
      <w:r w:rsidRPr="002D6FC6">
        <w:rPr>
          <w:i/>
          <w:iCs/>
          <w:snapToGrid w:val="0"/>
          <w:lang w:val="fr-CH"/>
        </w:rPr>
        <w:t>Faits nouveaux en matière de techniques moléculaires et de bio</w:t>
      </w:r>
      <w:r w:rsidR="00ED3D7A">
        <w:rPr>
          <w:i/>
          <w:iCs/>
          <w:snapToGrid w:val="0"/>
          <w:lang w:val="fr-CH"/>
        </w:rPr>
        <w:noBreakHyphen/>
      </w:r>
      <w:r w:rsidRPr="002D6FC6">
        <w:rPr>
          <w:i/>
          <w:iCs/>
          <w:snapToGrid w:val="0"/>
          <w:lang w:val="fr-CH"/>
        </w:rPr>
        <w:t>informatique</w:t>
      </w:r>
    </w:p>
    <w:p w14:paraId="75B22ABA" w14:textId="11613BC3" w:rsidR="000F0880" w:rsidRPr="002D6FC6" w:rsidRDefault="000F0880" w:rsidP="000F0880">
      <w:pPr>
        <w:spacing w:after="120"/>
        <w:ind w:left="567" w:hanging="5"/>
        <w:rPr>
          <w:i/>
          <w:snapToGrid w:val="0"/>
          <w:lang w:val="fr-CH"/>
        </w:rPr>
      </w:pPr>
      <w:r w:rsidRPr="002D6FC6">
        <w:rPr>
          <w:i/>
          <w:iCs/>
          <w:snapToGrid w:val="0"/>
          <w:lang w:val="fr-CH"/>
        </w:rPr>
        <w:t>a)</w:t>
      </w:r>
      <w:r w:rsidRPr="002D6FC6">
        <w:rPr>
          <w:i/>
          <w:iCs/>
          <w:snapToGrid w:val="0"/>
          <w:lang w:val="fr-CH"/>
        </w:rPr>
        <w:tab/>
        <w:t>Faits nouveaux en matière de techniques moléculaires et de bio</w:t>
      </w:r>
      <w:r w:rsidR="00ED3D7A">
        <w:rPr>
          <w:i/>
          <w:iCs/>
          <w:snapToGrid w:val="0"/>
          <w:lang w:val="fr-CH"/>
        </w:rPr>
        <w:noBreakHyphen/>
      </w:r>
      <w:r w:rsidRPr="002D6FC6">
        <w:rPr>
          <w:i/>
          <w:iCs/>
          <w:snapToGrid w:val="0"/>
          <w:lang w:val="fr-CH"/>
        </w:rPr>
        <w:t>informatique</w:t>
      </w:r>
    </w:p>
    <w:p w14:paraId="4F1E0F90" w14:textId="086B2CED" w:rsidR="00017EC0" w:rsidRPr="002D6FC6" w:rsidRDefault="00017EC0" w:rsidP="00017EC0">
      <w:pPr>
        <w:spacing w:after="120"/>
        <w:ind w:left="567" w:hanging="5"/>
        <w:rPr>
          <w:i/>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Aucun document n</w:t>
      </w:r>
      <w:r w:rsidR="008E4A6E">
        <w:rPr>
          <w:i/>
          <w:iCs/>
          <w:snapToGrid w:val="0"/>
          <w:lang w:val="fr-CH"/>
        </w:rPr>
        <w:t>’</w:t>
      </w:r>
      <w:r w:rsidRPr="002D6FC6">
        <w:rPr>
          <w:i/>
          <w:iCs/>
          <w:snapToGrid w:val="0"/>
          <w:lang w:val="fr-CH"/>
        </w:rPr>
        <w:t>a été reçu pour ce point de l</w:t>
      </w:r>
      <w:r w:rsidR="008E4A6E">
        <w:rPr>
          <w:i/>
          <w:iCs/>
          <w:snapToGrid w:val="0"/>
          <w:lang w:val="fr-CH"/>
        </w:rPr>
        <w:t>’</w:t>
      </w:r>
      <w:r w:rsidRPr="002D6FC6">
        <w:rPr>
          <w:i/>
          <w:iCs/>
          <w:snapToGrid w:val="0"/>
          <w:lang w:val="fr-CH"/>
        </w:rPr>
        <w:t>ordre du jour.</w:t>
      </w:r>
    </w:p>
    <w:p w14:paraId="31A7114D" w14:textId="77777777" w:rsidR="008E4A6E" w:rsidRDefault="000F0880" w:rsidP="000F0880">
      <w:pPr>
        <w:spacing w:after="120"/>
        <w:ind w:left="567" w:hanging="5"/>
        <w:rPr>
          <w:i/>
          <w:iCs/>
          <w:snapToGrid w:val="0"/>
          <w:lang w:val="fr-CH"/>
        </w:rPr>
      </w:pPr>
      <w:r w:rsidRPr="002D6FC6">
        <w:rPr>
          <w:i/>
          <w:iCs/>
          <w:snapToGrid w:val="0"/>
          <w:lang w:val="fr-CH"/>
        </w:rPr>
        <w:t>b)</w:t>
      </w:r>
      <w:r w:rsidRPr="002D6FC6">
        <w:rPr>
          <w:i/>
          <w:iCs/>
          <w:snapToGrid w:val="0"/>
          <w:lang w:val="fr-CH"/>
        </w:rPr>
        <w:tab/>
        <w:t>Coopération entre organisations internationales</w:t>
      </w:r>
    </w:p>
    <w:p w14:paraId="0FDE8201" w14:textId="31AF1461"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Rapport de l</w:t>
      </w:r>
      <w:r w:rsidR="008E4A6E">
        <w:rPr>
          <w:i/>
          <w:iCs/>
          <w:snapToGrid w:val="0"/>
          <w:lang w:val="fr-CH"/>
        </w:rPr>
        <w:t>’</w:t>
      </w:r>
      <w:r w:rsidRPr="002D6FC6">
        <w:rPr>
          <w:i/>
          <w:iCs/>
          <w:snapToGrid w:val="0"/>
          <w:lang w:val="fr-CH"/>
        </w:rPr>
        <w:t>ISTA sur l</w:t>
      </w:r>
      <w:r w:rsidR="008E4A6E">
        <w:rPr>
          <w:i/>
          <w:iCs/>
          <w:snapToGrid w:val="0"/>
          <w:lang w:val="fr-CH"/>
        </w:rPr>
        <w:t>’</w:t>
      </w:r>
      <w:r w:rsidRPr="002D6FC6">
        <w:rPr>
          <w:i/>
          <w:iCs/>
          <w:snapToGrid w:val="0"/>
          <w:lang w:val="fr-CH"/>
        </w:rPr>
        <w:t>utilisation des techniques moléculaires (TWM/1/23)</w:t>
      </w:r>
    </w:p>
    <w:p w14:paraId="68E87331" w14:textId="3417E5A3" w:rsidR="000F0880" w:rsidRPr="002D6FC6" w:rsidRDefault="000F0880" w:rsidP="000F0880">
      <w:pPr>
        <w:spacing w:after="120"/>
        <w:ind w:left="567" w:hanging="5"/>
        <w:rPr>
          <w:i/>
          <w:snapToGrid w:val="0"/>
          <w:lang w:val="fr-CH"/>
        </w:rPr>
      </w:pPr>
      <w:r w:rsidRPr="002D6FC6">
        <w:rPr>
          <w:snapToGrid w:val="0"/>
          <w:lang w:val="fr-CH"/>
        </w:rPr>
        <w:tab/>
      </w:r>
      <w:r w:rsidRPr="002D6FC6">
        <w:rPr>
          <w:snapToGrid w:val="0"/>
          <w:lang w:val="fr-CH"/>
        </w:rPr>
        <w:tab/>
      </w:r>
      <w:r w:rsidR="00370290">
        <w:rPr>
          <w:i/>
          <w:iCs/>
          <w:snapToGrid w:val="0"/>
          <w:lang w:val="fr-CH"/>
        </w:rPr>
        <w:t>–</w:t>
      </w:r>
      <w:r w:rsidR="002C4E98" w:rsidRPr="002D6FC6">
        <w:rPr>
          <w:i/>
          <w:iCs/>
          <w:snapToGrid w:val="0"/>
          <w:lang w:val="fr-CH"/>
        </w:rPr>
        <w:t xml:space="preserve"> </w:t>
      </w:r>
      <w:r w:rsidRPr="002D6FC6">
        <w:rPr>
          <w:i/>
          <w:iCs/>
          <w:snapToGrid w:val="0"/>
          <w:lang w:val="fr-CH"/>
        </w:rPr>
        <w:t>Faits nouveaux dans l</w:t>
      </w:r>
      <w:r w:rsidR="008E4A6E">
        <w:rPr>
          <w:i/>
          <w:iCs/>
          <w:snapToGrid w:val="0"/>
          <w:lang w:val="fr-CH"/>
        </w:rPr>
        <w:t>’</w:t>
      </w:r>
      <w:r w:rsidRPr="002D6FC6">
        <w:rPr>
          <w:i/>
          <w:iCs/>
          <w:snapToGrid w:val="0"/>
          <w:lang w:val="fr-CH"/>
        </w:rPr>
        <w:t>application des techniques biochimiques et moléculaires dans les systèmes de l</w:t>
      </w:r>
      <w:r w:rsidR="008E4A6E">
        <w:rPr>
          <w:i/>
          <w:iCs/>
          <w:snapToGrid w:val="0"/>
          <w:lang w:val="fr-CH"/>
        </w:rPr>
        <w:t>’</w:t>
      </w:r>
      <w:r w:rsidRPr="002D6FC6">
        <w:rPr>
          <w:i/>
          <w:iCs/>
          <w:snapToGrid w:val="0"/>
          <w:lang w:val="fr-CH"/>
        </w:rPr>
        <w:t>OCDE en matière de semences (TWM/1/24)</w:t>
      </w:r>
    </w:p>
    <w:p w14:paraId="38981CAE" w14:textId="213CDE57" w:rsidR="000F0880" w:rsidRPr="002D6FC6" w:rsidRDefault="000F0880" w:rsidP="000F0880">
      <w:pPr>
        <w:spacing w:after="120"/>
        <w:ind w:left="567" w:hanging="5"/>
        <w:rPr>
          <w:i/>
          <w:snapToGrid w:val="0"/>
          <w:lang w:val="fr-CH"/>
        </w:rPr>
      </w:pPr>
      <w:r w:rsidRPr="002D6FC6">
        <w:rPr>
          <w:i/>
          <w:iCs/>
          <w:snapToGrid w:val="0"/>
          <w:lang w:val="fr-CH"/>
        </w:rPr>
        <w:t>c)</w:t>
      </w:r>
      <w:r w:rsidRPr="002D6FC6">
        <w:rPr>
          <w:i/>
          <w:iCs/>
          <w:snapToGrid w:val="0"/>
          <w:lang w:val="fr-CH"/>
        </w:rPr>
        <w:tab/>
        <w:t>Compte rendu des travaux sur les techniques moléculaires dans le cadre de l</w:t>
      </w:r>
      <w:r w:rsidR="008E4A6E">
        <w:rPr>
          <w:i/>
          <w:iCs/>
          <w:snapToGrid w:val="0"/>
          <w:lang w:val="fr-CH"/>
        </w:rPr>
        <w:t>’</w:t>
      </w:r>
      <w:r w:rsidRPr="002D6FC6">
        <w:rPr>
          <w:i/>
          <w:iCs/>
          <w:snapToGrid w:val="0"/>
          <w:lang w:val="fr-CH"/>
        </w:rPr>
        <w:t>examen</w:t>
      </w:r>
      <w:r w:rsidR="00A43950">
        <w:rPr>
          <w:i/>
          <w:iCs/>
          <w:snapToGrid w:val="0"/>
          <w:lang w:val="fr-CH"/>
        </w:rPr>
        <w:t> </w:t>
      </w:r>
      <w:r w:rsidRPr="002D6FC6">
        <w:rPr>
          <w:i/>
          <w:iCs/>
          <w:snapToGrid w:val="0"/>
          <w:lang w:val="fr-CH"/>
        </w:rPr>
        <w:t>DHS</w:t>
      </w:r>
    </w:p>
    <w:p w14:paraId="0E0793C7" w14:textId="66399FC8"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Informations sur les activités d</w:t>
      </w:r>
      <w:r w:rsidR="008E4A6E">
        <w:rPr>
          <w:i/>
          <w:iCs/>
          <w:snapToGrid w:val="0"/>
          <w:lang w:val="fr-CH"/>
        </w:rPr>
        <w:t>’</w:t>
      </w:r>
      <w:r w:rsidRPr="002D6FC6">
        <w:rPr>
          <w:i/>
          <w:iCs/>
          <w:snapToGrid w:val="0"/>
          <w:lang w:val="fr-CH"/>
        </w:rPr>
        <w:t>IMODDUS (TWM/1/14)</w:t>
      </w:r>
    </w:p>
    <w:p w14:paraId="6060CF0C" w14:textId="44EA145E" w:rsidR="000F0880" w:rsidRPr="002D6FC6" w:rsidRDefault="000F0880" w:rsidP="000F0880">
      <w:pPr>
        <w:spacing w:after="120"/>
        <w:ind w:left="567" w:hanging="5"/>
        <w:rPr>
          <w:i/>
          <w:snapToGrid w:val="0"/>
          <w:lang w:val="fr-CH"/>
        </w:rPr>
      </w:pPr>
      <w:r w:rsidRPr="002D6FC6">
        <w:rPr>
          <w:i/>
          <w:iCs/>
          <w:snapToGrid w:val="0"/>
          <w:lang w:val="fr-CH"/>
        </w:rPr>
        <w:t>d)</w:t>
      </w:r>
      <w:r w:rsidRPr="002D6FC6">
        <w:rPr>
          <w:i/>
          <w:iCs/>
          <w:snapToGrid w:val="0"/>
          <w:lang w:val="fr-CH"/>
        </w:rPr>
        <w:tab/>
        <w:t>Méthodes d</w:t>
      </w:r>
      <w:r w:rsidR="008E4A6E">
        <w:rPr>
          <w:i/>
          <w:iCs/>
          <w:snapToGrid w:val="0"/>
          <w:lang w:val="fr-CH"/>
        </w:rPr>
        <w:t>’</w:t>
      </w:r>
      <w:r w:rsidRPr="002D6FC6">
        <w:rPr>
          <w:i/>
          <w:iCs/>
          <w:snapToGrid w:val="0"/>
          <w:lang w:val="fr-CH"/>
        </w:rPr>
        <w:t>analyse des données moléculaires, gestion des bases de données et échange de données et de matériel</w:t>
      </w:r>
    </w:p>
    <w:p w14:paraId="0FB37CAE" w14:textId="4674B88A"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Application des marqueurs moléculaires dans l</w:t>
      </w:r>
      <w:r w:rsidR="008E4A6E">
        <w:rPr>
          <w:i/>
          <w:iCs/>
          <w:snapToGrid w:val="0"/>
          <w:lang w:val="fr-CH"/>
        </w:rPr>
        <w:t>’</w:t>
      </w:r>
      <w:r w:rsidRPr="002D6FC6">
        <w:rPr>
          <w:i/>
          <w:iCs/>
          <w:snapToGrid w:val="0"/>
          <w:lang w:val="fr-CH"/>
        </w:rPr>
        <w:t>examen</w:t>
      </w:r>
      <w:r w:rsidR="00A43950">
        <w:rPr>
          <w:i/>
          <w:iCs/>
          <w:snapToGrid w:val="0"/>
          <w:lang w:val="fr-CH"/>
        </w:rPr>
        <w:t> </w:t>
      </w:r>
      <w:r w:rsidRPr="002D6FC6">
        <w:rPr>
          <w:i/>
          <w:iCs/>
          <w:snapToGrid w:val="0"/>
          <w:lang w:val="fr-CH"/>
        </w:rPr>
        <w:t>DHS des nouvelles variétés de chou chinois (TWM/1/9)</w:t>
      </w:r>
    </w:p>
    <w:p w14:paraId="135BC426" w14:textId="332664D1"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w:t>
      </w:r>
      <w:proofErr w:type="spellStart"/>
      <w:r w:rsidRPr="002D6FC6">
        <w:rPr>
          <w:i/>
          <w:iCs/>
          <w:snapToGrid w:val="0"/>
          <w:lang w:val="fr-CH"/>
        </w:rPr>
        <w:t>DURDUStools</w:t>
      </w:r>
      <w:proofErr w:type="spellEnd"/>
      <w:r w:rsidR="008E4A6E">
        <w:rPr>
          <w:i/>
          <w:iCs/>
          <w:snapToGrid w:val="0"/>
          <w:lang w:val="fr-CH"/>
        </w:rPr>
        <w:t> :</w:t>
      </w:r>
      <w:r w:rsidRPr="002D6FC6">
        <w:rPr>
          <w:i/>
          <w:iCs/>
          <w:snapToGrid w:val="0"/>
          <w:lang w:val="fr-CH"/>
        </w:rPr>
        <w:t xml:space="preserve"> élaboration d</w:t>
      </w:r>
      <w:r w:rsidR="008E4A6E">
        <w:rPr>
          <w:i/>
          <w:iCs/>
          <w:snapToGrid w:val="0"/>
          <w:lang w:val="fr-CH"/>
        </w:rPr>
        <w:t>’</w:t>
      </w:r>
      <w:r w:rsidRPr="002D6FC6">
        <w:rPr>
          <w:i/>
          <w:iCs/>
          <w:snapToGrid w:val="0"/>
          <w:lang w:val="fr-CH"/>
        </w:rPr>
        <w:t>une base de données moléculaires commune accessible en ligne et d</w:t>
      </w:r>
      <w:r w:rsidR="008E4A6E">
        <w:rPr>
          <w:i/>
          <w:iCs/>
          <w:snapToGrid w:val="0"/>
          <w:lang w:val="fr-CH"/>
        </w:rPr>
        <w:t>’</w:t>
      </w:r>
      <w:r w:rsidRPr="002D6FC6">
        <w:rPr>
          <w:i/>
          <w:iCs/>
          <w:snapToGrid w:val="0"/>
          <w:lang w:val="fr-CH"/>
        </w:rPr>
        <w:t>un outil de calcul de la distance génétique pour le blé dur (TWM/1/12)</w:t>
      </w:r>
    </w:p>
    <w:p w14:paraId="5AF82BA7" w14:textId="2193E1CA"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Élaboration d</w:t>
      </w:r>
      <w:r w:rsidR="008E4A6E">
        <w:rPr>
          <w:i/>
          <w:iCs/>
          <w:snapToGrid w:val="0"/>
          <w:lang w:val="fr-CH"/>
        </w:rPr>
        <w:t>’</w:t>
      </w:r>
      <w:r w:rsidRPr="002D6FC6">
        <w:rPr>
          <w:i/>
          <w:iCs/>
          <w:snapToGrid w:val="0"/>
          <w:lang w:val="fr-CH"/>
        </w:rPr>
        <w:t>un ensemble de marqueurs SNP pour le Cannabis pour appuyer l</w:t>
      </w:r>
      <w:r w:rsidR="008E4A6E">
        <w:rPr>
          <w:i/>
          <w:iCs/>
          <w:snapToGrid w:val="0"/>
          <w:lang w:val="fr-CH"/>
        </w:rPr>
        <w:t>’</w:t>
      </w:r>
      <w:r w:rsidRPr="002D6FC6">
        <w:rPr>
          <w:i/>
          <w:iCs/>
          <w:snapToGrid w:val="0"/>
          <w:lang w:val="fr-CH"/>
        </w:rPr>
        <w:t>examen</w:t>
      </w:r>
      <w:r w:rsidR="00A43950">
        <w:rPr>
          <w:i/>
          <w:iCs/>
          <w:snapToGrid w:val="0"/>
          <w:lang w:val="fr-CH"/>
        </w:rPr>
        <w:t> </w:t>
      </w:r>
      <w:r w:rsidRPr="002D6FC6">
        <w:rPr>
          <w:i/>
          <w:iCs/>
          <w:snapToGrid w:val="0"/>
          <w:lang w:val="fr-CH"/>
        </w:rPr>
        <w:t>DHS (TWM/1/17)</w:t>
      </w:r>
    </w:p>
    <w:p w14:paraId="54B5021E" w14:textId="4487A272"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Harmonisation et validation internationales d</w:t>
      </w:r>
      <w:r w:rsidR="008E4A6E">
        <w:rPr>
          <w:i/>
          <w:iCs/>
          <w:snapToGrid w:val="0"/>
          <w:lang w:val="fr-CH"/>
        </w:rPr>
        <w:t>’</w:t>
      </w:r>
      <w:r w:rsidRPr="002D6FC6">
        <w:rPr>
          <w:i/>
          <w:iCs/>
          <w:snapToGrid w:val="0"/>
          <w:lang w:val="fr-CH"/>
        </w:rPr>
        <w:t>un ensemble de marqueurs SNP pour la gestion de la collection de référence pour la tomate (TWM/1/18)</w:t>
      </w:r>
    </w:p>
    <w:p w14:paraId="25E530EC" w14:textId="4547ACC2" w:rsidR="008E4A6E" w:rsidRDefault="000F0880" w:rsidP="000F0880">
      <w:pPr>
        <w:spacing w:after="120"/>
        <w:ind w:left="567" w:hanging="5"/>
        <w:rPr>
          <w:i/>
          <w:iCs/>
          <w:snapToGrid w:val="0"/>
          <w:lang w:val="fr-CH"/>
        </w:rPr>
      </w:pPr>
      <w:r w:rsidRPr="002D6FC6">
        <w:rPr>
          <w:snapToGrid w:val="0"/>
          <w:lang w:val="fr-CH"/>
        </w:rPr>
        <w:lastRenderedPageBreak/>
        <w:tab/>
      </w:r>
      <w:r w:rsidRPr="002D6FC6">
        <w:rPr>
          <w:snapToGrid w:val="0"/>
          <w:lang w:val="fr-CH"/>
        </w:rPr>
        <w:tab/>
      </w:r>
      <w:r w:rsidR="00370290">
        <w:rPr>
          <w:i/>
          <w:iCs/>
          <w:snapToGrid w:val="0"/>
          <w:lang w:val="fr-CH"/>
        </w:rPr>
        <w:t>–</w:t>
      </w:r>
      <w:r w:rsidRPr="002D6FC6">
        <w:rPr>
          <w:i/>
          <w:iCs/>
          <w:snapToGrid w:val="0"/>
          <w:lang w:val="fr-CH"/>
        </w:rPr>
        <w:t xml:space="preserve"> Génotypage du coton au moyen</w:t>
      </w:r>
      <w:r w:rsidR="008E4A6E" w:rsidRPr="002D6FC6">
        <w:rPr>
          <w:i/>
          <w:iCs/>
          <w:snapToGrid w:val="0"/>
          <w:lang w:val="fr-CH"/>
        </w:rPr>
        <w:t xml:space="preserve"> du</w:t>
      </w:r>
      <w:r w:rsidR="008E4A6E">
        <w:rPr>
          <w:i/>
          <w:iCs/>
          <w:snapToGrid w:val="0"/>
          <w:lang w:val="fr-CH"/>
        </w:rPr>
        <w:t> </w:t>
      </w:r>
      <w:r w:rsidR="008E4A6E" w:rsidRPr="002D6FC6">
        <w:rPr>
          <w:i/>
          <w:iCs/>
          <w:snapToGrid w:val="0"/>
          <w:lang w:val="fr-CH"/>
        </w:rPr>
        <w:t>TAM</w:t>
      </w:r>
      <w:r w:rsidRPr="002D6FC6">
        <w:rPr>
          <w:i/>
          <w:iCs/>
          <w:snapToGrid w:val="0"/>
          <w:lang w:val="fr-CH"/>
        </w:rPr>
        <w:t>U</w:t>
      </w:r>
      <w:r w:rsidR="00370290">
        <w:rPr>
          <w:i/>
          <w:iCs/>
          <w:snapToGrid w:val="0"/>
          <w:lang w:val="fr-CH"/>
        </w:rPr>
        <w:t> </w:t>
      </w:r>
      <w:r w:rsidRPr="002D6FC6">
        <w:rPr>
          <w:i/>
          <w:iCs/>
          <w:snapToGrid w:val="0"/>
          <w:lang w:val="fr-CH"/>
        </w:rPr>
        <w:t>63KSNPsArray (TWM/1/13)</w:t>
      </w:r>
    </w:p>
    <w:p w14:paraId="52F84852" w14:textId="24FFE713" w:rsidR="000F0880" w:rsidRPr="002D6FC6" w:rsidRDefault="000F0880" w:rsidP="000F0880">
      <w:pPr>
        <w:spacing w:after="120"/>
        <w:ind w:left="567" w:hanging="5"/>
        <w:rPr>
          <w:i/>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Méthode de marqueurs moléculaires du soja de l</w:t>
      </w:r>
      <w:r w:rsidR="008E4A6E">
        <w:rPr>
          <w:i/>
          <w:iCs/>
          <w:snapToGrid w:val="0"/>
          <w:lang w:val="fr-CH"/>
        </w:rPr>
        <w:t>’</w:t>
      </w:r>
      <w:r w:rsidRPr="002D6FC6">
        <w:rPr>
          <w:i/>
          <w:iCs/>
          <w:snapToGrid w:val="0"/>
          <w:lang w:val="fr-CH"/>
        </w:rPr>
        <w:t>Office de protection des variétés végétales des États</w:t>
      </w:r>
      <w:r w:rsidR="00ED3D7A">
        <w:rPr>
          <w:i/>
          <w:iCs/>
          <w:snapToGrid w:val="0"/>
          <w:lang w:val="fr-CH"/>
        </w:rPr>
        <w:noBreakHyphen/>
      </w:r>
      <w:r w:rsidRPr="002D6FC6">
        <w:rPr>
          <w:i/>
          <w:iCs/>
          <w:snapToGrid w:val="0"/>
          <w:lang w:val="fr-CH"/>
        </w:rPr>
        <w:t>Unis d</w:t>
      </w:r>
      <w:r w:rsidR="008E4A6E">
        <w:rPr>
          <w:i/>
          <w:iCs/>
          <w:snapToGrid w:val="0"/>
          <w:lang w:val="fr-CH"/>
        </w:rPr>
        <w:t>’</w:t>
      </w:r>
      <w:r w:rsidRPr="002D6FC6">
        <w:rPr>
          <w:i/>
          <w:iCs/>
          <w:snapToGrid w:val="0"/>
          <w:lang w:val="fr-CH"/>
        </w:rPr>
        <w:t>Amérique (TWM/1/16)</w:t>
      </w:r>
    </w:p>
    <w:p w14:paraId="19FB4D6E" w14:textId="63664294" w:rsidR="000F0880" w:rsidRPr="002D6FC6" w:rsidRDefault="000F0880" w:rsidP="000F0880">
      <w:pPr>
        <w:spacing w:after="120"/>
        <w:ind w:left="567" w:hanging="5"/>
        <w:rPr>
          <w:i/>
          <w:snapToGrid w:val="0"/>
          <w:lang w:val="fr-CH"/>
        </w:rPr>
      </w:pPr>
      <w:r w:rsidRPr="002D6FC6">
        <w:rPr>
          <w:i/>
          <w:iCs/>
          <w:snapToGrid w:val="0"/>
          <w:lang w:val="fr-CH"/>
        </w:rPr>
        <w:t>e)</w:t>
      </w:r>
      <w:r w:rsidRPr="002D6FC6">
        <w:rPr>
          <w:i/>
          <w:iCs/>
          <w:snapToGrid w:val="0"/>
          <w:lang w:val="fr-CH"/>
        </w:rPr>
        <w:tab/>
        <w:t xml:space="preserve">Confidentialité, propriété et accès en matière de données moléculaires, </w:t>
      </w:r>
      <w:r w:rsidR="008E4A6E">
        <w:rPr>
          <w:i/>
          <w:iCs/>
          <w:snapToGrid w:val="0"/>
          <w:lang w:val="fr-CH"/>
        </w:rPr>
        <w:t>y compris</w:t>
      </w:r>
      <w:r w:rsidRPr="002D6FC6">
        <w:rPr>
          <w:i/>
          <w:iCs/>
          <w:snapToGrid w:val="0"/>
          <w:lang w:val="fr-CH"/>
        </w:rPr>
        <w:t xml:space="preserve"> le modèle d</w:t>
      </w:r>
      <w:r w:rsidR="008E4A6E">
        <w:rPr>
          <w:i/>
          <w:iCs/>
          <w:snapToGrid w:val="0"/>
          <w:lang w:val="fr-CH"/>
        </w:rPr>
        <w:t>’</w:t>
      </w:r>
      <w:r w:rsidRPr="002D6FC6">
        <w:rPr>
          <w:i/>
          <w:iCs/>
          <w:snapToGrid w:val="0"/>
          <w:lang w:val="fr-CH"/>
        </w:rPr>
        <w:t>accord type (TWM/1/22)</w:t>
      </w:r>
    </w:p>
    <w:p w14:paraId="58D6450F" w14:textId="76523648" w:rsidR="000F0880" w:rsidRPr="002D6FC6" w:rsidRDefault="000F0880" w:rsidP="000F0880">
      <w:pPr>
        <w:spacing w:after="120"/>
        <w:ind w:left="567" w:hanging="5"/>
        <w:rPr>
          <w:i/>
          <w:snapToGrid w:val="0"/>
          <w:lang w:val="fr-CH"/>
        </w:rPr>
      </w:pPr>
      <w:r w:rsidRPr="002D6FC6">
        <w:rPr>
          <w:i/>
          <w:iCs/>
          <w:snapToGrid w:val="0"/>
          <w:lang w:val="fr-CH"/>
        </w:rPr>
        <w:t>f)</w:t>
      </w:r>
      <w:r w:rsidRPr="002D6FC6">
        <w:rPr>
          <w:i/>
          <w:iCs/>
          <w:snapToGrid w:val="0"/>
          <w:lang w:val="fr-CH"/>
        </w:rPr>
        <w:tab/>
        <w:t>Utilisation des techniques moléculaires pour l</w:t>
      </w:r>
      <w:r w:rsidR="008E4A6E">
        <w:rPr>
          <w:i/>
          <w:iCs/>
          <w:snapToGrid w:val="0"/>
          <w:lang w:val="fr-CH"/>
        </w:rPr>
        <w:t>’</w:t>
      </w:r>
      <w:r w:rsidRPr="002D6FC6">
        <w:rPr>
          <w:i/>
          <w:iCs/>
          <w:snapToGrid w:val="0"/>
          <w:lang w:val="fr-CH"/>
        </w:rPr>
        <w:t>examen des variétés essentiellement dérivées</w:t>
      </w:r>
    </w:p>
    <w:p w14:paraId="2F2430F5" w14:textId="16F69613" w:rsidR="00392E40" w:rsidRPr="002D6FC6" w:rsidRDefault="00392E40" w:rsidP="000F0880">
      <w:pPr>
        <w:spacing w:after="120"/>
        <w:ind w:left="567" w:hanging="5"/>
        <w:rPr>
          <w:i/>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Aucun document n</w:t>
      </w:r>
      <w:r w:rsidR="008E4A6E">
        <w:rPr>
          <w:i/>
          <w:iCs/>
          <w:snapToGrid w:val="0"/>
          <w:lang w:val="fr-CH"/>
        </w:rPr>
        <w:t>’</w:t>
      </w:r>
      <w:r w:rsidRPr="002D6FC6">
        <w:rPr>
          <w:i/>
          <w:iCs/>
          <w:snapToGrid w:val="0"/>
          <w:lang w:val="fr-CH"/>
        </w:rPr>
        <w:t>a été reçu pour ce point de l</w:t>
      </w:r>
      <w:r w:rsidR="008E4A6E">
        <w:rPr>
          <w:i/>
          <w:iCs/>
          <w:snapToGrid w:val="0"/>
          <w:lang w:val="fr-CH"/>
        </w:rPr>
        <w:t>’</w:t>
      </w:r>
      <w:r w:rsidRPr="002D6FC6">
        <w:rPr>
          <w:i/>
          <w:iCs/>
          <w:snapToGrid w:val="0"/>
          <w:lang w:val="fr-CH"/>
        </w:rPr>
        <w:t>ordre du jour.</w:t>
      </w:r>
    </w:p>
    <w:p w14:paraId="643CFD3C" w14:textId="3749C559" w:rsidR="008E4A6E" w:rsidRDefault="000F0880" w:rsidP="000F0880">
      <w:pPr>
        <w:spacing w:after="120"/>
        <w:ind w:left="567" w:hanging="5"/>
        <w:rPr>
          <w:i/>
          <w:iCs/>
          <w:snapToGrid w:val="0"/>
          <w:lang w:val="fr-CH"/>
        </w:rPr>
      </w:pPr>
      <w:r w:rsidRPr="002D6FC6">
        <w:rPr>
          <w:i/>
          <w:iCs/>
          <w:snapToGrid w:val="0"/>
          <w:lang w:val="fr-CH"/>
        </w:rPr>
        <w:t>g)</w:t>
      </w:r>
      <w:r w:rsidRPr="002D6FC6">
        <w:rPr>
          <w:i/>
          <w:iCs/>
          <w:snapToGrid w:val="0"/>
          <w:lang w:val="fr-CH"/>
        </w:rPr>
        <w:tab/>
        <w:t>Utilisation des techniques moléculaires pour l</w:t>
      </w:r>
      <w:r w:rsidR="008E4A6E">
        <w:rPr>
          <w:i/>
          <w:iCs/>
          <w:snapToGrid w:val="0"/>
          <w:lang w:val="fr-CH"/>
        </w:rPr>
        <w:t>’</w:t>
      </w:r>
      <w:r w:rsidRPr="002D6FC6">
        <w:rPr>
          <w:i/>
          <w:iCs/>
          <w:snapToGrid w:val="0"/>
          <w:lang w:val="fr-CH"/>
        </w:rPr>
        <w:t>identification des variétés</w:t>
      </w:r>
      <w:r w:rsidRPr="002D6FC6">
        <w:rPr>
          <w:i/>
          <w:iCs/>
          <w:snapToGrid w:val="0"/>
          <w:vertAlign w:val="superscript"/>
          <w:lang w:val="fr-CH"/>
        </w:rPr>
        <w:t>1</w:t>
      </w:r>
    </w:p>
    <w:p w14:paraId="305BDFDA" w14:textId="3FB75C52" w:rsidR="008E4A6E" w:rsidRDefault="000F0880" w:rsidP="000F0880">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Identification des variétés</w:t>
      </w:r>
      <w:r w:rsidR="008E4A6E">
        <w:rPr>
          <w:i/>
          <w:iCs/>
          <w:snapToGrid w:val="0"/>
          <w:lang w:val="fr-CH"/>
        </w:rPr>
        <w:t> :</w:t>
      </w:r>
      <w:r w:rsidRPr="002D6FC6">
        <w:rPr>
          <w:i/>
          <w:iCs/>
          <w:snapToGrid w:val="0"/>
          <w:lang w:val="fr-CH"/>
        </w:rPr>
        <w:t xml:space="preserve"> le cas du soja en Argentine (TWM/1/15)</w:t>
      </w:r>
    </w:p>
    <w:p w14:paraId="7B71C117" w14:textId="37E32A98" w:rsidR="000F0880" w:rsidRPr="002D6FC6" w:rsidRDefault="000F0880" w:rsidP="000F0880">
      <w:pPr>
        <w:spacing w:after="120"/>
        <w:ind w:left="567" w:hanging="5"/>
        <w:rPr>
          <w:i/>
          <w:snapToGrid w:val="0"/>
          <w:lang w:val="fr-CH"/>
        </w:rPr>
      </w:pPr>
      <w:r w:rsidRPr="002D6FC6">
        <w:rPr>
          <w:snapToGrid w:val="0"/>
          <w:lang w:val="fr-CH"/>
        </w:rPr>
        <w:tab/>
      </w:r>
      <w:r w:rsidRPr="002D6FC6">
        <w:rPr>
          <w:snapToGrid w:val="0"/>
          <w:lang w:val="fr-CH"/>
        </w:rPr>
        <w:tab/>
      </w:r>
      <w:r w:rsidR="00370290">
        <w:rPr>
          <w:i/>
          <w:iCs/>
          <w:snapToGrid w:val="0"/>
          <w:lang w:val="fr-CH"/>
        </w:rPr>
        <w:t>–</w:t>
      </w:r>
      <w:r w:rsidRPr="002D6FC6">
        <w:rPr>
          <w:i/>
          <w:iCs/>
          <w:snapToGrid w:val="0"/>
          <w:lang w:val="fr-CH"/>
        </w:rPr>
        <w:t xml:space="preserve"> PCR numérique pour la quantification des génotypes</w:t>
      </w:r>
      <w:r w:rsidR="008E4A6E">
        <w:rPr>
          <w:i/>
          <w:iCs/>
          <w:snapToGrid w:val="0"/>
          <w:lang w:val="fr-CH"/>
        </w:rPr>
        <w:t> :</w:t>
      </w:r>
      <w:r w:rsidRPr="002D6FC6">
        <w:rPr>
          <w:i/>
          <w:iCs/>
          <w:snapToGrid w:val="0"/>
          <w:lang w:val="fr-CH"/>
        </w:rPr>
        <w:t xml:space="preserve"> une étude de cas dans une chaîne de production de pâtes (TWM/1/21)</w:t>
      </w:r>
    </w:p>
    <w:p w14:paraId="648B8772" w14:textId="2EE5DFBF" w:rsidR="008E4A6E" w:rsidRDefault="000F0880" w:rsidP="000F0880">
      <w:pPr>
        <w:spacing w:after="120"/>
        <w:ind w:left="567" w:hanging="5"/>
        <w:rPr>
          <w:i/>
          <w:iCs/>
          <w:snapToGrid w:val="0"/>
          <w:lang w:val="fr-CH"/>
        </w:rPr>
      </w:pPr>
      <w:r w:rsidRPr="002D6FC6">
        <w:rPr>
          <w:i/>
          <w:iCs/>
          <w:snapToGrid w:val="0"/>
          <w:lang w:val="fr-CH"/>
        </w:rPr>
        <w:t>h)</w:t>
      </w:r>
      <w:r w:rsidRPr="002D6FC6">
        <w:rPr>
          <w:i/>
          <w:iCs/>
          <w:snapToGrid w:val="0"/>
          <w:lang w:val="fr-CH"/>
        </w:rPr>
        <w:tab/>
        <w:t>Utilisation des techniques moléculaires pour l</w:t>
      </w:r>
      <w:r w:rsidR="008E4A6E">
        <w:rPr>
          <w:i/>
          <w:iCs/>
          <w:snapToGrid w:val="0"/>
          <w:lang w:val="fr-CH"/>
        </w:rPr>
        <w:t>’</w:t>
      </w:r>
      <w:r w:rsidRPr="002D6FC6">
        <w:rPr>
          <w:i/>
          <w:iCs/>
          <w:snapToGrid w:val="0"/>
          <w:lang w:val="fr-CH"/>
        </w:rPr>
        <w:t>application des droits</w:t>
      </w:r>
      <w:r w:rsidRPr="002D6FC6">
        <w:rPr>
          <w:i/>
          <w:iCs/>
          <w:snapToGrid w:val="0"/>
          <w:vertAlign w:val="superscript"/>
          <w:lang w:val="fr-CH"/>
        </w:rPr>
        <w:t>1</w:t>
      </w:r>
    </w:p>
    <w:p w14:paraId="171DB975" w14:textId="19B014AC" w:rsidR="008E4A6E" w:rsidRDefault="000F0880" w:rsidP="007022C5">
      <w:pPr>
        <w:spacing w:after="120"/>
        <w:ind w:left="567" w:hanging="5"/>
        <w:rPr>
          <w:i/>
          <w:iCs/>
          <w:snapToGrid w:val="0"/>
          <w:lang w:val="fr-CH"/>
        </w:rPr>
      </w:pPr>
      <w:r w:rsidRPr="002D6FC6">
        <w:rPr>
          <w:snapToGrid w:val="0"/>
          <w:lang w:val="fr-CH"/>
        </w:rPr>
        <w:tab/>
      </w:r>
      <w:r w:rsidRPr="002D6FC6">
        <w:rPr>
          <w:snapToGrid w:val="0"/>
          <w:lang w:val="fr-CH"/>
        </w:rPr>
        <w:tab/>
      </w:r>
      <w:r w:rsidR="00370290">
        <w:rPr>
          <w:i/>
          <w:iCs/>
          <w:snapToGrid w:val="0"/>
          <w:lang w:val="fr-CH"/>
        </w:rPr>
        <w:t>—</w:t>
      </w:r>
      <w:proofErr w:type="spellStart"/>
      <w:r w:rsidRPr="002D6FC6">
        <w:rPr>
          <w:i/>
          <w:iCs/>
          <w:snapToGrid w:val="0"/>
          <w:lang w:val="fr-CH"/>
        </w:rPr>
        <w:t>Variety</w:t>
      </w:r>
      <w:proofErr w:type="spellEnd"/>
      <w:r w:rsidRPr="002D6FC6">
        <w:rPr>
          <w:i/>
          <w:iCs/>
          <w:snapToGrid w:val="0"/>
          <w:lang w:val="fr-CH"/>
        </w:rPr>
        <w:t xml:space="preserve"> Tracer</w:t>
      </w:r>
      <w:r w:rsidR="008E4A6E">
        <w:rPr>
          <w:i/>
          <w:iCs/>
          <w:snapToGrid w:val="0"/>
          <w:lang w:val="fr-CH"/>
        </w:rPr>
        <w:t> :</w:t>
      </w:r>
      <w:r w:rsidRPr="002D6FC6">
        <w:rPr>
          <w:i/>
          <w:iCs/>
          <w:snapToGrid w:val="0"/>
          <w:lang w:val="fr-CH"/>
        </w:rPr>
        <w:t xml:space="preserve"> utilisation frauduleuse des lignées parentales (TWM/1/19)</w:t>
      </w:r>
    </w:p>
    <w:p w14:paraId="63601738" w14:textId="57D81154" w:rsidR="00EF757F" w:rsidRPr="002D6FC6" w:rsidRDefault="00EF757F" w:rsidP="00EF757F">
      <w:pPr>
        <w:rPr>
          <w:highlight w:val="cyan"/>
          <w:lang w:val="fr-CH"/>
        </w:rPr>
      </w:pPr>
    </w:p>
    <w:p w14:paraId="786799A1" w14:textId="783C6D9B" w:rsidR="00306A90" w:rsidRPr="002D6FC6" w:rsidRDefault="00306A90" w:rsidP="005C548D">
      <w:pPr>
        <w:pStyle w:val="Heading2"/>
        <w:rPr>
          <w:lang w:val="fr-CH"/>
        </w:rPr>
      </w:pPr>
      <w:bookmarkStart w:id="23" w:name="_Toc117072746"/>
      <w:r w:rsidRPr="002D6FC6">
        <w:rPr>
          <w:lang w:val="fr-CH"/>
        </w:rPr>
        <w:t>Compte rendu des travaux sur les techniques moléculaires dans le cadre de l</w:t>
      </w:r>
      <w:r w:rsidR="008E4A6E">
        <w:rPr>
          <w:lang w:val="fr-CH"/>
        </w:rPr>
        <w:t>’</w:t>
      </w:r>
      <w:r w:rsidRPr="002D6FC6">
        <w:rPr>
          <w:lang w:val="fr-CH"/>
        </w:rPr>
        <w:t>examen</w:t>
      </w:r>
      <w:r w:rsidR="00A43950">
        <w:rPr>
          <w:lang w:val="fr-CH"/>
        </w:rPr>
        <w:t> </w:t>
      </w:r>
      <w:r w:rsidRPr="002D6FC6">
        <w:rPr>
          <w:lang w:val="fr-CH"/>
        </w:rPr>
        <w:t>DHS</w:t>
      </w:r>
      <w:bookmarkEnd w:id="23"/>
    </w:p>
    <w:p w14:paraId="397DB0F9" w14:textId="77777777" w:rsidR="00306A90" w:rsidRPr="002D6FC6" w:rsidRDefault="00306A90" w:rsidP="00306A90">
      <w:pPr>
        <w:rPr>
          <w:lang w:val="fr-CH"/>
        </w:rPr>
      </w:pPr>
    </w:p>
    <w:p w14:paraId="25FB011F" w14:textId="729EF2E6"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Mme</w:t>
      </w:r>
      <w:r w:rsidR="00A43950">
        <w:rPr>
          <w:lang w:val="fr-CH"/>
        </w:rPr>
        <w:t> </w:t>
      </w:r>
      <w:r w:rsidRPr="002D6FC6">
        <w:rPr>
          <w:lang w:val="fr-CH"/>
        </w:rPr>
        <w:t>Cécile</w:t>
      </w:r>
      <w:r w:rsidR="00370290">
        <w:rPr>
          <w:lang w:val="fr-CH"/>
        </w:rPr>
        <w:t> </w:t>
      </w:r>
      <w:proofErr w:type="spellStart"/>
      <w:r w:rsidRPr="002D6FC6">
        <w:rPr>
          <w:lang w:val="fr-CH"/>
        </w:rPr>
        <w:t>Collonnier</w:t>
      </w:r>
      <w:proofErr w:type="spellEnd"/>
      <w:r w:rsidRPr="002D6FC6">
        <w:rPr>
          <w:lang w:val="fr-CH"/>
        </w:rPr>
        <w:t xml:space="preserve"> (Office communautaire des variétés végétales (OCVV)) intitulé “Update on IMODDUS </w:t>
      </w:r>
      <w:proofErr w:type="spellStart"/>
      <w:r w:rsidRPr="002D6FC6">
        <w:rPr>
          <w:lang w:val="fr-CH"/>
        </w:rPr>
        <w:t>activities</w:t>
      </w:r>
      <w:proofErr w:type="spellEnd"/>
      <w:r w:rsidRPr="002D6FC6">
        <w:rPr>
          <w:lang w:val="fr-CH"/>
        </w:rPr>
        <w:t>” (Mise à jour sur les activités d</w:t>
      </w:r>
      <w:r w:rsidR="008E4A6E">
        <w:rPr>
          <w:lang w:val="fr-CH"/>
        </w:rPr>
        <w:t>’</w:t>
      </w:r>
      <w:r w:rsidRPr="002D6FC6">
        <w:rPr>
          <w:lang w:val="fr-CH"/>
        </w:rPr>
        <w:t>IMODDUS), dont on trouvera une copie dans le document TWM/1/14.</w:t>
      </w:r>
    </w:p>
    <w:p w14:paraId="2966D2BD" w14:textId="77777777" w:rsidR="00306A90" w:rsidRPr="002D6FC6" w:rsidRDefault="00306A90" w:rsidP="00306A90">
      <w:pPr>
        <w:rPr>
          <w:lang w:val="fr-CH"/>
        </w:rPr>
      </w:pPr>
    </w:p>
    <w:p w14:paraId="68AF5348" w14:textId="32313BD0" w:rsidR="00306A90" w:rsidRPr="002D6FC6" w:rsidRDefault="00306A90" w:rsidP="005C548D">
      <w:pPr>
        <w:pStyle w:val="Heading2"/>
        <w:rPr>
          <w:lang w:val="fr-CH"/>
        </w:rPr>
      </w:pPr>
      <w:bookmarkStart w:id="24" w:name="_Toc117072747"/>
      <w:r w:rsidRPr="002D6FC6">
        <w:rPr>
          <w:lang w:val="fr-CH"/>
        </w:rPr>
        <w:t>Méthodes d</w:t>
      </w:r>
      <w:r w:rsidR="008E4A6E">
        <w:rPr>
          <w:lang w:val="fr-CH"/>
        </w:rPr>
        <w:t>’</w:t>
      </w:r>
      <w:r w:rsidRPr="002D6FC6">
        <w:rPr>
          <w:lang w:val="fr-CH"/>
        </w:rPr>
        <w:t>analyse des données moléculaires, gestion des bases de données et échange de données et de matériel</w:t>
      </w:r>
      <w:bookmarkEnd w:id="24"/>
    </w:p>
    <w:p w14:paraId="291ADAF5" w14:textId="77777777" w:rsidR="00306A90" w:rsidRPr="002D6FC6" w:rsidRDefault="00306A90" w:rsidP="00306A90">
      <w:pPr>
        <w:rPr>
          <w:lang w:val="fr-CH"/>
        </w:rPr>
      </w:pPr>
    </w:p>
    <w:p w14:paraId="064EAEC4" w14:textId="77CDC752"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w:t>
      </w:r>
      <w:r w:rsidR="00A43950">
        <w:rPr>
          <w:lang w:val="fr-CH"/>
        </w:rPr>
        <w:t> </w:t>
      </w:r>
      <w:proofErr w:type="spellStart"/>
      <w:r w:rsidRPr="002D6FC6">
        <w:rPr>
          <w:lang w:val="fr-CH"/>
        </w:rPr>
        <w:t>Ruixi</w:t>
      </w:r>
      <w:proofErr w:type="spellEnd"/>
      <w:r w:rsidRPr="002D6FC6">
        <w:rPr>
          <w:lang w:val="fr-CH"/>
        </w:rPr>
        <w:t xml:space="preserve"> Han (Chine) intitulé “Application of </w:t>
      </w:r>
      <w:proofErr w:type="spellStart"/>
      <w:r w:rsidRPr="002D6FC6">
        <w:rPr>
          <w:lang w:val="fr-CH"/>
        </w:rPr>
        <w:t>molecular</w:t>
      </w:r>
      <w:proofErr w:type="spellEnd"/>
      <w:r w:rsidRPr="002D6FC6">
        <w:rPr>
          <w:lang w:val="fr-CH"/>
        </w:rPr>
        <w:t xml:space="preserve"> markers in DUS </w:t>
      </w:r>
      <w:proofErr w:type="spellStart"/>
      <w:r w:rsidRPr="002D6FC6">
        <w:rPr>
          <w:lang w:val="fr-CH"/>
        </w:rPr>
        <w:t>testing</w:t>
      </w:r>
      <w:proofErr w:type="spellEnd"/>
      <w:r w:rsidRPr="002D6FC6">
        <w:rPr>
          <w:lang w:val="fr-CH"/>
        </w:rPr>
        <w:t xml:space="preserve"> of new </w:t>
      </w:r>
      <w:proofErr w:type="spellStart"/>
      <w:r w:rsidRPr="002D6FC6">
        <w:rPr>
          <w:lang w:val="fr-CH"/>
        </w:rPr>
        <w:t>varieties</w:t>
      </w:r>
      <w:proofErr w:type="spellEnd"/>
      <w:r w:rsidRPr="002D6FC6">
        <w:rPr>
          <w:lang w:val="fr-CH"/>
        </w:rPr>
        <w:t xml:space="preserve"> of </w:t>
      </w:r>
      <w:proofErr w:type="spellStart"/>
      <w:r w:rsidRPr="002D6FC6">
        <w:rPr>
          <w:lang w:val="fr-CH"/>
        </w:rPr>
        <w:t>Chinese</w:t>
      </w:r>
      <w:proofErr w:type="spellEnd"/>
      <w:r w:rsidRPr="002D6FC6">
        <w:rPr>
          <w:lang w:val="fr-CH"/>
        </w:rPr>
        <w:t xml:space="preserve"> </w:t>
      </w:r>
      <w:proofErr w:type="spellStart"/>
      <w:r w:rsidRPr="002D6FC6">
        <w:rPr>
          <w:lang w:val="fr-CH"/>
        </w:rPr>
        <w:t>cabbage</w:t>
      </w:r>
      <w:proofErr w:type="spellEnd"/>
      <w:r w:rsidRPr="002D6FC6">
        <w:rPr>
          <w:lang w:val="fr-CH"/>
        </w:rPr>
        <w:t>” (Application des marqueurs moléculaires dans l</w:t>
      </w:r>
      <w:r w:rsidR="008E4A6E">
        <w:rPr>
          <w:lang w:val="fr-CH"/>
        </w:rPr>
        <w:t>’</w:t>
      </w:r>
      <w:r w:rsidRPr="002D6FC6">
        <w:rPr>
          <w:lang w:val="fr-CH"/>
        </w:rPr>
        <w:t>examen</w:t>
      </w:r>
      <w:r w:rsidR="00A43950">
        <w:rPr>
          <w:lang w:val="fr-CH"/>
        </w:rPr>
        <w:t> </w:t>
      </w:r>
      <w:r w:rsidRPr="002D6FC6">
        <w:rPr>
          <w:lang w:val="fr-CH"/>
        </w:rPr>
        <w:t>DHS des nouvelles variétés de chou chinois), dont on trouvera une copie dans le document TWM/1/9.</w:t>
      </w:r>
    </w:p>
    <w:p w14:paraId="13934CCE" w14:textId="77777777" w:rsidR="00306A90" w:rsidRPr="002D6FC6" w:rsidRDefault="00306A90" w:rsidP="00306A90">
      <w:pPr>
        <w:rPr>
          <w:lang w:val="fr-CH"/>
        </w:rPr>
      </w:pPr>
    </w:p>
    <w:p w14:paraId="14F625C6" w14:textId="38D4375A"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Des éclaircissements ont été apportés sur le nombre de variétés envisagé pour l</w:t>
      </w:r>
      <w:r w:rsidR="008E4A6E">
        <w:rPr>
          <w:lang w:val="fr-CH"/>
        </w:rPr>
        <w:t>’</w:t>
      </w:r>
      <w:r w:rsidRPr="002D6FC6">
        <w:rPr>
          <w:lang w:val="fr-CH"/>
        </w:rPr>
        <w:t>établissement du seuil de similarité génétique.</w:t>
      </w:r>
    </w:p>
    <w:p w14:paraId="4213D37A" w14:textId="77777777" w:rsidR="00306A90" w:rsidRPr="002D6FC6" w:rsidRDefault="00306A90" w:rsidP="00306A90">
      <w:pPr>
        <w:rPr>
          <w:lang w:val="fr-CH"/>
        </w:rPr>
      </w:pPr>
    </w:p>
    <w:p w14:paraId="0DA4D227" w14:textId="6A65F9CB"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Mme</w:t>
      </w:r>
      <w:r w:rsidR="00A43950">
        <w:rPr>
          <w:lang w:val="fr-CH"/>
        </w:rPr>
        <w:t> </w:t>
      </w:r>
      <w:r w:rsidRPr="002D6FC6">
        <w:rPr>
          <w:lang w:val="fr-CH"/>
        </w:rPr>
        <w:t>Alexandra</w:t>
      </w:r>
      <w:r w:rsidR="00370290">
        <w:rPr>
          <w:lang w:val="fr-CH"/>
        </w:rPr>
        <w:t> </w:t>
      </w:r>
      <w:proofErr w:type="spellStart"/>
      <w:r w:rsidRPr="002D6FC6">
        <w:rPr>
          <w:lang w:val="fr-CH"/>
        </w:rPr>
        <w:t>Ribarits</w:t>
      </w:r>
      <w:proofErr w:type="spellEnd"/>
      <w:r w:rsidRPr="002D6FC6">
        <w:rPr>
          <w:lang w:val="fr-CH"/>
        </w:rPr>
        <w:t xml:space="preserve"> (Autriche) intitulé “</w:t>
      </w:r>
      <w:proofErr w:type="spellStart"/>
      <w:r w:rsidRPr="002D6FC6">
        <w:rPr>
          <w:lang w:val="fr-CH"/>
        </w:rPr>
        <w:t>DURDUStools</w:t>
      </w:r>
      <w:proofErr w:type="spellEnd"/>
      <w:r w:rsidRPr="002D6FC6">
        <w:rPr>
          <w:lang w:val="fr-CH"/>
        </w:rPr>
        <w:t xml:space="preserve">: </w:t>
      </w:r>
      <w:proofErr w:type="spellStart"/>
      <w:r w:rsidRPr="002D6FC6">
        <w:rPr>
          <w:lang w:val="fr-CH"/>
        </w:rPr>
        <w:t>Development</w:t>
      </w:r>
      <w:proofErr w:type="spellEnd"/>
      <w:r w:rsidRPr="002D6FC6">
        <w:rPr>
          <w:lang w:val="fr-CH"/>
        </w:rPr>
        <w:t xml:space="preserve"> of a </w:t>
      </w:r>
      <w:proofErr w:type="spellStart"/>
      <w:r w:rsidRPr="002D6FC6">
        <w:rPr>
          <w:lang w:val="fr-CH"/>
        </w:rPr>
        <w:t>common</w:t>
      </w:r>
      <w:proofErr w:type="spellEnd"/>
      <w:r w:rsidRPr="002D6FC6">
        <w:rPr>
          <w:lang w:val="fr-CH"/>
        </w:rPr>
        <w:t xml:space="preserve"> online </w:t>
      </w:r>
      <w:proofErr w:type="spellStart"/>
      <w:r w:rsidRPr="002D6FC6">
        <w:rPr>
          <w:lang w:val="fr-CH"/>
        </w:rPr>
        <w:t>molecular</w:t>
      </w:r>
      <w:proofErr w:type="spellEnd"/>
      <w:r w:rsidRPr="002D6FC6">
        <w:rPr>
          <w:lang w:val="fr-CH"/>
        </w:rPr>
        <w:t xml:space="preserve"> </w:t>
      </w:r>
      <w:proofErr w:type="spellStart"/>
      <w:r w:rsidRPr="002D6FC6">
        <w:rPr>
          <w:lang w:val="fr-CH"/>
        </w:rPr>
        <w:t>database</w:t>
      </w:r>
      <w:proofErr w:type="spellEnd"/>
      <w:r w:rsidRPr="002D6FC6">
        <w:rPr>
          <w:lang w:val="fr-CH"/>
        </w:rPr>
        <w:t xml:space="preserve"> and a </w:t>
      </w:r>
      <w:proofErr w:type="spellStart"/>
      <w:r w:rsidRPr="002D6FC6">
        <w:rPr>
          <w:lang w:val="fr-CH"/>
        </w:rPr>
        <w:t>genetic</w:t>
      </w:r>
      <w:proofErr w:type="spellEnd"/>
      <w:r w:rsidRPr="002D6FC6">
        <w:rPr>
          <w:lang w:val="fr-CH"/>
        </w:rPr>
        <w:t xml:space="preserve"> distance </w:t>
      </w:r>
      <w:proofErr w:type="spellStart"/>
      <w:r w:rsidRPr="002D6FC6">
        <w:rPr>
          <w:lang w:val="fr-CH"/>
        </w:rPr>
        <w:t>calculation</w:t>
      </w:r>
      <w:proofErr w:type="spellEnd"/>
      <w:r w:rsidRPr="002D6FC6">
        <w:rPr>
          <w:lang w:val="fr-CH"/>
        </w:rPr>
        <w:t xml:space="preserve"> </w:t>
      </w:r>
      <w:proofErr w:type="spellStart"/>
      <w:r w:rsidRPr="002D6FC6">
        <w:rPr>
          <w:lang w:val="fr-CH"/>
        </w:rPr>
        <w:t>tool</w:t>
      </w:r>
      <w:proofErr w:type="spellEnd"/>
      <w:r w:rsidRPr="002D6FC6">
        <w:rPr>
          <w:lang w:val="fr-CH"/>
        </w:rPr>
        <w:t xml:space="preserve"> for </w:t>
      </w:r>
      <w:proofErr w:type="spellStart"/>
      <w:r w:rsidRPr="002D6FC6">
        <w:rPr>
          <w:lang w:val="fr-CH"/>
        </w:rPr>
        <w:t>durum</w:t>
      </w:r>
      <w:proofErr w:type="spellEnd"/>
      <w:r w:rsidRPr="002D6FC6">
        <w:rPr>
          <w:lang w:val="fr-CH"/>
        </w:rPr>
        <w:t xml:space="preserve"> </w:t>
      </w:r>
      <w:proofErr w:type="spellStart"/>
      <w:r w:rsidRPr="002D6FC6">
        <w:rPr>
          <w:lang w:val="fr-CH"/>
        </w:rPr>
        <w:t>wheat</w:t>
      </w:r>
      <w:proofErr w:type="spellEnd"/>
      <w:r w:rsidRPr="002D6FC6">
        <w:rPr>
          <w:lang w:val="fr-CH"/>
        </w:rPr>
        <w:t>” (</w:t>
      </w:r>
      <w:proofErr w:type="spellStart"/>
      <w:r w:rsidRPr="002D6FC6">
        <w:rPr>
          <w:lang w:val="fr-CH"/>
        </w:rPr>
        <w:t>DURDUStools</w:t>
      </w:r>
      <w:proofErr w:type="spellEnd"/>
      <w:r w:rsidR="008E4A6E">
        <w:rPr>
          <w:lang w:val="fr-CH"/>
        </w:rPr>
        <w:t> :</w:t>
      </w:r>
      <w:r w:rsidRPr="002D6FC6">
        <w:rPr>
          <w:lang w:val="fr-CH"/>
        </w:rPr>
        <w:t xml:space="preserve"> Élaboration d</w:t>
      </w:r>
      <w:r w:rsidR="008E4A6E">
        <w:rPr>
          <w:lang w:val="fr-CH"/>
        </w:rPr>
        <w:t>’</w:t>
      </w:r>
      <w:r w:rsidRPr="002D6FC6">
        <w:rPr>
          <w:lang w:val="fr-CH"/>
        </w:rPr>
        <w:t>une base de données moléculaires commune accessible en ligne et d</w:t>
      </w:r>
      <w:r w:rsidR="008E4A6E">
        <w:rPr>
          <w:lang w:val="fr-CH"/>
        </w:rPr>
        <w:t>’</w:t>
      </w:r>
      <w:r w:rsidRPr="002D6FC6">
        <w:rPr>
          <w:lang w:val="fr-CH"/>
        </w:rPr>
        <w:t>un outil de calcul de la distance génétique pour le blé dur), dont on trouvera une copie dans le document TWM/1/12.</w:t>
      </w:r>
    </w:p>
    <w:p w14:paraId="071EEC0D" w14:textId="77777777" w:rsidR="00306A90" w:rsidRPr="002D6FC6" w:rsidRDefault="00306A90" w:rsidP="00306A90">
      <w:pPr>
        <w:rPr>
          <w:lang w:val="fr-CH"/>
        </w:rPr>
      </w:pPr>
    </w:p>
    <w:p w14:paraId="485265F2" w14:textId="0D8B267A"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Des éclaircissements ont été apportés sur les aspects relatifs au recours à un prestataire de services externe pour l</w:t>
      </w:r>
      <w:r w:rsidR="008E4A6E">
        <w:rPr>
          <w:lang w:val="fr-CH"/>
        </w:rPr>
        <w:t>’</w:t>
      </w:r>
      <w:r w:rsidRPr="002D6FC6">
        <w:rPr>
          <w:lang w:val="fr-CH"/>
        </w:rPr>
        <w:t xml:space="preserve">extraction des données, </w:t>
      </w:r>
      <w:r w:rsidR="008E4A6E">
        <w:rPr>
          <w:lang w:val="fr-CH"/>
        </w:rPr>
        <w:t>y compris</w:t>
      </w:r>
      <w:r w:rsidRPr="002D6FC6">
        <w:rPr>
          <w:lang w:val="fr-CH"/>
        </w:rPr>
        <w:t xml:space="preserve"> l</w:t>
      </w:r>
      <w:r w:rsidR="008E4A6E">
        <w:rPr>
          <w:lang w:val="fr-CH"/>
        </w:rPr>
        <w:t>’</w:t>
      </w:r>
      <w:r w:rsidRPr="002D6FC6">
        <w:rPr>
          <w:lang w:val="fr-CH"/>
        </w:rPr>
        <w:t>idée que des mises à jour de l</w:t>
      </w:r>
      <w:r w:rsidR="008E4A6E">
        <w:rPr>
          <w:lang w:val="fr-CH"/>
        </w:rPr>
        <w:t>’</w:t>
      </w:r>
      <w:r w:rsidRPr="002D6FC6">
        <w:rPr>
          <w:lang w:val="fr-CH"/>
        </w:rPr>
        <w:t>éventail de marqueurs pourraient apporter davantage d</w:t>
      </w:r>
      <w:r w:rsidR="008E4A6E">
        <w:rPr>
          <w:lang w:val="fr-CH"/>
        </w:rPr>
        <w:t>’</w:t>
      </w:r>
      <w:r w:rsidRPr="002D6FC6">
        <w:rPr>
          <w:lang w:val="fr-CH"/>
        </w:rPr>
        <w:t>informations encore à la base de donné</w:t>
      </w:r>
      <w:r w:rsidR="00F80F77" w:rsidRPr="002D6FC6">
        <w:rPr>
          <w:lang w:val="fr-CH"/>
        </w:rPr>
        <w:t>es</w:t>
      </w:r>
      <w:r w:rsidR="00F80F77">
        <w:rPr>
          <w:lang w:val="fr-CH"/>
        </w:rPr>
        <w:t xml:space="preserve">.  </w:t>
      </w:r>
      <w:r w:rsidR="00F80F77" w:rsidRPr="002D6FC6">
        <w:rPr>
          <w:lang w:val="fr-CH"/>
        </w:rPr>
        <w:t>Le</w:t>
      </w:r>
      <w:r w:rsidRPr="002D6FC6">
        <w:rPr>
          <w:lang w:val="fr-CH"/>
        </w:rPr>
        <w:t>s données obtenues à partir d</w:t>
      </w:r>
      <w:r w:rsidR="008E4A6E">
        <w:rPr>
          <w:lang w:val="fr-CH"/>
        </w:rPr>
        <w:t>’</w:t>
      </w:r>
      <w:r w:rsidRPr="002D6FC6">
        <w:rPr>
          <w:lang w:val="fr-CH"/>
        </w:rPr>
        <w:t>un nombre réduit de marqueurs issus d</w:t>
      </w:r>
      <w:r w:rsidR="008E4A6E">
        <w:rPr>
          <w:lang w:val="fr-CH"/>
        </w:rPr>
        <w:t>’</w:t>
      </w:r>
      <w:r w:rsidRPr="002D6FC6">
        <w:rPr>
          <w:lang w:val="fr-CH"/>
        </w:rPr>
        <w:t>une version antérieure de l</w:t>
      </w:r>
      <w:r w:rsidR="008E4A6E">
        <w:rPr>
          <w:lang w:val="fr-CH"/>
        </w:rPr>
        <w:t>’</w:t>
      </w:r>
      <w:r w:rsidRPr="002D6FC6">
        <w:rPr>
          <w:lang w:val="fr-CH"/>
        </w:rPr>
        <w:t>ensemble de marqueurs seraient toujours comparables à celles obtenues d</w:t>
      </w:r>
      <w:r w:rsidR="008E4A6E">
        <w:rPr>
          <w:lang w:val="fr-CH"/>
        </w:rPr>
        <w:t>’</w:t>
      </w:r>
      <w:r w:rsidRPr="002D6FC6">
        <w:rPr>
          <w:lang w:val="fr-CH"/>
        </w:rPr>
        <w:t>une version ultérieu</w:t>
      </w:r>
      <w:r w:rsidR="00F80F77" w:rsidRPr="002D6FC6">
        <w:rPr>
          <w:lang w:val="fr-CH"/>
        </w:rPr>
        <w:t>re</w:t>
      </w:r>
      <w:r w:rsidR="00F80F77">
        <w:rPr>
          <w:lang w:val="fr-CH"/>
        </w:rPr>
        <w:t xml:space="preserve">.  </w:t>
      </w:r>
      <w:r w:rsidR="00F80F77" w:rsidRPr="002D6FC6">
        <w:rPr>
          <w:lang w:val="fr-CH"/>
        </w:rPr>
        <w:t>L</w:t>
      </w:r>
      <w:r w:rsidR="00F80F77">
        <w:rPr>
          <w:lang w:val="fr-CH"/>
        </w:rPr>
        <w:t>’</w:t>
      </w:r>
      <w:r w:rsidR="00F80F77" w:rsidRPr="002D6FC6">
        <w:rPr>
          <w:lang w:val="fr-CH"/>
        </w:rPr>
        <w:t>e</w:t>
      </w:r>
      <w:r w:rsidRPr="002D6FC6">
        <w:rPr>
          <w:lang w:val="fr-CH"/>
        </w:rPr>
        <w:t>xperte a expliqué que les informations moléculaires avaient été utilisées durant la deuxième année de l</w:t>
      </w:r>
      <w:r w:rsidR="008E4A6E">
        <w:rPr>
          <w:lang w:val="fr-CH"/>
        </w:rPr>
        <w:t>’</w:t>
      </w:r>
      <w:r w:rsidRPr="002D6FC6">
        <w:rPr>
          <w:lang w:val="fr-CH"/>
        </w:rPr>
        <w:t>essai DHS en raison des difficultés à obtenir les données à un stade antérieur de l</w:t>
      </w:r>
      <w:r w:rsidR="008E4A6E">
        <w:rPr>
          <w:lang w:val="fr-CH"/>
        </w:rPr>
        <w:t>’</w:t>
      </w:r>
      <w:r w:rsidRPr="002D6FC6">
        <w:rPr>
          <w:lang w:val="fr-CH"/>
        </w:rPr>
        <w:t>exam</w:t>
      </w:r>
      <w:r w:rsidR="00F80F77" w:rsidRPr="002D6FC6">
        <w:rPr>
          <w:lang w:val="fr-CH"/>
        </w:rPr>
        <w:t>en</w:t>
      </w:r>
      <w:r w:rsidR="00F80F77">
        <w:rPr>
          <w:lang w:val="fr-CH"/>
        </w:rPr>
        <w:t xml:space="preserve">.  </w:t>
      </w:r>
      <w:r w:rsidR="00F80F77" w:rsidRPr="002D6FC6">
        <w:rPr>
          <w:lang w:val="fr-CH"/>
        </w:rPr>
        <w:t>Le</w:t>
      </w:r>
      <w:r w:rsidRPr="002D6FC6">
        <w:rPr>
          <w:lang w:val="fr-CH"/>
        </w:rPr>
        <w:t>s données moléculaires ont ensuite été utilisées avec les données morphologiques pendant la deuxième année de l</w:t>
      </w:r>
      <w:r w:rsidR="008E4A6E">
        <w:rPr>
          <w:lang w:val="fr-CH"/>
        </w:rPr>
        <w:t>’</w:t>
      </w:r>
      <w:r w:rsidRPr="002D6FC6">
        <w:rPr>
          <w:lang w:val="fr-CH"/>
        </w:rPr>
        <w:t>examen afin de permettre la comparaison avec toutes les variétés similaires pertinentes.</w:t>
      </w:r>
    </w:p>
    <w:p w14:paraId="1C1DC9BC" w14:textId="77777777" w:rsidR="00306A90" w:rsidRPr="002D6FC6" w:rsidRDefault="00306A90" w:rsidP="00306A90">
      <w:pPr>
        <w:rPr>
          <w:lang w:val="fr-CH"/>
        </w:rPr>
      </w:pPr>
    </w:p>
    <w:p w14:paraId="3DD0FC73" w14:textId="14A41786"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Mme</w:t>
      </w:r>
      <w:r w:rsidR="00A43950">
        <w:rPr>
          <w:lang w:val="fr-CH"/>
        </w:rPr>
        <w:t> </w:t>
      </w:r>
      <w:proofErr w:type="spellStart"/>
      <w:r w:rsidRPr="002D6FC6">
        <w:rPr>
          <w:lang w:val="fr-CH"/>
        </w:rPr>
        <w:t>Hedwich</w:t>
      </w:r>
      <w:proofErr w:type="spellEnd"/>
      <w:r w:rsidRPr="002D6FC6">
        <w:rPr>
          <w:lang w:val="fr-CH"/>
        </w:rPr>
        <w:t xml:space="preserve"> </w:t>
      </w:r>
      <w:proofErr w:type="spellStart"/>
      <w:r w:rsidRPr="002D6FC6">
        <w:rPr>
          <w:lang w:val="fr-CH"/>
        </w:rPr>
        <w:t>Teunissen</w:t>
      </w:r>
      <w:proofErr w:type="spellEnd"/>
      <w:r w:rsidRPr="002D6FC6">
        <w:rPr>
          <w:lang w:val="fr-CH"/>
        </w:rPr>
        <w:t xml:space="preserve"> (Pays</w:t>
      </w:r>
      <w:r w:rsidR="00ED3D7A">
        <w:rPr>
          <w:lang w:val="fr-CH"/>
        </w:rPr>
        <w:noBreakHyphen/>
      </w:r>
      <w:r w:rsidRPr="002D6FC6">
        <w:rPr>
          <w:lang w:val="fr-CH"/>
        </w:rPr>
        <w:t>Bas) intitulé “</w:t>
      </w:r>
      <w:proofErr w:type="spellStart"/>
      <w:r w:rsidRPr="002D6FC6">
        <w:rPr>
          <w:lang w:val="fr-CH"/>
        </w:rPr>
        <w:t>Development</w:t>
      </w:r>
      <w:proofErr w:type="spellEnd"/>
      <w:r w:rsidRPr="002D6FC6">
        <w:rPr>
          <w:lang w:val="fr-CH"/>
        </w:rPr>
        <w:t xml:space="preserve"> of a SNP marker set in Cannabis to support DUS </w:t>
      </w:r>
      <w:proofErr w:type="spellStart"/>
      <w:r w:rsidRPr="002D6FC6">
        <w:rPr>
          <w:lang w:val="fr-CH"/>
        </w:rPr>
        <w:t>testing</w:t>
      </w:r>
      <w:proofErr w:type="spellEnd"/>
      <w:r w:rsidRPr="002D6FC6">
        <w:rPr>
          <w:lang w:val="fr-CH"/>
        </w:rPr>
        <w:t>” (Élaboration d</w:t>
      </w:r>
      <w:r w:rsidR="008E4A6E">
        <w:rPr>
          <w:lang w:val="fr-CH"/>
        </w:rPr>
        <w:t>’</w:t>
      </w:r>
      <w:r w:rsidRPr="002D6FC6">
        <w:rPr>
          <w:lang w:val="fr-CH"/>
        </w:rPr>
        <w:t>un ensemble de marqueurs SNP pour le Cannabis pour appuyer l</w:t>
      </w:r>
      <w:r w:rsidR="008E4A6E">
        <w:rPr>
          <w:lang w:val="fr-CH"/>
        </w:rPr>
        <w:t>’</w:t>
      </w:r>
      <w:r w:rsidRPr="002D6FC6">
        <w:rPr>
          <w:lang w:val="fr-CH"/>
        </w:rPr>
        <w:t>examen</w:t>
      </w:r>
      <w:r w:rsidR="00A43950">
        <w:rPr>
          <w:lang w:val="fr-CH"/>
        </w:rPr>
        <w:t> </w:t>
      </w:r>
      <w:r w:rsidRPr="002D6FC6">
        <w:rPr>
          <w:lang w:val="fr-CH"/>
        </w:rPr>
        <w:t>DHS), dont on trouvera une copie dans le document TWM/1/17.</w:t>
      </w:r>
    </w:p>
    <w:p w14:paraId="1571A8BD" w14:textId="77777777" w:rsidR="00306A90" w:rsidRPr="002D6FC6" w:rsidRDefault="00306A90" w:rsidP="00306A90">
      <w:pPr>
        <w:rPr>
          <w:lang w:val="fr-CH"/>
        </w:rPr>
      </w:pPr>
    </w:p>
    <w:p w14:paraId="44630FC9" w14:textId="5503F825"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Mme</w:t>
      </w:r>
      <w:r w:rsidR="00A43950">
        <w:rPr>
          <w:lang w:val="fr-CH"/>
        </w:rPr>
        <w:t> </w:t>
      </w:r>
      <w:proofErr w:type="spellStart"/>
      <w:r w:rsidRPr="002D6FC6">
        <w:rPr>
          <w:lang w:val="fr-CH"/>
        </w:rPr>
        <w:t>Hedwich</w:t>
      </w:r>
      <w:proofErr w:type="spellEnd"/>
      <w:r w:rsidRPr="002D6FC6">
        <w:rPr>
          <w:lang w:val="fr-CH"/>
        </w:rPr>
        <w:t xml:space="preserve"> </w:t>
      </w:r>
      <w:proofErr w:type="spellStart"/>
      <w:r w:rsidRPr="002D6FC6">
        <w:rPr>
          <w:lang w:val="fr-CH"/>
        </w:rPr>
        <w:t>Teunissen</w:t>
      </w:r>
      <w:proofErr w:type="spellEnd"/>
      <w:r w:rsidRPr="002D6FC6">
        <w:rPr>
          <w:lang w:val="fr-CH"/>
        </w:rPr>
        <w:t xml:space="preserve"> (Pays</w:t>
      </w:r>
      <w:r w:rsidR="00ED3D7A">
        <w:rPr>
          <w:lang w:val="fr-CH"/>
        </w:rPr>
        <w:noBreakHyphen/>
      </w:r>
      <w:r w:rsidRPr="002D6FC6">
        <w:rPr>
          <w:lang w:val="fr-CH"/>
        </w:rPr>
        <w:t xml:space="preserve">Bas) intitulé “International harmonisation and validation of a SNP set for the management of </w:t>
      </w:r>
      <w:proofErr w:type="spellStart"/>
      <w:r w:rsidRPr="002D6FC6">
        <w:rPr>
          <w:lang w:val="fr-CH"/>
        </w:rPr>
        <w:t>tomato</w:t>
      </w:r>
      <w:proofErr w:type="spellEnd"/>
      <w:r w:rsidRPr="002D6FC6">
        <w:rPr>
          <w:lang w:val="fr-CH"/>
        </w:rPr>
        <w:t xml:space="preserve"> </w:t>
      </w:r>
      <w:proofErr w:type="spellStart"/>
      <w:r w:rsidRPr="002D6FC6">
        <w:rPr>
          <w:lang w:val="fr-CH"/>
        </w:rPr>
        <w:t>reference</w:t>
      </w:r>
      <w:proofErr w:type="spellEnd"/>
      <w:r w:rsidRPr="002D6FC6">
        <w:rPr>
          <w:lang w:val="fr-CH"/>
        </w:rPr>
        <w:t xml:space="preserve"> collection” (Harmonisation et validation internationales d</w:t>
      </w:r>
      <w:r w:rsidR="008E4A6E">
        <w:rPr>
          <w:lang w:val="fr-CH"/>
        </w:rPr>
        <w:t>’</w:t>
      </w:r>
      <w:r w:rsidRPr="002D6FC6">
        <w:rPr>
          <w:lang w:val="fr-CH"/>
        </w:rPr>
        <w:t>un ensemble de marqueurs SNP pour la gestion de la collection de référence pour la tomate), dont on trouvera une copie dans le document TWM/1/18.</w:t>
      </w:r>
    </w:p>
    <w:p w14:paraId="2761638B" w14:textId="77777777" w:rsidR="00306A90" w:rsidRPr="002D6FC6" w:rsidRDefault="00306A90" w:rsidP="00306A90">
      <w:pPr>
        <w:rPr>
          <w:lang w:val="fr-CH"/>
        </w:rPr>
      </w:pPr>
    </w:p>
    <w:p w14:paraId="5E3496F3" w14:textId="06D6432D"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Des éclaircissements ont été apportés sur le fait que</w:t>
      </w:r>
      <w:r w:rsidR="008E4A6E" w:rsidRPr="002D6FC6">
        <w:rPr>
          <w:lang w:val="fr-CH"/>
        </w:rPr>
        <w:t xml:space="preserve"> les</w:t>
      </w:r>
      <w:r w:rsidR="008E4A6E">
        <w:rPr>
          <w:lang w:val="fr-CH"/>
        </w:rPr>
        <w:t> </w:t>
      </w:r>
      <w:r w:rsidR="008E4A6E" w:rsidRPr="002D6FC6">
        <w:rPr>
          <w:lang w:val="fr-CH"/>
        </w:rPr>
        <w:t>SNP</w:t>
      </w:r>
      <w:r w:rsidRPr="002D6FC6">
        <w:rPr>
          <w:lang w:val="fr-CH"/>
        </w:rPr>
        <w:t xml:space="preserve"> peuvent être appliqués à la collection de référence pour la tomate dans d</w:t>
      </w:r>
      <w:r w:rsidR="008E4A6E">
        <w:rPr>
          <w:lang w:val="fr-CH"/>
        </w:rPr>
        <w:t>’</w:t>
      </w:r>
      <w:r w:rsidRPr="002D6FC6">
        <w:rPr>
          <w:lang w:val="fr-CH"/>
        </w:rPr>
        <w:t>autres régions du monde.</w:t>
      </w:r>
    </w:p>
    <w:p w14:paraId="228FBEBF" w14:textId="77777777" w:rsidR="00306A90" w:rsidRPr="002D6FC6" w:rsidRDefault="00306A90" w:rsidP="00306A90">
      <w:pPr>
        <w:rPr>
          <w:lang w:val="fr-CH"/>
        </w:rPr>
      </w:pPr>
    </w:p>
    <w:p w14:paraId="7F957063" w14:textId="6EF4E8B5"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Des éclaircissements ont été apportés sur le fait que l</w:t>
      </w:r>
      <w:r w:rsidR="008E4A6E">
        <w:rPr>
          <w:lang w:val="fr-CH"/>
        </w:rPr>
        <w:t>’</w:t>
      </w:r>
      <w:r w:rsidRPr="002D6FC6">
        <w:rPr>
          <w:lang w:val="fr-CH"/>
        </w:rPr>
        <w:t>ensemble de marqueurs sélectionnés de 297 SNP était accessible au public et serait publié sous p</w:t>
      </w:r>
      <w:r w:rsidR="00F80F77" w:rsidRPr="002D6FC6">
        <w:rPr>
          <w:lang w:val="fr-CH"/>
        </w:rPr>
        <w:t>eu</w:t>
      </w:r>
      <w:r w:rsidR="00F80F77">
        <w:rPr>
          <w:lang w:val="fr-CH"/>
        </w:rPr>
        <w:t xml:space="preserve">.  </w:t>
      </w:r>
      <w:r w:rsidR="00F80F77" w:rsidRPr="002D6FC6">
        <w:rPr>
          <w:lang w:val="fr-CH"/>
        </w:rPr>
        <w:t>L</w:t>
      </w:r>
      <w:r w:rsidR="00F80F77">
        <w:rPr>
          <w:lang w:val="fr-CH"/>
        </w:rPr>
        <w:t>’</w:t>
      </w:r>
      <w:r w:rsidR="00F80F77" w:rsidRPr="002D6FC6">
        <w:rPr>
          <w:lang w:val="fr-CH"/>
        </w:rPr>
        <w:t>e</w:t>
      </w:r>
      <w:r w:rsidRPr="002D6FC6">
        <w:rPr>
          <w:lang w:val="fr-CH"/>
        </w:rPr>
        <w:t>xperte a expliqué qu</w:t>
      </w:r>
      <w:r w:rsidR="008E4A6E">
        <w:rPr>
          <w:lang w:val="fr-CH"/>
        </w:rPr>
        <w:t>’</w:t>
      </w:r>
      <w:r w:rsidRPr="002D6FC6">
        <w:rPr>
          <w:lang w:val="fr-CH"/>
        </w:rPr>
        <w:t>en raison de la vaste base génétique représentée dans le projet, les marqueurs sélectionnés pouvaient être utilisés dans n</w:t>
      </w:r>
      <w:r w:rsidR="008E4A6E">
        <w:rPr>
          <w:lang w:val="fr-CH"/>
        </w:rPr>
        <w:t>’</w:t>
      </w:r>
      <w:r w:rsidRPr="002D6FC6">
        <w:rPr>
          <w:lang w:val="fr-CH"/>
        </w:rPr>
        <w:t>importe quelle région géographique.</w:t>
      </w:r>
    </w:p>
    <w:p w14:paraId="23057F5A" w14:textId="77777777" w:rsidR="00306A90" w:rsidRPr="002D6FC6" w:rsidRDefault="00306A90" w:rsidP="00306A90">
      <w:pPr>
        <w:rPr>
          <w:lang w:val="fr-CH"/>
        </w:rPr>
      </w:pPr>
    </w:p>
    <w:p w14:paraId="24F35D10" w14:textId="664783BA"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w:t>
      </w:r>
      <w:r w:rsidR="00A43950">
        <w:rPr>
          <w:lang w:val="fr-CH"/>
        </w:rPr>
        <w:t> </w:t>
      </w:r>
      <w:r w:rsidRPr="002D6FC6">
        <w:rPr>
          <w:lang w:val="fr-CH"/>
        </w:rPr>
        <w:t>Alberto</w:t>
      </w:r>
      <w:r w:rsidR="00370290">
        <w:rPr>
          <w:lang w:val="fr-CH"/>
        </w:rPr>
        <w:t> </w:t>
      </w:r>
      <w:proofErr w:type="spellStart"/>
      <w:r w:rsidRPr="002D6FC6">
        <w:rPr>
          <w:lang w:val="fr-CH"/>
        </w:rPr>
        <w:t>Ballesteros</w:t>
      </w:r>
      <w:proofErr w:type="spellEnd"/>
      <w:r w:rsidRPr="002D6FC6">
        <w:rPr>
          <w:lang w:val="fr-CH"/>
        </w:rPr>
        <w:t xml:space="preserve"> (Argentine) intitulé “Cotton </w:t>
      </w:r>
      <w:proofErr w:type="spellStart"/>
      <w:r w:rsidRPr="002D6FC6">
        <w:rPr>
          <w:lang w:val="fr-CH"/>
        </w:rPr>
        <w:t>genotyping</w:t>
      </w:r>
      <w:proofErr w:type="spellEnd"/>
      <w:r w:rsidRPr="002D6FC6">
        <w:rPr>
          <w:lang w:val="fr-CH"/>
        </w:rPr>
        <w:t xml:space="preserve"> </w:t>
      </w:r>
      <w:proofErr w:type="spellStart"/>
      <w:r w:rsidRPr="002D6FC6">
        <w:rPr>
          <w:lang w:val="fr-CH"/>
        </w:rPr>
        <w:t>using</w:t>
      </w:r>
      <w:proofErr w:type="spellEnd"/>
      <w:r w:rsidRPr="002D6FC6">
        <w:rPr>
          <w:lang w:val="fr-CH"/>
        </w:rPr>
        <w:t xml:space="preserve"> the TAMU</w:t>
      </w:r>
      <w:r w:rsidR="00370290">
        <w:rPr>
          <w:lang w:val="fr-CH"/>
        </w:rPr>
        <w:t> </w:t>
      </w:r>
      <w:r w:rsidRPr="002D6FC6">
        <w:rPr>
          <w:lang w:val="fr-CH"/>
        </w:rPr>
        <w:t>63KSNPsArray” (Génotypage du coton au moyen</w:t>
      </w:r>
      <w:r w:rsidR="008E4A6E" w:rsidRPr="002D6FC6">
        <w:rPr>
          <w:lang w:val="fr-CH"/>
        </w:rPr>
        <w:t xml:space="preserve"> du</w:t>
      </w:r>
      <w:r w:rsidR="008E4A6E">
        <w:rPr>
          <w:lang w:val="fr-CH"/>
        </w:rPr>
        <w:t> </w:t>
      </w:r>
      <w:r w:rsidR="008E4A6E" w:rsidRPr="002D6FC6">
        <w:rPr>
          <w:lang w:val="fr-CH"/>
        </w:rPr>
        <w:t>TAM</w:t>
      </w:r>
      <w:r w:rsidRPr="002D6FC6">
        <w:rPr>
          <w:lang w:val="fr-CH"/>
        </w:rPr>
        <w:t>U</w:t>
      </w:r>
      <w:r w:rsidR="00370290">
        <w:rPr>
          <w:lang w:val="fr-CH"/>
        </w:rPr>
        <w:t> </w:t>
      </w:r>
      <w:r w:rsidRPr="002D6FC6">
        <w:rPr>
          <w:lang w:val="fr-CH"/>
        </w:rPr>
        <w:t>63KSNPsArray), dont on trouvera une copie dans le document TWM/1/13.</w:t>
      </w:r>
    </w:p>
    <w:p w14:paraId="2745FF96" w14:textId="77777777" w:rsidR="00306A90" w:rsidRPr="002D6FC6" w:rsidRDefault="00306A90" w:rsidP="00306A90">
      <w:pPr>
        <w:rPr>
          <w:lang w:val="fr-CH"/>
        </w:rPr>
      </w:pPr>
    </w:p>
    <w:p w14:paraId="436AEFFD" w14:textId="0190F480"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w:t>
      </w:r>
      <w:r w:rsidR="00A43950">
        <w:rPr>
          <w:lang w:val="fr-CH"/>
        </w:rPr>
        <w:t> </w:t>
      </w:r>
      <w:r w:rsidRPr="002D6FC6">
        <w:rPr>
          <w:lang w:val="fr-CH"/>
        </w:rPr>
        <w:t xml:space="preserve">Jeffrey </w:t>
      </w:r>
      <w:proofErr w:type="spellStart"/>
      <w:r w:rsidRPr="002D6FC6">
        <w:rPr>
          <w:lang w:val="fr-CH"/>
        </w:rPr>
        <w:t>Haynes</w:t>
      </w:r>
      <w:proofErr w:type="spellEnd"/>
      <w:r w:rsidRPr="002D6FC6">
        <w:rPr>
          <w:lang w:val="fr-CH"/>
        </w:rPr>
        <w:t xml:space="preserve"> (États</w:t>
      </w:r>
      <w:r w:rsidR="00ED3D7A">
        <w:rPr>
          <w:lang w:val="fr-CH"/>
        </w:rPr>
        <w:noBreakHyphen/>
      </w:r>
      <w:r w:rsidRPr="002D6FC6">
        <w:rPr>
          <w:lang w:val="fr-CH"/>
        </w:rPr>
        <w:t>Unis d</w:t>
      </w:r>
      <w:r w:rsidR="008E4A6E">
        <w:rPr>
          <w:lang w:val="fr-CH"/>
        </w:rPr>
        <w:t>’</w:t>
      </w:r>
      <w:r w:rsidRPr="002D6FC6">
        <w:rPr>
          <w:lang w:val="fr-CH"/>
        </w:rPr>
        <w:t xml:space="preserve">Amérique) intitulé “The US PVPO </w:t>
      </w:r>
      <w:proofErr w:type="spellStart"/>
      <w:r w:rsidRPr="002D6FC6">
        <w:rPr>
          <w:lang w:val="fr-CH"/>
        </w:rPr>
        <w:t>Soybean</w:t>
      </w:r>
      <w:proofErr w:type="spellEnd"/>
      <w:r w:rsidRPr="002D6FC6">
        <w:rPr>
          <w:lang w:val="fr-CH"/>
        </w:rPr>
        <w:t xml:space="preserve"> </w:t>
      </w:r>
      <w:proofErr w:type="spellStart"/>
      <w:r w:rsidRPr="002D6FC6">
        <w:rPr>
          <w:lang w:val="fr-CH"/>
        </w:rPr>
        <w:t>molecular</w:t>
      </w:r>
      <w:proofErr w:type="spellEnd"/>
      <w:r w:rsidRPr="002D6FC6">
        <w:rPr>
          <w:lang w:val="fr-CH"/>
        </w:rPr>
        <w:t xml:space="preserve"> marker </w:t>
      </w:r>
      <w:proofErr w:type="spellStart"/>
      <w:r w:rsidRPr="002D6FC6">
        <w:rPr>
          <w:lang w:val="fr-CH"/>
        </w:rPr>
        <w:t>method</w:t>
      </w:r>
      <w:proofErr w:type="spellEnd"/>
      <w:r w:rsidRPr="002D6FC6">
        <w:rPr>
          <w:lang w:val="fr-CH"/>
        </w:rPr>
        <w:t>” (Méthode de marqueurs moléculaires du soja de l</w:t>
      </w:r>
      <w:r w:rsidR="008E4A6E">
        <w:rPr>
          <w:lang w:val="fr-CH"/>
        </w:rPr>
        <w:t>’</w:t>
      </w:r>
      <w:r w:rsidRPr="002D6FC6">
        <w:rPr>
          <w:lang w:val="fr-CH"/>
        </w:rPr>
        <w:t>Office de protection des variétés végétales des États</w:t>
      </w:r>
      <w:r w:rsidR="00ED3D7A">
        <w:rPr>
          <w:lang w:val="fr-CH"/>
        </w:rPr>
        <w:noBreakHyphen/>
      </w:r>
      <w:r w:rsidRPr="002D6FC6">
        <w:rPr>
          <w:lang w:val="fr-CH"/>
        </w:rPr>
        <w:t>Unis d</w:t>
      </w:r>
      <w:r w:rsidR="008E4A6E">
        <w:rPr>
          <w:lang w:val="fr-CH"/>
        </w:rPr>
        <w:t>’</w:t>
      </w:r>
      <w:r w:rsidRPr="002D6FC6">
        <w:rPr>
          <w:lang w:val="fr-CH"/>
        </w:rPr>
        <w:t>Amérique), dont on trouvera une copie dans le document TWM/1/16.</w:t>
      </w:r>
    </w:p>
    <w:p w14:paraId="78859639" w14:textId="77777777" w:rsidR="00306A90" w:rsidRPr="002D6FC6" w:rsidRDefault="00306A90" w:rsidP="00306A90">
      <w:pPr>
        <w:rPr>
          <w:lang w:val="fr-CH"/>
        </w:rPr>
      </w:pPr>
    </w:p>
    <w:p w14:paraId="37E0F654" w14:textId="2114EC6F"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Des éclaircissements ont été apportés quant au fait que la méthode a été mise au point en collaboration avec des obtenteurs et est utilisée à titre d</w:t>
      </w:r>
      <w:r w:rsidR="008E4A6E">
        <w:rPr>
          <w:lang w:val="fr-CH"/>
        </w:rPr>
        <w:t>’</w:t>
      </w:r>
      <w:r w:rsidRPr="002D6FC6">
        <w:rPr>
          <w:lang w:val="fr-CH"/>
        </w:rPr>
        <w:t>informations complémentaires à l</w:t>
      </w:r>
      <w:r w:rsidR="008E4A6E">
        <w:rPr>
          <w:lang w:val="fr-CH"/>
        </w:rPr>
        <w:t>’</w:t>
      </w:r>
      <w:r w:rsidRPr="002D6FC6">
        <w:rPr>
          <w:lang w:val="fr-CH"/>
        </w:rPr>
        <w:t>appui de l</w:t>
      </w:r>
      <w:r w:rsidR="008E4A6E">
        <w:rPr>
          <w:lang w:val="fr-CH"/>
        </w:rPr>
        <w:t>’</w:t>
      </w:r>
      <w:r w:rsidRPr="002D6FC6">
        <w:rPr>
          <w:lang w:val="fr-CH"/>
        </w:rPr>
        <w:t>analyse de la distinction.</w:t>
      </w:r>
    </w:p>
    <w:p w14:paraId="4C56C477" w14:textId="77777777" w:rsidR="00306A90" w:rsidRPr="002D6FC6" w:rsidRDefault="00306A90" w:rsidP="00306A90">
      <w:pPr>
        <w:rPr>
          <w:lang w:val="fr-CH"/>
        </w:rPr>
      </w:pPr>
    </w:p>
    <w:p w14:paraId="37BBDBCD" w14:textId="530BA9C0" w:rsidR="00306A90" w:rsidRPr="002D6FC6" w:rsidRDefault="00306A90" w:rsidP="005C548D">
      <w:pPr>
        <w:pStyle w:val="Heading2"/>
        <w:rPr>
          <w:lang w:val="fr-CH"/>
        </w:rPr>
      </w:pPr>
      <w:bookmarkStart w:id="25" w:name="_Toc117072748"/>
      <w:r w:rsidRPr="002D6FC6">
        <w:rPr>
          <w:lang w:val="fr-CH"/>
        </w:rPr>
        <w:t>Utilisation des techniques moléculaires pour l</w:t>
      </w:r>
      <w:r w:rsidR="008E4A6E">
        <w:rPr>
          <w:lang w:val="fr-CH"/>
        </w:rPr>
        <w:t>’</w:t>
      </w:r>
      <w:r w:rsidRPr="002D6FC6">
        <w:rPr>
          <w:lang w:val="fr-CH"/>
        </w:rPr>
        <w:t>examen des variétés essentiellement dérivées</w:t>
      </w:r>
      <w:bookmarkEnd w:id="25"/>
    </w:p>
    <w:p w14:paraId="3CEC27C2" w14:textId="77777777" w:rsidR="00306A90" w:rsidRPr="002D6FC6" w:rsidRDefault="00306A90" w:rsidP="00306A90">
      <w:pPr>
        <w:rPr>
          <w:lang w:val="fr-CH"/>
        </w:rPr>
      </w:pPr>
    </w:p>
    <w:p w14:paraId="4ABE009D" w14:textId="2C12C343"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Aucun document n</w:t>
      </w:r>
      <w:r w:rsidR="008E4A6E">
        <w:rPr>
          <w:lang w:val="fr-CH"/>
        </w:rPr>
        <w:t>’</w:t>
      </w:r>
      <w:r w:rsidRPr="002D6FC6">
        <w:rPr>
          <w:lang w:val="fr-CH"/>
        </w:rPr>
        <w:t>a été reçu pour ce point de l</w:t>
      </w:r>
      <w:r w:rsidR="008E4A6E">
        <w:rPr>
          <w:lang w:val="fr-CH"/>
        </w:rPr>
        <w:t>’</w:t>
      </w:r>
      <w:r w:rsidRPr="002D6FC6">
        <w:rPr>
          <w:lang w:val="fr-CH"/>
        </w:rPr>
        <w:t>ordre du jour.</w:t>
      </w:r>
    </w:p>
    <w:p w14:paraId="762A5748" w14:textId="77777777" w:rsidR="00306A90" w:rsidRPr="002D6FC6" w:rsidRDefault="00306A90" w:rsidP="00306A90">
      <w:pPr>
        <w:rPr>
          <w:lang w:val="fr-CH"/>
        </w:rPr>
      </w:pPr>
    </w:p>
    <w:p w14:paraId="104B6553" w14:textId="49D1E6AD" w:rsidR="008E4A6E" w:rsidRDefault="00306A90" w:rsidP="005C548D">
      <w:pPr>
        <w:pStyle w:val="Heading2"/>
        <w:keepNext/>
        <w:rPr>
          <w:lang w:val="fr-CH"/>
        </w:rPr>
      </w:pPr>
      <w:bookmarkStart w:id="26" w:name="_Toc117072749"/>
      <w:r w:rsidRPr="002D6FC6">
        <w:rPr>
          <w:lang w:val="fr-CH"/>
        </w:rPr>
        <w:t>Utilisation des techniques moléculaires pour l</w:t>
      </w:r>
      <w:r w:rsidR="008E4A6E">
        <w:rPr>
          <w:lang w:val="fr-CH"/>
        </w:rPr>
        <w:t>’</w:t>
      </w:r>
      <w:r w:rsidRPr="002D6FC6">
        <w:rPr>
          <w:lang w:val="fr-CH"/>
        </w:rPr>
        <w:t>identification des variétés</w:t>
      </w:r>
      <w:bookmarkEnd w:id="26"/>
    </w:p>
    <w:p w14:paraId="6A8B0AE4" w14:textId="6A606D3B" w:rsidR="00306A90" w:rsidRPr="002D6FC6" w:rsidRDefault="00306A90" w:rsidP="005C548D">
      <w:pPr>
        <w:keepNext/>
        <w:jc w:val="left"/>
        <w:rPr>
          <w:lang w:val="fr-CH"/>
        </w:rPr>
      </w:pPr>
    </w:p>
    <w:p w14:paraId="732DC5C2" w14:textId="6BB2C306" w:rsidR="00306A90" w:rsidRPr="002D6FC6" w:rsidRDefault="00306A90" w:rsidP="005C548D">
      <w:pPr>
        <w:keepNext/>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Mme</w:t>
      </w:r>
      <w:r w:rsidR="00A43950">
        <w:rPr>
          <w:lang w:val="fr-CH"/>
        </w:rPr>
        <w:t> </w:t>
      </w:r>
      <w:r w:rsidRPr="002D6FC6">
        <w:rPr>
          <w:lang w:val="fr-CH"/>
        </w:rPr>
        <w:t xml:space="preserve">Ana Laura </w:t>
      </w:r>
      <w:proofErr w:type="spellStart"/>
      <w:r w:rsidRPr="002D6FC6">
        <w:rPr>
          <w:lang w:val="fr-CH"/>
        </w:rPr>
        <w:t>Vicario</w:t>
      </w:r>
      <w:proofErr w:type="spellEnd"/>
      <w:r w:rsidRPr="002D6FC6">
        <w:rPr>
          <w:lang w:val="fr-CH"/>
        </w:rPr>
        <w:t xml:space="preserve"> (Argentine) intitulé “</w:t>
      </w:r>
      <w:proofErr w:type="spellStart"/>
      <w:r w:rsidRPr="002D6FC6">
        <w:rPr>
          <w:lang w:val="fr-CH"/>
        </w:rPr>
        <w:t>Variety</w:t>
      </w:r>
      <w:proofErr w:type="spellEnd"/>
      <w:r w:rsidRPr="002D6FC6">
        <w:rPr>
          <w:lang w:val="fr-CH"/>
        </w:rPr>
        <w:t xml:space="preserve"> identification: </w:t>
      </w:r>
      <w:proofErr w:type="spellStart"/>
      <w:r w:rsidRPr="002D6FC6">
        <w:rPr>
          <w:lang w:val="fr-CH"/>
        </w:rPr>
        <w:t>soybean</w:t>
      </w:r>
      <w:proofErr w:type="spellEnd"/>
      <w:r w:rsidRPr="002D6FC6">
        <w:rPr>
          <w:lang w:val="fr-CH"/>
        </w:rPr>
        <w:t xml:space="preserve"> case in Argentina” (Identification des variétés</w:t>
      </w:r>
      <w:r w:rsidR="008E4A6E">
        <w:rPr>
          <w:lang w:val="fr-CH"/>
        </w:rPr>
        <w:t> :</w:t>
      </w:r>
      <w:r w:rsidRPr="002D6FC6">
        <w:rPr>
          <w:lang w:val="fr-CH"/>
        </w:rPr>
        <w:t xml:space="preserve"> le cas du soja en Argentine), dont on trouvera une copie dans le document TWM/1/15.</w:t>
      </w:r>
    </w:p>
    <w:p w14:paraId="3E08AA20" w14:textId="77777777" w:rsidR="00306A90" w:rsidRPr="002D6FC6" w:rsidRDefault="00306A90" w:rsidP="00306A90">
      <w:pPr>
        <w:rPr>
          <w:lang w:val="fr-CH"/>
        </w:rPr>
      </w:pPr>
    </w:p>
    <w:p w14:paraId="6D7350D5" w14:textId="7C1AA6D8"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Des éclaircissements ont été apportés sur les différents types d</w:t>
      </w:r>
      <w:r w:rsidR="008E4A6E">
        <w:rPr>
          <w:lang w:val="fr-CH"/>
        </w:rPr>
        <w:t>’</w:t>
      </w:r>
      <w:r w:rsidRPr="002D6FC6">
        <w:rPr>
          <w:lang w:val="fr-CH"/>
        </w:rPr>
        <w:t>échantillons utilisés dans la mise au point de la méthode, qui comprenaient des semences de différentes générations de propagati</w:t>
      </w:r>
      <w:r w:rsidR="00F80F77" w:rsidRPr="002D6FC6">
        <w:rPr>
          <w:lang w:val="fr-CH"/>
        </w:rPr>
        <w:t>on</w:t>
      </w:r>
      <w:r w:rsidR="00F80F77">
        <w:rPr>
          <w:lang w:val="fr-CH"/>
        </w:rPr>
        <w:t xml:space="preserve">.  </w:t>
      </w:r>
      <w:r w:rsidR="00F80F77" w:rsidRPr="002D6FC6">
        <w:rPr>
          <w:lang w:val="fr-CH"/>
        </w:rPr>
        <w:t>L</w:t>
      </w:r>
      <w:r w:rsidR="00F80F77">
        <w:rPr>
          <w:lang w:val="fr-CH"/>
        </w:rPr>
        <w:t>’</w:t>
      </w:r>
      <w:r w:rsidR="00F80F77" w:rsidRPr="002D6FC6">
        <w:rPr>
          <w:lang w:val="fr-CH"/>
        </w:rPr>
        <w:t>e</w:t>
      </w:r>
      <w:r w:rsidRPr="002D6FC6">
        <w:rPr>
          <w:lang w:val="fr-CH"/>
        </w:rPr>
        <w:t>xperte a expliqué qu</w:t>
      </w:r>
      <w:r w:rsidR="008E4A6E">
        <w:rPr>
          <w:lang w:val="fr-CH"/>
        </w:rPr>
        <w:t>’</w:t>
      </w:r>
      <w:r w:rsidRPr="002D6FC6">
        <w:rPr>
          <w:lang w:val="fr-CH"/>
        </w:rPr>
        <w:t>un ensemble public de marqueurs a été utili</w:t>
      </w:r>
      <w:r w:rsidR="00F80F77" w:rsidRPr="002D6FC6">
        <w:rPr>
          <w:lang w:val="fr-CH"/>
        </w:rPr>
        <w:t>sé</w:t>
      </w:r>
      <w:r w:rsidR="00F80F77">
        <w:rPr>
          <w:lang w:val="fr-CH"/>
        </w:rPr>
        <w:t xml:space="preserve">.  </w:t>
      </w:r>
      <w:r w:rsidR="00F80F77" w:rsidRPr="002D6FC6">
        <w:rPr>
          <w:lang w:val="fr-CH"/>
        </w:rPr>
        <w:t>De</w:t>
      </w:r>
      <w:r w:rsidRPr="002D6FC6">
        <w:rPr>
          <w:lang w:val="fr-CH"/>
        </w:rPr>
        <w:t>s éclaircissements ont également été apportés sur une étude antérieure qui a permis d</w:t>
      </w:r>
      <w:r w:rsidR="008E4A6E">
        <w:rPr>
          <w:lang w:val="fr-CH"/>
        </w:rPr>
        <w:t>’</w:t>
      </w:r>
      <w:r w:rsidRPr="002D6FC6">
        <w:rPr>
          <w:lang w:val="fr-CH"/>
        </w:rPr>
        <w:t>utiliser les distances moléculaires pour réduire la taille des essais sur le soja en Argentine.</w:t>
      </w:r>
    </w:p>
    <w:p w14:paraId="7BF0F8F5" w14:textId="77777777" w:rsidR="00306A90" w:rsidRPr="002D6FC6" w:rsidRDefault="00306A90" w:rsidP="00306A90">
      <w:pPr>
        <w:rPr>
          <w:lang w:val="fr-CH"/>
        </w:rPr>
      </w:pPr>
    </w:p>
    <w:p w14:paraId="668BB953" w14:textId="54BBD224"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Le TWM a assisté à un exposé de Mme</w:t>
      </w:r>
      <w:r w:rsidR="00A43950">
        <w:rPr>
          <w:lang w:val="fr-CH"/>
        </w:rPr>
        <w:t> </w:t>
      </w:r>
      <w:proofErr w:type="spellStart"/>
      <w:r w:rsidRPr="002D6FC6">
        <w:rPr>
          <w:lang w:val="fr-CH"/>
        </w:rPr>
        <w:t>Chiara</w:t>
      </w:r>
      <w:proofErr w:type="spellEnd"/>
      <w:r w:rsidRPr="002D6FC6">
        <w:rPr>
          <w:lang w:val="fr-CH"/>
        </w:rPr>
        <w:t xml:space="preserve"> </w:t>
      </w:r>
      <w:proofErr w:type="spellStart"/>
      <w:r w:rsidRPr="002D6FC6">
        <w:rPr>
          <w:lang w:val="fr-CH"/>
        </w:rPr>
        <w:t>Delogu</w:t>
      </w:r>
      <w:proofErr w:type="spellEnd"/>
      <w:r w:rsidRPr="002D6FC6">
        <w:rPr>
          <w:lang w:val="fr-CH"/>
        </w:rPr>
        <w:t xml:space="preserve"> (Italie) intitulé “Digital PCR for </w:t>
      </w:r>
      <w:proofErr w:type="spellStart"/>
      <w:r w:rsidRPr="002D6FC6">
        <w:rPr>
          <w:lang w:val="fr-CH"/>
        </w:rPr>
        <w:t>Genotype</w:t>
      </w:r>
      <w:proofErr w:type="spellEnd"/>
      <w:r w:rsidRPr="002D6FC6">
        <w:rPr>
          <w:lang w:val="fr-CH"/>
        </w:rPr>
        <w:t xml:space="preserve"> Quantification: A Case </w:t>
      </w:r>
      <w:proofErr w:type="spellStart"/>
      <w:r w:rsidRPr="002D6FC6">
        <w:rPr>
          <w:lang w:val="fr-CH"/>
        </w:rPr>
        <w:t>Study</w:t>
      </w:r>
      <w:proofErr w:type="spellEnd"/>
      <w:r w:rsidRPr="002D6FC6">
        <w:rPr>
          <w:lang w:val="fr-CH"/>
        </w:rPr>
        <w:t xml:space="preserve"> in a </w:t>
      </w:r>
      <w:proofErr w:type="spellStart"/>
      <w:r w:rsidRPr="002D6FC6">
        <w:rPr>
          <w:lang w:val="fr-CH"/>
        </w:rPr>
        <w:t>Pasta</w:t>
      </w:r>
      <w:proofErr w:type="spellEnd"/>
      <w:r w:rsidRPr="002D6FC6">
        <w:rPr>
          <w:lang w:val="fr-CH"/>
        </w:rPr>
        <w:t xml:space="preserve"> Production Chain” (PCR numérique pour la quantification des génotypes</w:t>
      </w:r>
      <w:r w:rsidR="008E4A6E">
        <w:rPr>
          <w:lang w:val="fr-CH"/>
        </w:rPr>
        <w:t> :</w:t>
      </w:r>
      <w:r w:rsidRPr="002D6FC6">
        <w:rPr>
          <w:lang w:val="fr-CH"/>
        </w:rPr>
        <w:t xml:space="preserve"> Une étude de cas dans une chaîne de production de pâtes), dont on trouvera une copie dans le document TWM/1/21.</w:t>
      </w:r>
    </w:p>
    <w:p w14:paraId="19519BC4" w14:textId="77777777" w:rsidR="00306A90" w:rsidRPr="002D6FC6" w:rsidRDefault="00306A90" w:rsidP="00306A90">
      <w:pPr>
        <w:rPr>
          <w:lang w:val="fr-CH"/>
        </w:rPr>
      </w:pPr>
    </w:p>
    <w:p w14:paraId="6AD17648" w14:textId="05AEF484"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Des éclaircissements ont été apportés quant au fait que jusqu</w:t>
      </w:r>
      <w:r w:rsidR="008E4A6E">
        <w:rPr>
          <w:lang w:val="fr-CH"/>
        </w:rPr>
        <w:t>’</w:t>
      </w:r>
      <w:r w:rsidRPr="002D6FC6">
        <w:rPr>
          <w:lang w:val="fr-CH"/>
        </w:rPr>
        <w:t xml:space="preserve">à 96 échantillons pouvaient être analysés </w:t>
      </w:r>
      <w:r w:rsidR="003B1D37" w:rsidRPr="002D6FC6">
        <w:rPr>
          <w:lang w:val="fr-CH"/>
        </w:rPr>
        <w:t>par</w:t>
      </w:r>
      <w:r w:rsidRPr="002D6FC6">
        <w:rPr>
          <w:lang w:val="fr-CH"/>
        </w:rPr>
        <w:t xml:space="preserve"> session d</w:t>
      </w:r>
      <w:r w:rsidR="008E4A6E">
        <w:rPr>
          <w:lang w:val="fr-CH"/>
        </w:rPr>
        <w:t>’</w:t>
      </w:r>
      <w:r w:rsidRPr="002D6FC6">
        <w:rPr>
          <w:lang w:val="fr-CH"/>
        </w:rPr>
        <w:t>utilisation de l</w:t>
      </w:r>
      <w:r w:rsidR="008E4A6E">
        <w:rPr>
          <w:lang w:val="fr-CH"/>
        </w:rPr>
        <w:t>’</w:t>
      </w:r>
      <w:r w:rsidRPr="002D6FC6">
        <w:rPr>
          <w:lang w:val="fr-CH"/>
        </w:rPr>
        <w:t>équipement utilisé par la présentatrice.</w:t>
      </w:r>
    </w:p>
    <w:p w14:paraId="00B39E53" w14:textId="77777777" w:rsidR="00306A90" w:rsidRPr="002D6FC6" w:rsidRDefault="00306A90" w:rsidP="00306A90">
      <w:pPr>
        <w:jc w:val="left"/>
        <w:rPr>
          <w:lang w:val="fr-CH"/>
        </w:rPr>
      </w:pPr>
    </w:p>
    <w:p w14:paraId="004CDE5E" w14:textId="72604B24" w:rsidR="008E4A6E" w:rsidRDefault="00306A90" w:rsidP="005C548D">
      <w:pPr>
        <w:pStyle w:val="Heading2"/>
        <w:rPr>
          <w:lang w:val="fr-CH"/>
        </w:rPr>
      </w:pPr>
      <w:bookmarkStart w:id="27" w:name="_Toc117072750"/>
      <w:r w:rsidRPr="002D6FC6">
        <w:rPr>
          <w:lang w:val="fr-CH"/>
        </w:rPr>
        <w:t>Utilisation des techniques moléculaires pour l</w:t>
      </w:r>
      <w:r w:rsidR="008E4A6E">
        <w:rPr>
          <w:lang w:val="fr-CH"/>
        </w:rPr>
        <w:t>’</w:t>
      </w:r>
      <w:r w:rsidRPr="002D6FC6">
        <w:rPr>
          <w:lang w:val="fr-CH"/>
        </w:rPr>
        <w:t>application des droits</w:t>
      </w:r>
      <w:bookmarkEnd w:id="27"/>
    </w:p>
    <w:p w14:paraId="35FB1BA2" w14:textId="377AE26A" w:rsidR="00306A90" w:rsidRPr="002D6FC6" w:rsidRDefault="00306A90" w:rsidP="00306A90">
      <w:pPr>
        <w:jc w:val="left"/>
        <w:rPr>
          <w:lang w:val="fr-CH"/>
        </w:rPr>
      </w:pPr>
    </w:p>
    <w:p w14:paraId="7D5FDF9C" w14:textId="7A602DAA"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 xml:space="preserve">Le TWM a assisté à un exposé de Ms </w:t>
      </w:r>
      <w:proofErr w:type="spellStart"/>
      <w:r w:rsidRPr="002D6FC6">
        <w:rPr>
          <w:lang w:val="fr-CH"/>
        </w:rPr>
        <w:t>Hedwich</w:t>
      </w:r>
      <w:proofErr w:type="spellEnd"/>
      <w:r w:rsidRPr="002D6FC6">
        <w:rPr>
          <w:lang w:val="fr-CH"/>
        </w:rPr>
        <w:t xml:space="preserve"> </w:t>
      </w:r>
      <w:proofErr w:type="spellStart"/>
      <w:r w:rsidRPr="002D6FC6">
        <w:rPr>
          <w:lang w:val="fr-CH"/>
        </w:rPr>
        <w:t>Teunissen</w:t>
      </w:r>
      <w:proofErr w:type="spellEnd"/>
      <w:r w:rsidRPr="002D6FC6">
        <w:rPr>
          <w:lang w:val="fr-CH"/>
        </w:rPr>
        <w:t xml:space="preserve"> (Pays</w:t>
      </w:r>
      <w:r w:rsidR="00ED3D7A">
        <w:rPr>
          <w:lang w:val="fr-CH"/>
        </w:rPr>
        <w:noBreakHyphen/>
      </w:r>
      <w:r w:rsidRPr="002D6FC6">
        <w:rPr>
          <w:lang w:val="fr-CH"/>
        </w:rPr>
        <w:t>Bas) intitulé “</w:t>
      </w:r>
      <w:proofErr w:type="spellStart"/>
      <w:r w:rsidRPr="002D6FC6">
        <w:rPr>
          <w:lang w:val="fr-CH"/>
        </w:rPr>
        <w:t>Variety</w:t>
      </w:r>
      <w:proofErr w:type="spellEnd"/>
      <w:r w:rsidRPr="002D6FC6">
        <w:rPr>
          <w:lang w:val="fr-CH"/>
        </w:rPr>
        <w:t xml:space="preserve"> Tracer: </w:t>
      </w:r>
      <w:proofErr w:type="spellStart"/>
      <w:r w:rsidRPr="002D6FC6">
        <w:rPr>
          <w:lang w:val="fr-CH"/>
        </w:rPr>
        <w:t>Fraudulent</w:t>
      </w:r>
      <w:proofErr w:type="spellEnd"/>
      <w:r w:rsidRPr="002D6FC6">
        <w:rPr>
          <w:lang w:val="fr-CH"/>
        </w:rPr>
        <w:t xml:space="preserve"> use of parental </w:t>
      </w:r>
      <w:proofErr w:type="spellStart"/>
      <w:r w:rsidRPr="002D6FC6">
        <w:rPr>
          <w:lang w:val="fr-CH"/>
        </w:rPr>
        <w:t>lines</w:t>
      </w:r>
      <w:proofErr w:type="spellEnd"/>
      <w:r w:rsidRPr="002D6FC6">
        <w:rPr>
          <w:lang w:val="fr-CH"/>
        </w:rPr>
        <w:t>” (</w:t>
      </w:r>
      <w:proofErr w:type="spellStart"/>
      <w:r w:rsidRPr="002D6FC6">
        <w:rPr>
          <w:lang w:val="fr-CH"/>
        </w:rPr>
        <w:t>Variety</w:t>
      </w:r>
      <w:proofErr w:type="spellEnd"/>
      <w:r w:rsidRPr="002D6FC6">
        <w:rPr>
          <w:lang w:val="fr-CH"/>
        </w:rPr>
        <w:t xml:space="preserve"> Tracer</w:t>
      </w:r>
      <w:r w:rsidR="008E4A6E">
        <w:rPr>
          <w:lang w:val="fr-CH"/>
        </w:rPr>
        <w:t> :</w:t>
      </w:r>
      <w:r w:rsidRPr="002D6FC6">
        <w:rPr>
          <w:lang w:val="fr-CH"/>
        </w:rPr>
        <w:t xml:space="preserve"> utilisation frauduleuse des lignées parentales), dont on trouvera une copie dans le document TWM/1/19.</w:t>
      </w:r>
    </w:p>
    <w:p w14:paraId="621268BE" w14:textId="77777777" w:rsidR="00306A90" w:rsidRPr="002D6FC6" w:rsidRDefault="00306A90" w:rsidP="00306A90">
      <w:pPr>
        <w:rPr>
          <w:lang w:val="fr-CH"/>
        </w:rPr>
      </w:pPr>
    </w:p>
    <w:p w14:paraId="774931A3" w14:textId="5821861C" w:rsidR="00306A90" w:rsidRPr="002D6FC6" w:rsidRDefault="00306A90" w:rsidP="00306A90">
      <w:pPr>
        <w:rPr>
          <w:lang w:val="fr-CH"/>
        </w:rPr>
      </w:pPr>
      <w:r w:rsidRPr="002D6FC6">
        <w:rPr>
          <w:lang w:val="fr-CH"/>
        </w:rPr>
        <w:fldChar w:fldCharType="begin"/>
      </w:r>
      <w:r w:rsidRPr="002D6FC6">
        <w:rPr>
          <w:lang w:val="fr-CH"/>
        </w:rPr>
        <w:instrText xml:space="preserve"> AUTONUM  </w:instrText>
      </w:r>
      <w:r w:rsidRPr="002D6FC6">
        <w:rPr>
          <w:lang w:val="fr-CH"/>
        </w:rPr>
        <w:fldChar w:fldCharType="end"/>
      </w:r>
      <w:r w:rsidRPr="002D6FC6">
        <w:rPr>
          <w:lang w:val="fr-CH"/>
        </w:rPr>
        <w:tab/>
        <w:t xml:space="preserve">Les participants ont </w:t>
      </w:r>
      <w:r w:rsidR="007D2BD6" w:rsidRPr="002D6FC6">
        <w:rPr>
          <w:lang w:val="fr-CH"/>
        </w:rPr>
        <w:t>été informés</w:t>
      </w:r>
      <w:r w:rsidRPr="002D6FC6">
        <w:rPr>
          <w:lang w:val="fr-CH"/>
        </w:rPr>
        <w:t xml:space="preserve"> que les fréquences alléliques avaient été demandées dans certains cas et que celles</w:t>
      </w:r>
      <w:r w:rsidR="00ED3D7A">
        <w:rPr>
          <w:lang w:val="fr-CH"/>
        </w:rPr>
        <w:noBreakHyphen/>
      </w:r>
      <w:r w:rsidRPr="002D6FC6">
        <w:rPr>
          <w:lang w:val="fr-CH"/>
        </w:rPr>
        <w:t>ci pouvaient fournir des informations supplémentaires pour faire face aux cas d</w:t>
      </w:r>
      <w:r w:rsidR="008E4A6E">
        <w:rPr>
          <w:lang w:val="fr-CH"/>
        </w:rPr>
        <w:t>’</w:t>
      </w:r>
      <w:r w:rsidRPr="002D6FC6">
        <w:rPr>
          <w:lang w:val="fr-CH"/>
        </w:rPr>
        <w:t>atteinte potentielle.</w:t>
      </w:r>
    </w:p>
    <w:p w14:paraId="4E023AA4" w14:textId="77777777" w:rsidR="00686083" w:rsidRPr="002D6FC6" w:rsidRDefault="00686083" w:rsidP="00445B73">
      <w:pPr>
        <w:rPr>
          <w:lang w:val="fr-CH"/>
        </w:rPr>
      </w:pPr>
    </w:p>
    <w:p w14:paraId="46908C4E" w14:textId="77777777" w:rsidR="00306A90" w:rsidRPr="002D6FC6" w:rsidRDefault="00306A90" w:rsidP="00445B73">
      <w:pPr>
        <w:rPr>
          <w:lang w:val="fr-CH"/>
        </w:rPr>
      </w:pPr>
    </w:p>
    <w:p w14:paraId="0D3DD00F" w14:textId="77777777" w:rsidR="008E4A6E" w:rsidRDefault="008E4A6E" w:rsidP="00445B73">
      <w:pPr>
        <w:rPr>
          <w:lang w:val="fr-CH"/>
        </w:rPr>
      </w:pPr>
    </w:p>
    <w:p w14:paraId="2A7EBC15" w14:textId="7985A87A" w:rsidR="004133B2" w:rsidRPr="002D6FC6" w:rsidRDefault="00B06F4E" w:rsidP="00B06F4E">
      <w:pPr>
        <w:jc w:val="right"/>
        <w:rPr>
          <w:rFonts w:cs="Arial"/>
          <w:lang w:val="fr-CH"/>
        </w:rPr>
      </w:pPr>
      <w:r w:rsidRPr="002D6FC6">
        <w:rPr>
          <w:rFonts w:cs="Arial"/>
          <w:lang w:val="fr-CH"/>
        </w:rPr>
        <w:t>[L</w:t>
      </w:r>
      <w:r w:rsidR="008E4A6E">
        <w:rPr>
          <w:rFonts w:cs="Arial"/>
          <w:lang w:val="fr-CH"/>
        </w:rPr>
        <w:t>’</w:t>
      </w:r>
      <w:r w:rsidRPr="002D6FC6">
        <w:rPr>
          <w:rFonts w:cs="Arial"/>
          <w:lang w:val="fr-CH"/>
        </w:rPr>
        <w:t>annexe suit]</w:t>
      </w:r>
    </w:p>
    <w:p w14:paraId="5B023391" w14:textId="77777777" w:rsidR="00B06F4E" w:rsidRPr="002D6FC6" w:rsidRDefault="00B06F4E" w:rsidP="00B06F4E">
      <w:pPr>
        <w:jc w:val="right"/>
        <w:rPr>
          <w:rFonts w:cs="Arial"/>
          <w:lang w:val="fr-CH"/>
        </w:rPr>
        <w:sectPr w:rsidR="00B06F4E" w:rsidRPr="002D6FC6" w:rsidSect="0004198B">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14:paraId="7E811584" w14:textId="77777777" w:rsidR="007B1BA8" w:rsidRPr="002D6FC6" w:rsidRDefault="007B1BA8" w:rsidP="00445B73">
      <w:pPr>
        <w:rPr>
          <w:rFonts w:cs="Arial"/>
          <w:lang w:val="fr-CH"/>
        </w:rPr>
      </w:pPr>
    </w:p>
    <w:p w14:paraId="392372F9" w14:textId="77777777" w:rsidR="00EB74E5" w:rsidRPr="002D6FC6" w:rsidRDefault="00EB74E5" w:rsidP="00EB74E5">
      <w:pPr>
        <w:rPr>
          <w:lang w:val="fr-CH"/>
        </w:rPr>
      </w:pPr>
    </w:p>
    <w:p w14:paraId="19CA19A9" w14:textId="2230030C" w:rsidR="00FF3EB3" w:rsidRPr="002D6FC6" w:rsidRDefault="00FF3EB3" w:rsidP="00FF3EB3">
      <w:pPr>
        <w:rPr>
          <w:lang w:val="fr-CH"/>
        </w:rPr>
      </w:pPr>
      <w:r w:rsidRPr="002D6FC6">
        <w:rPr>
          <w:lang w:val="fr-CH"/>
        </w:rPr>
        <w:t>ÉLÉMENTS POUR LE PROJET DE DOCUMENT COMMUN PRÉSENTANT LES PARTICULARITÉS DES SYSTÈMES DE L</w:t>
      </w:r>
      <w:r w:rsidR="008E4A6E">
        <w:rPr>
          <w:lang w:val="fr-CH"/>
        </w:rPr>
        <w:t>’</w:t>
      </w:r>
      <w:r w:rsidRPr="002D6FC6">
        <w:rPr>
          <w:lang w:val="fr-CH"/>
        </w:rPr>
        <w:t>OCDE, DE L</w:t>
      </w:r>
      <w:r w:rsidR="008E4A6E">
        <w:rPr>
          <w:lang w:val="fr-CH"/>
        </w:rPr>
        <w:t>’</w:t>
      </w:r>
      <w:r w:rsidRPr="002D6FC6">
        <w:rPr>
          <w:lang w:val="fr-CH"/>
        </w:rPr>
        <w:t>UPOV ET DE L</w:t>
      </w:r>
      <w:r w:rsidR="008E4A6E">
        <w:rPr>
          <w:lang w:val="fr-CH"/>
        </w:rPr>
        <w:t>’</w:t>
      </w:r>
      <w:r w:rsidRPr="002D6FC6">
        <w:rPr>
          <w:lang w:val="fr-CH"/>
        </w:rPr>
        <w:t>ISTA</w:t>
      </w:r>
    </w:p>
    <w:p w14:paraId="79471F50" w14:textId="77777777" w:rsidR="00FF3EB3" w:rsidRPr="002D6FC6" w:rsidRDefault="00FF3EB3" w:rsidP="00FF3EB3">
      <w:pPr>
        <w:rPr>
          <w:lang w:val="fr-CH"/>
        </w:rPr>
      </w:pPr>
    </w:p>
    <w:p w14:paraId="388945BC" w14:textId="77777777" w:rsidR="00FF3EB3" w:rsidRPr="002D6FC6" w:rsidRDefault="00FF3EB3" w:rsidP="00FF3EB3">
      <w:pPr>
        <w:rPr>
          <w:u w:val="single"/>
          <w:lang w:val="fr-CH"/>
        </w:rPr>
      </w:pPr>
      <w:r w:rsidRPr="002D6FC6">
        <w:rPr>
          <w:u w:val="single"/>
          <w:lang w:val="fr-CH"/>
        </w:rPr>
        <w:t>Organisation de coopération et de développement économiques (OCDE)</w:t>
      </w:r>
    </w:p>
    <w:p w14:paraId="054518F0" w14:textId="77777777" w:rsidR="00FF3EB3" w:rsidRPr="002D6FC6" w:rsidRDefault="00FF3EB3" w:rsidP="00FF3EB3">
      <w:pPr>
        <w:rPr>
          <w:lang w:val="fr-CH"/>
        </w:rPr>
      </w:pPr>
    </w:p>
    <w:p w14:paraId="46DA6848" w14:textId="1EDDCE47" w:rsidR="00FF3EB3" w:rsidRPr="002D6FC6" w:rsidRDefault="00FF3EB3" w:rsidP="00FF3EB3">
      <w:pPr>
        <w:spacing w:before="91"/>
        <w:rPr>
          <w:i/>
          <w:lang w:val="fr-CH"/>
        </w:rPr>
      </w:pPr>
      <w:r w:rsidRPr="002D6FC6">
        <w:rPr>
          <w:i/>
          <w:lang w:val="fr-CH"/>
        </w:rPr>
        <w:t>Que sont les Systèmes des semences de l</w:t>
      </w:r>
      <w:r w:rsidR="008E4A6E">
        <w:rPr>
          <w:i/>
          <w:lang w:val="fr-CH"/>
        </w:rPr>
        <w:t>’</w:t>
      </w:r>
      <w:r w:rsidRPr="002D6FC6">
        <w:rPr>
          <w:i/>
          <w:lang w:val="fr-CH"/>
        </w:rPr>
        <w:t>OCDE?</w:t>
      </w:r>
    </w:p>
    <w:p w14:paraId="43DF7BBB" w14:textId="77777777" w:rsidR="00FF3EB3" w:rsidRPr="002D6FC6" w:rsidRDefault="00FF3EB3" w:rsidP="00FF3EB3">
      <w:pPr>
        <w:spacing w:before="4"/>
        <w:rPr>
          <w:b/>
          <w:lang w:val="fr-CH"/>
        </w:rPr>
      </w:pPr>
    </w:p>
    <w:p w14:paraId="6F9A8C26" w14:textId="370CC9CE" w:rsidR="00FF3EB3" w:rsidRPr="002D6FC6" w:rsidRDefault="00FF3EB3" w:rsidP="00FF3EB3">
      <w:pPr>
        <w:tabs>
          <w:tab w:val="left" w:pos="1125"/>
          <w:tab w:val="left" w:pos="1126"/>
        </w:tabs>
        <w:autoSpaceDE w:val="0"/>
        <w:autoSpaceDN w:val="0"/>
        <w:spacing w:before="1"/>
        <w:ind w:right="214"/>
        <w:rPr>
          <w:rFonts w:cs="Arial"/>
          <w:lang w:val="fr-CH" w:eastAsia="en-GB" w:bidi="en-GB"/>
        </w:rPr>
      </w:pPr>
      <w:r w:rsidRPr="002D6FC6">
        <w:rPr>
          <w:rFonts w:cs="Arial"/>
          <w:lang w:val="fr-CH" w:eastAsia="en-GB" w:bidi="en-GB"/>
        </w:rPr>
        <w:t>Les Systèmes de semences de l</w:t>
      </w:r>
      <w:r w:rsidR="008E4A6E">
        <w:rPr>
          <w:rFonts w:cs="Arial"/>
          <w:lang w:val="fr-CH" w:eastAsia="en-GB" w:bidi="en-GB"/>
        </w:rPr>
        <w:t>’</w:t>
      </w:r>
      <w:r w:rsidRPr="002D6FC6">
        <w:rPr>
          <w:rFonts w:cs="Arial"/>
          <w:lang w:val="fr-CH" w:eastAsia="en-GB" w:bidi="en-GB"/>
        </w:rPr>
        <w:t>OCDE fournissent un cadre international pour la certification des semences agricoles commercialisé</w:t>
      </w:r>
      <w:r w:rsidR="00F80F77" w:rsidRPr="002D6FC6">
        <w:rPr>
          <w:rFonts w:cs="Arial"/>
          <w:lang w:val="fr-CH" w:eastAsia="en-GB" w:bidi="en-GB"/>
        </w:rPr>
        <w:t>es</w:t>
      </w:r>
      <w:r w:rsidR="00F80F77">
        <w:rPr>
          <w:rFonts w:cs="Arial"/>
          <w:lang w:val="fr-CH" w:eastAsia="en-GB" w:bidi="en-GB"/>
        </w:rPr>
        <w:t xml:space="preserve">.  </w:t>
      </w:r>
      <w:r w:rsidR="00F80F77" w:rsidRPr="002D6FC6">
        <w:rPr>
          <w:rFonts w:cs="Arial"/>
          <w:lang w:val="fr-CH" w:eastAsia="en-GB" w:bidi="en-GB"/>
        </w:rPr>
        <w:t>Le</w:t>
      </w:r>
      <w:r w:rsidRPr="002D6FC6">
        <w:rPr>
          <w:rFonts w:cs="Arial"/>
          <w:lang w:val="fr-CH" w:eastAsia="en-GB" w:bidi="en-GB"/>
        </w:rPr>
        <w:t>s programmes ont été créés en 1958 en raison de plusieurs facteurs, dont un commerce des semences en forte croissance, une harmonisation de la réglementation en Europe, le développement de la production hors saison, la sélection des semences et le potentiel de production des grands pays exportateurs d</w:t>
      </w:r>
      <w:r w:rsidR="008E4A6E">
        <w:rPr>
          <w:rFonts w:cs="Arial"/>
          <w:lang w:val="fr-CH" w:eastAsia="en-GB" w:bidi="en-GB"/>
        </w:rPr>
        <w:t>’</w:t>
      </w:r>
      <w:r w:rsidRPr="002D6FC6">
        <w:rPr>
          <w:rFonts w:cs="Arial"/>
          <w:lang w:val="fr-CH" w:eastAsia="en-GB" w:bidi="en-GB"/>
        </w:rPr>
        <w:t>Amérique (Nord et Sud) et d</w:t>
      </w:r>
      <w:r w:rsidR="008E4A6E">
        <w:rPr>
          <w:rFonts w:cs="Arial"/>
          <w:lang w:val="fr-CH" w:eastAsia="en-GB" w:bidi="en-GB"/>
        </w:rPr>
        <w:t>’</w:t>
      </w:r>
      <w:r w:rsidRPr="002D6FC6">
        <w:rPr>
          <w:rFonts w:cs="Arial"/>
          <w:lang w:val="fr-CH" w:eastAsia="en-GB" w:bidi="en-GB"/>
        </w:rPr>
        <w:t>Europe et le soutien du secteur pri</w:t>
      </w:r>
      <w:r w:rsidR="00F80F77" w:rsidRPr="002D6FC6">
        <w:rPr>
          <w:rFonts w:cs="Arial"/>
          <w:lang w:val="fr-CH" w:eastAsia="en-GB" w:bidi="en-GB"/>
        </w:rPr>
        <w:t>vé</w:t>
      </w:r>
      <w:r w:rsidR="00F80F77">
        <w:rPr>
          <w:rFonts w:cs="Arial"/>
          <w:lang w:val="fr-CH" w:eastAsia="en-GB" w:bidi="en-GB"/>
        </w:rPr>
        <w:t xml:space="preserve">.  </w:t>
      </w:r>
      <w:r w:rsidR="00F80F77" w:rsidRPr="002D6FC6">
        <w:rPr>
          <w:rFonts w:cs="Arial"/>
          <w:lang w:val="fr-CH" w:eastAsia="en-GB" w:bidi="en-GB"/>
        </w:rPr>
        <w:t>L</w:t>
      </w:r>
      <w:r w:rsidR="00F80F77">
        <w:rPr>
          <w:rFonts w:cs="Arial"/>
          <w:lang w:val="fr-CH" w:eastAsia="en-GB" w:bidi="en-GB"/>
        </w:rPr>
        <w:t>’</w:t>
      </w:r>
      <w:r w:rsidR="00F80F77" w:rsidRPr="002D6FC6">
        <w:rPr>
          <w:rFonts w:cs="Arial"/>
          <w:lang w:val="fr-CH" w:eastAsia="en-GB" w:bidi="en-GB"/>
        </w:rPr>
        <w:t>a</w:t>
      </w:r>
      <w:r w:rsidRPr="002D6FC6">
        <w:rPr>
          <w:rFonts w:cs="Arial"/>
          <w:lang w:val="fr-CH" w:eastAsia="en-GB" w:bidi="en-GB"/>
        </w:rPr>
        <w:t>dhésion aux programmes est volontaire et la participation var</w:t>
      </w:r>
      <w:r w:rsidR="00F80F77" w:rsidRPr="002D6FC6">
        <w:rPr>
          <w:rFonts w:cs="Arial"/>
          <w:lang w:val="fr-CH" w:eastAsia="en-GB" w:bidi="en-GB"/>
        </w:rPr>
        <w:t>ie</w:t>
      </w:r>
      <w:r w:rsidR="00F80F77">
        <w:rPr>
          <w:rFonts w:cs="Arial"/>
          <w:lang w:val="fr-CH" w:eastAsia="en-GB" w:bidi="en-GB"/>
        </w:rPr>
        <w:t xml:space="preserve">.  </w:t>
      </w:r>
      <w:r w:rsidR="00F80F77" w:rsidRPr="002D6FC6">
        <w:rPr>
          <w:rFonts w:cs="Arial"/>
          <w:lang w:val="fr-CH" w:eastAsia="en-GB" w:bidi="en-GB"/>
        </w:rPr>
        <w:t>Il</w:t>
      </w:r>
      <w:r w:rsidRPr="002D6FC6">
        <w:rPr>
          <w:rFonts w:cs="Arial"/>
          <w:lang w:val="fr-CH" w:eastAsia="en-GB" w:bidi="en-GB"/>
        </w:rPr>
        <w:t xml:space="preserve"> existe sept systèmes de semences agricoles.</w:t>
      </w:r>
    </w:p>
    <w:p w14:paraId="16FF7821" w14:textId="77777777" w:rsidR="00FF3EB3" w:rsidRPr="002D6FC6" w:rsidRDefault="00FF3EB3" w:rsidP="00FF3EB3">
      <w:pPr>
        <w:spacing w:before="3"/>
        <w:rPr>
          <w:rFonts w:cs="Arial"/>
          <w:lang w:val="fr-CH"/>
        </w:rPr>
      </w:pPr>
    </w:p>
    <w:p w14:paraId="61B05A3C" w14:textId="77777777" w:rsidR="00FF3EB3" w:rsidRPr="002D6FC6" w:rsidRDefault="00FF3EB3" w:rsidP="00FF3EB3">
      <w:pPr>
        <w:rPr>
          <w:i/>
          <w:lang w:val="fr-CH"/>
        </w:rPr>
      </w:pPr>
      <w:bookmarkStart w:id="28" w:name="Participating_countries"/>
      <w:bookmarkEnd w:id="28"/>
      <w:r w:rsidRPr="002D6FC6">
        <w:rPr>
          <w:i/>
          <w:lang w:val="fr-CH"/>
        </w:rPr>
        <w:t>Pays participants</w:t>
      </w:r>
    </w:p>
    <w:p w14:paraId="45829E3E" w14:textId="77777777" w:rsidR="00FF3EB3" w:rsidRPr="002D6FC6" w:rsidRDefault="00FF3EB3" w:rsidP="00FF3EB3">
      <w:pPr>
        <w:spacing w:before="4"/>
        <w:rPr>
          <w:rFonts w:cs="Arial"/>
          <w:b/>
          <w:lang w:val="fr-CH"/>
        </w:rPr>
      </w:pPr>
    </w:p>
    <w:p w14:paraId="3EFD8053" w14:textId="68828601" w:rsidR="00FF3EB3" w:rsidRPr="002D6FC6" w:rsidRDefault="00FF3EB3" w:rsidP="00FF3EB3">
      <w:pPr>
        <w:tabs>
          <w:tab w:val="left" w:pos="567"/>
        </w:tabs>
        <w:autoSpaceDE w:val="0"/>
        <w:autoSpaceDN w:val="0"/>
        <w:spacing w:before="1"/>
        <w:ind w:right="216"/>
        <w:rPr>
          <w:rFonts w:cs="Arial"/>
          <w:lang w:val="fr-CH" w:eastAsia="en-GB" w:bidi="en-GB"/>
        </w:rPr>
      </w:pPr>
      <w:r w:rsidRPr="002D6FC6">
        <w:rPr>
          <w:rFonts w:cs="Arial"/>
          <w:lang w:val="fr-CH" w:eastAsia="en-GB" w:bidi="en-GB"/>
        </w:rPr>
        <w:t>59 pays d</w:t>
      </w:r>
      <w:r w:rsidR="008E4A6E">
        <w:rPr>
          <w:rFonts w:cs="Arial"/>
          <w:lang w:val="fr-CH" w:eastAsia="en-GB" w:bidi="en-GB"/>
        </w:rPr>
        <w:t>’</w:t>
      </w:r>
      <w:r w:rsidRPr="002D6FC6">
        <w:rPr>
          <w:rFonts w:cs="Arial"/>
          <w:lang w:val="fr-CH" w:eastAsia="en-GB" w:bidi="en-GB"/>
        </w:rPr>
        <w:t>Europe, d</w:t>
      </w:r>
      <w:r w:rsidR="008E4A6E">
        <w:rPr>
          <w:rFonts w:cs="Arial"/>
          <w:lang w:val="fr-CH" w:eastAsia="en-GB" w:bidi="en-GB"/>
        </w:rPr>
        <w:t>’</w:t>
      </w:r>
      <w:r w:rsidRPr="002D6FC6">
        <w:rPr>
          <w:rFonts w:cs="Arial"/>
          <w:lang w:val="fr-CH" w:eastAsia="en-GB" w:bidi="en-GB"/>
        </w:rPr>
        <w:t>Amérique du Nord et du Sud, d</w:t>
      </w:r>
      <w:r w:rsidR="008E4A6E">
        <w:rPr>
          <w:rFonts w:cs="Arial"/>
          <w:lang w:val="fr-CH" w:eastAsia="en-GB" w:bidi="en-GB"/>
        </w:rPr>
        <w:t>’</w:t>
      </w:r>
      <w:r w:rsidRPr="002D6FC6">
        <w:rPr>
          <w:rFonts w:cs="Arial"/>
          <w:lang w:val="fr-CH" w:eastAsia="en-GB" w:bidi="en-GB"/>
        </w:rPr>
        <w:t>Afrique, du Moyen</w:t>
      </w:r>
      <w:r w:rsidR="00ED3D7A">
        <w:rPr>
          <w:rFonts w:cs="Arial"/>
          <w:lang w:val="fr-CH" w:eastAsia="en-GB" w:bidi="en-GB"/>
        </w:rPr>
        <w:noBreakHyphen/>
      </w:r>
      <w:r w:rsidRPr="002D6FC6">
        <w:rPr>
          <w:rFonts w:cs="Arial"/>
          <w:lang w:val="fr-CH" w:eastAsia="en-GB" w:bidi="en-GB"/>
        </w:rPr>
        <w:t>Orient, d</w:t>
      </w:r>
      <w:r w:rsidR="008E4A6E">
        <w:rPr>
          <w:rFonts w:cs="Arial"/>
          <w:lang w:val="fr-CH" w:eastAsia="en-GB" w:bidi="en-GB"/>
        </w:rPr>
        <w:t>’</w:t>
      </w:r>
      <w:r w:rsidRPr="002D6FC6">
        <w:rPr>
          <w:rFonts w:cs="Arial"/>
          <w:lang w:val="fr-CH" w:eastAsia="en-GB" w:bidi="en-GB"/>
        </w:rPr>
        <w:t>Asie et d</w:t>
      </w:r>
      <w:r w:rsidR="008E4A6E">
        <w:rPr>
          <w:rFonts w:cs="Arial"/>
          <w:lang w:val="fr-CH" w:eastAsia="en-GB" w:bidi="en-GB"/>
        </w:rPr>
        <w:t>’</w:t>
      </w:r>
      <w:r w:rsidRPr="002D6FC6">
        <w:rPr>
          <w:rFonts w:cs="Arial"/>
          <w:lang w:val="fr-CH" w:eastAsia="en-GB" w:bidi="en-GB"/>
        </w:rPr>
        <w:t>Océanie participent actuellement aux Systèmes des semences de l</w:t>
      </w:r>
      <w:r w:rsidR="008E4A6E">
        <w:rPr>
          <w:rFonts w:cs="Arial"/>
          <w:lang w:val="fr-CH" w:eastAsia="en-GB" w:bidi="en-GB"/>
        </w:rPr>
        <w:t>’</w:t>
      </w:r>
      <w:r w:rsidRPr="002D6FC6">
        <w:rPr>
          <w:rFonts w:cs="Arial"/>
          <w:lang w:val="fr-CH" w:eastAsia="en-GB" w:bidi="en-GB"/>
        </w:rPr>
        <w:t>OCDE.</w:t>
      </w:r>
    </w:p>
    <w:p w14:paraId="1E30B4CA" w14:textId="77777777" w:rsidR="00FF3EB3" w:rsidRPr="002D6FC6" w:rsidRDefault="00FF3EB3" w:rsidP="00FF3EB3">
      <w:pPr>
        <w:tabs>
          <w:tab w:val="left" w:pos="567"/>
        </w:tabs>
        <w:autoSpaceDE w:val="0"/>
        <w:autoSpaceDN w:val="0"/>
        <w:spacing w:before="1"/>
        <w:ind w:right="216"/>
        <w:rPr>
          <w:rFonts w:cs="Arial"/>
          <w:lang w:val="fr-CH" w:eastAsia="en-GB" w:bidi="en-GB"/>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477"/>
        <w:gridCol w:w="1440"/>
      </w:tblGrid>
      <w:tr w:rsidR="00FF3EB3" w:rsidRPr="002D6FC6" w14:paraId="647586A1" w14:textId="77777777" w:rsidTr="00F8528B">
        <w:trPr>
          <w:trHeight w:val="257"/>
        </w:trPr>
        <w:tc>
          <w:tcPr>
            <w:tcW w:w="2482" w:type="dxa"/>
            <w:tcBorders>
              <w:top w:val="single" w:sz="4" w:space="0" w:color="000000"/>
            </w:tcBorders>
            <w:shd w:val="clear" w:color="auto" w:fill="DBE5F1"/>
          </w:tcPr>
          <w:p w14:paraId="4D946B8B"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AFRIQUE DU SUD</w:t>
            </w:r>
          </w:p>
        </w:tc>
        <w:tc>
          <w:tcPr>
            <w:tcW w:w="1438" w:type="dxa"/>
            <w:tcBorders>
              <w:top w:val="single" w:sz="4" w:space="0" w:color="000000"/>
            </w:tcBorders>
          </w:tcPr>
          <w:p w14:paraId="51EE9C3F"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tcBorders>
              <w:top w:val="single" w:sz="4" w:space="0" w:color="000000"/>
            </w:tcBorders>
            <w:shd w:val="clear" w:color="auto" w:fill="DBE5F1" w:themeFill="accent1" w:themeFillTint="33"/>
          </w:tcPr>
          <w:p w14:paraId="49ECF42E" w14:textId="77777777" w:rsidR="00FF3EB3" w:rsidRPr="002D6FC6" w:rsidRDefault="00FF3EB3" w:rsidP="00F8528B">
            <w:pPr>
              <w:autoSpaceDE w:val="0"/>
              <w:autoSpaceDN w:val="0"/>
              <w:spacing w:before="27"/>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KENYA</w:t>
            </w:r>
          </w:p>
        </w:tc>
        <w:tc>
          <w:tcPr>
            <w:tcW w:w="1440" w:type="dxa"/>
            <w:tcBorders>
              <w:top w:val="single" w:sz="4" w:space="0" w:color="auto"/>
            </w:tcBorders>
          </w:tcPr>
          <w:p w14:paraId="226053A4" w14:textId="77777777" w:rsidR="00FF3EB3" w:rsidRPr="002D6FC6" w:rsidRDefault="00FF3EB3" w:rsidP="00F8528B">
            <w:pPr>
              <w:autoSpaceDE w:val="0"/>
              <w:autoSpaceDN w:val="0"/>
              <w:spacing w:before="27"/>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396ED947" w14:textId="77777777" w:rsidTr="00F8528B">
        <w:trPr>
          <w:trHeight w:val="265"/>
        </w:trPr>
        <w:tc>
          <w:tcPr>
            <w:tcW w:w="2482" w:type="dxa"/>
            <w:shd w:val="clear" w:color="auto" w:fill="DBE5F1"/>
          </w:tcPr>
          <w:p w14:paraId="0BBAB658"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ALBANIE</w:t>
            </w:r>
          </w:p>
        </w:tc>
        <w:tc>
          <w:tcPr>
            <w:tcW w:w="1438" w:type="dxa"/>
          </w:tcPr>
          <w:p w14:paraId="14F1F802"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21C41462"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KIRGHIZISTAN</w:t>
            </w:r>
          </w:p>
        </w:tc>
        <w:tc>
          <w:tcPr>
            <w:tcW w:w="1440" w:type="dxa"/>
          </w:tcPr>
          <w:p w14:paraId="7A4EBB28" w14:textId="77777777" w:rsidR="00FF3EB3" w:rsidRPr="002D6FC6" w:rsidRDefault="00FF3EB3" w:rsidP="00F8528B">
            <w:pPr>
              <w:autoSpaceDE w:val="0"/>
              <w:autoSpaceDN w:val="0"/>
              <w:spacing w:before="20"/>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062D451E" w14:textId="77777777" w:rsidTr="00F8528B">
        <w:trPr>
          <w:trHeight w:val="265"/>
        </w:trPr>
        <w:tc>
          <w:tcPr>
            <w:tcW w:w="2482" w:type="dxa"/>
            <w:shd w:val="clear" w:color="auto" w:fill="DBE5F1"/>
          </w:tcPr>
          <w:p w14:paraId="6C925A6C"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ALLEMAGNE</w:t>
            </w:r>
          </w:p>
        </w:tc>
        <w:tc>
          <w:tcPr>
            <w:tcW w:w="1438" w:type="dxa"/>
          </w:tcPr>
          <w:p w14:paraId="45A3D513"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39320CD9"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LETTONIE</w:t>
            </w:r>
          </w:p>
        </w:tc>
        <w:tc>
          <w:tcPr>
            <w:tcW w:w="1440" w:type="dxa"/>
          </w:tcPr>
          <w:p w14:paraId="5023BD98" w14:textId="77777777" w:rsidR="00FF3EB3" w:rsidRPr="002D6FC6" w:rsidRDefault="00FF3EB3" w:rsidP="00F8528B">
            <w:pPr>
              <w:autoSpaceDE w:val="0"/>
              <w:autoSpaceDN w:val="0"/>
              <w:spacing w:before="20"/>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52814911" w14:textId="77777777" w:rsidTr="00F8528B">
        <w:trPr>
          <w:trHeight w:val="248"/>
        </w:trPr>
        <w:tc>
          <w:tcPr>
            <w:tcW w:w="2482" w:type="dxa"/>
            <w:shd w:val="clear" w:color="auto" w:fill="DBE5F1"/>
          </w:tcPr>
          <w:p w14:paraId="11C13BA9"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ARGENTINE</w:t>
            </w:r>
          </w:p>
        </w:tc>
        <w:tc>
          <w:tcPr>
            <w:tcW w:w="1438" w:type="dxa"/>
          </w:tcPr>
          <w:p w14:paraId="3D1A78DE"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3B9BB883"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LITUANIE</w:t>
            </w:r>
          </w:p>
        </w:tc>
        <w:tc>
          <w:tcPr>
            <w:tcW w:w="1440" w:type="dxa"/>
          </w:tcPr>
          <w:p w14:paraId="60024797"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792DF595" w14:textId="77777777" w:rsidTr="00F8528B">
        <w:trPr>
          <w:trHeight w:val="249"/>
        </w:trPr>
        <w:tc>
          <w:tcPr>
            <w:tcW w:w="2482" w:type="dxa"/>
            <w:shd w:val="clear" w:color="auto" w:fill="DBE5F1"/>
          </w:tcPr>
          <w:p w14:paraId="44DCE984"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AUSTRALIE</w:t>
            </w:r>
          </w:p>
        </w:tc>
        <w:tc>
          <w:tcPr>
            <w:tcW w:w="1438" w:type="dxa"/>
          </w:tcPr>
          <w:p w14:paraId="69F74CB6"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4F46C133"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LUXEMBOURG</w:t>
            </w:r>
          </w:p>
        </w:tc>
        <w:tc>
          <w:tcPr>
            <w:tcW w:w="1440" w:type="dxa"/>
          </w:tcPr>
          <w:p w14:paraId="686EAE9F"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61668691" w14:textId="77777777" w:rsidTr="00F8528B">
        <w:trPr>
          <w:trHeight w:val="249"/>
        </w:trPr>
        <w:tc>
          <w:tcPr>
            <w:tcW w:w="2482" w:type="dxa"/>
            <w:shd w:val="clear" w:color="auto" w:fill="DBE5F1"/>
          </w:tcPr>
          <w:p w14:paraId="73333D93"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AUTRICHE</w:t>
            </w:r>
          </w:p>
        </w:tc>
        <w:tc>
          <w:tcPr>
            <w:tcW w:w="1438" w:type="dxa"/>
          </w:tcPr>
          <w:p w14:paraId="0FCE38B3"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7561EE16"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MAROC</w:t>
            </w:r>
          </w:p>
        </w:tc>
        <w:tc>
          <w:tcPr>
            <w:tcW w:w="1440" w:type="dxa"/>
          </w:tcPr>
          <w:p w14:paraId="48F7B1A3"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25AA42CF" w14:textId="77777777" w:rsidTr="00F8528B">
        <w:trPr>
          <w:trHeight w:val="248"/>
        </w:trPr>
        <w:tc>
          <w:tcPr>
            <w:tcW w:w="2482" w:type="dxa"/>
            <w:shd w:val="clear" w:color="auto" w:fill="DBE5F1"/>
          </w:tcPr>
          <w:p w14:paraId="3545460A"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BELGIQUE</w:t>
            </w:r>
          </w:p>
        </w:tc>
        <w:tc>
          <w:tcPr>
            <w:tcW w:w="1438" w:type="dxa"/>
          </w:tcPr>
          <w:p w14:paraId="3D9CAD8C"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3EBAAB60"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MEXIQUE</w:t>
            </w:r>
          </w:p>
        </w:tc>
        <w:tc>
          <w:tcPr>
            <w:tcW w:w="1440" w:type="dxa"/>
          </w:tcPr>
          <w:p w14:paraId="1A4D61B6"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08779959" w14:textId="77777777" w:rsidTr="00F8528B">
        <w:trPr>
          <w:trHeight w:val="248"/>
        </w:trPr>
        <w:tc>
          <w:tcPr>
            <w:tcW w:w="2482" w:type="dxa"/>
            <w:shd w:val="clear" w:color="auto" w:fill="DBE5F1"/>
          </w:tcPr>
          <w:p w14:paraId="0FD1C1D0"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BOLIVIE</w:t>
            </w:r>
          </w:p>
        </w:tc>
        <w:tc>
          <w:tcPr>
            <w:tcW w:w="1438" w:type="dxa"/>
          </w:tcPr>
          <w:p w14:paraId="7D050E64"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46061D9F"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NORVÈGE</w:t>
            </w:r>
          </w:p>
        </w:tc>
        <w:tc>
          <w:tcPr>
            <w:tcW w:w="1440" w:type="dxa"/>
          </w:tcPr>
          <w:p w14:paraId="73AB2A03"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4E1AE5DB" w14:textId="77777777" w:rsidTr="00F8528B">
        <w:trPr>
          <w:trHeight w:val="249"/>
        </w:trPr>
        <w:tc>
          <w:tcPr>
            <w:tcW w:w="2482" w:type="dxa"/>
            <w:shd w:val="clear" w:color="auto" w:fill="DBE5F1"/>
          </w:tcPr>
          <w:p w14:paraId="6F42A04E"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BRÉSIL</w:t>
            </w:r>
          </w:p>
        </w:tc>
        <w:tc>
          <w:tcPr>
            <w:tcW w:w="1438" w:type="dxa"/>
          </w:tcPr>
          <w:p w14:paraId="6A0CBA48"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0553565E" w14:textId="4508521A"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NOUVELLE</w:t>
            </w:r>
            <w:r w:rsidR="00ED3D7A">
              <w:rPr>
                <w:rFonts w:ascii="Trebuchet MS" w:eastAsia="Trebuchet MS" w:hAnsi="Trebuchet MS" w:cs="Trebuchet MS"/>
                <w:sz w:val="18"/>
                <w:szCs w:val="22"/>
                <w:lang w:val="fr-CH" w:eastAsia="en-GB" w:bidi="en-GB"/>
              </w:rPr>
              <w:noBreakHyphen/>
            </w:r>
            <w:r w:rsidRPr="002D6FC6">
              <w:rPr>
                <w:rFonts w:ascii="Trebuchet MS" w:eastAsia="Trebuchet MS" w:hAnsi="Trebuchet MS" w:cs="Trebuchet MS"/>
                <w:sz w:val="18"/>
                <w:szCs w:val="22"/>
                <w:lang w:val="fr-CH" w:eastAsia="en-GB" w:bidi="en-GB"/>
              </w:rPr>
              <w:t>ZÉLANDE</w:t>
            </w:r>
          </w:p>
        </w:tc>
        <w:tc>
          <w:tcPr>
            <w:tcW w:w="1440" w:type="dxa"/>
          </w:tcPr>
          <w:p w14:paraId="69251170"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66A784FE" w14:textId="77777777" w:rsidTr="00F8528B">
        <w:trPr>
          <w:trHeight w:val="249"/>
        </w:trPr>
        <w:tc>
          <w:tcPr>
            <w:tcW w:w="2482" w:type="dxa"/>
            <w:shd w:val="clear" w:color="auto" w:fill="DBE5F1"/>
          </w:tcPr>
          <w:p w14:paraId="78F0D92C"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BULGARIE</w:t>
            </w:r>
          </w:p>
        </w:tc>
        <w:tc>
          <w:tcPr>
            <w:tcW w:w="1438" w:type="dxa"/>
          </w:tcPr>
          <w:p w14:paraId="4AC86C4A"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05EF1DBD"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OUGANDA</w:t>
            </w:r>
          </w:p>
        </w:tc>
        <w:tc>
          <w:tcPr>
            <w:tcW w:w="1440" w:type="dxa"/>
          </w:tcPr>
          <w:p w14:paraId="4154A0BF" w14:textId="77777777" w:rsidR="00FF3EB3" w:rsidRPr="002D6FC6" w:rsidRDefault="00FF3EB3" w:rsidP="00F8528B">
            <w:pPr>
              <w:autoSpaceDE w:val="0"/>
              <w:autoSpaceDN w:val="0"/>
              <w:spacing w:before="19"/>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7E9CD6F5" w14:textId="77777777" w:rsidTr="00F8528B">
        <w:trPr>
          <w:trHeight w:val="249"/>
        </w:trPr>
        <w:tc>
          <w:tcPr>
            <w:tcW w:w="2482" w:type="dxa"/>
            <w:shd w:val="clear" w:color="auto" w:fill="DBE5F1"/>
          </w:tcPr>
          <w:p w14:paraId="43A5FAA9"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CANADA</w:t>
            </w:r>
          </w:p>
        </w:tc>
        <w:tc>
          <w:tcPr>
            <w:tcW w:w="1438" w:type="dxa"/>
          </w:tcPr>
          <w:p w14:paraId="518DFEEF"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4F79F2FC" w14:textId="72C1C561"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PAYS</w:t>
            </w:r>
            <w:r w:rsidR="00ED3D7A">
              <w:rPr>
                <w:rFonts w:ascii="Trebuchet MS" w:eastAsia="Trebuchet MS" w:hAnsi="Trebuchet MS" w:cs="Trebuchet MS"/>
                <w:sz w:val="18"/>
                <w:szCs w:val="22"/>
                <w:lang w:val="fr-CH" w:eastAsia="en-GB" w:bidi="en-GB"/>
              </w:rPr>
              <w:noBreakHyphen/>
            </w:r>
            <w:r w:rsidRPr="002D6FC6">
              <w:rPr>
                <w:rFonts w:ascii="Trebuchet MS" w:eastAsia="Trebuchet MS" w:hAnsi="Trebuchet MS" w:cs="Trebuchet MS"/>
                <w:sz w:val="18"/>
                <w:szCs w:val="22"/>
                <w:lang w:val="fr-CH" w:eastAsia="en-GB" w:bidi="en-GB"/>
              </w:rPr>
              <w:t>BAS</w:t>
            </w:r>
          </w:p>
        </w:tc>
        <w:tc>
          <w:tcPr>
            <w:tcW w:w="1440" w:type="dxa"/>
          </w:tcPr>
          <w:p w14:paraId="146B976C"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2967A23F" w14:textId="77777777" w:rsidTr="00F8528B">
        <w:trPr>
          <w:trHeight w:val="248"/>
        </w:trPr>
        <w:tc>
          <w:tcPr>
            <w:tcW w:w="2482" w:type="dxa"/>
            <w:shd w:val="clear" w:color="auto" w:fill="DBE5F1"/>
          </w:tcPr>
          <w:p w14:paraId="61EF7534"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CHILI</w:t>
            </w:r>
          </w:p>
        </w:tc>
        <w:tc>
          <w:tcPr>
            <w:tcW w:w="1438" w:type="dxa"/>
          </w:tcPr>
          <w:p w14:paraId="3A704400"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7FED945B"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POLOGNE</w:t>
            </w:r>
          </w:p>
        </w:tc>
        <w:tc>
          <w:tcPr>
            <w:tcW w:w="1440" w:type="dxa"/>
          </w:tcPr>
          <w:p w14:paraId="58615786"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4C6C3042" w14:textId="77777777" w:rsidTr="00F8528B">
        <w:trPr>
          <w:trHeight w:val="260"/>
        </w:trPr>
        <w:tc>
          <w:tcPr>
            <w:tcW w:w="2482" w:type="dxa"/>
            <w:shd w:val="clear" w:color="auto" w:fill="DBE5F1"/>
          </w:tcPr>
          <w:p w14:paraId="07C81A51"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CHYPRE</w:t>
            </w:r>
            <w:r w:rsidRPr="002D6FC6">
              <w:rPr>
                <w:rFonts w:ascii="Trebuchet MS" w:eastAsia="Trebuchet MS" w:hAnsi="Trebuchet MS" w:cs="Trebuchet MS"/>
                <w:sz w:val="18"/>
                <w:szCs w:val="22"/>
                <w:vertAlign w:val="superscript"/>
                <w:lang w:val="fr-CH" w:eastAsia="en-GB" w:bidi="en-GB"/>
              </w:rPr>
              <w:t>1</w:t>
            </w:r>
          </w:p>
        </w:tc>
        <w:tc>
          <w:tcPr>
            <w:tcW w:w="1438" w:type="dxa"/>
          </w:tcPr>
          <w:p w14:paraId="22A63738"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5DA1361C"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PORTUGAL</w:t>
            </w:r>
          </w:p>
        </w:tc>
        <w:tc>
          <w:tcPr>
            <w:tcW w:w="1440" w:type="dxa"/>
          </w:tcPr>
          <w:p w14:paraId="0CA5B70D"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3E598132" w14:textId="77777777" w:rsidTr="00F8528B">
        <w:trPr>
          <w:trHeight w:val="283"/>
        </w:trPr>
        <w:tc>
          <w:tcPr>
            <w:tcW w:w="2482" w:type="dxa"/>
            <w:shd w:val="clear" w:color="auto" w:fill="DBE5F1"/>
          </w:tcPr>
          <w:p w14:paraId="6D843934"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CROATIE</w:t>
            </w:r>
          </w:p>
        </w:tc>
        <w:tc>
          <w:tcPr>
            <w:tcW w:w="1438" w:type="dxa"/>
          </w:tcPr>
          <w:p w14:paraId="049368F2"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262DB281"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RÉPUBLIQUE DE MOLDOVA</w:t>
            </w:r>
          </w:p>
        </w:tc>
        <w:tc>
          <w:tcPr>
            <w:tcW w:w="1440" w:type="dxa"/>
          </w:tcPr>
          <w:p w14:paraId="4225C73F"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61388DD5" w14:textId="77777777" w:rsidTr="00F8528B">
        <w:trPr>
          <w:trHeight w:val="272"/>
        </w:trPr>
        <w:tc>
          <w:tcPr>
            <w:tcW w:w="2482" w:type="dxa"/>
            <w:shd w:val="clear" w:color="auto" w:fill="DBE5F1"/>
          </w:tcPr>
          <w:p w14:paraId="0ABE35AE"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DANEMARK</w:t>
            </w:r>
          </w:p>
        </w:tc>
        <w:tc>
          <w:tcPr>
            <w:tcW w:w="1438" w:type="dxa"/>
          </w:tcPr>
          <w:p w14:paraId="3E1E17DF"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2386A0AD" w14:textId="5CB4135D"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RÉPUBLIQUE</w:t>
            </w:r>
            <w:r w:rsidR="008E4A6E">
              <w:rPr>
                <w:rFonts w:ascii="Trebuchet MS" w:eastAsia="Trebuchet MS" w:hAnsi="Trebuchet MS" w:cs="Trebuchet MS"/>
                <w:sz w:val="18"/>
                <w:szCs w:val="22"/>
                <w:lang w:val="fr-CH" w:eastAsia="en-GB" w:bidi="en-GB"/>
              </w:rPr>
              <w:t> TC</w:t>
            </w:r>
            <w:r w:rsidRPr="002D6FC6">
              <w:rPr>
                <w:rFonts w:ascii="Trebuchet MS" w:eastAsia="Trebuchet MS" w:hAnsi="Trebuchet MS" w:cs="Trebuchet MS"/>
                <w:sz w:val="18"/>
                <w:szCs w:val="22"/>
                <w:lang w:val="fr-CH" w:eastAsia="en-GB" w:bidi="en-GB"/>
              </w:rPr>
              <w:t>HÈQUE</w:t>
            </w:r>
          </w:p>
        </w:tc>
        <w:tc>
          <w:tcPr>
            <w:tcW w:w="1440" w:type="dxa"/>
          </w:tcPr>
          <w:p w14:paraId="7ECEDE71"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5FFEDE50" w14:textId="77777777" w:rsidTr="00F8528B">
        <w:trPr>
          <w:trHeight w:val="272"/>
        </w:trPr>
        <w:tc>
          <w:tcPr>
            <w:tcW w:w="2482" w:type="dxa"/>
            <w:shd w:val="clear" w:color="auto" w:fill="DBE5F1"/>
          </w:tcPr>
          <w:p w14:paraId="51A61D16"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ÉGYPTE</w:t>
            </w:r>
          </w:p>
        </w:tc>
        <w:tc>
          <w:tcPr>
            <w:tcW w:w="1438" w:type="dxa"/>
          </w:tcPr>
          <w:p w14:paraId="6CB6C6BB"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3AF2E9CC"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ROUMANIE</w:t>
            </w:r>
          </w:p>
        </w:tc>
        <w:tc>
          <w:tcPr>
            <w:tcW w:w="1440" w:type="dxa"/>
          </w:tcPr>
          <w:p w14:paraId="14000650"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5A568A0B" w14:textId="77777777" w:rsidTr="00F8528B">
        <w:trPr>
          <w:trHeight w:val="272"/>
        </w:trPr>
        <w:tc>
          <w:tcPr>
            <w:tcW w:w="2482" w:type="dxa"/>
            <w:shd w:val="clear" w:color="auto" w:fill="DBE5F1"/>
          </w:tcPr>
          <w:p w14:paraId="4FA38631"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ESPAGNE</w:t>
            </w:r>
          </w:p>
        </w:tc>
        <w:tc>
          <w:tcPr>
            <w:tcW w:w="1438" w:type="dxa"/>
          </w:tcPr>
          <w:p w14:paraId="4F5FEB8E"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2DDC73B0" w14:textId="2B1254F1"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ROYAUME</w:t>
            </w:r>
            <w:r w:rsidR="00ED3D7A">
              <w:rPr>
                <w:rFonts w:ascii="Trebuchet MS" w:eastAsia="Trebuchet MS" w:hAnsi="Trebuchet MS" w:cs="Trebuchet MS"/>
                <w:sz w:val="18"/>
                <w:szCs w:val="22"/>
                <w:lang w:val="fr-CH" w:eastAsia="en-GB" w:bidi="en-GB"/>
              </w:rPr>
              <w:noBreakHyphen/>
            </w:r>
            <w:r w:rsidRPr="002D6FC6">
              <w:rPr>
                <w:rFonts w:ascii="Trebuchet MS" w:eastAsia="Trebuchet MS" w:hAnsi="Trebuchet MS" w:cs="Trebuchet MS"/>
                <w:sz w:val="18"/>
                <w:szCs w:val="22"/>
                <w:lang w:val="fr-CH" w:eastAsia="en-GB" w:bidi="en-GB"/>
              </w:rPr>
              <w:t>UNI</w:t>
            </w:r>
          </w:p>
        </w:tc>
        <w:tc>
          <w:tcPr>
            <w:tcW w:w="1440" w:type="dxa"/>
          </w:tcPr>
          <w:p w14:paraId="7D4EFD40" w14:textId="77777777" w:rsidR="00FF3EB3" w:rsidRPr="002D6FC6" w:rsidRDefault="00FF3EB3" w:rsidP="00F8528B">
            <w:pPr>
              <w:autoSpaceDE w:val="0"/>
              <w:autoSpaceDN w:val="0"/>
              <w:spacing w:before="19" w:line="220"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02605BCB" w14:textId="77777777" w:rsidTr="00F8528B">
        <w:trPr>
          <w:trHeight w:val="272"/>
        </w:trPr>
        <w:tc>
          <w:tcPr>
            <w:tcW w:w="2482" w:type="dxa"/>
            <w:shd w:val="clear" w:color="auto" w:fill="DBE5F1"/>
          </w:tcPr>
          <w:p w14:paraId="44FAA355"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ESTONIE</w:t>
            </w:r>
          </w:p>
        </w:tc>
        <w:tc>
          <w:tcPr>
            <w:tcW w:w="1438" w:type="dxa"/>
          </w:tcPr>
          <w:p w14:paraId="5E58DDD3"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1242E1B7"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SÉNÉGAL</w:t>
            </w:r>
          </w:p>
        </w:tc>
        <w:tc>
          <w:tcPr>
            <w:tcW w:w="1440" w:type="dxa"/>
          </w:tcPr>
          <w:p w14:paraId="2AD9D8D6"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32E5601C" w14:textId="77777777" w:rsidTr="00F8528B">
        <w:trPr>
          <w:trHeight w:val="272"/>
        </w:trPr>
        <w:tc>
          <w:tcPr>
            <w:tcW w:w="2482" w:type="dxa"/>
            <w:shd w:val="clear" w:color="auto" w:fill="DBE5F1"/>
          </w:tcPr>
          <w:p w14:paraId="45AE2A40" w14:textId="4342BC2B" w:rsidR="00FF3EB3" w:rsidRPr="002D6FC6" w:rsidRDefault="00FF3EB3" w:rsidP="00F8528B">
            <w:pPr>
              <w:autoSpaceDE w:val="0"/>
              <w:autoSpaceDN w:val="0"/>
              <w:spacing w:before="31"/>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ÉTATS</w:t>
            </w:r>
            <w:r w:rsidR="00ED3D7A">
              <w:rPr>
                <w:rFonts w:ascii="Trebuchet MS" w:eastAsia="Trebuchet MS" w:hAnsi="Trebuchet MS" w:cs="Trebuchet MS"/>
                <w:sz w:val="18"/>
                <w:szCs w:val="22"/>
                <w:lang w:val="fr-CH" w:eastAsia="en-GB" w:bidi="en-GB"/>
              </w:rPr>
              <w:noBreakHyphen/>
            </w:r>
            <w:r w:rsidRPr="002D6FC6">
              <w:rPr>
                <w:rFonts w:ascii="Trebuchet MS" w:eastAsia="Trebuchet MS" w:hAnsi="Trebuchet MS" w:cs="Trebuchet MS"/>
                <w:sz w:val="18"/>
                <w:szCs w:val="22"/>
                <w:lang w:val="fr-CH" w:eastAsia="en-GB" w:bidi="en-GB"/>
              </w:rPr>
              <w:t>UNIS D</w:t>
            </w:r>
            <w:r w:rsidR="008E4A6E">
              <w:rPr>
                <w:rFonts w:ascii="Trebuchet MS" w:eastAsia="Trebuchet MS" w:hAnsi="Trebuchet MS" w:cs="Trebuchet MS"/>
                <w:sz w:val="18"/>
                <w:szCs w:val="22"/>
                <w:lang w:val="fr-CH" w:eastAsia="en-GB" w:bidi="en-GB"/>
              </w:rPr>
              <w:t>’</w:t>
            </w:r>
            <w:r w:rsidRPr="002D6FC6">
              <w:rPr>
                <w:rFonts w:ascii="Trebuchet MS" w:eastAsia="Trebuchet MS" w:hAnsi="Trebuchet MS" w:cs="Trebuchet MS"/>
                <w:sz w:val="18"/>
                <w:szCs w:val="22"/>
                <w:lang w:val="fr-CH" w:eastAsia="en-GB" w:bidi="en-GB"/>
              </w:rPr>
              <w:t>AMÉRIQUE</w:t>
            </w:r>
          </w:p>
        </w:tc>
        <w:tc>
          <w:tcPr>
            <w:tcW w:w="1438" w:type="dxa"/>
          </w:tcPr>
          <w:p w14:paraId="4597B93C" w14:textId="77777777" w:rsidR="00FF3EB3" w:rsidRPr="002D6FC6" w:rsidRDefault="00FF3EB3" w:rsidP="00F8528B">
            <w:pPr>
              <w:autoSpaceDE w:val="0"/>
              <w:autoSpaceDN w:val="0"/>
              <w:spacing w:before="31"/>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68AA176C"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SERBIE</w:t>
            </w:r>
          </w:p>
        </w:tc>
        <w:tc>
          <w:tcPr>
            <w:tcW w:w="1440" w:type="dxa"/>
          </w:tcPr>
          <w:p w14:paraId="60518843"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0F1AC8B5" w14:textId="77777777" w:rsidTr="00F8528B">
        <w:trPr>
          <w:trHeight w:val="265"/>
        </w:trPr>
        <w:tc>
          <w:tcPr>
            <w:tcW w:w="2482" w:type="dxa"/>
            <w:shd w:val="clear" w:color="auto" w:fill="DBE5F1"/>
          </w:tcPr>
          <w:p w14:paraId="24A4EFFC"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FÉDÉRATION DE RUSSIE</w:t>
            </w:r>
          </w:p>
        </w:tc>
        <w:tc>
          <w:tcPr>
            <w:tcW w:w="1438" w:type="dxa"/>
          </w:tcPr>
          <w:p w14:paraId="669759E8"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c>
          <w:tcPr>
            <w:tcW w:w="2477" w:type="dxa"/>
            <w:shd w:val="clear" w:color="auto" w:fill="DBE5F1" w:themeFill="accent1" w:themeFillTint="33"/>
          </w:tcPr>
          <w:p w14:paraId="5760FE6F"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SLOVAQUIE</w:t>
            </w:r>
          </w:p>
        </w:tc>
        <w:tc>
          <w:tcPr>
            <w:tcW w:w="1440" w:type="dxa"/>
          </w:tcPr>
          <w:p w14:paraId="3F0DCA68"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3CA9AF57" w14:textId="77777777" w:rsidTr="00F8528B">
        <w:trPr>
          <w:trHeight w:val="271"/>
        </w:trPr>
        <w:tc>
          <w:tcPr>
            <w:tcW w:w="2482" w:type="dxa"/>
            <w:shd w:val="clear" w:color="auto" w:fill="DBE5F1"/>
          </w:tcPr>
          <w:p w14:paraId="119281D4"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FINLANDE</w:t>
            </w:r>
          </w:p>
        </w:tc>
        <w:tc>
          <w:tcPr>
            <w:tcW w:w="1438" w:type="dxa"/>
          </w:tcPr>
          <w:p w14:paraId="3C8B4CBA"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c>
          <w:tcPr>
            <w:tcW w:w="2477" w:type="dxa"/>
            <w:shd w:val="clear" w:color="auto" w:fill="DBE5F1" w:themeFill="accent1" w:themeFillTint="33"/>
          </w:tcPr>
          <w:p w14:paraId="470B4394"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SLOVÉNIE</w:t>
            </w:r>
          </w:p>
        </w:tc>
        <w:tc>
          <w:tcPr>
            <w:tcW w:w="1440" w:type="dxa"/>
          </w:tcPr>
          <w:p w14:paraId="162C4D99" w14:textId="77777777" w:rsidR="00FF3EB3" w:rsidRPr="002D6FC6" w:rsidRDefault="00FF3EB3" w:rsidP="00F8528B">
            <w:pPr>
              <w:autoSpaceDE w:val="0"/>
              <w:autoSpaceDN w:val="0"/>
              <w:spacing w:before="19"/>
              <w:jc w:val="left"/>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bl>
    <w:p w14:paraId="54B85E64" w14:textId="77777777" w:rsidR="00FF3EB3" w:rsidRPr="002D6FC6" w:rsidRDefault="00FF3EB3" w:rsidP="00FF3EB3">
      <w:pPr>
        <w:spacing w:before="2"/>
        <w:rPr>
          <w:sz w:val="15"/>
          <w:lang w:val="fr-CH"/>
        </w:rPr>
      </w:pPr>
    </w:p>
    <w:p w14:paraId="400A0E9A" w14:textId="77777777" w:rsidR="00FF3EB3" w:rsidRPr="002D6FC6" w:rsidRDefault="00FF3EB3" w:rsidP="00FF3EB3">
      <w:pPr>
        <w:spacing w:before="2"/>
        <w:rPr>
          <w:sz w:val="15"/>
          <w:lang w:val="fr-CH"/>
        </w:rPr>
      </w:pPr>
    </w:p>
    <w:p w14:paraId="5CDEEF7A" w14:textId="77777777" w:rsidR="00FF3EB3" w:rsidRPr="002D6FC6" w:rsidRDefault="00FF3EB3" w:rsidP="00FF3EB3">
      <w:pPr>
        <w:spacing w:before="2"/>
        <w:rPr>
          <w:sz w:val="15"/>
          <w:lang w:val="fr-CH"/>
        </w:rPr>
      </w:pPr>
    </w:p>
    <w:p w14:paraId="6F960ABC" w14:textId="77777777" w:rsidR="00FF3EB3" w:rsidRPr="002D6FC6" w:rsidRDefault="00FF3EB3" w:rsidP="00FF3EB3">
      <w:pPr>
        <w:spacing w:before="2"/>
        <w:rPr>
          <w:sz w:val="15"/>
          <w:lang w:val="fr-CH"/>
        </w:rPr>
      </w:pPr>
    </w:p>
    <w:p w14:paraId="6A26D251" w14:textId="77777777" w:rsidR="00FF3EB3" w:rsidRPr="002D6FC6" w:rsidRDefault="00FF3EB3" w:rsidP="00FF3EB3">
      <w:pPr>
        <w:spacing w:before="2"/>
        <w:rPr>
          <w:sz w:val="15"/>
          <w:lang w:val="fr-CH"/>
        </w:rPr>
      </w:pPr>
    </w:p>
    <w:p w14:paraId="6E5F6FB9" w14:textId="77777777" w:rsidR="00FF3EB3" w:rsidRPr="002D6FC6" w:rsidRDefault="00FF3EB3" w:rsidP="00FF3EB3">
      <w:pPr>
        <w:spacing w:before="2"/>
        <w:rPr>
          <w:sz w:val="15"/>
          <w:lang w:val="fr-CH"/>
        </w:rPr>
      </w:pPr>
    </w:p>
    <w:p w14:paraId="5E4E078A" w14:textId="77777777" w:rsidR="00FF3EB3" w:rsidRPr="002D6FC6" w:rsidRDefault="00FF3EB3" w:rsidP="00FF3EB3">
      <w:pPr>
        <w:spacing w:before="2"/>
        <w:rPr>
          <w:sz w:val="15"/>
          <w:lang w:val="fr-CH"/>
        </w:rPr>
      </w:pPr>
      <w:r w:rsidRPr="002D6FC6">
        <w:rPr>
          <w:noProof/>
          <w:sz w:val="22"/>
        </w:rPr>
        <mc:AlternateContent>
          <mc:Choice Requires="wps">
            <w:drawing>
              <wp:anchor distT="0" distB="0" distL="0" distR="0" simplePos="0" relativeHeight="251660288" behindDoc="1" locked="0" layoutInCell="1" allowOverlap="1" wp14:anchorId="379A3153" wp14:editId="31630ADB">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DF87AA" id="Freeform 21" o:spid="_x0000_s1026" style="position:absolute;margin-left:36pt;margin-top:11pt;width:14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bjmgIAAJQFAAAOAAAAZHJzL2Uyb0RvYy54bWysVNtu2zAMfR+wfxD0uKH1JWmbGnWKoVmH&#10;Ad0FaPYBiizHxmRRk5Q47dePkuzUy7aXYQFiUCZ1eHhI8+b20EmyF8a2oEqanaeUCMWhatW2pN/W&#10;92cLSqxjqmISlCjpk7D0dvn61U2vC5FDA7IShiCIskWvS9o4p4sksbwRHbPnoIVCZw2mYw6PZptU&#10;hvWI3skkT9PLpAdTaQNcWItvV9FJlwG/rgV3X+raCkdkSZGbC08Tnhv/TJY3rNgappuWDzTYP7Do&#10;WKsw6RFqxRwjO9P+BtW13ICF2p1z6BKo65aLUANWk6Un1Tw2TItQC4pj9VEm+/9g+ef9o/5qPHWr&#10;H4B/t6hI0mtbHD3+YDGGbPpPUGEP2c5BKPZQm87fxDLIIWj6dNRUHBzh+DJb5Nfz2QUlHH1ZfhUk&#10;T1gx3uU76z4ICDhs/2Bd7EiFVtCzIop1mHSN3as7ic15e0ZScpWH/9C/Y1A2Br1JyDolPckXi+w0&#10;KB+DAtLsMv0j1GyM8lD5BArJb0d6rBkZ84MaKKNFmB//NIikwXpx1khtVAcRMMiX95dYzH0aG+8M&#10;KQzO9elEG0pwojexWM2cZ+ZTeJP0JQ1K+Bcd7MUagsudtA2TvHilmkbhdezAhFV04w2fAGcmGiGp&#10;5zppq4L7VsrQV6k8lavLPGpjQbaVd3o21mw3d9KQPfPfavj5YhDslzBtrFsx28S44Io1G9ipKmRp&#10;BKveD7ZjrYw2AkkUPQy3n2e/I2yxgeoJZ9tAXA24ytBowDxT0uNaKKn9sWNGUCI/KvzurrP53O+R&#10;cJhf4BhSYqaezdTDFEeokjqKE+HNOxd3z06bdttgpizMiIJ3+E3VrR/+wC+yGg746QcZhjXld8v0&#10;HKJelunyJwAAAP//AwBQSwMEFAAGAAgAAAAhAM3aiVvdAAAACAEAAA8AAABkcnMvZG93bnJldi54&#10;bWxMj09Lw0AQxe+C32EZwZvdNGJj02yKiILgyaaIx2ky+UOysyG7Tbff3s1JT8PMe7z5vWzv9SBm&#10;mmxnWMF6FYEgLk3VcaPgWLw/PIOwDrnCwTApuJKFfX57k2FamQt/0XxwjQghbFNU0Do3plLasiWN&#10;dmVG4qDVZtLowjo1sprwEsL1IOMo2kiNHYcPLY702lLZH85awcf1G4v67an39Zx8bgvf/3ByVOr+&#10;zr/sQDjy7s8MC35AhzwwncyZKysGBUkcqjgF8TKD/riJ1iBOyyEGmWfyf4H8FwAA//8DAFBLAQIt&#10;ABQABgAIAAAAIQC2gziS/gAAAOEBAAATAAAAAAAAAAAAAAAAAAAAAABbQ29udGVudF9UeXBlc10u&#10;eG1sUEsBAi0AFAAGAAgAAAAhADj9If/WAAAAlAEAAAsAAAAAAAAAAAAAAAAALwEAAF9yZWxzLy5y&#10;ZWxzUEsBAi0AFAAGAAgAAAAhAGhupuOaAgAAlAUAAA4AAAAAAAAAAAAAAAAALgIAAGRycy9lMm9E&#10;b2MueG1sUEsBAi0AFAAGAAgAAAAhAM3aiVvdAAAACAEAAA8AAAAAAAAAAAAAAAAA9AQAAGRycy9k&#10;b3ducmV2LnhtbFBLBQYAAAAABAAEAPMAAAD+BQAAAAA=&#10;" path="m,l2880,e" filled="f" strokeweight=".6pt">
                <v:path arrowok="t" o:connecttype="custom" o:connectlocs="0,0;1828800,0" o:connectangles="0,0"/>
                <w10:wrap type="topAndBottom" anchorx="page"/>
              </v:shape>
            </w:pict>
          </mc:Fallback>
        </mc:AlternateContent>
      </w:r>
    </w:p>
    <w:p w14:paraId="7284125F" w14:textId="659F815B" w:rsidR="00FF3EB3" w:rsidRPr="002D6FC6" w:rsidRDefault="00ED3D7A" w:rsidP="00ED3D7A">
      <w:pPr>
        <w:tabs>
          <w:tab w:val="left" w:pos="567"/>
        </w:tabs>
        <w:spacing w:before="35"/>
        <w:rPr>
          <w:rFonts w:ascii="Trebuchet MS"/>
          <w:sz w:val="18"/>
          <w:lang w:val="fr-CH"/>
        </w:rPr>
      </w:pPr>
      <w:r>
        <w:rPr>
          <w:rFonts w:ascii="Trebuchet MS"/>
          <w:sz w:val="18"/>
          <w:lang w:val="fr-CH"/>
        </w:rPr>
        <w:t>1</w:t>
      </w:r>
      <w:r>
        <w:rPr>
          <w:rFonts w:ascii="Trebuchet MS"/>
          <w:sz w:val="18"/>
          <w:lang w:val="fr-CH"/>
        </w:rPr>
        <w:tab/>
        <w:t>Source</w:t>
      </w:r>
      <w:r>
        <w:rPr>
          <w:rFonts w:ascii="Trebuchet MS"/>
          <w:sz w:val="18"/>
          <w:lang w:val="fr-CH"/>
        </w:rPr>
        <w:t> </w:t>
      </w:r>
      <w:r>
        <w:rPr>
          <w:rFonts w:ascii="Trebuchet MS"/>
          <w:sz w:val="18"/>
          <w:lang w:val="fr-CH"/>
        </w:rPr>
        <w:t xml:space="preserve">: </w:t>
      </w:r>
      <w:r w:rsidR="000C1134">
        <w:rPr>
          <w:rFonts w:ascii="Trebuchet MS"/>
          <w:sz w:val="18"/>
          <w:lang w:val="fr-CH"/>
        </w:rPr>
        <w:t xml:space="preserve">OCDE </w:t>
      </w:r>
      <w:r w:rsidR="00174147" w:rsidRPr="002D6FC6">
        <w:rPr>
          <w:rFonts w:ascii="Trebuchet MS" w:hAnsi="Trebuchet MS"/>
          <w:sz w:val="18"/>
          <w:lang w:val="fr-CH"/>
        </w:rPr>
        <w:t>“</w:t>
      </w:r>
      <w:r w:rsidR="00FF3EB3" w:rsidRPr="002D6FC6">
        <w:rPr>
          <w:rFonts w:ascii="Trebuchet MS"/>
          <w:sz w:val="18"/>
          <w:lang w:val="fr-CH"/>
        </w:rPr>
        <w:t>Note de la Turquie</w:t>
      </w:r>
    </w:p>
    <w:p w14:paraId="4FC1AD2A" w14:textId="25C2238F" w:rsidR="00FF3EB3" w:rsidRPr="002D6FC6" w:rsidRDefault="00FF3EB3" w:rsidP="00FF3EB3">
      <w:pPr>
        <w:spacing w:before="127"/>
        <w:ind w:right="216"/>
        <w:rPr>
          <w:rFonts w:ascii="Trebuchet MS" w:hAnsi="Trebuchet MS"/>
          <w:sz w:val="18"/>
          <w:lang w:val="fr-CH"/>
        </w:rPr>
      </w:pPr>
      <w:r w:rsidRPr="002D6FC6">
        <w:rPr>
          <w:rFonts w:ascii="Trebuchet MS" w:hAnsi="Trebuchet MS"/>
          <w:sz w:val="18"/>
          <w:lang w:val="fr-CH"/>
        </w:rPr>
        <w:t>Les informations figurant dans le présent document mentionnant “Chypre” se rapportent à la partie méridionale de l</w:t>
      </w:r>
      <w:r w:rsidR="008E4A6E">
        <w:rPr>
          <w:rFonts w:ascii="Trebuchet MS" w:hAnsi="Trebuchet MS"/>
          <w:sz w:val="18"/>
          <w:lang w:val="fr-CH"/>
        </w:rPr>
        <w:t>’</w:t>
      </w:r>
      <w:r w:rsidRPr="002D6FC6">
        <w:rPr>
          <w:rFonts w:ascii="Trebuchet MS" w:hAnsi="Trebuchet MS"/>
          <w:sz w:val="18"/>
          <w:lang w:val="fr-CH"/>
        </w:rPr>
        <w:t>î</w:t>
      </w:r>
      <w:r w:rsidR="00F80F77" w:rsidRPr="002D6FC6">
        <w:rPr>
          <w:rFonts w:ascii="Trebuchet MS" w:hAnsi="Trebuchet MS"/>
          <w:sz w:val="18"/>
          <w:lang w:val="fr-CH"/>
        </w:rPr>
        <w:t>le</w:t>
      </w:r>
      <w:r w:rsidR="00F80F77">
        <w:rPr>
          <w:rFonts w:ascii="Trebuchet MS" w:hAnsi="Trebuchet MS"/>
          <w:sz w:val="18"/>
          <w:lang w:val="fr-CH"/>
        </w:rPr>
        <w:t xml:space="preserve">.  </w:t>
      </w:r>
      <w:r w:rsidR="00F80F77" w:rsidRPr="002D6FC6">
        <w:rPr>
          <w:rFonts w:ascii="Trebuchet MS" w:hAnsi="Trebuchet MS"/>
          <w:sz w:val="18"/>
          <w:lang w:val="fr-CH"/>
        </w:rPr>
        <w:t>Il</w:t>
      </w:r>
      <w:r w:rsidRPr="002D6FC6">
        <w:rPr>
          <w:rFonts w:ascii="Trebuchet MS" w:hAnsi="Trebuchet MS"/>
          <w:sz w:val="18"/>
          <w:lang w:val="fr-CH"/>
        </w:rPr>
        <w:t xml:space="preserve"> n</w:t>
      </w:r>
      <w:r w:rsidR="008E4A6E">
        <w:rPr>
          <w:rFonts w:ascii="Trebuchet MS" w:hAnsi="Trebuchet MS"/>
          <w:sz w:val="18"/>
          <w:lang w:val="fr-CH"/>
        </w:rPr>
        <w:t>’</w:t>
      </w:r>
      <w:r w:rsidRPr="002D6FC6">
        <w:rPr>
          <w:rFonts w:ascii="Trebuchet MS" w:hAnsi="Trebuchet MS"/>
          <w:sz w:val="18"/>
          <w:lang w:val="fr-CH"/>
        </w:rPr>
        <w:t>existe pas d</w:t>
      </w:r>
      <w:r w:rsidR="008E4A6E">
        <w:rPr>
          <w:rFonts w:ascii="Trebuchet MS" w:hAnsi="Trebuchet MS"/>
          <w:sz w:val="18"/>
          <w:lang w:val="fr-CH"/>
        </w:rPr>
        <w:t>’</w:t>
      </w:r>
      <w:r w:rsidRPr="002D6FC6">
        <w:rPr>
          <w:rFonts w:ascii="Trebuchet MS" w:hAnsi="Trebuchet MS"/>
          <w:sz w:val="18"/>
          <w:lang w:val="fr-CH"/>
        </w:rPr>
        <w:t>administration unique représentant à la fois les Chypriotes turcs et grecs sur l</w:t>
      </w:r>
      <w:r w:rsidR="008E4A6E">
        <w:rPr>
          <w:rFonts w:ascii="Trebuchet MS" w:hAnsi="Trebuchet MS"/>
          <w:sz w:val="18"/>
          <w:lang w:val="fr-CH"/>
        </w:rPr>
        <w:t>’</w:t>
      </w:r>
      <w:r w:rsidRPr="002D6FC6">
        <w:rPr>
          <w:rFonts w:ascii="Trebuchet MS" w:hAnsi="Trebuchet MS"/>
          <w:sz w:val="18"/>
          <w:lang w:val="fr-CH"/>
        </w:rPr>
        <w:t>î</w:t>
      </w:r>
      <w:r w:rsidR="00F80F77" w:rsidRPr="002D6FC6">
        <w:rPr>
          <w:rFonts w:ascii="Trebuchet MS" w:hAnsi="Trebuchet MS"/>
          <w:sz w:val="18"/>
          <w:lang w:val="fr-CH"/>
        </w:rPr>
        <w:t>le</w:t>
      </w:r>
      <w:r w:rsidR="00F80F77">
        <w:rPr>
          <w:rFonts w:ascii="Trebuchet MS" w:hAnsi="Trebuchet MS"/>
          <w:sz w:val="18"/>
          <w:lang w:val="fr-CH"/>
        </w:rPr>
        <w:t xml:space="preserve">.  </w:t>
      </w:r>
      <w:r w:rsidR="00F80F77" w:rsidRPr="002D6FC6">
        <w:rPr>
          <w:rFonts w:ascii="Trebuchet MS" w:hAnsi="Trebuchet MS"/>
          <w:sz w:val="18"/>
          <w:lang w:val="fr-CH"/>
        </w:rPr>
        <w:t>La</w:t>
      </w:r>
      <w:r w:rsidRPr="002D6FC6">
        <w:rPr>
          <w:rFonts w:ascii="Trebuchet MS" w:hAnsi="Trebuchet MS"/>
          <w:sz w:val="18"/>
          <w:lang w:val="fr-CH"/>
        </w:rPr>
        <w:t xml:space="preserve"> Turquie reconnaît la République turque de Chypre</w:t>
      </w:r>
      <w:r w:rsidR="00ED3D7A">
        <w:rPr>
          <w:rFonts w:ascii="Trebuchet MS" w:hAnsi="Trebuchet MS"/>
          <w:sz w:val="18"/>
          <w:lang w:val="fr-CH"/>
        </w:rPr>
        <w:noBreakHyphen/>
      </w:r>
      <w:r w:rsidRPr="002D6FC6">
        <w:rPr>
          <w:rFonts w:ascii="Trebuchet MS" w:hAnsi="Trebuchet MS"/>
          <w:sz w:val="18"/>
          <w:lang w:val="fr-CH"/>
        </w:rPr>
        <w:t>No</w:t>
      </w:r>
      <w:r w:rsidR="00F80F77" w:rsidRPr="002D6FC6">
        <w:rPr>
          <w:rFonts w:ascii="Trebuchet MS" w:hAnsi="Trebuchet MS"/>
          <w:sz w:val="18"/>
          <w:lang w:val="fr-CH"/>
        </w:rPr>
        <w:t>rd</w:t>
      </w:r>
      <w:r w:rsidR="00F80F77">
        <w:rPr>
          <w:rFonts w:ascii="Trebuchet MS" w:hAnsi="Trebuchet MS"/>
          <w:sz w:val="18"/>
          <w:lang w:val="fr-CH"/>
        </w:rPr>
        <w:t xml:space="preserve">.  </w:t>
      </w:r>
      <w:r w:rsidR="00F80F77" w:rsidRPr="002D6FC6">
        <w:rPr>
          <w:rFonts w:ascii="Trebuchet MS" w:hAnsi="Trebuchet MS"/>
          <w:sz w:val="18"/>
          <w:lang w:val="fr-CH"/>
        </w:rPr>
        <w:t xml:space="preserve">À </w:t>
      </w:r>
      <w:r w:rsidRPr="002D6FC6">
        <w:rPr>
          <w:rFonts w:ascii="Trebuchet MS" w:hAnsi="Trebuchet MS"/>
          <w:sz w:val="18"/>
          <w:lang w:val="fr-CH"/>
        </w:rPr>
        <w:t>moins qu</w:t>
      </w:r>
      <w:r w:rsidR="008E4A6E">
        <w:rPr>
          <w:rFonts w:ascii="Trebuchet MS" w:hAnsi="Trebuchet MS"/>
          <w:sz w:val="18"/>
          <w:lang w:val="fr-CH"/>
        </w:rPr>
        <w:t>’</w:t>
      </w:r>
      <w:r w:rsidRPr="002D6FC6">
        <w:rPr>
          <w:rFonts w:ascii="Trebuchet MS" w:hAnsi="Trebuchet MS"/>
          <w:sz w:val="18"/>
          <w:lang w:val="fr-CH"/>
        </w:rPr>
        <w:t xml:space="preserve">une solution durable et équitable ne soit trouvée dans le contexte des </w:t>
      </w:r>
      <w:r w:rsidR="008E4A6E">
        <w:rPr>
          <w:rFonts w:ascii="Trebuchet MS" w:hAnsi="Trebuchet MS"/>
          <w:sz w:val="18"/>
          <w:lang w:val="fr-CH"/>
        </w:rPr>
        <w:t>Nations Unies</w:t>
      </w:r>
      <w:r w:rsidRPr="002D6FC6">
        <w:rPr>
          <w:rFonts w:ascii="Trebuchet MS" w:hAnsi="Trebuchet MS"/>
          <w:sz w:val="18"/>
          <w:lang w:val="fr-CH"/>
        </w:rPr>
        <w:t xml:space="preserve">, la Turquie maintient sa position concernant la </w:t>
      </w:r>
      <w:r w:rsidRPr="002D6FC6">
        <w:rPr>
          <w:rFonts w:eastAsia="Cambria"/>
          <w:lang w:val="fr-CH"/>
        </w:rPr>
        <w:t>“</w:t>
      </w:r>
      <w:r w:rsidRPr="002D6FC6">
        <w:rPr>
          <w:rFonts w:ascii="Trebuchet MS" w:hAnsi="Trebuchet MS"/>
          <w:sz w:val="18"/>
          <w:lang w:val="fr-CH"/>
        </w:rPr>
        <w:t>question chypriote</w:t>
      </w:r>
      <w:r w:rsidRPr="002D6FC6">
        <w:rPr>
          <w:rFonts w:eastAsia="Cambria"/>
          <w:lang w:val="fr-CH"/>
        </w:rPr>
        <w:t>”.</w:t>
      </w:r>
    </w:p>
    <w:p w14:paraId="541CF867" w14:textId="0C6C7104" w:rsidR="00FF3EB3" w:rsidRPr="002D6FC6" w:rsidRDefault="00FF3EB3" w:rsidP="00FF3EB3">
      <w:pPr>
        <w:spacing w:before="119"/>
        <w:rPr>
          <w:rFonts w:ascii="Trebuchet MS"/>
          <w:sz w:val="18"/>
          <w:lang w:val="fr-CH"/>
        </w:rPr>
      </w:pPr>
      <w:r w:rsidRPr="002D6FC6">
        <w:rPr>
          <w:rFonts w:ascii="Trebuchet MS"/>
          <w:sz w:val="18"/>
          <w:lang w:val="fr-CH"/>
        </w:rPr>
        <w:t xml:space="preserve">Note de tous les </w:t>
      </w:r>
      <w:r w:rsidRPr="002D6FC6">
        <w:rPr>
          <w:rFonts w:ascii="Trebuchet MS"/>
          <w:sz w:val="18"/>
          <w:lang w:val="fr-CH"/>
        </w:rPr>
        <w:t>É</w:t>
      </w:r>
      <w:r w:rsidRPr="002D6FC6">
        <w:rPr>
          <w:rFonts w:ascii="Trebuchet MS"/>
          <w:sz w:val="18"/>
          <w:lang w:val="fr-CH"/>
        </w:rPr>
        <w:t>tats de l</w:t>
      </w:r>
      <w:r w:rsidR="008E4A6E">
        <w:rPr>
          <w:rFonts w:ascii="Trebuchet MS"/>
          <w:sz w:val="18"/>
          <w:lang w:val="fr-CH"/>
        </w:rPr>
        <w:t>’</w:t>
      </w:r>
      <w:r w:rsidRPr="002D6FC6">
        <w:rPr>
          <w:rFonts w:ascii="Trebuchet MS"/>
          <w:sz w:val="18"/>
          <w:lang w:val="fr-CH"/>
        </w:rPr>
        <w:t>Union europ</w:t>
      </w:r>
      <w:r w:rsidRPr="002D6FC6">
        <w:rPr>
          <w:rFonts w:ascii="Trebuchet MS"/>
          <w:sz w:val="18"/>
          <w:lang w:val="fr-CH"/>
        </w:rPr>
        <w:t>é</w:t>
      </w:r>
      <w:r w:rsidRPr="002D6FC6">
        <w:rPr>
          <w:rFonts w:ascii="Trebuchet MS"/>
          <w:sz w:val="18"/>
          <w:lang w:val="fr-CH"/>
        </w:rPr>
        <w:t>enne membres de l</w:t>
      </w:r>
      <w:r w:rsidR="008E4A6E">
        <w:rPr>
          <w:rFonts w:ascii="Trebuchet MS"/>
          <w:sz w:val="18"/>
          <w:lang w:val="fr-CH"/>
        </w:rPr>
        <w:t>’</w:t>
      </w:r>
      <w:r w:rsidRPr="002D6FC6">
        <w:rPr>
          <w:rFonts w:ascii="Trebuchet MS"/>
          <w:sz w:val="18"/>
          <w:lang w:val="fr-CH"/>
        </w:rPr>
        <w:t>OCDE et de l</w:t>
      </w:r>
      <w:r w:rsidR="008E4A6E">
        <w:rPr>
          <w:rFonts w:ascii="Trebuchet MS"/>
          <w:sz w:val="18"/>
          <w:lang w:val="fr-CH"/>
        </w:rPr>
        <w:t>’</w:t>
      </w:r>
      <w:r w:rsidRPr="002D6FC6">
        <w:rPr>
          <w:rFonts w:ascii="Trebuchet MS"/>
          <w:sz w:val="18"/>
          <w:lang w:val="fr-CH"/>
        </w:rPr>
        <w:t>Union europ</w:t>
      </w:r>
      <w:r w:rsidRPr="002D6FC6">
        <w:rPr>
          <w:rFonts w:ascii="Trebuchet MS"/>
          <w:sz w:val="18"/>
          <w:lang w:val="fr-CH"/>
        </w:rPr>
        <w:t>é</w:t>
      </w:r>
      <w:r w:rsidRPr="002D6FC6">
        <w:rPr>
          <w:rFonts w:ascii="Trebuchet MS"/>
          <w:sz w:val="18"/>
          <w:lang w:val="fr-CH"/>
        </w:rPr>
        <w:t>enne</w:t>
      </w:r>
    </w:p>
    <w:p w14:paraId="76726094" w14:textId="4ACA4E18" w:rsidR="00FF3EB3" w:rsidRPr="002D6FC6" w:rsidRDefault="00FF3EB3" w:rsidP="00FF3EB3">
      <w:pPr>
        <w:spacing w:before="120"/>
        <w:ind w:right="216"/>
        <w:rPr>
          <w:rFonts w:ascii="Trebuchet MS"/>
          <w:sz w:val="18"/>
          <w:lang w:val="fr-CH"/>
        </w:rPr>
      </w:pPr>
      <w:r w:rsidRPr="002D6FC6">
        <w:rPr>
          <w:rFonts w:ascii="Trebuchet MS"/>
          <w:sz w:val="18"/>
          <w:lang w:val="fr-CH"/>
        </w:rPr>
        <w:t>La R</w:t>
      </w:r>
      <w:r w:rsidRPr="002D6FC6">
        <w:rPr>
          <w:rFonts w:ascii="Trebuchet MS"/>
          <w:sz w:val="18"/>
          <w:lang w:val="fr-CH"/>
        </w:rPr>
        <w:t>é</w:t>
      </w:r>
      <w:r w:rsidRPr="002D6FC6">
        <w:rPr>
          <w:rFonts w:ascii="Trebuchet MS"/>
          <w:sz w:val="18"/>
          <w:lang w:val="fr-CH"/>
        </w:rPr>
        <w:t xml:space="preserve">publique de Chypre est reconnue par tous les </w:t>
      </w:r>
      <w:r w:rsidRPr="002D6FC6">
        <w:rPr>
          <w:rFonts w:ascii="Trebuchet MS"/>
          <w:sz w:val="18"/>
          <w:lang w:val="fr-CH"/>
        </w:rPr>
        <w:t>É</w:t>
      </w:r>
      <w:r w:rsidRPr="002D6FC6">
        <w:rPr>
          <w:rFonts w:ascii="Trebuchet MS"/>
          <w:sz w:val="18"/>
          <w:lang w:val="fr-CH"/>
        </w:rPr>
        <w:t xml:space="preserve">tats membres des </w:t>
      </w:r>
      <w:r w:rsidR="008E4A6E">
        <w:rPr>
          <w:rFonts w:ascii="Trebuchet MS"/>
          <w:sz w:val="18"/>
          <w:lang w:val="fr-CH"/>
        </w:rPr>
        <w:t>Nations</w:t>
      </w:r>
      <w:r w:rsidR="008E4A6E">
        <w:rPr>
          <w:rFonts w:ascii="Trebuchet MS"/>
          <w:sz w:val="18"/>
          <w:lang w:val="fr-CH"/>
        </w:rPr>
        <w:t> </w:t>
      </w:r>
      <w:r w:rsidR="008E4A6E">
        <w:rPr>
          <w:rFonts w:ascii="Trebuchet MS"/>
          <w:sz w:val="18"/>
          <w:lang w:val="fr-CH"/>
        </w:rPr>
        <w:t>Unies</w:t>
      </w:r>
      <w:r w:rsidRPr="002D6FC6">
        <w:rPr>
          <w:rFonts w:ascii="Trebuchet MS"/>
          <w:sz w:val="18"/>
          <w:lang w:val="fr-CH"/>
        </w:rPr>
        <w:t xml:space="preserve"> </w:t>
      </w:r>
      <w:r w:rsidRPr="002D6FC6">
        <w:rPr>
          <w:rFonts w:ascii="Trebuchet MS"/>
          <w:sz w:val="18"/>
          <w:lang w:val="fr-CH"/>
        </w:rPr>
        <w:t>à</w:t>
      </w:r>
      <w:r w:rsidRPr="002D6FC6">
        <w:rPr>
          <w:rFonts w:ascii="Trebuchet MS"/>
          <w:sz w:val="18"/>
          <w:lang w:val="fr-CH"/>
        </w:rPr>
        <w:t xml:space="preserve"> l</w:t>
      </w:r>
      <w:r w:rsidR="008E4A6E">
        <w:rPr>
          <w:rFonts w:ascii="Trebuchet MS"/>
          <w:sz w:val="18"/>
          <w:lang w:val="fr-CH"/>
        </w:rPr>
        <w:t>’</w:t>
      </w:r>
      <w:r w:rsidRPr="002D6FC6">
        <w:rPr>
          <w:rFonts w:ascii="Trebuchet MS"/>
          <w:sz w:val="18"/>
          <w:lang w:val="fr-CH"/>
        </w:rPr>
        <w:t>exception de la Turqu</w:t>
      </w:r>
      <w:r w:rsidR="00F80F77" w:rsidRPr="002D6FC6">
        <w:rPr>
          <w:rFonts w:ascii="Trebuchet MS"/>
          <w:sz w:val="18"/>
          <w:lang w:val="fr-CH"/>
        </w:rPr>
        <w:t>ie</w:t>
      </w:r>
      <w:r w:rsidR="00F80F77">
        <w:rPr>
          <w:rFonts w:ascii="Trebuchet MS"/>
          <w:sz w:val="18"/>
          <w:lang w:val="fr-CH"/>
        </w:rPr>
        <w:t xml:space="preserve">.  </w:t>
      </w:r>
      <w:r w:rsidR="00F80F77" w:rsidRPr="002D6FC6">
        <w:rPr>
          <w:rFonts w:ascii="Trebuchet MS"/>
          <w:sz w:val="18"/>
          <w:lang w:val="fr-CH"/>
        </w:rPr>
        <w:t>Le</w:t>
      </w:r>
      <w:r w:rsidRPr="002D6FC6">
        <w:rPr>
          <w:rFonts w:ascii="Trebuchet MS"/>
          <w:sz w:val="18"/>
          <w:lang w:val="fr-CH"/>
        </w:rPr>
        <w:t>s informations pr</w:t>
      </w:r>
      <w:r w:rsidRPr="002D6FC6">
        <w:rPr>
          <w:rFonts w:ascii="Trebuchet MS"/>
          <w:sz w:val="18"/>
          <w:lang w:val="fr-CH"/>
        </w:rPr>
        <w:t>é</w:t>
      </w:r>
      <w:r w:rsidRPr="002D6FC6">
        <w:rPr>
          <w:rFonts w:ascii="Trebuchet MS"/>
          <w:sz w:val="18"/>
          <w:lang w:val="fr-CH"/>
        </w:rPr>
        <w:t>sent</w:t>
      </w:r>
      <w:r w:rsidRPr="002D6FC6">
        <w:rPr>
          <w:rFonts w:ascii="Trebuchet MS"/>
          <w:sz w:val="18"/>
          <w:lang w:val="fr-CH"/>
        </w:rPr>
        <w:t>é</w:t>
      </w:r>
      <w:r w:rsidRPr="002D6FC6">
        <w:rPr>
          <w:rFonts w:ascii="Trebuchet MS"/>
          <w:sz w:val="18"/>
          <w:lang w:val="fr-CH"/>
        </w:rPr>
        <w:t>es dans ce document concernent la zone sous le contr</w:t>
      </w:r>
      <w:r w:rsidRPr="002D6FC6">
        <w:rPr>
          <w:rFonts w:ascii="Trebuchet MS"/>
          <w:sz w:val="18"/>
          <w:lang w:val="fr-CH"/>
        </w:rPr>
        <w:t>ô</w:t>
      </w:r>
      <w:r w:rsidRPr="002D6FC6">
        <w:rPr>
          <w:rFonts w:ascii="Trebuchet MS"/>
          <w:sz w:val="18"/>
          <w:lang w:val="fr-CH"/>
        </w:rPr>
        <w:t>le effectif du Gouvernement de la R</w:t>
      </w:r>
      <w:r w:rsidRPr="002D6FC6">
        <w:rPr>
          <w:rFonts w:ascii="Trebuchet MS"/>
          <w:sz w:val="18"/>
          <w:lang w:val="fr-CH"/>
        </w:rPr>
        <w:t>é</w:t>
      </w:r>
      <w:r w:rsidRPr="002D6FC6">
        <w:rPr>
          <w:rFonts w:ascii="Trebuchet MS"/>
          <w:sz w:val="18"/>
          <w:lang w:val="fr-CH"/>
        </w:rPr>
        <w:t>publique de Chypre.</w:t>
      </w:r>
      <w:r w:rsidR="00ED2C8E" w:rsidRPr="002D6FC6">
        <w:rPr>
          <w:rFonts w:ascii="Trebuchet MS" w:hAnsi="Trebuchet MS"/>
          <w:sz w:val="18"/>
          <w:lang w:val="fr-CH"/>
        </w:rPr>
        <w:t>”</w:t>
      </w:r>
    </w:p>
    <w:p w14:paraId="1CF013D1" w14:textId="77777777" w:rsidR="00FF3EB3" w:rsidRPr="002D6FC6" w:rsidRDefault="00FF3EB3" w:rsidP="00FF3EB3">
      <w:pPr>
        <w:spacing w:before="120"/>
        <w:ind w:right="216"/>
        <w:rPr>
          <w:rFonts w:ascii="Trebuchet MS"/>
          <w:sz w:val="18"/>
          <w:lang w:val="fr-CH"/>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477"/>
        <w:gridCol w:w="405"/>
        <w:gridCol w:w="1035"/>
      </w:tblGrid>
      <w:tr w:rsidR="00FF3EB3" w:rsidRPr="002D6FC6" w14:paraId="7E343DAB" w14:textId="77777777" w:rsidTr="00F8528B">
        <w:trPr>
          <w:trHeight w:val="265"/>
        </w:trPr>
        <w:tc>
          <w:tcPr>
            <w:tcW w:w="2482" w:type="dxa"/>
            <w:shd w:val="clear" w:color="auto" w:fill="DBE5F1"/>
          </w:tcPr>
          <w:p w14:paraId="4134EAC1"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lastRenderedPageBreak/>
              <w:t>FRANCE</w:t>
            </w:r>
          </w:p>
        </w:tc>
        <w:tc>
          <w:tcPr>
            <w:tcW w:w="1438" w:type="dxa"/>
          </w:tcPr>
          <w:p w14:paraId="261EBFF0"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477" w:type="dxa"/>
            <w:shd w:val="clear" w:color="auto" w:fill="DBE5F1" w:themeFill="accent1" w:themeFillTint="33"/>
          </w:tcPr>
          <w:p w14:paraId="04B61B27"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SUÈDE</w:t>
            </w:r>
          </w:p>
        </w:tc>
        <w:tc>
          <w:tcPr>
            <w:tcW w:w="1440" w:type="dxa"/>
            <w:gridSpan w:val="2"/>
          </w:tcPr>
          <w:p w14:paraId="593C6D26" w14:textId="77777777" w:rsidR="00FF3EB3" w:rsidRPr="002D6FC6" w:rsidRDefault="00FF3EB3" w:rsidP="00F8528B">
            <w:pPr>
              <w:autoSpaceDE w:val="0"/>
              <w:autoSpaceDN w:val="0"/>
              <w:spacing w:before="19" w:line="225"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411C5883" w14:textId="77777777" w:rsidTr="00F8528B">
        <w:trPr>
          <w:trHeight w:val="265"/>
        </w:trPr>
        <w:tc>
          <w:tcPr>
            <w:tcW w:w="2482" w:type="dxa"/>
            <w:shd w:val="clear" w:color="auto" w:fill="DBE5F1"/>
          </w:tcPr>
          <w:p w14:paraId="352EB46B"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GRÈCE</w:t>
            </w:r>
          </w:p>
        </w:tc>
        <w:tc>
          <w:tcPr>
            <w:tcW w:w="1438" w:type="dxa"/>
          </w:tcPr>
          <w:p w14:paraId="5BCC4AE8"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477" w:type="dxa"/>
            <w:shd w:val="clear" w:color="auto" w:fill="DBE5F1" w:themeFill="accent1" w:themeFillTint="33"/>
          </w:tcPr>
          <w:p w14:paraId="47627E8C" w14:textId="77777777" w:rsidR="00FF3EB3" w:rsidRPr="002D6FC6" w:rsidRDefault="00FF3EB3" w:rsidP="00F8528B">
            <w:pPr>
              <w:autoSpaceDE w:val="0"/>
              <w:autoSpaceDN w:val="0"/>
              <w:spacing w:before="27"/>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SUISSE</w:t>
            </w:r>
          </w:p>
        </w:tc>
        <w:tc>
          <w:tcPr>
            <w:tcW w:w="1440" w:type="dxa"/>
            <w:gridSpan w:val="2"/>
          </w:tcPr>
          <w:p w14:paraId="289D99A7" w14:textId="77777777" w:rsidR="00FF3EB3" w:rsidRPr="002D6FC6" w:rsidRDefault="00FF3EB3" w:rsidP="00F8528B">
            <w:pPr>
              <w:autoSpaceDE w:val="0"/>
              <w:autoSpaceDN w:val="0"/>
              <w:spacing w:before="19" w:line="225"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5554C537" w14:textId="77777777" w:rsidTr="00F8528B">
        <w:trPr>
          <w:trHeight w:val="265"/>
        </w:trPr>
        <w:tc>
          <w:tcPr>
            <w:tcW w:w="2482" w:type="dxa"/>
            <w:shd w:val="clear" w:color="auto" w:fill="DBE5F1"/>
          </w:tcPr>
          <w:p w14:paraId="777C5FF2"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HONGRIE</w:t>
            </w:r>
          </w:p>
        </w:tc>
        <w:tc>
          <w:tcPr>
            <w:tcW w:w="1438" w:type="dxa"/>
          </w:tcPr>
          <w:p w14:paraId="7979B641"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477" w:type="dxa"/>
            <w:shd w:val="clear" w:color="auto" w:fill="DBE5F1" w:themeFill="accent1" w:themeFillTint="33"/>
          </w:tcPr>
          <w:p w14:paraId="4D51D8D1"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TUNISIE</w:t>
            </w:r>
          </w:p>
        </w:tc>
        <w:tc>
          <w:tcPr>
            <w:tcW w:w="1440" w:type="dxa"/>
            <w:gridSpan w:val="2"/>
          </w:tcPr>
          <w:p w14:paraId="57F7B7D8" w14:textId="77777777" w:rsidR="00FF3EB3" w:rsidRPr="002D6FC6" w:rsidRDefault="00FF3EB3" w:rsidP="00F8528B">
            <w:pPr>
              <w:autoSpaceDE w:val="0"/>
              <w:autoSpaceDN w:val="0"/>
              <w:spacing w:before="19" w:line="225"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169E6FC9" w14:textId="77777777" w:rsidTr="00F8528B">
        <w:trPr>
          <w:trHeight w:val="265"/>
        </w:trPr>
        <w:tc>
          <w:tcPr>
            <w:tcW w:w="2482" w:type="dxa"/>
            <w:shd w:val="clear" w:color="auto" w:fill="DBE5F1"/>
          </w:tcPr>
          <w:p w14:paraId="301EB077"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INDE</w:t>
            </w:r>
          </w:p>
        </w:tc>
        <w:tc>
          <w:tcPr>
            <w:tcW w:w="1438" w:type="dxa"/>
          </w:tcPr>
          <w:p w14:paraId="246484C6"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(2)</w:t>
            </w:r>
          </w:p>
        </w:tc>
        <w:tc>
          <w:tcPr>
            <w:tcW w:w="2477" w:type="dxa"/>
            <w:shd w:val="clear" w:color="auto" w:fill="DBE5F1" w:themeFill="accent1" w:themeFillTint="33"/>
          </w:tcPr>
          <w:p w14:paraId="3F46549B"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TURQUIE</w:t>
            </w:r>
          </w:p>
        </w:tc>
        <w:tc>
          <w:tcPr>
            <w:tcW w:w="1440" w:type="dxa"/>
            <w:gridSpan w:val="2"/>
          </w:tcPr>
          <w:p w14:paraId="08288C63" w14:textId="77777777" w:rsidR="00FF3EB3" w:rsidRPr="002D6FC6" w:rsidRDefault="00FF3EB3" w:rsidP="00F8528B">
            <w:pPr>
              <w:autoSpaceDE w:val="0"/>
              <w:autoSpaceDN w:val="0"/>
              <w:spacing w:before="19" w:line="225"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(1)</w:t>
            </w:r>
          </w:p>
        </w:tc>
      </w:tr>
      <w:tr w:rsidR="00FF3EB3" w:rsidRPr="002D6FC6" w14:paraId="4B6CEBB5" w14:textId="77777777" w:rsidTr="00F8528B">
        <w:trPr>
          <w:trHeight w:val="265"/>
        </w:trPr>
        <w:tc>
          <w:tcPr>
            <w:tcW w:w="2482" w:type="dxa"/>
            <w:shd w:val="clear" w:color="auto" w:fill="DBE5F1"/>
          </w:tcPr>
          <w:p w14:paraId="57331FE0"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IRAN</w:t>
            </w:r>
          </w:p>
        </w:tc>
        <w:tc>
          <w:tcPr>
            <w:tcW w:w="1438" w:type="dxa"/>
          </w:tcPr>
          <w:p w14:paraId="5F5AB482"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(2)</w:t>
            </w:r>
          </w:p>
        </w:tc>
        <w:tc>
          <w:tcPr>
            <w:tcW w:w="2477" w:type="dxa"/>
            <w:shd w:val="clear" w:color="auto" w:fill="DBE5F1" w:themeFill="accent1" w:themeFillTint="33"/>
          </w:tcPr>
          <w:p w14:paraId="35CBBACA"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UKRAINE</w:t>
            </w:r>
          </w:p>
        </w:tc>
        <w:tc>
          <w:tcPr>
            <w:tcW w:w="1440" w:type="dxa"/>
            <w:gridSpan w:val="2"/>
          </w:tcPr>
          <w:p w14:paraId="63C9AFDF" w14:textId="77777777" w:rsidR="00FF3EB3" w:rsidRPr="002D6FC6" w:rsidRDefault="00FF3EB3" w:rsidP="00F8528B">
            <w:pPr>
              <w:autoSpaceDE w:val="0"/>
              <w:autoSpaceDN w:val="0"/>
              <w:spacing w:before="19" w:line="225"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21AB2409" w14:textId="77777777" w:rsidTr="00F8528B">
        <w:trPr>
          <w:trHeight w:val="265"/>
        </w:trPr>
        <w:tc>
          <w:tcPr>
            <w:tcW w:w="2482" w:type="dxa"/>
            <w:shd w:val="clear" w:color="auto" w:fill="DBE5F1"/>
          </w:tcPr>
          <w:p w14:paraId="2C9B5599"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IRLANDE</w:t>
            </w:r>
          </w:p>
        </w:tc>
        <w:tc>
          <w:tcPr>
            <w:tcW w:w="1438" w:type="dxa"/>
          </w:tcPr>
          <w:p w14:paraId="5E2F9610"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477" w:type="dxa"/>
            <w:shd w:val="clear" w:color="auto" w:fill="DBE5F1" w:themeFill="accent1" w:themeFillTint="33"/>
          </w:tcPr>
          <w:p w14:paraId="629CC897"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URUGUAY</w:t>
            </w:r>
          </w:p>
        </w:tc>
        <w:tc>
          <w:tcPr>
            <w:tcW w:w="1440" w:type="dxa"/>
            <w:gridSpan w:val="2"/>
          </w:tcPr>
          <w:p w14:paraId="33C82E76" w14:textId="77777777" w:rsidR="00FF3EB3" w:rsidRPr="002D6FC6" w:rsidRDefault="00FF3EB3" w:rsidP="00F8528B">
            <w:pPr>
              <w:autoSpaceDE w:val="0"/>
              <w:autoSpaceDN w:val="0"/>
              <w:spacing w:before="19" w:line="225"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30C2E3E1" w14:textId="77777777" w:rsidTr="00F8528B">
        <w:trPr>
          <w:trHeight w:val="265"/>
        </w:trPr>
        <w:tc>
          <w:tcPr>
            <w:tcW w:w="2482" w:type="dxa"/>
            <w:shd w:val="clear" w:color="auto" w:fill="DBE5F1"/>
          </w:tcPr>
          <w:p w14:paraId="3D922577"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ISLANDE</w:t>
            </w:r>
          </w:p>
        </w:tc>
        <w:tc>
          <w:tcPr>
            <w:tcW w:w="1438" w:type="dxa"/>
          </w:tcPr>
          <w:p w14:paraId="2AB428EA"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477" w:type="dxa"/>
            <w:tcBorders>
              <w:bottom w:val="single" w:sz="4" w:space="0" w:color="auto"/>
            </w:tcBorders>
            <w:shd w:val="clear" w:color="auto" w:fill="DBE5F1" w:themeFill="accent1" w:themeFillTint="33"/>
          </w:tcPr>
          <w:p w14:paraId="5C9254F3"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ZIMBABWE</w:t>
            </w:r>
          </w:p>
        </w:tc>
        <w:tc>
          <w:tcPr>
            <w:tcW w:w="1440" w:type="dxa"/>
            <w:gridSpan w:val="2"/>
            <w:tcBorders>
              <w:bottom w:val="single" w:sz="4" w:space="0" w:color="auto"/>
            </w:tcBorders>
          </w:tcPr>
          <w:p w14:paraId="74D1D41A" w14:textId="77777777" w:rsidR="00FF3EB3" w:rsidRPr="002D6FC6" w:rsidRDefault="00FF3EB3" w:rsidP="00F8528B">
            <w:pPr>
              <w:autoSpaceDE w:val="0"/>
              <w:autoSpaceDN w:val="0"/>
              <w:spacing w:before="19" w:line="225" w:lineRule="exact"/>
              <w:ind w:right="427"/>
              <w:rPr>
                <w:rFonts w:ascii="Trebuchet MS" w:eastAsia="Trebuchet MS" w:hAnsi="Trebuchet MS" w:cs="Trebuchet MS"/>
                <w:sz w:val="18"/>
                <w:szCs w:val="18"/>
                <w:lang w:val="fr-CH" w:eastAsia="en-GB" w:bidi="en-GB"/>
              </w:rPr>
            </w:pPr>
            <w:r w:rsidRPr="002D6FC6">
              <w:rPr>
                <w:rFonts w:ascii="Trebuchet MS" w:eastAsia="Trebuchet MS" w:hAnsi="Trebuchet MS" w:cs="Trebuchet MS"/>
                <w:sz w:val="18"/>
                <w:szCs w:val="18"/>
                <w:lang w:val="fr-CH" w:eastAsia="en-GB" w:bidi="en-GB"/>
              </w:rPr>
              <w:t>(2)</w:t>
            </w:r>
          </w:p>
        </w:tc>
      </w:tr>
      <w:tr w:rsidR="00FF3EB3" w:rsidRPr="002D6FC6" w14:paraId="60BA9A7F" w14:textId="77777777" w:rsidTr="00F8528B">
        <w:trPr>
          <w:trHeight w:val="265"/>
        </w:trPr>
        <w:tc>
          <w:tcPr>
            <w:tcW w:w="2482" w:type="dxa"/>
            <w:shd w:val="clear" w:color="auto" w:fill="DBE5F1"/>
          </w:tcPr>
          <w:p w14:paraId="3FAD0116" w14:textId="77777777" w:rsidR="00FF3EB3" w:rsidRPr="002D6FC6" w:rsidRDefault="00FF3EB3" w:rsidP="00F8528B">
            <w:pPr>
              <w:autoSpaceDE w:val="0"/>
              <w:autoSpaceDN w:val="0"/>
              <w:spacing w:before="31"/>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ISRAËL</w:t>
            </w:r>
          </w:p>
        </w:tc>
        <w:tc>
          <w:tcPr>
            <w:tcW w:w="1438" w:type="dxa"/>
          </w:tcPr>
          <w:p w14:paraId="6B0F745E" w14:textId="77777777" w:rsidR="00FF3EB3" w:rsidRPr="002D6FC6" w:rsidRDefault="00FF3EB3" w:rsidP="00F8528B">
            <w:pPr>
              <w:autoSpaceDE w:val="0"/>
              <w:autoSpaceDN w:val="0"/>
              <w:spacing w:before="31"/>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477" w:type="dxa"/>
            <w:tcBorders>
              <w:top w:val="single" w:sz="4" w:space="0" w:color="auto"/>
            </w:tcBorders>
            <w:shd w:val="clear" w:color="auto" w:fill="auto"/>
          </w:tcPr>
          <w:p w14:paraId="4AF03003" w14:textId="77777777" w:rsidR="00FF3EB3" w:rsidRPr="002D6FC6" w:rsidRDefault="00FF3EB3" w:rsidP="00F8528B">
            <w:pPr>
              <w:autoSpaceDE w:val="0"/>
              <w:autoSpaceDN w:val="0"/>
              <w:spacing w:before="31"/>
              <w:jc w:val="left"/>
              <w:rPr>
                <w:rFonts w:ascii="Trebuchet MS" w:eastAsia="Trebuchet MS" w:hAnsi="Trebuchet MS" w:cs="Trebuchet MS"/>
                <w:sz w:val="18"/>
                <w:szCs w:val="22"/>
                <w:lang w:val="fr-CH" w:eastAsia="en-GB" w:bidi="en-GB"/>
              </w:rPr>
            </w:pPr>
          </w:p>
        </w:tc>
        <w:tc>
          <w:tcPr>
            <w:tcW w:w="1440" w:type="dxa"/>
            <w:gridSpan w:val="2"/>
            <w:tcBorders>
              <w:top w:val="single" w:sz="4" w:space="0" w:color="auto"/>
            </w:tcBorders>
            <w:shd w:val="clear" w:color="auto" w:fill="auto"/>
          </w:tcPr>
          <w:p w14:paraId="7B6EB249" w14:textId="77777777" w:rsidR="00FF3EB3" w:rsidRPr="002D6FC6" w:rsidRDefault="00FF3EB3" w:rsidP="00F8528B">
            <w:pPr>
              <w:autoSpaceDE w:val="0"/>
              <w:autoSpaceDN w:val="0"/>
              <w:spacing w:before="31" w:line="225" w:lineRule="exact"/>
              <w:ind w:right="427"/>
              <w:rPr>
                <w:rFonts w:ascii="Trebuchet MS" w:eastAsia="Trebuchet MS" w:hAnsi="Trebuchet MS" w:cs="Trebuchet MS"/>
                <w:sz w:val="18"/>
                <w:szCs w:val="22"/>
                <w:lang w:val="fr-CH" w:eastAsia="en-GB" w:bidi="en-GB"/>
              </w:rPr>
            </w:pPr>
          </w:p>
        </w:tc>
      </w:tr>
      <w:tr w:rsidR="00FF3EB3" w:rsidRPr="002D6FC6" w14:paraId="19D51957" w14:textId="77777777" w:rsidTr="00F8528B">
        <w:trPr>
          <w:trHeight w:val="265"/>
        </w:trPr>
        <w:tc>
          <w:tcPr>
            <w:tcW w:w="2482" w:type="dxa"/>
            <w:shd w:val="clear" w:color="auto" w:fill="DBE5F1"/>
          </w:tcPr>
          <w:p w14:paraId="71C5DD44"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ITALIE</w:t>
            </w:r>
          </w:p>
        </w:tc>
        <w:tc>
          <w:tcPr>
            <w:tcW w:w="1438" w:type="dxa"/>
          </w:tcPr>
          <w:p w14:paraId="4EC65F75" w14:textId="77777777"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477" w:type="dxa"/>
            <w:shd w:val="clear" w:color="auto" w:fill="auto"/>
          </w:tcPr>
          <w:p w14:paraId="2B48D8C2" w14:textId="7B14D9C8" w:rsidR="00FF3EB3" w:rsidRPr="002D6FC6" w:rsidRDefault="00FF3EB3" w:rsidP="00F8528B">
            <w:pPr>
              <w:autoSpaceDE w:val="0"/>
              <w:autoSpaceDN w:val="0"/>
              <w:spacing w:before="31"/>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 Pays membre de l</w:t>
            </w:r>
            <w:r w:rsidR="008E4A6E">
              <w:rPr>
                <w:rFonts w:ascii="Trebuchet MS" w:eastAsia="Trebuchet MS" w:hAnsi="Trebuchet MS" w:cs="Trebuchet MS"/>
                <w:sz w:val="18"/>
                <w:szCs w:val="22"/>
                <w:lang w:val="fr-CH" w:eastAsia="en-GB" w:bidi="en-GB"/>
              </w:rPr>
              <w:t>’</w:t>
            </w:r>
            <w:r w:rsidRPr="002D6FC6">
              <w:rPr>
                <w:rFonts w:ascii="Trebuchet MS" w:eastAsia="Trebuchet MS" w:hAnsi="Trebuchet MS" w:cs="Trebuchet MS"/>
                <w:sz w:val="18"/>
                <w:szCs w:val="22"/>
                <w:lang w:val="fr-CH" w:eastAsia="en-GB" w:bidi="en-GB"/>
              </w:rPr>
              <w:t xml:space="preserve">OCDE </w:t>
            </w:r>
            <w:r w:rsidRPr="002D6FC6">
              <w:rPr>
                <w:rFonts w:ascii="Trebuchet MS" w:eastAsia="Trebuchet MS" w:hAnsi="Trebuchet MS" w:cs="Trebuchet MS"/>
                <w:sz w:val="18"/>
                <w:szCs w:val="22"/>
                <w:lang w:val="fr-CH" w:eastAsia="en-GB" w:bidi="en-GB"/>
              </w:rPr>
              <w:t xml:space="preserve"> </w:t>
            </w:r>
          </w:p>
        </w:tc>
        <w:tc>
          <w:tcPr>
            <w:tcW w:w="1440" w:type="dxa"/>
            <w:gridSpan w:val="2"/>
            <w:shd w:val="clear" w:color="auto" w:fill="auto"/>
          </w:tcPr>
          <w:p w14:paraId="24B0485F" w14:textId="77777777" w:rsidR="00FF3EB3" w:rsidRPr="002D6FC6" w:rsidRDefault="00FF3EB3" w:rsidP="00F8528B">
            <w:pPr>
              <w:autoSpaceDE w:val="0"/>
              <w:autoSpaceDN w:val="0"/>
              <w:spacing w:before="31"/>
              <w:ind w:right="427"/>
              <w:jc w:val="center"/>
              <w:rPr>
                <w:rFonts w:ascii="Trebuchet MS" w:eastAsia="Trebuchet MS" w:hAnsi="Trebuchet MS" w:cs="Trebuchet MS"/>
                <w:szCs w:val="22"/>
                <w:lang w:val="fr-CH" w:eastAsia="en-GB" w:bidi="en-GB"/>
              </w:rPr>
            </w:pPr>
          </w:p>
        </w:tc>
      </w:tr>
      <w:tr w:rsidR="00FF3EB3" w:rsidRPr="00F80F77" w14:paraId="6767AA8B" w14:textId="77777777" w:rsidTr="00F8528B">
        <w:trPr>
          <w:trHeight w:val="265"/>
        </w:trPr>
        <w:tc>
          <w:tcPr>
            <w:tcW w:w="2482" w:type="dxa"/>
            <w:tcBorders>
              <w:bottom w:val="single" w:sz="4" w:space="0" w:color="auto"/>
            </w:tcBorders>
            <w:shd w:val="clear" w:color="auto" w:fill="DBE5F1"/>
          </w:tcPr>
          <w:p w14:paraId="1F39D442"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JAPON</w:t>
            </w:r>
          </w:p>
        </w:tc>
        <w:tc>
          <w:tcPr>
            <w:tcW w:w="1438" w:type="dxa"/>
          </w:tcPr>
          <w:p w14:paraId="08909D8E" w14:textId="77777777" w:rsidR="00FF3EB3" w:rsidRPr="002D6FC6" w:rsidRDefault="00FF3EB3" w:rsidP="00F8528B">
            <w:pPr>
              <w:autoSpaceDE w:val="0"/>
              <w:autoSpaceDN w:val="0"/>
              <w:spacing w:before="19"/>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(1)</w:t>
            </w:r>
          </w:p>
        </w:tc>
        <w:tc>
          <w:tcPr>
            <w:tcW w:w="2882" w:type="dxa"/>
            <w:gridSpan w:val="2"/>
            <w:shd w:val="clear" w:color="auto" w:fill="auto"/>
          </w:tcPr>
          <w:p w14:paraId="2EF8FF31" w14:textId="45FCE766" w:rsidR="00FF3EB3" w:rsidRPr="002D6FC6" w:rsidRDefault="00FF3EB3" w:rsidP="00F8528B">
            <w:pPr>
              <w:autoSpaceDE w:val="0"/>
              <w:autoSpaceDN w:val="0"/>
              <w:spacing w:before="20"/>
              <w:jc w:val="left"/>
              <w:rPr>
                <w:rFonts w:ascii="Trebuchet MS" w:eastAsia="Trebuchet MS" w:hAnsi="Trebuchet MS" w:cs="Trebuchet MS"/>
                <w:sz w:val="18"/>
                <w:szCs w:val="22"/>
                <w:lang w:val="fr-CH" w:eastAsia="en-GB" w:bidi="en-GB"/>
              </w:rPr>
            </w:pPr>
            <w:r w:rsidRPr="002D6FC6">
              <w:rPr>
                <w:rFonts w:ascii="Trebuchet MS" w:eastAsia="Trebuchet MS" w:hAnsi="Trebuchet MS" w:cs="Trebuchet MS"/>
                <w:sz w:val="18"/>
                <w:szCs w:val="22"/>
                <w:lang w:val="fr-CH" w:eastAsia="en-GB" w:bidi="en-GB"/>
              </w:rPr>
              <w:t>(2) Pays non membre de l</w:t>
            </w:r>
            <w:r w:rsidR="008E4A6E">
              <w:rPr>
                <w:rFonts w:ascii="Trebuchet MS" w:eastAsia="Trebuchet MS" w:hAnsi="Trebuchet MS" w:cs="Trebuchet MS"/>
                <w:sz w:val="18"/>
                <w:szCs w:val="22"/>
                <w:lang w:val="fr-CH" w:eastAsia="en-GB" w:bidi="en-GB"/>
              </w:rPr>
              <w:t>’</w:t>
            </w:r>
            <w:r w:rsidRPr="002D6FC6">
              <w:rPr>
                <w:rFonts w:ascii="Trebuchet MS" w:eastAsia="Trebuchet MS" w:hAnsi="Trebuchet MS" w:cs="Trebuchet MS"/>
                <w:sz w:val="18"/>
                <w:szCs w:val="22"/>
                <w:lang w:val="fr-CH" w:eastAsia="en-GB" w:bidi="en-GB"/>
              </w:rPr>
              <w:t>OCDE</w:t>
            </w:r>
          </w:p>
        </w:tc>
        <w:tc>
          <w:tcPr>
            <w:tcW w:w="1035" w:type="dxa"/>
            <w:shd w:val="clear" w:color="auto" w:fill="auto"/>
          </w:tcPr>
          <w:p w14:paraId="2162D3E5" w14:textId="77777777" w:rsidR="00FF3EB3" w:rsidRPr="002D6FC6" w:rsidRDefault="00FF3EB3" w:rsidP="00F8528B">
            <w:pPr>
              <w:autoSpaceDE w:val="0"/>
              <w:autoSpaceDN w:val="0"/>
              <w:spacing w:before="21" w:line="231" w:lineRule="exact"/>
              <w:ind w:right="427"/>
              <w:jc w:val="center"/>
              <w:rPr>
                <w:rFonts w:ascii="Trebuchet MS" w:eastAsia="Trebuchet MS" w:hAnsi="Trebuchet MS" w:cs="Trebuchet MS"/>
                <w:szCs w:val="22"/>
                <w:lang w:val="fr-CH" w:eastAsia="en-GB" w:bidi="en-GB"/>
              </w:rPr>
            </w:pPr>
          </w:p>
        </w:tc>
      </w:tr>
    </w:tbl>
    <w:p w14:paraId="0F0672BC" w14:textId="77777777" w:rsidR="00FF3EB3" w:rsidRPr="002D6FC6" w:rsidRDefault="00FF3EB3" w:rsidP="00FF3EB3">
      <w:pPr>
        <w:autoSpaceDE w:val="0"/>
        <w:autoSpaceDN w:val="0"/>
        <w:spacing w:before="19"/>
        <w:jc w:val="left"/>
        <w:rPr>
          <w:rFonts w:ascii="Trebuchet MS" w:eastAsia="Trebuchet MS" w:hAnsi="Trebuchet MS" w:cs="Trebuchet MS"/>
          <w:sz w:val="18"/>
          <w:szCs w:val="22"/>
          <w:lang w:val="fr-CH" w:eastAsia="en-GB" w:bidi="en-GB"/>
        </w:rPr>
      </w:pPr>
    </w:p>
    <w:p w14:paraId="056C60C8" w14:textId="77777777" w:rsidR="00FF3EB3" w:rsidRPr="002D6FC6" w:rsidRDefault="00FF3EB3" w:rsidP="00FF3EB3">
      <w:pPr>
        <w:spacing w:before="2"/>
        <w:rPr>
          <w:sz w:val="15"/>
          <w:lang w:val="fr-CH"/>
        </w:rPr>
      </w:pPr>
    </w:p>
    <w:p w14:paraId="29C97AE6" w14:textId="77777777" w:rsidR="00FF3EB3" w:rsidRPr="002D6FC6" w:rsidRDefault="00FF3EB3" w:rsidP="00FF3EB3">
      <w:pPr>
        <w:spacing w:before="5"/>
        <w:rPr>
          <w:rFonts w:ascii="Trebuchet MS"/>
          <w:lang w:val="fr-CH"/>
        </w:rPr>
      </w:pPr>
    </w:p>
    <w:p w14:paraId="317CA3C5" w14:textId="22B59134" w:rsidR="00FF3EB3" w:rsidRPr="002D6FC6" w:rsidRDefault="00FF3EB3" w:rsidP="00FF3EB3">
      <w:pPr>
        <w:rPr>
          <w:lang w:val="fr-CH"/>
        </w:rPr>
      </w:pPr>
      <w:r w:rsidRPr="002D6FC6">
        <w:rPr>
          <w:lang w:val="fr-CH"/>
        </w:rPr>
        <w:t>Figure 1 Carte des pays participants aux Systèmes des semences de l</w:t>
      </w:r>
      <w:r w:rsidR="008E4A6E">
        <w:rPr>
          <w:lang w:val="fr-CH"/>
        </w:rPr>
        <w:t>’</w:t>
      </w:r>
      <w:r w:rsidRPr="002D6FC6">
        <w:rPr>
          <w:lang w:val="fr-CH"/>
        </w:rPr>
        <w:t>OCDE (2016)</w:t>
      </w:r>
    </w:p>
    <w:p w14:paraId="15A38AB8" w14:textId="77777777" w:rsidR="00FF3EB3" w:rsidRPr="002D6FC6" w:rsidRDefault="00FF3EB3" w:rsidP="00FF3EB3">
      <w:pPr>
        <w:rPr>
          <w:noProof/>
          <w:lang w:val="fr-CH"/>
        </w:rPr>
      </w:pPr>
    </w:p>
    <w:p w14:paraId="3E0D79A1" w14:textId="77777777" w:rsidR="00FF3EB3" w:rsidRPr="002D6FC6" w:rsidRDefault="00FF3EB3" w:rsidP="00FF3EB3">
      <w:pPr>
        <w:rPr>
          <w:noProof/>
          <w:lang w:val="fr-CH"/>
        </w:rPr>
      </w:pPr>
    </w:p>
    <w:p w14:paraId="25FFE597" w14:textId="77777777" w:rsidR="00FF3EB3" w:rsidRPr="002D6FC6" w:rsidRDefault="00FF3EB3" w:rsidP="00FF3EB3">
      <w:pPr>
        <w:rPr>
          <w:noProof/>
          <w:lang w:val="fr-CH"/>
        </w:rPr>
      </w:pPr>
      <w:r w:rsidRPr="002D6FC6">
        <w:rPr>
          <w:noProof/>
        </w:rPr>
        <w:drawing>
          <wp:anchor distT="0" distB="0" distL="0" distR="0" simplePos="0" relativeHeight="251659264" behindDoc="0" locked="0" layoutInCell="1" allowOverlap="1" wp14:anchorId="3FA434E5" wp14:editId="198E1E05">
            <wp:simplePos x="0" y="0"/>
            <wp:positionH relativeFrom="margin">
              <wp:align>right</wp:align>
            </wp:positionH>
            <wp:positionV relativeFrom="paragraph">
              <wp:posOffset>172041</wp:posOffset>
            </wp:positionV>
            <wp:extent cx="6348095" cy="2987040"/>
            <wp:effectExtent l="0" t="0" r="0" b="381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6348095" cy="2987040"/>
                    </a:xfrm>
                    <a:prstGeom prst="rect">
                      <a:avLst/>
                    </a:prstGeom>
                  </pic:spPr>
                </pic:pic>
              </a:graphicData>
            </a:graphic>
          </wp:anchor>
        </w:drawing>
      </w:r>
    </w:p>
    <w:p w14:paraId="65178BFF" w14:textId="77777777" w:rsidR="00FF3EB3" w:rsidRPr="002D6FC6" w:rsidRDefault="00FF3EB3" w:rsidP="00FF3EB3">
      <w:pPr>
        <w:rPr>
          <w:b/>
          <w:lang w:val="fr-CH"/>
        </w:rPr>
      </w:pPr>
    </w:p>
    <w:p w14:paraId="5362B40A" w14:textId="77777777" w:rsidR="00FF3EB3" w:rsidRPr="002D6FC6" w:rsidRDefault="00FF3EB3" w:rsidP="00FF3EB3">
      <w:pPr>
        <w:spacing w:before="11"/>
        <w:rPr>
          <w:b/>
          <w:sz w:val="23"/>
          <w:lang w:val="fr-CH"/>
        </w:rPr>
      </w:pPr>
    </w:p>
    <w:p w14:paraId="0CA1CDE2" w14:textId="77777777" w:rsidR="00FF3EB3" w:rsidRPr="002D6FC6" w:rsidRDefault="00FF3EB3" w:rsidP="00FF3EB3">
      <w:pPr>
        <w:rPr>
          <w:i/>
          <w:lang w:val="fr-CH"/>
        </w:rPr>
      </w:pPr>
      <w:bookmarkStart w:id="29" w:name="Objectives"/>
      <w:bookmarkEnd w:id="29"/>
      <w:r w:rsidRPr="002D6FC6">
        <w:rPr>
          <w:i/>
          <w:lang w:val="fr-CH"/>
        </w:rPr>
        <w:t>Objectifs</w:t>
      </w:r>
    </w:p>
    <w:p w14:paraId="3664204F" w14:textId="77777777" w:rsidR="00FF3EB3" w:rsidRPr="002D6FC6" w:rsidRDefault="00FF3EB3" w:rsidP="00FF3EB3">
      <w:pPr>
        <w:spacing w:before="4"/>
        <w:rPr>
          <w:rFonts w:cs="Arial"/>
          <w:b/>
          <w:lang w:val="fr-CH"/>
        </w:rPr>
      </w:pPr>
    </w:p>
    <w:p w14:paraId="3A383BEF" w14:textId="03BF994E" w:rsidR="00FF3EB3" w:rsidRPr="002D6FC6" w:rsidRDefault="00FF3EB3" w:rsidP="00FF3EB3">
      <w:pPr>
        <w:tabs>
          <w:tab w:val="left" w:pos="1069"/>
          <w:tab w:val="left" w:pos="1071"/>
        </w:tabs>
        <w:autoSpaceDE w:val="0"/>
        <w:autoSpaceDN w:val="0"/>
        <w:ind w:right="213"/>
        <w:rPr>
          <w:rFonts w:cs="Arial"/>
          <w:lang w:val="fr-CH" w:eastAsia="en-GB" w:bidi="en-GB"/>
        </w:rPr>
      </w:pPr>
      <w:r w:rsidRPr="002D6FC6">
        <w:rPr>
          <w:rFonts w:cs="Arial"/>
          <w:lang w:val="fr-CH" w:eastAsia="en-GB" w:bidi="en-GB"/>
        </w:rPr>
        <w:t>Ces systèmes visent à encourager la production et l</w:t>
      </w:r>
      <w:r w:rsidR="008E4A6E">
        <w:rPr>
          <w:rFonts w:cs="Arial"/>
          <w:lang w:val="fr-CH" w:eastAsia="en-GB" w:bidi="en-GB"/>
        </w:rPr>
        <w:t>’</w:t>
      </w:r>
      <w:r w:rsidRPr="002D6FC6">
        <w:rPr>
          <w:rFonts w:cs="Arial"/>
          <w:lang w:val="fr-CH" w:eastAsia="en-GB" w:bidi="en-GB"/>
        </w:rPr>
        <w:t xml:space="preserve">utilisation de semences </w:t>
      </w:r>
      <w:r w:rsidRPr="002D6FC6">
        <w:rPr>
          <w:rFonts w:eastAsia="Cambria"/>
          <w:lang w:val="fr-CH"/>
        </w:rPr>
        <w:t>“de qualité garantie”</w:t>
      </w:r>
      <w:r w:rsidRPr="002D6FC6">
        <w:rPr>
          <w:rFonts w:cs="Arial"/>
          <w:lang w:val="fr-CH" w:eastAsia="en-GB" w:bidi="en-GB"/>
        </w:rPr>
        <w:t xml:space="preserve"> dans les pays participan</w:t>
      </w:r>
      <w:r w:rsidR="00F80F77" w:rsidRPr="002D6FC6">
        <w:rPr>
          <w:rFonts w:cs="Arial"/>
          <w:lang w:val="fr-CH" w:eastAsia="en-GB" w:bidi="en-GB"/>
        </w:rPr>
        <w:t>ts</w:t>
      </w:r>
      <w:r w:rsidR="00F80F77">
        <w:rPr>
          <w:rFonts w:cs="Arial"/>
          <w:lang w:val="fr-CH" w:eastAsia="en-GB" w:bidi="en-GB"/>
        </w:rPr>
        <w:t xml:space="preserve">.  </w:t>
      </w:r>
      <w:r w:rsidR="00F80F77" w:rsidRPr="002D6FC6">
        <w:rPr>
          <w:rFonts w:cs="Arial"/>
          <w:lang w:val="fr-CH" w:eastAsia="en-GB" w:bidi="en-GB"/>
        </w:rPr>
        <w:t>Il</w:t>
      </w:r>
      <w:r w:rsidRPr="002D6FC6">
        <w:rPr>
          <w:rFonts w:cs="Arial"/>
          <w:lang w:val="fr-CH" w:eastAsia="en-GB" w:bidi="en-GB"/>
        </w:rPr>
        <w:t>s autorisent l</w:t>
      </w:r>
      <w:r w:rsidR="008E4A6E">
        <w:rPr>
          <w:rFonts w:cs="Arial"/>
          <w:lang w:val="fr-CH" w:eastAsia="en-GB" w:bidi="en-GB"/>
        </w:rPr>
        <w:t>’</w:t>
      </w:r>
      <w:r w:rsidRPr="002D6FC6">
        <w:rPr>
          <w:rFonts w:cs="Arial"/>
          <w:lang w:val="fr-CH" w:eastAsia="en-GB" w:bidi="en-GB"/>
        </w:rPr>
        <w:t>utilisation d</w:t>
      </w:r>
      <w:r w:rsidR="008E4A6E">
        <w:rPr>
          <w:rFonts w:cs="Arial"/>
          <w:lang w:val="fr-CH" w:eastAsia="en-GB" w:bidi="en-GB"/>
        </w:rPr>
        <w:t>’</w:t>
      </w:r>
      <w:r w:rsidRPr="002D6FC6">
        <w:rPr>
          <w:rFonts w:cs="Arial"/>
          <w:lang w:val="fr-CH" w:eastAsia="en-GB" w:bidi="en-GB"/>
        </w:rPr>
        <w:t>étiquettes et de certificats pour les semences produites et transformées à des fins de commerce international conformément à des principes convenus garantissant l</w:t>
      </w:r>
      <w:r w:rsidR="008E4A6E">
        <w:rPr>
          <w:rFonts w:cs="Arial"/>
          <w:lang w:val="fr-CH" w:eastAsia="en-GB" w:bidi="en-GB"/>
        </w:rPr>
        <w:t>’</w:t>
      </w:r>
      <w:r w:rsidRPr="002D6FC6">
        <w:rPr>
          <w:rFonts w:cs="Arial"/>
          <w:lang w:val="fr-CH" w:eastAsia="en-GB" w:bidi="en-GB"/>
        </w:rPr>
        <w:t>identité et la pureté variétales.</w:t>
      </w:r>
    </w:p>
    <w:p w14:paraId="1A60135F" w14:textId="77777777" w:rsidR="00FF3EB3" w:rsidRPr="002D6FC6" w:rsidRDefault="00FF3EB3" w:rsidP="00FF3EB3">
      <w:pPr>
        <w:rPr>
          <w:rFonts w:cs="Arial"/>
          <w:lang w:val="fr-CH"/>
        </w:rPr>
      </w:pPr>
    </w:p>
    <w:p w14:paraId="72D3EB4A" w14:textId="05271FAB" w:rsidR="00FF3EB3" w:rsidRPr="002D6FC6" w:rsidRDefault="00FF3EB3" w:rsidP="00FF3EB3">
      <w:pPr>
        <w:tabs>
          <w:tab w:val="left" w:pos="1069"/>
          <w:tab w:val="left" w:pos="1071"/>
        </w:tabs>
        <w:autoSpaceDE w:val="0"/>
        <w:autoSpaceDN w:val="0"/>
        <w:spacing w:before="1"/>
        <w:ind w:right="212"/>
        <w:rPr>
          <w:rFonts w:cs="Arial"/>
          <w:lang w:val="fr-CH" w:eastAsia="en-GB" w:bidi="en-GB"/>
        </w:rPr>
      </w:pPr>
      <w:r w:rsidRPr="002D6FC6">
        <w:rPr>
          <w:rFonts w:cs="Arial"/>
          <w:lang w:val="fr-CH" w:eastAsia="en-GB" w:bidi="en-GB"/>
        </w:rPr>
        <w:t>Ces systèmes facilitent l</w:t>
      </w:r>
      <w:r w:rsidR="008E4A6E">
        <w:rPr>
          <w:rFonts w:cs="Arial"/>
          <w:lang w:val="fr-CH" w:eastAsia="en-GB" w:bidi="en-GB"/>
        </w:rPr>
        <w:t>’</w:t>
      </w:r>
      <w:r w:rsidRPr="002D6FC6">
        <w:rPr>
          <w:rFonts w:cs="Arial"/>
          <w:lang w:val="fr-CH" w:eastAsia="en-GB" w:bidi="en-GB"/>
        </w:rPr>
        <w:t>importation et l</w:t>
      </w:r>
      <w:r w:rsidR="008E4A6E">
        <w:rPr>
          <w:rFonts w:cs="Arial"/>
          <w:lang w:val="fr-CH" w:eastAsia="en-GB" w:bidi="en-GB"/>
        </w:rPr>
        <w:t>’</w:t>
      </w:r>
      <w:r w:rsidRPr="002D6FC6">
        <w:rPr>
          <w:rFonts w:cs="Arial"/>
          <w:lang w:val="fr-CH" w:eastAsia="en-GB" w:bidi="en-GB"/>
        </w:rPr>
        <w:t>exportation de semences en supprimant les obstacles techniques au commerce et en assurant l</w:t>
      </w:r>
      <w:r w:rsidR="008E4A6E">
        <w:rPr>
          <w:rFonts w:cs="Arial"/>
          <w:lang w:val="fr-CH" w:eastAsia="en-GB" w:bidi="en-GB"/>
        </w:rPr>
        <w:t>’</w:t>
      </w:r>
      <w:r w:rsidRPr="002D6FC6">
        <w:rPr>
          <w:rFonts w:cs="Arial"/>
          <w:lang w:val="fr-CH" w:eastAsia="en-GB" w:bidi="en-GB"/>
        </w:rPr>
        <w:t>identification et l</w:t>
      </w:r>
      <w:r w:rsidR="008E4A6E">
        <w:rPr>
          <w:rFonts w:cs="Arial"/>
          <w:lang w:val="fr-CH" w:eastAsia="en-GB" w:bidi="en-GB"/>
        </w:rPr>
        <w:t>’</w:t>
      </w:r>
      <w:r w:rsidRPr="002D6FC6">
        <w:rPr>
          <w:rFonts w:cs="Arial"/>
          <w:lang w:val="fr-CH" w:eastAsia="en-GB" w:bidi="en-GB"/>
        </w:rPr>
        <w:t>origine par le biais d</w:t>
      </w:r>
      <w:r w:rsidR="008E4A6E">
        <w:rPr>
          <w:rFonts w:cs="Arial"/>
          <w:lang w:val="fr-CH" w:eastAsia="en-GB" w:bidi="en-GB"/>
        </w:rPr>
        <w:t>’</w:t>
      </w:r>
      <w:r w:rsidRPr="002D6FC6">
        <w:rPr>
          <w:rFonts w:cs="Arial"/>
          <w:lang w:val="fr-CH" w:eastAsia="en-GB" w:bidi="en-GB"/>
        </w:rPr>
        <w:t>étiquettes (“passeports”) internationalement reconnues pour le commer</w:t>
      </w:r>
      <w:r w:rsidR="00F80F77" w:rsidRPr="002D6FC6">
        <w:rPr>
          <w:rFonts w:cs="Arial"/>
          <w:lang w:val="fr-CH" w:eastAsia="en-GB" w:bidi="en-GB"/>
        </w:rPr>
        <w:t>ce</w:t>
      </w:r>
      <w:r w:rsidR="00F80F77">
        <w:rPr>
          <w:rFonts w:cs="Arial"/>
          <w:lang w:val="fr-CH" w:eastAsia="en-GB" w:bidi="en-GB"/>
        </w:rPr>
        <w:t xml:space="preserve">.  </w:t>
      </w:r>
      <w:r w:rsidR="00F80F77" w:rsidRPr="002D6FC6">
        <w:rPr>
          <w:rFonts w:cs="Arial"/>
          <w:lang w:val="fr-CH" w:eastAsia="en-GB" w:bidi="en-GB"/>
        </w:rPr>
        <w:t>Il</w:t>
      </w:r>
      <w:r w:rsidRPr="002D6FC6">
        <w:rPr>
          <w:rFonts w:cs="Arial"/>
          <w:lang w:val="fr-CH" w:eastAsia="en-GB" w:bidi="en-GB"/>
        </w:rPr>
        <w:t>s établissent également des lignes directrices pour la multiplication des semences à l</w:t>
      </w:r>
      <w:r w:rsidR="008E4A6E">
        <w:rPr>
          <w:rFonts w:cs="Arial"/>
          <w:lang w:val="fr-CH" w:eastAsia="en-GB" w:bidi="en-GB"/>
        </w:rPr>
        <w:t>’</w:t>
      </w:r>
      <w:r w:rsidRPr="002D6FC6">
        <w:rPr>
          <w:rFonts w:cs="Arial"/>
          <w:lang w:val="fr-CH" w:eastAsia="en-GB" w:bidi="en-GB"/>
        </w:rPr>
        <w:t>étranger, ainsi que pour la délégation de certaines activités de contrôle au secteur privé (“autorisation”).  La quantité de semences certifiées dans le cadre des systèmes de l</w:t>
      </w:r>
      <w:r w:rsidR="008E4A6E">
        <w:rPr>
          <w:rFonts w:cs="Arial"/>
          <w:lang w:val="fr-CH" w:eastAsia="en-GB" w:bidi="en-GB"/>
        </w:rPr>
        <w:t>’</w:t>
      </w:r>
      <w:r w:rsidRPr="002D6FC6">
        <w:rPr>
          <w:rFonts w:cs="Arial"/>
          <w:lang w:val="fr-CH" w:eastAsia="en-GB" w:bidi="en-GB"/>
        </w:rPr>
        <w:t>OCDE a augmenté rapidement ces dernières années et dépasse désormais le million de tonnes.</w:t>
      </w:r>
    </w:p>
    <w:p w14:paraId="46F67689" w14:textId="77777777" w:rsidR="00FF3EB3" w:rsidRPr="002D6FC6" w:rsidRDefault="00FF3EB3" w:rsidP="00FF3EB3">
      <w:pPr>
        <w:spacing w:before="5"/>
        <w:rPr>
          <w:sz w:val="14"/>
          <w:lang w:val="fr-CH"/>
        </w:rPr>
      </w:pPr>
    </w:p>
    <w:p w14:paraId="782E3AF6" w14:textId="048AA3FA" w:rsidR="00FF3EB3" w:rsidRPr="002D6FC6" w:rsidRDefault="00FF3EB3" w:rsidP="00FF3EB3">
      <w:pPr>
        <w:rPr>
          <w:i/>
          <w:lang w:val="fr-CH"/>
        </w:rPr>
      </w:pPr>
      <w:bookmarkStart w:id="30" w:name="How_do_the_Seed_Schemes_operate"/>
      <w:bookmarkEnd w:id="30"/>
      <w:r w:rsidRPr="002D6FC6">
        <w:rPr>
          <w:i/>
          <w:lang w:val="fr-CH"/>
        </w:rPr>
        <w:t>Comment fonctionnent les Systèmes des semences de l</w:t>
      </w:r>
      <w:r w:rsidR="008E4A6E">
        <w:rPr>
          <w:i/>
          <w:lang w:val="fr-CH"/>
        </w:rPr>
        <w:t>’</w:t>
      </w:r>
      <w:r w:rsidRPr="002D6FC6">
        <w:rPr>
          <w:i/>
          <w:lang w:val="fr-CH"/>
        </w:rPr>
        <w:t>OCDE?</w:t>
      </w:r>
    </w:p>
    <w:p w14:paraId="2098DD5D" w14:textId="77777777" w:rsidR="00FF3EB3" w:rsidRPr="002D6FC6" w:rsidRDefault="00FF3EB3" w:rsidP="00FF3EB3">
      <w:pPr>
        <w:spacing w:before="4"/>
        <w:rPr>
          <w:rFonts w:cs="Arial"/>
          <w:b/>
          <w:lang w:val="fr-CH"/>
        </w:rPr>
      </w:pPr>
    </w:p>
    <w:p w14:paraId="23710524" w14:textId="4D1CA6D2" w:rsidR="00FF3EB3" w:rsidRPr="002D6FC6" w:rsidRDefault="00FF3EB3" w:rsidP="00FF3EB3">
      <w:pPr>
        <w:tabs>
          <w:tab w:val="left" w:pos="1069"/>
          <w:tab w:val="left" w:pos="1071"/>
        </w:tabs>
        <w:autoSpaceDE w:val="0"/>
        <w:autoSpaceDN w:val="0"/>
        <w:ind w:right="216"/>
        <w:rPr>
          <w:rFonts w:cs="Arial"/>
          <w:lang w:val="fr-CH" w:eastAsia="en-GB" w:bidi="en-GB"/>
        </w:rPr>
      </w:pPr>
      <w:r w:rsidRPr="002D6FC6">
        <w:rPr>
          <w:rFonts w:cs="Arial"/>
          <w:lang w:val="fr-CH" w:eastAsia="en-GB" w:bidi="en-GB"/>
        </w:rPr>
        <w:t>Le succès de la certification internationale dépend de la coopération étroite entre les conservateurs, les producteurs de semences, les négociants et l</w:t>
      </w:r>
      <w:r w:rsidR="008E4A6E">
        <w:rPr>
          <w:rFonts w:cs="Arial"/>
          <w:lang w:val="fr-CH" w:eastAsia="en-GB" w:bidi="en-GB"/>
        </w:rPr>
        <w:t>’</w:t>
      </w:r>
      <w:r w:rsidRPr="002D6FC6">
        <w:rPr>
          <w:rFonts w:cs="Arial"/>
          <w:lang w:val="fr-CH" w:eastAsia="en-GB" w:bidi="en-GB"/>
        </w:rPr>
        <w:t>administration désignée (désignée par le gouvernement) dans chaque pays participa</w:t>
      </w:r>
      <w:r w:rsidR="00F80F77" w:rsidRPr="002D6FC6">
        <w:rPr>
          <w:rFonts w:cs="Arial"/>
          <w:lang w:val="fr-CH" w:eastAsia="en-GB" w:bidi="en-GB"/>
        </w:rPr>
        <w:t>nt</w:t>
      </w:r>
      <w:r w:rsidR="00F80F77">
        <w:rPr>
          <w:rFonts w:cs="Arial"/>
          <w:lang w:val="fr-CH" w:eastAsia="en-GB" w:bidi="en-GB"/>
        </w:rPr>
        <w:t xml:space="preserve">.  </w:t>
      </w:r>
      <w:r w:rsidR="00F80F77" w:rsidRPr="002D6FC6">
        <w:rPr>
          <w:rFonts w:cs="Arial"/>
          <w:lang w:val="fr-CH" w:eastAsia="en-GB" w:bidi="en-GB"/>
        </w:rPr>
        <w:t>De</w:t>
      </w:r>
      <w:r w:rsidRPr="002D6FC6">
        <w:rPr>
          <w:rFonts w:cs="Arial"/>
          <w:lang w:val="fr-CH" w:eastAsia="en-GB" w:bidi="en-GB"/>
        </w:rPr>
        <w:t>s réunions fréquentes permettent un dialogue multipartite pour échanger des informations, discuter d</w:t>
      </w:r>
      <w:r w:rsidR="008E4A6E">
        <w:rPr>
          <w:rFonts w:cs="Arial"/>
          <w:lang w:val="fr-CH" w:eastAsia="en-GB" w:bidi="en-GB"/>
        </w:rPr>
        <w:t>’</w:t>
      </w:r>
      <w:r w:rsidRPr="002D6FC6">
        <w:rPr>
          <w:rFonts w:cs="Arial"/>
          <w:lang w:val="fr-CH" w:eastAsia="en-GB" w:bidi="en-GB"/>
        </w:rPr>
        <w:t>études de cas, réviser les règles et mettre à jour les systèm</w:t>
      </w:r>
      <w:r w:rsidR="00F80F77" w:rsidRPr="002D6FC6">
        <w:rPr>
          <w:rFonts w:cs="Arial"/>
          <w:lang w:val="fr-CH" w:eastAsia="en-GB" w:bidi="en-GB"/>
        </w:rPr>
        <w:t>es</w:t>
      </w:r>
      <w:r w:rsidR="00F80F77">
        <w:rPr>
          <w:rFonts w:cs="Arial"/>
          <w:lang w:val="fr-CH" w:eastAsia="en-GB" w:bidi="en-GB"/>
        </w:rPr>
        <w:t xml:space="preserve">.  </w:t>
      </w:r>
      <w:r w:rsidR="00F80F77" w:rsidRPr="002D6FC6">
        <w:rPr>
          <w:rFonts w:cs="Arial"/>
          <w:lang w:val="fr-CH" w:eastAsia="en-GB" w:bidi="en-GB"/>
        </w:rPr>
        <w:t>Un</w:t>
      </w:r>
      <w:r w:rsidRPr="002D6FC6">
        <w:rPr>
          <w:rFonts w:cs="Arial"/>
          <w:lang w:val="fr-CH" w:eastAsia="en-GB" w:bidi="en-GB"/>
        </w:rPr>
        <w:t xml:space="preserve"> large éventail d</w:t>
      </w:r>
      <w:r w:rsidR="008E4A6E">
        <w:rPr>
          <w:rFonts w:cs="Arial"/>
          <w:lang w:val="fr-CH" w:eastAsia="en-GB" w:bidi="en-GB"/>
        </w:rPr>
        <w:t>’</w:t>
      </w:r>
      <w:r w:rsidRPr="002D6FC6">
        <w:rPr>
          <w:rFonts w:cs="Arial"/>
          <w:lang w:val="fr-CH" w:eastAsia="en-GB" w:bidi="en-GB"/>
        </w:rPr>
        <w:t>organisations internationales et d</w:t>
      </w:r>
      <w:r w:rsidR="008E4A6E">
        <w:rPr>
          <w:rFonts w:cs="Arial"/>
          <w:lang w:val="fr-CH" w:eastAsia="en-GB" w:bidi="en-GB"/>
        </w:rPr>
        <w:t>’</w:t>
      </w:r>
      <w:r w:rsidRPr="002D6FC6">
        <w:rPr>
          <w:rFonts w:cs="Arial"/>
          <w:lang w:val="fr-CH" w:eastAsia="en-GB" w:bidi="en-GB"/>
        </w:rPr>
        <w:t>organisations non gouvernementales, ainsi que des réseaux de l</w:t>
      </w:r>
      <w:r w:rsidR="008E4A6E">
        <w:rPr>
          <w:rFonts w:cs="Arial"/>
          <w:lang w:val="fr-CH" w:eastAsia="en-GB" w:bidi="en-GB"/>
        </w:rPr>
        <w:t>’</w:t>
      </w:r>
      <w:r w:rsidRPr="002D6FC6">
        <w:rPr>
          <w:rFonts w:cs="Arial"/>
          <w:lang w:val="fr-CH" w:eastAsia="en-GB" w:bidi="en-GB"/>
        </w:rPr>
        <w:t>industrie semencière, participent activement à ces systèmes.</w:t>
      </w:r>
    </w:p>
    <w:p w14:paraId="41DEED13" w14:textId="77777777" w:rsidR="00FF3EB3" w:rsidRPr="002D6FC6" w:rsidRDefault="00FF3EB3" w:rsidP="00FF3EB3">
      <w:pPr>
        <w:spacing w:before="3"/>
        <w:rPr>
          <w:rFonts w:cs="Arial"/>
          <w:lang w:val="fr-CH"/>
        </w:rPr>
      </w:pPr>
    </w:p>
    <w:p w14:paraId="2039D82F" w14:textId="13DE5336" w:rsidR="00FF3EB3" w:rsidRPr="002D6FC6" w:rsidRDefault="00FF3EB3" w:rsidP="00FF3EB3">
      <w:pPr>
        <w:rPr>
          <w:i/>
          <w:lang w:val="fr-CH"/>
        </w:rPr>
      </w:pPr>
      <w:bookmarkStart w:id="31" w:name="Benefits_of_the_Schemes"/>
      <w:bookmarkEnd w:id="31"/>
      <w:r w:rsidRPr="002D6FC6">
        <w:rPr>
          <w:i/>
          <w:lang w:val="fr-CH"/>
        </w:rPr>
        <w:t>Quels sont les avantages qu</w:t>
      </w:r>
      <w:r w:rsidR="008E4A6E">
        <w:rPr>
          <w:i/>
          <w:lang w:val="fr-CH"/>
        </w:rPr>
        <w:t>’</w:t>
      </w:r>
      <w:r w:rsidRPr="002D6FC6">
        <w:rPr>
          <w:i/>
          <w:lang w:val="fr-CH"/>
        </w:rPr>
        <w:t>offrent ces systèmes?</w:t>
      </w:r>
    </w:p>
    <w:p w14:paraId="6627343A" w14:textId="77777777" w:rsidR="00FF3EB3" w:rsidRPr="002D6FC6" w:rsidRDefault="00FF3EB3" w:rsidP="00FF3EB3">
      <w:pPr>
        <w:spacing w:before="5"/>
        <w:rPr>
          <w:rFonts w:cs="Arial"/>
          <w:b/>
          <w:lang w:val="fr-CH"/>
        </w:rPr>
      </w:pPr>
    </w:p>
    <w:p w14:paraId="090B74E8" w14:textId="5CAAE721" w:rsidR="00FF3EB3" w:rsidRPr="002D6FC6" w:rsidRDefault="00FF3EB3" w:rsidP="00ED3D7A">
      <w:pPr>
        <w:numPr>
          <w:ilvl w:val="1"/>
          <w:numId w:val="13"/>
        </w:numPr>
        <w:tabs>
          <w:tab w:val="left" w:pos="1134"/>
        </w:tabs>
        <w:autoSpaceDE w:val="0"/>
        <w:autoSpaceDN w:val="0"/>
        <w:ind w:left="1134" w:right="219" w:hanging="567"/>
        <w:rPr>
          <w:rFonts w:cs="Arial"/>
          <w:lang w:val="fr-CH" w:eastAsia="en-GB" w:bidi="en-GB"/>
        </w:rPr>
      </w:pPr>
      <w:r w:rsidRPr="002D6FC6">
        <w:rPr>
          <w:rFonts w:cs="Arial"/>
          <w:lang w:val="fr-CH" w:eastAsia="en-GB" w:bidi="en-GB"/>
        </w:rPr>
        <w:t>Faciliter le commerce international en utilisant des procédures de certification harmonisées, des techniques d</w:t>
      </w:r>
      <w:r w:rsidR="008E4A6E">
        <w:rPr>
          <w:rFonts w:cs="Arial"/>
          <w:lang w:val="fr-CH" w:eastAsia="en-GB" w:bidi="en-GB"/>
        </w:rPr>
        <w:t>’</w:t>
      </w:r>
      <w:r w:rsidRPr="002D6FC6">
        <w:rPr>
          <w:rFonts w:cs="Arial"/>
          <w:lang w:val="fr-CH" w:eastAsia="en-GB" w:bidi="en-GB"/>
        </w:rPr>
        <w:t>inspection des cultures et l</w:t>
      </w:r>
      <w:r w:rsidR="008E4A6E">
        <w:rPr>
          <w:rFonts w:cs="Arial"/>
          <w:lang w:val="fr-CH" w:eastAsia="en-GB" w:bidi="en-GB"/>
        </w:rPr>
        <w:t>’</w:t>
      </w:r>
      <w:r w:rsidRPr="002D6FC6">
        <w:rPr>
          <w:rFonts w:cs="Arial"/>
          <w:lang w:val="fr-CH" w:eastAsia="en-GB" w:bidi="en-GB"/>
        </w:rPr>
        <w:t>utilisation de parcelles témoi</w:t>
      </w:r>
      <w:r w:rsidR="00F80F77" w:rsidRPr="002D6FC6">
        <w:rPr>
          <w:rFonts w:cs="Arial"/>
          <w:lang w:val="fr-CH" w:eastAsia="en-GB" w:bidi="en-GB"/>
        </w:rPr>
        <w:t>ns</w:t>
      </w:r>
      <w:r w:rsidR="00F80F77">
        <w:rPr>
          <w:rFonts w:cs="Arial"/>
          <w:lang w:val="fr-CH" w:eastAsia="en-GB" w:bidi="en-GB"/>
        </w:rPr>
        <w:t xml:space="preserve">.  </w:t>
      </w:r>
      <w:r w:rsidR="00F80F77" w:rsidRPr="002D6FC6">
        <w:rPr>
          <w:rFonts w:cs="Arial"/>
          <w:lang w:val="fr-CH" w:eastAsia="en-GB" w:bidi="en-GB"/>
        </w:rPr>
        <w:t>Le</w:t>
      </w:r>
      <w:r w:rsidRPr="002D6FC6">
        <w:rPr>
          <w:rFonts w:cs="Arial"/>
          <w:lang w:val="fr-CH" w:eastAsia="en-GB" w:bidi="en-GB"/>
        </w:rPr>
        <w:t>s normes de pureté variétale pour les espèces appropriées sont également approuvées et normalisées par tous les États membres.</w:t>
      </w:r>
    </w:p>
    <w:p w14:paraId="1790A7F9" w14:textId="07638F45" w:rsidR="00FF3EB3" w:rsidRPr="002D6FC6" w:rsidRDefault="00FF3EB3" w:rsidP="00ED3D7A">
      <w:pPr>
        <w:numPr>
          <w:ilvl w:val="1"/>
          <w:numId w:val="13"/>
        </w:numPr>
        <w:tabs>
          <w:tab w:val="left" w:pos="1134"/>
        </w:tabs>
        <w:autoSpaceDE w:val="0"/>
        <w:autoSpaceDN w:val="0"/>
        <w:ind w:left="1134" w:hanging="567"/>
        <w:jc w:val="left"/>
        <w:rPr>
          <w:rFonts w:cs="Arial"/>
          <w:lang w:val="fr-CH" w:eastAsia="en-GB" w:bidi="en-GB"/>
        </w:rPr>
      </w:pPr>
      <w:r w:rsidRPr="002D6FC6">
        <w:rPr>
          <w:rFonts w:cs="Arial"/>
          <w:lang w:val="fr-CH" w:eastAsia="en-GB" w:bidi="en-GB"/>
        </w:rPr>
        <w:t>Fournir un cadre pour développer la production de semences avec d</w:t>
      </w:r>
      <w:r w:rsidR="008E4A6E">
        <w:rPr>
          <w:rFonts w:cs="Arial"/>
          <w:lang w:val="fr-CH" w:eastAsia="en-GB" w:bidi="en-GB"/>
        </w:rPr>
        <w:t>’</w:t>
      </w:r>
      <w:r w:rsidRPr="002D6FC6">
        <w:rPr>
          <w:rFonts w:cs="Arial"/>
          <w:lang w:val="fr-CH" w:eastAsia="en-GB" w:bidi="en-GB"/>
        </w:rPr>
        <w:t>autres pays ou entreprises.</w:t>
      </w:r>
    </w:p>
    <w:p w14:paraId="2388BE12" w14:textId="5B6A3E4C" w:rsidR="00FF3EB3" w:rsidRPr="002D6FC6" w:rsidRDefault="00FF3EB3" w:rsidP="00ED3D7A">
      <w:pPr>
        <w:numPr>
          <w:ilvl w:val="1"/>
          <w:numId w:val="13"/>
        </w:numPr>
        <w:tabs>
          <w:tab w:val="left" w:pos="1134"/>
        </w:tabs>
        <w:autoSpaceDE w:val="0"/>
        <w:autoSpaceDN w:val="0"/>
        <w:ind w:left="1134" w:hanging="567"/>
        <w:jc w:val="left"/>
        <w:rPr>
          <w:rFonts w:cs="Arial"/>
          <w:lang w:val="fr-CH" w:eastAsia="en-GB" w:bidi="en-GB"/>
        </w:rPr>
      </w:pPr>
      <w:r w:rsidRPr="002D6FC6">
        <w:rPr>
          <w:rFonts w:cs="Arial"/>
          <w:lang w:val="fr-CH" w:eastAsia="en-GB" w:bidi="en-GB"/>
        </w:rPr>
        <w:t>Participer à l</w:t>
      </w:r>
      <w:r w:rsidR="008E4A6E">
        <w:rPr>
          <w:rFonts w:cs="Arial"/>
          <w:lang w:val="fr-CH" w:eastAsia="en-GB" w:bidi="en-GB"/>
        </w:rPr>
        <w:t>’</w:t>
      </w:r>
      <w:r w:rsidRPr="002D6FC6">
        <w:rPr>
          <w:rFonts w:cs="Arial"/>
          <w:lang w:val="fr-CH" w:eastAsia="en-GB" w:bidi="en-GB"/>
        </w:rPr>
        <w:t>élaboration de règles internationales pour la certification des semences.</w:t>
      </w:r>
    </w:p>
    <w:p w14:paraId="4FF07E5F" w14:textId="77777777" w:rsidR="00FF3EB3" w:rsidRPr="002D6FC6" w:rsidRDefault="00FF3EB3" w:rsidP="00ED3D7A">
      <w:pPr>
        <w:numPr>
          <w:ilvl w:val="1"/>
          <w:numId w:val="13"/>
        </w:numPr>
        <w:tabs>
          <w:tab w:val="left" w:pos="1134"/>
        </w:tabs>
        <w:autoSpaceDE w:val="0"/>
        <w:autoSpaceDN w:val="0"/>
        <w:ind w:left="1134" w:hanging="567"/>
        <w:jc w:val="left"/>
        <w:rPr>
          <w:rFonts w:cs="Arial"/>
          <w:lang w:val="fr-CH" w:eastAsia="en-GB" w:bidi="en-GB"/>
        </w:rPr>
      </w:pPr>
      <w:r w:rsidRPr="002D6FC6">
        <w:rPr>
          <w:rFonts w:cs="Arial"/>
          <w:lang w:val="fr-CH" w:eastAsia="en-GB" w:bidi="en-GB"/>
        </w:rPr>
        <w:t>Renforcer la collaboration entre les secteurs public et privé.</w:t>
      </w:r>
    </w:p>
    <w:p w14:paraId="582CE770" w14:textId="46AFD6CE" w:rsidR="00FF3EB3" w:rsidRPr="002D6FC6" w:rsidRDefault="00FF3EB3" w:rsidP="00ED3D7A">
      <w:pPr>
        <w:numPr>
          <w:ilvl w:val="1"/>
          <w:numId w:val="13"/>
        </w:numPr>
        <w:tabs>
          <w:tab w:val="left" w:pos="1134"/>
        </w:tabs>
        <w:autoSpaceDE w:val="0"/>
        <w:autoSpaceDN w:val="0"/>
        <w:ind w:left="1134" w:right="225" w:hanging="567"/>
        <w:rPr>
          <w:rFonts w:cs="Arial"/>
          <w:lang w:val="fr-CH" w:eastAsia="en-GB" w:bidi="en-GB"/>
        </w:rPr>
      </w:pPr>
      <w:r w:rsidRPr="002D6FC6">
        <w:rPr>
          <w:rFonts w:cs="Arial"/>
          <w:lang w:val="fr-CH" w:eastAsia="en-GB" w:bidi="en-GB"/>
        </w:rPr>
        <w:t>Bénéficier d</w:t>
      </w:r>
      <w:r w:rsidR="008E4A6E">
        <w:rPr>
          <w:rFonts w:cs="Arial"/>
          <w:lang w:val="fr-CH" w:eastAsia="en-GB" w:bidi="en-GB"/>
        </w:rPr>
        <w:t>’</w:t>
      </w:r>
      <w:r w:rsidRPr="002D6FC6">
        <w:rPr>
          <w:rFonts w:cs="Arial"/>
          <w:lang w:val="fr-CH" w:eastAsia="en-GB" w:bidi="en-GB"/>
        </w:rPr>
        <w:t>échanges réguliers d</w:t>
      </w:r>
      <w:r w:rsidR="008E4A6E">
        <w:rPr>
          <w:rFonts w:cs="Arial"/>
          <w:lang w:val="fr-CH" w:eastAsia="en-GB" w:bidi="en-GB"/>
        </w:rPr>
        <w:t>’</w:t>
      </w:r>
      <w:r w:rsidRPr="002D6FC6">
        <w:rPr>
          <w:rFonts w:cs="Arial"/>
          <w:lang w:val="fr-CH" w:eastAsia="en-GB" w:bidi="en-GB"/>
        </w:rPr>
        <w:t>informations avec d</w:t>
      </w:r>
      <w:r w:rsidR="008E4A6E">
        <w:rPr>
          <w:rFonts w:cs="Arial"/>
          <w:lang w:val="fr-CH" w:eastAsia="en-GB" w:bidi="en-GB"/>
        </w:rPr>
        <w:t>’</w:t>
      </w:r>
      <w:r w:rsidRPr="002D6FC6">
        <w:rPr>
          <w:rFonts w:cs="Arial"/>
          <w:lang w:val="fr-CH" w:eastAsia="en-GB" w:bidi="en-GB"/>
        </w:rPr>
        <w:t>autres organismes nationaux de certification et organisations observatrices.</w:t>
      </w:r>
    </w:p>
    <w:p w14:paraId="4DB7A73A" w14:textId="77777777" w:rsidR="00FF3EB3" w:rsidRPr="002D6FC6" w:rsidRDefault="00FF3EB3" w:rsidP="00FF3EB3">
      <w:pPr>
        <w:spacing w:before="5"/>
        <w:rPr>
          <w:rFonts w:cs="Arial"/>
          <w:lang w:val="fr-CH"/>
        </w:rPr>
      </w:pPr>
    </w:p>
    <w:p w14:paraId="1997395C" w14:textId="56A90726" w:rsidR="00FF3EB3" w:rsidRPr="002D6FC6" w:rsidRDefault="00FF3EB3" w:rsidP="00FF3EB3">
      <w:pPr>
        <w:rPr>
          <w:i/>
          <w:lang w:val="fr-CH"/>
        </w:rPr>
      </w:pPr>
      <w:bookmarkStart w:id="32" w:name="Annual_List_of_Varieties"/>
      <w:bookmarkEnd w:id="32"/>
      <w:r w:rsidRPr="002D6FC6">
        <w:rPr>
          <w:i/>
          <w:lang w:val="fr-CH"/>
        </w:rPr>
        <w:t>Liste</w:t>
      </w:r>
      <w:r w:rsidR="00ED3D7A">
        <w:rPr>
          <w:i/>
          <w:lang w:val="fr-CH"/>
        </w:rPr>
        <w:t xml:space="preserve"> annuelle</w:t>
      </w:r>
      <w:r w:rsidRPr="002D6FC6">
        <w:rPr>
          <w:i/>
          <w:lang w:val="fr-CH"/>
        </w:rPr>
        <w:t xml:space="preserve"> des variétés</w:t>
      </w:r>
    </w:p>
    <w:p w14:paraId="5980375E" w14:textId="77777777" w:rsidR="00FF3EB3" w:rsidRPr="002D6FC6" w:rsidRDefault="00FF3EB3" w:rsidP="00FF3EB3">
      <w:pPr>
        <w:spacing w:before="4"/>
        <w:rPr>
          <w:rFonts w:cs="Arial"/>
          <w:b/>
          <w:lang w:val="fr-CH"/>
        </w:rPr>
      </w:pPr>
    </w:p>
    <w:p w14:paraId="26D8ECCA" w14:textId="3689FE41" w:rsidR="00FF3EB3" w:rsidRPr="002D6FC6" w:rsidRDefault="00FF3EB3" w:rsidP="00FF3EB3">
      <w:pPr>
        <w:tabs>
          <w:tab w:val="left" w:pos="1127"/>
          <w:tab w:val="left" w:pos="1128"/>
        </w:tabs>
        <w:autoSpaceDE w:val="0"/>
        <w:autoSpaceDN w:val="0"/>
        <w:ind w:right="216"/>
        <w:rPr>
          <w:rFonts w:cs="Arial"/>
          <w:lang w:val="fr-CH" w:eastAsia="en-GB" w:bidi="en-GB"/>
        </w:rPr>
      </w:pPr>
      <w:r w:rsidRPr="002D6FC6">
        <w:rPr>
          <w:rFonts w:cs="Arial"/>
          <w:w w:val="105"/>
          <w:lang w:val="fr-CH" w:eastAsia="en-GB" w:bidi="en-GB"/>
        </w:rPr>
        <w:t>La liste annuelle des variétés remplissant les conditions requises pour bénéficier de la certification de l</w:t>
      </w:r>
      <w:r w:rsidR="008E4A6E">
        <w:rPr>
          <w:rFonts w:cs="Arial"/>
          <w:w w:val="105"/>
          <w:lang w:val="fr-CH" w:eastAsia="en-GB" w:bidi="en-GB"/>
        </w:rPr>
        <w:t>’</w:t>
      </w:r>
      <w:r w:rsidRPr="002D6FC6">
        <w:rPr>
          <w:rFonts w:cs="Arial"/>
          <w:w w:val="105"/>
          <w:lang w:val="fr-CH" w:eastAsia="en-GB" w:bidi="en-GB"/>
        </w:rPr>
        <w:t>OCDE comprend les variétés qui sont officiellement reconnues comme étant distinctes, homogènes et stables et qui ont une valeur acceptable dans un ou plusieurs pays participan</w:t>
      </w:r>
      <w:r w:rsidR="00F80F77" w:rsidRPr="002D6FC6">
        <w:rPr>
          <w:rFonts w:cs="Arial"/>
          <w:w w:val="105"/>
          <w:lang w:val="fr-CH" w:eastAsia="en-GB" w:bidi="en-GB"/>
        </w:rPr>
        <w:t>ts</w:t>
      </w:r>
      <w:r w:rsidR="00F80F77">
        <w:rPr>
          <w:rFonts w:cs="Arial"/>
          <w:w w:val="105"/>
          <w:lang w:val="fr-CH" w:eastAsia="en-GB" w:bidi="en-GB"/>
        </w:rPr>
        <w:t xml:space="preserve">.  </w:t>
      </w:r>
      <w:r w:rsidR="00F80F77" w:rsidRPr="002D6FC6">
        <w:rPr>
          <w:rFonts w:cs="Arial"/>
          <w:w w:val="105"/>
          <w:lang w:val="fr-CH" w:eastAsia="en-GB" w:bidi="en-GB"/>
        </w:rPr>
        <w:t>Ce</w:t>
      </w:r>
      <w:r w:rsidRPr="002D6FC6">
        <w:rPr>
          <w:rFonts w:cs="Arial"/>
          <w:w w:val="105"/>
          <w:lang w:val="fr-CH" w:eastAsia="en-GB" w:bidi="en-GB"/>
        </w:rPr>
        <w:t>tte liste contient les variétés de semences commercialisées au niveau international au moyen des Systèmes des semences de l</w:t>
      </w:r>
      <w:r w:rsidR="008E4A6E">
        <w:rPr>
          <w:rFonts w:cs="Arial"/>
          <w:w w:val="105"/>
          <w:lang w:val="fr-CH" w:eastAsia="en-GB" w:bidi="en-GB"/>
        </w:rPr>
        <w:t>’</w:t>
      </w:r>
      <w:r w:rsidRPr="002D6FC6">
        <w:rPr>
          <w:rFonts w:cs="Arial"/>
          <w:w w:val="105"/>
          <w:lang w:val="fr-CH" w:eastAsia="en-GB" w:bidi="en-GB"/>
        </w:rPr>
        <w:t>O</w:t>
      </w:r>
      <w:r w:rsidR="00F80F77" w:rsidRPr="002D6FC6">
        <w:rPr>
          <w:rFonts w:cs="Arial"/>
          <w:w w:val="105"/>
          <w:lang w:val="fr-CH" w:eastAsia="en-GB" w:bidi="en-GB"/>
        </w:rPr>
        <w:t>CDE</w:t>
      </w:r>
      <w:r w:rsidR="00F80F77">
        <w:rPr>
          <w:rFonts w:cs="Arial"/>
          <w:w w:val="105"/>
          <w:lang w:val="fr-CH" w:eastAsia="en-GB" w:bidi="en-GB"/>
        </w:rPr>
        <w:t xml:space="preserve">.  </w:t>
      </w:r>
      <w:r w:rsidR="00F80F77" w:rsidRPr="002D6FC6">
        <w:rPr>
          <w:rFonts w:cs="Arial"/>
          <w:w w:val="105"/>
          <w:lang w:val="fr-CH" w:eastAsia="en-GB" w:bidi="en-GB"/>
        </w:rPr>
        <w:t>Le</w:t>
      </w:r>
      <w:r w:rsidRPr="002D6FC6">
        <w:rPr>
          <w:rFonts w:cs="Arial"/>
          <w:w w:val="105"/>
          <w:lang w:val="fr-CH" w:eastAsia="en-GB" w:bidi="en-GB"/>
        </w:rPr>
        <w:t xml:space="preserve"> nombre de variétés n</w:t>
      </w:r>
      <w:r w:rsidR="008E4A6E">
        <w:rPr>
          <w:rFonts w:cs="Arial"/>
          <w:w w:val="105"/>
          <w:lang w:val="fr-CH" w:eastAsia="en-GB" w:bidi="en-GB"/>
        </w:rPr>
        <w:t>’</w:t>
      </w:r>
      <w:r w:rsidRPr="002D6FC6">
        <w:rPr>
          <w:rFonts w:cs="Arial"/>
          <w:w w:val="105"/>
          <w:lang w:val="fr-CH" w:eastAsia="en-GB" w:bidi="en-GB"/>
        </w:rPr>
        <w:t>a cessé d</w:t>
      </w:r>
      <w:r w:rsidR="008E4A6E">
        <w:rPr>
          <w:rFonts w:cs="Arial"/>
          <w:w w:val="105"/>
          <w:lang w:val="fr-CH" w:eastAsia="en-GB" w:bidi="en-GB"/>
        </w:rPr>
        <w:t>’</w:t>
      </w:r>
      <w:r w:rsidRPr="002D6FC6">
        <w:rPr>
          <w:rFonts w:cs="Arial"/>
          <w:w w:val="105"/>
          <w:lang w:val="fr-CH" w:eastAsia="en-GB" w:bidi="en-GB"/>
        </w:rPr>
        <w:t>augmenter au cours de ces trente</w:t>
      </w:r>
      <w:r w:rsidR="00F80F77">
        <w:rPr>
          <w:rFonts w:cs="Arial"/>
          <w:w w:val="105"/>
          <w:lang w:val="fr-CH" w:eastAsia="en-GB" w:bidi="en-GB"/>
        </w:rPr>
        <w:t> </w:t>
      </w:r>
      <w:r w:rsidRPr="002D6FC6">
        <w:rPr>
          <w:rFonts w:cs="Arial"/>
          <w:w w:val="105"/>
          <w:lang w:val="fr-CH" w:eastAsia="en-GB" w:bidi="en-GB"/>
        </w:rPr>
        <w:t>dernières anné</w:t>
      </w:r>
      <w:r w:rsidR="00F80F77" w:rsidRPr="002D6FC6">
        <w:rPr>
          <w:rFonts w:cs="Arial"/>
          <w:w w:val="105"/>
          <w:lang w:val="fr-CH" w:eastAsia="en-GB" w:bidi="en-GB"/>
        </w:rPr>
        <w:t>es</w:t>
      </w:r>
      <w:r w:rsidR="00F80F77">
        <w:rPr>
          <w:rFonts w:cs="Arial"/>
          <w:w w:val="105"/>
          <w:lang w:val="fr-CH" w:eastAsia="en-GB" w:bidi="en-GB"/>
        </w:rPr>
        <w:t xml:space="preserve">.  </w:t>
      </w:r>
      <w:r w:rsidR="00F80F77" w:rsidRPr="002D6FC6">
        <w:rPr>
          <w:rFonts w:cs="Arial"/>
          <w:w w:val="105"/>
          <w:lang w:val="fr-CH" w:eastAsia="en-GB" w:bidi="en-GB"/>
        </w:rPr>
        <w:t>Ac</w:t>
      </w:r>
      <w:r w:rsidRPr="002D6FC6">
        <w:rPr>
          <w:rFonts w:cs="Arial"/>
          <w:w w:val="105"/>
          <w:lang w:val="fr-CH" w:eastAsia="en-GB" w:bidi="en-GB"/>
        </w:rPr>
        <w:t>tuellement, le nombre de variétés répertoriées s</w:t>
      </w:r>
      <w:r w:rsidR="008E4A6E">
        <w:rPr>
          <w:rFonts w:cs="Arial"/>
          <w:w w:val="105"/>
          <w:lang w:val="fr-CH" w:eastAsia="en-GB" w:bidi="en-GB"/>
        </w:rPr>
        <w:t>’</w:t>
      </w:r>
      <w:r w:rsidRPr="002D6FC6">
        <w:rPr>
          <w:rFonts w:cs="Arial"/>
          <w:w w:val="105"/>
          <w:lang w:val="fr-CH" w:eastAsia="en-GB" w:bidi="en-GB"/>
        </w:rPr>
        <w:t>élève à plus de 62 000, correspondant à 200 espèc</w:t>
      </w:r>
      <w:r w:rsidR="00F80F77" w:rsidRPr="002D6FC6">
        <w:rPr>
          <w:rFonts w:cs="Arial"/>
          <w:w w:val="105"/>
          <w:lang w:val="fr-CH" w:eastAsia="en-GB" w:bidi="en-GB"/>
        </w:rPr>
        <w:t>es</w:t>
      </w:r>
      <w:r w:rsidR="00F80F77">
        <w:rPr>
          <w:rFonts w:cs="Arial"/>
          <w:w w:val="105"/>
          <w:lang w:val="fr-CH" w:eastAsia="en-GB" w:bidi="en-GB"/>
        </w:rPr>
        <w:t xml:space="preserve">.  </w:t>
      </w:r>
      <w:r w:rsidR="00F80F77" w:rsidRPr="002D6FC6">
        <w:rPr>
          <w:rFonts w:cs="Arial"/>
          <w:w w:val="105"/>
          <w:lang w:val="fr-CH" w:eastAsia="en-GB" w:bidi="en-GB"/>
        </w:rPr>
        <w:t>La</w:t>
      </w:r>
      <w:r w:rsidRPr="002D6FC6">
        <w:rPr>
          <w:rFonts w:cs="Arial"/>
          <w:w w:val="105"/>
          <w:lang w:val="fr-CH" w:eastAsia="en-GB" w:bidi="en-GB"/>
        </w:rPr>
        <w:t xml:space="preserve"> liste est accessible en ligne et mise à jour régulièrement.</w:t>
      </w:r>
    </w:p>
    <w:p w14:paraId="6B00BA7A" w14:textId="77777777" w:rsidR="00FF3EB3" w:rsidRPr="002D6FC6" w:rsidRDefault="00FF3EB3" w:rsidP="00FF3EB3">
      <w:pPr>
        <w:spacing w:before="4"/>
        <w:rPr>
          <w:rFonts w:cs="Arial"/>
          <w:lang w:val="fr-CH"/>
        </w:rPr>
      </w:pPr>
    </w:p>
    <w:p w14:paraId="15FEC3E6" w14:textId="77777777" w:rsidR="00FF3EB3" w:rsidRPr="002D6FC6" w:rsidRDefault="00FF3EB3" w:rsidP="00FF3EB3">
      <w:pPr>
        <w:rPr>
          <w:i/>
          <w:lang w:val="fr-CH"/>
        </w:rPr>
      </w:pPr>
      <w:bookmarkStart w:id="33" w:name="Outlook"/>
      <w:bookmarkEnd w:id="33"/>
      <w:r w:rsidRPr="002D6FC6">
        <w:rPr>
          <w:i/>
          <w:lang w:val="fr-CH"/>
        </w:rPr>
        <w:t>Perspectives</w:t>
      </w:r>
    </w:p>
    <w:p w14:paraId="69ADFF7B" w14:textId="77777777" w:rsidR="00FF3EB3" w:rsidRPr="002D6FC6" w:rsidRDefault="00FF3EB3" w:rsidP="00FF3EB3">
      <w:pPr>
        <w:spacing w:before="6"/>
        <w:rPr>
          <w:rFonts w:cs="Arial"/>
          <w:b/>
          <w:lang w:val="fr-CH"/>
        </w:rPr>
      </w:pPr>
    </w:p>
    <w:p w14:paraId="532F02F9" w14:textId="77777777" w:rsidR="00FF3EB3" w:rsidRPr="002D6FC6" w:rsidRDefault="00FF3EB3" w:rsidP="00FF3EB3">
      <w:pPr>
        <w:tabs>
          <w:tab w:val="left" w:pos="1069"/>
          <w:tab w:val="left" w:pos="1071"/>
        </w:tabs>
        <w:autoSpaceDE w:val="0"/>
        <w:autoSpaceDN w:val="0"/>
        <w:spacing w:before="1"/>
        <w:ind w:right="223"/>
        <w:rPr>
          <w:rFonts w:cs="Arial"/>
          <w:lang w:val="fr-CH" w:eastAsia="en-GB" w:bidi="en-GB"/>
        </w:rPr>
      </w:pPr>
      <w:r w:rsidRPr="002D6FC6">
        <w:rPr>
          <w:rFonts w:cs="Arial"/>
          <w:lang w:val="fr-CH" w:eastAsia="en-GB" w:bidi="en-GB"/>
        </w:rPr>
        <w:t xml:space="preserve">Les </w:t>
      </w:r>
      <w:r w:rsidRPr="002D6FC6">
        <w:rPr>
          <w:rFonts w:eastAsia="Cambria"/>
          <w:lang w:val="fr-CH"/>
        </w:rPr>
        <w:t>“consommateurs”</w:t>
      </w:r>
      <w:r w:rsidRPr="002D6FC6">
        <w:rPr>
          <w:rFonts w:cs="Arial"/>
          <w:lang w:val="fr-CH" w:eastAsia="en-GB" w:bidi="en-GB"/>
        </w:rPr>
        <w:t xml:space="preserve"> de semences devenant de plus en plus exigeants, les besoins en matière de normes uniformes pour les semences sont plus importants, alors que dans le même temps, les ressources financières publiques pour la réglementation et le contrôle de la qualité sont limitées.</w:t>
      </w:r>
    </w:p>
    <w:p w14:paraId="4D91FCDF" w14:textId="77777777" w:rsidR="00FF3EB3" w:rsidRPr="002D6FC6" w:rsidRDefault="00FF3EB3" w:rsidP="00FF3EB3">
      <w:pPr>
        <w:spacing w:before="8"/>
        <w:rPr>
          <w:rFonts w:cs="Arial"/>
          <w:lang w:val="fr-CH"/>
        </w:rPr>
      </w:pPr>
    </w:p>
    <w:p w14:paraId="749EDEDC" w14:textId="6587F5A7" w:rsidR="00FF3EB3" w:rsidRPr="002D6FC6" w:rsidRDefault="00FF3EB3" w:rsidP="00FF3EB3">
      <w:pPr>
        <w:tabs>
          <w:tab w:val="left" w:pos="1069"/>
          <w:tab w:val="left" w:pos="1071"/>
        </w:tabs>
        <w:autoSpaceDE w:val="0"/>
        <w:autoSpaceDN w:val="0"/>
        <w:ind w:right="214"/>
        <w:rPr>
          <w:rFonts w:cs="Arial"/>
          <w:lang w:val="fr-CH" w:eastAsia="en-GB" w:bidi="en-GB"/>
        </w:rPr>
      </w:pPr>
      <w:r w:rsidRPr="002D6FC6">
        <w:rPr>
          <w:rFonts w:cs="Arial"/>
          <w:lang w:val="fr-CH" w:eastAsia="en-GB" w:bidi="en-GB"/>
        </w:rPr>
        <w:t>La coopération entre les pays et les parties prenantes dans le cadre de ces systèmes constitue une réponse aux préoccupations liées à une approche réglementaire adaptée au marc</w:t>
      </w:r>
      <w:r w:rsidR="00F80F77" w:rsidRPr="002D6FC6">
        <w:rPr>
          <w:rFonts w:cs="Arial"/>
          <w:lang w:val="fr-CH" w:eastAsia="en-GB" w:bidi="en-GB"/>
        </w:rPr>
        <w:t>hé</w:t>
      </w:r>
      <w:r w:rsidR="00F80F77">
        <w:rPr>
          <w:rFonts w:cs="Arial"/>
          <w:lang w:val="fr-CH" w:eastAsia="en-GB" w:bidi="en-GB"/>
        </w:rPr>
        <w:t xml:space="preserve">.  </w:t>
      </w:r>
      <w:r w:rsidR="00F80F77" w:rsidRPr="002D6FC6">
        <w:rPr>
          <w:rFonts w:cs="Arial"/>
          <w:lang w:val="fr-CH" w:eastAsia="en-GB" w:bidi="en-GB"/>
        </w:rPr>
        <w:t>Ch</w:t>
      </w:r>
      <w:r w:rsidRPr="002D6FC6">
        <w:rPr>
          <w:rFonts w:cs="Arial"/>
          <w:lang w:val="fr-CH" w:eastAsia="en-GB" w:bidi="en-GB"/>
        </w:rPr>
        <w:t>aque pays fait face à un cadre juridique, des relations commerciales et des obstacles institutionnels différents, alors que les diverses approches doivent rester cohérentes entre les pays entrant sur les marchés internationaux en tant qu</w:t>
      </w:r>
      <w:r w:rsidR="008E4A6E">
        <w:rPr>
          <w:rFonts w:cs="Arial"/>
          <w:lang w:val="fr-CH" w:eastAsia="en-GB" w:bidi="en-GB"/>
        </w:rPr>
        <w:t>’</w:t>
      </w:r>
      <w:r w:rsidRPr="002D6FC6">
        <w:rPr>
          <w:rFonts w:cs="Arial"/>
          <w:lang w:val="fr-CH" w:eastAsia="en-GB" w:bidi="en-GB"/>
        </w:rPr>
        <w:t>importateurs ou exportateurs de semences.</w:t>
      </w:r>
    </w:p>
    <w:p w14:paraId="0DD894B0" w14:textId="77777777" w:rsidR="00FF3EB3" w:rsidRPr="002D6FC6" w:rsidRDefault="00FF3EB3" w:rsidP="00FF3EB3">
      <w:pPr>
        <w:spacing w:before="10"/>
        <w:rPr>
          <w:rFonts w:cs="Arial"/>
          <w:lang w:val="fr-CH"/>
        </w:rPr>
      </w:pPr>
    </w:p>
    <w:p w14:paraId="48CCD3AB" w14:textId="2167F456" w:rsidR="00FF3EB3" w:rsidRPr="002D6FC6" w:rsidRDefault="00FF3EB3" w:rsidP="00FF3EB3">
      <w:pPr>
        <w:tabs>
          <w:tab w:val="left" w:pos="1069"/>
          <w:tab w:val="left" w:pos="1071"/>
        </w:tabs>
        <w:autoSpaceDE w:val="0"/>
        <w:autoSpaceDN w:val="0"/>
        <w:spacing w:before="1"/>
        <w:ind w:right="217"/>
        <w:rPr>
          <w:rFonts w:cs="Arial"/>
          <w:lang w:val="fr-CH" w:eastAsia="en-GB" w:bidi="en-GB"/>
        </w:rPr>
      </w:pPr>
      <w:r w:rsidRPr="002D6FC6">
        <w:rPr>
          <w:rFonts w:cs="Arial"/>
          <w:lang w:val="fr-CH" w:eastAsia="en-GB" w:bidi="en-GB"/>
        </w:rPr>
        <w:t>Les conservateurs et les entreprises semencières ont la responsabilité de s</w:t>
      </w:r>
      <w:r w:rsidR="008E4A6E">
        <w:rPr>
          <w:rFonts w:cs="Arial"/>
          <w:lang w:val="fr-CH" w:eastAsia="en-GB" w:bidi="en-GB"/>
        </w:rPr>
        <w:t>’</w:t>
      </w:r>
      <w:r w:rsidRPr="002D6FC6">
        <w:rPr>
          <w:rFonts w:cs="Arial"/>
          <w:lang w:val="fr-CH" w:eastAsia="en-GB" w:bidi="en-GB"/>
        </w:rPr>
        <w:t>assurer que leurs variétés restent pures et fidèles à la description et à l</w:t>
      </w:r>
      <w:r w:rsidR="008E4A6E">
        <w:rPr>
          <w:rFonts w:cs="Arial"/>
          <w:lang w:val="fr-CH" w:eastAsia="en-GB" w:bidi="en-GB"/>
        </w:rPr>
        <w:t>’</w:t>
      </w:r>
      <w:r w:rsidRPr="002D6FC6">
        <w:rPr>
          <w:rFonts w:cs="Arial"/>
          <w:lang w:val="fr-CH" w:eastAsia="en-GB" w:bidi="en-GB"/>
        </w:rPr>
        <w:t xml:space="preserve">échantillon faisant autorité (qui est la </w:t>
      </w:r>
      <w:r w:rsidRPr="002D6FC6">
        <w:rPr>
          <w:rFonts w:eastAsia="Cambria"/>
          <w:lang w:val="fr-CH"/>
        </w:rPr>
        <w:t>“description vivante”</w:t>
      </w:r>
      <w:r w:rsidRPr="002D6FC6">
        <w:rPr>
          <w:rFonts w:cs="Arial"/>
          <w:lang w:val="fr-CH" w:eastAsia="en-GB" w:bidi="en-GB"/>
        </w:rPr>
        <w:t xml:space="preserve"> de la variété), non seulement sur le plan national, mais étalement au</w:t>
      </w:r>
      <w:r w:rsidR="00ED3D7A">
        <w:rPr>
          <w:rFonts w:cs="Arial"/>
          <w:lang w:val="fr-CH" w:eastAsia="en-GB" w:bidi="en-GB"/>
        </w:rPr>
        <w:noBreakHyphen/>
      </w:r>
      <w:r w:rsidRPr="002D6FC6">
        <w:rPr>
          <w:rFonts w:cs="Arial"/>
          <w:lang w:val="fr-CH" w:eastAsia="en-GB" w:bidi="en-GB"/>
        </w:rPr>
        <w:t>delà des frontièr</w:t>
      </w:r>
      <w:r w:rsidR="00F80F77" w:rsidRPr="002D6FC6">
        <w:rPr>
          <w:rFonts w:cs="Arial"/>
          <w:lang w:val="fr-CH" w:eastAsia="en-GB" w:bidi="en-GB"/>
        </w:rPr>
        <w:t>es</w:t>
      </w:r>
      <w:r w:rsidR="00F80F77">
        <w:rPr>
          <w:rFonts w:cs="Arial"/>
          <w:lang w:val="fr-CH" w:eastAsia="en-GB" w:bidi="en-GB"/>
        </w:rPr>
        <w:t xml:space="preserve">.  </w:t>
      </w:r>
      <w:r w:rsidR="00F80F77" w:rsidRPr="002D6FC6">
        <w:rPr>
          <w:rFonts w:cs="Arial"/>
          <w:lang w:val="fr-CH" w:eastAsia="en-GB" w:bidi="en-GB"/>
        </w:rPr>
        <w:t>Il</w:t>
      </w:r>
      <w:r w:rsidRPr="002D6FC6">
        <w:rPr>
          <w:rFonts w:cs="Arial"/>
          <w:lang w:val="fr-CH" w:eastAsia="en-GB" w:bidi="en-GB"/>
        </w:rPr>
        <w:t xml:space="preserve"> faut toutefois que des critères minimums soient conjointement définis, approuvés et mis en œuvre lors de la multiplication des semences en grandes quantités pour le commer</w:t>
      </w:r>
      <w:r w:rsidR="00F80F77" w:rsidRPr="002D6FC6">
        <w:rPr>
          <w:rFonts w:cs="Arial"/>
          <w:lang w:val="fr-CH" w:eastAsia="en-GB" w:bidi="en-GB"/>
        </w:rPr>
        <w:t>ce</w:t>
      </w:r>
      <w:r w:rsidR="00F80F77">
        <w:rPr>
          <w:rFonts w:cs="Arial"/>
          <w:lang w:val="fr-CH" w:eastAsia="en-GB" w:bidi="en-GB"/>
        </w:rPr>
        <w:t xml:space="preserve">.  </w:t>
      </w:r>
      <w:r w:rsidR="00F80F77" w:rsidRPr="002D6FC6">
        <w:rPr>
          <w:rFonts w:cs="Arial"/>
          <w:lang w:val="fr-CH" w:eastAsia="en-GB" w:bidi="en-GB"/>
        </w:rPr>
        <w:t>Le</w:t>
      </w:r>
      <w:r w:rsidRPr="002D6FC6">
        <w:rPr>
          <w:rFonts w:cs="Arial"/>
          <w:lang w:val="fr-CH" w:eastAsia="en-GB" w:bidi="en-GB"/>
        </w:rPr>
        <w:t>s Systèmes des semences de l</w:t>
      </w:r>
      <w:r w:rsidR="008E4A6E">
        <w:rPr>
          <w:rFonts w:cs="Arial"/>
          <w:lang w:val="fr-CH" w:eastAsia="en-GB" w:bidi="en-GB"/>
        </w:rPr>
        <w:t>’</w:t>
      </w:r>
      <w:r w:rsidRPr="002D6FC6">
        <w:rPr>
          <w:rFonts w:cs="Arial"/>
          <w:lang w:val="fr-CH" w:eastAsia="en-GB" w:bidi="en-GB"/>
        </w:rPr>
        <w:t>OCDE fournissent ce cadre juridique au niveau international.</w:t>
      </w:r>
    </w:p>
    <w:p w14:paraId="74E115A5" w14:textId="77777777" w:rsidR="00FF3EB3" w:rsidRPr="002D6FC6" w:rsidRDefault="00FF3EB3" w:rsidP="00FF3EB3">
      <w:pPr>
        <w:tabs>
          <w:tab w:val="left" w:pos="1069"/>
          <w:tab w:val="left" w:pos="1071"/>
        </w:tabs>
        <w:autoSpaceDE w:val="0"/>
        <w:autoSpaceDN w:val="0"/>
        <w:spacing w:before="1"/>
        <w:ind w:right="217"/>
        <w:rPr>
          <w:rFonts w:cs="Arial"/>
          <w:lang w:val="fr-CH" w:eastAsia="en-GB" w:bidi="en-GB"/>
        </w:rPr>
      </w:pPr>
    </w:p>
    <w:p w14:paraId="7A084290" w14:textId="7E0A3940" w:rsidR="00FF3EB3" w:rsidRPr="002D6FC6" w:rsidRDefault="00FF3EB3" w:rsidP="00FF3EB3">
      <w:pPr>
        <w:rPr>
          <w:i/>
          <w:lang w:val="fr-CH"/>
        </w:rPr>
      </w:pPr>
      <w:r w:rsidRPr="002D6FC6">
        <w:rPr>
          <w:i/>
          <w:lang w:val="fr-CH"/>
        </w:rPr>
        <w:t>Situation des techniques biochimiques et moléculaires dans les Systèmes des semences de l</w:t>
      </w:r>
      <w:r w:rsidR="008E4A6E">
        <w:rPr>
          <w:i/>
          <w:lang w:val="fr-CH"/>
        </w:rPr>
        <w:t>’</w:t>
      </w:r>
      <w:r w:rsidRPr="002D6FC6">
        <w:rPr>
          <w:i/>
          <w:lang w:val="fr-CH"/>
        </w:rPr>
        <w:t>OCDE</w:t>
      </w:r>
    </w:p>
    <w:p w14:paraId="29EE969C" w14:textId="77777777" w:rsidR="00FF3EB3" w:rsidRPr="002D6FC6" w:rsidRDefault="00FF3EB3" w:rsidP="00FF3EB3">
      <w:pPr>
        <w:ind w:right="556"/>
        <w:rPr>
          <w:lang w:val="fr-CH"/>
        </w:rPr>
      </w:pPr>
    </w:p>
    <w:p w14:paraId="4114A1BC" w14:textId="1E5BE8C3" w:rsidR="00FF3EB3" w:rsidRPr="002D6FC6" w:rsidRDefault="00FF3EB3" w:rsidP="00FF3EB3">
      <w:pPr>
        <w:spacing w:line="247" w:lineRule="exact"/>
        <w:rPr>
          <w:lang w:val="fr-CH"/>
        </w:rPr>
      </w:pPr>
      <w:r w:rsidRPr="002D6FC6">
        <w:rPr>
          <w:lang w:val="fr-CH"/>
        </w:rPr>
        <w:t>Les Systèmes des semences de l</w:t>
      </w:r>
      <w:r w:rsidR="008E4A6E">
        <w:rPr>
          <w:lang w:val="fr-CH"/>
        </w:rPr>
        <w:t>’</w:t>
      </w:r>
      <w:r w:rsidRPr="002D6FC6">
        <w:rPr>
          <w:lang w:val="fr-CH"/>
        </w:rPr>
        <w:t>OCDE n</w:t>
      </w:r>
      <w:r w:rsidR="008E4A6E">
        <w:rPr>
          <w:lang w:val="fr-CH"/>
        </w:rPr>
        <w:t>’</w:t>
      </w:r>
      <w:r w:rsidRPr="002D6FC6">
        <w:rPr>
          <w:lang w:val="fr-CH"/>
        </w:rPr>
        <w:t>approuvent pas particulièrement une méthode de laboratoire pour déterminer l</w:t>
      </w:r>
      <w:r w:rsidR="008E4A6E">
        <w:rPr>
          <w:lang w:val="fr-CH"/>
        </w:rPr>
        <w:t>’</w:t>
      </w:r>
      <w:r w:rsidRPr="002D6FC6">
        <w:rPr>
          <w:lang w:val="fr-CH"/>
        </w:rPr>
        <w:t>identité variétale ou la pureté variéta</w:t>
      </w:r>
      <w:r w:rsidR="00F80F77" w:rsidRPr="002D6FC6">
        <w:rPr>
          <w:lang w:val="fr-CH"/>
        </w:rPr>
        <w:t>le</w:t>
      </w:r>
      <w:r w:rsidR="00F80F77">
        <w:rPr>
          <w:lang w:val="fr-CH"/>
        </w:rPr>
        <w:t xml:space="preserve">.  </w:t>
      </w:r>
      <w:r w:rsidR="00F80F77" w:rsidRPr="002D6FC6">
        <w:rPr>
          <w:lang w:val="fr-CH"/>
        </w:rPr>
        <w:t>Le</w:t>
      </w:r>
      <w:r w:rsidRPr="002D6FC6">
        <w:rPr>
          <w:lang w:val="fr-CH"/>
        </w:rPr>
        <w:t>s méthodes traditionnelles de l</w:t>
      </w:r>
      <w:r w:rsidR="008E4A6E">
        <w:rPr>
          <w:lang w:val="fr-CH"/>
        </w:rPr>
        <w:t>’</w:t>
      </w:r>
      <w:r w:rsidRPr="002D6FC6">
        <w:rPr>
          <w:lang w:val="fr-CH"/>
        </w:rPr>
        <w:t>OCDE consistant à utiliser des techniques d</w:t>
      </w:r>
      <w:r w:rsidR="008E4A6E">
        <w:rPr>
          <w:lang w:val="fr-CH"/>
        </w:rPr>
        <w:t>’</w:t>
      </w:r>
      <w:r w:rsidRPr="002D6FC6">
        <w:rPr>
          <w:lang w:val="fr-CH"/>
        </w:rPr>
        <w:t>inspection sur le terrain, de concert avec des parcelles de contrôles avant et après, doivent être considérées comme les méthodes requises de détermination de l</w:t>
      </w:r>
      <w:r w:rsidR="008E4A6E">
        <w:rPr>
          <w:lang w:val="fr-CH"/>
        </w:rPr>
        <w:t>’</w:t>
      </w:r>
      <w:r w:rsidRPr="002D6FC6">
        <w:rPr>
          <w:lang w:val="fr-CH"/>
        </w:rPr>
        <w:t>identité et de la pureté variétales.</w:t>
      </w:r>
    </w:p>
    <w:p w14:paraId="4F8D7293" w14:textId="77777777" w:rsidR="00FF3EB3" w:rsidRPr="002D6FC6" w:rsidRDefault="00FF3EB3" w:rsidP="00FF3EB3">
      <w:pPr>
        <w:spacing w:line="247" w:lineRule="exact"/>
        <w:rPr>
          <w:lang w:val="fr-CH"/>
        </w:rPr>
      </w:pPr>
    </w:p>
    <w:p w14:paraId="007163F9" w14:textId="4757A10C" w:rsidR="00FF3EB3" w:rsidRPr="002D6FC6" w:rsidRDefault="00FF3EB3" w:rsidP="00FF3EB3">
      <w:pPr>
        <w:ind w:right="102"/>
        <w:rPr>
          <w:lang w:val="fr-CH"/>
        </w:rPr>
      </w:pPr>
      <w:r w:rsidRPr="002D6FC6">
        <w:rPr>
          <w:lang w:val="fr-CH"/>
        </w:rPr>
        <w:t>Toutefois, les Systèmes des semences de l</w:t>
      </w:r>
      <w:r w:rsidR="008E4A6E">
        <w:rPr>
          <w:lang w:val="fr-CH"/>
        </w:rPr>
        <w:t>’</w:t>
      </w:r>
      <w:r w:rsidRPr="002D6FC6">
        <w:rPr>
          <w:lang w:val="fr-CH"/>
        </w:rPr>
        <w:t>OCDE reconnaissent qu</w:t>
      </w:r>
      <w:r w:rsidR="008E4A6E">
        <w:rPr>
          <w:lang w:val="fr-CH"/>
        </w:rPr>
        <w:t>’</w:t>
      </w:r>
      <w:r w:rsidRPr="002D6FC6">
        <w:rPr>
          <w:lang w:val="fr-CH"/>
        </w:rPr>
        <w:t>il existe des cas où ces méthodes traditionnelles limitent la certitude en matière de détermination variétale et que, parfois, les variétés de certaines espèces ne peuvent pas être identifiées avec certitude au moyen de ces méthodes traditionnell</w:t>
      </w:r>
      <w:r w:rsidR="00F80F77" w:rsidRPr="002D6FC6">
        <w:rPr>
          <w:lang w:val="fr-CH"/>
        </w:rPr>
        <w:t>es</w:t>
      </w:r>
      <w:r w:rsidR="00F80F77">
        <w:rPr>
          <w:lang w:val="fr-CH"/>
        </w:rPr>
        <w:t xml:space="preserve">.  </w:t>
      </w:r>
      <w:r w:rsidR="00F80F77" w:rsidRPr="002D6FC6">
        <w:rPr>
          <w:lang w:val="fr-CH"/>
        </w:rPr>
        <w:t>Da</w:t>
      </w:r>
      <w:r w:rsidRPr="002D6FC6">
        <w:rPr>
          <w:lang w:val="fr-CH"/>
        </w:rPr>
        <w:t>ns certaines circonstances particulières, il pourrait être bénéfique d</w:t>
      </w:r>
      <w:r w:rsidR="008E4A6E">
        <w:rPr>
          <w:lang w:val="fr-CH"/>
        </w:rPr>
        <w:t>’</w:t>
      </w:r>
      <w:r w:rsidRPr="002D6FC6">
        <w:rPr>
          <w:lang w:val="fr-CH"/>
        </w:rPr>
        <w:t>utiliser des techniques non basées sur le terrain telles que des techniques biochimiques et moléculaires qui doivent être considérées comme complétant les méthodes plus traditionnelles et non comme remplaçant celles</w:t>
      </w:r>
      <w:r w:rsidR="00ED3D7A">
        <w:rPr>
          <w:lang w:val="fr-CH"/>
        </w:rPr>
        <w:noBreakHyphen/>
      </w:r>
      <w:r w:rsidRPr="002D6FC6">
        <w:rPr>
          <w:lang w:val="fr-CH"/>
        </w:rPr>
        <w:t>ci.</w:t>
      </w:r>
    </w:p>
    <w:p w14:paraId="1914F085" w14:textId="77777777" w:rsidR="00FF3EB3" w:rsidRPr="002D6FC6" w:rsidRDefault="00FF3EB3" w:rsidP="00FF3EB3">
      <w:pPr>
        <w:spacing w:before="8"/>
        <w:rPr>
          <w:lang w:val="fr-CH"/>
        </w:rPr>
      </w:pPr>
    </w:p>
    <w:p w14:paraId="535BE679" w14:textId="141E769E" w:rsidR="00FF3EB3" w:rsidRPr="002D6FC6" w:rsidRDefault="00FF3EB3" w:rsidP="00FF3EB3">
      <w:pPr>
        <w:spacing w:before="1"/>
        <w:rPr>
          <w:b/>
          <w:lang w:val="fr-CH"/>
        </w:rPr>
      </w:pPr>
      <w:r w:rsidRPr="002D6FC6">
        <w:rPr>
          <w:lang w:val="fr-CH"/>
        </w:rPr>
        <w:t>Pour de plus amples informations sur les Systèmes de semences de l</w:t>
      </w:r>
      <w:r w:rsidR="008E4A6E">
        <w:rPr>
          <w:lang w:val="fr-CH"/>
        </w:rPr>
        <w:t>’</w:t>
      </w:r>
      <w:r w:rsidRPr="002D6FC6">
        <w:rPr>
          <w:lang w:val="fr-CH"/>
        </w:rPr>
        <w:t>OCDE, voir</w:t>
      </w:r>
      <w:r w:rsidR="008E4A6E">
        <w:rPr>
          <w:lang w:val="fr-CH"/>
        </w:rPr>
        <w:t> :</w:t>
      </w:r>
      <w:r w:rsidRPr="002D6FC6">
        <w:rPr>
          <w:lang w:val="fr-CH"/>
        </w:rPr>
        <w:t xml:space="preserve"> </w:t>
      </w:r>
      <w:r w:rsidRPr="002D6FC6">
        <w:rPr>
          <w:b/>
          <w:lang w:val="fr-CH"/>
        </w:rPr>
        <w:t>www.oecd.org/tad/seed</w:t>
      </w:r>
    </w:p>
    <w:p w14:paraId="07A5923B" w14:textId="77777777" w:rsidR="00FF3EB3" w:rsidRPr="002D6FC6" w:rsidRDefault="00FF3EB3" w:rsidP="00FF3EB3">
      <w:pPr>
        <w:rPr>
          <w:lang w:val="fr-CH"/>
        </w:rPr>
      </w:pPr>
    </w:p>
    <w:p w14:paraId="75E78A31" w14:textId="77777777" w:rsidR="00FF3EB3" w:rsidRPr="002D6FC6" w:rsidRDefault="00FF3EB3" w:rsidP="00FF3EB3">
      <w:pPr>
        <w:rPr>
          <w:lang w:val="fr-CH"/>
        </w:rPr>
      </w:pPr>
    </w:p>
    <w:p w14:paraId="4EAD72CF" w14:textId="77777777" w:rsidR="00FF3EB3" w:rsidRPr="002D6FC6" w:rsidRDefault="00FF3EB3" w:rsidP="00FF3EB3">
      <w:pPr>
        <w:rPr>
          <w:bCs/>
          <w:u w:val="single"/>
          <w:lang w:val="fr-CH"/>
        </w:rPr>
      </w:pPr>
      <w:r w:rsidRPr="002D6FC6">
        <w:rPr>
          <w:bCs/>
          <w:u w:val="single"/>
          <w:lang w:val="fr-CH"/>
        </w:rPr>
        <w:t>Union internationale pour la protection des obtentions végétales (UPOV)</w:t>
      </w:r>
    </w:p>
    <w:p w14:paraId="6F1A5686" w14:textId="77777777" w:rsidR="00FF3EB3" w:rsidRPr="002D6FC6" w:rsidRDefault="00FF3EB3" w:rsidP="00FF3EB3">
      <w:pPr>
        <w:rPr>
          <w:lang w:val="fr-CH"/>
        </w:rPr>
      </w:pPr>
    </w:p>
    <w:p w14:paraId="60763F06" w14:textId="31F59A4E" w:rsidR="00FF3EB3" w:rsidRPr="002D6FC6" w:rsidRDefault="00FF3EB3" w:rsidP="00FF3EB3">
      <w:pPr>
        <w:rPr>
          <w:lang w:val="fr-CH"/>
        </w:rPr>
      </w:pPr>
      <w:r w:rsidRPr="002D6FC6">
        <w:rPr>
          <w:lang w:val="fr-CH"/>
        </w:rPr>
        <w:t>Type d</w:t>
      </w:r>
      <w:r w:rsidR="008E4A6E">
        <w:rPr>
          <w:lang w:val="fr-CH"/>
        </w:rPr>
        <w:t>’</w:t>
      </w:r>
      <w:r w:rsidRPr="002D6FC6">
        <w:rPr>
          <w:lang w:val="fr-CH"/>
        </w:rPr>
        <w:t>organisation</w:t>
      </w:r>
      <w:r w:rsidR="008E4A6E">
        <w:rPr>
          <w:lang w:val="fr-CH"/>
        </w:rPr>
        <w:t> :</w:t>
      </w:r>
      <w:r w:rsidRPr="002D6FC6">
        <w:rPr>
          <w:lang w:val="fr-CH"/>
        </w:rPr>
        <w:t xml:space="preserve"> intergouvernementale</w:t>
      </w:r>
    </w:p>
    <w:p w14:paraId="335CBC32" w14:textId="77777777" w:rsidR="00FF3EB3" w:rsidRPr="002D6FC6" w:rsidRDefault="00FF3EB3" w:rsidP="00FF3EB3">
      <w:pPr>
        <w:rPr>
          <w:lang w:val="fr-CH"/>
        </w:rPr>
      </w:pPr>
    </w:p>
    <w:p w14:paraId="07AC9D0A" w14:textId="77777777" w:rsidR="00FF3EB3" w:rsidRPr="002D6FC6" w:rsidRDefault="00FF3EB3" w:rsidP="00FF3EB3">
      <w:pPr>
        <w:rPr>
          <w:bCs/>
          <w:lang w:val="fr-CH"/>
        </w:rPr>
      </w:pPr>
      <w:r w:rsidRPr="002D6FC6">
        <w:rPr>
          <w:bCs/>
          <w:lang w:val="fr-CH"/>
        </w:rPr>
        <w:t>Membres</w:t>
      </w:r>
    </w:p>
    <w:p w14:paraId="04113811" w14:textId="529B5B4F" w:rsidR="00FF3EB3" w:rsidRPr="002D6FC6" w:rsidRDefault="00ED3D7A" w:rsidP="00FF3EB3">
      <w:pPr>
        <w:rPr>
          <w:lang w:val="fr-CH"/>
        </w:rPr>
      </w:pPr>
      <w:hyperlink r:id="rId16" w:history="1">
        <w:r w:rsidR="00FF3EB3" w:rsidRPr="002D6FC6">
          <w:rPr>
            <w:rStyle w:val="Hyperlink"/>
            <w:lang w:val="fr-CH"/>
          </w:rPr>
          <w:t>Liste des membres</w:t>
        </w:r>
        <w:r w:rsidR="00FF3EB3" w:rsidRPr="002D6FC6">
          <w:rPr>
            <w:rStyle w:val="Hyperlink"/>
            <w:lang w:val="fr-CH"/>
          </w:rPr>
          <w:t xml:space="preserve"> </w:t>
        </w:r>
        <w:r w:rsidR="00FF3EB3" w:rsidRPr="002D6FC6">
          <w:rPr>
            <w:rStyle w:val="Hyperlink"/>
            <w:lang w:val="fr-CH"/>
          </w:rPr>
          <w:t>de l</w:t>
        </w:r>
        <w:r w:rsidR="008E4A6E">
          <w:rPr>
            <w:rStyle w:val="Hyperlink"/>
            <w:lang w:val="fr-CH"/>
          </w:rPr>
          <w:t>’</w:t>
        </w:r>
        <w:r w:rsidR="00FF3EB3" w:rsidRPr="002D6FC6">
          <w:rPr>
            <w:rStyle w:val="Hyperlink"/>
            <w:lang w:val="fr-CH"/>
          </w:rPr>
          <w:t>UPOV</w:t>
        </w:r>
      </w:hyperlink>
      <w:r w:rsidR="00FF3EB3" w:rsidRPr="002D6FC6">
        <w:rPr>
          <w:lang w:val="fr-CH"/>
        </w:rPr>
        <w:t>/</w:t>
      </w:r>
      <w:hyperlink r:id="rId17" w:history="1">
        <w:r w:rsidR="00FF3EB3" w:rsidRPr="002D6FC6">
          <w:rPr>
            <w:rStyle w:val="Hyperlink"/>
            <w:lang w:val="fr-CH"/>
          </w:rPr>
          <w:t>Situation de l</w:t>
        </w:r>
        <w:r w:rsidR="008E4A6E">
          <w:rPr>
            <w:rStyle w:val="Hyperlink"/>
            <w:lang w:val="fr-CH"/>
          </w:rPr>
          <w:t>’</w:t>
        </w:r>
        <w:r w:rsidR="00FF3EB3" w:rsidRPr="002D6FC6">
          <w:rPr>
            <w:rStyle w:val="Hyperlink"/>
            <w:lang w:val="fr-CH"/>
          </w:rPr>
          <w:t>U</w:t>
        </w:r>
        <w:r w:rsidR="00FF3EB3" w:rsidRPr="002D6FC6">
          <w:rPr>
            <w:rStyle w:val="Hyperlink"/>
            <w:lang w:val="fr-CH"/>
          </w:rPr>
          <w:t>P</w:t>
        </w:r>
        <w:r w:rsidR="00FF3EB3" w:rsidRPr="002D6FC6">
          <w:rPr>
            <w:rStyle w:val="Hyperlink"/>
            <w:lang w:val="fr-CH"/>
          </w:rPr>
          <w:t>OV</w:t>
        </w:r>
      </w:hyperlink>
    </w:p>
    <w:p w14:paraId="23A096D4" w14:textId="77777777" w:rsidR="00FF3EB3" w:rsidRPr="002D6FC6" w:rsidRDefault="00FF3EB3" w:rsidP="00FF3EB3">
      <w:pPr>
        <w:rPr>
          <w:lang w:val="fr-CH"/>
        </w:rPr>
      </w:pPr>
    </w:p>
    <w:p w14:paraId="62C714C3" w14:textId="719B22DA" w:rsidR="00FF3EB3" w:rsidRPr="002D6FC6" w:rsidRDefault="00FF3EB3" w:rsidP="00FF3EB3">
      <w:pPr>
        <w:rPr>
          <w:bCs/>
          <w:i/>
          <w:lang w:val="fr-CH"/>
        </w:rPr>
      </w:pPr>
      <w:r w:rsidRPr="002D6FC6">
        <w:rPr>
          <w:bCs/>
          <w:i/>
          <w:lang w:val="fr-CH"/>
        </w:rPr>
        <w:t>Qu</w:t>
      </w:r>
      <w:r w:rsidR="008E4A6E">
        <w:rPr>
          <w:bCs/>
          <w:i/>
          <w:lang w:val="fr-CH"/>
        </w:rPr>
        <w:t>’</w:t>
      </w:r>
      <w:r w:rsidRPr="002D6FC6">
        <w:rPr>
          <w:bCs/>
          <w:i/>
          <w:lang w:val="fr-CH"/>
        </w:rPr>
        <w:t>est</w:t>
      </w:r>
      <w:r w:rsidR="00ED3D7A">
        <w:rPr>
          <w:bCs/>
          <w:i/>
          <w:lang w:val="fr-CH"/>
        </w:rPr>
        <w:noBreakHyphen/>
      </w:r>
      <w:r w:rsidRPr="002D6FC6">
        <w:rPr>
          <w:bCs/>
          <w:i/>
          <w:lang w:val="fr-CH"/>
        </w:rPr>
        <w:t>ce que l</w:t>
      </w:r>
      <w:r w:rsidR="008E4A6E">
        <w:rPr>
          <w:bCs/>
          <w:i/>
          <w:lang w:val="fr-CH"/>
        </w:rPr>
        <w:t>’</w:t>
      </w:r>
      <w:r w:rsidRPr="002D6FC6">
        <w:rPr>
          <w:bCs/>
          <w:i/>
          <w:lang w:val="fr-CH"/>
        </w:rPr>
        <w:t>UPOV?</w:t>
      </w:r>
    </w:p>
    <w:p w14:paraId="0A745D34" w14:textId="77777777" w:rsidR="00FF3EB3" w:rsidRPr="002D6FC6" w:rsidRDefault="00FF3EB3" w:rsidP="00FF3EB3">
      <w:pPr>
        <w:rPr>
          <w:bCs/>
          <w:lang w:val="fr-CH"/>
        </w:rPr>
      </w:pPr>
    </w:p>
    <w:p w14:paraId="2D2837A2" w14:textId="46311637" w:rsidR="00FF3EB3" w:rsidRPr="002D6FC6" w:rsidRDefault="00FF3EB3" w:rsidP="00FF3EB3">
      <w:pPr>
        <w:rPr>
          <w:lang w:val="fr-CH"/>
        </w:rPr>
      </w:pPr>
      <w:r w:rsidRPr="002D6FC6">
        <w:rPr>
          <w:lang w:val="fr-CH"/>
        </w:rPr>
        <w:t>L</w:t>
      </w:r>
      <w:r w:rsidR="008E4A6E">
        <w:rPr>
          <w:lang w:val="fr-CH"/>
        </w:rPr>
        <w:t>’</w:t>
      </w:r>
      <w:r w:rsidRPr="002D6FC6">
        <w:rPr>
          <w:lang w:val="fr-CH"/>
        </w:rPr>
        <w:t>Union internationale pour la protection des obtentions végétales (UPOV) est une organisation intergouvernementale dont le siège est à Genève (Suisse).  L</w:t>
      </w:r>
      <w:r w:rsidR="008E4A6E">
        <w:rPr>
          <w:lang w:val="fr-CH"/>
        </w:rPr>
        <w:t>’</w:t>
      </w:r>
      <w:r w:rsidRPr="002D6FC6">
        <w:rPr>
          <w:lang w:val="fr-CH"/>
        </w:rPr>
        <w:t>UPOV a été créée en 1961 par la Convention internationale pour la protection des obtentions végétales (la “</w:t>
      </w:r>
      <w:r w:rsidR="008E4A6E">
        <w:rPr>
          <w:lang w:val="fr-CH"/>
        </w:rPr>
        <w:t>Convention UPOV</w:t>
      </w:r>
      <w:r w:rsidRPr="002D6FC6">
        <w:rPr>
          <w:lang w:val="fr-CH"/>
        </w:rPr>
        <w:t>”).</w:t>
      </w:r>
    </w:p>
    <w:p w14:paraId="7AEB0DFA" w14:textId="5573C5A2" w:rsidR="00FF3EB3" w:rsidRPr="002D6FC6" w:rsidRDefault="00FF3EB3" w:rsidP="00FF3EB3">
      <w:pPr>
        <w:rPr>
          <w:lang w:val="fr-CH"/>
        </w:rPr>
      </w:pPr>
      <w:r w:rsidRPr="002D6FC6">
        <w:rPr>
          <w:lang w:val="fr-CH"/>
        </w:rPr>
        <w:t>La mission de l</w:t>
      </w:r>
      <w:r w:rsidR="008E4A6E">
        <w:rPr>
          <w:lang w:val="fr-CH"/>
        </w:rPr>
        <w:t>’</w:t>
      </w:r>
      <w:r w:rsidRPr="002D6FC6">
        <w:rPr>
          <w:lang w:val="fr-CH"/>
        </w:rPr>
        <w:t>UPOV consiste à mettre en place et à promouvoir un système efficace de protection des variétés végétales afin d</w:t>
      </w:r>
      <w:r w:rsidR="008E4A6E">
        <w:rPr>
          <w:lang w:val="fr-CH"/>
        </w:rPr>
        <w:t>’</w:t>
      </w:r>
      <w:r w:rsidRPr="002D6FC6">
        <w:rPr>
          <w:lang w:val="fr-CH"/>
        </w:rPr>
        <w:t>encourager l</w:t>
      </w:r>
      <w:r w:rsidR="008E4A6E">
        <w:rPr>
          <w:lang w:val="fr-CH"/>
        </w:rPr>
        <w:t>’</w:t>
      </w:r>
      <w:r w:rsidRPr="002D6FC6">
        <w:rPr>
          <w:lang w:val="fr-CH"/>
        </w:rPr>
        <w:t>obtention de variétés, dans l</w:t>
      </w:r>
      <w:r w:rsidR="008E4A6E">
        <w:rPr>
          <w:lang w:val="fr-CH"/>
        </w:rPr>
        <w:t>’</w:t>
      </w:r>
      <w:r w:rsidRPr="002D6FC6">
        <w:rPr>
          <w:lang w:val="fr-CH"/>
        </w:rPr>
        <w:t>intérêt de tous.</w:t>
      </w:r>
    </w:p>
    <w:p w14:paraId="26841EA4" w14:textId="570ACF1B" w:rsidR="00FF3EB3" w:rsidRPr="002D6FC6" w:rsidRDefault="00FF3EB3" w:rsidP="00FF3EB3">
      <w:pPr>
        <w:rPr>
          <w:lang w:val="fr-CH"/>
        </w:rPr>
      </w:pPr>
      <w:r w:rsidRPr="002D6FC6">
        <w:rPr>
          <w:lang w:val="fr-CH"/>
        </w:rPr>
        <w:t xml:space="preserve">La </w:t>
      </w:r>
      <w:r w:rsidR="008E4A6E">
        <w:rPr>
          <w:lang w:val="fr-CH"/>
        </w:rPr>
        <w:t>Convention UPOV</w:t>
      </w:r>
      <w:r w:rsidRPr="002D6FC6">
        <w:rPr>
          <w:lang w:val="fr-CH"/>
        </w:rPr>
        <w:t xml:space="preserve"> fournit la base aux membres de l</w:t>
      </w:r>
      <w:r w:rsidR="008E4A6E">
        <w:rPr>
          <w:lang w:val="fr-CH"/>
        </w:rPr>
        <w:t>’</w:t>
      </w:r>
      <w:r w:rsidRPr="002D6FC6">
        <w:rPr>
          <w:lang w:val="fr-CH"/>
        </w:rPr>
        <w:t>Union pour encourager l</w:t>
      </w:r>
      <w:r w:rsidR="008E4A6E">
        <w:rPr>
          <w:lang w:val="fr-CH"/>
        </w:rPr>
        <w:t>’</w:t>
      </w:r>
      <w:r w:rsidRPr="002D6FC6">
        <w:rPr>
          <w:lang w:val="fr-CH"/>
        </w:rPr>
        <w:t>amélioration des plantes en octroyant aux obtenteurs de nouvelles variétés végétales un droit de propriété intellectuelle</w:t>
      </w:r>
      <w:r w:rsidR="008E4A6E">
        <w:rPr>
          <w:lang w:val="fr-CH"/>
        </w:rPr>
        <w:t> :</w:t>
      </w:r>
      <w:r w:rsidRPr="002D6FC6">
        <w:rPr>
          <w:lang w:val="fr-CH"/>
        </w:rPr>
        <w:t xml:space="preserve"> le droit d</w:t>
      </w:r>
      <w:r w:rsidR="008E4A6E">
        <w:rPr>
          <w:lang w:val="fr-CH"/>
        </w:rPr>
        <w:t>’</w:t>
      </w:r>
      <w:r w:rsidRPr="002D6FC6">
        <w:rPr>
          <w:lang w:val="fr-CH"/>
        </w:rPr>
        <w:t>obtenteur.</w:t>
      </w:r>
    </w:p>
    <w:p w14:paraId="359845EE" w14:textId="77777777" w:rsidR="00FF3EB3" w:rsidRPr="002D6FC6" w:rsidRDefault="00FF3EB3" w:rsidP="00FF3EB3">
      <w:pPr>
        <w:rPr>
          <w:lang w:val="fr-CH"/>
        </w:rPr>
      </w:pPr>
    </w:p>
    <w:p w14:paraId="2DBF98D3" w14:textId="382B8C3B" w:rsidR="00FF3EB3" w:rsidRPr="002D6FC6" w:rsidRDefault="00FF3EB3" w:rsidP="00FF3EB3">
      <w:pPr>
        <w:rPr>
          <w:bCs/>
          <w:i/>
          <w:lang w:val="fr-CH"/>
        </w:rPr>
      </w:pPr>
      <w:r w:rsidRPr="002D6FC6">
        <w:rPr>
          <w:bCs/>
          <w:i/>
          <w:lang w:val="fr-CH"/>
        </w:rPr>
        <w:t>Que fait l</w:t>
      </w:r>
      <w:r w:rsidR="008E4A6E">
        <w:rPr>
          <w:bCs/>
          <w:i/>
          <w:lang w:val="fr-CH"/>
        </w:rPr>
        <w:t>’</w:t>
      </w:r>
      <w:r w:rsidRPr="002D6FC6">
        <w:rPr>
          <w:bCs/>
          <w:i/>
          <w:lang w:val="fr-CH"/>
        </w:rPr>
        <w:t>UPOV?</w:t>
      </w:r>
    </w:p>
    <w:p w14:paraId="2A569691" w14:textId="77777777" w:rsidR="00FF3EB3" w:rsidRPr="002D6FC6" w:rsidRDefault="00FF3EB3" w:rsidP="00FF3EB3">
      <w:pPr>
        <w:rPr>
          <w:bCs/>
          <w:lang w:val="fr-CH"/>
        </w:rPr>
      </w:pPr>
    </w:p>
    <w:p w14:paraId="56DB1031" w14:textId="1A26827A" w:rsidR="00FF3EB3" w:rsidRPr="002D6FC6" w:rsidRDefault="00FF3EB3" w:rsidP="00FF3EB3">
      <w:pPr>
        <w:rPr>
          <w:lang w:val="fr-CH"/>
        </w:rPr>
      </w:pPr>
      <w:r w:rsidRPr="002D6FC6">
        <w:rPr>
          <w:lang w:val="fr-CH"/>
        </w:rPr>
        <w:t>L</w:t>
      </w:r>
      <w:r w:rsidR="008E4A6E">
        <w:rPr>
          <w:lang w:val="fr-CH"/>
        </w:rPr>
        <w:t>’</w:t>
      </w:r>
      <w:r w:rsidRPr="002D6FC6">
        <w:rPr>
          <w:lang w:val="fr-CH"/>
        </w:rPr>
        <w:t>UPOV a pour mission de mettre en place et promouvoir un système efficace de protection des variétés végétales afin d</w:t>
      </w:r>
      <w:r w:rsidR="008E4A6E">
        <w:rPr>
          <w:lang w:val="fr-CH"/>
        </w:rPr>
        <w:t>’</w:t>
      </w:r>
      <w:r w:rsidRPr="002D6FC6">
        <w:rPr>
          <w:lang w:val="fr-CH"/>
        </w:rPr>
        <w:t>encourager l</w:t>
      </w:r>
      <w:r w:rsidR="008E4A6E">
        <w:rPr>
          <w:lang w:val="fr-CH"/>
        </w:rPr>
        <w:t>’</w:t>
      </w:r>
      <w:r w:rsidRPr="002D6FC6">
        <w:rPr>
          <w:lang w:val="fr-CH"/>
        </w:rPr>
        <w:t>obtention de variétés dans l</w:t>
      </w:r>
      <w:r w:rsidR="008E4A6E">
        <w:rPr>
          <w:lang w:val="fr-CH"/>
        </w:rPr>
        <w:t>’</w:t>
      </w:r>
      <w:r w:rsidRPr="002D6FC6">
        <w:rPr>
          <w:lang w:val="fr-CH"/>
        </w:rPr>
        <w:t>intérêt de to</w:t>
      </w:r>
      <w:r w:rsidR="00F80F77" w:rsidRPr="002D6FC6">
        <w:rPr>
          <w:lang w:val="fr-CH"/>
        </w:rPr>
        <w:t>us</w:t>
      </w:r>
      <w:r w:rsidR="00F80F77">
        <w:rPr>
          <w:lang w:val="fr-CH"/>
        </w:rPr>
        <w:t xml:space="preserve">.  </w:t>
      </w:r>
      <w:r w:rsidR="00F80F77" w:rsidRPr="002D6FC6">
        <w:rPr>
          <w:lang w:val="fr-CH"/>
        </w:rPr>
        <w:t>Co</w:t>
      </w:r>
      <w:r w:rsidRPr="002D6FC6">
        <w:rPr>
          <w:lang w:val="fr-CH"/>
        </w:rPr>
        <w:t xml:space="preserve">nformément à la </w:t>
      </w:r>
      <w:r w:rsidR="008E4A6E">
        <w:rPr>
          <w:lang w:val="fr-CH"/>
        </w:rPr>
        <w:t>Convention UPOV</w:t>
      </w:r>
      <w:r w:rsidRPr="002D6FC6">
        <w:rPr>
          <w:lang w:val="fr-CH"/>
        </w:rPr>
        <w:t>, l</w:t>
      </w:r>
      <w:r w:rsidR="008E4A6E">
        <w:rPr>
          <w:lang w:val="fr-CH"/>
        </w:rPr>
        <w:t>’</w:t>
      </w:r>
      <w:r w:rsidRPr="002D6FC6">
        <w:rPr>
          <w:lang w:val="fr-CH"/>
        </w:rPr>
        <w:t>Union a pour principaux objectifs</w:t>
      </w:r>
      <w:r w:rsidR="008E4A6E">
        <w:rPr>
          <w:lang w:val="fr-CH"/>
        </w:rPr>
        <w:t> :</w:t>
      </w:r>
    </w:p>
    <w:p w14:paraId="2D0907A3" w14:textId="429C2743" w:rsidR="00FF3EB3" w:rsidRPr="002D6FC6" w:rsidRDefault="00FF3EB3" w:rsidP="00FF3EB3">
      <w:pPr>
        <w:numPr>
          <w:ilvl w:val="0"/>
          <w:numId w:val="10"/>
        </w:numPr>
        <w:tabs>
          <w:tab w:val="clear" w:pos="720"/>
          <w:tab w:val="num" w:pos="1134"/>
        </w:tabs>
        <w:ind w:left="1134" w:hanging="567"/>
        <w:rPr>
          <w:lang w:val="fr-CH"/>
        </w:rPr>
      </w:pPr>
      <w:proofErr w:type="gramStart"/>
      <w:r w:rsidRPr="002D6FC6">
        <w:rPr>
          <w:lang w:val="fr-CH"/>
        </w:rPr>
        <w:t>de</w:t>
      </w:r>
      <w:proofErr w:type="gramEnd"/>
      <w:r w:rsidRPr="002D6FC6">
        <w:rPr>
          <w:lang w:val="fr-CH"/>
        </w:rPr>
        <w:t xml:space="preserve"> mettre en place et de perfectionner la base juridique, administrative et technique d</w:t>
      </w:r>
      <w:r w:rsidR="008E4A6E">
        <w:rPr>
          <w:lang w:val="fr-CH"/>
        </w:rPr>
        <w:t>’</w:t>
      </w:r>
      <w:r w:rsidRPr="002D6FC6">
        <w:rPr>
          <w:lang w:val="fr-CH"/>
        </w:rPr>
        <w:t>une coopération internationale en matière de protection des obtentions végétales;</w:t>
      </w:r>
    </w:p>
    <w:p w14:paraId="4E76B7E7" w14:textId="03CAEA1B" w:rsidR="00FF3EB3" w:rsidRPr="002D6FC6" w:rsidRDefault="00FF3EB3" w:rsidP="00FF3EB3">
      <w:pPr>
        <w:numPr>
          <w:ilvl w:val="0"/>
          <w:numId w:val="10"/>
        </w:numPr>
        <w:tabs>
          <w:tab w:val="clear" w:pos="720"/>
          <w:tab w:val="num" w:pos="1134"/>
        </w:tabs>
        <w:ind w:left="1134" w:hanging="567"/>
        <w:rPr>
          <w:lang w:val="fr-CH"/>
        </w:rPr>
      </w:pPr>
      <w:proofErr w:type="gramStart"/>
      <w:r w:rsidRPr="002D6FC6">
        <w:rPr>
          <w:lang w:val="fr-CH"/>
        </w:rPr>
        <w:t>d</w:t>
      </w:r>
      <w:r w:rsidR="008E4A6E">
        <w:rPr>
          <w:lang w:val="fr-CH"/>
        </w:rPr>
        <w:t>’</w:t>
      </w:r>
      <w:r w:rsidRPr="002D6FC6">
        <w:rPr>
          <w:lang w:val="fr-CH"/>
        </w:rPr>
        <w:t>aider</w:t>
      </w:r>
      <w:proofErr w:type="gramEnd"/>
      <w:r w:rsidRPr="002D6FC6">
        <w:rPr>
          <w:lang w:val="fr-CH"/>
        </w:rPr>
        <w:t xml:space="preserve"> les États et les organisations à établir des lois et mettre en œuvre un système efficace de protection des variétés végétales;  et</w:t>
      </w:r>
    </w:p>
    <w:p w14:paraId="3B7A01E5" w14:textId="4C921412" w:rsidR="00FF3EB3" w:rsidRPr="002D6FC6" w:rsidRDefault="00FF3EB3" w:rsidP="00FF3EB3">
      <w:pPr>
        <w:numPr>
          <w:ilvl w:val="0"/>
          <w:numId w:val="10"/>
        </w:numPr>
        <w:tabs>
          <w:tab w:val="clear" w:pos="720"/>
          <w:tab w:val="num" w:pos="1134"/>
        </w:tabs>
        <w:ind w:left="1134" w:hanging="567"/>
        <w:rPr>
          <w:lang w:val="fr-CH"/>
        </w:rPr>
      </w:pPr>
      <w:proofErr w:type="gramStart"/>
      <w:r w:rsidRPr="002D6FC6">
        <w:rPr>
          <w:lang w:val="fr-CH"/>
        </w:rPr>
        <w:t>de</w:t>
      </w:r>
      <w:proofErr w:type="gramEnd"/>
      <w:r w:rsidRPr="002D6FC6">
        <w:rPr>
          <w:lang w:val="fr-CH"/>
        </w:rPr>
        <w:t xml:space="preserve"> renforcer la sensibilité et la compréhension du public </w:t>
      </w:r>
      <w:r w:rsidR="008E4A6E">
        <w:rPr>
          <w:lang w:val="fr-CH"/>
        </w:rPr>
        <w:t>à l’égard</w:t>
      </w:r>
      <w:r w:rsidRPr="002D6FC6">
        <w:rPr>
          <w:lang w:val="fr-CH"/>
        </w:rPr>
        <w:t xml:space="preserve"> du système UPOV de protection des variétés végétales.</w:t>
      </w:r>
    </w:p>
    <w:p w14:paraId="52A77406" w14:textId="77777777" w:rsidR="00FF3EB3" w:rsidRPr="002D6FC6" w:rsidRDefault="00FF3EB3" w:rsidP="00FF3EB3">
      <w:pPr>
        <w:rPr>
          <w:lang w:val="fr-CH"/>
        </w:rPr>
      </w:pPr>
    </w:p>
    <w:p w14:paraId="7D1AEF1B" w14:textId="663FFB8A" w:rsidR="00FF3EB3" w:rsidRPr="002D6FC6" w:rsidRDefault="00FF3EB3" w:rsidP="00FF3EB3">
      <w:pPr>
        <w:rPr>
          <w:bCs/>
          <w:i/>
          <w:lang w:val="fr-CH"/>
        </w:rPr>
      </w:pPr>
      <w:r w:rsidRPr="002D6FC6">
        <w:rPr>
          <w:bCs/>
          <w:i/>
          <w:lang w:val="fr-CH"/>
        </w:rPr>
        <w:t>Quels sont les avantages de la protection des obtentions végétales et de l</w:t>
      </w:r>
      <w:r w:rsidR="008E4A6E">
        <w:rPr>
          <w:bCs/>
          <w:i/>
          <w:lang w:val="fr-CH"/>
        </w:rPr>
        <w:t>’</w:t>
      </w:r>
      <w:r w:rsidRPr="002D6FC6">
        <w:rPr>
          <w:bCs/>
          <w:i/>
          <w:lang w:val="fr-CH"/>
        </w:rPr>
        <w:t>adhésion à l</w:t>
      </w:r>
      <w:r w:rsidR="008E4A6E">
        <w:rPr>
          <w:bCs/>
          <w:i/>
          <w:lang w:val="fr-CH"/>
        </w:rPr>
        <w:t>’</w:t>
      </w:r>
      <w:r w:rsidRPr="002D6FC6">
        <w:rPr>
          <w:bCs/>
          <w:i/>
          <w:lang w:val="fr-CH"/>
        </w:rPr>
        <w:t>UPOV?</w:t>
      </w:r>
    </w:p>
    <w:p w14:paraId="0D53D25A" w14:textId="77777777" w:rsidR="00FF3EB3" w:rsidRPr="002D6FC6" w:rsidRDefault="00FF3EB3" w:rsidP="00FF3EB3">
      <w:pPr>
        <w:rPr>
          <w:bCs/>
          <w:lang w:val="fr-CH"/>
        </w:rPr>
      </w:pPr>
    </w:p>
    <w:p w14:paraId="63B97DC4" w14:textId="5B88C6BB" w:rsidR="00FF3EB3" w:rsidRPr="002D6FC6" w:rsidRDefault="00FF3EB3" w:rsidP="00FF3EB3">
      <w:pPr>
        <w:rPr>
          <w:lang w:val="fr-CH"/>
        </w:rPr>
      </w:pPr>
      <w:r w:rsidRPr="002D6FC6">
        <w:rPr>
          <w:lang w:val="fr-CH"/>
        </w:rPr>
        <w:t>Le rapport de l</w:t>
      </w:r>
      <w:r w:rsidR="008E4A6E">
        <w:rPr>
          <w:lang w:val="fr-CH"/>
        </w:rPr>
        <w:t>’</w:t>
      </w:r>
      <w:r w:rsidRPr="002D6FC6">
        <w:rPr>
          <w:lang w:val="fr-CH"/>
        </w:rPr>
        <w:t>UPOV sur l</w:t>
      </w:r>
      <w:r w:rsidR="008E4A6E">
        <w:rPr>
          <w:lang w:val="fr-CH"/>
        </w:rPr>
        <w:t>’</w:t>
      </w:r>
      <w:r w:rsidRPr="002D6FC6">
        <w:rPr>
          <w:lang w:val="fr-CH"/>
        </w:rPr>
        <w:t xml:space="preserve">impact de la protection des obtentions végétales a clairement démontré que, pour tirer pleinement parti des avantages de la protection des obtentions végétales, il est important à la fois de mettre en œuvre la </w:t>
      </w:r>
      <w:r w:rsidR="008E4A6E">
        <w:rPr>
          <w:lang w:val="fr-CH"/>
        </w:rPr>
        <w:t>Convention UPOV</w:t>
      </w:r>
      <w:r w:rsidRPr="002D6FC6">
        <w:rPr>
          <w:lang w:val="fr-CH"/>
        </w:rPr>
        <w:t xml:space="preserve"> et d</w:t>
      </w:r>
      <w:r w:rsidR="008E4A6E">
        <w:rPr>
          <w:lang w:val="fr-CH"/>
        </w:rPr>
        <w:t>’</w:t>
      </w:r>
      <w:r w:rsidRPr="002D6FC6">
        <w:rPr>
          <w:lang w:val="fr-CH"/>
        </w:rPr>
        <w:t>être membre de l</w:t>
      </w:r>
      <w:r w:rsidR="008E4A6E">
        <w:rPr>
          <w:lang w:val="fr-CH"/>
        </w:rPr>
        <w:t>’</w:t>
      </w:r>
      <w:r w:rsidRPr="002D6FC6">
        <w:rPr>
          <w:lang w:val="fr-CH"/>
        </w:rPr>
        <w:t>Uni</w:t>
      </w:r>
      <w:r w:rsidR="00F80F77" w:rsidRPr="002D6FC6">
        <w:rPr>
          <w:lang w:val="fr-CH"/>
        </w:rPr>
        <w:t>on</w:t>
      </w:r>
      <w:r w:rsidR="00F80F77">
        <w:rPr>
          <w:lang w:val="fr-CH"/>
        </w:rPr>
        <w:t xml:space="preserve">.  </w:t>
      </w:r>
      <w:r w:rsidR="00F80F77" w:rsidRPr="002D6FC6">
        <w:rPr>
          <w:lang w:val="fr-CH"/>
        </w:rPr>
        <w:t>Il</w:t>
      </w:r>
      <w:r w:rsidRPr="002D6FC6">
        <w:rPr>
          <w:lang w:val="fr-CH"/>
        </w:rPr>
        <w:t xml:space="preserve"> a été estimé que la mise en place du système de protection des obtentions végétales de l</w:t>
      </w:r>
      <w:r w:rsidR="008E4A6E">
        <w:rPr>
          <w:lang w:val="fr-CH"/>
        </w:rPr>
        <w:t>’</w:t>
      </w:r>
      <w:r w:rsidRPr="002D6FC6">
        <w:rPr>
          <w:lang w:val="fr-CH"/>
        </w:rPr>
        <w:t>UPOV et l</w:t>
      </w:r>
      <w:r w:rsidR="008E4A6E">
        <w:rPr>
          <w:lang w:val="fr-CH"/>
        </w:rPr>
        <w:t>’</w:t>
      </w:r>
      <w:r w:rsidRPr="002D6FC6">
        <w:rPr>
          <w:lang w:val="fr-CH"/>
        </w:rPr>
        <w:t>adhésion à l</w:t>
      </w:r>
      <w:r w:rsidR="008E4A6E">
        <w:rPr>
          <w:lang w:val="fr-CH"/>
        </w:rPr>
        <w:t>’</w:t>
      </w:r>
      <w:r w:rsidRPr="002D6FC6">
        <w:rPr>
          <w:lang w:val="fr-CH"/>
        </w:rPr>
        <w:t>Union ont pour effet</w:t>
      </w:r>
      <w:r w:rsidR="008E4A6E">
        <w:rPr>
          <w:lang w:val="fr-CH"/>
        </w:rPr>
        <w:t> :</w:t>
      </w:r>
    </w:p>
    <w:p w14:paraId="5E1AB572" w14:textId="77777777" w:rsidR="00FF3EB3" w:rsidRPr="002D6FC6" w:rsidRDefault="00FF3EB3" w:rsidP="00FF3EB3">
      <w:pPr>
        <w:rPr>
          <w:lang w:val="fr-CH"/>
        </w:rPr>
      </w:pPr>
    </w:p>
    <w:p w14:paraId="41AFD02C" w14:textId="4C0FE75F" w:rsidR="00FF3EB3" w:rsidRPr="002D6FC6" w:rsidRDefault="00FF3EB3" w:rsidP="00FF3EB3">
      <w:pPr>
        <w:rPr>
          <w:lang w:val="fr-CH"/>
        </w:rPr>
      </w:pPr>
      <w:r w:rsidRPr="002D6FC6">
        <w:rPr>
          <w:lang w:val="fr-CH"/>
        </w:rPr>
        <w:t>a) de renforcer les activités d</w:t>
      </w:r>
      <w:r w:rsidR="008E4A6E">
        <w:rPr>
          <w:lang w:val="fr-CH"/>
        </w:rPr>
        <w:t>’</w:t>
      </w:r>
      <w:r w:rsidRPr="002D6FC6">
        <w:rPr>
          <w:lang w:val="fr-CH"/>
        </w:rPr>
        <w:t>amélioration des plantes;</w:t>
      </w:r>
    </w:p>
    <w:p w14:paraId="10D20832" w14:textId="77777777" w:rsidR="00FF3EB3" w:rsidRPr="002D6FC6" w:rsidRDefault="00FF3EB3" w:rsidP="00FF3EB3">
      <w:pPr>
        <w:rPr>
          <w:lang w:val="fr-CH"/>
        </w:rPr>
      </w:pPr>
      <w:r w:rsidRPr="002D6FC6">
        <w:rPr>
          <w:lang w:val="fr-CH"/>
        </w:rPr>
        <w:t>b) de donner accès à des variétés améliorées;</w:t>
      </w:r>
    </w:p>
    <w:p w14:paraId="64912254" w14:textId="48876801" w:rsidR="00FF3EB3" w:rsidRPr="002D6FC6" w:rsidRDefault="00FF3EB3" w:rsidP="00FF3EB3">
      <w:pPr>
        <w:rPr>
          <w:lang w:val="fr-CH"/>
        </w:rPr>
      </w:pPr>
      <w:r w:rsidRPr="002D6FC6">
        <w:rPr>
          <w:lang w:val="fr-CH"/>
        </w:rPr>
        <w:t>c) d</w:t>
      </w:r>
      <w:r w:rsidR="008E4A6E">
        <w:rPr>
          <w:lang w:val="fr-CH"/>
        </w:rPr>
        <w:t>’</w:t>
      </w:r>
      <w:r w:rsidRPr="002D6FC6">
        <w:rPr>
          <w:lang w:val="fr-CH"/>
        </w:rPr>
        <w:t>augmenter le nombre de nouvelles variétés;</w:t>
      </w:r>
    </w:p>
    <w:p w14:paraId="2EDEEB40" w14:textId="6005B7A1" w:rsidR="00FF3EB3" w:rsidRPr="002D6FC6" w:rsidRDefault="00FF3EB3" w:rsidP="00FF3EB3">
      <w:pPr>
        <w:rPr>
          <w:lang w:val="fr-CH"/>
        </w:rPr>
      </w:pPr>
      <w:r w:rsidRPr="002D6FC6">
        <w:rPr>
          <w:lang w:val="fr-CH"/>
        </w:rPr>
        <w:t>d) de contribuer à la diversification des types d</w:t>
      </w:r>
      <w:r w:rsidR="008E4A6E">
        <w:rPr>
          <w:lang w:val="fr-CH"/>
        </w:rPr>
        <w:t>’</w:t>
      </w:r>
      <w:r w:rsidRPr="002D6FC6">
        <w:rPr>
          <w:lang w:val="fr-CH"/>
        </w:rPr>
        <w:t>obtenteurs (particuliers, chercheurs);</w:t>
      </w:r>
    </w:p>
    <w:p w14:paraId="38F3BDF5" w14:textId="1BA618E5" w:rsidR="00FF3EB3" w:rsidRPr="002D6FC6" w:rsidRDefault="00FF3EB3" w:rsidP="00FF3EB3">
      <w:pPr>
        <w:rPr>
          <w:lang w:val="fr-CH"/>
        </w:rPr>
      </w:pPr>
      <w:r w:rsidRPr="002D6FC6">
        <w:rPr>
          <w:lang w:val="fr-CH"/>
        </w:rPr>
        <w:t>e) d</w:t>
      </w:r>
      <w:r w:rsidR="008E4A6E">
        <w:rPr>
          <w:lang w:val="fr-CH"/>
        </w:rPr>
        <w:t>’</w:t>
      </w:r>
      <w:r w:rsidRPr="002D6FC6">
        <w:rPr>
          <w:lang w:val="fr-CH"/>
        </w:rPr>
        <w:t>augmenter le nombre de nouvelles variétés étrangères;</w:t>
      </w:r>
    </w:p>
    <w:p w14:paraId="79CB3352" w14:textId="358E9FCA" w:rsidR="00FF3EB3" w:rsidRPr="002D6FC6" w:rsidRDefault="00FF3EB3" w:rsidP="00FF3EB3">
      <w:pPr>
        <w:rPr>
          <w:lang w:val="fr-CH"/>
        </w:rPr>
      </w:pPr>
      <w:r w:rsidRPr="002D6FC6">
        <w:rPr>
          <w:lang w:val="fr-CH"/>
        </w:rPr>
        <w:t>f) d</w:t>
      </w:r>
      <w:r w:rsidR="008E4A6E">
        <w:rPr>
          <w:lang w:val="fr-CH"/>
        </w:rPr>
        <w:t>’</w:t>
      </w:r>
      <w:r w:rsidRPr="002D6FC6">
        <w:rPr>
          <w:lang w:val="fr-CH"/>
        </w:rPr>
        <w:t xml:space="preserve">encourager une nouvelle compétitivité des entreprises sur les marchés </w:t>
      </w:r>
      <w:proofErr w:type="gramStart"/>
      <w:r w:rsidRPr="002D6FC6">
        <w:rPr>
          <w:lang w:val="fr-CH"/>
        </w:rPr>
        <w:t>étrangers;  et</w:t>
      </w:r>
      <w:proofErr w:type="gramEnd"/>
    </w:p>
    <w:p w14:paraId="037CD065" w14:textId="61EFD59B" w:rsidR="00FF3EB3" w:rsidRPr="002D6FC6" w:rsidRDefault="00FF3EB3" w:rsidP="00FF3EB3">
      <w:pPr>
        <w:rPr>
          <w:lang w:val="fr-CH"/>
        </w:rPr>
      </w:pPr>
      <w:r w:rsidRPr="002D6FC6">
        <w:rPr>
          <w:lang w:val="fr-CH"/>
        </w:rPr>
        <w:t>g) de favoriser l</w:t>
      </w:r>
      <w:r w:rsidR="008E4A6E">
        <w:rPr>
          <w:lang w:val="fr-CH"/>
        </w:rPr>
        <w:t>’</w:t>
      </w:r>
      <w:r w:rsidRPr="002D6FC6">
        <w:rPr>
          <w:lang w:val="fr-CH"/>
        </w:rPr>
        <w:t>accès aux variétés végétales étrangères et d</w:t>
      </w:r>
      <w:r w:rsidR="008E4A6E">
        <w:rPr>
          <w:lang w:val="fr-CH"/>
        </w:rPr>
        <w:t>’</w:t>
      </w:r>
      <w:r w:rsidRPr="002D6FC6">
        <w:rPr>
          <w:lang w:val="fr-CH"/>
        </w:rPr>
        <w:t>améliorer les programmes de sélection nationaux.</w:t>
      </w:r>
    </w:p>
    <w:p w14:paraId="6653730E" w14:textId="5781D3E4" w:rsidR="00FF3EB3" w:rsidRPr="002D6FC6" w:rsidRDefault="00FF3EB3" w:rsidP="00FF3EB3">
      <w:pPr>
        <w:rPr>
          <w:lang w:val="fr-CH"/>
        </w:rPr>
      </w:pPr>
      <w:r w:rsidRPr="002D6FC6">
        <w:rPr>
          <w:lang w:val="fr-CH"/>
        </w:rPr>
        <w:t>L</w:t>
      </w:r>
      <w:r w:rsidR="008E4A6E">
        <w:rPr>
          <w:lang w:val="fr-CH"/>
        </w:rPr>
        <w:t>’</w:t>
      </w:r>
      <w:r w:rsidRPr="002D6FC6">
        <w:rPr>
          <w:lang w:val="fr-CH"/>
        </w:rPr>
        <w:t>adhésion à l</w:t>
      </w:r>
      <w:r w:rsidR="008E4A6E">
        <w:rPr>
          <w:lang w:val="fr-CH"/>
        </w:rPr>
        <w:t>’</w:t>
      </w:r>
      <w:r w:rsidRPr="002D6FC6">
        <w:rPr>
          <w:lang w:val="fr-CH"/>
        </w:rPr>
        <w:t>UPOV requiert l</w:t>
      </w:r>
      <w:r w:rsidR="008E4A6E">
        <w:rPr>
          <w:lang w:val="fr-CH"/>
        </w:rPr>
        <w:t>’</w:t>
      </w:r>
      <w:r w:rsidRPr="002D6FC6">
        <w:rPr>
          <w:lang w:val="fr-CH"/>
        </w:rPr>
        <w:t>avis du Conseil de l</w:t>
      </w:r>
      <w:r w:rsidR="008E4A6E">
        <w:rPr>
          <w:lang w:val="fr-CH"/>
        </w:rPr>
        <w:t>’</w:t>
      </w:r>
      <w:r w:rsidRPr="002D6FC6">
        <w:rPr>
          <w:lang w:val="fr-CH"/>
        </w:rPr>
        <w:t>UPOV quant à la conformité de la législation d</w:t>
      </w:r>
      <w:r w:rsidR="008E4A6E">
        <w:rPr>
          <w:lang w:val="fr-CH"/>
        </w:rPr>
        <w:t>’</w:t>
      </w:r>
      <w:r w:rsidRPr="002D6FC6">
        <w:rPr>
          <w:lang w:val="fr-CH"/>
        </w:rPr>
        <w:t xml:space="preserve">un futur membre avec les dispositions de la </w:t>
      </w:r>
      <w:r w:rsidR="008E4A6E">
        <w:rPr>
          <w:lang w:val="fr-CH"/>
        </w:rPr>
        <w:t>Convention U</w:t>
      </w:r>
      <w:r w:rsidR="00F80F77">
        <w:rPr>
          <w:lang w:val="fr-CH"/>
        </w:rPr>
        <w:t>POV</w:t>
      </w:r>
      <w:r w:rsidR="00F80F77">
        <w:rPr>
          <w:lang w:val="fr-CH"/>
        </w:rPr>
        <w:t xml:space="preserve">.  </w:t>
      </w:r>
      <w:r w:rsidR="00F80F77" w:rsidRPr="002D6FC6">
        <w:rPr>
          <w:lang w:val="fr-CH"/>
        </w:rPr>
        <w:t>Ce</w:t>
      </w:r>
      <w:r w:rsidRPr="002D6FC6">
        <w:rPr>
          <w:lang w:val="fr-CH"/>
        </w:rPr>
        <w:t>tte procédure entraîne à elle</w:t>
      </w:r>
      <w:r w:rsidR="00ED3D7A">
        <w:rPr>
          <w:lang w:val="fr-CH"/>
        </w:rPr>
        <w:noBreakHyphen/>
      </w:r>
      <w:r w:rsidRPr="002D6FC6">
        <w:rPr>
          <w:lang w:val="fr-CH"/>
        </w:rPr>
        <w:t>même un haut degré d</w:t>
      </w:r>
      <w:r w:rsidR="008E4A6E">
        <w:rPr>
          <w:lang w:val="fr-CH"/>
        </w:rPr>
        <w:t>’</w:t>
      </w:r>
      <w:r w:rsidRPr="002D6FC6">
        <w:rPr>
          <w:lang w:val="fr-CH"/>
        </w:rPr>
        <w:t>harmonie dans les législations, facilitant ainsi la coopération entre les membres dans la mise en œuvre du système.</w:t>
      </w:r>
    </w:p>
    <w:p w14:paraId="2A71BB0D" w14:textId="77777777" w:rsidR="00FF3EB3" w:rsidRPr="002D6FC6" w:rsidRDefault="00FF3EB3" w:rsidP="00FF3EB3">
      <w:pPr>
        <w:keepNext/>
        <w:rPr>
          <w:i/>
          <w:lang w:val="fr-CH"/>
        </w:rPr>
      </w:pPr>
    </w:p>
    <w:p w14:paraId="6821A8D4" w14:textId="1E68AEF5" w:rsidR="00FF3EB3" w:rsidRPr="002D6FC6" w:rsidRDefault="00FF3EB3" w:rsidP="00FF3EB3">
      <w:pPr>
        <w:keepNext/>
        <w:rPr>
          <w:i/>
          <w:lang w:val="fr-CH"/>
        </w:rPr>
      </w:pPr>
      <w:r w:rsidRPr="002D6FC6">
        <w:rPr>
          <w:i/>
          <w:lang w:val="fr-CH"/>
        </w:rPr>
        <w:t>L</w:t>
      </w:r>
      <w:r w:rsidR="008E4A6E">
        <w:rPr>
          <w:i/>
          <w:lang w:val="fr-CH"/>
        </w:rPr>
        <w:t>’</w:t>
      </w:r>
      <w:r w:rsidRPr="002D6FC6">
        <w:rPr>
          <w:i/>
          <w:lang w:val="fr-CH"/>
        </w:rPr>
        <w:t>UPOV autorise</w:t>
      </w:r>
      <w:r w:rsidR="00ED3D7A">
        <w:rPr>
          <w:i/>
          <w:lang w:val="fr-CH"/>
        </w:rPr>
        <w:noBreakHyphen/>
      </w:r>
      <w:r w:rsidRPr="002D6FC6">
        <w:rPr>
          <w:i/>
          <w:lang w:val="fr-CH"/>
        </w:rPr>
        <w:t>t</w:t>
      </w:r>
      <w:r w:rsidR="00ED3D7A">
        <w:rPr>
          <w:i/>
          <w:lang w:val="fr-CH"/>
        </w:rPr>
        <w:noBreakHyphen/>
      </w:r>
      <w:r w:rsidRPr="002D6FC6">
        <w:rPr>
          <w:i/>
          <w:lang w:val="fr-CH"/>
        </w:rPr>
        <w:t>elle l</w:t>
      </w:r>
      <w:r w:rsidR="008E4A6E">
        <w:rPr>
          <w:i/>
          <w:lang w:val="fr-CH"/>
        </w:rPr>
        <w:t>’</w:t>
      </w:r>
      <w:r w:rsidRPr="002D6FC6">
        <w:rPr>
          <w:i/>
          <w:lang w:val="fr-CH"/>
        </w:rPr>
        <w:t>utilisation de données biochimiques ou moléculaires dans le cadre de l</w:t>
      </w:r>
      <w:r w:rsidR="008E4A6E">
        <w:rPr>
          <w:i/>
          <w:lang w:val="fr-CH"/>
        </w:rPr>
        <w:t>’</w:t>
      </w:r>
      <w:r w:rsidRPr="002D6FC6">
        <w:rPr>
          <w:i/>
          <w:lang w:val="fr-CH"/>
        </w:rPr>
        <w:t>examen DHS?</w:t>
      </w:r>
    </w:p>
    <w:p w14:paraId="6E56B550" w14:textId="77777777" w:rsidR="00FF3EB3" w:rsidRPr="002D6FC6" w:rsidRDefault="00FF3EB3" w:rsidP="00FF3EB3">
      <w:pPr>
        <w:keepNext/>
        <w:rPr>
          <w:lang w:val="fr-CH"/>
        </w:rPr>
      </w:pPr>
    </w:p>
    <w:p w14:paraId="0F76B846" w14:textId="1B776E8A" w:rsidR="00FF3EB3" w:rsidRPr="002D6FC6" w:rsidRDefault="00FF3EB3" w:rsidP="00FF3EB3">
      <w:pPr>
        <w:keepNext/>
        <w:rPr>
          <w:lang w:val="fr-CH"/>
        </w:rPr>
      </w:pPr>
      <w:r w:rsidRPr="002D6FC6">
        <w:rPr>
          <w:lang w:val="fr-CH"/>
        </w:rPr>
        <w:t>Il importe de noter que, dans certains cas, les variétés peuvent avoir un profil d</w:t>
      </w:r>
      <w:r w:rsidR="008E4A6E">
        <w:rPr>
          <w:lang w:val="fr-CH"/>
        </w:rPr>
        <w:t>’</w:t>
      </w:r>
      <w:r w:rsidRPr="002D6FC6">
        <w:rPr>
          <w:lang w:val="fr-CH"/>
        </w:rPr>
        <w:t xml:space="preserve">ADN différent tout en étant phénotypiquement </w:t>
      </w:r>
      <w:proofErr w:type="gramStart"/>
      <w:r w:rsidRPr="002D6FC6">
        <w:rPr>
          <w:lang w:val="fr-CH"/>
        </w:rPr>
        <w:t>identiques;  dans</w:t>
      </w:r>
      <w:proofErr w:type="gramEnd"/>
      <w:r w:rsidRPr="002D6FC6">
        <w:rPr>
          <w:lang w:val="fr-CH"/>
        </w:rPr>
        <w:t xml:space="preserve"> d</w:t>
      </w:r>
      <w:r w:rsidR="008E4A6E">
        <w:rPr>
          <w:lang w:val="fr-CH"/>
        </w:rPr>
        <w:t>’</w:t>
      </w:r>
      <w:r w:rsidRPr="002D6FC6">
        <w:rPr>
          <w:lang w:val="fr-CH"/>
        </w:rPr>
        <w:t>autres cas, des variétés ayant une grande différence phénotypique peuvent présenter le même profil d</w:t>
      </w:r>
      <w:r w:rsidR="008E4A6E">
        <w:rPr>
          <w:lang w:val="fr-CH"/>
        </w:rPr>
        <w:t>’</w:t>
      </w:r>
      <w:r w:rsidRPr="002D6FC6">
        <w:rPr>
          <w:lang w:val="fr-CH"/>
        </w:rPr>
        <w:t>ADN pour un ensemble particulier de marqueurs moléculaires (dans le cas de certaines mutations, par exemple).</w:t>
      </w:r>
    </w:p>
    <w:p w14:paraId="588812CB" w14:textId="77777777" w:rsidR="00FF3EB3" w:rsidRPr="002D6FC6" w:rsidRDefault="00FF3EB3" w:rsidP="00FF3EB3">
      <w:pPr>
        <w:rPr>
          <w:lang w:val="fr-CH"/>
        </w:rPr>
      </w:pPr>
    </w:p>
    <w:p w14:paraId="7745ECE1" w14:textId="4BCAFECA" w:rsidR="00FF3EB3" w:rsidRPr="002D6FC6" w:rsidRDefault="00FF3EB3" w:rsidP="00FF3EB3">
      <w:pPr>
        <w:rPr>
          <w:lang w:val="fr-CH"/>
        </w:rPr>
      </w:pPr>
      <w:r w:rsidRPr="002D6FC6">
        <w:rPr>
          <w:lang w:val="fr-CH"/>
        </w:rPr>
        <w:t>Dans le cas de marqueurs moléculaires qui ne sont pas liés à des différences phénotypiques, le problème est qu</w:t>
      </w:r>
      <w:r w:rsidR="008E4A6E">
        <w:rPr>
          <w:lang w:val="fr-CH"/>
        </w:rPr>
        <w:t>’</w:t>
      </w:r>
      <w:r w:rsidRPr="002D6FC6">
        <w:rPr>
          <w:lang w:val="fr-CH"/>
        </w:rPr>
        <w:t>il peut s</w:t>
      </w:r>
      <w:r w:rsidR="008E4A6E">
        <w:rPr>
          <w:lang w:val="fr-CH"/>
        </w:rPr>
        <w:t>’</w:t>
      </w:r>
      <w:r w:rsidRPr="002D6FC6">
        <w:rPr>
          <w:lang w:val="fr-CH"/>
        </w:rPr>
        <w:t>avérer possible d</w:t>
      </w:r>
      <w:r w:rsidR="008E4A6E">
        <w:rPr>
          <w:lang w:val="fr-CH"/>
        </w:rPr>
        <w:t>’</w:t>
      </w:r>
      <w:r w:rsidRPr="002D6FC6">
        <w:rPr>
          <w:lang w:val="fr-CH"/>
        </w:rPr>
        <w:t>utiliser un nombre illimité de marqueurs pour trouver des différences entre les variétés au niveau génétique, des différences qui n</w:t>
      </w:r>
      <w:r w:rsidR="008E4A6E">
        <w:rPr>
          <w:lang w:val="fr-CH"/>
        </w:rPr>
        <w:t>’</w:t>
      </w:r>
      <w:r w:rsidRPr="002D6FC6">
        <w:rPr>
          <w:lang w:val="fr-CH"/>
        </w:rPr>
        <w:t>apparaissent pas dans les caractères phénotypiques.</w:t>
      </w:r>
    </w:p>
    <w:p w14:paraId="509D6C99" w14:textId="77777777" w:rsidR="00FF3EB3" w:rsidRPr="002D6FC6" w:rsidRDefault="00FF3EB3" w:rsidP="00FF3EB3">
      <w:pPr>
        <w:rPr>
          <w:lang w:val="fr-CH"/>
        </w:rPr>
      </w:pPr>
    </w:p>
    <w:p w14:paraId="425C02F9" w14:textId="78528A6C" w:rsidR="00FF3EB3" w:rsidRPr="002D6FC6" w:rsidRDefault="00FF3EB3" w:rsidP="00FF3EB3">
      <w:pPr>
        <w:rPr>
          <w:lang w:val="fr-CH"/>
        </w:rPr>
      </w:pPr>
      <w:r w:rsidRPr="002D6FC6">
        <w:rPr>
          <w:lang w:val="fr-CH"/>
        </w:rPr>
        <w:t>Compte tenu de ces observations, l</w:t>
      </w:r>
      <w:r w:rsidR="008E4A6E">
        <w:rPr>
          <w:lang w:val="fr-CH"/>
        </w:rPr>
        <w:t>’</w:t>
      </w:r>
      <w:r w:rsidRPr="002D6FC6">
        <w:rPr>
          <w:lang w:val="fr-CH"/>
        </w:rPr>
        <w:t>UPOV est convenue d</w:t>
      </w:r>
      <w:r w:rsidR="008E4A6E">
        <w:rPr>
          <w:lang w:val="fr-CH"/>
        </w:rPr>
        <w:t>’</w:t>
      </w:r>
      <w:r w:rsidRPr="002D6FC6">
        <w:rPr>
          <w:lang w:val="fr-CH"/>
        </w:rPr>
        <w:t>utiliser les marqueurs moléculaires dans les conditions suivantes aux fins de l</w:t>
      </w:r>
      <w:r w:rsidR="008E4A6E">
        <w:rPr>
          <w:lang w:val="fr-CH"/>
        </w:rPr>
        <w:t>’</w:t>
      </w:r>
      <w:r w:rsidRPr="002D6FC6">
        <w:rPr>
          <w:lang w:val="fr-CH"/>
        </w:rPr>
        <w:t>examen DHS</w:t>
      </w:r>
      <w:r w:rsidR="008E4A6E">
        <w:rPr>
          <w:lang w:val="fr-CH"/>
        </w:rPr>
        <w:t> :</w:t>
      </w:r>
    </w:p>
    <w:p w14:paraId="5EEAD8AE" w14:textId="77777777" w:rsidR="00FF3EB3" w:rsidRPr="002D6FC6" w:rsidRDefault="00FF3EB3" w:rsidP="00FF3EB3">
      <w:pPr>
        <w:rPr>
          <w:lang w:val="fr-CH"/>
        </w:rPr>
      </w:pPr>
    </w:p>
    <w:p w14:paraId="72877D53" w14:textId="735ED0F5" w:rsidR="00FF3EB3" w:rsidRPr="002D6FC6" w:rsidRDefault="00FF3EB3" w:rsidP="00FF3EB3">
      <w:pPr>
        <w:rPr>
          <w:lang w:val="fr-CH"/>
        </w:rPr>
      </w:pPr>
      <w:r w:rsidRPr="002D6FC6">
        <w:rPr>
          <w:lang w:val="fr-CH"/>
        </w:rPr>
        <w:t>a)</w:t>
      </w:r>
      <w:r w:rsidR="00ED3D7A">
        <w:rPr>
          <w:lang w:val="fr-CH"/>
        </w:rPr>
        <w:tab/>
      </w:r>
      <w:r w:rsidRPr="002D6FC6">
        <w:rPr>
          <w:lang w:val="fr-CH"/>
        </w:rPr>
        <w:t>Les marqueurs moléculaires peuvent être utilisés pour examiner les caractères DHS qui répondent aux critères des caractères tels qu</w:t>
      </w:r>
      <w:r w:rsidR="008E4A6E">
        <w:rPr>
          <w:lang w:val="fr-CH"/>
        </w:rPr>
        <w:t>’</w:t>
      </w:r>
      <w:r w:rsidRPr="002D6FC6">
        <w:rPr>
          <w:lang w:val="fr-CH"/>
        </w:rPr>
        <w:t>ils sont indiqués dans l</w:t>
      </w:r>
      <w:r w:rsidR="008E4A6E">
        <w:rPr>
          <w:lang w:val="fr-CH"/>
        </w:rPr>
        <w:t>’</w:t>
      </w:r>
      <w:r w:rsidRPr="002D6FC6">
        <w:rPr>
          <w:lang w:val="fr-CH"/>
        </w:rPr>
        <w:t>Introduction générale à condition qu</w:t>
      </w:r>
      <w:r w:rsidR="008E4A6E">
        <w:rPr>
          <w:lang w:val="fr-CH"/>
        </w:rPr>
        <w:t>’</w:t>
      </w:r>
      <w:r w:rsidRPr="002D6FC6">
        <w:rPr>
          <w:lang w:val="fr-CH"/>
        </w:rPr>
        <w:t>il existe une corrélation fiable entre le marqueur et le caractère.</w:t>
      </w:r>
    </w:p>
    <w:p w14:paraId="52DFCB7E" w14:textId="77777777" w:rsidR="00FF3EB3" w:rsidRPr="002D6FC6" w:rsidRDefault="00FF3EB3" w:rsidP="00FF3EB3">
      <w:pPr>
        <w:rPr>
          <w:lang w:val="fr-CH"/>
        </w:rPr>
      </w:pPr>
    </w:p>
    <w:p w14:paraId="6E8E81CE" w14:textId="433096A6" w:rsidR="00FF3EB3" w:rsidRPr="002D6FC6" w:rsidRDefault="00ED3D7A" w:rsidP="00FF3EB3">
      <w:pPr>
        <w:rPr>
          <w:lang w:val="fr-CH"/>
        </w:rPr>
      </w:pPr>
      <w:r>
        <w:rPr>
          <w:lang w:val="fr-CH"/>
        </w:rPr>
        <w:t>b)</w:t>
      </w:r>
      <w:r>
        <w:rPr>
          <w:lang w:val="fr-CH"/>
        </w:rPr>
        <w:tab/>
      </w:r>
      <w:r w:rsidR="00FF3EB3" w:rsidRPr="002D6FC6">
        <w:rPr>
          <w:lang w:val="fr-CH"/>
        </w:rPr>
        <w:t>Une combinaison de distances phénotypiques et moléculaires peut être utilisée pour d</w:t>
      </w:r>
      <w:r w:rsidR="008E4A6E">
        <w:rPr>
          <w:lang w:val="fr-CH"/>
        </w:rPr>
        <w:t>’</w:t>
      </w:r>
      <w:r w:rsidR="00FF3EB3" w:rsidRPr="002D6FC6">
        <w:rPr>
          <w:lang w:val="fr-CH"/>
        </w:rPr>
        <w:t>améliorer la sélection des variétés qu</w:t>
      </w:r>
      <w:r w:rsidR="008E4A6E">
        <w:rPr>
          <w:lang w:val="fr-CH"/>
        </w:rPr>
        <w:t>’</w:t>
      </w:r>
      <w:r w:rsidR="00FF3EB3" w:rsidRPr="002D6FC6">
        <w:rPr>
          <w:lang w:val="fr-CH"/>
        </w:rPr>
        <w:t>il y a lieu de comparer dans le cadre de l</w:t>
      </w:r>
      <w:r w:rsidR="008E4A6E">
        <w:rPr>
          <w:lang w:val="fr-CH"/>
        </w:rPr>
        <w:t>’</w:t>
      </w:r>
      <w:r w:rsidR="00FF3EB3" w:rsidRPr="002D6FC6">
        <w:rPr>
          <w:lang w:val="fr-CH"/>
        </w:rPr>
        <w:t>essai en culture si les distances moléculaires sont suffisamment liées aux différences phénotypiques, et si la méthode ne crée pas un risque accru de ne pas sélectionner une variété figurant dans la collection de variétés qu</w:t>
      </w:r>
      <w:r w:rsidR="008E4A6E">
        <w:rPr>
          <w:lang w:val="fr-CH"/>
        </w:rPr>
        <w:t>’</w:t>
      </w:r>
      <w:r w:rsidR="00FF3EB3" w:rsidRPr="002D6FC6">
        <w:rPr>
          <w:lang w:val="fr-CH"/>
        </w:rPr>
        <w:t>il faut comparer aux variétés candidates dans le cadre de l</w:t>
      </w:r>
      <w:r w:rsidR="008E4A6E">
        <w:rPr>
          <w:lang w:val="fr-CH"/>
        </w:rPr>
        <w:t>’</w:t>
      </w:r>
      <w:r w:rsidR="00FF3EB3" w:rsidRPr="002D6FC6">
        <w:rPr>
          <w:lang w:val="fr-CH"/>
        </w:rPr>
        <w:t>essai DHS en culture.</w:t>
      </w:r>
    </w:p>
    <w:p w14:paraId="6C169E4A" w14:textId="77777777" w:rsidR="00FF3EB3" w:rsidRPr="002D6FC6" w:rsidRDefault="00FF3EB3" w:rsidP="00FF3EB3">
      <w:pPr>
        <w:rPr>
          <w:lang w:val="fr-CH"/>
        </w:rPr>
      </w:pPr>
    </w:p>
    <w:p w14:paraId="3AC370CC" w14:textId="3D7A5E87" w:rsidR="00FF3EB3" w:rsidRPr="002D6FC6" w:rsidRDefault="00FF3EB3" w:rsidP="00FF3EB3">
      <w:pPr>
        <w:rPr>
          <w:lang w:val="fr-CH"/>
        </w:rPr>
      </w:pPr>
      <w:r w:rsidRPr="002D6FC6">
        <w:rPr>
          <w:lang w:val="fr-CH"/>
        </w:rPr>
        <w:t>La position de l</w:t>
      </w:r>
      <w:r w:rsidR="008E4A6E">
        <w:rPr>
          <w:lang w:val="fr-CH"/>
        </w:rPr>
        <w:t>’</w:t>
      </w:r>
      <w:r w:rsidRPr="002D6FC6">
        <w:rPr>
          <w:lang w:val="fr-CH"/>
        </w:rPr>
        <w:t>UPOV est exposée dans les documents TGP/15 “Conseils en ce qui concerne l</w:t>
      </w:r>
      <w:r w:rsidR="008E4A6E">
        <w:rPr>
          <w:lang w:val="fr-CH"/>
        </w:rPr>
        <w:t>’</w:t>
      </w:r>
      <w:r w:rsidRPr="002D6FC6">
        <w:rPr>
          <w:lang w:val="fr-CH"/>
        </w:rPr>
        <w:t>utilisation des marqueurs biochimiques et moléculaires dans l</w:t>
      </w:r>
      <w:r w:rsidR="008E4A6E">
        <w:rPr>
          <w:lang w:val="fr-CH"/>
        </w:rPr>
        <w:t>’</w:t>
      </w:r>
      <w:r w:rsidRPr="002D6FC6">
        <w:rPr>
          <w:lang w:val="fr-CH"/>
        </w:rPr>
        <w:t>examen de la distinction, de l</w:t>
      </w:r>
      <w:r w:rsidR="008E4A6E">
        <w:rPr>
          <w:lang w:val="fr-CH"/>
        </w:rPr>
        <w:t>’</w:t>
      </w:r>
      <w:r w:rsidRPr="002D6FC6">
        <w:rPr>
          <w:lang w:val="fr-CH"/>
        </w:rPr>
        <w:t>homogénéité et de la stabilité (DHS)” et UPOV/INF/18 “Utilisation possible des marqueurs moléculaires dans l</w:t>
      </w:r>
      <w:r w:rsidR="008E4A6E">
        <w:rPr>
          <w:lang w:val="fr-CH"/>
        </w:rPr>
        <w:t>’</w:t>
      </w:r>
      <w:r w:rsidRPr="002D6FC6">
        <w:rPr>
          <w:lang w:val="fr-CH"/>
        </w:rPr>
        <w:t>examen de la distinction, de l</w:t>
      </w:r>
      <w:r w:rsidR="008E4A6E">
        <w:rPr>
          <w:lang w:val="fr-CH"/>
        </w:rPr>
        <w:t>’</w:t>
      </w:r>
      <w:r w:rsidRPr="002D6FC6">
        <w:rPr>
          <w:lang w:val="fr-CH"/>
        </w:rPr>
        <w:t>homogénéité et de la stabilité (DHS)”.</w:t>
      </w:r>
    </w:p>
    <w:p w14:paraId="76CB1BF2" w14:textId="77777777" w:rsidR="00FF3EB3" w:rsidRPr="002D6FC6" w:rsidRDefault="00FF3EB3" w:rsidP="00FF3EB3">
      <w:pPr>
        <w:rPr>
          <w:lang w:val="fr-CH"/>
        </w:rPr>
      </w:pPr>
    </w:p>
    <w:p w14:paraId="68FC0AF2" w14:textId="77777777" w:rsidR="00FF3EB3" w:rsidRPr="002D6FC6" w:rsidRDefault="00ED3D7A" w:rsidP="00FF3EB3">
      <w:pPr>
        <w:rPr>
          <w:rStyle w:val="Hyperlink"/>
          <w:color w:val="auto"/>
          <w:lang w:val="fr-CH"/>
        </w:rPr>
      </w:pPr>
      <w:hyperlink r:id="rId18" w:anchor="QB80" w:history="1">
        <w:r w:rsidR="00FF3EB3" w:rsidRPr="002D6FC6">
          <w:rPr>
            <w:rStyle w:val="Hyperlink"/>
            <w:lang w:val="fr-CH"/>
          </w:rPr>
          <w:t>https://www.upov.int/about/fr/faq.html#QB80</w:t>
        </w:r>
      </w:hyperlink>
    </w:p>
    <w:p w14:paraId="283CE5D2" w14:textId="77777777" w:rsidR="00FF3EB3" w:rsidRPr="002D6FC6" w:rsidRDefault="00FF3EB3" w:rsidP="00FF3EB3">
      <w:pPr>
        <w:rPr>
          <w:lang w:val="fr-CH"/>
        </w:rPr>
      </w:pPr>
    </w:p>
    <w:p w14:paraId="43495F16" w14:textId="77777777" w:rsidR="00FF3EB3" w:rsidRPr="002D6FC6" w:rsidRDefault="00FF3EB3" w:rsidP="00FF3EB3">
      <w:pPr>
        <w:rPr>
          <w:lang w:val="fr-CH"/>
        </w:rPr>
      </w:pPr>
    </w:p>
    <w:p w14:paraId="70D1B8DD" w14:textId="77777777" w:rsidR="00FF3EB3" w:rsidRPr="002D6FC6" w:rsidRDefault="00FF3EB3" w:rsidP="00FF3EB3">
      <w:pPr>
        <w:rPr>
          <w:lang w:val="fr-CH"/>
        </w:rPr>
      </w:pPr>
    </w:p>
    <w:p w14:paraId="38ADE960" w14:textId="1C37B233" w:rsidR="00FF3EB3" w:rsidRPr="002D6FC6" w:rsidRDefault="00FF3EB3" w:rsidP="00FF3EB3">
      <w:pPr>
        <w:rPr>
          <w:bCs/>
          <w:u w:val="single"/>
          <w:lang w:val="fr-CH"/>
        </w:rPr>
      </w:pPr>
      <w:r w:rsidRPr="002D6FC6">
        <w:rPr>
          <w:bCs/>
          <w:u w:val="single"/>
          <w:lang w:val="fr-CH"/>
        </w:rPr>
        <w:t>Association internationale d</w:t>
      </w:r>
      <w:r w:rsidR="008E4A6E">
        <w:rPr>
          <w:bCs/>
          <w:u w:val="single"/>
          <w:lang w:val="fr-CH"/>
        </w:rPr>
        <w:t>’</w:t>
      </w:r>
      <w:r w:rsidRPr="002D6FC6">
        <w:rPr>
          <w:bCs/>
          <w:u w:val="single"/>
          <w:lang w:val="fr-CH"/>
        </w:rPr>
        <w:t>essais de semences (ISTA)</w:t>
      </w:r>
    </w:p>
    <w:p w14:paraId="02DEE1B8" w14:textId="77777777" w:rsidR="00FF3EB3" w:rsidRPr="002D6FC6" w:rsidRDefault="00FF3EB3" w:rsidP="00FF3EB3">
      <w:pPr>
        <w:rPr>
          <w:lang w:val="fr-CH"/>
        </w:rPr>
      </w:pPr>
    </w:p>
    <w:p w14:paraId="3B85FB27" w14:textId="32863F1D" w:rsidR="00FF3EB3" w:rsidRPr="002D6FC6" w:rsidRDefault="00FF3EB3" w:rsidP="00FF3EB3">
      <w:pPr>
        <w:rPr>
          <w:rFonts w:eastAsia="Calibri"/>
          <w:lang w:val="fr-CH"/>
        </w:rPr>
      </w:pPr>
      <w:r w:rsidRPr="002D6FC6">
        <w:rPr>
          <w:rFonts w:eastAsia="Calibri"/>
          <w:lang w:val="fr-CH"/>
        </w:rPr>
        <w:t>LA VISION DE L</w:t>
      </w:r>
      <w:r w:rsidR="008E4A6E">
        <w:rPr>
          <w:rFonts w:eastAsia="Calibri"/>
          <w:lang w:val="fr-CH"/>
        </w:rPr>
        <w:t>’</w:t>
      </w:r>
      <w:r w:rsidRPr="002D6FC6">
        <w:rPr>
          <w:rFonts w:eastAsia="Calibri"/>
          <w:lang w:val="fr-CH"/>
        </w:rPr>
        <w:t>ISTA</w:t>
      </w:r>
      <w:r w:rsidR="008E4A6E">
        <w:rPr>
          <w:rFonts w:eastAsia="Calibri"/>
          <w:lang w:val="fr-CH"/>
        </w:rPr>
        <w:t> :</w:t>
      </w:r>
      <w:r w:rsidRPr="002D6FC6">
        <w:rPr>
          <w:rFonts w:eastAsia="Calibri"/>
          <w:lang w:val="fr-CH"/>
        </w:rPr>
        <w:t xml:space="preserve"> L</w:t>
      </w:r>
      <w:r w:rsidR="008E4A6E">
        <w:rPr>
          <w:rFonts w:eastAsia="Calibri"/>
          <w:lang w:val="fr-CH"/>
        </w:rPr>
        <w:t>’</w:t>
      </w:r>
      <w:r w:rsidRPr="002D6FC6">
        <w:rPr>
          <w:rFonts w:eastAsia="Calibri"/>
          <w:lang w:val="fr-CH"/>
        </w:rPr>
        <w:t>HARMONISATION DES ESSAIS DE SEMENCES</w:t>
      </w:r>
    </w:p>
    <w:p w14:paraId="1E00E090" w14:textId="77777777" w:rsidR="00FF3EB3" w:rsidRPr="002D6FC6" w:rsidRDefault="00FF3EB3" w:rsidP="00FF3EB3">
      <w:pPr>
        <w:rPr>
          <w:rFonts w:eastAsia="Calibri"/>
          <w:lang w:val="fr-CH"/>
        </w:rPr>
      </w:pPr>
    </w:p>
    <w:p w14:paraId="22B3B32E" w14:textId="086191DD" w:rsidR="00FF3EB3" w:rsidRPr="002D6FC6" w:rsidRDefault="00FF3EB3" w:rsidP="00FF3EB3">
      <w:pPr>
        <w:spacing w:after="160" w:line="259" w:lineRule="auto"/>
        <w:rPr>
          <w:rFonts w:eastAsia="Calibri" w:cs="Arial"/>
          <w:shd w:val="clear" w:color="auto" w:fill="FFFFFF"/>
          <w:lang w:val="fr-CH"/>
        </w:rPr>
      </w:pPr>
      <w:r w:rsidRPr="002D6FC6">
        <w:rPr>
          <w:rFonts w:eastAsia="Calibri" w:cs="Arial"/>
          <w:shd w:val="clear" w:color="auto" w:fill="FFFFFF"/>
          <w:lang w:val="fr-CH"/>
        </w:rPr>
        <w:t>Fondée en 1924, l</w:t>
      </w:r>
      <w:r w:rsidR="008E4A6E">
        <w:rPr>
          <w:rFonts w:eastAsia="Calibri" w:cs="Arial"/>
          <w:shd w:val="clear" w:color="auto" w:fill="FFFFFF"/>
          <w:lang w:val="fr-CH"/>
        </w:rPr>
        <w:t>’</w:t>
      </w:r>
      <w:r w:rsidRPr="002D6FC6">
        <w:rPr>
          <w:rFonts w:eastAsia="Calibri" w:cs="Arial"/>
          <w:shd w:val="clear" w:color="auto" w:fill="FFFFFF"/>
          <w:lang w:val="fr-CH"/>
        </w:rPr>
        <w:t>ISTA a pour objectif premier d</w:t>
      </w:r>
      <w:r w:rsidR="008E4A6E">
        <w:rPr>
          <w:rFonts w:eastAsia="Calibri" w:cs="Arial"/>
          <w:shd w:val="clear" w:color="auto" w:fill="FFFFFF"/>
          <w:lang w:val="fr-CH"/>
        </w:rPr>
        <w:t>’</w:t>
      </w:r>
      <w:r w:rsidRPr="002D6FC6">
        <w:rPr>
          <w:rFonts w:eastAsia="Calibri" w:cs="Arial"/>
          <w:shd w:val="clear" w:color="auto" w:fill="FFFFFF"/>
          <w:lang w:val="fr-CH"/>
        </w:rPr>
        <w:t>élaborer et de publier des procédures standard dans le domaine des essais de semences et est inextricablement liée à l</w:t>
      </w:r>
      <w:r w:rsidR="008E4A6E">
        <w:rPr>
          <w:rFonts w:eastAsia="Calibri" w:cs="Arial"/>
          <w:shd w:val="clear" w:color="auto" w:fill="FFFFFF"/>
          <w:lang w:val="fr-CH"/>
        </w:rPr>
        <w:t>’</w:t>
      </w:r>
      <w:r w:rsidRPr="002D6FC6">
        <w:rPr>
          <w:rFonts w:eastAsia="Calibri" w:cs="Arial"/>
          <w:shd w:val="clear" w:color="auto" w:fill="FFFFFF"/>
          <w:lang w:val="fr-CH"/>
        </w:rPr>
        <w:t>histoire des essais de semenc</w:t>
      </w:r>
      <w:r w:rsidR="00F80F77" w:rsidRPr="002D6FC6">
        <w:rPr>
          <w:rFonts w:eastAsia="Calibri" w:cs="Arial"/>
          <w:shd w:val="clear" w:color="auto" w:fill="FFFFFF"/>
          <w:lang w:val="fr-CH"/>
        </w:rPr>
        <w:t>es</w:t>
      </w:r>
      <w:r w:rsidR="00F80F77">
        <w:rPr>
          <w:rFonts w:eastAsia="Calibri" w:cs="Arial"/>
          <w:shd w:val="clear" w:color="auto" w:fill="FFFFFF"/>
          <w:lang w:val="fr-CH"/>
        </w:rPr>
        <w:t xml:space="preserve">.  </w:t>
      </w:r>
      <w:r w:rsidR="00F80F77" w:rsidRPr="002D6FC6">
        <w:rPr>
          <w:rFonts w:eastAsia="Calibri" w:cs="Arial"/>
          <w:shd w:val="clear" w:color="auto" w:fill="FFFFFF"/>
          <w:lang w:val="fr-CH"/>
        </w:rPr>
        <w:t>Av</w:t>
      </w:r>
      <w:r w:rsidRPr="002D6FC6">
        <w:rPr>
          <w:rFonts w:eastAsia="Calibri" w:cs="Arial"/>
          <w:shd w:val="clear" w:color="auto" w:fill="FFFFFF"/>
          <w:lang w:val="fr-CH"/>
        </w:rPr>
        <w:t>ec des laboratoires membres dans plus de 80 pays/entités économiques distinctes dans le monde, les membres de l</w:t>
      </w:r>
      <w:r w:rsidR="008E4A6E">
        <w:rPr>
          <w:rFonts w:eastAsia="Calibri" w:cs="Arial"/>
          <w:shd w:val="clear" w:color="auto" w:fill="FFFFFF"/>
          <w:lang w:val="fr-CH"/>
        </w:rPr>
        <w:t>’</w:t>
      </w:r>
      <w:r w:rsidRPr="002D6FC6">
        <w:rPr>
          <w:rFonts w:eastAsia="Calibri" w:cs="Arial"/>
          <w:shd w:val="clear" w:color="auto" w:fill="FFFFFF"/>
          <w:lang w:val="fr-CH"/>
        </w:rPr>
        <w:t>ISTA constituent un véritable réseau mondial.</w:t>
      </w:r>
    </w:p>
    <w:p w14:paraId="62EDAE65" w14:textId="3EC426C2" w:rsidR="00FF3EB3" w:rsidRPr="002D6FC6" w:rsidRDefault="00FF3EB3" w:rsidP="00FF3EB3">
      <w:pPr>
        <w:spacing w:after="160" w:line="259" w:lineRule="auto"/>
        <w:rPr>
          <w:rFonts w:eastAsia="Calibri" w:cs="Arial"/>
          <w:shd w:val="clear" w:color="auto" w:fill="FFFFFF"/>
          <w:lang w:val="fr-CH"/>
        </w:rPr>
      </w:pPr>
      <w:r w:rsidRPr="002D6FC6">
        <w:rPr>
          <w:rFonts w:eastAsia="Calibri" w:cs="Arial"/>
          <w:shd w:val="clear" w:color="auto" w:fill="FFFFFF"/>
          <w:lang w:val="fr-CH"/>
        </w:rPr>
        <w:t>Notre association produit des règles internationalement reconnues pour l</w:t>
      </w:r>
      <w:r w:rsidR="008E4A6E">
        <w:rPr>
          <w:rFonts w:eastAsia="Calibri" w:cs="Arial"/>
          <w:shd w:val="clear" w:color="auto" w:fill="FFFFFF"/>
          <w:lang w:val="fr-CH"/>
        </w:rPr>
        <w:t>’</w:t>
      </w:r>
      <w:r w:rsidRPr="002D6FC6">
        <w:rPr>
          <w:rFonts w:eastAsia="Calibri" w:cs="Arial"/>
          <w:shd w:val="clear" w:color="auto" w:fill="FFFFFF"/>
          <w:lang w:val="fr-CH"/>
        </w:rPr>
        <w:t>échantillonnage et l</w:t>
      </w:r>
      <w:r w:rsidR="008E4A6E">
        <w:rPr>
          <w:rFonts w:eastAsia="Calibri" w:cs="Arial"/>
          <w:shd w:val="clear" w:color="auto" w:fill="FFFFFF"/>
          <w:lang w:val="fr-CH"/>
        </w:rPr>
        <w:t>’</w:t>
      </w:r>
      <w:r w:rsidRPr="002D6FC6">
        <w:rPr>
          <w:rFonts w:eastAsia="Calibri" w:cs="Arial"/>
          <w:shd w:val="clear" w:color="auto" w:fill="FFFFFF"/>
          <w:lang w:val="fr-CH"/>
        </w:rPr>
        <w:t>essai de semences, accrédite des laboratoires, encourage la recherche, délivre des certificats internationaux d</w:t>
      </w:r>
      <w:r w:rsidR="008E4A6E">
        <w:rPr>
          <w:rFonts w:eastAsia="Calibri" w:cs="Arial"/>
          <w:shd w:val="clear" w:color="auto" w:fill="FFFFFF"/>
          <w:lang w:val="fr-CH"/>
        </w:rPr>
        <w:t>’</w:t>
      </w:r>
      <w:r w:rsidRPr="002D6FC6">
        <w:rPr>
          <w:rFonts w:eastAsia="Calibri" w:cs="Arial"/>
          <w:shd w:val="clear" w:color="auto" w:fill="FFFFFF"/>
          <w:lang w:val="fr-CH"/>
        </w:rPr>
        <w:t xml:space="preserve">analyse de semences et dispense des </w:t>
      </w:r>
      <w:proofErr w:type="gramStart"/>
      <w:r w:rsidRPr="002D6FC6">
        <w:rPr>
          <w:rFonts w:eastAsia="Calibri" w:cs="Arial"/>
          <w:shd w:val="clear" w:color="auto" w:fill="FFFFFF"/>
          <w:lang w:val="fr-CH"/>
        </w:rPr>
        <w:t>formations;  elle</w:t>
      </w:r>
      <w:proofErr w:type="gramEnd"/>
      <w:r w:rsidRPr="002D6FC6">
        <w:rPr>
          <w:rFonts w:eastAsia="Calibri" w:cs="Arial"/>
          <w:shd w:val="clear" w:color="auto" w:fill="FFFFFF"/>
          <w:lang w:val="fr-CH"/>
        </w:rPr>
        <w:t xml:space="preserve"> diffuse les connaissances en sciences et technologies des semences au nom de ses membres et est régie par ses pays membres/entités économiques distinct</w:t>
      </w:r>
      <w:r w:rsidR="00F80F77" w:rsidRPr="002D6FC6">
        <w:rPr>
          <w:rFonts w:eastAsia="Calibri" w:cs="Arial"/>
          <w:shd w:val="clear" w:color="auto" w:fill="FFFFFF"/>
          <w:lang w:val="fr-CH"/>
        </w:rPr>
        <w:t>es</w:t>
      </w:r>
      <w:r w:rsidR="00F80F77">
        <w:rPr>
          <w:rFonts w:eastAsia="Calibri" w:cs="Arial"/>
          <w:shd w:val="clear" w:color="auto" w:fill="FFFFFF"/>
          <w:lang w:val="fr-CH"/>
        </w:rPr>
        <w:t xml:space="preserve">.  </w:t>
      </w:r>
      <w:r w:rsidR="00F80F77" w:rsidRPr="002D6FC6">
        <w:rPr>
          <w:rFonts w:eastAsia="Calibri" w:cs="Arial"/>
          <w:shd w:val="clear" w:color="auto" w:fill="FFFFFF"/>
          <w:lang w:val="fr-CH"/>
        </w:rPr>
        <w:t>To</w:t>
      </w:r>
      <w:r w:rsidRPr="002D6FC6">
        <w:rPr>
          <w:rFonts w:eastAsia="Calibri" w:cs="Arial"/>
          <w:shd w:val="clear" w:color="auto" w:fill="FFFFFF"/>
          <w:lang w:val="fr-CH"/>
        </w:rPr>
        <w:t>ut cela facilite le commerce des semences au niveau national et international, contribuant ainsi à la sécurité alimentaire.</w:t>
      </w:r>
    </w:p>
    <w:p w14:paraId="53484BDB" w14:textId="1C722342" w:rsidR="00FF3EB3" w:rsidRPr="002D6FC6" w:rsidRDefault="00FF3EB3" w:rsidP="00FF3EB3">
      <w:pPr>
        <w:spacing w:after="160" w:line="259" w:lineRule="auto"/>
        <w:jc w:val="left"/>
        <w:rPr>
          <w:rFonts w:eastAsia="Calibri" w:cs="Arial"/>
          <w:bCs/>
          <w:lang w:val="fr-CH"/>
        </w:rPr>
      </w:pPr>
      <w:r w:rsidRPr="002D6FC6">
        <w:rPr>
          <w:rFonts w:eastAsia="Calibri" w:cs="Arial"/>
          <w:bCs/>
          <w:lang w:val="fr-CH"/>
        </w:rPr>
        <w:t>MEMBRES DE L</w:t>
      </w:r>
      <w:r w:rsidR="008E4A6E">
        <w:rPr>
          <w:rFonts w:eastAsia="Calibri" w:cs="Arial"/>
          <w:bCs/>
          <w:lang w:val="fr-CH"/>
        </w:rPr>
        <w:t>’</w:t>
      </w:r>
      <w:r w:rsidRPr="002D6FC6">
        <w:rPr>
          <w:rFonts w:eastAsia="Calibri" w:cs="Arial"/>
          <w:bCs/>
          <w:lang w:val="fr-CH"/>
        </w:rPr>
        <w:t>ISTA 2019</w:t>
      </w:r>
    </w:p>
    <w:p w14:paraId="1792F15E" w14:textId="3DE8D647" w:rsidR="00FF3EB3" w:rsidRPr="002D6FC6" w:rsidRDefault="00FF3EB3" w:rsidP="00FF3EB3">
      <w:pPr>
        <w:spacing w:after="160" w:line="259" w:lineRule="auto"/>
        <w:rPr>
          <w:rFonts w:eastAsia="Calibri" w:cs="Arial"/>
          <w:lang w:val="fr-CH"/>
        </w:rPr>
      </w:pPr>
      <w:r w:rsidRPr="002D6FC6">
        <w:rPr>
          <w:rFonts w:eastAsia="Calibri" w:cs="Arial"/>
          <w:lang w:val="fr-CH"/>
        </w:rPr>
        <w:t>Avec des laboratoires membres dans 82 pays/entités économiques distinctes dans le monde, les membres de l</w:t>
      </w:r>
      <w:r w:rsidR="008E4A6E">
        <w:rPr>
          <w:rFonts w:eastAsia="Calibri" w:cs="Arial"/>
          <w:lang w:val="fr-CH"/>
        </w:rPr>
        <w:t>’</w:t>
      </w:r>
      <w:r w:rsidRPr="002D6FC6">
        <w:rPr>
          <w:rFonts w:eastAsia="Calibri" w:cs="Arial"/>
          <w:lang w:val="fr-CH"/>
        </w:rPr>
        <w:t>ISTA constituent un véritable réseau mondi</w:t>
      </w:r>
      <w:r w:rsidR="00F80F77" w:rsidRPr="002D6FC6">
        <w:rPr>
          <w:rFonts w:eastAsia="Calibri" w:cs="Arial"/>
          <w:lang w:val="fr-CH"/>
        </w:rPr>
        <w:t>al</w:t>
      </w:r>
      <w:r w:rsidR="00F80F77">
        <w:rPr>
          <w:rFonts w:eastAsia="Calibri" w:cs="Arial"/>
          <w:lang w:val="fr-CH"/>
        </w:rPr>
        <w:t xml:space="preserve">.  </w:t>
      </w:r>
      <w:r w:rsidR="00F80F77" w:rsidRPr="002D6FC6">
        <w:rPr>
          <w:rFonts w:eastAsia="Calibri" w:cs="Arial"/>
          <w:lang w:val="fr-CH"/>
        </w:rPr>
        <w:t>Ac</w:t>
      </w:r>
      <w:r w:rsidRPr="002D6FC6">
        <w:rPr>
          <w:rFonts w:eastAsia="Calibri" w:cs="Arial"/>
          <w:lang w:val="fr-CH"/>
        </w:rPr>
        <w:t>tuellement, les membres de l</w:t>
      </w:r>
      <w:r w:rsidR="008E4A6E">
        <w:rPr>
          <w:rFonts w:eastAsia="Calibri" w:cs="Arial"/>
          <w:lang w:val="fr-CH"/>
        </w:rPr>
        <w:t>’</w:t>
      </w:r>
      <w:r w:rsidRPr="002D6FC6">
        <w:rPr>
          <w:rFonts w:eastAsia="Calibri" w:cs="Arial"/>
          <w:lang w:val="fr-CH"/>
        </w:rPr>
        <w:t>ISTA sont</w:t>
      </w:r>
      <w:r w:rsidR="008E4A6E">
        <w:rPr>
          <w:rFonts w:eastAsia="Calibri" w:cs="Arial"/>
          <w:lang w:val="fr-CH"/>
        </w:rPr>
        <w:t> :</w:t>
      </w:r>
    </w:p>
    <w:p w14:paraId="7B4270B2" w14:textId="77777777" w:rsidR="00FF3EB3" w:rsidRPr="002D6FC6" w:rsidRDefault="00FF3EB3" w:rsidP="00FF3EB3">
      <w:pPr>
        <w:autoSpaceDE w:val="0"/>
        <w:autoSpaceDN w:val="0"/>
        <w:adjustRightInd w:val="0"/>
        <w:jc w:val="left"/>
        <w:rPr>
          <w:rFonts w:eastAsia="Calibri" w:cs="Arial"/>
          <w:strike/>
          <w:lang w:val="fr-CH"/>
        </w:rPr>
      </w:pPr>
    </w:p>
    <w:p w14:paraId="3EEA5CCB" w14:textId="1A8F1CAD" w:rsidR="00FF3EB3" w:rsidRPr="002D6FC6" w:rsidRDefault="00FF3EB3" w:rsidP="00ED3D7A">
      <w:pPr>
        <w:numPr>
          <w:ilvl w:val="0"/>
          <w:numId w:val="12"/>
        </w:numPr>
        <w:autoSpaceDE w:val="0"/>
        <w:autoSpaceDN w:val="0"/>
        <w:adjustRightInd w:val="0"/>
        <w:spacing w:after="278" w:line="259" w:lineRule="auto"/>
        <w:ind w:left="1134" w:hanging="567"/>
        <w:jc w:val="left"/>
        <w:rPr>
          <w:rFonts w:eastAsia="Calibri" w:cs="Arial"/>
          <w:lang w:val="fr-CH"/>
        </w:rPr>
      </w:pPr>
      <w:r w:rsidRPr="002D6FC6">
        <w:rPr>
          <w:rFonts w:eastAsia="Calibri" w:cs="Arial"/>
          <w:lang w:val="fr-CH"/>
        </w:rPr>
        <w:t>235 laboratoires membres, dont 136 accrédités par l</w:t>
      </w:r>
      <w:r w:rsidR="008E4A6E">
        <w:rPr>
          <w:rFonts w:eastAsia="Calibri" w:cs="Arial"/>
          <w:lang w:val="fr-CH"/>
        </w:rPr>
        <w:t>’</w:t>
      </w:r>
      <w:r w:rsidRPr="002D6FC6">
        <w:rPr>
          <w:rFonts w:eastAsia="Calibri" w:cs="Arial"/>
          <w:lang w:val="fr-CH"/>
        </w:rPr>
        <w:t>ISTA</w:t>
      </w:r>
    </w:p>
    <w:p w14:paraId="3FF6A29A" w14:textId="77777777" w:rsidR="00FF3EB3" w:rsidRPr="002D6FC6" w:rsidRDefault="00FF3EB3" w:rsidP="00ED3D7A">
      <w:pPr>
        <w:numPr>
          <w:ilvl w:val="0"/>
          <w:numId w:val="12"/>
        </w:numPr>
        <w:autoSpaceDE w:val="0"/>
        <w:autoSpaceDN w:val="0"/>
        <w:adjustRightInd w:val="0"/>
        <w:spacing w:after="278" w:line="259" w:lineRule="auto"/>
        <w:ind w:left="1134" w:hanging="567"/>
        <w:jc w:val="left"/>
        <w:rPr>
          <w:rFonts w:eastAsia="Calibri" w:cs="Arial"/>
          <w:lang w:val="fr-CH"/>
        </w:rPr>
      </w:pPr>
      <w:r w:rsidRPr="002D6FC6">
        <w:rPr>
          <w:rFonts w:eastAsia="Calibri" w:cs="Arial"/>
          <w:lang w:val="fr-CH"/>
        </w:rPr>
        <w:t>63 membres associés</w:t>
      </w:r>
    </w:p>
    <w:p w14:paraId="73C8B307" w14:textId="77777777" w:rsidR="00FF3EB3" w:rsidRPr="002D6FC6" w:rsidRDefault="00FF3EB3" w:rsidP="00ED3D7A">
      <w:pPr>
        <w:numPr>
          <w:ilvl w:val="0"/>
          <w:numId w:val="12"/>
        </w:numPr>
        <w:autoSpaceDE w:val="0"/>
        <w:autoSpaceDN w:val="0"/>
        <w:adjustRightInd w:val="0"/>
        <w:spacing w:after="278" w:line="259" w:lineRule="auto"/>
        <w:ind w:left="1134" w:hanging="567"/>
        <w:jc w:val="left"/>
        <w:rPr>
          <w:rFonts w:eastAsia="Calibri" w:cs="Arial"/>
          <w:lang w:val="fr-CH"/>
        </w:rPr>
      </w:pPr>
      <w:r w:rsidRPr="002D6FC6">
        <w:rPr>
          <w:rFonts w:eastAsia="Calibri" w:cs="Arial"/>
          <w:lang w:val="fr-CH"/>
        </w:rPr>
        <w:t>39 membres à titre personnel</w:t>
      </w:r>
    </w:p>
    <w:p w14:paraId="7588FF83" w14:textId="1A299AFB" w:rsidR="00FF3EB3" w:rsidRPr="002D6FC6" w:rsidRDefault="00FF3EB3" w:rsidP="00FF3EB3">
      <w:pPr>
        <w:autoSpaceDE w:val="0"/>
        <w:autoSpaceDN w:val="0"/>
        <w:adjustRightInd w:val="0"/>
        <w:jc w:val="left"/>
        <w:rPr>
          <w:rFonts w:eastAsia="Calibri" w:cs="Arial"/>
          <w:bCs/>
          <w:lang w:val="fr-CH"/>
        </w:rPr>
      </w:pPr>
      <w:r w:rsidRPr="002D6FC6">
        <w:rPr>
          <w:rFonts w:eastAsia="Calibri" w:cs="Arial"/>
          <w:bCs/>
          <w:lang w:val="fr-CH"/>
        </w:rPr>
        <w:t>TRAVAUX TECHNIQUES DE L</w:t>
      </w:r>
      <w:r w:rsidR="008E4A6E">
        <w:rPr>
          <w:rFonts w:eastAsia="Calibri" w:cs="Arial"/>
          <w:bCs/>
          <w:lang w:val="fr-CH"/>
        </w:rPr>
        <w:t>’</w:t>
      </w:r>
      <w:r w:rsidRPr="002D6FC6">
        <w:rPr>
          <w:rFonts w:eastAsia="Calibri" w:cs="Arial"/>
          <w:bCs/>
          <w:lang w:val="fr-CH"/>
        </w:rPr>
        <w:t>ISTA</w:t>
      </w:r>
    </w:p>
    <w:p w14:paraId="23BF3B0E" w14:textId="77777777" w:rsidR="00FF3EB3" w:rsidRPr="002D6FC6" w:rsidRDefault="00FF3EB3" w:rsidP="00FF3EB3">
      <w:pPr>
        <w:autoSpaceDE w:val="0"/>
        <w:autoSpaceDN w:val="0"/>
        <w:adjustRightInd w:val="0"/>
        <w:jc w:val="left"/>
        <w:rPr>
          <w:rFonts w:eastAsia="Calibri" w:cs="Arial"/>
          <w:b/>
          <w:bCs/>
          <w:lang w:val="fr-CH"/>
        </w:rPr>
      </w:pPr>
    </w:p>
    <w:p w14:paraId="7A49424D" w14:textId="08B5FBF7" w:rsidR="00FF3EB3" w:rsidRPr="002D6FC6" w:rsidRDefault="00FF3EB3" w:rsidP="00FF3EB3">
      <w:pPr>
        <w:autoSpaceDE w:val="0"/>
        <w:autoSpaceDN w:val="0"/>
        <w:adjustRightInd w:val="0"/>
        <w:rPr>
          <w:rFonts w:eastAsia="Calibri" w:cs="Arial"/>
          <w:lang w:val="fr-CH"/>
        </w:rPr>
      </w:pPr>
      <w:r w:rsidRPr="002D6FC6">
        <w:rPr>
          <w:rFonts w:eastAsia="Calibri" w:cs="Arial"/>
          <w:lang w:val="fr-CH"/>
        </w:rPr>
        <w:t>Les comités techniques de l</w:t>
      </w:r>
      <w:r w:rsidR="008E4A6E">
        <w:rPr>
          <w:rFonts w:eastAsia="Calibri" w:cs="Arial"/>
          <w:lang w:val="fr-CH"/>
        </w:rPr>
        <w:t>’</w:t>
      </w:r>
      <w:r w:rsidRPr="002D6FC6">
        <w:rPr>
          <w:rFonts w:eastAsia="Calibri" w:cs="Arial"/>
          <w:lang w:val="fr-CH"/>
        </w:rPr>
        <w:t>ISTA ont pour principal objet d</w:t>
      </w:r>
      <w:r w:rsidR="008E4A6E">
        <w:rPr>
          <w:rFonts w:eastAsia="Calibri" w:cs="Arial"/>
          <w:lang w:val="fr-CH"/>
        </w:rPr>
        <w:t>’</w:t>
      </w:r>
      <w:r w:rsidRPr="002D6FC6">
        <w:rPr>
          <w:rFonts w:eastAsia="Calibri" w:cs="Arial"/>
          <w:lang w:val="fr-CH"/>
        </w:rPr>
        <w:t>élaborer, de normaliser et de valider des méthodes d</w:t>
      </w:r>
      <w:r w:rsidR="008E4A6E">
        <w:rPr>
          <w:rFonts w:eastAsia="Calibri" w:cs="Arial"/>
          <w:lang w:val="fr-CH"/>
        </w:rPr>
        <w:t>’</w:t>
      </w:r>
      <w:r w:rsidRPr="002D6FC6">
        <w:rPr>
          <w:rFonts w:eastAsia="Calibri" w:cs="Arial"/>
          <w:lang w:val="fr-CH"/>
        </w:rPr>
        <w:t>échantillonnage et d</w:t>
      </w:r>
      <w:r w:rsidR="008E4A6E">
        <w:rPr>
          <w:rFonts w:eastAsia="Calibri" w:cs="Arial"/>
          <w:lang w:val="fr-CH"/>
        </w:rPr>
        <w:t>’</w:t>
      </w:r>
      <w:r w:rsidRPr="002D6FC6">
        <w:rPr>
          <w:rFonts w:eastAsia="Calibri" w:cs="Arial"/>
          <w:lang w:val="fr-CH"/>
        </w:rPr>
        <w:t>essai à l</w:t>
      </w:r>
      <w:r w:rsidR="008E4A6E">
        <w:rPr>
          <w:rFonts w:eastAsia="Calibri" w:cs="Arial"/>
          <w:lang w:val="fr-CH"/>
        </w:rPr>
        <w:t>’</w:t>
      </w:r>
      <w:r w:rsidRPr="002D6FC6">
        <w:rPr>
          <w:rFonts w:eastAsia="Calibri" w:cs="Arial"/>
          <w:lang w:val="fr-CH"/>
        </w:rPr>
        <w:t>aide des meilleures connaissances scientifiques disponibl</w:t>
      </w:r>
      <w:r w:rsidR="00F80F77" w:rsidRPr="002D6FC6">
        <w:rPr>
          <w:rFonts w:eastAsia="Calibri" w:cs="Arial"/>
          <w:lang w:val="fr-CH"/>
        </w:rPr>
        <w:t>es</w:t>
      </w:r>
      <w:r w:rsidR="00F80F77">
        <w:rPr>
          <w:rFonts w:eastAsia="Calibri" w:cs="Arial"/>
          <w:lang w:val="fr-CH"/>
        </w:rPr>
        <w:t xml:space="preserve">.  </w:t>
      </w:r>
      <w:r w:rsidR="00F80F77" w:rsidRPr="002D6FC6">
        <w:rPr>
          <w:rFonts w:eastAsia="Calibri" w:cs="Arial"/>
          <w:lang w:val="fr-CH"/>
        </w:rPr>
        <w:t>Il</w:t>
      </w:r>
      <w:r w:rsidRPr="002D6FC6">
        <w:rPr>
          <w:rFonts w:eastAsia="Calibri" w:cs="Arial"/>
          <w:lang w:val="fr-CH"/>
        </w:rPr>
        <w:t>s travaillent à l</w:t>
      </w:r>
      <w:r w:rsidR="008E4A6E">
        <w:rPr>
          <w:rFonts w:eastAsia="Calibri" w:cs="Arial"/>
          <w:lang w:val="fr-CH"/>
        </w:rPr>
        <w:t>’</w:t>
      </w:r>
      <w:r w:rsidRPr="002D6FC6">
        <w:rPr>
          <w:rFonts w:eastAsia="Calibri" w:cs="Arial"/>
          <w:lang w:val="fr-CH"/>
        </w:rPr>
        <w:t xml:space="preserve">amélioration des </w:t>
      </w:r>
      <w:r w:rsidRPr="002D6FC6">
        <w:rPr>
          <w:rFonts w:ascii="Trebuchet MS" w:hAnsi="Trebuchet MS"/>
          <w:sz w:val="18"/>
          <w:lang w:val="fr-CH"/>
        </w:rPr>
        <w:t>“</w:t>
      </w:r>
      <w:r w:rsidRPr="00042D09">
        <w:rPr>
          <w:rFonts w:eastAsia="Calibri" w:cs="Arial"/>
          <w:b/>
          <w:bCs/>
          <w:lang w:val="fr-CH"/>
        </w:rPr>
        <w:t>Règles internationales de l</w:t>
      </w:r>
      <w:r w:rsidR="008E4A6E">
        <w:rPr>
          <w:rFonts w:eastAsia="Calibri" w:cs="Arial"/>
          <w:b/>
          <w:bCs/>
          <w:lang w:val="fr-CH"/>
        </w:rPr>
        <w:t>’</w:t>
      </w:r>
      <w:r w:rsidRPr="00042D09">
        <w:rPr>
          <w:rFonts w:eastAsia="Calibri" w:cs="Arial"/>
          <w:b/>
          <w:bCs/>
          <w:lang w:val="fr-CH"/>
        </w:rPr>
        <w:t>ISTA pour les essais de semences</w:t>
      </w:r>
      <w:r w:rsidRPr="002D6FC6">
        <w:rPr>
          <w:rFonts w:ascii="Trebuchet MS" w:hAnsi="Trebuchet MS"/>
          <w:sz w:val="18"/>
          <w:lang w:val="fr-CH"/>
        </w:rPr>
        <w:t>”</w:t>
      </w:r>
      <w:r w:rsidRPr="002D6FC6">
        <w:rPr>
          <w:rFonts w:eastAsia="Calibri" w:cs="Arial"/>
          <w:lang w:val="fr-CH"/>
        </w:rPr>
        <w:t xml:space="preserve"> et à l</w:t>
      </w:r>
      <w:r w:rsidR="008E4A6E">
        <w:rPr>
          <w:rFonts w:eastAsia="Calibri" w:cs="Arial"/>
          <w:lang w:val="fr-CH"/>
        </w:rPr>
        <w:t>’</w:t>
      </w:r>
      <w:r w:rsidRPr="002D6FC6">
        <w:rPr>
          <w:rFonts w:eastAsia="Calibri" w:cs="Arial"/>
          <w:lang w:val="fr-CH"/>
        </w:rPr>
        <w:t>élaboration de manuels de l</w:t>
      </w:r>
      <w:r w:rsidR="008E4A6E">
        <w:rPr>
          <w:rFonts w:eastAsia="Calibri" w:cs="Arial"/>
          <w:lang w:val="fr-CH"/>
        </w:rPr>
        <w:t>’</w:t>
      </w:r>
      <w:r w:rsidRPr="002D6FC6">
        <w:rPr>
          <w:rFonts w:eastAsia="Calibri" w:cs="Arial"/>
          <w:lang w:val="fr-CH"/>
        </w:rPr>
        <w:t>ISTA sur les méthodes de semences, notamment l</w:t>
      </w:r>
      <w:r w:rsidR="008E4A6E">
        <w:rPr>
          <w:rFonts w:eastAsia="Calibri" w:cs="Arial"/>
          <w:lang w:val="fr-CH"/>
        </w:rPr>
        <w:t>’</w:t>
      </w:r>
      <w:r w:rsidRPr="002D6FC6">
        <w:rPr>
          <w:rFonts w:eastAsia="Calibri" w:cs="Arial"/>
          <w:lang w:val="fr-CH"/>
        </w:rPr>
        <w:t>échantillonnage et les essa</w:t>
      </w:r>
      <w:r w:rsidR="00F80F77" w:rsidRPr="002D6FC6">
        <w:rPr>
          <w:rFonts w:eastAsia="Calibri" w:cs="Arial"/>
          <w:lang w:val="fr-CH"/>
        </w:rPr>
        <w:t>is</w:t>
      </w:r>
      <w:r w:rsidR="00F80F77">
        <w:rPr>
          <w:rFonts w:eastAsia="Calibri" w:cs="Arial"/>
          <w:lang w:val="fr-CH"/>
        </w:rPr>
        <w:t xml:space="preserve">.  </w:t>
      </w:r>
      <w:r w:rsidR="00F80F77" w:rsidRPr="002D6FC6">
        <w:rPr>
          <w:rFonts w:eastAsia="Calibri" w:cs="Arial"/>
          <w:lang w:val="fr-CH"/>
        </w:rPr>
        <w:t>Il</w:t>
      </w:r>
      <w:r w:rsidRPr="002D6FC6">
        <w:rPr>
          <w:rFonts w:eastAsia="Calibri" w:cs="Arial"/>
          <w:lang w:val="fr-CH"/>
        </w:rPr>
        <w:t>s sont en outre responsables de l</w:t>
      </w:r>
      <w:r w:rsidR="008E4A6E">
        <w:rPr>
          <w:rFonts w:eastAsia="Calibri" w:cs="Arial"/>
          <w:lang w:val="fr-CH"/>
        </w:rPr>
        <w:t>’</w:t>
      </w:r>
      <w:r w:rsidRPr="002D6FC6">
        <w:rPr>
          <w:rFonts w:eastAsia="Calibri" w:cs="Arial"/>
          <w:lang w:val="fr-CH"/>
        </w:rPr>
        <w:t>organisation de colloques, séminaires et atelie</w:t>
      </w:r>
      <w:r w:rsidR="00F80F77" w:rsidRPr="002D6FC6">
        <w:rPr>
          <w:rFonts w:eastAsia="Calibri" w:cs="Arial"/>
          <w:lang w:val="fr-CH"/>
        </w:rPr>
        <w:t>rs</w:t>
      </w:r>
      <w:r w:rsidR="00F80F77">
        <w:rPr>
          <w:rFonts w:eastAsia="Calibri" w:cs="Arial"/>
          <w:lang w:val="fr-CH"/>
        </w:rPr>
        <w:t xml:space="preserve">.  </w:t>
      </w:r>
      <w:r w:rsidR="00F80F77" w:rsidRPr="002D6FC6">
        <w:rPr>
          <w:rFonts w:eastAsia="Calibri" w:cs="Arial"/>
          <w:lang w:val="fr-CH"/>
        </w:rPr>
        <w:t>Le</w:t>
      </w:r>
      <w:r w:rsidRPr="002D6FC6">
        <w:rPr>
          <w:rFonts w:eastAsia="Calibri" w:cs="Arial"/>
          <w:lang w:val="fr-CH"/>
        </w:rPr>
        <w:t>s comités techniques de l</w:t>
      </w:r>
      <w:r w:rsidR="008E4A6E">
        <w:rPr>
          <w:rFonts w:eastAsia="Calibri" w:cs="Arial"/>
          <w:lang w:val="fr-CH"/>
        </w:rPr>
        <w:t>’</w:t>
      </w:r>
      <w:r w:rsidRPr="002D6FC6">
        <w:rPr>
          <w:rFonts w:eastAsia="Calibri" w:cs="Arial"/>
          <w:lang w:val="fr-CH"/>
        </w:rPr>
        <w:t>ISTA tiennent régulièrement des ateliers qui offrent une plateforme de formation et d</w:t>
      </w:r>
      <w:r w:rsidR="008E4A6E">
        <w:rPr>
          <w:rFonts w:eastAsia="Calibri" w:cs="Arial"/>
          <w:lang w:val="fr-CH"/>
        </w:rPr>
        <w:t>’</w:t>
      </w:r>
      <w:r w:rsidRPr="002D6FC6">
        <w:rPr>
          <w:rFonts w:eastAsia="Calibri" w:cs="Arial"/>
          <w:lang w:val="fr-CH"/>
        </w:rPr>
        <w:t>échange d</w:t>
      </w:r>
      <w:r w:rsidR="008E4A6E">
        <w:rPr>
          <w:rFonts w:eastAsia="Calibri" w:cs="Arial"/>
          <w:lang w:val="fr-CH"/>
        </w:rPr>
        <w:t>’</w:t>
      </w:r>
      <w:r w:rsidRPr="002D6FC6">
        <w:rPr>
          <w:rFonts w:eastAsia="Calibri" w:cs="Arial"/>
          <w:lang w:val="fr-CH"/>
        </w:rPr>
        <w:t>informations, de données d</w:t>
      </w:r>
      <w:r w:rsidR="008E4A6E">
        <w:rPr>
          <w:rFonts w:eastAsia="Calibri" w:cs="Arial"/>
          <w:lang w:val="fr-CH"/>
        </w:rPr>
        <w:t>’</w:t>
      </w:r>
      <w:r w:rsidRPr="002D6FC6">
        <w:rPr>
          <w:rFonts w:eastAsia="Calibri" w:cs="Arial"/>
          <w:lang w:val="fr-CH"/>
        </w:rPr>
        <w:t>expérience et d</w:t>
      </w:r>
      <w:r w:rsidR="008E4A6E">
        <w:rPr>
          <w:rFonts w:eastAsia="Calibri" w:cs="Arial"/>
          <w:lang w:val="fr-CH"/>
        </w:rPr>
        <w:t>’</w:t>
      </w:r>
      <w:r w:rsidRPr="002D6FC6">
        <w:rPr>
          <w:rFonts w:eastAsia="Calibri" w:cs="Arial"/>
          <w:lang w:val="fr-CH"/>
        </w:rPr>
        <w:t>idées.</w:t>
      </w:r>
    </w:p>
    <w:p w14:paraId="67818958" w14:textId="77777777" w:rsidR="00FF3EB3" w:rsidRPr="002D6FC6" w:rsidRDefault="00FF3EB3" w:rsidP="00FF3EB3">
      <w:pPr>
        <w:autoSpaceDE w:val="0"/>
        <w:autoSpaceDN w:val="0"/>
        <w:adjustRightInd w:val="0"/>
        <w:jc w:val="left"/>
        <w:rPr>
          <w:rFonts w:eastAsia="Calibri" w:cs="Arial"/>
          <w:lang w:val="fr-CH"/>
        </w:rPr>
      </w:pPr>
    </w:p>
    <w:p w14:paraId="6F7EDB18" w14:textId="2F1E0152" w:rsidR="00FF3EB3" w:rsidRPr="002D6FC6" w:rsidRDefault="00FF3EB3" w:rsidP="00FF3EB3">
      <w:pPr>
        <w:keepNext/>
        <w:autoSpaceDE w:val="0"/>
        <w:autoSpaceDN w:val="0"/>
        <w:adjustRightInd w:val="0"/>
        <w:jc w:val="left"/>
        <w:rPr>
          <w:rFonts w:eastAsia="Calibri" w:cs="Arial"/>
          <w:lang w:val="fr-CH"/>
        </w:rPr>
      </w:pPr>
      <w:r w:rsidRPr="002D6FC6">
        <w:rPr>
          <w:rFonts w:eastAsia="Calibri" w:cs="Arial"/>
          <w:lang w:val="fr-CH"/>
        </w:rPr>
        <w:t>L</w:t>
      </w:r>
      <w:r w:rsidR="008E4A6E">
        <w:rPr>
          <w:rFonts w:eastAsia="Calibri" w:cs="Arial"/>
          <w:lang w:val="fr-CH"/>
        </w:rPr>
        <w:t>’</w:t>
      </w:r>
      <w:r w:rsidRPr="002D6FC6">
        <w:rPr>
          <w:rFonts w:eastAsia="Calibri" w:cs="Arial"/>
          <w:lang w:val="fr-CH"/>
        </w:rPr>
        <w:t>ISTA compte 20 comités techniques</w:t>
      </w:r>
      <w:r w:rsidR="008E4A6E">
        <w:rPr>
          <w:rFonts w:eastAsia="Calibri" w:cs="Arial"/>
          <w:lang w:val="fr-CH"/>
        </w:rPr>
        <w:t> :</w:t>
      </w:r>
    </w:p>
    <w:p w14:paraId="70A817A9" w14:textId="77777777" w:rsidR="00FF3EB3" w:rsidRPr="002D6FC6" w:rsidRDefault="00FF3EB3" w:rsidP="00FF3EB3">
      <w:pPr>
        <w:keepNext/>
        <w:autoSpaceDE w:val="0"/>
        <w:autoSpaceDN w:val="0"/>
        <w:adjustRightInd w:val="0"/>
        <w:jc w:val="left"/>
        <w:rPr>
          <w:rFonts w:eastAsia="Calibri" w:cs="Arial"/>
          <w:lang w:val="fr-CH"/>
        </w:rPr>
      </w:pPr>
    </w:p>
    <w:tbl>
      <w:tblPr>
        <w:tblStyle w:val="TableGrid1"/>
        <w:tblW w:w="0" w:type="auto"/>
        <w:tblLook w:val="04A0" w:firstRow="1" w:lastRow="0" w:firstColumn="1" w:lastColumn="0" w:noHBand="0" w:noVBand="1"/>
      </w:tblPr>
      <w:tblGrid>
        <w:gridCol w:w="495"/>
        <w:gridCol w:w="6163"/>
      </w:tblGrid>
      <w:tr w:rsidR="00FF3EB3" w:rsidRPr="002D6FC6" w14:paraId="54E7ECC6" w14:textId="77777777" w:rsidTr="00F8528B">
        <w:trPr>
          <w:trHeight w:val="474"/>
        </w:trPr>
        <w:tc>
          <w:tcPr>
            <w:tcW w:w="495" w:type="dxa"/>
          </w:tcPr>
          <w:p w14:paraId="7BA0969E" w14:textId="77777777" w:rsidR="00FF3EB3" w:rsidRPr="002D6FC6" w:rsidRDefault="00FF3EB3" w:rsidP="00F8528B">
            <w:pPr>
              <w:autoSpaceDE w:val="0"/>
              <w:autoSpaceDN w:val="0"/>
              <w:adjustRightInd w:val="0"/>
              <w:jc w:val="left"/>
              <w:rPr>
                <w:rFonts w:ascii="Calibri" w:hAnsi="Calibri" w:cs="Arial"/>
                <w:lang w:val="fr-CH"/>
              </w:rPr>
            </w:pPr>
          </w:p>
        </w:tc>
        <w:tc>
          <w:tcPr>
            <w:tcW w:w="6163" w:type="dxa"/>
          </w:tcPr>
          <w:p w14:paraId="5ABF1EB6" w14:textId="77777777" w:rsidR="00FF3EB3" w:rsidRPr="002D6FC6" w:rsidRDefault="00FF3EB3" w:rsidP="00F8528B">
            <w:pPr>
              <w:autoSpaceDE w:val="0"/>
              <w:autoSpaceDN w:val="0"/>
              <w:adjustRightInd w:val="0"/>
              <w:jc w:val="left"/>
              <w:rPr>
                <w:rFonts w:ascii="Calibri" w:hAnsi="Calibri" w:cs="Arial"/>
                <w:b/>
                <w:bCs/>
                <w:lang w:val="fr-CH"/>
              </w:rPr>
            </w:pPr>
          </w:p>
          <w:p w14:paraId="710A1AEF" w14:textId="6FE478A6" w:rsidR="00FF3EB3" w:rsidRPr="00ED3D7A" w:rsidRDefault="00FF3EB3" w:rsidP="00F8528B">
            <w:pPr>
              <w:autoSpaceDE w:val="0"/>
              <w:autoSpaceDN w:val="0"/>
              <w:adjustRightInd w:val="0"/>
              <w:jc w:val="left"/>
              <w:rPr>
                <w:rFonts w:ascii="Calibri" w:hAnsi="Calibri" w:cs="Arial"/>
                <w:bCs/>
                <w:lang w:val="fr-CH"/>
              </w:rPr>
            </w:pPr>
            <w:r w:rsidRPr="00ED3D7A">
              <w:rPr>
                <w:rFonts w:ascii="Calibri" w:hAnsi="Calibri" w:cs="Arial"/>
                <w:bCs/>
                <w:lang w:val="fr-CH"/>
              </w:rPr>
              <w:lastRenderedPageBreak/>
              <w:t>Comités</w:t>
            </w:r>
            <w:r w:rsidRPr="00ED3D7A">
              <w:rPr>
                <w:rFonts w:ascii="Calibri" w:hAnsi="Calibri" w:cs="Arial"/>
                <w:bCs/>
                <w:lang w:val="fr-CH"/>
              </w:rPr>
              <w:t xml:space="preserve"> techniques</w:t>
            </w:r>
          </w:p>
          <w:p w14:paraId="2BB83577" w14:textId="77777777" w:rsidR="00FF3EB3" w:rsidRPr="002D6FC6" w:rsidRDefault="00FF3EB3" w:rsidP="00F8528B">
            <w:pPr>
              <w:autoSpaceDE w:val="0"/>
              <w:autoSpaceDN w:val="0"/>
              <w:adjustRightInd w:val="0"/>
              <w:jc w:val="left"/>
              <w:rPr>
                <w:rFonts w:ascii="Calibri" w:hAnsi="Calibri" w:cs="Arial"/>
                <w:lang w:val="fr-CH"/>
              </w:rPr>
            </w:pPr>
          </w:p>
        </w:tc>
      </w:tr>
      <w:tr w:rsidR="00FF3EB3" w:rsidRPr="00F80F77" w14:paraId="57FB3307" w14:textId="77777777" w:rsidTr="00F8528B">
        <w:tc>
          <w:tcPr>
            <w:tcW w:w="495" w:type="dxa"/>
          </w:tcPr>
          <w:p w14:paraId="607339E6"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lastRenderedPageBreak/>
              <w:t>1.</w:t>
            </w:r>
          </w:p>
        </w:tc>
        <w:tc>
          <w:tcPr>
            <w:tcW w:w="6163" w:type="dxa"/>
          </w:tcPr>
          <w:p w14:paraId="3F8121D1" w14:textId="57CD1BE3"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des technologies de pointe</w:t>
            </w:r>
          </w:p>
        </w:tc>
      </w:tr>
      <w:tr w:rsidR="00FF3EB3" w:rsidRPr="002D6FC6" w14:paraId="53511335" w14:textId="77777777" w:rsidTr="00F8528B">
        <w:tc>
          <w:tcPr>
            <w:tcW w:w="495" w:type="dxa"/>
          </w:tcPr>
          <w:p w14:paraId="5AE18728"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2.</w:t>
            </w:r>
          </w:p>
        </w:tc>
        <w:tc>
          <w:tcPr>
            <w:tcW w:w="6163" w:type="dxa"/>
          </w:tcPr>
          <w:p w14:paraId="190AEDCA" w14:textId="30485B80"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l</w:t>
            </w:r>
            <w:r w:rsidR="008E4A6E">
              <w:rPr>
                <w:rFonts w:ascii="Calibri" w:hAnsi="Calibri" w:cs="Arial"/>
                <w:lang w:val="fr-CH"/>
              </w:rPr>
              <w:t>’</w:t>
            </w:r>
            <w:r w:rsidRPr="002D6FC6">
              <w:rPr>
                <w:rFonts w:ascii="Calibri" w:hAnsi="Calibri" w:cs="Arial"/>
                <w:lang w:val="fr-CH"/>
              </w:rPr>
              <w:t>échantillonnage</w:t>
            </w:r>
          </w:p>
        </w:tc>
      </w:tr>
      <w:tr w:rsidR="00FF3EB3" w:rsidRPr="00F80F77" w14:paraId="1068188D" w14:textId="77777777" w:rsidTr="00F8528B">
        <w:tc>
          <w:tcPr>
            <w:tcW w:w="495" w:type="dxa"/>
          </w:tcPr>
          <w:p w14:paraId="685AB444"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3.</w:t>
            </w:r>
          </w:p>
        </w:tc>
        <w:tc>
          <w:tcPr>
            <w:tcW w:w="6163" w:type="dxa"/>
          </w:tcPr>
          <w:p w14:paraId="7AC270A3" w14:textId="2C79A40D"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rédaction des sciences et technologies semencières</w:t>
            </w:r>
          </w:p>
        </w:tc>
      </w:tr>
      <w:tr w:rsidR="00FF3EB3" w:rsidRPr="00F80F77" w14:paraId="488EDD4B" w14:textId="77777777" w:rsidTr="00F8528B">
        <w:tc>
          <w:tcPr>
            <w:tcW w:w="495" w:type="dxa"/>
          </w:tcPr>
          <w:p w14:paraId="04828C1A"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4.</w:t>
            </w:r>
          </w:p>
        </w:tc>
        <w:tc>
          <w:tcPr>
            <w:tcW w:w="6163" w:type="dxa"/>
          </w:tcPr>
          <w:p w14:paraId="1F4581BC" w14:textId="74A51B15"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des essais de semences florales</w:t>
            </w:r>
          </w:p>
        </w:tc>
      </w:tr>
      <w:tr w:rsidR="00FF3EB3" w:rsidRPr="00F80F77" w14:paraId="3B039378" w14:textId="77777777" w:rsidTr="00F8528B">
        <w:tc>
          <w:tcPr>
            <w:tcW w:w="495" w:type="dxa"/>
          </w:tcPr>
          <w:p w14:paraId="2BCC517A" w14:textId="24761C0E"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5.</w:t>
            </w:r>
          </w:p>
        </w:tc>
        <w:tc>
          <w:tcPr>
            <w:tcW w:w="6163" w:type="dxa"/>
          </w:tcPr>
          <w:p w14:paraId="585E76E2" w14:textId="42FBA8E5"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des semences d</w:t>
            </w:r>
            <w:r w:rsidR="008E4A6E">
              <w:rPr>
                <w:rFonts w:ascii="Calibri" w:hAnsi="Calibri" w:cs="Arial"/>
                <w:lang w:val="fr-CH"/>
              </w:rPr>
              <w:t>’</w:t>
            </w:r>
            <w:r w:rsidRPr="002D6FC6">
              <w:rPr>
                <w:rFonts w:ascii="Calibri" w:hAnsi="Calibri" w:cs="Arial"/>
                <w:lang w:val="fr-CH"/>
              </w:rPr>
              <w:t>arbres et d</w:t>
            </w:r>
            <w:r w:rsidR="008E4A6E">
              <w:rPr>
                <w:rFonts w:ascii="Calibri" w:hAnsi="Calibri" w:cs="Arial"/>
                <w:lang w:val="fr-CH"/>
              </w:rPr>
              <w:t>’</w:t>
            </w:r>
            <w:r w:rsidRPr="002D6FC6">
              <w:rPr>
                <w:rFonts w:ascii="Calibri" w:hAnsi="Calibri" w:cs="Arial"/>
                <w:lang w:val="fr-CH"/>
              </w:rPr>
              <w:t>arbustes forestiers</w:t>
            </w:r>
          </w:p>
        </w:tc>
      </w:tr>
      <w:tr w:rsidR="00FF3EB3" w:rsidRPr="002D6FC6" w14:paraId="3F301A9E" w14:textId="77777777" w:rsidTr="00F8528B">
        <w:tc>
          <w:tcPr>
            <w:tcW w:w="495" w:type="dxa"/>
          </w:tcPr>
          <w:p w14:paraId="133D347E"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6.</w:t>
            </w:r>
          </w:p>
        </w:tc>
        <w:tc>
          <w:tcPr>
            <w:tcW w:w="6163" w:type="dxa"/>
          </w:tcPr>
          <w:p w14:paraId="2E138DB5" w14:textId="230C2120"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la germination</w:t>
            </w:r>
          </w:p>
        </w:tc>
      </w:tr>
      <w:tr w:rsidR="00FF3EB3" w:rsidRPr="002D6FC6" w14:paraId="6D88B7AE" w14:textId="77777777" w:rsidTr="00F8528B">
        <w:tc>
          <w:tcPr>
            <w:tcW w:w="495" w:type="dxa"/>
          </w:tcPr>
          <w:p w14:paraId="3379EC47"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7.</w:t>
            </w:r>
          </w:p>
        </w:tc>
        <w:tc>
          <w:tcPr>
            <w:tcW w:w="6163" w:type="dxa"/>
          </w:tcPr>
          <w:p w14:paraId="676A2134" w14:textId="525CCBAB"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des OGM</w:t>
            </w:r>
          </w:p>
        </w:tc>
      </w:tr>
      <w:tr w:rsidR="00FF3EB3" w:rsidRPr="002D6FC6" w14:paraId="0FAE2789" w14:textId="77777777" w:rsidTr="00F8528B">
        <w:tc>
          <w:tcPr>
            <w:tcW w:w="495" w:type="dxa"/>
          </w:tcPr>
          <w:p w14:paraId="30FB8EB7"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8.</w:t>
            </w:r>
          </w:p>
        </w:tc>
        <w:tc>
          <w:tcPr>
            <w:tcW w:w="6163" w:type="dxa"/>
          </w:tcPr>
          <w:p w14:paraId="3D9EC9BD" w14:textId="33545812"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l</w:t>
            </w:r>
            <w:r w:rsidR="008E4A6E">
              <w:rPr>
                <w:rFonts w:ascii="Calibri" w:hAnsi="Calibri" w:cs="Arial"/>
                <w:lang w:val="fr-CH"/>
              </w:rPr>
              <w:t>’</w:t>
            </w:r>
            <w:r w:rsidRPr="002D6FC6">
              <w:rPr>
                <w:rFonts w:ascii="Calibri" w:hAnsi="Calibri" w:cs="Arial"/>
                <w:lang w:val="fr-CH"/>
              </w:rPr>
              <w:t>humidité</w:t>
            </w:r>
          </w:p>
        </w:tc>
      </w:tr>
      <w:tr w:rsidR="00FF3EB3" w:rsidRPr="002D6FC6" w14:paraId="511A8822" w14:textId="77777777" w:rsidTr="00F8528B">
        <w:tc>
          <w:tcPr>
            <w:tcW w:w="495" w:type="dxa"/>
          </w:tcPr>
          <w:p w14:paraId="272F7E60"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9.</w:t>
            </w:r>
          </w:p>
        </w:tc>
        <w:tc>
          <w:tcPr>
            <w:tcW w:w="6163" w:type="dxa"/>
          </w:tcPr>
          <w:p w14:paraId="640FE6EA" w14:textId="35EB1984"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nomenclature</w:t>
            </w:r>
          </w:p>
        </w:tc>
      </w:tr>
      <w:tr w:rsidR="00FF3EB3" w:rsidRPr="00F80F77" w14:paraId="01C60936" w14:textId="77777777" w:rsidTr="00F8528B">
        <w:tc>
          <w:tcPr>
            <w:tcW w:w="495" w:type="dxa"/>
          </w:tcPr>
          <w:p w14:paraId="01E55420"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10.</w:t>
            </w:r>
          </w:p>
        </w:tc>
        <w:tc>
          <w:tcPr>
            <w:tcW w:w="6163" w:type="dxa"/>
          </w:tcPr>
          <w:p w14:paraId="55D905F2" w14:textId="37778E48"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des essais de rendement</w:t>
            </w:r>
          </w:p>
        </w:tc>
      </w:tr>
      <w:tr w:rsidR="00FF3EB3" w:rsidRPr="002D6FC6" w14:paraId="21505863" w14:textId="77777777" w:rsidTr="00F8528B">
        <w:tc>
          <w:tcPr>
            <w:tcW w:w="495" w:type="dxa"/>
          </w:tcPr>
          <w:p w14:paraId="255BFD23"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11.</w:t>
            </w:r>
          </w:p>
        </w:tc>
        <w:tc>
          <w:tcPr>
            <w:tcW w:w="6163" w:type="dxa"/>
          </w:tcPr>
          <w:p w14:paraId="550AFB1D" w14:textId="25186730"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la pureté</w:t>
            </w:r>
          </w:p>
        </w:tc>
      </w:tr>
      <w:tr w:rsidR="00FF3EB3" w:rsidRPr="002D6FC6" w14:paraId="7F2C8A24" w14:textId="77777777" w:rsidTr="00F8528B">
        <w:tc>
          <w:tcPr>
            <w:tcW w:w="495" w:type="dxa"/>
          </w:tcPr>
          <w:p w14:paraId="225B8111"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12.</w:t>
            </w:r>
          </w:p>
        </w:tc>
        <w:tc>
          <w:tcPr>
            <w:tcW w:w="6163" w:type="dxa"/>
          </w:tcPr>
          <w:p w14:paraId="2B733E5F" w14:textId="5F5B096C"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des règles</w:t>
            </w:r>
          </w:p>
        </w:tc>
      </w:tr>
      <w:tr w:rsidR="00FF3EB3" w:rsidRPr="00F80F77" w14:paraId="20F357F5" w14:textId="77777777" w:rsidTr="00F8528B">
        <w:tc>
          <w:tcPr>
            <w:tcW w:w="495" w:type="dxa"/>
          </w:tcPr>
          <w:p w14:paraId="6ABC79CB"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13.</w:t>
            </w:r>
          </w:p>
        </w:tc>
        <w:tc>
          <w:tcPr>
            <w:tcW w:w="6163" w:type="dxa"/>
          </w:tcPr>
          <w:p w14:paraId="5B993E2E" w14:textId="2E97E1A2"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la santé des semences</w:t>
            </w:r>
          </w:p>
        </w:tc>
      </w:tr>
      <w:tr w:rsidR="00FF3EB3" w:rsidRPr="00F80F77" w14:paraId="7AE7DEDE" w14:textId="77777777" w:rsidTr="00F8528B">
        <w:tc>
          <w:tcPr>
            <w:tcW w:w="495" w:type="dxa"/>
          </w:tcPr>
          <w:p w14:paraId="32822566"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14.</w:t>
            </w:r>
          </w:p>
        </w:tc>
        <w:tc>
          <w:tcPr>
            <w:tcW w:w="6163" w:type="dxa"/>
          </w:tcPr>
          <w:p w14:paraId="45E19A43"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Groupe consultatif sur la science des semences</w:t>
            </w:r>
          </w:p>
        </w:tc>
      </w:tr>
      <w:tr w:rsidR="00FF3EB3" w:rsidRPr="002D6FC6" w14:paraId="0A8C71C4" w14:textId="77777777" w:rsidTr="00F8528B">
        <w:tc>
          <w:tcPr>
            <w:tcW w:w="495" w:type="dxa"/>
          </w:tcPr>
          <w:p w14:paraId="2C5DE562"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15.</w:t>
            </w:r>
          </w:p>
        </w:tc>
        <w:tc>
          <w:tcPr>
            <w:tcW w:w="6163" w:type="dxa"/>
          </w:tcPr>
          <w:p w14:paraId="2935A876" w14:textId="703E7864"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statistique</w:t>
            </w:r>
          </w:p>
        </w:tc>
      </w:tr>
      <w:tr w:rsidR="00FF3EB3" w:rsidRPr="00F80F77" w14:paraId="4B0B1364" w14:textId="77777777" w:rsidTr="00F8528B">
        <w:tc>
          <w:tcPr>
            <w:tcW w:w="495" w:type="dxa"/>
          </w:tcPr>
          <w:p w14:paraId="48F516D6"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16.</w:t>
            </w:r>
          </w:p>
        </w:tc>
        <w:tc>
          <w:tcPr>
            <w:tcW w:w="6163" w:type="dxa"/>
          </w:tcPr>
          <w:p w14:paraId="7D79F724" w14:textId="4B9C200B"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la conservation des semences</w:t>
            </w:r>
          </w:p>
        </w:tc>
      </w:tr>
      <w:tr w:rsidR="00FF3EB3" w:rsidRPr="002D6FC6" w14:paraId="30F5A406" w14:textId="77777777" w:rsidTr="00F8528B">
        <w:tc>
          <w:tcPr>
            <w:tcW w:w="495" w:type="dxa"/>
          </w:tcPr>
          <w:p w14:paraId="02F3D227"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17.</w:t>
            </w:r>
          </w:p>
        </w:tc>
        <w:tc>
          <w:tcPr>
            <w:tcW w:w="6163" w:type="dxa"/>
          </w:tcPr>
          <w:p w14:paraId="5ED1C815" w14:textId="4D12AE65"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du </w:t>
            </w:r>
            <w:proofErr w:type="spellStart"/>
            <w:r w:rsidRPr="002D6FC6">
              <w:rPr>
                <w:rFonts w:ascii="Calibri" w:hAnsi="Calibri" w:cs="Arial"/>
                <w:lang w:val="fr-CH"/>
              </w:rPr>
              <w:t>tétrazolium</w:t>
            </w:r>
            <w:proofErr w:type="spellEnd"/>
          </w:p>
        </w:tc>
      </w:tr>
      <w:tr w:rsidR="00FF3EB3" w:rsidRPr="002D6FC6" w14:paraId="0471D40E" w14:textId="77777777" w:rsidTr="00F8528B">
        <w:tc>
          <w:tcPr>
            <w:tcW w:w="495" w:type="dxa"/>
          </w:tcPr>
          <w:p w14:paraId="5AA25537"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18.</w:t>
            </w:r>
          </w:p>
        </w:tc>
        <w:tc>
          <w:tcPr>
            <w:tcW w:w="6163" w:type="dxa"/>
          </w:tcPr>
          <w:p w14:paraId="20AC136C" w14:textId="7E96B02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des variétés</w:t>
            </w:r>
          </w:p>
        </w:tc>
      </w:tr>
      <w:tr w:rsidR="00FF3EB3" w:rsidRPr="002D6FC6" w14:paraId="62219823" w14:textId="77777777" w:rsidTr="00F8528B">
        <w:tc>
          <w:tcPr>
            <w:tcW w:w="495" w:type="dxa"/>
          </w:tcPr>
          <w:p w14:paraId="1DE0CAF2"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19.</w:t>
            </w:r>
          </w:p>
        </w:tc>
        <w:tc>
          <w:tcPr>
            <w:tcW w:w="6163" w:type="dxa"/>
          </w:tcPr>
          <w:p w14:paraId="53D65FAF" w14:textId="7EE7D81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Comité</w:t>
            </w:r>
            <w:r w:rsidRPr="002D6FC6">
              <w:rPr>
                <w:rFonts w:ascii="Calibri" w:hAnsi="Calibri" w:cs="Arial"/>
                <w:lang w:val="fr-CH"/>
              </w:rPr>
              <w:t xml:space="preserve"> de la vigueur</w:t>
            </w:r>
          </w:p>
        </w:tc>
      </w:tr>
      <w:tr w:rsidR="00FF3EB3" w:rsidRPr="00F80F77" w14:paraId="3B913056" w14:textId="77777777" w:rsidTr="00F8528B">
        <w:tc>
          <w:tcPr>
            <w:tcW w:w="495" w:type="dxa"/>
          </w:tcPr>
          <w:p w14:paraId="3DD64F35"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20.</w:t>
            </w:r>
          </w:p>
        </w:tc>
        <w:tc>
          <w:tcPr>
            <w:tcW w:w="6163" w:type="dxa"/>
          </w:tcPr>
          <w:p w14:paraId="61A96B95" w14:textId="77777777" w:rsidR="00FF3EB3" w:rsidRPr="002D6FC6" w:rsidRDefault="00FF3EB3" w:rsidP="00F8528B">
            <w:pPr>
              <w:autoSpaceDE w:val="0"/>
              <w:autoSpaceDN w:val="0"/>
              <w:adjustRightInd w:val="0"/>
              <w:jc w:val="left"/>
              <w:rPr>
                <w:rFonts w:ascii="Calibri" w:hAnsi="Calibri" w:cs="Arial"/>
                <w:lang w:val="fr-CH"/>
              </w:rPr>
            </w:pPr>
            <w:r w:rsidRPr="002D6FC6">
              <w:rPr>
                <w:rFonts w:ascii="Calibri" w:hAnsi="Calibri" w:cs="Arial"/>
                <w:lang w:val="fr-CH"/>
              </w:rPr>
              <w:t>Groupe de travail sur les espèces sauvages</w:t>
            </w:r>
          </w:p>
        </w:tc>
      </w:tr>
    </w:tbl>
    <w:p w14:paraId="4BF81AB9" w14:textId="77777777" w:rsidR="00FF3EB3" w:rsidRPr="002D6FC6" w:rsidRDefault="00FF3EB3" w:rsidP="00FF3EB3">
      <w:pPr>
        <w:spacing w:after="160" w:line="259" w:lineRule="auto"/>
        <w:jc w:val="left"/>
        <w:rPr>
          <w:rFonts w:ascii="Calibri" w:eastAsia="Calibri" w:hAnsi="Calibri"/>
          <w:b/>
          <w:bCs/>
          <w:sz w:val="22"/>
          <w:szCs w:val="22"/>
          <w:lang w:val="fr-CH"/>
        </w:rPr>
      </w:pPr>
    </w:p>
    <w:p w14:paraId="08260FFD" w14:textId="0764CAAE" w:rsidR="00FF3EB3" w:rsidRPr="002D6FC6" w:rsidRDefault="00FF3EB3" w:rsidP="00FF3EB3">
      <w:pPr>
        <w:spacing w:after="160" w:line="259" w:lineRule="auto"/>
        <w:jc w:val="left"/>
        <w:rPr>
          <w:rFonts w:ascii="Calibri" w:eastAsia="Calibri" w:hAnsi="Calibri"/>
          <w:bCs/>
          <w:sz w:val="22"/>
          <w:szCs w:val="22"/>
          <w:lang w:val="fr-CH"/>
        </w:rPr>
      </w:pPr>
      <w:r w:rsidRPr="002D6FC6">
        <w:rPr>
          <w:rFonts w:ascii="Calibri" w:eastAsia="Calibri" w:hAnsi="Calibri"/>
          <w:bCs/>
          <w:sz w:val="22"/>
          <w:szCs w:val="22"/>
          <w:lang w:val="fr-CH"/>
        </w:rPr>
        <w:t>Programme d</w:t>
      </w:r>
      <w:r w:rsidR="008E4A6E">
        <w:rPr>
          <w:rFonts w:ascii="Calibri" w:eastAsia="Calibri" w:hAnsi="Calibri"/>
          <w:bCs/>
          <w:sz w:val="22"/>
          <w:szCs w:val="22"/>
          <w:lang w:val="fr-CH"/>
        </w:rPr>
        <w:t>’</w:t>
      </w:r>
      <w:r w:rsidRPr="002D6FC6">
        <w:rPr>
          <w:rFonts w:ascii="Calibri" w:eastAsia="Calibri" w:hAnsi="Calibri"/>
          <w:bCs/>
          <w:sz w:val="22"/>
          <w:szCs w:val="22"/>
          <w:lang w:val="fr-CH"/>
        </w:rPr>
        <w:t>accréditation de l</w:t>
      </w:r>
      <w:r w:rsidR="008E4A6E">
        <w:rPr>
          <w:rFonts w:ascii="Calibri" w:eastAsia="Calibri" w:hAnsi="Calibri"/>
          <w:bCs/>
          <w:sz w:val="22"/>
          <w:szCs w:val="22"/>
          <w:lang w:val="fr-CH"/>
        </w:rPr>
        <w:t>’</w:t>
      </w:r>
      <w:r w:rsidRPr="002D6FC6">
        <w:rPr>
          <w:rFonts w:ascii="Calibri" w:eastAsia="Calibri" w:hAnsi="Calibri"/>
          <w:bCs/>
          <w:sz w:val="22"/>
          <w:szCs w:val="22"/>
          <w:lang w:val="fr-CH"/>
        </w:rPr>
        <w:t>ISTA</w:t>
      </w:r>
      <w:r w:rsidR="008E4A6E">
        <w:rPr>
          <w:rFonts w:ascii="Calibri" w:eastAsia="Calibri" w:hAnsi="Calibri"/>
          <w:bCs/>
          <w:sz w:val="22"/>
          <w:szCs w:val="22"/>
          <w:lang w:val="fr-CH"/>
        </w:rPr>
        <w:t> :</w:t>
      </w:r>
    </w:p>
    <w:p w14:paraId="37401C27" w14:textId="7E07F58A" w:rsidR="00FF3EB3" w:rsidRPr="002D6FC6" w:rsidRDefault="00FF3EB3" w:rsidP="00FF3EB3">
      <w:pPr>
        <w:rPr>
          <w:rFonts w:eastAsia="Calibri" w:cs="Arial"/>
          <w:lang w:val="fr-CH"/>
        </w:rPr>
      </w:pPr>
      <w:r w:rsidRPr="002D6FC6">
        <w:rPr>
          <w:rFonts w:eastAsia="Calibri" w:cs="Arial"/>
          <w:lang w:val="fr-CH"/>
        </w:rPr>
        <w:t>L</w:t>
      </w:r>
      <w:r w:rsidR="008E4A6E">
        <w:rPr>
          <w:rFonts w:eastAsia="Calibri" w:cs="Arial"/>
          <w:lang w:val="fr-CH"/>
        </w:rPr>
        <w:t>’</w:t>
      </w:r>
      <w:r w:rsidRPr="002D6FC6">
        <w:rPr>
          <w:rFonts w:eastAsia="Calibri" w:cs="Arial"/>
          <w:lang w:val="fr-CH"/>
        </w:rPr>
        <w:t>accréditation de l</w:t>
      </w:r>
      <w:r w:rsidR="008E4A6E">
        <w:rPr>
          <w:rFonts w:eastAsia="Calibri" w:cs="Arial"/>
          <w:lang w:val="fr-CH"/>
        </w:rPr>
        <w:t>’</w:t>
      </w:r>
      <w:r w:rsidRPr="002D6FC6">
        <w:rPr>
          <w:rFonts w:eastAsia="Calibri" w:cs="Arial"/>
          <w:lang w:val="fr-CH"/>
        </w:rPr>
        <w:t>ISTA consiste à vérifier si un laboratoire est techniquement compétent pour mener des procédures d</w:t>
      </w:r>
      <w:r w:rsidR="008E4A6E">
        <w:rPr>
          <w:rFonts w:eastAsia="Calibri" w:cs="Arial"/>
          <w:lang w:val="fr-CH"/>
        </w:rPr>
        <w:t>’</w:t>
      </w:r>
      <w:r w:rsidRPr="002D6FC6">
        <w:rPr>
          <w:rFonts w:eastAsia="Calibri" w:cs="Arial"/>
          <w:lang w:val="fr-CH"/>
        </w:rPr>
        <w:t>échantillonnage et d</w:t>
      </w:r>
      <w:r w:rsidR="008E4A6E">
        <w:rPr>
          <w:rFonts w:eastAsia="Calibri" w:cs="Arial"/>
          <w:lang w:val="fr-CH"/>
        </w:rPr>
        <w:t>’</w:t>
      </w:r>
      <w:r w:rsidRPr="002D6FC6">
        <w:rPr>
          <w:rFonts w:eastAsia="Calibri" w:cs="Arial"/>
          <w:lang w:val="fr-CH"/>
        </w:rPr>
        <w:t xml:space="preserve">essais de semences conformément aux </w:t>
      </w:r>
      <w:hyperlink r:id="rId19" w:history="1">
        <w:r w:rsidRPr="002D6FC6">
          <w:rPr>
            <w:rStyle w:val="Hyperlink"/>
            <w:rFonts w:cs="Arial"/>
            <w:color w:val="auto"/>
            <w:lang w:val="fr-CH"/>
          </w:rPr>
          <w:t>Règles internationales de l</w:t>
        </w:r>
        <w:r w:rsidR="008E4A6E">
          <w:rPr>
            <w:rStyle w:val="Hyperlink"/>
            <w:rFonts w:cs="Arial"/>
            <w:color w:val="auto"/>
            <w:lang w:val="fr-CH"/>
          </w:rPr>
          <w:t>’</w:t>
        </w:r>
        <w:r w:rsidRPr="002D6FC6">
          <w:rPr>
            <w:rStyle w:val="Hyperlink"/>
            <w:rFonts w:cs="Arial"/>
            <w:color w:val="auto"/>
            <w:lang w:val="fr-CH"/>
          </w:rPr>
          <w:t>ISTA pour les essais de semences</w:t>
        </w:r>
      </w:hyperlink>
      <w:r w:rsidRPr="002D6FC6">
        <w:rPr>
          <w:rFonts w:eastAsia="Calibri" w:cs="Arial"/>
          <w:lang w:val="fr-CH"/>
        </w:rPr>
        <w:t>.  Les laboratoires accrédités doivent gérer un système d</w:t>
      </w:r>
      <w:r w:rsidR="008E4A6E">
        <w:rPr>
          <w:rFonts w:eastAsia="Calibri" w:cs="Arial"/>
          <w:lang w:val="fr-CH"/>
        </w:rPr>
        <w:t>’</w:t>
      </w:r>
      <w:r w:rsidRPr="002D6FC6">
        <w:rPr>
          <w:rFonts w:eastAsia="Calibri" w:cs="Arial"/>
          <w:lang w:val="fr-CH"/>
        </w:rPr>
        <w:t>assurance qualité, remplissant les exigences de la norme ISTA d</w:t>
      </w:r>
      <w:r w:rsidR="008E4A6E">
        <w:rPr>
          <w:rFonts w:eastAsia="Calibri" w:cs="Arial"/>
          <w:lang w:val="fr-CH"/>
        </w:rPr>
        <w:t>’</w:t>
      </w:r>
      <w:r w:rsidRPr="002D6FC6">
        <w:rPr>
          <w:rFonts w:eastAsia="Calibri" w:cs="Arial"/>
          <w:lang w:val="fr-CH"/>
        </w:rPr>
        <w:t>accréditati</w:t>
      </w:r>
      <w:r w:rsidR="00F80F77" w:rsidRPr="002D6FC6">
        <w:rPr>
          <w:rFonts w:eastAsia="Calibri" w:cs="Arial"/>
          <w:lang w:val="fr-CH"/>
        </w:rPr>
        <w:t>on</w:t>
      </w:r>
      <w:r w:rsidR="00F80F77">
        <w:rPr>
          <w:rFonts w:eastAsia="Calibri" w:cs="Arial"/>
          <w:lang w:val="fr-CH"/>
        </w:rPr>
        <w:t xml:space="preserve">.  </w:t>
      </w:r>
      <w:r w:rsidR="00F80F77" w:rsidRPr="002D6FC6">
        <w:rPr>
          <w:rFonts w:eastAsia="Calibri" w:cs="Arial"/>
          <w:lang w:val="fr-CH"/>
        </w:rPr>
        <w:t>L</w:t>
      </w:r>
      <w:r w:rsidR="00F80F77">
        <w:rPr>
          <w:rFonts w:eastAsia="Calibri" w:cs="Arial"/>
          <w:lang w:val="fr-CH"/>
        </w:rPr>
        <w:t>’</w:t>
      </w:r>
      <w:r w:rsidR="00F80F77" w:rsidRPr="002D6FC6">
        <w:rPr>
          <w:rFonts w:eastAsia="Calibri" w:cs="Arial"/>
          <w:lang w:val="fr-CH"/>
        </w:rPr>
        <w:t>a</w:t>
      </w:r>
      <w:r w:rsidRPr="002D6FC6">
        <w:rPr>
          <w:rFonts w:eastAsia="Calibri" w:cs="Arial"/>
          <w:lang w:val="fr-CH"/>
        </w:rPr>
        <w:t>ccréditation peut être accordée aux</w:t>
      </w:r>
      <w:r w:rsidR="008E4A6E">
        <w:rPr>
          <w:rFonts w:eastAsia="Calibri" w:cs="Arial"/>
          <w:lang w:val="fr-CH"/>
        </w:rPr>
        <w:t> :</w:t>
      </w:r>
    </w:p>
    <w:p w14:paraId="3184C355" w14:textId="77777777" w:rsidR="00FF3EB3" w:rsidRPr="002D6FC6" w:rsidRDefault="00FF3EB3" w:rsidP="00ED3D7A">
      <w:pPr>
        <w:numPr>
          <w:ilvl w:val="0"/>
          <w:numId w:val="11"/>
        </w:numPr>
        <w:shd w:val="clear" w:color="auto" w:fill="FFFFFF"/>
        <w:tabs>
          <w:tab w:val="clear" w:pos="720"/>
          <w:tab w:val="num" w:pos="1134"/>
        </w:tabs>
        <w:spacing w:before="100" w:beforeAutospacing="1" w:line="259" w:lineRule="auto"/>
        <w:ind w:left="1134" w:hanging="567"/>
        <w:jc w:val="left"/>
        <w:rPr>
          <w:rFonts w:eastAsia="Calibri" w:cs="Arial"/>
          <w:lang w:val="fr-CH"/>
        </w:rPr>
      </w:pPr>
      <w:proofErr w:type="gramStart"/>
      <w:r w:rsidRPr="002D6FC6">
        <w:rPr>
          <w:rFonts w:eastAsia="Calibri" w:cs="Arial"/>
          <w:lang w:val="fr-CH"/>
        </w:rPr>
        <w:t>entités</w:t>
      </w:r>
      <w:proofErr w:type="gramEnd"/>
      <w:r w:rsidRPr="002D6FC6">
        <w:rPr>
          <w:rFonts w:eastAsia="Calibri" w:cs="Arial"/>
          <w:lang w:val="fr-CH"/>
        </w:rPr>
        <w:t xml:space="preserve"> effectuant uniquement des échantillonnages</w:t>
      </w:r>
    </w:p>
    <w:p w14:paraId="4D467270" w14:textId="77777777" w:rsidR="00FF3EB3" w:rsidRPr="002D6FC6" w:rsidRDefault="00FF3EB3" w:rsidP="00ED3D7A">
      <w:pPr>
        <w:shd w:val="clear" w:color="auto" w:fill="FFFFFF"/>
        <w:tabs>
          <w:tab w:val="num" w:pos="1134"/>
        </w:tabs>
        <w:spacing w:line="259" w:lineRule="auto"/>
        <w:ind w:left="1134" w:hanging="567"/>
        <w:jc w:val="left"/>
        <w:rPr>
          <w:rFonts w:eastAsia="Calibri" w:cs="Arial"/>
          <w:lang w:val="fr-CH"/>
        </w:rPr>
      </w:pPr>
    </w:p>
    <w:p w14:paraId="22A1155F" w14:textId="77777777" w:rsidR="00FF3EB3" w:rsidRPr="002D6FC6" w:rsidRDefault="00FF3EB3" w:rsidP="00ED3D7A">
      <w:pPr>
        <w:numPr>
          <w:ilvl w:val="0"/>
          <w:numId w:val="11"/>
        </w:numPr>
        <w:shd w:val="clear" w:color="auto" w:fill="FFFFFF"/>
        <w:tabs>
          <w:tab w:val="clear" w:pos="720"/>
          <w:tab w:val="num" w:pos="1134"/>
        </w:tabs>
        <w:spacing w:line="259" w:lineRule="auto"/>
        <w:ind w:left="1134" w:hanging="567"/>
        <w:jc w:val="left"/>
        <w:rPr>
          <w:rFonts w:eastAsia="Calibri" w:cs="Arial"/>
          <w:lang w:val="fr-CH"/>
        </w:rPr>
      </w:pPr>
      <w:proofErr w:type="gramStart"/>
      <w:r w:rsidRPr="002D6FC6">
        <w:rPr>
          <w:rFonts w:eastAsia="Calibri" w:cs="Arial"/>
          <w:lang w:val="fr-CH"/>
        </w:rPr>
        <w:t>laboratoires</w:t>
      </w:r>
      <w:proofErr w:type="gramEnd"/>
      <w:r w:rsidRPr="002D6FC6">
        <w:rPr>
          <w:rFonts w:eastAsia="Calibri" w:cs="Arial"/>
          <w:lang w:val="fr-CH"/>
        </w:rPr>
        <w:t xml:space="preserve"> effectuant uniquement des essais</w:t>
      </w:r>
    </w:p>
    <w:p w14:paraId="18BD9975" w14:textId="77777777" w:rsidR="00FF3EB3" w:rsidRPr="002D6FC6" w:rsidRDefault="00FF3EB3" w:rsidP="00ED3D7A">
      <w:pPr>
        <w:pStyle w:val="ListParagraph"/>
        <w:tabs>
          <w:tab w:val="num" w:pos="1134"/>
        </w:tabs>
        <w:ind w:left="1134" w:hanging="567"/>
        <w:rPr>
          <w:rFonts w:eastAsia="Calibri" w:cs="Arial"/>
          <w:lang w:val="fr-CH"/>
        </w:rPr>
      </w:pPr>
    </w:p>
    <w:p w14:paraId="3CB4DCF8" w14:textId="77777777" w:rsidR="00FF3EB3" w:rsidRPr="002D6FC6" w:rsidRDefault="00FF3EB3" w:rsidP="00ED3D7A">
      <w:pPr>
        <w:numPr>
          <w:ilvl w:val="0"/>
          <w:numId w:val="11"/>
        </w:numPr>
        <w:shd w:val="clear" w:color="auto" w:fill="FFFFFF"/>
        <w:tabs>
          <w:tab w:val="clear" w:pos="720"/>
          <w:tab w:val="num" w:pos="1134"/>
        </w:tabs>
        <w:spacing w:after="100" w:afterAutospacing="1" w:line="259" w:lineRule="auto"/>
        <w:ind w:left="1134" w:hanging="567"/>
        <w:jc w:val="left"/>
        <w:rPr>
          <w:rFonts w:eastAsia="Calibri" w:cs="Arial"/>
          <w:lang w:val="fr-CH"/>
        </w:rPr>
      </w:pPr>
      <w:proofErr w:type="gramStart"/>
      <w:r w:rsidRPr="002D6FC6">
        <w:rPr>
          <w:rFonts w:eastAsia="Calibri" w:cs="Arial"/>
          <w:lang w:val="fr-CH"/>
        </w:rPr>
        <w:t>laboratoires</w:t>
      </w:r>
      <w:proofErr w:type="gramEnd"/>
      <w:r w:rsidRPr="002D6FC6">
        <w:rPr>
          <w:rFonts w:eastAsia="Calibri" w:cs="Arial"/>
          <w:lang w:val="fr-CH"/>
        </w:rPr>
        <w:t xml:space="preserve"> effectuant des échantillonnages et des essais.</w:t>
      </w:r>
    </w:p>
    <w:p w14:paraId="018DEA2B" w14:textId="466EE0F7" w:rsidR="00FF3EB3" w:rsidRPr="002D6FC6" w:rsidRDefault="00FF3EB3" w:rsidP="00FF3EB3">
      <w:pPr>
        <w:spacing w:after="160" w:line="259" w:lineRule="auto"/>
        <w:jc w:val="left"/>
        <w:rPr>
          <w:rFonts w:ascii="Calibri" w:eastAsia="Calibri" w:hAnsi="Calibri"/>
          <w:bCs/>
          <w:sz w:val="22"/>
          <w:szCs w:val="22"/>
          <w:lang w:val="fr-CH"/>
        </w:rPr>
      </w:pPr>
      <w:r w:rsidRPr="002D6FC6">
        <w:rPr>
          <w:rFonts w:ascii="Calibri" w:eastAsia="Calibri" w:hAnsi="Calibri"/>
          <w:bCs/>
          <w:sz w:val="22"/>
          <w:szCs w:val="22"/>
          <w:lang w:val="fr-CH"/>
        </w:rPr>
        <w:t>LES CERTIFICATS DE L</w:t>
      </w:r>
      <w:r w:rsidR="008E4A6E">
        <w:rPr>
          <w:rFonts w:ascii="Calibri" w:eastAsia="Calibri" w:hAnsi="Calibri"/>
          <w:bCs/>
          <w:sz w:val="22"/>
          <w:szCs w:val="22"/>
          <w:lang w:val="fr-CH"/>
        </w:rPr>
        <w:t>’</w:t>
      </w:r>
      <w:r w:rsidRPr="002D6FC6">
        <w:rPr>
          <w:rFonts w:ascii="Calibri" w:eastAsia="Calibri" w:hAnsi="Calibri"/>
          <w:bCs/>
          <w:sz w:val="22"/>
          <w:szCs w:val="22"/>
          <w:lang w:val="fr-CH"/>
        </w:rPr>
        <w:t>ISTA</w:t>
      </w:r>
      <w:r w:rsidR="008E4A6E">
        <w:rPr>
          <w:rFonts w:ascii="Calibri" w:eastAsia="Calibri" w:hAnsi="Calibri"/>
          <w:bCs/>
          <w:sz w:val="22"/>
          <w:szCs w:val="22"/>
          <w:lang w:val="fr-CH"/>
        </w:rPr>
        <w:t> :</w:t>
      </w:r>
      <w:r w:rsidRPr="002D6FC6">
        <w:rPr>
          <w:rFonts w:ascii="Calibri" w:eastAsia="Calibri" w:hAnsi="Calibri"/>
          <w:bCs/>
          <w:sz w:val="22"/>
          <w:szCs w:val="22"/>
          <w:lang w:val="fr-CH"/>
        </w:rPr>
        <w:t xml:space="preserve"> UN PASSEPORT POUR LE COMMERCE INTERNATIONAL DES SEMENCES</w:t>
      </w:r>
    </w:p>
    <w:p w14:paraId="3C5D1F74" w14:textId="0C5BE991" w:rsidR="00FF3EB3" w:rsidRPr="002D6FC6" w:rsidRDefault="00FF3EB3" w:rsidP="00FF3EB3">
      <w:pPr>
        <w:spacing w:after="160" w:line="259" w:lineRule="auto"/>
        <w:rPr>
          <w:rFonts w:eastAsia="Calibri" w:cs="Arial"/>
          <w:lang w:val="fr-CH"/>
        </w:rPr>
      </w:pPr>
      <w:r w:rsidRPr="002D6FC6">
        <w:rPr>
          <w:rFonts w:eastAsia="Calibri" w:cs="Arial"/>
          <w:lang w:val="fr-CH"/>
        </w:rPr>
        <w:t>Seuls les laboratoires agréés par l</w:t>
      </w:r>
      <w:r w:rsidR="008E4A6E">
        <w:rPr>
          <w:rFonts w:eastAsia="Calibri" w:cs="Arial"/>
          <w:lang w:val="fr-CH"/>
        </w:rPr>
        <w:t>’</w:t>
      </w:r>
      <w:r w:rsidRPr="002D6FC6">
        <w:rPr>
          <w:rFonts w:eastAsia="Calibri" w:cs="Arial"/>
          <w:lang w:val="fr-CH"/>
        </w:rPr>
        <w:t>ISTA sont autorisés à délivrer des certificats de l</w:t>
      </w:r>
      <w:r w:rsidR="008E4A6E">
        <w:rPr>
          <w:rFonts w:eastAsia="Calibri" w:cs="Arial"/>
          <w:lang w:val="fr-CH"/>
        </w:rPr>
        <w:t>’</w:t>
      </w:r>
      <w:r w:rsidRPr="002D6FC6">
        <w:rPr>
          <w:rFonts w:eastAsia="Calibri" w:cs="Arial"/>
          <w:lang w:val="fr-CH"/>
        </w:rPr>
        <w:t>ISTA pour l</w:t>
      </w:r>
      <w:r w:rsidR="008E4A6E">
        <w:rPr>
          <w:rFonts w:eastAsia="Calibri" w:cs="Arial"/>
          <w:lang w:val="fr-CH"/>
        </w:rPr>
        <w:t>’</w:t>
      </w:r>
      <w:r w:rsidRPr="002D6FC6">
        <w:rPr>
          <w:rFonts w:eastAsia="Calibri" w:cs="Arial"/>
          <w:lang w:val="fr-CH"/>
        </w:rPr>
        <w:t>analyse des semences.</w:t>
      </w:r>
    </w:p>
    <w:p w14:paraId="5B8C88F2" w14:textId="584F2F95" w:rsidR="00FF3EB3" w:rsidRPr="002D6FC6" w:rsidRDefault="00FF3EB3" w:rsidP="00FF3EB3">
      <w:pPr>
        <w:spacing w:after="160" w:line="259" w:lineRule="auto"/>
        <w:rPr>
          <w:rFonts w:eastAsia="Calibri" w:cs="Arial"/>
          <w:lang w:val="fr-CH"/>
        </w:rPr>
      </w:pPr>
      <w:r w:rsidRPr="002D6FC6">
        <w:rPr>
          <w:rFonts w:eastAsia="Calibri" w:cs="Arial"/>
          <w:lang w:val="fr-CH"/>
        </w:rPr>
        <w:t>En reportant les résultats des essais de semences sur les certificats de l</w:t>
      </w:r>
      <w:r w:rsidR="008E4A6E">
        <w:rPr>
          <w:rFonts w:eastAsia="Calibri" w:cs="Arial"/>
          <w:lang w:val="fr-CH"/>
        </w:rPr>
        <w:t>’</w:t>
      </w:r>
      <w:r w:rsidRPr="002D6FC6">
        <w:rPr>
          <w:rFonts w:eastAsia="Calibri" w:cs="Arial"/>
          <w:lang w:val="fr-CH"/>
        </w:rPr>
        <w:t>ISTA, le laboratoire qui délivre le certificat garantit que l</w:t>
      </w:r>
      <w:r w:rsidR="008E4A6E">
        <w:rPr>
          <w:rFonts w:eastAsia="Calibri" w:cs="Arial"/>
          <w:lang w:val="fr-CH"/>
        </w:rPr>
        <w:t>’</w:t>
      </w:r>
      <w:r w:rsidRPr="002D6FC6">
        <w:rPr>
          <w:rFonts w:eastAsia="Calibri" w:cs="Arial"/>
          <w:lang w:val="fr-CH"/>
        </w:rPr>
        <w:t>échantillonnage et les essais ont été effectués conformément aux règles de l</w:t>
      </w:r>
      <w:r w:rsidR="008E4A6E">
        <w:rPr>
          <w:rFonts w:eastAsia="Calibri" w:cs="Arial"/>
          <w:lang w:val="fr-CH"/>
        </w:rPr>
        <w:t>’</w:t>
      </w:r>
      <w:r w:rsidRPr="002D6FC6">
        <w:rPr>
          <w:rFonts w:eastAsia="Calibri" w:cs="Arial"/>
          <w:lang w:val="fr-CH"/>
        </w:rPr>
        <w:t>I</w:t>
      </w:r>
      <w:r w:rsidR="00F80F77" w:rsidRPr="002D6FC6">
        <w:rPr>
          <w:rFonts w:eastAsia="Calibri" w:cs="Arial"/>
          <w:lang w:val="fr-CH"/>
        </w:rPr>
        <w:t>STA</w:t>
      </w:r>
      <w:r w:rsidR="00F80F77">
        <w:rPr>
          <w:rFonts w:eastAsia="Calibri" w:cs="Arial"/>
          <w:lang w:val="fr-CH"/>
        </w:rPr>
        <w:t xml:space="preserve">.  </w:t>
      </w:r>
      <w:r w:rsidR="00F80F77" w:rsidRPr="002D6FC6">
        <w:rPr>
          <w:rFonts w:eastAsia="Calibri" w:cs="Arial"/>
          <w:lang w:val="fr-CH"/>
        </w:rPr>
        <w:t>Le</w:t>
      </w:r>
      <w:r w:rsidRPr="002D6FC6">
        <w:rPr>
          <w:rFonts w:eastAsia="Calibri" w:cs="Arial"/>
          <w:lang w:val="fr-CH"/>
        </w:rPr>
        <w:t>s certificats de l</w:t>
      </w:r>
      <w:r w:rsidR="008E4A6E">
        <w:rPr>
          <w:rFonts w:eastAsia="Calibri" w:cs="Arial"/>
          <w:lang w:val="fr-CH"/>
        </w:rPr>
        <w:t>’</w:t>
      </w:r>
      <w:r w:rsidRPr="002D6FC6">
        <w:rPr>
          <w:rFonts w:eastAsia="Calibri" w:cs="Arial"/>
          <w:lang w:val="fr-CH"/>
        </w:rPr>
        <w:t>ISTA sont reconnus par la plupart des autorités et sont mentionnés dans les lois sur les semences de plusieurs pays.</w:t>
      </w:r>
    </w:p>
    <w:p w14:paraId="396E8F1F" w14:textId="5772B935" w:rsidR="00FF3EB3" w:rsidRPr="002D6FC6" w:rsidRDefault="00FF3EB3" w:rsidP="00FF3EB3">
      <w:pPr>
        <w:spacing w:after="160" w:line="259" w:lineRule="auto"/>
        <w:rPr>
          <w:rFonts w:eastAsia="Calibri" w:cs="Arial"/>
          <w:lang w:val="fr-CH"/>
        </w:rPr>
      </w:pPr>
      <w:r w:rsidRPr="002D6FC6">
        <w:rPr>
          <w:rFonts w:eastAsia="Calibri" w:cs="Arial"/>
          <w:lang w:val="fr-CH"/>
        </w:rPr>
        <w:t>Les certificats de l</w:t>
      </w:r>
      <w:r w:rsidR="008E4A6E">
        <w:rPr>
          <w:rFonts w:eastAsia="Calibri" w:cs="Arial"/>
          <w:lang w:val="fr-CH"/>
        </w:rPr>
        <w:t>’</w:t>
      </w:r>
      <w:r w:rsidRPr="002D6FC6">
        <w:rPr>
          <w:rFonts w:eastAsia="Calibri" w:cs="Arial"/>
          <w:lang w:val="fr-CH"/>
        </w:rPr>
        <w:t>ISTA garantissent que les résultats sont reproductibles et authentiques et attestent la qualité des semences.</w:t>
      </w:r>
    </w:p>
    <w:p w14:paraId="61755E9E" w14:textId="77777777" w:rsidR="00FF3EB3" w:rsidRPr="002D6FC6" w:rsidRDefault="00FF3EB3" w:rsidP="00FF3EB3">
      <w:pPr>
        <w:tabs>
          <w:tab w:val="left" w:pos="6104"/>
        </w:tabs>
        <w:spacing w:after="160" w:line="259" w:lineRule="auto"/>
        <w:ind w:left="1418"/>
        <w:jc w:val="left"/>
        <w:rPr>
          <w:rFonts w:ascii="Calibri" w:eastAsia="Calibri" w:hAnsi="Calibri"/>
          <w:sz w:val="22"/>
          <w:szCs w:val="22"/>
          <w:lang w:val="fr-CH"/>
        </w:rPr>
      </w:pPr>
      <w:r w:rsidRPr="002D6FC6">
        <w:rPr>
          <w:rFonts w:eastAsia="Calibri" w:cs="Arial"/>
          <w:noProof/>
        </w:rPr>
        <w:lastRenderedPageBreak/>
        <w:drawing>
          <wp:inline distT="0" distB="0" distL="0" distR="0" wp14:anchorId="7C225DB6" wp14:editId="4D71FC4A">
            <wp:extent cx="4126727" cy="1741336"/>
            <wp:effectExtent l="19050" t="0" r="457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EBBC2BD" w14:textId="6BDB39B5" w:rsidR="00FF3EB3" w:rsidRPr="002D6FC6" w:rsidRDefault="00FF3EB3" w:rsidP="00FF3EB3">
      <w:pPr>
        <w:spacing w:after="160" w:line="259" w:lineRule="auto"/>
        <w:rPr>
          <w:rFonts w:eastAsia="Calibri" w:cs="Arial"/>
          <w:lang w:val="fr-CH"/>
        </w:rPr>
      </w:pPr>
      <w:r w:rsidRPr="002D6FC6">
        <w:rPr>
          <w:rFonts w:eastAsia="Calibri" w:cs="Arial"/>
          <w:lang w:val="fr-CH"/>
        </w:rPr>
        <w:t>Plus de 200 000 certificats bleus et orange de l</w:t>
      </w:r>
      <w:r w:rsidR="008E4A6E">
        <w:rPr>
          <w:rFonts w:eastAsia="Calibri" w:cs="Arial"/>
          <w:lang w:val="fr-CH"/>
        </w:rPr>
        <w:t>’</w:t>
      </w:r>
      <w:r w:rsidRPr="002D6FC6">
        <w:rPr>
          <w:rFonts w:eastAsia="Calibri" w:cs="Arial"/>
          <w:lang w:val="fr-CH"/>
        </w:rPr>
        <w:t>ISTA sont délivrés chaque année, facilitant le commerce des semences au niveau international.</w:t>
      </w:r>
    </w:p>
    <w:p w14:paraId="342AC9B7" w14:textId="77777777" w:rsidR="00FF3EB3" w:rsidRPr="002D6FC6" w:rsidRDefault="00FF3EB3" w:rsidP="00FF3EB3">
      <w:pPr>
        <w:spacing w:line="259" w:lineRule="auto"/>
        <w:rPr>
          <w:rFonts w:eastAsia="Calibri" w:cs="Arial"/>
          <w:lang w:val="fr-CH"/>
        </w:rPr>
      </w:pPr>
    </w:p>
    <w:p w14:paraId="68895176" w14:textId="7794665F" w:rsidR="00FF3EB3" w:rsidRPr="002D6FC6" w:rsidRDefault="00FF3EB3" w:rsidP="00FF3EB3">
      <w:pPr>
        <w:spacing w:after="160" w:line="259" w:lineRule="auto"/>
        <w:rPr>
          <w:rFonts w:eastAsia="Calibri" w:cs="Arial"/>
          <w:b/>
          <w:bCs/>
          <w:lang w:val="fr-CH"/>
        </w:rPr>
      </w:pPr>
      <w:r w:rsidRPr="002D6FC6">
        <w:rPr>
          <w:rFonts w:eastAsia="Calibri" w:cs="Arial"/>
          <w:b/>
          <w:bCs/>
          <w:lang w:val="fr-CH"/>
        </w:rPr>
        <w:t>SITUATION DES TECHNIQUES BIOCHIMIQUES ET MOLÉCULAIRES AU SEIN DE L</w:t>
      </w:r>
      <w:r w:rsidR="008E4A6E">
        <w:rPr>
          <w:rFonts w:eastAsia="Calibri" w:cs="Arial"/>
          <w:b/>
          <w:bCs/>
          <w:lang w:val="fr-CH"/>
        </w:rPr>
        <w:t>’</w:t>
      </w:r>
      <w:r w:rsidRPr="002D6FC6">
        <w:rPr>
          <w:rFonts w:eastAsia="Calibri" w:cs="Arial"/>
          <w:b/>
          <w:bCs/>
          <w:lang w:val="fr-CH"/>
        </w:rPr>
        <w:t>ISTA</w:t>
      </w:r>
    </w:p>
    <w:p w14:paraId="77070FDA" w14:textId="517A468C" w:rsidR="00FF3EB3" w:rsidRPr="002D6FC6" w:rsidRDefault="00FF3EB3" w:rsidP="00FF3EB3">
      <w:pPr>
        <w:jc w:val="left"/>
        <w:rPr>
          <w:rFonts w:eastAsia="Cambria"/>
          <w:lang w:val="fr-CH"/>
        </w:rPr>
      </w:pPr>
      <w:r w:rsidRPr="002D6FC6">
        <w:rPr>
          <w:rFonts w:eastAsia="Calibri" w:cs="Arial"/>
          <w:lang w:val="fr-CH"/>
        </w:rPr>
        <w:t>Les règles internationales de l</w:t>
      </w:r>
      <w:r w:rsidR="008E4A6E">
        <w:rPr>
          <w:rFonts w:eastAsia="Calibri" w:cs="Arial"/>
          <w:lang w:val="fr-CH"/>
        </w:rPr>
        <w:t>’</w:t>
      </w:r>
      <w:r w:rsidRPr="002D6FC6">
        <w:rPr>
          <w:rFonts w:eastAsia="Calibri" w:cs="Arial"/>
          <w:lang w:val="fr-CH"/>
        </w:rPr>
        <w:t>ISTA pour les essais de semences incluent les techniques biochimiques et moléculaires depuis de nombreuses anné</w:t>
      </w:r>
      <w:r w:rsidR="00F80F77" w:rsidRPr="002D6FC6">
        <w:rPr>
          <w:rFonts w:eastAsia="Calibri" w:cs="Arial"/>
          <w:lang w:val="fr-CH"/>
        </w:rPr>
        <w:t>es</w:t>
      </w:r>
      <w:r w:rsidR="00F80F77">
        <w:rPr>
          <w:rFonts w:eastAsia="Calibri" w:cs="Arial"/>
          <w:lang w:val="fr-CH"/>
        </w:rPr>
        <w:t xml:space="preserve">.  </w:t>
      </w:r>
      <w:r w:rsidR="00F80F77" w:rsidRPr="002D6FC6">
        <w:rPr>
          <w:rFonts w:eastAsia="Calibri" w:cs="Arial"/>
          <w:lang w:val="fr-CH"/>
        </w:rPr>
        <w:t>Le</w:t>
      </w:r>
      <w:r w:rsidRPr="002D6FC6">
        <w:rPr>
          <w:rFonts w:eastAsia="Calibri" w:cs="Arial"/>
          <w:lang w:val="fr-CH"/>
        </w:rPr>
        <w:t>s techniques biochimiques et moléculaires sont par exemple acceptables pour les essais d</w:t>
      </w:r>
      <w:r w:rsidR="008E4A6E">
        <w:rPr>
          <w:rFonts w:eastAsia="Calibri" w:cs="Arial"/>
          <w:lang w:val="fr-CH"/>
        </w:rPr>
        <w:t>’</w:t>
      </w:r>
      <w:r w:rsidRPr="002D6FC6">
        <w:rPr>
          <w:rFonts w:eastAsia="Calibri" w:cs="Arial"/>
          <w:lang w:val="fr-CH"/>
        </w:rPr>
        <w:t>OGM dans le cadre d</w:t>
      </w:r>
      <w:r w:rsidR="008E4A6E">
        <w:rPr>
          <w:rFonts w:eastAsia="Calibri" w:cs="Arial"/>
          <w:lang w:val="fr-CH"/>
        </w:rPr>
        <w:t>’</w:t>
      </w:r>
      <w:r w:rsidRPr="002D6FC6">
        <w:rPr>
          <w:rFonts w:eastAsia="Calibri" w:cs="Arial"/>
          <w:lang w:val="fr-CH"/>
        </w:rPr>
        <w:t xml:space="preserve">une </w:t>
      </w:r>
      <w:r w:rsidRPr="002D6FC6">
        <w:rPr>
          <w:rFonts w:eastAsia="Cambria"/>
          <w:lang w:val="fr-CH"/>
        </w:rPr>
        <w:t>“</w:t>
      </w:r>
      <w:r w:rsidRPr="002D6FC6">
        <w:rPr>
          <w:rFonts w:eastAsia="Calibri" w:cs="Arial"/>
          <w:lang w:val="fr-CH"/>
        </w:rPr>
        <w:t>approche axée sur la performance</w:t>
      </w:r>
      <w:proofErr w:type="gramStart"/>
      <w:r w:rsidRPr="002D6FC6">
        <w:rPr>
          <w:rFonts w:eastAsia="Cambria"/>
          <w:lang w:val="fr-CH"/>
        </w:rPr>
        <w:t>”</w:t>
      </w:r>
      <w:r w:rsidRPr="002D6FC6">
        <w:rPr>
          <w:rFonts w:cs="Arial"/>
          <w:lang w:val="fr-CH" w:eastAsia="en-GB" w:bidi="en-GB"/>
        </w:rPr>
        <w:t xml:space="preserve">;  </w:t>
      </w:r>
      <w:r w:rsidRPr="002D6FC6">
        <w:rPr>
          <w:rFonts w:eastAsia="Calibri" w:cs="Arial"/>
          <w:lang w:val="fr-CH"/>
        </w:rPr>
        <w:t>les</w:t>
      </w:r>
      <w:proofErr w:type="gramEnd"/>
      <w:r w:rsidRPr="002D6FC6">
        <w:rPr>
          <w:rFonts w:eastAsia="Calibri" w:cs="Arial"/>
          <w:lang w:val="fr-CH"/>
        </w:rPr>
        <w:t xml:space="preserve"> méthodes fréquemment utilisées comprennent des analyses quantitatives et qualitatives de détection de protéines et diverses méthodes fondées sur l</w:t>
      </w:r>
      <w:r w:rsidR="008E4A6E">
        <w:rPr>
          <w:rFonts w:eastAsia="Calibri" w:cs="Arial"/>
          <w:lang w:val="fr-CH"/>
        </w:rPr>
        <w:t>’</w:t>
      </w:r>
      <w:r w:rsidR="00F80F77" w:rsidRPr="002D6FC6">
        <w:rPr>
          <w:rFonts w:eastAsia="Calibri" w:cs="Arial"/>
          <w:lang w:val="fr-CH"/>
        </w:rPr>
        <w:t>ADN</w:t>
      </w:r>
      <w:r w:rsidR="00F80F77">
        <w:rPr>
          <w:rFonts w:eastAsia="Calibri" w:cs="Arial"/>
          <w:lang w:val="fr-CH"/>
        </w:rPr>
        <w:t xml:space="preserve">.  </w:t>
      </w:r>
      <w:r w:rsidR="00F80F77" w:rsidRPr="002D6FC6">
        <w:rPr>
          <w:rFonts w:eastAsia="Calibri" w:cs="Arial"/>
          <w:lang w:val="fr-CH"/>
        </w:rPr>
        <w:t>Le</w:t>
      </w:r>
      <w:r w:rsidRPr="002D6FC6">
        <w:rPr>
          <w:rFonts w:eastAsia="Calibri" w:cs="Arial"/>
          <w:lang w:val="fr-CH"/>
        </w:rPr>
        <w:t>s techniques biochimiques et moléculaires sont utilisées comme outils de diagnostic et d</w:t>
      </w:r>
      <w:r w:rsidR="008E4A6E">
        <w:rPr>
          <w:rFonts w:eastAsia="Calibri" w:cs="Arial"/>
          <w:lang w:val="fr-CH"/>
        </w:rPr>
        <w:t>’</w:t>
      </w:r>
      <w:r w:rsidRPr="002D6FC6">
        <w:rPr>
          <w:rFonts w:eastAsia="Calibri" w:cs="Arial"/>
          <w:lang w:val="fr-CH"/>
        </w:rPr>
        <w:t>évaluation quantitative dans les méthodes d</w:t>
      </w:r>
      <w:r w:rsidR="008E4A6E">
        <w:rPr>
          <w:rFonts w:eastAsia="Calibri" w:cs="Arial"/>
          <w:lang w:val="fr-CH"/>
        </w:rPr>
        <w:t>’</w:t>
      </w:r>
      <w:r w:rsidRPr="002D6FC6">
        <w:rPr>
          <w:rFonts w:eastAsia="Calibri" w:cs="Arial"/>
          <w:lang w:val="fr-CH"/>
        </w:rPr>
        <w:t>essais relatifs à la santé des semenc</w:t>
      </w:r>
      <w:r w:rsidR="00F80F77" w:rsidRPr="002D6FC6">
        <w:rPr>
          <w:rFonts w:eastAsia="Calibri" w:cs="Arial"/>
          <w:lang w:val="fr-CH"/>
        </w:rPr>
        <w:t>es</w:t>
      </w:r>
      <w:r w:rsidR="00F80F77">
        <w:rPr>
          <w:rFonts w:eastAsia="Calibri" w:cs="Arial"/>
          <w:lang w:val="fr-CH"/>
        </w:rPr>
        <w:t xml:space="preserve">.  </w:t>
      </w:r>
      <w:r w:rsidR="00F80F77" w:rsidRPr="002D6FC6">
        <w:rPr>
          <w:rFonts w:eastAsia="Calibri" w:cs="Arial"/>
          <w:lang w:val="fr-CH"/>
        </w:rPr>
        <w:t>Le</w:t>
      </w:r>
      <w:r w:rsidRPr="002D6FC6">
        <w:rPr>
          <w:rFonts w:eastAsia="Calibri" w:cs="Arial"/>
          <w:lang w:val="fr-CH"/>
        </w:rPr>
        <w:t>s essais portant sur la vérification des espèces et des variétés font également appel aux techniques biochimiques et moléculaires en analysant les profils des protéines de réserve pour le tournesol, le maïs, l</w:t>
      </w:r>
      <w:r w:rsidR="008E4A6E">
        <w:rPr>
          <w:rFonts w:eastAsia="Calibri" w:cs="Arial"/>
          <w:lang w:val="fr-CH"/>
        </w:rPr>
        <w:t>’</w:t>
      </w:r>
      <w:r w:rsidRPr="002D6FC6">
        <w:rPr>
          <w:rFonts w:eastAsia="Calibri" w:cs="Arial"/>
          <w:lang w:val="fr-CH"/>
        </w:rPr>
        <w:t>avoine, l</w:t>
      </w:r>
      <w:r w:rsidR="008E4A6E">
        <w:rPr>
          <w:rFonts w:eastAsia="Calibri" w:cs="Arial"/>
          <w:lang w:val="fr-CH"/>
        </w:rPr>
        <w:t>’</w:t>
      </w:r>
      <w:r w:rsidRPr="002D6FC6">
        <w:rPr>
          <w:rFonts w:eastAsia="Calibri" w:cs="Arial"/>
          <w:lang w:val="fr-CH"/>
        </w:rPr>
        <w:t>orge, le blé, le ray</w:t>
      </w:r>
      <w:r w:rsidR="00ED3D7A">
        <w:rPr>
          <w:rFonts w:eastAsia="Calibri" w:cs="Arial"/>
          <w:lang w:val="fr-CH"/>
        </w:rPr>
        <w:noBreakHyphen/>
      </w:r>
      <w:r w:rsidRPr="002D6FC6">
        <w:rPr>
          <w:rFonts w:eastAsia="Calibri" w:cs="Arial"/>
          <w:lang w:val="fr-CH"/>
        </w:rPr>
        <w:t>grass et le pois ou à l</w:t>
      </w:r>
      <w:r w:rsidR="008E4A6E">
        <w:rPr>
          <w:rFonts w:eastAsia="Calibri" w:cs="Arial"/>
          <w:lang w:val="fr-CH"/>
        </w:rPr>
        <w:t>’</w:t>
      </w:r>
      <w:r w:rsidRPr="002D6FC6">
        <w:rPr>
          <w:rFonts w:eastAsia="Calibri" w:cs="Arial"/>
          <w:lang w:val="fr-CH"/>
        </w:rPr>
        <w:t>empreinte ADN au moyen de marqueurs moléculaires pour le maïs et le b</w:t>
      </w:r>
      <w:r w:rsidR="00F80F77" w:rsidRPr="002D6FC6">
        <w:rPr>
          <w:rFonts w:eastAsia="Calibri" w:cs="Arial"/>
          <w:lang w:val="fr-CH"/>
        </w:rPr>
        <w:t>lé</w:t>
      </w:r>
      <w:r w:rsidR="00F80F77">
        <w:rPr>
          <w:rFonts w:eastAsia="Calibri" w:cs="Arial"/>
          <w:lang w:val="fr-CH"/>
        </w:rPr>
        <w:t xml:space="preserve">.  </w:t>
      </w:r>
      <w:r w:rsidR="00F80F77" w:rsidRPr="002D6FC6">
        <w:rPr>
          <w:rFonts w:eastAsia="Calibri" w:cs="Arial"/>
          <w:lang w:val="fr-CH"/>
        </w:rPr>
        <w:t>Co</w:t>
      </w:r>
      <w:r w:rsidRPr="002D6FC6">
        <w:rPr>
          <w:rFonts w:eastAsia="Calibri" w:cs="Arial"/>
          <w:lang w:val="fr-CH"/>
        </w:rPr>
        <w:t>mme la polyvalence de ces méthodes augmente et que le coût de leur utilisation diminue, elles peuvent être amenées à jouer un rôle encore plus important dans les essais de semences à l</w:t>
      </w:r>
      <w:r w:rsidR="008E4A6E">
        <w:rPr>
          <w:rFonts w:eastAsia="Calibri" w:cs="Arial"/>
          <w:lang w:val="fr-CH"/>
        </w:rPr>
        <w:t>’</w:t>
      </w:r>
      <w:r w:rsidRPr="002D6FC6">
        <w:rPr>
          <w:rFonts w:eastAsia="Calibri" w:cs="Arial"/>
          <w:lang w:val="fr-CH"/>
        </w:rPr>
        <w:t>avenir.</w:t>
      </w:r>
    </w:p>
    <w:p w14:paraId="64F8254A" w14:textId="77777777" w:rsidR="00FF3EB3" w:rsidRPr="002D6FC6" w:rsidRDefault="00FF3EB3" w:rsidP="00FF3EB3">
      <w:pPr>
        <w:spacing w:after="160" w:line="259" w:lineRule="auto"/>
        <w:jc w:val="left"/>
        <w:rPr>
          <w:rFonts w:eastAsia="Calibri" w:cs="Arial"/>
          <w:lang w:val="fr-CH"/>
        </w:rPr>
      </w:pPr>
    </w:p>
    <w:p w14:paraId="1EBB74E8" w14:textId="43EF221C" w:rsidR="00FF3EB3" w:rsidRPr="002D6FC6" w:rsidRDefault="00FF3EB3" w:rsidP="00FF3EB3">
      <w:pPr>
        <w:spacing w:after="160" w:line="259" w:lineRule="auto"/>
        <w:jc w:val="left"/>
        <w:rPr>
          <w:rFonts w:eastAsia="Calibri" w:cs="Arial"/>
          <w:lang w:val="fr-CH"/>
        </w:rPr>
      </w:pPr>
      <w:r w:rsidRPr="002D6FC6">
        <w:rPr>
          <w:rFonts w:eastAsia="Calibri" w:cs="Arial"/>
          <w:lang w:val="fr-CH"/>
        </w:rPr>
        <w:t>Pour en savoir plus à propos de l</w:t>
      </w:r>
      <w:r w:rsidR="008E4A6E">
        <w:rPr>
          <w:rFonts w:eastAsia="Calibri" w:cs="Arial"/>
          <w:lang w:val="fr-CH"/>
        </w:rPr>
        <w:t>’</w:t>
      </w:r>
      <w:r w:rsidRPr="002D6FC6">
        <w:rPr>
          <w:rFonts w:eastAsia="Calibri" w:cs="Arial"/>
          <w:lang w:val="fr-CH"/>
        </w:rPr>
        <w:t>ISTA, consultez notre site Web</w:t>
      </w:r>
      <w:r w:rsidR="008E4A6E">
        <w:rPr>
          <w:rFonts w:eastAsia="Calibri" w:cs="Arial"/>
          <w:lang w:val="fr-CH"/>
        </w:rPr>
        <w:t> :</w:t>
      </w:r>
      <w:r w:rsidRPr="002D6FC6">
        <w:rPr>
          <w:rFonts w:eastAsia="Calibri" w:cs="Arial"/>
          <w:lang w:val="fr-CH"/>
        </w:rPr>
        <w:t xml:space="preserve"> </w:t>
      </w:r>
      <w:hyperlink r:id="rId25" w:history="1">
        <w:r w:rsidRPr="002D6FC6">
          <w:rPr>
            <w:rStyle w:val="Hyperlink"/>
            <w:rFonts w:cs="Arial"/>
            <w:color w:val="auto"/>
            <w:u w:val="none"/>
            <w:lang w:val="fr-CH"/>
          </w:rPr>
          <w:t>www.seedtest.org</w:t>
        </w:r>
      </w:hyperlink>
    </w:p>
    <w:p w14:paraId="1880A6C6" w14:textId="77777777" w:rsidR="00FF3EB3" w:rsidRPr="002D6FC6" w:rsidRDefault="00FF3EB3" w:rsidP="00FF3EB3">
      <w:pPr>
        <w:rPr>
          <w:lang w:val="fr-CH"/>
        </w:rPr>
      </w:pPr>
    </w:p>
    <w:p w14:paraId="1A8AC024" w14:textId="77777777" w:rsidR="00FF3EB3" w:rsidRPr="002D6FC6" w:rsidRDefault="00FF3EB3" w:rsidP="00FF3EB3">
      <w:pPr>
        <w:jc w:val="left"/>
        <w:rPr>
          <w:lang w:val="fr-CH"/>
        </w:rPr>
      </w:pPr>
    </w:p>
    <w:p w14:paraId="57F9E01F" w14:textId="77777777" w:rsidR="00FF3EB3" w:rsidRPr="002D6FC6" w:rsidRDefault="00FF3EB3" w:rsidP="00FF3EB3">
      <w:pPr>
        <w:rPr>
          <w:lang w:val="fr-CH"/>
        </w:rPr>
      </w:pPr>
    </w:p>
    <w:p w14:paraId="2817E433" w14:textId="39F64659" w:rsidR="00FF3EB3" w:rsidRPr="002D6FC6" w:rsidRDefault="00FF3EB3" w:rsidP="00FF3EB3">
      <w:pPr>
        <w:jc w:val="right"/>
        <w:rPr>
          <w:lang w:val="fr-CH"/>
        </w:rPr>
      </w:pPr>
      <w:r w:rsidRPr="002D6FC6">
        <w:rPr>
          <w:lang w:val="fr-CH"/>
        </w:rPr>
        <w:t>[Fin de l</w:t>
      </w:r>
      <w:r w:rsidR="008E4A6E">
        <w:rPr>
          <w:lang w:val="fr-CH"/>
        </w:rPr>
        <w:t>’</w:t>
      </w:r>
      <w:r w:rsidRPr="002D6FC6">
        <w:rPr>
          <w:lang w:val="fr-CH"/>
        </w:rPr>
        <w:t>annexe et du document]</w:t>
      </w:r>
    </w:p>
    <w:p w14:paraId="0BD68F47" w14:textId="77777777" w:rsidR="00050E16" w:rsidRPr="002D6FC6" w:rsidRDefault="00050E16" w:rsidP="00FF3EB3">
      <w:pPr>
        <w:rPr>
          <w:lang w:val="fr-CH"/>
        </w:rPr>
      </w:pPr>
    </w:p>
    <w:sectPr w:rsidR="00050E16" w:rsidRPr="002D6FC6" w:rsidSect="0004198B">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4CD2" w14:textId="77777777" w:rsidR="00F37944" w:rsidRDefault="00F37944" w:rsidP="006655D3">
      <w:r>
        <w:separator/>
      </w:r>
    </w:p>
    <w:p w14:paraId="5E3E1098" w14:textId="77777777" w:rsidR="00F37944" w:rsidRDefault="00F37944" w:rsidP="006655D3"/>
    <w:p w14:paraId="0E0F7E40" w14:textId="77777777" w:rsidR="00F37944" w:rsidRDefault="00F37944" w:rsidP="006655D3"/>
  </w:endnote>
  <w:endnote w:type="continuationSeparator" w:id="0">
    <w:p w14:paraId="3C063169" w14:textId="77777777" w:rsidR="00F37944" w:rsidRDefault="00F37944" w:rsidP="006655D3">
      <w:r>
        <w:separator/>
      </w:r>
    </w:p>
    <w:p w14:paraId="54A24C94" w14:textId="77777777" w:rsidR="00F37944" w:rsidRPr="008E4A6E" w:rsidRDefault="00F37944">
      <w:pPr>
        <w:pStyle w:val="Footer"/>
        <w:spacing w:after="60"/>
        <w:rPr>
          <w:sz w:val="18"/>
          <w:lang w:val="fr-CH"/>
        </w:rPr>
      </w:pPr>
      <w:r w:rsidRPr="008E4A6E">
        <w:rPr>
          <w:sz w:val="18"/>
          <w:lang w:val="fr-CH"/>
        </w:rPr>
        <w:t>[Suite de la note de la page précédente]</w:t>
      </w:r>
    </w:p>
    <w:p w14:paraId="7160B5E2" w14:textId="77777777" w:rsidR="00F37944" w:rsidRPr="008E4A6E" w:rsidRDefault="00F37944" w:rsidP="006655D3">
      <w:pPr>
        <w:rPr>
          <w:lang w:val="fr-CH"/>
        </w:rPr>
      </w:pPr>
    </w:p>
    <w:p w14:paraId="262EA36D" w14:textId="77777777" w:rsidR="00F37944" w:rsidRPr="008E4A6E" w:rsidRDefault="00F37944" w:rsidP="006655D3">
      <w:pPr>
        <w:rPr>
          <w:lang w:val="fr-CH"/>
        </w:rPr>
      </w:pPr>
    </w:p>
  </w:endnote>
  <w:endnote w:type="continuationNotice" w:id="1">
    <w:p w14:paraId="4E64B6D8" w14:textId="77777777" w:rsidR="00F37944" w:rsidRPr="008E4A6E" w:rsidRDefault="00F37944" w:rsidP="006655D3">
      <w:pPr>
        <w:rPr>
          <w:lang w:val="fr-CH"/>
        </w:rPr>
      </w:pPr>
      <w:r w:rsidRPr="008E4A6E">
        <w:rPr>
          <w:lang w:val="fr-CH"/>
        </w:rPr>
        <w:t>[Suite de la note page suivante]</w:t>
      </w:r>
    </w:p>
    <w:p w14:paraId="08C75710" w14:textId="77777777" w:rsidR="00F37944" w:rsidRPr="008E4A6E" w:rsidRDefault="00F37944" w:rsidP="006655D3">
      <w:pPr>
        <w:rPr>
          <w:lang w:val="fr-CH"/>
        </w:rPr>
      </w:pPr>
    </w:p>
    <w:p w14:paraId="6263A513" w14:textId="77777777" w:rsidR="00F37944" w:rsidRPr="008E4A6E" w:rsidRDefault="00F3794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F1FC" w14:textId="77777777" w:rsidR="00370290" w:rsidRDefault="00370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7890" w14:textId="495B9D6C" w:rsidR="00FF3EB3" w:rsidRDefault="006B12EA" w:rsidP="006B12EA">
    <w:pPr>
      <w:pStyle w:val="Footer"/>
      <w:tabs>
        <w:tab w:val="left" w:pos="3869"/>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E241B" w14:textId="77777777" w:rsidR="00370290" w:rsidRDefault="00370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6B44F" w14:textId="77777777" w:rsidR="00F37944" w:rsidRDefault="00F37944" w:rsidP="006655D3">
      <w:r>
        <w:separator/>
      </w:r>
    </w:p>
  </w:footnote>
  <w:footnote w:type="continuationSeparator" w:id="0">
    <w:p w14:paraId="6AB99340" w14:textId="77777777" w:rsidR="00F37944" w:rsidRDefault="00F37944" w:rsidP="006655D3">
      <w:r>
        <w:separator/>
      </w:r>
    </w:p>
  </w:footnote>
  <w:footnote w:type="continuationNotice" w:id="1">
    <w:p w14:paraId="45B3A86D" w14:textId="77777777" w:rsidR="00F37944" w:rsidRPr="00AB530F" w:rsidRDefault="00F37944" w:rsidP="00AB530F">
      <w:pPr>
        <w:pStyle w:val="Footer"/>
      </w:pPr>
    </w:p>
  </w:footnote>
  <w:footnote w:id="2">
    <w:p w14:paraId="5A3E6BAF" w14:textId="6731BEFA" w:rsidR="00604B35" w:rsidRPr="008E4A6E" w:rsidRDefault="00604B35" w:rsidP="00BE7EB4">
      <w:pPr>
        <w:pStyle w:val="FootnoteText"/>
        <w:rPr>
          <w:lang w:val="fr-CH"/>
        </w:rPr>
      </w:pPr>
      <w:r>
        <w:rPr>
          <w:rStyle w:val="FootnoteReference"/>
          <w:lang w:val="fr-FR"/>
        </w:rPr>
        <w:footnoteRef/>
      </w:r>
      <w:r>
        <w:rPr>
          <w:lang w:val="fr-FR"/>
        </w:rPr>
        <w:t xml:space="preserve"> </w:t>
      </w:r>
      <w:r w:rsidR="006A3800">
        <w:rPr>
          <w:lang w:val="fr-FR"/>
        </w:rPr>
        <w:tab/>
        <w:t>À</w:t>
      </w:r>
      <w:r>
        <w:rPr>
          <w:lang w:val="fr-FR"/>
        </w:rPr>
        <w:t xml:space="preserve"> sa cinquante</w:t>
      </w:r>
      <w:r w:rsidR="00ED3D7A">
        <w:rPr>
          <w:lang w:val="fr-FR"/>
        </w:rPr>
        <w:noBreakHyphen/>
      </w:r>
      <w:r>
        <w:rPr>
          <w:lang w:val="fr-FR"/>
        </w:rPr>
        <w:t>six</w:t>
      </w:r>
      <w:r w:rsidR="00D63E97">
        <w:rPr>
          <w:lang w:val="fr-FR"/>
        </w:rPr>
        <w:t>ième session</w:t>
      </w:r>
      <w:r>
        <w:rPr>
          <w:lang w:val="fr-FR"/>
        </w:rPr>
        <w:t>, tenue par voie électronique du 18 au 22 avril 2022</w:t>
      </w:r>
    </w:p>
  </w:footnote>
  <w:footnote w:id="3">
    <w:p w14:paraId="27B5FC61" w14:textId="7728517A" w:rsidR="00604B35" w:rsidRPr="008E4A6E" w:rsidRDefault="00604B35" w:rsidP="00BE7EB4">
      <w:pPr>
        <w:pStyle w:val="FootnoteText"/>
        <w:rPr>
          <w:highlight w:val="cyan"/>
          <w:lang w:val="fr-CH"/>
        </w:rPr>
      </w:pPr>
      <w:r>
        <w:rPr>
          <w:rStyle w:val="FootnoteReference"/>
          <w:lang w:val="fr-FR"/>
        </w:rPr>
        <w:footnoteRef/>
      </w:r>
      <w:r>
        <w:rPr>
          <w:lang w:val="fr-FR"/>
        </w:rPr>
        <w:t xml:space="preserve"> </w:t>
      </w:r>
      <w:r w:rsidR="006A3800">
        <w:rPr>
          <w:lang w:val="fr-FR"/>
        </w:rPr>
        <w:tab/>
      </w:r>
      <w:r w:rsidR="006A3800">
        <w:rPr>
          <w:lang w:val="fr-FR"/>
        </w:rPr>
        <w:t>À</w:t>
      </w:r>
      <w:r>
        <w:rPr>
          <w:lang w:val="fr-FR"/>
        </w:rPr>
        <w:t xml:space="preserve"> sa cinquante</w:t>
      </w:r>
      <w:r w:rsidR="00D63E97">
        <w:rPr>
          <w:lang w:val="fr-FR"/>
        </w:rPr>
        <w:t> et unième session</w:t>
      </w:r>
      <w:r>
        <w:rPr>
          <w:lang w:val="fr-FR"/>
        </w:rPr>
        <w:t>, organisée par le Royaume</w:t>
      </w:r>
      <w:r w:rsidR="00ED3D7A">
        <w:rPr>
          <w:lang w:val="fr-FR"/>
        </w:rPr>
        <w:noBreakHyphen/>
      </w:r>
      <w:r>
        <w:rPr>
          <w:lang w:val="fr-FR"/>
        </w:rPr>
        <w:t>Uni et tenue par voie électronique du 23 au 27 mai 2022</w:t>
      </w:r>
    </w:p>
  </w:footnote>
  <w:footnote w:id="4">
    <w:p w14:paraId="0B9FECFC" w14:textId="5816504B" w:rsidR="00604B35" w:rsidRPr="008E4A6E" w:rsidRDefault="00604B35" w:rsidP="00BE7EB4">
      <w:pPr>
        <w:pStyle w:val="FootnoteText"/>
        <w:rPr>
          <w:highlight w:val="cyan"/>
          <w:lang w:val="fr-CH"/>
        </w:rPr>
      </w:pPr>
      <w:r>
        <w:rPr>
          <w:rStyle w:val="FootnoteReference"/>
          <w:lang w:val="fr-FR"/>
        </w:rPr>
        <w:footnoteRef/>
      </w:r>
      <w:r>
        <w:rPr>
          <w:lang w:val="fr-FR"/>
        </w:rPr>
        <w:t xml:space="preserve"> </w:t>
      </w:r>
      <w:r w:rsidR="006A3800">
        <w:rPr>
          <w:lang w:val="fr-FR"/>
        </w:rPr>
        <w:tab/>
      </w:r>
      <w:r w:rsidR="006A3800">
        <w:rPr>
          <w:lang w:val="fr-FR"/>
        </w:rPr>
        <w:t>À</w:t>
      </w:r>
      <w:r>
        <w:rPr>
          <w:lang w:val="fr-FR"/>
        </w:rPr>
        <w:t xml:space="preserve"> sa cinquante</w:t>
      </w:r>
      <w:r w:rsidR="00ED3D7A">
        <w:rPr>
          <w:lang w:val="fr-FR"/>
        </w:rPr>
        <w:noBreakHyphen/>
      </w:r>
      <w:r>
        <w:rPr>
          <w:lang w:val="fr-FR"/>
        </w:rPr>
        <w:t>quatr</w:t>
      </w:r>
      <w:r w:rsidR="00D63E97">
        <w:rPr>
          <w:lang w:val="fr-FR"/>
        </w:rPr>
        <w:t>ième session</w:t>
      </w:r>
      <w:r>
        <w:rPr>
          <w:lang w:val="fr-FR"/>
        </w:rPr>
        <w:t>, organisée par l</w:t>
      </w:r>
      <w:r w:rsidR="00D63E97">
        <w:rPr>
          <w:lang w:val="fr-FR"/>
        </w:rPr>
        <w:t>’</w:t>
      </w:r>
      <w:r>
        <w:rPr>
          <w:lang w:val="fr-FR"/>
        </w:rPr>
        <w:t>Allemagne et tenue par voie électronique du 13 au 17 juin 2022</w:t>
      </w:r>
    </w:p>
  </w:footnote>
  <w:footnote w:id="5">
    <w:p w14:paraId="11532790" w14:textId="5978E108" w:rsidR="00604B35" w:rsidRPr="008E4A6E" w:rsidRDefault="00604B35" w:rsidP="00BE7EB4">
      <w:pPr>
        <w:pStyle w:val="FootnoteText"/>
        <w:rPr>
          <w:lang w:val="fr-CH"/>
        </w:rPr>
      </w:pPr>
      <w:r>
        <w:rPr>
          <w:rStyle w:val="FootnoteReference"/>
          <w:lang w:val="fr-FR"/>
        </w:rPr>
        <w:footnoteRef/>
      </w:r>
      <w:r>
        <w:rPr>
          <w:lang w:val="fr-FR"/>
        </w:rPr>
        <w:t xml:space="preserve"> </w:t>
      </w:r>
      <w:r w:rsidR="006A3800">
        <w:rPr>
          <w:lang w:val="fr-FR"/>
        </w:rPr>
        <w:tab/>
      </w:r>
      <w:r w:rsidR="006A3800">
        <w:rPr>
          <w:lang w:val="fr-FR"/>
        </w:rPr>
        <w:t>À</w:t>
      </w:r>
      <w:r>
        <w:rPr>
          <w:lang w:val="fr-FR"/>
        </w:rPr>
        <w:t xml:space="preserve"> sa cinquante</w:t>
      </w:r>
      <w:r w:rsidR="00ED3D7A">
        <w:rPr>
          <w:lang w:val="fr-FR"/>
        </w:rPr>
        <w:noBreakHyphen/>
      </w:r>
      <w:r>
        <w:rPr>
          <w:lang w:val="fr-FR"/>
        </w:rPr>
        <w:t>trois</w:t>
      </w:r>
      <w:r w:rsidR="00D63E97">
        <w:rPr>
          <w:lang w:val="fr-FR"/>
        </w:rPr>
        <w:t>ième session</w:t>
      </w:r>
      <w:r>
        <w:rPr>
          <w:lang w:val="fr-FR"/>
        </w:rPr>
        <w:t>, tenue par voie électronique du 11 au 15 juillet 2022</w:t>
      </w:r>
    </w:p>
  </w:footnote>
  <w:footnote w:id="6">
    <w:p w14:paraId="3E2172A4" w14:textId="1B06C70D" w:rsidR="00604B35" w:rsidRPr="008E4A6E" w:rsidRDefault="00604B35" w:rsidP="00BE7EB4">
      <w:pPr>
        <w:pStyle w:val="FootnoteText"/>
        <w:rPr>
          <w:lang w:val="fr-CH"/>
        </w:rPr>
      </w:pPr>
      <w:r>
        <w:rPr>
          <w:rStyle w:val="FootnoteReference"/>
          <w:lang w:val="fr-FR"/>
        </w:rPr>
        <w:footnoteRef/>
      </w:r>
      <w:r>
        <w:rPr>
          <w:lang w:val="fr-FR"/>
        </w:rPr>
        <w:t xml:space="preserve"> </w:t>
      </w:r>
      <w:r w:rsidR="006A3800">
        <w:rPr>
          <w:lang w:val="fr-FR"/>
        </w:rPr>
        <w:tab/>
      </w:r>
      <w:r w:rsidR="006A3800">
        <w:rPr>
          <w:lang w:val="fr-FR"/>
        </w:rPr>
        <w:t>À</w:t>
      </w:r>
      <w:r>
        <w:rPr>
          <w:lang w:val="fr-FR"/>
        </w:rPr>
        <w:t xml:space="preserve"> sa première session, tenue par voie électronique du 19 au 23 septembre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0762" w14:textId="77777777" w:rsidR="00370290" w:rsidRDefault="00370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05C4" w14:textId="77777777" w:rsidR="00604B35" w:rsidRDefault="00604B35" w:rsidP="00B06F4E">
    <w:pPr>
      <w:jc w:val="center"/>
      <w:rPr>
        <w:rStyle w:val="PageNumber"/>
      </w:rPr>
    </w:pPr>
    <w:r>
      <w:rPr>
        <w:rStyle w:val="PageNumber"/>
        <w:lang w:val="fr-FR"/>
      </w:rPr>
      <w:t>TC/58/INF/6</w:t>
    </w:r>
  </w:p>
  <w:p w14:paraId="185BCFE7" w14:textId="12D04CFB" w:rsidR="00604B35" w:rsidRPr="00455A1B" w:rsidRDefault="00604B35" w:rsidP="00B06F4E">
    <w:pPr>
      <w:jc w:val="center"/>
    </w:pPr>
    <w:r>
      <w:rPr>
        <w:lang w:val="fr-FR"/>
      </w:rPr>
      <w:t xml:space="preserve">page </w:t>
    </w:r>
    <w:r>
      <w:rPr>
        <w:lang w:val="fr-FR"/>
      </w:rPr>
      <w:fldChar w:fldCharType="begin"/>
    </w:r>
    <w:r>
      <w:rPr>
        <w:lang w:val="fr-FR"/>
      </w:rPr>
      <w:instrText xml:space="preserve"> PAGE </w:instrText>
    </w:r>
    <w:r>
      <w:rPr>
        <w:lang w:val="fr-FR"/>
      </w:rPr>
      <w:fldChar w:fldCharType="separate"/>
    </w:r>
    <w:r w:rsidR="00ED3D7A">
      <w:rPr>
        <w:noProof/>
        <w:lang w:val="fr-FR"/>
      </w:rPr>
      <w:t>4</w:t>
    </w:r>
    <w:r>
      <w:rPr>
        <w:lang w:val="fr-FR"/>
      </w:rPr>
      <w:fldChar w:fldCharType="end"/>
    </w:r>
  </w:p>
  <w:p w14:paraId="15437E08" w14:textId="77777777" w:rsidR="00604B35" w:rsidRPr="00C5280D" w:rsidRDefault="00604B3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B42D8" w14:textId="77777777" w:rsidR="00370290" w:rsidRDefault="003702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60C5" w14:textId="77777777" w:rsidR="00604B35" w:rsidRPr="00EB74E5" w:rsidRDefault="00604B35" w:rsidP="00B06F4E">
    <w:pPr>
      <w:jc w:val="center"/>
      <w:rPr>
        <w:rStyle w:val="PageNumber"/>
      </w:rPr>
    </w:pPr>
    <w:r>
      <w:rPr>
        <w:rStyle w:val="PageNumber"/>
        <w:lang w:val="fr-FR"/>
      </w:rPr>
      <w:t>TC/58/INF/6</w:t>
    </w:r>
  </w:p>
  <w:p w14:paraId="014714C6" w14:textId="7EFB9431" w:rsidR="00604B35" w:rsidRPr="00EB74E5" w:rsidRDefault="00604B35" w:rsidP="00B06F4E">
    <w:pPr>
      <w:jc w:val="center"/>
    </w:pPr>
    <w:r>
      <w:rPr>
        <w:lang w:val="fr-FR"/>
      </w:rPr>
      <w:t>Annex</w:t>
    </w:r>
    <w:r w:rsidR="00531D89">
      <w:rPr>
        <w:lang w:val="fr-FR"/>
      </w:rPr>
      <w:t>e</w:t>
    </w:r>
    <w:r>
      <w:rPr>
        <w:lang w:val="fr-FR"/>
      </w:rPr>
      <w:t xml:space="preserve">, page </w:t>
    </w:r>
    <w:r>
      <w:rPr>
        <w:lang w:val="fr-FR"/>
      </w:rPr>
      <w:fldChar w:fldCharType="begin"/>
    </w:r>
    <w:r>
      <w:rPr>
        <w:lang w:val="fr-FR"/>
      </w:rPr>
      <w:instrText xml:space="preserve"> PAGE </w:instrText>
    </w:r>
    <w:r>
      <w:rPr>
        <w:lang w:val="fr-FR"/>
      </w:rPr>
      <w:fldChar w:fldCharType="separate"/>
    </w:r>
    <w:r w:rsidR="00ED3D7A">
      <w:rPr>
        <w:noProof/>
        <w:lang w:val="fr-FR"/>
      </w:rPr>
      <w:t>7</w:t>
    </w:r>
    <w:r>
      <w:rPr>
        <w:lang w:val="fr-FR"/>
      </w:rPr>
      <w:fldChar w:fldCharType="end"/>
    </w:r>
  </w:p>
  <w:p w14:paraId="1EF4B40B" w14:textId="77777777" w:rsidR="00604B35" w:rsidRPr="00EB74E5" w:rsidRDefault="00604B3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480C2" w14:textId="77777777" w:rsidR="00604B35" w:rsidRDefault="00604B35" w:rsidP="00A16EC8">
    <w:pPr>
      <w:jc w:val="center"/>
      <w:rPr>
        <w:rStyle w:val="PageNumber"/>
      </w:rPr>
    </w:pPr>
    <w:r>
      <w:rPr>
        <w:rStyle w:val="PageNumber"/>
        <w:lang w:val="fr-FR"/>
      </w:rPr>
      <w:t>TC/58/INF/6</w:t>
    </w:r>
  </w:p>
  <w:p w14:paraId="7D3C75CA" w14:textId="77777777" w:rsidR="00604B35" w:rsidRDefault="00604B35" w:rsidP="00A16EC8">
    <w:pPr>
      <w:jc w:val="center"/>
      <w:rPr>
        <w:rStyle w:val="PageNumber"/>
      </w:rPr>
    </w:pPr>
  </w:p>
  <w:p w14:paraId="137FD0B4" w14:textId="1B20F4D8" w:rsidR="00604B35" w:rsidRPr="0004198B" w:rsidRDefault="00604B35" w:rsidP="00A16EC8">
    <w:pPr>
      <w:jc w:val="center"/>
    </w:pPr>
    <w:r>
      <w:rPr>
        <w:lang w:val="fr-FR"/>
      </w:rPr>
      <w:t>ANNEX</w:t>
    </w:r>
    <w:r w:rsidR="00FF3EB3">
      <w:rPr>
        <w:lang w:val="fr-FR"/>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F2"/>
    <w:multiLevelType w:val="hybridMultilevel"/>
    <w:tmpl w:val="C352D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439B4"/>
    <w:multiLevelType w:val="hybridMultilevel"/>
    <w:tmpl w:val="E97A8FDE"/>
    <w:lvl w:ilvl="0" w:tplc="4216D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5" w15:restartNumberingAfterBreak="0">
    <w:nsid w:val="2CEB783F"/>
    <w:multiLevelType w:val="hybridMultilevel"/>
    <w:tmpl w:val="354C1F2A"/>
    <w:lvl w:ilvl="0" w:tplc="EE26DAB2">
      <w:start w:val="1"/>
      <w:numFmt w:val="decimal"/>
      <w:lvlText w:val="%1."/>
      <w:lvlJc w:val="left"/>
      <w:pPr>
        <w:ind w:left="360" w:hanging="360"/>
      </w:pPr>
      <w:rPr>
        <w:rFonts w:ascii="Arial" w:hAnsi="Arial" w:cs="Arial" w:hint="default"/>
        <w:i w:val="0"/>
        <w:sz w:val="20"/>
        <w:szCs w:val="2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D04FC4"/>
    <w:multiLevelType w:val="hybridMultilevel"/>
    <w:tmpl w:val="978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33CFD"/>
    <w:multiLevelType w:val="hybridMultilevel"/>
    <w:tmpl w:val="F8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B30A8"/>
    <w:multiLevelType w:val="hybridMultilevel"/>
    <w:tmpl w:val="2BB41828"/>
    <w:lvl w:ilvl="0" w:tplc="81D65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5320D"/>
    <w:multiLevelType w:val="hybridMultilevel"/>
    <w:tmpl w:val="FEBA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0"/>
  </w:num>
  <w:num w:numId="5">
    <w:abstractNumId w:val="13"/>
  </w:num>
  <w:num w:numId="6">
    <w:abstractNumId w:val="12"/>
  </w:num>
  <w:num w:numId="7">
    <w:abstractNumId w:val="8"/>
  </w:num>
  <w:num w:numId="8">
    <w:abstractNumId w:val="6"/>
  </w:num>
  <w:num w:numId="9">
    <w:abstractNumId w:val="2"/>
  </w:num>
  <w:num w:numId="10">
    <w:abstractNumId w:val="7"/>
  </w:num>
  <w:num w:numId="11">
    <w:abstractNumId w:val="11"/>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13A"/>
    <w:rsid w:val="000148BC"/>
    <w:rsid w:val="00017EC0"/>
    <w:rsid w:val="00024AB8"/>
    <w:rsid w:val="00025ADC"/>
    <w:rsid w:val="00030854"/>
    <w:rsid w:val="00036028"/>
    <w:rsid w:val="0004198B"/>
    <w:rsid w:val="00042D09"/>
    <w:rsid w:val="00044642"/>
    <w:rsid w:val="000446B9"/>
    <w:rsid w:val="00047E21"/>
    <w:rsid w:val="00050E16"/>
    <w:rsid w:val="0005121D"/>
    <w:rsid w:val="00051FED"/>
    <w:rsid w:val="000571F7"/>
    <w:rsid w:val="00085505"/>
    <w:rsid w:val="000C1134"/>
    <w:rsid w:val="000C4E25"/>
    <w:rsid w:val="000C7021"/>
    <w:rsid w:val="000D1DF9"/>
    <w:rsid w:val="000D6BBC"/>
    <w:rsid w:val="000D7780"/>
    <w:rsid w:val="000E636A"/>
    <w:rsid w:val="000F0880"/>
    <w:rsid w:val="000F2F11"/>
    <w:rsid w:val="000F6B3F"/>
    <w:rsid w:val="00100A5F"/>
    <w:rsid w:val="00105929"/>
    <w:rsid w:val="00110BED"/>
    <w:rsid w:val="00110C36"/>
    <w:rsid w:val="001131D5"/>
    <w:rsid w:val="00114547"/>
    <w:rsid w:val="00141DB8"/>
    <w:rsid w:val="001440C8"/>
    <w:rsid w:val="00144612"/>
    <w:rsid w:val="0015619C"/>
    <w:rsid w:val="00172084"/>
    <w:rsid w:val="00174147"/>
    <w:rsid w:val="0017474A"/>
    <w:rsid w:val="001758C6"/>
    <w:rsid w:val="00182B99"/>
    <w:rsid w:val="001A49CE"/>
    <w:rsid w:val="001C1525"/>
    <w:rsid w:val="001C6546"/>
    <w:rsid w:val="001D14EA"/>
    <w:rsid w:val="0021332C"/>
    <w:rsid w:val="00213982"/>
    <w:rsid w:val="0024416D"/>
    <w:rsid w:val="00270348"/>
    <w:rsid w:val="00271911"/>
    <w:rsid w:val="00273187"/>
    <w:rsid w:val="002776BE"/>
    <w:rsid w:val="002800A0"/>
    <w:rsid w:val="002801B3"/>
    <w:rsid w:val="00281060"/>
    <w:rsid w:val="00284050"/>
    <w:rsid w:val="00284ACE"/>
    <w:rsid w:val="00285BD0"/>
    <w:rsid w:val="002940E8"/>
    <w:rsid w:val="00294751"/>
    <w:rsid w:val="002A6E50"/>
    <w:rsid w:val="002B4298"/>
    <w:rsid w:val="002B587E"/>
    <w:rsid w:val="002B7A36"/>
    <w:rsid w:val="002C256A"/>
    <w:rsid w:val="002C4E98"/>
    <w:rsid w:val="002D5226"/>
    <w:rsid w:val="002D6FC6"/>
    <w:rsid w:val="002D7623"/>
    <w:rsid w:val="00302764"/>
    <w:rsid w:val="00305A7F"/>
    <w:rsid w:val="003065A8"/>
    <w:rsid w:val="00306A90"/>
    <w:rsid w:val="003152FE"/>
    <w:rsid w:val="00327436"/>
    <w:rsid w:val="0034068E"/>
    <w:rsid w:val="00344BD6"/>
    <w:rsid w:val="003509ED"/>
    <w:rsid w:val="0035528D"/>
    <w:rsid w:val="00361821"/>
    <w:rsid w:val="00361E9E"/>
    <w:rsid w:val="00367A58"/>
    <w:rsid w:val="00370290"/>
    <w:rsid w:val="00374CE4"/>
    <w:rsid w:val="003753EE"/>
    <w:rsid w:val="00392E40"/>
    <w:rsid w:val="0039544A"/>
    <w:rsid w:val="003A0835"/>
    <w:rsid w:val="003A5AAF"/>
    <w:rsid w:val="003B1D37"/>
    <w:rsid w:val="003B5240"/>
    <w:rsid w:val="003B700A"/>
    <w:rsid w:val="003C7FBE"/>
    <w:rsid w:val="003D0839"/>
    <w:rsid w:val="003D227C"/>
    <w:rsid w:val="003D2B4D"/>
    <w:rsid w:val="003D5F5B"/>
    <w:rsid w:val="003F37F5"/>
    <w:rsid w:val="00407A9C"/>
    <w:rsid w:val="004133B2"/>
    <w:rsid w:val="00440A9A"/>
    <w:rsid w:val="00444A88"/>
    <w:rsid w:val="00445B73"/>
    <w:rsid w:val="00447E75"/>
    <w:rsid w:val="00450501"/>
    <w:rsid w:val="00453C55"/>
    <w:rsid w:val="00474DA4"/>
    <w:rsid w:val="00476B4D"/>
    <w:rsid w:val="004805FA"/>
    <w:rsid w:val="004935D2"/>
    <w:rsid w:val="0049526B"/>
    <w:rsid w:val="004B1215"/>
    <w:rsid w:val="004D047D"/>
    <w:rsid w:val="004D34C0"/>
    <w:rsid w:val="004F1E9E"/>
    <w:rsid w:val="004F305A"/>
    <w:rsid w:val="004F7B12"/>
    <w:rsid w:val="005007AA"/>
    <w:rsid w:val="00512164"/>
    <w:rsid w:val="00520297"/>
    <w:rsid w:val="00531D89"/>
    <w:rsid w:val="005338F9"/>
    <w:rsid w:val="005414A0"/>
    <w:rsid w:val="0054281C"/>
    <w:rsid w:val="00542955"/>
    <w:rsid w:val="00544581"/>
    <w:rsid w:val="0055268D"/>
    <w:rsid w:val="00575DE2"/>
    <w:rsid w:val="00576BE4"/>
    <w:rsid w:val="005779DB"/>
    <w:rsid w:val="005A2A67"/>
    <w:rsid w:val="005A400A"/>
    <w:rsid w:val="005A618A"/>
    <w:rsid w:val="005B269D"/>
    <w:rsid w:val="005C548D"/>
    <w:rsid w:val="005D4DA7"/>
    <w:rsid w:val="005E7118"/>
    <w:rsid w:val="005F7B92"/>
    <w:rsid w:val="00602BA5"/>
    <w:rsid w:val="00604B35"/>
    <w:rsid w:val="00605D26"/>
    <w:rsid w:val="00612379"/>
    <w:rsid w:val="00614F2B"/>
    <w:rsid w:val="006153B6"/>
    <w:rsid w:val="0061555F"/>
    <w:rsid w:val="006245ED"/>
    <w:rsid w:val="00636CA6"/>
    <w:rsid w:val="00641200"/>
    <w:rsid w:val="00645CA8"/>
    <w:rsid w:val="006655D3"/>
    <w:rsid w:val="00667404"/>
    <w:rsid w:val="00673997"/>
    <w:rsid w:val="0067537F"/>
    <w:rsid w:val="00686083"/>
    <w:rsid w:val="00687EB4"/>
    <w:rsid w:val="00695C56"/>
    <w:rsid w:val="006A3800"/>
    <w:rsid w:val="006A5CDE"/>
    <w:rsid w:val="006A644A"/>
    <w:rsid w:val="006B12EA"/>
    <w:rsid w:val="006B17D2"/>
    <w:rsid w:val="006C224E"/>
    <w:rsid w:val="006D780A"/>
    <w:rsid w:val="00700DD6"/>
    <w:rsid w:val="007022C5"/>
    <w:rsid w:val="0070630F"/>
    <w:rsid w:val="0071271E"/>
    <w:rsid w:val="0072507E"/>
    <w:rsid w:val="00732DEC"/>
    <w:rsid w:val="00735BD5"/>
    <w:rsid w:val="007451EC"/>
    <w:rsid w:val="00751613"/>
    <w:rsid w:val="00753EE9"/>
    <w:rsid w:val="007556F6"/>
    <w:rsid w:val="00760EEF"/>
    <w:rsid w:val="00777EE5"/>
    <w:rsid w:val="00783B51"/>
    <w:rsid w:val="00784836"/>
    <w:rsid w:val="0079023E"/>
    <w:rsid w:val="007915C4"/>
    <w:rsid w:val="007A2854"/>
    <w:rsid w:val="007B1BA8"/>
    <w:rsid w:val="007C1D92"/>
    <w:rsid w:val="007C4CB9"/>
    <w:rsid w:val="007D0B9D"/>
    <w:rsid w:val="007D19B0"/>
    <w:rsid w:val="007D2BD6"/>
    <w:rsid w:val="007F498F"/>
    <w:rsid w:val="00800C5A"/>
    <w:rsid w:val="0080679D"/>
    <w:rsid w:val="008108B0"/>
    <w:rsid w:val="00811B20"/>
    <w:rsid w:val="00812609"/>
    <w:rsid w:val="008211B5"/>
    <w:rsid w:val="0082296E"/>
    <w:rsid w:val="00824099"/>
    <w:rsid w:val="00827704"/>
    <w:rsid w:val="00836B13"/>
    <w:rsid w:val="008422AD"/>
    <w:rsid w:val="00843A4C"/>
    <w:rsid w:val="00846D7C"/>
    <w:rsid w:val="008537B9"/>
    <w:rsid w:val="00853C01"/>
    <w:rsid w:val="0086245B"/>
    <w:rsid w:val="00867AC1"/>
    <w:rsid w:val="008751DE"/>
    <w:rsid w:val="00881F5A"/>
    <w:rsid w:val="00890DF8"/>
    <w:rsid w:val="008A0ADE"/>
    <w:rsid w:val="008A743F"/>
    <w:rsid w:val="008C0970"/>
    <w:rsid w:val="008D0BC5"/>
    <w:rsid w:val="008D2CF7"/>
    <w:rsid w:val="008E15E2"/>
    <w:rsid w:val="008E4A6E"/>
    <w:rsid w:val="00900C26"/>
    <w:rsid w:val="0090197F"/>
    <w:rsid w:val="00903264"/>
    <w:rsid w:val="00906DDC"/>
    <w:rsid w:val="00932468"/>
    <w:rsid w:val="00934E09"/>
    <w:rsid w:val="00936253"/>
    <w:rsid w:val="00940D46"/>
    <w:rsid w:val="009413F1"/>
    <w:rsid w:val="00952DD4"/>
    <w:rsid w:val="009561F4"/>
    <w:rsid w:val="00957F04"/>
    <w:rsid w:val="00965AE7"/>
    <w:rsid w:val="00970FED"/>
    <w:rsid w:val="00973E35"/>
    <w:rsid w:val="00985E41"/>
    <w:rsid w:val="00992D82"/>
    <w:rsid w:val="00997029"/>
    <w:rsid w:val="009A7339"/>
    <w:rsid w:val="009B1294"/>
    <w:rsid w:val="009B440E"/>
    <w:rsid w:val="009D3227"/>
    <w:rsid w:val="009D690D"/>
    <w:rsid w:val="009E65B6"/>
    <w:rsid w:val="009F0A51"/>
    <w:rsid w:val="009F0B7F"/>
    <w:rsid w:val="009F77CF"/>
    <w:rsid w:val="00A12795"/>
    <w:rsid w:val="00A16EC8"/>
    <w:rsid w:val="00A2054A"/>
    <w:rsid w:val="00A24C10"/>
    <w:rsid w:val="00A36C59"/>
    <w:rsid w:val="00A42AC3"/>
    <w:rsid w:val="00A430CF"/>
    <w:rsid w:val="00A43950"/>
    <w:rsid w:val="00A54309"/>
    <w:rsid w:val="00A5499F"/>
    <w:rsid w:val="00A55168"/>
    <w:rsid w:val="00A610A9"/>
    <w:rsid w:val="00A65330"/>
    <w:rsid w:val="00A734C0"/>
    <w:rsid w:val="00A80F2A"/>
    <w:rsid w:val="00A92F8F"/>
    <w:rsid w:val="00A96C33"/>
    <w:rsid w:val="00AB2B93"/>
    <w:rsid w:val="00AB530F"/>
    <w:rsid w:val="00AB7D8B"/>
    <w:rsid w:val="00AB7E5B"/>
    <w:rsid w:val="00AC2883"/>
    <w:rsid w:val="00AE0EF1"/>
    <w:rsid w:val="00AE2937"/>
    <w:rsid w:val="00AE3F08"/>
    <w:rsid w:val="00AF1116"/>
    <w:rsid w:val="00AF7A39"/>
    <w:rsid w:val="00B06F4E"/>
    <w:rsid w:val="00B07301"/>
    <w:rsid w:val="00B11F3E"/>
    <w:rsid w:val="00B224DE"/>
    <w:rsid w:val="00B324D4"/>
    <w:rsid w:val="00B330F2"/>
    <w:rsid w:val="00B36B85"/>
    <w:rsid w:val="00B46575"/>
    <w:rsid w:val="00B50005"/>
    <w:rsid w:val="00B61777"/>
    <w:rsid w:val="00B622E6"/>
    <w:rsid w:val="00B83E82"/>
    <w:rsid w:val="00B84BBD"/>
    <w:rsid w:val="00B91195"/>
    <w:rsid w:val="00BA43FB"/>
    <w:rsid w:val="00BC127D"/>
    <w:rsid w:val="00BC1FE6"/>
    <w:rsid w:val="00BD0C0C"/>
    <w:rsid w:val="00BD42F5"/>
    <w:rsid w:val="00BE7EB4"/>
    <w:rsid w:val="00C061B6"/>
    <w:rsid w:val="00C2446C"/>
    <w:rsid w:val="00C36AE5"/>
    <w:rsid w:val="00C41F17"/>
    <w:rsid w:val="00C45098"/>
    <w:rsid w:val="00C527FA"/>
    <w:rsid w:val="00C5280D"/>
    <w:rsid w:val="00C53EB3"/>
    <w:rsid w:val="00C5459B"/>
    <w:rsid w:val="00C5791C"/>
    <w:rsid w:val="00C66290"/>
    <w:rsid w:val="00C72B7A"/>
    <w:rsid w:val="00C87187"/>
    <w:rsid w:val="00C916AB"/>
    <w:rsid w:val="00C973F2"/>
    <w:rsid w:val="00CA1EF5"/>
    <w:rsid w:val="00CA304C"/>
    <w:rsid w:val="00CA774A"/>
    <w:rsid w:val="00CB4921"/>
    <w:rsid w:val="00CC11B0"/>
    <w:rsid w:val="00CC2841"/>
    <w:rsid w:val="00CC6619"/>
    <w:rsid w:val="00CE6691"/>
    <w:rsid w:val="00CF1330"/>
    <w:rsid w:val="00CF4074"/>
    <w:rsid w:val="00CF7E36"/>
    <w:rsid w:val="00D27BB4"/>
    <w:rsid w:val="00D323D5"/>
    <w:rsid w:val="00D3708D"/>
    <w:rsid w:val="00D40426"/>
    <w:rsid w:val="00D57C96"/>
    <w:rsid w:val="00D57D18"/>
    <w:rsid w:val="00D63E97"/>
    <w:rsid w:val="00D644CD"/>
    <w:rsid w:val="00D70E65"/>
    <w:rsid w:val="00D91203"/>
    <w:rsid w:val="00D95174"/>
    <w:rsid w:val="00DA4973"/>
    <w:rsid w:val="00DA6F36"/>
    <w:rsid w:val="00DB48D3"/>
    <w:rsid w:val="00DB596E"/>
    <w:rsid w:val="00DB7773"/>
    <w:rsid w:val="00DC00EA"/>
    <w:rsid w:val="00DC3802"/>
    <w:rsid w:val="00DD1482"/>
    <w:rsid w:val="00DD6208"/>
    <w:rsid w:val="00DF7E99"/>
    <w:rsid w:val="00E07D87"/>
    <w:rsid w:val="00E217B5"/>
    <w:rsid w:val="00E249C8"/>
    <w:rsid w:val="00E32F7E"/>
    <w:rsid w:val="00E5267B"/>
    <w:rsid w:val="00E559F0"/>
    <w:rsid w:val="00E63C0E"/>
    <w:rsid w:val="00E7232A"/>
    <w:rsid w:val="00E72D49"/>
    <w:rsid w:val="00E7593C"/>
    <w:rsid w:val="00E7678A"/>
    <w:rsid w:val="00E91B19"/>
    <w:rsid w:val="00E935F1"/>
    <w:rsid w:val="00E94A81"/>
    <w:rsid w:val="00EA1FFB"/>
    <w:rsid w:val="00EB048E"/>
    <w:rsid w:val="00EB4E9C"/>
    <w:rsid w:val="00EB74E5"/>
    <w:rsid w:val="00EC634B"/>
    <w:rsid w:val="00EC6E4C"/>
    <w:rsid w:val="00ED2C8E"/>
    <w:rsid w:val="00ED3D7A"/>
    <w:rsid w:val="00EE34DF"/>
    <w:rsid w:val="00EF2F89"/>
    <w:rsid w:val="00EF757F"/>
    <w:rsid w:val="00F019CB"/>
    <w:rsid w:val="00F03E98"/>
    <w:rsid w:val="00F1237A"/>
    <w:rsid w:val="00F17B5F"/>
    <w:rsid w:val="00F22CBD"/>
    <w:rsid w:val="00F23F1E"/>
    <w:rsid w:val="00F272F1"/>
    <w:rsid w:val="00F31412"/>
    <w:rsid w:val="00F37944"/>
    <w:rsid w:val="00F44F14"/>
    <w:rsid w:val="00F45372"/>
    <w:rsid w:val="00F560F7"/>
    <w:rsid w:val="00F6334D"/>
    <w:rsid w:val="00F63599"/>
    <w:rsid w:val="00F6677A"/>
    <w:rsid w:val="00F71781"/>
    <w:rsid w:val="00F72BBA"/>
    <w:rsid w:val="00F80F77"/>
    <w:rsid w:val="00FA49AB"/>
    <w:rsid w:val="00FC5FD0"/>
    <w:rsid w:val="00FE39C7"/>
    <w:rsid w:val="00FF3EB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80FCD"/>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A1EF5"/>
    <w:pPr>
      <w:keepNext/>
      <w:jc w:val="both"/>
      <w:outlineLvl w:val="0"/>
    </w:pPr>
    <w:rPr>
      <w:rFonts w:ascii="Arial" w:hAnsi="Arial"/>
      <w:caps/>
    </w:rPr>
  </w:style>
  <w:style w:type="paragraph" w:styleId="Heading2">
    <w:name w:val="heading 2"/>
    <w:aliases w:val="VARIETY,variety"/>
    <w:next w:val="Normal"/>
    <w:link w:val="Heading2Char"/>
    <w:autoRedefine/>
    <w:qFormat/>
    <w:rsid w:val="005C548D"/>
    <w:pPr>
      <w:jc w:val="both"/>
      <w:outlineLvl w:val="1"/>
    </w:pPr>
    <w:rPr>
      <w:rFonts w:ascii="Arial" w:hAnsi="Arial"/>
      <w:u w:val="single"/>
      <w:lang w:eastAsia="ja-JP"/>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C548D"/>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C54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4133B2"/>
    <w:rPr>
      <w:rFonts w:ascii="Arial" w:hAnsi="Arial"/>
      <w:u w:val="single"/>
      <w:lang w:val="fr-FR"/>
    </w:rPr>
  </w:style>
  <w:style w:type="character" w:customStyle="1" w:styleId="Heading5Char">
    <w:name w:val="Heading 5 Char"/>
    <w:link w:val="Heading5"/>
    <w:locked/>
    <w:rsid w:val="004133B2"/>
    <w:rPr>
      <w:rFonts w:ascii="Arial" w:hAnsi="Arial"/>
      <w:i/>
    </w:rPr>
  </w:style>
  <w:style w:type="character" w:customStyle="1" w:styleId="FootnoteTextChar">
    <w:name w:val="Footnote Text Char"/>
    <w:basedOn w:val="DefaultParagraphFont"/>
    <w:link w:val="FootnoteText"/>
    <w:rsid w:val="008422AD"/>
    <w:rPr>
      <w:rFonts w:ascii="Arial" w:hAnsi="Arial"/>
      <w:sz w:val="16"/>
    </w:rPr>
  </w:style>
  <w:style w:type="paragraph" w:styleId="ListParagraph">
    <w:name w:val="List Paragraph"/>
    <w:aliases w:val="auto_list_(i),List Paragraph1"/>
    <w:basedOn w:val="Normal"/>
    <w:link w:val="ListParagraphChar"/>
    <w:uiPriority w:val="34"/>
    <w:qFormat/>
    <w:rsid w:val="008422AD"/>
    <w:pPr>
      <w:ind w:left="720"/>
      <w:contextualSpacing/>
    </w:pPr>
  </w:style>
  <w:style w:type="character" w:customStyle="1" w:styleId="TitleofdocChar">
    <w:name w:val="Title_of_doc Char"/>
    <w:link w:val="Titleofdoc0"/>
    <w:rsid w:val="00B06F4E"/>
    <w:rPr>
      <w:rFonts w:ascii="Arial" w:hAnsi="Arial"/>
      <w:b/>
      <w:caps/>
    </w:rPr>
  </w:style>
  <w:style w:type="table" w:styleId="TableGrid">
    <w:name w:val="Table Grid"/>
    <w:basedOn w:val="TableNormal"/>
    <w:uiPriority w:val="39"/>
    <w:rsid w:val="00B06F4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B06F4E"/>
    <w:rPr>
      <w:rFonts w:ascii="Calibri" w:eastAsia="Calibri" w:hAnsi="Calibri"/>
      <w:sz w:val="22"/>
      <w:szCs w:val="22"/>
      <w:lang w:val="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06F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aliases w:val="VARIETY Char,variety Char"/>
    <w:link w:val="Heading2"/>
    <w:locked/>
    <w:rsid w:val="005C548D"/>
    <w:rPr>
      <w:rFonts w:ascii="Arial" w:hAnsi="Arial"/>
      <w:u w:val="single"/>
      <w:lang w:eastAsia="ja-JP"/>
    </w:rPr>
  </w:style>
  <w:style w:type="character" w:customStyle="1" w:styleId="Heading3Char">
    <w:name w:val="Heading 3 Char"/>
    <w:basedOn w:val="DefaultParagraphFont"/>
    <w:link w:val="Heading3"/>
    <w:rsid w:val="00EB74E5"/>
    <w:rPr>
      <w:rFonts w:ascii="Arial" w:hAnsi="Arial"/>
      <w:i/>
    </w:rPr>
  </w:style>
  <w:style w:type="table" w:customStyle="1" w:styleId="TableGrid1">
    <w:name w:val="Table Grid1"/>
    <w:basedOn w:val="TableNormal"/>
    <w:next w:val="TableGrid"/>
    <w:uiPriority w:val="39"/>
    <w:rsid w:val="00EB74E5"/>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1EF5"/>
    <w:rPr>
      <w:rFonts w:ascii="Arial" w:hAnsi="Arial"/>
      <w:caps/>
    </w:rPr>
  </w:style>
  <w:style w:type="character" w:customStyle="1" w:styleId="ListParagraphChar">
    <w:name w:val="List Paragraph Char"/>
    <w:aliases w:val="auto_list_(i) Char,List Paragraph1 Char"/>
    <w:basedOn w:val="DefaultParagraphFont"/>
    <w:link w:val="ListParagraph"/>
    <w:uiPriority w:val="34"/>
    <w:rsid w:val="00374CE4"/>
    <w:rPr>
      <w:rFonts w:ascii="Arial" w:hAnsi="Arial"/>
    </w:rPr>
  </w:style>
  <w:style w:type="character" w:styleId="FollowedHyperlink">
    <w:name w:val="FollowedHyperlink"/>
    <w:basedOn w:val="DefaultParagraphFont"/>
    <w:semiHidden/>
    <w:unhideWhenUsed/>
    <w:rsid w:val="00ED3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1947">
      <w:bodyDiv w:val="1"/>
      <w:marLeft w:val="0"/>
      <w:marRight w:val="0"/>
      <w:marTop w:val="0"/>
      <w:marBottom w:val="0"/>
      <w:divBdr>
        <w:top w:val="none" w:sz="0" w:space="0" w:color="auto"/>
        <w:left w:val="none" w:sz="0" w:space="0" w:color="auto"/>
        <w:bottom w:val="none" w:sz="0" w:space="0" w:color="auto"/>
        <w:right w:val="none" w:sz="0" w:space="0" w:color="auto"/>
      </w:divBdr>
    </w:div>
    <w:div w:id="163637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upov.int/about/en/faq.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pov.int/export/sites/upov/images/worldmap_fr.jpg" TargetMode="External"/><Relationship Id="rId25" Type="http://schemas.openxmlformats.org/officeDocument/2006/relationships/hyperlink" Target="http://www.seedtest.org" TargetMode="External"/><Relationship Id="rId2" Type="http://schemas.openxmlformats.org/officeDocument/2006/relationships/numbering" Target="numbering.xml"/><Relationship Id="rId16" Type="http://schemas.openxmlformats.org/officeDocument/2006/relationships/hyperlink" Target="http://www.upov.int/export/sites/upov/members/en/pdf/pub423.pdf" TargetMode="External"/><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seedtest.org/en/international-rules-for-seed-testing-2019-_content---1--1083--1065.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1.xml"/><Relationship Id="rId27"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Certificat international orange de lot de semences</a:t>
          </a:r>
        </a:p>
      </dgm:t>
    </dgm:pt>
    <dgm:pt modelId="{60F0F445-5A1F-466E-A879-552C6E220B91}" type="parTrans" cxnId="{BBD38531-A795-4472-A241-14040624A61C}">
      <dgm:prSet/>
      <dgm:spPr/>
      <dgm:t>
        <a:bodyPr/>
        <a:lstStyle/>
        <a:p>
          <a:pPr algn="ctr"/>
          <a:endParaRPr lang="de-CH"/>
        </a:p>
      </dgm:t>
    </dgm:pt>
    <dgm:pt modelId="{F434DDCD-BE05-4BB0-B100-B26C93922D6B}" type="sibTrans" cxnId="{BBD38531-A795-4472-A241-14040624A61C}">
      <dgm:prSet/>
      <dgm:spPr/>
      <dgm:t>
        <a:bodyPr/>
        <a:lstStyle/>
        <a:p>
          <a:pPr algn="ctr"/>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pPr algn="ct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du lot et l’essai de l’échantillon sont effectués sous la responsabilité d’un laboratoire d’essais de semences accrédité par l’ISTA</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pPr algn="ctr"/>
          <a:endParaRPr lang="de-CH"/>
        </a:p>
      </dgm:t>
    </dgm:pt>
    <dgm:pt modelId="{E0BB8903-8419-4644-B34B-FDAF75049E5F}" type="sibTrans" cxnId="{6CFC5D1C-D684-46B9-97C6-67593215A77D}">
      <dgm:prSet/>
      <dgm:spPr/>
      <dgm:t>
        <a:bodyPr/>
        <a:lstStyle/>
        <a:p>
          <a:pPr algn="ctr"/>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Certificat international bleu d’échantillon de semences</a:t>
          </a:r>
        </a:p>
      </dgm:t>
    </dgm:pt>
    <dgm:pt modelId="{A7F5E5F9-EC3D-4825-A194-DBFAAC55B49C}" type="parTrans" cxnId="{31C28D41-F13C-4891-9DEE-2EB2CED64D01}">
      <dgm:prSet/>
      <dgm:spPr/>
      <dgm:t>
        <a:bodyPr/>
        <a:lstStyle/>
        <a:p>
          <a:pPr algn="ctr"/>
          <a:endParaRPr lang="de-CH"/>
        </a:p>
      </dgm:t>
    </dgm:pt>
    <dgm:pt modelId="{321BE7A8-357B-4AC9-A61B-9966AF862E5F}" type="sibTrans" cxnId="{31C28D41-F13C-4891-9DEE-2EB2CED64D01}">
      <dgm:prSet/>
      <dgm:spPr/>
      <dgm:t>
        <a:bodyPr/>
        <a:lstStyle/>
        <a:p>
          <a:pPr algn="ctr"/>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pPr algn="ct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réalisé à partir du lot n’est pas effectué sous la responsabilité d’un laboratoire accrédité par l’ISTA.  Par conséquent, les résultats obtenus par le laboratoire accrédité par l’ISTA ne s’appliquent qu’à l’échantillon et non à l’échantillon de semence sur lequel l’échantillon a été prélevé.</a:t>
          </a:r>
          <a:endPar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pPr algn="ctr"/>
          <a:endParaRPr lang="de-CH"/>
        </a:p>
      </dgm:t>
    </dgm:pt>
    <dgm:pt modelId="{CDD9A283-4ACE-4179-9AC9-377E2482305B}" type="sibTrans" cxnId="{A4FD51F1-B7FE-4139-B878-784FDD951FC9}">
      <dgm:prSet/>
      <dgm:spPr/>
      <dgm:t>
        <a:bodyPr/>
        <a:lstStyle/>
        <a:p>
          <a:pPr algn="ctr"/>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Certificat international orange de lot de semences</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du lot et l’essai de l’échantillon sont effectués sous la responsabilité d’un laboratoire d’essais de semences accrédité par l’ISTA</a:t>
          </a:r>
          <a:r>
            <a:rPr lang="de-CH"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Certificat international bleu d’échantillon de semences</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réalisé à partir du lot n’est pas effectué sous la responsabilité d’un laboratoire accrédité par l’ISTA.  Par conséquent, les résultats obtenus par le laboratoire accrédité par l’ISTA ne s’appliquent qu’à l’échantillon et non à l’échantillon de semence sur lequel l’échantillon a été prélevé.</a:t>
          </a:r>
          <a:endParaRPr lang="de-CH"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6EF0-697C-474D-8C99-9F04A92E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5168</Words>
  <Characters>30985</Characters>
  <Application>Microsoft Office Word</Application>
  <DocSecurity>0</DocSecurity>
  <Lines>491</Lines>
  <Paragraphs>269</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BERNARD Nadège</cp:lastModifiedBy>
  <cp:revision>9</cp:revision>
  <cp:lastPrinted>2016-11-22T15:41:00Z</cp:lastPrinted>
  <dcterms:created xsi:type="dcterms:W3CDTF">2022-10-18T13:29:00Z</dcterms:created>
  <dcterms:modified xsi:type="dcterms:W3CDTF">2022-10-19T10:01:00Z</dcterms:modified>
</cp:coreProperties>
</file>