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625A49">
        <w:tc>
          <w:tcPr>
            <w:tcW w:w="6522" w:type="dxa"/>
          </w:tcPr>
          <w:p w:rsidR="00625A49" w:rsidRDefault="00136FEA">
            <w:r>
              <w:rPr>
                <w:noProof/>
                <w:lang w:val="en-US"/>
              </w:rPr>
              <w:drawing>
                <wp:inline distT="0" distB="0" distL="0" distR="0">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625A49" w:rsidRDefault="00136FEA">
            <w:pPr>
              <w:pStyle w:val="Lettrine"/>
            </w:pPr>
            <w:r>
              <w:t>F</w:t>
            </w:r>
          </w:p>
        </w:tc>
      </w:tr>
      <w:tr w:rsidR="00625A49">
        <w:trPr>
          <w:trHeight w:val="219"/>
        </w:trPr>
        <w:tc>
          <w:tcPr>
            <w:tcW w:w="6522" w:type="dxa"/>
          </w:tcPr>
          <w:p w:rsidR="00625A49" w:rsidRDefault="00136FEA">
            <w:pPr>
              <w:pStyle w:val="upove"/>
            </w:pPr>
            <w:r>
              <w:t>Union internationale pour la protection des obtentions végétales</w:t>
            </w:r>
          </w:p>
        </w:tc>
        <w:tc>
          <w:tcPr>
            <w:tcW w:w="3117" w:type="dxa"/>
          </w:tcPr>
          <w:p w:rsidR="00625A49" w:rsidRDefault="00625A49"/>
        </w:tc>
      </w:tr>
    </w:tbl>
    <w:p w:rsidR="00625A49" w:rsidRDefault="00625A49"/>
    <w:p w:rsidR="00625A49" w:rsidRDefault="00625A4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625A49">
        <w:tc>
          <w:tcPr>
            <w:tcW w:w="6512" w:type="dxa"/>
          </w:tcPr>
          <w:p w:rsidR="00625A49" w:rsidRDefault="00136FEA">
            <w:pPr>
              <w:pStyle w:val="Sessiontc"/>
              <w:spacing w:line="240" w:lineRule="auto"/>
            </w:pPr>
            <w:r>
              <w:t>Comité technique</w:t>
            </w:r>
          </w:p>
          <w:p w:rsidR="00625A49" w:rsidRDefault="00136FEA">
            <w:pPr>
              <w:pStyle w:val="Sessiontcplacedate"/>
              <w:rPr>
                <w:sz w:val="22"/>
              </w:rPr>
            </w:pPr>
            <w:r>
              <w:t>Cinquante</w:t>
            </w:r>
            <w:r w:rsidR="008A220E">
              <w:noBreakHyphen/>
            </w:r>
            <w:r>
              <w:t>huit</w:t>
            </w:r>
            <w:r w:rsidR="009A2C1F">
              <w:t>ième session</w:t>
            </w:r>
            <w:r>
              <w:br/>
              <w:t>Genève, 24 et 25 octobre 2022</w:t>
            </w:r>
          </w:p>
        </w:tc>
        <w:tc>
          <w:tcPr>
            <w:tcW w:w="3127" w:type="dxa"/>
          </w:tcPr>
          <w:p w:rsidR="00625A49" w:rsidRDefault="00136FEA">
            <w:pPr>
              <w:pStyle w:val="Doccode"/>
            </w:pPr>
            <w:r>
              <w:t>TC/58/8</w:t>
            </w:r>
          </w:p>
          <w:p w:rsidR="00625A49" w:rsidRDefault="00136FEA">
            <w:pPr>
              <w:pStyle w:val="Docoriginal"/>
            </w:pPr>
            <w:r>
              <w:t>Original</w:t>
            </w:r>
            <w:r w:rsidR="009A2C1F">
              <w:t> :</w:t>
            </w:r>
            <w:r w:rsidR="009A2C1F">
              <w:rPr>
                <w:b w:val="0"/>
              </w:rPr>
              <w:t xml:space="preserve"> </w:t>
            </w:r>
            <w:r>
              <w:rPr>
                <w:b w:val="0"/>
              </w:rPr>
              <w:t>anglais</w:t>
            </w:r>
          </w:p>
          <w:p w:rsidR="00625A49" w:rsidRDefault="00136FEA">
            <w:pPr>
              <w:pStyle w:val="Docoriginal"/>
            </w:pPr>
            <w:r>
              <w:t>Date</w:t>
            </w:r>
            <w:r w:rsidR="009A2C1F">
              <w:t> :</w:t>
            </w:r>
            <w:r w:rsidR="009A2C1F">
              <w:rPr>
                <w:b w:val="0"/>
              </w:rPr>
              <w:t xml:space="preserve"> </w:t>
            </w:r>
            <w:r>
              <w:rPr>
                <w:b w:val="0"/>
              </w:rPr>
              <w:t>11 octobre 2022</w:t>
            </w:r>
          </w:p>
        </w:tc>
      </w:tr>
    </w:tbl>
    <w:p w:rsidR="00625A49" w:rsidRDefault="00136FEA">
      <w:pPr>
        <w:pStyle w:val="Titleofdoc0"/>
      </w:pPr>
      <w:r>
        <w:t>Coopération en matière d</w:t>
      </w:r>
      <w:r w:rsidR="009A2C1F">
        <w:t>’</w:t>
      </w:r>
      <w:r>
        <w:t>examen</w:t>
      </w:r>
    </w:p>
    <w:p w:rsidR="00625A49" w:rsidRDefault="00136FEA">
      <w:pPr>
        <w:pStyle w:val="preparedby1"/>
        <w:jc w:val="left"/>
      </w:pPr>
      <w:r>
        <w:t>Document établi par le Bureau de l</w:t>
      </w:r>
      <w:r w:rsidR="009A2C1F">
        <w:t>’</w:t>
      </w:r>
      <w:r>
        <w:t>Union</w:t>
      </w:r>
    </w:p>
    <w:p w:rsidR="00625A49" w:rsidRDefault="009A2C1F">
      <w:pPr>
        <w:pStyle w:val="Disclaimer"/>
      </w:pPr>
      <w:r>
        <w:t>Avertissement :</w:t>
      </w:r>
      <w:r w:rsidR="00136FEA">
        <w:t xml:space="preserve"> le présent document ne représente pas les principes ou les orientations de l</w:t>
      </w:r>
      <w:r>
        <w:t>’</w:t>
      </w:r>
      <w:r w:rsidR="00136FEA">
        <w:t>UPOV</w:t>
      </w:r>
    </w:p>
    <w:p w:rsidR="00625A49" w:rsidRDefault="00136FEA">
      <w:pPr>
        <w:keepNext/>
        <w:outlineLvl w:val="0"/>
        <w:rPr>
          <w:caps/>
          <w:snapToGrid w:val="0"/>
        </w:rPr>
      </w:pPr>
      <w:bookmarkStart w:id="0" w:name="_Toc117169352"/>
      <w:r>
        <w:rPr>
          <w:caps/>
          <w:snapToGrid w:val="0"/>
        </w:rPr>
        <w:t>R</w:t>
      </w:r>
      <w:r w:rsidR="008A220E">
        <w:rPr>
          <w:caps/>
          <w:snapToGrid w:val="0"/>
        </w:rPr>
        <w:t>é</w:t>
      </w:r>
      <w:r>
        <w:rPr>
          <w:caps/>
          <w:snapToGrid w:val="0"/>
        </w:rPr>
        <w:t>sum</w:t>
      </w:r>
      <w:r w:rsidR="008A220E">
        <w:rPr>
          <w:caps/>
          <w:snapToGrid w:val="0"/>
        </w:rPr>
        <w:t>é</w:t>
      </w:r>
      <w:bookmarkEnd w:id="0"/>
    </w:p>
    <w:p w:rsidR="00625A49" w:rsidRDefault="00625A49">
      <w:pPr>
        <w:rPr>
          <w:snapToGrid w:val="0"/>
        </w:rPr>
      </w:pPr>
    </w:p>
    <w:p w:rsidR="00625A49" w:rsidRDefault="00136FEA">
      <w:pPr>
        <w:rPr>
          <w:rFonts w:ascii="Calibri" w:hAnsi="Calibri"/>
          <w:color w:val="000000" w:themeColor="text1"/>
        </w:rPr>
      </w:pPr>
      <w:r>
        <w:rPr>
          <w:snapToGrid w:val="0"/>
        </w:rPr>
        <w:fldChar w:fldCharType="begin"/>
      </w:r>
      <w:r>
        <w:rPr>
          <w:snapToGrid w:val="0"/>
        </w:rPr>
        <w:instrText xml:space="preserve"> AUTONUM  </w:instrText>
      </w:r>
      <w:r>
        <w:rPr>
          <w:snapToGrid w:val="0"/>
        </w:rPr>
        <w:fldChar w:fldCharType="end"/>
      </w:r>
      <w:r>
        <w:rPr>
          <w:snapToGrid w:val="0"/>
        </w:rPr>
        <w:tab/>
      </w:r>
      <w:r>
        <w:t>L</w:t>
      </w:r>
      <w:r w:rsidR="009A2C1F">
        <w:t>’</w:t>
      </w:r>
      <w:r>
        <w:t>objet du présent document est de rendre compte des délibérations concernant d</w:t>
      </w:r>
      <w:r w:rsidR="009A2C1F">
        <w:t>’</w:t>
      </w:r>
      <w:r>
        <w:t>éventuelles mesures visant à faciliter la coopération en matière d</w:t>
      </w:r>
      <w:r w:rsidR="009A2C1F">
        <w:t>’</w:t>
      </w:r>
      <w:r>
        <w:t>examen DHS, notamment l</w:t>
      </w:r>
      <w:r w:rsidR="009A2C1F">
        <w:t>’</w:t>
      </w:r>
      <w:r>
        <w:t>échange et l</w:t>
      </w:r>
      <w:r w:rsidR="009A2C1F">
        <w:t>’</w:t>
      </w:r>
      <w:r>
        <w:t>utilisation des rapports d</w:t>
      </w:r>
      <w:r w:rsidR="009A2C1F">
        <w:t>’</w:t>
      </w:r>
      <w:r>
        <w:t>examen, des descriptions variétales, des procédures d</w:t>
      </w:r>
      <w:r w:rsidR="009A2C1F">
        <w:t>’</w:t>
      </w:r>
      <w:r>
        <w:t>examen et des collections de variétés, ainsi que la mise au point d</w:t>
      </w:r>
      <w:r w:rsidR="009A2C1F">
        <w:t>’</w:t>
      </w:r>
      <w:r>
        <w:t>un ensemble d</w:t>
      </w:r>
      <w:r w:rsidR="009A2C1F">
        <w:t>’</w:t>
      </w:r>
      <w:r>
        <w:t>outils informatiques compatibles permettant de résoudre les problèmes techniques et administratifs qui empêchent la coopération en matière d</w:t>
      </w:r>
      <w:r w:rsidR="009A2C1F">
        <w:t>’</w:t>
      </w:r>
      <w:r>
        <w:t>examen (gestion électronique de la protection des obtentions végétales ou e</w:t>
      </w:r>
      <w:r w:rsidR="008A220E">
        <w:noBreakHyphen/>
      </w:r>
      <w:r>
        <w:t>PVP).</w:t>
      </w:r>
    </w:p>
    <w:p w:rsidR="00625A49" w:rsidRDefault="00625A49">
      <w:pPr>
        <w:rPr>
          <w:snapToGrid w:val="0"/>
        </w:rPr>
      </w:pPr>
    </w:p>
    <w:p w:rsidR="00625A49" w:rsidRDefault="00136FEA">
      <w:pPr>
        <w:keepNext/>
        <w:keepLines/>
        <w:tabs>
          <w:tab w:val="left" w:pos="567"/>
          <w:tab w:val="left" w:pos="1134"/>
          <w:tab w:val="left" w:pos="1701"/>
          <w:tab w:val="left" w:pos="5387"/>
          <w:tab w:val="left" w:pos="5954"/>
        </w:tabs>
      </w:pPr>
      <w:r>
        <w:fldChar w:fldCharType="begin"/>
      </w:r>
      <w:r>
        <w:instrText xml:space="preserve"> AUTONUM  </w:instrText>
      </w:r>
      <w:r>
        <w:fldChar w:fldCharType="end"/>
      </w:r>
      <w:r>
        <w:tab/>
        <w:t>Le</w:t>
      </w:r>
      <w:r w:rsidR="009A2C1F">
        <w:t> TC</w:t>
      </w:r>
      <w:r>
        <w:t xml:space="preserve"> est invité</w:t>
      </w:r>
    </w:p>
    <w:p w:rsidR="00625A49" w:rsidRDefault="00625A49">
      <w:pPr>
        <w:keepNext/>
        <w:keepLines/>
        <w:tabs>
          <w:tab w:val="left" w:pos="567"/>
          <w:tab w:val="left" w:pos="1134"/>
          <w:tab w:val="left" w:pos="1701"/>
          <w:tab w:val="left" w:pos="5387"/>
          <w:tab w:val="left" w:pos="5954"/>
        </w:tabs>
        <w:ind w:left="1170" w:hanging="540"/>
      </w:pPr>
    </w:p>
    <w:p w:rsidR="00625A49" w:rsidRDefault="00136FEA" w:rsidP="003642B2">
      <w:pPr>
        <w:tabs>
          <w:tab w:val="left" w:pos="567"/>
          <w:tab w:val="left" w:pos="1134"/>
          <w:tab w:val="left" w:pos="5387"/>
          <w:tab w:val="left" w:pos="5954"/>
        </w:tabs>
        <w:ind w:firstLine="567"/>
        <w:rPr>
          <w:snapToGrid w:val="0"/>
        </w:rPr>
      </w:pPr>
      <w:r>
        <w:rPr>
          <w:snapToGrid w:val="0"/>
        </w:rPr>
        <w:t>a)</w:t>
      </w:r>
      <w:r>
        <w:rPr>
          <w:snapToGrid w:val="0"/>
        </w:rPr>
        <w:tab/>
        <w:t>à noter que les membres de l</w:t>
      </w:r>
      <w:r w:rsidR="009A2C1F">
        <w:rPr>
          <w:snapToGrid w:val="0"/>
        </w:rPr>
        <w:t>’</w:t>
      </w:r>
      <w:r>
        <w:rPr>
          <w:snapToGrid w:val="0"/>
        </w:rPr>
        <w:t>Union ont la possibilité de mettre à jour les coordonnées des personnes à contacter pour les questions concernant la coopération internationale en matière d</w:t>
      </w:r>
      <w:r w:rsidR="009A2C1F">
        <w:rPr>
          <w:snapToGrid w:val="0"/>
        </w:rPr>
        <w:t>’</w:t>
      </w:r>
      <w:r>
        <w:rPr>
          <w:snapToGrid w:val="0"/>
        </w:rPr>
        <w:t>examen DHS de la manière suivante</w:t>
      </w:r>
      <w:r w:rsidR="009A2C1F">
        <w:rPr>
          <w:snapToGrid w:val="0"/>
        </w:rPr>
        <w:t> :</w:t>
      </w:r>
    </w:p>
    <w:p w:rsidR="00625A49" w:rsidRDefault="00625A49">
      <w:pPr>
        <w:keepNext/>
        <w:tabs>
          <w:tab w:val="left" w:pos="567"/>
          <w:tab w:val="left" w:pos="1170"/>
          <w:tab w:val="left" w:pos="5387"/>
          <w:tab w:val="left" w:pos="5954"/>
        </w:tabs>
        <w:ind w:firstLine="630"/>
        <w:rPr>
          <w:snapToGrid w:val="0"/>
        </w:rPr>
      </w:pPr>
    </w:p>
    <w:p w:rsidR="00625A49" w:rsidRDefault="00136FEA" w:rsidP="003642B2">
      <w:pPr>
        <w:tabs>
          <w:tab w:val="left" w:pos="0"/>
          <w:tab w:val="left" w:pos="567"/>
          <w:tab w:val="left" w:pos="5954"/>
          <w:tab w:val="left" w:pos="6521"/>
        </w:tabs>
        <w:ind w:left="1701" w:hanging="567"/>
        <w:rPr>
          <w:snapToGrid w:val="0"/>
        </w:rPr>
      </w:pPr>
      <w:r>
        <w:rPr>
          <w:snapToGrid w:val="0"/>
        </w:rPr>
        <w:t>i)</w:t>
      </w:r>
      <w:r w:rsidR="003642B2">
        <w:rPr>
          <w:snapToGrid w:val="0"/>
        </w:rPr>
        <w:tab/>
      </w:r>
      <w:r>
        <w:rPr>
          <w:snapToGrid w:val="0"/>
        </w:rPr>
        <w:t>mettre à jour les coordonnées lorsqu</w:t>
      </w:r>
      <w:r w:rsidR="009A2C1F">
        <w:rPr>
          <w:snapToGrid w:val="0"/>
        </w:rPr>
        <w:t>’</w:t>
      </w:r>
      <w:r>
        <w:rPr>
          <w:snapToGrid w:val="0"/>
        </w:rPr>
        <w:t>ils sont invités à fournir des informations aux fins de l</w:t>
      </w:r>
      <w:r w:rsidR="009A2C1F">
        <w:rPr>
          <w:snapToGrid w:val="0"/>
        </w:rPr>
        <w:t>’</w:t>
      </w:r>
      <w:r>
        <w:rPr>
          <w:snapToGrid w:val="0"/>
        </w:rPr>
        <w:t xml:space="preserve">établissement du </w:t>
      </w:r>
      <w:r w:rsidR="009A2C1F">
        <w:rPr>
          <w:snapToGrid w:val="0"/>
        </w:rPr>
        <w:t>document TC</w:t>
      </w:r>
      <w:r>
        <w:rPr>
          <w:snapToGrid w:val="0"/>
        </w:rPr>
        <w:t>/[xx]/4 “Liste des genres et espèces pour lesquels les services ont une expérience pratique en matière d</w:t>
      </w:r>
      <w:r w:rsidR="009A2C1F">
        <w:rPr>
          <w:snapToGrid w:val="0"/>
        </w:rPr>
        <w:t>’</w:t>
      </w:r>
      <w:r>
        <w:rPr>
          <w:snapToGrid w:val="0"/>
        </w:rPr>
        <w:t>examen de la distinction, de l</w:t>
      </w:r>
      <w:r w:rsidR="009A2C1F">
        <w:rPr>
          <w:snapToGrid w:val="0"/>
        </w:rPr>
        <w:t>’</w:t>
      </w:r>
      <w:r>
        <w:rPr>
          <w:snapToGrid w:val="0"/>
        </w:rPr>
        <w:t xml:space="preserve">homogénéité et de la stabilité”, </w:t>
      </w:r>
      <w:proofErr w:type="gramStart"/>
      <w:r>
        <w:rPr>
          <w:snapToGrid w:val="0"/>
        </w:rPr>
        <w:t>ou</w:t>
      </w:r>
      <w:proofErr w:type="gramEnd"/>
    </w:p>
    <w:p w:rsidR="00625A49" w:rsidRDefault="00625A49" w:rsidP="003642B2">
      <w:pPr>
        <w:tabs>
          <w:tab w:val="left" w:pos="0"/>
          <w:tab w:val="left" w:pos="567"/>
          <w:tab w:val="left" w:pos="5954"/>
          <w:tab w:val="left" w:pos="6521"/>
        </w:tabs>
        <w:ind w:left="1701" w:hanging="567"/>
        <w:rPr>
          <w:snapToGrid w:val="0"/>
        </w:rPr>
      </w:pPr>
    </w:p>
    <w:p w:rsidR="00625A49" w:rsidRDefault="00136FEA" w:rsidP="003642B2">
      <w:pPr>
        <w:tabs>
          <w:tab w:val="left" w:pos="0"/>
          <w:tab w:val="left" w:pos="567"/>
          <w:tab w:val="left" w:pos="5954"/>
          <w:tab w:val="left" w:pos="6521"/>
        </w:tabs>
        <w:ind w:left="1701" w:hanging="567"/>
        <w:rPr>
          <w:snapToGrid w:val="0"/>
        </w:rPr>
      </w:pPr>
      <w:r>
        <w:rPr>
          <w:snapToGrid w:val="0"/>
        </w:rPr>
        <w:t>ii)</w:t>
      </w:r>
      <w:r w:rsidR="003642B2">
        <w:rPr>
          <w:snapToGrid w:val="0"/>
        </w:rPr>
        <w:tab/>
      </w:r>
      <w:r>
        <w:rPr>
          <w:snapToGrid w:val="0"/>
        </w:rPr>
        <w:t>informer le Bureau de l</w:t>
      </w:r>
      <w:r w:rsidR="009A2C1F">
        <w:rPr>
          <w:snapToGrid w:val="0"/>
        </w:rPr>
        <w:t>’</w:t>
      </w:r>
      <w:r>
        <w:rPr>
          <w:snapToGrid w:val="0"/>
        </w:rPr>
        <w:t>Union en envoyant un message électronique à l</w:t>
      </w:r>
      <w:r w:rsidR="009A2C1F">
        <w:rPr>
          <w:snapToGrid w:val="0"/>
        </w:rPr>
        <w:t>’</w:t>
      </w:r>
      <w:r>
        <w:rPr>
          <w:snapToGrid w:val="0"/>
        </w:rPr>
        <w:t xml:space="preserve">adresse </w:t>
      </w:r>
      <w:hyperlink r:id="rId9" w:history="1">
        <w:r>
          <w:rPr>
            <w:rStyle w:val="Hyperlink"/>
            <w:snapToGrid w:val="0"/>
          </w:rPr>
          <w:t>upov.mail@upov.int</w:t>
        </w:r>
      </w:hyperlink>
      <w:r>
        <w:rPr>
          <w:snapToGrid w:val="0"/>
        </w:rPr>
        <w:t>,</w:t>
      </w:r>
    </w:p>
    <w:p w:rsidR="00625A49" w:rsidRDefault="00625A49">
      <w:pPr>
        <w:tabs>
          <w:tab w:val="left" w:pos="567"/>
          <w:tab w:val="left" w:pos="1170"/>
          <w:tab w:val="left" w:pos="5954"/>
        </w:tabs>
        <w:ind w:firstLine="630"/>
        <w:rPr>
          <w:snapToGrid w:val="0"/>
        </w:rPr>
      </w:pPr>
    </w:p>
    <w:p w:rsidR="00625A49" w:rsidRDefault="00136FEA" w:rsidP="003642B2">
      <w:pPr>
        <w:tabs>
          <w:tab w:val="left" w:pos="567"/>
          <w:tab w:val="left" w:pos="1134"/>
          <w:tab w:val="left" w:pos="5387"/>
          <w:tab w:val="left" w:pos="5954"/>
        </w:tabs>
        <w:ind w:firstLine="567"/>
        <w:rPr>
          <w:snapToGrid w:val="0"/>
        </w:rPr>
      </w:pPr>
      <w:r>
        <w:rPr>
          <w:snapToGrid w:val="0"/>
        </w:rPr>
        <w:t>b)</w:t>
      </w:r>
      <w:r>
        <w:rPr>
          <w:snapToGrid w:val="0"/>
        </w:rPr>
        <w:tab/>
        <w:t>à prendre note de la mise au point d</w:t>
      </w:r>
      <w:r w:rsidR="009A2C1F">
        <w:rPr>
          <w:snapToGrid w:val="0"/>
        </w:rPr>
        <w:t>’</w:t>
      </w:r>
      <w:r>
        <w:rPr>
          <w:snapToGrid w:val="0"/>
        </w:rPr>
        <w:t>un ensemble d</w:t>
      </w:r>
      <w:r w:rsidR="009A2C1F">
        <w:rPr>
          <w:snapToGrid w:val="0"/>
        </w:rPr>
        <w:t>’</w:t>
      </w:r>
      <w:r>
        <w:rPr>
          <w:snapToGrid w:val="0"/>
        </w:rPr>
        <w:t>outils informatiques compatibles (e</w:t>
      </w:r>
      <w:r w:rsidR="008A220E">
        <w:rPr>
          <w:snapToGrid w:val="0"/>
        </w:rPr>
        <w:noBreakHyphen/>
      </w:r>
      <w:r>
        <w:rPr>
          <w:snapToGrid w:val="0"/>
        </w:rPr>
        <w:t>PVP), comm</w:t>
      </w:r>
      <w:r w:rsidR="00745596">
        <w:rPr>
          <w:snapToGrid w:val="0"/>
        </w:rPr>
        <w:t>e indiqué aux paragraphes 9 à 13</w:t>
      </w:r>
      <w:r>
        <w:rPr>
          <w:snapToGrid w:val="0"/>
        </w:rPr>
        <w:t xml:space="preserve"> du présent document,</w:t>
      </w:r>
    </w:p>
    <w:p w:rsidR="00625A49" w:rsidRDefault="00625A49" w:rsidP="003642B2">
      <w:pPr>
        <w:tabs>
          <w:tab w:val="left" w:pos="567"/>
          <w:tab w:val="left" w:pos="1134"/>
          <w:tab w:val="left" w:pos="5387"/>
          <w:tab w:val="left" w:pos="5954"/>
        </w:tabs>
        <w:ind w:firstLine="567"/>
        <w:rPr>
          <w:snapToGrid w:val="0"/>
        </w:rPr>
      </w:pPr>
    </w:p>
    <w:p w:rsidR="00625A49" w:rsidRDefault="00136FEA" w:rsidP="003642B2">
      <w:pPr>
        <w:tabs>
          <w:tab w:val="left" w:pos="567"/>
          <w:tab w:val="left" w:pos="1134"/>
          <w:tab w:val="left" w:pos="5387"/>
          <w:tab w:val="left" w:pos="5954"/>
        </w:tabs>
        <w:ind w:firstLine="567"/>
        <w:rPr>
          <w:snapToGrid w:val="0"/>
        </w:rPr>
      </w:pPr>
      <w:r>
        <w:rPr>
          <w:snapToGrid w:val="0"/>
        </w:rPr>
        <w:t>c)</w:t>
      </w:r>
      <w:r>
        <w:rPr>
          <w:snapToGrid w:val="0"/>
        </w:rPr>
        <w:tab/>
        <w:t>à noter qu</w:t>
      </w:r>
      <w:r w:rsidR="009A2C1F">
        <w:rPr>
          <w:snapToGrid w:val="0"/>
        </w:rPr>
        <w:t>’</w:t>
      </w:r>
      <w:r>
        <w:rPr>
          <w:snapToGrid w:val="0"/>
        </w:rPr>
        <w:t>il est prévu de lancer la plateforme e</w:t>
      </w:r>
      <w:r w:rsidR="008A220E">
        <w:rPr>
          <w:snapToGrid w:val="0"/>
        </w:rPr>
        <w:noBreakHyphen/>
      </w:r>
      <w:r>
        <w:rPr>
          <w:snapToGrid w:val="0"/>
        </w:rPr>
        <w:t xml:space="preserve">PVP Asie au début </w:t>
      </w:r>
      <w:r w:rsidR="009A2C1F">
        <w:rPr>
          <w:snapToGrid w:val="0"/>
        </w:rPr>
        <w:t>de 2023</w:t>
      </w:r>
      <w:r>
        <w:rPr>
          <w:snapToGrid w:val="0"/>
        </w:rPr>
        <w:t>,</w:t>
      </w:r>
    </w:p>
    <w:p w:rsidR="00625A49" w:rsidRDefault="00625A49" w:rsidP="003642B2">
      <w:pPr>
        <w:tabs>
          <w:tab w:val="left" w:pos="567"/>
          <w:tab w:val="left" w:pos="1134"/>
          <w:tab w:val="left" w:pos="5387"/>
          <w:tab w:val="left" w:pos="5954"/>
        </w:tabs>
        <w:ind w:firstLine="567"/>
        <w:rPr>
          <w:snapToGrid w:val="0"/>
        </w:rPr>
      </w:pPr>
    </w:p>
    <w:p w:rsidR="00625A49" w:rsidRDefault="00136FEA" w:rsidP="003642B2">
      <w:pPr>
        <w:tabs>
          <w:tab w:val="left" w:pos="567"/>
          <w:tab w:val="left" w:pos="1134"/>
          <w:tab w:val="left" w:pos="5387"/>
          <w:tab w:val="left" w:pos="5954"/>
        </w:tabs>
        <w:ind w:firstLine="567"/>
        <w:rPr>
          <w:snapToGrid w:val="0"/>
        </w:rPr>
      </w:pPr>
      <w:r>
        <w:rPr>
          <w:snapToGrid w:val="0"/>
        </w:rPr>
        <w:t>d)</w:t>
      </w:r>
      <w:r>
        <w:rPr>
          <w:snapToGrid w:val="0"/>
        </w:rPr>
        <w:tab/>
        <w:t>à noter qu</w:t>
      </w:r>
      <w:r w:rsidR="009A2C1F">
        <w:rPr>
          <w:snapToGrid w:val="0"/>
        </w:rPr>
        <w:t>’</w:t>
      </w:r>
      <w:r>
        <w:rPr>
          <w:snapToGrid w:val="0"/>
        </w:rPr>
        <w:t>il est rendu compte des questions concernant le modèle de principes directeurs d</w:t>
      </w:r>
      <w:r w:rsidR="009A2C1F">
        <w:rPr>
          <w:snapToGrid w:val="0"/>
        </w:rPr>
        <w:t>’</w:t>
      </w:r>
      <w:r>
        <w:rPr>
          <w:snapToGrid w:val="0"/>
        </w:rPr>
        <w:t xml:space="preserve">examen fondé sur le Web dans le </w:t>
      </w:r>
      <w:r w:rsidR="009A2C1F">
        <w:rPr>
          <w:snapToGrid w:val="0"/>
        </w:rPr>
        <w:t>document TC</w:t>
      </w:r>
      <w:r>
        <w:rPr>
          <w:snapToGrid w:val="0"/>
        </w:rPr>
        <w:t>/58/13,</w:t>
      </w:r>
    </w:p>
    <w:p w:rsidR="00625A49" w:rsidRDefault="00625A49" w:rsidP="003642B2">
      <w:pPr>
        <w:tabs>
          <w:tab w:val="left" w:pos="567"/>
          <w:tab w:val="left" w:pos="1134"/>
          <w:tab w:val="left" w:pos="5387"/>
          <w:tab w:val="left" w:pos="5954"/>
        </w:tabs>
        <w:ind w:firstLine="567"/>
        <w:rPr>
          <w:snapToGrid w:val="0"/>
        </w:rPr>
      </w:pPr>
    </w:p>
    <w:p w:rsidR="00625A49" w:rsidRDefault="00136FEA" w:rsidP="003642B2">
      <w:pPr>
        <w:tabs>
          <w:tab w:val="left" w:pos="567"/>
          <w:tab w:val="left" w:pos="1134"/>
          <w:tab w:val="left" w:pos="5387"/>
          <w:tab w:val="left" w:pos="5954"/>
        </w:tabs>
        <w:ind w:firstLine="567"/>
        <w:rPr>
          <w:snapToGrid w:val="0"/>
        </w:rPr>
      </w:pPr>
      <w:r>
        <w:rPr>
          <w:snapToGrid w:val="0"/>
        </w:rPr>
        <w:t>e)</w:t>
      </w:r>
      <w:r>
        <w:rPr>
          <w:snapToGrid w:val="0"/>
        </w:rPr>
        <w:tab/>
        <w:t>à noter qu</w:t>
      </w:r>
      <w:r w:rsidR="009A2C1F">
        <w:rPr>
          <w:snapToGrid w:val="0"/>
        </w:rPr>
        <w:t>’</w:t>
      </w:r>
      <w:r>
        <w:rPr>
          <w:snapToGrid w:val="0"/>
        </w:rPr>
        <w:t>aucun fait nouveau n</w:t>
      </w:r>
      <w:r w:rsidR="009A2C1F">
        <w:rPr>
          <w:snapToGrid w:val="0"/>
        </w:rPr>
        <w:t>’</w:t>
      </w:r>
      <w:r>
        <w:rPr>
          <w:snapToGrid w:val="0"/>
        </w:rPr>
        <w:t>est intervenu relativement aux souhaits des membres de l</w:t>
      </w:r>
      <w:r w:rsidR="009A2C1F">
        <w:rPr>
          <w:snapToGrid w:val="0"/>
        </w:rPr>
        <w:t>’</w:t>
      </w:r>
      <w:r>
        <w:rPr>
          <w:snapToGrid w:val="0"/>
        </w:rPr>
        <w:t>Union concernant l</w:t>
      </w:r>
      <w:r w:rsidR="009A2C1F">
        <w:rPr>
          <w:snapToGrid w:val="0"/>
        </w:rPr>
        <w:t>’</w:t>
      </w:r>
      <w:r>
        <w:rPr>
          <w:snapToGrid w:val="0"/>
        </w:rPr>
        <w:t>inclusion, sur une plateforme de l</w:t>
      </w:r>
      <w:r w:rsidR="009A2C1F">
        <w:rPr>
          <w:snapToGrid w:val="0"/>
        </w:rPr>
        <w:t>’</w:t>
      </w:r>
      <w:r>
        <w:rPr>
          <w:snapToGrid w:val="0"/>
        </w:rPr>
        <w:t>UPOV, de bases de données contenant des descriptions variétales,</w:t>
      </w:r>
    </w:p>
    <w:p w:rsidR="00625A49" w:rsidRDefault="00625A49" w:rsidP="003642B2">
      <w:pPr>
        <w:tabs>
          <w:tab w:val="left" w:pos="567"/>
          <w:tab w:val="left" w:pos="1134"/>
          <w:tab w:val="left" w:pos="5387"/>
          <w:tab w:val="left" w:pos="5954"/>
        </w:tabs>
        <w:ind w:firstLine="567"/>
        <w:rPr>
          <w:snapToGrid w:val="0"/>
        </w:rPr>
      </w:pPr>
    </w:p>
    <w:p w:rsidR="00625A49" w:rsidRDefault="00136FEA" w:rsidP="003642B2">
      <w:pPr>
        <w:tabs>
          <w:tab w:val="left" w:pos="567"/>
          <w:tab w:val="left" w:pos="1134"/>
          <w:tab w:val="left" w:pos="5387"/>
          <w:tab w:val="left" w:pos="5954"/>
        </w:tabs>
        <w:ind w:firstLine="567"/>
        <w:rPr>
          <w:snapToGrid w:val="0"/>
        </w:rPr>
      </w:pPr>
      <w:r>
        <w:rPr>
          <w:snapToGrid w:val="0"/>
        </w:rPr>
        <w:t>f)</w:t>
      </w:r>
      <w:r>
        <w:rPr>
          <w:snapToGrid w:val="0"/>
        </w:rPr>
        <w:tab/>
        <w:t xml:space="preserve">à noter que les mesures visant à accroître la participation aux sessions des TWP sont examinées dans le </w:t>
      </w:r>
      <w:r w:rsidR="009A2C1F">
        <w:rPr>
          <w:snapToGrid w:val="0"/>
        </w:rPr>
        <w:t>document TC</w:t>
      </w:r>
      <w:r>
        <w:rPr>
          <w:snapToGrid w:val="0"/>
        </w:rPr>
        <w:t>/58/9 “Renforcement de la participation aux travaux du</w:t>
      </w:r>
      <w:r w:rsidR="009A2C1F">
        <w:rPr>
          <w:snapToGrid w:val="0"/>
        </w:rPr>
        <w:t> TC</w:t>
      </w:r>
      <w:r>
        <w:rPr>
          <w:snapToGrid w:val="0"/>
        </w:rPr>
        <w:t xml:space="preserve"> et des groupes de travail techniques”,</w:t>
      </w:r>
    </w:p>
    <w:p w:rsidR="00625A49" w:rsidRDefault="00625A49" w:rsidP="003642B2">
      <w:pPr>
        <w:tabs>
          <w:tab w:val="left" w:pos="567"/>
          <w:tab w:val="left" w:pos="1134"/>
          <w:tab w:val="left" w:pos="5387"/>
          <w:tab w:val="left" w:pos="5954"/>
        </w:tabs>
        <w:ind w:firstLine="567"/>
        <w:rPr>
          <w:snapToGrid w:val="0"/>
        </w:rPr>
      </w:pPr>
    </w:p>
    <w:p w:rsidR="00625A49" w:rsidRDefault="00136FEA" w:rsidP="003642B2">
      <w:pPr>
        <w:tabs>
          <w:tab w:val="left" w:pos="567"/>
          <w:tab w:val="left" w:pos="1134"/>
          <w:tab w:val="left" w:pos="5387"/>
          <w:tab w:val="left" w:pos="5954"/>
        </w:tabs>
        <w:ind w:firstLine="567"/>
        <w:rPr>
          <w:snapToGrid w:val="0"/>
        </w:rPr>
      </w:pPr>
      <w:r>
        <w:rPr>
          <w:snapToGrid w:val="0"/>
        </w:rPr>
        <w:t>g)</w:t>
      </w:r>
      <w:r>
        <w:rPr>
          <w:snapToGrid w:val="0"/>
        </w:rPr>
        <w:tab/>
        <w:t xml:space="preserve">à noter que les questions afférentes à une proposition de modification de la base de données GENIE sont exposées dans le </w:t>
      </w:r>
      <w:r w:rsidR="009A2C1F">
        <w:rPr>
          <w:snapToGrid w:val="0"/>
        </w:rPr>
        <w:t>document TC</w:t>
      </w:r>
      <w:r>
        <w:rPr>
          <w:snapToGrid w:val="0"/>
        </w:rPr>
        <w:t>/58/18 “Enquête sur les besoins des membres et des observateurs concernant</w:t>
      </w:r>
      <w:r w:rsidR="009A2C1F">
        <w:rPr>
          <w:snapToGrid w:val="0"/>
        </w:rPr>
        <w:t xml:space="preserve"> les TWP</w:t>
      </w:r>
      <w:r>
        <w:rPr>
          <w:snapToGrid w:val="0"/>
        </w:rPr>
        <w:t>”,</w:t>
      </w:r>
    </w:p>
    <w:p w:rsidR="00625A49" w:rsidRDefault="00625A49" w:rsidP="003642B2">
      <w:pPr>
        <w:tabs>
          <w:tab w:val="left" w:pos="567"/>
          <w:tab w:val="left" w:pos="1134"/>
          <w:tab w:val="left" w:pos="5387"/>
          <w:tab w:val="left" w:pos="5954"/>
        </w:tabs>
        <w:ind w:firstLine="567"/>
        <w:rPr>
          <w:snapToGrid w:val="0"/>
        </w:rPr>
      </w:pPr>
    </w:p>
    <w:p w:rsidR="00625A49" w:rsidRDefault="00136FEA" w:rsidP="003642B2">
      <w:pPr>
        <w:tabs>
          <w:tab w:val="left" w:pos="567"/>
          <w:tab w:val="left" w:pos="1134"/>
          <w:tab w:val="left" w:pos="5387"/>
          <w:tab w:val="left" w:pos="5954"/>
        </w:tabs>
        <w:ind w:firstLine="567"/>
        <w:rPr>
          <w:snapToGrid w:val="0"/>
        </w:rPr>
      </w:pPr>
      <w:r>
        <w:rPr>
          <w:snapToGrid w:val="0"/>
        </w:rPr>
        <w:t>h)</w:t>
      </w:r>
      <w:r>
        <w:rPr>
          <w:snapToGrid w:val="0"/>
        </w:rPr>
        <w:tab/>
        <w:t>à noter que le CAJ, à sa soixante</w:t>
      </w:r>
      <w:r w:rsidR="008A220E">
        <w:rPr>
          <w:snapToGrid w:val="0"/>
        </w:rPr>
        <w:noBreakHyphen/>
      </w:r>
      <w:r>
        <w:rPr>
          <w:snapToGrid w:val="0"/>
        </w:rPr>
        <w:t>dix</w:t>
      </w:r>
      <w:r w:rsidR="008A220E">
        <w:rPr>
          <w:snapToGrid w:val="0"/>
        </w:rPr>
        <w:noBreakHyphen/>
      </w:r>
      <w:r>
        <w:rPr>
          <w:snapToGrid w:val="0"/>
        </w:rPr>
        <w:t>neuv</w:t>
      </w:r>
      <w:r w:rsidR="009A2C1F">
        <w:rPr>
          <w:snapToGrid w:val="0"/>
        </w:rPr>
        <w:t>ième session</w:t>
      </w:r>
      <w:r>
        <w:rPr>
          <w:snapToGrid w:val="0"/>
        </w:rPr>
        <w:t>, sera invité à examiner</w:t>
      </w:r>
    </w:p>
    <w:p w:rsidR="00625A49" w:rsidRDefault="00625A49">
      <w:pPr>
        <w:tabs>
          <w:tab w:val="left" w:pos="567"/>
          <w:tab w:val="left" w:pos="1170"/>
          <w:tab w:val="left" w:pos="5387"/>
          <w:tab w:val="left" w:pos="5954"/>
        </w:tabs>
        <w:ind w:firstLine="630"/>
        <w:rPr>
          <w:snapToGrid w:val="0"/>
        </w:rPr>
      </w:pPr>
    </w:p>
    <w:p w:rsidR="00625A49" w:rsidRDefault="00136FEA" w:rsidP="003642B2">
      <w:pPr>
        <w:tabs>
          <w:tab w:val="left" w:pos="567"/>
          <w:tab w:val="left" w:pos="1170"/>
          <w:tab w:val="left" w:pos="5387"/>
          <w:tab w:val="left" w:pos="5954"/>
        </w:tabs>
        <w:ind w:left="1701" w:hanging="567"/>
        <w:rPr>
          <w:snapToGrid w:val="0"/>
        </w:rPr>
      </w:pPr>
      <w:r>
        <w:rPr>
          <w:snapToGrid w:val="0"/>
        </w:rPr>
        <w:t>i)</w:t>
      </w:r>
      <w:r w:rsidR="003642B2">
        <w:rPr>
          <w:snapToGrid w:val="0"/>
        </w:rPr>
        <w:tab/>
      </w:r>
      <w:r>
        <w:rPr>
          <w:snapToGrid w:val="0"/>
        </w:rPr>
        <w:t>les questions qu</w:t>
      </w:r>
      <w:r w:rsidR="009A2C1F">
        <w:rPr>
          <w:snapToGrid w:val="0"/>
        </w:rPr>
        <w:t>’</w:t>
      </w:r>
      <w:r>
        <w:rPr>
          <w:snapToGrid w:val="0"/>
        </w:rPr>
        <w:t>il est proposé de poser dans le cadre de l</w:t>
      </w:r>
      <w:r w:rsidR="009A2C1F">
        <w:rPr>
          <w:snapToGrid w:val="0"/>
        </w:rPr>
        <w:t>’</w:t>
      </w:r>
      <w:r>
        <w:rPr>
          <w:snapToGrid w:val="0"/>
        </w:rPr>
        <w:t>enquête qui sera menée auprès des membres de l</w:t>
      </w:r>
      <w:r w:rsidR="009A2C1F">
        <w:rPr>
          <w:snapToGrid w:val="0"/>
        </w:rPr>
        <w:t>’</w:t>
      </w:r>
      <w:r>
        <w:rPr>
          <w:snapToGrid w:val="0"/>
        </w:rPr>
        <w:t>Union afin d</w:t>
      </w:r>
      <w:r w:rsidR="009A2C1F">
        <w:rPr>
          <w:snapToGrid w:val="0"/>
        </w:rPr>
        <w:t>’</w:t>
      </w:r>
      <w:r>
        <w:rPr>
          <w:snapToGrid w:val="0"/>
        </w:rPr>
        <w:t>obtenir des informations sur leurs politiques ou obstacles juridiques susceptibles d</w:t>
      </w:r>
      <w:r w:rsidR="009A2C1F">
        <w:rPr>
          <w:snapToGrid w:val="0"/>
        </w:rPr>
        <w:t>’</w:t>
      </w:r>
      <w:r>
        <w:rPr>
          <w:snapToGrid w:val="0"/>
        </w:rPr>
        <w:t>empêcher la coopération internationale en matière d</w:t>
      </w:r>
      <w:r w:rsidR="009A2C1F">
        <w:rPr>
          <w:snapToGrid w:val="0"/>
        </w:rPr>
        <w:t>’</w:t>
      </w:r>
      <w:r>
        <w:rPr>
          <w:snapToGrid w:val="0"/>
        </w:rPr>
        <w:t>examen DHS,</w:t>
      </w:r>
    </w:p>
    <w:p w:rsidR="00625A49" w:rsidRDefault="00625A49" w:rsidP="003642B2">
      <w:pPr>
        <w:tabs>
          <w:tab w:val="left" w:pos="567"/>
          <w:tab w:val="left" w:pos="1170"/>
          <w:tab w:val="left" w:pos="5387"/>
          <w:tab w:val="left" w:pos="5954"/>
        </w:tabs>
        <w:ind w:left="1701" w:hanging="567"/>
        <w:rPr>
          <w:snapToGrid w:val="0"/>
        </w:rPr>
      </w:pPr>
    </w:p>
    <w:p w:rsidR="00625A49" w:rsidRDefault="00136FEA" w:rsidP="003642B2">
      <w:pPr>
        <w:tabs>
          <w:tab w:val="left" w:pos="567"/>
          <w:tab w:val="left" w:pos="1170"/>
          <w:tab w:val="left" w:pos="5387"/>
          <w:tab w:val="left" w:pos="5954"/>
        </w:tabs>
        <w:ind w:left="1701" w:hanging="567"/>
        <w:rPr>
          <w:snapToGrid w:val="0"/>
        </w:rPr>
      </w:pPr>
      <w:r>
        <w:rPr>
          <w:snapToGrid w:val="0"/>
        </w:rPr>
        <w:t>ii)</w:t>
      </w:r>
      <w:r w:rsidR="003642B2">
        <w:rPr>
          <w:snapToGrid w:val="0"/>
        </w:rPr>
        <w:tab/>
      </w:r>
      <w:r>
        <w:rPr>
          <w:snapToGrid w:val="0"/>
        </w:rPr>
        <w:t>les précisions apportées par les organisations d</w:t>
      </w:r>
      <w:r w:rsidR="009A2C1F">
        <w:rPr>
          <w:snapToGrid w:val="0"/>
        </w:rPr>
        <w:t>’</w:t>
      </w:r>
      <w:r>
        <w:rPr>
          <w:snapToGrid w:val="0"/>
        </w:rPr>
        <w:t>obtenteurs sur les difficultés que pose la volonté des obtenteurs d</w:t>
      </w:r>
      <w:r w:rsidR="009A2C1F">
        <w:rPr>
          <w:snapToGrid w:val="0"/>
        </w:rPr>
        <w:t>’</w:t>
      </w:r>
      <w:r>
        <w:rPr>
          <w:snapToGrid w:val="0"/>
        </w:rPr>
        <w:t>utiliser, ou de ne pas utiliser, les rapports d</w:t>
      </w:r>
      <w:r w:rsidR="009A2C1F">
        <w:rPr>
          <w:snapToGrid w:val="0"/>
        </w:rPr>
        <w:t>’</w:t>
      </w:r>
      <w:r>
        <w:rPr>
          <w:snapToGrid w:val="0"/>
        </w:rPr>
        <w:t>examen DHS existants dont il est question dans le présent document, et</w:t>
      </w:r>
    </w:p>
    <w:p w:rsidR="00625A49" w:rsidRDefault="00625A49" w:rsidP="003642B2">
      <w:pPr>
        <w:tabs>
          <w:tab w:val="left" w:pos="567"/>
          <w:tab w:val="left" w:pos="1170"/>
          <w:tab w:val="left" w:pos="5387"/>
          <w:tab w:val="left" w:pos="5954"/>
        </w:tabs>
        <w:ind w:left="1701" w:hanging="567"/>
        <w:rPr>
          <w:snapToGrid w:val="0"/>
        </w:rPr>
      </w:pPr>
    </w:p>
    <w:p w:rsidR="00625A49" w:rsidRDefault="00136FEA" w:rsidP="003642B2">
      <w:pPr>
        <w:tabs>
          <w:tab w:val="left" w:pos="567"/>
          <w:tab w:val="left" w:pos="1170"/>
          <w:tab w:val="left" w:pos="5387"/>
          <w:tab w:val="left" w:pos="5954"/>
        </w:tabs>
        <w:ind w:left="1701" w:hanging="567"/>
        <w:rPr>
          <w:snapToGrid w:val="0"/>
        </w:rPr>
      </w:pPr>
      <w:r>
        <w:rPr>
          <w:snapToGrid w:val="0"/>
        </w:rPr>
        <w:t>iii)</w:t>
      </w:r>
      <w:r w:rsidR="003642B2">
        <w:rPr>
          <w:snapToGrid w:val="0"/>
        </w:rPr>
        <w:tab/>
      </w:r>
      <w:r>
        <w:rPr>
          <w:snapToGrid w:val="0"/>
        </w:rPr>
        <w:t>l</w:t>
      </w:r>
      <w:r w:rsidR="009A2C1F">
        <w:rPr>
          <w:snapToGrid w:val="0"/>
        </w:rPr>
        <w:t>’</w:t>
      </w:r>
      <w:r>
        <w:rPr>
          <w:snapToGrid w:val="0"/>
        </w:rPr>
        <w:t>opportunité de reporter la rédaction des notes explicatives sur l</w:t>
      </w:r>
      <w:r w:rsidR="009A2C1F">
        <w:rPr>
          <w:snapToGrid w:val="0"/>
        </w:rPr>
        <w:t>’</w:t>
      </w:r>
      <w:r>
        <w:rPr>
          <w:snapToGrid w:val="0"/>
        </w:rPr>
        <w:t xml:space="preserve">article 12 de la </w:t>
      </w:r>
      <w:r w:rsidR="009A2C1F">
        <w:rPr>
          <w:snapToGrid w:val="0"/>
        </w:rPr>
        <w:t>Convention UPOV</w:t>
      </w:r>
      <w:r>
        <w:rPr>
          <w:snapToGrid w:val="0"/>
        </w:rPr>
        <w:t xml:space="preserve"> (“Examen de la demande”) jusqu</w:t>
      </w:r>
      <w:r w:rsidR="009A2C1F">
        <w:rPr>
          <w:snapToGrid w:val="0"/>
        </w:rPr>
        <w:t>’</w:t>
      </w:r>
      <w:r>
        <w:rPr>
          <w:snapToGrid w:val="0"/>
        </w:rPr>
        <w:t>à l</w:t>
      </w:r>
      <w:r w:rsidR="009A2C1F">
        <w:rPr>
          <w:snapToGrid w:val="0"/>
        </w:rPr>
        <w:t>’</w:t>
      </w:r>
      <w:r>
        <w:rPr>
          <w:snapToGrid w:val="0"/>
        </w:rPr>
        <w:t>examen par le CAJ des informations obtenues des membres de l</w:t>
      </w:r>
      <w:r w:rsidR="009A2C1F">
        <w:rPr>
          <w:snapToGrid w:val="0"/>
        </w:rPr>
        <w:t>’</w:t>
      </w:r>
      <w:r>
        <w:rPr>
          <w:snapToGrid w:val="0"/>
        </w:rPr>
        <w:t>Union, en réponse à l</w:t>
      </w:r>
      <w:r w:rsidR="009A2C1F">
        <w:rPr>
          <w:snapToGrid w:val="0"/>
        </w:rPr>
        <w:t>’</w:t>
      </w:r>
      <w:r>
        <w:rPr>
          <w:snapToGrid w:val="0"/>
        </w:rPr>
        <w:t>enquête, et des organisations d</w:t>
      </w:r>
      <w:r w:rsidR="009A2C1F">
        <w:rPr>
          <w:snapToGrid w:val="0"/>
        </w:rPr>
        <w:t>’</w:t>
      </w:r>
      <w:r>
        <w:rPr>
          <w:snapToGrid w:val="0"/>
        </w:rPr>
        <w:t>obtenteurs, et</w:t>
      </w:r>
    </w:p>
    <w:p w:rsidR="00625A49" w:rsidRDefault="00625A49">
      <w:pPr>
        <w:keepNext/>
        <w:keepLines/>
        <w:tabs>
          <w:tab w:val="left" w:pos="567"/>
          <w:tab w:val="left" w:pos="1170"/>
          <w:tab w:val="left" w:pos="5387"/>
          <w:tab w:val="left" w:pos="5954"/>
        </w:tabs>
        <w:ind w:firstLine="630"/>
        <w:rPr>
          <w:snapToGrid w:val="0"/>
        </w:rPr>
      </w:pPr>
    </w:p>
    <w:p w:rsidR="00625A49" w:rsidRDefault="00136FEA" w:rsidP="003642B2">
      <w:pPr>
        <w:keepNext/>
        <w:keepLines/>
        <w:tabs>
          <w:tab w:val="left" w:pos="567"/>
          <w:tab w:val="left" w:pos="1134"/>
          <w:tab w:val="left" w:pos="5387"/>
          <w:tab w:val="left" w:pos="5954"/>
        </w:tabs>
        <w:ind w:firstLine="567"/>
        <w:rPr>
          <w:i/>
        </w:rPr>
      </w:pPr>
      <w:r>
        <w:rPr>
          <w:snapToGrid w:val="0"/>
        </w:rPr>
        <w:t>i)</w:t>
      </w:r>
      <w:r>
        <w:rPr>
          <w:snapToGrid w:val="0"/>
        </w:rPr>
        <w:tab/>
        <w:t>à noter que les incidences des mesures proposées seraient évaluées sur la base du nombre d</w:t>
      </w:r>
      <w:r w:rsidR="009A2C1F">
        <w:rPr>
          <w:snapToGrid w:val="0"/>
        </w:rPr>
        <w:t>’</w:t>
      </w:r>
      <w:r>
        <w:rPr>
          <w:snapToGrid w:val="0"/>
        </w:rPr>
        <w:t>accords de coopération signalés par les membres de l</w:t>
      </w:r>
      <w:r w:rsidR="009A2C1F">
        <w:rPr>
          <w:snapToGrid w:val="0"/>
        </w:rPr>
        <w:t>’</w:t>
      </w:r>
      <w:r>
        <w:rPr>
          <w:snapToGrid w:val="0"/>
        </w:rPr>
        <w:t>Union, tel que présenté dans le document C/[xx]/INF/5 “Coopération en matière d</w:t>
      </w:r>
      <w:r w:rsidR="009A2C1F">
        <w:rPr>
          <w:snapToGrid w:val="0"/>
        </w:rPr>
        <w:t>’</w:t>
      </w:r>
      <w:r>
        <w:rPr>
          <w:snapToGrid w:val="0"/>
        </w:rPr>
        <w:t>examen”.</w:t>
      </w:r>
    </w:p>
    <w:p w:rsidR="00625A49" w:rsidRDefault="00625A49">
      <w:pPr>
        <w:tabs>
          <w:tab w:val="left" w:pos="1134"/>
        </w:tabs>
        <w:ind w:firstLine="567"/>
      </w:pPr>
    </w:p>
    <w:p w:rsidR="00625A49" w:rsidRDefault="00136FEA">
      <w:pPr>
        <w:keepNext/>
      </w:pPr>
      <w:r>
        <w:fldChar w:fldCharType="begin"/>
      </w:r>
      <w:r>
        <w:instrText xml:space="preserve"> AUTONUM  </w:instrText>
      </w:r>
      <w:r>
        <w:fldChar w:fldCharType="end"/>
      </w:r>
      <w:r>
        <w:tab/>
        <w:t>Le présent document est structuré comme suit</w:t>
      </w:r>
      <w:r w:rsidR="009A2C1F">
        <w:t> :</w:t>
      </w:r>
    </w:p>
    <w:p w:rsidR="00625A49" w:rsidRDefault="00625A49">
      <w:pPr>
        <w:rPr>
          <w:lang w:eastAsia="ja-JP"/>
        </w:rPr>
      </w:pPr>
    </w:p>
    <w:p w:rsidR="003642B2" w:rsidRDefault="00136FEA">
      <w:pPr>
        <w:pStyle w:val="TOC1"/>
        <w:rPr>
          <w:rFonts w:asciiTheme="minorHAnsi" w:eastAsiaTheme="minorEastAsia" w:hAnsiTheme="minorHAnsi" w:cstheme="minorBidi"/>
          <w:caps w:val="0"/>
          <w:noProof/>
          <w:sz w:val="22"/>
          <w:szCs w:val="22"/>
          <w:lang w:val="en-US"/>
        </w:rPr>
      </w:pPr>
      <w:r>
        <w:rPr>
          <w:rFonts w:cs="Arial"/>
          <w:b/>
          <w:bCs/>
        </w:rPr>
        <w:fldChar w:fldCharType="begin"/>
      </w:r>
      <w:r>
        <w:rPr>
          <w:rFonts w:cs="Arial"/>
          <w:b/>
          <w:bCs/>
        </w:rPr>
        <w:instrText xml:space="preserve"> TOC \o "1-3" \h \z \u </w:instrText>
      </w:r>
      <w:r>
        <w:rPr>
          <w:rFonts w:cs="Arial"/>
          <w:b/>
          <w:bCs/>
        </w:rPr>
        <w:fldChar w:fldCharType="separate"/>
      </w:r>
      <w:hyperlink w:anchor="_Toc117169352" w:history="1">
        <w:r w:rsidR="003642B2" w:rsidRPr="00857D00">
          <w:rPr>
            <w:rStyle w:val="Hyperlink"/>
            <w:noProof/>
            <w:snapToGrid w:val="0"/>
          </w:rPr>
          <w:t>Résumé</w:t>
        </w:r>
        <w:r w:rsidR="003642B2">
          <w:rPr>
            <w:noProof/>
            <w:webHidden/>
          </w:rPr>
          <w:tab/>
        </w:r>
        <w:r w:rsidR="003642B2">
          <w:rPr>
            <w:noProof/>
            <w:webHidden/>
          </w:rPr>
          <w:fldChar w:fldCharType="begin"/>
        </w:r>
        <w:r w:rsidR="003642B2">
          <w:rPr>
            <w:noProof/>
            <w:webHidden/>
          </w:rPr>
          <w:instrText xml:space="preserve"> PAGEREF _Toc117169352 \h </w:instrText>
        </w:r>
        <w:r w:rsidR="003642B2">
          <w:rPr>
            <w:noProof/>
            <w:webHidden/>
          </w:rPr>
        </w:r>
        <w:r w:rsidR="003642B2">
          <w:rPr>
            <w:noProof/>
            <w:webHidden/>
          </w:rPr>
          <w:fldChar w:fldCharType="separate"/>
        </w:r>
        <w:r w:rsidR="003642B2">
          <w:rPr>
            <w:noProof/>
            <w:webHidden/>
          </w:rPr>
          <w:t>1</w:t>
        </w:r>
        <w:r w:rsidR="003642B2">
          <w:rPr>
            <w:noProof/>
            <w:webHidden/>
          </w:rPr>
          <w:fldChar w:fldCharType="end"/>
        </w:r>
      </w:hyperlink>
    </w:p>
    <w:p w:rsidR="003642B2" w:rsidRDefault="002D4AD1">
      <w:pPr>
        <w:pStyle w:val="TOC1"/>
        <w:rPr>
          <w:rFonts w:asciiTheme="minorHAnsi" w:eastAsiaTheme="minorEastAsia" w:hAnsiTheme="minorHAnsi" w:cstheme="minorBidi"/>
          <w:caps w:val="0"/>
          <w:noProof/>
          <w:sz w:val="22"/>
          <w:szCs w:val="22"/>
          <w:lang w:val="en-US"/>
        </w:rPr>
      </w:pPr>
      <w:hyperlink w:anchor="_Toc117169353" w:history="1">
        <w:r w:rsidR="003642B2" w:rsidRPr="00857D00">
          <w:rPr>
            <w:rStyle w:val="Hyperlink"/>
            <w:noProof/>
            <w:snapToGrid w:val="0"/>
          </w:rPr>
          <w:t>Informations générales</w:t>
        </w:r>
        <w:r w:rsidR="003642B2">
          <w:rPr>
            <w:noProof/>
            <w:webHidden/>
          </w:rPr>
          <w:tab/>
        </w:r>
        <w:r w:rsidR="003642B2">
          <w:rPr>
            <w:noProof/>
            <w:webHidden/>
          </w:rPr>
          <w:fldChar w:fldCharType="begin"/>
        </w:r>
        <w:r w:rsidR="003642B2">
          <w:rPr>
            <w:noProof/>
            <w:webHidden/>
          </w:rPr>
          <w:instrText xml:space="preserve"> PAGEREF _Toc117169353 \h </w:instrText>
        </w:r>
        <w:r w:rsidR="003642B2">
          <w:rPr>
            <w:noProof/>
            <w:webHidden/>
          </w:rPr>
        </w:r>
        <w:r w:rsidR="003642B2">
          <w:rPr>
            <w:noProof/>
            <w:webHidden/>
          </w:rPr>
          <w:fldChar w:fldCharType="separate"/>
        </w:r>
        <w:r w:rsidR="003642B2">
          <w:rPr>
            <w:noProof/>
            <w:webHidden/>
          </w:rPr>
          <w:t>2</w:t>
        </w:r>
        <w:r w:rsidR="003642B2">
          <w:rPr>
            <w:noProof/>
            <w:webHidden/>
          </w:rPr>
          <w:fldChar w:fldCharType="end"/>
        </w:r>
      </w:hyperlink>
    </w:p>
    <w:p w:rsidR="003642B2" w:rsidRDefault="002D4AD1">
      <w:pPr>
        <w:pStyle w:val="TOC1"/>
        <w:rPr>
          <w:rFonts w:asciiTheme="minorHAnsi" w:eastAsiaTheme="minorEastAsia" w:hAnsiTheme="minorHAnsi" w:cstheme="minorBidi"/>
          <w:caps w:val="0"/>
          <w:noProof/>
          <w:sz w:val="22"/>
          <w:szCs w:val="22"/>
          <w:lang w:val="en-US"/>
        </w:rPr>
      </w:pPr>
      <w:hyperlink w:anchor="_Toc117169354" w:history="1">
        <w:r w:rsidR="003642B2" w:rsidRPr="00857D00">
          <w:rPr>
            <w:rStyle w:val="Hyperlink"/>
            <w:noProof/>
            <w:snapToGrid w:val="0"/>
          </w:rPr>
          <w:t>Personnes à contacter pour les questions concernant la coopération internationale en matière d’examen DHS</w:t>
        </w:r>
        <w:r w:rsidR="003642B2">
          <w:rPr>
            <w:noProof/>
            <w:webHidden/>
          </w:rPr>
          <w:tab/>
        </w:r>
        <w:r w:rsidR="003642B2">
          <w:rPr>
            <w:noProof/>
            <w:webHidden/>
          </w:rPr>
          <w:fldChar w:fldCharType="begin"/>
        </w:r>
        <w:r w:rsidR="003642B2">
          <w:rPr>
            <w:noProof/>
            <w:webHidden/>
          </w:rPr>
          <w:instrText xml:space="preserve"> PAGEREF _Toc117169354 \h </w:instrText>
        </w:r>
        <w:r w:rsidR="003642B2">
          <w:rPr>
            <w:noProof/>
            <w:webHidden/>
          </w:rPr>
        </w:r>
        <w:r w:rsidR="003642B2">
          <w:rPr>
            <w:noProof/>
            <w:webHidden/>
          </w:rPr>
          <w:fldChar w:fldCharType="separate"/>
        </w:r>
        <w:r w:rsidR="003642B2">
          <w:rPr>
            <w:noProof/>
            <w:webHidden/>
          </w:rPr>
          <w:t>3</w:t>
        </w:r>
        <w:r w:rsidR="003642B2">
          <w:rPr>
            <w:noProof/>
            <w:webHidden/>
          </w:rPr>
          <w:fldChar w:fldCharType="end"/>
        </w:r>
      </w:hyperlink>
    </w:p>
    <w:p w:rsidR="003642B2" w:rsidRDefault="002D4AD1">
      <w:pPr>
        <w:pStyle w:val="TOC1"/>
        <w:rPr>
          <w:rFonts w:asciiTheme="minorHAnsi" w:eastAsiaTheme="minorEastAsia" w:hAnsiTheme="minorHAnsi" w:cstheme="minorBidi"/>
          <w:caps w:val="0"/>
          <w:noProof/>
          <w:sz w:val="22"/>
          <w:szCs w:val="22"/>
          <w:lang w:val="en-US"/>
        </w:rPr>
      </w:pPr>
      <w:hyperlink w:anchor="_Toc117169355" w:history="1">
        <w:r w:rsidR="003642B2" w:rsidRPr="00857D00">
          <w:rPr>
            <w:rStyle w:val="Hyperlink"/>
            <w:noProof/>
          </w:rPr>
          <w:t xml:space="preserve">Outils informatiques </w:t>
        </w:r>
        <w:r w:rsidR="003642B2" w:rsidRPr="00857D00">
          <w:rPr>
            <w:rStyle w:val="Hyperlink"/>
            <w:noProof/>
            <w:snapToGrid w:val="0"/>
          </w:rPr>
          <w:t>permettant de résoudre les problèmes techniques et administratifs connexes qui empêchent la coopération en matière d’examen DHS</w:t>
        </w:r>
        <w:r w:rsidR="003642B2">
          <w:rPr>
            <w:noProof/>
            <w:webHidden/>
          </w:rPr>
          <w:tab/>
        </w:r>
        <w:r w:rsidR="003642B2">
          <w:rPr>
            <w:noProof/>
            <w:webHidden/>
          </w:rPr>
          <w:fldChar w:fldCharType="begin"/>
        </w:r>
        <w:r w:rsidR="003642B2">
          <w:rPr>
            <w:noProof/>
            <w:webHidden/>
          </w:rPr>
          <w:instrText xml:space="preserve"> PAGEREF _Toc117169355 \h </w:instrText>
        </w:r>
        <w:r w:rsidR="003642B2">
          <w:rPr>
            <w:noProof/>
            <w:webHidden/>
          </w:rPr>
        </w:r>
        <w:r w:rsidR="003642B2">
          <w:rPr>
            <w:noProof/>
            <w:webHidden/>
          </w:rPr>
          <w:fldChar w:fldCharType="separate"/>
        </w:r>
        <w:r w:rsidR="003642B2">
          <w:rPr>
            <w:noProof/>
            <w:webHidden/>
          </w:rPr>
          <w:t>3</w:t>
        </w:r>
        <w:r w:rsidR="003642B2">
          <w:rPr>
            <w:noProof/>
            <w:webHidden/>
          </w:rPr>
          <w:fldChar w:fldCharType="end"/>
        </w:r>
      </w:hyperlink>
    </w:p>
    <w:p w:rsidR="003642B2" w:rsidRDefault="002D4AD1">
      <w:pPr>
        <w:pStyle w:val="TOC1"/>
        <w:rPr>
          <w:rFonts w:asciiTheme="minorHAnsi" w:eastAsiaTheme="minorEastAsia" w:hAnsiTheme="minorHAnsi" w:cstheme="minorBidi"/>
          <w:caps w:val="0"/>
          <w:noProof/>
          <w:sz w:val="22"/>
          <w:szCs w:val="22"/>
          <w:lang w:val="en-US"/>
        </w:rPr>
      </w:pPr>
      <w:hyperlink w:anchor="_Toc117169356" w:history="1">
        <w:r w:rsidR="003642B2" w:rsidRPr="00857D00">
          <w:rPr>
            <w:rStyle w:val="Hyperlink"/>
            <w:noProof/>
          </w:rPr>
          <w:t>Plateforme permettant d’accéder aux bases de données des membres de l’UPOV contenant des descriptions variétales</w:t>
        </w:r>
        <w:r w:rsidR="003642B2">
          <w:rPr>
            <w:noProof/>
            <w:webHidden/>
          </w:rPr>
          <w:tab/>
        </w:r>
        <w:r w:rsidR="003642B2">
          <w:rPr>
            <w:noProof/>
            <w:webHidden/>
          </w:rPr>
          <w:fldChar w:fldCharType="begin"/>
        </w:r>
        <w:r w:rsidR="003642B2">
          <w:rPr>
            <w:noProof/>
            <w:webHidden/>
          </w:rPr>
          <w:instrText xml:space="preserve"> PAGEREF _Toc117169356 \h </w:instrText>
        </w:r>
        <w:r w:rsidR="003642B2">
          <w:rPr>
            <w:noProof/>
            <w:webHidden/>
          </w:rPr>
        </w:r>
        <w:r w:rsidR="003642B2">
          <w:rPr>
            <w:noProof/>
            <w:webHidden/>
          </w:rPr>
          <w:fldChar w:fldCharType="separate"/>
        </w:r>
        <w:r w:rsidR="003642B2">
          <w:rPr>
            <w:noProof/>
            <w:webHidden/>
          </w:rPr>
          <w:t>4</w:t>
        </w:r>
        <w:r w:rsidR="003642B2">
          <w:rPr>
            <w:noProof/>
            <w:webHidden/>
          </w:rPr>
          <w:fldChar w:fldCharType="end"/>
        </w:r>
      </w:hyperlink>
    </w:p>
    <w:p w:rsidR="003642B2" w:rsidRDefault="002D4AD1">
      <w:pPr>
        <w:pStyle w:val="TOC1"/>
        <w:rPr>
          <w:rFonts w:asciiTheme="minorHAnsi" w:eastAsiaTheme="minorEastAsia" w:hAnsiTheme="minorHAnsi" w:cstheme="minorBidi"/>
          <w:caps w:val="0"/>
          <w:noProof/>
          <w:sz w:val="22"/>
          <w:szCs w:val="22"/>
          <w:lang w:val="en-US"/>
        </w:rPr>
      </w:pPr>
      <w:hyperlink w:anchor="_Toc117169357" w:history="1">
        <w:r w:rsidR="003642B2" w:rsidRPr="00857D00">
          <w:rPr>
            <w:rStyle w:val="Hyperlink"/>
            <w:noProof/>
          </w:rPr>
          <w:t>Utilisation des TWP pour un renforcement de la coopération</w:t>
        </w:r>
        <w:r w:rsidR="003642B2">
          <w:rPr>
            <w:noProof/>
            <w:webHidden/>
          </w:rPr>
          <w:tab/>
        </w:r>
        <w:r w:rsidR="003642B2">
          <w:rPr>
            <w:noProof/>
            <w:webHidden/>
          </w:rPr>
          <w:fldChar w:fldCharType="begin"/>
        </w:r>
        <w:r w:rsidR="003642B2">
          <w:rPr>
            <w:noProof/>
            <w:webHidden/>
          </w:rPr>
          <w:instrText xml:space="preserve"> PAGEREF _Toc117169357 \h </w:instrText>
        </w:r>
        <w:r w:rsidR="003642B2">
          <w:rPr>
            <w:noProof/>
            <w:webHidden/>
          </w:rPr>
        </w:r>
        <w:r w:rsidR="003642B2">
          <w:rPr>
            <w:noProof/>
            <w:webHidden/>
          </w:rPr>
          <w:fldChar w:fldCharType="separate"/>
        </w:r>
        <w:r w:rsidR="003642B2">
          <w:rPr>
            <w:noProof/>
            <w:webHidden/>
          </w:rPr>
          <w:t>5</w:t>
        </w:r>
        <w:r w:rsidR="003642B2">
          <w:rPr>
            <w:noProof/>
            <w:webHidden/>
          </w:rPr>
          <w:fldChar w:fldCharType="end"/>
        </w:r>
      </w:hyperlink>
    </w:p>
    <w:p w:rsidR="003642B2" w:rsidRDefault="002D4AD1">
      <w:pPr>
        <w:pStyle w:val="TOC1"/>
        <w:rPr>
          <w:rFonts w:asciiTheme="minorHAnsi" w:eastAsiaTheme="minorEastAsia" w:hAnsiTheme="minorHAnsi" w:cstheme="minorBidi"/>
          <w:caps w:val="0"/>
          <w:noProof/>
          <w:sz w:val="22"/>
          <w:szCs w:val="22"/>
          <w:lang w:val="en-US"/>
        </w:rPr>
      </w:pPr>
      <w:hyperlink w:anchor="_Toc117169358" w:history="1">
        <w:r w:rsidR="003642B2" w:rsidRPr="00857D00">
          <w:rPr>
            <w:rStyle w:val="Hyperlink"/>
            <w:noProof/>
          </w:rPr>
          <w:t>Proposition d’orientations pour la reprise des rapports d’examen DHS</w:t>
        </w:r>
        <w:r w:rsidR="003642B2">
          <w:rPr>
            <w:noProof/>
            <w:webHidden/>
          </w:rPr>
          <w:tab/>
        </w:r>
        <w:r w:rsidR="003642B2">
          <w:rPr>
            <w:noProof/>
            <w:webHidden/>
          </w:rPr>
          <w:fldChar w:fldCharType="begin"/>
        </w:r>
        <w:r w:rsidR="003642B2">
          <w:rPr>
            <w:noProof/>
            <w:webHidden/>
          </w:rPr>
          <w:instrText xml:space="preserve"> PAGEREF _Toc117169358 \h </w:instrText>
        </w:r>
        <w:r w:rsidR="003642B2">
          <w:rPr>
            <w:noProof/>
            <w:webHidden/>
          </w:rPr>
        </w:r>
        <w:r w:rsidR="003642B2">
          <w:rPr>
            <w:noProof/>
            <w:webHidden/>
          </w:rPr>
          <w:fldChar w:fldCharType="separate"/>
        </w:r>
        <w:r w:rsidR="003642B2">
          <w:rPr>
            <w:noProof/>
            <w:webHidden/>
          </w:rPr>
          <w:t>5</w:t>
        </w:r>
        <w:r w:rsidR="003642B2">
          <w:rPr>
            <w:noProof/>
            <w:webHidden/>
          </w:rPr>
          <w:fldChar w:fldCharType="end"/>
        </w:r>
      </w:hyperlink>
    </w:p>
    <w:p w:rsidR="003642B2" w:rsidRDefault="002D4AD1">
      <w:pPr>
        <w:pStyle w:val="TOC2"/>
        <w:rPr>
          <w:rFonts w:asciiTheme="minorHAnsi" w:eastAsiaTheme="minorEastAsia" w:hAnsiTheme="minorHAnsi" w:cstheme="minorBidi"/>
          <w:noProof/>
          <w:sz w:val="22"/>
          <w:szCs w:val="22"/>
          <w:lang w:val="en-US"/>
        </w:rPr>
      </w:pPr>
      <w:hyperlink w:anchor="_Toc117169359" w:history="1">
        <w:r w:rsidR="003642B2" w:rsidRPr="00857D00">
          <w:rPr>
            <w:rStyle w:val="Hyperlink"/>
            <w:noProof/>
          </w:rPr>
          <w:t>Examen par le Comité administratif et juridique (CAJ)</w:t>
        </w:r>
        <w:r w:rsidR="003642B2">
          <w:rPr>
            <w:noProof/>
            <w:webHidden/>
          </w:rPr>
          <w:tab/>
        </w:r>
        <w:r w:rsidR="003642B2">
          <w:rPr>
            <w:noProof/>
            <w:webHidden/>
          </w:rPr>
          <w:fldChar w:fldCharType="begin"/>
        </w:r>
        <w:r w:rsidR="003642B2">
          <w:rPr>
            <w:noProof/>
            <w:webHidden/>
          </w:rPr>
          <w:instrText xml:space="preserve"> PAGEREF _Toc117169359 \h </w:instrText>
        </w:r>
        <w:r w:rsidR="003642B2">
          <w:rPr>
            <w:noProof/>
            <w:webHidden/>
          </w:rPr>
        </w:r>
        <w:r w:rsidR="003642B2">
          <w:rPr>
            <w:noProof/>
            <w:webHidden/>
          </w:rPr>
          <w:fldChar w:fldCharType="separate"/>
        </w:r>
        <w:r w:rsidR="003642B2">
          <w:rPr>
            <w:noProof/>
            <w:webHidden/>
          </w:rPr>
          <w:t>5</w:t>
        </w:r>
        <w:r w:rsidR="003642B2">
          <w:rPr>
            <w:noProof/>
            <w:webHidden/>
          </w:rPr>
          <w:fldChar w:fldCharType="end"/>
        </w:r>
      </w:hyperlink>
    </w:p>
    <w:p w:rsidR="003642B2" w:rsidRDefault="002D4AD1">
      <w:pPr>
        <w:pStyle w:val="TOC1"/>
        <w:rPr>
          <w:rFonts w:asciiTheme="minorHAnsi" w:eastAsiaTheme="minorEastAsia" w:hAnsiTheme="minorHAnsi" w:cstheme="minorBidi"/>
          <w:caps w:val="0"/>
          <w:noProof/>
          <w:sz w:val="22"/>
          <w:szCs w:val="22"/>
          <w:lang w:val="en-US"/>
        </w:rPr>
      </w:pPr>
      <w:hyperlink w:anchor="_Toc117169360" w:history="1">
        <w:r w:rsidR="003642B2" w:rsidRPr="00857D00">
          <w:rPr>
            <w:rStyle w:val="Hyperlink"/>
            <w:noProof/>
          </w:rPr>
          <w:t>Évaluation des incidences</w:t>
        </w:r>
        <w:r w:rsidR="003642B2">
          <w:rPr>
            <w:noProof/>
            <w:webHidden/>
          </w:rPr>
          <w:tab/>
        </w:r>
        <w:r w:rsidR="003642B2">
          <w:rPr>
            <w:noProof/>
            <w:webHidden/>
          </w:rPr>
          <w:fldChar w:fldCharType="begin"/>
        </w:r>
        <w:r w:rsidR="003642B2">
          <w:rPr>
            <w:noProof/>
            <w:webHidden/>
          </w:rPr>
          <w:instrText xml:space="preserve"> PAGEREF _Toc117169360 \h </w:instrText>
        </w:r>
        <w:r w:rsidR="003642B2">
          <w:rPr>
            <w:noProof/>
            <w:webHidden/>
          </w:rPr>
        </w:r>
        <w:r w:rsidR="003642B2">
          <w:rPr>
            <w:noProof/>
            <w:webHidden/>
          </w:rPr>
          <w:fldChar w:fldCharType="separate"/>
        </w:r>
        <w:r w:rsidR="003642B2">
          <w:rPr>
            <w:noProof/>
            <w:webHidden/>
          </w:rPr>
          <w:t>5</w:t>
        </w:r>
        <w:r w:rsidR="003642B2">
          <w:rPr>
            <w:noProof/>
            <w:webHidden/>
          </w:rPr>
          <w:fldChar w:fldCharType="end"/>
        </w:r>
      </w:hyperlink>
    </w:p>
    <w:p w:rsidR="00625A49" w:rsidRDefault="00136FEA">
      <w:pPr>
        <w:ind w:left="1276" w:hanging="1276"/>
        <w:rPr>
          <w:snapToGrid w:val="0"/>
          <w:sz w:val="18"/>
          <w:szCs w:val="18"/>
        </w:rPr>
      </w:pPr>
      <w:r>
        <w:fldChar w:fldCharType="end"/>
      </w:r>
      <w:r>
        <w:rPr>
          <w:snapToGrid w:val="0"/>
          <w:sz w:val="18"/>
          <w:szCs w:val="18"/>
        </w:rPr>
        <w:t xml:space="preserve">ANNEXE </w:t>
      </w:r>
      <w:r>
        <w:rPr>
          <w:snapToGrid w:val="0"/>
          <w:sz w:val="18"/>
          <w:szCs w:val="18"/>
        </w:rPr>
        <w:tab/>
        <w:t>INFORMATIONS GÉNÉRALES SUR LA PROPOSITION D</w:t>
      </w:r>
      <w:r w:rsidR="009A2C1F">
        <w:rPr>
          <w:snapToGrid w:val="0"/>
          <w:sz w:val="18"/>
          <w:szCs w:val="18"/>
        </w:rPr>
        <w:t>’</w:t>
      </w:r>
      <w:r>
        <w:rPr>
          <w:snapToGrid w:val="0"/>
          <w:sz w:val="18"/>
          <w:szCs w:val="18"/>
        </w:rPr>
        <w:t>ORIENTATIONS POUR LA REPRISE DES RAPPORTS D</w:t>
      </w:r>
      <w:r w:rsidR="009A2C1F">
        <w:rPr>
          <w:snapToGrid w:val="0"/>
          <w:sz w:val="18"/>
          <w:szCs w:val="18"/>
        </w:rPr>
        <w:t>’</w:t>
      </w:r>
      <w:r>
        <w:rPr>
          <w:snapToGrid w:val="0"/>
          <w:sz w:val="18"/>
          <w:szCs w:val="18"/>
        </w:rPr>
        <w:t>EXAMEN DHS</w:t>
      </w:r>
    </w:p>
    <w:p w:rsidR="00625A49" w:rsidRDefault="00625A49">
      <w:pPr>
        <w:spacing w:before="60" w:after="120"/>
        <w:ind w:left="1134" w:hanging="1134"/>
      </w:pPr>
    </w:p>
    <w:p w:rsidR="00625A49" w:rsidRDefault="00136FEA">
      <w:pPr>
        <w:rPr>
          <w:rFonts w:cs="Arial"/>
          <w:color w:val="000000"/>
        </w:rPr>
      </w:pPr>
      <w:r>
        <w:rPr>
          <w:rFonts w:cs="Arial"/>
          <w:color w:val="000000"/>
        </w:rPr>
        <w:fldChar w:fldCharType="begin"/>
      </w:r>
      <w:r>
        <w:rPr>
          <w:rFonts w:cs="Arial"/>
          <w:color w:val="000000"/>
        </w:rPr>
        <w:instrText xml:space="preserve"> AUTONUM  </w:instrText>
      </w:r>
      <w:r>
        <w:rPr>
          <w:rFonts w:cs="Arial"/>
          <w:color w:val="000000"/>
        </w:rPr>
        <w:fldChar w:fldCharType="end"/>
      </w:r>
      <w:r>
        <w:rPr>
          <w:color w:val="000000"/>
        </w:rPr>
        <w:tab/>
      </w:r>
      <w:r>
        <w:t>Les abréviations suivantes sont utilisées dans le présent document</w:t>
      </w:r>
      <w:r w:rsidR="009A2C1F">
        <w:t> :</w:t>
      </w:r>
    </w:p>
    <w:p w:rsidR="00625A49" w:rsidRDefault="00625A49">
      <w:pPr>
        <w:tabs>
          <w:tab w:val="left" w:pos="1560"/>
        </w:tabs>
        <w:jc w:val="left"/>
        <w:rPr>
          <w:rFonts w:cs="Arial"/>
          <w:color w:val="000000"/>
        </w:rPr>
      </w:pPr>
    </w:p>
    <w:p w:rsidR="00625A49" w:rsidRDefault="00136FEA">
      <w:pPr>
        <w:tabs>
          <w:tab w:val="left" w:pos="1134"/>
          <w:tab w:val="left" w:pos="1560"/>
        </w:tabs>
        <w:jc w:val="left"/>
        <w:rPr>
          <w:rFonts w:cs="Arial"/>
          <w:color w:val="000000"/>
        </w:rPr>
      </w:pPr>
      <w:r>
        <w:rPr>
          <w:color w:val="000000"/>
        </w:rPr>
        <w:t>BMT</w:t>
      </w:r>
      <w:r w:rsidR="009A2C1F">
        <w:rPr>
          <w:color w:val="000000"/>
        </w:rPr>
        <w:t> :</w:t>
      </w:r>
      <w:r>
        <w:rPr>
          <w:color w:val="000000"/>
        </w:rPr>
        <w:tab/>
        <w:t>Groupe de travail sur les techniques biochimiques et moléculaires, notamment les profils d</w:t>
      </w:r>
      <w:r w:rsidR="009A2C1F">
        <w:rPr>
          <w:color w:val="000000"/>
        </w:rPr>
        <w:t>’</w:t>
      </w:r>
      <w:r>
        <w:rPr>
          <w:color w:val="000000"/>
        </w:rPr>
        <w:t>ADN</w:t>
      </w:r>
    </w:p>
    <w:p w:rsidR="00625A49" w:rsidRDefault="00136FEA">
      <w:pPr>
        <w:tabs>
          <w:tab w:val="left" w:pos="1134"/>
          <w:tab w:val="left" w:pos="1560"/>
        </w:tabs>
        <w:jc w:val="left"/>
        <w:rPr>
          <w:rFonts w:cs="Arial"/>
          <w:color w:val="000000"/>
        </w:rPr>
      </w:pPr>
      <w:r>
        <w:rPr>
          <w:color w:val="000000"/>
        </w:rPr>
        <w:t>CAJ</w:t>
      </w:r>
      <w:r w:rsidR="009A2C1F">
        <w:rPr>
          <w:color w:val="000000"/>
        </w:rPr>
        <w:t> :</w:t>
      </w:r>
      <w:r>
        <w:rPr>
          <w:color w:val="000000"/>
        </w:rPr>
        <w:tab/>
        <w:t>Comité administratif et juridique</w:t>
      </w:r>
    </w:p>
    <w:p w:rsidR="00625A49" w:rsidRDefault="00136FEA">
      <w:pPr>
        <w:tabs>
          <w:tab w:val="left" w:pos="1134"/>
          <w:tab w:val="left" w:pos="1560"/>
        </w:tabs>
        <w:jc w:val="left"/>
        <w:rPr>
          <w:rFonts w:cs="Arial"/>
          <w:color w:val="000000"/>
        </w:rPr>
      </w:pPr>
      <w:r>
        <w:rPr>
          <w:color w:val="000000"/>
        </w:rPr>
        <w:t>TC</w:t>
      </w:r>
      <w:r w:rsidR="009A2C1F">
        <w:rPr>
          <w:color w:val="000000"/>
        </w:rPr>
        <w:t> :</w:t>
      </w:r>
      <w:r>
        <w:rPr>
          <w:color w:val="000000"/>
        </w:rPr>
        <w:tab/>
        <w:t>Comité technique</w:t>
      </w:r>
    </w:p>
    <w:p w:rsidR="00625A49" w:rsidRDefault="00136FEA" w:rsidP="003642B2">
      <w:pPr>
        <w:tabs>
          <w:tab w:val="left" w:pos="1134"/>
        </w:tabs>
        <w:rPr>
          <w:snapToGrid w:val="0"/>
        </w:rPr>
      </w:pPr>
      <w:r>
        <w:rPr>
          <w:snapToGrid w:val="0"/>
        </w:rPr>
        <w:t>TWA</w:t>
      </w:r>
      <w:r w:rsidR="009A2C1F">
        <w:rPr>
          <w:snapToGrid w:val="0"/>
        </w:rPr>
        <w:t> :</w:t>
      </w:r>
      <w:r>
        <w:rPr>
          <w:snapToGrid w:val="0"/>
        </w:rPr>
        <w:tab/>
        <w:t>Groupe de travail technique sur les plantes agricoles</w:t>
      </w:r>
    </w:p>
    <w:p w:rsidR="00625A49" w:rsidRDefault="00136FEA">
      <w:pPr>
        <w:tabs>
          <w:tab w:val="left" w:pos="1134"/>
        </w:tabs>
        <w:rPr>
          <w:snapToGrid w:val="0"/>
        </w:rPr>
      </w:pPr>
      <w:r>
        <w:rPr>
          <w:snapToGrid w:val="0"/>
        </w:rPr>
        <w:t>TWF</w:t>
      </w:r>
      <w:r w:rsidR="009A2C1F">
        <w:rPr>
          <w:snapToGrid w:val="0"/>
        </w:rPr>
        <w:t> :</w:t>
      </w:r>
      <w:r>
        <w:rPr>
          <w:snapToGrid w:val="0"/>
        </w:rPr>
        <w:t xml:space="preserve"> </w:t>
      </w:r>
      <w:r>
        <w:rPr>
          <w:snapToGrid w:val="0"/>
        </w:rPr>
        <w:tab/>
      </w:r>
      <w:r>
        <w:rPr>
          <w:snapToGrid w:val="0"/>
        </w:rPr>
        <w:tab/>
        <w:t>Groupe de travail technique sur les plantes fruitières</w:t>
      </w:r>
    </w:p>
    <w:p w:rsidR="00625A49" w:rsidRDefault="00136FEA">
      <w:pPr>
        <w:tabs>
          <w:tab w:val="left" w:pos="1134"/>
        </w:tabs>
        <w:rPr>
          <w:snapToGrid w:val="0"/>
        </w:rPr>
      </w:pPr>
      <w:r>
        <w:rPr>
          <w:snapToGrid w:val="0"/>
        </w:rPr>
        <w:t>TWM</w:t>
      </w:r>
      <w:r w:rsidR="009A2C1F">
        <w:rPr>
          <w:snapToGrid w:val="0"/>
        </w:rPr>
        <w:t> :</w:t>
      </w:r>
      <w:r>
        <w:rPr>
          <w:snapToGrid w:val="0"/>
        </w:rPr>
        <w:tab/>
      </w:r>
      <w:r>
        <w:rPr>
          <w:snapToGrid w:val="0"/>
        </w:rPr>
        <w:tab/>
        <w:t>Groupe de travail technique sur les méthodes et techniques d</w:t>
      </w:r>
      <w:r w:rsidR="009A2C1F">
        <w:rPr>
          <w:snapToGrid w:val="0"/>
        </w:rPr>
        <w:t>’</w:t>
      </w:r>
      <w:r>
        <w:rPr>
          <w:snapToGrid w:val="0"/>
        </w:rPr>
        <w:t>essai</w:t>
      </w:r>
    </w:p>
    <w:p w:rsidR="00625A49" w:rsidRDefault="00136FEA">
      <w:pPr>
        <w:tabs>
          <w:tab w:val="left" w:pos="1134"/>
        </w:tabs>
        <w:rPr>
          <w:snapToGrid w:val="0"/>
        </w:rPr>
      </w:pPr>
      <w:r>
        <w:rPr>
          <w:snapToGrid w:val="0"/>
        </w:rPr>
        <w:t>TWO</w:t>
      </w:r>
      <w:r w:rsidR="009A2C1F">
        <w:rPr>
          <w:snapToGrid w:val="0"/>
        </w:rPr>
        <w:t> :</w:t>
      </w:r>
      <w:r>
        <w:rPr>
          <w:snapToGrid w:val="0"/>
        </w:rPr>
        <w:tab/>
      </w:r>
      <w:r>
        <w:rPr>
          <w:snapToGrid w:val="0"/>
        </w:rPr>
        <w:tab/>
        <w:t>Groupe de travail technique sur les plantes ornementales et les arbres forestiers</w:t>
      </w:r>
    </w:p>
    <w:p w:rsidR="00625A49" w:rsidRDefault="00136FEA">
      <w:pPr>
        <w:tabs>
          <w:tab w:val="left" w:pos="1134"/>
        </w:tabs>
        <w:rPr>
          <w:snapToGrid w:val="0"/>
        </w:rPr>
      </w:pPr>
      <w:r>
        <w:rPr>
          <w:snapToGrid w:val="0"/>
        </w:rPr>
        <w:t>TWV</w:t>
      </w:r>
      <w:r w:rsidR="009A2C1F">
        <w:rPr>
          <w:snapToGrid w:val="0"/>
        </w:rPr>
        <w:t> :</w:t>
      </w:r>
      <w:r>
        <w:rPr>
          <w:snapToGrid w:val="0"/>
        </w:rPr>
        <w:tab/>
      </w:r>
      <w:r>
        <w:rPr>
          <w:snapToGrid w:val="0"/>
        </w:rPr>
        <w:tab/>
        <w:t>Groupe de travail technique sur les plantes potagères</w:t>
      </w:r>
    </w:p>
    <w:p w:rsidR="00625A49" w:rsidRDefault="00136FEA">
      <w:pPr>
        <w:tabs>
          <w:tab w:val="left" w:pos="1134"/>
        </w:tabs>
        <w:rPr>
          <w:snapToGrid w:val="0"/>
        </w:rPr>
      </w:pPr>
      <w:r>
        <w:rPr>
          <w:snapToGrid w:val="0"/>
        </w:rPr>
        <w:t>TWP</w:t>
      </w:r>
      <w:r w:rsidR="009A2C1F">
        <w:rPr>
          <w:snapToGrid w:val="0"/>
        </w:rPr>
        <w:t> :</w:t>
      </w:r>
      <w:r>
        <w:rPr>
          <w:snapToGrid w:val="0"/>
        </w:rPr>
        <w:tab/>
      </w:r>
      <w:r>
        <w:rPr>
          <w:snapToGrid w:val="0"/>
        </w:rPr>
        <w:tab/>
        <w:t>Groupe(s) de travail technique(s)</w:t>
      </w:r>
    </w:p>
    <w:p w:rsidR="00625A49" w:rsidRDefault="00625A49">
      <w:pPr>
        <w:rPr>
          <w:snapToGrid w:val="0"/>
        </w:rPr>
      </w:pPr>
    </w:p>
    <w:p w:rsidR="00625A49" w:rsidRDefault="00625A49">
      <w:pPr>
        <w:rPr>
          <w:snapToGrid w:val="0"/>
        </w:rPr>
      </w:pPr>
    </w:p>
    <w:p w:rsidR="00625A49" w:rsidRDefault="00136FEA">
      <w:pPr>
        <w:pStyle w:val="Heading1"/>
        <w:rPr>
          <w:snapToGrid w:val="0"/>
        </w:rPr>
      </w:pPr>
      <w:bookmarkStart w:id="1" w:name="_Toc117169353"/>
      <w:r>
        <w:rPr>
          <w:snapToGrid w:val="0"/>
        </w:rPr>
        <w:t>Informations g</w:t>
      </w:r>
      <w:r w:rsidR="008A220E">
        <w:rPr>
          <w:snapToGrid w:val="0"/>
        </w:rPr>
        <w:t>é</w:t>
      </w:r>
      <w:r>
        <w:rPr>
          <w:snapToGrid w:val="0"/>
        </w:rPr>
        <w:t>n</w:t>
      </w:r>
      <w:r w:rsidR="008A220E">
        <w:rPr>
          <w:snapToGrid w:val="0"/>
        </w:rPr>
        <w:t>é</w:t>
      </w:r>
      <w:r>
        <w:rPr>
          <w:snapToGrid w:val="0"/>
        </w:rPr>
        <w:t>rales</w:t>
      </w:r>
      <w:bookmarkEnd w:id="1"/>
    </w:p>
    <w:p w:rsidR="00625A49" w:rsidRDefault="00625A49"/>
    <w:p w:rsidR="00625A49" w:rsidRDefault="00136FEA">
      <w:pPr>
        <w:keepNext/>
      </w:pPr>
      <w:r>
        <w:fldChar w:fldCharType="begin"/>
      </w:r>
      <w:r>
        <w:instrText xml:space="preserve"> AUTONUM  </w:instrText>
      </w:r>
      <w:r>
        <w:fldChar w:fldCharType="end"/>
      </w:r>
      <w:r>
        <w:tab/>
        <w:t>Les informations générales sur cette question, antérieures à la cinquante</w:t>
      </w:r>
      <w:r w:rsidR="008A220E">
        <w:noBreakHyphen/>
      </w:r>
      <w:r>
        <w:t>huit</w:t>
      </w:r>
      <w:r w:rsidR="009A2C1F">
        <w:t>ième session</w:t>
      </w:r>
      <w:r>
        <w:t xml:space="preserve"> du</w:t>
      </w:r>
      <w:r w:rsidR="009A2C1F">
        <w:t> TC</w:t>
      </w:r>
      <w:r>
        <w:t xml:space="preserve">, sont fournies dans le </w:t>
      </w:r>
      <w:r w:rsidR="009A2C1F">
        <w:t>document TC</w:t>
      </w:r>
      <w:r>
        <w:t>/57/9 “Coopération en matière d</w:t>
      </w:r>
      <w:r w:rsidR="009A2C1F">
        <w:t>’</w:t>
      </w:r>
      <w:r>
        <w:t>examen”.</w:t>
      </w:r>
    </w:p>
    <w:p w:rsidR="00625A49" w:rsidRDefault="00625A49"/>
    <w:p w:rsidR="00625A49" w:rsidRDefault="00625A49"/>
    <w:p w:rsidR="00625A49" w:rsidRDefault="00136FEA">
      <w:pPr>
        <w:pStyle w:val="Heading1"/>
        <w:rPr>
          <w:snapToGrid w:val="0"/>
        </w:rPr>
      </w:pPr>
      <w:bookmarkStart w:id="2" w:name="_Toc117169354"/>
      <w:r>
        <w:rPr>
          <w:snapToGrid w:val="0"/>
        </w:rPr>
        <w:lastRenderedPageBreak/>
        <w:t xml:space="preserve">Personnes </w:t>
      </w:r>
      <w:r w:rsidR="008A220E">
        <w:rPr>
          <w:snapToGrid w:val="0"/>
        </w:rPr>
        <w:t>à</w:t>
      </w:r>
      <w:r>
        <w:rPr>
          <w:snapToGrid w:val="0"/>
        </w:rPr>
        <w:t xml:space="preserve"> contacter pour les questions concernant la coop</w:t>
      </w:r>
      <w:r w:rsidR="008A220E">
        <w:rPr>
          <w:snapToGrid w:val="0"/>
        </w:rPr>
        <w:t>é</w:t>
      </w:r>
      <w:r>
        <w:rPr>
          <w:snapToGrid w:val="0"/>
        </w:rPr>
        <w:t>ration internationale en mati</w:t>
      </w:r>
      <w:r w:rsidR="008A220E">
        <w:rPr>
          <w:snapToGrid w:val="0"/>
        </w:rPr>
        <w:t>è</w:t>
      </w:r>
      <w:r>
        <w:rPr>
          <w:snapToGrid w:val="0"/>
        </w:rPr>
        <w:t>re d</w:t>
      </w:r>
      <w:r w:rsidR="009A2C1F">
        <w:rPr>
          <w:snapToGrid w:val="0"/>
        </w:rPr>
        <w:t>’</w:t>
      </w:r>
      <w:r>
        <w:rPr>
          <w:snapToGrid w:val="0"/>
        </w:rPr>
        <w:t>examen DHS</w:t>
      </w:r>
      <w:bookmarkEnd w:id="2"/>
    </w:p>
    <w:p w:rsidR="00625A49" w:rsidRDefault="00625A49">
      <w:pPr>
        <w:keepNext/>
        <w:outlineLvl w:val="0"/>
        <w:rPr>
          <w:caps/>
          <w:snapToGrid w:val="0"/>
        </w:rPr>
      </w:pPr>
    </w:p>
    <w:p w:rsidR="00625A49" w:rsidRDefault="00136FEA">
      <w:pPr>
        <w:rPr>
          <w:snapToGrid w:val="0"/>
        </w:rPr>
      </w:pPr>
      <w:r>
        <w:rPr>
          <w:snapToGrid w:val="0"/>
        </w:rPr>
        <w:fldChar w:fldCharType="begin"/>
      </w:r>
      <w:r>
        <w:rPr>
          <w:snapToGrid w:val="0"/>
        </w:rPr>
        <w:instrText xml:space="preserve"> AUTONUM  </w:instrText>
      </w:r>
      <w:r>
        <w:rPr>
          <w:snapToGrid w:val="0"/>
        </w:rPr>
        <w:fldChar w:fldCharType="end"/>
      </w:r>
      <w:r>
        <w:rPr>
          <w:snapToGrid w:val="0"/>
        </w:rPr>
        <w:tab/>
        <w:t>La liste des personnes à contacter pour les questions concernant la coopération internationale en matière d</w:t>
      </w:r>
      <w:r w:rsidR="009A2C1F">
        <w:rPr>
          <w:snapToGrid w:val="0"/>
        </w:rPr>
        <w:t>’</w:t>
      </w:r>
      <w:r>
        <w:rPr>
          <w:snapToGrid w:val="0"/>
        </w:rPr>
        <w:t>examen DHS est consultable sur le site</w:t>
      </w:r>
      <w:r w:rsidR="00C92C56">
        <w:rPr>
          <w:snapToGrid w:val="0"/>
        </w:rPr>
        <w:t> </w:t>
      </w:r>
      <w:r>
        <w:rPr>
          <w:snapToGrid w:val="0"/>
        </w:rPr>
        <w:t>Web de l</w:t>
      </w:r>
      <w:r w:rsidR="009A2C1F">
        <w:rPr>
          <w:snapToGrid w:val="0"/>
        </w:rPr>
        <w:t>’</w:t>
      </w:r>
      <w:r>
        <w:rPr>
          <w:snapToGrid w:val="0"/>
        </w:rPr>
        <w:t>UPOV à l</w:t>
      </w:r>
      <w:r w:rsidR="009A2C1F">
        <w:rPr>
          <w:snapToGrid w:val="0"/>
        </w:rPr>
        <w:t>’</w:t>
      </w:r>
      <w:r>
        <w:rPr>
          <w:snapToGrid w:val="0"/>
        </w:rPr>
        <w:t xml:space="preserve">adresse </w:t>
      </w:r>
      <w:hyperlink r:id="rId10" w:history="1">
        <w:r>
          <w:rPr>
            <w:rStyle w:val="Hyperlink"/>
          </w:rPr>
          <w:t>https://www.upov.int/databases/fr/contact_cooperation.html</w:t>
        </w:r>
      </w:hyperlink>
      <w:r>
        <w:rPr>
          <w:snapToGrid w:val="0"/>
        </w:rPr>
        <w:t>.</w:t>
      </w:r>
    </w:p>
    <w:p w:rsidR="00625A49" w:rsidRDefault="00625A49">
      <w:pPr>
        <w:rPr>
          <w:snapToGrid w:val="0"/>
        </w:rPr>
      </w:pPr>
    </w:p>
    <w:p w:rsidR="00625A49" w:rsidRDefault="00136FEA">
      <w:pPr>
        <w:keepNext/>
        <w:keepLines/>
        <w:rPr>
          <w:snapToGrid w:val="0"/>
        </w:rPr>
      </w:pPr>
      <w:r>
        <w:rPr>
          <w:snapToGrid w:val="0"/>
        </w:rPr>
        <w:fldChar w:fldCharType="begin"/>
      </w:r>
      <w:r>
        <w:rPr>
          <w:snapToGrid w:val="0"/>
        </w:rPr>
        <w:instrText xml:space="preserve"> AUTONUM  </w:instrText>
      </w:r>
      <w:r>
        <w:rPr>
          <w:snapToGrid w:val="0"/>
        </w:rPr>
        <w:fldChar w:fldCharType="end"/>
      </w:r>
      <w:r>
        <w:rPr>
          <w:snapToGrid w:val="0"/>
        </w:rPr>
        <w:tab/>
        <w:t>Les membres de l</w:t>
      </w:r>
      <w:r w:rsidR="009A2C1F">
        <w:rPr>
          <w:snapToGrid w:val="0"/>
        </w:rPr>
        <w:t>’</w:t>
      </w:r>
      <w:r>
        <w:rPr>
          <w:snapToGrid w:val="0"/>
        </w:rPr>
        <w:t>UPOV sont invités à mettre à jour chaque année les coordonnées des personnes à contacter pour les questions concernant la coopération internationale en matière d</w:t>
      </w:r>
      <w:r w:rsidR="009A2C1F">
        <w:rPr>
          <w:snapToGrid w:val="0"/>
        </w:rPr>
        <w:t>’</w:t>
      </w:r>
      <w:r>
        <w:rPr>
          <w:snapToGrid w:val="0"/>
        </w:rPr>
        <w:t>examen DHS, au moment où ils sont invités à fournir des informations aux fins de l</w:t>
      </w:r>
      <w:r w:rsidR="009A2C1F">
        <w:rPr>
          <w:snapToGrid w:val="0"/>
        </w:rPr>
        <w:t>’</w:t>
      </w:r>
      <w:r>
        <w:rPr>
          <w:snapToGrid w:val="0"/>
        </w:rPr>
        <w:t xml:space="preserve">établissement du </w:t>
      </w:r>
      <w:r w:rsidR="009A2C1F">
        <w:rPr>
          <w:snapToGrid w:val="0"/>
        </w:rPr>
        <w:t>document TC</w:t>
      </w:r>
      <w:r>
        <w:rPr>
          <w:snapToGrid w:val="0"/>
        </w:rPr>
        <w:t>/[xx]/4 “Liste des genres et espèces pour lesquels les services ont une expérience pratique en matière d</w:t>
      </w:r>
      <w:r w:rsidR="009A2C1F">
        <w:rPr>
          <w:snapToGrid w:val="0"/>
        </w:rPr>
        <w:t>’</w:t>
      </w:r>
      <w:r>
        <w:rPr>
          <w:snapToGrid w:val="0"/>
        </w:rPr>
        <w:t>examen de la distinction, de l</w:t>
      </w:r>
      <w:r w:rsidR="009A2C1F">
        <w:rPr>
          <w:snapToGrid w:val="0"/>
        </w:rPr>
        <w:t>’</w:t>
      </w:r>
      <w:r>
        <w:rPr>
          <w:snapToGrid w:val="0"/>
        </w:rPr>
        <w:t>homogénéité et de la stabilité”.</w:t>
      </w:r>
    </w:p>
    <w:p w:rsidR="00625A49" w:rsidRDefault="00625A49">
      <w:pPr>
        <w:rPr>
          <w:snapToGrid w:val="0"/>
        </w:rPr>
      </w:pPr>
    </w:p>
    <w:p w:rsidR="00625A49" w:rsidRDefault="00136FEA">
      <w:r>
        <w:fldChar w:fldCharType="begin"/>
      </w:r>
      <w:r>
        <w:instrText xml:space="preserve"> AUTONUM  </w:instrText>
      </w:r>
      <w:r>
        <w:fldChar w:fldCharType="end"/>
      </w:r>
      <w:r>
        <w:tab/>
        <w:t xml:space="preserve">Les mises à jour de la liste des </w:t>
      </w:r>
      <w:r>
        <w:rPr>
          <w:snapToGrid w:val="0"/>
        </w:rPr>
        <w:t>personnes à contacter pour les questions concernant la coopération internationale qui figure sur le site Web de l</w:t>
      </w:r>
      <w:r w:rsidR="009A2C1F">
        <w:rPr>
          <w:snapToGrid w:val="0"/>
        </w:rPr>
        <w:t>’</w:t>
      </w:r>
      <w:r>
        <w:rPr>
          <w:snapToGrid w:val="0"/>
        </w:rPr>
        <w:t>UPOV peuvent être effectuées à tout moment, à la demande du membre de l</w:t>
      </w:r>
      <w:r w:rsidR="009A2C1F">
        <w:rPr>
          <w:snapToGrid w:val="0"/>
        </w:rPr>
        <w:t>’</w:t>
      </w:r>
      <w:r>
        <w:rPr>
          <w:snapToGrid w:val="0"/>
        </w:rPr>
        <w:t>Union concerné, moyennant l</w:t>
      </w:r>
      <w:r w:rsidR="009A2C1F">
        <w:rPr>
          <w:snapToGrid w:val="0"/>
        </w:rPr>
        <w:t>’</w:t>
      </w:r>
      <w:r>
        <w:rPr>
          <w:snapToGrid w:val="0"/>
        </w:rPr>
        <w:t>envoi d</w:t>
      </w:r>
      <w:r w:rsidR="009A2C1F">
        <w:rPr>
          <w:snapToGrid w:val="0"/>
        </w:rPr>
        <w:t>’</w:t>
      </w:r>
      <w:r>
        <w:rPr>
          <w:snapToGrid w:val="0"/>
        </w:rPr>
        <w:t>un message électronique à l</w:t>
      </w:r>
      <w:r w:rsidR="009A2C1F">
        <w:rPr>
          <w:snapToGrid w:val="0"/>
        </w:rPr>
        <w:t>’</w:t>
      </w:r>
      <w:r>
        <w:rPr>
          <w:snapToGrid w:val="0"/>
        </w:rPr>
        <w:t xml:space="preserve">adresse </w:t>
      </w:r>
      <w:hyperlink r:id="rId11" w:history="1">
        <w:r>
          <w:rPr>
            <w:snapToGrid w:val="0"/>
            <w:color w:val="0000FF"/>
            <w:u w:val="single"/>
          </w:rPr>
          <w:t>upov.mail@upov.int</w:t>
        </w:r>
      </w:hyperlink>
      <w:r>
        <w:t>.</w:t>
      </w:r>
    </w:p>
    <w:p w:rsidR="00625A49" w:rsidRDefault="00625A49">
      <w:pPr>
        <w:rPr>
          <w:snapToGrid w:val="0"/>
          <w:highlight w:val="cyan"/>
        </w:rPr>
      </w:pPr>
    </w:p>
    <w:p w:rsidR="00625A49" w:rsidRDefault="00625A49"/>
    <w:p w:rsidR="00625A49" w:rsidRDefault="008A220E">
      <w:pPr>
        <w:pStyle w:val="Heading1"/>
        <w:rPr>
          <w:snapToGrid w:val="0"/>
        </w:rPr>
      </w:pPr>
      <w:bookmarkStart w:id="3" w:name="_Toc95151569"/>
      <w:bookmarkStart w:id="4" w:name="_Toc117169355"/>
      <w:r>
        <w:t>O</w:t>
      </w:r>
      <w:r w:rsidR="00136FEA">
        <w:t xml:space="preserve">utils informatiques </w:t>
      </w:r>
      <w:r w:rsidR="00136FEA">
        <w:rPr>
          <w:snapToGrid w:val="0"/>
        </w:rPr>
        <w:t>permettant de r</w:t>
      </w:r>
      <w:r>
        <w:rPr>
          <w:snapToGrid w:val="0"/>
        </w:rPr>
        <w:t>ésoudre les problè</w:t>
      </w:r>
      <w:r w:rsidR="00136FEA">
        <w:rPr>
          <w:snapToGrid w:val="0"/>
        </w:rPr>
        <w:t xml:space="preserve">mes techniques et </w:t>
      </w:r>
      <w:r>
        <w:rPr>
          <w:snapToGrid w:val="0"/>
        </w:rPr>
        <w:t>administratifs connexes qui empê</w:t>
      </w:r>
      <w:r w:rsidR="00136FEA">
        <w:rPr>
          <w:snapToGrid w:val="0"/>
        </w:rPr>
        <w:t>chent la coop</w:t>
      </w:r>
      <w:r>
        <w:rPr>
          <w:snapToGrid w:val="0"/>
        </w:rPr>
        <w:t>é</w:t>
      </w:r>
      <w:r w:rsidR="00136FEA">
        <w:rPr>
          <w:snapToGrid w:val="0"/>
        </w:rPr>
        <w:t>ration en mati</w:t>
      </w:r>
      <w:r>
        <w:rPr>
          <w:snapToGrid w:val="0"/>
        </w:rPr>
        <w:t>è</w:t>
      </w:r>
      <w:r w:rsidR="00136FEA">
        <w:rPr>
          <w:snapToGrid w:val="0"/>
        </w:rPr>
        <w:t>re d</w:t>
      </w:r>
      <w:r w:rsidR="009A2C1F">
        <w:rPr>
          <w:snapToGrid w:val="0"/>
        </w:rPr>
        <w:t>’</w:t>
      </w:r>
      <w:r w:rsidR="00136FEA">
        <w:rPr>
          <w:snapToGrid w:val="0"/>
        </w:rPr>
        <w:t>examen DHS</w:t>
      </w:r>
      <w:bookmarkEnd w:id="3"/>
      <w:bookmarkEnd w:id="4"/>
    </w:p>
    <w:p w:rsidR="00625A49" w:rsidRDefault="00625A49">
      <w:pPr>
        <w:tabs>
          <w:tab w:val="left" w:pos="567"/>
          <w:tab w:val="left" w:pos="1134"/>
          <w:tab w:val="left" w:pos="1701"/>
          <w:tab w:val="left" w:pos="5387"/>
          <w:tab w:val="left" w:pos="5954"/>
        </w:tabs>
      </w:pPr>
    </w:p>
    <w:p w:rsidR="00625A49" w:rsidRDefault="00136FEA">
      <w:pPr>
        <w:keepNext/>
        <w:keepLines/>
        <w:tabs>
          <w:tab w:val="left" w:pos="567"/>
          <w:tab w:val="left" w:pos="1134"/>
          <w:tab w:val="left" w:pos="1701"/>
          <w:tab w:val="left" w:pos="5387"/>
          <w:tab w:val="left" w:pos="5954"/>
        </w:tabs>
      </w:pPr>
      <w:r>
        <w:fldChar w:fldCharType="begin"/>
      </w:r>
      <w:r>
        <w:instrText xml:space="preserve"> AUTONUM  </w:instrText>
      </w:r>
      <w:r>
        <w:fldChar w:fldCharType="end"/>
      </w:r>
      <w:r>
        <w:tab/>
        <w:t>Le dispositif e</w:t>
      </w:r>
      <w:r w:rsidR="008A220E">
        <w:noBreakHyphen/>
      </w:r>
      <w:r>
        <w:t>PVP est un ensemble d</w:t>
      </w:r>
      <w:r w:rsidR="009A2C1F">
        <w:t>’</w:t>
      </w:r>
      <w:r>
        <w:t>outils informatiques compatibles qui appuieront de manière cohérente et exhaustive la mise en œuvre du système de l</w:t>
      </w:r>
      <w:r w:rsidR="009A2C1F">
        <w:t>’</w:t>
      </w:r>
      <w:r>
        <w:t xml:space="preserve">UPOV de protection des obtentions </w:t>
      </w:r>
      <w:proofErr w:type="gramStart"/>
      <w:r>
        <w:t>végétales;  une</w:t>
      </w:r>
      <w:proofErr w:type="gramEnd"/>
      <w:r>
        <w:t xml:space="preserve"> partie ou la totalité d</w:t>
      </w:r>
      <w:r w:rsidR="009A2C1F">
        <w:t>’</w:t>
      </w:r>
      <w:r>
        <w:t>entre eux pourrait être utilisée par les membres de l</w:t>
      </w:r>
      <w:r w:rsidR="009A2C1F">
        <w:t>’</w:t>
      </w:r>
      <w:r>
        <w:t>Union, selon qu</w:t>
      </w:r>
      <w:r w:rsidR="009A2C1F">
        <w:t>’</w:t>
      </w:r>
      <w:r>
        <w:t>il conviend</w:t>
      </w:r>
      <w:r w:rsidR="008A220E">
        <w:t>ra.  Ce</w:t>
      </w:r>
      <w:r>
        <w:t xml:space="preserve"> dispositif permettra</w:t>
      </w:r>
    </w:p>
    <w:p w:rsidR="00625A49" w:rsidRDefault="00625A49">
      <w:pPr>
        <w:keepNext/>
        <w:keepLines/>
        <w:tabs>
          <w:tab w:val="left" w:pos="567"/>
          <w:tab w:val="left" w:pos="1134"/>
          <w:tab w:val="left" w:pos="1701"/>
          <w:tab w:val="left" w:pos="5387"/>
          <w:tab w:val="left" w:pos="5954"/>
        </w:tabs>
      </w:pPr>
    </w:p>
    <w:p w:rsidR="00625A49" w:rsidRDefault="00136FEA" w:rsidP="003178E9">
      <w:pPr>
        <w:keepNext/>
        <w:keepLines/>
        <w:numPr>
          <w:ilvl w:val="0"/>
          <w:numId w:val="3"/>
        </w:numPr>
        <w:tabs>
          <w:tab w:val="left" w:pos="1134"/>
          <w:tab w:val="left" w:pos="1701"/>
          <w:tab w:val="left" w:pos="5387"/>
          <w:tab w:val="left" w:pos="5954"/>
        </w:tabs>
        <w:ind w:left="1134" w:hanging="567"/>
        <w:contextualSpacing/>
      </w:pPr>
      <w:proofErr w:type="gramStart"/>
      <w:r>
        <w:t>de</w:t>
      </w:r>
      <w:proofErr w:type="gramEnd"/>
      <w:r>
        <w:t xml:space="preserve"> fournir aux services de protection des obtentions végétales un système de gestion électronique pour les tâches allant de la demande à la phase suivant l</w:t>
      </w:r>
      <w:r w:rsidR="009A2C1F">
        <w:t>’</w:t>
      </w:r>
      <w:r>
        <w:t>octroi des titres de protection (module de gestion électronique de la protection des obtentions végétales),</w:t>
      </w:r>
    </w:p>
    <w:p w:rsidR="00625A49" w:rsidRDefault="00136FEA" w:rsidP="003178E9">
      <w:pPr>
        <w:keepNext/>
        <w:keepLines/>
        <w:numPr>
          <w:ilvl w:val="0"/>
          <w:numId w:val="3"/>
        </w:numPr>
        <w:tabs>
          <w:tab w:val="left" w:pos="1134"/>
          <w:tab w:val="left" w:pos="1701"/>
          <w:tab w:val="left" w:pos="5387"/>
          <w:tab w:val="left" w:pos="5954"/>
        </w:tabs>
        <w:ind w:left="1134" w:hanging="567"/>
        <w:contextualSpacing/>
      </w:pPr>
      <w:r>
        <w:t>de fournir aux demandeurs des informations sur la coopération en matière d</w:t>
      </w:r>
      <w:r w:rsidR="009A2C1F">
        <w:t>’</w:t>
      </w:r>
      <w:r>
        <w:t>examen DHS entre les membres de l</w:t>
      </w:r>
      <w:r w:rsidR="009A2C1F">
        <w:t>’</w:t>
      </w:r>
      <w:r>
        <w:t>UPOV (outil relatif au dispositif DHS appelé DART – de l</w:t>
      </w:r>
      <w:r w:rsidR="009A2C1F">
        <w:t>’</w:t>
      </w:r>
      <w:r>
        <w:t xml:space="preserve">anglais “DUS Arrangement </w:t>
      </w:r>
      <w:proofErr w:type="spellStart"/>
      <w:r>
        <w:t>Tool</w:t>
      </w:r>
      <w:proofErr w:type="spellEnd"/>
      <w:r>
        <w:t>”),</w:t>
      </w:r>
    </w:p>
    <w:p w:rsidR="00625A49" w:rsidRDefault="00136FEA" w:rsidP="003178E9">
      <w:pPr>
        <w:keepNext/>
        <w:keepLines/>
        <w:numPr>
          <w:ilvl w:val="0"/>
          <w:numId w:val="3"/>
        </w:numPr>
        <w:tabs>
          <w:tab w:val="left" w:pos="1134"/>
          <w:tab w:val="left" w:pos="1701"/>
          <w:tab w:val="left" w:pos="5387"/>
          <w:tab w:val="left" w:pos="5954"/>
        </w:tabs>
        <w:ind w:left="1134" w:hanging="567"/>
        <w:contextualSpacing/>
      </w:pPr>
      <w:r>
        <w:t>de fournir une plateforme pour l</w:t>
      </w:r>
      <w:r w:rsidR="009A2C1F">
        <w:t>’</w:t>
      </w:r>
      <w:r>
        <w:t>échange des rapports d</w:t>
      </w:r>
      <w:r w:rsidR="009A2C1F">
        <w:t>’</w:t>
      </w:r>
      <w:r>
        <w:t>examen DHS entre les membres de l</w:t>
      </w:r>
      <w:r w:rsidR="009A2C1F">
        <w:t>’</w:t>
      </w:r>
      <w:r>
        <w:t>UPOV (plateforme pour l</w:t>
      </w:r>
      <w:r w:rsidR="009A2C1F">
        <w:t>’</w:t>
      </w:r>
      <w:r>
        <w:t>échange des rapports d</w:t>
      </w:r>
      <w:r w:rsidR="009A2C1F">
        <w:t>’</w:t>
      </w:r>
      <w:r>
        <w:t>examen DHS),</w:t>
      </w:r>
    </w:p>
    <w:p w:rsidR="00625A49" w:rsidRDefault="00136FEA" w:rsidP="003178E9">
      <w:pPr>
        <w:numPr>
          <w:ilvl w:val="0"/>
          <w:numId w:val="3"/>
        </w:numPr>
        <w:tabs>
          <w:tab w:val="left" w:pos="1134"/>
          <w:tab w:val="left" w:pos="1701"/>
          <w:tab w:val="left" w:pos="5387"/>
          <w:tab w:val="left" w:pos="5954"/>
        </w:tabs>
        <w:ind w:left="1134" w:hanging="567"/>
        <w:contextualSpacing/>
      </w:pPr>
      <w:r>
        <w:t>de prévoir la possibilité d</w:t>
      </w:r>
      <w:r w:rsidR="009A2C1F">
        <w:t>’</w:t>
      </w:r>
      <w:r>
        <w:t>un seul formulaire de demande combinée en ligne applicable à plusieurs membres de l</w:t>
      </w:r>
      <w:r w:rsidR="009A2C1F">
        <w:t>’</w:t>
      </w:r>
      <w:r>
        <w:t>UPOV sur la base de l</w:t>
      </w:r>
      <w:r w:rsidR="009A2C1F">
        <w:t>’</w:t>
      </w:r>
      <w:r>
        <w:t>UPOV PRISMA, comme convenu par les membres de l</w:t>
      </w:r>
      <w:r w:rsidR="009A2C1F">
        <w:t>’</w:t>
      </w:r>
      <w:r>
        <w:t>UPOV concernés, et</w:t>
      </w:r>
    </w:p>
    <w:p w:rsidR="009A2C1F" w:rsidRDefault="00136FEA" w:rsidP="003178E9">
      <w:pPr>
        <w:numPr>
          <w:ilvl w:val="0"/>
          <w:numId w:val="3"/>
        </w:numPr>
        <w:tabs>
          <w:tab w:val="left" w:pos="1134"/>
          <w:tab w:val="left" w:pos="1701"/>
          <w:tab w:val="left" w:pos="5387"/>
          <w:tab w:val="left" w:pos="5954"/>
        </w:tabs>
        <w:ind w:left="1134" w:hanging="567"/>
        <w:contextualSpacing/>
      </w:pPr>
      <w:r>
        <w:t>de fournir un système sécurisé, pouvant s</w:t>
      </w:r>
      <w:r w:rsidR="009A2C1F">
        <w:t>’</w:t>
      </w:r>
      <w:r>
        <w:t>adapter de manière flexible aux systèmes existants des différents membres, en utilisant la technologie de la chaîne de blocs.</w:t>
      </w:r>
    </w:p>
    <w:p w:rsidR="00625A49" w:rsidRDefault="00A8686E">
      <w:pPr>
        <w:jc w:val="center"/>
      </w:pPr>
      <w:r>
        <w:rPr>
          <w:noProof/>
          <w:lang w:val="en-US"/>
        </w:rPr>
        <w:object w:dxaOrig="8925" w:dyaOrig="58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0.75pt;height:273.6pt" o:ole="">
            <v:imagedata r:id="rId12" o:title=""/>
          </v:shape>
          <o:OLEObject Type="Embed" ProgID="PBrush" ShapeID="_x0000_i1025" DrawAspect="Content" ObjectID="_1727786832" r:id="rId13"/>
        </w:object>
      </w:r>
    </w:p>
    <w:p w:rsidR="00625A49" w:rsidRDefault="00625A49"/>
    <w:p w:rsidR="00625A49" w:rsidRDefault="00136FEA">
      <w:r>
        <w:fldChar w:fldCharType="begin"/>
      </w:r>
      <w:r>
        <w:instrText xml:space="preserve"> AUTONUM  </w:instrText>
      </w:r>
      <w:r>
        <w:fldChar w:fldCharType="end"/>
      </w:r>
      <w:r>
        <w:tab/>
        <w:t>Des modules e</w:t>
      </w:r>
      <w:r w:rsidR="008A220E">
        <w:noBreakHyphen/>
      </w:r>
      <w:r>
        <w:t>PVP sont en cours d</w:t>
      </w:r>
      <w:r w:rsidR="009A2C1F">
        <w:t>’</w:t>
      </w:r>
      <w:r>
        <w:t>élaboration dans le cadre du projet pilote e</w:t>
      </w:r>
      <w:r w:rsidR="008A220E">
        <w:noBreakHyphen/>
      </w:r>
      <w:r>
        <w:t>PVP Asie, qui vise à établir la plateforme du même nom et bénéficie de l</w:t>
      </w:r>
      <w:r w:rsidR="009A2C1F">
        <w:t>’</w:t>
      </w:r>
      <w:r>
        <w:t>appui du fonds fiduciaire japona</w:t>
      </w:r>
      <w:r w:rsidR="008A220E">
        <w:t>is.  Le</w:t>
      </w:r>
      <w:r>
        <w:t xml:space="preserve"> mécanisme de coopération e</w:t>
      </w:r>
      <w:r w:rsidR="008A220E">
        <w:noBreakHyphen/>
      </w:r>
      <w:r>
        <w:t>PVP Asie a pour objet de fournir des services en ligne par l</w:t>
      </w:r>
      <w:r w:rsidR="009A2C1F">
        <w:t>’</w:t>
      </w:r>
      <w:r>
        <w:t>intermédiaire d</w:t>
      </w:r>
      <w:r w:rsidR="009A2C1F">
        <w:t>’</w:t>
      </w:r>
      <w:r>
        <w:t>une plateforme pour rendre plus efficaces l</w:t>
      </w:r>
      <w:r w:rsidR="009A2C1F">
        <w:t>’</w:t>
      </w:r>
      <w:r>
        <w:t>administration des demandes de droits d</w:t>
      </w:r>
      <w:r w:rsidR="009A2C1F">
        <w:t>’</w:t>
      </w:r>
      <w:r>
        <w:t>obtenteur, et l</w:t>
      </w:r>
      <w:r w:rsidR="009A2C1F">
        <w:t>’</w:t>
      </w:r>
      <w:r>
        <w:t>octroi de ces droits, dans les pays participan</w:t>
      </w:r>
      <w:r w:rsidR="008A220E">
        <w:t>ts.  Il</w:t>
      </w:r>
      <w:r>
        <w:t xml:space="preserve"> permettra aussi d</w:t>
      </w:r>
      <w:r w:rsidR="009A2C1F">
        <w:t>’</w:t>
      </w:r>
      <w:r>
        <w:t>intensifier la coopération en matière d</w:t>
      </w:r>
      <w:r w:rsidR="009A2C1F">
        <w:t>’</w:t>
      </w:r>
      <w:r>
        <w:t>examen DHS entre ces pa</w:t>
      </w:r>
      <w:r w:rsidR="008A220E">
        <w:t>ys.  Il</w:t>
      </w:r>
      <w:r>
        <w:t xml:space="preserve"> est prévu de lancer la plateforme e</w:t>
      </w:r>
      <w:r w:rsidR="008A220E">
        <w:noBreakHyphen/>
      </w:r>
      <w:r>
        <w:t xml:space="preserve">PVP Asie au début </w:t>
      </w:r>
      <w:r w:rsidR="009A2C1F">
        <w:t>de 2023</w:t>
      </w:r>
      <w:r>
        <w:t>.</w:t>
      </w:r>
    </w:p>
    <w:p w:rsidR="00625A49" w:rsidRDefault="00625A49"/>
    <w:p w:rsidR="009A2C1F" w:rsidRDefault="00136FEA">
      <w:r>
        <w:fldChar w:fldCharType="begin"/>
      </w:r>
      <w:r>
        <w:instrText xml:space="preserve"> AUTONUM  </w:instrText>
      </w:r>
      <w:r>
        <w:fldChar w:fldCharType="end"/>
      </w:r>
      <w:r>
        <w:tab/>
        <w:t>Les membres de l</w:t>
      </w:r>
      <w:r w:rsidR="009A2C1F">
        <w:t>’</w:t>
      </w:r>
      <w:r>
        <w:t>UPOV disposés à partager leurs données d</w:t>
      </w:r>
      <w:r w:rsidR="009A2C1F">
        <w:t>’</w:t>
      </w:r>
      <w:r>
        <w:t>expérience concernant la mise au point et la gestion de systèmes de dépôt électronique des demandes ont fait l</w:t>
      </w:r>
      <w:r w:rsidR="009A2C1F">
        <w:t>’</w:t>
      </w:r>
      <w:r>
        <w:t>essai des modules e</w:t>
      </w:r>
      <w:r w:rsidR="008A220E">
        <w:noBreakHyphen/>
      </w:r>
      <w:r>
        <w:t>PVP, et les observations en résultant ont servi à améliorer les modules en questi</w:t>
      </w:r>
      <w:r w:rsidR="008A220E">
        <w:t>on.  L’e</w:t>
      </w:r>
      <w:r>
        <w:t>ssai des modules e</w:t>
      </w:r>
      <w:r w:rsidR="008A220E">
        <w:noBreakHyphen/>
      </w:r>
      <w:r>
        <w:t>PVP auprès des demandeurs est programmé pour novembre 2022 (module de dépôt électronique des demandes de protection des obtentions végétales, et module de suivi des demandes).</w:t>
      </w:r>
    </w:p>
    <w:p w:rsidR="00625A49" w:rsidRDefault="00625A49">
      <w:pPr>
        <w:rPr>
          <w:highlight w:val="yellow"/>
        </w:rPr>
      </w:pPr>
    </w:p>
    <w:p w:rsidR="009A2C1F" w:rsidRDefault="00136FEA">
      <w:r>
        <w:fldChar w:fldCharType="begin"/>
      </w:r>
      <w:r>
        <w:instrText xml:space="preserve"> AUTONUM  </w:instrText>
      </w:r>
      <w:r>
        <w:fldChar w:fldCharType="end"/>
      </w:r>
      <w:r>
        <w:tab/>
        <w:t>À sa soixante</w:t>
      </w:r>
      <w:r w:rsidR="008A220E">
        <w:noBreakHyphen/>
      </w:r>
      <w:r>
        <w:t>dix</w:t>
      </w:r>
      <w:r w:rsidR="008A220E">
        <w:noBreakHyphen/>
      </w:r>
      <w:r>
        <w:t>neuv</w:t>
      </w:r>
      <w:r w:rsidR="009A2C1F">
        <w:t>ième session</w:t>
      </w:r>
      <w:r>
        <w:t>, le CAJ examinera l</w:t>
      </w:r>
      <w:r w:rsidR="009A2C1F">
        <w:t>’</w:t>
      </w:r>
      <w:r>
        <w:t>opportunité d</w:t>
      </w:r>
      <w:r w:rsidR="009A2C1F">
        <w:t>’</w:t>
      </w:r>
      <w:r>
        <w:t>étendre le champ couvert par les réunions EAF au suivi des faits nouveaux concernant les modules e</w:t>
      </w:r>
      <w:r w:rsidR="008A220E">
        <w:noBreakHyphen/>
      </w:r>
      <w:r>
        <w:t xml:space="preserve">PVP (voir les paragraphes 40 à 43 du </w:t>
      </w:r>
      <w:r w:rsidR="009A2C1F">
        <w:t>document CA</w:t>
      </w:r>
      <w:r>
        <w:t>J/79/10 “Réunions sur l</w:t>
      </w:r>
      <w:r w:rsidR="009A2C1F">
        <w:t>’</w:t>
      </w:r>
      <w:r>
        <w:t>élaboration d</w:t>
      </w:r>
      <w:r w:rsidR="009A2C1F">
        <w:t>’</w:t>
      </w:r>
      <w:r>
        <w:t xml:space="preserve">un formulaire de demande électronique (“réunions EAF”)”, et les paragraphes 40 à 42 du </w:t>
      </w:r>
      <w:r w:rsidR="009A2C1F">
        <w:t>document TC</w:t>
      </w:r>
      <w:r>
        <w:t>/58/INF/2 “UPOV PRISMA”).</w:t>
      </w:r>
    </w:p>
    <w:p w:rsidR="00625A49" w:rsidRDefault="00625A49"/>
    <w:p w:rsidR="00625A49" w:rsidRDefault="00A8686E">
      <w:pPr>
        <w:jc w:val="center"/>
        <w:rPr>
          <w:snapToGrid w:val="0"/>
        </w:rPr>
      </w:pPr>
      <w:r>
        <w:rPr>
          <w:noProof/>
          <w:lang w:val="en-US"/>
        </w:rPr>
        <w:object w:dxaOrig="9315" w:dyaOrig="7110">
          <v:shape id="_x0000_i1026" type="#_x0000_t75" style="width:345.6pt;height:264.2pt" o:ole="">
            <v:imagedata r:id="rId14" o:title=""/>
          </v:shape>
          <o:OLEObject Type="Embed" ProgID="PBrush" ShapeID="_x0000_i1026" DrawAspect="Content" ObjectID="_1727786833" r:id="rId15"/>
        </w:object>
      </w:r>
    </w:p>
    <w:p w:rsidR="00625A49" w:rsidRDefault="00625A49">
      <w:pPr>
        <w:rPr>
          <w:snapToGrid w:val="0"/>
        </w:rPr>
      </w:pPr>
    </w:p>
    <w:p w:rsidR="009A2C1F" w:rsidRDefault="00136FEA">
      <w:r>
        <w:fldChar w:fldCharType="begin"/>
      </w:r>
      <w:r>
        <w:instrText xml:space="preserve"> AUTONUM  </w:instrText>
      </w:r>
      <w:r>
        <w:fldChar w:fldCharType="end"/>
      </w:r>
      <w:r>
        <w:tab/>
        <w:t>Un</w:t>
      </w:r>
      <w:r>
        <w:rPr>
          <w:snapToGrid w:val="0"/>
        </w:rPr>
        <w:t xml:space="preserve"> exposé consacré au dispositif e</w:t>
      </w:r>
      <w:r w:rsidR="008A220E">
        <w:rPr>
          <w:snapToGrid w:val="0"/>
        </w:rPr>
        <w:noBreakHyphen/>
      </w:r>
      <w:r>
        <w:rPr>
          <w:snapToGrid w:val="0"/>
        </w:rPr>
        <w:t>PVP Asie a été présenté par le Bureau de l</w:t>
      </w:r>
      <w:r w:rsidR="009A2C1F">
        <w:rPr>
          <w:snapToGrid w:val="0"/>
        </w:rPr>
        <w:t>’</w:t>
      </w:r>
      <w:r>
        <w:rPr>
          <w:snapToGrid w:val="0"/>
        </w:rPr>
        <w:t xml:space="preserve">Union aux sessions 2022 de chaque groupe de travail technique </w:t>
      </w:r>
      <w:r>
        <w:t xml:space="preserve">(voir le paragraphe 69 du </w:t>
      </w:r>
      <w:r w:rsidR="009A2C1F">
        <w:t>document TW</w:t>
      </w:r>
      <w:r>
        <w:t xml:space="preserve">V/56/22 “Report”, le paragraphe 11 du </w:t>
      </w:r>
      <w:r w:rsidR="009A2C1F">
        <w:t>document TW</w:t>
      </w:r>
      <w:r>
        <w:t xml:space="preserve">A/51/11 “Report”, le paragraphe 16 du </w:t>
      </w:r>
      <w:r w:rsidR="009A2C1F">
        <w:t>document TW</w:t>
      </w:r>
      <w:r>
        <w:t xml:space="preserve">O/54/6 “Report”, le paragraphe 68 du </w:t>
      </w:r>
      <w:r w:rsidR="009A2C1F">
        <w:t>document TW</w:t>
      </w:r>
      <w:r>
        <w:t xml:space="preserve">F/53/14 “Report” et le paragraphe 20 du </w:t>
      </w:r>
      <w:r w:rsidR="009A2C1F">
        <w:t>document TW</w:t>
      </w:r>
      <w:r>
        <w:t>M/1/26 “Report”).</w:t>
      </w:r>
    </w:p>
    <w:p w:rsidR="00625A49" w:rsidRDefault="00625A49"/>
    <w:p w:rsidR="00625A49" w:rsidRDefault="00625A49">
      <w:pPr>
        <w:tabs>
          <w:tab w:val="left" w:pos="567"/>
          <w:tab w:val="left" w:pos="1134"/>
          <w:tab w:val="left" w:pos="1701"/>
          <w:tab w:val="left" w:pos="5387"/>
          <w:tab w:val="left" w:pos="5954"/>
        </w:tabs>
      </w:pPr>
    </w:p>
    <w:p w:rsidR="00625A49" w:rsidRDefault="00136FEA">
      <w:pPr>
        <w:keepNext/>
        <w:outlineLvl w:val="0"/>
        <w:rPr>
          <w:caps/>
        </w:rPr>
      </w:pPr>
      <w:bookmarkStart w:id="5" w:name="_Toc95151571"/>
      <w:bookmarkStart w:id="6" w:name="_Toc117169356"/>
      <w:r>
        <w:rPr>
          <w:caps/>
        </w:rPr>
        <w:t>Plateforme permettant d</w:t>
      </w:r>
      <w:r w:rsidR="009A2C1F">
        <w:rPr>
          <w:caps/>
        </w:rPr>
        <w:t>’</w:t>
      </w:r>
      <w:r w:rsidR="008A220E">
        <w:rPr>
          <w:caps/>
        </w:rPr>
        <w:t>accéder aux bases de donné</w:t>
      </w:r>
      <w:r>
        <w:rPr>
          <w:caps/>
        </w:rPr>
        <w:t>es des membres de l</w:t>
      </w:r>
      <w:r w:rsidR="009A2C1F">
        <w:rPr>
          <w:caps/>
        </w:rPr>
        <w:t>’</w:t>
      </w:r>
      <w:r>
        <w:rPr>
          <w:caps/>
        </w:rPr>
        <w:t xml:space="preserve">UPOV </w:t>
      </w:r>
      <w:r w:rsidR="008A220E">
        <w:rPr>
          <w:caps/>
        </w:rPr>
        <w:t>contenant des descriptions varié</w:t>
      </w:r>
      <w:r>
        <w:rPr>
          <w:caps/>
        </w:rPr>
        <w:t>tales</w:t>
      </w:r>
      <w:bookmarkEnd w:id="5"/>
      <w:bookmarkEnd w:id="6"/>
    </w:p>
    <w:p w:rsidR="00625A49" w:rsidRDefault="00625A49">
      <w:pPr>
        <w:keepNext/>
      </w:pPr>
    </w:p>
    <w:p w:rsidR="009A2C1F" w:rsidRDefault="00136FEA">
      <w:pPr>
        <w:keepNext/>
      </w:pPr>
      <w:r>
        <w:fldChar w:fldCharType="begin"/>
      </w:r>
      <w:r>
        <w:instrText xml:space="preserve"> AUTONUM  </w:instrText>
      </w:r>
      <w:r>
        <w:fldChar w:fldCharType="end"/>
      </w:r>
      <w:r>
        <w:tab/>
      </w:r>
      <w:r>
        <w:rPr>
          <w:snapToGrid w:val="0"/>
        </w:rPr>
        <w:t>À sa cinquante</w:t>
      </w:r>
      <w:r w:rsidR="008A220E">
        <w:rPr>
          <w:snapToGrid w:val="0"/>
        </w:rPr>
        <w:noBreakHyphen/>
      </w:r>
      <w:r>
        <w:rPr>
          <w:snapToGrid w:val="0"/>
        </w:rPr>
        <w:t>sept</w:t>
      </w:r>
      <w:r w:rsidR="009A2C1F">
        <w:rPr>
          <w:snapToGrid w:val="0"/>
        </w:rPr>
        <w:t>ième session</w:t>
      </w:r>
      <w:r>
        <w:t>, le</w:t>
      </w:r>
      <w:r w:rsidR="009A2C1F">
        <w:t> TC</w:t>
      </w:r>
      <w:r>
        <w:t xml:space="preserve"> a noté que la mise en place d</w:t>
      </w:r>
      <w:r w:rsidR="009A2C1F">
        <w:t>’</w:t>
      </w:r>
      <w:r>
        <w:t>une plateforme permettant d</w:t>
      </w:r>
      <w:r w:rsidR="009A2C1F">
        <w:t>’</w:t>
      </w:r>
      <w:r>
        <w:t>accéder aux bases de données des membres de l</w:t>
      </w:r>
      <w:r w:rsidR="009A2C1F">
        <w:t>’</w:t>
      </w:r>
      <w:r>
        <w:t>UPOV contenant des descriptions variétales dépendrait des indications que ces derniers donneraient quant aux bases de données qu</w:t>
      </w:r>
      <w:r w:rsidR="009A2C1F">
        <w:t>’</w:t>
      </w:r>
      <w:r>
        <w:t>ils souhaiteraient partag</w:t>
      </w:r>
      <w:r w:rsidR="008A220E">
        <w:t>er.  Le</w:t>
      </w:r>
      <w:r>
        <w:t xml:space="preserve"> Bureau de l</w:t>
      </w:r>
      <w:r w:rsidR="009A2C1F">
        <w:t>’</w:t>
      </w:r>
      <w:r>
        <w:t>Union n</w:t>
      </w:r>
      <w:r w:rsidR="009A2C1F">
        <w:t>’</w:t>
      </w:r>
      <w:r>
        <w:t>a pas reçu de manifestations d</w:t>
      </w:r>
      <w:r w:rsidR="009A2C1F">
        <w:t>’</w:t>
      </w:r>
      <w:r>
        <w:t>intérêt de la part de membres de l</w:t>
      </w:r>
      <w:r w:rsidR="009A2C1F">
        <w:t>’</w:t>
      </w:r>
      <w:r>
        <w:t xml:space="preserve">Union souhaitant partager leurs bases de données (voir le paragraphe 57 du </w:t>
      </w:r>
      <w:r w:rsidR="009A2C1F">
        <w:t>document TC</w:t>
      </w:r>
      <w:r>
        <w:t>/57/25 “Compte rendu”).</w:t>
      </w:r>
    </w:p>
    <w:p w:rsidR="00625A49" w:rsidRDefault="00625A49">
      <w:pPr>
        <w:keepNext/>
      </w:pPr>
    </w:p>
    <w:p w:rsidR="00625A49" w:rsidRDefault="00136FEA">
      <w:pPr>
        <w:keepNext/>
      </w:pPr>
      <w:r>
        <w:fldChar w:fldCharType="begin"/>
      </w:r>
      <w:r>
        <w:instrText xml:space="preserve"> AUTONUM  </w:instrText>
      </w:r>
      <w:r>
        <w:fldChar w:fldCharType="end"/>
      </w:r>
      <w:r>
        <w:tab/>
        <w:t>Les questions touchant la diffusion, sur le site</w:t>
      </w:r>
      <w:r w:rsidR="00C92C56">
        <w:t> </w:t>
      </w:r>
      <w:r>
        <w:t>Web de l</w:t>
      </w:r>
      <w:r w:rsidR="009A2C1F">
        <w:t>’</w:t>
      </w:r>
      <w:r>
        <w:t>UPOV, d</w:t>
      </w:r>
      <w:r w:rsidR="009A2C1F">
        <w:t>’</w:t>
      </w:r>
      <w:r>
        <w:t xml:space="preserve">informations relatives aux </w:t>
      </w:r>
      <w:r w:rsidR="009A2C1F">
        <w:t>pages W</w:t>
      </w:r>
      <w:r>
        <w:t xml:space="preserve">eb contenant des descriptions variétales, sont exposées dans le </w:t>
      </w:r>
      <w:r w:rsidR="009A2C1F">
        <w:t>document TC</w:t>
      </w:r>
      <w:r>
        <w:t>/58/12 “Bases de données sur les descriptions variétales”.</w:t>
      </w:r>
    </w:p>
    <w:p w:rsidR="00625A49" w:rsidRDefault="00625A49">
      <w:pPr>
        <w:keepNext/>
      </w:pPr>
    </w:p>
    <w:p w:rsidR="00625A49" w:rsidRDefault="00625A49">
      <w:pPr>
        <w:rPr>
          <w:u w:val="single"/>
        </w:rPr>
      </w:pPr>
    </w:p>
    <w:p w:rsidR="00625A49" w:rsidRDefault="00136FEA">
      <w:pPr>
        <w:pStyle w:val="Heading1"/>
      </w:pPr>
      <w:bookmarkStart w:id="7" w:name="_Toc95151573"/>
      <w:bookmarkStart w:id="8" w:name="_Toc117169357"/>
      <w:r>
        <w:t>Utilisation des TWP pour un renforcem</w:t>
      </w:r>
      <w:r w:rsidR="008A220E">
        <w:t>ent de la coopé</w:t>
      </w:r>
      <w:r>
        <w:t>ration</w:t>
      </w:r>
      <w:bookmarkEnd w:id="7"/>
      <w:bookmarkEnd w:id="8"/>
    </w:p>
    <w:p w:rsidR="00625A49" w:rsidRDefault="00625A49">
      <w:pPr>
        <w:keepNext/>
      </w:pPr>
    </w:p>
    <w:p w:rsidR="00625A49" w:rsidRDefault="00136FEA">
      <w:pPr>
        <w:keepNext/>
      </w:pPr>
      <w:r>
        <w:fldChar w:fldCharType="begin"/>
      </w:r>
      <w:r>
        <w:instrText xml:space="preserve"> AUTONUM  </w:instrText>
      </w:r>
      <w:r>
        <w:fldChar w:fldCharType="end"/>
      </w:r>
      <w:r>
        <w:tab/>
        <w:t>À sa cinquante</w:t>
      </w:r>
      <w:r w:rsidR="008A220E">
        <w:noBreakHyphen/>
      </w:r>
      <w:r>
        <w:t>cinqu</w:t>
      </w:r>
      <w:r w:rsidR="009A2C1F">
        <w:t>ième session</w:t>
      </w:r>
      <w:r>
        <w:t>, le</w:t>
      </w:r>
      <w:r w:rsidR="009A2C1F">
        <w:t> TC</w:t>
      </w:r>
      <w:r>
        <w:t xml:space="preserve"> a noté que les sessions des TWP pourraient être l</w:t>
      </w:r>
      <w:r w:rsidR="009A2C1F">
        <w:t>’</w:t>
      </w:r>
      <w:r>
        <w:t>occasion pour les experts de renforcer la collaboration et l</w:t>
      </w:r>
      <w:r w:rsidR="009A2C1F">
        <w:t>’</w:t>
      </w:r>
      <w:r>
        <w:t>échange d</w:t>
      </w:r>
      <w:r w:rsidR="009A2C1F">
        <w:t>’</w:t>
      </w:r>
      <w:r>
        <w:t>informations, et il est convenu qu</w:t>
      </w:r>
      <w:r w:rsidR="009A2C1F">
        <w:t>’</w:t>
      </w:r>
      <w:r>
        <w:t xml:space="preserve">il faudrait utiliser ces sessions pour intensifier la coopération entre membres (voir le paragraphe 205 du </w:t>
      </w:r>
      <w:r w:rsidR="009A2C1F">
        <w:t>document TC</w:t>
      </w:r>
      <w:r>
        <w:t>/55/25 Corr. “Compte rendu”).</w:t>
      </w:r>
    </w:p>
    <w:p w:rsidR="00625A49" w:rsidRDefault="00625A49">
      <w:pPr>
        <w:rPr>
          <w:snapToGrid w:val="0"/>
        </w:rPr>
      </w:pPr>
    </w:p>
    <w:p w:rsidR="00625A49" w:rsidRDefault="00136FEA">
      <w:r>
        <w:fldChar w:fldCharType="begin"/>
      </w:r>
      <w:r>
        <w:instrText xml:space="preserve"> AUTONUM  </w:instrText>
      </w:r>
      <w:r>
        <w:fldChar w:fldCharType="end"/>
      </w:r>
      <w:r>
        <w:tab/>
        <w:t>À sa cinquante</w:t>
      </w:r>
      <w:r w:rsidR="009A2C1F">
        <w:t> et unième session</w:t>
      </w:r>
      <w:r>
        <w:rPr>
          <w:vertAlign w:val="superscript"/>
        </w:rPr>
        <w:footnoteReference w:id="2"/>
      </w:r>
      <w:r>
        <w:t>, le TWA a pris note des procédures présentées par l</w:t>
      </w:r>
      <w:r w:rsidR="009A2C1F">
        <w:t>’</w:t>
      </w:r>
      <w:r>
        <w:t>Allemagne, le Canada, la République tchèque et la Slovaquie en ce qui concernait le recensement des activités relevant de l</w:t>
      </w:r>
      <w:r w:rsidR="009A2C1F">
        <w:t>’</w:t>
      </w:r>
      <w:r>
        <w:t>expérience et de la coopération en matière d</w:t>
      </w:r>
      <w:r w:rsidR="009A2C1F">
        <w:t>’</w:t>
      </w:r>
      <w:r>
        <w:t>examen </w:t>
      </w:r>
      <w:r w:rsidR="008A220E">
        <w:t>DHS.  Ce</w:t>
      </w:r>
      <w:r>
        <w:t>s pays complètent les informations fournies dans la base de données GENIE à l</w:t>
      </w:r>
      <w:r w:rsidR="009A2C1F">
        <w:t>’</w:t>
      </w:r>
      <w:r>
        <w:t>aide de celles qui figurent dans la base de données PL</w:t>
      </w:r>
      <w:r w:rsidR="008A220E">
        <w:t>UTO.  Le</w:t>
      </w:r>
      <w:r>
        <w:t> TWA est convenu de proposer que les informations contenues dans les deux</w:t>
      </w:r>
      <w:r w:rsidR="00C92C56">
        <w:t> </w:t>
      </w:r>
      <w:r>
        <w:t>bases de données soient regroupées en un unique point d</w:t>
      </w:r>
      <w:r w:rsidR="009A2C1F">
        <w:t>’</w:t>
      </w:r>
      <w:r>
        <w:t xml:space="preserve">accès aux fins du recensement des activités de coopération (voir le paragraphe 16 du </w:t>
      </w:r>
      <w:r w:rsidR="009A2C1F">
        <w:t>document TW</w:t>
      </w:r>
      <w:r>
        <w:t>A/51/11 “Report”).</w:t>
      </w:r>
    </w:p>
    <w:p w:rsidR="00625A49" w:rsidRDefault="00625A49"/>
    <w:p w:rsidR="00625A49" w:rsidRDefault="00136FEA">
      <w:r>
        <w:fldChar w:fldCharType="begin"/>
      </w:r>
      <w:r>
        <w:instrText xml:space="preserve"> AUTONUM  </w:instrText>
      </w:r>
      <w:r>
        <w:fldChar w:fldCharType="end"/>
      </w:r>
      <w:r>
        <w:tab/>
        <w:t xml:space="preserve">Les questions </w:t>
      </w:r>
      <w:r>
        <w:rPr>
          <w:snapToGrid w:val="0"/>
        </w:rPr>
        <w:t xml:space="preserve">afférentes à une proposition de modification de la base de données GENIE sont exposées </w:t>
      </w:r>
      <w:r>
        <w:t xml:space="preserve">dans le </w:t>
      </w:r>
      <w:r w:rsidR="009A2C1F">
        <w:t>document TC</w:t>
      </w:r>
      <w:r>
        <w:t>/58/18 “</w:t>
      </w:r>
      <w:r>
        <w:rPr>
          <w:snapToGrid w:val="0"/>
        </w:rPr>
        <w:t>Enquête sur les besoins des membres et des observateurs concernant</w:t>
      </w:r>
      <w:r w:rsidR="009A2C1F">
        <w:rPr>
          <w:snapToGrid w:val="0"/>
        </w:rPr>
        <w:t xml:space="preserve"> les TWP</w:t>
      </w:r>
      <w:r>
        <w:rPr>
          <w:snapToGrid w:val="0"/>
        </w:rPr>
        <w:t>”.</w:t>
      </w:r>
    </w:p>
    <w:p w:rsidR="00625A49" w:rsidRDefault="00625A49"/>
    <w:p w:rsidR="00625A49" w:rsidRDefault="00136FEA">
      <w:r>
        <w:fldChar w:fldCharType="begin"/>
      </w:r>
      <w:r>
        <w:instrText xml:space="preserve"> AUTONUM  </w:instrText>
      </w:r>
      <w:r>
        <w:fldChar w:fldCharType="end"/>
      </w:r>
      <w:r>
        <w:tab/>
        <w:t xml:space="preserve">Les mesures visant à renforcer la coopération entre les experts dans le cadre des sessions des TWP sont examinées dans le </w:t>
      </w:r>
      <w:r w:rsidR="009A2C1F">
        <w:t>document TC</w:t>
      </w:r>
      <w:r>
        <w:t>/58/9 “Renforcement de la participation aux travaux du</w:t>
      </w:r>
      <w:r w:rsidR="009A2C1F">
        <w:t> TC</w:t>
      </w:r>
      <w:r>
        <w:t xml:space="preserve"> et des groupes de travail techniques”.</w:t>
      </w:r>
    </w:p>
    <w:p w:rsidR="00625A49" w:rsidRDefault="00625A49"/>
    <w:p w:rsidR="00625A49" w:rsidRDefault="00625A49"/>
    <w:p w:rsidR="009A2C1F" w:rsidRDefault="008A220E" w:rsidP="008A220E">
      <w:pPr>
        <w:pStyle w:val="Heading1"/>
      </w:pPr>
      <w:bookmarkStart w:id="9" w:name="_Toc54201259"/>
      <w:bookmarkStart w:id="10" w:name="_Toc95151574"/>
      <w:bookmarkStart w:id="11" w:name="_Toc117169358"/>
      <w:r>
        <w:t>Proposition</w:t>
      </w:r>
      <w:bookmarkEnd w:id="9"/>
      <w:r>
        <w:t xml:space="preserve"> d’orientations pour la reprise des rapports d’examen </w:t>
      </w:r>
      <w:bookmarkEnd w:id="10"/>
      <w:r>
        <w:t>DHS</w:t>
      </w:r>
      <w:bookmarkEnd w:id="11"/>
    </w:p>
    <w:p w:rsidR="00625A49" w:rsidRDefault="00625A49">
      <w:pPr>
        <w:keepNext/>
      </w:pPr>
    </w:p>
    <w:p w:rsidR="00625A49" w:rsidRDefault="00136FEA">
      <w:pPr>
        <w:keepNext/>
      </w:pPr>
      <w:r>
        <w:fldChar w:fldCharType="begin"/>
      </w:r>
      <w:r>
        <w:instrText xml:space="preserve"> AUTONUM  </w:instrText>
      </w:r>
      <w:r>
        <w:fldChar w:fldCharType="end"/>
      </w:r>
      <w:r>
        <w:tab/>
        <w:t>Les informations générales sur cette question, antérieures à la cinquante</w:t>
      </w:r>
      <w:r w:rsidR="008A220E">
        <w:noBreakHyphen/>
      </w:r>
      <w:r>
        <w:t>huit</w:t>
      </w:r>
      <w:r w:rsidR="009A2C1F">
        <w:t>ième session</w:t>
      </w:r>
      <w:r>
        <w:t xml:space="preserve"> du</w:t>
      </w:r>
      <w:r w:rsidR="009A2C1F">
        <w:t> TC</w:t>
      </w:r>
      <w:r>
        <w:t>, sont fournies dans l</w:t>
      </w:r>
      <w:r w:rsidR="009A2C1F">
        <w:t>’</w:t>
      </w:r>
      <w:r>
        <w:t>annexe au présent document.</w:t>
      </w:r>
    </w:p>
    <w:p w:rsidR="00625A49" w:rsidRDefault="00625A49"/>
    <w:p w:rsidR="00625A49" w:rsidRDefault="00136FEA">
      <w:pPr>
        <w:pStyle w:val="Heading2"/>
      </w:pPr>
      <w:bookmarkStart w:id="12" w:name="_Toc117169359"/>
      <w:bookmarkStart w:id="13" w:name="_Toc95151577"/>
      <w:r>
        <w:t>Examen par le Comité administratif et juridique (CAJ)</w:t>
      </w:r>
      <w:bookmarkEnd w:id="12"/>
    </w:p>
    <w:p w:rsidR="00625A49" w:rsidRDefault="00625A49"/>
    <w:p w:rsidR="00625A49" w:rsidRDefault="00136FEA">
      <w:r>
        <w:rPr>
          <w:snapToGrid w:val="0"/>
        </w:rPr>
        <w:fldChar w:fldCharType="begin"/>
      </w:r>
      <w:r>
        <w:rPr>
          <w:snapToGrid w:val="0"/>
        </w:rPr>
        <w:instrText xml:space="preserve"> AUTONUM  </w:instrText>
      </w:r>
      <w:r>
        <w:rPr>
          <w:snapToGrid w:val="0"/>
        </w:rPr>
        <w:fldChar w:fldCharType="end"/>
      </w:r>
      <w:r>
        <w:rPr>
          <w:snapToGrid w:val="0"/>
        </w:rPr>
        <w:tab/>
        <w:t>À sa soixante</w:t>
      </w:r>
      <w:r w:rsidR="008A220E">
        <w:rPr>
          <w:snapToGrid w:val="0"/>
        </w:rPr>
        <w:noBreakHyphen/>
      </w:r>
      <w:r>
        <w:rPr>
          <w:snapToGrid w:val="0"/>
        </w:rPr>
        <w:t>dix</w:t>
      </w:r>
      <w:r w:rsidR="008A220E">
        <w:rPr>
          <w:snapToGrid w:val="0"/>
        </w:rPr>
        <w:noBreakHyphen/>
      </w:r>
      <w:r>
        <w:rPr>
          <w:snapToGrid w:val="0"/>
        </w:rPr>
        <w:t>neuv</w:t>
      </w:r>
      <w:r w:rsidR="009A2C1F">
        <w:rPr>
          <w:snapToGrid w:val="0"/>
        </w:rPr>
        <w:t>ième session</w:t>
      </w:r>
      <w:r>
        <w:rPr>
          <w:snapToGrid w:val="0"/>
        </w:rPr>
        <w:t>, qui se tiendra à Genève le 26 octobre 2022, le CAJ sera invité</w:t>
      </w:r>
    </w:p>
    <w:p w:rsidR="00625A49" w:rsidRDefault="00625A49"/>
    <w:p w:rsidR="00625A49" w:rsidRDefault="00136FEA" w:rsidP="00A8686E">
      <w:pPr>
        <w:tabs>
          <w:tab w:val="left" w:pos="1134"/>
        </w:tabs>
        <w:ind w:firstLine="567"/>
        <w:rPr>
          <w:snapToGrid w:val="0"/>
        </w:rPr>
      </w:pPr>
      <w:r>
        <w:rPr>
          <w:snapToGrid w:val="0"/>
        </w:rPr>
        <w:t>a)</w:t>
      </w:r>
      <w:r>
        <w:rPr>
          <w:snapToGrid w:val="0"/>
        </w:rPr>
        <w:tab/>
        <w:t>à examiner les questions qu</w:t>
      </w:r>
      <w:r w:rsidR="009A2C1F">
        <w:rPr>
          <w:snapToGrid w:val="0"/>
        </w:rPr>
        <w:t>’</w:t>
      </w:r>
      <w:r>
        <w:rPr>
          <w:snapToGrid w:val="0"/>
        </w:rPr>
        <w:t>il est proposé de poser dans le cadre de l</w:t>
      </w:r>
      <w:r w:rsidR="009A2C1F">
        <w:rPr>
          <w:snapToGrid w:val="0"/>
        </w:rPr>
        <w:t>’</w:t>
      </w:r>
      <w:r>
        <w:rPr>
          <w:snapToGrid w:val="0"/>
        </w:rPr>
        <w:t>enquête qui sera menée auprès des membres de l</w:t>
      </w:r>
      <w:r w:rsidR="009A2C1F">
        <w:rPr>
          <w:snapToGrid w:val="0"/>
        </w:rPr>
        <w:t>’</w:t>
      </w:r>
      <w:r>
        <w:rPr>
          <w:snapToGrid w:val="0"/>
        </w:rPr>
        <w:t>Union afin d</w:t>
      </w:r>
      <w:r w:rsidR="009A2C1F">
        <w:rPr>
          <w:snapToGrid w:val="0"/>
        </w:rPr>
        <w:t>’</w:t>
      </w:r>
      <w:r>
        <w:rPr>
          <w:snapToGrid w:val="0"/>
        </w:rPr>
        <w:t>obtenir des informations sur leurs politiques ou obstacles juridiques susceptibles d</w:t>
      </w:r>
      <w:r w:rsidR="009A2C1F">
        <w:rPr>
          <w:snapToGrid w:val="0"/>
        </w:rPr>
        <w:t>’</w:t>
      </w:r>
      <w:r>
        <w:rPr>
          <w:snapToGrid w:val="0"/>
        </w:rPr>
        <w:t>empêcher la coopération internationale en matière d</w:t>
      </w:r>
      <w:r w:rsidR="009A2C1F">
        <w:rPr>
          <w:snapToGrid w:val="0"/>
        </w:rPr>
        <w:t>’</w:t>
      </w:r>
      <w:r>
        <w:rPr>
          <w:snapToGrid w:val="0"/>
        </w:rPr>
        <w:t>examen DHS,</w:t>
      </w:r>
    </w:p>
    <w:p w:rsidR="00625A49" w:rsidRDefault="00625A49">
      <w:pPr>
        <w:ind w:firstLine="567"/>
        <w:rPr>
          <w:snapToGrid w:val="0"/>
        </w:rPr>
      </w:pPr>
    </w:p>
    <w:p w:rsidR="00625A49" w:rsidRDefault="00136FEA">
      <w:pPr>
        <w:ind w:firstLine="567"/>
        <w:rPr>
          <w:snapToGrid w:val="0"/>
        </w:rPr>
      </w:pPr>
      <w:r>
        <w:rPr>
          <w:snapToGrid w:val="0"/>
        </w:rPr>
        <w:t>b)</w:t>
      </w:r>
      <w:r>
        <w:rPr>
          <w:snapToGrid w:val="0"/>
        </w:rPr>
        <w:tab/>
        <w:t>à prendre note de la demande qui a été faite aux organisations d</w:t>
      </w:r>
      <w:r w:rsidR="009A2C1F">
        <w:rPr>
          <w:snapToGrid w:val="0"/>
        </w:rPr>
        <w:t>’</w:t>
      </w:r>
      <w:r>
        <w:rPr>
          <w:snapToGrid w:val="0"/>
        </w:rPr>
        <w:t>obtenteurs d</w:t>
      </w:r>
      <w:r w:rsidR="009A2C1F">
        <w:rPr>
          <w:snapToGrid w:val="0"/>
        </w:rPr>
        <w:t>’</w:t>
      </w:r>
      <w:r>
        <w:rPr>
          <w:snapToGrid w:val="0"/>
        </w:rPr>
        <w:t>apporter des précisions sur les difficultés que pose la volonté des obtenteurs d</w:t>
      </w:r>
      <w:r w:rsidR="009A2C1F">
        <w:rPr>
          <w:snapToGrid w:val="0"/>
        </w:rPr>
        <w:t>’</w:t>
      </w:r>
      <w:r>
        <w:rPr>
          <w:snapToGrid w:val="0"/>
        </w:rPr>
        <w:t>utiliser, ou de ne pas utiliser, les rapports d</w:t>
      </w:r>
      <w:r w:rsidR="009A2C1F">
        <w:rPr>
          <w:snapToGrid w:val="0"/>
        </w:rPr>
        <w:t>’</w:t>
      </w:r>
      <w:r>
        <w:rPr>
          <w:snapToGrid w:val="0"/>
        </w:rPr>
        <w:t>examen DHS existants, et</w:t>
      </w:r>
    </w:p>
    <w:p w:rsidR="00625A49" w:rsidRDefault="00625A49">
      <w:pPr>
        <w:ind w:firstLine="567"/>
        <w:rPr>
          <w:snapToGrid w:val="0"/>
        </w:rPr>
      </w:pPr>
    </w:p>
    <w:p w:rsidR="00625A49" w:rsidRDefault="00136FEA">
      <w:pPr>
        <w:ind w:firstLine="567"/>
        <w:rPr>
          <w:snapToGrid w:val="0"/>
        </w:rPr>
      </w:pPr>
      <w:r>
        <w:rPr>
          <w:snapToGrid w:val="0"/>
        </w:rPr>
        <w:t>c)</w:t>
      </w:r>
      <w:r>
        <w:rPr>
          <w:snapToGrid w:val="0"/>
        </w:rPr>
        <w:tab/>
        <w:t>à reporter la rédaction des notes explicatives sur l</w:t>
      </w:r>
      <w:r w:rsidR="009A2C1F">
        <w:rPr>
          <w:snapToGrid w:val="0"/>
        </w:rPr>
        <w:t>’</w:t>
      </w:r>
      <w:r>
        <w:rPr>
          <w:snapToGrid w:val="0"/>
        </w:rPr>
        <w:t xml:space="preserve">article 12 de la </w:t>
      </w:r>
      <w:r w:rsidR="009A2C1F">
        <w:rPr>
          <w:snapToGrid w:val="0"/>
        </w:rPr>
        <w:t>Convention UPOV</w:t>
      </w:r>
      <w:r>
        <w:rPr>
          <w:snapToGrid w:val="0"/>
        </w:rPr>
        <w:t xml:space="preserve"> (“Examen de la demande”) jusqu</w:t>
      </w:r>
      <w:r w:rsidR="009A2C1F">
        <w:rPr>
          <w:snapToGrid w:val="0"/>
        </w:rPr>
        <w:t>’</w:t>
      </w:r>
      <w:r>
        <w:rPr>
          <w:snapToGrid w:val="0"/>
        </w:rPr>
        <w:t>à l</w:t>
      </w:r>
      <w:r w:rsidR="009A2C1F">
        <w:rPr>
          <w:snapToGrid w:val="0"/>
        </w:rPr>
        <w:t>’</w:t>
      </w:r>
      <w:r>
        <w:rPr>
          <w:snapToGrid w:val="0"/>
        </w:rPr>
        <w:t>examen par le CAJ des informations obtenues des membres de l</w:t>
      </w:r>
      <w:r w:rsidR="009A2C1F">
        <w:rPr>
          <w:snapToGrid w:val="0"/>
        </w:rPr>
        <w:t>’</w:t>
      </w:r>
      <w:r>
        <w:rPr>
          <w:snapToGrid w:val="0"/>
        </w:rPr>
        <w:t>Union, en réponse à l</w:t>
      </w:r>
      <w:r w:rsidR="009A2C1F">
        <w:rPr>
          <w:snapToGrid w:val="0"/>
        </w:rPr>
        <w:t>’</w:t>
      </w:r>
      <w:r>
        <w:rPr>
          <w:snapToGrid w:val="0"/>
        </w:rPr>
        <w:t>enquête, et des organisations d</w:t>
      </w:r>
      <w:r w:rsidR="009A2C1F">
        <w:rPr>
          <w:snapToGrid w:val="0"/>
        </w:rPr>
        <w:t>’</w:t>
      </w:r>
      <w:r>
        <w:rPr>
          <w:snapToGrid w:val="0"/>
        </w:rPr>
        <w:t>obtenteurs</w:t>
      </w:r>
      <w:r>
        <w:t>.</w:t>
      </w:r>
    </w:p>
    <w:bookmarkEnd w:id="13"/>
    <w:p w:rsidR="00625A49" w:rsidRDefault="00625A49">
      <w:pPr>
        <w:tabs>
          <w:tab w:val="left" w:pos="1302"/>
        </w:tabs>
      </w:pPr>
    </w:p>
    <w:p w:rsidR="00625A49" w:rsidRDefault="00625A49">
      <w:pPr>
        <w:tabs>
          <w:tab w:val="left" w:pos="567"/>
          <w:tab w:val="left" w:pos="1134"/>
          <w:tab w:val="left" w:pos="1701"/>
          <w:tab w:val="left" w:pos="5387"/>
          <w:tab w:val="left" w:pos="5954"/>
        </w:tabs>
      </w:pPr>
    </w:p>
    <w:p w:rsidR="00625A49" w:rsidRDefault="00136FEA">
      <w:pPr>
        <w:keepNext/>
        <w:outlineLvl w:val="0"/>
        <w:rPr>
          <w:caps/>
        </w:rPr>
      </w:pPr>
      <w:bookmarkStart w:id="14" w:name="_Toc95151578"/>
      <w:bookmarkStart w:id="15" w:name="_Toc117169360"/>
      <w:r>
        <w:rPr>
          <w:caps/>
        </w:rPr>
        <w:t>Évaluation des incidences</w:t>
      </w:r>
      <w:bookmarkEnd w:id="14"/>
      <w:bookmarkEnd w:id="15"/>
    </w:p>
    <w:p w:rsidR="00625A49" w:rsidRDefault="00625A49"/>
    <w:p w:rsidR="00625A49" w:rsidRDefault="00136FEA">
      <w:pPr>
        <w:tabs>
          <w:tab w:val="left" w:pos="567"/>
          <w:tab w:val="left" w:pos="1134"/>
          <w:tab w:val="left" w:pos="1701"/>
          <w:tab w:val="left" w:pos="5387"/>
          <w:tab w:val="left" w:pos="5954"/>
        </w:tabs>
        <w:rPr>
          <w:snapToGrid w:val="0"/>
        </w:rPr>
      </w:pPr>
      <w:r>
        <w:rPr>
          <w:snapToGrid w:val="0"/>
        </w:rPr>
        <w:fldChar w:fldCharType="begin"/>
      </w:r>
      <w:r>
        <w:rPr>
          <w:snapToGrid w:val="0"/>
        </w:rPr>
        <w:instrText xml:space="preserve"> AUTONUM  </w:instrText>
      </w:r>
      <w:r>
        <w:rPr>
          <w:snapToGrid w:val="0"/>
        </w:rPr>
        <w:fldChar w:fldCharType="end"/>
      </w:r>
      <w:r>
        <w:rPr>
          <w:snapToGrid w:val="0"/>
        </w:rPr>
        <w:tab/>
        <w:t>À sa cinquante</w:t>
      </w:r>
      <w:r w:rsidR="008A220E">
        <w:rPr>
          <w:snapToGrid w:val="0"/>
        </w:rPr>
        <w:noBreakHyphen/>
      </w:r>
      <w:r>
        <w:rPr>
          <w:snapToGrid w:val="0"/>
        </w:rPr>
        <w:t>six</w:t>
      </w:r>
      <w:r w:rsidR="009A2C1F">
        <w:rPr>
          <w:snapToGrid w:val="0"/>
        </w:rPr>
        <w:t>ième session</w:t>
      </w:r>
      <w:r>
        <w:rPr>
          <w:snapToGrid w:val="0"/>
        </w:rPr>
        <w:t>, le</w:t>
      </w:r>
      <w:r w:rsidR="009A2C1F">
        <w:rPr>
          <w:snapToGrid w:val="0"/>
        </w:rPr>
        <w:t> TC</w:t>
      </w:r>
      <w:r>
        <w:rPr>
          <w:snapToGrid w:val="0"/>
        </w:rPr>
        <w:t xml:space="preserve"> est convenu d</w:t>
      </w:r>
      <w:r w:rsidR="009A2C1F">
        <w:rPr>
          <w:snapToGrid w:val="0"/>
        </w:rPr>
        <w:t>’</w:t>
      </w:r>
      <w:r>
        <w:rPr>
          <w:snapToGrid w:val="0"/>
        </w:rPr>
        <w:t>évaluer les incidences des mesures proposées en se basant sur le nombre d</w:t>
      </w:r>
      <w:r w:rsidR="009A2C1F">
        <w:rPr>
          <w:snapToGrid w:val="0"/>
        </w:rPr>
        <w:t>’</w:t>
      </w:r>
      <w:r>
        <w:rPr>
          <w:snapToGrid w:val="0"/>
        </w:rPr>
        <w:t>accords de coopération signalés par les membres de l</w:t>
      </w:r>
      <w:r w:rsidR="009A2C1F">
        <w:rPr>
          <w:snapToGrid w:val="0"/>
        </w:rPr>
        <w:t>’</w:t>
      </w:r>
      <w:r>
        <w:rPr>
          <w:snapToGrid w:val="0"/>
        </w:rPr>
        <w:t>Union, tel que présenté dans le document C/[xx]/INF/5 “Coopération en matière d</w:t>
      </w:r>
      <w:r w:rsidR="009A2C1F">
        <w:rPr>
          <w:snapToGrid w:val="0"/>
        </w:rPr>
        <w:t>’</w:t>
      </w:r>
      <w:r>
        <w:rPr>
          <w:snapToGrid w:val="0"/>
        </w:rPr>
        <w:t xml:space="preserve">examen” </w:t>
      </w:r>
      <w:r>
        <w:t xml:space="preserve">(voir le paragraphe 44 du </w:t>
      </w:r>
      <w:r w:rsidR="009A2C1F">
        <w:t>document TC</w:t>
      </w:r>
      <w:r>
        <w:t>/56/22 “Résultat de l</w:t>
      </w:r>
      <w:r w:rsidR="009A2C1F">
        <w:t>’</w:t>
      </w:r>
      <w:r>
        <w:t>examen des documents par correspondance”)</w:t>
      </w:r>
      <w:r>
        <w:rPr>
          <w:snapToGrid w:val="0"/>
        </w:rPr>
        <w:t>.</w:t>
      </w:r>
    </w:p>
    <w:p w:rsidR="00625A49" w:rsidRDefault="00625A49">
      <w:pPr>
        <w:tabs>
          <w:tab w:val="left" w:pos="567"/>
          <w:tab w:val="left" w:pos="1134"/>
          <w:tab w:val="left" w:pos="1701"/>
          <w:tab w:val="left" w:pos="5387"/>
          <w:tab w:val="left" w:pos="5954"/>
        </w:tabs>
        <w:ind w:left="5533"/>
        <w:rPr>
          <w:i/>
          <w:snapToGrid w:val="0"/>
        </w:rPr>
      </w:pPr>
    </w:p>
    <w:p w:rsidR="00625A49" w:rsidRDefault="00136FEA">
      <w:pPr>
        <w:tabs>
          <w:tab w:val="left" w:pos="567"/>
          <w:tab w:val="left" w:pos="1134"/>
          <w:tab w:val="left" w:pos="1701"/>
          <w:tab w:val="left" w:pos="5387"/>
          <w:tab w:val="left" w:pos="5954"/>
        </w:tabs>
        <w:ind w:left="4820"/>
        <w:rPr>
          <w:i/>
        </w:rPr>
      </w:pPr>
      <w:r>
        <w:rPr>
          <w:i/>
        </w:rPr>
        <w:fldChar w:fldCharType="begin"/>
      </w:r>
      <w:r>
        <w:rPr>
          <w:i/>
        </w:rPr>
        <w:instrText xml:space="preserve"> AUTONUM  </w:instrText>
      </w:r>
      <w:r>
        <w:rPr>
          <w:i/>
        </w:rPr>
        <w:fldChar w:fldCharType="end"/>
      </w:r>
      <w:r>
        <w:tab/>
      </w:r>
      <w:r>
        <w:rPr>
          <w:i/>
          <w:iCs/>
        </w:rPr>
        <w:t>Le</w:t>
      </w:r>
      <w:r w:rsidR="009A2C1F">
        <w:rPr>
          <w:i/>
          <w:iCs/>
        </w:rPr>
        <w:t> TC</w:t>
      </w:r>
      <w:r>
        <w:rPr>
          <w:i/>
          <w:iCs/>
        </w:rPr>
        <w:t xml:space="preserve"> est invité</w:t>
      </w:r>
    </w:p>
    <w:p w:rsidR="00625A49" w:rsidRDefault="00625A49">
      <w:pPr>
        <w:tabs>
          <w:tab w:val="left" w:pos="567"/>
          <w:tab w:val="left" w:pos="1134"/>
          <w:tab w:val="left" w:pos="1701"/>
          <w:tab w:val="left" w:pos="5387"/>
          <w:tab w:val="left" w:pos="5954"/>
        </w:tabs>
        <w:ind w:left="4820"/>
        <w:rPr>
          <w:i/>
        </w:rPr>
      </w:pPr>
    </w:p>
    <w:p w:rsidR="00625A49" w:rsidRDefault="00136FEA">
      <w:pPr>
        <w:tabs>
          <w:tab w:val="left" w:pos="567"/>
          <w:tab w:val="left" w:pos="1134"/>
          <w:tab w:val="left" w:pos="1701"/>
          <w:tab w:val="left" w:pos="5387"/>
          <w:tab w:val="left" w:pos="5954"/>
        </w:tabs>
        <w:ind w:left="4820"/>
        <w:rPr>
          <w:i/>
          <w:snapToGrid w:val="0"/>
        </w:rPr>
      </w:pPr>
      <w:r>
        <w:rPr>
          <w:i/>
          <w:snapToGrid w:val="0"/>
        </w:rPr>
        <w:tab/>
        <w:t>a)</w:t>
      </w:r>
      <w:r>
        <w:rPr>
          <w:i/>
          <w:snapToGrid w:val="0"/>
        </w:rPr>
        <w:tab/>
        <w:t>à noter que les membres de l</w:t>
      </w:r>
      <w:r w:rsidR="009A2C1F">
        <w:rPr>
          <w:i/>
          <w:snapToGrid w:val="0"/>
        </w:rPr>
        <w:t>’</w:t>
      </w:r>
      <w:r>
        <w:rPr>
          <w:i/>
          <w:snapToGrid w:val="0"/>
        </w:rPr>
        <w:t>Union ont la possibilité de mettre à jour les coordonnées des personnes à contacter pour les questions concernant la coopération internationale en matière d</w:t>
      </w:r>
      <w:r w:rsidR="009A2C1F">
        <w:rPr>
          <w:i/>
          <w:snapToGrid w:val="0"/>
        </w:rPr>
        <w:t>’</w:t>
      </w:r>
      <w:r>
        <w:rPr>
          <w:i/>
          <w:snapToGrid w:val="0"/>
        </w:rPr>
        <w:t>examen DHS de la manière suivante</w:t>
      </w:r>
      <w:r w:rsidR="009A2C1F">
        <w:rPr>
          <w:i/>
          <w:snapToGrid w:val="0"/>
        </w:rPr>
        <w:t> :</w:t>
      </w:r>
    </w:p>
    <w:p w:rsidR="00625A49" w:rsidRDefault="00625A49">
      <w:pPr>
        <w:keepNext/>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954"/>
          <w:tab w:val="left" w:pos="6521"/>
        </w:tabs>
        <w:ind w:left="5387"/>
        <w:rPr>
          <w:i/>
          <w:snapToGrid w:val="0"/>
        </w:rPr>
      </w:pPr>
      <w:r>
        <w:rPr>
          <w:i/>
          <w:snapToGrid w:val="0"/>
        </w:rPr>
        <w:tab/>
        <w:t>i)</w:t>
      </w:r>
      <w:r>
        <w:rPr>
          <w:i/>
          <w:snapToGrid w:val="0"/>
        </w:rPr>
        <w:tab/>
        <w:t>mettre à jour les coordonnées lorsqu</w:t>
      </w:r>
      <w:r w:rsidR="009A2C1F">
        <w:rPr>
          <w:i/>
          <w:snapToGrid w:val="0"/>
        </w:rPr>
        <w:t>’</w:t>
      </w:r>
      <w:r>
        <w:rPr>
          <w:i/>
          <w:snapToGrid w:val="0"/>
        </w:rPr>
        <w:t>ils sont invités à fournir des informations aux fins de l</w:t>
      </w:r>
      <w:r w:rsidR="009A2C1F">
        <w:rPr>
          <w:i/>
          <w:snapToGrid w:val="0"/>
        </w:rPr>
        <w:t>’</w:t>
      </w:r>
      <w:r>
        <w:rPr>
          <w:i/>
          <w:snapToGrid w:val="0"/>
        </w:rPr>
        <w:t xml:space="preserve">établissement du </w:t>
      </w:r>
      <w:r w:rsidR="009A2C1F">
        <w:rPr>
          <w:i/>
          <w:snapToGrid w:val="0"/>
        </w:rPr>
        <w:t>document TC</w:t>
      </w:r>
      <w:r>
        <w:rPr>
          <w:i/>
          <w:snapToGrid w:val="0"/>
        </w:rPr>
        <w:t>/[xx]/4 “Liste des genres et espèces pour lesquels les services ont une expérience pratique en matière d</w:t>
      </w:r>
      <w:r w:rsidR="009A2C1F">
        <w:rPr>
          <w:i/>
          <w:snapToGrid w:val="0"/>
        </w:rPr>
        <w:t>’</w:t>
      </w:r>
      <w:r>
        <w:rPr>
          <w:i/>
          <w:snapToGrid w:val="0"/>
        </w:rPr>
        <w:t>examen de la distinction, de l</w:t>
      </w:r>
      <w:r w:rsidR="009A2C1F">
        <w:rPr>
          <w:i/>
          <w:snapToGrid w:val="0"/>
        </w:rPr>
        <w:t>’</w:t>
      </w:r>
      <w:r>
        <w:rPr>
          <w:i/>
          <w:snapToGrid w:val="0"/>
        </w:rPr>
        <w:t>homogénéité et de la stabilité”, ou</w:t>
      </w:r>
    </w:p>
    <w:p w:rsidR="00625A49" w:rsidRDefault="00625A49">
      <w:pPr>
        <w:tabs>
          <w:tab w:val="left" w:pos="567"/>
          <w:tab w:val="left" w:pos="1134"/>
          <w:tab w:val="left" w:pos="1701"/>
          <w:tab w:val="left" w:pos="5954"/>
        </w:tabs>
        <w:ind w:left="5387"/>
        <w:rPr>
          <w:i/>
          <w:snapToGrid w:val="0"/>
        </w:rPr>
      </w:pPr>
    </w:p>
    <w:p w:rsidR="00625A49" w:rsidRDefault="00136FEA">
      <w:pPr>
        <w:tabs>
          <w:tab w:val="left" w:pos="567"/>
          <w:tab w:val="left" w:pos="1134"/>
          <w:tab w:val="left" w:pos="1701"/>
          <w:tab w:val="left" w:pos="5954"/>
          <w:tab w:val="left" w:pos="6521"/>
        </w:tabs>
        <w:ind w:left="5387"/>
        <w:rPr>
          <w:i/>
          <w:snapToGrid w:val="0"/>
        </w:rPr>
      </w:pPr>
      <w:r>
        <w:rPr>
          <w:i/>
          <w:snapToGrid w:val="0"/>
        </w:rPr>
        <w:tab/>
        <w:t>ii)</w:t>
      </w:r>
      <w:r>
        <w:rPr>
          <w:i/>
          <w:snapToGrid w:val="0"/>
        </w:rPr>
        <w:tab/>
        <w:t>informer le Bureau de l</w:t>
      </w:r>
      <w:r w:rsidR="009A2C1F">
        <w:rPr>
          <w:i/>
          <w:snapToGrid w:val="0"/>
        </w:rPr>
        <w:t>’</w:t>
      </w:r>
      <w:r>
        <w:rPr>
          <w:i/>
          <w:snapToGrid w:val="0"/>
        </w:rPr>
        <w:t>Union en envoyant un message électronique à l</w:t>
      </w:r>
      <w:r w:rsidR="009A2C1F">
        <w:rPr>
          <w:i/>
          <w:snapToGrid w:val="0"/>
        </w:rPr>
        <w:t>’</w:t>
      </w:r>
      <w:r>
        <w:rPr>
          <w:i/>
          <w:snapToGrid w:val="0"/>
        </w:rPr>
        <w:t xml:space="preserve">adresse </w:t>
      </w:r>
      <w:hyperlink r:id="rId16" w:history="1">
        <w:r>
          <w:rPr>
            <w:rStyle w:val="Hyperlink"/>
            <w:i/>
            <w:snapToGrid w:val="0"/>
          </w:rPr>
          <w:t>upov.mail@upov.int</w:t>
        </w:r>
      </w:hyperlink>
      <w:r>
        <w:rPr>
          <w:i/>
          <w:snapToGrid w:val="0"/>
        </w:rPr>
        <w:t>,</w:t>
      </w:r>
    </w:p>
    <w:p w:rsidR="00625A49" w:rsidRDefault="00625A49">
      <w:pPr>
        <w:tabs>
          <w:tab w:val="left" w:pos="567"/>
          <w:tab w:val="left" w:pos="1134"/>
          <w:tab w:val="left" w:pos="1701"/>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t>b)</w:t>
      </w:r>
      <w:r>
        <w:rPr>
          <w:i/>
          <w:snapToGrid w:val="0"/>
        </w:rPr>
        <w:tab/>
        <w:t>à prendre note de la mise au point d</w:t>
      </w:r>
      <w:r w:rsidR="009A2C1F">
        <w:rPr>
          <w:i/>
          <w:snapToGrid w:val="0"/>
        </w:rPr>
        <w:t>’</w:t>
      </w:r>
      <w:r>
        <w:rPr>
          <w:i/>
          <w:snapToGrid w:val="0"/>
        </w:rPr>
        <w:t>un ensemble d</w:t>
      </w:r>
      <w:r w:rsidR="009A2C1F">
        <w:rPr>
          <w:i/>
          <w:snapToGrid w:val="0"/>
        </w:rPr>
        <w:t>’</w:t>
      </w:r>
      <w:r>
        <w:rPr>
          <w:i/>
          <w:snapToGrid w:val="0"/>
        </w:rPr>
        <w:t>outils informatiques compatibles (e</w:t>
      </w:r>
      <w:r w:rsidR="008A220E">
        <w:rPr>
          <w:i/>
          <w:snapToGrid w:val="0"/>
        </w:rPr>
        <w:noBreakHyphen/>
      </w:r>
      <w:r>
        <w:rPr>
          <w:i/>
          <w:snapToGrid w:val="0"/>
        </w:rPr>
        <w:t>PVP), comme indiqué aux paragraphes 9 à 1</w:t>
      </w:r>
      <w:r w:rsidR="00F360CF">
        <w:rPr>
          <w:i/>
          <w:snapToGrid w:val="0"/>
        </w:rPr>
        <w:t>3</w:t>
      </w:r>
      <w:r>
        <w:rPr>
          <w:i/>
          <w:snapToGrid w:val="0"/>
        </w:rPr>
        <w:t xml:space="preserve"> du présent document,</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t>c)</w:t>
      </w:r>
      <w:r>
        <w:rPr>
          <w:i/>
          <w:snapToGrid w:val="0"/>
        </w:rPr>
        <w:tab/>
        <w:t>à noter qu</w:t>
      </w:r>
      <w:r w:rsidR="009A2C1F">
        <w:rPr>
          <w:i/>
          <w:snapToGrid w:val="0"/>
        </w:rPr>
        <w:t>’</w:t>
      </w:r>
      <w:r>
        <w:rPr>
          <w:i/>
          <w:snapToGrid w:val="0"/>
        </w:rPr>
        <w:t>il est prévu de lancer la plateforme e</w:t>
      </w:r>
      <w:r w:rsidR="008A220E">
        <w:rPr>
          <w:i/>
          <w:snapToGrid w:val="0"/>
        </w:rPr>
        <w:noBreakHyphen/>
      </w:r>
      <w:r>
        <w:rPr>
          <w:i/>
          <w:snapToGrid w:val="0"/>
        </w:rPr>
        <w:t xml:space="preserve">PVP Asie au début </w:t>
      </w:r>
      <w:r w:rsidR="009A2C1F">
        <w:rPr>
          <w:i/>
          <w:snapToGrid w:val="0"/>
        </w:rPr>
        <w:t>de 2023</w:t>
      </w:r>
      <w:r>
        <w:rPr>
          <w:i/>
          <w:snapToGrid w:val="0"/>
        </w:rPr>
        <w:t>,</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t>d)</w:t>
      </w:r>
      <w:r>
        <w:rPr>
          <w:i/>
          <w:snapToGrid w:val="0"/>
        </w:rPr>
        <w:tab/>
        <w:t>à noter qu</w:t>
      </w:r>
      <w:r w:rsidR="009A2C1F">
        <w:rPr>
          <w:i/>
          <w:snapToGrid w:val="0"/>
        </w:rPr>
        <w:t>’</w:t>
      </w:r>
      <w:r>
        <w:rPr>
          <w:i/>
          <w:snapToGrid w:val="0"/>
        </w:rPr>
        <w:t>il est rendu compte des questions concernant le modèle de principes directeurs d</w:t>
      </w:r>
      <w:r w:rsidR="009A2C1F">
        <w:rPr>
          <w:i/>
          <w:snapToGrid w:val="0"/>
        </w:rPr>
        <w:t>’</w:t>
      </w:r>
      <w:r>
        <w:rPr>
          <w:i/>
          <w:snapToGrid w:val="0"/>
        </w:rPr>
        <w:t xml:space="preserve">examen fondé sur le Web dans le </w:t>
      </w:r>
      <w:r w:rsidR="009A2C1F">
        <w:rPr>
          <w:i/>
          <w:snapToGrid w:val="0"/>
        </w:rPr>
        <w:t>document TC</w:t>
      </w:r>
      <w:r>
        <w:rPr>
          <w:i/>
          <w:snapToGrid w:val="0"/>
        </w:rPr>
        <w:t>/58/13,</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t>e)</w:t>
      </w:r>
      <w:r>
        <w:rPr>
          <w:i/>
          <w:snapToGrid w:val="0"/>
        </w:rPr>
        <w:tab/>
        <w:t>à noter qu</w:t>
      </w:r>
      <w:r w:rsidR="009A2C1F">
        <w:rPr>
          <w:i/>
          <w:snapToGrid w:val="0"/>
        </w:rPr>
        <w:t>’</w:t>
      </w:r>
      <w:r>
        <w:rPr>
          <w:i/>
          <w:snapToGrid w:val="0"/>
        </w:rPr>
        <w:t>aucun fait nouveau n</w:t>
      </w:r>
      <w:r w:rsidR="009A2C1F">
        <w:rPr>
          <w:i/>
          <w:snapToGrid w:val="0"/>
        </w:rPr>
        <w:t>’</w:t>
      </w:r>
      <w:r>
        <w:rPr>
          <w:i/>
          <w:snapToGrid w:val="0"/>
        </w:rPr>
        <w:t>est intervenu relativement aux souhaits des membres de l</w:t>
      </w:r>
      <w:r w:rsidR="009A2C1F">
        <w:rPr>
          <w:i/>
          <w:snapToGrid w:val="0"/>
        </w:rPr>
        <w:t>’</w:t>
      </w:r>
      <w:r>
        <w:rPr>
          <w:i/>
          <w:snapToGrid w:val="0"/>
        </w:rPr>
        <w:t>Union concernant l</w:t>
      </w:r>
      <w:r w:rsidR="009A2C1F">
        <w:rPr>
          <w:i/>
          <w:snapToGrid w:val="0"/>
        </w:rPr>
        <w:t>’</w:t>
      </w:r>
      <w:r>
        <w:rPr>
          <w:i/>
          <w:snapToGrid w:val="0"/>
        </w:rPr>
        <w:t>inclusion, sur une plateforme de l</w:t>
      </w:r>
      <w:r w:rsidR="009A2C1F">
        <w:rPr>
          <w:i/>
          <w:snapToGrid w:val="0"/>
        </w:rPr>
        <w:t>’</w:t>
      </w:r>
      <w:r>
        <w:rPr>
          <w:i/>
          <w:snapToGrid w:val="0"/>
        </w:rPr>
        <w:t>UPOV, de bases de données contenant des descriptions variétales,</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t>f)</w:t>
      </w:r>
      <w:r>
        <w:rPr>
          <w:i/>
          <w:snapToGrid w:val="0"/>
        </w:rPr>
        <w:tab/>
        <w:t xml:space="preserve">à noter que les mesures visant à accroître la participation aux sessions des TWP sont examinées dans le </w:t>
      </w:r>
      <w:r w:rsidR="009A2C1F">
        <w:rPr>
          <w:i/>
          <w:snapToGrid w:val="0"/>
        </w:rPr>
        <w:t>document TC</w:t>
      </w:r>
      <w:r>
        <w:rPr>
          <w:i/>
          <w:snapToGrid w:val="0"/>
        </w:rPr>
        <w:t>/58/9 “Renforcement de la participation aux travaux du</w:t>
      </w:r>
      <w:r w:rsidR="009A2C1F">
        <w:rPr>
          <w:i/>
          <w:snapToGrid w:val="0"/>
        </w:rPr>
        <w:t> TC</w:t>
      </w:r>
      <w:r>
        <w:rPr>
          <w:i/>
          <w:snapToGrid w:val="0"/>
        </w:rPr>
        <w:t xml:space="preserve"> et des groupes de travail techniques”,</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t>g)</w:t>
      </w:r>
      <w:r>
        <w:rPr>
          <w:i/>
          <w:snapToGrid w:val="0"/>
        </w:rPr>
        <w:tab/>
        <w:t xml:space="preserve">à noter que les questions afférentes à une proposition de modification de la base de données GENIE sont exposées dans le </w:t>
      </w:r>
      <w:r w:rsidR="009A2C1F">
        <w:rPr>
          <w:i/>
          <w:snapToGrid w:val="0"/>
        </w:rPr>
        <w:t xml:space="preserve">document </w:t>
      </w:r>
      <w:r w:rsidR="009A2C1F" w:rsidRPr="002D4AD1">
        <w:rPr>
          <w:i/>
          <w:snapToGrid w:val="0"/>
        </w:rPr>
        <w:t>TC</w:t>
      </w:r>
      <w:r w:rsidRPr="002D4AD1">
        <w:rPr>
          <w:i/>
          <w:snapToGrid w:val="0"/>
        </w:rPr>
        <w:t>/58/18</w:t>
      </w:r>
      <w:r>
        <w:rPr>
          <w:i/>
          <w:snapToGrid w:val="0"/>
        </w:rPr>
        <w:t xml:space="preserve"> “Enquête sur les besoins des membres et des observateurs concernant</w:t>
      </w:r>
      <w:r w:rsidR="009A2C1F">
        <w:rPr>
          <w:i/>
          <w:snapToGrid w:val="0"/>
        </w:rPr>
        <w:t xml:space="preserve"> les TWP</w:t>
      </w:r>
      <w:r>
        <w:rPr>
          <w:i/>
          <w:snapToGrid w:val="0"/>
        </w:rPr>
        <w:t>”,</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t>h)</w:t>
      </w:r>
      <w:r>
        <w:rPr>
          <w:i/>
          <w:snapToGrid w:val="0"/>
        </w:rPr>
        <w:tab/>
        <w:t>à noter que le CAJ, à sa soixante</w:t>
      </w:r>
      <w:r w:rsidR="008A220E">
        <w:rPr>
          <w:i/>
          <w:snapToGrid w:val="0"/>
        </w:rPr>
        <w:noBreakHyphen/>
      </w:r>
      <w:r>
        <w:rPr>
          <w:i/>
          <w:snapToGrid w:val="0"/>
        </w:rPr>
        <w:t>dix</w:t>
      </w:r>
      <w:r w:rsidR="008A220E">
        <w:rPr>
          <w:i/>
          <w:snapToGrid w:val="0"/>
        </w:rPr>
        <w:noBreakHyphen/>
      </w:r>
      <w:r>
        <w:rPr>
          <w:i/>
          <w:snapToGrid w:val="0"/>
        </w:rPr>
        <w:t>neuv</w:t>
      </w:r>
      <w:r w:rsidR="009A2C1F">
        <w:rPr>
          <w:i/>
          <w:snapToGrid w:val="0"/>
        </w:rPr>
        <w:t>ième session</w:t>
      </w:r>
      <w:r>
        <w:rPr>
          <w:i/>
          <w:snapToGrid w:val="0"/>
        </w:rPr>
        <w:t>, sera invité à examiner</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r>
      <w:r>
        <w:rPr>
          <w:i/>
          <w:snapToGrid w:val="0"/>
        </w:rPr>
        <w:tab/>
        <w:t>i)</w:t>
      </w:r>
      <w:r>
        <w:rPr>
          <w:i/>
          <w:snapToGrid w:val="0"/>
        </w:rPr>
        <w:tab/>
      </w:r>
      <w:r>
        <w:rPr>
          <w:i/>
          <w:snapToGrid w:val="0"/>
        </w:rPr>
        <w:tab/>
        <w:t>les questions qu</w:t>
      </w:r>
      <w:r w:rsidR="009A2C1F">
        <w:rPr>
          <w:i/>
          <w:snapToGrid w:val="0"/>
        </w:rPr>
        <w:t>’</w:t>
      </w:r>
      <w:r>
        <w:rPr>
          <w:i/>
          <w:snapToGrid w:val="0"/>
        </w:rPr>
        <w:t>il est proposé de poser dans le cadre de l</w:t>
      </w:r>
      <w:r w:rsidR="009A2C1F">
        <w:rPr>
          <w:i/>
          <w:snapToGrid w:val="0"/>
        </w:rPr>
        <w:t>’</w:t>
      </w:r>
      <w:r>
        <w:rPr>
          <w:i/>
          <w:snapToGrid w:val="0"/>
        </w:rPr>
        <w:t>enquête qui sera menée auprès des membres de l</w:t>
      </w:r>
      <w:r w:rsidR="009A2C1F">
        <w:rPr>
          <w:i/>
          <w:snapToGrid w:val="0"/>
        </w:rPr>
        <w:t>’</w:t>
      </w:r>
      <w:r>
        <w:rPr>
          <w:i/>
          <w:snapToGrid w:val="0"/>
        </w:rPr>
        <w:t>Union afin d</w:t>
      </w:r>
      <w:r w:rsidR="009A2C1F">
        <w:rPr>
          <w:i/>
          <w:snapToGrid w:val="0"/>
        </w:rPr>
        <w:t>’</w:t>
      </w:r>
      <w:r>
        <w:rPr>
          <w:i/>
          <w:snapToGrid w:val="0"/>
        </w:rPr>
        <w:t>obtenir des informations sur leurs politiques ou obstacles juridiques susceptibles d</w:t>
      </w:r>
      <w:r w:rsidR="009A2C1F">
        <w:rPr>
          <w:i/>
          <w:snapToGrid w:val="0"/>
        </w:rPr>
        <w:t>’</w:t>
      </w:r>
      <w:r>
        <w:rPr>
          <w:i/>
          <w:snapToGrid w:val="0"/>
        </w:rPr>
        <w:t>empêcher la coopération internationale en matière d</w:t>
      </w:r>
      <w:r w:rsidR="009A2C1F">
        <w:rPr>
          <w:i/>
          <w:snapToGrid w:val="0"/>
        </w:rPr>
        <w:t>’</w:t>
      </w:r>
      <w:r>
        <w:rPr>
          <w:i/>
          <w:snapToGrid w:val="0"/>
        </w:rPr>
        <w:t>examen DHS,</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r>
      <w:r>
        <w:rPr>
          <w:i/>
          <w:snapToGrid w:val="0"/>
        </w:rPr>
        <w:tab/>
        <w:t>ii)</w:t>
      </w:r>
      <w:r>
        <w:rPr>
          <w:i/>
          <w:snapToGrid w:val="0"/>
        </w:rPr>
        <w:tab/>
      </w:r>
      <w:r>
        <w:rPr>
          <w:i/>
          <w:snapToGrid w:val="0"/>
        </w:rPr>
        <w:tab/>
        <w:t>les précisions apportées par les organisations d</w:t>
      </w:r>
      <w:r w:rsidR="009A2C1F">
        <w:rPr>
          <w:i/>
          <w:snapToGrid w:val="0"/>
        </w:rPr>
        <w:t>’</w:t>
      </w:r>
      <w:r>
        <w:rPr>
          <w:i/>
          <w:snapToGrid w:val="0"/>
        </w:rPr>
        <w:t>obtenteurs sur les difficultés que pose la volonté des obtenteurs d</w:t>
      </w:r>
      <w:r w:rsidR="009A2C1F">
        <w:rPr>
          <w:i/>
          <w:snapToGrid w:val="0"/>
        </w:rPr>
        <w:t>’</w:t>
      </w:r>
      <w:r>
        <w:rPr>
          <w:i/>
          <w:snapToGrid w:val="0"/>
        </w:rPr>
        <w:t>utiliser, ou de ne pas utiliser, les rapports d</w:t>
      </w:r>
      <w:r w:rsidR="009A2C1F">
        <w:rPr>
          <w:i/>
          <w:snapToGrid w:val="0"/>
        </w:rPr>
        <w:t>’</w:t>
      </w:r>
      <w:r>
        <w:rPr>
          <w:i/>
          <w:snapToGrid w:val="0"/>
        </w:rPr>
        <w:t>examen DHS existants, et</w:t>
      </w:r>
    </w:p>
    <w:p w:rsidR="00625A49" w:rsidRDefault="00625A49">
      <w:pPr>
        <w:tabs>
          <w:tab w:val="left" w:pos="567"/>
          <w:tab w:val="left" w:pos="1134"/>
          <w:tab w:val="left" w:pos="1701"/>
          <w:tab w:val="left" w:pos="5387"/>
          <w:tab w:val="left" w:pos="5954"/>
        </w:tabs>
        <w:ind w:left="4820"/>
        <w:rPr>
          <w:i/>
          <w:snapToGrid w:val="0"/>
        </w:rPr>
      </w:pPr>
    </w:p>
    <w:p w:rsidR="00625A49" w:rsidRDefault="00136FEA">
      <w:pPr>
        <w:tabs>
          <w:tab w:val="left" w:pos="567"/>
          <w:tab w:val="left" w:pos="1134"/>
          <w:tab w:val="left" w:pos="1701"/>
          <w:tab w:val="left" w:pos="5387"/>
          <w:tab w:val="left" w:pos="5954"/>
        </w:tabs>
        <w:ind w:left="4820"/>
        <w:rPr>
          <w:i/>
          <w:snapToGrid w:val="0"/>
        </w:rPr>
      </w:pPr>
      <w:r>
        <w:rPr>
          <w:i/>
          <w:snapToGrid w:val="0"/>
        </w:rPr>
        <w:tab/>
      </w:r>
      <w:r>
        <w:rPr>
          <w:i/>
          <w:snapToGrid w:val="0"/>
        </w:rPr>
        <w:tab/>
        <w:t>iii)</w:t>
      </w:r>
      <w:r>
        <w:rPr>
          <w:i/>
          <w:snapToGrid w:val="0"/>
        </w:rPr>
        <w:tab/>
      </w:r>
      <w:r>
        <w:rPr>
          <w:i/>
          <w:snapToGrid w:val="0"/>
        </w:rPr>
        <w:tab/>
        <w:t>l</w:t>
      </w:r>
      <w:r w:rsidR="009A2C1F">
        <w:rPr>
          <w:i/>
          <w:snapToGrid w:val="0"/>
        </w:rPr>
        <w:t>’</w:t>
      </w:r>
      <w:r>
        <w:rPr>
          <w:i/>
          <w:snapToGrid w:val="0"/>
        </w:rPr>
        <w:t>opportunité de reporter la rédaction des notes explicatives sur l</w:t>
      </w:r>
      <w:r w:rsidR="009A2C1F">
        <w:rPr>
          <w:i/>
          <w:snapToGrid w:val="0"/>
        </w:rPr>
        <w:t>’</w:t>
      </w:r>
      <w:r>
        <w:rPr>
          <w:i/>
          <w:snapToGrid w:val="0"/>
        </w:rPr>
        <w:t xml:space="preserve">article 12 de la </w:t>
      </w:r>
      <w:r w:rsidR="009A2C1F">
        <w:rPr>
          <w:i/>
          <w:snapToGrid w:val="0"/>
        </w:rPr>
        <w:t>Convention UPOV</w:t>
      </w:r>
      <w:r>
        <w:rPr>
          <w:i/>
          <w:snapToGrid w:val="0"/>
        </w:rPr>
        <w:t xml:space="preserve"> (“Examen de la demande”) jusqu</w:t>
      </w:r>
      <w:r w:rsidR="009A2C1F">
        <w:rPr>
          <w:i/>
          <w:snapToGrid w:val="0"/>
        </w:rPr>
        <w:t>’</w:t>
      </w:r>
      <w:r>
        <w:rPr>
          <w:i/>
          <w:snapToGrid w:val="0"/>
        </w:rPr>
        <w:t>à l</w:t>
      </w:r>
      <w:r w:rsidR="009A2C1F">
        <w:rPr>
          <w:i/>
          <w:snapToGrid w:val="0"/>
        </w:rPr>
        <w:t>’</w:t>
      </w:r>
      <w:r>
        <w:rPr>
          <w:i/>
          <w:snapToGrid w:val="0"/>
        </w:rPr>
        <w:t>examen par le CAJ des informations obtenues des membres de l</w:t>
      </w:r>
      <w:r w:rsidR="009A2C1F">
        <w:rPr>
          <w:i/>
          <w:snapToGrid w:val="0"/>
        </w:rPr>
        <w:t>’</w:t>
      </w:r>
      <w:r>
        <w:rPr>
          <w:i/>
          <w:snapToGrid w:val="0"/>
        </w:rPr>
        <w:t>Union, en réponse à l</w:t>
      </w:r>
      <w:r w:rsidR="009A2C1F">
        <w:rPr>
          <w:i/>
          <w:snapToGrid w:val="0"/>
        </w:rPr>
        <w:t>’</w:t>
      </w:r>
      <w:r>
        <w:rPr>
          <w:i/>
          <w:snapToGrid w:val="0"/>
        </w:rPr>
        <w:t>enquête, et des organisations d</w:t>
      </w:r>
      <w:r w:rsidR="009A2C1F">
        <w:rPr>
          <w:i/>
          <w:snapToGrid w:val="0"/>
        </w:rPr>
        <w:t>’</w:t>
      </w:r>
      <w:r>
        <w:rPr>
          <w:i/>
          <w:snapToGrid w:val="0"/>
        </w:rPr>
        <w:t>obtenteurs, et</w:t>
      </w:r>
    </w:p>
    <w:p w:rsidR="00625A49" w:rsidRDefault="00625A49">
      <w:pPr>
        <w:keepNext/>
        <w:keepLines/>
        <w:tabs>
          <w:tab w:val="left" w:pos="567"/>
          <w:tab w:val="left" w:pos="1134"/>
          <w:tab w:val="left" w:pos="1701"/>
          <w:tab w:val="left" w:pos="5387"/>
          <w:tab w:val="left" w:pos="5954"/>
        </w:tabs>
        <w:ind w:left="4820"/>
        <w:rPr>
          <w:i/>
          <w:snapToGrid w:val="0"/>
        </w:rPr>
      </w:pPr>
    </w:p>
    <w:p w:rsidR="00625A49" w:rsidRDefault="00136FEA">
      <w:pPr>
        <w:keepNext/>
        <w:keepLines/>
        <w:tabs>
          <w:tab w:val="left" w:pos="567"/>
          <w:tab w:val="left" w:pos="1134"/>
          <w:tab w:val="left" w:pos="1701"/>
          <w:tab w:val="left" w:pos="5387"/>
          <w:tab w:val="left" w:pos="5954"/>
        </w:tabs>
        <w:ind w:left="4820"/>
        <w:rPr>
          <w:i/>
        </w:rPr>
      </w:pPr>
      <w:r>
        <w:rPr>
          <w:i/>
          <w:snapToGrid w:val="0"/>
        </w:rPr>
        <w:tab/>
        <w:t>i)</w:t>
      </w:r>
      <w:r>
        <w:rPr>
          <w:i/>
          <w:snapToGrid w:val="0"/>
        </w:rPr>
        <w:tab/>
        <w:t>à noter que les incidences des mesures proposées seraient évaluées sur la base du nombre d</w:t>
      </w:r>
      <w:r w:rsidR="009A2C1F">
        <w:rPr>
          <w:i/>
          <w:snapToGrid w:val="0"/>
        </w:rPr>
        <w:t>’</w:t>
      </w:r>
      <w:r>
        <w:rPr>
          <w:i/>
          <w:snapToGrid w:val="0"/>
        </w:rPr>
        <w:t>accords de coopération signalés par les membres de l</w:t>
      </w:r>
      <w:r w:rsidR="009A2C1F">
        <w:rPr>
          <w:i/>
          <w:snapToGrid w:val="0"/>
        </w:rPr>
        <w:t>’</w:t>
      </w:r>
      <w:r>
        <w:rPr>
          <w:i/>
          <w:snapToGrid w:val="0"/>
        </w:rPr>
        <w:t>Union, tel que présenté dans le document C/[xx]/INF/5 “Coopération en matière d</w:t>
      </w:r>
      <w:r w:rsidR="009A2C1F">
        <w:rPr>
          <w:i/>
          <w:snapToGrid w:val="0"/>
        </w:rPr>
        <w:t>’</w:t>
      </w:r>
      <w:r>
        <w:rPr>
          <w:i/>
          <w:snapToGrid w:val="0"/>
        </w:rPr>
        <w:t>examen”.</w:t>
      </w:r>
    </w:p>
    <w:p w:rsidR="00625A49" w:rsidRDefault="00625A49"/>
    <w:p w:rsidR="00625A49" w:rsidRDefault="00625A49"/>
    <w:p w:rsidR="00625A49" w:rsidRDefault="00625A49"/>
    <w:p w:rsidR="00625A49" w:rsidRDefault="00136FEA">
      <w:pPr>
        <w:jc w:val="right"/>
      </w:pPr>
      <w:r>
        <w:t>[L</w:t>
      </w:r>
      <w:r w:rsidR="009A2C1F">
        <w:t>’</w:t>
      </w:r>
      <w:r>
        <w:t>annexe suit]</w:t>
      </w:r>
    </w:p>
    <w:p w:rsidR="00625A49" w:rsidRDefault="00625A49">
      <w:pPr>
        <w:sectPr w:rsidR="00625A49">
          <w:headerReference w:type="even" r:id="rId17"/>
          <w:headerReference w:type="default" r:id="rId18"/>
          <w:footerReference w:type="even" r:id="rId19"/>
          <w:footerReference w:type="default" r:id="rId20"/>
          <w:headerReference w:type="first" r:id="rId21"/>
          <w:footerReference w:type="first" r:id="rId22"/>
          <w:pgSz w:w="11907" w:h="16840" w:code="9"/>
          <w:pgMar w:top="510" w:right="1134" w:bottom="1134" w:left="1134" w:header="510" w:footer="680" w:gutter="0"/>
          <w:pgNumType w:start="1"/>
          <w:cols w:space="720"/>
          <w:titlePg/>
        </w:sectPr>
      </w:pPr>
    </w:p>
    <w:p w:rsidR="00625A49" w:rsidRDefault="00136FEA">
      <w:pPr>
        <w:jc w:val="center"/>
        <w:rPr>
          <w:caps/>
        </w:rPr>
      </w:pPr>
      <w:r>
        <w:rPr>
          <w:caps/>
        </w:rPr>
        <w:t>INFORMATIONS GÉNÉRALES SUR LA PROPOSITION D</w:t>
      </w:r>
      <w:r w:rsidR="009A2C1F">
        <w:rPr>
          <w:caps/>
        </w:rPr>
        <w:t>’</w:t>
      </w:r>
      <w:r>
        <w:rPr>
          <w:caps/>
        </w:rPr>
        <w:t>ORIENTATIONS POUR LA REPRISE DES RAPPORTS D</w:t>
      </w:r>
      <w:r w:rsidR="009A2C1F">
        <w:rPr>
          <w:caps/>
        </w:rPr>
        <w:t>’</w:t>
      </w:r>
      <w:r>
        <w:rPr>
          <w:caps/>
        </w:rPr>
        <w:t>EXAMEN DHS</w:t>
      </w:r>
    </w:p>
    <w:p w:rsidR="00625A49" w:rsidRDefault="00625A49">
      <w:pPr>
        <w:jc w:val="center"/>
        <w:rPr>
          <w:caps/>
        </w:rPr>
      </w:pPr>
    </w:p>
    <w:p w:rsidR="00625A49" w:rsidRDefault="00625A49"/>
    <w:p w:rsidR="009A2C1F" w:rsidRDefault="00136FEA" w:rsidP="002D4AD1">
      <w:pPr>
        <w:pStyle w:val="ListParagraph"/>
        <w:numPr>
          <w:ilvl w:val="0"/>
          <w:numId w:val="5"/>
        </w:numPr>
        <w:ind w:left="0" w:firstLine="0"/>
      </w:pPr>
      <w:r>
        <w:t>À sa cinquante</w:t>
      </w:r>
      <w:r w:rsidR="008A220E">
        <w:noBreakHyphen/>
      </w:r>
      <w:r>
        <w:t>six</w:t>
      </w:r>
      <w:r w:rsidR="009A2C1F">
        <w:t>ième session</w:t>
      </w:r>
      <w:r>
        <w:rPr>
          <w:vertAlign w:val="superscript"/>
        </w:rPr>
        <w:footnoteReference w:id="3"/>
      </w:r>
      <w:r>
        <w:t>, le</w:t>
      </w:r>
      <w:r w:rsidR="009A2C1F">
        <w:t> TC</w:t>
      </w:r>
      <w:r>
        <w:t xml:space="preserve"> est convenu de proposer au CAJ d</w:t>
      </w:r>
      <w:r w:rsidR="009A2C1F">
        <w:t>’</w:t>
      </w:r>
      <w:r>
        <w:t>élaborer des orientations pour encourager les membres de l</w:t>
      </w:r>
      <w:r w:rsidR="009A2C1F">
        <w:t>’</w:t>
      </w:r>
      <w:r>
        <w:t>UPOV, sur une base volontaire, à prendre à leur compte les rapports d</w:t>
      </w:r>
      <w:r w:rsidR="009A2C1F">
        <w:t>’</w:t>
      </w:r>
      <w:r>
        <w:t>examen DHS lorsque les demandeurs n</w:t>
      </w:r>
      <w:r w:rsidR="009A2C1F">
        <w:t>’</w:t>
      </w:r>
      <w:r>
        <w:t>étaient pas en mesure de remettre du matériel végétal pour des raisons phytosanitaires ou autres, lorsque cela était acceptable pour les membres de l</w:t>
      </w:r>
      <w:r w:rsidR="009A2C1F">
        <w:t>’</w:t>
      </w:r>
      <w:r>
        <w:t>UPOV concernés.</w:t>
      </w:r>
    </w:p>
    <w:p w:rsidR="00625A49" w:rsidRDefault="00625A49"/>
    <w:p w:rsidR="00625A49" w:rsidRDefault="00136FEA" w:rsidP="002D4AD1">
      <w:pPr>
        <w:pStyle w:val="ListParagraph"/>
        <w:numPr>
          <w:ilvl w:val="0"/>
          <w:numId w:val="5"/>
        </w:numPr>
        <w:ind w:left="0" w:firstLine="0"/>
      </w:pPr>
      <w:r>
        <w:t>Le</w:t>
      </w:r>
      <w:r w:rsidR="009A2C1F">
        <w:t> TC</w:t>
      </w:r>
      <w:r>
        <w:t xml:space="preserve"> est convenu que cette proposition devait être soumise au CAJ pour examen dans le </w:t>
      </w:r>
      <w:r w:rsidR="009A2C1F">
        <w:t>document CA</w:t>
      </w:r>
      <w:r>
        <w:t xml:space="preserve">J/77/2 “Rapport sur les faits nouveaux intervenus au sein du Comité technique” (voir les paragraphes 57 à 63 du </w:t>
      </w:r>
      <w:r w:rsidR="009A2C1F">
        <w:t>document TC</w:t>
      </w:r>
      <w:r>
        <w:t>/56/23 “Compte rendu”).</w:t>
      </w:r>
    </w:p>
    <w:p w:rsidR="00625A49" w:rsidRDefault="00625A49"/>
    <w:p w:rsidR="009A2C1F" w:rsidRDefault="00136FEA" w:rsidP="002D4AD1">
      <w:pPr>
        <w:pStyle w:val="ListParagraph"/>
        <w:numPr>
          <w:ilvl w:val="0"/>
          <w:numId w:val="5"/>
        </w:numPr>
        <w:ind w:left="0" w:firstLine="0"/>
        <w:rPr>
          <w:color w:val="000000"/>
          <w:szCs w:val="18"/>
        </w:rPr>
      </w:pPr>
      <w:r>
        <w:t>Le</w:t>
      </w:r>
      <w:r w:rsidR="009A2C1F">
        <w:t> TC</w:t>
      </w:r>
      <w:r>
        <w:t xml:space="preserve"> a pris note de l</w:t>
      </w:r>
      <w:r w:rsidR="009A2C1F">
        <w:t>’</w:t>
      </w:r>
      <w:r>
        <w:t>observation formulée par le Japon en réponse à la circulaire E</w:t>
      </w:r>
      <w:r w:rsidR="008A220E">
        <w:noBreakHyphen/>
      </w:r>
      <w:r>
        <w:t>20/119 du 21 août 2020</w:t>
      </w:r>
      <w:r>
        <w:rPr>
          <w:snapToGrid w:val="0"/>
        </w:rPr>
        <w:t xml:space="preserve"> concernant </w:t>
      </w:r>
      <w:r>
        <w:t xml:space="preserve">les difficultés qui, pour des raisons phytosanitaires, de quarantaine ou autres, se présentaient dans la remise du matériel végétal au service recevant la demande, comme indiqué aux paragraphes 47 et 48 du </w:t>
      </w:r>
      <w:r w:rsidR="009A2C1F">
        <w:t>document TC</w:t>
      </w:r>
      <w:r>
        <w:t>/56/22.</w:t>
      </w:r>
    </w:p>
    <w:p w:rsidR="00625A49" w:rsidRDefault="00625A49"/>
    <w:p w:rsidR="009A2C1F" w:rsidRDefault="00136FEA" w:rsidP="002D4AD1">
      <w:pPr>
        <w:pStyle w:val="ListParagraph"/>
        <w:numPr>
          <w:ilvl w:val="0"/>
          <w:numId w:val="5"/>
        </w:numPr>
        <w:ind w:left="0" w:firstLine="0"/>
        <w:rPr>
          <w:color w:val="000000"/>
          <w:szCs w:val="18"/>
        </w:rPr>
      </w:pPr>
      <w:r>
        <w:t>Le</w:t>
      </w:r>
      <w:r w:rsidR="009A2C1F">
        <w:t> TC</w:t>
      </w:r>
      <w:r>
        <w:t xml:space="preserve"> a noté que la soumission du matériel végétal était requise pour l</w:t>
      </w:r>
      <w:r w:rsidR="009A2C1F">
        <w:t>’</w:t>
      </w:r>
      <w:r>
        <w:t>octroi de droits d</w:t>
      </w:r>
      <w:r w:rsidR="009A2C1F">
        <w:t>’</w:t>
      </w:r>
      <w:r>
        <w:t>obtenteur dans certains membres de l</w:t>
      </w:r>
      <w:r w:rsidR="009A2C1F">
        <w:t>’</w:t>
      </w:r>
      <w:r>
        <w:t>Union.</w:t>
      </w:r>
    </w:p>
    <w:p w:rsidR="00625A49" w:rsidRDefault="00625A49"/>
    <w:p w:rsidR="00625A49" w:rsidRDefault="00136FEA" w:rsidP="002D4AD1">
      <w:pPr>
        <w:pStyle w:val="ListParagraph"/>
        <w:numPr>
          <w:ilvl w:val="0"/>
          <w:numId w:val="5"/>
        </w:numPr>
        <w:ind w:left="0" w:firstLine="0"/>
      </w:pPr>
      <w:r>
        <w:t>À sa cinquante</w:t>
      </w:r>
      <w:r w:rsidR="008A220E">
        <w:noBreakHyphen/>
      </w:r>
      <w:r>
        <w:t>six</w:t>
      </w:r>
      <w:r w:rsidR="009A2C1F">
        <w:t>ième session</w:t>
      </w:r>
      <w:r>
        <w:t>, le</w:t>
      </w:r>
      <w:r w:rsidR="009A2C1F">
        <w:t> TC</w:t>
      </w:r>
      <w:r>
        <w:t xml:space="preserve"> est convenu de proposer au CAJ d</w:t>
      </w:r>
      <w:r w:rsidR="009A2C1F">
        <w:t>’</w:t>
      </w:r>
      <w:r>
        <w:t>élaborer des orientations pour encourager les membres de l</w:t>
      </w:r>
      <w:r w:rsidR="009A2C1F">
        <w:t>’</w:t>
      </w:r>
      <w:r>
        <w:t>UPOV, sur une base volontaire, à prendre à leur compte les rapports d</w:t>
      </w:r>
      <w:r w:rsidR="009A2C1F">
        <w:t>’</w:t>
      </w:r>
      <w:r>
        <w:t>examen DHS lorsque les demandeurs n</w:t>
      </w:r>
      <w:r w:rsidR="009A2C1F">
        <w:t>’</w:t>
      </w:r>
      <w:r>
        <w:t>étaient pas en mesure de remettre du matériel végétal pour des raisons phytosanitaires ou autres, lorsque cela était acceptable pour les membres de l</w:t>
      </w:r>
      <w:r w:rsidR="009A2C1F">
        <w:t>’</w:t>
      </w:r>
      <w:r>
        <w:t>UPOV concern</w:t>
      </w:r>
      <w:r w:rsidR="008A220E">
        <w:t>és.  Le</w:t>
      </w:r>
      <w:r w:rsidR="009A2C1F">
        <w:t> TC</w:t>
      </w:r>
      <w:r>
        <w:t xml:space="preserve"> est convenu que cette proposition devait être soumise au CAJ pour examen dans le </w:t>
      </w:r>
      <w:r w:rsidR="009A2C1F">
        <w:t>document CA</w:t>
      </w:r>
      <w:r>
        <w:t xml:space="preserve">J/77/2 “Rapport sur les faits nouveaux intervenus au sein du Comité technique” (voir les paragraphes 57 à 63 du </w:t>
      </w:r>
      <w:r w:rsidR="009A2C1F">
        <w:t>document TC</w:t>
      </w:r>
      <w:r>
        <w:t>/56/23 “Compte rendu”).</w:t>
      </w:r>
    </w:p>
    <w:p w:rsidR="00625A49" w:rsidRDefault="00625A49"/>
    <w:p w:rsidR="009A2C1F" w:rsidRDefault="00136FEA" w:rsidP="002D4AD1">
      <w:pPr>
        <w:pStyle w:val="ListParagraph"/>
        <w:numPr>
          <w:ilvl w:val="0"/>
          <w:numId w:val="5"/>
        </w:numPr>
        <w:ind w:left="0" w:firstLine="0"/>
      </w:pPr>
      <w:r>
        <w:t>À sa soixante</w:t>
      </w:r>
      <w:r w:rsidR="008A220E">
        <w:noBreakHyphen/>
      </w:r>
      <w:r>
        <w:t>dix</w:t>
      </w:r>
      <w:r w:rsidR="008A220E">
        <w:noBreakHyphen/>
      </w:r>
      <w:r>
        <w:t>sept</w:t>
      </w:r>
      <w:r w:rsidR="009A2C1F">
        <w:t>ième session</w:t>
      </w:r>
      <w:r>
        <w:rPr>
          <w:vertAlign w:val="superscript"/>
        </w:rPr>
        <w:footnoteReference w:id="4"/>
      </w:r>
      <w:r>
        <w:t>, le CAJ a pris note des mesures que le</w:t>
      </w:r>
      <w:r w:rsidR="009A2C1F">
        <w:t> TC</w:t>
      </w:r>
      <w:r>
        <w:t xml:space="preserve"> avait adoptées pour surmonter les obstacles qui empêchaient la coopération internationale en matière d</w:t>
      </w:r>
      <w:r w:rsidR="009A2C1F">
        <w:t>’</w:t>
      </w:r>
      <w:r>
        <w:t>examen DHS (voir les paragraphes 13 à 15 du document CAJ/77/10 “Compte rendu”).</w:t>
      </w:r>
    </w:p>
    <w:p w:rsidR="00625A49" w:rsidRDefault="00625A49"/>
    <w:p w:rsidR="00625A49" w:rsidRDefault="00136FEA" w:rsidP="002D4AD1">
      <w:pPr>
        <w:pStyle w:val="ListParagraph"/>
        <w:numPr>
          <w:ilvl w:val="0"/>
          <w:numId w:val="5"/>
        </w:numPr>
        <w:ind w:left="0" w:firstLine="0"/>
      </w:pPr>
      <w:r>
        <w:t>En réponse à la demande du</w:t>
      </w:r>
      <w:r w:rsidR="009A2C1F">
        <w:t> TC</w:t>
      </w:r>
      <w:r>
        <w:t>, le CAJ a prié le Bureau de l</w:t>
      </w:r>
      <w:r w:rsidR="009A2C1F">
        <w:t>’</w:t>
      </w:r>
      <w:r>
        <w:t>Union d</w:t>
      </w:r>
      <w:r w:rsidR="009A2C1F">
        <w:t>’</w:t>
      </w:r>
      <w:r>
        <w:t>établir, pour examen à sa soixante</w:t>
      </w:r>
      <w:r w:rsidR="008A220E">
        <w:noBreakHyphen/>
      </w:r>
      <w:r>
        <w:t>dix</w:t>
      </w:r>
      <w:r w:rsidR="008A220E">
        <w:noBreakHyphen/>
      </w:r>
      <w:r>
        <w:t>huit</w:t>
      </w:r>
      <w:r w:rsidR="009A2C1F">
        <w:t>ième session</w:t>
      </w:r>
      <w:r>
        <w:t xml:space="preserve"> tenue le 27 octobre 2021, un document sur les obstacles politiques ou juridiques ci</w:t>
      </w:r>
      <w:r w:rsidR="008A220E">
        <w:noBreakHyphen/>
      </w:r>
      <w:r>
        <w:t>après, dont le</w:t>
      </w:r>
      <w:r w:rsidR="009A2C1F">
        <w:t> TC</w:t>
      </w:r>
      <w:r>
        <w:t xml:space="preserve"> avait jugé qu</w:t>
      </w:r>
      <w:r w:rsidR="009A2C1F">
        <w:t>’</w:t>
      </w:r>
      <w:r>
        <w:t>ils entravaient la coopération internationale en matière d</w:t>
      </w:r>
      <w:r w:rsidR="009A2C1F">
        <w:t>’</w:t>
      </w:r>
      <w:r>
        <w:t>examen DHS, et sur les mesures qu</w:t>
      </w:r>
      <w:r w:rsidR="009A2C1F">
        <w:t>’</w:t>
      </w:r>
      <w:r>
        <w:t>il était possible de prendre pour surmonter ces obstacles</w:t>
      </w:r>
      <w:r w:rsidR="009A2C1F">
        <w:t> :</w:t>
      </w:r>
    </w:p>
    <w:p w:rsidR="00625A49" w:rsidRDefault="00625A49"/>
    <w:p w:rsidR="00625A49" w:rsidRDefault="00136FEA">
      <w:pPr>
        <w:tabs>
          <w:tab w:val="left" w:pos="1134"/>
        </w:tabs>
        <w:ind w:left="567"/>
      </w:pPr>
      <w:r>
        <w:t xml:space="preserve">i) </w:t>
      </w:r>
      <w:r>
        <w:tab/>
        <w:t>Besoin d</w:t>
      </w:r>
      <w:r w:rsidR="009A2C1F">
        <w:t>’</w:t>
      </w:r>
      <w:r>
        <w:t>un accord de coopération formel</w:t>
      </w:r>
    </w:p>
    <w:p w:rsidR="00625A49" w:rsidRDefault="00136FEA">
      <w:pPr>
        <w:tabs>
          <w:tab w:val="left" w:pos="1134"/>
        </w:tabs>
        <w:ind w:left="567"/>
      </w:pPr>
      <w:r>
        <w:t xml:space="preserve">ii) </w:t>
      </w:r>
      <w:r>
        <w:tab/>
        <w:t>Obligation de conduire l</w:t>
      </w:r>
      <w:r w:rsidR="009A2C1F">
        <w:t>’</w:t>
      </w:r>
      <w:r>
        <w:t>examen DHS faite au service chargé de l</w:t>
      </w:r>
      <w:r w:rsidR="009A2C1F">
        <w:t>’</w:t>
      </w:r>
      <w:r>
        <w:t>octroi des droits</w:t>
      </w:r>
    </w:p>
    <w:p w:rsidR="00625A49" w:rsidRDefault="00136FEA">
      <w:pPr>
        <w:tabs>
          <w:tab w:val="left" w:pos="1134"/>
        </w:tabs>
        <w:ind w:left="567"/>
      </w:pPr>
      <w:r>
        <w:t xml:space="preserve">iii) </w:t>
      </w:r>
      <w:r>
        <w:tab/>
        <w:t>Non</w:t>
      </w:r>
      <w:r w:rsidR="008A220E">
        <w:noBreakHyphen/>
      </w:r>
      <w:r>
        <w:t>acceptation des rapports d</w:t>
      </w:r>
      <w:r w:rsidR="009A2C1F">
        <w:t>’</w:t>
      </w:r>
      <w:r>
        <w:t>examen DHS établis par l</w:t>
      </w:r>
      <w:r w:rsidR="009A2C1F">
        <w:t>’</w:t>
      </w:r>
      <w:r>
        <w:t>obtenteur</w:t>
      </w:r>
    </w:p>
    <w:p w:rsidR="00625A49" w:rsidRDefault="00136FEA">
      <w:pPr>
        <w:tabs>
          <w:tab w:val="left" w:pos="1134"/>
        </w:tabs>
        <w:ind w:left="567"/>
      </w:pPr>
      <w:r>
        <w:t xml:space="preserve">iv) </w:t>
      </w:r>
      <w:r>
        <w:tab/>
        <w:t>Volonté (ou non) des obtenteurs d</w:t>
      </w:r>
      <w:r w:rsidR="009A2C1F">
        <w:t>’</w:t>
      </w:r>
      <w:r>
        <w:t>utiliser les rapports d</w:t>
      </w:r>
      <w:r w:rsidR="009A2C1F">
        <w:t>’</w:t>
      </w:r>
      <w:r>
        <w:t>examen DHS existants.</w:t>
      </w:r>
    </w:p>
    <w:p w:rsidR="00625A49" w:rsidRDefault="00625A49"/>
    <w:p w:rsidR="009A2C1F" w:rsidRDefault="00136FEA" w:rsidP="002D4AD1">
      <w:pPr>
        <w:pStyle w:val="ListParagraph"/>
        <w:numPr>
          <w:ilvl w:val="0"/>
          <w:numId w:val="5"/>
        </w:numPr>
        <w:ind w:left="0" w:firstLine="0"/>
      </w:pPr>
      <w:r>
        <w:t>En réponse à la demande du</w:t>
      </w:r>
      <w:r w:rsidR="009A2C1F">
        <w:t> TC</w:t>
      </w:r>
      <w:r>
        <w:t>, le CAJ a prié en outre le Bureau de l</w:t>
      </w:r>
      <w:r w:rsidR="009A2C1F">
        <w:t>’</w:t>
      </w:r>
      <w:r>
        <w:t>Union d</w:t>
      </w:r>
      <w:r w:rsidR="009A2C1F">
        <w:t>’</w:t>
      </w:r>
      <w:r>
        <w:t>établir, pour examen à sa soixante</w:t>
      </w:r>
      <w:r w:rsidR="008A220E">
        <w:noBreakHyphen/>
      </w:r>
      <w:r>
        <w:t>dix</w:t>
      </w:r>
      <w:r w:rsidR="008A220E">
        <w:noBreakHyphen/>
      </w:r>
      <w:r>
        <w:t>huit</w:t>
      </w:r>
      <w:r w:rsidR="009A2C1F">
        <w:t>ième session</w:t>
      </w:r>
      <w:r>
        <w:t>, un document contenant des propositions en vue de l</w:t>
      </w:r>
      <w:r w:rsidR="009A2C1F">
        <w:t>’</w:t>
      </w:r>
      <w:r>
        <w:t>élaboration d</w:t>
      </w:r>
      <w:r w:rsidR="009A2C1F">
        <w:t>’</w:t>
      </w:r>
      <w:r>
        <w:t>orientations visant à encourager les membres de l</w:t>
      </w:r>
      <w:r w:rsidR="009A2C1F">
        <w:t>’</w:t>
      </w:r>
      <w:r>
        <w:t>Union, sur une base volontaire, à prendre à leur compte les rapports d</w:t>
      </w:r>
      <w:r w:rsidR="009A2C1F">
        <w:t>’</w:t>
      </w:r>
      <w:r>
        <w:t>examen DHS lorsque les demandeurs n</w:t>
      </w:r>
      <w:r w:rsidR="009A2C1F">
        <w:t>’</w:t>
      </w:r>
      <w:r>
        <w:t>étaient pas en mesure de remettre du matériel végétal pour des raisons phytosanitaires ou autres, lorsque cela était acceptable pour les membres de l</w:t>
      </w:r>
      <w:r w:rsidR="009A2C1F">
        <w:t>’</w:t>
      </w:r>
      <w:r>
        <w:t>Union concernés.</w:t>
      </w:r>
    </w:p>
    <w:p w:rsidR="00625A49" w:rsidRDefault="00625A49">
      <w:pPr>
        <w:keepNext/>
        <w:keepLines/>
      </w:pPr>
    </w:p>
    <w:p w:rsidR="00625A49" w:rsidRDefault="00136FEA" w:rsidP="002D4AD1">
      <w:pPr>
        <w:pStyle w:val="ListParagraph"/>
        <w:numPr>
          <w:ilvl w:val="0"/>
          <w:numId w:val="5"/>
        </w:numPr>
        <w:ind w:left="0" w:firstLine="0"/>
      </w:pPr>
      <w:r>
        <w:rPr>
          <w:snapToGrid w:val="0"/>
        </w:rPr>
        <w:t>À sa soixante</w:t>
      </w:r>
      <w:r w:rsidR="008A220E">
        <w:rPr>
          <w:snapToGrid w:val="0"/>
        </w:rPr>
        <w:noBreakHyphen/>
      </w:r>
      <w:r>
        <w:rPr>
          <w:snapToGrid w:val="0"/>
        </w:rPr>
        <w:t>dix</w:t>
      </w:r>
      <w:r w:rsidR="008A220E">
        <w:rPr>
          <w:snapToGrid w:val="0"/>
        </w:rPr>
        <w:noBreakHyphen/>
      </w:r>
      <w:r>
        <w:rPr>
          <w:snapToGrid w:val="0"/>
        </w:rPr>
        <w:t>huit</w:t>
      </w:r>
      <w:r w:rsidR="009A2C1F">
        <w:rPr>
          <w:snapToGrid w:val="0"/>
        </w:rPr>
        <w:t>ième session</w:t>
      </w:r>
      <w:r>
        <w:rPr>
          <w:rStyle w:val="FootnoteReference"/>
          <w:snapToGrid w:val="0"/>
        </w:rPr>
        <w:footnoteReference w:id="5"/>
      </w:r>
      <w:r>
        <w:rPr>
          <w:snapToGrid w:val="0"/>
        </w:rPr>
        <w:t>,</w:t>
      </w:r>
      <w:r w:rsidR="009A2C1F">
        <w:rPr>
          <w:snapToGrid w:val="0"/>
        </w:rPr>
        <w:t xml:space="preserve"> le CAJ</w:t>
      </w:r>
      <w:r>
        <w:rPr>
          <w:snapToGrid w:val="0"/>
        </w:rPr>
        <w:t xml:space="preserve"> a e</w:t>
      </w:r>
      <w:r>
        <w:t xml:space="preserve">xaminé le </w:t>
      </w:r>
      <w:r w:rsidR="009A2C1F">
        <w:t>document CA</w:t>
      </w:r>
      <w:r>
        <w:t>J/78/10 “Orientations possibles sur l</w:t>
      </w:r>
      <w:r w:rsidR="009A2C1F">
        <w:t>’</w:t>
      </w:r>
      <w:r>
        <w:t>utilisation de rapports d</w:t>
      </w:r>
      <w:r w:rsidR="009A2C1F">
        <w:t>’</w:t>
      </w:r>
      <w:r>
        <w:t xml:space="preserve">examen DHS lorsque les demandeurs ne sont pas en mesure de remettre du matériel végétal” (voir les paragraphes 37 à 39 du </w:t>
      </w:r>
      <w:r w:rsidR="009A2C1F">
        <w:t>document CA</w:t>
      </w:r>
      <w:r>
        <w:t>J/78/13).</w:t>
      </w:r>
    </w:p>
    <w:p w:rsidR="00625A49" w:rsidRDefault="00625A49"/>
    <w:p w:rsidR="00625A49" w:rsidRDefault="00136FEA" w:rsidP="002D4AD1">
      <w:pPr>
        <w:pStyle w:val="ListParagraph"/>
        <w:numPr>
          <w:ilvl w:val="0"/>
          <w:numId w:val="5"/>
        </w:numPr>
        <w:ind w:left="0" w:firstLine="0"/>
      </w:pPr>
      <w:r>
        <w:t>Le CAJ a noté que des propositions destinées à renforcer la coopération et la reprise des rapports d</w:t>
      </w:r>
      <w:r w:rsidR="009A2C1F">
        <w:t>’</w:t>
      </w:r>
      <w:r>
        <w:t xml:space="preserve">examen DHS figuraient dans le </w:t>
      </w:r>
      <w:r w:rsidR="009A2C1F">
        <w:t>document CA</w:t>
      </w:r>
      <w:r>
        <w:t>J/78/9 “Mesures visant à renforcer la coopération en matière d</w:t>
      </w:r>
      <w:r w:rsidR="009A2C1F">
        <w:t>’</w:t>
      </w:r>
      <w:r>
        <w:t>examen”.</w:t>
      </w:r>
    </w:p>
    <w:p w:rsidR="009A2C1F" w:rsidRDefault="009A2C1F"/>
    <w:p w:rsidR="00625A49" w:rsidRDefault="00136FEA" w:rsidP="002D4AD1">
      <w:pPr>
        <w:pStyle w:val="ListParagraph"/>
        <w:numPr>
          <w:ilvl w:val="0"/>
          <w:numId w:val="5"/>
        </w:numPr>
        <w:ind w:left="0" w:firstLine="0"/>
      </w:pPr>
      <w:r>
        <w:t>Le CAJ a décidé d</w:t>
      </w:r>
      <w:r w:rsidR="009A2C1F">
        <w:t>’</w:t>
      </w:r>
      <w:r>
        <w:t>inclure les possibles “orientations visant à encourager les membres de l</w:t>
      </w:r>
      <w:r w:rsidR="009A2C1F">
        <w:t>’</w:t>
      </w:r>
      <w:r>
        <w:t>Union, sur une base volontaire, à prendre à leur compte les rapports d</w:t>
      </w:r>
      <w:r w:rsidR="009A2C1F">
        <w:t>’</w:t>
      </w:r>
      <w:r>
        <w:t>examen DHS lorsque les demandeurs n</w:t>
      </w:r>
      <w:r w:rsidR="009A2C1F">
        <w:t>’</w:t>
      </w:r>
      <w:r>
        <w:t>étaient pas en mesure de remettre du matériel végétal pour des raisons phytosanitaires ou autres, lorsque cela était acceptable pour les membres de l</w:t>
      </w:r>
      <w:r w:rsidR="009A2C1F">
        <w:t>’</w:t>
      </w:r>
      <w:r>
        <w:t xml:space="preserve">Union concernés” comme faisant partie intégrante des travaux à convenir par le CAJ au titre du </w:t>
      </w:r>
      <w:r w:rsidR="009A2C1F">
        <w:t>document CA</w:t>
      </w:r>
      <w:r>
        <w:t>J/78/9.</w:t>
      </w:r>
    </w:p>
    <w:p w:rsidR="00625A49" w:rsidRDefault="00625A49">
      <w:pPr>
        <w:keepNext/>
      </w:pPr>
    </w:p>
    <w:p w:rsidR="00625A49" w:rsidRDefault="00136FEA" w:rsidP="002D4AD1">
      <w:pPr>
        <w:pStyle w:val="ListParagraph"/>
        <w:numPr>
          <w:ilvl w:val="0"/>
          <w:numId w:val="5"/>
        </w:numPr>
        <w:ind w:left="0" w:firstLine="0"/>
      </w:pPr>
      <w:r>
        <w:rPr>
          <w:snapToGrid w:val="0"/>
        </w:rPr>
        <w:t>À sa soixante</w:t>
      </w:r>
      <w:r w:rsidR="008A220E">
        <w:rPr>
          <w:snapToGrid w:val="0"/>
        </w:rPr>
        <w:noBreakHyphen/>
      </w:r>
      <w:r>
        <w:rPr>
          <w:snapToGrid w:val="0"/>
        </w:rPr>
        <w:t>dix</w:t>
      </w:r>
      <w:r w:rsidR="008A220E">
        <w:rPr>
          <w:snapToGrid w:val="0"/>
        </w:rPr>
        <w:noBreakHyphen/>
      </w:r>
      <w:r>
        <w:rPr>
          <w:snapToGrid w:val="0"/>
        </w:rPr>
        <w:t>huit</w:t>
      </w:r>
      <w:r w:rsidR="009A2C1F">
        <w:rPr>
          <w:snapToGrid w:val="0"/>
        </w:rPr>
        <w:t>ième session</w:t>
      </w:r>
      <w:r>
        <w:rPr>
          <w:snapToGrid w:val="0"/>
        </w:rPr>
        <w:t>, le CAJ a e</w:t>
      </w:r>
      <w:r>
        <w:t xml:space="preserve">xaminé le </w:t>
      </w:r>
      <w:r w:rsidR="009A2C1F">
        <w:t>document CA</w:t>
      </w:r>
      <w:r>
        <w:t xml:space="preserve">J/78/9 (voir les paragraphes 40 à 43 du </w:t>
      </w:r>
      <w:r w:rsidR="009A2C1F">
        <w:t>document CA</w:t>
      </w:r>
      <w:r>
        <w:t>J/78/13).</w:t>
      </w:r>
    </w:p>
    <w:p w:rsidR="00625A49" w:rsidRDefault="00625A49"/>
    <w:p w:rsidR="00625A49" w:rsidRDefault="00136FEA" w:rsidP="002D4AD1">
      <w:pPr>
        <w:pStyle w:val="ListParagraph"/>
        <w:numPr>
          <w:ilvl w:val="0"/>
          <w:numId w:val="5"/>
        </w:numPr>
        <w:ind w:left="0" w:firstLine="0"/>
      </w:pPr>
      <w:r>
        <w:t>Le CAJ a approuvé les mesures ci</w:t>
      </w:r>
      <w:r w:rsidR="008A220E">
        <w:noBreakHyphen/>
      </w:r>
      <w:r>
        <w:t>après pour lever les obstacles politiques ou juridiques dont le</w:t>
      </w:r>
      <w:r w:rsidR="009A2C1F">
        <w:t> TC</w:t>
      </w:r>
      <w:r>
        <w:t xml:space="preserve"> avait jugé qu</w:t>
      </w:r>
      <w:r w:rsidR="009A2C1F">
        <w:t>’</w:t>
      </w:r>
      <w:r>
        <w:t>ils entravaient la coopération internationale en matière d</w:t>
      </w:r>
      <w:r w:rsidR="009A2C1F">
        <w:t>’</w:t>
      </w:r>
      <w:r>
        <w:t>examen DHS</w:t>
      </w:r>
      <w:r w:rsidR="009A2C1F">
        <w:t> :</w:t>
      </w:r>
    </w:p>
    <w:p w:rsidR="00625A49" w:rsidRDefault="00625A49">
      <w:pPr>
        <w:keepNext/>
      </w:pPr>
    </w:p>
    <w:p w:rsidR="00625A49" w:rsidRDefault="00A22F7E">
      <w:r>
        <w:tab/>
        <w:t>a)</w:t>
      </w:r>
      <w:r w:rsidR="00136FEA">
        <w:tab/>
        <w:t>enquêter auprès des membres de l</w:t>
      </w:r>
      <w:r w:rsidR="009A2C1F">
        <w:t>’</w:t>
      </w:r>
      <w:r w:rsidR="00136FEA">
        <w:t>Union afin d</w:t>
      </w:r>
      <w:r w:rsidR="009A2C1F">
        <w:t>’</w:t>
      </w:r>
      <w:r w:rsidR="00136FEA">
        <w:t>obtenir des informations sur leurs politiques ou obstacles juridiques susceptibles d</w:t>
      </w:r>
      <w:r w:rsidR="009A2C1F">
        <w:t>’</w:t>
      </w:r>
      <w:r w:rsidR="00136FEA">
        <w:t>empêcher la coopération internationale en matière d</w:t>
      </w:r>
      <w:r w:rsidR="009A2C1F">
        <w:t>’</w:t>
      </w:r>
      <w:r w:rsidR="00136FEA">
        <w:t>examen DHS;</w:t>
      </w:r>
    </w:p>
    <w:p w:rsidR="00625A49" w:rsidRDefault="00625A49"/>
    <w:p w:rsidR="00625A49" w:rsidRDefault="00136FEA">
      <w:r>
        <w:tab/>
        <w:t>b)</w:t>
      </w:r>
      <w:r>
        <w:tab/>
        <w:t>rédiger des notes explicatives sur l</w:t>
      </w:r>
      <w:r w:rsidR="009A2C1F">
        <w:t>’</w:t>
      </w:r>
      <w:r>
        <w:t xml:space="preserve">article 12 de la </w:t>
      </w:r>
      <w:r w:rsidR="009A2C1F">
        <w:t>Convention UPOV</w:t>
      </w:r>
      <w:r>
        <w:t xml:space="preserve"> (“Examen de la demande”</w:t>
      </w:r>
      <w:proofErr w:type="gramStart"/>
      <w:r>
        <w:t xml:space="preserve">); </w:t>
      </w:r>
      <w:r w:rsidR="00C92C56">
        <w:t xml:space="preserve"> </w:t>
      </w:r>
      <w:r>
        <w:t>et</w:t>
      </w:r>
      <w:proofErr w:type="gramEnd"/>
    </w:p>
    <w:p w:rsidR="00625A49" w:rsidRDefault="00625A49"/>
    <w:p w:rsidR="00625A49" w:rsidRDefault="00136FEA">
      <w:r>
        <w:tab/>
        <w:t>c)</w:t>
      </w:r>
      <w:r>
        <w:tab/>
        <w:t>demander aux organisations d</w:t>
      </w:r>
      <w:r w:rsidR="009A2C1F">
        <w:t>’</w:t>
      </w:r>
      <w:r>
        <w:t>obtenteurs d</w:t>
      </w:r>
      <w:r w:rsidR="009A2C1F">
        <w:t>’</w:t>
      </w:r>
      <w:r>
        <w:t>apporter des précisions sur les difficultés que posait la volonté des obtenteurs d</w:t>
      </w:r>
      <w:r w:rsidR="009A2C1F">
        <w:t>’</w:t>
      </w:r>
      <w:r>
        <w:t>utiliser, ou de ne pas utiliser, les rapports d</w:t>
      </w:r>
      <w:r w:rsidR="009A2C1F">
        <w:t>’</w:t>
      </w:r>
      <w:r>
        <w:t>examen DHS existants.</w:t>
      </w:r>
    </w:p>
    <w:p w:rsidR="00625A49" w:rsidRDefault="00625A49"/>
    <w:p w:rsidR="009A2C1F" w:rsidRDefault="00136FEA" w:rsidP="002D4AD1">
      <w:pPr>
        <w:pStyle w:val="ListParagraph"/>
        <w:numPr>
          <w:ilvl w:val="0"/>
          <w:numId w:val="5"/>
        </w:numPr>
        <w:ind w:left="0" w:firstLine="0"/>
      </w:pPr>
      <w:r>
        <w:t>Le CAJ est convenu que l</w:t>
      </w:r>
      <w:r w:rsidR="009A2C1F">
        <w:t>’</w:t>
      </w:r>
      <w:r>
        <w:t>enquête devrait porter également sur la reprise des rapports d</w:t>
      </w:r>
      <w:r w:rsidR="009A2C1F">
        <w:t>’</w:t>
      </w:r>
      <w:r>
        <w:t>examen lorsque les descriptions variétales ne correspondaient pas aux caractères énoncés dans les principes directeurs d</w:t>
      </w:r>
      <w:r w:rsidR="009A2C1F">
        <w:t>’</w:t>
      </w:r>
      <w:r>
        <w:t>examen de l</w:t>
      </w:r>
      <w:r w:rsidR="009A2C1F">
        <w:t>’</w:t>
      </w:r>
      <w:r>
        <w:t>UPOV.</w:t>
      </w:r>
    </w:p>
    <w:p w:rsidR="00625A49" w:rsidRDefault="00625A49"/>
    <w:p w:rsidR="00625A49" w:rsidRDefault="00136FEA" w:rsidP="002D4AD1">
      <w:pPr>
        <w:pStyle w:val="ListParagraph"/>
        <w:numPr>
          <w:ilvl w:val="0"/>
          <w:numId w:val="5"/>
        </w:numPr>
        <w:ind w:left="0" w:firstLine="0"/>
      </w:pPr>
      <w:bookmarkStart w:id="16" w:name="_GoBack"/>
      <w:bookmarkEnd w:id="16"/>
      <w:r>
        <w:t>Comme suite à l</w:t>
      </w:r>
      <w:r w:rsidR="009A2C1F">
        <w:t>’</w:t>
      </w:r>
      <w:r>
        <w:t>observation formulée par l</w:t>
      </w:r>
      <w:r w:rsidR="009A2C1F">
        <w:t>’</w:t>
      </w:r>
      <w:r>
        <w:t>Union européenne, le CAJ a indiqué que les notes explicatives sur “l</w:t>
      </w:r>
      <w:r w:rsidR="009A2C1F">
        <w:t>’</w:t>
      </w:r>
      <w:r>
        <w:t>examen de la demande” devraient exposer toutes les modalités possibles d</w:t>
      </w:r>
      <w:r w:rsidR="009A2C1F">
        <w:t>’</w:t>
      </w:r>
      <w:r>
        <w:t xml:space="preserve">examen prévues par la </w:t>
      </w:r>
      <w:r w:rsidR="009A2C1F">
        <w:t>Convention UPOV</w:t>
      </w:r>
      <w:r>
        <w:t>.</w:t>
      </w:r>
    </w:p>
    <w:p w:rsidR="00625A49" w:rsidRDefault="00625A49"/>
    <w:p w:rsidR="00625A49" w:rsidRDefault="00625A49"/>
    <w:p w:rsidR="009A2C1F" w:rsidRDefault="009A2C1F"/>
    <w:p w:rsidR="00625A49" w:rsidRDefault="00136FEA">
      <w:pPr>
        <w:jc w:val="right"/>
      </w:pPr>
      <w:r>
        <w:t>[Fin de l</w:t>
      </w:r>
      <w:r w:rsidR="009A2C1F">
        <w:t>’</w:t>
      </w:r>
      <w:r>
        <w:t>annexe et du document]</w:t>
      </w:r>
    </w:p>
    <w:p w:rsidR="00625A49" w:rsidRDefault="00625A49">
      <w:pPr>
        <w:jc w:val="left"/>
      </w:pPr>
    </w:p>
    <w:p w:rsidR="00625A49" w:rsidRDefault="00625A49">
      <w:pPr>
        <w:jc w:val="left"/>
      </w:pPr>
    </w:p>
    <w:sectPr w:rsidR="00625A49">
      <w:headerReference w:type="default" r:id="rId23"/>
      <w:headerReference w:type="first" r:id="rId2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5A49" w:rsidRDefault="00136FEA">
      <w:r>
        <w:separator/>
      </w:r>
    </w:p>
    <w:p w:rsidR="00625A49" w:rsidRDefault="00625A49"/>
    <w:p w:rsidR="00625A49" w:rsidRDefault="00625A49"/>
  </w:endnote>
  <w:endnote w:type="continuationSeparator" w:id="0">
    <w:p w:rsidR="00625A49" w:rsidRDefault="00136FEA">
      <w:r>
        <w:separator/>
      </w:r>
    </w:p>
    <w:p w:rsidR="00625A49" w:rsidRDefault="00136FEA">
      <w:pPr>
        <w:pStyle w:val="Footer"/>
        <w:spacing w:after="60"/>
        <w:rPr>
          <w:sz w:val="18"/>
        </w:rPr>
      </w:pPr>
      <w:r>
        <w:rPr>
          <w:sz w:val="18"/>
        </w:rPr>
        <w:t>[Suite de la note de la page précédente]</w:t>
      </w:r>
    </w:p>
    <w:p w:rsidR="00625A49" w:rsidRDefault="00625A49"/>
    <w:p w:rsidR="00625A49" w:rsidRDefault="00625A49"/>
  </w:endnote>
  <w:endnote w:type="continuationNotice" w:id="1">
    <w:p w:rsidR="00625A49" w:rsidRDefault="00136FEA">
      <w:r>
        <w:t>[Suite de la note page suivante]</w:t>
      </w:r>
    </w:p>
    <w:p w:rsidR="00625A49" w:rsidRDefault="00625A49"/>
    <w:p w:rsidR="00625A49" w:rsidRDefault="00625A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625A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625A4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625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5A49" w:rsidRDefault="00136FEA">
      <w:r>
        <w:separator/>
      </w:r>
    </w:p>
  </w:footnote>
  <w:footnote w:type="continuationSeparator" w:id="0">
    <w:p w:rsidR="00625A49" w:rsidRDefault="00136FEA">
      <w:r>
        <w:separator/>
      </w:r>
    </w:p>
  </w:footnote>
  <w:footnote w:type="continuationNotice" w:id="1">
    <w:p w:rsidR="00625A49" w:rsidRDefault="00625A49">
      <w:pPr>
        <w:pStyle w:val="Footer"/>
      </w:pPr>
    </w:p>
  </w:footnote>
  <w:footnote w:id="2">
    <w:p w:rsidR="00625A49" w:rsidRDefault="00136FEA">
      <w:pPr>
        <w:pStyle w:val="FootnoteText"/>
      </w:pPr>
      <w:r>
        <w:rPr>
          <w:rStyle w:val="FootnoteReference"/>
        </w:rPr>
        <w:footnoteRef/>
      </w:r>
      <w:r>
        <w:t xml:space="preserve"> </w:t>
      </w:r>
      <w:r w:rsidR="00A8686E">
        <w:tab/>
      </w:r>
      <w:r>
        <w:t>Tenue à Cambridge (Royaume</w:t>
      </w:r>
      <w:r w:rsidR="00A8686E">
        <w:noBreakHyphen/>
      </w:r>
      <w:r>
        <w:t>Uni) du 23 au 27 mai 2022.</w:t>
      </w:r>
    </w:p>
  </w:footnote>
  <w:footnote w:id="3">
    <w:p w:rsidR="00625A49" w:rsidRDefault="00136FEA">
      <w:pPr>
        <w:pStyle w:val="FootnoteText"/>
      </w:pPr>
      <w:r>
        <w:rPr>
          <w:rStyle w:val="FootnoteReference"/>
        </w:rPr>
        <w:footnoteRef/>
      </w:r>
      <w:r>
        <w:t xml:space="preserve"> </w:t>
      </w:r>
      <w:r w:rsidR="00A22F7E">
        <w:tab/>
      </w:r>
      <w:r>
        <w:t>Tenue par voie électronique du 26 au 27 octobre 2020.</w:t>
      </w:r>
    </w:p>
  </w:footnote>
  <w:footnote w:id="4">
    <w:p w:rsidR="00625A49" w:rsidRDefault="00136FEA">
      <w:pPr>
        <w:pStyle w:val="FootnoteText"/>
      </w:pPr>
      <w:r>
        <w:rPr>
          <w:rStyle w:val="FootnoteReference"/>
        </w:rPr>
        <w:footnoteRef/>
      </w:r>
      <w:r>
        <w:t xml:space="preserve"> </w:t>
      </w:r>
      <w:r w:rsidR="00A22F7E">
        <w:tab/>
      </w:r>
      <w:r>
        <w:t>Tenue par voie électronique le 28 octobre 2020.</w:t>
      </w:r>
    </w:p>
  </w:footnote>
  <w:footnote w:id="5">
    <w:p w:rsidR="00625A49" w:rsidRDefault="00136FEA">
      <w:pPr>
        <w:pStyle w:val="FootnoteText"/>
      </w:pPr>
      <w:r>
        <w:rPr>
          <w:rStyle w:val="FootnoteReference"/>
        </w:rPr>
        <w:footnoteRef/>
      </w:r>
      <w:r>
        <w:t xml:space="preserve"> </w:t>
      </w:r>
      <w:r w:rsidR="00A22F7E">
        <w:tab/>
      </w:r>
      <w:r>
        <w:t>Tenue par voie électronique le 27 octobre 2021.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625A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136FEA">
    <w:pPr>
      <w:pStyle w:val="Header"/>
      <w:rPr>
        <w:rStyle w:val="PageNumber"/>
      </w:rPr>
    </w:pPr>
    <w:r>
      <w:rPr>
        <w:rStyle w:val="PageNumber"/>
      </w:rPr>
      <w:t>TC/58/8</w:t>
    </w:r>
  </w:p>
  <w:p w:rsidR="00625A49" w:rsidRDefault="00136FEA">
    <w:pPr>
      <w:pStyle w:val="Header"/>
    </w:pPr>
    <w:r>
      <w:t xml:space="preserve">page </w:t>
    </w:r>
    <w:r>
      <w:rPr>
        <w:rStyle w:val="PageNumber"/>
      </w:rPr>
      <w:fldChar w:fldCharType="begin"/>
    </w:r>
    <w:r>
      <w:rPr>
        <w:rStyle w:val="PageNumber"/>
      </w:rPr>
      <w:instrText xml:space="preserve"> PAGE </w:instrText>
    </w:r>
    <w:r>
      <w:rPr>
        <w:rStyle w:val="PageNumber"/>
      </w:rPr>
      <w:fldChar w:fldCharType="separate"/>
    </w:r>
    <w:r w:rsidR="002D4AD1">
      <w:rPr>
        <w:rStyle w:val="PageNumber"/>
        <w:noProof/>
      </w:rPr>
      <w:t>7</w:t>
    </w:r>
    <w:r>
      <w:rPr>
        <w:rStyle w:val="PageNumber"/>
      </w:rPr>
      <w:fldChar w:fldCharType="end"/>
    </w:r>
  </w:p>
  <w:p w:rsidR="00625A49" w:rsidRDefault="00625A4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625A4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136FEA">
    <w:pPr>
      <w:pStyle w:val="Header"/>
      <w:rPr>
        <w:rStyle w:val="PageNumber"/>
      </w:rPr>
    </w:pPr>
    <w:r>
      <w:rPr>
        <w:rStyle w:val="PageNumber"/>
      </w:rPr>
      <w:t>TC/58/8</w:t>
    </w:r>
  </w:p>
  <w:p w:rsidR="00625A49" w:rsidRDefault="00136FEA">
    <w:pPr>
      <w:pStyle w:val="Header"/>
    </w:pPr>
    <w:r>
      <w:t xml:space="preserve">Annexe, page </w:t>
    </w:r>
    <w:r>
      <w:rPr>
        <w:rStyle w:val="PageNumber"/>
      </w:rPr>
      <w:fldChar w:fldCharType="begin"/>
    </w:r>
    <w:r>
      <w:rPr>
        <w:rStyle w:val="PageNumber"/>
      </w:rPr>
      <w:instrText xml:space="preserve"> PAGE </w:instrText>
    </w:r>
    <w:r>
      <w:rPr>
        <w:rStyle w:val="PageNumber"/>
      </w:rPr>
      <w:fldChar w:fldCharType="separate"/>
    </w:r>
    <w:r w:rsidR="002D4AD1">
      <w:rPr>
        <w:rStyle w:val="PageNumber"/>
        <w:noProof/>
      </w:rPr>
      <w:t>2</w:t>
    </w:r>
    <w:r>
      <w:rPr>
        <w:rStyle w:val="PageNumber"/>
      </w:rPr>
      <w:fldChar w:fldCharType="end"/>
    </w:r>
  </w:p>
  <w:p w:rsidR="00625A49" w:rsidRDefault="00625A4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5A49" w:rsidRDefault="00136FEA">
    <w:pPr>
      <w:pStyle w:val="Header"/>
      <w:rPr>
        <w:rStyle w:val="PageNumber"/>
      </w:rPr>
    </w:pPr>
    <w:r>
      <w:rPr>
        <w:rStyle w:val="PageNumber"/>
      </w:rPr>
      <w:t>TC/58/8</w:t>
    </w:r>
  </w:p>
  <w:p w:rsidR="00625A49" w:rsidRDefault="00625A49">
    <w:pPr>
      <w:pStyle w:val="Header"/>
    </w:pPr>
  </w:p>
  <w:p w:rsidR="00625A49" w:rsidRDefault="00136FEA">
    <w:pPr>
      <w:pStyle w:val="Header"/>
    </w:pPr>
    <w:r>
      <w:t>ANNEXE</w:t>
    </w:r>
  </w:p>
  <w:p w:rsidR="00625A49" w:rsidRDefault="00625A4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1" w15:restartNumberingAfterBreak="0">
    <w:nsid w:val="1A5F68D5"/>
    <w:multiLevelType w:val="multilevel"/>
    <w:tmpl w:val="17FA35B6"/>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2" w15:restartNumberingAfterBreak="0">
    <w:nsid w:val="43AB439B"/>
    <w:multiLevelType w:val="hybridMultilevel"/>
    <w:tmpl w:val="BB0E98B4"/>
    <w:lvl w:ilvl="0" w:tplc="B798E7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56CF7992"/>
    <w:multiLevelType w:val="hybridMultilevel"/>
    <w:tmpl w:val="3CBE9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6" w:nlCheck="1" w:checkStyle="0"/>
  <w:activeWritingStyle w:appName="MSWord" w:lang="en-US" w:vendorID="64" w:dllVersion="6" w:nlCheck="1" w:checkStyle="1"/>
  <w:activeWritingStyle w:appName="MSWord" w:lang="en-NZ" w:vendorID="64" w:dllVersion="6" w:nlCheck="1" w:checkStyle="1"/>
  <w:activeWritingStyle w:appName="MSWord" w:lang="fr-FR" w:vendorID="64" w:dllVersion="0" w:nlCheck="1" w:checkStyle="0"/>
  <w:activeWritingStyle w:appName="MSWord" w:lang="fr-FR" w:vendorID="64" w:dllVersion="131078"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A49"/>
    <w:rsid w:val="00136FEA"/>
    <w:rsid w:val="002D4AD1"/>
    <w:rsid w:val="003178E9"/>
    <w:rsid w:val="003642B2"/>
    <w:rsid w:val="004F68D4"/>
    <w:rsid w:val="00625A49"/>
    <w:rsid w:val="00745596"/>
    <w:rsid w:val="008A220E"/>
    <w:rsid w:val="009A2C1F"/>
    <w:rsid w:val="00A22F7E"/>
    <w:rsid w:val="00A25FAD"/>
    <w:rsid w:val="00A8686E"/>
    <w:rsid w:val="00C92C56"/>
    <w:rsid w:val="00F360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shapelayout>
  </w:shapeDefaults>
  <w:decimalSymbol w:val="."/>
  <w:listSeparator w:val=","/>
  <w15:docId w15:val="{F66A4AE7-04F0-46A5-AD05-F6A80D3C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hAnsi="Arial"/>
    </w:rPr>
  </w:style>
  <w:style w:type="paragraph" w:styleId="Heading1">
    <w:name w:val="heading 1"/>
    <w:next w:val="Normal"/>
    <w:autoRedefine/>
    <w:qFormat/>
    <w:pPr>
      <w:keepNext/>
      <w:jc w:val="both"/>
      <w:outlineLvl w:val="0"/>
    </w:pPr>
    <w:rPr>
      <w:rFonts w:ascii="Arial" w:hAnsi="Arial"/>
      <w:caps/>
    </w:rPr>
  </w:style>
  <w:style w:type="paragraph" w:styleId="Heading2">
    <w:name w:val="heading 2"/>
    <w:next w:val="Normal"/>
    <w:autoRedefine/>
    <w:qFormat/>
    <w:pPr>
      <w:keepNext/>
      <w:jc w:val="both"/>
      <w:outlineLvl w:val="1"/>
    </w:pPr>
    <w:rPr>
      <w:rFonts w:ascii="Arial" w:hAnsi="Arial"/>
      <w:u w:val="single"/>
    </w:rPr>
  </w:style>
  <w:style w:type="paragraph" w:styleId="Heading3">
    <w:name w:val="heading 3"/>
    <w:next w:val="Normal"/>
    <w:link w:val="Heading3Char"/>
    <w:autoRedefine/>
    <w:qFormat/>
    <w:pPr>
      <w:keepNext/>
      <w:jc w:val="both"/>
      <w:outlineLvl w:val="2"/>
    </w:pPr>
    <w:rPr>
      <w:rFonts w:ascii="Arial" w:hAnsi="Arial"/>
      <w:i/>
    </w:rPr>
  </w:style>
  <w:style w:type="paragraph" w:styleId="Heading4">
    <w:name w:val="heading 4"/>
    <w:next w:val="Normal"/>
    <w:autoRedefine/>
    <w:qFormat/>
    <w:pPr>
      <w:keepNext/>
      <w:ind w:left="567"/>
      <w:jc w:val="both"/>
      <w:outlineLvl w:val="3"/>
    </w:pPr>
    <w:rPr>
      <w:rFonts w:ascii="Arial" w:hAnsi="Arial"/>
      <w:u w:val="single"/>
    </w:rPr>
  </w:style>
  <w:style w:type="paragraph" w:styleId="Heading5">
    <w:name w:val="heading 5"/>
    <w:next w:val="Normal"/>
    <w:autoRedefine/>
    <w:qFormat/>
    <w:pPr>
      <w:keepNext/>
      <w:ind w:left="1134" w:hanging="567"/>
      <w:jc w:val="both"/>
      <w:outlineLvl w:val="4"/>
    </w:pPr>
    <w:rPr>
      <w:rFonts w:ascii="Arial" w:hAnsi="Arial"/>
      <w:i/>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pPr>
      <w:jc w:val="center"/>
    </w:pPr>
    <w:rPr>
      <w:rFonts w:ascii="Arial" w:hAnsi="Arial"/>
    </w:rPr>
  </w:style>
  <w:style w:type="paragraph" w:styleId="Footer">
    <w:name w:val="footer"/>
    <w:aliases w:val="doc_path_name"/>
    <w:autoRedefine/>
    <w:pPr>
      <w:jc w:val="both"/>
    </w:pPr>
    <w:rPr>
      <w:rFonts w:ascii="Arial" w:hAnsi="Arial"/>
      <w:sz w:val="14"/>
    </w:rPr>
  </w:style>
  <w:style w:type="character" w:styleId="PageNumber">
    <w:name w:val="page number"/>
    <w:basedOn w:val="DefaultParagraphFont"/>
    <w:rPr>
      <w:rFonts w:ascii="Arial" w:hAnsi="Arial"/>
      <w:sz w:val="20"/>
    </w:rPr>
  </w:style>
  <w:style w:type="paragraph" w:styleId="Title">
    <w:name w:val="Title"/>
    <w:basedOn w:val="Normal"/>
    <w:qFormat/>
    <w:pPr>
      <w:spacing w:after="300"/>
      <w:jc w:val="center"/>
    </w:pPr>
    <w:rPr>
      <w:b/>
      <w:caps/>
      <w:kern w:val="28"/>
      <w:sz w:val="30"/>
    </w:rPr>
  </w:style>
  <w:style w:type="paragraph" w:customStyle="1" w:styleId="preparedby">
    <w:name w:val="preparedby"/>
    <w:basedOn w:val="Normal"/>
    <w:next w:val="Normal"/>
    <w:semiHidden/>
    <w:pPr>
      <w:spacing w:after="600"/>
      <w:jc w:val="center"/>
    </w:pPr>
    <w:rPr>
      <w:i/>
    </w:rPr>
  </w:style>
  <w:style w:type="paragraph" w:customStyle="1" w:styleId="Docoriginal">
    <w:name w:val="Doc_original"/>
    <w:basedOn w:val="Code"/>
    <w:link w:val="DocoriginalChar"/>
    <w:pPr>
      <w:spacing w:before="240" w:line="240" w:lineRule="exact"/>
      <w:ind w:left="0"/>
      <w:contextualSpacing/>
      <w:jc w:val="left"/>
    </w:pPr>
    <w:rPr>
      <w:sz w:val="18"/>
    </w:rPr>
  </w:style>
  <w:style w:type="paragraph" w:customStyle="1" w:styleId="DecisionParagraphs">
    <w:name w:val="DecisionParagraphs"/>
    <w:basedOn w:val="Normal"/>
    <w:pPr>
      <w:tabs>
        <w:tab w:val="left" w:pos="5387"/>
        <w:tab w:val="left" w:pos="5954"/>
      </w:tabs>
      <w:ind w:left="4820"/>
    </w:pPr>
    <w:rPr>
      <w:i/>
    </w:rPr>
  </w:style>
  <w:style w:type="paragraph" w:styleId="FootnoteText">
    <w:name w:val="footnote text"/>
    <w:link w:val="FootnoteTextChar"/>
    <w:autoRedefine/>
    <w:pPr>
      <w:spacing w:before="60"/>
      <w:ind w:left="567" w:hanging="567"/>
      <w:jc w:val="both"/>
    </w:pPr>
    <w:rPr>
      <w:rFonts w:ascii="Arial" w:hAnsi="Arial"/>
      <w:sz w:val="16"/>
    </w:rPr>
  </w:style>
  <w:style w:type="character" w:styleId="FootnoteReference">
    <w:name w:val="footnote reference"/>
    <w:basedOn w:val="DefaultParagraphFont"/>
    <w:rPr>
      <w:vertAlign w:val="superscript"/>
    </w:rPr>
  </w:style>
  <w:style w:type="paragraph" w:styleId="Closing">
    <w:name w:val="Closing"/>
    <w:basedOn w:val="Normal"/>
    <w:pPr>
      <w:ind w:left="4536"/>
      <w:jc w:val="center"/>
    </w:pPr>
  </w:style>
  <w:style w:type="paragraph" w:styleId="Index1">
    <w:name w:val="index 1"/>
    <w:basedOn w:val="Normal"/>
    <w:next w:val="Normal"/>
    <w:semiHidden/>
    <w:pPr>
      <w:tabs>
        <w:tab w:val="right" w:leader="dot" w:pos="9071"/>
      </w:tabs>
      <w:ind w:left="284" w:hanging="284"/>
    </w:pPr>
    <w:rPr>
      <w:sz w:val="24"/>
    </w:rPr>
  </w:style>
  <w:style w:type="paragraph" w:styleId="Index2">
    <w:name w:val="index 2"/>
    <w:basedOn w:val="Normal"/>
    <w:next w:val="Normal"/>
    <w:semiHidden/>
    <w:pPr>
      <w:tabs>
        <w:tab w:val="right" w:leader="dot" w:pos="9071"/>
      </w:tabs>
      <w:ind w:left="568" w:hanging="284"/>
    </w:pPr>
    <w:rPr>
      <w:sz w:val="24"/>
    </w:rPr>
  </w:style>
  <w:style w:type="paragraph" w:styleId="Index3">
    <w:name w:val="index 3"/>
    <w:basedOn w:val="Normal"/>
    <w:next w:val="Normal"/>
    <w:semiHidden/>
    <w:pPr>
      <w:tabs>
        <w:tab w:val="right" w:leader="dot" w:pos="9071"/>
      </w:tabs>
      <w:ind w:left="851" w:hanging="284"/>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pPr>
      <w:ind w:left="4536"/>
      <w:jc w:val="center"/>
    </w:pPr>
  </w:style>
  <w:style w:type="character" w:customStyle="1" w:styleId="Doclang">
    <w:name w:val="Doc_lang"/>
    <w:basedOn w:val="DefaultParagraphFont"/>
    <w:rPr>
      <w:rFonts w:ascii="Arial" w:hAnsi="Arial"/>
      <w:sz w:val="20"/>
      <w:lang w:val="fr-FR"/>
    </w:rPr>
  </w:style>
  <w:style w:type="paragraph" w:customStyle="1" w:styleId="Session">
    <w:name w:val="Session"/>
    <w:basedOn w:val="Normal"/>
    <w:semiHidden/>
    <w:pPr>
      <w:spacing w:before="60"/>
      <w:jc w:val="center"/>
    </w:pPr>
    <w:rPr>
      <w:b/>
    </w:rPr>
  </w:style>
  <w:style w:type="paragraph" w:customStyle="1" w:styleId="Organizer">
    <w:name w:val="Organizer"/>
    <w:basedOn w:val="Normal"/>
    <w:semiHidden/>
    <w:pPr>
      <w:spacing w:after="600"/>
      <w:ind w:left="-993" w:right="-994"/>
      <w:jc w:val="center"/>
    </w:pPr>
    <w:rPr>
      <w:b/>
      <w:caps/>
      <w:kern w:val="26"/>
      <w:sz w:val="26"/>
    </w:rPr>
  </w:style>
  <w:style w:type="paragraph" w:styleId="BodyText">
    <w:name w:val="Body Text"/>
    <w:basedOn w:val="Normal"/>
  </w:style>
  <w:style w:type="paragraph" w:customStyle="1" w:styleId="Disclaimer">
    <w:name w:val="Disclaimer"/>
    <w:next w:val="Normal"/>
    <w:qFormat/>
    <w:pPr>
      <w:spacing w:after="600"/>
    </w:pPr>
    <w:rPr>
      <w:rFonts w:ascii="Arial" w:hAnsi="Arial"/>
      <w:i/>
      <w:iCs/>
      <w:color w:val="A6A6A6" w:themeColor="background1" w:themeShade="A6"/>
    </w:rPr>
  </w:style>
  <w:style w:type="paragraph" w:customStyle="1" w:styleId="upove">
    <w:name w:val="upov_e"/>
    <w:basedOn w:val="Normal"/>
    <w:pPr>
      <w:spacing w:before="120"/>
    </w:pPr>
    <w:rPr>
      <w:sz w:val="16"/>
    </w:rPr>
  </w:style>
  <w:style w:type="paragraph" w:customStyle="1" w:styleId="TitleofDoc">
    <w:name w:val="Title of Doc"/>
    <w:basedOn w:val="Normal"/>
    <w:semiHidden/>
    <w:pPr>
      <w:spacing w:before="1200"/>
      <w:jc w:val="center"/>
    </w:pPr>
    <w:rPr>
      <w:caps/>
    </w:rPr>
  </w:style>
  <w:style w:type="paragraph" w:customStyle="1" w:styleId="preparedby0">
    <w:name w:val="prepared by"/>
    <w:basedOn w:val="Normal"/>
    <w:semiHidden/>
    <w:pPr>
      <w:spacing w:before="600" w:after="600"/>
      <w:jc w:val="center"/>
    </w:pPr>
    <w:rPr>
      <w:i/>
    </w:rPr>
  </w:style>
  <w:style w:type="paragraph" w:customStyle="1" w:styleId="PlaceAndDate">
    <w:name w:val="PlaceAndDate"/>
    <w:basedOn w:val="Session"/>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customStyle="1" w:styleId="SessionMeetingPlace">
    <w:name w:val="Session_MeetingPlace"/>
    <w:basedOn w:val="Normal"/>
    <w:semiHidden/>
    <w:pPr>
      <w:spacing w:before="480"/>
      <w:jc w:val="center"/>
    </w:pPr>
    <w:rPr>
      <w:b/>
      <w:bCs/>
      <w:kern w:val="28"/>
      <w:sz w:val="24"/>
    </w:rPr>
  </w:style>
  <w:style w:type="paragraph" w:customStyle="1" w:styleId="Original">
    <w:name w:val="Original"/>
    <w:basedOn w:val="Normal"/>
    <w:semiHidden/>
    <w:pPr>
      <w:spacing w:before="60"/>
      <w:ind w:left="1276"/>
    </w:pPr>
    <w:rPr>
      <w:b/>
      <w:sz w:val="22"/>
    </w:rPr>
  </w:style>
  <w:style w:type="paragraph" w:styleId="Date">
    <w:name w:val="Date"/>
    <w:basedOn w:val="Normal"/>
    <w:semiHidden/>
    <w:pPr>
      <w:spacing w:line="340" w:lineRule="exact"/>
      <w:ind w:left="1276"/>
    </w:pPr>
    <w:rPr>
      <w:b/>
      <w:sz w:val="22"/>
    </w:rPr>
  </w:style>
  <w:style w:type="paragraph" w:customStyle="1" w:styleId="Code">
    <w:name w:val="Code"/>
    <w:basedOn w:val="Normal"/>
    <w:link w:val="CodeChar"/>
    <w:semiHidden/>
    <w:pPr>
      <w:spacing w:line="340" w:lineRule="atLeast"/>
      <w:ind w:left="1276"/>
    </w:pPr>
    <w:rPr>
      <w:b/>
      <w:bCs/>
      <w:spacing w:val="10"/>
    </w:rPr>
  </w:style>
  <w:style w:type="paragraph" w:customStyle="1" w:styleId="Country">
    <w:name w:val="Country"/>
    <w:basedOn w:val="Normal"/>
    <w:semiHidden/>
    <w:pPr>
      <w:spacing w:before="60" w:after="480"/>
      <w:jc w:val="center"/>
    </w:pPr>
  </w:style>
  <w:style w:type="paragraph" w:customStyle="1" w:styleId="Lettrine">
    <w:name w:val="Lettrine"/>
    <w:basedOn w:val="Normal"/>
    <w:pPr>
      <w:spacing w:line="340" w:lineRule="atLeast"/>
      <w:jc w:val="right"/>
    </w:pPr>
    <w:rPr>
      <w:b/>
      <w:bCs/>
      <w:sz w:val="36"/>
    </w:rPr>
  </w:style>
  <w:style w:type="paragraph" w:customStyle="1" w:styleId="LogoUPOV">
    <w:name w:val="LogoUPOV"/>
    <w:basedOn w:val="Normal"/>
    <w:pPr>
      <w:spacing w:before="600" w:after="80"/>
      <w:jc w:val="center"/>
    </w:pPr>
    <w:rPr>
      <w:snapToGrid w:val="0"/>
    </w:rPr>
  </w:style>
  <w:style w:type="paragraph" w:customStyle="1" w:styleId="Sessiontc">
    <w:name w:val="Session_tc"/>
    <w:basedOn w:val="StyleSessionAllcaps"/>
    <w:pPr>
      <w:spacing w:before="0" w:line="280" w:lineRule="exact"/>
      <w:jc w:val="left"/>
    </w:pPr>
    <w:rPr>
      <w:caps w:val="0"/>
      <w:sz w:val="20"/>
    </w:rPr>
  </w:style>
  <w:style w:type="paragraph" w:customStyle="1" w:styleId="TitreUpov">
    <w:name w:val="TitreUpov"/>
    <w:basedOn w:val="Normal"/>
    <w:semiHidden/>
    <w:pPr>
      <w:spacing w:before="60"/>
      <w:jc w:val="center"/>
    </w:pPr>
    <w:rPr>
      <w:b/>
      <w:sz w:val="24"/>
    </w:rPr>
  </w:style>
  <w:style w:type="paragraph" w:customStyle="1" w:styleId="StyleSessionAllcaps">
    <w:name w:val="Style Session + All caps"/>
    <w:basedOn w:val="Session"/>
    <w:semiHidden/>
    <w:pPr>
      <w:spacing w:before="480"/>
    </w:pPr>
    <w:rPr>
      <w:bCs/>
      <w:caps/>
      <w:kern w:val="28"/>
      <w:sz w:val="24"/>
    </w:rPr>
  </w:style>
  <w:style w:type="paragraph" w:customStyle="1" w:styleId="plcountry">
    <w:name w:val="plcountry"/>
    <w:basedOn w:val="Normal"/>
    <w:pPr>
      <w:keepNext/>
      <w:keepLines/>
      <w:spacing w:before="180" w:after="120"/>
      <w:jc w:val="left"/>
    </w:pPr>
    <w:rPr>
      <w:caps/>
      <w:noProof/>
      <w:snapToGrid w:val="0"/>
      <w:u w:val="single"/>
    </w:rPr>
  </w:style>
  <w:style w:type="paragraph" w:customStyle="1" w:styleId="pldetails">
    <w:name w:val="pldetails"/>
    <w:basedOn w:val="Normal"/>
    <w:pPr>
      <w:keepLines/>
      <w:spacing w:before="60" w:after="60"/>
      <w:jc w:val="left"/>
    </w:pPr>
    <w:rPr>
      <w:noProof/>
      <w:snapToGrid w:val="0"/>
    </w:rPr>
  </w:style>
  <w:style w:type="paragraph" w:customStyle="1" w:styleId="plheading">
    <w:name w:val="plheading"/>
    <w:basedOn w:val="Normal"/>
    <w:pPr>
      <w:keepNext/>
      <w:spacing w:before="480" w:after="120"/>
      <w:jc w:val="center"/>
    </w:pPr>
    <w:rPr>
      <w:caps/>
      <w:snapToGrid w:val="0"/>
      <w:u w:val="single"/>
    </w:rPr>
  </w:style>
  <w:style w:type="paragraph" w:customStyle="1" w:styleId="Sessiontcplacedate">
    <w:name w:val="Session_tc_place_date"/>
    <w:basedOn w:val="SessionMeetingPlace"/>
    <w:pPr>
      <w:spacing w:before="240"/>
      <w:contextualSpacing/>
      <w:jc w:val="left"/>
    </w:pPr>
    <w:rPr>
      <w:sz w:val="20"/>
    </w:rPr>
  </w:style>
  <w:style w:type="paragraph" w:customStyle="1" w:styleId="Titleofdoc0">
    <w:name w:val="Title_of_doc"/>
    <w:basedOn w:val="TitleofDoc"/>
    <w:pPr>
      <w:spacing w:before="600" w:after="240"/>
      <w:jc w:val="left"/>
    </w:pPr>
    <w:rPr>
      <w:b/>
    </w:rPr>
  </w:style>
  <w:style w:type="paragraph" w:customStyle="1" w:styleId="preparedby1">
    <w:name w:val="prepared_by"/>
    <w:basedOn w:val="preparedby0"/>
    <w:pPr>
      <w:spacing w:before="0" w:after="240"/>
    </w:pPr>
    <w:rPr>
      <w:iCs/>
    </w:rPr>
  </w:style>
  <w:style w:type="character" w:customStyle="1" w:styleId="CodeChar">
    <w:name w:val="Code Char"/>
    <w:basedOn w:val="DefaultParagraphFont"/>
    <w:link w:val="Code"/>
    <w:rPr>
      <w:rFonts w:ascii="Arial" w:hAnsi="Arial"/>
      <w:b/>
      <w:bCs/>
      <w:spacing w:val="10"/>
      <w:lang w:val="fr-FR" w:eastAsia="en-US" w:bidi="ar-SA"/>
    </w:rPr>
  </w:style>
  <w:style w:type="paragraph" w:customStyle="1" w:styleId="endofdoc">
    <w:name w:val="end_of_doc"/>
    <w:next w:val="Header"/>
    <w:autoRedefine/>
    <w:pPr>
      <w:spacing w:before="480"/>
      <w:ind w:left="567" w:hanging="567"/>
      <w:jc w:val="right"/>
    </w:pPr>
    <w:rPr>
      <w:rFonts w:ascii="Arial" w:hAnsi="Arial"/>
    </w:rPr>
  </w:style>
  <w:style w:type="character" w:customStyle="1" w:styleId="DocoriginalChar">
    <w:name w:val="Doc_original Char"/>
    <w:basedOn w:val="CodeChar"/>
    <w:link w:val="Docoriginal"/>
    <w:rPr>
      <w:rFonts w:ascii="Arial" w:hAnsi="Arial"/>
      <w:b/>
      <w:bCs/>
      <w:spacing w:val="10"/>
      <w:sz w:val="18"/>
      <w:lang w:val="fr-FR" w:eastAsia="en-US" w:bidi="ar-SA"/>
    </w:rPr>
  </w:style>
  <w:style w:type="paragraph" w:styleId="TOC2">
    <w:name w:val="toc 2"/>
    <w:basedOn w:val="Normal"/>
    <w:next w:val="Normal"/>
    <w:autoRedefine/>
    <w:uiPriority w:val="39"/>
    <w:pPr>
      <w:tabs>
        <w:tab w:val="right" w:leader="dot" w:pos="9639"/>
      </w:tabs>
      <w:ind w:left="568" w:right="851" w:hanging="284"/>
      <w:contextualSpacing/>
      <w:jc w:val="left"/>
    </w:pPr>
    <w:rPr>
      <w:sz w:val="18"/>
    </w:rPr>
  </w:style>
  <w:style w:type="paragraph" w:styleId="TOC3">
    <w:name w:val="toc 3"/>
    <w:next w:val="Normal"/>
    <w:autoRedefine/>
    <w:uiPriority w:val="39"/>
    <w:pPr>
      <w:tabs>
        <w:tab w:val="right" w:leader="dot" w:pos="9639"/>
      </w:tabs>
      <w:spacing w:after="120"/>
      <w:ind w:left="568" w:right="851" w:hanging="284"/>
    </w:pPr>
    <w:rPr>
      <w:rFonts w:ascii="Arial" w:hAnsi="Arial"/>
      <w:sz w:val="18"/>
    </w:rPr>
  </w:style>
  <w:style w:type="character" w:styleId="Hyperlink">
    <w:name w:val="Hyperlink"/>
    <w:basedOn w:val="DefaultParagraphFont"/>
    <w:uiPriority w:val="99"/>
    <w:rPr>
      <w:rFonts w:ascii="Arial" w:hAnsi="Arial"/>
      <w:color w:val="0000FF"/>
      <w:u w:val="single"/>
    </w:rPr>
  </w:style>
  <w:style w:type="paragraph" w:styleId="TOC4">
    <w:name w:val="toc 4"/>
    <w:next w:val="Normal"/>
    <w:autoRedefine/>
    <w:pPr>
      <w:tabs>
        <w:tab w:val="right" w:leader="dot" w:pos="9639"/>
      </w:tabs>
      <w:spacing w:after="120"/>
      <w:ind w:left="738" w:right="851" w:hanging="284"/>
    </w:pPr>
    <w:rPr>
      <w:rFonts w:ascii="Arial" w:hAnsi="Arial"/>
      <w:i/>
      <w:sz w:val="18"/>
    </w:rPr>
  </w:style>
  <w:style w:type="paragraph" w:styleId="TOC1">
    <w:name w:val="toc 1"/>
    <w:basedOn w:val="Normal"/>
    <w:next w:val="Normal"/>
    <w:autoRedefine/>
    <w:uiPriority w:val="39"/>
    <w:pPr>
      <w:tabs>
        <w:tab w:val="right" w:leader="dot" w:pos="9639"/>
      </w:tabs>
      <w:spacing w:before="60"/>
      <w:ind w:right="1418"/>
      <w:jc w:val="left"/>
    </w:pPr>
    <w:rPr>
      <w:caps/>
      <w:sz w:val="18"/>
    </w:rPr>
  </w:style>
  <w:style w:type="paragraph" w:styleId="TOC5">
    <w:name w:val="toc 5"/>
    <w:next w:val="Normal"/>
    <w:autoRedefine/>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Doccode">
    <w:name w:val="Doc_code"/>
    <w:qFormat/>
    <w:rPr>
      <w:rFonts w:ascii="Arial" w:hAnsi="Arial"/>
      <w:b/>
      <w:bCs/>
      <w:spacing w:val="10"/>
      <w:sz w:val="18"/>
    </w:rPr>
  </w:style>
  <w:style w:type="character" w:customStyle="1" w:styleId="Heading3Char">
    <w:name w:val="Heading 3 Char"/>
    <w:basedOn w:val="DefaultParagraphFont"/>
    <w:link w:val="Heading3"/>
    <w:rPr>
      <w:rFonts w:ascii="Arial" w:hAnsi="Arial"/>
      <w:i/>
    </w:rPr>
  </w:style>
  <w:style w:type="character" w:customStyle="1" w:styleId="FootnoteTextChar">
    <w:name w:val="Footnote Text Char"/>
    <w:basedOn w:val="DefaultParagraphFont"/>
    <w:link w:val="FootnoteText"/>
    <w:rPr>
      <w:rFonts w:ascii="Arial" w:hAnsi="Arial"/>
      <w:sz w:val="16"/>
    </w:rPr>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style>
  <w:style w:type="character" w:customStyle="1" w:styleId="CommentTextChar">
    <w:name w:val="Comment Text Char"/>
    <w:basedOn w:val="DefaultParagraphFont"/>
    <w:link w:val="CommentText"/>
    <w:semiHidden/>
    <w:rPr>
      <w:rFonts w:ascii="Arial" w:hAnsi="Arial"/>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Arial" w:hAnsi="Arial"/>
      <w:b/>
      <w:bCs/>
    </w:rPr>
  </w:style>
  <w:style w:type="paragraph" w:styleId="Revision">
    <w:name w:val="Revision"/>
    <w:hidden/>
    <w:uiPriority w:val="99"/>
    <w:semiHidden/>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752574">
      <w:bodyDiv w:val="1"/>
      <w:marLeft w:val="0"/>
      <w:marRight w:val="0"/>
      <w:marTop w:val="0"/>
      <w:marBottom w:val="0"/>
      <w:divBdr>
        <w:top w:val="none" w:sz="0" w:space="0" w:color="auto"/>
        <w:left w:val="none" w:sz="0" w:space="0" w:color="auto"/>
        <w:bottom w:val="none" w:sz="0" w:space="0" w:color="auto"/>
        <w:right w:val="none" w:sz="0" w:space="0" w:color="auto"/>
      </w:divBdr>
      <w:divsChild>
        <w:div w:id="1903635172">
          <w:marLeft w:val="562"/>
          <w:marRight w:val="0"/>
          <w:marTop w:val="0"/>
          <w:marBottom w:val="0"/>
          <w:divBdr>
            <w:top w:val="none" w:sz="0" w:space="0" w:color="auto"/>
            <w:left w:val="none" w:sz="0" w:space="0" w:color="auto"/>
            <w:bottom w:val="none" w:sz="0" w:space="0" w:color="auto"/>
            <w:right w:val="none" w:sz="0" w:space="0" w:color="auto"/>
          </w:divBdr>
        </w:div>
      </w:divsChild>
    </w:div>
    <w:div w:id="584532524">
      <w:bodyDiv w:val="1"/>
      <w:marLeft w:val="0"/>
      <w:marRight w:val="0"/>
      <w:marTop w:val="0"/>
      <w:marBottom w:val="0"/>
      <w:divBdr>
        <w:top w:val="none" w:sz="0" w:space="0" w:color="auto"/>
        <w:left w:val="none" w:sz="0" w:space="0" w:color="auto"/>
        <w:bottom w:val="none" w:sz="0" w:space="0" w:color="auto"/>
        <w:right w:val="none" w:sz="0" w:space="0" w:color="auto"/>
      </w:divBdr>
    </w:div>
    <w:div w:id="1131091945">
      <w:bodyDiv w:val="1"/>
      <w:marLeft w:val="0"/>
      <w:marRight w:val="0"/>
      <w:marTop w:val="0"/>
      <w:marBottom w:val="0"/>
      <w:divBdr>
        <w:top w:val="none" w:sz="0" w:space="0" w:color="auto"/>
        <w:left w:val="none" w:sz="0" w:space="0" w:color="auto"/>
        <w:bottom w:val="none" w:sz="0" w:space="0" w:color="auto"/>
        <w:right w:val="none" w:sz="0" w:space="0" w:color="auto"/>
      </w:divBdr>
    </w:div>
    <w:div w:id="1633706422">
      <w:bodyDiv w:val="1"/>
      <w:marLeft w:val="0"/>
      <w:marRight w:val="0"/>
      <w:marTop w:val="0"/>
      <w:marBottom w:val="0"/>
      <w:divBdr>
        <w:top w:val="none" w:sz="0" w:space="0" w:color="auto"/>
        <w:left w:val="none" w:sz="0" w:space="0" w:color="auto"/>
        <w:bottom w:val="none" w:sz="0" w:space="0" w:color="auto"/>
        <w:right w:val="none" w:sz="0" w:space="0" w:color="auto"/>
      </w:divBdr>
    </w:div>
    <w:div w:id="17280657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upov.mail@upov.int"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pov.mail@upov.int"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4.xml"/><Relationship Id="rId10" Type="http://schemas.openxmlformats.org/officeDocument/2006/relationships/hyperlink" Target="https://www.upov.int/databases/fr/contact_cooperation.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upov.mail@upov.int" TargetMode="External"/><Relationship Id="rId14" Type="http://schemas.openxmlformats.org/officeDocument/2006/relationships/image" Target="media/image3.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36451F-9F2D-4397-B7F7-89860EAF3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3384</Words>
  <Characters>19807</Characters>
  <Application>Microsoft Office Word</Application>
  <DocSecurity>0</DocSecurity>
  <Lines>165</Lines>
  <Paragraphs>46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TC/58</vt:lpstr>
      <vt:lpstr>TC/57</vt:lpstr>
    </vt:vector>
  </TitlesOfParts>
  <Company>UPOV</Company>
  <LinksUpToDate>false</LinksUpToDate>
  <CharactersWithSpaces>23145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TC/58</dc:title>
  <dc:subject/>
  <dc:creator>MAY Jessica</dc:creator>
  <cp:keywords/>
  <dc:description/>
  <cp:lastModifiedBy>MAY Jessica</cp:lastModifiedBy>
  <cp:revision>40</cp:revision>
  <cp:lastPrinted>2016-11-22T15:41:00Z</cp:lastPrinted>
  <dcterms:created xsi:type="dcterms:W3CDTF">2022-10-10T16:24:00Z</dcterms:created>
  <dcterms:modified xsi:type="dcterms:W3CDTF">2022-10-20T14:01:00Z</dcterms:modified>
</cp:coreProperties>
</file>