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7414F" w14:paraId="66F0C772" w14:textId="77777777" w:rsidTr="00EB4E9C">
        <w:tc>
          <w:tcPr>
            <w:tcW w:w="6522" w:type="dxa"/>
          </w:tcPr>
          <w:p w14:paraId="2253DDAA" w14:textId="77777777" w:rsidR="00DC3802" w:rsidRPr="0007414F" w:rsidRDefault="00DC3802" w:rsidP="00AC2883">
            <w:pPr>
              <w:rPr>
                <w:lang w:val="fr-FR"/>
              </w:rPr>
            </w:pPr>
            <w:r w:rsidRPr="0007414F">
              <w:rPr>
                <w:noProof/>
              </w:rPr>
              <w:drawing>
                <wp:inline distT="0" distB="0" distL="0" distR="0" wp14:anchorId="2A77EDD2" wp14:editId="55EB5E6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66B8C44" w14:textId="2F68B05D" w:rsidR="00DC3802" w:rsidRPr="0007414F" w:rsidRDefault="0007414F" w:rsidP="00AC2883">
            <w:pPr>
              <w:pStyle w:val="Lettrine"/>
              <w:rPr>
                <w:lang w:val="fr-FR"/>
              </w:rPr>
            </w:pPr>
            <w:r w:rsidRPr="0007414F">
              <w:rPr>
                <w:lang w:val="fr-FR"/>
              </w:rPr>
              <w:t>F</w:t>
            </w:r>
          </w:p>
        </w:tc>
      </w:tr>
      <w:tr w:rsidR="00DC3802" w:rsidRPr="00085711" w14:paraId="3CD9502B" w14:textId="77777777" w:rsidTr="00645CA8">
        <w:trPr>
          <w:trHeight w:val="219"/>
        </w:trPr>
        <w:tc>
          <w:tcPr>
            <w:tcW w:w="6522" w:type="dxa"/>
          </w:tcPr>
          <w:p w14:paraId="3E2049D7" w14:textId="63191ECD" w:rsidR="00DC3802" w:rsidRPr="0007414F" w:rsidRDefault="0007414F" w:rsidP="00AC2883">
            <w:pPr>
              <w:pStyle w:val="upove"/>
              <w:rPr>
                <w:lang w:val="fr-FR"/>
              </w:rPr>
            </w:pPr>
            <w:r w:rsidRPr="0007414F">
              <w:rPr>
                <w:lang w:val="fr-FR"/>
              </w:rPr>
              <w:t>Union internationale pour la protection des obtentions végétales</w:t>
            </w:r>
          </w:p>
        </w:tc>
        <w:tc>
          <w:tcPr>
            <w:tcW w:w="3117" w:type="dxa"/>
          </w:tcPr>
          <w:p w14:paraId="77BD8662" w14:textId="77777777" w:rsidR="00DC3802" w:rsidRPr="0007414F" w:rsidRDefault="00DC3802" w:rsidP="00DA4973">
            <w:pPr>
              <w:rPr>
                <w:lang w:val="fr-FR"/>
              </w:rPr>
            </w:pPr>
          </w:p>
        </w:tc>
      </w:tr>
    </w:tbl>
    <w:p w14:paraId="77E5511E" w14:textId="77777777" w:rsidR="00DC3802" w:rsidRPr="0007414F" w:rsidRDefault="00DC3802" w:rsidP="00DC3802">
      <w:pPr>
        <w:rPr>
          <w:lang w:val="fr-FR"/>
        </w:rPr>
      </w:pPr>
    </w:p>
    <w:p w14:paraId="3365E163" w14:textId="77777777" w:rsidR="00445B73" w:rsidRPr="0007414F" w:rsidRDefault="00445B73" w:rsidP="00445B73">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1"/>
        <w:gridCol w:w="3128"/>
      </w:tblGrid>
      <w:tr w:rsidR="00445B73" w:rsidRPr="00085711" w14:paraId="23AEC7DE" w14:textId="77777777" w:rsidTr="00A720D4">
        <w:tc>
          <w:tcPr>
            <w:tcW w:w="6511" w:type="dxa"/>
          </w:tcPr>
          <w:p w14:paraId="6684659C" w14:textId="5EB8A615" w:rsidR="00445B73" w:rsidRPr="0007414F" w:rsidRDefault="00445B73" w:rsidP="004C24E1">
            <w:pPr>
              <w:pStyle w:val="Sessiontc"/>
              <w:spacing w:line="240" w:lineRule="auto"/>
              <w:rPr>
                <w:lang w:val="fr-FR"/>
              </w:rPr>
            </w:pPr>
            <w:r w:rsidRPr="0007414F">
              <w:rPr>
                <w:lang w:val="fr-FR"/>
              </w:rPr>
              <w:t>Comit</w:t>
            </w:r>
            <w:r w:rsidR="0007414F" w:rsidRPr="0007414F">
              <w:rPr>
                <w:lang w:val="fr-FR"/>
              </w:rPr>
              <w:t>é techniqu</w:t>
            </w:r>
            <w:r w:rsidRPr="0007414F">
              <w:rPr>
                <w:lang w:val="fr-FR"/>
              </w:rPr>
              <w:t>e</w:t>
            </w:r>
          </w:p>
          <w:p w14:paraId="003AF8ED" w14:textId="339EA2EF" w:rsidR="00445B73" w:rsidRPr="0007414F" w:rsidRDefault="0007414F" w:rsidP="004C24E1">
            <w:pPr>
              <w:pStyle w:val="Sessiontcplacedate"/>
              <w:rPr>
                <w:sz w:val="22"/>
                <w:lang w:val="fr-FR"/>
              </w:rPr>
            </w:pPr>
            <w:r w:rsidRPr="0007414F">
              <w:rPr>
                <w:lang w:val="fr-FR"/>
              </w:rPr>
              <w:t>Cinquante</w:t>
            </w:r>
            <w:r w:rsidR="006E7E88">
              <w:rPr>
                <w:lang w:val="fr-FR"/>
              </w:rPr>
              <w:noBreakHyphen/>
            </w:r>
            <w:r w:rsidRPr="0007414F">
              <w:rPr>
                <w:lang w:val="fr-FR"/>
              </w:rPr>
              <w:t>huit</w:t>
            </w:r>
            <w:r w:rsidR="00D639EE">
              <w:rPr>
                <w:lang w:val="fr-FR"/>
              </w:rPr>
              <w:t>ième session</w:t>
            </w:r>
            <w:r w:rsidR="00445B73" w:rsidRPr="0007414F">
              <w:rPr>
                <w:lang w:val="fr-FR"/>
              </w:rPr>
              <w:br/>
            </w:r>
            <w:r w:rsidR="00E01128" w:rsidRPr="0007414F">
              <w:rPr>
                <w:lang w:val="fr-FR"/>
              </w:rPr>
              <w:t>Gen</w:t>
            </w:r>
            <w:r w:rsidRPr="0007414F">
              <w:rPr>
                <w:lang w:val="fr-FR"/>
              </w:rPr>
              <w:t>è</w:t>
            </w:r>
            <w:r w:rsidR="00E01128" w:rsidRPr="0007414F">
              <w:rPr>
                <w:lang w:val="fr-FR"/>
              </w:rPr>
              <w:t>v</w:t>
            </w:r>
            <w:r w:rsidRPr="0007414F">
              <w:rPr>
                <w:lang w:val="fr-FR"/>
              </w:rPr>
              <w:t>e</w:t>
            </w:r>
            <w:r w:rsidR="00E01128" w:rsidRPr="0007414F">
              <w:rPr>
                <w:lang w:val="fr-FR"/>
              </w:rPr>
              <w:t xml:space="preserve">, </w:t>
            </w:r>
            <w:r w:rsidRPr="0007414F">
              <w:rPr>
                <w:lang w:val="fr-FR"/>
              </w:rPr>
              <w:t>24 et 2</w:t>
            </w:r>
            <w:r w:rsidR="00D639EE" w:rsidRPr="0007414F">
              <w:rPr>
                <w:lang w:val="fr-FR"/>
              </w:rPr>
              <w:t>5</w:t>
            </w:r>
            <w:r w:rsidR="00D639EE">
              <w:rPr>
                <w:lang w:val="fr-FR"/>
              </w:rPr>
              <w:t> </w:t>
            </w:r>
            <w:r w:rsidR="00D639EE" w:rsidRPr="0007414F">
              <w:rPr>
                <w:lang w:val="fr-FR"/>
              </w:rPr>
              <w:t>octobre</w:t>
            </w:r>
            <w:r w:rsidR="00D639EE">
              <w:rPr>
                <w:lang w:val="fr-FR"/>
              </w:rPr>
              <w:t> </w:t>
            </w:r>
            <w:r w:rsidR="00D639EE" w:rsidRPr="0007414F">
              <w:rPr>
                <w:lang w:val="fr-FR"/>
              </w:rPr>
              <w:t>20</w:t>
            </w:r>
            <w:r w:rsidR="00E01128" w:rsidRPr="0007414F">
              <w:rPr>
                <w:lang w:val="fr-FR"/>
              </w:rPr>
              <w:t>22</w:t>
            </w:r>
          </w:p>
        </w:tc>
        <w:tc>
          <w:tcPr>
            <w:tcW w:w="3128" w:type="dxa"/>
          </w:tcPr>
          <w:p w14:paraId="716C5B1C" w14:textId="77777777" w:rsidR="00445B73" w:rsidRPr="0007414F" w:rsidRDefault="00E01128" w:rsidP="004C24E1">
            <w:pPr>
              <w:pStyle w:val="Doccode"/>
              <w:rPr>
                <w:lang w:val="fr-FR"/>
              </w:rPr>
            </w:pPr>
            <w:r w:rsidRPr="0007414F">
              <w:rPr>
                <w:lang w:val="fr-FR"/>
              </w:rPr>
              <w:t>TC/58</w:t>
            </w:r>
            <w:r w:rsidR="00F62FC5" w:rsidRPr="0007414F">
              <w:rPr>
                <w:lang w:val="fr-FR"/>
              </w:rPr>
              <w:t>/</w:t>
            </w:r>
            <w:r w:rsidRPr="0007414F">
              <w:rPr>
                <w:lang w:val="fr-FR"/>
              </w:rPr>
              <w:t>7</w:t>
            </w:r>
          </w:p>
          <w:p w14:paraId="64F03828" w14:textId="6C565B8F" w:rsidR="00445B73" w:rsidRPr="0007414F" w:rsidRDefault="00445B73" w:rsidP="004C24E1">
            <w:pPr>
              <w:pStyle w:val="Docoriginal"/>
              <w:rPr>
                <w:lang w:val="fr-FR"/>
              </w:rPr>
            </w:pPr>
            <w:r w:rsidRPr="0007414F">
              <w:rPr>
                <w:lang w:val="fr-FR"/>
              </w:rPr>
              <w:t>Original</w:t>
            </w:r>
            <w:r w:rsidR="00D639EE">
              <w:rPr>
                <w:lang w:val="fr-FR"/>
              </w:rPr>
              <w:t> :</w:t>
            </w:r>
            <w:r w:rsidRPr="0007414F">
              <w:rPr>
                <w:b w:val="0"/>
                <w:spacing w:val="0"/>
                <w:lang w:val="fr-FR"/>
              </w:rPr>
              <w:t xml:space="preserve"> </w:t>
            </w:r>
            <w:r w:rsidR="0007414F" w:rsidRPr="0007414F">
              <w:rPr>
                <w:b w:val="0"/>
                <w:spacing w:val="0"/>
                <w:lang w:val="fr-FR"/>
              </w:rPr>
              <w:t>anglais</w:t>
            </w:r>
          </w:p>
          <w:p w14:paraId="6EA74FD6" w14:textId="1C4FA254" w:rsidR="00445B73" w:rsidRPr="0007414F" w:rsidRDefault="00445B73" w:rsidP="00EB517B">
            <w:pPr>
              <w:pStyle w:val="Docoriginal"/>
              <w:rPr>
                <w:lang w:val="fr-FR"/>
              </w:rPr>
            </w:pPr>
            <w:r w:rsidRPr="0007414F">
              <w:rPr>
                <w:lang w:val="fr-FR"/>
              </w:rPr>
              <w:t>Date</w:t>
            </w:r>
            <w:r w:rsidR="00D639EE">
              <w:rPr>
                <w:lang w:val="fr-FR"/>
              </w:rPr>
              <w:t> :</w:t>
            </w:r>
            <w:r w:rsidRPr="0007414F">
              <w:rPr>
                <w:b w:val="0"/>
                <w:spacing w:val="0"/>
                <w:lang w:val="fr-FR"/>
              </w:rPr>
              <w:t xml:space="preserve"> </w:t>
            </w:r>
            <w:r w:rsidR="00D639EE" w:rsidRPr="0007414F">
              <w:rPr>
                <w:b w:val="0"/>
                <w:spacing w:val="0"/>
                <w:lang w:val="fr-FR"/>
              </w:rPr>
              <w:t>6</w:t>
            </w:r>
            <w:r w:rsidR="00D639EE">
              <w:rPr>
                <w:b w:val="0"/>
                <w:spacing w:val="0"/>
                <w:lang w:val="fr-FR"/>
              </w:rPr>
              <w:t> </w:t>
            </w:r>
            <w:r w:rsidR="00D639EE" w:rsidRPr="0007414F">
              <w:rPr>
                <w:b w:val="0"/>
                <w:spacing w:val="0"/>
                <w:lang w:val="fr-FR"/>
              </w:rPr>
              <w:t>octobre</w:t>
            </w:r>
            <w:r w:rsidR="00D639EE">
              <w:rPr>
                <w:b w:val="0"/>
                <w:spacing w:val="0"/>
                <w:lang w:val="fr-FR"/>
              </w:rPr>
              <w:t> </w:t>
            </w:r>
            <w:r w:rsidR="00D639EE" w:rsidRPr="0007414F">
              <w:rPr>
                <w:b w:val="0"/>
                <w:spacing w:val="0"/>
                <w:lang w:val="fr-FR"/>
              </w:rPr>
              <w:t>20</w:t>
            </w:r>
            <w:r w:rsidRPr="0007414F">
              <w:rPr>
                <w:b w:val="0"/>
                <w:spacing w:val="0"/>
                <w:lang w:val="fr-FR"/>
              </w:rPr>
              <w:t>2</w:t>
            </w:r>
            <w:r w:rsidR="00E01128" w:rsidRPr="0007414F">
              <w:rPr>
                <w:b w:val="0"/>
                <w:spacing w:val="0"/>
                <w:lang w:val="fr-FR"/>
              </w:rPr>
              <w:t>2</w:t>
            </w:r>
          </w:p>
        </w:tc>
      </w:tr>
    </w:tbl>
    <w:p w14:paraId="033664B2" w14:textId="171CAD71" w:rsidR="00445B73" w:rsidRPr="0007414F" w:rsidRDefault="00F62FC5" w:rsidP="00445B73">
      <w:pPr>
        <w:pStyle w:val="Titleofdoc0"/>
        <w:rPr>
          <w:lang w:val="fr-FR"/>
        </w:rPr>
      </w:pPr>
      <w:r w:rsidRPr="0007414F">
        <w:rPr>
          <w:lang w:val="fr-FR"/>
        </w:rPr>
        <w:t>techniques</w:t>
      </w:r>
      <w:r w:rsidR="0007414F" w:rsidRPr="0007414F">
        <w:rPr>
          <w:lang w:val="fr-FR"/>
        </w:rPr>
        <w:t xml:space="preserve"> moléculaires</w:t>
      </w:r>
    </w:p>
    <w:p w14:paraId="58C1BA5C" w14:textId="22517E6B" w:rsidR="00445B73" w:rsidRPr="0007414F" w:rsidRDefault="00445B73" w:rsidP="00445B73">
      <w:pPr>
        <w:pStyle w:val="preparedby1"/>
        <w:jc w:val="left"/>
        <w:rPr>
          <w:lang w:val="fr-FR"/>
        </w:rPr>
      </w:pPr>
      <w:bookmarkStart w:id="0" w:name="Prepared"/>
      <w:bookmarkEnd w:id="0"/>
      <w:r w:rsidRPr="0007414F">
        <w:rPr>
          <w:lang w:val="fr-FR"/>
        </w:rPr>
        <w:t xml:space="preserve">Document </w:t>
      </w:r>
      <w:r w:rsidR="0007414F">
        <w:rPr>
          <w:lang w:val="fr-FR"/>
        </w:rPr>
        <w:t>établi par le Bureau de l</w:t>
      </w:r>
      <w:r w:rsidR="00D639EE">
        <w:rPr>
          <w:lang w:val="fr-FR"/>
        </w:rPr>
        <w:t>’</w:t>
      </w:r>
      <w:r w:rsidRPr="0007414F">
        <w:rPr>
          <w:lang w:val="fr-FR"/>
        </w:rPr>
        <w:t>Union</w:t>
      </w:r>
    </w:p>
    <w:p w14:paraId="1B173005" w14:textId="58152F40" w:rsidR="00445B73" w:rsidRPr="0007414F" w:rsidRDefault="0007414F" w:rsidP="00445B73">
      <w:pPr>
        <w:pStyle w:val="Disclaimer"/>
        <w:rPr>
          <w:lang w:val="fr-FR"/>
        </w:rPr>
      </w:pPr>
      <w:r w:rsidRPr="0007414F">
        <w:rPr>
          <w:lang w:val="fr-FR"/>
        </w:rPr>
        <w:t>Avertissement</w:t>
      </w:r>
      <w:r w:rsidR="00D639EE">
        <w:rPr>
          <w:lang w:val="fr-FR"/>
        </w:rPr>
        <w:t> :</w:t>
      </w:r>
      <w:r w:rsidRPr="0007414F">
        <w:rPr>
          <w:lang w:val="fr-FR"/>
        </w:rPr>
        <w:t xml:space="preserve"> le présent document ne représente pas les principes ou les orientations de l</w:t>
      </w:r>
      <w:r w:rsidR="00D639EE">
        <w:rPr>
          <w:lang w:val="fr-FR"/>
        </w:rPr>
        <w:t>’</w:t>
      </w:r>
      <w:r w:rsidRPr="0007414F">
        <w:rPr>
          <w:lang w:val="fr-FR"/>
        </w:rPr>
        <w:t>UPOV</w:t>
      </w:r>
    </w:p>
    <w:p w14:paraId="6399FD11" w14:textId="4B43F291" w:rsidR="00A36448" w:rsidRPr="0007414F" w:rsidRDefault="006E7E88" w:rsidP="00A36448">
      <w:pPr>
        <w:pStyle w:val="Heading1"/>
        <w:rPr>
          <w:snapToGrid w:val="0"/>
          <w:lang w:val="fr-FR" w:eastAsia="ja-JP"/>
        </w:rPr>
      </w:pPr>
      <w:bookmarkStart w:id="1" w:name="_Toc115819531"/>
      <w:bookmarkStart w:id="2" w:name="_Toc116986211"/>
      <w:r>
        <w:rPr>
          <w:snapToGrid w:val="0"/>
          <w:lang w:val="fr-FR" w:eastAsia="ja-JP"/>
        </w:rPr>
        <w:t>R</w:t>
      </w:r>
      <w:r w:rsidR="00583353">
        <w:rPr>
          <w:snapToGrid w:val="0"/>
          <w:lang w:val="fr-FR" w:eastAsia="ja-JP"/>
        </w:rPr>
        <w:t>ésumé</w:t>
      </w:r>
      <w:bookmarkEnd w:id="1"/>
      <w:bookmarkEnd w:id="2"/>
    </w:p>
    <w:p w14:paraId="258E596F" w14:textId="77777777" w:rsidR="00A36448" w:rsidRPr="0007414F" w:rsidRDefault="00A36448" w:rsidP="00A36448">
      <w:pPr>
        <w:rPr>
          <w:lang w:val="fr-FR" w:eastAsia="ja-JP"/>
        </w:rPr>
      </w:pPr>
    </w:p>
    <w:p w14:paraId="2DFE2207" w14:textId="4DD180EA" w:rsidR="00D639EE" w:rsidRDefault="00A36448" w:rsidP="00085711">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583353">
        <w:rPr>
          <w:lang w:val="fr-FR"/>
        </w:rPr>
        <w:t xml:space="preserve">Le présent </w:t>
      </w:r>
      <w:r w:rsidRPr="0007414F">
        <w:rPr>
          <w:lang w:val="fr-FR"/>
        </w:rPr>
        <w:t xml:space="preserve">document </w:t>
      </w:r>
      <w:r w:rsidR="00583353">
        <w:rPr>
          <w:lang w:val="fr-FR"/>
        </w:rPr>
        <w:t>a pour objet de rendre compte de</w:t>
      </w:r>
      <w:r w:rsidR="008E7295">
        <w:rPr>
          <w:lang w:val="fr-FR"/>
        </w:rPr>
        <w:t>s faits nouveaux</w:t>
      </w:r>
      <w:r w:rsidR="00583353">
        <w:rPr>
          <w:lang w:val="fr-FR"/>
        </w:rPr>
        <w:t xml:space="preserve"> </w:t>
      </w:r>
      <w:r w:rsidR="008E7295">
        <w:rPr>
          <w:lang w:val="fr-FR"/>
        </w:rPr>
        <w:t>concernant les</w:t>
      </w:r>
      <w:r w:rsidR="00583353">
        <w:rPr>
          <w:lang w:val="fr-FR"/>
        </w:rPr>
        <w:t xml:space="preserve"> techniques moléculaires</w:t>
      </w:r>
      <w:r w:rsidR="0039171E" w:rsidRPr="0007414F">
        <w:rPr>
          <w:lang w:val="fr-FR"/>
        </w:rPr>
        <w:t xml:space="preserve"> </w:t>
      </w:r>
      <w:r w:rsidR="00583353">
        <w:rPr>
          <w:lang w:val="fr-FR"/>
        </w:rPr>
        <w:t>et d</w:t>
      </w:r>
      <w:r w:rsidR="00D639EE">
        <w:rPr>
          <w:lang w:val="fr-FR"/>
        </w:rPr>
        <w:t>’</w:t>
      </w:r>
      <w:r w:rsidR="0039171E" w:rsidRPr="0007414F">
        <w:rPr>
          <w:lang w:val="fr-FR"/>
        </w:rPr>
        <w:t>invite</w:t>
      </w:r>
      <w:r w:rsidR="00583353">
        <w:rPr>
          <w:lang w:val="fr-FR"/>
        </w:rPr>
        <w:t>r</w:t>
      </w:r>
      <w:r w:rsidR="0039171E" w:rsidRPr="0007414F">
        <w:rPr>
          <w:lang w:val="fr-FR"/>
        </w:rPr>
        <w:t xml:space="preserve"> </w:t>
      </w:r>
      <w:r w:rsidR="00583353">
        <w:rPr>
          <w:lang w:val="fr-FR"/>
        </w:rPr>
        <w:t>l</w:t>
      </w:r>
      <w:r w:rsidR="0039171E" w:rsidRPr="0007414F">
        <w:rPr>
          <w:rFonts w:cs="Arial"/>
          <w:lang w:val="fr-FR"/>
        </w:rPr>
        <w:t xml:space="preserve">e </w:t>
      </w:r>
      <w:r w:rsidR="00583353">
        <w:rPr>
          <w:rFonts w:cs="Arial"/>
          <w:lang w:val="fr-FR"/>
        </w:rPr>
        <w:t>Comité technique</w:t>
      </w:r>
      <w:r w:rsidR="0039171E" w:rsidRPr="0007414F">
        <w:rPr>
          <w:rFonts w:cs="Arial"/>
          <w:lang w:val="fr-FR"/>
        </w:rPr>
        <w:t xml:space="preserve"> </w:t>
      </w:r>
      <w:r w:rsidR="00583353">
        <w:rPr>
          <w:rFonts w:cs="Arial"/>
          <w:lang w:val="fr-FR"/>
        </w:rPr>
        <w:t xml:space="preserve">à examiner les propositions </w:t>
      </w:r>
      <w:r w:rsidR="004C24E1" w:rsidRPr="0007414F">
        <w:rPr>
          <w:snapToGrid w:val="0"/>
          <w:lang w:val="fr-FR"/>
        </w:rPr>
        <w:t>concern</w:t>
      </w:r>
      <w:r w:rsidR="00583353">
        <w:rPr>
          <w:snapToGrid w:val="0"/>
          <w:lang w:val="fr-FR"/>
        </w:rPr>
        <w:t>ant</w:t>
      </w:r>
      <w:r w:rsidR="00D639EE">
        <w:rPr>
          <w:snapToGrid w:val="0"/>
          <w:lang w:val="fr-FR"/>
        </w:rPr>
        <w:t> :</w:t>
      </w:r>
      <w:r w:rsidR="00C42D2F" w:rsidRPr="0007414F">
        <w:rPr>
          <w:snapToGrid w:val="0"/>
          <w:lang w:val="fr-FR"/>
        </w:rPr>
        <w:t xml:space="preserve"> (1) </w:t>
      </w:r>
      <w:r w:rsidR="00583353">
        <w:rPr>
          <w:snapToGrid w:val="0"/>
          <w:lang w:val="fr-FR"/>
        </w:rPr>
        <w:t xml:space="preserve">la </w:t>
      </w:r>
      <w:r w:rsidR="00C42D2F" w:rsidRPr="0007414F">
        <w:rPr>
          <w:snapToGrid w:val="0"/>
          <w:lang w:val="fr-FR"/>
        </w:rPr>
        <w:t>coop</w:t>
      </w:r>
      <w:r w:rsidR="00583353">
        <w:rPr>
          <w:snapToGrid w:val="0"/>
          <w:lang w:val="fr-FR"/>
        </w:rPr>
        <w:t>é</w:t>
      </w:r>
      <w:r w:rsidR="00C42D2F" w:rsidRPr="0007414F">
        <w:rPr>
          <w:snapToGrid w:val="0"/>
          <w:lang w:val="fr-FR"/>
        </w:rPr>
        <w:t xml:space="preserve">ration </w:t>
      </w:r>
      <w:r w:rsidR="00583353">
        <w:rPr>
          <w:snapToGrid w:val="0"/>
          <w:lang w:val="fr-FR"/>
        </w:rPr>
        <w:t xml:space="preserve">entre organisations </w:t>
      </w:r>
      <w:r w:rsidR="00C42D2F" w:rsidRPr="0007414F">
        <w:rPr>
          <w:snapToGrid w:val="0"/>
          <w:lang w:val="fr-FR"/>
        </w:rPr>
        <w:t>international</w:t>
      </w:r>
      <w:r w:rsidR="00583353">
        <w:rPr>
          <w:snapToGrid w:val="0"/>
          <w:lang w:val="fr-FR"/>
        </w:rPr>
        <w:t>e</w:t>
      </w:r>
      <w:r w:rsidR="00C42D2F" w:rsidRPr="0007414F">
        <w:rPr>
          <w:snapToGrid w:val="0"/>
          <w:lang w:val="fr-FR"/>
        </w:rPr>
        <w:t>s</w:t>
      </w:r>
      <w:r w:rsidR="00D639EE">
        <w:rPr>
          <w:snapToGrid w:val="0"/>
          <w:lang w:val="fr-FR"/>
        </w:rPr>
        <w:t xml:space="preserve">; </w:t>
      </w:r>
      <w:r w:rsidR="00C42D2F" w:rsidRPr="0007414F">
        <w:rPr>
          <w:snapToGrid w:val="0"/>
          <w:lang w:val="fr-FR"/>
        </w:rPr>
        <w:t xml:space="preserve">(2) </w:t>
      </w:r>
      <w:r w:rsidR="00583353">
        <w:rPr>
          <w:snapToGrid w:val="0"/>
          <w:lang w:val="fr-FR"/>
        </w:rPr>
        <w:t xml:space="preserve">les </w:t>
      </w:r>
      <w:r w:rsidR="00C42D2F" w:rsidRPr="0007414F">
        <w:rPr>
          <w:snapToGrid w:val="0"/>
          <w:lang w:val="fr-FR"/>
        </w:rPr>
        <w:t xml:space="preserve">sessions </w:t>
      </w:r>
      <w:r w:rsidR="00583353">
        <w:rPr>
          <w:snapToGrid w:val="0"/>
          <w:lang w:val="fr-FR"/>
        </w:rPr>
        <w:t xml:space="preserve">visant à </w:t>
      </w:r>
      <w:r w:rsidR="00C42D2F" w:rsidRPr="0007414F">
        <w:rPr>
          <w:snapToGrid w:val="0"/>
          <w:lang w:val="fr-FR"/>
        </w:rPr>
        <w:t>facilite</w:t>
      </w:r>
      <w:r w:rsidR="00583353">
        <w:rPr>
          <w:snapToGrid w:val="0"/>
          <w:lang w:val="fr-FR"/>
        </w:rPr>
        <w:t>r</w:t>
      </w:r>
      <w:r w:rsidR="00C42D2F" w:rsidRPr="0007414F">
        <w:rPr>
          <w:snapToGrid w:val="0"/>
          <w:lang w:val="fr-FR"/>
        </w:rPr>
        <w:t xml:space="preserve"> </w:t>
      </w:r>
      <w:r w:rsidR="00583353">
        <w:rPr>
          <w:snapToGrid w:val="0"/>
          <w:lang w:val="fr-FR"/>
        </w:rPr>
        <w:t xml:space="preserve">la </w:t>
      </w:r>
      <w:r w:rsidR="00C42D2F" w:rsidRPr="0007414F">
        <w:rPr>
          <w:snapToGrid w:val="0"/>
          <w:lang w:val="fr-FR"/>
        </w:rPr>
        <w:t>coop</w:t>
      </w:r>
      <w:r w:rsidR="00583353">
        <w:rPr>
          <w:snapToGrid w:val="0"/>
          <w:lang w:val="fr-FR"/>
        </w:rPr>
        <w:t>é</w:t>
      </w:r>
      <w:r w:rsidR="00C42D2F" w:rsidRPr="0007414F">
        <w:rPr>
          <w:snapToGrid w:val="0"/>
          <w:lang w:val="fr-FR"/>
        </w:rPr>
        <w:t xml:space="preserve">ration </w:t>
      </w:r>
      <w:r w:rsidR="00D45AC7" w:rsidRPr="00D45AC7">
        <w:rPr>
          <w:snapToGrid w:val="0"/>
          <w:lang w:val="fr-FR"/>
        </w:rPr>
        <w:t xml:space="preserve">en matière </w:t>
      </w:r>
      <w:r w:rsidR="00552B92">
        <w:rPr>
          <w:snapToGrid w:val="0"/>
          <w:lang w:val="fr-FR"/>
        </w:rPr>
        <w:t>d</w:t>
      </w:r>
      <w:r w:rsidR="00D639EE">
        <w:rPr>
          <w:snapToGrid w:val="0"/>
          <w:lang w:val="fr-FR"/>
        </w:rPr>
        <w:t>’</w:t>
      </w:r>
      <w:r w:rsidR="00552B92">
        <w:rPr>
          <w:snapToGrid w:val="0"/>
          <w:lang w:val="fr-FR"/>
        </w:rPr>
        <w:t xml:space="preserve">utilisation </w:t>
      </w:r>
      <w:r w:rsidR="00583353">
        <w:rPr>
          <w:snapToGrid w:val="0"/>
          <w:lang w:val="fr-FR"/>
        </w:rPr>
        <w:t>d</w:t>
      </w:r>
      <w:r w:rsidR="00D45AC7">
        <w:rPr>
          <w:snapToGrid w:val="0"/>
          <w:lang w:val="fr-FR"/>
        </w:rPr>
        <w:t>e</w:t>
      </w:r>
      <w:r w:rsidR="00552B92">
        <w:rPr>
          <w:snapToGrid w:val="0"/>
          <w:lang w:val="fr-FR"/>
        </w:rPr>
        <w:t>s</w:t>
      </w:r>
      <w:r w:rsidR="00C42D2F" w:rsidRPr="0007414F">
        <w:rPr>
          <w:snapToGrid w:val="0"/>
          <w:lang w:val="fr-FR"/>
        </w:rPr>
        <w:t xml:space="preserve"> </w:t>
      </w:r>
      <w:r w:rsidR="00583353">
        <w:rPr>
          <w:snapToGrid w:val="0"/>
          <w:lang w:val="fr-FR"/>
        </w:rPr>
        <w:t>techniques moléculaires</w:t>
      </w:r>
      <w:r w:rsidR="00D639EE">
        <w:rPr>
          <w:snapToGrid w:val="0"/>
          <w:lang w:val="fr-FR"/>
        </w:rPr>
        <w:t xml:space="preserve">; </w:t>
      </w:r>
      <w:r w:rsidR="00D45AC7">
        <w:rPr>
          <w:snapToGrid w:val="0"/>
          <w:lang w:val="fr-FR"/>
        </w:rPr>
        <w:t>et</w:t>
      </w:r>
      <w:r w:rsidR="003065FB" w:rsidRPr="0007414F">
        <w:rPr>
          <w:snapToGrid w:val="0"/>
          <w:lang w:val="fr-FR"/>
        </w:rPr>
        <w:t xml:space="preserve"> (3) </w:t>
      </w:r>
      <w:r w:rsidR="00D45AC7">
        <w:rPr>
          <w:snapToGrid w:val="0"/>
          <w:lang w:val="fr-FR"/>
        </w:rPr>
        <w:t xml:space="preserve">la </w:t>
      </w:r>
      <w:r w:rsidR="00750B3B" w:rsidRPr="0007414F">
        <w:rPr>
          <w:lang w:val="fr-FR"/>
        </w:rPr>
        <w:t>confidentiali</w:t>
      </w:r>
      <w:r w:rsidR="00D45AC7">
        <w:rPr>
          <w:lang w:val="fr-FR"/>
        </w:rPr>
        <w:t>té</w:t>
      </w:r>
      <w:r w:rsidR="003065FB" w:rsidRPr="0007414F">
        <w:rPr>
          <w:lang w:val="fr-FR"/>
        </w:rPr>
        <w:t xml:space="preserve">, </w:t>
      </w:r>
      <w:r w:rsidR="00860B6A">
        <w:rPr>
          <w:lang w:val="fr-FR"/>
        </w:rPr>
        <w:t xml:space="preserve">la </w:t>
      </w:r>
      <w:r w:rsidR="00B76460" w:rsidRPr="00B76460">
        <w:rPr>
          <w:lang w:val="fr-FR"/>
        </w:rPr>
        <w:t>titularité</w:t>
      </w:r>
      <w:r w:rsidR="00860B6A">
        <w:rPr>
          <w:lang w:val="fr-FR"/>
        </w:rPr>
        <w:t xml:space="preserve"> et l</w:t>
      </w:r>
      <w:r w:rsidR="00D639EE">
        <w:rPr>
          <w:lang w:val="fr-FR"/>
        </w:rPr>
        <w:t>’</w:t>
      </w:r>
      <w:r w:rsidR="00860B6A">
        <w:rPr>
          <w:lang w:val="fr-FR"/>
        </w:rPr>
        <w:t>a</w:t>
      </w:r>
      <w:r w:rsidR="003065FB" w:rsidRPr="0007414F">
        <w:rPr>
          <w:lang w:val="fr-FR"/>
        </w:rPr>
        <w:t>cc</w:t>
      </w:r>
      <w:r w:rsidR="00860B6A">
        <w:rPr>
          <w:lang w:val="fr-FR"/>
        </w:rPr>
        <w:t>è</w:t>
      </w:r>
      <w:r w:rsidR="003065FB" w:rsidRPr="0007414F">
        <w:rPr>
          <w:lang w:val="fr-FR"/>
        </w:rPr>
        <w:t xml:space="preserve">s </w:t>
      </w:r>
      <w:r w:rsidR="00860B6A">
        <w:rPr>
          <w:lang w:val="fr-FR"/>
        </w:rPr>
        <w:t xml:space="preserve">aux </w:t>
      </w:r>
      <w:r w:rsidR="00EC76C8">
        <w:rPr>
          <w:lang w:val="fr-FR"/>
        </w:rPr>
        <w:t>informations</w:t>
      </w:r>
      <w:r w:rsidR="00860B6A">
        <w:rPr>
          <w:lang w:val="fr-FR"/>
        </w:rPr>
        <w:t xml:space="preserve"> </w:t>
      </w:r>
      <w:r w:rsidR="003065FB" w:rsidRPr="0007414F">
        <w:rPr>
          <w:lang w:val="fr-FR"/>
        </w:rPr>
        <w:t>mol</w:t>
      </w:r>
      <w:r w:rsidR="00860B6A">
        <w:rPr>
          <w:lang w:val="fr-FR"/>
        </w:rPr>
        <w:t>é</w:t>
      </w:r>
      <w:r w:rsidR="003065FB" w:rsidRPr="0007414F">
        <w:rPr>
          <w:lang w:val="fr-FR"/>
        </w:rPr>
        <w:t>cula</w:t>
      </w:r>
      <w:r w:rsidR="00860B6A">
        <w:rPr>
          <w:lang w:val="fr-FR"/>
        </w:rPr>
        <w:t>ires</w:t>
      </w:r>
      <w:r w:rsidRPr="0007414F">
        <w:rPr>
          <w:lang w:val="fr-FR"/>
        </w:rPr>
        <w:t>.</w:t>
      </w:r>
    </w:p>
    <w:p w14:paraId="4B1E09D1" w14:textId="6CE1D03A" w:rsidR="00A36448" w:rsidRPr="0007414F" w:rsidRDefault="00A36448" w:rsidP="00A36448">
      <w:pPr>
        <w:rPr>
          <w:lang w:val="fr-FR"/>
        </w:rPr>
      </w:pPr>
    </w:p>
    <w:p w14:paraId="5A6B72DD" w14:textId="4B31B800" w:rsidR="00E16389" w:rsidRPr="0007414F" w:rsidRDefault="00E16389" w:rsidP="00E16389">
      <w:pPr>
        <w:tabs>
          <w:tab w:val="left" w:pos="567"/>
          <w:tab w:val="left" w:pos="1134"/>
          <w:tab w:val="left" w:pos="5387"/>
          <w:tab w:val="left" w:pos="5954"/>
        </w:tabs>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534003">
        <w:rPr>
          <w:lang w:val="fr-FR"/>
        </w:rPr>
        <w:t>Le</w:t>
      </w:r>
      <w:r w:rsidR="00D639EE">
        <w:rPr>
          <w:lang w:val="fr-FR"/>
        </w:rPr>
        <w:t> TC</w:t>
      </w:r>
      <w:r w:rsidRPr="0007414F">
        <w:rPr>
          <w:lang w:val="fr-FR"/>
        </w:rPr>
        <w:t xml:space="preserve"> </w:t>
      </w:r>
      <w:r w:rsidR="00860B6A">
        <w:rPr>
          <w:lang w:val="fr-FR"/>
        </w:rPr>
        <w:t xml:space="preserve">est </w:t>
      </w:r>
      <w:r w:rsidRPr="0007414F">
        <w:rPr>
          <w:lang w:val="fr-FR"/>
        </w:rPr>
        <w:t>invit</w:t>
      </w:r>
      <w:r w:rsidR="00860B6A">
        <w:rPr>
          <w:lang w:val="fr-FR"/>
        </w:rPr>
        <w:t>é</w:t>
      </w:r>
      <w:r w:rsidRPr="0007414F">
        <w:rPr>
          <w:lang w:val="fr-FR"/>
        </w:rPr>
        <w:t xml:space="preserve"> </w:t>
      </w:r>
      <w:r w:rsidR="00860B6A">
        <w:rPr>
          <w:lang w:val="fr-FR"/>
        </w:rPr>
        <w:t>à</w:t>
      </w:r>
      <w:r w:rsidR="00D639EE">
        <w:rPr>
          <w:lang w:val="fr-FR"/>
        </w:rPr>
        <w:t> :</w:t>
      </w:r>
    </w:p>
    <w:p w14:paraId="67225D40" w14:textId="77777777" w:rsidR="00744A12" w:rsidRPr="0007414F" w:rsidRDefault="00744A12" w:rsidP="00744A12">
      <w:pPr>
        <w:keepNext/>
        <w:keepLines/>
        <w:tabs>
          <w:tab w:val="left" w:pos="567"/>
          <w:tab w:val="left" w:pos="1134"/>
          <w:tab w:val="left" w:pos="5387"/>
          <w:tab w:val="left" w:pos="5954"/>
        </w:tabs>
        <w:rPr>
          <w:lang w:val="fr-FR"/>
        </w:rPr>
      </w:pPr>
    </w:p>
    <w:p w14:paraId="776EB6A7" w14:textId="6F3AEE89" w:rsidR="00D639EE" w:rsidRDefault="00C56FEA" w:rsidP="00C56FEA">
      <w:pPr>
        <w:keepNext/>
        <w:keepLines/>
        <w:tabs>
          <w:tab w:val="left" w:pos="540"/>
          <w:tab w:val="left" w:pos="567"/>
        </w:tabs>
        <w:ind w:firstLine="540"/>
        <w:rPr>
          <w:lang w:val="fr-FR"/>
        </w:rPr>
      </w:pPr>
      <w:r w:rsidRPr="0007414F">
        <w:rPr>
          <w:lang w:val="fr-FR"/>
        </w:rPr>
        <w:t>a)</w:t>
      </w:r>
      <w:r w:rsidRPr="0007414F">
        <w:rPr>
          <w:lang w:val="fr-FR"/>
        </w:rPr>
        <w:tab/>
      </w:r>
      <w:r w:rsidR="00860B6A">
        <w:rPr>
          <w:lang w:val="fr-FR"/>
        </w:rPr>
        <w:t xml:space="preserve">prendre </w:t>
      </w:r>
      <w:r w:rsidRPr="0007414F">
        <w:rPr>
          <w:lang w:val="fr-FR"/>
        </w:rPr>
        <w:t xml:space="preserve">note </w:t>
      </w:r>
      <w:r w:rsidR="00860B6A">
        <w:rPr>
          <w:lang w:val="fr-FR"/>
        </w:rPr>
        <w:t>des ré</w:t>
      </w:r>
      <w:r w:rsidRPr="0007414F">
        <w:rPr>
          <w:lang w:val="fr-FR"/>
        </w:rPr>
        <w:t>sult</w:t>
      </w:r>
      <w:r w:rsidR="00860B6A">
        <w:rPr>
          <w:lang w:val="fr-FR"/>
        </w:rPr>
        <w:t>at</w:t>
      </w:r>
      <w:r w:rsidRPr="0007414F">
        <w:rPr>
          <w:lang w:val="fr-FR"/>
        </w:rPr>
        <w:t xml:space="preserve">s </w:t>
      </w:r>
      <w:r w:rsidR="00860B6A">
        <w:rPr>
          <w:lang w:val="fr-FR"/>
        </w:rPr>
        <w:t>de l</w:t>
      </w:r>
      <w:r w:rsidR="00D639EE">
        <w:rPr>
          <w:lang w:val="fr-FR"/>
        </w:rPr>
        <w:t>’</w:t>
      </w:r>
      <w:r w:rsidR="00860B6A">
        <w:rPr>
          <w:lang w:val="fr-FR"/>
        </w:rPr>
        <w:t>enquête sur l</w:t>
      </w:r>
      <w:r w:rsidR="00D639EE">
        <w:rPr>
          <w:lang w:val="fr-FR"/>
        </w:rPr>
        <w:t>’</w:t>
      </w:r>
      <w:r w:rsidR="00860B6A">
        <w:rPr>
          <w:lang w:val="fr-FR"/>
        </w:rPr>
        <w:t xml:space="preserve">utilisation </w:t>
      </w:r>
      <w:r w:rsidR="008E7295" w:rsidRPr="008E7295">
        <w:rPr>
          <w:lang w:val="fr-FR"/>
        </w:rPr>
        <w:t xml:space="preserve">par les membres </w:t>
      </w:r>
      <w:r w:rsidR="00860B6A">
        <w:rPr>
          <w:lang w:val="fr-FR"/>
        </w:rPr>
        <w:t>des techniques faisant intervenir des marqueurs moléculaires</w:t>
      </w:r>
      <w:r w:rsidRPr="0007414F">
        <w:rPr>
          <w:lang w:val="fr-FR"/>
        </w:rPr>
        <w:t>, p</w:t>
      </w:r>
      <w:r w:rsidR="00860B6A">
        <w:rPr>
          <w:lang w:val="fr-FR"/>
        </w:rPr>
        <w:t>a</w:t>
      </w:r>
      <w:r w:rsidRPr="0007414F">
        <w:rPr>
          <w:lang w:val="fr-FR"/>
        </w:rPr>
        <w:t xml:space="preserve">r </w:t>
      </w:r>
      <w:r w:rsidR="00860B6A">
        <w:rPr>
          <w:lang w:val="fr-FR"/>
        </w:rPr>
        <w:t xml:space="preserve">plante, tels que </w:t>
      </w:r>
      <w:r w:rsidR="00EB5ED6">
        <w:rPr>
          <w:lang w:val="fr-FR"/>
        </w:rPr>
        <w:t xml:space="preserve">figurant à </w:t>
      </w:r>
      <w:r w:rsidR="00860B6A">
        <w:rPr>
          <w:lang w:val="fr-FR"/>
        </w:rPr>
        <w:t>l</w:t>
      </w:r>
      <w:r w:rsidR="00D639EE">
        <w:rPr>
          <w:lang w:val="fr-FR"/>
        </w:rPr>
        <w:t>’</w:t>
      </w:r>
      <w:r w:rsidR="00860B6A">
        <w:rPr>
          <w:lang w:val="fr-FR"/>
        </w:rPr>
        <w:t>a</w:t>
      </w:r>
      <w:r w:rsidRPr="0007414F">
        <w:rPr>
          <w:lang w:val="fr-FR"/>
        </w:rPr>
        <w:t>nnex</w:t>
      </w:r>
      <w:r w:rsidR="00860B6A">
        <w:rPr>
          <w:lang w:val="fr-FR"/>
        </w:rPr>
        <w:t>e</w:t>
      </w:r>
      <w:r w:rsidRPr="0007414F">
        <w:rPr>
          <w:lang w:val="fr-FR"/>
        </w:rPr>
        <w:t xml:space="preserve"> </w:t>
      </w:r>
      <w:r w:rsidR="00EB5ED6">
        <w:rPr>
          <w:lang w:val="fr-FR"/>
        </w:rPr>
        <w:t>d</w:t>
      </w:r>
      <w:r w:rsidR="00860B6A">
        <w:rPr>
          <w:lang w:val="fr-FR"/>
        </w:rPr>
        <w:t>u présent</w:t>
      </w:r>
      <w:r w:rsidRPr="0007414F">
        <w:rPr>
          <w:lang w:val="fr-FR"/>
        </w:rPr>
        <w:t xml:space="preserve"> document</w:t>
      </w:r>
      <w:r w:rsidR="00D639EE">
        <w:rPr>
          <w:lang w:val="fr-FR"/>
        </w:rPr>
        <w:t>;</w:t>
      </w:r>
    </w:p>
    <w:p w14:paraId="096C422F" w14:textId="77777777" w:rsidR="00D639EE" w:rsidRDefault="00D639EE" w:rsidP="00C56FEA">
      <w:pPr>
        <w:keepNext/>
        <w:keepLines/>
        <w:tabs>
          <w:tab w:val="left" w:pos="540"/>
          <w:tab w:val="left" w:pos="567"/>
        </w:tabs>
        <w:ind w:firstLine="540"/>
        <w:rPr>
          <w:lang w:val="fr-FR"/>
        </w:rPr>
      </w:pPr>
    </w:p>
    <w:p w14:paraId="4081C90C" w14:textId="031B19F6" w:rsidR="00C56FEA" w:rsidRPr="0007414F" w:rsidRDefault="00C56FEA" w:rsidP="00C56FEA">
      <w:pPr>
        <w:keepNext/>
        <w:keepLines/>
        <w:tabs>
          <w:tab w:val="left" w:pos="540"/>
          <w:tab w:val="left" w:pos="567"/>
        </w:tabs>
        <w:ind w:firstLine="540"/>
        <w:rPr>
          <w:lang w:val="fr-FR"/>
        </w:rPr>
      </w:pPr>
      <w:r w:rsidRPr="0007414F">
        <w:rPr>
          <w:lang w:val="fr-FR"/>
        </w:rPr>
        <w:t>b)</w:t>
      </w:r>
      <w:r w:rsidRPr="0007414F">
        <w:rPr>
          <w:lang w:val="fr-FR"/>
        </w:rPr>
        <w:tab/>
      </w:r>
      <w:r w:rsidR="00860B6A">
        <w:rPr>
          <w:lang w:val="fr-FR"/>
        </w:rPr>
        <w:t>prendre n</w:t>
      </w:r>
      <w:r w:rsidRPr="0007414F">
        <w:rPr>
          <w:lang w:val="fr-FR"/>
        </w:rPr>
        <w:t xml:space="preserve">ote </w:t>
      </w:r>
      <w:r w:rsidR="00860B6A">
        <w:rPr>
          <w:lang w:val="fr-FR"/>
        </w:rPr>
        <w:t xml:space="preserve">du projet de </w:t>
      </w:r>
      <w:r w:rsidRPr="0007414F">
        <w:rPr>
          <w:lang w:val="fr-FR"/>
        </w:rPr>
        <w:t xml:space="preserve">document </w:t>
      </w:r>
      <w:r w:rsidR="00860B6A">
        <w:rPr>
          <w:lang w:val="fr-FR"/>
        </w:rPr>
        <w:t>co</w:t>
      </w:r>
      <w:r w:rsidR="00B76460">
        <w:rPr>
          <w:lang w:val="fr-FR"/>
        </w:rPr>
        <w:t>mmun</w:t>
      </w:r>
      <w:r w:rsidR="00EB5ED6">
        <w:rPr>
          <w:lang w:val="fr-FR"/>
        </w:rPr>
        <w:t xml:space="preserve"> présent</w:t>
      </w:r>
      <w:r w:rsidR="00860B6A">
        <w:rPr>
          <w:lang w:val="fr-FR"/>
        </w:rPr>
        <w:t>ant les particularités des systèmes de l</w:t>
      </w:r>
      <w:r w:rsidR="00D639EE">
        <w:rPr>
          <w:lang w:val="fr-FR"/>
        </w:rPr>
        <w:t>’</w:t>
      </w:r>
      <w:r w:rsidR="002338B5">
        <w:rPr>
          <w:lang w:val="fr-FR"/>
        </w:rPr>
        <w:t>OCDE</w:t>
      </w:r>
      <w:r w:rsidRPr="0007414F">
        <w:rPr>
          <w:lang w:val="fr-FR"/>
        </w:rPr>
        <w:t xml:space="preserve">, </w:t>
      </w:r>
      <w:r w:rsidR="00534003">
        <w:rPr>
          <w:lang w:val="fr-FR"/>
        </w:rPr>
        <w:t>de l</w:t>
      </w:r>
      <w:r w:rsidR="00D639EE">
        <w:rPr>
          <w:lang w:val="fr-FR"/>
        </w:rPr>
        <w:t>’</w:t>
      </w:r>
      <w:r w:rsidRPr="0007414F">
        <w:rPr>
          <w:lang w:val="fr-FR"/>
        </w:rPr>
        <w:t xml:space="preserve">UPOV </w:t>
      </w:r>
      <w:r w:rsidR="00534003">
        <w:rPr>
          <w:lang w:val="fr-FR"/>
        </w:rPr>
        <w:t xml:space="preserve">et </w:t>
      </w:r>
      <w:r w:rsidRPr="0007414F">
        <w:rPr>
          <w:lang w:val="fr-FR"/>
        </w:rPr>
        <w:t>d</w:t>
      </w:r>
      <w:r w:rsidR="00534003">
        <w:rPr>
          <w:lang w:val="fr-FR"/>
        </w:rPr>
        <w:t>e</w:t>
      </w:r>
      <w:r w:rsidRPr="0007414F">
        <w:rPr>
          <w:lang w:val="fr-FR"/>
        </w:rPr>
        <w:t xml:space="preserve"> </w:t>
      </w:r>
      <w:r w:rsidR="00534003">
        <w:rPr>
          <w:lang w:val="fr-FR"/>
        </w:rPr>
        <w:t>l</w:t>
      </w:r>
      <w:r w:rsidR="00D639EE">
        <w:rPr>
          <w:lang w:val="fr-FR"/>
        </w:rPr>
        <w:t>’</w:t>
      </w:r>
      <w:r w:rsidRPr="0007414F">
        <w:rPr>
          <w:lang w:val="fr-FR"/>
        </w:rPr>
        <w:t>ISTA</w:t>
      </w:r>
      <w:r w:rsidR="00534003">
        <w:rPr>
          <w:lang w:val="fr-FR"/>
        </w:rPr>
        <w:t>;</w:t>
      </w:r>
    </w:p>
    <w:p w14:paraId="4E0A9BD6" w14:textId="77777777" w:rsidR="00C56FEA" w:rsidRPr="0007414F" w:rsidRDefault="00C56FEA" w:rsidP="00C56FEA">
      <w:pPr>
        <w:keepNext/>
        <w:keepLines/>
        <w:tabs>
          <w:tab w:val="left" w:pos="540"/>
          <w:tab w:val="left" w:pos="567"/>
        </w:tabs>
        <w:ind w:firstLine="540"/>
        <w:rPr>
          <w:lang w:val="fr-FR"/>
        </w:rPr>
      </w:pPr>
    </w:p>
    <w:p w14:paraId="6653319B" w14:textId="08108685" w:rsidR="00D639EE" w:rsidRDefault="00C56FEA" w:rsidP="00C56FEA">
      <w:pPr>
        <w:keepNext/>
        <w:keepLines/>
        <w:tabs>
          <w:tab w:val="left" w:pos="540"/>
          <w:tab w:val="left" w:pos="567"/>
        </w:tabs>
        <w:ind w:firstLine="540"/>
        <w:rPr>
          <w:lang w:val="fr-FR"/>
        </w:rPr>
      </w:pPr>
      <w:r w:rsidRPr="0007414F">
        <w:rPr>
          <w:lang w:val="fr-FR"/>
        </w:rPr>
        <w:t>c)</w:t>
      </w:r>
      <w:r w:rsidRPr="0007414F">
        <w:rPr>
          <w:lang w:val="fr-FR"/>
        </w:rPr>
        <w:tab/>
      </w:r>
      <w:r w:rsidR="00534003">
        <w:rPr>
          <w:lang w:val="fr-FR"/>
        </w:rPr>
        <w:t xml:space="preserve">prendre </w:t>
      </w:r>
      <w:r w:rsidRPr="0007414F">
        <w:rPr>
          <w:lang w:val="fr-FR"/>
        </w:rPr>
        <w:t xml:space="preserve">note </w:t>
      </w:r>
      <w:r w:rsidR="00534003">
        <w:rPr>
          <w:lang w:val="fr-FR"/>
        </w:rPr>
        <w:t xml:space="preserve">des </w:t>
      </w:r>
      <w:r w:rsidR="008C19D1">
        <w:rPr>
          <w:lang w:val="fr-FR"/>
        </w:rPr>
        <w:t>élément</w:t>
      </w:r>
      <w:r w:rsidR="00534003">
        <w:rPr>
          <w:lang w:val="fr-FR"/>
        </w:rPr>
        <w:t xml:space="preserve">s </w:t>
      </w:r>
      <w:r w:rsidRPr="0007414F">
        <w:rPr>
          <w:lang w:val="fr-FR"/>
        </w:rPr>
        <w:t>propos</w:t>
      </w:r>
      <w:r w:rsidR="00534003">
        <w:rPr>
          <w:lang w:val="fr-FR"/>
        </w:rPr>
        <w:t>és</w:t>
      </w:r>
      <w:r w:rsidRPr="0007414F">
        <w:rPr>
          <w:lang w:val="fr-FR"/>
        </w:rPr>
        <w:t xml:space="preserve"> </w:t>
      </w:r>
      <w:r w:rsidR="00534003">
        <w:rPr>
          <w:lang w:val="fr-FR"/>
        </w:rPr>
        <w:t>par l</w:t>
      </w:r>
      <w:r w:rsidRPr="0007414F">
        <w:rPr>
          <w:lang w:val="fr-FR"/>
        </w:rPr>
        <w:t>e</w:t>
      </w:r>
      <w:r w:rsidR="00D639EE">
        <w:rPr>
          <w:lang w:val="fr-FR"/>
        </w:rPr>
        <w:t> TC</w:t>
      </w:r>
      <w:r w:rsidR="00534003">
        <w:rPr>
          <w:lang w:val="fr-FR"/>
        </w:rPr>
        <w:t xml:space="preserve"> pour un </w:t>
      </w:r>
      <w:r w:rsidRPr="0007414F">
        <w:rPr>
          <w:lang w:val="fr-FR"/>
        </w:rPr>
        <w:t xml:space="preserve">futur </w:t>
      </w:r>
      <w:r w:rsidR="00534003">
        <w:rPr>
          <w:lang w:val="fr-FR"/>
        </w:rPr>
        <w:t xml:space="preserve">atelier conjoint </w:t>
      </w:r>
      <w:r w:rsidRPr="0007414F">
        <w:rPr>
          <w:lang w:val="fr-FR"/>
        </w:rPr>
        <w:t>UPOV/</w:t>
      </w:r>
      <w:r w:rsidR="002338B5">
        <w:rPr>
          <w:lang w:val="fr-FR"/>
        </w:rPr>
        <w:t>OCDE</w:t>
      </w:r>
      <w:r w:rsidRPr="0007414F">
        <w:rPr>
          <w:lang w:val="fr-FR"/>
        </w:rPr>
        <w:t xml:space="preserve">/ISTA, </w:t>
      </w:r>
      <w:r w:rsidR="00534003">
        <w:rPr>
          <w:lang w:val="fr-FR"/>
        </w:rPr>
        <w:t>tel qu</w:t>
      </w:r>
      <w:r w:rsidR="00D639EE">
        <w:rPr>
          <w:lang w:val="fr-FR"/>
        </w:rPr>
        <w:t>’</w:t>
      </w:r>
      <w:r w:rsidR="00534003">
        <w:rPr>
          <w:lang w:val="fr-FR"/>
        </w:rPr>
        <w:t xml:space="preserve">indiqué au </w:t>
      </w:r>
      <w:r w:rsidR="00D639EE" w:rsidRPr="0007414F">
        <w:rPr>
          <w:lang w:val="fr-FR"/>
        </w:rPr>
        <w:t>paragraph</w:t>
      </w:r>
      <w:r w:rsidR="00D639EE">
        <w:rPr>
          <w:lang w:val="fr-FR"/>
        </w:rPr>
        <w:t>e </w:t>
      </w:r>
      <w:r w:rsidR="00D639EE" w:rsidRPr="0007414F">
        <w:rPr>
          <w:lang w:val="fr-FR"/>
        </w:rPr>
        <w:t>1</w:t>
      </w:r>
      <w:r w:rsidRPr="0007414F">
        <w:rPr>
          <w:lang w:val="fr-FR"/>
        </w:rPr>
        <w:t xml:space="preserve">7 </w:t>
      </w:r>
      <w:r w:rsidR="00534003">
        <w:rPr>
          <w:lang w:val="fr-FR"/>
        </w:rPr>
        <w:t>du présent</w:t>
      </w:r>
      <w:r w:rsidRPr="0007414F">
        <w:rPr>
          <w:lang w:val="fr-FR"/>
        </w:rPr>
        <w:t xml:space="preserve"> document</w:t>
      </w:r>
      <w:r w:rsidR="00D639EE">
        <w:rPr>
          <w:lang w:val="fr-FR"/>
        </w:rPr>
        <w:t>;</w:t>
      </w:r>
    </w:p>
    <w:p w14:paraId="1933BE2C" w14:textId="77777777" w:rsidR="00D639EE" w:rsidRDefault="00D639EE" w:rsidP="00C56FEA">
      <w:pPr>
        <w:keepNext/>
        <w:keepLines/>
        <w:tabs>
          <w:tab w:val="left" w:pos="540"/>
          <w:tab w:val="left" w:pos="567"/>
        </w:tabs>
        <w:ind w:firstLine="540"/>
        <w:rPr>
          <w:lang w:val="fr-FR"/>
        </w:rPr>
      </w:pPr>
    </w:p>
    <w:p w14:paraId="0D0F3208" w14:textId="20F2A2E3" w:rsidR="00E16389" w:rsidRPr="0007414F" w:rsidRDefault="00C56FEA" w:rsidP="00C56FEA">
      <w:pPr>
        <w:keepNext/>
        <w:keepLines/>
        <w:tabs>
          <w:tab w:val="left" w:pos="540"/>
          <w:tab w:val="left" w:pos="567"/>
        </w:tabs>
        <w:ind w:firstLine="540"/>
        <w:rPr>
          <w:lang w:val="fr-FR"/>
        </w:rPr>
      </w:pPr>
      <w:r w:rsidRPr="0007414F">
        <w:rPr>
          <w:lang w:val="fr-FR"/>
        </w:rPr>
        <w:t>d)</w:t>
      </w:r>
      <w:r w:rsidRPr="0007414F">
        <w:rPr>
          <w:lang w:val="fr-FR"/>
        </w:rPr>
        <w:tab/>
      </w:r>
      <w:r w:rsidR="00534003">
        <w:rPr>
          <w:lang w:val="fr-FR"/>
        </w:rPr>
        <w:t xml:space="preserve">prendre </w:t>
      </w:r>
      <w:r w:rsidRPr="0007414F">
        <w:rPr>
          <w:lang w:val="fr-FR"/>
        </w:rPr>
        <w:t xml:space="preserve">note </w:t>
      </w:r>
      <w:r w:rsidR="00534003">
        <w:rPr>
          <w:lang w:val="fr-FR"/>
        </w:rPr>
        <w:t>des informations de l</w:t>
      </w:r>
      <w:r w:rsidR="00D639EE">
        <w:rPr>
          <w:lang w:val="fr-FR"/>
        </w:rPr>
        <w:t>’</w:t>
      </w:r>
      <w:r w:rsidR="002338B5">
        <w:rPr>
          <w:lang w:val="fr-FR"/>
        </w:rPr>
        <w:t>OCDE</w:t>
      </w:r>
      <w:r w:rsidRPr="0007414F">
        <w:rPr>
          <w:lang w:val="fr-FR"/>
        </w:rPr>
        <w:t xml:space="preserve"> </w:t>
      </w:r>
      <w:r w:rsidR="00534003">
        <w:rPr>
          <w:lang w:val="fr-FR"/>
        </w:rPr>
        <w:t xml:space="preserve">et </w:t>
      </w:r>
      <w:r w:rsidRPr="0007414F">
        <w:rPr>
          <w:lang w:val="fr-FR"/>
        </w:rPr>
        <w:t>d</w:t>
      </w:r>
      <w:r w:rsidR="00534003">
        <w:rPr>
          <w:lang w:val="fr-FR"/>
        </w:rPr>
        <w:t>e l</w:t>
      </w:r>
      <w:r w:rsidR="00D639EE">
        <w:rPr>
          <w:lang w:val="fr-FR"/>
        </w:rPr>
        <w:t>’</w:t>
      </w:r>
      <w:r w:rsidRPr="0007414F">
        <w:rPr>
          <w:lang w:val="fr-FR"/>
        </w:rPr>
        <w:t xml:space="preserve">ISTA </w:t>
      </w:r>
      <w:r w:rsidR="00534003">
        <w:rPr>
          <w:lang w:val="fr-FR"/>
        </w:rPr>
        <w:t xml:space="preserve">selon lesquelles aucun fait nouveau </w:t>
      </w:r>
      <w:r w:rsidRPr="0007414F">
        <w:rPr>
          <w:lang w:val="fr-FR"/>
        </w:rPr>
        <w:t>significat</w:t>
      </w:r>
      <w:r w:rsidR="00534003">
        <w:rPr>
          <w:lang w:val="fr-FR"/>
        </w:rPr>
        <w:t>if à discuter n</w:t>
      </w:r>
      <w:r w:rsidR="00D639EE">
        <w:rPr>
          <w:lang w:val="fr-FR"/>
        </w:rPr>
        <w:t>’</w:t>
      </w:r>
      <w:r w:rsidR="00534003">
        <w:rPr>
          <w:lang w:val="fr-FR"/>
        </w:rPr>
        <w:t>est intervenu</w:t>
      </w:r>
      <w:r w:rsidR="002A1356">
        <w:rPr>
          <w:lang w:val="fr-FR"/>
        </w:rPr>
        <w:t>, de sorte</w:t>
      </w:r>
      <w:r w:rsidR="00534003">
        <w:rPr>
          <w:lang w:val="fr-FR"/>
        </w:rPr>
        <w:t xml:space="preserve"> qu</w:t>
      </w:r>
      <w:r w:rsidR="00D639EE">
        <w:rPr>
          <w:lang w:val="fr-FR"/>
        </w:rPr>
        <w:t>’</w:t>
      </w:r>
      <w:r w:rsidR="00534003">
        <w:rPr>
          <w:lang w:val="fr-FR"/>
        </w:rPr>
        <w:t xml:space="preserve">il </w:t>
      </w:r>
      <w:r w:rsidR="002A1356">
        <w:rPr>
          <w:lang w:val="fr-FR"/>
        </w:rPr>
        <w:t xml:space="preserve">est préférable </w:t>
      </w:r>
      <w:r w:rsidR="00534003">
        <w:rPr>
          <w:lang w:val="fr-FR"/>
        </w:rPr>
        <w:t>de prévoir un atelier</w:t>
      </w:r>
      <w:r w:rsidRPr="0007414F">
        <w:rPr>
          <w:lang w:val="fr-FR"/>
        </w:rPr>
        <w:t xml:space="preserve"> </w:t>
      </w:r>
      <w:r w:rsidR="00534003">
        <w:rPr>
          <w:lang w:val="fr-FR"/>
        </w:rPr>
        <w:t>con</w:t>
      </w:r>
      <w:r w:rsidRPr="0007414F">
        <w:rPr>
          <w:lang w:val="fr-FR"/>
        </w:rPr>
        <w:t xml:space="preserve">joint </w:t>
      </w:r>
      <w:r w:rsidR="00534003">
        <w:rPr>
          <w:lang w:val="fr-FR"/>
        </w:rPr>
        <w:t xml:space="preserve">au plus tôt </w:t>
      </w:r>
      <w:r w:rsidR="00D639EE">
        <w:rPr>
          <w:lang w:val="fr-FR"/>
        </w:rPr>
        <w:t>e</w:t>
      </w:r>
      <w:r w:rsidR="00D639EE" w:rsidRPr="0007414F">
        <w:rPr>
          <w:lang w:val="fr-FR"/>
        </w:rPr>
        <w:t>n</w:t>
      </w:r>
      <w:r w:rsidR="00D639EE">
        <w:rPr>
          <w:lang w:val="fr-FR"/>
        </w:rPr>
        <w:t> </w:t>
      </w:r>
      <w:r w:rsidR="00D639EE" w:rsidRPr="0007414F">
        <w:rPr>
          <w:lang w:val="fr-FR"/>
        </w:rPr>
        <w:t>2023</w:t>
      </w:r>
      <w:r w:rsidR="00B76460">
        <w:rPr>
          <w:lang w:val="fr-FR"/>
        </w:rPr>
        <w:t>;</w:t>
      </w:r>
    </w:p>
    <w:p w14:paraId="1AFF21B1" w14:textId="77777777" w:rsidR="00E16389" w:rsidRPr="0007414F" w:rsidRDefault="00E16389" w:rsidP="00C56FEA">
      <w:pPr>
        <w:keepNext/>
        <w:keepLines/>
        <w:tabs>
          <w:tab w:val="left" w:pos="540"/>
          <w:tab w:val="left" w:pos="567"/>
          <w:tab w:val="left" w:pos="1134"/>
          <w:tab w:val="left" w:pos="5387"/>
        </w:tabs>
        <w:ind w:firstLine="540"/>
        <w:rPr>
          <w:lang w:val="fr-FR"/>
        </w:rPr>
      </w:pPr>
    </w:p>
    <w:p w14:paraId="48BC5366" w14:textId="74302C57" w:rsidR="00E16389" w:rsidRPr="0007414F" w:rsidRDefault="00F409F0" w:rsidP="00C56FEA">
      <w:pPr>
        <w:keepNext/>
        <w:keepLines/>
        <w:tabs>
          <w:tab w:val="left" w:pos="540"/>
          <w:tab w:val="left" w:pos="567"/>
          <w:tab w:val="left" w:pos="1134"/>
          <w:tab w:val="left" w:pos="5387"/>
        </w:tabs>
        <w:ind w:firstLine="540"/>
        <w:rPr>
          <w:lang w:val="fr-FR"/>
        </w:rPr>
      </w:pPr>
      <w:r w:rsidRPr="0007414F">
        <w:rPr>
          <w:lang w:val="fr-FR"/>
        </w:rPr>
        <w:t>e</w:t>
      </w:r>
      <w:r w:rsidR="00E16389" w:rsidRPr="0007414F">
        <w:rPr>
          <w:lang w:val="fr-FR"/>
        </w:rPr>
        <w:t>)</w:t>
      </w:r>
      <w:r w:rsidR="00E16389" w:rsidRPr="0007414F">
        <w:rPr>
          <w:lang w:val="fr-FR"/>
        </w:rPr>
        <w:tab/>
      </w:r>
      <w:r w:rsidR="00B76460">
        <w:rPr>
          <w:lang w:val="fr-FR"/>
        </w:rPr>
        <w:t>examiner la possibilité d</w:t>
      </w:r>
      <w:r w:rsidR="00D639EE">
        <w:rPr>
          <w:lang w:val="fr-FR"/>
        </w:rPr>
        <w:t>’</w:t>
      </w:r>
      <w:r w:rsidR="00B76460">
        <w:rPr>
          <w:lang w:val="fr-FR"/>
        </w:rPr>
        <w:t>i</w:t>
      </w:r>
      <w:r w:rsidR="00C56FEA" w:rsidRPr="0007414F">
        <w:rPr>
          <w:lang w:val="fr-FR"/>
        </w:rPr>
        <w:t>nvite</w:t>
      </w:r>
      <w:r w:rsidR="00B76460">
        <w:rPr>
          <w:lang w:val="fr-FR"/>
        </w:rPr>
        <w:t>r</w:t>
      </w:r>
      <w:r w:rsidR="00D639EE" w:rsidRPr="0007414F">
        <w:rPr>
          <w:lang w:val="fr-FR"/>
        </w:rPr>
        <w:t xml:space="preserve"> </w:t>
      </w:r>
      <w:r w:rsidR="00D639EE">
        <w:rPr>
          <w:lang w:val="fr-FR"/>
        </w:rPr>
        <w:t>les </w:t>
      </w:r>
      <w:r w:rsidR="00D639EE" w:rsidRPr="0007414F">
        <w:rPr>
          <w:lang w:val="fr-FR"/>
        </w:rPr>
        <w:t>TWP</w:t>
      </w:r>
      <w:r w:rsidR="00C56FEA" w:rsidRPr="0007414F">
        <w:rPr>
          <w:lang w:val="fr-FR"/>
        </w:rPr>
        <w:t xml:space="preserve"> </w:t>
      </w:r>
      <w:r w:rsidR="00B76460">
        <w:rPr>
          <w:lang w:val="fr-FR"/>
        </w:rPr>
        <w:t>à</w:t>
      </w:r>
      <w:r w:rsidR="00C56FEA" w:rsidRPr="0007414F">
        <w:rPr>
          <w:lang w:val="fr-FR"/>
        </w:rPr>
        <w:t xml:space="preserve"> </w:t>
      </w:r>
      <w:r w:rsidR="00D5632E">
        <w:rPr>
          <w:lang w:val="fr-FR"/>
        </w:rPr>
        <w:t>mettre en place</w:t>
      </w:r>
      <w:r w:rsidR="00C56FEA" w:rsidRPr="0007414F">
        <w:rPr>
          <w:lang w:val="fr-FR"/>
        </w:rPr>
        <w:t xml:space="preserve"> </w:t>
      </w:r>
      <w:r w:rsidR="00B76460">
        <w:rPr>
          <w:lang w:val="fr-FR"/>
        </w:rPr>
        <w:t xml:space="preserve">des groupes de </w:t>
      </w:r>
      <w:r w:rsidR="00C56FEA" w:rsidRPr="0007414F">
        <w:rPr>
          <w:lang w:val="fr-FR"/>
        </w:rPr>
        <w:t xml:space="preserve">discussion </w:t>
      </w:r>
      <w:r w:rsidR="00B76460">
        <w:rPr>
          <w:lang w:val="fr-FR"/>
        </w:rPr>
        <w:t xml:space="preserve">pour permettre aux </w:t>
      </w:r>
      <w:r w:rsidR="00C56FEA" w:rsidRPr="0007414F">
        <w:rPr>
          <w:lang w:val="fr-FR"/>
        </w:rPr>
        <w:t xml:space="preserve">participants </w:t>
      </w:r>
      <w:r w:rsidR="00B76460">
        <w:rPr>
          <w:lang w:val="fr-FR"/>
        </w:rPr>
        <w:t>d</w:t>
      </w:r>
      <w:r w:rsidR="00D639EE">
        <w:rPr>
          <w:lang w:val="fr-FR"/>
        </w:rPr>
        <w:t>’</w:t>
      </w:r>
      <w:r w:rsidR="00B76460">
        <w:rPr>
          <w:lang w:val="fr-FR"/>
        </w:rPr>
        <w:t>échanger des i</w:t>
      </w:r>
      <w:r w:rsidR="00C56FEA" w:rsidRPr="0007414F">
        <w:rPr>
          <w:lang w:val="fr-FR"/>
        </w:rPr>
        <w:t>nformation</w:t>
      </w:r>
      <w:r w:rsidR="00B76460">
        <w:rPr>
          <w:lang w:val="fr-FR"/>
        </w:rPr>
        <w:t>s</w:t>
      </w:r>
      <w:r w:rsidR="00C56FEA" w:rsidRPr="0007414F">
        <w:rPr>
          <w:lang w:val="fr-FR"/>
        </w:rPr>
        <w:t xml:space="preserve"> </w:t>
      </w:r>
      <w:r w:rsidR="00B76460">
        <w:rPr>
          <w:lang w:val="fr-FR"/>
        </w:rPr>
        <w:t xml:space="preserve">sur </w:t>
      </w:r>
      <w:r w:rsidR="00915233">
        <w:rPr>
          <w:lang w:val="fr-FR"/>
        </w:rPr>
        <w:t>leur travail</w:t>
      </w:r>
      <w:r w:rsidR="00B76460">
        <w:rPr>
          <w:lang w:val="fr-FR"/>
        </w:rPr>
        <w:t xml:space="preserve"> et</w:t>
      </w:r>
      <w:r w:rsidR="00C56FEA" w:rsidRPr="0007414F">
        <w:rPr>
          <w:lang w:val="fr-FR"/>
        </w:rPr>
        <w:t xml:space="preserve"> </w:t>
      </w:r>
      <w:r w:rsidR="00915233">
        <w:rPr>
          <w:lang w:val="fr-FR"/>
        </w:rPr>
        <w:t>d</w:t>
      </w:r>
      <w:r w:rsidR="00D639EE">
        <w:rPr>
          <w:lang w:val="fr-FR"/>
        </w:rPr>
        <w:t>’</w:t>
      </w:r>
      <w:r w:rsidR="00C56FEA" w:rsidRPr="0007414F">
        <w:rPr>
          <w:lang w:val="fr-FR"/>
        </w:rPr>
        <w:t>explore</w:t>
      </w:r>
      <w:r w:rsidR="00B76460">
        <w:rPr>
          <w:lang w:val="fr-FR"/>
        </w:rPr>
        <w:t>r</w:t>
      </w:r>
      <w:r w:rsidR="00C56FEA" w:rsidRPr="0007414F">
        <w:rPr>
          <w:lang w:val="fr-FR"/>
        </w:rPr>
        <w:t xml:space="preserve"> </w:t>
      </w:r>
      <w:r w:rsidR="00B76460">
        <w:rPr>
          <w:lang w:val="fr-FR"/>
        </w:rPr>
        <w:t xml:space="preserve">les domaines de </w:t>
      </w:r>
      <w:r w:rsidR="00C56FEA" w:rsidRPr="0007414F">
        <w:rPr>
          <w:lang w:val="fr-FR"/>
        </w:rPr>
        <w:t>coop</w:t>
      </w:r>
      <w:r w:rsidR="00B76460">
        <w:rPr>
          <w:lang w:val="fr-FR"/>
        </w:rPr>
        <w:t>é</w:t>
      </w:r>
      <w:r w:rsidR="00C56FEA" w:rsidRPr="0007414F">
        <w:rPr>
          <w:lang w:val="fr-FR"/>
        </w:rPr>
        <w:t xml:space="preserve">ration </w:t>
      </w:r>
      <w:r w:rsidR="00B76460">
        <w:rPr>
          <w:lang w:val="fr-FR"/>
        </w:rPr>
        <w:t>en matière d</w:t>
      </w:r>
      <w:r w:rsidR="00D639EE">
        <w:rPr>
          <w:lang w:val="fr-FR"/>
        </w:rPr>
        <w:t>’</w:t>
      </w:r>
      <w:r w:rsidR="00B76460">
        <w:rPr>
          <w:lang w:val="fr-FR"/>
        </w:rPr>
        <w:t>utilisation de</w:t>
      </w:r>
      <w:r w:rsidR="00C56FEA" w:rsidRPr="0007414F">
        <w:rPr>
          <w:lang w:val="fr-FR"/>
        </w:rPr>
        <w:t xml:space="preserve"> </w:t>
      </w:r>
      <w:r w:rsidR="00583353">
        <w:rPr>
          <w:lang w:val="fr-FR"/>
        </w:rPr>
        <w:t xml:space="preserve">techniques </w:t>
      </w:r>
      <w:r w:rsidR="00B76460">
        <w:rPr>
          <w:lang w:val="fr-FR"/>
        </w:rPr>
        <w:t xml:space="preserve">biochimiques et </w:t>
      </w:r>
      <w:r w:rsidR="00583353">
        <w:rPr>
          <w:lang w:val="fr-FR"/>
        </w:rPr>
        <w:t>moléculaires</w:t>
      </w:r>
      <w:r w:rsidR="00C56FEA" w:rsidRPr="0007414F">
        <w:rPr>
          <w:lang w:val="fr-FR"/>
        </w:rPr>
        <w:t xml:space="preserve"> </w:t>
      </w:r>
      <w:r w:rsidR="00B76460">
        <w:rPr>
          <w:lang w:val="fr-FR"/>
        </w:rPr>
        <w:t>dans le cadre de l</w:t>
      </w:r>
      <w:r w:rsidR="00D639EE">
        <w:rPr>
          <w:lang w:val="fr-FR"/>
        </w:rPr>
        <w:t>’</w:t>
      </w:r>
      <w:r w:rsidR="00B76460">
        <w:rPr>
          <w:lang w:val="fr-FR"/>
        </w:rPr>
        <w:t>examen</w:t>
      </w:r>
      <w:r w:rsidR="001B53D1">
        <w:rPr>
          <w:lang w:val="fr-FR"/>
        </w:rPr>
        <w:t> </w:t>
      </w:r>
      <w:r w:rsidR="00B76460">
        <w:rPr>
          <w:lang w:val="fr-FR"/>
        </w:rPr>
        <w:t>DHS</w:t>
      </w:r>
      <w:r w:rsidR="00D639EE">
        <w:rPr>
          <w:lang w:val="fr-FR"/>
        </w:rPr>
        <w:t>;</w:t>
      </w:r>
    </w:p>
    <w:p w14:paraId="7BD8508F" w14:textId="77777777" w:rsidR="00E16389" w:rsidRPr="0007414F" w:rsidRDefault="00E16389" w:rsidP="00C56FEA">
      <w:pPr>
        <w:keepNext/>
        <w:keepLines/>
        <w:tabs>
          <w:tab w:val="left" w:pos="540"/>
          <w:tab w:val="left" w:pos="567"/>
          <w:tab w:val="left" w:pos="1134"/>
          <w:tab w:val="left" w:pos="5387"/>
        </w:tabs>
        <w:ind w:firstLine="540"/>
        <w:rPr>
          <w:lang w:val="fr-FR"/>
        </w:rPr>
      </w:pPr>
    </w:p>
    <w:p w14:paraId="2644E237" w14:textId="63DEB405" w:rsidR="00D639EE" w:rsidRDefault="00F409F0" w:rsidP="00C56FEA">
      <w:pPr>
        <w:keepNext/>
        <w:keepLines/>
        <w:tabs>
          <w:tab w:val="left" w:pos="540"/>
          <w:tab w:val="left" w:pos="567"/>
          <w:tab w:val="left" w:pos="1134"/>
          <w:tab w:val="left" w:pos="5387"/>
        </w:tabs>
        <w:ind w:firstLine="540"/>
        <w:rPr>
          <w:lang w:val="fr-FR"/>
        </w:rPr>
      </w:pPr>
      <w:r w:rsidRPr="0007414F">
        <w:rPr>
          <w:lang w:val="fr-FR"/>
        </w:rPr>
        <w:t>f</w:t>
      </w:r>
      <w:r w:rsidR="00C56FEA" w:rsidRPr="0007414F">
        <w:rPr>
          <w:lang w:val="fr-FR"/>
        </w:rPr>
        <w:t>)</w:t>
      </w:r>
      <w:r w:rsidR="00C56FEA" w:rsidRPr="0007414F">
        <w:rPr>
          <w:lang w:val="fr-FR"/>
        </w:rPr>
        <w:tab/>
      </w:r>
      <w:r w:rsidR="00B76460">
        <w:rPr>
          <w:lang w:val="fr-FR"/>
        </w:rPr>
        <w:t xml:space="preserve">prendre </w:t>
      </w:r>
      <w:r w:rsidR="00C56FEA" w:rsidRPr="0007414F">
        <w:rPr>
          <w:lang w:val="fr-FR"/>
        </w:rPr>
        <w:t xml:space="preserve">note </w:t>
      </w:r>
      <w:r w:rsidR="00B76460">
        <w:rPr>
          <w:lang w:val="fr-FR"/>
        </w:rPr>
        <w:t xml:space="preserve">des </w:t>
      </w:r>
      <w:r w:rsidR="00C56FEA" w:rsidRPr="0007414F">
        <w:rPr>
          <w:lang w:val="fr-FR"/>
        </w:rPr>
        <w:t xml:space="preserve">discussions </w:t>
      </w:r>
      <w:r w:rsidR="00B76460">
        <w:rPr>
          <w:lang w:val="fr-FR"/>
        </w:rPr>
        <w:t>qu</w:t>
      </w:r>
      <w:r w:rsidR="00D639EE">
        <w:rPr>
          <w:lang w:val="fr-FR"/>
        </w:rPr>
        <w:t>’</w:t>
      </w:r>
      <w:r w:rsidR="00B76460">
        <w:rPr>
          <w:lang w:val="fr-FR"/>
        </w:rPr>
        <w:t>ont t</w:t>
      </w:r>
      <w:r w:rsidR="00C56FEA" w:rsidRPr="0007414F">
        <w:rPr>
          <w:lang w:val="fr-FR"/>
        </w:rPr>
        <w:t>e</w:t>
      </w:r>
      <w:r w:rsidR="00B76460">
        <w:rPr>
          <w:lang w:val="fr-FR"/>
        </w:rPr>
        <w:t>nues</w:t>
      </w:r>
      <w:r w:rsidR="00D639EE">
        <w:rPr>
          <w:lang w:val="fr-FR"/>
        </w:rPr>
        <w:t xml:space="preserve"> les </w:t>
      </w:r>
      <w:r w:rsidR="00D639EE" w:rsidRPr="0007414F">
        <w:rPr>
          <w:lang w:val="fr-FR"/>
        </w:rPr>
        <w:t>TWP</w:t>
      </w:r>
      <w:r w:rsidR="00B76460">
        <w:rPr>
          <w:lang w:val="fr-FR"/>
        </w:rPr>
        <w:t xml:space="preserve"> à l</w:t>
      </w:r>
      <w:r w:rsidR="00D639EE">
        <w:rPr>
          <w:lang w:val="fr-FR"/>
        </w:rPr>
        <w:t>’</w:t>
      </w:r>
      <w:r w:rsidR="00B76460">
        <w:rPr>
          <w:lang w:val="fr-FR"/>
        </w:rPr>
        <w:t>occasion de leurs</w:t>
      </w:r>
      <w:r w:rsidR="00C56FEA" w:rsidRPr="0007414F">
        <w:rPr>
          <w:lang w:val="fr-FR"/>
        </w:rPr>
        <w:t xml:space="preserve"> sessions </w:t>
      </w:r>
      <w:r w:rsidR="00D639EE">
        <w:rPr>
          <w:lang w:val="fr-FR"/>
        </w:rPr>
        <w:t>de </w:t>
      </w:r>
      <w:r w:rsidR="00D639EE" w:rsidRPr="0007414F">
        <w:rPr>
          <w:lang w:val="fr-FR"/>
        </w:rPr>
        <w:t>2022</w:t>
      </w:r>
      <w:r w:rsidR="00C56FEA" w:rsidRPr="0007414F">
        <w:rPr>
          <w:lang w:val="fr-FR"/>
        </w:rPr>
        <w:t xml:space="preserve">, </w:t>
      </w:r>
      <w:r w:rsidR="00B76460">
        <w:rPr>
          <w:lang w:val="fr-FR"/>
        </w:rPr>
        <w:t>portant sur le thème</w:t>
      </w:r>
      <w:r w:rsidR="00C56FEA" w:rsidRPr="0007414F">
        <w:rPr>
          <w:lang w:val="fr-FR"/>
        </w:rPr>
        <w:t xml:space="preserve"> “</w:t>
      </w:r>
      <w:r w:rsidR="00534003" w:rsidRPr="00B76460">
        <w:rPr>
          <w:rFonts w:cs="Arial"/>
          <w:color w:val="000000"/>
          <w:lang w:val="fr-FR"/>
        </w:rPr>
        <w:t xml:space="preserve">Confidentialité et titularité des </w:t>
      </w:r>
      <w:r w:rsidR="00EC76C8">
        <w:rPr>
          <w:rFonts w:cs="Arial"/>
          <w:color w:val="000000"/>
          <w:lang w:val="fr-FR"/>
        </w:rPr>
        <w:t>informations</w:t>
      </w:r>
      <w:r w:rsidR="00534003" w:rsidRPr="00B76460">
        <w:rPr>
          <w:rFonts w:cs="Arial"/>
          <w:color w:val="000000"/>
          <w:lang w:val="fr-FR"/>
        </w:rPr>
        <w:t xml:space="preserve"> moléculaires</w:t>
      </w:r>
      <w:r w:rsidR="00C56FEA" w:rsidRPr="0007414F">
        <w:rPr>
          <w:lang w:val="fr-FR"/>
        </w:rPr>
        <w:t>”</w:t>
      </w:r>
      <w:r w:rsidR="00D639EE">
        <w:rPr>
          <w:lang w:val="fr-FR"/>
        </w:rPr>
        <w:t>;</w:t>
      </w:r>
    </w:p>
    <w:p w14:paraId="328A7305" w14:textId="20A2F2AF" w:rsidR="00C56FEA" w:rsidRPr="0007414F" w:rsidRDefault="00C56FEA" w:rsidP="00C56FEA">
      <w:pPr>
        <w:keepNext/>
        <w:keepLines/>
        <w:tabs>
          <w:tab w:val="left" w:pos="540"/>
          <w:tab w:val="left" w:pos="567"/>
          <w:tab w:val="left" w:pos="1134"/>
          <w:tab w:val="left" w:pos="5387"/>
        </w:tabs>
        <w:ind w:firstLine="540"/>
        <w:rPr>
          <w:lang w:val="fr-FR"/>
        </w:rPr>
      </w:pPr>
    </w:p>
    <w:p w14:paraId="046B56FE" w14:textId="30DACC41" w:rsidR="00C56FEA" w:rsidRPr="0007414F" w:rsidRDefault="00F409F0" w:rsidP="00C56FEA">
      <w:pPr>
        <w:keepNext/>
        <w:keepLines/>
        <w:tabs>
          <w:tab w:val="left" w:pos="540"/>
          <w:tab w:val="left" w:pos="567"/>
          <w:tab w:val="left" w:pos="1134"/>
          <w:tab w:val="left" w:pos="5387"/>
        </w:tabs>
        <w:ind w:firstLine="540"/>
        <w:rPr>
          <w:lang w:val="fr-FR"/>
        </w:rPr>
      </w:pPr>
      <w:r w:rsidRPr="0007414F">
        <w:rPr>
          <w:lang w:val="fr-FR"/>
        </w:rPr>
        <w:t>g</w:t>
      </w:r>
      <w:r w:rsidR="00C56FEA" w:rsidRPr="0007414F">
        <w:rPr>
          <w:lang w:val="fr-FR"/>
        </w:rPr>
        <w:t>)</w:t>
      </w:r>
      <w:r w:rsidR="00C56FEA" w:rsidRPr="0007414F">
        <w:rPr>
          <w:lang w:val="fr-FR"/>
        </w:rPr>
        <w:tab/>
      </w:r>
      <w:r w:rsidR="00B76460">
        <w:rPr>
          <w:lang w:val="fr-FR"/>
        </w:rPr>
        <w:t xml:space="preserve">prendre </w:t>
      </w:r>
      <w:r w:rsidR="00C56FEA" w:rsidRPr="0007414F">
        <w:rPr>
          <w:lang w:val="fr-FR"/>
        </w:rPr>
        <w:t xml:space="preserve">note </w:t>
      </w:r>
      <w:r w:rsidR="00B76460">
        <w:rPr>
          <w:lang w:val="fr-FR"/>
        </w:rPr>
        <w:t xml:space="preserve">des préoccupations </w:t>
      </w:r>
      <w:r w:rsidR="00C56FEA" w:rsidRPr="0007414F">
        <w:rPr>
          <w:lang w:val="fr-FR"/>
        </w:rPr>
        <w:t>expr</w:t>
      </w:r>
      <w:r w:rsidR="00B76460">
        <w:rPr>
          <w:lang w:val="fr-FR"/>
        </w:rPr>
        <w:t>imé</w:t>
      </w:r>
      <w:r w:rsidR="00C56FEA" w:rsidRPr="0007414F">
        <w:rPr>
          <w:lang w:val="fr-FR"/>
        </w:rPr>
        <w:t>es</w:t>
      </w:r>
      <w:r w:rsidR="00D639EE" w:rsidRPr="0007414F">
        <w:rPr>
          <w:lang w:val="fr-FR"/>
        </w:rPr>
        <w:t xml:space="preserve"> </w:t>
      </w:r>
      <w:r w:rsidR="00D639EE">
        <w:rPr>
          <w:lang w:val="fr-FR"/>
        </w:rPr>
        <w:t>a</w:t>
      </w:r>
      <w:r w:rsidR="00D639EE" w:rsidRPr="008E7295">
        <w:rPr>
          <w:lang w:val="fr-FR"/>
        </w:rPr>
        <w:t>u</w:t>
      </w:r>
      <w:r w:rsidR="00D639EE">
        <w:rPr>
          <w:lang w:val="fr-FR"/>
        </w:rPr>
        <w:t> </w:t>
      </w:r>
      <w:r w:rsidR="00D639EE" w:rsidRPr="008E7295">
        <w:rPr>
          <w:lang w:val="fr-FR"/>
        </w:rPr>
        <w:t>TWM</w:t>
      </w:r>
      <w:r w:rsidR="008E7295" w:rsidRPr="008E7295">
        <w:rPr>
          <w:lang w:val="fr-FR"/>
        </w:rPr>
        <w:t xml:space="preserve"> </w:t>
      </w:r>
      <w:r w:rsidR="00B76460">
        <w:rPr>
          <w:lang w:val="fr-FR"/>
        </w:rPr>
        <w:t>par les organisations d</w:t>
      </w:r>
      <w:r w:rsidR="00D639EE">
        <w:rPr>
          <w:lang w:val="fr-FR"/>
        </w:rPr>
        <w:t>’</w:t>
      </w:r>
      <w:r w:rsidR="00B76460">
        <w:rPr>
          <w:lang w:val="fr-FR"/>
        </w:rPr>
        <w:t>obtenteurs</w:t>
      </w:r>
      <w:r w:rsidR="00EB5ED6">
        <w:rPr>
          <w:lang w:val="fr-FR"/>
        </w:rPr>
        <w:t xml:space="preserve">, selon lesquelles les </w:t>
      </w:r>
      <w:r w:rsidR="00EC76C8">
        <w:rPr>
          <w:lang w:val="fr-FR"/>
        </w:rPr>
        <w:t>informations</w:t>
      </w:r>
      <w:r w:rsidR="00EB5ED6">
        <w:rPr>
          <w:lang w:val="fr-FR"/>
        </w:rPr>
        <w:t xml:space="preserve"> moléculaires</w:t>
      </w:r>
      <w:r w:rsidR="00C56FEA" w:rsidRPr="0007414F">
        <w:rPr>
          <w:lang w:val="fr-FR"/>
        </w:rPr>
        <w:t xml:space="preserve"> </w:t>
      </w:r>
      <w:r w:rsidR="00EB5ED6">
        <w:rPr>
          <w:lang w:val="fr-FR"/>
        </w:rPr>
        <w:t>obtenues après examen</w:t>
      </w:r>
      <w:r w:rsidR="00C56FEA" w:rsidRPr="0007414F">
        <w:rPr>
          <w:lang w:val="fr-FR"/>
        </w:rPr>
        <w:t xml:space="preserve"> </w:t>
      </w:r>
      <w:r w:rsidR="00EB5ED6">
        <w:rPr>
          <w:lang w:val="fr-FR"/>
        </w:rPr>
        <w:t>d</w:t>
      </w:r>
      <w:r w:rsidR="00D639EE">
        <w:rPr>
          <w:lang w:val="fr-FR"/>
        </w:rPr>
        <w:t>’</w:t>
      </w:r>
      <w:r w:rsidR="00EB5ED6">
        <w:rPr>
          <w:lang w:val="fr-FR"/>
        </w:rPr>
        <w:t>une</w:t>
      </w:r>
      <w:r w:rsidR="00C56FEA" w:rsidRPr="0007414F">
        <w:rPr>
          <w:lang w:val="fr-FR"/>
        </w:rPr>
        <w:t xml:space="preserve"> </w:t>
      </w:r>
      <w:r w:rsidR="00EB5ED6">
        <w:rPr>
          <w:lang w:val="fr-FR"/>
        </w:rPr>
        <w:t>variété</w:t>
      </w:r>
      <w:r w:rsidR="00C56FEA" w:rsidRPr="0007414F">
        <w:rPr>
          <w:lang w:val="fr-FR"/>
        </w:rPr>
        <w:t xml:space="preserve"> </w:t>
      </w:r>
      <w:r w:rsidR="00EB5ED6">
        <w:rPr>
          <w:lang w:val="fr-FR"/>
        </w:rPr>
        <w:t xml:space="preserve">ne devraient pas être fournies à </w:t>
      </w:r>
      <w:r w:rsidR="00935290">
        <w:rPr>
          <w:lang w:val="fr-FR"/>
        </w:rPr>
        <w:t>d</w:t>
      </w:r>
      <w:r w:rsidR="00D639EE">
        <w:rPr>
          <w:lang w:val="fr-FR"/>
        </w:rPr>
        <w:t>’</w:t>
      </w:r>
      <w:r w:rsidR="00935290">
        <w:rPr>
          <w:lang w:val="fr-FR"/>
        </w:rPr>
        <w:t>autres personnes</w:t>
      </w:r>
      <w:r w:rsidR="00EB5ED6">
        <w:rPr>
          <w:lang w:val="fr-FR"/>
        </w:rPr>
        <w:t xml:space="preserve"> en dehors de l</w:t>
      </w:r>
      <w:r w:rsidR="00D639EE">
        <w:rPr>
          <w:lang w:val="fr-FR"/>
        </w:rPr>
        <w:t>’</w:t>
      </w:r>
      <w:r w:rsidR="00C56FEA" w:rsidRPr="0007414F">
        <w:rPr>
          <w:lang w:val="fr-FR"/>
        </w:rPr>
        <w:t>autorit</w:t>
      </w:r>
      <w:r w:rsidR="00EB5ED6">
        <w:rPr>
          <w:lang w:val="fr-FR"/>
        </w:rPr>
        <w:t>é</w:t>
      </w:r>
      <w:r w:rsidR="00C56FEA" w:rsidRPr="0007414F">
        <w:rPr>
          <w:lang w:val="fr-FR"/>
        </w:rPr>
        <w:t xml:space="preserve"> </w:t>
      </w:r>
      <w:r w:rsidR="00EB5ED6">
        <w:rPr>
          <w:lang w:val="fr-FR"/>
        </w:rPr>
        <w:t xml:space="preserve">qui a reçu la demande, sans la </w:t>
      </w:r>
      <w:r w:rsidR="00C56FEA" w:rsidRPr="0007414F">
        <w:rPr>
          <w:lang w:val="fr-FR"/>
        </w:rPr>
        <w:t xml:space="preserve">permission </w:t>
      </w:r>
      <w:r w:rsidR="00EB5ED6">
        <w:rPr>
          <w:lang w:val="fr-FR"/>
        </w:rPr>
        <w:t>de l</w:t>
      </w:r>
      <w:r w:rsidR="00D639EE">
        <w:rPr>
          <w:lang w:val="fr-FR"/>
        </w:rPr>
        <w:t>’</w:t>
      </w:r>
      <w:r w:rsidR="00EB5ED6">
        <w:rPr>
          <w:lang w:val="fr-FR"/>
        </w:rPr>
        <w:t>obtenteur</w:t>
      </w:r>
      <w:r w:rsidR="00D639EE">
        <w:rPr>
          <w:lang w:val="fr-FR"/>
        </w:rPr>
        <w:t>;</w:t>
      </w:r>
    </w:p>
    <w:p w14:paraId="24F50F63" w14:textId="77777777" w:rsidR="00C56FEA" w:rsidRPr="0007414F" w:rsidRDefault="00C56FEA" w:rsidP="00C56FEA">
      <w:pPr>
        <w:keepNext/>
        <w:keepLines/>
        <w:tabs>
          <w:tab w:val="left" w:pos="540"/>
          <w:tab w:val="left" w:pos="567"/>
          <w:tab w:val="left" w:pos="1134"/>
          <w:tab w:val="left" w:pos="5387"/>
        </w:tabs>
        <w:ind w:firstLine="540"/>
        <w:rPr>
          <w:lang w:val="fr-FR"/>
        </w:rPr>
      </w:pPr>
    </w:p>
    <w:p w14:paraId="685C1CE2" w14:textId="12B001AA" w:rsidR="00C56FEA" w:rsidRPr="0007414F" w:rsidRDefault="00F409F0" w:rsidP="00C56FEA">
      <w:pPr>
        <w:keepNext/>
        <w:keepLines/>
        <w:tabs>
          <w:tab w:val="left" w:pos="540"/>
          <w:tab w:val="left" w:pos="567"/>
          <w:tab w:val="left" w:pos="1134"/>
          <w:tab w:val="left" w:pos="5387"/>
        </w:tabs>
        <w:ind w:firstLine="540"/>
        <w:rPr>
          <w:lang w:val="fr-FR"/>
        </w:rPr>
      </w:pPr>
      <w:r w:rsidRPr="0007414F">
        <w:rPr>
          <w:lang w:val="fr-FR"/>
        </w:rPr>
        <w:t>h</w:t>
      </w:r>
      <w:r w:rsidR="00C56FEA" w:rsidRPr="0007414F">
        <w:rPr>
          <w:lang w:val="fr-FR"/>
        </w:rPr>
        <w:t>)</w:t>
      </w:r>
      <w:r w:rsidR="00C56FEA" w:rsidRPr="0007414F">
        <w:rPr>
          <w:lang w:val="fr-FR"/>
        </w:rPr>
        <w:tab/>
      </w:r>
      <w:r w:rsidR="00EB5ED6" w:rsidRPr="00EB5ED6">
        <w:rPr>
          <w:lang w:val="fr-FR"/>
        </w:rPr>
        <w:t>examiner la possibilité d</w:t>
      </w:r>
      <w:r w:rsidR="00D639EE">
        <w:rPr>
          <w:lang w:val="fr-FR"/>
        </w:rPr>
        <w:t>’</w:t>
      </w:r>
      <w:r w:rsidR="00EB5ED6" w:rsidRPr="00EB5ED6">
        <w:rPr>
          <w:lang w:val="fr-FR"/>
        </w:rPr>
        <w:t xml:space="preserve">inviter les </w:t>
      </w:r>
      <w:r w:rsidR="00EB5ED6">
        <w:rPr>
          <w:lang w:val="fr-FR"/>
        </w:rPr>
        <w:t>membre</w:t>
      </w:r>
      <w:r w:rsidR="00C56FEA" w:rsidRPr="0007414F">
        <w:rPr>
          <w:lang w:val="fr-FR"/>
        </w:rPr>
        <w:t xml:space="preserve">s </w:t>
      </w:r>
      <w:r w:rsidR="008509CE">
        <w:rPr>
          <w:lang w:val="fr-FR"/>
        </w:rPr>
        <w:t xml:space="preserve">à fournir des </w:t>
      </w:r>
      <w:r w:rsidR="00C56FEA" w:rsidRPr="0007414F">
        <w:rPr>
          <w:lang w:val="fr-FR"/>
        </w:rPr>
        <w:t>information</w:t>
      </w:r>
      <w:r w:rsidR="008509CE">
        <w:rPr>
          <w:lang w:val="fr-FR"/>
        </w:rPr>
        <w:t>s</w:t>
      </w:r>
      <w:r w:rsidR="00C56FEA" w:rsidRPr="0007414F">
        <w:rPr>
          <w:lang w:val="fr-FR"/>
        </w:rPr>
        <w:t xml:space="preserve"> </w:t>
      </w:r>
      <w:r w:rsidR="008509CE">
        <w:rPr>
          <w:lang w:val="fr-FR"/>
        </w:rPr>
        <w:t>sur l</w:t>
      </w:r>
      <w:r w:rsidR="00C56FEA" w:rsidRPr="0007414F">
        <w:rPr>
          <w:lang w:val="fr-FR"/>
        </w:rPr>
        <w:t xml:space="preserve">e type </w:t>
      </w:r>
      <w:r w:rsidR="008509CE">
        <w:rPr>
          <w:lang w:val="fr-FR"/>
        </w:rPr>
        <w:t xml:space="preserve">et la finalité des </w:t>
      </w:r>
      <w:r w:rsidR="00EC76C8">
        <w:rPr>
          <w:lang w:val="fr-FR"/>
        </w:rPr>
        <w:t>informations</w:t>
      </w:r>
      <w:r w:rsidR="00EB5ED6">
        <w:rPr>
          <w:lang w:val="fr-FR"/>
        </w:rPr>
        <w:t xml:space="preserve"> moléculaires</w:t>
      </w:r>
      <w:r w:rsidR="00C56FEA" w:rsidRPr="0007414F">
        <w:rPr>
          <w:lang w:val="fr-FR"/>
        </w:rPr>
        <w:t xml:space="preserve"> u</w:t>
      </w:r>
      <w:r w:rsidR="008509CE">
        <w:rPr>
          <w:lang w:val="fr-FR"/>
        </w:rPr>
        <w:t xml:space="preserve">tilisées ou </w:t>
      </w:r>
      <w:proofErr w:type="gramStart"/>
      <w:r w:rsidR="008509CE">
        <w:rPr>
          <w:lang w:val="fr-FR"/>
        </w:rPr>
        <w:t>partagées</w:t>
      </w:r>
      <w:r w:rsidR="00D639EE">
        <w:rPr>
          <w:lang w:val="fr-FR"/>
        </w:rPr>
        <w:t xml:space="preserve">;  </w:t>
      </w:r>
      <w:r w:rsidR="008509CE">
        <w:rPr>
          <w:lang w:val="fr-FR"/>
        </w:rPr>
        <w:t>et</w:t>
      </w:r>
      <w:proofErr w:type="gramEnd"/>
    </w:p>
    <w:p w14:paraId="30CCF4BA" w14:textId="77777777" w:rsidR="00C56FEA" w:rsidRPr="0007414F" w:rsidRDefault="00C56FEA" w:rsidP="00C56FEA">
      <w:pPr>
        <w:keepNext/>
        <w:keepLines/>
        <w:tabs>
          <w:tab w:val="left" w:pos="540"/>
          <w:tab w:val="left" w:pos="567"/>
          <w:tab w:val="left" w:pos="1134"/>
          <w:tab w:val="left" w:pos="5387"/>
        </w:tabs>
        <w:ind w:firstLine="540"/>
        <w:rPr>
          <w:lang w:val="fr-FR"/>
        </w:rPr>
      </w:pPr>
    </w:p>
    <w:p w14:paraId="41D54941" w14:textId="43C7AD34" w:rsidR="00E16389" w:rsidRPr="0007414F" w:rsidRDefault="00F409F0" w:rsidP="00C56FEA">
      <w:pPr>
        <w:keepNext/>
        <w:keepLines/>
        <w:tabs>
          <w:tab w:val="left" w:pos="540"/>
          <w:tab w:val="left" w:pos="567"/>
          <w:tab w:val="left" w:pos="1134"/>
          <w:tab w:val="left" w:pos="5387"/>
        </w:tabs>
        <w:ind w:firstLine="540"/>
        <w:rPr>
          <w:lang w:val="fr-FR"/>
        </w:rPr>
      </w:pPr>
      <w:r w:rsidRPr="0007414F">
        <w:rPr>
          <w:lang w:val="fr-FR"/>
        </w:rPr>
        <w:t>i</w:t>
      </w:r>
      <w:r w:rsidR="00C56FEA" w:rsidRPr="0007414F">
        <w:rPr>
          <w:lang w:val="fr-FR"/>
        </w:rPr>
        <w:t>)</w:t>
      </w:r>
      <w:r w:rsidR="00C56FEA" w:rsidRPr="0007414F">
        <w:rPr>
          <w:lang w:val="fr-FR"/>
        </w:rPr>
        <w:tab/>
      </w:r>
      <w:r w:rsidR="00EB5ED6" w:rsidRPr="00EB5ED6">
        <w:rPr>
          <w:lang w:val="fr-FR"/>
        </w:rPr>
        <w:t>examiner la possibilité d</w:t>
      </w:r>
      <w:r w:rsidR="00D639EE">
        <w:rPr>
          <w:lang w:val="fr-FR"/>
        </w:rPr>
        <w:t>’</w:t>
      </w:r>
      <w:r w:rsidR="00EB5ED6" w:rsidRPr="00EB5ED6">
        <w:rPr>
          <w:lang w:val="fr-FR"/>
        </w:rPr>
        <w:t>inviter les</w:t>
      </w:r>
      <w:r w:rsidR="00C56FEA" w:rsidRPr="0007414F">
        <w:rPr>
          <w:lang w:val="fr-FR"/>
        </w:rPr>
        <w:t xml:space="preserve"> </w:t>
      </w:r>
      <w:r w:rsidR="00EB5ED6">
        <w:rPr>
          <w:lang w:val="fr-FR"/>
        </w:rPr>
        <w:t>membre</w:t>
      </w:r>
      <w:r w:rsidR="00C56FEA" w:rsidRPr="0007414F">
        <w:rPr>
          <w:lang w:val="fr-FR"/>
        </w:rPr>
        <w:t xml:space="preserve">s </w:t>
      </w:r>
      <w:r w:rsidR="008509CE">
        <w:rPr>
          <w:lang w:val="fr-FR"/>
        </w:rPr>
        <w:t>et les</w:t>
      </w:r>
      <w:r w:rsidR="00C56FEA" w:rsidRPr="0007414F">
        <w:rPr>
          <w:lang w:val="fr-FR"/>
        </w:rPr>
        <w:t xml:space="preserve"> observ</w:t>
      </w:r>
      <w:r w:rsidR="008509CE">
        <w:rPr>
          <w:lang w:val="fr-FR"/>
        </w:rPr>
        <w:t>ateur</w:t>
      </w:r>
      <w:r w:rsidR="00C56FEA" w:rsidRPr="0007414F">
        <w:rPr>
          <w:lang w:val="fr-FR"/>
        </w:rPr>
        <w:t xml:space="preserve">s </w:t>
      </w:r>
      <w:r w:rsidR="008509CE">
        <w:rPr>
          <w:lang w:val="fr-FR"/>
        </w:rPr>
        <w:t xml:space="preserve">à présenter les mesures en vigueur en matière de </w:t>
      </w:r>
      <w:r w:rsidR="00C56FEA" w:rsidRPr="0007414F">
        <w:rPr>
          <w:lang w:val="fr-FR"/>
        </w:rPr>
        <w:t>confidentialit</w:t>
      </w:r>
      <w:r w:rsidR="008509CE">
        <w:rPr>
          <w:lang w:val="fr-FR"/>
        </w:rPr>
        <w:t>é</w:t>
      </w:r>
      <w:r w:rsidR="00C56FEA" w:rsidRPr="0007414F">
        <w:rPr>
          <w:lang w:val="fr-FR"/>
        </w:rPr>
        <w:t xml:space="preserve"> </w:t>
      </w:r>
      <w:r w:rsidR="008509CE">
        <w:rPr>
          <w:lang w:val="fr-FR"/>
        </w:rPr>
        <w:t>des</w:t>
      </w:r>
      <w:r w:rsidR="00C56FEA" w:rsidRPr="0007414F">
        <w:rPr>
          <w:lang w:val="fr-FR"/>
        </w:rPr>
        <w:t xml:space="preserve"> </w:t>
      </w:r>
      <w:r w:rsidR="00EC76C8">
        <w:rPr>
          <w:lang w:val="fr-FR"/>
        </w:rPr>
        <w:t>informations</w:t>
      </w:r>
      <w:r w:rsidR="00EB5ED6">
        <w:rPr>
          <w:lang w:val="fr-FR"/>
        </w:rPr>
        <w:t xml:space="preserve"> moléculaires</w:t>
      </w:r>
      <w:r w:rsidR="00D639EE" w:rsidRPr="0007414F">
        <w:rPr>
          <w:lang w:val="fr-FR"/>
        </w:rPr>
        <w:t xml:space="preserve"> a</w:t>
      </w:r>
      <w:r w:rsidR="00D639EE">
        <w:rPr>
          <w:lang w:val="fr-FR"/>
        </w:rPr>
        <w:t>ux </w:t>
      </w:r>
      <w:r w:rsidR="00D639EE" w:rsidRPr="0007414F">
        <w:rPr>
          <w:lang w:val="fr-FR"/>
        </w:rPr>
        <w:t>TWP</w:t>
      </w:r>
      <w:r w:rsidR="00C56FEA" w:rsidRPr="0007414F">
        <w:rPr>
          <w:lang w:val="fr-FR"/>
        </w:rPr>
        <w:t xml:space="preserve">, </w:t>
      </w:r>
      <w:r w:rsidR="008509CE">
        <w:rPr>
          <w:lang w:val="fr-FR"/>
        </w:rPr>
        <w:t>lors de leurs</w:t>
      </w:r>
      <w:r w:rsidR="00C56FEA" w:rsidRPr="0007414F">
        <w:rPr>
          <w:lang w:val="fr-FR"/>
        </w:rPr>
        <w:t xml:space="preserve"> sessions </w:t>
      </w:r>
      <w:r w:rsidR="00D639EE">
        <w:rPr>
          <w:lang w:val="fr-FR"/>
        </w:rPr>
        <w:t>e</w:t>
      </w:r>
      <w:r w:rsidR="00D639EE" w:rsidRPr="0007414F">
        <w:rPr>
          <w:lang w:val="fr-FR"/>
        </w:rPr>
        <w:t>n</w:t>
      </w:r>
      <w:r w:rsidR="00D639EE">
        <w:rPr>
          <w:lang w:val="fr-FR"/>
        </w:rPr>
        <w:t> </w:t>
      </w:r>
      <w:r w:rsidR="00D639EE" w:rsidRPr="0007414F">
        <w:rPr>
          <w:lang w:val="fr-FR"/>
        </w:rPr>
        <w:t>2023</w:t>
      </w:r>
      <w:r w:rsidR="00C56FEA" w:rsidRPr="0007414F">
        <w:rPr>
          <w:lang w:val="fr-FR"/>
        </w:rPr>
        <w:t>.</w:t>
      </w:r>
    </w:p>
    <w:p w14:paraId="2E68199B" w14:textId="77777777" w:rsidR="00C56FEA" w:rsidRPr="0007414F" w:rsidRDefault="00C56FEA" w:rsidP="00C56FEA">
      <w:pPr>
        <w:keepNext/>
        <w:keepLines/>
        <w:tabs>
          <w:tab w:val="left" w:pos="567"/>
          <w:tab w:val="left" w:pos="1134"/>
          <w:tab w:val="left" w:pos="5387"/>
          <w:tab w:val="left" w:pos="5954"/>
        </w:tabs>
        <w:rPr>
          <w:lang w:val="fr-FR"/>
        </w:rPr>
      </w:pPr>
    </w:p>
    <w:p w14:paraId="6AAB24B9" w14:textId="28FD398F" w:rsidR="00A36448" w:rsidRPr="0007414F" w:rsidRDefault="00A36448" w:rsidP="00A36448">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8509CE">
        <w:rPr>
          <w:lang w:val="fr-FR"/>
        </w:rPr>
        <w:t xml:space="preserve">Les </w:t>
      </w:r>
      <w:r w:rsidRPr="0007414F">
        <w:rPr>
          <w:lang w:val="fr-FR"/>
        </w:rPr>
        <w:t>abr</w:t>
      </w:r>
      <w:r w:rsidR="008509CE">
        <w:rPr>
          <w:lang w:val="fr-FR"/>
        </w:rPr>
        <w:t>é</w:t>
      </w:r>
      <w:r w:rsidRPr="0007414F">
        <w:rPr>
          <w:lang w:val="fr-FR"/>
        </w:rPr>
        <w:t xml:space="preserve">viations </w:t>
      </w:r>
      <w:r w:rsidR="008509CE">
        <w:rPr>
          <w:lang w:val="fr-FR"/>
        </w:rPr>
        <w:t>suivantes sont utilisées dans le présent document</w:t>
      </w:r>
      <w:r w:rsidR="00D639EE">
        <w:rPr>
          <w:lang w:val="fr-FR"/>
        </w:rPr>
        <w:t> :</w:t>
      </w:r>
    </w:p>
    <w:p w14:paraId="42ACD01B" w14:textId="77777777" w:rsidR="00A36448" w:rsidRPr="0007414F" w:rsidRDefault="00A36448" w:rsidP="00A36448">
      <w:pPr>
        <w:rPr>
          <w:lang w:val="fr-FR"/>
        </w:rPr>
      </w:pPr>
    </w:p>
    <w:p w14:paraId="0F849262" w14:textId="197A7C71" w:rsidR="00D639EE" w:rsidRDefault="00A36448" w:rsidP="00A36448">
      <w:pPr>
        <w:keepNext/>
        <w:tabs>
          <w:tab w:val="left" w:pos="567"/>
        </w:tabs>
        <w:ind w:left="1701" w:hanging="1134"/>
        <w:rPr>
          <w:sz w:val="18"/>
          <w:lang w:val="fr-FR"/>
        </w:rPr>
      </w:pPr>
      <w:r w:rsidRPr="0007414F">
        <w:rPr>
          <w:sz w:val="18"/>
          <w:lang w:val="fr-FR"/>
        </w:rPr>
        <w:lastRenderedPageBreak/>
        <w:t>BMT</w:t>
      </w:r>
      <w:r w:rsidR="006E7E88">
        <w:rPr>
          <w:sz w:val="18"/>
          <w:lang w:val="fr-FR"/>
        </w:rPr>
        <w:t> :</w:t>
      </w:r>
      <w:r w:rsidRPr="0007414F">
        <w:rPr>
          <w:sz w:val="18"/>
          <w:lang w:val="fr-FR"/>
        </w:rPr>
        <w:tab/>
      </w:r>
      <w:r w:rsidR="00583353" w:rsidRPr="00583353">
        <w:rPr>
          <w:sz w:val="18"/>
          <w:lang w:val="fr-FR"/>
        </w:rPr>
        <w:t>Groupe de travail sur les techniques biochimiques et moléculaires, notamment les profils d</w:t>
      </w:r>
      <w:r w:rsidR="00D639EE">
        <w:rPr>
          <w:sz w:val="18"/>
          <w:lang w:val="fr-FR"/>
        </w:rPr>
        <w:t>’</w:t>
      </w:r>
      <w:r w:rsidR="00583353" w:rsidRPr="00583353">
        <w:rPr>
          <w:sz w:val="18"/>
          <w:lang w:val="fr-FR"/>
        </w:rPr>
        <w:t>ADN</w:t>
      </w:r>
    </w:p>
    <w:p w14:paraId="13663D62" w14:textId="0D37170F" w:rsidR="00A36448" w:rsidRPr="0007414F" w:rsidRDefault="00A36448" w:rsidP="00A36448">
      <w:pPr>
        <w:ind w:left="1701" w:hanging="1134"/>
        <w:rPr>
          <w:rFonts w:cs="Arial"/>
          <w:snapToGrid w:val="0"/>
          <w:sz w:val="18"/>
          <w:szCs w:val="24"/>
          <w:lang w:val="fr-FR" w:eastAsia="ja-JP"/>
        </w:rPr>
      </w:pPr>
      <w:r w:rsidRPr="0007414F">
        <w:rPr>
          <w:rFonts w:eastAsia="PMingLiU" w:cs="Arial"/>
          <w:snapToGrid w:val="0"/>
          <w:sz w:val="18"/>
          <w:szCs w:val="24"/>
          <w:lang w:val="fr-FR" w:eastAsia="fr-FR"/>
        </w:rPr>
        <w:t>ISTA</w:t>
      </w:r>
      <w:r w:rsidR="00D639EE">
        <w:rPr>
          <w:rFonts w:eastAsia="PMingLiU" w:cs="Arial"/>
          <w:snapToGrid w:val="0"/>
          <w:sz w:val="18"/>
          <w:szCs w:val="24"/>
          <w:lang w:val="fr-FR" w:eastAsia="fr-FR"/>
        </w:rPr>
        <w:t> :</w:t>
      </w:r>
      <w:r w:rsidRPr="0007414F">
        <w:rPr>
          <w:rFonts w:eastAsia="PMingLiU" w:cs="Arial"/>
          <w:snapToGrid w:val="0"/>
          <w:sz w:val="18"/>
          <w:szCs w:val="24"/>
          <w:lang w:val="fr-FR" w:eastAsia="fr-FR"/>
        </w:rPr>
        <w:tab/>
      </w:r>
      <w:r w:rsidR="002338B5" w:rsidRPr="002338B5">
        <w:rPr>
          <w:rFonts w:eastAsia="PMingLiU" w:cs="Arial"/>
          <w:snapToGrid w:val="0"/>
          <w:sz w:val="18"/>
          <w:szCs w:val="24"/>
          <w:lang w:val="fr-FR" w:eastAsia="fr-FR"/>
        </w:rPr>
        <w:t>Association internationale d</w:t>
      </w:r>
      <w:r w:rsidR="00D639EE">
        <w:rPr>
          <w:rFonts w:eastAsia="PMingLiU" w:cs="Arial"/>
          <w:snapToGrid w:val="0"/>
          <w:sz w:val="18"/>
          <w:szCs w:val="24"/>
          <w:lang w:val="fr-FR" w:eastAsia="fr-FR"/>
        </w:rPr>
        <w:t>’</w:t>
      </w:r>
      <w:r w:rsidR="002338B5" w:rsidRPr="002338B5">
        <w:rPr>
          <w:rFonts w:eastAsia="PMingLiU" w:cs="Arial"/>
          <w:snapToGrid w:val="0"/>
          <w:sz w:val="18"/>
          <w:szCs w:val="24"/>
          <w:lang w:val="fr-FR" w:eastAsia="fr-FR"/>
        </w:rPr>
        <w:t>essais de semences</w:t>
      </w:r>
    </w:p>
    <w:p w14:paraId="544D8E06" w14:textId="57BBF846" w:rsidR="00A36448" w:rsidRPr="0007414F" w:rsidRDefault="002338B5" w:rsidP="00A36448">
      <w:pPr>
        <w:ind w:left="1701" w:hanging="1134"/>
        <w:rPr>
          <w:rFonts w:eastAsia="PMingLiU" w:cs="Arial"/>
          <w:snapToGrid w:val="0"/>
          <w:sz w:val="18"/>
          <w:szCs w:val="24"/>
          <w:lang w:val="fr-FR"/>
        </w:rPr>
      </w:pPr>
      <w:r>
        <w:rPr>
          <w:rFonts w:eastAsia="PMingLiU" w:cs="Arial"/>
          <w:sz w:val="18"/>
          <w:szCs w:val="24"/>
          <w:lang w:val="fr-FR"/>
        </w:rPr>
        <w:t>OCDE</w:t>
      </w:r>
      <w:r w:rsidR="006E7E88">
        <w:rPr>
          <w:rFonts w:eastAsia="PMingLiU" w:cs="Arial"/>
          <w:sz w:val="18"/>
          <w:szCs w:val="24"/>
          <w:lang w:val="fr-FR"/>
        </w:rPr>
        <w:t> :</w:t>
      </w:r>
      <w:r w:rsidR="00A36448" w:rsidRPr="0007414F">
        <w:rPr>
          <w:rFonts w:eastAsia="PMingLiU" w:cs="Arial"/>
          <w:sz w:val="18"/>
          <w:szCs w:val="24"/>
          <w:lang w:val="fr-FR"/>
        </w:rPr>
        <w:tab/>
      </w:r>
      <w:r w:rsidRPr="002338B5">
        <w:rPr>
          <w:rFonts w:eastAsia="PMingLiU" w:cs="Arial"/>
          <w:snapToGrid w:val="0"/>
          <w:sz w:val="18"/>
          <w:szCs w:val="24"/>
          <w:lang w:val="fr-FR"/>
        </w:rPr>
        <w:t>Organisation de coopération et de développement économiques</w:t>
      </w:r>
    </w:p>
    <w:p w14:paraId="3E4E6993" w14:textId="6DCAF82E" w:rsidR="00A36448" w:rsidRPr="0007414F" w:rsidRDefault="00D45AC7" w:rsidP="00A36448">
      <w:pPr>
        <w:keepNext/>
        <w:tabs>
          <w:tab w:val="left" w:pos="567"/>
        </w:tabs>
        <w:ind w:left="1701" w:hanging="1134"/>
        <w:rPr>
          <w:sz w:val="18"/>
          <w:lang w:val="fr-FR"/>
        </w:rPr>
      </w:pPr>
      <w:r>
        <w:rPr>
          <w:sz w:val="18"/>
          <w:lang w:val="fr-FR"/>
        </w:rPr>
        <w:t>T</w:t>
      </w:r>
      <w:r w:rsidR="002338B5">
        <w:rPr>
          <w:sz w:val="18"/>
          <w:lang w:val="fr-FR"/>
        </w:rPr>
        <w:t>C </w:t>
      </w:r>
      <w:r w:rsidR="006E7E88">
        <w:rPr>
          <w:sz w:val="18"/>
          <w:lang w:val="fr-FR"/>
        </w:rPr>
        <w:t>:</w:t>
      </w:r>
      <w:r w:rsidR="002338B5">
        <w:rPr>
          <w:sz w:val="18"/>
          <w:lang w:val="fr-FR"/>
        </w:rPr>
        <w:tab/>
      </w:r>
      <w:r w:rsidR="00583353">
        <w:rPr>
          <w:sz w:val="18"/>
          <w:lang w:val="fr-FR"/>
        </w:rPr>
        <w:t>Comité technique</w:t>
      </w:r>
    </w:p>
    <w:p w14:paraId="61350DBC" w14:textId="6DFD3E09" w:rsidR="00A36448" w:rsidRPr="0007414F" w:rsidRDefault="00A36448" w:rsidP="00A36448">
      <w:pPr>
        <w:ind w:left="1701" w:hanging="1134"/>
        <w:rPr>
          <w:rFonts w:eastAsia="PMingLiU" w:cs="Arial"/>
          <w:sz w:val="18"/>
          <w:szCs w:val="24"/>
          <w:lang w:val="fr-FR"/>
        </w:rPr>
      </w:pPr>
      <w:r w:rsidRPr="0007414F">
        <w:rPr>
          <w:rFonts w:eastAsia="PMingLiU" w:cs="Arial"/>
          <w:sz w:val="18"/>
          <w:szCs w:val="24"/>
          <w:lang w:val="fr-FR"/>
        </w:rPr>
        <w:t>TWA</w:t>
      </w:r>
      <w:r w:rsidR="006E7E88">
        <w:rPr>
          <w:rFonts w:eastAsia="PMingLiU" w:cs="Arial"/>
          <w:sz w:val="18"/>
          <w:szCs w:val="24"/>
          <w:lang w:val="fr-FR"/>
        </w:rPr>
        <w:t> :</w:t>
      </w:r>
      <w:r w:rsidRPr="0007414F">
        <w:rPr>
          <w:rFonts w:eastAsia="PMingLiU" w:cs="Arial"/>
          <w:sz w:val="18"/>
          <w:szCs w:val="24"/>
          <w:lang w:val="fr-FR"/>
        </w:rPr>
        <w:tab/>
      </w:r>
      <w:r w:rsidR="002338B5" w:rsidRPr="002338B5">
        <w:rPr>
          <w:rFonts w:eastAsia="PMingLiU" w:cs="Arial"/>
          <w:sz w:val="18"/>
          <w:szCs w:val="24"/>
          <w:lang w:val="fr-FR"/>
        </w:rPr>
        <w:t>Groupe de travail technique sur les plantes agricoles</w:t>
      </w:r>
    </w:p>
    <w:p w14:paraId="4B5CBD43" w14:textId="1165DCDC" w:rsidR="00A36448" w:rsidRPr="0007414F" w:rsidRDefault="00A36448" w:rsidP="00A36448">
      <w:pPr>
        <w:ind w:left="1701" w:hanging="1134"/>
        <w:rPr>
          <w:rFonts w:eastAsia="PMingLiU" w:cs="Arial"/>
          <w:sz w:val="18"/>
          <w:szCs w:val="24"/>
          <w:lang w:val="fr-FR"/>
        </w:rPr>
      </w:pPr>
      <w:r w:rsidRPr="0007414F">
        <w:rPr>
          <w:rFonts w:eastAsia="PMingLiU" w:cs="Arial"/>
          <w:sz w:val="18"/>
          <w:szCs w:val="24"/>
          <w:lang w:val="fr-FR"/>
        </w:rPr>
        <w:t>TWF</w:t>
      </w:r>
      <w:r w:rsidR="006E7E88">
        <w:rPr>
          <w:rFonts w:eastAsia="PMingLiU" w:cs="Arial"/>
          <w:sz w:val="18"/>
          <w:szCs w:val="24"/>
          <w:lang w:val="fr-FR"/>
        </w:rPr>
        <w:t> :</w:t>
      </w:r>
      <w:r w:rsidRPr="0007414F">
        <w:rPr>
          <w:rFonts w:eastAsia="PMingLiU" w:cs="Arial"/>
          <w:sz w:val="18"/>
          <w:szCs w:val="24"/>
          <w:lang w:val="fr-FR"/>
        </w:rPr>
        <w:tab/>
      </w:r>
      <w:r w:rsidR="002338B5" w:rsidRPr="002338B5">
        <w:rPr>
          <w:rFonts w:eastAsia="PMingLiU" w:cs="Arial"/>
          <w:sz w:val="18"/>
          <w:szCs w:val="24"/>
          <w:lang w:val="fr-FR"/>
        </w:rPr>
        <w:t>Groupe de travail technique sur les plantes fruitières</w:t>
      </w:r>
    </w:p>
    <w:p w14:paraId="1D9A1ADF" w14:textId="72C91BA2" w:rsidR="002338B5" w:rsidRDefault="00E16389" w:rsidP="00A36448">
      <w:pPr>
        <w:ind w:left="1701" w:hanging="1134"/>
        <w:rPr>
          <w:rFonts w:eastAsia="PMingLiU" w:cs="Arial"/>
          <w:sz w:val="18"/>
          <w:szCs w:val="24"/>
          <w:lang w:val="fr-FR"/>
        </w:rPr>
      </w:pPr>
      <w:r w:rsidRPr="0007414F">
        <w:rPr>
          <w:rFonts w:eastAsia="PMingLiU" w:cs="Arial"/>
          <w:sz w:val="18"/>
          <w:szCs w:val="24"/>
          <w:lang w:val="fr-FR"/>
        </w:rPr>
        <w:t>TWM</w:t>
      </w:r>
      <w:r w:rsidR="006E7E88">
        <w:rPr>
          <w:rFonts w:eastAsia="PMingLiU" w:cs="Arial"/>
          <w:sz w:val="18"/>
          <w:szCs w:val="24"/>
          <w:lang w:val="fr-FR"/>
        </w:rPr>
        <w:t> :</w:t>
      </w:r>
      <w:r w:rsidRPr="0007414F">
        <w:rPr>
          <w:rFonts w:eastAsia="PMingLiU" w:cs="Arial"/>
          <w:sz w:val="18"/>
          <w:szCs w:val="24"/>
          <w:lang w:val="fr-FR"/>
        </w:rPr>
        <w:tab/>
      </w:r>
      <w:r w:rsidR="002338B5" w:rsidRPr="002338B5">
        <w:rPr>
          <w:rFonts w:eastAsia="PMingLiU" w:cs="Arial"/>
          <w:sz w:val="18"/>
          <w:szCs w:val="24"/>
          <w:lang w:val="fr-FR"/>
        </w:rPr>
        <w:t xml:space="preserve">Groupe de travail technique sur les </w:t>
      </w:r>
      <w:r w:rsidR="002338B5">
        <w:rPr>
          <w:rFonts w:eastAsia="PMingLiU" w:cs="Arial"/>
          <w:sz w:val="18"/>
          <w:szCs w:val="24"/>
          <w:lang w:val="fr-FR"/>
        </w:rPr>
        <w:t>méthodes et techniques d</w:t>
      </w:r>
      <w:r w:rsidR="00D639EE">
        <w:rPr>
          <w:rFonts w:eastAsia="PMingLiU" w:cs="Arial"/>
          <w:sz w:val="18"/>
          <w:szCs w:val="24"/>
          <w:lang w:val="fr-FR"/>
        </w:rPr>
        <w:t>’</w:t>
      </w:r>
      <w:r w:rsidR="002338B5">
        <w:rPr>
          <w:rFonts w:eastAsia="PMingLiU" w:cs="Arial"/>
          <w:sz w:val="18"/>
          <w:szCs w:val="24"/>
          <w:lang w:val="fr-FR"/>
        </w:rPr>
        <w:t>essai</w:t>
      </w:r>
    </w:p>
    <w:p w14:paraId="00001F18" w14:textId="3BA92D7C" w:rsidR="00A36448" w:rsidRPr="0007414F" w:rsidRDefault="00A36448" w:rsidP="00A36448">
      <w:pPr>
        <w:ind w:left="1701" w:hanging="1134"/>
        <w:rPr>
          <w:rFonts w:eastAsia="PMingLiU" w:cs="Arial"/>
          <w:sz w:val="18"/>
          <w:szCs w:val="24"/>
          <w:lang w:val="fr-FR"/>
        </w:rPr>
      </w:pPr>
      <w:r w:rsidRPr="0007414F">
        <w:rPr>
          <w:rFonts w:eastAsia="PMingLiU" w:cs="Arial"/>
          <w:sz w:val="18"/>
          <w:szCs w:val="24"/>
          <w:lang w:val="fr-FR"/>
        </w:rPr>
        <w:t>TWO</w:t>
      </w:r>
      <w:r w:rsidR="006E7E88">
        <w:rPr>
          <w:rFonts w:eastAsia="PMingLiU" w:cs="Arial"/>
          <w:sz w:val="18"/>
          <w:szCs w:val="24"/>
          <w:lang w:val="fr-FR"/>
        </w:rPr>
        <w:t> :</w:t>
      </w:r>
      <w:r w:rsidRPr="0007414F">
        <w:rPr>
          <w:rFonts w:eastAsia="PMingLiU" w:cs="Arial"/>
          <w:sz w:val="18"/>
          <w:szCs w:val="24"/>
          <w:lang w:val="fr-FR"/>
        </w:rPr>
        <w:tab/>
      </w:r>
      <w:r w:rsidR="002338B5" w:rsidRPr="002338B5">
        <w:rPr>
          <w:rFonts w:eastAsia="PMingLiU" w:cs="Arial"/>
          <w:sz w:val="18"/>
          <w:szCs w:val="24"/>
          <w:lang w:val="fr-FR"/>
        </w:rPr>
        <w:t>Groupe de travail technique sur les plantes ornementales et les arbres forestiers</w:t>
      </w:r>
    </w:p>
    <w:p w14:paraId="1FB57A38" w14:textId="00DF793F" w:rsidR="00A36448" w:rsidRPr="0007414F" w:rsidRDefault="00A36448" w:rsidP="00A36448">
      <w:pPr>
        <w:ind w:left="1701" w:hanging="1134"/>
        <w:rPr>
          <w:rFonts w:eastAsia="PMingLiU" w:cs="Arial"/>
          <w:sz w:val="18"/>
          <w:szCs w:val="24"/>
          <w:lang w:val="fr-FR"/>
        </w:rPr>
      </w:pPr>
      <w:r w:rsidRPr="0007414F">
        <w:rPr>
          <w:rFonts w:eastAsia="PMingLiU" w:cs="Arial"/>
          <w:sz w:val="18"/>
          <w:szCs w:val="24"/>
          <w:lang w:val="fr-FR"/>
        </w:rPr>
        <w:t>TWP</w:t>
      </w:r>
      <w:r w:rsidR="006E7E88">
        <w:rPr>
          <w:rFonts w:eastAsia="PMingLiU" w:cs="Arial"/>
          <w:sz w:val="18"/>
          <w:szCs w:val="24"/>
          <w:lang w:val="fr-FR"/>
        </w:rPr>
        <w:t> :</w:t>
      </w:r>
      <w:r w:rsidRPr="0007414F">
        <w:rPr>
          <w:rFonts w:eastAsia="PMingLiU" w:cs="Arial"/>
          <w:sz w:val="18"/>
          <w:szCs w:val="24"/>
          <w:lang w:val="fr-FR"/>
        </w:rPr>
        <w:tab/>
      </w:r>
      <w:r w:rsidR="002338B5" w:rsidRPr="002338B5">
        <w:rPr>
          <w:rFonts w:eastAsia="PMingLiU" w:cs="Arial"/>
          <w:sz w:val="18"/>
          <w:szCs w:val="24"/>
          <w:lang w:val="fr-FR"/>
        </w:rPr>
        <w:t>Groupe(s) de travail technique(s)</w:t>
      </w:r>
    </w:p>
    <w:p w14:paraId="101E670D" w14:textId="1B858D2C" w:rsidR="00A36448" w:rsidRPr="0007414F" w:rsidRDefault="00A36448" w:rsidP="00A36448">
      <w:pPr>
        <w:ind w:left="1701" w:hanging="1134"/>
        <w:rPr>
          <w:rFonts w:eastAsia="PMingLiU" w:cs="Arial"/>
          <w:sz w:val="18"/>
          <w:szCs w:val="24"/>
          <w:lang w:val="fr-FR"/>
        </w:rPr>
      </w:pPr>
      <w:r w:rsidRPr="0007414F">
        <w:rPr>
          <w:rFonts w:eastAsia="PMingLiU" w:cs="Arial"/>
          <w:sz w:val="18"/>
          <w:szCs w:val="24"/>
          <w:lang w:val="fr-FR"/>
        </w:rPr>
        <w:t>TWV</w:t>
      </w:r>
      <w:r w:rsidR="006E7E88">
        <w:rPr>
          <w:rFonts w:eastAsia="PMingLiU" w:cs="Arial"/>
          <w:sz w:val="18"/>
          <w:szCs w:val="24"/>
          <w:lang w:val="fr-FR"/>
        </w:rPr>
        <w:t> :</w:t>
      </w:r>
      <w:r w:rsidRPr="0007414F">
        <w:rPr>
          <w:rFonts w:eastAsia="PMingLiU" w:cs="Arial"/>
          <w:sz w:val="18"/>
          <w:szCs w:val="24"/>
          <w:lang w:val="fr-FR"/>
        </w:rPr>
        <w:tab/>
      </w:r>
      <w:r w:rsidR="00D45AC7" w:rsidRPr="00D45AC7">
        <w:rPr>
          <w:rFonts w:eastAsia="PMingLiU" w:cs="Arial"/>
          <w:sz w:val="18"/>
          <w:szCs w:val="24"/>
          <w:lang w:val="fr-FR"/>
        </w:rPr>
        <w:t>Groupe de travail technique sur les plantes potagères</w:t>
      </w:r>
    </w:p>
    <w:p w14:paraId="79642188" w14:textId="77777777" w:rsidR="00A36448" w:rsidRPr="0007414F" w:rsidRDefault="00A36448" w:rsidP="00A36448">
      <w:pPr>
        <w:jc w:val="left"/>
        <w:rPr>
          <w:rFonts w:cs="Arial"/>
          <w:snapToGrid w:val="0"/>
          <w:sz w:val="18"/>
          <w:szCs w:val="24"/>
          <w:lang w:val="fr-FR" w:eastAsia="ja-JP"/>
        </w:rPr>
      </w:pPr>
    </w:p>
    <w:p w14:paraId="11674702" w14:textId="77777777" w:rsidR="00A36448" w:rsidRPr="0007414F" w:rsidRDefault="00A36448" w:rsidP="00A36448">
      <w:pPr>
        <w:jc w:val="left"/>
        <w:rPr>
          <w:rFonts w:cs="Arial"/>
          <w:snapToGrid w:val="0"/>
          <w:sz w:val="18"/>
          <w:szCs w:val="24"/>
          <w:lang w:val="fr-FR" w:eastAsia="ja-JP"/>
        </w:rPr>
      </w:pPr>
    </w:p>
    <w:p w14:paraId="421BE115" w14:textId="2E068882" w:rsidR="00A36448" w:rsidRDefault="00A36448" w:rsidP="00A36448">
      <w:pPr>
        <w:keepNext/>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2420F2">
        <w:rPr>
          <w:lang w:val="fr-FR"/>
        </w:rPr>
        <w:t>Le</w:t>
      </w:r>
      <w:r w:rsidRPr="0007414F">
        <w:rPr>
          <w:lang w:val="fr-FR"/>
        </w:rPr>
        <w:t xml:space="preserve"> </w:t>
      </w:r>
      <w:r w:rsidR="00EB5ED6">
        <w:rPr>
          <w:lang w:val="fr-FR"/>
        </w:rPr>
        <w:t>présent document</w:t>
      </w:r>
      <w:r w:rsidR="002420F2">
        <w:rPr>
          <w:lang w:val="fr-FR"/>
        </w:rPr>
        <w:t xml:space="preserve"> est structuré comme suit</w:t>
      </w:r>
      <w:r w:rsidR="00D639EE">
        <w:rPr>
          <w:lang w:val="fr-FR"/>
        </w:rPr>
        <w:t> :</w:t>
      </w:r>
    </w:p>
    <w:p w14:paraId="74F7AC6A" w14:textId="79D528FA" w:rsidR="00E73D32" w:rsidRDefault="00E73D32" w:rsidP="006E7E88">
      <w:pPr>
        <w:keepNext/>
        <w:rPr>
          <w:b/>
          <w:bCs/>
          <w:smallCaps/>
          <w:noProof/>
          <w:szCs w:val="18"/>
          <w:lang w:val="fr-FR"/>
        </w:rPr>
      </w:pPr>
      <w:bookmarkStart w:id="3" w:name="_Toc460313637"/>
      <w:bookmarkStart w:id="4" w:name="_Toc410822402"/>
      <w:bookmarkStart w:id="5" w:name="_Toc410822806"/>
      <w:bookmarkStart w:id="6" w:name="_Toc410823313"/>
      <w:bookmarkStart w:id="7" w:name="_Toc410899581"/>
    </w:p>
    <w:p w14:paraId="3F7AA504" w14:textId="142BD452" w:rsidR="006E7E88" w:rsidRPr="006E7E88" w:rsidRDefault="002420F2">
      <w:pPr>
        <w:pStyle w:val="TOC1"/>
        <w:rPr>
          <w:rFonts w:asciiTheme="minorHAnsi" w:eastAsiaTheme="minorEastAsia" w:hAnsiTheme="minorHAnsi" w:cstheme="minorBidi"/>
          <w:caps w:val="0"/>
          <w:noProof/>
          <w:sz w:val="22"/>
          <w:szCs w:val="22"/>
          <w:lang w:val="fr-FR"/>
        </w:rPr>
      </w:pPr>
      <w:r w:rsidRPr="00161B14">
        <w:rPr>
          <w:rFonts w:cs="Arial"/>
          <w:caps w:val="0"/>
          <w:szCs w:val="18"/>
          <w:lang w:val="fr-FR"/>
        </w:rPr>
        <w:fldChar w:fldCharType="begin"/>
      </w:r>
      <w:r w:rsidRPr="00161B14">
        <w:rPr>
          <w:rFonts w:cs="Arial"/>
          <w:caps w:val="0"/>
          <w:szCs w:val="18"/>
          <w:lang w:val="fr-FR"/>
        </w:rPr>
        <w:instrText xml:space="preserve"> TOC \o "1-2" \t "Heading 5;2" </w:instrText>
      </w:r>
      <w:r w:rsidRPr="00161B14">
        <w:rPr>
          <w:rFonts w:cs="Arial"/>
          <w:caps w:val="0"/>
          <w:szCs w:val="18"/>
          <w:lang w:val="fr-FR"/>
        </w:rPr>
        <w:fldChar w:fldCharType="separate"/>
      </w:r>
      <w:r w:rsidR="006E7E88" w:rsidRPr="00696837">
        <w:rPr>
          <w:noProof/>
          <w:snapToGrid w:val="0"/>
          <w:lang w:val="fr-FR" w:eastAsia="ja-JP"/>
        </w:rPr>
        <w:t>Résumé</w:t>
      </w:r>
      <w:r w:rsidR="006E7E88" w:rsidRPr="006E7E88">
        <w:rPr>
          <w:noProof/>
          <w:lang w:val="fr-FR"/>
        </w:rPr>
        <w:tab/>
      </w:r>
      <w:r w:rsidR="006E7E88">
        <w:rPr>
          <w:noProof/>
        </w:rPr>
        <w:fldChar w:fldCharType="begin"/>
      </w:r>
      <w:r w:rsidR="006E7E88" w:rsidRPr="006E7E88">
        <w:rPr>
          <w:noProof/>
          <w:lang w:val="fr-FR"/>
        </w:rPr>
        <w:instrText xml:space="preserve"> PAGEREF _Toc116986211 \h </w:instrText>
      </w:r>
      <w:r w:rsidR="006E7E88">
        <w:rPr>
          <w:noProof/>
        </w:rPr>
      </w:r>
      <w:r w:rsidR="006E7E88">
        <w:rPr>
          <w:noProof/>
        </w:rPr>
        <w:fldChar w:fldCharType="separate"/>
      </w:r>
      <w:r w:rsidR="006E7E88" w:rsidRPr="006E7E88">
        <w:rPr>
          <w:noProof/>
          <w:lang w:val="fr-FR"/>
        </w:rPr>
        <w:t>1</w:t>
      </w:r>
      <w:r w:rsidR="006E7E88">
        <w:rPr>
          <w:noProof/>
        </w:rPr>
        <w:fldChar w:fldCharType="end"/>
      </w:r>
    </w:p>
    <w:p w14:paraId="5F196E2E" w14:textId="0E3FACCB" w:rsidR="006E7E88" w:rsidRPr="006E7E88" w:rsidRDefault="006E7E88">
      <w:pPr>
        <w:pStyle w:val="TOC1"/>
        <w:rPr>
          <w:rFonts w:asciiTheme="minorHAnsi" w:eastAsiaTheme="minorEastAsia" w:hAnsiTheme="minorHAnsi" w:cstheme="minorBidi"/>
          <w:caps w:val="0"/>
          <w:noProof/>
          <w:sz w:val="22"/>
          <w:szCs w:val="22"/>
          <w:lang w:val="fr-FR"/>
        </w:rPr>
      </w:pPr>
      <w:r w:rsidRPr="00696837">
        <w:rPr>
          <w:noProof/>
          <w:lang w:val="fr-FR" w:eastAsia="ja-JP"/>
        </w:rPr>
        <w:t>Coopération entre organisations internationales</w:t>
      </w:r>
      <w:r w:rsidRPr="006E7E88">
        <w:rPr>
          <w:noProof/>
          <w:lang w:val="fr-FR"/>
        </w:rPr>
        <w:tab/>
      </w:r>
      <w:r>
        <w:rPr>
          <w:noProof/>
        </w:rPr>
        <w:fldChar w:fldCharType="begin"/>
      </w:r>
      <w:r w:rsidRPr="006E7E88">
        <w:rPr>
          <w:noProof/>
          <w:lang w:val="fr-FR"/>
        </w:rPr>
        <w:instrText xml:space="preserve"> PAGEREF _Toc116986212 \h </w:instrText>
      </w:r>
      <w:r>
        <w:rPr>
          <w:noProof/>
        </w:rPr>
      </w:r>
      <w:r>
        <w:rPr>
          <w:noProof/>
        </w:rPr>
        <w:fldChar w:fldCharType="separate"/>
      </w:r>
      <w:r w:rsidRPr="006E7E88">
        <w:rPr>
          <w:noProof/>
          <w:lang w:val="fr-FR"/>
        </w:rPr>
        <w:t>2</w:t>
      </w:r>
      <w:r>
        <w:rPr>
          <w:noProof/>
        </w:rPr>
        <w:fldChar w:fldCharType="end"/>
      </w:r>
    </w:p>
    <w:p w14:paraId="6DA4D1D8" w14:textId="3E6AF71E" w:rsidR="006E7E88" w:rsidRPr="006E7E88" w:rsidRDefault="006E7E88">
      <w:pPr>
        <w:pStyle w:val="TOC2"/>
        <w:rPr>
          <w:rFonts w:asciiTheme="minorHAnsi" w:eastAsiaTheme="minorEastAsia" w:hAnsiTheme="minorHAnsi" w:cstheme="minorBidi"/>
          <w:noProof/>
          <w:sz w:val="22"/>
          <w:szCs w:val="22"/>
          <w:lang w:val="fr-FR"/>
        </w:rPr>
      </w:pPr>
      <w:r w:rsidRPr="00696837">
        <w:rPr>
          <w:noProof/>
          <w:lang w:val="fr-FR"/>
        </w:rPr>
        <w:t>Rappel</w:t>
      </w:r>
      <w:r w:rsidRPr="006E7E88">
        <w:rPr>
          <w:noProof/>
          <w:lang w:val="fr-FR"/>
        </w:rPr>
        <w:tab/>
      </w:r>
      <w:r>
        <w:rPr>
          <w:noProof/>
        </w:rPr>
        <w:fldChar w:fldCharType="begin"/>
      </w:r>
      <w:r w:rsidRPr="006E7E88">
        <w:rPr>
          <w:noProof/>
          <w:lang w:val="fr-FR"/>
        </w:rPr>
        <w:instrText xml:space="preserve"> PAGEREF _Toc116986213 \h </w:instrText>
      </w:r>
      <w:r>
        <w:rPr>
          <w:noProof/>
        </w:rPr>
      </w:r>
      <w:r>
        <w:rPr>
          <w:noProof/>
        </w:rPr>
        <w:fldChar w:fldCharType="separate"/>
      </w:r>
      <w:r w:rsidRPr="006E7E88">
        <w:rPr>
          <w:noProof/>
          <w:lang w:val="fr-FR"/>
        </w:rPr>
        <w:t>2</w:t>
      </w:r>
      <w:r>
        <w:rPr>
          <w:noProof/>
        </w:rPr>
        <w:fldChar w:fldCharType="end"/>
      </w:r>
    </w:p>
    <w:p w14:paraId="67134453" w14:textId="113CFBA6" w:rsidR="006E7E88" w:rsidRPr="006E7E88" w:rsidRDefault="006E7E88">
      <w:pPr>
        <w:pStyle w:val="TOC2"/>
        <w:rPr>
          <w:rFonts w:asciiTheme="minorHAnsi" w:eastAsiaTheme="minorEastAsia" w:hAnsiTheme="minorHAnsi" w:cstheme="minorBidi"/>
          <w:noProof/>
          <w:sz w:val="22"/>
          <w:szCs w:val="22"/>
          <w:lang w:val="fr-FR"/>
        </w:rPr>
      </w:pPr>
      <w:r w:rsidRPr="00696837">
        <w:rPr>
          <w:rFonts w:eastAsiaTheme="minorEastAsia"/>
          <w:noProof/>
          <w:lang w:val="fr-FR"/>
        </w:rPr>
        <w:t>Inventaire, par plante, de l’utilisation des techniques faisant intervenir des marqueurs moléculaires</w:t>
      </w:r>
      <w:r w:rsidRPr="006E7E88">
        <w:rPr>
          <w:noProof/>
          <w:lang w:val="fr-FR"/>
        </w:rPr>
        <w:tab/>
      </w:r>
      <w:r>
        <w:rPr>
          <w:noProof/>
        </w:rPr>
        <w:fldChar w:fldCharType="begin"/>
      </w:r>
      <w:r w:rsidRPr="006E7E88">
        <w:rPr>
          <w:noProof/>
          <w:lang w:val="fr-FR"/>
        </w:rPr>
        <w:instrText xml:space="preserve"> PAGEREF _Toc116986214 \h </w:instrText>
      </w:r>
      <w:r>
        <w:rPr>
          <w:noProof/>
        </w:rPr>
      </w:r>
      <w:r>
        <w:rPr>
          <w:noProof/>
        </w:rPr>
        <w:fldChar w:fldCharType="separate"/>
      </w:r>
      <w:r w:rsidRPr="006E7E88">
        <w:rPr>
          <w:noProof/>
          <w:lang w:val="fr-FR"/>
        </w:rPr>
        <w:t>3</w:t>
      </w:r>
      <w:r>
        <w:rPr>
          <w:noProof/>
        </w:rPr>
        <w:fldChar w:fldCharType="end"/>
      </w:r>
    </w:p>
    <w:p w14:paraId="693123E7" w14:textId="2E5506D2" w:rsidR="006E7E88" w:rsidRPr="006E7E88" w:rsidRDefault="006E7E88">
      <w:pPr>
        <w:pStyle w:val="TOC2"/>
        <w:rPr>
          <w:rFonts w:asciiTheme="minorHAnsi" w:eastAsiaTheme="minorEastAsia" w:hAnsiTheme="minorHAnsi" w:cstheme="minorBidi"/>
          <w:noProof/>
          <w:sz w:val="22"/>
          <w:szCs w:val="22"/>
          <w:lang w:val="fr-FR"/>
        </w:rPr>
      </w:pPr>
      <w:r w:rsidRPr="00696837">
        <w:rPr>
          <w:rFonts w:eastAsiaTheme="minorEastAsia"/>
          <w:noProof/>
          <w:lang w:val="fr-FR"/>
        </w:rPr>
        <w:t>Document commun présentant les particularités des systèmes de l’OCDE, de l’UPOV et de l’ISTA</w:t>
      </w:r>
      <w:r w:rsidRPr="006E7E88">
        <w:rPr>
          <w:noProof/>
          <w:lang w:val="fr-FR"/>
        </w:rPr>
        <w:tab/>
      </w:r>
      <w:r>
        <w:rPr>
          <w:noProof/>
        </w:rPr>
        <w:fldChar w:fldCharType="begin"/>
      </w:r>
      <w:r w:rsidRPr="006E7E88">
        <w:rPr>
          <w:noProof/>
          <w:lang w:val="fr-FR"/>
        </w:rPr>
        <w:instrText xml:space="preserve"> PAGEREF _Toc116986215 \h </w:instrText>
      </w:r>
      <w:r>
        <w:rPr>
          <w:noProof/>
        </w:rPr>
      </w:r>
      <w:r>
        <w:rPr>
          <w:noProof/>
        </w:rPr>
        <w:fldChar w:fldCharType="separate"/>
      </w:r>
      <w:r w:rsidRPr="006E7E88">
        <w:rPr>
          <w:noProof/>
          <w:lang w:val="fr-FR"/>
        </w:rPr>
        <w:t>1</w:t>
      </w:r>
      <w:r>
        <w:rPr>
          <w:noProof/>
        </w:rPr>
        <w:fldChar w:fldCharType="end"/>
      </w:r>
    </w:p>
    <w:p w14:paraId="1D3B4982" w14:textId="10A5F4B4" w:rsidR="006E7E88" w:rsidRPr="006E7E88" w:rsidRDefault="006E7E88">
      <w:pPr>
        <w:pStyle w:val="TOC2"/>
        <w:rPr>
          <w:rFonts w:asciiTheme="minorHAnsi" w:eastAsiaTheme="minorEastAsia" w:hAnsiTheme="minorHAnsi" w:cstheme="minorBidi"/>
          <w:noProof/>
          <w:sz w:val="22"/>
          <w:szCs w:val="22"/>
          <w:lang w:val="fr-FR"/>
        </w:rPr>
      </w:pPr>
      <w:r w:rsidRPr="00696837">
        <w:rPr>
          <w:noProof/>
          <w:lang w:val="fr-FR"/>
        </w:rPr>
        <w:t>Rappel</w:t>
      </w:r>
      <w:r w:rsidRPr="006E7E88">
        <w:rPr>
          <w:noProof/>
          <w:lang w:val="fr-FR"/>
        </w:rPr>
        <w:tab/>
      </w:r>
      <w:r>
        <w:rPr>
          <w:noProof/>
        </w:rPr>
        <w:fldChar w:fldCharType="begin"/>
      </w:r>
      <w:r w:rsidRPr="006E7E88">
        <w:rPr>
          <w:noProof/>
          <w:lang w:val="fr-FR"/>
        </w:rPr>
        <w:instrText xml:space="preserve"> PAGEREF _Toc116986216 \h </w:instrText>
      </w:r>
      <w:r>
        <w:rPr>
          <w:noProof/>
        </w:rPr>
      </w:r>
      <w:r>
        <w:rPr>
          <w:noProof/>
        </w:rPr>
        <w:fldChar w:fldCharType="separate"/>
      </w:r>
      <w:r w:rsidRPr="006E7E88">
        <w:rPr>
          <w:noProof/>
          <w:lang w:val="fr-FR"/>
        </w:rPr>
        <w:t>1</w:t>
      </w:r>
      <w:r>
        <w:rPr>
          <w:noProof/>
        </w:rPr>
        <w:fldChar w:fldCharType="end"/>
      </w:r>
    </w:p>
    <w:p w14:paraId="067FCBFC" w14:textId="113498BF" w:rsidR="006E7E88" w:rsidRPr="006E7E88" w:rsidRDefault="006E7E88">
      <w:pPr>
        <w:pStyle w:val="TOC2"/>
        <w:rPr>
          <w:rFonts w:asciiTheme="minorHAnsi" w:eastAsiaTheme="minorEastAsia" w:hAnsiTheme="minorHAnsi" w:cstheme="minorBidi"/>
          <w:noProof/>
          <w:sz w:val="22"/>
          <w:szCs w:val="22"/>
          <w:lang w:val="fr-FR"/>
        </w:rPr>
      </w:pPr>
      <w:r w:rsidRPr="00696837">
        <w:rPr>
          <w:noProof/>
          <w:lang w:val="fr-FR"/>
        </w:rPr>
        <w:t>Listes d’initiatives conjointes possibles avec l’OCDE et l’ISTA dans le domaine des techniques moléculaires</w:t>
      </w:r>
      <w:r w:rsidRPr="006E7E88">
        <w:rPr>
          <w:noProof/>
          <w:lang w:val="fr-FR"/>
        </w:rPr>
        <w:tab/>
      </w:r>
      <w:r>
        <w:rPr>
          <w:noProof/>
        </w:rPr>
        <w:fldChar w:fldCharType="begin"/>
      </w:r>
      <w:r w:rsidRPr="006E7E88">
        <w:rPr>
          <w:noProof/>
          <w:lang w:val="fr-FR"/>
        </w:rPr>
        <w:instrText xml:space="preserve"> PAGEREF _Toc116986217 \h </w:instrText>
      </w:r>
      <w:r>
        <w:rPr>
          <w:noProof/>
        </w:rPr>
      </w:r>
      <w:r>
        <w:rPr>
          <w:noProof/>
        </w:rPr>
        <w:fldChar w:fldCharType="separate"/>
      </w:r>
      <w:r w:rsidRPr="006E7E88">
        <w:rPr>
          <w:noProof/>
          <w:lang w:val="fr-FR"/>
        </w:rPr>
        <w:t>1</w:t>
      </w:r>
      <w:r>
        <w:rPr>
          <w:noProof/>
        </w:rPr>
        <w:fldChar w:fldCharType="end"/>
      </w:r>
    </w:p>
    <w:p w14:paraId="6FC12829" w14:textId="4B42500B" w:rsidR="006E7E88" w:rsidRPr="006E7E88" w:rsidRDefault="006E7E88">
      <w:pPr>
        <w:pStyle w:val="TOC2"/>
        <w:rPr>
          <w:rFonts w:asciiTheme="minorHAnsi" w:eastAsiaTheme="minorEastAsia" w:hAnsiTheme="minorHAnsi" w:cstheme="minorBidi"/>
          <w:noProof/>
          <w:sz w:val="22"/>
          <w:szCs w:val="22"/>
          <w:lang w:val="fr-FR"/>
        </w:rPr>
      </w:pPr>
      <w:r w:rsidRPr="00696837">
        <w:rPr>
          <w:noProof/>
          <w:lang w:val="fr-FR"/>
        </w:rPr>
        <w:t>Association internationale d’essais de semences</w:t>
      </w:r>
      <w:r w:rsidRPr="006E7E88">
        <w:rPr>
          <w:noProof/>
          <w:lang w:val="fr-FR"/>
        </w:rPr>
        <w:tab/>
      </w:r>
      <w:r>
        <w:rPr>
          <w:noProof/>
        </w:rPr>
        <w:fldChar w:fldCharType="begin"/>
      </w:r>
      <w:r w:rsidRPr="006E7E88">
        <w:rPr>
          <w:noProof/>
          <w:lang w:val="fr-FR"/>
        </w:rPr>
        <w:instrText xml:space="preserve"> PAGEREF _Toc116986218 \h </w:instrText>
      </w:r>
      <w:r>
        <w:rPr>
          <w:noProof/>
        </w:rPr>
      </w:r>
      <w:r>
        <w:rPr>
          <w:noProof/>
        </w:rPr>
        <w:fldChar w:fldCharType="separate"/>
      </w:r>
      <w:r w:rsidRPr="006E7E88">
        <w:rPr>
          <w:noProof/>
          <w:lang w:val="fr-FR"/>
        </w:rPr>
        <w:t>1</w:t>
      </w:r>
      <w:r>
        <w:rPr>
          <w:noProof/>
        </w:rPr>
        <w:fldChar w:fldCharType="end"/>
      </w:r>
    </w:p>
    <w:p w14:paraId="602E8DC6" w14:textId="46C9CA24" w:rsidR="006E7E88" w:rsidRPr="006E7E88" w:rsidRDefault="006E7E88">
      <w:pPr>
        <w:pStyle w:val="TOC2"/>
        <w:rPr>
          <w:rFonts w:asciiTheme="minorHAnsi" w:eastAsiaTheme="minorEastAsia" w:hAnsiTheme="minorHAnsi" w:cstheme="minorBidi"/>
          <w:noProof/>
          <w:sz w:val="22"/>
          <w:szCs w:val="22"/>
          <w:lang w:val="fr-FR"/>
        </w:rPr>
      </w:pPr>
      <w:r w:rsidRPr="00696837">
        <w:rPr>
          <w:noProof/>
          <w:lang w:val="fr-FR"/>
        </w:rPr>
        <w:t>Organisation de coopération et de développement économiques</w:t>
      </w:r>
      <w:r w:rsidRPr="006E7E88">
        <w:rPr>
          <w:noProof/>
          <w:lang w:val="fr-FR"/>
        </w:rPr>
        <w:tab/>
      </w:r>
      <w:r>
        <w:rPr>
          <w:noProof/>
        </w:rPr>
        <w:fldChar w:fldCharType="begin"/>
      </w:r>
      <w:r w:rsidRPr="006E7E88">
        <w:rPr>
          <w:noProof/>
          <w:lang w:val="fr-FR"/>
        </w:rPr>
        <w:instrText xml:space="preserve"> PAGEREF _Toc116986219 \h </w:instrText>
      </w:r>
      <w:r>
        <w:rPr>
          <w:noProof/>
        </w:rPr>
      </w:r>
      <w:r>
        <w:rPr>
          <w:noProof/>
        </w:rPr>
        <w:fldChar w:fldCharType="separate"/>
      </w:r>
      <w:r w:rsidRPr="006E7E88">
        <w:rPr>
          <w:noProof/>
          <w:lang w:val="fr-FR"/>
        </w:rPr>
        <w:t>1</w:t>
      </w:r>
      <w:r>
        <w:rPr>
          <w:noProof/>
        </w:rPr>
        <w:fldChar w:fldCharType="end"/>
      </w:r>
    </w:p>
    <w:p w14:paraId="7501DFE2" w14:textId="5B154881" w:rsidR="006E7E88" w:rsidRPr="006E7E88" w:rsidRDefault="006E7E88">
      <w:pPr>
        <w:pStyle w:val="TOC1"/>
        <w:rPr>
          <w:rFonts w:asciiTheme="minorHAnsi" w:eastAsiaTheme="minorEastAsia" w:hAnsiTheme="minorHAnsi" w:cstheme="minorBidi"/>
          <w:caps w:val="0"/>
          <w:noProof/>
          <w:sz w:val="22"/>
          <w:szCs w:val="22"/>
          <w:lang w:val="fr-FR"/>
        </w:rPr>
      </w:pPr>
      <w:r w:rsidRPr="00696837">
        <w:rPr>
          <w:noProof/>
          <w:snapToGrid w:val="0"/>
          <w:lang w:val="fr-FR"/>
        </w:rPr>
        <w:t>Session visant à faciliter la coopération en matière d’utilisation des techniques moléculaires</w:t>
      </w:r>
      <w:r w:rsidRPr="006E7E88">
        <w:rPr>
          <w:noProof/>
          <w:lang w:val="fr-FR"/>
        </w:rPr>
        <w:tab/>
      </w:r>
      <w:r>
        <w:rPr>
          <w:noProof/>
        </w:rPr>
        <w:fldChar w:fldCharType="begin"/>
      </w:r>
      <w:r w:rsidRPr="006E7E88">
        <w:rPr>
          <w:noProof/>
          <w:lang w:val="fr-FR"/>
        </w:rPr>
        <w:instrText xml:space="preserve"> PAGEREF _Toc116986220 \h </w:instrText>
      </w:r>
      <w:r>
        <w:rPr>
          <w:noProof/>
        </w:rPr>
      </w:r>
      <w:r>
        <w:rPr>
          <w:noProof/>
        </w:rPr>
        <w:fldChar w:fldCharType="separate"/>
      </w:r>
      <w:r w:rsidRPr="006E7E88">
        <w:rPr>
          <w:noProof/>
          <w:lang w:val="fr-FR"/>
        </w:rPr>
        <w:t>2</w:t>
      </w:r>
      <w:r>
        <w:rPr>
          <w:noProof/>
        </w:rPr>
        <w:fldChar w:fldCharType="end"/>
      </w:r>
    </w:p>
    <w:p w14:paraId="63F6E413" w14:textId="08836BC8" w:rsidR="006E7E88" w:rsidRPr="006E7E88" w:rsidRDefault="006E7E88">
      <w:pPr>
        <w:pStyle w:val="TOC2"/>
        <w:rPr>
          <w:rFonts w:asciiTheme="minorHAnsi" w:eastAsiaTheme="minorEastAsia" w:hAnsiTheme="minorHAnsi" w:cstheme="minorBidi"/>
          <w:noProof/>
          <w:sz w:val="22"/>
          <w:szCs w:val="22"/>
          <w:lang w:val="fr-FR"/>
        </w:rPr>
      </w:pPr>
      <w:r w:rsidRPr="00696837">
        <w:rPr>
          <w:noProof/>
          <w:lang w:val="fr-FR"/>
        </w:rPr>
        <w:t>Groupes de travail techniques (TWP)</w:t>
      </w:r>
      <w:r w:rsidRPr="006E7E88">
        <w:rPr>
          <w:noProof/>
          <w:lang w:val="fr-FR"/>
        </w:rPr>
        <w:tab/>
      </w:r>
      <w:r>
        <w:rPr>
          <w:noProof/>
        </w:rPr>
        <w:fldChar w:fldCharType="begin"/>
      </w:r>
      <w:r w:rsidRPr="006E7E88">
        <w:rPr>
          <w:noProof/>
          <w:lang w:val="fr-FR"/>
        </w:rPr>
        <w:instrText xml:space="preserve"> PAGEREF _Toc116986221 \h </w:instrText>
      </w:r>
      <w:r>
        <w:rPr>
          <w:noProof/>
        </w:rPr>
      </w:r>
      <w:r>
        <w:rPr>
          <w:noProof/>
        </w:rPr>
        <w:fldChar w:fldCharType="separate"/>
      </w:r>
      <w:r w:rsidRPr="006E7E88">
        <w:rPr>
          <w:noProof/>
          <w:lang w:val="fr-FR"/>
        </w:rPr>
        <w:t>2</w:t>
      </w:r>
      <w:r>
        <w:rPr>
          <w:noProof/>
        </w:rPr>
        <w:fldChar w:fldCharType="end"/>
      </w:r>
    </w:p>
    <w:p w14:paraId="11989A3A" w14:textId="3A00156B" w:rsidR="006E7E88" w:rsidRPr="006E7E88" w:rsidRDefault="006E7E88">
      <w:pPr>
        <w:pStyle w:val="TOC1"/>
        <w:rPr>
          <w:rFonts w:asciiTheme="minorHAnsi" w:eastAsiaTheme="minorEastAsia" w:hAnsiTheme="minorHAnsi" w:cstheme="minorBidi"/>
          <w:caps w:val="0"/>
          <w:noProof/>
          <w:sz w:val="22"/>
          <w:szCs w:val="22"/>
          <w:lang w:val="fr-FR"/>
        </w:rPr>
      </w:pPr>
      <w:r w:rsidRPr="00696837">
        <w:rPr>
          <w:noProof/>
          <w:lang w:val="fr-FR"/>
        </w:rPr>
        <w:t>Confidentialité et titularité des informations moléculaires</w:t>
      </w:r>
      <w:r w:rsidRPr="006E7E88">
        <w:rPr>
          <w:noProof/>
          <w:lang w:val="fr-FR"/>
        </w:rPr>
        <w:tab/>
      </w:r>
      <w:r>
        <w:rPr>
          <w:noProof/>
        </w:rPr>
        <w:fldChar w:fldCharType="begin"/>
      </w:r>
      <w:r w:rsidRPr="006E7E88">
        <w:rPr>
          <w:noProof/>
          <w:lang w:val="fr-FR"/>
        </w:rPr>
        <w:instrText xml:space="preserve"> PAGEREF _Toc116986222 \h </w:instrText>
      </w:r>
      <w:r>
        <w:rPr>
          <w:noProof/>
        </w:rPr>
      </w:r>
      <w:r>
        <w:rPr>
          <w:noProof/>
        </w:rPr>
        <w:fldChar w:fldCharType="separate"/>
      </w:r>
      <w:r w:rsidRPr="006E7E88">
        <w:rPr>
          <w:noProof/>
          <w:lang w:val="fr-FR"/>
        </w:rPr>
        <w:t>3</w:t>
      </w:r>
      <w:r>
        <w:rPr>
          <w:noProof/>
        </w:rPr>
        <w:fldChar w:fldCharType="end"/>
      </w:r>
    </w:p>
    <w:p w14:paraId="20519EAC" w14:textId="69821C0A" w:rsidR="00D639EE" w:rsidRDefault="002420F2" w:rsidP="00F37422">
      <w:pPr>
        <w:tabs>
          <w:tab w:val="center" w:pos="4479"/>
        </w:tabs>
        <w:spacing w:before="60" w:after="120"/>
        <w:ind w:left="1134" w:hanging="1134"/>
        <w:contextualSpacing/>
        <w:jc w:val="left"/>
        <w:rPr>
          <w:caps/>
          <w:snapToGrid w:val="0"/>
          <w:sz w:val="18"/>
          <w:szCs w:val="18"/>
          <w:lang w:val="fr-FR" w:eastAsia="ja-JP"/>
        </w:rPr>
      </w:pPr>
      <w:r w:rsidRPr="00161B14">
        <w:rPr>
          <w:rFonts w:cs="Arial"/>
          <w:caps/>
          <w:sz w:val="18"/>
          <w:szCs w:val="18"/>
        </w:rPr>
        <w:fldChar w:fldCharType="end"/>
      </w:r>
      <w:r w:rsidR="007D6F5B" w:rsidRPr="0007414F">
        <w:rPr>
          <w:snapToGrid w:val="0"/>
          <w:sz w:val="18"/>
          <w:szCs w:val="18"/>
          <w:lang w:val="fr-FR" w:eastAsia="ja-JP"/>
        </w:rPr>
        <w:t>ANNEX</w:t>
      </w:r>
      <w:r w:rsidR="00F37422">
        <w:rPr>
          <w:snapToGrid w:val="0"/>
          <w:sz w:val="18"/>
          <w:szCs w:val="18"/>
          <w:lang w:val="fr-FR" w:eastAsia="ja-JP"/>
        </w:rPr>
        <w:t>E</w:t>
      </w:r>
      <w:r w:rsidR="007D6F5B" w:rsidRPr="0007414F">
        <w:rPr>
          <w:snapToGrid w:val="0"/>
          <w:sz w:val="18"/>
          <w:szCs w:val="18"/>
          <w:lang w:val="fr-FR" w:eastAsia="ja-JP"/>
        </w:rPr>
        <w:t xml:space="preserve"> </w:t>
      </w:r>
      <w:r w:rsidR="00F37422">
        <w:rPr>
          <w:snapToGrid w:val="0"/>
          <w:sz w:val="18"/>
          <w:szCs w:val="18"/>
          <w:lang w:val="fr-FR" w:eastAsia="ja-JP"/>
        </w:rPr>
        <w:tab/>
      </w:r>
      <w:r w:rsidR="00F37422">
        <w:rPr>
          <w:snapToGrid w:val="0"/>
          <w:sz w:val="18"/>
          <w:szCs w:val="18"/>
          <w:lang w:val="fr-FR" w:eastAsia="ja-JP"/>
        </w:rPr>
        <w:tab/>
      </w:r>
      <w:r w:rsidR="00F37422" w:rsidRPr="00F37422">
        <w:rPr>
          <w:caps/>
          <w:snapToGrid w:val="0"/>
          <w:sz w:val="18"/>
          <w:szCs w:val="18"/>
          <w:lang w:val="fr-FR" w:eastAsia="ja-JP"/>
        </w:rPr>
        <w:t>enquête</w:t>
      </w:r>
      <w:r w:rsidR="004D1E82">
        <w:rPr>
          <w:caps/>
          <w:snapToGrid w:val="0"/>
          <w:sz w:val="18"/>
          <w:szCs w:val="18"/>
          <w:lang w:val="fr-FR" w:eastAsia="ja-JP"/>
        </w:rPr>
        <w:t xml:space="preserve">, </w:t>
      </w:r>
      <w:r w:rsidR="004D1E82" w:rsidRPr="004D1E82">
        <w:rPr>
          <w:caps/>
          <w:snapToGrid w:val="0"/>
          <w:sz w:val="18"/>
          <w:szCs w:val="18"/>
          <w:lang w:val="fr-FR" w:eastAsia="ja-JP"/>
        </w:rPr>
        <w:t>PAR PLANTE</w:t>
      </w:r>
      <w:r w:rsidR="004D1E82">
        <w:rPr>
          <w:caps/>
          <w:snapToGrid w:val="0"/>
          <w:sz w:val="18"/>
          <w:szCs w:val="18"/>
          <w:lang w:val="fr-FR" w:eastAsia="ja-JP"/>
        </w:rPr>
        <w:t>,</w:t>
      </w:r>
      <w:r w:rsidR="00F37422" w:rsidRPr="00F37422">
        <w:rPr>
          <w:caps/>
          <w:snapToGrid w:val="0"/>
          <w:sz w:val="18"/>
          <w:szCs w:val="18"/>
          <w:lang w:val="fr-FR" w:eastAsia="ja-JP"/>
        </w:rPr>
        <w:t xml:space="preserve"> sur l</w:t>
      </w:r>
      <w:r w:rsidR="00D639EE">
        <w:rPr>
          <w:caps/>
          <w:snapToGrid w:val="0"/>
          <w:sz w:val="18"/>
          <w:szCs w:val="18"/>
          <w:lang w:val="fr-FR" w:eastAsia="ja-JP"/>
        </w:rPr>
        <w:t>’</w:t>
      </w:r>
      <w:r w:rsidR="00F37422" w:rsidRPr="00F37422">
        <w:rPr>
          <w:caps/>
          <w:snapToGrid w:val="0"/>
          <w:sz w:val="18"/>
          <w:szCs w:val="18"/>
          <w:lang w:val="fr-FR" w:eastAsia="ja-JP"/>
        </w:rPr>
        <w:t>utilisation des techniques faisant intervenir des marqueurs moléculaires</w:t>
      </w:r>
    </w:p>
    <w:p w14:paraId="204D5F90" w14:textId="5F2B6F17" w:rsidR="00A36448" w:rsidRPr="0007414F" w:rsidRDefault="00D87FC5" w:rsidP="00D87FC5">
      <w:pPr>
        <w:tabs>
          <w:tab w:val="right" w:pos="9639"/>
        </w:tabs>
        <w:rPr>
          <w:snapToGrid w:val="0"/>
          <w:lang w:val="fr-FR" w:eastAsia="ja-JP"/>
        </w:rPr>
      </w:pPr>
      <w:r>
        <w:rPr>
          <w:snapToGrid w:val="0"/>
          <w:lang w:val="fr-FR" w:eastAsia="ja-JP"/>
        </w:rPr>
        <w:tab/>
      </w:r>
    </w:p>
    <w:p w14:paraId="7D6B9FC9" w14:textId="77777777" w:rsidR="00D639EE" w:rsidRDefault="00D639EE" w:rsidP="00A36448">
      <w:pPr>
        <w:rPr>
          <w:snapToGrid w:val="0"/>
          <w:lang w:val="fr-FR" w:eastAsia="ja-JP"/>
        </w:rPr>
      </w:pPr>
    </w:p>
    <w:p w14:paraId="6CCBB95E" w14:textId="616C5430" w:rsidR="0095407D" w:rsidRPr="0007414F" w:rsidRDefault="004D1E82" w:rsidP="0095407D">
      <w:pPr>
        <w:pStyle w:val="Heading1"/>
        <w:rPr>
          <w:lang w:val="fr-FR" w:eastAsia="ja-JP"/>
        </w:rPr>
      </w:pPr>
      <w:bookmarkStart w:id="8" w:name="_Toc116986212"/>
      <w:r w:rsidRPr="004D1E82">
        <w:rPr>
          <w:lang w:val="fr-FR" w:eastAsia="ja-JP"/>
        </w:rPr>
        <w:t>C</w:t>
      </w:r>
      <w:r w:rsidR="006E7E88">
        <w:rPr>
          <w:lang w:val="fr-FR" w:eastAsia="ja-JP"/>
        </w:rPr>
        <w:t>oopération entre organisations internationales</w:t>
      </w:r>
      <w:bookmarkEnd w:id="8"/>
    </w:p>
    <w:p w14:paraId="5E933EB0" w14:textId="77777777" w:rsidR="0095407D" w:rsidRPr="0007414F" w:rsidRDefault="0095407D" w:rsidP="0095407D">
      <w:pPr>
        <w:keepNext/>
        <w:rPr>
          <w:rFonts w:cs="Arial"/>
          <w:iCs/>
          <w:lang w:val="fr-FR"/>
        </w:rPr>
      </w:pPr>
    </w:p>
    <w:p w14:paraId="51D8C35F" w14:textId="2A6A83E7" w:rsidR="0095407D" w:rsidRPr="0007414F" w:rsidRDefault="004D1E82" w:rsidP="0095407D">
      <w:pPr>
        <w:pStyle w:val="Heading2"/>
        <w:rPr>
          <w:lang w:val="fr-FR"/>
        </w:rPr>
      </w:pPr>
      <w:bookmarkStart w:id="9" w:name="_Toc116986213"/>
      <w:r w:rsidRPr="004D1E82">
        <w:rPr>
          <w:lang w:val="fr-FR"/>
        </w:rPr>
        <w:t>Rappel</w:t>
      </w:r>
      <w:bookmarkEnd w:id="9"/>
    </w:p>
    <w:p w14:paraId="03CC00C3" w14:textId="77777777" w:rsidR="0095407D" w:rsidRPr="0007414F" w:rsidRDefault="0095407D" w:rsidP="0095407D">
      <w:pPr>
        <w:rPr>
          <w:lang w:val="fr-FR"/>
        </w:rPr>
      </w:pPr>
    </w:p>
    <w:p w14:paraId="4445E5DF" w14:textId="6F9E601F" w:rsidR="0095407D" w:rsidRPr="0007414F" w:rsidRDefault="0095407D" w:rsidP="0095407D">
      <w:pPr>
        <w:rPr>
          <w:rFonts w:eastAsiaTheme="minorEastAsia"/>
          <w:lang w:val="fr-FR" w:eastAsia="ja-JP"/>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B048F8" w:rsidRPr="00B048F8">
        <w:rPr>
          <w:rFonts w:eastAsiaTheme="minorEastAsia"/>
          <w:lang w:val="fr-FR" w:eastAsia="ja-JP"/>
        </w:rPr>
        <w:t xml:space="preserve">Les informations générales sur cette question </w:t>
      </w:r>
      <w:r w:rsidR="00360E6F">
        <w:rPr>
          <w:rFonts w:eastAsiaTheme="minorEastAsia"/>
          <w:lang w:val="fr-FR" w:eastAsia="ja-JP"/>
        </w:rPr>
        <w:t>figurent</w:t>
      </w:r>
      <w:r w:rsidR="00B048F8" w:rsidRPr="00B048F8">
        <w:rPr>
          <w:rFonts w:eastAsiaTheme="minorEastAsia"/>
          <w:lang w:val="fr-FR" w:eastAsia="ja-JP"/>
        </w:rPr>
        <w:t xml:space="preserve"> dans le</w:t>
      </w:r>
      <w:r w:rsidR="00B048F8">
        <w:rPr>
          <w:rFonts w:eastAsiaTheme="minorEastAsia"/>
          <w:lang w:val="fr-FR" w:eastAsia="ja-JP"/>
        </w:rPr>
        <w:t>s</w:t>
      </w:r>
      <w:r w:rsidR="00B048F8" w:rsidRPr="00B048F8">
        <w:rPr>
          <w:rFonts w:eastAsiaTheme="minorEastAsia"/>
          <w:lang w:val="fr-FR" w:eastAsia="ja-JP"/>
        </w:rPr>
        <w:t xml:space="preserve"> </w:t>
      </w:r>
      <w:r w:rsidR="00D639EE" w:rsidRPr="00B048F8">
        <w:rPr>
          <w:rFonts w:eastAsiaTheme="minorEastAsia"/>
          <w:lang w:val="fr-FR" w:eastAsia="ja-JP"/>
        </w:rPr>
        <w:t>document</w:t>
      </w:r>
      <w:r w:rsidR="00D639EE" w:rsidRPr="0007414F">
        <w:rPr>
          <w:rFonts w:eastAsiaTheme="minorEastAsia"/>
          <w:lang w:val="fr-FR" w:eastAsia="ja-JP"/>
        </w:rPr>
        <w:t>s</w:t>
      </w:r>
      <w:r w:rsidR="00D639EE">
        <w:rPr>
          <w:rFonts w:eastAsiaTheme="minorEastAsia"/>
          <w:lang w:val="fr-FR" w:eastAsia="ja-JP"/>
        </w:rPr>
        <w:t xml:space="preserve"> TC</w:t>
      </w:r>
      <w:r w:rsidRPr="0007414F">
        <w:rPr>
          <w:rFonts w:eastAsiaTheme="minorEastAsia"/>
          <w:lang w:val="fr-FR" w:eastAsia="ja-JP"/>
        </w:rPr>
        <w:t>/57/8</w:t>
      </w:r>
      <w:r w:rsidRPr="0007414F">
        <w:rPr>
          <w:lang w:val="fr-FR" w:eastAsia="ja-JP"/>
        </w:rPr>
        <w:t xml:space="preserve"> “</w:t>
      </w:r>
      <w:r w:rsidR="00583353">
        <w:rPr>
          <w:lang w:val="fr-FR" w:eastAsia="ja-JP"/>
        </w:rPr>
        <w:t>Techniques moléculaires</w:t>
      </w:r>
      <w:r w:rsidRPr="0007414F">
        <w:rPr>
          <w:lang w:val="fr-FR" w:eastAsia="ja-JP"/>
        </w:rPr>
        <w:t xml:space="preserve">” </w:t>
      </w:r>
      <w:r w:rsidR="008509CE">
        <w:rPr>
          <w:lang w:val="fr-FR" w:eastAsia="ja-JP"/>
        </w:rPr>
        <w:t>et</w:t>
      </w:r>
      <w:r w:rsidR="00D639EE">
        <w:rPr>
          <w:lang w:val="fr-FR" w:eastAsia="ja-JP"/>
        </w:rPr>
        <w:t> TC</w:t>
      </w:r>
      <w:r w:rsidRPr="0007414F">
        <w:rPr>
          <w:lang w:val="fr-FR" w:eastAsia="ja-JP"/>
        </w:rPr>
        <w:t>/57/8</w:t>
      </w:r>
      <w:r w:rsidR="001B53D1">
        <w:rPr>
          <w:lang w:val="fr-FR" w:eastAsia="ja-JP"/>
        </w:rPr>
        <w:t> </w:t>
      </w:r>
      <w:proofErr w:type="spellStart"/>
      <w:r w:rsidRPr="0007414F">
        <w:rPr>
          <w:lang w:val="fr-FR" w:eastAsia="ja-JP"/>
        </w:rPr>
        <w:t>Add</w:t>
      </w:r>
      <w:proofErr w:type="spellEnd"/>
      <w:r w:rsidR="001B53D1">
        <w:rPr>
          <w:lang w:val="fr-FR" w:eastAsia="ja-JP"/>
        </w:rPr>
        <w:t>.</w:t>
      </w:r>
      <w:r w:rsidRPr="0007414F">
        <w:rPr>
          <w:rFonts w:eastAsiaTheme="minorEastAsia"/>
          <w:lang w:val="fr-FR" w:eastAsia="ja-JP"/>
        </w:rPr>
        <w:t xml:space="preserve"> “Add</w:t>
      </w:r>
      <w:r w:rsidR="00B048F8">
        <w:rPr>
          <w:rFonts w:eastAsiaTheme="minorEastAsia"/>
          <w:lang w:val="fr-FR" w:eastAsia="ja-JP"/>
        </w:rPr>
        <w:t>itif aux</w:t>
      </w:r>
      <w:r w:rsidRPr="0007414F">
        <w:rPr>
          <w:rFonts w:eastAsiaTheme="minorEastAsia"/>
          <w:lang w:val="fr-FR" w:eastAsia="ja-JP"/>
        </w:rPr>
        <w:t xml:space="preserve"> </w:t>
      </w:r>
      <w:r w:rsidR="00BB6C13">
        <w:rPr>
          <w:rFonts w:eastAsiaTheme="minorEastAsia"/>
          <w:lang w:val="fr-FR" w:eastAsia="ja-JP"/>
        </w:rPr>
        <w:t>documents sur les t</w:t>
      </w:r>
      <w:r w:rsidR="00583353">
        <w:rPr>
          <w:rFonts w:eastAsiaTheme="minorEastAsia"/>
          <w:lang w:val="fr-FR" w:eastAsia="ja-JP"/>
        </w:rPr>
        <w:t>echniques moléculaires</w:t>
      </w:r>
      <w:r w:rsidRPr="0007414F">
        <w:rPr>
          <w:rFonts w:eastAsiaTheme="minorEastAsia"/>
          <w:lang w:val="fr-FR" w:eastAsia="ja-JP"/>
        </w:rPr>
        <w:t>”.</w:t>
      </w:r>
    </w:p>
    <w:p w14:paraId="48907C38" w14:textId="77777777" w:rsidR="0095407D" w:rsidRPr="0007414F" w:rsidRDefault="0095407D" w:rsidP="0095407D">
      <w:pPr>
        <w:rPr>
          <w:rFonts w:eastAsiaTheme="minorEastAsia"/>
          <w:lang w:val="fr-FR" w:eastAsia="ja-JP"/>
        </w:rPr>
      </w:pPr>
    </w:p>
    <w:p w14:paraId="6D878A1C" w14:textId="115E1D7B" w:rsidR="00D639EE" w:rsidRDefault="0095407D" w:rsidP="0095407D">
      <w:pPr>
        <w:rPr>
          <w:rFonts w:eastAsiaTheme="minorEastAsia"/>
          <w:lang w:val="fr-FR" w:eastAsia="ja-JP"/>
        </w:rPr>
      </w:pPr>
      <w:r w:rsidRPr="0007414F">
        <w:rPr>
          <w:rFonts w:eastAsiaTheme="minorEastAsia"/>
          <w:lang w:val="fr-FR" w:eastAsia="ja-JP"/>
        </w:rPr>
        <w:fldChar w:fldCharType="begin"/>
      </w:r>
      <w:r w:rsidRPr="0007414F">
        <w:rPr>
          <w:rFonts w:eastAsiaTheme="minorEastAsia"/>
          <w:lang w:val="fr-FR" w:eastAsia="ja-JP"/>
        </w:rPr>
        <w:instrText xml:space="preserve"> AUTONUM  </w:instrText>
      </w:r>
      <w:r w:rsidRPr="0007414F">
        <w:rPr>
          <w:rFonts w:eastAsiaTheme="minorEastAsia"/>
          <w:lang w:val="fr-FR" w:eastAsia="ja-JP"/>
        </w:rPr>
        <w:fldChar w:fldCharType="end"/>
      </w:r>
      <w:r w:rsidRPr="0007414F">
        <w:rPr>
          <w:rFonts w:eastAsiaTheme="minorEastAsia"/>
          <w:lang w:val="fr-FR" w:eastAsia="ja-JP"/>
        </w:rPr>
        <w:tab/>
      </w:r>
      <w:r w:rsidR="00B048F8">
        <w:rPr>
          <w:rFonts w:eastAsiaTheme="minorEastAsia"/>
          <w:lang w:val="fr-FR" w:eastAsia="ja-JP"/>
        </w:rPr>
        <w:t>À sa cinquante</w:t>
      </w:r>
      <w:r w:rsidR="006E7E88">
        <w:rPr>
          <w:rFonts w:eastAsiaTheme="minorEastAsia"/>
          <w:lang w:val="fr-FR" w:eastAsia="ja-JP"/>
        </w:rPr>
        <w:noBreakHyphen/>
      </w:r>
      <w:r w:rsidR="00B048F8">
        <w:rPr>
          <w:rFonts w:eastAsiaTheme="minorEastAsia"/>
          <w:lang w:val="fr-FR" w:eastAsia="ja-JP"/>
        </w:rPr>
        <w:t>quatr</w:t>
      </w:r>
      <w:r w:rsidR="00D639EE">
        <w:rPr>
          <w:rFonts w:eastAsiaTheme="minorEastAsia"/>
          <w:lang w:val="fr-FR" w:eastAsia="ja-JP"/>
        </w:rPr>
        <w:t>ième session</w:t>
      </w:r>
      <w:r w:rsidRPr="0007414F">
        <w:rPr>
          <w:rStyle w:val="FootnoteReference"/>
          <w:rFonts w:eastAsiaTheme="minorEastAsia"/>
          <w:lang w:val="fr-FR" w:eastAsia="ja-JP"/>
        </w:rPr>
        <w:footnoteReference w:id="2"/>
      </w:r>
      <w:r w:rsidRPr="0007414F">
        <w:rPr>
          <w:rFonts w:eastAsiaTheme="minorEastAsia"/>
          <w:lang w:val="fr-FR" w:eastAsia="ja-JP"/>
        </w:rPr>
        <w:t xml:space="preserve">, </w:t>
      </w:r>
      <w:r w:rsidR="00B048F8">
        <w:rPr>
          <w:rFonts w:eastAsiaTheme="minorEastAsia"/>
          <w:lang w:val="fr-FR" w:eastAsia="ja-JP"/>
        </w:rPr>
        <w:t>le</w:t>
      </w:r>
      <w:r w:rsidR="00D639EE">
        <w:rPr>
          <w:rFonts w:eastAsiaTheme="minorEastAsia"/>
          <w:lang w:val="fr-FR" w:eastAsia="ja-JP"/>
        </w:rPr>
        <w:t> TC</w:t>
      </w:r>
      <w:r w:rsidR="00B048F8">
        <w:rPr>
          <w:rFonts w:eastAsiaTheme="minorEastAsia"/>
          <w:lang w:val="fr-FR" w:eastAsia="ja-JP"/>
        </w:rPr>
        <w:t xml:space="preserve"> </w:t>
      </w:r>
      <w:r w:rsidR="00BB6C13">
        <w:rPr>
          <w:rFonts w:eastAsiaTheme="minorEastAsia"/>
          <w:lang w:val="fr-FR" w:eastAsia="ja-JP"/>
        </w:rPr>
        <w:t xml:space="preserve">est convenu que </w:t>
      </w:r>
      <w:r w:rsidR="00B048F8">
        <w:rPr>
          <w:rFonts w:eastAsiaTheme="minorEastAsia"/>
          <w:lang w:val="fr-FR" w:eastAsia="ja-JP"/>
        </w:rPr>
        <w:t>l</w:t>
      </w:r>
      <w:r w:rsidR="00D639EE">
        <w:rPr>
          <w:rFonts w:eastAsiaTheme="minorEastAsia"/>
          <w:lang w:val="fr-FR" w:eastAsia="ja-JP"/>
        </w:rPr>
        <w:t>’</w:t>
      </w:r>
      <w:r w:rsidRPr="0007414F">
        <w:rPr>
          <w:rFonts w:eastAsiaTheme="minorEastAsia"/>
          <w:lang w:val="fr-FR" w:eastAsia="ja-JP"/>
        </w:rPr>
        <w:t xml:space="preserve">UPOV </w:t>
      </w:r>
      <w:r w:rsidR="008509CE">
        <w:rPr>
          <w:rFonts w:eastAsiaTheme="minorEastAsia"/>
          <w:lang w:val="fr-FR" w:eastAsia="ja-JP"/>
        </w:rPr>
        <w:t>et</w:t>
      </w:r>
      <w:r w:rsidRPr="0007414F">
        <w:rPr>
          <w:rFonts w:eastAsiaTheme="minorEastAsia"/>
          <w:lang w:val="fr-FR" w:eastAsia="ja-JP"/>
        </w:rPr>
        <w:t xml:space="preserve"> </w:t>
      </w:r>
      <w:r w:rsidR="00B048F8">
        <w:rPr>
          <w:rFonts w:eastAsiaTheme="minorEastAsia"/>
          <w:lang w:val="fr-FR" w:eastAsia="ja-JP"/>
        </w:rPr>
        <w:t>l</w:t>
      </w:r>
      <w:r w:rsidR="00D639EE">
        <w:rPr>
          <w:rFonts w:eastAsiaTheme="minorEastAsia"/>
          <w:lang w:val="fr-FR" w:eastAsia="ja-JP"/>
        </w:rPr>
        <w:t>’</w:t>
      </w:r>
      <w:r w:rsidR="002338B5">
        <w:rPr>
          <w:rFonts w:eastAsiaTheme="minorEastAsia"/>
          <w:lang w:val="fr-FR" w:eastAsia="ja-JP"/>
        </w:rPr>
        <w:t>OCDE</w:t>
      </w:r>
      <w:r w:rsidRPr="0007414F">
        <w:rPr>
          <w:rFonts w:eastAsiaTheme="minorEastAsia"/>
          <w:lang w:val="fr-FR" w:eastAsia="ja-JP"/>
        </w:rPr>
        <w:t xml:space="preserve"> </w:t>
      </w:r>
      <w:r w:rsidR="00BB6C13">
        <w:rPr>
          <w:rFonts w:eastAsiaTheme="minorEastAsia"/>
          <w:lang w:val="fr-FR" w:eastAsia="ja-JP"/>
        </w:rPr>
        <w:t>devaient progresser sur l</w:t>
      </w:r>
      <w:r w:rsidR="00B048F8" w:rsidRPr="00B048F8">
        <w:rPr>
          <w:rFonts w:eastAsiaTheme="minorEastAsia"/>
          <w:lang w:val="fr-FR" w:eastAsia="ja-JP"/>
        </w:rPr>
        <w:t xml:space="preserve">es questions </w:t>
      </w:r>
      <w:r w:rsidR="00B048F8">
        <w:rPr>
          <w:rFonts w:eastAsiaTheme="minorEastAsia"/>
          <w:lang w:val="fr-FR" w:eastAsia="ja-JP"/>
        </w:rPr>
        <w:t xml:space="preserve">précédemment </w:t>
      </w:r>
      <w:r w:rsidR="00B048F8" w:rsidRPr="00B048F8">
        <w:rPr>
          <w:rFonts w:eastAsiaTheme="minorEastAsia"/>
          <w:lang w:val="fr-FR" w:eastAsia="ja-JP"/>
        </w:rPr>
        <w:t>approuvées par le</w:t>
      </w:r>
      <w:r w:rsidR="00D639EE">
        <w:rPr>
          <w:rFonts w:eastAsiaTheme="minorEastAsia"/>
          <w:lang w:val="fr-FR" w:eastAsia="ja-JP"/>
        </w:rPr>
        <w:t> TC</w:t>
      </w:r>
      <w:r w:rsidR="00B048F8" w:rsidRPr="00B048F8">
        <w:rPr>
          <w:rFonts w:eastAsiaTheme="minorEastAsia"/>
          <w:lang w:val="fr-FR" w:eastAsia="ja-JP"/>
        </w:rPr>
        <w:t xml:space="preserve"> (voir les </w:t>
      </w:r>
      <w:r w:rsidR="00D639EE" w:rsidRPr="00B048F8">
        <w:rPr>
          <w:rFonts w:eastAsiaTheme="minorEastAsia"/>
          <w:lang w:val="fr-FR" w:eastAsia="ja-JP"/>
        </w:rPr>
        <w:t>paragraphes</w:t>
      </w:r>
      <w:r w:rsidR="00D639EE">
        <w:rPr>
          <w:rFonts w:eastAsiaTheme="minorEastAsia"/>
          <w:lang w:val="fr-FR" w:eastAsia="ja-JP"/>
        </w:rPr>
        <w:t> </w:t>
      </w:r>
      <w:r w:rsidR="00D639EE" w:rsidRPr="00B048F8">
        <w:rPr>
          <w:rFonts w:eastAsiaTheme="minorEastAsia"/>
          <w:lang w:val="fr-FR" w:eastAsia="ja-JP"/>
        </w:rPr>
        <w:t>2</w:t>
      </w:r>
      <w:r w:rsidR="00B048F8" w:rsidRPr="00B048F8">
        <w:rPr>
          <w:rFonts w:eastAsiaTheme="minorEastAsia"/>
          <w:lang w:val="fr-FR" w:eastAsia="ja-JP"/>
        </w:rPr>
        <w:t xml:space="preserve">67 à 271 du </w:t>
      </w:r>
      <w:r w:rsidR="00D639EE" w:rsidRPr="00B048F8">
        <w:rPr>
          <w:rFonts w:eastAsiaTheme="minorEastAsia"/>
          <w:lang w:val="fr-FR" w:eastAsia="ja-JP"/>
        </w:rPr>
        <w:t>document</w:t>
      </w:r>
      <w:r w:rsidR="00D639EE">
        <w:rPr>
          <w:rFonts w:eastAsiaTheme="minorEastAsia"/>
          <w:lang w:val="fr-FR" w:eastAsia="ja-JP"/>
        </w:rPr>
        <w:t xml:space="preserve"> TC</w:t>
      </w:r>
      <w:r w:rsidR="00B048F8" w:rsidRPr="00B048F8">
        <w:rPr>
          <w:rFonts w:eastAsiaTheme="minorEastAsia"/>
          <w:lang w:val="fr-FR" w:eastAsia="ja-JP"/>
        </w:rPr>
        <w:t xml:space="preserve">/54/31 “Compte rendu”), </w:t>
      </w:r>
      <w:r w:rsidR="00D639EE">
        <w:rPr>
          <w:rFonts w:eastAsiaTheme="minorEastAsia"/>
          <w:lang w:val="fr-FR" w:eastAsia="ja-JP"/>
        </w:rPr>
        <w:t>à savoir :</w:t>
      </w:r>
    </w:p>
    <w:p w14:paraId="398AFF06" w14:textId="24DDD6D6" w:rsidR="00B048F8" w:rsidRPr="0007414F" w:rsidRDefault="00B048F8" w:rsidP="0095407D">
      <w:pPr>
        <w:rPr>
          <w:rFonts w:eastAsiaTheme="minorEastAsia"/>
          <w:lang w:val="fr-FR" w:eastAsia="ja-JP"/>
        </w:rPr>
      </w:pPr>
    </w:p>
    <w:p w14:paraId="0CCB754B" w14:textId="009101B4" w:rsidR="00D639EE" w:rsidRDefault="0095407D" w:rsidP="0095407D">
      <w:pPr>
        <w:ind w:firstLine="567"/>
        <w:rPr>
          <w:rFonts w:eastAsiaTheme="minorEastAsia"/>
          <w:lang w:val="fr-FR" w:eastAsia="ja-JP"/>
        </w:rPr>
      </w:pPr>
      <w:r w:rsidRPr="0007414F">
        <w:rPr>
          <w:rFonts w:eastAsiaTheme="minorEastAsia"/>
          <w:lang w:val="fr-FR" w:eastAsia="ja-JP"/>
        </w:rPr>
        <w:t>a)</w:t>
      </w:r>
      <w:r w:rsidRPr="0007414F">
        <w:rPr>
          <w:rFonts w:eastAsiaTheme="minorEastAsia"/>
          <w:lang w:val="fr-FR" w:eastAsia="ja-JP"/>
        </w:rPr>
        <w:tab/>
      </w:r>
      <w:r w:rsidR="00B048F8" w:rsidRPr="00B048F8">
        <w:rPr>
          <w:rFonts w:eastAsiaTheme="minorEastAsia"/>
          <w:lang w:val="fr-FR" w:eastAsia="ja-JP"/>
        </w:rPr>
        <w:t>l</w:t>
      </w:r>
      <w:r w:rsidR="00D639EE">
        <w:rPr>
          <w:rFonts w:eastAsiaTheme="minorEastAsia"/>
          <w:lang w:val="fr-FR" w:eastAsia="ja-JP"/>
        </w:rPr>
        <w:t>’</w:t>
      </w:r>
      <w:r w:rsidR="00B048F8" w:rsidRPr="00B048F8">
        <w:rPr>
          <w:rFonts w:eastAsiaTheme="minorEastAsia"/>
          <w:lang w:val="fr-FR" w:eastAsia="ja-JP"/>
        </w:rPr>
        <w:t>élaboration d</w:t>
      </w:r>
      <w:r w:rsidR="00D639EE">
        <w:rPr>
          <w:rFonts w:eastAsiaTheme="minorEastAsia"/>
          <w:lang w:val="fr-FR" w:eastAsia="ja-JP"/>
        </w:rPr>
        <w:t>’</w:t>
      </w:r>
      <w:r w:rsidR="00B048F8" w:rsidRPr="00B048F8">
        <w:rPr>
          <w:rFonts w:eastAsiaTheme="minorEastAsia"/>
          <w:lang w:val="fr-FR" w:eastAsia="ja-JP"/>
        </w:rPr>
        <w:t>un document commun présentant les particularités des systèmes de l</w:t>
      </w:r>
      <w:r w:rsidR="00D639EE">
        <w:rPr>
          <w:rFonts w:eastAsiaTheme="minorEastAsia"/>
          <w:lang w:val="fr-FR" w:eastAsia="ja-JP"/>
        </w:rPr>
        <w:t>’</w:t>
      </w:r>
      <w:r w:rsidR="00B048F8" w:rsidRPr="00B048F8">
        <w:rPr>
          <w:rFonts w:eastAsiaTheme="minorEastAsia"/>
          <w:lang w:val="fr-FR" w:eastAsia="ja-JP"/>
        </w:rPr>
        <w:t>OCDE, de l</w:t>
      </w:r>
      <w:r w:rsidR="00D639EE">
        <w:rPr>
          <w:rFonts w:eastAsiaTheme="minorEastAsia"/>
          <w:lang w:val="fr-FR" w:eastAsia="ja-JP"/>
        </w:rPr>
        <w:t>’</w:t>
      </w:r>
      <w:r w:rsidR="00B048F8" w:rsidRPr="00B048F8">
        <w:rPr>
          <w:rFonts w:eastAsiaTheme="minorEastAsia"/>
          <w:lang w:val="fr-FR" w:eastAsia="ja-JP"/>
        </w:rPr>
        <w:t>UPOV et de l</w:t>
      </w:r>
      <w:r w:rsidR="00D639EE">
        <w:rPr>
          <w:rFonts w:eastAsiaTheme="minorEastAsia"/>
          <w:lang w:val="fr-FR" w:eastAsia="ja-JP"/>
        </w:rPr>
        <w:t>’</w:t>
      </w:r>
      <w:r w:rsidR="00B048F8" w:rsidRPr="00B048F8">
        <w:rPr>
          <w:rFonts w:eastAsiaTheme="minorEastAsia"/>
          <w:lang w:val="fr-FR" w:eastAsia="ja-JP"/>
        </w:rPr>
        <w:t>ISTA</w:t>
      </w:r>
      <w:r w:rsidR="00D639EE">
        <w:rPr>
          <w:rFonts w:eastAsiaTheme="minorEastAsia"/>
          <w:lang w:val="fr-FR" w:eastAsia="ja-JP"/>
        </w:rPr>
        <w:t>;</w:t>
      </w:r>
    </w:p>
    <w:p w14:paraId="4956BE0A" w14:textId="24A94511" w:rsidR="0095407D" w:rsidRPr="0007414F" w:rsidRDefault="0095407D" w:rsidP="0095407D">
      <w:pPr>
        <w:ind w:firstLine="567"/>
        <w:rPr>
          <w:rFonts w:eastAsiaTheme="minorEastAsia"/>
          <w:lang w:val="fr-FR" w:eastAsia="ja-JP"/>
        </w:rPr>
      </w:pPr>
    </w:p>
    <w:p w14:paraId="0130F9F0" w14:textId="375FD9A8" w:rsidR="00D639EE" w:rsidRDefault="0095407D" w:rsidP="0095407D">
      <w:pPr>
        <w:ind w:firstLine="567"/>
        <w:rPr>
          <w:rFonts w:eastAsiaTheme="minorEastAsia"/>
          <w:lang w:val="fr-FR" w:eastAsia="ja-JP"/>
        </w:rPr>
      </w:pPr>
      <w:r w:rsidRPr="0007414F">
        <w:rPr>
          <w:rFonts w:eastAsiaTheme="minorEastAsia"/>
          <w:lang w:val="fr-FR" w:eastAsia="ja-JP"/>
        </w:rPr>
        <w:t>b)</w:t>
      </w:r>
      <w:r w:rsidRPr="0007414F">
        <w:rPr>
          <w:rFonts w:eastAsiaTheme="minorEastAsia"/>
          <w:lang w:val="fr-FR" w:eastAsia="ja-JP"/>
        </w:rPr>
        <w:tab/>
      </w:r>
      <w:r w:rsidR="00B048F8" w:rsidRPr="00B048F8">
        <w:rPr>
          <w:rFonts w:eastAsiaTheme="minorEastAsia"/>
          <w:lang w:val="fr-FR" w:eastAsia="ja-JP"/>
        </w:rPr>
        <w:t>l</w:t>
      </w:r>
      <w:r w:rsidR="00D639EE">
        <w:rPr>
          <w:rFonts w:eastAsiaTheme="minorEastAsia"/>
          <w:lang w:val="fr-FR" w:eastAsia="ja-JP"/>
        </w:rPr>
        <w:t>’</w:t>
      </w:r>
      <w:r w:rsidR="00B048F8" w:rsidRPr="00B048F8">
        <w:rPr>
          <w:rFonts w:eastAsiaTheme="minorEastAsia"/>
          <w:lang w:val="fr-FR" w:eastAsia="ja-JP"/>
        </w:rPr>
        <w:t>établissement d</w:t>
      </w:r>
      <w:r w:rsidR="00D639EE">
        <w:rPr>
          <w:rFonts w:eastAsiaTheme="minorEastAsia"/>
          <w:lang w:val="fr-FR" w:eastAsia="ja-JP"/>
        </w:rPr>
        <w:t>’</w:t>
      </w:r>
      <w:r w:rsidR="00B048F8" w:rsidRPr="00B048F8">
        <w:rPr>
          <w:rFonts w:eastAsiaTheme="minorEastAsia"/>
          <w:lang w:val="fr-FR" w:eastAsia="ja-JP"/>
        </w:rPr>
        <w:t>un inventaire, par plante, de l</w:t>
      </w:r>
      <w:r w:rsidR="00D639EE">
        <w:rPr>
          <w:rFonts w:eastAsiaTheme="minorEastAsia"/>
          <w:lang w:val="fr-FR" w:eastAsia="ja-JP"/>
        </w:rPr>
        <w:t>’</w:t>
      </w:r>
      <w:r w:rsidR="00B048F8" w:rsidRPr="00B048F8">
        <w:rPr>
          <w:rFonts w:eastAsiaTheme="minorEastAsia"/>
          <w:lang w:val="fr-FR" w:eastAsia="ja-JP"/>
        </w:rPr>
        <w:t>utilisation qui est faite des techniques faisant intervenir des marqueurs moléculaires, en vue de l</w:t>
      </w:r>
      <w:r w:rsidR="00D639EE">
        <w:rPr>
          <w:rFonts w:eastAsiaTheme="minorEastAsia"/>
          <w:lang w:val="fr-FR" w:eastAsia="ja-JP"/>
        </w:rPr>
        <w:t>’</w:t>
      </w:r>
      <w:r w:rsidR="00B048F8" w:rsidRPr="00B048F8">
        <w:rPr>
          <w:rFonts w:eastAsiaTheme="minorEastAsia"/>
          <w:lang w:val="fr-FR" w:eastAsia="ja-JP"/>
        </w:rPr>
        <w:t>élaboration d</w:t>
      </w:r>
      <w:r w:rsidR="00D639EE">
        <w:rPr>
          <w:rFonts w:eastAsiaTheme="minorEastAsia"/>
          <w:lang w:val="fr-FR" w:eastAsia="ja-JP"/>
        </w:rPr>
        <w:t>’</w:t>
      </w:r>
      <w:r w:rsidR="00B048F8" w:rsidRPr="00B048F8">
        <w:rPr>
          <w:rFonts w:eastAsiaTheme="minorEastAsia"/>
          <w:lang w:val="fr-FR" w:eastAsia="ja-JP"/>
        </w:rPr>
        <w:t>un document commun à l</w:t>
      </w:r>
      <w:r w:rsidR="00D639EE">
        <w:rPr>
          <w:rFonts w:eastAsiaTheme="minorEastAsia"/>
          <w:lang w:val="fr-FR" w:eastAsia="ja-JP"/>
        </w:rPr>
        <w:t>’</w:t>
      </w:r>
      <w:r w:rsidR="00B048F8" w:rsidRPr="00B048F8">
        <w:rPr>
          <w:rFonts w:eastAsiaTheme="minorEastAsia"/>
          <w:lang w:val="fr-FR" w:eastAsia="ja-JP"/>
        </w:rPr>
        <w:t>OCDE, à l</w:t>
      </w:r>
      <w:r w:rsidR="00D639EE">
        <w:rPr>
          <w:rFonts w:eastAsiaTheme="minorEastAsia"/>
          <w:lang w:val="fr-FR" w:eastAsia="ja-JP"/>
        </w:rPr>
        <w:t>’</w:t>
      </w:r>
      <w:r w:rsidR="00B048F8" w:rsidRPr="00B048F8">
        <w:rPr>
          <w:rFonts w:eastAsiaTheme="minorEastAsia"/>
          <w:lang w:val="fr-FR" w:eastAsia="ja-JP"/>
        </w:rPr>
        <w:t>UPOV et à l</w:t>
      </w:r>
      <w:r w:rsidR="00D639EE">
        <w:rPr>
          <w:rFonts w:eastAsiaTheme="minorEastAsia"/>
          <w:lang w:val="fr-FR" w:eastAsia="ja-JP"/>
        </w:rPr>
        <w:t>’</w:t>
      </w:r>
      <w:r w:rsidR="00B048F8" w:rsidRPr="00B048F8">
        <w:rPr>
          <w:rFonts w:eastAsiaTheme="minorEastAsia"/>
          <w:lang w:val="fr-FR" w:eastAsia="ja-JP"/>
        </w:rPr>
        <w:t>ISTA contenant ces informations, dans un format semblable à celui du document UPOV/INF/16 “Logiciels échangeables”, sous réserve de l</w:t>
      </w:r>
      <w:r w:rsidR="00D639EE">
        <w:rPr>
          <w:rFonts w:eastAsiaTheme="minorEastAsia"/>
          <w:lang w:val="fr-FR" w:eastAsia="ja-JP"/>
        </w:rPr>
        <w:t>’</w:t>
      </w:r>
      <w:r w:rsidR="00B048F8" w:rsidRPr="00B048F8">
        <w:rPr>
          <w:rFonts w:eastAsiaTheme="minorEastAsia"/>
          <w:lang w:val="fr-FR" w:eastAsia="ja-JP"/>
        </w:rPr>
        <w:t>approbation du Conseil et en concertation avec l</w:t>
      </w:r>
      <w:r w:rsidR="00D639EE">
        <w:rPr>
          <w:rFonts w:eastAsiaTheme="minorEastAsia"/>
          <w:lang w:val="fr-FR" w:eastAsia="ja-JP"/>
        </w:rPr>
        <w:t>’</w:t>
      </w:r>
      <w:r w:rsidR="00B048F8" w:rsidRPr="00B048F8">
        <w:rPr>
          <w:rFonts w:eastAsiaTheme="minorEastAsia"/>
          <w:lang w:val="fr-FR" w:eastAsia="ja-JP"/>
        </w:rPr>
        <w:t xml:space="preserve">OCDE et </w:t>
      </w:r>
      <w:proofErr w:type="gramStart"/>
      <w:r w:rsidR="00B048F8" w:rsidRPr="00B048F8">
        <w:rPr>
          <w:rFonts w:eastAsiaTheme="minorEastAsia"/>
          <w:lang w:val="fr-FR" w:eastAsia="ja-JP"/>
        </w:rPr>
        <w:t>l</w:t>
      </w:r>
      <w:r w:rsidR="00D639EE">
        <w:rPr>
          <w:rFonts w:eastAsiaTheme="minorEastAsia"/>
          <w:lang w:val="fr-FR" w:eastAsia="ja-JP"/>
        </w:rPr>
        <w:t>’</w:t>
      </w:r>
      <w:r w:rsidR="00B048F8" w:rsidRPr="00B048F8">
        <w:rPr>
          <w:rFonts w:eastAsiaTheme="minorEastAsia"/>
          <w:lang w:val="fr-FR" w:eastAsia="ja-JP"/>
        </w:rPr>
        <w:t>ISTA</w:t>
      </w:r>
      <w:r w:rsidR="00D639EE">
        <w:rPr>
          <w:rFonts w:eastAsiaTheme="minorEastAsia"/>
          <w:lang w:val="fr-FR" w:eastAsia="ja-JP"/>
        </w:rPr>
        <w:t xml:space="preserve">;  </w:t>
      </w:r>
      <w:r w:rsidR="008509CE">
        <w:rPr>
          <w:rFonts w:eastAsiaTheme="minorEastAsia"/>
          <w:lang w:val="fr-FR" w:eastAsia="ja-JP"/>
        </w:rPr>
        <w:t>et</w:t>
      </w:r>
      <w:proofErr w:type="gramEnd"/>
    </w:p>
    <w:p w14:paraId="71D577A9" w14:textId="03CA411F" w:rsidR="0095407D" w:rsidRPr="0007414F" w:rsidRDefault="0095407D" w:rsidP="0095407D">
      <w:pPr>
        <w:ind w:firstLine="567"/>
        <w:rPr>
          <w:rFonts w:eastAsiaTheme="minorEastAsia"/>
          <w:lang w:val="fr-FR" w:eastAsia="ja-JP"/>
        </w:rPr>
      </w:pPr>
    </w:p>
    <w:p w14:paraId="131C3126" w14:textId="48F32052" w:rsidR="00D639EE" w:rsidRDefault="0095407D" w:rsidP="0095407D">
      <w:pPr>
        <w:ind w:firstLine="567"/>
        <w:rPr>
          <w:rFonts w:eastAsiaTheme="minorEastAsia"/>
          <w:lang w:val="fr-FR" w:eastAsia="ja-JP"/>
        </w:rPr>
      </w:pPr>
      <w:r w:rsidRPr="0007414F">
        <w:rPr>
          <w:rFonts w:eastAsiaTheme="minorEastAsia"/>
          <w:lang w:val="fr-FR" w:eastAsia="ja-JP"/>
        </w:rPr>
        <w:t>c)</w:t>
      </w:r>
      <w:r w:rsidRPr="0007414F">
        <w:rPr>
          <w:rFonts w:eastAsiaTheme="minorEastAsia"/>
          <w:lang w:val="fr-FR" w:eastAsia="ja-JP"/>
        </w:rPr>
        <w:tab/>
      </w:r>
      <w:r w:rsidR="00B048F8" w:rsidRPr="00B048F8">
        <w:rPr>
          <w:rFonts w:eastAsiaTheme="minorEastAsia"/>
          <w:lang w:val="fr-FR" w:eastAsia="ja-JP"/>
        </w:rPr>
        <w:t>l</w:t>
      </w:r>
      <w:r w:rsidR="00D639EE">
        <w:rPr>
          <w:rFonts w:eastAsiaTheme="minorEastAsia"/>
          <w:lang w:val="fr-FR" w:eastAsia="ja-JP"/>
        </w:rPr>
        <w:t>’</w:t>
      </w:r>
      <w:r w:rsidR="00B048F8" w:rsidRPr="00B048F8">
        <w:rPr>
          <w:rFonts w:eastAsiaTheme="minorEastAsia"/>
          <w:lang w:val="fr-FR" w:eastAsia="ja-JP"/>
        </w:rPr>
        <w:t>établissement, par</w:t>
      </w:r>
      <w:r w:rsidR="00D639EE" w:rsidRPr="00B048F8">
        <w:rPr>
          <w:rFonts w:eastAsiaTheme="minorEastAsia"/>
          <w:lang w:val="fr-FR" w:eastAsia="ja-JP"/>
        </w:rPr>
        <w:t xml:space="preserve"> le</w:t>
      </w:r>
      <w:r w:rsidR="00D639EE">
        <w:rPr>
          <w:rFonts w:eastAsiaTheme="minorEastAsia"/>
          <w:lang w:val="fr-FR" w:eastAsia="ja-JP"/>
        </w:rPr>
        <w:t> </w:t>
      </w:r>
      <w:r w:rsidR="00D639EE" w:rsidRPr="00B048F8">
        <w:rPr>
          <w:rFonts w:eastAsiaTheme="minorEastAsia"/>
          <w:lang w:val="fr-FR" w:eastAsia="ja-JP"/>
        </w:rPr>
        <w:t>BMT</w:t>
      </w:r>
      <w:r w:rsidR="00B048F8" w:rsidRPr="00B048F8">
        <w:rPr>
          <w:rFonts w:eastAsiaTheme="minorEastAsia"/>
          <w:lang w:val="fr-FR" w:eastAsia="ja-JP"/>
        </w:rPr>
        <w:t>, de listes d</w:t>
      </w:r>
      <w:r w:rsidR="00D639EE">
        <w:rPr>
          <w:rFonts w:eastAsiaTheme="minorEastAsia"/>
          <w:lang w:val="fr-FR" w:eastAsia="ja-JP"/>
        </w:rPr>
        <w:t>’</w:t>
      </w:r>
      <w:r w:rsidR="00B048F8" w:rsidRPr="00B048F8">
        <w:rPr>
          <w:rFonts w:eastAsiaTheme="minorEastAsia"/>
          <w:lang w:val="fr-FR" w:eastAsia="ja-JP"/>
        </w:rPr>
        <w:t>initiatives conjointes possibles avec l</w:t>
      </w:r>
      <w:r w:rsidR="00D639EE">
        <w:rPr>
          <w:rFonts w:eastAsiaTheme="minorEastAsia"/>
          <w:lang w:val="fr-FR" w:eastAsia="ja-JP"/>
        </w:rPr>
        <w:t>’</w:t>
      </w:r>
      <w:r w:rsidR="00B048F8" w:rsidRPr="00B048F8">
        <w:rPr>
          <w:rFonts w:eastAsiaTheme="minorEastAsia"/>
          <w:lang w:val="fr-FR" w:eastAsia="ja-JP"/>
        </w:rPr>
        <w:t>OCDE et l</w:t>
      </w:r>
      <w:r w:rsidR="00D639EE">
        <w:rPr>
          <w:rFonts w:eastAsiaTheme="minorEastAsia"/>
          <w:lang w:val="fr-FR" w:eastAsia="ja-JP"/>
        </w:rPr>
        <w:t>’</w:t>
      </w:r>
      <w:r w:rsidR="00B048F8" w:rsidRPr="00B048F8">
        <w:rPr>
          <w:rFonts w:eastAsiaTheme="minorEastAsia"/>
          <w:lang w:val="fr-FR" w:eastAsia="ja-JP"/>
        </w:rPr>
        <w:t>ISTA dans le domaine des techniques moléculaires, pour examen par le</w:t>
      </w:r>
      <w:r w:rsidR="00D639EE">
        <w:rPr>
          <w:rFonts w:eastAsiaTheme="minorEastAsia"/>
          <w:lang w:val="fr-FR" w:eastAsia="ja-JP"/>
        </w:rPr>
        <w:t> TC</w:t>
      </w:r>
      <w:r w:rsidRPr="0007414F">
        <w:rPr>
          <w:rFonts w:eastAsiaTheme="minorEastAsia"/>
          <w:lang w:val="fr-FR" w:eastAsia="ja-JP"/>
        </w:rPr>
        <w:t>.</w:t>
      </w:r>
    </w:p>
    <w:p w14:paraId="69F71F6A" w14:textId="4EF11E17" w:rsidR="0095407D" w:rsidRPr="0007414F" w:rsidRDefault="0095407D" w:rsidP="0095407D">
      <w:pPr>
        <w:rPr>
          <w:rFonts w:eastAsiaTheme="minorEastAsia"/>
          <w:lang w:val="fr-FR" w:eastAsia="ja-JP"/>
        </w:rPr>
      </w:pPr>
    </w:p>
    <w:p w14:paraId="0F32E1E1" w14:textId="58AEA39E" w:rsidR="00D639EE" w:rsidRDefault="0095407D" w:rsidP="0095407D">
      <w:pPr>
        <w:rPr>
          <w:rFonts w:eastAsiaTheme="minorEastAsia"/>
          <w:lang w:val="fr-FR" w:eastAsia="ja-JP"/>
        </w:rPr>
      </w:pPr>
      <w:r w:rsidRPr="0007414F">
        <w:rPr>
          <w:rFonts w:eastAsiaTheme="minorEastAsia"/>
          <w:lang w:val="fr-FR" w:eastAsia="ja-JP"/>
        </w:rPr>
        <w:fldChar w:fldCharType="begin"/>
      </w:r>
      <w:r w:rsidRPr="0007414F">
        <w:rPr>
          <w:rFonts w:eastAsiaTheme="minorEastAsia"/>
          <w:lang w:val="fr-FR" w:eastAsia="ja-JP"/>
        </w:rPr>
        <w:instrText xml:space="preserve"> AUTONUM  </w:instrText>
      </w:r>
      <w:r w:rsidRPr="0007414F">
        <w:rPr>
          <w:rFonts w:eastAsiaTheme="minorEastAsia"/>
          <w:lang w:val="fr-FR" w:eastAsia="ja-JP"/>
        </w:rPr>
        <w:fldChar w:fldCharType="end"/>
      </w:r>
      <w:r w:rsidRPr="0007414F">
        <w:rPr>
          <w:rFonts w:eastAsiaTheme="minorEastAsia"/>
          <w:lang w:val="fr-FR" w:eastAsia="ja-JP"/>
        </w:rPr>
        <w:tab/>
      </w:r>
      <w:r w:rsidR="00CC3AE8" w:rsidRPr="00CC3AE8">
        <w:rPr>
          <w:rFonts w:eastAsiaTheme="minorEastAsia"/>
          <w:lang w:val="fr-FR" w:eastAsia="ja-JP"/>
        </w:rPr>
        <w:t>À sa cinquante</w:t>
      </w:r>
      <w:r w:rsidR="006E7E88">
        <w:rPr>
          <w:rFonts w:eastAsiaTheme="minorEastAsia"/>
          <w:lang w:val="fr-FR" w:eastAsia="ja-JP"/>
        </w:rPr>
        <w:noBreakHyphen/>
      </w:r>
      <w:r w:rsidR="00CC3AE8" w:rsidRPr="00CC3AE8">
        <w:rPr>
          <w:rFonts w:eastAsiaTheme="minorEastAsia"/>
          <w:lang w:val="fr-FR" w:eastAsia="ja-JP"/>
        </w:rPr>
        <w:t>quatr</w:t>
      </w:r>
      <w:r w:rsidR="00D639EE">
        <w:rPr>
          <w:rFonts w:eastAsiaTheme="minorEastAsia"/>
          <w:lang w:val="fr-FR" w:eastAsia="ja-JP"/>
        </w:rPr>
        <w:t>ième session</w:t>
      </w:r>
      <w:r w:rsidR="00CC3AE8" w:rsidRPr="00CC3AE8">
        <w:rPr>
          <w:rFonts w:eastAsiaTheme="minorEastAsia"/>
          <w:lang w:val="fr-FR" w:eastAsia="ja-JP"/>
        </w:rPr>
        <w:t>, le</w:t>
      </w:r>
      <w:r w:rsidR="00D639EE">
        <w:rPr>
          <w:rFonts w:eastAsiaTheme="minorEastAsia"/>
          <w:lang w:val="fr-FR" w:eastAsia="ja-JP"/>
        </w:rPr>
        <w:t> TC</w:t>
      </w:r>
      <w:r w:rsidR="00CC3AE8" w:rsidRPr="00CC3AE8">
        <w:rPr>
          <w:rFonts w:eastAsiaTheme="minorEastAsia"/>
          <w:lang w:val="fr-FR" w:eastAsia="ja-JP"/>
        </w:rPr>
        <w:t xml:space="preserve"> est convenu de demander à l</w:t>
      </w:r>
      <w:r w:rsidR="00D639EE">
        <w:rPr>
          <w:rFonts w:eastAsiaTheme="minorEastAsia"/>
          <w:lang w:val="fr-FR" w:eastAsia="ja-JP"/>
        </w:rPr>
        <w:t>’</w:t>
      </w:r>
      <w:r w:rsidR="00CC3AE8" w:rsidRPr="00CC3AE8">
        <w:rPr>
          <w:rFonts w:eastAsiaTheme="minorEastAsia"/>
          <w:lang w:val="fr-FR" w:eastAsia="ja-JP"/>
        </w:rPr>
        <w:t>ISTA de s</w:t>
      </w:r>
      <w:r w:rsidR="00D639EE">
        <w:rPr>
          <w:rFonts w:eastAsiaTheme="minorEastAsia"/>
          <w:lang w:val="fr-FR" w:eastAsia="ja-JP"/>
        </w:rPr>
        <w:t>’</w:t>
      </w:r>
      <w:r w:rsidR="00CC3AE8" w:rsidRPr="00CC3AE8">
        <w:rPr>
          <w:rFonts w:eastAsiaTheme="minorEastAsia"/>
          <w:lang w:val="fr-FR" w:eastAsia="ja-JP"/>
        </w:rPr>
        <w:t>associer aux initiatives lorsqu</w:t>
      </w:r>
      <w:r w:rsidR="00D639EE">
        <w:rPr>
          <w:rFonts w:eastAsiaTheme="minorEastAsia"/>
          <w:lang w:val="fr-FR" w:eastAsia="ja-JP"/>
        </w:rPr>
        <w:t>’</w:t>
      </w:r>
      <w:r w:rsidR="00CC3AE8" w:rsidRPr="00CC3AE8">
        <w:rPr>
          <w:rFonts w:eastAsiaTheme="minorEastAsia"/>
          <w:lang w:val="fr-FR" w:eastAsia="ja-JP"/>
        </w:rPr>
        <w:t>elle sera en mesure de le faire</w:t>
      </w:r>
      <w:r w:rsidRPr="0007414F">
        <w:rPr>
          <w:rFonts w:eastAsiaTheme="minorEastAsia"/>
          <w:lang w:val="fr-FR" w:eastAsia="ja-JP"/>
        </w:rPr>
        <w:t>.</w:t>
      </w:r>
    </w:p>
    <w:p w14:paraId="018486AB" w14:textId="689BB0D5" w:rsidR="005A4AC4" w:rsidRPr="0007414F" w:rsidRDefault="005A4AC4" w:rsidP="005A4AC4">
      <w:pPr>
        <w:keepNext/>
        <w:keepLines/>
        <w:rPr>
          <w:lang w:val="fr-FR"/>
        </w:rPr>
      </w:pPr>
      <w:r w:rsidRPr="0007414F">
        <w:rPr>
          <w:lang w:val="fr-FR"/>
        </w:rPr>
        <w:lastRenderedPageBreak/>
        <w:fldChar w:fldCharType="begin"/>
      </w:r>
      <w:r w:rsidRPr="0007414F">
        <w:rPr>
          <w:lang w:val="fr-FR"/>
        </w:rPr>
        <w:instrText xml:space="preserve"> AUTONUM  </w:instrText>
      </w:r>
      <w:r w:rsidRPr="0007414F">
        <w:rPr>
          <w:lang w:val="fr-FR"/>
        </w:rPr>
        <w:fldChar w:fldCharType="end"/>
      </w:r>
      <w:r w:rsidRPr="0007414F">
        <w:rPr>
          <w:lang w:val="fr-FR"/>
        </w:rPr>
        <w:tab/>
      </w:r>
      <w:r w:rsidR="00CC3AE8">
        <w:rPr>
          <w:lang w:val="fr-FR"/>
        </w:rPr>
        <w:t>Lors de leurs</w:t>
      </w:r>
      <w:r w:rsidRPr="0007414F">
        <w:rPr>
          <w:lang w:val="fr-FR"/>
        </w:rPr>
        <w:t xml:space="preserve"> sessions </w:t>
      </w:r>
      <w:r w:rsidR="00D639EE">
        <w:rPr>
          <w:lang w:val="fr-FR"/>
        </w:rPr>
        <w:t>e</w:t>
      </w:r>
      <w:r w:rsidR="00D639EE" w:rsidRPr="0007414F">
        <w:rPr>
          <w:lang w:val="fr-FR"/>
        </w:rPr>
        <w:t>n</w:t>
      </w:r>
      <w:r w:rsidR="00D639EE">
        <w:rPr>
          <w:lang w:val="fr-FR"/>
        </w:rPr>
        <w:t> </w:t>
      </w:r>
      <w:r w:rsidR="00D639EE" w:rsidRPr="0007414F">
        <w:rPr>
          <w:lang w:val="fr-FR"/>
        </w:rPr>
        <w:t>2022</w:t>
      </w:r>
      <w:r w:rsidRPr="0007414F">
        <w:rPr>
          <w:lang w:val="fr-FR"/>
        </w:rPr>
        <w:t>,</w:t>
      </w:r>
      <w:r w:rsidR="00D639EE" w:rsidRPr="0007414F">
        <w:rPr>
          <w:lang w:val="fr-FR"/>
        </w:rPr>
        <w:t xml:space="preserve"> </w:t>
      </w:r>
      <w:r w:rsidR="00D639EE">
        <w:rPr>
          <w:lang w:val="fr-FR"/>
        </w:rPr>
        <w:t>le </w:t>
      </w:r>
      <w:r w:rsidR="00D639EE" w:rsidRPr="0007414F">
        <w:rPr>
          <w:lang w:val="fr-FR"/>
        </w:rPr>
        <w:t>TWV</w:t>
      </w:r>
      <w:r w:rsidRPr="0007414F">
        <w:rPr>
          <w:vertAlign w:val="superscript"/>
          <w:lang w:val="fr-FR"/>
        </w:rPr>
        <w:footnoteReference w:id="3"/>
      </w:r>
      <w:r w:rsidRPr="0007414F">
        <w:rPr>
          <w:lang w:val="fr-FR"/>
        </w:rPr>
        <w:t>,</w:t>
      </w:r>
      <w:r w:rsidR="00D639EE" w:rsidRPr="0007414F">
        <w:rPr>
          <w:lang w:val="fr-FR"/>
        </w:rPr>
        <w:t xml:space="preserve"> </w:t>
      </w:r>
      <w:r w:rsidR="00D639EE">
        <w:rPr>
          <w:lang w:val="fr-FR"/>
        </w:rPr>
        <w:t>le </w:t>
      </w:r>
      <w:r w:rsidR="00D639EE" w:rsidRPr="0007414F">
        <w:rPr>
          <w:lang w:val="fr-FR"/>
        </w:rPr>
        <w:t>TWA</w:t>
      </w:r>
      <w:r w:rsidRPr="0007414F">
        <w:rPr>
          <w:vertAlign w:val="superscript"/>
          <w:lang w:val="fr-FR"/>
        </w:rPr>
        <w:footnoteReference w:id="4"/>
      </w:r>
      <w:r w:rsidRPr="0007414F">
        <w:rPr>
          <w:lang w:val="fr-FR"/>
        </w:rPr>
        <w:t>,</w:t>
      </w:r>
      <w:r w:rsidR="00D639EE" w:rsidRPr="0007414F">
        <w:rPr>
          <w:lang w:val="fr-FR"/>
        </w:rPr>
        <w:t xml:space="preserve"> </w:t>
      </w:r>
      <w:r w:rsidR="00D639EE">
        <w:rPr>
          <w:lang w:val="fr-FR"/>
        </w:rPr>
        <w:t>le </w:t>
      </w:r>
      <w:r w:rsidR="00D639EE" w:rsidRPr="0007414F">
        <w:rPr>
          <w:lang w:val="fr-FR"/>
        </w:rPr>
        <w:t>TWO</w:t>
      </w:r>
      <w:r w:rsidRPr="0007414F">
        <w:rPr>
          <w:vertAlign w:val="superscript"/>
          <w:lang w:val="fr-FR"/>
        </w:rPr>
        <w:footnoteReference w:id="5"/>
      </w:r>
      <w:r w:rsidRPr="0007414F">
        <w:rPr>
          <w:lang w:val="fr-FR"/>
        </w:rPr>
        <w:t>,</w:t>
      </w:r>
      <w:r w:rsidR="00D639EE" w:rsidRPr="0007414F">
        <w:rPr>
          <w:lang w:val="fr-FR"/>
        </w:rPr>
        <w:t xml:space="preserve"> </w:t>
      </w:r>
      <w:r w:rsidR="00D639EE">
        <w:rPr>
          <w:lang w:val="fr-FR"/>
        </w:rPr>
        <w:t>le </w:t>
      </w:r>
      <w:r w:rsidR="00D639EE" w:rsidRPr="0007414F">
        <w:rPr>
          <w:lang w:val="fr-FR"/>
        </w:rPr>
        <w:t>TWF</w:t>
      </w:r>
      <w:r w:rsidRPr="0007414F">
        <w:rPr>
          <w:vertAlign w:val="superscript"/>
          <w:lang w:val="fr-FR"/>
        </w:rPr>
        <w:footnoteReference w:id="6"/>
      </w:r>
      <w:r w:rsidRPr="0007414F">
        <w:rPr>
          <w:lang w:val="fr-FR"/>
        </w:rPr>
        <w:t xml:space="preserve"> </w:t>
      </w:r>
      <w:r w:rsidR="008509CE">
        <w:rPr>
          <w:lang w:val="fr-FR"/>
        </w:rPr>
        <w:t>et</w:t>
      </w:r>
      <w:r w:rsidR="00D639EE" w:rsidRPr="0007414F">
        <w:rPr>
          <w:lang w:val="fr-FR"/>
        </w:rPr>
        <w:t xml:space="preserve"> </w:t>
      </w:r>
      <w:r w:rsidR="00D639EE">
        <w:rPr>
          <w:lang w:val="fr-FR"/>
        </w:rPr>
        <w:t>le </w:t>
      </w:r>
      <w:r w:rsidR="00D639EE" w:rsidRPr="0007414F">
        <w:rPr>
          <w:snapToGrid w:val="0"/>
          <w:lang w:val="fr-FR"/>
        </w:rPr>
        <w:t>TWM</w:t>
      </w:r>
      <w:r w:rsidRPr="0007414F">
        <w:rPr>
          <w:snapToGrid w:val="0"/>
          <w:vertAlign w:val="superscript"/>
          <w:lang w:val="fr-FR"/>
        </w:rPr>
        <w:footnoteReference w:id="7"/>
      </w:r>
      <w:r w:rsidRPr="0007414F">
        <w:rPr>
          <w:lang w:val="fr-FR"/>
        </w:rPr>
        <w:t xml:space="preserve"> </w:t>
      </w:r>
      <w:r w:rsidR="00CC3AE8">
        <w:rPr>
          <w:lang w:val="fr-FR"/>
        </w:rPr>
        <w:t>ont examiné</w:t>
      </w:r>
      <w:r w:rsidRPr="0007414F">
        <w:rPr>
          <w:lang w:val="fr-FR"/>
        </w:rPr>
        <w:t xml:space="preserve"> </w:t>
      </w:r>
      <w:r w:rsidR="00CC3AE8">
        <w:rPr>
          <w:lang w:val="fr-FR"/>
        </w:rPr>
        <w:t xml:space="preserve">le </w:t>
      </w:r>
      <w:r w:rsidRPr="0007414F">
        <w:rPr>
          <w:lang w:val="fr-FR"/>
        </w:rPr>
        <w:t>document TWP/6/7 “</w:t>
      </w:r>
      <w:r w:rsidR="00583353">
        <w:rPr>
          <w:lang w:val="fr-FR"/>
        </w:rPr>
        <w:t>Techniques moléculaires</w:t>
      </w:r>
      <w:r w:rsidRPr="0007414F">
        <w:rPr>
          <w:lang w:val="fr-FR"/>
        </w:rPr>
        <w:t>” (</w:t>
      </w:r>
      <w:r w:rsidR="00CC3AE8">
        <w:rPr>
          <w:lang w:val="fr-FR"/>
        </w:rPr>
        <w:t>voir</w:t>
      </w:r>
      <w:r w:rsidRPr="0007414F">
        <w:rPr>
          <w:lang w:val="fr-FR"/>
        </w:rPr>
        <w:t xml:space="preserve"> </w:t>
      </w:r>
      <w:r w:rsidR="00CC3AE8" w:rsidRPr="00CC3AE8">
        <w:rPr>
          <w:lang w:val="fr-FR"/>
        </w:rPr>
        <w:t xml:space="preserve">les </w:t>
      </w:r>
      <w:r w:rsidR="00D639EE" w:rsidRPr="00CC3AE8">
        <w:rPr>
          <w:lang w:val="fr-FR"/>
        </w:rPr>
        <w:t>paragraphes</w:t>
      </w:r>
      <w:r w:rsidR="00D639EE">
        <w:rPr>
          <w:lang w:val="fr-FR"/>
        </w:rPr>
        <w:t> </w:t>
      </w:r>
      <w:r w:rsidR="00D639EE" w:rsidRPr="00CC3AE8">
        <w:rPr>
          <w:lang w:val="fr-FR"/>
        </w:rPr>
        <w:t>5</w:t>
      </w:r>
      <w:r w:rsidR="00CC3AE8" w:rsidRPr="00CC3AE8">
        <w:rPr>
          <w:lang w:val="fr-FR"/>
        </w:rPr>
        <w:t>1 à 59</w:t>
      </w:r>
      <w:r w:rsidR="00CC3AE8">
        <w:rPr>
          <w:lang w:val="fr-FR"/>
        </w:rPr>
        <w:t xml:space="preserve"> du </w:t>
      </w:r>
      <w:r w:rsidRPr="0007414F">
        <w:rPr>
          <w:lang w:val="fr-FR"/>
        </w:rPr>
        <w:t>document TWV/56/</w:t>
      </w:r>
      <w:r w:rsidR="001A0B7C" w:rsidRPr="0007414F">
        <w:rPr>
          <w:lang w:val="fr-FR"/>
        </w:rPr>
        <w:t>22</w:t>
      </w:r>
      <w:r w:rsidRPr="0007414F">
        <w:rPr>
          <w:lang w:val="fr-FR"/>
        </w:rPr>
        <w:t xml:space="preserve"> “</w:t>
      </w:r>
      <w:r w:rsidR="00CC3AE8" w:rsidRPr="00CC3AE8">
        <w:rPr>
          <w:lang w:val="fr-FR"/>
        </w:rPr>
        <w:t>Compte rendu</w:t>
      </w:r>
      <w:r w:rsidRPr="0007414F">
        <w:rPr>
          <w:lang w:val="fr-FR"/>
        </w:rPr>
        <w:t>”</w:t>
      </w:r>
      <w:r w:rsidR="00D639EE">
        <w:rPr>
          <w:lang w:val="fr-FR"/>
        </w:rPr>
        <w:t xml:space="preserve">;  </w:t>
      </w:r>
      <w:r w:rsidR="00CC3AE8">
        <w:rPr>
          <w:lang w:val="fr-FR"/>
        </w:rPr>
        <w:t xml:space="preserve">les </w:t>
      </w:r>
      <w:r w:rsidR="00D639EE" w:rsidRPr="00CC3AE8">
        <w:rPr>
          <w:lang w:val="fr-FR"/>
        </w:rPr>
        <w:t>paragraph</w:t>
      </w:r>
      <w:r w:rsidR="00D639EE">
        <w:rPr>
          <w:lang w:val="fr-FR"/>
        </w:rPr>
        <w:t>e</w:t>
      </w:r>
      <w:r w:rsidR="00D639EE" w:rsidRPr="00CC3AE8">
        <w:rPr>
          <w:lang w:val="fr-FR"/>
        </w:rPr>
        <w:t>s</w:t>
      </w:r>
      <w:r w:rsidR="00D639EE">
        <w:rPr>
          <w:lang w:val="fr-FR"/>
        </w:rPr>
        <w:t> </w:t>
      </w:r>
      <w:r w:rsidR="00D639EE" w:rsidRPr="00CC3AE8">
        <w:rPr>
          <w:lang w:val="fr-FR"/>
        </w:rPr>
        <w:t>7</w:t>
      </w:r>
      <w:r w:rsidR="00CC3AE8" w:rsidRPr="00CC3AE8">
        <w:rPr>
          <w:lang w:val="fr-FR"/>
        </w:rPr>
        <w:t xml:space="preserve">1 </w:t>
      </w:r>
      <w:r w:rsidR="00CC3AE8">
        <w:rPr>
          <w:lang w:val="fr-FR"/>
        </w:rPr>
        <w:t>à</w:t>
      </w:r>
      <w:r w:rsidR="00CC3AE8" w:rsidRPr="00CC3AE8">
        <w:rPr>
          <w:lang w:val="fr-FR"/>
        </w:rPr>
        <w:t xml:space="preserve"> 75</w:t>
      </w:r>
      <w:r w:rsidR="00CC3AE8">
        <w:rPr>
          <w:lang w:val="fr-FR"/>
        </w:rPr>
        <w:t xml:space="preserve"> </w:t>
      </w:r>
      <w:r w:rsidR="00CC3AE8" w:rsidRPr="00CC3AE8">
        <w:rPr>
          <w:lang w:val="fr-FR"/>
        </w:rPr>
        <w:t xml:space="preserve">du document </w:t>
      </w:r>
      <w:r w:rsidR="001A0B7C" w:rsidRPr="0007414F">
        <w:rPr>
          <w:lang w:val="fr-FR"/>
        </w:rPr>
        <w:t xml:space="preserve">TWA/51/11 </w:t>
      </w:r>
      <w:r w:rsidR="00CC3AE8" w:rsidRPr="00CC3AE8">
        <w:rPr>
          <w:lang w:val="fr-FR"/>
        </w:rPr>
        <w:t>“Compte rendu”</w:t>
      </w:r>
      <w:r w:rsidR="00D639EE">
        <w:rPr>
          <w:lang w:val="fr-FR"/>
        </w:rPr>
        <w:t xml:space="preserve">;  </w:t>
      </w:r>
      <w:r w:rsidR="00CC3AE8">
        <w:rPr>
          <w:lang w:val="fr-FR"/>
        </w:rPr>
        <w:t xml:space="preserve">les </w:t>
      </w:r>
      <w:r w:rsidR="00D639EE" w:rsidRPr="00CC3AE8">
        <w:rPr>
          <w:lang w:val="fr-FR"/>
        </w:rPr>
        <w:t>paragraph</w:t>
      </w:r>
      <w:r w:rsidR="00D639EE">
        <w:rPr>
          <w:lang w:val="fr-FR"/>
        </w:rPr>
        <w:t>e</w:t>
      </w:r>
      <w:r w:rsidR="00D639EE" w:rsidRPr="00CC3AE8">
        <w:rPr>
          <w:lang w:val="fr-FR"/>
        </w:rPr>
        <w:t>s</w:t>
      </w:r>
      <w:r w:rsidR="00D639EE">
        <w:rPr>
          <w:lang w:val="fr-FR"/>
        </w:rPr>
        <w:t> </w:t>
      </w:r>
      <w:r w:rsidR="00D639EE" w:rsidRPr="00CC3AE8">
        <w:rPr>
          <w:lang w:val="fr-FR"/>
        </w:rPr>
        <w:t>6</w:t>
      </w:r>
      <w:r w:rsidR="00CC3AE8" w:rsidRPr="00CC3AE8">
        <w:rPr>
          <w:lang w:val="fr-FR"/>
        </w:rPr>
        <w:t xml:space="preserve">6 </w:t>
      </w:r>
      <w:r w:rsidR="00CC3AE8">
        <w:rPr>
          <w:lang w:val="fr-FR"/>
        </w:rPr>
        <w:t>à</w:t>
      </w:r>
      <w:r w:rsidR="00CC3AE8" w:rsidRPr="00CC3AE8">
        <w:rPr>
          <w:lang w:val="fr-FR"/>
        </w:rPr>
        <w:t xml:space="preserve"> 70</w:t>
      </w:r>
      <w:r w:rsidR="00CC3AE8">
        <w:rPr>
          <w:lang w:val="fr-FR"/>
        </w:rPr>
        <w:t xml:space="preserve"> </w:t>
      </w:r>
      <w:r w:rsidR="00CC3AE8" w:rsidRPr="00CC3AE8">
        <w:rPr>
          <w:lang w:val="fr-FR"/>
        </w:rPr>
        <w:t xml:space="preserve">du document </w:t>
      </w:r>
      <w:r w:rsidRPr="0007414F">
        <w:rPr>
          <w:lang w:val="fr-FR"/>
        </w:rPr>
        <w:t>TWO/5</w:t>
      </w:r>
      <w:r w:rsidR="001A0B7C" w:rsidRPr="0007414F">
        <w:rPr>
          <w:lang w:val="fr-FR"/>
        </w:rPr>
        <w:t>4</w:t>
      </w:r>
      <w:r w:rsidRPr="0007414F">
        <w:rPr>
          <w:lang w:val="fr-FR"/>
        </w:rPr>
        <w:t>/</w:t>
      </w:r>
      <w:r w:rsidR="001A0B7C" w:rsidRPr="0007414F">
        <w:rPr>
          <w:lang w:val="fr-FR"/>
        </w:rPr>
        <w:t>6</w:t>
      </w:r>
      <w:r w:rsidRPr="0007414F">
        <w:rPr>
          <w:lang w:val="fr-FR"/>
        </w:rPr>
        <w:t xml:space="preserve"> </w:t>
      </w:r>
      <w:r w:rsidR="00CC3AE8" w:rsidRPr="00CC3AE8">
        <w:rPr>
          <w:lang w:val="fr-FR"/>
        </w:rPr>
        <w:t>“Compte rendu”</w:t>
      </w:r>
      <w:r w:rsidR="00D639EE">
        <w:rPr>
          <w:lang w:val="fr-FR"/>
        </w:rPr>
        <w:t xml:space="preserve">;  </w:t>
      </w:r>
      <w:r w:rsidR="00CC3AE8">
        <w:rPr>
          <w:lang w:val="fr-FR"/>
        </w:rPr>
        <w:t xml:space="preserve">les </w:t>
      </w:r>
      <w:r w:rsidR="00D639EE" w:rsidRPr="00CC3AE8">
        <w:rPr>
          <w:lang w:val="fr-FR"/>
        </w:rPr>
        <w:t>paragraph</w:t>
      </w:r>
      <w:r w:rsidR="00D639EE">
        <w:rPr>
          <w:lang w:val="fr-FR"/>
        </w:rPr>
        <w:t>e</w:t>
      </w:r>
      <w:r w:rsidR="00D639EE" w:rsidRPr="00CC3AE8">
        <w:rPr>
          <w:lang w:val="fr-FR"/>
        </w:rPr>
        <w:t>s</w:t>
      </w:r>
      <w:r w:rsidR="00D639EE">
        <w:rPr>
          <w:lang w:val="fr-FR"/>
        </w:rPr>
        <w:t> </w:t>
      </w:r>
      <w:r w:rsidR="00D639EE" w:rsidRPr="00CC3AE8">
        <w:rPr>
          <w:lang w:val="fr-FR"/>
        </w:rPr>
        <w:t>8</w:t>
      </w:r>
      <w:r w:rsidR="00CC3AE8" w:rsidRPr="00CC3AE8">
        <w:rPr>
          <w:lang w:val="fr-FR"/>
        </w:rPr>
        <w:t xml:space="preserve">0 </w:t>
      </w:r>
      <w:r w:rsidR="00CC3AE8">
        <w:rPr>
          <w:lang w:val="fr-FR"/>
        </w:rPr>
        <w:t>à</w:t>
      </w:r>
      <w:r w:rsidR="00CC3AE8" w:rsidRPr="00CC3AE8">
        <w:rPr>
          <w:lang w:val="fr-FR"/>
        </w:rPr>
        <w:t xml:space="preserve"> 84</w:t>
      </w:r>
      <w:r w:rsidR="00CC3AE8">
        <w:rPr>
          <w:lang w:val="fr-FR"/>
        </w:rPr>
        <w:t xml:space="preserve"> </w:t>
      </w:r>
      <w:r w:rsidR="00CC3AE8" w:rsidRPr="00CC3AE8">
        <w:rPr>
          <w:lang w:val="fr-FR"/>
        </w:rPr>
        <w:t xml:space="preserve">du document </w:t>
      </w:r>
      <w:r w:rsidRPr="0007414F">
        <w:rPr>
          <w:lang w:val="fr-FR"/>
        </w:rPr>
        <w:t>TWF/5</w:t>
      </w:r>
      <w:r w:rsidR="001A0B7C" w:rsidRPr="0007414F">
        <w:rPr>
          <w:lang w:val="fr-FR"/>
        </w:rPr>
        <w:t>3</w:t>
      </w:r>
      <w:r w:rsidRPr="0007414F">
        <w:rPr>
          <w:lang w:val="fr-FR"/>
        </w:rPr>
        <w:t>/1</w:t>
      </w:r>
      <w:r w:rsidR="001A0B7C" w:rsidRPr="0007414F">
        <w:rPr>
          <w:lang w:val="fr-FR"/>
        </w:rPr>
        <w:t>4</w:t>
      </w:r>
      <w:r w:rsidRPr="0007414F">
        <w:rPr>
          <w:lang w:val="fr-FR"/>
        </w:rPr>
        <w:t xml:space="preserve"> </w:t>
      </w:r>
      <w:r w:rsidR="00CC3AE8" w:rsidRPr="00CC3AE8">
        <w:rPr>
          <w:lang w:val="fr-FR"/>
        </w:rPr>
        <w:t>“Compte rendu”</w:t>
      </w:r>
      <w:r w:rsidR="00D639EE">
        <w:rPr>
          <w:lang w:val="fr-FR"/>
        </w:rPr>
        <w:t xml:space="preserve">;  </w:t>
      </w:r>
      <w:r w:rsidR="008509CE">
        <w:rPr>
          <w:lang w:val="fr-FR"/>
        </w:rPr>
        <w:t>et</w:t>
      </w:r>
      <w:r w:rsidR="00CC3AE8">
        <w:rPr>
          <w:lang w:val="fr-FR"/>
        </w:rPr>
        <w:t xml:space="preserve"> les</w:t>
      </w:r>
      <w:r w:rsidRPr="0007414F">
        <w:rPr>
          <w:lang w:val="fr-FR"/>
        </w:rPr>
        <w:t xml:space="preserve"> </w:t>
      </w:r>
      <w:r w:rsidR="00D639EE" w:rsidRPr="0007414F">
        <w:rPr>
          <w:lang w:val="fr-FR"/>
        </w:rPr>
        <w:t>paragraph</w:t>
      </w:r>
      <w:r w:rsidR="00D639EE">
        <w:rPr>
          <w:lang w:val="fr-FR"/>
        </w:rPr>
        <w:t>e</w:t>
      </w:r>
      <w:r w:rsidR="00D639EE" w:rsidRPr="0007414F">
        <w:rPr>
          <w:lang w:val="fr-FR"/>
        </w:rPr>
        <w:t>s</w:t>
      </w:r>
      <w:r w:rsidR="00D639EE">
        <w:rPr>
          <w:lang w:val="fr-FR"/>
        </w:rPr>
        <w:t> </w:t>
      </w:r>
      <w:r w:rsidR="00D639EE" w:rsidRPr="0007414F">
        <w:rPr>
          <w:lang w:val="fr-FR"/>
        </w:rPr>
        <w:t>7</w:t>
      </w:r>
      <w:r w:rsidR="001A0B7C" w:rsidRPr="0007414F">
        <w:rPr>
          <w:lang w:val="fr-FR"/>
        </w:rPr>
        <w:t>0</w:t>
      </w:r>
      <w:r w:rsidRPr="0007414F">
        <w:rPr>
          <w:lang w:val="fr-FR"/>
        </w:rPr>
        <w:t xml:space="preserve"> </w:t>
      </w:r>
      <w:r w:rsidR="00CC3AE8">
        <w:rPr>
          <w:lang w:val="fr-FR"/>
        </w:rPr>
        <w:t>à</w:t>
      </w:r>
      <w:r w:rsidRPr="0007414F">
        <w:rPr>
          <w:lang w:val="fr-FR"/>
        </w:rPr>
        <w:t xml:space="preserve"> </w:t>
      </w:r>
      <w:r w:rsidR="001A0B7C" w:rsidRPr="0007414F">
        <w:rPr>
          <w:lang w:val="fr-FR"/>
        </w:rPr>
        <w:t>80</w:t>
      </w:r>
      <w:r w:rsidR="00CC3AE8" w:rsidRPr="00D639EE">
        <w:rPr>
          <w:lang w:val="fr-FR"/>
        </w:rPr>
        <w:t xml:space="preserve"> du document </w:t>
      </w:r>
      <w:r w:rsidR="00CC3AE8" w:rsidRPr="00CC3AE8">
        <w:rPr>
          <w:lang w:val="fr-FR"/>
        </w:rPr>
        <w:t>TWM/1/26 “Compte rendu”</w:t>
      </w:r>
      <w:r w:rsidRPr="0007414F">
        <w:rPr>
          <w:lang w:val="fr-FR"/>
        </w:rPr>
        <w:t>)</w:t>
      </w:r>
      <w:r w:rsidRPr="0007414F">
        <w:rPr>
          <w:lang w:val="fr-FR" w:eastAsia="ja-JP"/>
        </w:rPr>
        <w:t>.</w:t>
      </w:r>
    </w:p>
    <w:p w14:paraId="542EFA07" w14:textId="77777777" w:rsidR="005A4AC4" w:rsidRPr="0007414F" w:rsidRDefault="005A4AC4" w:rsidP="0095407D">
      <w:pPr>
        <w:rPr>
          <w:rFonts w:eastAsiaTheme="minorEastAsia"/>
          <w:lang w:val="fr-FR"/>
        </w:rPr>
      </w:pPr>
    </w:p>
    <w:p w14:paraId="293AC952" w14:textId="5EBDA033" w:rsidR="0095407D" w:rsidRPr="0007414F" w:rsidRDefault="00CC3AE8" w:rsidP="0095407D">
      <w:pPr>
        <w:pStyle w:val="Heading2"/>
        <w:rPr>
          <w:rFonts w:eastAsiaTheme="minorEastAsia"/>
          <w:lang w:val="fr-FR"/>
        </w:rPr>
      </w:pPr>
      <w:bookmarkStart w:id="10" w:name="_Toc116986214"/>
      <w:r w:rsidRPr="00CC3AE8">
        <w:rPr>
          <w:rFonts w:eastAsiaTheme="minorEastAsia"/>
          <w:lang w:val="fr-FR"/>
        </w:rPr>
        <w:t>Inventaire, par plante, de l</w:t>
      </w:r>
      <w:r w:rsidR="00D639EE">
        <w:rPr>
          <w:rFonts w:eastAsiaTheme="minorEastAsia"/>
          <w:lang w:val="fr-FR"/>
        </w:rPr>
        <w:t>’</w:t>
      </w:r>
      <w:r w:rsidRPr="00CC3AE8">
        <w:rPr>
          <w:rFonts w:eastAsiaTheme="minorEastAsia"/>
          <w:lang w:val="fr-FR"/>
        </w:rPr>
        <w:t>utilisation des techniques faisant intervenir des marqueurs moléculaires</w:t>
      </w:r>
      <w:bookmarkEnd w:id="10"/>
    </w:p>
    <w:p w14:paraId="4F4A0782" w14:textId="77777777" w:rsidR="0095407D" w:rsidRPr="0007414F" w:rsidRDefault="0095407D" w:rsidP="0095407D">
      <w:pPr>
        <w:rPr>
          <w:rFonts w:eastAsiaTheme="minorEastAsia"/>
          <w:lang w:val="fr-FR"/>
        </w:rPr>
      </w:pPr>
      <w:bookmarkStart w:id="11" w:name="_Toc14980927"/>
      <w:bookmarkStart w:id="12" w:name="_Toc15059497"/>
      <w:bookmarkStart w:id="13" w:name="_Toc15295342"/>
      <w:bookmarkStart w:id="14" w:name="_Toc22564625"/>
      <w:bookmarkStart w:id="15" w:name="_Toc27663379"/>
    </w:p>
    <w:p w14:paraId="3D9B8F60" w14:textId="30654901" w:rsidR="00D639EE" w:rsidRDefault="00733F54" w:rsidP="00733F54">
      <w:pPr>
        <w:keepNext/>
        <w:keepLines/>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CC3AE8" w:rsidRPr="00CC3AE8">
        <w:rPr>
          <w:lang w:val="fr-FR"/>
        </w:rPr>
        <w:t>À sa cinquante</w:t>
      </w:r>
      <w:r w:rsidR="006E7E88">
        <w:rPr>
          <w:lang w:val="fr-FR"/>
        </w:rPr>
        <w:noBreakHyphen/>
      </w:r>
      <w:r w:rsidR="00CC3AE8">
        <w:rPr>
          <w:lang w:val="fr-FR"/>
        </w:rPr>
        <w:t>sept</w:t>
      </w:r>
      <w:r w:rsidR="00D639EE">
        <w:rPr>
          <w:lang w:val="fr-FR"/>
        </w:rPr>
        <w:t>ième session</w:t>
      </w:r>
      <w:r w:rsidRPr="0007414F">
        <w:rPr>
          <w:rStyle w:val="FootnoteReference"/>
          <w:lang w:val="fr-FR"/>
        </w:rPr>
        <w:footnoteReference w:id="8"/>
      </w:r>
      <w:r w:rsidRPr="0007414F">
        <w:rPr>
          <w:lang w:val="fr-FR"/>
        </w:rPr>
        <w:t xml:space="preserve">, </w:t>
      </w:r>
      <w:r w:rsidR="00CC3AE8">
        <w:rPr>
          <w:lang w:val="fr-FR"/>
        </w:rPr>
        <w:t>le</w:t>
      </w:r>
      <w:r w:rsidR="00D639EE">
        <w:rPr>
          <w:lang w:val="fr-FR"/>
        </w:rPr>
        <w:t> TC</w:t>
      </w:r>
      <w:r w:rsidR="00CC3AE8">
        <w:rPr>
          <w:lang w:val="fr-FR"/>
        </w:rPr>
        <w:t xml:space="preserve"> a prié l</w:t>
      </w:r>
      <w:r w:rsidR="008509CE">
        <w:rPr>
          <w:lang w:val="fr-FR"/>
        </w:rPr>
        <w:t>e</w:t>
      </w:r>
      <w:r w:rsidRPr="0007414F">
        <w:rPr>
          <w:lang w:val="fr-FR"/>
        </w:rPr>
        <w:t xml:space="preserve"> </w:t>
      </w:r>
      <w:r w:rsidR="00CC3AE8">
        <w:rPr>
          <w:lang w:val="fr-FR"/>
        </w:rPr>
        <w:t>Bureau de l</w:t>
      </w:r>
      <w:r w:rsidR="00D639EE">
        <w:rPr>
          <w:lang w:val="fr-FR"/>
        </w:rPr>
        <w:t>’</w:t>
      </w:r>
      <w:r w:rsidRPr="0007414F">
        <w:rPr>
          <w:lang w:val="fr-FR"/>
        </w:rPr>
        <w:t xml:space="preserve">Union </w:t>
      </w:r>
      <w:r w:rsidR="00CC3AE8">
        <w:rPr>
          <w:lang w:val="fr-FR"/>
        </w:rPr>
        <w:t>d</w:t>
      </w:r>
      <w:r w:rsidR="00D639EE">
        <w:rPr>
          <w:lang w:val="fr-FR"/>
        </w:rPr>
        <w:t>’</w:t>
      </w:r>
      <w:r w:rsidR="00CC3AE8">
        <w:rPr>
          <w:lang w:val="fr-FR"/>
        </w:rPr>
        <w:t>i</w:t>
      </w:r>
      <w:r w:rsidRPr="0007414F">
        <w:rPr>
          <w:lang w:val="fr-FR"/>
        </w:rPr>
        <w:t>nform</w:t>
      </w:r>
      <w:r w:rsidR="00CC3AE8">
        <w:rPr>
          <w:lang w:val="fr-FR"/>
        </w:rPr>
        <w:t>er</w:t>
      </w:r>
      <w:r w:rsidRPr="0007414F">
        <w:rPr>
          <w:lang w:val="fr-FR"/>
        </w:rPr>
        <w:t xml:space="preserve"> </w:t>
      </w:r>
      <w:r w:rsidR="00CC3AE8">
        <w:rPr>
          <w:lang w:val="fr-FR"/>
        </w:rPr>
        <w:t>l</w:t>
      </w:r>
      <w:r w:rsidR="00D639EE">
        <w:rPr>
          <w:lang w:val="fr-FR"/>
        </w:rPr>
        <w:t>’</w:t>
      </w:r>
      <w:r w:rsidR="002338B5">
        <w:rPr>
          <w:lang w:val="fr-FR"/>
        </w:rPr>
        <w:t>OCDE</w:t>
      </w:r>
      <w:r w:rsidRPr="0007414F">
        <w:rPr>
          <w:lang w:val="fr-FR"/>
        </w:rPr>
        <w:t xml:space="preserve"> </w:t>
      </w:r>
      <w:r w:rsidR="00CC3AE8">
        <w:rPr>
          <w:lang w:val="fr-FR"/>
        </w:rPr>
        <w:t>des ré</w:t>
      </w:r>
      <w:r w:rsidRPr="0007414F">
        <w:rPr>
          <w:lang w:val="fr-FR"/>
        </w:rPr>
        <w:t>sult</w:t>
      </w:r>
      <w:r w:rsidR="00CC3AE8">
        <w:rPr>
          <w:lang w:val="fr-FR"/>
        </w:rPr>
        <w:t>ats de</w:t>
      </w:r>
      <w:r w:rsidRPr="0007414F">
        <w:rPr>
          <w:lang w:val="fr-FR"/>
        </w:rPr>
        <w:t xml:space="preserve"> </w:t>
      </w:r>
      <w:r w:rsidR="008509CE">
        <w:rPr>
          <w:lang w:val="fr-FR"/>
        </w:rPr>
        <w:t>l</w:t>
      </w:r>
      <w:r w:rsidR="00D639EE">
        <w:rPr>
          <w:lang w:val="fr-FR"/>
        </w:rPr>
        <w:t>’</w:t>
      </w:r>
      <w:r w:rsidR="00CC3AE8">
        <w:rPr>
          <w:lang w:val="fr-FR"/>
        </w:rPr>
        <w:t>enquêt</w:t>
      </w:r>
      <w:r w:rsidR="008509CE">
        <w:rPr>
          <w:lang w:val="fr-FR"/>
        </w:rPr>
        <w:t>e</w:t>
      </w:r>
      <w:r w:rsidRPr="0007414F">
        <w:rPr>
          <w:lang w:val="fr-FR"/>
        </w:rPr>
        <w:t xml:space="preserve"> </w:t>
      </w:r>
      <w:r w:rsidR="00CC3AE8">
        <w:rPr>
          <w:lang w:val="fr-FR"/>
        </w:rPr>
        <w:t xml:space="preserve">figurant dans le </w:t>
      </w:r>
      <w:r w:rsidR="00D639EE" w:rsidRPr="0007414F">
        <w:rPr>
          <w:lang w:val="fr-FR"/>
        </w:rPr>
        <w:t>document</w:t>
      </w:r>
      <w:r w:rsidR="00D639EE">
        <w:rPr>
          <w:lang w:val="fr-FR"/>
        </w:rPr>
        <w:t xml:space="preserve"> TC</w:t>
      </w:r>
      <w:r w:rsidR="00C173D8" w:rsidRPr="0007414F">
        <w:rPr>
          <w:lang w:val="fr-FR"/>
        </w:rPr>
        <w:t>/57/8 “</w:t>
      </w:r>
      <w:r w:rsidR="00583353">
        <w:rPr>
          <w:lang w:val="fr-FR"/>
        </w:rPr>
        <w:t>Techniques moléculaires</w:t>
      </w:r>
      <w:r w:rsidR="00C173D8" w:rsidRPr="0007414F">
        <w:rPr>
          <w:lang w:val="fr-FR"/>
        </w:rPr>
        <w:t xml:space="preserve">”, </w:t>
      </w:r>
      <w:r w:rsidR="008509CE">
        <w:rPr>
          <w:lang w:val="fr-FR"/>
        </w:rPr>
        <w:t>et</w:t>
      </w:r>
      <w:r w:rsidRPr="0007414F">
        <w:rPr>
          <w:lang w:val="fr-FR"/>
        </w:rPr>
        <w:t xml:space="preserve"> </w:t>
      </w:r>
      <w:r w:rsidR="00CC3AE8">
        <w:rPr>
          <w:lang w:val="fr-FR"/>
        </w:rPr>
        <w:t>de présenter les faits nouveaux au</w:t>
      </w:r>
      <w:r w:rsidR="00D639EE">
        <w:rPr>
          <w:lang w:val="fr-FR"/>
        </w:rPr>
        <w:t> TC</w:t>
      </w:r>
      <w:r w:rsidRPr="0007414F">
        <w:rPr>
          <w:lang w:val="fr-FR"/>
        </w:rPr>
        <w:t xml:space="preserve">, </w:t>
      </w:r>
      <w:r w:rsidR="00CC3AE8">
        <w:rPr>
          <w:lang w:val="fr-FR"/>
        </w:rPr>
        <w:t>à sa</w:t>
      </w:r>
      <w:r w:rsidRPr="0007414F">
        <w:rPr>
          <w:lang w:val="fr-FR"/>
        </w:rPr>
        <w:t xml:space="preserve"> </w:t>
      </w:r>
      <w:r w:rsidR="00CC3AE8" w:rsidRPr="00CC3AE8">
        <w:rPr>
          <w:lang w:val="fr-FR"/>
        </w:rPr>
        <w:t>cinquante</w:t>
      </w:r>
      <w:r w:rsidR="006E7E88">
        <w:rPr>
          <w:lang w:val="fr-FR"/>
        </w:rPr>
        <w:noBreakHyphen/>
      </w:r>
      <w:r w:rsidR="00CC3AE8">
        <w:rPr>
          <w:lang w:val="fr-FR"/>
        </w:rPr>
        <w:t>hui</w:t>
      </w:r>
      <w:r w:rsidR="00CC3AE8" w:rsidRPr="00CC3AE8">
        <w:rPr>
          <w:lang w:val="fr-FR"/>
        </w:rPr>
        <w:t>t</w:t>
      </w:r>
      <w:r w:rsidR="00D639EE">
        <w:rPr>
          <w:lang w:val="fr-FR"/>
        </w:rPr>
        <w:t>ième session</w:t>
      </w:r>
      <w:r w:rsidRPr="0007414F">
        <w:rPr>
          <w:lang w:val="fr-FR"/>
        </w:rPr>
        <w:t xml:space="preserve"> (</w:t>
      </w:r>
      <w:r w:rsidR="00CC3AE8">
        <w:rPr>
          <w:lang w:val="fr-FR"/>
        </w:rPr>
        <w:t xml:space="preserve">voir le </w:t>
      </w:r>
      <w:r w:rsidR="00D639EE">
        <w:rPr>
          <w:lang w:val="fr-FR"/>
        </w:rPr>
        <w:t>paragraphe 4</w:t>
      </w:r>
      <w:r w:rsidR="00517EF9">
        <w:rPr>
          <w:lang w:val="fr-FR"/>
        </w:rPr>
        <w:t>8 du</w:t>
      </w:r>
      <w:r w:rsidRPr="0007414F">
        <w:rPr>
          <w:lang w:val="fr-FR"/>
        </w:rPr>
        <w:t xml:space="preserve"> </w:t>
      </w:r>
      <w:r w:rsidR="00D639EE" w:rsidRPr="0007414F">
        <w:rPr>
          <w:lang w:val="fr-FR"/>
        </w:rPr>
        <w:t>document</w:t>
      </w:r>
      <w:r w:rsidR="00D639EE">
        <w:rPr>
          <w:lang w:val="fr-FR"/>
        </w:rPr>
        <w:t xml:space="preserve"> TC</w:t>
      </w:r>
      <w:r w:rsidRPr="0007414F">
        <w:rPr>
          <w:lang w:val="fr-FR"/>
        </w:rPr>
        <w:t xml:space="preserve">/57/25 </w:t>
      </w:r>
      <w:r w:rsidR="00517EF9" w:rsidRPr="00517EF9">
        <w:rPr>
          <w:lang w:val="fr-FR"/>
        </w:rPr>
        <w:t>“Compte rendu”</w:t>
      </w:r>
      <w:r w:rsidRPr="0007414F">
        <w:rPr>
          <w:lang w:val="fr-FR"/>
        </w:rPr>
        <w:t xml:space="preserve">). </w:t>
      </w:r>
      <w:r w:rsidR="001B53D1">
        <w:rPr>
          <w:lang w:val="fr-FR"/>
        </w:rPr>
        <w:t xml:space="preserve"> </w:t>
      </w:r>
      <w:r w:rsidR="00517EF9">
        <w:rPr>
          <w:lang w:val="fr-FR"/>
        </w:rPr>
        <w:t>Le 1</w:t>
      </w:r>
      <w:r w:rsidR="00D639EE">
        <w:rPr>
          <w:lang w:val="fr-FR"/>
        </w:rPr>
        <w:t>3 décembre </w:t>
      </w:r>
      <w:r w:rsidR="00D639EE" w:rsidRPr="0007414F">
        <w:rPr>
          <w:lang w:val="fr-FR"/>
        </w:rPr>
        <w:t>20</w:t>
      </w:r>
      <w:r w:rsidRPr="0007414F">
        <w:rPr>
          <w:lang w:val="fr-FR"/>
        </w:rPr>
        <w:t xml:space="preserve">21, </w:t>
      </w:r>
      <w:r w:rsidR="008509CE">
        <w:rPr>
          <w:lang w:val="fr-FR"/>
        </w:rPr>
        <w:t>le</w:t>
      </w:r>
      <w:r w:rsidRPr="0007414F">
        <w:rPr>
          <w:lang w:val="fr-FR"/>
        </w:rPr>
        <w:t xml:space="preserve"> </w:t>
      </w:r>
      <w:r w:rsidR="00517EF9">
        <w:rPr>
          <w:lang w:val="fr-FR"/>
        </w:rPr>
        <w:t>Bureau de l</w:t>
      </w:r>
      <w:r w:rsidR="00D639EE">
        <w:rPr>
          <w:lang w:val="fr-FR"/>
        </w:rPr>
        <w:t>’</w:t>
      </w:r>
      <w:r w:rsidRPr="0007414F">
        <w:rPr>
          <w:lang w:val="fr-FR"/>
        </w:rPr>
        <w:t xml:space="preserve">Union </w:t>
      </w:r>
      <w:r w:rsidR="00517EF9">
        <w:rPr>
          <w:lang w:val="fr-FR"/>
        </w:rPr>
        <w:t>a informé l</w:t>
      </w:r>
      <w:r w:rsidR="00D639EE">
        <w:rPr>
          <w:lang w:val="fr-FR"/>
        </w:rPr>
        <w:t>’</w:t>
      </w:r>
      <w:r w:rsidR="00517EF9" w:rsidRPr="00517EF9">
        <w:rPr>
          <w:lang w:val="fr-FR"/>
        </w:rPr>
        <w:t>OCDE</w:t>
      </w:r>
      <w:r w:rsidR="00517EF9">
        <w:rPr>
          <w:lang w:val="fr-FR"/>
        </w:rPr>
        <w:t xml:space="preserve"> des résultats de l</w:t>
      </w:r>
      <w:r w:rsidR="00D639EE">
        <w:rPr>
          <w:lang w:val="fr-FR"/>
        </w:rPr>
        <w:t>’</w:t>
      </w:r>
      <w:r w:rsidR="00517EF9">
        <w:rPr>
          <w:lang w:val="fr-FR"/>
        </w:rPr>
        <w:t>enquête</w:t>
      </w:r>
      <w:r w:rsidRPr="0007414F">
        <w:rPr>
          <w:lang w:val="fr-FR"/>
        </w:rPr>
        <w:t>.</w:t>
      </w:r>
    </w:p>
    <w:p w14:paraId="66997C9C" w14:textId="2E102D03" w:rsidR="00733F54" w:rsidRPr="0007414F" w:rsidRDefault="00733F54" w:rsidP="00733F54">
      <w:pPr>
        <w:rPr>
          <w:lang w:val="fr-FR"/>
        </w:rPr>
      </w:pPr>
    </w:p>
    <w:p w14:paraId="294E5520" w14:textId="19F6D08A" w:rsidR="00733F54" w:rsidRPr="0007414F" w:rsidRDefault="00733F54" w:rsidP="00733F54">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517EF9" w:rsidRPr="00517EF9">
        <w:rPr>
          <w:lang w:val="fr-FR"/>
        </w:rPr>
        <w:t>À sa cinquante</w:t>
      </w:r>
      <w:r w:rsidR="006E7E88">
        <w:rPr>
          <w:lang w:val="fr-FR"/>
        </w:rPr>
        <w:noBreakHyphen/>
      </w:r>
      <w:r w:rsidR="00517EF9" w:rsidRPr="00517EF9">
        <w:rPr>
          <w:lang w:val="fr-FR"/>
        </w:rPr>
        <w:t>sept</w:t>
      </w:r>
      <w:r w:rsidR="00D639EE">
        <w:rPr>
          <w:lang w:val="fr-FR"/>
        </w:rPr>
        <w:t>ième session</w:t>
      </w:r>
      <w:r w:rsidR="00517EF9" w:rsidRPr="00517EF9">
        <w:rPr>
          <w:lang w:val="fr-FR"/>
        </w:rPr>
        <w:t>, le</w:t>
      </w:r>
      <w:r w:rsidR="00D639EE">
        <w:rPr>
          <w:lang w:val="fr-FR"/>
        </w:rPr>
        <w:t> TC</w:t>
      </w:r>
      <w:r w:rsidR="00517EF9" w:rsidRPr="00517EF9">
        <w:rPr>
          <w:lang w:val="fr-FR"/>
        </w:rPr>
        <w:t xml:space="preserve"> a</w:t>
      </w:r>
      <w:r w:rsidRPr="0007414F">
        <w:rPr>
          <w:lang w:val="fr-FR"/>
        </w:rPr>
        <w:t xml:space="preserve"> con</w:t>
      </w:r>
      <w:r w:rsidR="00517EF9">
        <w:rPr>
          <w:lang w:val="fr-FR"/>
        </w:rPr>
        <w:t>venu de poursuivre l</w:t>
      </w:r>
      <w:r w:rsidR="00D639EE">
        <w:rPr>
          <w:lang w:val="fr-FR"/>
        </w:rPr>
        <w:t>’</w:t>
      </w:r>
      <w:r w:rsidR="00517EF9">
        <w:rPr>
          <w:lang w:val="fr-FR"/>
        </w:rPr>
        <w:t>enquête</w:t>
      </w:r>
      <w:r w:rsidRPr="0007414F">
        <w:rPr>
          <w:lang w:val="fr-FR"/>
        </w:rPr>
        <w:t xml:space="preserve"> </w:t>
      </w:r>
      <w:r w:rsidR="00517EF9">
        <w:rPr>
          <w:lang w:val="fr-FR"/>
        </w:rPr>
        <w:t xml:space="preserve">sur </w:t>
      </w:r>
      <w:r w:rsidR="00517EF9" w:rsidRPr="00517EF9">
        <w:rPr>
          <w:lang w:val="fr-FR"/>
        </w:rPr>
        <w:t>l</w:t>
      </w:r>
      <w:r w:rsidR="00D639EE">
        <w:rPr>
          <w:lang w:val="fr-FR"/>
        </w:rPr>
        <w:t>’</w:t>
      </w:r>
      <w:r w:rsidR="00517EF9" w:rsidRPr="00517EF9">
        <w:rPr>
          <w:lang w:val="fr-FR"/>
        </w:rPr>
        <w:t xml:space="preserve">utilisation des marqueurs moléculaires </w:t>
      </w:r>
      <w:r w:rsidR="00517EF9">
        <w:rPr>
          <w:lang w:val="fr-FR"/>
        </w:rPr>
        <w:t>pour obtenir des informations auprès d</w:t>
      </w:r>
      <w:r w:rsidR="00D639EE">
        <w:rPr>
          <w:lang w:val="fr-FR"/>
        </w:rPr>
        <w:t>’</w:t>
      </w:r>
      <w:r w:rsidR="00517EF9">
        <w:rPr>
          <w:lang w:val="fr-FR"/>
        </w:rPr>
        <w:t xml:space="preserve">un plus grand nombre de </w:t>
      </w:r>
      <w:r w:rsidR="00EB5ED6">
        <w:rPr>
          <w:lang w:val="fr-FR"/>
        </w:rPr>
        <w:t>membre</w:t>
      </w:r>
      <w:r w:rsidRPr="0007414F">
        <w:rPr>
          <w:lang w:val="fr-FR"/>
        </w:rPr>
        <w:t xml:space="preserve">s </w:t>
      </w:r>
      <w:r w:rsidR="008509CE">
        <w:rPr>
          <w:lang w:val="fr-FR"/>
        </w:rPr>
        <w:t>et</w:t>
      </w:r>
      <w:r w:rsidRPr="0007414F">
        <w:rPr>
          <w:lang w:val="fr-FR"/>
        </w:rPr>
        <w:t xml:space="preserve"> </w:t>
      </w:r>
      <w:r w:rsidR="00517EF9">
        <w:rPr>
          <w:lang w:val="fr-FR"/>
        </w:rPr>
        <w:t xml:space="preserve">de rechercher les raisons pour lesquelles des </w:t>
      </w:r>
      <w:r w:rsidR="00EB5ED6">
        <w:rPr>
          <w:lang w:val="fr-FR"/>
        </w:rPr>
        <w:t>membre</w:t>
      </w:r>
      <w:r w:rsidRPr="0007414F">
        <w:rPr>
          <w:lang w:val="fr-FR"/>
        </w:rPr>
        <w:t>s n</w:t>
      </w:r>
      <w:r w:rsidR="00D639EE">
        <w:rPr>
          <w:lang w:val="fr-FR"/>
        </w:rPr>
        <w:t>’</w:t>
      </w:r>
      <w:r w:rsidR="00517EF9">
        <w:rPr>
          <w:lang w:val="fr-FR"/>
        </w:rPr>
        <w:t>ont pas répondu à la première</w:t>
      </w:r>
      <w:r w:rsidRPr="0007414F">
        <w:rPr>
          <w:lang w:val="fr-FR"/>
        </w:rPr>
        <w:t xml:space="preserve"> </w:t>
      </w:r>
      <w:r w:rsidR="00517EF9">
        <w:rPr>
          <w:lang w:val="fr-FR"/>
        </w:rPr>
        <w:t>enquête</w:t>
      </w:r>
      <w:r w:rsidRPr="0007414F">
        <w:rPr>
          <w:lang w:val="fr-FR"/>
        </w:rPr>
        <w:t>.</w:t>
      </w:r>
    </w:p>
    <w:p w14:paraId="3D24680B" w14:textId="77777777" w:rsidR="00733F54" w:rsidRPr="0007414F" w:rsidRDefault="00733F54" w:rsidP="0095407D">
      <w:pPr>
        <w:rPr>
          <w:lang w:val="fr-FR"/>
        </w:rPr>
      </w:pPr>
    </w:p>
    <w:p w14:paraId="38B84969" w14:textId="37A740F4" w:rsidR="006919EA" w:rsidRPr="0007414F" w:rsidRDefault="006919EA" w:rsidP="006919EA">
      <w:pPr>
        <w:rPr>
          <w:rFonts w:cs="Arial"/>
          <w:snapToGrid w:val="0"/>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517EF9">
        <w:rPr>
          <w:lang w:val="fr-FR"/>
        </w:rPr>
        <w:t>Le</w:t>
      </w:r>
      <w:r w:rsidR="00D639EE">
        <w:rPr>
          <w:lang w:val="fr-FR"/>
        </w:rPr>
        <w:t xml:space="preserve"> 1</w:t>
      </w:r>
      <w:r w:rsidR="00D639EE" w:rsidRPr="00D639EE">
        <w:rPr>
          <w:vertAlign w:val="superscript"/>
          <w:lang w:val="fr-FR"/>
        </w:rPr>
        <w:t>er</w:t>
      </w:r>
      <w:r w:rsidR="00D639EE">
        <w:rPr>
          <w:lang w:val="fr-FR"/>
        </w:rPr>
        <w:t> février </w:t>
      </w:r>
      <w:r w:rsidR="00D639EE" w:rsidRPr="0007414F">
        <w:rPr>
          <w:lang w:val="fr-FR"/>
        </w:rPr>
        <w:t>20</w:t>
      </w:r>
      <w:r w:rsidRPr="0007414F">
        <w:rPr>
          <w:lang w:val="fr-FR"/>
        </w:rPr>
        <w:t xml:space="preserve">22, </w:t>
      </w:r>
      <w:r w:rsidR="008509CE">
        <w:rPr>
          <w:lang w:val="fr-FR"/>
        </w:rPr>
        <w:t>le</w:t>
      </w:r>
      <w:r w:rsidRPr="0007414F">
        <w:rPr>
          <w:lang w:val="fr-FR"/>
        </w:rPr>
        <w:t xml:space="preserve"> </w:t>
      </w:r>
      <w:r w:rsidR="00517EF9">
        <w:rPr>
          <w:lang w:val="fr-FR"/>
        </w:rPr>
        <w:t>Bureau de l</w:t>
      </w:r>
      <w:r w:rsidR="00D639EE">
        <w:rPr>
          <w:lang w:val="fr-FR"/>
        </w:rPr>
        <w:t>’</w:t>
      </w:r>
      <w:r w:rsidR="00517EF9">
        <w:rPr>
          <w:lang w:val="fr-FR"/>
        </w:rPr>
        <w:t>Union</w:t>
      </w:r>
      <w:r w:rsidRPr="0007414F">
        <w:rPr>
          <w:lang w:val="fr-FR"/>
        </w:rPr>
        <w:t xml:space="preserve"> </w:t>
      </w:r>
      <w:r w:rsidR="00517EF9">
        <w:rPr>
          <w:lang w:val="fr-FR"/>
        </w:rPr>
        <w:t>a diffusé la c</w:t>
      </w:r>
      <w:r w:rsidRPr="0007414F">
        <w:rPr>
          <w:lang w:val="fr-FR"/>
        </w:rPr>
        <w:t>ircula</w:t>
      </w:r>
      <w:r w:rsidR="00517EF9">
        <w:rPr>
          <w:lang w:val="fr-FR"/>
        </w:rPr>
        <w:t>i</w:t>
      </w:r>
      <w:r w:rsidRPr="0007414F">
        <w:rPr>
          <w:lang w:val="fr-FR"/>
        </w:rPr>
        <w:t>r</w:t>
      </w:r>
      <w:r w:rsidR="00517EF9">
        <w:rPr>
          <w:lang w:val="fr-FR"/>
        </w:rPr>
        <w:t>e</w:t>
      </w:r>
      <w:r w:rsidR="00D0172C">
        <w:rPr>
          <w:lang w:val="fr-FR"/>
        </w:rPr>
        <w:t> </w:t>
      </w:r>
      <w:r w:rsidRPr="0007414F">
        <w:rPr>
          <w:lang w:val="fr-FR"/>
        </w:rPr>
        <w:t>E</w:t>
      </w:r>
      <w:r w:rsidR="006E7E88">
        <w:rPr>
          <w:lang w:val="fr-FR"/>
        </w:rPr>
        <w:noBreakHyphen/>
      </w:r>
      <w:r w:rsidRPr="0007414F">
        <w:rPr>
          <w:lang w:val="fr-FR"/>
        </w:rPr>
        <w:t xml:space="preserve">22/009 </w:t>
      </w:r>
      <w:r w:rsidRPr="0007414F">
        <w:rPr>
          <w:rFonts w:cs="Arial"/>
          <w:snapToGrid w:val="0"/>
          <w:lang w:val="fr-FR"/>
        </w:rPr>
        <w:t>invi</w:t>
      </w:r>
      <w:r w:rsidR="00517EF9">
        <w:rPr>
          <w:rFonts w:cs="Arial"/>
          <w:snapToGrid w:val="0"/>
          <w:lang w:val="fr-FR"/>
        </w:rPr>
        <w:t xml:space="preserve">tant les </w:t>
      </w:r>
      <w:r w:rsidR="00EB5ED6">
        <w:rPr>
          <w:rFonts w:cs="Arial"/>
          <w:snapToGrid w:val="0"/>
          <w:lang w:val="fr-FR"/>
        </w:rPr>
        <w:t>membre</w:t>
      </w:r>
      <w:r w:rsidRPr="0007414F">
        <w:rPr>
          <w:rFonts w:cs="Arial"/>
          <w:snapToGrid w:val="0"/>
          <w:lang w:val="fr-FR"/>
        </w:rPr>
        <w:t xml:space="preserve">s </w:t>
      </w:r>
      <w:r w:rsidR="00517EF9">
        <w:rPr>
          <w:rFonts w:cs="Arial"/>
          <w:snapToGrid w:val="0"/>
          <w:lang w:val="fr-FR"/>
        </w:rPr>
        <w:t>de l</w:t>
      </w:r>
      <w:r w:rsidR="00D639EE">
        <w:rPr>
          <w:rFonts w:cs="Arial"/>
          <w:snapToGrid w:val="0"/>
          <w:lang w:val="fr-FR"/>
        </w:rPr>
        <w:t>’</w:t>
      </w:r>
      <w:r w:rsidRPr="0007414F">
        <w:rPr>
          <w:rFonts w:cs="Arial"/>
          <w:snapToGrid w:val="0"/>
          <w:lang w:val="fr-FR"/>
        </w:rPr>
        <w:t xml:space="preserve">Union </w:t>
      </w:r>
      <w:r w:rsidR="00517EF9">
        <w:rPr>
          <w:rFonts w:cs="Arial"/>
          <w:snapToGrid w:val="0"/>
          <w:lang w:val="fr-FR"/>
        </w:rPr>
        <w:t>à indiquer s</w:t>
      </w:r>
      <w:r w:rsidR="00D639EE">
        <w:rPr>
          <w:rFonts w:cs="Arial"/>
          <w:snapToGrid w:val="0"/>
          <w:lang w:val="fr-FR"/>
        </w:rPr>
        <w:t>’</w:t>
      </w:r>
      <w:r w:rsidR="00517EF9">
        <w:rPr>
          <w:rFonts w:cs="Arial"/>
          <w:snapToGrid w:val="0"/>
          <w:lang w:val="fr-FR"/>
        </w:rPr>
        <w:t>ils utilisent des</w:t>
      </w:r>
      <w:r w:rsidRPr="0007414F">
        <w:rPr>
          <w:rFonts w:cs="Arial"/>
          <w:snapToGrid w:val="0"/>
          <w:lang w:val="fr-FR"/>
        </w:rPr>
        <w:t xml:space="preserve"> </w:t>
      </w:r>
      <w:r w:rsidR="00517EF9">
        <w:rPr>
          <w:rFonts w:cs="Arial"/>
          <w:snapToGrid w:val="0"/>
          <w:lang w:val="fr-FR"/>
        </w:rPr>
        <w:t>techniques faisant intervenir des marqueurs moléculaires</w:t>
      </w:r>
      <w:r w:rsidRPr="0007414F">
        <w:rPr>
          <w:rFonts w:cs="Arial"/>
          <w:snapToGrid w:val="0"/>
          <w:lang w:val="fr-FR"/>
        </w:rPr>
        <w:t xml:space="preserve"> </w:t>
      </w:r>
      <w:r w:rsidR="008509CE">
        <w:rPr>
          <w:rFonts w:cs="Arial"/>
          <w:snapToGrid w:val="0"/>
          <w:lang w:val="fr-FR"/>
        </w:rPr>
        <w:t>et</w:t>
      </w:r>
      <w:r w:rsidRPr="0007414F">
        <w:rPr>
          <w:rFonts w:cs="Arial"/>
          <w:snapToGrid w:val="0"/>
          <w:lang w:val="fr-FR"/>
        </w:rPr>
        <w:t xml:space="preserve"> </w:t>
      </w:r>
      <w:r w:rsidR="00517EF9">
        <w:rPr>
          <w:rFonts w:cs="Arial"/>
          <w:snapToGrid w:val="0"/>
          <w:lang w:val="fr-FR"/>
        </w:rPr>
        <w:t>à poursuivre l</w:t>
      </w:r>
      <w:r w:rsidR="00D639EE">
        <w:rPr>
          <w:rFonts w:cs="Arial"/>
          <w:snapToGrid w:val="0"/>
          <w:lang w:val="fr-FR"/>
        </w:rPr>
        <w:t>’</w:t>
      </w:r>
      <w:r w:rsidR="00517EF9">
        <w:rPr>
          <w:rFonts w:cs="Arial"/>
          <w:snapToGrid w:val="0"/>
          <w:lang w:val="fr-FR"/>
        </w:rPr>
        <w:t>enquête</w:t>
      </w:r>
      <w:r w:rsidRPr="0007414F">
        <w:rPr>
          <w:rFonts w:cs="Arial"/>
          <w:snapToGrid w:val="0"/>
          <w:lang w:val="fr-FR"/>
        </w:rPr>
        <w:t xml:space="preserve"> </w:t>
      </w:r>
      <w:r w:rsidR="00517EF9">
        <w:rPr>
          <w:rFonts w:cs="Arial"/>
          <w:snapToGrid w:val="0"/>
          <w:lang w:val="fr-FR"/>
        </w:rPr>
        <w:t>sur leur utilisation</w:t>
      </w:r>
      <w:r w:rsidRPr="0007414F">
        <w:rPr>
          <w:rFonts w:cs="Arial"/>
          <w:snapToGrid w:val="0"/>
          <w:lang w:val="fr-FR"/>
        </w:rPr>
        <w:t>.</w:t>
      </w:r>
    </w:p>
    <w:p w14:paraId="10E50BB4" w14:textId="77777777" w:rsidR="006919EA" w:rsidRPr="0007414F" w:rsidRDefault="006919EA" w:rsidP="006919EA">
      <w:pPr>
        <w:rPr>
          <w:rFonts w:cs="Arial"/>
          <w:snapToGrid w:val="0"/>
          <w:lang w:val="fr-FR"/>
        </w:rPr>
      </w:pPr>
    </w:p>
    <w:p w14:paraId="3DFEA19A" w14:textId="0AF39D72" w:rsidR="008A1784" w:rsidRPr="0007414F" w:rsidRDefault="00C83970" w:rsidP="008A1784">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BB378A">
        <w:rPr>
          <w:lang w:val="fr-FR"/>
        </w:rPr>
        <w:t>En</w:t>
      </w:r>
      <w:r w:rsidRPr="0007414F">
        <w:rPr>
          <w:lang w:val="fr-FR"/>
        </w:rPr>
        <w:t xml:space="preserve"> r</w:t>
      </w:r>
      <w:r w:rsidR="00BB378A">
        <w:rPr>
          <w:lang w:val="fr-FR"/>
        </w:rPr>
        <w:t>é</w:t>
      </w:r>
      <w:r w:rsidRPr="0007414F">
        <w:rPr>
          <w:lang w:val="fr-FR"/>
        </w:rPr>
        <w:t xml:space="preserve">ponse </w:t>
      </w:r>
      <w:r w:rsidR="00BB378A">
        <w:rPr>
          <w:lang w:val="fr-FR"/>
        </w:rPr>
        <w:t>à la circulaire</w:t>
      </w:r>
      <w:r w:rsidR="00D0172C">
        <w:rPr>
          <w:lang w:val="fr-FR"/>
        </w:rPr>
        <w:t> </w:t>
      </w:r>
      <w:r w:rsidRPr="0007414F">
        <w:rPr>
          <w:lang w:val="fr-FR"/>
        </w:rPr>
        <w:t>E</w:t>
      </w:r>
      <w:r w:rsidR="006E7E88">
        <w:rPr>
          <w:lang w:val="fr-FR"/>
        </w:rPr>
        <w:noBreakHyphen/>
      </w:r>
      <w:r w:rsidRPr="0007414F">
        <w:rPr>
          <w:lang w:val="fr-FR"/>
        </w:rPr>
        <w:t xml:space="preserve">22/009, 28 </w:t>
      </w:r>
      <w:r w:rsidR="00EB5ED6">
        <w:rPr>
          <w:lang w:val="fr-FR"/>
        </w:rPr>
        <w:t>membre</w:t>
      </w:r>
      <w:r w:rsidRPr="0007414F">
        <w:rPr>
          <w:lang w:val="fr-FR"/>
        </w:rPr>
        <w:t xml:space="preserve">s </w:t>
      </w:r>
      <w:r w:rsidR="00BB378A">
        <w:rPr>
          <w:lang w:val="fr-FR"/>
        </w:rPr>
        <w:t>de l</w:t>
      </w:r>
      <w:r w:rsidR="00D639EE">
        <w:rPr>
          <w:lang w:val="fr-FR"/>
        </w:rPr>
        <w:t>’</w:t>
      </w:r>
      <w:r w:rsidRPr="0007414F">
        <w:rPr>
          <w:lang w:val="fr-FR"/>
        </w:rPr>
        <w:t xml:space="preserve">Union </w:t>
      </w:r>
      <w:r w:rsidR="00BB378A">
        <w:rPr>
          <w:lang w:val="fr-FR"/>
        </w:rPr>
        <w:t xml:space="preserve">ont communiqué des informations, dont </w:t>
      </w:r>
      <w:r w:rsidRPr="0007414F">
        <w:rPr>
          <w:lang w:val="fr-FR"/>
        </w:rPr>
        <w:t xml:space="preserve">15 </w:t>
      </w:r>
      <w:r w:rsidR="00BB378A">
        <w:rPr>
          <w:lang w:val="fr-FR"/>
        </w:rPr>
        <w:t>étaient de nouvelles ré</w:t>
      </w:r>
      <w:r w:rsidRPr="0007414F">
        <w:rPr>
          <w:lang w:val="fr-FR"/>
        </w:rPr>
        <w:t xml:space="preserve">ponses </w:t>
      </w:r>
      <w:r w:rsidR="008509CE">
        <w:rPr>
          <w:lang w:val="fr-FR"/>
        </w:rPr>
        <w:t>et</w:t>
      </w:r>
      <w:r w:rsidRPr="0007414F">
        <w:rPr>
          <w:lang w:val="fr-FR"/>
        </w:rPr>
        <w:t xml:space="preserve"> 8 </w:t>
      </w:r>
      <w:r w:rsidR="00BB378A">
        <w:rPr>
          <w:lang w:val="fr-FR"/>
        </w:rPr>
        <w:t>des informations supplémentaires sur l</w:t>
      </w:r>
      <w:r w:rsidR="00D639EE">
        <w:rPr>
          <w:lang w:val="fr-FR"/>
        </w:rPr>
        <w:t>’</w:t>
      </w:r>
      <w:r w:rsidR="00BB378A">
        <w:rPr>
          <w:lang w:val="fr-FR"/>
        </w:rPr>
        <w:t xml:space="preserve">utilisation de </w:t>
      </w:r>
      <w:r w:rsidR="00517EF9">
        <w:rPr>
          <w:lang w:val="fr-FR"/>
        </w:rPr>
        <w:t>techniques faisant intervenir des marqueurs moléculair</w:t>
      </w:r>
      <w:r w:rsidR="001C11A6">
        <w:rPr>
          <w:lang w:val="fr-FR"/>
        </w:rPr>
        <w:t>es.  Le</w:t>
      </w:r>
      <w:r w:rsidR="008A1784" w:rsidRPr="0007414F">
        <w:rPr>
          <w:lang w:val="fr-FR"/>
        </w:rPr>
        <w:t xml:space="preserve"> </w:t>
      </w:r>
      <w:r w:rsidR="00BB378A">
        <w:rPr>
          <w:lang w:val="fr-FR"/>
        </w:rPr>
        <w:t>résumé des ré</w:t>
      </w:r>
      <w:r w:rsidR="00D24D31" w:rsidRPr="0007414F">
        <w:rPr>
          <w:lang w:val="fr-FR"/>
        </w:rPr>
        <w:t xml:space="preserve">ponses </w:t>
      </w:r>
      <w:r w:rsidR="00BB378A">
        <w:rPr>
          <w:lang w:val="fr-FR"/>
        </w:rPr>
        <w:t>à l</w:t>
      </w:r>
      <w:r w:rsidR="00D639EE">
        <w:rPr>
          <w:lang w:val="fr-FR"/>
        </w:rPr>
        <w:t>’</w:t>
      </w:r>
      <w:r w:rsidR="00517EF9">
        <w:rPr>
          <w:lang w:val="fr-FR"/>
        </w:rPr>
        <w:t>enquête</w:t>
      </w:r>
      <w:r w:rsidR="008A1784" w:rsidRPr="0007414F">
        <w:rPr>
          <w:lang w:val="fr-FR"/>
        </w:rPr>
        <w:t xml:space="preserve"> </w:t>
      </w:r>
      <w:r w:rsidR="00D639EE">
        <w:rPr>
          <w:lang w:val="fr-FR"/>
        </w:rPr>
        <w:t>e</w:t>
      </w:r>
      <w:r w:rsidR="00D639EE" w:rsidRPr="0007414F">
        <w:rPr>
          <w:lang w:val="fr-FR"/>
        </w:rPr>
        <w:t>n</w:t>
      </w:r>
      <w:r w:rsidR="00D639EE">
        <w:rPr>
          <w:lang w:val="fr-FR"/>
        </w:rPr>
        <w:t> </w:t>
      </w:r>
      <w:r w:rsidR="00D639EE" w:rsidRPr="0007414F">
        <w:rPr>
          <w:lang w:val="fr-FR"/>
        </w:rPr>
        <w:t>2020</w:t>
      </w:r>
      <w:r w:rsidR="00D05189" w:rsidRPr="0007414F">
        <w:rPr>
          <w:lang w:val="fr-FR"/>
        </w:rPr>
        <w:t xml:space="preserve"> </w:t>
      </w:r>
      <w:r w:rsidR="008509CE">
        <w:rPr>
          <w:lang w:val="fr-FR"/>
        </w:rPr>
        <w:t>et</w:t>
      </w:r>
      <w:r w:rsidR="00D05189" w:rsidRPr="0007414F">
        <w:rPr>
          <w:lang w:val="fr-FR"/>
        </w:rPr>
        <w:t xml:space="preserve"> 2022 </w:t>
      </w:r>
      <w:r w:rsidR="00BB378A">
        <w:rPr>
          <w:lang w:val="fr-FR"/>
        </w:rPr>
        <w:t>est présenté ci</w:t>
      </w:r>
      <w:r w:rsidR="006E7E88">
        <w:rPr>
          <w:lang w:val="fr-FR"/>
        </w:rPr>
        <w:noBreakHyphen/>
      </w:r>
      <w:r w:rsidR="00BB378A">
        <w:rPr>
          <w:lang w:val="fr-FR"/>
        </w:rPr>
        <w:t>dessous</w:t>
      </w:r>
      <w:r w:rsidR="00D639EE">
        <w:rPr>
          <w:lang w:val="fr-FR"/>
        </w:rPr>
        <w:t> :</w:t>
      </w:r>
    </w:p>
    <w:p w14:paraId="6C8A6709" w14:textId="77777777" w:rsidR="0095407D" w:rsidRPr="0007414F" w:rsidRDefault="0095407D" w:rsidP="0095407D">
      <w:pPr>
        <w:rPr>
          <w:lang w:val="fr-FR"/>
        </w:rPr>
      </w:pPr>
    </w:p>
    <w:p w14:paraId="149FB929" w14:textId="77777777" w:rsidR="00D24D31" w:rsidRPr="0007414F" w:rsidRDefault="00D24D31" w:rsidP="00D05189">
      <w:pPr>
        <w:jc w:val="center"/>
        <w:rPr>
          <w:rFonts w:cs="Arial"/>
          <w:bCs/>
          <w:color w:val="000000"/>
          <w:lang w:val="fr-FR" w:eastAsia="ja-JP"/>
        </w:rPr>
        <w:sectPr w:rsidR="00D24D31" w:rsidRPr="0007414F" w:rsidSect="0004198B">
          <w:headerReference w:type="default" r:id="rId9"/>
          <w:pgSz w:w="11907" w:h="16840" w:code="9"/>
          <w:pgMar w:top="510" w:right="1134" w:bottom="1134" w:left="1134" w:header="510" w:footer="680" w:gutter="0"/>
          <w:pgNumType w:start="1"/>
          <w:cols w:space="720"/>
          <w:titlePg/>
        </w:sectPr>
      </w:pPr>
    </w:p>
    <w:tbl>
      <w:tblPr>
        <w:tblStyle w:val="TableGrid"/>
        <w:tblW w:w="4820" w:type="dxa"/>
        <w:tblInd w:w="-5" w:type="dxa"/>
        <w:tblLook w:val="04A0" w:firstRow="1" w:lastRow="0" w:firstColumn="1" w:lastColumn="0" w:noHBand="0" w:noVBand="1"/>
      </w:tblPr>
      <w:tblGrid>
        <w:gridCol w:w="2268"/>
        <w:gridCol w:w="2552"/>
      </w:tblGrid>
      <w:tr w:rsidR="00D05189" w:rsidRPr="00085711" w14:paraId="38824B59" w14:textId="77777777" w:rsidTr="00186CE3">
        <w:trPr>
          <w:trHeight w:val="326"/>
        </w:trPr>
        <w:tc>
          <w:tcPr>
            <w:tcW w:w="2268" w:type="dxa"/>
            <w:vAlign w:val="center"/>
            <w:hideMark/>
          </w:tcPr>
          <w:p w14:paraId="4E8F1B28" w14:textId="04E05E1E" w:rsidR="00D05189" w:rsidRPr="00281E30" w:rsidRDefault="00D05189" w:rsidP="00186CE3">
            <w:pPr>
              <w:jc w:val="center"/>
              <w:rPr>
                <w:rFonts w:cs="Arial"/>
                <w:bCs/>
                <w:color w:val="000000"/>
                <w:sz w:val="20"/>
                <w:szCs w:val="20"/>
                <w:lang w:val="fr-FR" w:eastAsia="ja-JP"/>
              </w:rPr>
            </w:pPr>
            <w:r w:rsidRPr="00281E30">
              <w:rPr>
                <w:rFonts w:cs="Arial"/>
                <w:bCs/>
                <w:color w:val="000000"/>
                <w:sz w:val="20"/>
                <w:szCs w:val="20"/>
                <w:lang w:val="fr-FR" w:eastAsia="ja-JP"/>
              </w:rPr>
              <w:t>Memb</w:t>
            </w:r>
            <w:r w:rsidR="00BB378A" w:rsidRPr="00281E30">
              <w:rPr>
                <w:rFonts w:cs="Arial"/>
                <w:bCs/>
                <w:color w:val="000000"/>
                <w:sz w:val="20"/>
                <w:szCs w:val="20"/>
                <w:lang w:val="fr-FR" w:eastAsia="ja-JP"/>
              </w:rPr>
              <w:t>r</w:t>
            </w:r>
            <w:r w:rsidRPr="00281E30">
              <w:rPr>
                <w:rFonts w:cs="Arial"/>
                <w:bCs/>
                <w:color w:val="000000"/>
                <w:sz w:val="20"/>
                <w:szCs w:val="20"/>
                <w:lang w:val="fr-FR" w:eastAsia="ja-JP"/>
              </w:rPr>
              <w:t>e</w:t>
            </w:r>
          </w:p>
        </w:tc>
        <w:tc>
          <w:tcPr>
            <w:tcW w:w="2552" w:type="dxa"/>
            <w:vAlign w:val="center"/>
            <w:hideMark/>
          </w:tcPr>
          <w:p w14:paraId="6311AF63" w14:textId="2EFD7BA9" w:rsidR="00D05189" w:rsidRPr="00281E30" w:rsidRDefault="00D05189" w:rsidP="00186CE3">
            <w:pPr>
              <w:jc w:val="center"/>
              <w:rPr>
                <w:rFonts w:cs="Arial"/>
                <w:bCs/>
                <w:color w:val="000000"/>
                <w:sz w:val="20"/>
                <w:szCs w:val="20"/>
                <w:lang w:val="fr-FR" w:eastAsia="ja-JP"/>
              </w:rPr>
            </w:pPr>
            <w:r w:rsidRPr="00281E30">
              <w:rPr>
                <w:rFonts w:cs="Arial"/>
                <w:bCs/>
                <w:color w:val="000000"/>
                <w:sz w:val="20"/>
                <w:szCs w:val="20"/>
                <w:lang w:val="fr-FR" w:eastAsia="ja-JP"/>
              </w:rPr>
              <w:t>U</w:t>
            </w:r>
            <w:r w:rsidR="00BB378A" w:rsidRPr="00281E30">
              <w:rPr>
                <w:rFonts w:cs="Arial"/>
                <w:bCs/>
                <w:color w:val="000000"/>
                <w:sz w:val="20"/>
                <w:szCs w:val="20"/>
                <w:lang w:val="fr-FR" w:eastAsia="ja-JP"/>
              </w:rPr>
              <w:t xml:space="preserve">tilisation de techniques </w:t>
            </w:r>
            <w:r w:rsidR="004F7458">
              <w:rPr>
                <w:rFonts w:cs="Arial"/>
                <w:bCs/>
                <w:color w:val="000000"/>
                <w:sz w:val="20"/>
                <w:szCs w:val="20"/>
                <w:lang w:val="fr-FR" w:eastAsia="ja-JP"/>
              </w:rPr>
              <w:t>avec</w:t>
            </w:r>
            <w:r w:rsidR="00BB378A" w:rsidRPr="00281E30">
              <w:rPr>
                <w:rFonts w:cs="Arial"/>
                <w:bCs/>
                <w:color w:val="000000"/>
                <w:sz w:val="20"/>
                <w:szCs w:val="20"/>
                <w:lang w:val="fr-FR" w:eastAsia="ja-JP"/>
              </w:rPr>
              <w:t xml:space="preserve"> marqueurs moléculaires</w:t>
            </w:r>
            <w:r w:rsidRPr="00281E30">
              <w:rPr>
                <w:rFonts w:cs="Arial"/>
                <w:bCs/>
                <w:color w:val="000000"/>
                <w:sz w:val="20"/>
                <w:szCs w:val="20"/>
                <w:lang w:val="fr-FR" w:eastAsia="ja-JP"/>
              </w:rPr>
              <w:t xml:space="preserve"> (</w:t>
            </w:r>
            <w:r w:rsidR="00BB378A" w:rsidRPr="00281E30">
              <w:rPr>
                <w:rFonts w:cs="Arial"/>
                <w:bCs/>
                <w:color w:val="000000"/>
                <w:sz w:val="20"/>
                <w:szCs w:val="20"/>
                <w:lang w:val="fr-FR" w:eastAsia="ja-JP"/>
              </w:rPr>
              <w:t>OUI</w:t>
            </w:r>
            <w:r w:rsidRPr="00281E30">
              <w:rPr>
                <w:rFonts w:cs="Arial"/>
                <w:bCs/>
                <w:color w:val="000000"/>
                <w:sz w:val="20"/>
                <w:szCs w:val="20"/>
                <w:lang w:val="fr-FR" w:eastAsia="ja-JP"/>
              </w:rPr>
              <w:t>/NO</w:t>
            </w:r>
            <w:r w:rsidR="00BB378A" w:rsidRPr="00281E30">
              <w:rPr>
                <w:rFonts w:cs="Arial"/>
                <w:bCs/>
                <w:color w:val="000000"/>
                <w:sz w:val="20"/>
                <w:szCs w:val="20"/>
                <w:lang w:val="fr-FR" w:eastAsia="ja-JP"/>
              </w:rPr>
              <w:t>N</w:t>
            </w:r>
            <w:r w:rsidRPr="00281E30">
              <w:rPr>
                <w:rFonts w:cs="Arial"/>
                <w:bCs/>
                <w:color w:val="000000"/>
                <w:sz w:val="20"/>
                <w:szCs w:val="20"/>
                <w:lang w:val="fr-FR" w:eastAsia="ja-JP"/>
              </w:rPr>
              <w:t>)</w:t>
            </w:r>
          </w:p>
        </w:tc>
      </w:tr>
      <w:tr w:rsidR="00BB378A" w:rsidRPr="0007414F" w14:paraId="671B532A" w14:textId="77777777" w:rsidTr="004F7458">
        <w:trPr>
          <w:trHeight w:val="276"/>
        </w:trPr>
        <w:tc>
          <w:tcPr>
            <w:tcW w:w="2268" w:type="dxa"/>
            <w:vAlign w:val="center"/>
          </w:tcPr>
          <w:p w14:paraId="0417EB97" w14:textId="772BFD29" w:rsidR="00BB378A" w:rsidRPr="00281E30" w:rsidRDefault="00BB378A" w:rsidP="004F7458">
            <w:pPr>
              <w:jc w:val="center"/>
              <w:rPr>
                <w:rFonts w:cs="Arial"/>
                <w:color w:val="000000"/>
                <w:sz w:val="20"/>
                <w:szCs w:val="20"/>
                <w:lang w:val="fr-FR" w:eastAsia="ja-JP"/>
              </w:rPr>
            </w:pPr>
            <w:r w:rsidRPr="00281E30">
              <w:rPr>
                <w:rFonts w:cs="Arial"/>
                <w:color w:val="000000"/>
                <w:sz w:val="20"/>
                <w:szCs w:val="20"/>
                <w:lang w:val="fr-FR" w:eastAsia="ja-JP"/>
              </w:rPr>
              <w:t>Allemagne</w:t>
            </w:r>
          </w:p>
        </w:tc>
        <w:tc>
          <w:tcPr>
            <w:tcW w:w="2552" w:type="dxa"/>
            <w:vAlign w:val="center"/>
          </w:tcPr>
          <w:p w14:paraId="24B5A22D" w14:textId="6D9C0B06" w:rsidR="00BB378A" w:rsidRPr="00281E30" w:rsidRDefault="00BB378A" w:rsidP="004F7458">
            <w:pPr>
              <w:jc w:val="center"/>
              <w:rPr>
                <w:rFonts w:cs="Arial"/>
                <w:bCs/>
                <w:color w:val="000000"/>
                <w:sz w:val="20"/>
                <w:szCs w:val="20"/>
                <w:lang w:val="fr-FR" w:eastAsia="ja-JP"/>
              </w:rPr>
            </w:pPr>
            <w:r w:rsidRPr="00281E30">
              <w:rPr>
                <w:rFonts w:cs="Arial"/>
                <w:bCs/>
                <w:color w:val="000000"/>
                <w:sz w:val="20"/>
                <w:szCs w:val="20"/>
                <w:lang w:val="fr-FR" w:eastAsia="ja-JP"/>
              </w:rPr>
              <w:t>OUI</w:t>
            </w:r>
          </w:p>
        </w:tc>
      </w:tr>
      <w:tr w:rsidR="00BB378A" w:rsidRPr="0007414F" w14:paraId="64AF30D0" w14:textId="77777777" w:rsidTr="004F7458">
        <w:trPr>
          <w:trHeight w:val="276"/>
        </w:trPr>
        <w:tc>
          <w:tcPr>
            <w:tcW w:w="2268" w:type="dxa"/>
            <w:vAlign w:val="center"/>
            <w:hideMark/>
          </w:tcPr>
          <w:p w14:paraId="79915BC3" w14:textId="7429DDCD" w:rsidR="00BB378A" w:rsidRPr="00281E30" w:rsidRDefault="00BB378A" w:rsidP="004F7458">
            <w:pPr>
              <w:jc w:val="center"/>
              <w:rPr>
                <w:rFonts w:cs="Arial"/>
                <w:color w:val="000000"/>
                <w:sz w:val="20"/>
                <w:szCs w:val="20"/>
                <w:lang w:val="fr-FR" w:eastAsia="ja-JP"/>
              </w:rPr>
            </w:pPr>
            <w:r w:rsidRPr="00281E30">
              <w:rPr>
                <w:rFonts w:cs="Arial"/>
                <w:color w:val="000000"/>
                <w:sz w:val="20"/>
                <w:szCs w:val="20"/>
                <w:lang w:val="fr-FR" w:eastAsia="ja-JP"/>
              </w:rPr>
              <w:t>Argentine</w:t>
            </w:r>
          </w:p>
        </w:tc>
        <w:tc>
          <w:tcPr>
            <w:tcW w:w="2552" w:type="dxa"/>
            <w:vAlign w:val="center"/>
            <w:hideMark/>
          </w:tcPr>
          <w:p w14:paraId="587A3E27" w14:textId="555F9232" w:rsidR="00BB378A" w:rsidRPr="00281E30" w:rsidRDefault="00BB378A" w:rsidP="004F7458">
            <w:pPr>
              <w:jc w:val="center"/>
              <w:rPr>
                <w:rFonts w:cs="Arial"/>
                <w:bCs/>
                <w:color w:val="000000"/>
                <w:sz w:val="20"/>
                <w:szCs w:val="20"/>
                <w:lang w:val="fr-FR" w:eastAsia="ja-JP"/>
              </w:rPr>
            </w:pPr>
            <w:r w:rsidRPr="00281E30">
              <w:rPr>
                <w:rFonts w:cs="Arial"/>
                <w:bCs/>
                <w:color w:val="000000"/>
                <w:sz w:val="20"/>
                <w:szCs w:val="20"/>
                <w:lang w:val="fr-FR" w:eastAsia="ja-JP"/>
              </w:rPr>
              <w:t>OUI</w:t>
            </w:r>
          </w:p>
        </w:tc>
      </w:tr>
      <w:tr w:rsidR="00BB378A" w:rsidRPr="0007414F" w14:paraId="3662D02D" w14:textId="77777777" w:rsidTr="004F7458">
        <w:trPr>
          <w:trHeight w:val="276"/>
        </w:trPr>
        <w:tc>
          <w:tcPr>
            <w:tcW w:w="2268" w:type="dxa"/>
            <w:vAlign w:val="center"/>
            <w:hideMark/>
          </w:tcPr>
          <w:p w14:paraId="2FF082D1" w14:textId="73246C6C" w:rsidR="00BB378A" w:rsidRPr="00281E30" w:rsidRDefault="00BB378A" w:rsidP="004F7458">
            <w:pPr>
              <w:jc w:val="center"/>
              <w:rPr>
                <w:rFonts w:cs="Arial"/>
                <w:color w:val="000000"/>
                <w:sz w:val="20"/>
                <w:szCs w:val="20"/>
                <w:lang w:val="fr-FR" w:eastAsia="ja-JP"/>
              </w:rPr>
            </w:pPr>
            <w:r w:rsidRPr="00281E30">
              <w:rPr>
                <w:rFonts w:cs="Arial"/>
                <w:color w:val="000000"/>
                <w:sz w:val="20"/>
                <w:szCs w:val="20"/>
                <w:lang w:val="fr-FR" w:eastAsia="ja-JP"/>
              </w:rPr>
              <w:t>Australie</w:t>
            </w:r>
          </w:p>
        </w:tc>
        <w:tc>
          <w:tcPr>
            <w:tcW w:w="2552" w:type="dxa"/>
            <w:vAlign w:val="center"/>
            <w:hideMark/>
          </w:tcPr>
          <w:p w14:paraId="38D74AF1" w14:textId="257BF26A" w:rsidR="00BB378A" w:rsidRPr="00281E30" w:rsidRDefault="00BB378A" w:rsidP="004F7458">
            <w:pPr>
              <w:jc w:val="center"/>
              <w:rPr>
                <w:rFonts w:cs="Arial"/>
                <w:bCs/>
                <w:color w:val="000000"/>
                <w:sz w:val="20"/>
                <w:szCs w:val="20"/>
                <w:lang w:val="fr-FR" w:eastAsia="ja-JP"/>
              </w:rPr>
            </w:pPr>
            <w:r w:rsidRPr="00281E30">
              <w:rPr>
                <w:rFonts w:cs="Arial"/>
                <w:bCs/>
                <w:color w:val="000000"/>
                <w:sz w:val="20"/>
                <w:szCs w:val="20"/>
                <w:lang w:val="fr-FR" w:eastAsia="ja-JP"/>
              </w:rPr>
              <w:t>NON</w:t>
            </w:r>
          </w:p>
        </w:tc>
      </w:tr>
      <w:tr w:rsidR="00BB378A" w:rsidRPr="0007414F" w14:paraId="67B3119C" w14:textId="77777777" w:rsidTr="004F7458">
        <w:trPr>
          <w:trHeight w:val="276"/>
        </w:trPr>
        <w:tc>
          <w:tcPr>
            <w:tcW w:w="2268" w:type="dxa"/>
            <w:vAlign w:val="center"/>
            <w:hideMark/>
          </w:tcPr>
          <w:p w14:paraId="07D912E9" w14:textId="2847402E" w:rsidR="00BB378A" w:rsidRPr="00281E30" w:rsidRDefault="00BB378A" w:rsidP="004F7458">
            <w:pPr>
              <w:jc w:val="center"/>
              <w:rPr>
                <w:rFonts w:cs="Arial"/>
                <w:color w:val="000000"/>
                <w:sz w:val="20"/>
                <w:szCs w:val="20"/>
                <w:lang w:val="fr-FR" w:eastAsia="ja-JP"/>
              </w:rPr>
            </w:pPr>
            <w:r w:rsidRPr="00281E30">
              <w:rPr>
                <w:rFonts w:cs="Arial"/>
                <w:color w:val="000000"/>
                <w:sz w:val="20"/>
                <w:szCs w:val="20"/>
                <w:lang w:val="fr-FR" w:eastAsia="ja-JP"/>
              </w:rPr>
              <w:t>Autriche</w:t>
            </w:r>
          </w:p>
        </w:tc>
        <w:tc>
          <w:tcPr>
            <w:tcW w:w="2552" w:type="dxa"/>
            <w:vAlign w:val="center"/>
            <w:hideMark/>
          </w:tcPr>
          <w:p w14:paraId="2DB72FD7" w14:textId="1F0048A1" w:rsidR="00BB378A" w:rsidRPr="00281E30" w:rsidRDefault="00BB378A" w:rsidP="004F7458">
            <w:pPr>
              <w:jc w:val="center"/>
              <w:rPr>
                <w:rFonts w:cs="Arial"/>
                <w:bCs/>
                <w:color w:val="000000"/>
                <w:sz w:val="20"/>
                <w:szCs w:val="20"/>
                <w:lang w:val="fr-FR" w:eastAsia="ja-JP"/>
              </w:rPr>
            </w:pPr>
            <w:r w:rsidRPr="00281E30">
              <w:rPr>
                <w:rFonts w:cs="Arial"/>
                <w:bCs/>
                <w:color w:val="000000"/>
                <w:sz w:val="20"/>
                <w:szCs w:val="20"/>
                <w:lang w:val="fr-FR" w:eastAsia="ja-JP"/>
              </w:rPr>
              <w:t>OUI</w:t>
            </w:r>
          </w:p>
        </w:tc>
      </w:tr>
      <w:tr w:rsidR="00BB378A" w:rsidRPr="0007414F" w14:paraId="4A173003" w14:textId="77777777" w:rsidTr="004F7458">
        <w:trPr>
          <w:trHeight w:val="276"/>
        </w:trPr>
        <w:tc>
          <w:tcPr>
            <w:tcW w:w="2268" w:type="dxa"/>
            <w:vAlign w:val="center"/>
            <w:hideMark/>
          </w:tcPr>
          <w:p w14:paraId="5BB78AF3" w14:textId="18F18B16" w:rsidR="00BB378A" w:rsidRPr="00281E30" w:rsidRDefault="00BB378A" w:rsidP="004F7458">
            <w:pPr>
              <w:jc w:val="center"/>
              <w:rPr>
                <w:rFonts w:cs="Arial"/>
                <w:color w:val="000000"/>
                <w:sz w:val="20"/>
                <w:szCs w:val="20"/>
                <w:lang w:val="fr-FR" w:eastAsia="ja-JP"/>
              </w:rPr>
            </w:pPr>
            <w:r w:rsidRPr="00281E30">
              <w:rPr>
                <w:rFonts w:cs="Arial"/>
                <w:color w:val="000000"/>
                <w:sz w:val="20"/>
                <w:szCs w:val="20"/>
                <w:lang w:val="fr-FR" w:eastAsia="ja-JP"/>
              </w:rPr>
              <w:t>Belgique</w:t>
            </w:r>
          </w:p>
        </w:tc>
        <w:tc>
          <w:tcPr>
            <w:tcW w:w="2552" w:type="dxa"/>
            <w:vAlign w:val="center"/>
            <w:hideMark/>
          </w:tcPr>
          <w:p w14:paraId="2B5A8118" w14:textId="1F0F9BC9" w:rsidR="00BB378A" w:rsidRPr="00281E30" w:rsidRDefault="00BB378A" w:rsidP="004F7458">
            <w:pPr>
              <w:jc w:val="center"/>
              <w:rPr>
                <w:rFonts w:cs="Arial"/>
                <w:bCs/>
                <w:color w:val="000000"/>
                <w:sz w:val="20"/>
                <w:szCs w:val="20"/>
                <w:lang w:val="fr-FR" w:eastAsia="ja-JP"/>
              </w:rPr>
            </w:pPr>
            <w:r w:rsidRPr="00281E30">
              <w:rPr>
                <w:rFonts w:cs="Arial"/>
                <w:bCs/>
                <w:color w:val="000000"/>
                <w:sz w:val="20"/>
                <w:szCs w:val="20"/>
                <w:lang w:val="fr-FR" w:eastAsia="ja-JP"/>
              </w:rPr>
              <w:t>NON</w:t>
            </w:r>
          </w:p>
        </w:tc>
      </w:tr>
      <w:tr w:rsidR="00BB378A" w:rsidRPr="0007414F" w14:paraId="59269C07" w14:textId="77777777" w:rsidTr="004F7458">
        <w:trPr>
          <w:trHeight w:val="276"/>
        </w:trPr>
        <w:tc>
          <w:tcPr>
            <w:tcW w:w="2268" w:type="dxa"/>
            <w:vAlign w:val="center"/>
            <w:hideMark/>
          </w:tcPr>
          <w:p w14:paraId="7699C910" w14:textId="70E1F2AC" w:rsidR="00BB378A" w:rsidRPr="00281E30" w:rsidRDefault="00BB378A" w:rsidP="004F7458">
            <w:pPr>
              <w:jc w:val="center"/>
              <w:rPr>
                <w:rFonts w:cs="Arial"/>
                <w:color w:val="000000"/>
                <w:sz w:val="20"/>
                <w:szCs w:val="20"/>
                <w:lang w:val="fr-FR" w:eastAsia="ja-JP"/>
              </w:rPr>
            </w:pPr>
            <w:r w:rsidRPr="00281E30">
              <w:rPr>
                <w:rFonts w:cs="Arial"/>
                <w:color w:val="000000"/>
                <w:sz w:val="20"/>
                <w:szCs w:val="20"/>
                <w:lang w:val="fr-FR" w:eastAsia="ja-JP"/>
              </w:rPr>
              <w:t>Bolivie</w:t>
            </w:r>
          </w:p>
        </w:tc>
        <w:tc>
          <w:tcPr>
            <w:tcW w:w="2552" w:type="dxa"/>
            <w:vAlign w:val="center"/>
            <w:hideMark/>
          </w:tcPr>
          <w:p w14:paraId="04C37330" w14:textId="34D8283D" w:rsidR="00BB378A" w:rsidRPr="00281E30" w:rsidRDefault="00BB378A" w:rsidP="004F7458">
            <w:pPr>
              <w:jc w:val="center"/>
              <w:rPr>
                <w:rFonts w:cs="Arial"/>
                <w:bCs/>
                <w:color w:val="000000"/>
                <w:sz w:val="20"/>
                <w:szCs w:val="20"/>
                <w:lang w:val="fr-FR" w:eastAsia="ja-JP"/>
              </w:rPr>
            </w:pPr>
            <w:r w:rsidRPr="00281E30">
              <w:rPr>
                <w:rFonts w:cs="Arial"/>
                <w:bCs/>
                <w:color w:val="000000"/>
                <w:sz w:val="20"/>
                <w:szCs w:val="20"/>
                <w:lang w:val="fr-FR" w:eastAsia="ja-JP"/>
              </w:rPr>
              <w:t>NON</w:t>
            </w:r>
          </w:p>
        </w:tc>
      </w:tr>
      <w:tr w:rsidR="00BB378A" w:rsidRPr="0007414F" w14:paraId="38E8FC2F" w14:textId="77777777" w:rsidTr="004F7458">
        <w:trPr>
          <w:trHeight w:val="276"/>
        </w:trPr>
        <w:tc>
          <w:tcPr>
            <w:tcW w:w="2268" w:type="dxa"/>
            <w:vAlign w:val="center"/>
            <w:hideMark/>
          </w:tcPr>
          <w:p w14:paraId="393C9D19" w14:textId="60CE7069" w:rsidR="00BB378A" w:rsidRPr="00281E30" w:rsidRDefault="00BB378A" w:rsidP="004F7458">
            <w:pPr>
              <w:jc w:val="center"/>
              <w:rPr>
                <w:rFonts w:cs="Arial"/>
                <w:color w:val="000000"/>
                <w:sz w:val="20"/>
                <w:szCs w:val="20"/>
                <w:lang w:val="fr-FR" w:eastAsia="ja-JP"/>
              </w:rPr>
            </w:pPr>
            <w:r w:rsidRPr="00281E30">
              <w:rPr>
                <w:rFonts w:cs="Arial"/>
                <w:color w:val="000000"/>
                <w:sz w:val="20"/>
                <w:szCs w:val="20"/>
                <w:lang w:val="fr-FR" w:eastAsia="ja-JP"/>
              </w:rPr>
              <w:t>Brésil</w:t>
            </w:r>
          </w:p>
        </w:tc>
        <w:tc>
          <w:tcPr>
            <w:tcW w:w="2552" w:type="dxa"/>
            <w:vAlign w:val="center"/>
            <w:hideMark/>
          </w:tcPr>
          <w:p w14:paraId="656398C7" w14:textId="75DA5B7B" w:rsidR="00BB378A" w:rsidRPr="00281E30" w:rsidRDefault="00BB378A" w:rsidP="004F7458">
            <w:pPr>
              <w:jc w:val="center"/>
              <w:rPr>
                <w:rFonts w:cs="Arial"/>
                <w:bCs/>
                <w:color w:val="000000"/>
                <w:sz w:val="20"/>
                <w:szCs w:val="20"/>
                <w:lang w:val="fr-FR" w:eastAsia="ja-JP"/>
              </w:rPr>
            </w:pPr>
            <w:r w:rsidRPr="00281E30">
              <w:rPr>
                <w:rFonts w:cs="Arial"/>
                <w:bCs/>
                <w:color w:val="000000"/>
                <w:sz w:val="20"/>
                <w:szCs w:val="20"/>
                <w:lang w:val="fr-FR" w:eastAsia="ja-JP"/>
              </w:rPr>
              <w:t>OUI</w:t>
            </w:r>
          </w:p>
        </w:tc>
      </w:tr>
      <w:tr w:rsidR="00BB378A" w:rsidRPr="0007414F" w14:paraId="27AAD15B" w14:textId="77777777" w:rsidTr="004F7458">
        <w:trPr>
          <w:trHeight w:val="276"/>
        </w:trPr>
        <w:tc>
          <w:tcPr>
            <w:tcW w:w="2268" w:type="dxa"/>
            <w:vAlign w:val="center"/>
            <w:hideMark/>
          </w:tcPr>
          <w:p w14:paraId="5D1F7482" w14:textId="77777777" w:rsidR="00BB378A" w:rsidRPr="00281E30" w:rsidRDefault="00BB378A" w:rsidP="004F7458">
            <w:pPr>
              <w:jc w:val="center"/>
              <w:rPr>
                <w:rFonts w:cs="Arial"/>
                <w:color w:val="000000"/>
                <w:sz w:val="20"/>
                <w:szCs w:val="20"/>
                <w:lang w:val="fr-FR" w:eastAsia="ja-JP"/>
              </w:rPr>
            </w:pPr>
            <w:r w:rsidRPr="00281E30">
              <w:rPr>
                <w:rFonts w:cs="Arial"/>
                <w:color w:val="000000"/>
                <w:sz w:val="20"/>
                <w:szCs w:val="20"/>
                <w:lang w:val="fr-FR" w:eastAsia="ja-JP"/>
              </w:rPr>
              <w:t>Canada</w:t>
            </w:r>
          </w:p>
        </w:tc>
        <w:tc>
          <w:tcPr>
            <w:tcW w:w="2552" w:type="dxa"/>
            <w:vAlign w:val="center"/>
            <w:hideMark/>
          </w:tcPr>
          <w:p w14:paraId="1AC58C79" w14:textId="4F06624F" w:rsidR="00BB378A" w:rsidRPr="00281E30" w:rsidRDefault="00BB378A" w:rsidP="004F7458">
            <w:pPr>
              <w:jc w:val="center"/>
              <w:rPr>
                <w:rFonts w:cs="Arial"/>
                <w:bCs/>
                <w:color w:val="000000"/>
                <w:sz w:val="20"/>
                <w:szCs w:val="20"/>
                <w:lang w:val="fr-FR" w:eastAsia="ja-JP"/>
              </w:rPr>
            </w:pPr>
            <w:r w:rsidRPr="00281E30">
              <w:rPr>
                <w:rFonts w:cs="Arial"/>
                <w:bCs/>
                <w:color w:val="000000"/>
                <w:sz w:val="20"/>
                <w:szCs w:val="20"/>
                <w:lang w:val="fr-FR" w:eastAsia="ja-JP"/>
              </w:rPr>
              <w:t>OUI</w:t>
            </w:r>
          </w:p>
        </w:tc>
      </w:tr>
      <w:tr w:rsidR="00BB378A" w:rsidRPr="0007414F" w14:paraId="669BE125" w14:textId="77777777" w:rsidTr="004F7458">
        <w:trPr>
          <w:trHeight w:val="276"/>
        </w:trPr>
        <w:tc>
          <w:tcPr>
            <w:tcW w:w="2268" w:type="dxa"/>
            <w:vAlign w:val="center"/>
            <w:hideMark/>
          </w:tcPr>
          <w:p w14:paraId="5F2E49E7" w14:textId="3055A53E" w:rsidR="00BB378A" w:rsidRPr="00281E30" w:rsidRDefault="00BB378A" w:rsidP="004F7458">
            <w:pPr>
              <w:jc w:val="center"/>
              <w:rPr>
                <w:rFonts w:cs="Arial"/>
                <w:color w:val="000000"/>
                <w:sz w:val="20"/>
                <w:szCs w:val="20"/>
                <w:lang w:val="fr-FR" w:eastAsia="ja-JP"/>
              </w:rPr>
            </w:pPr>
            <w:r w:rsidRPr="00281E30">
              <w:rPr>
                <w:rFonts w:cs="Arial"/>
                <w:color w:val="000000"/>
                <w:sz w:val="20"/>
                <w:szCs w:val="20"/>
                <w:lang w:val="fr-FR" w:eastAsia="ja-JP"/>
              </w:rPr>
              <w:t>Chine</w:t>
            </w:r>
          </w:p>
        </w:tc>
        <w:tc>
          <w:tcPr>
            <w:tcW w:w="2552" w:type="dxa"/>
            <w:vAlign w:val="center"/>
            <w:hideMark/>
          </w:tcPr>
          <w:p w14:paraId="0DD60574" w14:textId="21FA6675" w:rsidR="00BB378A" w:rsidRPr="00281E30" w:rsidRDefault="00BB378A" w:rsidP="004F7458">
            <w:pPr>
              <w:jc w:val="center"/>
              <w:rPr>
                <w:rFonts w:cs="Arial"/>
                <w:bCs/>
                <w:color w:val="000000"/>
                <w:sz w:val="20"/>
                <w:szCs w:val="20"/>
                <w:lang w:val="fr-FR" w:eastAsia="ja-JP"/>
              </w:rPr>
            </w:pPr>
            <w:r w:rsidRPr="00281E30">
              <w:rPr>
                <w:rFonts w:cs="Arial"/>
                <w:bCs/>
                <w:color w:val="000000"/>
                <w:sz w:val="20"/>
                <w:szCs w:val="20"/>
                <w:lang w:val="fr-FR" w:eastAsia="ja-JP"/>
              </w:rPr>
              <w:t>OUI</w:t>
            </w:r>
          </w:p>
        </w:tc>
      </w:tr>
      <w:tr w:rsidR="00281E30" w:rsidRPr="0007414F" w14:paraId="2EDB4DE3" w14:textId="77777777" w:rsidTr="004F7458">
        <w:trPr>
          <w:trHeight w:val="276"/>
        </w:trPr>
        <w:tc>
          <w:tcPr>
            <w:tcW w:w="2268" w:type="dxa"/>
            <w:vAlign w:val="center"/>
          </w:tcPr>
          <w:p w14:paraId="05193684" w14:textId="49C9A5F0" w:rsidR="00281E30" w:rsidRPr="00281E30" w:rsidRDefault="00281E30" w:rsidP="004F7458">
            <w:pPr>
              <w:jc w:val="center"/>
              <w:rPr>
                <w:rFonts w:cs="Arial"/>
                <w:color w:val="000000"/>
                <w:sz w:val="20"/>
                <w:szCs w:val="20"/>
                <w:lang w:val="fr-FR" w:eastAsia="ja-JP"/>
              </w:rPr>
            </w:pPr>
            <w:r w:rsidRPr="00281E30">
              <w:rPr>
                <w:rFonts w:cs="Arial"/>
                <w:color w:val="000000"/>
                <w:sz w:val="20"/>
                <w:szCs w:val="20"/>
                <w:lang w:val="fr-FR" w:eastAsia="ja-JP"/>
              </w:rPr>
              <w:t>Espagne</w:t>
            </w:r>
          </w:p>
        </w:tc>
        <w:tc>
          <w:tcPr>
            <w:tcW w:w="2552" w:type="dxa"/>
            <w:vAlign w:val="center"/>
          </w:tcPr>
          <w:p w14:paraId="334D12E9" w14:textId="6AB9E775" w:rsidR="00281E30" w:rsidRPr="00281E30" w:rsidRDefault="00281E30" w:rsidP="004F7458">
            <w:pPr>
              <w:jc w:val="center"/>
              <w:rPr>
                <w:rFonts w:cs="Arial"/>
                <w:bCs/>
                <w:color w:val="000000"/>
                <w:sz w:val="20"/>
                <w:szCs w:val="20"/>
                <w:lang w:val="fr-FR" w:eastAsia="ja-JP"/>
              </w:rPr>
            </w:pPr>
            <w:r w:rsidRPr="00281E30">
              <w:rPr>
                <w:rFonts w:cs="Arial"/>
                <w:bCs/>
                <w:color w:val="000000"/>
                <w:sz w:val="20"/>
                <w:szCs w:val="20"/>
                <w:lang w:val="fr-FR" w:eastAsia="ja-JP"/>
              </w:rPr>
              <w:t>OUI</w:t>
            </w:r>
          </w:p>
        </w:tc>
      </w:tr>
      <w:tr w:rsidR="00281E30" w:rsidRPr="0007414F" w14:paraId="7B982266" w14:textId="77777777" w:rsidTr="004F7458">
        <w:trPr>
          <w:trHeight w:val="276"/>
        </w:trPr>
        <w:tc>
          <w:tcPr>
            <w:tcW w:w="2268" w:type="dxa"/>
            <w:vAlign w:val="center"/>
          </w:tcPr>
          <w:p w14:paraId="2E47BDC1" w14:textId="043AE796" w:rsidR="00281E30" w:rsidRPr="00281E30" w:rsidRDefault="00281E30" w:rsidP="004F7458">
            <w:pPr>
              <w:jc w:val="center"/>
              <w:rPr>
                <w:rFonts w:cs="Arial"/>
                <w:color w:val="000000"/>
                <w:sz w:val="20"/>
                <w:szCs w:val="20"/>
                <w:lang w:val="fr-FR" w:eastAsia="ja-JP"/>
              </w:rPr>
            </w:pPr>
            <w:r w:rsidRPr="00281E30">
              <w:rPr>
                <w:rFonts w:cs="Arial"/>
                <w:color w:val="000000"/>
                <w:sz w:val="20"/>
                <w:szCs w:val="20"/>
                <w:lang w:val="fr-FR" w:eastAsia="ja-JP"/>
              </w:rPr>
              <w:t>Estonie</w:t>
            </w:r>
          </w:p>
        </w:tc>
        <w:tc>
          <w:tcPr>
            <w:tcW w:w="2552" w:type="dxa"/>
            <w:vAlign w:val="center"/>
          </w:tcPr>
          <w:p w14:paraId="1147691C" w14:textId="62D31E5C" w:rsidR="00281E30" w:rsidRPr="00281E30" w:rsidRDefault="00281E30" w:rsidP="004F7458">
            <w:pPr>
              <w:jc w:val="center"/>
              <w:rPr>
                <w:rFonts w:cs="Arial"/>
                <w:bCs/>
                <w:color w:val="000000"/>
                <w:sz w:val="20"/>
                <w:szCs w:val="20"/>
                <w:lang w:val="fr-FR" w:eastAsia="ja-JP"/>
              </w:rPr>
            </w:pPr>
            <w:r w:rsidRPr="00281E30">
              <w:rPr>
                <w:rFonts w:cs="Arial"/>
                <w:bCs/>
                <w:color w:val="000000"/>
                <w:sz w:val="20"/>
                <w:szCs w:val="20"/>
                <w:lang w:val="fr-FR" w:eastAsia="ja-JP"/>
              </w:rPr>
              <w:t>OUI</w:t>
            </w:r>
          </w:p>
        </w:tc>
      </w:tr>
      <w:tr w:rsidR="00281E30" w:rsidRPr="0007414F" w14:paraId="0330CD83" w14:textId="77777777" w:rsidTr="004F7458">
        <w:trPr>
          <w:trHeight w:val="276"/>
        </w:trPr>
        <w:tc>
          <w:tcPr>
            <w:tcW w:w="2268" w:type="dxa"/>
            <w:vAlign w:val="center"/>
          </w:tcPr>
          <w:p w14:paraId="7D24355F" w14:textId="75E8E021" w:rsidR="00281E30" w:rsidRPr="00281E30" w:rsidRDefault="00281E30" w:rsidP="004F7458">
            <w:pPr>
              <w:jc w:val="center"/>
              <w:rPr>
                <w:rFonts w:cs="Arial"/>
                <w:color w:val="000000"/>
                <w:sz w:val="20"/>
                <w:szCs w:val="20"/>
                <w:lang w:val="fr-FR" w:eastAsia="ja-JP"/>
              </w:rPr>
            </w:pPr>
            <w:r w:rsidRPr="00281E30">
              <w:rPr>
                <w:rFonts w:cs="Arial"/>
                <w:color w:val="000000"/>
                <w:sz w:val="20"/>
                <w:szCs w:val="20"/>
                <w:lang w:val="fr-FR" w:eastAsia="ja-JP"/>
              </w:rPr>
              <w:t>États</w:t>
            </w:r>
            <w:r w:rsidR="006E7E88">
              <w:rPr>
                <w:rFonts w:cs="Arial"/>
                <w:color w:val="000000"/>
                <w:sz w:val="20"/>
                <w:szCs w:val="20"/>
                <w:lang w:val="fr-FR" w:eastAsia="ja-JP"/>
              </w:rPr>
              <w:noBreakHyphen/>
            </w:r>
            <w:r w:rsidRPr="00281E30">
              <w:rPr>
                <w:rFonts w:cs="Arial"/>
                <w:color w:val="000000"/>
                <w:sz w:val="20"/>
                <w:szCs w:val="20"/>
                <w:lang w:val="fr-FR" w:eastAsia="ja-JP"/>
              </w:rPr>
              <w:t>Unis d</w:t>
            </w:r>
            <w:r w:rsidR="00D639EE">
              <w:rPr>
                <w:rFonts w:cs="Arial"/>
                <w:color w:val="000000"/>
                <w:sz w:val="20"/>
                <w:szCs w:val="20"/>
                <w:lang w:val="fr-FR" w:eastAsia="ja-JP"/>
              </w:rPr>
              <w:t>’</w:t>
            </w:r>
            <w:r w:rsidRPr="00281E30">
              <w:rPr>
                <w:rFonts w:cs="Arial"/>
                <w:color w:val="000000"/>
                <w:sz w:val="20"/>
                <w:szCs w:val="20"/>
                <w:lang w:val="fr-FR" w:eastAsia="ja-JP"/>
              </w:rPr>
              <w:t>Amérique</w:t>
            </w:r>
          </w:p>
        </w:tc>
        <w:tc>
          <w:tcPr>
            <w:tcW w:w="2552" w:type="dxa"/>
            <w:vAlign w:val="center"/>
          </w:tcPr>
          <w:p w14:paraId="71206788" w14:textId="50DB384F" w:rsidR="00281E30" w:rsidRPr="00281E30" w:rsidRDefault="00281E30" w:rsidP="004F7458">
            <w:pPr>
              <w:jc w:val="center"/>
              <w:rPr>
                <w:rFonts w:cs="Arial"/>
                <w:bCs/>
                <w:color w:val="000000"/>
                <w:sz w:val="20"/>
                <w:szCs w:val="20"/>
                <w:lang w:val="fr-FR" w:eastAsia="ja-JP"/>
              </w:rPr>
            </w:pPr>
            <w:r w:rsidRPr="00281E30">
              <w:rPr>
                <w:rFonts w:cs="Arial"/>
                <w:bCs/>
                <w:color w:val="000000"/>
                <w:sz w:val="20"/>
                <w:szCs w:val="20"/>
                <w:lang w:val="fr-FR" w:eastAsia="ja-JP"/>
              </w:rPr>
              <w:t>NON</w:t>
            </w:r>
          </w:p>
        </w:tc>
      </w:tr>
      <w:tr w:rsidR="00281E30" w:rsidRPr="0007414F" w14:paraId="758AEDA0" w14:textId="77777777" w:rsidTr="004F7458">
        <w:trPr>
          <w:trHeight w:val="276"/>
        </w:trPr>
        <w:tc>
          <w:tcPr>
            <w:tcW w:w="2268" w:type="dxa"/>
            <w:vAlign w:val="center"/>
          </w:tcPr>
          <w:p w14:paraId="02F24585" w14:textId="6800CF09" w:rsidR="00281E30" w:rsidRPr="00281E30" w:rsidRDefault="00281E30" w:rsidP="004F7458">
            <w:pPr>
              <w:jc w:val="center"/>
              <w:rPr>
                <w:rFonts w:cs="Arial"/>
                <w:color w:val="000000"/>
                <w:sz w:val="20"/>
                <w:szCs w:val="20"/>
                <w:lang w:val="fr-FR" w:eastAsia="ja-JP"/>
              </w:rPr>
            </w:pPr>
            <w:r w:rsidRPr="00281E30">
              <w:rPr>
                <w:rFonts w:cs="Arial"/>
                <w:color w:val="000000"/>
                <w:sz w:val="20"/>
                <w:szCs w:val="20"/>
                <w:lang w:val="fr-FR" w:eastAsia="ja-JP"/>
              </w:rPr>
              <w:t>Fédération de Russie</w:t>
            </w:r>
          </w:p>
        </w:tc>
        <w:tc>
          <w:tcPr>
            <w:tcW w:w="2552" w:type="dxa"/>
            <w:vAlign w:val="center"/>
          </w:tcPr>
          <w:p w14:paraId="2361AF33" w14:textId="56EB567F" w:rsidR="00281E30" w:rsidRPr="00281E30" w:rsidRDefault="00281E30" w:rsidP="004F7458">
            <w:pPr>
              <w:jc w:val="center"/>
              <w:rPr>
                <w:rFonts w:cs="Arial"/>
                <w:bCs/>
                <w:color w:val="000000"/>
                <w:sz w:val="20"/>
                <w:szCs w:val="20"/>
                <w:lang w:val="fr-FR" w:eastAsia="ja-JP"/>
              </w:rPr>
            </w:pPr>
            <w:r w:rsidRPr="00281E30">
              <w:rPr>
                <w:rFonts w:cs="Arial"/>
                <w:bCs/>
                <w:color w:val="000000"/>
                <w:sz w:val="20"/>
                <w:szCs w:val="20"/>
                <w:lang w:val="fr-FR" w:eastAsia="ja-JP"/>
              </w:rPr>
              <w:t>NON</w:t>
            </w:r>
          </w:p>
        </w:tc>
      </w:tr>
      <w:tr w:rsidR="00281E30" w:rsidRPr="0007414F" w14:paraId="2CCB50FE" w14:textId="77777777" w:rsidTr="004F7458">
        <w:trPr>
          <w:trHeight w:val="276"/>
        </w:trPr>
        <w:tc>
          <w:tcPr>
            <w:tcW w:w="2268" w:type="dxa"/>
            <w:vAlign w:val="center"/>
          </w:tcPr>
          <w:p w14:paraId="166C8AFC" w14:textId="5840AA74" w:rsidR="00281E30" w:rsidRPr="00281E30" w:rsidRDefault="00281E30" w:rsidP="004F7458">
            <w:pPr>
              <w:jc w:val="center"/>
              <w:rPr>
                <w:rFonts w:cs="Arial"/>
                <w:color w:val="000000"/>
                <w:sz w:val="20"/>
                <w:szCs w:val="20"/>
                <w:lang w:val="fr-FR" w:eastAsia="ja-JP"/>
              </w:rPr>
            </w:pPr>
            <w:r w:rsidRPr="00281E30">
              <w:rPr>
                <w:rFonts w:cs="Arial"/>
                <w:color w:val="000000"/>
                <w:sz w:val="20"/>
                <w:szCs w:val="20"/>
                <w:lang w:val="fr-FR" w:eastAsia="ja-JP"/>
              </w:rPr>
              <w:t>France</w:t>
            </w:r>
          </w:p>
        </w:tc>
        <w:tc>
          <w:tcPr>
            <w:tcW w:w="2552" w:type="dxa"/>
            <w:vAlign w:val="center"/>
          </w:tcPr>
          <w:p w14:paraId="5D1C96A0" w14:textId="43D807B8" w:rsidR="00281E30" w:rsidRPr="00281E30" w:rsidRDefault="00281E30" w:rsidP="004F7458">
            <w:pPr>
              <w:jc w:val="center"/>
              <w:rPr>
                <w:rFonts w:cs="Arial"/>
                <w:bCs/>
                <w:color w:val="000000"/>
                <w:sz w:val="20"/>
                <w:szCs w:val="20"/>
                <w:lang w:val="fr-FR" w:eastAsia="ja-JP"/>
              </w:rPr>
            </w:pPr>
            <w:r w:rsidRPr="00281E30">
              <w:rPr>
                <w:rFonts w:cs="Arial"/>
                <w:bCs/>
                <w:color w:val="000000"/>
                <w:sz w:val="20"/>
                <w:szCs w:val="20"/>
                <w:lang w:val="fr-FR" w:eastAsia="ja-JP"/>
              </w:rPr>
              <w:t>OUI</w:t>
            </w:r>
          </w:p>
        </w:tc>
      </w:tr>
      <w:tr w:rsidR="00281E30" w:rsidRPr="0007414F" w14:paraId="05E3BACB" w14:textId="77777777" w:rsidTr="004F7458">
        <w:trPr>
          <w:trHeight w:val="300"/>
        </w:trPr>
        <w:tc>
          <w:tcPr>
            <w:tcW w:w="2268" w:type="dxa"/>
            <w:vAlign w:val="center"/>
          </w:tcPr>
          <w:p w14:paraId="0EEEE416" w14:textId="3446B0D6" w:rsidR="00281E30" w:rsidRPr="00281E30" w:rsidRDefault="00281E30" w:rsidP="004F7458">
            <w:pPr>
              <w:jc w:val="center"/>
              <w:rPr>
                <w:rFonts w:cs="Arial"/>
                <w:color w:val="000000"/>
                <w:sz w:val="20"/>
                <w:szCs w:val="20"/>
                <w:lang w:val="fr-FR" w:eastAsia="ja-JP"/>
              </w:rPr>
            </w:pPr>
            <w:r w:rsidRPr="00281E30">
              <w:rPr>
                <w:rFonts w:cs="Arial"/>
                <w:color w:val="000000"/>
                <w:sz w:val="20"/>
                <w:szCs w:val="20"/>
                <w:lang w:val="fr-FR" w:eastAsia="ja-JP"/>
              </w:rPr>
              <w:t>Hongrie</w:t>
            </w:r>
          </w:p>
        </w:tc>
        <w:tc>
          <w:tcPr>
            <w:tcW w:w="2552" w:type="dxa"/>
            <w:vAlign w:val="center"/>
          </w:tcPr>
          <w:p w14:paraId="7DB0E23A" w14:textId="16FAC987" w:rsidR="00281E30" w:rsidRPr="00281E30" w:rsidRDefault="00281E30" w:rsidP="004F7458">
            <w:pPr>
              <w:jc w:val="center"/>
              <w:rPr>
                <w:rFonts w:cs="Arial"/>
                <w:bCs/>
                <w:color w:val="000000"/>
                <w:sz w:val="20"/>
                <w:szCs w:val="20"/>
                <w:lang w:val="fr-FR" w:eastAsia="ja-JP"/>
              </w:rPr>
            </w:pPr>
            <w:r w:rsidRPr="00281E30">
              <w:rPr>
                <w:rFonts w:cs="Arial"/>
                <w:bCs/>
                <w:color w:val="000000"/>
                <w:sz w:val="20"/>
                <w:szCs w:val="20"/>
                <w:lang w:val="fr-FR" w:eastAsia="ja-JP"/>
              </w:rPr>
              <w:t>OUI</w:t>
            </w:r>
          </w:p>
        </w:tc>
      </w:tr>
      <w:tr w:rsidR="00281E30" w:rsidRPr="0007414F" w14:paraId="55D26140" w14:textId="77777777" w:rsidTr="004F7458">
        <w:trPr>
          <w:trHeight w:val="276"/>
        </w:trPr>
        <w:tc>
          <w:tcPr>
            <w:tcW w:w="2268" w:type="dxa"/>
            <w:vAlign w:val="center"/>
          </w:tcPr>
          <w:p w14:paraId="0C81AAA2" w14:textId="2E11F3F8" w:rsidR="00281E30" w:rsidRPr="00281E30" w:rsidRDefault="00281E30" w:rsidP="004F7458">
            <w:pPr>
              <w:jc w:val="center"/>
              <w:rPr>
                <w:rFonts w:cs="Arial"/>
                <w:color w:val="000000"/>
                <w:sz w:val="20"/>
                <w:szCs w:val="20"/>
                <w:lang w:val="fr-FR" w:eastAsia="ja-JP"/>
              </w:rPr>
            </w:pPr>
            <w:r w:rsidRPr="00281E30">
              <w:rPr>
                <w:rFonts w:cs="Arial"/>
                <w:color w:val="000000"/>
                <w:sz w:val="20"/>
                <w:szCs w:val="20"/>
                <w:lang w:val="fr-FR" w:eastAsia="ja-JP"/>
              </w:rPr>
              <w:t>Irlande</w:t>
            </w:r>
          </w:p>
        </w:tc>
        <w:tc>
          <w:tcPr>
            <w:tcW w:w="2552" w:type="dxa"/>
            <w:vAlign w:val="center"/>
          </w:tcPr>
          <w:p w14:paraId="657BB4C2" w14:textId="01C94637" w:rsidR="00281E30" w:rsidRPr="00281E30" w:rsidRDefault="00281E30" w:rsidP="004F7458">
            <w:pPr>
              <w:jc w:val="center"/>
              <w:rPr>
                <w:rFonts w:cs="Arial"/>
                <w:bCs/>
                <w:color w:val="000000"/>
                <w:sz w:val="20"/>
                <w:szCs w:val="20"/>
                <w:lang w:val="fr-FR" w:eastAsia="ja-JP"/>
              </w:rPr>
            </w:pPr>
            <w:r w:rsidRPr="00281E30">
              <w:rPr>
                <w:rFonts w:cs="Arial"/>
                <w:bCs/>
                <w:color w:val="000000"/>
                <w:sz w:val="20"/>
                <w:szCs w:val="20"/>
                <w:lang w:val="fr-FR" w:eastAsia="ja-JP"/>
              </w:rPr>
              <w:t>OUI</w:t>
            </w:r>
          </w:p>
        </w:tc>
      </w:tr>
      <w:tr w:rsidR="00281E30" w:rsidRPr="0007414F" w14:paraId="3A29E303" w14:textId="77777777" w:rsidTr="004F7458">
        <w:trPr>
          <w:trHeight w:val="276"/>
        </w:trPr>
        <w:tc>
          <w:tcPr>
            <w:tcW w:w="2268" w:type="dxa"/>
            <w:vAlign w:val="center"/>
          </w:tcPr>
          <w:p w14:paraId="02E9A7E0" w14:textId="21976CA5" w:rsidR="00281E30" w:rsidRPr="00281E30" w:rsidRDefault="00281E30" w:rsidP="004F7458">
            <w:pPr>
              <w:jc w:val="center"/>
              <w:rPr>
                <w:rFonts w:cs="Arial"/>
                <w:color w:val="000000"/>
                <w:sz w:val="20"/>
                <w:szCs w:val="20"/>
                <w:lang w:val="fr-FR" w:eastAsia="ja-JP"/>
              </w:rPr>
            </w:pPr>
            <w:r w:rsidRPr="00281E30">
              <w:rPr>
                <w:rFonts w:cs="Arial"/>
                <w:color w:val="000000"/>
                <w:sz w:val="20"/>
                <w:szCs w:val="20"/>
                <w:lang w:val="fr-FR" w:eastAsia="ja-JP"/>
              </w:rPr>
              <w:t>Israël</w:t>
            </w:r>
          </w:p>
        </w:tc>
        <w:tc>
          <w:tcPr>
            <w:tcW w:w="2552" w:type="dxa"/>
            <w:vAlign w:val="center"/>
          </w:tcPr>
          <w:p w14:paraId="58D9E4C3" w14:textId="492FC66B" w:rsidR="00281E30" w:rsidRPr="00281E30" w:rsidRDefault="00281E30" w:rsidP="004F7458">
            <w:pPr>
              <w:jc w:val="center"/>
              <w:rPr>
                <w:rFonts w:cs="Arial"/>
                <w:bCs/>
                <w:color w:val="000000"/>
                <w:sz w:val="20"/>
                <w:szCs w:val="20"/>
                <w:lang w:val="fr-FR" w:eastAsia="ja-JP"/>
              </w:rPr>
            </w:pPr>
            <w:r w:rsidRPr="00281E30">
              <w:rPr>
                <w:rFonts w:cs="Arial"/>
                <w:bCs/>
                <w:color w:val="000000"/>
                <w:sz w:val="20"/>
                <w:szCs w:val="20"/>
                <w:lang w:val="fr-FR" w:eastAsia="ja-JP"/>
              </w:rPr>
              <w:t>NON</w:t>
            </w:r>
          </w:p>
        </w:tc>
      </w:tr>
      <w:tr w:rsidR="00281E30" w:rsidRPr="0007414F" w14:paraId="1B764F93" w14:textId="77777777" w:rsidTr="004F7458">
        <w:trPr>
          <w:trHeight w:val="276"/>
        </w:trPr>
        <w:tc>
          <w:tcPr>
            <w:tcW w:w="2268" w:type="dxa"/>
            <w:vAlign w:val="center"/>
          </w:tcPr>
          <w:p w14:paraId="73F6B038" w14:textId="48DBC47F" w:rsidR="00281E30" w:rsidRPr="00281E30" w:rsidRDefault="00281E30" w:rsidP="004F7458">
            <w:pPr>
              <w:jc w:val="center"/>
              <w:rPr>
                <w:rFonts w:cs="Arial"/>
                <w:color w:val="000000"/>
                <w:sz w:val="20"/>
                <w:szCs w:val="20"/>
                <w:lang w:val="fr-FR" w:eastAsia="ja-JP"/>
              </w:rPr>
            </w:pPr>
            <w:r w:rsidRPr="00281E30">
              <w:rPr>
                <w:rFonts w:cs="Arial"/>
                <w:color w:val="000000"/>
                <w:sz w:val="20"/>
                <w:szCs w:val="20"/>
                <w:lang w:val="fr-FR" w:eastAsia="ja-JP"/>
              </w:rPr>
              <w:t>Italie</w:t>
            </w:r>
          </w:p>
        </w:tc>
        <w:tc>
          <w:tcPr>
            <w:tcW w:w="2552" w:type="dxa"/>
            <w:vAlign w:val="center"/>
          </w:tcPr>
          <w:p w14:paraId="59D35525" w14:textId="320E1CDF" w:rsidR="00281E30" w:rsidRPr="00281E30" w:rsidRDefault="00281E30" w:rsidP="004F7458">
            <w:pPr>
              <w:jc w:val="center"/>
              <w:rPr>
                <w:rFonts w:cs="Arial"/>
                <w:bCs/>
                <w:color w:val="000000"/>
                <w:sz w:val="20"/>
                <w:szCs w:val="20"/>
                <w:lang w:val="fr-FR" w:eastAsia="ja-JP"/>
              </w:rPr>
            </w:pPr>
            <w:r w:rsidRPr="00281E30">
              <w:rPr>
                <w:rFonts w:cs="Arial"/>
                <w:bCs/>
                <w:color w:val="000000"/>
                <w:sz w:val="20"/>
                <w:szCs w:val="20"/>
                <w:lang w:val="fr-FR" w:eastAsia="ja-JP"/>
              </w:rPr>
              <w:t>OUI</w:t>
            </w:r>
          </w:p>
        </w:tc>
      </w:tr>
      <w:tr w:rsidR="00281E30" w:rsidRPr="0007414F" w14:paraId="2CB3B427" w14:textId="77777777" w:rsidTr="004F7458">
        <w:trPr>
          <w:trHeight w:val="276"/>
        </w:trPr>
        <w:tc>
          <w:tcPr>
            <w:tcW w:w="2268" w:type="dxa"/>
            <w:vAlign w:val="center"/>
          </w:tcPr>
          <w:p w14:paraId="24D779CB" w14:textId="62765D98" w:rsidR="00281E30" w:rsidRPr="00281E30" w:rsidRDefault="00281E30" w:rsidP="004F7458">
            <w:pPr>
              <w:jc w:val="center"/>
              <w:rPr>
                <w:rFonts w:cs="Arial"/>
                <w:color w:val="000000"/>
                <w:sz w:val="20"/>
                <w:szCs w:val="20"/>
                <w:lang w:val="fr-FR" w:eastAsia="ja-JP"/>
              </w:rPr>
            </w:pPr>
            <w:r w:rsidRPr="00281E30">
              <w:rPr>
                <w:rFonts w:cs="Arial"/>
                <w:color w:val="000000"/>
                <w:sz w:val="20"/>
                <w:szCs w:val="20"/>
                <w:lang w:val="fr-FR" w:eastAsia="ja-JP"/>
              </w:rPr>
              <w:t>Japon</w:t>
            </w:r>
          </w:p>
        </w:tc>
        <w:tc>
          <w:tcPr>
            <w:tcW w:w="2552" w:type="dxa"/>
            <w:vAlign w:val="center"/>
          </w:tcPr>
          <w:p w14:paraId="79682DD8" w14:textId="71F16E1A" w:rsidR="00281E30" w:rsidRPr="00281E30" w:rsidRDefault="00281E30" w:rsidP="004F7458">
            <w:pPr>
              <w:jc w:val="center"/>
              <w:rPr>
                <w:rFonts w:cs="Arial"/>
                <w:bCs/>
                <w:color w:val="000000"/>
                <w:sz w:val="20"/>
                <w:szCs w:val="20"/>
                <w:lang w:val="fr-FR" w:eastAsia="ja-JP"/>
              </w:rPr>
            </w:pPr>
            <w:r w:rsidRPr="00281E30">
              <w:rPr>
                <w:rFonts w:cs="Arial"/>
                <w:bCs/>
                <w:color w:val="000000"/>
                <w:sz w:val="20"/>
                <w:szCs w:val="20"/>
                <w:lang w:val="fr-FR" w:eastAsia="ja-JP"/>
              </w:rPr>
              <w:t>OUI</w:t>
            </w:r>
          </w:p>
        </w:tc>
      </w:tr>
      <w:tr w:rsidR="00281E30" w:rsidRPr="0007414F" w14:paraId="74EF786D" w14:textId="77777777" w:rsidTr="004F7458">
        <w:trPr>
          <w:trHeight w:val="276"/>
        </w:trPr>
        <w:tc>
          <w:tcPr>
            <w:tcW w:w="2268" w:type="dxa"/>
            <w:vAlign w:val="center"/>
          </w:tcPr>
          <w:p w14:paraId="0512F93D" w14:textId="493E4D1A" w:rsidR="00281E30" w:rsidRPr="00281E30" w:rsidRDefault="00281E30" w:rsidP="004F7458">
            <w:pPr>
              <w:jc w:val="center"/>
              <w:rPr>
                <w:rFonts w:cs="Arial"/>
                <w:color w:val="000000"/>
                <w:sz w:val="20"/>
                <w:szCs w:val="20"/>
                <w:lang w:val="fr-FR" w:eastAsia="ja-JP"/>
              </w:rPr>
            </w:pPr>
            <w:r w:rsidRPr="00281E30">
              <w:rPr>
                <w:rFonts w:cs="Arial"/>
                <w:color w:val="000000"/>
                <w:sz w:val="20"/>
                <w:szCs w:val="20"/>
                <w:lang w:val="fr-FR" w:eastAsia="ja-JP"/>
              </w:rPr>
              <w:t>Jordan</w:t>
            </w:r>
            <w:r w:rsidR="004F7458">
              <w:rPr>
                <w:rFonts w:cs="Arial"/>
                <w:color w:val="000000"/>
                <w:sz w:val="20"/>
                <w:szCs w:val="20"/>
                <w:lang w:val="fr-FR" w:eastAsia="ja-JP"/>
              </w:rPr>
              <w:t>ie</w:t>
            </w:r>
          </w:p>
        </w:tc>
        <w:tc>
          <w:tcPr>
            <w:tcW w:w="2552" w:type="dxa"/>
            <w:vAlign w:val="center"/>
          </w:tcPr>
          <w:p w14:paraId="43F04E0F" w14:textId="36B93BBF" w:rsidR="00281E30" w:rsidRPr="00281E30" w:rsidRDefault="00281E30" w:rsidP="004F7458">
            <w:pPr>
              <w:jc w:val="center"/>
              <w:rPr>
                <w:rFonts w:cs="Arial"/>
                <w:bCs/>
                <w:color w:val="000000"/>
                <w:sz w:val="20"/>
                <w:szCs w:val="20"/>
                <w:lang w:val="fr-FR" w:eastAsia="ja-JP"/>
              </w:rPr>
            </w:pPr>
            <w:r w:rsidRPr="00281E30">
              <w:rPr>
                <w:rFonts w:cs="Arial"/>
                <w:bCs/>
                <w:color w:val="000000"/>
                <w:sz w:val="20"/>
                <w:szCs w:val="20"/>
                <w:lang w:val="fr-FR" w:eastAsia="ja-JP"/>
              </w:rPr>
              <w:t>OUI</w:t>
            </w:r>
          </w:p>
        </w:tc>
      </w:tr>
      <w:tr w:rsidR="004F7458" w:rsidRPr="0007414F" w14:paraId="6D0C84C3" w14:textId="77777777" w:rsidTr="004F7458">
        <w:trPr>
          <w:trHeight w:val="276"/>
        </w:trPr>
        <w:tc>
          <w:tcPr>
            <w:tcW w:w="2268" w:type="dxa"/>
            <w:vAlign w:val="center"/>
          </w:tcPr>
          <w:p w14:paraId="0C4D70A5" w14:textId="55BB04E0" w:rsidR="004F7458" w:rsidRPr="00281E30" w:rsidRDefault="004F7458" w:rsidP="004F7458">
            <w:pPr>
              <w:jc w:val="center"/>
              <w:rPr>
                <w:rFonts w:cs="Arial"/>
                <w:color w:val="000000"/>
                <w:lang w:val="fr-FR" w:eastAsia="ja-JP"/>
              </w:rPr>
            </w:pPr>
            <w:r w:rsidRPr="00281E30">
              <w:rPr>
                <w:rFonts w:cs="Arial"/>
                <w:color w:val="000000"/>
                <w:sz w:val="20"/>
                <w:szCs w:val="20"/>
                <w:lang w:val="fr-FR" w:eastAsia="ja-JP"/>
              </w:rPr>
              <w:t>Kenya</w:t>
            </w:r>
          </w:p>
        </w:tc>
        <w:tc>
          <w:tcPr>
            <w:tcW w:w="2552" w:type="dxa"/>
            <w:vAlign w:val="center"/>
          </w:tcPr>
          <w:p w14:paraId="11E72F41" w14:textId="02B6D6FA" w:rsidR="004F7458" w:rsidRPr="00281E30" w:rsidRDefault="004F7458" w:rsidP="004F7458">
            <w:pPr>
              <w:jc w:val="center"/>
              <w:rPr>
                <w:rFonts w:cs="Arial"/>
                <w:bCs/>
                <w:color w:val="000000"/>
                <w:lang w:val="fr-FR" w:eastAsia="ja-JP"/>
              </w:rPr>
            </w:pPr>
            <w:r w:rsidRPr="00281E30">
              <w:rPr>
                <w:rFonts w:cs="Arial"/>
                <w:bCs/>
                <w:color w:val="000000"/>
                <w:sz w:val="20"/>
                <w:szCs w:val="20"/>
                <w:lang w:val="fr-FR" w:eastAsia="ja-JP"/>
              </w:rPr>
              <w:t>NON</w:t>
            </w:r>
          </w:p>
        </w:tc>
      </w:tr>
      <w:tr w:rsidR="004F7458" w:rsidRPr="00085711" w14:paraId="78E4FA1B" w14:textId="77777777" w:rsidTr="004F7458">
        <w:trPr>
          <w:trHeight w:val="276"/>
        </w:trPr>
        <w:tc>
          <w:tcPr>
            <w:tcW w:w="2268" w:type="dxa"/>
            <w:vAlign w:val="center"/>
          </w:tcPr>
          <w:p w14:paraId="06B947A1" w14:textId="562D74A9" w:rsidR="004F7458" w:rsidRPr="00281E30" w:rsidRDefault="004F7458" w:rsidP="004F7458">
            <w:pPr>
              <w:jc w:val="center"/>
              <w:rPr>
                <w:rFonts w:cs="Arial"/>
                <w:color w:val="000000"/>
                <w:sz w:val="20"/>
                <w:szCs w:val="20"/>
                <w:lang w:val="fr-FR" w:eastAsia="ja-JP"/>
              </w:rPr>
            </w:pPr>
            <w:r w:rsidRPr="00281E30">
              <w:rPr>
                <w:rFonts w:cs="Arial"/>
                <w:bCs/>
                <w:color w:val="000000"/>
                <w:sz w:val="20"/>
                <w:szCs w:val="20"/>
                <w:lang w:val="fr-FR" w:eastAsia="ja-JP"/>
              </w:rPr>
              <w:t>Membre</w:t>
            </w:r>
          </w:p>
        </w:tc>
        <w:tc>
          <w:tcPr>
            <w:tcW w:w="2552" w:type="dxa"/>
            <w:vAlign w:val="center"/>
          </w:tcPr>
          <w:p w14:paraId="0CFD9FB7" w14:textId="638F3913" w:rsidR="004F7458" w:rsidRPr="00281E30" w:rsidRDefault="004F7458" w:rsidP="004F7458">
            <w:pPr>
              <w:jc w:val="center"/>
              <w:rPr>
                <w:rFonts w:cs="Arial"/>
                <w:bCs/>
                <w:color w:val="000000"/>
                <w:sz w:val="20"/>
                <w:szCs w:val="20"/>
                <w:lang w:val="fr-FR" w:eastAsia="ja-JP"/>
              </w:rPr>
            </w:pPr>
            <w:r w:rsidRPr="00281E30">
              <w:rPr>
                <w:rFonts w:cs="Arial"/>
                <w:bCs/>
                <w:color w:val="000000"/>
                <w:sz w:val="20"/>
                <w:szCs w:val="20"/>
                <w:lang w:val="fr-FR" w:eastAsia="ja-JP"/>
              </w:rPr>
              <w:t xml:space="preserve">Utilisation de techniques </w:t>
            </w:r>
            <w:r>
              <w:rPr>
                <w:rFonts w:cs="Arial"/>
                <w:bCs/>
                <w:color w:val="000000"/>
                <w:sz w:val="20"/>
                <w:szCs w:val="20"/>
                <w:lang w:val="fr-FR" w:eastAsia="ja-JP"/>
              </w:rPr>
              <w:t>avec</w:t>
            </w:r>
            <w:r w:rsidRPr="00281E30">
              <w:rPr>
                <w:rFonts w:cs="Arial"/>
                <w:bCs/>
                <w:color w:val="000000"/>
                <w:sz w:val="20"/>
                <w:szCs w:val="20"/>
                <w:lang w:val="fr-FR" w:eastAsia="ja-JP"/>
              </w:rPr>
              <w:t xml:space="preserve"> marqueurs moléculaires (OUI/NON)</w:t>
            </w:r>
          </w:p>
        </w:tc>
      </w:tr>
      <w:tr w:rsidR="004F7458" w:rsidRPr="0007414F" w14:paraId="0FE5EEC4" w14:textId="77777777" w:rsidTr="004F7458">
        <w:trPr>
          <w:trHeight w:val="276"/>
        </w:trPr>
        <w:tc>
          <w:tcPr>
            <w:tcW w:w="2268" w:type="dxa"/>
            <w:vAlign w:val="center"/>
          </w:tcPr>
          <w:p w14:paraId="0AE57185" w14:textId="572FD54C" w:rsidR="004F7458" w:rsidRPr="00281E30" w:rsidRDefault="004F7458" w:rsidP="004F7458">
            <w:pPr>
              <w:jc w:val="center"/>
              <w:rPr>
                <w:rFonts w:cs="Arial"/>
                <w:color w:val="000000"/>
                <w:lang w:val="fr-FR" w:eastAsia="ja-JP"/>
              </w:rPr>
            </w:pPr>
            <w:r w:rsidRPr="00281E30">
              <w:rPr>
                <w:rFonts w:cs="Arial"/>
                <w:color w:val="000000"/>
                <w:sz w:val="20"/>
                <w:szCs w:val="20"/>
                <w:lang w:val="fr-FR" w:eastAsia="ja-JP"/>
              </w:rPr>
              <w:t>Lettonie</w:t>
            </w:r>
          </w:p>
        </w:tc>
        <w:tc>
          <w:tcPr>
            <w:tcW w:w="2552" w:type="dxa"/>
            <w:vAlign w:val="center"/>
          </w:tcPr>
          <w:p w14:paraId="1F40B17E" w14:textId="6116AC02" w:rsidR="004F7458" w:rsidRPr="00281E30" w:rsidRDefault="004F7458" w:rsidP="004F7458">
            <w:pPr>
              <w:jc w:val="center"/>
              <w:rPr>
                <w:rFonts w:cs="Arial"/>
                <w:bCs/>
                <w:color w:val="000000"/>
                <w:lang w:val="fr-FR" w:eastAsia="ja-JP"/>
              </w:rPr>
            </w:pPr>
            <w:r w:rsidRPr="00281E30">
              <w:rPr>
                <w:rFonts w:cs="Arial"/>
                <w:bCs/>
                <w:color w:val="000000"/>
                <w:sz w:val="20"/>
                <w:szCs w:val="20"/>
                <w:lang w:val="fr-FR" w:eastAsia="ja-JP"/>
              </w:rPr>
              <w:t>NON</w:t>
            </w:r>
          </w:p>
        </w:tc>
      </w:tr>
      <w:tr w:rsidR="004F7458" w:rsidRPr="0007414F" w14:paraId="0B03C0EA" w14:textId="77777777" w:rsidTr="004F7458">
        <w:trPr>
          <w:trHeight w:val="276"/>
        </w:trPr>
        <w:tc>
          <w:tcPr>
            <w:tcW w:w="2268" w:type="dxa"/>
            <w:vAlign w:val="center"/>
            <w:hideMark/>
          </w:tcPr>
          <w:p w14:paraId="035BDAB8" w14:textId="73E13F3B" w:rsidR="004F7458" w:rsidRPr="00281E30" w:rsidRDefault="004F7458" w:rsidP="004F7458">
            <w:pPr>
              <w:jc w:val="center"/>
              <w:rPr>
                <w:rFonts w:cs="Arial"/>
                <w:color w:val="000000"/>
                <w:sz w:val="20"/>
                <w:szCs w:val="20"/>
                <w:lang w:val="fr-FR" w:eastAsia="ja-JP"/>
              </w:rPr>
            </w:pPr>
            <w:r w:rsidRPr="00281E30">
              <w:rPr>
                <w:rFonts w:cs="Arial"/>
                <w:color w:val="000000"/>
                <w:sz w:val="20"/>
                <w:szCs w:val="20"/>
                <w:lang w:val="fr-FR" w:eastAsia="ja-JP"/>
              </w:rPr>
              <w:t>Lituanie</w:t>
            </w:r>
          </w:p>
        </w:tc>
        <w:tc>
          <w:tcPr>
            <w:tcW w:w="2552" w:type="dxa"/>
            <w:vAlign w:val="center"/>
            <w:hideMark/>
          </w:tcPr>
          <w:p w14:paraId="75E27086" w14:textId="71124D54" w:rsidR="004F7458" w:rsidRPr="00281E30" w:rsidRDefault="004F7458" w:rsidP="004F7458">
            <w:pPr>
              <w:jc w:val="center"/>
              <w:rPr>
                <w:rFonts w:cs="Arial"/>
                <w:bCs/>
                <w:color w:val="000000"/>
                <w:sz w:val="20"/>
                <w:szCs w:val="20"/>
                <w:lang w:val="fr-FR" w:eastAsia="ja-JP"/>
              </w:rPr>
            </w:pPr>
            <w:r w:rsidRPr="00281E30">
              <w:rPr>
                <w:rFonts w:cs="Arial"/>
                <w:bCs/>
                <w:color w:val="000000"/>
                <w:sz w:val="20"/>
                <w:szCs w:val="20"/>
                <w:lang w:val="fr-FR" w:eastAsia="ja-JP"/>
              </w:rPr>
              <w:t>NON</w:t>
            </w:r>
          </w:p>
        </w:tc>
      </w:tr>
      <w:tr w:rsidR="004F7458" w:rsidRPr="0007414F" w14:paraId="0B16DD0D" w14:textId="77777777" w:rsidTr="004F7458">
        <w:trPr>
          <w:trHeight w:val="276"/>
        </w:trPr>
        <w:tc>
          <w:tcPr>
            <w:tcW w:w="2268" w:type="dxa"/>
            <w:vAlign w:val="center"/>
            <w:hideMark/>
          </w:tcPr>
          <w:p w14:paraId="2A0C8AC7" w14:textId="774DC6B9" w:rsidR="004F7458" w:rsidRPr="00281E30" w:rsidRDefault="004F7458" w:rsidP="004F7458">
            <w:pPr>
              <w:jc w:val="center"/>
              <w:rPr>
                <w:rFonts w:cs="Arial"/>
                <w:color w:val="000000"/>
                <w:sz w:val="20"/>
                <w:szCs w:val="20"/>
                <w:lang w:val="fr-FR" w:eastAsia="ja-JP"/>
              </w:rPr>
            </w:pPr>
            <w:r w:rsidRPr="00281E30">
              <w:rPr>
                <w:rFonts w:cs="Arial"/>
                <w:color w:val="000000"/>
                <w:sz w:val="20"/>
                <w:szCs w:val="20"/>
                <w:lang w:val="fr-FR" w:eastAsia="ja-JP"/>
              </w:rPr>
              <w:t>Mexique</w:t>
            </w:r>
          </w:p>
        </w:tc>
        <w:tc>
          <w:tcPr>
            <w:tcW w:w="2552" w:type="dxa"/>
            <w:vAlign w:val="center"/>
            <w:hideMark/>
          </w:tcPr>
          <w:p w14:paraId="3E34CFDB" w14:textId="662D7797" w:rsidR="004F7458" w:rsidRPr="00281E30" w:rsidRDefault="004F7458" w:rsidP="004F7458">
            <w:pPr>
              <w:jc w:val="center"/>
              <w:rPr>
                <w:rFonts w:cs="Arial"/>
                <w:bCs/>
                <w:color w:val="000000"/>
                <w:sz w:val="20"/>
                <w:szCs w:val="20"/>
                <w:lang w:val="fr-FR" w:eastAsia="ja-JP"/>
              </w:rPr>
            </w:pPr>
            <w:r w:rsidRPr="00281E30">
              <w:rPr>
                <w:rFonts w:cs="Arial"/>
                <w:bCs/>
                <w:color w:val="000000"/>
                <w:sz w:val="20"/>
                <w:szCs w:val="20"/>
                <w:lang w:val="fr-FR" w:eastAsia="ja-JP"/>
              </w:rPr>
              <w:t>NON</w:t>
            </w:r>
          </w:p>
        </w:tc>
      </w:tr>
      <w:tr w:rsidR="004F7458" w:rsidRPr="0007414F" w14:paraId="46139FF1" w14:textId="77777777" w:rsidTr="004F7458">
        <w:trPr>
          <w:trHeight w:val="276"/>
        </w:trPr>
        <w:tc>
          <w:tcPr>
            <w:tcW w:w="2268" w:type="dxa"/>
            <w:vAlign w:val="center"/>
            <w:hideMark/>
          </w:tcPr>
          <w:p w14:paraId="072B030F" w14:textId="77777777" w:rsidR="004F7458" w:rsidRPr="00281E30" w:rsidRDefault="004F7458" w:rsidP="004F7458">
            <w:pPr>
              <w:jc w:val="center"/>
              <w:rPr>
                <w:rFonts w:cs="Arial"/>
                <w:color w:val="000000"/>
                <w:sz w:val="20"/>
                <w:szCs w:val="20"/>
                <w:lang w:val="fr-FR" w:eastAsia="ja-JP"/>
              </w:rPr>
            </w:pPr>
            <w:r w:rsidRPr="00281E30">
              <w:rPr>
                <w:rFonts w:cs="Arial"/>
                <w:color w:val="000000"/>
                <w:sz w:val="20"/>
                <w:szCs w:val="20"/>
                <w:lang w:val="fr-FR" w:eastAsia="ja-JP"/>
              </w:rPr>
              <w:t>Moldova</w:t>
            </w:r>
          </w:p>
        </w:tc>
        <w:tc>
          <w:tcPr>
            <w:tcW w:w="2552" w:type="dxa"/>
            <w:vAlign w:val="center"/>
            <w:hideMark/>
          </w:tcPr>
          <w:p w14:paraId="182106EE" w14:textId="7951C13B" w:rsidR="004F7458" w:rsidRPr="00281E30" w:rsidRDefault="004F7458" w:rsidP="004F7458">
            <w:pPr>
              <w:jc w:val="center"/>
              <w:rPr>
                <w:rFonts w:cs="Arial"/>
                <w:bCs/>
                <w:color w:val="000000"/>
                <w:sz w:val="20"/>
                <w:szCs w:val="20"/>
                <w:lang w:val="fr-FR" w:eastAsia="ja-JP"/>
              </w:rPr>
            </w:pPr>
            <w:r w:rsidRPr="00281E30">
              <w:rPr>
                <w:rFonts w:cs="Arial"/>
                <w:bCs/>
                <w:color w:val="000000"/>
                <w:sz w:val="20"/>
                <w:szCs w:val="20"/>
                <w:lang w:val="fr-FR" w:eastAsia="ja-JP"/>
              </w:rPr>
              <w:t>NON</w:t>
            </w:r>
          </w:p>
        </w:tc>
      </w:tr>
      <w:tr w:rsidR="004F7458" w:rsidRPr="0007414F" w14:paraId="37C3276D" w14:textId="77777777" w:rsidTr="004F7458">
        <w:trPr>
          <w:trHeight w:val="276"/>
        </w:trPr>
        <w:tc>
          <w:tcPr>
            <w:tcW w:w="2268" w:type="dxa"/>
            <w:vAlign w:val="center"/>
            <w:hideMark/>
          </w:tcPr>
          <w:p w14:paraId="1357BD29" w14:textId="3A83A1B8" w:rsidR="004F7458" w:rsidRPr="00281E30" w:rsidRDefault="00D639EE" w:rsidP="004F7458">
            <w:pPr>
              <w:jc w:val="center"/>
              <w:rPr>
                <w:rFonts w:cs="Arial"/>
                <w:color w:val="000000"/>
                <w:sz w:val="20"/>
                <w:szCs w:val="20"/>
                <w:lang w:val="fr-FR" w:eastAsia="ja-JP"/>
              </w:rPr>
            </w:pPr>
            <w:r>
              <w:rPr>
                <w:rFonts w:cs="Arial"/>
                <w:color w:val="000000"/>
                <w:sz w:val="20"/>
                <w:szCs w:val="20"/>
                <w:lang w:val="fr-FR" w:eastAsia="ja-JP"/>
              </w:rPr>
              <w:t>Nouvelle</w:t>
            </w:r>
            <w:r w:rsidR="006E7E88">
              <w:rPr>
                <w:rFonts w:cs="Arial"/>
                <w:color w:val="000000"/>
                <w:sz w:val="20"/>
                <w:szCs w:val="20"/>
                <w:lang w:val="fr-FR" w:eastAsia="ja-JP"/>
              </w:rPr>
              <w:noBreakHyphen/>
            </w:r>
            <w:r>
              <w:rPr>
                <w:rFonts w:cs="Arial"/>
                <w:color w:val="000000"/>
                <w:sz w:val="20"/>
                <w:szCs w:val="20"/>
                <w:lang w:val="fr-FR" w:eastAsia="ja-JP"/>
              </w:rPr>
              <w:t>Zélande</w:t>
            </w:r>
          </w:p>
        </w:tc>
        <w:tc>
          <w:tcPr>
            <w:tcW w:w="2552" w:type="dxa"/>
            <w:vAlign w:val="center"/>
            <w:hideMark/>
          </w:tcPr>
          <w:p w14:paraId="28008A37" w14:textId="164CCC54" w:rsidR="004F7458" w:rsidRPr="00281E30" w:rsidRDefault="004F7458" w:rsidP="004F7458">
            <w:pPr>
              <w:jc w:val="center"/>
              <w:rPr>
                <w:rFonts w:cs="Arial"/>
                <w:bCs/>
                <w:color w:val="000000"/>
                <w:sz w:val="20"/>
                <w:szCs w:val="20"/>
                <w:lang w:val="fr-FR" w:eastAsia="ja-JP"/>
              </w:rPr>
            </w:pPr>
            <w:r w:rsidRPr="00281E30">
              <w:rPr>
                <w:rFonts w:cs="Arial"/>
                <w:bCs/>
                <w:color w:val="000000"/>
                <w:sz w:val="20"/>
                <w:szCs w:val="20"/>
                <w:lang w:val="fr-FR" w:eastAsia="ja-JP"/>
              </w:rPr>
              <w:t>NON</w:t>
            </w:r>
          </w:p>
        </w:tc>
      </w:tr>
      <w:tr w:rsidR="004F7458" w:rsidRPr="0007414F" w14:paraId="0891F2DD" w14:textId="77777777" w:rsidTr="004F7458">
        <w:trPr>
          <w:trHeight w:val="276"/>
        </w:trPr>
        <w:tc>
          <w:tcPr>
            <w:tcW w:w="2268" w:type="dxa"/>
            <w:vAlign w:val="center"/>
            <w:hideMark/>
          </w:tcPr>
          <w:p w14:paraId="54CC4EB6" w14:textId="6CA8F623" w:rsidR="004F7458" w:rsidRPr="00281E30" w:rsidRDefault="004F7458" w:rsidP="004F7458">
            <w:pPr>
              <w:jc w:val="center"/>
              <w:rPr>
                <w:rFonts w:cs="Arial"/>
                <w:color w:val="000000"/>
                <w:sz w:val="20"/>
                <w:szCs w:val="20"/>
                <w:lang w:val="fr-FR" w:eastAsia="ja-JP"/>
              </w:rPr>
            </w:pPr>
            <w:r w:rsidRPr="00281E30">
              <w:rPr>
                <w:rFonts w:cs="Arial"/>
                <w:color w:val="000000"/>
                <w:sz w:val="20"/>
                <w:szCs w:val="20"/>
                <w:lang w:val="fr-FR" w:eastAsia="ja-JP"/>
              </w:rPr>
              <w:t>Norvège</w:t>
            </w:r>
          </w:p>
        </w:tc>
        <w:tc>
          <w:tcPr>
            <w:tcW w:w="2552" w:type="dxa"/>
            <w:vAlign w:val="center"/>
            <w:hideMark/>
          </w:tcPr>
          <w:p w14:paraId="3CF470A3" w14:textId="1B477A4D" w:rsidR="004F7458" w:rsidRPr="00281E30" w:rsidRDefault="004F7458" w:rsidP="004F7458">
            <w:pPr>
              <w:jc w:val="center"/>
              <w:rPr>
                <w:rFonts w:cs="Arial"/>
                <w:bCs/>
                <w:color w:val="000000"/>
                <w:sz w:val="20"/>
                <w:szCs w:val="20"/>
                <w:lang w:val="fr-FR" w:eastAsia="ja-JP"/>
              </w:rPr>
            </w:pPr>
            <w:r w:rsidRPr="00281E30">
              <w:rPr>
                <w:rFonts w:cs="Arial"/>
                <w:bCs/>
                <w:color w:val="000000"/>
                <w:sz w:val="20"/>
                <w:szCs w:val="20"/>
                <w:lang w:val="fr-FR" w:eastAsia="ja-JP"/>
              </w:rPr>
              <w:t>NON</w:t>
            </w:r>
          </w:p>
        </w:tc>
      </w:tr>
      <w:tr w:rsidR="004F7458" w:rsidRPr="0007414F" w14:paraId="19E27385" w14:textId="77777777" w:rsidTr="004F7458">
        <w:trPr>
          <w:trHeight w:val="276"/>
        </w:trPr>
        <w:tc>
          <w:tcPr>
            <w:tcW w:w="2268" w:type="dxa"/>
            <w:vAlign w:val="center"/>
            <w:hideMark/>
          </w:tcPr>
          <w:p w14:paraId="621EAD00" w14:textId="77777777" w:rsidR="004F7458" w:rsidRPr="00281E30" w:rsidRDefault="004F7458" w:rsidP="004F7458">
            <w:pPr>
              <w:jc w:val="center"/>
              <w:rPr>
                <w:rFonts w:cs="Arial"/>
                <w:color w:val="000000"/>
                <w:sz w:val="20"/>
                <w:szCs w:val="20"/>
                <w:lang w:val="fr-FR" w:eastAsia="ja-JP"/>
              </w:rPr>
            </w:pPr>
            <w:r w:rsidRPr="00281E30">
              <w:rPr>
                <w:rFonts w:cs="Arial"/>
                <w:color w:val="000000"/>
                <w:sz w:val="20"/>
                <w:szCs w:val="20"/>
                <w:lang w:val="fr-FR" w:eastAsia="ja-JP"/>
              </w:rPr>
              <w:t>Panama</w:t>
            </w:r>
          </w:p>
        </w:tc>
        <w:tc>
          <w:tcPr>
            <w:tcW w:w="2552" w:type="dxa"/>
            <w:vAlign w:val="center"/>
            <w:hideMark/>
          </w:tcPr>
          <w:p w14:paraId="4DDFB2FD" w14:textId="202B8FE6" w:rsidR="004F7458" w:rsidRPr="00281E30" w:rsidRDefault="004F7458" w:rsidP="004F7458">
            <w:pPr>
              <w:jc w:val="center"/>
              <w:rPr>
                <w:rFonts w:cs="Arial"/>
                <w:bCs/>
                <w:color w:val="000000"/>
                <w:sz w:val="20"/>
                <w:szCs w:val="20"/>
                <w:lang w:val="fr-FR" w:eastAsia="ja-JP"/>
              </w:rPr>
            </w:pPr>
            <w:r w:rsidRPr="00281E30">
              <w:rPr>
                <w:rFonts w:cs="Arial"/>
                <w:bCs/>
                <w:color w:val="000000"/>
                <w:sz w:val="20"/>
                <w:szCs w:val="20"/>
                <w:lang w:val="fr-FR" w:eastAsia="ja-JP"/>
              </w:rPr>
              <w:t>NON</w:t>
            </w:r>
          </w:p>
        </w:tc>
      </w:tr>
      <w:tr w:rsidR="004F7458" w:rsidRPr="0007414F" w14:paraId="1ECE42F8" w14:textId="77777777" w:rsidTr="004F7458">
        <w:trPr>
          <w:trHeight w:val="276"/>
        </w:trPr>
        <w:tc>
          <w:tcPr>
            <w:tcW w:w="2268" w:type="dxa"/>
            <w:vAlign w:val="center"/>
          </w:tcPr>
          <w:p w14:paraId="7E57291C" w14:textId="376DE33E" w:rsidR="004F7458" w:rsidRPr="00281E30" w:rsidRDefault="004F7458" w:rsidP="004F7458">
            <w:pPr>
              <w:jc w:val="center"/>
              <w:rPr>
                <w:rFonts w:cs="Arial"/>
                <w:color w:val="000000"/>
                <w:sz w:val="20"/>
                <w:szCs w:val="20"/>
                <w:lang w:val="fr-FR" w:eastAsia="ja-JP"/>
              </w:rPr>
            </w:pPr>
            <w:r w:rsidRPr="00281E30">
              <w:rPr>
                <w:rFonts w:cs="Arial"/>
                <w:color w:val="000000"/>
                <w:sz w:val="20"/>
                <w:szCs w:val="20"/>
                <w:lang w:val="fr-FR" w:eastAsia="ja-JP"/>
              </w:rPr>
              <w:t>Pays</w:t>
            </w:r>
            <w:r w:rsidR="006E7E88">
              <w:rPr>
                <w:rFonts w:cs="Arial"/>
                <w:color w:val="000000"/>
                <w:sz w:val="20"/>
                <w:szCs w:val="20"/>
                <w:lang w:val="fr-FR" w:eastAsia="ja-JP"/>
              </w:rPr>
              <w:noBreakHyphen/>
            </w:r>
            <w:r w:rsidRPr="00281E30">
              <w:rPr>
                <w:rFonts w:cs="Arial"/>
                <w:color w:val="000000"/>
                <w:sz w:val="20"/>
                <w:szCs w:val="20"/>
                <w:lang w:val="fr-FR" w:eastAsia="ja-JP"/>
              </w:rPr>
              <w:t>Bas</w:t>
            </w:r>
          </w:p>
        </w:tc>
        <w:tc>
          <w:tcPr>
            <w:tcW w:w="2552" w:type="dxa"/>
            <w:vAlign w:val="center"/>
          </w:tcPr>
          <w:p w14:paraId="70D10C35" w14:textId="029F6D95" w:rsidR="004F7458" w:rsidRPr="00281E30" w:rsidRDefault="004F7458" w:rsidP="004F7458">
            <w:pPr>
              <w:jc w:val="center"/>
              <w:rPr>
                <w:rFonts w:cs="Arial"/>
                <w:bCs/>
                <w:color w:val="000000"/>
                <w:sz w:val="20"/>
                <w:szCs w:val="20"/>
                <w:lang w:val="fr-FR" w:eastAsia="ja-JP"/>
              </w:rPr>
            </w:pPr>
            <w:r w:rsidRPr="00281E30">
              <w:rPr>
                <w:rFonts w:cs="Arial"/>
                <w:bCs/>
                <w:color w:val="000000"/>
                <w:sz w:val="20"/>
                <w:szCs w:val="20"/>
                <w:lang w:val="fr-FR" w:eastAsia="ja-JP"/>
              </w:rPr>
              <w:t>OUI</w:t>
            </w:r>
          </w:p>
        </w:tc>
      </w:tr>
      <w:tr w:rsidR="004F7458" w:rsidRPr="0007414F" w14:paraId="308B7FF7" w14:textId="77777777" w:rsidTr="004F7458">
        <w:trPr>
          <w:trHeight w:val="276"/>
        </w:trPr>
        <w:tc>
          <w:tcPr>
            <w:tcW w:w="2268" w:type="dxa"/>
            <w:vAlign w:val="center"/>
            <w:hideMark/>
          </w:tcPr>
          <w:p w14:paraId="1F768677" w14:textId="0149EABB" w:rsidR="004F7458" w:rsidRPr="00281E30" w:rsidRDefault="004F7458" w:rsidP="004F7458">
            <w:pPr>
              <w:jc w:val="center"/>
              <w:rPr>
                <w:rFonts w:cs="Arial"/>
                <w:color w:val="000000"/>
                <w:sz w:val="20"/>
                <w:szCs w:val="20"/>
                <w:lang w:val="fr-FR" w:eastAsia="ja-JP"/>
              </w:rPr>
            </w:pPr>
            <w:r w:rsidRPr="00281E30">
              <w:rPr>
                <w:rFonts w:cs="Arial"/>
                <w:color w:val="000000"/>
                <w:sz w:val="20"/>
                <w:szCs w:val="20"/>
                <w:lang w:val="fr-FR" w:eastAsia="ja-JP"/>
              </w:rPr>
              <w:t>Pérou</w:t>
            </w:r>
          </w:p>
        </w:tc>
        <w:tc>
          <w:tcPr>
            <w:tcW w:w="2552" w:type="dxa"/>
            <w:vAlign w:val="center"/>
            <w:hideMark/>
          </w:tcPr>
          <w:p w14:paraId="21115235" w14:textId="423C3FAC" w:rsidR="004F7458" w:rsidRPr="00281E30" w:rsidRDefault="004F7458" w:rsidP="004F7458">
            <w:pPr>
              <w:jc w:val="center"/>
              <w:rPr>
                <w:rFonts w:cs="Arial"/>
                <w:bCs/>
                <w:color w:val="000000"/>
                <w:sz w:val="20"/>
                <w:szCs w:val="20"/>
                <w:lang w:val="fr-FR" w:eastAsia="ja-JP"/>
              </w:rPr>
            </w:pPr>
            <w:r w:rsidRPr="00281E30">
              <w:rPr>
                <w:rFonts w:cs="Arial"/>
                <w:bCs/>
                <w:color w:val="000000"/>
                <w:sz w:val="20"/>
                <w:szCs w:val="20"/>
                <w:lang w:val="fr-FR" w:eastAsia="ja-JP"/>
              </w:rPr>
              <w:t>NON</w:t>
            </w:r>
          </w:p>
        </w:tc>
      </w:tr>
      <w:tr w:rsidR="004F7458" w:rsidRPr="0007414F" w14:paraId="36198BF7" w14:textId="77777777" w:rsidTr="004F7458">
        <w:trPr>
          <w:trHeight w:val="276"/>
        </w:trPr>
        <w:tc>
          <w:tcPr>
            <w:tcW w:w="2268" w:type="dxa"/>
            <w:vAlign w:val="center"/>
            <w:hideMark/>
          </w:tcPr>
          <w:p w14:paraId="72B8EFDC" w14:textId="3480E7F6" w:rsidR="004F7458" w:rsidRPr="00281E30" w:rsidRDefault="004F7458" w:rsidP="004F7458">
            <w:pPr>
              <w:jc w:val="center"/>
              <w:rPr>
                <w:rFonts w:cs="Arial"/>
                <w:color w:val="000000"/>
                <w:sz w:val="20"/>
                <w:szCs w:val="20"/>
                <w:lang w:val="fr-FR" w:eastAsia="ja-JP"/>
              </w:rPr>
            </w:pPr>
            <w:r w:rsidRPr="00281E30">
              <w:rPr>
                <w:rFonts w:cs="Arial"/>
                <w:color w:val="000000"/>
                <w:sz w:val="20"/>
                <w:szCs w:val="20"/>
                <w:lang w:val="fr-FR" w:eastAsia="ja-JP"/>
              </w:rPr>
              <w:t>Pologne</w:t>
            </w:r>
          </w:p>
        </w:tc>
        <w:tc>
          <w:tcPr>
            <w:tcW w:w="2552" w:type="dxa"/>
            <w:vAlign w:val="center"/>
            <w:hideMark/>
          </w:tcPr>
          <w:p w14:paraId="3BD6AF8D" w14:textId="1C639083" w:rsidR="004F7458" w:rsidRPr="00281E30" w:rsidRDefault="004F7458" w:rsidP="004F7458">
            <w:pPr>
              <w:jc w:val="center"/>
              <w:rPr>
                <w:rFonts w:cs="Arial"/>
                <w:bCs/>
                <w:color w:val="000000"/>
                <w:sz w:val="20"/>
                <w:szCs w:val="20"/>
                <w:lang w:val="fr-FR" w:eastAsia="ja-JP"/>
              </w:rPr>
            </w:pPr>
            <w:r w:rsidRPr="00281E30">
              <w:rPr>
                <w:rFonts w:cs="Arial"/>
                <w:bCs/>
                <w:color w:val="000000"/>
                <w:sz w:val="20"/>
                <w:szCs w:val="20"/>
                <w:lang w:val="fr-FR" w:eastAsia="ja-JP"/>
              </w:rPr>
              <w:t>NON</w:t>
            </w:r>
          </w:p>
        </w:tc>
      </w:tr>
      <w:tr w:rsidR="004F7458" w:rsidRPr="0007414F" w14:paraId="3F5DAB5B" w14:textId="77777777" w:rsidTr="004F7458">
        <w:trPr>
          <w:trHeight w:val="276"/>
        </w:trPr>
        <w:tc>
          <w:tcPr>
            <w:tcW w:w="2268" w:type="dxa"/>
            <w:vAlign w:val="center"/>
          </w:tcPr>
          <w:p w14:paraId="35671E42" w14:textId="092F06CD" w:rsidR="004F7458" w:rsidRPr="00281E30" w:rsidRDefault="004F7458" w:rsidP="004F7458">
            <w:pPr>
              <w:jc w:val="center"/>
              <w:rPr>
                <w:rFonts w:cs="Arial"/>
                <w:color w:val="000000"/>
                <w:sz w:val="20"/>
                <w:szCs w:val="20"/>
                <w:lang w:val="fr-FR" w:eastAsia="ja-JP"/>
              </w:rPr>
            </w:pPr>
            <w:r w:rsidRPr="00281E30">
              <w:rPr>
                <w:rFonts w:cs="Arial"/>
                <w:color w:val="000000"/>
                <w:sz w:val="20"/>
                <w:szCs w:val="20"/>
                <w:lang w:val="fr-FR" w:eastAsia="ja-JP"/>
              </w:rPr>
              <w:t>République tchèque</w:t>
            </w:r>
          </w:p>
        </w:tc>
        <w:tc>
          <w:tcPr>
            <w:tcW w:w="2552" w:type="dxa"/>
            <w:vAlign w:val="center"/>
          </w:tcPr>
          <w:p w14:paraId="50008791" w14:textId="6AF49FFD" w:rsidR="004F7458" w:rsidRPr="00281E30" w:rsidRDefault="004F7458" w:rsidP="004F7458">
            <w:pPr>
              <w:jc w:val="center"/>
              <w:rPr>
                <w:rFonts w:cs="Arial"/>
                <w:bCs/>
                <w:color w:val="000000"/>
                <w:sz w:val="20"/>
                <w:szCs w:val="20"/>
                <w:lang w:val="fr-FR" w:eastAsia="ja-JP"/>
              </w:rPr>
            </w:pPr>
            <w:r w:rsidRPr="00281E30">
              <w:rPr>
                <w:rFonts w:cs="Arial"/>
                <w:bCs/>
                <w:color w:val="000000"/>
                <w:sz w:val="20"/>
                <w:szCs w:val="20"/>
                <w:lang w:val="fr-FR" w:eastAsia="ja-JP"/>
              </w:rPr>
              <w:t>OUI</w:t>
            </w:r>
          </w:p>
        </w:tc>
      </w:tr>
      <w:tr w:rsidR="004F7458" w:rsidRPr="0007414F" w14:paraId="5680BC3C" w14:textId="77777777" w:rsidTr="004F7458">
        <w:trPr>
          <w:trHeight w:val="276"/>
        </w:trPr>
        <w:tc>
          <w:tcPr>
            <w:tcW w:w="2268" w:type="dxa"/>
            <w:vAlign w:val="center"/>
            <w:hideMark/>
          </w:tcPr>
          <w:p w14:paraId="0D1B511C" w14:textId="5EF5176D" w:rsidR="004F7458" w:rsidRPr="00281E30" w:rsidRDefault="004F7458" w:rsidP="004F7458">
            <w:pPr>
              <w:jc w:val="center"/>
              <w:rPr>
                <w:rFonts w:cs="Arial"/>
                <w:color w:val="000000"/>
                <w:sz w:val="20"/>
                <w:szCs w:val="20"/>
                <w:lang w:val="fr-FR" w:eastAsia="ja-JP"/>
              </w:rPr>
            </w:pPr>
            <w:r w:rsidRPr="00281E30">
              <w:rPr>
                <w:rFonts w:cs="Arial"/>
                <w:color w:val="000000"/>
                <w:sz w:val="20"/>
                <w:szCs w:val="20"/>
                <w:lang w:val="fr-FR" w:eastAsia="ja-JP"/>
              </w:rPr>
              <w:t>Roumanie</w:t>
            </w:r>
          </w:p>
        </w:tc>
        <w:tc>
          <w:tcPr>
            <w:tcW w:w="2552" w:type="dxa"/>
            <w:vAlign w:val="center"/>
            <w:hideMark/>
          </w:tcPr>
          <w:p w14:paraId="6C03527F" w14:textId="32ABC210" w:rsidR="004F7458" w:rsidRPr="00281E30" w:rsidRDefault="004F7458" w:rsidP="004F7458">
            <w:pPr>
              <w:jc w:val="center"/>
              <w:rPr>
                <w:rFonts w:cs="Arial"/>
                <w:bCs/>
                <w:color w:val="000000"/>
                <w:sz w:val="20"/>
                <w:szCs w:val="20"/>
                <w:lang w:val="fr-FR" w:eastAsia="ja-JP"/>
              </w:rPr>
            </w:pPr>
            <w:r w:rsidRPr="00281E30">
              <w:rPr>
                <w:rFonts w:cs="Arial"/>
                <w:bCs/>
                <w:color w:val="000000"/>
                <w:sz w:val="20"/>
                <w:szCs w:val="20"/>
                <w:lang w:val="fr-FR" w:eastAsia="ja-JP"/>
              </w:rPr>
              <w:t>NON</w:t>
            </w:r>
          </w:p>
        </w:tc>
      </w:tr>
      <w:tr w:rsidR="004F7458" w:rsidRPr="0007414F" w14:paraId="4FC9E37C" w14:textId="77777777" w:rsidTr="004F7458">
        <w:trPr>
          <w:trHeight w:val="276"/>
        </w:trPr>
        <w:tc>
          <w:tcPr>
            <w:tcW w:w="2268" w:type="dxa"/>
            <w:vAlign w:val="center"/>
            <w:hideMark/>
          </w:tcPr>
          <w:p w14:paraId="23C22B6E" w14:textId="3B0936BD" w:rsidR="004F7458" w:rsidRPr="00281E30" w:rsidRDefault="004F7458" w:rsidP="004F7458">
            <w:pPr>
              <w:jc w:val="center"/>
              <w:rPr>
                <w:rFonts w:cs="Arial"/>
                <w:color w:val="000000"/>
                <w:sz w:val="20"/>
                <w:szCs w:val="20"/>
                <w:lang w:val="fr-FR" w:eastAsia="ja-JP"/>
              </w:rPr>
            </w:pPr>
            <w:r w:rsidRPr="00281E30">
              <w:rPr>
                <w:rFonts w:cs="Arial"/>
                <w:color w:val="000000"/>
                <w:sz w:val="20"/>
                <w:szCs w:val="20"/>
                <w:lang w:val="fr-FR" w:eastAsia="ja-JP"/>
              </w:rPr>
              <w:t>Royaume</w:t>
            </w:r>
            <w:r w:rsidR="006E7E88">
              <w:rPr>
                <w:rFonts w:cs="Arial"/>
                <w:color w:val="000000"/>
                <w:sz w:val="20"/>
                <w:szCs w:val="20"/>
                <w:lang w:val="fr-FR" w:eastAsia="ja-JP"/>
              </w:rPr>
              <w:noBreakHyphen/>
            </w:r>
            <w:r w:rsidRPr="00281E30">
              <w:rPr>
                <w:rFonts w:cs="Arial"/>
                <w:color w:val="000000"/>
                <w:sz w:val="20"/>
                <w:szCs w:val="20"/>
                <w:lang w:val="fr-FR" w:eastAsia="ja-JP"/>
              </w:rPr>
              <w:t>Uni</w:t>
            </w:r>
          </w:p>
        </w:tc>
        <w:tc>
          <w:tcPr>
            <w:tcW w:w="2552" w:type="dxa"/>
            <w:vAlign w:val="center"/>
            <w:hideMark/>
          </w:tcPr>
          <w:p w14:paraId="6B08E86F" w14:textId="1E2915E5" w:rsidR="004F7458" w:rsidRPr="00281E30" w:rsidRDefault="004F7458" w:rsidP="004F7458">
            <w:pPr>
              <w:jc w:val="center"/>
              <w:rPr>
                <w:rFonts w:cs="Arial"/>
                <w:bCs/>
                <w:color w:val="000000"/>
                <w:sz w:val="20"/>
                <w:szCs w:val="20"/>
                <w:lang w:val="fr-FR" w:eastAsia="ja-JP"/>
              </w:rPr>
            </w:pPr>
            <w:r w:rsidRPr="00281E30">
              <w:rPr>
                <w:rFonts w:cs="Arial"/>
                <w:bCs/>
                <w:color w:val="000000"/>
                <w:sz w:val="20"/>
                <w:szCs w:val="20"/>
                <w:lang w:val="fr-FR" w:eastAsia="ja-JP"/>
              </w:rPr>
              <w:t>OUI</w:t>
            </w:r>
          </w:p>
        </w:tc>
      </w:tr>
      <w:tr w:rsidR="004F7458" w:rsidRPr="0007414F" w14:paraId="7DDE3F10" w14:textId="77777777" w:rsidTr="004F7458">
        <w:trPr>
          <w:trHeight w:val="276"/>
        </w:trPr>
        <w:tc>
          <w:tcPr>
            <w:tcW w:w="2268" w:type="dxa"/>
            <w:vAlign w:val="center"/>
            <w:hideMark/>
          </w:tcPr>
          <w:p w14:paraId="0F28DAF3" w14:textId="609C252E" w:rsidR="004F7458" w:rsidRPr="00281E30" w:rsidRDefault="004F7458" w:rsidP="004F7458">
            <w:pPr>
              <w:jc w:val="center"/>
              <w:rPr>
                <w:rFonts w:cs="Arial"/>
                <w:color w:val="000000"/>
                <w:sz w:val="20"/>
                <w:szCs w:val="20"/>
                <w:lang w:val="fr-FR" w:eastAsia="ja-JP"/>
              </w:rPr>
            </w:pPr>
            <w:r w:rsidRPr="00281E30">
              <w:rPr>
                <w:rFonts w:cs="Arial"/>
                <w:color w:val="000000"/>
                <w:sz w:val="20"/>
                <w:szCs w:val="20"/>
                <w:lang w:val="fr-FR" w:eastAsia="ja-JP"/>
              </w:rPr>
              <w:t>Slovaquie</w:t>
            </w:r>
          </w:p>
        </w:tc>
        <w:tc>
          <w:tcPr>
            <w:tcW w:w="2552" w:type="dxa"/>
            <w:vAlign w:val="center"/>
            <w:hideMark/>
          </w:tcPr>
          <w:p w14:paraId="2D645A05" w14:textId="3E53BBF6" w:rsidR="004F7458" w:rsidRPr="00281E30" w:rsidRDefault="004F7458" w:rsidP="004F7458">
            <w:pPr>
              <w:jc w:val="center"/>
              <w:rPr>
                <w:rFonts w:cs="Arial"/>
                <w:bCs/>
                <w:color w:val="000000"/>
                <w:sz w:val="20"/>
                <w:szCs w:val="20"/>
                <w:lang w:val="fr-FR" w:eastAsia="ja-JP"/>
              </w:rPr>
            </w:pPr>
            <w:r w:rsidRPr="00281E30">
              <w:rPr>
                <w:rFonts w:cs="Arial"/>
                <w:bCs/>
                <w:color w:val="000000"/>
                <w:sz w:val="20"/>
                <w:szCs w:val="20"/>
                <w:lang w:val="fr-FR" w:eastAsia="ja-JP"/>
              </w:rPr>
              <w:t>OUI</w:t>
            </w:r>
          </w:p>
        </w:tc>
      </w:tr>
      <w:tr w:rsidR="004F7458" w:rsidRPr="0007414F" w14:paraId="09EC8072" w14:textId="77777777" w:rsidTr="004F7458">
        <w:trPr>
          <w:trHeight w:val="276"/>
        </w:trPr>
        <w:tc>
          <w:tcPr>
            <w:tcW w:w="2268" w:type="dxa"/>
            <w:vAlign w:val="center"/>
            <w:hideMark/>
          </w:tcPr>
          <w:p w14:paraId="5F4028A4" w14:textId="77777777" w:rsidR="004F7458" w:rsidRPr="00281E30" w:rsidRDefault="004F7458" w:rsidP="004F7458">
            <w:pPr>
              <w:jc w:val="center"/>
              <w:rPr>
                <w:rFonts w:cs="Arial"/>
                <w:color w:val="000000"/>
                <w:sz w:val="20"/>
                <w:szCs w:val="20"/>
                <w:lang w:val="fr-FR" w:eastAsia="ja-JP"/>
              </w:rPr>
            </w:pPr>
            <w:r w:rsidRPr="00281E30">
              <w:rPr>
                <w:rFonts w:cs="Arial"/>
                <w:color w:val="000000"/>
                <w:sz w:val="20"/>
                <w:szCs w:val="20"/>
                <w:lang w:val="fr-FR" w:eastAsia="ja-JP"/>
              </w:rPr>
              <w:t>Ukraine</w:t>
            </w:r>
          </w:p>
        </w:tc>
        <w:tc>
          <w:tcPr>
            <w:tcW w:w="2552" w:type="dxa"/>
            <w:vAlign w:val="center"/>
            <w:hideMark/>
          </w:tcPr>
          <w:p w14:paraId="3B6417A9" w14:textId="045F312F" w:rsidR="004F7458" w:rsidRPr="00281E30" w:rsidRDefault="004F7458" w:rsidP="004F7458">
            <w:pPr>
              <w:jc w:val="center"/>
              <w:rPr>
                <w:rFonts w:cs="Arial"/>
                <w:bCs/>
                <w:color w:val="000000"/>
                <w:sz w:val="20"/>
                <w:szCs w:val="20"/>
                <w:lang w:val="fr-FR" w:eastAsia="ja-JP"/>
              </w:rPr>
            </w:pPr>
            <w:r w:rsidRPr="00281E30">
              <w:rPr>
                <w:rFonts w:cs="Arial"/>
                <w:bCs/>
                <w:color w:val="000000"/>
                <w:sz w:val="20"/>
                <w:szCs w:val="20"/>
                <w:lang w:val="fr-FR" w:eastAsia="ja-JP"/>
              </w:rPr>
              <w:t>OUI</w:t>
            </w:r>
          </w:p>
        </w:tc>
      </w:tr>
      <w:tr w:rsidR="004F7458" w:rsidRPr="0007414F" w14:paraId="37806D3A" w14:textId="77777777" w:rsidTr="004F7458">
        <w:trPr>
          <w:trHeight w:val="284"/>
        </w:trPr>
        <w:tc>
          <w:tcPr>
            <w:tcW w:w="2268" w:type="dxa"/>
            <w:tcBorders>
              <w:bottom w:val="single" w:sz="4" w:space="0" w:color="auto"/>
            </w:tcBorders>
            <w:vAlign w:val="center"/>
          </w:tcPr>
          <w:p w14:paraId="2708B5EB" w14:textId="428A3328" w:rsidR="004F7458" w:rsidRPr="00281E30" w:rsidRDefault="004F7458" w:rsidP="004F7458">
            <w:pPr>
              <w:jc w:val="center"/>
              <w:rPr>
                <w:rFonts w:cs="Arial"/>
                <w:color w:val="000000"/>
                <w:sz w:val="20"/>
                <w:szCs w:val="20"/>
                <w:lang w:val="fr-FR" w:eastAsia="ja-JP"/>
              </w:rPr>
            </w:pPr>
            <w:r w:rsidRPr="00281E30">
              <w:rPr>
                <w:rFonts w:cs="Arial"/>
                <w:color w:val="000000"/>
                <w:sz w:val="20"/>
                <w:szCs w:val="20"/>
                <w:lang w:val="fr-FR" w:eastAsia="ja-JP"/>
              </w:rPr>
              <w:t>Union européenne</w:t>
            </w:r>
          </w:p>
        </w:tc>
        <w:tc>
          <w:tcPr>
            <w:tcW w:w="2552" w:type="dxa"/>
            <w:tcBorders>
              <w:bottom w:val="single" w:sz="4" w:space="0" w:color="auto"/>
            </w:tcBorders>
            <w:vAlign w:val="center"/>
          </w:tcPr>
          <w:p w14:paraId="1437B0A5" w14:textId="4AD9661D" w:rsidR="004F7458" w:rsidRPr="00281E30" w:rsidRDefault="004F7458" w:rsidP="004F7458">
            <w:pPr>
              <w:jc w:val="center"/>
              <w:rPr>
                <w:rFonts w:cs="Arial"/>
                <w:bCs/>
                <w:color w:val="000000"/>
                <w:sz w:val="20"/>
                <w:szCs w:val="20"/>
                <w:lang w:val="fr-FR" w:eastAsia="ja-JP"/>
              </w:rPr>
            </w:pPr>
            <w:r w:rsidRPr="00281E30">
              <w:rPr>
                <w:rFonts w:cs="Arial"/>
                <w:bCs/>
                <w:color w:val="000000"/>
                <w:sz w:val="20"/>
                <w:szCs w:val="20"/>
                <w:lang w:val="fr-FR" w:eastAsia="ja-JP"/>
              </w:rPr>
              <w:t>OUI</w:t>
            </w:r>
          </w:p>
        </w:tc>
      </w:tr>
      <w:tr w:rsidR="004F7458" w:rsidRPr="0007414F" w14:paraId="506208EF" w14:textId="77777777" w:rsidTr="004F7458">
        <w:trPr>
          <w:trHeight w:val="288"/>
        </w:trPr>
        <w:tc>
          <w:tcPr>
            <w:tcW w:w="2268" w:type="dxa"/>
            <w:tcBorders>
              <w:bottom w:val="single" w:sz="4" w:space="0" w:color="auto"/>
            </w:tcBorders>
            <w:vAlign w:val="center"/>
            <w:hideMark/>
          </w:tcPr>
          <w:p w14:paraId="64095E10" w14:textId="77777777" w:rsidR="004F7458" w:rsidRPr="0007414F" w:rsidRDefault="004F7458" w:rsidP="004F7458">
            <w:pPr>
              <w:jc w:val="center"/>
              <w:rPr>
                <w:rFonts w:cs="Arial"/>
                <w:color w:val="000000"/>
                <w:sz w:val="20"/>
                <w:szCs w:val="20"/>
                <w:lang w:val="fr-FR" w:eastAsia="ja-JP"/>
              </w:rPr>
            </w:pPr>
            <w:r w:rsidRPr="0007414F">
              <w:rPr>
                <w:rFonts w:cs="Arial"/>
                <w:color w:val="000000"/>
                <w:sz w:val="20"/>
                <w:szCs w:val="20"/>
                <w:lang w:val="fr-FR" w:eastAsia="ja-JP"/>
              </w:rPr>
              <w:t>Zimbabwe</w:t>
            </w:r>
          </w:p>
        </w:tc>
        <w:tc>
          <w:tcPr>
            <w:tcW w:w="2552" w:type="dxa"/>
            <w:tcBorders>
              <w:bottom w:val="single" w:sz="4" w:space="0" w:color="auto"/>
            </w:tcBorders>
            <w:vAlign w:val="center"/>
            <w:hideMark/>
          </w:tcPr>
          <w:p w14:paraId="566A8AF7" w14:textId="7E63B670" w:rsidR="004F7458" w:rsidRPr="0007414F" w:rsidRDefault="004F7458" w:rsidP="004F7458">
            <w:pPr>
              <w:jc w:val="center"/>
              <w:rPr>
                <w:rFonts w:cs="Arial"/>
                <w:bCs/>
                <w:color w:val="000000"/>
                <w:sz w:val="20"/>
                <w:szCs w:val="20"/>
                <w:lang w:val="fr-FR" w:eastAsia="ja-JP"/>
              </w:rPr>
            </w:pPr>
            <w:r w:rsidRPr="0007414F">
              <w:rPr>
                <w:rFonts w:cs="Arial"/>
                <w:bCs/>
                <w:color w:val="000000"/>
                <w:sz w:val="20"/>
                <w:szCs w:val="20"/>
                <w:lang w:val="fr-FR" w:eastAsia="ja-JP"/>
              </w:rPr>
              <w:t>NO</w:t>
            </w:r>
            <w:r>
              <w:rPr>
                <w:rFonts w:cs="Arial"/>
                <w:bCs/>
                <w:color w:val="000000"/>
                <w:sz w:val="20"/>
                <w:szCs w:val="20"/>
                <w:lang w:val="fr-FR" w:eastAsia="ja-JP"/>
              </w:rPr>
              <w:t>N</w:t>
            </w:r>
          </w:p>
        </w:tc>
      </w:tr>
      <w:tr w:rsidR="004F7458" w:rsidRPr="0007414F" w14:paraId="115A72CD" w14:textId="77777777" w:rsidTr="004F7458">
        <w:trPr>
          <w:trHeight w:val="276"/>
        </w:trPr>
        <w:tc>
          <w:tcPr>
            <w:tcW w:w="2268" w:type="dxa"/>
            <w:tcBorders>
              <w:top w:val="single" w:sz="4" w:space="0" w:color="auto"/>
            </w:tcBorders>
            <w:vAlign w:val="center"/>
            <w:hideMark/>
          </w:tcPr>
          <w:p w14:paraId="5BFDA58B" w14:textId="67D54FFE" w:rsidR="004F7458" w:rsidRPr="0007414F" w:rsidRDefault="004F7458" w:rsidP="004F7458">
            <w:pPr>
              <w:jc w:val="center"/>
              <w:rPr>
                <w:rFonts w:cs="Arial"/>
                <w:bCs/>
                <w:color w:val="000000"/>
                <w:sz w:val="20"/>
                <w:szCs w:val="20"/>
                <w:lang w:val="fr-FR" w:eastAsia="ja-JP"/>
              </w:rPr>
            </w:pPr>
            <w:r>
              <w:rPr>
                <w:rFonts w:cs="Arial"/>
                <w:bCs/>
                <w:color w:val="000000"/>
                <w:sz w:val="20"/>
                <w:szCs w:val="20"/>
                <w:lang w:val="fr-FR" w:eastAsia="ja-JP"/>
              </w:rPr>
              <w:t>OUI</w:t>
            </w:r>
          </w:p>
        </w:tc>
        <w:tc>
          <w:tcPr>
            <w:tcW w:w="2552" w:type="dxa"/>
            <w:tcBorders>
              <w:top w:val="single" w:sz="4" w:space="0" w:color="auto"/>
            </w:tcBorders>
            <w:noWrap/>
            <w:vAlign w:val="center"/>
            <w:hideMark/>
          </w:tcPr>
          <w:p w14:paraId="2CC4B4D7" w14:textId="77777777" w:rsidR="004F7458" w:rsidRPr="0007414F" w:rsidRDefault="004F7458" w:rsidP="004F7458">
            <w:pPr>
              <w:jc w:val="center"/>
              <w:rPr>
                <w:rFonts w:cs="Arial"/>
                <w:bCs/>
                <w:color w:val="000000"/>
                <w:sz w:val="20"/>
                <w:szCs w:val="20"/>
                <w:lang w:val="fr-FR" w:eastAsia="ja-JP"/>
              </w:rPr>
            </w:pPr>
            <w:r w:rsidRPr="0007414F">
              <w:rPr>
                <w:rFonts w:cs="Arial"/>
                <w:bCs/>
                <w:color w:val="000000"/>
                <w:sz w:val="20"/>
                <w:szCs w:val="20"/>
                <w:lang w:val="fr-FR" w:eastAsia="ja-JP"/>
              </w:rPr>
              <w:t>20</w:t>
            </w:r>
          </w:p>
        </w:tc>
      </w:tr>
      <w:tr w:rsidR="004F7458" w:rsidRPr="0007414F" w14:paraId="5D0770CF" w14:textId="77777777" w:rsidTr="00BB6C13">
        <w:trPr>
          <w:trHeight w:val="276"/>
        </w:trPr>
        <w:tc>
          <w:tcPr>
            <w:tcW w:w="2268" w:type="dxa"/>
            <w:tcBorders>
              <w:bottom w:val="single" w:sz="4" w:space="0" w:color="auto"/>
            </w:tcBorders>
            <w:vAlign w:val="center"/>
            <w:hideMark/>
          </w:tcPr>
          <w:p w14:paraId="55F2DC04" w14:textId="6A58F1DD" w:rsidR="004F7458" w:rsidRPr="0007414F" w:rsidRDefault="004F7458" w:rsidP="004F7458">
            <w:pPr>
              <w:jc w:val="center"/>
              <w:rPr>
                <w:rFonts w:cs="Arial"/>
                <w:bCs/>
                <w:color w:val="000000"/>
                <w:sz w:val="20"/>
                <w:szCs w:val="20"/>
                <w:lang w:val="fr-FR" w:eastAsia="ja-JP"/>
              </w:rPr>
            </w:pPr>
            <w:r w:rsidRPr="0007414F">
              <w:rPr>
                <w:rFonts w:cs="Arial"/>
                <w:bCs/>
                <w:color w:val="000000"/>
                <w:sz w:val="20"/>
                <w:szCs w:val="20"/>
                <w:lang w:val="fr-FR" w:eastAsia="ja-JP"/>
              </w:rPr>
              <w:t>NO</w:t>
            </w:r>
            <w:r>
              <w:rPr>
                <w:rFonts w:cs="Arial"/>
                <w:bCs/>
                <w:color w:val="000000"/>
                <w:sz w:val="20"/>
                <w:szCs w:val="20"/>
                <w:lang w:val="fr-FR" w:eastAsia="ja-JP"/>
              </w:rPr>
              <w:t>N</w:t>
            </w:r>
          </w:p>
        </w:tc>
        <w:tc>
          <w:tcPr>
            <w:tcW w:w="2552" w:type="dxa"/>
            <w:tcBorders>
              <w:bottom w:val="single" w:sz="4" w:space="0" w:color="auto"/>
            </w:tcBorders>
            <w:noWrap/>
            <w:vAlign w:val="center"/>
            <w:hideMark/>
          </w:tcPr>
          <w:p w14:paraId="60EF7279" w14:textId="77777777" w:rsidR="004F7458" w:rsidRPr="0007414F" w:rsidRDefault="004F7458" w:rsidP="004F7458">
            <w:pPr>
              <w:jc w:val="center"/>
              <w:rPr>
                <w:rFonts w:cs="Arial"/>
                <w:bCs/>
                <w:color w:val="000000"/>
                <w:sz w:val="20"/>
                <w:szCs w:val="20"/>
                <w:lang w:val="fr-FR" w:eastAsia="ja-JP"/>
              </w:rPr>
            </w:pPr>
            <w:r w:rsidRPr="0007414F">
              <w:rPr>
                <w:rFonts w:cs="Arial"/>
                <w:bCs/>
                <w:color w:val="000000"/>
                <w:sz w:val="20"/>
                <w:szCs w:val="20"/>
                <w:lang w:val="fr-FR" w:eastAsia="ja-JP"/>
              </w:rPr>
              <w:t>18</w:t>
            </w:r>
          </w:p>
        </w:tc>
      </w:tr>
      <w:tr w:rsidR="004F7458" w:rsidRPr="0007414F" w14:paraId="27F40C4A" w14:textId="77777777" w:rsidTr="00BB6C13">
        <w:trPr>
          <w:trHeight w:val="276"/>
        </w:trPr>
        <w:tc>
          <w:tcPr>
            <w:tcW w:w="2268" w:type="dxa"/>
            <w:tcBorders>
              <w:bottom w:val="single" w:sz="4" w:space="0" w:color="auto"/>
            </w:tcBorders>
            <w:vAlign w:val="center"/>
          </w:tcPr>
          <w:p w14:paraId="75BA0D67" w14:textId="11EB8529" w:rsidR="004F7458" w:rsidRPr="0007414F" w:rsidRDefault="004F7458" w:rsidP="004F7458">
            <w:pPr>
              <w:jc w:val="center"/>
              <w:rPr>
                <w:rFonts w:cs="Arial"/>
                <w:bCs/>
                <w:color w:val="000000"/>
                <w:lang w:val="fr-FR" w:eastAsia="ja-JP"/>
              </w:rPr>
            </w:pPr>
            <w:r w:rsidRPr="0007414F">
              <w:rPr>
                <w:rFonts w:cs="Arial"/>
                <w:bCs/>
                <w:color w:val="000000"/>
                <w:sz w:val="20"/>
                <w:szCs w:val="20"/>
                <w:lang w:val="fr-FR" w:eastAsia="ja-JP"/>
              </w:rPr>
              <w:t>TOTAL</w:t>
            </w:r>
          </w:p>
        </w:tc>
        <w:tc>
          <w:tcPr>
            <w:tcW w:w="2552" w:type="dxa"/>
            <w:tcBorders>
              <w:bottom w:val="single" w:sz="4" w:space="0" w:color="auto"/>
            </w:tcBorders>
            <w:noWrap/>
            <w:vAlign w:val="center"/>
          </w:tcPr>
          <w:p w14:paraId="7DA116C9" w14:textId="13603CB4" w:rsidR="004F7458" w:rsidRPr="0007414F" w:rsidRDefault="004F7458" w:rsidP="004F7458">
            <w:pPr>
              <w:jc w:val="center"/>
              <w:rPr>
                <w:rFonts w:cs="Arial"/>
                <w:bCs/>
                <w:color w:val="000000"/>
                <w:lang w:val="fr-FR" w:eastAsia="ja-JP"/>
              </w:rPr>
            </w:pPr>
            <w:r w:rsidRPr="0007414F">
              <w:rPr>
                <w:rFonts w:cs="Arial"/>
                <w:bCs/>
                <w:color w:val="000000"/>
                <w:sz w:val="20"/>
                <w:szCs w:val="20"/>
                <w:lang w:val="fr-FR" w:eastAsia="ja-JP"/>
              </w:rPr>
              <w:t>38</w:t>
            </w:r>
          </w:p>
        </w:tc>
      </w:tr>
    </w:tbl>
    <w:p w14:paraId="1B2F34FE" w14:textId="77777777" w:rsidR="00D24D31" w:rsidRPr="0007414F" w:rsidRDefault="00D24D31" w:rsidP="0095407D">
      <w:pPr>
        <w:rPr>
          <w:lang w:val="fr-FR"/>
        </w:rPr>
        <w:sectPr w:rsidR="00D24D31" w:rsidRPr="0007414F" w:rsidSect="00E40619">
          <w:type w:val="continuous"/>
          <w:pgSz w:w="11907" w:h="16840" w:code="9"/>
          <w:pgMar w:top="510" w:right="1134" w:bottom="1134" w:left="1134" w:header="510" w:footer="680" w:gutter="0"/>
          <w:pgNumType w:start="1"/>
          <w:cols w:num="2" w:space="720"/>
          <w:titlePg/>
        </w:sectPr>
      </w:pPr>
    </w:p>
    <w:p w14:paraId="7D10AA38" w14:textId="77777777" w:rsidR="0095407D" w:rsidRPr="0007414F" w:rsidRDefault="0095407D" w:rsidP="0095407D">
      <w:pPr>
        <w:rPr>
          <w:lang w:val="fr-FR"/>
        </w:rPr>
      </w:pPr>
    </w:p>
    <w:p w14:paraId="035F1E28" w14:textId="38712418" w:rsidR="0095407D" w:rsidRPr="0007414F" w:rsidRDefault="0095407D" w:rsidP="0095407D">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2420F2">
        <w:rPr>
          <w:lang w:val="fr-FR"/>
        </w:rPr>
        <w:t>Le</w:t>
      </w:r>
      <w:r w:rsidR="00186CE3">
        <w:rPr>
          <w:lang w:val="fr-FR"/>
        </w:rPr>
        <w:t>s résultats</w:t>
      </w:r>
      <w:r w:rsidRPr="0007414F">
        <w:rPr>
          <w:lang w:val="fr-FR"/>
        </w:rPr>
        <w:t xml:space="preserve"> </w:t>
      </w:r>
      <w:r w:rsidR="008304D5" w:rsidRPr="0007414F">
        <w:rPr>
          <w:lang w:val="fr-FR"/>
        </w:rPr>
        <w:t>d</w:t>
      </w:r>
      <w:r w:rsidR="00186CE3">
        <w:rPr>
          <w:lang w:val="fr-FR"/>
        </w:rPr>
        <w:t>é</w:t>
      </w:r>
      <w:r w:rsidR="008304D5" w:rsidRPr="0007414F">
        <w:rPr>
          <w:lang w:val="fr-FR"/>
        </w:rPr>
        <w:t>tail</w:t>
      </w:r>
      <w:r w:rsidR="00186CE3">
        <w:rPr>
          <w:lang w:val="fr-FR"/>
        </w:rPr>
        <w:t xml:space="preserve">lés de </w:t>
      </w:r>
      <w:r w:rsidR="00517EF9">
        <w:rPr>
          <w:lang w:val="fr-FR"/>
        </w:rPr>
        <w:t>l</w:t>
      </w:r>
      <w:r w:rsidR="00D639EE">
        <w:rPr>
          <w:lang w:val="fr-FR"/>
        </w:rPr>
        <w:t>’</w:t>
      </w:r>
      <w:r w:rsidR="00517EF9">
        <w:rPr>
          <w:lang w:val="fr-FR"/>
        </w:rPr>
        <w:t>enquête</w:t>
      </w:r>
      <w:r w:rsidRPr="0007414F">
        <w:rPr>
          <w:lang w:val="fr-FR"/>
        </w:rPr>
        <w:t xml:space="preserve"> </w:t>
      </w:r>
      <w:r w:rsidR="00186CE3">
        <w:rPr>
          <w:lang w:val="fr-FR"/>
        </w:rPr>
        <w:t>sont présentés e</w:t>
      </w:r>
      <w:r w:rsidRPr="0007414F">
        <w:rPr>
          <w:lang w:val="fr-FR"/>
        </w:rPr>
        <w:t xml:space="preserve">n </w:t>
      </w:r>
      <w:r w:rsidR="00186CE3">
        <w:rPr>
          <w:lang w:val="fr-FR"/>
        </w:rPr>
        <w:t>a</w:t>
      </w:r>
      <w:r w:rsidRPr="0007414F">
        <w:rPr>
          <w:lang w:val="fr-FR"/>
        </w:rPr>
        <w:t>nnex</w:t>
      </w:r>
      <w:r w:rsidR="00186CE3">
        <w:rPr>
          <w:lang w:val="fr-FR"/>
        </w:rPr>
        <w:t>e</w:t>
      </w:r>
      <w:r w:rsidR="008304D5" w:rsidRPr="0007414F">
        <w:rPr>
          <w:lang w:val="fr-FR"/>
        </w:rPr>
        <w:t xml:space="preserve"> </w:t>
      </w:r>
      <w:r w:rsidR="00186CE3">
        <w:rPr>
          <w:lang w:val="fr-FR"/>
        </w:rPr>
        <w:t>au présent</w:t>
      </w:r>
      <w:r w:rsidR="008304D5" w:rsidRPr="0007414F">
        <w:rPr>
          <w:lang w:val="fr-FR"/>
        </w:rPr>
        <w:t xml:space="preserve"> document</w:t>
      </w:r>
      <w:r w:rsidRPr="0007414F">
        <w:rPr>
          <w:lang w:val="fr-FR"/>
        </w:rPr>
        <w:t>.</w:t>
      </w:r>
    </w:p>
    <w:p w14:paraId="7314A916" w14:textId="77777777" w:rsidR="0095407D" w:rsidRPr="0007414F" w:rsidRDefault="0095407D" w:rsidP="0095407D">
      <w:pPr>
        <w:rPr>
          <w:lang w:val="fr-FR"/>
        </w:rPr>
      </w:pPr>
    </w:p>
    <w:p w14:paraId="7AA7B8E9" w14:textId="77777777" w:rsidR="0095407D" w:rsidRPr="0007414F" w:rsidRDefault="0095407D" w:rsidP="00085711">
      <w:pPr>
        <w:rPr>
          <w:rFonts w:eastAsiaTheme="minorEastAsia"/>
          <w:lang w:val="fr-FR"/>
        </w:rPr>
      </w:pPr>
    </w:p>
    <w:p w14:paraId="6E038455" w14:textId="0E3376FE" w:rsidR="00186CE3" w:rsidRPr="00161B14" w:rsidRDefault="00186CE3" w:rsidP="00186CE3">
      <w:pPr>
        <w:pStyle w:val="Heading2"/>
        <w:rPr>
          <w:rFonts w:eastAsiaTheme="minorEastAsia"/>
          <w:lang w:val="fr-FR"/>
        </w:rPr>
      </w:pPr>
      <w:bookmarkStart w:id="16" w:name="_Toc75268842"/>
      <w:bookmarkStart w:id="17" w:name="_Toc116986215"/>
      <w:bookmarkStart w:id="18" w:name="_Toc22569703"/>
      <w:bookmarkEnd w:id="11"/>
      <w:bookmarkEnd w:id="12"/>
      <w:bookmarkEnd w:id="13"/>
      <w:bookmarkEnd w:id="14"/>
      <w:bookmarkEnd w:id="15"/>
      <w:r w:rsidRPr="00161B14">
        <w:rPr>
          <w:rFonts w:eastAsiaTheme="minorEastAsia"/>
          <w:lang w:val="fr-FR"/>
        </w:rPr>
        <w:t>Document commun présentant les particularités des systèmes de l</w:t>
      </w:r>
      <w:r w:rsidR="00D639EE">
        <w:rPr>
          <w:rFonts w:eastAsiaTheme="minorEastAsia"/>
          <w:lang w:val="fr-FR"/>
        </w:rPr>
        <w:t>’</w:t>
      </w:r>
      <w:r w:rsidRPr="00161B14">
        <w:rPr>
          <w:rFonts w:eastAsiaTheme="minorEastAsia"/>
          <w:lang w:val="fr-FR"/>
        </w:rPr>
        <w:t>OCDE, de l</w:t>
      </w:r>
      <w:r w:rsidR="00D639EE">
        <w:rPr>
          <w:rFonts w:eastAsiaTheme="minorEastAsia"/>
          <w:lang w:val="fr-FR"/>
        </w:rPr>
        <w:t>’</w:t>
      </w:r>
      <w:r w:rsidRPr="00161B14">
        <w:rPr>
          <w:rFonts w:eastAsiaTheme="minorEastAsia"/>
          <w:lang w:val="fr-FR"/>
        </w:rPr>
        <w:t>UPOV et de l</w:t>
      </w:r>
      <w:r w:rsidR="00D639EE">
        <w:rPr>
          <w:rFonts w:eastAsiaTheme="minorEastAsia"/>
          <w:lang w:val="fr-FR"/>
        </w:rPr>
        <w:t>’</w:t>
      </w:r>
      <w:r w:rsidRPr="00161B14">
        <w:rPr>
          <w:rFonts w:eastAsiaTheme="minorEastAsia"/>
          <w:lang w:val="fr-FR"/>
        </w:rPr>
        <w:t>ISTA</w:t>
      </w:r>
      <w:bookmarkEnd w:id="16"/>
      <w:bookmarkEnd w:id="17"/>
    </w:p>
    <w:p w14:paraId="17F898F5" w14:textId="77777777" w:rsidR="00186CE3" w:rsidRPr="00D639EE" w:rsidRDefault="00186CE3" w:rsidP="00186CE3">
      <w:pPr>
        <w:rPr>
          <w:lang w:val="fr-FR"/>
        </w:rPr>
      </w:pPr>
    </w:p>
    <w:p w14:paraId="3710AE05" w14:textId="77777777" w:rsidR="00186CE3" w:rsidRPr="00161B14" w:rsidRDefault="00186CE3" w:rsidP="00186CE3">
      <w:pPr>
        <w:pStyle w:val="Heading5"/>
        <w:ind w:left="0" w:firstLine="0"/>
        <w:rPr>
          <w:lang w:val="fr-FR"/>
        </w:rPr>
      </w:pPr>
      <w:bookmarkStart w:id="19" w:name="_Toc75268843"/>
      <w:bookmarkStart w:id="20" w:name="_Toc116986216"/>
      <w:r w:rsidRPr="00161B14">
        <w:rPr>
          <w:lang w:val="fr-FR"/>
        </w:rPr>
        <w:t>Rappel</w:t>
      </w:r>
      <w:bookmarkEnd w:id="19"/>
      <w:bookmarkEnd w:id="20"/>
    </w:p>
    <w:p w14:paraId="525CBA1D" w14:textId="78D066C5" w:rsidR="0095407D" w:rsidRPr="0007414F" w:rsidRDefault="0095407D" w:rsidP="006E7E88">
      <w:pPr>
        <w:rPr>
          <w:lang w:val="fr-FR"/>
        </w:rPr>
      </w:pPr>
    </w:p>
    <w:p w14:paraId="64706256" w14:textId="2FFDADDF" w:rsidR="0095407D" w:rsidRPr="0007414F" w:rsidRDefault="0095407D" w:rsidP="0095407D">
      <w:pPr>
        <w:keepNext/>
        <w:rPr>
          <w:rFonts w:eastAsiaTheme="minorEastAsia"/>
          <w:iCs/>
          <w:lang w:val="fr-FR"/>
        </w:rPr>
      </w:pPr>
      <w:r w:rsidRPr="0007414F">
        <w:rPr>
          <w:rFonts w:eastAsiaTheme="minorEastAsia"/>
          <w:lang w:val="fr-FR"/>
        </w:rPr>
        <w:fldChar w:fldCharType="begin"/>
      </w:r>
      <w:r w:rsidRPr="0007414F">
        <w:rPr>
          <w:rFonts w:eastAsiaTheme="minorEastAsia"/>
          <w:lang w:val="fr-FR"/>
        </w:rPr>
        <w:instrText xml:space="preserve"> AUTONUM  </w:instrText>
      </w:r>
      <w:r w:rsidRPr="0007414F">
        <w:rPr>
          <w:rFonts w:eastAsiaTheme="minorEastAsia"/>
          <w:lang w:val="fr-FR"/>
        </w:rPr>
        <w:fldChar w:fldCharType="end"/>
      </w:r>
      <w:r w:rsidRPr="0007414F">
        <w:rPr>
          <w:rFonts w:eastAsiaTheme="minorEastAsia"/>
          <w:lang w:val="fr-FR"/>
        </w:rPr>
        <w:tab/>
      </w:r>
      <w:r w:rsidR="00186CE3" w:rsidRPr="00186CE3">
        <w:rPr>
          <w:rFonts w:eastAsiaTheme="minorEastAsia"/>
          <w:lang w:val="fr-FR"/>
        </w:rPr>
        <w:t>À sa cinquante</w:t>
      </w:r>
      <w:r w:rsidR="006E7E88">
        <w:rPr>
          <w:rFonts w:eastAsiaTheme="minorEastAsia"/>
          <w:lang w:val="fr-FR"/>
        </w:rPr>
        <w:noBreakHyphen/>
      </w:r>
      <w:r w:rsidR="00186CE3" w:rsidRPr="00186CE3">
        <w:rPr>
          <w:rFonts w:eastAsiaTheme="minorEastAsia"/>
          <w:lang w:val="fr-FR"/>
        </w:rPr>
        <w:t>cinqu</w:t>
      </w:r>
      <w:r w:rsidR="00D639EE">
        <w:rPr>
          <w:rFonts w:eastAsiaTheme="minorEastAsia"/>
          <w:lang w:val="fr-FR"/>
        </w:rPr>
        <w:t>ième session</w:t>
      </w:r>
      <w:r w:rsidR="00186CE3" w:rsidRPr="00186CE3">
        <w:rPr>
          <w:rFonts w:eastAsiaTheme="minorEastAsia"/>
          <w:lang w:val="fr-FR"/>
        </w:rPr>
        <w:t>, le</w:t>
      </w:r>
      <w:r w:rsidR="00D639EE">
        <w:rPr>
          <w:rFonts w:eastAsiaTheme="minorEastAsia"/>
          <w:lang w:val="fr-FR"/>
        </w:rPr>
        <w:t> TC</w:t>
      </w:r>
      <w:r w:rsidR="00186CE3" w:rsidRPr="00186CE3">
        <w:rPr>
          <w:rFonts w:eastAsiaTheme="minorEastAsia"/>
          <w:lang w:val="fr-FR"/>
        </w:rPr>
        <w:t xml:space="preserve"> est convenu avec</w:t>
      </w:r>
      <w:r w:rsidR="00D639EE" w:rsidRPr="00186CE3">
        <w:rPr>
          <w:rFonts w:eastAsiaTheme="minorEastAsia"/>
          <w:lang w:val="fr-FR"/>
        </w:rPr>
        <w:t xml:space="preserve"> le</w:t>
      </w:r>
      <w:r w:rsidR="00D639EE">
        <w:rPr>
          <w:rFonts w:eastAsiaTheme="minorEastAsia"/>
          <w:lang w:val="fr-FR"/>
        </w:rPr>
        <w:t> </w:t>
      </w:r>
      <w:r w:rsidR="00D639EE" w:rsidRPr="00186CE3">
        <w:rPr>
          <w:rFonts w:eastAsiaTheme="minorEastAsia"/>
          <w:lang w:val="fr-FR"/>
        </w:rPr>
        <w:t>BMT</w:t>
      </w:r>
      <w:r w:rsidR="00186CE3">
        <w:rPr>
          <w:rFonts w:eastAsiaTheme="minorEastAsia"/>
          <w:lang w:val="fr-FR"/>
        </w:rPr>
        <w:t>,</w:t>
      </w:r>
      <w:r w:rsidR="00186CE3" w:rsidRPr="00186CE3">
        <w:rPr>
          <w:rFonts w:eastAsiaTheme="minorEastAsia"/>
          <w:lang w:val="fr-FR"/>
        </w:rPr>
        <w:t xml:space="preserve"> à sa dix</w:t>
      </w:r>
      <w:r w:rsidR="006E7E88">
        <w:rPr>
          <w:rFonts w:eastAsiaTheme="minorEastAsia"/>
          <w:lang w:val="fr-FR"/>
        </w:rPr>
        <w:noBreakHyphen/>
      </w:r>
      <w:r w:rsidR="00186CE3" w:rsidRPr="00186CE3">
        <w:rPr>
          <w:rFonts w:eastAsiaTheme="minorEastAsia"/>
          <w:lang w:val="fr-FR"/>
        </w:rPr>
        <w:t>huit</w:t>
      </w:r>
      <w:r w:rsidR="00D639EE">
        <w:rPr>
          <w:rFonts w:eastAsiaTheme="minorEastAsia"/>
          <w:lang w:val="fr-FR"/>
        </w:rPr>
        <w:t>ième session</w:t>
      </w:r>
      <w:r w:rsidR="00186CE3">
        <w:rPr>
          <w:rFonts w:eastAsiaTheme="minorEastAsia"/>
          <w:lang w:val="fr-FR"/>
        </w:rPr>
        <w:t>,</w:t>
      </w:r>
      <w:r w:rsidR="00186CE3" w:rsidRPr="00186CE3">
        <w:rPr>
          <w:rFonts w:eastAsiaTheme="minorEastAsia"/>
          <w:lang w:val="fr-FR"/>
        </w:rPr>
        <w:t xml:space="preserve"> que les éléments pertinents tirés du Partenariat mondial sur les semences</w:t>
      </w:r>
      <w:r w:rsidR="002E39C8">
        <w:rPr>
          <w:rFonts w:eastAsiaTheme="minorEastAsia"/>
          <w:lang w:val="fr-FR"/>
        </w:rPr>
        <w:t>,</w:t>
      </w:r>
      <w:r w:rsidRPr="0007414F">
        <w:rPr>
          <w:rFonts w:eastAsiaTheme="minorEastAsia"/>
          <w:lang w:val="fr-FR"/>
        </w:rPr>
        <w:t xml:space="preserve"> </w:t>
      </w:r>
      <w:r w:rsidR="002E39C8">
        <w:rPr>
          <w:rFonts w:eastAsiaTheme="minorEastAsia"/>
          <w:lang w:val="fr-FR"/>
        </w:rPr>
        <w:t>ainsi que le</w:t>
      </w:r>
      <w:r w:rsidR="00186CE3">
        <w:rPr>
          <w:rFonts w:eastAsiaTheme="minorEastAsia"/>
          <w:lang w:val="fr-FR"/>
        </w:rPr>
        <w:t>s questions</w:t>
      </w:r>
      <w:r w:rsidR="006E7E88">
        <w:rPr>
          <w:rFonts w:eastAsiaTheme="minorEastAsia"/>
          <w:lang w:val="fr-FR"/>
        </w:rPr>
        <w:noBreakHyphen/>
      </w:r>
      <w:r w:rsidR="00186CE3">
        <w:rPr>
          <w:rFonts w:eastAsiaTheme="minorEastAsia"/>
          <w:lang w:val="fr-FR"/>
        </w:rPr>
        <w:t>réponses sur l</w:t>
      </w:r>
      <w:r w:rsidR="00D639EE">
        <w:rPr>
          <w:rFonts w:eastAsiaTheme="minorEastAsia"/>
          <w:lang w:val="fr-FR"/>
        </w:rPr>
        <w:t>’</w:t>
      </w:r>
      <w:r w:rsidR="00186CE3">
        <w:rPr>
          <w:rFonts w:eastAsiaTheme="minorEastAsia"/>
          <w:lang w:val="fr-FR"/>
        </w:rPr>
        <w:t>utilisation des</w:t>
      </w:r>
      <w:r w:rsidRPr="0007414F">
        <w:rPr>
          <w:rFonts w:eastAsiaTheme="minorEastAsia"/>
          <w:lang w:val="fr-FR"/>
        </w:rPr>
        <w:t xml:space="preserve"> </w:t>
      </w:r>
      <w:r w:rsidR="00583353">
        <w:rPr>
          <w:rFonts w:eastAsiaTheme="minorEastAsia"/>
          <w:lang w:val="fr-FR"/>
        </w:rPr>
        <w:t>techniques moléculaires</w:t>
      </w:r>
      <w:r w:rsidRPr="0007414F">
        <w:rPr>
          <w:rFonts w:eastAsiaTheme="minorEastAsia"/>
          <w:lang w:val="fr-FR"/>
        </w:rPr>
        <w:t xml:space="preserve"> </w:t>
      </w:r>
      <w:r w:rsidR="00186CE3">
        <w:rPr>
          <w:rFonts w:eastAsiaTheme="minorEastAsia"/>
          <w:lang w:val="fr-FR"/>
        </w:rPr>
        <w:t>dans le cadre de l</w:t>
      </w:r>
      <w:r w:rsidR="00D639EE">
        <w:rPr>
          <w:rFonts w:eastAsiaTheme="minorEastAsia"/>
          <w:lang w:val="fr-FR"/>
        </w:rPr>
        <w:t>’</w:t>
      </w:r>
      <w:r w:rsidR="00186CE3">
        <w:rPr>
          <w:rFonts w:eastAsiaTheme="minorEastAsia"/>
          <w:lang w:val="fr-FR"/>
        </w:rPr>
        <w:t>examen</w:t>
      </w:r>
      <w:r w:rsidR="001B53D1">
        <w:rPr>
          <w:rFonts w:eastAsiaTheme="minorEastAsia"/>
          <w:lang w:val="fr-FR"/>
        </w:rPr>
        <w:t> </w:t>
      </w:r>
      <w:r w:rsidR="00186CE3">
        <w:rPr>
          <w:rFonts w:eastAsiaTheme="minorEastAsia"/>
          <w:lang w:val="fr-FR"/>
        </w:rPr>
        <w:t>DHS</w:t>
      </w:r>
      <w:r w:rsidRPr="0007414F">
        <w:rPr>
          <w:rFonts w:eastAsiaTheme="minorEastAsia"/>
          <w:lang w:val="fr-FR"/>
        </w:rPr>
        <w:t xml:space="preserve">, </w:t>
      </w:r>
      <w:r w:rsidR="002E39C8" w:rsidRPr="002E39C8">
        <w:rPr>
          <w:rFonts w:eastAsiaTheme="minorEastAsia"/>
          <w:lang w:val="fr-FR"/>
        </w:rPr>
        <w:t>constituaient une base appropriée à partir de laquelle le Bureau international pourrait, en concertation avec l</w:t>
      </w:r>
      <w:r w:rsidR="00D639EE">
        <w:rPr>
          <w:rFonts w:eastAsiaTheme="minorEastAsia"/>
          <w:lang w:val="fr-FR"/>
        </w:rPr>
        <w:t>’</w:t>
      </w:r>
      <w:r w:rsidR="002E39C8" w:rsidRPr="002E39C8">
        <w:rPr>
          <w:rFonts w:eastAsiaTheme="minorEastAsia"/>
          <w:lang w:val="fr-FR"/>
        </w:rPr>
        <w:t>OCDE, élaborer un projet de document commun présentant les particularités des systèmes de l</w:t>
      </w:r>
      <w:r w:rsidR="00D639EE">
        <w:rPr>
          <w:rFonts w:eastAsiaTheme="minorEastAsia"/>
          <w:lang w:val="fr-FR"/>
        </w:rPr>
        <w:t>’</w:t>
      </w:r>
      <w:r w:rsidR="002E39C8" w:rsidRPr="002E39C8">
        <w:rPr>
          <w:rFonts w:eastAsiaTheme="minorEastAsia"/>
          <w:lang w:val="fr-FR"/>
        </w:rPr>
        <w:t>OCDE, de l</w:t>
      </w:r>
      <w:r w:rsidR="00D639EE">
        <w:rPr>
          <w:rFonts w:eastAsiaTheme="minorEastAsia"/>
          <w:lang w:val="fr-FR"/>
        </w:rPr>
        <w:t>’</w:t>
      </w:r>
      <w:r w:rsidR="002E39C8" w:rsidRPr="002E39C8">
        <w:rPr>
          <w:rFonts w:eastAsiaTheme="minorEastAsia"/>
          <w:lang w:val="fr-FR"/>
        </w:rPr>
        <w:t>UPOV et de l</w:t>
      </w:r>
      <w:r w:rsidR="00D639EE">
        <w:rPr>
          <w:rFonts w:eastAsiaTheme="minorEastAsia"/>
          <w:lang w:val="fr-FR"/>
        </w:rPr>
        <w:t>’</w:t>
      </w:r>
      <w:r w:rsidR="002E39C8" w:rsidRPr="002E39C8">
        <w:rPr>
          <w:rFonts w:eastAsiaTheme="minorEastAsia"/>
          <w:lang w:val="fr-FR"/>
        </w:rPr>
        <w:t xml:space="preserve">ISTA (voir le </w:t>
      </w:r>
      <w:r w:rsidR="00D639EE" w:rsidRPr="002E39C8">
        <w:rPr>
          <w:rFonts w:eastAsiaTheme="minorEastAsia"/>
          <w:lang w:val="fr-FR"/>
        </w:rPr>
        <w:t>paragraphe</w:t>
      </w:r>
      <w:r w:rsidR="00D639EE">
        <w:rPr>
          <w:rFonts w:eastAsiaTheme="minorEastAsia"/>
          <w:lang w:val="fr-FR"/>
        </w:rPr>
        <w:t> </w:t>
      </w:r>
      <w:r w:rsidR="00D639EE" w:rsidRPr="002E39C8">
        <w:rPr>
          <w:rFonts w:eastAsiaTheme="minorEastAsia"/>
          <w:lang w:val="fr-FR"/>
        </w:rPr>
        <w:t>1</w:t>
      </w:r>
      <w:r w:rsidR="002E39C8" w:rsidRPr="002E39C8">
        <w:rPr>
          <w:rFonts w:eastAsiaTheme="minorEastAsia"/>
          <w:lang w:val="fr-FR"/>
        </w:rPr>
        <w:t xml:space="preserve">82 du </w:t>
      </w:r>
      <w:r w:rsidR="00D639EE" w:rsidRPr="002E39C8">
        <w:rPr>
          <w:rFonts w:eastAsiaTheme="minorEastAsia"/>
          <w:lang w:val="fr-FR"/>
        </w:rPr>
        <w:t>document</w:t>
      </w:r>
      <w:r w:rsidR="00D639EE">
        <w:rPr>
          <w:rFonts w:eastAsiaTheme="minorEastAsia"/>
          <w:lang w:val="fr-FR"/>
        </w:rPr>
        <w:t xml:space="preserve"> TC</w:t>
      </w:r>
      <w:r w:rsidR="002E39C8" w:rsidRPr="002E39C8">
        <w:rPr>
          <w:rFonts w:eastAsiaTheme="minorEastAsia"/>
          <w:lang w:val="fr-FR"/>
        </w:rPr>
        <w:t>/55/25 “Compte rendu”).</w:t>
      </w:r>
    </w:p>
    <w:p w14:paraId="46797700" w14:textId="77777777" w:rsidR="003A73AA" w:rsidRPr="0007414F" w:rsidRDefault="003A73AA" w:rsidP="0095407D">
      <w:pPr>
        <w:rPr>
          <w:rFonts w:eastAsiaTheme="minorEastAsia"/>
          <w:lang w:val="fr-FR"/>
        </w:rPr>
      </w:pPr>
    </w:p>
    <w:p w14:paraId="3CD71B35" w14:textId="514CBE81" w:rsidR="0095407D" w:rsidRPr="0007414F" w:rsidRDefault="002E39C8" w:rsidP="00D433CD">
      <w:pPr>
        <w:pStyle w:val="Heading3"/>
        <w:rPr>
          <w:rFonts w:eastAsiaTheme="minorEastAsia"/>
          <w:lang w:val="fr-FR"/>
        </w:rPr>
      </w:pPr>
      <w:r w:rsidRPr="002E39C8">
        <w:rPr>
          <w:rFonts w:eastAsiaTheme="minorEastAsia"/>
          <w:lang w:val="fr-FR"/>
        </w:rPr>
        <w:t>Projet de document</w:t>
      </w:r>
    </w:p>
    <w:p w14:paraId="233BA2C9" w14:textId="77777777" w:rsidR="0095407D" w:rsidRPr="0007414F" w:rsidRDefault="0095407D" w:rsidP="0095407D">
      <w:pPr>
        <w:keepNext/>
        <w:rPr>
          <w:rFonts w:eastAsiaTheme="minorEastAsia"/>
          <w:lang w:val="fr-FR"/>
        </w:rPr>
      </w:pPr>
    </w:p>
    <w:p w14:paraId="41E0CD64" w14:textId="62F44620" w:rsidR="00555295" w:rsidRPr="0007414F" w:rsidRDefault="00555295" w:rsidP="00555295">
      <w:pPr>
        <w:keepNext/>
        <w:keepLines/>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2E39C8" w:rsidRPr="002E39C8">
        <w:rPr>
          <w:lang w:val="fr-FR"/>
        </w:rPr>
        <w:t>À sa cinquante</w:t>
      </w:r>
      <w:r w:rsidR="006E7E88">
        <w:rPr>
          <w:lang w:val="fr-FR"/>
        </w:rPr>
        <w:noBreakHyphen/>
      </w:r>
      <w:r w:rsidR="002E39C8" w:rsidRPr="002E39C8">
        <w:rPr>
          <w:lang w:val="fr-FR"/>
        </w:rPr>
        <w:t>s</w:t>
      </w:r>
      <w:r w:rsidR="002E39C8">
        <w:rPr>
          <w:lang w:val="fr-FR"/>
        </w:rPr>
        <w:t>ept</w:t>
      </w:r>
      <w:r w:rsidR="00D639EE">
        <w:rPr>
          <w:lang w:val="fr-FR"/>
        </w:rPr>
        <w:t>ième session</w:t>
      </w:r>
      <w:r w:rsidR="002E39C8" w:rsidRPr="002E39C8">
        <w:rPr>
          <w:lang w:val="fr-FR"/>
        </w:rPr>
        <w:t>, le</w:t>
      </w:r>
      <w:r w:rsidR="00D639EE">
        <w:rPr>
          <w:lang w:val="fr-FR"/>
        </w:rPr>
        <w:t> TC</w:t>
      </w:r>
      <w:r w:rsidR="002E39C8" w:rsidRPr="002E39C8">
        <w:rPr>
          <w:lang w:val="fr-FR"/>
        </w:rPr>
        <w:t xml:space="preserve"> a pris note de </w:t>
      </w:r>
      <w:r w:rsidR="002E39C8">
        <w:rPr>
          <w:lang w:val="fr-FR"/>
        </w:rPr>
        <w:t>son approb</w:t>
      </w:r>
      <w:r w:rsidR="002E39C8" w:rsidRPr="002E39C8">
        <w:rPr>
          <w:lang w:val="fr-FR"/>
        </w:rPr>
        <w:t xml:space="preserve">ation </w:t>
      </w:r>
      <w:r w:rsidR="002E39C8">
        <w:rPr>
          <w:lang w:val="fr-FR"/>
        </w:rPr>
        <w:t>par correspondance d</w:t>
      </w:r>
      <w:r w:rsidR="002E39C8" w:rsidRPr="002E39C8">
        <w:rPr>
          <w:lang w:val="fr-FR"/>
        </w:rPr>
        <w:t>u document commun présentant les particularités des systèmes de l</w:t>
      </w:r>
      <w:r w:rsidR="00D639EE">
        <w:rPr>
          <w:lang w:val="fr-FR"/>
        </w:rPr>
        <w:t>’</w:t>
      </w:r>
      <w:r w:rsidR="002E39C8" w:rsidRPr="002E39C8">
        <w:rPr>
          <w:lang w:val="fr-FR"/>
        </w:rPr>
        <w:t>OCDE, de l</w:t>
      </w:r>
      <w:r w:rsidR="00D639EE">
        <w:rPr>
          <w:lang w:val="fr-FR"/>
        </w:rPr>
        <w:t>’</w:t>
      </w:r>
      <w:r w:rsidR="002E39C8" w:rsidRPr="002E39C8">
        <w:rPr>
          <w:lang w:val="fr-FR"/>
        </w:rPr>
        <w:t>UPOV et de l</w:t>
      </w:r>
      <w:r w:rsidR="00D639EE">
        <w:rPr>
          <w:lang w:val="fr-FR"/>
        </w:rPr>
        <w:t>’</w:t>
      </w:r>
      <w:r w:rsidR="002E39C8" w:rsidRPr="002E39C8">
        <w:rPr>
          <w:lang w:val="fr-FR"/>
        </w:rPr>
        <w:t>I</w:t>
      </w:r>
      <w:r w:rsidR="001C11A6" w:rsidRPr="002E39C8">
        <w:rPr>
          <w:lang w:val="fr-FR"/>
        </w:rPr>
        <w:t>STA</w:t>
      </w:r>
      <w:r w:rsidR="001C11A6">
        <w:rPr>
          <w:lang w:val="fr-FR"/>
        </w:rPr>
        <w:t>.  Le</w:t>
      </w:r>
      <w:r w:rsidR="00D639EE">
        <w:rPr>
          <w:lang w:val="fr-FR"/>
        </w:rPr>
        <w:t> TC</w:t>
      </w:r>
      <w:r w:rsidR="002E39C8">
        <w:rPr>
          <w:lang w:val="fr-FR"/>
        </w:rPr>
        <w:t xml:space="preserve"> a prié </w:t>
      </w:r>
      <w:r w:rsidR="002E39C8" w:rsidRPr="002E39C8">
        <w:rPr>
          <w:lang w:val="fr-FR"/>
        </w:rPr>
        <w:t>le Bureau de l</w:t>
      </w:r>
      <w:r w:rsidR="00D639EE">
        <w:rPr>
          <w:lang w:val="fr-FR"/>
        </w:rPr>
        <w:t>’</w:t>
      </w:r>
      <w:r w:rsidR="002E39C8" w:rsidRPr="002E39C8">
        <w:rPr>
          <w:lang w:val="fr-FR"/>
        </w:rPr>
        <w:t xml:space="preserve">Union </w:t>
      </w:r>
      <w:r w:rsidR="002E39C8">
        <w:rPr>
          <w:lang w:val="fr-FR"/>
        </w:rPr>
        <w:t>d</w:t>
      </w:r>
      <w:r w:rsidR="00D639EE">
        <w:rPr>
          <w:lang w:val="fr-FR"/>
        </w:rPr>
        <w:t>’</w:t>
      </w:r>
      <w:r w:rsidR="002E39C8">
        <w:rPr>
          <w:lang w:val="fr-FR"/>
        </w:rPr>
        <w:t xml:space="preserve">en informer </w:t>
      </w:r>
      <w:r w:rsidR="002E39C8" w:rsidRPr="002E39C8">
        <w:rPr>
          <w:lang w:val="fr-FR"/>
        </w:rPr>
        <w:t>l</w:t>
      </w:r>
      <w:r w:rsidR="00D639EE">
        <w:rPr>
          <w:lang w:val="fr-FR"/>
        </w:rPr>
        <w:t>’</w:t>
      </w:r>
      <w:r w:rsidR="002E39C8" w:rsidRPr="002E39C8">
        <w:rPr>
          <w:lang w:val="fr-FR"/>
        </w:rPr>
        <w:t xml:space="preserve">OCDE et </w:t>
      </w:r>
      <w:r w:rsidR="002E39C8">
        <w:rPr>
          <w:lang w:val="fr-FR"/>
        </w:rPr>
        <w:t>l</w:t>
      </w:r>
      <w:r w:rsidR="00D639EE">
        <w:rPr>
          <w:lang w:val="fr-FR"/>
        </w:rPr>
        <w:t>’</w:t>
      </w:r>
      <w:r w:rsidR="002E39C8" w:rsidRPr="002E39C8">
        <w:rPr>
          <w:lang w:val="fr-FR"/>
        </w:rPr>
        <w:t xml:space="preserve">ISTA (voir le </w:t>
      </w:r>
      <w:r w:rsidR="00D639EE" w:rsidRPr="002E39C8">
        <w:rPr>
          <w:lang w:val="fr-FR"/>
        </w:rPr>
        <w:t>paragraphe</w:t>
      </w:r>
      <w:r w:rsidR="00D639EE">
        <w:rPr>
          <w:lang w:val="fr-FR"/>
        </w:rPr>
        <w:t> </w:t>
      </w:r>
      <w:r w:rsidR="00D639EE" w:rsidRPr="002E39C8">
        <w:rPr>
          <w:lang w:val="fr-FR"/>
        </w:rPr>
        <w:t>5</w:t>
      </w:r>
      <w:r w:rsidR="002E39C8">
        <w:rPr>
          <w:lang w:val="fr-FR"/>
        </w:rPr>
        <w:t>2</w:t>
      </w:r>
      <w:r w:rsidR="002E39C8" w:rsidRPr="002E39C8">
        <w:rPr>
          <w:lang w:val="fr-FR"/>
        </w:rPr>
        <w:t xml:space="preserve"> du </w:t>
      </w:r>
      <w:r w:rsidR="00D639EE" w:rsidRPr="002E39C8">
        <w:rPr>
          <w:lang w:val="fr-FR"/>
        </w:rPr>
        <w:t>document</w:t>
      </w:r>
      <w:r w:rsidR="00D639EE">
        <w:rPr>
          <w:lang w:val="fr-FR"/>
        </w:rPr>
        <w:t xml:space="preserve"> TC</w:t>
      </w:r>
      <w:r w:rsidR="002E39C8" w:rsidRPr="002E39C8">
        <w:rPr>
          <w:lang w:val="fr-FR"/>
        </w:rPr>
        <w:t>/5</w:t>
      </w:r>
      <w:r w:rsidR="002E39C8">
        <w:rPr>
          <w:lang w:val="fr-FR"/>
        </w:rPr>
        <w:t>7</w:t>
      </w:r>
      <w:r w:rsidR="002E39C8" w:rsidRPr="002E39C8">
        <w:rPr>
          <w:lang w:val="fr-FR"/>
        </w:rPr>
        <w:t>/2</w:t>
      </w:r>
      <w:r w:rsidR="002E39C8">
        <w:rPr>
          <w:lang w:val="fr-FR"/>
        </w:rPr>
        <w:t>5</w:t>
      </w:r>
      <w:r w:rsidR="002E39C8" w:rsidRPr="002E39C8">
        <w:rPr>
          <w:lang w:val="fr-FR"/>
        </w:rPr>
        <w:t xml:space="preserve"> “Compte rendu”).</w:t>
      </w:r>
    </w:p>
    <w:p w14:paraId="68343D08" w14:textId="77777777" w:rsidR="00555295" w:rsidRPr="0007414F" w:rsidRDefault="00555295" w:rsidP="00555295">
      <w:pPr>
        <w:keepNext/>
        <w:keepLines/>
        <w:rPr>
          <w:lang w:val="fr-FR"/>
        </w:rPr>
      </w:pPr>
    </w:p>
    <w:p w14:paraId="37165597" w14:textId="5D4FAB51" w:rsidR="00555295" w:rsidRPr="0007414F" w:rsidRDefault="00555295" w:rsidP="00555295">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2E39C8" w:rsidRPr="002E39C8">
        <w:rPr>
          <w:lang w:val="fr-FR"/>
        </w:rPr>
        <w:t>Le 1</w:t>
      </w:r>
      <w:r w:rsidR="00D639EE" w:rsidRPr="002E39C8">
        <w:rPr>
          <w:lang w:val="fr-FR"/>
        </w:rPr>
        <w:t>3</w:t>
      </w:r>
      <w:r w:rsidR="00D639EE">
        <w:rPr>
          <w:lang w:val="fr-FR"/>
        </w:rPr>
        <w:t> </w:t>
      </w:r>
      <w:r w:rsidR="00D639EE" w:rsidRPr="002E39C8">
        <w:rPr>
          <w:lang w:val="fr-FR"/>
        </w:rPr>
        <w:t>décembre</w:t>
      </w:r>
      <w:r w:rsidR="00D639EE">
        <w:rPr>
          <w:lang w:val="fr-FR"/>
        </w:rPr>
        <w:t> </w:t>
      </w:r>
      <w:r w:rsidR="00D639EE" w:rsidRPr="002E39C8">
        <w:rPr>
          <w:lang w:val="fr-FR"/>
        </w:rPr>
        <w:t>20</w:t>
      </w:r>
      <w:r w:rsidR="002E39C8" w:rsidRPr="002E39C8">
        <w:rPr>
          <w:lang w:val="fr-FR"/>
        </w:rPr>
        <w:t>21, le Bureau de l</w:t>
      </w:r>
      <w:r w:rsidR="00D639EE">
        <w:rPr>
          <w:lang w:val="fr-FR"/>
        </w:rPr>
        <w:t>’</w:t>
      </w:r>
      <w:r w:rsidR="002E39C8" w:rsidRPr="002E39C8">
        <w:rPr>
          <w:lang w:val="fr-FR"/>
        </w:rPr>
        <w:t xml:space="preserve">Union a </w:t>
      </w:r>
      <w:r w:rsidR="002E39C8">
        <w:rPr>
          <w:lang w:val="fr-FR"/>
        </w:rPr>
        <w:t>transmis le projet de document co</w:t>
      </w:r>
      <w:r w:rsidR="008C19D1">
        <w:rPr>
          <w:lang w:val="fr-FR"/>
        </w:rPr>
        <w:t>mmun</w:t>
      </w:r>
      <w:r w:rsidR="002E39C8">
        <w:rPr>
          <w:lang w:val="fr-FR"/>
        </w:rPr>
        <w:t xml:space="preserve"> à </w:t>
      </w:r>
      <w:r w:rsidR="002E39C8" w:rsidRPr="002E39C8">
        <w:rPr>
          <w:lang w:val="fr-FR"/>
        </w:rPr>
        <w:t>l</w:t>
      </w:r>
      <w:r w:rsidR="00D639EE">
        <w:rPr>
          <w:lang w:val="fr-FR"/>
        </w:rPr>
        <w:t>’</w:t>
      </w:r>
      <w:r w:rsidR="002E39C8" w:rsidRPr="002E39C8">
        <w:rPr>
          <w:lang w:val="fr-FR"/>
        </w:rPr>
        <w:t xml:space="preserve">OCDE </w:t>
      </w:r>
      <w:r w:rsidR="002E39C8">
        <w:rPr>
          <w:lang w:val="fr-FR"/>
        </w:rPr>
        <w:t>et à l</w:t>
      </w:r>
      <w:r w:rsidR="00D639EE">
        <w:rPr>
          <w:lang w:val="fr-FR"/>
        </w:rPr>
        <w:t>’</w:t>
      </w:r>
      <w:r w:rsidRPr="0007414F">
        <w:rPr>
          <w:lang w:val="fr-FR"/>
        </w:rPr>
        <w:t>I</w:t>
      </w:r>
      <w:r w:rsidR="001C11A6" w:rsidRPr="0007414F">
        <w:rPr>
          <w:lang w:val="fr-FR"/>
        </w:rPr>
        <w:t>STA</w:t>
      </w:r>
      <w:r w:rsidR="001C11A6">
        <w:rPr>
          <w:lang w:val="fr-FR"/>
        </w:rPr>
        <w:t>.  Le</w:t>
      </w:r>
      <w:r w:rsidR="002E39C8">
        <w:rPr>
          <w:lang w:val="fr-FR"/>
        </w:rPr>
        <w:t>s réponses de l</w:t>
      </w:r>
      <w:r w:rsidR="00D639EE">
        <w:rPr>
          <w:lang w:val="fr-FR"/>
        </w:rPr>
        <w:t>’</w:t>
      </w:r>
      <w:r w:rsidR="002338B5">
        <w:rPr>
          <w:lang w:val="fr-FR"/>
        </w:rPr>
        <w:t>OCDE</w:t>
      </w:r>
      <w:r w:rsidRPr="0007414F">
        <w:rPr>
          <w:lang w:val="fr-FR"/>
        </w:rPr>
        <w:t xml:space="preserve"> </w:t>
      </w:r>
      <w:r w:rsidR="008509CE">
        <w:rPr>
          <w:lang w:val="fr-FR"/>
        </w:rPr>
        <w:t>et</w:t>
      </w:r>
      <w:r w:rsidRPr="0007414F">
        <w:rPr>
          <w:lang w:val="fr-FR"/>
        </w:rPr>
        <w:t xml:space="preserve"> </w:t>
      </w:r>
      <w:r w:rsidR="002E39C8">
        <w:rPr>
          <w:lang w:val="fr-FR"/>
        </w:rPr>
        <w:t>de l</w:t>
      </w:r>
      <w:r w:rsidR="00D639EE">
        <w:rPr>
          <w:lang w:val="fr-FR"/>
        </w:rPr>
        <w:t>’</w:t>
      </w:r>
      <w:r w:rsidRPr="0007414F">
        <w:rPr>
          <w:lang w:val="fr-FR"/>
        </w:rPr>
        <w:t>ISTA</w:t>
      </w:r>
      <w:r w:rsidR="002E39C8">
        <w:rPr>
          <w:lang w:val="fr-FR"/>
        </w:rPr>
        <w:t xml:space="preserve"> seront, le cas échéant, présentées au</w:t>
      </w:r>
      <w:r w:rsidR="00D639EE">
        <w:rPr>
          <w:lang w:val="fr-FR"/>
        </w:rPr>
        <w:t> TC</w:t>
      </w:r>
      <w:r w:rsidRPr="0007414F">
        <w:rPr>
          <w:lang w:val="fr-FR"/>
        </w:rPr>
        <w:t>.</w:t>
      </w:r>
    </w:p>
    <w:bookmarkEnd w:id="18"/>
    <w:p w14:paraId="6EDE5B18" w14:textId="77777777" w:rsidR="005A4AC4" w:rsidRPr="0007414F" w:rsidRDefault="005A4AC4" w:rsidP="005A4AC4">
      <w:pPr>
        <w:rPr>
          <w:rFonts w:eastAsiaTheme="minorEastAsia"/>
          <w:lang w:val="fr-FR"/>
        </w:rPr>
      </w:pPr>
    </w:p>
    <w:p w14:paraId="685209A6" w14:textId="55532D56" w:rsidR="00D639EE" w:rsidRDefault="008C19D1" w:rsidP="005A4AC4">
      <w:pPr>
        <w:pStyle w:val="Heading2"/>
        <w:rPr>
          <w:lang w:val="fr-FR"/>
        </w:rPr>
      </w:pPr>
      <w:bookmarkStart w:id="21" w:name="_Toc14980929"/>
      <w:bookmarkStart w:id="22" w:name="_Toc15059500"/>
      <w:bookmarkStart w:id="23" w:name="_Toc15295345"/>
      <w:bookmarkStart w:id="24" w:name="_Toc22564624"/>
      <w:bookmarkStart w:id="25" w:name="_Toc27663378"/>
      <w:bookmarkStart w:id="26" w:name="_Toc69722878"/>
      <w:bookmarkStart w:id="27" w:name="_Toc84364038"/>
      <w:bookmarkStart w:id="28" w:name="_Toc84415953"/>
      <w:bookmarkStart w:id="29" w:name="_Toc97892770"/>
      <w:bookmarkStart w:id="30" w:name="_Toc115819538"/>
      <w:bookmarkStart w:id="31" w:name="_Toc116986217"/>
      <w:r w:rsidRPr="008C19D1">
        <w:rPr>
          <w:lang w:val="fr-FR"/>
        </w:rPr>
        <w:t>Listes</w:t>
      </w:r>
      <w:r>
        <w:rPr>
          <w:lang w:val="fr-FR"/>
        </w:rPr>
        <w:t xml:space="preserve"> </w:t>
      </w:r>
      <w:r w:rsidRPr="008C19D1">
        <w:rPr>
          <w:lang w:val="fr-FR"/>
        </w:rPr>
        <w:t>d</w:t>
      </w:r>
      <w:r w:rsidR="00D639EE">
        <w:rPr>
          <w:lang w:val="fr-FR"/>
        </w:rPr>
        <w:t>’</w:t>
      </w:r>
      <w:r w:rsidRPr="008C19D1">
        <w:rPr>
          <w:lang w:val="fr-FR"/>
        </w:rPr>
        <w:t>initiatives conjointes possibles avec l</w:t>
      </w:r>
      <w:r w:rsidR="00D639EE">
        <w:rPr>
          <w:lang w:val="fr-FR"/>
        </w:rPr>
        <w:t>’</w:t>
      </w:r>
      <w:r w:rsidRPr="008C19D1">
        <w:rPr>
          <w:lang w:val="fr-FR"/>
        </w:rPr>
        <w:t>OCDE et l</w:t>
      </w:r>
      <w:r w:rsidR="00D639EE">
        <w:rPr>
          <w:lang w:val="fr-FR"/>
        </w:rPr>
        <w:t>’</w:t>
      </w:r>
      <w:r w:rsidRPr="008C19D1">
        <w:rPr>
          <w:lang w:val="fr-FR"/>
        </w:rPr>
        <w:t>ISTA dans le domaine des techniques moléculaires</w:t>
      </w:r>
      <w:bookmarkEnd w:id="21"/>
      <w:bookmarkEnd w:id="22"/>
      <w:bookmarkEnd w:id="23"/>
      <w:bookmarkEnd w:id="24"/>
      <w:bookmarkEnd w:id="25"/>
      <w:bookmarkEnd w:id="26"/>
      <w:bookmarkEnd w:id="27"/>
      <w:bookmarkEnd w:id="28"/>
      <w:bookmarkEnd w:id="29"/>
      <w:bookmarkEnd w:id="30"/>
      <w:bookmarkEnd w:id="31"/>
    </w:p>
    <w:p w14:paraId="7DB7A6A7" w14:textId="13D83410" w:rsidR="005A4AC4" w:rsidRPr="0007414F" w:rsidRDefault="005A4AC4" w:rsidP="005A4AC4">
      <w:pPr>
        <w:keepNext/>
        <w:jc w:val="left"/>
        <w:rPr>
          <w:lang w:val="fr-FR"/>
        </w:rPr>
      </w:pPr>
    </w:p>
    <w:p w14:paraId="09815433" w14:textId="45710CB7" w:rsidR="005A4AC4" w:rsidRPr="0007414F" w:rsidRDefault="005A4AC4" w:rsidP="005A4AC4">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8C19D1" w:rsidRPr="008C19D1">
        <w:rPr>
          <w:lang w:val="fr-FR"/>
        </w:rPr>
        <w:t>À sa cinquante</w:t>
      </w:r>
      <w:r w:rsidR="006E7E88">
        <w:rPr>
          <w:lang w:val="fr-FR"/>
        </w:rPr>
        <w:noBreakHyphen/>
      </w:r>
      <w:r w:rsidR="008C19D1" w:rsidRPr="008C19D1">
        <w:rPr>
          <w:lang w:val="fr-FR"/>
        </w:rPr>
        <w:t>sept</w:t>
      </w:r>
      <w:r w:rsidR="00D639EE">
        <w:rPr>
          <w:lang w:val="fr-FR"/>
        </w:rPr>
        <w:t>ième session</w:t>
      </w:r>
      <w:r w:rsidR="008C19D1" w:rsidRPr="008C19D1">
        <w:rPr>
          <w:lang w:val="fr-FR"/>
        </w:rPr>
        <w:t>, le</w:t>
      </w:r>
      <w:r w:rsidR="00D639EE">
        <w:rPr>
          <w:lang w:val="fr-FR"/>
        </w:rPr>
        <w:t> TC</w:t>
      </w:r>
      <w:r w:rsidR="008C19D1" w:rsidRPr="008C19D1">
        <w:rPr>
          <w:lang w:val="fr-FR"/>
        </w:rPr>
        <w:t xml:space="preserve"> </w:t>
      </w:r>
      <w:r w:rsidR="008C19D1">
        <w:rPr>
          <w:lang w:val="fr-FR"/>
        </w:rPr>
        <w:t>est</w:t>
      </w:r>
      <w:r w:rsidR="008C19D1" w:rsidRPr="008C19D1">
        <w:rPr>
          <w:lang w:val="fr-FR"/>
        </w:rPr>
        <w:t xml:space="preserve"> </w:t>
      </w:r>
      <w:r w:rsidR="008C19D1">
        <w:rPr>
          <w:lang w:val="fr-FR"/>
        </w:rPr>
        <w:t>convenu de pr</w:t>
      </w:r>
      <w:r w:rsidRPr="0007414F">
        <w:rPr>
          <w:lang w:val="fr-FR"/>
        </w:rPr>
        <w:t>opose</w:t>
      </w:r>
      <w:r w:rsidR="008C19D1">
        <w:rPr>
          <w:lang w:val="fr-FR"/>
        </w:rPr>
        <w:t>r</w:t>
      </w:r>
      <w:r w:rsidRPr="0007414F">
        <w:rPr>
          <w:lang w:val="fr-FR"/>
        </w:rPr>
        <w:t xml:space="preserve"> </w:t>
      </w:r>
      <w:r w:rsidR="008509CE">
        <w:rPr>
          <w:lang w:val="fr-FR"/>
        </w:rPr>
        <w:t>le</w:t>
      </w:r>
      <w:r w:rsidR="008C19D1">
        <w:rPr>
          <w:lang w:val="fr-FR"/>
        </w:rPr>
        <w:t>s</w:t>
      </w:r>
      <w:r w:rsidRPr="0007414F">
        <w:rPr>
          <w:lang w:val="fr-FR"/>
        </w:rPr>
        <w:t xml:space="preserve"> </w:t>
      </w:r>
      <w:r w:rsidR="008C19D1" w:rsidRPr="008C19D1">
        <w:rPr>
          <w:lang w:val="fr-FR"/>
        </w:rPr>
        <w:t>éléments ci</w:t>
      </w:r>
      <w:r w:rsidR="006E7E88">
        <w:rPr>
          <w:lang w:val="fr-FR"/>
        </w:rPr>
        <w:noBreakHyphen/>
      </w:r>
      <w:r w:rsidR="008C19D1" w:rsidRPr="008C19D1">
        <w:rPr>
          <w:lang w:val="fr-FR"/>
        </w:rPr>
        <w:t>après</w:t>
      </w:r>
      <w:r w:rsidRPr="0007414F">
        <w:rPr>
          <w:lang w:val="fr-FR"/>
        </w:rPr>
        <w:t xml:space="preserve"> </w:t>
      </w:r>
      <w:r w:rsidR="008C19D1">
        <w:rPr>
          <w:lang w:val="fr-FR"/>
        </w:rPr>
        <w:t>à l</w:t>
      </w:r>
      <w:r w:rsidR="00D639EE">
        <w:rPr>
          <w:lang w:val="fr-FR"/>
        </w:rPr>
        <w:t>’</w:t>
      </w:r>
      <w:r w:rsidR="008C19D1">
        <w:rPr>
          <w:lang w:val="fr-FR"/>
        </w:rPr>
        <w:t>intention d</w:t>
      </w:r>
      <w:r w:rsidR="00D639EE">
        <w:rPr>
          <w:lang w:val="fr-FR"/>
        </w:rPr>
        <w:t>’</w:t>
      </w:r>
      <w:r w:rsidR="008C19D1">
        <w:rPr>
          <w:lang w:val="fr-FR"/>
        </w:rPr>
        <w:t>un futur atelier conjoint</w:t>
      </w:r>
      <w:r w:rsidRPr="0007414F">
        <w:rPr>
          <w:lang w:val="fr-FR"/>
        </w:rPr>
        <w:t xml:space="preserve"> UPOV/</w:t>
      </w:r>
      <w:r w:rsidR="002338B5">
        <w:rPr>
          <w:lang w:val="fr-FR"/>
        </w:rPr>
        <w:t>OCDE</w:t>
      </w:r>
      <w:r w:rsidRPr="0007414F">
        <w:rPr>
          <w:lang w:val="fr-FR"/>
        </w:rPr>
        <w:t>/ISTA</w:t>
      </w:r>
      <w:r w:rsidR="00D639EE">
        <w:rPr>
          <w:lang w:val="fr-FR"/>
        </w:rPr>
        <w:t> :</w:t>
      </w:r>
    </w:p>
    <w:p w14:paraId="4187E1FF" w14:textId="77777777" w:rsidR="005A4AC4" w:rsidRPr="0007414F" w:rsidRDefault="005A4AC4" w:rsidP="005A4AC4">
      <w:pPr>
        <w:rPr>
          <w:lang w:val="fr-FR"/>
        </w:rPr>
      </w:pPr>
    </w:p>
    <w:p w14:paraId="14F5D9B1" w14:textId="7ABE60CA" w:rsidR="005A4AC4" w:rsidRPr="0007414F" w:rsidRDefault="005A4AC4" w:rsidP="00B060F1">
      <w:pPr>
        <w:ind w:left="567"/>
        <w:rPr>
          <w:lang w:val="fr-FR"/>
        </w:rPr>
      </w:pPr>
      <w:r w:rsidRPr="0007414F">
        <w:rPr>
          <w:lang w:val="fr-FR"/>
        </w:rPr>
        <w:t>i)</w:t>
      </w:r>
      <w:r w:rsidRPr="0007414F">
        <w:rPr>
          <w:lang w:val="fr-FR"/>
        </w:rPr>
        <w:tab/>
      </w:r>
      <w:r w:rsidR="008C19D1">
        <w:rPr>
          <w:lang w:val="fr-FR"/>
        </w:rPr>
        <w:t>communication d</w:t>
      </w:r>
      <w:r w:rsidR="00D639EE">
        <w:rPr>
          <w:lang w:val="fr-FR"/>
        </w:rPr>
        <w:t>’</w:t>
      </w:r>
      <w:r w:rsidRPr="0007414F">
        <w:rPr>
          <w:lang w:val="fr-FR"/>
        </w:rPr>
        <w:t>information</w:t>
      </w:r>
      <w:r w:rsidR="008C19D1">
        <w:rPr>
          <w:lang w:val="fr-FR"/>
        </w:rPr>
        <w:t>s</w:t>
      </w:r>
      <w:r w:rsidRPr="0007414F">
        <w:rPr>
          <w:lang w:val="fr-FR"/>
        </w:rPr>
        <w:t xml:space="preserve"> </w:t>
      </w:r>
      <w:r w:rsidR="008C19D1">
        <w:rPr>
          <w:lang w:val="fr-FR"/>
        </w:rPr>
        <w:t xml:space="preserve">sur </w:t>
      </w:r>
      <w:r w:rsidR="00186CE3">
        <w:rPr>
          <w:lang w:val="fr-FR"/>
        </w:rPr>
        <w:t>l</w:t>
      </w:r>
      <w:r w:rsidR="00D639EE">
        <w:rPr>
          <w:lang w:val="fr-FR"/>
        </w:rPr>
        <w:t>’</w:t>
      </w:r>
      <w:r w:rsidR="00186CE3">
        <w:rPr>
          <w:lang w:val="fr-FR"/>
        </w:rPr>
        <w:t>utilisation des</w:t>
      </w:r>
      <w:r w:rsidRPr="0007414F">
        <w:rPr>
          <w:lang w:val="fr-FR"/>
        </w:rPr>
        <w:t xml:space="preserve"> </w:t>
      </w:r>
      <w:r w:rsidR="00583353">
        <w:rPr>
          <w:lang w:val="fr-FR"/>
        </w:rPr>
        <w:t>techniques moléculaires</w:t>
      </w:r>
      <w:r w:rsidRPr="0007414F">
        <w:rPr>
          <w:lang w:val="fr-FR"/>
        </w:rPr>
        <w:t xml:space="preserve"> </w:t>
      </w:r>
      <w:r w:rsidR="008C19D1">
        <w:rPr>
          <w:lang w:val="fr-FR"/>
        </w:rPr>
        <w:t>dans</w:t>
      </w:r>
      <w:r w:rsidRPr="0007414F">
        <w:rPr>
          <w:lang w:val="fr-FR"/>
        </w:rPr>
        <w:t xml:space="preserve"> ch</w:t>
      </w:r>
      <w:r w:rsidR="008C19D1">
        <w:rPr>
          <w:lang w:val="fr-FR"/>
        </w:rPr>
        <w:t>aque</w:t>
      </w:r>
      <w:r w:rsidRPr="0007414F">
        <w:rPr>
          <w:lang w:val="fr-FR"/>
        </w:rPr>
        <w:t xml:space="preserve"> organi</w:t>
      </w:r>
      <w:r w:rsidR="008C19D1">
        <w:rPr>
          <w:lang w:val="fr-FR"/>
        </w:rPr>
        <w:t>s</w:t>
      </w:r>
      <w:r w:rsidRPr="0007414F">
        <w:rPr>
          <w:lang w:val="fr-FR"/>
        </w:rPr>
        <w:t>ation</w:t>
      </w:r>
      <w:r w:rsidR="00D639EE">
        <w:rPr>
          <w:lang w:val="fr-FR"/>
        </w:rPr>
        <w:t>;</w:t>
      </w:r>
    </w:p>
    <w:p w14:paraId="36AD1DEA" w14:textId="18040062" w:rsidR="005A4AC4" w:rsidRPr="0007414F" w:rsidRDefault="005A4AC4" w:rsidP="00B060F1">
      <w:pPr>
        <w:ind w:left="567"/>
        <w:rPr>
          <w:lang w:val="fr-FR"/>
        </w:rPr>
      </w:pPr>
      <w:r w:rsidRPr="0007414F">
        <w:rPr>
          <w:lang w:val="fr-FR"/>
        </w:rPr>
        <w:t>ii)</w:t>
      </w:r>
      <w:r w:rsidRPr="0007414F">
        <w:rPr>
          <w:lang w:val="fr-FR"/>
        </w:rPr>
        <w:tab/>
        <w:t>proc</w:t>
      </w:r>
      <w:r w:rsidR="008C19D1">
        <w:rPr>
          <w:lang w:val="fr-FR"/>
        </w:rPr>
        <w:t>é</w:t>
      </w:r>
      <w:r w:rsidRPr="0007414F">
        <w:rPr>
          <w:lang w:val="fr-FR"/>
        </w:rPr>
        <w:t xml:space="preserve">dure </w:t>
      </w:r>
      <w:r w:rsidR="008C19D1">
        <w:rPr>
          <w:lang w:val="fr-FR"/>
        </w:rPr>
        <w:t>d</w:t>
      </w:r>
      <w:r w:rsidR="00D639EE">
        <w:rPr>
          <w:lang w:val="fr-FR"/>
        </w:rPr>
        <w:t>’</w:t>
      </w:r>
      <w:r w:rsidR="008C19D1">
        <w:rPr>
          <w:lang w:val="fr-FR"/>
        </w:rPr>
        <w:t xml:space="preserve">approbation des méthodes </w:t>
      </w:r>
      <w:r w:rsidRPr="0007414F">
        <w:rPr>
          <w:lang w:val="fr-FR"/>
        </w:rPr>
        <w:t>bioch</w:t>
      </w:r>
      <w:r w:rsidR="008C19D1">
        <w:rPr>
          <w:lang w:val="fr-FR"/>
        </w:rPr>
        <w:t>i</w:t>
      </w:r>
      <w:r w:rsidRPr="0007414F">
        <w:rPr>
          <w:lang w:val="fr-FR"/>
        </w:rPr>
        <w:t>mi</w:t>
      </w:r>
      <w:r w:rsidR="008C19D1">
        <w:rPr>
          <w:lang w:val="fr-FR"/>
        </w:rPr>
        <w:t xml:space="preserve">ques </w:t>
      </w:r>
      <w:r w:rsidR="008509CE">
        <w:rPr>
          <w:lang w:val="fr-FR"/>
        </w:rPr>
        <w:t>et</w:t>
      </w:r>
      <w:r w:rsidRPr="0007414F">
        <w:rPr>
          <w:lang w:val="fr-FR"/>
        </w:rPr>
        <w:t xml:space="preserve"> mol</w:t>
      </w:r>
      <w:r w:rsidR="008C19D1">
        <w:rPr>
          <w:lang w:val="fr-FR"/>
        </w:rPr>
        <w:t>é</w:t>
      </w:r>
      <w:r w:rsidRPr="0007414F">
        <w:rPr>
          <w:lang w:val="fr-FR"/>
        </w:rPr>
        <w:t>cula</w:t>
      </w:r>
      <w:r w:rsidR="008C19D1">
        <w:rPr>
          <w:lang w:val="fr-FR"/>
        </w:rPr>
        <w:t>ires dans chaque</w:t>
      </w:r>
      <w:r w:rsidRPr="0007414F">
        <w:rPr>
          <w:lang w:val="fr-FR"/>
        </w:rPr>
        <w:t xml:space="preserve"> </w:t>
      </w:r>
      <w:proofErr w:type="gramStart"/>
      <w:r w:rsidRPr="0007414F">
        <w:rPr>
          <w:lang w:val="fr-FR"/>
        </w:rPr>
        <w:t>organi</w:t>
      </w:r>
      <w:r w:rsidR="008C19D1">
        <w:rPr>
          <w:lang w:val="fr-FR"/>
        </w:rPr>
        <w:t>s</w:t>
      </w:r>
      <w:r w:rsidRPr="0007414F">
        <w:rPr>
          <w:lang w:val="fr-FR"/>
        </w:rPr>
        <w:t>ation</w:t>
      </w:r>
      <w:r w:rsidR="00D639EE">
        <w:rPr>
          <w:lang w:val="fr-FR"/>
        </w:rPr>
        <w:t xml:space="preserve">;  </w:t>
      </w:r>
      <w:r w:rsidR="008509CE">
        <w:rPr>
          <w:lang w:val="fr-FR"/>
        </w:rPr>
        <w:t>et</w:t>
      </w:r>
      <w:proofErr w:type="gramEnd"/>
    </w:p>
    <w:p w14:paraId="45CC4DEF" w14:textId="1EF2B079" w:rsidR="00D639EE" w:rsidRDefault="005A4AC4" w:rsidP="00B060F1">
      <w:pPr>
        <w:ind w:left="567"/>
        <w:rPr>
          <w:lang w:val="fr-FR"/>
        </w:rPr>
      </w:pPr>
      <w:r w:rsidRPr="0007414F">
        <w:rPr>
          <w:lang w:val="fr-FR"/>
        </w:rPr>
        <w:t>iii)</w:t>
      </w:r>
      <w:r w:rsidRPr="0007414F">
        <w:rPr>
          <w:lang w:val="fr-FR"/>
        </w:rPr>
        <w:tab/>
        <w:t>possibilit</w:t>
      </w:r>
      <w:r w:rsidR="008C19D1">
        <w:rPr>
          <w:lang w:val="fr-FR"/>
        </w:rPr>
        <w:t>és d</w:t>
      </w:r>
      <w:r w:rsidR="00D639EE">
        <w:rPr>
          <w:lang w:val="fr-FR"/>
        </w:rPr>
        <w:t>’</w:t>
      </w:r>
      <w:r w:rsidRPr="0007414F">
        <w:rPr>
          <w:lang w:val="fr-FR"/>
        </w:rPr>
        <w:t>harmoni</w:t>
      </w:r>
      <w:r w:rsidR="008C19D1">
        <w:rPr>
          <w:lang w:val="fr-FR"/>
        </w:rPr>
        <w:t>sation des</w:t>
      </w:r>
      <w:r w:rsidRPr="0007414F">
        <w:rPr>
          <w:lang w:val="fr-FR"/>
        </w:rPr>
        <w:t xml:space="preserve"> term</w:t>
      </w:r>
      <w:r w:rsidR="008C19D1">
        <w:rPr>
          <w:lang w:val="fr-FR"/>
        </w:rPr>
        <w:t>e</w:t>
      </w:r>
      <w:r w:rsidRPr="0007414F">
        <w:rPr>
          <w:lang w:val="fr-FR"/>
        </w:rPr>
        <w:t xml:space="preserve">s, </w:t>
      </w:r>
      <w:r w:rsidR="008C19D1">
        <w:rPr>
          <w:lang w:val="fr-FR"/>
        </w:rPr>
        <w:t xml:space="preserve">des </w:t>
      </w:r>
      <w:r w:rsidRPr="0007414F">
        <w:rPr>
          <w:lang w:val="fr-FR"/>
        </w:rPr>
        <w:t>d</w:t>
      </w:r>
      <w:r w:rsidR="008C19D1">
        <w:rPr>
          <w:lang w:val="fr-FR"/>
        </w:rPr>
        <w:t>é</w:t>
      </w:r>
      <w:r w:rsidRPr="0007414F">
        <w:rPr>
          <w:lang w:val="fr-FR"/>
        </w:rPr>
        <w:t xml:space="preserve">finitions </w:t>
      </w:r>
      <w:r w:rsidR="008509CE">
        <w:rPr>
          <w:lang w:val="fr-FR"/>
        </w:rPr>
        <w:t>et</w:t>
      </w:r>
      <w:r w:rsidRPr="0007414F">
        <w:rPr>
          <w:lang w:val="fr-FR"/>
        </w:rPr>
        <w:t xml:space="preserve"> </w:t>
      </w:r>
      <w:r w:rsidR="008C19D1">
        <w:rPr>
          <w:lang w:val="fr-FR"/>
        </w:rPr>
        <w:t xml:space="preserve">des </w:t>
      </w:r>
      <w:r w:rsidRPr="0007414F">
        <w:rPr>
          <w:lang w:val="fr-FR"/>
        </w:rPr>
        <w:t>m</w:t>
      </w:r>
      <w:r w:rsidR="008C19D1">
        <w:rPr>
          <w:lang w:val="fr-FR"/>
        </w:rPr>
        <w:t>é</w:t>
      </w:r>
      <w:r w:rsidRPr="0007414F">
        <w:rPr>
          <w:lang w:val="fr-FR"/>
        </w:rPr>
        <w:t>thod</w:t>
      </w:r>
      <w:r w:rsidR="008C19D1">
        <w:rPr>
          <w:lang w:val="fr-FR"/>
        </w:rPr>
        <w:t>e</w:t>
      </w:r>
      <w:r w:rsidRPr="0007414F">
        <w:rPr>
          <w:lang w:val="fr-FR"/>
        </w:rPr>
        <w:t xml:space="preserve">s </w:t>
      </w:r>
      <w:r w:rsidR="008C19D1">
        <w:rPr>
          <w:lang w:val="fr-FR"/>
        </w:rPr>
        <w:t>entre l</w:t>
      </w:r>
      <w:r w:rsidR="00D639EE">
        <w:rPr>
          <w:lang w:val="fr-FR"/>
        </w:rPr>
        <w:t>’</w:t>
      </w:r>
      <w:r w:rsidRPr="0007414F">
        <w:rPr>
          <w:lang w:val="fr-FR"/>
        </w:rPr>
        <w:t xml:space="preserve">UPOV, </w:t>
      </w:r>
      <w:r w:rsidR="008C19D1">
        <w:rPr>
          <w:lang w:val="fr-FR"/>
        </w:rPr>
        <w:t>l</w:t>
      </w:r>
      <w:r w:rsidR="00D639EE">
        <w:rPr>
          <w:lang w:val="fr-FR"/>
        </w:rPr>
        <w:t>’</w:t>
      </w:r>
      <w:r w:rsidR="002338B5">
        <w:rPr>
          <w:lang w:val="fr-FR"/>
        </w:rPr>
        <w:t>OCDE</w:t>
      </w:r>
      <w:r w:rsidRPr="0007414F">
        <w:rPr>
          <w:lang w:val="fr-FR"/>
        </w:rPr>
        <w:t xml:space="preserve"> </w:t>
      </w:r>
      <w:r w:rsidR="008509CE">
        <w:rPr>
          <w:lang w:val="fr-FR"/>
        </w:rPr>
        <w:t>et</w:t>
      </w:r>
      <w:r w:rsidRPr="0007414F">
        <w:rPr>
          <w:lang w:val="fr-FR"/>
        </w:rPr>
        <w:t xml:space="preserve"> </w:t>
      </w:r>
      <w:r w:rsidR="008C19D1">
        <w:rPr>
          <w:lang w:val="fr-FR"/>
        </w:rPr>
        <w:t>l</w:t>
      </w:r>
      <w:r w:rsidR="00D639EE">
        <w:rPr>
          <w:lang w:val="fr-FR"/>
        </w:rPr>
        <w:t>’</w:t>
      </w:r>
      <w:r w:rsidRPr="0007414F">
        <w:rPr>
          <w:lang w:val="fr-FR"/>
        </w:rPr>
        <w:t>ISTA.</w:t>
      </w:r>
    </w:p>
    <w:p w14:paraId="74A6A008" w14:textId="2E491C38" w:rsidR="005A4AC4" w:rsidRPr="0007414F" w:rsidRDefault="005A4AC4" w:rsidP="005A4AC4">
      <w:pPr>
        <w:jc w:val="left"/>
        <w:rPr>
          <w:lang w:val="fr-FR"/>
        </w:rPr>
      </w:pPr>
    </w:p>
    <w:p w14:paraId="37564672" w14:textId="61421D2F" w:rsidR="005A4AC4" w:rsidRPr="0007414F" w:rsidRDefault="005A4AC4" w:rsidP="005A4AC4">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2420F2">
        <w:rPr>
          <w:lang w:val="fr-FR"/>
        </w:rPr>
        <w:t>Le</w:t>
      </w:r>
      <w:r w:rsidR="00D639EE">
        <w:rPr>
          <w:lang w:val="fr-FR"/>
        </w:rPr>
        <w:t> TC</w:t>
      </w:r>
      <w:r w:rsidR="008C19D1">
        <w:rPr>
          <w:lang w:val="fr-FR"/>
        </w:rPr>
        <w:t xml:space="preserve"> est convenu de prier </w:t>
      </w:r>
      <w:r w:rsidR="008509CE">
        <w:rPr>
          <w:lang w:val="fr-FR"/>
        </w:rPr>
        <w:t>le</w:t>
      </w:r>
      <w:r w:rsidRPr="0007414F">
        <w:rPr>
          <w:lang w:val="fr-FR"/>
        </w:rPr>
        <w:t xml:space="preserve"> </w:t>
      </w:r>
      <w:r w:rsidR="00517EF9">
        <w:rPr>
          <w:lang w:val="fr-FR"/>
        </w:rPr>
        <w:t>Bureau de l</w:t>
      </w:r>
      <w:r w:rsidR="00D639EE">
        <w:rPr>
          <w:lang w:val="fr-FR"/>
        </w:rPr>
        <w:t>’</w:t>
      </w:r>
      <w:r w:rsidR="00517EF9">
        <w:rPr>
          <w:lang w:val="fr-FR"/>
        </w:rPr>
        <w:t>Union</w:t>
      </w:r>
      <w:r w:rsidRPr="0007414F">
        <w:rPr>
          <w:lang w:val="fr-FR"/>
        </w:rPr>
        <w:t xml:space="preserve"> </w:t>
      </w:r>
      <w:r w:rsidR="008C19D1">
        <w:rPr>
          <w:lang w:val="fr-FR"/>
        </w:rPr>
        <w:t>de</w:t>
      </w:r>
      <w:r w:rsidRPr="0007414F">
        <w:rPr>
          <w:lang w:val="fr-FR"/>
        </w:rPr>
        <w:t xml:space="preserve"> contact</w:t>
      </w:r>
      <w:r w:rsidR="008C19D1">
        <w:rPr>
          <w:lang w:val="fr-FR"/>
        </w:rPr>
        <w:t>er</w:t>
      </w:r>
      <w:r w:rsidRPr="0007414F">
        <w:rPr>
          <w:lang w:val="fr-FR"/>
        </w:rPr>
        <w:t xml:space="preserve"> </w:t>
      </w:r>
      <w:r w:rsidR="008C19D1">
        <w:rPr>
          <w:lang w:val="fr-FR"/>
        </w:rPr>
        <w:t>l</w:t>
      </w:r>
      <w:r w:rsidR="00D639EE">
        <w:rPr>
          <w:lang w:val="fr-FR"/>
        </w:rPr>
        <w:t>’</w:t>
      </w:r>
      <w:r w:rsidR="002338B5">
        <w:rPr>
          <w:lang w:val="fr-FR"/>
        </w:rPr>
        <w:t>OCDE</w:t>
      </w:r>
      <w:r w:rsidRPr="0007414F">
        <w:rPr>
          <w:lang w:val="fr-FR"/>
        </w:rPr>
        <w:t xml:space="preserve"> </w:t>
      </w:r>
      <w:r w:rsidR="008509CE">
        <w:rPr>
          <w:lang w:val="fr-FR"/>
        </w:rPr>
        <w:t>et</w:t>
      </w:r>
      <w:r w:rsidRPr="0007414F">
        <w:rPr>
          <w:lang w:val="fr-FR"/>
        </w:rPr>
        <w:t xml:space="preserve"> </w:t>
      </w:r>
      <w:r w:rsidR="008C19D1">
        <w:rPr>
          <w:lang w:val="fr-FR"/>
        </w:rPr>
        <w:t>l</w:t>
      </w:r>
      <w:r w:rsidR="00D639EE">
        <w:rPr>
          <w:lang w:val="fr-FR"/>
        </w:rPr>
        <w:t>’</w:t>
      </w:r>
      <w:r w:rsidRPr="0007414F">
        <w:rPr>
          <w:lang w:val="fr-FR"/>
        </w:rPr>
        <w:t xml:space="preserve">ISTA </w:t>
      </w:r>
      <w:r w:rsidR="008C19D1">
        <w:rPr>
          <w:lang w:val="fr-FR"/>
        </w:rPr>
        <w:t>afin d</w:t>
      </w:r>
      <w:r w:rsidR="00D639EE">
        <w:rPr>
          <w:lang w:val="fr-FR"/>
        </w:rPr>
        <w:t>’</w:t>
      </w:r>
      <w:r w:rsidRPr="0007414F">
        <w:rPr>
          <w:lang w:val="fr-FR"/>
        </w:rPr>
        <w:t>ex</w:t>
      </w:r>
      <w:r w:rsidR="003C34EE">
        <w:rPr>
          <w:lang w:val="fr-FR"/>
        </w:rPr>
        <w:t>amin</w:t>
      </w:r>
      <w:r w:rsidRPr="0007414F">
        <w:rPr>
          <w:lang w:val="fr-FR"/>
        </w:rPr>
        <w:t>e</w:t>
      </w:r>
      <w:r w:rsidR="008C19D1">
        <w:rPr>
          <w:lang w:val="fr-FR"/>
        </w:rPr>
        <w:t>r</w:t>
      </w:r>
      <w:r w:rsidRPr="0007414F">
        <w:rPr>
          <w:lang w:val="fr-FR"/>
        </w:rPr>
        <w:t xml:space="preserve"> </w:t>
      </w:r>
      <w:r w:rsidR="008C19D1">
        <w:rPr>
          <w:lang w:val="fr-FR"/>
        </w:rPr>
        <w:t xml:space="preserve">les dates </w:t>
      </w:r>
      <w:r w:rsidR="003C34EE">
        <w:rPr>
          <w:lang w:val="fr-FR"/>
        </w:rPr>
        <w:t>adéquat</w:t>
      </w:r>
      <w:r w:rsidRPr="0007414F">
        <w:rPr>
          <w:lang w:val="fr-FR"/>
        </w:rPr>
        <w:t xml:space="preserve">es </w:t>
      </w:r>
      <w:r w:rsidR="003C34EE">
        <w:rPr>
          <w:lang w:val="fr-FR"/>
        </w:rPr>
        <w:t>pour la tenue du futur atelier con</w:t>
      </w:r>
      <w:r w:rsidRPr="0007414F">
        <w:rPr>
          <w:lang w:val="fr-FR"/>
        </w:rPr>
        <w:t xml:space="preserve">joint, </w:t>
      </w:r>
      <w:r w:rsidR="003C34EE">
        <w:rPr>
          <w:lang w:val="fr-FR"/>
        </w:rPr>
        <w:t>par exemple e</w:t>
      </w:r>
      <w:r w:rsidRPr="0007414F">
        <w:rPr>
          <w:lang w:val="fr-FR"/>
        </w:rPr>
        <w:t xml:space="preserve">n </w:t>
      </w:r>
      <w:r w:rsidR="003C34EE">
        <w:rPr>
          <w:lang w:val="fr-FR"/>
        </w:rPr>
        <w:t xml:space="preserve">parallèle à la première </w:t>
      </w:r>
      <w:r w:rsidRPr="0007414F">
        <w:rPr>
          <w:lang w:val="fr-FR"/>
        </w:rPr>
        <w:t>session</w:t>
      </w:r>
      <w:r w:rsidR="00D639EE" w:rsidRPr="0007414F">
        <w:rPr>
          <w:lang w:val="fr-FR"/>
        </w:rPr>
        <w:t xml:space="preserve"> </w:t>
      </w:r>
      <w:r w:rsidR="00D639EE">
        <w:rPr>
          <w:lang w:val="fr-FR"/>
        </w:rPr>
        <w:t>du </w:t>
      </w:r>
      <w:r w:rsidR="00D639EE" w:rsidRPr="0007414F">
        <w:rPr>
          <w:lang w:val="fr-FR"/>
        </w:rPr>
        <w:t>TWM</w:t>
      </w:r>
      <w:r w:rsidR="003C34EE">
        <w:rPr>
          <w:lang w:val="fr-FR"/>
        </w:rPr>
        <w:t xml:space="preserve"> qui se tiendra en </w:t>
      </w:r>
      <w:r w:rsidR="00D639EE">
        <w:rPr>
          <w:lang w:val="fr-FR"/>
        </w:rPr>
        <w:t>septembre 2</w:t>
      </w:r>
      <w:r w:rsidR="00D639EE" w:rsidRPr="0007414F">
        <w:rPr>
          <w:lang w:val="fr-FR"/>
        </w:rPr>
        <w:t>0</w:t>
      </w:r>
      <w:r w:rsidRPr="0007414F">
        <w:rPr>
          <w:lang w:val="fr-FR"/>
        </w:rPr>
        <w:t>22.</w:t>
      </w:r>
    </w:p>
    <w:p w14:paraId="03D960DB" w14:textId="77777777" w:rsidR="005A4AC4" w:rsidRPr="0007414F" w:rsidRDefault="005A4AC4" w:rsidP="005A4AC4">
      <w:pPr>
        <w:keepNext/>
        <w:keepLines/>
        <w:rPr>
          <w:lang w:val="fr-FR"/>
        </w:rPr>
      </w:pPr>
    </w:p>
    <w:p w14:paraId="4C17ADFF" w14:textId="6130474E" w:rsidR="00D639EE" w:rsidRDefault="005A4AC4" w:rsidP="005A4AC4">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3C34EE" w:rsidRPr="003C34EE">
        <w:rPr>
          <w:lang w:val="fr-FR"/>
        </w:rPr>
        <w:t>Le 1</w:t>
      </w:r>
      <w:r w:rsidR="00D639EE" w:rsidRPr="003C34EE">
        <w:rPr>
          <w:lang w:val="fr-FR"/>
        </w:rPr>
        <w:t>3</w:t>
      </w:r>
      <w:r w:rsidR="00D639EE">
        <w:rPr>
          <w:lang w:val="fr-FR"/>
        </w:rPr>
        <w:t> </w:t>
      </w:r>
      <w:r w:rsidR="00D639EE" w:rsidRPr="003C34EE">
        <w:rPr>
          <w:lang w:val="fr-FR"/>
        </w:rPr>
        <w:t>décembre</w:t>
      </w:r>
      <w:r w:rsidR="00D639EE">
        <w:rPr>
          <w:lang w:val="fr-FR"/>
        </w:rPr>
        <w:t> </w:t>
      </w:r>
      <w:r w:rsidR="00D639EE" w:rsidRPr="003C34EE">
        <w:rPr>
          <w:lang w:val="fr-FR"/>
        </w:rPr>
        <w:t>20</w:t>
      </w:r>
      <w:r w:rsidR="003C34EE" w:rsidRPr="003C34EE">
        <w:rPr>
          <w:lang w:val="fr-FR"/>
        </w:rPr>
        <w:t>21, le Bureau de l</w:t>
      </w:r>
      <w:r w:rsidR="00D639EE">
        <w:rPr>
          <w:lang w:val="fr-FR"/>
        </w:rPr>
        <w:t>’</w:t>
      </w:r>
      <w:r w:rsidR="003C34EE" w:rsidRPr="003C34EE">
        <w:rPr>
          <w:lang w:val="fr-FR"/>
        </w:rPr>
        <w:t>Union a</w:t>
      </w:r>
      <w:r w:rsidR="003C34EE">
        <w:rPr>
          <w:lang w:val="fr-FR"/>
        </w:rPr>
        <w:t xml:space="preserve"> transmis à l</w:t>
      </w:r>
      <w:r w:rsidR="00D639EE">
        <w:rPr>
          <w:lang w:val="fr-FR"/>
        </w:rPr>
        <w:t>’</w:t>
      </w:r>
      <w:r w:rsidR="002338B5">
        <w:rPr>
          <w:lang w:val="fr-FR"/>
        </w:rPr>
        <w:t>OCDE</w:t>
      </w:r>
      <w:r w:rsidRPr="0007414F">
        <w:rPr>
          <w:lang w:val="fr-FR"/>
        </w:rPr>
        <w:t xml:space="preserve"> </w:t>
      </w:r>
      <w:r w:rsidR="008509CE">
        <w:rPr>
          <w:lang w:val="fr-FR"/>
        </w:rPr>
        <w:t>et</w:t>
      </w:r>
      <w:r w:rsidRPr="0007414F">
        <w:rPr>
          <w:lang w:val="fr-FR"/>
        </w:rPr>
        <w:t xml:space="preserve"> </w:t>
      </w:r>
      <w:r w:rsidR="003C34EE">
        <w:rPr>
          <w:lang w:val="fr-FR"/>
        </w:rPr>
        <w:t>à l</w:t>
      </w:r>
      <w:r w:rsidR="00D639EE">
        <w:rPr>
          <w:lang w:val="fr-FR"/>
        </w:rPr>
        <w:t>’</w:t>
      </w:r>
      <w:r w:rsidRPr="0007414F">
        <w:rPr>
          <w:lang w:val="fr-FR"/>
        </w:rPr>
        <w:t xml:space="preserve">ISTA </w:t>
      </w:r>
      <w:r w:rsidR="003C34EE" w:rsidRPr="003C34EE">
        <w:rPr>
          <w:lang w:val="fr-FR"/>
        </w:rPr>
        <w:t xml:space="preserve">une invitation </w:t>
      </w:r>
      <w:r w:rsidR="003C34EE">
        <w:rPr>
          <w:lang w:val="fr-FR"/>
        </w:rPr>
        <w:t xml:space="preserve">pour un </w:t>
      </w:r>
      <w:r w:rsidR="00B060F1">
        <w:rPr>
          <w:lang w:val="fr-FR"/>
        </w:rPr>
        <w:t>nouvel</w:t>
      </w:r>
      <w:r w:rsidR="003C34EE">
        <w:rPr>
          <w:lang w:val="fr-FR"/>
        </w:rPr>
        <w:t xml:space="preserve"> atelier con</w:t>
      </w:r>
      <w:r w:rsidRPr="0007414F">
        <w:rPr>
          <w:lang w:val="fr-FR"/>
        </w:rPr>
        <w:t xml:space="preserve">joint </w:t>
      </w:r>
      <w:r w:rsidR="003C34EE">
        <w:rPr>
          <w:lang w:val="fr-FR"/>
        </w:rPr>
        <w:t>sur les</w:t>
      </w:r>
      <w:r w:rsidRPr="0007414F">
        <w:rPr>
          <w:lang w:val="fr-FR"/>
        </w:rPr>
        <w:t xml:space="preserve"> </w:t>
      </w:r>
      <w:r w:rsidR="00583353">
        <w:rPr>
          <w:lang w:val="fr-FR"/>
        </w:rPr>
        <w:t>techniques moléculaires</w:t>
      </w:r>
      <w:r w:rsidRPr="0007414F">
        <w:rPr>
          <w:lang w:val="fr-FR"/>
        </w:rPr>
        <w:t xml:space="preserve">, </w:t>
      </w:r>
      <w:r w:rsidR="003C34EE">
        <w:rPr>
          <w:lang w:val="fr-FR"/>
        </w:rPr>
        <w:t xml:space="preserve">en parallèle à </w:t>
      </w:r>
      <w:r w:rsidR="008509CE">
        <w:rPr>
          <w:lang w:val="fr-FR"/>
        </w:rPr>
        <w:t>l</w:t>
      </w:r>
      <w:r w:rsidR="003C34EE">
        <w:rPr>
          <w:lang w:val="fr-FR"/>
        </w:rPr>
        <w:t>a première</w:t>
      </w:r>
      <w:r w:rsidRPr="0007414F">
        <w:rPr>
          <w:lang w:val="fr-FR"/>
        </w:rPr>
        <w:t xml:space="preserve"> session</w:t>
      </w:r>
      <w:r w:rsidR="00D639EE" w:rsidRPr="0007414F">
        <w:rPr>
          <w:lang w:val="fr-FR"/>
        </w:rPr>
        <w:t xml:space="preserve"> </w:t>
      </w:r>
      <w:r w:rsidR="00D639EE">
        <w:rPr>
          <w:lang w:val="fr-FR"/>
        </w:rPr>
        <w:t>du </w:t>
      </w:r>
      <w:r w:rsidR="00D639EE" w:rsidRPr="0007414F">
        <w:rPr>
          <w:lang w:val="fr-FR"/>
        </w:rPr>
        <w:t>TWM</w:t>
      </w:r>
      <w:r w:rsidR="003C34EE">
        <w:rPr>
          <w:lang w:val="fr-FR"/>
        </w:rPr>
        <w:t xml:space="preserve"> qui se tiendra, par voie électronique, le 2</w:t>
      </w:r>
      <w:r w:rsidR="00D639EE">
        <w:rPr>
          <w:lang w:val="fr-FR"/>
        </w:rPr>
        <w:t>1 septembre </w:t>
      </w:r>
      <w:r w:rsidR="00D639EE" w:rsidRPr="0007414F">
        <w:rPr>
          <w:lang w:val="fr-FR"/>
        </w:rPr>
        <w:t>20</w:t>
      </w:r>
      <w:r w:rsidRPr="0007414F">
        <w:rPr>
          <w:lang w:val="fr-FR"/>
        </w:rPr>
        <w:t xml:space="preserve">22, </w:t>
      </w:r>
      <w:r w:rsidR="003C34EE">
        <w:rPr>
          <w:lang w:val="fr-FR"/>
        </w:rPr>
        <w:t>afin d</w:t>
      </w:r>
      <w:r w:rsidR="00D639EE">
        <w:rPr>
          <w:lang w:val="fr-FR"/>
        </w:rPr>
        <w:t>’</w:t>
      </w:r>
      <w:r w:rsidR="003C34EE">
        <w:rPr>
          <w:lang w:val="fr-FR"/>
        </w:rPr>
        <w:t>inclure l</w:t>
      </w:r>
      <w:r w:rsidR="00D639EE">
        <w:rPr>
          <w:lang w:val="fr-FR"/>
        </w:rPr>
        <w:t>’</w:t>
      </w:r>
      <w:r w:rsidR="003C34EE">
        <w:rPr>
          <w:lang w:val="fr-FR"/>
        </w:rPr>
        <w:t xml:space="preserve">examen des éléments </w:t>
      </w:r>
      <w:r w:rsidRPr="0007414F">
        <w:rPr>
          <w:lang w:val="fr-FR"/>
        </w:rPr>
        <w:t xml:space="preserve">(i) </w:t>
      </w:r>
      <w:r w:rsidR="003C34EE">
        <w:rPr>
          <w:lang w:val="fr-FR"/>
        </w:rPr>
        <w:t>à</w:t>
      </w:r>
      <w:r w:rsidRPr="0007414F">
        <w:rPr>
          <w:lang w:val="fr-FR"/>
        </w:rPr>
        <w:t xml:space="preserve"> (iii) </w:t>
      </w:r>
      <w:r w:rsidR="003C34EE">
        <w:rPr>
          <w:lang w:val="fr-FR"/>
        </w:rPr>
        <w:t>ci</w:t>
      </w:r>
      <w:r w:rsidR="006E7E88">
        <w:rPr>
          <w:lang w:val="fr-FR"/>
        </w:rPr>
        <w:noBreakHyphen/>
      </w:r>
      <w:r w:rsidR="003C34EE">
        <w:rPr>
          <w:lang w:val="fr-FR"/>
        </w:rPr>
        <w:t>dessus</w:t>
      </w:r>
      <w:r w:rsidRPr="0007414F">
        <w:rPr>
          <w:lang w:val="fr-FR"/>
        </w:rPr>
        <w:t>.</w:t>
      </w:r>
    </w:p>
    <w:p w14:paraId="5B0A9CA9" w14:textId="49D6AF80" w:rsidR="008304D5" w:rsidRPr="0007414F" w:rsidRDefault="008304D5" w:rsidP="005A4AC4">
      <w:pPr>
        <w:rPr>
          <w:lang w:val="fr-FR"/>
        </w:rPr>
      </w:pPr>
    </w:p>
    <w:p w14:paraId="4128DF9A" w14:textId="552A378C" w:rsidR="005A4AC4" w:rsidRPr="0007414F" w:rsidRDefault="008304D5" w:rsidP="005A4AC4">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3C34EE">
        <w:rPr>
          <w:lang w:val="fr-FR"/>
        </w:rPr>
        <w:t>Le 1</w:t>
      </w:r>
      <w:r w:rsidR="00D639EE">
        <w:rPr>
          <w:lang w:val="fr-FR"/>
        </w:rPr>
        <w:t>5 mai </w:t>
      </w:r>
      <w:r w:rsidR="00D639EE" w:rsidRPr="0007414F">
        <w:rPr>
          <w:lang w:val="fr-FR"/>
        </w:rPr>
        <w:t>20</w:t>
      </w:r>
      <w:r w:rsidRPr="0007414F">
        <w:rPr>
          <w:lang w:val="fr-FR"/>
        </w:rPr>
        <w:t xml:space="preserve">22, </w:t>
      </w:r>
      <w:r w:rsidR="008509CE">
        <w:rPr>
          <w:lang w:val="fr-FR"/>
        </w:rPr>
        <w:t>le</w:t>
      </w:r>
      <w:r w:rsidRPr="0007414F">
        <w:rPr>
          <w:lang w:val="fr-FR"/>
        </w:rPr>
        <w:t xml:space="preserve"> </w:t>
      </w:r>
      <w:r w:rsidR="00517EF9">
        <w:rPr>
          <w:lang w:val="fr-FR"/>
        </w:rPr>
        <w:t>Bureau de l</w:t>
      </w:r>
      <w:r w:rsidR="00D639EE">
        <w:rPr>
          <w:lang w:val="fr-FR"/>
        </w:rPr>
        <w:t>’</w:t>
      </w:r>
      <w:r w:rsidR="00517EF9">
        <w:rPr>
          <w:lang w:val="fr-FR"/>
        </w:rPr>
        <w:t>Union</w:t>
      </w:r>
      <w:r w:rsidRPr="0007414F">
        <w:rPr>
          <w:lang w:val="fr-FR"/>
        </w:rPr>
        <w:t xml:space="preserve"> </w:t>
      </w:r>
      <w:r w:rsidR="003C34EE">
        <w:rPr>
          <w:lang w:val="fr-FR"/>
        </w:rPr>
        <w:t>a rencontré l</w:t>
      </w:r>
      <w:r w:rsidR="00D639EE">
        <w:rPr>
          <w:lang w:val="fr-FR"/>
        </w:rPr>
        <w:t>’</w:t>
      </w:r>
      <w:r w:rsidR="002338B5">
        <w:rPr>
          <w:lang w:val="fr-FR"/>
        </w:rPr>
        <w:t>OCDE</w:t>
      </w:r>
      <w:r w:rsidRPr="0007414F">
        <w:rPr>
          <w:lang w:val="fr-FR"/>
        </w:rPr>
        <w:t xml:space="preserve"> </w:t>
      </w:r>
      <w:r w:rsidR="008509CE">
        <w:rPr>
          <w:lang w:val="fr-FR"/>
        </w:rPr>
        <w:t>et</w:t>
      </w:r>
      <w:r w:rsidRPr="0007414F">
        <w:rPr>
          <w:lang w:val="fr-FR"/>
        </w:rPr>
        <w:t xml:space="preserve"> </w:t>
      </w:r>
      <w:r w:rsidR="003C34EE">
        <w:rPr>
          <w:lang w:val="fr-FR"/>
        </w:rPr>
        <w:t>l</w:t>
      </w:r>
      <w:r w:rsidR="00D639EE">
        <w:rPr>
          <w:lang w:val="fr-FR"/>
        </w:rPr>
        <w:t>’</w:t>
      </w:r>
      <w:r w:rsidRPr="0007414F">
        <w:rPr>
          <w:lang w:val="fr-FR"/>
        </w:rPr>
        <w:t xml:space="preserve">ISTA </w:t>
      </w:r>
      <w:r w:rsidR="003C34EE">
        <w:rPr>
          <w:lang w:val="fr-FR"/>
        </w:rPr>
        <w:t xml:space="preserve">en marge du Congrès mondial sur </w:t>
      </w:r>
      <w:proofErr w:type="gramStart"/>
      <w:r w:rsidR="003C34EE">
        <w:rPr>
          <w:lang w:val="fr-FR"/>
        </w:rPr>
        <w:t>les semences organisé</w:t>
      </w:r>
      <w:proofErr w:type="gramEnd"/>
      <w:r w:rsidR="003C34EE">
        <w:rPr>
          <w:lang w:val="fr-FR"/>
        </w:rPr>
        <w:t xml:space="preserve"> par l</w:t>
      </w:r>
      <w:r w:rsidR="00D639EE">
        <w:rPr>
          <w:lang w:val="fr-FR"/>
        </w:rPr>
        <w:t>’</w:t>
      </w:r>
      <w:r w:rsidRPr="0007414F">
        <w:rPr>
          <w:lang w:val="fr-FR"/>
        </w:rPr>
        <w:t xml:space="preserve">International </w:t>
      </w:r>
      <w:proofErr w:type="spellStart"/>
      <w:r w:rsidRPr="0007414F">
        <w:rPr>
          <w:lang w:val="fr-FR"/>
        </w:rPr>
        <w:t>Seed</w:t>
      </w:r>
      <w:proofErr w:type="spellEnd"/>
      <w:r w:rsidRPr="0007414F">
        <w:rPr>
          <w:lang w:val="fr-FR"/>
        </w:rPr>
        <w:t xml:space="preserve"> </w:t>
      </w:r>
      <w:proofErr w:type="spellStart"/>
      <w:r w:rsidRPr="0007414F">
        <w:rPr>
          <w:lang w:val="fr-FR"/>
        </w:rPr>
        <w:t>Federation</w:t>
      </w:r>
      <w:proofErr w:type="spellEnd"/>
      <w:r w:rsidRPr="0007414F">
        <w:rPr>
          <w:lang w:val="fr-FR"/>
        </w:rPr>
        <w:t xml:space="preserve"> </w:t>
      </w:r>
      <w:r w:rsidR="008509CE">
        <w:rPr>
          <w:lang w:val="fr-FR"/>
        </w:rPr>
        <w:t>et</w:t>
      </w:r>
      <w:r w:rsidRPr="0007414F">
        <w:rPr>
          <w:lang w:val="fr-FR"/>
        </w:rPr>
        <w:t xml:space="preserve"> </w:t>
      </w:r>
      <w:r w:rsidR="003C34EE">
        <w:rPr>
          <w:lang w:val="fr-FR"/>
        </w:rPr>
        <w:t xml:space="preserve">a </w:t>
      </w:r>
      <w:r w:rsidRPr="0007414F">
        <w:rPr>
          <w:lang w:val="fr-FR"/>
        </w:rPr>
        <w:t>discu</w:t>
      </w:r>
      <w:r w:rsidR="003C34EE">
        <w:rPr>
          <w:lang w:val="fr-FR"/>
        </w:rPr>
        <w:t xml:space="preserve">té de la </w:t>
      </w:r>
      <w:r w:rsidRPr="0007414F">
        <w:rPr>
          <w:lang w:val="fr-FR"/>
        </w:rPr>
        <w:t>coop</w:t>
      </w:r>
      <w:r w:rsidR="003C34EE">
        <w:rPr>
          <w:lang w:val="fr-FR"/>
        </w:rPr>
        <w:t>é</w:t>
      </w:r>
      <w:r w:rsidRPr="0007414F">
        <w:rPr>
          <w:lang w:val="fr-FR"/>
        </w:rPr>
        <w:t xml:space="preserve">ration </w:t>
      </w:r>
      <w:r w:rsidR="003C34EE">
        <w:rPr>
          <w:lang w:val="fr-FR"/>
        </w:rPr>
        <w:t>entre l</w:t>
      </w:r>
      <w:r w:rsidR="00D639EE">
        <w:rPr>
          <w:lang w:val="fr-FR"/>
        </w:rPr>
        <w:t>’</w:t>
      </w:r>
      <w:r w:rsidR="002338B5">
        <w:rPr>
          <w:lang w:val="fr-FR"/>
        </w:rPr>
        <w:t>OCDE</w:t>
      </w:r>
      <w:r w:rsidRPr="0007414F">
        <w:rPr>
          <w:lang w:val="fr-FR"/>
        </w:rPr>
        <w:t xml:space="preserve">, </w:t>
      </w:r>
      <w:r w:rsidR="003C34EE">
        <w:rPr>
          <w:lang w:val="fr-FR"/>
        </w:rPr>
        <w:t>l</w:t>
      </w:r>
      <w:r w:rsidR="00D639EE">
        <w:rPr>
          <w:lang w:val="fr-FR"/>
        </w:rPr>
        <w:t>’</w:t>
      </w:r>
      <w:r w:rsidRPr="0007414F">
        <w:rPr>
          <w:lang w:val="fr-FR"/>
        </w:rPr>
        <w:t xml:space="preserve">ISTA </w:t>
      </w:r>
      <w:r w:rsidR="008509CE">
        <w:rPr>
          <w:lang w:val="fr-FR"/>
        </w:rPr>
        <w:t>et</w:t>
      </w:r>
      <w:r w:rsidRPr="0007414F">
        <w:rPr>
          <w:lang w:val="fr-FR"/>
        </w:rPr>
        <w:t xml:space="preserve"> </w:t>
      </w:r>
      <w:r w:rsidR="003C34EE">
        <w:rPr>
          <w:lang w:val="fr-FR"/>
        </w:rPr>
        <w:t>l</w:t>
      </w:r>
      <w:r w:rsidR="00D639EE">
        <w:rPr>
          <w:lang w:val="fr-FR"/>
        </w:rPr>
        <w:t>’</w:t>
      </w:r>
      <w:r w:rsidRPr="0007414F">
        <w:rPr>
          <w:lang w:val="fr-FR"/>
        </w:rPr>
        <w:t xml:space="preserve">UPOV </w:t>
      </w:r>
      <w:r w:rsidR="002A1356">
        <w:rPr>
          <w:lang w:val="fr-FR"/>
        </w:rPr>
        <w:t>concernant</w:t>
      </w:r>
      <w:r w:rsidR="00D639EE">
        <w:rPr>
          <w:lang w:val="fr-FR"/>
        </w:rPr>
        <w:t xml:space="preserve"> le </w:t>
      </w:r>
      <w:r w:rsidR="00D639EE" w:rsidRPr="0007414F">
        <w:rPr>
          <w:lang w:val="fr-FR"/>
        </w:rPr>
        <w:t>BMT</w:t>
      </w:r>
      <w:r w:rsidRPr="0007414F">
        <w:rPr>
          <w:lang w:val="fr-FR"/>
        </w:rPr>
        <w:t xml:space="preserve">. </w:t>
      </w:r>
      <w:r w:rsidR="001B53D1">
        <w:rPr>
          <w:lang w:val="fr-FR"/>
        </w:rPr>
        <w:t xml:space="preserve"> </w:t>
      </w:r>
      <w:r w:rsidR="002A1356">
        <w:rPr>
          <w:lang w:val="fr-FR"/>
        </w:rPr>
        <w:t>L</w:t>
      </w:r>
      <w:r w:rsidR="00D639EE">
        <w:rPr>
          <w:lang w:val="fr-FR"/>
        </w:rPr>
        <w:t>’</w:t>
      </w:r>
      <w:r w:rsidRPr="0007414F">
        <w:rPr>
          <w:lang w:val="fr-FR"/>
        </w:rPr>
        <w:t xml:space="preserve">UPOV </w:t>
      </w:r>
      <w:r w:rsidR="002A1356">
        <w:rPr>
          <w:lang w:val="fr-FR"/>
        </w:rPr>
        <w:t>avait émis l</w:t>
      </w:r>
      <w:r w:rsidR="00D639EE">
        <w:rPr>
          <w:lang w:val="fr-FR"/>
        </w:rPr>
        <w:t>’</w:t>
      </w:r>
      <w:r w:rsidRPr="0007414F">
        <w:rPr>
          <w:lang w:val="fr-FR"/>
        </w:rPr>
        <w:t>id</w:t>
      </w:r>
      <w:r w:rsidR="002A1356">
        <w:rPr>
          <w:lang w:val="fr-FR"/>
        </w:rPr>
        <w:t>é</w:t>
      </w:r>
      <w:r w:rsidRPr="0007414F">
        <w:rPr>
          <w:lang w:val="fr-FR"/>
        </w:rPr>
        <w:t xml:space="preserve">e </w:t>
      </w:r>
      <w:r w:rsidR="002A1356">
        <w:rPr>
          <w:lang w:val="fr-FR"/>
        </w:rPr>
        <w:t>d</w:t>
      </w:r>
      <w:r w:rsidR="00D639EE">
        <w:rPr>
          <w:lang w:val="fr-FR"/>
        </w:rPr>
        <w:t>’</w:t>
      </w:r>
      <w:r w:rsidR="002A1356">
        <w:rPr>
          <w:lang w:val="fr-FR"/>
        </w:rPr>
        <w:t>un atelier con</w:t>
      </w:r>
      <w:r w:rsidRPr="0007414F">
        <w:rPr>
          <w:lang w:val="fr-FR"/>
        </w:rPr>
        <w:t xml:space="preserve">joint </w:t>
      </w:r>
      <w:r w:rsidR="002338B5">
        <w:rPr>
          <w:lang w:val="fr-FR"/>
        </w:rPr>
        <w:t>OCDE</w:t>
      </w:r>
      <w:r w:rsidRPr="0007414F">
        <w:rPr>
          <w:lang w:val="fr-FR"/>
        </w:rPr>
        <w:t xml:space="preserve">/ISTA/UPOV </w:t>
      </w:r>
      <w:r w:rsidR="002A1356">
        <w:rPr>
          <w:lang w:val="fr-FR"/>
        </w:rPr>
        <w:t>e</w:t>
      </w:r>
      <w:r w:rsidRPr="0007414F">
        <w:rPr>
          <w:lang w:val="fr-FR"/>
        </w:rPr>
        <w:t xml:space="preserve">n </w:t>
      </w:r>
      <w:r w:rsidR="002A1356">
        <w:rPr>
          <w:lang w:val="fr-FR"/>
        </w:rPr>
        <w:t>parallèle avec</w:t>
      </w:r>
      <w:r w:rsidR="00D639EE">
        <w:rPr>
          <w:lang w:val="fr-FR"/>
        </w:rPr>
        <w:t xml:space="preserve"> le </w:t>
      </w:r>
      <w:r w:rsidR="00D639EE" w:rsidRPr="0007414F">
        <w:rPr>
          <w:lang w:val="fr-FR"/>
        </w:rPr>
        <w:t>TWM</w:t>
      </w:r>
      <w:r w:rsidRPr="0007414F">
        <w:rPr>
          <w:lang w:val="fr-FR"/>
        </w:rPr>
        <w:t xml:space="preserve">, </w:t>
      </w:r>
      <w:r w:rsidR="002A1356">
        <w:rPr>
          <w:lang w:val="fr-FR"/>
        </w:rPr>
        <w:t>qui allait se tenir en</w:t>
      </w:r>
      <w:r w:rsidRPr="0007414F">
        <w:rPr>
          <w:lang w:val="fr-FR"/>
        </w:rPr>
        <w:t xml:space="preserve"> </w:t>
      </w:r>
      <w:r w:rsidR="00D639EE">
        <w:rPr>
          <w:lang w:val="fr-FR"/>
        </w:rPr>
        <w:t>s</w:t>
      </w:r>
      <w:r w:rsidR="00D639EE" w:rsidRPr="0007414F">
        <w:rPr>
          <w:lang w:val="fr-FR"/>
        </w:rPr>
        <w:t>eptemb</w:t>
      </w:r>
      <w:r w:rsidR="00D639EE">
        <w:rPr>
          <w:lang w:val="fr-FR"/>
        </w:rPr>
        <w:t>r</w:t>
      </w:r>
      <w:r w:rsidR="00D639EE" w:rsidRPr="0007414F">
        <w:rPr>
          <w:lang w:val="fr-FR"/>
        </w:rPr>
        <w:t>e</w:t>
      </w:r>
      <w:r w:rsidR="00D639EE">
        <w:rPr>
          <w:lang w:val="fr-FR"/>
        </w:rPr>
        <w:t> </w:t>
      </w:r>
      <w:r w:rsidR="00D639EE" w:rsidRPr="0007414F">
        <w:rPr>
          <w:lang w:val="fr-FR"/>
        </w:rPr>
        <w:t>20</w:t>
      </w:r>
      <w:r w:rsidRPr="0007414F">
        <w:rPr>
          <w:lang w:val="fr-FR"/>
        </w:rPr>
        <w:t>22.</w:t>
      </w:r>
      <w:r w:rsidR="001B53D1">
        <w:rPr>
          <w:lang w:val="fr-FR"/>
        </w:rPr>
        <w:t xml:space="preserve"> </w:t>
      </w:r>
      <w:r w:rsidRPr="0007414F">
        <w:rPr>
          <w:lang w:val="fr-FR"/>
        </w:rPr>
        <w:t xml:space="preserve"> I</w:t>
      </w:r>
      <w:r w:rsidR="002A1356">
        <w:rPr>
          <w:lang w:val="fr-FR"/>
        </w:rPr>
        <w:t>l a été convenu que, en l</w:t>
      </w:r>
      <w:r w:rsidR="00D639EE">
        <w:rPr>
          <w:lang w:val="fr-FR"/>
        </w:rPr>
        <w:t>’</w:t>
      </w:r>
      <w:r w:rsidR="002A1356">
        <w:rPr>
          <w:lang w:val="fr-FR"/>
        </w:rPr>
        <w:t xml:space="preserve">absence de </w:t>
      </w:r>
      <w:r w:rsidR="002A1356" w:rsidRPr="002A1356">
        <w:rPr>
          <w:lang w:val="fr-FR"/>
        </w:rPr>
        <w:t>fait</w:t>
      </w:r>
      <w:r w:rsidR="002A1356">
        <w:rPr>
          <w:lang w:val="fr-FR"/>
        </w:rPr>
        <w:t>s</w:t>
      </w:r>
      <w:r w:rsidR="002A1356" w:rsidRPr="002A1356">
        <w:rPr>
          <w:lang w:val="fr-FR"/>
        </w:rPr>
        <w:t xml:space="preserve"> nouveau</w:t>
      </w:r>
      <w:r w:rsidR="002A1356">
        <w:rPr>
          <w:lang w:val="fr-FR"/>
        </w:rPr>
        <w:t>x</w:t>
      </w:r>
      <w:r w:rsidR="002A1356" w:rsidRPr="002A1356">
        <w:rPr>
          <w:lang w:val="fr-FR"/>
        </w:rPr>
        <w:t xml:space="preserve"> significatif</w:t>
      </w:r>
      <w:r w:rsidR="002A1356">
        <w:rPr>
          <w:lang w:val="fr-FR"/>
        </w:rPr>
        <w:t>s</w:t>
      </w:r>
      <w:r w:rsidR="002A1356" w:rsidRPr="002A1356">
        <w:rPr>
          <w:lang w:val="fr-FR"/>
        </w:rPr>
        <w:t xml:space="preserve"> à discuter</w:t>
      </w:r>
      <w:r w:rsidR="002A1356">
        <w:rPr>
          <w:lang w:val="fr-FR"/>
        </w:rPr>
        <w:t xml:space="preserve">, </w:t>
      </w:r>
      <w:r w:rsidR="002A1356" w:rsidRPr="002A1356">
        <w:rPr>
          <w:lang w:val="fr-FR"/>
        </w:rPr>
        <w:t xml:space="preserve">il </w:t>
      </w:r>
      <w:r w:rsidR="002A1356">
        <w:rPr>
          <w:lang w:val="fr-FR"/>
        </w:rPr>
        <w:t xml:space="preserve">était sans doute préférable </w:t>
      </w:r>
      <w:r w:rsidR="002A1356" w:rsidRPr="002A1356">
        <w:rPr>
          <w:lang w:val="fr-FR"/>
        </w:rPr>
        <w:t xml:space="preserve">de prévoir un atelier conjoint au plus tôt </w:t>
      </w:r>
      <w:r w:rsidR="00D639EE" w:rsidRPr="002A1356">
        <w:rPr>
          <w:lang w:val="fr-FR"/>
        </w:rPr>
        <w:t>en</w:t>
      </w:r>
      <w:r w:rsidR="00D639EE">
        <w:rPr>
          <w:lang w:val="fr-FR"/>
        </w:rPr>
        <w:t> </w:t>
      </w:r>
      <w:r w:rsidR="00D639EE" w:rsidRPr="002A1356">
        <w:rPr>
          <w:lang w:val="fr-FR"/>
        </w:rPr>
        <w:t>2023</w:t>
      </w:r>
      <w:r w:rsidRPr="0007414F">
        <w:rPr>
          <w:lang w:val="fr-FR"/>
        </w:rPr>
        <w:t>.</w:t>
      </w:r>
    </w:p>
    <w:p w14:paraId="5816F97A" w14:textId="77777777" w:rsidR="00744A12" w:rsidRPr="0007414F" w:rsidRDefault="00744A12" w:rsidP="00744A12">
      <w:pPr>
        <w:rPr>
          <w:lang w:val="fr-FR"/>
        </w:rPr>
      </w:pPr>
    </w:p>
    <w:p w14:paraId="046D91B2" w14:textId="6F053094" w:rsidR="00F40C98" w:rsidRPr="0007414F" w:rsidRDefault="002A1356" w:rsidP="00F40C98">
      <w:pPr>
        <w:pStyle w:val="Heading2"/>
        <w:rPr>
          <w:lang w:val="fr-FR"/>
        </w:rPr>
      </w:pPr>
      <w:bookmarkStart w:id="32" w:name="_Toc116986218"/>
      <w:r w:rsidRPr="002A1356">
        <w:rPr>
          <w:lang w:val="fr-FR"/>
        </w:rPr>
        <w:t>Association internationale d</w:t>
      </w:r>
      <w:r w:rsidR="00D639EE">
        <w:rPr>
          <w:lang w:val="fr-FR"/>
        </w:rPr>
        <w:t>’</w:t>
      </w:r>
      <w:r w:rsidRPr="002A1356">
        <w:rPr>
          <w:lang w:val="fr-FR"/>
        </w:rPr>
        <w:t>essais de semences</w:t>
      </w:r>
      <w:bookmarkEnd w:id="32"/>
    </w:p>
    <w:p w14:paraId="7A7AFB01" w14:textId="77777777" w:rsidR="00F40C98" w:rsidRPr="0007414F" w:rsidRDefault="00F40C98" w:rsidP="00F40C98">
      <w:pPr>
        <w:rPr>
          <w:lang w:val="fr-FR"/>
        </w:rPr>
      </w:pPr>
    </w:p>
    <w:p w14:paraId="5AFC4F0C" w14:textId="72EC3EBF" w:rsidR="00F40C98" w:rsidRPr="0007414F" w:rsidRDefault="00F40C98" w:rsidP="00F40C98">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2420F2">
        <w:rPr>
          <w:lang w:val="fr-FR"/>
        </w:rPr>
        <w:t>Le</w:t>
      </w:r>
      <w:r w:rsidRPr="0007414F">
        <w:rPr>
          <w:lang w:val="fr-FR"/>
        </w:rPr>
        <w:t xml:space="preserve"> TWM </w:t>
      </w:r>
      <w:r w:rsidR="002A1356">
        <w:rPr>
          <w:lang w:val="fr-FR"/>
        </w:rPr>
        <w:t xml:space="preserve">a </w:t>
      </w:r>
      <w:r w:rsidR="00CC0943">
        <w:rPr>
          <w:lang w:val="fr-FR"/>
        </w:rPr>
        <w:t>assisté à un</w:t>
      </w:r>
      <w:r w:rsidR="002A1356">
        <w:rPr>
          <w:lang w:val="fr-FR"/>
        </w:rPr>
        <w:t xml:space="preserve"> exposé p</w:t>
      </w:r>
      <w:r w:rsidRPr="0007414F">
        <w:rPr>
          <w:lang w:val="fr-FR"/>
        </w:rPr>
        <w:t>r</w:t>
      </w:r>
      <w:r w:rsidR="002A1356">
        <w:rPr>
          <w:lang w:val="fr-FR"/>
        </w:rPr>
        <w:t>é</w:t>
      </w:r>
      <w:r w:rsidRPr="0007414F">
        <w:rPr>
          <w:lang w:val="fr-FR"/>
        </w:rPr>
        <w:t>sent</w:t>
      </w:r>
      <w:r w:rsidR="002A1356">
        <w:rPr>
          <w:lang w:val="fr-FR"/>
        </w:rPr>
        <w:t>é par</w:t>
      </w:r>
      <w:r w:rsidRPr="0007414F">
        <w:rPr>
          <w:lang w:val="fr-FR"/>
        </w:rPr>
        <w:t xml:space="preserve"> M</w:t>
      </w:r>
      <w:r w:rsidR="002A1356">
        <w:rPr>
          <w:lang w:val="fr-FR"/>
        </w:rPr>
        <w:t>me</w:t>
      </w:r>
      <w:r w:rsidR="001B53D1">
        <w:rPr>
          <w:lang w:val="fr-FR"/>
        </w:rPr>
        <w:t> </w:t>
      </w:r>
      <w:r w:rsidRPr="0007414F">
        <w:rPr>
          <w:lang w:val="fr-FR"/>
        </w:rPr>
        <w:t>Ana Laura Vicario (</w:t>
      </w:r>
      <w:r w:rsidR="00E40619" w:rsidRPr="0007414F">
        <w:rPr>
          <w:rFonts w:cs="Arial"/>
          <w:lang w:val="fr-FR"/>
        </w:rPr>
        <w:t>ISTA</w:t>
      </w:r>
      <w:r w:rsidRPr="0007414F">
        <w:rPr>
          <w:rFonts w:cs="Arial"/>
          <w:lang w:val="fr-FR"/>
        </w:rPr>
        <w:t xml:space="preserve">) </w:t>
      </w:r>
      <w:r w:rsidR="00907ED4">
        <w:rPr>
          <w:rFonts w:cs="Arial"/>
          <w:lang w:val="fr-FR"/>
        </w:rPr>
        <w:t>intitulé</w:t>
      </w:r>
      <w:r w:rsidRPr="0007414F">
        <w:rPr>
          <w:rFonts w:cs="Arial"/>
          <w:lang w:val="fr-FR"/>
        </w:rPr>
        <w:t xml:space="preserve"> “</w:t>
      </w:r>
      <w:r w:rsidR="00907ED4">
        <w:rPr>
          <w:rFonts w:cs="Arial"/>
          <w:lang w:val="fr-FR"/>
        </w:rPr>
        <w:t>Compte rendu de l</w:t>
      </w:r>
      <w:r w:rsidR="00D639EE">
        <w:rPr>
          <w:rFonts w:cs="Arial"/>
          <w:lang w:val="fr-FR"/>
        </w:rPr>
        <w:t>’</w:t>
      </w:r>
      <w:r w:rsidRPr="0007414F">
        <w:rPr>
          <w:lang w:val="fr-FR"/>
        </w:rPr>
        <w:t xml:space="preserve">ISTA </w:t>
      </w:r>
      <w:r w:rsidR="00907ED4">
        <w:rPr>
          <w:lang w:val="fr-FR"/>
        </w:rPr>
        <w:t xml:space="preserve">sur </w:t>
      </w:r>
      <w:r w:rsidR="00186CE3">
        <w:rPr>
          <w:lang w:val="fr-FR"/>
        </w:rPr>
        <w:t>l</w:t>
      </w:r>
      <w:r w:rsidR="00D639EE">
        <w:rPr>
          <w:lang w:val="fr-FR"/>
        </w:rPr>
        <w:t>’</w:t>
      </w:r>
      <w:r w:rsidR="00186CE3">
        <w:rPr>
          <w:lang w:val="fr-FR"/>
        </w:rPr>
        <w:t>utilisation des</w:t>
      </w:r>
      <w:r w:rsidRPr="0007414F">
        <w:rPr>
          <w:lang w:val="fr-FR"/>
        </w:rPr>
        <w:t xml:space="preserve"> </w:t>
      </w:r>
      <w:r w:rsidR="00583353">
        <w:rPr>
          <w:lang w:val="fr-FR"/>
        </w:rPr>
        <w:t>techniques moléculaires</w:t>
      </w:r>
      <w:r w:rsidRPr="0007414F">
        <w:rPr>
          <w:rFonts w:cs="Arial"/>
          <w:lang w:val="fr-FR"/>
        </w:rPr>
        <w:t>”</w:t>
      </w:r>
      <w:r w:rsidRPr="0007414F">
        <w:rPr>
          <w:rFonts w:cs="Arial"/>
          <w:iCs/>
          <w:lang w:val="fr-FR"/>
        </w:rPr>
        <w:t>,</w:t>
      </w:r>
      <w:r w:rsidRPr="0007414F">
        <w:rPr>
          <w:lang w:val="fr-FR"/>
        </w:rPr>
        <w:t xml:space="preserve"> </w:t>
      </w:r>
      <w:r w:rsidR="00907ED4">
        <w:rPr>
          <w:lang w:val="fr-FR"/>
        </w:rPr>
        <w:t xml:space="preserve">dont </w:t>
      </w:r>
      <w:r w:rsidR="00CC0943">
        <w:rPr>
          <w:lang w:val="fr-FR"/>
        </w:rPr>
        <w:t xml:space="preserve">on trouvera </w:t>
      </w:r>
      <w:r w:rsidR="00907ED4">
        <w:rPr>
          <w:lang w:val="fr-FR"/>
        </w:rPr>
        <w:t xml:space="preserve">une </w:t>
      </w:r>
      <w:r w:rsidRPr="0007414F">
        <w:rPr>
          <w:rFonts w:cs="Arial"/>
          <w:iCs/>
          <w:lang w:val="fr-FR"/>
        </w:rPr>
        <w:t>cop</w:t>
      </w:r>
      <w:r w:rsidR="00907ED4">
        <w:rPr>
          <w:rFonts w:cs="Arial"/>
          <w:iCs/>
          <w:lang w:val="fr-FR"/>
        </w:rPr>
        <w:t xml:space="preserve">ie </w:t>
      </w:r>
      <w:r w:rsidR="00CC0943">
        <w:rPr>
          <w:rFonts w:cs="Arial"/>
          <w:iCs/>
          <w:lang w:val="fr-FR"/>
        </w:rPr>
        <w:t>dans le</w:t>
      </w:r>
      <w:r w:rsidR="00907ED4">
        <w:rPr>
          <w:rFonts w:cs="Arial"/>
          <w:iCs/>
          <w:lang w:val="fr-FR"/>
        </w:rPr>
        <w:t xml:space="preserve"> </w:t>
      </w:r>
      <w:r w:rsidR="00D639EE" w:rsidRPr="0007414F">
        <w:rPr>
          <w:rFonts w:cs="Arial"/>
          <w:iCs/>
          <w:lang w:val="fr-FR"/>
        </w:rPr>
        <w:t>document</w:t>
      </w:r>
      <w:r w:rsidR="00D639EE">
        <w:rPr>
          <w:rFonts w:cs="Arial"/>
          <w:iCs/>
          <w:lang w:val="fr-FR"/>
        </w:rPr>
        <w:t xml:space="preserve"> </w:t>
      </w:r>
      <w:r w:rsidR="00D639EE" w:rsidRPr="0007414F">
        <w:rPr>
          <w:lang w:val="fr-FR"/>
        </w:rPr>
        <w:t>TW</w:t>
      </w:r>
      <w:r w:rsidRPr="0007414F">
        <w:rPr>
          <w:lang w:val="fr-FR"/>
        </w:rPr>
        <w:t>M/1/23.</w:t>
      </w:r>
    </w:p>
    <w:p w14:paraId="1C71589A" w14:textId="77777777" w:rsidR="00F40C98" w:rsidRPr="0007414F" w:rsidRDefault="00F40C98" w:rsidP="00F40C98">
      <w:pPr>
        <w:rPr>
          <w:lang w:val="fr-FR"/>
        </w:rPr>
      </w:pPr>
    </w:p>
    <w:p w14:paraId="7387EDCA" w14:textId="10D7040E" w:rsidR="00F40C98" w:rsidRPr="0007414F" w:rsidRDefault="00907ED4" w:rsidP="00F40C98">
      <w:pPr>
        <w:pStyle w:val="Heading2"/>
        <w:rPr>
          <w:rFonts w:cs="Arial"/>
          <w:lang w:val="fr-FR"/>
        </w:rPr>
      </w:pPr>
      <w:bookmarkStart w:id="33" w:name="_Toc116986219"/>
      <w:r w:rsidRPr="00907ED4">
        <w:rPr>
          <w:lang w:val="fr-FR"/>
        </w:rPr>
        <w:t>Organisation de coopération et de développement économiques</w:t>
      </w:r>
      <w:bookmarkEnd w:id="33"/>
    </w:p>
    <w:p w14:paraId="40BA4FF9" w14:textId="77777777" w:rsidR="00F40C98" w:rsidRPr="0007414F" w:rsidRDefault="00F40C98" w:rsidP="00F40C98">
      <w:pPr>
        <w:rPr>
          <w:lang w:val="fr-FR"/>
        </w:rPr>
      </w:pPr>
    </w:p>
    <w:p w14:paraId="469AEB62" w14:textId="28FBB0EB" w:rsidR="00F40C98" w:rsidRPr="0007414F" w:rsidRDefault="00F40C98" w:rsidP="00F40C98">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2420F2">
        <w:rPr>
          <w:lang w:val="fr-FR"/>
        </w:rPr>
        <w:t>Le</w:t>
      </w:r>
      <w:r w:rsidRPr="0007414F">
        <w:rPr>
          <w:lang w:val="fr-FR"/>
        </w:rPr>
        <w:t xml:space="preserve"> TWM </w:t>
      </w:r>
      <w:r w:rsidR="00907ED4" w:rsidRPr="00907ED4">
        <w:rPr>
          <w:lang w:val="fr-FR"/>
        </w:rPr>
        <w:t xml:space="preserve">a </w:t>
      </w:r>
      <w:r w:rsidR="00CC0943">
        <w:rPr>
          <w:lang w:val="fr-FR"/>
        </w:rPr>
        <w:t>assisté à un</w:t>
      </w:r>
      <w:r w:rsidR="00907ED4" w:rsidRPr="00907ED4">
        <w:rPr>
          <w:lang w:val="fr-FR"/>
        </w:rPr>
        <w:t xml:space="preserve"> exposé présenté par </w:t>
      </w:r>
      <w:r w:rsidRPr="0007414F">
        <w:rPr>
          <w:lang w:val="fr-FR"/>
        </w:rPr>
        <w:t>M.</w:t>
      </w:r>
      <w:r w:rsidR="001B53D1">
        <w:rPr>
          <w:lang w:val="fr-FR"/>
        </w:rPr>
        <w:t> </w:t>
      </w:r>
      <w:r w:rsidRPr="0007414F">
        <w:rPr>
          <w:lang w:val="fr-FR"/>
        </w:rPr>
        <w:t>Christophe</w:t>
      </w:r>
      <w:r w:rsidR="00D0172C">
        <w:rPr>
          <w:lang w:val="fr-FR"/>
        </w:rPr>
        <w:t> </w:t>
      </w:r>
      <w:proofErr w:type="spellStart"/>
      <w:r w:rsidRPr="0007414F">
        <w:rPr>
          <w:lang w:val="fr-FR"/>
        </w:rPr>
        <w:t>Rouillard</w:t>
      </w:r>
      <w:proofErr w:type="spellEnd"/>
      <w:r w:rsidRPr="0007414F">
        <w:rPr>
          <w:lang w:val="fr-FR"/>
        </w:rPr>
        <w:t xml:space="preserve"> (</w:t>
      </w:r>
      <w:r w:rsidR="002338B5">
        <w:rPr>
          <w:lang w:val="fr-FR"/>
        </w:rPr>
        <w:t>OCDE</w:t>
      </w:r>
      <w:r w:rsidRPr="0007414F">
        <w:rPr>
          <w:rFonts w:cs="Arial"/>
          <w:lang w:val="fr-FR"/>
        </w:rPr>
        <w:t xml:space="preserve">) </w:t>
      </w:r>
      <w:r w:rsidR="00907ED4">
        <w:rPr>
          <w:rFonts w:cs="Arial"/>
          <w:lang w:val="fr-FR"/>
        </w:rPr>
        <w:t>intitulé</w:t>
      </w:r>
      <w:r w:rsidRPr="0007414F">
        <w:rPr>
          <w:rFonts w:cs="Arial"/>
          <w:lang w:val="fr-FR"/>
        </w:rPr>
        <w:t xml:space="preserve"> “</w:t>
      </w:r>
      <w:r w:rsidR="00907ED4">
        <w:rPr>
          <w:rFonts w:cs="Arial"/>
          <w:lang w:val="fr-FR"/>
        </w:rPr>
        <w:t>Faits nouveaux en matière d</w:t>
      </w:r>
      <w:r w:rsidR="00D639EE">
        <w:rPr>
          <w:rFonts w:cs="Arial"/>
          <w:lang w:val="fr-FR"/>
        </w:rPr>
        <w:t>’</w:t>
      </w:r>
      <w:r w:rsidRPr="0007414F">
        <w:rPr>
          <w:lang w:val="fr-FR"/>
        </w:rPr>
        <w:t>application</w:t>
      </w:r>
      <w:r w:rsidR="00D639EE" w:rsidRPr="0007414F">
        <w:rPr>
          <w:lang w:val="fr-FR"/>
        </w:rPr>
        <w:t xml:space="preserve"> </w:t>
      </w:r>
      <w:r w:rsidR="00D639EE">
        <w:rPr>
          <w:lang w:val="fr-FR"/>
        </w:rPr>
        <w:t>du </w:t>
      </w:r>
      <w:r w:rsidR="00D639EE" w:rsidRPr="0007414F">
        <w:rPr>
          <w:lang w:val="fr-FR"/>
        </w:rPr>
        <w:t>BMT</w:t>
      </w:r>
      <w:r w:rsidRPr="0007414F">
        <w:rPr>
          <w:lang w:val="fr-FR"/>
        </w:rPr>
        <w:t xml:space="preserve"> </w:t>
      </w:r>
      <w:r w:rsidR="00907ED4">
        <w:rPr>
          <w:lang w:val="fr-FR"/>
        </w:rPr>
        <w:t>au regard</w:t>
      </w:r>
      <w:r w:rsidRPr="0007414F">
        <w:rPr>
          <w:lang w:val="fr-FR"/>
        </w:rPr>
        <w:t xml:space="preserve"> </w:t>
      </w:r>
      <w:r w:rsidR="00907ED4">
        <w:rPr>
          <w:lang w:val="fr-FR"/>
        </w:rPr>
        <w:t>des systèmes de semences de l</w:t>
      </w:r>
      <w:r w:rsidR="00D639EE">
        <w:rPr>
          <w:lang w:val="fr-FR"/>
        </w:rPr>
        <w:t>’</w:t>
      </w:r>
      <w:r w:rsidR="002338B5">
        <w:rPr>
          <w:lang w:val="fr-FR"/>
        </w:rPr>
        <w:t>O</w:t>
      </w:r>
      <w:r w:rsidR="00907ED4">
        <w:rPr>
          <w:lang w:val="fr-FR"/>
        </w:rPr>
        <w:t>C</w:t>
      </w:r>
      <w:r w:rsidR="002338B5">
        <w:rPr>
          <w:lang w:val="fr-FR"/>
        </w:rPr>
        <w:t>D</w:t>
      </w:r>
      <w:r w:rsidR="00907ED4">
        <w:rPr>
          <w:lang w:val="fr-FR"/>
        </w:rPr>
        <w:t>E</w:t>
      </w:r>
      <w:r w:rsidRPr="0007414F">
        <w:rPr>
          <w:rFonts w:cs="Arial"/>
          <w:lang w:val="fr-FR"/>
        </w:rPr>
        <w:t>”</w:t>
      </w:r>
      <w:r w:rsidRPr="0007414F">
        <w:rPr>
          <w:rFonts w:cs="Arial"/>
          <w:iCs/>
          <w:lang w:val="fr-FR"/>
        </w:rPr>
        <w:t>,</w:t>
      </w:r>
      <w:r w:rsidRPr="0007414F">
        <w:rPr>
          <w:lang w:val="fr-FR"/>
        </w:rPr>
        <w:t xml:space="preserve"> </w:t>
      </w:r>
      <w:r w:rsidR="00907ED4" w:rsidRPr="00907ED4">
        <w:rPr>
          <w:rFonts w:cs="Arial"/>
          <w:iCs/>
          <w:lang w:val="fr-FR"/>
        </w:rPr>
        <w:t xml:space="preserve">dont </w:t>
      </w:r>
      <w:r w:rsidR="00CC0943">
        <w:rPr>
          <w:rFonts w:cs="Arial"/>
          <w:iCs/>
          <w:lang w:val="fr-FR"/>
        </w:rPr>
        <w:t xml:space="preserve">on trouvera </w:t>
      </w:r>
      <w:r w:rsidR="00907ED4" w:rsidRPr="00907ED4">
        <w:rPr>
          <w:rFonts w:cs="Arial"/>
          <w:iCs/>
          <w:lang w:val="fr-FR"/>
        </w:rPr>
        <w:t xml:space="preserve">une copie </w:t>
      </w:r>
      <w:r w:rsidR="00CC0943">
        <w:rPr>
          <w:rFonts w:cs="Arial"/>
          <w:iCs/>
          <w:lang w:val="fr-FR"/>
        </w:rPr>
        <w:t>dans le</w:t>
      </w:r>
      <w:r w:rsidRPr="0007414F">
        <w:rPr>
          <w:rFonts w:cs="Arial"/>
          <w:iCs/>
          <w:lang w:val="fr-FR"/>
        </w:rPr>
        <w:t xml:space="preserve"> </w:t>
      </w:r>
      <w:r w:rsidR="00D639EE" w:rsidRPr="0007414F">
        <w:rPr>
          <w:rFonts w:cs="Arial"/>
          <w:iCs/>
          <w:lang w:val="fr-FR"/>
        </w:rPr>
        <w:t>document</w:t>
      </w:r>
      <w:r w:rsidR="00D639EE">
        <w:rPr>
          <w:rFonts w:cs="Arial"/>
          <w:iCs/>
          <w:lang w:val="fr-FR"/>
        </w:rPr>
        <w:t xml:space="preserve"> </w:t>
      </w:r>
      <w:r w:rsidR="00D639EE" w:rsidRPr="0007414F">
        <w:rPr>
          <w:lang w:val="fr-FR"/>
        </w:rPr>
        <w:t>TW</w:t>
      </w:r>
      <w:r w:rsidRPr="0007414F">
        <w:rPr>
          <w:lang w:val="fr-FR"/>
        </w:rPr>
        <w:t>M/1/24.</w:t>
      </w:r>
    </w:p>
    <w:p w14:paraId="4044E5F8" w14:textId="77777777" w:rsidR="00F40C98" w:rsidRPr="0007414F" w:rsidRDefault="00F40C98" w:rsidP="00F40C98">
      <w:pPr>
        <w:rPr>
          <w:rFonts w:cs="Arial"/>
          <w:iCs/>
          <w:lang w:val="fr-FR"/>
        </w:rPr>
      </w:pPr>
    </w:p>
    <w:p w14:paraId="2E372CFE" w14:textId="1BCB8FFF" w:rsidR="00F40C98" w:rsidRPr="0007414F" w:rsidRDefault="00F40C98" w:rsidP="00F40C98">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2420F2">
        <w:rPr>
          <w:lang w:val="fr-FR"/>
        </w:rPr>
        <w:t>Le</w:t>
      </w:r>
      <w:r w:rsidRPr="0007414F">
        <w:rPr>
          <w:lang w:val="fr-FR"/>
        </w:rPr>
        <w:t xml:space="preserve"> TWM </w:t>
      </w:r>
      <w:r w:rsidR="00907ED4">
        <w:rPr>
          <w:lang w:val="fr-FR"/>
        </w:rPr>
        <w:t xml:space="preserve">a pris </w:t>
      </w:r>
      <w:r w:rsidRPr="0007414F">
        <w:rPr>
          <w:lang w:val="fr-FR"/>
        </w:rPr>
        <w:t xml:space="preserve">note </w:t>
      </w:r>
      <w:r w:rsidR="00907ED4">
        <w:rPr>
          <w:lang w:val="fr-FR"/>
        </w:rPr>
        <w:t>que l</w:t>
      </w:r>
      <w:r w:rsidR="00D639EE">
        <w:rPr>
          <w:lang w:val="fr-FR"/>
        </w:rPr>
        <w:t>’</w:t>
      </w:r>
      <w:r w:rsidR="002338B5">
        <w:rPr>
          <w:lang w:val="fr-FR"/>
        </w:rPr>
        <w:t>OCDE</w:t>
      </w:r>
      <w:r w:rsidRPr="0007414F">
        <w:rPr>
          <w:lang w:val="fr-FR"/>
        </w:rPr>
        <w:t xml:space="preserve"> </w:t>
      </w:r>
      <w:r w:rsidR="00907ED4">
        <w:rPr>
          <w:lang w:val="fr-FR"/>
        </w:rPr>
        <w:t xml:space="preserve">a mis en place le </w:t>
      </w:r>
      <w:r w:rsidR="0056764C">
        <w:rPr>
          <w:lang w:val="fr-FR"/>
        </w:rPr>
        <w:t>G</w:t>
      </w:r>
      <w:r w:rsidR="00907ED4">
        <w:rPr>
          <w:lang w:val="fr-FR"/>
        </w:rPr>
        <w:t xml:space="preserve">roupe consultatif </w:t>
      </w:r>
      <w:r w:rsidRPr="0007414F">
        <w:rPr>
          <w:lang w:val="fr-FR"/>
        </w:rPr>
        <w:t xml:space="preserve">BMT </w:t>
      </w:r>
      <w:r w:rsidR="0056764C">
        <w:rPr>
          <w:lang w:val="fr-FR"/>
        </w:rPr>
        <w:t>pour traiter de tous les éléments relatifs</w:t>
      </w:r>
      <w:r w:rsidR="00D639EE">
        <w:rPr>
          <w:lang w:val="fr-FR"/>
        </w:rPr>
        <w:t xml:space="preserve"> au </w:t>
      </w:r>
      <w:r w:rsidR="00D639EE" w:rsidRPr="0007414F">
        <w:rPr>
          <w:lang w:val="fr-FR"/>
        </w:rPr>
        <w:t>BMT</w:t>
      </w:r>
      <w:r w:rsidRPr="0007414F">
        <w:rPr>
          <w:lang w:val="fr-FR"/>
        </w:rPr>
        <w:t xml:space="preserve"> </w:t>
      </w:r>
      <w:r w:rsidR="0056764C">
        <w:rPr>
          <w:lang w:val="fr-FR"/>
        </w:rPr>
        <w:t>dans le cadre des systèmes de semences</w:t>
      </w:r>
      <w:r w:rsidR="00DD1AC2" w:rsidRPr="00D639EE">
        <w:rPr>
          <w:lang w:val="fr-FR"/>
        </w:rPr>
        <w:t xml:space="preserve"> </w:t>
      </w:r>
      <w:r w:rsidR="00DD1AC2" w:rsidRPr="00DD1AC2">
        <w:rPr>
          <w:lang w:val="fr-FR"/>
        </w:rPr>
        <w:t>de l</w:t>
      </w:r>
      <w:r w:rsidR="00D639EE">
        <w:rPr>
          <w:lang w:val="fr-FR"/>
        </w:rPr>
        <w:t>’</w:t>
      </w:r>
      <w:r w:rsidR="00DD1AC2" w:rsidRPr="00DD1AC2">
        <w:rPr>
          <w:lang w:val="fr-FR"/>
        </w:rPr>
        <w:t>OCDE</w:t>
      </w:r>
      <w:r w:rsidR="0056764C">
        <w:rPr>
          <w:lang w:val="fr-FR"/>
        </w:rPr>
        <w:t xml:space="preserve">, notamment les questions en lien avec la </w:t>
      </w:r>
      <w:r w:rsidRPr="0007414F">
        <w:rPr>
          <w:lang w:val="fr-FR"/>
        </w:rPr>
        <w:t>coop</w:t>
      </w:r>
      <w:r w:rsidR="0056764C">
        <w:rPr>
          <w:lang w:val="fr-FR"/>
        </w:rPr>
        <w:t>é</w:t>
      </w:r>
      <w:r w:rsidRPr="0007414F">
        <w:rPr>
          <w:lang w:val="fr-FR"/>
        </w:rPr>
        <w:t xml:space="preserve">ration </w:t>
      </w:r>
      <w:r w:rsidR="0056764C">
        <w:rPr>
          <w:lang w:val="fr-FR"/>
        </w:rPr>
        <w:t>avec d</w:t>
      </w:r>
      <w:r w:rsidR="00D639EE">
        <w:rPr>
          <w:lang w:val="fr-FR"/>
        </w:rPr>
        <w:t>’</w:t>
      </w:r>
      <w:r w:rsidR="0056764C">
        <w:rPr>
          <w:lang w:val="fr-FR"/>
        </w:rPr>
        <w:t xml:space="preserve">autres organisations </w:t>
      </w:r>
      <w:r w:rsidRPr="0007414F">
        <w:rPr>
          <w:lang w:val="fr-FR"/>
        </w:rPr>
        <w:t>international</w:t>
      </w:r>
      <w:r w:rsidR="0056764C">
        <w:rPr>
          <w:lang w:val="fr-FR"/>
        </w:rPr>
        <w:t>e</w:t>
      </w:r>
      <w:r w:rsidRPr="0007414F">
        <w:rPr>
          <w:lang w:val="fr-FR"/>
        </w:rPr>
        <w:t>s.</w:t>
      </w:r>
    </w:p>
    <w:p w14:paraId="15C5D435" w14:textId="77777777" w:rsidR="00F40C98" w:rsidRPr="0007414F" w:rsidRDefault="00F40C98" w:rsidP="00744A12">
      <w:pPr>
        <w:rPr>
          <w:lang w:val="fr-FR"/>
        </w:rPr>
      </w:pPr>
    </w:p>
    <w:p w14:paraId="616AB71D" w14:textId="2AFBDFB4" w:rsidR="00CD7383" w:rsidRPr="0007414F" w:rsidRDefault="00CD7383" w:rsidP="00CD7383">
      <w:pPr>
        <w:pStyle w:val="DecisionParagraphs"/>
        <w:keepNext/>
        <w:keepLines/>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2420F2">
        <w:rPr>
          <w:lang w:val="fr-FR"/>
        </w:rPr>
        <w:t>Le</w:t>
      </w:r>
      <w:r w:rsidR="00D639EE">
        <w:rPr>
          <w:lang w:val="fr-FR"/>
        </w:rPr>
        <w:t> TC</w:t>
      </w:r>
      <w:r w:rsidR="002A1356">
        <w:rPr>
          <w:lang w:val="fr-FR"/>
        </w:rPr>
        <w:t xml:space="preserve"> est</w:t>
      </w:r>
      <w:r w:rsidRPr="0007414F">
        <w:rPr>
          <w:lang w:val="fr-FR"/>
        </w:rPr>
        <w:t xml:space="preserve"> invit</w:t>
      </w:r>
      <w:r w:rsidR="002A1356">
        <w:rPr>
          <w:lang w:val="fr-FR"/>
        </w:rPr>
        <w:t>é</w:t>
      </w:r>
      <w:r w:rsidRPr="0007414F">
        <w:rPr>
          <w:lang w:val="fr-FR"/>
        </w:rPr>
        <w:t xml:space="preserve"> </w:t>
      </w:r>
      <w:r w:rsidR="002A1356">
        <w:rPr>
          <w:lang w:val="fr-FR"/>
        </w:rPr>
        <w:t>à</w:t>
      </w:r>
      <w:r w:rsidR="00D639EE">
        <w:rPr>
          <w:lang w:val="fr-FR"/>
        </w:rPr>
        <w:t> :</w:t>
      </w:r>
    </w:p>
    <w:p w14:paraId="5D72BDF5" w14:textId="43B6DC35" w:rsidR="00D639EE" w:rsidRDefault="00D639EE" w:rsidP="00E40619">
      <w:pPr>
        <w:pStyle w:val="DecisionParagraphs"/>
        <w:keepNext/>
        <w:keepLines/>
        <w:rPr>
          <w:lang w:val="fr-FR"/>
        </w:rPr>
      </w:pPr>
    </w:p>
    <w:p w14:paraId="19657B38" w14:textId="570EA7C5" w:rsidR="00D639EE" w:rsidRDefault="006E7E88" w:rsidP="00CD7383">
      <w:pPr>
        <w:pStyle w:val="DecisionParagraphs"/>
        <w:keepLines/>
        <w:rPr>
          <w:lang w:val="fr-FR"/>
        </w:rPr>
      </w:pPr>
      <w:r>
        <w:rPr>
          <w:lang w:val="fr-FR"/>
        </w:rPr>
        <w:tab/>
      </w:r>
      <w:r w:rsidR="00E40619" w:rsidRPr="0007414F">
        <w:rPr>
          <w:lang w:val="fr-FR"/>
        </w:rPr>
        <w:t>a</w:t>
      </w:r>
      <w:r w:rsidR="00CD7383" w:rsidRPr="0007414F">
        <w:rPr>
          <w:lang w:val="fr-FR"/>
        </w:rPr>
        <w:t>)</w:t>
      </w:r>
      <w:r w:rsidR="00CD7383" w:rsidRPr="0007414F">
        <w:rPr>
          <w:lang w:val="fr-FR"/>
        </w:rPr>
        <w:tab/>
      </w:r>
      <w:r w:rsidR="002A1356">
        <w:rPr>
          <w:lang w:val="fr-FR"/>
        </w:rPr>
        <w:t xml:space="preserve">prendre </w:t>
      </w:r>
      <w:r w:rsidR="00CD7383" w:rsidRPr="0007414F">
        <w:rPr>
          <w:lang w:val="fr-FR"/>
        </w:rPr>
        <w:t xml:space="preserve">note </w:t>
      </w:r>
      <w:r w:rsidR="00DD1AC2">
        <w:rPr>
          <w:lang w:val="fr-FR"/>
        </w:rPr>
        <w:t>des ré</w:t>
      </w:r>
      <w:r w:rsidR="00CD7383" w:rsidRPr="0007414F">
        <w:rPr>
          <w:lang w:val="fr-FR"/>
        </w:rPr>
        <w:t>sult</w:t>
      </w:r>
      <w:r w:rsidR="00DD1AC2">
        <w:rPr>
          <w:lang w:val="fr-FR"/>
        </w:rPr>
        <w:t>at</w:t>
      </w:r>
      <w:r w:rsidR="00CD7383" w:rsidRPr="0007414F">
        <w:rPr>
          <w:lang w:val="fr-FR"/>
        </w:rPr>
        <w:t xml:space="preserve">s </w:t>
      </w:r>
      <w:r w:rsidR="00DD1AC2">
        <w:rPr>
          <w:lang w:val="fr-FR"/>
        </w:rPr>
        <w:t>de</w:t>
      </w:r>
      <w:r w:rsidR="00CD7383" w:rsidRPr="0007414F">
        <w:rPr>
          <w:lang w:val="fr-FR"/>
        </w:rPr>
        <w:t xml:space="preserve"> </w:t>
      </w:r>
      <w:r w:rsidR="00517EF9">
        <w:rPr>
          <w:lang w:val="fr-FR"/>
        </w:rPr>
        <w:t>l</w:t>
      </w:r>
      <w:r w:rsidR="00D639EE">
        <w:rPr>
          <w:lang w:val="fr-FR"/>
        </w:rPr>
        <w:t>’</w:t>
      </w:r>
      <w:r w:rsidR="00517EF9">
        <w:rPr>
          <w:lang w:val="fr-FR"/>
        </w:rPr>
        <w:t>enquête</w:t>
      </w:r>
      <w:r w:rsidR="00DD1AC2" w:rsidRPr="00DD1AC2">
        <w:rPr>
          <w:lang w:val="fr-FR"/>
        </w:rPr>
        <w:t>, par plante,</w:t>
      </w:r>
      <w:r w:rsidR="00CD7383" w:rsidRPr="0007414F">
        <w:rPr>
          <w:lang w:val="fr-FR"/>
        </w:rPr>
        <w:t xml:space="preserve"> </w:t>
      </w:r>
      <w:r w:rsidR="00DD1AC2">
        <w:rPr>
          <w:lang w:val="fr-FR"/>
        </w:rPr>
        <w:t>sur</w:t>
      </w:r>
      <w:r w:rsidR="00CD7383" w:rsidRPr="0007414F">
        <w:rPr>
          <w:lang w:val="fr-FR"/>
        </w:rPr>
        <w:t xml:space="preserve"> </w:t>
      </w:r>
      <w:r w:rsidR="00186CE3">
        <w:rPr>
          <w:lang w:val="fr-FR"/>
        </w:rPr>
        <w:t>l</w:t>
      </w:r>
      <w:r w:rsidR="00D639EE">
        <w:rPr>
          <w:lang w:val="fr-FR"/>
        </w:rPr>
        <w:t>’</w:t>
      </w:r>
      <w:r w:rsidR="00186CE3">
        <w:rPr>
          <w:lang w:val="fr-FR"/>
        </w:rPr>
        <w:t xml:space="preserve">utilisation </w:t>
      </w:r>
      <w:r w:rsidR="00DD1AC2">
        <w:rPr>
          <w:lang w:val="fr-FR"/>
        </w:rPr>
        <w:t xml:space="preserve">par les membres </w:t>
      </w:r>
      <w:r w:rsidR="00186CE3">
        <w:rPr>
          <w:lang w:val="fr-FR"/>
        </w:rPr>
        <w:t>des</w:t>
      </w:r>
      <w:r w:rsidR="00CD7383" w:rsidRPr="0007414F">
        <w:rPr>
          <w:lang w:val="fr-FR"/>
        </w:rPr>
        <w:t xml:space="preserve"> </w:t>
      </w:r>
      <w:r w:rsidR="00517EF9">
        <w:rPr>
          <w:lang w:val="fr-FR"/>
        </w:rPr>
        <w:t>techniques faisant intervenir des marqueurs moléculaires</w:t>
      </w:r>
      <w:r w:rsidR="00DD1AC2">
        <w:rPr>
          <w:lang w:val="fr-FR"/>
        </w:rPr>
        <w:t>,</w:t>
      </w:r>
      <w:r w:rsidR="00CD7383" w:rsidRPr="0007414F">
        <w:rPr>
          <w:lang w:val="fr-FR"/>
        </w:rPr>
        <w:t xml:space="preserve"> </w:t>
      </w:r>
      <w:r w:rsidR="00DD1AC2">
        <w:rPr>
          <w:lang w:val="fr-FR"/>
        </w:rPr>
        <w:t>figurant à l</w:t>
      </w:r>
      <w:r w:rsidR="00D639EE">
        <w:rPr>
          <w:lang w:val="fr-FR"/>
        </w:rPr>
        <w:t>’</w:t>
      </w:r>
      <w:r w:rsidR="00DD1AC2">
        <w:rPr>
          <w:lang w:val="fr-FR"/>
        </w:rPr>
        <w:t>a</w:t>
      </w:r>
      <w:r w:rsidR="00CD7383" w:rsidRPr="0007414F">
        <w:rPr>
          <w:lang w:val="fr-FR"/>
        </w:rPr>
        <w:t>nnex</w:t>
      </w:r>
      <w:r w:rsidR="00DD1AC2">
        <w:rPr>
          <w:lang w:val="fr-FR"/>
        </w:rPr>
        <w:t>e</w:t>
      </w:r>
      <w:r w:rsidR="00CD7383" w:rsidRPr="0007414F">
        <w:rPr>
          <w:lang w:val="fr-FR"/>
        </w:rPr>
        <w:t xml:space="preserve"> </w:t>
      </w:r>
      <w:r w:rsidR="00DD1AC2">
        <w:rPr>
          <w:lang w:val="fr-FR"/>
        </w:rPr>
        <w:t>du</w:t>
      </w:r>
      <w:r w:rsidR="00CD7383" w:rsidRPr="0007414F">
        <w:rPr>
          <w:lang w:val="fr-FR"/>
        </w:rPr>
        <w:t xml:space="preserve"> </w:t>
      </w:r>
      <w:r w:rsidR="00EB5ED6">
        <w:rPr>
          <w:lang w:val="fr-FR"/>
        </w:rPr>
        <w:t>présent document</w:t>
      </w:r>
      <w:r w:rsidR="00D639EE">
        <w:rPr>
          <w:lang w:val="fr-FR"/>
        </w:rPr>
        <w:t>;</w:t>
      </w:r>
    </w:p>
    <w:p w14:paraId="6071C62F" w14:textId="07927A2B" w:rsidR="00CD7383" w:rsidRPr="0007414F" w:rsidRDefault="00CD7383" w:rsidP="00CD7383">
      <w:pPr>
        <w:pStyle w:val="DecisionParagraphs"/>
        <w:rPr>
          <w:lang w:val="fr-FR"/>
        </w:rPr>
      </w:pPr>
    </w:p>
    <w:p w14:paraId="07CCD337" w14:textId="5CAF59AD" w:rsidR="00CD7383" w:rsidRPr="0007414F" w:rsidRDefault="006E7E88" w:rsidP="00CD7383">
      <w:pPr>
        <w:tabs>
          <w:tab w:val="left" w:pos="5387"/>
          <w:tab w:val="left" w:pos="5954"/>
        </w:tabs>
        <w:ind w:left="4820"/>
        <w:rPr>
          <w:i/>
          <w:lang w:val="fr-FR"/>
        </w:rPr>
      </w:pPr>
      <w:r>
        <w:rPr>
          <w:i/>
          <w:lang w:val="fr-FR"/>
        </w:rPr>
        <w:tab/>
      </w:r>
      <w:r w:rsidR="00E40619" w:rsidRPr="0007414F">
        <w:rPr>
          <w:i/>
          <w:lang w:val="fr-FR"/>
        </w:rPr>
        <w:t>b</w:t>
      </w:r>
      <w:r w:rsidR="00CD7383" w:rsidRPr="0007414F">
        <w:rPr>
          <w:i/>
          <w:lang w:val="fr-FR"/>
        </w:rPr>
        <w:t>)</w:t>
      </w:r>
      <w:r w:rsidR="00CD7383" w:rsidRPr="0007414F">
        <w:rPr>
          <w:i/>
          <w:lang w:val="fr-FR"/>
        </w:rPr>
        <w:tab/>
      </w:r>
      <w:r w:rsidR="002A1356" w:rsidRPr="002A1356">
        <w:rPr>
          <w:i/>
          <w:lang w:val="fr-FR"/>
        </w:rPr>
        <w:t xml:space="preserve">prendre </w:t>
      </w:r>
      <w:r w:rsidR="00EE7950" w:rsidRPr="0007414F">
        <w:rPr>
          <w:i/>
          <w:lang w:val="fr-FR"/>
        </w:rPr>
        <w:t xml:space="preserve">note </w:t>
      </w:r>
      <w:r w:rsidR="00DD1AC2">
        <w:rPr>
          <w:i/>
          <w:lang w:val="fr-FR"/>
        </w:rPr>
        <w:t xml:space="preserve">du projet de document commun </w:t>
      </w:r>
      <w:r w:rsidR="00DD1AC2" w:rsidRPr="00DD1AC2">
        <w:rPr>
          <w:i/>
          <w:lang w:val="fr-FR"/>
        </w:rPr>
        <w:t>présentant les particularités des systèmes de l</w:t>
      </w:r>
      <w:r w:rsidR="00D639EE">
        <w:rPr>
          <w:i/>
          <w:lang w:val="fr-FR"/>
        </w:rPr>
        <w:t>’</w:t>
      </w:r>
      <w:r w:rsidR="00DD1AC2" w:rsidRPr="00DD1AC2">
        <w:rPr>
          <w:i/>
          <w:lang w:val="fr-FR"/>
        </w:rPr>
        <w:t>OCDE, de l</w:t>
      </w:r>
      <w:r w:rsidR="00D639EE">
        <w:rPr>
          <w:i/>
          <w:lang w:val="fr-FR"/>
        </w:rPr>
        <w:t>’</w:t>
      </w:r>
      <w:r w:rsidR="00DD1AC2" w:rsidRPr="00DD1AC2">
        <w:rPr>
          <w:i/>
          <w:lang w:val="fr-FR"/>
        </w:rPr>
        <w:t>UPOV et de l</w:t>
      </w:r>
      <w:r w:rsidR="00D639EE">
        <w:rPr>
          <w:i/>
          <w:lang w:val="fr-FR"/>
        </w:rPr>
        <w:t>’</w:t>
      </w:r>
      <w:r w:rsidR="00DD1AC2" w:rsidRPr="00DD1AC2">
        <w:rPr>
          <w:i/>
          <w:lang w:val="fr-FR"/>
        </w:rPr>
        <w:t>ISTA</w:t>
      </w:r>
      <w:r w:rsidR="00D639EE">
        <w:rPr>
          <w:i/>
          <w:lang w:val="fr-FR"/>
        </w:rPr>
        <w:t>;</w:t>
      </w:r>
    </w:p>
    <w:p w14:paraId="57CFAC29" w14:textId="77777777" w:rsidR="00CD7383" w:rsidRPr="0007414F" w:rsidRDefault="00CD7383" w:rsidP="00CD7383">
      <w:pPr>
        <w:tabs>
          <w:tab w:val="left" w:pos="5387"/>
          <w:tab w:val="left" w:pos="5954"/>
        </w:tabs>
        <w:ind w:left="4820"/>
        <w:rPr>
          <w:i/>
          <w:highlight w:val="cyan"/>
          <w:lang w:val="fr-FR"/>
        </w:rPr>
      </w:pPr>
    </w:p>
    <w:p w14:paraId="550C9029" w14:textId="6B216C1D" w:rsidR="00CD7383" w:rsidRPr="0007414F" w:rsidRDefault="006E7E88" w:rsidP="00CD7383">
      <w:pPr>
        <w:tabs>
          <w:tab w:val="left" w:pos="5387"/>
          <w:tab w:val="left" w:pos="5954"/>
        </w:tabs>
        <w:ind w:left="4820"/>
        <w:rPr>
          <w:i/>
          <w:highlight w:val="cyan"/>
          <w:lang w:val="fr-FR"/>
        </w:rPr>
      </w:pPr>
      <w:r>
        <w:rPr>
          <w:i/>
          <w:lang w:val="fr-FR"/>
        </w:rPr>
        <w:tab/>
      </w:r>
      <w:r w:rsidR="00E40619" w:rsidRPr="0007414F">
        <w:rPr>
          <w:i/>
          <w:lang w:val="fr-FR"/>
        </w:rPr>
        <w:t>c</w:t>
      </w:r>
      <w:r w:rsidR="00CD7383" w:rsidRPr="0007414F">
        <w:rPr>
          <w:i/>
          <w:lang w:val="fr-FR"/>
        </w:rPr>
        <w:t>)</w:t>
      </w:r>
      <w:r w:rsidR="00CD7383" w:rsidRPr="0007414F">
        <w:rPr>
          <w:i/>
          <w:lang w:val="fr-FR"/>
        </w:rPr>
        <w:tab/>
      </w:r>
      <w:r w:rsidR="002A1356" w:rsidRPr="002A1356">
        <w:rPr>
          <w:i/>
          <w:lang w:val="fr-FR"/>
        </w:rPr>
        <w:t xml:space="preserve">prendre </w:t>
      </w:r>
      <w:r w:rsidR="00EE7950" w:rsidRPr="0007414F">
        <w:rPr>
          <w:i/>
          <w:lang w:val="fr-FR"/>
        </w:rPr>
        <w:t xml:space="preserve">note </w:t>
      </w:r>
      <w:r w:rsidR="00DD1AC2">
        <w:rPr>
          <w:i/>
          <w:lang w:val="fr-FR"/>
        </w:rPr>
        <w:t>des éléments proposés par le</w:t>
      </w:r>
      <w:r w:rsidR="00D639EE">
        <w:rPr>
          <w:i/>
          <w:lang w:val="fr-FR"/>
        </w:rPr>
        <w:t> TC</w:t>
      </w:r>
      <w:r w:rsidR="00DD1AC2">
        <w:rPr>
          <w:i/>
          <w:lang w:val="fr-FR"/>
        </w:rPr>
        <w:t xml:space="preserve"> pour un</w:t>
      </w:r>
      <w:r w:rsidR="00CD7383" w:rsidRPr="0007414F">
        <w:rPr>
          <w:i/>
          <w:lang w:val="fr-FR"/>
        </w:rPr>
        <w:t xml:space="preserve"> futur</w:t>
      </w:r>
      <w:r w:rsidR="00DD1AC2">
        <w:rPr>
          <w:i/>
          <w:lang w:val="fr-FR"/>
        </w:rPr>
        <w:t xml:space="preserve"> atelier con</w:t>
      </w:r>
      <w:r w:rsidR="00CD7383" w:rsidRPr="0007414F">
        <w:rPr>
          <w:i/>
          <w:lang w:val="fr-FR"/>
        </w:rPr>
        <w:t>joint UPOV/</w:t>
      </w:r>
      <w:r w:rsidR="002338B5">
        <w:rPr>
          <w:i/>
          <w:lang w:val="fr-FR"/>
        </w:rPr>
        <w:t>OCDE</w:t>
      </w:r>
      <w:r w:rsidR="00CD7383" w:rsidRPr="0007414F">
        <w:rPr>
          <w:i/>
          <w:lang w:val="fr-FR"/>
        </w:rPr>
        <w:t xml:space="preserve">/ISTA, </w:t>
      </w:r>
      <w:r w:rsidR="000C4996">
        <w:rPr>
          <w:i/>
          <w:lang w:val="fr-FR"/>
        </w:rPr>
        <w:t>tels qu</w:t>
      </w:r>
      <w:r w:rsidR="00D639EE">
        <w:rPr>
          <w:i/>
          <w:lang w:val="fr-FR"/>
        </w:rPr>
        <w:t>’</w:t>
      </w:r>
      <w:r w:rsidR="000C4996">
        <w:rPr>
          <w:i/>
          <w:lang w:val="fr-FR"/>
        </w:rPr>
        <w:t xml:space="preserve">exposés au </w:t>
      </w:r>
      <w:r w:rsidR="00D639EE" w:rsidRPr="0007414F">
        <w:rPr>
          <w:i/>
          <w:lang w:val="fr-FR"/>
        </w:rPr>
        <w:t>paragraph</w:t>
      </w:r>
      <w:r w:rsidR="00D639EE">
        <w:rPr>
          <w:i/>
          <w:lang w:val="fr-FR"/>
        </w:rPr>
        <w:t>e </w:t>
      </w:r>
      <w:r w:rsidR="00D639EE" w:rsidRPr="0007414F">
        <w:rPr>
          <w:i/>
          <w:lang w:val="fr-FR"/>
        </w:rPr>
        <w:t>1</w:t>
      </w:r>
      <w:r w:rsidR="00E40619" w:rsidRPr="0007414F">
        <w:rPr>
          <w:i/>
          <w:lang w:val="fr-FR"/>
        </w:rPr>
        <w:t>7</w:t>
      </w:r>
      <w:r w:rsidR="00CD7383" w:rsidRPr="0007414F">
        <w:rPr>
          <w:i/>
          <w:lang w:val="fr-FR"/>
        </w:rPr>
        <w:t xml:space="preserve"> </w:t>
      </w:r>
      <w:r w:rsidR="000C4996">
        <w:rPr>
          <w:i/>
          <w:lang w:val="fr-FR"/>
        </w:rPr>
        <w:t>du</w:t>
      </w:r>
      <w:r w:rsidR="00CD7383" w:rsidRPr="0007414F">
        <w:rPr>
          <w:i/>
          <w:lang w:val="fr-FR"/>
        </w:rPr>
        <w:t xml:space="preserve"> </w:t>
      </w:r>
      <w:r w:rsidR="00EB5ED6">
        <w:rPr>
          <w:i/>
          <w:lang w:val="fr-FR"/>
        </w:rPr>
        <w:t xml:space="preserve">présent </w:t>
      </w:r>
      <w:proofErr w:type="gramStart"/>
      <w:r w:rsidR="00EB5ED6">
        <w:rPr>
          <w:i/>
          <w:lang w:val="fr-FR"/>
        </w:rPr>
        <w:t>document</w:t>
      </w:r>
      <w:r w:rsidR="00D639EE">
        <w:rPr>
          <w:i/>
          <w:lang w:val="fr-FR"/>
        </w:rPr>
        <w:t xml:space="preserve">;  </w:t>
      </w:r>
      <w:r w:rsidR="008509CE">
        <w:rPr>
          <w:i/>
          <w:lang w:val="fr-FR"/>
        </w:rPr>
        <w:t>et</w:t>
      </w:r>
      <w:proofErr w:type="gramEnd"/>
    </w:p>
    <w:p w14:paraId="15EE3ECB" w14:textId="77777777" w:rsidR="00D639EE" w:rsidRDefault="00D639EE" w:rsidP="00CD7383">
      <w:pPr>
        <w:tabs>
          <w:tab w:val="left" w:pos="5387"/>
          <w:tab w:val="left" w:pos="5954"/>
        </w:tabs>
        <w:ind w:left="4820"/>
        <w:rPr>
          <w:i/>
          <w:highlight w:val="cyan"/>
          <w:lang w:val="fr-FR"/>
        </w:rPr>
      </w:pPr>
    </w:p>
    <w:p w14:paraId="442C0337" w14:textId="647882D3" w:rsidR="00CD7383" w:rsidRPr="0007414F" w:rsidRDefault="00CD7383" w:rsidP="00E40619">
      <w:pPr>
        <w:tabs>
          <w:tab w:val="left" w:pos="5387"/>
          <w:tab w:val="left" w:pos="5954"/>
        </w:tabs>
        <w:ind w:left="4820"/>
        <w:rPr>
          <w:i/>
          <w:lang w:val="fr-FR"/>
        </w:rPr>
      </w:pPr>
      <w:r w:rsidRPr="0007414F">
        <w:rPr>
          <w:i/>
          <w:lang w:val="fr-FR"/>
        </w:rPr>
        <w:tab/>
      </w:r>
      <w:r w:rsidR="00E40619" w:rsidRPr="0007414F">
        <w:rPr>
          <w:i/>
          <w:lang w:val="fr-FR"/>
        </w:rPr>
        <w:t>d)</w:t>
      </w:r>
      <w:r w:rsidR="00E40619" w:rsidRPr="0007414F">
        <w:rPr>
          <w:i/>
          <w:lang w:val="fr-FR"/>
        </w:rPr>
        <w:tab/>
      </w:r>
      <w:r w:rsidR="002A1356" w:rsidRPr="002A1356">
        <w:rPr>
          <w:i/>
          <w:lang w:val="fr-FR"/>
        </w:rPr>
        <w:t xml:space="preserve">prendre </w:t>
      </w:r>
      <w:r w:rsidR="00E40619" w:rsidRPr="0007414F">
        <w:rPr>
          <w:i/>
          <w:lang w:val="fr-FR"/>
        </w:rPr>
        <w:t>n</w:t>
      </w:r>
      <w:r w:rsidR="00EE7950" w:rsidRPr="0007414F">
        <w:rPr>
          <w:i/>
          <w:lang w:val="fr-FR"/>
        </w:rPr>
        <w:t xml:space="preserve">ote </w:t>
      </w:r>
      <w:r w:rsidR="000C4996">
        <w:rPr>
          <w:i/>
          <w:lang w:val="fr-FR"/>
        </w:rPr>
        <w:t>d</w:t>
      </w:r>
      <w:r w:rsidR="008509CE">
        <w:rPr>
          <w:i/>
          <w:lang w:val="fr-FR"/>
        </w:rPr>
        <w:t>e</w:t>
      </w:r>
      <w:r w:rsidR="000C4996">
        <w:rPr>
          <w:i/>
          <w:lang w:val="fr-FR"/>
        </w:rPr>
        <w:t>s</w:t>
      </w:r>
      <w:r w:rsidR="00EE7950" w:rsidRPr="0007414F">
        <w:rPr>
          <w:i/>
          <w:lang w:val="fr-FR"/>
        </w:rPr>
        <w:t xml:space="preserve"> information</w:t>
      </w:r>
      <w:r w:rsidR="000C4996">
        <w:rPr>
          <w:i/>
          <w:lang w:val="fr-FR"/>
        </w:rPr>
        <w:t>s</w:t>
      </w:r>
      <w:r w:rsidR="00EE7950" w:rsidRPr="0007414F">
        <w:rPr>
          <w:i/>
          <w:lang w:val="fr-FR"/>
        </w:rPr>
        <w:t xml:space="preserve"> </w:t>
      </w:r>
      <w:r w:rsidR="000C4996">
        <w:rPr>
          <w:i/>
          <w:lang w:val="fr-FR"/>
        </w:rPr>
        <w:t>de l</w:t>
      </w:r>
      <w:r w:rsidR="00D639EE">
        <w:rPr>
          <w:i/>
          <w:lang w:val="fr-FR"/>
        </w:rPr>
        <w:t>’</w:t>
      </w:r>
      <w:r w:rsidR="002338B5">
        <w:rPr>
          <w:i/>
          <w:lang w:val="fr-FR"/>
        </w:rPr>
        <w:t>OCDE</w:t>
      </w:r>
      <w:r w:rsidR="00EE7950" w:rsidRPr="0007414F">
        <w:rPr>
          <w:i/>
          <w:lang w:val="fr-FR"/>
        </w:rPr>
        <w:t xml:space="preserve"> </w:t>
      </w:r>
      <w:r w:rsidR="008509CE">
        <w:rPr>
          <w:i/>
          <w:lang w:val="fr-FR"/>
        </w:rPr>
        <w:t>et</w:t>
      </w:r>
      <w:r w:rsidR="00EE7950" w:rsidRPr="0007414F">
        <w:rPr>
          <w:i/>
          <w:lang w:val="fr-FR"/>
        </w:rPr>
        <w:t xml:space="preserve"> </w:t>
      </w:r>
      <w:r w:rsidR="000C4996">
        <w:rPr>
          <w:i/>
          <w:lang w:val="fr-FR"/>
        </w:rPr>
        <w:t>de l</w:t>
      </w:r>
      <w:r w:rsidR="00D639EE">
        <w:rPr>
          <w:i/>
          <w:lang w:val="fr-FR"/>
        </w:rPr>
        <w:t>’</w:t>
      </w:r>
      <w:r w:rsidR="00EE7950" w:rsidRPr="0007414F">
        <w:rPr>
          <w:i/>
          <w:lang w:val="fr-FR"/>
        </w:rPr>
        <w:t>ISTA</w:t>
      </w:r>
      <w:r w:rsidR="000C4996">
        <w:rPr>
          <w:i/>
          <w:lang w:val="fr-FR"/>
        </w:rPr>
        <w:t xml:space="preserve"> selon lesquelles,</w:t>
      </w:r>
      <w:r w:rsidR="000C4996" w:rsidRPr="00D639EE">
        <w:rPr>
          <w:i/>
          <w:iCs/>
          <w:lang w:val="fr-FR"/>
        </w:rPr>
        <w:t xml:space="preserve"> </w:t>
      </w:r>
      <w:r w:rsidR="000C4996" w:rsidRPr="000C4996">
        <w:rPr>
          <w:i/>
          <w:lang w:val="fr-FR"/>
        </w:rPr>
        <w:t>en l</w:t>
      </w:r>
      <w:r w:rsidR="00D639EE">
        <w:rPr>
          <w:i/>
          <w:lang w:val="fr-FR"/>
        </w:rPr>
        <w:t>’</w:t>
      </w:r>
      <w:r w:rsidR="000C4996" w:rsidRPr="000C4996">
        <w:rPr>
          <w:i/>
          <w:lang w:val="fr-FR"/>
        </w:rPr>
        <w:t xml:space="preserve">absence de faits nouveaux significatifs à discuter, il </w:t>
      </w:r>
      <w:r w:rsidR="000C4996">
        <w:rPr>
          <w:i/>
          <w:lang w:val="fr-FR"/>
        </w:rPr>
        <w:t>ser</w:t>
      </w:r>
      <w:r w:rsidR="000C4996" w:rsidRPr="000C4996">
        <w:rPr>
          <w:i/>
          <w:lang w:val="fr-FR"/>
        </w:rPr>
        <w:t xml:space="preserve">ait sans doute préférable de prévoir un atelier conjoint au plus tôt </w:t>
      </w:r>
      <w:r w:rsidR="00D639EE" w:rsidRPr="000C4996">
        <w:rPr>
          <w:i/>
          <w:lang w:val="fr-FR"/>
        </w:rPr>
        <w:t>en</w:t>
      </w:r>
      <w:r w:rsidR="00D639EE">
        <w:rPr>
          <w:i/>
          <w:lang w:val="fr-FR"/>
        </w:rPr>
        <w:t> </w:t>
      </w:r>
      <w:r w:rsidR="00D639EE" w:rsidRPr="000C4996">
        <w:rPr>
          <w:i/>
          <w:lang w:val="fr-FR"/>
        </w:rPr>
        <w:t>2023</w:t>
      </w:r>
      <w:r w:rsidR="00EE7950" w:rsidRPr="0007414F">
        <w:rPr>
          <w:i/>
          <w:lang w:val="fr-FR"/>
        </w:rPr>
        <w:t>.</w:t>
      </w:r>
    </w:p>
    <w:p w14:paraId="67841B43" w14:textId="77777777" w:rsidR="00F40C98" w:rsidRPr="0007414F" w:rsidRDefault="00F40C98" w:rsidP="00744A12">
      <w:pPr>
        <w:rPr>
          <w:lang w:val="fr-FR"/>
        </w:rPr>
      </w:pPr>
    </w:p>
    <w:p w14:paraId="5216C1B7" w14:textId="77777777" w:rsidR="00CD7383" w:rsidRPr="0007414F" w:rsidRDefault="00CD7383" w:rsidP="00744A12">
      <w:pPr>
        <w:rPr>
          <w:lang w:val="fr-FR"/>
        </w:rPr>
      </w:pPr>
    </w:p>
    <w:p w14:paraId="4E12644B" w14:textId="77777777" w:rsidR="00CD7383" w:rsidRPr="0007414F" w:rsidRDefault="00CD7383" w:rsidP="00744A12">
      <w:pPr>
        <w:rPr>
          <w:lang w:val="fr-FR"/>
        </w:rPr>
      </w:pPr>
    </w:p>
    <w:p w14:paraId="3F8160DE" w14:textId="47D33211" w:rsidR="000C4996" w:rsidRDefault="000C4996" w:rsidP="00744A12">
      <w:pPr>
        <w:pStyle w:val="Heading1"/>
        <w:rPr>
          <w:snapToGrid w:val="0"/>
          <w:lang w:val="fr-FR"/>
        </w:rPr>
      </w:pPr>
      <w:bookmarkStart w:id="34" w:name="_Toc116986220"/>
      <w:bookmarkStart w:id="35" w:name="_Toc69722870"/>
      <w:bookmarkStart w:id="36" w:name="_Toc84364034"/>
      <w:bookmarkStart w:id="37" w:name="_Toc84415958"/>
      <w:bookmarkStart w:id="38" w:name="_Toc97892761"/>
      <w:bookmarkStart w:id="39" w:name="_Toc115819541"/>
      <w:r w:rsidRPr="000C4996">
        <w:rPr>
          <w:snapToGrid w:val="0"/>
          <w:lang w:val="fr-FR"/>
        </w:rPr>
        <w:t>S</w:t>
      </w:r>
      <w:r w:rsidR="006E7E88">
        <w:rPr>
          <w:snapToGrid w:val="0"/>
          <w:lang w:val="fr-FR"/>
        </w:rPr>
        <w:t>ession visant à faciliter la coopération en matière d’utilisation des techniques moléculaires</w:t>
      </w:r>
      <w:bookmarkEnd w:id="34"/>
    </w:p>
    <w:bookmarkEnd w:id="35"/>
    <w:bookmarkEnd w:id="36"/>
    <w:bookmarkEnd w:id="37"/>
    <w:bookmarkEnd w:id="38"/>
    <w:bookmarkEnd w:id="39"/>
    <w:p w14:paraId="035972D7" w14:textId="77777777" w:rsidR="00744A12" w:rsidRPr="0007414F" w:rsidRDefault="00744A12" w:rsidP="00744A12">
      <w:pPr>
        <w:keepNext/>
        <w:rPr>
          <w:lang w:val="fr-FR"/>
        </w:rPr>
      </w:pPr>
    </w:p>
    <w:p w14:paraId="19974ED7" w14:textId="08783B39" w:rsidR="00744A12" w:rsidRPr="0007414F" w:rsidRDefault="00744A12" w:rsidP="00744A12">
      <w:pPr>
        <w:keepNext/>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0C4996" w:rsidRPr="000C4996">
        <w:rPr>
          <w:lang w:val="fr-FR"/>
        </w:rPr>
        <w:t>À sa cinquante</w:t>
      </w:r>
      <w:r w:rsidR="006E7E88">
        <w:rPr>
          <w:lang w:val="fr-FR"/>
        </w:rPr>
        <w:noBreakHyphen/>
      </w:r>
      <w:r w:rsidR="000C4996">
        <w:rPr>
          <w:lang w:val="fr-FR"/>
        </w:rPr>
        <w:t>quatr</w:t>
      </w:r>
      <w:r w:rsidR="00D639EE">
        <w:rPr>
          <w:lang w:val="fr-FR"/>
        </w:rPr>
        <w:t>ième session</w:t>
      </w:r>
      <w:r w:rsidRPr="0007414F">
        <w:rPr>
          <w:rStyle w:val="FootnoteReference"/>
          <w:lang w:val="fr-FR"/>
        </w:rPr>
        <w:footnoteReference w:id="9"/>
      </w:r>
      <w:r w:rsidRPr="0007414F">
        <w:rPr>
          <w:lang w:val="fr-FR"/>
        </w:rPr>
        <w:t xml:space="preserve">, </w:t>
      </w:r>
      <w:r w:rsidR="000C4996">
        <w:rPr>
          <w:lang w:val="fr-FR"/>
        </w:rPr>
        <w:t>le</w:t>
      </w:r>
      <w:r w:rsidR="00D639EE">
        <w:rPr>
          <w:lang w:val="fr-FR"/>
        </w:rPr>
        <w:t> TC</w:t>
      </w:r>
      <w:r w:rsidR="000C4996">
        <w:rPr>
          <w:lang w:val="fr-FR"/>
        </w:rPr>
        <w:t xml:space="preserve"> </w:t>
      </w:r>
      <w:r w:rsidR="00D5632E">
        <w:rPr>
          <w:lang w:val="fr-FR"/>
        </w:rPr>
        <w:t xml:space="preserve">est convenu de mettre en place à chaque TWP des groupes de </w:t>
      </w:r>
      <w:r w:rsidRPr="0007414F">
        <w:rPr>
          <w:lang w:val="fr-FR"/>
        </w:rPr>
        <w:t xml:space="preserve">discussion </w:t>
      </w:r>
      <w:r w:rsidR="00D5632E">
        <w:rPr>
          <w:lang w:val="fr-FR"/>
        </w:rPr>
        <w:t>pour les principales plantes, afin de permettre aux p</w:t>
      </w:r>
      <w:r w:rsidRPr="0007414F">
        <w:rPr>
          <w:lang w:val="fr-FR"/>
        </w:rPr>
        <w:t xml:space="preserve">articipants </w:t>
      </w:r>
      <w:r w:rsidR="00D5632E" w:rsidRPr="00D5632E">
        <w:rPr>
          <w:lang w:val="fr-FR"/>
        </w:rPr>
        <w:t>d</w:t>
      </w:r>
      <w:r w:rsidR="00D639EE">
        <w:rPr>
          <w:lang w:val="fr-FR"/>
        </w:rPr>
        <w:t>’</w:t>
      </w:r>
      <w:r w:rsidR="00D5632E" w:rsidRPr="00D5632E">
        <w:rPr>
          <w:lang w:val="fr-FR"/>
        </w:rPr>
        <w:t xml:space="preserve">échanger des informations sur </w:t>
      </w:r>
      <w:r w:rsidR="00915233">
        <w:rPr>
          <w:lang w:val="fr-FR"/>
        </w:rPr>
        <w:t>leur travail</w:t>
      </w:r>
      <w:r w:rsidR="00D5632E" w:rsidRPr="00D5632E">
        <w:rPr>
          <w:lang w:val="fr-FR"/>
        </w:rPr>
        <w:t xml:space="preserve"> et </w:t>
      </w:r>
      <w:r w:rsidR="00915233">
        <w:rPr>
          <w:lang w:val="fr-FR"/>
        </w:rPr>
        <w:t>d</w:t>
      </w:r>
      <w:r w:rsidR="00D639EE">
        <w:rPr>
          <w:lang w:val="fr-FR"/>
        </w:rPr>
        <w:t>’</w:t>
      </w:r>
      <w:r w:rsidR="00D5632E" w:rsidRPr="00D5632E">
        <w:rPr>
          <w:lang w:val="fr-FR"/>
        </w:rPr>
        <w:t xml:space="preserve">explorer les domaines de coopération </w:t>
      </w:r>
      <w:r w:rsidRPr="0007414F">
        <w:rPr>
          <w:lang w:val="fr-FR"/>
        </w:rPr>
        <w:t>(</w:t>
      </w:r>
      <w:r w:rsidR="00915233">
        <w:rPr>
          <w:lang w:val="fr-FR"/>
        </w:rPr>
        <w:t xml:space="preserve">voir le </w:t>
      </w:r>
      <w:r w:rsidR="00D639EE">
        <w:rPr>
          <w:lang w:val="fr-FR"/>
        </w:rPr>
        <w:t>paragraphe 2</w:t>
      </w:r>
      <w:r w:rsidR="00915233">
        <w:rPr>
          <w:lang w:val="fr-FR"/>
        </w:rPr>
        <w:t>81 du</w:t>
      </w:r>
      <w:r w:rsidRPr="0007414F">
        <w:rPr>
          <w:lang w:val="fr-FR"/>
        </w:rPr>
        <w:t xml:space="preserve"> </w:t>
      </w:r>
      <w:r w:rsidR="00D639EE" w:rsidRPr="0007414F">
        <w:rPr>
          <w:lang w:val="fr-FR"/>
        </w:rPr>
        <w:t>document</w:t>
      </w:r>
      <w:r w:rsidR="00D639EE">
        <w:rPr>
          <w:lang w:val="fr-FR"/>
        </w:rPr>
        <w:t xml:space="preserve"> TC</w:t>
      </w:r>
      <w:r w:rsidRPr="0007414F">
        <w:rPr>
          <w:lang w:val="fr-FR"/>
        </w:rPr>
        <w:t>/54/31 “</w:t>
      </w:r>
      <w:r w:rsidR="00915233">
        <w:rPr>
          <w:lang w:val="fr-FR"/>
        </w:rPr>
        <w:t>Compte rendu</w:t>
      </w:r>
      <w:r w:rsidRPr="0007414F">
        <w:rPr>
          <w:lang w:val="fr-FR"/>
        </w:rPr>
        <w:t>”).</w:t>
      </w:r>
    </w:p>
    <w:p w14:paraId="5CB85270" w14:textId="77777777" w:rsidR="00744A12" w:rsidRPr="0007414F" w:rsidRDefault="00744A12" w:rsidP="00744A12">
      <w:pPr>
        <w:keepNext/>
        <w:rPr>
          <w:lang w:val="fr-FR"/>
        </w:rPr>
      </w:pPr>
    </w:p>
    <w:p w14:paraId="263F85B4" w14:textId="7BA9A77F" w:rsidR="00744A12" w:rsidRPr="0007414F" w:rsidRDefault="00915233" w:rsidP="00744A12">
      <w:pPr>
        <w:pStyle w:val="Heading2"/>
        <w:rPr>
          <w:lang w:val="fr-FR"/>
        </w:rPr>
      </w:pPr>
      <w:bookmarkStart w:id="40" w:name="_Toc84415959"/>
      <w:bookmarkStart w:id="41" w:name="_Toc97892762"/>
      <w:bookmarkStart w:id="42" w:name="_Toc115819542"/>
      <w:bookmarkStart w:id="43" w:name="_Toc116986221"/>
      <w:r>
        <w:rPr>
          <w:lang w:val="fr-FR"/>
        </w:rPr>
        <w:t>Groupes de travail t</w:t>
      </w:r>
      <w:r w:rsidR="00744A12" w:rsidRPr="0007414F">
        <w:rPr>
          <w:lang w:val="fr-FR"/>
        </w:rPr>
        <w:t>echni</w:t>
      </w:r>
      <w:r>
        <w:rPr>
          <w:lang w:val="fr-FR"/>
        </w:rPr>
        <w:t>ques</w:t>
      </w:r>
      <w:r w:rsidR="00744A12" w:rsidRPr="0007414F">
        <w:rPr>
          <w:lang w:val="fr-FR"/>
        </w:rPr>
        <w:t xml:space="preserve"> (TWP)</w:t>
      </w:r>
      <w:bookmarkEnd w:id="40"/>
      <w:bookmarkEnd w:id="41"/>
      <w:bookmarkEnd w:id="42"/>
      <w:bookmarkEnd w:id="43"/>
    </w:p>
    <w:p w14:paraId="6DF91D42" w14:textId="77777777" w:rsidR="00744A12" w:rsidRPr="0007414F" w:rsidRDefault="00744A12" w:rsidP="00744A12">
      <w:pPr>
        <w:keepNext/>
        <w:rPr>
          <w:lang w:val="fr-FR"/>
        </w:rPr>
      </w:pPr>
    </w:p>
    <w:p w14:paraId="08E46923" w14:textId="5E95B3E3" w:rsidR="00DE5CB9" w:rsidRPr="0007414F" w:rsidRDefault="00DE5CB9" w:rsidP="00DE5CB9">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0C4996" w:rsidRPr="000C4996">
        <w:rPr>
          <w:lang w:val="fr-FR"/>
        </w:rPr>
        <w:t>À sa cinquante</w:t>
      </w:r>
      <w:r w:rsidR="00D639EE">
        <w:rPr>
          <w:lang w:val="fr-FR"/>
        </w:rPr>
        <w:t> et unième session</w:t>
      </w:r>
      <w:r w:rsidRPr="0007414F">
        <w:rPr>
          <w:vertAlign w:val="superscript"/>
          <w:lang w:val="fr-FR"/>
        </w:rPr>
        <w:footnoteReference w:id="10"/>
      </w:r>
      <w:r w:rsidRPr="0007414F">
        <w:rPr>
          <w:lang w:val="fr-FR"/>
        </w:rPr>
        <w:t>,</w:t>
      </w:r>
      <w:r w:rsidR="00D639EE" w:rsidRPr="0007414F">
        <w:rPr>
          <w:lang w:val="fr-FR"/>
        </w:rPr>
        <w:t xml:space="preserve"> </w:t>
      </w:r>
      <w:r w:rsidR="00D639EE">
        <w:rPr>
          <w:lang w:val="fr-FR"/>
        </w:rPr>
        <w:t>l</w:t>
      </w:r>
      <w:r w:rsidR="00D639EE" w:rsidRPr="000C4996">
        <w:rPr>
          <w:lang w:val="fr-FR"/>
        </w:rPr>
        <w:t>e</w:t>
      </w:r>
      <w:r w:rsidR="00D639EE">
        <w:rPr>
          <w:lang w:val="fr-FR"/>
        </w:rPr>
        <w:t> </w:t>
      </w:r>
      <w:r w:rsidR="00D639EE" w:rsidRPr="000C4996">
        <w:rPr>
          <w:lang w:val="fr-FR"/>
        </w:rPr>
        <w:t>TWA</w:t>
      </w:r>
      <w:r w:rsidR="00915233">
        <w:rPr>
          <w:lang w:val="fr-FR"/>
        </w:rPr>
        <w:t xml:space="preserve"> a tenu une séance de </w:t>
      </w:r>
      <w:r w:rsidRPr="0007414F">
        <w:rPr>
          <w:lang w:val="fr-FR"/>
        </w:rPr>
        <w:t xml:space="preserve">discussion </w:t>
      </w:r>
      <w:r w:rsidR="00915233">
        <w:rPr>
          <w:lang w:val="fr-FR"/>
        </w:rPr>
        <w:t>pour</w:t>
      </w:r>
      <w:r w:rsidRPr="0007414F">
        <w:rPr>
          <w:lang w:val="fr-FR"/>
        </w:rPr>
        <w:t xml:space="preserve"> </w:t>
      </w:r>
      <w:r w:rsidR="00915233" w:rsidRPr="00915233">
        <w:rPr>
          <w:lang w:val="fr-FR"/>
        </w:rPr>
        <w:t>permettre aux participants d</w:t>
      </w:r>
      <w:r w:rsidR="00D639EE">
        <w:rPr>
          <w:lang w:val="fr-FR"/>
        </w:rPr>
        <w:t>’</w:t>
      </w:r>
      <w:r w:rsidR="00915233" w:rsidRPr="00915233">
        <w:rPr>
          <w:lang w:val="fr-FR"/>
        </w:rPr>
        <w:t xml:space="preserve">échanger des informations sur </w:t>
      </w:r>
      <w:r w:rsidR="00915233">
        <w:rPr>
          <w:lang w:val="fr-FR"/>
        </w:rPr>
        <w:t>leur travail</w:t>
      </w:r>
      <w:r w:rsidR="00915233" w:rsidRPr="00915233">
        <w:rPr>
          <w:lang w:val="fr-FR"/>
        </w:rPr>
        <w:t xml:space="preserve"> en matière d</w:t>
      </w:r>
      <w:r w:rsidR="00D639EE">
        <w:rPr>
          <w:lang w:val="fr-FR"/>
        </w:rPr>
        <w:t>’</w:t>
      </w:r>
      <w:r w:rsidR="00915233" w:rsidRPr="00915233">
        <w:rPr>
          <w:lang w:val="fr-FR"/>
        </w:rPr>
        <w:t>utilisation de techniques biochimiques et moléculaires et d</w:t>
      </w:r>
      <w:r w:rsidR="00D639EE">
        <w:rPr>
          <w:lang w:val="fr-FR"/>
        </w:rPr>
        <w:t>’</w:t>
      </w:r>
      <w:r w:rsidR="00915233" w:rsidRPr="00915233">
        <w:rPr>
          <w:lang w:val="fr-FR"/>
        </w:rPr>
        <w:t xml:space="preserve">explorer les domaines de coopération </w:t>
      </w:r>
      <w:r w:rsidRPr="0007414F">
        <w:rPr>
          <w:lang w:val="fr-FR"/>
        </w:rPr>
        <w:t>possibl</w:t>
      </w:r>
      <w:r w:rsidR="001C11A6" w:rsidRPr="0007414F">
        <w:rPr>
          <w:lang w:val="fr-FR"/>
        </w:rPr>
        <w:t>es</w:t>
      </w:r>
      <w:r w:rsidR="001C11A6">
        <w:rPr>
          <w:lang w:val="fr-FR"/>
        </w:rPr>
        <w:t>.  Le</w:t>
      </w:r>
      <w:r w:rsidR="00D639EE">
        <w:rPr>
          <w:lang w:val="fr-FR"/>
        </w:rPr>
        <w:t> </w:t>
      </w:r>
      <w:r w:rsidR="00D639EE" w:rsidRPr="0007414F">
        <w:rPr>
          <w:lang w:val="fr-FR"/>
        </w:rPr>
        <w:t>TWA</w:t>
      </w:r>
      <w:r w:rsidRPr="0007414F">
        <w:rPr>
          <w:lang w:val="fr-FR"/>
        </w:rPr>
        <w:t xml:space="preserve"> </w:t>
      </w:r>
      <w:r w:rsidR="00915233">
        <w:rPr>
          <w:lang w:val="fr-FR"/>
        </w:rPr>
        <w:t>a examiné le support éventuel que pouvait apporter l</w:t>
      </w:r>
      <w:r w:rsidR="00D639EE">
        <w:rPr>
          <w:lang w:val="fr-FR"/>
        </w:rPr>
        <w:t>’</w:t>
      </w:r>
      <w:r w:rsidRPr="0007414F">
        <w:rPr>
          <w:lang w:val="fr-FR"/>
        </w:rPr>
        <w:t xml:space="preserve">UPOV </w:t>
      </w:r>
      <w:r w:rsidR="00915233">
        <w:rPr>
          <w:lang w:val="fr-FR"/>
        </w:rPr>
        <w:t>à l</w:t>
      </w:r>
      <w:r w:rsidR="00D639EE">
        <w:rPr>
          <w:lang w:val="fr-FR"/>
        </w:rPr>
        <w:t>’</w:t>
      </w:r>
      <w:r w:rsidRPr="0007414F">
        <w:rPr>
          <w:lang w:val="fr-FR"/>
        </w:rPr>
        <w:t>harmoni</w:t>
      </w:r>
      <w:r w:rsidR="00915233">
        <w:rPr>
          <w:lang w:val="fr-FR"/>
        </w:rPr>
        <w:t>s</w:t>
      </w:r>
      <w:r w:rsidRPr="0007414F">
        <w:rPr>
          <w:lang w:val="fr-FR"/>
        </w:rPr>
        <w:t xml:space="preserve">ation </w:t>
      </w:r>
      <w:r w:rsidR="008509CE">
        <w:rPr>
          <w:lang w:val="fr-FR"/>
        </w:rPr>
        <w:t>et</w:t>
      </w:r>
      <w:r w:rsidRPr="0007414F">
        <w:rPr>
          <w:lang w:val="fr-FR"/>
        </w:rPr>
        <w:t xml:space="preserve"> </w:t>
      </w:r>
      <w:r w:rsidR="00915233">
        <w:rPr>
          <w:lang w:val="fr-FR"/>
        </w:rPr>
        <w:t xml:space="preserve">à la </w:t>
      </w:r>
      <w:r w:rsidRPr="0007414F">
        <w:rPr>
          <w:lang w:val="fr-FR"/>
        </w:rPr>
        <w:t>coop</w:t>
      </w:r>
      <w:r w:rsidR="00915233">
        <w:rPr>
          <w:lang w:val="fr-FR"/>
        </w:rPr>
        <w:t>é</w:t>
      </w:r>
      <w:r w:rsidRPr="0007414F">
        <w:rPr>
          <w:lang w:val="fr-FR"/>
        </w:rPr>
        <w:t xml:space="preserve">ration </w:t>
      </w:r>
      <w:r w:rsidR="00915233">
        <w:rPr>
          <w:lang w:val="fr-FR"/>
        </w:rPr>
        <w:t>entre les</w:t>
      </w:r>
      <w:r w:rsidRPr="0007414F">
        <w:rPr>
          <w:lang w:val="fr-FR"/>
        </w:rPr>
        <w:t xml:space="preserve"> </w:t>
      </w:r>
      <w:r w:rsidR="00EB5ED6">
        <w:rPr>
          <w:lang w:val="fr-FR"/>
        </w:rPr>
        <w:t>membre</w:t>
      </w:r>
      <w:r w:rsidRPr="0007414F">
        <w:rPr>
          <w:lang w:val="fr-FR"/>
        </w:rPr>
        <w:t xml:space="preserve">s </w:t>
      </w:r>
      <w:r w:rsidR="00915233">
        <w:rPr>
          <w:lang w:val="fr-FR"/>
        </w:rPr>
        <w:t>qui utilisent déjà les marqueur</w:t>
      </w:r>
      <w:r w:rsidR="00915233" w:rsidRPr="00915233">
        <w:rPr>
          <w:lang w:val="fr-FR"/>
        </w:rPr>
        <w:t>s moléculaires dans le cadre de l</w:t>
      </w:r>
      <w:r w:rsidR="00D639EE">
        <w:rPr>
          <w:lang w:val="fr-FR"/>
        </w:rPr>
        <w:t>’</w:t>
      </w:r>
      <w:r w:rsidR="00915233" w:rsidRPr="00915233">
        <w:rPr>
          <w:lang w:val="fr-FR"/>
        </w:rPr>
        <w:t>examen</w:t>
      </w:r>
      <w:r w:rsidR="001B53D1">
        <w:rPr>
          <w:lang w:val="fr-FR"/>
        </w:rPr>
        <w:t> </w:t>
      </w:r>
      <w:r w:rsidR="00915233" w:rsidRPr="00915233">
        <w:rPr>
          <w:lang w:val="fr-FR"/>
        </w:rPr>
        <w:t>DHS</w:t>
      </w:r>
      <w:r w:rsidR="00915233">
        <w:rPr>
          <w:lang w:val="fr-FR"/>
        </w:rPr>
        <w:t>,</w:t>
      </w:r>
      <w:r w:rsidRPr="0007414F">
        <w:rPr>
          <w:lang w:val="fr-FR"/>
        </w:rPr>
        <w:t xml:space="preserve"> </w:t>
      </w:r>
      <w:r w:rsidR="00915233">
        <w:rPr>
          <w:lang w:val="fr-FR"/>
        </w:rPr>
        <w:t>ou à la mise à disposition d</w:t>
      </w:r>
      <w:r w:rsidR="00D639EE">
        <w:rPr>
          <w:lang w:val="fr-FR"/>
        </w:rPr>
        <w:t>’</w:t>
      </w:r>
      <w:r w:rsidR="00915233">
        <w:rPr>
          <w:lang w:val="fr-FR"/>
        </w:rPr>
        <w:t>autres membres de l</w:t>
      </w:r>
      <w:r w:rsidR="00D639EE">
        <w:rPr>
          <w:lang w:val="fr-FR"/>
        </w:rPr>
        <w:t>’</w:t>
      </w:r>
      <w:r w:rsidRPr="0007414F">
        <w:rPr>
          <w:lang w:val="fr-FR"/>
        </w:rPr>
        <w:t>UPOV</w:t>
      </w:r>
      <w:r w:rsidR="00915233" w:rsidRPr="00D639EE">
        <w:rPr>
          <w:lang w:val="fr-FR"/>
        </w:rPr>
        <w:t xml:space="preserve"> </w:t>
      </w:r>
      <w:r w:rsidR="00915233" w:rsidRPr="00915233">
        <w:rPr>
          <w:lang w:val="fr-FR"/>
        </w:rPr>
        <w:t>d</w:t>
      </w:r>
      <w:r w:rsidR="00D639EE">
        <w:rPr>
          <w:lang w:val="fr-FR"/>
        </w:rPr>
        <w:t>’</w:t>
      </w:r>
      <w:r w:rsidR="00915233" w:rsidRPr="00915233">
        <w:rPr>
          <w:lang w:val="fr-FR"/>
        </w:rPr>
        <w:t>informations sur les services BMT</w:t>
      </w:r>
      <w:r w:rsidRPr="0007414F">
        <w:rPr>
          <w:lang w:val="fr-FR"/>
        </w:rPr>
        <w:t>.</w:t>
      </w:r>
    </w:p>
    <w:p w14:paraId="3DA21671" w14:textId="77777777" w:rsidR="00DE5CB9" w:rsidRPr="0007414F" w:rsidRDefault="00DE5CB9" w:rsidP="00DE5CB9">
      <w:pPr>
        <w:rPr>
          <w:lang w:val="fr-FR"/>
        </w:rPr>
      </w:pPr>
    </w:p>
    <w:p w14:paraId="0E43C5C5" w14:textId="5958084A" w:rsidR="00DE5CB9" w:rsidRPr="0007414F" w:rsidRDefault="00DE5CB9" w:rsidP="00DE5CB9">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2420F2">
        <w:rPr>
          <w:lang w:val="fr-FR"/>
        </w:rPr>
        <w:t>Le</w:t>
      </w:r>
      <w:r w:rsidRPr="0007414F">
        <w:rPr>
          <w:lang w:val="fr-FR"/>
        </w:rPr>
        <w:t xml:space="preserve"> TWA </w:t>
      </w:r>
      <w:r w:rsidR="00915233">
        <w:rPr>
          <w:lang w:val="fr-FR"/>
        </w:rPr>
        <w:t xml:space="preserve">est convenu que les groupes de travail techniques </w:t>
      </w:r>
      <w:r w:rsidR="003E0D8D">
        <w:rPr>
          <w:lang w:val="fr-FR"/>
        </w:rPr>
        <w:t xml:space="preserve">constituaient une </w:t>
      </w:r>
      <w:r w:rsidRPr="0007414F">
        <w:rPr>
          <w:lang w:val="fr-FR"/>
        </w:rPr>
        <w:t>pla</w:t>
      </w:r>
      <w:r w:rsidR="003E0D8D">
        <w:rPr>
          <w:lang w:val="fr-FR"/>
        </w:rPr>
        <w:t>te</w:t>
      </w:r>
      <w:r w:rsidRPr="0007414F">
        <w:rPr>
          <w:lang w:val="fr-FR"/>
        </w:rPr>
        <w:t>form</w:t>
      </w:r>
      <w:r w:rsidR="003E0D8D">
        <w:rPr>
          <w:lang w:val="fr-FR"/>
        </w:rPr>
        <w:t>e</w:t>
      </w:r>
      <w:r w:rsidRPr="0007414F">
        <w:rPr>
          <w:lang w:val="fr-FR"/>
        </w:rPr>
        <w:t xml:space="preserve"> </w:t>
      </w:r>
      <w:r w:rsidR="003E0D8D">
        <w:rPr>
          <w:lang w:val="fr-FR"/>
        </w:rPr>
        <w:t>d</w:t>
      </w:r>
      <w:r w:rsidR="00D639EE">
        <w:rPr>
          <w:lang w:val="fr-FR"/>
        </w:rPr>
        <w:t>’</w:t>
      </w:r>
      <w:r w:rsidR="003E0D8D">
        <w:rPr>
          <w:lang w:val="fr-FR"/>
        </w:rPr>
        <w:t>échange d</w:t>
      </w:r>
      <w:r w:rsidR="00D639EE">
        <w:rPr>
          <w:lang w:val="fr-FR"/>
        </w:rPr>
        <w:t>’</w:t>
      </w:r>
      <w:r w:rsidR="003E0D8D">
        <w:rPr>
          <w:lang w:val="fr-FR"/>
        </w:rPr>
        <w:t>i</w:t>
      </w:r>
      <w:r w:rsidRPr="0007414F">
        <w:rPr>
          <w:lang w:val="fr-FR"/>
        </w:rPr>
        <w:t>nformation</w:t>
      </w:r>
      <w:r w:rsidR="003E0D8D">
        <w:rPr>
          <w:lang w:val="fr-FR"/>
        </w:rPr>
        <w:t>s</w:t>
      </w:r>
      <w:r w:rsidRPr="0007414F">
        <w:rPr>
          <w:lang w:val="fr-FR"/>
        </w:rPr>
        <w:t xml:space="preserve"> </w:t>
      </w:r>
      <w:r w:rsidR="003E0D8D">
        <w:rPr>
          <w:lang w:val="fr-FR"/>
        </w:rPr>
        <w:t>sur les</w:t>
      </w:r>
      <w:r w:rsidRPr="0007414F">
        <w:rPr>
          <w:lang w:val="fr-FR"/>
        </w:rPr>
        <w:t xml:space="preserve"> </w:t>
      </w:r>
      <w:r w:rsidR="003E0D8D">
        <w:rPr>
          <w:lang w:val="fr-FR"/>
        </w:rPr>
        <w:t>marqueurs moléculaires dans le cadre de l</w:t>
      </w:r>
      <w:r w:rsidR="00D639EE">
        <w:rPr>
          <w:lang w:val="fr-FR"/>
        </w:rPr>
        <w:t>’</w:t>
      </w:r>
      <w:r w:rsidR="003E0D8D">
        <w:rPr>
          <w:lang w:val="fr-FR"/>
        </w:rPr>
        <w:t>examen</w:t>
      </w:r>
      <w:r w:rsidR="001B53D1">
        <w:rPr>
          <w:lang w:val="fr-FR"/>
        </w:rPr>
        <w:t> </w:t>
      </w:r>
      <w:r w:rsidR="003E0D8D">
        <w:rPr>
          <w:lang w:val="fr-FR"/>
        </w:rPr>
        <w:t>DHS</w:t>
      </w:r>
      <w:r w:rsidRPr="0007414F">
        <w:rPr>
          <w:lang w:val="fr-FR"/>
        </w:rPr>
        <w:t xml:space="preserve">, </w:t>
      </w:r>
      <w:r w:rsidR="003E0D8D">
        <w:rPr>
          <w:lang w:val="fr-FR"/>
        </w:rPr>
        <w:t xml:space="preserve">notamment les </w:t>
      </w:r>
      <w:r w:rsidRPr="0007414F">
        <w:rPr>
          <w:lang w:val="fr-FR"/>
        </w:rPr>
        <w:t xml:space="preserve">projets, </w:t>
      </w:r>
      <w:r w:rsidR="003E0D8D">
        <w:rPr>
          <w:lang w:val="fr-FR"/>
        </w:rPr>
        <w:t xml:space="preserve">les </w:t>
      </w:r>
      <w:r w:rsidRPr="0007414F">
        <w:rPr>
          <w:lang w:val="fr-FR"/>
        </w:rPr>
        <w:t xml:space="preserve">collaborations </w:t>
      </w:r>
      <w:r w:rsidR="008509CE">
        <w:rPr>
          <w:lang w:val="fr-FR"/>
        </w:rPr>
        <w:t>et</w:t>
      </w:r>
      <w:r w:rsidRPr="0007414F">
        <w:rPr>
          <w:lang w:val="fr-FR"/>
        </w:rPr>
        <w:t xml:space="preserve"> </w:t>
      </w:r>
      <w:r w:rsidR="003E0D8D">
        <w:rPr>
          <w:lang w:val="fr-FR"/>
        </w:rPr>
        <w:t xml:space="preserve">les </w:t>
      </w:r>
      <w:r w:rsidRPr="0007414F">
        <w:rPr>
          <w:lang w:val="fr-FR"/>
        </w:rPr>
        <w:t xml:space="preserve">services </w:t>
      </w:r>
      <w:r w:rsidR="003E0D8D">
        <w:rPr>
          <w:lang w:val="fr-FR"/>
        </w:rPr>
        <w:t>é</w:t>
      </w:r>
      <w:r w:rsidRPr="0007414F">
        <w:rPr>
          <w:lang w:val="fr-FR"/>
        </w:rPr>
        <w:t>ventu</w:t>
      </w:r>
      <w:r w:rsidR="003E0D8D">
        <w:rPr>
          <w:lang w:val="fr-FR"/>
        </w:rPr>
        <w:t>ellement fournis par les</w:t>
      </w:r>
      <w:r w:rsidRPr="0007414F">
        <w:rPr>
          <w:lang w:val="fr-FR"/>
        </w:rPr>
        <w:t xml:space="preserve"> </w:t>
      </w:r>
      <w:r w:rsidR="00EB5ED6">
        <w:rPr>
          <w:lang w:val="fr-FR"/>
        </w:rPr>
        <w:t>membr</w:t>
      </w:r>
      <w:r w:rsidR="001C11A6">
        <w:rPr>
          <w:lang w:val="fr-FR"/>
        </w:rPr>
        <w:t>e</w:t>
      </w:r>
      <w:r w:rsidR="001C11A6" w:rsidRPr="0007414F">
        <w:rPr>
          <w:lang w:val="fr-FR"/>
        </w:rPr>
        <w:t>s</w:t>
      </w:r>
      <w:r w:rsidR="001C11A6">
        <w:rPr>
          <w:lang w:val="fr-FR"/>
        </w:rPr>
        <w:t>.  Le</w:t>
      </w:r>
      <w:r w:rsidR="00D639EE">
        <w:rPr>
          <w:lang w:val="fr-FR"/>
        </w:rPr>
        <w:t> </w:t>
      </w:r>
      <w:r w:rsidR="00D639EE" w:rsidRPr="0007414F">
        <w:rPr>
          <w:lang w:val="fr-FR"/>
        </w:rPr>
        <w:t>TWA</w:t>
      </w:r>
      <w:r w:rsidRPr="0007414F">
        <w:rPr>
          <w:lang w:val="fr-FR"/>
        </w:rPr>
        <w:t xml:space="preserve"> </w:t>
      </w:r>
      <w:r w:rsidR="003E0D8D">
        <w:rPr>
          <w:lang w:val="fr-FR"/>
        </w:rPr>
        <w:t>est convenu que l</w:t>
      </w:r>
      <w:r w:rsidR="00D639EE">
        <w:rPr>
          <w:lang w:val="fr-FR"/>
        </w:rPr>
        <w:t>’</w:t>
      </w:r>
      <w:r w:rsidRPr="0007414F">
        <w:rPr>
          <w:lang w:val="fr-FR"/>
        </w:rPr>
        <w:t xml:space="preserve">UPOV </w:t>
      </w:r>
      <w:r w:rsidR="003E0D8D">
        <w:rPr>
          <w:lang w:val="fr-FR"/>
        </w:rPr>
        <w:t xml:space="preserve">devrait </w:t>
      </w:r>
      <w:r w:rsidRPr="0007414F">
        <w:rPr>
          <w:lang w:val="fr-FR"/>
        </w:rPr>
        <w:t>continue</w:t>
      </w:r>
      <w:r w:rsidR="003E0D8D">
        <w:rPr>
          <w:lang w:val="fr-FR"/>
        </w:rPr>
        <w:t>r</w:t>
      </w:r>
      <w:r w:rsidRPr="0007414F">
        <w:rPr>
          <w:lang w:val="fr-FR"/>
        </w:rPr>
        <w:t xml:space="preserve"> </w:t>
      </w:r>
      <w:r w:rsidR="003E0D8D">
        <w:rPr>
          <w:lang w:val="fr-FR"/>
        </w:rPr>
        <w:t>d</w:t>
      </w:r>
      <w:r w:rsidR="00D639EE">
        <w:rPr>
          <w:lang w:val="fr-FR"/>
        </w:rPr>
        <w:t>’</w:t>
      </w:r>
      <w:r w:rsidRPr="0007414F">
        <w:rPr>
          <w:lang w:val="fr-FR"/>
        </w:rPr>
        <w:t>encourag</w:t>
      </w:r>
      <w:r w:rsidR="003E0D8D">
        <w:rPr>
          <w:lang w:val="fr-FR"/>
        </w:rPr>
        <w:t>er</w:t>
      </w:r>
      <w:r w:rsidRPr="0007414F">
        <w:rPr>
          <w:lang w:val="fr-FR"/>
        </w:rPr>
        <w:t xml:space="preserve"> </w:t>
      </w:r>
      <w:r w:rsidR="003E0D8D">
        <w:rPr>
          <w:lang w:val="fr-FR"/>
        </w:rPr>
        <w:t>les exposés portant sur l</w:t>
      </w:r>
      <w:r w:rsidR="00D639EE">
        <w:rPr>
          <w:lang w:val="fr-FR"/>
        </w:rPr>
        <w:t>’</w:t>
      </w:r>
      <w:r w:rsidR="003E0D8D">
        <w:rPr>
          <w:lang w:val="fr-FR"/>
        </w:rPr>
        <w:t>utilisation des marqueurs moléculaires dans le cadre de l</w:t>
      </w:r>
      <w:r w:rsidR="00D639EE">
        <w:rPr>
          <w:lang w:val="fr-FR"/>
        </w:rPr>
        <w:t>’</w:t>
      </w:r>
      <w:r w:rsidR="003E0D8D">
        <w:rPr>
          <w:lang w:val="fr-FR"/>
        </w:rPr>
        <w:t>examen</w:t>
      </w:r>
      <w:r w:rsidR="001B53D1">
        <w:rPr>
          <w:lang w:val="fr-FR"/>
        </w:rPr>
        <w:t> </w:t>
      </w:r>
      <w:r w:rsidR="003E0D8D">
        <w:rPr>
          <w:lang w:val="fr-FR"/>
        </w:rPr>
        <w:t>DHS</w:t>
      </w:r>
      <w:r w:rsidRPr="0007414F">
        <w:rPr>
          <w:lang w:val="fr-FR"/>
        </w:rPr>
        <w:t xml:space="preserve">, </w:t>
      </w:r>
      <w:r w:rsidR="003E0D8D">
        <w:rPr>
          <w:lang w:val="fr-FR"/>
        </w:rPr>
        <w:t xml:space="preserve">notamment les </w:t>
      </w:r>
      <w:r w:rsidRPr="0007414F">
        <w:rPr>
          <w:lang w:val="fr-FR"/>
        </w:rPr>
        <w:t>aspects</w:t>
      </w:r>
      <w:r w:rsidR="003E0D8D">
        <w:rPr>
          <w:lang w:val="fr-FR"/>
        </w:rPr>
        <w:t xml:space="preserve"> techniques</w:t>
      </w:r>
      <w:r w:rsidRPr="0007414F">
        <w:rPr>
          <w:lang w:val="fr-FR"/>
        </w:rPr>
        <w:t xml:space="preserve">, </w:t>
      </w:r>
      <w:r w:rsidR="003E0D8D">
        <w:rPr>
          <w:lang w:val="fr-FR"/>
        </w:rPr>
        <w:t xml:space="preserve">la </w:t>
      </w:r>
      <w:r w:rsidRPr="0007414F">
        <w:rPr>
          <w:lang w:val="fr-FR"/>
        </w:rPr>
        <w:t>confidentialit</w:t>
      </w:r>
      <w:r w:rsidR="003E0D8D">
        <w:rPr>
          <w:lang w:val="fr-FR"/>
        </w:rPr>
        <w:t>é</w:t>
      </w:r>
      <w:r w:rsidRPr="0007414F">
        <w:rPr>
          <w:lang w:val="fr-FR"/>
        </w:rPr>
        <w:t xml:space="preserve"> </w:t>
      </w:r>
      <w:r w:rsidR="008509CE">
        <w:rPr>
          <w:lang w:val="fr-FR"/>
        </w:rPr>
        <w:t>et</w:t>
      </w:r>
      <w:r w:rsidRPr="0007414F">
        <w:rPr>
          <w:lang w:val="fr-FR"/>
        </w:rPr>
        <w:t xml:space="preserve"> </w:t>
      </w:r>
      <w:r w:rsidR="003E0D8D">
        <w:rPr>
          <w:lang w:val="fr-FR"/>
        </w:rPr>
        <w:t>l</w:t>
      </w:r>
      <w:r w:rsidR="00D639EE">
        <w:rPr>
          <w:lang w:val="fr-FR"/>
        </w:rPr>
        <w:t>’</w:t>
      </w:r>
      <w:r w:rsidRPr="0007414F">
        <w:rPr>
          <w:lang w:val="fr-FR"/>
        </w:rPr>
        <w:t>acc</w:t>
      </w:r>
      <w:r w:rsidR="003E0D8D">
        <w:rPr>
          <w:lang w:val="fr-FR"/>
        </w:rPr>
        <w:t>è</w:t>
      </w:r>
      <w:r w:rsidRPr="0007414F">
        <w:rPr>
          <w:lang w:val="fr-FR"/>
        </w:rPr>
        <w:t xml:space="preserve">s </w:t>
      </w:r>
      <w:r w:rsidR="003E0D8D">
        <w:rPr>
          <w:lang w:val="fr-FR"/>
        </w:rPr>
        <w:t>aux données</w:t>
      </w:r>
      <w:r w:rsidRPr="0007414F">
        <w:rPr>
          <w:lang w:val="fr-FR"/>
        </w:rPr>
        <w:t>.</w:t>
      </w:r>
    </w:p>
    <w:p w14:paraId="5906CC70" w14:textId="77777777" w:rsidR="00DE5CB9" w:rsidRPr="0007414F" w:rsidRDefault="00DE5CB9" w:rsidP="00DE5CB9">
      <w:pPr>
        <w:rPr>
          <w:lang w:val="fr-FR"/>
        </w:rPr>
      </w:pPr>
    </w:p>
    <w:p w14:paraId="74DDD587" w14:textId="48CF1B80" w:rsidR="00DE5CB9" w:rsidRPr="0007414F" w:rsidRDefault="00DE5CB9" w:rsidP="00DE5CB9">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2420F2">
        <w:rPr>
          <w:lang w:val="fr-FR"/>
        </w:rPr>
        <w:t>Le</w:t>
      </w:r>
      <w:r w:rsidRPr="0007414F">
        <w:rPr>
          <w:lang w:val="fr-FR"/>
        </w:rPr>
        <w:t xml:space="preserve"> TWA </w:t>
      </w:r>
      <w:r w:rsidR="003E0D8D">
        <w:rPr>
          <w:lang w:val="fr-FR"/>
        </w:rPr>
        <w:t xml:space="preserve">a </w:t>
      </w:r>
      <w:r w:rsidR="00CC0943">
        <w:rPr>
          <w:lang w:val="fr-FR"/>
        </w:rPr>
        <w:t>assisté à un</w:t>
      </w:r>
      <w:r w:rsidR="003E0D8D">
        <w:rPr>
          <w:lang w:val="fr-FR"/>
        </w:rPr>
        <w:t xml:space="preserve"> exposé intitulé</w:t>
      </w:r>
      <w:r w:rsidRPr="0007414F">
        <w:rPr>
          <w:lang w:val="fr-FR"/>
        </w:rPr>
        <w:t xml:space="preserve"> “U</w:t>
      </w:r>
      <w:r w:rsidR="003E0D8D">
        <w:rPr>
          <w:lang w:val="fr-FR"/>
        </w:rPr>
        <w:t>tilisation des</w:t>
      </w:r>
      <w:r w:rsidRPr="0007414F">
        <w:rPr>
          <w:lang w:val="fr-FR"/>
        </w:rPr>
        <w:t xml:space="preserve"> </w:t>
      </w:r>
      <w:r w:rsidR="00583353">
        <w:rPr>
          <w:lang w:val="fr-FR"/>
        </w:rPr>
        <w:t>techniques moléculaires</w:t>
      </w:r>
      <w:r w:rsidRPr="0007414F">
        <w:rPr>
          <w:lang w:val="fr-FR"/>
        </w:rPr>
        <w:t xml:space="preserve"> </w:t>
      </w:r>
      <w:r w:rsidR="003E0D8D">
        <w:rPr>
          <w:lang w:val="fr-FR"/>
        </w:rPr>
        <w:t>dans le cadre de l</w:t>
      </w:r>
      <w:r w:rsidR="00D639EE">
        <w:rPr>
          <w:lang w:val="fr-FR"/>
        </w:rPr>
        <w:t>’</w:t>
      </w:r>
      <w:r w:rsidR="00B76460">
        <w:rPr>
          <w:lang w:val="fr-FR"/>
        </w:rPr>
        <w:t>examen</w:t>
      </w:r>
      <w:r w:rsidR="001B53D1">
        <w:rPr>
          <w:lang w:val="fr-FR"/>
        </w:rPr>
        <w:t> </w:t>
      </w:r>
      <w:r w:rsidR="00B76460">
        <w:rPr>
          <w:lang w:val="fr-FR"/>
        </w:rPr>
        <w:t>DHS</w:t>
      </w:r>
      <w:r w:rsidR="00D639EE">
        <w:rPr>
          <w:lang w:val="fr-FR"/>
        </w:rPr>
        <w:t> :</w:t>
      </w:r>
      <w:r w:rsidRPr="0007414F">
        <w:rPr>
          <w:lang w:val="fr-FR"/>
        </w:rPr>
        <w:t xml:space="preserve"> </w:t>
      </w:r>
      <w:r w:rsidR="003E0D8D">
        <w:rPr>
          <w:lang w:val="fr-FR"/>
        </w:rPr>
        <w:t>Compte rendu de l</w:t>
      </w:r>
      <w:r w:rsidR="00D639EE">
        <w:rPr>
          <w:lang w:val="fr-FR"/>
        </w:rPr>
        <w:t>’</w:t>
      </w:r>
      <w:r w:rsidRPr="0007414F">
        <w:rPr>
          <w:lang w:val="fr-FR"/>
        </w:rPr>
        <w:t>Argentin</w:t>
      </w:r>
      <w:r w:rsidR="003E0D8D">
        <w:rPr>
          <w:lang w:val="fr-FR"/>
        </w:rPr>
        <w:t>e</w:t>
      </w:r>
      <w:r w:rsidRPr="0007414F">
        <w:rPr>
          <w:lang w:val="fr-FR"/>
        </w:rPr>
        <w:t xml:space="preserve">” </w:t>
      </w:r>
      <w:r w:rsidR="003E0D8D">
        <w:rPr>
          <w:lang w:val="fr-FR"/>
        </w:rPr>
        <w:t>présenté par un</w:t>
      </w:r>
      <w:r w:rsidRPr="0007414F">
        <w:rPr>
          <w:lang w:val="fr-FR"/>
        </w:rPr>
        <w:t xml:space="preserve"> expert </w:t>
      </w:r>
      <w:r w:rsidR="003E0D8D">
        <w:rPr>
          <w:lang w:val="fr-FR"/>
        </w:rPr>
        <w:t>d</w:t>
      </w:r>
      <w:r w:rsidR="00B060F1">
        <w:rPr>
          <w:lang w:val="fr-FR"/>
        </w:rPr>
        <w:t>e l</w:t>
      </w:r>
      <w:r w:rsidR="00D639EE">
        <w:rPr>
          <w:lang w:val="fr-FR"/>
        </w:rPr>
        <w:t>’</w:t>
      </w:r>
      <w:r w:rsidRPr="0007414F">
        <w:rPr>
          <w:lang w:val="fr-FR"/>
        </w:rPr>
        <w:t>Argenti</w:t>
      </w:r>
      <w:r w:rsidR="001C11A6" w:rsidRPr="0007414F">
        <w:rPr>
          <w:lang w:val="fr-FR"/>
        </w:rPr>
        <w:t>n</w:t>
      </w:r>
      <w:r w:rsidR="001C11A6">
        <w:rPr>
          <w:lang w:val="fr-FR"/>
        </w:rPr>
        <w:t xml:space="preserve">e.  </w:t>
      </w:r>
      <w:r w:rsidR="001C11A6" w:rsidRPr="00CC0943">
        <w:rPr>
          <w:lang w:val="fr-FR"/>
        </w:rPr>
        <w:t>On</w:t>
      </w:r>
      <w:r w:rsidR="00CC0943" w:rsidRPr="00CC0943">
        <w:rPr>
          <w:lang w:val="fr-FR"/>
        </w:rPr>
        <w:t xml:space="preserve"> trouvera une copie de cet exposé dans le</w:t>
      </w:r>
      <w:r w:rsidRPr="0007414F">
        <w:rPr>
          <w:lang w:val="fr-FR"/>
        </w:rPr>
        <w:t xml:space="preserve"> document TWA/51/4.</w:t>
      </w:r>
    </w:p>
    <w:p w14:paraId="7D558B02" w14:textId="77777777" w:rsidR="00DE5CB9" w:rsidRPr="0007414F" w:rsidRDefault="00DE5CB9" w:rsidP="00DE5CB9">
      <w:pPr>
        <w:rPr>
          <w:lang w:val="fr-FR"/>
        </w:rPr>
      </w:pPr>
    </w:p>
    <w:p w14:paraId="55C2CC61" w14:textId="2E6DFF97" w:rsidR="00DE5CB9" w:rsidRPr="0007414F" w:rsidRDefault="00DE5CB9" w:rsidP="00DE5CB9">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2420F2">
        <w:rPr>
          <w:lang w:val="fr-FR"/>
        </w:rPr>
        <w:t>Le</w:t>
      </w:r>
      <w:r w:rsidRPr="0007414F">
        <w:rPr>
          <w:lang w:val="fr-FR"/>
        </w:rPr>
        <w:t xml:space="preserve"> TWA </w:t>
      </w:r>
      <w:r w:rsidR="003E0D8D" w:rsidRPr="003E0D8D">
        <w:rPr>
          <w:lang w:val="fr-FR"/>
        </w:rPr>
        <w:t xml:space="preserve">a </w:t>
      </w:r>
      <w:r w:rsidR="00CC0943">
        <w:rPr>
          <w:lang w:val="fr-FR"/>
        </w:rPr>
        <w:t>assisté à un</w:t>
      </w:r>
      <w:r w:rsidR="003E0D8D" w:rsidRPr="003E0D8D">
        <w:rPr>
          <w:lang w:val="fr-FR"/>
        </w:rPr>
        <w:t xml:space="preserve"> exposé intitulé</w:t>
      </w:r>
      <w:r w:rsidRPr="0007414F">
        <w:rPr>
          <w:lang w:val="fr-FR"/>
        </w:rPr>
        <w:t xml:space="preserve"> “</w:t>
      </w:r>
      <w:r w:rsidR="003E0D8D">
        <w:rPr>
          <w:lang w:val="fr-FR"/>
        </w:rPr>
        <w:t>Élaboration d</w:t>
      </w:r>
      <w:r w:rsidR="00D639EE">
        <w:rPr>
          <w:lang w:val="fr-FR"/>
        </w:rPr>
        <w:t>’</w:t>
      </w:r>
      <w:r w:rsidR="003E0D8D">
        <w:rPr>
          <w:lang w:val="fr-FR"/>
        </w:rPr>
        <w:t xml:space="preserve">une </w:t>
      </w:r>
      <w:r w:rsidRPr="0007414F">
        <w:rPr>
          <w:lang w:val="fr-FR"/>
        </w:rPr>
        <w:t>strat</w:t>
      </w:r>
      <w:r w:rsidR="003E0D8D">
        <w:rPr>
          <w:lang w:val="fr-FR"/>
        </w:rPr>
        <w:t>é</w:t>
      </w:r>
      <w:r w:rsidRPr="0007414F">
        <w:rPr>
          <w:lang w:val="fr-FR"/>
        </w:rPr>
        <w:t>g</w:t>
      </w:r>
      <w:r w:rsidR="003E0D8D">
        <w:rPr>
          <w:lang w:val="fr-FR"/>
        </w:rPr>
        <w:t>ie</w:t>
      </w:r>
      <w:r w:rsidRPr="0007414F">
        <w:rPr>
          <w:lang w:val="fr-FR"/>
        </w:rPr>
        <w:t xml:space="preserve"> </w:t>
      </w:r>
      <w:r w:rsidR="00467E21">
        <w:rPr>
          <w:lang w:val="fr-FR"/>
        </w:rPr>
        <w:t>relative à</w:t>
      </w:r>
      <w:r w:rsidR="003E0D8D">
        <w:rPr>
          <w:lang w:val="fr-FR"/>
        </w:rPr>
        <w:t xml:space="preserve"> l</w:t>
      </w:r>
      <w:r w:rsidR="00D639EE">
        <w:rPr>
          <w:lang w:val="fr-FR"/>
        </w:rPr>
        <w:t>’</w:t>
      </w:r>
      <w:r w:rsidR="003E0D8D">
        <w:rPr>
          <w:lang w:val="fr-FR"/>
        </w:rPr>
        <w:t>application de</w:t>
      </w:r>
      <w:r w:rsidRPr="0007414F">
        <w:rPr>
          <w:lang w:val="fr-FR"/>
        </w:rPr>
        <w:t xml:space="preserve"> </w:t>
      </w:r>
      <w:r w:rsidR="003E0D8D">
        <w:rPr>
          <w:lang w:val="fr-FR"/>
        </w:rPr>
        <w:t xml:space="preserve">marqueurs moléculaires </w:t>
      </w:r>
      <w:r w:rsidR="00467E21">
        <w:rPr>
          <w:lang w:val="fr-FR"/>
        </w:rPr>
        <w:t xml:space="preserve">de type </w:t>
      </w:r>
      <w:r w:rsidR="003E0D8D" w:rsidRPr="003E0D8D">
        <w:rPr>
          <w:lang w:val="fr-FR"/>
        </w:rPr>
        <w:t xml:space="preserve">SNP </w:t>
      </w:r>
      <w:r w:rsidR="003E0D8D">
        <w:rPr>
          <w:lang w:val="fr-FR"/>
        </w:rPr>
        <w:t>dans le cadre de l</w:t>
      </w:r>
      <w:r w:rsidR="00D639EE">
        <w:rPr>
          <w:lang w:val="fr-FR"/>
        </w:rPr>
        <w:t>’</w:t>
      </w:r>
      <w:r w:rsidR="003E0D8D">
        <w:rPr>
          <w:lang w:val="fr-FR"/>
        </w:rPr>
        <w:t>examen</w:t>
      </w:r>
      <w:r w:rsidR="001B53D1">
        <w:rPr>
          <w:lang w:val="fr-FR"/>
        </w:rPr>
        <w:t> </w:t>
      </w:r>
      <w:r w:rsidR="003E0D8D">
        <w:rPr>
          <w:lang w:val="fr-FR"/>
        </w:rPr>
        <w:t>DHS</w:t>
      </w:r>
      <w:r w:rsidR="00467E21">
        <w:rPr>
          <w:lang w:val="fr-FR"/>
        </w:rPr>
        <w:t xml:space="preserve"> du colza oléagineux d</w:t>
      </w:r>
      <w:r w:rsidR="00D639EE">
        <w:rPr>
          <w:lang w:val="fr-FR"/>
        </w:rPr>
        <w:t>’</w:t>
      </w:r>
      <w:r w:rsidR="00467E21">
        <w:rPr>
          <w:lang w:val="fr-FR"/>
        </w:rPr>
        <w:t>hiver</w:t>
      </w:r>
      <w:r w:rsidRPr="0007414F">
        <w:rPr>
          <w:lang w:val="fr-FR"/>
        </w:rPr>
        <w:t xml:space="preserve">” </w:t>
      </w:r>
      <w:r w:rsidR="00B060F1">
        <w:rPr>
          <w:lang w:val="fr-FR"/>
        </w:rPr>
        <w:t xml:space="preserve">présenté </w:t>
      </w:r>
      <w:r w:rsidR="00467E21">
        <w:rPr>
          <w:lang w:val="fr-FR"/>
        </w:rPr>
        <w:t>par u</w:t>
      </w:r>
      <w:r w:rsidRPr="0007414F">
        <w:rPr>
          <w:lang w:val="fr-FR"/>
        </w:rPr>
        <w:t xml:space="preserve">n expert </w:t>
      </w:r>
      <w:r w:rsidR="00467E21">
        <w:rPr>
          <w:lang w:val="fr-FR"/>
        </w:rPr>
        <w:t>de la</w:t>
      </w:r>
      <w:r w:rsidRPr="0007414F">
        <w:rPr>
          <w:lang w:val="fr-FR"/>
        </w:rPr>
        <w:t xml:space="preserve"> Fran</w:t>
      </w:r>
      <w:r w:rsidR="001C11A6" w:rsidRPr="0007414F">
        <w:rPr>
          <w:lang w:val="fr-FR"/>
        </w:rPr>
        <w:t>ce</w:t>
      </w:r>
      <w:r w:rsidR="001C11A6">
        <w:rPr>
          <w:lang w:val="fr-FR"/>
        </w:rPr>
        <w:t xml:space="preserve">.  </w:t>
      </w:r>
      <w:r w:rsidR="001C11A6" w:rsidRPr="00CC0943">
        <w:rPr>
          <w:lang w:val="fr-FR"/>
        </w:rPr>
        <w:t>On</w:t>
      </w:r>
      <w:r w:rsidR="00CC0943" w:rsidRPr="00CC0943">
        <w:rPr>
          <w:lang w:val="fr-FR"/>
        </w:rPr>
        <w:t xml:space="preserve"> trouvera une copie de cet exposé dans le</w:t>
      </w:r>
      <w:r w:rsidRPr="0007414F">
        <w:rPr>
          <w:lang w:val="fr-FR"/>
        </w:rPr>
        <w:t xml:space="preserve"> document TWA/51/4</w:t>
      </w:r>
      <w:r w:rsidR="001B53D1">
        <w:rPr>
          <w:lang w:val="fr-FR"/>
        </w:rPr>
        <w:t> </w:t>
      </w:r>
      <w:proofErr w:type="spellStart"/>
      <w:r w:rsidRPr="0007414F">
        <w:rPr>
          <w:lang w:val="fr-FR"/>
        </w:rPr>
        <w:t>Add</w:t>
      </w:r>
      <w:proofErr w:type="spellEnd"/>
      <w:r w:rsidRPr="0007414F">
        <w:rPr>
          <w:lang w:val="fr-FR"/>
        </w:rPr>
        <w:t>.</w:t>
      </w:r>
    </w:p>
    <w:p w14:paraId="2D277A6F" w14:textId="77777777" w:rsidR="0029289C" w:rsidRPr="0007414F" w:rsidRDefault="0029289C" w:rsidP="0029289C">
      <w:pPr>
        <w:jc w:val="left"/>
        <w:rPr>
          <w:lang w:val="fr-FR"/>
        </w:rPr>
      </w:pPr>
    </w:p>
    <w:p w14:paraId="5E90BBF4" w14:textId="09AF61D5" w:rsidR="0029289C" w:rsidRPr="0007414F" w:rsidRDefault="0029289C" w:rsidP="0029289C">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0C4996" w:rsidRPr="000C4996">
        <w:rPr>
          <w:lang w:val="fr-FR"/>
        </w:rPr>
        <w:t>À sa cinquante</w:t>
      </w:r>
      <w:r w:rsidR="006E7E88">
        <w:rPr>
          <w:lang w:val="fr-FR"/>
        </w:rPr>
        <w:noBreakHyphen/>
      </w:r>
      <w:r w:rsidR="000C4996">
        <w:rPr>
          <w:lang w:val="fr-FR"/>
        </w:rPr>
        <w:t>trois</w:t>
      </w:r>
      <w:r w:rsidR="00D639EE">
        <w:rPr>
          <w:lang w:val="fr-FR"/>
        </w:rPr>
        <w:t>ième session</w:t>
      </w:r>
      <w:r w:rsidR="00865E81" w:rsidRPr="0007414F">
        <w:rPr>
          <w:vertAlign w:val="superscript"/>
          <w:lang w:val="fr-FR"/>
        </w:rPr>
        <w:footnoteReference w:id="11"/>
      </w:r>
      <w:r w:rsidR="00865E81" w:rsidRPr="0007414F">
        <w:rPr>
          <w:lang w:val="fr-FR"/>
        </w:rPr>
        <w:t>,</w:t>
      </w:r>
      <w:r w:rsidR="00D639EE" w:rsidRPr="0007414F">
        <w:rPr>
          <w:lang w:val="fr-FR"/>
        </w:rPr>
        <w:t xml:space="preserve"> </w:t>
      </w:r>
      <w:r w:rsidR="00D639EE">
        <w:rPr>
          <w:lang w:val="fr-FR"/>
        </w:rPr>
        <w:t>l</w:t>
      </w:r>
      <w:r w:rsidR="00D639EE" w:rsidRPr="000C4996">
        <w:rPr>
          <w:lang w:val="fr-FR"/>
        </w:rPr>
        <w:t>e</w:t>
      </w:r>
      <w:r w:rsidR="00D639EE">
        <w:rPr>
          <w:lang w:val="fr-FR"/>
        </w:rPr>
        <w:t> </w:t>
      </w:r>
      <w:r w:rsidR="00D639EE" w:rsidRPr="000C4996">
        <w:rPr>
          <w:lang w:val="fr-FR"/>
        </w:rPr>
        <w:t>TWF</w:t>
      </w:r>
      <w:r w:rsidR="000C4996" w:rsidRPr="000C4996">
        <w:rPr>
          <w:lang w:val="fr-FR"/>
        </w:rPr>
        <w:t xml:space="preserve"> </w:t>
      </w:r>
      <w:r w:rsidR="00467E21" w:rsidRPr="00467E21">
        <w:rPr>
          <w:lang w:val="fr-FR"/>
        </w:rPr>
        <w:t xml:space="preserve">a </w:t>
      </w:r>
      <w:r w:rsidR="00CC0943">
        <w:rPr>
          <w:lang w:val="fr-FR"/>
        </w:rPr>
        <w:t>assisté à un</w:t>
      </w:r>
      <w:r w:rsidR="00467E21" w:rsidRPr="00467E21">
        <w:rPr>
          <w:lang w:val="fr-FR"/>
        </w:rPr>
        <w:t xml:space="preserve"> exposé intitulé</w:t>
      </w:r>
      <w:r w:rsidRPr="0007414F">
        <w:rPr>
          <w:lang w:val="fr-FR"/>
        </w:rPr>
        <w:t xml:space="preserve"> “Application </w:t>
      </w:r>
      <w:r w:rsidR="00467E21">
        <w:rPr>
          <w:lang w:val="fr-FR"/>
        </w:rPr>
        <w:t>des</w:t>
      </w:r>
      <w:r w:rsidRPr="0007414F">
        <w:rPr>
          <w:lang w:val="fr-FR"/>
        </w:rPr>
        <w:t xml:space="preserve"> </w:t>
      </w:r>
      <w:r w:rsidR="00583353">
        <w:rPr>
          <w:lang w:val="fr-FR"/>
        </w:rPr>
        <w:t>techniques moléculaires</w:t>
      </w:r>
      <w:r w:rsidRPr="0007414F">
        <w:rPr>
          <w:lang w:val="fr-FR"/>
        </w:rPr>
        <w:t xml:space="preserve"> </w:t>
      </w:r>
      <w:r w:rsidR="00467E21">
        <w:rPr>
          <w:lang w:val="fr-FR"/>
        </w:rPr>
        <w:t>dans le cadre de l</w:t>
      </w:r>
      <w:r w:rsidR="00D639EE">
        <w:rPr>
          <w:lang w:val="fr-FR"/>
        </w:rPr>
        <w:t>’</w:t>
      </w:r>
      <w:r w:rsidR="00467E21">
        <w:rPr>
          <w:lang w:val="fr-FR"/>
        </w:rPr>
        <w:t>examen</w:t>
      </w:r>
      <w:r w:rsidR="001B53D1">
        <w:rPr>
          <w:lang w:val="fr-FR"/>
        </w:rPr>
        <w:t> </w:t>
      </w:r>
      <w:r w:rsidR="00186CE3">
        <w:rPr>
          <w:lang w:val="fr-FR"/>
        </w:rPr>
        <w:t>DHS</w:t>
      </w:r>
      <w:r w:rsidRPr="0007414F">
        <w:rPr>
          <w:lang w:val="fr-FR"/>
        </w:rPr>
        <w:t xml:space="preserve"> </w:t>
      </w:r>
      <w:r w:rsidR="00467E21">
        <w:rPr>
          <w:lang w:val="fr-FR"/>
        </w:rPr>
        <w:t>e</w:t>
      </w:r>
      <w:r w:rsidR="008509CE">
        <w:rPr>
          <w:lang w:val="fr-FR"/>
        </w:rPr>
        <w:t>t</w:t>
      </w:r>
      <w:r w:rsidRPr="0007414F">
        <w:rPr>
          <w:lang w:val="fr-FR"/>
        </w:rPr>
        <w:t xml:space="preserve"> </w:t>
      </w:r>
      <w:r w:rsidR="00467E21" w:rsidRPr="00467E21">
        <w:rPr>
          <w:rFonts w:cs="Arial"/>
          <w:color w:val="000000"/>
          <w:lang w:val="fr-FR"/>
        </w:rPr>
        <w:t>respect du droit d</w:t>
      </w:r>
      <w:r w:rsidR="00D639EE">
        <w:rPr>
          <w:rFonts w:cs="Arial"/>
          <w:color w:val="000000"/>
          <w:lang w:val="fr-FR"/>
        </w:rPr>
        <w:t>’</w:t>
      </w:r>
      <w:r w:rsidR="00467E21" w:rsidRPr="00467E21">
        <w:rPr>
          <w:rFonts w:cs="Arial"/>
          <w:color w:val="000000"/>
          <w:lang w:val="fr-FR"/>
        </w:rPr>
        <w:t>obtenteur</w:t>
      </w:r>
      <w:r w:rsidR="00467E21" w:rsidRPr="0007414F">
        <w:rPr>
          <w:lang w:val="fr-FR"/>
        </w:rPr>
        <w:t xml:space="preserve"> </w:t>
      </w:r>
      <w:r w:rsidR="00467E21">
        <w:rPr>
          <w:lang w:val="fr-FR"/>
        </w:rPr>
        <w:t xml:space="preserve">dans le secteur des </w:t>
      </w:r>
      <w:r w:rsidRPr="0007414F">
        <w:rPr>
          <w:lang w:val="fr-FR"/>
        </w:rPr>
        <w:t xml:space="preserve">fruits </w:t>
      </w:r>
      <w:r w:rsidR="00467E21">
        <w:rPr>
          <w:lang w:val="fr-FR"/>
        </w:rPr>
        <w:t>e</w:t>
      </w:r>
      <w:r w:rsidRPr="0007414F">
        <w:rPr>
          <w:lang w:val="fr-FR"/>
        </w:rPr>
        <w:t>n Chin</w:t>
      </w:r>
      <w:r w:rsidR="00467E21">
        <w:rPr>
          <w:lang w:val="fr-FR"/>
        </w:rPr>
        <w:t>e</w:t>
      </w:r>
      <w:r w:rsidRPr="0007414F">
        <w:rPr>
          <w:lang w:val="fr-FR"/>
        </w:rPr>
        <w:t>”</w:t>
      </w:r>
      <w:r w:rsidR="00467E21">
        <w:rPr>
          <w:lang w:val="fr-FR"/>
        </w:rPr>
        <w:t>,</w:t>
      </w:r>
      <w:r w:rsidRPr="0007414F">
        <w:rPr>
          <w:lang w:val="fr-FR"/>
        </w:rPr>
        <w:t xml:space="preserve"> </w:t>
      </w:r>
      <w:r w:rsidR="00467E21">
        <w:rPr>
          <w:lang w:val="fr-FR"/>
        </w:rPr>
        <w:t>présenté par un</w:t>
      </w:r>
      <w:r w:rsidRPr="0007414F">
        <w:rPr>
          <w:lang w:val="fr-FR"/>
        </w:rPr>
        <w:t xml:space="preserve"> expert </w:t>
      </w:r>
      <w:r w:rsidR="00467E21">
        <w:rPr>
          <w:lang w:val="fr-FR"/>
        </w:rPr>
        <w:t>de la</w:t>
      </w:r>
      <w:r w:rsidRPr="0007414F">
        <w:rPr>
          <w:lang w:val="fr-FR"/>
        </w:rPr>
        <w:t xml:space="preserve"> Chi</w:t>
      </w:r>
      <w:r w:rsidR="001C11A6" w:rsidRPr="0007414F">
        <w:rPr>
          <w:lang w:val="fr-FR"/>
        </w:rPr>
        <w:t>n</w:t>
      </w:r>
      <w:r w:rsidR="001C11A6">
        <w:rPr>
          <w:lang w:val="fr-FR"/>
        </w:rPr>
        <w:t>e.  On</w:t>
      </w:r>
      <w:r w:rsidR="00467E21">
        <w:rPr>
          <w:lang w:val="fr-FR"/>
        </w:rPr>
        <w:t xml:space="preserve"> trouvera une copie de cet exposé dans le</w:t>
      </w:r>
      <w:r w:rsidRPr="0007414F">
        <w:rPr>
          <w:lang w:val="fr-FR"/>
        </w:rPr>
        <w:t xml:space="preserve"> </w:t>
      </w:r>
      <w:r w:rsidR="00D639EE" w:rsidRPr="0007414F">
        <w:rPr>
          <w:lang w:val="fr-FR"/>
        </w:rPr>
        <w:t>document</w:t>
      </w:r>
      <w:r w:rsidR="00D639EE">
        <w:rPr>
          <w:lang w:val="fr-FR"/>
        </w:rPr>
        <w:t xml:space="preserve"> </w:t>
      </w:r>
      <w:r w:rsidR="00D639EE" w:rsidRPr="0007414F">
        <w:rPr>
          <w:lang w:val="fr-FR"/>
        </w:rPr>
        <w:t>TW</w:t>
      </w:r>
      <w:r w:rsidRPr="0007414F">
        <w:rPr>
          <w:lang w:val="fr-FR"/>
        </w:rPr>
        <w:t>F/53/12.</w:t>
      </w:r>
    </w:p>
    <w:p w14:paraId="7187725A" w14:textId="77777777" w:rsidR="0029289C" w:rsidRPr="0007414F" w:rsidRDefault="0029289C" w:rsidP="0029289C">
      <w:pPr>
        <w:rPr>
          <w:lang w:val="fr-FR"/>
        </w:rPr>
      </w:pPr>
    </w:p>
    <w:p w14:paraId="743AEA6B" w14:textId="431A03A9" w:rsidR="0029289C" w:rsidRPr="0007414F" w:rsidRDefault="0029289C" w:rsidP="0029289C">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2420F2">
        <w:rPr>
          <w:lang w:val="fr-FR"/>
        </w:rPr>
        <w:t>Le</w:t>
      </w:r>
      <w:r w:rsidRPr="0007414F">
        <w:rPr>
          <w:lang w:val="fr-FR"/>
        </w:rPr>
        <w:t xml:space="preserve"> TWF </w:t>
      </w:r>
      <w:r w:rsidR="00CC0943">
        <w:rPr>
          <w:lang w:val="fr-FR"/>
        </w:rPr>
        <w:t xml:space="preserve">a pris </w:t>
      </w:r>
      <w:r w:rsidRPr="0007414F">
        <w:rPr>
          <w:lang w:val="fr-FR"/>
        </w:rPr>
        <w:t>note</w:t>
      </w:r>
      <w:r w:rsidR="00CC0943">
        <w:rPr>
          <w:lang w:val="fr-FR"/>
        </w:rPr>
        <w:t xml:space="preserve"> que les </w:t>
      </w:r>
      <w:r w:rsidR="003E0D8D">
        <w:rPr>
          <w:lang w:val="fr-FR"/>
        </w:rPr>
        <w:t xml:space="preserve">marqueurs moléculaires </w:t>
      </w:r>
      <w:r w:rsidR="00CC0943">
        <w:rPr>
          <w:lang w:val="fr-FR"/>
        </w:rPr>
        <w:t>pouvaient être utilisés e</w:t>
      </w:r>
      <w:r w:rsidRPr="0007414F">
        <w:rPr>
          <w:lang w:val="fr-FR"/>
        </w:rPr>
        <w:t>n Chin</w:t>
      </w:r>
      <w:r w:rsidR="00CC0943">
        <w:rPr>
          <w:lang w:val="fr-FR"/>
        </w:rPr>
        <w:t>e</w:t>
      </w:r>
      <w:r w:rsidRPr="0007414F">
        <w:rPr>
          <w:lang w:val="fr-FR"/>
        </w:rPr>
        <w:t xml:space="preserve"> </w:t>
      </w:r>
      <w:r w:rsidR="00CC0943">
        <w:rPr>
          <w:lang w:val="fr-FR"/>
        </w:rPr>
        <w:t xml:space="preserve">dans un premier temps </w:t>
      </w:r>
      <w:r w:rsidR="00CC0943" w:rsidRPr="00CC0943">
        <w:rPr>
          <w:lang w:val="fr-FR"/>
        </w:rPr>
        <w:t>comme élément de preuve</w:t>
      </w:r>
      <w:r w:rsidRPr="0007414F">
        <w:rPr>
          <w:lang w:val="fr-FR"/>
        </w:rPr>
        <w:t xml:space="preserve"> </w:t>
      </w:r>
      <w:r w:rsidR="00CC0943">
        <w:rPr>
          <w:lang w:val="fr-FR"/>
        </w:rPr>
        <w:t>pour faire respecter les droits d</w:t>
      </w:r>
      <w:r w:rsidR="00D639EE">
        <w:rPr>
          <w:lang w:val="fr-FR"/>
        </w:rPr>
        <w:t>’</w:t>
      </w:r>
      <w:r w:rsidR="00CC0943">
        <w:rPr>
          <w:lang w:val="fr-FR"/>
        </w:rPr>
        <w:t>obtenteur</w:t>
      </w:r>
      <w:r w:rsidRPr="0007414F">
        <w:rPr>
          <w:lang w:val="fr-FR"/>
        </w:rPr>
        <w:t xml:space="preserve">, </w:t>
      </w:r>
      <w:r w:rsidR="00CC0943">
        <w:rPr>
          <w:lang w:val="fr-FR"/>
        </w:rPr>
        <w:t>suivis d</w:t>
      </w:r>
      <w:r w:rsidR="00D639EE">
        <w:rPr>
          <w:lang w:val="fr-FR"/>
        </w:rPr>
        <w:t>’</w:t>
      </w:r>
      <w:r w:rsidR="00CC0943">
        <w:rPr>
          <w:lang w:val="fr-FR"/>
        </w:rPr>
        <w:t>un essai en culture, le cas échéant</w:t>
      </w:r>
      <w:r w:rsidRPr="0007414F">
        <w:rPr>
          <w:lang w:val="fr-FR"/>
        </w:rPr>
        <w:t>.</w:t>
      </w:r>
    </w:p>
    <w:p w14:paraId="133FF14D" w14:textId="77777777" w:rsidR="0029289C" w:rsidRPr="0007414F" w:rsidRDefault="0029289C" w:rsidP="0029289C">
      <w:pPr>
        <w:rPr>
          <w:lang w:val="fr-FR"/>
        </w:rPr>
      </w:pPr>
    </w:p>
    <w:p w14:paraId="1718D624" w14:textId="39B6A43C" w:rsidR="0029289C" w:rsidRPr="0007414F" w:rsidRDefault="0029289C" w:rsidP="0029289C">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CC0943">
        <w:rPr>
          <w:lang w:val="fr-FR"/>
        </w:rPr>
        <w:t>Après l</w:t>
      </w:r>
      <w:r w:rsidR="00D639EE">
        <w:rPr>
          <w:lang w:val="fr-FR"/>
        </w:rPr>
        <w:t>’</w:t>
      </w:r>
      <w:r w:rsidR="00CC0943">
        <w:rPr>
          <w:lang w:val="fr-FR"/>
        </w:rPr>
        <w:t xml:space="preserve">exposé présenté par la </w:t>
      </w:r>
      <w:r w:rsidRPr="0007414F">
        <w:rPr>
          <w:lang w:val="fr-FR"/>
        </w:rPr>
        <w:t>Chin</w:t>
      </w:r>
      <w:r w:rsidR="00CC0943">
        <w:rPr>
          <w:lang w:val="fr-FR"/>
        </w:rPr>
        <w:t>e</w:t>
      </w:r>
      <w:r w:rsidRPr="0007414F">
        <w:rPr>
          <w:lang w:val="fr-FR"/>
        </w:rPr>
        <w:t>,</w:t>
      </w:r>
      <w:r w:rsidR="00D639EE" w:rsidRPr="0007414F">
        <w:rPr>
          <w:lang w:val="fr-FR"/>
        </w:rPr>
        <w:t xml:space="preserve"> </w:t>
      </w:r>
      <w:r w:rsidR="00D639EE">
        <w:rPr>
          <w:lang w:val="fr-FR"/>
        </w:rPr>
        <w:t>le </w:t>
      </w:r>
      <w:r w:rsidR="00D639EE" w:rsidRPr="0007414F">
        <w:rPr>
          <w:lang w:val="fr-FR"/>
        </w:rPr>
        <w:t>TWF</w:t>
      </w:r>
      <w:r w:rsidRPr="0007414F">
        <w:rPr>
          <w:lang w:val="fr-FR"/>
        </w:rPr>
        <w:t xml:space="preserve"> </w:t>
      </w:r>
      <w:r w:rsidR="00465150">
        <w:rPr>
          <w:lang w:val="fr-FR"/>
        </w:rPr>
        <w:t xml:space="preserve">a débattu de </w:t>
      </w:r>
      <w:r w:rsidR="00186CE3">
        <w:rPr>
          <w:lang w:val="fr-FR"/>
        </w:rPr>
        <w:t>l</w:t>
      </w:r>
      <w:r w:rsidR="00D639EE">
        <w:rPr>
          <w:lang w:val="fr-FR"/>
        </w:rPr>
        <w:t>’</w:t>
      </w:r>
      <w:r w:rsidR="00186CE3">
        <w:rPr>
          <w:lang w:val="fr-FR"/>
        </w:rPr>
        <w:t>utilisation des</w:t>
      </w:r>
      <w:r w:rsidRPr="0007414F">
        <w:rPr>
          <w:lang w:val="fr-FR"/>
        </w:rPr>
        <w:t xml:space="preserve"> </w:t>
      </w:r>
      <w:r w:rsidR="003E0D8D">
        <w:rPr>
          <w:lang w:val="fr-FR"/>
        </w:rPr>
        <w:t>marqueurs moléculaires dans le cadre de l</w:t>
      </w:r>
      <w:r w:rsidR="00D639EE">
        <w:rPr>
          <w:lang w:val="fr-FR"/>
        </w:rPr>
        <w:t>’</w:t>
      </w:r>
      <w:r w:rsidR="003E0D8D">
        <w:rPr>
          <w:lang w:val="fr-FR"/>
        </w:rPr>
        <w:t>examen</w:t>
      </w:r>
      <w:r w:rsidR="001B53D1">
        <w:rPr>
          <w:lang w:val="fr-FR"/>
        </w:rPr>
        <w:t> </w:t>
      </w:r>
      <w:r w:rsidR="003E0D8D">
        <w:rPr>
          <w:lang w:val="fr-FR"/>
        </w:rPr>
        <w:t>DHS</w:t>
      </w:r>
      <w:r w:rsidRPr="0007414F">
        <w:rPr>
          <w:lang w:val="fr-FR"/>
        </w:rPr>
        <w:t xml:space="preserve"> </w:t>
      </w:r>
      <w:r w:rsidR="008509CE">
        <w:rPr>
          <w:lang w:val="fr-FR"/>
        </w:rPr>
        <w:t>et</w:t>
      </w:r>
      <w:r w:rsidRPr="0007414F">
        <w:rPr>
          <w:lang w:val="fr-FR"/>
        </w:rPr>
        <w:t xml:space="preserve"> </w:t>
      </w:r>
      <w:r w:rsidR="00465150">
        <w:rPr>
          <w:lang w:val="fr-FR"/>
        </w:rPr>
        <w:t>de l</w:t>
      </w:r>
      <w:r w:rsidR="00D639EE">
        <w:rPr>
          <w:lang w:val="fr-FR"/>
        </w:rPr>
        <w:t>’</w:t>
      </w:r>
      <w:r w:rsidRPr="0007414F">
        <w:rPr>
          <w:lang w:val="fr-FR"/>
        </w:rPr>
        <w:t>identification</w:t>
      </w:r>
      <w:r w:rsidR="00465150" w:rsidRPr="00D639EE">
        <w:rPr>
          <w:lang w:val="fr-FR"/>
        </w:rPr>
        <w:t xml:space="preserve"> des </w:t>
      </w:r>
      <w:r w:rsidR="00465150" w:rsidRPr="00465150">
        <w:rPr>
          <w:lang w:val="fr-FR"/>
        </w:rPr>
        <w:t>variét</w:t>
      </w:r>
      <w:r w:rsidR="001C11A6" w:rsidRPr="00465150">
        <w:rPr>
          <w:lang w:val="fr-FR"/>
        </w:rPr>
        <w:t>é</w:t>
      </w:r>
      <w:r w:rsidR="001C11A6">
        <w:rPr>
          <w:lang w:val="fr-FR"/>
        </w:rPr>
        <w:t>s.  Le</w:t>
      </w:r>
      <w:r w:rsidR="00465150">
        <w:rPr>
          <w:lang w:val="fr-FR"/>
        </w:rPr>
        <w:t>s</w:t>
      </w:r>
      <w:r w:rsidRPr="0007414F">
        <w:rPr>
          <w:lang w:val="fr-FR"/>
        </w:rPr>
        <w:t xml:space="preserve"> aspects </w:t>
      </w:r>
      <w:r w:rsidR="00465150">
        <w:rPr>
          <w:lang w:val="fr-FR"/>
        </w:rPr>
        <w:t xml:space="preserve">suivants ont été évoqués par les </w:t>
      </w:r>
      <w:r w:rsidRPr="0007414F">
        <w:rPr>
          <w:lang w:val="fr-FR"/>
        </w:rPr>
        <w:t>participants</w:t>
      </w:r>
      <w:r w:rsidR="00D639EE">
        <w:rPr>
          <w:lang w:val="fr-FR"/>
        </w:rPr>
        <w:t> :</w:t>
      </w:r>
    </w:p>
    <w:p w14:paraId="2EDBDB47" w14:textId="77777777" w:rsidR="0029289C" w:rsidRPr="0007414F" w:rsidRDefault="0029289C" w:rsidP="001D05C2">
      <w:pPr>
        <w:spacing w:line="276" w:lineRule="auto"/>
        <w:ind w:left="851" w:hanging="284"/>
        <w:rPr>
          <w:lang w:val="fr-FR"/>
        </w:rPr>
      </w:pPr>
    </w:p>
    <w:p w14:paraId="3CE3BC40" w14:textId="77777777" w:rsidR="00D639EE" w:rsidRDefault="0029289C" w:rsidP="006E7E88">
      <w:pPr>
        <w:pStyle w:val="ListParagraph"/>
        <w:numPr>
          <w:ilvl w:val="0"/>
          <w:numId w:val="10"/>
        </w:numPr>
        <w:spacing w:line="276" w:lineRule="auto"/>
        <w:ind w:left="1134" w:hanging="567"/>
        <w:rPr>
          <w:lang w:val="fr-FR"/>
        </w:rPr>
      </w:pPr>
      <w:r w:rsidRPr="0007414F">
        <w:rPr>
          <w:lang w:val="fr-FR"/>
        </w:rPr>
        <w:t>Possibilit</w:t>
      </w:r>
      <w:r w:rsidR="00465150">
        <w:rPr>
          <w:lang w:val="fr-FR"/>
        </w:rPr>
        <w:t>é</w:t>
      </w:r>
      <w:r w:rsidRPr="0007414F">
        <w:rPr>
          <w:lang w:val="fr-FR"/>
        </w:rPr>
        <w:t xml:space="preserve">s </w:t>
      </w:r>
      <w:r w:rsidR="00465150">
        <w:rPr>
          <w:lang w:val="fr-FR"/>
        </w:rPr>
        <w:t>de</w:t>
      </w:r>
      <w:r w:rsidRPr="0007414F">
        <w:rPr>
          <w:lang w:val="fr-FR"/>
        </w:rPr>
        <w:t xml:space="preserve"> coop</w:t>
      </w:r>
      <w:r w:rsidR="00465150">
        <w:rPr>
          <w:lang w:val="fr-FR"/>
        </w:rPr>
        <w:t>é</w:t>
      </w:r>
      <w:r w:rsidRPr="0007414F">
        <w:rPr>
          <w:lang w:val="fr-FR"/>
        </w:rPr>
        <w:t xml:space="preserve">ration </w:t>
      </w:r>
      <w:r w:rsidR="00465150">
        <w:rPr>
          <w:lang w:val="fr-FR"/>
        </w:rPr>
        <w:t>en matière d</w:t>
      </w:r>
      <w:r w:rsidR="008509CE">
        <w:rPr>
          <w:lang w:val="fr-FR"/>
        </w:rPr>
        <w:t>e</w:t>
      </w:r>
      <w:r w:rsidRPr="0007414F">
        <w:rPr>
          <w:lang w:val="fr-FR"/>
        </w:rPr>
        <w:t xml:space="preserve"> constitution </w:t>
      </w:r>
      <w:r w:rsidR="00465150">
        <w:rPr>
          <w:lang w:val="fr-FR"/>
        </w:rPr>
        <w:t>de bases de données</w:t>
      </w:r>
      <w:r w:rsidRPr="0007414F">
        <w:rPr>
          <w:lang w:val="fr-FR"/>
        </w:rPr>
        <w:t xml:space="preserve"> comm</w:t>
      </w:r>
      <w:r w:rsidR="00465150">
        <w:rPr>
          <w:lang w:val="fr-FR"/>
        </w:rPr>
        <w:t>u</w:t>
      </w:r>
      <w:r w:rsidRPr="0007414F">
        <w:rPr>
          <w:lang w:val="fr-FR"/>
        </w:rPr>
        <w:t>n</w:t>
      </w:r>
      <w:r w:rsidR="00465150">
        <w:rPr>
          <w:lang w:val="fr-FR"/>
        </w:rPr>
        <w:t>e</w:t>
      </w:r>
      <w:r w:rsidRPr="0007414F">
        <w:rPr>
          <w:lang w:val="fr-FR"/>
        </w:rPr>
        <w:t xml:space="preserve">s, </w:t>
      </w:r>
      <w:r w:rsidR="00465150">
        <w:rPr>
          <w:lang w:val="fr-FR"/>
        </w:rPr>
        <w:t xml:space="preserve">notamment concernant les </w:t>
      </w:r>
      <w:r w:rsidRPr="0007414F">
        <w:rPr>
          <w:lang w:val="fr-FR"/>
        </w:rPr>
        <w:t>autorit</w:t>
      </w:r>
      <w:r w:rsidR="00465150">
        <w:rPr>
          <w:lang w:val="fr-FR"/>
        </w:rPr>
        <w:t>é</w:t>
      </w:r>
      <w:r w:rsidRPr="0007414F">
        <w:rPr>
          <w:lang w:val="fr-FR"/>
        </w:rPr>
        <w:t xml:space="preserve">s </w:t>
      </w:r>
      <w:r w:rsidR="00465150">
        <w:rPr>
          <w:lang w:val="fr-FR"/>
        </w:rPr>
        <w:t xml:space="preserve">qui reçoivent </w:t>
      </w:r>
      <w:r w:rsidRPr="0007414F">
        <w:rPr>
          <w:lang w:val="fr-FR"/>
        </w:rPr>
        <w:t>relative</w:t>
      </w:r>
      <w:r w:rsidR="00465150">
        <w:rPr>
          <w:lang w:val="fr-FR"/>
        </w:rPr>
        <w:t>ment peu de demandes pour certaines plantes</w:t>
      </w:r>
    </w:p>
    <w:p w14:paraId="6B1CE77A" w14:textId="1A725609" w:rsidR="0029289C" w:rsidRPr="0007414F" w:rsidRDefault="0029289C" w:rsidP="006E7E88">
      <w:pPr>
        <w:pStyle w:val="ListParagraph"/>
        <w:numPr>
          <w:ilvl w:val="0"/>
          <w:numId w:val="10"/>
        </w:numPr>
        <w:spacing w:line="276" w:lineRule="auto"/>
        <w:ind w:left="1134" w:hanging="567"/>
        <w:rPr>
          <w:lang w:val="fr-FR"/>
        </w:rPr>
      </w:pPr>
      <w:r w:rsidRPr="0007414F">
        <w:rPr>
          <w:lang w:val="fr-FR"/>
        </w:rPr>
        <w:t>Origin</w:t>
      </w:r>
      <w:r w:rsidR="00465150">
        <w:rPr>
          <w:lang w:val="fr-FR"/>
        </w:rPr>
        <w:t>e</w:t>
      </w:r>
      <w:r w:rsidRPr="0007414F">
        <w:rPr>
          <w:lang w:val="fr-FR"/>
        </w:rPr>
        <w:t xml:space="preserve"> </w:t>
      </w:r>
      <w:r w:rsidR="00465150">
        <w:rPr>
          <w:lang w:val="fr-FR"/>
        </w:rPr>
        <w:t>du matériel végétal pour l</w:t>
      </w:r>
      <w:r w:rsidR="00D639EE">
        <w:rPr>
          <w:lang w:val="fr-FR"/>
        </w:rPr>
        <w:t>’</w:t>
      </w:r>
      <w:r w:rsidR="00465150">
        <w:rPr>
          <w:lang w:val="fr-FR"/>
        </w:rPr>
        <w:t>e</w:t>
      </w:r>
      <w:r w:rsidRPr="0007414F">
        <w:rPr>
          <w:lang w:val="fr-FR"/>
        </w:rPr>
        <w:t xml:space="preserve">xtraction </w:t>
      </w:r>
      <w:r w:rsidR="00465150">
        <w:rPr>
          <w:lang w:val="fr-FR"/>
        </w:rPr>
        <w:t>d</w:t>
      </w:r>
      <w:r w:rsidR="00D639EE">
        <w:rPr>
          <w:lang w:val="fr-FR"/>
        </w:rPr>
        <w:t>’</w:t>
      </w:r>
      <w:r w:rsidR="00465150">
        <w:rPr>
          <w:lang w:val="fr-FR"/>
        </w:rPr>
        <w:t xml:space="preserve">ADN </w:t>
      </w:r>
      <w:r w:rsidRPr="0007414F">
        <w:rPr>
          <w:lang w:val="fr-FR"/>
        </w:rPr>
        <w:t>(</w:t>
      </w:r>
      <w:r w:rsidR="00465150">
        <w:rPr>
          <w:lang w:val="fr-FR"/>
        </w:rPr>
        <w:t xml:space="preserve">par </w:t>
      </w:r>
      <w:r w:rsidRPr="0007414F">
        <w:rPr>
          <w:lang w:val="fr-FR"/>
        </w:rPr>
        <w:t>e</w:t>
      </w:r>
      <w:r w:rsidR="00465150">
        <w:rPr>
          <w:lang w:val="fr-FR"/>
        </w:rPr>
        <w:t>xemple, le</w:t>
      </w:r>
      <w:r w:rsidRPr="0007414F">
        <w:rPr>
          <w:lang w:val="fr-FR"/>
        </w:rPr>
        <w:t xml:space="preserve"> mat</w:t>
      </w:r>
      <w:r w:rsidR="00465150">
        <w:rPr>
          <w:lang w:val="fr-FR"/>
        </w:rPr>
        <w:t>é</w:t>
      </w:r>
      <w:r w:rsidRPr="0007414F">
        <w:rPr>
          <w:lang w:val="fr-FR"/>
        </w:rPr>
        <w:t>ri</w:t>
      </w:r>
      <w:r w:rsidR="00465150">
        <w:rPr>
          <w:lang w:val="fr-FR"/>
        </w:rPr>
        <w:t>e</w:t>
      </w:r>
      <w:r w:rsidRPr="0007414F">
        <w:rPr>
          <w:lang w:val="fr-FR"/>
        </w:rPr>
        <w:t xml:space="preserve">l </w:t>
      </w:r>
      <w:r w:rsidR="00465150">
        <w:rPr>
          <w:lang w:val="fr-FR"/>
        </w:rPr>
        <w:t>fourni pour l</w:t>
      </w:r>
      <w:r w:rsidR="00D639EE">
        <w:rPr>
          <w:lang w:val="fr-FR"/>
        </w:rPr>
        <w:t>’</w:t>
      </w:r>
      <w:r w:rsidR="00465150">
        <w:rPr>
          <w:lang w:val="fr-FR"/>
        </w:rPr>
        <w:t>examen</w:t>
      </w:r>
      <w:r w:rsidR="001B53D1">
        <w:rPr>
          <w:lang w:val="fr-FR"/>
        </w:rPr>
        <w:t> </w:t>
      </w:r>
      <w:r w:rsidR="00186CE3">
        <w:rPr>
          <w:lang w:val="fr-FR"/>
        </w:rPr>
        <w:t>DHS</w:t>
      </w:r>
      <w:r w:rsidR="00465150">
        <w:rPr>
          <w:lang w:val="fr-FR"/>
        </w:rPr>
        <w:t>)</w:t>
      </w:r>
    </w:p>
    <w:p w14:paraId="4EE91926" w14:textId="1E6F5EA1" w:rsidR="0029289C" w:rsidRPr="0007414F" w:rsidRDefault="0029289C" w:rsidP="006E7E88">
      <w:pPr>
        <w:pStyle w:val="ListParagraph"/>
        <w:numPr>
          <w:ilvl w:val="0"/>
          <w:numId w:val="10"/>
        </w:numPr>
        <w:spacing w:line="276" w:lineRule="auto"/>
        <w:ind w:left="1134" w:hanging="567"/>
        <w:rPr>
          <w:lang w:val="fr-FR"/>
        </w:rPr>
      </w:pPr>
      <w:r w:rsidRPr="0007414F">
        <w:rPr>
          <w:lang w:val="fr-FR"/>
        </w:rPr>
        <w:t>S</w:t>
      </w:r>
      <w:r w:rsidR="001D05C2">
        <w:rPr>
          <w:lang w:val="fr-FR"/>
        </w:rPr>
        <w:t>é</w:t>
      </w:r>
      <w:r w:rsidRPr="0007414F">
        <w:rPr>
          <w:lang w:val="fr-FR"/>
        </w:rPr>
        <w:t xml:space="preserve">lection </w:t>
      </w:r>
      <w:r w:rsidR="001D05C2">
        <w:rPr>
          <w:lang w:val="fr-FR"/>
        </w:rPr>
        <w:t>de marqueur</w:t>
      </w:r>
      <w:r w:rsidRPr="0007414F">
        <w:rPr>
          <w:lang w:val="fr-FR"/>
        </w:rPr>
        <w:t xml:space="preserve">s </w:t>
      </w:r>
      <w:r w:rsidR="001D05C2">
        <w:rPr>
          <w:lang w:val="fr-FR"/>
        </w:rPr>
        <w:t>pour chaque plante, en fonction de l</w:t>
      </w:r>
      <w:r w:rsidR="00D639EE">
        <w:rPr>
          <w:lang w:val="fr-FR"/>
        </w:rPr>
        <w:t>’</w:t>
      </w:r>
      <w:r w:rsidR="001D05C2">
        <w:rPr>
          <w:lang w:val="fr-FR"/>
        </w:rPr>
        <w:t>utilisation visée</w:t>
      </w:r>
      <w:r w:rsidRPr="0007414F">
        <w:rPr>
          <w:lang w:val="fr-FR"/>
        </w:rPr>
        <w:t xml:space="preserve"> (</w:t>
      </w:r>
      <w:r w:rsidR="001D05C2" w:rsidRPr="001D05C2">
        <w:rPr>
          <w:lang w:val="fr-FR"/>
        </w:rPr>
        <w:t>par exemple,</w:t>
      </w:r>
      <w:r w:rsidRPr="0007414F">
        <w:rPr>
          <w:lang w:val="fr-FR"/>
        </w:rPr>
        <w:t xml:space="preserve"> </w:t>
      </w:r>
      <w:r w:rsidR="001D05C2">
        <w:rPr>
          <w:lang w:val="fr-FR"/>
        </w:rPr>
        <w:t>pour les droits d</w:t>
      </w:r>
      <w:r w:rsidR="00D639EE">
        <w:rPr>
          <w:lang w:val="fr-FR"/>
        </w:rPr>
        <w:t>’</w:t>
      </w:r>
      <w:r w:rsidR="001D05C2">
        <w:rPr>
          <w:lang w:val="fr-FR"/>
        </w:rPr>
        <w:t>obtenteur ou l</w:t>
      </w:r>
      <w:r w:rsidR="00D639EE">
        <w:rPr>
          <w:lang w:val="fr-FR"/>
        </w:rPr>
        <w:t>’</w:t>
      </w:r>
      <w:r w:rsidR="001D05C2">
        <w:rPr>
          <w:lang w:val="fr-FR"/>
        </w:rPr>
        <w:t xml:space="preserve">identification de la </w:t>
      </w:r>
      <w:r w:rsidR="00EB5ED6">
        <w:rPr>
          <w:lang w:val="fr-FR"/>
        </w:rPr>
        <w:t>variété</w:t>
      </w:r>
      <w:r w:rsidRPr="0007414F">
        <w:rPr>
          <w:lang w:val="fr-FR"/>
        </w:rPr>
        <w:t>)</w:t>
      </w:r>
    </w:p>
    <w:p w14:paraId="5F769AF3" w14:textId="2F1A2623" w:rsidR="0029289C" w:rsidRPr="0007414F" w:rsidRDefault="0029289C" w:rsidP="006E7E88">
      <w:pPr>
        <w:pStyle w:val="ListParagraph"/>
        <w:numPr>
          <w:ilvl w:val="0"/>
          <w:numId w:val="10"/>
        </w:numPr>
        <w:spacing w:line="276" w:lineRule="auto"/>
        <w:ind w:left="1134" w:hanging="567"/>
        <w:rPr>
          <w:lang w:val="fr-FR"/>
        </w:rPr>
      </w:pPr>
      <w:r w:rsidRPr="0007414F">
        <w:rPr>
          <w:lang w:val="fr-FR"/>
        </w:rPr>
        <w:t>S</w:t>
      </w:r>
      <w:r w:rsidR="001D05C2">
        <w:rPr>
          <w:lang w:val="fr-FR"/>
        </w:rPr>
        <w:t>é</w:t>
      </w:r>
      <w:r w:rsidRPr="0007414F">
        <w:rPr>
          <w:lang w:val="fr-FR"/>
        </w:rPr>
        <w:t>lecti</w:t>
      </w:r>
      <w:r w:rsidR="001D05C2">
        <w:rPr>
          <w:lang w:val="fr-FR"/>
        </w:rPr>
        <w:t>o</w:t>
      </w:r>
      <w:r w:rsidRPr="0007414F">
        <w:rPr>
          <w:lang w:val="fr-FR"/>
        </w:rPr>
        <w:t xml:space="preserve">n </w:t>
      </w:r>
      <w:r w:rsidR="001D05C2">
        <w:rPr>
          <w:lang w:val="fr-FR"/>
        </w:rPr>
        <w:t>d</w:t>
      </w:r>
      <w:r w:rsidR="00D639EE">
        <w:rPr>
          <w:lang w:val="fr-FR"/>
        </w:rPr>
        <w:t>’</w:t>
      </w:r>
      <w:r w:rsidR="001D05C2">
        <w:rPr>
          <w:lang w:val="fr-FR"/>
        </w:rPr>
        <w:t xml:space="preserve">un ou de plusieurs </w:t>
      </w:r>
      <w:r w:rsidRPr="0007414F">
        <w:rPr>
          <w:lang w:val="fr-FR"/>
        </w:rPr>
        <w:t>laboratoi</w:t>
      </w:r>
      <w:r w:rsidR="001D05C2">
        <w:rPr>
          <w:lang w:val="fr-FR"/>
        </w:rPr>
        <w:t>r</w:t>
      </w:r>
      <w:r w:rsidRPr="0007414F">
        <w:rPr>
          <w:lang w:val="fr-FR"/>
        </w:rPr>
        <w:t>es capable</w:t>
      </w:r>
      <w:r w:rsidR="001D05C2">
        <w:rPr>
          <w:lang w:val="fr-FR"/>
        </w:rPr>
        <w:t>s</w:t>
      </w:r>
      <w:r w:rsidRPr="0007414F">
        <w:rPr>
          <w:lang w:val="fr-FR"/>
        </w:rPr>
        <w:t xml:space="preserve"> </w:t>
      </w:r>
      <w:r w:rsidR="001D05C2">
        <w:rPr>
          <w:lang w:val="fr-FR"/>
        </w:rPr>
        <w:t xml:space="preserve">de fournir des profils moléculaires de </w:t>
      </w:r>
      <w:r w:rsidRPr="0007414F">
        <w:rPr>
          <w:lang w:val="fr-FR"/>
        </w:rPr>
        <w:t>h</w:t>
      </w:r>
      <w:r w:rsidR="001D05C2">
        <w:rPr>
          <w:lang w:val="fr-FR"/>
        </w:rPr>
        <w:t>aute q</w:t>
      </w:r>
      <w:r w:rsidRPr="0007414F">
        <w:rPr>
          <w:lang w:val="fr-FR"/>
        </w:rPr>
        <w:t>ualit</w:t>
      </w:r>
      <w:r w:rsidR="001D05C2">
        <w:rPr>
          <w:lang w:val="fr-FR"/>
        </w:rPr>
        <w:t>é</w:t>
      </w:r>
      <w:r w:rsidRPr="0007414F">
        <w:rPr>
          <w:lang w:val="fr-FR"/>
        </w:rPr>
        <w:t xml:space="preserve"> (</w:t>
      </w:r>
      <w:r w:rsidR="001D05C2" w:rsidRPr="001D05C2">
        <w:rPr>
          <w:lang w:val="fr-FR"/>
        </w:rPr>
        <w:t>par exemple,</w:t>
      </w:r>
      <w:r w:rsidRPr="0007414F">
        <w:rPr>
          <w:lang w:val="fr-FR"/>
        </w:rPr>
        <w:t xml:space="preserve"> </w:t>
      </w:r>
      <w:r w:rsidR="001D05C2">
        <w:rPr>
          <w:lang w:val="fr-FR"/>
        </w:rPr>
        <w:t xml:space="preserve">des sauvegardes de </w:t>
      </w:r>
      <w:r w:rsidRPr="0007414F">
        <w:rPr>
          <w:lang w:val="fr-FR"/>
        </w:rPr>
        <w:t>s</w:t>
      </w:r>
      <w:r w:rsidR="001D05C2">
        <w:rPr>
          <w:lang w:val="fr-FR"/>
        </w:rPr>
        <w:t>é</w:t>
      </w:r>
      <w:r w:rsidRPr="0007414F">
        <w:rPr>
          <w:lang w:val="fr-FR"/>
        </w:rPr>
        <w:t>curit</w:t>
      </w:r>
      <w:r w:rsidR="001D05C2">
        <w:rPr>
          <w:lang w:val="fr-FR"/>
        </w:rPr>
        <w:t>é</w:t>
      </w:r>
      <w:r w:rsidRPr="0007414F">
        <w:rPr>
          <w:lang w:val="fr-FR"/>
        </w:rPr>
        <w:t>)</w:t>
      </w:r>
      <w:r w:rsidR="00D639EE">
        <w:rPr>
          <w:lang w:val="fr-FR"/>
        </w:rPr>
        <w:t>;</w:t>
      </w:r>
    </w:p>
    <w:p w14:paraId="3934447D" w14:textId="40A76C1E" w:rsidR="00D639EE" w:rsidRDefault="001D05C2" w:rsidP="006E7E88">
      <w:pPr>
        <w:pStyle w:val="ListParagraph"/>
        <w:numPr>
          <w:ilvl w:val="0"/>
          <w:numId w:val="10"/>
        </w:numPr>
        <w:spacing w:line="276" w:lineRule="auto"/>
        <w:ind w:left="1134" w:hanging="567"/>
        <w:rPr>
          <w:lang w:val="fr-FR"/>
        </w:rPr>
      </w:pPr>
      <w:r>
        <w:rPr>
          <w:lang w:val="fr-FR"/>
        </w:rPr>
        <w:t>Coût élevé</w:t>
      </w:r>
      <w:r w:rsidR="0029289C" w:rsidRPr="0007414F">
        <w:rPr>
          <w:lang w:val="fr-FR"/>
        </w:rPr>
        <w:t xml:space="preserve"> </w:t>
      </w:r>
      <w:r>
        <w:rPr>
          <w:lang w:val="fr-FR"/>
        </w:rPr>
        <w:t>des méthodologies d</w:t>
      </w:r>
      <w:r w:rsidR="00D639EE">
        <w:rPr>
          <w:lang w:val="fr-FR"/>
        </w:rPr>
        <w:t>’</w:t>
      </w:r>
      <w:r w:rsidR="0029289C" w:rsidRPr="0007414F">
        <w:rPr>
          <w:lang w:val="fr-FR"/>
        </w:rPr>
        <w:t>harmoni</w:t>
      </w:r>
      <w:r>
        <w:rPr>
          <w:lang w:val="fr-FR"/>
        </w:rPr>
        <w:t>sation</w:t>
      </w:r>
      <w:r w:rsidR="0029289C" w:rsidRPr="0007414F">
        <w:rPr>
          <w:lang w:val="fr-FR"/>
        </w:rPr>
        <w:t xml:space="preserve"> </w:t>
      </w:r>
      <w:r>
        <w:rPr>
          <w:lang w:val="fr-FR"/>
        </w:rPr>
        <w:t xml:space="preserve">pour les profils </w:t>
      </w:r>
      <w:r w:rsidR="00465150" w:rsidRPr="00465150">
        <w:rPr>
          <w:lang w:val="fr-FR"/>
        </w:rPr>
        <w:t>ADN</w:t>
      </w:r>
      <w:r w:rsidR="0029289C" w:rsidRPr="0007414F">
        <w:rPr>
          <w:lang w:val="fr-FR"/>
        </w:rPr>
        <w:t xml:space="preserve"> </w:t>
      </w:r>
      <w:r>
        <w:rPr>
          <w:lang w:val="fr-FR"/>
        </w:rPr>
        <w:t xml:space="preserve">entre les </w:t>
      </w:r>
      <w:r w:rsidR="0029289C" w:rsidRPr="0007414F">
        <w:rPr>
          <w:lang w:val="fr-FR"/>
        </w:rPr>
        <w:t>diff</w:t>
      </w:r>
      <w:r>
        <w:rPr>
          <w:lang w:val="fr-FR"/>
        </w:rPr>
        <w:t>é</w:t>
      </w:r>
      <w:r w:rsidR="0029289C" w:rsidRPr="0007414F">
        <w:rPr>
          <w:lang w:val="fr-FR"/>
        </w:rPr>
        <w:t>rent</w:t>
      </w:r>
      <w:r>
        <w:rPr>
          <w:lang w:val="fr-FR"/>
        </w:rPr>
        <w:t>s</w:t>
      </w:r>
      <w:r w:rsidR="0029289C" w:rsidRPr="0007414F">
        <w:rPr>
          <w:lang w:val="fr-FR"/>
        </w:rPr>
        <w:t xml:space="preserve"> laboratoi</w:t>
      </w:r>
      <w:r>
        <w:rPr>
          <w:lang w:val="fr-FR"/>
        </w:rPr>
        <w:t>r</w:t>
      </w:r>
      <w:r w:rsidR="0029289C" w:rsidRPr="0007414F">
        <w:rPr>
          <w:lang w:val="fr-FR"/>
        </w:rPr>
        <w:t>es</w:t>
      </w:r>
      <w:r w:rsidR="00D639EE">
        <w:rPr>
          <w:lang w:val="fr-FR"/>
        </w:rPr>
        <w:t>;</w:t>
      </w:r>
    </w:p>
    <w:p w14:paraId="35C60FBC" w14:textId="6534E4A4" w:rsidR="0029289C" w:rsidRPr="0007414F" w:rsidRDefault="0029289C" w:rsidP="006E7E88">
      <w:pPr>
        <w:pStyle w:val="ListParagraph"/>
        <w:numPr>
          <w:ilvl w:val="0"/>
          <w:numId w:val="10"/>
        </w:numPr>
        <w:spacing w:line="276" w:lineRule="auto"/>
        <w:ind w:left="1134" w:hanging="567"/>
        <w:rPr>
          <w:lang w:val="fr-FR"/>
        </w:rPr>
      </w:pPr>
      <w:r w:rsidRPr="0007414F">
        <w:rPr>
          <w:lang w:val="fr-FR"/>
        </w:rPr>
        <w:t>Difficult</w:t>
      </w:r>
      <w:r w:rsidR="001D05C2">
        <w:rPr>
          <w:lang w:val="fr-FR"/>
        </w:rPr>
        <w:t>é</w:t>
      </w:r>
      <w:r w:rsidRPr="0007414F">
        <w:rPr>
          <w:lang w:val="fr-FR"/>
        </w:rPr>
        <w:t xml:space="preserve"> </w:t>
      </w:r>
      <w:r w:rsidR="001D05C2">
        <w:rPr>
          <w:lang w:val="fr-FR"/>
        </w:rPr>
        <w:t>à</w:t>
      </w:r>
      <w:r w:rsidRPr="0007414F">
        <w:rPr>
          <w:lang w:val="fr-FR"/>
        </w:rPr>
        <w:t xml:space="preserve"> obt</w:t>
      </w:r>
      <w:r w:rsidR="001D05C2">
        <w:rPr>
          <w:lang w:val="fr-FR"/>
        </w:rPr>
        <w:t>e</w:t>
      </w:r>
      <w:r w:rsidRPr="0007414F">
        <w:rPr>
          <w:lang w:val="fr-FR"/>
        </w:rPr>
        <w:t>n</w:t>
      </w:r>
      <w:r w:rsidR="001D05C2">
        <w:rPr>
          <w:lang w:val="fr-FR"/>
        </w:rPr>
        <w:t>ir</w:t>
      </w:r>
      <w:r w:rsidRPr="0007414F">
        <w:rPr>
          <w:lang w:val="fr-FR"/>
        </w:rPr>
        <w:t xml:space="preserve"> </w:t>
      </w:r>
      <w:r w:rsidR="008509CE">
        <w:rPr>
          <w:lang w:val="fr-FR"/>
        </w:rPr>
        <w:t>le</w:t>
      </w:r>
      <w:r w:rsidR="001D05C2">
        <w:rPr>
          <w:lang w:val="fr-FR"/>
        </w:rPr>
        <w:t>s</w:t>
      </w:r>
      <w:r w:rsidRPr="0007414F">
        <w:rPr>
          <w:lang w:val="fr-FR"/>
        </w:rPr>
        <w:t xml:space="preserve"> </w:t>
      </w:r>
      <w:r w:rsidR="001D05C2">
        <w:rPr>
          <w:lang w:val="fr-FR"/>
        </w:rPr>
        <w:t>mê</w:t>
      </w:r>
      <w:r w:rsidRPr="0007414F">
        <w:rPr>
          <w:lang w:val="fr-FR"/>
        </w:rPr>
        <w:t>me</w:t>
      </w:r>
      <w:r w:rsidR="001D05C2">
        <w:rPr>
          <w:lang w:val="fr-FR"/>
        </w:rPr>
        <w:t>s</w:t>
      </w:r>
      <w:r w:rsidRPr="0007414F">
        <w:rPr>
          <w:lang w:val="fr-FR"/>
        </w:rPr>
        <w:t xml:space="preserve"> </w:t>
      </w:r>
      <w:r w:rsidR="001D05C2">
        <w:rPr>
          <w:lang w:val="fr-FR"/>
        </w:rPr>
        <w:t>résultat</w:t>
      </w:r>
      <w:r w:rsidRPr="0007414F">
        <w:rPr>
          <w:lang w:val="fr-FR"/>
        </w:rPr>
        <w:t>s</w:t>
      </w:r>
      <w:r w:rsidR="001D05C2">
        <w:rPr>
          <w:lang w:val="fr-FR"/>
        </w:rPr>
        <w:t xml:space="preserve">, même auprès de </w:t>
      </w:r>
      <w:r w:rsidRPr="0007414F">
        <w:rPr>
          <w:lang w:val="fr-FR"/>
        </w:rPr>
        <w:t>laboratoi</w:t>
      </w:r>
      <w:r w:rsidR="001D05C2">
        <w:rPr>
          <w:lang w:val="fr-FR"/>
        </w:rPr>
        <w:t>r</w:t>
      </w:r>
      <w:r w:rsidRPr="0007414F">
        <w:rPr>
          <w:lang w:val="fr-FR"/>
        </w:rPr>
        <w:t>es u</w:t>
      </w:r>
      <w:r w:rsidR="001D05C2">
        <w:rPr>
          <w:lang w:val="fr-FR"/>
        </w:rPr>
        <w:t xml:space="preserve">tilisant des </w:t>
      </w:r>
      <w:r w:rsidR="00061003">
        <w:rPr>
          <w:lang w:val="fr-FR"/>
        </w:rPr>
        <w:t>méthodologie</w:t>
      </w:r>
      <w:r w:rsidRPr="0007414F">
        <w:rPr>
          <w:lang w:val="fr-FR"/>
        </w:rPr>
        <w:t>s harmoni</w:t>
      </w:r>
      <w:r w:rsidR="00061003">
        <w:rPr>
          <w:lang w:val="fr-FR"/>
        </w:rPr>
        <w:t>sé</w:t>
      </w:r>
      <w:r w:rsidRPr="0007414F">
        <w:rPr>
          <w:lang w:val="fr-FR"/>
        </w:rPr>
        <w:t>es.</w:t>
      </w:r>
    </w:p>
    <w:p w14:paraId="0A56776B" w14:textId="77777777" w:rsidR="0029289C" w:rsidRPr="0007414F" w:rsidRDefault="0029289C" w:rsidP="001D05C2">
      <w:pPr>
        <w:spacing w:line="276" w:lineRule="auto"/>
        <w:ind w:left="851" w:hanging="284"/>
        <w:rPr>
          <w:lang w:val="fr-FR"/>
        </w:rPr>
      </w:pPr>
    </w:p>
    <w:p w14:paraId="322FE85D" w14:textId="10B694BF" w:rsidR="00DE5CB9" w:rsidRPr="0007414F" w:rsidRDefault="00DE5CB9" w:rsidP="00DE5CB9">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061003" w:rsidRPr="00061003">
        <w:rPr>
          <w:lang w:val="fr-FR"/>
        </w:rPr>
        <w:t>À sa cinquante</w:t>
      </w:r>
      <w:r w:rsidR="006E7E88">
        <w:rPr>
          <w:lang w:val="fr-FR"/>
        </w:rPr>
        <w:noBreakHyphen/>
      </w:r>
      <w:r w:rsidR="00061003">
        <w:rPr>
          <w:lang w:val="fr-FR"/>
        </w:rPr>
        <w:t>quatr</w:t>
      </w:r>
      <w:r w:rsidR="00D639EE">
        <w:rPr>
          <w:lang w:val="fr-FR"/>
        </w:rPr>
        <w:t>ième session</w:t>
      </w:r>
      <w:r w:rsidR="003A73AA" w:rsidRPr="0007414F">
        <w:rPr>
          <w:vertAlign w:val="superscript"/>
          <w:lang w:val="fr-FR"/>
        </w:rPr>
        <w:footnoteReference w:id="12"/>
      </w:r>
      <w:r w:rsidR="00527C6F" w:rsidRPr="0007414F">
        <w:rPr>
          <w:lang w:val="fr-FR"/>
        </w:rPr>
        <w:t>,</w:t>
      </w:r>
      <w:r w:rsidR="00D639EE" w:rsidRPr="0007414F">
        <w:rPr>
          <w:lang w:val="fr-FR"/>
        </w:rPr>
        <w:t xml:space="preserve"> </w:t>
      </w:r>
      <w:r w:rsidR="00D639EE">
        <w:rPr>
          <w:lang w:val="fr-FR"/>
        </w:rPr>
        <w:t>l</w:t>
      </w:r>
      <w:r w:rsidR="00D639EE" w:rsidRPr="00061003">
        <w:rPr>
          <w:lang w:val="fr-FR"/>
        </w:rPr>
        <w:t>e</w:t>
      </w:r>
      <w:r w:rsidR="00D639EE">
        <w:rPr>
          <w:lang w:val="fr-FR"/>
        </w:rPr>
        <w:t> </w:t>
      </w:r>
      <w:r w:rsidR="00D639EE" w:rsidRPr="00061003">
        <w:rPr>
          <w:lang w:val="fr-FR"/>
        </w:rPr>
        <w:t>TWO</w:t>
      </w:r>
      <w:r w:rsidR="00061003" w:rsidRPr="00061003">
        <w:rPr>
          <w:lang w:val="fr-FR"/>
        </w:rPr>
        <w:t xml:space="preserve"> </w:t>
      </w:r>
      <w:r w:rsidR="00061003">
        <w:rPr>
          <w:lang w:val="fr-FR"/>
        </w:rPr>
        <w:t xml:space="preserve">a pris </w:t>
      </w:r>
      <w:r w:rsidRPr="0007414F">
        <w:rPr>
          <w:lang w:val="fr-FR"/>
        </w:rPr>
        <w:t xml:space="preserve">note </w:t>
      </w:r>
      <w:r w:rsidR="00061003">
        <w:rPr>
          <w:lang w:val="fr-FR"/>
        </w:rPr>
        <w:t>qu</w:t>
      </w:r>
      <w:r w:rsidR="00D639EE">
        <w:rPr>
          <w:lang w:val="fr-FR"/>
        </w:rPr>
        <w:t>’</w:t>
      </w:r>
      <w:r w:rsidR="00061003">
        <w:rPr>
          <w:lang w:val="fr-FR"/>
        </w:rPr>
        <w:t>aucun compte rendu n</w:t>
      </w:r>
      <w:r w:rsidR="00D639EE">
        <w:rPr>
          <w:lang w:val="fr-FR"/>
        </w:rPr>
        <w:t>’</w:t>
      </w:r>
      <w:r w:rsidR="00061003">
        <w:rPr>
          <w:lang w:val="fr-FR"/>
        </w:rPr>
        <w:t xml:space="preserve">avait été présenté concernant </w:t>
      </w:r>
      <w:r w:rsidR="00186CE3">
        <w:rPr>
          <w:lang w:val="fr-FR"/>
        </w:rPr>
        <w:t>l</w:t>
      </w:r>
      <w:r w:rsidR="00D639EE">
        <w:rPr>
          <w:lang w:val="fr-FR"/>
        </w:rPr>
        <w:t>’</w:t>
      </w:r>
      <w:r w:rsidR="00186CE3">
        <w:rPr>
          <w:lang w:val="fr-FR"/>
        </w:rPr>
        <w:t>utilisation des</w:t>
      </w:r>
      <w:r w:rsidRPr="0007414F">
        <w:rPr>
          <w:lang w:val="fr-FR"/>
        </w:rPr>
        <w:t xml:space="preserve"> </w:t>
      </w:r>
      <w:r w:rsidR="00061003" w:rsidRPr="00061003">
        <w:rPr>
          <w:lang w:val="fr-FR"/>
        </w:rPr>
        <w:t>techniques biochimiques moléculaires dans le cadre de l</w:t>
      </w:r>
      <w:r w:rsidR="00D639EE">
        <w:rPr>
          <w:lang w:val="fr-FR"/>
        </w:rPr>
        <w:t>’</w:t>
      </w:r>
      <w:r w:rsidR="00061003" w:rsidRPr="00061003">
        <w:rPr>
          <w:lang w:val="fr-FR"/>
        </w:rPr>
        <w:t>examen</w:t>
      </w:r>
      <w:r w:rsidR="001B53D1">
        <w:rPr>
          <w:lang w:val="fr-FR"/>
        </w:rPr>
        <w:t> </w:t>
      </w:r>
      <w:r w:rsidR="00061003" w:rsidRPr="00061003">
        <w:rPr>
          <w:lang w:val="fr-FR"/>
        </w:rPr>
        <w:t xml:space="preserve">DHS </w:t>
      </w:r>
      <w:r w:rsidR="00061003">
        <w:rPr>
          <w:lang w:val="fr-FR"/>
        </w:rPr>
        <w:t>des</w:t>
      </w:r>
      <w:r w:rsidRPr="0007414F">
        <w:rPr>
          <w:lang w:val="fr-FR"/>
        </w:rPr>
        <w:t xml:space="preserve"> </w:t>
      </w:r>
      <w:r w:rsidR="00061003">
        <w:rPr>
          <w:lang w:val="fr-FR"/>
        </w:rPr>
        <w:t xml:space="preserve">plantes </w:t>
      </w:r>
      <w:r w:rsidRPr="0007414F">
        <w:rPr>
          <w:lang w:val="fr-FR"/>
        </w:rPr>
        <w:t>orn</w:t>
      </w:r>
      <w:r w:rsidR="00061003">
        <w:rPr>
          <w:lang w:val="fr-FR"/>
        </w:rPr>
        <w:t>e</w:t>
      </w:r>
      <w:r w:rsidRPr="0007414F">
        <w:rPr>
          <w:lang w:val="fr-FR"/>
        </w:rPr>
        <w:t>mental</w:t>
      </w:r>
      <w:r w:rsidR="00061003">
        <w:rPr>
          <w:lang w:val="fr-FR"/>
        </w:rPr>
        <w:t>e</w:t>
      </w:r>
      <w:r w:rsidRPr="0007414F">
        <w:rPr>
          <w:lang w:val="fr-FR"/>
        </w:rPr>
        <w:t>s.</w:t>
      </w:r>
    </w:p>
    <w:p w14:paraId="72F1FCDE" w14:textId="77777777" w:rsidR="00DE5CB9" w:rsidRPr="0007414F" w:rsidRDefault="00DE5CB9" w:rsidP="00744A12">
      <w:pPr>
        <w:keepNext/>
        <w:rPr>
          <w:lang w:val="fr-FR"/>
        </w:rPr>
      </w:pPr>
    </w:p>
    <w:p w14:paraId="7D91D643" w14:textId="06FCF074" w:rsidR="00D639EE" w:rsidRDefault="00DE5CB9" w:rsidP="00DE5CB9">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061003" w:rsidRPr="00061003">
        <w:rPr>
          <w:lang w:val="fr-FR"/>
        </w:rPr>
        <w:t xml:space="preserve">À sa </w:t>
      </w:r>
      <w:r w:rsidR="00061003">
        <w:rPr>
          <w:lang w:val="fr-FR"/>
        </w:rPr>
        <w:t xml:space="preserve">première </w:t>
      </w:r>
      <w:r w:rsidR="00061003" w:rsidRPr="00061003">
        <w:rPr>
          <w:lang w:val="fr-FR"/>
        </w:rPr>
        <w:t>session</w:t>
      </w:r>
      <w:r w:rsidRPr="0007414F">
        <w:rPr>
          <w:snapToGrid w:val="0"/>
          <w:vertAlign w:val="superscript"/>
          <w:lang w:val="fr-FR"/>
        </w:rPr>
        <w:footnoteReference w:id="13"/>
      </w:r>
      <w:r w:rsidRPr="0007414F">
        <w:rPr>
          <w:lang w:val="fr-FR"/>
        </w:rPr>
        <w:t>,</w:t>
      </w:r>
      <w:r w:rsidR="00D639EE" w:rsidRPr="0007414F">
        <w:rPr>
          <w:lang w:val="fr-FR"/>
        </w:rPr>
        <w:t xml:space="preserve"> </w:t>
      </w:r>
      <w:r w:rsidR="00D639EE">
        <w:rPr>
          <w:lang w:val="fr-FR"/>
        </w:rPr>
        <w:t>l</w:t>
      </w:r>
      <w:r w:rsidR="00D639EE" w:rsidRPr="00061003">
        <w:rPr>
          <w:lang w:val="fr-FR"/>
        </w:rPr>
        <w:t>e</w:t>
      </w:r>
      <w:r w:rsidR="00D639EE">
        <w:rPr>
          <w:lang w:val="fr-FR"/>
        </w:rPr>
        <w:t> </w:t>
      </w:r>
      <w:r w:rsidR="00D639EE" w:rsidRPr="00061003">
        <w:rPr>
          <w:lang w:val="fr-FR"/>
        </w:rPr>
        <w:t>TWM</w:t>
      </w:r>
      <w:r w:rsidR="00061003" w:rsidRPr="00061003">
        <w:rPr>
          <w:lang w:val="fr-FR"/>
        </w:rPr>
        <w:t xml:space="preserve"> </w:t>
      </w:r>
      <w:r w:rsidR="0075630B">
        <w:rPr>
          <w:lang w:val="fr-FR"/>
        </w:rPr>
        <w:t xml:space="preserve">a organisé une séance de </w:t>
      </w:r>
      <w:r w:rsidRPr="0007414F">
        <w:rPr>
          <w:lang w:val="fr-FR"/>
        </w:rPr>
        <w:t xml:space="preserve">discussion </w:t>
      </w:r>
      <w:r w:rsidR="0075630B">
        <w:rPr>
          <w:lang w:val="fr-FR"/>
        </w:rPr>
        <w:t xml:space="preserve">pour </w:t>
      </w:r>
      <w:r w:rsidR="0075630B" w:rsidRPr="0075630B">
        <w:rPr>
          <w:lang w:val="fr-FR"/>
        </w:rPr>
        <w:t>permettre aux participants d</w:t>
      </w:r>
      <w:r w:rsidR="00D639EE">
        <w:rPr>
          <w:lang w:val="fr-FR"/>
        </w:rPr>
        <w:t>’</w:t>
      </w:r>
      <w:r w:rsidR="0075630B" w:rsidRPr="0075630B">
        <w:rPr>
          <w:lang w:val="fr-FR"/>
        </w:rPr>
        <w:t>échanger des informations sur leur travail en matière d</w:t>
      </w:r>
      <w:r w:rsidR="00D639EE">
        <w:rPr>
          <w:lang w:val="fr-FR"/>
        </w:rPr>
        <w:t>’</w:t>
      </w:r>
      <w:r w:rsidR="0075630B" w:rsidRPr="0075630B">
        <w:rPr>
          <w:lang w:val="fr-FR"/>
        </w:rPr>
        <w:t xml:space="preserve">utilisation </w:t>
      </w:r>
      <w:r w:rsidR="0075630B">
        <w:rPr>
          <w:lang w:val="fr-FR"/>
        </w:rPr>
        <w:t>d</w:t>
      </w:r>
      <w:r w:rsidR="0075630B" w:rsidRPr="0075630B">
        <w:rPr>
          <w:lang w:val="fr-FR"/>
        </w:rPr>
        <w:t>e techniques biochimiques et moléculaires et d</w:t>
      </w:r>
      <w:r w:rsidR="00D639EE">
        <w:rPr>
          <w:lang w:val="fr-FR"/>
        </w:rPr>
        <w:t>’</w:t>
      </w:r>
      <w:r w:rsidR="0075630B" w:rsidRPr="0075630B">
        <w:rPr>
          <w:lang w:val="fr-FR"/>
        </w:rPr>
        <w:t>explorer les domaines de coopération possibles</w:t>
      </w:r>
      <w:r w:rsidRPr="0007414F">
        <w:rPr>
          <w:lang w:val="fr-FR"/>
        </w:rPr>
        <w:t>.</w:t>
      </w:r>
    </w:p>
    <w:p w14:paraId="4116EFDC" w14:textId="07B9CA48" w:rsidR="00DE5CB9" w:rsidRPr="0007414F" w:rsidRDefault="00DE5CB9" w:rsidP="00DE5CB9">
      <w:pPr>
        <w:rPr>
          <w:lang w:val="fr-FR"/>
        </w:rPr>
      </w:pPr>
    </w:p>
    <w:p w14:paraId="27FCAB6E" w14:textId="2551FAC1" w:rsidR="00DE5CB9" w:rsidRPr="0007414F" w:rsidRDefault="00DE5CB9" w:rsidP="00DE5CB9">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2420F2">
        <w:rPr>
          <w:lang w:val="fr-FR"/>
        </w:rPr>
        <w:t>Le</w:t>
      </w:r>
      <w:r w:rsidRPr="0007414F">
        <w:rPr>
          <w:lang w:val="fr-FR"/>
        </w:rPr>
        <w:t xml:space="preserve"> TWM </w:t>
      </w:r>
      <w:r w:rsidR="0075630B">
        <w:rPr>
          <w:lang w:val="fr-FR"/>
        </w:rPr>
        <w:t>est convenu qu</w:t>
      </w:r>
      <w:r w:rsidR="00D639EE">
        <w:rPr>
          <w:lang w:val="fr-FR"/>
        </w:rPr>
        <w:t>’</w:t>
      </w:r>
      <w:r w:rsidR="0075630B">
        <w:rPr>
          <w:lang w:val="fr-FR"/>
        </w:rPr>
        <w:t>il conviendrait de consacrer suffisamment de temps</w:t>
      </w:r>
      <w:r w:rsidRPr="0007414F">
        <w:rPr>
          <w:lang w:val="fr-FR"/>
        </w:rPr>
        <w:t xml:space="preserve"> </w:t>
      </w:r>
      <w:r w:rsidR="0075630B">
        <w:rPr>
          <w:lang w:val="fr-FR"/>
        </w:rPr>
        <w:t xml:space="preserve">à la </w:t>
      </w:r>
      <w:r w:rsidRPr="0007414F">
        <w:rPr>
          <w:lang w:val="fr-FR"/>
        </w:rPr>
        <w:t>discussi</w:t>
      </w:r>
      <w:r w:rsidR="0075630B">
        <w:rPr>
          <w:lang w:val="fr-FR"/>
        </w:rPr>
        <w:t>o</w:t>
      </w:r>
      <w:r w:rsidRPr="0007414F">
        <w:rPr>
          <w:lang w:val="fr-FR"/>
        </w:rPr>
        <w:t xml:space="preserve">n </w:t>
      </w:r>
      <w:r w:rsidR="0075630B">
        <w:rPr>
          <w:lang w:val="fr-FR"/>
        </w:rPr>
        <w:t>des points à inscrire à l</w:t>
      </w:r>
      <w:r w:rsidR="00D639EE">
        <w:rPr>
          <w:lang w:val="fr-FR"/>
        </w:rPr>
        <w:t>’</w:t>
      </w:r>
      <w:r w:rsidR="0075630B">
        <w:rPr>
          <w:lang w:val="fr-FR"/>
        </w:rPr>
        <w:t xml:space="preserve">ordre du jour du </w:t>
      </w:r>
      <w:r w:rsidRPr="0007414F">
        <w:rPr>
          <w:lang w:val="fr-FR"/>
        </w:rPr>
        <w:t xml:space="preserve">futur </w:t>
      </w:r>
      <w:r w:rsidR="0075630B">
        <w:rPr>
          <w:lang w:val="fr-FR"/>
        </w:rPr>
        <w:t>programme de travail des réunion</w:t>
      </w:r>
      <w:r w:rsidR="00B02346">
        <w:rPr>
          <w:lang w:val="fr-FR"/>
        </w:rPr>
        <w:t>s</w:t>
      </w:r>
      <w:r w:rsidR="0075630B">
        <w:rPr>
          <w:lang w:val="fr-FR"/>
        </w:rPr>
        <w:t>,</w:t>
      </w:r>
      <w:r w:rsidRPr="0007414F">
        <w:rPr>
          <w:lang w:val="fr-FR"/>
        </w:rPr>
        <w:t xml:space="preserve"> </w:t>
      </w:r>
      <w:r w:rsidR="008509CE">
        <w:rPr>
          <w:lang w:val="fr-FR"/>
        </w:rPr>
        <w:t>et</w:t>
      </w:r>
      <w:r w:rsidRPr="0007414F">
        <w:rPr>
          <w:lang w:val="fr-FR"/>
        </w:rPr>
        <w:t xml:space="preserve"> </w:t>
      </w:r>
      <w:r w:rsidR="0075630B">
        <w:rPr>
          <w:lang w:val="fr-FR"/>
        </w:rPr>
        <w:t>qu</w:t>
      </w:r>
      <w:r w:rsidR="00D639EE">
        <w:rPr>
          <w:lang w:val="fr-FR"/>
        </w:rPr>
        <w:t>’</w:t>
      </w:r>
      <w:r w:rsidR="0075630B">
        <w:rPr>
          <w:lang w:val="fr-FR"/>
        </w:rPr>
        <w:t>une séance de débat ouvert ne serait pas né</w:t>
      </w:r>
      <w:r w:rsidRPr="0007414F">
        <w:rPr>
          <w:lang w:val="fr-FR"/>
        </w:rPr>
        <w:t>cessa</w:t>
      </w:r>
      <w:r w:rsidR="0075630B">
        <w:rPr>
          <w:lang w:val="fr-FR"/>
        </w:rPr>
        <w:t>ire</w:t>
      </w:r>
      <w:r w:rsidRPr="0007414F">
        <w:rPr>
          <w:lang w:val="fr-FR"/>
        </w:rPr>
        <w:t>.</w:t>
      </w:r>
    </w:p>
    <w:p w14:paraId="23497301" w14:textId="4AEB6F6F" w:rsidR="00744A12" w:rsidRPr="0007414F" w:rsidRDefault="00744A12" w:rsidP="00744A12">
      <w:pPr>
        <w:rPr>
          <w:lang w:val="fr-FR" w:eastAsia="ja-JP"/>
        </w:rPr>
      </w:pPr>
    </w:p>
    <w:p w14:paraId="53CDB13F" w14:textId="6D2FD13B" w:rsidR="00744A12" w:rsidRPr="0007414F" w:rsidRDefault="00744A12" w:rsidP="00E40619">
      <w:pPr>
        <w:keepNext/>
        <w:keepLines/>
        <w:tabs>
          <w:tab w:val="left" w:pos="5387"/>
        </w:tabs>
        <w:ind w:left="4820" w:hanging="5"/>
        <w:rPr>
          <w:i/>
          <w:lang w:val="fr-FR"/>
        </w:rPr>
      </w:pPr>
      <w:r w:rsidRPr="0007414F">
        <w:rPr>
          <w:i/>
          <w:lang w:val="fr-FR"/>
        </w:rPr>
        <w:fldChar w:fldCharType="begin"/>
      </w:r>
      <w:r w:rsidRPr="0007414F">
        <w:rPr>
          <w:i/>
          <w:lang w:val="fr-FR"/>
        </w:rPr>
        <w:instrText xml:space="preserve"> AUTONUM  </w:instrText>
      </w:r>
      <w:r w:rsidRPr="0007414F">
        <w:rPr>
          <w:i/>
          <w:lang w:val="fr-FR"/>
        </w:rPr>
        <w:fldChar w:fldCharType="end"/>
      </w:r>
      <w:r w:rsidRPr="0007414F">
        <w:rPr>
          <w:i/>
          <w:lang w:val="fr-FR"/>
        </w:rPr>
        <w:tab/>
      </w:r>
      <w:r w:rsidR="002420F2">
        <w:rPr>
          <w:i/>
          <w:lang w:val="fr-FR"/>
        </w:rPr>
        <w:t>Le</w:t>
      </w:r>
      <w:r w:rsidR="00D639EE">
        <w:rPr>
          <w:i/>
          <w:lang w:val="fr-FR"/>
        </w:rPr>
        <w:t> TC</w:t>
      </w:r>
      <w:r w:rsidR="0075630B">
        <w:rPr>
          <w:i/>
          <w:lang w:val="fr-FR"/>
        </w:rPr>
        <w:t xml:space="preserve"> e</w:t>
      </w:r>
      <w:r w:rsidR="00EF0420" w:rsidRPr="0007414F">
        <w:rPr>
          <w:i/>
          <w:lang w:val="fr-FR"/>
        </w:rPr>
        <w:t>s</w:t>
      </w:r>
      <w:r w:rsidR="0075630B">
        <w:rPr>
          <w:i/>
          <w:lang w:val="fr-FR"/>
        </w:rPr>
        <w:t>t</w:t>
      </w:r>
      <w:r w:rsidR="00EF0420" w:rsidRPr="0007414F">
        <w:rPr>
          <w:i/>
          <w:lang w:val="fr-FR"/>
        </w:rPr>
        <w:t xml:space="preserve"> </w:t>
      </w:r>
      <w:r w:rsidRPr="0007414F">
        <w:rPr>
          <w:i/>
          <w:lang w:val="fr-FR"/>
        </w:rPr>
        <w:t>invit</w:t>
      </w:r>
      <w:r w:rsidR="0075630B">
        <w:rPr>
          <w:i/>
          <w:lang w:val="fr-FR"/>
        </w:rPr>
        <w:t>é</w:t>
      </w:r>
      <w:r w:rsidRPr="0007414F">
        <w:rPr>
          <w:i/>
          <w:lang w:val="fr-FR"/>
        </w:rPr>
        <w:t xml:space="preserve"> </w:t>
      </w:r>
      <w:r w:rsidR="0075630B">
        <w:rPr>
          <w:i/>
          <w:lang w:val="fr-FR"/>
        </w:rPr>
        <w:t>à examiner la possibilité d</w:t>
      </w:r>
      <w:r w:rsidR="00D639EE">
        <w:rPr>
          <w:i/>
          <w:lang w:val="fr-FR"/>
        </w:rPr>
        <w:t>’</w:t>
      </w:r>
      <w:r w:rsidR="00EF0420" w:rsidRPr="0007414F">
        <w:rPr>
          <w:i/>
          <w:lang w:val="fr-FR"/>
        </w:rPr>
        <w:t>invite</w:t>
      </w:r>
      <w:r w:rsidR="0075630B">
        <w:rPr>
          <w:i/>
          <w:lang w:val="fr-FR"/>
        </w:rPr>
        <w:t>r</w:t>
      </w:r>
      <w:r w:rsidR="00D639EE" w:rsidRPr="0007414F">
        <w:rPr>
          <w:i/>
          <w:lang w:val="fr-FR"/>
        </w:rPr>
        <w:t xml:space="preserve"> </w:t>
      </w:r>
      <w:r w:rsidR="00D639EE">
        <w:rPr>
          <w:i/>
          <w:lang w:val="fr-FR"/>
        </w:rPr>
        <w:t>le </w:t>
      </w:r>
      <w:r w:rsidR="00D639EE" w:rsidRPr="0007414F">
        <w:rPr>
          <w:i/>
          <w:lang w:val="fr-FR"/>
        </w:rPr>
        <w:t>TWP</w:t>
      </w:r>
      <w:r w:rsidR="00EF0420" w:rsidRPr="0007414F">
        <w:rPr>
          <w:i/>
          <w:lang w:val="fr-FR"/>
        </w:rPr>
        <w:t xml:space="preserve"> </w:t>
      </w:r>
      <w:r w:rsidR="0075630B">
        <w:rPr>
          <w:i/>
          <w:lang w:val="fr-FR"/>
        </w:rPr>
        <w:t xml:space="preserve">à mettre en place </w:t>
      </w:r>
      <w:r w:rsidR="0075630B" w:rsidRPr="0075630B">
        <w:rPr>
          <w:i/>
          <w:lang w:val="fr-FR"/>
        </w:rPr>
        <w:t>des groupes de discussion, afin de permettre aux participants d</w:t>
      </w:r>
      <w:r w:rsidR="00D639EE">
        <w:rPr>
          <w:i/>
          <w:lang w:val="fr-FR"/>
        </w:rPr>
        <w:t>’</w:t>
      </w:r>
      <w:r w:rsidR="0075630B" w:rsidRPr="0075630B">
        <w:rPr>
          <w:i/>
          <w:lang w:val="fr-FR"/>
        </w:rPr>
        <w:t>échanger des informations sur leur travail et d</w:t>
      </w:r>
      <w:r w:rsidR="00D639EE">
        <w:rPr>
          <w:i/>
          <w:lang w:val="fr-FR"/>
        </w:rPr>
        <w:t>’</w:t>
      </w:r>
      <w:r w:rsidR="0075630B" w:rsidRPr="0075630B">
        <w:rPr>
          <w:i/>
          <w:lang w:val="fr-FR"/>
        </w:rPr>
        <w:t xml:space="preserve">explorer les domaines de coopération </w:t>
      </w:r>
      <w:r w:rsidR="001D3B49">
        <w:rPr>
          <w:i/>
          <w:lang w:val="fr-FR"/>
        </w:rPr>
        <w:t>sur</w:t>
      </w:r>
      <w:r w:rsidRPr="0007414F">
        <w:rPr>
          <w:i/>
          <w:lang w:val="fr-FR"/>
        </w:rPr>
        <w:t xml:space="preserve"> </w:t>
      </w:r>
      <w:r w:rsidR="00186CE3">
        <w:rPr>
          <w:i/>
          <w:lang w:val="fr-FR"/>
        </w:rPr>
        <w:t>l</w:t>
      </w:r>
      <w:r w:rsidR="00D639EE">
        <w:rPr>
          <w:i/>
          <w:lang w:val="fr-FR"/>
        </w:rPr>
        <w:t>’</w:t>
      </w:r>
      <w:r w:rsidR="00186CE3">
        <w:rPr>
          <w:i/>
          <w:lang w:val="fr-FR"/>
        </w:rPr>
        <w:t>utilisation des</w:t>
      </w:r>
      <w:r w:rsidRPr="0007414F">
        <w:rPr>
          <w:i/>
          <w:lang w:val="fr-FR"/>
        </w:rPr>
        <w:t xml:space="preserve"> </w:t>
      </w:r>
      <w:r w:rsidR="001D3B49">
        <w:rPr>
          <w:i/>
          <w:lang w:val="fr-FR"/>
        </w:rPr>
        <w:t xml:space="preserve">techniques </w:t>
      </w:r>
      <w:r w:rsidRPr="0007414F">
        <w:rPr>
          <w:i/>
          <w:lang w:val="fr-FR"/>
        </w:rPr>
        <w:t>bioch</w:t>
      </w:r>
      <w:r w:rsidR="001D3B49">
        <w:rPr>
          <w:i/>
          <w:lang w:val="fr-FR"/>
        </w:rPr>
        <w:t>imiques</w:t>
      </w:r>
      <w:r w:rsidRPr="0007414F">
        <w:rPr>
          <w:i/>
          <w:lang w:val="fr-FR"/>
        </w:rPr>
        <w:t xml:space="preserve"> </w:t>
      </w:r>
      <w:r w:rsidR="008509CE">
        <w:rPr>
          <w:i/>
          <w:lang w:val="fr-FR"/>
        </w:rPr>
        <w:t>et</w:t>
      </w:r>
      <w:r w:rsidRPr="0007414F">
        <w:rPr>
          <w:i/>
          <w:lang w:val="fr-FR"/>
        </w:rPr>
        <w:t xml:space="preserve"> </w:t>
      </w:r>
      <w:r w:rsidR="00583353">
        <w:rPr>
          <w:i/>
          <w:lang w:val="fr-FR"/>
        </w:rPr>
        <w:t>moléculaires</w:t>
      </w:r>
      <w:r w:rsidRPr="0007414F">
        <w:rPr>
          <w:i/>
          <w:lang w:val="fr-FR"/>
        </w:rPr>
        <w:t xml:space="preserve"> </w:t>
      </w:r>
      <w:r w:rsidR="001D3B49">
        <w:rPr>
          <w:i/>
          <w:lang w:val="fr-FR"/>
        </w:rPr>
        <w:t>dans le cadre de l</w:t>
      </w:r>
      <w:r w:rsidR="00D639EE">
        <w:rPr>
          <w:i/>
          <w:lang w:val="fr-FR"/>
        </w:rPr>
        <w:t>’</w:t>
      </w:r>
      <w:r w:rsidR="00B76460">
        <w:rPr>
          <w:i/>
          <w:lang w:val="fr-FR"/>
        </w:rPr>
        <w:t>examen</w:t>
      </w:r>
      <w:r w:rsidR="001B53D1">
        <w:rPr>
          <w:i/>
          <w:lang w:val="fr-FR"/>
        </w:rPr>
        <w:t> </w:t>
      </w:r>
      <w:r w:rsidR="00B76460">
        <w:rPr>
          <w:i/>
          <w:lang w:val="fr-FR"/>
        </w:rPr>
        <w:t>DHS</w:t>
      </w:r>
      <w:r w:rsidRPr="0007414F">
        <w:rPr>
          <w:i/>
          <w:lang w:val="fr-FR"/>
        </w:rPr>
        <w:t>.</w:t>
      </w:r>
    </w:p>
    <w:bookmarkEnd w:id="3"/>
    <w:p w14:paraId="1515AD75" w14:textId="77777777" w:rsidR="005F58D4" w:rsidRPr="0007414F" w:rsidRDefault="005F58D4" w:rsidP="00A36448">
      <w:pPr>
        <w:pStyle w:val="DecisionParagraphs"/>
        <w:rPr>
          <w:lang w:val="fr-FR"/>
        </w:rPr>
      </w:pPr>
    </w:p>
    <w:p w14:paraId="7BAC26BC" w14:textId="77777777" w:rsidR="00D2670B" w:rsidRPr="0007414F" w:rsidRDefault="00D2670B" w:rsidP="00A36448">
      <w:pPr>
        <w:pStyle w:val="DecisionParagraphs"/>
        <w:rPr>
          <w:lang w:val="fr-FR"/>
        </w:rPr>
      </w:pPr>
    </w:p>
    <w:p w14:paraId="4AF408D0" w14:textId="298E3417" w:rsidR="00D639EE" w:rsidRDefault="001D3B49" w:rsidP="00D2670B">
      <w:pPr>
        <w:pStyle w:val="Heading1"/>
        <w:rPr>
          <w:lang w:val="fr-FR"/>
        </w:rPr>
      </w:pPr>
      <w:bookmarkStart w:id="44" w:name="_Toc84413225"/>
      <w:bookmarkStart w:id="45" w:name="_Toc97892774"/>
      <w:bookmarkStart w:id="46" w:name="_Toc115819543"/>
      <w:bookmarkStart w:id="47" w:name="_Toc116986222"/>
      <w:r>
        <w:rPr>
          <w:lang w:val="fr-FR"/>
        </w:rPr>
        <w:t>Confidentialité</w:t>
      </w:r>
      <w:r w:rsidR="00D2670B" w:rsidRPr="0007414F">
        <w:rPr>
          <w:lang w:val="fr-FR"/>
        </w:rPr>
        <w:t xml:space="preserve"> </w:t>
      </w:r>
      <w:r w:rsidR="006E7E88">
        <w:rPr>
          <w:lang w:val="fr-FR"/>
        </w:rPr>
        <w:t>et</w:t>
      </w:r>
      <w:r w:rsidR="00D2670B" w:rsidRPr="0007414F">
        <w:rPr>
          <w:lang w:val="fr-FR"/>
        </w:rPr>
        <w:t xml:space="preserve"> </w:t>
      </w:r>
      <w:r w:rsidR="00B76460">
        <w:rPr>
          <w:lang w:val="fr-FR"/>
        </w:rPr>
        <w:t>titularité</w:t>
      </w:r>
      <w:r w:rsidR="00D2670B" w:rsidRPr="0007414F">
        <w:rPr>
          <w:lang w:val="fr-FR"/>
        </w:rPr>
        <w:t xml:space="preserve"> </w:t>
      </w:r>
      <w:r>
        <w:rPr>
          <w:lang w:val="fr-FR"/>
        </w:rPr>
        <w:t>des</w:t>
      </w:r>
      <w:r w:rsidR="00D2670B" w:rsidRPr="0007414F">
        <w:rPr>
          <w:lang w:val="fr-FR"/>
        </w:rPr>
        <w:t xml:space="preserve"> </w:t>
      </w:r>
      <w:r w:rsidR="00EC76C8">
        <w:rPr>
          <w:lang w:val="fr-FR"/>
        </w:rPr>
        <w:t>informations</w:t>
      </w:r>
      <w:r w:rsidR="00B76460">
        <w:rPr>
          <w:lang w:val="fr-FR"/>
        </w:rPr>
        <w:t xml:space="preserve"> moléculaires</w:t>
      </w:r>
      <w:bookmarkEnd w:id="44"/>
      <w:bookmarkEnd w:id="45"/>
      <w:bookmarkEnd w:id="46"/>
      <w:bookmarkEnd w:id="47"/>
    </w:p>
    <w:p w14:paraId="20E35D1D" w14:textId="5ED5CBB0" w:rsidR="007062FE" w:rsidRPr="0007414F" w:rsidRDefault="007062FE" w:rsidP="00D2670B">
      <w:pPr>
        <w:rPr>
          <w:lang w:val="fr-FR"/>
        </w:rPr>
      </w:pPr>
    </w:p>
    <w:p w14:paraId="4D77DC6E" w14:textId="3058ECD9" w:rsidR="007062FE" w:rsidRPr="0007414F" w:rsidRDefault="007062FE" w:rsidP="00D2670B">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2420F2">
        <w:rPr>
          <w:lang w:val="fr-FR"/>
        </w:rPr>
        <w:t>Le</w:t>
      </w:r>
      <w:r w:rsidR="00902467" w:rsidRPr="00902467">
        <w:rPr>
          <w:lang w:val="fr-FR"/>
        </w:rPr>
        <w:t xml:space="preserve">s informations générales sur cette question figurent dans le </w:t>
      </w:r>
      <w:r w:rsidR="00D639EE" w:rsidRPr="00902467">
        <w:rPr>
          <w:lang w:val="fr-FR"/>
        </w:rPr>
        <w:t>document</w:t>
      </w:r>
      <w:r w:rsidR="00D639EE">
        <w:rPr>
          <w:lang w:val="fr-FR"/>
        </w:rPr>
        <w:t xml:space="preserve"> TC</w:t>
      </w:r>
      <w:r w:rsidRPr="0007414F">
        <w:rPr>
          <w:lang w:val="fr-FR"/>
        </w:rPr>
        <w:t>/57/</w:t>
      </w:r>
      <w:r w:rsidR="00302B08" w:rsidRPr="0007414F">
        <w:rPr>
          <w:lang w:val="fr-FR"/>
        </w:rPr>
        <w:t>INF/6</w:t>
      </w:r>
      <w:r w:rsidRPr="0007414F">
        <w:rPr>
          <w:lang w:val="fr-FR"/>
        </w:rPr>
        <w:t xml:space="preserve"> “</w:t>
      </w:r>
      <w:r w:rsidR="00583353">
        <w:rPr>
          <w:lang w:val="fr-FR"/>
        </w:rPr>
        <w:t>Techniques moléculaires</w:t>
      </w:r>
      <w:r w:rsidRPr="0007414F">
        <w:rPr>
          <w:lang w:val="fr-FR"/>
        </w:rPr>
        <w:t>”.</w:t>
      </w:r>
    </w:p>
    <w:p w14:paraId="0A5038F6" w14:textId="77777777" w:rsidR="007062FE" w:rsidRPr="0007414F" w:rsidRDefault="007062FE" w:rsidP="00D2670B">
      <w:pPr>
        <w:rPr>
          <w:lang w:val="fr-FR"/>
        </w:rPr>
      </w:pPr>
    </w:p>
    <w:p w14:paraId="42A5F668" w14:textId="5B6C632E" w:rsidR="00D2670B" w:rsidRDefault="00D2670B" w:rsidP="00D2670B">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2420F2">
        <w:rPr>
          <w:lang w:val="fr-FR"/>
        </w:rPr>
        <w:t>Le</w:t>
      </w:r>
      <w:r w:rsidRPr="0007414F">
        <w:rPr>
          <w:lang w:val="fr-FR"/>
        </w:rPr>
        <w:t xml:space="preserve"> TWP </w:t>
      </w:r>
      <w:r w:rsidR="008509CE">
        <w:rPr>
          <w:lang w:val="fr-FR"/>
        </w:rPr>
        <w:t>et</w:t>
      </w:r>
      <w:r w:rsidR="00D639EE" w:rsidRPr="0007414F">
        <w:rPr>
          <w:lang w:val="fr-FR"/>
        </w:rPr>
        <w:t xml:space="preserve"> </w:t>
      </w:r>
      <w:r w:rsidR="00D639EE">
        <w:rPr>
          <w:lang w:val="fr-FR"/>
        </w:rPr>
        <w:t>le </w:t>
      </w:r>
      <w:r w:rsidR="00D639EE" w:rsidRPr="0007414F">
        <w:rPr>
          <w:lang w:val="fr-FR"/>
        </w:rPr>
        <w:t>BMT</w:t>
      </w:r>
      <w:r w:rsidRPr="0007414F">
        <w:rPr>
          <w:lang w:val="fr-FR"/>
        </w:rPr>
        <w:t xml:space="preserve">, </w:t>
      </w:r>
      <w:r w:rsidR="00902467">
        <w:rPr>
          <w:lang w:val="fr-FR"/>
        </w:rPr>
        <w:t>à l</w:t>
      </w:r>
      <w:r w:rsidR="00D639EE">
        <w:rPr>
          <w:lang w:val="fr-FR"/>
        </w:rPr>
        <w:t>’</w:t>
      </w:r>
      <w:r w:rsidR="00902467">
        <w:rPr>
          <w:lang w:val="fr-FR"/>
        </w:rPr>
        <w:t>occasion de leurs</w:t>
      </w:r>
      <w:r w:rsidRPr="0007414F">
        <w:rPr>
          <w:lang w:val="fr-FR"/>
        </w:rPr>
        <w:t xml:space="preserve"> sessions </w:t>
      </w:r>
      <w:r w:rsidR="00D639EE">
        <w:rPr>
          <w:lang w:val="fr-FR"/>
        </w:rPr>
        <w:t>de </w:t>
      </w:r>
      <w:r w:rsidR="00D639EE" w:rsidRPr="0007414F">
        <w:rPr>
          <w:lang w:val="fr-FR"/>
        </w:rPr>
        <w:t>2021</w:t>
      </w:r>
      <w:r w:rsidRPr="0007414F">
        <w:rPr>
          <w:lang w:val="fr-FR"/>
        </w:rPr>
        <w:t xml:space="preserve">, </w:t>
      </w:r>
      <w:r w:rsidR="00902467">
        <w:rPr>
          <w:lang w:val="fr-FR"/>
        </w:rPr>
        <w:t xml:space="preserve">ont assisté à un exposé intitulé </w:t>
      </w:r>
      <w:r w:rsidRPr="0007414F">
        <w:rPr>
          <w:lang w:val="fr-FR"/>
        </w:rPr>
        <w:t>“</w:t>
      </w:r>
      <w:r w:rsidR="001D3B49">
        <w:rPr>
          <w:lang w:val="fr-FR"/>
        </w:rPr>
        <w:t>Confidentialité</w:t>
      </w:r>
      <w:r w:rsidRPr="0007414F">
        <w:rPr>
          <w:lang w:val="fr-FR"/>
        </w:rPr>
        <w:t xml:space="preserve"> &amp; </w:t>
      </w:r>
      <w:r w:rsidR="00B76460">
        <w:rPr>
          <w:lang w:val="fr-FR"/>
        </w:rPr>
        <w:t>titularité</w:t>
      </w:r>
      <w:r w:rsidRPr="0007414F">
        <w:rPr>
          <w:lang w:val="fr-FR"/>
        </w:rPr>
        <w:t xml:space="preserve"> </w:t>
      </w:r>
      <w:r w:rsidR="00902467">
        <w:rPr>
          <w:lang w:val="fr-FR"/>
        </w:rPr>
        <w:t>des</w:t>
      </w:r>
      <w:r w:rsidRPr="0007414F">
        <w:rPr>
          <w:lang w:val="fr-FR"/>
        </w:rPr>
        <w:t xml:space="preserve"> </w:t>
      </w:r>
      <w:r w:rsidR="00EC76C8">
        <w:rPr>
          <w:lang w:val="fr-FR"/>
        </w:rPr>
        <w:t>informations</w:t>
      </w:r>
      <w:r w:rsidR="00902467">
        <w:rPr>
          <w:lang w:val="fr-FR"/>
        </w:rPr>
        <w:t xml:space="preserve"> m</w:t>
      </w:r>
      <w:r w:rsidR="00B76460">
        <w:rPr>
          <w:lang w:val="fr-FR"/>
        </w:rPr>
        <w:t>oléculaires</w:t>
      </w:r>
      <w:r w:rsidR="00D639EE">
        <w:rPr>
          <w:lang w:val="fr-FR"/>
        </w:rPr>
        <w:t>”</w:t>
      </w:r>
      <w:r w:rsidRPr="0007414F">
        <w:rPr>
          <w:lang w:val="fr-FR"/>
        </w:rPr>
        <w:t xml:space="preserve"> </w:t>
      </w:r>
      <w:r w:rsidR="00902467">
        <w:rPr>
          <w:lang w:val="fr-FR"/>
        </w:rPr>
        <w:t>présenté par u</w:t>
      </w:r>
      <w:r w:rsidRPr="0007414F">
        <w:rPr>
          <w:lang w:val="fr-FR"/>
        </w:rPr>
        <w:t xml:space="preserve">n expert </w:t>
      </w:r>
      <w:r w:rsidR="00902467">
        <w:rPr>
          <w:lang w:val="fr-FR"/>
        </w:rPr>
        <w:t xml:space="preserve">au nom de </w:t>
      </w:r>
      <w:r w:rsidR="00902467" w:rsidRPr="00902467">
        <w:rPr>
          <w:lang w:val="fr-FR"/>
        </w:rPr>
        <w:t>l</w:t>
      </w:r>
      <w:r w:rsidR="00D639EE">
        <w:rPr>
          <w:lang w:val="fr-FR"/>
        </w:rPr>
        <w:t>’</w:t>
      </w:r>
      <w:r w:rsidR="00902467" w:rsidRPr="00902467">
        <w:rPr>
          <w:lang w:val="fr-FR"/>
        </w:rPr>
        <w:t>Association africaine du commerce des semences (AFSTA), l</w:t>
      </w:r>
      <w:r w:rsidR="00D639EE">
        <w:rPr>
          <w:lang w:val="fr-FR"/>
        </w:rPr>
        <w:t>’</w:t>
      </w:r>
      <w:r w:rsidR="00902467" w:rsidRPr="00902467">
        <w:rPr>
          <w:lang w:val="fr-FR"/>
        </w:rPr>
        <w:t>Association des semenciers d</w:t>
      </w:r>
      <w:r w:rsidR="00D639EE">
        <w:rPr>
          <w:lang w:val="fr-FR"/>
        </w:rPr>
        <w:t>’</w:t>
      </w:r>
      <w:r w:rsidR="00902467" w:rsidRPr="00902467">
        <w:rPr>
          <w:lang w:val="fr-FR"/>
        </w:rPr>
        <w:t xml:space="preserve">Asie et du Pacifique (APSA), la Communauté internationale des obtenteurs de plantes horticoles de reproduction asexuée (CIOPORA), </w:t>
      </w:r>
      <w:proofErr w:type="spellStart"/>
      <w:r w:rsidR="00902467" w:rsidRPr="00902467">
        <w:rPr>
          <w:lang w:val="fr-FR"/>
        </w:rPr>
        <w:t>CropLife</w:t>
      </w:r>
      <w:proofErr w:type="spellEnd"/>
      <w:r w:rsidR="00902467" w:rsidRPr="00902467">
        <w:rPr>
          <w:lang w:val="fr-FR"/>
        </w:rPr>
        <w:t xml:space="preserve"> International, </w:t>
      </w:r>
      <w:proofErr w:type="spellStart"/>
      <w:r w:rsidR="00902467" w:rsidRPr="00902467">
        <w:rPr>
          <w:lang w:val="fr-FR"/>
        </w:rPr>
        <w:t>Euroseeds</w:t>
      </w:r>
      <w:proofErr w:type="spellEnd"/>
      <w:r w:rsidR="00902467" w:rsidRPr="00902467">
        <w:rPr>
          <w:lang w:val="fr-FR"/>
        </w:rPr>
        <w:t>, l</w:t>
      </w:r>
      <w:r w:rsidR="00D639EE">
        <w:rPr>
          <w:lang w:val="fr-FR"/>
        </w:rPr>
        <w:t>’</w:t>
      </w:r>
      <w:r w:rsidR="00902467" w:rsidRPr="00902467">
        <w:rPr>
          <w:lang w:val="fr-FR"/>
        </w:rPr>
        <w:t xml:space="preserve">International </w:t>
      </w:r>
      <w:proofErr w:type="spellStart"/>
      <w:r w:rsidR="00902467" w:rsidRPr="00902467">
        <w:rPr>
          <w:lang w:val="fr-FR"/>
        </w:rPr>
        <w:t>Seed</w:t>
      </w:r>
      <w:proofErr w:type="spellEnd"/>
      <w:r w:rsidR="00902467" w:rsidRPr="00902467">
        <w:rPr>
          <w:lang w:val="fr-FR"/>
        </w:rPr>
        <w:t xml:space="preserve"> </w:t>
      </w:r>
      <w:proofErr w:type="spellStart"/>
      <w:r w:rsidR="00902467" w:rsidRPr="00902467">
        <w:rPr>
          <w:lang w:val="fr-FR"/>
        </w:rPr>
        <w:t>Federation</w:t>
      </w:r>
      <w:proofErr w:type="spellEnd"/>
      <w:r w:rsidR="00902467" w:rsidRPr="00902467">
        <w:rPr>
          <w:lang w:val="fr-FR"/>
        </w:rPr>
        <w:t xml:space="preserve"> (ISF) et la </w:t>
      </w:r>
      <w:proofErr w:type="spellStart"/>
      <w:r w:rsidR="00902467" w:rsidRPr="00902467">
        <w:rPr>
          <w:lang w:val="fr-FR"/>
        </w:rPr>
        <w:t>Seed</w:t>
      </w:r>
      <w:proofErr w:type="spellEnd"/>
      <w:r w:rsidR="00902467" w:rsidRPr="00902467">
        <w:rPr>
          <w:lang w:val="fr-FR"/>
        </w:rPr>
        <w:t xml:space="preserve"> Association of the </w:t>
      </w:r>
      <w:proofErr w:type="spellStart"/>
      <w:r w:rsidR="00902467" w:rsidRPr="00902467">
        <w:rPr>
          <w:lang w:val="fr-FR"/>
        </w:rPr>
        <w:t>Americas</w:t>
      </w:r>
      <w:proofErr w:type="spellEnd"/>
      <w:r w:rsidR="00902467" w:rsidRPr="00902467">
        <w:rPr>
          <w:lang w:val="fr-FR"/>
        </w:rPr>
        <w:t xml:space="preserve"> (SAA)</w:t>
      </w:r>
      <w:r w:rsidRPr="0007414F">
        <w:rPr>
          <w:lang w:val="fr-FR"/>
        </w:rPr>
        <w:t xml:space="preserve">. </w:t>
      </w:r>
      <w:r w:rsidR="00D639EE" w:rsidRPr="0007414F">
        <w:rPr>
          <w:lang w:val="fr-FR"/>
        </w:rPr>
        <w:t xml:space="preserve"> </w:t>
      </w:r>
      <w:r w:rsidR="00D639EE">
        <w:rPr>
          <w:lang w:val="fr-FR"/>
        </w:rPr>
        <w:t>Le </w:t>
      </w:r>
      <w:r w:rsidR="00D639EE" w:rsidRPr="0007414F">
        <w:rPr>
          <w:lang w:val="fr-FR"/>
        </w:rPr>
        <w:t>TWP</w:t>
      </w:r>
      <w:r w:rsidR="00302B08" w:rsidRPr="0007414F">
        <w:rPr>
          <w:lang w:val="fr-FR"/>
        </w:rPr>
        <w:t xml:space="preserve"> </w:t>
      </w:r>
      <w:r w:rsidR="008509CE">
        <w:rPr>
          <w:lang w:val="fr-FR"/>
        </w:rPr>
        <w:t>et</w:t>
      </w:r>
      <w:r w:rsidR="00D639EE" w:rsidRPr="0007414F">
        <w:rPr>
          <w:lang w:val="fr-FR"/>
        </w:rPr>
        <w:t xml:space="preserve"> </w:t>
      </w:r>
      <w:r w:rsidR="00D639EE">
        <w:rPr>
          <w:lang w:val="fr-FR"/>
        </w:rPr>
        <w:t>le </w:t>
      </w:r>
      <w:r w:rsidR="00D639EE" w:rsidRPr="0007414F">
        <w:rPr>
          <w:lang w:val="fr-FR"/>
        </w:rPr>
        <w:t>BMT</w:t>
      </w:r>
      <w:r w:rsidRPr="0007414F">
        <w:rPr>
          <w:lang w:val="fr-FR"/>
        </w:rPr>
        <w:t xml:space="preserve"> </w:t>
      </w:r>
      <w:r w:rsidR="00902467">
        <w:rPr>
          <w:lang w:val="fr-FR"/>
        </w:rPr>
        <w:t xml:space="preserve">ont examiné la proposition visant à réviser la </w:t>
      </w:r>
      <w:r w:rsidR="00D639EE">
        <w:rPr>
          <w:lang w:val="fr-FR"/>
        </w:rPr>
        <w:t>section 3</w:t>
      </w:r>
      <w:r w:rsidR="00902467">
        <w:rPr>
          <w:lang w:val="fr-FR"/>
        </w:rPr>
        <w:t xml:space="preserve"> du </w:t>
      </w:r>
      <w:r w:rsidRPr="0007414F">
        <w:rPr>
          <w:lang w:val="fr-FR"/>
        </w:rPr>
        <w:t>document TGP/5</w:t>
      </w:r>
      <w:r w:rsidR="00EC76C8">
        <w:rPr>
          <w:lang w:val="fr-FR"/>
        </w:rPr>
        <w:t xml:space="preserve">, intitulée </w:t>
      </w:r>
      <w:r w:rsidR="00D639EE">
        <w:rPr>
          <w:lang w:val="fr-FR"/>
        </w:rPr>
        <w:t>“F</w:t>
      </w:r>
      <w:r w:rsidR="00902467">
        <w:rPr>
          <w:lang w:val="fr-FR"/>
        </w:rPr>
        <w:t>ormulaire de demande typ</w:t>
      </w:r>
      <w:r w:rsidR="00D639EE">
        <w:rPr>
          <w:lang w:val="fr-FR"/>
        </w:rPr>
        <w:t>e”</w:t>
      </w:r>
      <w:r w:rsidRPr="0007414F">
        <w:rPr>
          <w:lang w:val="fr-FR"/>
        </w:rPr>
        <w:t xml:space="preserve">, </w:t>
      </w:r>
      <w:r w:rsidR="00EC76C8">
        <w:rPr>
          <w:lang w:val="fr-FR"/>
        </w:rPr>
        <w:t>afin d</w:t>
      </w:r>
      <w:r w:rsidR="00D639EE">
        <w:rPr>
          <w:lang w:val="fr-FR"/>
        </w:rPr>
        <w:t>’</w:t>
      </w:r>
      <w:r w:rsidR="00EC76C8">
        <w:rPr>
          <w:lang w:val="fr-FR"/>
        </w:rPr>
        <w:t>y</w:t>
      </w:r>
      <w:r w:rsidR="00902467">
        <w:rPr>
          <w:lang w:val="fr-FR"/>
        </w:rPr>
        <w:t xml:space="preserve"> </w:t>
      </w:r>
      <w:r w:rsidRPr="0007414F">
        <w:rPr>
          <w:lang w:val="fr-FR"/>
        </w:rPr>
        <w:t>inclu</w:t>
      </w:r>
      <w:r w:rsidR="00902467">
        <w:rPr>
          <w:lang w:val="fr-FR"/>
        </w:rPr>
        <w:t>r</w:t>
      </w:r>
      <w:r w:rsidRPr="0007414F">
        <w:rPr>
          <w:lang w:val="fr-FR"/>
        </w:rPr>
        <w:t xml:space="preserve">e </w:t>
      </w:r>
      <w:r w:rsidR="00902467">
        <w:rPr>
          <w:lang w:val="fr-FR"/>
        </w:rPr>
        <w:t>une demande de</w:t>
      </w:r>
      <w:r w:rsidRPr="0007414F">
        <w:rPr>
          <w:lang w:val="fr-FR"/>
        </w:rPr>
        <w:t xml:space="preserve"> </w:t>
      </w:r>
      <w:r w:rsidR="001D3B49">
        <w:rPr>
          <w:lang w:val="fr-FR"/>
        </w:rPr>
        <w:t>confidentialité</w:t>
      </w:r>
      <w:r w:rsidRPr="0007414F">
        <w:rPr>
          <w:lang w:val="fr-FR"/>
        </w:rPr>
        <w:t xml:space="preserve"> </w:t>
      </w:r>
      <w:r w:rsidR="00EC76C8">
        <w:rPr>
          <w:lang w:val="fr-FR"/>
        </w:rPr>
        <w:t>relative aux</w:t>
      </w:r>
      <w:r w:rsidRPr="0007414F">
        <w:rPr>
          <w:lang w:val="fr-FR"/>
        </w:rPr>
        <w:t xml:space="preserve"> </w:t>
      </w:r>
      <w:r w:rsidR="00EC76C8">
        <w:rPr>
          <w:lang w:val="fr-FR"/>
        </w:rPr>
        <w:t>informations</w:t>
      </w:r>
      <w:r w:rsidR="00EB5ED6">
        <w:rPr>
          <w:lang w:val="fr-FR"/>
        </w:rPr>
        <w:t xml:space="preserve"> moléculaires</w:t>
      </w:r>
      <w:r w:rsidRPr="0007414F">
        <w:rPr>
          <w:lang w:val="fr-FR"/>
        </w:rPr>
        <w:t xml:space="preserve"> </w:t>
      </w:r>
      <w:r w:rsidR="00902467">
        <w:rPr>
          <w:lang w:val="fr-FR"/>
        </w:rPr>
        <w:t>des variétés cand</w:t>
      </w:r>
      <w:r w:rsidRPr="0007414F">
        <w:rPr>
          <w:lang w:val="fr-FR"/>
        </w:rPr>
        <w:t>idate</w:t>
      </w:r>
      <w:r w:rsidR="00902467">
        <w:rPr>
          <w:lang w:val="fr-FR"/>
        </w:rPr>
        <w:t>s, dans les termes suivant</w:t>
      </w:r>
      <w:r w:rsidRPr="0007414F">
        <w:rPr>
          <w:lang w:val="fr-FR"/>
        </w:rPr>
        <w:t>s</w:t>
      </w:r>
      <w:r w:rsidR="00D639EE">
        <w:rPr>
          <w:lang w:val="fr-FR"/>
        </w:rPr>
        <w:t> :</w:t>
      </w:r>
    </w:p>
    <w:p w14:paraId="1F84210C" w14:textId="71EADBC6" w:rsidR="00902467" w:rsidRPr="00902467" w:rsidRDefault="00902467" w:rsidP="00D2670B">
      <w:pPr>
        <w:rPr>
          <w:lang w:val="fr-FR"/>
        </w:rPr>
      </w:pPr>
    </w:p>
    <w:p w14:paraId="73EAC0BB" w14:textId="77777777" w:rsidR="00D2670B" w:rsidRPr="0007414F" w:rsidRDefault="00D2670B" w:rsidP="00D2670B">
      <w:pPr>
        <w:ind w:left="567" w:right="567"/>
        <w:rPr>
          <w:lang w:val="fr-FR"/>
        </w:rPr>
      </w:pPr>
    </w:p>
    <w:p w14:paraId="0FF0B4AE" w14:textId="41964037" w:rsidR="00D2670B" w:rsidRPr="0007414F" w:rsidRDefault="00D2670B" w:rsidP="00D2670B">
      <w:pPr>
        <w:ind w:left="567" w:right="567"/>
        <w:rPr>
          <w:i/>
          <w:lang w:val="fr-FR"/>
        </w:rPr>
      </w:pPr>
      <w:r w:rsidRPr="0007414F">
        <w:rPr>
          <w:i/>
          <w:lang w:val="fr-FR"/>
        </w:rPr>
        <w:t>“</w:t>
      </w:r>
      <w:r w:rsidR="00EC76C8">
        <w:rPr>
          <w:i/>
          <w:lang w:val="fr-FR"/>
        </w:rPr>
        <w:t>Je demande</w:t>
      </w:r>
      <w:r w:rsidRPr="0007414F">
        <w:rPr>
          <w:i/>
          <w:lang w:val="fr-FR"/>
        </w:rPr>
        <w:t>/</w:t>
      </w:r>
      <w:r w:rsidR="00EC76C8">
        <w:rPr>
          <w:i/>
          <w:lang w:val="fr-FR"/>
        </w:rPr>
        <w:t>Nous demandons que les informations</w:t>
      </w:r>
      <w:r w:rsidR="00EB5ED6">
        <w:rPr>
          <w:i/>
          <w:lang w:val="fr-FR"/>
        </w:rPr>
        <w:t xml:space="preserve"> moléculaires</w:t>
      </w:r>
      <w:r w:rsidRPr="0007414F">
        <w:rPr>
          <w:i/>
          <w:lang w:val="fr-FR"/>
        </w:rPr>
        <w:t xml:space="preserve"> </w:t>
      </w:r>
      <w:r w:rsidR="00EC76C8">
        <w:rPr>
          <w:i/>
          <w:lang w:val="fr-FR"/>
        </w:rPr>
        <w:t xml:space="preserve">relatives à </w:t>
      </w:r>
      <w:r w:rsidR="008509CE">
        <w:rPr>
          <w:i/>
          <w:lang w:val="fr-FR"/>
        </w:rPr>
        <w:t>l</w:t>
      </w:r>
      <w:r w:rsidR="00EC76C8">
        <w:rPr>
          <w:i/>
          <w:lang w:val="fr-FR"/>
        </w:rPr>
        <w:t>a</w:t>
      </w:r>
      <w:r w:rsidRPr="0007414F">
        <w:rPr>
          <w:i/>
          <w:lang w:val="fr-FR"/>
        </w:rPr>
        <w:t xml:space="preserve"> </w:t>
      </w:r>
      <w:r w:rsidR="00EB5ED6">
        <w:rPr>
          <w:i/>
          <w:lang w:val="fr-FR"/>
        </w:rPr>
        <w:t>variété</w:t>
      </w:r>
      <w:r w:rsidRPr="0007414F">
        <w:rPr>
          <w:i/>
          <w:lang w:val="fr-FR"/>
        </w:rPr>
        <w:t xml:space="preserve"> re</w:t>
      </w:r>
      <w:r w:rsidR="00EC76C8">
        <w:rPr>
          <w:i/>
          <w:lang w:val="fr-FR"/>
        </w:rPr>
        <w:t>stent</w:t>
      </w:r>
      <w:r w:rsidRPr="0007414F">
        <w:rPr>
          <w:i/>
          <w:lang w:val="fr-FR"/>
        </w:rPr>
        <w:t xml:space="preserve"> confidenti</w:t>
      </w:r>
      <w:r w:rsidR="00EC76C8">
        <w:rPr>
          <w:i/>
          <w:lang w:val="fr-FR"/>
        </w:rPr>
        <w:t xml:space="preserve">elles </w:t>
      </w:r>
      <w:r w:rsidR="008509CE">
        <w:rPr>
          <w:i/>
          <w:lang w:val="fr-FR"/>
        </w:rPr>
        <w:t>et</w:t>
      </w:r>
      <w:r w:rsidRPr="0007414F">
        <w:rPr>
          <w:i/>
          <w:lang w:val="fr-FR"/>
        </w:rPr>
        <w:t xml:space="preserve"> </w:t>
      </w:r>
      <w:r w:rsidR="00EC76C8">
        <w:rPr>
          <w:i/>
          <w:lang w:val="fr-FR"/>
        </w:rPr>
        <w:t>que l</w:t>
      </w:r>
      <w:r w:rsidR="00D639EE">
        <w:rPr>
          <w:i/>
          <w:lang w:val="fr-FR"/>
        </w:rPr>
        <w:t>’</w:t>
      </w:r>
      <w:r w:rsidR="00EC76C8">
        <w:rPr>
          <w:i/>
          <w:lang w:val="fr-FR"/>
        </w:rPr>
        <w:t>é</w:t>
      </w:r>
      <w:r w:rsidRPr="0007414F">
        <w:rPr>
          <w:i/>
          <w:lang w:val="fr-FR"/>
        </w:rPr>
        <w:t xml:space="preserve">change </w:t>
      </w:r>
      <w:r w:rsidR="00EC76C8">
        <w:rPr>
          <w:i/>
          <w:lang w:val="fr-FR"/>
        </w:rPr>
        <w:t>avec un autre membre de l</w:t>
      </w:r>
      <w:r w:rsidR="00D639EE">
        <w:rPr>
          <w:i/>
          <w:lang w:val="fr-FR"/>
        </w:rPr>
        <w:t>’</w:t>
      </w:r>
      <w:r w:rsidRPr="0007414F">
        <w:rPr>
          <w:i/>
          <w:lang w:val="fr-FR"/>
        </w:rPr>
        <w:t xml:space="preserve">UPOV </w:t>
      </w:r>
      <w:r w:rsidR="00EC76C8">
        <w:rPr>
          <w:i/>
          <w:lang w:val="fr-FR"/>
        </w:rPr>
        <w:t>ou un autre service d</w:t>
      </w:r>
      <w:r w:rsidR="00D639EE">
        <w:rPr>
          <w:i/>
          <w:lang w:val="fr-FR"/>
        </w:rPr>
        <w:t>’</w:t>
      </w:r>
      <w:r w:rsidR="00EB5ED6">
        <w:rPr>
          <w:i/>
          <w:lang w:val="fr-FR"/>
        </w:rPr>
        <w:t>examen</w:t>
      </w:r>
      <w:r w:rsidRPr="0007414F">
        <w:rPr>
          <w:i/>
          <w:lang w:val="fr-FR"/>
        </w:rPr>
        <w:t xml:space="preserve"> </w:t>
      </w:r>
      <w:r w:rsidR="00EC76C8">
        <w:rPr>
          <w:i/>
          <w:lang w:val="fr-FR"/>
        </w:rPr>
        <w:t>soit soumis à l</w:t>
      </w:r>
      <w:r w:rsidR="00D639EE">
        <w:rPr>
          <w:i/>
          <w:lang w:val="fr-FR"/>
        </w:rPr>
        <w:t>’</w:t>
      </w:r>
      <w:r w:rsidR="00EC76C8">
        <w:rPr>
          <w:i/>
          <w:lang w:val="fr-FR"/>
        </w:rPr>
        <w:t>approbation du demandeur</w:t>
      </w:r>
      <w:r w:rsidRPr="0007414F">
        <w:rPr>
          <w:i/>
          <w:lang w:val="fr-FR"/>
        </w:rPr>
        <w:t>.”</w:t>
      </w:r>
    </w:p>
    <w:p w14:paraId="20503CAC" w14:textId="77777777" w:rsidR="00D2670B" w:rsidRPr="0007414F" w:rsidRDefault="00D2670B" w:rsidP="00D2670B">
      <w:pPr>
        <w:rPr>
          <w:lang w:val="fr-FR"/>
        </w:rPr>
      </w:pPr>
    </w:p>
    <w:p w14:paraId="7C6350B8" w14:textId="5716E114" w:rsidR="00D639EE" w:rsidRDefault="00D2670B" w:rsidP="00794EF8">
      <w:pPr>
        <w:keepNext/>
        <w:rPr>
          <w:rFonts w:cs="Arial"/>
          <w:iCs/>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EC76C8">
        <w:rPr>
          <w:lang w:val="fr-FR"/>
        </w:rPr>
        <w:t>Lors de leurs</w:t>
      </w:r>
      <w:r w:rsidR="00794EF8" w:rsidRPr="0007414F">
        <w:rPr>
          <w:lang w:val="fr-FR"/>
        </w:rPr>
        <w:t xml:space="preserve"> sessions </w:t>
      </w:r>
      <w:r w:rsidR="00D639EE">
        <w:rPr>
          <w:lang w:val="fr-FR"/>
        </w:rPr>
        <w:t>de </w:t>
      </w:r>
      <w:r w:rsidR="00D639EE" w:rsidRPr="0007414F">
        <w:rPr>
          <w:lang w:val="fr-FR"/>
        </w:rPr>
        <w:t>2022</w:t>
      </w:r>
      <w:r w:rsidR="00794EF8" w:rsidRPr="0007414F">
        <w:rPr>
          <w:lang w:val="fr-FR"/>
        </w:rPr>
        <w:t>,</w:t>
      </w:r>
      <w:r w:rsidR="00D639EE" w:rsidRPr="0007414F">
        <w:rPr>
          <w:lang w:val="fr-FR"/>
        </w:rPr>
        <w:t xml:space="preserve"> </w:t>
      </w:r>
      <w:r w:rsidR="00D639EE">
        <w:rPr>
          <w:lang w:val="fr-FR"/>
        </w:rPr>
        <w:t>le </w:t>
      </w:r>
      <w:r w:rsidR="00D639EE" w:rsidRPr="0007414F">
        <w:rPr>
          <w:lang w:val="fr-FR"/>
        </w:rPr>
        <w:t>TWV</w:t>
      </w:r>
      <w:r w:rsidR="00794EF8" w:rsidRPr="0007414F">
        <w:rPr>
          <w:vertAlign w:val="superscript"/>
          <w:lang w:val="fr-FR"/>
        </w:rPr>
        <w:footnoteReference w:id="14"/>
      </w:r>
      <w:r w:rsidR="00794EF8" w:rsidRPr="0007414F">
        <w:rPr>
          <w:lang w:val="fr-FR"/>
        </w:rPr>
        <w:t>,</w:t>
      </w:r>
      <w:r w:rsidR="00D639EE" w:rsidRPr="0007414F">
        <w:rPr>
          <w:lang w:val="fr-FR"/>
        </w:rPr>
        <w:t xml:space="preserve"> </w:t>
      </w:r>
      <w:r w:rsidR="00D639EE">
        <w:rPr>
          <w:lang w:val="fr-FR"/>
        </w:rPr>
        <w:t>le </w:t>
      </w:r>
      <w:r w:rsidR="00D639EE" w:rsidRPr="0007414F">
        <w:rPr>
          <w:lang w:val="fr-FR"/>
        </w:rPr>
        <w:t>TWA</w:t>
      </w:r>
      <w:r w:rsidR="00794EF8" w:rsidRPr="0007414F">
        <w:rPr>
          <w:vertAlign w:val="superscript"/>
          <w:lang w:val="fr-FR"/>
        </w:rPr>
        <w:footnoteReference w:id="15"/>
      </w:r>
      <w:r w:rsidR="00794EF8" w:rsidRPr="0007414F">
        <w:rPr>
          <w:lang w:val="fr-FR"/>
        </w:rPr>
        <w:t>,</w:t>
      </w:r>
      <w:r w:rsidR="00D639EE" w:rsidRPr="0007414F">
        <w:rPr>
          <w:lang w:val="fr-FR"/>
        </w:rPr>
        <w:t xml:space="preserve"> </w:t>
      </w:r>
      <w:r w:rsidR="00D639EE">
        <w:rPr>
          <w:lang w:val="fr-FR"/>
        </w:rPr>
        <w:t>le </w:t>
      </w:r>
      <w:r w:rsidR="00D639EE" w:rsidRPr="0007414F">
        <w:rPr>
          <w:lang w:val="fr-FR"/>
        </w:rPr>
        <w:t>TWO</w:t>
      </w:r>
      <w:r w:rsidR="00794EF8" w:rsidRPr="0007414F">
        <w:rPr>
          <w:vertAlign w:val="superscript"/>
          <w:lang w:val="fr-FR"/>
        </w:rPr>
        <w:footnoteReference w:id="16"/>
      </w:r>
      <w:r w:rsidR="00794EF8" w:rsidRPr="0007414F">
        <w:rPr>
          <w:lang w:val="fr-FR"/>
        </w:rPr>
        <w:t>,</w:t>
      </w:r>
      <w:r w:rsidR="00D639EE" w:rsidRPr="0007414F">
        <w:rPr>
          <w:lang w:val="fr-FR"/>
        </w:rPr>
        <w:t xml:space="preserve"> </w:t>
      </w:r>
      <w:r w:rsidR="00D639EE">
        <w:rPr>
          <w:lang w:val="fr-FR"/>
        </w:rPr>
        <w:t>le </w:t>
      </w:r>
      <w:r w:rsidR="00D639EE" w:rsidRPr="0007414F">
        <w:rPr>
          <w:lang w:val="fr-FR"/>
        </w:rPr>
        <w:t>TWF</w:t>
      </w:r>
      <w:r w:rsidR="00794EF8" w:rsidRPr="0007414F">
        <w:rPr>
          <w:vertAlign w:val="superscript"/>
          <w:lang w:val="fr-FR"/>
        </w:rPr>
        <w:footnoteReference w:id="17"/>
      </w:r>
      <w:r w:rsidR="00794EF8" w:rsidRPr="0007414F">
        <w:rPr>
          <w:lang w:val="fr-FR"/>
        </w:rPr>
        <w:t xml:space="preserve"> </w:t>
      </w:r>
      <w:r w:rsidR="008509CE">
        <w:rPr>
          <w:lang w:val="fr-FR"/>
        </w:rPr>
        <w:t>et</w:t>
      </w:r>
      <w:r w:rsidR="00D639EE" w:rsidRPr="0007414F">
        <w:rPr>
          <w:lang w:val="fr-FR"/>
        </w:rPr>
        <w:t xml:space="preserve"> </w:t>
      </w:r>
      <w:r w:rsidR="00D639EE">
        <w:rPr>
          <w:lang w:val="fr-FR"/>
        </w:rPr>
        <w:t>le </w:t>
      </w:r>
      <w:r w:rsidR="00D639EE" w:rsidRPr="0007414F">
        <w:rPr>
          <w:snapToGrid w:val="0"/>
          <w:lang w:val="fr-FR"/>
        </w:rPr>
        <w:t>TWM</w:t>
      </w:r>
      <w:r w:rsidR="00794EF8" w:rsidRPr="0007414F">
        <w:rPr>
          <w:snapToGrid w:val="0"/>
          <w:vertAlign w:val="superscript"/>
          <w:lang w:val="fr-FR"/>
        </w:rPr>
        <w:footnoteReference w:id="18"/>
      </w:r>
      <w:r w:rsidR="00794EF8" w:rsidRPr="0007414F">
        <w:rPr>
          <w:snapToGrid w:val="0"/>
          <w:lang w:val="fr-FR"/>
        </w:rPr>
        <w:t xml:space="preserve">, </w:t>
      </w:r>
      <w:r w:rsidR="00EC76C8">
        <w:rPr>
          <w:snapToGrid w:val="0"/>
          <w:lang w:val="fr-FR"/>
        </w:rPr>
        <w:t xml:space="preserve">ont pris </w:t>
      </w:r>
      <w:r w:rsidR="00794EF8" w:rsidRPr="0007414F">
        <w:rPr>
          <w:snapToGrid w:val="0"/>
          <w:lang w:val="fr-FR"/>
        </w:rPr>
        <w:t>note</w:t>
      </w:r>
      <w:r w:rsidR="00EC76C8">
        <w:rPr>
          <w:snapToGrid w:val="0"/>
          <w:lang w:val="fr-FR"/>
        </w:rPr>
        <w:t xml:space="preserve"> </w:t>
      </w:r>
      <w:r w:rsidR="00794EF8" w:rsidRPr="0007414F">
        <w:rPr>
          <w:snapToGrid w:val="0"/>
          <w:lang w:val="fr-FR"/>
        </w:rPr>
        <w:t>d</w:t>
      </w:r>
      <w:r w:rsidR="00EC76C8">
        <w:rPr>
          <w:snapToGrid w:val="0"/>
          <w:lang w:val="fr-FR"/>
        </w:rPr>
        <w:t>es</w:t>
      </w:r>
      <w:r w:rsidR="00794EF8" w:rsidRPr="0007414F">
        <w:rPr>
          <w:snapToGrid w:val="0"/>
          <w:lang w:val="fr-FR"/>
        </w:rPr>
        <w:t xml:space="preserve"> </w:t>
      </w:r>
      <w:r w:rsidR="00794EF8" w:rsidRPr="0007414F">
        <w:rPr>
          <w:rFonts w:cs="Arial"/>
          <w:lang w:val="fr-FR"/>
        </w:rPr>
        <w:t xml:space="preserve">discussions </w:t>
      </w:r>
      <w:r w:rsidR="00EC76C8">
        <w:rPr>
          <w:rFonts w:cs="Arial"/>
          <w:lang w:val="fr-FR"/>
        </w:rPr>
        <w:t>organisées par</w:t>
      </w:r>
      <w:r w:rsidR="00D639EE">
        <w:rPr>
          <w:rFonts w:cs="Arial"/>
          <w:lang w:val="fr-FR"/>
        </w:rPr>
        <w:t xml:space="preserve"> le </w:t>
      </w:r>
      <w:r w:rsidR="00D639EE" w:rsidRPr="0007414F">
        <w:rPr>
          <w:rFonts w:cs="Arial"/>
          <w:lang w:val="fr-FR"/>
        </w:rPr>
        <w:t>TWP</w:t>
      </w:r>
      <w:r w:rsidR="00794EF8" w:rsidRPr="0007414F">
        <w:rPr>
          <w:rFonts w:cs="Arial"/>
          <w:lang w:val="fr-FR"/>
        </w:rPr>
        <w:t xml:space="preserve"> </w:t>
      </w:r>
      <w:r w:rsidR="008509CE">
        <w:rPr>
          <w:rFonts w:cs="Arial"/>
          <w:lang w:val="fr-FR"/>
        </w:rPr>
        <w:t>et</w:t>
      </w:r>
      <w:r w:rsidR="00D639EE" w:rsidRPr="0007414F">
        <w:rPr>
          <w:rFonts w:cs="Arial"/>
          <w:lang w:val="fr-FR"/>
        </w:rPr>
        <w:t xml:space="preserve"> </w:t>
      </w:r>
      <w:r w:rsidR="00D639EE">
        <w:rPr>
          <w:rFonts w:cs="Arial"/>
          <w:lang w:val="fr-FR"/>
        </w:rPr>
        <w:t>le </w:t>
      </w:r>
      <w:r w:rsidR="00D639EE" w:rsidRPr="0007414F">
        <w:rPr>
          <w:rFonts w:cs="Arial"/>
          <w:lang w:val="fr-FR"/>
        </w:rPr>
        <w:t>BMT</w:t>
      </w:r>
      <w:r w:rsidR="00794EF8" w:rsidRPr="0007414F">
        <w:rPr>
          <w:rFonts w:cs="Arial"/>
          <w:lang w:val="fr-FR"/>
        </w:rPr>
        <w:t xml:space="preserve">, </w:t>
      </w:r>
      <w:r w:rsidR="00EC76C8">
        <w:rPr>
          <w:rFonts w:cs="Arial"/>
          <w:lang w:val="fr-FR"/>
        </w:rPr>
        <w:t>à l</w:t>
      </w:r>
      <w:r w:rsidR="00D639EE">
        <w:rPr>
          <w:rFonts w:cs="Arial"/>
          <w:lang w:val="fr-FR"/>
        </w:rPr>
        <w:t>’</w:t>
      </w:r>
      <w:r w:rsidR="00EC76C8">
        <w:rPr>
          <w:rFonts w:cs="Arial"/>
          <w:lang w:val="fr-FR"/>
        </w:rPr>
        <w:t>occasion de leurs</w:t>
      </w:r>
      <w:r w:rsidR="00794EF8" w:rsidRPr="0007414F">
        <w:rPr>
          <w:rFonts w:cs="Arial"/>
          <w:lang w:val="fr-FR"/>
        </w:rPr>
        <w:t xml:space="preserve"> sessions </w:t>
      </w:r>
      <w:r w:rsidR="00D639EE">
        <w:rPr>
          <w:rFonts w:cs="Arial"/>
          <w:lang w:val="fr-FR"/>
        </w:rPr>
        <w:t>de </w:t>
      </w:r>
      <w:r w:rsidR="00D639EE" w:rsidRPr="0007414F">
        <w:rPr>
          <w:rFonts w:cs="Arial"/>
          <w:lang w:val="fr-FR"/>
        </w:rPr>
        <w:t>2021</w:t>
      </w:r>
      <w:r w:rsidR="00794EF8" w:rsidRPr="0007414F">
        <w:rPr>
          <w:rFonts w:cs="Arial"/>
          <w:lang w:val="fr-FR"/>
        </w:rPr>
        <w:t xml:space="preserve">, </w:t>
      </w:r>
      <w:r w:rsidR="00EC76C8">
        <w:rPr>
          <w:rFonts w:cs="Arial"/>
          <w:lang w:val="fr-FR"/>
        </w:rPr>
        <w:t>concernant la</w:t>
      </w:r>
      <w:r w:rsidR="00794EF8" w:rsidRPr="0007414F">
        <w:rPr>
          <w:rFonts w:cs="Arial"/>
          <w:lang w:val="fr-FR"/>
        </w:rPr>
        <w:t xml:space="preserve"> “</w:t>
      </w:r>
      <w:r w:rsidR="001D3B49">
        <w:rPr>
          <w:rFonts w:cs="Arial"/>
          <w:lang w:val="fr-FR"/>
        </w:rPr>
        <w:t>Confidentialité</w:t>
      </w:r>
      <w:r w:rsidR="00794EF8" w:rsidRPr="0007414F">
        <w:rPr>
          <w:rFonts w:cs="Arial"/>
          <w:lang w:val="fr-FR"/>
        </w:rPr>
        <w:t xml:space="preserve"> &amp; </w:t>
      </w:r>
      <w:r w:rsidR="00B76460">
        <w:rPr>
          <w:rFonts w:cs="Arial"/>
          <w:lang w:val="fr-FR"/>
        </w:rPr>
        <w:t>titularité</w:t>
      </w:r>
      <w:r w:rsidR="00794EF8" w:rsidRPr="0007414F">
        <w:rPr>
          <w:rFonts w:cs="Arial"/>
          <w:lang w:val="fr-FR"/>
        </w:rPr>
        <w:t xml:space="preserve"> </w:t>
      </w:r>
      <w:r w:rsidR="00EC76C8">
        <w:rPr>
          <w:rFonts w:cs="Arial"/>
          <w:lang w:val="fr-FR"/>
        </w:rPr>
        <w:t>des informations</w:t>
      </w:r>
      <w:r w:rsidR="00B76460">
        <w:rPr>
          <w:rFonts w:cs="Arial"/>
          <w:lang w:val="fr-FR"/>
        </w:rPr>
        <w:t xml:space="preserve"> moléculaires</w:t>
      </w:r>
      <w:r w:rsidR="00D639EE">
        <w:rPr>
          <w:rFonts w:cs="Arial"/>
          <w:lang w:val="fr-FR"/>
        </w:rPr>
        <w:t>”</w:t>
      </w:r>
      <w:r w:rsidRPr="0007414F">
        <w:rPr>
          <w:rFonts w:cs="Arial"/>
          <w:iCs/>
          <w:lang w:val="fr-FR"/>
        </w:rPr>
        <w:t>.</w:t>
      </w:r>
    </w:p>
    <w:p w14:paraId="0F9D46D3" w14:textId="0F02E04B" w:rsidR="00A04147" w:rsidRPr="0007414F" w:rsidRDefault="00A04147" w:rsidP="00D2670B">
      <w:pPr>
        <w:rPr>
          <w:rFonts w:cs="Arial"/>
          <w:iCs/>
          <w:lang w:val="fr-FR"/>
        </w:rPr>
      </w:pPr>
    </w:p>
    <w:p w14:paraId="6343DE67" w14:textId="3E89A59C" w:rsidR="00D639EE" w:rsidRDefault="00A04147" w:rsidP="00A04147">
      <w:pPr>
        <w:keepNext/>
        <w:rPr>
          <w:lang w:val="fr-FR"/>
        </w:rPr>
      </w:pPr>
      <w:r w:rsidRPr="0007414F">
        <w:rPr>
          <w:rFonts w:cs="Arial"/>
          <w:lang w:val="fr-FR"/>
        </w:rPr>
        <w:fldChar w:fldCharType="begin"/>
      </w:r>
      <w:r w:rsidRPr="0007414F">
        <w:rPr>
          <w:rFonts w:cs="Arial"/>
          <w:lang w:val="fr-FR"/>
        </w:rPr>
        <w:instrText xml:space="preserve"> AUTONUM  </w:instrText>
      </w:r>
      <w:r w:rsidRPr="0007414F">
        <w:rPr>
          <w:rFonts w:cs="Arial"/>
          <w:lang w:val="fr-FR"/>
        </w:rPr>
        <w:fldChar w:fldCharType="end"/>
      </w:r>
      <w:r w:rsidRPr="0007414F">
        <w:rPr>
          <w:rFonts w:cs="Arial"/>
          <w:lang w:val="fr-FR"/>
        </w:rPr>
        <w:tab/>
      </w:r>
      <w:r w:rsidR="00D87FC5" w:rsidRPr="00D87FC5">
        <w:rPr>
          <w:rFonts w:cs="Arial"/>
          <w:lang w:val="fr-FR"/>
        </w:rPr>
        <w:t>À sa cinquante</w:t>
      </w:r>
      <w:r w:rsidR="00D639EE">
        <w:rPr>
          <w:rFonts w:cs="Arial"/>
          <w:lang w:val="fr-FR"/>
        </w:rPr>
        <w:t> et unième session</w:t>
      </w:r>
      <w:r w:rsidR="00D87FC5">
        <w:rPr>
          <w:rFonts w:cs="Arial"/>
          <w:lang w:val="fr-FR"/>
        </w:rPr>
        <w:t>,</w:t>
      </w:r>
      <w:r w:rsidR="00D639EE">
        <w:rPr>
          <w:rFonts w:cs="Arial"/>
          <w:lang w:val="fr-FR"/>
        </w:rPr>
        <w:t xml:space="preserve"> le </w:t>
      </w:r>
      <w:r w:rsidR="00D639EE" w:rsidRPr="0007414F">
        <w:rPr>
          <w:rFonts w:cs="Arial"/>
          <w:lang w:val="fr-FR"/>
        </w:rPr>
        <w:t>TWA</w:t>
      </w:r>
      <w:r w:rsidRPr="0007414F">
        <w:rPr>
          <w:rFonts w:cs="Arial"/>
          <w:lang w:val="fr-FR"/>
        </w:rPr>
        <w:t xml:space="preserve"> </w:t>
      </w:r>
      <w:r w:rsidR="00D87FC5">
        <w:rPr>
          <w:rFonts w:cs="Arial"/>
          <w:lang w:val="fr-FR"/>
        </w:rPr>
        <w:t xml:space="preserve">a pris </w:t>
      </w:r>
      <w:r w:rsidRPr="0007414F">
        <w:rPr>
          <w:rFonts w:cs="Arial"/>
          <w:lang w:val="fr-FR"/>
        </w:rPr>
        <w:t>note</w:t>
      </w:r>
      <w:r w:rsidR="00D87FC5">
        <w:rPr>
          <w:rFonts w:cs="Arial"/>
          <w:lang w:val="fr-FR"/>
        </w:rPr>
        <w:t xml:space="preserve"> </w:t>
      </w:r>
      <w:r w:rsidRPr="0007414F">
        <w:rPr>
          <w:rFonts w:cs="Arial"/>
          <w:lang w:val="fr-FR"/>
        </w:rPr>
        <w:t>d</w:t>
      </w:r>
      <w:r w:rsidR="00D87FC5">
        <w:rPr>
          <w:rFonts w:cs="Arial"/>
          <w:lang w:val="fr-FR"/>
        </w:rPr>
        <w:t xml:space="preserve">u rapport des </w:t>
      </w:r>
      <w:r w:rsidR="00B76460">
        <w:rPr>
          <w:rFonts w:cs="Arial"/>
          <w:lang w:val="fr-FR"/>
        </w:rPr>
        <w:t xml:space="preserve">organisations </w:t>
      </w:r>
      <w:r w:rsidR="00D87FC5" w:rsidRPr="00D87FC5">
        <w:rPr>
          <w:rFonts w:cs="Arial"/>
          <w:lang w:val="fr-FR"/>
        </w:rPr>
        <w:t>co</w:t>
      </w:r>
      <w:r w:rsidR="00D87FC5">
        <w:rPr>
          <w:rFonts w:cs="Arial"/>
          <w:lang w:val="fr-FR"/>
        </w:rPr>
        <w:t>njointe</w:t>
      </w:r>
      <w:r w:rsidR="00D87FC5" w:rsidRPr="00D87FC5">
        <w:rPr>
          <w:rFonts w:cs="Arial"/>
          <w:lang w:val="fr-FR"/>
        </w:rPr>
        <w:t xml:space="preserve">s </w:t>
      </w:r>
      <w:r w:rsidR="00B76460">
        <w:rPr>
          <w:rFonts w:cs="Arial"/>
          <w:lang w:val="fr-FR"/>
        </w:rPr>
        <w:t>d</w:t>
      </w:r>
      <w:r w:rsidR="00D639EE">
        <w:rPr>
          <w:rFonts w:cs="Arial"/>
          <w:lang w:val="fr-FR"/>
        </w:rPr>
        <w:t>’</w:t>
      </w:r>
      <w:r w:rsidR="00B76460">
        <w:rPr>
          <w:rFonts w:cs="Arial"/>
          <w:lang w:val="fr-FR"/>
        </w:rPr>
        <w:t>obtenteurs</w:t>
      </w:r>
      <w:r w:rsidR="00D87FC5">
        <w:rPr>
          <w:rFonts w:cs="Arial"/>
          <w:lang w:val="fr-FR"/>
        </w:rPr>
        <w:t xml:space="preserve"> </w:t>
      </w:r>
      <w:r w:rsidR="00444474">
        <w:rPr>
          <w:rFonts w:cs="Arial"/>
          <w:lang w:val="fr-FR"/>
        </w:rPr>
        <w:t xml:space="preserve">indiquant </w:t>
      </w:r>
      <w:r w:rsidR="00D87FC5">
        <w:rPr>
          <w:rFonts w:cs="Arial"/>
          <w:lang w:val="fr-FR"/>
        </w:rPr>
        <w:t>qu</w:t>
      </w:r>
      <w:r w:rsidR="00D639EE">
        <w:rPr>
          <w:rFonts w:cs="Arial"/>
          <w:lang w:val="fr-FR"/>
        </w:rPr>
        <w:t>’</w:t>
      </w:r>
      <w:r w:rsidR="00D87FC5">
        <w:rPr>
          <w:rFonts w:cs="Arial"/>
          <w:lang w:val="fr-FR"/>
        </w:rPr>
        <w:t xml:space="preserve">une </w:t>
      </w:r>
      <w:r w:rsidR="00517EF9">
        <w:rPr>
          <w:lang w:val="fr-FR"/>
        </w:rPr>
        <w:t>enquête</w:t>
      </w:r>
      <w:r w:rsidRPr="0007414F">
        <w:rPr>
          <w:lang w:val="fr-FR"/>
        </w:rPr>
        <w:t xml:space="preserve"> </w:t>
      </w:r>
      <w:r w:rsidR="00D87FC5">
        <w:rPr>
          <w:lang w:val="fr-FR"/>
        </w:rPr>
        <w:t xml:space="preserve">sur la </w:t>
      </w:r>
      <w:r w:rsidR="001D3B49">
        <w:rPr>
          <w:lang w:val="fr-FR"/>
        </w:rPr>
        <w:t>confidentialité</w:t>
      </w:r>
      <w:r w:rsidRPr="0007414F">
        <w:rPr>
          <w:lang w:val="fr-FR"/>
        </w:rPr>
        <w:t xml:space="preserve"> </w:t>
      </w:r>
      <w:r w:rsidR="00D87FC5">
        <w:rPr>
          <w:lang w:val="fr-FR"/>
        </w:rPr>
        <w:t xml:space="preserve">des informations </w:t>
      </w:r>
      <w:r w:rsidRPr="0007414F">
        <w:rPr>
          <w:lang w:val="fr-FR"/>
        </w:rPr>
        <w:t>mol</w:t>
      </w:r>
      <w:r w:rsidR="00D87FC5">
        <w:rPr>
          <w:lang w:val="fr-FR"/>
        </w:rPr>
        <w:t>é</w:t>
      </w:r>
      <w:r w:rsidRPr="0007414F">
        <w:rPr>
          <w:lang w:val="fr-FR"/>
        </w:rPr>
        <w:t>cula</w:t>
      </w:r>
      <w:r w:rsidR="00D87FC5">
        <w:rPr>
          <w:lang w:val="fr-FR"/>
        </w:rPr>
        <w:t>i</w:t>
      </w:r>
      <w:r w:rsidRPr="0007414F">
        <w:rPr>
          <w:lang w:val="fr-FR"/>
        </w:rPr>
        <w:t>r</w:t>
      </w:r>
      <w:r w:rsidR="00D87FC5">
        <w:rPr>
          <w:lang w:val="fr-FR"/>
        </w:rPr>
        <w:t>es</w:t>
      </w:r>
      <w:r w:rsidRPr="0007414F">
        <w:rPr>
          <w:lang w:val="fr-FR"/>
        </w:rPr>
        <w:t xml:space="preserve"> </w:t>
      </w:r>
      <w:r w:rsidR="00D87FC5">
        <w:rPr>
          <w:lang w:val="fr-FR"/>
        </w:rPr>
        <w:t>était en cours auprès d</w:t>
      </w:r>
      <w:r w:rsidR="00D639EE">
        <w:rPr>
          <w:lang w:val="fr-FR"/>
        </w:rPr>
        <w:t>’</w:t>
      </w:r>
      <w:r w:rsidR="00D87FC5">
        <w:rPr>
          <w:lang w:val="fr-FR"/>
        </w:rPr>
        <w:t xml:space="preserve">entreprises spécialisées dans la sélection végétale dans diverses </w:t>
      </w:r>
      <w:r w:rsidRPr="0007414F">
        <w:rPr>
          <w:lang w:val="fr-FR"/>
        </w:rPr>
        <w:t>organi</w:t>
      </w:r>
      <w:r w:rsidR="00D87FC5">
        <w:rPr>
          <w:lang w:val="fr-FR"/>
        </w:rPr>
        <w:t>s</w:t>
      </w:r>
      <w:r w:rsidRPr="0007414F">
        <w:rPr>
          <w:lang w:val="fr-FR"/>
        </w:rPr>
        <w:t>atio</w:t>
      </w:r>
      <w:r w:rsidR="001C11A6" w:rsidRPr="0007414F">
        <w:rPr>
          <w:lang w:val="fr-FR"/>
        </w:rPr>
        <w:t>ns</w:t>
      </w:r>
      <w:r w:rsidR="001C11A6">
        <w:rPr>
          <w:lang w:val="fr-FR"/>
        </w:rPr>
        <w:t>.  Le</w:t>
      </w:r>
      <w:r w:rsidR="00D639EE">
        <w:rPr>
          <w:lang w:val="fr-FR"/>
        </w:rPr>
        <w:t> </w:t>
      </w:r>
      <w:r w:rsidR="00D639EE" w:rsidRPr="0007414F">
        <w:rPr>
          <w:lang w:val="fr-FR"/>
        </w:rPr>
        <w:t>TWA</w:t>
      </w:r>
      <w:r w:rsidRPr="0007414F">
        <w:rPr>
          <w:lang w:val="fr-FR"/>
        </w:rPr>
        <w:t xml:space="preserve"> </w:t>
      </w:r>
      <w:r w:rsidR="00D87FC5">
        <w:rPr>
          <w:lang w:val="fr-FR"/>
        </w:rPr>
        <w:t xml:space="preserve">a pris </w:t>
      </w:r>
      <w:r w:rsidRPr="0007414F">
        <w:rPr>
          <w:lang w:val="fr-FR"/>
        </w:rPr>
        <w:t>note</w:t>
      </w:r>
      <w:r w:rsidR="00D87FC5">
        <w:rPr>
          <w:lang w:val="fr-FR"/>
        </w:rPr>
        <w:t xml:space="preserve"> que les résultats de </w:t>
      </w:r>
      <w:r w:rsidR="00517EF9">
        <w:rPr>
          <w:lang w:val="fr-FR"/>
        </w:rPr>
        <w:t>l</w:t>
      </w:r>
      <w:r w:rsidR="00444474">
        <w:rPr>
          <w:lang w:val="fr-FR"/>
        </w:rPr>
        <w:t xml:space="preserve">adite </w:t>
      </w:r>
      <w:r w:rsidR="00517EF9">
        <w:rPr>
          <w:lang w:val="fr-FR"/>
        </w:rPr>
        <w:t>enquête</w:t>
      </w:r>
      <w:r w:rsidRPr="0007414F">
        <w:rPr>
          <w:lang w:val="fr-FR"/>
        </w:rPr>
        <w:t xml:space="preserve"> </w:t>
      </w:r>
      <w:r w:rsidR="00D87FC5">
        <w:rPr>
          <w:lang w:val="fr-FR"/>
        </w:rPr>
        <w:t xml:space="preserve">allaient être </w:t>
      </w:r>
      <w:r w:rsidRPr="0007414F">
        <w:rPr>
          <w:lang w:val="fr-FR"/>
        </w:rPr>
        <w:t>pr</w:t>
      </w:r>
      <w:r w:rsidR="00D87FC5">
        <w:rPr>
          <w:lang w:val="fr-FR"/>
        </w:rPr>
        <w:t>é</w:t>
      </w:r>
      <w:r w:rsidRPr="0007414F">
        <w:rPr>
          <w:lang w:val="fr-FR"/>
        </w:rPr>
        <w:t>sent</w:t>
      </w:r>
      <w:r w:rsidR="00D87FC5">
        <w:rPr>
          <w:lang w:val="fr-FR"/>
        </w:rPr>
        <w:t>és</w:t>
      </w:r>
      <w:r w:rsidR="00D639EE" w:rsidRPr="0007414F">
        <w:rPr>
          <w:lang w:val="fr-FR"/>
        </w:rPr>
        <w:t xml:space="preserve"> </w:t>
      </w:r>
      <w:r w:rsidR="00D639EE">
        <w:rPr>
          <w:lang w:val="fr-FR"/>
        </w:rPr>
        <w:t>au </w:t>
      </w:r>
      <w:r w:rsidR="00D639EE" w:rsidRPr="0007414F">
        <w:rPr>
          <w:lang w:val="fr-FR"/>
        </w:rPr>
        <w:t>TWM</w:t>
      </w:r>
      <w:r w:rsidRPr="0007414F">
        <w:rPr>
          <w:lang w:val="fr-FR"/>
        </w:rPr>
        <w:t xml:space="preserve">, </w:t>
      </w:r>
      <w:r w:rsidR="00D87FC5">
        <w:rPr>
          <w:lang w:val="fr-FR"/>
        </w:rPr>
        <w:t>à sa première</w:t>
      </w:r>
      <w:r w:rsidRPr="0007414F">
        <w:rPr>
          <w:lang w:val="fr-FR"/>
        </w:rPr>
        <w:t xml:space="preserve"> sessi</w:t>
      </w:r>
      <w:r w:rsidR="001C11A6" w:rsidRPr="0007414F">
        <w:rPr>
          <w:lang w:val="fr-FR"/>
        </w:rPr>
        <w:t>on</w:t>
      </w:r>
      <w:r w:rsidR="001C11A6">
        <w:rPr>
          <w:lang w:val="fr-FR"/>
        </w:rPr>
        <w:t>.  Le</w:t>
      </w:r>
      <w:r w:rsidR="00D639EE">
        <w:rPr>
          <w:lang w:val="fr-FR"/>
        </w:rPr>
        <w:t> </w:t>
      </w:r>
      <w:r w:rsidR="00D639EE" w:rsidRPr="0007414F">
        <w:rPr>
          <w:lang w:val="fr-FR"/>
        </w:rPr>
        <w:t>TWA</w:t>
      </w:r>
      <w:r w:rsidRPr="0007414F">
        <w:rPr>
          <w:lang w:val="fr-FR"/>
        </w:rPr>
        <w:t xml:space="preserve"> </w:t>
      </w:r>
      <w:r w:rsidR="00D87FC5">
        <w:rPr>
          <w:lang w:val="fr-FR"/>
        </w:rPr>
        <w:t>est convenu d</w:t>
      </w:r>
      <w:r w:rsidR="00D639EE">
        <w:rPr>
          <w:lang w:val="fr-FR"/>
        </w:rPr>
        <w:t>’</w:t>
      </w:r>
      <w:r w:rsidRPr="0007414F">
        <w:rPr>
          <w:lang w:val="fr-FR"/>
        </w:rPr>
        <w:t>invite</w:t>
      </w:r>
      <w:r w:rsidR="00444474">
        <w:rPr>
          <w:lang w:val="fr-FR"/>
        </w:rPr>
        <w:t>r</w:t>
      </w:r>
      <w:r w:rsidRPr="0007414F">
        <w:rPr>
          <w:lang w:val="fr-FR"/>
        </w:rPr>
        <w:t xml:space="preserve"> </w:t>
      </w:r>
      <w:r w:rsidR="008509CE">
        <w:rPr>
          <w:lang w:val="fr-FR"/>
        </w:rPr>
        <w:t>le</w:t>
      </w:r>
      <w:r w:rsidR="00D87FC5">
        <w:rPr>
          <w:lang w:val="fr-FR"/>
        </w:rPr>
        <w:t>s</w:t>
      </w:r>
      <w:r w:rsidRPr="0007414F">
        <w:rPr>
          <w:lang w:val="fr-FR"/>
        </w:rPr>
        <w:t xml:space="preserve"> </w:t>
      </w:r>
      <w:r w:rsidR="00B76460">
        <w:rPr>
          <w:rFonts w:cs="Arial"/>
          <w:lang w:val="fr-FR"/>
        </w:rPr>
        <w:t xml:space="preserve">organisations </w:t>
      </w:r>
      <w:r w:rsidR="00D87FC5">
        <w:rPr>
          <w:rFonts w:cs="Arial"/>
          <w:lang w:val="fr-FR"/>
        </w:rPr>
        <w:t xml:space="preserve">conjointes </w:t>
      </w:r>
      <w:r w:rsidR="00B76460">
        <w:rPr>
          <w:rFonts w:cs="Arial"/>
          <w:lang w:val="fr-FR"/>
        </w:rPr>
        <w:t>d</w:t>
      </w:r>
      <w:r w:rsidR="00D639EE">
        <w:rPr>
          <w:rFonts w:cs="Arial"/>
          <w:lang w:val="fr-FR"/>
        </w:rPr>
        <w:t>’</w:t>
      </w:r>
      <w:r w:rsidR="00B76460">
        <w:rPr>
          <w:rFonts w:cs="Arial"/>
          <w:lang w:val="fr-FR"/>
        </w:rPr>
        <w:t>obtenteurs</w:t>
      </w:r>
      <w:r w:rsidR="00D87FC5">
        <w:rPr>
          <w:rFonts w:cs="Arial"/>
          <w:lang w:val="fr-FR"/>
        </w:rPr>
        <w:t xml:space="preserve"> à faire rapport sur les faits nouveaux, à l</w:t>
      </w:r>
      <w:r w:rsidR="00D639EE">
        <w:rPr>
          <w:rFonts w:cs="Arial"/>
          <w:lang w:val="fr-FR"/>
        </w:rPr>
        <w:t>’</w:t>
      </w:r>
      <w:r w:rsidR="00D87FC5">
        <w:rPr>
          <w:rFonts w:cs="Arial"/>
          <w:lang w:val="fr-FR"/>
        </w:rPr>
        <w:t>occasion de sa cinquante</w:t>
      </w:r>
      <w:r w:rsidR="006E7E88">
        <w:rPr>
          <w:rFonts w:cs="Arial"/>
          <w:lang w:val="fr-FR"/>
        </w:rPr>
        <w:noBreakHyphen/>
      </w:r>
      <w:r w:rsidR="00D87FC5">
        <w:rPr>
          <w:rFonts w:cs="Arial"/>
          <w:lang w:val="fr-FR"/>
        </w:rPr>
        <w:t>deux</w:t>
      </w:r>
      <w:r w:rsidR="00D639EE">
        <w:rPr>
          <w:rFonts w:cs="Arial"/>
          <w:lang w:val="fr-FR"/>
        </w:rPr>
        <w:t>ième session</w:t>
      </w:r>
      <w:r w:rsidRPr="0007414F">
        <w:rPr>
          <w:lang w:val="fr-FR"/>
        </w:rPr>
        <w:t>.</w:t>
      </w:r>
    </w:p>
    <w:p w14:paraId="27BDE0F2" w14:textId="2534523E" w:rsidR="00A04147" w:rsidRPr="0007414F" w:rsidRDefault="00A04147" w:rsidP="00A04147">
      <w:pPr>
        <w:keepNext/>
        <w:rPr>
          <w:rFonts w:cs="Arial"/>
          <w:lang w:val="fr-FR"/>
        </w:rPr>
      </w:pPr>
    </w:p>
    <w:p w14:paraId="3A6B737D" w14:textId="53AEEC28" w:rsidR="00794EF8" w:rsidRPr="0007414F" w:rsidRDefault="00794EF8" w:rsidP="00794EF8">
      <w:pPr>
        <w:rPr>
          <w:lang w:val="fr-FR"/>
        </w:rPr>
      </w:pPr>
      <w:r w:rsidRPr="0007414F">
        <w:rPr>
          <w:lang w:val="fr-FR"/>
        </w:rPr>
        <w:fldChar w:fldCharType="begin"/>
      </w:r>
      <w:r w:rsidRPr="0007414F">
        <w:rPr>
          <w:lang w:val="fr-FR"/>
        </w:rPr>
        <w:instrText xml:space="preserve"> AUTONUM  </w:instrText>
      </w:r>
      <w:r w:rsidRPr="0007414F">
        <w:rPr>
          <w:lang w:val="fr-FR"/>
        </w:rPr>
        <w:fldChar w:fldCharType="end"/>
      </w:r>
      <w:r w:rsidRPr="0007414F">
        <w:rPr>
          <w:lang w:val="fr-FR"/>
        </w:rPr>
        <w:tab/>
      </w:r>
      <w:r w:rsidR="00D87FC5" w:rsidRPr="00D87FC5">
        <w:rPr>
          <w:lang w:val="fr-FR"/>
        </w:rPr>
        <w:t xml:space="preserve">À sa </w:t>
      </w:r>
      <w:r w:rsidR="00D87FC5">
        <w:rPr>
          <w:lang w:val="fr-FR"/>
        </w:rPr>
        <w:t>première</w:t>
      </w:r>
      <w:r w:rsidR="00D87FC5" w:rsidRPr="00D87FC5">
        <w:rPr>
          <w:lang w:val="fr-FR"/>
        </w:rPr>
        <w:t xml:space="preserve"> session</w:t>
      </w:r>
      <w:r w:rsidR="00D87FC5">
        <w:rPr>
          <w:lang w:val="fr-FR"/>
        </w:rPr>
        <w:t>,</w:t>
      </w:r>
      <w:r w:rsidR="00D639EE" w:rsidRPr="00D87FC5">
        <w:rPr>
          <w:lang w:val="fr-FR"/>
        </w:rPr>
        <w:t xml:space="preserve"> </w:t>
      </w:r>
      <w:r w:rsidR="00D639EE">
        <w:rPr>
          <w:lang w:val="fr-FR"/>
        </w:rPr>
        <w:t>le </w:t>
      </w:r>
      <w:r w:rsidR="00D639EE" w:rsidRPr="0007414F">
        <w:rPr>
          <w:lang w:val="fr-FR"/>
        </w:rPr>
        <w:t>TWM</w:t>
      </w:r>
      <w:r w:rsidRPr="0007414F">
        <w:rPr>
          <w:lang w:val="fr-FR"/>
        </w:rPr>
        <w:t xml:space="preserve"> </w:t>
      </w:r>
      <w:r w:rsidR="00D87FC5">
        <w:rPr>
          <w:lang w:val="fr-FR"/>
        </w:rPr>
        <w:t xml:space="preserve">a assisté à un exposé intitulé </w:t>
      </w:r>
      <w:r w:rsidRPr="0007414F">
        <w:rPr>
          <w:rFonts w:cs="Arial"/>
          <w:lang w:val="fr-FR"/>
        </w:rPr>
        <w:t>“</w:t>
      </w:r>
      <w:r w:rsidR="001D3B49">
        <w:rPr>
          <w:lang w:val="fr-FR"/>
        </w:rPr>
        <w:t>Confidentialité</w:t>
      </w:r>
      <w:r w:rsidRPr="0007414F">
        <w:rPr>
          <w:lang w:val="fr-FR"/>
        </w:rPr>
        <w:t xml:space="preserve"> </w:t>
      </w:r>
      <w:r w:rsidR="008509CE">
        <w:rPr>
          <w:lang w:val="fr-FR"/>
        </w:rPr>
        <w:t>et</w:t>
      </w:r>
      <w:r w:rsidRPr="0007414F">
        <w:rPr>
          <w:lang w:val="fr-FR"/>
        </w:rPr>
        <w:t xml:space="preserve"> </w:t>
      </w:r>
      <w:r w:rsidR="00D87FC5">
        <w:rPr>
          <w:lang w:val="fr-FR"/>
        </w:rPr>
        <w:t>titularité des informations</w:t>
      </w:r>
      <w:r w:rsidR="00EB5ED6">
        <w:rPr>
          <w:lang w:val="fr-FR"/>
        </w:rPr>
        <w:t xml:space="preserve"> moléculaires</w:t>
      </w:r>
      <w:r w:rsidRPr="0007414F">
        <w:rPr>
          <w:rFonts w:cs="Arial"/>
          <w:lang w:val="fr-FR"/>
        </w:rPr>
        <w:t>”</w:t>
      </w:r>
      <w:r w:rsidR="00D87FC5" w:rsidRPr="00D639EE">
        <w:rPr>
          <w:lang w:val="fr-FR"/>
        </w:rPr>
        <w:t xml:space="preserve"> </w:t>
      </w:r>
      <w:r w:rsidR="00D87FC5" w:rsidRPr="00475F0B">
        <w:rPr>
          <w:lang w:val="fr-FR"/>
        </w:rPr>
        <w:t>présenté</w:t>
      </w:r>
      <w:r w:rsidR="00D87FC5" w:rsidRPr="00D639EE">
        <w:rPr>
          <w:lang w:val="fr-FR"/>
        </w:rPr>
        <w:t xml:space="preserve"> par </w:t>
      </w:r>
      <w:r w:rsidR="00D87FC5" w:rsidRPr="00D87FC5">
        <w:rPr>
          <w:rFonts w:cs="Arial"/>
          <w:lang w:val="fr-FR"/>
        </w:rPr>
        <w:t>M.</w:t>
      </w:r>
      <w:r w:rsidR="001B53D1">
        <w:rPr>
          <w:lang w:val="fr-FR"/>
        </w:rPr>
        <w:t> </w:t>
      </w:r>
      <w:r w:rsidR="00D87FC5" w:rsidRPr="00D87FC5">
        <w:rPr>
          <w:rFonts w:cs="Arial"/>
          <w:lang w:val="fr-FR"/>
        </w:rPr>
        <w:t>Marcel</w:t>
      </w:r>
      <w:r w:rsidR="00D0172C">
        <w:rPr>
          <w:rFonts w:cs="Arial"/>
          <w:lang w:val="fr-FR"/>
        </w:rPr>
        <w:t> </w:t>
      </w:r>
      <w:proofErr w:type="spellStart"/>
      <w:r w:rsidR="00D87FC5" w:rsidRPr="00D87FC5">
        <w:rPr>
          <w:rFonts w:cs="Arial"/>
          <w:lang w:val="fr-FR"/>
        </w:rPr>
        <w:t>Bruins</w:t>
      </w:r>
      <w:proofErr w:type="spellEnd"/>
      <w:r w:rsidR="00D87FC5" w:rsidRPr="00D87FC5">
        <w:rPr>
          <w:rFonts w:cs="Arial"/>
          <w:lang w:val="fr-FR"/>
        </w:rPr>
        <w:t xml:space="preserve"> (</w:t>
      </w:r>
      <w:proofErr w:type="spellStart"/>
      <w:r w:rsidR="00D87FC5" w:rsidRPr="00D87FC5">
        <w:rPr>
          <w:rFonts w:cs="Arial"/>
          <w:lang w:val="fr-FR"/>
        </w:rPr>
        <w:t>CropLife</w:t>
      </w:r>
      <w:proofErr w:type="spellEnd"/>
      <w:r w:rsidR="00D87FC5" w:rsidRPr="00D87FC5">
        <w:rPr>
          <w:rFonts w:cs="Arial"/>
          <w:lang w:val="fr-FR"/>
        </w:rPr>
        <w:t xml:space="preserve"> Internation</w:t>
      </w:r>
      <w:r w:rsidR="001C11A6" w:rsidRPr="00D87FC5">
        <w:rPr>
          <w:rFonts w:cs="Arial"/>
          <w:lang w:val="fr-FR"/>
        </w:rPr>
        <w:t>al)</w:t>
      </w:r>
      <w:r w:rsidR="001C11A6">
        <w:rPr>
          <w:rFonts w:cs="Arial"/>
          <w:lang w:val="fr-FR"/>
        </w:rPr>
        <w:t xml:space="preserve">.  </w:t>
      </w:r>
      <w:r w:rsidR="001C11A6" w:rsidRPr="00D87FC5">
        <w:rPr>
          <w:rFonts w:cs="Arial"/>
          <w:lang w:val="fr-FR"/>
        </w:rPr>
        <w:t>On</w:t>
      </w:r>
      <w:r w:rsidR="00D87FC5" w:rsidRPr="00D87FC5">
        <w:rPr>
          <w:rFonts w:cs="Arial"/>
          <w:lang w:val="fr-FR"/>
        </w:rPr>
        <w:t xml:space="preserve"> trouvera une copie de cet exposé dans le document </w:t>
      </w:r>
      <w:r w:rsidRPr="0007414F">
        <w:rPr>
          <w:lang w:val="fr-FR"/>
        </w:rPr>
        <w:t>TWM/1/22.</w:t>
      </w:r>
    </w:p>
    <w:p w14:paraId="473A5881" w14:textId="3C4E2A77" w:rsidR="00794EF8" w:rsidRPr="0007414F" w:rsidRDefault="00794EF8" w:rsidP="00794EF8">
      <w:pPr>
        <w:rPr>
          <w:lang w:val="fr-FR"/>
        </w:rPr>
      </w:pPr>
    </w:p>
    <w:p w14:paraId="24621B64" w14:textId="43F53645" w:rsidR="00794EF8" w:rsidRPr="0007414F" w:rsidRDefault="00794EF8" w:rsidP="00794EF8">
      <w:pPr>
        <w:rPr>
          <w:rFonts w:cs="Arial"/>
          <w:iCs/>
          <w:lang w:val="fr-FR"/>
        </w:rPr>
      </w:pPr>
      <w:r w:rsidRPr="0007414F">
        <w:rPr>
          <w:rFonts w:cs="Arial"/>
          <w:iCs/>
          <w:lang w:val="fr-FR"/>
        </w:rPr>
        <w:fldChar w:fldCharType="begin"/>
      </w:r>
      <w:r w:rsidRPr="0007414F">
        <w:rPr>
          <w:rFonts w:cs="Arial"/>
          <w:iCs/>
          <w:lang w:val="fr-FR"/>
        </w:rPr>
        <w:instrText xml:space="preserve"> AUTONUM  </w:instrText>
      </w:r>
      <w:r w:rsidRPr="0007414F">
        <w:rPr>
          <w:rFonts w:cs="Arial"/>
          <w:iCs/>
          <w:lang w:val="fr-FR"/>
        </w:rPr>
        <w:fldChar w:fldCharType="end"/>
      </w:r>
      <w:r w:rsidRPr="0007414F">
        <w:rPr>
          <w:rFonts w:cs="Arial"/>
          <w:iCs/>
          <w:lang w:val="fr-FR"/>
        </w:rPr>
        <w:tab/>
      </w:r>
      <w:r w:rsidR="002420F2">
        <w:rPr>
          <w:rFonts w:cs="Arial"/>
          <w:iCs/>
          <w:lang w:val="fr-FR"/>
        </w:rPr>
        <w:t>Le</w:t>
      </w:r>
      <w:r w:rsidRPr="0007414F">
        <w:rPr>
          <w:rFonts w:cs="Arial"/>
          <w:iCs/>
          <w:lang w:val="fr-FR"/>
        </w:rPr>
        <w:t xml:space="preserve"> TWM </w:t>
      </w:r>
      <w:r w:rsidR="00475F0B">
        <w:rPr>
          <w:rFonts w:cs="Arial"/>
          <w:iCs/>
          <w:lang w:val="fr-FR"/>
        </w:rPr>
        <w:t xml:space="preserve">a pris </w:t>
      </w:r>
      <w:r w:rsidRPr="0007414F">
        <w:rPr>
          <w:rFonts w:cs="Arial"/>
          <w:iCs/>
          <w:lang w:val="fr-FR"/>
        </w:rPr>
        <w:t>note</w:t>
      </w:r>
      <w:r w:rsidR="00475F0B">
        <w:rPr>
          <w:rFonts w:cs="Arial"/>
          <w:iCs/>
          <w:lang w:val="fr-FR"/>
        </w:rPr>
        <w:t xml:space="preserve"> </w:t>
      </w:r>
      <w:r w:rsidRPr="0007414F">
        <w:rPr>
          <w:rFonts w:cs="Arial"/>
          <w:iCs/>
          <w:lang w:val="fr-FR"/>
        </w:rPr>
        <w:t>d</w:t>
      </w:r>
      <w:r w:rsidR="00475F0B">
        <w:rPr>
          <w:rFonts w:cs="Arial"/>
          <w:iCs/>
          <w:lang w:val="fr-FR"/>
        </w:rPr>
        <w:t>es</w:t>
      </w:r>
      <w:r w:rsidRPr="0007414F">
        <w:rPr>
          <w:rFonts w:cs="Arial"/>
          <w:iCs/>
          <w:lang w:val="fr-FR"/>
        </w:rPr>
        <w:t xml:space="preserve"> </w:t>
      </w:r>
      <w:r w:rsidR="00475F0B">
        <w:rPr>
          <w:rFonts w:cs="Arial"/>
          <w:iCs/>
          <w:lang w:val="fr-FR"/>
        </w:rPr>
        <w:t xml:space="preserve">préoccupations </w:t>
      </w:r>
      <w:r w:rsidRPr="0007414F">
        <w:rPr>
          <w:rFonts w:cs="Arial"/>
          <w:iCs/>
          <w:lang w:val="fr-FR"/>
        </w:rPr>
        <w:t>expr</w:t>
      </w:r>
      <w:r w:rsidR="00475F0B">
        <w:rPr>
          <w:rFonts w:cs="Arial"/>
          <w:iCs/>
          <w:lang w:val="fr-FR"/>
        </w:rPr>
        <w:t>imé</w:t>
      </w:r>
      <w:r w:rsidRPr="0007414F">
        <w:rPr>
          <w:rFonts w:cs="Arial"/>
          <w:iCs/>
          <w:lang w:val="fr-FR"/>
        </w:rPr>
        <w:t xml:space="preserve">es </w:t>
      </w:r>
      <w:r w:rsidR="00475F0B">
        <w:rPr>
          <w:rFonts w:cs="Arial"/>
          <w:iCs/>
          <w:lang w:val="fr-FR"/>
        </w:rPr>
        <w:t>par les</w:t>
      </w:r>
      <w:r w:rsidRPr="0007414F">
        <w:rPr>
          <w:rFonts w:cs="Arial"/>
          <w:iCs/>
          <w:lang w:val="fr-FR"/>
        </w:rPr>
        <w:t xml:space="preserve"> </w:t>
      </w:r>
      <w:r w:rsidR="00B76460">
        <w:rPr>
          <w:rFonts w:cs="Arial"/>
          <w:iCs/>
          <w:lang w:val="fr-FR"/>
        </w:rPr>
        <w:t>organisations d</w:t>
      </w:r>
      <w:r w:rsidR="00D639EE">
        <w:rPr>
          <w:rFonts w:cs="Arial"/>
          <w:iCs/>
          <w:lang w:val="fr-FR"/>
        </w:rPr>
        <w:t>’</w:t>
      </w:r>
      <w:r w:rsidR="00B76460">
        <w:rPr>
          <w:rFonts w:cs="Arial"/>
          <w:iCs/>
          <w:lang w:val="fr-FR"/>
        </w:rPr>
        <w:t>obtenteurs</w:t>
      </w:r>
      <w:r w:rsidR="00475F0B">
        <w:rPr>
          <w:rFonts w:cs="Arial"/>
          <w:iCs/>
          <w:lang w:val="fr-FR"/>
        </w:rPr>
        <w:t xml:space="preserve">, </w:t>
      </w:r>
      <w:r w:rsidR="00475F0B" w:rsidRPr="00475F0B">
        <w:rPr>
          <w:rFonts w:cs="Arial"/>
          <w:iCs/>
          <w:lang w:val="fr-FR"/>
        </w:rPr>
        <w:t xml:space="preserve">selon lesquelles les informations moléculaires </w:t>
      </w:r>
      <w:r w:rsidR="00475F0B">
        <w:rPr>
          <w:rFonts w:cs="Arial"/>
          <w:iCs/>
          <w:lang w:val="fr-FR"/>
        </w:rPr>
        <w:t>fournie</w:t>
      </w:r>
      <w:r w:rsidR="00475F0B" w:rsidRPr="00475F0B">
        <w:rPr>
          <w:rFonts w:cs="Arial"/>
          <w:iCs/>
          <w:lang w:val="fr-FR"/>
        </w:rPr>
        <w:t>s p</w:t>
      </w:r>
      <w:r w:rsidR="00475F0B">
        <w:rPr>
          <w:rFonts w:cs="Arial"/>
          <w:iCs/>
          <w:lang w:val="fr-FR"/>
        </w:rPr>
        <w:t>our</w:t>
      </w:r>
      <w:r w:rsidR="00475F0B" w:rsidRPr="00475F0B">
        <w:rPr>
          <w:rFonts w:cs="Arial"/>
          <w:iCs/>
          <w:lang w:val="fr-FR"/>
        </w:rPr>
        <w:t xml:space="preserve"> </w:t>
      </w:r>
      <w:r w:rsidR="00475F0B">
        <w:rPr>
          <w:rFonts w:cs="Arial"/>
          <w:iCs/>
          <w:lang w:val="fr-FR"/>
        </w:rPr>
        <w:t>l</w:t>
      </w:r>
      <w:r w:rsidR="00D639EE">
        <w:rPr>
          <w:rFonts w:cs="Arial"/>
          <w:iCs/>
          <w:lang w:val="fr-FR"/>
        </w:rPr>
        <w:t>’</w:t>
      </w:r>
      <w:r w:rsidR="00475F0B" w:rsidRPr="00475F0B">
        <w:rPr>
          <w:rFonts w:cs="Arial"/>
          <w:iCs/>
          <w:lang w:val="fr-FR"/>
        </w:rPr>
        <w:t>examen d</w:t>
      </w:r>
      <w:r w:rsidR="00D639EE">
        <w:rPr>
          <w:rFonts w:cs="Arial"/>
          <w:iCs/>
          <w:lang w:val="fr-FR"/>
        </w:rPr>
        <w:t>’</w:t>
      </w:r>
      <w:r w:rsidR="00475F0B" w:rsidRPr="00475F0B">
        <w:rPr>
          <w:rFonts w:cs="Arial"/>
          <w:iCs/>
          <w:lang w:val="fr-FR"/>
        </w:rPr>
        <w:t xml:space="preserve">une variété ne devraient pas être fournies à </w:t>
      </w:r>
      <w:r w:rsidR="00935290">
        <w:rPr>
          <w:rFonts w:cs="Arial"/>
          <w:iCs/>
          <w:lang w:val="fr-FR"/>
        </w:rPr>
        <w:t>d</w:t>
      </w:r>
      <w:r w:rsidR="00D639EE">
        <w:rPr>
          <w:rFonts w:cs="Arial"/>
          <w:iCs/>
          <w:lang w:val="fr-FR"/>
        </w:rPr>
        <w:t>’</w:t>
      </w:r>
      <w:r w:rsidR="00935290">
        <w:rPr>
          <w:rFonts w:cs="Arial"/>
          <w:iCs/>
          <w:lang w:val="fr-FR"/>
        </w:rPr>
        <w:t>autres personnes</w:t>
      </w:r>
      <w:r w:rsidR="00475F0B" w:rsidRPr="00475F0B">
        <w:rPr>
          <w:rFonts w:cs="Arial"/>
          <w:iCs/>
          <w:lang w:val="fr-FR"/>
        </w:rPr>
        <w:t xml:space="preserve"> en dehors de l</w:t>
      </w:r>
      <w:r w:rsidR="00D639EE">
        <w:rPr>
          <w:rFonts w:cs="Arial"/>
          <w:iCs/>
          <w:lang w:val="fr-FR"/>
        </w:rPr>
        <w:t>’</w:t>
      </w:r>
      <w:r w:rsidR="00475F0B" w:rsidRPr="00475F0B">
        <w:rPr>
          <w:rFonts w:cs="Arial"/>
          <w:iCs/>
          <w:lang w:val="fr-FR"/>
        </w:rPr>
        <w:t>autorité qui a reçu la demande, sans la permission de l</w:t>
      </w:r>
      <w:r w:rsidR="00D639EE">
        <w:rPr>
          <w:rFonts w:cs="Arial"/>
          <w:iCs/>
          <w:lang w:val="fr-FR"/>
        </w:rPr>
        <w:t>’</w:t>
      </w:r>
      <w:r w:rsidR="00475F0B" w:rsidRPr="00475F0B">
        <w:rPr>
          <w:rFonts w:cs="Arial"/>
          <w:iCs/>
          <w:lang w:val="fr-FR"/>
        </w:rPr>
        <w:t>obtente</w:t>
      </w:r>
      <w:r w:rsidR="001C11A6" w:rsidRPr="00475F0B">
        <w:rPr>
          <w:rFonts w:cs="Arial"/>
          <w:iCs/>
          <w:lang w:val="fr-FR"/>
        </w:rPr>
        <w:t>ur</w:t>
      </w:r>
      <w:r w:rsidR="001C11A6">
        <w:rPr>
          <w:rFonts w:cs="Arial"/>
          <w:iCs/>
          <w:lang w:val="fr-FR"/>
        </w:rPr>
        <w:t>.  Le</w:t>
      </w:r>
      <w:r w:rsidR="00D639EE">
        <w:rPr>
          <w:rFonts w:cs="Arial"/>
          <w:iCs/>
          <w:lang w:val="fr-FR"/>
        </w:rPr>
        <w:t> </w:t>
      </w:r>
      <w:r w:rsidR="00D639EE" w:rsidRPr="0007414F">
        <w:rPr>
          <w:rFonts w:cs="Arial"/>
          <w:iCs/>
          <w:lang w:val="fr-FR"/>
        </w:rPr>
        <w:t>TWM</w:t>
      </w:r>
      <w:r w:rsidRPr="0007414F">
        <w:rPr>
          <w:rFonts w:cs="Arial"/>
          <w:iCs/>
          <w:lang w:val="fr-FR"/>
        </w:rPr>
        <w:t xml:space="preserve"> </w:t>
      </w:r>
      <w:r w:rsidR="00475F0B">
        <w:rPr>
          <w:rFonts w:cs="Arial"/>
          <w:iCs/>
          <w:lang w:val="fr-FR"/>
        </w:rPr>
        <w:t xml:space="preserve">a en outre pris </w:t>
      </w:r>
      <w:r w:rsidRPr="0007414F">
        <w:rPr>
          <w:rFonts w:cs="Arial"/>
          <w:iCs/>
          <w:lang w:val="fr-FR"/>
        </w:rPr>
        <w:t>note</w:t>
      </w:r>
      <w:r w:rsidR="00475F0B">
        <w:rPr>
          <w:rFonts w:cs="Arial"/>
          <w:iCs/>
          <w:lang w:val="fr-FR"/>
        </w:rPr>
        <w:t xml:space="preserve"> </w:t>
      </w:r>
      <w:r w:rsidRPr="0007414F">
        <w:rPr>
          <w:rFonts w:cs="Arial"/>
          <w:iCs/>
          <w:lang w:val="fr-FR"/>
        </w:rPr>
        <w:t>d</w:t>
      </w:r>
      <w:r w:rsidR="00475F0B">
        <w:rPr>
          <w:rFonts w:cs="Arial"/>
          <w:iCs/>
          <w:lang w:val="fr-FR"/>
        </w:rPr>
        <w:t>e</w:t>
      </w:r>
      <w:r w:rsidRPr="0007414F">
        <w:rPr>
          <w:rFonts w:cs="Arial"/>
          <w:iCs/>
          <w:lang w:val="fr-FR"/>
        </w:rPr>
        <w:t xml:space="preserve"> </w:t>
      </w:r>
      <w:r w:rsidR="008509CE">
        <w:rPr>
          <w:rFonts w:cs="Arial"/>
          <w:iCs/>
          <w:lang w:val="fr-FR"/>
        </w:rPr>
        <w:t>l</w:t>
      </w:r>
      <w:r w:rsidR="007A71F1">
        <w:rPr>
          <w:rFonts w:cs="Arial"/>
          <w:iCs/>
          <w:lang w:val="fr-FR"/>
        </w:rPr>
        <w:t xml:space="preserve">a préoccupation des </w:t>
      </w:r>
      <w:r w:rsidR="00EB5ED6">
        <w:rPr>
          <w:rFonts w:cs="Arial"/>
          <w:iCs/>
          <w:lang w:val="fr-FR"/>
        </w:rPr>
        <w:t>obtenteur</w:t>
      </w:r>
      <w:r w:rsidRPr="0007414F">
        <w:rPr>
          <w:rFonts w:cs="Arial"/>
          <w:iCs/>
          <w:lang w:val="fr-FR"/>
        </w:rPr>
        <w:t xml:space="preserve">s </w:t>
      </w:r>
      <w:r w:rsidR="00444474">
        <w:rPr>
          <w:rFonts w:cs="Arial"/>
          <w:iCs/>
          <w:lang w:val="fr-FR"/>
        </w:rPr>
        <w:t>concernant</w:t>
      </w:r>
      <w:r w:rsidR="007A71F1">
        <w:rPr>
          <w:rFonts w:cs="Arial"/>
          <w:iCs/>
          <w:lang w:val="fr-FR"/>
        </w:rPr>
        <w:t xml:space="preserve"> le manque de </w:t>
      </w:r>
      <w:r w:rsidRPr="0007414F">
        <w:rPr>
          <w:rFonts w:cs="Arial"/>
          <w:iCs/>
          <w:lang w:val="fr-FR"/>
        </w:rPr>
        <w:t>clart</w:t>
      </w:r>
      <w:r w:rsidR="007A71F1">
        <w:rPr>
          <w:rFonts w:cs="Arial"/>
          <w:iCs/>
          <w:lang w:val="fr-FR"/>
        </w:rPr>
        <w:t>é</w:t>
      </w:r>
      <w:r w:rsidRPr="0007414F">
        <w:rPr>
          <w:rFonts w:cs="Arial"/>
          <w:iCs/>
          <w:lang w:val="fr-FR"/>
        </w:rPr>
        <w:t xml:space="preserve"> </w:t>
      </w:r>
      <w:r w:rsidR="008509CE">
        <w:rPr>
          <w:rFonts w:cs="Arial"/>
          <w:iCs/>
          <w:lang w:val="fr-FR"/>
        </w:rPr>
        <w:t>et</w:t>
      </w:r>
      <w:r w:rsidRPr="0007414F">
        <w:rPr>
          <w:rFonts w:cs="Arial"/>
          <w:iCs/>
          <w:lang w:val="fr-FR"/>
        </w:rPr>
        <w:t xml:space="preserve"> </w:t>
      </w:r>
      <w:r w:rsidR="007A71F1">
        <w:rPr>
          <w:rFonts w:cs="Arial"/>
          <w:iCs/>
          <w:lang w:val="fr-FR"/>
        </w:rPr>
        <w:t>d</w:t>
      </w:r>
      <w:r w:rsidR="00D639EE">
        <w:rPr>
          <w:rFonts w:cs="Arial"/>
          <w:iCs/>
          <w:lang w:val="fr-FR"/>
        </w:rPr>
        <w:t>’</w:t>
      </w:r>
      <w:r w:rsidRPr="0007414F">
        <w:rPr>
          <w:rFonts w:cs="Arial"/>
          <w:iCs/>
          <w:lang w:val="fr-FR"/>
        </w:rPr>
        <w:t>information</w:t>
      </w:r>
      <w:r w:rsidR="007A71F1">
        <w:rPr>
          <w:rFonts w:cs="Arial"/>
          <w:iCs/>
          <w:lang w:val="fr-FR"/>
        </w:rPr>
        <w:t>s</w:t>
      </w:r>
      <w:r w:rsidRPr="0007414F">
        <w:rPr>
          <w:rFonts w:cs="Arial"/>
          <w:iCs/>
          <w:lang w:val="fr-FR"/>
        </w:rPr>
        <w:t xml:space="preserve"> </w:t>
      </w:r>
      <w:r w:rsidR="007A71F1">
        <w:rPr>
          <w:rFonts w:cs="Arial"/>
          <w:iCs/>
          <w:lang w:val="fr-FR"/>
        </w:rPr>
        <w:t>quant aux modalités d</w:t>
      </w:r>
      <w:r w:rsidR="00D639EE">
        <w:rPr>
          <w:rFonts w:cs="Arial"/>
          <w:iCs/>
          <w:lang w:val="fr-FR"/>
        </w:rPr>
        <w:t>’</w:t>
      </w:r>
      <w:r w:rsidR="007A71F1">
        <w:rPr>
          <w:rFonts w:cs="Arial"/>
          <w:iCs/>
          <w:lang w:val="fr-FR"/>
        </w:rPr>
        <w:t>utilisation des informations moléculaires</w:t>
      </w:r>
      <w:r w:rsidRPr="0007414F">
        <w:rPr>
          <w:rFonts w:cs="Arial"/>
          <w:iCs/>
          <w:lang w:val="fr-FR"/>
        </w:rPr>
        <w:t xml:space="preserve">, </w:t>
      </w:r>
      <w:r w:rsidR="007A71F1">
        <w:rPr>
          <w:rFonts w:cs="Arial"/>
          <w:iCs/>
          <w:lang w:val="fr-FR"/>
        </w:rPr>
        <w:t>notamment en termes de partage</w:t>
      </w:r>
      <w:r w:rsidRPr="0007414F">
        <w:rPr>
          <w:rFonts w:cs="Arial"/>
          <w:iCs/>
          <w:lang w:val="fr-FR"/>
        </w:rPr>
        <w:t>.</w:t>
      </w:r>
    </w:p>
    <w:p w14:paraId="62C18C97" w14:textId="77777777" w:rsidR="00794EF8" w:rsidRPr="0007414F" w:rsidRDefault="00794EF8" w:rsidP="00794EF8">
      <w:pPr>
        <w:rPr>
          <w:rFonts w:cs="Arial"/>
          <w:iCs/>
          <w:lang w:val="fr-FR"/>
        </w:rPr>
      </w:pPr>
    </w:p>
    <w:p w14:paraId="296E8347" w14:textId="4F8A5D9D" w:rsidR="00D639EE" w:rsidRDefault="00794EF8" w:rsidP="00794EF8">
      <w:pPr>
        <w:rPr>
          <w:rFonts w:cs="Arial"/>
          <w:iCs/>
          <w:lang w:val="fr-FR"/>
        </w:rPr>
      </w:pPr>
      <w:r w:rsidRPr="0007414F">
        <w:rPr>
          <w:rFonts w:cs="Arial"/>
          <w:iCs/>
          <w:lang w:val="fr-FR"/>
        </w:rPr>
        <w:fldChar w:fldCharType="begin"/>
      </w:r>
      <w:r w:rsidRPr="0007414F">
        <w:rPr>
          <w:rFonts w:cs="Arial"/>
          <w:iCs/>
          <w:lang w:val="fr-FR"/>
        </w:rPr>
        <w:instrText xml:space="preserve"> AUTONUM  </w:instrText>
      </w:r>
      <w:r w:rsidRPr="0007414F">
        <w:rPr>
          <w:rFonts w:cs="Arial"/>
          <w:iCs/>
          <w:lang w:val="fr-FR"/>
        </w:rPr>
        <w:fldChar w:fldCharType="end"/>
      </w:r>
      <w:r w:rsidRPr="0007414F">
        <w:rPr>
          <w:rFonts w:cs="Arial"/>
          <w:iCs/>
          <w:lang w:val="fr-FR"/>
        </w:rPr>
        <w:tab/>
      </w:r>
      <w:r w:rsidR="002420F2">
        <w:rPr>
          <w:rFonts w:cs="Arial"/>
          <w:iCs/>
          <w:lang w:val="fr-FR"/>
        </w:rPr>
        <w:t>Le</w:t>
      </w:r>
      <w:r w:rsidRPr="0007414F">
        <w:rPr>
          <w:rFonts w:cs="Arial"/>
          <w:iCs/>
          <w:lang w:val="fr-FR"/>
        </w:rPr>
        <w:t xml:space="preserve"> TWM </w:t>
      </w:r>
      <w:r w:rsidR="007A71F1">
        <w:rPr>
          <w:rFonts w:cs="Arial"/>
          <w:iCs/>
          <w:lang w:val="fr-FR"/>
        </w:rPr>
        <w:t>est convenu qu</w:t>
      </w:r>
      <w:r w:rsidR="00D639EE">
        <w:rPr>
          <w:rFonts w:cs="Arial"/>
          <w:iCs/>
          <w:lang w:val="fr-FR"/>
        </w:rPr>
        <w:t>’</w:t>
      </w:r>
      <w:r w:rsidR="007A71F1">
        <w:rPr>
          <w:rFonts w:cs="Arial"/>
          <w:iCs/>
          <w:lang w:val="fr-FR"/>
        </w:rPr>
        <w:t>il convient de clarifier davantage l</w:t>
      </w:r>
      <w:r w:rsidR="008509CE">
        <w:rPr>
          <w:rFonts w:cs="Arial"/>
          <w:iCs/>
          <w:lang w:val="fr-FR"/>
        </w:rPr>
        <w:t>e</w:t>
      </w:r>
      <w:r w:rsidRPr="0007414F">
        <w:rPr>
          <w:rFonts w:cs="Arial"/>
          <w:iCs/>
          <w:lang w:val="fr-FR"/>
        </w:rPr>
        <w:t xml:space="preserve"> type </w:t>
      </w:r>
      <w:r w:rsidR="007A71F1">
        <w:rPr>
          <w:rFonts w:cs="Arial"/>
          <w:iCs/>
          <w:lang w:val="fr-FR"/>
        </w:rPr>
        <w:t>d</w:t>
      </w:r>
      <w:r w:rsidR="00D639EE">
        <w:rPr>
          <w:rFonts w:cs="Arial"/>
          <w:iCs/>
          <w:lang w:val="fr-FR"/>
        </w:rPr>
        <w:t>’</w:t>
      </w:r>
      <w:r w:rsidRPr="0007414F">
        <w:rPr>
          <w:rFonts w:cs="Arial"/>
          <w:iCs/>
          <w:lang w:val="fr-FR"/>
        </w:rPr>
        <w:t xml:space="preserve">information </w:t>
      </w:r>
      <w:r w:rsidR="00444474">
        <w:rPr>
          <w:rFonts w:cs="Arial"/>
          <w:iCs/>
          <w:lang w:val="fr-FR"/>
        </w:rPr>
        <w:t>ainsi qu</w:t>
      </w:r>
      <w:r w:rsidR="008509CE">
        <w:rPr>
          <w:rFonts w:cs="Arial"/>
          <w:iCs/>
          <w:lang w:val="fr-FR"/>
        </w:rPr>
        <w:t>e</w:t>
      </w:r>
      <w:r w:rsidRPr="0007414F">
        <w:rPr>
          <w:rFonts w:cs="Arial"/>
          <w:iCs/>
          <w:lang w:val="fr-FR"/>
        </w:rPr>
        <w:t xml:space="preserve"> </w:t>
      </w:r>
      <w:r w:rsidR="007A71F1">
        <w:rPr>
          <w:rFonts w:cs="Arial"/>
          <w:iCs/>
          <w:lang w:val="fr-FR"/>
        </w:rPr>
        <w:t>l</w:t>
      </w:r>
      <w:r w:rsidR="00D639EE">
        <w:rPr>
          <w:rFonts w:cs="Arial"/>
          <w:iCs/>
          <w:lang w:val="fr-FR"/>
        </w:rPr>
        <w:t>’</w:t>
      </w:r>
      <w:r w:rsidR="007A71F1">
        <w:rPr>
          <w:rFonts w:cs="Arial"/>
          <w:iCs/>
          <w:lang w:val="fr-FR"/>
        </w:rPr>
        <w:t>objectif de l</w:t>
      </w:r>
      <w:r w:rsidR="00D639EE">
        <w:rPr>
          <w:rFonts w:cs="Arial"/>
          <w:iCs/>
          <w:lang w:val="fr-FR"/>
        </w:rPr>
        <w:t>’</w:t>
      </w:r>
      <w:r w:rsidR="007A71F1">
        <w:rPr>
          <w:rFonts w:cs="Arial"/>
          <w:iCs/>
          <w:lang w:val="fr-FR"/>
        </w:rPr>
        <w:t xml:space="preserve">utilisation des données à partager </w:t>
      </w:r>
      <w:r w:rsidRPr="0007414F">
        <w:rPr>
          <w:rFonts w:cs="Arial"/>
          <w:iCs/>
          <w:lang w:val="fr-FR"/>
        </w:rPr>
        <w:t>(</w:t>
      </w:r>
      <w:r w:rsidR="007A71F1">
        <w:rPr>
          <w:rFonts w:cs="Arial"/>
          <w:iCs/>
          <w:lang w:val="fr-FR"/>
        </w:rPr>
        <w:t xml:space="preserve">par exemple, les </w:t>
      </w:r>
      <w:r w:rsidRPr="0007414F">
        <w:rPr>
          <w:rFonts w:cs="Arial"/>
          <w:iCs/>
          <w:lang w:val="fr-FR"/>
        </w:rPr>
        <w:t xml:space="preserve">distances </w:t>
      </w:r>
      <w:r w:rsidR="007A71F1">
        <w:rPr>
          <w:rFonts w:cs="Arial"/>
          <w:iCs/>
          <w:lang w:val="fr-FR"/>
        </w:rPr>
        <w:t>moléculaires entre</w:t>
      </w:r>
      <w:r w:rsidRPr="0007414F">
        <w:rPr>
          <w:rFonts w:cs="Arial"/>
          <w:iCs/>
          <w:lang w:val="fr-FR"/>
        </w:rPr>
        <w:t xml:space="preserve"> </w:t>
      </w:r>
      <w:r w:rsidR="007A71F1">
        <w:rPr>
          <w:rFonts w:cs="Arial"/>
          <w:iCs/>
          <w:lang w:val="fr-FR"/>
        </w:rPr>
        <w:t xml:space="preserve">les </w:t>
      </w:r>
      <w:r w:rsidRPr="0007414F">
        <w:rPr>
          <w:rFonts w:cs="Arial"/>
          <w:iCs/>
          <w:lang w:val="fr-FR"/>
        </w:rPr>
        <w:t>vari</w:t>
      </w:r>
      <w:r w:rsidR="007A71F1">
        <w:rPr>
          <w:rFonts w:cs="Arial"/>
          <w:iCs/>
          <w:lang w:val="fr-FR"/>
        </w:rPr>
        <w:t>é</w:t>
      </w:r>
      <w:r w:rsidRPr="0007414F">
        <w:rPr>
          <w:rFonts w:cs="Arial"/>
          <w:iCs/>
          <w:lang w:val="fr-FR"/>
        </w:rPr>
        <w:t>t</w:t>
      </w:r>
      <w:r w:rsidR="007A71F1">
        <w:rPr>
          <w:rFonts w:cs="Arial"/>
          <w:iCs/>
          <w:lang w:val="fr-FR"/>
        </w:rPr>
        <w:t>é</w:t>
      </w:r>
      <w:r w:rsidRPr="0007414F">
        <w:rPr>
          <w:rFonts w:cs="Arial"/>
          <w:iCs/>
          <w:lang w:val="fr-FR"/>
        </w:rPr>
        <w:t xml:space="preserve">s, </w:t>
      </w:r>
      <w:r w:rsidR="007A71F1">
        <w:rPr>
          <w:rFonts w:cs="Arial"/>
          <w:iCs/>
          <w:lang w:val="fr-FR"/>
        </w:rPr>
        <w:t xml:space="preserve">les séquences de </w:t>
      </w:r>
      <w:r w:rsidRPr="0007414F">
        <w:rPr>
          <w:rFonts w:cs="Arial"/>
          <w:iCs/>
          <w:lang w:val="fr-FR"/>
        </w:rPr>
        <w:t>g</w:t>
      </w:r>
      <w:r w:rsidR="007A71F1">
        <w:rPr>
          <w:rFonts w:cs="Arial"/>
          <w:iCs/>
          <w:lang w:val="fr-FR"/>
        </w:rPr>
        <w:t>é</w:t>
      </w:r>
      <w:r w:rsidRPr="0007414F">
        <w:rPr>
          <w:rFonts w:cs="Arial"/>
          <w:iCs/>
          <w:lang w:val="fr-FR"/>
        </w:rPr>
        <w:t xml:space="preserve">notypes) </w:t>
      </w:r>
      <w:r w:rsidR="007A71F1">
        <w:rPr>
          <w:rFonts w:cs="Arial"/>
          <w:iCs/>
          <w:lang w:val="fr-FR"/>
        </w:rPr>
        <w:t xml:space="preserve">soumis à </w:t>
      </w:r>
      <w:r w:rsidRPr="0007414F">
        <w:rPr>
          <w:rFonts w:cs="Arial"/>
          <w:iCs/>
          <w:lang w:val="fr-FR"/>
        </w:rPr>
        <w:t>permission</w:t>
      </w:r>
      <w:r w:rsidR="00444474">
        <w:rPr>
          <w:rFonts w:cs="Arial"/>
          <w:iCs/>
          <w:lang w:val="fr-FR"/>
        </w:rPr>
        <w:t>,</w:t>
      </w:r>
      <w:r w:rsidRPr="0007414F">
        <w:rPr>
          <w:rFonts w:cs="Arial"/>
          <w:iCs/>
          <w:lang w:val="fr-FR"/>
        </w:rPr>
        <w:t xml:space="preserve"> </w:t>
      </w:r>
      <w:r w:rsidR="007A71F1">
        <w:rPr>
          <w:rFonts w:cs="Arial"/>
          <w:iCs/>
          <w:lang w:val="fr-FR"/>
        </w:rPr>
        <w:t xml:space="preserve">avant partage entre </w:t>
      </w:r>
      <w:r w:rsidR="007A71F1" w:rsidRPr="007A71F1">
        <w:rPr>
          <w:rFonts w:cs="Arial"/>
          <w:color w:val="000000"/>
          <w:lang w:val="fr-FR"/>
        </w:rPr>
        <w:t>les services de protection des obtentions végétales</w:t>
      </w:r>
      <w:r w:rsidRPr="0007414F">
        <w:rPr>
          <w:rFonts w:cs="Arial"/>
          <w:iCs/>
          <w:lang w:val="fr-FR"/>
        </w:rPr>
        <w:t>.</w:t>
      </w:r>
    </w:p>
    <w:p w14:paraId="1EAD4E80" w14:textId="091C9AE2" w:rsidR="00794EF8" w:rsidRPr="0007414F" w:rsidRDefault="00794EF8" w:rsidP="00794EF8">
      <w:pPr>
        <w:rPr>
          <w:rFonts w:cs="Arial"/>
          <w:iCs/>
          <w:lang w:val="fr-FR"/>
        </w:rPr>
      </w:pPr>
    </w:p>
    <w:p w14:paraId="79A94AEE" w14:textId="714A52B6" w:rsidR="00794EF8" w:rsidRPr="0007414F" w:rsidRDefault="00794EF8" w:rsidP="00794EF8">
      <w:pPr>
        <w:rPr>
          <w:rFonts w:cs="Arial"/>
          <w:iCs/>
          <w:lang w:val="fr-FR"/>
        </w:rPr>
      </w:pPr>
      <w:r w:rsidRPr="0007414F">
        <w:rPr>
          <w:rFonts w:cs="Arial"/>
          <w:iCs/>
          <w:lang w:val="fr-FR"/>
        </w:rPr>
        <w:fldChar w:fldCharType="begin"/>
      </w:r>
      <w:r w:rsidRPr="0007414F">
        <w:rPr>
          <w:rFonts w:cs="Arial"/>
          <w:iCs/>
          <w:lang w:val="fr-FR"/>
        </w:rPr>
        <w:instrText xml:space="preserve"> AUTONUM  </w:instrText>
      </w:r>
      <w:r w:rsidRPr="0007414F">
        <w:rPr>
          <w:rFonts w:cs="Arial"/>
          <w:iCs/>
          <w:lang w:val="fr-FR"/>
        </w:rPr>
        <w:fldChar w:fldCharType="end"/>
      </w:r>
      <w:r w:rsidRPr="0007414F">
        <w:rPr>
          <w:rFonts w:cs="Arial"/>
          <w:iCs/>
          <w:lang w:val="fr-FR"/>
        </w:rPr>
        <w:tab/>
      </w:r>
      <w:r w:rsidR="002420F2">
        <w:rPr>
          <w:rFonts w:cs="Arial"/>
          <w:iCs/>
          <w:lang w:val="fr-FR"/>
        </w:rPr>
        <w:t>Le</w:t>
      </w:r>
      <w:r w:rsidRPr="0007414F">
        <w:rPr>
          <w:rFonts w:cs="Arial"/>
          <w:iCs/>
          <w:lang w:val="fr-FR"/>
        </w:rPr>
        <w:t xml:space="preserve"> TWM </w:t>
      </w:r>
      <w:r w:rsidR="007A71F1">
        <w:rPr>
          <w:rFonts w:cs="Arial"/>
          <w:iCs/>
          <w:lang w:val="fr-FR"/>
        </w:rPr>
        <w:t>est convenu d</w:t>
      </w:r>
      <w:r w:rsidR="00D639EE">
        <w:rPr>
          <w:rFonts w:cs="Arial"/>
          <w:iCs/>
          <w:lang w:val="fr-FR"/>
        </w:rPr>
        <w:t>’</w:t>
      </w:r>
      <w:r w:rsidRPr="0007414F">
        <w:rPr>
          <w:rFonts w:cs="Arial"/>
          <w:iCs/>
          <w:lang w:val="fr-FR"/>
        </w:rPr>
        <w:t>invite</w:t>
      </w:r>
      <w:r w:rsidR="007A71F1">
        <w:rPr>
          <w:rFonts w:cs="Arial"/>
          <w:iCs/>
          <w:lang w:val="fr-FR"/>
        </w:rPr>
        <w:t>r</w:t>
      </w:r>
      <w:r w:rsidRPr="0007414F">
        <w:rPr>
          <w:rFonts w:cs="Arial"/>
          <w:iCs/>
          <w:lang w:val="fr-FR"/>
        </w:rPr>
        <w:t xml:space="preserve"> </w:t>
      </w:r>
      <w:r w:rsidR="007A71F1">
        <w:rPr>
          <w:rFonts w:cs="Arial"/>
          <w:iCs/>
          <w:lang w:val="fr-FR"/>
        </w:rPr>
        <w:t xml:space="preserve">les </w:t>
      </w:r>
      <w:r w:rsidR="00EB5ED6">
        <w:rPr>
          <w:rFonts w:cs="Arial"/>
          <w:iCs/>
          <w:lang w:val="fr-FR"/>
        </w:rPr>
        <w:t>membre</w:t>
      </w:r>
      <w:r w:rsidRPr="0007414F">
        <w:rPr>
          <w:rFonts w:cs="Arial"/>
          <w:iCs/>
          <w:lang w:val="fr-FR"/>
        </w:rPr>
        <w:t xml:space="preserve">s </w:t>
      </w:r>
      <w:r w:rsidR="008509CE">
        <w:rPr>
          <w:rFonts w:cs="Arial"/>
          <w:iCs/>
          <w:lang w:val="fr-FR"/>
        </w:rPr>
        <w:t>et</w:t>
      </w:r>
      <w:r w:rsidRPr="0007414F">
        <w:rPr>
          <w:rFonts w:cs="Arial"/>
          <w:iCs/>
          <w:lang w:val="fr-FR"/>
        </w:rPr>
        <w:t xml:space="preserve"> </w:t>
      </w:r>
      <w:r w:rsidR="007A71F1">
        <w:rPr>
          <w:rFonts w:cs="Arial"/>
          <w:iCs/>
          <w:lang w:val="fr-FR"/>
        </w:rPr>
        <w:t xml:space="preserve">les </w:t>
      </w:r>
      <w:r w:rsidRPr="0007414F">
        <w:rPr>
          <w:rFonts w:cs="Arial"/>
          <w:iCs/>
          <w:lang w:val="fr-FR"/>
        </w:rPr>
        <w:t>observ</w:t>
      </w:r>
      <w:r w:rsidR="007A71F1">
        <w:rPr>
          <w:rFonts w:cs="Arial"/>
          <w:iCs/>
          <w:lang w:val="fr-FR"/>
        </w:rPr>
        <w:t xml:space="preserve">ateurs à </w:t>
      </w:r>
      <w:r w:rsidR="00935290" w:rsidRPr="00935290">
        <w:rPr>
          <w:rFonts w:cs="Arial"/>
          <w:iCs/>
          <w:lang w:val="fr-FR"/>
        </w:rPr>
        <w:t xml:space="preserve">présenter les mesures en vigueur en matière de confidentialité des informations moléculaires </w:t>
      </w:r>
      <w:r w:rsidR="00935290">
        <w:rPr>
          <w:rFonts w:cs="Arial"/>
          <w:iCs/>
          <w:lang w:val="fr-FR"/>
        </w:rPr>
        <w:t>lors de la deux</w:t>
      </w:r>
      <w:r w:rsidR="00D639EE">
        <w:rPr>
          <w:rFonts w:cs="Arial"/>
          <w:iCs/>
          <w:lang w:val="fr-FR"/>
        </w:rPr>
        <w:t>ième session</w:t>
      </w:r>
      <w:r w:rsidR="00D639EE" w:rsidRPr="0007414F">
        <w:rPr>
          <w:rFonts w:cs="Arial"/>
          <w:iCs/>
          <w:lang w:val="fr-FR"/>
        </w:rPr>
        <w:t xml:space="preserve"> </w:t>
      </w:r>
      <w:r w:rsidR="00D639EE">
        <w:rPr>
          <w:rFonts w:cs="Arial"/>
          <w:iCs/>
          <w:lang w:val="fr-FR"/>
        </w:rPr>
        <w:t>du </w:t>
      </w:r>
      <w:r w:rsidR="00D639EE" w:rsidRPr="0007414F">
        <w:rPr>
          <w:rFonts w:cs="Arial"/>
          <w:iCs/>
          <w:lang w:val="fr-FR"/>
        </w:rPr>
        <w:t>TWM</w:t>
      </w:r>
      <w:r w:rsidRPr="0007414F">
        <w:rPr>
          <w:rFonts w:cs="Arial"/>
          <w:iCs/>
          <w:lang w:val="fr-FR"/>
        </w:rPr>
        <w:t>.</w:t>
      </w:r>
    </w:p>
    <w:p w14:paraId="6EAC82C5" w14:textId="77777777" w:rsidR="00A04147" w:rsidRPr="0007414F" w:rsidRDefault="00A04147" w:rsidP="00D2670B">
      <w:pPr>
        <w:rPr>
          <w:rFonts w:cs="Arial"/>
          <w:iCs/>
          <w:lang w:val="fr-FR"/>
        </w:rPr>
      </w:pPr>
    </w:p>
    <w:p w14:paraId="6B21B893" w14:textId="7B6C8DD6" w:rsidR="00794EF8" w:rsidRPr="0007414F" w:rsidRDefault="00D2670B" w:rsidP="00D2670B">
      <w:pPr>
        <w:tabs>
          <w:tab w:val="left" w:pos="5387"/>
          <w:tab w:val="left" w:pos="5954"/>
        </w:tabs>
        <w:ind w:left="4820"/>
        <w:rPr>
          <w:i/>
          <w:lang w:val="fr-FR"/>
        </w:rPr>
      </w:pPr>
      <w:r w:rsidRPr="0007414F">
        <w:rPr>
          <w:i/>
          <w:lang w:val="fr-FR"/>
        </w:rPr>
        <w:fldChar w:fldCharType="begin"/>
      </w:r>
      <w:r w:rsidRPr="0007414F">
        <w:rPr>
          <w:i/>
          <w:lang w:val="fr-FR"/>
        </w:rPr>
        <w:instrText xml:space="preserve"> AUTONUM  </w:instrText>
      </w:r>
      <w:r w:rsidRPr="0007414F">
        <w:rPr>
          <w:i/>
          <w:lang w:val="fr-FR"/>
        </w:rPr>
        <w:fldChar w:fldCharType="end"/>
      </w:r>
      <w:r w:rsidRPr="0007414F">
        <w:rPr>
          <w:i/>
          <w:lang w:val="fr-FR"/>
        </w:rPr>
        <w:tab/>
      </w:r>
      <w:r w:rsidR="002420F2">
        <w:rPr>
          <w:i/>
          <w:lang w:val="fr-FR"/>
        </w:rPr>
        <w:t>Le</w:t>
      </w:r>
      <w:r w:rsidR="00D639EE">
        <w:rPr>
          <w:i/>
          <w:lang w:val="fr-FR"/>
        </w:rPr>
        <w:t> TC</w:t>
      </w:r>
      <w:r w:rsidR="00935290">
        <w:rPr>
          <w:i/>
          <w:lang w:val="fr-FR"/>
        </w:rPr>
        <w:t xml:space="preserve"> est</w:t>
      </w:r>
      <w:r w:rsidR="00794EF8" w:rsidRPr="0007414F">
        <w:rPr>
          <w:i/>
          <w:lang w:val="fr-FR"/>
        </w:rPr>
        <w:t xml:space="preserve"> </w:t>
      </w:r>
      <w:r w:rsidRPr="0007414F">
        <w:rPr>
          <w:i/>
          <w:lang w:val="fr-FR"/>
        </w:rPr>
        <w:t>invit</w:t>
      </w:r>
      <w:r w:rsidR="00935290">
        <w:rPr>
          <w:i/>
          <w:lang w:val="fr-FR"/>
        </w:rPr>
        <w:t>é</w:t>
      </w:r>
      <w:r w:rsidRPr="0007414F">
        <w:rPr>
          <w:i/>
          <w:lang w:val="fr-FR"/>
        </w:rPr>
        <w:t xml:space="preserve"> </w:t>
      </w:r>
      <w:r w:rsidR="00935290">
        <w:rPr>
          <w:i/>
          <w:lang w:val="fr-FR"/>
        </w:rPr>
        <w:t>à</w:t>
      </w:r>
      <w:r w:rsidR="00D639EE">
        <w:rPr>
          <w:i/>
          <w:lang w:val="fr-FR"/>
        </w:rPr>
        <w:t> :</w:t>
      </w:r>
    </w:p>
    <w:p w14:paraId="07B2C6BB" w14:textId="77777777" w:rsidR="00794EF8" w:rsidRPr="0007414F" w:rsidRDefault="00794EF8" w:rsidP="00D2670B">
      <w:pPr>
        <w:tabs>
          <w:tab w:val="left" w:pos="5387"/>
          <w:tab w:val="left" w:pos="5954"/>
        </w:tabs>
        <w:ind w:left="4820"/>
        <w:rPr>
          <w:i/>
          <w:lang w:val="fr-FR"/>
        </w:rPr>
      </w:pPr>
    </w:p>
    <w:p w14:paraId="54F2422E" w14:textId="2AF8F24F" w:rsidR="00D639EE" w:rsidRDefault="007062FE" w:rsidP="00D2670B">
      <w:pPr>
        <w:tabs>
          <w:tab w:val="left" w:pos="5387"/>
          <w:tab w:val="left" w:pos="5954"/>
        </w:tabs>
        <w:ind w:left="4820"/>
        <w:rPr>
          <w:i/>
          <w:lang w:val="fr-FR"/>
        </w:rPr>
      </w:pPr>
      <w:r w:rsidRPr="0007414F">
        <w:rPr>
          <w:i/>
          <w:lang w:val="fr-FR"/>
        </w:rPr>
        <w:t>a)</w:t>
      </w:r>
      <w:r w:rsidRPr="0007414F">
        <w:rPr>
          <w:i/>
          <w:lang w:val="fr-FR"/>
        </w:rPr>
        <w:tab/>
      </w:r>
      <w:r w:rsidR="00935290">
        <w:rPr>
          <w:i/>
          <w:lang w:val="fr-FR"/>
        </w:rPr>
        <w:t xml:space="preserve">prendre </w:t>
      </w:r>
      <w:r w:rsidRPr="0007414F">
        <w:rPr>
          <w:i/>
          <w:lang w:val="fr-FR"/>
        </w:rPr>
        <w:t xml:space="preserve">note </w:t>
      </w:r>
      <w:r w:rsidR="00935290">
        <w:rPr>
          <w:i/>
          <w:lang w:val="fr-FR"/>
        </w:rPr>
        <w:t xml:space="preserve">des </w:t>
      </w:r>
      <w:r w:rsidRPr="0007414F">
        <w:rPr>
          <w:i/>
          <w:lang w:val="fr-FR"/>
        </w:rPr>
        <w:t xml:space="preserve">discussions </w:t>
      </w:r>
      <w:r w:rsidR="00935290">
        <w:rPr>
          <w:i/>
          <w:lang w:val="fr-FR"/>
        </w:rPr>
        <w:t>organisées par</w:t>
      </w:r>
      <w:r w:rsidR="00D639EE">
        <w:rPr>
          <w:i/>
          <w:lang w:val="fr-FR"/>
        </w:rPr>
        <w:t xml:space="preserve"> les </w:t>
      </w:r>
      <w:r w:rsidR="00D639EE" w:rsidRPr="0007414F">
        <w:rPr>
          <w:i/>
          <w:lang w:val="fr-FR"/>
        </w:rPr>
        <w:t>TWP</w:t>
      </w:r>
      <w:r w:rsidRPr="0007414F">
        <w:rPr>
          <w:i/>
          <w:lang w:val="fr-FR"/>
        </w:rPr>
        <w:t xml:space="preserve">, </w:t>
      </w:r>
      <w:r w:rsidR="00935290">
        <w:rPr>
          <w:i/>
          <w:lang w:val="fr-FR"/>
        </w:rPr>
        <w:t>lors de leur</w:t>
      </w:r>
      <w:r w:rsidR="00D0172C">
        <w:rPr>
          <w:i/>
          <w:lang w:val="fr-FR"/>
        </w:rPr>
        <w:t>s</w:t>
      </w:r>
      <w:r w:rsidRPr="0007414F">
        <w:rPr>
          <w:i/>
          <w:lang w:val="fr-FR"/>
        </w:rPr>
        <w:t xml:space="preserve"> sessions </w:t>
      </w:r>
      <w:r w:rsidR="00D639EE">
        <w:rPr>
          <w:i/>
          <w:lang w:val="fr-FR"/>
        </w:rPr>
        <w:t>de </w:t>
      </w:r>
      <w:r w:rsidR="00D639EE" w:rsidRPr="0007414F">
        <w:rPr>
          <w:i/>
          <w:lang w:val="fr-FR"/>
        </w:rPr>
        <w:t>2022</w:t>
      </w:r>
      <w:r w:rsidRPr="0007414F">
        <w:rPr>
          <w:i/>
          <w:lang w:val="fr-FR"/>
        </w:rPr>
        <w:t xml:space="preserve">, </w:t>
      </w:r>
      <w:r w:rsidR="00935290">
        <w:rPr>
          <w:i/>
          <w:lang w:val="fr-FR"/>
        </w:rPr>
        <w:t xml:space="preserve">relatives à la </w:t>
      </w:r>
      <w:r w:rsidRPr="0007414F">
        <w:rPr>
          <w:i/>
          <w:lang w:val="fr-FR"/>
        </w:rPr>
        <w:t>“</w:t>
      </w:r>
      <w:r w:rsidR="001D3B49">
        <w:rPr>
          <w:i/>
          <w:lang w:val="fr-FR"/>
        </w:rPr>
        <w:t>Confidentialité</w:t>
      </w:r>
      <w:r w:rsidRPr="0007414F">
        <w:rPr>
          <w:i/>
          <w:lang w:val="fr-FR"/>
        </w:rPr>
        <w:t xml:space="preserve"> &amp; </w:t>
      </w:r>
      <w:r w:rsidR="00B76460">
        <w:rPr>
          <w:i/>
          <w:lang w:val="fr-FR"/>
        </w:rPr>
        <w:t>titularité</w:t>
      </w:r>
      <w:r w:rsidRPr="0007414F">
        <w:rPr>
          <w:i/>
          <w:lang w:val="fr-FR"/>
        </w:rPr>
        <w:t xml:space="preserve"> </w:t>
      </w:r>
      <w:r w:rsidR="00935290">
        <w:rPr>
          <w:i/>
          <w:lang w:val="fr-FR"/>
        </w:rPr>
        <w:t>des</w:t>
      </w:r>
      <w:r w:rsidRPr="0007414F">
        <w:rPr>
          <w:i/>
          <w:lang w:val="fr-FR"/>
        </w:rPr>
        <w:t xml:space="preserve"> </w:t>
      </w:r>
      <w:r w:rsidR="00B76460">
        <w:rPr>
          <w:i/>
          <w:lang w:val="fr-FR"/>
        </w:rPr>
        <w:t>informations moléculaires</w:t>
      </w:r>
      <w:r w:rsidRPr="0007414F">
        <w:rPr>
          <w:i/>
          <w:lang w:val="fr-FR"/>
        </w:rPr>
        <w:t>”</w:t>
      </w:r>
      <w:r w:rsidR="00D639EE">
        <w:rPr>
          <w:i/>
          <w:lang w:val="fr-FR"/>
        </w:rPr>
        <w:t>;</w:t>
      </w:r>
    </w:p>
    <w:p w14:paraId="48B218BE" w14:textId="3DB7F301" w:rsidR="007062FE" w:rsidRPr="0007414F" w:rsidRDefault="007062FE" w:rsidP="00D2670B">
      <w:pPr>
        <w:tabs>
          <w:tab w:val="left" w:pos="5387"/>
          <w:tab w:val="left" w:pos="5954"/>
        </w:tabs>
        <w:ind w:left="4820"/>
        <w:rPr>
          <w:i/>
          <w:lang w:val="fr-FR"/>
        </w:rPr>
      </w:pPr>
    </w:p>
    <w:p w14:paraId="736C1859" w14:textId="394A5829" w:rsidR="007062FE" w:rsidRPr="0007414F" w:rsidRDefault="00302B08" w:rsidP="00D2670B">
      <w:pPr>
        <w:tabs>
          <w:tab w:val="left" w:pos="5387"/>
          <w:tab w:val="left" w:pos="5954"/>
        </w:tabs>
        <w:ind w:left="4820"/>
        <w:rPr>
          <w:rFonts w:cs="Arial"/>
          <w:i/>
          <w:iCs/>
          <w:lang w:val="fr-FR"/>
        </w:rPr>
      </w:pPr>
      <w:r w:rsidRPr="0007414F">
        <w:rPr>
          <w:i/>
          <w:lang w:val="fr-FR"/>
        </w:rPr>
        <w:t>b)</w:t>
      </w:r>
      <w:r w:rsidRPr="0007414F">
        <w:rPr>
          <w:i/>
          <w:lang w:val="fr-FR"/>
        </w:rPr>
        <w:tab/>
      </w:r>
      <w:r w:rsidR="00935290">
        <w:rPr>
          <w:i/>
          <w:lang w:val="fr-FR"/>
        </w:rPr>
        <w:t xml:space="preserve">prendre </w:t>
      </w:r>
      <w:r w:rsidRPr="0007414F">
        <w:rPr>
          <w:i/>
          <w:lang w:val="fr-FR"/>
        </w:rPr>
        <w:t>n</w:t>
      </w:r>
      <w:r w:rsidR="007062FE" w:rsidRPr="0007414F">
        <w:rPr>
          <w:i/>
          <w:lang w:val="fr-FR"/>
        </w:rPr>
        <w:t xml:space="preserve">ote </w:t>
      </w:r>
      <w:r w:rsidR="00935290">
        <w:rPr>
          <w:i/>
          <w:lang w:val="fr-FR"/>
        </w:rPr>
        <w:t xml:space="preserve">des préoccupations exprimées par les </w:t>
      </w:r>
      <w:r w:rsidR="00B76460">
        <w:rPr>
          <w:i/>
          <w:lang w:val="fr-FR"/>
        </w:rPr>
        <w:t>organisations d</w:t>
      </w:r>
      <w:r w:rsidR="00D639EE">
        <w:rPr>
          <w:i/>
          <w:lang w:val="fr-FR"/>
        </w:rPr>
        <w:t>’</w:t>
      </w:r>
      <w:r w:rsidR="00B76460">
        <w:rPr>
          <w:i/>
          <w:lang w:val="fr-FR"/>
        </w:rPr>
        <w:t>obtenteurs</w:t>
      </w:r>
      <w:r w:rsidR="00D639EE">
        <w:rPr>
          <w:i/>
          <w:lang w:val="fr-FR"/>
        </w:rPr>
        <w:t xml:space="preserve"> </w:t>
      </w:r>
      <w:r w:rsidR="00D639EE" w:rsidRPr="0007414F">
        <w:rPr>
          <w:i/>
          <w:lang w:val="fr-FR"/>
        </w:rPr>
        <w:t>a</w:t>
      </w:r>
      <w:r w:rsidR="00D639EE">
        <w:rPr>
          <w:i/>
          <w:lang w:val="fr-FR"/>
        </w:rPr>
        <w:t>u </w:t>
      </w:r>
      <w:r w:rsidR="00D639EE" w:rsidRPr="0007414F">
        <w:rPr>
          <w:i/>
          <w:lang w:val="fr-FR"/>
        </w:rPr>
        <w:t>TWM</w:t>
      </w:r>
      <w:r w:rsidR="00935290">
        <w:rPr>
          <w:i/>
          <w:lang w:val="fr-FR"/>
        </w:rPr>
        <w:t>, selon lesquelles les</w:t>
      </w:r>
      <w:r w:rsidR="007062FE" w:rsidRPr="0007414F">
        <w:rPr>
          <w:rFonts w:cs="Arial"/>
          <w:i/>
          <w:iCs/>
          <w:lang w:val="fr-FR"/>
        </w:rPr>
        <w:t xml:space="preserve"> </w:t>
      </w:r>
      <w:r w:rsidR="007A71F1">
        <w:rPr>
          <w:rFonts w:cs="Arial"/>
          <w:i/>
          <w:iCs/>
          <w:lang w:val="fr-FR"/>
        </w:rPr>
        <w:t>informations moléculaires</w:t>
      </w:r>
      <w:r w:rsidR="007062FE" w:rsidRPr="0007414F">
        <w:rPr>
          <w:rFonts w:cs="Arial"/>
          <w:i/>
          <w:iCs/>
          <w:lang w:val="fr-FR"/>
        </w:rPr>
        <w:t xml:space="preserve"> </w:t>
      </w:r>
      <w:r w:rsidR="00935290">
        <w:rPr>
          <w:rFonts w:cs="Arial"/>
          <w:i/>
          <w:iCs/>
          <w:lang w:val="fr-FR"/>
        </w:rPr>
        <w:t>fournies pour l</w:t>
      </w:r>
      <w:r w:rsidR="00D639EE">
        <w:rPr>
          <w:rFonts w:cs="Arial"/>
          <w:i/>
          <w:iCs/>
          <w:lang w:val="fr-FR"/>
        </w:rPr>
        <w:t>’</w:t>
      </w:r>
      <w:r w:rsidR="00EB5ED6">
        <w:rPr>
          <w:rFonts w:cs="Arial"/>
          <w:i/>
          <w:iCs/>
          <w:lang w:val="fr-FR"/>
        </w:rPr>
        <w:t>examen</w:t>
      </w:r>
      <w:r w:rsidR="007062FE" w:rsidRPr="0007414F">
        <w:rPr>
          <w:rFonts w:cs="Arial"/>
          <w:i/>
          <w:iCs/>
          <w:lang w:val="fr-FR"/>
        </w:rPr>
        <w:t xml:space="preserve"> </w:t>
      </w:r>
      <w:r w:rsidR="00935290">
        <w:rPr>
          <w:rFonts w:cs="Arial"/>
          <w:i/>
          <w:iCs/>
          <w:lang w:val="fr-FR"/>
        </w:rPr>
        <w:t>d</w:t>
      </w:r>
      <w:r w:rsidR="00D639EE">
        <w:rPr>
          <w:rFonts w:cs="Arial"/>
          <w:i/>
          <w:iCs/>
          <w:lang w:val="fr-FR"/>
        </w:rPr>
        <w:t>’</w:t>
      </w:r>
      <w:r w:rsidR="00935290">
        <w:rPr>
          <w:rFonts w:cs="Arial"/>
          <w:i/>
          <w:iCs/>
          <w:lang w:val="fr-FR"/>
        </w:rPr>
        <w:t>une variété ne devraient pas être fournies à d</w:t>
      </w:r>
      <w:r w:rsidR="00D639EE">
        <w:rPr>
          <w:rFonts w:cs="Arial"/>
          <w:i/>
          <w:iCs/>
          <w:lang w:val="fr-FR"/>
        </w:rPr>
        <w:t>’</w:t>
      </w:r>
      <w:r w:rsidR="00935290">
        <w:rPr>
          <w:rFonts w:cs="Arial"/>
          <w:i/>
          <w:iCs/>
          <w:lang w:val="fr-FR"/>
        </w:rPr>
        <w:t>autres personnes en dehors de l</w:t>
      </w:r>
      <w:r w:rsidR="00D639EE">
        <w:rPr>
          <w:rFonts w:cs="Arial"/>
          <w:i/>
          <w:iCs/>
          <w:lang w:val="fr-FR"/>
        </w:rPr>
        <w:t>’</w:t>
      </w:r>
      <w:r w:rsidR="00935290">
        <w:rPr>
          <w:rFonts w:cs="Arial"/>
          <w:i/>
          <w:iCs/>
          <w:lang w:val="fr-FR"/>
        </w:rPr>
        <w:t>autorité qui a reçu la demande, sans</w:t>
      </w:r>
      <w:r w:rsidR="007062FE" w:rsidRPr="0007414F">
        <w:rPr>
          <w:rFonts w:cs="Arial"/>
          <w:i/>
          <w:iCs/>
          <w:lang w:val="fr-FR"/>
        </w:rPr>
        <w:t xml:space="preserve"> </w:t>
      </w:r>
      <w:r w:rsidR="008509CE">
        <w:rPr>
          <w:rFonts w:cs="Arial"/>
          <w:i/>
          <w:iCs/>
          <w:lang w:val="fr-FR"/>
        </w:rPr>
        <w:t>l</w:t>
      </w:r>
      <w:r w:rsidR="00935290">
        <w:rPr>
          <w:rFonts w:cs="Arial"/>
          <w:i/>
          <w:iCs/>
          <w:lang w:val="fr-FR"/>
        </w:rPr>
        <w:t>a</w:t>
      </w:r>
      <w:r w:rsidR="007062FE" w:rsidRPr="0007414F">
        <w:rPr>
          <w:rFonts w:cs="Arial"/>
          <w:i/>
          <w:iCs/>
          <w:lang w:val="fr-FR"/>
        </w:rPr>
        <w:t xml:space="preserve"> permission </w:t>
      </w:r>
      <w:r w:rsidR="00935290">
        <w:rPr>
          <w:rFonts w:cs="Arial"/>
          <w:i/>
          <w:iCs/>
          <w:lang w:val="fr-FR"/>
        </w:rPr>
        <w:t>de</w:t>
      </w:r>
      <w:r w:rsidR="007062FE" w:rsidRPr="0007414F">
        <w:rPr>
          <w:rFonts w:cs="Arial"/>
          <w:i/>
          <w:iCs/>
          <w:lang w:val="fr-FR"/>
        </w:rPr>
        <w:t xml:space="preserve"> </w:t>
      </w:r>
      <w:r w:rsidR="008509CE">
        <w:rPr>
          <w:rFonts w:cs="Arial"/>
          <w:i/>
          <w:iCs/>
          <w:lang w:val="fr-FR"/>
        </w:rPr>
        <w:t>l</w:t>
      </w:r>
      <w:r w:rsidR="00D639EE">
        <w:rPr>
          <w:rFonts w:cs="Arial"/>
          <w:i/>
          <w:iCs/>
          <w:lang w:val="fr-FR"/>
        </w:rPr>
        <w:t>’</w:t>
      </w:r>
      <w:r w:rsidR="00EB5ED6">
        <w:rPr>
          <w:rFonts w:cs="Arial"/>
          <w:i/>
          <w:iCs/>
          <w:lang w:val="fr-FR"/>
        </w:rPr>
        <w:t>obtenteur</w:t>
      </w:r>
      <w:r w:rsidR="00D639EE">
        <w:rPr>
          <w:rFonts w:cs="Arial"/>
          <w:i/>
          <w:iCs/>
          <w:lang w:val="fr-FR"/>
        </w:rPr>
        <w:t>;</w:t>
      </w:r>
    </w:p>
    <w:p w14:paraId="14EEFAAE" w14:textId="77777777" w:rsidR="007062FE" w:rsidRPr="0007414F" w:rsidRDefault="007062FE" w:rsidP="00D2670B">
      <w:pPr>
        <w:tabs>
          <w:tab w:val="left" w:pos="5387"/>
          <w:tab w:val="left" w:pos="5954"/>
        </w:tabs>
        <w:ind w:left="4820"/>
        <w:rPr>
          <w:i/>
          <w:lang w:val="fr-FR"/>
        </w:rPr>
      </w:pPr>
    </w:p>
    <w:p w14:paraId="2F13B1DD" w14:textId="73E52C28" w:rsidR="00302B08" w:rsidRPr="0007414F" w:rsidRDefault="00302B08" w:rsidP="00302B08">
      <w:pPr>
        <w:tabs>
          <w:tab w:val="left" w:pos="5387"/>
          <w:tab w:val="left" w:pos="5954"/>
        </w:tabs>
        <w:ind w:left="4820"/>
        <w:rPr>
          <w:i/>
          <w:lang w:val="fr-FR"/>
        </w:rPr>
      </w:pPr>
      <w:r w:rsidRPr="0007414F">
        <w:rPr>
          <w:i/>
          <w:lang w:val="fr-FR"/>
        </w:rPr>
        <w:t>c)</w:t>
      </w:r>
      <w:r w:rsidRPr="0007414F">
        <w:rPr>
          <w:i/>
          <w:lang w:val="fr-FR"/>
        </w:rPr>
        <w:tab/>
      </w:r>
      <w:r w:rsidR="00935290">
        <w:rPr>
          <w:i/>
          <w:lang w:val="fr-FR"/>
        </w:rPr>
        <w:t>examiner s</w:t>
      </w:r>
      <w:r w:rsidR="00D639EE">
        <w:rPr>
          <w:i/>
          <w:lang w:val="fr-FR"/>
        </w:rPr>
        <w:t>’</w:t>
      </w:r>
      <w:r w:rsidR="00935290">
        <w:rPr>
          <w:i/>
          <w:lang w:val="fr-FR"/>
        </w:rPr>
        <w:t>il convient d</w:t>
      </w:r>
      <w:r w:rsidR="00D639EE">
        <w:rPr>
          <w:i/>
          <w:lang w:val="fr-FR"/>
        </w:rPr>
        <w:t>’</w:t>
      </w:r>
      <w:r w:rsidR="007062FE" w:rsidRPr="0007414F">
        <w:rPr>
          <w:rFonts w:cs="Arial"/>
          <w:i/>
          <w:iCs/>
          <w:lang w:val="fr-FR"/>
        </w:rPr>
        <w:t>invit</w:t>
      </w:r>
      <w:r w:rsidR="00935290">
        <w:rPr>
          <w:rFonts w:cs="Arial"/>
          <w:i/>
          <w:iCs/>
          <w:lang w:val="fr-FR"/>
        </w:rPr>
        <w:t>er</w:t>
      </w:r>
      <w:r w:rsidR="007062FE" w:rsidRPr="0007414F">
        <w:rPr>
          <w:rFonts w:cs="Arial"/>
          <w:i/>
          <w:iCs/>
          <w:lang w:val="fr-FR"/>
        </w:rPr>
        <w:t xml:space="preserve"> </w:t>
      </w:r>
      <w:r w:rsidR="00935290">
        <w:rPr>
          <w:rFonts w:cs="Arial"/>
          <w:i/>
          <w:iCs/>
          <w:lang w:val="fr-FR"/>
        </w:rPr>
        <w:t xml:space="preserve">les </w:t>
      </w:r>
      <w:r w:rsidR="00EB5ED6">
        <w:rPr>
          <w:rFonts w:cs="Arial"/>
          <w:i/>
          <w:iCs/>
          <w:lang w:val="fr-FR"/>
        </w:rPr>
        <w:t>membre</w:t>
      </w:r>
      <w:r w:rsidR="007062FE" w:rsidRPr="0007414F">
        <w:rPr>
          <w:rFonts w:cs="Arial"/>
          <w:i/>
          <w:iCs/>
          <w:lang w:val="fr-FR"/>
        </w:rPr>
        <w:t xml:space="preserve">s </w:t>
      </w:r>
      <w:r w:rsidR="00935290">
        <w:rPr>
          <w:rFonts w:cs="Arial"/>
          <w:i/>
          <w:iCs/>
          <w:lang w:val="fr-FR"/>
        </w:rPr>
        <w:t xml:space="preserve">à fournir des </w:t>
      </w:r>
      <w:r w:rsidR="007062FE" w:rsidRPr="0007414F">
        <w:rPr>
          <w:rFonts w:cs="Arial"/>
          <w:i/>
          <w:iCs/>
          <w:lang w:val="fr-FR"/>
        </w:rPr>
        <w:t>information</w:t>
      </w:r>
      <w:r w:rsidR="00935290">
        <w:rPr>
          <w:rFonts w:cs="Arial"/>
          <w:i/>
          <w:iCs/>
          <w:lang w:val="fr-FR"/>
        </w:rPr>
        <w:t>s</w:t>
      </w:r>
      <w:r w:rsidR="007062FE" w:rsidRPr="0007414F">
        <w:rPr>
          <w:rFonts w:cs="Arial"/>
          <w:i/>
          <w:iCs/>
          <w:lang w:val="fr-FR"/>
        </w:rPr>
        <w:t xml:space="preserve"> </w:t>
      </w:r>
      <w:r w:rsidR="00935290">
        <w:rPr>
          <w:rFonts w:cs="Arial"/>
          <w:i/>
          <w:iCs/>
          <w:lang w:val="fr-FR"/>
        </w:rPr>
        <w:t xml:space="preserve">sur </w:t>
      </w:r>
      <w:r w:rsidR="008509CE">
        <w:rPr>
          <w:rFonts w:cs="Arial"/>
          <w:i/>
          <w:iCs/>
          <w:lang w:val="fr-FR"/>
        </w:rPr>
        <w:t>le</w:t>
      </w:r>
      <w:r w:rsidR="007062FE" w:rsidRPr="0007414F">
        <w:rPr>
          <w:rFonts w:cs="Arial"/>
          <w:i/>
          <w:iCs/>
          <w:lang w:val="fr-FR"/>
        </w:rPr>
        <w:t xml:space="preserve"> type </w:t>
      </w:r>
      <w:r w:rsidR="008509CE">
        <w:rPr>
          <w:rFonts w:cs="Arial"/>
          <w:i/>
          <w:iCs/>
          <w:lang w:val="fr-FR"/>
        </w:rPr>
        <w:t>et</w:t>
      </w:r>
      <w:r w:rsidR="007062FE" w:rsidRPr="0007414F">
        <w:rPr>
          <w:rFonts w:cs="Arial"/>
          <w:i/>
          <w:iCs/>
          <w:lang w:val="fr-FR"/>
        </w:rPr>
        <w:t xml:space="preserve"> </w:t>
      </w:r>
      <w:r w:rsidR="00935290">
        <w:rPr>
          <w:rFonts w:cs="Arial"/>
          <w:i/>
          <w:iCs/>
          <w:lang w:val="fr-FR"/>
        </w:rPr>
        <w:t>l</w:t>
      </w:r>
      <w:r w:rsidR="00D639EE">
        <w:rPr>
          <w:rFonts w:cs="Arial"/>
          <w:i/>
          <w:iCs/>
          <w:lang w:val="fr-FR"/>
        </w:rPr>
        <w:t>’</w:t>
      </w:r>
      <w:r w:rsidR="00935290">
        <w:rPr>
          <w:rFonts w:cs="Arial"/>
          <w:i/>
          <w:iCs/>
          <w:lang w:val="fr-FR"/>
        </w:rPr>
        <w:t>objectif de l</w:t>
      </w:r>
      <w:r w:rsidR="00D639EE">
        <w:rPr>
          <w:rFonts w:cs="Arial"/>
          <w:i/>
          <w:iCs/>
          <w:lang w:val="fr-FR"/>
        </w:rPr>
        <w:t>’</w:t>
      </w:r>
      <w:r w:rsidR="00935290">
        <w:rPr>
          <w:rFonts w:cs="Arial"/>
          <w:i/>
          <w:iCs/>
          <w:lang w:val="fr-FR"/>
        </w:rPr>
        <w:t xml:space="preserve">utilisation ou du partage des </w:t>
      </w:r>
      <w:r w:rsidR="007A71F1">
        <w:rPr>
          <w:rFonts w:cs="Arial"/>
          <w:i/>
          <w:iCs/>
          <w:lang w:val="fr-FR"/>
        </w:rPr>
        <w:t xml:space="preserve">informations </w:t>
      </w:r>
      <w:proofErr w:type="gramStart"/>
      <w:r w:rsidR="007A71F1">
        <w:rPr>
          <w:rFonts w:cs="Arial"/>
          <w:i/>
          <w:iCs/>
          <w:lang w:val="fr-FR"/>
        </w:rPr>
        <w:t>moléculaires</w:t>
      </w:r>
      <w:r w:rsidR="00D639EE">
        <w:rPr>
          <w:rFonts w:cs="Arial"/>
          <w:i/>
          <w:iCs/>
          <w:lang w:val="fr-FR"/>
        </w:rPr>
        <w:t xml:space="preserve">;  </w:t>
      </w:r>
      <w:r w:rsidR="008509CE">
        <w:rPr>
          <w:i/>
          <w:lang w:val="fr-FR"/>
        </w:rPr>
        <w:t>et</w:t>
      </w:r>
      <w:proofErr w:type="gramEnd"/>
    </w:p>
    <w:p w14:paraId="219B3E28" w14:textId="77777777" w:rsidR="007062FE" w:rsidRPr="0007414F" w:rsidRDefault="007062FE" w:rsidP="00D2670B">
      <w:pPr>
        <w:tabs>
          <w:tab w:val="left" w:pos="5387"/>
          <w:tab w:val="left" w:pos="5954"/>
        </w:tabs>
        <w:ind w:left="4820"/>
        <w:rPr>
          <w:rFonts w:cs="Arial"/>
          <w:i/>
          <w:iCs/>
          <w:lang w:val="fr-FR"/>
        </w:rPr>
      </w:pPr>
    </w:p>
    <w:p w14:paraId="5BAC5A53" w14:textId="5FCD060F" w:rsidR="007062FE" w:rsidRPr="0007414F" w:rsidRDefault="00302B08" w:rsidP="00D2670B">
      <w:pPr>
        <w:tabs>
          <w:tab w:val="left" w:pos="5387"/>
          <w:tab w:val="left" w:pos="5954"/>
        </w:tabs>
        <w:ind w:left="4820"/>
        <w:rPr>
          <w:rFonts w:cs="Arial"/>
          <w:i/>
          <w:iCs/>
          <w:lang w:val="fr-FR"/>
        </w:rPr>
      </w:pPr>
      <w:r w:rsidRPr="0007414F">
        <w:rPr>
          <w:rFonts w:cs="Arial"/>
          <w:i/>
          <w:iCs/>
          <w:lang w:val="fr-FR"/>
        </w:rPr>
        <w:t>d)</w:t>
      </w:r>
      <w:r w:rsidRPr="0007414F">
        <w:rPr>
          <w:rFonts w:cs="Arial"/>
          <w:i/>
          <w:iCs/>
          <w:lang w:val="fr-FR"/>
        </w:rPr>
        <w:tab/>
      </w:r>
      <w:r w:rsidR="00935290" w:rsidRPr="00935290">
        <w:rPr>
          <w:rFonts w:cs="Arial"/>
          <w:i/>
          <w:iCs/>
          <w:lang w:val="fr-FR"/>
        </w:rPr>
        <w:t>examiner s</w:t>
      </w:r>
      <w:r w:rsidR="00D639EE">
        <w:rPr>
          <w:rFonts w:cs="Arial"/>
          <w:i/>
          <w:iCs/>
          <w:lang w:val="fr-FR"/>
        </w:rPr>
        <w:t>’</w:t>
      </w:r>
      <w:r w:rsidR="00935290" w:rsidRPr="00935290">
        <w:rPr>
          <w:rFonts w:cs="Arial"/>
          <w:i/>
          <w:iCs/>
          <w:lang w:val="fr-FR"/>
        </w:rPr>
        <w:t>il convient d</w:t>
      </w:r>
      <w:r w:rsidR="00D639EE">
        <w:rPr>
          <w:rFonts w:cs="Arial"/>
          <w:i/>
          <w:iCs/>
          <w:lang w:val="fr-FR"/>
        </w:rPr>
        <w:t>’</w:t>
      </w:r>
      <w:r w:rsidR="00935290" w:rsidRPr="00935290">
        <w:rPr>
          <w:rFonts w:cs="Arial"/>
          <w:i/>
          <w:iCs/>
          <w:lang w:val="fr-FR"/>
        </w:rPr>
        <w:t>invite</w:t>
      </w:r>
      <w:r w:rsidR="00935290">
        <w:rPr>
          <w:rFonts w:cs="Arial"/>
          <w:i/>
          <w:iCs/>
          <w:lang w:val="fr-FR"/>
        </w:rPr>
        <w:t>r</w:t>
      </w:r>
      <w:r w:rsidR="00935290" w:rsidRPr="00935290">
        <w:rPr>
          <w:rFonts w:cs="Arial"/>
          <w:i/>
          <w:iCs/>
          <w:lang w:val="fr-FR"/>
        </w:rPr>
        <w:t xml:space="preserve"> les membres </w:t>
      </w:r>
      <w:r w:rsidR="008509CE">
        <w:rPr>
          <w:rFonts w:cs="Arial"/>
          <w:i/>
          <w:iCs/>
          <w:lang w:val="fr-FR"/>
        </w:rPr>
        <w:t>et</w:t>
      </w:r>
      <w:r w:rsidR="007062FE" w:rsidRPr="0007414F">
        <w:rPr>
          <w:rFonts w:cs="Arial"/>
          <w:i/>
          <w:iCs/>
          <w:lang w:val="fr-FR"/>
        </w:rPr>
        <w:t xml:space="preserve"> </w:t>
      </w:r>
      <w:r w:rsidR="00935290">
        <w:rPr>
          <w:rFonts w:cs="Arial"/>
          <w:i/>
          <w:iCs/>
          <w:lang w:val="fr-FR"/>
        </w:rPr>
        <w:t xml:space="preserve">les </w:t>
      </w:r>
      <w:r w:rsidR="007062FE" w:rsidRPr="0007414F">
        <w:rPr>
          <w:rFonts w:cs="Arial"/>
          <w:i/>
          <w:iCs/>
          <w:lang w:val="fr-FR"/>
        </w:rPr>
        <w:t>observ</w:t>
      </w:r>
      <w:r w:rsidR="00935290">
        <w:rPr>
          <w:rFonts w:cs="Arial"/>
          <w:i/>
          <w:iCs/>
          <w:lang w:val="fr-FR"/>
        </w:rPr>
        <w:t>ateurs à présenter</w:t>
      </w:r>
      <w:r w:rsidR="00D639EE">
        <w:rPr>
          <w:rFonts w:cs="Arial"/>
          <w:i/>
          <w:iCs/>
          <w:lang w:val="fr-FR"/>
        </w:rPr>
        <w:t xml:space="preserve"> </w:t>
      </w:r>
      <w:r w:rsidR="00D639EE" w:rsidRPr="00935290">
        <w:rPr>
          <w:rFonts w:cs="Arial"/>
          <w:i/>
          <w:iCs/>
          <w:lang w:val="fr-FR"/>
        </w:rPr>
        <w:t>aux</w:t>
      </w:r>
      <w:r w:rsidR="00D639EE">
        <w:rPr>
          <w:rFonts w:cs="Arial"/>
          <w:i/>
          <w:iCs/>
          <w:lang w:val="fr-FR"/>
        </w:rPr>
        <w:t> </w:t>
      </w:r>
      <w:r w:rsidR="00D639EE" w:rsidRPr="00935290">
        <w:rPr>
          <w:rFonts w:cs="Arial"/>
          <w:i/>
          <w:iCs/>
          <w:lang w:val="fr-FR"/>
        </w:rPr>
        <w:t>TWP</w:t>
      </w:r>
      <w:r w:rsidR="00935290" w:rsidRPr="00935290">
        <w:rPr>
          <w:rFonts w:cs="Arial"/>
          <w:i/>
          <w:iCs/>
          <w:lang w:val="fr-FR"/>
        </w:rPr>
        <w:t xml:space="preserve">, lors de leurs sessions </w:t>
      </w:r>
      <w:r w:rsidR="00D639EE" w:rsidRPr="00935290">
        <w:rPr>
          <w:rFonts w:cs="Arial"/>
          <w:i/>
          <w:iCs/>
          <w:lang w:val="fr-FR"/>
        </w:rPr>
        <w:t>de</w:t>
      </w:r>
      <w:r w:rsidR="00D639EE">
        <w:rPr>
          <w:rFonts w:cs="Arial"/>
          <w:i/>
          <w:iCs/>
          <w:lang w:val="fr-FR"/>
        </w:rPr>
        <w:t> </w:t>
      </w:r>
      <w:r w:rsidR="00D639EE" w:rsidRPr="00935290">
        <w:rPr>
          <w:rFonts w:cs="Arial"/>
          <w:i/>
          <w:iCs/>
          <w:lang w:val="fr-FR"/>
        </w:rPr>
        <w:t>2023</w:t>
      </w:r>
      <w:r w:rsidR="00935290">
        <w:rPr>
          <w:rFonts w:cs="Arial"/>
          <w:i/>
          <w:iCs/>
          <w:lang w:val="fr-FR"/>
        </w:rPr>
        <w:t>, les mesures en vigueur en matière de</w:t>
      </w:r>
      <w:r w:rsidR="007062FE" w:rsidRPr="0007414F">
        <w:rPr>
          <w:rFonts w:cs="Arial"/>
          <w:i/>
          <w:iCs/>
          <w:lang w:val="fr-FR"/>
        </w:rPr>
        <w:t xml:space="preserve"> </w:t>
      </w:r>
      <w:r w:rsidR="001D3B49">
        <w:rPr>
          <w:rFonts w:cs="Arial"/>
          <w:i/>
          <w:iCs/>
          <w:lang w:val="fr-FR"/>
        </w:rPr>
        <w:t>confidentialité</w:t>
      </w:r>
      <w:r w:rsidR="007062FE" w:rsidRPr="0007414F">
        <w:rPr>
          <w:rFonts w:cs="Arial"/>
          <w:i/>
          <w:iCs/>
          <w:lang w:val="fr-FR"/>
        </w:rPr>
        <w:t xml:space="preserve"> </w:t>
      </w:r>
      <w:r w:rsidR="00935290">
        <w:rPr>
          <w:rFonts w:cs="Arial"/>
          <w:i/>
          <w:iCs/>
          <w:lang w:val="fr-FR"/>
        </w:rPr>
        <w:t>des</w:t>
      </w:r>
      <w:r w:rsidR="007062FE" w:rsidRPr="0007414F">
        <w:rPr>
          <w:rFonts w:cs="Arial"/>
          <w:i/>
          <w:iCs/>
          <w:lang w:val="fr-FR"/>
        </w:rPr>
        <w:t xml:space="preserve"> </w:t>
      </w:r>
      <w:r w:rsidR="007A71F1">
        <w:rPr>
          <w:rFonts w:cs="Arial"/>
          <w:i/>
          <w:iCs/>
          <w:lang w:val="fr-FR"/>
        </w:rPr>
        <w:t>informations moléculaires</w:t>
      </w:r>
      <w:r w:rsidRPr="0007414F">
        <w:rPr>
          <w:rFonts w:cs="Arial"/>
          <w:i/>
          <w:iCs/>
          <w:lang w:val="fr-FR"/>
        </w:rPr>
        <w:t>.</w:t>
      </w:r>
    </w:p>
    <w:p w14:paraId="7E11FB2A" w14:textId="77777777" w:rsidR="007062FE" w:rsidRPr="0007414F" w:rsidRDefault="007062FE" w:rsidP="00D2670B">
      <w:pPr>
        <w:tabs>
          <w:tab w:val="left" w:pos="5387"/>
          <w:tab w:val="left" w:pos="5954"/>
        </w:tabs>
        <w:ind w:left="4820"/>
        <w:rPr>
          <w:i/>
          <w:lang w:val="fr-FR"/>
        </w:rPr>
      </w:pPr>
    </w:p>
    <w:p w14:paraId="12DD725F" w14:textId="77777777" w:rsidR="00D2670B" w:rsidRPr="0007414F" w:rsidRDefault="00D2670B" w:rsidP="00D2670B">
      <w:pPr>
        <w:pStyle w:val="DecisionParagraphs"/>
        <w:rPr>
          <w:lang w:val="fr-FR"/>
        </w:rPr>
      </w:pPr>
    </w:p>
    <w:p w14:paraId="54796095" w14:textId="77777777" w:rsidR="006C4E21" w:rsidRPr="0007414F" w:rsidRDefault="006C4E21" w:rsidP="00D2670B">
      <w:pPr>
        <w:pStyle w:val="DecisionParagraphs"/>
        <w:rPr>
          <w:lang w:val="fr-FR"/>
        </w:rPr>
      </w:pPr>
    </w:p>
    <w:p w14:paraId="4F7B0533" w14:textId="77777777" w:rsidR="006C4E21" w:rsidRPr="0007414F" w:rsidRDefault="006C4E21" w:rsidP="00D2670B">
      <w:pPr>
        <w:pStyle w:val="DecisionParagraphs"/>
        <w:rPr>
          <w:lang w:val="fr-FR"/>
        </w:rPr>
      </w:pPr>
    </w:p>
    <w:p w14:paraId="3D8363E6" w14:textId="774B2D71" w:rsidR="00EF6C3B" w:rsidRPr="0007414F" w:rsidRDefault="00A36448" w:rsidP="00CA612C">
      <w:pPr>
        <w:pStyle w:val="DecisionParagraphs"/>
        <w:jc w:val="right"/>
        <w:rPr>
          <w:lang w:val="fr-FR"/>
        </w:rPr>
        <w:sectPr w:rsidR="00EF6C3B" w:rsidRPr="0007414F" w:rsidSect="006E7E88">
          <w:type w:val="continuous"/>
          <w:pgSz w:w="11907" w:h="16840" w:code="9"/>
          <w:pgMar w:top="510" w:right="1134" w:bottom="1134" w:left="1134" w:header="510" w:footer="680" w:gutter="0"/>
          <w:pgNumType w:start="4"/>
          <w:cols w:space="720"/>
          <w:titlePg/>
        </w:sectPr>
      </w:pPr>
      <w:r w:rsidRPr="0007414F">
        <w:rPr>
          <w:i w:val="0"/>
          <w:lang w:val="fr-FR"/>
        </w:rPr>
        <w:t>[</w:t>
      </w:r>
      <w:r w:rsidR="00935290">
        <w:rPr>
          <w:i w:val="0"/>
          <w:lang w:val="fr-FR"/>
        </w:rPr>
        <w:t>L</w:t>
      </w:r>
      <w:r w:rsidR="00D639EE">
        <w:rPr>
          <w:i w:val="0"/>
          <w:lang w:val="fr-FR"/>
        </w:rPr>
        <w:t>’</w:t>
      </w:r>
      <w:r w:rsidR="00935290">
        <w:rPr>
          <w:i w:val="0"/>
          <w:lang w:val="fr-FR"/>
        </w:rPr>
        <w:t>a</w:t>
      </w:r>
      <w:r w:rsidRPr="0007414F">
        <w:rPr>
          <w:i w:val="0"/>
          <w:lang w:val="fr-FR"/>
        </w:rPr>
        <w:t>nnex</w:t>
      </w:r>
      <w:r w:rsidR="00935290">
        <w:rPr>
          <w:i w:val="0"/>
          <w:lang w:val="fr-FR"/>
        </w:rPr>
        <w:t>e</w:t>
      </w:r>
      <w:r w:rsidR="001D15E4" w:rsidRPr="0007414F">
        <w:rPr>
          <w:i w:val="0"/>
          <w:lang w:val="fr-FR"/>
        </w:rPr>
        <w:t xml:space="preserve"> </w:t>
      </w:r>
      <w:r w:rsidR="00171F12" w:rsidRPr="0007414F">
        <w:rPr>
          <w:i w:val="0"/>
          <w:lang w:val="fr-FR"/>
        </w:rPr>
        <w:t>s</w:t>
      </w:r>
      <w:r w:rsidR="00935290">
        <w:rPr>
          <w:i w:val="0"/>
          <w:lang w:val="fr-FR"/>
        </w:rPr>
        <w:t>uit</w:t>
      </w:r>
      <w:r w:rsidRPr="0007414F">
        <w:rPr>
          <w:i w:val="0"/>
          <w:lang w:val="fr-FR"/>
        </w:rPr>
        <w:t>]</w:t>
      </w:r>
      <w:bookmarkEnd w:id="4"/>
      <w:bookmarkEnd w:id="5"/>
      <w:bookmarkEnd w:id="6"/>
      <w:bookmarkEnd w:id="7"/>
    </w:p>
    <w:p w14:paraId="749C3762" w14:textId="5FC2915F" w:rsidR="00EF6C3B" w:rsidRPr="0007414F" w:rsidRDefault="00EF6C3B" w:rsidP="00EF6C3B">
      <w:pPr>
        <w:rPr>
          <w:lang w:val="fr-FR"/>
        </w:rPr>
      </w:pPr>
    </w:p>
    <w:p w14:paraId="280599B9" w14:textId="04038036" w:rsidR="00EF6C3B" w:rsidRPr="0007414F" w:rsidRDefault="0062673E" w:rsidP="00EF6C3B">
      <w:pPr>
        <w:jc w:val="center"/>
        <w:rPr>
          <w:u w:val="single"/>
          <w:lang w:val="fr-FR"/>
        </w:rPr>
      </w:pPr>
      <w:r w:rsidRPr="0062673E">
        <w:rPr>
          <w:u w:val="single"/>
          <w:lang w:val="fr-FR"/>
        </w:rPr>
        <w:t>ENQUÊTE, PAR PLANTE, SUR L</w:t>
      </w:r>
      <w:r w:rsidR="00D639EE">
        <w:rPr>
          <w:u w:val="single"/>
          <w:lang w:val="fr-FR"/>
        </w:rPr>
        <w:t>’</w:t>
      </w:r>
      <w:r w:rsidRPr="0062673E">
        <w:rPr>
          <w:u w:val="single"/>
          <w:lang w:val="fr-FR"/>
        </w:rPr>
        <w:t>UTILISATION DES TECHNIQUES FAISANT INTERVENIR DES MARQUEURS MOLÉCULAIRES</w:t>
      </w:r>
    </w:p>
    <w:p w14:paraId="79E71011" w14:textId="77777777" w:rsidR="00EF6C3B" w:rsidRPr="0007414F" w:rsidRDefault="00EF6C3B" w:rsidP="00EF6C3B">
      <w:pPr>
        <w:rPr>
          <w:lang w:val="fr-FR"/>
        </w:rPr>
      </w:pPr>
    </w:p>
    <w:p w14:paraId="30604F6B" w14:textId="77777777" w:rsidR="00956417" w:rsidRPr="0007414F" w:rsidRDefault="00956417" w:rsidP="00956417">
      <w:pPr>
        <w:rPr>
          <w:rFonts w:eastAsia="Cambria"/>
          <w:lang w:val="fr-FR"/>
        </w:rPr>
      </w:pPr>
    </w:p>
    <w:p w14:paraId="79D37D6E" w14:textId="77777777" w:rsidR="00956417" w:rsidRPr="0007414F" w:rsidRDefault="00956417" w:rsidP="00956417">
      <w:pPr>
        <w:rPr>
          <w:snapToGrid w:val="0"/>
          <w:lang w:val="fr-FR"/>
        </w:rPr>
      </w:pPr>
    </w:p>
    <w:p w14:paraId="417FE2B1" w14:textId="77777777" w:rsidR="00956417" w:rsidRPr="0007414F" w:rsidRDefault="00956417" w:rsidP="00956417">
      <w:pPr>
        <w:rPr>
          <w:snapToGrid w:val="0"/>
          <w:lang w:val="fr-FR"/>
        </w:rPr>
      </w:pPr>
    </w:p>
    <w:p w14:paraId="62287258" w14:textId="7B0323BE" w:rsidR="00956417" w:rsidRPr="0007414F" w:rsidRDefault="0062673E" w:rsidP="00956417">
      <w:pPr>
        <w:jc w:val="center"/>
        <w:rPr>
          <w:rFonts w:cs="Arial"/>
          <w:i/>
          <w:lang w:val="fr-FR"/>
        </w:rPr>
      </w:pPr>
      <w:r>
        <w:rPr>
          <w:rFonts w:cs="Arial"/>
          <w:i/>
          <w:lang w:val="fr-FR"/>
        </w:rPr>
        <w:t xml:space="preserve">Voir la feuille de calcul </w:t>
      </w:r>
      <w:r w:rsidR="00956417" w:rsidRPr="0007414F">
        <w:rPr>
          <w:rFonts w:cs="Arial"/>
          <w:i/>
          <w:lang w:val="fr-FR"/>
        </w:rPr>
        <w:t xml:space="preserve">Excel </w:t>
      </w:r>
      <w:r>
        <w:rPr>
          <w:rFonts w:cs="Arial"/>
          <w:i/>
          <w:lang w:val="fr-FR"/>
        </w:rPr>
        <w:t>pour la totalité des ré</w:t>
      </w:r>
      <w:r w:rsidR="00956417" w:rsidRPr="0007414F">
        <w:rPr>
          <w:rFonts w:cs="Arial"/>
          <w:i/>
          <w:lang w:val="fr-FR"/>
        </w:rPr>
        <w:t>ponses re</w:t>
      </w:r>
      <w:r>
        <w:rPr>
          <w:rFonts w:cs="Arial"/>
          <w:i/>
          <w:lang w:val="fr-FR"/>
        </w:rPr>
        <w:t>çues</w:t>
      </w:r>
    </w:p>
    <w:p w14:paraId="44B79633" w14:textId="77777777" w:rsidR="00956417" w:rsidRPr="0007414F" w:rsidRDefault="00956417" w:rsidP="00EF6C3B">
      <w:pPr>
        <w:rPr>
          <w:lang w:val="fr-FR"/>
        </w:rPr>
      </w:pPr>
    </w:p>
    <w:p w14:paraId="520A0282" w14:textId="77777777" w:rsidR="00EF6C3B" w:rsidRPr="0007414F" w:rsidRDefault="00EF6C3B" w:rsidP="00EF6C3B">
      <w:pPr>
        <w:rPr>
          <w:u w:val="single"/>
          <w:lang w:val="fr-FR"/>
        </w:rPr>
      </w:pPr>
    </w:p>
    <w:p w14:paraId="650F2937" w14:textId="77777777" w:rsidR="00956417" w:rsidRPr="0007414F" w:rsidRDefault="00956417" w:rsidP="00EF6C3B">
      <w:pPr>
        <w:rPr>
          <w:u w:val="single"/>
          <w:lang w:val="fr-FR"/>
        </w:rPr>
      </w:pPr>
    </w:p>
    <w:p w14:paraId="11AD03B7" w14:textId="656DC419" w:rsidR="00956417" w:rsidRPr="0007414F" w:rsidRDefault="00956417" w:rsidP="00956417">
      <w:pPr>
        <w:pStyle w:val="DecisionParagraphs"/>
        <w:jc w:val="right"/>
        <w:rPr>
          <w:i w:val="0"/>
          <w:lang w:val="fr-FR"/>
        </w:rPr>
      </w:pPr>
      <w:r w:rsidRPr="0007414F">
        <w:rPr>
          <w:i w:val="0"/>
          <w:lang w:val="fr-FR"/>
        </w:rPr>
        <w:t>[</w:t>
      </w:r>
      <w:r w:rsidR="00061003">
        <w:rPr>
          <w:i w:val="0"/>
          <w:lang w:val="fr-FR"/>
        </w:rPr>
        <w:t>L</w:t>
      </w:r>
      <w:r w:rsidR="00D639EE">
        <w:rPr>
          <w:i w:val="0"/>
          <w:lang w:val="fr-FR"/>
        </w:rPr>
        <w:t>’</w:t>
      </w:r>
      <w:r w:rsidR="00061003">
        <w:rPr>
          <w:i w:val="0"/>
          <w:lang w:val="fr-FR"/>
        </w:rPr>
        <w:t>a</w:t>
      </w:r>
      <w:r w:rsidRPr="0007414F">
        <w:rPr>
          <w:i w:val="0"/>
          <w:lang w:val="fr-FR"/>
        </w:rPr>
        <w:t>ppendi</w:t>
      </w:r>
      <w:r w:rsidR="00061003">
        <w:rPr>
          <w:i w:val="0"/>
          <w:lang w:val="fr-FR"/>
        </w:rPr>
        <w:t>ce</w:t>
      </w:r>
      <w:r w:rsidRPr="0007414F">
        <w:rPr>
          <w:i w:val="0"/>
          <w:lang w:val="fr-FR"/>
        </w:rPr>
        <w:t xml:space="preserve"> </w:t>
      </w:r>
      <w:r w:rsidR="00061003">
        <w:rPr>
          <w:i w:val="0"/>
          <w:lang w:val="fr-FR"/>
        </w:rPr>
        <w:t>de l</w:t>
      </w:r>
      <w:r w:rsidR="00D639EE">
        <w:rPr>
          <w:i w:val="0"/>
          <w:lang w:val="fr-FR"/>
        </w:rPr>
        <w:t>’</w:t>
      </w:r>
      <w:r w:rsidR="00061003">
        <w:rPr>
          <w:i w:val="0"/>
          <w:lang w:val="fr-FR"/>
        </w:rPr>
        <w:t>an</w:t>
      </w:r>
      <w:r w:rsidRPr="0007414F">
        <w:rPr>
          <w:i w:val="0"/>
          <w:lang w:val="fr-FR"/>
        </w:rPr>
        <w:t>nex</w:t>
      </w:r>
      <w:r w:rsidR="00061003">
        <w:rPr>
          <w:i w:val="0"/>
          <w:lang w:val="fr-FR"/>
        </w:rPr>
        <w:t>e</w:t>
      </w:r>
      <w:r w:rsidRPr="0007414F">
        <w:rPr>
          <w:i w:val="0"/>
          <w:lang w:val="fr-FR"/>
        </w:rPr>
        <w:t xml:space="preserve"> s</w:t>
      </w:r>
      <w:r w:rsidR="00061003">
        <w:rPr>
          <w:i w:val="0"/>
          <w:lang w:val="fr-FR"/>
        </w:rPr>
        <w:t>uit</w:t>
      </w:r>
      <w:r w:rsidRPr="0007414F">
        <w:rPr>
          <w:i w:val="0"/>
          <w:lang w:val="fr-FR"/>
        </w:rPr>
        <w:t>]</w:t>
      </w:r>
    </w:p>
    <w:p w14:paraId="35744A10" w14:textId="77777777" w:rsidR="00956417" w:rsidRPr="0007414F" w:rsidRDefault="00956417" w:rsidP="00956417">
      <w:pPr>
        <w:pStyle w:val="DecisionParagraphs"/>
        <w:rPr>
          <w:lang w:val="fr-FR"/>
        </w:rPr>
      </w:pPr>
    </w:p>
    <w:p w14:paraId="494A25B3" w14:textId="77777777" w:rsidR="00956417" w:rsidRPr="0007414F" w:rsidRDefault="00956417" w:rsidP="00EF6C3B">
      <w:pPr>
        <w:rPr>
          <w:u w:val="single"/>
          <w:lang w:val="fr-FR"/>
        </w:rPr>
        <w:sectPr w:rsidR="00956417" w:rsidRPr="0007414F" w:rsidSect="00EF6C3B">
          <w:headerReference w:type="default" r:id="rId10"/>
          <w:headerReference w:type="first" r:id="rId11"/>
          <w:pgSz w:w="11907" w:h="16840" w:code="9"/>
          <w:pgMar w:top="510" w:right="1134" w:bottom="1134" w:left="1134" w:header="510" w:footer="624" w:gutter="0"/>
          <w:pgNumType w:start="1"/>
          <w:cols w:space="720"/>
          <w:titlePg/>
          <w:docGrid w:linePitch="272"/>
        </w:sectPr>
      </w:pPr>
    </w:p>
    <w:p w14:paraId="3C950E5B" w14:textId="77777777" w:rsidR="00956417" w:rsidRPr="0007414F" w:rsidRDefault="00956417" w:rsidP="00EF6C3B">
      <w:pPr>
        <w:rPr>
          <w:u w:val="single"/>
          <w:lang w:val="fr-FR"/>
        </w:rPr>
      </w:pPr>
    </w:p>
    <w:p w14:paraId="3D549A17" w14:textId="77777777" w:rsidR="00956417" w:rsidRPr="0007414F" w:rsidRDefault="00956417" w:rsidP="00EF6C3B">
      <w:pPr>
        <w:rPr>
          <w:u w:val="single"/>
          <w:lang w:val="fr-FR"/>
        </w:rPr>
      </w:pPr>
    </w:p>
    <w:p w14:paraId="5FB166F6" w14:textId="54F70E5D" w:rsidR="00EF6C3B" w:rsidRDefault="0062673E" w:rsidP="00EF6C3B">
      <w:pPr>
        <w:rPr>
          <w:u w:val="single"/>
          <w:lang w:val="fr-FR"/>
        </w:rPr>
      </w:pPr>
      <w:r w:rsidRPr="0062673E">
        <w:rPr>
          <w:u w:val="single"/>
          <w:lang w:val="fr-FR"/>
        </w:rPr>
        <w:t>Réponse de l</w:t>
      </w:r>
      <w:r w:rsidR="00D639EE">
        <w:rPr>
          <w:u w:val="single"/>
          <w:lang w:val="fr-FR"/>
        </w:rPr>
        <w:t>’</w:t>
      </w:r>
      <w:r w:rsidRPr="0062673E">
        <w:rPr>
          <w:u w:val="single"/>
          <w:lang w:val="fr-FR"/>
        </w:rPr>
        <w:t>Union européenne</w:t>
      </w:r>
      <w:r w:rsidR="00D639EE">
        <w:rPr>
          <w:lang w:val="fr-FR"/>
        </w:rPr>
        <w:t> :</w:t>
      </w:r>
    </w:p>
    <w:p w14:paraId="5A5157C8" w14:textId="77777777" w:rsidR="0062673E" w:rsidRPr="0007414F" w:rsidRDefault="0062673E" w:rsidP="00EF6C3B">
      <w:pPr>
        <w:rPr>
          <w:lang w:val="fr-FR"/>
        </w:rPr>
      </w:pPr>
    </w:p>
    <w:p w14:paraId="33C7DDA2" w14:textId="77777777" w:rsidR="00EF6C3B" w:rsidRPr="0007414F" w:rsidRDefault="00EF6C3B" w:rsidP="00EF6C3B">
      <w:pPr>
        <w:rPr>
          <w:lang w:val="fr-FR"/>
        </w:rPr>
      </w:pPr>
    </w:p>
    <w:p w14:paraId="158E69C5" w14:textId="7CA97BE9" w:rsidR="00EF6C3B" w:rsidRPr="004D3878" w:rsidRDefault="0062673E" w:rsidP="00EF6C3B">
      <w:pPr>
        <w:jc w:val="center"/>
        <w:rPr>
          <w:rFonts w:eastAsia="Cambria"/>
          <w:lang w:val="fr-FR"/>
        </w:rPr>
      </w:pPr>
      <w:r w:rsidRPr="004D3878">
        <w:rPr>
          <w:rFonts w:eastAsia="Cambria"/>
          <w:lang w:val="fr-FR"/>
        </w:rPr>
        <w:t>UTILISATION DE TECHNIQUES FAISANT INTERVENIR DES MARQUEURS MOLÉCULAIRES À DES FINS D</w:t>
      </w:r>
      <w:r w:rsidR="00D639EE">
        <w:rPr>
          <w:rFonts w:eastAsia="Cambria"/>
          <w:lang w:val="fr-FR"/>
        </w:rPr>
        <w:t>’</w:t>
      </w:r>
      <w:r w:rsidRPr="004D3878">
        <w:rPr>
          <w:rFonts w:eastAsia="Cambria"/>
          <w:lang w:val="fr-FR"/>
        </w:rPr>
        <w:t>EXAMEN DHS DANS LE CADRE DE LA PROTECTION COMMUNAUTAIRE DES OBTENTIONS VÉGÉTALES</w:t>
      </w:r>
    </w:p>
    <w:p w14:paraId="137C5CD9" w14:textId="77777777" w:rsidR="00EF6C3B" w:rsidRPr="004D3878" w:rsidRDefault="00EF6C3B" w:rsidP="00EF6C3B">
      <w:pPr>
        <w:rPr>
          <w:rFonts w:eastAsia="Cambria"/>
          <w:lang w:val="fr-FR"/>
        </w:rPr>
      </w:pPr>
    </w:p>
    <w:p w14:paraId="25029FBD" w14:textId="77777777" w:rsidR="00EF6C3B" w:rsidRPr="0007414F" w:rsidRDefault="00EF6C3B" w:rsidP="00EF6C3B">
      <w:pPr>
        <w:rPr>
          <w:rFonts w:eastAsia="Cambria"/>
          <w:lang w:val="fr-FR"/>
        </w:rPr>
      </w:pPr>
    </w:p>
    <w:p w14:paraId="70B6E442" w14:textId="1D400C86" w:rsidR="00EF6C3B" w:rsidRPr="0007414F" w:rsidRDefault="0062673E" w:rsidP="00EF6C3B">
      <w:pPr>
        <w:keepNext/>
        <w:outlineLvl w:val="1"/>
        <w:rPr>
          <w:rFonts w:eastAsia="Cambria"/>
          <w:u w:val="single"/>
          <w:lang w:val="fr-FR"/>
        </w:rPr>
      </w:pPr>
      <w:bookmarkStart w:id="48" w:name="_Toc115819544"/>
      <w:r>
        <w:rPr>
          <w:rFonts w:eastAsia="Cambria"/>
          <w:u w:val="single"/>
          <w:lang w:val="fr-FR"/>
        </w:rPr>
        <w:t>Éléments d</w:t>
      </w:r>
      <w:r w:rsidR="004D3878">
        <w:rPr>
          <w:rFonts w:eastAsia="Cambria"/>
          <w:u w:val="single"/>
          <w:lang w:val="fr-FR"/>
        </w:rPr>
        <w:t>e</w:t>
      </w:r>
      <w:r>
        <w:rPr>
          <w:rFonts w:eastAsia="Cambria"/>
          <w:u w:val="single"/>
          <w:lang w:val="fr-FR"/>
        </w:rPr>
        <w:t xml:space="preserve"> </w:t>
      </w:r>
      <w:r w:rsidR="00EF6C3B" w:rsidRPr="0007414F">
        <w:rPr>
          <w:rFonts w:eastAsia="Cambria"/>
          <w:u w:val="single"/>
          <w:lang w:val="fr-FR"/>
        </w:rPr>
        <w:t>context</w:t>
      </w:r>
      <w:bookmarkEnd w:id="48"/>
      <w:r>
        <w:rPr>
          <w:rFonts w:eastAsia="Cambria"/>
          <w:u w:val="single"/>
          <w:lang w:val="fr-FR"/>
        </w:rPr>
        <w:t>e</w:t>
      </w:r>
    </w:p>
    <w:p w14:paraId="335FA692" w14:textId="77777777" w:rsidR="00EF6C3B" w:rsidRPr="0007414F" w:rsidRDefault="00EF6C3B" w:rsidP="00EF6C3B">
      <w:pPr>
        <w:rPr>
          <w:rFonts w:eastAsia="Cambria"/>
          <w:lang w:val="fr-FR"/>
        </w:rPr>
      </w:pPr>
    </w:p>
    <w:p w14:paraId="77860CC5" w14:textId="63D21C45" w:rsidR="00EF6C3B" w:rsidRPr="0007414F" w:rsidRDefault="0062673E" w:rsidP="00EF6C3B">
      <w:pPr>
        <w:rPr>
          <w:rFonts w:eastAsia="Cambria"/>
          <w:lang w:val="fr-FR"/>
        </w:rPr>
      </w:pPr>
      <w:r w:rsidRPr="0062673E">
        <w:rPr>
          <w:rFonts w:eastAsia="Cambria"/>
          <w:lang w:val="fr-FR"/>
        </w:rPr>
        <w:t>À sa cinquante</w:t>
      </w:r>
      <w:r w:rsidR="006E7E88">
        <w:rPr>
          <w:rFonts w:eastAsia="Cambria"/>
          <w:lang w:val="fr-FR"/>
        </w:rPr>
        <w:noBreakHyphen/>
      </w:r>
      <w:r w:rsidRPr="0062673E">
        <w:rPr>
          <w:rFonts w:eastAsia="Cambria"/>
          <w:lang w:val="fr-FR"/>
        </w:rPr>
        <w:t>cinqu</w:t>
      </w:r>
      <w:r w:rsidR="00D639EE">
        <w:rPr>
          <w:rFonts w:eastAsia="Cambria"/>
          <w:lang w:val="fr-FR"/>
        </w:rPr>
        <w:t>ième session</w:t>
      </w:r>
      <w:r w:rsidRPr="0062673E">
        <w:rPr>
          <w:rFonts w:eastAsia="Cambria"/>
          <w:lang w:val="fr-FR"/>
        </w:rPr>
        <w:t xml:space="preserve"> tenue à Genève les 28 et 2</w:t>
      </w:r>
      <w:r w:rsidR="00D639EE" w:rsidRPr="0062673E">
        <w:rPr>
          <w:rFonts w:eastAsia="Cambria"/>
          <w:lang w:val="fr-FR"/>
        </w:rPr>
        <w:t>9</w:t>
      </w:r>
      <w:r w:rsidR="00D639EE">
        <w:rPr>
          <w:rFonts w:eastAsia="Cambria"/>
          <w:lang w:val="fr-FR"/>
        </w:rPr>
        <w:t> </w:t>
      </w:r>
      <w:r w:rsidR="00D639EE" w:rsidRPr="0062673E">
        <w:rPr>
          <w:rFonts w:eastAsia="Cambria"/>
          <w:lang w:val="fr-FR"/>
        </w:rPr>
        <w:t>octobre</w:t>
      </w:r>
      <w:r w:rsidR="00D639EE">
        <w:rPr>
          <w:rFonts w:eastAsia="Cambria"/>
          <w:lang w:val="fr-FR"/>
        </w:rPr>
        <w:t> </w:t>
      </w:r>
      <w:r w:rsidR="00D639EE" w:rsidRPr="0062673E">
        <w:rPr>
          <w:rFonts w:eastAsia="Cambria"/>
          <w:lang w:val="fr-FR"/>
        </w:rPr>
        <w:t>20</w:t>
      </w:r>
      <w:r w:rsidRPr="0062673E">
        <w:rPr>
          <w:rFonts w:eastAsia="Cambria"/>
          <w:lang w:val="fr-FR"/>
        </w:rPr>
        <w:t>19, le Comité technique (TC) de l</w:t>
      </w:r>
      <w:r w:rsidR="00D639EE">
        <w:rPr>
          <w:rFonts w:eastAsia="Cambria"/>
          <w:lang w:val="fr-FR"/>
        </w:rPr>
        <w:t>’</w:t>
      </w:r>
      <w:r w:rsidRPr="0062673E">
        <w:rPr>
          <w:rFonts w:eastAsia="Cambria"/>
          <w:lang w:val="fr-FR"/>
        </w:rPr>
        <w:t>UPOV est convenu d</w:t>
      </w:r>
      <w:r w:rsidR="00D639EE">
        <w:rPr>
          <w:rFonts w:eastAsia="Cambria"/>
          <w:lang w:val="fr-FR"/>
        </w:rPr>
        <w:t>’</w:t>
      </w:r>
      <w:r w:rsidRPr="0062673E">
        <w:rPr>
          <w:rFonts w:eastAsia="Cambria"/>
          <w:lang w:val="fr-FR"/>
        </w:rPr>
        <w:t>inviter les membres de l</w:t>
      </w:r>
      <w:r w:rsidR="00D639EE">
        <w:rPr>
          <w:rFonts w:eastAsia="Cambria"/>
          <w:lang w:val="fr-FR"/>
        </w:rPr>
        <w:t>’</w:t>
      </w:r>
      <w:r w:rsidRPr="0062673E">
        <w:rPr>
          <w:rFonts w:eastAsia="Cambria"/>
          <w:lang w:val="fr-FR"/>
        </w:rPr>
        <w:t>Union à répondre à une enquête afin de dresser un inventaire, par plante, de l</w:t>
      </w:r>
      <w:r w:rsidR="00D639EE">
        <w:rPr>
          <w:rFonts w:eastAsia="Cambria"/>
          <w:lang w:val="fr-FR"/>
        </w:rPr>
        <w:t>’</w:t>
      </w:r>
      <w:r w:rsidRPr="0062673E">
        <w:rPr>
          <w:rFonts w:eastAsia="Cambria"/>
          <w:lang w:val="fr-FR"/>
        </w:rPr>
        <w:t>utilisation de techniques faisant intervenir des marqueurs moléculaires, en concertation avec les Systèmes de semences de l</w:t>
      </w:r>
      <w:r w:rsidR="00D639EE">
        <w:rPr>
          <w:rFonts w:eastAsia="Cambria"/>
          <w:lang w:val="fr-FR"/>
        </w:rPr>
        <w:t>’</w:t>
      </w:r>
      <w:r w:rsidRPr="0062673E">
        <w:rPr>
          <w:rFonts w:eastAsia="Cambria"/>
          <w:lang w:val="fr-FR"/>
        </w:rPr>
        <w:t xml:space="preserve">OCDE (voir les </w:t>
      </w:r>
      <w:r w:rsidR="00D639EE" w:rsidRPr="0062673E">
        <w:rPr>
          <w:rFonts w:eastAsia="Cambria"/>
          <w:lang w:val="fr-FR"/>
        </w:rPr>
        <w:t>paragraphes</w:t>
      </w:r>
      <w:r w:rsidR="00D639EE">
        <w:rPr>
          <w:rFonts w:eastAsia="Cambria"/>
          <w:lang w:val="fr-FR"/>
        </w:rPr>
        <w:t> </w:t>
      </w:r>
      <w:r w:rsidR="00D639EE" w:rsidRPr="0062673E">
        <w:rPr>
          <w:rFonts w:eastAsia="Cambria"/>
          <w:lang w:val="fr-FR"/>
        </w:rPr>
        <w:t>1</w:t>
      </w:r>
      <w:r w:rsidRPr="0062673E">
        <w:rPr>
          <w:rFonts w:eastAsia="Cambria"/>
          <w:lang w:val="fr-FR"/>
        </w:rPr>
        <w:t xml:space="preserve">84 et 185 du </w:t>
      </w:r>
      <w:r w:rsidR="00D639EE" w:rsidRPr="0062673E">
        <w:rPr>
          <w:rFonts w:eastAsia="Cambria"/>
          <w:lang w:val="fr-FR"/>
        </w:rPr>
        <w:t>document</w:t>
      </w:r>
      <w:r w:rsidR="00D639EE">
        <w:rPr>
          <w:rFonts w:eastAsia="Cambria"/>
          <w:lang w:val="fr-FR"/>
        </w:rPr>
        <w:t xml:space="preserve"> TC</w:t>
      </w:r>
      <w:r w:rsidRPr="0062673E">
        <w:rPr>
          <w:rFonts w:eastAsia="Cambria"/>
          <w:lang w:val="fr-FR"/>
        </w:rPr>
        <w:t>/55/25 “Compte rendu”)</w:t>
      </w:r>
      <w:r w:rsidR="00EF6C3B" w:rsidRPr="0007414F">
        <w:rPr>
          <w:rFonts w:eastAsia="Cambria"/>
          <w:lang w:val="fr-FR"/>
        </w:rPr>
        <w:t>.</w:t>
      </w:r>
    </w:p>
    <w:p w14:paraId="6CA4EAAF" w14:textId="77777777" w:rsidR="00EF6C3B" w:rsidRPr="0007414F" w:rsidRDefault="00EF6C3B" w:rsidP="00EF6C3B">
      <w:pPr>
        <w:rPr>
          <w:rFonts w:eastAsia="Cambria"/>
          <w:lang w:val="fr-FR"/>
        </w:rPr>
      </w:pPr>
    </w:p>
    <w:p w14:paraId="0DCC2500" w14:textId="54657771" w:rsidR="00EF6C3B" w:rsidRPr="0007414F" w:rsidRDefault="0062673E" w:rsidP="00EF6C3B">
      <w:pPr>
        <w:rPr>
          <w:rFonts w:eastAsia="Cambria"/>
          <w:lang w:val="fr-FR"/>
        </w:rPr>
      </w:pPr>
      <w:r w:rsidRPr="0062673E">
        <w:rPr>
          <w:rFonts w:eastAsia="Cambria"/>
          <w:lang w:val="fr-FR"/>
        </w:rPr>
        <w:t>Les informations relatives aux techniques faisant intervenir des marqueurs moléculaires utilisées par les membres de l</w:t>
      </w:r>
      <w:r w:rsidR="00D639EE">
        <w:rPr>
          <w:rFonts w:eastAsia="Cambria"/>
          <w:lang w:val="fr-FR"/>
        </w:rPr>
        <w:t>’</w:t>
      </w:r>
      <w:r w:rsidRPr="0062673E">
        <w:rPr>
          <w:rFonts w:eastAsia="Cambria"/>
          <w:lang w:val="fr-FR"/>
        </w:rPr>
        <w:t>Union seront utilisées aux fins de l</w:t>
      </w:r>
      <w:r w:rsidR="00D639EE">
        <w:rPr>
          <w:rFonts w:eastAsia="Cambria"/>
          <w:lang w:val="fr-FR"/>
        </w:rPr>
        <w:t>’</w:t>
      </w:r>
      <w:r w:rsidRPr="0062673E">
        <w:rPr>
          <w:rFonts w:eastAsia="Cambria"/>
          <w:lang w:val="fr-FR"/>
        </w:rPr>
        <w:t>élaboration d</w:t>
      </w:r>
      <w:r w:rsidR="00D639EE">
        <w:rPr>
          <w:rFonts w:eastAsia="Cambria"/>
          <w:lang w:val="fr-FR"/>
        </w:rPr>
        <w:t>’</w:t>
      </w:r>
      <w:r w:rsidRPr="0062673E">
        <w:rPr>
          <w:rFonts w:eastAsia="Cambria"/>
          <w:lang w:val="fr-FR"/>
        </w:rPr>
        <w:t>un document commun UPOV/OCDE/ISTA visant à présenter ces informations, dans un format similaire au document UPOV/INF/16 “Logiciels échangeables”, sous réserve de l</w:t>
      </w:r>
      <w:r w:rsidR="00D639EE">
        <w:rPr>
          <w:rFonts w:eastAsia="Cambria"/>
          <w:lang w:val="fr-FR"/>
        </w:rPr>
        <w:t>’</w:t>
      </w:r>
      <w:r w:rsidRPr="0062673E">
        <w:rPr>
          <w:rFonts w:eastAsia="Cambria"/>
          <w:lang w:val="fr-FR"/>
        </w:rPr>
        <w:t>approbation par le Conseil et en concertation avec l</w:t>
      </w:r>
      <w:r w:rsidR="00D639EE">
        <w:rPr>
          <w:rFonts w:eastAsia="Cambria"/>
          <w:lang w:val="fr-FR"/>
        </w:rPr>
        <w:t>’</w:t>
      </w:r>
      <w:r w:rsidRPr="0062673E">
        <w:rPr>
          <w:rFonts w:eastAsia="Cambria"/>
          <w:lang w:val="fr-FR"/>
        </w:rPr>
        <w:t>OCDE et l</w:t>
      </w:r>
      <w:r w:rsidR="00D639EE">
        <w:rPr>
          <w:rFonts w:eastAsia="Cambria"/>
          <w:lang w:val="fr-FR"/>
        </w:rPr>
        <w:t>’</w:t>
      </w:r>
      <w:r w:rsidRPr="0062673E">
        <w:rPr>
          <w:rFonts w:eastAsia="Cambria"/>
          <w:lang w:val="fr-FR"/>
        </w:rPr>
        <w:t>ISTA.</w:t>
      </w:r>
    </w:p>
    <w:p w14:paraId="6BB43A5A" w14:textId="77777777" w:rsidR="00EF6C3B" w:rsidRPr="0007414F" w:rsidRDefault="00EF6C3B" w:rsidP="00EF6C3B">
      <w:pPr>
        <w:rPr>
          <w:rFonts w:eastAsia="Cambria"/>
          <w:lang w:val="fr-FR"/>
        </w:rPr>
      </w:pPr>
    </w:p>
    <w:p w14:paraId="7C2F883A" w14:textId="0DEAF04F" w:rsidR="00EF6C3B" w:rsidRPr="0007414F" w:rsidRDefault="009F18B9" w:rsidP="00EF6C3B">
      <w:pPr>
        <w:rPr>
          <w:rFonts w:eastAsia="Cambria"/>
          <w:lang w:val="fr-FR"/>
        </w:rPr>
      </w:pPr>
      <w:r w:rsidRPr="009F18B9">
        <w:rPr>
          <w:rFonts w:eastAsia="Cambria"/>
          <w:lang w:val="fr-FR"/>
        </w:rPr>
        <w:t>Le présent document constitue la contribution de l</w:t>
      </w:r>
      <w:r w:rsidR="00D639EE">
        <w:rPr>
          <w:rFonts w:eastAsia="Cambria"/>
          <w:lang w:val="fr-FR"/>
        </w:rPr>
        <w:t>’</w:t>
      </w:r>
      <w:r w:rsidRPr="009F18B9">
        <w:rPr>
          <w:rFonts w:eastAsia="Cambria"/>
          <w:lang w:val="fr-FR"/>
        </w:rPr>
        <w:t>Office communautaire des variétés végétales (OCVV) à cette enquête et, à ce titre, décrit les techniques faisant intervenir des marqueurs moléculaires qui peuvent être utilisées en matière d</w:t>
      </w:r>
      <w:r w:rsidR="00D639EE">
        <w:rPr>
          <w:rFonts w:eastAsia="Cambria"/>
          <w:lang w:val="fr-FR"/>
        </w:rPr>
        <w:t>’</w:t>
      </w:r>
      <w:r w:rsidRPr="009F18B9">
        <w:rPr>
          <w:rFonts w:eastAsia="Cambria"/>
          <w:lang w:val="fr-FR"/>
        </w:rPr>
        <w:t>examen</w:t>
      </w:r>
      <w:r w:rsidR="001B53D1">
        <w:rPr>
          <w:rFonts w:eastAsia="Cambria"/>
          <w:lang w:val="fr-FR"/>
        </w:rPr>
        <w:t> </w:t>
      </w:r>
      <w:r w:rsidRPr="009F18B9">
        <w:rPr>
          <w:rFonts w:eastAsia="Cambria"/>
          <w:lang w:val="fr-FR"/>
        </w:rPr>
        <w:t>DHS à des fins d</w:t>
      </w:r>
      <w:r w:rsidR="00D639EE">
        <w:rPr>
          <w:rFonts w:eastAsia="Cambria"/>
          <w:lang w:val="fr-FR"/>
        </w:rPr>
        <w:t>’</w:t>
      </w:r>
      <w:r w:rsidRPr="009F18B9">
        <w:rPr>
          <w:rFonts w:eastAsia="Cambria"/>
          <w:lang w:val="fr-FR"/>
        </w:rPr>
        <w:t>octroi de la protection communautaire des obtentions végétales dans le cadre de la politique de l</w:t>
      </w:r>
      <w:r w:rsidR="00D639EE">
        <w:rPr>
          <w:rFonts w:eastAsia="Cambria"/>
          <w:lang w:val="fr-FR"/>
        </w:rPr>
        <w:t>’</w:t>
      </w:r>
      <w:r w:rsidRPr="009F18B9">
        <w:rPr>
          <w:rFonts w:eastAsia="Cambria"/>
          <w:lang w:val="fr-FR"/>
        </w:rPr>
        <w:t>OCVV</w:t>
      </w:r>
      <w:r w:rsidR="00EF6C3B" w:rsidRPr="0007414F">
        <w:rPr>
          <w:rFonts w:eastAsia="Cambria"/>
          <w:lang w:val="fr-FR"/>
        </w:rPr>
        <w:t>.</w:t>
      </w:r>
    </w:p>
    <w:p w14:paraId="468A0AE3" w14:textId="0B47808C" w:rsidR="00EF6C3B" w:rsidRPr="0007414F" w:rsidRDefault="009F18B9" w:rsidP="00444474">
      <w:pPr>
        <w:keepNext/>
        <w:numPr>
          <w:ilvl w:val="0"/>
          <w:numId w:val="5"/>
        </w:numPr>
        <w:suppressAutoHyphens/>
        <w:spacing w:before="360" w:after="240" w:line="259" w:lineRule="auto"/>
        <w:outlineLvl w:val="0"/>
        <w:rPr>
          <w:rFonts w:cs="Arial"/>
          <w:spacing w:val="-3"/>
          <w:kern w:val="32"/>
          <w:szCs w:val="32"/>
          <w:lang w:val="fr-FR"/>
        </w:rPr>
      </w:pPr>
      <w:bookmarkStart w:id="49" w:name="_Toc115819545"/>
      <w:r>
        <w:rPr>
          <w:rFonts w:cs="Arial"/>
          <w:spacing w:val="-3"/>
          <w:kern w:val="32"/>
          <w:szCs w:val="32"/>
          <w:lang w:val="fr-FR"/>
        </w:rPr>
        <w:t xml:space="preserve">Cadre </w:t>
      </w:r>
      <w:bookmarkEnd w:id="49"/>
      <w:r w:rsidRPr="009F18B9">
        <w:rPr>
          <w:rFonts w:cs="Arial"/>
          <w:spacing w:val="-3"/>
          <w:kern w:val="32"/>
          <w:szCs w:val="32"/>
          <w:lang w:val="fr-FR"/>
        </w:rPr>
        <w:t>juridique de l</w:t>
      </w:r>
      <w:r w:rsidR="00D639EE">
        <w:rPr>
          <w:rFonts w:cs="Arial"/>
          <w:spacing w:val="-3"/>
          <w:kern w:val="32"/>
          <w:szCs w:val="32"/>
          <w:lang w:val="fr-FR"/>
        </w:rPr>
        <w:t>’</w:t>
      </w:r>
      <w:r w:rsidRPr="009F18B9">
        <w:rPr>
          <w:rFonts w:cs="Arial"/>
          <w:spacing w:val="-3"/>
          <w:kern w:val="32"/>
          <w:szCs w:val="32"/>
          <w:lang w:val="fr-FR"/>
        </w:rPr>
        <w:t>utilisation de techniques faisant intervenir des marqueurs moléculaires en matière d</w:t>
      </w:r>
      <w:r w:rsidR="00D639EE">
        <w:rPr>
          <w:rFonts w:cs="Arial"/>
          <w:spacing w:val="-3"/>
          <w:kern w:val="32"/>
          <w:szCs w:val="32"/>
          <w:lang w:val="fr-FR"/>
        </w:rPr>
        <w:t>’</w:t>
      </w:r>
      <w:r w:rsidRPr="009F18B9">
        <w:rPr>
          <w:rFonts w:cs="Arial"/>
          <w:spacing w:val="-3"/>
          <w:kern w:val="32"/>
          <w:szCs w:val="32"/>
          <w:lang w:val="fr-FR"/>
        </w:rPr>
        <w:t>examen</w:t>
      </w:r>
      <w:r w:rsidR="001B53D1">
        <w:rPr>
          <w:rFonts w:cs="Arial"/>
          <w:spacing w:val="-3"/>
          <w:kern w:val="32"/>
          <w:szCs w:val="32"/>
          <w:lang w:val="fr-FR"/>
        </w:rPr>
        <w:t> </w:t>
      </w:r>
      <w:r w:rsidRPr="009F18B9">
        <w:rPr>
          <w:rFonts w:cs="Arial"/>
          <w:spacing w:val="-3"/>
          <w:kern w:val="32"/>
          <w:szCs w:val="32"/>
          <w:lang w:val="fr-FR"/>
        </w:rPr>
        <w:t>DHS pour la protection communautaire des obtentions végétales</w:t>
      </w:r>
    </w:p>
    <w:p w14:paraId="38D07D02" w14:textId="2B7501B4" w:rsidR="00EF6C3B" w:rsidRPr="0007414F" w:rsidRDefault="002420F2" w:rsidP="00EF6C3B">
      <w:pPr>
        <w:rPr>
          <w:rFonts w:eastAsia="Cambria"/>
          <w:lang w:val="fr-FR"/>
        </w:rPr>
      </w:pPr>
      <w:r>
        <w:rPr>
          <w:rFonts w:eastAsia="Cambria"/>
          <w:lang w:val="fr-FR"/>
        </w:rPr>
        <w:t>Le</w:t>
      </w:r>
      <w:r w:rsidR="00EF6C3B" w:rsidRPr="0007414F">
        <w:rPr>
          <w:rFonts w:eastAsia="Cambria"/>
          <w:lang w:val="fr-FR"/>
        </w:rPr>
        <w:t xml:space="preserve"> </w:t>
      </w:r>
      <w:r w:rsidR="009F18B9" w:rsidRPr="009F18B9">
        <w:rPr>
          <w:rFonts w:eastAsia="Cambria"/>
          <w:lang w:val="fr-FR"/>
        </w:rPr>
        <w:t>cadre juridique pour la réalisation de l</w:t>
      </w:r>
      <w:r w:rsidR="00D639EE">
        <w:rPr>
          <w:rFonts w:eastAsia="Cambria"/>
          <w:lang w:val="fr-FR"/>
        </w:rPr>
        <w:t>’</w:t>
      </w:r>
      <w:r w:rsidR="009F18B9" w:rsidRPr="009F18B9">
        <w:rPr>
          <w:rFonts w:eastAsia="Cambria"/>
          <w:lang w:val="fr-FR"/>
        </w:rPr>
        <w:t>examen</w:t>
      </w:r>
      <w:r w:rsidR="001B53D1">
        <w:rPr>
          <w:rFonts w:eastAsia="Cambria"/>
          <w:lang w:val="fr-FR"/>
        </w:rPr>
        <w:t> </w:t>
      </w:r>
      <w:r w:rsidR="009F18B9" w:rsidRPr="009F18B9">
        <w:rPr>
          <w:rFonts w:eastAsia="Cambria"/>
          <w:lang w:val="fr-FR"/>
        </w:rPr>
        <w:t>DHS à des fins de protection communautaire d</w:t>
      </w:r>
      <w:r w:rsidR="00D639EE">
        <w:rPr>
          <w:rFonts w:eastAsia="Cambria"/>
          <w:lang w:val="fr-FR"/>
        </w:rPr>
        <w:t>’</w:t>
      </w:r>
      <w:r w:rsidR="009F18B9" w:rsidRPr="009F18B9">
        <w:rPr>
          <w:rFonts w:eastAsia="Cambria"/>
          <w:lang w:val="fr-FR"/>
        </w:rPr>
        <w:t>obtentions végétales comprend le règlement de base</w:t>
      </w:r>
      <w:r w:rsidR="00D0172C">
        <w:rPr>
          <w:rFonts w:eastAsia="Cambria"/>
          <w:lang w:val="fr-FR"/>
        </w:rPr>
        <w:t> </w:t>
      </w:r>
      <w:r w:rsidR="009F18B9" w:rsidRPr="009F18B9">
        <w:rPr>
          <w:rFonts w:eastAsia="Cambria"/>
          <w:lang w:val="fr-FR"/>
        </w:rPr>
        <w:t>2100/94 de l</w:t>
      </w:r>
      <w:r w:rsidR="00D639EE">
        <w:rPr>
          <w:rFonts w:eastAsia="Cambria"/>
          <w:lang w:val="fr-FR"/>
        </w:rPr>
        <w:t>’</w:t>
      </w:r>
      <w:r w:rsidR="009F18B9" w:rsidRPr="009F18B9">
        <w:rPr>
          <w:rFonts w:eastAsia="Cambria"/>
          <w:lang w:val="fr-FR"/>
        </w:rPr>
        <w:t>OCVV et son règlement d</w:t>
      </w:r>
      <w:r w:rsidR="00D639EE">
        <w:rPr>
          <w:rFonts w:eastAsia="Cambria"/>
          <w:lang w:val="fr-FR"/>
        </w:rPr>
        <w:t>’</w:t>
      </w:r>
      <w:r w:rsidR="009F18B9" w:rsidRPr="009F18B9">
        <w:rPr>
          <w:rFonts w:eastAsia="Cambria"/>
          <w:lang w:val="fr-FR"/>
        </w:rPr>
        <w:t>application, les protocoles techniques de l</w:t>
      </w:r>
      <w:r w:rsidR="00D639EE">
        <w:rPr>
          <w:rFonts w:eastAsia="Cambria"/>
          <w:lang w:val="fr-FR"/>
        </w:rPr>
        <w:t>’</w:t>
      </w:r>
      <w:r w:rsidR="009F18B9" w:rsidRPr="009F18B9">
        <w:rPr>
          <w:rFonts w:eastAsia="Cambria"/>
          <w:lang w:val="fr-FR"/>
        </w:rPr>
        <w:t>OCVV et les documents d</w:t>
      </w:r>
      <w:r w:rsidR="00D639EE">
        <w:rPr>
          <w:rFonts w:eastAsia="Cambria"/>
          <w:lang w:val="fr-FR"/>
        </w:rPr>
        <w:t>’</w:t>
      </w:r>
      <w:r w:rsidR="009F18B9" w:rsidRPr="009F18B9">
        <w:rPr>
          <w:rFonts w:eastAsia="Cambria"/>
          <w:lang w:val="fr-FR"/>
        </w:rPr>
        <w:t>orientation adoptés par l</w:t>
      </w:r>
      <w:r w:rsidR="00D639EE">
        <w:rPr>
          <w:rFonts w:eastAsia="Cambria"/>
          <w:lang w:val="fr-FR"/>
        </w:rPr>
        <w:t>’</w:t>
      </w:r>
      <w:r w:rsidR="009F18B9" w:rsidRPr="009F18B9">
        <w:rPr>
          <w:rFonts w:eastAsia="Cambria"/>
          <w:lang w:val="fr-FR"/>
        </w:rPr>
        <w:t>UPOV</w:t>
      </w:r>
      <w:r w:rsidR="00EF6C3B" w:rsidRPr="0007414F">
        <w:rPr>
          <w:rFonts w:eastAsia="Cambria"/>
          <w:lang w:val="fr-FR"/>
        </w:rPr>
        <w:t>.</w:t>
      </w:r>
    </w:p>
    <w:p w14:paraId="315887B3" w14:textId="77777777" w:rsidR="00EF6C3B" w:rsidRPr="0007414F" w:rsidRDefault="00EF6C3B" w:rsidP="00EF6C3B">
      <w:pPr>
        <w:rPr>
          <w:rFonts w:eastAsia="Cambria"/>
          <w:lang w:val="fr-FR"/>
        </w:rPr>
      </w:pPr>
    </w:p>
    <w:p w14:paraId="2C5AACEE" w14:textId="47E9D03C" w:rsidR="00EF6C3B" w:rsidRPr="0007414F" w:rsidRDefault="002420F2" w:rsidP="00EF6C3B">
      <w:pPr>
        <w:rPr>
          <w:rFonts w:eastAsia="Cambria"/>
          <w:lang w:val="fr-FR"/>
        </w:rPr>
      </w:pPr>
      <w:r>
        <w:rPr>
          <w:rFonts w:eastAsia="Cambria"/>
          <w:lang w:val="fr-FR"/>
        </w:rPr>
        <w:t>L</w:t>
      </w:r>
      <w:r w:rsidR="00D639EE">
        <w:rPr>
          <w:rFonts w:eastAsia="Cambria"/>
          <w:lang w:val="fr-FR"/>
        </w:rPr>
        <w:t>’</w:t>
      </w:r>
      <w:r w:rsidR="009F18B9">
        <w:rPr>
          <w:rFonts w:eastAsia="Cambria"/>
          <w:lang w:val="fr-FR"/>
        </w:rPr>
        <w:t>OCVV</w:t>
      </w:r>
      <w:r w:rsidR="00EF6C3B" w:rsidRPr="0007414F">
        <w:rPr>
          <w:rFonts w:eastAsia="Cambria"/>
          <w:lang w:val="fr-FR"/>
        </w:rPr>
        <w:t xml:space="preserve"> </w:t>
      </w:r>
      <w:r w:rsidR="00017871" w:rsidRPr="00017871">
        <w:rPr>
          <w:rFonts w:eastAsia="Cambria"/>
          <w:lang w:val="fr-FR"/>
        </w:rPr>
        <w:t>n</w:t>
      </w:r>
      <w:r w:rsidR="00D639EE">
        <w:rPr>
          <w:rFonts w:eastAsia="Cambria"/>
          <w:lang w:val="fr-FR"/>
        </w:rPr>
        <w:t>’</w:t>
      </w:r>
      <w:r w:rsidR="00017871" w:rsidRPr="00017871">
        <w:rPr>
          <w:rFonts w:eastAsia="Cambria"/>
          <w:lang w:val="fr-FR"/>
        </w:rPr>
        <w:t>effectue pas d</w:t>
      </w:r>
      <w:r w:rsidR="00D639EE">
        <w:rPr>
          <w:rFonts w:eastAsia="Cambria"/>
          <w:lang w:val="fr-FR"/>
        </w:rPr>
        <w:t>’</w:t>
      </w:r>
      <w:r w:rsidR="00017871" w:rsidRPr="00017871">
        <w:rPr>
          <w:rFonts w:eastAsia="Cambria"/>
          <w:lang w:val="fr-FR"/>
        </w:rPr>
        <w:t>examens DHS lui</w:t>
      </w:r>
      <w:r w:rsidR="006E7E88">
        <w:rPr>
          <w:rFonts w:eastAsia="Cambria"/>
          <w:lang w:val="fr-FR"/>
        </w:rPr>
        <w:noBreakHyphen/>
      </w:r>
      <w:r w:rsidR="00017871" w:rsidRPr="00017871">
        <w:rPr>
          <w:rFonts w:eastAsia="Cambria"/>
          <w:lang w:val="fr-FR"/>
        </w:rPr>
        <w:t>même mais, comme indiqué à l</w:t>
      </w:r>
      <w:r w:rsidR="00D639EE">
        <w:rPr>
          <w:rFonts w:eastAsia="Cambria"/>
          <w:lang w:val="fr-FR"/>
        </w:rPr>
        <w:t>’</w:t>
      </w:r>
      <w:r w:rsidR="00D639EE" w:rsidRPr="00017871">
        <w:rPr>
          <w:rFonts w:eastAsia="Cambria"/>
          <w:lang w:val="fr-FR"/>
        </w:rPr>
        <w:t>article</w:t>
      </w:r>
      <w:r w:rsidR="00D639EE">
        <w:rPr>
          <w:rFonts w:eastAsia="Cambria"/>
          <w:lang w:val="fr-FR"/>
        </w:rPr>
        <w:t> </w:t>
      </w:r>
      <w:r w:rsidR="00D639EE" w:rsidRPr="00017871">
        <w:rPr>
          <w:rFonts w:eastAsia="Cambria"/>
          <w:lang w:val="fr-FR"/>
        </w:rPr>
        <w:t>5</w:t>
      </w:r>
      <w:r w:rsidR="00017871" w:rsidRPr="00017871">
        <w:rPr>
          <w:rFonts w:eastAsia="Cambria"/>
          <w:lang w:val="fr-FR"/>
        </w:rPr>
        <w:t>6 du règlement de base, “il prend les dispositions voulues pour que l</w:t>
      </w:r>
      <w:r w:rsidR="00D639EE">
        <w:rPr>
          <w:rFonts w:eastAsia="Cambria"/>
          <w:lang w:val="fr-FR"/>
        </w:rPr>
        <w:t>’</w:t>
      </w:r>
      <w:r w:rsidR="00017871" w:rsidRPr="00017871">
        <w:rPr>
          <w:rFonts w:eastAsia="Cambria"/>
          <w:lang w:val="fr-FR"/>
        </w:rPr>
        <w:t>examen technique […] soit effectué, dans au moins un des États membres, par le ou les organismes compétents qui ont été chargés par le conseil d</w:t>
      </w:r>
      <w:r w:rsidR="00D639EE">
        <w:rPr>
          <w:rFonts w:eastAsia="Cambria"/>
          <w:lang w:val="fr-FR"/>
        </w:rPr>
        <w:t>’</w:t>
      </w:r>
      <w:r w:rsidR="00017871" w:rsidRPr="00017871">
        <w:rPr>
          <w:rFonts w:eastAsia="Cambria"/>
          <w:lang w:val="fr-FR"/>
        </w:rPr>
        <w:t>administration de l</w:t>
      </w:r>
      <w:r w:rsidR="00D639EE">
        <w:rPr>
          <w:rFonts w:eastAsia="Cambria"/>
          <w:lang w:val="fr-FR"/>
        </w:rPr>
        <w:t>’</w:t>
      </w:r>
      <w:r w:rsidR="00017871" w:rsidRPr="00017871">
        <w:rPr>
          <w:rFonts w:eastAsia="Cambria"/>
          <w:lang w:val="fr-FR"/>
        </w:rPr>
        <w:t>examen technique des variétés de l</w:t>
      </w:r>
      <w:r w:rsidR="00D639EE">
        <w:rPr>
          <w:rFonts w:eastAsia="Cambria"/>
          <w:lang w:val="fr-FR"/>
        </w:rPr>
        <w:t>’</w:t>
      </w:r>
      <w:r w:rsidR="00017871" w:rsidRPr="00017871">
        <w:rPr>
          <w:rFonts w:eastAsia="Cambria"/>
          <w:lang w:val="fr-FR"/>
        </w:rPr>
        <w:t>espèce concernée”</w:t>
      </w:r>
      <w:r w:rsidR="00EF6C3B" w:rsidRPr="0007414F">
        <w:rPr>
          <w:rFonts w:eastAsia="Cambria"/>
          <w:lang w:val="fr-FR"/>
        </w:rPr>
        <w:t>.</w:t>
      </w:r>
    </w:p>
    <w:p w14:paraId="2DA8E434" w14:textId="77777777" w:rsidR="00EF6C3B" w:rsidRPr="0007414F" w:rsidRDefault="00EF6C3B" w:rsidP="00EF6C3B">
      <w:pPr>
        <w:rPr>
          <w:rFonts w:eastAsia="Cambria"/>
          <w:lang w:val="fr-FR"/>
        </w:rPr>
      </w:pPr>
    </w:p>
    <w:p w14:paraId="43476C24" w14:textId="68E515DE" w:rsidR="00EF6C3B" w:rsidRPr="0007414F" w:rsidRDefault="00017871" w:rsidP="00EF6C3B">
      <w:pPr>
        <w:rPr>
          <w:rFonts w:eastAsia="Cambria"/>
          <w:lang w:val="fr-FR"/>
        </w:rPr>
      </w:pPr>
      <w:r w:rsidRPr="00017871">
        <w:rPr>
          <w:rFonts w:eastAsia="Cambria"/>
          <w:lang w:val="fr-FR"/>
        </w:rPr>
        <w:t>Lorsqu</w:t>
      </w:r>
      <w:r w:rsidR="00D639EE">
        <w:rPr>
          <w:rFonts w:eastAsia="Cambria"/>
          <w:lang w:val="fr-FR"/>
        </w:rPr>
        <w:t>’</w:t>
      </w:r>
      <w:r w:rsidRPr="00017871">
        <w:rPr>
          <w:rFonts w:eastAsia="Cambria"/>
          <w:lang w:val="fr-FR"/>
        </w:rPr>
        <w:t xml:space="preserve">ils procèdent à un examen technique, </w:t>
      </w:r>
      <w:proofErr w:type="gramStart"/>
      <w:r w:rsidRPr="00017871">
        <w:rPr>
          <w:rFonts w:eastAsia="Cambria"/>
          <w:lang w:val="fr-FR"/>
        </w:rPr>
        <w:t>“[</w:t>
      </w:r>
      <w:proofErr w:type="gramEnd"/>
      <w:r w:rsidRPr="00017871">
        <w:rPr>
          <w:rFonts w:eastAsia="Cambria"/>
          <w:lang w:val="fr-FR"/>
        </w:rPr>
        <w:t xml:space="preserve">…] les </w:t>
      </w:r>
      <w:r w:rsidR="00444474">
        <w:rPr>
          <w:rFonts w:eastAsia="Cambria"/>
          <w:lang w:val="fr-FR"/>
        </w:rPr>
        <w:t>servic</w:t>
      </w:r>
      <w:r w:rsidRPr="00017871">
        <w:rPr>
          <w:rFonts w:eastAsia="Cambria"/>
          <w:lang w:val="fr-FR"/>
        </w:rPr>
        <w:t>es d</w:t>
      </w:r>
      <w:r w:rsidR="00D639EE">
        <w:rPr>
          <w:rFonts w:eastAsia="Cambria"/>
          <w:lang w:val="fr-FR"/>
        </w:rPr>
        <w:t>’</w:t>
      </w:r>
      <w:r w:rsidRPr="00017871">
        <w:rPr>
          <w:rFonts w:eastAsia="Cambria"/>
          <w:lang w:val="fr-FR"/>
        </w:rPr>
        <w:t>examens procèdent, aux fins de l</w:t>
      </w:r>
      <w:r w:rsidR="00D639EE">
        <w:rPr>
          <w:rFonts w:eastAsia="Cambria"/>
          <w:lang w:val="fr-FR"/>
        </w:rPr>
        <w:t>’</w:t>
      </w:r>
      <w:r w:rsidRPr="00017871">
        <w:rPr>
          <w:rFonts w:eastAsia="Cambria"/>
          <w:lang w:val="fr-FR"/>
        </w:rPr>
        <w:t>examen technique, à des essais en culture de la variété ou à toute autre investigation nécessaire” (</w:t>
      </w:r>
      <w:r w:rsidR="00D639EE" w:rsidRPr="00017871">
        <w:rPr>
          <w:rFonts w:eastAsia="Cambria"/>
          <w:lang w:val="fr-FR"/>
        </w:rPr>
        <w:t>article</w:t>
      </w:r>
      <w:r w:rsidR="00D639EE">
        <w:rPr>
          <w:rFonts w:eastAsia="Cambria"/>
          <w:lang w:val="fr-FR"/>
        </w:rPr>
        <w:t> </w:t>
      </w:r>
      <w:r w:rsidR="00D639EE" w:rsidRPr="00017871">
        <w:rPr>
          <w:rFonts w:eastAsia="Cambria"/>
          <w:lang w:val="fr-FR"/>
        </w:rPr>
        <w:t>5</w:t>
      </w:r>
      <w:r w:rsidRPr="00017871">
        <w:rPr>
          <w:rFonts w:eastAsia="Cambria"/>
          <w:lang w:val="fr-FR"/>
        </w:rPr>
        <w:t>6 du règlement de ba</w:t>
      </w:r>
      <w:r w:rsidR="001C11A6" w:rsidRPr="00017871">
        <w:rPr>
          <w:rFonts w:eastAsia="Cambria"/>
          <w:lang w:val="fr-FR"/>
        </w:rPr>
        <w:t>se)</w:t>
      </w:r>
      <w:r w:rsidR="001C11A6">
        <w:rPr>
          <w:rFonts w:eastAsia="Cambria"/>
          <w:lang w:val="fr-FR"/>
        </w:rPr>
        <w:t xml:space="preserve">.  </w:t>
      </w:r>
      <w:r w:rsidR="001C11A6" w:rsidRPr="00017871">
        <w:rPr>
          <w:rFonts w:eastAsia="Cambria"/>
          <w:lang w:val="fr-FR"/>
        </w:rPr>
        <w:t>Le</w:t>
      </w:r>
      <w:r w:rsidRPr="00017871">
        <w:rPr>
          <w:rFonts w:eastAsia="Cambria"/>
          <w:lang w:val="fr-FR"/>
        </w:rPr>
        <w:t>s techniques moléculaires peuvent donc être utilisées à l</w:t>
      </w:r>
      <w:r w:rsidR="00D639EE">
        <w:rPr>
          <w:rFonts w:eastAsia="Cambria"/>
          <w:lang w:val="fr-FR"/>
        </w:rPr>
        <w:t>’</w:t>
      </w:r>
      <w:r w:rsidRPr="00017871">
        <w:rPr>
          <w:rFonts w:eastAsia="Cambria"/>
          <w:lang w:val="fr-FR"/>
        </w:rPr>
        <w:t>appui de l</w:t>
      </w:r>
      <w:r w:rsidR="00D639EE">
        <w:rPr>
          <w:rFonts w:eastAsia="Cambria"/>
          <w:lang w:val="fr-FR"/>
        </w:rPr>
        <w:t>’</w:t>
      </w:r>
      <w:r w:rsidRPr="00017871">
        <w:rPr>
          <w:rFonts w:eastAsia="Cambria"/>
          <w:lang w:val="fr-FR"/>
        </w:rPr>
        <w:t>examen</w:t>
      </w:r>
      <w:r w:rsidR="001B53D1">
        <w:rPr>
          <w:rFonts w:eastAsia="Cambria"/>
          <w:lang w:val="fr-FR"/>
        </w:rPr>
        <w:t> </w:t>
      </w:r>
      <w:r w:rsidRPr="00017871">
        <w:rPr>
          <w:rFonts w:eastAsia="Cambria"/>
          <w:lang w:val="fr-FR"/>
        </w:rPr>
        <w:t>DHS par le service d</w:t>
      </w:r>
      <w:r w:rsidR="00D639EE">
        <w:rPr>
          <w:rFonts w:eastAsia="Cambria"/>
          <w:lang w:val="fr-FR"/>
        </w:rPr>
        <w:t>’</w:t>
      </w:r>
      <w:r w:rsidRPr="00017871">
        <w:rPr>
          <w:rFonts w:eastAsia="Cambria"/>
          <w:lang w:val="fr-FR"/>
        </w:rPr>
        <w:t>examen compétent, à condition que l</w:t>
      </w:r>
      <w:r w:rsidR="00D639EE">
        <w:rPr>
          <w:rFonts w:eastAsia="Cambria"/>
          <w:lang w:val="fr-FR"/>
        </w:rPr>
        <w:t>’</w:t>
      </w:r>
      <w:r w:rsidRPr="00017871">
        <w:rPr>
          <w:rFonts w:eastAsia="Cambria"/>
          <w:lang w:val="fr-FR"/>
        </w:rPr>
        <w:t>examen technique soit effectué conformément aux principes directeurs d</w:t>
      </w:r>
      <w:r w:rsidR="00D639EE">
        <w:rPr>
          <w:rFonts w:eastAsia="Cambria"/>
          <w:lang w:val="fr-FR"/>
        </w:rPr>
        <w:t>’</w:t>
      </w:r>
      <w:r w:rsidRPr="00017871">
        <w:rPr>
          <w:rFonts w:eastAsia="Cambria"/>
          <w:lang w:val="fr-FR"/>
        </w:rPr>
        <w:t>examen formulés par le conseil d</w:t>
      </w:r>
      <w:r w:rsidR="00D639EE">
        <w:rPr>
          <w:rFonts w:eastAsia="Cambria"/>
          <w:lang w:val="fr-FR"/>
        </w:rPr>
        <w:t>’</w:t>
      </w:r>
      <w:r w:rsidRPr="00017871">
        <w:rPr>
          <w:rFonts w:eastAsia="Cambria"/>
          <w:lang w:val="fr-FR"/>
        </w:rPr>
        <w:t>administration de l</w:t>
      </w:r>
      <w:r w:rsidR="00D639EE">
        <w:rPr>
          <w:rFonts w:eastAsia="Cambria"/>
          <w:lang w:val="fr-FR"/>
        </w:rPr>
        <w:t>’</w:t>
      </w:r>
      <w:r w:rsidRPr="00017871">
        <w:rPr>
          <w:rFonts w:eastAsia="Cambria"/>
          <w:lang w:val="fr-FR"/>
        </w:rPr>
        <w:t>OCVV</w:t>
      </w:r>
      <w:r w:rsidR="00EF6C3B" w:rsidRPr="0007414F">
        <w:rPr>
          <w:rFonts w:eastAsia="Cambria"/>
          <w:lang w:val="fr-FR"/>
        </w:rPr>
        <w:t>.</w:t>
      </w:r>
    </w:p>
    <w:p w14:paraId="260C8556" w14:textId="77777777" w:rsidR="00EF6C3B" w:rsidRPr="0007414F" w:rsidRDefault="00EF6C3B" w:rsidP="00EF6C3B">
      <w:pPr>
        <w:rPr>
          <w:rFonts w:eastAsia="Cambria"/>
          <w:lang w:val="fr-FR"/>
        </w:rPr>
      </w:pPr>
    </w:p>
    <w:p w14:paraId="4963E911" w14:textId="294520FB" w:rsidR="00EF6C3B" w:rsidRPr="0007414F" w:rsidRDefault="00017871" w:rsidP="00EF6C3B">
      <w:pPr>
        <w:rPr>
          <w:rFonts w:eastAsia="Cambria"/>
          <w:lang w:val="fr-FR"/>
        </w:rPr>
      </w:pPr>
      <w:r w:rsidRPr="00017871">
        <w:rPr>
          <w:rFonts w:eastAsia="Cambria"/>
          <w:lang w:val="fr-FR"/>
        </w:rPr>
        <w:t>Étant donné que lesdits principes directeurs sont utilisés à la fois pour la protection des obtentions végétales et pour leur enregistrement au sein de l</w:t>
      </w:r>
      <w:r w:rsidR="00D639EE">
        <w:rPr>
          <w:rFonts w:eastAsia="Cambria"/>
          <w:lang w:val="fr-FR"/>
        </w:rPr>
        <w:t>’</w:t>
      </w:r>
      <w:r w:rsidRPr="00017871">
        <w:rPr>
          <w:rFonts w:eastAsia="Cambria"/>
          <w:lang w:val="fr-FR"/>
        </w:rPr>
        <w:t>UE, les directives concernant le catalogue commun des variétés des espèces de plantes agricoles (directives du Conseil</w:t>
      </w:r>
      <w:r w:rsidR="00D0172C">
        <w:rPr>
          <w:rFonts w:eastAsia="Cambria"/>
          <w:lang w:val="fr-FR"/>
        </w:rPr>
        <w:t> </w:t>
      </w:r>
      <w:r w:rsidRPr="00017871">
        <w:rPr>
          <w:rFonts w:eastAsia="Cambria"/>
          <w:lang w:val="fr-FR"/>
        </w:rPr>
        <w:t>2002/53/CE et 2002/55/CE) doivent également être prises en considérati</w:t>
      </w:r>
      <w:r w:rsidR="001C11A6" w:rsidRPr="00017871">
        <w:rPr>
          <w:rFonts w:eastAsia="Cambria"/>
          <w:lang w:val="fr-FR"/>
        </w:rPr>
        <w:t>on</w:t>
      </w:r>
      <w:r w:rsidR="001C11A6">
        <w:rPr>
          <w:rFonts w:eastAsia="Cambria"/>
          <w:lang w:val="fr-FR"/>
        </w:rPr>
        <w:t xml:space="preserve">.  </w:t>
      </w:r>
      <w:r w:rsidR="001C11A6" w:rsidRPr="00017871">
        <w:rPr>
          <w:rFonts w:eastAsia="Cambria"/>
          <w:lang w:val="fr-FR"/>
        </w:rPr>
        <w:t>Se</w:t>
      </w:r>
      <w:r w:rsidRPr="00017871">
        <w:rPr>
          <w:rFonts w:eastAsia="Cambria"/>
          <w:lang w:val="fr-FR"/>
        </w:rPr>
        <w:t>lon ces directives, l</w:t>
      </w:r>
      <w:r w:rsidR="00D639EE">
        <w:rPr>
          <w:rFonts w:eastAsia="Cambria"/>
          <w:lang w:val="fr-FR"/>
        </w:rPr>
        <w:t>’</w:t>
      </w:r>
      <w:r w:rsidRPr="00017871">
        <w:rPr>
          <w:rFonts w:eastAsia="Cambria"/>
          <w:lang w:val="fr-FR"/>
        </w:rPr>
        <w:t>acceptation des obtentions végétales repose sur les résultats des examens officiels, notamment les essais en culture, couvrant un nombre suffisant de caractères de l</w:t>
      </w:r>
      <w:r w:rsidR="00D639EE">
        <w:rPr>
          <w:rFonts w:eastAsia="Cambria"/>
          <w:lang w:val="fr-FR"/>
        </w:rPr>
        <w:t>’</w:t>
      </w:r>
      <w:r w:rsidRPr="00017871">
        <w:rPr>
          <w:rFonts w:eastAsia="Cambria"/>
          <w:lang w:val="fr-FR"/>
        </w:rPr>
        <w:t>obtention à décri</w:t>
      </w:r>
      <w:r w:rsidR="001C11A6" w:rsidRPr="00017871">
        <w:rPr>
          <w:rFonts w:eastAsia="Cambria"/>
          <w:lang w:val="fr-FR"/>
        </w:rPr>
        <w:t>re</w:t>
      </w:r>
      <w:r w:rsidR="001C11A6">
        <w:rPr>
          <w:rFonts w:eastAsia="Cambria"/>
          <w:lang w:val="fr-FR"/>
        </w:rPr>
        <w:t xml:space="preserve">.  </w:t>
      </w:r>
      <w:r w:rsidR="001C11A6" w:rsidRPr="00017871">
        <w:rPr>
          <w:rFonts w:eastAsia="Cambria"/>
          <w:lang w:val="fr-FR"/>
        </w:rPr>
        <w:t>En</w:t>
      </w:r>
      <w:r w:rsidRPr="00017871">
        <w:rPr>
          <w:rFonts w:eastAsia="Cambria"/>
          <w:lang w:val="fr-FR"/>
        </w:rPr>
        <w:t xml:space="preserve"> conséquence, les techniques moléculaires peuvent être utilisées uniquement à titre d</w:t>
      </w:r>
      <w:r w:rsidR="00D639EE">
        <w:rPr>
          <w:rFonts w:eastAsia="Cambria"/>
          <w:lang w:val="fr-FR"/>
        </w:rPr>
        <w:t>’</w:t>
      </w:r>
      <w:r w:rsidRPr="00017871">
        <w:rPr>
          <w:rFonts w:eastAsia="Cambria"/>
          <w:lang w:val="fr-FR"/>
        </w:rPr>
        <w:t>instruments complémentaires, en sus des essais en culture</w:t>
      </w:r>
      <w:r w:rsidR="00EF6C3B" w:rsidRPr="0007414F">
        <w:rPr>
          <w:rFonts w:eastAsia="Cambria"/>
          <w:lang w:val="fr-FR"/>
        </w:rPr>
        <w:t>.</w:t>
      </w:r>
    </w:p>
    <w:p w14:paraId="18F10D31" w14:textId="77777777" w:rsidR="00EF6C3B" w:rsidRPr="0007414F" w:rsidRDefault="00EF6C3B" w:rsidP="00EF6C3B">
      <w:pPr>
        <w:rPr>
          <w:rFonts w:eastAsia="Cambria"/>
          <w:lang w:val="fr-FR"/>
        </w:rPr>
      </w:pPr>
    </w:p>
    <w:p w14:paraId="7293C65F" w14:textId="2254D3FD" w:rsidR="00EF6C3B" w:rsidRPr="0007414F" w:rsidRDefault="00017871" w:rsidP="00EF6C3B">
      <w:pPr>
        <w:rPr>
          <w:rFonts w:eastAsia="Cambria"/>
          <w:lang w:val="fr-FR"/>
        </w:rPr>
      </w:pPr>
      <w:r w:rsidRPr="00017871">
        <w:rPr>
          <w:rFonts w:eastAsia="Cambria"/>
          <w:lang w:val="fr-FR"/>
        </w:rPr>
        <w:t>En tant que membre de l</w:t>
      </w:r>
      <w:r w:rsidR="00D639EE">
        <w:rPr>
          <w:rFonts w:eastAsia="Cambria"/>
          <w:lang w:val="fr-FR"/>
        </w:rPr>
        <w:t>’</w:t>
      </w:r>
      <w:r w:rsidRPr="00017871">
        <w:rPr>
          <w:rFonts w:eastAsia="Cambria"/>
          <w:lang w:val="fr-FR"/>
        </w:rPr>
        <w:t>UPOV, l</w:t>
      </w:r>
      <w:r w:rsidR="00D639EE">
        <w:rPr>
          <w:rFonts w:eastAsia="Cambria"/>
          <w:lang w:val="fr-FR"/>
        </w:rPr>
        <w:t>’</w:t>
      </w:r>
      <w:r w:rsidRPr="00017871">
        <w:rPr>
          <w:rFonts w:eastAsia="Cambria"/>
          <w:lang w:val="fr-FR"/>
        </w:rPr>
        <w:t>OCVV respecte le cadre convenu pour l</w:t>
      </w:r>
      <w:r w:rsidR="00D639EE">
        <w:rPr>
          <w:rFonts w:eastAsia="Cambria"/>
          <w:lang w:val="fr-FR"/>
        </w:rPr>
        <w:t>’</w:t>
      </w:r>
      <w:r w:rsidRPr="00017871">
        <w:rPr>
          <w:rFonts w:eastAsia="Cambria"/>
          <w:lang w:val="fr-FR"/>
        </w:rPr>
        <w:t>utilisation des techniques moléculaires en matière d</w:t>
      </w:r>
      <w:r w:rsidR="00D639EE">
        <w:rPr>
          <w:rFonts w:eastAsia="Cambria"/>
          <w:lang w:val="fr-FR"/>
        </w:rPr>
        <w:t>’</w:t>
      </w:r>
      <w:r w:rsidRPr="00017871">
        <w:rPr>
          <w:rFonts w:eastAsia="Cambria"/>
          <w:lang w:val="fr-FR"/>
        </w:rPr>
        <w:t>examen</w:t>
      </w:r>
      <w:r w:rsidR="001B53D1">
        <w:rPr>
          <w:rFonts w:eastAsia="Cambria"/>
          <w:lang w:val="fr-FR"/>
        </w:rPr>
        <w:t> </w:t>
      </w:r>
      <w:r w:rsidRPr="00017871">
        <w:rPr>
          <w:rFonts w:eastAsia="Cambria"/>
          <w:lang w:val="fr-FR"/>
        </w:rPr>
        <w:t>DHS tel qu</w:t>
      </w:r>
      <w:r w:rsidR="00D639EE">
        <w:rPr>
          <w:rFonts w:eastAsia="Cambria"/>
          <w:lang w:val="fr-FR"/>
        </w:rPr>
        <w:t>’</w:t>
      </w:r>
      <w:r w:rsidRPr="00017871">
        <w:rPr>
          <w:rFonts w:eastAsia="Cambria"/>
          <w:lang w:val="fr-FR"/>
        </w:rPr>
        <w:t>établi dans les documents UPOV/INF/18 (adopté par le Conseil de l</w:t>
      </w:r>
      <w:r w:rsidR="00D639EE">
        <w:rPr>
          <w:rFonts w:eastAsia="Cambria"/>
          <w:lang w:val="fr-FR"/>
        </w:rPr>
        <w:t>’</w:t>
      </w:r>
      <w:r w:rsidRPr="00017871">
        <w:rPr>
          <w:rFonts w:eastAsia="Cambria"/>
          <w:lang w:val="fr-FR"/>
        </w:rPr>
        <w:t xml:space="preserve">UPOV </w:t>
      </w:r>
      <w:r w:rsidR="00D639EE" w:rsidRPr="00017871">
        <w:rPr>
          <w:rFonts w:eastAsia="Cambria"/>
          <w:lang w:val="fr-FR"/>
        </w:rPr>
        <w:t>en</w:t>
      </w:r>
      <w:r w:rsidR="00D639EE">
        <w:rPr>
          <w:rFonts w:eastAsia="Cambria"/>
          <w:lang w:val="fr-FR"/>
        </w:rPr>
        <w:t> </w:t>
      </w:r>
      <w:r w:rsidR="00D639EE" w:rsidRPr="00017871">
        <w:rPr>
          <w:rFonts w:eastAsia="Cambria"/>
          <w:lang w:val="fr-FR"/>
        </w:rPr>
        <w:t>2011</w:t>
      </w:r>
      <w:r w:rsidRPr="00017871">
        <w:rPr>
          <w:rFonts w:eastAsia="Cambria"/>
          <w:lang w:val="fr-FR"/>
        </w:rPr>
        <w:t>) et UPOV/TGP/15/3 (adopté par le Conseil de l</w:t>
      </w:r>
      <w:r w:rsidR="00D639EE">
        <w:rPr>
          <w:rFonts w:eastAsia="Cambria"/>
          <w:lang w:val="fr-FR"/>
        </w:rPr>
        <w:t>’</w:t>
      </w:r>
      <w:r w:rsidRPr="00017871">
        <w:rPr>
          <w:rFonts w:eastAsia="Cambria"/>
          <w:lang w:val="fr-FR"/>
        </w:rPr>
        <w:t xml:space="preserve">UPOV </w:t>
      </w:r>
      <w:r w:rsidR="00D639EE" w:rsidRPr="00017871">
        <w:rPr>
          <w:rFonts w:eastAsia="Cambria"/>
          <w:lang w:val="fr-FR"/>
        </w:rPr>
        <w:t>en</w:t>
      </w:r>
      <w:r w:rsidR="00D639EE">
        <w:rPr>
          <w:rFonts w:eastAsia="Cambria"/>
          <w:lang w:val="fr-FR"/>
        </w:rPr>
        <w:t> </w:t>
      </w:r>
      <w:r w:rsidR="00D639EE" w:rsidRPr="00017871">
        <w:rPr>
          <w:rFonts w:eastAsia="Cambria"/>
          <w:lang w:val="fr-FR"/>
        </w:rPr>
        <w:t>2020</w:t>
      </w:r>
      <w:r w:rsidRPr="00017871">
        <w:rPr>
          <w:rFonts w:eastAsia="Cambria"/>
          <w:lang w:val="fr-FR"/>
        </w:rPr>
        <w:t xml:space="preserve">). </w:t>
      </w:r>
      <w:r w:rsidR="001B53D1">
        <w:rPr>
          <w:rFonts w:eastAsia="Cambria"/>
          <w:lang w:val="fr-FR"/>
        </w:rPr>
        <w:t xml:space="preserve"> </w:t>
      </w:r>
      <w:r w:rsidRPr="00017871">
        <w:rPr>
          <w:rFonts w:eastAsia="Cambria"/>
          <w:lang w:val="fr-FR"/>
        </w:rPr>
        <w:t>Plus précisément, l</w:t>
      </w:r>
      <w:r w:rsidR="00D639EE">
        <w:rPr>
          <w:rFonts w:eastAsia="Cambria"/>
          <w:lang w:val="fr-FR"/>
        </w:rPr>
        <w:t>’</w:t>
      </w:r>
      <w:r w:rsidRPr="00017871">
        <w:rPr>
          <w:rFonts w:eastAsia="Cambria"/>
          <w:lang w:val="fr-FR"/>
        </w:rPr>
        <w:t>OCVV encourage l</w:t>
      </w:r>
      <w:r w:rsidR="00D639EE">
        <w:rPr>
          <w:rFonts w:eastAsia="Cambria"/>
          <w:lang w:val="fr-FR"/>
        </w:rPr>
        <w:t>’</w:t>
      </w:r>
      <w:r w:rsidRPr="00017871">
        <w:rPr>
          <w:rFonts w:eastAsia="Cambria"/>
          <w:lang w:val="fr-FR"/>
        </w:rPr>
        <w:t>application</w:t>
      </w:r>
      <w:r>
        <w:rPr>
          <w:rFonts w:eastAsia="Cambria"/>
          <w:lang w:val="fr-FR"/>
        </w:rPr>
        <w:t>,</w:t>
      </w:r>
      <w:r w:rsidRPr="00017871">
        <w:rPr>
          <w:rFonts w:eastAsia="Cambria"/>
          <w:lang w:val="fr-FR"/>
        </w:rPr>
        <w:t xml:space="preserve"> par le réseau de ses </w:t>
      </w:r>
      <w:r>
        <w:rPr>
          <w:rFonts w:eastAsia="Cambria"/>
          <w:lang w:val="fr-FR"/>
        </w:rPr>
        <w:t>serv</w:t>
      </w:r>
      <w:r w:rsidRPr="00017871">
        <w:rPr>
          <w:rFonts w:eastAsia="Cambria"/>
          <w:lang w:val="fr-FR"/>
        </w:rPr>
        <w:t>ices d</w:t>
      </w:r>
      <w:r w:rsidR="00D639EE">
        <w:rPr>
          <w:rFonts w:eastAsia="Cambria"/>
          <w:lang w:val="fr-FR"/>
        </w:rPr>
        <w:t>’</w:t>
      </w:r>
      <w:r w:rsidRPr="00017871">
        <w:rPr>
          <w:rFonts w:eastAsia="Cambria"/>
          <w:lang w:val="fr-FR"/>
        </w:rPr>
        <w:t>examen compétents</w:t>
      </w:r>
      <w:r>
        <w:rPr>
          <w:rFonts w:eastAsia="Cambria"/>
          <w:lang w:val="fr-FR"/>
        </w:rPr>
        <w:t>,</w:t>
      </w:r>
      <w:r w:rsidRPr="00017871">
        <w:rPr>
          <w:rFonts w:eastAsia="Cambria"/>
          <w:lang w:val="fr-FR"/>
        </w:rPr>
        <w:t xml:space="preserve"> des outils moléculaires correspondant aux modèles évalués positive</w:t>
      </w:r>
      <w:r>
        <w:rPr>
          <w:rFonts w:eastAsia="Cambria"/>
          <w:lang w:val="fr-FR"/>
        </w:rPr>
        <w:t>ment en termes</w:t>
      </w:r>
      <w:r w:rsidRPr="00017871">
        <w:rPr>
          <w:rFonts w:eastAsia="Cambria"/>
          <w:lang w:val="fr-FR"/>
        </w:rPr>
        <w:t xml:space="preserve"> de conformité </w:t>
      </w:r>
      <w:r>
        <w:rPr>
          <w:rFonts w:eastAsia="Cambria"/>
          <w:lang w:val="fr-FR"/>
        </w:rPr>
        <w:t>avec</w:t>
      </w:r>
      <w:r w:rsidRPr="00017871">
        <w:rPr>
          <w:rFonts w:eastAsia="Cambria"/>
          <w:lang w:val="fr-FR"/>
        </w:rPr>
        <w:t xml:space="preserve"> la </w:t>
      </w:r>
      <w:r w:rsidR="00D639EE">
        <w:rPr>
          <w:rFonts w:eastAsia="Cambria"/>
          <w:lang w:val="fr-FR"/>
        </w:rPr>
        <w:t>Convention UPOV</w:t>
      </w:r>
      <w:r w:rsidR="00EF6C3B" w:rsidRPr="0007414F">
        <w:rPr>
          <w:rFonts w:eastAsia="Cambria"/>
          <w:lang w:val="fr-FR"/>
        </w:rPr>
        <w:t>.</w:t>
      </w:r>
    </w:p>
    <w:p w14:paraId="2A2E25D8" w14:textId="1D9EF12F" w:rsidR="00EF6C3B" w:rsidRPr="0007414F" w:rsidRDefault="007522CA" w:rsidP="00EF6C3B">
      <w:pPr>
        <w:keepNext/>
        <w:numPr>
          <w:ilvl w:val="0"/>
          <w:numId w:val="5"/>
        </w:numPr>
        <w:suppressAutoHyphens/>
        <w:spacing w:before="360" w:after="240" w:line="259" w:lineRule="auto"/>
        <w:jc w:val="left"/>
        <w:outlineLvl w:val="0"/>
        <w:rPr>
          <w:rFonts w:cs="Arial"/>
          <w:spacing w:val="-3"/>
          <w:kern w:val="32"/>
          <w:szCs w:val="32"/>
          <w:lang w:val="fr-FR"/>
        </w:rPr>
      </w:pPr>
      <w:r w:rsidRPr="007522CA">
        <w:rPr>
          <w:rFonts w:cs="Arial"/>
          <w:spacing w:val="-3"/>
          <w:kern w:val="32"/>
          <w:szCs w:val="32"/>
          <w:lang w:val="fr-FR"/>
        </w:rPr>
        <w:t>Modèles soutenus par l</w:t>
      </w:r>
      <w:r w:rsidR="00D639EE">
        <w:rPr>
          <w:rFonts w:cs="Arial"/>
          <w:spacing w:val="-3"/>
          <w:kern w:val="32"/>
          <w:szCs w:val="32"/>
          <w:lang w:val="fr-FR"/>
        </w:rPr>
        <w:t>’</w:t>
      </w:r>
      <w:r w:rsidRPr="007522CA">
        <w:rPr>
          <w:rFonts w:cs="Arial"/>
          <w:spacing w:val="-3"/>
          <w:kern w:val="32"/>
          <w:szCs w:val="32"/>
          <w:lang w:val="fr-FR"/>
        </w:rPr>
        <w:t>OCVV et exemples d</w:t>
      </w:r>
      <w:r w:rsidR="00D639EE">
        <w:rPr>
          <w:rFonts w:cs="Arial"/>
          <w:spacing w:val="-3"/>
          <w:kern w:val="32"/>
          <w:szCs w:val="32"/>
          <w:lang w:val="fr-FR"/>
        </w:rPr>
        <w:t>’</w:t>
      </w:r>
      <w:r w:rsidRPr="007522CA">
        <w:rPr>
          <w:rFonts w:cs="Arial"/>
          <w:spacing w:val="-3"/>
          <w:kern w:val="32"/>
          <w:szCs w:val="32"/>
          <w:lang w:val="fr-FR"/>
        </w:rPr>
        <w:t>application</w:t>
      </w:r>
    </w:p>
    <w:p w14:paraId="476EA8B5" w14:textId="74C5C78D" w:rsidR="00EF6C3B" w:rsidRDefault="007522CA" w:rsidP="007522CA">
      <w:pPr>
        <w:pStyle w:val="ListParagraph"/>
        <w:numPr>
          <w:ilvl w:val="1"/>
          <w:numId w:val="5"/>
        </w:numPr>
        <w:rPr>
          <w:rFonts w:cs="Arial"/>
          <w:spacing w:val="-3"/>
          <w:kern w:val="32"/>
          <w:lang w:val="fr-FR"/>
        </w:rPr>
      </w:pPr>
      <w:r w:rsidRPr="007522CA">
        <w:rPr>
          <w:rFonts w:cs="Arial"/>
          <w:spacing w:val="-3"/>
          <w:kern w:val="32"/>
          <w:lang w:val="fr-FR"/>
        </w:rPr>
        <w:t>Marqueurs propres au caractère</w:t>
      </w:r>
    </w:p>
    <w:p w14:paraId="62856215" w14:textId="77777777" w:rsidR="007522CA" w:rsidRPr="007522CA" w:rsidRDefault="007522CA" w:rsidP="007522CA">
      <w:pPr>
        <w:pStyle w:val="ListParagraph"/>
        <w:ind w:left="567"/>
        <w:rPr>
          <w:rFonts w:cs="Arial"/>
          <w:spacing w:val="-3"/>
          <w:kern w:val="32"/>
          <w:lang w:val="fr-FR"/>
        </w:rPr>
      </w:pPr>
    </w:p>
    <w:p w14:paraId="08131579" w14:textId="00114F81" w:rsidR="00D639EE" w:rsidRDefault="007522CA" w:rsidP="00EF6C3B">
      <w:pPr>
        <w:rPr>
          <w:rFonts w:eastAsia="Cambria"/>
          <w:lang w:val="fr-FR"/>
        </w:rPr>
      </w:pPr>
      <w:r>
        <w:rPr>
          <w:rFonts w:eastAsia="Cambria"/>
          <w:lang w:val="fr-FR"/>
        </w:rPr>
        <w:t>Les m</w:t>
      </w:r>
      <w:r w:rsidR="003E0D8D">
        <w:rPr>
          <w:rFonts w:eastAsia="Cambria"/>
          <w:lang w:val="fr-FR"/>
        </w:rPr>
        <w:t>arqueurs moléculaires</w:t>
      </w:r>
      <w:r>
        <w:rPr>
          <w:rFonts w:eastAsia="Cambria"/>
          <w:lang w:val="fr-FR"/>
        </w:rPr>
        <w:t xml:space="preserve"> </w:t>
      </w:r>
      <w:r w:rsidRPr="007522CA">
        <w:rPr>
          <w:rFonts w:eastAsia="Cambria"/>
          <w:lang w:val="fr-FR"/>
        </w:rPr>
        <w:t>peuvent être utilisés comme une solution alternative à l</w:t>
      </w:r>
      <w:r w:rsidR="00D639EE">
        <w:rPr>
          <w:rFonts w:eastAsia="Cambria"/>
          <w:lang w:val="fr-FR"/>
        </w:rPr>
        <w:t>’</w:t>
      </w:r>
      <w:r w:rsidRPr="007522CA">
        <w:rPr>
          <w:rFonts w:eastAsia="Cambria"/>
          <w:lang w:val="fr-FR"/>
        </w:rPr>
        <w:t>observation phénotypique, en tant que prédicteurs de caractères traditionnels difficiles ou fastidieux à évaluer, s</w:t>
      </w:r>
      <w:r w:rsidR="00D639EE">
        <w:rPr>
          <w:rFonts w:eastAsia="Cambria"/>
          <w:lang w:val="fr-FR"/>
        </w:rPr>
        <w:t>’</w:t>
      </w:r>
      <w:r w:rsidRPr="007522CA">
        <w:rPr>
          <w:rFonts w:eastAsia="Cambria"/>
          <w:lang w:val="fr-FR"/>
        </w:rPr>
        <w:t>il existe un lien cla</w:t>
      </w:r>
      <w:r w:rsidR="001C11A6" w:rsidRPr="007522CA">
        <w:rPr>
          <w:rFonts w:eastAsia="Cambria"/>
          <w:lang w:val="fr-FR"/>
        </w:rPr>
        <w:t>ir</w:t>
      </w:r>
      <w:r w:rsidR="001C11A6">
        <w:rPr>
          <w:rFonts w:eastAsia="Cambria"/>
          <w:lang w:val="fr-FR"/>
        </w:rPr>
        <w:t xml:space="preserve">.  </w:t>
      </w:r>
      <w:r w:rsidR="001C11A6" w:rsidRPr="007522CA">
        <w:rPr>
          <w:rFonts w:eastAsia="Cambria"/>
          <w:lang w:val="fr-FR"/>
        </w:rPr>
        <w:t>Il</w:t>
      </w:r>
      <w:r w:rsidRPr="007522CA">
        <w:rPr>
          <w:rFonts w:eastAsia="Cambria"/>
          <w:lang w:val="fr-FR"/>
        </w:rPr>
        <w:t>s peuvent être totalement ou partiellement corrélés au phénoty</w:t>
      </w:r>
      <w:r w:rsidR="001C11A6" w:rsidRPr="007522CA">
        <w:rPr>
          <w:rFonts w:eastAsia="Cambria"/>
          <w:lang w:val="fr-FR"/>
        </w:rPr>
        <w:t>pe</w:t>
      </w:r>
      <w:r w:rsidR="001C11A6">
        <w:rPr>
          <w:rFonts w:eastAsia="Cambria"/>
          <w:lang w:val="fr-FR"/>
        </w:rPr>
        <w:t xml:space="preserve">.  </w:t>
      </w:r>
      <w:r w:rsidR="001C11A6" w:rsidRPr="007522CA">
        <w:rPr>
          <w:rFonts w:eastAsia="Cambria"/>
          <w:lang w:val="fr-FR"/>
        </w:rPr>
        <w:t>Ce</w:t>
      </w:r>
      <w:r w:rsidRPr="007522CA">
        <w:rPr>
          <w:rFonts w:eastAsia="Cambria"/>
          <w:lang w:val="fr-FR"/>
        </w:rPr>
        <w:t>s méthodes font partie de protocoles techniques de l</w:t>
      </w:r>
      <w:r w:rsidR="00D639EE">
        <w:rPr>
          <w:rFonts w:eastAsia="Cambria"/>
          <w:lang w:val="fr-FR"/>
        </w:rPr>
        <w:t>’</w:t>
      </w:r>
      <w:r w:rsidRPr="007522CA">
        <w:rPr>
          <w:rFonts w:eastAsia="Cambria"/>
          <w:lang w:val="fr-FR"/>
        </w:rPr>
        <w:t xml:space="preserve">OCVV reposant sur une évaluation/validation et une suggestion des groupes de </w:t>
      </w:r>
      <w:proofErr w:type="spellStart"/>
      <w:r w:rsidRPr="007522CA">
        <w:rPr>
          <w:rFonts w:eastAsia="Cambria"/>
          <w:lang w:val="fr-FR"/>
        </w:rPr>
        <w:t>phytotechniciens</w:t>
      </w:r>
      <w:proofErr w:type="spellEnd"/>
      <w:r w:rsidRPr="007522CA">
        <w:rPr>
          <w:rFonts w:eastAsia="Cambria"/>
          <w:lang w:val="fr-FR"/>
        </w:rPr>
        <w:t xml:space="preserve"> de l</w:t>
      </w:r>
      <w:r w:rsidR="00D639EE">
        <w:rPr>
          <w:rFonts w:eastAsia="Cambria"/>
          <w:lang w:val="fr-FR"/>
        </w:rPr>
        <w:t>’</w:t>
      </w:r>
      <w:r w:rsidRPr="007522CA">
        <w:rPr>
          <w:rFonts w:eastAsia="Cambria"/>
          <w:lang w:val="fr-FR"/>
        </w:rPr>
        <w:t>OCVV</w:t>
      </w:r>
      <w:r w:rsidR="00EF6C3B" w:rsidRPr="0007414F">
        <w:rPr>
          <w:rFonts w:eastAsia="Cambria"/>
          <w:lang w:val="fr-FR"/>
        </w:rPr>
        <w:t>.</w:t>
      </w:r>
    </w:p>
    <w:p w14:paraId="09747FC8" w14:textId="18148F72" w:rsidR="00EF6C3B" w:rsidRPr="0007414F" w:rsidRDefault="007522CA" w:rsidP="00EF6C3B">
      <w:pPr>
        <w:keepNext/>
        <w:numPr>
          <w:ilvl w:val="2"/>
          <w:numId w:val="5"/>
        </w:numPr>
        <w:suppressAutoHyphens/>
        <w:spacing w:before="360" w:after="240" w:line="259" w:lineRule="auto"/>
        <w:jc w:val="left"/>
        <w:outlineLvl w:val="2"/>
        <w:rPr>
          <w:rFonts w:eastAsia="Cambria" w:cs="Arial"/>
          <w:bCs/>
          <w:spacing w:val="-3"/>
          <w:lang w:val="fr-FR"/>
        </w:rPr>
      </w:pPr>
      <w:r w:rsidRPr="007522CA">
        <w:rPr>
          <w:rFonts w:eastAsia="Cambria" w:cs="Arial"/>
          <w:bCs/>
          <w:spacing w:val="-3"/>
          <w:lang w:val="fr-FR"/>
        </w:rPr>
        <w:t>Marqueurs corrélés à 100% à un niveau d</w:t>
      </w:r>
      <w:r w:rsidR="00D639EE">
        <w:rPr>
          <w:rFonts w:eastAsia="Cambria" w:cs="Arial"/>
          <w:bCs/>
          <w:spacing w:val="-3"/>
          <w:lang w:val="fr-FR"/>
        </w:rPr>
        <w:t>’</w:t>
      </w:r>
      <w:r w:rsidRPr="007522CA">
        <w:rPr>
          <w:rFonts w:eastAsia="Cambria" w:cs="Arial"/>
          <w:bCs/>
          <w:spacing w:val="-3"/>
          <w:lang w:val="fr-FR"/>
        </w:rPr>
        <w:t>expression retenu du caractère</w:t>
      </w:r>
    </w:p>
    <w:p w14:paraId="104366D5" w14:textId="05D24069" w:rsidR="007522CA" w:rsidRPr="006603D6" w:rsidRDefault="007522CA" w:rsidP="006603D6">
      <w:pPr>
        <w:rPr>
          <w:rFonts w:eastAsia="Cambria"/>
          <w:lang w:val="fr-FR"/>
        </w:rPr>
      </w:pPr>
      <w:r w:rsidRPr="006603D6">
        <w:rPr>
          <w:rFonts w:eastAsia="Cambria"/>
          <w:lang w:val="fr-FR"/>
        </w:rPr>
        <w:t>Dans ce cas, le marqueur peut remplacer l</w:t>
      </w:r>
      <w:r w:rsidR="00D639EE">
        <w:rPr>
          <w:rFonts w:eastAsia="Cambria"/>
          <w:lang w:val="fr-FR"/>
        </w:rPr>
        <w:t>’</w:t>
      </w:r>
      <w:r w:rsidRPr="006603D6">
        <w:rPr>
          <w:rFonts w:eastAsia="Cambria"/>
          <w:lang w:val="fr-FR"/>
        </w:rPr>
        <w:t>observation phénotypique.</w:t>
      </w:r>
    </w:p>
    <w:p w14:paraId="04CCA9A3" w14:textId="77777777" w:rsidR="007522CA" w:rsidRPr="007522CA" w:rsidRDefault="007522CA" w:rsidP="007522CA">
      <w:pPr>
        <w:pStyle w:val="ListParagraph"/>
        <w:ind w:left="567"/>
        <w:rPr>
          <w:rFonts w:eastAsia="Cambria"/>
          <w:lang w:val="fr-FR"/>
        </w:rPr>
      </w:pPr>
    </w:p>
    <w:p w14:paraId="3A9484CB" w14:textId="70D6C5C7" w:rsidR="007522CA" w:rsidRPr="007522CA" w:rsidRDefault="007522CA" w:rsidP="003554BF">
      <w:pPr>
        <w:pStyle w:val="ListParagraph"/>
        <w:ind w:left="0"/>
        <w:rPr>
          <w:rFonts w:eastAsia="Cambria"/>
          <w:lang w:val="fr-FR"/>
        </w:rPr>
      </w:pPr>
      <w:r w:rsidRPr="007522CA">
        <w:rPr>
          <w:rFonts w:eastAsia="Cambria"/>
          <w:lang w:val="fr-FR"/>
        </w:rPr>
        <w:t>Exemples de caractères concernés</w:t>
      </w:r>
      <w:r w:rsidR="00D639EE">
        <w:rPr>
          <w:rFonts w:eastAsia="Cambria"/>
          <w:lang w:val="fr-FR"/>
        </w:rPr>
        <w:t> :</w:t>
      </w:r>
    </w:p>
    <w:p w14:paraId="6EB72A86" w14:textId="3CC52BDF" w:rsidR="007522CA" w:rsidRPr="007522CA" w:rsidRDefault="00D0172C" w:rsidP="003554BF">
      <w:pPr>
        <w:pStyle w:val="ListParagraph"/>
        <w:tabs>
          <w:tab w:val="left" w:pos="1134"/>
        </w:tabs>
        <w:ind w:left="1134" w:hanging="567"/>
        <w:rPr>
          <w:rFonts w:eastAsia="Cambria"/>
          <w:lang w:val="fr-FR"/>
        </w:rPr>
      </w:pPr>
      <w:r>
        <w:rPr>
          <w:rFonts w:eastAsia="Cambria"/>
          <w:lang w:val="fr-FR"/>
        </w:rPr>
        <w:t>–</w:t>
      </w:r>
      <w:r w:rsidR="007522CA" w:rsidRPr="007522CA">
        <w:rPr>
          <w:rFonts w:eastAsia="Cambria"/>
          <w:lang w:val="fr-FR"/>
        </w:rPr>
        <w:t xml:space="preserve"> </w:t>
      </w:r>
      <w:r w:rsidR="007522CA" w:rsidRPr="007522CA">
        <w:rPr>
          <w:rFonts w:eastAsia="Cambria"/>
          <w:lang w:val="fr-FR"/>
        </w:rPr>
        <w:tab/>
        <w:t xml:space="preserve">résistances aux maladies </w:t>
      </w:r>
      <w:proofErr w:type="spellStart"/>
      <w:r w:rsidR="007522CA" w:rsidRPr="007522CA">
        <w:rPr>
          <w:rFonts w:eastAsia="Cambria"/>
          <w:lang w:val="fr-FR"/>
        </w:rPr>
        <w:t>monogéniques</w:t>
      </w:r>
      <w:proofErr w:type="spellEnd"/>
      <w:r w:rsidR="007522CA" w:rsidRPr="007522CA">
        <w:rPr>
          <w:rFonts w:eastAsia="Cambria"/>
          <w:lang w:val="fr-FR"/>
        </w:rPr>
        <w:t xml:space="preserve"> ou </w:t>
      </w:r>
      <w:proofErr w:type="spellStart"/>
      <w:r w:rsidR="007522CA" w:rsidRPr="007522CA">
        <w:rPr>
          <w:rFonts w:eastAsia="Cambria"/>
          <w:lang w:val="fr-FR"/>
        </w:rPr>
        <w:t>oligogéniques</w:t>
      </w:r>
      <w:proofErr w:type="spellEnd"/>
      <w:r w:rsidR="007522CA" w:rsidRPr="007522CA">
        <w:rPr>
          <w:rFonts w:eastAsia="Cambria"/>
          <w:lang w:val="fr-FR"/>
        </w:rPr>
        <w:t xml:space="preserve"> (p. ex. maladies des plantes potagères, résistance à la nématode </w:t>
      </w:r>
      <w:proofErr w:type="spellStart"/>
      <w:r w:rsidR="007522CA" w:rsidRPr="007522CA">
        <w:rPr>
          <w:rFonts w:eastAsia="Cambria"/>
          <w:i/>
          <w:iCs/>
          <w:lang w:val="fr-FR"/>
        </w:rPr>
        <w:t>Heterodera</w:t>
      </w:r>
      <w:proofErr w:type="spellEnd"/>
      <w:r w:rsidR="007522CA" w:rsidRPr="007522CA">
        <w:rPr>
          <w:rFonts w:eastAsia="Cambria"/>
          <w:i/>
          <w:iCs/>
          <w:lang w:val="fr-FR"/>
        </w:rPr>
        <w:t xml:space="preserve"> </w:t>
      </w:r>
      <w:proofErr w:type="spellStart"/>
      <w:r w:rsidR="007522CA" w:rsidRPr="007522CA">
        <w:rPr>
          <w:rFonts w:eastAsia="Cambria"/>
          <w:i/>
          <w:iCs/>
          <w:lang w:val="fr-FR"/>
        </w:rPr>
        <w:t>schaschtii</w:t>
      </w:r>
      <w:proofErr w:type="spellEnd"/>
      <w:r w:rsidR="007522CA" w:rsidRPr="007522CA">
        <w:rPr>
          <w:rFonts w:eastAsia="Cambria"/>
          <w:lang w:val="fr-FR"/>
        </w:rPr>
        <w:t xml:space="preserve"> chez la betterave à sucre)</w:t>
      </w:r>
    </w:p>
    <w:p w14:paraId="03E73B2A" w14:textId="34FB3B5E" w:rsidR="007522CA" w:rsidRPr="007522CA" w:rsidRDefault="00D0172C" w:rsidP="003554BF">
      <w:pPr>
        <w:pStyle w:val="ListParagraph"/>
        <w:tabs>
          <w:tab w:val="left" w:pos="1134"/>
        </w:tabs>
        <w:ind w:left="1134" w:hanging="567"/>
        <w:rPr>
          <w:rFonts w:eastAsia="Cambria"/>
          <w:lang w:val="fr-FR"/>
        </w:rPr>
      </w:pPr>
      <w:r>
        <w:rPr>
          <w:rFonts w:eastAsia="Cambria"/>
          <w:lang w:val="fr-FR"/>
        </w:rPr>
        <w:t>–</w:t>
      </w:r>
      <w:r w:rsidR="007522CA" w:rsidRPr="007522CA">
        <w:rPr>
          <w:rFonts w:eastAsia="Cambria"/>
          <w:lang w:val="fr-FR"/>
        </w:rPr>
        <w:t xml:space="preserve"> </w:t>
      </w:r>
      <w:r w:rsidR="007522CA" w:rsidRPr="007522CA">
        <w:rPr>
          <w:rFonts w:eastAsia="Cambria"/>
          <w:lang w:val="fr-FR"/>
        </w:rPr>
        <w:tab/>
        <w:t>stérilité mâle cytoplasmique du chou</w:t>
      </w:r>
    </w:p>
    <w:p w14:paraId="58D55DB3" w14:textId="0D87D31A" w:rsidR="007522CA" w:rsidRPr="007522CA" w:rsidRDefault="00D0172C" w:rsidP="003554BF">
      <w:pPr>
        <w:pStyle w:val="ListParagraph"/>
        <w:tabs>
          <w:tab w:val="left" w:pos="1134"/>
        </w:tabs>
        <w:ind w:left="1134" w:hanging="567"/>
        <w:rPr>
          <w:rFonts w:eastAsia="Cambria"/>
          <w:lang w:val="fr-FR"/>
        </w:rPr>
      </w:pPr>
      <w:r>
        <w:rPr>
          <w:rFonts w:eastAsia="Cambria"/>
          <w:lang w:val="fr-FR"/>
        </w:rPr>
        <w:t>–</w:t>
      </w:r>
      <w:r w:rsidR="007522CA" w:rsidRPr="007522CA">
        <w:rPr>
          <w:rFonts w:eastAsia="Cambria"/>
          <w:lang w:val="fr-FR"/>
        </w:rPr>
        <w:t xml:space="preserve"> </w:t>
      </w:r>
      <w:r w:rsidR="007522CA" w:rsidRPr="007522CA">
        <w:rPr>
          <w:rFonts w:eastAsia="Cambria"/>
          <w:lang w:val="fr-FR"/>
        </w:rPr>
        <w:tab/>
        <w:t>herbicides (tournesol, colza)</w:t>
      </w:r>
    </w:p>
    <w:p w14:paraId="0C7872A6" w14:textId="77777777" w:rsidR="007522CA" w:rsidRPr="007522CA" w:rsidRDefault="007522CA" w:rsidP="007522CA">
      <w:pPr>
        <w:pStyle w:val="ListParagraph"/>
        <w:ind w:left="567"/>
        <w:rPr>
          <w:rFonts w:eastAsia="Cambria"/>
          <w:lang w:val="fr-FR"/>
        </w:rPr>
      </w:pPr>
    </w:p>
    <w:p w14:paraId="4BBA757B" w14:textId="3FF5A04E" w:rsidR="00EF6C3B" w:rsidRPr="007522CA" w:rsidRDefault="007522CA" w:rsidP="003554BF">
      <w:pPr>
        <w:pStyle w:val="ListParagraph"/>
        <w:ind w:left="0"/>
        <w:rPr>
          <w:rFonts w:eastAsia="Cambria"/>
          <w:lang w:val="fr-FR"/>
        </w:rPr>
      </w:pPr>
      <w:r w:rsidRPr="007522CA">
        <w:rPr>
          <w:rFonts w:eastAsia="Cambria"/>
          <w:lang w:val="fr-FR"/>
        </w:rPr>
        <w:t>À ce jour, aucun de ces marqueurs n</w:t>
      </w:r>
      <w:r w:rsidR="00D639EE">
        <w:rPr>
          <w:rFonts w:eastAsia="Cambria"/>
          <w:lang w:val="fr-FR"/>
        </w:rPr>
        <w:t>’</w:t>
      </w:r>
      <w:r w:rsidRPr="007522CA">
        <w:rPr>
          <w:rFonts w:eastAsia="Cambria"/>
          <w:lang w:val="fr-FR"/>
        </w:rPr>
        <w:t>a été inclus dans les protocoles techniques de l</w:t>
      </w:r>
      <w:r w:rsidR="00D639EE">
        <w:rPr>
          <w:rFonts w:eastAsia="Cambria"/>
          <w:lang w:val="fr-FR"/>
        </w:rPr>
        <w:t>’</w:t>
      </w:r>
      <w:r w:rsidRPr="007522CA">
        <w:rPr>
          <w:rFonts w:eastAsia="Cambria"/>
          <w:lang w:val="fr-FR"/>
        </w:rPr>
        <w:t>OCVV</w:t>
      </w:r>
      <w:r w:rsidR="00EF6C3B" w:rsidRPr="007522CA">
        <w:rPr>
          <w:rFonts w:eastAsia="Cambria"/>
          <w:lang w:val="fr-FR"/>
        </w:rPr>
        <w:t>.</w:t>
      </w:r>
    </w:p>
    <w:p w14:paraId="01D973DD" w14:textId="0582DCE3" w:rsidR="007522CA" w:rsidRPr="007522CA" w:rsidRDefault="007522CA" w:rsidP="007522CA">
      <w:pPr>
        <w:keepNext/>
        <w:numPr>
          <w:ilvl w:val="2"/>
          <w:numId w:val="5"/>
        </w:numPr>
        <w:suppressAutoHyphens/>
        <w:spacing w:before="360" w:after="240" w:line="259" w:lineRule="auto"/>
        <w:jc w:val="left"/>
        <w:outlineLvl w:val="2"/>
        <w:rPr>
          <w:rFonts w:eastAsia="Cambria" w:cs="Arial"/>
          <w:bCs/>
          <w:spacing w:val="-3"/>
          <w:lang w:val="fr-FR"/>
        </w:rPr>
      </w:pPr>
      <w:r w:rsidRPr="007522CA">
        <w:rPr>
          <w:rFonts w:eastAsia="Cambria" w:cs="Arial"/>
          <w:bCs/>
          <w:spacing w:val="-3"/>
          <w:lang w:val="fr-FR"/>
        </w:rPr>
        <w:t>Marqueurs fournissant des informations incomplètes sur le niveau d</w:t>
      </w:r>
      <w:r w:rsidR="00D639EE">
        <w:rPr>
          <w:rFonts w:eastAsia="Cambria" w:cs="Arial"/>
          <w:bCs/>
          <w:spacing w:val="-3"/>
          <w:lang w:val="fr-FR"/>
        </w:rPr>
        <w:t>’</w:t>
      </w:r>
      <w:r w:rsidRPr="007522CA">
        <w:rPr>
          <w:rFonts w:eastAsia="Cambria" w:cs="Arial"/>
          <w:bCs/>
          <w:spacing w:val="-3"/>
          <w:lang w:val="fr-FR"/>
        </w:rPr>
        <w:t>expression du caractère</w:t>
      </w:r>
    </w:p>
    <w:p w14:paraId="0E3E9CCF" w14:textId="75D48989" w:rsidR="007522CA" w:rsidRPr="007522CA" w:rsidRDefault="007522CA" w:rsidP="007522CA">
      <w:pPr>
        <w:rPr>
          <w:rFonts w:eastAsia="Cambria"/>
          <w:lang w:val="fr-FR"/>
        </w:rPr>
      </w:pPr>
      <w:r w:rsidRPr="007522CA">
        <w:rPr>
          <w:rFonts w:eastAsia="Cambria"/>
          <w:lang w:val="fr-FR"/>
        </w:rPr>
        <w:t>Dans ce cas, le marqueur est seulement partiellement relié au caractère et fournit une information incomplète sur le niveau d</w:t>
      </w:r>
      <w:r w:rsidR="00D639EE">
        <w:rPr>
          <w:rFonts w:eastAsia="Cambria"/>
          <w:lang w:val="fr-FR"/>
        </w:rPr>
        <w:t>’</w:t>
      </w:r>
      <w:r w:rsidRPr="007522CA">
        <w:rPr>
          <w:rFonts w:eastAsia="Cambria"/>
          <w:lang w:val="fr-FR"/>
        </w:rPr>
        <w:t>expression du tra</w:t>
      </w:r>
      <w:r w:rsidR="001C11A6" w:rsidRPr="007522CA">
        <w:rPr>
          <w:rFonts w:eastAsia="Cambria"/>
          <w:lang w:val="fr-FR"/>
        </w:rPr>
        <w:t>it</w:t>
      </w:r>
      <w:r w:rsidR="001C11A6">
        <w:rPr>
          <w:rFonts w:eastAsia="Cambria"/>
          <w:lang w:val="fr-FR"/>
        </w:rPr>
        <w:t xml:space="preserve">.  </w:t>
      </w:r>
      <w:r w:rsidR="001C11A6" w:rsidRPr="007522CA">
        <w:rPr>
          <w:rFonts w:eastAsia="Cambria"/>
          <w:lang w:val="fr-FR"/>
        </w:rPr>
        <w:t>So</w:t>
      </w:r>
      <w:r w:rsidRPr="007522CA">
        <w:rPr>
          <w:rFonts w:eastAsia="Cambria"/>
          <w:lang w:val="fr-FR"/>
        </w:rPr>
        <w:t>n utilisation doit être décrite dans une procédure d</w:t>
      </w:r>
      <w:r w:rsidR="00D639EE">
        <w:rPr>
          <w:rFonts w:eastAsia="Cambria"/>
          <w:lang w:val="fr-FR"/>
        </w:rPr>
        <w:t>’</w:t>
      </w:r>
      <w:r w:rsidRPr="007522CA">
        <w:rPr>
          <w:rFonts w:eastAsia="Cambria"/>
          <w:lang w:val="fr-FR"/>
        </w:rPr>
        <w:t>évaluation qui précise les situations dans lesquelles ce marqueur peut être utilisé et quand il doit d</w:t>
      </w:r>
      <w:r w:rsidR="00D639EE">
        <w:rPr>
          <w:rFonts w:eastAsia="Cambria"/>
          <w:lang w:val="fr-FR"/>
        </w:rPr>
        <w:t>’</w:t>
      </w:r>
      <w:r w:rsidRPr="007522CA">
        <w:rPr>
          <w:rFonts w:eastAsia="Cambria"/>
          <w:lang w:val="fr-FR"/>
        </w:rPr>
        <w:t>être complété par une observation phénotypique.</w:t>
      </w:r>
    </w:p>
    <w:p w14:paraId="13127B89" w14:textId="77777777" w:rsidR="007522CA" w:rsidRPr="007522CA" w:rsidRDefault="007522CA" w:rsidP="007522CA">
      <w:pPr>
        <w:rPr>
          <w:rFonts w:eastAsia="Cambria"/>
          <w:lang w:val="fr-FR"/>
        </w:rPr>
      </w:pPr>
    </w:p>
    <w:p w14:paraId="4719E214" w14:textId="77E61124" w:rsidR="007522CA" w:rsidRPr="007522CA" w:rsidRDefault="007522CA" w:rsidP="007522CA">
      <w:pPr>
        <w:rPr>
          <w:rFonts w:eastAsia="Cambria"/>
          <w:lang w:val="fr-FR"/>
        </w:rPr>
      </w:pPr>
      <w:r w:rsidRPr="007522CA">
        <w:rPr>
          <w:rFonts w:eastAsia="Cambria"/>
          <w:lang w:val="fr-FR"/>
        </w:rPr>
        <w:t>Exemples de caractères concernés</w:t>
      </w:r>
      <w:r w:rsidR="00D639EE">
        <w:rPr>
          <w:rFonts w:eastAsia="Cambria"/>
          <w:lang w:val="fr-FR"/>
        </w:rPr>
        <w:t> :</w:t>
      </w:r>
      <w:r w:rsidRPr="007522CA">
        <w:rPr>
          <w:rFonts w:eastAsia="Cambria"/>
          <w:lang w:val="fr-FR"/>
        </w:rPr>
        <w:t xml:space="preserve"> résistances quantitatives aux maladies chez les légumes, telles que</w:t>
      </w:r>
    </w:p>
    <w:p w14:paraId="4702F2A8" w14:textId="39F3D541" w:rsidR="007522CA" w:rsidRPr="007522CA" w:rsidRDefault="00D0172C" w:rsidP="003554BF">
      <w:pPr>
        <w:tabs>
          <w:tab w:val="left" w:pos="1134"/>
        </w:tabs>
        <w:ind w:left="567"/>
        <w:rPr>
          <w:rFonts w:eastAsia="Cambria"/>
          <w:lang w:val="fr-FR"/>
        </w:rPr>
      </w:pPr>
      <w:r>
        <w:rPr>
          <w:rFonts w:eastAsia="Cambria"/>
          <w:lang w:val="fr-FR"/>
        </w:rPr>
        <w:t>–</w:t>
      </w:r>
      <w:r w:rsidR="007522CA" w:rsidRPr="007522CA">
        <w:rPr>
          <w:rFonts w:eastAsia="Cambria"/>
          <w:lang w:val="fr-FR"/>
        </w:rPr>
        <w:t xml:space="preserve"> </w:t>
      </w:r>
      <w:r w:rsidR="007522CA" w:rsidRPr="007522CA">
        <w:rPr>
          <w:rFonts w:eastAsia="Cambria"/>
          <w:lang w:val="fr-FR"/>
        </w:rPr>
        <w:tab/>
        <w:t>virus de la mosaïque de la tomate (</w:t>
      </w:r>
      <w:proofErr w:type="spellStart"/>
      <w:r w:rsidR="007522CA" w:rsidRPr="007522CA">
        <w:rPr>
          <w:rFonts w:eastAsia="Cambria"/>
          <w:lang w:val="fr-FR"/>
        </w:rPr>
        <w:t>ToMV</w:t>
      </w:r>
      <w:proofErr w:type="spellEnd"/>
      <w:r w:rsidR="007522CA" w:rsidRPr="007522CA">
        <w:rPr>
          <w:rFonts w:eastAsia="Cambria"/>
          <w:lang w:val="fr-FR"/>
        </w:rPr>
        <w:t>)</w:t>
      </w:r>
    </w:p>
    <w:p w14:paraId="5723E541" w14:textId="38B5F6C0" w:rsidR="007522CA" w:rsidRPr="007522CA" w:rsidRDefault="00D0172C" w:rsidP="003554BF">
      <w:pPr>
        <w:tabs>
          <w:tab w:val="left" w:pos="1134"/>
        </w:tabs>
        <w:ind w:left="567"/>
        <w:rPr>
          <w:rFonts w:eastAsia="Cambria"/>
          <w:lang w:val="fr-FR"/>
        </w:rPr>
      </w:pPr>
      <w:r>
        <w:rPr>
          <w:rFonts w:eastAsia="Cambria"/>
          <w:lang w:val="fr-FR"/>
        </w:rPr>
        <w:t>–</w:t>
      </w:r>
      <w:r w:rsidR="007522CA" w:rsidRPr="007522CA">
        <w:rPr>
          <w:rFonts w:eastAsia="Cambria"/>
          <w:lang w:val="fr-FR"/>
        </w:rPr>
        <w:t xml:space="preserve"> </w:t>
      </w:r>
      <w:r w:rsidR="007522CA" w:rsidRPr="007522CA">
        <w:rPr>
          <w:rFonts w:eastAsia="Cambria"/>
          <w:lang w:val="fr-FR"/>
        </w:rPr>
        <w:tab/>
        <w:t>virus de la tache bronzée de la tomate (TSWV)</w:t>
      </w:r>
    </w:p>
    <w:p w14:paraId="171EE0BB" w14:textId="77777777" w:rsidR="007522CA" w:rsidRPr="007522CA" w:rsidRDefault="007522CA" w:rsidP="007522CA">
      <w:pPr>
        <w:rPr>
          <w:rFonts w:eastAsia="Cambria"/>
          <w:lang w:val="fr-FR"/>
        </w:rPr>
      </w:pPr>
    </w:p>
    <w:p w14:paraId="5AE9654C" w14:textId="3EA8A8FF" w:rsidR="00EF6C3B" w:rsidRPr="0007414F" w:rsidRDefault="007522CA" w:rsidP="007522CA">
      <w:pPr>
        <w:rPr>
          <w:rFonts w:eastAsia="Cambria"/>
          <w:lang w:val="fr-FR"/>
        </w:rPr>
      </w:pPr>
      <w:r w:rsidRPr="007522CA">
        <w:rPr>
          <w:rFonts w:eastAsia="Cambria"/>
          <w:lang w:val="fr-FR"/>
        </w:rPr>
        <w:t xml:space="preserve">Les deux ensembles de marqueurs </w:t>
      </w:r>
      <w:proofErr w:type="spellStart"/>
      <w:r w:rsidRPr="007522CA">
        <w:rPr>
          <w:rFonts w:eastAsia="Cambria"/>
          <w:lang w:val="fr-FR"/>
        </w:rPr>
        <w:t>co</w:t>
      </w:r>
      <w:proofErr w:type="spellEnd"/>
      <w:r w:rsidR="006E7E88">
        <w:rPr>
          <w:rFonts w:eastAsia="Cambria"/>
          <w:lang w:val="fr-FR"/>
        </w:rPr>
        <w:noBreakHyphen/>
      </w:r>
      <w:r w:rsidRPr="007522CA">
        <w:rPr>
          <w:rFonts w:eastAsia="Cambria"/>
          <w:lang w:val="fr-FR"/>
        </w:rPr>
        <w:t>dominants élaborés pour ces deux virus de tomates ont été inclus dans des protocoles techniques de l</w:t>
      </w:r>
      <w:r w:rsidR="00D639EE">
        <w:rPr>
          <w:rFonts w:eastAsia="Cambria"/>
          <w:lang w:val="fr-FR"/>
        </w:rPr>
        <w:t>’</w:t>
      </w:r>
      <w:r w:rsidRPr="007522CA">
        <w:rPr>
          <w:rFonts w:eastAsia="Cambria"/>
          <w:lang w:val="fr-FR"/>
        </w:rPr>
        <w:t>OCVV pour la tomate (4.4</w:t>
      </w:r>
      <w:r w:rsidR="006E7E88">
        <w:rPr>
          <w:rFonts w:eastAsia="Cambria"/>
          <w:lang w:val="fr-FR"/>
        </w:rPr>
        <w:noBreakHyphen/>
      </w:r>
      <w:r w:rsidRPr="007522CA">
        <w:rPr>
          <w:rFonts w:eastAsia="Cambria"/>
          <w:lang w:val="fr-FR"/>
        </w:rPr>
        <w:t>2) et les porte</w:t>
      </w:r>
      <w:r w:rsidR="006E7E88">
        <w:rPr>
          <w:rFonts w:eastAsia="Cambria"/>
          <w:lang w:val="fr-FR"/>
        </w:rPr>
        <w:noBreakHyphen/>
      </w:r>
      <w:r w:rsidRPr="007522CA">
        <w:rPr>
          <w:rFonts w:eastAsia="Cambria"/>
          <w:lang w:val="fr-FR"/>
        </w:rPr>
        <w:t xml:space="preserve">greffes de tomate (1.4) comme solution alternative possible aux </w:t>
      </w:r>
      <w:proofErr w:type="spellStart"/>
      <w:r w:rsidRPr="007522CA">
        <w:rPr>
          <w:rFonts w:eastAsia="Cambria"/>
          <w:lang w:val="fr-FR"/>
        </w:rPr>
        <w:t>bio</w:t>
      </w:r>
      <w:r>
        <w:rPr>
          <w:rFonts w:eastAsia="Cambria"/>
          <w:lang w:val="fr-FR"/>
        </w:rPr>
        <w:t>essai</w:t>
      </w:r>
      <w:r w:rsidRPr="007522CA">
        <w:rPr>
          <w:rFonts w:eastAsia="Cambria"/>
          <w:lang w:val="fr-FR"/>
        </w:rPr>
        <w:t>s</w:t>
      </w:r>
      <w:proofErr w:type="spellEnd"/>
      <w:r w:rsidRPr="007522CA">
        <w:rPr>
          <w:rFonts w:eastAsia="Cambria"/>
          <w:lang w:val="fr-FR"/>
        </w:rPr>
        <w:t xml:space="preserve"> dans des cas bien précis</w:t>
      </w:r>
      <w:r w:rsidR="00EF6C3B" w:rsidRPr="0007414F">
        <w:rPr>
          <w:rFonts w:eastAsia="Cambria"/>
          <w:lang w:val="fr-FR"/>
        </w:rPr>
        <w:t>.</w:t>
      </w:r>
    </w:p>
    <w:p w14:paraId="46DFF93D" w14:textId="1A6C634A" w:rsidR="00EF6C3B" w:rsidRPr="006603D6" w:rsidRDefault="007522CA" w:rsidP="006603D6">
      <w:pPr>
        <w:keepNext/>
        <w:numPr>
          <w:ilvl w:val="1"/>
          <w:numId w:val="5"/>
        </w:numPr>
        <w:suppressAutoHyphens/>
        <w:spacing w:before="360" w:after="240" w:line="259" w:lineRule="auto"/>
        <w:jc w:val="left"/>
        <w:outlineLvl w:val="1"/>
        <w:rPr>
          <w:rFonts w:cs="Arial"/>
          <w:spacing w:val="-3"/>
          <w:kern w:val="32"/>
        </w:rPr>
      </w:pPr>
      <w:r>
        <w:rPr>
          <w:rFonts w:cs="Arial"/>
          <w:spacing w:val="-3"/>
          <w:kern w:val="32"/>
        </w:rPr>
        <w:t>Ge</w:t>
      </w:r>
      <w:r w:rsidRPr="00161B14">
        <w:rPr>
          <w:rFonts w:cs="Arial"/>
          <w:spacing w:val="-3"/>
          <w:kern w:val="32"/>
        </w:rPr>
        <w:t xml:space="preserve">stion des collections de </w:t>
      </w:r>
      <w:proofErr w:type="spellStart"/>
      <w:r w:rsidRPr="00161B14">
        <w:rPr>
          <w:rFonts w:cs="Arial"/>
          <w:spacing w:val="-3"/>
          <w:kern w:val="32"/>
        </w:rPr>
        <w:t>variétés</w:t>
      </w:r>
      <w:proofErr w:type="spellEnd"/>
    </w:p>
    <w:p w14:paraId="0FC75FC0" w14:textId="0DE12255" w:rsidR="006603D6" w:rsidRPr="006603D6" w:rsidRDefault="006603D6" w:rsidP="006603D6">
      <w:pPr>
        <w:pStyle w:val="ListParagraph"/>
        <w:numPr>
          <w:ilvl w:val="2"/>
          <w:numId w:val="5"/>
        </w:numPr>
        <w:rPr>
          <w:rFonts w:eastAsia="Cambria" w:cs="Arial"/>
          <w:bCs/>
          <w:spacing w:val="-3"/>
          <w:lang w:val="fr-FR"/>
        </w:rPr>
      </w:pPr>
      <w:r w:rsidRPr="006603D6">
        <w:rPr>
          <w:rFonts w:eastAsia="Cambria" w:cs="Arial"/>
          <w:bCs/>
          <w:spacing w:val="-3"/>
          <w:lang w:val="fr-FR"/>
        </w:rPr>
        <w:t xml:space="preserve">Combiner les seuils moléculaires et phénotypiques pour exclure des variétés </w:t>
      </w:r>
      <w:r w:rsidR="001375BB">
        <w:rPr>
          <w:rFonts w:eastAsia="Cambria" w:cs="Arial"/>
          <w:bCs/>
          <w:spacing w:val="-3"/>
          <w:lang w:val="fr-FR"/>
        </w:rPr>
        <w:t>super distinctes</w:t>
      </w:r>
      <w:r w:rsidRPr="006603D6">
        <w:rPr>
          <w:rFonts w:eastAsia="Cambria" w:cs="Arial"/>
          <w:bCs/>
          <w:spacing w:val="-3"/>
          <w:lang w:val="fr-FR"/>
        </w:rPr>
        <w:t xml:space="preserve"> du deuxième essai en culture</w:t>
      </w:r>
    </w:p>
    <w:p w14:paraId="1A1D2509" w14:textId="77777777" w:rsidR="006603D6" w:rsidRPr="006603D6" w:rsidRDefault="006603D6" w:rsidP="006603D6">
      <w:pPr>
        <w:pStyle w:val="ListParagraph"/>
        <w:ind w:left="567"/>
        <w:rPr>
          <w:rFonts w:eastAsia="Cambria" w:cs="Arial"/>
          <w:bCs/>
          <w:spacing w:val="-3"/>
          <w:lang w:val="fr-FR"/>
        </w:rPr>
      </w:pPr>
    </w:p>
    <w:p w14:paraId="6EB0FBEC" w14:textId="7BFA31AB" w:rsidR="006603D6" w:rsidRPr="006603D6" w:rsidRDefault="006603D6" w:rsidP="006603D6">
      <w:pPr>
        <w:rPr>
          <w:rFonts w:eastAsia="Cambria" w:cs="Arial"/>
          <w:bCs/>
          <w:spacing w:val="-3"/>
          <w:lang w:val="fr-FR"/>
        </w:rPr>
      </w:pPr>
      <w:r w:rsidRPr="006603D6">
        <w:rPr>
          <w:rFonts w:eastAsia="Cambria" w:cs="Arial"/>
          <w:bCs/>
          <w:spacing w:val="-3"/>
          <w:lang w:val="fr-FR"/>
        </w:rPr>
        <w:t>Dans ce modèle, deux</w:t>
      </w:r>
      <w:r w:rsidR="001B53D1">
        <w:rPr>
          <w:rFonts w:eastAsia="Cambria" w:cs="Arial"/>
          <w:bCs/>
          <w:spacing w:val="-3"/>
          <w:lang w:val="fr-FR"/>
        </w:rPr>
        <w:t> </w:t>
      </w:r>
      <w:r w:rsidRPr="006603D6">
        <w:rPr>
          <w:rFonts w:eastAsia="Cambria" w:cs="Arial"/>
          <w:bCs/>
          <w:spacing w:val="-3"/>
          <w:lang w:val="fr-FR"/>
        </w:rPr>
        <w:t>seuils indépendants sont fixés pour la sélection de variétés voisines à inclure dans l</w:t>
      </w:r>
      <w:r w:rsidR="00D639EE">
        <w:rPr>
          <w:rFonts w:eastAsia="Cambria" w:cs="Arial"/>
          <w:bCs/>
          <w:spacing w:val="-3"/>
          <w:lang w:val="fr-FR"/>
        </w:rPr>
        <w:t>’</w:t>
      </w:r>
      <w:r w:rsidRPr="006603D6">
        <w:rPr>
          <w:rFonts w:eastAsia="Cambria" w:cs="Arial"/>
          <w:bCs/>
          <w:spacing w:val="-3"/>
          <w:lang w:val="fr-FR"/>
        </w:rPr>
        <w:t>essai en cultu</w:t>
      </w:r>
      <w:r w:rsidR="001C11A6" w:rsidRPr="006603D6">
        <w:rPr>
          <w:rFonts w:eastAsia="Cambria" w:cs="Arial"/>
          <w:bCs/>
          <w:spacing w:val="-3"/>
          <w:lang w:val="fr-FR"/>
        </w:rPr>
        <w:t>re</w:t>
      </w:r>
      <w:r w:rsidR="001C11A6">
        <w:rPr>
          <w:rFonts w:eastAsia="Cambria" w:cs="Arial"/>
          <w:bCs/>
          <w:spacing w:val="-3"/>
          <w:lang w:val="fr-FR"/>
        </w:rPr>
        <w:t xml:space="preserve">.  </w:t>
      </w:r>
      <w:r w:rsidR="001C11A6" w:rsidRPr="006603D6">
        <w:rPr>
          <w:rFonts w:eastAsia="Cambria" w:cs="Arial"/>
          <w:bCs/>
          <w:spacing w:val="-3"/>
          <w:lang w:val="fr-FR"/>
        </w:rPr>
        <w:t>Le</w:t>
      </w:r>
      <w:r w:rsidRPr="006603D6">
        <w:rPr>
          <w:rFonts w:eastAsia="Cambria" w:cs="Arial"/>
          <w:bCs/>
          <w:spacing w:val="-3"/>
          <w:lang w:val="fr-FR"/>
        </w:rPr>
        <w:t xml:space="preserve"> premier seuil repose sur les informations relatives aux caractères morphologiques et le deuxième sur la distance génétique calculée au moyen d</w:t>
      </w:r>
      <w:r w:rsidR="00D639EE">
        <w:rPr>
          <w:rFonts w:eastAsia="Cambria" w:cs="Arial"/>
          <w:bCs/>
          <w:spacing w:val="-3"/>
          <w:lang w:val="fr-FR"/>
        </w:rPr>
        <w:t>’</w:t>
      </w:r>
      <w:r w:rsidRPr="006603D6">
        <w:rPr>
          <w:rFonts w:eastAsia="Cambria" w:cs="Arial"/>
          <w:bCs/>
          <w:spacing w:val="-3"/>
          <w:lang w:val="fr-FR"/>
        </w:rPr>
        <w:t>un ensemble de marqueurs répartis dans l</w:t>
      </w:r>
      <w:r w:rsidR="00D639EE">
        <w:rPr>
          <w:rFonts w:eastAsia="Cambria" w:cs="Arial"/>
          <w:bCs/>
          <w:spacing w:val="-3"/>
          <w:lang w:val="fr-FR"/>
        </w:rPr>
        <w:t>’</w:t>
      </w:r>
      <w:r w:rsidRPr="006603D6">
        <w:rPr>
          <w:rFonts w:eastAsia="Cambria" w:cs="Arial"/>
          <w:bCs/>
          <w:spacing w:val="-3"/>
          <w:lang w:val="fr-FR"/>
        </w:rPr>
        <w:t>ensemble du géno</w:t>
      </w:r>
      <w:r w:rsidR="001C11A6" w:rsidRPr="006603D6">
        <w:rPr>
          <w:rFonts w:eastAsia="Cambria" w:cs="Arial"/>
          <w:bCs/>
          <w:spacing w:val="-3"/>
          <w:lang w:val="fr-FR"/>
        </w:rPr>
        <w:t>me</w:t>
      </w:r>
      <w:r w:rsidR="001C11A6">
        <w:rPr>
          <w:rFonts w:eastAsia="Cambria" w:cs="Arial"/>
          <w:bCs/>
          <w:spacing w:val="-3"/>
          <w:lang w:val="fr-FR"/>
        </w:rPr>
        <w:t xml:space="preserve">.  </w:t>
      </w:r>
      <w:r w:rsidR="001C11A6" w:rsidRPr="006603D6">
        <w:rPr>
          <w:rFonts w:eastAsia="Cambria" w:cs="Arial"/>
          <w:bCs/>
          <w:spacing w:val="-3"/>
          <w:lang w:val="fr-FR"/>
        </w:rPr>
        <w:t xml:space="preserve">À </w:t>
      </w:r>
      <w:r w:rsidRPr="006603D6">
        <w:rPr>
          <w:rFonts w:eastAsia="Cambria" w:cs="Arial"/>
          <w:bCs/>
          <w:spacing w:val="-3"/>
          <w:lang w:val="fr-FR"/>
        </w:rPr>
        <w:t>l</w:t>
      </w:r>
      <w:r w:rsidR="00D639EE">
        <w:rPr>
          <w:rFonts w:eastAsia="Cambria" w:cs="Arial"/>
          <w:bCs/>
          <w:spacing w:val="-3"/>
          <w:lang w:val="fr-FR"/>
        </w:rPr>
        <w:t>’</w:t>
      </w:r>
      <w:r w:rsidRPr="006603D6">
        <w:rPr>
          <w:rFonts w:eastAsia="Cambria" w:cs="Arial"/>
          <w:bCs/>
          <w:spacing w:val="-3"/>
          <w:lang w:val="fr-FR"/>
        </w:rPr>
        <w:t>exception des variétés très voisines sur le plan morphologique, les variétés de référence qui dépassent les deux</w:t>
      </w:r>
      <w:r w:rsidR="001B53D1">
        <w:rPr>
          <w:rFonts w:eastAsia="Cambria" w:cs="Arial"/>
          <w:bCs/>
          <w:spacing w:val="-3"/>
          <w:lang w:val="fr-FR"/>
        </w:rPr>
        <w:t> </w:t>
      </w:r>
      <w:r w:rsidRPr="006603D6">
        <w:rPr>
          <w:rFonts w:eastAsia="Cambria" w:cs="Arial"/>
          <w:bCs/>
          <w:spacing w:val="-3"/>
          <w:lang w:val="fr-FR"/>
        </w:rPr>
        <w:t>seuils n</w:t>
      </w:r>
      <w:r w:rsidR="00D639EE">
        <w:rPr>
          <w:rFonts w:eastAsia="Cambria" w:cs="Arial"/>
          <w:bCs/>
          <w:spacing w:val="-3"/>
          <w:lang w:val="fr-FR"/>
        </w:rPr>
        <w:t>’</w:t>
      </w:r>
      <w:r w:rsidRPr="006603D6">
        <w:rPr>
          <w:rFonts w:eastAsia="Cambria" w:cs="Arial"/>
          <w:bCs/>
          <w:spacing w:val="-3"/>
          <w:lang w:val="fr-FR"/>
        </w:rPr>
        <w:t>ont pas besoin d</w:t>
      </w:r>
      <w:r w:rsidR="00D639EE">
        <w:rPr>
          <w:rFonts w:eastAsia="Cambria" w:cs="Arial"/>
          <w:bCs/>
          <w:spacing w:val="-3"/>
          <w:lang w:val="fr-FR"/>
        </w:rPr>
        <w:t>’</w:t>
      </w:r>
      <w:r w:rsidRPr="006603D6">
        <w:rPr>
          <w:rFonts w:eastAsia="Cambria" w:cs="Arial"/>
          <w:bCs/>
          <w:spacing w:val="-3"/>
          <w:lang w:val="fr-FR"/>
        </w:rPr>
        <w:t>être incluses dans l</w:t>
      </w:r>
      <w:r w:rsidR="00D639EE">
        <w:rPr>
          <w:rFonts w:eastAsia="Cambria" w:cs="Arial"/>
          <w:bCs/>
          <w:spacing w:val="-3"/>
          <w:lang w:val="fr-FR"/>
        </w:rPr>
        <w:t>’</w:t>
      </w:r>
      <w:r w:rsidRPr="006603D6">
        <w:rPr>
          <w:rFonts w:eastAsia="Cambria" w:cs="Arial"/>
          <w:bCs/>
          <w:spacing w:val="-3"/>
          <w:lang w:val="fr-FR"/>
        </w:rPr>
        <w:t>essai en culture (elles sont considérées comme “</w:t>
      </w:r>
      <w:r w:rsidR="001375BB">
        <w:rPr>
          <w:rFonts w:eastAsia="Cambria" w:cs="Arial"/>
          <w:bCs/>
          <w:spacing w:val="-3"/>
          <w:lang w:val="fr-FR"/>
        </w:rPr>
        <w:t>super distinctes</w:t>
      </w:r>
      <w:r w:rsidRPr="006603D6">
        <w:rPr>
          <w:rFonts w:eastAsia="Cambria" w:cs="Arial"/>
          <w:bCs/>
          <w:spacing w:val="-3"/>
          <w:lang w:val="fr-FR"/>
        </w:rPr>
        <w:t>”).</w:t>
      </w:r>
    </w:p>
    <w:p w14:paraId="16BD8F43" w14:textId="77777777" w:rsidR="006603D6" w:rsidRPr="006603D6" w:rsidRDefault="006603D6" w:rsidP="006603D6">
      <w:pPr>
        <w:rPr>
          <w:rFonts w:eastAsia="Cambria" w:cs="Arial"/>
          <w:bCs/>
          <w:spacing w:val="-3"/>
          <w:lang w:val="fr-FR"/>
        </w:rPr>
      </w:pPr>
    </w:p>
    <w:p w14:paraId="2D4D00B5" w14:textId="1EDBF95E" w:rsidR="006603D6" w:rsidRDefault="006603D6" w:rsidP="006603D6">
      <w:pPr>
        <w:rPr>
          <w:rFonts w:eastAsia="Cambria" w:cs="Arial"/>
          <w:bCs/>
          <w:spacing w:val="-3"/>
          <w:lang w:val="fr-FR"/>
        </w:rPr>
      </w:pPr>
      <w:r w:rsidRPr="006603D6">
        <w:rPr>
          <w:rFonts w:eastAsia="Cambria" w:cs="Arial"/>
          <w:bCs/>
          <w:spacing w:val="-3"/>
          <w:lang w:val="fr-FR"/>
        </w:rPr>
        <w:t xml:space="preserve">Ce modèle est régulièrement appliqué par les </w:t>
      </w:r>
      <w:r w:rsidR="00444474">
        <w:rPr>
          <w:rFonts w:eastAsia="Cambria" w:cs="Arial"/>
          <w:bCs/>
          <w:spacing w:val="-3"/>
          <w:lang w:val="fr-FR"/>
        </w:rPr>
        <w:t>servi</w:t>
      </w:r>
      <w:r w:rsidRPr="006603D6">
        <w:rPr>
          <w:rFonts w:eastAsia="Cambria" w:cs="Arial"/>
          <w:bCs/>
          <w:spacing w:val="-3"/>
          <w:lang w:val="fr-FR"/>
        </w:rPr>
        <w:t>ces d</w:t>
      </w:r>
      <w:r w:rsidR="00D639EE">
        <w:rPr>
          <w:rFonts w:eastAsia="Cambria" w:cs="Arial"/>
          <w:bCs/>
          <w:spacing w:val="-3"/>
          <w:lang w:val="fr-FR"/>
        </w:rPr>
        <w:t>’</w:t>
      </w:r>
      <w:r w:rsidRPr="006603D6">
        <w:rPr>
          <w:rFonts w:eastAsia="Cambria" w:cs="Arial"/>
          <w:bCs/>
          <w:spacing w:val="-3"/>
          <w:lang w:val="fr-FR"/>
        </w:rPr>
        <w:t>examen compétents pour les espèces telles que le maïs, la laitue, le blé et l</w:t>
      </w:r>
      <w:r w:rsidR="00D639EE">
        <w:rPr>
          <w:rFonts w:eastAsia="Cambria" w:cs="Arial"/>
          <w:bCs/>
          <w:spacing w:val="-3"/>
          <w:lang w:val="fr-FR"/>
        </w:rPr>
        <w:t>’</w:t>
      </w:r>
      <w:r w:rsidRPr="006603D6">
        <w:rPr>
          <w:rFonts w:eastAsia="Cambria" w:cs="Arial"/>
          <w:bCs/>
          <w:spacing w:val="-3"/>
          <w:lang w:val="fr-FR"/>
        </w:rPr>
        <w:t>orge et fait actuellement l</w:t>
      </w:r>
      <w:r w:rsidR="00D639EE">
        <w:rPr>
          <w:rFonts w:eastAsia="Cambria" w:cs="Arial"/>
          <w:bCs/>
          <w:spacing w:val="-3"/>
          <w:lang w:val="fr-FR"/>
        </w:rPr>
        <w:t>’</w:t>
      </w:r>
      <w:r w:rsidRPr="006603D6">
        <w:rPr>
          <w:rFonts w:eastAsia="Cambria" w:cs="Arial"/>
          <w:bCs/>
          <w:spacing w:val="-3"/>
          <w:lang w:val="fr-FR"/>
        </w:rPr>
        <w:t>objet de tests pour le colza oléagineux dans le cadre de projets de recherche</w:t>
      </w:r>
      <w:r w:rsidR="006E7E88">
        <w:rPr>
          <w:rFonts w:eastAsia="Cambria" w:cs="Arial"/>
          <w:bCs/>
          <w:spacing w:val="-3"/>
          <w:lang w:val="fr-FR"/>
        </w:rPr>
        <w:noBreakHyphen/>
      </w:r>
      <w:r w:rsidRPr="006603D6">
        <w:rPr>
          <w:rFonts w:eastAsia="Cambria" w:cs="Arial"/>
          <w:bCs/>
          <w:spacing w:val="-3"/>
          <w:lang w:val="fr-FR"/>
        </w:rPr>
        <w:t>développement cofinancés par l</w:t>
      </w:r>
      <w:r w:rsidR="00D639EE">
        <w:rPr>
          <w:rFonts w:eastAsia="Cambria" w:cs="Arial"/>
          <w:bCs/>
          <w:spacing w:val="-3"/>
          <w:lang w:val="fr-FR"/>
        </w:rPr>
        <w:t>’</w:t>
      </w:r>
      <w:r w:rsidRPr="006603D6">
        <w:rPr>
          <w:rFonts w:eastAsia="Cambria" w:cs="Arial"/>
          <w:bCs/>
          <w:spacing w:val="-3"/>
          <w:lang w:val="fr-FR"/>
        </w:rPr>
        <w:t>OCVV</w:t>
      </w:r>
      <w:r>
        <w:rPr>
          <w:rFonts w:eastAsia="Cambria" w:cs="Arial"/>
          <w:bCs/>
          <w:spacing w:val="-3"/>
          <w:lang w:val="fr-FR"/>
        </w:rPr>
        <w:t>.</w:t>
      </w:r>
    </w:p>
    <w:p w14:paraId="4D70E34D" w14:textId="77777777" w:rsidR="006603D6" w:rsidRDefault="006603D6" w:rsidP="006603D6">
      <w:pPr>
        <w:rPr>
          <w:rFonts w:eastAsia="Cambria" w:cs="Arial"/>
          <w:bCs/>
          <w:spacing w:val="-3"/>
          <w:lang w:val="fr-FR"/>
        </w:rPr>
      </w:pPr>
    </w:p>
    <w:p w14:paraId="33E82654" w14:textId="2B3887F3" w:rsidR="00E60353" w:rsidRPr="00E60353" w:rsidRDefault="00E60353" w:rsidP="00391BC6">
      <w:pPr>
        <w:ind w:left="567" w:hanging="567"/>
        <w:rPr>
          <w:rFonts w:eastAsia="Cambria"/>
          <w:lang w:val="fr-FR"/>
        </w:rPr>
      </w:pPr>
      <w:r w:rsidRPr="00E60353">
        <w:rPr>
          <w:rFonts w:eastAsia="Cambria"/>
          <w:lang w:val="fr-FR"/>
        </w:rPr>
        <w:t>2.2.2</w:t>
      </w:r>
      <w:r w:rsidR="00391BC6">
        <w:rPr>
          <w:rFonts w:eastAsia="Cambria"/>
          <w:lang w:val="fr-FR"/>
        </w:rPr>
        <w:tab/>
      </w:r>
      <w:r w:rsidRPr="00E60353">
        <w:rPr>
          <w:rFonts w:eastAsia="Cambria"/>
          <w:lang w:val="fr-FR"/>
        </w:rPr>
        <w:t>Sélection génétique de variétés voisines pour le premier cycle d</w:t>
      </w:r>
      <w:r w:rsidR="00D639EE">
        <w:rPr>
          <w:rFonts w:eastAsia="Cambria"/>
          <w:lang w:val="fr-FR"/>
        </w:rPr>
        <w:t>’</w:t>
      </w:r>
      <w:r w:rsidRPr="00E60353">
        <w:rPr>
          <w:rFonts w:eastAsia="Cambria"/>
          <w:lang w:val="fr-FR"/>
        </w:rPr>
        <w:t>essais en culture</w:t>
      </w:r>
    </w:p>
    <w:p w14:paraId="77BDEA30" w14:textId="77777777" w:rsidR="00391BC6" w:rsidRDefault="00391BC6" w:rsidP="00E60353">
      <w:pPr>
        <w:rPr>
          <w:rFonts w:eastAsia="Cambria"/>
          <w:lang w:val="fr-FR"/>
        </w:rPr>
      </w:pPr>
    </w:p>
    <w:p w14:paraId="6C133356" w14:textId="0FFB7A2B" w:rsidR="00E60353" w:rsidRPr="00E60353" w:rsidRDefault="00E60353" w:rsidP="00E60353">
      <w:pPr>
        <w:rPr>
          <w:rFonts w:eastAsia="Cambria"/>
          <w:lang w:val="fr-FR"/>
        </w:rPr>
      </w:pPr>
      <w:r w:rsidRPr="00E60353">
        <w:rPr>
          <w:rFonts w:eastAsia="Cambria"/>
          <w:lang w:val="fr-FR"/>
        </w:rPr>
        <w:t xml:space="preserve">La variété proposée est </w:t>
      </w:r>
      <w:proofErr w:type="spellStart"/>
      <w:r w:rsidRPr="00E60353">
        <w:rPr>
          <w:rFonts w:eastAsia="Cambria"/>
          <w:lang w:val="fr-FR"/>
        </w:rPr>
        <w:t>génotypée</w:t>
      </w:r>
      <w:proofErr w:type="spellEnd"/>
      <w:r w:rsidRPr="00E60353">
        <w:rPr>
          <w:rFonts w:eastAsia="Cambria"/>
          <w:lang w:val="fr-FR"/>
        </w:rPr>
        <w:t xml:space="preserve"> au moyen d</w:t>
      </w:r>
      <w:r w:rsidR="00D639EE">
        <w:rPr>
          <w:rFonts w:eastAsia="Cambria"/>
          <w:lang w:val="fr-FR"/>
        </w:rPr>
        <w:t>’</w:t>
      </w:r>
      <w:r w:rsidRPr="00E60353">
        <w:rPr>
          <w:rFonts w:eastAsia="Cambria"/>
          <w:lang w:val="fr-FR"/>
        </w:rPr>
        <w:t>une série de marqueurs et son profil est comparé aux variétés de la collection de référen</w:t>
      </w:r>
      <w:r w:rsidR="001C11A6" w:rsidRPr="00E60353">
        <w:rPr>
          <w:rFonts w:eastAsia="Cambria"/>
          <w:lang w:val="fr-FR"/>
        </w:rPr>
        <w:t>ce</w:t>
      </w:r>
      <w:r w:rsidR="001C11A6">
        <w:rPr>
          <w:rFonts w:eastAsia="Cambria"/>
          <w:lang w:val="fr-FR"/>
        </w:rPr>
        <w:t xml:space="preserve">.  </w:t>
      </w:r>
      <w:r w:rsidR="001C11A6" w:rsidRPr="00E60353">
        <w:rPr>
          <w:rFonts w:eastAsia="Cambria"/>
          <w:lang w:val="fr-FR"/>
        </w:rPr>
        <w:t>To</w:t>
      </w:r>
      <w:r w:rsidRPr="00E60353">
        <w:rPr>
          <w:rFonts w:eastAsia="Cambria"/>
          <w:lang w:val="fr-FR"/>
        </w:rPr>
        <w:t>utes les variétés de référence présentant une similarité génétique avec la variété proposée supérieures à un pourcentage donné (p.</w:t>
      </w:r>
      <w:r w:rsidR="001B53D1">
        <w:rPr>
          <w:rFonts w:eastAsia="Cambria"/>
          <w:lang w:val="fr-FR"/>
        </w:rPr>
        <w:t> </w:t>
      </w:r>
      <w:r w:rsidRPr="00E60353">
        <w:rPr>
          <w:rFonts w:eastAsia="Cambria"/>
          <w:lang w:val="fr-FR"/>
        </w:rPr>
        <w:t>ex.</w:t>
      </w:r>
      <w:r w:rsidR="001B53D1">
        <w:rPr>
          <w:rFonts w:eastAsia="Cambria"/>
          <w:lang w:val="fr-FR"/>
        </w:rPr>
        <w:t> </w:t>
      </w:r>
      <w:r w:rsidRPr="00E60353">
        <w:rPr>
          <w:rFonts w:eastAsia="Cambria"/>
          <w:lang w:val="fr-FR"/>
        </w:rPr>
        <w:t>80%) doivent être incluses dans le premier cycle de culture, et toutes les autres doivent en être exclues.</w:t>
      </w:r>
    </w:p>
    <w:p w14:paraId="37A56DBE" w14:textId="77777777" w:rsidR="00E60353" w:rsidRPr="00E60353" w:rsidRDefault="00E60353" w:rsidP="00E60353">
      <w:pPr>
        <w:rPr>
          <w:rFonts w:eastAsia="Cambria"/>
          <w:lang w:val="fr-FR"/>
        </w:rPr>
      </w:pPr>
    </w:p>
    <w:p w14:paraId="606FE378" w14:textId="08C10454" w:rsidR="00E60353" w:rsidRPr="00E60353" w:rsidRDefault="00E60353" w:rsidP="00E60353">
      <w:pPr>
        <w:rPr>
          <w:rFonts w:eastAsia="Cambria"/>
          <w:lang w:val="fr-FR"/>
        </w:rPr>
      </w:pPr>
      <w:r w:rsidRPr="00E60353">
        <w:rPr>
          <w:rFonts w:eastAsia="Cambria"/>
          <w:lang w:val="fr-FR"/>
        </w:rPr>
        <w:t>Durant le premier cycle, la variété proposée est évaluée quant à son homogénéité et décrite sur le plan morphologique conformément au protocole techniq</w:t>
      </w:r>
      <w:r w:rsidR="001C11A6" w:rsidRPr="00E60353">
        <w:rPr>
          <w:rFonts w:eastAsia="Cambria"/>
          <w:lang w:val="fr-FR"/>
        </w:rPr>
        <w:t>ue</w:t>
      </w:r>
      <w:r w:rsidR="001C11A6">
        <w:rPr>
          <w:rFonts w:eastAsia="Cambria"/>
          <w:lang w:val="fr-FR"/>
        </w:rPr>
        <w:t xml:space="preserve">.  </w:t>
      </w:r>
      <w:r w:rsidR="001C11A6" w:rsidRPr="00E60353">
        <w:rPr>
          <w:rFonts w:eastAsia="Cambria"/>
          <w:lang w:val="fr-FR"/>
        </w:rPr>
        <w:t>Sa</w:t>
      </w:r>
      <w:r w:rsidRPr="00E60353">
        <w:rPr>
          <w:rFonts w:eastAsia="Cambria"/>
          <w:lang w:val="fr-FR"/>
        </w:rPr>
        <w:t xml:space="preserve"> description morphologique est ensuite comparée in silico aux descriptions de toutes les autres variétés de référence.</w:t>
      </w:r>
    </w:p>
    <w:p w14:paraId="3F765D71" w14:textId="77777777" w:rsidR="00E60353" w:rsidRPr="00E60353" w:rsidRDefault="00E60353" w:rsidP="00E60353">
      <w:pPr>
        <w:rPr>
          <w:rFonts w:eastAsia="Cambria"/>
          <w:lang w:val="fr-FR"/>
        </w:rPr>
      </w:pPr>
    </w:p>
    <w:p w14:paraId="3AEB92A4" w14:textId="39FEF0BF" w:rsidR="00E60353" w:rsidRPr="00391BC6" w:rsidRDefault="00E60353" w:rsidP="00E60353">
      <w:pPr>
        <w:rPr>
          <w:rFonts w:eastAsia="Cambria"/>
          <w:i/>
          <w:iCs/>
          <w:sz w:val="16"/>
          <w:szCs w:val="16"/>
          <w:lang w:val="fr-FR"/>
        </w:rPr>
      </w:pPr>
      <w:r w:rsidRPr="00391BC6">
        <w:rPr>
          <w:rFonts w:eastAsia="Cambria"/>
          <w:i/>
          <w:iCs/>
          <w:sz w:val="16"/>
          <w:szCs w:val="16"/>
          <w:lang w:val="fr-FR"/>
        </w:rPr>
        <w:t>Remarque</w:t>
      </w:r>
      <w:r w:rsidR="00D639EE">
        <w:rPr>
          <w:rFonts w:eastAsia="Cambria"/>
          <w:i/>
          <w:iCs/>
          <w:sz w:val="16"/>
          <w:szCs w:val="16"/>
          <w:lang w:val="fr-FR"/>
        </w:rPr>
        <w:t> :</w:t>
      </w:r>
      <w:r w:rsidRPr="00391BC6">
        <w:rPr>
          <w:rFonts w:eastAsia="Cambria"/>
          <w:i/>
          <w:iCs/>
          <w:sz w:val="16"/>
          <w:szCs w:val="16"/>
          <w:lang w:val="fr-FR"/>
        </w:rPr>
        <w:t xml:space="preserve"> les descriptions morphologiques des variétés de référence utilisées pour la comparaison in silico doivent reposer sur les observations faites par le service d</w:t>
      </w:r>
      <w:r w:rsidR="00D639EE">
        <w:rPr>
          <w:rFonts w:eastAsia="Cambria"/>
          <w:i/>
          <w:iCs/>
          <w:sz w:val="16"/>
          <w:szCs w:val="16"/>
          <w:lang w:val="fr-FR"/>
        </w:rPr>
        <w:t>’</w:t>
      </w:r>
      <w:r w:rsidRPr="00391BC6">
        <w:rPr>
          <w:rFonts w:eastAsia="Cambria"/>
          <w:i/>
          <w:iCs/>
          <w:sz w:val="16"/>
          <w:szCs w:val="16"/>
          <w:lang w:val="fr-FR"/>
        </w:rPr>
        <w:t>examen (descriptions des variétés en inter</w:t>
      </w:r>
      <w:r w:rsidR="001C11A6" w:rsidRPr="00391BC6">
        <w:rPr>
          <w:rFonts w:eastAsia="Cambria"/>
          <w:i/>
          <w:iCs/>
          <w:sz w:val="16"/>
          <w:szCs w:val="16"/>
          <w:lang w:val="fr-FR"/>
        </w:rPr>
        <w:t>ne)</w:t>
      </w:r>
      <w:r w:rsidR="001C11A6">
        <w:rPr>
          <w:rFonts w:eastAsia="Cambria"/>
          <w:i/>
          <w:iCs/>
          <w:sz w:val="16"/>
          <w:szCs w:val="16"/>
          <w:lang w:val="fr-FR"/>
        </w:rPr>
        <w:t xml:space="preserve">.  </w:t>
      </w:r>
      <w:r w:rsidR="001C11A6" w:rsidRPr="00391BC6">
        <w:rPr>
          <w:rFonts w:eastAsia="Cambria"/>
          <w:i/>
          <w:iCs/>
          <w:sz w:val="16"/>
          <w:szCs w:val="16"/>
          <w:lang w:val="fr-FR"/>
        </w:rPr>
        <w:t>Si</w:t>
      </w:r>
      <w:r w:rsidRPr="00391BC6">
        <w:rPr>
          <w:rFonts w:eastAsia="Cambria"/>
          <w:i/>
          <w:iCs/>
          <w:sz w:val="16"/>
          <w:szCs w:val="16"/>
          <w:lang w:val="fr-FR"/>
        </w:rPr>
        <w:t xml:space="preserve"> les descriptions des variétés utilisées ne sont pas faites en interne, elles ne peuvent être utilisées que si les échelles de notation ont été harmonisées entre les services d</w:t>
      </w:r>
      <w:r w:rsidR="00D639EE">
        <w:rPr>
          <w:rFonts w:eastAsia="Cambria"/>
          <w:i/>
          <w:iCs/>
          <w:sz w:val="16"/>
          <w:szCs w:val="16"/>
          <w:lang w:val="fr-FR"/>
        </w:rPr>
        <w:t>’</w:t>
      </w:r>
      <w:r w:rsidRPr="00391BC6">
        <w:rPr>
          <w:rFonts w:eastAsia="Cambria"/>
          <w:i/>
          <w:iCs/>
          <w:sz w:val="16"/>
          <w:szCs w:val="16"/>
          <w:lang w:val="fr-FR"/>
        </w:rPr>
        <w:t>examen qui les produisent et les utilisent (grâce à des tests d</w:t>
      </w:r>
      <w:r w:rsidR="00D639EE">
        <w:rPr>
          <w:rFonts w:eastAsia="Cambria"/>
          <w:i/>
          <w:iCs/>
          <w:sz w:val="16"/>
          <w:szCs w:val="16"/>
          <w:lang w:val="fr-FR"/>
        </w:rPr>
        <w:t>’</w:t>
      </w:r>
      <w:r w:rsidRPr="00391BC6">
        <w:rPr>
          <w:rFonts w:eastAsia="Cambria"/>
          <w:i/>
          <w:iCs/>
          <w:sz w:val="16"/>
          <w:szCs w:val="16"/>
          <w:lang w:val="fr-FR"/>
        </w:rPr>
        <w:t>étalonnage par exemple).</w:t>
      </w:r>
    </w:p>
    <w:p w14:paraId="7A656834" w14:textId="77777777" w:rsidR="00E60353" w:rsidRPr="00E60353" w:rsidRDefault="00E60353" w:rsidP="00E60353">
      <w:pPr>
        <w:rPr>
          <w:rFonts w:eastAsia="Cambria"/>
          <w:lang w:val="fr-FR"/>
        </w:rPr>
      </w:pPr>
    </w:p>
    <w:p w14:paraId="1F5B8FCC" w14:textId="7A0E6B0E" w:rsidR="00E60353" w:rsidRPr="00E60353" w:rsidRDefault="00E60353" w:rsidP="00E60353">
      <w:pPr>
        <w:rPr>
          <w:rFonts w:eastAsia="Cambria"/>
          <w:lang w:val="fr-FR"/>
        </w:rPr>
      </w:pPr>
      <w:r w:rsidRPr="00E60353">
        <w:rPr>
          <w:rFonts w:eastAsia="Cambria"/>
          <w:lang w:val="fr-FR"/>
        </w:rPr>
        <w:t>Les variétés de référence identifiées comme étant morphologiquement voisines de la variété candidate seront incluses pour comparaison dans un deuxième essai en cultu</w:t>
      </w:r>
      <w:r w:rsidR="001C11A6" w:rsidRPr="00E60353">
        <w:rPr>
          <w:rFonts w:eastAsia="Cambria"/>
          <w:lang w:val="fr-FR"/>
        </w:rPr>
        <w:t>re</w:t>
      </w:r>
      <w:r w:rsidR="001C11A6">
        <w:rPr>
          <w:rFonts w:eastAsia="Cambria"/>
          <w:lang w:val="fr-FR"/>
        </w:rPr>
        <w:t xml:space="preserve">.  </w:t>
      </w:r>
      <w:r w:rsidR="001C11A6" w:rsidRPr="00E60353">
        <w:rPr>
          <w:rFonts w:eastAsia="Cambria"/>
          <w:lang w:val="fr-FR"/>
        </w:rPr>
        <w:t>Si</w:t>
      </w:r>
      <w:r w:rsidRPr="00E60353">
        <w:rPr>
          <w:rFonts w:eastAsia="Cambria"/>
          <w:lang w:val="fr-FR"/>
        </w:rPr>
        <w:t xml:space="preserve"> la variété se révèle nettement distincte des variétés voisines durant le premier cycle de culture et qu</w:t>
      </w:r>
      <w:r w:rsidR="00D639EE">
        <w:rPr>
          <w:rFonts w:eastAsia="Cambria"/>
          <w:lang w:val="fr-FR"/>
        </w:rPr>
        <w:t>’</w:t>
      </w:r>
      <w:r w:rsidRPr="00E60353">
        <w:rPr>
          <w:rFonts w:eastAsia="Cambria"/>
          <w:lang w:val="fr-FR"/>
        </w:rPr>
        <w:t>aucune variété voisine n</w:t>
      </w:r>
      <w:r w:rsidR="00D639EE">
        <w:rPr>
          <w:rFonts w:eastAsia="Cambria"/>
          <w:lang w:val="fr-FR"/>
        </w:rPr>
        <w:t>’</w:t>
      </w:r>
      <w:r w:rsidRPr="00E60353">
        <w:rPr>
          <w:rFonts w:eastAsia="Cambria"/>
          <w:lang w:val="fr-FR"/>
        </w:rPr>
        <w:t>est détectée sur la base de la description de la variété après le premier cycle de culture, une décision positive concernant la distinction peut être prise après un seul cycle de culture.</w:t>
      </w:r>
    </w:p>
    <w:p w14:paraId="16A85729" w14:textId="77777777" w:rsidR="00E60353" w:rsidRPr="00E60353" w:rsidRDefault="00E60353" w:rsidP="00E60353">
      <w:pPr>
        <w:rPr>
          <w:rFonts w:eastAsia="Cambria"/>
          <w:lang w:val="fr-FR"/>
        </w:rPr>
      </w:pPr>
    </w:p>
    <w:p w14:paraId="53246F66" w14:textId="56E52A6D" w:rsidR="00E60353" w:rsidRPr="00E60353" w:rsidRDefault="00E60353" w:rsidP="00E60353">
      <w:pPr>
        <w:rPr>
          <w:rFonts w:eastAsia="Cambria"/>
          <w:lang w:val="fr-FR"/>
        </w:rPr>
      </w:pPr>
      <w:r w:rsidRPr="00E60353">
        <w:rPr>
          <w:rFonts w:eastAsia="Cambria"/>
          <w:lang w:val="fr-FR"/>
        </w:rPr>
        <w:t>Ce modèle est appliqué par certains services d</w:t>
      </w:r>
      <w:r w:rsidR="00D639EE">
        <w:rPr>
          <w:rFonts w:eastAsia="Cambria"/>
          <w:lang w:val="fr-FR"/>
        </w:rPr>
        <w:t>’</w:t>
      </w:r>
      <w:r w:rsidRPr="00E60353">
        <w:rPr>
          <w:rFonts w:eastAsia="Cambria"/>
          <w:lang w:val="fr-FR"/>
        </w:rPr>
        <w:t>examen compétents pour des espèces comme le haricot et la pomme de ter</w:t>
      </w:r>
      <w:r w:rsidR="001C11A6" w:rsidRPr="00E60353">
        <w:rPr>
          <w:rFonts w:eastAsia="Cambria"/>
          <w:lang w:val="fr-FR"/>
        </w:rPr>
        <w:t>re</w:t>
      </w:r>
      <w:r w:rsidR="001C11A6">
        <w:rPr>
          <w:rFonts w:eastAsia="Cambria"/>
          <w:lang w:val="fr-FR"/>
        </w:rPr>
        <w:t xml:space="preserve">.  </w:t>
      </w:r>
      <w:r w:rsidR="001C11A6" w:rsidRPr="00E60353">
        <w:rPr>
          <w:rFonts w:eastAsia="Cambria"/>
          <w:lang w:val="fr-FR"/>
        </w:rPr>
        <w:t>Il</w:t>
      </w:r>
      <w:r w:rsidRPr="00E60353">
        <w:rPr>
          <w:rFonts w:eastAsia="Cambria"/>
          <w:lang w:val="fr-FR"/>
        </w:rPr>
        <w:t xml:space="preserve"> est actuellement à l</w:t>
      </w:r>
      <w:r w:rsidR="00D639EE">
        <w:rPr>
          <w:rFonts w:eastAsia="Cambria"/>
          <w:lang w:val="fr-FR"/>
        </w:rPr>
        <w:t>’</w:t>
      </w:r>
      <w:r w:rsidRPr="00E60353">
        <w:rPr>
          <w:rFonts w:eastAsia="Cambria"/>
          <w:lang w:val="fr-FR"/>
        </w:rPr>
        <w:t>essai pour le blé dur et sera étudié pour la tomate et le chanvre dans le cadre de projets de recherche</w:t>
      </w:r>
      <w:r w:rsidR="006E7E88">
        <w:rPr>
          <w:rFonts w:eastAsia="Cambria"/>
          <w:lang w:val="fr-FR"/>
        </w:rPr>
        <w:noBreakHyphen/>
      </w:r>
      <w:r w:rsidRPr="00E60353">
        <w:rPr>
          <w:rFonts w:eastAsia="Cambria"/>
          <w:lang w:val="fr-FR"/>
        </w:rPr>
        <w:t>développement cofinancés par l</w:t>
      </w:r>
      <w:r w:rsidR="00D639EE">
        <w:rPr>
          <w:rFonts w:eastAsia="Cambria"/>
          <w:lang w:val="fr-FR"/>
        </w:rPr>
        <w:t>’</w:t>
      </w:r>
      <w:r w:rsidRPr="00E60353">
        <w:rPr>
          <w:rFonts w:eastAsia="Cambria"/>
          <w:lang w:val="fr-FR"/>
        </w:rPr>
        <w:t>OCVV.</w:t>
      </w:r>
    </w:p>
    <w:p w14:paraId="37D27C0A" w14:textId="77777777" w:rsidR="00E60353" w:rsidRPr="00E60353" w:rsidRDefault="00E60353" w:rsidP="00E60353">
      <w:pPr>
        <w:rPr>
          <w:rFonts w:eastAsia="Cambria"/>
          <w:lang w:val="fr-FR"/>
        </w:rPr>
      </w:pPr>
    </w:p>
    <w:p w14:paraId="20ED5943" w14:textId="417A2524" w:rsidR="00E60353" w:rsidRDefault="00E60353" w:rsidP="00E60353">
      <w:pPr>
        <w:rPr>
          <w:rFonts w:eastAsia="Cambria"/>
          <w:lang w:val="fr-FR"/>
        </w:rPr>
      </w:pPr>
      <w:r w:rsidRPr="00E60353">
        <w:rPr>
          <w:rFonts w:eastAsia="Cambria"/>
          <w:lang w:val="fr-FR"/>
        </w:rPr>
        <w:t xml:space="preserve">Les méthodes sont évaluées par des groupes de </w:t>
      </w:r>
      <w:proofErr w:type="spellStart"/>
      <w:r w:rsidRPr="00E60353">
        <w:rPr>
          <w:rFonts w:eastAsia="Cambria"/>
          <w:lang w:val="fr-FR"/>
        </w:rPr>
        <w:t>phytotechniciens</w:t>
      </w:r>
      <w:proofErr w:type="spellEnd"/>
      <w:r w:rsidRPr="00E60353">
        <w:rPr>
          <w:rFonts w:eastAsia="Cambria"/>
          <w:lang w:val="fr-FR"/>
        </w:rPr>
        <w:t xml:space="preserve"> de l</w:t>
      </w:r>
      <w:r w:rsidR="00D639EE">
        <w:rPr>
          <w:rFonts w:eastAsia="Cambria"/>
          <w:lang w:val="fr-FR"/>
        </w:rPr>
        <w:t>’</w:t>
      </w:r>
      <w:r w:rsidRPr="00E60353">
        <w:rPr>
          <w:rFonts w:eastAsia="Cambria"/>
          <w:lang w:val="fr-FR"/>
        </w:rPr>
        <w:t>OCVV.</w:t>
      </w:r>
    </w:p>
    <w:p w14:paraId="5A96C09D" w14:textId="77777777" w:rsidR="00E60353" w:rsidRPr="00E60353" w:rsidRDefault="00E60353" w:rsidP="00E60353">
      <w:pPr>
        <w:rPr>
          <w:rFonts w:eastAsia="Cambria"/>
          <w:lang w:val="fr-FR"/>
        </w:rPr>
      </w:pPr>
    </w:p>
    <w:p w14:paraId="4C8619B5" w14:textId="77777777" w:rsidR="00E60353" w:rsidRPr="00E60353" w:rsidRDefault="00E60353" w:rsidP="00E60353">
      <w:pPr>
        <w:rPr>
          <w:rFonts w:eastAsia="Cambria"/>
          <w:lang w:val="fr-FR"/>
        </w:rPr>
      </w:pPr>
      <w:r w:rsidRPr="00E60353">
        <w:rPr>
          <w:rFonts w:eastAsia="Cambria"/>
          <w:lang w:val="fr-FR"/>
        </w:rPr>
        <w:t>2.3</w:t>
      </w:r>
      <w:r w:rsidRPr="00E60353">
        <w:rPr>
          <w:rFonts w:eastAsia="Cambria"/>
          <w:lang w:val="fr-FR"/>
        </w:rPr>
        <w:tab/>
        <w:t>Autres utilisations</w:t>
      </w:r>
    </w:p>
    <w:p w14:paraId="4F9521B3" w14:textId="77777777" w:rsidR="00E60353" w:rsidRPr="00E60353" w:rsidRDefault="00E60353" w:rsidP="00E60353">
      <w:pPr>
        <w:rPr>
          <w:rFonts w:eastAsia="Cambria"/>
          <w:lang w:val="fr-FR"/>
        </w:rPr>
      </w:pPr>
    </w:p>
    <w:p w14:paraId="273AADEA" w14:textId="3B2B222A" w:rsidR="00E60353" w:rsidRDefault="00E60353" w:rsidP="00E60353">
      <w:pPr>
        <w:rPr>
          <w:rFonts w:eastAsia="Cambria"/>
          <w:lang w:val="fr-FR"/>
        </w:rPr>
      </w:pPr>
      <w:r w:rsidRPr="00E60353">
        <w:rPr>
          <w:rFonts w:eastAsia="Cambria"/>
          <w:lang w:val="fr-FR"/>
        </w:rPr>
        <w:t>2.3.1.</w:t>
      </w:r>
      <w:r w:rsidRPr="00E60353">
        <w:rPr>
          <w:rFonts w:eastAsia="Cambria"/>
          <w:lang w:val="fr-FR"/>
        </w:rPr>
        <w:tab/>
        <w:t>Identification en faveur de la conservation des collections de variétés</w:t>
      </w:r>
    </w:p>
    <w:p w14:paraId="00CA8399" w14:textId="77777777" w:rsidR="00E60353" w:rsidRPr="00E60353" w:rsidRDefault="00E60353" w:rsidP="00E60353">
      <w:pPr>
        <w:rPr>
          <w:rFonts w:eastAsia="Cambria"/>
          <w:lang w:val="fr-FR"/>
        </w:rPr>
      </w:pPr>
    </w:p>
    <w:p w14:paraId="112EB457" w14:textId="55E0CBB1" w:rsidR="00E60353" w:rsidRPr="00E60353" w:rsidRDefault="00E60353" w:rsidP="00E60353">
      <w:pPr>
        <w:rPr>
          <w:rFonts w:eastAsia="Cambria"/>
          <w:lang w:val="fr-FR"/>
        </w:rPr>
      </w:pPr>
      <w:r w:rsidRPr="00E60353">
        <w:rPr>
          <w:rFonts w:eastAsia="Cambria"/>
          <w:lang w:val="fr-FR"/>
        </w:rPr>
        <w:t>Tous les marqueurs moléculaires utilisés dans les exemples cités précédemment peuvent être utilisés à des fins d</w:t>
      </w:r>
      <w:r w:rsidR="00D639EE">
        <w:rPr>
          <w:rFonts w:eastAsia="Cambria"/>
          <w:lang w:val="fr-FR"/>
        </w:rPr>
        <w:t>’</w:t>
      </w:r>
      <w:r w:rsidRPr="00E60353">
        <w:rPr>
          <w:rFonts w:eastAsia="Cambria"/>
          <w:lang w:val="fr-FR"/>
        </w:rPr>
        <w:t>identification en faveur de la conservation des collections de référence.</w:t>
      </w:r>
    </w:p>
    <w:p w14:paraId="47C92846" w14:textId="77777777" w:rsidR="00E60353" w:rsidRPr="00E60353" w:rsidRDefault="00E60353" w:rsidP="00E60353">
      <w:pPr>
        <w:rPr>
          <w:rFonts w:eastAsia="Cambria"/>
          <w:lang w:val="fr-FR"/>
        </w:rPr>
      </w:pPr>
    </w:p>
    <w:p w14:paraId="0B1AE7E4" w14:textId="4EE45085" w:rsidR="00E60353" w:rsidRDefault="00E60353" w:rsidP="00E60353">
      <w:pPr>
        <w:rPr>
          <w:rFonts w:eastAsia="Cambria"/>
          <w:lang w:val="fr-FR"/>
        </w:rPr>
      </w:pPr>
      <w:r w:rsidRPr="00E60353">
        <w:rPr>
          <w:rFonts w:eastAsia="Cambria"/>
          <w:lang w:val="fr-FR"/>
        </w:rPr>
        <w:t>En outre, d</w:t>
      </w:r>
      <w:r w:rsidR="00D639EE">
        <w:rPr>
          <w:rFonts w:eastAsia="Cambria"/>
          <w:lang w:val="fr-FR"/>
        </w:rPr>
        <w:t>’</w:t>
      </w:r>
      <w:r w:rsidRPr="00E60353">
        <w:rPr>
          <w:rFonts w:eastAsia="Cambria"/>
          <w:lang w:val="fr-FR"/>
        </w:rPr>
        <w:t>autres séries de marqueurs peuvent également être utilisées à des fins d</w:t>
      </w:r>
      <w:r w:rsidR="00D639EE">
        <w:rPr>
          <w:rFonts w:eastAsia="Cambria"/>
          <w:lang w:val="fr-FR"/>
        </w:rPr>
        <w:t>’</w:t>
      </w:r>
      <w:r w:rsidRPr="00E60353">
        <w:rPr>
          <w:rFonts w:eastAsia="Cambria"/>
          <w:lang w:val="fr-FR"/>
        </w:rPr>
        <w:t>identification par certains services d</w:t>
      </w:r>
      <w:r w:rsidR="00D639EE">
        <w:rPr>
          <w:rFonts w:eastAsia="Cambria"/>
          <w:lang w:val="fr-FR"/>
        </w:rPr>
        <w:t>’</w:t>
      </w:r>
      <w:r w:rsidRPr="00E60353">
        <w:rPr>
          <w:rFonts w:eastAsia="Cambria"/>
          <w:lang w:val="fr-FR"/>
        </w:rPr>
        <w:t xml:space="preserve">examen compétents pour des espèces telles que le rosier, le cerisier, le pêcher, la vigne, le citrus… </w:t>
      </w:r>
      <w:r w:rsidR="00D0172C">
        <w:rPr>
          <w:rFonts w:eastAsia="Cambria"/>
          <w:lang w:val="fr-FR"/>
        </w:rPr>
        <w:t xml:space="preserve"> </w:t>
      </w:r>
      <w:r w:rsidRPr="00E60353">
        <w:rPr>
          <w:rFonts w:eastAsia="Cambria"/>
          <w:lang w:val="fr-FR"/>
        </w:rPr>
        <w:t>Ces séries peuvent être harmonisées ou pas entre les services d</w:t>
      </w:r>
      <w:r w:rsidR="00D639EE">
        <w:rPr>
          <w:rFonts w:eastAsia="Cambria"/>
          <w:lang w:val="fr-FR"/>
        </w:rPr>
        <w:t>’</w:t>
      </w:r>
      <w:r w:rsidRPr="00E60353">
        <w:rPr>
          <w:rFonts w:eastAsia="Cambria"/>
          <w:lang w:val="fr-FR"/>
        </w:rPr>
        <w:t>examen (comme pour la pomme de terre, grâce à des projets soutenus par l</w:t>
      </w:r>
      <w:r w:rsidR="00D639EE">
        <w:rPr>
          <w:rFonts w:eastAsia="Cambria"/>
          <w:lang w:val="fr-FR"/>
        </w:rPr>
        <w:t>’</w:t>
      </w:r>
      <w:r w:rsidRPr="00E60353">
        <w:rPr>
          <w:rFonts w:eastAsia="Cambria"/>
          <w:lang w:val="fr-FR"/>
        </w:rPr>
        <w:t>OCVV).</w:t>
      </w:r>
    </w:p>
    <w:p w14:paraId="120DEC33" w14:textId="77777777" w:rsidR="00E60353" w:rsidRPr="00E60353" w:rsidRDefault="00E60353" w:rsidP="00E60353">
      <w:pPr>
        <w:rPr>
          <w:rFonts w:eastAsia="Cambria"/>
          <w:lang w:val="fr-FR"/>
        </w:rPr>
      </w:pPr>
    </w:p>
    <w:p w14:paraId="223EBCDE" w14:textId="0B3F009D" w:rsidR="00E60353" w:rsidRPr="00E60353" w:rsidRDefault="00E60353" w:rsidP="00E60353">
      <w:pPr>
        <w:rPr>
          <w:rFonts w:eastAsia="Cambria"/>
          <w:lang w:val="fr-FR"/>
        </w:rPr>
      </w:pPr>
      <w:r w:rsidRPr="00E60353">
        <w:rPr>
          <w:rFonts w:eastAsia="Cambria"/>
          <w:lang w:val="fr-FR"/>
        </w:rPr>
        <w:t>2.3.2</w:t>
      </w:r>
      <w:r w:rsidRPr="00E60353">
        <w:rPr>
          <w:rFonts w:eastAsia="Cambria"/>
          <w:lang w:val="fr-FR"/>
        </w:rPr>
        <w:tab/>
        <w:t>Détection des organismes génétiquement modifiés (OGM) (au sens de la directive</w:t>
      </w:r>
      <w:r w:rsidR="00D0172C">
        <w:rPr>
          <w:rFonts w:eastAsia="Cambria"/>
          <w:lang w:val="fr-FR"/>
        </w:rPr>
        <w:t> </w:t>
      </w:r>
      <w:r w:rsidRPr="00E60353">
        <w:rPr>
          <w:rFonts w:eastAsia="Cambria"/>
          <w:lang w:val="fr-FR"/>
        </w:rPr>
        <w:t>2001/18/CE)</w:t>
      </w:r>
    </w:p>
    <w:p w14:paraId="72AD41AA" w14:textId="77777777" w:rsidR="00391BC6" w:rsidRDefault="00391BC6" w:rsidP="00E60353">
      <w:pPr>
        <w:rPr>
          <w:rFonts w:eastAsia="Cambria"/>
          <w:lang w:val="fr-FR"/>
        </w:rPr>
      </w:pPr>
    </w:p>
    <w:p w14:paraId="49488744" w14:textId="7D997C86" w:rsidR="00E60353" w:rsidRPr="00E60353" w:rsidRDefault="00E60353" w:rsidP="00E60353">
      <w:pPr>
        <w:rPr>
          <w:rFonts w:eastAsia="Cambria"/>
          <w:lang w:val="fr-FR"/>
        </w:rPr>
      </w:pPr>
      <w:r w:rsidRPr="00E60353">
        <w:rPr>
          <w:rFonts w:eastAsia="Cambria"/>
          <w:lang w:val="fr-FR"/>
        </w:rPr>
        <w:t xml:space="preserve">Dans certains cas particuliers, les marqueurs sont utilisés par les </w:t>
      </w:r>
      <w:r w:rsidR="00391BC6">
        <w:rPr>
          <w:rFonts w:eastAsia="Cambria"/>
          <w:lang w:val="fr-FR"/>
        </w:rPr>
        <w:t>services</w:t>
      </w:r>
      <w:r w:rsidRPr="00E60353">
        <w:rPr>
          <w:rFonts w:eastAsia="Cambria"/>
          <w:lang w:val="fr-FR"/>
        </w:rPr>
        <w:t xml:space="preserve"> d</w:t>
      </w:r>
      <w:r w:rsidR="00D639EE">
        <w:rPr>
          <w:rFonts w:eastAsia="Cambria"/>
          <w:lang w:val="fr-FR"/>
        </w:rPr>
        <w:t>’</w:t>
      </w:r>
      <w:r w:rsidRPr="00E60353">
        <w:rPr>
          <w:rFonts w:eastAsia="Cambria"/>
          <w:lang w:val="fr-FR"/>
        </w:rPr>
        <w:t>examen pour détecter des variétés produites à l</w:t>
      </w:r>
      <w:r w:rsidR="00D639EE">
        <w:rPr>
          <w:rFonts w:eastAsia="Cambria"/>
          <w:lang w:val="fr-FR"/>
        </w:rPr>
        <w:t>’</w:t>
      </w:r>
      <w:r w:rsidRPr="00E60353">
        <w:rPr>
          <w:rFonts w:eastAsia="Cambria"/>
          <w:lang w:val="fr-FR"/>
        </w:rPr>
        <w:t>aide de techni</w:t>
      </w:r>
      <w:r w:rsidR="003554BF">
        <w:rPr>
          <w:rFonts w:eastAsia="Cambria"/>
          <w:lang w:val="fr-FR"/>
        </w:rPr>
        <w:t>ques de tr</w:t>
      </w:r>
      <w:r w:rsidR="00BF3BED">
        <w:rPr>
          <w:rFonts w:eastAsia="Cambria"/>
          <w:lang w:val="fr-FR"/>
        </w:rPr>
        <w:t>ansgénèse ou de mutagé</w:t>
      </w:r>
      <w:r w:rsidRPr="00E60353">
        <w:rPr>
          <w:rFonts w:eastAsia="Cambria"/>
          <w:lang w:val="fr-FR"/>
        </w:rPr>
        <w:t>nèse ciblée pour</w:t>
      </w:r>
      <w:r w:rsidR="00D639EE">
        <w:rPr>
          <w:rFonts w:eastAsia="Cambria"/>
          <w:lang w:val="fr-FR"/>
        </w:rPr>
        <w:t> :</w:t>
      </w:r>
    </w:p>
    <w:p w14:paraId="7E7A1876" w14:textId="0C58B28D" w:rsidR="00E60353" w:rsidRPr="00E60353" w:rsidRDefault="00D0172C" w:rsidP="00391BC6">
      <w:pPr>
        <w:ind w:left="1134" w:hanging="567"/>
        <w:rPr>
          <w:rFonts w:eastAsia="Cambria"/>
          <w:lang w:val="fr-FR"/>
        </w:rPr>
      </w:pPr>
      <w:r>
        <w:rPr>
          <w:rFonts w:eastAsia="Cambria"/>
          <w:lang w:val="fr-FR"/>
        </w:rPr>
        <w:t>–</w:t>
      </w:r>
      <w:r w:rsidR="00E60353" w:rsidRPr="00E60353">
        <w:rPr>
          <w:rFonts w:eastAsia="Cambria"/>
          <w:lang w:val="fr-FR"/>
        </w:rPr>
        <w:t xml:space="preserve"> </w:t>
      </w:r>
      <w:r w:rsidR="00E60353" w:rsidRPr="00E60353">
        <w:rPr>
          <w:rFonts w:eastAsia="Cambria"/>
          <w:lang w:val="fr-FR"/>
        </w:rPr>
        <w:tab/>
        <w:t>la confirmation de la présence d</w:t>
      </w:r>
      <w:r w:rsidR="00D639EE">
        <w:rPr>
          <w:rFonts w:eastAsia="Cambria"/>
          <w:lang w:val="fr-FR"/>
        </w:rPr>
        <w:t>’</w:t>
      </w:r>
      <w:r w:rsidR="00E60353" w:rsidRPr="00E60353">
        <w:rPr>
          <w:rFonts w:eastAsia="Cambria"/>
          <w:lang w:val="fr-FR"/>
        </w:rPr>
        <w:t>une transformation génétique déclarée (insertion transgénique classique ou mutations ponctuelles déclenchées par des technologies de modification génétique).</w:t>
      </w:r>
    </w:p>
    <w:p w14:paraId="2D096220" w14:textId="77986374" w:rsidR="00E60353" w:rsidRPr="00E60353" w:rsidRDefault="00D0172C" w:rsidP="00391BC6">
      <w:pPr>
        <w:ind w:left="1134" w:hanging="567"/>
        <w:rPr>
          <w:rFonts w:eastAsia="Cambria"/>
          <w:lang w:val="fr-FR"/>
        </w:rPr>
      </w:pPr>
      <w:r>
        <w:rPr>
          <w:rFonts w:eastAsia="Cambria"/>
          <w:lang w:val="fr-FR"/>
        </w:rPr>
        <w:t>–</w:t>
      </w:r>
      <w:r w:rsidR="00E60353" w:rsidRPr="00E60353">
        <w:rPr>
          <w:rFonts w:eastAsia="Cambria"/>
          <w:lang w:val="fr-FR"/>
        </w:rPr>
        <w:t xml:space="preserve"> </w:t>
      </w:r>
      <w:r w:rsidR="00E60353" w:rsidRPr="00E60353">
        <w:rPr>
          <w:rFonts w:eastAsia="Cambria"/>
          <w:lang w:val="fr-FR"/>
        </w:rPr>
        <w:tab/>
        <w:t>la détection de la présence accidentelle de semences génétiquement modifiées dans les lots de référence soumis.</w:t>
      </w:r>
    </w:p>
    <w:p w14:paraId="5C0637D2" w14:textId="77777777" w:rsidR="00E60353" w:rsidRPr="00E60353" w:rsidRDefault="00E60353" w:rsidP="00E60353">
      <w:pPr>
        <w:rPr>
          <w:rFonts w:eastAsia="Cambria"/>
          <w:lang w:val="fr-FR"/>
        </w:rPr>
      </w:pPr>
    </w:p>
    <w:p w14:paraId="75985717" w14:textId="77777777" w:rsidR="00E60353" w:rsidRPr="00E60353" w:rsidRDefault="00E60353" w:rsidP="00E60353">
      <w:pPr>
        <w:rPr>
          <w:rFonts w:eastAsia="Cambria"/>
          <w:lang w:val="fr-FR"/>
        </w:rPr>
      </w:pPr>
      <w:r w:rsidRPr="00E60353">
        <w:rPr>
          <w:rFonts w:eastAsia="Cambria"/>
          <w:lang w:val="fr-FR"/>
        </w:rPr>
        <w:t>Conclusion</w:t>
      </w:r>
    </w:p>
    <w:p w14:paraId="70520B75" w14:textId="77777777" w:rsidR="00E60353" w:rsidRPr="00E60353" w:rsidRDefault="00E60353" w:rsidP="00E60353">
      <w:pPr>
        <w:rPr>
          <w:rFonts w:eastAsia="Cambria"/>
          <w:lang w:val="fr-FR"/>
        </w:rPr>
      </w:pPr>
    </w:p>
    <w:p w14:paraId="168E7C52" w14:textId="7F8D6C8F" w:rsidR="00E60353" w:rsidRPr="00E60353" w:rsidRDefault="00E60353" w:rsidP="00E60353">
      <w:pPr>
        <w:rPr>
          <w:rFonts w:eastAsia="Cambria"/>
          <w:lang w:val="fr-FR"/>
        </w:rPr>
      </w:pPr>
      <w:r w:rsidRPr="00E60353">
        <w:rPr>
          <w:rFonts w:eastAsia="Cambria"/>
          <w:lang w:val="fr-FR"/>
        </w:rPr>
        <w:t>Pour résumer, de nombreuses méthodes moléculaires sont actuellement utilisées ou en cours d</w:t>
      </w:r>
      <w:r w:rsidR="00D639EE">
        <w:rPr>
          <w:rFonts w:eastAsia="Cambria"/>
          <w:lang w:val="fr-FR"/>
        </w:rPr>
        <w:t>’</w:t>
      </w:r>
      <w:r w:rsidRPr="00E60353">
        <w:rPr>
          <w:rFonts w:eastAsia="Cambria"/>
          <w:lang w:val="fr-FR"/>
        </w:rPr>
        <w:t>élaboration par le réseau des services d</w:t>
      </w:r>
      <w:r w:rsidR="00D639EE">
        <w:rPr>
          <w:rFonts w:eastAsia="Cambria"/>
          <w:lang w:val="fr-FR"/>
        </w:rPr>
        <w:t>’</w:t>
      </w:r>
      <w:r w:rsidRPr="00E60353">
        <w:rPr>
          <w:rFonts w:eastAsia="Cambria"/>
          <w:lang w:val="fr-FR"/>
        </w:rPr>
        <w:t>examen compétents de l</w:t>
      </w:r>
      <w:r w:rsidR="00D639EE">
        <w:rPr>
          <w:rFonts w:eastAsia="Cambria"/>
          <w:lang w:val="fr-FR"/>
        </w:rPr>
        <w:t>’</w:t>
      </w:r>
      <w:r w:rsidRPr="00E60353">
        <w:rPr>
          <w:rFonts w:eastAsia="Cambria"/>
          <w:lang w:val="fr-FR"/>
        </w:rPr>
        <w:t>OCVV à l</w:t>
      </w:r>
      <w:r w:rsidR="00D639EE">
        <w:rPr>
          <w:rFonts w:eastAsia="Cambria"/>
          <w:lang w:val="fr-FR"/>
        </w:rPr>
        <w:t>’</w:t>
      </w:r>
      <w:r w:rsidRPr="00E60353">
        <w:rPr>
          <w:rFonts w:eastAsia="Cambria"/>
          <w:lang w:val="fr-FR"/>
        </w:rPr>
        <w:t>appui de l</w:t>
      </w:r>
      <w:r w:rsidR="00D639EE">
        <w:rPr>
          <w:rFonts w:eastAsia="Cambria"/>
          <w:lang w:val="fr-FR"/>
        </w:rPr>
        <w:t>’</w:t>
      </w:r>
      <w:r w:rsidRPr="00E60353">
        <w:rPr>
          <w:rFonts w:eastAsia="Cambria"/>
          <w:lang w:val="fr-FR"/>
        </w:rPr>
        <w:t>examen</w:t>
      </w:r>
      <w:r w:rsidR="001B53D1">
        <w:rPr>
          <w:rFonts w:eastAsia="Cambria"/>
          <w:lang w:val="fr-FR"/>
        </w:rPr>
        <w:t> </w:t>
      </w:r>
      <w:r w:rsidRPr="00E60353">
        <w:rPr>
          <w:rFonts w:eastAsia="Cambria"/>
          <w:lang w:val="fr-FR"/>
        </w:rPr>
        <w:t>DHS.</w:t>
      </w:r>
    </w:p>
    <w:p w14:paraId="73441028" w14:textId="0627F9BC" w:rsidR="00E60353" w:rsidRPr="00E60353" w:rsidRDefault="00E60353" w:rsidP="00E60353">
      <w:pPr>
        <w:rPr>
          <w:rFonts w:eastAsia="Cambria"/>
          <w:lang w:val="fr-FR"/>
        </w:rPr>
      </w:pPr>
      <w:r w:rsidRPr="00E60353">
        <w:rPr>
          <w:rFonts w:eastAsia="Cambria"/>
          <w:lang w:val="fr-FR"/>
        </w:rPr>
        <w:t>Cependant, seuls deux</w:t>
      </w:r>
      <w:r w:rsidR="001B53D1">
        <w:rPr>
          <w:rFonts w:eastAsia="Cambria"/>
          <w:lang w:val="fr-FR"/>
        </w:rPr>
        <w:t> </w:t>
      </w:r>
      <w:r w:rsidRPr="00E60353">
        <w:rPr>
          <w:rFonts w:eastAsia="Cambria"/>
          <w:lang w:val="fr-FR"/>
        </w:rPr>
        <w:t>ensembles de marqueurs moléculaires propres aux caractères sont officiellement décrits dans les protocoles techniques de l</w:t>
      </w:r>
      <w:r w:rsidR="00D639EE">
        <w:rPr>
          <w:rFonts w:eastAsia="Cambria"/>
          <w:lang w:val="fr-FR"/>
        </w:rPr>
        <w:t>’</w:t>
      </w:r>
      <w:r w:rsidRPr="00E60353">
        <w:rPr>
          <w:rFonts w:eastAsia="Cambria"/>
          <w:lang w:val="fr-FR"/>
        </w:rPr>
        <w:t>OCVV sur la base d</w:t>
      </w:r>
      <w:r w:rsidR="00D639EE">
        <w:rPr>
          <w:rFonts w:eastAsia="Cambria"/>
          <w:lang w:val="fr-FR"/>
        </w:rPr>
        <w:t>’</w:t>
      </w:r>
      <w:r w:rsidRPr="00E60353">
        <w:rPr>
          <w:rFonts w:eastAsia="Cambria"/>
          <w:lang w:val="fr-FR"/>
        </w:rPr>
        <w:t>une évaluation/validation par des experts des groupes d</w:t>
      </w:r>
      <w:r w:rsidR="00D639EE">
        <w:rPr>
          <w:rFonts w:eastAsia="Cambria"/>
          <w:lang w:val="fr-FR"/>
        </w:rPr>
        <w:t>’</w:t>
      </w:r>
      <w:r w:rsidRPr="00E60353">
        <w:rPr>
          <w:rFonts w:eastAsia="Cambria"/>
          <w:lang w:val="fr-FR"/>
        </w:rPr>
        <w:t>experts de l</w:t>
      </w:r>
      <w:r w:rsidR="00D639EE">
        <w:rPr>
          <w:rFonts w:eastAsia="Cambria"/>
          <w:lang w:val="fr-FR"/>
        </w:rPr>
        <w:t>’</w:t>
      </w:r>
      <w:r w:rsidRPr="00E60353">
        <w:rPr>
          <w:rFonts w:eastAsia="Cambria"/>
          <w:lang w:val="fr-FR"/>
        </w:rPr>
        <w:t>O</w:t>
      </w:r>
      <w:r w:rsidR="001C11A6" w:rsidRPr="00E60353">
        <w:rPr>
          <w:rFonts w:eastAsia="Cambria"/>
          <w:lang w:val="fr-FR"/>
        </w:rPr>
        <w:t>CVV</w:t>
      </w:r>
      <w:r w:rsidR="001C11A6">
        <w:rPr>
          <w:rFonts w:eastAsia="Cambria"/>
          <w:lang w:val="fr-FR"/>
        </w:rPr>
        <w:t xml:space="preserve">.  </w:t>
      </w:r>
      <w:r w:rsidR="001C11A6" w:rsidRPr="00E60353">
        <w:rPr>
          <w:rFonts w:eastAsia="Cambria"/>
          <w:lang w:val="fr-FR"/>
        </w:rPr>
        <w:t>Ce</w:t>
      </w:r>
      <w:r w:rsidRPr="00E60353">
        <w:rPr>
          <w:rFonts w:eastAsia="Cambria"/>
          <w:lang w:val="fr-FR"/>
        </w:rPr>
        <w:t>s marqueurs sont publiquement disponibles.</w:t>
      </w:r>
    </w:p>
    <w:p w14:paraId="4D1636D2" w14:textId="6079B8F3" w:rsidR="00E60353" w:rsidRPr="0007414F" w:rsidRDefault="00E60353" w:rsidP="00E60353">
      <w:pPr>
        <w:rPr>
          <w:rFonts w:eastAsia="Cambria"/>
          <w:lang w:val="fr-FR"/>
        </w:rPr>
      </w:pPr>
      <w:r w:rsidRPr="00E60353">
        <w:rPr>
          <w:rFonts w:eastAsia="Cambria"/>
          <w:lang w:val="fr-FR"/>
        </w:rPr>
        <w:t>Par conséquent, l</w:t>
      </w:r>
      <w:r w:rsidR="00D639EE">
        <w:rPr>
          <w:rFonts w:eastAsia="Cambria"/>
          <w:lang w:val="fr-FR"/>
        </w:rPr>
        <w:t>’</w:t>
      </w:r>
      <w:r w:rsidRPr="00E60353">
        <w:rPr>
          <w:rFonts w:eastAsia="Cambria"/>
          <w:lang w:val="fr-FR"/>
        </w:rPr>
        <w:t>OCVV confie à ses services d</w:t>
      </w:r>
      <w:r w:rsidR="00D639EE">
        <w:rPr>
          <w:rFonts w:eastAsia="Cambria"/>
          <w:lang w:val="fr-FR"/>
        </w:rPr>
        <w:t>’</w:t>
      </w:r>
      <w:r w:rsidRPr="00E60353">
        <w:rPr>
          <w:rFonts w:eastAsia="Cambria"/>
          <w:lang w:val="fr-FR"/>
        </w:rPr>
        <w:t>examen compétents la charge de décrire les outils moléculaires qu</w:t>
      </w:r>
      <w:r w:rsidR="00D639EE">
        <w:rPr>
          <w:rFonts w:eastAsia="Cambria"/>
          <w:lang w:val="fr-FR"/>
        </w:rPr>
        <w:t>’</w:t>
      </w:r>
      <w:r w:rsidRPr="00E60353">
        <w:rPr>
          <w:rFonts w:eastAsia="Cambria"/>
          <w:lang w:val="fr-FR"/>
        </w:rPr>
        <w:t>ils utilisent dans le respect de la politique de l</w:t>
      </w:r>
      <w:r w:rsidR="00D639EE">
        <w:rPr>
          <w:rFonts w:eastAsia="Cambria"/>
          <w:lang w:val="fr-FR"/>
        </w:rPr>
        <w:t>’</w:t>
      </w:r>
      <w:r w:rsidRPr="00E60353">
        <w:rPr>
          <w:rFonts w:eastAsia="Cambria"/>
          <w:lang w:val="fr-FR"/>
        </w:rPr>
        <w:t>OCVV pour les méthodes employées en relation avec les collections de référence de variétés.</w:t>
      </w:r>
    </w:p>
    <w:p w14:paraId="6B39E6C2" w14:textId="43FD4C8A" w:rsidR="00EF6C3B" w:rsidRDefault="00EF6C3B" w:rsidP="00EF6C3B">
      <w:pPr>
        <w:jc w:val="left"/>
        <w:rPr>
          <w:lang w:val="fr-FR"/>
        </w:rPr>
      </w:pPr>
    </w:p>
    <w:p w14:paraId="676E210C" w14:textId="77777777" w:rsidR="00085711" w:rsidRPr="0007414F" w:rsidRDefault="00085711" w:rsidP="00EF6C3B">
      <w:pPr>
        <w:jc w:val="left"/>
        <w:rPr>
          <w:lang w:val="fr-FR"/>
        </w:rPr>
      </w:pPr>
      <w:bookmarkStart w:id="50" w:name="_GoBack"/>
      <w:bookmarkEnd w:id="50"/>
    </w:p>
    <w:p w14:paraId="2756A075" w14:textId="77777777" w:rsidR="00EF6C3B" w:rsidRPr="0007414F" w:rsidRDefault="00EF6C3B" w:rsidP="00EF6C3B">
      <w:pPr>
        <w:rPr>
          <w:lang w:val="fr-FR"/>
        </w:rPr>
      </w:pPr>
    </w:p>
    <w:p w14:paraId="41566545" w14:textId="32360887" w:rsidR="00445B73" w:rsidRPr="0007414F" w:rsidRDefault="00EF6C3B" w:rsidP="00731318">
      <w:pPr>
        <w:jc w:val="right"/>
        <w:rPr>
          <w:lang w:val="fr-FR"/>
        </w:rPr>
      </w:pPr>
      <w:r w:rsidRPr="0007414F">
        <w:rPr>
          <w:lang w:val="fr-FR"/>
        </w:rPr>
        <w:t>[</w:t>
      </w:r>
      <w:r w:rsidR="00061003">
        <w:rPr>
          <w:lang w:val="fr-FR"/>
        </w:rPr>
        <w:t>Fin de l</w:t>
      </w:r>
      <w:r w:rsidR="00D639EE">
        <w:rPr>
          <w:lang w:val="fr-FR"/>
        </w:rPr>
        <w:t>’</w:t>
      </w:r>
      <w:r w:rsidR="00061003">
        <w:rPr>
          <w:lang w:val="fr-FR"/>
        </w:rPr>
        <w:t>a</w:t>
      </w:r>
      <w:r w:rsidR="00EB517B" w:rsidRPr="0007414F">
        <w:rPr>
          <w:lang w:val="fr-FR"/>
        </w:rPr>
        <w:t>ppendi</w:t>
      </w:r>
      <w:r w:rsidR="00061003">
        <w:rPr>
          <w:lang w:val="fr-FR"/>
        </w:rPr>
        <w:t>ce</w:t>
      </w:r>
      <w:r w:rsidRPr="0007414F">
        <w:rPr>
          <w:lang w:val="fr-FR"/>
        </w:rPr>
        <w:t xml:space="preserve"> </w:t>
      </w:r>
      <w:r w:rsidR="008509CE">
        <w:rPr>
          <w:lang w:val="fr-FR"/>
        </w:rPr>
        <w:t>et</w:t>
      </w:r>
      <w:r w:rsidRPr="0007414F">
        <w:rPr>
          <w:lang w:val="fr-FR"/>
        </w:rPr>
        <w:t xml:space="preserve"> </w:t>
      </w:r>
      <w:r w:rsidR="00061003">
        <w:rPr>
          <w:lang w:val="fr-FR"/>
        </w:rPr>
        <w:t>du</w:t>
      </w:r>
      <w:r w:rsidRPr="0007414F">
        <w:rPr>
          <w:lang w:val="fr-FR"/>
        </w:rPr>
        <w:t xml:space="preserve"> document]</w:t>
      </w:r>
    </w:p>
    <w:sectPr w:rsidR="00445B73" w:rsidRPr="0007414F" w:rsidSect="004C24E1">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0F825" w14:textId="77777777" w:rsidR="006134AF" w:rsidRDefault="006134AF" w:rsidP="006655D3">
      <w:r>
        <w:separator/>
      </w:r>
    </w:p>
    <w:p w14:paraId="307C7C9B" w14:textId="77777777" w:rsidR="006134AF" w:rsidRDefault="006134AF" w:rsidP="006655D3"/>
    <w:p w14:paraId="32C525FE" w14:textId="77777777" w:rsidR="006134AF" w:rsidRDefault="006134AF" w:rsidP="006655D3"/>
  </w:endnote>
  <w:endnote w:type="continuationSeparator" w:id="0">
    <w:p w14:paraId="0F251C2F" w14:textId="77777777" w:rsidR="006134AF" w:rsidRDefault="006134AF" w:rsidP="006655D3">
      <w:r>
        <w:separator/>
      </w:r>
    </w:p>
    <w:p w14:paraId="1DB6FC29" w14:textId="77777777" w:rsidR="006134AF" w:rsidRPr="00294751" w:rsidRDefault="006134AF">
      <w:pPr>
        <w:pStyle w:val="Footer"/>
        <w:spacing w:after="60"/>
        <w:rPr>
          <w:sz w:val="18"/>
          <w:lang w:val="fr-FR"/>
        </w:rPr>
      </w:pPr>
      <w:r w:rsidRPr="00294751">
        <w:rPr>
          <w:sz w:val="18"/>
          <w:lang w:val="fr-FR"/>
        </w:rPr>
        <w:t>[Suite de la note de la page précédente]</w:t>
      </w:r>
    </w:p>
    <w:p w14:paraId="0FF47682" w14:textId="77777777" w:rsidR="006134AF" w:rsidRPr="00294751" w:rsidRDefault="006134AF" w:rsidP="006655D3">
      <w:pPr>
        <w:rPr>
          <w:lang w:val="fr-FR"/>
        </w:rPr>
      </w:pPr>
    </w:p>
    <w:p w14:paraId="307302E3" w14:textId="77777777" w:rsidR="006134AF" w:rsidRPr="00294751" w:rsidRDefault="006134AF" w:rsidP="006655D3">
      <w:pPr>
        <w:rPr>
          <w:lang w:val="fr-FR"/>
        </w:rPr>
      </w:pPr>
    </w:p>
  </w:endnote>
  <w:endnote w:type="continuationNotice" w:id="1">
    <w:p w14:paraId="60CE3A86" w14:textId="77777777" w:rsidR="006134AF" w:rsidRPr="00294751" w:rsidRDefault="006134AF" w:rsidP="006655D3">
      <w:pPr>
        <w:rPr>
          <w:lang w:val="fr-FR"/>
        </w:rPr>
      </w:pPr>
      <w:r w:rsidRPr="00294751">
        <w:rPr>
          <w:lang w:val="fr-FR"/>
        </w:rPr>
        <w:t>[Suite de la note page suivante]</w:t>
      </w:r>
    </w:p>
    <w:p w14:paraId="62A8108D" w14:textId="77777777" w:rsidR="006134AF" w:rsidRPr="00294751" w:rsidRDefault="006134AF" w:rsidP="006655D3">
      <w:pPr>
        <w:rPr>
          <w:lang w:val="fr-FR"/>
        </w:rPr>
      </w:pPr>
    </w:p>
    <w:p w14:paraId="648FE450" w14:textId="77777777" w:rsidR="006134AF" w:rsidRPr="00294751" w:rsidRDefault="006134A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41ADE" w14:textId="77777777" w:rsidR="006134AF" w:rsidRDefault="006134AF" w:rsidP="006655D3">
      <w:r>
        <w:separator/>
      </w:r>
    </w:p>
  </w:footnote>
  <w:footnote w:type="continuationSeparator" w:id="0">
    <w:p w14:paraId="65BC62F5" w14:textId="77777777" w:rsidR="006134AF" w:rsidRDefault="006134AF" w:rsidP="006655D3">
      <w:r>
        <w:separator/>
      </w:r>
    </w:p>
  </w:footnote>
  <w:footnote w:type="continuationNotice" w:id="1">
    <w:p w14:paraId="6F971B2D" w14:textId="77777777" w:rsidR="006134AF" w:rsidRPr="00AB530F" w:rsidRDefault="006134AF" w:rsidP="00AB530F">
      <w:pPr>
        <w:pStyle w:val="Footer"/>
      </w:pPr>
    </w:p>
  </w:footnote>
  <w:footnote w:id="2">
    <w:p w14:paraId="283021CA" w14:textId="13D5009C" w:rsidR="00C173D8" w:rsidRPr="008B18A1" w:rsidRDefault="00C173D8" w:rsidP="0095407D">
      <w:pPr>
        <w:pStyle w:val="FootnoteText"/>
        <w:rPr>
          <w:lang w:val="fr-FR"/>
        </w:rPr>
      </w:pPr>
      <w:r>
        <w:rPr>
          <w:rStyle w:val="FootnoteReference"/>
        </w:rPr>
        <w:footnoteRef/>
      </w:r>
      <w:r w:rsidRPr="00D639EE">
        <w:rPr>
          <w:lang w:val="fr-FR"/>
        </w:rPr>
        <w:t xml:space="preserve"> </w:t>
      </w:r>
      <w:r w:rsidR="006E7E88">
        <w:rPr>
          <w:lang w:val="fr-FR"/>
        </w:rPr>
        <w:tab/>
      </w:r>
      <w:r w:rsidR="008B18A1" w:rsidRPr="008B18A1">
        <w:rPr>
          <w:rFonts w:eastAsiaTheme="minorEastAsia"/>
          <w:lang w:val="fr-FR" w:eastAsia="ja-JP"/>
        </w:rPr>
        <w:t>Tenue à Genève les 29 et 3</w:t>
      </w:r>
      <w:r w:rsidR="008C1F59" w:rsidRPr="008B18A1">
        <w:rPr>
          <w:rFonts w:eastAsiaTheme="minorEastAsia"/>
          <w:lang w:val="fr-FR" w:eastAsia="ja-JP"/>
        </w:rPr>
        <w:t>0</w:t>
      </w:r>
      <w:r w:rsidR="008C1F59">
        <w:rPr>
          <w:rFonts w:eastAsiaTheme="minorEastAsia"/>
          <w:lang w:val="fr-FR" w:eastAsia="ja-JP"/>
        </w:rPr>
        <w:t> </w:t>
      </w:r>
      <w:r w:rsidR="008C1F59" w:rsidRPr="008B18A1">
        <w:rPr>
          <w:rFonts w:eastAsiaTheme="minorEastAsia"/>
          <w:lang w:val="fr-FR" w:eastAsia="ja-JP"/>
        </w:rPr>
        <w:t>octobre</w:t>
      </w:r>
      <w:r w:rsidR="008C1F59">
        <w:rPr>
          <w:rFonts w:eastAsiaTheme="minorEastAsia"/>
          <w:lang w:val="fr-FR" w:eastAsia="ja-JP"/>
        </w:rPr>
        <w:t> </w:t>
      </w:r>
      <w:r w:rsidR="008C1F59" w:rsidRPr="008B18A1">
        <w:rPr>
          <w:rFonts w:eastAsiaTheme="minorEastAsia"/>
          <w:lang w:val="fr-FR" w:eastAsia="ja-JP"/>
        </w:rPr>
        <w:t>20</w:t>
      </w:r>
      <w:r w:rsidR="008B18A1" w:rsidRPr="008B18A1">
        <w:rPr>
          <w:rFonts w:eastAsiaTheme="minorEastAsia"/>
          <w:lang w:val="fr-FR" w:eastAsia="ja-JP"/>
        </w:rPr>
        <w:t>18</w:t>
      </w:r>
      <w:r w:rsidR="00CC3AE8">
        <w:rPr>
          <w:rFonts w:eastAsiaTheme="minorEastAsia"/>
          <w:lang w:val="fr-FR" w:eastAsia="ja-JP"/>
        </w:rPr>
        <w:t>.</w:t>
      </w:r>
    </w:p>
  </w:footnote>
  <w:footnote w:id="3">
    <w:p w14:paraId="598D0272" w14:textId="1496EA2B" w:rsidR="00C173D8" w:rsidRPr="008B18A1" w:rsidRDefault="00C173D8" w:rsidP="005A4AC4">
      <w:pPr>
        <w:pStyle w:val="FootnoteText"/>
        <w:rPr>
          <w:lang w:val="fr-FR"/>
        </w:rPr>
      </w:pPr>
      <w:r w:rsidRPr="008B18A1">
        <w:rPr>
          <w:rStyle w:val="FootnoteReference"/>
          <w:lang w:val="fr-FR"/>
        </w:rPr>
        <w:footnoteRef/>
      </w:r>
      <w:r w:rsidRPr="008B18A1">
        <w:rPr>
          <w:lang w:val="fr-FR"/>
        </w:rPr>
        <w:t xml:space="preserve"> </w:t>
      </w:r>
      <w:r w:rsidR="006E7E88">
        <w:rPr>
          <w:lang w:val="fr-FR"/>
        </w:rPr>
        <w:tab/>
      </w:r>
      <w:r w:rsidR="008B18A1" w:rsidRPr="008B18A1">
        <w:rPr>
          <w:lang w:val="fr-FR"/>
        </w:rPr>
        <w:t>À sa cinquante</w:t>
      </w:r>
      <w:r w:rsidR="008C1F59">
        <w:rPr>
          <w:lang w:val="fr-FR"/>
        </w:rPr>
        <w:t>-</w:t>
      </w:r>
      <w:r w:rsidR="008B18A1" w:rsidRPr="008B18A1">
        <w:rPr>
          <w:lang w:val="fr-FR"/>
        </w:rPr>
        <w:t>six</w:t>
      </w:r>
      <w:r w:rsidR="008C1F59">
        <w:rPr>
          <w:lang w:val="fr-FR"/>
        </w:rPr>
        <w:t>ième session</w:t>
      </w:r>
      <w:r w:rsidR="008B18A1" w:rsidRPr="008B18A1">
        <w:rPr>
          <w:lang w:val="fr-FR"/>
        </w:rPr>
        <w:t>, tenue par voie électronique du 18 au 2</w:t>
      </w:r>
      <w:r w:rsidR="008C1F59" w:rsidRPr="008B18A1">
        <w:rPr>
          <w:lang w:val="fr-FR"/>
        </w:rPr>
        <w:t>2</w:t>
      </w:r>
      <w:r w:rsidR="008C1F59">
        <w:rPr>
          <w:lang w:val="fr-FR"/>
        </w:rPr>
        <w:t> </w:t>
      </w:r>
      <w:r w:rsidR="008C1F59" w:rsidRPr="008B18A1">
        <w:rPr>
          <w:lang w:val="fr-FR"/>
        </w:rPr>
        <w:t>avril</w:t>
      </w:r>
      <w:r w:rsidR="008C1F59">
        <w:rPr>
          <w:lang w:val="fr-FR"/>
        </w:rPr>
        <w:t> </w:t>
      </w:r>
      <w:r w:rsidR="008C1F59" w:rsidRPr="008B18A1">
        <w:rPr>
          <w:lang w:val="fr-FR"/>
        </w:rPr>
        <w:t>20</w:t>
      </w:r>
      <w:r w:rsidR="008B18A1" w:rsidRPr="008B18A1">
        <w:rPr>
          <w:lang w:val="fr-FR"/>
        </w:rPr>
        <w:t>22</w:t>
      </w:r>
      <w:r w:rsidR="00CC3AE8">
        <w:rPr>
          <w:lang w:val="fr-FR"/>
        </w:rPr>
        <w:t>.</w:t>
      </w:r>
    </w:p>
  </w:footnote>
  <w:footnote w:id="4">
    <w:p w14:paraId="11A3B4DF" w14:textId="3C77EB85" w:rsidR="00C173D8" w:rsidRPr="008B18A1" w:rsidRDefault="00C173D8" w:rsidP="005A4AC4">
      <w:pPr>
        <w:pStyle w:val="FootnoteText"/>
        <w:rPr>
          <w:highlight w:val="cyan"/>
          <w:lang w:val="fr-FR"/>
        </w:rPr>
      </w:pPr>
      <w:r w:rsidRPr="008B18A1">
        <w:rPr>
          <w:rStyle w:val="FootnoteReference"/>
          <w:lang w:val="fr-FR"/>
        </w:rPr>
        <w:footnoteRef/>
      </w:r>
      <w:r w:rsidRPr="008B18A1">
        <w:rPr>
          <w:lang w:val="fr-FR"/>
        </w:rPr>
        <w:t xml:space="preserve"> </w:t>
      </w:r>
      <w:r w:rsidR="006E7E88">
        <w:rPr>
          <w:lang w:val="fr-FR"/>
        </w:rPr>
        <w:tab/>
      </w:r>
      <w:r w:rsidR="008B18A1" w:rsidRPr="008B18A1">
        <w:rPr>
          <w:lang w:val="fr-FR"/>
        </w:rPr>
        <w:t>À sa cinquante</w:t>
      </w:r>
      <w:r w:rsidR="008C1F59">
        <w:rPr>
          <w:lang w:val="fr-FR"/>
        </w:rPr>
        <w:t> et unième session</w:t>
      </w:r>
      <w:r w:rsidR="008B18A1" w:rsidRPr="008B18A1">
        <w:rPr>
          <w:lang w:val="fr-FR"/>
        </w:rPr>
        <w:t>, organisée par le Royaume</w:t>
      </w:r>
      <w:r w:rsidR="008C1F59">
        <w:rPr>
          <w:lang w:val="fr-FR"/>
        </w:rPr>
        <w:t>-</w:t>
      </w:r>
      <w:r w:rsidR="008B18A1" w:rsidRPr="008B18A1">
        <w:rPr>
          <w:lang w:val="fr-FR"/>
        </w:rPr>
        <w:t>Uni par voie électronique du 23 au 2</w:t>
      </w:r>
      <w:r w:rsidR="008C1F59" w:rsidRPr="008B18A1">
        <w:rPr>
          <w:lang w:val="fr-FR"/>
        </w:rPr>
        <w:t>7</w:t>
      </w:r>
      <w:r w:rsidR="008C1F59">
        <w:rPr>
          <w:lang w:val="fr-FR"/>
        </w:rPr>
        <w:t> </w:t>
      </w:r>
      <w:r w:rsidR="008C1F59" w:rsidRPr="008B18A1">
        <w:rPr>
          <w:lang w:val="fr-FR"/>
        </w:rPr>
        <w:t>mai</w:t>
      </w:r>
      <w:r w:rsidR="008C1F59">
        <w:rPr>
          <w:lang w:val="fr-FR"/>
        </w:rPr>
        <w:t> </w:t>
      </w:r>
      <w:r w:rsidR="008C1F59" w:rsidRPr="008B18A1">
        <w:rPr>
          <w:lang w:val="fr-FR"/>
        </w:rPr>
        <w:t>20</w:t>
      </w:r>
      <w:r w:rsidR="008B18A1" w:rsidRPr="008B18A1">
        <w:rPr>
          <w:lang w:val="fr-FR"/>
        </w:rPr>
        <w:t>22</w:t>
      </w:r>
      <w:r w:rsidR="00CC3AE8">
        <w:rPr>
          <w:lang w:val="fr-FR"/>
        </w:rPr>
        <w:t>.</w:t>
      </w:r>
    </w:p>
  </w:footnote>
  <w:footnote w:id="5">
    <w:p w14:paraId="505E803D" w14:textId="55EB388A" w:rsidR="00C173D8" w:rsidRPr="008B18A1" w:rsidRDefault="00C173D8" w:rsidP="005A4AC4">
      <w:pPr>
        <w:pStyle w:val="FootnoteText"/>
        <w:rPr>
          <w:highlight w:val="cyan"/>
          <w:lang w:val="fr-FR"/>
        </w:rPr>
      </w:pPr>
      <w:r w:rsidRPr="008B18A1">
        <w:rPr>
          <w:rStyle w:val="FootnoteReference"/>
          <w:lang w:val="fr-FR"/>
        </w:rPr>
        <w:footnoteRef/>
      </w:r>
      <w:r w:rsidRPr="008B18A1">
        <w:rPr>
          <w:lang w:val="fr-FR"/>
        </w:rPr>
        <w:t xml:space="preserve"> </w:t>
      </w:r>
      <w:r w:rsidR="006E7E88">
        <w:rPr>
          <w:lang w:val="fr-FR"/>
        </w:rPr>
        <w:tab/>
      </w:r>
      <w:r w:rsidR="008B18A1" w:rsidRPr="008B18A1">
        <w:rPr>
          <w:lang w:val="fr-FR"/>
        </w:rPr>
        <w:t>À sa cinquante</w:t>
      </w:r>
      <w:r w:rsidR="008C1F59">
        <w:rPr>
          <w:lang w:val="fr-FR"/>
        </w:rPr>
        <w:t>-</w:t>
      </w:r>
      <w:r w:rsidR="008B18A1" w:rsidRPr="008B18A1">
        <w:rPr>
          <w:lang w:val="fr-FR"/>
        </w:rPr>
        <w:t>quatr</w:t>
      </w:r>
      <w:r w:rsidR="008C1F59">
        <w:rPr>
          <w:lang w:val="fr-FR"/>
        </w:rPr>
        <w:t>ième session</w:t>
      </w:r>
      <w:r w:rsidR="008B18A1" w:rsidRPr="008B18A1">
        <w:rPr>
          <w:lang w:val="fr-FR"/>
        </w:rPr>
        <w:t>, organisée par l</w:t>
      </w:r>
      <w:r w:rsidR="008C1F59">
        <w:rPr>
          <w:lang w:val="fr-FR"/>
        </w:rPr>
        <w:t>’</w:t>
      </w:r>
      <w:r w:rsidR="008B18A1" w:rsidRPr="008B18A1">
        <w:rPr>
          <w:lang w:val="fr-FR"/>
        </w:rPr>
        <w:t>Allemagne par voie électron</w:t>
      </w:r>
      <w:r w:rsidR="009B6234">
        <w:rPr>
          <w:lang w:val="fr-FR"/>
        </w:rPr>
        <w:t>ique du 13 au 1</w:t>
      </w:r>
      <w:r w:rsidR="008C1F59" w:rsidRPr="008B18A1">
        <w:rPr>
          <w:lang w:val="fr-FR"/>
        </w:rPr>
        <w:t>7</w:t>
      </w:r>
      <w:r w:rsidR="008C1F59">
        <w:rPr>
          <w:lang w:val="fr-FR"/>
        </w:rPr>
        <w:t> </w:t>
      </w:r>
      <w:r w:rsidR="008C1F59" w:rsidRPr="008B18A1">
        <w:rPr>
          <w:lang w:val="fr-FR"/>
        </w:rPr>
        <w:t>juin</w:t>
      </w:r>
      <w:r w:rsidR="008C1F59">
        <w:rPr>
          <w:lang w:val="fr-FR"/>
        </w:rPr>
        <w:t> </w:t>
      </w:r>
      <w:r w:rsidR="008C1F59" w:rsidRPr="008B18A1">
        <w:rPr>
          <w:lang w:val="fr-FR"/>
        </w:rPr>
        <w:t>20</w:t>
      </w:r>
      <w:r w:rsidR="008B18A1" w:rsidRPr="008B18A1">
        <w:rPr>
          <w:lang w:val="fr-FR"/>
        </w:rPr>
        <w:t>22</w:t>
      </w:r>
      <w:r w:rsidR="00CC3AE8">
        <w:rPr>
          <w:lang w:val="fr-FR"/>
        </w:rPr>
        <w:t>.</w:t>
      </w:r>
    </w:p>
  </w:footnote>
  <w:footnote w:id="6">
    <w:p w14:paraId="546A8AF6" w14:textId="755B492C" w:rsidR="00C173D8" w:rsidRPr="008B18A1" w:rsidRDefault="00C173D8" w:rsidP="005A4AC4">
      <w:pPr>
        <w:pStyle w:val="FootnoteText"/>
        <w:rPr>
          <w:lang w:val="fr-FR"/>
        </w:rPr>
      </w:pPr>
      <w:r w:rsidRPr="008B18A1">
        <w:rPr>
          <w:rStyle w:val="FootnoteReference"/>
          <w:lang w:val="fr-FR"/>
        </w:rPr>
        <w:footnoteRef/>
      </w:r>
      <w:r w:rsidRPr="008B18A1">
        <w:rPr>
          <w:lang w:val="fr-FR"/>
        </w:rPr>
        <w:t xml:space="preserve"> </w:t>
      </w:r>
      <w:r w:rsidR="006E7E88">
        <w:rPr>
          <w:lang w:val="fr-FR"/>
        </w:rPr>
        <w:tab/>
      </w:r>
      <w:r w:rsidR="008B18A1" w:rsidRPr="008B18A1">
        <w:rPr>
          <w:lang w:val="fr-FR"/>
        </w:rPr>
        <w:t>À sa cinquante</w:t>
      </w:r>
      <w:r w:rsidR="008C1F59">
        <w:rPr>
          <w:lang w:val="fr-FR"/>
        </w:rPr>
        <w:t>-</w:t>
      </w:r>
      <w:r w:rsidR="008B18A1" w:rsidRPr="008B18A1">
        <w:rPr>
          <w:lang w:val="fr-FR"/>
        </w:rPr>
        <w:t>trois</w:t>
      </w:r>
      <w:r w:rsidR="008C1F59">
        <w:rPr>
          <w:lang w:val="fr-FR"/>
        </w:rPr>
        <w:t>ième session</w:t>
      </w:r>
      <w:r w:rsidR="008B18A1" w:rsidRPr="008B18A1">
        <w:rPr>
          <w:lang w:val="fr-FR"/>
        </w:rPr>
        <w:t>, tenue par voie électronique du 11 au 1</w:t>
      </w:r>
      <w:r w:rsidR="008C1F59" w:rsidRPr="008B18A1">
        <w:rPr>
          <w:lang w:val="fr-FR"/>
        </w:rPr>
        <w:t>5</w:t>
      </w:r>
      <w:r w:rsidR="008C1F59">
        <w:rPr>
          <w:lang w:val="fr-FR"/>
        </w:rPr>
        <w:t> </w:t>
      </w:r>
      <w:r w:rsidR="008C1F59" w:rsidRPr="008B18A1">
        <w:rPr>
          <w:lang w:val="fr-FR"/>
        </w:rPr>
        <w:t>juillet</w:t>
      </w:r>
      <w:r w:rsidR="008C1F59">
        <w:rPr>
          <w:lang w:val="fr-FR"/>
        </w:rPr>
        <w:t> </w:t>
      </w:r>
      <w:r w:rsidR="008C1F59" w:rsidRPr="008B18A1">
        <w:rPr>
          <w:lang w:val="fr-FR"/>
        </w:rPr>
        <w:t>20</w:t>
      </w:r>
      <w:r w:rsidR="008B18A1" w:rsidRPr="008B18A1">
        <w:rPr>
          <w:lang w:val="fr-FR"/>
        </w:rPr>
        <w:t>22</w:t>
      </w:r>
      <w:r w:rsidR="00CC3AE8">
        <w:rPr>
          <w:lang w:val="fr-FR"/>
        </w:rPr>
        <w:t>.</w:t>
      </w:r>
    </w:p>
  </w:footnote>
  <w:footnote w:id="7">
    <w:p w14:paraId="1661E14D" w14:textId="75295174" w:rsidR="00C173D8" w:rsidRPr="008B18A1" w:rsidRDefault="00C173D8" w:rsidP="005A4AC4">
      <w:pPr>
        <w:pStyle w:val="FootnoteText"/>
        <w:rPr>
          <w:lang w:val="fr-FR"/>
        </w:rPr>
      </w:pPr>
      <w:r w:rsidRPr="008B18A1">
        <w:rPr>
          <w:rStyle w:val="FootnoteReference"/>
          <w:lang w:val="fr-FR"/>
        </w:rPr>
        <w:footnoteRef/>
      </w:r>
      <w:r w:rsidRPr="008B18A1">
        <w:rPr>
          <w:lang w:val="fr-FR"/>
        </w:rPr>
        <w:t xml:space="preserve"> </w:t>
      </w:r>
      <w:r w:rsidR="006E7E88">
        <w:rPr>
          <w:lang w:val="fr-FR"/>
        </w:rPr>
        <w:tab/>
      </w:r>
      <w:r w:rsidR="008B18A1" w:rsidRPr="008B18A1">
        <w:rPr>
          <w:lang w:val="fr-FR"/>
        </w:rPr>
        <w:t>À sa première session, tenue par voie électronique du 19 au 2</w:t>
      </w:r>
      <w:r w:rsidR="008C1F59" w:rsidRPr="008B18A1">
        <w:rPr>
          <w:lang w:val="fr-FR"/>
        </w:rPr>
        <w:t>3</w:t>
      </w:r>
      <w:r w:rsidR="008C1F59">
        <w:rPr>
          <w:lang w:val="fr-FR"/>
        </w:rPr>
        <w:t> </w:t>
      </w:r>
      <w:r w:rsidR="008C1F59" w:rsidRPr="008B18A1">
        <w:rPr>
          <w:lang w:val="fr-FR"/>
        </w:rPr>
        <w:t>septembre</w:t>
      </w:r>
      <w:r w:rsidR="008C1F59">
        <w:rPr>
          <w:lang w:val="fr-FR"/>
        </w:rPr>
        <w:t> </w:t>
      </w:r>
      <w:r w:rsidR="008C1F59" w:rsidRPr="008B18A1">
        <w:rPr>
          <w:lang w:val="fr-FR"/>
        </w:rPr>
        <w:t>20</w:t>
      </w:r>
      <w:r w:rsidR="008B18A1" w:rsidRPr="008B18A1">
        <w:rPr>
          <w:lang w:val="fr-FR"/>
        </w:rPr>
        <w:t>22</w:t>
      </w:r>
      <w:r w:rsidR="00CC3AE8">
        <w:rPr>
          <w:lang w:val="fr-FR"/>
        </w:rPr>
        <w:t>.</w:t>
      </w:r>
    </w:p>
  </w:footnote>
  <w:footnote w:id="8">
    <w:p w14:paraId="440D09F5" w14:textId="59A9AE9C" w:rsidR="00C173D8" w:rsidRPr="00D639EE" w:rsidRDefault="00C173D8" w:rsidP="00733F54">
      <w:pPr>
        <w:pStyle w:val="FootnoteText"/>
        <w:rPr>
          <w:lang w:val="fr-FR"/>
        </w:rPr>
      </w:pPr>
      <w:r w:rsidRPr="008B18A1">
        <w:rPr>
          <w:rStyle w:val="FootnoteReference"/>
          <w:lang w:val="fr-FR"/>
        </w:rPr>
        <w:footnoteRef/>
      </w:r>
      <w:r w:rsidRPr="008B18A1">
        <w:rPr>
          <w:lang w:val="fr-FR"/>
        </w:rPr>
        <w:t xml:space="preserve"> </w:t>
      </w:r>
      <w:r w:rsidR="006E7E88">
        <w:rPr>
          <w:lang w:val="fr-FR"/>
        </w:rPr>
        <w:tab/>
      </w:r>
      <w:r w:rsidR="008B18A1" w:rsidRPr="008B18A1">
        <w:rPr>
          <w:lang w:val="fr-FR"/>
        </w:rPr>
        <w:t>Tenue par voie électronique</w:t>
      </w:r>
      <w:r w:rsidRPr="008B18A1">
        <w:rPr>
          <w:lang w:val="fr-FR"/>
        </w:rPr>
        <w:t xml:space="preserve"> </w:t>
      </w:r>
      <w:r w:rsidR="008B18A1" w:rsidRPr="008B18A1">
        <w:rPr>
          <w:lang w:val="fr-FR"/>
        </w:rPr>
        <w:t>les 26 et 2</w:t>
      </w:r>
      <w:r w:rsidR="008C1F59" w:rsidRPr="008B18A1">
        <w:rPr>
          <w:lang w:val="fr-FR"/>
        </w:rPr>
        <w:t>7</w:t>
      </w:r>
      <w:r w:rsidR="008C1F59">
        <w:rPr>
          <w:lang w:val="fr-FR"/>
        </w:rPr>
        <w:t> </w:t>
      </w:r>
      <w:r w:rsidR="008C1F59" w:rsidRPr="008B18A1">
        <w:rPr>
          <w:lang w:val="fr-FR"/>
        </w:rPr>
        <w:t>octobre</w:t>
      </w:r>
      <w:r w:rsidR="008C1F59">
        <w:rPr>
          <w:lang w:val="fr-FR"/>
        </w:rPr>
        <w:t> </w:t>
      </w:r>
      <w:r w:rsidR="008C1F59" w:rsidRPr="008B18A1">
        <w:rPr>
          <w:lang w:val="fr-FR"/>
        </w:rPr>
        <w:t>20</w:t>
      </w:r>
      <w:r w:rsidRPr="008B18A1">
        <w:rPr>
          <w:lang w:val="fr-FR"/>
        </w:rPr>
        <w:t>21</w:t>
      </w:r>
      <w:r w:rsidR="00CC3AE8">
        <w:rPr>
          <w:lang w:val="fr-FR"/>
        </w:rPr>
        <w:t>.</w:t>
      </w:r>
    </w:p>
  </w:footnote>
  <w:footnote w:id="9">
    <w:p w14:paraId="4343E4AE" w14:textId="5E9D6544" w:rsidR="00C173D8" w:rsidRPr="00D5632E" w:rsidRDefault="00C173D8" w:rsidP="00744A12">
      <w:pPr>
        <w:pStyle w:val="FootnoteText"/>
        <w:rPr>
          <w:lang w:val="fr-FR"/>
        </w:rPr>
      </w:pPr>
      <w:r>
        <w:rPr>
          <w:rStyle w:val="FootnoteReference"/>
        </w:rPr>
        <w:footnoteRef/>
      </w:r>
      <w:r w:rsidRPr="00D639EE">
        <w:rPr>
          <w:lang w:val="fr-FR"/>
        </w:rPr>
        <w:t xml:space="preserve"> </w:t>
      </w:r>
      <w:r w:rsidR="006E7E88">
        <w:rPr>
          <w:lang w:val="fr-FR"/>
        </w:rPr>
        <w:tab/>
      </w:r>
      <w:r w:rsidR="000C4996" w:rsidRPr="00D5632E">
        <w:rPr>
          <w:lang w:val="fr-FR"/>
        </w:rPr>
        <w:t>Tenue à Genève les 29 et 3</w:t>
      </w:r>
      <w:r w:rsidR="008C1F59" w:rsidRPr="00D5632E">
        <w:rPr>
          <w:lang w:val="fr-FR"/>
        </w:rPr>
        <w:t>0</w:t>
      </w:r>
      <w:r w:rsidR="008C1F59">
        <w:rPr>
          <w:lang w:val="fr-FR"/>
        </w:rPr>
        <w:t> </w:t>
      </w:r>
      <w:r w:rsidR="008C1F59" w:rsidRPr="00D5632E">
        <w:rPr>
          <w:lang w:val="fr-FR"/>
        </w:rPr>
        <w:t>octobre</w:t>
      </w:r>
      <w:r w:rsidR="008C1F59">
        <w:rPr>
          <w:lang w:val="fr-FR"/>
        </w:rPr>
        <w:t> </w:t>
      </w:r>
      <w:r w:rsidR="008C1F59" w:rsidRPr="00D5632E">
        <w:rPr>
          <w:lang w:val="fr-FR"/>
        </w:rPr>
        <w:t>20</w:t>
      </w:r>
      <w:r w:rsidR="000C4996" w:rsidRPr="00D5632E">
        <w:rPr>
          <w:lang w:val="fr-FR"/>
        </w:rPr>
        <w:t>18.</w:t>
      </w:r>
      <w:r w:rsidRPr="00D5632E">
        <w:rPr>
          <w:lang w:val="fr-FR"/>
        </w:rPr>
        <w:t xml:space="preserve"> </w:t>
      </w:r>
      <w:r w:rsidR="001B53D1">
        <w:rPr>
          <w:lang w:val="fr-FR"/>
        </w:rPr>
        <w:t xml:space="preserve"> </w:t>
      </w:r>
    </w:p>
  </w:footnote>
  <w:footnote w:id="10">
    <w:p w14:paraId="1EA8B789" w14:textId="57E6322C" w:rsidR="00C173D8" w:rsidRPr="00D5632E" w:rsidRDefault="00C173D8" w:rsidP="00DE5CB9">
      <w:pPr>
        <w:pStyle w:val="FootnoteText"/>
        <w:rPr>
          <w:lang w:val="fr-FR"/>
        </w:rPr>
      </w:pPr>
      <w:r w:rsidRPr="00D5632E">
        <w:rPr>
          <w:rStyle w:val="FootnoteReference"/>
          <w:lang w:val="fr-FR"/>
        </w:rPr>
        <w:footnoteRef/>
      </w:r>
      <w:r w:rsidRPr="00D5632E">
        <w:rPr>
          <w:lang w:val="fr-FR"/>
        </w:rPr>
        <w:t xml:space="preserve"> </w:t>
      </w:r>
      <w:r w:rsidR="006E7E88">
        <w:rPr>
          <w:lang w:val="fr-FR"/>
        </w:rPr>
        <w:tab/>
      </w:r>
      <w:r w:rsidR="000C4996" w:rsidRPr="00D5632E">
        <w:rPr>
          <w:lang w:val="fr-FR"/>
        </w:rPr>
        <w:t>Organisée par le Royaume</w:t>
      </w:r>
      <w:r w:rsidR="008C1F59">
        <w:rPr>
          <w:lang w:val="fr-FR"/>
        </w:rPr>
        <w:t>-</w:t>
      </w:r>
      <w:r w:rsidR="000C4996" w:rsidRPr="00D5632E">
        <w:rPr>
          <w:lang w:val="fr-FR"/>
        </w:rPr>
        <w:t>Uni</w:t>
      </w:r>
      <w:r w:rsidR="00D5632E" w:rsidRPr="00D5632E">
        <w:rPr>
          <w:lang w:val="fr-FR"/>
        </w:rPr>
        <w:t>,</w:t>
      </w:r>
      <w:r w:rsidR="000C4996" w:rsidRPr="00D5632E">
        <w:rPr>
          <w:lang w:val="fr-FR"/>
        </w:rPr>
        <w:t xml:space="preserve"> par voie électronique</w:t>
      </w:r>
      <w:r w:rsidR="00D5632E" w:rsidRPr="00D5632E">
        <w:rPr>
          <w:lang w:val="fr-FR"/>
        </w:rPr>
        <w:t>,</w:t>
      </w:r>
      <w:r w:rsidR="000C4996" w:rsidRPr="00D5632E">
        <w:rPr>
          <w:lang w:val="fr-FR"/>
        </w:rPr>
        <w:t xml:space="preserve"> du 23 au 2</w:t>
      </w:r>
      <w:r w:rsidR="008C1F59" w:rsidRPr="00D5632E">
        <w:rPr>
          <w:lang w:val="fr-FR"/>
        </w:rPr>
        <w:t>7</w:t>
      </w:r>
      <w:r w:rsidR="008C1F59">
        <w:rPr>
          <w:lang w:val="fr-FR"/>
        </w:rPr>
        <w:t> </w:t>
      </w:r>
      <w:r w:rsidR="008C1F59" w:rsidRPr="00D5632E">
        <w:rPr>
          <w:lang w:val="fr-FR"/>
        </w:rPr>
        <w:t>mai</w:t>
      </w:r>
      <w:r w:rsidR="008C1F59">
        <w:rPr>
          <w:lang w:val="fr-FR"/>
        </w:rPr>
        <w:t> </w:t>
      </w:r>
      <w:r w:rsidR="008C1F59" w:rsidRPr="00D5632E">
        <w:rPr>
          <w:lang w:val="fr-FR"/>
        </w:rPr>
        <w:t>20</w:t>
      </w:r>
      <w:r w:rsidR="000C4996" w:rsidRPr="00D5632E">
        <w:rPr>
          <w:lang w:val="fr-FR"/>
        </w:rPr>
        <w:t>22.</w:t>
      </w:r>
    </w:p>
  </w:footnote>
  <w:footnote w:id="11">
    <w:p w14:paraId="4995D1D2" w14:textId="776E5F7E" w:rsidR="00C173D8" w:rsidRPr="00D639EE" w:rsidRDefault="00C173D8" w:rsidP="00865E81">
      <w:pPr>
        <w:pStyle w:val="FootnoteText"/>
        <w:rPr>
          <w:lang w:val="fr-FR"/>
        </w:rPr>
      </w:pPr>
      <w:r w:rsidRPr="00D5632E">
        <w:rPr>
          <w:rStyle w:val="FootnoteReference"/>
          <w:lang w:val="fr-FR"/>
        </w:rPr>
        <w:footnoteRef/>
      </w:r>
      <w:r w:rsidRPr="00D5632E">
        <w:rPr>
          <w:lang w:val="fr-FR"/>
        </w:rPr>
        <w:t xml:space="preserve"> </w:t>
      </w:r>
      <w:r w:rsidR="006E7E88">
        <w:rPr>
          <w:lang w:val="fr-FR"/>
        </w:rPr>
        <w:tab/>
      </w:r>
      <w:r w:rsidR="000C4996" w:rsidRPr="00D5632E">
        <w:rPr>
          <w:lang w:val="fr-FR"/>
        </w:rPr>
        <w:t xml:space="preserve">Organisée par voie électronique du 11 au </w:t>
      </w:r>
      <w:r w:rsidRPr="00D5632E">
        <w:rPr>
          <w:lang w:val="fr-FR"/>
        </w:rPr>
        <w:t>1</w:t>
      </w:r>
      <w:r w:rsidR="008C1F59" w:rsidRPr="00D5632E">
        <w:rPr>
          <w:lang w:val="fr-FR"/>
        </w:rPr>
        <w:t>5</w:t>
      </w:r>
      <w:r w:rsidR="008C1F59">
        <w:rPr>
          <w:lang w:val="fr-FR"/>
        </w:rPr>
        <w:t> </w:t>
      </w:r>
      <w:r w:rsidR="008C1F59" w:rsidRPr="00D5632E">
        <w:rPr>
          <w:lang w:val="fr-FR"/>
        </w:rPr>
        <w:t>juillet</w:t>
      </w:r>
      <w:r w:rsidR="008C1F59">
        <w:rPr>
          <w:lang w:val="fr-FR"/>
        </w:rPr>
        <w:t> </w:t>
      </w:r>
      <w:r w:rsidR="008C1F59" w:rsidRPr="00D5632E">
        <w:rPr>
          <w:lang w:val="fr-FR"/>
        </w:rPr>
        <w:t>20</w:t>
      </w:r>
      <w:r w:rsidRPr="00D5632E">
        <w:rPr>
          <w:lang w:val="fr-FR"/>
        </w:rPr>
        <w:t>22</w:t>
      </w:r>
      <w:r w:rsidR="000C4996" w:rsidRPr="00D5632E">
        <w:rPr>
          <w:lang w:val="fr-FR"/>
        </w:rPr>
        <w:t>.</w:t>
      </w:r>
    </w:p>
  </w:footnote>
  <w:footnote w:id="12">
    <w:p w14:paraId="139F30F8" w14:textId="26C3EFCF" w:rsidR="00C173D8" w:rsidRPr="00D5632E" w:rsidRDefault="00C173D8" w:rsidP="003A73AA">
      <w:pPr>
        <w:pStyle w:val="FootnoteText"/>
        <w:rPr>
          <w:highlight w:val="cyan"/>
          <w:lang w:val="fr-FR"/>
        </w:rPr>
      </w:pPr>
      <w:r w:rsidRPr="00D27BB4">
        <w:rPr>
          <w:rStyle w:val="FootnoteReference"/>
        </w:rPr>
        <w:footnoteRef/>
      </w:r>
      <w:r w:rsidRPr="00D639EE">
        <w:rPr>
          <w:lang w:val="fr-FR"/>
        </w:rPr>
        <w:t xml:space="preserve"> </w:t>
      </w:r>
      <w:r w:rsidR="006E7E88">
        <w:rPr>
          <w:lang w:val="fr-FR"/>
        </w:rPr>
        <w:tab/>
      </w:r>
      <w:r w:rsidR="00D5632E" w:rsidRPr="00D5632E">
        <w:rPr>
          <w:lang w:val="fr-FR"/>
        </w:rPr>
        <w:t>Organisée par l</w:t>
      </w:r>
      <w:r w:rsidR="008C1F59">
        <w:rPr>
          <w:lang w:val="fr-FR"/>
        </w:rPr>
        <w:t>’</w:t>
      </w:r>
      <w:r w:rsidR="00D5632E" w:rsidRPr="00D5632E">
        <w:rPr>
          <w:lang w:val="fr-FR"/>
        </w:rPr>
        <w:t>Allemagne, par voie électronique, du 13 au 1</w:t>
      </w:r>
      <w:r w:rsidR="008C1F59" w:rsidRPr="00D5632E">
        <w:rPr>
          <w:lang w:val="fr-FR"/>
        </w:rPr>
        <w:t>7</w:t>
      </w:r>
      <w:r w:rsidR="008C1F59">
        <w:rPr>
          <w:lang w:val="fr-FR"/>
        </w:rPr>
        <w:t> </w:t>
      </w:r>
      <w:r w:rsidR="008C1F59" w:rsidRPr="00D5632E">
        <w:rPr>
          <w:lang w:val="fr-FR"/>
        </w:rPr>
        <w:t>juin</w:t>
      </w:r>
      <w:r w:rsidR="008C1F59">
        <w:rPr>
          <w:lang w:val="fr-FR"/>
        </w:rPr>
        <w:t> </w:t>
      </w:r>
      <w:r w:rsidR="008C1F59" w:rsidRPr="00D5632E">
        <w:rPr>
          <w:lang w:val="fr-FR"/>
        </w:rPr>
        <w:t>20</w:t>
      </w:r>
      <w:r w:rsidRPr="00D5632E">
        <w:rPr>
          <w:lang w:val="fr-FR"/>
        </w:rPr>
        <w:t>22</w:t>
      </w:r>
      <w:r w:rsidR="00D5632E" w:rsidRPr="00D5632E">
        <w:rPr>
          <w:lang w:val="fr-FR"/>
        </w:rPr>
        <w:t>.</w:t>
      </w:r>
    </w:p>
  </w:footnote>
  <w:footnote w:id="13">
    <w:p w14:paraId="5D265F1A" w14:textId="684A0654" w:rsidR="00C173D8" w:rsidRPr="00D5632E" w:rsidRDefault="00C173D8" w:rsidP="00DE5CB9">
      <w:pPr>
        <w:pStyle w:val="FootnoteText"/>
        <w:rPr>
          <w:lang w:val="fr-FR"/>
        </w:rPr>
      </w:pPr>
      <w:r w:rsidRPr="00D5632E">
        <w:rPr>
          <w:rStyle w:val="FootnoteReference"/>
          <w:lang w:val="fr-FR"/>
        </w:rPr>
        <w:footnoteRef/>
      </w:r>
      <w:r w:rsidRPr="00D5632E">
        <w:rPr>
          <w:lang w:val="fr-FR"/>
        </w:rPr>
        <w:t xml:space="preserve"> </w:t>
      </w:r>
      <w:r w:rsidR="006E7E88">
        <w:rPr>
          <w:lang w:val="fr-FR"/>
        </w:rPr>
        <w:tab/>
      </w:r>
      <w:r w:rsidR="00D5632E" w:rsidRPr="00D5632E">
        <w:rPr>
          <w:lang w:val="fr-FR"/>
        </w:rPr>
        <w:t>Tenue par voie électronique du 19 au 2</w:t>
      </w:r>
      <w:r w:rsidR="008C1F59" w:rsidRPr="00D5632E">
        <w:rPr>
          <w:lang w:val="fr-FR"/>
        </w:rPr>
        <w:t>3</w:t>
      </w:r>
      <w:r w:rsidR="008C1F59">
        <w:rPr>
          <w:lang w:val="fr-FR"/>
        </w:rPr>
        <w:t> </w:t>
      </w:r>
      <w:r w:rsidR="008C1F59" w:rsidRPr="00D5632E">
        <w:rPr>
          <w:lang w:val="fr-FR"/>
        </w:rPr>
        <w:t>septembre</w:t>
      </w:r>
      <w:r w:rsidR="008C1F59">
        <w:rPr>
          <w:lang w:val="fr-FR"/>
        </w:rPr>
        <w:t> </w:t>
      </w:r>
      <w:r w:rsidR="008C1F59" w:rsidRPr="00D5632E">
        <w:rPr>
          <w:lang w:val="fr-FR"/>
        </w:rPr>
        <w:t>20</w:t>
      </w:r>
      <w:r w:rsidR="00D5632E" w:rsidRPr="00D5632E">
        <w:rPr>
          <w:lang w:val="fr-FR"/>
        </w:rPr>
        <w:t>22.</w:t>
      </w:r>
    </w:p>
  </w:footnote>
  <w:footnote w:id="14">
    <w:p w14:paraId="241B4D73" w14:textId="6B0E62EF" w:rsidR="00C173D8" w:rsidRPr="00D5632E" w:rsidRDefault="00C173D8" w:rsidP="00794EF8">
      <w:pPr>
        <w:pStyle w:val="FootnoteText"/>
        <w:rPr>
          <w:lang w:val="fr-FR"/>
        </w:rPr>
      </w:pPr>
      <w:r w:rsidRPr="00D5632E">
        <w:rPr>
          <w:rStyle w:val="FootnoteReference"/>
          <w:lang w:val="fr-FR"/>
        </w:rPr>
        <w:footnoteRef/>
      </w:r>
      <w:r w:rsidRPr="00D5632E">
        <w:rPr>
          <w:lang w:val="fr-FR"/>
        </w:rPr>
        <w:t xml:space="preserve"> </w:t>
      </w:r>
      <w:r w:rsidR="006E7E88">
        <w:rPr>
          <w:lang w:val="fr-FR"/>
        </w:rPr>
        <w:tab/>
      </w:r>
      <w:r w:rsidR="00D5632E" w:rsidRPr="00D5632E">
        <w:rPr>
          <w:lang w:val="fr-FR"/>
        </w:rPr>
        <w:t>À sa cinquante</w:t>
      </w:r>
      <w:r w:rsidR="008C1F59">
        <w:rPr>
          <w:lang w:val="fr-FR"/>
        </w:rPr>
        <w:t>-</w:t>
      </w:r>
      <w:r w:rsidR="00D5632E" w:rsidRPr="00D5632E">
        <w:rPr>
          <w:lang w:val="fr-FR"/>
        </w:rPr>
        <w:t>six</w:t>
      </w:r>
      <w:r w:rsidR="008C1F59">
        <w:rPr>
          <w:lang w:val="fr-FR"/>
        </w:rPr>
        <w:t>ième session</w:t>
      </w:r>
      <w:r w:rsidR="00D5632E" w:rsidRPr="00D5632E">
        <w:rPr>
          <w:lang w:val="fr-FR"/>
        </w:rPr>
        <w:t>, tenue par voie électronique du 18 au 2</w:t>
      </w:r>
      <w:r w:rsidR="008C1F59" w:rsidRPr="00D5632E">
        <w:rPr>
          <w:lang w:val="fr-FR"/>
        </w:rPr>
        <w:t>2</w:t>
      </w:r>
      <w:r w:rsidR="008C1F59">
        <w:rPr>
          <w:lang w:val="fr-FR"/>
        </w:rPr>
        <w:t> </w:t>
      </w:r>
      <w:r w:rsidR="008C1F59" w:rsidRPr="00D5632E">
        <w:rPr>
          <w:lang w:val="fr-FR"/>
        </w:rPr>
        <w:t>avril</w:t>
      </w:r>
      <w:r w:rsidR="008C1F59">
        <w:rPr>
          <w:lang w:val="fr-FR"/>
        </w:rPr>
        <w:t> </w:t>
      </w:r>
      <w:r w:rsidR="008C1F59" w:rsidRPr="00D5632E">
        <w:rPr>
          <w:lang w:val="fr-FR"/>
        </w:rPr>
        <w:t>20</w:t>
      </w:r>
      <w:r w:rsidR="00D5632E" w:rsidRPr="00D5632E">
        <w:rPr>
          <w:lang w:val="fr-FR"/>
        </w:rPr>
        <w:t>22.</w:t>
      </w:r>
    </w:p>
  </w:footnote>
  <w:footnote w:id="15">
    <w:p w14:paraId="467708EC" w14:textId="2606A3D7" w:rsidR="00C173D8" w:rsidRPr="00D5632E" w:rsidRDefault="00C173D8" w:rsidP="00794EF8">
      <w:pPr>
        <w:pStyle w:val="FootnoteText"/>
        <w:rPr>
          <w:highlight w:val="cyan"/>
          <w:lang w:val="fr-FR"/>
        </w:rPr>
      </w:pPr>
      <w:r w:rsidRPr="00D5632E">
        <w:rPr>
          <w:rStyle w:val="FootnoteReference"/>
          <w:lang w:val="fr-FR"/>
        </w:rPr>
        <w:footnoteRef/>
      </w:r>
      <w:r w:rsidRPr="00D5632E">
        <w:rPr>
          <w:lang w:val="fr-FR"/>
        </w:rPr>
        <w:t xml:space="preserve"> </w:t>
      </w:r>
      <w:r w:rsidR="006E7E88">
        <w:rPr>
          <w:lang w:val="fr-FR"/>
        </w:rPr>
        <w:tab/>
      </w:r>
      <w:r w:rsidR="00D5632E" w:rsidRPr="00D5632E">
        <w:rPr>
          <w:lang w:val="fr-FR"/>
        </w:rPr>
        <w:t>À sa cinquante</w:t>
      </w:r>
      <w:r w:rsidR="008C1F59">
        <w:rPr>
          <w:lang w:val="fr-FR"/>
        </w:rPr>
        <w:t> et unième session</w:t>
      </w:r>
      <w:r w:rsidR="00D5632E" w:rsidRPr="00D5632E">
        <w:rPr>
          <w:lang w:val="fr-FR"/>
        </w:rPr>
        <w:t>, organisée par le Royaume</w:t>
      </w:r>
      <w:r w:rsidR="008C1F59">
        <w:rPr>
          <w:lang w:val="fr-FR"/>
        </w:rPr>
        <w:t>-</w:t>
      </w:r>
      <w:r w:rsidR="00D5632E" w:rsidRPr="00D5632E">
        <w:rPr>
          <w:lang w:val="fr-FR"/>
        </w:rPr>
        <w:t>Uni, par voie électronique, du 23 au 2</w:t>
      </w:r>
      <w:r w:rsidR="008C1F59" w:rsidRPr="00D5632E">
        <w:rPr>
          <w:lang w:val="fr-FR"/>
        </w:rPr>
        <w:t>7</w:t>
      </w:r>
      <w:r w:rsidR="008C1F59">
        <w:rPr>
          <w:lang w:val="fr-FR"/>
        </w:rPr>
        <w:t> </w:t>
      </w:r>
      <w:r w:rsidR="008C1F59" w:rsidRPr="00D5632E">
        <w:rPr>
          <w:lang w:val="fr-FR"/>
        </w:rPr>
        <w:t>mai</w:t>
      </w:r>
      <w:r w:rsidR="008C1F59">
        <w:rPr>
          <w:lang w:val="fr-FR"/>
        </w:rPr>
        <w:t> </w:t>
      </w:r>
      <w:r w:rsidR="008C1F59" w:rsidRPr="00D5632E">
        <w:rPr>
          <w:lang w:val="fr-FR"/>
        </w:rPr>
        <w:t>20</w:t>
      </w:r>
      <w:r w:rsidR="00D5632E" w:rsidRPr="00D5632E">
        <w:rPr>
          <w:lang w:val="fr-FR"/>
        </w:rPr>
        <w:t>22.</w:t>
      </w:r>
    </w:p>
  </w:footnote>
  <w:footnote w:id="16">
    <w:p w14:paraId="5F9E1EE6" w14:textId="25840726" w:rsidR="00C173D8" w:rsidRPr="00D5632E" w:rsidRDefault="00C173D8" w:rsidP="00794EF8">
      <w:pPr>
        <w:pStyle w:val="FootnoteText"/>
        <w:rPr>
          <w:highlight w:val="cyan"/>
          <w:lang w:val="fr-FR"/>
        </w:rPr>
      </w:pPr>
      <w:r w:rsidRPr="00D5632E">
        <w:rPr>
          <w:rStyle w:val="FootnoteReference"/>
          <w:lang w:val="fr-FR"/>
        </w:rPr>
        <w:footnoteRef/>
      </w:r>
      <w:r w:rsidRPr="00D5632E">
        <w:rPr>
          <w:lang w:val="fr-FR"/>
        </w:rPr>
        <w:t xml:space="preserve"> </w:t>
      </w:r>
      <w:r w:rsidR="006E7E88">
        <w:rPr>
          <w:lang w:val="fr-FR"/>
        </w:rPr>
        <w:tab/>
      </w:r>
      <w:r w:rsidR="00D5632E" w:rsidRPr="00D5632E">
        <w:rPr>
          <w:lang w:val="fr-FR"/>
        </w:rPr>
        <w:t>À sa cinquante</w:t>
      </w:r>
      <w:r w:rsidR="008C1F59">
        <w:rPr>
          <w:lang w:val="fr-FR"/>
        </w:rPr>
        <w:t>-</w:t>
      </w:r>
      <w:r w:rsidR="00D5632E" w:rsidRPr="00D5632E">
        <w:rPr>
          <w:lang w:val="fr-FR"/>
        </w:rPr>
        <w:t>quatr</w:t>
      </w:r>
      <w:r w:rsidR="008C1F59">
        <w:rPr>
          <w:lang w:val="fr-FR"/>
        </w:rPr>
        <w:t>ième session</w:t>
      </w:r>
      <w:r w:rsidR="00D5632E" w:rsidRPr="00D5632E">
        <w:rPr>
          <w:lang w:val="fr-FR"/>
        </w:rPr>
        <w:t>, organisée par l</w:t>
      </w:r>
      <w:r w:rsidR="008C1F59">
        <w:rPr>
          <w:lang w:val="fr-FR"/>
        </w:rPr>
        <w:t>’</w:t>
      </w:r>
      <w:r w:rsidR="00D5632E" w:rsidRPr="00D5632E">
        <w:rPr>
          <w:lang w:val="fr-FR"/>
        </w:rPr>
        <w:t xml:space="preserve">Allemagne </w:t>
      </w:r>
      <w:r w:rsidR="009B6234">
        <w:rPr>
          <w:lang w:val="fr-FR"/>
        </w:rPr>
        <w:t>par voie électronique du 13 au 1</w:t>
      </w:r>
      <w:r w:rsidR="008C1F59" w:rsidRPr="00D5632E">
        <w:rPr>
          <w:lang w:val="fr-FR"/>
        </w:rPr>
        <w:t>7</w:t>
      </w:r>
      <w:r w:rsidR="008C1F59">
        <w:rPr>
          <w:lang w:val="fr-FR"/>
        </w:rPr>
        <w:t> </w:t>
      </w:r>
      <w:r w:rsidR="008C1F59" w:rsidRPr="00D5632E">
        <w:rPr>
          <w:lang w:val="fr-FR"/>
        </w:rPr>
        <w:t>juin</w:t>
      </w:r>
      <w:r w:rsidR="008C1F59">
        <w:rPr>
          <w:lang w:val="fr-FR"/>
        </w:rPr>
        <w:t> </w:t>
      </w:r>
      <w:r w:rsidR="008C1F59" w:rsidRPr="00D5632E">
        <w:rPr>
          <w:lang w:val="fr-FR"/>
        </w:rPr>
        <w:t>20</w:t>
      </w:r>
      <w:r w:rsidR="00D5632E" w:rsidRPr="00D5632E">
        <w:rPr>
          <w:lang w:val="fr-FR"/>
        </w:rPr>
        <w:t>22.</w:t>
      </w:r>
    </w:p>
  </w:footnote>
  <w:footnote w:id="17">
    <w:p w14:paraId="50143D3D" w14:textId="60DA40D1" w:rsidR="00C173D8" w:rsidRPr="00D5632E" w:rsidRDefault="00C173D8" w:rsidP="00794EF8">
      <w:pPr>
        <w:pStyle w:val="FootnoteText"/>
        <w:rPr>
          <w:lang w:val="fr-FR"/>
        </w:rPr>
      </w:pPr>
      <w:r w:rsidRPr="00D5632E">
        <w:rPr>
          <w:rStyle w:val="FootnoteReference"/>
          <w:lang w:val="fr-FR"/>
        </w:rPr>
        <w:footnoteRef/>
      </w:r>
      <w:r w:rsidRPr="00D5632E">
        <w:rPr>
          <w:lang w:val="fr-FR"/>
        </w:rPr>
        <w:t xml:space="preserve"> </w:t>
      </w:r>
      <w:r w:rsidR="006E7E88">
        <w:rPr>
          <w:lang w:val="fr-FR"/>
        </w:rPr>
        <w:tab/>
      </w:r>
      <w:r w:rsidR="00D5632E" w:rsidRPr="00D5632E">
        <w:rPr>
          <w:lang w:val="fr-FR"/>
        </w:rPr>
        <w:t>À sa cinquante</w:t>
      </w:r>
      <w:r w:rsidR="008C1F59">
        <w:rPr>
          <w:lang w:val="fr-FR"/>
        </w:rPr>
        <w:t>-</w:t>
      </w:r>
      <w:r w:rsidR="00D5632E" w:rsidRPr="00D5632E">
        <w:rPr>
          <w:lang w:val="fr-FR"/>
        </w:rPr>
        <w:t>trois</w:t>
      </w:r>
      <w:r w:rsidR="008C1F59">
        <w:rPr>
          <w:lang w:val="fr-FR"/>
        </w:rPr>
        <w:t>ième session</w:t>
      </w:r>
      <w:r w:rsidR="00D5632E" w:rsidRPr="00D5632E">
        <w:rPr>
          <w:lang w:val="fr-FR"/>
        </w:rPr>
        <w:t>, tenue par voie électronique du 11 au 1</w:t>
      </w:r>
      <w:r w:rsidR="008C1F59" w:rsidRPr="00D5632E">
        <w:rPr>
          <w:lang w:val="fr-FR"/>
        </w:rPr>
        <w:t>5</w:t>
      </w:r>
      <w:r w:rsidR="008C1F59">
        <w:rPr>
          <w:lang w:val="fr-FR"/>
        </w:rPr>
        <w:t> </w:t>
      </w:r>
      <w:r w:rsidR="008C1F59" w:rsidRPr="00D5632E">
        <w:rPr>
          <w:lang w:val="fr-FR"/>
        </w:rPr>
        <w:t>juillet</w:t>
      </w:r>
      <w:r w:rsidR="008C1F59">
        <w:rPr>
          <w:lang w:val="fr-FR"/>
        </w:rPr>
        <w:t> </w:t>
      </w:r>
      <w:r w:rsidR="008C1F59" w:rsidRPr="00D5632E">
        <w:rPr>
          <w:lang w:val="fr-FR"/>
        </w:rPr>
        <w:t>20</w:t>
      </w:r>
      <w:r w:rsidR="00D5632E" w:rsidRPr="00D5632E">
        <w:rPr>
          <w:lang w:val="fr-FR"/>
        </w:rPr>
        <w:t>22.</w:t>
      </w:r>
    </w:p>
  </w:footnote>
  <w:footnote w:id="18">
    <w:p w14:paraId="337E2547" w14:textId="0000DA8F" w:rsidR="00C173D8" w:rsidRPr="00D639EE" w:rsidRDefault="00C173D8" w:rsidP="00794EF8">
      <w:pPr>
        <w:pStyle w:val="FootnoteText"/>
        <w:rPr>
          <w:lang w:val="fr-FR"/>
        </w:rPr>
      </w:pPr>
      <w:r w:rsidRPr="00D5632E">
        <w:rPr>
          <w:rStyle w:val="FootnoteReference"/>
          <w:lang w:val="fr-FR"/>
        </w:rPr>
        <w:footnoteRef/>
      </w:r>
      <w:r w:rsidRPr="00D5632E">
        <w:rPr>
          <w:lang w:val="fr-FR"/>
        </w:rPr>
        <w:t xml:space="preserve"> </w:t>
      </w:r>
      <w:r w:rsidR="006E7E88">
        <w:rPr>
          <w:lang w:val="fr-FR"/>
        </w:rPr>
        <w:tab/>
      </w:r>
      <w:r w:rsidR="00D5632E" w:rsidRPr="00D5632E">
        <w:rPr>
          <w:lang w:val="fr-FR"/>
        </w:rPr>
        <w:t>À sa première session, tenue par voie électronique du 19 au 2</w:t>
      </w:r>
      <w:r w:rsidR="008C1F59" w:rsidRPr="00D5632E">
        <w:rPr>
          <w:lang w:val="fr-FR"/>
        </w:rPr>
        <w:t>3</w:t>
      </w:r>
      <w:r w:rsidR="008C1F59">
        <w:rPr>
          <w:lang w:val="fr-FR"/>
        </w:rPr>
        <w:t> </w:t>
      </w:r>
      <w:r w:rsidR="008C1F59" w:rsidRPr="00D5632E">
        <w:rPr>
          <w:lang w:val="fr-FR"/>
        </w:rPr>
        <w:t>septembre</w:t>
      </w:r>
      <w:r w:rsidR="008C1F59">
        <w:rPr>
          <w:lang w:val="fr-FR"/>
        </w:rPr>
        <w:t> </w:t>
      </w:r>
      <w:r w:rsidR="008C1F59" w:rsidRPr="00D5632E">
        <w:rPr>
          <w:lang w:val="fr-FR"/>
        </w:rPr>
        <w:t>20</w:t>
      </w:r>
      <w:r w:rsidR="00D5632E" w:rsidRPr="00D5632E">
        <w:rPr>
          <w:lang w:val="fr-FR"/>
        </w:rPr>
        <w:t>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03D26" w14:textId="77777777" w:rsidR="00C173D8" w:rsidRPr="00C5280D" w:rsidRDefault="00C173D8" w:rsidP="00EB048E">
    <w:pPr>
      <w:pStyle w:val="Header"/>
      <w:rPr>
        <w:rStyle w:val="PageNumber"/>
        <w:lang w:val="en-US"/>
      </w:rPr>
    </w:pPr>
    <w:r>
      <w:rPr>
        <w:rStyle w:val="PageNumber"/>
        <w:lang w:val="en-US"/>
      </w:rPr>
      <w:t>TC/58/7</w:t>
    </w:r>
  </w:p>
  <w:p w14:paraId="5866CE6B" w14:textId="2EECF8DA" w:rsidR="00C173D8" w:rsidRPr="00C5280D" w:rsidRDefault="00C173D8" w:rsidP="00EB048E">
    <w:pPr>
      <w:pStyle w:val="Header"/>
      <w:rPr>
        <w:lang w:val="en-US"/>
      </w:rPr>
    </w:pPr>
    <w:proofErr w:type="gramStart"/>
    <w:r w:rsidRPr="00C5280D">
      <w:rPr>
        <w:lang w:val="en-US"/>
      </w:rPr>
      <w:t>page</w:t>
    </w:r>
    <w:proofErr w:type="gramEnd"/>
    <w:r w:rsidR="00D0172C">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5711">
      <w:rPr>
        <w:rStyle w:val="PageNumber"/>
        <w:noProof/>
        <w:lang w:val="en-US"/>
      </w:rPr>
      <w:t>2</w:t>
    </w:r>
    <w:r w:rsidRPr="00C5280D">
      <w:rPr>
        <w:rStyle w:val="PageNumber"/>
        <w:lang w:val="en-US"/>
      </w:rPr>
      <w:fldChar w:fldCharType="end"/>
    </w:r>
  </w:p>
  <w:p w14:paraId="7B09C31F" w14:textId="77777777" w:rsidR="00C173D8" w:rsidRPr="00C5280D" w:rsidRDefault="00C173D8"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0AF78" w14:textId="77777777" w:rsidR="00C173D8" w:rsidRPr="00956417" w:rsidRDefault="00C173D8">
    <w:pPr>
      <w:pStyle w:val="Header"/>
      <w:rPr>
        <w:lang w:val="en-US"/>
      </w:rPr>
    </w:pPr>
    <w:r w:rsidRPr="00956417">
      <w:rPr>
        <w:lang w:val="en-US"/>
      </w:rPr>
      <w:t>TC/5</w:t>
    </w:r>
    <w:r>
      <w:rPr>
        <w:lang w:val="en-US"/>
      </w:rPr>
      <w:t>8</w:t>
    </w:r>
    <w:r w:rsidRPr="00956417">
      <w:rPr>
        <w:lang w:val="en-US"/>
      </w:rPr>
      <w:t>/</w:t>
    </w:r>
    <w:r>
      <w:rPr>
        <w:lang w:val="en-US"/>
      </w:rPr>
      <w:t>7</w:t>
    </w:r>
  </w:p>
  <w:p w14:paraId="7D8841B1" w14:textId="77777777" w:rsidR="00C173D8" w:rsidRPr="00956417" w:rsidRDefault="00C173D8">
    <w:pPr>
      <w:pStyle w:val="Header"/>
      <w:rPr>
        <w:noProof/>
        <w:lang w:val="en-US"/>
      </w:rPr>
    </w:pPr>
    <w:r w:rsidRPr="00956417">
      <w:rPr>
        <w:lang w:val="en-US"/>
      </w:rPr>
      <w:t xml:space="preserve">Appendix to Annex, page </w:t>
    </w:r>
    <w:r w:rsidRPr="00EF6C3B">
      <w:rPr>
        <w:lang w:val="fr-CH"/>
      </w:rPr>
      <w:fldChar w:fldCharType="begin"/>
    </w:r>
    <w:r w:rsidRPr="00956417">
      <w:rPr>
        <w:lang w:val="en-US"/>
      </w:rPr>
      <w:instrText xml:space="preserve"> PAGE   \* MERGEFORMAT </w:instrText>
    </w:r>
    <w:r w:rsidRPr="00EF6C3B">
      <w:rPr>
        <w:lang w:val="fr-CH"/>
      </w:rPr>
      <w:fldChar w:fldCharType="separate"/>
    </w:r>
    <w:r w:rsidR="00171F12">
      <w:rPr>
        <w:noProof/>
        <w:lang w:val="en-US"/>
      </w:rPr>
      <w:t>3</w:t>
    </w:r>
    <w:r w:rsidRPr="00EF6C3B">
      <w:rPr>
        <w:noProof/>
        <w:lang w:val="fr-CH"/>
      </w:rPr>
      <w:fldChar w:fldCharType="end"/>
    </w:r>
  </w:p>
  <w:p w14:paraId="6F4D1EDB" w14:textId="77777777" w:rsidR="00C173D8" w:rsidRPr="00956417" w:rsidRDefault="00C173D8">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FE4E1" w14:textId="77777777" w:rsidR="00C173D8" w:rsidRDefault="00C173D8">
    <w:pPr>
      <w:pStyle w:val="Header"/>
      <w:rPr>
        <w:lang w:val="fr-CH"/>
      </w:rPr>
    </w:pPr>
    <w:r>
      <w:rPr>
        <w:lang w:val="fr-CH"/>
      </w:rPr>
      <w:t>TC/58/7</w:t>
    </w:r>
  </w:p>
  <w:p w14:paraId="378C9263" w14:textId="77777777" w:rsidR="00C173D8" w:rsidRDefault="00C173D8">
    <w:pPr>
      <w:pStyle w:val="Header"/>
      <w:rPr>
        <w:lang w:val="fr-CH"/>
      </w:rPr>
    </w:pPr>
  </w:p>
  <w:p w14:paraId="26D8A32D" w14:textId="784C194C" w:rsidR="00C173D8" w:rsidRDefault="00C173D8">
    <w:pPr>
      <w:pStyle w:val="Header"/>
      <w:rPr>
        <w:lang w:val="fr-CH"/>
      </w:rPr>
    </w:pPr>
    <w:r>
      <w:rPr>
        <w:lang w:val="fr-CH"/>
      </w:rPr>
      <w:t>ANNEX</w:t>
    </w:r>
    <w:r w:rsidR="00552B92">
      <w:rPr>
        <w:lang w:val="fr-CH"/>
      </w:rPr>
      <w:t>E</w:t>
    </w:r>
  </w:p>
  <w:p w14:paraId="5FF8CC90" w14:textId="77777777" w:rsidR="00C173D8" w:rsidRPr="0077337F" w:rsidRDefault="00C173D8">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52F63" w14:textId="77777777" w:rsidR="002A0328" w:rsidRDefault="00C173D8" w:rsidP="004C24E1">
    <w:pPr>
      <w:pStyle w:val="Header"/>
      <w:rPr>
        <w:rStyle w:val="PageNumber"/>
        <w:lang w:val="fr-CH"/>
      </w:rPr>
    </w:pPr>
    <w:r w:rsidRPr="00961945">
      <w:rPr>
        <w:rStyle w:val="PageNumber"/>
        <w:lang w:val="fr-CH"/>
      </w:rPr>
      <w:t>T</w:t>
    </w:r>
    <w:r>
      <w:rPr>
        <w:rStyle w:val="PageNumber"/>
        <w:lang w:val="fr-CH"/>
      </w:rPr>
      <w:t>C</w:t>
    </w:r>
    <w:r w:rsidRPr="00961945">
      <w:rPr>
        <w:rStyle w:val="PageNumber"/>
        <w:lang w:val="fr-CH"/>
      </w:rPr>
      <w:t>/5</w:t>
    </w:r>
    <w:r w:rsidR="002A0328">
      <w:rPr>
        <w:rStyle w:val="PageNumber"/>
        <w:lang w:val="fr-CH"/>
      </w:rPr>
      <w:t>8/7</w:t>
    </w:r>
  </w:p>
  <w:p w14:paraId="2907D071" w14:textId="0C80A482" w:rsidR="00C173D8" w:rsidRPr="002A0328" w:rsidRDefault="002A0328" w:rsidP="004C24E1">
    <w:pPr>
      <w:pStyle w:val="Header"/>
      <w:rPr>
        <w:rStyle w:val="PageNumber"/>
        <w:lang w:val="fr-CH"/>
      </w:rPr>
    </w:pPr>
    <w:r>
      <w:rPr>
        <w:lang w:val="fr-CH"/>
      </w:rPr>
      <w:t>Appendi</w:t>
    </w:r>
    <w:r w:rsidR="00061003">
      <w:rPr>
        <w:lang w:val="fr-CH"/>
      </w:rPr>
      <w:t>ce de l’a</w:t>
    </w:r>
    <w:r w:rsidR="00C173D8">
      <w:rPr>
        <w:lang w:val="fr-CH"/>
      </w:rPr>
      <w:t>nnex</w:t>
    </w:r>
    <w:r w:rsidR="00061003">
      <w:rPr>
        <w:lang w:val="fr-CH"/>
      </w:rPr>
      <w:t>e</w:t>
    </w:r>
    <w:r w:rsidR="00C173D8" w:rsidRPr="00961945">
      <w:rPr>
        <w:lang w:val="fr-CH"/>
      </w:rPr>
      <w:t xml:space="preserve">, page </w:t>
    </w:r>
    <w:r w:rsidR="00C173D8" w:rsidRPr="00C5280D">
      <w:rPr>
        <w:rStyle w:val="PageNumber"/>
        <w:lang w:val="en-US"/>
      </w:rPr>
      <w:fldChar w:fldCharType="begin"/>
    </w:r>
    <w:r w:rsidR="00C173D8" w:rsidRPr="00961945">
      <w:rPr>
        <w:rStyle w:val="PageNumber"/>
        <w:lang w:val="fr-CH"/>
      </w:rPr>
      <w:instrText xml:space="preserve"> PAGE </w:instrText>
    </w:r>
    <w:r w:rsidR="00C173D8" w:rsidRPr="00C5280D">
      <w:rPr>
        <w:rStyle w:val="PageNumber"/>
        <w:lang w:val="en-US"/>
      </w:rPr>
      <w:fldChar w:fldCharType="separate"/>
    </w:r>
    <w:r w:rsidR="00085711">
      <w:rPr>
        <w:rStyle w:val="PageNumber"/>
        <w:noProof/>
        <w:lang w:val="fr-CH"/>
      </w:rPr>
      <w:t>3</w:t>
    </w:r>
    <w:r w:rsidR="00C173D8" w:rsidRPr="00C5280D">
      <w:rPr>
        <w:rStyle w:val="PageNumber"/>
        <w:lang w:val="en-US"/>
      </w:rPr>
      <w:fldChar w:fldCharType="end"/>
    </w:r>
  </w:p>
  <w:p w14:paraId="2BD452F9" w14:textId="77777777" w:rsidR="00C173D8" w:rsidRPr="00961945" w:rsidRDefault="00C173D8" w:rsidP="004C24E1">
    <w:pPr>
      <w:pStyle w:val="Header"/>
      <w:rPr>
        <w:lang w:val="fr-CH"/>
      </w:rPr>
    </w:pPr>
  </w:p>
  <w:p w14:paraId="0B7FDEB8" w14:textId="77777777" w:rsidR="00C173D8" w:rsidRPr="00961945" w:rsidRDefault="00C173D8">
    <w:pPr>
      <w:pStyle w:val="BodyText"/>
      <w:spacing w:line="14" w:lineRule="auto"/>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4580A" w14:textId="77777777" w:rsidR="002A0328" w:rsidRDefault="002A0328" w:rsidP="002A0328">
    <w:pPr>
      <w:pStyle w:val="Header"/>
      <w:rPr>
        <w:rStyle w:val="PageNumber"/>
        <w:lang w:val="fr-CH"/>
      </w:rPr>
    </w:pPr>
    <w:r w:rsidRPr="00961945">
      <w:rPr>
        <w:rStyle w:val="PageNumber"/>
        <w:lang w:val="fr-CH"/>
      </w:rPr>
      <w:t>T</w:t>
    </w:r>
    <w:r>
      <w:rPr>
        <w:rStyle w:val="PageNumber"/>
        <w:lang w:val="fr-CH"/>
      </w:rPr>
      <w:t>C</w:t>
    </w:r>
    <w:r w:rsidRPr="00961945">
      <w:rPr>
        <w:rStyle w:val="PageNumber"/>
        <w:lang w:val="fr-CH"/>
      </w:rPr>
      <w:t>/5</w:t>
    </w:r>
    <w:r>
      <w:rPr>
        <w:rStyle w:val="PageNumber"/>
        <w:lang w:val="fr-CH"/>
      </w:rPr>
      <w:t>8/7</w:t>
    </w:r>
  </w:p>
  <w:p w14:paraId="3B5226B0" w14:textId="77777777" w:rsidR="002A0328" w:rsidRDefault="002A0328" w:rsidP="002A0328">
    <w:pPr>
      <w:pStyle w:val="Header"/>
      <w:rPr>
        <w:rStyle w:val="PageNumber"/>
        <w:lang w:val="fr-CH"/>
      </w:rPr>
    </w:pPr>
  </w:p>
  <w:p w14:paraId="5D250331" w14:textId="6FF8474A" w:rsidR="00061003" w:rsidRPr="00061003" w:rsidRDefault="002A0328" w:rsidP="00061003">
    <w:pPr>
      <w:pStyle w:val="Header"/>
      <w:rPr>
        <w:lang w:val="fr-CH"/>
      </w:rPr>
    </w:pPr>
    <w:r>
      <w:rPr>
        <w:lang w:val="fr-CH"/>
      </w:rPr>
      <w:t>Appendi</w:t>
    </w:r>
    <w:r w:rsidR="00061003">
      <w:rPr>
        <w:lang w:val="fr-CH"/>
      </w:rPr>
      <w:t>ce de l’a</w:t>
    </w:r>
    <w:r>
      <w:rPr>
        <w:lang w:val="fr-CH"/>
      </w:rPr>
      <w:t>nnex</w:t>
    </w:r>
    <w:r w:rsidR="00061003">
      <w:rPr>
        <w:lang w:val="fr-CH"/>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80919"/>
    <w:multiLevelType w:val="hybridMultilevel"/>
    <w:tmpl w:val="A7EC8664"/>
    <w:lvl w:ilvl="0" w:tplc="50124E3C">
      <w:numFmt w:val="bullet"/>
      <w:lvlText w:val="-"/>
      <w:lvlJc w:val="left"/>
      <w:pPr>
        <w:ind w:left="1494" w:hanging="360"/>
      </w:pPr>
      <w:rPr>
        <w:rFonts w:ascii="Arial" w:eastAsia="Times New Roman" w:hAnsi="Arial" w:cs="Aria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3" w15:restartNumberingAfterBreak="0">
    <w:nsid w:val="31B073DB"/>
    <w:multiLevelType w:val="multilevel"/>
    <w:tmpl w:val="8D3CD76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418" w:hanging="567"/>
      </w:pPr>
      <w:rPr>
        <w:rFonts w:hint="default"/>
      </w:rPr>
    </w:lvl>
    <w:lvl w:ilvl="5">
      <w:start w:val="1"/>
      <w:numFmt w:val="bullet"/>
      <w:lvlText w:val=""/>
      <w:lvlJc w:val="left"/>
      <w:pPr>
        <w:ind w:left="1418" w:hanging="284"/>
      </w:pPr>
      <w:rPr>
        <w:rFonts w:ascii="Symbol" w:hAnsi="Symbol" w:hint="default"/>
        <w:color w:val="auto"/>
      </w:rPr>
    </w:lvl>
    <w:lvl w:ilvl="6">
      <w:start w:val="1"/>
      <w:numFmt w:val="bullet"/>
      <w:lvlText w:val=""/>
      <w:lvlJc w:val="left"/>
      <w:pPr>
        <w:ind w:left="1588" w:hanging="284"/>
      </w:pPr>
      <w:rPr>
        <w:rFonts w:ascii="Symbol" w:hAnsi="Symbol" w:hint="default"/>
        <w:color w:val="auto"/>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4"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A06518E"/>
    <w:multiLevelType w:val="hybridMultilevel"/>
    <w:tmpl w:val="85A0CB58"/>
    <w:lvl w:ilvl="0" w:tplc="3CE8F4F8">
      <w:start w:val="1"/>
      <w:numFmt w:val="lowerLetter"/>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5239DE"/>
    <w:multiLevelType w:val="hybridMultilevel"/>
    <w:tmpl w:val="1DA0FF64"/>
    <w:lvl w:ilvl="0" w:tplc="E286ECEE">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num w:numId="1">
    <w:abstractNumId w:val="5"/>
  </w:num>
  <w:num w:numId="2">
    <w:abstractNumId w:val="0"/>
  </w:num>
  <w:num w:numId="3">
    <w:abstractNumId w:val="9"/>
  </w:num>
  <w:num w:numId="4">
    <w:abstractNumId w:val="7"/>
  </w:num>
  <w:num w:numId="5">
    <w:abstractNumId w:val="3"/>
  </w:num>
  <w:num w:numId="6">
    <w:abstractNumId w:val="4"/>
  </w:num>
  <w:num w:numId="7">
    <w:abstractNumId w:val="8"/>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10CF3"/>
    <w:rsid w:val="00011E27"/>
    <w:rsid w:val="000148BC"/>
    <w:rsid w:val="00017871"/>
    <w:rsid w:val="00024AB8"/>
    <w:rsid w:val="00025C2C"/>
    <w:rsid w:val="00030854"/>
    <w:rsid w:val="00036028"/>
    <w:rsid w:val="0004198B"/>
    <w:rsid w:val="00044642"/>
    <w:rsid w:val="000446B9"/>
    <w:rsid w:val="00047E21"/>
    <w:rsid w:val="00050E16"/>
    <w:rsid w:val="000532D8"/>
    <w:rsid w:val="00055C58"/>
    <w:rsid w:val="00061003"/>
    <w:rsid w:val="0007414F"/>
    <w:rsid w:val="000743FC"/>
    <w:rsid w:val="00085505"/>
    <w:rsid w:val="00085711"/>
    <w:rsid w:val="000C4996"/>
    <w:rsid w:val="000C4E25"/>
    <w:rsid w:val="000C7021"/>
    <w:rsid w:val="000D4C7A"/>
    <w:rsid w:val="000D6BBC"/>
    <w:rsid w:val="000D7780"/>
    <w:rsid w:val="000E636A"/>
    <w:rsid w:val="000F2F11"/>
    <w:rsid w:val="00100A5F"/>
    <w:rsid w:val="00105929"/>
    <w:rsid w:val="00110BED"/>
    <w:rsid w:val="00110C36"/>
    <w:rsid w:val="001131D5"/>
    <w:rsid w:val="00114547"/>
    <w:rsid w:val="001375BB"/>
    <w:rsid w:val="00141DB8"/>
    <w:rsid w:val="00171F12"/>
    <w:rsid w:val="00172084"/>
    <w:rsid w:val="0017474A"/>
    <w:rsid w:val="001758C6"/>
    <w:rsid w:val="00182B99"/>
    <w:rsid w:val="00186CE3"/>
    <w:rsid w:val="001A0B7C"/>
    <w:rsid w:val="001A3422"/>
    <w:rsid w:val="001A75C9"/>
    <w:rsid w:val="001B53D1"/>
    <w:rsid w:val="001C11A6"/>
    <w:rsid w:val="001C1525"/>
    <w:rsid w:val="001D05C2"/>
    <w:rsid w:val="001D15E4"/>
    <w:rsid w:val="001D3B49"/>
    <w:rsid w:val="001F3850"/>
    <w:rsid w:val="0021332C"/>
    <w:rsid w:val="00213982"/>
    <w:rsid w:val="002338B5"/>
    <w:rsid w:val="002420F2"/>
    <w:rsid w:val="0024416D"/>
    <w:rsid w:val="00271911"/>
    <w:rsid w:val="00272C20"/>
    <w:rsid w:val="00273187"/>
    <w:rsid w:val="002800A0"/>
    <w:rsid w:val="002801B3"/>
    <w:rsid w:val="00281060"/>
    <w:rsid w:val="00281E30"/>
    <w:rsid w:val="00284050"/>
    <w:rsid w:val="00285BD0"/>
    <w:rsid w:val="0029289C"/>
    <w:rsid w:val="002940E8"/>
    <w:rsid w:val="00294751"/>
    <w:rsid w:val="002A0328"/>
    <w:rsid w:val="002A1356"/>
    <w:rsid w:val="002A4F97"/>
    <w:rsid w:val="002A6E50"/>
    <w:rsid w:val="002B09D9"/>
    <w:rsid w:val="002B4298"/>
    <w:rsid w:val="002B465C"/>
    <w:rsid w:val="002B7A36"/>
    <w:rsid w:val="002C256A"/>
    <w:rsid w:val="002D499C"/>
    <w:rsid w:val="002D5226"/>
    <w:rsid w:val="002E39C8"/>
    <w:rsid w:val="00302B08"/>
    <w:rsid w:val="00305A7F"/>
    <w:rsid w:val="003065FB"/>
    <w:rsid w:val="003152FE"/>
    <w:rsid w:val="00327436"/>
    <w:rsid w:val="00344BD6"/>
    <w:rsid w:val="0035528D"/>
    <w:rsid w:val="003554BF"/>
    <w:rsid w:val="00360E6F"/>
    <w:rsid w:val="003613D1"/>
    <w:rsid w:val="00361821"/>
    <w:rsid w:val="00361E9E"/>
    <w:rsid w:val="003753EE"/>
    <w:rsid w:val="003817AF"/>
    <w:rsid w:val="0039171E"/>
    <w:rsid w:val="00391BC6"/>
    <w:rsid w:val="003A0835"/>
    <w:rsid w:val="003A5AAF"/>
    <w:rsid w:val="003A73AA"/>
    <w:rsid w:val="003B700A"/>
    <w:rsid w:val="003B76BD"/>
    <w:rsid w:val="003C34EE"/>
    <w:rsid w:val="003C7FBE"/>
    <w:rsid w:val="003D227C"/>
    <w:rsid w:val="003D2B4D"/>
    <w:rsid w:val="003E0D8D"/>
    <w:rsid w:val="003F37F5"/>
    <w:rsid w:val="00436712"/>
    <w:rsid w:val="00444474"/>
    <w:rsid w:val="00444A88"/>
    <w:rsid w:val="00445B03"/>
    <w:rsid w:val="00445B73"/>
    <w:rsid w:val="0044660C"/>
    <w:rsid w:val="00462848"/>
    <w:rsid w:val="00465150"/>
    <w:rsid w:val="00467E21"/>
    <w:rsid w:val="00474DA4"/>
    <w:rsid w:val="00475F0B"/>
    <w:rsid w:val="00476B4D"/>
    <w:rsid w:val="004805FA"/>
    <w:rsid w:val="004935D2"/>
    <w:rsid w:val="004B1215"/>
    <w:rsid w:val="004C24E1"/>
    <w:rsid w:val="004D047D"/>
    <w:rsid w:val="004D0C2D"/>
    <w:rsid w:val="004D1E82"/>
    <w:rsid w:val="004D3878"/>
    <w:rsid w:val="004F1E9E"/>
    <w:rsid w:val="004F305A"/>
    <w:rsid w:val="004F7458"/>
    <w:rsid w:val="005101E8"/>
    <w:rsid w:val="00512164"/>
    <w:rsid w:val="00517EF9"/>
    <w:rsid w:val="00520297"/>
    <w:rsid w:val="00527C6F"/>
    <w:rsid w:val="005338F9"/>
    <w:rsid w:val="00534003"/>
    <w:rsid w:val="0054281C"/>
    <w:rsid w:val="00544581"/>
    <w:rsid w:val="0055268D"/>
    <w:rsid w:val="00552A7D"/>
    <w:rsid w:val="00552B92"/>
    <w:rsid w:val="00555295"/>
    <w:rsid w:val="00556E2B"/>
    <w:rsid w:val="0056764C"/>
    <w:rsid w:val="00575DE2"/>
    <w:rsid w:val="00576BE4"/>
    <w:rsid w:val="005779DB"/>
    <w:rsid w:val="005818CE"/>
    <w:rsid w:val="00583353"/>
    <w:rsid w:val="005A2A67"/>
    <w:rsid w:val="005A400A"/>
    <w:rsid w:val="005A4AC4"/>
    <w:rsid w:val="005B269D"/>
    <w:rsid w:val="005B33D0"/>
    <w:rsid w:val="005F58D4"/>
    <w:rsid w:val="005F7B92"/>
    <w:rsid w:val="00611278"/>
    <w:rsid w:val="00612379"/>
    <w:rsid w:val="006134AF"/>
    <w:rsid w:val="006153B6"/>
    <w:rsid w:val="0061555F"/>
    <w:rsid w:val="006245ED"/>
    <w:rsid w:val="0062673E"/>
    <w:rsid w:val="006269DB"/>
    <w:rsid w:val="00636CA6"/>
    <w:rsid w:val="00641200"/>
    <w:rsid w:val="00645CA8"/>
    <w:rsid w:val="00652354"/>
    <w:rsid w:val="0065461D"/>
    <w:rsid w:val="006603D6"/>
    <w:rsid w:val="006655D3"/>
    <w:rsid w:val="00667404"/>
    <w:rsid w:val="00687EB4"/>
    <w:rsid w:val="006919EA"/>
    <w:rsid w:val="00695C56"/>
    <w:rsid w:val="006A5CDE"/>
    <w:rsid w:val="006A644A"/>
    <w:rsid w:val="006B17D2"/>
    <w:rsid w:val="006C224E"/>
    <w:rsid w:val="006C4E21"/>
    <w:rsid w:val="006D780A"/>
    <w:rsid w:val="006E7E88"/>
    <w:rsid w:val="0070398B"/>
    <w:rsid w:val="007062FE"/>
    <w:rsid w:val="0071271E"/>
    <w:rsid w:val="00731318"/>
    <w:rsid w:val="00732DEC"/>
    <w:rsid w:val="00733F54"/>
    <w:rsid w:val="00735BD5"/>
    <w:rsid w:val="00744A12"/>
    <w:rsid w:val="007451EC"/>
    <w:rsid w:val="00750B3B"/>
    <w:rsid w:val="00751613"/>
    <w:rsid w:val="007522CA"/>
    <w:rsid w:val="00753EE9"/>
    <w:rsid w:val="007556F6"/>
    <w:rsid w:val="0075630B"/>
    <w:rsid w:val="00760EEF"/>
    <w:rsid w:val="007776C7"/>
    <w:rsid w:val="00777EE5"/>
    <w:rsid w:val="00784836"/>
    <w:rsid w:val="0079023E"/>
    <w:rsid w:val="00794EF8"/>
    <w:rsid w:val="007A2158"/>
    <w:rsid w:val="007A2854"/>
    <w:rsid w:val="007A3F10"/>
    <w:rsid w:val="007A71F1"/>
    <w:rsid w:val="007C1D92"/>
    <w:rsid w:val="007C4CB9"/>
    <w:rsid w:val="007D0B9D"/>
    <w:rsid w:val="007D19B0"/>
    <w:rsid w:val="007D6F5B"/>
    <w:rsid w:val="007F06D0"/>
    <w:rsid w:val="007F498F"/>
    <w:rsid w:val="0080679D"/>
    <w:rsid w:val="008108B0"/>
    <w:rsid w:val="00811B20"/>
    <w:rsid w:val="00812609"/>
    <w:rsid w:val="008211B5"/>
    <w:rsid w:val="0082296E"/>
    <w:rsid w:val="00824099"/>
    <w:rsid w:val="008304D5"/>
    <w:rsid w:val="00846D7C"/>
    <w:rsid w:val="008509CE"/>
    <w:rsid w:val="00860B6A"/>
    <w:rsid w:val="00865E81"/>
    <w:rsid w:val="00867AC1"/>
    <w:rsid w:val="008751DE"/>
    <w:rsid w:val="00890DF8"/>
    <w:rsid w:val="008A0ADE"/>
    <w:rsid w:val="008A1784"/>
    <w:rsid w:val="008A743F"/>
    <w:rsid w:val="008A7C6D"/>
    <w:rsid w:val="008B18A1"/>
    <w:rsid w:val="008B62C2"/>
    <w:rsid w:val="008C0970"/>
    <w:rsid w:val="008C19D1"/>
    <w:rsid w:val="008C1F59"/>
    <w:rsid w:val="008D0BC5"/>
    <w:rsid w:val="008D2CF7"/>
    <w:rsid w:val="008E7295"/>
    <w:rsid w:val="008F01A2"/>
    <w:rsid w:val="00900C26"/>
    <w:rsid w:val="0090197F"/>
    <w:rsid w:val="00902467"/>
    <w:rsid w:val="00902533"/>
    <w:rsid w:val="00903264"/>
    <w:rsid w:val="00906DDC"/>
    <w:rsid w:val="00907C05"/>
    <w:rsid w:val="00907ED4"/>
    <w:rsid w:val="00915233"/>
    <w:rsid w:val="00934E09"/>
    <w:rsid w:val="00935290"/>
    <w:rsid w:val="00936253"/>
    <w:rsid w:val="00940D46"/>
    <w:rsid w:val="009413F1"/>
    <w:rsid w:val="00952DD4"/>
    <w:rsid w:val="0095407D"/>
    <w:rsid w:val="009561F4"/>
    <w:rsid w:val="00956417"/>
    <w:rsid w:val="0096414A"/>
    <w:rsid w:val="0096531C"/>
    <w:rsid w:val="00965AE7"/>
    <w:rsid w:val="009669CC"/>
    <w:rsid w:val="00970FED"/>
    <w:rsid w:val="00985E41"/>
    <w:rsid w:val="00992D82"/>
    <w:rsid w:val="00997029"/>
    <w:rsid w:val="009A7339"/>
    <w:rsid w:val="009B20C3"/>
    <w:rsid w:val="009B440E"/>
    <w:rsid w:val="009B6234"/>
    <w:rsid w:val="009D690D"/>
    <w:rsid w:val="009E65B6"/>
    <w:rsid w:val="009F0A51"/>
    <w:rsid w:val="009F0B7F"/>
    <w:rsid w:val="009F18B9"/>
    <w:rsid w:val="009F77CF"/>
    <w:rsid w:val="00A022F9"/>
    <w:rsid w:val="00A04147"/>
    <w:rsid w:val="00A12795"/>
    <w:rsid w:val="00A24C10"/>
    <w:rsid w:val="00A36448"/>
    <w:rsid w:val="00A42AC3"/>
    <w:rsid w:val="00A430CF"/>
    <w:rsid w:val="00A54309"/>
    <w:rsid w:val="00A610A9"/>
    <w:rsid w:val="00A71C7E"/>
    <w:rsid w:val="00A720D4"/>
    <w:rsid w:val="00A80F2A"/>
    <w:rsid w:val="00A96C33"/>
    <w:rsid w:val="00AB2B93"/>
    <w:rsid w:val="00AB530F"/>
    <w:rsid w:val="00AB7E5B"/>
    <w:rsid w:val="00AC1E15"/>
    <w:rsid w:val="00AC2883"/>
    <w:rsid w:val="00AD5F2B"/>
    <w:rsid w:val="00AE0EF1"/>
    <w:rsid w:val="00AE2937"/>
    <w:rsid w:val="00B02346"/>
    <w:rsid w:val="00B048F8"/>
    <w:rsid w:val="00B060F1"/>
    <w:rsid w:val="00B07301"/>
    <w:rsid w:val="00B11F3E"/>
    <w:rsid w:val="00B218FC"/>
    <w:rsid w:val="00B224DE"/>
    <w:rsid w:val="00B3035F"/>
    <w:rsid w:val="00B324D4"/>
    <w:rsid w:val="00B440A7"/>
    <w:rsid w:val="00B46575"/>
    <w:rsid w:val="00B61777"/>
    <w:rsid w:val="00B622E6"/>
    <w:rsid w:val="00B76460"/>
    <w:rsid w:val="00B83E82"/>
    <w:rsid w:val="00B84BBD"/>
    <w:rsid w:val="00BA43FB"/>
    <w:rsid w:val="00BB378A"/>
    <w:rsid w:val="00BB5A7F"/>
    <w:rsid w:val="00BB6C13"/>
    <w:rsid w:val="00BC127D"/>
    <w:rsid w:val="00BC1FE6"/>
    <w:rsid w:val="00BF3BED"/>
    <w:rsid w:val="00C061B6"/>
    <w:rsid w:val="00C173D8"/>
    <w:rsid w:val="00C2446C"/>
    <w:rsid w:val="00C36AE5"/>
    <w:rsid w:val="00C41F17"/>
    <w:rsid w:val="00C42D2F"/>
    <w:rsid w:val="00C44B4D"/>
    <w:rsid w:val="00C527FA"/>
    <w:rsid w:val="00C5280D"/>
    <w:rsid w:val="00C53EB3"/>
    <w:rsid w:val="00C56FEA"/>
    <w:rsid w:val="00C5791C"/>
    <w:rsid w:val="00C66290"/>
    <w:rsid w:val="00C72B7A"/>
    <w:rsid w:val="00C76840"/>
    <w:rsid w:val="00C83970"/>
    <w:rsid w:val="00C973F2"/>
    <w:rsid w:val="00CA304C"/>
    <w:rsid w:val="00CA612C"/>
    <w:rsid w:val="00CA774A"/>
    <w:rsid w:val="00CB4921"/>
    <w:rsid w:val="00CC0943"/>
    <w:rsid w:val="00CC11B0"/>
    <w:rsid w:val="00CC2841"/>
    <w:rsid w:val="00CC3AE8"/>
    <w:rsid w:val="00CD7383"/>
    <w:rsid w:val="00CF1330"/>
    <w:rsid w:val="00CF7E36"/>
    <w:rsid w:val="00D0172C"/>
    <w:rsid w:val="00D05189"/>
    <w:rsid w:val="00D24D31"/>
    <w:rsid w:val="00D2670B"/>
    <w:rsid w:val="00D3708D"/>
    <w:rsid w:val="00D40426"/>
    <w:rsid w:val="00D433CD"/>
    <w:rsid w:val="00D45AC7"/>
    <w:rsid w:val="00D5632E"/>
    <w:rsid w:val="00D57C96"/>
    <w:rsid w:val="00D57D18"/>
    <w:rsid w:val="00D62BD5"/>
    <w:rsid w:val="00D639EE"/>
    <w:rsid w:val="00D70E65"/>
    <w:rsid w:val="00D73337"/>
    <w:rsid w:val="00D82C4D"/>
    <w:rsid w:val="00D87FC5"/>
    <w:rsid w:val="00D91203"/>
    <w:rsid w:val="00D95174"/>
    <w:rsid w:val="00DA4973"/>
    <w:rsid w:val="00DA6F36"/>
    <w:rsid w:val="00DB596E"/>
    <w:rsid w:val="00DB7773"/>
    <w:rsid w:val="00DC00EA"/>
    <w:rsid w:val="00DC3802"/>
    <w:rsid w:val="00DD1AC2"/>
    <w:rsid w:val="00DD6208"/>
    <w:rsid w:val="00DE0086"/>
    <w:rsid w:val="00DE5CB9"/>
    <w:rsid w:val="00DF7E99"/>
    <w:rsid w:val="00E01128"/>
    <w:rsid w:val="00E07D87"/>
    <w:rsid w:val="00E16389"/>
    <w:rsid w:val="00E249C8"/>
    <w:rsid w:val="00E32F7E"/>
    <w:rsid w:val="00E40619"/>
    <w:rsid w:val="00E5267B"/>
    <w:rsid w:val="00E559F0"/>
    <w:rsid w:val="00E60353"/>
    <w:rsid w:val="00E63C0E"/>
    <w:rsid w:val="00E72D49"/>
    <w:rsid w:val="00E73D32"/>
    <w:rsid w:val="00E7593C"/>
    <w:rsid w:val="00E7678A"/>
    <w:rsid w:val="00E935F1"/>
    <w:rsid w:val="00E94A81"/>
    <w:rsid w:val="00EA1FFB"/>
    <w:rsid w:val="00EB048E"/>
    <w:rsid w:val="00EB4E9C"/>
    <w:rsid w:val="00EB517B"/>
    <w:rsid w:val="00EB5ED6"/>
    <w:rsid w:val="00EC634B"/>
    <w:rsid w:val="00EC76C8"/>
    <w:rsid w:val="00EE34DF"/>
    <w:rsid w:val="00EE7950"/>
    <w:rsid w:val="00EF0420"/>
    <w:rsid w:val="00EF2F89"/>
    <w:rsid w:val="00EF6C3B"/>
    <w:rsid w:val="00F03E98"/>
    <w:rsid w:val="00F12346"/>
    <w:rsid w:val="00F1237A"/>
    <w:rsid w:val="00F22CBD"/>
    <w:rsid w:val="00F272F1"/>
    <w:rsid w:val="00F30020"/>
    <w:rsid w:val="00F30CB5"/>
    <w:rsid w:val="00F31412"/>
    <w:rsid w:val="00F37422"/>
    <w:rsid w:val="00F409F0"/>
    <w:rsid w:val="00F40C98"/>
    <w:rsid w:val="00F45372"/>
    <w:rsid w:val="00F560F7"/>
    <w:rsid w:val="00F62FC5"/>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0C9F0"/>
  <w15:docId w15:val="{0DCE3603-F065-4B42-AAA7-B38F1E64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5F58D4"/>
    <w:pPr>
      <w:tabs>
        <w:tab w:val="right" w:leader="dot" w:pos="9639"/>
      </w:tabs>
      <w:ind w:left="568" w:right="851" w:hanging="284"/>
      <w:contextualSpacing/>
      <w:jc w:val="left"/>
    </w:pPr>
    <w:rPr>
      <w:sz w:val="18"/>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5F58D4"/>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A36448"/>
    <w:rPr>
      <w:rFonts w:ascii="Arial" w:hAnsi="Arial"/>
      <w:caps/>
    </w:rPr>
  </w:style>
  <w:style w:type="character" w:customStyle="1" w:styleId="Heading2Char">
    <w:name w:val="Heading 2 Char"/>
    <w:aliases w:val="VARIETY Char,variety Char"/>
    <w:link w:val="Heading2"/>
    <w:locked/>
    <w:rsid w:val="00A36448"/>
    <w:rPr>
      <w:rFonts w:ascii="Arial" w:hAnsi="Arial"/>
      <w:u w:val="single"/>
    </w:rPr>
  </w:style>
  <w:style w:type="character" w:customStyle="1" w:styleId="Heading3Char">
    <w:name w:val="Heading 3 Char"/>
    <w:basedOn w:val="DefaultParagraphFont"/>
    <w:link w:val="Heading3"/>
    <w:rsid w:val="00A36448"/>
    <w:rPr>
      <w:rFonts w:ascii="Arial" w:hAnsi="Arial"/>
      <w:i/>
    </w:rPr>
  </w:style>
  <w:style w:type="character" w:customStyle="1" w:styleId="FootnoteTextChar">
    <w:name w:val="Footnote Text Char"/>
    <w:basedOn w:val="DefaultParagraphFont"/>
    <w:link w:val="FootnoteText"/>
    <w:rsid w:val="00A36448"/>
    <w:rPr>
      <w:rFonts w:ascii="Arial" w:hAnsi="Arial"/>
      <w:sz w:val="16"/>
    </w:rPr>
  </w:style>
  <w:style w:type="paragraph" w:styleId="ListParagraph">
    <w:name w:val="List Paragraph"/>
    <w:aliases w:val="auto_list_(i),List Paragraph1"/>
    <w:basedOn w:val="Normal"/>
    <w:link w:val="ListParagraphChar"/>
    <w:uiPriority w:val="34"/>
    <w:qFormat/>
    <w:rsid w:val="005B33D0"/>
    <w:pPr>
      <w:ind w:left="720"/>
      <w:contextualSpacing/>
    </w:pPr>
  </w:style>
  <w:style w:type="table" w:styleId="TableGrid">
    <w:name w:val="Table Grid"/>
    <w:basedOn w:val="TableNormal"/>
    <w:uiPriority w:val="39"/>
    <w:rsid w:val="009669CC"/>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F6C3B"/>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uiPriority w:val="34"/>
    <w:rsid w:val="0029289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87583">
      <w:bodyDiv w:val="1"/>
      <w:marLeft w:val="0"/>
      <w:marRight w:val="0"/>
      <w:marTop w:val="0"/>
      <w:marBottom w:val="0"/>
      <w:divBdr>
        <w:top w:val="none" w:sz="0" w:space="0" w:color="auto"/>
        <w:left w:val="none" w:sz="0" w:space="0" w:color="auto"/>
        <w:bottom w:val="none" w:sz="0" w:space="0" w:color="auto"/>
        <w:right w:val="none" w:sz="0" w:space="0" w:color="auto"/>
      </w:divBdr>
    </w:div>
    <w:div w:id="2022122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4D06F-5E3F-4907-B45A-CEABC0E4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5028</Words>
  <Characters>28660</Characters>
  <Application>Microsoft Office Word</Application>
  <DocSecurity>0</DocSecurity>
  <Lines>238</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TC/58</vt:lpstr>
      <vt:lpstr>TC/58</vt:lpstr>
    </vt:vector>
  </TitlesOfParts>
  <Company>UPOV</Company>
  <LinksUpToDate>false</LinksUpToDate>
  <CharactersWithSpaces>33621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subject/>
  <dc:creator>SANCHEZ VIZCAINO GOMEZ Rosa Maria</dc:creator>
  <cp:keywords/>
  <dc:description/>
  <cp:lastModifiedBy>MAY Jessica</cp:lastModifiedBy>
  <cp:revision>61</cp:revision>
  <cp:lastPrinted>2016-11-22T15:41:00Z</cp:lastPrinted>
  <dcterms:created xsi:type="dcterms:W3CDTF">2022-10-05T09:12:00Z</dcterms:created>
  <dcterms:modified xsi:type="dcterms:W3CDTF">2022-10-18T14:44:00Z</dcterms:modified>
</cp:coreProperties>
</file>