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5D2316" w:rsidRPr="005D2316" w14:paraId="30D626DC" w14:textId="77777777" w:rsidTr="00A465E6">
        <w:tc>
          <w:tcPr>
            <w:tcW w:w="6522" w:type="dxa"/>
          </w:tcPr>
          <w:p w14:paraId="1CB20561" w14:textId="77777777" w:rsidR="005D2316" w:rsidRPr="005D2316" w:rsidRDefault="005D2316" w:rsidP="00A465E6">
            <w:pPr>
              <w:rPr>
                <w:lang w:val="fr-FR"/>
              </w:rPr>
            </w:pPr>
            <w:bookmarkStart w:id="0" w:name="_Toc524691135"/>
            <w:bookmarkStart w:id="1" w:name="_Toc483235547"/>
            <w:bookmarkStart w:id="2" w:name="_Toc474404967"/>
            <w:bookmarkStart w:id="3" w:name="_Ref438649598"/>
            <w:bookmarkStart w:id="4" w:name="_Toc17894057"/>
            <w:bookmarkStart w:id="5" w:name="_Toc475955714"/>
            <w:bookmarkStart w:id="6" w:name="_Hlk116404036"/>
            <w:r w:rsidRPr="005D2316">
              <w:rPr>
                <w:noProof/>
                <w:lang w:eastAsia="ja-JP"/>
              </w:rPr>
              <w:drawing>
                <wp:inline distT="0" distB="0" distL="0" distR="0" wp14:anchorId="4066807E" wp14:editId="375C2B8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74851727" w14:textId="77777777" w:rsidR="005D2316" w:rsidRPr="005D2316" w:rsidRDefault="005D2316" w:rsidP="00A465E6">
            <w:pPr>
              <w:pStyle w:val="Lettrine"/>
              <w:rPr>
                <w:lang w:val="fr-FR"/>
              </w:rPr>
            </w:pPr>
            <w:r w:rsidRPr="005D2316">
              <w:rPr>
                <w:lang w:val="fr-FR"/>
              </w:rPr>
              <w:t>F</w:t>
            </w:r>
          </w:p>
        </w:tc>
      </w:tr>
      <w:tr w:rsidR="005D2316" w:rsidRPr="00383052" w14:paraId="47032298" w14:textId="77777777" w:rsidTr="00A465E6">
        <w:trPr>
          <w:trHeight w:val="219"/>
        </w:trPr>
        <w:tc>
          <w:tcPr>
            <w:tcW w:w="6522" w:type="dxa"/>
          </w:tcPr>
          <w:p w14:paraId="229D8AC8" w14:textId="77777777" w:rsidR="005D2316" w:rsidRPr="005D2316" w:rsidRDefault="005D2316" w:rsidP="00A465E6">
            <w:pPr>
              <w:pStyle w:val="upove"/>
              <w:rPr>
                <w:lang w:val="fr-FR"/>
              </w:rPr>
            </w:pPr>
            <w:r w:rsidRPr="005D2316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14:paraId="10E1F1BA" w14:textId="77777777" w:rsidR="005D2316" w:rsidRPr="005D2316" w:rsidRDefault="005D2316" w:rsidP="00A465E6">
            <w:pPr>
              <w:rPr>
                <w:lang w:val="fr-FR"/>
              </w:rPr>
            </w:pPr>
          </w:p>
        </w:tc>
      </w:tr>
    </w:tbl>
    <w:p w14:paraId="5E52F9A2" w14:textId="77777777" w:rsidR="005D2316" w:rsidRPr="005D2316" w:rsidRDefault="005D2316" w:rsidP="005D2316">
      <w:pPr>
        <w:rPr>
          <w:lang w:val="fr-FR"/>
        </w:rPr>
      </w:pPr>
    </w:p>
    <w:p w14:paraId="303FA294" w14:textId="77777777" w:rsidR="005D2316" w:rsidRPr="005D2316" w:rsidRDefault="005D2316" w:rsidP="005D2316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5D2316" w:rsidRPr="00383052" w14:paraId="0E8E911A" w14:textId="77777777" w:rsidTr="00A465E6">
        <w:tc>
          <w:tcPr>
            <w:tcW w:w="6512" w:type="dxa"/>
          </w:tcPr>
          <w:p w14:paraId="144CE2BB" w14:textId="77777777" w:rsidR="005D2316" w:rsidRPr="005D2316" w:rsidRDefault="005D2316" w:rsidP="00A465E6">
            <w:pPr>
              <w:pStyle w:val="Sessiontc"/>
              <w:spacing w:line="240" w:lineRule="auto"/>
              <w:rPr>
                <w:lang w:val="fr-FR"/>
              </w:rPr>
            </w:pPr>
            <w:r w:rsidRPr="005D2316">
              <w:rPr>
                <w:lang w:val="fr-FR"/>
              </w:rPr>
              <w:t>Comité technique</w:t>
            </w:r>
          </w:p>
          <w:p w14:paraId="64A2E70A" w14:textId="77777777" w:rsidR="005D2316" w:rsidRPr="005D2316" w:rsidRDefault="005D2316" w:rsidP="00A465E6">
            <w:pPr>
              <w:pStyle w:val="Sessiontcplacedate"/>
              <w:rPr>
                <w:sz w:val="22"/>
                <w:lang w:val="fr-FR"/>
              </w:rPr>
            </w:pPr>
            <w:r w:rsidRPr="005D2316">
              <w:rPr>
                <w:lang w:val="fr-FR"/>
              </w:rPr>
              <w:t>Cinquante-huitième session</w:t>
            </w:r>
            <w:r w:rsidRPr="005D2316">
              <w:rPr>
                <w:lang w:val="fr-FR"/>
              </w:rPr>
              <w:br/>
              <w:t>Genève, 24 et 25 octobre 2022</w:t>
            </w:r>
          </w:p>
        </w:tc>
        <w:tc>
          <w:tcPr>
            <w:tcW w:w="3127" w:type="dxa"/>
          </w:tcPr>
          <w:p w14:paraId="588652EF" w14:textId="77777777" w:rsidR="005D2316" w:rsidRPr="005D2316" w:rsidRDefault="005D2316" w:rsidP="00A465E6">
            <w:pPr>
              <w:pStyle w:val="Doccode"/>
              <w:rPr>
                <w:lang w:val="fr-FR"/>
              </w:rPr>
            </w:pPr>
            <w:r w:rsidRPr="005D2316">
              <w:rPr>
                <w:lang w:val="fr-FR"/>
              </w:rPr>
              <w:t>TC/58/6</w:t>
            </w:r>
          </w:p>
          <w:p w14:paraId="34286EAC" w14:textId="77777777" w:rsidR="005D2316" w:rsidRPr="005D2316" w:rsidRDefault="005D2316" w:rsidP="00A465E6">
            <w:pPr>
              <w:pStyle w:val="Docoriginal"/>
              <w:rPr>
                <w:lang w:val="fr-FR"/>
              </w:rPr>
            </w:pPr>
            <w:r w:rsidRPr="005D2316">
              <w:rPr>
                <w:lang w:val="fr-FR"/>
              </w:rPr>
              <w:t>Original :</w:t>
            </w:r>
            <w:r w:rsidRPr="005D2316">
              <w:rPr>
                <w:b w:val="0"/>
                <w:spacing w:val="0"/>
                <w:lang w:val="fr-FR"/>
              </w:rPr>
              <w:t xml:space="preserve"> anglais</w:t>
            </w:r>
          </w:p>
          <w:p w14:paraId="0E2A79C7" w14:textId="77777777" w:rsidR="005D2316" w:rsidRPr="005D2316" w:rsidRDefault="005D2316" w:rsidP="00A465E6">
            <w:pPr>
              <w:pStyle w:val="Docoriginal"/>
              <w:rPr>
                <w:lang w:val="fr-FR"/>
              </w:rPr>
            </w:pPr>
            <w:r w:rsidRPr="005D2316">
              <w:rPr>
                <w:lang w:val="fr-FR"/>
              </w:rPr>
              <w:t>Date :</w:t>
            </w:r>
            <w:r w:rsidRPr="005D2316">
              <w:rPr>
                <w:b w:val="0"/>
                <w:spacing w:val="0"/>
                <w:lang w:val="fr-FR"/>
              </w:rPr>
              <w:t xml:space="preserve"> 5 octobre 2022</w:t>
            </w:r>
          </w:p>
        </w:tc>
      </w:tr>
    </w:tbl>
    <w:p w14:paraId="0E6142B4" w14:textId="3C4E087A" w:rsidR="005D2316" w:rsidRPr="005D2316" w:rsidRDefault="005D2316" w:rsidP="005D2316">
      <w:pPr>
        <w:pStyle w:val="Titleofdoc0"/>
        <w:rPr>
          <w:lang w:val="fr-FR"/>
        </w:rPr>
      </w:pPr>
      <w:r w:rsidRPr="005D2316">
        <w:rPr>
          <w:rFonts w:cs="Arial"/>
          <w:color w:val="000000"/>
          <w:lang w:val="fr-FR"/>
        </w:rPr>
        <w:t>Analyse globale de l’homogénéité sur plusieurs années (</w:t>
      </w:r>
      <w:r w:rsidR="006E4FA9">
        <w:rPr>
          <w:rFonts w:cs="Arial"/>
          <w:color w:val="000000"/>
          <w:lang w:val="fr-FR"/>
        </w:rPr>
        <w:t>méthode d’analyse</w:t>
      </w:r>
      <w:r w:rsidRPr="005D2316">
        <w:rPr>
          <w:rFonts w:cs="Arial"/>
          <w:color w:val="000000"/>
          <w:lang w:val="fr-FR"/>
        </w:rPr>
        <w:t xml:space="preserve"> COYU)</w:t>
      </w:r>
    </w:p>
    <w:p w14:paraId="4448A5F8" w14:textId="77777777" w:rsidR="005D2316" w:rsidRPr="005D2316" w:rsidRDefault="005D2316" w:rsidP="005D2316">
      <w:pPr>
        <w:pStyle w:val="preparedby1"/>
        <w:jc w:val="left"/>
        <w:rPr>
          <w:lang w:val="fr-FR"/>
        </w:rPr>
      </w:pPr>
      <w:r w:rsidRPr="005D2316">
        <w:rPr>
          <w:lang w:val="fr-FR"/>
        </w:rPr>
        <w:t>Document établi par le Bureau de l’Union</w:t>
      </w:r>
    </w:p>
    <w:p w14:paraId="3213E5E0" w14:textId="77777777" w:rsidR="005D2316" w:rsidRPr="005D2316" w:rsidRDefault="005D2316" w:rsidP="005D2316">
      <w:pPr>
        <w:pStyle w:val="Disclaimer"/>
        <w:rPr>
          <w:lang w:val="fr-FR"/>
        </w:rPr>
      </w:pPr>
      <w:r w:rsidRPr="005D2316">
        <w:rPr>
          <w:lang w:val="fr-FR"/>
        </w:rPr>
        <w:t>Avertissement : le présent document ne représente pas les principes ou les orientations de l’UPOV</w:t>
      </w:r>
    </w:p>
    <w:p w14:paraId="68B0CA06" w14:textId="6C7FD19B" w:rsidR="008422AD" w:rsidRPr="005D2316" w:rsidRDefault="006E4FA9" w:rsidP="008422AD">
      <w:pPr>
        <w:keepNext/>
        <w:outlineLvl w:val="0"/>
        <w:rPr>
          <w:rFonts w:eastAsiaTheme="minorEastAsia"/>
          <w:caps/>
          <w:lang w:val="fr-FR" w:eastAsia="ja-JP"/>
        </w:rPr>
      </w:pPr>
      <w:bookmarkStart w:id="7" w:name="_Toc117002590"/>
      <w:r>
        <w:rPr>
          <w:rFonts w:eastAsiaTheme="minorEastAsia"/>
          <w:caps/>
          <w:lang w:val="fr-FR" w:eastAsia="ja-JP"/>
        </w:rPr>
        <w:t>R</w:t>
      </w:r>
      <w:r w:rsidR="00F60FC5" w:rsidRPr="005D2316">
        <w:rPr>
          <w:rFonts w:eastAsiaTheme="minorEastAsia"/>
          <w:caps/>
          <w:lang w:val="fr-FR" w:eastAsia="ja-JP"/>
        </w:rPr>
        <w:t>ésumé</w:t>
      </w:r>
      <w:bookmarkEnd w:id="0"/>
      <w:bookmarkEnd w:id="1"/>
      <w:bookmarkEnd w:id="2"/>
      <w:bookmarkEnd w:id="3"/>
      <w:bookmarkEnd w:id="7"/>
    </w:p>
    <w:p w14:paraId="614336B2" w14:textId="77777777" w:rsidR="008422AD" w:rsidRPr="005D2316" w:rsidRDefault="008422AD" w:rsidP="008422AD">
      <w:pPr>
        <w:rPr>
          <w:rFonts w:eastAsiaTheme="minorEastAsia"/>
          <w:lang w:val="fr-FR" w:eastAsia="ja-JP"/>
        </w:rPr>
      </w:pPr>
    </w:p>
    <w:p w14:paraId="6A9647CB" w14:textId="2254241C" w:rsidR="008422AD" w:rsidRPr="005D2316" w:rsidRDefault="008422AD" w:rsidP="008422AD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rFonts w:eastAsiaTheme="minorEastAsia"/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rFonts w:eastAsiaTheme="minorEastAsia"/>
          <w:lang w:val="fr-FR"/>
        </w:rPr>
        <w:tab/>
      </w:r>
      <w:r w:rsidR="00F60FC5" w:rsidRPr="005D2316">
        <w:rPr>
          <w:rFonts w:eastAsiaTheme="minorEastAsia"/>
          <w:lang w:val="fr-FR"/>
        </w:rPr>
        <w:t>L</w:t>
      </w:r>
      <w:r w:rsidR="0067269A" w:rsidRPr="005D2316">
        <w:rPr>
          <w:rFonts w:eastAsiaTheme="minorEastAsia"/>
          <w:lang w:val="fr-FR"/>
        </w:rPr>
        <w:t>’</w:t>
      </w:r>
      <w:r w:rsidR="00F60FC5" w:rsidRPr="005D2316">
        <w:rPr>
          <w:rFonts w:eastAsiaTheme="minorEastAsia"/>
          <w:lang w:val="fr-FR"/>
        </w:rPr>
        <w:t xml:space="preserve">objet du présent </w:t>
      </w:r>
      <w:r w:rsidRPr="005D2316">
        <w:rPr>
          <w:rFonts w:eastAsiaTheme="minorEastAsia"/>
          <w:lang w:val="fr-FR"/>
        </w:rPr>
        <w:t xml:space="preserve">document </w:t>
      </w:r>
      <w:r w:rsidR="00F60FC5" w:rsidRPr="005D2316">
        <w:rPr>
          <w:rFonts w:eastAsiaTheme="minorEastAsia"/>
          <w:lang w:val="fr-FR"/>
        </w:rPr>
        <w:t>est d</w:t>
      </w:r>
      <w:r w:rsidR="0067269A" w:rsidRPr="005D2316">
        <w:rPr>
          <w:rFonts w:eastAsiaTheme="minorEastAsia"/>
          <w:lang w:val="fr-FR"/>
        </w:rPr>
        <w:t>’</w:t>
      </w:r>
      <w:r w:rsidR="00F60FC5" w:rsidRPr="005D2316">
        <w:rPr>
          <w:rFonts w:eastAsiaTheme="minorEastAsia"/>
          <w:lang w:val="fr-FR"/>
        </w:rPr>
        <w:t xml:space="preserve">examiner une proposition de révision </w:t>
      </w:r>
      <w:r w:rsidR="00A36B81" w:rsidRPr="005D2316">
        <w:rPr>
          <w:rFonts w:eastAsiaTheme="minorEastAsia"/>
          <w:lang w:val="fr-FR"/>
        </w:rPr>
        <w:t xml:space="preserve">du </w:t>
      </w:r>
      <w:r w:rsidRPr="005D2316">
        <w:rPr>
          <w:iCs/>
          <w:lang w:val="fr-FR"/>
        </w:rPr>
        <w:t xml:space="preserve">document TGP/8 </w:t>
      </w:r>
      <w:r w:rsidRPr="005D2316">
        <w:rPr>
          <w:lang w:val="fr-FR"/>
        </w:rPr>
        <w:t>“</w:t>
      </w:r>
      <w:r w:rsidR="00A36B81" w:rsidRPr="005D2316">
        <w:rPr>
          <w:lang w:val="fr-FR"/>
        </w:rPr>
        <w:t>Protocole d</w:t>
      </w:r>
      <w:r w:rsidR="0067269A" w:rsidRPr="005D2316">
        <w:rPr>
          <w:lang w:val="fr-FR"/>
        </w:rPr>
        <w:t>’</w:t>
      </w:r>
      <w:r w:rsidR="00A36B81" w:rsidRPr="005D2316">
        <w:rPr>
          <w:lang w:val="fr-FR"/>
        </w:rPr>
        <w:t>essai et techniques utilisés dans l</w:t>
      </w:r>
      <w:r w:rsidR="0067269A" w:rsidRPr="005D2316">
        <w:rPr>
          <w:lang w:val="fr-FR"/>
        </w:rPr>
        <w:t>’</w:t>
      </w:r>
      <w:r w:rsidR="00A36B81" w:rsidRPr="005D2316">
        <w:rPr>
          <w:lang w:val="fr-FR"/>
        </w:rPr>
        <w:t>examen de la distinction, de l</w:t>
      </w:r>
      <w:r w:rsidR="0067269A" w:rsidRPr="005D2316">
        <w:rPr>
          <w:lang w:val="fr-FR"/>
        </w:rPr>
        <w:t>’</w:t>
      </w:r>
      <w:r w:rsidR="00A36B81" w:rsidRPr="005D2316">
        <w:rPr>
          <w:lang w:val="fr-FR"/>
        </w:rPr>
        <w:t>homogénéité et de la stabilité</w:t>
      </w:r>
      <w:r w:rsidRPr="005D2316">
        <w:rPr>
          <w:lang w:val="fr-FR"/>
        </w:rPr>
        <w:t xml:space="preserve">”, </w:t>
      </w:r>
      <w:r w:rsidR="0067269A" w:rsidRPr="005D2316">
        <w:rPr>
          <w:lang w:val="fr-FR"/>
        </w:rPr>
        <w:t>section 9</w:t>
      </w:r>
      <w:r w:rsidRPr="005D2316">
        <w:rPr>
          <w:lang w:val="fr-FR"/>
        </w:rPr>
        <w:t xml:space="preserve"> “</w:t>
      </w:r>
      <w:r w:rsidR="00A36B81" w:rsidRPr="005D2316">
        <w:rPr>
          <w:lang w:val="fr-FR"/>
        </w:rPr>
        <w:t>Analyse globale de l</w:t>
      </w:r>
      <w:r w:rsidR="0067269A" w:rsidRPr="005D2316">
        <w:rPr>
          <w:lang w:val="fr-FR"/>
        </w:rPr>
        <w:t>’</w:t>
      </w:r>
      <w:r w:rsidR="00A36B81" w:rsidRPr="005D2316">
        <w:rPr>
          <w:lang w:val="fr-FR"/>
        </w:rPr>
        <w:t>homogénéité sur plusieurs années (méthode d</w:t>
      </w:r>
      <w:r w:rsidR="0067269A" w:rsidRPr="005D2316">
        <w:rPr>
          <w:lang w:val="fr-FR"/>
        </w:rPr>
        <w:t>’</w:t>
      </w:r>
      <w:r w:rsidR="00A36B81" w:rsidRPr="005D2316">
        <w:rPr>
          <w:lang w:val="fr-FR"/>
        </w:rPr>
        <w:t>analyse COYU)</w:t>
      </w:r>
      <w:r w:rsidRPr="005D2316">
        <w:rPr>
          <w:lang w:val="fr-FR"/>
        </w:rPr>
        <w:t>”.</w:t>
      </w:r>
    </w:p>
    <w:p w14:paraId="224D1DA0" w14:textId="77777777" w:rsidR="008422AD" w:rsidRPr="005D2316" w:rsidRDefault="008422AD" w:rsidP="008422AD">
      <w:pPr>
        <w:rPr>
          <w:lang w:val="fr-FR"/>
        </w:rPr>
      </w:pPr>
    </w:p>
    <w:p w14:paraId="037645AA" w14:textId="5BDDFD8B" w:rsidR="008422AD" w:rsidRPr="005D2316" w:rsidRDefault="008422AD" w:rsidP="008422AD">
      <w:pPr>
        <w:tabs>
          <w:tab w:val="left" w:pos="567"/>
          <w:tab w:val="left" w:pos="1134"/>
          <w:tab w:val="left" w:pos="5387"/>
        </w:tabs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A36B81" w:rsidRPr="005D2316">
        <w:rPr>
          <w:lang w:val="fr-FR"/>
        </w:rPr>
        <w:t>L</w:t>
      </w:r>
      <w:r w:rsidRPr="005D2316">
        <w:rPr>
          <w:lang w:val="fr-FR"/>
        </w:rPr>
        <w:t>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</w:t>
      </w:r>
      <w:r w:rsidR="00A36B81" w:rsidRPr="005D2316">
        <w:rPr>
          <w:lang w:val="fr-FR"/>
        </w:rPr>
        <w:t xml:space="preserve">est </w:t>
      </w:r>
      <w:r w:rsidRPr="005D2316">
        <w:rPr>
          <w:lang w:val="fr-FR"/>
        </w:rPr>
        <w:t>invit</w:t>
      </w:r>
      <w:r w:rsidR="00A36B81" w:rsidRPr="005D2316">
        <w:rPr>
          <w:lang w:val="fr-FR"/>
        </w:rPr>
        <w:t>é</w:t>
      </w:r>
      <w:r w:rsidRPr="005D2316">
        <w:rPr>
          <w:lang w:val="fr-FR"/>
        </w:rPr>
        <w:t xml:space="preserve"> </w:t>
      </w:r>
      <w:r w:rsidR="00A36B81" w:rsidRPr="005D2316">
        <w:rPr>
          <w:lang w:val="fr-FR"/>
        </w:rPr>
        <w:t>à</w:t>
      </w:r>
      <w:r w:rsidR="0067269A" w:rsidRPr="005D2316">
        <w:rPr>
          <w:lang w:val="fr-FR"/>
        </w:rPr>
        <w:t> :</w:t>
      </w:r>
    </w:p>
    <w:p w14:paraId="6B5B499F" w14:textId="77777777" w:rsidR="008422AD" w:rsidRPr="005D2316" w:rsidRDefault="008422AD" w:rsidP="008422AD">
      <w:pPr>
        <w:tabs>
          <w:tab w:val="left" w:pos="567"/>
          <w:tab w:val="left" w:pos="1134"/>
          <w:tab w:val="left" w:pos="5387"/>
        </w:tabs>
        <w:rPr>
          <w:lang w:val="fr-FR"/>
        </w:rPr>
      </w:pPr>
    </w:p>
    <w:p w14:paraId="282441D0" w14:textId="63B42631" w:rsidR="00F72BBA" w:rsidRPr="005D2316" w:rsidRDefault="00F72BBA" w:rsidP="006E4FA9">
      <w:pPr>
        <w:ind w:firstLine="567"/>
        <w:rPr>
          <w:lang w:val="fr-FR"/>
        </w:rPr>
      </w:pPr>
      <w:r w:rsidRPr="005D2316">
        <w:rPr>
          <w:lang w:val="fr-FR"/>
        </w:rPr>
        <w:t>a)</w:t>
      </w:r>
      <w:r w:rsidRPr="005D2316">
        <w:rPr>
          <w:lang w:val="fr-FR"/>
        </w:rPr>
        <w:tab/>
      </w:r>
      <w:bookmarkStart w:id="8" w:name="_Hlk116392464"/>
      <w:r w:rsidRPr="005D2316">
        <w:rPr>
          <w:lang w:val="fr-FR"/>
        </w:rPr>
        <w:t>note</w:t>
      </w:r>
      <w:r w:rsidR="00A36B81" w:rsidRPr="005D2316">
        <w:rPr>
          <w:lang w:val="fr-FR"/>
        </w:rPr>
        <w:t>r</w:t>
      </w:r>
      <w:r w:rsidRPr="005D2316">
        <w:rPr>
          <w:lang w:val="fr-FR"/>
        </w:rPr>
        <w:t xml:space="preserve"> </w:t>
      </w:r>
      <w:r w:rsidR="00A36B81" w:rsidRPr="005D2316">
        <w:rPr>
          <w:lang w:val="fr-FR"/>
        </w:rPr>
        <w:t>qu</w:t>
      </w:r>
      <w:r w:rsidR="0067269A" w:rsidRPr="005D2316">
        <w:rPr>
          <w:lang w:val="fr-FR"/>
        </w:rPr>
        <w:t>’</w:t>
      </w:r>
      <w:r w:rsidR="00A36B81" w:rsidRPr="005D2316">
        <w:rPr>
          <w:lang w:val="fr-FR"/>
        </w:rPr>
        <w:t xml:space="preserve">il a été prévu de lancer une nouvelle </w:t>
      </w:r>
      <w:r w:rsidRPr="005D2316">
        <w:rPr>
          <w:lang w:val="fr-FR"/>
        </w:rPr>
        <w:t xml:space="preserve">version </w:t>
      </w:r>
      <w:r w:rsidR="00A36B81" w:rsidRPr="005D2316">
        <w:rPr>
          <w:lang w:val="fr-FR"/>
        </w:rPr>
        <w:t>de</w:t>
      </w:r>
      <w:r w:rsidRPr="005D2316">
        <w:rPr>
          <w:lang w:val="fr-FR"/>
        </w:rPr>
        <w:t xml:space="preserve"> DUSTNT in</w:t>
      </w:r>
      <w:r w:rsidR="00A36B81" w:rsidRPr="005D2316">
        <w:rPr>
          <w:lang w:val="fr-FR"/>
        </w:rPr>
        <w:t>tégrant la m</w:t>
      </w:r>
      <w:r w:rsidR="00A36B81" w:rsidRPr="005D2316">
        <w:rPr>
          <w:rFonts w:cs="Arial"/>
          <w:color w:val="000000"/>
          <w:lang w:val="fr-FR"/>
        </w:rPr>
        <w:t xml:space="preserve">éthode COYU </w:t>
      </w:r>
      <w:r w:rsidR="00341B7D" w:rsidRPr="005D2316">
        <w:rPr>
          <w:rFonts w:cs="Arial"/>
          <w:color w:val="000000"/>
          <w:lang w:val="fr-FR"/>
        </w:rPr>
        <w:t>utilisant</w:t>
      </w:r>
      <w:r w:rsidR="00A36B81" w:rsidRPr="005D2316">
        <w:rPr>
          <w:rFonts w:cs="Arial"/>
          <w:color w:val="000000"/>
          <w:lang w:val="fr-FR"/>
        </w:rPr>
        <w:t xml:space="preserve"> des </w:t>
      </w:r>
      <w:proofErr w:type="spellStart"/>
      <w:r w:rsidR="00A36B81" w:rsidRPr="005D2316">
        <w:rPr>
          <w:rFonts w:cs="Arial"/>
          <w:color w:val="000000"/>
          <w:lang w:val="fr-FR"/>
        </w:rPr>
        <w:t>splines</w:t>
      </w:r>
      <w:proofErr w:type="spellEnd"/>
      <w:r w:rsidR="00A36B81" w:rsidRPr="005D2316">
        <w:rPr>
          <w:lang w:val="fr-FR"/>
        </w:rPr>
        <w:t xml:space="preserve"> </w:t>
      </w:r>
      <w:r w:rsidRPr="005D2316">
        <w:rPr>
          <w:lang w:val="fr-FR"/>
        </w:rPr>
        <w:t xml:space="preserve">(DUST9NT) </w:t>
      </w:r>
      <w:r w:rsidR="0066180F" w:rsidRPr="005D2316">
        <w:rPr>
          <w:lang w:val="fr-FR"/>
        </w:rPr>
        <w:t>d</w:t>
      </w:r>
      <w:r w:rsidR="0067269A" w:rsidRPr="005D2316">
        <w:rPr>
          <w:lang w:val="fr-FR"/>
        </w:rPr>
        <w:t>’</w:t>
      </w:r>
      <w:r w:rsidR="0066180F" w:rsidRPr="005D2316">
        <w:rPr>
          <w:lang w:val="fr-FR"/>
        </w:rPr>
        <w:t xml:space="preserve">ici </w:t>
      </w:r>
      <w:r w:rsidR="0067269A" w:rsidRPr="005D2316">
        <w:rPr>
          <w:lang w:val="fr-FR"/>
        </w:rPr>
        <w:t>septembre 20</w:t>
      </w:r>
      <w:r w:rsidR="0066180F" w:rsidRPr="005D2316">
        <w:rPr>
          <w:lang w:val="fr-FR"/>
        </w:rPr>
        <w:t>23</w:t>
      </w:r>
      <w:r w:rsidRPr="005D2316">
        <w:rPr>
          <w:lang w:val="fr-FR"/>
        </w:rPr>
        <w:t xml:space="preserve">, </w:t>
      </w:r>
      <w:r w:rsidR="0066180F" w:rsidRPr="005D2316">
        <w:rPr>
          <w:lang w:val="fr-FR"/>
        </w:rPr>
        <w:t xml:space="preserve">une fois intégrées les améliorations identifiées </w:t>
      </w:r>
      <w:r w:rsidR="00F22DA2" w:rsidRPr="005D2316">
        <w:rPr>
          <w:lang w:val="fr-FR"/>
        </w:rPr>
        <w:t xml:space="preserve">à la suite de </w:t>
      </w:r>
      <w:r w:rsidR="0066180F" w:rsidRPr="005D2316">
        <w:rPr>
          <w:lang w:val="fr-FR"/>
        </w:rPr>
        <w:t xml:space="preserve">la </w:t>
      </w:r>
      <w:r w:rsidR="00F6530E" w:rsidRPr="005D2316">
        <w:rPr>
          <w:lang w:val="fr-FR"/>
        </w:rPr>
        <w:t>séri</w:t>
      </w:r>
      <w:r w:rsidR="0066180F" w:rsidRPr="005D2316">
        <w:rPr>
          <w:lang w:val="fr-FR"/>
        </w:rPr>
        <w:t>e d</w:t>
      </w:r>
      <w:r w:rsidR="0067269A" w:rsidRPr="005D2316">
        <w:rPr>
          <w:lang w:val="fr-FR"/>
        </w:rPr>
        <w:t>’</w:t>
      </w:r>
      <w:r w:rsidR="0066180F" w:rsidRPr="005D2316">
        <w:rPr>
          <w:lang w:val="fr-FR"/>
        </w:rPr>
        <w:t>essai</w:t>
      </w:r>
      <w:r w:rsidR="00F6530E" w:rsidRPr="005D2316">
        <w:rPr>
          <w:lang w:val="fr-FR"/>
        </w:rPr>
        <w:t>s</w:t>
      </w:r>
      <w:r w:rsidRPr="005D2316">
        <w:rPr>
          <w:lang w:val="fr-FR"/>
        </w:rPr>
        <w:t xml:space="preserve">, </w:t>
      </w:r>
      <w:r w:rsidR="0066180F" w:rsidRPr="005D2316">
        <w:rPr>
          <w:lang w:val="fr-FR"/>
        </w:rPr>
        <w:t>notamment en matière d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>extrapolation;</w:t>
      </w:r>
    </w:p>
    <w:p w14:paraId="11FD9584" w14:textId="77777777" w:rsidR="00F72BBA" w:rsidRPr="005D2316" w:rsidRDefault="00F72BBA" w:rsidP="006E4FA9">
      <w:pPr>
        <w:rPr>
          <w:lang w:val="fr-FR"/>
        </w:rPr>
      </w:pPr>
    </w:p>
    <w:p w14:paraId="485DB155" w14:textId="54B3094B" w:rsidR="00F72BBA" w:rsidRPr="005D2316" w:rsidRDefault="00F72BBA" w:rsidP="006E4FA9">
      <w:pPr>
        <w:ind w:firstLine="567"/>
        <w:rPr>
          <w:lang w:val="fr-FR"/>
        </w:rPr>
      </w:pPr>
      <w:r w:rsidRPr="005D2316">
        <w:rPr>
          <w:lang w:val="fr-FR"/>
        </w:rPr>
        <w:t>b)</w:t>
      </w:r>
      <w:r w:rsidRPr="005D2316">
        <w:rPr>
          <w:lang w:val="fr-FR"/>
        </w:rPr>
        <w:tab/>
        <w:t>note</w:t>
      </w:r>
      <w:r w:rsidR="0066180F" w:rsidRPr="005D2316">
        <w:rPr>
          <w:lang w:val="fr-FR"/>
        </w:rPr>
        <w:t>r</w:t>
      </w:r>
      <w:r w:rsidRPr="005D2316">
        <w:rPr>
          <w:lang w:val="fr-FR"/>
        </w:rPr>
        <w:t xml:space="preserve"> </w:t>
      </w:r>
      <w:r w:rsidR="0066180F" w:rsidRPr="005D2316">
        <w:rPr>
          <w:lang w:val="fr-FR"/>
        </w:rPr>
        <w:t>que de nouvelles ré</w:t>
      </w:r>
      <w:r w:rsidRPr="005D2316">
        <w:rPr>
          <w:lang w:val="fr-FR"/>
        </w:rPr>
        <w:t xml:space="preserve">visions </w:t>
      </w:r>
      <w:r w:rsidR="0066180F" w:rsidRPr="005D2316">
        <w:rPr>
          <w:lang w:val="fr-FR"/>
        </w:rPr>
        <w:t>du</w:t>
      </w:r>
      <w:r w:rsidRPr="005D2316">
        <w:rPr>
          <w:lang w:val="fr-FR"/>
        </w:rPr>
        <w:t xml:space="preserve"> document TGP/8 </w:t>
      </w:r>
      <w:r w:rsidR="0066180F" w:rsidRPr="005D2316">
        <w:rPr>
          <w:lang w:val="fr-FR"/>
        </w:rPr>
        <w:t xml:space="preserve">seront nécessaires pour intégrer les </w:t>
      </w:r>
      <w:r w:rsidR="00977AA7" w:rsidRPr="005D2316">
        <w:rPr>
          <w:lang w:val="fr-FR"/>
        </w:rPr>
        <w:t>orientations</w:t>
      </w:r>
      <w:r w:rsidR="0066180F" w:rsidRPr="005D2316">
        <w:rPr>
          <w:lang w:val="fr-FR"/>
        </w:rPr>
        <w:t xml:space="preserve"> en matière d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 xml:space="preserve">extrapolation </w:t>
      </w:r>
      <w:r w:rsidR="0066180F" w:rsidRPr="005D2316">
        <w:rPr>
          <w:lang w:val="fr-FR"/>
        </w:rPr>
        <w:t xml:space="preserve">et informations </w:t>
      </w:r>
      <w:r w:rsidRPr="005D2316">
        <w:rPr>
          <w:lang w:val="fr-FR"/>
        </w:rPr>
        <w:t>minim</w:t>
      </w:r>
      <w:r w:rsidR="0066180F" w:rsidRPr="005D2316">
        <w:rPr>
          <w:lang w:val="fr-FR"/>
        </w:rPr>
        <w:t>ales exigées</w:t>
      </w:r>
      <w:r w:rsidRPr="005D2316">
        <w:rPr>
          <w:lang w:val="fr-FR"/>
        </w:rPr>
        <w:t>;</w:t>
      </w:r>
    </w:p>
    <w:p w14:paraId="4D68F58D" w14:textId="77777777" w:rsidR="00F72BBA" w:rsidRPr="005D2316" w:rsidRDefault="00F72BBA" w:rsidP="006E4FA9">
      <w:pPr>
        <w:rPr>
          <w:lang w:val="fr-FR"/>
        </w:rPr>
      </w:pPr>
    </w:p>
    <w:p w14:paraId="77273033" w14:textId="7528792F" w:rsidR="0067269A" w:rsidRPr="005D2316" w:rsidRDefault="00F72BBA" w:rsidP="006E4FA9">
      <w:pPr>
        <w:ind w:firstLine="567"/>
        <w:rPr>
          <w:lang w:val="fr-FR"/>
        </w:rPr>
      </w:pPr>
      <w:r w:rsidRPr="005D2316">
        <w:rPr>
          <w:lang w:val="fr-FR"/>
        </w:rPr>
        <w:t>c)</w:t>
      </w:r>
      <w:r w:rsidRPr="005D2316">
        <w:rPr>
          <w:lang w:val="fr-FR"/>
        </w:rPr>
        <w:tab/>
        <w:t>note</w:t>
      </w:r>
      <w:r w:rsidR="0066180F" w:rsidRPr="005D2316">
        <w:rPr>
          <w:lang w:val="fr-FR"/>
        </w:rPr>
        <w:t>r</w:t>
      </w:r>
      <w:r w:rsidRPr="005D2316">
        <w:rPr>
          <w:lang w:val="fr-FR"/>
        </w:rPr>
        <w:t xml:space="preserve"> </w:t>
      </w:r>
      <w:r w:rsidR="0066180F" w:rsidRPr="005D2316">
        <w:rPr>
          <w:lang w:val="fr-FR"/>
        </w:rPr>
        <w:t xml:space="preserve">la </w:t>
      </w:r>
      <w:r w:rsidRPr="005D2316">
        <w:rPr>
          <w:lang w:val="fr-FR"/>
        </w:rPr>
        <w:t>recomm</w:t>
      </w:r>
      <w:r w:rsidR="0066180F" w:rsidRPr="005D2316">
        <w:rPr>
          <w:lang w:val="fr-FR"/>
        </w:rPr>
        <w:t>a</w:t>
      </w:r>
      <w:r w:rsidRPr="005D2316">
        <w:rPr>
          <w:lang w:val="fr-FR"/>
        </w:rPr>
        <w:t xml:space="preserve">ndation </w:t>
      </w:r>
      <w:r w:rsidR="0066180F" w:rsidRPr="005D2316">
        <w:rPr>
          <w:lang w:val="fr-FR"/>
        </w:rPr>
        <w:t xml:space="preserve">selon laquelle </w:t>
      </w:r>
      <w:r w:rsidR="00AA5C19" w:rsidRPr="005D2316">
        <w:rPr>
          <w:lang w:val="fr-FR"/>
        </w:rPr>
        <w:t>l</w:t>
      </w:r>
      <w:r w:rsidR="0067269A" w:rsidRPr="005D2316">
        <w:rPr>
          <w:lang w:val="fr-FR"/>
        </w:rPr>
        <w:t>’</w:t>
      </w:r>
      <w:r w:rsidR="00AA5C19" w:rsidRPr="005D2316">
        <w:rPr>
          <w:lang w:val="fr-FR"/>
        </w:rPr>
        <w:t>homogénéité</w:t>
      </w:r>
      <w:r w:rsidRPr="005D2316">
        <w:rPr>
          <w:lang w:val="fr-FR"/>
        </w:rPr>
        <w:t xml:space="preserve"> </w:t>
      </w:r>
      <w:r w:rsidR="00AA5C19" w:rsidRPr="005D2316">
        <w:rPr>
          <w:lang w:val="fr-FR"/>
        </w:rPr>
        <w:t>par</w:t>
      </w:r>
      <w:r w:rsidRPr="005D2316">
        <w:rPr>
          <w:lang w:val="fr-FR"/>
        </w:rPr>
        <w:t xml:space="preserve"> </w:t>
      </w:r>
      <w:r w:rsidR="00AA5C19" w:rsidRPr="005D2316">
        <w:rPr>
          <w:lang w:val="fr-FR"/>
        </w:rPr>
        <w:t>les</w:t>
      </w:r>
      <w:r w:rsidRPr="005D2316">
        <w:rPr>
          <w:lang w:val="fr-FR"/>
        </w:rPr>
        <w:t xml:space="preserve"> </w:t>
      </w:r>
      <w:proofErr w:type="spellStart"/>
      <w:r w:rsidR="0066180F" w:rsidRPr="005D2316">
        <w:rPr>
          <w:lang w:val="fr-FR"/>
        </w:rPr>
        <w:t>phytotechniciens</w:t>
      </w:r>
      <w:proofErr w:type="spellEnd"/>
      <w:r w:rsidR="0066180F" w:rsidRPr="005D2316">
        <w:rPr>
          <w:lang w:val="fr-FR"/>
        </w:rPr>
        <w:t xml:space="preserve"> </w:t>
      </w:r>
      <w:r w:rsidR="00AA5C19" w:rsidRPr="005D2316">
        <w:rPr>
          <w:lang w:val="fr-FR"/>
        </w:rPr>
        <w:t>dans les cas d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 xml:space="preserve">extrapolation </w:t>
      </w:r>
      <w:r w:rsidR="0066180F" w:rsidRPr="005D2316">
        <w:rPr>
          <w:lang w:val="fr-FR"/>
        </w:rPr>
        <w:t>devrait faire l</w:t>
      </w:r>
      <w:r w:rsidR="0067269A" w:rsidRPr="005D2316">
        <w:rPr>
          <w:lang w:val="fr-FR"/>
        </w:rPr>
        <w:t>’</w:t>
      </w:r>
      <w:r w:rsidR="0066180F" w:rsidRPr="005D2316">
        <w:rPr>
          <w:lang w:val="fr-FR"/>
        </w:rPr>
        <w:t>objet d</w:t>
      </w:r>
      <w:r w:rsidR="0067269A" w:rsidRPr="005D2316">
        <w:rPr>
          <w:lang w:val="fr-FR"/>
        </w:rPr>
        <w:t>’</w:t>
      </w:r>
      <w:r w:rsidR="0066180F" w:rsidRPr="005D2316">
        <w:rPr>
          <w:lang w:val="fr-FR"/>
        </w:rPr>
        <w:t>une attention particulière</w:t>
      </w:r>
      <w:r w:rsidRPr="005D2316">
        <w:rPr>
          <w:lang w:val="fr-FR"/>
        </w:rPr>
        <w:t>;</w:t>
      </w:r>
    </w:p>
    <w:p w14:paraId="110CA253" w14:textId="7EB16972" w:rsidR="00F72BBA" w:rsidRPr="005D2316" w:rsidRDefault="00F72BBA" w:rsidP="006E4FA9">
      <w:pPr>
        <w:rPr>
          <w:lang w:val="fr-FR"/>
        </w:rPr>
      </w:pPr>
    </w:p>
    <w:p w14:paraId="2CBBFE74" w14:textId="49AC303A" w:rsidR="00F72BBA" w:rsidRPr="005D2316" w:rsidRDefault="00F72BBA" w:rsidP="006E4FA9">
      <w:pPr>
        <w:ind w:firstLine="567"/>
        <w:rPr>
          <w:lang w:val="fr-FR"/>
        </w:rPr>
      </w:pPr>
      <w:r w:rsidRPr="005D2316">
        <w:rPr>
          <w:lang w:val="fr-FR"/>
        </w:rPr>
        <w:t>d)</w:t>
      </w:r>
      <w:r w:rsidRPr="005D2316">
        <w:rPr>
          <w:lang w:val="fr-FR"/>
        </w:rPr>
        <w:tab/>
        <w:t>note</w:t>
      </w:r>
      <w:r w:rsidR="00AA5C19" w:rsidRPr="005D2316">
        <w:rPr>
          <w:lang w:val="fr-FR"/>
        </w:rPr>
        <w:t>r que</w:t>
      </w:r>
      <w:r w:rsidR="0067269A" w:rsidRPr="005D2316">
        <w:rPr>
          <w:lang w:val="fr-FR"/>
        </w:rPr>
        <w:t xml:space="preserve"> le TWM</w:t>
      </w:r>
      <w:r w:rsidRPr="005D2316">
        <w:rPr>
          <w:lang w:val="fr-FR"/>
        </w:rPr>
        <w:t xml:space="preserve"> a</w:t>
      </w:r>
      <w:r w:rsidR="00AA5C19" w:rsidRPr="005D2316">
        <w:rPr>
          <w:lang w:val="fr-FR"/>
        </w:rPr>
        <w:t xml:space="preserve"> convenu de la nécessité d</w:t>
      </w:r>
      <w:r w:rsidR="0067269A" w:rsidRPr="005D2316">
        <w:rPr>
          <w:lang w:val="fr-FR"/>
        </w:rPr>
        <w:t>’</w:t>
      </w:r>
      <w:r w:rsidR="00AA5C19" w:rsidRPr="005D2316">
        <w:rPr>
          <w:lang w:val="fr-FR"/>
        </w:rPr>
        <w:t xml:space="preserve">une nouvelle </w:t>
      </w:r>
      <w:r w:rsidRPr="005D2316">
        <w:rPr>
          <w:lang w:val="fr-FR"/>
        </w:rPr>
        <w:t xml:space="preserve">discussion </w:t>
      </w:r>
      <w:r w:rsidR="00AA5C19" w:rsidRPr="005D2316">
        <w:rPr>
          <w:lang w:val="fr-FR"/>
        </w:rPr>
        <w:t>sur les</w:t>
      </w:r>
      <w:r w:rsidRPr="005D2316">
        <w:rPr>
          <w:lang w:val="fr-FR"/>
        </w:rPr>
        <w:t xml:space="preserve"> approches </w:t>
      </w:r>
      <w:r w:rsidR="00AA5C19" w:rsidRPr="005D2316">
        <w:rPr>
          <w:lang w:val="fr-FR"/>
        </w:rPr>
        <w:t xml:space="preserve">à adopter dans les cas où une </w:t>
      </w:r>
      <w:r w:rsidRPr="005D2316">
        <w:rPr>
          <w:lang w:val="fr-FR"/>
        </w:rPr>
        <w:t xml:space="preserve">extrapolation </w:t>
      </w:r>
      <w:r w:rsidR="00AA5C19" w:rsidRPr="005D2316">
        <w:rPr>
          <w:lang w:val="fr-FR"/>
        </w:rPr>
        <w:t xml:space="preserve">est </w:t>
      </w:r>
      <w:r w:rsidRPr="005D2316">
        <w:rPr>
          <w:lang w:val="fr-FR"/>
        </w:rPr>
        <w:t>indi</w:t>
      </w:r>
      <w:r w:rsidR="00AA5C19" w:rsidRPr="005D2316">
        <w:rPr>
          <w:lang w:val="fr-FR"/>
        </w:rPr>
        <w:t>quée,</w:t>
      </w:r>
      <w:r w:rsidRPr="005D2316">
        <w:rPr>
          <w:lang w:val="fr-FR"/>
        </w:rPr>
        <w:t xml:space="preserve"> </w:t>
      </w:r>
      <w:r w:rsidR="00AA5C19" w:rsidRPr="005D2316">
        <w:rPr>
          <w:lang w:val="fr-FR"/>
        </w:rPr>
        <w:t xml:space="preserve">et a </w:t>
      </w:r>
      <w:r w:rsidR="003B5240" w:rsidRPr="005D2316">
        <w:rPr>
          <w:lang w:val="fr-FR"/>
        </w:rPr>
        <w:t>invit</w:t>
      </w:r>
      <w:r w:rsidR="00AA5C19" w:rsidRPr="005D2316">
        <w:rPr>
          <w:lang w:val="fr-FR"/>
        </w:rPr>
        <w:t>é</w:t>
      </w:r>
      <w:r w:rsidR="003B5240" w:rsidRPr="005D2316">
        <w:rPr>
          <w:lang w:val="fr-FR"/>
        </w:rPr>
        <w:t xml:space="preserve"> </w:t>
      </w:r>
      <w:r w:rsidR="00AA5C19" w:rsidRPr="005D2316">
        <w:rPr>
          <w:lang w:val="fr-FR"/>
        </w:rPr>
        <w:t>le Royaume</w:t>
      </w:r>
      <w:r w:rsidR="0067269A" w:rsidRPr="005D2316">
        <w:rPr>
          <w:lang w:val="fr-FR"/>
        </w:rPr>
        <w:t>-</w:t>
      </w:r>
      <w:r w:rsidR="00AA5C19" w:rsidRPr="005D2316">
        <w:rPr>
          <w:lang w:val="fr-FR"/>
        </w:rPr>
        <w:t xml:space="preserve">Uni, ainsi que </w:t>
      </w:r>
      <w:r w:rsidR="00F6530E" w:rsidRPr="005D2316">
        <w:rPr>
          <w:lang w:val="fr-FR"/>
        </w:rPr>
        <w:t>d</w:t>
      </w:r>
      <w:r w:rsidR="0067269A" w:rsidRPr="005D2316">
        <w:rPr>
          <w:lang w:val="fr-FR"/>
        </w:rPr>
        <w:t>’</w:t>
      </w:r>
      <w:r w:rsidR="00AA5C19" w:rsidRPr="005D2316">
        <w:rPr>
          <w:lang w:val="fr-FR"/>
        </w:rPr>
        <w:t>autres membre</w:t>
      </w:r>
      <w:r w:rsidRPr="005D2316">
        <w:rPr>
          <w:lang w:val="fr-FR"/>
        </w:rPr>
        <w:t>s</w:t>
      </w:r>
      <w:r w:rsidR="00AA5C19" w:rsidRPr="005D2316">
        <w:rPr>
          <w:lang w:val="fr-FR"/>
        </w:rPr>
        <w:t>,</w:t>
      </w:r>
      <w:r w:rsidRPr="005D2316">
        <w:rPr>
          <w:lang w:val="fr-FR"/>
        </w:rPr>
        <w:t xml:space="preserve"> </w:t>
      </w:r>
      <w:r w:rsidR="00AA5C19" w:rsidRPr="005D2316">
        <w:rPr>
          <w:lang w:val="fr-FR"/>
        </w:rPr>
        <w:t xml:space="preserve">à </w:t>
      </w:r>
      <w:r w:rsidR="00F6530E" w:rsidRPr="005D2316">
        <w:rPr>
          <w:lang w:val="fr-FR"/>
        </w:rPr>
        <w:t>faire rapport sur cette question à la deux</w:t>
      </w:r>
      <w:r w:rsidR="0067269A" w:rsidRPr="005D2316">
        <w:rPr>
          <w:lang w:val="fr-FR"/>
        </w:rPr>
        <w:t>ième session du TWM</w:t>
      </w:r>
      <w:r w:rsidR="00A2333E" w:rsidRPr="005D2316">
        <w:rPr>
          <w:lang w:val="fr-FR"/>
        </w:rPr>
        <w:t xml:space="preserve">; </w:t>
      </w:r>
      <w:r w:rsidR="00F6530E" w:rsidRPr="005D2316">
        <w:rPr>
          <w:lang w:val="fr-FR"/>
        </w:rPr>
        <w:t>et</w:t>
      </w:r>
    </w:p>
    <w:p w14:paraId="431D79BD" w14:textId="77777777" w:rsidR="00F72BBA" w:rsidRPr="005D2316" w:rsidRDefault="00F72BBA" w:rsidP="006E4FA9">
      <w:pPr>
        <w:rPr>
          <w:lang w:val="fr-FR"/>
        </w:rPr>
      </w:pPr>
    </w:p>
    <w:p w14:paraId="024F298E" w14:textId="47472B41" w:rsidR="0067269A" w:rsidRPr="005D2316" w:rsidRDefault="00F72BBA" w:rsidP="006E4FA9">
      <w:pPr>
        <w:ind w:firstLine="567"/>
        <w:rPr>
          <w:lang w:val="fr-FR"/>
        </w:rPr>
      </w:pPr>
      <w:r w:rsidRPr="005D2316">
        <w:rPr>
          <w:lang w:val="fr-FR"/>
        </w:rPr>
        <w:t>e)</w:t>
      </w:r>
      <w:r w:rsidRPr="005D2316">
        <w:rPr>
          <w:lang w:val="fr-FR"/>
        </w:rPr>
        <w:tab/>
      </w:r>
      <w:r w:rsidR="00F6530E" w:rsidRPr="005D2316">
        <w:rPr>
          <w:lang w:val="fr-FR"/>
        </w:rPr>
        <w:t>demander</w:t>
      </w:r>
      <w:r w:rsidR="0067269A" w:rsidRPr="005D2316">
        <w:rPr>
          <w:lang w:val="fr-FR"/>
        </w:rPr>
        <w:t xml:space="preserve"> au TWM</w:t>
      </w:r>
      <w:r w:rsidRPr="005D2316">
        <w:rPr>
          <w:lang w:val="fr-FR"/>
        </w:rPr>
        <w:t xml:space="preserve"> </w:t>
      </w:r>
      <w:r w:rsidR="00F6530E" w:rsidRPr="005D2316">
        <w:rPr>
          <w:lang w:val="fr-FR"/>
        </w:rPr>
        <w:t>d</w:t>
      </w:r>
      <w:r w:rsidR="0067269A" w:rsidRPr="005D2316">
        <w:rPr>
          <w:lang w:val="fr-FR"/>
        </w:rPr>
        <w:t>’</w:t>
      </w:r>
      <w:r w:rsidR="00F6530E" w:rsidRPr="005D2316">
        <w:rPr>
          <w:lang w:val="fr-FR"/>
        </w:rPr>
        <w:t>établir un rap</w:t>
      </w:r>
      <w:r w:rsidRPr="005D2316">
        <w:rPr>
          <w:lang w:val="fr-FR"/>
        </w:rPr>
        <w:t xml:space="preserve">port </w:t>
      </w:r>
      <w:r w:rsidR="00F6530E" w:rsidRPr="005D2316">
        <w:rPr>
          <w:lang w:val="fr-FR"/>
        </w:rPr>
        <w:t>sur les ré</w:t>
      </w:r>
      <w:r w:rsidRPr="005D2316">
        <w:rPr>
          <w:lang w:val="fr-FR"/>
        </w:rPr>
        <w:t>sult</w:t>
      </w:r>
      <w:r w:rsidR="00F6530E" w:rsidRPr="005D2316">
        <w:rPr>
          <w:lang w:val="fr-FR"/>
        </w:rPr>
        <w:t>at</w:t>
      </w:r>
      <w:r w:rsidRPr="005D2316">
        <w:rPr>
          <w:lang w:val="fr-FR"/>
        </w:rPr>
        <w:t xml:space="preserve">s </w:t>
      </w:r>
      <w:r w:rsidR="00F6530E" w:rsidRPr="005D2316">
        <w:rPr>
          <w:lang w:val="fr-FR"/>
        </w:rPr>
        <w:t>de la série d</w:t>
      </w:r>
      <w:r w:rsidR="0067269A" w:rsidRPr="005D2316">
        <w:rPr>
          <w:lang w:val="fr-FR"/>
        </w:rPr>
        <w:t>’</w:t>
      </w:r>
      <w:r w:rsidR="00F6530E" w:rsidRPr="005D2316">
        <w:rPr>
          <w:lang w:val="fr-FR"/>
        </w:rPr>
        <w:t>essais sur le logiciel</w:t>
      </w:r>
      <w:r w:rsidRPr="005D2316">
        <w:rPr>
          <w:lang w:val="fr-FR"/>
        </w:rPr>
        <w:t xml:space="preserve"> COYU</w:t>
      </w:r>
      <w:r w:rsidR="003B5240" w:rsidRPr="005D2316">
        <w:rPr>
          <w:lang w:val="fr-FR"/>
        </w:rPr>
        <w:t> 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="00F6530E" w:rsidRPr="005D2316">
        <w:rPr>
          <w:lang w:val="fr-FR"/>
        </w:rPr>
        <w:t>pour examen par le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, </w:t>
      </w:r>
      <w:r w:rsidR="00F6530E" w:rsidRPr="005D2316">
        <w:rPr>
          <w:lang w:val="fr-FR"/>
        </w:rPr>
        <w:t>parallèlement à la ré</w:t>
      </w:r>
      <w:r w:rsidRPr="005D2316">
        <w:rPr>
          <w:lang w:val="fr-FR"/>
        </w:rPr>
        <w:t xml:space="preserve">vision </w:t>
      </w:r>
      <w:r w:rsidR="00F6530E" w:rsidRPr="005D2316">
        <w:rPr>
          <w:lang w:val="fr-FR"/>
        </w:rPr>
        <w:t>du</w:t>
      </w:r>
      <w:r w:rsidRPr="005D2316">
        <w:rPr>
          <w:lang w:val="fr-FR"/>
        </w:rPr>
        <w:t xml:space="preserve"> document TGP/8.</w:t>
      </w:r>
    </w:p>
    <w:bookmarkEnd w:id="8"/>
    <w:p w14:paraId="4FF969F9" w14:textId="4C44B135" w:rsidR="00F72BBA" w:rsidRPr="006E4FA9" w:rsidRDefault="00F72BBA" w:rsidP="006E4FA9">
      <w:pPr>
        <w:rPr>
          <w:rFonts w:eastAsia="MS Mincho"/>
          <w:lang w:val="fr-FR"/>
        </w:rPr>
      </w:pPr>
    </w:p>
    <w:p w14:paraId="2E636733" w14:textId="4D8B368F" w:rsidR="008422AD" w:rsidRPr="005D2316" w:rsidRDefault="008422AD" w:rsidP="008422AD">
      <w:pPr>
        <w:keepNext/>
        <w:keepLines/>
        <w:spacing w:after="240"/>
        <w:rPr>
          <w:snapToGrid w:val="0"/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F6530E" w:rsidRPr="005D2316">
        <w:rPr>
          <w:lang w:val="fr-FR"/>
        </w:rPr>
        <w:t>L</w:t>
      </w:r>
      <w:r w:rsidRPr="005D2316">
        <w:rPr>
          <w:snapToGrid w:val="0"/>
          <w:lang w:val="fr-FR"/>
        </w:rPr>
        <w:t>e</w:t>
      </w:r>
      <w:r w:rsidR="00F6530E" w:rsidRPr="005D2316">
        <w:rPr>
          <w:snapToGrid w:val="0"/>
          <w:lang w:val="fr-FR"/>
        </w:rPr>
        <w:t xml:space="preserve"> présent document est</w:t>
      </w:r>
      <w:r w:rsidRPr="005D2316">
        <w:rPr>
          <w:snapToGrid w:val="0"/>
          <w:lang w:val="fr-FR"/>
        </w:rPr>
        <w:t xml:space="preserve"> structur</w:t>
      </w:r>
      <w:r w:rsidR="00F6530E" w:rsidRPr="005D2316">
        <w:rPr>
          <w:snapToGrid w:val="0"/>
          <w:lang w:val="fr-FR"/>
        </w:rPr>
        <w:t>é comme suit</w:t>
      </w:r>
      <w:r w:rsidR="0067269A" w:rsidRPr="005D2316">
        <w:rPr>
          <w:snapToGrid w:val="0"/>
          <w:lang w:val="fr-FR"/>
        </w:rPr>
        <w:t> :</w:t>
      </w:r>
    </w:p>
    <w:p w14:paraId="3E0AA62E" w14:textId="77777777" w:rsidR="00383052" w:rsidRPr="00383052" w:rsidRDefault="00F6530E" w:rsidP="008422AD">
      <w:pPr>
        <w:pStyle w:val="TOC1"/>
        <w:rPr>
          <w:noProof/>
          <w:lang w:val="fr-CH"/>
        </w:rPr>
      </w:pPr>
      <w:r w:rsidRPr="005D2316">
        <w:rPr>
          <w:szCs w:val="18"/>
          <w:lang w:val="fr-FR"/>
        </w:rPr>
        <w:t>résumé</w:t>
      </w:r>
      <w:r w:rsidR="008422AD" w:rsidRPr="005D2316">
        <w:rPr>
          <w:szCs w:val="18"/>
          <w:lang w:val="fr-FR"/>
        </w:rPr>
        <w:fldChar w:fldCharType="begin"/>
      </w:r>
      <w:r w:rsidR="008422AD" w:rsidRPr="005D2316">
        <w:rPr>
          <w:rFonts w:cs="Arial"/>
          <w:noProof/>
          <w:snapToGrid w:val="0"/>
          <w:szCs w:val="18"/>
          <w:lang w:val="fr-FR"/>
        </w:rPr>
        <w:instrText xml:space="preserve"> TOC \o "1-3" \u </w:instrText>
      </w:r>
      <w:r w:rsidR="008422AD" w:rsidRPr="005D2316">
        <w:rPr>
          <w:szCs w:val="18"/>
          <w:lang w:val="fr-FR"/>
        </w:rPr>
        <w:fldChar w:fldCharType="separate"/>
      </w:r>
    </w:p>
    <w:p w14:paraId="399609C7" w14:textId="380C8BB4" w:rsidR="00383052" w:rsidRPr="00383052" w:rsidRDefault="0038305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ja-JP"/>
        </w:rPr>
      </w:pPr>
      <w:r w:rsidRPr="00A83ED0">
        <w:rPr>
          <w:rFonts w:eastAsiaTheme="minorEastAsia"/>
          <w:noProof/>
          <w:lang w:val="fr-FR" w:eastAsia="ja-JP"/>
        </w:rPr>
        <w:t>Résumé</w:t>
      </w:r>
      <w:r w:rsidRPr="00383052">
        <w:rPr>
          <w:noProof/>
          <w:lang w:val="fr-CH"/>
        </w:rPr>
        <w:tab/>
      </w:r>
      <w:r>
        <w:rPr>
          <w:noProof/>
        </w:rPr>
        <w:fldChar w:fldCharType="begin"/>
      </w:r>
      <w:r w:rsidRPr="00383052">
        <w:rPr>
          <w:noProof/>
          <w:lang w:val="fr-CH"/>
        </w:rPr>
        <w:instrText xml:space="preserve"> PAGEREF _Toc117002590 \h </w:instrText>
      </w:r>
      <w:r>
        <w:rPr>
          <w:noProof/>
        </w:rPr>
      </w:r>
      <w:r>
        <w:rPr>
          <w:noProof/>
        </w:rPr>
        <w:fldChar w:fldCharType="separate"/>
      </w:r>
      <w:r w:rsidRPr="00383052">
        <w:rPr>
          <w:noProof/>
          <w:lang w:val="fr-CH"/>
        </w:rPr>
        <w:t>1</w:t>
      </w:r>
      <w:r>
        <w:rPr>
          <w:noProof/>
        </w:rPr>
        <w:fldChar w:fldCharType="end"/>
      </w:r>
    </w:p>
    <w:p w14:paraId="4C01F3AE" w14:textId="3920FC7F" w:rsidR="00383052" w:rsidRPr="00383052" w:rsidRDefault="0038305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ja-JP"/>
        </w:rPr>
      </w:pPr>
      <w:r w:rsidRPr="00A83ED0">
        <w:rPr>
          <w:noProof/>
          <w:lang w:val="fr-FR"/>
        </w:rPr>
        <w:t>Rappel</w:t>
      </w:r>
      <w:r w:rsidRPr="00383052">
        <w:rPr>
          <w:noProof/>
          <w:lang w:val="fr-CH"/>
        </w:rPr>
        <w:tab/>
      </w:r>
      <w:r>
        <w:rPr>
          <w:noProof/>
        </w:rPr>
        <w:fldChar w:fldCharType="begin"/>
      </w:r>
      <w:r w:rsidRPr="00383052">
        <w:rPr>
          <w:noProof/>
          <w:lang w:val="fr-CH"/>
        </w:rPr>
        <w:instrText xml:space="preserve"> PAGEREF _Toc117002591 \h </w:instrText>
      </w:r>
      <w:r>
        <w:rPr>
          <w:noProof/>
        </w:rPr>
      </w:r>
      <w:r>
        <w:rPr>
          <w:noProof/>
        </w:rPr>
        <w:fldChar w:fldCharType="separate"/>
      </w:r>
      <w:r w:rsidRPr="00383052">
        <w:rPr>
          <w:noProof/>
          <w:lang w:val="fr-CH"/>
        </w:rPr>
        <w:t>2</w:t>
      </w:r>
      <w:r>
        <w:rPr>
          <w:noProof/>
        </w:rPr>
        <w:fldChar w:fldCharType="end"/>
      </w:r>
    </w:p>
    <w:p w14:paraId="01EE32A1" w14:textId="3E39EC97" w:rsidR="00383052" w:rsidRPr="00383052" w:rsidRDefault="0038305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ja-JP"/>
        </w:rPr>
      </w:pPr>
      <w:r w:rsidRPr="00A83ED0">
        <w:rPr>
          <w:noProof/>
          <w:lang w:val="fr-FR"/>
        </w:rPr>
        <w:t>Faits nouveaux concernant les groupes de travail techniques</w:t>
      </w:r>
      <w:r w:rsidRPr="00383052">
        <w:rPr>
          <w:noProof/>
          <w:lang w:val="fr-CH"/>
        </w:rPr>
        <w:tab/>
      </w:r>
      <w:r>
        <w:rPr>
          <w:noProof/>
        </w:rPr>
        <w:fldChar w:fldCharType="begin"/>
      </w:r>
      <w:r w:rsidRPr="00383052">
        <w:rPr>
          <w:noProof/>
          <w:lang w:val="fr-CH"/>
        </w:rPr>
        <w:instrText xml:space="preserve"> PAGEREF _Toc117002592 \h </w:instrText>
      </w:r>
      <w:r>
        <w:rPr>
          <w:noProof/>
        </w:rPr>
      </w:r>
      <w:r>
        <w:rPr>
          <w:noProof/>
        </w:rPr>
        <w:fldChar w:fldCharType="separate"/>
      </w:r>
      <w:r w:rsidRPr="00383052">
        <w:rPr>
          <w:noProof/>
          <w:lang w:val="fr-CH"/>
        </w:rPr>
        <w:t>3</w:t>
      </w:r>
      <w:r>
        <w:rPr>
          <w:noProof/>
        </w:rPr>
        <w:fldChar w:fldCharType="end"/>
      </w:r>
    </w:p>
    <w:p w14:paraId="4C81AD65" w14:textId="19DBD409" w:rsidR="00383052" w:rsidRPr="00383052" w:rsidRDefault="00383052" w:rsidP="00383052">
      <w:pPr>
        <w:pStyle w:val="TOC1"/>
        <w:rPr>
          <w:rFonts w:asciiTheme="minorHAnsi" w:eastAsiaTheme="minorEastAsia" w:hAnsiTheme="minorHAnsi" w:cstheme="minorBidi"/>
          <w:caps w:val="0"/>
          <w:noProof/>
          <w:sz w:val="22"/>
          <w:szCs w:val="22"/>
          <w:lang w:val="fr-CH" w:eastAsia="ja-JP"/>
        </w:rPr>
      </w:pPr>
      <w:r w:rsidRPr="00A83ED0">
        <w:rPr>
          <w:noProof/>
          <w:lang w:val="fr-FR"/>
        </w:rPr>
        <w:t>Prochaines étapes</w:t>
      </w:r>
      <w:r w:rsidRPr="00383052">
        <w:rPr>
          <w:noProof/>
          <w:lang w:val="fr-CH"/>
        </w:rPr>
        <w:tab/>
      </w:r>
      <w:r>
        <w:rPr>
          <w:noProof/>
        </w:rPr>
        <w:fldChar w:fldCharType="begin"/>
      </w:r>
      <w:r w:rsidRPr="00383052">
        <w:rPr>
          <w:noProof/>
          <w:lang w:val="fr-CH"/>
        </w:rPr>
        <w:instrText xml:space="preserve"> PAGEREF _Toc117002595 \h </w:instrText>
      </w:r>
      <w:r>
        <w:rPr>
          <w:noProof/>
        </w:rPr>
      </w:r>
      <w:r>
        <w:rPr>
          <w:noProof/>
        </w:rPr>
        <w:fldChar w:fldCharType="separate"/>
      </w:r>
      <w:r w:rsidRPr="00383052">
        <w:rPr>
          <w:noProof/>
          <w:lang w:val="fr-CH"/>
        </w:rPr>
        <w:t>4</w:t>
      </w:r>
      <w:r>
        <w:rPr>
          <w:noProof/>
        </w:rPr>
        <w:fldChar w:fldCharType="end"/>
      </w:r>
    </w:p>
    <w:p w14:paraId="269D8D85" w14:textId="1509B104" w:rsidR="00450501" w:rsidRPr="005D2316" w:rsidRDefault="008422AD" w:rsidP="00450501">
      <w:pPr>
        <w:spacing w:before="120"/>
        <w:ind w:left="1138" w:hanging="1138"/>
        <w:rPr>
          <w:sz w:val="18"/>
          <w:szCs w:val="18"/>
          <w:lang w:val="fr-FR"/>
        </w:rPr>
      </w:pPr>
      <w:r w:rsidRPr="005D2316">
        <w:rPr>
          <w:sz w:val="18"/>
          <w:szCs w:val="18"/>
          <w:lang w:val="fr-FR"/>
        </w:rPr>
        <w:fldChar w:fldCharType="end"/>
      </w:r>
      <w:r w:rsidR="00450501" w:rsidRPr="005D2316">
        <w:rPr>
          <w:sz w:val="18"/>
          <w:szCs w:val="18"/>
          <w:lang w:val="fr-FR"/>
        </w:rPr>
        <w:t>ANNEX</w:t>
      </w:r>
      <w:r w:rsidR="00F6530E" w:rsidRPr="005D2316">
        <w:rPr>
          <w:sz w:val="18"/>
          <w:szCs w:val="18"/>
          <w:lang w:val="fr-FR"/>
        </w:rPr>
        <w:t>E</w:t>
      </w:r>
      <w:r w:rsidR="00450501" w:rsidRPr="005D2316">
        <w:rPr>
          <w:sz w:val="18"/>
          <w:szCs w:val="18"/>
          <w:lang w:val="fr-FR"/>
        </w:rPr>
        <w:t xml:space="preserve"> I</w:t>
      </w:r>
      <w:r w:rsidR="0067269A" w:rsidRPr="005D2316">
        <w:rPr>
          <w:sz w:val="18"/>
          <w:szCs w:val="18"/>
          <w:lang w:val="fr-FR"/>
        </w:rPr>
        <w:t> :</w:t>
      </w:r>
      <w:r w:rsidR="00A2333E" w:rsidRPr="005D2316">
        <w:rPr>
          <w:sz w:val="18"/>
          <w:szCs w:val="18"/>
          <w:lang w:val="fr-FR"/>
        </w:rPr>
        <w:t xml:space="preserve"> </w:t>
      </w:r>
      <w:r w:rsidR="00450501" w:rsidRPr="005D2316">
        <w:rPr>
          <w:sz w:val="18"/>
          <w:szCs w:val="18"/>
          <w:lang w:val="fr-FR"/>
        </w:rPr>
        <w:tab/>
      </w:r>
      <w:bookmarkStart w:id="9" w:name="_GoBack"/>
      <w:bookmarkEnd w:id="9"/>
      <w:r w:rsidR="00450501" w:rsidRPr="005D2316">
        <w:rPr>
          <w:sz w:val="18"/>
          <w:szCs w:val="18"/>
          <w:lang w:val="fr-FR"/>
        </w:rPr>
        <w:t xml:space="preserve">DOCUMENT TWM/1/7 </w:t>
      </w:r>
      <w:r w:rsidR="0091643D" w:rsidRPr="005D2316">
        <w:rPr>
          <w:rFonts w:cs="Arial"/>
          <w:caps/>
          <w:color w:val="000000"/>
          <w:sz w:val="18"/>
          <w:szCs w:val="18"/>
          <w:lang w:val="fr-FR"/>
        </w:rPr>
        <w:t>Analyse globale de l</w:t>
      </w:r>
      <w:r w:rsidR="0067269A" w:rsidRPr="005D2316">
        <w:rPr>
          <w:rFonts w:cs="Arial"/>
          <w:caps/>
          <w:color w:val="000000"/>
          <w:sz w:val="18"/>
          <w:szCs w:val="18"/>
          <w:lang w:val="fr-FR"/>
        </w:rPr>
        <w:t>’</w:t>
      </w:r>
      <w:r w:rsidR="0091643D" w:rsidRPr="005D2316">
        <w:rPr>
          <w:rFonts w:cs="Arial"/>
          <w:caps/>
          <w:color w:val="000000"/>
          <w:sz w:val="18"/>
          <w:szCs w:val="18"/>
          <w:lang w:val="fr-FR"/>
        </w:rPr>
        <w:t>homogénéité sur plusieurs années (méthode d</w:t>
      </w:r>
      <w:r w:rsidR="0067269A" w:rsidRPr="005D2316">
        <w:rPr>
          <w:rFonts w:cs="Arial"/>
          <w:caps/>
          <w:color w:val="000000"/>
          <w:sz w:val="18"/>
          <w:szCs w:val="18"/>
          <w:lang w:val="fr-FR"/>
        </w:rPr>
        <w:t>’</w:t>
      </w:r>
      <w:r w:rsidR="0091643D" w:rsidRPr="005D2316">
        <w:rPr>
          <w:rFonts w:cs="Arial"/>
          <w:caps/>
          <w:color w:val="000000"/>
          <w:sz w:val="18"/>
          <w:szCs w:val="18"/>
          <w:lang w:val="fr-FR"/>
        </w:rPr>
        <w:t>analyse COYU)</w:t>
      </w:r>
      <w:r w:rsidR="0067269A" w:rsidRPr="005D2316">
        <w:rPr>
          <w:rFonts w:cs="Arial"/>
          <w:caps/>
          <w:color w:val="000000"/>
          <w:lang w:val="fr-FR"/>
        </w:rPr>
        <w:t> :</w:t>
      </w:r>
      <w:r w:rsidR="00450501" w:rsidRPr="005D2316">
        <w:rPr>
          <w:sz w:val="18"/>
          <w:szCs w:val="18"/>
          <w:lang w:val="fr-FR"/>
        </w:rPr>
        <w:t xml:space="preserve"> EXTRAPOLATION</w:t>
      </w:r>
    </w:p>
    <w:p w14:paraId="054AF7F1" w14:textId="28FCA79C" w:rsidR="00450501" w:rsidRPr="005D2316" w:rsidRDefault="00450501" w:rsidP="00450501">
      <w:pPr>
        <w:spacing w:before="120"/>
        <w:ind w:left="1138" w:hanging="1138"/>
        <w:rPr>
          <w:sz w:val="18"/>
          <w:szCs w:val="18"/>
          <w:lang w:val="fr-FR"/>
        </w:rPr>
      </w:pPr>
      <w:r w:rsidRPr="005D2316">
        <w:rPr>
          <w:sz w:val="18"/>
          <w:szCs w:val="18"/>
          <w:lang w:val="fr-FR"/>
        </w:rPr>
        <w:t>ANNEX</w:t>
      </w:r>
      <w:r w:rsidR="0091643D" w:rsidRPr="005D2316">
        <w:rPr>
          <w:sz w:val="18"/>
          <w:szCs w:val="18"/>
          <w:lang w:val="fr-FR"/>
        </w:rPr>
        <w:t>E</w:t>
      </w:r>
      <w:r w:rsidR="0012350F" w:rsidRPr="005D2316">
        <w:rPr>
          <w:sz w:val="18"/>
          <w:szCs w:val="18"/>
          <w:lang w:val="fr-FR"/>
        </w:rPr>
        <w:t> </w:t>
      </w:r>
      <w:r w:rsidRPr="005D2316">
        <w:rPr>
          <w:sz w:val="18"/>
          <w:szCs w:val="18"/>
          <w:lang w:val="fr-FR"/>
        </w:rPr>
        <w:t>II</w:t>
      </w:r>
      <w:r w:rsidR="0067269A" w:rsidRPr="005D2316">
        <w:rPr>
          <w:sz w:val="18"/>
          <w:szCs w:val="18"/>
          <w:lang w:val="fr-FR"/>
        </w:rPr>
        <w:t> :</w:t>
      </w:r>
      <w:r w:rsidRPr="005D2316">
        <w:rPr>
          <w:sz w:val="18"/>
          <w:szCs w:val="18"/>
          <w:lang w:val="fr-FR"/>
        </w:rPr>
        <w:t xml:space="preserve"> </w:t>
      </w:r>
      <w:r w:rsidRPr="005D2316">
        <w:rPr>
          <w:sz w:val="18"/>
          <w:szCs w:val="18"/>
          <w:lang w:val="fr-FR"/>
        </w:rPr>
        <w:tab/>
        <w:t xml:space="preserve">DOCUMENT TWM/1/7 </w:t>
      </w:r>
      <w:r w:rsidR="0091643D" w:rsidRPr="005D2316">
        <w:rPr>
          <w:caps/>
          <w:sz w:val="18"/>
          <w:szCs w:val="18"/>
          <w:lang w:val="fr-FR"/>
        </w:rPr>
        <w:t xml:space="preserve">faits nouveaux concernant la méthode </w:t>
      </w:r>
      <w:r w:rsidRPr="005D2316">
        <w:rPr>
          <w:sz w:val="18"/>
          <w:szCs w:val="18"/>
          <w:lang w:val="fr-FR"/>
        </w:rPr>
        <w:t xml:space="preserve">COYU </w:t>
      </w:r>
      <w:r w:rsidR="0091643D" w:rsidRPr="005D2316">
        <w:rPr>
          <w:caps/>
          <w:sz w:val="18"/>
          <w:szCs w:val="18"/>
          <w:lang w:val="fr-FR"/>
        </w:rPr>
        <w:t>améliorée</w:t>
      </w:r>
      <w:r w:rsidRPr="005D2316">
        <w:rPr>
          <w:sz w:val="18"/>
          <w:szCs w:val="18"/>
          <w:lang w:val="fr-FR"/>
        </w:rPr>
        <w:t xml:space="preserve"> (SPLINES)</w:t>
      </w:r>
    </w:p>
    <w:p w14:paraId="28169D1D" w14:textId="77777777" w:rsidR="008422AD" w:rsidRPr="005D2316" w:rsidRDefault="008422AD" w:rsidP="00990D12">
      <w:pPr>
        <w:rPr>
          <w:noProof/>
          <w:snapToGrid w:val="0"/>
          <w:lang w:val="fr-FR"/>
        </w:rPr>
      </w:pPr>
    </w:p>
    <w:p w14:paraId="06961CBB" w14:textId="74C8281F" w:rsidR="008422AD" w:rsidRPr="005D2316" w:rsidRDefault="008422AD" w:rsidP="008422AD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91643D" w:rsidRPr="005D2316">
        <w:rPr>
          <w:lang w:val="fr-FR"/>
        </w:rPr>
        <w:t xml:space="preserve">Les </w:t>
      </w:r>
      <w:r w:rsidRPr="005D2316">
        <w:rPr>
          <w:lang w:val="fr-FR"/>
        </w:rPr>
        <w:t>abr</w:t>
      </w:r>
      <w:r w:rsidR="0091643D" w:rsidRPr="005D2316">
        <w:rPr>
          <w:lang w:val="fr-FR"/>
        </w:rPr>
        <w:t>é</w:t>
      </w:r>
      <w:r w:rsidRPr="005D2316">
        <w:rPr>
          <w:lang w:val="fr-FR"/>
        </w:rPr>
        <w:t xml:space="preserve">viations </w:t>
      </w:r>
      <w:r w:rsidR="0091643D" w:rsidRPr="005D2316">
        <w:rPr>
          <w:lang w:val="fr-FR"/>
        </w:rPr>
        <w:t>suivantes sont utilisées dans le présent d</w:t>
      </w:r>
      <w:r w:rsidRPr="005D2316">
        <w:rPr>
          <w:lang w:val="fr-FR"/>
        </w:rPr>
        <w:t>ocument</w:t>
      </w:r>
      <w:r w:rsidR="0067269A" w:rsidRPr="005D2316">
        <w:rPr>
          <w:lang w:val="fr-FR"/>
        </w:rPr>
        <w:t> :</w:t>
      </w:r>
    </w:p>
    <w:p w14:paraId="47D8F871" w14:textId="77777777" w:rsidR="008422AD" w:rsidRPr="005D2316" w:rsidRDefault="008422AD" w:rsidP="00990D12">
      <w:pPr>
        <w:rPr>
          <w:lang w:val="fr-FR"/>
        </w:rPr>
      </w:pPr>
    </w:p>
    <w:p w14:paraId="69BFDDF7" w14:textId="2ABAD30D" w:rsidR="008422AD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TC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  <w:t>Comit</w:t>
      </w:r>
      <w:r w:rsidR="0091643D" w:rsidRPr="005D2316">
        <w:rPr>
          <w:lang w:val="fr-FR"/>
        </w:rPr>
        <w:t>é technique</w:t>
      </w:r>
    </w:p>
    <w:p w14:paraId="00B3418C" w14:textId="5C3F54B1" w:rsidR="008422AD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TC</w:t>
      </w:r>
      <w:r w:rsidR="0067269A" w:rsidRPr="005D2316">
        <w:rPr>
          <w:lang w:val="fr-FR"/>
        </w:rPr>
        <w:t>-</w:t>
      </w:r>
      <w:r w:rsidRPr="005D2316">
        <w:rPr>
          <w:lang w:val="fr-FR"/>
        </w:rPr>
        <w:t>EDC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lang w:val="fr-FR"/>
        </w:rPr>
        <w:t>Comité de rédaction élargi</w:t>
      </w:r>
    </w:p>
    <w:p w14:paraId="77E65227" w14:textId="04A0E245" w:rsidR="008422AD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TWA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lang w:val="fr-FR"/>
        </w:rPr>
        <w:t>Groupe de travail technique sur les plantes agricoles</w:t>
      </w:r>
    </w:p>
    <w:p w14:paraId="59EA8825" w14:textId="2B152DFC" w:rsidR="008422AD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lastRenderedPageBreak/>
        <w:t>TWC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lang w:val="fr-FR"/>
        </w:rPr>
        <w:t>Groupe de travail technique sur les systèmes d</w:t>
      </w:r>
      <w:r w:rsidR="0067269A" w:rsidRPr="005D2316">
        <w:rPr>
          <w:lang w:val="fr-FR"/>
        </w:rPr>
        <w:t>’</w:t>
      </w:r>
      <w:r w:rsidR="0091643D" w:rsidRPr="005D2316">
        <w:rPr>
          <w:lang w:val="fr-FR"/>
        </w:rPr>
        <w:t>automatisation et les programmes d</w:t>
      </w:r>
      <w:r w:rsidR="0067269A" w:rsidRPr="005D2316">
        <w:rPr>
          <w:lang w:val="fr-FR"/>
        </w:rPr>
        <w:t>’</w:t>
      </w:r>
      <w:r w:rsidR="0091643D" w:rsidRPr="005D2316">
        <w:rPr>
          <w:lang w:val="fr-FR"/>
        </w:rPr>
        <w:t>ordinateur</w:t>
      </w:r>
    </w:p>
    <w:p w14:paraId="1575E110" w14:textId="6691E9DF" w:rsidR="007B1BA8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TWF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lang w:val="fr-FR"/>
        </w:rPr>
        <w:t>Groupe de travail technique sur les plantes fruitières</w:t>
      </w:r>
    </w:p>
    <w:p w14:paraId="77A2354A" w14:textId="2724F3D4" w:rsidR="0067269A" w:rsidRPr="005D2316" w:rsidRDefault="007B1BA8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TWM</w:t>
      </w:r>
      <w:r w:rsidR="0067269A" w:rsidRPr="005D2316">
        <w:rPr>
          <w:lang w:val="fr-FR"/>
        </w:rPr>
        <w:t> :</w:t>
      </w:r>
      <w:r w:rsidR="00A2333E"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rFonts w:cs="Arial"/>
          <w:color w:val="000000"/>
          <w:lang w:val="fr-FR"/>
        </w:rPr>
        <w:t>Groupe de travail technique sur les méthodes et techniques d</w:t>
      </w:r>
      <w:r w:rsidR="0067269A" w:rsidRPr="005D2316">
        <w:rPr>
          <w:rFonts w:cs="Arial"/>
          <w:color w:val="000000"/>
          <w:lang w:val="fr-FR"/>
        </w:rPr>
        <w:t>’</w:t>
      </w:r>
      <w:r w:rsidR="0091643D" w:rsidRPr="005D2316">
        <w:rPr>
          <w:rFonts w:cs="Arial"/>
          <w:color w:val="000000"/>
          <w:lang w:val="fr-FR"/>
        </w:rPr>
        <w:t>essai</w:t>
      </w:r>
    </w:p>
    <w:p w14:paraId="7136158A" w14:textId="06C5FB3D" w:rsidR="008422AD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TWO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lang w:val="fr-FR"/>
        </w:rPr>
        <w:t>Groupe de travail technique sur les plantes ornementales et les arbres forestiers</w:t>
      </w:r>
    </w:p>
    <w:p w14:paraId="42E53389" w14:textId="4FAAD7C4" w:rsidR="008422AD" w:rsidRPr="005D2316" w:rsidRDefault="008422AD" w:rsidP="008422AD">
      <w:pPr>
        <w:ind w:left="1701" w:hanging="1134"/>
        <w:rPr>
          <w:color w:val="000000"/>
          <w:lang w:val="fr-FR"/>
        </w:rPr>
      </w:pPr>
      <w:r w:rsidRPr="005D2316">
        <w:rPr>
          <w:color w:val="000000"/>
          <w:lang w:val="fr-FR"/>
        </w:rPr>
        <w:t>TWP</w:t>
      </w:r>
      <w:r w:rsidR="0067269A" w:rsidRPr="005D2316">
        <w:rPr>
          <w:color w:val="000000"/>
          <w:lang w:val="fr-FR"/>
        </w:rPr>
        <w:t> :</w:t>
      </w:r>
      <w:r w:rsidR="00A2333E" w:rsidRPr="005D2316">
        <w:rPr>
          <w:color w:val="000000"/>
          <w:lang w:val="fr-FR"/>
        </w:rPr>
        <w:t xml:space="preserve"> </w:t>
      </w:r>
      <w:r w:rsidRPr="005D2316">
        <w:rPr>
          <w:color w:val="000000"/>
          <w:lang w:val="fr-FR"/>
        </w:rPr>
        <w:tab/>
      </w:r>
      <w:r w:rsidR="0091643D" w:rsidRPr="005D2316">
        <w:rPr>
          <w:color w:val="000000"/>
          <w:lang w:val="fr-FR"/>
        </w:rPr>
        <w:t>Groupe(s) de travail technique(s)</w:t>
      </w:r>
    </w:p>
    <w:p w14:paraId="6DF6F7E4" w14:textId="744403DC" w:rsidR="008422AD" w:rsidRPr="005D2316" w:rsidRDefault="008422AD" w:rsidP="008422AD">
      <w:pPr>
        <w:ind w:left="1701" w:hanging="1134"/>
        <w:rPr>
          <w:lang w:val="fr-FR"/>
        </w:rPr>
      </w:pPr>
      <w:r w:rsidRPr="005D2316">
        <w:rPr>
          <w:lang w:val="fr-FR"/>
        </w:rPr>
        <w:t>TWV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</w:t>
      </w:r>
      <w:r w:rsidRPr="005D2316">
        <w:rPr>
          <w:lang w:val="fr-FR"/>
        </w:rPr>
        <w:tab/>
      </w:r>
      <w:r w:rsidR="0091643D" w:rsidRPr="005D2316">
        <w:rPr>
          <w:lang w:val="fr-FR"/>
        </w:rPr>
        <w:t>Groupe de travail technique sur les plantes potagères</w:t>
      </w:r>
    </w:p>
    <w:p w14:paraId="3690DFF6" w14:textId="77777777" w:rsidR="008422AD" w:rsidRPr="005D2316" w:rsidRDefault="008422AD" w:rsidP="008422AD">
      <w:pPr>
        <w:rPr>
          <w:lang w:val="fr-FR"/>
        </w:rPr>
      </w:pPr>
    </w:p>
    <w:p w14:paraId="6EECBD33" w14:textId="77777777" w:rsidR="00450501" w:rsidRPr="005D2316" w:rsidRDefault="00450501" w:rsidP="008422AD">
      <w:pPr>
        <w:rPr>
          <w:lang w:val="fr-FR"/>
        </w:rPr>
      </w:pPr>
    </w:p>
    <w:p w14:paraId="3ABDEC0C" w14:textId="1F966B53" w:rsidR="0067269A" w:rsidRPr="005D2316" w:rsidRDefault="006E4FA9" w:rsidP="008422AD">
      <w:pPr>
        <w:keepNext/>
        <w:outlineLvl w:val="0"/>
        <w:rPr>
          <w:caps/>
          <w:lang w:val="fr-FR"/>
        </w:rPr>
      </w:pPr>
      <w:bookmarkStart w:id="10" w:name="_Toc524691136"/>
      <w:bookmarkStart w:id="11" w:name="_Toc474404968"/>
      <w:bookmarkStart w:id="12" w:name="_Toc117002591"/>
      <w:bookmarkEnd w:id="4"/>
      <w:bookmarkEnd w:id="5"/>
      <w:r>
        <w:rPr>
          <w:caps/>
          <w:lang w:val="fr-FR"/>
        </w:rPr>
        <w:t>Rappel</w:t>
      </w:r>
      <w:bookmarkEnd w:id="10"/>
      <w:bookmarkEnd w:id="11"/>
      <w:bookmarkEnd w:id="12"/>
    </w:p>
    <w:p w14:paraId="64B76D43" w14:textId="5F221CF6" w:rsidR="008422AD" w:rsidRPr="005D2316" w:rsidRDefault="008422AD" w:rsidP="008422AD">
      <w:pPr>
        <w:rPr>
          <w:szCs w:val="24"/>
          <w:lang w:val="fr-FR" w:eastAsia="ja-JP"/>
        </w:rPr>
      </w:pPr>
    </w:p>
    <w:p w14:paraId="47FEF4D4" w14:textId="46AD94CC" w:rsidR="0067269A" w:rsidRPr="005D2316" w:rsidRDefault="008422AD" w:rsidP="008422AD">
      <w:pPr>
        <w:rPr>
          <w:rFonts w:eastAsia="Calibri"/>
          <w:lang w:val="fr-FR"/>
        </w:rPr>
      </w:pPr>
      <w:r w:rsidRPr="005D2316">
        <w:rPr>
          <w:rFonts w:eastAsia="Calibri"/>
          <w:lang w:val="fr-FR"/>
        </w:rPr>
        <w:fldChar w:fldCharType="begin"/>
      </w:r>
      <w:r w:rsidRPr="005D2316">
        <w:rPr>
          <w:rFonts w:eastAsia="Calibri"/>
          <w:lang w:val="fr-FR"/>
        </w:rPr>
        <w:instrText xml:space="preserve"> AUTONUM  </w:instrText>
      </w:r>
      <w:r w:rsidRPr="005D2316">
        <w:rPr>
          <w:rFonts w:eastAsia="Calibri"/>
          <w:lang w:val="fr-FR"/>
        </w:rPr>
        <w:fldChar w:fldCharType="end"/>
      </w:r>
      <w:r w:rsidRPr="005D2316">
        <w:rPr>
          <w:rFonts w:eastAsia="Calibri"/>
          <w:lang w:val="fr-FR"/>
        </w:rPr>
        <w:tab/>
      </w:r>
      <w:r w:rsidR="0091643D" w:rsidRPr="005D2316">
        <w:rPr>
          <w:rFonts w:eastAsia="Calibri"/>
          <w:lang w:val="fr-FR"/>
        </w:rPr>
        <w:t>La méthode d</w:t>
      </w:r>
      <w:r w:rsidR="0067269A" w:rsidRPr="005D2316">
        <w:rPr>
          <w:rFonts w:eastAsia="Calibri"/>
          <w:lang w:val="fr-FR"/>
        </w:rPr>
        <w:t>’</w:t>
      </w:r>
      <w:r w:rsidR="0091643D" w:rsidRPr="005D2316">
        <w:rPr>
          <w:rFonts w:eastAsia="Calibri"/>
          <w:lang w:val="fr-FR"/>
        </w:rPr>
        <w:t>analyse globale de l</w:t>
      </w:r>
      <w:r w:rsidR="0067269A" w:rsidRPr="005D2316">
        <w:rPr>
          <w:rFonts w:eastAsia="Calibri"/>
          <w:lang w:val="fr-FR"/>
        </w:rPr>
        <w:t>’</w:t>
      </w:r>
      <w:r w:rsidR="0091643D" w:rsidRPr="005D2316">
        <w:rPr>
          <w:rFonts w:eastAsia="Calibri"/>
          <w:lang w:val="fr-FR"/>
        </w:rPr>
        <w:t>homogénéité sur plusieurs années (méthode d</w:t>
      </w:r>
      <w:r w:rsidR="0067269A" w:rsidRPr="005D2316">
        <w:rPr>
          <w:rFonts w:eastAsia="Calibri"/>
          <w:lang w:val="fr-FR"/>
        </w:rPr>
        <w:t>’</w:t>
      </w:r>
      <w:r w:rsidR="0091643D" w:rsidRPr="005D2316">
        <w:rPr>
          <w:rFonts w:eastAsia="Calibri"/>
          <w:lang w:val="fr-FR"/>
        </w:rPr>
        <w:t>analyse COYU) est une mé</w:t>
      </w:r>
      <w:r w:rsidRPr="005D2316">
        <w:rPr>
          <w:rFonts w:eastAsia="Calibri"/>
          <w:lang w:val="fr-FR"/>
        </w:rPr>
        <w:t>thod</w:t>
      </w:r>
      <w:r w:rsidR="0091643D" w:rsidRPr="005D2316">
        <w:rPr>
          <w:rFonts w:eastAsia="Calibri"/>
          <w:lang w:val="fr-FR"/>
        </w:rPr>
        <w:t>e</w:t>
      </w:r>
      <w:r w:rsidRPr="005D2316">
        <w:rPr>
          <w:rFonts w:eastAsia="Calibri"/>
          <w:lang w:val="fr-FR"/>
        </w:rPr>
        <w:t xml:space="preserve"> u</w:t>
      </w:r>
      <w:r w:rsidR="0091643D" w:rsidRPr="005D2316">
        <w:rPr>
          <w:rFonts w:eastAsia="Calibri"/>
          <w:lang w:val="fr-FR"/>
        </w:rPr>
        <w:t>tilisé</w:t>
      </w:r>
      <w:r w:rsidRPr="005D2316">
        <w:rPr>
          <w:rFonts w:eastAsia="Calibri"/>
          <w:lang w:val="fr-FR"/>
        </w:rPr>
        <w:t xml:space="preserve">e </w:t>
      </w:r>
      <w:r w:rsidR="0091643D" w:rsidRPr="005D2316">
        <w:rPr>
          <w:rFonts w:eastAsia="Calibri"/>
          <w:lang w:val="fr-FR"/>
        </w:rPr>
        <w:t>pour évaluer l</w:t>
      </w:r>
      <w:r w:rsidR="0067269A" w:rsidRPr="005D2316">
        <w:rPr>
          <w:rFonts w:eastAsia="Calibri"/>
          <w:lang w:val="fr-FR"/>
        </w:rPr>
        <w:t>’</w:t>
      </w:r>
      <w:r w:rsidR="00AA5C19" w:rsidRPr="005D2316">
        <w:rPr>
          <w:rFonts w:eastAsia="Calibri"/>
          <w:lang w:val="fr-FR"/>
        </w:rPr>
        <w:t>homogénéité</w:t>
      </w:r>
      <w:r w:rsidRPr="005D2316">
        <w:rPr>
          <w:rFonts w:eastAsia="Calibri"/>
          <w:lang w:val="fr-FR"/>
        </w:rPr>
        <w:t xml:space="preserve"> </w:t>
      </w:r>
      <w:r w:rsidR="0091643D" w:rsidRPr="005D2316">
        <w:rPr>
          <w:rFonts w:eastAsia="Calibri"/>
          <w:lang w:val="fr-FR"/>
        </w:rPr>
        <w:t>sur la</w:t>
      </w:r>
      <w:r w:rsidRPr="005D2316">
        <w:rPr>
          <w:rFonts w:eastAsia="Calibri"/>
          <w:lang w:val="fr-FR"/>
        </w:rPr>
        <w:t xml:space="preserve"> bas</w:t>
      </w:r>
      <w:r w:rsidR="0091643D" w:rsidRPr="005D2316">
        <w:rPr>
          <w:rFonts w:eastAsia="Calibri"/>
          <w:lang w:val="fr-FR"/>
        </w:rPr>
        <w:t xml:space="preserve">e de </w:t>
      </w:r>
      <w:r w:rsidR="00DE2F7E" w:rsidRPr="005D2316">
        <w:rPr>
          <w:rFonts w:eastAsia="Calibri"/>
          <w:lang w:val="fr-FR"/>
        </w:rPr>
        <w:t>caractères quantitatifs mesurés</w:t>
      </w:r>
      <w:r w:rsidRPr="005D2316">
        <w:rPr>
          <w:rFonts w:eastAsia="Calibri"/>
          <w:lang w:val="fr-FR"/>
        </w:rPr>
        <w:t xml:space="preserve"> (</w:t>
      </w:r>
      <w:r w:rsidR="00DE2F7E" w:rsidRPr="005D2316">
        <w:rPr>
          <w:rFonts w:eastAsia="Calibri"/>
          <w:lang w:val="fr-FR"/>
        </w:rPr>
        <w:t>voir l</w:t>
      </w:r>
      <w:r w:rsidRPr="005D2316">
        <w:rPr>
          <w:rFonts w:eastAsia="Calibri"/>
          <w:lang w:val="fr-FR"/>
        </w:rPr>
        <w:t>e document TGP/8/3 “</w:t>
      </w:r>
      <w:r w:rsidR="00DE2F7E" w:rsidRPr="005D2316">
        <w:rPr>
          <w:rFonts w:eastAsia="Calibri"/>
          <w:lang w:val="fr-FR"/>
        </w:rPr>
        <w:t>Protocole d</w:t>
      </w:r>
      <w:r w:rsidR="0067269A" w:rsidRPr="005D2316">
        <w:rPr>
          <w:rFonts w:eastAsia="Calibri"/>
          <w:lang w:val="fr-FR"/>
        </w:rPr>
        <w:t>’</w:t>
      </w:r>
      <w:r w:rsidR="00DE2F7E" w:rsidRPr="005D2316">
        <w:rPr>
          <w:rFonts w:eastAsia="Calibri"/>
          <w:lang w:val="fr-FR"/>
        </w:rPr>
        <w:t>essai et techniques utilisés dans l</w:t>
      </w:r>
      <w:r w:rsidR="0067269A" w:rsidRPr="005D2316">
        <w:rPr>
          <w:rFonts w:eastAsia="Calibri"/>
          <w:lang w:val="fr-FR"/>
        </w:rPr>
        <w:t>’</w:t>
      </w:r>
      <w:r w:rsidR="00DE2F7E" w:rsidRPr="005D2316">
        <w:rPr>
          <w:rFonts w:eastAsia="Calibri"/>
          <w:lang w:val="fr-FR"/>
        </w:rPr>
        <w:t>examen de la distinction, de l</w:t>
      </w:r>
      <w:r w:rsidR="0067269A" w:rsidRPr="005D2316">
        <w:rPr>
          <w:rFonts w:eastAsia="Calibri"/>
          <w:lang w:val="fr-FR"/>
        </w:rPr>
        <w:t>’</w:t>
      </w:r>
      <w:r w:rsidR="00DE2F7E" w:rsidRPr="005D2316">
        <w:rPr>
          <w:rFonts w:eastAsia="Calibri"/>
          <w:lang w:val="fr-FR"/>
        </w:rPr>
        <w:t>homogénéité et de la stabilité</w:t>
      </w:r>
      <w:r w:rsidRPr="005D2316">
        <w:rPr>
          <w:rFonts w:eastAsia="Calibri"/>
          <w:lang w:val="fr-FR"/>
        </w:rPr>
        <w:t>”).</w:t>
      </w:r>
    </w:p>
    <w:p w14:paraId="2D522183" w14:textId="321AC4DC" w:rsidR="008422AD" w:rsidRPr="005D2316" w:rsidRDefault="008422AD" w:rsidP="008422AD">
      <w:pPr>
        <w:rPr>
          <w:szCs w:val="24"/>
          <w:lang w:val="fr-FR" w:eastAsia="ja-JP"/>
        </w:rPr>
      </w:pPr>
    </w:p>
    <w:p w14:paraId="42DC58CF" w14:textId="3E826194" w:rsidR="008422AD" w:rsidRPr="005D2316" w:rsidRDefault="008422AD" w:rsidP="008422AD">
      <w:pPr>
        <w:keepNext/>
        <w:rPr>
          <w:iCs/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2957BD" w:rsidRPr="005D2316">
        <w:rPr>
          <w:lang w:val="fr-FR"/>
        </w:rPr>
        <w:t>À sa cinquante</w:t>
      </w:r>
      <w:r w:rsidR="0067269A" w:rsidRPr="005D2316">
        <w:rPr>
          <w:lang w:val="fr-FR"/>
        </w:rPr>
        <w:t>-</w:t>
      </w:r>
      <w:r w:rsidR="002957BD" w:rsidRPr="005D2316">
        <w:rPr>
          <w:lang w:val="fr-FR"/>
        </w:rPr>
        <w:t>quatr</w:t>
      </w:r>
      <w:r w:rsidR="0067269A" w:rsidRPr="005D2316">
        <w:rPr>
          <w:lang w:val="fr-FR"/>
        </w:rPr>
        <w:t>ième session</w:t>
      </w:r>
      <w:r w:rsidRPr="005D2316">
        <w:rPr>
          <w:vertAlign w:val="superscript"/>
          <w:lang w:val="fr-FR"/>
        </w:rPr>
        <w:footnoteReference w:id="2"/>
      </w:r>
      <w:r w:rsidRPr="005D2316">
        <w:rPr>
          <w:lang w:val="fr-FR"/>
        </w:rPr>
        <w:t xml:space="preserve">, </w:t>
      </w:r>
      <w:r w:rsidR="002957BD" w:rsidRPr="005D2316">
        <w:rPr>
          <w:lang w:val="fr-FR"/>
        </w:rPr>
        <w:t>le</w:t>
      </w:r>
      <w:r w:rsidR="0067269A" w:rsidRPr="005D2316">
        <w:rPr>
          <w:lang w:val="fr-FR"/>
        </w:rPr>
        <w:t> TC</w:t>
      </w:r>
      <w:r w:rsidR="002957BD" w:rsidRPr="005D2316">
        <w:rPr>
          <w:lang w:val="fr-FR"/>
        </w:rPr>
        <w:t xml:space="preserve"> a </w:t>
      </w:r>
      <w:r w:rsidRPr="005D2316">
        <w:rPr>
          <w:lang w:val="fr-FR"/>
        </w:rPr>
        <w:t>not</w:t>
      </w:r>
      <w:r w:rsidR="002957BD" w:rsidRPr="005D2316">
        <w:rPr>
          <w:lang w:val="fr-FR"/>
        </w:rPr>
        <w:t>é</w:t>
      </w:r>
      <w:r w:rsidRPr="005D2316">
        <w:rPr>
          <w:lang w:val="fr-FR"/>
        </w:rPr>
        <w:t xml:space="preserve"> </w:t>
      </w:r>
      <w:r w:rsidR="002957BD" w:rsidRPr="005D2316">
        <w:rPr>
          <w:lang w:val="fr-FR"/>
        </w:rPr>
        <w:t xml:space="preserve">que la mise au point </w:t>
      </w:r>
      <w:r w:rsidRPr="005D2316">
        <w:rPr>
          <w:lang w:val="fr-FR"/>
        </w:rPr>
        <w:t>statisti</w:t>
      </w:r>
      <w:r w:rsidR="002957BD" w:rsidRPr="005D2316">
        <w:rPr>
          <w:lang w:val="fr-FR"/>
        </w:rPr>
        <w:t xml:space="preserve">que de la </w:t>
      </w:r>
      <w:r w:rsidR="000948A7" w:rsidRPr="005D2316">
        <w:rPr>
          <w:lang w:val="fr-FR"/>
        </w:rPr>
        <w:t>nouvell</w:t>
      </w:r>
      <w:r w:rsidRPr="005D2316">
        <w:rPr>
          <w:lang w:val="fr-FR"/>
        </w:rPr>
        <w:t>e m</w:t>
      </w:r>
      <w:r w:rsidR="000948A7" w:rsidRPr="005D2316">
        <w:rPr>
          <w:lang w:val="fr-FR"/>
        </w:rPr>
        <w:t>é</w:t>
      </w:r>
      <w:r w:rsidRPr="005D2316">
        <w:rPr>
          <w:lang w:val="fr-FR"/>
        </w:rPr>
        <w:t>thod</w:t>
      </w:r>
      <w:r w:rsidR="000948A7" w:rsidRPr="005D2316">
        <w:rPr>
          <w:lang w:val="fr-FR"/>
        </w:rPr>
        <w:t>e</w:t>
      </w:r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de</w:t>
      </w:r>
      <w:r w:rsidRPr="005D2316">
        <w:rPr>
          <w:lang w:val="fr-FR"/>
        </w:rPr>
        <w:t xml:space="preserve"> calcul</w:t>
      </w:r>
      <w:r w:rsidR="000948A7" w:rsidRPr="005D2316">
        <w:rPr>
          <w:lang w:val="fr-FR"/>
        </w:rPr>
        <w:t xml:space="preserve"> de</w:t>
      </w:r>
      <w:r w:rsidR="0067269A" w:rsidRPr="005D2316">
        <w:rPr>
          <w:lang w:val="fr-FR"/>
        </w:rPr>
        <w:t xml:space="preserve"> la COY</w:t>
      </w:r>
      <w:r w:rsidRPr="005D2316">
        <w:rPr>
          <w:lang w:val="fr-FR"/>
        </w:rPr>
        <w:t xml:space="preserve">U </w:t>
      </w:r>
      <w:r w:rsidR="000948A7" w:rsidRPr="005D2316">
        <w:rPr>
          <w:lang w:val="fr-FR"/>
        </w:rPr>
        <w:t xml:space="preserve">avait été menée à bien, </w:t>
      </w:r>
      <w:r w:rsidR="0067269A" w:rsidRPr="005D2316">
        <w:rPr>
          <w:lang w:val="fr-FR"/>
        </w:rPr>
        <w:t>y compris</w:t>
      </w:r>
      <w:r w:rsidR="000948A7" w:rsidRPr="005D2316">
        <w:rPr>
          <w:lang w:val="fr-FR"/>
        </w:rPr>
        <w:t xml:space="preserve"> l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é</w:t>
      </w:r>
      <w:r w:rsidRPr="005D2316">
        <w:rPr>
          <w:lang w:val="fr-FR"/>
        </w:rPr>
        <w:t>tablis</w:t>
      </w:r>
      <w:r w:rsidR="000948A7" w:rsidRPr="005D2316">
        <w:rPr>
          <w:lang w:val="fr-FR"/>
        </w:rPr>
        <w:t>se</w:t>
      </w:r>
      <w:r w:rsidRPr="005D2316">
        <w:rPr>
          <w:lang w:val="fr-FR"/>
        </w:rPr>
        <w:t xml:space="preserve">ment </w:t>
      </w:r>
      <w:r w:rsidR="000948A7" w:rsidRPr="005D2316">
        <w:rPr>
          <w:lang w:val="fr-FR"/>
        </w:rPr>
        <w:t>des niveaux de proba</w:t>
      </w:r>
      <w:r w:rsidRPr="005D2316">
        <w:rPr>
          <w:lang w:val="fr-FR"/>
        </w:rPr>
        <w:t>bilit</w:t>
      </w:r>
      <w:r w:rsidR="000948A7" w:rsidRPr="005D2316">
        <w:rPr>
          <w:lang w:val="fr-FR"/>
        </w:rPr>
        <w:t>é</w:t>
      </w:r>
      <w:r w:rsidRPr="005D2316">
        <w:rPr>
          <w:lang w:val="fr-FR"/>
        </w:rPr>
        <w:t xml:space="preserve"> requi</w:t>
      </w:r>
      <w:r w:rsidR="000948A7" w:rsidRPr="005D2316">
        <w:rPr>
          <w:lang w:val="fr-FR"/>
        </w:rPr>
        <w:t>s</w:t>
      </w:r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pour se rapprocher au plus près des dé</w:t>
      </w:r>
      <w:r w:rsidRPr="005D2316">
        <w:rPr>
          <w:bCs/>
          <w:lang w:val="fr-FR"/>
        </w:rPr>
        <w:t xml:space="preserve">cisions </w:t>
      </w:r>
      <w:r w:rsidR="000948A7" w:rsidRPr="005D2316">
        <w:rPr>
          <w:bCs/>
          <w:lang w:val="fr-FR"/>
        </w:rPr>
        <w:t xml:space="preserve">prises au moyen de la méthode actuelle de </w:t>
      </w:r>
      <w:r w:rsidRPr="005D2316">
        <w:rPr>
          <w:bCs/>
          <w:lang w:val="fr-FR"/>
        </w:rPr>
        <w:t>calcul</w:t>
      </w:r>
      <w:r w:rsidR="000948A7" w:rsidRPr="005D2316">
        <w:rPr>
          <w:bCs/>
          <w:lang w:val="fr-FR"/>
        </w:rPr>
        <w:t xml:space="preserve"> de</w:t>
      </w:r>
      <w:r w:rsidR="0067269A" w:rsidRPr="005D2316">
        <w:rPr>
          <w:bCs/>
          <w:lang w:val="fr-FR"/>
        </w:rPr>
        <w:t xml:space="preserve"> la C</w:t>
      </w:r>
      <w:r w:rsidR="001A0B67" w:rsidRPr="005D2316">
        <w:rPr>
          <w:bCs/>
          <w:lang w:val="fr-FR"/>
        </w:rPr>
        <w:t>OYU.  L</w:t>
      </w:r>
      <w:r w:rsidR="001A0B67" w:rsidRPr="005D2316">
        <w:rPr>
          <w:lang w:val="fr-FR"/>
        </w:rPr>
        <w:t>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a noté que</w:t>
      </w:r>
      <w:r w:rsidR="0067269A" w:rsidRPr="005D2316">
        <w:rPr>
          <w:lang w:val="fr-FR"/>
        </w:rPr>
        <w:t xml:space="preserve"> le TWC</w:t>
      </w:r>
      <w:r w:rsidR="000948A7" w:rsidRPr="005D2316">
        <w:rPr>
          <w:lang w:val="fr-FR"/>
        </w:rPr>
        <w:t xml:space="preserve"> avait invité l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expert du Royaume</w:t>
      </w:r>
      <w:r w:rsidR="00A2333E" w:rsidRPr="005D2316">
        <w:rPr>
          <w:lang w:val="fr-FR"/>
        </w:rPr>
        <w:t>-</w:t>
      </w:r>
      <w:r w:rsidR="000948A7" w:rsidRPr="005D2316">
        <w:rPr>
          <w:lang w:val="fr-FR"/>
        </w:rPr>
        <w:t>Uni à élaborer une section visant à remplacer le texte du document TGP/8 concernant la méthode de calcul de</w:t>
      </w:r>
      <w:r w:rsidR="0067269A" w:rsidRPr="005D2316">
        <w:rPr>
          <w:lang w:val="fr-FR"/>
        </w:rPr>
        <w:t xml:space="preserve"> la COY</w:t>
      </w:r>
      <w:r w:rsidR="000948A7" w:rsidRPr="005D2316">
        <w:rPr>
          <w:lang w:val="fr-FR"/>
        </w:rPr>
        <w:t xml:space="preserve">U (voir les </w:t>
      </w:r>
      <w:r w:rsidR="0067269A" w:rsidRPr="005D2316">
        <w:rPr>
          <w:lang w:val="fr-FR"/>
        </w:rPr>
        <w:t>paragraphes 2</w:t>
      </w:r>
      <w:r w:rsidR="000948A7" w:rsidRPr="005D2316">
        <w:rPr>
          <w:lang w:val="fr-FR"/>
        </w:rPr>
        <w:t xml:space="preserve">21 à 224 du </w:t>
      </w:r>
      <w:r w:rsidR="0067269A" w:rsidRPr="005D2316">
        <w:rPr>
          <w:lang w:val="fr-FR"/>
        </w:rPr>
        <w:t>document TC</w:t>
      </w:r>
      <w:r w:rsidR="000948A7" w:rsidRPr="005D2316">
        <w:rPr>
          <w:lang w:val="fr-FR"/>
        </w:rPr>
        <w:t>/54/25 “Compte rendu”)</w:t>
      </w:r>
      <w:r w:rsidRPr="005D2316">
        <w:rPr>
          <w:iCs/>
          <w:lang w:val="fr-FR"/>
        </w:rPr>
        <w:t>.</w:t>
      </w:r>
    </w:p>
    <w:p w14:paraId="1A47DC36" w14:textId="77777777" w:rsidR="008422AD" w:rsidRPr="005D2316" w:rsidRDefault="008422AD" w:rsidP="008422AD">
      <w:pPr>
        <w:rPr>
          <w:u w:val="single"/>
          <w:lang w:val="fr-FR" w:eastAsia="ja-JP"/>
        </w:rPr>
      </w:pPr>
    </w:p>
    <w:p w14:paraId="51D7C361" w14:textId="70A5B2F9" w:rsidR="008422AD" w:rsidRPr="005D2316" w:rsidRDefault="008422AD" w:rsidP="008422AD">
      <w:pPr>
        <w:rPr>
          <w:szCs w:val="24"/>
          <w:lang w:val="fr-FR" w:eastAsia="ja-JP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948A7" w:rsidRPr="005D2316">
        <w:rPr>
          <w:lang w:val="fr-FR"/>
        </w:rPr>
        <w:t xml:space="preserve">Des informations complémentaires sur cette question figurent dans le </w:t>
      </w:r>
      <w:r w:rsidR="0067269A" w:rsidRPr="005D2316">
        <w:rPr>
          <w:lang w:val="fr-FR"/>
        </w:rPr>
        <w:t>document TC</w:t>
      </w:r>
      <w:r w:rsidR="000948A7" w:rsidRPr="005D2316">
        <w:rPr>
          <w:lang w:val="fr-FR"/>
        </w:rPr>
        <w:t>/57/7 “Analyse globale de l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homogénéité sur plusieurs années (méthode d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analyse COYU)”</w:t>
      </w:r>
      <w:r w:rsidRPr="005D2316">
        <w:rPr>
          <w:szCs w:val="24"/>
          <w:lang w:val="fr-FR" w:eastAsia="ja-JP"/>
        </w:rPr>
        <w:t>.</w:t>
      </w:r>
    </w:p>
    <w:p w14:paraId="5D6F502E" w14:textId="77777777" w:rsidR="008422AD" w:rsidRPr="005D2316" w:rsidRDefault="008422AD" w:rsidP="008422AD">
      <w:pPr>
        <w:rPr>
          <w:szCs w:val="24"/>
          <w:lang w:val="fr-FR" w:eastAsia="ja-JP"/>
        </w:rPr>
      </w:pPr>
    </w:p>
    <w:p w14:paraId="1263DCCA" w14:textId="0B70AA95" w:rsidR="005A618A" w:rsidRPr="005D2316" w:rsidRDefault="005A618A" w:rsidP="005A618A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948A7" w:rsidRPr="005D2316">
        <w:rPr>
          <w:lang w:val="fr-FR"/>
        </w:rPr>
        <w:t>À sa cinquante</w:t>
      </w:r>
      <w:r w:rsidR="0067269A" w:rsidRPr="005D2316">
        <w:rPr>
          <w:lang w:val="fr-FR"/>
        </w:rPr>
        <w:t>-</w:t>
      </w:r>
      <w:r w:rsidR="000948A7" w:rsidRPr="005D2316">
        <w:rPr>
          <w:lang w:val="fr-FR"/>
        </w:rPr>
        <w:t>sept</w:t>
      </w:r>
      <w:r w:rsidR="0067269A" w:rsidRPr="005D2316">
        <w:rPr>
          <w:lang w:val="fr-FR"/>
        </w:rPr>
        <w:t>ième session</w:t>
      </w:r>
      <w:r w:rsidRPr="005D2316">
        <w:rPr>
          <w:rStyle w:val="FootnoteReference"/>
          <w:lang w:val="fr-FR"/>
        </w:rPr>
        <w:footnoteReference w:id="3"/>
      </w:r>
      <w:r w:rsidR="0072507E" w:rsidRPr="005D2316">
        <w:rPr>
          <w:lang w:val="fr-FR"/>
        </w:rPr>
        <w:t>,</w:t>
      </w:r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le</w:t>
      </w:r>
      <w:r w:rsidR="0067269A" w:rsidRPr="005D2316">
        <w:rPr>
          <w:lang w:val="fr-FR"/>
        </w:rPr>
        <w:t> TC</w:t>
      </w:r>
      <w:r w:rsidR="000948A7" w:rsidRPr="005D2316">
        <w:rPr>
          <w:lang w:val="fr-FR"/>
        </w:rPr>
        <w:t xml:space="preserve"> a noté que le logiciel </w:t>
      </w:r>
      <w:r w:rsidRPr="005D2316">
        <w:rPr>
          <w:lang w:val="fr-FR"/>
        </w:rPr>
        <w:t xml:space="preserve">COYU 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faisait l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objet d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une</w:t>
      </w:r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é</w:t>
      </w:r>
      <w:r w:rsidRPr="005D2316">
        <w:rPr>
          <w:lang w:val="fr-FR"/>
        </w:rPr>
        <w:t xml:space="preserve">valuation </w:t>
      </w:r>
      <w:r w:rsidR="000948A7" w:rsidRPr="005D2316">
        <w:rPr>
          <w:lang w:val="fr-FR"/>
        </w:rPr>
        <w:t>et que sa mise en place au Royaume</w:t>
      </w:r>
      <w:r w:rsidR="0067269A" w:rsidRPr="005D2316">
        <w:rPr>
          <w:lang w:val="fr-FR"/>
        </w:rPr>
        <w:t>-</w:t>
      </w:r>
      <w:r w:rsidR="000948A7" w:rsidRPr="005D2316">
        <w:rPr>
          <w:lang w:val="fr-FR"/>
        </w:rPr>
        <w:t xml:space="preserve">Uni était prévue à partir </w:t>
      </w:r>
      <w:r w:rsidR="0067269A" w:rsidRPr="005D2316">
        <w:rPr>
          <w:lang w:val="fr-FR"/>
        </w:rPr>
        <w:t>de 2022</w:t>
      </w:r>
      <w:r w:rsidRPr="005D2316">
        <w:rPr>
          <w:lang w:val="fr-FR"/>
        </w:rPr>
        <w:t>.</w:t>
      </w:r>
    </w:p>
    <w:p w14:paraId="1C19F053" w14:textId="77777777" w:rsidR="005A618A" w:rsidRPr="005D2316" w:rsidRDefault="005A618A" w:rsidP="005A618A">
      <w:pPr>
        <w:jc w:val="left"/>
        <w:rPr>
          <w:lang w:val="fr-FR"/>
        </w:rPr>
      </w:pPr>
    </w:p>
    <w:p w14:paraId="2A2569CF" w14:textId="281E79A6" w:rsidR="005A618A" w:rsidRPr="005D2316" w:rsidRDefault="005A618A" w:rsidP="005A618A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948A7" w:rsidRPr="005D2316">
        <w:rPr>
          <w:lang w:val="fr-FR"/>
        </w:rPr>
        <w:t>L</w:t>
      </w:r>
      <w:r w:rsidRPr="005D2316">
        <w:rPr>
          <w:lang w:val="fr-FR"/>
        </w:rPr>
        <w:t>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</w:t>
      </w:r>
      <w:r w:rsidR="000948A7" w:rsidRPr="005D2316">
        <w:rPr>
          <w:lang w:val="fr-FR"/>
        </w:rPr>
        <w:t>a noté que les versions d</w:t>
      </w:r>
      <w:r w:rsidR="0067269A" w:rsidRPr="005D2316">
        <w:rPr>
          <w:lang w:val="fr-FR"/>
        </w:rPr>
        <w:t>’</w:t>
      </w:r>
      <w:r w:rsidR="000948A7" w:rsidRPr="005D2316">
        <w:rPr>
          <w:lang w:val="fr-FR"/>
        </w:rPr>
        <w:t>é</w:t>
      </w:r>
      <w:r w:rsidRPr="005D2316">
        <w:rPr>
          <w:lang w:val="fr-FR"/>
        </w:rPr>
        <w:t xml:space="preserve">valuation </w:t>
      </w:r>
      <w:r w:rsidR="000948A7" w:rsidRPr="005D2316">
        <w:rPr>
          <w:lang w:val="fr-FR"/>
        </w:rPr>
        <w:t xml:space="preserve">du logiciel </w:t>
      </w:r>
      <w:r w:rsidRPr="005D2316">
        <w:rPr>
          <w:lang w:val="fr-FR"/>
        </w:rPr>
        <w:t xml:space="preserve">COYU 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="00552905" w:rsidRPr="005D2316">
        <w:rPr>
          <w:lang w:val="fr-FR"/>
        </w:rPr>
        <w:t>ont été fournies e</w:t>
      </w:r>
      <w:r w:rsidRPr="005D2316">
        <w:rPr>
          <w:lang w:val="fr-FR"/>
        </w:rPr>
        <w:t xml:space="preserve">n </w:t>
      </w:r>
      <w:r w:rsidR="00552905" w:rsidRPr="005D2316">
        <w:rPr>
          <w:lang w:val="fr-FR"/>
        </w:rPr>
        <w:t>août</w:t>
      </w:r>
      <w:r w:rsidRPr="005D2316">
        <w:rPr>
          <w:lang w:val="fr-FR"/>
        </w:rPr>
        <w:t> 2021.</w:t>
      </w:r>
    </w:p>
    <w:p w14:paraId="7858F2E0" w14:textId="77777777" w:rsidR="005A618A" w:rsidRPr="005D2316" w:rsidRDefault="005A618A" w:rsidP="005A618A">
      <w:pPr>
        <w:jc w:val="left"/>
        <w:rPr>
          <w:lang w:val="fr-FR"/>
        </w:rPr>
      </w:pPr>
    </w:p>
    <w:p w14:paraId="076A82ED" w14:textId="52F925E9" w:rsidR="005A618A" w:rsidRPr="005D2316" w:rsidRDefault="005A618A" w:rsidP="005A618A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552905" w:rsidRPr="005D2316">
        <w:rPr>
          <w:lang w:val="fr-FR"/>
        </w:rPr>
        <w:t>L</w:t>
      </w:r>
      <w:r w:rsidRPr="005D2316">
        <w:rPr>
          <w:lang w:val="fr-FR"/>
        </w:rPr>
        <w:t>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</w:t>
      </w:r>
      <w:r w:rsidR="00552905" w:rsidRPr="005D2316">
        <w:rPr>
          <w:lang w:val="fr-FR"/>
        </w:rPr>
        <w:t>a noté que les membres de l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 xml:space="preserve">Union </w:t>
      </w:r>
      <w:r w:rsidR="00552905" w:rsidRPr="005D2316">
        <w:rPr>
          <w:lang w:val="fr-FR"/>
        </w:rPr>
        <w:t>ont été invités à participer à la série d</w:t>
      </w:r>
      <w:r w:rsidR="0067269A" w:rsidRPr="005D2316">
        <w:rPr>
          <w:lang w:val="fr-FR"/>
        </w:rPr>
        <w:t>’</w:t>
      </w:r>
      <w:r w:rsidR="00552905" w:rsidRPr="005D2316">
        <w:rPr>
          <w:lang w:val="fr-FR"/>
        </w:rPr>
        <w:t xml:space="preserve">essais sur le logiciel </w:t>
      </w:r>
      <w:r w:rsidRPr="005D2316">
        <w:rPr>
          <w:lang w:val="fr-FR"/>
        </w:rPr>
        <w:t>COYU 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="00552905" w:rsidRPr="005D2316">
        <w:rPr>
          <w:lang w:val="fr-FR"/>
        </w:rPr>
        <w:t xml:space="preserve">et à faire </w:t>
      </w:r>
      <w:r w:rsidR="00594D32" w:rsidRPr="005D2316">
        <w:rPr>
          <w:lang w:val="fr-FR"/>
        </w:rPr>
        <w:t>rapport sur</w:t>
      </w:r>
      <w:r w:rsidR="00552905" w:rsidRPr="005D2316">
        <w:rPr>
          <w:lang w:val="fr-FR"/>
        </w:rPr>
        <w:t xml:space="preserve"> leurs résultats à l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 xml:space="preserve">expert </w:t>
      </w:r>
      <w:r w:rsidR="00552905" w:rsidRPr="005D2316">
        <w:rPr>
          <w:lang w:val="fr-FR"/>
        </w:rPr>
        <w:t>du Royaume</w:t>
      </w:r>
      <w:r w:rsidR="0067269A" w:rsidRPr="005D2316">
        <w:rPr>
          <w:lang w:val="fr-FR"/>
        </w:rPr>
        <w:t>-</w:t>
      </w:r>
      <w:r w:rsidRPr="005D2316">
        <w:rPr>
          <w:lang w:val="fr-FR"/>
        </w:rPr>
        <w:t xml:space="preserve">Uni </w:t>
      </w:r>
      <w:r w:rsidR="00552905" w:rsidRPr="005D2316">
        <w:rPr>
          <w:lang w:val="fr-FR"/>
        </w:rPr>
        <w:t>avant le 3</w:t>
      </w:r>
      <w:r w:rsidR="0067269A" w:rsidRPr="005D2316">
        <w:rPr>
          <w:lang w:val="fr-FR"/>
        </w:rPr>
        <w:t>1 décembre 20</w:t>
      </w:r>
      <w:r w:rsidRPr="005D2316">
        <w:rPr>
          <w:lang w:val="fr-FR"/>
        </w:rPr>
        <w:t>21</w:t>
      </w:r>
      <w:r w:rsidR="0015619C" w:rsidRPr="005D2316">
        <w:rPr>
          <w:lang w:val="fr-FR"/>
        </w:rPr>
        <w:t>.</w:t>
      </w:r>
    </w:p>
    <w:p w14:paraId="1C2D61D7" w14:textId="77777777" w:rsidR="005A618A" w:rsidRPr="005D2316" w:rsidRDefault="005A618A" w:rsidP="005A618A">
      <w:pPr>
        <w:jc w:val="left"/>
        <w:rPr>
          <w:lang w:val="fr-FR"/>
        </w:rPr>
      </w:pPr>
    </w:p>
    <w:p w14:paraId="07A9E197" w14:textId="2BB91D91" w:rsidR="0067269A" w:rsidRPr="005D2316" w:rsidRDefault="005A618A" w:rsidP="005A618A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552905" w:rsidRPr="005D2316">
        <w:rPr>
          <w:lang w:val="fr-FR"/>
        </w:rPr>
        <w:t>Le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a</w:t>
      </w:r>
      <w:r w:rsidR="00552905" w:rsidRPr="005D2316">
        <w:rPr>
          <w:lang w:val="fr-FR"/>
        </w:rPr>
        <w:t xml:space="preserve"> convenu de demander</w:t>
      </w:r>
      <w:r w:rsidR="0067269A" w:rsidRPr="005D2316">
        <w:rPr>
          <w:lang w:val="fr-FR"/>
        </w:rPr>
        <w:t xml:space="preserve"> au TWC</w:t>
      </w:r>
      <w:r w:rsidRPr="005D2316">
        <w:rPr>
          <w:lang w:val="fr-FR"/>
        </w:rPr>
        <w:t xml:space="preserve"> </w:t>
      </w:r>
      <w:r w:rsidR="00552905" w:rsidRPr="005D2316">
        <w:rPr>
          <w:lang w:val="fr-FR"/>
        </w:rPr>
        <w:t>d</w:t>
      </w:r>
      <w:r w:rsidR="0067269A" w:rsidRPr="005D2316">
        <w:rPr>
          <w:lang w:val="fr-FR"/>
        </w:rPr>
        <w:t>’</w:t>
      </w:r>
      <w:r w:rsidR="00552905" w:rsidRPr="005D2316">
        <w:rPr>
          <w:lang w:val="fr-FR"/>
        </w:rPr>
        <w:t>établir un rapport sur les résultats de la série d</w:t>
      </w:r>
      <w:r w:rsidR="0067269A" w:rsidRPr="005D2316">
        <w:rPr>
          <w:lang w:val="fr-FR"/>
        </w:rPr>
        <w:t>’</w:t>
      </w:r>
      <w:r w:rsidR="00552905" w:rsidRPr="005D2316">
        <w:rPr>
          <w:lang w:val="fr-FR"/>
        </w:rPr>
        <w:t xml:space="preserve">essais sur le logiciel COYU </w:t>
      </w:r>
      <w:proofErr w:type="spellStart"/>
      <w:r w:rsidR="00552905"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="00552905" w:rsidRPr="005D2316">
        <w:rPr>
          <w:lang w:val="fr-FR"/>
        </w:rPr>
        <w:t>pour examen par le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, </w:t>
      </w:r>
      <w:r w:rsidR="00552905" w:rsidRPr="005D2316">
        <w:rPr>
          <w:lang w:val="fr-FR"/>
        </w:rPr>
        <w:t>à sa cinquante</w:t>
      </w:r>
      <w:r w:rsidR="0067269A" w:rsidRPr="005D2316">
        <w:rPr>
          <w:lang w:val="fr-FR"/>
        </w:rPr>
        <w:t>-</w:t>
      </w:r>
      <w:r w:rsidR="00552905" w:rsidRPr="005D2316">
        <w:rPr>
          <w:lang w:val="fr-FR"/>
        </w:rPr>
        <w:t>huit</w:t>
      </w:r>
      <w:r w:rsidR="0067269A" w:rsidRPr="005D2316">
        <w:rPr>
          <w:lang w:val="fr-FR"/>
        </w:rPr>
        <w:t>ième session</w:t>
      </w:r>
      <w:r w:rsidRPr="005D2316">
        <w:rPr>
          <w:lang w:val="fr-FR"/>
        </w:rPr>
        <w:t xml:space="preserve">, </w:t>
      </w:r>
      <w:r w:rsidR="00552905" w:rsidRPr="005D2316">
        <w:rPr>
          <w:lang w:val="fr-FR"/>
        </w:rPr>
        <w:t>parallèlement à la ré</w:t>
      </w:r>
      <w:r w:rsidRPr="005D2316">
        <w:rPr>
          <w:lang w:val="fr-FR"/>
        </w:rPr>
        <w:t xml:space="preserve">vision </w:t>
      </w:r>
      <w:r w:rsidR="00552905" w:rsidRPr="005D2316">
        <w:rPr>
          <w:lang w:val="fr-FR"/>
        </w:rPr>
        <w:t>du</w:t>
      </w:r>
      <w:r w:rsidRPr="005D2316">
        <w:rPr>
          <w:lang w:val="fr-FR"/>
        </w:rPr>
        <w:t xml:space="preserve"> document TGP/8 (</w:t>
      </w:r>
      <w:r w:rsidR="00552905" w:rsidRPr="005D2316">
        <w:rPr>
          <w:lang w:val="fr-FR"/>
        </w:rPr>
        <w:t xml:space="preserve">voir le </w:t>
      </w:r>
      <w:r w:rsidR="0067269A" w:rsidRPr="005D2316">
        <w:rPr>
          <w:lang w:val="fr-FR"/>
        </w:rPr>
        <w:t>paragraphe 3</w:t>
      </w:r>
      <w:r w:rsidR="00552905" w:rsidRPr="005D2316">
        <w:rPr>
          <w:lang w:val="fr-FR"/>
        </w:rPr>
        <w:t xml:space="preserve">3 du </w:t>
      </w:r>
      <w:r w:rsidR="0067269A" w:rsidRPr="005D2316">
        <w:rPr>
          <w:lang w:val="fr-FR"/>
        </w:rPr>
        <w:t>document TC</w:t>
      </w:r>
      <w:r w:rsidRPr="005D2316">
        <w:rPr>
          <w:lang w:val="fr-FR"/>
        </w:rPr>
        <w:t>/57/25 “</w:t>
      </w:r>
      <w:r w:rsidR="00552905" w:rsidRPr="005D2316">
        <w:rPr>
          <w:lang w:val="fr-FR"/>
        </w:rPr>
        <w:t>Compte rendu</w:t>
      </w:r>
      <w:r w:rsidRPr="005D2316">
        <w:rPr>
          <w:lang w:val="fr-FR"/>
        </w:rPr>
        <w:t>”).</w:t>
      </w:r>
    </w:p>
    <w:p w14:paraId="28466341" w14:textId="23156AAB" w:rsidR="005A618A" w:rsidRPr="005D2316" w:rsidRDefault="005A618A" w:rsidP="005A618A">
      <w:pPr>
        <w:rPr>
          <w:lang w:val="fr-FR"/>
        </w:rPr>
      </w:pPr>
    </w:p>
    <w:p w14:paraId="2F5A80E4" w14:textId="77777777" w:rsidR="008422AD" w:rsidRPr="005D2316" w:rsidRDefault="008422AD" w:rsidP="008422AD">
      <w:pPr>
        <w:rPr>
          <w:iCs/>
          <w:lang w:val="fr-FR"/>
        </w:rPr>
      </w:pPr>
    </w:p>
    <w:p w14:paraId="3E0F8139" w14:textId="6D895A10" w:rsidR="008422AD" w:rsidRPr="005D2316" w:rsidRDefault="0009599F" w:rsidP="008422AD">
      <w:pPr>
        <w:keepNext/>
        <w:keepLines/>
        <w:outlineLvl w:val="0"/>
        <w:rPr>
          <w:caps/>
          <w:lang w:val="fr-FR"/>
        </w:rPr>
      </w:pPr>
      <w:bookmarkStart w:id="13" w:name="_Toc117002592"/>
      <w:r w:rsidRPr="005D2316">
        <w:rPr>
          <w:caps/>
          <w:lang w:val="fr-FR"/>
        </w:rPr>
        <w:t>F</w:t>
      </w:r>
      <w:r w:rsidR="006E4FA9">
        <w:rPr>
          <w:caps/>
          <w:lang w:val="fr-FR"/>
        </w:rPr>
        <w:t>aits nouveaux concernant les groupes de travail techniques</w:t>
      </w:r>
      <w:bookmarkEnd w:id="13"/>
    </w:p>
    <w:p w14:paraId="73DD2BBD" w14:textId="77777777" w:rsidR="008422AD" w:rsidRPr="005D2316" w:rsidRDefault="008422AD" w:rsidP="008422AD">
      <w:pPr>
        <w:keepNext/>
        <w:keepLines/>
        <w:outlineLvl w:val="0"/>
        <w:rPr>
          <w:rFonts w:cs="Arial"/>
          <w:caps/>
          <w:lang w:val="fr-FR"/>
        </w:rPr>
      </w:pPr>
    </w:p>
    <w:p w14:paraId="06E3EF2B" w14:textId="7ED2B6CD" w:rsidR="008422AD" w:rsidRPr="005D2316" w:rsidRDefault="008422AD" w:rsidP="008422AD">
      <w:pPr>
        <w:keepNext/>
        <w:keepLines/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9599F" w:rsidRPr="005D2316">
        <w:rPr>
          <w:lang w:val="fr-FR"/>
        </w:rPr>
        <w:t>Lors de leurs</w:t>
      </w:r>
      <w:r w:rsidRPr="005D2316">
        <w:rPr>
          <w:lang w:val="fr-FR"/>
        </w:rPr>
        <w:t xml:space="preserve"> sessions </w:t>
      </w:r>
      <w:r w:rsidR="0067269A" w:rsidRPr="005D2316">
        <w:rPr>
          <w:lang w:val="fr-FR"/>
        </w:rPr>
        <w:t>de 2022</w:t>
      </w:r>
      <w:r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TWV</w:t>
      </w:r>
      <w:r w:rsidRPr="005D2316">
        <w:rPr>
          <w:vertAlign w:val="superscript"/>
          <w:lang w:val="fr-FR"/>
        </w:rPr>
        <w:footnoteReference w:id="4"/>
      </w:r>
      <w:r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TWA</w:t>
      </w:r>
      <w:r w:rsidR="0070630F" w:rsidRPr="005D2316">
        <w:rPr>
          <w:vertAlign w:val="superscript"/>
          <w:lang w:val="fr-FR"/>
        </w:rPr>
        <w:footnoteReference w:id="5"/>
      </w:r>
      <w:r w:rsidR="0070630F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TWO</w:t>
      </w:r>
      <w:r w:rsidRPr="005D2316">
        <w:rPr>
          <w:vertAlign w:val="superscript"/>
          <w:lang w:val="fr-FR"/>
        </w:rPr>
        <w:footnoteReference w:id="6"/>
      </w:r>
      <w:r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TWF</w:t>
      </w:r>
      <w:r w:rsidRPr="005D2316">
        <w:rPr>
          <w:vertAlign w:val="superscript"/>
          <w:lang w:val="fr-FR"/>
        </w:rPr>
        <w:footnoteReference w:id="7"/>
      </w:r>
      <w:r w:rsidRPr="005D2316">
        <w:rPr>
          <w:lang w:val="fr-FR"/>
        </w:rPr>
        <w:t xml:space="preserve"> </w:t>
      </w:r>
      <w:r w:rsidR="0009599F" w:rsidRPr="005D2316">
        <w:rPr>
          <w:lang w:val="fr-FR"/>
        </w:rPr>
        <w:t>et</w:t>
      </w:r>
      <w:r w:rsidR="0067269A" w:rsidRPr="005D2316">
        <w:rPr>
          <w:lang w:val="fr-FR"/>
        </w:rPr>
        <w:t xml:space="preserve"> le </w:t>
      </w:r>
      <w:r w:rsidR="0067269A" w:rsidRPr="005D2316">
        <w:rPr>
          <w:snapToGrid w:val="0"/>
          <w:lang w:val="fr-FR"/>
        </w:rPr>
        <w:t>TWM</w:t>
      </w:r>
      <w:r w:rsidR="007915C4" w:rsidRPr="005D2316">
        <w:rPr>
          <w:snapToGrid w:val="0"/>
          <w:vertAlign w:val="superscript"/>
          <w:lang w:val="fr-FR"/>
        </w:rPr>
        <w:footnoteReference w:id="8"/>
      </w:r>
      <w:r w:rsidR="0009599F" w:rsidRPr="005D2316">
        <w:rPr>
          <w:snapToGrid w:val="0"/>
          <w:lang w:val="fr-FR"/>
        </w:rPr>
        <w:t xml:space="preserve"> ont examiné le </w:t>
      </w:r>
      <w:r w:rsidRPr="005D2316">
        <w:rPr>
          <w:lang w:val="fr-FR"/>
        </w:rPr>
        <w:t>document TWP/</w:t>
      </w:r>
      <w:r w:rsidR="0070630F" w:rsidRPr="005D2316">
        <w:rPr>
          <w:lang w:val="fr-FR"/>
        </w:rPr>
        <w:t>6</w:t>
      </w:r>
      <w:r w:rsidRPr="005D2316">
        <w:rPr>
          <w:lang w:val="fr-FR"/>
        </w:rPr>
        <w:t>/11 “</w:t>
      </w:r>
      <w:r w:rsidR="008F21C3" w:rsidRPr="005D2316">
        <w:rPr>
          <w:lang w:val="fr-FR"/>
        </w:rPr>
        <w:t>Analyse globale de l</w:t>
      </w:r>
      <w:r w:rsidR="0067269A" w:rsidRPr="005D2316">
        <w:rPr>
          <w:lang w:val="fr-FR"/>
        </w:rPr>
        <w:t>’</w:t>
      </w:r>
      <w:r w:rsidR="008F21C3" w:rsidRPr="005D2316">
        <w:rPr>
          <w:lang w:val="fr-FR"/>
        </w:rPr>
        <w:t>homogénéité sur plusieurs années (méthode d</w:t>
      </w:r>
      <w:r w:rsidR="0067269A" w:rsidRPr="005D2316">
        <w:rPr>
          <w:lang w:val="fr-FR"/>
        </w:rPr>
        <w:t>’</w:t>
      </w:r>
      <w:r w:rsidR="008F21C3" w:rsidRPr="005D2316">
        <w:rPr>
          <w:lang w:val="fr-FR"/>
        </w:rPr>
        <w:t>analyse COYU)”</w:t>
      </w:r>
      <w:r w:rsidRPr="005D2316">
        <w:rPr>
          <w:lang w:val="fr-FR"/>
        </w:rPr>
        <w:t xml:space="preserve"> (</w:t>
      </w:r>
      <w:r w:rsidR="0009599F" w:rsidRPr="005D2316">
        <w:rPr>
          <w:lang w:val="fr-FR"/>
        </w:rPr>
        <w:t>voir l</w:t>
      </w:r>
      <w:r w:rsidRPr="005D2316">
        <w:rPr>
          <w:lang w:val="fr-FR"/>
        </w:rPr>
        <w:t>e</w:t>
      </w:r>
      <w:r w:rsidR="0009599F" w:rsidRPr="005D2316">
        <w:rPr>
          <w:lang w:val="fr-FR"/>
        </w:rPr>
        <w:t>s</w:t>
      </w:r>
      <w:r w:rsidRPr="005D2316">
        <w:rPr>
          <w:lang w:val="fr-FR"/>
        </w:rPr>
        <w:t xml:space="preserve"> documents TWV/5</w:t>
      </w:r>
      <w:r w:rsidR="0067537F" w:rsidRPr="005D2316">
        <w:rPr>
          <w:lang w:val="fr-FR"/>
        </w:rPr>
        <w:t>6</w:t>
      </w:r>
      <w:r w:rsidRPr="005D2316">
        <w:rPr>
          <w:lang w:val="fr-FR"/>
        </w:rPr>
        <w:t>/</w:t>
      </w:r>
      <w:r w:rsidR="0067537F" w:rsidRPr="005D2316">
        <w:rPr>
          <w:lang w:val="fr-FR"/>
        </w:rPr>
        <w:t>22</w:t>
      </w:r>
      <w:r w:rsidRPr="005D2316">
        <w:rPr>
          <w:lang w:val="fr-FR"/>
        </w:rPr>
        <w:t xml:space="preserve"> “</w:t>
      </w:r>
      <w:r w:rsidR="0009599F" w:rsidRPr="005D2316">
        <w:rPr>
          <w:lang w:val="fr-FR"/>
        </w:rPr>
        <w:t>Compte rendu</w:t>
      </w:r>
      <w:r w:rsidRPr="005D2316">
        <w:rPr>
          <w:lang w:val="fr-FR"/>
        </w:rPr>
        <w:t>”, paragraph</w:t>
      </w:r>
      <w:r w:rsidR="008F21C3" w:rsidRPr="005D2316">
        <w:rPr>
          <w:lang w:val="fr-FR"/>
        </w:rPr>
        <w:t>e</w:t>
      </w:r>
      <w:r w:rsidRPr="005D2316">
        <w:rPr>
          <w:lang w:val="fr-FR"/>
        </w:rPr>
        <w:t>s </w:t>
      </w:r>
      <w:r w:rsidR="0067537F" w:rsidRPr="005D2316">
        <w:rPr>
          <w:lang w:val="fr-FR"/>
        </w:rPr>
        <w:t>12</w:t>
      </w:r>
      <w:r w:rsidRPr="005D2316">
        <w:rPr>
          <w:lang w:val="fr-FR"/>
        </w:rPr>
        <w:t xml:space="preserve"> </w:t>
      </w:r>
      <w:r w:rsidR="008F21C3" w:rsidRPr="005D2316">
        <w:rPr>
          <w:lang w:val="fr-FR"/>
        </w:rPr>
        <w:t>à</w:t>
      </w:r>
      <w:r w:rsidRPr="005D2316">
        <w:rPr>
          <w:lang w:val="fr-FR"/>
        </w:rPr>
        <w:t xml:space="preserve"> </w:t>
      </w:r>
      <w:r w:rsidR="0067537F" w:rsidRPr="005D2316">
        <w:rPr>
          <w:lang w:val="fr-FR"/>
        </w:rPr>
        <w:t>15</w:t>
      </w:r>
      <w:r w:rsidR="00A2333E" w:rsidRPr="005D2316">
        <w:rPr>
          <w:lang w:val="fr-FR"/>
        </w:rPr>
        <w:t xml:space="preserve">; </w:t>
      </w:r>
      <w:r w:rsidR="0067537F" w:rsidRPr="005D2316">
        <w:rPr>
          <w:lang w:val="fr-FR"/>
        </w:rPr>
        <w:t xml:space="preserve"> TWA/51/11 </w:t>
      </w:r>
      <w:r w:rsidR="0009599F" w:rsidRPr="005D2316">
        <w:rPr>
          <w:lang w:val="fr-FR"/>
        </w:rPr>
        <w:t>“Compte rendu”</w:t>
      </w:r>
      <w:r w:rsidR="0067537F" w:rsidRPr="005D2316">
        <w:rPr>
          <w:lang w:val="fr-FR"/>
        </w:rPr>
        <w:t xml:space="preserve">, </w:t>
      </w:r>
      <w:r w:rsidR="0067269A" w:rsidRPr="005D2316">
        <w:rPr>
          <w:lang w:val="fr-FR"/>
        </w:rPr>
        <w:t>paragraphes 3</w:t>
      </w:r>
      <w:r w:rsidR="0067537F" w:rsidRPr="005D2316">
        <w:rPr>
          <w:lang w:val="fr-FR"/>
        </w:rPr>
        <w:t xml:space="preserve">0 </w:t>
      </w:r>
      <w:r w:rsidR="008F21C3" w:rsidRPr="005D2316">
        <w:rPr>
          <w:lang w:val="fr-FR"/>
        </w:rPr>
        <w:t>à</w:t>
      </w:r>
      <w:r w:rsidR="0067537F" w:rsidRPr="005D2316">
        <w:rPr>
          <w:lang w:val="fr-FR"/>
        </w:rPr>
        <w:t xml:space="preserve"> 35</w:t>
      </w:r>
      <w:r w:rsidR="00A2333E" w:rsidRPr="005D2316">
        <w:rPr>
          <w:lang w:val="fr-FR"/>
        </w:rPr>
        <w:t xml:space="preserve">; </w:t>
      </w:r>
      <w:r w:rsidRPr="005D2316">
        <w:rPr>
          <w:lang w:val="fr-FR"/>
        </w:rPr>
        <w:t xml:space="preserve"> TWO/5</w:t>
      </w:r>
      <w:r w:rsidR="00D27BB4" w:rsidRPr="005D2316">
        <w:rPr>
          <w:lang w:val="fr-FR"/>
        </w:rPr>
        <w:t>4</w:t>
      </w:r>
      <w:r w:rsidRPr="005D2316">
        <w:rPr>
          <w:lang w:val="fr-FR"/>
        </w:rPr>
        <w:t>/</w:t>
      </w:r>
      <w:r w:rsidR="00D27BB4" w:rsidRPr="005D2316">
        <w:rPr>
          <w:lang w:val="fr-FR"/>
        </w:rPr>
        <w:t>6</w:t>
      </w:r>
      <w:r w:rsidRPr="005D2316">
        <w:rPr>
          <w:lang w:val="fr-FR"/>
        </w:rPr>
        <w:t xml:space="preserve"> </w:t>
      </w:r>
      <w:r w:rsidR="0009599F" w:rsidRPr="005D2316">
        <w:rPr>
          <w:lang w:val="fr-FR"/>
        </w:rPr>
        <w:t>“Compte rendu”</w:t>
      </w:r>
      <w:r w:rsidRPr="005D2316">
        <w:rPr>
          <w:lang w:val="fr-FR"/>
        </w:rPr>
        <w:t xml:space="preserve">, </w:t>
      </w:r>
      <w:r w:rsidR="0067269A" w:rsidRPr="005D2316">
        <w:rPr>
          <w:lang w:val="fr-FR"/>
        </w:rPr>
        <w:t>paragraphes 2</w:t>
      </w:r>
      <w:r w:rsidRPr="005D2316">
        <w:rPr>
          <w:lang w:val="fr-FR"/>
        </w:rPr>
        <w:t xml:space="preserve">9 </w:t>
      </w:r>
      <w:r w:rsidR="008F21C3" w:rsidRPr="005D2316">
        <w:rPr>
          <w:lang w:val="fr-FR"/>
        </w:rPr>
        <w:t>à</w:t>
      </w:r>
      <w:r w:rsidRPr="005D2316">
        <w:rPr>
          <w:lang w:val="fr-FR"/>
        </w:rPr>
        <w:t xml:space="preserve"> 33</w:t>
      </w:r>
      <w:r w:rsidR="00A2333E" w:rsidRPr="005D2316">
        <w:rPr>
          <w:lang w:val="fr-FR"/>
        </w:rPr>
        <w:t xml:space="preserve">; </w:t>
      </w:r>
      <w:r w:rsidRPr="005D2316">
        <w:rPr>
          <w:lang w:val="fr-FR"/>
        </w:rPr>
        <w:t xml:space="preserve"> TWF/5</w:t>
      </w:r>
      <w:r w:rsidR="00447E75" w:rsidRPr="005D2316">
        <w:rPr>
          <w:lang w:val="fr-FR"/>
        </w:rPr>
        <w:t>3</w:t>
      </w:r>
      <w:r w:rsidRPr="005D2316">
        <w:rPr>
          <w:lang w:val="fr-FR"/>
        </w:rPr>
        <w:t>/1</w:t>
      </w:r>
      <w:r w:rsidR="00447E75" w:rsidRPr="005D2316">
        <w:rPr>
          <w:lang w:val="fr-FR"/>
        </w:rPr>
        <w:t>4</w:t>
      </w:r>
      <w:r w:rsidRPr="005D2316">
        <w:rPr>
          <w:lang w:val="fr-FR"/>
        </w:rPr>
        <w:t xml:space="preserve"> </w:t>
      </w:r>
      <w:r w:rsidR="0009599F" w:rsidRPr="005D2316">
        <w:rPr>
          <w:lang w:val="fr-FR"/>
        </w:rPr>
        <w:t>“Compte rendu”</w:t>
      </w:r>
      <w:r w:rsidRPr="005D2316">
        <w:rPr>
          <w:lang w:val="fr-FR"/>
        </w:rPr>
        <w:t xml:space="preserve">, </w:t>
      </w:r>
      <w:r w:rsidR="0067269A" w:rsidRPr="005D2316">
        <w:rPr>
          <w:lang w:val="fr-FR"/>
        </w:rPr>
        <w:t>paragraphes 1</w:t>
      </w:r>
      <w:r w:rsidR="00447E75" w:rsidRPr="005D2316">
        <w:rPr>
          <w:lang w:val="fr-FR"/>
        </w:rPr>
        <w:t>4</w:t>
      </w:r>
      <w:r w:rsidRPr="005D2316">
        <w:rPr>
          <w:lang w:val="fr-FR"/>
        </w:rPr>
        <w:t xml:space="preserve"> </w:t>
      </w:r>
      <w:r w:rsidR="008F21C3" w:rsidRPr="005D2316">
        <w:rPr>
          <w:lang w:val="fr-FR"/>
        </w:rPr>
        <w:t>à</w:t>
      </w:r>
      <w:r w:rsidRPr="005D2316">
        <w:rPr>
          <w:lang w:val="fr-FR"/>
        </w:rPr>
        <w:t xml:space="preserve"> </w:t>
      </w:r>
      <w:r w:rsidR="00447E75" w:rsidRPr="005D2316">
        <w:rPr>
          <w:lang w:val="fr-FR"/>
        </w:rPr>
        <w:t>18</w:t>
      </w:r>
      <w:r w:rsidR="00A2333E" w:rsidRPr="005D2316">
        <w:rPr>
          <w:lang w:val="fr-FR"/>
        </w:rPr>
        <w:t xml:space="preserve">; </w:t>
      </w:r>
      <w:r w:rsidR="00F6677A" w:rsidRPr="005D2316">
        <w:rPr>
          <w:lang w:val="fr-FR"/>
        </w:rPr>
        <w:t xml:space="preserve"> </w:t>
      </w:r>
      <w:r w:rsidR="008F21C3" w:rsidRPr="005D2316">
        <w:rPr>
          <w:lang w:val="fr-FR"/>
        </w:rPr>
        <w:t>et</w:t>
      </w:r>
      <w:r w:rsidR="00F6677A" w:rsidRPr="005D2316">
        <w:rPr>
          <w:lang w:val="fr-FR"/>
        </w:rPr>
        <w:t xml:space="preserve"> TWM/1/26 </w:t>
      </w:r>
      <w:r w:rsidR="0009599F" w:rsidRPr="005D2316">
        <w:rPr>
          <w:lang w:val="fr-FR"/>
        </w:rPr>
        <w:t>“Compte rendu”</w:t>
      </w:r>
      <w:r w:rsidR="00F6677A" w:rsidRPr="005D2316">
        <w:rPr>
          <w:lang w:val="fr-FR"/>
        </w:rPr>
        <w:t xml:space="preserve">, </w:t>
      </w:r>
      <w:r w:rsidR="0067269A" w:rsidRPr="005D2316">
        <w:rPr>
          <w:lang w:val="fr-FR"/>
        </w:rPr>
        <w:t>paragraphes 3</w:t>
      </w:r>
      <w:r w:rsidR="00F6677A" w:rsidRPr="005D2316">
        <w:rPr>
          <w:lang w:val="fr-FR"/>
        </w:rPr>
        <w:t xml:space="preserve">7 </w:t>
      </w:r>
      <w:r w:rsidR="008F21C3" w:rsidRPr="005D2316">
        <w:rPr>
          <w:lang w:val="fr-FR"/>
        </w:rPr>
        <w:t>à</w:t>
      </w:r>
      <w:r w:rsidR="00F6677A" w:rsidRPr="005D2316">
        <w:rPr>
          <w:lang w:val="fr-FR"/>
        </w:rPr>
        <w:t xml:space="preserve"> 42</w:t>
      </w:r>
      <w:r w:rsidRPr="005D2316">
        <w:rPr>
          <w:lang w:val="fr-FR"/>
        </w:rPr>
        <w:t>)</w:t>
      </w:r>
      <w:r w:rsidRPr="005D2316">
        <w:rPr>
          <w:lang w:val="fr-FR" w:eastAsia="ja-JP"/>
        </w:rPr>
        <w:t>.</w:t>
      </w:r>
    </w:p>
    <w:p w14:paraId="715B01AF" w14:textId="77777777" w:rsidR="008422AD" w:rsidRPr="005D2316" w:rsidRDefault="008422AD" w:rsidP="008422AD">
      <w:pPr>
        <w:rPr>
          <w:snapToGrid w:val="0"/>
          <w:lang w:val="fr-FR"/>
        </w:rPr>
      </w:pPr>
    </w:p>
    <w:p w14:paraId="65A48EB0" w14:textId="00E09FD5" w:rsidR="0067269A" w:rsidRPr="005D2316" w:rsidRDefault="008422AD" w:rsidP="008422AD">
      <w:pPr>
        <w:rPr>
          <w:rFonts w:cs="Arial"/>
          <w:lang w:val="fr-FR"/>
        </w:rPr>
      </w:pPr>
      <w:r w:rsidRPr="005D2316">
        <w:rPr>
          <w:snapToGrid w:val="0"/>
          <w:lang w:val="fr-FR"/>
        </w:rPr>
        <w:fldChar w:fldCharType="begin"/>
      </w:r>
      <w:r w:rsidRPr="005D2316">
        <w:rPr>
          <w:snapToGrid w:val="0"/>
          <w:lang w:val="fr-FR"/>
        </w:rPr>
        <w:instrText xml:space="preserve"> AUTONUM  </w:instrText>
      </w:r>
      <w:r w:rsidRPr="005D2316">
        <w:rPr>
          <w:snapToGrid w:val="0"/>
          <w:lang w:val="fr-FR"/>
        </w:rPr>
        <w:fldChar w:fldCharType="end"/>
      </w:r>
      <w:r w:rsidRPr="005D2316">
        <w:rPr>
          <w:snapToGrid w:val="0"/>
          <w:lang w:val="fr-FR"/>
        </w:rPr>
        <w:tab/>
      </w:r>
      <w:r w:rsidR="008F21C3" w:rsidRPr="005D2316">
        <w:rPr>
          <w:snapToGrid w:val="0"/>
          <w:lang w:val="fr-FR"/>
        </w:rPr>
        <w:t>L</w:t>
      </w:r>
      <w:r w:rsidRPr="005D2316">
        <w:rPr>
          <w:lang w:val="fr-FR"/>
        </w:rPr>
        <w:t>e TWV</w:t>
      </w:r>
      <w:r w:rsidR="0015619C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TWA</w:t>
      </w:r>
      <w:r w:rsidR="0015619C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TWO</w:t>
      </w:r>
      <w:r w:rsidR="00D644CD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TWF</w:t>
      </w:r>
      <w:r w:rsidRPr="005D2316">
        <w:rPr>
          <w:lang w:val="fr-FR"/>
        </w:rPr>
        <w:t xml:space="preserve"> </w:t>
      </w:r>
      <w:r w:rsidR="008F21C3" w:rsidRPr="005D2316">
        <w:rPr>
          <w:lang w:val="fr-FR"/>
        </w:rPr>
        <w:t>et</w:t>
      </w:r>
      <w:r w:rsidR="0067269A" w:rsidRPr="005D2316">
        <w:rPr>
          <w:lang w:val="fr-FR"/>
        </w:rPr>
        <w:t xml:space="preserve"> le TWM</w:t>
      </w:r>
      <w:r w:rsidR="00D644CD" w:rsidRPr="005D2316">
        <w:rPr>
          <w:lang w:val="fr-FR"/>
        </w:rPr>
        <w:t xml:space="preserve"> </w:t>
      </w:r>
      <w:r w:rsidR="008F21C3" w:rsidRPr="005D2316">
        <w:rPr>
          <w:lang w:val="fr-FR"/>
        </w:rPr>
        <w:t xml:space="preserve">ont </w:t>
      </w:r>
      <w:r w:rsidR="0015619C" w:rsidRPr="005D2316">
        <w:rPr>
          <w:rFonts w:cs="Arial"/>
          <w:lang w:val="fr-FR"/>
        </w:rPr>
        <w:t>not</w:t>
      </w:r>
      <w:r w:rsidR="008F21C3" w:rsidRPr="005D2316">
        <w:rPr>
          <w:rFonts w:cs="Arial"/>
          <w:lang w:val="fr-FR"/>
        </w:rPr>
        <w:t>é que le logiciel</w:t>
      </w:r>
      <w:r w:rsidR="0015619C" w:rsidRPr="005D2316">
        <w:rPr>
          <w:rFonts w:cs="Arial"/>
          <w:lang w:val="fr-FR"/>
        </w:rPr>
        <w:t xml:space="preserve"> COYU </w:t>
      </w:r>
      <w:proofErr w:type="spellStart"/>
      <w:r w:rsidR="0015619C" w:rsidRPr="005D2316">
        <w:rPr>
          <w:rFonts w:cs="Arial"/>
          <w:lang w:val="fr-FR"/>
        </w:rPr>
        <w:t>Splines</w:t>
      </w:r>
      <w:proofErr w:type="spellEnd"/>
      <w:r w:rsidR="0015619C" w:rsidRPr="005D2316">
        <w:rPr>
          <w:rFonts w:cs="Arial"/>
          <w:lang w:val="fr-FR"/>
        </w:rPr>
        <w:t xml:space="preserve"> </w:t>
      </w:r>
      <w:r w:rsidR="008F21C3" w:rsidRPr="005D2316">
        <w:rPr>
          <w:rFonts w:cs="Arial"/>
          <w:lang w:val="fr-FR"/>
        </w:rPr>
        <w:t>allait faire l</w:t>
      </w:r>
      <w:r w:rsidR="0067269A" w:rsidRPr="005D2316">
        <w:rPr>
          <w:rFonts w:cs="Arial"/>
          <w:lang w:val="fr-FR"/>
        </w:rPr>
        <w:t>’</w:t>
      </w:r>
      <w:r w:rsidR="008F21C3" w:rsidRPr="005D2316">
        <w:rPr>
          <w:rFonts w:cs="Arial"/>
          <w:lang w:val="fr-FR"/>
        </w:rPr>
        <w:t>objet d</w:t>
      </w:r>
      <w:r w:rsidR="0067269A" w:rsidRPr="005D2316">
        <w:rPr>
          <w:rFonts w:cs="Arial"/>
          <w:lang w:val="fr-FR"/>
        </w:rPr>
        <w:t>’</w:t>
      </w:r>
      <w:r w:rsidR="008F21C3" w:rsidRPr="005D2316">
        <w:rPr>
          <w:rFonts w:cs="Arial"/>
          <w:lang w:val="fr-FR"/>
        </w:rPr>
        <w:t>une é</w:t>
      </w:r>
      <w:r w:rsidR="0015619C" w:rsidRPr="005D2316">
        <w:rPr>
          <w:rFonts w:cs="Arial"/>
          <w:lang w:val="fr-FR"/>
        </w:rPr>
        <w:t xml:space="preserve">valuation </w:t>
      </w:r>
      <w:r w:rsidR="008F21C3" w:rsidRPr="005D2316">
        <w:rPr>
          <w:rFonts w:cs="Arial"/>
          <w:lang w:val="fr-FR"/>
        </w:rPr>
        <w:t>et que sa mise en place était prévue au Royaume</w:t>
      </w:r>
      <w:r w:rsidR="0067269A" w:rsidRPr="005D2316">
        <w:rPr>
          <w:rFonts w:cs="Arial"/>
          <w:lang w:val="fr-FR"/>
        </w:rPr>
        <w:t>-</w:t>
      </w:r>
      <w:r w:rsidR="008F21C3" w:rsidRPr="005D2316">
        <w:rPr>
          <w:rFonts w:cs="Arial"/>
          <w:lang w:val="fr-FR"/>
        </w:rPr>
        <w:t xml:space="preserve">Uni à partir </w:t>
      </w:r>
      <w:r w:rsidR="0067269A" w:rsidRPr="005D2316">
        <w:rPr>
          <w:rFonts w:cs="Arial"/>
          <w:lang w:val="fr-FR"/>
        </w:rPr>
        <w:t>de 2022</w:t>
      </w:r>
      <w:r w:rsidR="001F2660" w:rsidRPr="005D2316">
        <w:rPr>
          <w:rFonts w:cs="Arial"/>
          <w:lang w:val="fr-FR"/>
        </w:rPr>
        <w:t>.</w:t>
      </w:r>
      <w:r w:rsidR="0067269A" w:rsidRPr="005D2316">
        <w:rPr>
          <w:rFonts w:cs="Arial"/>
          <w:lang w:val="fr-FR"/>
        </w:rPr>
        <w:t xml:space="preserve"> </w:t>
      </w:r>
      <w:r w:rsidR="00A2333E" w:rsidRPr="005D2316">
        <w:rPr>
          <w:rFonts w:cs="Arial"/>
          <w:lang w:val="fr-FR"/>
        </w:rPr>
        <w:t xml:space="preserve"> </w:t>
      </w:r>
      <w:r w:rsidR="0067269A" w:rsidRPr="005D2316">
        <w:rPr>
          <w:lang w:val="fr-FR"/>
        </w:rPr>
        <w:t>Le</w:t>
      </w:r>
      <w:r w:rsidR="0067269A" w:rsidRPr="005D2316">
        <w:rPr>
          <w:rFonts w:cs="Arial"/>
          <w:lang w:val="fr-FR"/>
        </w:rPr>
        <w:t> </w:t>
      </w:r>
      <w:r w:rsidR="0067269A" w:rsidRPr="005D2316">
        <w:rPr>
          <w:lang w:val="fr-FR"/>
        </w:rPr>
        <w:t>TWV</w:t>
      </w:r>
      <w:r w:rsidR="008F21C3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TWA</w:t>
      </w:r>
      <w:r w:rsidR="008F21C3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TWO</w:t>
      </w:r>
      <w:r w:rsidR="008F21C3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TWF</w:t>
      </w:r>
      <w:r w:rsidR="008F21C3" w:rsidRPr="005D2316">
        <w:rPr>
          <w:lang w:val="fr-FR"/>
        </w:rPr>
        <w:t xml:space="preserve"> et</w:t>
      </w:r>
      <w:r w:rsidR="0067269A" w:rsidRPr="005D2316">
        <w:rPr>
          <w:lang w:val="fr-FR"/>
        </w:rPr>
        <w:t xml:space="preserve"> le TWM</w:t>
      </w:r>
      <w:r w:rsidR="008F21C3" w:rsidRPr="005D2316">
        <w:rPr>
          <w:lang w:val="fr-FR"/>
        </w:rPr>
        <w:t xml:space="preserve"> ont noté que</w:t>
      </w:r>
      <w:r w:rsidR="0015619C" w:rsidRPr="005D2316">
        <w:rPr>
          <w:rFonts w:cs="Arial"/>
          <w:lang w:val="fr-FR"/>
        </w:rPr>
        <w:t xml:space="preserve"> </w:t>
      </w:r>
      <w:r w:rsidR="008F21C3" w:rsidRPr="005D2316">
        <w:rPr>
          <w:rFonts w:cs="Arial"/>
          <w:lang w:val="fr-FR"/>
        </w:rPr>
        <w:t>des versions d</w:t>
      </w:r>
      <w:r w:rsidR="0067269A" w:rsidRPr="005D2316">
        <w:rPr>
          <w:rFonts w:cs="Arial"/>
          <w:lang w:val="fr-FR"/>
        </w:rPr>
        <w:t>’</w:t>
      </w:r>
      <w:r w:rsidR="008F21C3" w:rsidRPr="005D2316">
        <w:rPr>
          <w:rFonts w:cs="Arial"/>
          <w:lang w:val="fr-FR"/>
        </w:rPr>
        <w:t>é</w:t>
      </w:r>
      <w:r w:rsidR="0015619C" w:rsidRPr="005D2316">
        <w:rPr>
          <w:rFonts w:cs="Arial"/>
          <w:lang w:val="fr-FR"/>
        </w:rPr>
        <w:t xml:space="preserve">valuation </w:t>
      </w:r>
      <w:r w:rsidR="008F21C3" w:rsidRPr="005D2316">
        <w:rPr>
          <w:rFonts w:cs="Arial"/>
          <w:lang w:val="fr-FR"/>
        </w:rPr>
        <w:t xml:space="preserve">du logiciel </w:t>
      </w:r>
      <w:r w:rsidR="0015619C" w:rsidRPr="005D2316">
        <w:rPr>
          <w:rFonts w:cs="Arial"/>
          <w:lang w:val="fr-FR"/>
        </w:rPr>
        <w:t xml:space="preserve">COYU </w:t>
      </w:r>
      <w:proofErr w:type="spellStart"/>
      <w:r w:rsidR="0015619C" w:rsidRPr="005D2316">
        <w:rPr>
          <w:rFonts w:cs="Arial"/>
          <w:lang w:val="fr-FR"/>
        </w:rPr>
        <w:t>Splines</w:t>
      </w:r>
      <w:proofErr w:type="spellEnd"/>
      <w:r w:rsidR="0015619C" w:rsidRPr="005D2316">
        <w:rPr>
          <w:rFonts w:cs="Arial"/>
          <w:lang w:val="fr-FR"/>
        </w:rPr>
        <w:t xml:space="preserve"> </w:t>
      </w:r>
      <w:r w:rsidR="008F21C3" w:rsidRPr="005D2316">
        <w:rPr>
          <w:rFonts w:cs="Arial"/>
          <w:lang w:val="fr-FR"/>
        </w:rPr>
        <w:t xml:space="preserve">avaient été fournies en </w:t>
      </w:r>
      <w:r w:rsidR="0067269A" w:rsidRPr="005D2316">
        <w:rPr>
          <w:rFonts w:cs="Arial"/>
          <w:lang w:val="fr-FR"/>
        </w:rPr>
        <w:t>août 20</w:t>
      </w:r>
      <w:r w:rsidR="0015619C" w:rsidRPr="005D2316">
        <w:rPr>
          <w:rFonts w:cs="Arial"/>
          <w:lang w:val="fr-FR"/>
        </w:rPr>
        <w:t>21.</w:t>
      </w:r>
    </w:p>
    <w:p w14:paraId="3A47BFA8" w14:textId="1B0338BE" w:rsidR="0015619C" w:rsidRPr="005D2316" w:rsidRDefault="0015619C" w:rsidP="008422AD">
      <w:pPr>
        <w:rPr>
          <w:rFonts w:cs="Arial"/>
          <w:lang w:val="fr-FR"/>
        </w:rPr>
      </w:pPr>
    </w:p>
    <w:p w14:paraId="6D9075C8" w14:textId="43EB6F69" w:rsidR="0015619C" w:rsidRPr="005D2316" w:rsidRDefault="008422AD" w:rsidP="008422AD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967906" w:rsidRPr="005D2316">
        <w:rPr>
          <w:lang w:val="fr-FR"/>
        </w:rPr>
        <w:t>Le TWV,</w:t>
      </w:r>
      <w:r w:rsidR="0067269A" w:rsidRPr="005D2316">
        <w:rPr>
          <w:lang w:val="fr-FR"/>
        </w:rPr>
        <w:t xml:space="preserve"> le TWA</w:t>
      </w:r>
      <w:r w:rsidR="00967906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TWO</w:t>
      </w:r>
      <w:r w:rsidR="00967906" w:rsidRPr="005D2316">
        <w:rPr>
          <w:lang w:val="fr-FR"/>
        </w:rPr>
        <w:t>,</w:t>
      </w:r>
      <w:r w:rsidR="0067269A" w:rsidRPr="005D2316">
        <w:rPr>
          <w:lang w:val="fr-FR"/>
        </w:rPr>
        <w:t xml:space="preserve"> le TWF</w:t>
      </w:r>
      <w:r w:rsidR="00967906" w:rsidRPr="005D2316">
        <w:rPr>
          <w:lang w:val="fr-FR"/>
        </w:rPr>
        <w:t xml:space="preserve"> et</w:t>
      </w:r>
      <w:r w:rsidR="0067269A" w:rsidRPr="005D2316">
        <w:rPr>
          <w:lang w:val="fr-FR"/>
        </w:rPr>
        <w:t xml:space="preserve"> le TWM</w:t>
      </w:r>
      <w:r w:rsidR="00967906" w:rsidRPr="005D2316">
        <w:rPr>
          <w:lang w:val="fr-FR"/>
        </w:rPr>
        <w:t xml:space="preserve"> ont noté l</w:t>
      </w:r>
      <w:r w:rsidR="0067269A" w:rsidRPr="005D2316">
        <w:rPr>
          <w:lang w:val="fr-FR"/>
        </w:rPr>
        <w:t>’</w:t>
      </w:r>
      <w:r w:rsidR="0015619C" w:rsidRPr="005D2316">
        <w:rPr>
          <w:lang w:val="fr-FR"/>
        </w:rPr>
        <w:t xml:space="preserve">invitation </w:t>
      </w:r>
      <w:r w:rsidR="00967906" w:rsidRPr="005D2316">
        <w:rPr>
          <w:lang w:val="fr-FR"/>
        </w:rPr>
        <w:t>adressée aux membres de l</w:t>
      </w:r>
      <w:r w:rsidR="0067269A" w:rsidRPr="005D2316">
        <w:rPr>
          <w:lang w:val="fr-FR"/>
        </w:rPr>
        <w:t>’</w:t>
      </w:r>
      <w:r w:rsidR="0015619C" w:rsidRPr="005D2316">
        <w:rPr>
          <w:lang w:val="fr-FR"/>
        </w:rPr>
        <w:t xml:space="preserve">Union </w:t>
      </w:r>
      <w:r w:rsidR="00967906" w:rsidRPr="005D2316">
        <w:rPr>
          <w:lang w:val="fr-FR"/>
        </w:rPr>
        <w:t>afin qu</w:t>
      </w:r>
      <w:r w:rsidR="0067269A" w:rsidRPr="005D2316">
        <w:rPr>
          <w:lang w:val="fr-FR"/>
        </w:rPr>
        <w:t>’</w:t>
      </w:r>
      <w:r w:rsidR="00967906" w:rsidRPr="005D2316">
        <w:rPr>
          <w:lang w:val="fr-FR"/>
        </w:rPr>
        <w:t>ils participent à une série d</w:t>
      </w:r>
      <w:r w:rsidR="0067269A" w:rsidRPr="005D2316">
        <w:rPr>
          <w:lang w:val="fr-FR"/>
        </w:rPr>
        <w:t>’</w:t>
      </w:r>
      <w:r w:rsidR="00967906" w:rsidRPr="005D2316">
        <w:rPr>
          <w:lang w:val="fr-FR"/>
        </w:rPr>
        <w:t>essais sur le logiciel</w:t>
      </w:r>
      <w:r w:rsidR="0015619C" w:rsidRPr="005D2316">
        <w:rPr>
          <w:lang w:val="fr-FR"/>
        </w:rPr>
        <w:t xml:space="preserve"> COYU </w:t>
      </w:r>
      <w:proofErr w:type="spellStart"/>
      <w:r w:rsidR="0015619C" w:rsidRPr="005D2316">
        <w:rPr>
          <w:lang w:val="fr-FR"/>
        </w:rPr>
        <w:t>Splines</w:t>
      </w:r>
      <w:proofErr w:type="spellEnd"/>
      <w:r w:rsidR="0015619C" w:rsidRPr="005D2316">
        <w:rPr>
          <w:lang w:val="fr-FR"/>
        </w:rPr>
        <w:t xml:space="preserve"> </w:t>
      </w:r>
      <w:r w:rsidR="00967906" w:rsidRPr="005D2316">
        <w:rPr>
          <w:lang w:val="fr-FR"/>
        </w:rPr>
        <w:t>et fasse</w:t>
      </w:r>
      <w:r w:rsidR="009039D0" w:rsidRPr="005D2316">
        <w:rPr>
          <w:lang w:val="fr-FR"/>
        </w:rPr>
        <w:t>nt</w:t>
      </w:r>
      <w:r w:rsidR="00967906" w:rsidRPr="005D2316">
        <w:rPr>
          <w:lang w:val="fr-FR"/>
        </w:rPr>
        <w:t xml:space="preserve"> </w:t>
      </w:r>
      <w:r w:rsidR="00594D32" w:rsidRPr="005D2316">
        <w:rPr>
          <w:lang w:val="fr-FR"/>
        </w:rPr>
        <w:t>rapport sur</w:t>
      </w:r>
      <w:r w:rsidR="00967906" w:rsidRPr="005D2316">
        <w:rPr>
          <w:lang w:val="fr-FR"/>
        </w:rPr>
        <w:t xml:space="preserve"> leurs résultats à </w:t>
      </w:r>
      <w:r w:rsidR="00967906" w:rsidRPr="005D2316">
        <w:rPr>
          <w:lang w:val="fr-FR"/>
        </w:rPr>
        <w:lastRenderedPageBreak/>
        <w:t>l</w:t>
      </w:r>
      <w:r w:rsidR="0067269A" w:rsidRPr="005D2316">
        <w:rPr>
          <w:lang w:val="fr-FR"/>
        </w:rPr>
        <w:t>’</w:t>
      </w:r>
      <w:r w:rsidR="00967906" w:rsidRPr="005D2316">
        <w:rPr>
          <w:lang w:val="fr-FR"/>
        </w:rPr>
        <w:t>expert du Royaume</w:t>
      </w:r>
      <w:r w:rsidR="0067269A" w:rsidRPr="005D2316">
        <w:rPr>
          <w:lang w:val="fr-FR"/>
        </w:rPr>
        <w:t>-</w:t>
      </w:r>
      <w:r w:rsidR="00967906" w:rsidRPr="005D2316">
        <w:rPr>
          <w:lang w:val="fr-FR"/>
        </w:rPr>
        <w:t>U</w:t>
      </w:r>
      <w:r w:rsidR="001A0B67" w:rsidRPr="005D2316">
        <w:rPr>
          <w:lang w:val="fr-FR"/>
        </w:rPr>
        <w:t>ni.  Le</w:t>
      </w:r>
      <w:r w:rsidR="0067269A" w:rsidRPr="005D2316">
        <w:rPr>
          <w:lang w:val="fr-FR"/>
        </w:rPr>
        <w:t> TWM</w:t>
      </w:r>
      <w:r w:rsidR="00F019CB" w:rsidRPr="005D2316">
        <w:rPr>
          <w:lang w:val="fr-FR"/>
        </w:rPr>
        <w:t xml:space="preserve"> </w:t>
      </w:r>
      <w:r w:rsidR="00967906" w:rsidRPr="005D2316">
        <w:rPr>
          <w:lang w:val="fr-FR"/>
        </w:rPr>
        <w:t xml:space="preserve">a </w:t>
      </w:r>
      <w:r w:rsidR="00F019CB" w:rsidRPr="005D2316">
        <w:rPr>
          <w:lang w:val="fr-FR"/>
        </w:rPr>
        <w:t>not</w:t>
      </w:r>
      <w:r w:rsidR="00967906" w:rsidRPr="005D2316">
        <w:rPr>
          <w:lang w:val="fr-FR"/>
        </w:rPr>
        <w:t>é</w:t>
      </w:r>
      <w:r w:rsidR="00F019CB" w:rsidRPr="005D2316">
        <w:rPr>
          <w:lang w:val="fr-FR"/>
        </w:rPr>
        <w:t xml:space="preserve"> </w:t>
      </w:r>
      <w:r w:rsidR="00967906" w:rsidRPr="005D2316">
        <w:rPr>
          <w:lang w:val="fr-FR"/>
        </w:rPr>
        <w:t>que</w:t>
      </w:r>
      <w:r w:rsidR="00F019CB" w:rsidRPr="005D2316">
        <w:rPr>
          <w:lang w:val="fr-FR"/>
        </w:rPr>
        <w:t xml:space="preserve"> </w:t>
      </w:r>
      <w:r w:rsidR="00084993" w:rsidRPr="005D2316">
        <w:rPr>
          <w:lang w:val="fr-FR"/>
        </w:rPr>
        <w:t xml:space="preserve">des réponses ont été reçues en provenance de la République tchèque, de la </w:t>
      </w:r>
      <w:r w:rsidR="00F019CB" w:rsidRPr="005D2316">
        <w:rPr>
          <w:lang w:val="fr-FR"/>
        </w:rPr>
        <w:t>Finland</w:t>
      </w:r>
      <w:r w:rsidR="00084993" w:rsidRPr="005D2316">
        <w:rPr>
          <w:lang w:val="fr-FR"/>
        </w:rPr>
        <w:t>e</w:t>
      </w:r>
      <w:r w:rsidR="00F019CB" w:rsidRPr="005D2316">
        <w:rPr>
          <w:lang w:val="fr-FR"/>
        </w:rPr>
        <w:t xml:space="preserve">, </w:t>
      </w:r>
      <w:r w:rsidR="00084993" w:rsidRPr="005D2316">
        <w:rPr>
          <w:lang w:val="fr-FR"/>
        </w:rPr>
        <w:t xml:space="preserve">de la </w:t>
      </w:r>
      <w:r w:rsidR="00F019CB" w:rsidRPr="005D2316">
        <w:rPr>
          <w:lang w:val="fr-FR"/>
        </w:rPr>
        <w:t>Slova</w:t>
      </w:r>
      <w:r w:rsidR="00084993" w:rsidRPr="005D2316">
        <w:rPr>
          <w:lang w:val="fr-FR"/>
        </w:rPr>
        <w:t>qu</w:t>
      </w:r>
      <w:r w:rsidR="00F019CB" w:rsidRPr="005D2316">
        <w:rPr>
          <w:lang w:val="fr-FR"/>
        </w:rPr>
        <w:t>i</w:t>
      </w:r>
      <w:r w:rsidR="00084993" w:rsidRPr="005D2316">
        <w:rPr>
          <w:lang w:val="fr-FR"/>
        </w:rPr>
        <w:t>e</w:t>
      </w:r>
      <w:r w:rsidR="00F019CB" w:rsidRPr="005D2316">
        <w:rPr>
          <w:lang w:val="fr-FR"/>
        </w:rPr>
        <w:t xml:space="preserve"> </w:t>
      </w:r>
      <w:r w:rsidR="00084993" w:rsidRPr="005D2316">
        <w:rPr>
          <w:lang w:val="fr-FR"/>
        </w:rPr>
        <w:t>et du Royaume</w:t>
      </w:r>
      <w:r w:rsidR="0067269A" w:rsidRPr="005D2316">
        <w:rPr>
          <w:lang w:val="fr-FR"/>
        </w:rPr>
        <w:t>-</w:t>
      </w:r>
      <w:r w:rsidR="00F019CB" w:rsidRPr="005D2316">
        <w:rPr>
          <w:lang w:val="fr-FR"/>
        </w:rPr>
        <w:t>Uni.</w:t>
      </w:r>
    </w:p>
    <w:p w14:paraId="5A036D1F" w14:textId="77777777" w:rsidR="0015619C" w:rsidRPr="005D2316" w:rsidRDefault="0015619C" w:rsidP="008422AD">
      <w:pPr>
        <w:rPr>
          <w:lang w:val="fr-FR"/>
        </w:rPr>
      </w:pPr>
    </w:p>
    <w:p w14:paraId="03086583" w14:textId="2144F404" w:rsidR="0067269A" w:rsidRPr="005D2316" w:rsidRDefault="00CC6619" w:rsidP="008422AD">
      <w:pPr>
        <w:rPr>
          <w:rFonts w:cs="Arial"/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967906" w:rsidRPr="005D2316">
        <w:rPr>
          <w:rFonts w:cs="Arial"/>
          <w:lang w:val="fr-FR"/>
        </w:rPr>
        <w:t>Le TWV,</w:t>
      </w:r>
      <w:r w:rsidR="0067269A" w:rsidRPr="005D2316">
        <w:rPr>
          <w:rFonts w:cs="Arial"/>
          <w:lang w:val="fr-FR"/>
        </w:rPr>
        <w:t xml:space="preserve"> le TWA</w:t>
      </w:r>
      <w:r w:rsidR="00967906" w:rsidRPr="005D2316">
        <w:rPr>
          <w:rFonts w:cs="Arial"/>
          <w:lang w:val="fr-FR"/>
        </w:rPr>
        <w:t>,</w:t>
      </w:r>
      <w:r w:rsidR="0067269A" w:rsidRPr="005D2316">
        <w:rPr>
          <w:rFonts w:cs="Arial"/>
          <w:lang w:val="fr-FR"/>
        </w:rPr>
        <w:t xml:space="preserve"> le TWO</w:t>
      </w:r>
      <w:r w:rsidR="00967906" w:rsidRPr="005D2316">
        <w:rPr>
          <w:rFonts w:cs="Arial"/>
          <w:lang w:val="fr-FR"/>
        </w:rPr>
        <w:t>,</w:t>
      </w:r>
      <w:r w:rsidR="0067269A" w:rsidRPr="005D2316">
        <w:rPr>
          <w:rFonts w:cs="Arial"/>
          <w:lang w:val="fr-FR"/>
        </w:rPr>
        <w:t xml:space="preserve"> le TWF</w:t>
      </w:r>
      <w:r w:rsidR="00967906" w:rsidRPr="005D2316">
        <w:rPr>
          <w:rFonts w:cs="Arial"/>
          <w:lang w:val="fr-FR"/>
        </w:rPr>
        <w:t xml:space="preserve"> et</w:t>
      </w:r>
      <w:r w:rsidR="0067269A" w:rsidRPr="005D2316">
        <w:rPr>
          <w:rFonts w:cs="Arial"/>
          <w:lang w:val="fr-FR"/>
        </w:rPr>
        <w:t xml:space="preserve"> le TWM</w:t>
      </w:r>
      <w:r w:rsidR="00967906" w:rsidRPr="005D2316">
        <w:rPr>
          <w:rFonts w:cs="Arial"/>
          <w:lang w:val="fr-FR"/>
        </w:rPr>
        <w:t xml:space="preserve"> ont pris note de la demande formulée par le</w:t>
      </w:r>
      <w:r w:rsidR="0067269A" w:rsidRPr="005D2316">
        <w:rPr>
          <w:rFonts w:cs="Arial"/>
          <w:lang w:val="fr-FR"/>
        </w:rPr>
        <w:t> TC</w:t>
      </w:r>
      <w:r w:rsidR="00967906" w:rsidRPr="005D2316">
        <w:rPr>
          <w:rFonts w:cs="Arial"/>
          <w:lang w:val="fr-FR"/>
        </w:rPr>
        <w:t xml:space="preserve"> tendant à ce que</w:t>
      </w:r>
      <w:r w:rsidR="0067269A" w:rsidRPr="005D2316">
        <w:rPr>
          <w:rFonts w:cs="Arial"/>
          <w:lang w:val="fr-FR"/>
        </w:rPr>
        <w:t xml:space="preserve"> le TWM</w:t>
      </w:r>
      <w:r w:rsidR="00967906" w:rsidRPr="005D2316">
        <w:rPr>
          <w:rFonts w:cs="Arial"/>
          <w:lang w:val="fr-FR"/>
        </w:rPr>
        <w:t xml:space="preserve"> établisse un rapport contenant les résultats de la série d</w:t>
      </w:r>
      <w:r w:rsidR="0067269A" w:rsidRPr="005D2316">
        <w:rPr>
          <w:rFonts w:cs="Arial"/>
          <w:lang w:val="fr-FR"/>
        </w:rPr>
        <w:t>’</w:t>
      </w:r>
      <w:r w:rsidR="00967906" w:rsidRPr="005D2316">
        <w:rPr>
          <w:rFonts w:cs="Arial"/>
          <w:lang w:val="fr-FR"/>
        </w:rPr>
        <w:t xml:space="preserve">essais sur le logiciel COYU </w:t>
      </w:r>
      <w:proofErr w:type="spellStart"/>
      <w:r w:rsidR="00967906" w:rsidRPr="005D2316">
        <w:rPr>
          <w:rFonts w:cs="Arial"/>
          <w:lang w:val="fr-FR"/>
        </w:rPr>
        <w:t>Splines</w:t>
      </w:r>
      <w:proofErr w:type="spellEnd"/>
      <w:r w:rsidR="00967906" w:rsidRPr="005D2316">
        <w:rPr>
          <w:rFonts w:cs="Arial"/>
          <w:lang w:val="fr-FR"/>
        </w:rPr>
        <w:t xml:space="preserve"> pour examen par le</w:t>
      </w:r>
      <w:r w:rsidR="0067269A" w:rsidRPr="005D2316">
        <w:rPr>
          <w:rFonts w:cs="Arial"/>
          <w:lang w:val="fr-FR"/>
        </w:rPr>
        <w:t> TC</w:t>
      </w:r>
      <w:r w:rsidR="00967906" w:rsidRPr="005D2316">
        <w:rPr>
          <w:rFonts w:cs="Arial"/>
          <w:lang w:val="fr-FR"/>
        </w:rPr>
        <w:t xml:space="preserve"> à sa cinquante</w:t>
      </w:r>
      <w:r w:rsidR="0067269A" w:rsidRPr="005D2316">
        <w:rPr>
          <w:rFonts w:cs="Arial"/>
          <w:lang w:val="fr-FR"/>
        </w:rPr>
        <w:t>-</w:t>
      </w:r>
      <w:r w:rsidR="00967906" w:rsidRPr="005D2316">
        <w:rPr>
          <w:rFonts w:cs="Arial"/>
          <w:lang w:val="fr-FR"/>
        </w:rPr>
        <w:t>huit</w:t>
      </w:r>
      <w:r w:rsidR="0067269A" w:rsidRPr="005D2316">
        <w:rPr>
          <w:rFonts w:cs="Arial"/>
          <w:lang w:val="fr-FR"/>
        </w:rPr>
        <w:t>ième session</w:t>
      </w:r>
      <w:r w:rsidR="00967906" w:rsidRPr="005D2316">
        <w:rPr>
          <w:rFonts w:cs="Arial"/>
          <w:lang w:val="fr-FR"/>
        </w:rPr>
        <w:t>, parallèlement à la révision du document TGP/8.</w:t>
      </w:r>
    </w:p>
    <w:p w14:paraId="4D5FA451" w14:textId="32EAC2E4" w:rsidR="00AE3F08" w:rsidRDefault="00AE3F08" w:rsidP="00AE3F08">
      <w:pPr>
        <w:rPr>
          <w:lang w:val="fr-FR"/>
        </w:rPr>
      </w:pPr>
    </w:p>
    <w:p w14:paraId="7343688F" w14:textId="77777777" w:rsidR="006E4FA9" w:rsidRPr="005D2316" w:rsidRDefault="006E4FA9" w:rsidP="00AE3F08">
      <w:pPr>
        <w:rPr>
          <w:lang w:val="fr-FR"/>
        </w:rPr>
      </w:pPr>
    </w:p>
    <w:p w14:paraId="692F9AC7" w14:textId="0DB71496" w:rsidR="00AE3F08" w:rsidRPr="005D2316" w:rsidRDefault="00084993" w:rsidP="00084993">
      <w:pPr>
        <w:pStyle w:val="Heading2"/>
      </w:pPr>
      <w:bookmarkStart w:id="14" w:name="_Toc117002593"/>
      <w:r w:rsidRPr="005D2316">
        <w:t>Faits nouveaux concernant la méthode COYU améliorée (</w:t>
      </w:r>
      <w:proofErr w:type="spellStart"/>
      <w:r w:rsidRPr="005D2316">
        <w:t>Splines</w:t>
      </w:r>
      <w:proofErr w:type="spellEnd"/>
      <w:r w:rsidR="00AE3F08" w:rsidRPr="005D2316">
        <w:t>)</w:t>
      </w:r>
      <w:bookmarkEnd w:id="14"/>
    </w:p>
    <w:p w14:paraId="6251BEF3" w14:textId="77777777" w:rsidR="00AE3F08" w:rsidRPr="005D2316" w:rsidRDefault="00AE3F08" w:rsidP="00AE3F08">
      <w:pPr>
        <w:jc w:val="left"/>
        <w:rPr>
          <w:lang w:val="fr-FR"/>
        </w:rPr>
      </w:pPr>
    </w:p>
    <w:p w14:paraId="75175760" w14:textId="0883AD0D" w:rsidR="00A36C59" w:rsidRPr="005D2316" w:rsidRDefault="00A36C59" w:rsidP="00A36C59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Pr="005D2316">
        <w:rPr>
          <w:lang w:val="fr-FR"/>
        </w:rPr>
        <w:t xml:space="preserve"> TWA </w:t>
      </w:r>
      <w:r w:rsidR="009039D0" w:rsidRPr="005D2316">
        <w:rPr>
          <w:lang w:val="fr-FR"/>
        </w:rPr>
        <w:t xml:space="preserve">a </w:t>
      </w:r>
      <w:r w:rsidR="000D6690" w:rsidRPr="005D2316">
        <w:rPr>
          <w:lang w:val="fr-FR"/>
        </w:rPr>
        <w:t xml:space="preserve">entendu </w:t>
      </w:r>
      <w:r w:rsidR="00592AEC" w:rsidRPr="005D2316">
        <w:rPr>
          <w:lang w:val="fr-FR"/>
        </w:rPr>
        <w:t>un exposé présenté par un expert du Royaume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 xml:space="preserve">Uni sur </w:t>
      </w:r>
      <w:r w:rsidRPr="005D2316">
        <w:rPr>
          <w:snapToGrid w:val="0"/>
          <w:lang w:val="fr-FR"/>
        </w:rPr>
        <w:t xml:space="preserve">“COYU </w:t>
      </w:r>
      <w:proofErr w:type="spellStart"/>
      <w:r w:rsidRPr="005D2316">
        <w:rPr>
          <w:snapToGrid w:val="0"/>
          <w:lang w:val="fr-FR"/>
        </w:rPr>
        <w:t>Splines</w:t>
      </w:r>
      <w:proofErr w:type="spellEnd"/>
      <w:r w:rsidRPr="005D2316">
        <w:rPr>
          <w:snapToGrid w:val="0"/>
          <w:lang w:val="fr-FR"/>
        </w:rPr>
        <w:t xml:space="preserve">: Path to </w:t>
      </w:r>
      <w:proofErr w:type="spellStart"/>
      <w:r w:rsidRPr="005D2316">
        <w:rPr>
          <w:snapToGrid w:val="0"/>
          <w:lang w:val="fr-FR"/>
        </w:rPr>
        <w:t>implementation</w:t>
      </w:r>
      <w:proofErr w:type="spellEnd"/>
      <w:r w:rsidRPr="005D2316">
        <w:rPr>
          <w:snapToGrid w:val="0"/>
          <w:lang w:val="fr-FR"/>
        </w:rPr>
        <w:t xml:space="preserve"> in the United </w:t>
      </w:r>
      <w:proofErr w:type="spellStart"/>
      <w:r w:rsidRPr="005D2316">
        <w:rPr>
          <w:snapToGrid w:val="0"/>
          <w:lang w:val="fr-FR"/>
        </w:rPr>
        <w:t>Kingdom</w:t>
      </w:r>
      <w:proofErr w:type="spellEnd"/>
      <w:r w:rsidRPr="005D2316">
        <w:rPr>
          <w:snapToGrid w:val="0"/>
          <w:lang w:val="fr-FR"/>
        </w:rPr>
        <w:t>”</w:t>
      </w:r>
      <w:r w:rsidR="001F2660" w:rsidRPr="005D2316">
        <w:rPr>
          <w:snapToGrid w:val="0"/>
          <w:lang w:val="fr-FR"/>
        </w:rPr>
        <w:t xml:space="preserve">. </w:t>
      </w:r>
      <w:r w:rsidR="00A2333E" w:rsidRPr="005D2316">
        <w:rPr>
          <w:snapToGrid w:val="0"/>
          <w:lang w:val="fr-FR"/>
        </w:rPr>
        <w:t xml:space="preserve"> </w:t>
      </w:r>
      <w:r w:rsidR="00592AEC" w:rsidRPr="005D2316">
        <w:rPr>
          <w:snapToGrid w:val="0"/>
          <w:lang w:val="fr-FR"/>
        </w:rPr>
        <w:t>Une copie de l</w:t>
      </w:r>
      <w:r w:rsidR="0067269A" w:rsidRPr="005D2316">
        <w:rPr>
          <w:snapToGrid w:val="0"/>
          <w:lang w:val="fr-FR"/>
        </w:rPr>
        <w:t>’</w:t>
      </w:r>
      <w:r w:rsidR="00592AEC" w:rsidRPr="005D2316">
        <w:rPr>
          <w:snapToGrid w:val="0"/>
          <w:lang w:val="fr-FR"/>
        </w:rPr>
        <w:t>exposé figure dans le d</w:t>
      </w:r>
      <w:r w:rsidRPr="005D2316">
        <w:rPr>
          <w:lang w:val="fr-FR"/>
        </w:rPr>
        <w:t>ocument TWA/51/8</w:t>
      </w:r>
      <w:r w:rsidR="001F2660" w:rsidRPr="005D2316">
        <w:rPr>
          <w:lang w:val="fr-FR"/>
        </w:rPr>
        <w:t>.</w:t>
      </w:r>
      <w:r w:rsidR="00A2333E" w:rsidRPr="005D2316">
        <w:rPr>
          <w:lang w:val="fr-FR"/>
        </w:rPr>
        <w:t xml:space="preserve"> </w:t>
      </w:r>
      <w:r w:rsidR="0067269A" w:rsidRPr="005D2316">
        <w:rPr>
          <w:lang w:val="fr-FR"/>
        </w:rPr>
        <w:t xml:space="preserve"> Le TWA</w:t>
      </w:r>
      <w:r w:rsidRPr="005D2316">
        <w:rPr>
          <w:lang w:val="fr-FR"/>
        </w:rPr>
        <w:t xml:space="preserve"> </w:t>
      </w:r>
      <w:r w:rsidR="00592AEC" w:rsidRPr="005D2316">
        <w:rPr>
          <w:lang w:val="fr-FR"/>
        </w:rPr>
        <w:t xml:space="preserve">a </w:t>
      </w:r>
      <w:r w:rsidRPr="005D2316">
        <w:rPr>
          <w:lang w:val="fr-FR"/>
        </w:rPr>
        <w:t>not</w:t>
      </w:r>
      <w:r w:rsidR="00592AEC" w:rsidRPr="005D2316">
        <w:rPr>
          <w:lang w:val="fr-FR"/>
        </w:rPr>
        <w:t>é</w:t>
      </w:r>
      <w:r w:rsidRPr="005D2316">
        <w:rPr>
          <w:lang w:val="fr-FR"/>
        </w:rPr>
        <w:t xml:space="preserve"> </w:t>
      </w:r>
      <w:r w:rsidR="00592AEC" w:rsidRPr="005D2316">
        <w:rPr>
          <w:lang w:val="fr-FR"/>
        </w:rPr>
        <w:t>le travail rapporté et a convenu d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>invite</w:t>
      </w:r>
      <w:r w:rsidR="00592AEC" w:rsidRPr="005D2316">
        <w:rPr>
          <w:lang w:val="fr-FR"/>
        </w:rPr>
        <w:t>r</w:t>
      </w:r>
      <w:r w:rsidRPr="005D2316">
        <w:rPr>
          <w:lang w:val="fr-FR"/>
        </w:rPr>
        <w:t xml:space="preserve"> </w:t>
      </w:r>
      <w:r w:rsidR="00592AEC" w:rsidRPr="005D2316">
        <w:rPr>
          <w:lang w:val="fr-FR"/>
        </w:rPr>
        <w:t>l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 xml:space="preserve">expert </w:t>
      </w:r>
      <w:r w:rsidR="00592AEC" w:rsidRPr="005D2316">
        <w:rPr>
          <w:lang w:val="fr-FR"/>
        </w:rPr>
        <w:t>du</w:t>
      </w:r>
      <w:r w:rsidRPr="005D2316">
        <w:rPr>
          <w:lang w:val="fr-FR"/>
        </w:rPr>
        <w:t xml:space="preserve"> </w:t>
      </w:r>
      <w:r w:rsidR="00592AEC" w:rsidRPr="005D2316">
        <w:rPr>
          <w:lang w:val="fr-FR"/>
        </w:rPr>
        <w:t>Royaume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>Uni</w:t>
      </w:r>
      <w:r w:rsidRPr="005D2316">
        <w:rPr>
          <w:lang w:val="fr-FR"/>
        </w:rPr>
        <w:t xml:space="preserve"> </w:t>
      </w:r>
      <w:r w:rsidR="00592AEC" w:rsidRPr="005D2316">
        <w:rPr>
          <w:lang w:val="fr-FR"/>
        </w:rPr>
        <w:t xml:space="preserve">à faire </w:t>
      </w:r>
      <w:r w:rsidR="00594D32" w:rsidRPr="005D2316">
        <w:rPr>
          <w:lang w:val="fr-FR"/>
        </w:rPr>
        <w:t>rappor</w:t>
      </w:r>
      <w:r w:rsidR="00592AEC" w:rsidRPr="005D2316">
        <w:rPr>
          <w:lang w:val="fr-FR"/>
        </w:rPr>
        <w:t xml:space="preserve">t </w:t>
      </w:r>
      <w:r w:rsidR="00594D32" w:rsidRPr="005D2316">
        <w:rPr>
          <w:lang w:val="fr-FR"/>
        </w:rPr>
        <w:t>sur l</w:t>
      </w:r>
      <w:r w:rsidR="00592AEC" w:rsidRPr="005D2316">
        <w:rPr>
          <w:lang w:val="fr-FR"/>
        </w:rPr>
        <w:t>es faits nouveaux à sa cinquante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>deux</w:t>
      </w:r>
      <w:r w:rsidR="0067269A" w:rsidRPr="005D2316">
        <w:rPr>
          <w:lang w:val="fr-FR"/>
        </w:rPr>
        <w:t>ième session</w:t>
      </w:r>
      <w:r w:rsidRPr="005D2316">
        <w:rPr>
          <w:lang w:val="fr-FR"/>
        </w:rPr>
        <w:t>.</w:t>
      </w:r>
    </w:p>
    <w:p w14:paraId="1B7FFBAF" w14:textId="77777777" w:rsidR="00A36C59" w:rsidRPr="005D2316" w:rsidRDefault="00A36C59" w:rsidP="00A36C59">
      <w:pPr>
        <w:rPr>
          <w:lang w:val="fr-FR"/>
        </w:rPr>
      </w:pPr>
    </w:p>
    <w:p w14:paraId="17E71B27" w14:textId="31DBD9D8" w:rsidR="00AE3F08" w:rsidRPr="005D2316" w:rsidRDefault="00AE3F08" w:rsidP="00AE3F08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Pr="005D2316">
        <w:rPr>
          <w:lang w:val="fr-FR"/>
        </w:rPr>
        <w:t xml:space="preserve"> TWM </w:t>
      </w:r>
      <w:r w:rsidR="00592AEC" w:rsidRPr="005D2316">
        <w:rPr>
          <w:lang w:val="fr-FR"/>
        </w:rPr>
        <w:t xml:space="preserve">a examiné le </w:t>
      </w:r>
      <w:r w:rsidRPr="005D2316">
        <w:rPr>
          <w:lang w:val="fr-FR"/>
        </w:rPr>
        <w:t>document TWM/1/8</w:t>
      </w:r>
      <w:r w:rsidR="00450501" w:rsidRPr="005D2316">
        <w:rPr>
          <w:rFonts w:cs="Arial"/>
          <w:bCs/>
          <w:lang w:val="fr-FR"/>
        </w:rPr>
        <w:t xml:space="preserve">, </w:t>
      </w:r>
      <w:r w:rsidR="00592AEC" w:rsidRPr="005D2316">
        <w:rPr>
          <w:rFonts w:cs="Arial"/>
          <w:bCs/>
          <w:lang w:val="fr-FR"/>
        </w:rPr>
        <w:t xml:space="preserve">figurant </w:t>
      </w:r>
      <w:r w:rsidR="000D6690" w:rsidRPr="005D2316">
        <w:rPr>
          <w:rFonts w:cs="Arial"/>
          <w:bCs/>
          <w:lang w:val="fr-FR"/>
        </w:rPr>
        <w:t>dans</w:t>
      </w:r>
      <w:r w:rsidR="00592AEC" w:rsidRPr="005D2316">
        <w:rPr>
          <w:rFonts w:cs="Arial"/>
          <w:bCs/>
          <w:lang w:val="fr-FR"/>
        </w:rPr>
        <w:t xml:space="preserve"> l</w:t>
      </w:r>
      <w:r w:rsidR="0067269A" w:rsidRPr="005D2316">
        <w:rPr>
          <w:rFonts w:cs="Arial"/>
          <w:bCs/>
          <w:lang w:val="fr-FR"/>
        </w:rPr>
        <w:t>’annexe I</w:t>
      </w:r>
      <w:r w:rsidR="00450501" w:rsidRPr="005D2316">
        <w:rPr>
          <w:rFonts w:cs="Arial"/>
          <w:bCs/>
          <w:lang w:val="fr-FR"/>
        </w:rPr>
        <w:t xml:space="preserve"> </w:t>
      </w:r>
      <w:r w:rsidR="00592AEC" w:rsidRPr="005D2316">
        <w:rPr>
          <w:rFonts w:cs="Arial"/>
          <w:bCs/>
          <w:lang w:val="fr-FR"/>
        </w:rPr>
        <w:t>du présent</w:t>
      </w:r>
      <w:r w:rsidR="00450501" w:rsidRPr="005D2316">
        <w:rPr>
          <w:rFonts w:cs="Arial"/>
          <w:bCs/>
          <w:lang w:val="fr-FR"/>
        </w:rPr>
        <w:t xml:space="preserve"> document, </w:t>
      </w:r>
      <w:r w:rsidR="00592AEC" w:rsidRPr="005D2316">
        <w:rPr>
          <w:rFonts w:cs="Arial"/>
          <w:bCs/>
          <w:lang w:val="fr-FR"/>
        </w:rPr>
        <w:t xml:space="preserve">et </w:t>
      </w:r>
      <w:r w:rsidR="000D6690" w:rsidRPr="005D2316">
        <w:rPr>
          <w:rFonts w:cs="Arial"/>
          <w:bCs/>
          <w:lang w:val="fr-FR"/>
        </w:rPr>
        <w:t>a entendu un</w:t>
      </w:r>
      <w:r w:rsidR="00592AEC" w:rsidRPr="005D2316">
        <w:rPr>
          <w:lang w:val="fr-FR"/>
        </w:rPr>
        <w:t xml:space="preserve"> exposé présenté par</w:t>
      </w:r>
      <w:r w:rsidRPr="005D2316">
        <w:rPr>
          <w:lang w:val="fr-FR"/>
        </w:rPr>
        <w:t xml:space="preserve"> M.</w:t>
      </w:r>
      <w:r w:rsidR="00A2333E" w:rsidRPr="005D2316">
        <w:rPr>
          <w:lang w:val="fr-FR"/>
        </w:rPr>
        <w:t> </w:t>
      </w:r>
      <w:r w:rsidRPr="005D2316">
        <w:rPr>
          <w:lang w:val="fr-FR"/>
        </w:rPr>
        <w:t>Adrian</w:t>
      </w:r>
      <w:r w:rsidR="0012350F" w:rsidRPr="005D2316">
        <w:rPr>
          <w:lang w:val="fr-FR"/>
        </w:rPr>
        <w:t> </w:t>
      </w:r>
      <w:r w:rsidRPr="005D2316">
        <w:rPr>
          <w:lang w:val="fr-FR"/>
        </w:rPr>
        <w:t xml:space="preserve">Roberts </w:t>
      </w:r>
      <w:r w:rsidR="00592AEC" w:rsidRPr="005D2316">
        <w:rPr>
          <w:lang w:val="fr-FR"/>
        </w:rPr>
        <w:t>et</w:t>
      </w:r>
      <w:r w:rsidRPr="005D2316">
        <w:rPr>
          <w:lang w:val="fr-FR"/>
        </w:rPr>
        <w:t xml:space="preserve"> M</w:t>
      </w:r>
      <w:r w:rsidR="00592AEC" w:rsidRPr="005D2316">
        <w:rPr>
          <w:lang w:val="fr-FR"/>
        </w:rPr>
        <w:t>me</w:t>
      </w:r>
      <w:r w:rsidRPr="005D2316">
        <w:rPr>
          <w:lang w:val="fr-FR"/>
        </w:rPr>
        <w:t> </w:t>
      </w:r>
      <w:proofErr w:type="spellStart"/>
      <w:r w:rsidRPr="005D2316">
        <w:rPr>
          <w:lang w:val="fr-FR"/>
        </w:rPr>
        <w:t>Haidee</w:t>
      </w:r>
      <w:proofErr w:type="spellEnd"/>
      <w:r w:rsidRPr="005D2316">
        <w:rPr>
          <w:lang w:val="fr-FR"/>
        </w:rPr>
        <w:t xml:space="preserve"> </w:t>
      </w:r>
      <w:proofErr w:type="spellStart"/>
      <w:r w:rsidRPr="005D2316">
        <w:rPr>
          <w:lang w:val="fr-FR"/>
        </w:rPr>
        <w:t>Philpott</w:t>
      </w:r>
      <w:proofErr w:type="spellEnd"/>
      <w:r w:rsidRPr="005D2316">
        <w:rPr>
          <w:lang w:val="fr-FR"/>
        </w:rPr>
        <w:t xml:space="preserve"> (</w:t>
      </w:r>
      <w:r w:rsidR="00592AEC" w:rsidRPr="005D2316">
        <w:rPr>
          <w:lang w:val="fr-FR"/>
        </w:rPr>
        <w:t>Royaume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>Uni</w:t>
      </w:r>
      <w:r w:rsidRPr="005D2316">
        <w:rPr>
          <w:lang w:val="fr-FR"/>
        </w:rPr>
        <w:t xml:space="preserve">) </w:t>
      </w:r>
      <w:r w:rsidR="00592AEC" w:rsidRPr="005D2316">
        <w:rPr>
          <w:lang w:val="fr-FR"/>
        </w:rPr>
        <w:t>sur</w:t>
      </w:r>
      <w:r w:rsidRPr="005D2316">
        <w:rPr>
          <w:lang w:val="fr-FR"/>
        </w:rPr>
        <w:t xml:space="preserve"> “</w:t>
      </w:r>
      <w:proofErr w:type="spellStart"/>
      <w:r w:rsidRPr="005D2316">
        <w:rPr>
          <w:lang w:val="fr-FR"/>
        </w:rPr>
        <w:t>Developments</w:t>
      </w:r>
      <w:proofErr w:type="spellEnd"/>
      <w:r w:rsidRPr="005D2316">
        <w:rPr>
          <w:lang w:val="fr-FR"/>
        </w:rPr>
        <w:t xml:space="preserve"> on the </w:t>
      </w:r>
      <w:proofErr w:type="spellStart"/>
      <w:r w:rsidRPr="005D2316">
        <w:rPr>
          <w:lang w:val="fr-FR"/>
        </w:rPr>
        <w:t>improved</w:t>
      </w:r>
      <w:proofErr w:type="spellEnd"/>
      <w:r w:rsidRPr="005D2316">
        <w:rPr>
          <w:lang w:val="fr-FR"/>
        </w:rPr>
        <w:t xml:space="preserve"> COYU </w:t>
      </w:r>
      <w:proofErr w:type="spellStart"/>
      <w:r w:rsidRPr="005D2316">
        <w:rPr>
          <w:lang w:val="fr-FR"/>
        </w:rPr>
        <w:t>method</w:t>
      </w:r>
      <w:proofErr w:type="spellEnd"/>
      <w:r w:rsidRPr="005D2316">
        <w:rPr>
          <w:lang w:val="fr-FR"/>
        </w:rPr>
        <w:t xml:space="preserve"> (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)”, </w:t>
      </w:r>
      <w:r w:rsidR="00592AEC" w:rsidRPr="005D2316">
        <w:rPr>
          <w:lang w:val="fr-FR"/>
        </w:rPr>
        <w:t>dont une</w:t>
      </w:r>
      <w:r w:rsidRPr="005D2316">
        <w:rPr>
          <w:rFonts w:cs="Arial"/>
          <w:iCs/>
          <w:lang w:val="fr-FR"/>
        </w:rPr>
        <w:t xml:space="preserve"> cop</w:t>
      </w:r>
      <w:r w:rsidR="00592AEC" w:rsidRPr="005D2316">
        <w:rPr>
          <w:rFonts w:cs="Arial"/>
          <w:iCs/>
          <w:lang w:val="fr-FR"/>
        </w:rPr>
        <w:t>ie est</w:t>
      </w:r>
      <w:r w:rsidRPr="005D2316">
        <w:rPr>
          <w:rFonts w:cs="Arial"/>
          <w:iCs/>
          <w:lang w:val="fr-FR"/>
        </w:rPr>
        <w:t xml:space="preserve"> reprodu</w:t>
      </w:r>
      <w:r w:rsidR="00592AEC" w:rsidRPr="005D2316">
        <w:rPr>
          <w:rFonts w:cs="Arial"/>
          <w:iCs/>
          <w:lang w:val="fr-FR"/>
        </w:rPr>
        <w:t>it</w:t>
      </w:r>
      <w:r w:rsidRPr="005D2316">
        <w:rPr>
          <w:rFonts w:cs="Arial"/>
          <w:iCs/>
          <w:lang w:val="fr-FR"/>
        </w:rPr>
        <w:t xml:space="preserve">e </w:t>
      </w:r>
      <w:r w:rsidR="00592AEC" w:rsidRPr="005D2316">
        <w:rPr>
          <w:rFonts w:cs="Arial"/>
          <w:iCs/>
          <w:lang w:val="fr-FR"/>
        </w:rPr>
        <w:t>dans le</w:t>
      </w:r>
      <w:r w:rsidRPr="005D2316">
        <w:rPr>
          <w:rFonts w:cs="Arial"/>
          <w:iCs/>
          <w:lang w:val="fr-FR"/>
        </w:rPr>
        <w:t xml:space="preserve"> </w:t>
      </w:r>
      <w:r w:rsidR="0067269A" w:rsidRPr="005D2316">
        <w:rPr>
          <w:rFonts w:cs="Arial"/>
          <w:iCs/>
          <w:lang w:val="fr-FR"/>
        </w:rPr>
        <w:t xml:space="preserve">document </w:t>
      </w:r>
      <w:r w:rsidR="0067269A" w:rsidRPr="005D2316">
        <w:rPr>
          <w:lang w:val="fr-FR"/>
        </w:rPr>
        <w:t>TW</w:t>
      </w:r>
      <w:r w:rsidRPr="005D2316">
        <w:rPr>
          <w:lang w:val="fr-FR"/>
        </w:rPr>
        <w:t>M/1/8</w:t>
      </w:r>
      <w:r w:rsidR="00A2333E" w:rsidRPr="005D2316">
        <w:rPr>
          <w:lang w:val="fr-FR"/>
        </w:rPr>
        <w:t> </w:t>
      </w:r>
      <w:proofErr w:type="spellStart"/>
      <w:r w:rsidRPr="005D2316">
        <w:rPr>
          <w:lang w:val="fr-FR"/>
        </w:rPr>
        <w:t>Add</w:t>
      </w:r>
      <w:proofErr w:type="spellEnd"/>
      <w:r w:rsidR="00A2333E" w:rsidRPr="005D2316">
        <w:rPr>
          <w:lang w:val="fr-FR"/>
        </w:rPr>
        <w:t>.</w:t>
      </w:r>
    </w:p>
    <w:p w14:paraId="180971F3" w14:textId="77777777" w:rsidR="00AE3F08" w:rsidRPr="005D2316" w:rsidRDefault="00AE3F08" w:rsidP="00AE3F08">
      <w:pPr>
        <w:rPr>
          <w:rFonts w:eastAsiaTheme="minorEastAsia"/>
          <w:lang w:val="fr-FR" w:eastAsia="ja-JP"/>
        </w:rPr>
      </w:pPr>
    </w:p>
    <w:p w14:paraId="3D653565" w14:textId="7A73B652" w:rsidR="00AE3F08" w:rsidRPr="005D2316" w:rsidRDefault="00AE3F08" w:rsidP="00AE3F08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</w:t>
      </w:r>
      <w:r w:rsidR="00084993" w:rsidRPr="005D2316">
        <w:rPr>
          <w:rFonts w:cs="Arial"/>
          <w:lang w:val="fr-FR"/>
        </w:rPr>
        <w:t>e</w:t>
      </w:r>
      <w:r w:rsidRPr="005D2316">
        <w:rPr>
          <w:rFonts w:cs="Arial"/>
          <w:lang w:val="fr-FR"/>
        </w:rPr>
        <w:t xml:space="preserve"> </w:t>
      </w:r>
      <w:r w:rsidRPr="005D2316">
        <w:rPr>
          <w:lang w:val="fr-FR"/>
        </w:rPr>
        <w:t>TWM</w:t>
      </w:r>
      <w:r w:rsidRPr="005D2316">
        <w:rPr>
          <w:rFonts w:cs="Arial"/>
          <w:lang w:val="fr-FR"/>
        </w:rPr>
        <w:t xml:space="preserve"> </w:t>
      </w:r>
      <w:r w:rsidR="00592AEC" w:rsidRPr="005D2316">
        <w:rPr>
          <w:rFonts w:cs="Arial"/>
          <w:lang w:val="fr-FR"/>
        </w:rPr>
        <w:t xml:space="preserve">a </w:t>
      </w:r>
      <w:r w:rsidRPr="005D2316">
        <w:rPr>
          <w:rFonts w:cs="Arial"/>
          <w:lang w:val="fr-FR"/>
        </w:rPr>
        <w:t>not</w:t>
      </w:r>
      <w:r w:rsidR="00592AEC" w:rsidRPr="005D2316">
        <w:rPr>
          <w:rFonts w:cs="Arial"/>
          <w:lang w:val="fr-FR"/>
        </w:rPr>
        <w:t>é qu</w:t>
      </w:r>
      <w:r w:rsidR="0067269A" w:rsidRPr="005D2316">
        <w:rPr>
          <w:rFonts w:cs="Arial"/>
          <w:lang w:val="fr-FR"/>
        </w:rPr>
        <w:t>’</w:t>
      </w:r>
      <w:r w:rsidR="00592AEC" w:rsidRPr="005D2316">
        <w:rPr>
          <w:rFonts w:cs="Arial"/>
          <w:lang w:val="fr-FR"/>
        </w:rPr>
        <w:t xml:space="preserve">une nouvelle </w:t>
      </w:r>
      <w:r w:rsidRPr="005D2316">
        <w:rPr>
          <w:lang w:val="fr-FR"/>
        </w:rPr>
        <w:t xml:space="preserve">version </w:t>
      </w:r>
      <w:r w:rsidR="00592AEC" w:rsidRPr="005D2316">
        <w:rPr>
          <w:lang w:val="fr-FR"/>
        </w:rPr>
        <w:t>de</w:t>
      </w:r>
      <w:r w:rsidRPr="005D2316">
        <w:rPr>
          <w:lang w:val="fr-FR"/>
        </w:rPr>
        <w:t xml:space="preserve"> DUSTNT in</w:t>
      </w:r>
      <w:r w:rsidR="00592AEC" w:rsidRPr="005D2316">
        <w:rPr>
          <w:lang w:val="fr-FR"/>
        </w:rPr>
        <w:t xml:space="preserve">tégrant une méthode </w:t>
      </w:r>
      <w:r w:rsidRPr="005D2316">
        <w:rPr>
          <w:lang w:val="fr-FR"/>
        </w:rPr>
        <w:t xml:space="preserve">COYU </w:t>
      </w:r>
      <w:r w:rsidR="00592AEC" w:rsidRPr="005D2316">
        <w:rPr>
          <w:lang w:val="fr-FR"/>
        </w:rPr>
        <w:t>utilisant des</w:t>
      </w:r>
      <w:r w:rsidRPr="005D2316">
        <w:rPr>
          <w:lang w:val="fr-FR"/>
        </w:rPr>
        <w:t xml:space="preserve"> 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Pr="005D2316">
        <w:rPr>
          <w:rFonts w:cs="Arial"/>
          <w:lang w:val="fr-FR"/>
        </w:rPr>
        <w:t xml:space="preserve">(DUST9NT) </w:t>
      </w:r>
      <w:r w:rsidR="00592AEC" w:rsidRPr="005D2316">
        <w:rPr>
          <w:rFonts w:cs="Arial"/>
          <w:lang w:val="fr-FR"/>
        </w:rPr>
        <w:t>sera lancée d</w:t>
      </w:r>
      <w:r w:rsidR="0067269A" w:rsidRPr="005D2316">
        <w:rPr>
          <w:rFonts w:cs="Arial"/>
          <w:lang w:val="fr-FR"/>
        </w:rPr>
        <w:t>’</w:t>
      </w:r>
      <w:r w:rsidR="00592AEC" w:rsidRPr="005D2316">
        <w:rPr>
          <w:rFonts w:cs="Arial"/>
          <w:lang w:val="fr-FR"/>
        </w:rPr>
        <w:t xml:space="preserve">ici </w:t>
      </w:r>
      <w:r w:rsidR="0067269A" w:rsidRPr="005D2316">
        <w:rPr>
          <w:rFonts w:cs="Arial"/>
          <w:lang w:val="fr-FR"/>
        </w:rPr>
        <w:t>s</w:t>
      </w:r>
      <w:r w:rsidR="0067269A" w:rsidRPr="005D2316">
        <w:rPr>
          <w:lang w:val="fr-FR"/>
        </w:rPr>
        <w:t>eptembre</w:t>
      </w:r>
      <w:r w:rsidR="0067269A" w:rsidRPr="005D2316">
        <w:rPr>
          <w:rFonts w:cs="Arial"/>
          <w:lang w:val="fr-FR"/>
        </w:rPr>
        <w:t> </w:t>
      </w:r>
      <w:r w:rsidR="0067269A" w:rsidRPr="005D2316">
        <w:rPr>
          <w:lang w:val="fr-FR"/>
        </w:rPr>
        <w:t>20</w:t>
      </w:r>
      <w:r w:rsidRPr="005D2316">
        <w:rPr>
          <w:lang w:val="fr-FR"/>
        </w:rPr>
        <w:t>23,</w:t>
      </w:r>
      <w:r w:rsidRPr="005D2316">
        <w:rPr>
          <w:rFonts w:cs="Arial"/>
          <w:lang w:val="fr-FR"/>
        </w:rPr>
        <w:t xml:space="preserve"> </w:t>
      </w:r>
      <w:r w:rsidR="00592AEC" w:rsidRPr="005D2316">
        <w:rPr>
          <w:rFonts w:cs="Arial"/>
          <w:lang w:val="fr-FR"/>
        </w:rPr>
        <w:t xml:space="preserve">une fois intégrées les améliorations identifiées </w:t>
      </w:r>
      <w:r w:rsidR="00F22DA2" w:rsidRPr="005D2316">
        <w:rPr>
          <w:rFonts w:cs="Arial"/>
          <w:lang w:val="fr-FR"/>
        </w:rPr>
        <w:t xml:space="preserve">à la suite de </w:t>
      </w:r>
      <w:r w:rsidR="00592AEC" w:rsidRPr="005D2316">
        <w:rPr>
          <w:rFonts w:cs="Arial"/>
          <w:lang w:val="fr-FR"/>
        </w:rPr>
        <w:t>la série d</w:t>
      </w:r>
      <w:r w:rsidR="0067269A" w:rsidRPr="005D2316">
        <w:rPr>
          <w:rFonts w:cs="Arial"/>
          <w:lang w:val="fr-FR"/>
        </w:rPr>
        <w:t>’</w:t>
      </w:r>
      <w:r w:rsidR="00592AEC" w:rsidRPr="005D2316">
        <w:rPr>
          <w:rFonts w:cs="Arial"/>
          <w:lang w:val="fr-FR"/>
        </w:rPr>
        <w:t>essais, notamment en matière d</w:t>
      </w:r>
      <w:r w:rsidR="0067269A" w:rsidRPr="005D2316">
        <w:rPr>
          <w:rFonts w:cs="Arial"/>
          <w:lang w:val="fr-FR"/>
        </w:rPr>
        <w:t>’</w:t>
      </w:r>
      <w:r w:rsidR="00592AEC" w:rsidRPr="005D2316">
        <w:rPr>
          <w:rFonts w:cs="Arial"/>
          <w:lang w:val="fr-FR"/>
        </w:rPr>
        <w:t>extrapolation</w:t>
      </w:r>
      <w:r w:rsidRPr="005D2316">
        <w:rPr>
          <w:lang w:val="fr-FR"/>
        </w:rPr>
        <w:t>.</w:t>
      </w:r>
    </w:p>
    <w:p w14:paraId="6EBE2D6B" w14:textId="77777777" w:rsidR="00AE3F08" w:rsidRPr="005D2316" w:rsidRDefault="00AE3F08" w:rsidP="00AE3F08">
      <w:pPr>
        <w:rPr>
          <w:rFonts w:cs="Arial"/>
          <w:lang w:val="fr-FR"/>
        </w:rPr>
      </w:pPr>
    </w:p>
    <w:p w14:paraId="10E157E3" w14:textId="34DD16DE" w:rsidR="00AE3F08" w:rsidRPr="005D2316" w:rsidRDefault="00AE3F08" w:rsidP="00AE3F08">
      <w:pPr>
        <w:rPr>
          <w:rFonts w:cs="Arial"/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rFonts w:cs="Arial"/>
          <w:lang w:val="fr-FR"/>
        </w:rPr>
        <w:t>L</w:t>
      </w:r>
      <w:r w:rsidR="0067269A" w:rsidRPr="005D2316">
        <w:rPr>
          <w:rFonts w:cs="Arial"/>
          <w:lang w:val="fr-FR"/>
        </w:rPr>
        <w:t>’</w:t>
      </w:r>
      <w:r w:rsidRPr="005D2316">
        <w:rPr>
          <w:rFonts w:cs="Arial"/>
          <w:lang w:val="fr-FR"/>
        </w:rPr>
        <w:t xml:space="preserve">expert </w:t>
      </w:r>
      <w:r w:rsidR="00592AEC" w:rsidRPr="005D2316">
        <w:rPr>
          <w:rFonts w:cs="Arial"/>
          <w:lang w:val="fr-FR"/>
        </w:rPr>
        <w:t>du</w:t>
      </w:r>
      <w:r w:rsidR="002D7623" w:rsidRPr="005D2316">
        <w:rPr>
          <w:rFonts w:cs="Arial"/>
          <w:lang w:val="fr-FR"/>
        </w:rPr>
        <w:t xml:space="preserve"> </w:t>
      </w:r>
      <w:r w:rsidR="00592AEC" w:rsidRPr="005D2316">
        <w:rPr>
          <w:rFonts w:cs="Arial"/>
          <w:lang w:val="fr-FR"/>
        </w:rPr>
        <w:t>Royaume</w:t>
      </w:r>
      <w:r w:rsidR="0067269A" w:rsidRPr="005D2316">
        <w:rPr>
          <w:rFonts w:cs="Arial"/>
          <w:lang w:val="fr-FR"/>
        </w:rPr>
        <w:t>-</w:t>
      </w:r>
      <w:r w:rsidR="00592AEC" w:rsidRPr="005D2316">
        <w:rPr>
          <w:rFonts w:cs="Arial"/>
          <w:lang w:val="fr-FR"/>
        </w:rPr>
        <w:t>Uni</w:t>
      </w:r>
      <w:r w:rsidR="002D7623" w:rsidRPr="005D2316">
        <w:rPr>
          <w:rFonts w:cs="Arial"/>
          <w:lang w:val="fr-FR"/>
        </w:rPr>
        <w:t xml:space="preserve"> </w:t>
      </w:r>
      <w:r w:rsidR="000D6690" w:rsidRPr="005D2316">
        <w:rPr>
          <w:rFonts w:cs="Arial"/>
          <w:lang w:val="fr-FR"/>
        </w:rPr>
        <w:t xml:space="preserve">a </w:t>
      </w:r>
      <w:r w:rsidRPr="005D2316">
        <w:rPr>
          <w:rFonts w:cs="Arial"/>
          <w:lang w:val="fr-FR"/>
        </w:rPr>
        <w:t>not</w:t>
      </w:r>
      <w:r w:rsidR="000D6690" w:rsidRPr="005D2316">
        <w:rPr>
          <w:rFonts w:cs="Arial"/>
          <w:lang w:val="fr-FR"/>
        </w:rPr>
        <w:t>é</w:t>
      </w:r>
      <w:r w:rsidRPr="005D2316">
        <w:rPr>
          <w:rFonts w:cs="Arial"/>
          <w:lang w:val="fr-FR"/>
        </w:rPr>
        <w:t xml:space="preserve"> </w:t>
      </w:r>
      <w:r w:rsidR="000D6690" w:rsidRPr="005D2316">
        <w:rPr>
          <w:rFonts w:cs="Arial"/>
          <w:lang w:val="fr-FR"/>
        </w:rPr>
        <w:t xml:space="preserve">que de nouvelles révisions du document TGP/8 seront nécessaires pour intégrer les </w:t>
      </w:r>
      <w:r w:rsidR="00977AA7" w:rsidRPr="005D2316">
        <w:rPr>
          <w:rFonts w:cs="Arial"/>
          <w:lang w:val="fr-FR"/>
        </w:rPr>
        <w:t>orientations</w:t>
      </w:r>
      <w:r w:rsidR="000D6690" w:rsidRPr="005D2316">
        <w:rPr>
          <w:rFonts w:cs="Arial"/>
          <w:lang w:val="fr-FR"/>
        </w:rPr>
        <w:t xml:space="preserve"> en matière d</w:t>
      </w:r>
      <w:r w:rsidR="0067269A" w:rsidRPr="005D2316">
        <w:rPr>
          <w:rFonts w:cs="Arial"/>
          <w:lang w:val="fr-FR"/>
        </w:rPr>
        <w:t>’</w:t>
      </w:r>
      <w:r w:rsidR="000D6690" w:rsidRPr="005D2316">
        <w:rPr>
          <w:rFonts w:cs="Arial"/>
          <w:lang w:val="fr-FR"/>
        </w:rPr>
        <w:t xml:space="preserve">extrapolation et </w:t>
      </w:r>
      <w:r w:rsidR="00594D32" w:rsidRPr="005D2316">
        <w:rPr>
          <w:rFonts w:cs="Arial"/>
          <w:lang w:val="fr-FR"/>
        </w:rPr>
        <w:t>i</w:t>
      </w:r>
      <w:r w:rsidR="000D6690" w:rsidRPr="005D2316">
        <w:rPr>
          <w:rFonts w:cs="Arial"/>
          <w:lang w:val="fr-FR"/>
        </w:rPr>
        <w:t>nformations minimales exigées</w:t>
      </w:r>
      <w:r w:rsidRPr="005D2316">
        <w:rPr>
          <w:rFonts w:cs="Arial"/>
          <w:lang w:val="fr-FR"/>
        </w:rPr>
        <w:t>.</w:t>
      </w:r>
    </w:p>
    <w:p w14:paraId="2FF5563D" w14:textId="6805A0DF" w:rsidR="00AE3F08" w:rsidRDefault="00AE3F08" w:rsidP="002D7623">
      <w:pPr>
        <w:rPr>
          <w:lang w:val="fr-FR"/>
        </w:rPr>
      </w:pPr>
    </w:p>
    <w:p w14:paraId="3AF98A64" w14:textId="77777777" w:rsidR="006E4FA9" w:rsidRPr="005D2316" w:rsidRDefault="006E4FA9" w:rsidP="002D7623">
      <w:pPr>
        <w:rPr>
          <w:lang w:val="fr-FR"/>
        </w:rPr>
      </w:pPr>
    </w:p>
    <w:p w14:paraId="2697CC4A" w14:textId="1CF9F02D" w:rsidR="00AE3F08" w:rsidRPr="005D2316" w:rsidRDefault="00AE3F08" w:rsidP="00084993">
      <w:pPr>
        <w:pStyle w:val="Heading2"/>
      </w:pPr>
      <w:bookmarkStart w:id="15" w:name="_Toc117002594"/>
      <w:r w:rsidRPr="005D2316">
        <w:t xml:space="preserve">Extrapolation </w:t>
      </w:r>
      <w:r w:rsidR="000D6690" w:rsidRPr="005D2316">
        <w:t>relativement à</w:t>
      </w:r>
      <w:r w:rsidRPr="005D2316">
        <w:t xml:space="preserve"> COYU</w:t>
      </w:r>
      <w:bookmarkEnd w:id="15"/>
    </w:p>
    <w:p w14:paraId="2884EB4E" w14:textId="77777777" w:rsidR="00AE3F08" w:rsidRPr="005D2316" w:rsidRDefault="00AE3F08" w:rsidP="00AE3F08">
      <w:pPr>
        <w:jc w:val="left"/>
        <w:rPr>
          <w:lang w:val="fr-FR"/>
        </w:rPr>
      </w:pPr>
    </w:p>
    <w:p w14:paraId="0E43E090" w14:textId="0CC52015" w:rsidR="00AE3F08" w:rsidRPr="005D2316" w:rsidRDefault="00AE3F08" w:rsidP="00AE3F08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Pr="005D2316">
        <w:rPr>
          <w:lang w:val="fr-FR"/>
        </w:rPr>
        <w:t xml:space="preserve"> TWM </w:t>
      </w:r>
      <w:r w:rsidR="000D6690" w:rsidRPr="005D2316">
        <w:rPr>
          <w:lang w:val="fr-FR"/>
        </w:rPr>
        <w:t xml:space="preserve">a examiné le </w:t>
      </w:r>
      <w:r w:rsidRPr="005D2316">
        <w:rPr>
          <w:lang w:val="fr-FR"/>
        </w:rPr>
        <w:t>document TWM/1/7</w:t>
      </w:r>
      <w:r w:rsidR="00450501" w:rsidRPr="005D2316">
        <w:rPr>
          <w:rFonts w:cs="Arial"/>
          <w:bCs/>
          <w:lang w:val="fr-FR"/>
        </w:rPr>
        <w:t xml:space="preserve">, </w:t>
      </w:r>
      <w:r w:rsidR="000D6690" w:rsidRPr="005D2316">
        <w:rPr>
          <w:rFonts w:cs="Arial"/>
          <w:bCs/>
          <w:lang w:val="fr-FR"/>
        </w:rPr>
        <w:t>figurant dans l</w:t>
      </w:r>
      <w:r w:rsidR="0067269A" w:rsidRPr="005D2316">
        <w:rPr>
          <w:rFonts w:cs="Arial"/>
          <w:bCs/>
          <w:lang w:val="fr-FR"/>
        </w:rPr>
        <w:t>’annexe I</w:t>
      </w:r>
      <w:r w:rsidR="00450501" w:rsidRPr="005D2316">
        <w:rPr>
          <w:rFonts w:cs="Arial"/>
          <w:bCs/>
          <w:lang w:val="fr-FR"/>
        </w:rPr>
        <w:t xml:space="preserve">I </w:t>
      </w:r>
      <w:r w:rsidR="000D6690" w:rsidRPr="005D2316">
        <w:rPr>
          <w:rFonts w:cs="Arial"/>
          <w:bCs/>
          <w:lang w:val="fr-FR"/>
        </w:rPr>
        <w:t>du présent</w:t>
      </w:r>
      <w:r w:rsidR="00450501" w:rsidRPr="005D2316">
        <w:rPr>
          <w:rFonts w:cs="Arial"/>
          <w:bCs/>
          <w:lang w:val="fr-FR"/>
        </w:rPr>
        <w:t xml:space="preserve"> document, </w:t>
      </w:r>
      <w:r w:rsidR="000D6690" w:rsidRPr="005D2316">
        <w:rPr>
          <w:rFonts w:cs="Arial"/>
          <w:bCs/>
          <w:lang w:val="fr-FR"/>
        </w:rPr>
        <w:t xml:space="preserve">et </w:t>
      </w:r>
      <w:r w:rsidRPr="005D2316">
        <w:rPr>
          <w:lang w:val="fr-FR"/>
        </w:rPr>
        <w:t>a</w:t>
      </w:r>
      <w:r w:rsidR="000D6690" w:rsidRPr="005D2316">
        <w:rPr>
          <w:lang w:val="fr-FR"/>
        </w:rPr>
        <w:t xml:space="preserve"> entendu un</w:t>
      </w:r>
      <w:r w:rsidRPr="005D2316">
        <w:rPr>
          <w:lang w:val="fr-FR"/>
        </w:rPr>
        <w:t xml:space="preserve"> </w:t>
      </w:r>
      <w:r w:rsidR="000D6690" w:rsidRPr="005D2316">
        <w:rPr>
          <w:lang w:val="fr-FR"/>
        </w:rPr>
        <w:t xml:space="preserve">exposé présenté par </w:t>
      </w:r>
      <w:r w:rsidRPr="005D2316">
        <w:rPr>
          <w:lang w:val="fr-FR"/>
        </w:rPr>
        <w:t>M.</w:t>
      </w:r>
      <w:r w:rsidR="00A2333E" w:rsidRPr="005D2316">
        <w:rPr>
          <w:lang w:val="fr-FR"/>
        </w:rPr>
        <w:t> </w:t>
      </w:r>
      <w:r w:rsidRPr="005D2316">
        <w:rPr>
          <w:lang w:val="fr-FR"/>
        </w:rPr>
        <w:t>Adrian</w:t>
      </w:r>
      <w:r w:rsidR="0012350F" w:rsidRPr="005D2316">
        <w:rPr>
          <w:lang w:val="fr-FR"/>
        </w:rPr>
        <w:t> </w:t>
      </w:r>
      <w:r w:rsidRPr="005D2316">
        <w:rPr>
          <w:lang w:val="fr-FR"/>
        </w:rPr>
        <w:t>Roberts (</w:t>
      </w:r>
      <w:r w:rsidR="00592AEC" w:rsidRPr="005D2316">
        <w:rPr>
          <w:lang w:val="fr-FR"/>
        </w:rPr>
        <w:t>Royaume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>Uni</w:t>
      </w:r>
      <w:r w:rsidRPr="005D2316">
        <w:rPr>
          <w:lang w:val="fr-FR"/>
        </w:rPr>
        <w:t xml:space="preserve">) </w:t>
      </w:r>
      <w:r w:rsidR="000D6690" w:rsidRPr="005D2316">
        <w:rPr>
          <w:lang w:val="fr-FR"/>
        </w:rPr>
        <w:t>sur</w:t>
      </w:r>
      <w:r w:rsidRPr="005D2316">
        <w:rPr>
          <w:lang w:val="fr-FR"/>
        </w:rPr>
        <w:t xml:space="preserve"> “</w:t>
      </w:r>
      <w:proofErr w:type="spellStart"/>
      <w:r w:rsidRPr="005D2316">
        <w:rPr>
          <w:lang w:val="fr-FR"/>
        </w:rPr>
        <w:t>Combined</w:t>
      </w:r>
      <w:proofErr w:type="spellEnd"/>
      <w:r w:rsidR="0067269A" w:rsidRPr="005D2316">
        <w:rPr>
          <w:lang w:val="fr-FR"/>
        </w:rPr>
        <w:t>-</w:t>
      </w:r>
      <w:r w:rsidRPr="005D2316">
        <w:rPr>
          <w:lang w:val="fr-FR"/>
        </w:rPr>
        <w:t>over</w:t>
      </w:r>
      <w:r w:rsidR="0067269A" w:rsidRPr="005D2316">
        <w:rPr>
          <w:lang w:val="fr-FR"/>
        </w:rPr>
        <w:t>-</w:t>
      </w:r>
      <w:proofErr w:type="spellStart"/>
      <w:r w:rsidRPr="005D2316">
        <w:rPr>
          <w:lang w:val="fr-FR"/>
        </w:rPr>
        <w:t>year</w:t>
      </w:r>
      <w:proofErr w:type="spellEnd"/>
      <w:r w:rsidRPr="005D2316">
        <w:rPr>
          <w:lang w:val="fr-FR"/>
        </w:rPr>
        <w:t xml:space="preserve"> </w:t>
      </w:r>
      <w:proofErr w:type="spellStart"/>
      <w:r w:rsidR="000D6690" w:rsidRPr="005D2316">
        <w:rPr>
          <w:lang w:val="fr-FR"/>
        </w:rPr>
        <w:t>uniformity</w:t>
      </w:r>
      <w:proofErr w:type="spellEnd"/>
      <w:r w:rsidRPr="005D2316">
        <w:rPr>
          <w:lang w:val="fr-FR"/>
        </w:rPr>
        <w:t xml:space="preserve"> (COYU) </w:t>
      </w:r>
      <w:proofErr w:type="spellStart"/>
      <w:r w:rsidRPr="005D2316">
        <w:rPr>
          <w:lang w:val="fr-FR"/>
        </w:rPr>
        <w:t>criterion</w:t>
      </w:r>
      <w:proofErr w:type="spellEnd"/>
      <w:r w:rsidRPr="005D2316">
        <w:rPr>
          <w:lang w:val="fr-FR"/>
        </w:rPr>
        <w:t xml:space="preserve">: Extrapolation”, </w:t>
      </w:r>
      <w:r w:rsidR="000D6690" w:rsidRPr="005D2316">
        <w:rPr>
          <w:rFonts w:cs="Arial"/>
          <w:iCs/>
          <w:lang w:val="fr-FR"/>
        </w:rPr>
        <w:t xml:space="preserve">dont une copie est reproduite dans le </w:t>
      </w:r>
      <w:r w:rsidR="0067269A" w:rsidRPr="005D2316">
        <w:rPr>
          <w:rFonts w:cs="Arial"/>
          <w:iCs/>
          <w:lang w:val="fr-FR"/>
        </w:rPr>
        <w:t xml:space="preserve">document </w:t>
      </w:r>
      <w:r w:rsidR="0067269A" w:rsidRPr="005D2316">
        <w:rPr>
          <w:lang w:val="fr-FR"/>
        </w:rPr>
        <w:t>TW</w:t>
      </w:r>
      <w:r w:rsidRPr="005D2316">
        <w:rPr>
          <w:lang w:val="fr-FR"/>
        </w:rPr>
        <w:t>M/1/7</w:t>
      </w:r>
      <w:r w:rsidR="00A2333E" w:rsidRPr="005D2316">
        <w:rPr>
          <w:lang w:val="fr-FR"/>
        </w:rPr>
        <w:t> </w:t>
      </w:r>
      <w:proofErr w:type="spellStart"/>
      <w:r w:rsidRPr="005D2316">
        <w:rPr>
          <w:lang w:val="fr-FR"/>
        </w:rPr>
        <w:t>Add</w:t>
      </w:r>
      <w:proofErr w:type="spellEnd"/>
      <w:r w:rsidR="00A2333E" w:rsidRPr="005D2316">
        <w:rPr>
          <w:lang w:val="fr-FR"/>
        </w:rPr>
        <w:t>.</w:t>
      </w:r>
    </w:p>
    <w:p w14:paraId="5D0AA3E4" w14:textId="77777777" w:rsidR="00AE3F08" w:rsidRPr="005D2316" w:rsidRDefault="00AE3F08" w:rsidP="00AE3F08">
      <w:pPr>
        <w:rPr>
          <w:lang w:val="fr-FR"/>
        </w:rPr>
      </w:pPr>
    </w:p>
    <w:p w14:paraId="7C3E48C7" w14:textId="21232BC0" w:rsidR="00AE3F08" w:rsidRPr="005D2316" w:rsidRDefault="00AE3F08" w:rsidP="00AE3F08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Pr="005D2316">
        <w:rPr>
          <w:lang w:val="fr-FR"/>
        </w:rPr>
        <w:t xml:space="preserve"> TWM </w:t>
      </w:r>
      <w:r w:rsidR="000D6690" w:rsidRPr="005D2316">
        <w:rPr>
          <w:lang w:val="fr-FR"/>
        </w:rPr>
        <w:t xml:space="preserve">a </w:t>
      </w:r>
      <w:r w:rsidRPr="005D2316">
        <w:rPr>
          <w:lang w:val="fr-FR"/>
        </w:rPr>
        <w:t>not</w:t>
      </w:r>
      <w:r w:rsidR="000D6690" w:rsidRPr="005D2316">
        <w:rPr>
          <w:lang w:val="fr-FR"/>
        </w:rPr>
        <w:t>é</w:t>
      </w:r>
      <w:r w:rsidRPr="005D2316">
        <w:rPr>
          <w:lang w:val="fr-FR"/>
        </w:rPr>
        <w:t xml:space="preserve"> </w:t>
      </w:r>
      <w:r w:rsidR="000D6690" w:rsidRPr="005D2316">
        <w:rPr>
          <w:lang w:val="fr-FR"/>
        </w:rPr>
        <w:t>la recommandation selon laquelle l</w:t>
      </w:r>
      <w:r w:rsidR="0067269A" w:rsidRPr="005D2316">
        <w:rPr>
          <w:lang w:val="fr-FR"/>
        </w:rPr>
        <w:t>’</w:t>
      </w:r>
      <w:r w:rsidR="000D6690" w:rsidRPr="005D2316">
        <w:rPr>
          <w:lang w:val="fr-FR"/>
        </w:rPr>
        <w:t xml:space="preserve">homogénéité par les </w:t>
      </w:r>
      <w:proofErr w:type="spellStart"/>
      <w:r w:rsidR="000D6690" w:rsidRPr="005D2316">
        <w:rPr>
          <w:lang w:val="fr-FR"/>
        </w:rPr>
        <w:t>phytotechniciens</w:t>
      </w:r>
      <w:proofErr w:type="spellEnd"/>
      <w:r w:rsidR="000D6690" w:rsidRPr="005D2316">
        <w:rPr>
          <w:lang w:val="fr-FR"/>
        </w:rPr>
        <w:t xml:space="preserve"> dans les cas d</w:t>
      </w:r>
      <w:r w:rsidR="0067269A" w:rsidRPr="005D2316">
        <w:rPr>
          <w:lang w:val="fr-FR"/>
        </w:rPr>
        <w:t>’</w:t>
      </w:r>
      <w:r w:rsidR="000D6690" w:rsidRPr="005D2316">
        <w:rPr>
          <w:lang w:val="fr-FR"/>
        </w:rPr>
        <w:t>extrapolation devrait faire l</w:t>
      </w:r>
      <w:r w:rsidR="0067269A" w:rsidRPr="005D2316">
        <w:rPr>
          <w:lang w:val="fr-FR"/>
        </w:rPr>
        <w:t>’</w:t>
      </w:r>
      <w:r w:rsidR="000D6690" w:rsidRPr="005D2316">
        <w:rPr>
          <w:lang w:val="fr-FR"/>
        </w:rPr>
        <w:t>objet d</w:t>
      </w:r>
      <w:r w:rsidR="0067269A" w:rsidRPr="005D2316">
        <w:rPr>
          <w:lang w:val="fr-FR"/>
        </w:rPr>
        <w:t>’</w:t>
      </w:r>
      <w:r w:rsidR="000D6690" w:rsidRPr="005D2316">
        <w:rPr>
          <w:lang w:val="fr-FR"/>
        </w:rPr>
        <w:t>une attention particuliè</w:t>
      </w:r>
      <w:r w:rsidR="001A0B67" w:rsidRPr="005D2316">
        <w:rPr>
          <w:lang w:val="fr-FR"/>
        </w:rPr>
        <w:t>re.  Qu</w:t>
      </w:r>
      <w:r w:rsidR="000D6690" w:rsidRPr="005D2316">
        <w:rPr>
          <w:lang w:val="fr-FR"/>
        </w:rPr>
        <w:t>elle que soit l</w:t>
      </w:r>
      <w:r w:rsidR="0067269A" w:rsidRPr="005D2316">
        <w:rPr>
          <w:lang w:val="fr-FR"/>
        </w:rPr>
        <w:t>’</w:t>
      </w:r>
      <w:r w:rsidR="000D6690" w:rsidRPr="005D2316">
        <w:rPr>
          <w:lang w:val="fr-FR"/>
        </w:rPr>
        <w:t xml:space="preserve">approche </w:t>
      </w:r>
      <w:r w:rsidRPr="005D2316">
        <w:rPr>
          <w:lang w:val="fr-FR"/>
        </w:rPr>
        <w:t xml:space="preserve">COYU </w:t>
      </w:r>
      <w:r w:rsidR="000D6690" w:rsidRPr="005D2316">
        <w:rPr>
          <w:lang w:val="fr-FR"/>
        </w:rPr>
        <w:t xml:space="preserve">employée </w:t>
      </w:r>
      <w:r w:rsidRPr="005D2316">
        <w:rPr>
          <w:lang w:val="fr-FR"/>
        </w:rPr>
        <w:t>(mo</w:t>
      </w:r>
      <w:r w:rsidR="000D6690" w:rsidRPr="005D2316">
        <w:rPr>
          <w:lang w:val="fr-FR"/>
        </w:rPr>
        <w:t>yennes mobiles</w:t>
      </w:r>
      <w:r w:rsidR="00A2333E" w:rsidRPr="005D2316">
        <w:rPr>
          <w:lang w:val="fr-FR"/>
        </w:rPr>
        <w:t xml:space="preserve">; 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), </w:t>
      </w:r>
      <w:r w:rsidR="002E0D44" w:rsidRPr="005D2316">
        <w:rPr>
          <w:lang w:val="fr-FR"/>
        </w:rPr>
        <w:t>l</w:t>
      </w:r>
      <w:r w:rsidRPr="005D2316">
        <w:rPr>
          <w:lang w:val="fr-FR"/>
        </w:rPr>
        <w:t xml:space="preserve">e verdict </w:t>
      </w:r>
      <w:r w:rsidR="002E0D44" w:rsidRPr="005D2316">
        <w:rPr>
          <w:lang w:val="fr-FR"/>
        </w:rPr>
        <w:t>d</w:t>
      </w:r>
      <w:r w:rsidR="0067269A" w:rsidRPr="005D2316">
        <w:rPr>
          <w:lang w:val="fr-FR"/>
        </w:rPr>
        <w:t>’</w:t>
      </w:r>
      <w:r w:rsidR="00AA5C19" w:rsidRPr="005D2316">
        <w:rPr>
          <w:lang w:val="fr-FR"/>
        </w:rPr>
        <w:t>homogénéité</w:t>
      </w:r>
      <w:r w:rsidRPr="005D2316">
        <w:rPr>
          <w:lang w:val="fr-FR"/>
        </w:rPr>
        <w:t xml:space="preserve"> </w:t>
      </w:r>
      <w:r w:rsidR="002E0D44" w:rsidRPr="005D2316">
        <w:rPr>
          <w:lang w:val="fr-FR"/>
        </w:rPr>
        <w:t xml:space="preserve">devrait être </w:t>
      </w:r>
      <w:r w:rsidRPr="005D2316">
        <w:rPr>
          <w:lang w:val="fr-FR"/>
        </w:rPr>
        <w:t>confirm</w:t>
      </w:r>
      <w:r w:rsidR="002E0D44" w:rsidRPr="005D2316">
        <w:rPr>
          <w:lang w:val="fr-FR"/>
        </w:rPr>
        <w:t>é</w:t>
      </w:r>
      <w:r w:rsidRPr="005D2316">
        <w:rPr>
          <w:lang w:val="fr-FR"/>
        </w:rPr>
        <w:t xml:space="preserve"> </w:t>
      </w:r>
      <w:r w:rsidR="002E0D44" w:rsidRPr="005D2316">
        <w:rPr>
          <w:lang w:val="fr-FR"/>
        </w:rPr>
        <w:t>par les</w:t>
      </w:r>
      <w:r w:rsidRPr="005D2316">
        <w:rPr>
          <w:lang w:val="fr-FR"/>
        </w:rPr>
        <w:t xml:space="preserve"> </w:t>
      </w:r>
      <w:proofErr w:type="spellStart"/>
      <w:r w:rsidR="00AA5C19" w:rsidRPr="005D2316">
        <w:rPr>
          <w:lang w:val="fr-FR"/>
        </w:rPr>
        <w:t>phytotechniciens</w:t>
      </w:r>
      <w:proofErr w:type="spellEnd"/>
      <w:r w:rsidRPr="005D2316">
        <w:rPr>
          <w:lang w:val="fr-FR"/>
        </w:rPr>
        <w:t xml:space="preserve"> (</w:t>
      </w:r>
      <w:r w:rsidR="002E0D44" w:rsidRPr="005D2316">
        <w:rPr>
          <w:lang w:val="fr-FR"/>
        </w:rPr>
        <w:t>dans les cas d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>extrapolation).</w:t>
      </w:r>
    </w:p>
    <w:p w14:paraId="7C7AEA28" w14:textId="77777777" w:rsidR="00AE3F08" w:rsidRPr="005D2316" w:rsidRDefault="00AE3F08" w:rsidP="00AE3F08">
      <w:pPr>
        <w:rPr>
          <w:lang w:val="fr-FR"/>
        </w:rPr>
      </w:pPr>
    </w:p>
    <w:p w14:paraId="12760814" w14:textId="1CEFB207" w:rsidR="00AE3F08" w:rsidRPr="005D2316" w:rsidRDefault="00AE3F08" w:rsidP="00AE3F08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Pr="005D2316">
        <w:rPr>
          <w:lang w:val="fr-FR"/>
        </w:rPr>
        <w:t xml:space="preserve"> TWM a</w:t>
      </w:r>
      <w:r w:rsidR="002E0D44" w:rsidRPr="005D2316">
        <w:rPr>
          <w:lang w:val="fr-FR"/>
        </w:rPr>
        <w:t xml:space="preserve"> convenu de la nécessité 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>une nouvelle discussion sur les approches à adopter dans les cas où une extrapolation est indiquée, et a convenu 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>inviter le Royaume</w:t>
      </w:r>
      <w:r w:rsidR="0067269A" w:rsidRPr="005D2316">
        <w:rPr>
          <w:lang w:val="fr-FR"/>
        </w:rPr>
        <w:t>-</w:t>
      </w:r>
      <w:r w:rsidR="002E0D44" w:rsidRPr="005D2316">
        <w:rPr>
          <w:lang w:val="fr-FR"/>
        </w:rPr>
        <w:t>Uni, ainsi que 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>autres membres, à faire rapport sur cette question à la deux</w:t>
      </w:r>
      <w:r w:rsidR="0067269A" w:rsidRPr="005D2316">
        <w:rPr>
          <w:lang w:val="fr-FR"/>
        </w:rPr>
        <w:t>ième session du TWM</w:t>
      </w:r>
      <w:r w:rsidR="002E0D44" w:rsidRPr="005D2316">
        <w:rPr>
          <w:lang w:val="fr-FR"/>
        </w:rPr>
        <w:t>.</w:t>
      </w:r>
    </w:p>
    <w:p w14:paraId="5520B15E" w14:textId="77777777" w:rsidR="00AE3F08" w:rsidRPr="005D2316" w:rsidRDefault="00AE3F08" w:rsidP="00AE3F08">
      <w:pPr>
        <w:rPr>
          <w:lang w:val="fr-FR"/>
        </w:rPr>
      </w:pPr>
    </w:p>
    <w:p w14:paraId="624155A3" w14:textId="77777777" w:rsidR="00AE3F08" w:rsidRPr="005D2316" w:rsidRDefault="00AE3F08" w:rsidP="00AE3F08">
      <w:pPr>
        <w:rPr>
          <w:lang w:val="fr-FR"/>
        </w:rPr>
      </w:pPr>
    </w:p>
    <w:p w14:paraId="7F7F3D08" w14:textId="3EBB5877" w:rsidR="007915C4" w:rsidRPr="005D2316" w:rsidRDefault="006E4FA9" w:rsidP="007915C4">
      <w:pPr>
        <w:keepNext/>
        <w:outlineLvl w:val="0"/>
        <w:rPr>
          <w:caps/>
          <w:lang w:val="fr-FR"/>
        </w:rPr>
      </w:pPr>
      <w:bookmarkStart w:id="16" w:name="_Toc117002595"/>
      <w:r>
        <w:rPr>
          <w:caps/>
          <w:lang w:val="fr-FR"/>
        </w:rPr>
        <w:t>Prochaines étapes</w:t>
      </w:r>
      <w:bookmarkEnd w:id="16"/>
    </w:p>
    <w:p w14:paraId="4F554E8C" w14:textId="77777777" w:rsidR="007915C4" w:rsidRPr="005D2316" w:rsidRDefault="007915C4" w:rsidP="007915C4">
      <w:pPr>
        <w:rPr>
          <w:lang w:val="fr-FR"/>
        </w:rPr>
      </w:pPr>
    </w:p>
    <w:p w14:paraId="16B32768" w14:textId="696F5D87" w:rsidR="007915C4" w:rsidRPr="005D2316" w:rsidRDefault="007915C4" w:rsidP="007915C4">
      <w:pPr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</w:t>
      </w:r>
      <w:r w:rsidR="002E0D44" w:rsidRPr="005D2316">
        <w:rPr>
          <w:lang w:val="fr-FR"/>
        </w:rPr>
        <w:t>est</w:t>
      </w:r>
      <w:r w:rsidRPr="005D2316">
        <w:rPr>
          <w:lang w:val="fr-FR"/>
        </w:rPr>
        <w:t xml:space="preserve"> invit</w:t>
      </w:r>
      <w:r w:rsidR="002E0D44" w:rsidRPr="005D2316">
        <w:rPr>
          <w:lang w:val="fr-FR"/>
        </w:rPr>
        <w:t>é à renouveler sa demand</w:t>
      </w:r>
      <w:r w:rsidRPr="005D2316">
        <w:rPr>
          <w:lang w:val="fr-FR"/>
        </w:rPr>
        <w:t>e</w:t>
      </w:r>
      <w:r w:rsidR="0067269A" w:rsidRPr="005D2316">
        <w:rPr>
          <w:lang w:val="fr-FR"/>
        </w:rPr>
        <w:t xml:space="preserve"> au TWM</w:t>
      </w:r>
      <w:r w:rsidRPr="005D2316">
        <w:rPr>
          <w:lang w:val="fr-FR"/>
        </w:rPr>
        <w:t xml:space="preserve"> </w:t>
      </w:r>
      <w:r w:rsidR="002E0D44" w:rsidRPr="005D2316">
        <w:rPr>
          <w:lang w:val="fr-FR"/>
        </w:rPr>
        <w:t xml:space="preserve">afin que ce dernier établisse un </w:t>
      </w:r>
      <w:r w:rsidRPr="005D2316">
        <w:rPr>
          <w:lang w:val="fr-FR"/>
        </w:rPr>
        <w:t>r</w:t>
      </w:r>
      <w:r w:rsidR="002E0D44" w:rsidRPr="005D2316">
        <w:rPr>
          <w:lang w:val="fr-FR"/>
        </w:rPr>
        <w:t>ap</w:t>
      </w:r>
      <w:r w:rsidRPr="005D2316">
        <w:rPr>
          <w:lang w:val="fr-FR"/>
        </w:rPr>
        <w:t xml:space="preserve">port </w:t>
      </w:r>
      <w:r w:rsidR="002E0D44" w:rsidRPr="005D2316">
        <w:rPr>
          <w:lang w:val="fr-FR"/>
        </w:rPr>
        <w:t>contenant les résultats de la série 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 xml:space="preserve">essais sur le logiciel </w:t>
      </w:r>
      <w:r w:rsidRPr="005D2316">
        <w:rPr>
          <w:lang w:val="fr-FR"/>
        </w:rPr>
        <w:t xml:space="preserve">COYU </w:t>
      </w:r>
      <w:proofErr w:type="spellStart"/>
      <w:r w:rsidRPr="005D2316">
        <w:rPr>
          <w:lang w:val="fr-FR"/>
        </w:rPr>
        <w:t>Splines</w:t>
      </w:r>
      <w:proofErr w:type="spellEnd"/>
      <w:r w:rsidRPr="005D2316">
        <w:rPr>
          <w:lang w:val="fr-FR"/>
        </w:rPr>
        <w:t xml:space="preserve"> </w:t>
      </w:r>
      <w:r w:rsidR="002E0D44" w:rsidRPr="005D2316">
        <w:rPr>
          <w:lang w:val="fr-FR"/>
        </w:rPr>
        <w:t>pour examen par le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, </w:t>
      </w:r>
      <w:r w:rsidR="002E0D44" w:rsidRPr="005D2316">
        <w:rPr>
          <w:lang w:val="fr-FR"/>
        </w:rPr>
        <w:t>parallèlement à la ré</w:t>
      </w:r>
      <w:r w:rsidRPr="005D2316">
        <w:rPr>
          <w:lang w:val="fr-FR"/>
        </w:rPr>
        <w:t xml:space="preserve">vision </w:t>
      </w:r>
      <w:r w:rsidR="002E0D44" w:rsidRPr="005D2316">
        <w:rPr>
          <w:lang w:val="fr-FR"/>
        </w:rPr>
        <w:t>du</w:t>
      </w:r>
      <w:r w:rsidRPr="005D2316">
        <w:rPr>
          <w:lang w:val="fr-FR"/>
        </w:rPr>
        <w:t xml:space="preserve"> document TGP/8.</w:t>
      </w:r>
    </w:p>
    <w:p w14:paraId="71FB6C63" w14:textId="35761B3B" w:rsidR="007915C4" w:rsidRDefault="007915C4" w:rsidP="007915C4">
      <w:pPr>
        <w:rPr>
          <w:lang w:val="fr-FR"/>
        </w:rPr>
      </w:pPr>
    </w:p>
    <w:p w14:paraId="0EFF6CA5" w14:textId="77777777" w:rsidR="00F8637E" w:rsidRPr="005D2316" w:rsidRDefault="00F8637E" w:rsidP="007915C4">
      <w:pPr>
        <w:rPr>
          <w:lang w:val="fr-FR"/>
        </w:rPr>
      </w:pPr>
    </w:p>
    <w:p w14:paraId="45742040" w14:textId="7E985A58" w:rsidR="007915C4" w:rsidRPr="005D2316" w:rsidRDefault="007915C4" w:rsidP="007915C4">
      <w:pPr>
        <w:pStyle w:val="DecisionParagraphs"/>
        <w:rPr>
          <w:lang w:val="fr-FR"/>
        </w:rPr>
      </w:pPr>
      <w:r w:rsidRPr="005D2316">
        <w:rPr>
          <w:lang w:val="fr-FR"/>
        </w:rPr>
        <w:fldChar w:fldCharType="begin"/>
      </w:r>
      <w:r w:rsidRPr="005D2316">
        <w:rPr>
          <w:lang w:val="fr-FR"/>
        </w:rPr>
        <w:instrText xml:space="preserve"> AUTONUM  </w:instrText>
      </w:r>
      <w:r w:rsidRPr="005D2316">
        <w:rPr>
          <w:lang w:val="fr-FR"/>
        </w:rPr>
        <w:fldChar w:fldCharType="end"/>
      </w:r>
      <w:r w:rsidRPr="005D2316">
        <w:rPr>
          <w:lang w:val="fr-FR"/>
        </w:rPr>
        <w:tab/>
      </w:r>
      <w:r w:rsidR="00084993" w:rsidRPr="005D2316">
        <w:rPr>
          <w:lang w:val="fr-FR"/>
        </w:rPr>
        <w:t>Le</w:t>
      </w:r>
      <w:r w:rsidR="0067269A" w:rsidRPr="005D2316">
        <w:rPr>
          <w:lang w:val="fr-FR"/>
        </w:rPr>
        <w:t> TC</w:t>
      </w:r>
      <w:r w:rsidRPr="005D2316">
        <w:rPr>
          <w:lang w:val="fr-FR"/>
        </w:rPr>
        <w:t xml:space="preserve"> </w:t>
      </w:r>
      <w:r w:rsidR="002E0D44" w:rsidRPr="005D2316">
        <w:rPr>
          <w:lang w:val="fr-FR"/>
        </w:rPr>
        <w:t>est invité à</w:t>
      </w:r>
    </w:p>
    <w:p w14:paraId="13060B79" w14:textId="77777777" w:rsidR="007915C4" w:rsidRPr="005D2316" w:rsidRDefault="007915C4" w:rsidP="007915C4">
      <w:pPr>
        <w:pStyle w:val="DecisionParagraphs"/>
        <w:rPr>
          <w:lang w:val="fr-FR"/>
        </w:rPr>
      </w:pPr>
    </w:p>
    <w:p w14:paraId="69F2DAB9" w14:textId="07088F41" w:rsidR="007915C4" w:rsidRPr="005D2316" w:rsidRDefault="00800C5A" w:rsidP="007915C4">
      <w:pPr>
        <w:pStyle w:val="DecisionParagraphs"/>
        <w:rPr>
          <w:lang w:val="fr-FR"/>
        </w:rPr>
      </w:pPr>
      <w:r w:rsidRPr="005D2316">
        <w:rPr>
          <w:lang w:val="fr-FR"/>
        </w:rPr>
        <w:tab/>
      </w:r>
      <w:r w:rsidR="007915C4" w:rsidRPr="005D2316">
        <w:rPr>
          <w:lang w:val="fr-FR"/>
        </w:rPr>
        <w:t>a)</w:t>
      </w:r>
      <w:r w:rsidR="007915C4" w:rsidRPr="005D2316">
        <w:rPr>
          <w:lang w:val="fr-FR"/>
        </w:rPr>
        <w:tab/>
      </w:r>
      <w:r w:rsidR="009E2692" w:rsidRPr="005D2316">
        <w:rPr>
          <w:lang w:val="fr-FR"/>
        </w:rPr>
        <w:t>note</w:t>
      </w:r>
      <w:r w:rsidR="002E0D44" w:rsidRPr="005D2316">
        <w:rPr>
          <w:lang w:val="fr-FR"/>
        </w:rPr>
        <w:t>r qu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>il a été prévu de lancer une nouvelle</w:t>
      </w:r>
      <w:r w:rsidR="009E2692" w:rsidRPr="005D2316">
        <w:rPr>
          <w:lang w:val="fr-FR"/>
        </w:rPr>
        <w:t xml:space="preserve"> version </w:t>
      </w:r>
      <w:r w:rsidR="002E0D44" w:rsidRPr="005D2316">
        <w:rPr>
          <w:lang w:val="fr-FR"/>
        </w:rPr>
        <w:t>de</w:t>
      </w:r>
      <w:r w:rsidR="009E2692" w:rsidRPr="005D2316">
        <w:rPr>
          <w:lang w:val="fr-FR"/>
        </w:rPr>
        <w:t xml:space="preserve"> DUSTNT in</w:t>
      </w:r>
      <w:r w:rsidR="002E0D44" w:rsidRPr="005D2316">
        <w:rPr>
          <w:lang w:val="fr-FR"/>
        </w:rPr>
        <w:t>tégrant la méthode</w:t>
      </w:r>
      <w:r w:rsidR="009E2692" w:rsidRPr="005D2316">
        <w:rPr>
          <w:lang w:val="fr-FR"/>
        </w:rPr>
        <w:t xml:space="preserve"> COYU </w:t>
      </w:r>
      <w:r w:rsidR="002E0D44" w:rsidRPr="005D2316">
        <w:rPr>
          <w:lang w:val="fr-FR"/>
        </w:rPr>
        <w:t>avec des</w:t>
      </w:r>
      <w:r w:rsidR="009E2692" w:rsidRPr="005D2316">
        <w:rPr>
          <w:lang w:val="fr-FR"/>
        </w:rPr>
        <w:t xml:space="preserve"> </w:t>
      </w:r>
      <w:proofErr w:type="spellStart"/>
      <w:r w:rsidR="009E2692" w:rsidRPr="005D2316">
        <w:rPr>
          <w:lang w:val="fr-FR"/>
        </w:rPr>
        <w:t>splines</w:t>
      </w:r>
      <w:proofErr w:type="spellEnd"/>
      <w:r w:rsidR="009E2692" w:rsidRPr="005D2316">
        <w:rPr>
          <w:lang w:val="fr-FR"/>
        </w:rPr>
        <w:t xml:space="preserve"> (DUST9NT) </w:t>
      </w:r>
      <w:r w:rsidR="002E0D44" w:rsidRPr="005D2316">
        <w:rPr>
          <w:lang w:val="fr-FR"/>
        </w:rPr>
        <w:t>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 xml:space="preserve">ici </w:t>
      </w:r>
      <w:r w:rsidR="0067269A" w:rsidRPr="005D2316">
        <w:rPr>
          <w:lang w:val="fr-FR"/>
        </w:rPr>
        <w:t>septembre 20</w:t>
      </w:r>
      <w:r w:rsidR="009E2692" w:rsidRPr="005D2316">
        <w:rPr>
          <w:lang w:val="fr-FR"/>
        </w:rPr>
        <w:t xml:space="preserve">23, </w:t>
      </w:r>
      <w:r w:rsidR="002E0D44" w:rsidRPr="005D2316">
        <w:rPr>
          <w:lang w:val="fr-FR"/>
        </w:rPr>
        <w:t xml:space="preserve">une fois intégrées les améliorations identifiées </w:t>
      </w:r>
      <w:r w:rsidR="00F22DA2" w:rsidRPr="005D2316">
        <w:rPr>
          <w:lang w:val="fr-FR"/>
        </w:rPr>
        <w:t xml:space="preserve">à la suite de </w:t>
      </w:r>
      <w:r w:rsidR="002E0D44" w:rsidRPr="005D2316">
        <w:rPr>
          <w:lang w:val="fr-FR"/>
        </w:rPr>
        <w:t>la série 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>essais, notamment en matière d</w:t>
      </w:r>
      <w:r w:rsidR="0067269A" w:rsidRPr="005D2316">
        <w:rPr>
          <w:lang w:val="fr-FR"/>
        </w:rPr>
        <w:t>’</w:t>
      </w:r>
      <w:r w:rsidR="002E0D44" w:rsidRPr="005D2316">
        <w:rPr>
          <w:lang w:val="fr-FR"/>
        </w:rPr>
        <w:t>extrapolation</w:t>
      </w:r>
      <w:r w:rsidR="006E4FA9">
        <w:rPr>
          <w:lang w:val="fr-FR"/>
        </w:rPr>
        <w:t>,</w:t>
      </w:r>
    </w:p>
    <w:p w14:paraId="24BDED22" w14:textId="77777777" w:rsidR="007915C4" w:rsidRPr="005D2316" w:rsidRDefault="007915C4" w:rsidP="007915C4">
      <w:pPr>
        <w:pStyle w:val="DecisionParagraphs"/>
        <w:rPr>
          <w:lang w:val="fr-FR"/>
        </w:rPr>
      </w:pPr>
    </w:p>
    <w:p w14:paraId="253F09D8" w14:textId="63434392" w:rsidR="007B1BA8" w:rsidRPr="005D2316" w:rsidRDefault="00800C5A" w:rsidP="007915C4">
      <w:pPr>
        <w:pStyle w:val="DecisionParagraphs"/>
        <w:rPr>
          <w:lang w:val="fr-FR"/>
        </w:rPr>
      </w:pPr>
      <w:r w:rsidRPr="005D2316">
        <w:rPr>
          <w:lang w:val="fr-FR"/>
        </w:rPr>
        <w:tab/>
      </w:r>
      <w:r w:rsidR="007915C4" w:rsidRPr="005D2316">
        <w:rPr>
          <w:lang w:val="fr-FR"/>
        </w:rPr>
        <w:t>b)</w:t>
      </w:r>
      <w:r w:rsidR="007915C4" w:rsidRPr="005D2316">
        <w:rPr>
          <w:lang w:val="fr-FR"/>
        </w:rPr>
        <w:tab/>
      </w:r>
      <w:r w:rsidR="007B1BA8" w:rsidRPr="005D2316">
        <w:rPr>
          <w:rFonts w:cs="Arial"/>
          <w:lang w:val="fr-FR"/>
        </w:rPr>
        <w:t>note</w:t>
      </w:r>
      <w:r w:rsidR="002E0D44" w:rsidRPr="005D2316">
        <w:rPr>
          <w:rFonts w:cs="Arial"/>
          <w:lang w:val="fr-FR"/>
        </w:rPr>
        <w:t>r</w:t>
      </w:r>
      <w:r w:rsidR="007B1BA8" w:rsidRPr="005D2316">
        <w:rPr>
          <w:rFonts w:cs="Arial"/>
          <w:lang w:val="fr-FR"/>
        </w:rPr>
        <w:t xml:space="preserve"> </w:t>
      </w:r>
      <w:r w:rsidR="002E0D44" w:rsidRPr="005D2316">
        <w:rPr>
          <w:rFonts w:cs="Arial"/>
          <w:lang w:val="fr-FR"/>
        </w:rPr>
        <w:t xml:space="preserve">que de nouvelles révisions du document TGP/8 seront nécessaires pour intégrer les </w:t>
      </w:r>
      <w:r w:rsidR="00977AA7" w:rsidRPr="005D2316">
        <w:rPr>
          <w:rFonts w:cs="Arial"/>
          <w:lang w:val="fr-FR"/>
        </w:rPr>
        <w:t>orientations</w:t>
      </w:r>
      <w:r w:rsidR="002E0D44" w:rsidRPr="005D2316">
        <w:rPr>
          <w:rFonts w:cs="Arial"/>
          <w:lang w:val="fr-FR"/>
        </w:rPr>
        <w:t xml:space="preserve"> en matière d</w:t>
      </w:r>
      <w:r w:rsidR="0067269A" w:rsidRPr="005D2316">
        <w:rPr>
          <w:rFonts w:cs="Arial"/>
          <w:lang w:val="fr-FR"/>
        </w:rPr>
        <w:t>’</w:t>
      </w:r>
      <w:r w:rsidR="002E0D44" w:rsidRPr="005D2316">
        <w:rPr>
          <w:rFonts w:cs="Arial"/>
          <w:lang w:val="fr-FR"/>
        </w:rPr>
        <w:t>extrapolation et informations minimales exigées</w:t>
      </w:r>
      <w:r w:rsidR="006E4FA9">
        <w:rPr>
          <w:rFonts w:cs="Arial"/>
          <w:lang w:val="fr-FR"/>
        </w:rPr>
        <w:t>,</w:t>
      </w:r>
    </w:p>
    <w:p w14:paraId="7E696ACC" w14:textId="77777777" w:rsidR="007B1BA8" w:rsidRPr="005D2316" w:rsidRDefault="007B1BA8" w:rsidP="007915C4">
      <w:pPr>
        <w:pStyle w:val="DecisionParagraphs"/>
        <w:rPr>
          <w:lang w:val="fr-FR"/>
        </w:rPr>
      </w:pPr>
    </w:p>
    <w:p w14:paraId="3312DAA7" w14:textId="37A0ACC8" w:rsidR="0067269A" w:rsidRPr="005D2316" w:rsidRDefault="00800C5A" w:rsidP="007915C4">
      <w:pPr>
        <w:pStyle w:val="DecisionParagraphs"/>
        <w:rPr>
          <w:lang w:val="fr-FR"/>
        </w:rPr>
      </w:pPr>
      <w:r w:rsidRPr="005D2316">
        <w:rPr>
          <w:lang w:val="fr-FR"/>
        </w:rPr>
        <w:tab/>
      </w:r>
      <w:r w:rsidR="007B1BA8" w:rsidRPr="005D2316">
        <w:rPr>
          <w:lang w:val="fr-FR"/>
        </w:rPr>
        <w:t>c)</w:t>
      </w:r>
      <w:r w:rsidR="007B1BA8" w:rsidRPr="005D2316">
        <w:rPr>
          <w:lang w:val="fr-FR"/>
        </w:rPr>
        <w:tab/>
      </w:r>
      <w:r w:rsidR="00B604E6" w:rsidRPr="005D2316">
        <w:rPr>
          <w:lang w:val="fr-FR"/>
        </w:rPr>
        <w:t>noter la recommandation selon laquelle l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 xml:space="preserve">homogénéité par les </w:t>
      </w:r>
      <w:proofErr w:type="spellStart"/>
      <w:r w:rsidR="00B604E6" w:rsidRPr="005D2316">
        <w:rPr>
          <w:lang w:val="fr-FR"/>
        </w:rPr>
        <w:t>phytotechniciens</w:t>
      </w:r>
      <w:proofErr w:type="spellEnd"/>
      <w:r w:rsidR="00B604E6" w:rsidRPr="005D2316">
        <w:rPr>
          <w:lang w:val="fr-FR"/>
        </w:rPr>
        <w:t xml:space="preserve"> dans les cas d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>extrapolation devrait faire l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>objet d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>une attention particulière</w:t>
      </w:r>
      <w:r w:rsidR="006E4FA9">
        <w:rPr>
          <w:lang w:val="fr-FR"/>
        </w:rPr>
        <w:t>,</w:t>
      </w:r>
    </w:p>
    <w:p w14:paraId="1B2C17FC" w14:textId="742B1007" w:rsidR="007915C4" w:rsidRPr="005D2316" w:rsidRDefault="007915C4" w:rsidP="007915C4">
      <w:pPr>
        <w:pStyle w:val="DecisionParagraphs"/>
        <w:rPr>
          <w:lang w:val="fr-FR"/>
        </w:rPr>
      </w:pPr>
    </w:p>
    <w:p w14:paraId="3DDCC533" w14:textId="056042E8" w:rsidR="0067269A" w:rsidRPr="005D2316" w:rsidRDefault="00800C5A" w:rsidP="007915C4">
      <w:pPr>
        <w:pStyle w:val="DecisionParagraphs"/>
        <w:rPr>
          <w:lang w:val="fr-FR"/>
        </w:rPr>
      </w:pPr>
      <w:r w:rsidRPr="005D2316">
        <w:rPr>
          <w:lang w:val="fr-FR"/>
        </w:rPr>
        <w:tab/>
      </w:r>
      <w:r w:rsidR="007B1BA8" w:rsidRPr="005D2316">
        <w:rPr>
          <w:lang w:val="fr-FR"/>
        </w:rPr>
        <w:t>d</w:t>
      </w:r>
      <w:r w:rsidR="007915C4" w:rsidRPr="005D2316">
        <w:rPr>
          <w:lang w:val="fr-FR"/>
        </w:rPr>
        <w:t>)</w:t>
      </w:r>
      <w:r w:rsidR="007915C4" w:rsidRPr="005D2316">
        <w:rPr>
          <w:lang w:val="fr-FR"/>
        </w:rPr>
        <w:tab/>
      </w:r>
      <w:r w:rsidR="00B604E6" w:rsidRPr="005D2316">
        <w:rPr>
          <w:lang w:val="fr-FR"/>
        </w:rPr>
        <w:t>noter que</w:t>
      </w:r>
      <w:r w:rsidR="0067269A" w:rsidRPr="005D2316">
        <w:rPr>
          <w:lang w:val="fr-FR"/>
        </w:rPr>
        <w:t xml:space="preserve"> le TWM</w:t>
      </w:r>
      <w:r w:rsidR="00B604E6" w:rsidRPr="005D2316">
        <w:rPr>
          <w:lang w:val="fr-FR"/>
        </w:rPr>
        <w:t xml:space="preserve"> a convenu de la nécessité d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>une nouvelle discussion sur les approches à adopter dans les cas où une extrapolation est indiquée, et a invité le Royaume</w:t>
      </w:r>
      <w:r w:rsidR="0067269A" w:rsidRPr="005D2316">
        <w:rPr>
          <w:lang w:val="fr-FR"/>
        </w:rPr>
        <w:t>-</w:t>
      </w:r>
      <w:r w:rsidR="00B604E6" w:rsidRPr="005D2316">
        <w:rPr>
          <w:lang w:val="fr-FR"/>
        </w:rPr>
        <w:t>Uni, ainsi que d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>autres membres, à faire rapport sur cette question à la deux</w:t>
      </w:r>
      <w:r w:rsidR="0067269A" w:rsidRPr="005D2316">
        <w:rPr>
          <w:lang w:val="fr-FR"/>
        </w:rPr>
        <w:t>ième session du TWM</w:t>
      </w:r>
      <w:r w:rsidR="00B604E6" w:rsidRPr="005D2316">
        <w:rPr>
          <w:lang w:val="fr-FR"/>
        </w:rPr>
        <w:t xml:space="preserve"> et</w:t>
      </w:r>
    </w:p>
    <w:p w14:paraId="085502F2" w14:textId="755AF7AE" w:rsidR="007915C4" w:rsidRPr="005D2316" w:rsidRDefault="007915C4" w:rsidP="007915C4">
      <w:pPr>
        <w:pStyle w:val="DecisionParagraphs"/>
        <w:rPr>
          <w:lang w:val="fr-FR"/>
        </w:rPr>
      </w:pPr>
    </w:p>
    <w:p w14:paraId="0ABB5682" w14:textId="25AA5FDA" w:rsidR="0067269A" w:rsidRPr="005D2316" w:rsidRDefault="00800C5A" w:rsidP="007915C4">
      <w:pPr>
        <w:pStyle w:val="DecisionParagraphs"/>
        <w:rPr>
          <w:lang w:val="fr-FR"/>
        </w:rPr>
      </w:pPr>
      <w:r w:rsidRPr="005D2316">
        <w:rPr>
          <w:lang w:val="fr-FR"/>
        </w:rPr>
        <w:tab/>
      </w:r>
      <w:r w:rsidR="00F72BBA" w:rsidRPr="005D2316">
        <w:rPr>
          <w:lang w:val="fr-FR"/>
        </w:rPr>
        <w:t>e</w:t>
      </w:r>
      <w:r w:rsidR="007915C4" w:rsidRPr="005D2316">
        <w:rPr>
          <w:lang w:val="fr-FR"/>
        </w:rPr>
        <w:t>)</w:t>
      </w:r>
      <w:r w:rsidR="007915C4" w:rsidRPr="005D2316">
        <w:rPr>
          <w:lang w:val="fr-FR"/>
        </w:rPr>
        <w:tab/>
      </w:r>
      <w:r w:rsidR="00B604E6" w:rsidRPr="005D2316">
        <w:rPr>
          <w:lang w:val="fr-FR"/>
        </w:rPr>
        <w:t>demander</w:t>
      </w:r>
      <w:r w:rsidR="0067269A" w:rsidRPr="005D2316">
        <w:rPr>
          <w:lang w:val="fr-FR"/>
        </w:rPr>
        <w:t xml:space="preserve"> au TWM</w:t>
      </w:r>
      <w:r w:rsidR="00B604E6" w:rsidRPr="005D2316">
        <w:rPr>
          <w:lang w:val="fr-FR"/>
        </w:rPr>
        <w:t xml:space="preserve"> d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>établir un rapport sur les résultats de la série d</w:t>
      </w:r>
      <w:r w:rsidR="0067269A" w:rsidRPr="005D2316">
        <w:rPr>
          <w:lang w:val="fr-FR"/>
        </w:rPr>
        <w:t>’</w:t>
      </w:r>
      <w:r w:rsidR="00B604E6" w:rsidRPr="005D2316">
        <w:rPr>
          <w:lang w:val="fr-FR"/>
        </w:rPr>
        <w:t xml:space="preserve">essais sur le logiciel COYU </w:t>
      </w:r>
      <w:proofErr w:type="spellStart"/>
      <w:r w:rsidR="00B604E6" w:rsidRPr="005D2316">
        <w:rPr>
          <w:lang w:val="fr-FR"/>
        </w:rPr>
        <w:t>Splines</w:t>
      </w:r>
      <w:proofErr w:type="spellEnd"/>
      <w:r w:rsidR="00B604E6" w:rsidRPr="005D2316">
        <w:rPr>
          <w:lang w:val="fr-FR"/>
        </w:rPr>
        <w:t xml:space="preserve"> pour examen par le</w:t>
      </w:r>
      <w:r w:rsidR="0067269A" w:rsidRPr="005D2316">
        <w:rPr>
          <w:lang w:val="fr-FR"/>
        </w:rPr>
        <w:t> TC</w:t>
      </w:r>
      <w:r w:rsidR="00B604E6" w:rsidRPr="005D2316">
        <w:rPr>
          <w:lang w:val="fr-FR"/>
        </w:rPr>
        <w:t>, parallèlement à la révision du document TGP/8</w:t>
      </w:r>
      <w:r w:rsidR="007B1BA8" w:rsidRPr="005D2316">
        <w:rPr>
          <w:lang w:val="fr-FR"/>
        </w:rPr>
        <w:t>.</w:t>
      </w:r>
    </w:p>
    <w:p w14:paraId="0D96E62F" w14:textId="7502E295" w:rsidR="004133B2" w:rsidRPr="005D2316" w:rsidRDefault="004133B2" w:rsidP="00445B73">
      <w:pPr>
        <w:rPr>
          <w:lang w:val="fr-FR"/>
        </w:rPr>
      </w:pPr>
    </w:p>
    <w:p w14:paraId="5985FA16" w14:textId="77777777" w:rsidR="0067269A" w:rsidRPr="005D2316" w:rsidRDefault="0067269A" w:rsidP="00445B73">
      <w:pPr>
        <w:rPr>
          <w:lang w:val="fr-FR"/>
        </w:rPr>
      </w:pPr>
    </w:p>
    <w:p w14:paraId="6D1A17DA" w14:textId="77777777" w:rsidR="0067269A" w:rsidRPr="005D2316" w:rsidRDefault="0067269A" w:rsidP="00445B73">
      <w:pPr>
        <w:rPr>
          <w:lang w:val="fr-FR"/>
        </w:rPr>
      </w:pPr>
    </w:p>
    <w:p w14:paraId="30A9CFD3" w14:textId="64B77540" w:rsidR="004133B2" w:rsidRPr="005D2316" w:rsidRDefault="00B06F4E" w:rsidP="00B06F4E">
      <w:pPr>
        <w:jc w:val="right"/>
        <w:rPr>
          <w:rFonts w:cs="Arial"/>
          <w:lang w:val="fr-FR"/>
        </w:rPr>
      </w:pPr>
      <w:r w:rsidRPr="005D2316">
        <w:rPr>
          <w:rFonts w:cs="Arial"/>
          <w:lang w:val="fr-FR"/>
        </w:rPr>
        <w:t>[</w:t>
      </w:r>
      <w:r w:rsidR="00B604E6" w:rsidRPr="005D2316">
        <w:rPr>
          <w:rFonts w:cs="Arial"/>
          <w:lang w:val="fr-FR"/>
        </w:rPr>
        <w:t>Les a</w:t>
      </w:r>
      <w:r w:rsidRPr="005D2316">
        <w:rPr>
          <w:rFonts w:cs="Arial"/>
          <w:lang w:val="fr-FR"/>
        </w:rPr>
        <w:t xml:space="preserve">nnexes </w:t>
      </w:r>
      <w:r w:rsidR="00B604E6" w:rsidRPr="005D2316">
        <w:rPr>
          <w:rFonts w:cs="Arial"/>
          <w:lang w:val="fr-FR"/>
        </w:rPr>
        <w:t>suivent</w:t>
      </w:r>
      <w:r w:rsidRPr="005D2316">
        <w:rPr>
          <w:rFonts w:cs="Arial"/>
          <w:lang w:val="fr-FR"/>
        </w:rPr>
        <w:t>]</w:t>
      </w:r>
    </w:p>
    <w:p w14:paraId="7D969263" w14:textId="77777777" w:rsidR="00B06F4E" w:rsidRPr="005D2316" w:rsidRDefault="00B06F4E" w:rsidP="00B06F4E">
      <w:pPr>
        <w:jc w:val="right"/>
        <w:rPr>
          <w:rFonts w:cs="Arial"/>
          <w:lang w:val="fr-FR"/>
        </w:rPr>
        <w:sectPr w:rsidR="00B06F4E" w:rsidRPr="005D2316" w:rsidSect="0004198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A16EC8" w:rsidRPr="005D2316" w14:paraId="7018F101" w14:textId="77777777" w:rsidTr="006E4FA9">
        <w:tc>
          <w:tcPr>
            <w:tcW w:w="6804" w:type="dxa"/>
          </w:tcPr>
          <w:p w14:paraId="147ADDC6" w14:textId="77777777" w:rsidR="00A16EC8" w:rsidRPr="005D2316" w:rsidRDefault="00A16EC8" w:rsidP="004C1C17">
            <w:pPr>
              <w:rPr>
                <w:lang w:val="fr-FR"/>
              </w:rPr>
            </w:pPr>
            <w:r w:rsidRPr="005D2316">
              <w:rPr>
                <w:noProof/>
                <w:lang w:eastAsia="ja-JP"/>
              </w:rPr>
              <w:lastRenderedPageBreak/>
              <w:drawing>
                <wp:inline distT="0" distB="0" distL="0" distR="0" wp14:anchorId="75B11CF2" wp14:editId="26B07690">
                  <wp:extent cx="952031" cy="244054"/>
                  <wp:effectExtent l="0" t="0" r="635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489AA782" w14:textId="1B09A814" w:rsidR="00A16EC8" w:rsidRPr="005D2316" w:rsidRDefault="004969EB" w:rsidP="004C1C17">
            <w:pPr>
              <w:pStyle w:val="Lettrine"/>
              <w:rPr>
                <w:lang w:val="fr-FR"/>
              </w:rPr>
            </w:pPr>
            <w:r w:rsidRPr="005D2316">
              <w:rPr>
                <w:lang w:val="fr-FR"/>
              </w:rPr>
              <w:t>F</w:t>
            </w:r>
          </w:p>
        </w:tc>
      </w:tr>
      <w:tr w:rsidR="00A16EC8" w:rsidRPr="00383052" w14:paraId="51D26B0C" w14:textId="77777777" w:rsidTr="006E4FA9">
        <w:trPr>
          <w:trHeight w:val="219"/>
        </w:trPr>
        <w:tc>
          <w:tcPr>
            <w:tcW w:w="6804" w:type="dxa"/>
          </w:tcPr>
          <w:p w14:paraId="07E297D9" w14:textId="7199434A" w:rsidR="00A16EC8" w:rsidRPr="005D2316" w:rsidRDefault="00135FB8" w:rsidP="004C1C17">
            <w:pPr>
              <w:pStyle w:val="upove"/>
              <w:rPr>
                <w:lang w:val="fr-FR"/>
              </w:rPr>
            </w:pPr>
            <w:r w:rsidRPr="005D2316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2835" w:type="dxa"/>
          </w:tcPr>
          <w:p w14:paraId="1AE80347" w14:textId="77777777" w:rsidR="00A16EC8" w:rsidRPr="005D2316" w:rsidRDefault="00A16EC8" w:rsidP="004C1C17">
            <w:pPr>
              <w:rPr>
                <w:lang w:val="fr-FR"/>
              </w:rPr>
            </w:pPr>
          </w:p>
        </w:tc>
      </w:tr>
    </w:tbl>
    <w:p w14:paraId="1061844D" w14:textId="77777777" w:rsidR="00A16EC8" w:rsidRPr="005D2316" w:rsidRDefault="00A16EC8" w:rsidP="00A16EC8">
      <w:pPr>
        <w:rPr>
          <w:lang w:val="fr-FR"/>
        </w:rPr>
      </w:pPr>
    </w:p>
    <w:p w14:paraId="081D48C1" w14:textId="77777777" w:rsidR="00A16EC8" w:rsidRPr="005D2316" w:rsidRDefault="00A16EC8" w:rsidP="00A16EC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A16EC8" w:rsidRPr="005D2316" w14:paraId="09D47C42" w14:textId="77777777" w:rsidTr="006E4FA9">
        <w:tc>
          <w:tcPr>
            <w:tcW w:w="6804" w:type="dxa"/>
          </w:tcPr>
          <w:p w14:paraId="667CD23A" w14:textId="1F4A21CB" w:rsidR="00A16EC8" w:rsidRPr="005D2316" w:rsidRDefault="004969EB" w:rsidP="004C1C17">
            <w:pPr>
              <w:pStyle w:val="Sessiontc"/>
              <w:rPr>
                <w:lang w:val="fr-FR"/>
              </w:rPr>
            </w:pPr>
            <w:r w:rsidRPr="005D2316">
              <w:rPr>
                <w:lang w:val="fr-FR"/>
              </w:rPr>
              <w:t>Groupe de travail t</w:t>
            </w:r>
            <w:r w:rsidR="00A16EC8" w:rsidRPr="005D2316">
              <w:rPr>
                <w:lang w:val="fr-FR"/>
              </w:rPr>
              <w:t>echni</w:t>
            </w:r>
            <w:r w:rsidRPr="005D2316">
              <w:rPr>
                <w:lang w:val="fr-FR"/>
              </w:rPr>
              <w:t>que sur les méthodes et</w:t>
            </w:r>
            <w:r w:rsidR="00A16EC8" w:rsidRPr="005D2316">
              <w:rPr>
                <w:lang w:val="fr-FR"/>
              </w:rPr>
              <w:t xml:space="preserve"> </w:t>
            </w:r>
            <w:r w:rsidRPr="005D2316">
              <w:rPr>
                <w:lang w:val="fr-FR"/>
              </w:rPr>
              <w:t>t</w:t>
            </w:r>
            <w:r w:rsidR="00A16EC8" w:rsidRPr="005D2316">
              <w:rPr>
                <w:lang w:val="fr-FR"/>
              </w:rPr>
              <w:t>echniques</w:t>
            </w:r>
            <w:r w:rsidRPr="005D2316">
              <w:rPr>
                <w:lang w:val="fr-FR"/>
              </w:rPr>
              <w:t xml:space="preserve"> d</w:t>
            </w:r>
            <w:r w:rsidR="0067269A" w:rsidRPr="005D2316">
              <w:rPr>
                <w:lang w:val="fr-FR"/>
              </w:rPr>
              <w:t>’</w:t>
            </w:r>
            <w:r w:rsidRPr="005D2316">
              <w:rPr>
                <w:lang w:val="fr-FR"/>
              </w:rPr>
              <w:t>essai</w:t>
            </w:r>
          </w:p>
          <w:p w14:paraId="5D99EB29" w14:textId="27830734" w:rsidR="00A16EC8" w:rsidRPr="005D2316" w:rsidRDefault="004969EB" w:rsidP="006E4FA9">
            <w:pPr>
              <w:pStyle w:val="Sessiontcplacedate"/>
              <w:rPr>
                <w:sz w:val="22"/>
                <w:lang w:val="fr-FR"/>
              </w:rPr>
            </w:pPr>
            <w:r w:rsidRPr="005D2316">
              <w:rPr>
                <w:lang w:val="fr-FR"/>
              </w:rPr>
              <w:t>Première s</w:t>
            </w:r>
            <w:r w:rsidR="00A16EC8" w:rsidRPr="005D2316">
              <w:rPr>
                <w:lang w:val="fr-FR"/>
              </w:rPr>
              <w:t>ession</w:t>
            </w:r>
            <w:r w:rsidR="00A16EC8" w:rsidRPr="005D2316">
              <w:rPr>
                <w:lang w:val="fr-FR"/>
              </w:rPr>
              <w:br/>
            </w:r>
            <w:r w:rsidRPr="005D2316">
              <w:rPr>
                <w:lang w:val="fr-FR"/>
              </w:rPr>
              <w:t>Réunion v</w:t>
            </w:r>
            <w:r w:rsidR="00A16EC8" w:rsidRPr="005D2316">
              <w:rPr>
                <w:lang w:val="fr-FR"/>
              </w:rPr>
              <w:t>irtu</w:t>
            </w:r>
            <w:r w:rsidRPr="005D2316">
              <w:rPr>
                <w:lang w:val="fr-FR"/>
              </w:rPr>
              <w:t>e</w:t>
            </w:r>
            <w:r w:rsidR="00A16EC8" w:rsidRPr="005D2316">
              <w:rPr>
                <w:lang w:val="fr-FR"/>
              </w:rPr>
              <w:t>l</w:t>
            </w:r>
            <w:r w:rsidRPr="005D2316">
              <w:rPr>
                <w:lang w:val="fr-FR"/>
              </w:rPr>
              <w:t>l</w:t>
            </w:r>
            <w:r w:rsidR="00A16EC8" w:rsidRPr="005D2316">
              <w:rPr>
                <w:lang w:val="fr-FR"/>
              </w:rPr>
              <w:t xml:space="preserve">e, </w:t>
            </w:r>
            <w:r w:rsidRPr="005D2316">
              <w:rPr>
                <w:lang w:val="fr-FR"/>
              </w:rPr>
              <w:t>19</w:t>
            </w:r>
            <w:r w:rsidR="006E4FA9">
              <w:rPr>
                <w:lang w:val="fr-FR"/>
              </w:rPr>
              <w:t xml:space="preserve"> – </w:t>
            </w:r>
            <w:r w:rsidRPr="005D2316">
              <w:rPr>
                <w:lang w:val="fr-FR"/>
              </w:rPr>
              <w:t>2</w:t>
            </w:r>
            <w:r w:rsidR="0067269A" w:rsidRPr="005D2316">
              <w:rPr>
                <w:lang w:val="fr-FR"/>
              </w:rPr>
              <w:t>3 septembre 20</w:t>
            </w:r>
            <w:r w:rsidR="00A16EC8" w:rsidRPr="005D2316">
              <w:rPr>
                <w:lang w:val="fr-FR"/>
              </w:rPr>
              <w:t>22</w:t>
            </w:r>
          </w:p>
        </w:tc>
        <w:tc>
          <w:tcPr>
            <w:tcW w:w="2835" w:type="dxa"/>
          </w:tcPr>
          <w:p w14:paraId="74DF79E7" w14:textId="77777777" w:rsidR="00A16EC8" w:rsidRPr="005D2316" w:rsidRDefault="00A16EC8" w:rsidP="004C1C17">
            <w:pPr>
              <w:pStyle w:val="Doccode"/>
              <w:rPr>
                <w:lang w:val="fr-FR"/>
              </w:rPr>
            </w:pPr>
            <w:r w:rsidRPr="005D2316">
              <w:rPr>
                <w:lang w:val="fr-FR"/>
              </w:rPr>
              <w:t>TWM/1/8</w:t>
            </w:r>
          </w:p>
          <w:p w14:paraId="3C549658" w14:textId="484A3AFD" w:rsidR="00A16EC8" w:rsidRPr="005D2316" w:rsidRDefault="00A16EC8" w:rsidP="004C1C17">
            <w:pPr>
              <w:pStyle w:val="Docoriginal"/>
              <w:rPr>
                <w:lang w:val="fr-FR"/>
              </w:rPr>
            </w:pPr>
            <w:r w:rsidRPr="005D2316">
              <w:rPr>
                <w:lang w:val="fr-FR"/>
              </w:rPr>
              <w:t>Original</w:t>
            </w:r>
            <w:r w:rsidR="0067269A" w:rsidRPr="005D2316">
              <w:rPr>
                <w:lang w:val="fr-FR"/>
              </w:rPr>
              <w:t> :</w:t>
            </w:r>
            <w:r w:rsidRPr="005D2316">
              <w:rPr>
                <w:b w:val="0"/>
                <w:spacing w:val="0"/>
                <w:lang w:val="fr-FR"/>
              </w:rPr>
              <w:t xml:space="preserve"> </w:t>
            </w:r>
            <w:r w:rsidR="004969EB" w:rsidRPr="005D2316">
              <w:rPr>
                <w:b w:val="0"/>
                <w:spacing w:val="0"/>
                <w:lang w:val="fr-FR"/>
              </w:rPr>
              <w:t>a</w:t>
            </w:r>
            <w:r w:rsidRPr="005D2316">
              <w:rPr>
                <w:b w:val="0"/>
                <w:spacing w:val="0"/>
                <w:lang w:val="fr-FR"/>
              </w:rPr>
              <w:t>ngl</w:t>
            </w:r>
            <w:r w:rsidR="004969EB" w:rsidRPr="005D2316">
              <w:rPr>
                <w:b w:val="0"/>
                <w:spacing w:val="0"/>
                <w:lang w:val="fr-FR"/>
              </w:rPr>
              <w:t>a</w:t>
            </w:r>
            <w:r w:rsidRPr="005D2316">
              <w:rPr>
                <w:b w:val="0"/>
                <w:spacing w:val="0"/>
                <w:lang w:val="fr-FR"/>
              </w:rPr>
              <w:t>is</w:t>
            </w:r>
          </w:p>
          <w:p w14:paraId="14187887" w14:textId="62C5D200" w:rsidR="00A16EC8" w:rsidRPr="005D2316" w:rsidRDefault="00A16EC8" w:rsidP="004C1C17">
            <w:pPr>
              <w:pStyle w:val="Docoriginal"/>
              <w:rPr>
                <w:lang w:val="fr-FR"/>
              </w:rPr>
            </w:pPr>
            <w:r w:rsidRPr="005D2316">
              <w:rPr>
                <w:lang w:val="fr-FR"/>
              </w:rPr>
              <w:t>Date</w:t>
            </w:r>
            <w:r w:rsidR="0067269A" w:rsidRPr="005D2316">
              <w:rPr>
                <w:lang w:val="fr-FR"/>
              </w:rPr>
              <w:t> :</w:t>
            </w:r>
            <w:r w:rsidRPr="005D2316">
              <w:rPr>
                <w:b w:val="0"/>
                <w:spacing w:val="0"/>
                <w:lang w:val="fr-FR"/>
              </w:rPr>
              <w:t xml:space="preserve"> </w:t>
            </w:r>
            <w:r w:rsidR="004969EB" w:rsidRPr="005D2316">
              <w:rPr>
                <w:b w:val="0"/>
                <w:spacing w:val="0"/>
                <w:lang w:val="fr-FR"/>
              </w:rPr>
              <w:t>2</w:t>
            </w:r>
            <w:r w:rsidR="0067269A" w:rsidRPr="005D2316">
              <w:rPr>
                <w:b w:val="0"/>
                <w:spacing w:val="0"/>
                <w:lang w:val="fr-FR"/>
              </w:rPr>
              <w:t>9 août 20</w:t>
            </w:r>
            <w:r w:rsidRPr="005D2316">
              <w:rPr>
                <w:b w:val="0"/>
                <w:spacing w:val="0"/>
                <w:lang w:val="fr-FR"/>
              </w:rPr>
              <w:t>22</w:t>
            </w:r>
          </w:p>
        </w:tc>
      </w:tr>
    </w:tbl>
    <w:p w14:paraId="37AF9FB5" w14:textId="775F7FA5" w:rsidR="00A16EC8" w:rsidRPr="005D2316" w:rsidRDefault="006E4FA9" w:rsidP="00A16EC8">
      <w:pPr>
        <w:pStyle w:val="Titleofdoc0"/>
        <w:rPr>
          <w:lang w:val="fr-FR"/>
        </w:rPr>
      </w:pPr>
      <w:r>
        <w:rPr>
          <w:lang w:val="fr-FR"/>
        </w:rPr>
        <w:t>F</w:t>
      </w:r>
      <w:r w:rsidR="001D72BF" w:rsidRPr="005D2316">
        <w:rPr>
          <w:lang w:val="fr-FR"/>
        </w:rPr>
        <w:t xml:space="preserve">aits nouveaux concernant la méthode </w:t>
      </w:r>
      <w:r w:rsidR="00A16EC8" w:rsidRPr="005D2316">
        <w:rPr>
          <w:lang w:val="fr-FR"/>
        </w:rPr>
        <w:t xml:space="preserve">COYU </w:t>
      </w:r>
      <w:r w:rsidR="001D72BF" w:rsidRPr="005D2316">
        <w:rPr>
          <w:lang w:val="fr-FR"/>
        </w:rPr>
        <w:t>a</w:t>
      </w:r>
      <w:r w:rsidR="00A16EC8" w:rsidRPr="005D2316">
        <w:rPr>
          <w:lang w:val="fr-FR"/>
        </w:rPr>
        <w:t>m</w:t>
      </w:r>
      <w:r w:rsidR="001D72BF" w:rsidRPr="005D2316">
        <w:rPr>
          <w:lang w:val="fr-FR"/>
        </w:rPr>
        <w:t>élioré</w:t>
      </w:r>
      <w:r w:rsidR="00A16EC8" w:rsidRPr="005D2316">
        <w:rPr>
          <w:lang w:val="fr-FR"/>
        </w:rPr>
        <w:t>e (splines)</w:t>
      </w:r>
    </w:p>
    <w:p w14:paraId="678EB147" w14:textId="41685D43" w:rsidR="00A16EC8" w:rsidRPr="005D2316" w:rsidRDefault="00A16EC8" w:rsidP="00A16EC8">
      <w:pPr>
        <w:pStyle w:val="preparedby1"/>
        <w:jc w:val="left"/>
        <w:rPr>
          <w:lang w:val="fr-FR"/>
        </w:rPr>
      </w:pPr>
      <w:r w:rsidRPr="005D2316">
        <w:rPr>
          <w:lang w:val="fr-FR"/>
        </w:rPr>
        <w:t xml:space="preserve">Document </w:t>
      </w:r>
      <w:r w:rsidR="001D72BF" w:rsidRPr="005D2316">
        <w:rPr>
          <w:lang w:val="fr-FR"/>
        </w:rPr>
        <w:t xml:space="preserve">établi par </w:t>
      </w:r>
      <w:r w:rsidR="00860719" w:rsidRPr="005D2316">
        <w:rPr>
          <w:lang w:val="fr-FR"/>
        </w:rPr>
        <w:t>l</w:t>
      </w:r>
      <w:r w:rsidR="001D72BF" w:rsidRPr="005D2316">
        <w:rPr>
          <w:lang w:val="fr-FR"/>
        </w:rPr>
        <w:t xml:space="preserve">es </w:t>
      </w:r>
      <w:r w:rsidRPr="005D2316">
        <w:rPr>
          <w:lang w:val="fr-FR"/>
        </w:rPr>
        <w:t xml:space="preserve">experts </w:t>
      </w:r>
      <w:r w:rsidR="001D72BF" w:rsidRPr="005D2316">
        <w:rPr>
          <w:lang w:val="fr-FR"/>
        </w:rPr>
        <w:t>du</w:t>
      </w:r>
      <w:r w:rsidRPr="005D2316">
        <w:rPr>
          <w:lang w:val="fr-FR"/>
        </w:rPr>
        <w:t xml:space="preserve"> </w:t>
      </w:r>
      <w:r w:rsidR="00592AEC" w:rsidRPr="005D2316">
        <w:rPr>
          <w:lang w:val="fr-FR"/>
        </w:rPr>
        <w:t>Royaume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>Uni</w:t>
      </w:r>
    </w:p>
    <w:p w14:paraId="10738ABC" w14:textId="4BE77CFF" w:rsidR="0067269A" w:rsidRPr="005D2316" w:rsidRDefault="001D72BF" w:rsidP="00A16EC8">
      <w:pPr>
        <w:pStyle w:val="Disclaimer"/>
        <w:rPr>
          <w:lang w:val="fr-FR"/>
        </w:rPr>
      </w:pPr>
      <w:r w:rsidRPr="005D2316">
        <w:rPr>
          <w:lang w:val="fr-FR"/>
        </w:rPr>
        <w:t>Avertissement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le présent document ne représente pas les principes ou les orientations de l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>UPOV</w:t>
      </w:r>
    </w:p>
    <w:p w14:paraId="280262BB" w14:textId="29036870" w:rsidR="00A16EC8" w:rsidRPr="005D2316" w:rsidRDefault="006E4FA9" w:rsidP="00887C0B">
      <w:pPr>
        <w:pStyle w:val="Heading1"/>
        <w:rPr>
          <w:snapToGrid w:val="0"/>
        </w:rPr>
      </w:pPr>
      <w:bookmarkStart w:id="17" w:name="_Toc117002596"/>
      <w:r>
        <w:rPr>
          <w:snapToGrid w:val="0"/>
        </w:rPr>
        <w:t>R</w:t>
      </w:r>
      <w:r w:rsidR="001D72BF" w:rsidRPr="005D2316">
        <w:rPr>
          <w:snapToGrid w:val="0"/>
        </w:rPr>
        <w:t>ésumé</w:t>
      </w:r>
      <w:bookmarkEnd w:id="17"/>
    </w:p>
    <w:p w14:paraId="7E925BF3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3746BFA5" w14:textId="15D102BF" w:rsidR="0067269A" w:rsidRPr="005D2316" w:rsidRDefault="001D72BF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objet du présent </w:t>
      </w:r>
      <w:r w:rsidR="00A16EC8" w:rsidRPr="005D2316">
        <w:rPr>
          <w:rFonts w:eastAsia="Calibri" w:cs="Arial"/>
          <w:lang w:val="fr-FR"/>
        </w:rPr>
        <w:t xml:space="preserve">document </w:t>
      </w:r>
      <w:r w:rsidRPr="005D2316">
        <w:rPr>
          <w:rFonts w:eastAsia="Calibri" w:cs="Arial"/>
          <w:lang w:val="fr-FR"/>
        </w:rPr>
        <w:t>est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apporter une mise à jour des faits nouveaux concernant la version améliorée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analyse globale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homogénéité sur plusieurs années (méthode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analyse COYU) </w:t>
      </w:r>
      <w:r w:rsidR="00D76B4F" w:rsidRPr="005D2316">
        <w:rPr>
          <w:rFonts w:eastAsia="Calibri" w:cs="Arial"/>
          <w:lang w:val="fr-FR"/>
        </w:rPr>
        <w:t>utilis</w:t>
      </w:r>
      <w:r w:rsidRPr="005D2316">
        <w:rPr>
          <w:rFonts w:eastAsia="Calibri" w:cs="Arial"/>
          <w:lang w:val="fr-FR"/>
        </w:rPr>
        <w:t xml:space="preserve">ant des </w:t>
      </w:r>
      <w:proofErr w:type="spellStart"/>
      <w:r w:rsidR="00A16EC8" w:rsidRPr="005D2316">
        <w:rPr>
          <w:rFonts w:eastAsia="Calibri" w:cs="Arial"/>
          <w:lang w:val="fr-FR"/>
        </w:rPr>
        <w:t>splin</w:t>
      </w:r>
      <w:r w:rsidR="001A0B67" w:rsidRPr="005D2316">
        <w:rPr>
          <w:rFonts w:eastAsia="Calibri" w:cs="Arial"/>
          <w:lang w:val="fr-FR"/>
        </w:rPr>
        <w:t>es</w:t>
      </w:r>
      <w:proofErr w:type="spellEnd"/>
      <w:r w:rsidR="001A0B67" w:rsidRPr="005D2316">
        <w:rPr>
          <w:rFonts w:eastAsia="Calibri" w:cs="Arial"/>
          <w:lang w:val="fr-FR"/>
        </w:rPr>
        <w:t>.  Il</w:t>
      </w:r>
      <w:r w:rsidRPr="005D2316">
        <w:rPr>
          <w:rFonts w:eastAsia="Calibri" w:cs="Arial"/>
          <w:lang w:val="fr-FR"/>
        </w:rPr>
        <w:t xml:space="preserve"> rapporte </w:t>
      </w:r>
      <w:r w:rsidR="00D76B4F" w:rsidRPr="005D2316">
        <w:rPr>
          <w:rFonts w:eastAsia="Calibri" w:cs="Arial"/>
          <w:lang w:val="fr-FR"/>
        </w:rPr>
        <w:t xml:space="preserve">sur </w:t>
      </w:r>
      <w:r w:rsidRPr="005D2316">
        <w:rPr>
          <w:rFonts w:eastAsia="Calibri" w:cs="Arial"/>
          <w:lang w:val="fr-FR"/>
        </w:rPr>
        <w:t>une série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essais relatifs au logiciel de mise en place de la nouvelle méthode</w:t>
      </w:r>
      <w:r w:rsidR="00A16EC8" w:rsidRPr="005D2316">
        <w:rPr>
          <w:rFonts w:eastAsia="Calibri" w:cs="Arial"/>
          <w:lang w:val="fr-FR"/>
        </w:rPr>
        <w:t>, a</w:t>
      </w:r>
      <w:r w:rsidRPr="005D2316">
        <w:rPr>
          <w:rFonts w:eastAsia="Calibri" w:cs="Arial"/>
          <w:lang w:val="fr-FR"/>
        </w:rPr>
        <w:t>insi que la mise au point ultérieure du logiciel</w:t>
      </w:r>
      <w:r w:rsidR="00A16EC8" w:rsidRPr="005D2316">
        <w:rPr>
          <w:rFonts w:eastAsia="Calibri" w:cs="Arial"/>
          <w:lang w:val="fr-FR"/>
        </w:rPr>
        <w:t>.</w:t>
      </w:r>
    </w:p>
    <w:p w14:paraId="21FEB6DA" w14:textId="3B9DFEDA" w:rsidR="00A16EC8" w:rsidRPr="005D2316" w:rsidRDefault="00A16EC8" w:rsidP="00A16EC8">
      <w:pPr>
        <w:contextualSpacing/>
        <w:rPr>
          <w:rFonts w:eastAsia="Calibri" w:cs="Arial"/>
          <w:lang w:val="fr-FR"/>
        </w:rPr>
      </w:pPr>
    </w:p>
    <w:p w14:paraId="43B99BC4" w14:textId="479050C2" w:rsidR="00A16EC8" w:rsidRPr="005D2316" w:rsidRDefault="001D72BF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Il convient de lire le présent </w:t>
      </w:r>
      <w:r w:rsidR="00A16EC8" w:rsidRPr="005D2316">
        <w:rPr>
          <w:rFonts w:eastAsia="Calibri" w:cs="Arial"/>
          <w:lang w:val="fr-FR"/>
        </w:rPr>
        <w:t xml:space="preserve">document </w:t>
      </w:r>
      <w:r w:rsidRPr="005D2316">
        <w:rPr>
          <w:rFonts w:eastAsia="Calibri" w:cs="Arial"/>
          <w:lang w:val="fr-FR"/>
        </w:rPr>
        <w:t xml:space="preserve">en parallèle avec le </w:t>
      </w:r>
      <w:r w:rsidR="00A16EC8" w:rsidRPr="005D2316">
        <w:rPr>
          <w:rFonts w:eastAsia="Calibri" w:cs="Arial"/>
          <w:lang w:val="fr-FR"/>
        </w:rPr>
        <w:t xml:space="preserve">document TWP/6/11 “The </w:t>
      </w:r>
      <w:proofErr w:type="spellStart"/>
      <w:r w:rsidR="00A16EC8" w:rsidRPr="005D2316">
        <w:rPr>
          <w:rFonts w:eastAsia="Calibri" w:cs="Arial"/>
          <w:lang w:val="fr-FR"/>
        </w:rPr>
        <w:t>Combined</w:t>
      </w:r>
      <w:proofErr w:type="spellEnd"/>
      <w:r w:rsidR="00A16EC8" w:rsidRPr="005D2316">
        <w:rPr>
          <w:rFonts w:eastAsia="Calibri" w:cs="Arial"/>
          <w:lang w:val="fr-FR"/>
        </w:rPr>
        <w:t xml:space="preserve"> Over </w:t>
      </w:r>
      <w:proofErr w:type="spellStart"/>
      <w:r w:rsidR="00A16EC8" w:rsidRPr="005D2316">
        <w:rPr>
          <w:rFonts w:eastAsia="Calibri" w:cs="Arial"/>
          <w:lang w:val="fr-FR"/>
        </w:rPr>
        <w:t>Years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Pr="005D2316">
        <w:rPr>
          <w:rFonts w:eastAsia="Calibri" w:cs="Arial"/>
          <w:lang w:val="fr-FR"/>
        </w:rPr>
        <w:t>Uniformity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Criterion</w:t>
      </w:r>
      <w:proofErr w:type="spellEnd"/>
      <w:r w:rsidR="00A16EC8" w:rsidRPr="005D2316">
        <w:rPr>
          <w:rFonts w:eastAsia="Calibri" w:cs="Arial"/>
          <w:lang w:val="fr-FR"/>
        </w:rPr>
        <w:t xml:space="preserve"> (COYU)”.</w:t>
      </w:r>
    </w:p>
    <w:p w14:paraId="42998E7C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17FC148C" w14:textId="4D4ED075" w:rsidR="00A16EC8" w:rsidRPr="005D2316" w:rsidRDefault="001D72BF" w:rsidP="00A16EC8">
      <w:pPr>
        <w:numPr>
          <w:ilvl w:val="0"/>
          <w:numId w:val="6"/>
        </w:numPr>
        <w:ind w:left="1134" w:hanging="567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A16EC8" w:rsidRPr="005D2316">
        <w:rPr>
          <w:rFonts w:eastAsia="Calibri" w:cs="Arial"/>
          <w:lang w:val="fr-FR"/>
        </w:rPr>
        <w:t xml:space="preserve">e TWM </w:t>
      </w:r>
      <w:r w:rsidRPr="005D2316">
        <w:rPr>
          <w:rFonts w:eastAsia="Calibri" w:cs="Arial"/>
          <w:lang w:val="fr-FR"/>
        </w:rPr>
        <w:t xml:space="preserve">est </w:t>
      </w:r>
      <w:r w:rsidR="00A16EC8" w:rsidRPr="005D2316">
        <w:rPr>
          <w:rFonts w:eastAsia="Calibri" w:cs="Arial"/>
          <w:lang w:val="fr-FR"/>
        </w:rPr>
        <w:t>invit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à noter les faits nouveaux</w:t>
      </w:r>
      <w:r w:rsidR="00A16EC8" w:rsidRPr="005D2316">
        <w:rPr>
          <w:rFonts w:eastAsia="Calibri" w:cs="Arial"/>
          <w:lang w:val="fr-FR"/>
        </w:rPr>
        <w:t>.</w:t>
      </w:r>
    </w:p>
    <w:p w14:paraId="3CAD0F1C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56296D40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0E51266A" w14:textId="7DAF0655" w:rsidR="00A16EC8" w:rsidRPr="005D2316" w:rsidRDefault="006E4FA9" w:rsidP="00887C0B">
      <w:pPr>
        <w:pStyle w:val="Heading1"/>
        <w:rPr>
          <w:rFonts w:eastAsia="Calibri"/>
        </w:rPr>
      </w:pPr>
      <w:bookmarkStart w:id="18" w:name="_Toc117002597"/>
      <w:r>
        <w:rPr>
          <w:rFonts w:eastAsia="Calibri"/>
        </w:rPr>
        <w:t>R</w:t>
      </w:r>
      <w:r w:rsidR="001D72BF" w:rsidRPr="005D2316">
        <w:rPr>
          <w:rFonts w:eastAsia="Calibri"/>
        </w:rPr>
        <w:t>appel</w:t>
      </w:r>
      <w:bookmarkEnd w:id="18"/>
    </w:p>
    <w:p w14:paraId="5A3B7524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3609CE9B" w14:textId="452AC60B" w:rsidR="00A16EC8" w:rsidRPr="005D2316" w:rsidRDefault="000E79EC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La méthode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analyse globale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homogénéité sur plusieurs années (méthode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analyse COYU) est une méthode utilisée pour évaluer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homogénéité sur la base de caractères quantitatifs mesurés (voir le document TGP/8/3 “Protocole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essai et techniques utilisés dans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examen de la distinction,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homogénéité et de la stabilité”)</w:t>
      </w:r>
      <w:r w:rsidR="001F2660" w:rsidRPr="005D2316">
        <w:rPr>
          <w:rFonts w:eastAsia="Calibri" w:cs="Arial"/>
          <w:lang w:val="fr-FR"/>
        </w:rPr>
        <w:t xml:space="preserve">. </w:t>
      </w:r>
      <w:r w:rsidR="00A2333E" w:rsidRPr="005D2316">
        <w:rPr>
          <w:rFonts w:eastAsia="Calibri" w:cs="Arial"/>
          <w:lang w:val="fr-FR"/>
        </w:rPr>
        <w:t xml:space="preserve"> </w:t>
      </w:r>
      <w:r w:rsidR="00D76B4F" w:rsidRPr="005D2316">
        <w:rPr>
          <w:rFonts w:eastAsia="Calibri" w:cs="Arial"/>
          <w:lang w:val="fr-FR"/>
        </w:rPr>
        <w:t>Par la suite</w:t>
      </w:r>
      <w:r w:rsidRPr="005D2316">
        <w:rPr>
          <w:rFonts w:eastAsia="Calibri" w:cs="Arial"/>
          <w:lang w:val="fr-FR"/>
        </w:rPr>
        <w:t>, la mise au point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une méthode améliorée </w:t>
      </w:r>
      <w:r w:rsidR="00A16EC8" w:rsidRPr="005D2316">
        <w:rPr>
          <w:rFonts w:eastAsia="Calibri" w:cs="Arial"/>
          <w:lang w:val="fr-FR"/>
        </w:rPr>
        <w:t>a</w:t>
      </w:r>
      <w:r w:rsidRPr="005D2316">
        <w:rPr>
          <w:rFonts w:eastAsia="Calibri" w:cs="Arial"/>
          <w:lang w:val="fr-FR"/>
        </w:rPr>
        <w:t xml:space="preserve"> été </w:t>
      </w:r>
      <w:r w:rsidR="00D76B4F" w:rsidRPr="005D2316">
        <w:rPr>
          <w:rFonts w:eastAsia="Calibri" w:cs="Arial"/>
          <w:lang w:val="fr-FR"/>
        </w:rPr>
        <w:t>rapport</w:t>
      </w:r>
      <w:r w:rsidR="001A0B67" w:rsidRPr="005D2316">
        <w:rPr>
          <w:rFonts w:eastAsia="Calibri" w:cs="Arial"/>
          <w:lang w:val="fr-FR"/>
        </w:rPr>
        <w:t>ée.  Po</w:t>
      </w:r>
      <w:r w:rsidRPr="005D2316">
        <w:rPr>
          <w:rFonts w:eastAsia="Calibri" w:cs="Arial"/>
          <w:lang w:val="fr-FR"/>
        </w:rPr>
        <w:t xml:space="preserve">ur un rappel plus complet sur la méthode améliorée </w:t>
      </w:r>
      <w:r w:rsidR="00D76B4F" w:rsidRPr="005D2316">
        <w:rPr>
          <w:rFonts w:eastAsia="Calibri" w:cs="Arial"/>
          <w:lang w:val="fr-FR"/>
        </w:rPr>
        <w:t>utilis</w:t>
      </w:r>
      <w:r w:rsidRPr="005D2316">
        <w:rPr>
          <w:rFonts w:eastAsia="Calibri" w:cs="Arial"/>
          <w:lang w:val="fr-FR"/>
        </w:rPr>
        <w:t xml:space="preserve">ant des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voir l</w:t>
      </w:r>
      <w:r w:rsidR="00A16EC8" w:rsidRPr="005D2316">
        <w:rPr>
          <w:rFonts w:eastAsia="Calibri" w:cs="Arial"/>
          <w:lang w:val="fr-FR"/>
        </w:rPr>
        <w:t xml:space="preserve">e document TWC/38/6 “The </w:t>
      </w:r>
      <w:proofErr w:type="spellStart"/>
      <w:r w:rsidR="00A16EC8" w:rsidRPr="005D2316">
        <w:rPr>
          <w:rFonts w:eastAsia="Calibri" w:cs="Arial"/>
          <w:lang w:val="fr-FR"/>
        </w:rPr>
        <w:t>Combined</w:t>
      </w:r>
      <w:proofErr w:type="spellEnd"/>
      <w:r w:rsidR="00A16EC8" w:rsidRPr="005D2316">
        <w:rPr>
          <w:rFonts w:eastAsia="Calibri" w:cs="Arial"/>
          <w:lang w:val="fr-FR"/>
        </w:rPr>
        <w:t xml:space="preserve"> Over </w:t>
      </w:r>
      <w:proofErr w:type="spellStart"/>
      <w:r w:rsidR="00A16EC8" w:rsidRPr="005D2316">
        <w:rPr>
          <w:rFonts w:eastAsia="Calibri" w:cs="Arial"/>
          <w:lang w:val="fr-FR"/>
        </w:rPr>
        <w:t>Years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Pr="005D2316">
        <w:rPr>
          <w:rFonts w:eastAsia="Calibri" w:cs="Arial"/>
          <w:lang w:val="fr-FR"/>
        </w:rPr>
        <w:t>Uniformity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Criterion</w:t>
      </w:r>
      <w:proofErr w:type="spellEnd"/>
      <w:r w:rsidR="00A16EC8" w:rsidRPr="005D2316">
        <w:rPr>
          <w:rFonts w:eastAsia="Calibri" w:cs="Arial"/>
          <w:lang w:val="fr-FR"/>
        </w:rPr>
        <w:t xml:space="preserve"> (COYU)”.</w:t>
      </w:r>
    </w:p>
    <w:p w14:paraId="3147D2B2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2F37BC90" w14:textId="5A163EE3" w:rsidR="0067269A" w:rsidRPr="005D2316" w:rsidRDefault="000E79EC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Il avait auparavant été </w:t>
      </w:r>
      <w:r w:rsidR="00A16EC8" w:rsidRPr="005D2316">
        <w:rPr>
          <w:rFonts w:eastAsia="Calibri" w:cs="Arial"/>
          <w:lang w:val="fr-FR"/>
        </w:rPr>
        <w:t>not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qu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un logiciel avait été conçu en appui à la mise en place de la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="00D76B4F" w:rsidRPr="005D2316">
        <w:rPr>
          <w:rFonts w:eastAsia="Calibri" w:cs="Arial"/>
          <w:lang w:val="fr-FR"/>
        </w:rPr>
        <w:t>utilisant</w:t>
      </w:r>
      <w:r w:rsidRPr="005D2316">
        <w:rPr>
          <w:rFonts w:eastAsia="Calibri" w:cs="Arial"/>
          <w:lang w:val="fr-FR"/>
        </w:rPr>
        <w:t xml:space="preserve">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</w:t>
      </w:r>
      <w:r w:rsidR="001A0B67" w:rsidRPr="005D2316">
        <w:rPr>
          <w:rFonts w:eastAsia="Calibri" w:cs="Arial"/>
          <w:lang w:val="fr-FR"/>
        </w:rPr>
        <w:t>es</w:t>
      </w:r>
      <w:proofErr w:type="spellEnd"/>
      <w:r w:rsidR="001A0B67" w:rsidRPr="005D2316">
        <w:rPr>
          <w:rFonts w:eastAsia="Calibri" w:cs="Arial"/>
          <w:lang w:val="fr-FR"/>
        </w:rPr>
        <w:t>.  Ce</w:t>
      </w:r>
      <w:r w:rsidRPr="005D2316">
        <w:rPr>
          <w:rFonts w:eastAsia="Calibri" w:cs="Arial"/>
          <w:lang w:val="fr-FR"/>
        </w:rPr>
        <w:t xml:space="preserve"> logiciel est disponible sous deux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>form</w:t>
      </w:r>
      <w:r w:rsidRPr="005D2316">
        <w:rPr>
          <w:rFonts w:eastAsia="Calibri" w:cs="Arial"/>
          <w:lang w:val="fr-FR"/>
        </w:rPr>
        <w:t>at</w:t>
      </w:r>
      <w:r w:rsidR="00A16EC8" w:rsidRPr="005D2316">
        <w:rPr>
          <w:rFonts w:eastAsia="Calibri" w:cs="Arial"/>
          <w:lang w:val="fr-FR"/>
        </w:rPr>
        <w:t>s</w:t>
      </w:r>
      <w:r w:rsidR="0067269A" w:rsidRPr="005D2316">
        <w:rPr>
          <w:rFonts w:eastAsia="Calibri" w:cs="Arial"/>
          <w:lang w:val="fr-FR"/>
        </w:rPr>
        <w:t> :</w:t>
      </w:r>
      <w:r w:rsidR="00A16EC8" w:rsidRPr="005D2316">
        <w:rPr>
          <w:rFonts w:eastAsia="Calibri" w:cs="Arial"/>
          <w:lang w:val="fr-FR"/>
        </w:rPr>
        <w:t xml:space="preserve"> </w:t>
      </w:r>
      <w:r w:rsidR="00DA0D7F" w:rsidRPr="005D2316">
        <w:rPr>
          <w:rFonts w:eastAsia="Calibri" w:cs="Arial"/>
          <w:lang w:val="fr-FR"/>
        </w:rPr>
        <w:t xml:space="preserve">comme </w:t>
      </w:r>
      <w:r w:rsidR="0035167E" w:rsidRPr="005D2316">
        <w:rPr>
          <w:rFonts w:eastAsia="Calibri" w:cs="Arial"/>
          <w:lang w:val="fr-FR"/>
        </w:rPr>
        <w:t xml:space="preserve">logiciel dans le langage de programmation statistique </w:t>
      </w:r>
      <w:r w:rsidR="0067269A" w:rsidRPr="005D2316">
        <w:rPr>
          <w:rFonts w:eastAsia="Calibri" w:cs="Arial"/>
          <w:lang w:val="fr-FR"/>
        </w:rPr>
        <w:t>“R”</w:t>
      </w:r>
      <w:r w:rsidR="00A16EC8" w:rsidRPr="005D2316">
        <w:rPr>
          <w:rFonts w:eastAsia="Calibri" w:cs="Arial"/>
          <w:lang w:val="fr-FR"/>
        </w:rPr>
        <w:t xml:space="preserve">, </w:t>
      </w:r>
      <w:r w:rsidR="00455AF5" w:rsidRPr="005D2316">
        <w:rPr>
          <w:rFonts w:eastAsia="Calibri" w:cs="Arial"/>
          <w:lang w:val="fr-FR"/>
        </w:rPr>
        <w:t xml:space="preserve">et comme module dans le logiciel </w:t>
      </w:r>
      <w:r w:rsidR="0067269A" w:rsidRPr="005D2316">
        <w:rPr>
          <w:rFonts w:eastAsia="Calibri" w:cs="Arial"/>
          <w:lang w:val="fr-FR"/>
        </w:rPr>
        <w:t>“D</w:t>
      </w:r>
      <w:r w:rsidR="00A16EC8" w:rsidRPr="005D2316">
        <w:rPr>
          <w:rFonts w:eastAsia="Calibri" w:cs="Arial"/>
          <w:lang w:val="fr-FR"/>
        </w:rPr>
        <w:t>USTN</w:t>
      </w:r>
      <w:r w:rsidR="0067269A" w:rsidRPr="005D2316">
        <w:rPr>
          <w:rFonts w:eastAsia="Calibri" w:cs="Arial"/>
          <w:lang w:val="fr-FR"/>
        </w:rPr>
        <w:t>T”</w:t>
      </w:r>
      <w:r w:rsidR="00A16EC8" w:rsidRPr="005D2316">
        <w:rPr>
          <w:rFonts w:eastAsia="Calibri" w:cs="Arial"/>
          <w:lang w:val="fr-FR"/>
        </w:rPr>
        <w:t>.</w:t>
      </w:r>
    </w:p>
    <w:p w14:paraId="3B6BFAEF" w14:textId="3032FD9A" w:rsidR="00A16EC8" w:rsidRPr="005D2316" w:rsidRDefault="00A16EC8" w:rsidP="00F8637E">
      <w:pPr>
        <w:contextualSpacing/>
        <w:rPr>
          <w:rFonts w:eastAsia="Calibri" w:cs="Arial"/>
          <w:lang w:val="fr-FR"/>
        </w:rPr>
      </w:pPr>
    </w:p>
    <w:p w14:paraId="38866EE1" w14:textId="06F00388" w:rsidR="00A16EC8" w:rsidRPr="005D2316" w:rsidRDefault="00A16EC8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DUSTNT </w:t>
      </w:r>
      <w:r w:rsidR="00F833B0" w:rsidRPr="005D2316">
        <w:rPr>
          <w:rFonts w:eastAsia="Calibri" w:cs="Arial"/>
          <w:lang w:val="fr-FR"/>
        </w:rPr>
        <w:t>est un progiciel d</w:t>
      </w:r>
      <w:r w:rsidR="0067269A" w:rsidRPr="005D2316">
        <w:rPr>
          <w:rFonts w:eastAsia="Calibri" w:cs="Arial"/>
          <w:lang w:val="fr-FR"/>
        </w:rPr>
        <w:t>’</w:t>
      </w:r>
      <w:r w:rsidR="00F833B0" w:rsidRPr="005D2316">
        <w:rPr>
          <w:rFonts w:eastAsia="Calibri" w:cs="Arial"/>
          <w:lang w:val="fr-FR"/>
        </w:rPr>
        <w:t>analyse de</w:t>
      </w:r>
      <w:r w:rsidR="009A2233" w:rsidRPr="005D2316">
        <w:rPr>
          <w:rFonts w:eastAsia="Calibri" w:cs="Arial"/>
          <w:lang w:val="fr-FR"/>
        </w:rPr>
        <w:t>s</w:t>
      </w:r>
      <w:r w:rsidR="00F833B0" w:rsidRPr="005D2316">
        <w:rPr>
          <w:rFonts w:eastAsia="Calibri" w:cs="Arial"/>
          <w:lang w:val="fr-FR"/>
        </w:rPr>
        <w:t xml:space="preserve"> données d</w:t>
      </w:r>
      <w:r w:rsidR="0067269A" w:rsidRPr="005D2316">
        <w:rPr>
          <w:rFonts w:eastAsia="Calibri" w:cs="Arial"/>
          <w:lang w:val="fr-FR"/>
        </w:rPr>
        <w:t>’</w:t>
      </w:r>
      <w:r w:rsidR="00F833B0" w:rsidRPr="005D2316">
        <w:rPr>
          <w:rFonts w:eastAsia="Calibri" w:cs="Arial"/>
          <w:lang w:val="fr-FR"/>
        </w:rPr>
        <w:t>examens DHS</w:t>
      </w:r>
      <w:r w:rsidRPr="005D2316">
        <w:rPr>
          <w:rFonts w:eastAsia="Calibri" w:cs="Arial"/>
          <w:lang w:val="fr-FR"/>
        </w:rPr>
        <w:t xml:space="preserve"> </w:t>
      </w:r>
      <w:r w:rsidR="0035167E" w:rsidRPr="005D2316">
        <w:rPr>
          <w:rFonts w:eastAsia="Calibri" w:cs="Arial"/>
          <w:lang w:val="fr-FR"/>
        </w:rPr>
        <w:t>et est disponible gratuitement</w:t>
      </w:r>
      <w:r w:rsidRPr="005D2316">
        <w:rPr>
          <w:rFonts w:eastAsia="Calibri" w:cs="Arial"/>
          <w:lang w:val="fr-FR"/>
        </w:rPr>
        <w:t xml:space="preserve"> (</w:t>
      </w:r>
      <w:r w:rsidR="00F833B0" w:rsidRPr="005D2316">
        <w:rPr>
          <w:rFonts w:eastAsia="Calibri" w:cs="Arial"/>
          <w:lang w:val="fr-FR"/>
        </w:rPr>
        <w:t>voir l</w:t>
      </w:r>
      <w:r w:rsidRPr="005D2316">
        <w:rPr>
          <w:rFonts w:eastAsia="Calibri" w:cs="Arial"/>
          <w:lang w:val="fr-FR"/>
        </w:rPr>
        <w:t>e document UPOV/INF/16/9 “</w:t>
      </w:r>
      <w:proofErr w:type="spellStart"/>
      <w:r w:rsidRPr="005D2316">
        <w:rPr>
          <w:rFonts w:eastAsia="Calibri" w:cs="Arial"/>
          <w:lang w:val="fr-FR"/>
        </w:rPr>
        <w:t>Exchangeable</w:t>
      </w:r>
      <w:proofErr w:type="spellEnd"/>
      <w:r w:rsidRPr="005D2316">
        <w:rPr>
          <w:rFonts w:eastAsia="Calibri" w:cs="Arial"/>
          <w:lang w:val="fr-FR"/>
        </w:rPr>
        <w:t xml:space="preserve"> Software”)</w:t>
      </w:r>
      <w:r w:rsidR="001F2660" w:rsidRPr="005D2316">
        <w:rPr>
          <w:rFonts w:eastAsia="Calibri" w:cs="Arial"/>
          <w:lang w:val="fr-FR"/>
        </w:rPr>
        <w:t xml:space="preserve">. </w:t>
      </w:r>
      <w:r w:rsidR="00A2333E" w:rsidRPr="005D2316">
        <w:rPr>
          <w:rFonts w:eastAsia="Calibri" w:cs="Arial"/>
          <w:lang w:val="fr-FR"/>
        </w:rPr>
        <w:t xml:space="preserve"> </w:t>
      </w:r>
      <w:r w:rsidR="00F833B0" w:rsidRPr="005D2316">
        <w:rPr>
          <w:rFonts w:eastAsia="Calibri" w:cs="Arial"/>
          <w:lang w:val="fr-FR"/>
        </w:rPr>
        <w:t xml:space="preserve">Ce logiciel est non seulement régulièrement employé par un certain nombre de </w:t>
      </w:r>
      <w:r w:rsidRPr="005D2316">
        <w:rPr>
          <w:rFonts w:eastAsia="Calibri" w:cs="Arial"/>
          <w:lang w:val="fr-FR"/>
        </w:rPr>
        <w:t>memb</w:t>
      </w:r>
      <w:r w:rsidR="00F833B0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 xml:space="preserve">es, </w:t>
      </w:r>
      <w:r w:rsidR="00F833B0" w:rsidRPr="005D2316">
        <w:rPr>
          <w:rFonts w:eastAsia="Calibri" w:cs="Arial"/>
          <w:lang w:val="fr-FR"/>
        </w:rPr>
        <w:t>mais il a été utilisé comme logiciel d</w:t>
      </w:r>
      <w:r w:rsidR="0067269A" w:rsidRPr="005D2316">
        <w:rPr>
          <w:rFonts w:eastAsia="Calibri" w:cs="Arial"/>
          <w:lang w:val="fr-FR"/>
        </w:rPr>
        <w:t>’</w:t>
      </w:r>
      <w:r w:rsidR="00F833B0" w:rsidRPr="005D2316">
        <w:rPr>
          <w:rFonts w:eastAsia="Calibri" w:cs="Arial"/>
          <w:lang w:val="fr-FR"/>
        </w:rPr>
        <w:t xml:space="preserve">étalonnage pour les méthodes </w:t>
      </w:r>
      <w:r w:rsidRPr="005D2316">
        <w:rPr>
          <w:rFonts w:eastAsia="Calibri" w:cs="Arial"/>
          <w:lang w:val="fr-FR"/>
        </w:rPr>
        <w:t xml:space="preserve">COYD </w:t>
      </w:r>
      <w:r w:rsidR="00F833B0" w:rsidRPr="005D2316">
        <w:rPr>
          <w:rFonts w:eastAsia="Calibri" w:cs="Arial"/>
          <w:lang w:val="fr-FR"/>
        </w:rPr>
        <w:t>et</w:t>
      </w:r>
      <w:r w:rsidRPr="005D2316">
        <w:rPr>
          <w:rFonts w:eastAsia="Calibri" w:cs="Arial"/>
          <w:lang w:val="fr-FR"/>
        </w:rPr>
        <w:t xml:space="preserve"> C</w:t>
      </w:r>
      <w:r w:rsidR="001A0B67" w:rsidRPr="005D2316">
        <w:rPr>
          <w:rFonts w:eastAsia="Calibri" w:cs="Arial"/>
          <w:lang w:val="fr-FR"/>
        </w:rPr>
        <w:t>OYU.  Da</w:t>
      </w:r>
      <w:r w:rsidR="00F833B0" w:rsidRPr="005D2316">
        <w:rPr>
          <w:rFonts w:eastAsia="Calibri" w:cs="Arial"/>
          <w:lang w:val="fr-FR"/>
        </w:rPr>
        <w:t xml:space="preserve">ns le cadre du </w:t>
      </w:r>
      <w:r w:rsidRPr="005D2316">
        <w:rPr>
          <w:rFonts w:eastAsia="Calibri" w:cs="Arial"/>
          <w:lang w:val="fr-FR"/>
        </w:rPr>
        <w:t>process</w:t>
      </w:r>
      <w:r w:rsidR="00F833B0" w:rsidRPr="005D2316">
        <w:rPr>
          <w:rFonts w:eastAsia="Calibri" w:cs="Arial"/>
          <w:lang w:val="fr-FR"/>
        </w:rPr>
        <w:t>us d</w:t>
      </w:r>
      <w:r w:rsidR="0067269A" w:rsidRPr="005D2316">
        <w:rPr>
          <w:rFonts w:eastAsia="Calibri" w:cs="Arial"/>
          <w:lang w:val="fr-FR"/>
        </w:rPr>
        <w:t>’</w:t>
      </w:r>
      <w:r w:rsidR="00F833B0" w:rsidRPr="005D2316">
        <w:rPr>
          <w:rFonts w:eastAsia="Calibri" w:cs="Arial"/>
          <w:lang w:val="fr-FR"/>
        </w:rPr>
        <w:t xml:space="preserve">intégration du nouveau </w:t>
      </w:r>
      <w:r w:rsidRPr="005D2316">
        <w:rPr>
          <w:rFonts w:eastAsia="Calibri" w:cs="Arial"/>
          <w:lang w:val="fr-FR"/>
        </w:rPr>
        <w:t xml:space="preserve">module, </w:t>
      </w:r>
      <w:r w:rsidR="00F833B0" w:rsidRPr="005D2316">
        <w:rPr>
          <w:rFonts w:eastAsia="Calibri" w:cs="Arial"/>
          <w:lang w:val="fr-FR"/>
        </w:rPr>
        <w:t>l</w:t>
      </w:r>
      <w:r w:rsidRPr="005D2316">
        <w:rPr>
          <w:rFonts w:eastAsia="Calibri" w:cs="Arial"/>
          <w:lang w:val="fr-FR"/>
        </w:rPr>
        <w:t xml:space="preserve">e </w:t>
      </w:r>
      <w:r w:rsidR="0035167E" w:rsidRPr="005D2316">
        <w:rPr>
          <w:rFonts w:eastAsia="Calibri" w:cs="Arial"/>
          <w:lang w:val="fr-FR"/>
        </w:rPr>
        <w:t>processus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installation a</w:t>
      </w:r>
      <w:r w:rsidR="0035167E" w:rsidRPr="005D2316">
        <w:rPr>
          <w:rFonts w:eastAsia="Calibri" w:cs="Arial"/>
          <w:lang w:val="fr-FR"/>
        </w:rPr>
        <w:t xml:space="preserve"> été</w:t>
      </w:r>
      <w:r w:rsidRPr="005D2316">
        <w:rPr>
          <w:rFonts w:eastAsia="Calibri" w:cs="Arial"/>
          <w:lang w:val="fr-FR"/>
        </w:rPr>
        <w:t xml:space="preserve"> </w:t>
      </w:r>
      <w:r w:rsidR="00F833B0" w:rsidRPr="005D2316">
        <w:rPr>
          <w:rFonts w:eastAsia="Calibri" w:cs="Arial"/>
          <w:lang w:val="fr-FR"/>
        </w:rPr>
        <w:t>mis à jour pour s</w:t>
      </w:r>
      <w:r w:rsidR="0067269A" w:rsidRPr="005D2316">
        <w:rPr>
          <w:rFonts w:eastAsia="Calibri" w:cs="Arial"/>
          <w:lang w:val="fr-FR"/>
        </w:rPr>
        <w:t>’</w:t>
      </w:r>
      <w:r w:rsidR="00F833B0" w:rsidRPr="005D2316">
        <w:rPr>
          <w:rFonts w:eastAsia="Calibri" w:cs="Arial"/>
          <w:lang w:val="fr-FR"/>
        </w:rPr>
        <w:t xml:space="preserve">ajuster </w:t>
      </w:r>
      <w:r w:rsidR="004C782A" w:rsidRPr="005D2316">
        <w:rPr>
          <w:rFonts w:eastAsia="Calibri" w:cs="Arial"/>
          <w:lang w:val="fr-FR"/>
        </w:rPr>
        <w:t>à la version actuelle de</w:t>
      </w:r>
      <w:r w:rsidR="00F833B0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Windows.</w:t>
      </w:r>
    </w:p>
    <w:p w14:paraId="18586F3A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0AF0CFF6" w14:textId="53B0908B" w:rsidR="0067269A" w:rsidRPr="005D2316" w:rsidRDefault="004C782A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La</w:t>
      </w:r>
      <w:r w:rsidR="00A16EC8" w:rsidRPr="005D2316">
        <w:rPr>
          <w:rFonts w:eastAsia="Calibri" w:cs="Arial"/>
          <w:lang w:val="fr-FR"/>
        </w:rPr>
        <w:t xml:space="preserve"> version </w:t>
      </w:r>
      <w:r w:rsidRPr="005D2316">
        <w:rPr>
          <w:rFonts w:eastAsia="Calibri" w:cs="Arial"/>
          <w:lang w:val="fr-FR"/>
        </w:rPr>
        <w:t xml:space="preserve">sous </w:t>
      </w:r>
      <w:r w:rsidR="00A16EC8" w:rsidRPr="005D2316">
        <w:rPr>
          <w:rFonts w:eastAsia="Calibri" w:cs="Arial"/>
          <w:lang w:val="fr-FR"/>
        </w:rPr>
        <w:t>form</w:t>
      </w:r>
      <w:r w:rsidRPr="005D2316">
        <w:rPr>
          <w:rFonts w:eastAsia="Calibri" w:cs="Arial"/>
          <w:lang w:val="fr-FR"/>
        </w:rPr>
        <w:t xml:space="preserve">at </w:t>
      </w:r>
      <w:r w:rsidR="0067269A" w:rsidRPr="005D2316">
        <w:rPr>
          <w:rFonts w:eastAsia="Calibri" w:cs="Arial"/>
          <w:lang w:val="fr-FR"/>
        </w:rPr>
        <w:t>“R”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convient aux membres qui utilisent déjà le logiciel </w:t>
      </w:r>
      <w:r w:rsidR="0067269A" w:rsidRPr="005D2316">
        <w:rPr>
          <w:rFonts w:eastAsia="Calibri" w:cs="Arial"/>
          <w:lang w:val="fr-FR"/>
        </w:rPr>
        <w:t>“R”</w:t>
      </w:r>
      <w:r w:rsidRPr="005D2316">
        <w:rPr>
          <w:rFonts w:eastAsia="Calibri" w:cs="Arial"/>
          <w:lang w:val="fr-FR"/>
        </w:rPr>
        <w:t xml:space="preserve"> pour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analyse des données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examens </w:t>
      </w:r>
      <w:r w:rsidR="00A16EC8" w:rsidRPr="005D2316">
        <w:rPr>
          <w:rFonts w:eastAsia="Calibri" w:cs="Arial"/>
          <w:lang w:val="fr-FR"/>
        </w:rPr>
        <w:t>D</w:t>
      </w:r>
      <w:r w:rsidRPr="005D2316">
        <w:rPr>
          <w:rFonts w:eastAsia="Calibri" w:cs="Arial"/>
          <w:lang w:val="fr-FR"/>
        </w:rPr>
        <w:t>H</w:t>
      </w:r>
      <w:r w:rsidR="00A16EC8" w:rsidRPr="005D2316">
        <w:rPr>
          <w:rFonts w:eastAsia="Calibri" w:cs="Arial"/>
          <w:lang w:val="fr-FR"/>
        </w:rPr>
        <w:t xml:space="preserve">S. </w:t>
      </w:r>
      <w:r w:rsidR="00A2333E" w:rsidRPr="005D2316">
        <w:rPr>
          <w:rFonts w:eastAsia="Calibri" w:cs="Arial"/>
          <w:lang w:val="fr-FR"/>
        </w:rPr>
        <w:t xml:space="preserve"> </w:t>
      </w:r>
      <w:r w:rsidR="0067269A" w:rsidRPr="005D2316">
        <w:rPr>
          <w:rFonts w:eastAsia="Calibri" w:cs="Arial"/>
          <w:lang w:val="fr-FR"/>
        </w:rPr>
        <w:t>“R”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est disponible gratuitement, comme le progiciel </w:t>
      </w:r>
      <w:r w:rsidR="00A16EC8" w:rsidRPr="005D2316">
        <w:rPr>
          <w:rFonts w:eastAsia="Calibri" w:cs="Arial"/>
          <w:lang w:val="fr-FR"/>
        </w:rPr>
        <w:t>C</w:t>
      </w:r>
      <w:r w:rsidR="001A0B67" w:rsidRPr="005D2316">
        <w:rPr>
          <w:rFonts w:eastAsia="Calibri" w:cs="Arial"/>
          <w:lang w:val="fr-FR"/>
        </w:rPr>
        <w:t>OYU.  Ce</w:t>
      </w:r>
      <w:r w:rsidRPr="005D2316">
        <w:rPr>
          <w:rFonts w:eastAsia="Calibri" w:cs="Arial"/>
          <w:lang w:val="fr-FR"/>
        </w:rPr>
        <w:t xml:space="preserve"> dernier est disponible soit sous forme de</w:t>
      </w:r>
      <w:r w:rsidR="00A16EC8" w:rsidRPr="005D2316">
        <w:rPr>
          <w:rFonts w:eastAsia="Calibri" w:cs="Arial"/>
          <w:lang w:val="fr-FR"/>
        </w:rPr>
        <w:t xml:space="preserve"> code </w:t>
      </w:r>
      <w:r w:rsidRPr="005D2316">
        <w:rPr>
          <w:rFonts w:eastAsia="Calibri" w:cs="Arial"/>
          <w:lang w:val="fr-FR"/>
        </w:rPr>
        <w:t>source, soit de module binaire de bibliothèque directement installable</w:t>
      </w:r>
      <w:r w:rsidR="00A16EC8" w:rsidRPr="005D2316">
        <w:rPr>
          <w:rFonts w:eastAsia="Calibri" w:cs="Arial"/>
          <w:lang w:val="fr-FR"/>
        </w:rPr>
        <w:t>.</w:t>
      </w:r>
    </w:p>
    <w:p w14:paraId="5366CE8F" w14:textId="77777777" w:rsidR="0067269A" w:rsidRPr="005D2316" w:rsidRDefault="0067269A" w:rsidP="00A16EC8">
      <w:pPr>
        <w:rPr>
          <w:rFonts w:eastAsia="Calibri"/>
          <w:lang w:val="fr-FR"/>
        </w:rPr>
      </w:pPr>
    </w:p>
    <w:p w14:paraId="78EDAF97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51761F9A" w14:textId="2429B4A7" w:rsidR="00A16EC8" w:rsidRPr="005D2316" w:rsidRDefault="004C782A" w:rsidP="00887C0B">
      <w:pPr>
        <w:pStyle w:val="Heading1"/>
        <w:rPr>
          <w:rFonts w:eastAsia="Calibri"/>
        </w:rPr>
      </w:pPr>
      <w:bookmarkStart w:id="19" w:name="_Toc117002598"/>
      <w:r w:rsidRPr="005D2316">
        <w:rPr>
          <w:rFonts w:eastAsia="Calibri"/>
        </w:rPr>
        <w:lastRenderedPageBreak/>
        <w:t>É</w:t>
      </w:r>
      <w:r w:rsidR="00F8637E">
        <w:rPr>
          <w:rFonts w:eastAsia="Calibri"/>
        </w:rPr>
        <w:t>valuation</w:t>
      </w:r>
      <w:r w:rsidR="00A16EC8" w:rsidRPr="005D2316">
        <w:rPr>
          <w:rFonts w:eastAsia="Calibri"/>
        </w:rPr>
        <w:t xml:space="preserve"> </w:t>
      </w:r>
      <w:r w:rsidRPr="005D2316">
        <w:rPr>
          <w:rFonts w:eastAsia="Calibri"/>
        </w:rPr>
        <w:t>du nouveau logiciel</w:t>
      </w:r>
      <w:bookmarkEnd w:id="19"/>
    </w:p>
    <w:p w14:paraId="3BA73894" w14:textId="77777777" w:rsidR="00A16EC8" w:rsidRPr="005D2316" w:rsidRDefault="00A16EC8" w:rsidP="00F8637E">
      <w:pPr>
        <w:keepNext/>
        <w:rPr>
          <w:rFonts w:eastAsia="Calibri"/>
          <w:lang w:val="fr-FR"/>
        </w:rPr>
      </w:pPr>
    </w:p>
    <w:p w14:paraId="22694541" w14:textId="22777218" w:rsidR="0067269A" w:rsidRPr="005D2316" w:rsidRDefault="00FC2472" w:rsidP="004C1C17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Au début du mois d</w:t>
      </w:r>
      <w:r w:rsidR="0067269A" w:rsidRPr="005D2316">
        <w:rPr>
          <w:rFonts w:eastAsia="Calibri" w:cs="Arial"/>
          <w:lang w:val="fr-FR"/>
        </w:rPr>
        <w:t>’août 20</w:t>
      </w:r>
      <w:r w:rsidR="00A16EC8" w:rsidRPr="005D2316">
        <w:rPr>
          <w:rFonts w:eastAsia="Calibri" w:cs="Arial"/>
          <w:lang w:val="fr-FR"/>
        </w:rPr>
        <w:t xml:space="preserve">21, </w:t>
      </w:r>
      <w:r w:rsidRPr="005D2316">
        <w:rPr>
          <w:rFonts w:eastAsia="Calibri" w:cs="Arial"/>
          <w:lang w:val="fr-FR"/>
        </w:rPr>
        <w:t>le Bureau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Union </w:t>
      </w:r>
      <w:r w:rsidR="00A16EC8" w:rsidRPr="005D2316">
        <w:rPr>
          <w:rFonts w:eastAsia="Calibri" w:cs="Arial"/>
          <w:lang w:val="fr-FR"/>
        </w:rPr>
        <w:t xml:space="preserve">a </w:t>
      </w:r>
      <w:r w:rsidRPr="005D2316">
        <w:rPr>
          <w:rFonts w:eastAsia="Calibri" w:cs="Arial"/>
          <w:lang w:val="fr-FR"/>
        </w:rPr>
        <w:t xml:space="preserve">diffusé une </w:t>
      </w:r>
      <w:r w:rsidR="00A16EC8" w:rsidRPr="005D2316">
        <w:rPr>
          <w:rFonts w:eastAsia="Calibri" w:cs="Arial"/>
          <w:lang w:val="fr-FR"/>
        </w:rPr>
        <w:t>circula</w:t>
      </w:r>
      <w:r w:rsidRPr="005D2316">
        <w:rPr>
          <w:rFonts w:eastAsia="Calibri" w:cs="Arial"/>
          <w:lang w:val="fr-FR"/>
        </w:rPr>
        <w:t>i</w:t>
      </w:r>
      <w:r w:rsidR="00A16EC8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invitant les experts à participer aux essais relatifs au nouveau logici</w:t>
      </w:r>
      <w:r w:rsidR="001A0B67" w:rsidRPr="005D2316">
        <w:rPr>
          <w:rFonts w:eastAsia="Calibri" w:cs="Arial"/>
          <w:lang w:val="fr-FR"/>
        </w:rPr>
        <w:t>el.  Le</w:t>
      </w:r>
      <w:r w:rsidRPr="005D2316">
        <w:rPr>
          <w:rFonts w:eastAsia="Calibri" w:cs="Arial"/>
          <w:lang w:val="fr-FR"/>
        </w:rPr>
        <w:t xml:space="preserve"> terme de ces essais était prévu pour la fin </w:t>
      </w:r>
      <w:r w:rsidR="0067269A" w:rsidRPr="005D2316">
        <w:rPr>
          <w:rFonts w:eastAsia="Calibri" w:cs="Arial"/>
          <w:lang w:val="fr-FR"/>
        </w:rPr>
        <w:t>décembre 20</w:t>
      </w:r>
      <w:r w:rsidR="00A16EC8" w:rsidRPr="005D2316">
        <w:rPr>
          <w:rFonts w:eastAsia="Calibri" w:cs="Arial"/>
          <w:lang w:val="fr-FR"/>
        </w:rPr>
        <w:t>21</w:t>
      </w:r>
      <w:r w:rsidR="001F2660" w:rsidRPr="005D2316">
        <w:rPr>
          <w:rFonts w:eastAsia="Calibri" w:cs="Arial"/>
          <w:lang w:val="fr-FR"/>
        </w:rPr>
        <w:t xml:space="preserve">. </w:t>
      </w:r>
      <w:r w:rsidR="00A2333E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Les 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formats de logiciel ont été proposés pour é</w:t>
      </w:r>
      <w:r w:rsidR="00A16EC8" w:rsidRPr="005D2316">
        <w:rPr>
          <w:rFonts w:eastAsia="Calibri" w:cs="Arial"/>
          <w:lang w:val="fr-FR"/>
        </w:rPr>
        <w:t>valuation.</w:t>
      </w:r>
    </w:p>
    <w:p w14:paraId="3AB04452" w14:textId="4FF26DC0" w:rsidR="00A16EC8" w:rsidRPr="005D2316" w:rsidRDefault="00A16EC8" w:rsidP="00F8637E">
      <w:pPr>
        <w:contextualSpacing/>
        <w:rPr>
          <w:rFonts w:eastAsia="Calibri" w:cs="Arial"/>
          <w:lang w:val="fr-FR"/>
        </w:rPr>
      </w:pPr>
    </w:p>
    <w:p w14:paraId="1739CC9E" w14:textId="02520A32" w:rsidR="00A16EC8" w:rsidRPr="005D2316" w:rsidRDefault="00D76B4F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De nombreux</w:t>
      </w:r>
      <w:r w:rsidR="00FC2472" w:rsidRPr="005D2316">
        <w:rPr>
          <w:rFonts w:eastAsia="Calibri" w:cs="Arial"/>
          <w:lang w:val="fr-FR"/>
        </w:rPr>
        <w:t xml:space="preserve"> membres ont participé à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exerci</w:t>
      </w:r>
      <w:r w:rsidR="00FC2472" w:rsidRPr="005D2316">
        <w:rPr>
          <w:rFonts w:eastAsia="Calibri" w:cs="Arial"/>
          <w:lang w:val="fr-FR"/>
        </w:rPr>
        <w:t>c</w:t>
      </w:r>
      <w:r w:rsidR="00A16EC8" w:rsidRPr="005D2316">
        <w:rPr>
          <w:rFonts w:eastAsia="Calibri" w:cs="Arial"/>
          <w:lang w:val="fr-FR"/>
        </w:rPr>
        <w:t xml:space="preserve">e, </w:t>
      </w:r>
      <w:r w:rsidR="00FC2472" w:rsidRPr="005D2316">
        <w:rPr>
          <w:rFonts w:eastAsia="Calibri" w:cs="Arial"/>
          <w:lang w:val="fr-FR"/>
        </w:rPr>
        <w:t>comme l</w:t>
      </w:r>
      <w:r w:rsidR="0067269A" w:rsidRPr="005D2316">
        <w:rPr>
          <w:rFonts w:eastAsia="Calibri" w:cs="Arial"/>
          <w:lang w:val="fr-FR"/>
        </w:rPr>
        <w:t>’</w:t>
      </w:r>
      <w:r w:rsidR="00FC2472" w:rsidRPr="005D2316">
        <w:rPr>
          <w:rFonts w:eastAsia="Calibri" w:cs="Arial"/>
          <w:lang w:val="fr-FR"/>
        </w:rPr>
        <w:t>attestent les téléchargements de la version d</w:t>
      </w:r>
      <w:r w:rsidR="0067269A" w:rsidRPr="005D2316">
        <w:rPr>
          <w:rFonts w:eastAsia="Calibri" w:cs="Arial"/>
          <w:lang w:val="fr-FR"/>
        </w:rPr>
        <w:t>’</w:t>
      </w:r>
      <w:r w:rsidR="00FC2472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valuation </w:t>
      </w:r>
      <w:r w:rsidR="00FC2472" w:rsidRPr="005D2316">
        <w:rPr>
          <w:rFonts w:eastAsia="Calibri" w:cs="Arial"/>
          <w:lang w:val="fr-FR"/>
        </w:rPr>
        <w:t>de</w:t>
      </w:r>
      <w:r w:rsidR="00A16EC8" w:rsidRPr="005D2316">
        <w:rPr>
          <w:rFonts w:eastAsia="Calibri" w:cs="Arial"/>
          <w:lang w:val="fr-FR"/>
        </w:rPr>
        <w:t xml:space="preserve"> DUSTNT</w:t>
      </w:r>
      <w:r w:rsidR="001F2660" w:rsidRPr="005D2316">
        <w:rPr>
          <w:rFonts w:eastAsia="Calibri" w:cs="Arial"/>
          <w:lang w:val="fr-FR"/>
        </w:rPr>
        <w:t xml:space="preserve">. </w:t>
      </w:r>
      <w:r w:rsidR="00A2333E" w:rsidRPr="005D2316">
        <w:rPr>
          <w:rFonts w:eastAsia="Calibri" w:cs="Arial"/>
          <w:lang w:val="fr-FR"/>
        </w:rPr>
        <w:t xml:space="preserve"> </w:t>
      </w:r>
      <w:r w:rsidR="00FC2472" w:rsidRPr="005D2316">
        <w:rPr>
          <w:rFonts w:eastAsia="Calibri" w:cs="Arial"/>
          <w:lang w:val="fr-FR"/>
        </w:rPr>
        <w:t>À la suite des évaluations qu</w:t>
      </w:r>
      <w:r w:rsidR="0067269A" w:rsidRPr="005D2316">
        <w:rPr>
          <w:rFonts w:eastAsia="Calibri" w:cs="Arial"/>
          <w:lang w:val="fr-FR"/>
        </w:rPr>
        <w:t>’</w:t>
      </w:r>
      <w:r w:rsidR="00FC2472" w:rsidRPr="005D2316">
        <w:rPr>
          <w:rFonts w:eastAsia="Calibri" w:cs="Arial"/>
          <w:lang w:val="fr-FR"/>
        </w:rPr>
        <w:t>ils ont menées, les pays suivants ont envoyé leurs réponses</w:t>
      </w:r>
      <w:r w:rsidR="0067269A" w:rsidRPr="005D2316">
        <w:rPr>
          <w:rFonts w:eastAsia="Calibri" w:cs="Arial"/>
          <w:lang w:val="fr-FR"/>
        </w:rPr>
        <w:t> :</w:t>
      </w:r>
      <w:r w:rsidR="00A16EC8" w:rsidRPr="005D2316">
        <w:rPr>
          <w:rFonts w:eastAsia="Calibri" w:cs="Arial"/>
          <w:lang w:val="fr-FR"/>
        </w:rPr>
        <w:t xml:space="preserve"> R</w:t>
      </w:r>
      <w:r w:rsidR="00FC2472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publi</w:t>
      </w:r>
      <w:r w:rsidR="00FC2472" w:rsidRPr="005D2316">
        <w:rPr>
          <w:rFonts w:eastAsia="Calibri" w:cs="Arial"/>
          <w:lang w:val="fr-FR"/>
        </w:rPr>
        <w:t>que tchèque</w:t>
      </w:r>
      <w:r w:rsidR="00A16EC8" w:rsidRPr="005D2316">
        <w:rPr>
          <w:rFonts w:eastAsia="Calibri" w:cs="Arial"/>
          <w:lang w:val="fr-FR"/>
        </w:rPr>
        <w:t>, Finland</w:t>
      </w:r>
      <w:r w:rsidR="00FC2472"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, Slova</w:t>
      </w:r>
      <w:r w:rsidR="00FC2472" w:rsidRPr="005D2316">
        <w:rPr>
          <w:rFonts w:eastAsia="Calibri" w:cs="Arial"/>
          <w:lang w:val="fr-FR"/>
        </w:rPr>
        <w:t>quie</w:t>
      </w:r>
      <w:r w:rsidR="00A16EC8" w:rsidRPr="005D2316">
        <w:rPr>
          <w:rFonts w:eastAsia="Calibri" w:cs="Arial"/>
          <w:lang w:val="fr-FR"/>
        </w:rPr>
        <w:t xml:space="preserve">, </w:t>
      </w:r>
      <w:r w:rsidR="00592AEC" w:rsidRPr="005D2316">
        <w:rPr>
          <w:rFonts w:eastAsia="Calibri" w:cs="Arial"/>
          <w:lang w:val="fr-FR"/>
        </w:rPr>
        <w:t>Royaume</w:t>
      </w:r>
      <w:r w:rsidR="0067269A" w:rsidRPr="005D2316">
        <w:rPr>
          <w:rFonts w:eastAsia="Calibri" w:cs="Arial"/>
          <w:lang w:val="fr-FR"/>
        </w:rPr>
        <w:t>-</w:t>
      </w:r>
      <w:r w:rsidR="00592AEC" w:rsidRPr="005D2316">
        <w:rPr>
          <w:rFonts w:eastAsia="Calibri" w:cs="Arial"/>
          <w:lang w:val="fr-FR"/>
        </w:rPr>
        <w:t>U</w:t>
      </w:r>
      <w:r w:rsidR="001A0B67" w:rsidRPr="005D2316">
        <w:rPr>
          <w:rFonts w:eastAsia="Calibri" w:cs="Arial"/>
          <w:lang w:val="fr-FR"/>
        </w:rPr>
        <w:t>ni.  L’é</w:t>
      </w:r>
      <w:r w:rsidR="00FC2472" w:rsidRPr="005D2316">
        <w:rPr>
          <w:rFonts w:eastAsia="Calibri" w:cs="Arial"/>
          <w:lang w:val="fr-FR"/>
        </w:rPr>
        <w:t xml:space="preserve">quipe chargée de la conception du logiciel est extrêmement reconnaissante </w:t>
      </w:r>
      <w:r w:rsidR="00F22DA2" w:rsidRPr="005D2316">
        <w:rPr>
          <w:rFonts w:eastAsia="Calibri" w:cs="Arial"/>
          <w:lang w:val="fr-FR"/>
        </w:rPr>
        <w:t>pour ces précieuses</w:t>
      </w:r>
      <w:r w:rsidR="00A16EC8" w:rsidRPr="005D2316">
        <w:rPr>
          <w:rFonts w:eastAsia="Calibri" w:cs="Arial"/>
          <w:lang w:val="fr-FR"/>
        </w:rPr>
        <w:t xml:space="preserve"> r</w:t>
      </w:r>
      <w:r w:rsidR="00F22DA2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ponses.</w:t>
      </w:r>
    </w:p>
    <w:p w14:paraId="1F6B802C" w14:textId="77777777" w:rsidR="00A16EC8" w:rsidRPr="005D2316" w:rsidRDefault="00A16EC8" w:rsidP="00F8637E">
      <w:pPr>
        <w:contextualSpacing/>
        <w:rPr>
          <w:rFonts w:eastAsia="Calibri" w:cs="Arial"/>
          <w:lang w:val="fr-FR"/>
        </w:rPr>
      </w:pPr>
    </w:p>
    <w:p w14:paraId="7A20E95A" w14:textId="7AA5459E" w:rsidR="00A16EC8" w:rsidRPr="005D2316" w:rsidRDefault="00F22DA2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Même si le sentiment général était positif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un certain nombre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améliorations ont été identifiées pour la version </w:t>
      </w:r>
      <w:r w:rsidR="00A16EC8" w:rsidRPr="005D2316">
        <w:rPr>
          <w:rFonts w:eastAsia="Calibri" w:cs="Arial"/>
          <w:lang w:val="fr-FR"/>
        </w:rPr>
        <w:t xml:space="preserve">DUST </w:t>
      </w:r>
      <w:r w:rsidRPr="005D2316">
        <w:rPr>
          <w:rFonts w:eastAsia="Calibri" w:cs="Arial"/>
          <w:lang w:val="fr-FR"/>
        </w:rPr>
        <w:t>du logiciel</w:t>
      </w:r>
      <w:r w:rsidR="00A16EC8" w:rsidRPr="005D2316">
        <w:rPr>
          <w:rFonts w:eastAsia="Calibri" w:cs="Arial"/>
          <w:lang w:val="fr-FR"/>
        </w:rPr>
        <w:t>.</w:t>
      </w:r>
    </w:p>
    <w:p w14:paraId="5BA52BF0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6A9374F8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35FB45AE" w14:textId="4150377E" w:rsidR="00A16EC8" w:rsidRPr="005D2316" w:rsidRDefault="00F8637E" w:rsidP="00887C0B">
      <w:pPr>
        <w:pStyle w:val="Heading1"/>
        <w:rPr>
          <w:rFonts w:eastAsia="Calibri"/>
        </w:rPr>
      </w:pPr>
      <w:bookmarkStart w:id="20" w:name="_Toc117002599"/>
      <w:r>
        <w:rPr>
          <w:rFonts w:eastAsia="Calibri"/>
        </w:rPr>
        <w:t>É</w:t>
      </w:r>
      <w:r w:rsidR="00F22DA2" w:rsidRPr="005D2316">
        <w:rPr>
          <w:rFonts w:eastAsia="Calibri"/>
        </w:rPr>
        <w:t xml:space="preserve">volution future du logiciel intégrant la nouvelle méthode </w:t>
      </w:r>
      <w:r w:rsidR="00A16EC8" w:rsidRPr="005D2316">
        <w:rPr>
          <w:rFonts w:eastAsia="Calibri"/>
        </w:rPr>
        <w:t>COYU</w:t>
      </w:r>
      <w:bookmarkEnd w:id="20"/>
    </w:p>
    <w:p w14:paraId="03ACFA28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E05911F" w14:textId="3299D9F9" w:rsidR="00A16EC8" w:rsidRPr="005D2316" w:rsidRDefault="00F22DA2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Les améliorations à apporter au logiciel </w:t>
      </w:r>
      <w:r w:rsidR="00A16EC8" w:rsidRPr="005D2316">
        <w:rPr>
          <w:rFonts w:eastAsia="Calibri" w:cs="Arial"/>
          <w:lang w:val="fr-FR"/>
        </w:rPr>
        <w:t xml:space="preserve">DUSTNT </w:t>
      </w:r>
      <w:r w:rsidRPr="005D2316">
        <w:rPr>
          <w:rFonts w:eastAsia="Calibri" w:cs="Arial"/>
          <w:lang w:val="fr-FR"/>
        </w:rPr>
        <w:t xml:space="preserve">qui ont été </w:t>
      </w:r>
      <w:r w:rsidR="00A16EC8" w:rsidRPr="005D2316">
        <w:rPr>
          <w:rFonts w:eastAsia="Calibri" w:cs="Arial"/>
          <w:lang w:val="fr-FR"/>
        </w:rPr>
        <w:t>identifi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à la suite de la série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essais sont les suivantes</w:t>
      </w:r>
      <w:r w:rsidR="0067269A" w:rsidRPr="005D2316">
        <w:rPr>
          <w:rFonts w:eastAsia="Calibri" w:cs="Arial"/>
          <w:lang w:val="fr-FR"/>
        </w:rPr>
        <w:t> :</w:t>
      </w:r>
    </w:p>
    <w:p w14:paraId="569D1BC4" w14:textId="7E1298BB" w:rsidR="00A16EC8" w:rsidRPr="005D2316" w:rsidRDefault="00F8637E" w:rsidP="00F8637E">
      <w:pPr>
        <w:numPr>
          <w:ilvl w:val="0"/>
          <w:numId w:val="7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a</w:t>
      </w:r>
      <w:r w:rsidR="00F22DA2" w:rsidRPr="005D2316">
        <w:rPr>
          <w:rFonts w:eastAsia="Calibri" w:cs="Arial"/>
          <w:lang w:val="fr-FR"/>
        </w:rPr>
        <w:t>méliorations</w:t>
      </w:r>
      <w:proofErr w:type="gramEnd"/>
      <w:r w:rsidR="00F22DA2" w:rsidRPr="005D2316">
        <w:rPr>
          <w:rFonts w:eastAsia="Calibri" w:cs="Arial"/>
          <w:lang w:val="fr-FR"/>
        </w:rPr>
        <w:t xml:space="preserve"> des rappor</w:t>
      </w:r>
      <w:r w:rsidR="00A16EC8" w:rsidRPr="005D2316">
        <w:rPr>
          <w:rFonts w:eastAsia="Calibri" w:cs="Arial"/>
          <w:lang w:val="fr-FR"/>
        </w:rPr>
        <w:t xml:space="preserve">ts, </w:t>
      </w:r>
      <w:r w:rsidR="00F22DA2" w:rsidRPr="005D2316">
        <w:rPr>
          <w:rFonts w:eastAsia="Calibri" w:cs="Arial"/>
          <w:lang w:val="fr-FR"/>
        </w:rPr>
        <w:t xml:space="preserve">notamment le </w:t>
      </w:r>
      <w:r w:rsidR="00A16EC8" w:rsidRPr="005D2316">
        <w:rPr>
          <w:rFonts w:eastAsia="Calibri" w:cs="Arial"/>
          <w:lang w:val="fr-FR"/>
        </w:rPr>
        <w:t>format</w:t>
      </w:r>
      <w:r w:rsidR="00CA6B36" w:rsidRPr="005D2316">
        <w:rPr>
          <w:rFonts w:eastAsia="Calibri" w:cs="Arial"/>
          <w:lang w:val="fr-FR"/>
        </w:rPr>
        <w:t xml:space="preserve">age et les </w:t>
      </w:r>
      <w:r w:rsidR="00A16EC8" w:rsidRPr="005D2316">
        <w:rPr>
          <w:rFonts w:eastAsia="Calibri" w:cs="Arial"/>
          <w:lang w:val="fr-FR"/>
        </w:rPr>
        <w:t>information</w:t>
      </w:r>
      <w:r w:rsidR="00CA6B36" w:rsidRPr="005D2316">
        <w:rPr>
          <w:rFonts w:eastAsia="Calibri" w:cs="Arial"/>
          <w:lang w:val="fr-FR"/>
        </w:rPr>
        <w:t>s supplémentaires</w:t>
      </w:r>
      <w:r w:rsidR="00A16EC8" w:rsidRPr="005D2316">
        <w:rPr>
          <w:rFonts w:eastAsia="Calibri" w:cs="Arial"/>
          <w:lang w:val="fr-FR"/>
        </w:rPr>
        <w:t>;</w:t>
      </w:r>
    </w:p>
    <w:p w14:paraId="643F0F4F" w14:textId="561FE242" w:rsidR="00A16EC8" w:rsidRPr="005D2316" w:rsidRDefault="00F8637E" w:rsidP="00F8637E">
      <w:pPr>
        <w:numPr>
          <w:ilvl w:val="0"/>
          <w:numId w:val="7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c</w:t>
      </w:r>
      <w:r w:rsidR="00A16EC8" w:rsidRPr="005D2316">
        <w:rPr>
          <w:rFonts w:eastAsia="Calibri" w:cs="Arial"/>
          <w:lang w:val="fr-FR"/>
        </w:rPr>
        <w:t>rit</w:t>
      </w:r>
      <w:r w:rsidR="00CA6B36" w:rsidRPr="005D2316">
        <w:rPr>
          <w:rFonts w:eastAsia="Calibri" w:cs="Arial"/>
          <w:lang w:val="fr-FR"/>
        </w:rPr>
        <w:t>ères</w:t>
      </w:r>
      <w:proofErr w:type="gramEnd"/>
      <w:r w:rsidR="00CA6B36" w:rsidRPr="005D2316">
        <w:rPr>
          <w:rFonts w:eastAsia="Calibri" w:cs="Arial"/>
          <w:lang w:val="fr-FR"/>
        </w:rPr>
        <w:t xml:space="preserve"> d</w:t>
      </w:r>
      <w:r w:rsidR="0067269A" w:rsidRPr="005D2316">
        <w:rPr>
          <w:rFonts w:eastAsia="Calibri" w:cs="Arial"/>
          <w:lang w:val="fr-FR"/>
        </w:rPr>
        <w:t>’</w:t>
      </w:r>
      <w:r w:rsidR="00977AA7" w:rsidRPr="005D2316">
        <w:rPr>
          <w:rFonts w:eastAsia="Calibri" w:cs="Arial"/>
          <w:lang w:val="fr-FR"/>
        </w:rPr>
        <w:t>indication</w:t>
      </w:r>
      <w:r w:rsidR="00CA6B36" w:rsidRPr="005D2316">
        <w:rPr>
          <w:rFonts w:eastAsia="Calibri" w:cs="Arial"/>
          <w:lang w:val="fr-FR"/>
        </w:rPr>
        <w:t xml:space="preserve"> des </w:t>
      </w:r>
      <w:r w:rsidR="009A2233" w:rsidRPr="005D2316">
        <w:rPr>
          <w:rFonts w:eastAsia="Calibri" w:cs="Arial"/>
          <w:lang w:val="fr-FR"/>
        </w:rPr>
        <w:t>jeux</w:t>
      </w:r>
      <w:r w:rsidR="00CA6B36" w:rsidRPr="005D2316">
        <w:rPr>
          <w:rFonts w:eastAsia="Calibri" w:cs="Arial"/>
          <w:lang w:val="fr-FR"/>
        </w:rPr>
        <w:t xml:space="preserve"> de données trop faibles</w:t>
      </w:r>
      <w:r w:rsidR="00A16EC8" w:rsidRPr="005D2316">
        <w:rPr>
          <w:rFonts w:eastAsia="Calibri" w:cs="Arial"/>
          <w:lang w:val="fr-FR"/>
        </w:rPr>
        <w:t>;</w:t>
      </w:r>
    </w:p>
    <w:p w14:paraId="623B331F" w14:textId="14A47BEC" w:rsidR="00A16EC8" w:rsidRPr="005D2316" w:rsidRDefault="00F8637E" w:rsidP="00F8637E">
      <w:pPr>
        <w:numPr>
          <w:ilvl w:val="0"/>
          <w:numId w:val="7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d</w:t>
      </w:r>
      <w:r w:rsidR="00F32533" w:rsidRPr="005D2316">
        <w:rPr>
          <w:rFonts w:eastAsia="Calibri" w:cs="Arial"/>
          <w:lang w:val="fr-FR"/>
        </w:rPr>
        <w:t>avantage</w:t>
      </w:r>
      <w:proofErr w:type="gramEnd"/>
      <w:r w:rsidR="00F32533" w:rsidRPr="005D2316">
        <w:rPr>
          <w:rFonts w:eastAsia="Calibri" w:cs="Arial"/>
          <w:lang w:val="fr-FR"/>
        </w:rPr>
        <w:t xml:space="preserve"> de t</w:t>
      </w:r>
      <w:r w:rsidR="00A16EC8" w:rsidRPr="005D2316">
        <w:rPr>
          <w:rFonts w:eastAsia="Calibri" w:cs="Arial"/>
          <w:lang w:val="fr-FR"/>
        </w:rPr>
        <w:t>able</w:t>
      </w:r>
      <w:r w:rsidR="00F32533" w:rsidRPr="005D2316">
        <w:rPr>
          <w:rFonts w:eastAsia="Calibri" w:cs="Arial"/>
          <w:lang w:val="fr-FR"/>
        </w:rPr>
        <w:t>aux</w:t>
      </w:r>
      <w:r w:rsidR="00A16EC8" w:rsidRPr="005D2316">
        <w:rPr>
          <w:rFonts w:eastAsia="Calibri" w:cs="Arial"/>
          <w:lang w:val="fr-FR"/>
        </w:rPr>
        <w:t xml:space="preserve"> </w:t>
      </w:r>
      <w:r w:rsidR="00F32533"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n format</w:t>
      </w:r>
      <w:r w:rsidR="00F32533" w:rsidRPr="005D2316">
        <w:rPr>
          <w:rFonts w:eastAsia="Calibri" w:cs="Arial"/>
          <w:lang w:val="fr-FR"/>
        </w:rPr>
        <w:t xml:space="preserve"> csv</w:t>
      </w:r>
      <w:r w:rsidR="00A16EC8" w:rsidRPr="005D2316">
        <w:rPr>
          <w:rFonts w:eastAsia="Calibri" w:cs="Arial"/>
          <w:lang w:val="fr-FR"/>
        </w:rPr>
        <w:t>;</w:t>
      </w:r>
    </w:p>
    <w:p w14:paraId="14251BE8" w14:textId="36B49971" w:rsidR="00A16EC8" w:rsidRPr="005D2316" w:rsidRDefault="00F8637E" w:rsidP="00F8637E">
      <w:pPr>
        <w:numPr>
          <w:ilvl w:val="0"/>
          <w:numId w:val="7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m</w:t>
      </w:r>
      <w:r w:rsidR="00F32533" w:rsidRPr="005D2316">
        <w:rPr>
          <w:rFonts w:eastAsia="Calibri" w:cs="Arial"/>
          <w:lang w:val="fr-FR"/>
        </w:rPr>
        <w:t>eilleurs</w:t>
      </w:r>
      <w:proofErr w:type="gramEnd"/>
      <w:r w:rsidR="00F32533"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graphis</w:t>
      </w:r>
      <w:r w:rsidR="00F32533" w:rsidRPr="005D2316">
        <w:rPr>
          <w:rFonts w:eastAsia="Calibri" w:cs="Arial"/>
          <w:lang w:val="fr-FR"/>
        </w:rPr>
        <w:t>mes</w:t>
      </w:r>
      <w:r w:rsidR="00A16EC8" w:rsidRPr="005D2316">
        <w:rPr>
          <w:rFonts w:eastAsia="Calibri" w:cs="Arial"/>
          <w:lang w:val="fr-FR"/>
        </w:rPr>
        <w:t>;</w:t>
      </w:r>
    </w:p>
    <w:p w14:paraId="6EAC5F7B" w14:textId="59A4027D" w:rsidR="00A16EC8" w:rsidRPr="005D2316" w:rsidRDefault="00F8637E" w:rsidP="00F8637E">
      <w:pPr>
        <w:numPr>
          <w:ilvl w:val="0"/>
          <w:numId w:val="7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m</w:t>
      </w:r>
      <w:r w:rsidR="00A16EC8" w:rsidRPr="005D2316">
        <w:rPr>
          <w:rFonts w:eastAsia="Calibri" w:cs="Arial"/>
          <w:lang w:val="fr-FR"/>
        </w:rPr>
        <w:t>odification</w:t>
      </w:r>
      <w:proofErr w:type="gramEnd"/>
      <w:r w:rsidR="00A16EC8" w:rsidRPr="005D2316">
        <w:rPr>
          <w:rFonts w:eastAsia="Calibri" w:cs="Arial"/>
          <w:lang w:val="fr-FR"/>
        </w:rPr>
        <w:t xml:space="preserve"> </w:t>
      </w:r>
      <w:r w:rsidR="00F32533" w:rsidRPr="005D2316">
        <w:rPr>
          <w:rFonts w:eastAsia="Calibri" w:cs="Arial"/>
          <w:lang w:val="fr-FR"/>
        </w:rPr>
        <w:t>d</w:t>
      </w:r>
      <w:r w:rsidR="00977AA7" w:rsidRPr="005D2316">
        <w:rPr>
          <w:rFonts w:eastAsia="Calibri" w:cs="Arial"/>
          <w:lang w:val="fr-FR"/>
        </w:rPr>
        <w:t>e l</w:t>
      </w:r>
      <w:r w:rsidR="0067269A" w:rsidRPr="005D2316">
        <w:rPr>
          <w:rFonts w:eastAsia="Calibri" w:cs="Arial"/>
          <w:lang w:val="fr-FR"/>
        </w:rPr>
        <w:t>’</w:t>
      </w:r>
      <w:r w:rsidR="00977AA7" w:rsidRPr="005D2316">
        <w:rPr>
          <w:rFonts w:eastAsia="Calibri" w:cs="Arial"/>
          <w:lang w:val="fr-FR"/>
        </w:rPr>
        <w:t xml:space="preserve">indication </w:t>
      </w:r>
      <w:r w:rsidR="00F32533" w:rsidRPr="005D2316">
        <w:rPr>
          <w:rFonts w:eastAsia="Calibri" w:cs="Arial"/>
          <w:lang w:val="fr-FR"/>
        </w:rPr>
        <w:t xml:space="preserve">des </w:t>
      </w:r>
      <w:r w:rsidR="00A16EC8" w:rsidRPr="005D2316">
        <w:rPr>
          <w:rFonts w:eastAsia="Calibri" w:cs="Arial"/>
          <w:lang w:val="fr-FR"/>
        </w:rPr>
        <w:t xml:space="preserve">cas </w:t>
      </w:r>
      <w:r w:rsidR="00F32533" w:rsidRPr="005D2316">
        <w:rPr>
          <w:rFonts w:eastAsia="Calibri" w:cs="Arial"/>
          <w:lang w:val="fr-FR"/>
        </w:rPr>
        <w:t>avec</w:t>
      </w:r>
      <w:r w:rsidR="00A16EC8" w:rsidRPr="005D2316">
        <w:rPr>
          <w:rFonts w:eastAsia="Calibri" w:cs="Arial"/>
          <w:lang w:val="fr-FR"/>
        </w:rPr>
        <w:t xml:space="preserve"> extrapolation;</w:t>
      </w:r>
    </w:p>
    <w:p w14:paraId="65D7E778" w14:textId="7202A95C" w:rsidR="00A16EC8" w:rsidRPr="005D2316" w:rsidRDefault="00F8637E" w:rsidP="00F8637E">
      <w:pPr>
        <w:numPr>
          <w:ilvl w:val="0"/>
          <w:numId w:val="7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g</w:t>
      </w:r>
      <w:r w:rsidR="00F32533" w:rsidRPr="005D2316">
        <w:rPr>
          <w:rFonts w:eastAsia="Calibri" w:cs="Arial"/>
          <w:lang w:val="fr-FR"/>
        </w:rPr>
        <w:t>estion</w:t>
      </w:r>
      <w:proofErr w:type="gramEnd"/>
      <w:r w:rsidR="00F32533" w:rsidRPr="005D2316">
        <w:rPr>
          <w:rFonts w:eastAsia="Calibri" w:cs="Arial"/>
          <w:lang w:val="fr-FR"/>
        </w:rPr>
        <w:t xml:space="preserve"> des signes </w:t>
      </w:r>
      <w:r w:rsidR="00A16EC8" w:rsidRPr="005D2316">
        <w:rPr>
          <w:rFonts w:eastAsia="Calibri" w:cs="Arial"/>
          <w:lang w:val="fr-FR"/>
        </w:rPr>
        <w:t>diacriti</w:t>
      </w:r>
      <w:r w:rsidR="00F32533" w:rsidRPr="005D2316">
        <w:rPr>
          <w:rFonts w:eastAsia="Calibri" w:cs="Arial"/>
          <w:lang w:val="fr-FR"/>
        </w:rPr>
        <w:t>que</w:t>
      </w:r>
      <w:r w:rsidR="00A16EC8" w:rsidRPr="005D2316">
        <w:rPr>
          <w:rFonts w:eastAsia="Calibri" w:cs="Arial"/>
          <w:lang w:val="fr-FR"/>
        </w:rPr>
        <w:t xml:space="preserve">s </w:t>
      </w:r>
      <w:r w:rsidR="00F32533" w:rsidRPr="005D2316">
        <w:rPr>
          <w:rFonts w:eastAsia="Calibri" w:cs="Arial"/>
          <w:lang w:val="fr-FR"/>
        </w:rPr>
        <w:t xml:space="preserve">dans les noms de </w:t>
      </w:r>
      <w:r w:rsidR="00A16EC8" w:rsidRPr="005D2316">
        <w:rPr>
          <w:rFonts w:eastAsia="Calibri" w:cs="Arial"/>
          <w:lang w:val="fr-FR"/>
        </w:rPr>
        <w:t>fi</w:t>
      </w:r>
      <w:r w:rsidR="00F32533" w:rsidRPr="005D2316">
        <w:rPr>
          <w:rFonts w:eastAsia="Calibri" w:cs="Arial"/>
          <w:lang w:val="fr-FR"/>
        </w:rPr>
        <w:t>chiers et</w:t>
      </w:r>
      <w:r w:rsidR="00A16EC8" w:rsidRPr="005D2316">
        <w:rPr>
          <w:rFonts w:eastAsia="Calibri" w:cs="Arial"/>
          <w:lang w:val="fr-FR"/>
        </w:rPr>
        <w:t xml:space="preserve"> </w:t>
      </w:r>
      <w:r w:rsidR="00F32533" w:rsidRPr="005D2316">
        <w:rPr>
          <w:rFonts w:eastAsia="Calibri" w:cs="Arial"/>
          <w:lang w:val="fr-FR"/>
        </w:rPr>
        <w:t>répertoires</w:t>
      </w:r>
      <w:r w:rsidR="00A16EC8" w:rsidRPr="005D2316">
        <w:rPr>
          <w:rFonts w:eastAsia="Calibri" w:cs="Arial"/>
          <w:lang w:val="fr-FR"/>
        </w:rPr>
        <w:t>.</w:t>
      </w:r>
    </w:p>
    <w:p w14:paraId="53B814FA" w14:textId="77777777" w:rsidR="0067269A" w:rsidRPr="005D2316" w:rsidRDefault="0067269A" w:rsidP="00A16EC8">
      <w:pPr>
        <w:contextualSpacing/>
        <w:rPr>
          <w:rFonts w:eastAsia="Calibri" w:cs="Arial"/>
          <w:lang w:val="fr-FR"/>
        </w:rPr>
      </w:pPr>
    </w:p>
    <w:p w14:paraId="4117904D" w14:textId="1F82B6E6" w:rsidR="00A16EC8" w:rsidRPr="005D2316" w:rsidRDefault="00A16EC8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A</w:t>
      </w:r>
      <w:r w:rsidR="00E4413B" w:rsidRPr="005D2316">
        <w:rPr>
          <w:rFonts w:eastAsia="Calibri" w:cs="Arial"/>
          <w:lang w:val="fr-FR"/>
        </w:rPr>
        <w:t xml:space="preserve">u moment de la rédaction du présent document, </w:t>
      </w:r>
      <w:r w:rsidR="00D76B4F" w:rsidRPr="005D2316">
        <w:rPr>
          <w:rFonts w:eastAsia="Calibri" w:cs="Arial"/>
          <w:lang w:val="fr-FR"/>
        </w:rPr>
        <w:t>bo</w:t>
      </w:r>
      <w:r w:rsidR="00E4413B" w:rsidRPr="005D2316">
        <w:rPr>
          <w:rFonts w:eastAsia="Calibri" w:cs="Arial"/>
          <w:lang w:val="fr-FR"/>
        </w:rPr>
        <w:t>n nombre des améliorations identifiées ont été codé</w:t>
      </w:r>
      <w:r w:rsidR="001A0B67" w:rsidRPr="005D2316">
        <w:rPr>
          <w:rFonts w:eastAsia="Calibri" w:cs="Arial"/>
          <w:lang w:val="fr-FR"/>
        </w:rPr>
        <w:t>es.  Un</w:t>
      </w:r>
      <w:r w:rsidR="00E4413B" w:rsidRPr="005D2316">
        <w:rPr>
          <w:rFonts w:eastAsia="Calibri" w:cs="Arial"/>
          <w:lang w:val="fr-FR"/>
        </w:rPr>
        <w:t xml:space="preserve">e mise à jour sera </w:t>
      </w:r>
      <w:r w:rsidR="00D76B4F" w:rsidRPr="005D2316">
        <w:rPr>
          <w:rFonts w:eastAsia="Calibri" w:cs="Arial"/>
          <w:lang w:val="fr-FR"/>
        </w:rPr>
        <w:t>remis</w:t>
      </w:r>
      <w:r w:rsidR="00E4413B" w:rsidRPr="005D2316">
        <w:rPr>
          <w:rFonts w:eastAsia="Calibri" w:cs="Arial"/>
          <w:lang w:val="fr-FR"/>
        </w:rPr>
        <w:t>e</w:t>
      </w:r>
      <w:r w:rsidR="0067269A" w:rsidRPr="005D2316">
        <w:rPr>
          <w:rFonts w:eastAsia="Calibri" w:cs="Arial"/>
          <w:lang w:val="fr-FR"/>
        </w:rPr>
        <w:t xml:space="preserve"> au TWM</w:t>
      </w:r>
      <w:r w:rsidRPr="005D2316">
        <w:rPr>
          <w:rFonts w:eastAsia="Calibri" w:cs="Arial"/>
          <w:lang w:val="fr-FR"/>
        </w:rPr>
        <w:t>.</w:t>
      </w:r>
    </w:p>
    <w:p w14:paraId="4007C0D9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047E2DBC" w14:textId="37352C89" w:rsidR="00A16EC8" w:rsidRPr="005D2316" w:rsidRDefault="00E4413B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Une fois que les améliorations auront été intégrées et </w:t>
      </w:r>
      <w:r w:rsidR="00A16EC8" w:rsidRPr="005D2316">
        <w:rPr>
          <w:rFonts w:eastAsia="Calibri" w:cs="Arial"/>
          <w:lang w:val="fr-FR"/>
        </w:rPr>
        <w:t>test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une nouvelle v</w:t>
      </w:r>
      <w:r w:rsidR="00A16EC8" w:rsidRPr="005D2316">
        <w:rPr>
          <w:rFonts w:eastAsia="Calibri" w:cs="Arial"/>
          <w:lang w:val="fr-FR"/>
        </w:rPr>
        <w:t xml:space="preserve">ersion </w:t>
      </w:r>
      <w:r w:rsidRPr="005D2316">
        <w:rPr>
          <w:rFonts w:eastAsia="Calibri" w:cs="Arial"/>
          <w:lang w:val="fr-FR"/>
        </w:rPr>
        <w:t>de</w:t>
      </w:r>
      <w:r w:rsidR="00A16EC8" w:rsidRPr="005D2316">
        <w:rPr>
          <w:rFonts w:eastAsia="Calibri" w:cs="Arial"/>
          <w:lang w:val="fr-FR"/>
        </w:rPr>
        <w:t xml:space="preserve"> DUSTNT in</w:t>
      </w:r>
      <w:r w:rsidRPr="005D2316">
        <w:rPr>
          <w:rFonts w:eastAsia="Calibri" w:cs="Arial"/>
          <w:lang w:val="fr-FR"/>
        </w:rPr>
        <w:t xml:space="preserve">tégrant la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Pr="005D2316">
        <w:rPr>
          <w:rFonts w:eastAsia="Calibri" w:cs="Arial"/>
          <w:lang w:val="fr-FR"/>
        </w:rPr>
        <w:t>avec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sera </w:t>
      </w:r>
      <w:r w:rsidR="00A16EC8" w:rsidRPr="005D2316">
        <w:rPr>
          <w:rFonts w:eastAsia="Calibri" w:cs="Arial"/>
          <w:lang w:val="fr-FR"/>
        </w:rPr>
        <w:t>lanc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e.</w:t>
      </w:r>
    </w:p>
    <w:p w14:paraId="77AD4429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4D1CC1F2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3492DDD" w14:textId="76A8B46D" w:rsidR="00A16EC8" w:rsidRPr="005D2316" w:rsidRDefault="00A16EC8" w:rsidP="00887C0B">
      <w:pPr>
        <w:pStyle w:val="Heading1"/>
        <w:rPr>
          <w:rFonts w:eastAsia="Calibri"/>
        </w:rPr>
      </w:pPr>
      <w:bookmarkStart w:id="21" w:name="_Toc117002600"/>
      <w:r w:rsidRPr="005D2316">
        <w:rPr>
          <w:rFonts w:eastAsia="Calibri"/>
        </w:rPr>
        <w:t xml:space="preserve">Introduction </w:t>
      </w:r>
      <w:r w:rsidR="00E4413B" w:rsidRPr="005D2316">
        <w:rPr>
          <w:rFonts w:eastAsia="Calibri"/>
        </w:rPr>
        <w:t xml:space="preserve">de la méthode </w:t>
      </w:r>
      <w:r w:rsidRPr="005D2316">
        <w:rPr>
          <w:rFonts w:eastAsia="Calibri"/>
        </w:rPr>
        <w:t xml:space="preserve">COYU </w:t>
      </w:r>
      <w:r w:rsidR="00D76B4F" w:rsidRPr="005D2316">
        <w:rPr>
          <w:rFonts w:eastAsia="Calibri"/>
        </w:rPr>
        <w:t>utilisant</w:t>
      </w:r>
      <w:r w:rsidR="00E4413B" w:rsidRPr="005D2316">
        <w:rPr>
          <w:rFonts w:eastAsia="Calibri"/>
        </w:rPr>
        <w:t xml:space="preserve"> des </w:t>
      </w:r>
      <w:r w:rsidRPr="005D2316">
        <w:rPr>
          <w:rFonts w:eastAsia="Calibri"/>
        </w:rPr>
        <w:t xml:space="preserve">splines </w:t>
      </w:r>
      <w:r w:rsidR="00E4413B" w:rsidRPr="005D2316">
        <w:rPr>
          <w:rFonts w:eastAsia="Calibri"/>
        </w:rPr>
        <w:t>au</w:t>
      </w:r>
      <w:r w:rsidRPr="005D2316">
        <w:rPr>
          <w:rFonts w:eastAsia="Calibri"/>
        </w:rPr>
        <w:t xml:space="preserve"> </w:t>
      </w:r>
      <w:r w:rsidR="00592AEC" w:rsidRPr="005D2316">
        <w:rPr>
          <w:rFonts w:eastAsia="Calibri"/>
        </w:rPr>
        <w:t>Royaume</w:t>
      </w:r>
      <w:r w:rsidR="0067269A" w:rsidRPr="005D2316">
        <w:rPr>
          <w:rFonts w:eastAsia="Calibri"/>
        </w:rPr>
        <w:t>-</w:t>
      </w:r>
      <w:r w:rsidR="00592AEC" w:rsidRPr="005D2316">
        <w:rPr>
          <w:rFonts w:eastAsia="Calibri"/>
        </w:rPr>
        <w:t>Uni</w:t>
      </w:r>
      <w:bookmarkEnd w:id="21"/>
    </w:p>
    <w:p w14:paraId="09716608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F97EFD6" w14:textId="61E43B71" w:rsidR="0067269A" w:rsidRPr="005D2316" w:rsidRDefault="00E4413B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A16EC8" w:rsidRPr="005D2316">
        <w:rPr>
          <w:rFonts w:eastAsia="Calibri" w:cs="Arial"/>
          <w:lang w:val="fr-FR"/>
        </w:rPr>
        <w:t xml:space="preserve">e </w:t>
      </w:r>
      <w:r w:rsidR="00592AEC" w:rsidRPr="005D2316">
        <w:rPr>
          <w:rFonts w:eastAsia="Calibri" w:cs="Arial"/>
          <w:lang w:val="fr-FR"/>
        </w:rPr>
        <w:t>Royaume</w:t>
      </w:r>
      <w:r w:rsidR="0067269A" w:rsidRPr="005D2316">
        <w:rPr>
          <w:rFonts w:eastAsia="Calibri" w:cs="Arial"/>
          <w:lang w:val="fr-FR"/>
        </w:rPr>
        <w:t>-</w:t>
      </w:r>
      <w:r w:rsidR="00592AEC" w:rsidRPr="005D2316">
        <w:rPr>
          <w:rFonts w:eastAsia="Calibri" w:cs="Arial"/>
          <w:lang w:val="fr-FR"/>
        </w:rPr>
        <w:t>Uni</w:t>
      </w:r>
      <w:r w:rsidR="00A16EC8" w:rsidRPr="005D2316">
        <w:rPr>
          <w:rFonts w:eastAsia="Calibri" w:cs="Arial"/>
          <w:lang w:val="fr-FR"/>
        </w:rPr>
        <w:t xml:space="preserve"> a</w:t>
      </w:r>
      <w:r w:rsidRPr="005D2316">
        <w:rPr>
          <w:rFonts w:eastAsia="Calibri" w:cs="Arial"/>
          <w:lang w:val="fr-FR"/>
        </w:rPr>
        <w:t xml:space="preserve"> entamé un </w:t>
      </w:r>
      <w:r w:rsidR="00A16EC8" w:rsidRPr="005D2316">
        <w:rPr>
          <w:rFonts w:eastAsia="Calibri" w:cs="Arial"/>
          <w:lang w:val="fr-FR"/>
        </w:rPr>
        <w:t>process</w:t>
      </w:r>
      <w:r w:rsidRPr="005D2316">
        <w:rPr>
          <w:rFonts w:eastAsia="Calibri" w:cs="Arial"/>
          <w:lang w:val="fr-FR"/>
        </w:rPr>
        <w:t>us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introduc</w:t>
      </w:r>
      <w:r w:rsidRPr="005D2316">
        <w:rPr>
          <w:rFonts w:eastAsia="Calibri" w:cs="Arial"/>
          <w:lang w:val="fr-FR"/>
        </w:rPr>
        <w:t xml:space="preserve">tion de la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Pr="005D2316">
        <w:rPr>
          <w:rFonts w:eastAsia="Calibri" w:cs="Arial"/>
          <w:lang w:val="fr-FR"/>
        </w:rPr>
        <w:t>utilisant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D76B4F" w:rsidRPr="005D2316">
        <w:rPr>
          <w:lang w:val="fr-FR"/>
        </w:rPr>
        <w:t xml:space="preserve"> </w:t>
      </w:r>
      <w:r w:rsidR="00D76B4F" w:rsidRPr="005D2316">
        <w:rPr>
          <w:rFonts w:eastAsia="Calibri" w:cs="Arial"/>
          <w:lang w:val="fr-FR"/>
        </w:rPr>
        <w:t>dans les essais DHS</w:t>
      </w:r>
      <w:r w:rsidR="00A16EC8" w:rsidRPr="005D2316">
        <w:rPr>
          <w:rFonts w:eastAsia="Calibri" w:cs="Arial"/>
          <w:lang w:val="fr-FR"/>
        </w:rPr>
        <w:t>.</w:t>
      </w:r>
    </w:p>
    <w:p w14:paraId="22D89BD1" w14:textId="77777777" w:rsidR="0067269A" w:rsidRPr="005D2316" w:rsidRDefault="0067269A" w:rsidP="00A16EC8">
      <w:pPr>
        <w:contextualSpacing/>
        <w:rPr>
          <w:rFonts w:eastAsia="Calibri" w:cs="Arial"/>
          <w:lang w:val="fr-FR"/>
        </w:rPr>
      </w:pPr>
    </w:p>
    <w:p w14:paraId="015E5DF5" w14:textId="13881CA9" w:rsidR="0067269A" w:rsidRPr="005D2316" w:rsidRDefault="00E4413B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Cette année, il a été procédé à des comparaisons entre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ancienne version de la méthode </w:t>
      </w:r>
      <w:r w:rsidR="00A16EC8" w:rsidRPr="005D2316">
        <w:rPr>
          <w:rFonts w:eastAsia="Calibri" w:cs="Arial"/>
          <w:lang w:val="fr-FR"/>
        </w:rPr>
        <w:t>COYU (mo</w:t>
      </w:r>
      <w:r w:rsidRPr="005D2316">
        <w:rPr>
          <w:rFonts w:eastAsia="Calibri" w:cs="Arial"/>
          <w:lang w:val="fr-FR"/>
        </w:rPr>
        <w:t>yennes mobiles</w:t>
      </w:r>
      <w:r w:rsidR="00A16EC8" w:rsidRPr="005D2316">
        <w:rPr>
          <w:rFonts w:eastAsia="Calibri" w:cs="Arial"/>
          <w:lang w:val="fr-FR"/>
        </w:rPr>
        <w:t xml:space="preserve">) </w:t>
      </w:r>
      <w:r w:rsidRPr="005D2316">
        <w:rPr>
          <w:rFonts w:eastAsia="Calibri" w:cs="Arial"/>
          <w:lang w:val="fr-FR"/>
        </w:rPr>
        <w:t>et la méthode</w:t>
      </w:r>
      <w:r w:rsidR="00A16EC8" w:rsidRPr="005D2316">
        <w:rPr>
          <w:rFonts w:eastAsia="Calibri" w:cs="Arial"/>
          <w:lang w:val="fr-FR"/>
        </w:rPr>
        <w:t xml:space="preserve"> COYU </w:t>
      </w:r>
      <w:r w:rsidRPr="005D2316">
        <w:rPr>
          <w:rFonts w:eastAsia="Calibri" w:cs="Arial"/>
          <w:lang w:val="fr-FR"/>
        </w:rPr>
        <w:t>avec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 u</w:t>
      </w:r>
      <w:r w:rsidR="00E773E1" w:rsidRPr="005D2316">
        <w:rPr>
          <w:rFonts w:eastAsia="Calibri" w:cs="Arial"/>
          <w:lang w:val="fr-FR"/>
        </w:rPr>
        <w:t xml:space="preserve">tilisant des données </w:t>
      </w:r>
      <w:r w:rsidR="00A16EC8" w:rsidRPr="005D2316">
        <w:rPr>
          <w:rFonts w:eastAsia="Calibri" w:cs="Arial"/>
          <w:lang w:val="fr-FR"/>
        </w:rPr>
        <w:t>histori</w:t>
      </w:r>
      <w:r w:rsidR="00E773E1" w:rsidRPr="005D2316">
        <w:rPr>
          <w:rFonts w:eastAsia="Calibri" w:cs="Arial"/>
          <w:lang w:val="fr-FR"/>
        </w:rPr>
        <w:t>qu</w:t>
      </w:r>
      <w:r w:rsidR="001A0B67" w:rsidRPr="005D2316">
        <w:rPr>
          <w:rFonts w:eastAsia="Calibri" w:cs="Arial"/>
          <w:lang w:val="fr-FR"/>
        </w:rPr>
        <w:t>es.  Le</w:t>
      </w:r>
      <w:r w:rsidR="00E773E1" w:rsidRPr="005D2316">
        <w:rPr>
          <w:rFonts w:eastAsia="Calibri" w:cs="Arial"/>
          <w:lang w:val="fr-FR"/>
        </w:rPr>
        <w:t>s</w:t>
      </w:r>
      <w:r w:rsidR="00D76B4F" w:rsidRPr="005D2316">
        <w:rPr>
          <w:rFonts w:eastAsia="Calibri" w:cs="Arial"/>
          <w:lang w:val="fr-FR"/>
        </w:rPr>
        <w:t xml:space="preserve"> </w:t>
      </w:r>
      <w:r w:rsidR="00E773E1" w:rsidRPr="005D2316">
        <w:rPr>
          <w:rFonts w:eastAsia="Calibri" w:cs="Arial"/>
          <w:lang w:val="fr-FR"/>
        </w:rPr>
        <w:t>cultures couvertes</w:t>
      </w:r>
      <w:r w:rsidR="00D76B4F" w:rsidRPr="005D2316">
        <w:rPr>
          <w:rFonts w:eastAsia="Calibri" w:cs="Arial"/>
          <w:lang w:val="fr-FR"/>
        </w:rPr>
        <w:t xml:space="preserve"> ont été</w:t>
      </w:r>
      <w:r w:rsidR="00E773E1" w:rsidRPr="005D2316">
        <w:rPr>
          <w:rFonts w:eastAsia="Calibri" w:cs="Arial"/>
          <w:lang w:val="fr-FR"/>
        </w:rPr>
        <w:t xml:space="preserve">, </w:t>
      </w:r>
      <w:r w:rsidR="00D76B4F" w:rsidRPr="005D2316">
        <w:rPr>
          <w:rFonts w:eastAsia="Calibri" w:cs="Arial"/>
          <w:lang w:val="fr-FR"/>
        </w:rPr>
        <w:t xml:space="preserve">entre autres, </w:t>
      </w:r>
      <w:r w:rsidR="00E773E1" w:rsidRPr="005D2316">
        <w:rPr>
          <w:rFonts w:eastAsia="Calibri" w:cs="Arial"/>
          <w:lang w:val="fr-FR"/>
        </w:rPr>
        <w:t xml:space="preserve">le </w:t>
      </w:r>
      <w:r w:rsidR="00A16EC8" w:rsidRPr="005D2316">
        <w:rPr>
          <w:rFonts w:eastAsia="Calibri" w:cs="Arial"/>
          <w:lang w:val="fr-FR"/>
        </w:rPr>
        <w:t>r</w:t>
      </w:r>
      <w:r w:rsidR="00E773E1" w:rsidRPr="005D2316">
        <w:rPr>
          <w:rFonts w:eastAsia="Calibri" w:cs="Arial"/>
          <w:lang w:val="fr-FR"/>
        </w:rPr>
        <w:t>a</w:t>
      </w:r>
      <w:r w:rsidR="00A16EC8" w:rsidRPr="005D2316">
        <w:rPr>
          <w:rFonts w:eastAsia="Calibri" w:cs="Arial"/>
          <w:lang w:val="fr-FR"/>
        </w:rPr>
        <w:t>y</w:t>
      </w:r>
      <w:r w:rsidR="0067269A" w:rsidRPr="005D2316">
        <w:rPr>
          <w:rFonts w:eastAsia="Calibri" w:cs="Arial"/>
          <w:lang w:val="fr-FR"/>
        </w:rPr>
        <w:t>-</w:t>
      </w:r>
      <w:r w:rsidR="00E773E1" w:rsidRPr="005D2316">
        <w:rPr>
          <w:rFonts w:eastAsia="Calibri" w:cs="Arial"/>
          <w:lang w:val="fr-FR"/>
        </w:rPr>
        <w:t>g</w:t>
      </w:r>
      <w:r w:rsidR="00A16EC8" w:rsidRPr="005D2316">
        <w:rPr>
          <w:rFonts w:eastAsia="Calibri" w:cs="Arial"/>
          <w:lang w:val="fr-FR"/>
        </w:rPr>
        <w:t>rass</w:t>
      </w:r>
      <w:r w:rsidR="00E773E1" w:rsidRPr="005D2316">
        <w:rPr>
          <w:rFonts w:eastAsia="Calibri" w:cs="Arial"/>
          <w:lang w:val="fr-FR"/>
        </w:rPr>
        <w:t xml:space="preserve"> </w:t>
      </w:r>
      <w:r w:rsidR="0027255D" w:rsidRPr="005D2316">
        <w:rPr>
          <w:rFonts w:eastAsia="Calibri" w:cs="Arial"/>
          <w:lang w:val="fr-FR"/>
        </w:rPr>
        <w:t>vivace</w:t>
      </w:r>
      <w:r w:rsidR="00A16EC8" w:rsidRPr="005D2316">
        <w:rPr>
          <w:rFonts w:eastAsia="Calibri" w:cs="Arial"/>
          <w:lang w:val="fr-FR"/>
        </w:rPr>
        <w:t xml:space="preserve">, </w:t>
      </w:r>
      <w:r w:rsidR="00E773E1" w:rsidRPr="005D2316">
        <w:rPr>
          <w:rFonts w:eastAsia="Calibri" w:cs="Arial"/>
          <w:lang w:val="fr-FR"/>
        </w:rPr>
        <w:t>le pois,</w:t>
      </w:r>
      <w:r w:rsidR="00A16EC8" w:rsidRPr="005D2316">
        <w:rPr>
          <w:rFonts w:eastAsia="Calibri" w:cs="Arial"/>
          <w:lang w:val="fr-FR"/>
        </w:rPr>
        <w:t xml:space="preserve"> </w:t>
      </w:r>
      <w:r w:rsidR="00E773E1"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o</w:t>
      </w:r>
      <w:r w:rsidR="00E773E1" w:rsidRPr="005D2316">
        <w:rPr>
          <w:rFonts w:eastAsia="Calibri" w:cs="Arial"/>
          <w:lang w:val="fr-FR"/>
        </w:rPr>
        <w:t>ig</w:t>
      </w:r>
      <w:r w:rsidR="00A16EC8" w:rsidRPr="005D2316">
        <w:rPr>
          <w:rFonts w:eastAsia="Calibri" w:cs="Arial"/>
          <w:lang w:val="fr-FR"/>
        </w:rPr>
        <w:t xml:space="preserve">non, </w:t>
      </w:r>
      <w:r w:rsidR="00E773E1" w:rsidRPr="005D2316">
        <w:rPr>
          <w:rFonts w:eastAsia="Calibri" w:cs="Arial"/>
          <w:lang w:val="fr-FR"/>
        </w:rPr>
        <w:t>le chou</w:t>
      </w:r>
      <w:r w:rsidR="0067269A" w:rsidRPr="005D2316">
        <w:rPr>
          <w:rFonts w:eastAsia="Calibri" w:cs="Arial"/>
          <w:lang w:val="fr-FR"/>
        </w:rPr>
        <w:t>-</w:t>
      </w:r>
      <w:r w:rsidR="00E773E1" w:rsidRPr="005D2316">
        <w:rPr>
          <w:rFonts w:eastAsia="Calibri" w:cs="Arial"/>
          <w:lang w:val="fr-FR"/>
        </w:rPr>
        <w:t>navet et le colza oléagine</w:t>
      </w:r>
      <w:r w:rsidR="001A0B67" w:rsidRPr="005D2316">
        <w:rPr>
          <w:rFonts w:eastAsia="Calibri" w:cs="Arial"/>
          <w:lang w:val="fr-FR"/>
        </w:rPr>
        <w:t>ux.  Pe</w:t>
      </w:r>
      <w:r w:rsidR="00E773E1" w:rsidRPr="005D2316">
        <w:rPr>
          <w:rFonts w:eastAsia="Calibri" w:cs="Arial"/>
          <w:lang w:val="fr-FR"/>
        </w:rPr>
        <w:t>u de d</w:t>
      </w:r>
      <w:r w:rsidR="00A16EC8" w:rsidRPr="005D2316">
        <w:rPr>
          <w:rFonts w:eastAsia="Calibri" w:cs="Arial"/>
          <w:lang w:val="fr-FR"/>
        </w:rPr>
        <w:t>iff</w:t>
      </w:r>
      <w:r w:rsidR="00E773E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rences </w:t>
      </w:r>
      <w:r w:rsidR="00E773E1" w:rsidRPr="005D2316">
        <w:rPr>
          <w:rFonts w:eastAsia="Calibri" w:cs="Arial"/>
          <w:lang w:val="fr-FR"/>
        </w:rPr>
        <w:t>dans les</w:t>
      </w:r>
      <w:r w:rsidR="00A16EC8" w:rsidRPr="005D2316">
        <w:rPr>
          <w:rFonts w:eastAsia="Calibri" w:cs="Arial"/>
          <w:lang w:val="fr-FR"/>
        </w:rPr>
        <w:t xml:space="preserve"> d</w:t>
      </w:r>
      <w:r w:rsidR="00E773E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cisions </w:t>
      </w:r>
      <w:r w:rsidR="00E773E1" w:rsidRPr="005D2316">
        <w:rPr>
          <w:rFonts w:eastAsia="Calibri" w:cs="Arial"/>
          <w:lang w:val="fr-FR"/>
        </w:rPr>
        <w:t>ont été observées et ce</w:t>
      </w:r>
      <w:r w:rsidR="00A16EC8" w:rsidRPr="005D2316">
        <w:rPr>
          <w:rFonts w:eastAsia="Calibri" w:cs="Arial"/>
          <w:lang w:val="fr-FR"/>
        </w:rPr>
        <w:t xml:space="preserve">, </w:t>
      </w:r>
      <w:r w:rsidR="00E773E1" w:rsidRPr="005D2316">
        <w:rPr>
          <w:rFonts w:eastAsia="Calibri" w:cs="Arial"/>
          <w:lang w:val="fr-FR"/>
        </w:rPr>
        <w:t>uniquement dans un nombre réduit de cas marginaux, comme on pouvait s</w:t>
      </w:r>
      <w:r w:rsidR="0067269A" w:rsidRPr="005D2316">
        <w:rPr>
          <w:rFonts w:eastAsia="Calibri" w:cs="Arial"/>
          <w:lang w:val="fr-FR"/>
        </w:rPr>
        <w:t>’</w:t>
      </w:r>
      <w:r w:rsidR="00E773E1" w:rsidRPr="005D2316">
        <w:rPr>
          <w:rFonts w:eastAsia="Calibri" w:cs="Arial"/>
          <w:lang w:val="fr-FR"/>
        </w:rPr>
        <w:t>y attend</w:t>
      </w:r>
      <w:r w:rsidR="001A0B67" w:rsidRPr="005D2316">
        <w:rPr>
          <w:rFonts w:eastAsia="Calibri" w:cs="Arial"/>
          <w:lang w:val="fr-FR"/>
        </w:rPr>
        <w:t>re.  Ce</w:t>
      </w:r>
      <w:r w:rsidR="00E773E1" w:rsidRPr="005D2316">
        <w:rPr>
          <w:rFonts w:eastAsia="Calibri" w:cs="Arial"/>
          <w:lang w:val="fr-FR"/>
        </w:rPr>
        <w:t xml:space="preserve"> travail a mis en évidence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importance </w:t>
      </w:r>
      <w:r w:rsidR="00E773E1" w:rsidRPr="005D2316">
        <w:rPr>
          <w:rFonts w:eastAsia="Calibri" w:cs="Arial"/>
          <w:lang w:val="fr-FR"/>
        </w:rPr>
        <w:t>de la question de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extrapolation (</w:t>
      </w:r>
      <w:r w:rsidR="00E773E1" w:rsidRPr="005D2316">
        <w:rPr>
          <w:rFonts w:eastAsia="Calibri" w:cs="Arial"/>
          <w:lang w:val="fr-FR"/>
        </w:rPr>
        <w:t>voir ci</w:t>
      </w:r>
      <w:r w:rsidR="0067269A" w:rsidRPr="005D2316">
        <w:rPr>
          <w:rFonts w:eastAsia="Calibri" w:cs="Arial"/>
          <w:lang w:val="fr-FR"/>
        </w:rPr>
        <w:t>-</w:t>
      </w:r>
      <w:r w:rsidR="00E773E1" w:rsidRPr="005D2316">
        <w:rPr>
          <w:rFonts w:eastAsia="Calibri" w:cs="Arial"/>
          <w:lang w:val="fr-FR"/>
        </w:rPr>
        <w:t>dessous</w:t>
      </w:r>
      <w:r w:rsidR="00A16EC8" w:rsidRPr="005D2316">
        <w:rPr>
          <w:rFonts w:eastAsia="Calibri" w:cs="Arial"/>
          <w:lang w:val="fr-FR"/>
        </w:rPr>
        <w:t>).</w:t>
      </w:r>
    </w:p>
    <w:p w14:paraId="5AC621C5" w14:textId="3B9294AC" w:rsidR="00A16EC8" w:rsidRPr="005D2316" w:rsidRDefault="00A16EC8" w:rsidP="00F8637E">
      <w:pPr>
        <w:contextualSpacing/>
        <w:rPr>
          <w:rFonts w:eastAsia="Calibri" w:cs="Arial"/>
          <w:lang w:val="fr-FR"/>
        </w:rPr>
      </w:pPr>
    </w:p>
    <w:p w14:paraId="7E0A7A87" w14:textId="536D6452" w:rsidR="00A16EC8" w:rsidRPr="005D2316" w:rsidRDefault="008D70D2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Après</w:t>
      </w:r>
      <w:r w:rsidR="00E773E1" w:rsidRPr="005D2316">
        <w:rPr>
          <w:rFonts w:eastAsia="Calibri" w:cs="Arial"/>
          <w:lang w:val="fr-FR"/>
        </w:rPr>
        <w:t xml:space="preserve"> cette étude, le</w:t>
      </w:r>
      <w:r w:rsidR="00A16EC8" w:rsidRPr="005D2316">
        <w:rPr>
          <w:rFonts w:eastAsia="Calibri" w:cs="Arial"/>
          <w:lang w:val="fr-FR"/>
        </w:rPr>
        <w:t xml:space="preserve"> </w:t>
      </w:r>
      <w:r w:rsidR="00592AEC" w:rsidRPr="005D2316">
        <w:rPr>
          <w:rFonts w:eastAsia="Calibri" w:cs="Arial"/>
          <w:lang w:val="fr-FR"/>
        </w:rPr>
        <w:t>Royaume</w:t>
      </w:r>
      <w:r w:rsidR="0067269A" w:rsidRPr="005D2316">
        <w:rPr>
          <w:rFonts w:eastAsia="Calibri" w:cs="Arial"/>
          <w:lang w:val="fr-FR"/>
        </w:rPr>
        <w:t>-</w:t>
      </w:r>
      <w:r w:rsidR="00592AEC" w:rsidRPr="005D2316">
        <w:rPr>
          <w:rFonts w:eastAsia="Calibri" w:cs="Arial"/>
          <w:lang w:val="fr-FR"/>
        </w:rPr>
        <w:t>Uni</w:t>
      </w:r>
      <w:r w:rsidR="00A16EC8" w:rsidRPr="005D2316">
        <w:rPr>
          <w:rFonts w:eastAsia="Calibri" w:cs="Arial"/>
          <w:lang w:val="fr-FR"/>
        </w:rPr>
        <w:t xml:space="preserve"> </w:t>
      </w:r>
      <w:r w:rsidR="00E773E1" w:rsidRPr="005D2316">
        <w:rPr>
          <w:rFonts w:eastAsia="Calibri" w:cs="Arial"/>
          <w:lang w:val="fr-FR"/>
        </w:rPr>
        <w:t xml:space="preserve">examine maintenant </w:t>
      </w:r>
      <w:r w:rsidRPr="005D2316">
        <w:rPr>
          <w:rFonts w:eastAsia="Calibri" w:cs="Arial"/>
          <w:lang w:val="fr-FR"/>
        </w:rPr>
        <w:t>la voie à suivre</w:t>
      </w:r>
      <w:r w:rsidR="00A16EC8" w:rsidRPr="005D2316">
        <w:rPr>
          <w:rFonts w:eastAsia="Calibri" w:cs="Arial"/>
          <w:lang w:val="fr-FR"/>
        </w:rPr>
        <w:t>.</w:t>
      </w:r>
    </w:p>
    <w:p w14:paraId="730B7677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19CCA2F4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5A941785" w14:textId="77777777" w:rsidR="00A16EC8" w:rsidRPr="005D2316" w:rsidRDefault="00A16EC8" w:rsidP="00887C0B">
      <w:pPr>
        <w:pStyle w:val="Heading1"/>
        <w:rPr>
          <w:rFonts w:eastAsia="Calibri"/>
        </w:rPr>
      </w:pPr>
      <w:bookmarkStart w:id="22" w:name="_Toc117002601"/>
      <w:r w:rsidRPr="005D2316">
        <w:rPr>
          <w:rFonts w:eastAsia="Calibri"/>
        </w:rPr>
        <w:t>Extrapolation</w:t>
      </w:r>
      <w:bookmarkEnd w:id="22"/>
    </w:p>
    <w:p w14:paraId="7E5741F3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71414397" w14:textId="466E3027" w:rsidR="0067269A" w:rsidRPr="005D2316" w:rsidRDefault="008D70D2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xtrapolation </w:t>
      </w:r>
      <w:r w:rsidRPr="005D2316">
        <w:rPr>
          <w:rFonts w:eastAsia="Calibri" w:cs="Arial"/>
          <w:lang w:val="fr-FR"/>
        </w:rPr>
        <w:t>est une question fondamentale pour la méthode</w:t>
      </w:r>
      <w:r w:rsidR="00A16EC8" w:rsidRPr="005D2316">
        <w:rPr>
          <w:rFonts w:eastAsia="Calibri" w:cs="Arial"/>
          <w:lang w:val="fr-FR"/>
        </w:rPr>
        <w:t xml:space="preserve"> COYU </w:t>
      </w:r>
      <w:r w:rsidRPr="005D2316">
        <w:rPr>
          <w:rFonts w:eastAsia="Calibri" w:cs="Arial"/>
          <w:lang w:val="fr-FR"/>
        </w:rPr>
        <w:t xml:space="preserve">et est traitée dans le </w:t>
      </w:r>
      <w:r w:rsidR="00A16EC8" w:rsidRPr="005D2316">
        <w:rPr>
          <w:rFonts w:eastAsia="Calibri" w:cs="Arial"/>
          <w:lang w:val="fr-FR"/>
        </w:rPr>
        <w:t>document TWM/1/7</w:t>
      </w:r>
      <w:r w:rsidR="001F2660" w:rsidRPr="005D2316">
        <w:rPr>
          <w:rFonts w:eastAsia="Calibri" w:cs="Arial"/>
          <w:lang w:val="fr-FR"/>
        </w:rPr>
        <w:t xml:space="preserve">. </w:t>
      </w:r>
      <w:r w:rsidR="00A2333E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Il s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agit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une question spécifique aux 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ver</w:t>
      </w:r>
      <w:r w:rsidR="00A16EC8" w:rsidRPr="005D2316">
        <w:rPr>
          <w:rFonts w:eastAsia="Calibri" w:cs="Arial"/>
          <w:lang w:val="fr-FR"/>
        </w:rPr>
        <w:t xml:space="preserve">sions </w:t>
      </w:r>
      <w:r w:rsidRPr="005D2316">
        <w:rPr>
          <w:rFonts w:eastAsia="Calibri" w:cs="Arial"/>
          <w:lang w:val="fr-FR"/>
        </w:rPr>
        <w:t>de la méthode</w:t>
      </w:r>
      <w:r w:rsidR="00A16EC8" w:rsidRPr="005D2316">
        <w:rPr>
          <w:rFonts w:eastAsia="Calibri" w:cs="Arial"/>
          <w:lang w:val="fr-FR"/>
        </w:rPr>
        <w:t xml:space="preserve"> COYU, </w:t>
      </w:r>
      <w:r w:rsidRPr="005D2316">
        <w:rPr>
          <w:rFonts w:eastAsia="Calibri" w:cs="Arial"/>
          <w:lang w:val="fr-FR"/>
        </w:rPr>
        <w:t>qui n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 pas été identifiée avec la méthode </w:t>
      </w:r>
      <w:r w:rsidR="00A16EC8" w:rsidRPr="005D2316">
        <w:rPr>
          <w:rFonts w:eastAsia="Calibri" w:cs="Arial"/>
          <w:lang w:val="fr-FR"/>
        </w:rPr>
        <w:t>COYU (m</w:t>
      </w:r>
      <w:r w:rsidRPr="005D2316">
        <w:rPr>
          <w:rFonts w:eastAsia="Calibri" w:cs="Arial"/>
          <w:lang w:val="fr-FR"/>
        </w:rPr>
        <w:t>oyenne mobile</w:t>
      </w:r>
      <w:r w:rsidR="00A16EC8" w:rsidRPr="005D2316">
        <w:rPr>
          <w:rFonts w:eastAsia="Calibri" w:cs="Arial"/>
          <w:lang w:val="fr-FR"/>
        </w:rPr>
        <w:t>).</w:t>
      </w:r>
    </w:p>
    <w:p w14:paraId="6B17B06A" w14:textId="6ADE67CE" w:rsidR="00A16EC8" w:rsidRPr="005D2316" w:rsidRDefault="00A16EC8" w:rsidP="00A16EC8">
      <w:pPr>
        <w:rPr>
          <w:rFonts w:eastAsia="Calibri" w:cs="Arial"/>
          <w:lang w:val="fr-FR"/>
        </w:rPr>
      </w:pPr>
    </w:p>
    <w:p w14:paraId="06D7CEAB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202028DA" w14:textId="445AE815" w:rsidR="00A16EC8" w:rsidRPr="005D2316" w:rsidRDefault="00F8637E" w:rsidP="00887C0B">
      <w:pPr>
        <w:pStyle w:val="Heading1"/>
        <w:rPr>
          <w:rFonts w:eastAsia="Calibri"/>
        </w:rPr>
      </w:pPr>
      <w:bookmarkStart w:id="23" w:name="_Toc117002602"/>
      <w:r>
        <w:rPr>
          <w:rFonts w:eastAsia="Calibri"/>
        </w:rPr>
        <w:t>O</w:t>
      </w:r>
      <w:r w:rsidR="00977AA7" w:rsidRPr="005D2316">
        <w:rPr>
          <w:rFonts w:eastAsia="Calibri"/>
        </w:rPr>
        <w:t>rienta</w:t>
      </w:r>
      <w:r w:rsidR="008D70D2" w:rsidRPr="005D2316">
        <w:rPr>
          <w:rFonts w:eastAsia="Calibri"/>
        </w:rPr>
        <w:t xml:space="preserve">tions </w:t>
      </w:r>
      <w:r w:rsidR="00977AA7" w:rsidRPr="005D2316">
        <w:rPr>
          <w:rFonts w:eastAsia="Calibri"/>
        </w:rPr>
        <w:t>pour</w:t>
      </w:r>
      <w:r w:rsidR="008D70D2" w:rsidRPr="005D2316">
        <w:rPr>
          <w:rFonts w:eastAsia="Calibri"/>
        </w:rPr>
        <w:t xml:space="preserve"> la méthode </w:t>
      </w:r>
      <w:r w:rsidR="00A16EC8" w:rsidRPr="005D2316">
        <w:rPr>
          <w:rFonts w:eastAsia="Calibri"/>
        </w:rPr>
        <w:t xml:space="preserve">COYU </w:t>
      </w:r>
      <w:r w:rsidR="008D70D2" w:rsidRPr="005D2316">
        <w:rPr>
          <w:rFonts w:eastAsia="Calibri"/>
        </w:rPr>
        <w:t>utilisant des</w:t>
      </w:r>
      <w:r w:rsidR="00A16EC8" w:rsidRPr="005D2316">
        <w:rPr>
          <w:rFonts w:eastAsia="Calibri"/>
        </w:rPr>
        <w:t xml:space="preserve"> splines</w:t>
      </w:r>
      <w:bookmarkEnd w:id="23"/>
    </w:p>
    <w:p w14:paraId="0CCBE58D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0532081A" w14:textId="4885CB62" w:rsidR="00A16EC8" w:rsidRPr="005D2316" w:rsidRDefault="008D70D2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Des </w:t>
      </w:r>
      <w:r w:rsidR="00977AA7" w:rsidRPr="005D2316">
        <w:rPr>
          <w:rFonts w:eastAsia="Calibri" w:cs="Arial"/>
          <w:lang w:val="fr-FR"/>
        </w:rPr>
        <w:t>orientations</w:t>
      </w:r>
      <w:r w:rsidRPr="005D2316">
        <w:rPr>
          <w:rFonts w:eastAsia="Calibri" w:cs="Arial"/>
          <w:lang w:val="fr-FR"/>
        </w:rPr>
        <w:t xml:space="preserve"> </w:t>
      </w:r>
      <w:r w:rsidR="00977AA7" w:rsidRPr="005D2316">
        <w:rPr>
          <w:rFonts w:eastAsia="Calibri" w:cs="Arial"/>
          <w:lang w:val="fr-FR"/>
        </w:rPr>
        <w:t xml:space="preserve">pour la nouvelle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="00977AA7" w:rsidRPr="005D2316">
        <w:rPr>
          <w:rFonts w:eastAsia="Calibri" w:cs="Arial"/>
          <w:lang w:val="fr-FR"/>
        </w:rPr>
        <w:t>avec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r w:rsidR="00977AA7" w:rsidRPr="005D2316">
        <w:rPr>
          <w:rFonts w:eastAsia="Calibri" w:cs="Arial"/>
          <w:lang w:val="fr-FR"/>
        </w:rPr>
        <w:t>ont été rédigées</w:t>
      </w:r>
      <w:r w:rsidR="00A16EC8" w:rsidRPr="005D2316">
        <w:rPr>
          <w:rFonts w:eastAsia="Calibri" w:cs="Arial"/>
          <w:lang w:val="fr-FR"/>
        </w:rPr>
        <w:t xml:space="preserve"> (</w:t>
      </w:r>
      <w:r w:rsidR="00977AA7" w:rsidRPr="005D2316">
        <w:rPr>
          <w:rFonts w:eastAsia="Calibri" w:cs="Arial"/>
          <w:lang w:val="fr-FR"/>
        </w:rPr>
        <w:t>voir l</w:t>
      </w:r>
      <w:r w:rsidR="00A16EC8" w:rsidRPr="005D2316">
        <w:rPr>
          <w:rFonts w:eastAsia="Calibri" w:cs="Arial"/>
          <w:lang w:val="fr-FR"/>
        </w:rPr>
        <w:t xml:space="preserve">e document TWP/5/11 The </w:t>
      </w:r>
      <w:proofErr w:type="spellStart"/>
      <w:r w:rsidR="00A16EC8" w:rsidRPr="005D2316">
        <w:rPr>
          <w:rFonts w:eastAsia="Calibri" w:cs="Arial"/>
          <w:lang w:val="fr-FR"/>
        </w:rPr>
        <w:t>Combined</w:t>
      </w:r>
      <w:proofErr w:type="spellEnd"/>
      <w:r w:rsidR="00A16EC8" w:rsidRPr="005D2316">
        <w:rPr>
          <w:rFonts w:eastAsia="Calibri" w:cs="Arial"/>
          <w:lang w:val="fr-FR"/>
        </w:rPr>
        <w:t xml:space="preserve"> Over </w:t>
      </w:r>
      <w:proofErr w:type="spellStart"/>
      <w:r w:rsidR="00A16EC8" w:rsidRPr="005D2316">
        <w:rPr>
          <w:rFonts w:eastAsia="Calibri" w:cs="Arial"/>
          <w:lang w:val="fr-FR"/>
        </w:rPr>
        <w:t>Years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977AA7" w:rsidRPr="005D2316">
        <w:rPr>
          <w:rFonts w:eastAsia="Calibri" w:cs="Arial"/>
          <w:lang w:val="fr-FR"/>
        </w:rPr>
        <w:t>Uniformity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Criterion</w:t>
      </w:r>
      <w:proofErr w:type="spellEnd"/>
      <w:r w:rsidR="00A16EC8" w:rsidRPr="005D2316">
        <w:rPr>
          <w:rFonts w:eastAsia="Calibri" w:cs="Arial"/>
          <w:lang w:val="fr-FR"/>
        </w:rPr>
        <w:t xml:space="preserve"> (COYU)).</w:t>
      </w:r>
    </w:p>
    <w:p w14:paraId="6B6D718F" w14:textId="77777777" w:rsidR="00A16EC8" w:rsidRPr="005D2316" w:rsidRDefault="00A16EC8" w:rsidP="00A16EC8">
      <w:pPr>
        <w:contextualSpacing/>
        <w:rPr>
          <w:rFonts w:eastAsia="Calibri" w:cs="Arial"/>
          <w:lang w:val="fr-FR"/>
        </w:rPr>
      </w:pPr>
    </w:p>
    <w:p w14:paraId="60AA69EB" w14:textId="0C3A2DB3" w:rsidR="00A16EC8" w:rsidRPr="005D2316" w:rsidRDefault="00977AA7" w:rsidP="00F8637E">
      <w:pPr>
        <w:keepNext/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lastRenderedPageBreak/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exercice des essais a montré 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domaines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amélioration à apporter au projet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orienta</w:t>
      </w:r>
      <w:r w:rsidR="00A16EC8" w:rsidRPr="005D2316">
        <w:rPr>
          <w:rFonts w:eastAsia="Calibri" w:cs="Arial"/>
          <w:lang w:val="fr-FR"/>
        </w:rPr>
        <w:t>t</w:t>
      </w:r>
      <w:r w:rsidRPr="005D2316">
        <w:rPr>
          <w:rFonts w:eastAsia="Calibri" w:cs="Arial"/>
          <w:lang w:val="fr-FR"/>
        </w:rPr>
        <w:t>ions</w:t>
      </w:r>
      <w:r w:rsidR="0067269A" w:rsidRPr="005D2316">
        <w:rPr>
          <w:rFonts w:eastAsia="Calibri" w:cs="Arial"/>
          <w:lang w:val="fr-FR"/>
        </w:rPr>
        <w:t> :</w:t>
      </w:r>
    </w:p>
    <w:p w14:paraId="04AE36AA" w14:textId="5935096E" w:rsidR="00A16EC8" w:rsidRPr="005D2316" w:rsidRDefault="00F8637E" w:rsidP="00F8637E">
      <w:pPr>
        <w:numPr>
          <w:ilvl w:val="0"/>
          <w:numId w:val="8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c</w:t>
      </w:r>
      <w:r w:rsidR="00977AA7" w:rsidRPr="005D2316">
        <w:rPr>
          <w:rFonts w:eastAsia="Calibri" w:cs="Arial"/>
          <w:lang w:val="fr-FR"/>
        </w:rPr>
        <w:t>ritères</w:t>
      </w:r>
      <w:proofErr w:type="gramEnd"/>
      <w:r w:rsidR="00977AA7" w:rsidRPr="005D2316">
        <w:rPr>
          <w:rFonts w:eastAsia="Calibri" w:cs="Arial"/>
          <w:lang w:val="fr-FR"/>
        </w:rPr>
        <w:t xml:space="preserve">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indicati</w:t>
      </w:r>
      <w:r w:rsidR="00977AA7" w:rsidRPr="005D2316">
        <w:rPr>
          <w:rFonts w:eastAsia="Calibri" w:cs="Arial"/>
          <w:lang w:val="fr-FR"/>
        </w:rPr>
        <w:t>o</w:t>
      </w:r>
      <w:r w:rsidR="00A16EC8" w:rsidRPr="005D2316">
        <w:rPr>
          <w:rFonts w:eastAsia="Calibri" w:cs="Arial"/>
          <w:lang w:val="fr-FR"/>
        </w:rPr>
        <w:t xml:space="preserve">n </w:t>
      </w:r>
      <w:r w:rsidR="00977AA7" w:rsidRPr="005D2316">
        <w:rPr>
          <w:rFonts w:eastAsia="Calibri" w:cs="Arial"/>
          <w:lang w:val="fr-FR"/>
        </w:rPr>
        <w:t xml:space="preserve">des </w:t>
      </w:r>
      <w:r w:rsidR="009A2233" w:rsidRPr="005D2316">
        <w:rPr>
          <w:rFonts w:eastAsia="Calibri" w:cs="Arial"/>
          <w:lang w:val="fr-FR"/>
        </w:rPr>
        <w:t>jeux</w:t>
      </w:r>
      <w:r w:rsidR="00977AA7" w:rsidRPr="005D2316">
        <w:rPr>
          <w:rFonts w:eastAsia="Calibri" w:cs="Arial"/>
          <w:lang w:val="fr-FR"/>
        </w:rPr>
        <w:t xml:space="preserve"> de données suffisamment larges pour permettre l</w:t>
      </w:r>
      <w:r w:rsidR="0067269A" w:rsidRPr="005D2316">
        <w:rPr>
          <w:rFonts w:eastAsia="Calibri" w:cs="Arial"/>
          <w:lang w:val="fr-FR"/>
        </w:rPr>
        <w:t>’</w:t>
      </w:r>
      <w:r w:rsidR="00977AA7" w:rsidRPr="005D2316">
        <w:rPr>
          <w:rFonts w:eastAsia="Calibri" w:cs="Arial"/>
          <w:lang w:val="fr-FR"/>
        </w:rPr>
        <w:t xml:space="preserve">utilisation de </w:t>
      </w:r>
      <w:r w:rsidR="00A16EC8" w:rsidRPr="005D2316">
        <w:rPr>
          <w:rFonts w:eastAsia="Calibri" w:cs="Arial"/>
          <w:lang w:val="fr-FR"/>
        </w:rPr>
        <w:t>COYU;</w:t>
      </w:r>
    </w:p>
    <w:p w14:paraId="2A73C684" w14:textId="445F246D" w:rsidR="00A16EC8" w:rsidRPr="005D2316" w:rsidRDefault="00F8637E" w:rsidP="00F8637E">
      <w:pPr>
        <w:numPr>
          <w:ilvl w:val="0"/>
          <w:numId w:val="8"/>
        </w:numPr>
        <w:ind w:left="1134" w:hanging="567"/>
        <w:contextualSpacing/>
        <w:rPr>
          <w:rFonts w:eastAsia="Calibri" w:cs="Arial"/>
          <w:lang w:val="fr-FR"/>
        </w:rPr>
      </w:pPr>
      <w:proofErr w:type="gramStart"/>
      <w:r>
        <w:rPr>
          <w:rFonts w:eastAsia="Calibri" w:cs="Arial"/>
          <w:lang w:val="fr-FR"/>
        </w:rPr>
        <w:t>o</w:t>
      </w:r>
      <w:r w:rsidR="00977AA7" w:rsidRPr="005D2316">
        <w:rPr>
          <w:rFonts w:eastAsia="Calibri" w:cs="Arial"/>
          <w:lang w:val="fr-FR"/>
        </w:rPr>
        <w:t>rientations</w:t>
      </w:r>
      <w:proofErr w:type="gramEnd"/>
      <w:r w:rsidR="00977AA7" w:rsidRPr="005D2316">
        <w:rPr>
          <w:rFonts w:eastAsia="Calibri" w:cs="Arial"/>
          <w:lang w:val="fr-FR"/>
        </w:rPr>
        <w:t xml:space="preserve"> </w:t>
      </w:r>
      <w:r w:rsidR="00860719" w:rsidRPr="005D2316">
        <w:rPr>
          <w:rFonts w:eastAsia="Calibri" w:cs="Arial"/>
          <w:lang w:val="fr-FR"/>
        </w:rPr>
        <w:t>en matière d</w:t>
      </w:r>
      <w:r w:rsidR="0067269A" w:rsidRPr="005D2316">
        <w:rPr>
          <w:rFonts w:eastAsia="Calibri" w:cs="Arial"/>
          <w:lang w:val="fr-FR"/>
        </w:rPr>
        <w:t>’</w:t>
      </w:r>
      <w:r w:rsidR="00977AA7"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xtrapolation.</w:t>
      </w:r>
    </w:p>
    <w:p w14:paraId="3693769E" w14:textId="77777777" w:rsidR="00A16EC8" w:rsidRPr="005D2316" w:rsidRDefault="00A16EC8" w:rsidP="00F8637E">
      <w:pPr>
        <w:contextualSpacing/>
        <w:rPr>
          <w:rFonts w:eastAsia="Calibri" w:cs="Arial"/>
          <w:lang w:val="fr-FR"/>
        </w:rPr>
      </w:pPr>
    </w:p>
    <w:p w14:paraId="59925E13" w14:textId="7E4B0A3A" w:rsidR="0067269A" w:rsidRPr="005D2316" w:rsidRDefault="00EF074E" w:rsidP="00A16EC8">
      <w:pPr>
        <w:numPr>
          <w:ilvl w:val="0"/>
          <w:numId w:val="5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Les auteurs du présent rapport </w:t>
      </w:r>
      <w:r w:rsidR="001712BB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>nten</w:t>
      </w:r>
      <w:r w:rsidR="001712BB" w:rsidRPr="005D2316">
        <w:rPr>
          <w:rFonts w:eastAsia="Calibri" w:cs="Arial"/>
          <w:lang w:val="fr-FR"/>
        </w:rPr>
        <w:t>de</w:t>
      </w:r>
      <w:r w:rsidRPr="005D2316">
        <w:rPr>
          <w:rFonts w:eastAsia="Calibri" w:cs="Arial"/>
          <w:lang w:val="fr-FR"/>
        </w:rPr>
        <w:t>n</w:t>
      </w:r>
      <w:r w:rsidR="001712BB" w:rsidRPr="005D2316">
        <w:rPr>
          <w:rFonts w:eastAsia="Calibri" w:cs="Arial"/>
          <w:lang w:val="fr-FR"/>
        </w:rPr>
        <w:t>t</w:t>
      </w:r>
      <w:r w:rsidRPr="005D2316">
        <w:rPr>
          <w:rFonts w:eastAsia="Calibri" w:cs="Arial"/>
          <w:lang w:val="fr-FR"/>
        </w:rPr>
        <w:t xml:space="preserve"> proposer </w:t>
      </w:r>
      <w:r w:rsidR="00A16EC8" w:rsidRPr="005D2316">
        <w:rPr>
          <w:rFonts w:eastAsia="Calibri" w:cs="Arial"/>
          <w:lang w:val="fr-FR"/>
        </w:rPr>
        <w:t>d</w:t>
      </w:r>
      <w:r w:rsidR="001712BB" w:rsidRPr="005D2316">
        <w:rPr>
          <w:rFonts w:eastAsia="Calibri" w:cs="Arial"/>
          <w:lang w:val="fr-FR"/>
        </w:rPr>
        <w:t>es</w:t>
      </w:r>
      <w:r w:rsidR="00A16EC8" w:rsidRPr="005D2316">
        <w:rPr>
          <w:rFonts w:eastAsia="Calibri" w:cs="Arial"/>
          <w:lang w:val="fr-FR"/>
        </w:rPr>
        <w:t xml:space="preserve"> </w:t>
      </w:r>
      <w:r w:rsidR="001712BB" w:rsidRPr="005D2316">
        <w:rPr>
          <w:rFonts w:eastAsia="Calibri" w:cs="Arial"/>
          <w:lang w:val="fr-FR"/>
        </w:rPr>
        <w:t>modifications au projet d</w:t>
      </w:r>
      <w:r w:rsidR="0067269A" w:rsidRPr="005D2316">
        <w:rPr>
          <w:rFonts w:eastAsia="Calibri" w:cs="Arial"/>
          <w:lang w:val="fr-FR"/>
        </w:rPr>
        <w:t>’</w:t>
      </w:r>
      <w:r w:rsidR="001712BB" w:rsidRPr="005D2316">
        <w:rPr>
          <w:rFonts w:eastAsia="Calibri" w:cs="Arial"/>
          <w:lang w:val="fr-FR"/>
        </w:rPr>
        <w:t>orientations</w:t>
      </w:r>
      <w:r w:rsidR="00A16EC8" w:rsidRPr="005D2316">
        <w:rPr>
          <w:rFonts w:eastAsia="Calibri" w:cs="Arial"/>
          <w:lang w:val="fr-FR"/>
        </w:rPr>
        <w:t xml:space="preserve"> </w:t>
      </w:r>
      <w:r w:rsidR="001712BB" w:rsidRPr="005D2316">
        <w:rPr>
          <w:rFonts w:eastAsia="Calibri" w:cs="Arial"/>
          <w:lang w:val="fr-FR"/>
        </w:rPr>
        <w:t xml:space="preserve">à la suite de la </w:t>
      </w:r>
      <w:r w:rsidR="00A16EC8" w:rsidRPr="005D2316">
        <w:rPr>
          <w:rFonts w:eastAsia="Calibri" w:cs="Arial"/>
          <w:lang w:val="fr-FR"/>
        </w:rPr>
        <w:t>session</w:t>
      </w:r>
      <w:r w:rsidR="0067269A" w:rsidRPr="005D2316">
        <w:rPr>
          <w:rFonts w:eastAsia="Calibri" w:cs="Arial"/>
          <w:lang w:val="fr-FR"/>
        </w:rPr>
        <w:t xml:space="preserve"> du TWM</w:t>
      </w:r>
      <w:r w:rsidR="00A16EC8" w:rsidRPr="005D2316">
        <w:rPr>
          <w:rFonts w:eastAsia="Calibri" w:cs="Arial"/>
          <w:lang w:val="fr-FR"/>
        </w:rPr>
        <w:t>.</w:t>
      </w:r>
    </w:p>
    <w:p w14:paraId="23E35700" w14:textId="6FCAFE80" w:rsidR="00A16EC8" w:rsidRPr="005D2316" w:rsidRDefault="00A16EC8" w:rsidP="00A16EC8">
      <w:pPr>
        <w:contextualSpacing/>
        <w:rPr>
          <w:rFonts w:eastAsia="Calibri" w:cs="Arial"/>
          <w:lang w:val="fr-FR"/>
        </w:rPr>
      </w:pPr>
    </w:p>
    <w:p w14:paraId="638D5E6F" w14:textId="77777777" w:rsidR="00A16EC8" w:rsidRPr="005D2316" w:rsidRDefault="00A16EC8" w:rsidP="00A16EC8">
      <w:pPr>
        <w:contextualSpacing/>
        <w:rPr>
          <w:rFonts w:eastAsia="Calibri" w:cs="Arial"/>
          <w:lang w:val="fr-FR"/>
        </w:rPr>
      </w:pPr>
    </w:p>
    <w:p w14:paraId="416CB472" w14:textId="25CA1D99" w:rsidR="00A16EC8" w:rsidRPr="005D2316" w:rsidRDefault="001712BB" w:rsidP="00A16EC8">
      <w:pPr>
        <w:pStyle w:val="DecisionParagraphs"/>
        <w:rPr>
          <w:rFonts w:eastAsia="Calibri"/>
          <w:lang w:val="fr-FR"/>
        </w:rPr>
      </w:pPr>
      <w:r w:rsidRPr="005D2316">
        <w:rPr>
          <w:rFonts w:eastAsia="Calibri"/>
          <w:lang w:val="fr-FR"/>
        </w:rPr>
        <w:t>L</w:t>
      </w:r>
      <w:r w:rsidR="00A16EC8" w:rsidRPr="005D2316">
        <w:rPr>
          <w:rFonts w:eastAsia="Calibri"/>
          <w:lang w:val="fr-FR"/>
        </w:rPr>
        <w:t>e</w:t>
      </w:r>
      <w:r w:rsidRPr="005D2316">
        <w:rPr>
          <w:rFonts w:eastAsia="Calibri"/>
          <w:lang w:val="fr-FR"/>
        </w:rPr>
        <w:t xml:space="preserve"> </w:t>
      </w:r>
      <w:r w:rsidR="00A16EC8" w:rsidRPr="005D2316">
        <w:rPr>
          <w:rFonts w:eastAsia="Calibri"/>
          <w:lang w:val="fr-FR"/>
        </w:rPr>
        <w:t xml:space="preserve">TWM </w:t>
      </w:r>
      <w:r w:rsidRPr="005D2316">
        <w:rPr>
          <w:rFonts w:eastAsia="Calibri"/>
          <w:lang w:val="fr-FR"/>
        </w:rPr>
        <w:t>e</w:t>
      </w:r>
      <w:r w:rsidR="00A16EC8" w:rsidRPr="005D2316">
        <w:rPr>
          <w:rFonts w:eastAsia="Calibri"/>
          <w:lang w:val="fr-FR"/>
        </w:rPr>
        <w:t>s</w:t>
      </w:r>
      <w:r w:rsidRPr="005D2316">
        <w:rPr>
          <w:rFonts w:eastAsia="Calibri"/>
          <w:lang w:val="fr-FR"/>
        </w:rPr>
        <w:t>t</w:t>
      </w:r>
      <w:r w:rsidR="00A16EC8" w:rsidRPr="005D2316">
        <w:rPr>
          <w:rFonts w:eastAsia="Calibri"/>
          <w:lang w:val="fr-FR"/>
        </w:rPr>
        <w:t xml:space="preserve"> invit</w:t>
      </w:r>
      <w:r w:rsidRPr="005D2316">
        <w:rPr>
          <w:rFonts w:eastAsia="Calibri"/>
          <w:lang w:val="fr-FR"/>
        </w:rPr>
        <w:t>é</w:t>
      </w:r>
      <w:r w:rsidR="00A16EC8" w:rsidRPr="005D2316">
        <w:rPr>
          <w:rFonts w:eastAsia="Calibri"/>
          <w:lang w:val="fr-FR"/>
        </w:rPr>
        <w:t xml:space="preserve"> </w:t>
      </w:r>
      <w:r w:rsidRPr="005D2316">
        <w:rPr>
          <w:rFonts w:eastAsia="Calibri"/>
          <w:lang w:val="fr-FR"/>
        </w:rPr>
        <w:t xml:space="preserve">à </w:t>
      </w:r>
      <w:r w:rsidR="00A16EC8" w:rsidRPr="005D2316">
        <w:rPr>
          <w:rFonts w:eastAsia="Calibri"/>
          <w:lang w:val="fr-FR"/>
        </w:rPr>
        <w:t>note</w:t>
      </w:r>
      <w:r w:rsidRPr="005D2316">
        <w:rPr>
          <w:rFonts w:eastAsia="Calibri"/>
          <w:lang w:val="fr-FR"/>
        </w:rPr>
        <w:t>r</w:t>
      </w:r>
      <w:r w:rsidR="00A16EC8" w:rsidRPr="005D2316">
        <w:rPr>
          <w:rFonts w:eastAsia="Calibri"/>
          <w:lang w:val="fr-FR"/>
        </w:rPr>
        <w:t xml:space="preserve"> </w:t>
      </w:r>
      <w:r w:rsidRPr="005D2316">
        <w:rPr>
          <w:rFonts w:eastAsia="Calibri"/>
          <w:lang w:val="fr-FR"/>
        </w:rPr>
        <w:t>ces évolution</w:t>
      </w:r>
      <w:r w:rsidR="00A16EC8" w:rsidRPr="005D2316">
        <w:rPr>
          <w:rFonts w:eastAsia="Calibri"/>
          <w:lang w:val="fr-FR"/>
        </w:rPr>
        <w:t>s.</w:t>
      </w:r>
    </w:p>
    <w:p w14:paraId="02535761" w14:textId="77777777" w:rsidR="007B1BA8" w:rsidRPr="005D2316" w:rsidRDefault="007B1BA8" w:rsidP="00445B73">
      <w:pPr>
        <w:rPr>
          <w:rFonts w:cs="Arial"/>
          <w:lang w:val="fr-FR"/>
        </w:rPr>
      </w:pPr>
    </w:p>
    <w:p w14:paraId="4157A7E6" w14:textId="77777777" w:rsidR="00A16EC8" w:rsidRPr="005D2316" w:rsidRDefault="00A16EC8" w:rsidP="00445B73">
      <w:pPr>
        <w:rPr>
          <w:rFonts w:cs="Arial"/>
          <w:lang w:val="fr-FR"/>
        </w:rPr>
      </w:pPr>
    </w:p>
    <w:p w14:paraId="5AD0F606" w14:textId="77777777" w:rsidR="00A16EC8" w:rsidRPr="005D2316" w:rsidRDefault="00A16EC8" w:rsidP="00445B73">
      <w:pPr>
        <w:rPr>
          <w:rFonts w:cs="Arial"/>
          <w:lang w:val="fr-FR"/>
        </w:rPr>
      </w:pPr>
    </w:p>
    <w:p w14:paraId="108925AE" w14:textId="29722E17" w:rsidR="0067269A" w:rsidRPr="005D2316" w:rsidRDefault="00445B73" w:rsidP="00B06F4E">
      <w:pPr>
        <w:jc w:val="right"/>
        <w:rPr>
          <w:rFonts w:cs="Arial"/>
          <w:lang w:val="fr-FR"/>
        </w:rPr>
      </w:pPr>
      <w:r w:rsidRPr="005D2316">
        <w:rPr>
          <w:rFonts w:cs="Arial"/>
          <w:lang w:val="fr-FR"/>
        </w:rPr>
        <w:t>[</w:t>
      </w:r>
      <w:r w:rsidR="001712BB" w:rsidRPr="005D2316">
        <w:rPr>
          <w:rFonts w:cs="Arial"/>
          <w:lang w:val="fr-FR"/>
        </w:rPr>
        <w:t>L</w:t>
      </w:r>
      <w:r w:rsidR="0067269A" w:rsidRPr="005D2316">
        <w:rPr>
          <w:rFonts w:cs="Arial"/>
          <w:lang w:val="fr-FR"/>
        </w:rPr>
        <w:t>’annexe I</w:t>
      </w:r>
      <w:r w:rsidR="00B06F4E" w:rsidRPr="005D2316">
        <w:rPr>
          <w:rFonts w:cs="Arial"/>
          <w:lang w:val="fr-FR"/>
        </w:rPr>
        <w:t>I s</w:t>
      </w:r>
      <w:r w:rsidR="001712BB" w:rsidRPr="005D2316">
        <w:rPr>
          <w:rFonts w:cs="Arial"/>
          <w:lang w:val="fr-FR"/>
        </w:rPr>
        <w:t>uit</w:t>
      </w:r>
      <w:r w:rsidRPr="005D2316">
        <w:rPr>
          <w:rFonts w:cs="Arial"/>
          <w:lang w:val="fr-FR"/>
        </w:rPr>
        <w:t>]</w:t>
      </w:r>
    </w:p>
    <w:bookmarkEnd w:id="6"/>
    <w:p w14:paraId="193B2079" w14:textId="49385106" w:rsidR="00B06F4E" w:rsidRPr="005D2316" w:rsidRDefault="00B06F4E" w:rsidP="00B06F4E">
      <w:pPr>
        <w:jc w:val="right"/>
        <w:rPr>
          <w:rFonts w:cs="Arial"/>
          <w:lang w:val="fr-FR"/>
        </w:rPr>
        <w:sectPr w:rsidR="00B06F4E" w:rsidRPr="005D2316" w:rsidSect="0004198B">
          <w:headerReference w:type="default" r:id="rId15"/>
          <w:headerReference w:type="first" r:id="rId16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A16EC8" w:rsidRPr="005D2316" w14:paraId="15E2F0FC" w14:textId="77777777" w:rsidTr="00AF4261">
        <w:tc>
          <w:tcPr>
            <w:tcW w:w="6804" w:type="dxa"/>
          </w:tcPr>
          <w:p w14:paraId="5E377DCA" w14:textId="77777777" w:rsidR="00A16EC8" w:rsidRPr="005D2316" w:rsidRDefault="00A16EC8" w:rsidP="004C1C17">
            <w:pPr>
              <w:rPr>
                <w:lang w:val="fr-FR"/>
              </w:rPr>
            </w:pPr>
            <w:r w:rsidRPr="005D2316">
              <w:rPr>
                <w:noProof/>
                <w:lang w:eastAsia="ja-JP"/>
              </w:rPr>
              <w:lastRenderedPageBreak/>
              <w:drawing>
                <wp:inline distT="0" distB="0" distL="0" distR="0" wp14:anchorId="5AC13586" wp14:editId="412F2CE5">
                  <wp:extent cx="952031" cy="244054"/>
                  <wp:effectExtent l="0" t="0" r="635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1E19377" w14:textId="25149FF2" w:rsidR="00A16EC8" w:rsidRPr="005D2316" w:rsidRDefault="005B0DFA" w:rsidP="004C1C17">
            <w:pPr>
              <w:pStyle w:val="Lettrine"/>
              <w:rPr>
                <w:lang w:val="fr-FR"/>
              </w:rPr>
            </w:pPr>
            <w:r w:rsidRPr="005D2316">
              <w:rPr>
                <w:lang w:val="fr-FR"/>
              </w:rPr>
              <w:t>F</w:t>
            </w:r>
          </w:p>
        </w:tc>
      </w:tr>
      <w:tr w:rsidR="00A16EC8" w:rsidRPr="00383052" w14:paraId="5521A595" w14:textId="77777777" w:rsidTr="00AF4261">
        <w:trPr>
          <w:trHeight w:val="219"/>
        </w:trPr>
        <w:tc>
          <w:tcPr>
            <w:tcW w:w="6804" w:type="dxa"/>
          </w:tcPr>
          <w:p w14:paraId="3E43A23A" w14:textId="47432D83" w:rsidR="00A16EC8" w:rsidRPr="005D2316" w:rsidRDefault="00135FB8" w:rsidP="004C1C17">
            <w:pPr>
              <w:pStyle w:val="upove"/>
              <w:rPr>
                <w:lang w:val="fr-FR"/>
              </w:rPr>
            </w:pPr>
            <w:r w:rsidRPr="005D2316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2835" w:type="dxa"/>
          </w:tcPr>
          <w:p w14:paraId="43B36B21" w14:textId="77777777" w:rsidR="00A16EC8" w:rsidRPr="005D2316" w:rsidRDefault="00A16EC8" w:rsidP="004C1C17">
            <w:pPr>
              <w:rPr>
                <w:lang w:val="fr-FR"/>
              </w:rPr>
            </w:pPr>
          </w:p>
        </w:tc>
      </w:tr>
    </w:tbl>
    <w:p w14:paraId="06DA21BE" w14:textId="77777777" w:rsidR="00A16EC8" w:rsidRPr="005D2316" w:rsidRDefault="00A16EC8" w:rsidP="00A16EC8">
      <w:pPr>
        <w:rPr>
          <w:lang w:val="fr-FR"/>
        </w:rPr>
      </w:pPr>
    </w:p>
    <w:p w14:paraId="794D3CFA" w14:textId="77777777" w:rsidR="00A16EC8" w:rsidRPr="005D2316" w:rsidRDefault="00A16EC8" w:rsidP="00A16EC8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2835"/>
      </w:tblGrid>
      <w:tr w:rsidR="00A16EC8" w:rsidRPr="005D2316" w14:paraId="55A228C1" w14:textId="77777777" w:rsidTr="00860719">
        <w:tc>
          <w:tcPr>
            <w:tcW w:w="6804" w:type="dxa"/>
          </w:tcPr>
          <w:p w14:paraId="2329438D" w14:textId="092A8FB1" w:rsidR="00A16EC8" w:rsidRPr="005D2316" w:rsidRDefault="00860719" w:rsidP="004C1C17">
            <w:pPr>
              <w:pStyle w:val="Sessiontc"/>
              <w:rPr>
                <w:lang w:val="fr-FR"/>
              </w:rPr>
            </w:pPr>
            <w:r w:rsidRPr="005D2316">
              <w:rPr>
                <w:lang w:val="fr-FR"/>
              </w:rPr>
              <w:t>Groupe de travail technique sur les méthodes et techniques d</w:t>
            </w:r>
            <w:r w:rsidR="0067269A" w:rsidRPr="005D2316">
              <w:rPr>
                <w:lang w:val="fr-FR"/>
              </w:rPr>
              <w:t>’</w:t>
            </w:r>
            <w:r w:rsidRPr="005D2316">
              <w:rPr>
                <w:lang w:val="fr-FR"/>
              </w:rPr>
              <w:t>essai</w:t>
            </w:r>
          </w:p>
          <w:p w14:paraId="01112E1A" w14:textId="5CD1D767" w:rsidR="00A16EC8" w:rsidRPr="005D2316" w:rsidRDefault="00860719" w:rsidP="00854DA9">
            <w:pPr>
              <w:pStyle w:val="Sessiontcplacedate"/>
              <w:rPr>
                <w:sz w:val="22"/>
                <w:lang w:val="fr-FR"/>
              </w:rPr>
            </w:pPr>
            <w:r w:rsidRPr="005D2316">
              <w:rPr>
                <w:lang w:val="fr-FR"/>
              </w:rPr>
              <w:t xml:space="preserve">Première </w:t>
            </w:r>
            <w:r w:rsidR="0012350F" w:rsidRPr="005D2316">
              <w:rPr>
                <w:lang w:val="fr-FR"/>
              </w:rPr>
              <w:t>s</w:t>
            </w:r>
            <w:r w:rsidR="00A16EC8" w:rsidRPr="005D2316">
              <w:rPr>
                <w:lang w:val="fr-FR"/>
              </w:rPr>
              <w:t>ession</w:t>
            </w:r>
            <w:r w:rsidR="00A16EC8" w:rsidRPr="005D2316">
              <w:rPr>
                <w:lang w:val="fr-FR"/>
              </w:rPr>
              <w:br/>
            </w:r>
            <w:r w:rsidRPr="005D2316">
              <w:rPr>
                <w:lang w:val="fr-FR"/>
              </w:rPr>
              <w:t>Réunion v</w:t>
            </w:r>
            <w:r w:rsidR="00A16EC8" w:rsidRPr="005D2316">
              <w:rPr>
                <w:lang w:val="fr-FR"/>
              </w:rPr>
              <w:t>irtu</w:t>
            </w:r>
            <w:r w:rsidRPr="005D2316">
              <w:rPr>
                <w:lang w:val="fr-FR"/>
              </w:rPr>
              <w:t>e</w:t>
            </w:r>
            <w:r w:rsidR="00A16EC8" w:rsidRPr="005D2316">
              <w:rPr>
                <w:lang w:val="fr-FR"/>
              </w:rPr>
              <w:t>l</w:t>
            </w:r>
            <w:r w:rsidRPr="005D2316">
              <w:rPr>
                <w:lang w:val="fr-FR"/>
              </w:rPr>
              <w:t>le</w:t>
            </w:r>
            <w:r w:rsidR="00A16EC8" w:rsidRPr="005D2316">
              <w:rPr>
                <w:lang w:val="fr-FR"/>
              </w:rPr>
              <w:t xml:space="preserve">, </w:t>
            </w:r>
            <w:r w:rsidRPr="005D2316">
              <w:rPr>
                <w:lang w:val="fr-FR"/>
              </w:rPr>
              <w:t>19</w:t>
            </w:r>
            <w:r w:rsidR="00854DA9">
              <w:rPr>
                <w:lang w:val="fr-FR"/>
              </w:rPr>
              <w:t xml:space="preserve"> – </w:t>
            </w:r>
            <w:r w:rsidRPr="005D2316">
              <w:rPr>
                <w:lang w:val="fr-FR"/>
              </w:rPr>
              <w:t>2</w:t>
            </w:r>
            <w:r w:rsidR="0067269A" w:rsidRPr="005D2316">
              <w:rPr>
                <w:lang w:val="fr-FR"/>
              </w:rPr>
              <w:t>3 septembre 20</w:t>
            </w:r>
            <w:r w:rsidR="00A16EC8" w:rsidRPr="005D2316">
              <w:rPr>
                <w:lang w:val="fr-FR"/>
              </w:rPr>
              <w:t>22</w:t>
            </w:r>
          </w:p>
        </w:tc>
        <w:tc>
          <w:tcPr>
            <w:tcW w:w="2835" w:type="dxa"/>
          </w:tcPr>
          <w:p w14:paraId="0B223F90" w14:textId="77777777" w:rsidR="00A16EC8" w:rsidRPr="005D2316" w:rsidRDefault="00A16EC8" w:rsidP="004C1C17">
            <w:pPr>
              <w:pStyle w:val="Doccode"/>
              <w:rPr>
                <w:lang w:val="fr-FR"/>
              </w:rPr>
            </w:pPr>
            <w:r w:rsidRPr="005D2316">
              <w:rPr>
                <w:lang w:val="fr-FR"/>
              </w:rPr>
              <w:t>TWM/1/7</w:t>
            </w:r>
          </w:p>
          <w:p w14:paraId="3BED3FEB" w14:textId="3CCF3412" w:rsidR="00A16EC8" w:rsidRPr="005D2316" w:rsidRDefault="00A16EC8" w:rsidP="004C1C17">
            <w:pPr>
              <w:pStyle w:val="Docoriginal"/>
              <w:rPr>
                <w:lang w:val="fr-FR"/>
              </w:rPr>
            </w:pPr>
            <w:r w:rsidRPr="005D2316">
              <w:rPr>
                <w:lang w:val="fr-FR"/>
              </w:rPr>
              <w:t>Original</w:t>
            </w:r>
            <w:r w:rsidR="0067269A" w:rsidRPr="005D2316">
              <w:rPr>
                <w:lang w:val="fr-FR"/>
              </w:rPr>
              <w:t> :</w:t>
            </w:r>
            <w:r w:rsidRPr="005D2316">
              <w:rPr>
                <w:b w:val="0"/>
                <w:spacing w:val="0"/>
                <w:lang w:val="fr-FR"/>
              </w:rPr>
              <w:t xml:space="preserve"> </w:t>
            </w:r>
            <w:r w:rsidR="00860719" w:rsidRPr="005D2316">
              <w:rPr>
                <w:b w:val="0"/>
                <w:spacing w:val="0"/>
                <w:lang w:val="fr-FR"/>
              </w:rPr>
              <w:t>anglais</w:t>
            </w:r>
          </w:p>
          <w:p w14:paraId="17BA0017" w14:textId="7EA3141A" w:rsidR="00A16EC8" w:rsidRPr="005D2316" w:rsidRDefault="00A16EC8" w:rsidP="004C1C17">
            <w:pPr>
              <w:pStyle w:val="Docoriginal"/>
              <w:rPr>
                <w:lang w:val="fr-FR"/>
              </w:rPr>
            </w:pPr>
            <w:r w:rsidRPr="005D2316">
              <w:rPr>
                <w:lang w:val="fr-FR"/>
              </w:rPr>
              <w:t>Date</w:t>
            </w:r>
            <w:r w:rsidR="0067269A" w:rsidRPr="005D2316">
              <w:rPr>
                <w:lang w:val="fr-FR"/>
              </w:rPr>
              <w:t> :</w:t>
            </w:r>
            <w:r w:rsidRPr="005D2316">
              <w:rPr>
                <w:b w:val="0"/>
                <w:spacing w:val="0"/>
                <w:lang w:val="fr-FR"/>
              </w:rPr>
              <w:t xml:space="preserve"> </w:t>
            </w:r>
            <w:r w:rsidR="00860719" w:rsidRPr="005D2316">
              <w:rPr>
                <w:b w:val="0"/>
                <w:spacing w:val="0"/>
                <w:lang w:val="fr-FR"/>
              </w:rPr>
              <w:t>2</w:t>
            </w:r>
            <w:r w:rsidR="0067269A" w:rsidRPr="005D2316">
              <w:rPr>
                <w:b w:val="0"/>
                <w:spacing w:val="0"/>
                <w:lang w:val="fr-FR"/>
              </w:rPr>
              <w:t>9 août 20</w:t>
            </w:r>
            <w:r w:rsidR="00860719" w:rsidRPr="005D2316">
              <w:rPr>
                <w:b w:val="0"/>
                <w:spacing w:val="0"/>
                <w:lang w:val="fr-FR"/>
              </w:rPr>
              <w:t>22</w:t>
            </w:r>
          </w:p>
        </w:tc>
      </w:tr>
    </w:tbl>
    <w:p w14:paraId="49024902" w14:textId="2755E6F2" w:rsidR="00A16EC8" w:rsidRPr="00AF4261" w:rsidRDefault="00AF4261" w:rsidP="00AF4261">
      <w:pPr>
        <w:spacing w:before="600" w:after="240"/>
        <w:rPr>
          <w:b/>
          <w:caps/>
          <w:lang w:val="fr-FR"/>
        </w:rPr>
      </w:pPr>
      <w:bookmarkStart w:id="24" w:name="TitleOfDoc"/>
      <w:bookmarkEnd w:id="24"/>
      <w:r w:rsidRPr="00AF4261">
        <w:rPr>
          <w:b/>
          <w:caps/>
          <w:lang w:val="fr-FR"/>
        </w:rPr>
        <w:t>Analyse globale de l’homogénéité sur plusieurs années (méthode d’analyse COYU) : l’extrapolation</w:t>
      </w:r>
    </w:p>
    <w:p w14:paraId="77B7A3D8" w14:textId="0260D909" w:rsidR="00A16EC8" w:rsidRPr="005D2316" w:rsidRDefault="00A16EC8" w:rsidP="00A16EC8">
      <w:pPr>
        <w:pStyle w:val="preparedby1"/>
        <w:jc w:val="left"/>
        <w:rPr>
          <w:lang w:val="fr-FR"/>
        </w:rPr>
      </w:pPr>
      <w:bookmarkStart w:id="25" w:name="Prepared"/>
      <w:bookmarkEnd w:id="25"/>
      <w:r w:rsidRPr="005D2316">
        <w:rPr>
          <w:lang w:val="fr-FR"/>
        </w:rPr>
        <w:t xml:space="preserve">Document </w:t>
      </w:r>
      <w:r w:rsidR="00860719" w:rsidRPr="005D2316">
        <w:rPr>
          <w:lang w:val="fr-FR"/>
        </w:rPr>
        <w:t xml:space="preserve">établi par les </w:t>
      </w:r>
      <w:r w:rsidRPr="005D2316">
        <w:rPr>
          <w:lang w:val="fr-FR"/>
        </w:rPr>
        <w:t xml:space="preserve">experts </w:t>
      </w:r>
      <w:r w:rsidR="00860719" w:rsidRPr="005D2316">
        <w:rPr>
          <w:lang w:val="fr-FR"/>
        </w:rPr>
        <w:t xml:space="preserve">du </w:t>
      </w:r>
      <w:r w:rsidR="00592AEC" w:rsidRPr="005D2316">
        <w:rPr>
          <w:lang w:val="fr-FR"/>
        </w:rPr>
        <w:t>Royaume</w:t>
      </w:r>
      <w:r w:rsidR="0067269A" w:rsidRPr="005D2316">
        <w:rPr>
          <w:lang w:val="fr-FR"/>
        </w:rPr>
        <w:t>-</w:t>
      </w:r>
      <w:r w:rsidR="00592AEC" w:rsidRPr="005D2316">
        <w:rPr>
          <w:lang w:val="fr-FR"/>
        </w:rPr>
        <w:t>Uni</w:t>
      </w:r>
    </w:p>
    <w:p w14:paraId="5B1598AB" w14:textId="037ABABD" w:rsidR="00A16EC8" w:rsidRPr="005D2316" w:rsidRDefault="00860719" w:rsidP="00A16EC8">
      <w:pPr>
        <w:pStyle w:val="Disclaimer"/>
        <w:rPr>
          <w:lang w:val="fr-FR"/>
        </w:rPr>
      </w:pPr>
      <w:r w:rsidRPr="005D2316">
        <w:rPr>
          <w:lang w:val="fr-FR"/>
        </w:rPr>
        <w:t>Avertissement</w:t>
      </w:r>
      <w:r w:rsidR="0067269A" w:rsidRPr="005D2316">
        <w:rPr>
          <w:lang w:val="fr-FR"/>
        </w:rPr>
        <w:t> :</w:t>
      </w:r>
      <w:r w:rsidRPr="005D2316">
        <w:rPr>
          <w:lang w:val="fr-FR"/>
        </w:rPr>
        <w:t xml:space="preserve"> le présent document ne représente pas les principes ou les orientations de l</w:t>
      </w:r>
      <w:r w:rsidR="0067269A" w:rsidRPr="005D2316">
        <w:rPr>
          <w:lang w:val="fr-FR"/>
        </w:rPr>
        <w:t>’</w:t>
      </w:r>
      <w:r w:rsidRPr="005D2316">
        <w:rPr>
          <w:lang w:val="fr-FR"/>
        </w:rPr>
        <w:t>UPOV</w:t>
      </w:r>
    </w:p>
    <w:p w14:paraId="1546F33E" w14:textId="77777777" w:rsidR="0067269A" w:rsidRPr="005D2316" w:rsidRDefault="00A16EC8" w:rsidP="00887C0B">
      <w:pPr>
        <w:pStyle w:val="Heading1"/>
      </w:pPr>
      <w:bookmarkStart w:id="26" w:name="_Toc117002603"/>
      <w:r w:rsidRPr="005D2316">
        <w:t>Introduction</w:t>
      </w:r>
      <w:bookmarkEnd w:id="26"/>
    </w:p>
    <w:p w14:paraId="0B9E786C" w14:textId="0CF45AAA" w:rsidR="00A16EC8" w:rsidRPr="005D2316" w:rsidRDefault="00A16EC8" w:rsidP="00A16EC8">
      <w:pPr>
        <w:rPr>
          <w:rFonts w:eastAsia="Calibri"/>
          <w:lang w:val="fr-FR"/>
        </w:rPr>
      </w:pPr>
    </w:p>
    <w:p w14:paraId="597E79F6" w14:textId="762C7EEF" w:rsidR="00A16EC8" w:rsidRPr="005D2316" w:rsidRDefault="00860719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Le présent</w:t>
      </w:r>
      <w:r w:rsidR="00A16EC8" w:rsidRPr="005D2316">
        <w:rPr>
          <w:rFonts w:eastAsia="Calibri" w:cs="Arial"/>
          <w:lang w:val="fr-FR"/>
        </w:rPr>
        <w:t xml:space="preserve"> document d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cri</w:t>
      </w:r>
      <w:r w:rsidRPr="005D2316">
        <w:rPr>
          <w:rFonts w:eastAsia="Calibri" w:cs="Arial"/>
          <w:lang w:val="fr-FR"/>
        </w:rPr>
        <w:t>t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la question de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Pr="005D2316">
        <w:rPr>
          <w:rFonts w:eastAsia="Calibri" w:cs="Arial"/>
          <w:lang w:val="fr-FR"/>
        </w:rPr>
        <w:t>au regard de</w:t>
      </w:r>
      <w:r w:rsidR="00A16EC8" w:rsidRPr="005D2316">
        <w:rPr>
          <w:rFonts w:eastAsia="Calibri" w:cs="Arial"/>
          <w:lang w:val="fr-FR"/>
        </w:rPr>
        <w:t xml:space="preserve"> C</w:t>
      </w:r>
      <w:r w:rsidR="001A0B67" w:rsidRPr="005D2316">
        <w:rPr>
          <w:rFonts w:eastAsia="Calibri" w:cs="Arial"/>
          <w:lang w:val="fr-FR"/>
        </w:rPr>
        <w:t>OYU.  Il</w:t>
      </w:r>
      <w:r w:rsidRPr="005D2316">
        <w:rPr>
          <w:rFonts w:eastAsia="Calibri" w:cs="Arial"/>
          <w:lang w:val="fr-FR"/>
        </w:rPr>
        <w:t xml:space="preserve"> formule des </w:t>
      </w:r>
      <w:r w:rsidR="00A16EC8" w:rsidRPr="005D2316">
        <w:rPr>
          <w:rFonts w:eastAsia="Calibri" w:cs="Arial"/>
          <w:lang w:val="fr-FR"/>
        </w:rPr>
        <w:t>propos</w:t>
      </w:r>
      <w:r w:rsidRPr="005D2316">
        <w:rPr>
          <w:rFonts w:eastAsia="Calibri" w:cs="Arial"/>
          <w:lang w:val="fr-FR"/>
        </w:rPr>
        <w:t>itions sur l</w:t>
      </w:r>
      <w:r w:rsidR="00942A44" w:rsidRPr="005D2316">
        <w:rPr>
          <w:rFonts w:eastAsia="Calibri" w:cs="Arial"/>
          <w:lang w:val="fr-FR"/>
        </w:rPr>
        <w:t xml:space="preserve">a manière de traiter </w:t>
      </w:r>
      <w:r w:rsidRPr="005D2316">
        <w:rPr>
          <w:rFonts w:eastAsia="Calibri" w:cs="Arial"/>
          <w:lang w:val="fr-FR"/>
        </w:rPr>
        <w:t>cette questi</w:t>
      </w:r>
      <w:r w:rsidR="001A0B67" w:rsidRPr="005D2316">
        <w:rPr>
          <w:rFonts w:eastAsia="Calibri" w:cs="Arial"/>
          <w:lang w:val="fr-FR"/>
        </w:rPr>
        <w:t>on.  Ce</w:t>
      </w:r>
      <w:r w:rsidRPr="005D2316">
        <w:rPr>
          <w:rFonts w:eastAsia="Calibri" w:cs="Arial"/>
          <w:lang w:val="fr-FR"/>
        </w:rPr>
        <w:t xml:space="preserve">s </w:t>
      </w:r>
      <w:r w:rsidR="00A16EC8" w:rsidRPr="005D2316">
        <w:rPr>
          <w:rFonts w:eastAsia="Calibri" w:cs="Arial"/>
          <w:lang w:val="fr-FR"/>
        </w:rPr>
        <w:t>propos</w:t>
      </w:r>
      <w:r w:rsidRPr="005D2316">
        <w:rPr>
          <w:rFonts w:eastAsia="Calibri" w:cs="Arial"/>
          <w:lang w:val="fr-FR"/>
        </w:rPr>
        <w:t>itions sont soumise</w:t>
      </w:r>
      <w:r w:rsidR="00A16EC8" w:rsidRPr="005D2316">
        <w:rPr>
          <w:rFonts w:eastAsia="Calibri" w:cs="Arial"/>
          <w:lang w:val="fr-FR"/>
        </w:rPr>
        <w:t xml:space="preserve">s </w:t>
      </w:r>
      <w:r w:rsidRPr="005D2316">
        <w:rPr>
          <w:rFonts w:eastAsia="Calibri" w:cs="Arial"/>
          <w:lang w:val="fr-FR"/>
        </w:rPr>
        <w:t xml:space="preserve">à </w:t>
      </w:r>
      <w:r w:rsidR="00A16EC8" w:rsidRPr="005D2316">
        <w:rPr>
          <w:rFonts w:eastAsia="Calibri" w:cs="Arial"/>
          <w:lang w:val="fr-FR"/>
        </w:rPr>
        <w:t xml:space="preserve">discussion </w:t>
      </w:r>
      <w:r w:rsidRPr="005D2316">
        <w:rPr>
          <w:rFonts w:eastAsia="Calibri" w:cs="Arial"/>
          <w:lang w:val="fr-FR"/>
        </w:rPr>
        <w:t>par les</w:t>
      </w:r>
      <w:r w:rsidR="00A16EC8" w:rsidRPr="005D2316">
        <w:rPr>
          <w:rFonts w:eastAsia="Calibri" w:cs="Arial"/>
          <w:lang w:val="fr-FR"/>
        </w:rPr>
        <w:t xml:space="preserve"> experts.</w:t>
      </w:r>
    </w:p>
    <w:p w14:paraId="6419AB15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47C520DE" w14:textId="2B0C6194" w:rsidR="00A16EC8" w:rsidRPr="005D2316" w:rsidRDefault="00860719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Dans le document </w:t>
      </w:r>
      <w:r w:rsidR="00A16EC8" w:rsidRPr="005D2316">
        <w:rPr>
          <w:rFonts w:eastAsia="Calibri" w:cs="Arial"/>
          <w:lang w:val="fr-FR"/>
        </w:rPr>
        <w:t>TWC/31/15</w:t>
      </w:r>
      <w:r w:rsidR="00854DA9">
        <w:rPr>
          <w:rFonts w:eastAsia="Calibri" w:cs="Arial"/>
          <w:lang w:val="fr-FR"/>
        </w:rPr>
        <w:t> C</w:t>
      </w:r>
      <w:r w:rsidR="00A16EC8" w:rsidRPr="005D2316">
        <w:rPr>
          <w:rFonts w:eastAsia="Calibri" w:cs="Arial"/>
          <w:lang w:val="fr-FR"/>
        </w:rPr>
        <w:t>orr.</w:t>
      </w:r>
      <w:r w:rsidRPr="005D2316">
        <w:rPr>
          <w:lang w:val="fr-FR"/>
        </w:rPr>
        <w:t xml:space="preserve"> </w:t>
      </w:r>
      <w:r w:rsidRPr="005D2316">
        <w:rPr>
          <w:rFonts w:eastAsia="Calibri" w:cs="Arial"/>
          <w:lang w:val="fr-FR"/>
        </w:rPr>
        <w:t>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UPOV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la question de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="00E64CEA" w:rsidRPr="005D2316">
        <w:rPr>
          <w:rFonts w:eastAsia="Calibri" w:cs="Arial"/>
          <w:lang w:val="fr-FR"/>
        </w:rPr>
        <w:t>a été soulevée concernant</w:t>
      </w:r>
      <w:r w:rsidR="00A16EC8" w:rsidRPr="005D2316">
        <w:rPr>
          <w:rFonts w:eastAsia="Calibri" w:cs="Arial"/>
          <w:lang w:val="fr-FR"/>
        </w:rPr>
        <w:t xml:space="preserve"> C</w:t>
      </w:r>
      <w:r w:rsidR="001A0B67" w:rsidRPr="005D2316">
        <w:rPr>
          <w:rFonts w:eastAsia="Calibri" w:cs="Arial"/>
          <w:lang w:val="fr-FR"/>
        </w:rPr>
        <w:t>OYU.  La</w:t>
      </w:r>
      <w:r w:rsidR="00E64CEA" w:rsidRPr="005D2316">
        <w:rPr>
          <w:rFonts w:eastAsia="Calibri" w:cs="Arial"/>
          <w:lang w:val="fr-FR"/>
        </w:rPr>
        <w:t xml:space="preserve"> question est pertinente autant pour l</w:t>
      </w:r>
      <w:r w:rsidR="0067269A" w:rsidRPr="005D2316">
        <w:rPr>
          <w:rFonts w:eastAsia="Calibri" w:cs="Arial"/>
          <w:lang w:val="fr-FR"/>
        </w:rPr>
        <w:t>’</w:t>
      </w:r>
      <w:r w:rsidR="00E64CEA" w:rsidRPr="005D2316">
        <w:rPr>
          <w:rFonts w:eastAsia="Calibri" w:cs="Arial"/>
          <w:lang w:val="fr-FR"/>
        </w:rPr>
        <w:t>ancienne méthode de COYU que pour la méthode améliorée</w:t>
      </w:r>
      <w:r w:rsidR="00A16EC8" w:rsidRPr="005D2316">
        <w:rPr>
          <w:rFonts w:eastAsia="Calibri" w:cs="Arial"/>
          <w:lang w:val="fr-FR"/>
        </w:rPr>
        <w:t xml:space="preserve">, </w:t>
      </w:r>
      <w:r w:rsidR="00E64CEA" w:rsidRPr="005D2316">
        <w:rPr>
          <w:rFonts w:eastAsia="Calibri" w:cs="Arial"/>
          <w:lang w:val="fr-FR"/>
        </w:rPr>
        <w:t>mais elle n</w:t>
      </w:r>
      <w:r w:rsidR="0067269A" w:rsidRPr="005D2316">
        <w:rPr>
          <w:rFonts w:eastAsia="Calibri" w:cs="Arial"/>
          <w:lang w:val="fr-FR"/>
        </w:rPr>
        <w:t>’</w:t>
      </w:r>
      <w:r w:rsidR="00E64CEA" w:rsidRPr="005D2316">
        <w:rPr>
          <w:rFonts w:eastAsia="Calibri" w:cs="Arial"/>
          <w:lang w:val="fr-FR"/>
        </w:rPr>
        <w:t xml:space="preserve">a été </w:t>
      </w:r>
      <w:r w:rsidR="00A16EC8" w:rsidRPr="005D2316">
        <w:rPr>
          <w:rFonts w:eastAsia="Calibri" w:cs="Arial"/>
          <w:lang w:val="fr-FR"/>
        </w:rPr>
        <w:t>identifi</w:t>
      </w:r>
      <w:r w:rsidR="00E64CEA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e</w:t>
      </w:r>
      <w:r w:rsidR="00E64CEA" w:rsidRPr="005D2316">
        <w:rPr>
          <w:rFonts w:eastAsia="Calibri" w:cs="Arial"/>
          <w:lang w:val="fr-FR"/>
        </w:rPr>
        <w:t xml:space="preserve"> qu</w:t>
      </w:r>
      <w:r w:rsidR="0067269A" w:rsidRPr="005D2316">
        <w:rPr>
          <w:rFonts w:eastAsia="Calibri" w:cs="Arial"/>
          <w:lang w:val="fr-FR"/>
        </w:rPr>
        <w:t>’</w:t>
      </w:r>
      <w:r w:rsidR="00E64CEA" w:rsidRPr="005D2316">
        <w:rPr>
          <w:rFonts w:eastAsia="Calibri" w:cs="Arial"/>
          <w:lang w:val="fr-FR"/>
        </w:rPr>
        <w:t>au cours de l</w:t>
      </w:r>
      <w:r w:rsidR="0067269A" w:rsidRPr="005D2316">
        <w:rPr>
          <w:rFonts w:eastAsia="Calibri" w:cs="Arial"/>
          <w:lang w:val="fr-FR"/>
        </w:rPr>
        <w:t>’</w:t>
      </w:r>
      <w:r w:rsidR="00E64CEA" w:rsidRPr="005D2316">
        <w:rPr>
          <w:rFonts w:eastAsia="Calibri" w:cs="Arial"/>
          <w:lang w:val="fr-FR"/>
        </w:rPr>
        <w:t xml:space="preserve">élaboration de la </w:t>
      </w:r>
      <w:r w:rsidR="00A16EC8" w:rsidRPr="005D2316">
        <w:rPr>
          <w:rFonts w:eastAsia="Calibri" w:cs="Arial"/>
          <w:lang w:val="fr-FR"/>
        </w:rPr>
        <w:t>m</w:t>
      </w:r>
      <w:r w:rsidR="00E64CEA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thod</w:t>
      </w:r>
      <w:r w:rsidR="00E64CEA" w:rsidRPr="005D2316">
        <w:rPr>
          <w:rFonts w:eastAsia="Calibri" w:cs="Arial"/>
          <w:lang w:val="fr-FR"/>
        </w:rPr>
        <w:t>e améliorée</w:t>
      </w:r>
      <w:r w:rsidR="00A16EC8" w:rsidRPr="005D2316">
        <w:rPr>
          <w:rFonts w:eastAsia="Calibri" w:cs="Arial"/>
          <w:lang w:val="fr-FR"/>
        </w:rPr>
        <w:t>.</w:t>
      </w:r>
    </w:p>
    <w:p w14:paraId="708AAF20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136D4D99" w14:textId="1F66E898" w:rsidR="00A16EC8" w:rsidRPr="005D2316" w:rsidRDefault="00E64CEA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Dans le cadre de</w:t>
      </w:r>
      <w:r w:rsidR="00A16EC8" w:rsidRPr="005D2316">
        <w:rPr>
          <w:rFonts w:eastAsia="Calibri" w:cs="Arial"/>
          <w:lang w:val="fr-FR"/>
        </w:rPr>
        <w:t xml:space="preserve"> COYU, </w:t>
      </w: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Pr="005D2316">
        <w:rPr>
          <w:rFonts w:eastAsia="Calibri" w:cs="Arial"/>
          <w:lang w:val="fr-FR"/>
        </w:rPr>
        <w:t>concerne les cas où une variété</w:t>
      </w:r>
      <w:r w:rsidR="00A16EC8" w:rsidRPr="005D2316">
        <w:rPr>
          <w:rFonts w:eastAsia="Calibri" w:cs="Arial"/>
          <w:lang w:val="fr-FR"/>
        </w:rPr>
        <w:t xml:space="preserve"> candidate a </w:t>
      </w:r>
      <w:r w:rsidRPr="005D2316">
        <w:rPr>
          <w:rFonts w:eastAsia="Calibri" w:cs="Arial"/>
          <w:lang w:val="fr-FR"/>
        </w:rPr>
        <w:t>un</w:t>
      </w:r>
      <w:r w:rsidR="00A16EC8" w:rsidRPr="005D2316">
        <w:rPr>
          <w:rFonts w:eastAsia="Calibri" w:cs="Arial"/>
          <w:lang w:val="fr-FR"/>
        </w:rPr>
        <w:t xml:space="preserve"> score </w:t>
      </w:r>
      <w:r w:rsidRPr="005D2316">
        <w:rPr>
          <w:rFonts w:eastAsia="Calibri" w:cs="Arial"/>
          <w:lang w:val="fr-FR"/>
        </w:rPr>
        <w:t>moyen situé en dehors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d</w:t>
      </w:r>
      <w:r w:rsidR="00A16EC8" w:rsidRPr="005D2316">
        <w:rPr>
          <w:rFonts w:eastAsia="Calibri" w:cs="Arial"/>
          <w:lang w:val="fr-FR"/>
        </w:rPr>
        <w:t xml:space="preserve">e </w:t>
      </w: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="00B31548" w:rsidRPr="005D2316">
        <w:rPr>
          <w:rFonts w:eastAsia="Calibri" w:cs="Arial"/>
          <w:lang w:val="fr-FR"/>
        </w:rPr>
        <w:t>amplitude</w:t>
      </w:r>
      <w:r w:rsidRPr="005D2316">
        <w:rPr>
          <w:rFonts w:eastAsia="Calibri" w:cs="Arial"/>
          <w:lang w:val="fr-FR"/>
        </w:rPr>
        <w:t xml:space="preserve"> des</w:t>
      </w:r>
      <w:r w:rsidR="00A16EC8" w:rsidRPr="005D2316">
        <w:rPr>
          <w:rFonts w:eastAsia="Calibri" w:cs="Arial"/>
          <w:lang w:val="fr-FR"/>
        </w:rPr>
        <w:t xml:space="preserve"> scores expr</w:t>
      </w:r>
      <w:r w:rsidRPr="005D2316">
        <w:rPr>
          <w:rFonts w:eastAsia="Calibri" w:cs="Arial"/>
          <w:lang w:val="fr-FR"/>
        </w:rPr>
        <w:t>imé</w:t>
      </w:r>
      <w:r w:rsidR="00A16EC8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 par les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variétés de </w:t>
      </w:r>
      <w:r w:rsidR="00A16EC8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 </w:t>
      </w:r>
      <w:r w:rsidRPr="005D2316">
        <w:rPr>
          <w:rFonts w:eastAsia="Calibri" w:cs="Arial"/>
          <w:lang w:val="fr-FR"/>
        </w:rPr>
        <w:t>au cours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une année donn</w:t>
      </w:r>
      <w:r w:rsidR="001A0B67" w:rsidRPr="005D2316">
        <w:rPr>
          <w:rFonts w:eastAsia="Calibri" w:cs="Arial"/>
          <w:lang w:val="fr-FR"/>
        </w:rPr>
        <w:t>ée.  La</w:t>
      </w:r>
      <w:r w:rsidR="006D7EE8" w:rsidRPr="005D2316">
        <w:rPr>
          <w:rFonts w:eastAsia="Calibri" w:cs="Arial"/>
          <w:lang w:val="fr-FR"/>
        </w:rPr>
        <w:t xml:space="preserve"> </w:t>
      </w:r>
      <w:r w:rsidR="0031006F" w:rsidRPr="005D2316">
        <w:rPr>
          <w:rFonts w:eastAsia="Calibri" w:cs="Arial"/>
          <w:lang w:val="fr-FR"/>
        </w:rPr>
        <w:t>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1 </w:t>
      </w:r>
      <w:r w:rsidR="006D7EE8" w:rsidRPr="005D2316">
        <w:rPr>
          <w:rFonts w:eastAsia="Calibri" w:cs="Arial"/>
          <w:lang w:val="fr-FR"/>
        </w:rPr>
        <w:t>en donne un</w:t>
      </w:r>
      <w:r w:rsidR="00A16EC8" w:rsidRPr="005D2316">
        <w:rPr>
          <w:rFonts w:eastAsia="Calibri" w:cs="Arial"/>
          <w:lang w:val="fr-FR"/>
        </w:rPr>
        <w:t xml:space="preserve"> ex</w:t>
      </w:r>
      <w:r w:rsidR="006D7EE8"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mple.</w:t>
      </w:r>
    </w:p>
    <w:p w14:paraId="63469A81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26A24259" w14:textId="77777777" w:rsidR="00A16EC8" w:rsidRPr="005D2316" w:rsidRDefault="00A16EC8" w:rsidP="00A16EC8">
      <w:pPr>
        <w:ind w:left="720"/>
        <w:contextualSpacing/>
        <w:jc w:val="left"/>
        <w:rPr>
          <w:rFonts w:ascii="Calibri" w:eastAsia="Calibri" w:hAnsi="Calibri"/>
          <w:sz w:val="22"/>
          <w:szCs w:val="22"/>
          <w:lang w:val="fr-FR"/>
        </w:rPr>
      </w:pPr>
      <w:r w:rsidRPr="005D2316">
        <w:rPr>
          <w:rFonts w:ascii="Calibri" w:eastAsia="Calibri" w:hAnsi="Calibri"/>
          <w:noProof/>
          <w:sz w:val="22"/>
          <w:szCs w:val="22"/>
          <w:lang w:eastAsia="ja-JP"/>
        </w:rPr>
        <w:drawing>
          <wp:inline distT="0" distB="0" distL="0" distR="0" wp14:anchorId="49DA3784" wp14:editId="53909320">
            <wp:extent cx="2895012" cy="2813810"/>
            <wp:effectExtent l="0" t="0" r="0" b="0"/>
            <wp:docPr id="89" name="Picture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fig1.wmf"/>
                    <pic:cNvPicPr/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628" b="33545"/>
                    <a:stretch/>
                  </pic:blipFill>
                  <pic:spPr bwMode="auto">
                    <a:xfrm>
                      <a:off x="0" y="0"/>
                      <a:ext cx="2897117" cy="2815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810FF" w14:textId="54760E07" w:rsidR="00A16EC8" w:rsidRPr="005D2316" w:rsidRDefault="00A16EC8" w:rsidP="00A16EC8">
      <w:pPr>
        <w:rPr>
          <w:rFonts w:eastAsia="Calibri" w:cs="Arial"/>
          <w:i/>
          <w:sz w:val="18"/>
          <w:lang w:val="fr-FR"/>
        </w:rPr>
      </w:pPr>
      <w:r w:rsidRPr="005D2316">
        <w:rPr>
          <w:rFonts w:eastAsia="Calibri" w:cs="Arial"/>
          <w:b/>
          <w:i/>
          <w:sz w:val="18"/>
          <w:lang w:val="fr-FR"/>
        </w:rPr>
        <w:t>Figure</w:t>
      </w:r>
      <w:r w:rsidR="00A2333E" w:rsidRPr="005D2316">
        <w:rPr>
          <w:rFonts w:eastAsia="Calibri" w:cs="Arial"/>
          <w:b/>
          <w:i/>
          <w:sz w:val="18"/>
          <w:lang w:val="fr-FR"/>
        </w:rPr>
        <w:t> </w:t>
      </w:r>
      <w:r w:rsidRPr="005D2316">
        <w:rPr>
          <w:rFonts w:eastAsia="Calibri" w:cs="Arial"/>
          <w:b/>
          <w:i/>
          <w:sz w:val="18"/>
          <w:lang w:val="fr-FR"/>
        </w:rPr>
        <w:t>1</w:t>
      </w:r>
      <w:r w:rsidR="0067269A" w:rsidRPr="005D2316">
        <w:rPr>
          <w:rFonts w:eastAsia="Calibri" w:cs="Arial"/>
          <w:b/>
          <w:i/>
          <w:sz w:val="18"/>
          <w:lang w:val="fr-FR"/>
        </w:rPr>
        <w:t> :</w:t>
      </w:r>
      <w:r w:rsidRPr="005D2316">
        <w:rPr>
          <w:rFonts w:eastAsia="Calibri" w:cs="Arial"/>
          <w:i/>
          <w:sz w:val="18"/>
          <w:lang w:val="fr-FR"/>
        </w:rPr>
        <w:t xml:space="preserve"> Ex</w:t>
      </w:r>
      <w:r w:rsidR="006D7EE8" w:rsidRPr="005D2316">
        <w:rPr>
          <w:rFonts w:eastAsia="Calibri" w:cs="Arial"/>
          <w:i/>
          <w:sz w:val="18"/>
          <w:lang w:val="fr-FR"/>
        </w:rPr>
        <w:t>e</w:t>
      </w:r>
      <w:r w:rsidRPr="005D2316">
        <w:rPr>
          <w:rFonts w:eastAsia="Calibri" w:cs="Arial"/>
          <w:i/>
          <w:sz w:val="18"/>
          <w:lang w:val="fr-FR"/>
        </w:rPr>
        <w:t xml:space="preserve">mple </w:t>
      </w:r>
      <w:r w:rsidR="006D7EE8" w:rsidRPr="005D2316">
        <w:rPr>
          <w:rFonts w:eastAsia="Calibri" w:cs="Arial"/>
          <w:i/>
          <w:sz w:val="18"/>
          <w:lang w:val="fr-FR"/>
        </w:rPr>
        <w:t>d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Pr="005D2316">
        <w:rPr>
          <w:rFonts w:eastAsia="Calibri" w:cs="Arial"/>
          <w:i/>
          <w:sz w:val="18"/>
          <w:lang w:val="fr-FR"/>
        </w:rPr>
        <w:t>extrapolati</w:t>
      </w:r>
      <w:r w:rsidR="001A0B67" w:rsidRPr="005D2316">
        <w:rPr>
          <w:rFonts w:eastAsia="Calibri" w:cs="Arial"/>
          <w:i/>
          <w:sz w:val="18"/>
          <w:lang w:val="fr-FR"/>
        </w:rPr>
        <w:t>on.  Po</w:t>
      </w:r>
      <w:r w:rsidR="006D7EE8" w:rsidRPr="005D2316">
        <w:rPr>
          <w:rFonts w:eastAsia="Calibri" w:cs="Arial"/>
          <w:i/>
          <w:sz w:val="18"/>
          <w:lang w:val="fr-FR"/>
        </w:rPr>
        <w:t>ur une année ou un cycle donnés</w:t>
      </w:r>
      <w:r w:rsidRPr="005D2316">
        <w:rPr>
          <w:rFonts w:eastAsia="Calibri" w:cs="Arial"/>
          <w:i/>
          <w:sz w:val="18"/>
          <w:lang w:val="fr-FR"/>
        </w:rPr>
        <w:t xml:space="preserve">, </w:t>
      </w:r>
      <w:r w:rsidR="006D7EE8" w:rsidRPr="005D2316">
        <w:rPr>
          <w:rFonts w:eastAsia="Calibri" w:cs="Arial"/>
          <w:i/>
          <w:sz w:val="18"/>
          <w:lang w:val="fr-FR"/>
        </w:rPr>
        <w:t>une</w:t>
      </w:r>
      <w:r w:rsidRPr="005D2316">
        <w:rPr>
          <w:rFonts w:eastAsia="Calibri" w:cs="Arial"/>
          <w:i/>
          <w:sz w:val="18"/>
          <w:lang w:val="fr-FR"/>
        </w:rPr>
        <w:t xml:space="preserve"> mesure </w:t>
      </w:r>
      <w:r w:rsidR="006D7EE8" w:rsidRPr="005D2316">
        <w:rPr>
          <w:rFonts w:eastAsia="Calibri" w:cs="Arial"/>
          <w:i/>
          <w:sz w:val="18"/>
          <w:lang w:val="fr-FR"/>
        </w:rPr>
        <w:t>de la</w:t>
      </w:r>
      <w:r w:rsidRPr="005D2316">
        <w:rPr>
          <w:rFonts w:eastAsia="Calibri" w:cs="Arial"/>
          <w:i/>
          <w:sz w:val="18"/>
          <w:lang w:val="fr-FR"/>
        </w:rPr>
        <w:t xml:space="preserve"> variabilit</w:t>
      </w:r>
      <w:r w:rsidR="006D7EE8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 xml:space="preserve"> (log </w:t>
      </w:r>
      <w:r w:rsidR="006D7EE8" w:rsidRPr="005D2316">
        <w:rPr>
          <w:rFonts w:eastAsia="Calibri" w:cs="Arial"/>
          <w:i/>
          <w:sz w:val="18"/>
          <w:lang w:val="fr-FR"/>
        </w:rPr>
        <w:t>de</w:t>
      </w:r>
      <w:r w:rsidR="00FD4BB4" w:rsidRPr="005D2316">
        <w:rPr>
          <w:rFonts w:eastAsia="Calibri" w:cs="Arial"/>
          <w:i/>
          <w:sz w:val="18"/>
          <w:lang w:val="fr-FR"/>
        </w:rPr>
        <w:t xml:space="preserve">s </w:t>
      </w:r>
      <w:r w:rsidR="006D7EE8" w:rsidRPr="005D2316">
        <w:rPr>
          <w:rFonts w:eastAsia="Calibri" w:cs="Arial"/>
          <w:i/>
          <w:sz w:val="18"/>
          <w:lang w:val="fr-FR"/>
        </w:rPr>
        <w:t>écart</w:t>
      </w:r>
      <w:r w:rsidR="00FD4BB4" w:rsidRPr="005D2316">
        <w:rPr>
          <w:rFonts w:eastAsia="Calibri" w:cs="Arial"/>
          <w:i/>
          <w:sz w:val="18"/>
          <w:lang w:val="fr-FR"/>
        </w:rPr>
        <w:t>s</w:t>
      </w:r>
      <w:r w:rsidR="006D7EE8" w:rsidRPr="005D2316">
        <w:rPr>
          <w:rFonts w:eastAsia="Calibri" w:cs="Arial"/>
          <w:i/>
          <w:sz w:val="18"/>
          <w:lang w:val="fr-FR"/>
        </w:rPr>
        <w:t xml:space="preserve"> type</w:t>
      </w:r>
      <w:r w:rsidR="00FD4BB4" w:rsidRPr="005D2316">
        <w:rPr>
          <w:rFonts w:eastAsia="Calibri" w:cs="Arial"/>
          <w:i/>
          <w:sz w:val="18"/>
          <w:lang w:val="fr-FR"/>
        </w:rPr>
        <w:t>s</w:t>
      </w:r>
      <w:r w:rsidR="006D7EE8" w:rsidRPr="005D2316">
        <w:rPr>
          <w:rFonts w:eastAsia="Calibri" w:cs="Arial"/>
          <w:i/>
          <w:sz w:val="18"/>
          <w:lang w:val="fr-FR"/>
        </w:rPr>
        <w:t xml:space="preserve"> </w:t>
      </w:r>
      <w:proofErr w:type="spellStart"/>
      <w:r w:rsidR="00FD4BB4" w:rsidRPr="005D2316">
        <w:rPr>
          <w:rFonts w:eastAsia="Calibri" w:cs="Arial"/>
          <w:i/>
          <w:sz w:val="18"/>
          <w:lang w:val="fr-FR"/>
        </w:rPr>
        <w:t>intraparcelle</w:t>
      </w:r>
      <w:proofErr w:type="spellEnd"/>
      <w:r w:rsidRPr="005D2316">
        <w:rPr>
          <w:rFonts w:eastAsia="Calibri" w:cs="Arial"/>
          <w:i/>
          <w:sz w:val="18"/>
          <w:lang w:val="fr-FR"/>
        </w:rPr>
        <w:t xml:space="preserve">) </w:t>
      </w:r>
      <w:r w:rsidR="00FD4BB4" w:rsidRPr="005D2316">
        <w:rPr>
          <w:rFonts w:eastAsia="Calibri" w:cs="Arial"/>
          <w:i/>
          <w:sz w:val="18"/>
          <w:lang w:val="fr-FR"/>
        </w:rPr>
        <w:t>est portée en abscisse et le score moyen en ordonnée</w:t>
      </w:r>
      <w:r w:rsidRPr="005D2316">
        <w:rPr>
          <w:rFonts w:eastAsia="Calibri" w:cs="Arial"/>
          <w:i/>
          <w:sz w:val="18"/>
          <w:lang w:val="fr-FR"/>
        </w:rPr>
        <w:t xml:space="preserve"> (</w:t>
      </w:r>
      <w:r w:rsidR="00FD4BB4" w:rsidRPr="005D2316">
        <w:rPr>
          <w:rFonts w:eastAsia="Calibri" w:cs="Arial"/>
          <w:i/>
          <w:sz w:val="18"/>
          <w:lang w:val="fr-FR"/>
        </w:rPr>
        <w:t>se reporter au</w:t>
      </w:r>
      <w:r w:rsidRPr="005D2316">
        <w:rPr>
          <w:rFonts w:eastAsia="Calibri" w:cs="Arial"/>
          <w:i/>
          <w:sz w:val="18"/>
          <w:lang w:val="fr-FR"/>
        </w:rPr>
        <w:t xml:space="preserve"> document TGP/8 </w:t>
      </w:r>
      <w:r w:rsidR="00FD4BB4" w:rsidRPr="005D2316">
        <w:rPr>
          <w:rFonts w:eastAsia="Calibri" w:cs="Arial"/>
          <w:i/>
          <w:sz w:val="18"/>
          <w:lang w:val="fr-FR"/>
        </w:rPr>
        <w:t>pour davantage de dé</w:t>
      </w:r>
      <w:r w:rsidRPr="005D2316">
        <w:rPr>
          <w:rFonts w:eastAsia="Calibri" w:cs="Arial"/>
          <w:i/>
          <w:sz w:val="18"/>
          <w:lang w:val="fr-FR"/>
        </w:rPr>
        <w:t xml:space="preserve">tails </w:t>
      </w:r>
      <w:r w:rsidR="00FD4BB4" w:rsidRPr="005D2316">
        <w:rPr>
          <w:rFonts w:eastAsia="Calibri" w:cs="Arial"/>
          <w:i/>
          <w:sz w:val="18"/>
          <w:lang w:val="fr-FR"/>
        </w:rPr>
        <w:t xml:space="preserve">sur </w:t>
      </w:r>
      <w:r w:rsidRPr="005D2316">
        <w:rPr>
          <w:rFonts w:eastAsia="Calibri" w:cs="Arial"/>
          <w:i/>
          <w:sz w:val="18"/>
          <w:lang w:val="fr-FR"/>
        </w:rPr>
        <w:t xml:space="preserve">COYU). </w:t>
      </w:r>
      <w:r w:rsidR="00A2333E" w:rsidRPr="005D2316">
        <w:rPr>
          <w:rFonts w:eastAsia="Calibri" w:cs="Arial"/>
          <w:i/>
          <w:sz w:val="18"/>
          <w:lang w:val="fr-FR"/>
        </w:rPr>
        <w:t xml:space="preserve"> </w:t>
      </w:r>
      <w:r w:rsidR="00FD4BB4" w:rsidRPr="005D2316">
        <w:rPr>
          <w:rFonts w:eastAsia="Calibri" w:cs="Arial"/>
          <w:i/>
          <w:sz w:val="18"/>
          <w:lang w:val="fr-FR"/>
        </w:rPr>
        <w:t xml:space="preserve">Les variétés de référence sont </w:t>
      </w:r>
      <w:r w:rsidRPr="005D2316">
        <w:rPr>
          <w:rFonts w:eastAsia="Calibri" w:cs="Arial"/>
          <w:i/>
          <w:sz w:val="18"/>
          <w:lang w:val="fr-FR"/>
        </w:rPr>
        <w:t>repr</w:t>
      </w:r>
      <w:r w:rsidR="00FD4BB4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sent</w:t>
      </w:r>
      <w:r w:rsidR="00FD4BB4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e</w:t>
      </w:r>
      <w:r w:rsidR="00FD4BB4" w:rsidRPr="005D2316">
        <w:rPr>
          <w:rFonts w:eastAsia="Calibri" w:cs="Arial"/>
          <w:i/>
          <w:sz w:val="18"/>
          <w:lang w:val="fr-FR"/>
        </w:rPr>
        <w:t>s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FD4BB4" w:rsidRPr="005D2316">
        <w:rPr>
          <w:rFonts w:eastAsia="Calibri" w:cs="Arial"/>
          <w:i/>
          <w:sz w:val="18"/>
          <w:lang w:val="fr-FR"/>
        </w:rPr>
        <w:t>par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lang w:val="fr-FR"/>
        </w:rPr>
        <w:t>‘</w:t>
      </w:r>
      <w:r w:rsidRPr="005D2316">
        <w:rPr>
          <w:rFonts w:eastAsia="Calibri" w:cs="Arial"/>
          <w:i/>
          <w:sz w:val="18"/>
          <w:lang w:val="fr-FR"/>
        </w:rPr>
        <w:t>x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FD4BB4" w:rsidRPr="005D2316">
        <w:rPr>
          <w:rFonts w:eastAsia="Calibri" w:cs="Arial"/>
          <w:i/>
          <w:sz w:val="18"/>
          <w:lang w:val="fr-FR"/>
        </w:rPr>
        <w:t>et les variétés candidates par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lang w:val="fr-FR"/>
        </w:rPr>
        <w:t>‘</w:t>
      </w:r>
      <w:r w:rsidRPr="005D2316">
        <w:rPr>
          <w:rFonts w:eastAsia="Calibri" w:cs="Arial"/>
          <w:i/>
          <w:sz w:val="18"/>
          <w:lang w:val="fr-FR"/>
        </w:rPr>
        <w:t>c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Pr="005D2316">
        <w:rPr>
          <w:rFonts w:eastAsia="Calibri" w:cs="Arial"/>
          <w:i/>
          <w:sz w:val="18"/>
          <w:lang w:val="fr-FR"/>
        </w:rPr>
        <w:t>.</w:t>
      </w:r>
      <w:r w:rsidR="00A2333E" w:rsidRPr="005D2316">
        <w:rPr>
          <w:rFonts w:eastAsia="Calibri" w:cs="Arial"/>
          <w:i/>
          <w:sz w:val="18"/>
          <w:lang w:val="fr-FR"/>
        </w:rPr>
        <w:t xml:space="preserve"> 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FD4BB4" w:rsidRPr="005D2316">
        <w:rPr>
          <w:rFonts w:eastAsia="Calibri" w:cs="Arial"/>
          <w:i/>
          <w:sz w:val="18"/>
          <w:lang w:val="fr-FR"/>
        </w:rPr>
        <w:t>L</w:t>
      </w:r>
      <w:r w:rsidR="00F52469" w:rsidRPr="005D2316">
        <w:rPr>
          <w:rFonts w:eastAsia="Calibri" w:cs="Arial"/>
          <w:i/>
          <w:sz w:val="18"/>
          <w:lang w:val="fr-FR"/>
        </w:rPr>
        <w:t>es</w:t>
      </w:r>
      <w:r w:rsidR="00FD4BB4" w:rsidRPr="005D2316">
        <w:rPr>
          <w:rFonts w:eastAsia="Calibri" w:cs="Arial"/>
          <w:i/>
          <w:sz w:val="18"/>
          <w:lang w:val="fr-FR"/>
        </w:rPr>
        <w:t xml:space="preserve"> variété</w:t>
      </w:r>
      <w:r w:rsidR="00F52469" w:rsidRPr="005D2316">
        <w:rPr>
          <w:rFonts w:eastAsia="Calibri" w:cs="Arial"/>
          <w:i/>
          <w:sz w:val="18"/>
          <w:lang w:val="fr-FR"/>
        </w:rPr>
        <w:t>s</w:t>
      </w:r>
      <w:r w:rsidR="00FD4BB4" w:rsidRPr="005D2316">
        <w:rPr>
          <w:rFonts w:eastAsia="Calibri" w:cs="Arial"/>
          <w:i/>
          <w:sz w:val="18"/>
          <w:lang w:val="fr-FR"/>
        </w:rPr>
        <w:t xml:space="preserve"> candidate</w:t>
      </w:r>
      <w:r w:rsidR="00F52469" w:rsidRPr="005D2316">
        <w:rPr>
          <w:rFonts w:eastAsia="Calibri" w:cs="Arial"/>
          <w:i/>
          <w:sz w:val="18"/>
          <w:lang w:val="fr-FR"/>
        </w:rPr>
        <w:t>s</w:t>
      </w:r>
      <w:r w:rsidR="00FD4BB4" w:rsidRPr="005D2316">
        <w:rPr>
          <w:rFonts w:eastAsia="Calibri" w:cs="Arial"/>
          <w:i/>
          <w:sz w:val="18"/>
          <w:lang w:val="fr-FR"/>
        </w:rPr>
        <w:t xml:space="preserve"> </w:t>
      </w:r>
      <w:r w:rsidR="00F52469" w:rsidRPr="005D2316">
        <w:rPr>
          <w:rFonts w:eastAsia="Calibri" w:cs="Arial"/>
          <w:i/>
          <w:sz w:val="18"/>
          <w:lang w:val="fr-FR"/>
        </w:rPr>
        <w:t>présentent</w:t>
      </w:r>
      <w:r w:rsidR="00FD4BB4" w:rsidRPr="005D2316">
        <w:rPr>
          <w:rFonts w:eastAsia="Calibri" w:cs="Arial"/>
          <w:i/>
          <w:sz w:val="18"/>
          <w:lang w:val="fr-FR"/>
        </w:rPr>
        <w:t xml:space="preserve"> une moyenne plus élevée que </w:t>
      </w:r>
      <w:r w:rsidR="00E34662" w:rsidRPr="005D2316">
        <w:rPr>
          <w:rFonts w:eastAsia="Calibri" w:cs="Arial"/>
          <w:i/>
          <w:sz w:val="18"/>
          <w:lang w:val="fr-FR"/>
        </w:rPr>
        <w:t>n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E34662" w:rsidRPr="005D2316">
        <w:rPr>
          <w:rFonts w:eastAsia="Calibri" w:cs="Arial"/>
          <w:i/>
          <w:sz w:val="18"/>
          <w:lang w:val="fr-FR"/>
        </w:rPr>
        <w:t>importe laquelle d</w:t>
      </w:r>
      <w:r w:rsidR="00FD4BB4" w:rsidRPr="005D2316">
        <w:rPr>
          <w:rFonts w:eastAsia="Calibri" w:cs="Arial"/>
          <w:i/>
          <w:sz w:val="18"/>
          <w:lang w:val="fr-FR"/>
        </w:rPr>
        <w:t>es variétés de référen</w:t>
      </w:r>
      <w:r w:rsidR="001A0B67" w:rsidRPr="005D2316">
        <w:rPr>
          <w:rFonts w:eastAsia="Calibri" w:cs="Arial"/>
          <w:i/>
          <w:sz w:val="18"/>
          <w:lang w:val="fr-FR"/>
        </w:rPr>
        <w:t>ce.  Al</w:t>
      </w:r>
      <w:r w:rsidR="00E34662" w:rsidRPr="005D2316">
        <w:rPr>
          <w:rFonts w:eastAsia="Calibri" w:cs="Arial"/>
          <w:i/>
          <w:sz w:val="18"/>
          <w:lang w:val="fr-FR"/>
        </w:rPr>
        <w:t>ors qu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E34662" w:rsidRPr="005D2316">
        <w:rPr>
          <w:rFonts w:eastAsia="Calibri" w:cs="Arial"/>
          <w:i/>
          <w:sz w:val="18"/>
          <w:lang w:val="fr-FR"/>
        </w:rPr>
        <w:t xml:space="preserve">une </w:t>
      </w:r>
      <w:r w:rsidR="009A2233" w:rsidRPr="005D2316">
        <w:rPr>
          <w:rFonts w:eastAsia="Calibri" w:cs="Arial"/>
          <w:i/>
          <w:sz w:val="18"/>
          <w:lang w:val="fr-FR"/>
        </w:rPr>
        <w:t xml:space="preserve">ligne de </w:t>
      </w:r>
      <w:r w:rsidR="00E34662" w:rsidRPr="005D2316">
        <w:rPr>
          <w:rFonts w:eastAsia="Calibri" w:cs="Arial"/>
          <w:i/>
          <w:sz w:val="18"/>
          <w:lang w:val="fr-FR"/>
        </w:rPr>
        <w:t>tendance peut être dégagée pour les variétés de référence</w:t>
      </w:r>
      <w:r w:rsidRPr="005D2316">
        <w:rPr>
          <w:rFonts w:eastAsia="Calibri" w:cs="Arial"/>
          <w:i/>
          <w:sz w:val="18"/>
          <w:lang w:val="fr-FR"/>
        </w:rPr>
        <w:t xml:space="preserve">, </w:t>
      </w:r>
      <w:r w:rsidR="00E34662" w:rsidRPr="005D2316">
        <w:rPr>
          <w:rFonts w:eastAsia="Calibri" w:cs="Arial"/>
          <w:i/>
          <w:sz w:val="18"/>
          <w:lang w:val="fr-FR"/>
        </w:rPr>
        <w:t>est</w:t>
      </w:r>
      <w:r w:rsidR="0067269A" w:rsidRPr="005D2316">
        <w:rPr>
          <w:rFonts w:eastAsia="Calibri" w:cs="Arial"/>
          <w:i/>
          <w:sz w:val="18"/>
          <w:lang w:val="fr-FR"/>
        </w:rPr>
        <w:t>-</w:t>
      </w:r>
      <w:r w:rsidR="00E34662" w:rsidRPr="005D2316">
        <w:rPr>
          <w:rFonts w:eastAsia="Calibri" w:cs="Arial"/>
          <w:i/>
          <w:sz w:val="18"/>
          <w:lang w:val="fr-FR"/>
        </w:rPr>
        <w:t>il possible de 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E34662" w:rsidRPr="005D2316">
        <w:rPr>
          <w:rFonts w:eastAsia="Calibri" w:cs="Arial"/>
          <w:i/>
          <w:sz w:val="18"/>
          <w:lang w:val="fr-FR"/>
        </w:rPr>
        <w:t xml:space="preserve">élargir aux variétés </w:t>
      </w:r>
      <w:r w:rsidRPr="005D2316">
        <w:rPr>
          <w:rFonts w:eastAsia="Calibri" w:cs="Arial"/>
          <w:i/>
          <w:sz w:val="18"/>
          <w:lang w:val="fr-FR"/>
        </w:rPr>
        <w:t>candidate</w:t>
      </w:r>
      <w:r w:rsidR="00E34662" w:rsidRPr="005D2316">
        <w:rPr>
          <w:rFonts w:eastAsia="Calibri" w:cs="Arial"/>
          <w:i/>
          <w:sz w:val="18"/>
          <w:lang w:val="fr-FR"/>
        </w:rPr>
        <w:t>s</w:t>
      </w:r>
      <w:r w:rsidRPr="005D2316">
        <w:rPr>
          <w:rFonts w:eastAsia="Calibri" w:cs="Arial"/>
          <w:i/>
          <w:sz w:val="18"/>
          <w:lang w:val="fr-FR"/>
        </w:rPr>
        <w:t>?</w:t>
      </w:r>
    </w:p>
    <w:p w14:paraId="3110D71C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E192A28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56732A54" w14:textId="434823FA" w:rsidR="00A16EC8" w:rsidRPr="005D2316" w:rsidRDefault="00E34662" w:rsidP="00AF4261">
      <w:pPr>
        <w:keepNext/>
        <w:numPr>
          <w:ilvl w:val="0"/>
          <w:numId w:val="2"/>
        </w:numPr>
        <w:ind w:left="0" w:firstLine="0"/>
        <w:contextualSpacing/>
        <w:jc w:val="left"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lastRenderedPageBreak/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xtrapolation </w:t>
      </w:r>
      <w:r w:rsidRPr="005D2316">
        <w:rPr>
          <w:rFonts w:eastAsia="Calibri" w:cs="Arial"/>
          <w:lang w:val="fr-FR"/>
        </w:rPr>
        <w:t>représente un</w:t>
      </w:r>
      <w:r w:rsidR="00A16EC8" w:rsidRPr="005D2316">
        <w:rPr>
          <w:rFonts w:eastAsia="Calibri" w:cs="Arial"/>
          <w:lang w:val="fr-FR"/>
        </w:rPr>
        <w:t xml:space="preserve"> probl</w:t>
      </w:r>
      <w:r w:rsidRPr="005D2316">
        <w:rPr>
          <w:rFonts w:eastAsia="Calibri" w:cs="Arial"/>
          <w:lang w:val="fr-FR"/>
        </w:rPr>
        <w:t>è</w:t>
      </w:r>
      <w:r w:rsidR="00A16EC8" w:rsidRPr="005D2316">
        <w:rPr>
          <w:rFonts w:eastAsia="Calibri" w:cs="Arial"/>
          <w:lang w:val="fr-FR"/>
        </w:rPr>
        <w:t>m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tant en termes de </w:t>
      </w:r>
      <w:r w:rsidR="00A16EC8" w:rsidRPr="005D2316">
        <w:rPr>
          <w:rFonts w:eastAsia="Calibri" w:cs="Arial"/>
          <w:lang w:val="fr-FR"/>
        </w:rPr>
        <w:t xml:space="preserve">principe </w:t>
      </w:r>
      <w:r w:rsidRPr="005D2316">
        <w:rPr>
          <w:rFonts w:eastAsia="Calibri" w:cs="Arial"/>
          <w:lang w:val="fr-FR"/>
        </w:rPr>
        <w:t>que sous un angle te</w:t>
      </w:r>
      <w:r w:rsidR="00A16EC8" w:rsidRPr="005D2316">
        <w:rPr>
          <w:rFonts w:eastAsia="Calibri" w:cs="Arial"/>
          <w:lang w:val="fr-FR"/>
        </w:rPr>
        <w:t>chni</w:t>
      </w:r>
      <w:r w:rsidRPr="005D2316">
        <w:rPr>
          <w:rFonts w:eastAsia="Calibri" w:cs="Arial"/>
          <w:lang w:val="fr-FR"/>
        </w:rPr>
        <w:t>que</w:t>
      </w:r>
      <w:r w:rsidR="00A16EC8" w:rsidRPr="005D2316">
        <w:rPr>
          <w:rFonts w:eastAsia="Calibri" w:cs="Arial"/>
          <w:lang w:val="fr-FR"/>
        </w:rPr>
        <w:t>.</w:t>
      </w:r>
      <w:r w:rsidR="00A2333E"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cs="Arial"/>
          <w:color w:val="000000"/>
          <w:lang w:val="fr-FR"/>
        </w:rPr>
        <w:t>Introduction générale à l</w:t>
      </w:r>
      <w:r w:rsidR="0067269A" w:rsidRPr="005D2316">
        <w:rPr>
          <w:rFonts w:cs="Arial"/>
          <w:color w:val="000000"/>
          <w:lang w:val="fr-FR"/>
        </w:rPr>
        <w:t>’</w:t>
      </w:r>
      <w:r w:rsidRPr="005D2316">
        <w:rPr>
          <w:rFonts w:cs="Arial"/>
          <w:color w:val="000000"/>
          <w:lang w:val="fr-FR"/>
        </w:rPr>
        <w:t>examen de la distinction, de l</w:t>
      </w:r>
      <w:r w:rsidR="0067269A" w:rsidRPr="005D2316">
        <w:rPr>
          <w:rFonts w:cs="Arial"/>
          <w:color w:val="000000"/>
          <w:lang w:val="fr-FR"/>
        </w:rPr>
        <w:t>’</w:t>
      </w:r>
      <w:r w:rsidRPr="005D2316">
        <w:rPr>
          <w:rFonts w:cs="Arial"/>
          <w:color w:val="000000"/>
          <w:lang w:val="fr-FR"/>
        </w:rPr>
        <w:t>homogénéité et de la stabilité et à l</w:t>
      </w:r>
      <w:r w:rsidR="0067269A" w:rsidRPr="005D2316">
        <w:rPr>
          <w:rFonts w:cs="Arial"/>
          <w:color w:val="000000"/>
          <w:lang w:val="fr-FR"/>
        </w:rPr>
        <w:t>’</w:t>
      </w:r>
      <w:r w:rsidRPr="005D2316">
        <w:rPr>
          <w:rFonts w:cs="Arial"/>
          <w:color w:val="000000"/>
          <w:lang w:val="fr-FR"/>
        </w:rPr>
        <w:t>harmonisation des descriptions des obtentions végétales</w:t>
      </w:r>
      <w:r w:rsidR="00A16EC8" w:rsidRPr="005D2316">
        <w:rPr>
          <w:rFonts w:eastAsia="Calibri" w:cs="Arial"/>
          <w:lang w:val="fr-FR"/>
        </w:rPr>
        <w:t xml:space="preserve"> (TG/1/3) </w:t>
      </w:r>
      <w:r w:rsidRPr="005D2316">
        <w:rPr>
          <w:rFonts w:eastAsia="Calibri" w:cs="Arial"/>
          <w:lang w:val="fr-FR"/>
        </w:rPr>
        <w:t>dit, concernant l</w:t>
      </w:r>
      <w:r w:rsidR="0067269A" w:rsidRPr="005D2316">
        <w:rPr>
          <w:rFonts w:eastAsia="Calibri" w:cs="Arial"/>
          <w:lang w:val="fr-FR"/>
        </w:rPr>
        <w:t>’</w:t>
      </w:r>
      <w:r w:rsidR="00AA5C19" w:rsidRPr="005D2316">
        <w:rPr>
          <w:rFonts w:eastAsia="Calibri" w:cs="Arial"/>
          <w:lang w:val="fr-FR"/>
        </w:rPr>
        <w:t>homogénéité</w:t>
      </w:r>
      <w:r w:rsidRPr="005D2316">
        <w:rPr>
          <w:rFonts w:eastAsia="Calibri" w:cs="Arial"/>
          <w:lang w:val="fr-FR"/>
        </w:rPr>
        <w:t>, ceci</w:t>
      </w:r>
      <w:r w:rsidR="0067269A" w:rsidRPr="005D2316">
        <w:rPr>
          <w:rFonts w:eastAsia="Calibri" w:cs="Arial"/>
          <w:lang w:val="fr-FR"/>
        </w:rPr>
        <w:t> :</w:t>
      </w:r>
    </w:p>
    <w:p w14:paraId="1B2BC4A4" w14:textId="77777777" w:rsidR="00A16EC8" w:rsidRPr="005D2316" w:rsidRDefault="00A16EC8" w:rsidP="00A16EC8">
      <w:pPr>
        <w:keepNext/>
        <w:rPr>
          <w:rFonts w:eastAsia="Calibri"/>
          <w:lang w:val="fr-FR"/>
        </w:rPr>
      </w:pPr>
    </w:p>
    <w:p w14:paraId="79237F2C" w14:textId="4FD48BFB" w:rsidR="00A16EC8" w:rsidRPr="0028590D" w:rsidRDefault="00A16EC8" w:rsidP="00CE74EA">
      <w:pPr>
        <w:keepNext/>
        <w:ind w:left="567"/>
        <w:rPr>
          <w:rFonts w:eastAsia="Calibri" w:cs="Arial"/>
          <w:i/>
          <w:spacing w:val="-4"/>
          <w:lang w:val="fr-FR"/>
        </w:rPr>
      </w:pPr>
      <w:r w:rsidRPr="0028590D">
        <w:rPr>
          <w:rFonts w:eastAsia="Calibri" w:cs="Arial"/>
          <w:i/>
          <w:spacing w:val="-4"/>
          <w:lang w:val="fr-FR"/>
        </w:rPr>
        <w:t>“6.4.2.2.1</w:t>
      </w:r>
      <w:r w:rsidR="00E34662" w:rsidRPr="0028590D">
        <w:rPr>
          <w:rFonts w:eastAsia="Calibri" w:cs="Arial"/>
          <w:i/>
          <w:spacing w:val="-4"/>
          <w:lang w:val="fr-FR"/>
        </w:rPr>
        <w:t xml:space="preserve">. </w:t>
      </w:r>
      <w:r w:rsidR="00A2333E" w:rsidRPr="0028590D">
        <w:rPr>
          <w:rFonts w:eastAsia="Calibri" w:cs="Arial"/>
          <w:i/>
          <w:spacing w:val="-4"/>
          <w:lang w:val="fr-FR"/>
        </w:rPr>
        <w:t xml:space="preserve"> </w:t>
      </w:r>
      <w:r w:rsidR="00E34662" w:rsidRPr="0028590D">
        <w:rPr>
          <w:rFonts w:cs="Arial"/>
          <w:i/>
          <w:iCs/>
          <w:color w:val="000000"/>
          <w:spacing w:val="-4"/>
          <w:lang w:val="fr-FR"/>
        </w:rPr>
        <w:t>Pour les caractères mesurés, le degré admissible de variation dans la variété ne doit pas dépasser de façon significative le degré de variation constaté dans des variétés comparables</w:t>
      </w:r>
      <w:r w:rsidR="009215AE" w:rsidRPr="0028590D">
        <w:rPr>
          <w:rFonts w:eastAsia="Calibri" w:cs="Arial"/>
          <w:i/>
          <w:spacing w:val="-4"/>
          <w:vertAlign w:val="superscript"/>
          <w:lang w:val="en-GB"/>
        </w:rPr>
        <w:footnoteReference w:id="9"/>
      </w:r>
      <w:r w:rsidR="00E34662" w:rsidRPr="0028590D">
        <w:rPr>
          <w:rFonts w:cs="Arial"/>
          <w:i/>
          <w:iCs/>
          <w:color w:val="000000"/>
          <w:spacing w:val="-4"/>
          <w:lang w:val="fr-FR"/>
        </w:rPr>
        <w:t xml:space="preserve"> déjà connues.”</w:t>
      </w:r>
    </w:p>
    <w:p w14:paraId="61D2B2A5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A7D8FCB" w14:textId="0CC15B86" w:rsidR="0067269A" w:rsidRPr="005D2316" w:rsidRDefault="00E34662" w:rsidP="00A16EC8">
      <w:pPr>
        <w:rPr>
          <w:rFonts w:eastAsia="Calibri"/>
          <w:lang w:val="fr-FR"/>
        </w:rPr>
      </w:pPr>
      <w:r w:rsidRPr="005D2316">
        <w:rPr>
          <w:rFonts w:eastAsia="Calibri"/>
          <w:lang w:val="fr-FR"/>
        </w:rPr>
        <w:t>Si le niveau d</w:t>
      </w:r>
      <w:r w:rsidR="0067269A" w:rsidRPr="005D2316">
        <w:rPr>
          <w:rFonts w:eastAsia="Calibri"/>
          <w:lang w:val="fr-FR"/>
        </w:rPr>
        <w:t>’</w:t>
      </w:r>
      <w:r w:rsidR="00A16EC8" w:rsidRPr="005D2316">
        <w:rPr>
          <w:rFonts w:eastAsia="Calibri"/>
          <w:lang w:val="fr-FR"/>
        </w:rPr>
        <w:t xml:space="preserve">expression </w:t>
      </w:r>
      <w:r w:rsidRPr="005D2316">
        <w:rPr>
          <w:rFonts w:eastAsia="Calibri"/>
          <w:lang w:val="fr-FR"/>
        </w:rPr>
        <w:t xml:space="preserve">de la variété </w:t>
      </w:r>
      <w:r w:rsidR="00A16EC8" w:rsidRPr="005D2316">
        <w:rPr>
          <w:rFonts w:eastAsia="Calibri"/>
          <w:lang w:val="fr-FR"/>
        </w:rPr>
        <w:t xml:space="preserve">candidate </w:t>
      </w:r>
      <w:r w:rsidRPr="005D2316">
        <w:rPr>
          <w:rFonts w:eastAsia="Calibri"/>
          <w:lang w:val="fr-FR"/>
        </w:rPr>
        <w:t>diffère largement de celui d</w:t>
      </w:r>
      <w:r w:rsidR="0067269A" w:rsidRPr="005D2316">
        <w:rPr>
          <w:rFonts w:eastAsia="Calibri"/>
          <w:lang w:val="fr-FR"/>
        </w:rPr>
        <w:t>’</w:t>
      </w:r>
      <w:r w:rsidRPr="005D2316">
        <w:rPr>
          <w:rFonts w:eastAsia="Calibri"/>
          <w:lang w:val="fr-FR"/>
        </w:rPr>
        <w:t xml:space="preserve">une série de variétés </w:t>
      </w:r>
      <w:r w:rsidR="00A16EC8" w:rsidRPr="005D2316">
        <w:rPr>
          <w:rFonts w:eastAsia="Calibri"/>
          <w:lang w:val="fr-FR"/>
        </w:rPr>
        <w:t>“comparable</w:t>
      </w:r>
      <w:r w:rsidRPr="005D2316">
        <w:rPr>
          <w:rFonts w:eastAsia="Calibri"/>
          <w:lang w:val="fr-FR"/>
        </w:rPr>
        <w:t>s</w:t>
      </w:r>
      <w:r w:rsidR="00A16EC8" w:rsidRPr="005D2316">
        <w:rPr>
          <w:rFonts w:eastAsia="Calibri"/>
          <w:lang w:val="fr-FR"/>
        </w:rPr>
        <w:t>”, i</w:t>
      </w:r>
      <w:r w:rsidRPr="005D2316">
        <w:rPr>
          <w:rFonts w:eastAsia="Calibri"/>
          <w:lang w:val="fr-FR"/>
        </w:rPr>
        <w:t>l est possible de s</w:t>
      </w:r>
      <w:r w:rsidR="0067269A" w:rsidRPr="005D2316">
        <w:rPr>
          <w:rFonts w:eastAsia="Calibri"/>
          <w:lang w:val="fr-FR"/>
        </w:rPr>
        <w:t>’</w:t>
      </w:r>
      <w:r w:rsidRPr="005D2316">
        <w:rPr>
          <w:rFonts w:eastAsia="Calibri"/>
          <w:lang w:val="fr-FR"/>
        </w:rPr>
        <w:t>interroger sur la comparabilité de ces v</w:t>
      </w:r>
      <w:r w:rsidR="00A16EC8" w:rsidRPr="005D2316">
        <w:rPr>
          <w:rFonts w:eastAsia="Calibri"/>
          <w:lang w:val="fr-FR"/>
        </w:rPr>
        <w:t>ari</w:t>
      </w:r>
      <w:r w:rsidRPr="005D2316">
        <w:rPr>
          <w:rFonts w:eastAsia="Calibri"/>
          <w:lang w:val="fr-FR"/>
        </w:rPr>
        <w:t>é</w:t>
      </w:r>
      <w:r w:rsidR="00A16EC8" w:rsidRPr="005D2316">
        <w:rPr>
          <w:rFonts w:eastAsia="Calibri"/>
          <w:lang w:val="fr-FR"/>
        </w:rPr>
        <w:t>t</w:t>
      </w:r>
      <w:r w:rsidRPr="005D2316">
        <w:rPr>
          <w:rFonts w:eastAsia="Calibri"/>
          <w:lang w:val="fr-FR"/>
        </w:rPr>
        <w:t>é</w:t>
      </w:r>
      <w:r w:rsidR="00A16EC8" w:rsidRPr="005D2316">
        <w:rPr>
          <w:rFonts w:eastAsia="Calibri"/>
          <w:lang w:val="fr-FR"/>
        </w:rPr>
        <w:t>s.</w:t>
      </w:r>
    </w:p>
    <w:p w14:paraId="35F3ADE6" w14:textId="5DEE4FF0" w:rsidR="00A16EC8" w:rsidRPr="005D2316" w:rsidRDefault="00A16EC8" w:rsidP="00A16EC8">
      <w:pPr>
        <w:rPr>
          <w:rFonts w:eastAsia="Calibri"/>
          <w:lang w:val="fr-FR"/>
        </w:rPr>
      </w:pPr>
    </w:p>
    <w:p w14:paraId="60631650" w14:textId="70E0E564" w:rsidR="00A16EC8" w:rsidRPr="005D2316" w:rsidRDefault="005E6203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xtrapolation </w:t>
      </w:r>
      <w:r w:rsidRPr="005D2316">
        <w:rPr>
          <w:rFonts w:eastAsia="Calibri" w:cs="Arial"/>
          <w:lang w:val="fr-FR"/>
        </w:rPr>
        <w:t xml:space="preserve">revêt une importance </w:t>
      </w:r>
      <w:r w:rsidR="00A16EC8" w:rsidRPr="005D2316">
        <w:rPr>
          <w:rFonts w:eastAsia="Calibri" w:cs="Arial"/>
          <w:lang w:val="fr-FR"/>
        </w:rPr>
        <w:t>particul</w:t>
      </w:r>
      <w:r w:rsidRPr="005D2316">
        <w:rPr>
          <w:rFonts w:eastAsia="Calibri" w:cs="Arial"/>
          <w:lang w:val="fr-FR"/>
        </w:rPr>
        <w:t xml:space="preserve">ière dans la mesure où, dans </w:t>
      </w:r>
      <w:r w:rsidR="00A16EC8" w:rsidRPr="005D2316">
        <w:rPr>
          <w:rFonts w:eastAsia="Calibri" w:cs="Arial"/>
          <w:lang w:val="fr-FR"/>
        </w:rPr>
        <w:t>COYU</w:t>
      </w:r>
      <w:r w:rsidRPr="005D2316">
        <w:rPr>
          <w:rFonts w:eastAsia="Calibri" w:cs="Arial"/>
          <w:lang w:val="fr-FR"/>
        </w:rPr>
        <w:t>, nous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cs="Arial"/>
          <w:color w:val="000000"/>
          <w:lang w:val="fr-FR"/>
        </w:rPr>
        <w:t>corrigeons la relation entre variabilité entre les plantes et la moyen</w:t>
      </w:r>
      <w:r w:rsidR="001A0B67" w:rsidRPr="005D2316">
        <w:rPr>
          <w:rFonts w:cs="Arial"/>
          <w:color w:val="000000"/>
          <w:lang w:val="fr-FR"/>
        </w:rPr>
        <w:t xml:space="preserve">ne.  </w:t>
      </w:r>
      <w:r w:rsidR="001A0B67" w:rsidRPr="005D2316">
        <w:rPr>
          <w:rFonts w:eastAsia="Calibri" w:cs="Arial"/>
          <w:lang w:val="fr-FR"/>
        </w:rPr>
        <w:t>Ce</w:t>
      </w:r>
      <w:r w:rsidRPr="005D2316">
        <w:rPr>
          <w:rFonts w:eastAsia="Calibri" w:cs="Arial"/>
          <w:lang w:val="fr-FR"/>
        </w:rPr>
        <w:t>tte r</w:t>
      </w:r>
      <w:r w:rsidR="00A16EC8" w:rsidRPr="005D2316">
        <w:rPr>
          <w:rFonts w:eastAsia="Calibri" w:cs="Arial"/>
          <w:lang w:val="fr-FR"/>
        </w:rPr>
        <w:t>elation</w:t>
      </w:r>
      <w:r w:rsidRPr="005D2316">
        <w:rPr>
          <w:rFonts w:eastAsia="Calibri" w:cs="Arial"/>
          <w:lang w:val="fr-FR"/>
        </w:rPr>
        <w:t xml:space="preserve"> concerne de nombreux </w:t>
      </w:r>
      <w:r w:rsidR="00A16EC8" w:rsidRPr="005D2316">
        <w:rPr>
          <w:rFonts w:eastAsia="Calibri" w:cs="Arial"/>
          <w:lang w:val="fr-FR"/>
        </w:rPr>
        <w:t>caract</w:t>
      </w:r>
      <w:r w:rsidRPr="005D2316">
        <w:rPr>
          <w:rFonts w:eastAsia="Calibri" w:cs="Arial"/>
          <w:lang w:val="fr-FR"/>
        </w:rPr>
        <w:t>è</w:t>
      </w:r>
      <w:r w:rsidR="00A16EC8" w:rsidRPr="005D2316">
        <w:rPr>
          <w:rFonts w:eastAsia="Calibri" w:cs="Arial"/>
          <w:lang w:val="fr-FR"/>
        </w:rPr>
        <w:t>r</w:t>
      </w:r>
      <w:r w:rsidR="001A0B67" w:rsidRPr="005D2316">
        <w:rPr>
          <w:rFonts w:eastAsia="Calibri" w:cs="Arial"/>
          <w:lang w:val="fr-FR"/>
        </w:rPr>
        <w:t>es.  Da</w:t>
      </w:r>
      <w:r w:rsidRPr="005D2316">
        <w:rPr>
          <w:rFonts w:eastAsia="Calibri" w:cs="Arial"/>
          <w:lang w:val="fr-FR"/>
        </w:rPr>
        <w:t>ns l</w:t>
      </w:r>
      <w:r w:rsidR="0067269A" w:rsidRPr="005D2316">
        <w:rPr>
          <w:rFonts w:eastAsia="Calibri" w:cs="Arial"/>
          <w:lang w:val="fr-FR"/>
        </w:rPr>
        <w:t>’</w:t>
      </w:r>
      <w:r w:rsidR="00B31548" w:rsidRPr="005D2316">
        <w:rPr>
          <w:rFonts w:eastAsia="Calibri" w:cs="Arial"/>
          <w:lang w:val="fr-FR"/>
        </w:rPr>
        <w:t>amplitude</w:t>
      </w:r>
      <w:r w:rsidRPr="005D2316">
        <w:rPr>
          <w:rFonts w:eastAsia="Calibri" w:cs="Arial"/>
          <w:lang w:val="fr-FR"/>
        </w:rPr>
        <w:t xml:space="preserve"> des variétés de </w:t>
      </w:r>
      <w:r w:rsidR="00A16EC8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rence, </w:t>
      </w:r>
      <w:r w:rsidRPr="005D2316">
        <w:rPr>
          <w:rFonts w:eastAsia="Calibri" w:cs="Arial"/>
          <w:lang w:val="fr-FR"/>
        </w:rPr>
        <w:t>la</w:t>
      </w:r>
      <w:r w:rsidR="00A16EC8" w:rsidRPr="005D2316">
        <w:rPr>
          <w:rFonts w:eastAsia="Calibri" w:cs="Arial"/>
          <w:lang w:val="fr-FR"/>
        </w:rPr>
        <w:t xml:space="preserve"> relation</w:t>
      </w:r>
      <w:r w:rsidRPr="005D2316">
        <w:rPr>
          <w:rFonts w:eastAsia="Calibri" w:cs="Arial"/>
          <w:lang w:val="fr-FR"/>
        </w:rPr>
        <w:t xml:space="preserve"> peut se </w:t>
      </w:r>
      <w:r w:rsidR="00A16EC8" w:rsidRPr="005D2316">
        <w:rPr>
          <w:rFonts w:eastAsia="Calibri" w:cs="Arial"/>
          <w:lang w:val="fr-FR"/>
        </w:rPr>
        <w:t>base</w:t>
      </w:r>
      <w:r w:rsidRPr="005D2316">
        <w:rPr>
          <w:rFonts w:eastAsia="Calibri" w:cs="Arial"/>
          <w:lang w:val="fr-FR"/>
        </w:rPr>
        <w:t>r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sur les éléments de preuve apportés par ces </w:t>
      </w:r>
      <w:r w:rsidR="00A16EC8" w:rsidRPr="005D2316">
        <w:rPr>
          <w:rFonts w:eastAsia="Calibri" w:cs="Arial"/>
          <w:lang w:val="fr-FR"/>
        </w:rPr>
        <w:t>vari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t</w:t>
      </w:r>
      <w:r w:rsidR="001A0B67" w:rsidRPr="005D2316">
        <w:rPr>
          <w:rFonts w:eastAsia="Calibri" w:cs="Arial"/>
          <w:lang w:val="fr-FR"/>
        </w:rPr>
        <w:t>és.  En</w:t>
      </w:r>
      <w:r w:rsidRPr="005D2316">
        <w:rPr>
          <w:rFonts w:eastAsia="Calibri" w:cs="Arial"/>
          <w:lang w:val="fr-FR"/>
        </w:rPr>
        <w:t xml:space="preserve"> dehors de l</w:t>
      </w:r>
      <w:r w:rsidR="0067269A" w:rsidRPr="005D2316">
        <w:rPr>
          <w:rFonts w:eastAsia="Calibri" w:cs="Arial"/>
          <w:lang w:val="fr-FR"/>
        </w:rPr>
        <w:t>’</w:t>
      </w:r>
      <w:r w:rsidR="00B31548" w:rsidRPr="005D2316">
        <w:rPr>
          <w:rFonts w:eastAsia="Calibri" w:cs="Arial"/>
          <w:lang w:val="fr-FR"/>
        </w:rPr>
        <w:t>amplitud</w:t>
      </w:r>
      <w:r w:rsidRPr="005D2316">
        <w:rPr>
          <w:rFonts w:eastAsia="Calibri" w:cs="Arial"/>
          <w:lang w:val="fr-FR"/>
        </w:rPr>
        <w:t xml:space="preserve">e, cette </w:t>
      </w:r>
      <w:r w:rsidR="00A16EC8" w:rsidRPr="005D2316">
        <w:rPr>
          <w:rFonts w:eastAsia="Calibri" w:cs="Arial"/>
          <w:lang w:val="fr-FR"/>
        </w:rPr>
        <w:t>relation</w:t>
      </w:r>
      <w:r w:rsidRPr="005D2316">
        <w:rPr>
          <w:rFonts w:eastAsia="Calibri" w:cs="Arial"/>
          <w:lang w:val="fr-FR"/>
        </w:rPr>
        <w:t xml:space="preserve"> est </w:t>
      </w:r>
      <w:r w:rsidR="00A16EC8" w:rsidRPr="005D2316">
        <w:rPr>
          <w:rFonts w:eastAsia="Calibri" w:cs="Arial"/>
          <w:lang w:val="fr-FR"/>
        </w:rPr>
        <w:t>sp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culati</w:t>
      </w:r>
      <w:r w:rsidR="001A0B67" w:rsidRPr="005D2316">
        <w:rPr>
          <w:rFonts w:eastAsia="Calibri" w:cs="Arial"/>
          <w:lang w:val="fr-FR"/>
        </w:rPr>
        <w:t>ve.  En</w:t>
      </w:r>
      <w:r w:rsidRPr="005D2316">
        <w:rPr>
          <w:rFonts w:eastAsia="Calibri" w:cs="Arial"/>
          <w:lang w:val="fr-FR"/>
        </w:rPr>
        <w:t xml:space="preserve"> réalité,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ancienne et la nouvelle méthode de </w:t>
      </w:r>
      <w:r w:rsidR="00A16EC8" w:rsidRPr="005D2316">
        <w:rPr>
          <w:rFonts w:eastAsia="Calibri" w:cs="Arial"/>
          <w:lang w:val="fr-FR"/>
        </w:rPr>
        <w:t xml:space="preserve">COYU </w:t>
      </w:r>
      <w:r w:rsidRPr="005D2316">
        <w:rPr>
          <w:rFonts w:eastAsia="Calibri" w:cs="Arial"/>
          <w:lang w:val="fr-FR"/>
        </w:rPr>
        <w:t>donnent des</w:t>
      </w:r>
      <w:r w:rsidR="00A16EC8" w:rsidRPr="005D2316">
        <w:rPr>
          <w:rFonts w:eastAsia="Calibri" w:cs="Arial"/>
          <w:lang w:val="fr-FR"/>
        </w:rPr>
        <w:t xml:space="preserve"> “</w:t>
      </w:r>
      <w:r w:rsidRPr="005D2316">
        <w:rPr>
          <w:rFonts w:eastAsia="Calibri" w:cs="Arial"/>
          <w:lang w:val="fr-FR"/>
        </w:rPr>
        <w:t>approximation</w:t>
      </w:r>
      <w:r w:rsidR="00A16EC8" w:rsidRPr="005D2316">
        <w:rPr>
          <w:rFonts w:eastAsia="Calibri" w:cs="Arial"/>
          <w:lang w:val="fr-FR"/>
        </w:rPr>
        <w:t xml:space="preserve">s” </w:t>
      </w:r>
      <w:r w:rsidRPr="005D2316">
        <w:rPr>
          <w:rFonts w:eastAsia="Calibri" w:cs="Arial"/>
          <w:lang w:val="fr-FR"/>
        </w:rPr>
        <w:t xml:space="preserve">foncièrement différentes quant à la </w:t>
      </w:r>
      <w:r w:rsidR="00A16EC8" w:rsidRPr="005D2316">
        <w:rPr>
          <w:rFonts w:eastAsia="Calibri" w:cs="Arial"/>
          <w:lang w:val="fr-FR"/>
        </w:rPr>
        <w:t>relation (</w:t>
      </w:r>
      <w:r w:rsidRPr="005D2316">
        <w:rPr>
          <w:rFonts w:eastAsia="Calibri" w:cs="Arial"/>
          <w:lang w:val="fr-FR"/>
        </w:rPr>
        <w:t>voir ci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>dessous</w:t>
      </w:r>
      <w:r w:rsidR="00A16EC8" w:rsidRPr="005D2316">
        <w:rPr>
          <w:rFonts w:eastAsia="Calibri" w:cs="Arial"/>
          <w:lang w:val="fr-FR"/>
        </w:rPr>
        <w:t>).</w:t>
      </w:r>
    </w:p>
    <w:p w14:paraId="545BD906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62A18C7A" w14:textId="1C509A82" w:rsidR="00A16EC8" w:rsidRPr="005D2316" w:rsidRDefault="00A16EC8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P</w:t>
      </w:r>
      <w:r w:rsidR="005E6203" w:rsidRPr="005D2316">
        <w:rPr>
          <w:rFonts w:eastAsia="Calibri" w:cs="Arial"/>
          <w:lang w:val="fr-FR"/>
        </w:rPr>
        <w:t>ar le passé</w:t>
      </w:r>
      <w:r w:rsidRPr="005D2316">
        <w:rPr>
          <w:rFonts w:eastAsia="Calibri" w:cs="Arial"/>
          <w:lang w:val="fr-FR"/>
        </w:rPr>
        <w:t xml:space="preserve">, </w:t>
      </w:r>
      <w:r w:rsidR="005E6203" w:rsidRPr="005D2316">
        <w:rPr>
          <w:rFonts w:eastAsia="Calibri" w:cs="Arial"/>
          <w:lang w:val="fr-FR"/>
        </w:rPr>
        <w:t xml:space="preserve">les </w:t>
      </w:r>
      <w:r w:rsidRPr="005D2316">
        <w:rPr>
          <w:rFonts w:eastAsia="Calibri" w:cs="Arial"/>
          <w:lang w:val="fr-FR"/>
        </w:rPr>
        <w:t xml:space="preserve">cas </w:t>
      </w:r>
      <w:r w:rsidR="005E6203"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extrapolation </w:t>
      </w:r>
      <w:r w:rsidR="00543465" w:rsidRPr="005D2316">
        <w:rPr>
          <w:rFonts w:eastAsia="Calibri" w:cs="Arial"/>
          <w:lang w:val="fr-FR"/>
        </w:rPr>
        <w:t>n</w:t>
      </w:r>
      <w:r w:rsidR="0067269A" w:rsidRPr="005D2316">
        <w:rPr>
          <w:rFonts w:eastAsia="Calibri" w:cs="Arial"/>
          <w:lang w:val="fr-FR"/>
        </w:rPr>
        <w:t>’</w:t>
      </w:r>
      <w:r w:rsidR="00543465" w:rsidRPr="005D2316">
        <w:rPr>
          <w:rFonts w:eastAsia="Calibri" w:cs="Arial"/>
          <w:lang w:val="fr-FR"/>
        </w:rPr>
        <w:t>étaient habituellement pas rapport</w:t>
      </w:r>
      <w:r w:rsidR="001A0B67" w:rsidRPr="005D2316">
        <w:rPr>
          <w:rFonts w:eastAsia="Calibri" w:cs="Arial"/>
          <w:lang w:val="fr-FR"/>
        </w:rPr>
        <w:t>és.  Po</w:t>
      </w:r>
      <w:r w:rsidR="00543465" w:rsidRPr="005D2316">
        <w:rPr>
          <w:rFonts w:eastAsia="Calibri" w:cs="Arial"/>
          <w:lang w:val="fr-FR"/>
        </w:rPr>
        <w:t xml:space="preserve">ur la nouvelle </w:t>
      </w:r>
      <w:r w:rsidRPr="005D2316">
        <w:rPr>
          <w:rFonts w:eastAsia="Calibri" w:cs="Arial"/>
          <w:lang w:val="fr-FR"/>
        </w:rPr>
        <w:t>m</w:t>
      </w:r>
      <w:r w:rsidR="00543465" w:rsidRPr="005D2316">
        <w:rPr>
          <w:rFonts w:eastAsia="Calibri" w:cs="Arial"/>
          <w:lang w:val="fr-FR"/>
        </w:rPr>
        <w:t>é</w:t>
      </w:r>
      <w:r w:rsidRPr="005D2316">
        <w:rPr>
          <w:rFonts w:eastAsia="Calibri" w:cs="Arial"/>
          <w:lang w:val="fr-FR"/>
        </w:rPr>
        <w:t>thod</w:t>
      </w:r>
      <w:r w:rsidR="00543465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, </w:t>
      </w:r>
      <w:r w:rsidR="00543465" w:rsidRPr="005D2316">
        <w:rPr>
          <w:rFonts w:eastAsia="Calibri" w:cs="Arial"/>
          <w:lang w:val="fr-FR"/>
        </w:rPr>
        <w:t xml:space="preserve">nous avons suggéré que les </w:t>
      </w:r>
      <w:r w:rsidRPr="005D2316">
        <w:rPr>
          <w:rFonts w:eastAsia="Calibri" w:cs="Arial"/>
          <w:lang w:val="fr-FR"/>
        </w:rPr>
        <w:t>cas</w:t>
      </w:r>
      <w:r w:rsidR="00543465" w:rsidRPr="005D2316">
        <w:rPr>
          <w:rFonts w:eastAsia="Calibri" w:cs="Arial"/>
          <w:lang w:val="fr-FR"/>
        </w:rPr>
        <w:t xml:space="preserve"> d</w:t>
      </w:r>
      <w:r w:rsidR="0067269A" w:rsidRPr="005D2316">
        <w:rPr>
          <w:rFonts w:eastAsia="Calibri" w:cs="Arial"/>
          <w:lang w:val="fr-FR"/>
        </w:rPr>
        <w:t>’</w:t>
      </w:r>
      <w:r w:rsidR="00543465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xtrapolation </w:t>
      </w:r>
      <w:r w:rsidR="00543465" w:rsidRPr="005D2316">
        <w:rPr>
          <w:rFonts w:eastAsia="Calibri" w:cs="Arial"/>
          <w:lang w:val="fr-FR"/>
        </w:rPr>
        <w:t xml:space="preserve">devraient être rapportés et recevoir une attention particulière de la part des </w:t>
      </w:r>
      <w:r w:rsidRPr="005D2316">
        <w:rPr>
          <w:rFonts w:eastAsia="Calibri" w:cs="Arial"/>
          <w:lang w:val="fr-FR"/>
        </w:rPr>
        <w:t>experts</w:t>
      </w:r>
      <w:r w:rsidR="00543465" w:rsidRPr="005D2316">
        <w:rPr>
          <w:rFonts w:eastAsia="Calibri" w:cs="Arial"/>
          <w:lang w:val="fr-FR"/>
        </w:rPr>
        <w:t xml:space="preserve"> </w:t>
      </w:r>
      <w:r w:rsidR="001A0B67" w:rsidRPr="005D2316">
        <w:rPr>
          <w:rFonts w:eastAsia="Calibri" w:cs="Arial"/>
          <w:lang w:val="fr-FR"/>
        </w:rPr>
        <w:t>DHS.  Po</w:t>
      </w:r>
      <w:r w:rsidR="00543465" w:rsidRPr="005D2316">
        <w:rPr>
          <w:rFonts w:eastAsia="Calibri" w:cs="Arial"/>
          <w:lang w:val="fr-FR"/>
        </w:rPr>
        <w:t>ur ces</w:t>
      </w:r>
      <w:r w:rsidRPr="005D2316">
        <w:rPr>
          <w:rFonts w:eastAsia="Calibri" w:cs="Arial"/>
          <w:lang w:val="fr-FR"/>
        </w:rPr>
        <w:t xml:space="preserve"> cas, </w:t>
      </w:r>
      <w:r w:rsidR="00543465" w:rsidRPr="005D2316">
        <w:rPr>
          <w:rFonts w:eastAsia="Calibri" w:cs="Arial"/>
          <w:lang w:val="fr-FR"/>
        </w:rPr>
        <w:t>l</w:t>
      </w:r>
      <w:r w:rsidRPr="005D2316">
        <w:rPr>
          <w:rFonts w:eastAsia="Calibri" w:cs="Arial"/>
          <w:lang w:val="fr-FR"/>
        </w:rPr>
        <w:t>e</w:t>
      </w:r>
      <w:r w:rsidR="00543465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verdicts indi</w:t>
      </w:r>
      <w:r w:rsidR="00543465" w:rsidRPr="005D2316">
        <w:rPr>
          <w:rFonts w:eastAsia="Calibri" w:cs="Arial"/>
          <w:lang w:val="fr-FR"/>
        </w:rPr>
        <w:t>qués par</w:t>
      </w:r>
      <w:r w:rsidRPr="005D2316">
        <w:rPr>
          <w:rFonts w:eastAsia="Calibri" w:cs="Arial"/>
          <w:lang w:val="fr-FR"/>
        </w:rPr>
        <w:t xml:space="preserve"> COYU, </w:t>
      </w:r>
      <w:r w:rsidR="00543465" w:rsidRPr="005D2316">
        <w:rPr>
          <w:rFonts w:eastAsia="Calibri" w:cs="Arial"/>
          <w:lang w:val="fr-FR"/>
        </w:rPr>
        <w:t>que ce soit l</w:t>
      </w:r>
      <w:r w:rsidR="0067269A" w:rsidRPr="005D2316">
        <w:rPr>
          <w:rFonts w:eastAsia="Calibri" w:cs="Arial"/>
          <w:lang w:val="fr-FR"/>
        </w:rPr>
        <w:t>’</w:t>
      </w:r>
      <w:r w:rsidR="00543465" w:rsidRPr="005D2316">
        <w:rPr>
          <w:rFonts w:eastAsia="Calibri" w:cs="Arial"/>
          <w:lang w:val="fr-FR"/>
        </w:rPr>
        <w:t xml:space="preserve">ancienne ou la nouvelle méthode, ne devraient pas être </w:t>
      </w:r>
      <w:r w:rsidRPr="005D2316">
        <w:rPr>
          <w:rFonts w:eastAsia="Calibri" w:cs="Arial"/>
          <w:lang w:val="fr-FR"/>
        </w:rPr>
        <w:t>automati</w:t>
      </w:r>
      <w:r w:rsidR="00543465" w:rsidRPr="005D2316">
        <w:rPr>
          <w:rFonts w:eastAsia="Calibri" w:cs="Arial"/>
          <w:lang w:val="fr-FR"/>
        </w:rPr>
        <w:t xml:space="preserve">quement </w:t>
      </w:r>
      <w:r w:rsidRPr="005D2316">
        <w:rPr>
          <w:rFonts w:eastAsia="Calibri" w:cs="Arial"/>
          <w:lang w:val="fr-FR"/>
        </w:rPr>
        <w:t>accept</w:t>
      </w:r>
      <w:r w:rsidR="001A0B67" w:rsidRPr="005D2316">
        <w:rPr>
          <w:rFonts w:eastAsia="Calibri" w:cs="Arial"/>
          <w:lang w:val="fr-FR"/>
        </w:rPr>
        <w:t>és.  En</w:t>
      </w:r>
      <w:r w:rsidR="00543465" w:rsidRPr="005D2316">
        <w:rPr>
          <w:rFonts w:eastAsia="Calibri" w:cs="Arial"/>
          <w:lang w:val="fr-FR"/>
        </w:rPr>
        <w:t xml:space="preserve"> fait, les </w:t>
      </w:r>
      <w:r w:rsidRPr="005D2316">
        <w:rPr>
          <w:rFonts w:eastAsia="Calibri" w:cs="Arial"/>
          <w:lang w:val="fr-FR"/>
        </w:rPr>
        <w:t>d</w:t>
      </w:r>
      <w:r w:rsidR="00543465" w:rsidRPr="005D2316">
        <w:rPr>
          <w:rFonts w:eastAsia="Calibri" w:cs="Arial"/>
          <w:lang w:val="fr-FR"/>
        </w:rPr>
        <w:t>é</w:t>
      </w:r>
      <w:r w:rsidRPr="005D2316">
        <w:rPr>
          <w:rFonts w:eastAsia="Calibri" w:cs="Arial"/>
          <w:lang w:val="fr-FR"/>
        </w:rPr>
        <w:t xml:space="preserve">cisions </w:t>
      </w:r>
      <w:r w:rsidR="00543465" w:rsidRPr="005D2316">
        <w:rPr>
          <w:rFonts w:eastAsia="Calibri" w:cs="Arial"/>
          <w:lang w:val="fr-FR"/>
        </w:rPr>
        <w:t>relatives aux 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m</w:t>
      </w:r>
      <w:r w:rsidR="00543465" w:rsidRPr="005D2316">
        <w:rPr>
          <w:rFonts w:eastAsia="Calibri" w:cs="Arial"/>
          <w:lang w:val="fr-FR"/>
        </w:rPr>
        <w:t>é</w:t>
      </w:r>
      <w:r w:rsidRPr="005D2316">
        <w:rPr>
          <w:rFonts w:eastAsia="Calibri" w:cs="Arial"/>
          <w:lang w:val="fr-FR"/>
        </w:rPr>
        <w:t>thod</w:t>
      </w:r>
      <w:r w:rsidR="00543465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s </w:t>
      </w:r>
      <w:r w:rsidR="00543465" w:rsidRPr="005D2316">
        <w:rPr>
          <w:rFonts w:eastAsia="Calibri" w:cs="Arial"/>
          <w:lang w:val="fr-FR"/>
        </w:rPr>
        <w:t>peuvent nettement varier lorsqu</w:t>
      </w:r>
      <w:r w:rsidR="0067269A" w:rsidRPr="005D2316">
        <w:rPr>
          <w:rFonts w:eastAsia="Calibri" w:cs="Arial"/>
          <w:lang w:val="fr-FR"/>
        </w:rPr>
        <w:t>’</w:t>
      </w:r>
      <w:r w:rsidR="00543465" w:rsidRPr="005D2316">
        <w:rPr>
          <w:rFonts w:eastAsia="Calibri" w:cs="Arial"/>
          <w:lang w:val="fr-FR"/>
        </w:rPr>
        <w:t xml:space="preserve">il y a </w:t>
      </w:r>
      <w:r w:rsidRPr="005D2316">
        <w:rPr>
          <w:rFonts w:eastAsia="Calibri" w:cs="Arial"/>
          <w:lang w:val="fr-FR"/>
        </w:rPr>
        <w:t>extrapolation.</w:t>
      </w:r>
    </w:p>
    <w:p w14:paraId="6A97013B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3E171744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6E45596" w14:textId="769B469B" w:rsidR="00A16EC8" w:rsidRPr="00887C0B" w:rsidRDefault="00CE74EA" w:rsidP="00887C0B">
      <w:pPr>
        <w:pStyle w:val="Heading1"/>
      </w:pPr>
      <w:bookmarkStart w:id="27" w:name="_Toc117002604"/>
      <w:r w:rsidRPr="00887C0B">
        <w:t>P</w:t>
      </w:r>
      <w:r w:rsidR="00AA13EF" w:rsidRPr="00887C0B">
        <w:t>erformances de l</w:t>
      </w:r>
      <w:r w:rsidR="0067269A" w:rsidRPr="00887C0B">
        <w:t>’</w:t>
      </w:r>
      <w:r w:rsidR="00AA13EF" w:rsidRPr="00887C0B">
        <w:t xml:space="preserve">ancienne et de la nouvelle méthode </w:t>
      </w:r>
      <w:r w:rsidR="00A16EC8" w:rsidRPr="00887C0B">
        <w:t xml:space="preserve">COYU </w:t>
      </w:r>
      <w:r w:rsidR="00AA13EF" w:rsidRPr="00887C0B">
        <w:t>en termes d</w:t>
      </w:r>
      <w:r w:rsidR="0067269A" w:rsidRPr="00887C0B">
        <w:t>’</w:t>
      </w:r>
      <w:r w:rsidR="00A16EC8" w:rsidRPr="00887C0B">
        <w:t>extrapolation</w:t>
      </w:r>
      <w:bookmarkEnd w:id="27"/>
    </w:p>
    <w:p w14:paraId="50B412B7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2425235" w14:textId="2A64581A" w:rsidR="0067269A" w:rsidRPr="005D2316" w:rsidRDefault="00AA13EF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ancienne et la nouvelle méthode </w:t>
      </w:r>
      <w:r w:rsidR="00A16EC8" w:rsidRPr="005D2316">
        <w:rPr>
          <w:rFonts w:eastAsia="Calibri" w:cs="Arial"/>
          <w:lang w:val="fr-FR"/>
        </w:rPr>
        <w:t>COYU diff</w:t>
      </w:r>
      <w:r w:rsidRPr="005D2316">
        <w:rPr>
          <w:rFonts w:eastAsia="Calibri" w:cs="Arial"/>
          <w:lang w:val="fr-FR"/>
        </w:rPr>
        <w:t xml:space="preserve">èrent quant au modèle </w:t>
      </w:r>
      <w:r w:rsidR="00A16EC8" w:rsidRPr="005D2316">
        <w:rPr>
          <w:rFonts w:eastAsia="Calibri" w:cs="Arial"/>
          <w:lang w:val="fr-FR"/>
        </w:rPr>
        <w:t>statisti</w:t>
      </w:r>
      <w:r w:rsidRPr="005D2316">
        <w:rPr>
          <w:rFonts w:eastAsia="Calibri" w:cs="Arial"/>
          <w:lang w:val="fr-FR"/>
        </w:rPr>
        <w:t>que utilisé pour établir la relation entre variabilité et score moy</w:t>
      </w:r>
      <w:r w:rsidR="001A0B67" w:rsidRPr="005D2316">
        <w:rPr>
          <w:rFonts w:eastAsia="Calibri" w:cs="Arial"/>
          <w:lang w:val="fr-FR"/>
        </w:rPr>
        <w:t>en.  L’a</w:t>
      </w:r>
      <w:r w:rsidRPr="005D2316">
        <w:rPr>
          <w:rFonts w:eastAsia="Calibri" w:cs="Arial"/>
          <w:lang w:val="fr-FR"/>
        </w:rPr>
        <w:t>ncie</w:t>
      </w:r>
      <w:r w:rsidR="00213117" w:rsidRPr="005D2316">
        <w:rPr>
          <w:rFonts w:eastAsia="Calibri" w:cs="Arial"/>
          <w:lang w:val="fr-FR"/>
        </w:rPr>
        <w:t>n</w:t>
      </w:r>
      <w:r w:rsidRPr="005D2316">
        <w:rPr>
          <w:rFonts w:eastAsia="Calibri" w:cs="Arial"/>
          <w:lang w:val="fr-FR"/>
        </w:rPr>
        <w:t xml:space="preserve">ne </w:t>
      </w:r>
      <w:r w:rsidR="00A16EC8" w:rsidRPr="005D2316">
        <w:rPr>
          <w:rFonts w:eastAsia="Calibri" w:cs="Arial"/>
          <w:lang w:val="fr-FR"/>
        </w:rPr>
        <w:t>m</w:t>
      </w:r>
      <w:r w:rsidR="00213117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thod</w:t>
      </w:r>
      <w:r w:rsidR="00213117" w:rsidRPr="005D2316">
        <w:rPr>
          <w:rFonts w:eastAsia="Calibri" w:cs="Arial"/>
          <w:lang w:val="fr-FR"/>
        </w:rPr>
        <w:t>e utilise les moyennes mobiles tandis que la nouvelle mé</w:t>
      </w:r>
      <w:r w:rsidR="00A16EC8" w:rsidRPr="005D2316">
        <w:rPr>
          <w:rFonts w:eastAsia="Calibri" w:cs="Arial"/>
          <w:lang w:val="fr-FR"/>
        </w:rPr>
        <w:t>thod</w:t>
      </w:r>
      <w:r w:rsidR="00213117" w:rsidRPr="005D2316">
        <w:rPr>
          <w:rFonts w:eastAsia="Calibri" w:cs="Arial"/>
          <w:lang w:val="fr-FR"/>
        </w:rPr>
        <w:t>e utilise l</w:t>
      </w:r>
      <w:r w:rsidR="00A16EC8" w:rsidRPr="005D2316">
        <w:rPr>
          <w:rFonts w:eastAsia="Calibri" w:cs="Arial"/>
          <w:lang w:val="fr-FR"/>
        </w:rPr>
        <w:t xml:space="preserve">es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>.</w:t>
      </w:r>
    </w:p>
    <w:p w14:paraId="2F0A1421" w14:textId="5E021DE9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30B2F095" w14:textId="30F8283B" w:rsidR="00A16EC8" w:rsidRPr="005D2316" w:rsidRDefault="00213117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Ce fait a des ré</w:t>
      </w:r>
      <w:r w:rsidR="00A16EC8" w:rsidRPr="005D2316">
        <w:rPr>
          <w:rFonts w:eastAsia="Calibri" w:cs="Arial"/>
          <w:lang w:val="fr-FR"/>
        </w:rPr>
        <w:t xml:space="preserve">percussions </w:t>
      </w:r>
      <w:r w:rsidRPr="005D2316">
        <w:rPr>
          <w:rFonts w:eastAsia="Calibri" w:cs="Arial"/>
          <w:lang w:val="fr-FR"/>
        </w:rPr>
        <w:t>en cas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extrapolation</w:t>
      </w:r>
      <w:r w:rsidRPr="005D2316">
        <w:rPr>
          <w:rFonts w:eastAsia="Calibri" w:cs="Arial"/>
          <w:lang w:val="fr-FR"/>
        </w:rPr>
        <w:t xml:space="preserve">, </w:t>
      </w:r>
      <w:r w:rsidR="0067269A" w:rsidRPr="005D2316">
        <w:rPr>
          <w:rFonts w:eastAsia="Calibri" w:cs="Arial"/>
          <w:lang w:val="fr-FR"/>
        </w:rPr>
        <w:t>à savoir :</w:t>
      </w:r>
    </w:p>
    <w:p w14:paraId="5BC45F9D" w14:textId="5B4435FB" w:rsidR="00A16EC8" w:rsidRPr="005D2316" w:rsidRDefault="00213117" w:rsidP="009215AE">
      <w:pPr>
        <w:numPr>
          <w:ilvl w:val="1"/>
          <w:numId w:val="2"/>
        </w:numPr>
        <w:ind w:left="1134" w:hanging="567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En dehors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amplitude des variétés de</w:t>
      </w:r>
      <w:r w:rsidR="00A16EC8" w:rsidRPr="005D2316">
        <w:rPr>
          <w:rFonts w:eastAsia="Calibri" w:cs="Arial"/>
          <w:lang w:val="fr-FR"/>
        </w:rPr>
        <w:t xml:space="preserve"> r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rence, </w:t>
      </w:r>
      <w:r w:rsidRPr="005D2316">
        <w:rPr>
          <w:rFonts w:eastAsia="Calibri" w:cs="Arial"/>
          <w:lang w:val="fr-FR"/>
        </w:rPr>
        <w:t xml:space="preserve">la </w:t>
      </w:r>
      <w:r w:rsidR="00A16EC8" w:rsidRPr="005D2316">
        <w:rPr>
          <w:rFonts w:eastAsia="Calibri" w:cs="Arial"/>
          <w:lang w:val="fr-FR"/>
        </w:rPr>
        <w:t>li</w:t>
      </w:r>
      <w:r w:rsidRPr="005D2316">
        <w:rPr>
          <w:rFonts w:eastAsia="Calibri" w:cs="Arial"/>
          <w:lang w:val="fr-FR"/>
        </w:rPr>
        <w:t>g</w:t>
      </w:r>
      <w:r w:rsidR="00A16EC8" w:rsidRPr="005D2316">
        <w:rPr>
          <w:rFonts w:eastAsia="Calibri" w:cs="Arial"/>
          <w:lang w:val="fr-FR"/>
        </w:rPr>
        <w:t xml:space="preserve">ne </w:t>
      </w:r>
      <w:r w:rsidRPr="005D2316">
        <w:rPr>
          <w:rFonts w:eastAsia="Calibri" w:cs="Arial"/>
          <w:lang w:val="fr-FR"/>
        </w:rPr>
        <w:t xml:space="preserve">est </w:t>
      </w:r>
      <w:r w:rsidR="00A16EC8" w:rsidRPr="005D2316">
        <w:rPr>
          <w:rFonts w:eastAsia="Calibri" w:cs="Arial"/>
          <w:lang w:val="fr-FR"/>
        </w:rPr>
        <w:t>horizontal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pour les moyennes mobiles</w:t>
      </w:r>
      <w:r w:rsidR="00A16EC8" w:rsidRPr="005D2316">
        <w:rPr>
          <w:rFonts w:eastAsia="Calibri" w:cs="Arial"/>
          <w:lang w:val="fr-FR"/>
        </w:rPr>
        <w:t xml:space="preserve"> (</w:t>
      </w:r>
      <w:r w:rsidRPr="005D2316">
        <w:rPr>
          <w:rFonts w:eastAsia="Calibri" w:cs="Arial"/>
          <w:lang w:val="fr-FR"/>
        </w:rPr>
        <w:t xml:space="preserve">qui suivent la </w:t>
      </w:r>
      <w:r w:rsidR="009A2233" w:rsidRPr="005D2316">
        <w:rPr>
          <w:rFonts w:eastAsia="Calibri" w:cs="Arial"/>
          <w:lang w:val="fr-FR"/>
        </w:rPr>
        <w:t xml:space="preserve">ligne de </w:t>
      </w:r>
      <w:r w:rsidRPr="005D2316">
        <w:rPr>
          <w:rFonts w:eastAsia="Calibri" w:cs="Arial"/>
          <w:lang w:val="fr-FR"/>
        </w:rPr>
        <w:t>tendance des variétés externe</w:t>
      </w:r>
      <w:r w:rsidR="00A16EC8" w:rsidRPr="005D2316">
        <w:rPr>
          <w:rFonts w:eastAsia="Calibri" w:cs="Arial"/>
          <w:lang w:val="fr-FR"/>
        </w:rPr>
        <w:t>s)</w:t>
      </w:r>
      <w:r w:rsidRPr="005D2316">
        <w:rPr>
          <w:rFonts w:eastAsia="Calibri" w:cs="Arial"/>
          <w:lang w:val="fr-FR"/>
        </w:rPr>
        <w:t xml:space="preserve"> et</w:t>
      </w:r>
      <w:r w:rsidR="0031006F" w:rsidRPr="005D2316">
        <w:rPr>
          <w:rFonts w:eastAsia="Calibri" w:cs="Arial"/>
          <w:lang w:val="fr-FR"/>
        </w:rPr>
        <w:t>,</w:t>
      </w:r>
      <w:r w:rsidR="0031006F" w:rsidRPr="005D2316">
        <w:rPr>
          <w:lang w:val="fr-FR"/>
        </w:rPr>
        <w:t xml:space="preserve"> </w:t>
      </w:r>
      <w:r w:rsidR="0031006F" w:rsidRPr="005D2316">
        <w:rPr>
          <w:rFonts w:eastAsia="Calibri" w:cs="Arial"/>
          <w:lang w:val="fr-FR"/>
        </w:rPr>
        <w:t xml:space="preserve">pour les </w:t>
      </w:r>
      <w:proofErr w:type="spellStart"/>
      <w:r w:rsidR="0031006F" w:rsidRPr="005D2316">
        <w:rPr>
          <w:rFonts w:eastAsia="Calibri" w:cs="Arial"/>
          <w:lang w:val="fr-FR"/>
        </w:rPr>
        <w:t>splines</w:t>
      </w:r>
      <w:proofErr w:type="spellEnd"/>
      <w:r w:rsidR="0031006F" w:rsidRPr="005D2316">
        <w:rPr>
          <w:rFonts w:eastAsia="Calibri" w:cs="Arial"/>
          <w:lang w:val="fr-FR"/>
        </w:rPr>
        <w:t>,</w:t>
      </w:r>
      <w:r w:rsidR="00A16EC8" w:rsidRPr="005D2316">
        <w:rPr>
          <w:rFonts w:eastAsia="Calibri" w:cs="Arial"/>
          <w:lang w:val="fr-FR"/>
        </w:rPr>
        <w:t xml:space="preserve"> lin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a</w:t>
      </w:r>
      <w:r w:rsidRPr="005D2316">
        <w:rPr>
          <w:rFonts w:eastAsia="Calibri" w:cs="Arial"/>
          <w:lang w:val="fr-FR"/>
        </w:rPr>
        <w:t xml:space="preserve">ire mais pas nécessairement </w:t>
      </w:r>
      <w:r w:rsidR="00A16EC8" w:rsidRPr="005D2316">
        <w:rPr>
          <w:rFonts w:eastAsia="Calibri" w:cs="Arial"/>
          <w:lang w:val="fr-FR"/>
        </w:rPr>
        <w:t>horizonta</w:t>
      </w:r>
      <w:r w:rsidR="001A0B67" w:rsidRPr="005D2316">
        <w:rPr>
          <w:rFonts w:eastAsia="Calibri" w:cs="Arial"/>
          <w:lang w:val="fr-FR"/>
        </w:rPr>
        <w:t>le.  Vo</w:t>
      </w:r>
      <w:r w:rsidRPr="005D2316">
        <w:rPr>
          <w:rFonts w:eastAsia="Calibri" w:cs="Arial"/>
          <w:lang w:val="fr-FR"/>
        </w:rPr>
        <w:t>ir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</w:t>
      </w:r>
      <w:r w:rsidR="00A16EC8" w:rsidRPr="005D2316">
        <w:rPr>
          <w:rFonts w:eastAsia="Calibri" w:cs="Arial"/>
          <w:lang w:val="fr-FR"/>
        </w:rPr>
        <w:t>llustra</w:t>
      </w:r>
      <w:r w:rsidRPr="005D2316">
        <w:rPr>
          <w:rFonts w:eastAsia="Calibri" w:cs="Arial"/>
          <w:lang w:val="fr-FR"/>
        </w:rPr>
        <w:t xml:space="preserve">tion à la </w:t>
      </w:r>
      <w:r w:rsidR="0031006F" w:rsidRPr="005D2316">
        <w:rPr>
          <w:rFonts w:eastAsia="Calibri" w:cs="Arial"/>
          <w:lang w:val="fr-FR"/>
        </w:rPr>
        <w:t>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>2.</w:t>
      </w:r>
    </w:p>
    <w:p w14:paraId="179501EC" w14:textId="62D7C655" w:rsidR="00A16EC8" w:rsidRPr="005D2316" w:rsidRDefault="00213117" w:rsidP="009215AE">
      <w:pPr>
        <w:numPr>
          <w:ilvl w:val="1"/>
          <w:numId w:val="2"/>
        </w:numPr>
        <w:ind w:left="1134" w:hanging="567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Concernant la ligne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ajustement</w:t>
      </w:r>
      <w:r w:rsidR="00A16EC8" w:rsidRPr="005D2316">
        <w:rPr>
          <w:rFonts w:eastAsia="Calibri" w:cs="Arial"/>
          <w:lang w:val="fr-FR"/>
        </w:rPr>
        <w:t xml:space="preserve">, </w:t>
      </w:r>
      <w:r w:rsidR="00B31548"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="00B31548" w:rsidRPr="005D2316">
        <w:rPr>
          <w:rFonts w:eastAsia="Calibri" w:cs="Arial"/>
          <w:lang w:val="fr-FR"/>
        </w:rPr>
        <w:t>incertitude utilisée pour produire l</w:t>
      </w:r>
      <w:r w:rsidR="00A16EC8" w:rsidRPr="005D2316">
        <w:rPr>
          <w:rFonts w:eastAsia="Calibri" w:cs="Arial"/>
          <w:lang w:val="fr-FR"/>
        </w:rPr>
        <w:t xml:space="preserve">e </w:t>
      </w:r>
      <w:r w:rsidR="00B31548" w:rsidRPr="005D2316">
        <w:rPr>
          <w:rFonts w:eastAsia="Calibri" w:cs="Arial"/>
          <w:lang w:val="fr-FR"/>
        </w:rPr>
        <w:t xml:space="preserve">seuil </w:t>
      </w:r>
      <w:r w:rsidR="00A16EC8" w:rsidRPr="005D2316">
        <w:rPr>
          <w:rFonts w:eastAsia="Calibri" w:cs="Arial"/>
          <w:lang w:val="fr-FR"/>
        </w:rPr>
        <w:t xml:space="preserve">COYU </w:t>
      </w:r>
      <w:r w:rsidR="00B31548" w:rsidRPr="005D2316">
        <w:rPr>
          <w:rFonts w:eastAsia="Calibri" w:cs="Arial"/>
          <w:lang w:val="fr-FR"/>
        </w:rPr>
        <w:t>est</w:t>
      </w:r>
      <w:r w:rsidR="00A16EC8" w:rsidRPr="005D2316">
        <w:rPr>
          <w:rFonts w:eastAsia="Calibri" w:cs="Arial"/>
          <w:lang w:val="fr-FR"/>
        </w:rPr>
        <w:t xml:space="preserve"> </w:t>
      </w:r>
      <w:r w:rsidR="00B31548" w:rsidRPr="005D2316">
        <w:rPr>
          <w:rFonts w:eastAsia="Calibri" w:cs="Arial"/>
          <w:lang w:val="fr-FR"/>
        </w:rPr>
        <w:t>i</w:t>
      </w:r>
      <w:r w:rsidR="00A16EC8" w:rsidRPr="005D2316">
        <w:rPr>
          <w:rFonts w:eastAsia="Calibri" w:cs="Arial"/>
          <w:lang w:val="fr-FR"/>
        </w:rPr>
        <w:t>nd</w:t>
      </w:r>
      <w:r w:rsidR="00B31548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termin</w:t>
      </w:r>
      <w:r w:rsidR="00B31548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e, </w:t>
      </w:r>
      <w:r w:rsidR="00B31548" w:rsidRPr="005D2316">
        <w:rPr>
          <w:rFonts w:eastAsia="Calibri" w:cs="Arial"/>
          <w:lang w:val="fr-FR"/>
        </w:rPr>
        <w:t xml:space="preserve">et la </w:t>
      </w:r>
      <w:r w:rsidR="00A16EC8" w:rsidRPr="005D2316">
        <w:rPr>
          <w:rFonts w:eastAsia="Calibri" w:cs="Arial"/>
          <w:lang w:val="fr-FR"/>
        </w:rPr>
        <w:t>constant</w:t>
      </w:r>
      <w:r w:rsidR="00B31548"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="00B31548" w:rsidRPr="005D2316">
        <w:rPr>
          <w:rFonts w:eastAsia="Calibri" w:cs="Arial"/>
          <w:lang w:val="fr-FR"/>
        </w:rPr>
        <w:t>COYU est présumée avec des moyennes mobiles en dehors de l</w:t>
      </w:r>
      <w:r w:rsidR="0067269A" w:rsidRPr="005D2316">
        <w:rPr>
          <w:rFonts w:eastAsia="Calibri" w:cs="Arial"/>
          <w:lang w:val="fr-FR"/>
        </w:rPr>
        <w:t>’</w:t>
      </w:r>
      <w:r w:rsidR="00B31548" w:rsidRPr="005D2316">
        <w:rPr>
          <w:rFonts w:eastAsia="Calibri" w:cs="Arial"/>
          <w:lang w:val="fr-FR"/>
        </w:rPr>
        <w:t xml:space="preserve">amplitude des variétés de </w:t>
      </w:r>
      <w:r w:rsidR="00A16EC8" w:rsidRPr="005D2316">
        <w:rPr>
          <w:rFonts w:eastAsia="Calibri" w:cs="Arial"/>
          <w:lang w:val="fr-FR"/>
        </w:rPr>
        <w:t>r</w:t>
      </w:r>
      <w:r w:rsidR="00B31548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="00B31548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rence, </w:t>
      </w:r>
      <w:r w:rsidR="00B31548" w:rsidRPr="005D2316">
        <w:rPr>
          <w:rFonts w:eastAsia="Calibri" w:cs="Arial"/>
          <w:lang w:val="fr-FR"/>
        </w:rPr>
        <w:t xml:space="preserve">augmentant toutefois lorsque la nouvelle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="00B31548" w:rsidRPr="005D2316">
        <w:rPr>
          <w:rFonts w:eastAsia="Calibri" w:cs="Arial"/>
          <w:lang w:val="fr-FR"/>
        </w:rPr>
        <w:t xml:space="preserve">est utilisée à un niveau plus éloigné des variétés de </w:t>
      </w:r>
      <w:r w:rsidR="00A16EC8" w:rsidRPr="005D2316">
        <w:rPr>
          <w:rFonts w:eastAsia="Calibri" w:cs="Arial"/>
          <w:lang w:val="fr-FR"/>
        </w:rPr>
        <w:t>r</w:t>
      </w:r>
      <w:r w:rsidR="00B31548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="00B31548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ren</w:t>
      </w:r>
      <w:r w:rsidR="001A0B67" w:rsidRPr="005D2316">
        <w:rPr>
          <w:rFonts w:eastAsia="Calibri" w:cs="Arial"/>
          <w:lang w:val="fr-FR"/>
        </w:rPr>
        <w:t>ce.  Vo</w:t>
      </w:r>
      <w:r w:rsidRPr="005D2316">
        <w:rPr>
          <w:rFonts w:eastAsia="Calibri" w:cs="Arial"/>
          <w:lang w:val="fr-FR"/>
        </w:rPr>
        <w:t>ir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illustration à la </w:t>
      </w:r>
      <w:r w:rsidR="0031006F" w:rsidRPr="005D2316">
        <w:rPr>
          <w:rFonts w:eastAsia="Calibri" w:cs="Arial"/>
          <w:lang w:val="fr-FR"/>
        </w:rPr>
        <w:t>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>3.</w:t>
      </w:r>
    </w:p>
    <w:p w14:paraId="6663B5E7" w14:textId="77777777" w:rsidR="00A16EC8" w:rsidRPr="005D2316" w:rsidRDefault="00A16EC8" w:rsidP="00A16EC8">
      <w:pPr>
        <w:rPr>
          <w:rFonts w:ascii="Calibri" w:eastAsia="Calibri" w:hAnsi="Calibri"/>
          <w:sz w:val="22"/>
          <w:szCs w:val="22"/>
          <w:highlight w:val="yellow"/>
          <w:lang w:val="fr-FR"/>
        </w:rPr>
      </w:pPr>
      <w:r w:rsidRPr="005D2316">
        <w:rPr>
          <w:rFonts w:ascii="Calibri" w:eastAsia="Calibri" w:hAnsi="Calibri"/>
          <w:noProof/>
          <w:sz w:val="22"/>
          <w:szCs w:val="22"/>
          <w:lang w:eastAsia="ja-JP"/>
        </w:rPr>
        <w:drawing>
          <wp:inline distT="0" distB="0" distL="0" distR="0" wp14:anchorId="6C691A19" wp14:editId="3CBEE2AF">
            <wp:extent cx="3134854" cy="2597233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fig2.wmf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60" r="24381" b="34089"/>
                    <a:stretch/>
                  </pic:blipFill>
                  <pic:spPr bwMode="auto">
                    <a:xfrm>
                      <a:off x="0" y="0"/>
                      <a:ext cx="3135782" cy="25980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A465049" w14:textId="651378B3" w:rsidR="00A16EC8" w:rsidRPr="005D2316" w:rsidRDefault="00A16EC8" w:rsidP="00A16EC8">
      <w:pPr>
        <w:rPr>
          <w:rFonts w:eastAsia="Calibri" w:cs="Arial"/>
          <w:i/>
          <w:sz w:val="18"/>
          <w:lang w:val="fr-FR"/>
        </w:rPr>
      </w:pPr>
      <w:r w:rsidRPr="005D2316">
        <w:rPr>
          <w:rFonts w:eastAsia="Calibri" w:cs="Arial"/>
          <w:b/>
          <w:sz w:val="18"/>
          <w:lang w:val="fr-FR"/>
        </w:rPr>
        <w:t>Figure</w:t>
      </w:r>
      <w:r w:rsidR="00A2333E" w:rsidRPr="005D2316">
        <w:rPr>
          <w:rFonts w:eastAsia="Calibri" w:cs="Arial"/>
          <w:b/>
          <w:sz w:val="18"/>
          <w:lang w:val="fr-FR"/>
        </w:rPr>
        <w:t> </w:t>
      </w:r>
      <w:r w:rsidRPr="005D2316">
        <w:rPr>
          <w:rFonts w:eastAsia="Calibri" w:cs="Arial"/>
          <w:b/>
          <w:sz w:val="18"/>
          <w:lang w:val="fr-FR"/>
        </w:rPr>
        <w:t>2</w:t>
      </w:r>
      <w:r w:rsidR="0067269A" w:rsidRPr="005D2316">
        <w:rPr>
          <w:rFonts w:eastAsia="Calibri" w:cs="Arial"/>
          <w:b/>
          <w:sz w:val="18"/>
          <w:lang w:val="fr-FR"/>
        </w:rPr>
        <w:t> :</w:t>
      </w:r>
      <w:r w:rsidRPr="005D2316">
        <w:rPr>
          <w:rFonts w:eastAsia="Calibri" w:cs="Arial"/>
          <w:sz w:val="18"/>
          <w:lang w:val="fr-FR"/>
        </w:rPr>
        <w:t xml:space="preserve"> </w:t>
      </w:r>
      <w:r w:rsidR="00B31548" w:rsidRPr="005D2316">
        <w:rPr>
          <w:rFonts w:eastAsia="Calibri" w:cs="Arial"/>
          <w:i/>
          <w:sz w:val="18"/>
          <w:lang w:val="fr-FR"/>
        </w:rPr>
        <w:t>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B31548" w:rsidRPr="005D2316">
        <w:rPr>
          <w:rFonts w:eastAsia="Calibri" w:cs="Arial"/>
          <w:i/>
          <w:sz w:val="18"/>
          <w:lang w:val="fr-FR"/>
        </w:rPr>
        <w:t>e</w:t>
      </w:r>
      <w:r w:rsidRPr="005D2316">
        <w:rPr>
          <w:rFonts w:eastAsia="Calibri" w:cs="Arial"/>
          <w:i/>
          <w:sz w:val="18"/>
          <w:lang w:val="fr-FR"/>
        </w:rPr>
        <w:t>x</w:t>
      </w:r>
      <w:r w:rsidR="00B31548" w:rsidRPr="005D2316">
        <w:rPr>
          <w:rFonts w:eastAsia="Calibri" w:cs="Arial"/>
          <w:i/>
          <w:sz w:val="18"/>
          <w:lang w:val="fr-FR"/>
        </w:rPr>
        <w:t>e</w:t>
      </w:r>
      <w:r w:rsidRPr="005D2316">
        <w:rPr>
          <w:rFonts w:eastAsia="Calibri" w:cs="Arial"/>
          <w:i/>
          <w:sz w:val="18"/>
          <w:lang w:val="fr-FR"/>
        </w:rPr>
        <w:t xml:space="preserve">mple </w:t>
      </w:r>
      <w:r w:rsidR="00B31548" w:rsidRPr="005D2316">
        <w:rPr>
          <w:rFonts w:eastAsia="Calibri" w:cs="Arial"/>
          <w:i/>
          <w:sz w:val="18"/>
          <w:lang w:val="fr-FR"/>
        </w:rPr>
        <w:t xml:space="preserve">de la </w:t>
      </w:r>
      <w:r w:rsidR="0031006F" w:rsidRPr="005D2316">
        <w:rPr>
          <w:rFonts w:eastAsia="Calibri" w:cs="Arial"/>
          <w:i/>
          <w:sz w:val="18"/>
          <w:lang w:val="fr-FR"/>
        </w:rPr>
        <w:t>f</w:t>
      </w:r>
      <w:r w:rsidRPr="005D2316">
        <w:rPr>
          <w:rFonts w:eastAsia="Calibri" w:cs="Arial"/>
          <w:i/>
          <w:sz w:val="18"/>
          <w:lang w:val="fr-FR"/>
        </w:rPr>
        <w:t>igure</w:t>
      </w:r>
      <w:r w:rsidR="00A2333E" w:rsidRPr="005D2316">
        <w:rPr>
          <w:rFonts w:eastAsia="Calibri" w:cs="Arial"/>
          <w:i/>
          <w:sz w:val="18"/>
          <w:lang w:val="fr-FR"/>
        </w:rPr>
        <w:t> </w:t>
      </w:r>
      <w:r w:rsidRPr="005D2316">
        <w:rPr>
          <w:rFonts w:eastAsia="Calibri" w:cs="Arial"/>
          <w:i/>
          <w:sz w:val="18"/>
          <w:lang w:val="fr-FR"/>
        </w:rPr>
        <w:t xml:space="preserve">1 </w:t>
      </w:r>
      <w:r w:rsidR="00B31548" w:rsidRPr="005D2316">
        <w:rPr>
          <w:rFonts w:eastAsia="Calibri" w:cs="Arial"/>
          <w:i/>
          <w:sz w:val="18"/>
          <w:lang w:val="fr-FR"/>
        </w:rPr>
        <w:t xml:space="preserve">est repris pour montrer </w:t>
      </w:r>
      <w:r w:rsidR="00942A44" w:rsidRPr="005D2316">
        <w:rPr>
          <w:rFonts w:eastAsia="Calibri" w:cs="Arial"/>
          <w:i/>
          <w:sz w:val="18"/>
          <w:lang w:val="fr-FR"/>
        </w:rPr>
        <w:t>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lang w:val="fr-FR"/>
        </w:rPr>
        <w:t xml:space="preserve">écart entre </w:t>
      </w:r>
      <w:r w:rsidR="00B31548" w:rsidRPr="005D2316">
        <w:rPr>
          <w:rFonts w:eastAsia="Calibri" w:cs="Arial"/>
          <w:i/>
          <w:sz w:val="18"/>
          <w:lang w:val="fr-FR"/>
        </w:rPr>
        <w:t xml:space="preserve">la moyenne mobile et la </w:t>
      </w:r>
      <w:r w:rsidR="009A2233" w:rsidRPr="005D2316">
        <w:rPr>
          <w:rFonts w:eastAsia="Calibri" w:cs="Arial"/>
          <w:i/>
          <w:sz w:val="18"/>
          <w:lang w:val="fr-FR"/>
        </w:rPr>
        <w:t xml:space="preserve">ligne de </w:t>
      </w:r>
      <w:r w:rsidR="00B31548" w:rsidRPr="005D2316">
        <w:rPr>
          <w:rFonts w:eastAsia="Calibri" w:cs="Arial"/>
          <w:i/>
          <w:sz w:val="18"/>
          <w:lang w:val="fr-FR"/>
        </w:rPr>
        <w:t xml:space="preserve">tendance des </w:t>
      </w:r>
      <w:proofErr w:type="spellStart"/>
      <w:r w:rsidR="00B31548" w:rsidRPr="005D2316">
        <w:rPr>
          <w:rFonts w:eastAsia="Calibri" w:cs="Arial"/>
          <w:i/>
          <w:sz w:val="18"/>
          <w:lang w:val="fr-FR"/>
        </w:rPr>
        <w:t>s</w:t>
      </w:r>
      <w:r w:rsidRPr="005D2316">
        <w:rPr>
          <w:rFonts w:eastAsia="Calibri" w:cs="Arial"/>
          <w:i/>
          <w:sz w:val="18"/>
          <w:lang w:val="fr-FR"/>
        </w:rPr>
        <w:t>pline</w:t>
      </w:r>
      <w:r w:rsidR="00B31548" w:rsidRPr="005D2316">
        <w:rPr>
          <w:rFonts w:eastAsia="Calibri" w:cs="Arial"/>
          <w:i/>
          <w:sz w:val="18"/>
          <w:lang w:val="fr-FR"/>
        </w:rPr>
        <w:t>s</w:t>
      </w:r>
      <w:proofErr w:type="spellEnd"/>
      <w:r w:rsidR="00B31548" w:rsidRPr="005D2316">
        <w:rPr>
          <w:rFonts w:eastAsia="Calibri" w:cs="Arial"/>
          <w:i/>
          <w:sz w:val="18"/>
          <w:lang w:val="fr-FR"/>
        </w:rPr>
        <w:t xml:space="preserve"> lorsqu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B31548" w:rsidRPr="005D2316">
        <w:rPr>
          <w:rFonts w:eastAsia="Calibri" w:cs="Arial"/>
          <w:i/>
          <w:sz w:val="18"/>
          <w:lang w:val="fr-FR"/>
        </w:rPr>
        <w:t xml:space="preserve">il y a </w:t>
      </w:r>
      <w:r w:rsidRPr="005D2316">
        <w:rPr>
          <w:rFonts w:eastAsia="Calibri" w:cs="Arial"/>
          <w:i/>
          <w:sz w:val="18"/>
          <w:lang w:val="fr-FR"/>
        </w:rPr>
        <w:t>extrapolat</w:t>
      </w:r>
      <w:r w:rsidR="00B31548" w:rsidRPr="005D2316">
        <w:rPr>
          <w:rFonts w:eastAsia="Calibri" w:cs="Arial"/>
          <w:i/>
          <w:sz w:val="18"/>
          <w:lang w:val="fr-FR"/>
        </w:rPr>
        <w:t>io</w:t>
      </w:r>
      <w:r w:rsidRPr="005D2316">
        <w:rPr>
          <w:rFonts w:eastAsia="Calibri" w:cs="Arial"/>
          <w:i/>
          <w:sz w:val="18"/>
          <w:lang w:val="fr-FR"/>
        </w:rPr>
        <w:t xml:space="preserve">n </w:t>
      </w:r>
      <w:r w:rsidR="00B31548" w:rsidRPr="005D2316">
        <w:rPr>
          <w:rFonts w:eastAsia="Calibri" w:cs="Arial"/>
          <w:i/>
          <w:sz w:val="18"/>
          <w:lang w:val="fr-FR"/>
        </w:rPr>
        <w:t>en dehors de 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B31548" w:rsidRPr="005D2316">
        <w:rPr>
          <w:rFonts w:eastAsia="Calibri" w:cs="Arial"/>
          <w:i/>
          <w:sz w:val="18"/>
          <w:lang w:val="fr-FR"/>
        </w:rPr>
        <w:t>amplitude</w:t>
      </w:r>
      <w:r w:rsidR="00983A65" w:rsidRPr="005D2316">
        <w:rPr>
          <w:rFonts w:eastAsia="Calibri" w:cs="Arial"/>
          <w:i/>
          <w:sz w:val="18"/>
          <w:lang w:val="fr-FR"/>
        </w:rPr>
        <w:t xml:space="preserve"> des variétés de</w:t>
      </w:r>
      <w:r w:rsidRPr="005D2316">
        <w:rPr>
          <w:rFonts w:eastAsia="Calibri" w:cs="Arial"/>
          <w:i/>
          <w:sz w:val="18"/>
          <w:lang w:val="fr-FR"/>
        </w:rPr>
        <w:t xml:space="preserve"> r</w:t>
      </w:r>
      <w:r w:rsidR="00983A65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f</w:t>
      </w:r>
      <w:r w:rsidR="00983A65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ren</w:t>
      </w:r>
      <w:r w:rsidR="001A0B67" w:rsidRPr="005D2316">
        <w:rPr>
          <w:rFonts w:eastAsia="Calibri" w:cs="Arial"/>
          <w:i/>
          <w:sz w:val="18"/>
          <w:lang w:val="fr-FR"/>
        </w:rPr>
        <w:t>ce.  Ce</w:t>
      </w:r>
      <w:r w:rsidR="00983A65" w:rsidRPr="005D2316">
        <w:rPr>
          <w:rFonts w:eastAsia="Calibri" w:cs="Arial"/>
          <w:i/>
          <w:sz w:val="18"/>
          <w:lang w:val="fr-FR"/>
        </w:rPr>
        <w:t>lles</w:t>
      </w:r>
      <w:r w:rsidR="0067269A" w:rsidRPr="005D2316">
        <w:rPr>
          <w:rFonts w:eastAsia="Calibri" w:cs="Arial"/>
          <w:i/>
          <w:sz w:val="18"/>
          <w:lang w:val="fr-FR"/>
        </w:rPr>
        <w:t>-</w:t>
      </w:r>
      <w:r w:rsidR="00983A65" w:rsidRPr="005D2316">
        <w:rPr>
          <w:rFonts w:eastAsia="Calibri" w:cs="Arial"/>
          <w:i/>
          <w:sz w:val="18"/>
          <w:lang w:val="fr-FR"/>
        </w:rPr>
        <w:t xml:space="preserve">ci sont </w:t>
      </w:r>
      <w:r w:rsidRPr="005D2316">
        <w:rPr>
          <w:rFonts w:eastAsia="Calibri" w:cs="Arial"/>
          <w:i/>
          <w:sz w:val="18"/>
          <w:lang w:val="fr-FR"/>
        </w:rPr>
        <w:t>repr</w:t>
      </w:r>
      <w:r w:rsidR="00983A65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sent</w:t>
      </w:r>
      <w:r w:rsidR="00983A65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e</w:t>
      </w:r>
      <w:r w:rsidR="00983A65" w:rsidRPr="005D2316">
        <w:rPr>
          <w:rFonts w:eastAsia="Calibri" w:cs="Arial"/>
          <w:i/>
          <w:sz w:val="18"/>
          <w:lang w:val="fr-FR"/>
        </w:rPr>
        <w:t>s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par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lang w:val="fr-FR"/>
        </w:rPr>
        <w:t>‘</w:t>
      </w:r>
      <w:r w:rsidRPr="005D2316">
        <w:rPr>
          <w:rFonts w:eastAsia="Calibri" w:cs="Arial"/>
          <w:i/>
          <w:sz w:val="18"/>
          <w:lang w:val="fr-FR"/>
        </w:rPr>
        <w:t>x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 xml:space="preserve">et les variétés </w:t>
      </w:r>
      <w:r w:rsidRPr="005D2316">
        <w:rPr>
          <w:rFonts w:eastAsia="Calibri" w:cs="Arial"/>
          <w:i/>
          <w:sz w:val="18"/>
          <w:lang w:val="fr-FR"/>
        </w:rPr>
        <w:t>candidate</w:t>
      </w:r>
      <w:r w:rsidR="00983A65" w:rsidRPr="005D2316">
        <w:rPr>
          <w:rFonts w:eastAsia="Calibri" w:cs="Arial"/>
          <w:i/>
          <w:sz w:val="18"/>
          <w:lang w:val="fr-FR"/>
        </w:rPr>
        <w:t>s, par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lang w:val="fr-FR"/>
        </w:rPr>
        <w:t>‘</w:t>
      </w:r>
      <w:r w:rsidRPr="005D2316">
        <w:rPr>
          <w:rFonts w:eastAsia="Calibri" w:cs="Arial"/>
          <w:i/>
          <w:sz w:val="18"/>
          <w:lang w:val="fr-FR"/>
        </w:rPr>
        <w:t>c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Pr="005D2316">
        <w:rPr>
          <w:rFonts w:eastAsia="Calibri" w:cs="Arial"/>
          <w:i/>
          <w:sz w:val="18"/>
          <w:lang w:val="fr-FR"/>
        </w:rPr>
        <w:t>.</w:t>
      </w:r>
      <w:r w:rsidR="00A2333E" w:rsidRPr="005D2316">
        <w:rPr>
          <w:rFonts w:eastAsia="Calibri" w:cs="Arial"/>
          <w:i/>
          <w:sz w:val="18"/>
          <w:lang w:val="fr-FR"/>
        </w:rPr>
        <w:t xml:space="preserve"> 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La ligne rouge en pointillé porte sur la méthode de la moyenne mobile et la ligne bleue, celle des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proofErr w:type="spellStart"/>
      <w:r w:rsidRPr="005D2316">
        <w:rPr>
          <w:rFonts w:eastAsia="Calibri" w:cs="Arial"/>
          <w:i/>
          <w:sz w:val="18"/>
          <w:lang w:val="fr-FR"/>
        </w:rPr>
        <w:t>spline</w:t>
      </w:r>
      <w:r w:rsidR="00983A65" w:rsidRPr="005D2316">
        <w:rPr>
          <w:rFonts w:eastAsia="Calibri" w:cs="Arial"/>
          <w:i/>
          <w:sz w:val="18"/>
          <w:lang w:val="fr-FR"/>
        </w:rPr>
        <w:t>s</w:t>
      </w:r>
      <w:proofErr w:type="spellEnd"/>
      <w:r w:rsidRPr="005D2316">
        <w:rPr>
          <w:rFonts w:eastAsia="Calibri" w:cs="Arial"/>
          <w:i/>
          <w:sz w:val="18"/>
          <w:lang w:val="fr-FR"/>
        </w:rPr>
        <w:t>.</w:t>
      </w:r>
    </w:p>
    <w:p w14:paraId="1682D38B" w14:textId="77777777" w:rsidR="00A16EC8" w:rsidRPr="005D2316" w:rsidRDefault="00A16EC8" w:rsidP="00A16EC8">
      <w:pPr>
        <w:rPr>
          <w:rFonts w:ascii="Calibri" w:eastAsia="Calibri" w:hAnsi="Calibri"/>
          <w:i/>
          <w:sz w:val="22"/>
          <w:szCs w:val="22"/>
          <w:lang w:val="fr-FR"/>
        </w:rPr>
      </w:pPr>
    </w:p>
    <w:p w14:paraId="33FA38DD" w14:textId="77777777" w:rsidR="00A16EC8" w:rsidRPr="005D2316" w:rsidRDefault="00A16EC8" w:rsidP="00A16EC8">
      <w:pPr>
        <w:rPr>
          <w:rFonts w:ascii="Calibri" w:eastAsia="Calibri" w:hAnsi="Calibri"/>
          <w:i/>
          <w:sz w:val="22"/>
          <w:szCs w:val="22"/>
          <w:lang w:val="fr-FR"/>
        </w:rPr>
      </w:pPr>
      <w:r w:rsidRPr="005D2316">
        <w:rPr>
          <w:rFonts w:ascii="Calibri" w:eastAsia="Calibri" w:hAnsi="Calibri"/>
          <w:i/>
          <w:noProof/>
          <w:sz w:val="22"/>
          <w:szCs w:val="22"/>
          <w:lang w:eastAsia="ja-JP"/>
        </w:rPr>
        <w:drawing>
          <wp:inline distT="0" distB="0" distL="0" distR="0" wp14:anchorId="085B7969" wp14:editId="384D76D4">
            <wp:extent cx="3205696" cy="2969153"/>
            <wp:effectExtent l="0" t="0" r="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fig3.wmf"/>
                    <pic:cNvPicPr/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320" b="32683"/>
                    <a:stretch/>
                  </pic:blipFill>
                  <pic:spPr bwMode="auto">
                    <a:xfrm>
                      <a:off x="0" y="0"/>
                      <a:ext cx="3208412" cy="29716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164470F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F06DCF3" w14:textId="24C69236" w:rsidR="00A16EC8" w:rsidRPr="005D2316" w:rsidRDefault="00A16EC8" w:rsidP="00A16EC8">
      <w:pPr>
        <w:rPr>
          <w:rFonts w:eastAsia="Calibri" w:cs="Arial"/>
          <w:i/>
          <w:sz w:val="18"/>
          <w:lang w:val="fr-FR"/>
        </w:rPr>
      </w:pPr>
      <w:r w:rsidRPr="005D2316">
        <w:rPr>
          <w:rFonts w:eastAsia="Calibri" w:cs="Arial"/>
          <w:b/>
          <w:i/>
          <w:sz w:val="18"/>
          <w:lang w:val="fr-FR"/>
        </w:rPr>
        <w:t>Figure</w:t>
      </w:r>
      <w:r w:rsidR="00A2333E" w:rsidRPr="005D2316">
        <w:rPr>
          <w:rFonts w:eastAsia="Calibri" w:cs="Arial"/>
          <w:b/>
          <w:i/>
          <w:sz w:val="18"/>
          <w:lang w:val="fr-FR"/>
        </w:rPr>
        <w:t> </w:t>
      </w:r>
      <w:r w:rsidRPr="005D2316">
        <w:rPr>
          <w:rFonts w:eastAsia="Calibri" w:cs="Arial"/>
          <w:b/>
          <w:i/>
          <w:sz w:val="18"/>
          <w:lang w:val="fr-FR"/>
        </w:rPr>
        <w:t>3</w:t>
      </w:r>
      <w:r w:rsidR="0067269A" w:rsidRPr="005D2316">
        <w:rPr>
          <w:rFonts w:eastAsia="Calibri" w:cs="Arial"/>
          <w:b/>
          <w:i/>
          <w:sz w:val="18"/>
          <w:lang w:val="fr-FR"/>
        </w:rPr>
        <w:t> :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983A65" w:rsidRPr="005D2316">
        <w:rPr>
          <w:rFonts w:eastAsia="Calibri" w:cs="Arial"/>
          <w:i/>
          <w:sz w:val="18"/>
          <w:lang w:val="fr-FR"/>
        </w:rPr>
        <w:t>e</w:t>
      </w:r>
      <w:r w:rsidRPr="005D2316">
        <w:rPr>
          <w:rFonts w:eastAsia="Calibri" w:cs="Arial"/>
          <w:i/>
          <w:sz w:val="18"/>
          <w:lang w:val="fr-FR"/>
        </w:rPr>
        <w:t>x</w:t>
      </w:r>
      <w:r w:rsidR="00983A65" w:rsidRPr="005D2316">
        <w:rPr>
          <w:rFonts w:eastAsia="Calibri" w:cs="Arial"/>
          <w:i/>
          <w:sz w:val="18"/>
          <w:lang w:val="fr-FR"/>
        </w:rPr>
        <w:t>e</w:t>
      </w:r>
      <w:r w:rsidRPr="005D2316">
        <w:rPr>
          <w:rFonts w:eastAsia="Calibri" w:cs="Arial"/>
          <w:i/>
          <w:sz w:val="18"/>
          <w:lang w:val="fr-FR"/>
        </w:rPr>
        <w:t xml:space="preserve">mple </w:t>
      </w:r>
      <w:r w:rsidR="00983A65" w:rsidRPr="005D2316">
        <w:rPr>
          <w:rFonts w:eastAsia="Calibri" w:cs="Arial"/>
          <w:i/>
          <w:sz w:val="18"/>
          <w:lang w:val="fr-FR"/>
        </w:rPr>
        <w:t xml:space="preserve">est repris de la </w:t>
      </w:r>
      <w:r w:rsidR="0031006F" w:rsidRPr="005D2316">
        <w:rPr>
          <w:rFonts w:eastAsia="Calibri" w:cs="Arial"/>
          <w:i/>
          <w:sz w:val="18"/>
          <w:lang w:val="fr-FR"/>
        </w:rPr>
        <w:t>f</w:t>
      </w:r>
      <w:r w:rsidRPr="005D2316">
        <w:rPr>
          <w:rFonts w:eastAsia="Calibri" w:cs="Arial"/>
          <w:i/>
          <w:sz w:val="18"/>
          <w:lang w:val="fr-FR"/>
        </w:rPr>
        <w:t>igure</w:t>
      </w:r>
      <w:r w:rsidR="00A2333E" w:rsidRPr="005D2316">
        <w:rPr>
          <w:rFonts w:eastAsia="Calibri" w:cs="Arial"/>
          <w:i/>
          <w:sz w:val="18"/>
          <w:lang w:val="fr-FR"/>
        </w:rPr>
        <w:t> </w:t>
      </w:r>
      <w:r w:rsidRPr="005D2316">
        <w:rPr>
          <w:rFonts w:eastAsia="Calibri" w:cs="Arial"/>
          <w:i/>
          <w:sz w:val="18"/>
          <w:lang w:val="fr-FR"/>
        </w:rPr>
        <w:t>2.</w:t>
      </w:r>
      <w:r w:rsidR="00A2333E" w:rsidRPr="005D2316">
        <w:rPr>
          <w:rFonts w:eastAsia="Calibri" w:cs="Arial"/>
          <w:i/>
          <w:sz w:val="18"/>
          <w:lang w:val="fr-FR"/>
        </w:rPr>
        <w:t xml:space="preserve"> 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 xml:space="preserve">Ici, une ligne bleue en pointillé </w:t>
      </w:r>
      <w:r w:rsidRPr="005D2316">
        <w:rPr>
          <w:rFonts w:eastAsia="Calibri" w:cs="Arial"/>
          <w:i/>
          <w:sz w:val="18"/>
          <w:lang w:val="fr-FR"/>
        </w:rPr>
        <w:t>repr</w:t>
      </w:r>
      <w:r w:rsidR="00983A65" w:rsidRPr="005D2316">
        <w:rPr>
          <w:rFonts w:eastAsia="Calibri" w:cs="Arial"/>
          <w:i/>
          <w:sz w:val="18"/>
          <w:lang w:val="fr-FR"/>
        </w:rPr>
        <w:t>é</w:t>
      </w:r>
      <w:r w:rsidRPr="005D2316">
        <w:rPr>
          <w:rFonts w:eastAsia="Calibri" w:cs="Arial"/>
          <w:i/>
          <w:sz w:val="18"/>
          <w:lang w:val="fr-FR"/>
        </w:rPr>
        <w:t>sent</w:t>
      </w:r>
      <w:r w:rsidR="00983A65" w:rsidRPr="005D2316">
        <w:rPr>
          <w:rFonts w:eastAsia="Calibri" w:cs="Arial"/>
          <w:i/>
          <w:sz w:val="18"/>
          <w:lang w:val="fr-FR"/>
        </w:rPr>
        <w:t>e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une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erreur</w:t>
      </w:r>
      <w:r w:rsidR="00900C57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type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de</w:t>
      </w:r>
      <w:r w:rsidRPr="005D2316">
        <w:rPr>
          <w:rFonts w:eastAsia="Calibri" w:cs="Arial"/>
          <w:i/>
          <w:sz w:val="18"/>
          <w:lang w:val="fr-FR"/>
        </w:rPr>
        <w:t xml:space="preserve"> pr</w:t>
      </w:r>
      <w:r w:rsidR="00983A65" w:rsidRPr="005D2316">
        <w:rPr>
          <w:rFonts w:eastAsia="Calibri" w:cs="Arial"/>
          <w:i/>
          <w:sz w:val="18"/>
          <w:lang w:val="fr-FR"/>
        </w:rPr>
        <w:t>év</w:t>
      </w:r>
      <w:r w:rsidRPr="005D2316">
        <w:rPr>
          <w:rFonts w:eastAsia="Calibri" w:cs="Arial"/>
          <w:i/>
          <w:sz w:val="18"/>
          <w:lang w:val="fr-FR"/>
        </w:rPr>
        <w:t>i</w:t>
      </w:r>
      <w:r w:rsidR="00983A65" w:rsidRPr="005D2316">
        <w:rPr>
          <w:rFonts w:eastAsia="Calibri" w:cs="Arial"/>
          <w:i/>
          <w:sz w:val="18"/>
          <w:lang w:val="fr-FR"/>
        </w:rPr>
        <w:t>s</w:t>
      </w:r>
      <w:r w:rsidRPr="005D2316">
        <w:rPr>
          <w:rFonts w:eastAsia="Calibri" w:cs="Arial"/>
          <w:i/>
          <w:sz w:val="18"/>
          <w:lang w:val="fr-FR"/>
        </w:rPr>
        <w:t xml:space="preserve">ion </w:t>
      </w:r>
      <w:r w:rsidR="00983A65" w:rsidRPr="005D2316">
        <w:rPr>
          <w:rFonts w:eastAsia="Calibri" w:cs="Arial"/>
          <w:i/>
          <w:sz w:val="18"/>
          <w:lang w:val="fr-FR"/>
        </w:rPr>
        <w:t>au</w:t>
      </w:r>
      <w:r w:rsidR="0067269A" w:rsidRPr="005D2316">
        <w:rPr>
          <w:rFonts w:eastAsia="Calibri" w:cs="Arial"/>
          <w:i/>
          <w:sz w:val="18"/>
          <w:lang w:val="fr-FR"/>
        </w:rPr>
        <w:t>-</w:t>
      </w:r>
      <w:r w:rsidR="00983A65" w:rsidRPr="005D2316">
        <w:rPr>
          <w:rFonts w:eastAsia="Calibri" w:cs="Arial"/>
          <w:i/>
          <w:sz w:val="18"/>
          <w:lang w:val="fr-FR"/>
        </w:rPr>
        <w:t xml:space="preserve">dessus de la ligne de tendance </w:t>
      </w:r>
      <w:r w:rsidR="009A2233" w:rsidRPr="005D2316">
        <w:rPr>
          <w:rFonts w:eastAsia="Calibri" w:cs="Arial"/>
          <w:i/>
          <w:sz w:val="18"/>
          <w:lang w:val="fr-FR"/>
        </w:rPr>
        <w:t xml:space="preserve">des </w:t>
      </w:r>
      <w:proofErr w:type="spellStart"/>
      <w:r w:rsidRPr="005D2316">
        <w:rPr>
          <w:rFonts w:eastAsia="Calibri" w:cs="Arial"/>
          <w:i/>
          <w:sz w:val="18"/>
          <w:lang w:val="fr-FR"/>
        </w:rPr>
        <w:t>splin</w:t>
      </w:r>
      <w:r w:rsidR="001A0B67" w:rsidRPr="005D2316">
        <w:rPr>
          <w:rFonts w:eastAsia="Calibri" w:cs="Arial"/>
          <w:i/>
          <w:sz w:val="18"/>
          <w:lang w:val="fr-FR"/>
        </w:rPr>
        <w:t>es</w:t>
      </w:r>
      <w:proofErr w:type="spellEnd"/>
      <w:r w:rsidR="001A0B67" w:rsidRPr="005D2316">
        <w:rPr>
          <w:rFonts w:eastAsia="Calibri" w:cs="Arial"/>
          <w:i/>
          <w:sz w:val="18"/>
          <w:lang w:val="fr-FR"/>
        </w:rPr>
        <w:t xml:space="preserve">.  À </w:t>
      </w:r>
      <w:r w:rsidR="00983A65" w:rsidRPr="005D2316">
        <w:rPr>
          <w:rFonts w:eastAsia="Calibri" w:cs="Arial"/>
          <w:i/>
          <w:sz w:val="18"/>
          <w:lang w:val="fr-FR"/>
        </w:rPr>
        <w:t>noter que cette erreur</w:t>
      </w:r>
      <w:r w:rsidR="00900C57">
        <w:rPr>
          <w:rFonts w:eastAsia="Calibri" w:cs="Arial"/>
          <w:i/>
          <w:sz w:val="18"/>
          <w:lang w:val="fr-FR"/>
        </w:rPr>
        <w:t xml:space="preserve"> </w:t>
      </w:r>
      <w:r w:rsidR="00983A65" w:rsidRPr="005D2316">
        <w:rPr>
          <w:rFonts w:eastAsia="Calibri" w:cs="Arial"/>
          <w:i/>
          <w:sz w:val="18"/>
          <w:lang w:val="fr-FR"/>
        </w:rPr>
        <w:t>type n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983A65" w:rsidRPr="005D2316">
        <w:rPr>
          <w:rFonts w:eastAsia="Calibri" w:cs="Arial"/>
          <w:i/>
          <w:sz w:val="18"/>
          <w:lang w:val="fr-FR"/>
        </w:rPr>
        <w:t xml:space="preserve">est pas utilisée directement, mais rentre dans les calculs </w:t>
      </w:r>
      <w:r w:rsidRPr="005D2316">
        <w:rPr>
          <w:rFonts w:eastAsia="Calibri" w:cs="Arial"/>
          <w:i/>
          <w:sz w:val="18"/>
          <w:lang w:val="fr-FR"/>
        </w:rPr>
        <w:t>COYU</w:t>
      </w:r>
      <w:r w:rsidR="009A2233" w:rsidRPr="005D2316">
        <w:rPr>
          <w:rFonts w:eastAsia="Calibri" w:cs="Arial"/>
          <w:i/>
          <w:sz w:val="18"/>
          <w:lang w:val="fr-FR"/>
        </w:rPr>
        <w:t xml:space="preserve"> par association</w:t>
      </w:r>
      <w:r w:rsidRPr="005D2316">
        <w:rPr>
          <w:rFonts w:eastAsia="Calibri" w:cs="Arial"/>
          <w:i/>
          <w:sz w:val="18"/>
          <w:lang w:val="fr-FR"/>
        </w:rPr>
        <w:t xml:space="preserve"> </w:t>
      </w:r>
      <w:r w:rsidR="009A2233" w:rsidRPr="005D2316">
        <w:rPr>
          <w:rFonts w:eastAsia="Calibri" w:cs="Arial"/>
          <w:i/>
          <w:sz w:val="18"/>
          <w:lang w:val="fr-FR"/>
        </w:rPr>
        <w:t>avec les autres année</w:t>
      </w:r>
      <w:r w:rsidRPr="005D2316">
        <w:rPr>
          <w:rFonts w:eastAsia="Calibri" w:cs="Arial"/>
          <w:i/>
          <w:sz w:val="18"/>
          <w:lang w:val="fr-FR"/>
        </w:rPr>
        <w:t>s/cycl</w:t>
      </w:r>
      <w:r w:rsidR="001A0B67" w:rsidRPr="005D2316">
        <w:rPr>
          <w:rFonts w:eastAsia="Calibri" w:cs="Arial"/>
          <w:i/>
          <w:sz w:val="18"/>
          <w:lang w:val="fr-FR"/>
        </w:rPr>
        <w:t>es.  El</w:t>
      </w:r>
      <w:r w:rsidR="009A2233" w:rsidRPr="005D2316">
        <w:rPr>
          <w:rFonts w:eastAsia="Calibri" w:cs="Arial"/>
          <w:i/>
          <w:sz w:val="18"/>
          <w:lang w:val="fr-FR"/>
        </w:rPr>
        <w:t>le apparaît bien dans la hausse marquée de 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="009A2233" w:rsidRPr="005D2316">
        <w:rPr>
          <w:rFonts w:eastAsia="Calibri" w:cs="Arial"/>
          <w:i/>
          <w:sz w:val="18"/>
          <w:lang w:val="fr-FR"/>
        </w:rPr>
        <w:t xml:space="preserve">incertitude </w:t>
      </w:r>
      <w:r w:rsidRPr="005D2316">
        <w:rPr>
          <w:rFonts w:eastAsia="Calibri" w:cs="Arial"/>
          <w:i/>
          <w:sz w:val="18"/>
          <w:lang w:val="fr-FR"/>
        </w:rPr>
        <w:t>du</w:t>
      </w:r>
      <w:r w:rsidR="00F52469" w:rsidRPr="005D2316">
        <w:rPr>
          <w:rFonts w:eastAsia="Calibri" w:cs="Arial"/>
          <w:i/>
          <w:sz w:val="18"/>
          <w:lang w:val="fr-FR"/>
        </w:rPr>
        <w:t>e à</w:t>
      </w:r>
      <w:r w:rsidR="009A2233" w:rsidRPr="005D2316">
        <w:rPr>
          <w:rFonts w:eastAsia="Calibri" w:cs="Arial"/>
          <w:i/>
          <w:sz w:val="18"/>
          <w:lang w:val="fr-FR"/>
        </w:rPr>
        <w:t xml:space="preserve"> l</w:t>
      </w:r>
      <w:r w:rsidR="0067269A" w:rsidRPr="005D2316">
        <w:rPr>
          <w:rFonts w:eastAsia="Calibri" w:cs="Arial"/>
          <w:i/>
          <w:sz w:val="18"/>
          <w:lang w:val="fr-FR"/>
        </w:rPr>
        <w:t>’</w:t>
      </w:r>
      <w:r w:rsidRPr="005D2316">
        <w:rPr>
          <w:rFonts w:eastAsia="Calibri" w:cs="Arial"/>
          <w:i/>
          <w:sz w:val="18"/>
          <w:lang w:val="fr-FR"/>
        </w:rPr>
        <w:t>extrapolation</w:t>
      </w:r>
      <w:r w:rsidR="009A2233" w:rsidRPr="005D2316">
        <w:rPr>
          <w:rFonts w:eastAsia="Calibri" w:cs="Arial"/>
          <w:i/>
          <w:sz w:val="18"/>
          <w:lang w:val="fr-FR"/>
        </w:rPr>
        <w:t>.</w:t>
      </w:r>
    </w:p>
    <w:p w14:paraId="6557093A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5709E3B0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3170CD2D" w14:textId="0E874703" w:rsidR="00A16EC8" w:rsidRPr="005D2316" w:rsidRDefault="009A2233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La </w:t>
      </w:r>
      <w:r w:rsidR="0031006F" w:rsidRPr="005D2316">
        <w:rPr>
          <w:rFonts w:eastAsia="Calibri" w:cs="Arial"/>
          <w:lang w:val="fr-FR"/>
        </w:rPr>
        <w:t>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2 </w:t>
      </w:r>
      <w:r w:rsidRPr="005D2316">
        <w:rPr>
          <w:rFonts w:eastAsia="Calibri" w:cs="Arial"/>
          <w:lang w:val="fr-FR"/>
        </w:rPr>
        <w:t>montre de quelle manière les 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 xml:space="preserve">méthodes </w:t>
      </w:r>
      <w:r w:rsidR="00A16EC8" w:rsidRPr="005D2316">
        <w:rPr>
          <w:rFonts w:eastAsia="Calibri" w:cs="Arial"/>
          <w:lang w:val="fr-FR"/>
        </w:rPr>
        <w:t xml:space="preserve">COYU </w:t>
      </w:r>
      <w:r w:rsidRPr="005D2316">
        <w:rPr>
          <w:rFonts w:eastAsia="Calibri" w:cs="Arial"/>
          <w:lang w:val="fr-FR"/>
        </w:rPr>
        <w:t xml:space="preserve">peuvent amener à des conclusions </w:t>
      </w:r>
      <w:r w:rsidR="00A16EC8" w:rsidRPr="005D2316">
        <w:rPr>
          <w:rFonts w:eastAsia="Calibri" w:cs="Arial"/>
          <w:lang w:val="fr-FR"/>
        </w:rPr>
        <w:t>diff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rent</w:t>
      </w:r>
      <w:r w:rsidR="001A0B67" w:rsidRPr="005D2316">
        <w:rPr>
          <w:rFonts w:eastAsia="Calibri" w:cs="Arial"/>
          <w:lang w:val="fr-FR"/>
        </w:rPr>
        <w:t>es.  Le</w:t>
      </w:r>
      <w:r w:rsidR="00F52469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variété</w:t>
      </w:r>
      <w:r w:rsidR="00F52469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candidate</w:t>
      </w:r>
      <w:r w:rsidR="00F52469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s</w:t>
      </w:r>
      <w:r w:rsidR="00F52469" w:rsidRPr="005D2316">
        <w:rPr>
          <w:rFonts w:eastAsia="Calibri" w:cs="Arial"/>
          <w:lang w:val="fr-FR"/>
        </w:rPr>
        <w:t>on</w:t>
      </w:r>
      <w:r w:rsidRPr="005D2316">
        <w:rPr>
          <w:rFonts w:eastAsia="Calibri" w:cs="Arial"/>
          <w:lang w:val="fr-FR"/>
        </w:rPr>
        <w:t>t en</w:t>
      </w:r>
      <w:r w:rsidR="0012350F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dessous de la ligne de tendance pour la moyenne mobile, mais nettement au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 xml:space="preserve">dessus pour les </w:t>
      </w:r>
      <w:proofErr w:type="spellStart"/>
      <w:r w:rsidR="00A16EC8" w:rsidRPr="005D2316">
        <w:rPr>
          <w:rFonts w:eastAsia="Calibri" w:cs="Arial"/>
          <w:lang w:val="fr-FR"/>
        </w:rPr>
        <w:t>splin</w:t>
      </w:r>
      <w:r w:rsidR="001A0B67" w:rsidRPr="005D2316">
        <w:rPr>
          <w:rFonts w:eastAsia="Calibri" w:cs="Arial"/>
          <w:lang w:val="fr-FR"/>
        </w:rPr>
        <w:t>es</w:t>
      </w:r>
      <w:proofErr w:type="spellEnd"/>
      <w:r w:rsidR="001A0B67" w:rsidRPr="005D2316">
        <w:rPr>
          <w:rFonts w:eastAsia="Calibri" w:cs="Arial"/>
          <w:lang w:val="fr-FR"/>
        </w:rPr>
        <w:t>.  On</w:t>
      </w:r>
      <w:r w:rsidR="002E471E" w:rsidRPr="005D2316">
        <w:rPr>
          <w:rFonts w:eastAsia="Calibri" w:cs="Arial"/>
          <w:lang w:val="fr-FR"/>
        </w:rPr>
        <w:t xml:space="preserve"> peut soutenir que la méthode</w:t>
      </w:r>
      <w:r w:rsidR="00A16EC8" w:rsidRPr="005D2316">
        <w:rPr>
          <w:rFonts w:eastAsia="Calibri" w:cs="Arial"/>
          <w:lang w:val="fr-FR"/>
        </w:rPr>
        <w:t xml:space="preserve"> COYU </w:t>
      </w:r>
      <w:r w:rsidR="002E471E" w:rsidRPr="005D2316">
        <w:rPr>
          <w:rFonts w:eastAsia="Calibri" w:cs="Arial"/>
          <w:lang w:val="fr-FR"/>
        </w:rPr>
        <w:t xml:space="preserve">avec des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 tr</w:t>
      </w:r>
      <w:r w:rsidR="002E471E" w:rsidRPr="005D2316">
        <w:rPr>
          <w:rFonts w:eastAsia="Calibri" w:cs="Arial"/>
          <w:lang w:val="fr-FR"/>
        </w:rPr>
        <w:t xml:space="preserve">aite les </w:t>
      </w:r>
      <w:r w:rsidR="00A16EC8" w:rsidRPr="005D2316">
        <w:rPr>
          <w:rFonts w:eastAsia="Calibri" w:cs="Arial"/>
          <w:lang w:val="fr-FR"/>
        </w:rPr>
        <w:t xml:space="preserve">cas </w:t>
      </w:r>
      <w:r w:rsidR="002E471E"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extrapolation</w:t>
      </w:r>
      <w:r w:rsidR="0031006F" w:rsidRPr="005D2316">
        <w:rPr>
          <w:rFonts w:eastAsia="Calibri" w:cs="Arial"/>
          <w:lang w:val="fr-FR"/>
        </w:rPr>
        <w:t xml:space="preserve"> avec plus de précisi</w:t>
      </w:r>
      <w:r w:rsidR="001A0B67" w:rsidRPr="005D2316">
        <w:rPr>
          <w:rFonts w:eastAsia="Calibri" w:cs="Arial"/>
          <w:lang w:val="fr-FR"/>
        </w:rPr>
        <w:t>on.  La</w:t>
      </w:r>
      <w:r w:rsidR="002E471E" w:rsidRPr="005D2316">
        <w:rPr>
          <w:rFonts w:eastAsia="Calibri" w:cs="Arial"/>
          <w:lang w:val="fr-FR"/>
        </w:rPr>
        <w:t xml:space="preserve"> ligne en pointillé semble une meilleure approximation de ce qui pourrait se produire, et l</w:t>
      </w:r>
      <w:r w:rsidR="0067269A" w:rsidRPr="005D2316">
        <w:rPr>
          <w:rFonts w:eastAsia="Calibri" w:cs="Arial"/>
          <w:lang w:val="fr-FR"/>
        </w:rPr>
        <w:t>’</w:t>
      </w:r>
      <w:r w:rsidR="002E471E" w:rsidRPr="005D2316">
        <w:rPr>
          <w:rFonts w:eastAsia="Calibri" w:cs="Arial"/>
          <w:lang w:val="fr-FR"/>
        </w:rPr>
        <w:t xml:space="preserve">incertitude accrue reflète mieux la </w:t>
      </w:r>
      <w:r w:rsidR="00A16EC8" w:rsidRPr="005D2316">
        <w:rPr>
          <w:rFonts w:eastAsia="Calibri" w:cs="Arial"/>
          <w:lang w:val="fr-FR"/>
        </w:rPr>
        <w:t>r</w:t>
      </w:r>
      <w:r w:rsidR="002E471E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alit</w:t>
      </w:r>
      <w:r w:rsidR="002E471E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.</w:t>
      </w:r>
    </w:p>
    <w:p w14:paraId="15587793" w14:textId="77777777" w:rsidR="0067269A" w:rsidRPr="005D2316" w:rsidRDefault="0067269A" w:rsidP="00A16EC8">
      <w:pPr>
        <w:rPr>
          <w:rFonts w:eastAsia="Calibri"/>
          <w:highlight w:val="yellow"/>
          <w:lang w:val="fr-FR"/>
        </w:rPr>
      </w:pPr>
    </w:p>
    <w:p w14:paraId="638A08AE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417BE456" w14:textId="2AA644F8" w:rsidR="00A16EC8" w:rsidRPr="005D2316" w:rsidRDefault="00A16EC8" w:rsidP="00887C0B">
      <w:pPr>
        <w:pStyle w:val="Heading1"/>
      </w:pPr>
      <w:bookmarkStart w:id="28" w:name="_Toc117002605"/>
      <w:r w:rsidRPr="005D2316">
        <w:t>D</w:t>
      </w:r>
      <w:r w:rsidR="002E471E" w:rsidRPr="005D2316">
        <w:t>éfinir l</w:t>
      </w:r>
      <w:r w:rsidR="0067269A" w:rsidRPr="005D2316">
        <w:t>’</w:t>
      </w:r>
      <w:r w:rsidRPr="005D2316">
        <w:t>extrapolation</w:t>
      </w:r>
      <w:bookmarkEnd w:id="28"/>
    </w:p>
    <w:p w14:paraId="48F38B03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4228CEC7" w14:textId="77AAEB15" w:rsidR="00A16EC8" w:rsidRPr="005D2316" w:rsidRDefault="002E471E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Comment dé</w:t>
      </w:r>
      <w:r w:rsidR="00A16EC8" w:rsidRPr="005D2316">
        <w:rPr>
          <w:rFonts w:eastAsia="Calibri" w:cs="Arial"/>
          <w:lang w:val="fr-FR"/>
        </w:rPr>
        <w:t>fin</w:t>
      </w:r>
      <w:r w:rsidRPr="005D2316">
        <w:rPr>
          <w:rFonts w:eastAsia="Calibri" w:cs="Arial"/>
          <w:lang w:val="fr-FR"/>
        </w:rPr>
        <w:t>ir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Pr="005D2316">
        <w:rPr>
          <w:rFonts w:eastAsia="Calibri" w:cs="Arial"/>
          <w:lang w:val="fr-FR"/>
        </w:rPr>
        <w:t xml:space="preserve">dans la </w:t>
      </w:r>
      <w:r w:rsidR="00A16EC8" w:rsidRPr="005D2316">
        <w:rPr>
          <w:rFonts w:eastAsia="Calibri" w:cs="Arial"/>
          <w:lang w:val="fr-FR"/>
        </w:rPr>
        <w:t>prati</w:t>
      </w:r>
      <w:r w:rsidRPr="005D2316">
        <w:rPr>
          <w:rFonts w:eastAsia="Calibri" w:cs="Arial"/>
          <w:lang w:val="fr-FR"/>
        </w:rPr>
        <w:t>qu</w:t>
      </w:r>
      <w:r w:rsidR="00A16EC8" w:rsidRPr="005D2316">
        <w:rPr>
          <w:rFonts w:eastAsia="Calibri" w:cs="Arial"/>
          <w:lang w:val="fr-FR"/>
        </w:rPr>
        <w:t>e</w:t>
      </w:r>
      <w:r w:rsidR="00A2333E" w:rsidRPr="005D2316">
        <w:rPr>
          <w:rFonts w:eastAsia="Calibri" w:cs="Arial"/>
          <w:lang w:val="fr-FR"/>
        </w:rPr>
        <w:t xml:space="preserve">? 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Une </w:t>
      </w:r>
      <w:r w:rsidR="00A16EC8" w:rsidRPr="005D2316">
        <w:rPr>
          <w:rFonts w:eastAsia="Calibri" w:cs="Arial"/>
          <w:lang w:val="fr-FR"/>
        </w:rPr>
        <w:t>d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finition </w:t>
      </w:r>
      <w:r w:rsidRPr="005D2316">
        <w:rPr>
          <w:rFonts w:eastAsia="Calibri" w:cs="Arial"/>
          <w:lang w:val="fr-FR"/>
        </w:rPr>
        <w:t>stricte selon laquelle le score de</w:t>
      </w:r>
      <w:r w:rsidR="00F52469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variété</w:t>
      </w:r>
      <w:r w:rsidR="00F52469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candidate</w:t>
      </w:r>
      <w:r w:rsidR="00F52469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s</w:t>
      </w:r>
      <w:r w:rsidR="00F52469" w:rsidRPr="005D2316">
        <w:rPr>
          <w:rFonts w:eastAsia="Calibri" w:cs="Arial"/>
          <w:lang w:val="fr-FR"/>
        </w:rPr>
        <w:t>e situe</w:t>
      </w:r>
      <w:r w:rsidRPr="005D2316">
        <w:rPr>
          <w:rFonts w:eastAsia="Calibri" w:cs="Arial"/>
          <w:lang w:val="fr-FR"/>
        </w:rPr>
        <w:t xml:space="preserve"> en dehors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amplitude des variétés de </w:t>
      </w:r>
      <w:r w:rsidR="00A16EC8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rence, </w:t>
      </w:r>
      <w:r w:rsidRPr="005D2316">
        <w:rPr>
          <w:rFonts w:eastAsia="Calibri" w:cs="Arial"/>
          <w:lang w:val="fr-FR"/>
        </w:rPr>
        <w:t>même d</w:t>
      </w:r>
      <w:r w:rsidR="0031006F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 très faible niveau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 xml:space="preserve">pourrait donner lieu à un nombre très élevé de </w:t>
      </w:r>
      <w:r w:rsidR="00A16EC8" w:rsidRPr="005D2316">
        <w:rPr>
          <w:rFonts w:eastAsia="Calibri" w:cs="Arial"/>
          <w:lang w:val="fr-FR"/>
        </w:rPr>
        <w:t>cas</w:t>
      </w:r>
      <w:r w:rsidRPr="005D2316">
        <w:rPr>
          <w:rFonts w:eastAsia="Calibri" w:cs="Arial"/>
          <w:lang w:val="fr-FR"/>
        </w:rPr>
        <w:t xml:space="preserve"> à soumettre aux </w:t>
      </w:r>
      <w:r w:rsidR="00A16EC8" w:rsidRPr="005D2316">
        <w:rPr>
          <w:rFonts w:eastAsia="Calibri" w:cs="Arial"/>
          <w:lang w:val="fr-FR"/>
        </w:rPr>
        <w:t>exper</w:t>
      </w:r>
      <w:r w:rsidR="001A0B67" w:rsidRPr="005D2316">
        <w:rPr>
          <w:rFonts w:eastAsia="Calibri" w:cs="Arial"/>
          <w:lang w:val="fr-FR"/>
        </w:rPr>
        <w:t>ts.  Da</w:t>
      </w:r>
      <w:r w:rsidRPr="005D2316">
        <w:rPr>
          <w:rFonts w:eastAsia="Calibri" w:cs="Arial"/>
          <w:lang w:val="fr-FR"/>
        </w:rPr>
        <w:t>ns une étude précédente soumise</w:t>
      </w:r>
      <w:r w:rsidR="0067269A" w:rsidRPr="005D2316">
        <w:rPr>
          <w:rFonts w:eastAsia="Calibri" w:cs="Arial"/>
          <w:lang w:val="fr-FR"/>
        </w:rPr>
        <w:t xml:space="preserve"> au TWC</w:t>
      </w:r>
      <w:r w:rsidR="00A16EC8" w:rsidRPr="005D2316">
        <w:rPr>
          <w:rFonts w:eastAsia="Calibri" w:cs="Arial"/>
          <w:lang w:val="fr-FR"/>
        </w:rPr>
        <w:t xml:space="preserve"> (</w:t>
      </w:r>
      <w:hyperlink r:id="rId20" w:history="1">
        <w:r w:rsidR="00A16EC8" w:rsidRPr="005D2316">
          <w:rPr>
            <w:rFonts w:eastAsia="Calibri" w:cs="Arial"/>
            <w:color w:val="0563C1"/>
            <w:u w:val="single"/>
            <w:lang w:val="fr-FR"/>
          </w:rPr>
          <w:t>https://www.upov.int/edocs/mdocs/upov/en/twc_35/twc_35_6.pdf</w:t>
        </w:r>
      </w:hyperlink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 xml:space="preserve">voir la </w:t>
      </w:r>
      <w:r w:rsidR="0067269A" w:rsidRPr="005D2316">
        <w:rPr>
          <w:rFonts w:eastAsia="Calibri" w:cs="Arial"/>
          <w:lang w:val="fr-FR"/>
        </w:rPr>
        <w:t>page 9</w:t>
      </w:r>
      <w:r w:rsidRPr="005D2316">
        <w:rPr>
          <w:rFonts w:eastAsia="Calibri" w:cs="Arial"/>
          <w:lang w:val="fr-FR"/>
        </w:rPr>
        <w:t xml:space="preserve"> de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annex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), </w:t>
      </w:r>
      <w:r w:rsidRPr="005D2316">
        <w:rPr>
          <w:rFonts w:eastAsia="Calibri" w:cs="Arial"/>
          <w:lang w:val="fr-FR"/>
        </w:rPr>
        <w:t>les niveaux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Pr="005D2316">
        <w:rPr>
          <w:rFonts w:eastAsia="Calibri" w:cs="Arial"/>
          <w:lang w:val="fr-FR"/>
        </w:rPr>
        <w:t xml:space="preserve">stricte </w:t>
      </w:r>
      <w:r w:rsidR="00A16EC8" w:rsidRPr="005D2316">
        <w:rPr>
          <w:rFonts w:eastAsia="Calibri" w:cs="Arial"/>
          <w:lang w:val="fr-FR"/>
        </w:rPr>
        <w:t>vari</w:t>
      </w:r>
      <w:r w:rsidRPr="005D2316">
        <w:rPr>
          <w:rFonts w:eastAsia="Calibri" w:cs="Arial"/>
          <w:lang w:val="fr-FR"/>
        </w:rPr>
        <w:t>aient selon les cultures</w:t>
      </w:r>
      <w:r w:rsidR="00A16EC8" w:rsidRPr="005D2316">
        <w:rPr>
          <w:rFonts w:eastAsia="Calibri" w:cs="Arial"/>
          <w:lang w:val="fr-FR"/>
        </w:rPr>
        <w:t xml:space="preserve">, </w:t>
      </w:r>
      <w:r w:rsidR="0027255D" w:rsidRPr="005D2316">
        <w:rPr>
          <w:rFonts w:eastAsia="Calibri" w:cs="Arial"/>
          <w:lang w:val="fr-FR"/>
        </w:rPr>
        <w:t xml:space="preserve">étant par exemple </w:t>
      </w:r>
      <w:r w:rsidRPr="005D2316">
        <w:rPr>
          <w:rFonts w:eastAsia="Calibri" w:cs="Arial"/>
          <w:lang w:val="fr-FR"/>
        </w:rPr>
        <w:t xml:space="preserve">relativement élevés pour le </w:t>
      </w:r>
      <w:r w:rsidR="00A16EC8" w:rsidRPr="005D2316">
        <w:rPr>
          <w:rFonts w:eastAsia="Calibri" w:cs="Arial"/>
          <w:lang w:val="fr-FR"/>
        </w:rPr>
        <w:t>r</w:t>
      </w:r>
      <w:r w:rsidR="0027255D" w:rsidRPr="005D2316">
        <w:rPr>
          <w:rFonts w:eastAsia="Calibri" w:cs="Arial"/>
          <w:lang w:val="fr-FR"/>
        </w:rPr>
        <w:t>a</w:t>
      </w:r>
      <w:r w:rsidR="00A16EC8" w:rsidRPr="005D2316">
        <w:rPr>
          <w:rFonts w:eastAsia="Calibri" w:cs="Arial"/>
          <w:lang w:val="fr-FR"/>
        </w:rPr>
        <w:t>y</w:t>
      </w:r>
      <w:r w:rsidR="0067269A" w:rsidRPr="005D2316">
        <w:rPr>
          <w:rFonts w:eastAsia="Calibri" w:cs="Arial"/>
          <w:lang w:val="fr-FR"/>
        </w:rPr>
        <w:t>-</w:t>
      </w:r>
      <w:r w:rsidR="00A16EC8" w:rsidRPr="005D2316">
        <w:rPr>
          <w:rFonts w:eastAsia="Calibri" w:cs="Arial"/>
          <w:lang w:val="fr-FR"/>
        </w:rPr>
        <w:t xml:space="preserve">grass </w:t>
      </w:r>
      <w:r w:rsidR="0027255D" w:rsidRPr="005D2316">
        <w:rPr>
          <w:rFonts w:eastAsia="Calibri" w:cs="Arial"/>
          <w:lang w:val="fr-FR"/>
        </w:rPr>
        <w:t xml:space="preserve">vivace </w:t>
      </w:r>
      <w:r w:rsidR="00A16EC8" w:rsidRPr="005D2316">
        <w:rPr>
          <w:rFonts w:eastAsia="Calibri" w:cs="Arial"/>
          <w:lang w:val="fr-FR"/>
        </w:rPr>
        <w:t xml:space="preserve">(13%) </w:t>
      </w:r>
      <w:r w:rsidR="0027255D" w:rsidRPr="005D2316">
        <w:rPr>
          <w:rFonts w:eastAsia="Calibri" w:cs="Arial"/>
          <w:lang w:val="fr-FR"/>
        </w:rPr>
        <w:t xml:space="preserve">et bas pour le colza oléagineux </w:t>
      </w:r>
      <w:r w:rsidR="00A16EC8" w:rsidRPr="005D2316">
        <w:rPr>
          <w:rFonts w:eastAsia="Calibri" w:cs="Arial"/>
          <w:lang w:val="fr-FR"/>
        </w:rPr>
        <w:t>(1</w:t>
      </w:r>
      <w:r w:rsidR="0067269A" w:rsidRPr="005D2316">
        <w:rPr>
          <w:rFonts w:eastAsia="Calibri" w:cs="Arial"/>
          <w:lang w:val="fr-FR"/>
        </w:rPr>
        <w:t>-</w:t>
      </w:r>
      <w:r w:rsidR="00A16EC8" w:rsidRPr="005D2316">
        <w:rPr>
          <w:rFonts w:eastAsia="Calibri" w:cs="Arial"/>
          <w:lang w:val="fr-FR"/>
        </w:rPr>
        <w:t>2%).</w:t>
      </w:r>
    </w:p>
    <w:p w14:paraId="32917638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11711897" w14:textId="730975C5" w:rsidR="00A16EC8" w:rsidRPr="005D2316" w:rsidRDefault="0027255D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Dans le</w:t>
      </w:r>
      <w:r w:rsidR="00A16EC8" w:rsidRPr="005D2316">
        <w:rPr>
          <w:rFonts w:eastAsia="Calibri" w:cs="Arial"/>
          <w:lang w:val="fr-FR"/>
        </w:rPr>
        <w:t xml:space="preserve"> document TWC/35/6, </w:t>
      </w:r>
      <w:r w:rsidRPr="005D2316">
        <w:rPr>
          <w:rFonts w:eastAsia="Calibri" w:cs="Arial"/>
          <w:lang w:val="fr-FR"/>
        </w:rPr>
        <w:t>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méthodes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indication du degré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extrapolation ont été proposées</w:t>
      </w:r>
      <w:r w:rsidR="00A16EC8" w:rsidRPr="005D2316">
        <w:rPr>
          <w:rFonts w:eastAsia="Calibri" w:cs="Arial"/>
          <w:lang w:val="fr-FR"/>
        </w:rPr>
        <w:t xml:space="preserve"> (</w:t>
      </w:r>
      <w:r w:rsidR="0067269A" w:rsidRPr="005D2316">
        <w:rPr>
          <w:rFonts w:eastAsia="Calibri" w:cs="Arial"/>
          <w:lang w:val="fr-FR"/>
        </w:rPr>
        <w:t>paragraphe 1</w:t>
      </w:r>
      <w:r w:rsidR="00A16EC8" w:rsidRPr="005D2316">
        <w:rPr>
          <w:rFonts w:eastAsia="Calibri" w:cs="Arial"/>
          <w:lang w:val="fr-FR"/>
        </w:rPr>
        <w:t>9).</w:t>
      </w:r>
      <w:r w:rsidR="00A2333E"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 xml:space="preserve"> </w:t>
      </w:r>
      <w:r w:rsidR="005B099C" w:rsidRPr="005D2316">
        <w:rPr>
          <w:rFonts w:eastAsia="Calibri" w:cs="Arial"/>
          <w:lang w:val="fr-FR"/>
        </w:rPr>
        <w:t>Donnan</w:t>
      </w:r>
      <w:r w:rsidRPr="005D2316">
        <w:rPr>
          <w:rFonts w:eastAsia="Calibri" w:cs="Arial"/>
          <w:lang w:val="fr-FR"/>
        </w:rPr>
        <w:t>t</w:t>
      </w:r>
      <w:r w:rsidR="005B099C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suite à ce </w:t>
      </w:r>
      <w:r w:rsidR="00A16EC8" w:rsidRPr="005D2316">
        <w:rPr>
          <w:rFonts w:eastAsia="Calibri" w:cs="Arial"/>
          <w:lang w:val="fr-FR"/>
        </w:rPr>
        <w:t xml:space="preserve">document, </w:t>
      </w:r>
      <w:r w:rsidRPr="005D2316">
        <w:rPr>
          <w:rFonts w:eastAsia="Calibri" w:cs="Arial"/>
          <w:lang w:val="fr-FR"/>
        </w:rPr>
        <w:t xml:space="preserve">la deuxième </w:t>
      </w:r>
      <w:r w:rsidR="00A16EC8" w:rsidRPr="005D2316">
        <w:rPr>
          <w:rFonts w:eastAsia="Calibri" w:cs="Arial"/>
          <w:lang w:val="fr-FR"/>
        </w:rPr>
        <w:t>m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thod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(19b) </w:t>
      </w:r>
      <w:r w:rsidRPr="005D2316">
        <w:rPr>
          <w:rFonts w:eastAsia="Calibri" w:cs="Arial"/>
          <w:lang w:val="fr-FR"/>
        </w:rPr>
        <w:t xml:space="preserve">a été </w:t>
      </w:r>
      <w:r w:rsidR="00A16EC8" w:rsidRPr="005D2316">
        <w:rPr>
          <w:rFonts w:eastAsia="Calibri" w:cs="Arial"/>
          <w:lang w:val="fr-FR"/>
        </w:rPr>
        <w:t>adopt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 pour le projet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orientations et pour le code de logiciel</w:t>
      </w:r>
      <w:r w:rsidRPr="005D2316">
        <w:rPr>
          <w:lang w:val="fr-FR"/>
        </w:rPr>
        <w:t xml:space="preserve"> </w:t>
      </w:r>
      <w:r w:rsidRPr="005D2316">
        <w:rPr>
          <w:rFonts w:eastAsia="Calibri" w:cs="Arial"/>
          <w:lang w:val="fr-FR"/>
        </w:rPr>
        <w:t>mis au point</w:t>
      </w:r>
      <w:r w:rsidR="00A16EC8" w:rsidRPr="005D2316">
        <w:rPr>
          <w:rFonts w:eastAsia="Calibri" w:cs="Arial"/>
          <w:lang w:val="fr-FR"/>
        </w:rPr>
        <w:t>.</w:t>
      </w:r>
    </w:p>
    <w:p w14:paraId="3AC90EF4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3AE8F8D9" w14:textId="15E8AD21" w:rsidR="0067269A" w:rsidRPr="005D2316" w:rsidRDefault="0027255D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indice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mesure </w:t>
      </w:r>
      <w:r w:rsidR="003C60ED"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inflation </w:t>
      </w:r>
      <w:r w:rsidR="003C60ED" w:rsidRPr="005D2316">
        <w:rPr>
          <w:rFonts w:eastAsia="Calibri" w:cs="Arial"/>
          <w:lang w:val="fr-FR"/>
        </w:rPr>
        <w:t>de l</w:t>
      </w:r>
      <w:r w:rsidR="0067269A" w:rsidRPr="005D2316">
        <w:rPr>
          <w:rFonts w:eastAsia="Calibri" w:cs="Arial"/>
          <w:lang w:val="fr-FR"/>
        </w:rPr>
        <w:t>’</w:t>
      </w:r>
      <w:r w:rsidR="003C60ED" w:rsidRPr="005D2316">
        <w:rPr>
          <w:rFonts w:eastAsia="Calibri" w:cs="Arial"/>
          <w:lang w:val="fr-FR"/>
        </w:rPr>
        <w:t xml:space="preserve">analyse </w:t>
      </w:r>
      <w:r w:rsidR="00A16EC8" w:rsidRPr="005D2316">
        <w:rPr>
          <w:rFonts w:eastAsia="Calibri" w:cs="Arial"/>
          <w:lang w:val="fr-FR"/>
        </w:rPr>
        <w:t xml:space="preserve">COYU </w:t>
      </w:r>
      <w:r w:rsidR="003C60ED" w:rsidRPr="005D2316">
        <w:rPr>
          <w:rFonts w:eastAsia="Calibri" w:cs="Arial"/>
          <w:lang w:val="fr-FR"/>
        </w:rPr>
        <w:t>pour l</w:t>
      </w:r>
      <w:r w:rsidR="00F52469" w:rsidRPr="005D2316">
        <w:rPr>
          <w:rFonts w:eastAsia="Calibri" w:cs="Arial"/>
          <w:lang w:val="fr-FR"/>
        </w:rPr>
        <w:t>es</w:t>
      </w:r>
      <w:r w:rsidR="003C60ED" w:rsidRPr="005D2316">
        <w:rPr>
          <w:rFonts w:eastAsia="Calibri" w:cs="Arial"/>
          <w:lang w:val="fr-FR"/>
        </w:rPr>
        <w:t xml:space="preserve"> variété</w:t>
      </w:r>
      <w:r w:rsidR="00F52469" w:rsidRPr="005D2316">
        <w:rPr>
          <w:rFonts w:eastAsia="Calibri" w:cs="Arial"/>
          <w:lang w:val="fr-FR"/>
        </w:rPr>
        <w:t>s</w:t>
      </w:r>
      <w:r w:rsidR="003C60ED"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candidate</w:t>
      </w:r>
      <w:r w:rsidR="00F52469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="003C60ED"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n question, </w:t>
      </w:r>
      <w:r w:rsidR="003C60ED" w:rsidRPr="005D2316">
        <w:rPr>
          <w:rFonts w:eastAsia="Calibri" w:cs="Arial"/>
          <w:lang w:val="fr-FR"/>
        </w:rPr>
        <w:t xml:space="preserve">par rapport </w:t>
      </w:r>
      <w:r w:rsidR="00F52469" w:rsidRPr="005D2316">
        <w:rPr>
          <w:rFonts w:eastAsia="Calibri" w:cs="Arial"/>
          <w:lang w:val="fr-FR"/>
        </w:rPr>
        <w:t>aux</w:t>
      </w:r>
      <w:r w:rsidR="003C60ED" w:rsidRPr="005D2316">
        <w:rPr>
          <w:rFonts w:eastAsia="Calibri" w:cs="Arial"/>
          <w:lang w:val="fr-FR"/>
        </w:rPr>
        <w:t xml:space="preserve"> variété</w:t>
      </w:r>
      <w:r w:rsidR="00F52469" w:rsidRPr="005D2316">
        <w:rPr>
          <w:rFonts w:eastAsia="Calibri" w:cs="Arial"/>
          <w:lang w:val="fr-FR"/>
        </w:rPr>
        <w:t>s</w:t>
      </w:r>
      <w:r w:rsidR="003C60ED" w:rsidRPr="005D2316">
        <w:rPr>
          <w:rFonts w:eastAsia="Calibri" w:cs="Arial"/>
          <w:lang w:val="fr-FR"/>
        </w:rPr>
        <w:t xml:space="preserve"> de </w:t>
      </w:r>
      <w:r w:rsidR="00A16EC8" w:rsidRPr="005D2316">
        <w:rPr>
          <w:rFonts w:eastAsia="Calibri" w:cs="Arial"/>
          <w:lang w:val="fr-FR"/>
        </w:rPr>
        <w:t>r</w:t>
      </w:r>
      <w:r w:rsidR="003C60ED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f</w:t>
      </w:r>
      <w:r w:rsidR="003C60ED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 </w:t>
      </w:r>
      <w:r w:rsidR="003C60ED" w:rsidRPr="005D2316">
        <w:rPr>
          <w:rFonts w:eastAsia="Calibri" w:cs="Arial"/>
          <w:lang w:val="fr-FR"/>
        </w:rPr>
        <w:t>l</w:t>
      </w:r>
      <w:r w:rsidR="00F52469" w:rsidRPr="005D2316">
        <w:rPr>
          <w:rFonts w:eastAsia="Calibri" w:cs="Arial"/>
          <w:lang w:val="fr-FR"/>
        </w:rPr>
        <w:t>es</w:t>
      </w:r>
      <w:r w:rsidR="003C60ED" w:rsidRPr="005D2316">
        <w:rPr>
          <w:rFonts w:eastAsia="Calibri" w:cs="Arial"/>
          <w:lang w:val="fr-FR"/>
        </w:rPr>
        <w:t xml:space="preserve"> plus proche</w:t>
      </w:r>
      <w:r w:rsidR="00F52469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>.</w:t>
      </w:r>
    </w:p>
    <w:p w14:paraId="5BD576C9" w14:textId="2BA38318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273AD85C" w14:textId="317C1B17" w:rsidR="00A16EC8" w:rsidRPr="005D2316" w:rsidRDefault="003C60ED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De façon plus dé</w:t>
      </w:r>
      <w:r w:rsidR="00A16EC8" w:rsidRPr="005D2316">
        <w:rPr>
          <w:rFonts w:eastAsia="Calibri" w:cs="Arial"/>
          <w:lang w:val="fr-FR"/>
        </w:rPr>
        <w:t>tail</w:t>
      </w:r>
      <w:r w:rsidRPr="005D2316">
        <w:rPr>
          <w:rFonts w:eastAsia="Calibri" w:cs="Arial"/>
          <w:lang w:val="fr-FR"/>
        </w:rPr>
        <w:t>lée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 xml:space="preserve">pour </w:t>
      </w:r>
      <w:r w:rsidR="00A16EC8" w:rsidRPr="005D2316">
        <w:rPr>
          <w:rFonts w:eastAsia="Calibri" w:cs="Arial"/>
          <w:lang w:val="fr-FR"/>
        </w:rPr>
        <w:t>ch</w:t>
      </w:r>
      <w:r w:rsidRPr="005D2316">
        <w:rPr>
          <w:rFonts w:eastAsia="Calibri" w:cs="Arial"/>
          <w:lang w:val="fr-FR"/>
        </w:rPr>
        <w:t>aque année</w:t>
      </w:r>
      <w:r w:rsidR="00A16EC8" w:rsidRPr="005D2316">
        <w:rPr>
          <w:rFonts w:eastAsia="Calibri" w:cs="Arial"/>
          <w:lang w:val="fr-FR"/>
        </w:rPr>
        <w:t xml:space="preserve">/cycle, </w:t>
      </w: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indice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Pr="005D2316">
        <w:rPr>
          <w:rFonts w:eastAsia="Calibri" w:cs="Arial"/>
          <w:lang w:val="fr-FR"/>
        </w:rPr>
        <w:t xml:space="preserve">est le </w:t>
      </w:r>
      <w:r w:rsidR="00A16EC8" w:rsidRPr="005D2316">
        <w:rPr>
          <w:rFonts w:eastAsia="Calibri" w:cs="Arial"/>
          <w:lang w:val="fr-FR"/>
        </w:rPr>
        <w:t xml:space="preserve">ratio </w:t>
      </w:r>
      <w:r w:rsidRPr="005D2316">
        <w:rPr>
          <w:rFonts w:eastAsia="Calibri" w:cs="Arial"/>
          <w:lang w:val="fr-FR"/>
        </w:rPr>
        <w:t xml:space="preserve">entre les racines carrées des erreurs de prévision avec les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et la variété la plus proc</w:t>
      </w:r>
      <w:r w:rsidR="001A0B67" w:rsidRPr="005D2316">
        <w:rPr>
          <w:rFonts w:eastAsia="Calibri" w:cs="Arial"/>
          <w:lang w:val="fr-FR"/>
        </w:rPr>
        <w:t>he.  Sa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val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u</w:t>
      </w:r>
      <w:r w:rsidRPr="005D2316">
        <w:rPr>
          <w:rFonts w:eastAsia="Calibri" w:cs="Arial"/>
          <w:lang w:val="fr-FR"/>
        </w:rPr>
        <w:t>r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est de</w:t>
      </w:r>
      <w:r w:rsidR="00A16EC8" w:rsidRPr="005D2316">
        <w:rPr>
          <w:rFonts w:eastAsia="Calibri" w:cs="Arial"/>
          <w:lang w:val="fr-FR"/>
        </w:rPr>
        <w:t xml:space="preserve"> 1 </w:t>
      </w:r>
      <w:r w:rsidRPr="005D2316">
        <w:rPr>
          <w:rFonts w:eastAsia="Calibri" w:cs="Arial"/>
          <w:lang w:val="fr-FR"/>
        </w:rPr>
        <w:t>lorsqu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il n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y a strictement aucune </w:t>
      </w:r>
      <w:r w:rsidR="00A16EC8" w:rsidRPr="005D2316">
        <w:rPr>
          <w:rFonts w:eastAsia="Calibri" w:cs="Arial"/>
          <w:lang w:val="fr-FR"/>
        </w:rPr>
        <w:t>extrapolation</w:t>
      </w:r>
      <w:r w:rsidR="005B099C" w:rsidRPr="005D2316">
        <w:rPr>
          <w:rFonts w:eastAsia="Calibri" w:cs="Arial"/>
          <w:lang w:val="fr-FR"/>
        </w:rPr>
        <w:t>,</w:t>
      </w:r>
      <w:r w:rsidRPr="005D2316">
        <w:rPr>
          <w:rFonts w:eastAsia="Calibri" w:cs="Arial"/>
          <w:lang w:val="fr-FR"/>
        </w:rPr>
        <w:t xml:space="preserve"> et supérieure à </w:t>
      </w:r>
      <w:r w:rsidR="00A16EC8" w:rsidRPr="005D2316">
        <w:rPr>
          <w:rFonts w:eastAsia="Calibri" w:cs="Arial"/>
          <w:lang w:val="fr-FR"/>
        </w:rPr>
        <w:t xml:space="preserve">1 </w:t>
      </w:r>
      <w:r w:rsidRPr="005D2316">
        <w:rPr>
          <w:rFonts w:eastAsia="Calibri" w:cs="Arial"/>
          <w:lang w:val="fr-FR"/>
        </w:rPr>
        <w:t>quand l</w:t>
      </w:r>
      <w:r w:rsidR="00F52469" w:rsidRPr="005D2316">
        <w:rPr>
          <w:rFonts w:eastAsia="Calibri" w:cs="Arial"/>
          <w:lang w:val="fr-FR"/>
        </w:rPr>
        <w:t>es</w:t>
      </w:r>
      <w:r w:rsidRPr="005D2316">
        <w:rPr>
          <w:rFonts w:eastAsia="Calibri" w:cs="Arial"/>
          <w:lang w:val="fr-FR"/>
        </w:rPr>
        <w:t xml:space="preserve"> variété</w:t>
      </w:r>
      <w:r w:rsidR="00F52469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candidate</w:t>
      </w:r>
      <w:r w:rsidR="00F52469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s</w:t>
      </w:r>
      <w:r w:rsidR="00F52469" w:rsidRPr="005D2316">
        <w:rPr>
          <w:rFonts w:eastAsia="Calibri" w:cs="Arial"/>
          <w:lang w:val="fr-FR"/>
        </w:rPr>
        <w:t>e situen</w:t>
      </w:r>
      <w:r w:rsidRPr="005D2316">
        <w:rPr>
          <w:rFonts w:eastAsia="Calibri" w:cs="Arial"/>
          <w:lang w:val="fr-FR"/>
        </w:rPr>
        <w:t>t en dehors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amplitude des variétés de ré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ren</w:t>
      </w:r>
      <w:r w:rsidR="001A0B67" w:rsidRPr="005D2316">
        <w:rPr>
          <w:rFonts w:eastAsia="Calibri" w:cs="Arial"/>
          <w:lang w:val="fr-FR"/>
        </w:rPr>
        <w:t>ce.  Pl</w:t>
      </w:r>
      <w:r w:rsidRPr="005D2316">
        <w:rPr>
          <w:rFonts w:eastAsia="Calibri" w:cs="Arial"/>
          <w:lang w:val="fr-FR"/>
        </w:rPr>
        <w:t>us le degré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extrapolation est élevé, plus la</w:t>
      </w:r>
      <w:r w:rsidR="00A16EC8" w:rsidRPr="005D2316">
        <w:rPr>
          <w:rFonts w:eastAsia="Calibri" w:cs="Arial"/>
          <w:lang w:val="fr-FR"/>
        </w:rPr>
        <w:t xml:space="preserve"> val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u</w:t>
      </w:r>
      <w:r w:rsidRPr="005D2316">
        <w:rPr>
          <w:rFonts w:eastAsia="Calibri" w:cs="Arial"/>
          <w:lang w:val="fr-FR"/>
        </w:rPr>
        <w:t>r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augmen</w:t>
      </w:r>
      <w:r w:rsidR="001A0B67" w:rsidRPr="005D2316">
        <w:rPr>
          <w:rFonts w:eastAsia="Calibri" w:cs="Arial"/>
          <w:lang w:val="fr-FR"/>
        </w:rPr>
        <w:t>te.  Da</w:t>
      </w:r>
      <w:r w:rsidRPr="005D2316">
        <w:rPr>
          <w:rFonts w:eastAsia="Calibri" w:cs="Arial"/>
          <w:lang w:val="fr-FR"/>
        </w:rPr>
        <w:t>ns le logiciel mis au point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indice</w:t>
      </w:r>
      <w:r w:rsidR="00A16EC8" w:rsidRPr="005D2316">
        <w:rPr>
          <w:rFonts w:eastAsia="Calibri" w:cs="Arial"/>
          <w:lang w:val="fr-FR"/>
        </w:rPr>
        <w:t xml:space="preserve"> maxim</w:t>
      </w:r>
      <w:r w:rsidRPr="005D2316">
        <w:rPr>
          <w:rFonts w:eastAsia="Calibri" w:cs="Arial"/>
          <w:lang w:val="fr-FR"/>
        </w:rPr>
        <w:t>al sur plusieurs année</w:t>
      </w:r>
      <w:r w:rsidR="00A16EC8" w:rsidRPr="005D2316">
        <w:rPr>
          <w:rFonts w:eastAsia="Calibri" w:cs="Arial"/>
          <w:lang w:val="fr-FR"/>
        </w:rPr>
        <w:t xml:space="preserve">s/cycles </w:t>
      </w:r>
      <w:r w:rsidRPr="005D2316">
        <w:rPr>
          <w:rFonts w:eastAsia="Calibri" w:cs="Arial"/>
          <w:lang w:val="fr-FR"/>
        </w:rPr>
        <w:t>est donné comme indice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extrapolation globa</w:t>
      </w:r>
      <w:r w:rsidR="00A16EC8" w:rsidRPr="005D2316">
        <w:rPr>
          <w:rFonts w:eastAsia="Calibri" w:cs="Arial"/>
          <w:lang w:val="fr-FR"/>
        </w:rPr>
        <w:t xml:space="preserve">l </w:t>
      </w:r>
      <w:r w:rsidRPr="005D2316">
        <w:rPr>
          <w:rFonts w:eastAsia="Calibri" w:cs="Arial"/>
          <w:lang w:val="fr-FR"/>
        </w:rPr>
        <w:t>pour l</w:t>
      </w:r>
      <w:r w:rsidR="00F52469" w:rsidRPr="005D2316">
        <w:rPr>
          <w:rFonts w:eastAsia="Calibri" w:cs="Arial"/>
          <w:lang w:val="fr-FR"/>
        </w:rPr>
        <w:t>es</w:t>
      </w:r>
      <w:r w:rsidRPr="005D2316">
        <w:rPr>
          <w:rFonts w:eastAsia="Calibri" w:cs="Arial"/>
          <w:lang w:val="fr-FR"/>
        </w:rPr>
        <w:t xml:space="preserve"> variété</w:t>
      </w:r>
      <w:r w:rsidR="00F52469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candidate</w:t>
      </w:r>
      <w:r w:rsidR="00F52469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>.</w:t>
      </w:r>
    </w:p>
    <w:p w14:paraId="178B0503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4B4BF16C" w14:textId="4CF7EB32" w:rsidR="00A16EC8" w:rsidRPr="005D2316" w:rsidRDefault="00942A44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La </w:t>
      </w:r>
      <w:r w:rsidR="0031006F" w:rsidRPr="005D2316">
        <w:rPr>
          <w:rFonts w:eastAsia="Calibri" w:cs="Arial"/>
          <w:lang w:val="fr-FR"/>
        </w:rPr>
        <w:t>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4 </w:t>
      </w:r>
      <w:r w:rsidRPr="005D2316">
        <w:rPr>
          <w:rFonts w:eastAsia="Calibri" w:cs="Arial"/>
          <w:lang w:val="fr-FR"/>
        </w:rPr>
        <w:t>montre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augmentation de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xtrapolation </w:t>
      </w:r>
      <w:r w:rsidRPr="005D2316">
        <w:rPr>
          <w:rFonts w:eastAsia="Calibri" w:cs="Arial"/>
          <w:lang w:val="fr-FR"/>
        </w:rPr>
        <w:t>en dehors des variétés de ré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ren</w:t>
      </w:r>
      <w:r w:rsidR="001A0B67" w:rsidRPr="005D2316">
        <w:rPr>
          <w:rFonts w:eastAsia="Calibri" w:cs="Arial"/>
          <w:lang w:val="fr-FR"/>
        </w:rPr>
        <w:t>ce.  L’i</w:t>
      </w:r>
      <w:r w:rsidR="00A16EC8" w:rsidRPr="005D2316">
        <w:rPr>
          <w:rFonts w:eastAsia="Calibri" w:cs="Arial"/>
          <w:lang w:val="fr-FR"/>
        </w:rPr>
        <w:t>nd</w:t>
      </w:r>
      <w:r w:rsidRPr="005D2316">
        <w:rPr>
          <w:rFonts w:eastAsia="Calibri" w:cs="Arial"/>
          <w:lang w:val="fr-FR"/>
        </w:rPr>
        <w:t>ice augmente à un rythme plus lent lorsqu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il y a </w:t>
      </w:r>
      <w:r w:rsidR="005B099C" w:rsidRPr="005D2316">
        <w:rPr>
          <w:rFonts w:eastAsia="Calibri" w:cs="Arial"/>
          <w:lang w:val="fr-FR"/>
        </w:rPr>
        <w:t>un plus grand nombre</w:t>
      </w:r>
      <w:r w:rsidRPr="005D2316">
        <w:rPr>
          <w:rFonts w:eastAsia="Calibri" w:cs="Arial"/>
          <w:lang w:val="fr-FR"/>
        </w:rPr>
        <w:t xml:space="preserve"> de variétés de ré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ren</w:t>
      </w:r>
      <w:r w:rsidR="001A0B67" w:rsidRPr="005D2316">
        <w:rPr>
          <w:rFonts w:eastAsia="Calibri" w:cs="Arial"/>
          <w:lang w:val="fr-FR"/>
        </w:rPr>
        <w:t>ce.  Ce</w:t>
      </w:r>
      <w:r w:rsidRPr="005D2316">
        <w:rPr>
          <w:rFonts w:eastAsia="Calibri" w:cs="Arial"/>
          <w:lang w:val="fr-FR"/>
        </w:rPr>
        <w:t>la reflè</w:t>
      </w:r>
      <w:r w:rsidR="00A16EC8" w:rsidRPr="005D2316">
        <w:rPr>
          <w:rFonts w:eastAsia="Calibri" w:cs="Arial"/>
          <w:lang w:val="fr-FR"/>
        </w:rPr>
        <w:t>t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une </w:t>
      </w:r>
      <w:r w:rsidR="00A16EC8" w:rsidRPr="005D2316">
        <w:rPr>
          <w:rFonts w:eastAsia="Calibri" w:cs="Arial"/>
          <w:lang w:val="fr-FR"/>
        </w:rPr>
        <w:t>certi</w:t>
      </w:r>
      <w:r w:rsidRPr="005D2316">
        <w:rPr>
          <w:rFonts w:eastAsia="Calibri" w:cs="Arial"/>
          <w:lang w:val="fr-FR"/>
        </w:rPr>
        <w:t xml:space="preserve">tude plus forte envers la tendance </w:t>
      </w:r>
      <w:r w:rsidR="00A16EC8" w:rsidRPr="005D2316">
        <w:rPr>
          <w:rFonts w:eastAsia="Calibri" w:cs="Arial"/>
          <w:lang w:val="fr-FR"/>
        </w:rPr>
        <w:t>estim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51"/>
      </w:tblGrid>
      <w:tr w:rsidR="00A16EC8" w:rsidRPr="005D2316" w14:paraId="7223A8CD" w14:textId="77777777" w:rsidTr="004C1C17">
        <w:tc>
          <w:tcPr>
            <w:tcW w:w="4513" w:type="dxa"/>
          </w:tcPr>
          <w:p w14:paraId="3B7991F4" w14:textId="77777777" w:rsidR="00A16EC8" w:rsidRPr="005D2316" w:rsidRDefault="00A16EC8" w:rsidP="004C1C17">
            <w:pPr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noProof/>
                <w:lang w:eastAsia="ja-JP"/>
              </w:rPr>
              <w:lastRenderedPageBreak/>
              <w:drawing>
                <wp:inline distT="0" distB="0" distL="0" distR="0" wp14:anchorId="0ED47A03" wp14:editId="08597426">
                  <wp:extent cx="2879725" cy="288000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madeup_example_extrap_20obs.wmf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857" b="33850"/>
                          <a:stretch/>
                        </pic:blipFill>
                        <pic:spPr bwMode="auto">
                          <a:xfrm>
                            <a:off x="0" y="0"/>
                            <a:ext cx="2883600" cy="28838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3" w:type="dxa"/>
          </w:tcPr>
          <w:p w14:paraId="41E10FB0" w14:textId="77777777" w:rsidR="00A16EC8" w:rsidRPr="005D2316" w:rsidRDefault="00A16EC8" w:rsidP="004C1C17">
            <w:pPr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noProof/>
                <w:lang w:eastAsia="ja-JP"/>
              </w:rPr>
              <w:drawing>
                <wp:inline distT="0" distB="0" distL="0" distR="0" wp14:anchorId="6AC98BFA" wp14:editId="510BDC2C">
                  <wp:extent cx="2879725" cy="2880000"/>
                  <wp:effectExtent l="0" t="0" r="0" b="0"/>
                  <wp:docPr id="88" name="Picture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madeup_example_extrap_50obs.wmf"/>
                          <pic:cNvPicPr/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3905" b="33899"/>
                          <a:stretch/>
                        </pic:blipFill>
                        <pic:spPr bwMode="auto">
                          <a:xfrm>
                            <a:off x="0" y="0"/>
                            <a:ext cx="2882184" cy="28824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6EC8" w:rsidRPr="005D2316" w14:paraId="7D16589C" w14:textId="77777777" w:rsidTr="004C1C17">
        <w:tc>
          <w:tcPr>
            <w:tcW w:w="4513" w:type="dxa"/>
          </w:tcPr>
          <w:p w14:paraId="5D0FC6D1" w14:textId="305CC168" w:rsidR="00A16EC8" w:rsidRPr="005D2316" w:rsidRDefault="00A16EC8" w:rsidP="0028590D">
            <w:pPr>
              <w:numPr>
                <w:ilvl w:val="0"/>
                <w:numId w:val="3"/>
              </w:numPr>
              <w:ind w:hanging="407"/>
              <w:contextualSpacing/>
              <w:jc w:val="left"/>
              <w:rPr>
                <w:rFonts w:ascii="Calibri" w:hAnsi="Calibri"/>
                <w:i/>
                <w:noProof/>
                <w:lang w:val="fr-FR" w:eastAsia="en-GB"/>
              </w:rPr>
            </w:pPr>
            <w:r w:rsidRPr="005D2316">
              <w:rPr>
                <w:rFonts w:ascii="Calibri" w:hAnsi="Calibri"/>
                <w:i/>
                <w:noProof/>
                <w:lang w:val="fr-FR" w:eastAsia="en-GB"/>
              </w:rPr>
              <w:t xml:space="preserve">20 </w:t>
            </w:r>
            <w:r w:rsidR="00942A44" w:rsidRPr="005D2316">
              <w:rPr>
                <w:rFonts w:ascii="Calibri" w:hAnsi="Calibri"/>
                <w:i/>
                <w:noProof/>
                <w:lang w:val="fr-FR" w:eastAsia="en-GB"/>
              </w:rPr>
              <w:t xml:space="preserve">variétés de </w:t>
            </w:r>
            <w:r w:rsidRPr="005D2316">
              <w:rPr>
                <w:rFonts w:ascii="Calibri" w:hAnsi="Calibri"/>
                <w:i/>
                <w:noProof/>
                <w:lang w:val="fr-FR" w:eastAsia="en-GB"/>
              </w:rPr>
              <w:t>r</w:t>
            </w:r>
            <w:r w:rsidR="00942A44" w:rsidRPr="005D2316">
              <w:rPr>
                <w:rFonts w:ascii="Calibri" w:hAnsi="Calibri"/>
                <w:i/>
                <w:noProof/>
                <w:lang w:val="fr-FR" w:eastAsia="en-GB"/>
              </w:rPr>
              <w:t>é</w:t>
            </w:r>
            <w:r w:rsidRPr="005D2316">
              <w:rPr>
                <w:rFonts w:ascii="Calibri" w:hAnsi="Calibri"/>
                <w:i/>
                <w:noProof/>
                <w:lang w:val="fr-FR" w:eastAsia="en-GB"/>
              </w:rPr>
              <w:t>f</w:t>
            </w:r>
            <w:r w:rsidR="00942A44" w:rsidRPr="005D2316">
              <w:rPr>
                <w:rFonts w:ascii="Calibri" w:hAnsi="Calibri"/>
                <w:i/>
                <w:noProof/>
                <w:lang w:val="fr-FR" w:eastAsia="en-GB"/>
              </w:rPr>
              <w:t>é</w:t>
            </w:r>
            <w:r w:rsidRPr="005D2316">
              <w:rPr>
                <w:rFonts w:ascii="Calibri" w:hAnsi="Calibri"/>
                <w:i/>
                <w:noProof/>
                <w:lang w:val="fr-FR" w:eastAsia="en-GB"/>
              </w:rPr>
              <w:t>rence</w:t>
            </w:r>
          </w:p>
        </w:tc>
        <w:tc>
          <w:tcPr>
            <w:tcW w:w="4513" w:type="dxa"/>
          </w:tcPr>
          <w:p w14:paraId="414B33FD" w14:textId="6C6BE994" w:rsidR="00A16EC8" w:rsidRPr="005D2316" w:rsidRDefault="00A16EC8" w:rsidP="004C1C17">
            <w:pPr>
              <w:numPr>
                <w:ilvl w:val="0"/>
                <w:numId w:val="3"/>
              </w:numPr>
              <w:contextualSpacing/>
              <w:jc w:val="left"/>
              <w:rPr>
                <w:rFonts w:ascii="Calibri" w:hAnsi="Calibri"/>
                <w:i/>
                <w:noProof/>
                <w:lang w:val="fr-FR" w:eastAsia="en-GB"/>
              </w:rPr>
            </w:pPr>
            <w:r w:rsidRPr="005D2316">
              <w:rPr>
                <w:rFonts w:ascii="Calibri" w:hAnsi="Calibri"/>
                <w:i/>
                <w:noProof/>
                <w:lang w:val="fr-FR" w:eastAsia="en-GB"/>
              </w:rPr>
              <w:t xml:space="preserve">50 </w:t>
            </w:r>
            <w:r w:rsidR="00942A44" w:rsidRPr="005D2316">
              <w:rPr>
                <w:rFonts w:ascii="Calibri" w:hAnsi="Calibri"/>
                <w:i/>
                <w:noProof/>
                <w:lang w:val="fr-FR" w:eastAsia="en-GB"/>
              </w:rPr>
              <w:t>variétés de référence</w:t>
            </w:r>
          </w:p>
        </w:tc>
      </w:tr>
    </w:tbl>
    <w:p w14:paraId="5D52417F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37A78379" w14:textId="0B219FF9" w:rsidR="00A16EC8" w:rsidRPr="005D2316" w:rsidRDefault="00A16EC8" w:rsidP="00A16EC8">
      <w:pPr>
        <w:rPr>
          <w:rFonts w:eastAsia="Calibri" w:cs="Arial"/>
          <w:i/>
          <w:sz w:val="18"/>
          <w:szCs w:val="18"/>
          <w:lang w:val="fr-FR"/>
        </w:rPr>
      </w:pPr>
      <w:r w:rsidRPr="005D2316">
        <w:rPr>
          <w:rFonts w:eastAsia="Calibri" w:cs="Arial"/>
          <w:b/>
          <w:i/>
          <w:sz w:val="18"/>
          <w:szCs w:val="18"/>
          <w:lang w:val="fr-FR"/>
        </w:rPr>
        <w:t>Figure</w:t>
      </w:r>
      <w:r w:rsidR="00A2333E" w:rsidRPr="005D2316">
        <w:rPr>
          <w:rFonts w:eastAsia="Calibri" w:cs="Arial"/>
          <w:b/>
          <w:i/>
          <w:sz w:val="18"/>
          <w:szCs w:val="18"/>
          <w:lang w:val="fr-FR"/>
        </w:rPr>
        <w:t> </w:t>
      </w:r>
      <w:r w:rsidRPr="005D2316">
        <w:rPr>
          <w:rFonts w:eastAsia="Calibri" w:cs="Arial"/>
          <w:b/>
          <w:i/>
          <w:sz w:val="18"/>
          <w:szCs w:val="18"/>
          <w:lang w:val="fr-FR"/>
        </w:rPr>
        <w:t>4</w:t>
      </w:r>
      <w:r w:rsidR="0067269A" w:rsidRPr="005D2316">
        <w:rPr>
          <w:rFonts w:eastAsia="Calibri" w:cs="Arial"/>
          <w:b/>
          <w:i/>
          <w:sz w:val="18"/>
          <w:szCs w:val="18"/>
          <w:lang w:val="fr-FR"/>
        </w:rPr>
        <w:t> :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Ici, deux</w:t>
      </w:r>
      <w:r w:rsidR="00A2333E" w:rsidRPr="005D2316">
        <w:rPr>
          <w:rFonts w:eastAsia="Calibri" w:cs="Arial"/>
          <w:i/>
          <w:sz w:val="18"/>
          <w:szCs w:val="18"/>
          <w:lang w:val="fr-FR"/>
        </w:rPr>
        <w:t> </w:t>
      </w:r>
      <w:r w:rsidRPr="005D2316">
        <w:rPr>
          <w:rFonts w:eastAsia="Calibri" w:cs="Arial"/>
          <w:i/>
          <w:sz w:val="18"/>
          <w:szCs w:val="18"/>
          <w:lang w:val="fr-FR"/>
        </w:rPr>
        <w:t>ex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mples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montrant l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augmentation de l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indice d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xtrapolation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 xml:space="preserve">au fur et à mesure </w:t>
      </w:r>
      <w:r w:rsidR="005B099C" w:rsidRPr="005D2316">
        <w:rPr>
          <w:rFonts w:eastAsia="Calibri" w:cs="Arial"/>
          <w:i/>
          <w:sz w:val="18"/>
          <w:szCs w:val="18"/>
          <w:lang w:val="fr-FR"/>
        </w:rPr>
        <w:t>qu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il s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 xml:space="preserve">écarte des variétés de </w:t>
      </w:r>
      <w:r w:rsidRPr="005D2316">
        <w:rPr>
          <w:rFonts w:eastAsia="Calibri" w:cs="Arial"/>
          <w:i/>
          <w:sz w:val="18"/>
          <w:szCs w:val="18"/>
          <w:lang w:val="fr-FR"/>
        </w:rPr>
        <w:t>r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f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rence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extern</w:t>
      </w:r>
      <w:r w:rsidR="001A0B67" w:rsidRPr="005D2316">
        <w:rPr>
          <w:rFonts w:eastAsia="Calibri" w:cs="Arial"/>
          <w:i/>
          <w:sz w:val="18"/>
          <w:szCs w:val="18"/>
          <w:lang w:val="fr-FR"/>
        </w:rPr>
        <w:t>es.  Le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s lignes v</w:t>
      </w:r>
      <w:r w:rsidRPr="005D2316">
        <w:rPr>
          <w:rFonts w:eastAsia="Calibri" w:cs="Arial"/>
          <w:i/>
          <w:sz w:val="18"/>
          <w:szCs w:val="18"/>
          <w:lang w:val="fr-FR"/>
        </w:rPr>
        <w:t>ertical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es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en pointillé in</w:t>
      </w:r>
      <w:r w:rsidRPr="005D2316">
        <w:rPr>
          <w:rFonts w:eastAsia="Calibri" w:cs="Arial"/>
          <w:i/>
          <w:sz w:val="18"/>
          <w:szCs w:val="18"/>
          <w:lang w:val="fr-FR"/>
        </w:rPr>
        <w:t>di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quent l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indice d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>extrapolation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,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avec des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val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e</w:t>
      </w:r>
      <w:r w:rsidRPr="005D2316">
        <w:rPr>
          <w:rFonts w:eastAsia="Calibri" w:cs="Arial"/>
          <w:i/>
          <w:sz w:val="18"/>
          <w:szCs w:val="18"/>
          <w:lang w:val="fr-FR"/>
        </w:rPr>
        <w:t>u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r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s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 xml:space="preserve">allant de </w:t>
      </w:r>
      <w:r w:rsidRPr="005D2316">
        <w:rPr>
          <w:rFonts w:eastAsia="Calibri" w:cs="Arial"/>
          <w:i/>
          <w:sz w:val="18"/>
          <w:szCs w:val="18"/>
          <w:lang w:val="fr-FR"/>
        </w:rPr>
        <w:t>1</w:t>
      </w:r>
      <w:r w:rsidR="005B099C" w:rsidRPr="005D2316">
        <w:rPr>
          <w:rFonts w:eastAsia="Calibri" w:cs="Arial"/>
          <w:i/>
          <w:sz w:val="18"/>
          <w:szCs w:val="18"/>
          <w:lang w:val="fr-FR"/>
        </w:rPr>
        <w:t>,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1 </w:t>
      </w:r>
      <w:r w:rsidR="00942A44" w:rsidRPr="005D2316">
        <w:rPr>
          <w:rFonts w:eastAsia="Calibri" w:cs="Arial"/>
          <w:i/>
          <w:sz w:val="18"/>
          <w:szCs w:val="18"/>
          <w:lang w:val="fr-FR"/>
        </w:rPr>
        <w:t>à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2</w:t>
      </w:r>
      <w:r w:rsidR="005B099C" w:rsidRPr="005D2316">
        <w:rPr>
          <w:rFonts w:eastAsia="Calibri" w:cs="Arial"/>
          <w:i/>
          <w:sz w:val="18"/>
          <w:szCs w:val="18"/>
          <w:lang w:val="fr-FR"/>
        </w:rPr>
        <w:t>,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0. </w:t>
      </w:r>
      <w:r w:rsidR="00A2333E"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28590D">
        <w:rPr>
          <w:rFonts w:eastAsia="Calibri" w:cs="Arial"/>
          <w:i/>
          <w:sz w:val="18"/>
          <w:szCs w:val="18"/>
          <w:lang w:val="fr-FR"/>
        </w:rPr>
        <w:t>Le graphique </w:t>
      </w:r>
      <w:r w:rsidRPr="005D2316">
        <w:rPr>
          <w:rFonts w:eastAsia="Calibri" w:cs="Arial"/>
          <w:i/>
          <w:sz w:val="18"/>
          <w:szCs w:val="18"/>
          <w:lang w:val="fr-FR"/>
        </w:rPr>
        <w:t>a)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 xml:space="preserve"> présente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20 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 xml:space="preserve">variétés de </w:t>
      </w:r>
      <w:r w:rsidRPr="005D2316">
        <w:rPr>
          <w:rFonts w:eastAsia="Calibri" w:cs="Arial"/>
          <w:i/>
          <w:sz w:val="18"/>
          <w:szCs w:val="18"/>
          <w:lang w:val="fr-FR"/>
        </w:rPr>
        <w:t>r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f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rence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 xml:space="preserve"> et le graphique</w:t>
      </w:r>
      <w:r w:rsidR="0028590D">
        <w:rPr>
          <w:rFonts w:eastAsia="Calibri" w:cs="Arial"/>
          <w:i/>
          <w:sz w:val="18"/>
          <w:szCs w:val="18"/>
          <w:lang w:val="fr-FR"/>
        </w:rPr>
        <w:t> </w:t>
      </w:r>
      <w:r w:rsidRPr="005D2316">
        <w:rPr>
          <w:rFonts w:eastAsia="Calibri" w:cs="Arial"/>
          <w:i/>
          <w:sz w:val="18"/>
          <w:szCs w:val="18"/>
          <w:lang w:val="fr-FR"/>
        </w:rPr>
        <w:t>b)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>,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50</w:t>
      </w:r>
      <w:r w:rsidR="006B5134" w:rsidRPr="005D2316">
        <w:rPr>
          <w:rFonts w:eastAsia="Calibri" w:cs="Arial"/>
          <w:i/>
          <w:sz w:val="18"/>
          <w:szCs w:val="18"/>
          <w:lang w:val="fr-FR"/>
        </w:rPr>
        <w:t>.</w:t>
      </w:r>
    </w:p>
    <w:p w14:paraId="306B86BC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281CA29B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D96D2A5" w14:textId="5911BD84" w:rsidR="00A16EC8" w:rsidRPr="005D2316" w:rsidRDefault="006B5134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Nous </w:t>
      </w:r>
      <w:r w:rsidR="00A16EC8" w:rsidRPr="005D2316">
        <w:rPr>
          <w:rFonts w:eastAsia="Calibri" w:cs="Arial"/>
          <w:lang w:val="fr-FR"/>
        </w:rPr>
        <w:t>propos</w:t>
      </w:r>
      <w:r w:rsidRPr="005D2316">
        <w:rPr>
          <w:rFonts w:eastAsia="Calibri" w:cs="Arial"/>
          <w:lang w:val="fr-FR"/>
        </w:rPr>
        <w:t>ons de fixer un seuil pour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indice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extrapolation</w:t>
      </w:r>
      <w:r w:rsidRPr="005D2316">
        <w:rPr>
          <w:rFonts w:eastAsia="Calibri" w:cs="Arial"/>
          <w:lang w:val="fr-FR"/>
        </w:rPr>
        <w:t xml:space="preserve"> à un niveau tel que </w:t>
      </w:r>
      <w:r w:rsidR="005B099C" w:rsidRPr="005D2316">
        <w:rPr>
          <w:rFonts w:eastAsia="Calibri" w:cs="Arial"/>
          <w:lang w:val="fr-FR"/>
        </w:rPr>
        <w:t xml:space="preserve">la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Pr="005D2316">
        <w:rPr>
          <w:rFonts w:eastAsia="Calibri" w:cs="Arial"/>
          <w:lang w:val="fr-FR"/>
        </w:rPr>
        <w:t>ne soit pas utilisé</w:t>
      </w:r>
      <w:r w:rsidR="005B099C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 en cas de dépassement dudit seu</w:t>
      </w:r>
      <w:r w:rsidR="001A0B67" w:rsidRPr="005D2316">
        <w:rPr>
          <w:rFonts w:eastAsia="Calibri" w:cs="Arial"/>
          <w:lang w:val="fr-FR"/>
        </w:rPr>
        <w:t>il.  Le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choi</w:t>
      </w:r>
      <w:r w:rsidRPr="005D2316">
        <w:rPr>
          <w:rFonts w:eastAsia="Calibri" w:cs="Arial"/>
          <w:lang w:val="fr-FR"/>
        </w:rPr>
        <w:t>x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un seuil est un choix</w:t>
      </w:r>
      <w:r w:rsidR="00A16EC8" w:rsidRPr="005D2316">
        <w:rPr>
          <w:rFonts w:eastAsia="Calibri" w:cs="Arial"/>
          <w:lang w:val="fr-FR"/>
        </w:rPr>
        <w:t xml:space="preserve"> subjecti</w:t>
      </w:r>
      <w:r w:rsidRPr="005D2316">
        <w:rPr>
          <w:rFonts w:eastAsia="Calibri" w:cs="Arial"/>
          <w:lang w:val="fr-FR"/>
        </w:rPr>
        <w:t>f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qui doit pondérer les considérations pratique</w:t>
      </w:r>
      <w:r w:rsidR="00A16EC8" w:rsidRPr="005D2316">
        <w:rPr>
          <w:rFonts w:eastAsia="Calibri" w:cs="Arial"/>
          <w:lang w:val="fr-FR"/>
        </w:rPr>
        <w:t xml:space="preserve">s </w:t>
      </w:r>
      <w:r w:rsidRPr="005D2316">
        <w:rPr>
          <w:rFonts w:eastAsia="Calibri" w:cs="Arial"/>
          <w:lang w:val="fr-FR"/>
        </w:rPr>
        <w:t xml:space="preserve">liées à un nombre trop élevé de cas avec extrapolation au regard de la nécessaire prise de décisions </w:t>
      </w:r>
      <w:r w:rsidR="00A16EC8" w:rsidRPr="005D2316">
        <w:rPr>
          <w:rFonts w:eastAsia="Calibri" w:cs="Arial"/>
          <w:lang w:val="fr-FR"/>
        </w:rPr>
        <w:t>fond</w:t>
      </w:r>
      <w:r w:rsidRPr="005D2316">
        <w:rPr>
          <w:rFonts w:eastAsia="Calibri" w:cs="Arial"/>
          <w:lang w:val="fr-FR"/>
        </w:rPr>
        <w:t>é</w:t>
      </w:r>
      <w:r w:rsidR="001A0B67" w:rsidRPr="005D2316">
        <w:rPr>
          <w:rFonts w:eastAsia="Calibri" w:cs="Arial"/>
          <w:lang w:val="fr-FR"/>
        </w:rPr>
        <w:t>es.  Il</w:t>
      </w:r>
      <w:r w:rsidRPr="005D2316">
        <w:rPr>
          <w:rFonts w:eastAsia="Calibri" w:cs="Arial"/>
          <w:lang w:val="fr-FR"/>
        </w:rPr>
        <w:t xml:space="preserve"> serait profitable de convenir de fixer un seuil pour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utilisation de </w:t>
      </w:r>
      <w:r w:rsidR="00A16EC8" w:rsidRPr="005D2316">
        <w:rPr>
          <w:rFonts w:eastAsia="Calibri" w:cs="Arial"/>
          <w:lang w:val="fr-FR"/>
        </w:rPr>
        <w:t xml:space="preserve">COYU, </w:t>
      </w:r>
      <w:r w:rsidRPr="005D2316">
        <w:rPr>
          <w:rFonts w:eastAsia="Calibri" w:cs="Arial"/>
          <w:lang w:val="fr-FR"/>
        </w:rPr>
        <w:t>et cela suppose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en </w:t>
      </w:r>
      <w:r w:rsidR="00A16EC8" w:rsidRPr="005D2316">
        <w:rPr>
          <w:rFonts w:eastAsia="Calibri" w:cs="Arial"/>
          <w:lang w:val="fr-FR"/>
        </w:rPr>
        <w:t>discu</w:t>
      </w:r>
      <w:r w:rsidRPr="005D2316">
        <w:rPr>
          <w:rFonts w:eastAsia="Calibri" w:cs="Arial"/>
          <w:lang w:val="fr-FR"/>
        </w:rPr>
        <w:t>ter</w:t>
      </w:r>
      <w:r w:rsidR="00A16EC8" w:rsidRPr="005D2316">
        <w:rPr>
          <w:rFonts w:eastAsia="Calibri" w:cs="Arial"/>
          <w:lang w:val="fr-FR"/>
        </w:rPr>
        <w:t>.</w:t>
      </w:r>
    </w:p>
    <w:p w14:paraId="4E1C08F0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248FC8EA" w14:textId="70C1D0F1" w:rsidR="00A16EC8" w:rsidRPr="005D2316" w:rsidRDefault="00097871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U</w:t>
      </w:r>
      <w:r w:rsidR="006B5134" w:rsidRPr="005D2316">
        <w:rPr>
          <w:rFonts w:eastAsia="Calibri" w:cs="Arial"/>
          <w:lang w:val="fr-FR"/>
        </w:rPr>
        <w:t>ne</w:t>
      </w:r>
      <w:r w:rsidRPr="005D2316">
        <w:rPr>
          <w:rFonts w:eastAsia="Calibri" w:cs="Arial"/>
          <w:lang w:val="fr-FR"/>
        </w:rPr>
        <w:t xml:space="preserve"> </w:t>
      </w:r>
      <w:r w:rsidR="006B5134" w:rsidRPr="005D2316">
        <w:rPr>
          <w:rFonts w:eastAsia="Calibri" w:cs="Arial"/>
          <w:lang w:val="fr-FR"/>
        </w:rPr>
        <w:t xml:space="preserve">étude récente du </w:t>
      </w:r>
      <w:r w:rsidR="00592AEC" w:rsidRPr="005D2316">
        <w:rPr>
          <w:rFonts w:eastAsia="Calibri" w:cs="Arial"/>
          <w:lang w:val="fr-FR"/>
        </w:rPr>
        <w:t>Royaume</w:t>
      </w:r>
      <w:r w:rsidR="0067269A" w:rsidRPr="005D2316">
        <w:rPr>
          <w:rFonts w:eastAsia="Calibri" w:cs="Arial"/>
          <w:lang w:val="fr-FR"/>
        </w:rPr>
        <w:t>-</w:t>
      </w:r>
      <w:r w:rsidR="00592AEC" w:rsidRPr="005D2316">
        <w:rPr>
          <w:rFonts w:eastAsia="Calibri" w:cs="Arial"/>
          <w:lang w:val="fr-FR"/>
        </w:rPr>
        <w:t>Uni</w:t>
      </w:r>
      <w:r w:rsidR="00A16EC8" w:rsidRPr="005D2316">
        <w:rPr>
          <w:rFonts w:eastAsia="Calibri" w:cs="Arial"/>
          <w:lang w:val="fr-FR"/>
        </w:rPr>
        <w:t xml:space="preserve"> compar</w:t>
      </w:r>
      <w:r w:rsidR="006B5134" w:rsidRPr="005D2316">
        <w:rPr>
          <w:rFonts w:eastAsia="Calibri" w:cs="Arial"/>
          <w:lang w:val="fr-FR"/>
        </w:rPr>
        <w:t>ant l</w:t>
      </w:r>
      <w:r w:rsidR="0067269A" w:rsidRPr="005D2316">
        <w:rPr>
          <w:rFonts w:eastAsia="Calibri" w:cs="Arial"/>
          <w:lang w:val="fr-FR"/>
        </w:rPr>
        <w:t>’</w:t>
      </w:r>
      <w:r w:rsidR="006B5134" w:rsidRPr="005D2316">
        <w:rPr>
          <w:rFonts w:eastAsia="Calibri" w:cs="Arial"/>
          <w:lang w:val="fr-FR"/>
        </w:rPr>
        <w:t xml:space="preserve">ancienne et la nouvelle méthode </w:t>
      </w:r>
      <w:r w:rsidR="00A16EC8" w:rsidRPr="005D2316">
        <w:rPr>
          <w:rFonts w:eastAsia="Calibri" w:cs="Arial"/>
          <w:lang w:val="fr-FR"/>
        </w:rPr>
        <w:t>COYU</w:t>
      </w:r>
      <w:r w:rsidRPr="005D2316">
        <w:rPr>
          <w:rFonts w:eastAsia="Calibri" w:cs="Arial"/>
          <w:lang w:val="fr-FR"/>
        </w:rPr>
        <w:t xml:space="preserve"> présentait une </w:t>
      </w:r>
      <w:r w:rsidR="00A16EC8" w:rsidRPr="005D2316">
        <w:rPr>
          <w:rFonts w:eastAsia="Calibri" w:cs="Arial"/>
          <w:lang w:val="fr-FR"/>
        </w:rPr>
        <w:t>analys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des incidences </w:t>
      </w:r>
      <w:r w:rsidR="005B099C" w:rsidRPr="005D2316">
        <w:rPr>
          <w:rFonts w:eastAsia="Calibri" w:cs="Arial"/>
          <w:lang w:val="fr-FR"/>
        </w:rPr>
        <w:t>éventuelles d</w:t>
      </w:r>
      <w:r w:rsidRPr="005D2316">
        <w:rPr>
          <w:rFonts w:eastAsia="Calibri" w:cs="Arial"/>
          <w:lang w:val="fr-FR"/>
        </w:rPr>
        <w:t>e seuils d</w:t>
      </w:r>
      <w:r w:rsidR="00A16EC8" w:rsidRPr="005D2316">
        <w:rPr>
          <w:rFonts w:eastAsia="Calibri" w:cs="Arial"/>
          <w:lang w:val="fr-FR"/>
        </w:rPr>
        <w:t>iff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rent</w:t>
      </w:r>
      <w:r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pour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indice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extrapolation</w:t>
      </w:r>
      <w:r w:rsidRPr="005D2316">
        <w:rPr>
          <w:lang w:val="fr-FR"/>
        </w:rPr>
        <w:t xml:space="preserve"> </w:t>
      </w:r>
      <w:r w:rsidRPr="005D2316">
        <w:rPr>
          <w:rFonts w:eastAsia="Calibri" w:cs="Arial"/>
          <w:lang w:val="fr-FR"/>
        </w:rPr>
        <w:t>sur le nombre de cas identifi</w:t>
      </w:r>
      <w:r w:rsidR="001A0B67" w:rsidRPr="005D2316">
        <w:rPr>
          <w:rFonts w:eastAsia="Calibri" w:cs="Arial"/>
          <w:lang w:val="fr-FR"/>
        </w:rPr>
        <w:t>és.  L’é</w:t>
      </w:r>
      <w:r w:rsidRPr="005D2316">
        <w:rPr>
          <w:rFonts w:eastAsia="Calibri" w:cs="Arial"/>
          <w:lang w:val="fr-FR"/>
        </w:rPr>
        <w:t>tude couvrait trois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années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analyse de résultats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>portant sur quatre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>ous</w:t>
      </w:r>
      <w:r w:rsidR="0067269A" w:rsidRPr="005D2316">
        <w:rPr>
          <w:rFonts w:eastAsia="Calibri" w:cs="Arial"/>
          <w:lang w:val="fr-FR"/>
        </w:rPr>
        <w:t>-</w:t>
      </w:r>
      <w:r w:rsidR="00A16EC8" w:rsidRPr="005D2316">
        <w:rPr>
          <w:rFonts w:eastAsia="Calibri" w:cs="Arial"/>
          <w:lang w:val="fr-FR"/>
        </w:rPr>
        <w:t>group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s </w:t>
      </w:r>
      <w:r w:rsidRPr="005D2316">
        <w:rPr>
          <w:rFonts w:eastAsia="Calibri" w:cs="Arial"/>
          <w:lang w:val="fr-FR"/>
        </w:rPr>
        <w:t>de</w:t>
      </w:r>
      <w:r w:rsidR="00A16EC8" w:rsidRPr="005D2316">
        <w:rPr>
          <w:rFonts w:eastAsia="Calibri" w:cs="Arial"/>
          <w:lang w:val="fr-FR"/>
        </w:rPr>
        <w:t xml:space="preserve"> r</w:t>
      </w:r>
      <w:r w:rsidRPr="005D2316">
        <w:rPr>
          <w:rFonts w:eastAsia="Calibri" w:cs="Arial"/>
          <w:lang w:val="fr-FR"/>
        </w:rPr>
        <w:t>a</w:t>
      </w:r>
      <w:r w:rsidR="00A16EC8" w:rsidRPr="005D2316">
        <w:rPr>
          <w:rFonts w:eastAsia="Calibri" w:cs="Arial"/>
          <w:lang w:val="fr-FR"/>
        </w:rPr>
        <w:t>y</w:t>
      </w:r>
      <w:r w:rsidR="0067269A" w:rsidRPr="005D2316">
        <w:rPr>
          <w:rFonts w:eastAsia="Calibri" w:cs="Arial"/>
          <w:lang w:val="fr-FR"/>
        </w:rPr>
        <w:t>-</w:t>
      </w:r>
      <w:r w:rsidR="00A16EC8" w:rsidRPr="005D2316">
        <w:rPr>
          <w:rFonts w:eastAsia="Calibri" w:cs="Arial"/>
          <w:lang w:val="fr-FR"/>
        </w:rPr>
        <w:t>grass</w:t>
      </w:r>
      <w:r w:rsidRPr="005D2316">
        <w:rPr>
          <w:rFonts w:eastAsia="Calibri" w:cs="Arial"/>
          <w:lang w:val="fr-FR"/>
        </w:rPr>
        <w:t xml:space="preserve"> vivace</w:t>
      </w:r>
      <w:r w:rsidR="00A16EC8" w:rsidRPr="005D2316">
        <w:rPr>
          <w:rFonts w:eastAsia="Calibri" w:cs="Arial"/>
          <w:lang w:val="fr-FR"/>
        </w:rPr>
        <w:t>.</w:t>
      </w:r>
    </w:p>
    <w:p w14:paraId="3B1B77CC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27CFAF31" w14:textId="5228E1EA" w:rsidR="00A16EC8" w:rsidRPr="005D2316" w:rsidRDefault="00F52469" w:rsidP="00AF4261">
      <w:pPr>
        <w:numPr>
          <w:ilvl w:val="0"/>
          <w:numId w:val="2"/>
        </w:numPr>
        <w:spacing w:after="160" w:line="259" w:lineRule="auto"/>
        <w:ind w:left="0" w:firstLine="0"/>
        <w:contextualSpacing/>
        <w:rPr>
          <w:rFonts w:eastAsia="Calibri" w:cs="Arial"/>
          <w:i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étude sur le </w:t>
      </w:r>
      <w:r w:rsidR="00A16EC8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>a</w:t>
      </w:r>
      <w:r w:rsidR="00A16EC8" w:rsidRPr="005D2316">
        <w:rPr>
          <w:rFonts w:eastAsia="Calibri" w:cs="Arial"/>
          <w:lang w:val="fr-FR"/>
        </w:rPr>
        <w:t>y</w:t>
      </w:r>
      <w:r w:rsidR="0067269A" w:rsidRPr="005D2316">
        <w:rPr>
          <w:rFonts w:eastAsia="Calibri" w:cs="Arial"/>
          <w:lang w:val="fr-FR"/>
        </w:rPr>
        <w:t>-</w:t>
      </w:r>
      <w:r w:rsidR="00A16EC8" w:rsidRPr="005D2316">
        <w:rPr>
          <w:rFonts w:eastAsia="Calibri" w:cs="Arial"/>
          <w:lang w:val="fr-FR"/>
        </w:rPr>
        <w:t>grass</w:t>
      </w:r>
      <w:r w:rsidRPr="005D2316">
        <w:rPr>
          <w:rFonts w:eastAsia="Calibri" w:cs="Arial"/>
          <w:lang w:val="fr-FR"/>
        </w:rPr>
        <w:t xml:space="preserve"> portait sur un total de </w:t>
      </w:r>
      <w:r w:rsidR="00A2333E" w:rsidRPr="005D2316">
        <w:rPr>
          <w:rFonts w:eastAsia="Calibri" w:cs="Arial"/>
          <w:lang w:val="fr-FR"/>
        </w:rPr>
        <w:t>4640</w:t>
      </w:r>
      <w:r w:rsidR="00A16EC8" w:rsidRPr="005D2316">
        <w:rPr>
          <w:rFonts w:eastAsia="Calibri" w:cs="Arial"/>
          <w:lang w:val="fr-FR"/>
        </w:rPr>
        <w:t xml:space="preserve"> cas (n</w:t>
      </w:r>
      <w:r w:rsidRPr="005D2316">
        <w:rPr>
          <w:rFonts w:eastAsia="Calibri" w:cs="Arial"/>
          <w:lang w:val="fr-FR"/>
        </w:rPr>
        <w:t>ombre de variétés</w:t>
      </w:r>
      <w:r w:rsidR="00A16EC8" w:rsidRPr="005D2316">
        <w:rPr>
          <w:rFonts w:eastAsia="Calibri" w:cs="Arial"/>
          <w:lang w:val="fr-FR"/>
        </w:rPr>
        <w:t xml:space="preserve"> candidate</w:t>
      </w:r>
      <w:r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 xml:space="preserve"> </w:t>
      </w:r>
      <w:r w:rsidR="00CD3F81" w:rsidRPr="005D2316">
        <w:rPr>
          <w:rFonts w:eastAsia="Calibri" w:cs="Arial"/>
          <w:lang w:val="fr-FR"/>
        </w:rPr>
        <w:t>par</w:t>
      </w:r>
      <w:r w:rsidR="00A16EC8" w:rsidRPr="005D2316">
        <w:rPr>
          <w:rFonts w:eastAsia="Calibri" w:cs="Arial"/>
          <w:lang w:val="fr-FR"/>
        </w:rPr>
        <w:t xml:space="preserve"> combinai</w:t>
      </w:r>
      <w:r w:rsidR="00CD3F81" w:rsidRPr="005D2316">
        <w:rPr>
          <w:rFonts w:eastAsia="Calibri" w:cs="Arial"/>
          <w:lang w:val="fr-FR"/>
        </w:rPr>
        <w:t>s</w:t>
      </w:r>
      <w:r w:rsidR="00A16EC8" w:rsidRPr="005D2316">
        <w:rPr>
          <w:rFonts w:eastAsia="Calibri" w:cs="Arial"/>
          <w:lang w:val="fr-FR"/>
        </w:rPr>
        <w:t>ons</w:t>
      </w:r>
      <w:r w:rsidR="00CD3F81" w:rsidRPr="005D2316">
        <w:rPr>
          <w:rFonts w:eastAsia="Calibri" w:cs="Arial"/>
          <w:lang w:val="fr-FR"/>
        </w:rPr>
        <w:t xml:space="preserve"> de caractères</w:t>
      </w:r>
      <w:r w:rsidR="00A16EC8" w:rsidRPr="005D2316">
        <w:rPr>
          <w:rFonts w:eastAsia="Calibri" w:cs="Arial"/>
          <w:lang w:val="fr-FR"/>
        </w:rPr>
        <w:t xml:space="preserve">) </w:t>
      </w:r>
      <w:r w:rsidR="00CD3F81" w:rsidRPr="005D2316">
        <w:rPr>
          <w:rFonts w:eastAsia="Calibri" w:cs="Arial"/>
          <w:lang w:val="fr-FR"/>
        </w:rPr>
        <w:t>et</w:t>
      </w:r>
      <w:r w:rsidR="00A16EC8" w:rsidRPr="005D2316">
        <w:rPr>
          <w:rFonts w:eastAsia="Calibri" w:cs="Arial"/>
          <w:lang w:val="fr-FR"/>
        </w:rPr>
        <w:t xml:space="preserve"> 105 </w:t>
      </w:r>
      <w:r w:rsidR="00CD3F81" w:rsidRPr="005D2316">
        <w:rPr>
          <w:rFonts w:eastAsia="Calibri" w:cs="Arial"/>
          <w:lang w:val="fr-FR"/>
        </w:rPr>
        <w:t xml:space="preserve">variétés </w:t>
      </w:r>
      <w:r w:rsidR="00A16EC8" w:rsidRPr="005D2316">
        <w:rPr>
          <w:rFonts w:eastAsia="Calibri" w:cs="Arial"/>
          <w:lang w:val="fr-FR"/>
        </w:rPr>
        <w:t>candidat</w:t>
      </w:r>
      <w:r w:rsidR="001A0B67" w:rsidRPr="005D2316">
        <w:rPr>
          <w:rFonts w:eastAsia="Calibri" w:cs="Arial"/>
          <w:lang w:val="fr-FR"/>
        </w:rPr>
        <w:t>es.  Le</w:t>
      </w:r>
      <w:r w:rsidR="00CD3F81" w:rsidRPr="005D2316">
        <w:rPr>
          <w:rFonts w:eastAsia="Calibri" w:cs="Arial"/>
          <w:lang w:val="fr-FR"/>
        </w:rPr>
        <w:t xml:space="preserve"> t</w:t>
      </w:r>
      <w:r w:rsidR="00A16EC8" w:rsidRPr="005D2316">
        <w:rPr>
          <w:rFonts w:eastAsia="Calibri" w:cs="Arial"/>
          <w:lang w:val="fr-FR"/>
        </w:rPr>
        <w:t>able</w:t>
      </w:r>
      <w:r w:rsidR="00CD3F81" w:rsidRPr="005D2316">
        <w:rPr>
          <w:rFonts w:eastAsia="Calibri" w:cs="Arial"/>
          <w:lang w:val="fr-FR"/>
        </w:rPr>
        <w:t>au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1 </w:t>
      </w:r>
      <w:r w:rsidR="00CD3F81" w:rsidRPr="005D2316">
        <w:rPr>
          <w:rFonts w:eastAsia="Calibri" w:cs="Arial"/>
          <w:lang w:val="fr-FR"/>
        </w:rPr>
        <w:t>montre com</w:t>
      </w:r>
      <w:r w:rsidR="005B099C" w:rsidRPr="005D2316">
        <w:rPr>
          <w:rFonts w:eastAsia="Calibri" w:cs="Arial"/>
          <w:lang w:val="fr-FR"/>
        </w:rPr>
        <w:t>bien</w:t>
      </w:r>
      <w:r w:rsidR="00CD3F81" w:rsidRPr="005D2316">
        <w:rPr>
          <w:rFonts w:eastAsia="Calibri" w:cs="Arial"/>
          <w:lang w:val="fr-FR"/>
        </w:rPr>
        <w:t xml:space="preserve"> le nombre de </w:t>
      </w:r>
      <w:r w:rsidR="00A16EC8" w:rsidRPr="005D2316">
        <w:rPr>
          <w:rFonts w:eastAsia="Calibri" w:cs="Arial"/>
          <w:lang w:val="fr-FR"/>
        </w:rPr>
        <w:t>cas d</w:t>
      </w:r>
      <w:r w:rsidR="00CD3F8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pend </w:t>
      </w:r>
      <w:r w:rsidR="00CD3F81" w:rsidRPr="005D2316">
        <w:rPr>
          <w:rFonts w:eastAsia="Calibri" w:cs="Arial"/>
          <w:lang w:val="fr-FR"/>
        </w:rPr>
        <w:t>du seuil</w:t>
      </w:r>
      <w:r w:rsidR="00A16EC8" w:rsidRPr="005D2316">
        <w:rPr>
          <w:rFonts w:eastAsia="Calibri" w:cs="Arial"/>
          <w:lang w:val="fr-FR"/>
        </w:rPr>
        <w:t xml:space="preserve"> adop</w:t>
      </w:r>
      <w:r w:rsidR="001A0B67" w:rsidRPr="005D2316">
        <w:rPr>
          <w:rFonts w:eastAsia="Calibri" w:cs="Arial"/>
          <w:lang w:val="fr-FR"/>
        </w:rPr>
        <w:t xml:space="preserve">té.  À </w:t>
      </w:r>
      <w:r w:rsidR="0031006F" w:rsidRPr="005D2316">
        <w:rPr>
          <w:rFonts w:eastAsia="Calibri" w:cs="Arial"/>
          <w:lang w:val="fr-FR"/>
        </w:rPr>
        <w:t>noter</w:t>
      </w:r>
      <w:r w:rsidR="00CD3F81" w:rsidRPr="005D2316">
        <w:rPr>
          <w:rFonts w:eastAsia="Calibri" w:cs="Arial"/>
          <w:lang w:val="fr-FR"/>
        </w:rPr>
        <w:t xml:space="preserve"> que même un pourcentage de </w:t>
      </w:r>
      <w:r w:rsidR="00A16EC8" w:rsidRPr="005D2316">
        <w:rPr>
          <w:rFonts w:eastAsia="Calibri" w:cs="Arial"/>
          <w:lang w:val="fr-FR"/>
        </w:rPr>
        <w:t xml:space="preserve">1% </w:t>
      </w:r>
      <w:r w:rsidR="00CD3F81" w:rsidRPr="005D2316">
        <w:rPr>
          <w:rFonts w:eastAsia="Calibri" w:cs="Arial"/>
          <w:lang w:val="fr-FR"/>
        </w:rPr>
        <w:t>signifierait qu</w:t>
      </w:r>
      <w:r w:rsidR="0067269A" w:rsidRPr="005D2316">
        <w:rPr>
          <w:rFonts w:eastAsia="Calibri" w:cs="Arial"/>
          <w:lang w:val="fr-FR"/>
        </w:rPr>
        <w:t>’</w:t>
      </w:r>
      <w:r w:rsidR="00CD3F81" w:rsidRPr="005D2316">
        <w:rPr>
          <w:rFonts w:eastAsia="Calibri" w:cs="Arial"/>
          <w:lang w:val="fr-FR"/>
        </w:rPr>
        <w:t xml:space="preserve">un nombre </w:t>
      </w:r>
      <w:r w:rsidR="00A16EC8" w:rsidRPr="005D2316">
        <w:rPr>
          <w:rFonts w:eastAsia="Calibri" w:cs="Arial"/>
          <w:lang w:val="fr-FR"/>
        </w:rPr>
        <w:t>consid</w:t>
      </w:r>
      <w:r w:rsidR="00CD3F8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rable </w:t>
      </w:r>
      <w:r w:rsidR="00CD3F81" w:rsidRPr="005D2316">
        <w:rPr>
          <w:rFonts w:eastAsia="Calibri" w:cs="Arial"/>
          <w:lang w:val="fr-FR"/>
        </w:rPr>
        <w:t>de</w:t>
      </w:r>
      <w:r w:rsidR="00A16EC8" w:rsidRPr="005D2316">
        <w:rPr>
          <w:rFonts w:eastAsia="Calibri" w:cs="Arial"/>
          <w:lang w:val="fr-FR"/>
        </w:rPr>
        <w:t xml:space="preserve"> cas </w:t>
      </w:r>
      <w:r w:rsidR="00CD3F81" w:rsidRPr="005D2316">
        <w:rPr>
          <w:rFonts w:eastAsia="Calibri" w:cs="Arial"/>
          <w:lang w:val="fr-FR"/>
        </w:rPr>
        <w:t xml:space="preserve">doit être </w:t>
      </w:r>
      <w:r w:rsidR="00A16EC8" w:rsidRPr="005D2316">
        <w:rPr>
          <w:rFonts w:eastAsia="Calibri" w:cs="Arial"/>
          <w:lang w:val="fr-FR"/>
        </w:rPr>
        <w:t>examin</w:t>
      </w:r>
      <w:r w:rsidR="00CD3F8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 </w:t>
      </w:r>
      <w:r w:rsidR="00CD3F81" w:rsidRPr="005D2316">
        <w:rPr>
          <w:rFonts w:eastAsia="Calibri" w:cs="Arial"/>
          <w:lang w:val="fr-FR"/>
        </w:rPr>
        <w:t>de plus près</w:t>
      </w:r>
      <w:r w:rsidR="00A16EC8" w:rsidRPr="005D2316">
        <w:rPr>
          <w:rFonts w:eastAsia="Calibri" w:cs="Arial"/>
          <w:lang w:val="fr-FR"/>
        </w:rPr>
        <w:t xml:space="preserve"> (46 </w:t>
      </w:r>
      <w:r w:rsidR="00CD3F81" w:rsidRPr="005D2316">
        <w:rPr>
          <w:rFonts w:eastAsia="Calibri" w:cs="Arial"/>
          <w:lang w:val="fr-FR"/>
        </w:rPr>
        <w:t>dans l</w:t>
      </w:r>
      <w:r w:rsidR="0067269A" w:rsidRPr="005D2316">
        <w:rPr>
          <w:rFonts w:eastAsia="Calibri" w:cs="Arial"/>
          <w:lang w:val="fr-FR"/>
        </w:rPr>
        <w:t>’</w:t>
      </w:r>
      <w:r w:rsidR="00CD3F81" w:rsidRPr="005D2316">
        <w:rPr>
          <w:rFonts w:eastAsia="Calibri" w:cs="Arial"/>
          <w:lang w:val="fr-FR"/>
        </w:rPr>
        <w:t>exemple ci</w:t>
      </w:r>
      <w:r w:rsidR="0067269A" w:rsidRPr="005D2316">
        <w:rPr>
          <w:rFonts w:eastAsia="Calibri" w:cs="Arial"/>
          <w:lang w:val="fr-FR"/>
        </w:rPr>
        <w:t>-</w:t>
      </w:r>
      <w:r w:rsidR="00CD3F81" w:rsidRPr="005D2316">
        <w:rPr>
          <w:rFonts w:eastAsia="Calibri" w:cs="Arial"/>
          <w:lang w:val="fr-FR"/>
        </w:rPr>
        <w:t>dessous</w:t>
      </w:r>
      <w:r w:rsidR="00A16EC8" w:rsidRPr="005D2316">
        <w:rPr>
          <w:rFonts w:eastAsia="Calibri" w:cs="Arial"/>
          <w:lang w:val="fr-FR"/>
        </w:rPr>
        <w:t>).</w:t>
      </w:r>
    </w:p>
    <w:p w14:paraId="6580BBB9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16AE88A5" w14:textId="056FC23A" w:rsidR="00A16EC8" w:rsidRPr="005D2316" w:rsidRDefault="00A16EC8" w:rsidP="00A16EC8">
      <w:pPr>
        <w:spacing w:after="160" w:line="259" w:lineRule="auto"/>
        <w:contextualSpacing/>
        <w:rPr>
          <w:rFonts w:eastAsia="Calibri" w:cs="Arial"/>
          <w:i/>
          <w:lang w:val="fr-FR"/>
        </w:rPr>
      </w:pPr>
      <w:r w:rsidRPr="005D2316">
        <w:rPr>
          <w:rFonts w:eastAsia="Calibri" w:cs="Arial"/>
          <w:b/>
          <w:i/>
          <w:lang w:val="fr-FR"/>
        </w:rPr>
        <w:t>Table</w:t>
      </w:r>
      <w:r w:rsidR="00CD3F81" w:rsidRPr="005D2316">
        <w:rPr>
          <w:rFonts w:eastAsia="Calibri" w:cs="Arial"/>
          <w:b/>
          <w:i/>
          <w:lang w:val="fr-FR"/>
        </w:rPr>
        <w:t>au</w:t>
      </w:r>
      <w:r w:rsidR="00A2333E" w:rsidRPr="005D2316">
        <w:rPr>
          <w:rFonts w:eastAsia="Calibri" w:cs="Arial"/>
          <w:b/>
          <w:i/>
          <w:lang w:val="fr-FR"/>
        </w:rPr>
        <w:t> </w:t>
      </w:r>
      <w:r w:rsidRPr="005D2316">
        <w:rPr>
          <w:rFonts w:eastAsia="Calibri" w:cs="Arial"/>
          <w:b/>
          <w:i/>
          <w:lang w:val="fr-FR"/>
        </w:rPr>
        <w:t>1</w:t>
      </w:r>
      <w:r w:rsidR="0067269A" w:rsidRPr="005D2316">
        <w:rPr>
          <w:rFonts w:eastAsia="Calibri" w:cs="Arial"/>
          <w:b/>
          <w:i/>
          <w:lang w:val="fr-FR"/>
        </w:rPr>
        <w:t> :</w:t>
      </w:r>
      <w:r w:rsidRPr="005D2316">
        <w:rPr>
          <w:rFonts w:eastAsia="Calibri" w:cs="Arial"/>
          <w:i/>
          <w:lang w:val="fr-FR"/>
        </w:rPr>
        <w:t xml:space="preserve"> N</w:t>
      </w:r>
      <w:r w:rsidR="00CD3F81" w:rsidRPr="005D2316">
        <w:rPr>
          <w:rFonts w:eastAsia="Calibri" w:cs="Arial"/>
          <w:i/>
          <w:lang w:val="fr-FR"/>
        </w:rPr>
        <w:t xml:space="preserve">ombre de </w:t>
      </w:r>
      <w:r w:rsidRPr="005D2316">
        <w:rPr>
          <w:rFonts w:eastAsia="Calibri" w:cs="Arial"/>
          <w:i/>
          <w:lang w:val="fr-FR"/>
        </w:rPr>
        <w:t xml:space="preserve">cas </w:t>
      </w:r>
      <w:r w:rsidR="00CD3F81" w:rsidRPr="005D2316">
        <w:rPr>
          <w:rFonts w:eastAsia="Calibri" w:cs="Arial"/>
          <w:i/>
          <w:lang w:val="fr-FR"/>
        </w:rPr>
        <w:t xml:space="preserve">et de variétés </w:t>
      </w:r>
      <w:r w:rsidRPr="005D2316">
        <w:rPr>
          <w:rFonts w:eastAsia="Calibri" w:cs="Arial"/>
          <w:i/>
          <w:lang w:val="fr-FR"/>
        </w:rPr>
        <w:t xml:space="preserve">candidates </w:t>
      </w:r>
      <w:r w:rsidR="00CD3F81" w:rsidRPr="005D2316">
        <w:rPr>
          <w:rFonts w:eastAsia="Calibri" w:cs="Arial"/>
          <w:i/>
          <w:lang w:val="fr-FR"/>
        </w:rPr>
        <w:t>concernés par l</w:t>
      </w:r>
      <w:r w:rsidR="0067269A" w:rsidRPr="005D2316">
        <w:rPr>
          <w:rFonts w:eastAsia="Calibri" w:cs="Arial"/>
          <w:i/>
          <w:lang w:val="fr-FR"/>
        </w:rPr>
        <w:t>’</w:t>
      </w:r>
      <w:r w:rsidRPr="005D2316">
        <w:rPr>
          <w:rFonts w:eastAsia="Calibri" w:cs="Arial"/>
          <w:i/>
          <w:lang w:val="fr-FR"/>
        </w:rPr>
        <w:t xml:space="preserve">extrapolation </w:t>
      </w:r>
      <w:r w:rsidR="005B099C" w:rsidRPr="005D2316">
        <w:rPr>
          <w:rFonts w:eastAsia="Calibri" w:cs="Arial"/>
          <w:i/>
          <w:lang w:val="fr-FR"/>
        </w:rPr>
        <w:t xml:space="preserve">avec </w:t>
      </w:r>
      <w:r w:rsidR="00CD3F81" w:rsidRPr="005D2316">
        <w:rPr>
          <w:rFonts w:eastAsia="Calibri" w:cs="Arial"/>
          <w:i/>
          <w:lang w:val="fr-FR"/>
        </w:rPr>
        <w:t>des seuil</w:t>
      </w:r>
      <w:r w:rsidRPr="005D2316">
        <w:rPr>
          <w:rFonts w:eastAsia="Calibri" w:cs="Arial"/>
          <w:i/>
          <w:lang w:val="fr-FR"/>
        </w:rPr>
        <w:t>s</w:t>
      </w:r>
      <w:r w:rsidR="005B099C" w:rsidRPr="005D2316">
        <w:rPr>
          <w:rFonts w:eastAsia="Calibri" w:cs="Arial"/>
          <w:i/>
          <w:lang w:val="fr-FR"/>
        </w:rPr>
        <w:t xml:space="preserve"> différents</w:t>
      </w:r>
    </w:p>
    <w:p w14:paraId="40BCCCA7" w14:textId="77777777" w:rsidR="00A16EC8" w:rsidRPr="005D2316" w:rsidRDefault="00A16EC8" w:rsidP="00A16EC8">
      <w:pPr>
        <w:rPr>
          <w:rFonts w:eastAsia="Calibri"/>
          <w:lang w:val="fr-FR"/>
        </w:rPr>
      </w:pPr>
    </w:p>
    <w:tbl>
      <w:tblPr>
        <w:tblStyle w:val="PlainTable51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16EC8" w:rsidRPr="00383052" w14:paraId="57BA29F4" w14:textId="77777777" w:rsidTr="004C1C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005" w:type="dxa"/>
          </w:tcPr>
          <w:p w14:paraId="2603EAAD" w14:textId="769AF7D5" w:rsidR="00A16EC8" w:rsidRPr="005D2316" w:rsidRDefault="00CD3F81" w:rsidP="004C1C17">
            <w:pPr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Seuil de l</w:t>
            </w:r>
            <w:r w:rsidR="0067269A" w:rsidRPr="005D2316">
              <w:rPr>
                <w:rFonts w:ascii="Calibri Light" w:hAnsi="Calibri Light"/>
                <w:sz w:val="22"/>
                <w:lang w:val="fr-FR"/>
              </w:rPr>
              <w:t>’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indice d</w:t>
            </w:r>
            <w:r w:rsidR="0067269A" w:rsidRPr="005D2316">
              <w:rPr>
                <w:rFonts w:ascii="Calibri Light" w:hAnsi="Calibri Light"/>
                <w:sz w:val="22"/>
                <w:lang w:val="fr-FR"/>
              </w:rPr>
              <w:t>’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e</w:t>
            </w:r>
            <w:r w:rsidR="00A16EC8" w:rsidRPr="005D2316">
              <w:rPr>
                <w:rFonts w:ascii="Calibri Light" w:hAnsi="Calibri Light"/>
                <w:sz w:val="22"/>
                <w:lang w:val="fr-FR"/>
              </w:rPr>
              <w:t xml:space="preserve">xtrapolation </w:t>
            </w:r>
          </w:p>
        </w:tc>
        <w:tc>
          <w:tcPr>
            <w:tcW w:w="3005" w:type="dxa"/>
          </w:tcPr>
          <w:p w14:paraId="7F4EB7AD" w14:textId="4905AF06" w:rsidR="00A16EC8" w:rsidRPr="005D2316" w:rsidRDefault="00A16EC8" w:rsidP="004C1C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 xml:space="preserve">Cas 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>avec</w:t>
            </w:r>
            <w:r w:rsidRPr="005D2316">
              <w:rPr>
                <w:rFonts w:ascii="Calibri Light" w:hAnsi="Calibri Light"/>
                <w:sz w:val="22"/>
                <w:lang w:val="fr-FR"/>
              </w:rPr>
              <w:t xml:space="preserve"> extrapolation</w:t>
            </w:r>
          </w:p>
        </w:tc>
        <w:tc>
          <w:tcPr>
            <w:tcW w:w="3006" w:type="dxa"/>
          </w:tcPr>
          <w:p w14:paraId="09E956F8" w14:textId="72416335" w:rsidR="00A16EC8" w:rsidRPr="005D2316" w:rsidRDefault="00CD3F81" w:rsidP="004C1C1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Variétés c</w:t>
            </w:r>
            <w:r w:rsidR="00A16EC8" w:rsidRPr="005D2316">
              <w:rPr>
                <w:rFonts w:ascii="Calibri Light" w:hAnsi="Calibri Light"/>
                <w:sz w:val="22"/>
                <w:lang w:val="fr-FR"/>
              </w:rPr>
              <w:t xml:space="preserve">andidates 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avec</w:t>
            </w:r>
            <w:r w:rsidR="00A16EC8" w:rsidRPr="005D2316">
              <w:rPr>
                <w:rFonts w:ascii="Calibri Light" w:hAnsi="Calibri Light"/>
                <w:sz w:val="22"/>
                <w:lang w:val="fr-FR"/>
              </w:rPr>
              <w:t xml:space="preserve"> extrapolation 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dans l</w:t>
            </w:r>
            <w:r w:rsidR="0067269A" w:rsidRPr="005D2316">
              <w:rPr>
                <w:rFonts w:ascii="Calibri Light" w:hAnsi="Calibri Light"/>
                <w:sz w:val="22"/>
                <w:lang w:val="fr-FR"/>
              </w:rPr>
              <w:t>’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un quelconque des caractères</w:t>
            </w:r>
          </w:p>
        </w:tc>
      </w:tr>
      <w:tr w:rsidR="00A16EC8" w:rsidRPr="005D2316" w14:paraId="043E15BF" w14:textId="77777777" w:rsidTr="004C1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1BE868E2" w14:textId="7375E9E5" w:rsidR="00A16EC8" w:rsidRPr="005D2316" w:rsidRDefault="00A16EC8" w:rsidP="004C1C17">
            <w:pPr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1 (= extrapolation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 xml:space="preserve"> stricte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)</w:t>
            </w:r>
          </w:p>
        </w:tc>
        <w:tc>
          <w:tcPr>
            <w:tcW w:w="3005" w:type="dxa"/>
          </w:tcPr>
          <w:p w14:paraId="3E0C6784" w14:textId="2B7AD3FC" w:rsidR="00A16EC8" w:rsidRPr="005D2316" w:rsidRDefault="00A16EC8" w:rsidP="004C1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8</w:t>
            </w:r>
            <w:r w:rsidR="00CD3F81" w:rsidRPr="005D2316">
              <w:rPr>
                <w:rFonts w:ascii="Calibri" w:hAnsi="Calibri"/>
                <w:lang w:val="fr-FR"/>
              </w:rPr>
              <w:t>,</w:t>
            </w:r>
            <w:r w:rsidRPr="005D2316">
              <w:rPr>
                <w:rFonts w:ascii="Calibri" w:hAnsi="Calibri"/>
                <w:lang w:val="fr-FR"/>
              </w:rPr>
              <w:t>4%</w:t>
            </w:r>
          </w:p>
        </w:tc>
        <w:tc>
          <w:tcPr>
            <w:tcW w:w="3006" w:type="dxa"/>
          </w:tcPr>
          <w:p w14:paraId="7CEBFC61" w14:textId="222324C5" w:rsidR="00A16EC8" w:rsidRPr="005D2316" w:rsidRDefault="00A16EC8" w:rsidP="004C1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67%</w:t>
            </w:r>
          </w:p>
        </w:tc>
      </w:tr>
      <w:tr w:rsidR="00A16EC8" w:rsidRPr="005D2316" w14:paraId="2E13F4B5" w14:textId="77777777" w:rsidTr="004C1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5CD4E147" w14:textId="2383AEA4" w:rsidR="00A16EC8" w:rsidRPr="005D2316" w:rsidRDefault="00A16EC8" w:rsidP="004C1C17">
            <w:pPr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1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>,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1</w:t>
            </w:r>
          </w:p>
        </w:tc>
        <w:tc>
          <w:tcPr>
            <w:tcW w:w="3005" w:type="dxa"/>
          </w:tcPr>
          <w:p w14:paraId="6DD35707" w14:textId="39465237" w:rsidR="00A16EC8" w:rsidRPr="005D2316" w:rsidRDefault="00A16EC8" w:rsidP="004C1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3</w:t>
            </w:r>
            <w:r w:rsidR="00CD3F81" w:rsidRPr="005D2316">
              <w:rPr>
                <w:rFonts w:ascii="Calibri" w:hAnsi="Calibri"/>
                <w:lang w:val="fr-FR"/>
              </w:rPr>
              <w:t>,</w:t>
            </w:r>
            <w:r w:rsidRPr="005D2316">
              <w:rPr>
                <w:rFonts w:ascii="Calibri" w:hAnsi="Calibri"/>
                <w:lang w:val="fr-FR"/>
              </w:rPr>
              <w:t>8%</w:t>
            </w:r>
          </w:p>
        </w:tc>
        <w:tc>
          <w:tcPr>
            <w:tcW w:w="3006" w:type="dxa"/>
          </w:tcPr>
          <w:p w14:paraId="5FBE9982" w14:textId="59CCC7BE" w:rsidR="00A16EC8" w:rsidRPr="005D2316" w:rsidRDefault="00A16EC8" w:rsidP="004C1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38%</w:t>
            </w:r>
          </w:p>
        </w:tc>
      </w:tr>
      <w:tr w:rsidR="00A16EC8" w:rsidRPr="005D2316" w14:paraId="519AB3F9" w14:textId="77777777" w:rsidTr="004C1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E9F8D7C" w14:textId="6F72ABEC" w:rsidR="00A16EC8" w:rsidRPr="005D2316" w:rsidRDefault="00A16EC8" w:rsidP="004C1C17">
            <w:pPr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1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>,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2</w:t>
            </w:r>
          </w:p>
        </w:tc>
        <w:tc>
          <w:tcPr>
            <w:tcW w:w="3005" w:type="dxa"/>
          </w:tcPr>
          <w:p w14:paraId="5A039DB2" w14:textId="2017B3F8" w:rsidR="00A16EC8" w:rsidRPr="005D2316" w:rsidRDefault="00A16EC8" w:rsidP="004C1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2</w:t>
            </w:r>
            <w:r w:rsidR="00CD3F81" w:rsidRPr="005D2316">
              <w:rPr>
                <w:rFonts w:ascii="Calibri" w:hAnsi="Calibri"/>
                <w:lang w:val="fr-FR"/>
              </w:rPr>
              <w:t>,</w:t>
            </w:r>
            <w:r w:rsidRPr="005D2316">
              <w:rPr>
                <w:rFonts w:ascii="Calibri" w:hAnsi="Calibri"/>
                <w:lang w:val="fr-FR"/>
              </w:rPr>
              <w:t>3%</w:t>
            </w:r>
          </w:p>
        </w:tc>
        <w:tc>
          <w:tcPr>
            <w:tcW w:w="3006" w:type="dxa"/>
          </w:tcPr>
          <w:p w14:paraId="57C592B9" w14:textId="485FF2CE" w:rsidR="00A16EC8" w:rsidRPr="005D2316" w:rsidRDefault="00A16EC8" w:rsidP="004C1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30%</w:t>
            </w:r>
          </w:p>
        </w:tc>
      </w:tr>
      <w:tr w:rsidR="00A16EC8" w:rsidRPr="005D2316" w14:paraId="287FC869" w14:textId="77777777" w:rsidTr="004C1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36F73F75" w14:textId="67481B66" w:rsidR="00A16EC8" w:rsidRPr="005D2316" w:rsidRDefault="00A16EC8" w:rsidP="004C1C17">
            <w:pPr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1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>,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3</w:t>
            </w:r>
          </w:p>
        </w:tc>
        <w:tc>
          <w:tcPr>
            <w:tcW w:w="3005" w:type="dxa"/>
          </w:tcPr>
          <w:p w14:paraId="464A49D7" w14:textId="23F2AE24" w:rsidR="00A16EC8" w:rsidRPr="005D2316" w:rsidRDefault="00A16EC8" w:rsidP="004C1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1</w:t>
            </w:r>
            <w:r w:rsidR="00CD3F81" w:rsidRPr="005D2316">
              <w:rPr>
                <w:rFonts w:ascii="Calibri" w:hAnsi="Calibri"/>
                <w:lang w:val="fr-FR"/>
              </w:rPr>
              <w:t>,</w:t>
            </w:r>
            <w:r w:rsidRPr="005D2316">
              <w:rPr>
                <w:rFonts w:ascii="Calibri" w:hAnsi="Calibri"/>
                <w:lang w:val="fr-FR"/>
              </w:rPr>
              <w:t>5%</w:t>
            </w:r>
          </w:p>
        </w:tc>
        <w:tc>
          <w:tcPr>
            <w:tcW w:w="3006" w:type="dxa"/>
          </w:tcPr>
          <w:p w14:paraId="2AFF8AE2" w14:textId="300F64BC" w:rsidR="00A16EC8" w:rsidRPr="005D2316" w:rsidRDefault="00A16EC8" w:rsidP="004C1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27%</w:t>
            </w:r>
          </w:p>
        </w:tc>
      </w:tr>
      <w:tr w:rsidR="00A16EC8" w:rsidRPr="005D2316" w14:paraId="6100571B" w14:textId="77777777" w:rsidTr="004C1C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4938227C" w14:textId="1D1BEC0B" w:rsidR="00A16EC8" w:rsidRPr="005D2316" w:rsidRDefault="00A16EC8" w:rsidP="004C1C17">
            <w:pPr>
              <w:rPr>
                <w:rFonts w:ascii="Calibri Light" w:hAnsi="Calibri Light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1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>,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4</w:t>
            </w:r>
          </w:p>
        </w:tc>
        <w:tc>
          <w:tcPr>
            <w:tcW w:w="3005" w:type="dxa"/>
          </w:tcPr>
          <w:p w14:paraId="098FCDAF" w14:textId="599848FA" w:rsidR="00A16EC8" w:rsidRPr="005D2316" w:rsidRDefault="00A16EC8" w:rsidP="004C1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1</w:t>
            </w:r>
            <w:r w:rsidR="00CD3F81" w:rsidRPr="005D2316">
              <w:rPr>
                <w:rFonts w:ascii="Calibri" w:hAnsi="Calibri"/>
                <w:lang w:val="fr-FR"/>
              </w:rPr>
              <w:t>,</w:t>
            </w:r>
            <w:r w:rsidRPr="005D2316">
              <w:rPr>
                <w:rFonts w:ascii="Calibri" w:hAnsi="Calibri"/>
                <w:lang w:val="fr-FR"/>
              </w:rPr>
              <w:t>0%</w:t>
            </w:r>
          </w:p>
        </w:tc>
        <w:tc>
          <w:tcPr>
            <w:tcW w:w="3006" w:type="dxa"/>
          </w:tcPr>
          <w:p w14:paraId="6CD275DB" w14:textId="42348001" w:rsidR="00A16EC8" w:rsidRPr="005D2316" w:rsidRDefault="00A16EC8" w:rsidP="004C1C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17%</w:t>
            </w:r>
          </w:p>
        </w:tc>
      </w:tr>
      <w:tr w:rsidR="00A16EC8" w:rsidRPr="005D2316" w14:paraId="78817080" w14:textId="77777777" w:rsidTr="004C1C1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05" w:type="dxa"/>
          </w:tcPr>
          <w:p w14:paraId="651A8D15" w14:textId="1E09A53E" w:rsidR="00A16EC8" w:rsidRPr="005D2316" w:rsidRDefault="00A16EC8" w:rsidP="004C1C17">
            <w:pPr>
              <w:rPr>
                <w:rFonts w:ascii="Calibri Light" w:hAnsi="Calibri Light"/>
                <w:sz w:val="22"/>
                <w:lang w:val="fr-FR"/>
              </w:rPr>
            </w:pPr>
            <w:r w:rsidRPr="005D2316">
              <w:rPr>
                <w:rFonts w:ascii="Calibri Light" w:hAnsi="Calibri Light"/>
                <w:sz w:val="22"/>
                <w:lang w:val="fr-FR"/>
              </w:rPr>
              <w:t>1</w:t>
            </w:r>
            <w:r w:rsidR="00CD3F81" w:rsidRPr="005D2316">
              <w:rPr>
                <w:rFonts w:ascii="Calibri Light" w:hAnsi="Calibri Light"/>
                <w:sz w:val="22"/>
                <w:lang w:val="fr-FR"/>
              </w:rPr>
              <w:t>,</w:t>
            </w:r>
            <w:r w:rsidRPr="005D2316">
              <w:rPr>
                <w:rFonts w:ascii="Calibri Light" w:hAnsi="Calibri Light"/>
                <w:sz w:val="22"/>
                <w:lang w:val="fr-FR"/>
              </w:rPr>
              <w:t>5</w:t>
            </w:r>
          </w:p>
        </w:tc>
        <w:tc>
          <w:tcPr>
            <w:tcW w:w="3005" w:type="dxa"/>
          </w:tcPr>
          <w:p w14:paraId="46A35C82" w14:textId="731F7064" w:rsidR="00A16EC8" w:rsidRPr="005D2316" w:rsidRDefault="00A16EC8" w:rsidP="004C1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0</w:t>
            </w:r>
            <w:r w:rsidR="00CD3F81" w:rsidRPr="005D2316">
              <w:rPr>
                <w:rFonts w:ascii="Calibri" w:hAnsi="Calibri"/>
                <w:lang w:val="fr-FR"/>
              </w:rPr>
              <w:t>,</w:t>
            </w:r>
            <w:r w:rsidRPr="005D2316">
              <w:rPr>
                <w:rFonts w:ascii="Calibri" w:hAnsi="Calibri"/>
                <w:lang w:val="fr-FR"/>
              </w:rPr>
              <w:t>9%</w:t>
            </w:r>
          </w:p>
        </w:tc>
        <w:tc>
          <w:tcPr>
            <w:tcW w:w="3006" w:type="dxa"/>
          </w:tcPr>
          <w:p w14:paraId="0420C710" w14:textId="182797DA" w:rsidR="00A16EC8" w:rsidRPr="005D2316" w:rsidRDefault="00A16EC8" w:rsidP="004C1C1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lang w:val="fr-FR"/>
              </w:rPr>
            </w:pPr>
            <w:r w:rsidRPr="005D2316">
              <w:rPr>
                <w:rFonts w:ascii="Calibri" w:hAnsi="Calibri"/>
                <w:lang w:val="fr-FR"/>
              </w:rPr>
              <w:t>14%</w:t>
            </w:r>
          </w:p>
        </w:tc>
      </w:tr>
    </w:tbl>
    <w:p w14:paraId="18C5C77A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7682593A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7AFD5BCB" w14:textId="41F952D9" w:rsidR="0067269A" w:rsidRPr="005D2316" w:rsidRDefault="00CD3F81" w:rsidP="00AF4261">
      <w:pPr>
        <w:numPr>
          <w:ilvl w:val="0"/>
          <w:numId w:val="2"/>
        </w:numPr>
        <w:ind w:left="0" w:firstLine="0"/>
        <w:contextualSpacing/>
        <w:jc w:val="left"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En se basant sur la 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4, </w:t>
      </w:r>
      <w:r w:rsidRPr="005D2316">
        <w:rPr>
          <w:rFonts w:eastAsia="Calibri" w:cs="Arial"/>
          <w:lang w:val="fr-FR"/>
        </w:rPr>
        <w:t>la</w:t>
      </w:r>
      <w:r w:rsidR="00A16EC8" w:rsidRPr="005D2316">
        <w:rPr>
          <w:rFonts w:eastAsia="Calibri" w:cs="Arial"/>
          <w:lang w:val="fr-FR"/>
        </w:rPr>
        <w:t xml:space="preserve"> r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duction </w:t>
      </w:r>
      <w:r w:rsidRPr="005D2316">
        <w:rPr>
          <w:rFonts w:eastAsia="Calibri" w:cs="Arial"/>
          <w:lang w:val="fr-FR"/>
        </w:rPr>
        <w:t xml:space="preserve">du nombre de </w:t>
      </w:r>
      <w:r w:rsidR="00A16EC8" w:rsidRPr="005D2316">
        <w:rPr>
          <w:rFonts w:eastAsia="Calibri" w:cs="Arial"/>
          <w:lang w:val="fr-FR"/>
        </w:rPr>
        <w:t xml:space="preserve">cas </w:t>
      </w:r>
      <w:r w:rsidR="006D6156" w:rsidRPr="005D2316">
        <w:rPr>
          <w:rFonts w:eastAsia="Calibri" w:cs="Arial"/>
          <w:lang w:val="fr-FR"/>
        </w:rPr>
        <w:t xml:space="preserve">observée </w:t>
      </w:r>
      <w:r w:rsidRPr="005D2316">
        <w:rPr>
          <w:rFonts w:eastAsia="Calibri" w:cs="Arial"/>
          <w:lang w:val="fr-FR"/>
        </w:rPr>
        <w:t>dans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mple, </w:t>
      </w:r>
      <w:r w:rsidR="006D6156" w:rsidRPr="005D2316">
        <w:rPr>
          <w:rFonts w:eastAsia="Calibri" w:cs="Arial"/>
          <w:lang w:val="fr-FR"/>
        </w:rPr>
        <w:t xml:space="preserve">et les incidences sur les </w:t>
      </w:r>
      <w:r w:rsidR="00A16EC8" w:rsidRPr="005D2316">
        <w:rPr>
          <w:rFonts w:eastAsia="Calibri" w:cs="Arial"/>
          <w:lang w:val="fr-FR"/>
        </w:rPr>
        <w:t>d</w:t>
      </w:r>
      <w:r w:rsidR="006D6156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cisions, </w:t>
      </w:r>
      <w:r w:rsidR="006D6156" w:rsidRPr="005D2316">
        <w:rPr>
          <w:rFonts w:eastAsia="Calibri" w:cs="Arial"/>
          <w:lang w:val="fr-FR"/>
        </w:rPr>
        <w:t xml:space="preserve">nous </w:t>
      </w:r>
      <w:r w:rsidR="00A16EC8" w:rsidRPr="005D2316">
        <w:rPr>
          <w:rFonts w:eastAsia="Calibri" w:cs="Arial"/>
          <w:lang w:val="fr-FR"/>
        </w:rPr>
        <w:t>sugg</w:t>
      </w:r>
      <w:r w:rsidR="006D6156" w:rsidRPr="005D2316">
        <w:rPr>
          <w:rFonts w:eastAsia="Calibri" w:cs="Arial"/>
          <w:lang w:val="fr-FR"/>
        </w:rPr>
        <w:t xml:space="preserve">érons de prendre un seuil de </w:t>
      </w:r>
      <w:r w:rsidR="00A16EC8" w:rsidRPr="005D2316">
        <w:rPr>
          <w:rFonts w:eastAsia="Calibri" w:cs="Arial"/>
          <w:lang w:val="fr-FR"/>
        </w:rPr>
        <w:t>1</w:t>
      </w:r>
      <w:r w:rsidR="006D6156" w:rsidRPr="005D2316">
        <w:rPr>
          <w:rFonts w:eastAsia="Calibri" w:cs="Arial"/>
          <w:lang w:val="fr-FR"/>
        </w:rPr>
        <w:t>,</w:t>
      </w:r>
      <w:r w:rsidR="00A16EC8" w:rsidRPr="005D2316">
        <w:rPr>
          <w:rFonts w:eastAsia="Calibri" w:cs="Arial"/>
          <w:lang w:val="fr-FR"/>
        </w:rPr>
        <w:t>2</w:t>
      </w:r>
      <w:r w:rsidR="005B099C" w:rsidRPr="005D2316">
        <w:rPr>
          <w:lang w:val="fr-FR"/>
        </w:rPr>
        <w:t xml:space="preserve"> </w:t>
      </w:r>
      <w:r w:rsidR="005B099C" w:rsidRPr="005D2316">
        <w:rPr>
          <w:rFonts w:eastAsia="Calibri" w:cs="Arial"/>
          <w:lang w:val="fr-FR"/>
        </w:rPr>
        <w:t>pour point de départ des discussions</w:t>
      </w:r>
      <w:r w:rsidR="0067269A" w:rsidRPr="005D2316">
        <w:rPr>
          <w:rFonts w:eastAsia="Calibri" w:cs="Arial"/>
          <w:lang w:val="fr-FR"/>
        </w:rPr>
        <w:t xml:space="preserve"> au TWM</w:t>
      </w:r>
      <w:r w:rsidR="00A16EC8" w:rsidRPr="005D2316">
        <w:rPr>
          <w:rFonts w:eastAsia="Calibri" w:cs="Arial"/>
          <w:lang w:val="fr-FR"/>
        </w:rPr>
        <w:t>.</w:t>
      </w:r>
    </w:p>
    <w:p w14:paraId="56408026" w14:textId="7DEFFE57" w:rsidR="00A16EC8" w:rsidRPr="005D2316" w:rsidRDefault="00A16EC8" w:rsidP="00A16EC8">
      <w:pPr>
        <w:rPr>
          <w:rFonts w:eastAsia="Calibri"/>
          <w:lang w:val="fr-FR"/>
        </w:rPr>
      </w:pPr>
    </w:p>
    <w:p w14:paraId="03810F78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093B2F7C" w14:textId="0F401BBF" w:rsidR="00A16EC8" w:rsidRPr="005D2316" w:rsidRDefault="0028590D" w:rsidP="00887C0B">
      <w:pPr>
        <w:pStyle w:val="Heading1"/>
      </w:pPr>
      <w:bookmarkStart w:id="29" w:name="_Toc117002606"/>
      <w:r>
        <w:lastRenderedPageBreak/>
        <w:t>Q</w:t>
      </w:r>
      <w:r w:rsidR="006D6156" w:rsidRPr="005D2316">
        <w:t xml:space="preserve">ue faire en </w:t>
      </w:r>
      <w:r w:rsidR="00A16EC8" w:rsidRPr="005D2316">
        <w:t xml:space="preserve">cas </w:t>
      </w:r>
      <w:r w:rsidR="006D6156" w:rsidRPr="005D2316">
        <w:t>d</w:t>
      </w:r>
      <w:r w:rsidR="0067269A" w:rsidRPr="005D2316">
        <w:t>’</w:t>
      </w:r>
      <w:r w:rsidR="00A16EC8" w:rsidRPr="005D2316">
        <w:t>extrapolation?</w:t>
      </w:r>
      <w:bookmarkEnd w:id="29"/>
    </w:p>
    <w:p w14:paraId="3E996710" w14:textId="77777777" w:rsidR="00A16EC8" w:rsidRPr="005D2316" w:rsidRDefault="00A16EC8" w:rsidP="00A16EC8">
      <w:pPr>
        <w:keepNext/>
        <w:rPr>
          <w:rFonts w:eastAsia="Calibri"/>
          <w:lang w:val="fr-FR"/>
        </w:rPr>
      </w:pPr>
    </w:p>
    <w:p w14:paraId="1E13A170" w14:textId="44BBD2BB" w:rsidR="00A16EC8" w:rsidRPr="005D2316" w:rsidRDefault="006D6156" w:rsidP="00AF4261">
      <w:pPr>
        <w:keepNext/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En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absence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extrapolation, </w:t>
      </w: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analys</w:t>
      </w:r>
      <w:r w:rsidR="00A16EC8" w:rsidRPr="005D2316">
        <w:rPr>
          <w:rFonts w:eastAsia="Calibri" w:cs="Arial"/>
          <w:lang w:val="fr-FR"/>
        </w:rPr>
        <w:t xml:space="preserve">e COYU </w:t>
      </w:r>
      <w:r w:rsidRPr="005D2316">
        <w:rPr>
          <w:rFonts w:eastAsia="Calibri" w:cs="Arial"/>
          <w:lang w:val="fr-FR"/>
        </w:rPr>
        <w:t>avec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offre une base 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homogénéité clai</w:t>
      </w:r>
      <w:r w:rsidR="001A0B67" w:rsidRPr="005D2316">
        <w:rPr>
          <w:rFonts w:eastAsia="Calibri" w:cs="Arial"/>
          <w:lang w:val="fr-FR"/>
        </w:rPr>
        <w:t>re.  Av</w:t>
      </w:r>
      <w:r w:rsidRPr="005D2316">
        <w:rPr>
          <w:rFonts w:eastAsia="Calibri" w:cs="Arial"/>
          <w:lang w:val="fr-FR"/>
        </w:rPr>
        <w:t xml:space="preserve">ec </w:t>
      </w:r>
      <w:r w:rsidR="00A16EC8" w:rsidRPr="005D2316">
        <w:rPr>
          <w:rFonts w:eastAsia="Calibri" w:cs="Arial"/>
          <w:lang w:val="fr-FR"/>
        </w:rPr>
        <w:t xml:space="preserve">extrapolation, </w:t>
      </w:r>
      <w:r w:rsidRPr="005D2316">
        <w:rPr>
          <w:rFonts w:eastAsia="Calibri" w:cs="Arial"/>
          <w:lang w:val="fr-FR"/>
        </w:rPr>
        <w:t>les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A5C19" w:rsidRPr="005D2316">
        <w:rPr>
          <w:rFonts w:eastAsia="Calibri" w:cs="Arial"/>
          <w:lang w:val="fr-FR"/>
        </w:rPr>
        <w:t>phytotechniciens</w:t>
      </w:r>
      <w:proofErr w:type="spellEnd"/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doivent juger par eux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>mêm</w:t>
      </w:r>
      <w:r w:rsidR="001A0B67" w:rsidRPr="005D2316">
        <w:rPr>
          <w:rFonts w:eastAsia="Calibri" w:cs="Arial"/>
          <w:lang w:val="fr-FR"/>
        </w:rPr>
        <w:t>es.  Le</w:t>
      </w:r>
      <w:r w:rsidRPr="005D2316">
        <w:rPr>
          <w:rFonts w:eastAsia="Calibri" w:cs="Arial"/>
          <w:lang w:val="fr-FR"/>
        </w:rPr>
        <w:t xml:space="preserve">s résultats fournis par le logiciel, notamment les </w:t>
      </w:r>
      <w:r w:rsidR="00A16EC8" w:rsidRPr="005D2316">
        <w:rPr>
          <w:rFonts w:eastAsia="Calibri" w:cs="Arial"/>
          <w:lang w:val="fr-FR"/>
        </w:rPr>
        <w:t>graph</w:t>
      </w:r>
      <w:r w:rsidRPr="005D2316">
        <w:rPr>
          <w:rFonts w:eastAsia="Calibri" w:cs="Arial"/>
          <w:lang w:val="fr-FR"/>
        </w:rPr>
        <w:t>ique</w:t>
      </w:r>
      <w:r w:rsidR="00A16EC8" w:rsidRPr="005D2316">
        <w:rPr>
          <w:rFonts w:eastAsia="Calibri" w:cs="Arial"/>
          <w:lang w:val="fr-FR"/>
        </w:rPr>
        <w:t xml:space="preserve">s, </w:t>
      </w:r>
      <w:r w:rsidRPr="005D2316">
        <w:rPr>
          <w:rFonts w:eastAsia="Calibri" w:cs="Arial"/>
          <w:lang w:val="fr-FR"/>
        </w:rPr>
        <w:t xml:space="preserve">peuvent </w:t>
      </w:r>
      <w:r w:rsidR="005B099C" w:rsidRPr="005D2316">
        <w:rPr>
          <w:rFonts w:eastAsia="Calibri" w:cs="Arial"/>
          <w:lang w:val="fr-FR"/>
        </w:rPr>
        <w:t>s</w:t>
      </w:r>
      <w:r w:rsidR="0067269A" w:rsidRPr="005D2316">
        <w:rPr>
          <w:rFonts w:eastAsia="Calibri" w:cs="Arial"/>
          <w:lang w:val="fr-FR"/>
        </w:rPr>
        <w:t>’</w:t>
      </w:r>
      <w:r w:rsidR="005B099C" w:rsidRPr="005D2316">
        <w:rPr>
          <w:rFonts w:eastAsia="Calibri" w:cs="Arial"/>
          <w:lang w:val="fr-FR"/>
        </w:rPr>
        <w:t>avérer</w:t>
      </w:r>
      <w:r w:rsidRPr="005D2316">
        <w:rPr>
          <w:rFonts w:eastAsia="Calibri" w:cs="Arial"/>
          <w:lang w:val="fr-FR"/>
        </w:rPr>
        <w:t xml:space="preserve"> utiles dans ce trava</w:t>
      </w:r>
      <w:r w:rsidR="001A0B67" w:rsidRPr="005D2316">
        <w:rPr>
          <w:rFonts w:eastAsia="Calibri" w:cs="Arial"/>
          <w:lang w:val="fr-FR"/>
        </w:rPr>
        <w:t>il.  Le</w:t>
      </w:r>
      <w:r w:rsidRPr="005D2316">
        <w:rPr>
          <w:rFonts w:eastAsia="Calibri" w:cs="Arial"/>
          <w:lang w:val="fr-FR"/>
        </w:rPr>
        <w:t xml:space="preserve"> présent chapitre traite des facteurs susceptibles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influence</w:t>
      </w:r>
      <w:r w:rsidRPr="005D2316">
        <w:rPr>
          <w:rFonts w:eastAsia="Calibri" w:cs="Arial"/>
          <w:lang w:val="fr-FR"/>
        </w:rPr>
        <w:t>r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leur </w:t>
      </w:r>
      <w:r w:rsidR="00A16EC8" w:rsidRPr="005D2316">
        <w:rPr>
          <w:rFonts w:eastAsia="Calibri" w:cs="Arial"/>
          <w:lang w:val="fr-FR"/>
        </w:rPr>
        <w:t>d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cision, </w:t>
      </w:r>
      <w:r w:rsidRPr="005D2316">
        <w:rPr>
          <w:rFonts w:eastAsia="Calibri" w:cs="Arial"/>
          <w:lang w:val="fr-FR"/>
        </w:rPr>
        <w:t>avec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apport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>mples.</w:t>
      </w:r>
    </w:p>
    <w:p w14:paraId="72250A3F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1206F472" w14:textId="7E9E38BC" w:rsidR="00A16EC8" w:rsidRPr="005D2316" w:rsidRDefault="006D6156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Les éléments suivants devraient être pris en compte</w:t>
      </w:r>
      <w:r w:rsidR="0067269A" w:rsidRPr="005D2316">
        <w:rPr>
          <w:rFonts w:eastAsia="Calibri" w:cs="Arial"/>
          <w:lang w:val="fr-FR"/>
        </w:rPr>
        <w:t> :</w:t>
      </w:r>
    </w:p>
    <w:p w14:paraId="2FDC8013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392A1765" w14:textId="41D5CC2F" w:rsidR="00A16EC8" w:rsidRPr="005D2316" w:rsidRDefault="006D6156" w:rsidP="0028590D">
      <w:pPr>
        <w:numPr>
          <w:ilvl w:val="0"/>
          <w:numId w:val="4"/>
        </w:numPr>
        <w:ind w:left="1134" w:hanging="567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A16EC8" w:rsidRPr="005D2316">
        <w:rPr>
          <w:rFonts w:eastAsia="Calibri" w:cs="Arial"/>
          <w:lang w:val="fr-FR"/>
        </w:rPr>
        <w:t>e degr</w:t>
      </w:r>
      <w:r w:rsidRPr="005D2316">
        <w:rPr>
          <w:rFonts w:eastAsia="Calibri" w:cs="Arial"/>
          <w:lang w:val="fr-FR"/>
        </w:rPr>
        <w:t>é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extrapolation;</w:t>
      </w:r>
    </w:p>
    <w:p w14:paraId="1ED043E7" w14:textId="42070017" w:rsidR="00A16EC8" w:rsidRPr="005D2316" w:rsidRDefault="005E1D30" w:rsidP="0028590D">
      <w:pPr>
        <w:numPr>
          <w:ilvl w:val="0"/>
          <w:numId w:val="4"/>
        </w:numPr>
        <w:ind w:left="1134" w:hanging="567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Quelle </w:t>
      </w:r>
      <w:r w:rsidR="006D6156" w:rsidRPr="005D2316">
        <w:rPr>
          <w:rFonts w:eastAsia="Calibri" w:cs="Arial"/>
          <w:lang w:val="fr-FR"/>
        </w:rPr>
        <w:t xml:space="preserve">probabilité </w:t>
      </w:r>
      <w:r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extension de</w:t>
      </w:r>
      <w:r w:rsidR="006D6156" w:rsidRPr="005D2316">
        <w:rPr>
          <w:rFonts w:eastAsia="Calibri" w:cs="Arial"/>
          <w:lang w:val="fr-FR"/>
        </w:rPr>
        <w:t xml:space="preserve"> la tendance observée pour les variétés de ré</w:t>
      </w:r>
      <w:r w:rsidR="00A16EC8" w:rsidRPr="005D2316">
        <w:rPr>
          <w:rFonts w:eastAsia="Calibri" w:cs="Arial"/>
          <w:lang w:val="fr-FR"/>
        </w:rPr>
        <w:t>f</w:t>
      </w:r>
      <w:r w:rsidR="006D6156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 </w:t>
      </w:r>
      <w:r w:rsidR="005B099C" w:rsidRPr="005D2316">
        <w:rPr>
          <w:rFonts w:eastAsia="Calibri" w:cs="Arial"/>
          <w:lang w:val="fr-FR"/>
        </w:rPr>
        <w:t>aux variétés candidates</w:t>
      </w:r>
      <w:r w:rsidR="00A16EC8" w:rsidRPr="005D2316">
        <w:rPr>
          <w:rFonts w:eastAsia="Calibri" w:cs="Arial"/>
          <w:lang w:val="fr-FR"/>
        </w:rPr>
        <w:t>?</w:t>
      </w:r>
    </w:p>
    <w:p w14:paraId="36C9AFF6" w14:textId="219B441B" w:rsidR="00A16EC8" w:rsidRPr="005D2316" w:rsidRDefault="005E1D30" w:rsidP="0028590D">
      <w:pPr>
        <w:numPr>
          <w:ilvl w:val="0"/>
          <w:numId w:val="4"/>
        </w:numPr>
        <w:ind w:left="1134" w:hanging="567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Quelle </w:t>
      </w:r>
      <w:r w:rsidR="00A16EC8" w:rsidRPr="005D2316">
        <w:rPr>
          <w:rFonts w:eastAsia="Calibri" w:cs="Arial"/>
          <w:lang w:val="fr-FR"/>
        </w:rPr>
        <w:t xml:space="preserve">situation </w:t>
      </w:r>
      <w:r w:rsidRPr="005D2316">
        <w:rPr>
          <w:rFonts w:eastAsia="Calibri" w:cs="Arial"/>
          <w:lang w:val="fr-FR"/>
        </w:rPr>
        <w:t>dans les autres</w:t>
      </w:r>
      <w:r w:rsidR="00A16EC8" w:rsidRPr="005D2316">
        <w:rPr>
          <w:rFonts w:eastAsia="Calibri" w:cs="Arial"/>
          <w:lang w:val="fr-FR"/>
        </w:rPr>
        <w:t xml:space="preserve"> cycles, </w:t>
      </w:r>
      <w:r w:rsidRPr="005D2316">
        <w:rPr>
          <w:rFonts w:eastAsia="Calibri" w:cs="Arial"/>
          <w:lang w:val="fr-FR"/>
        </w:rPr>
        <w:t xml:space="preserve">y </w:t>
      </w:r>
      <w:proofErr w:type="spellStart"/>
      <w:r w:rsidRPr="005D2316">
        <w:rPr>
          <w:rFonts w:eastAsia="Calibri" w:cs="Arial"/>
          <w:lang w:val="fr-FR"/>
        </w:rPr>
        <w:t>a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>t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>il</w:t>
      </w:r>
      <w:proofErr w:type="spellEnd"/>
      <w:r w:rsidRPr="005D2316">
        <w:rPr>
          <w:rFonts w:eastAsia="Calibri" w:cs="Arial"/>
          <w:lang w:val="fr-FR"/>
        </w:rPr>
        <w:t xml:space="preserve"> également </w:t>
      </w:r>
      <w:r w:rsidR="00A16EC8" w:rsidRPr="005D2316">
        <w:rPr>
          <w:rFonts w:eastAsia="Calibri" w:cs="Arial"/>
          <w:lang w:val="fr-FR"/>
        </w:rPr>
        <w:t>extrapolation?</w:t>
      </w:r>
    </w:p>
    <w:p w14:paraId="72704F4C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599F1C21" w14:textId="7CC3405D" w:rsidR="00A16EC8" w:rsidRPr="005D2316" w:rsidRDefault="005E1D30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A16EC8" w:rsidRPr="005D2316">
        <w:rPr>
          <w:rFonts w:eastAsia="Calibri" w:cs="Arial"/>
          <w:lang w:val="fr-FR"/>
        </w:rPr>
        <w:t>e</w:t>
      </w:r>
      <w:r w:rsidRPr="005D2316">
        <w:rPr>
          <w:rFonts w:eastAsia="Calibri" w:cs="Arial"/>
          <w:lang w:val="fr-FR"/>
        </w:rPr>
        <w:t xml:space="preserve"> </w:t>
      </w:r>
      <w:r w:rsidR="00A16EC8" w:rsidRPr="005D2316">
        <w:rPr>
          <w:rFonts w:eastAsia="Calibri" w:cs="Arial"/>
          <w:lang w:val="fr-FR"/>
        </w:rPr>
        <w:t>degr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Pr="005D2316">
        <w:rPr>
          <w:rFonts w:eastAsia="Calibri" w:cs="Arial"/>
          <w:lang w:val="fr-FR"/>
        </w:rPr>
        <w:t>est un élément fondament</w:t>
      </w:r>
      <w:r w:rsidR="001A0B67" w:rsidRPr="005D2316">
        <w:rPr>
          <w:rFonts w:eastAsia="Calibri" w:cs="Arial"/>
          <w:lang w:val="fr-FR"/>
        </w:rPr>
        <w:t>al.  S’i</w:t>
      </w:r>
      <w:r w:rsidRPr="005D2316">
        <w:rPr>
          <w:rFonts w:eastAsia="Calibri" w:cs="Arial"/>
          <w:lang w:val="fr-FR"/>
        </w:rPr>
        <w:t>l n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est pas élevé, il est sans doute </w:t>
      </w:r>
      <w:r w:rsidR="00A16EC8" w:rsidRPr="005D2316">
        <w:rPr>
          <w:rFonts w:eastAsia="Calibri" w:cs="Arial"/>
          <w:lang w:val="fr-FR"/>
        </w:rPr>
        <w:t xml:space="preserve">possible </w:t>
      </w:r>
      <w:r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exprimer un </w:t>
      </w:r>
      <w:r w:rsidR="00A16EC8" w:rsidRPr="005D2316">
        <w:rPr>
          <w:rFonts w:eastAsia="Calibri" w:cs="Arial"/>
          <w:lang w:val="fr-FR"/>
        </w:rPr>
        <w:t xml:space="preserve">jugement </w:t>
      </w:r>
      <w:r w:rsidRPr="005D2316">
        <w:rPr>
          <w:rFonts w:eastAsia="Calibri" w:cs="Arial"/>
          <w:lang w:val="fr-FR"/>
        </w:rPr>
        <w:t xml:space="preserve">en se </w:t>
      </w:r>
      <w:r w:rsidR="00A16EC8" w:rsidRPr="005D2316">
        <w:rPr>
          <w:rFonts w:eastAsia="Calibri" w:cs="Arial"/>
          <w:lang w:val="fr-FR"/>
        </w:rPr>
        <w:t>bas</w:t>
      </w:r>
      <w:r w:rsidRPr="005D2316">
        <w:rPr>
          <w:rFonts w:eastAsia="Calibri" w:cs="Arial"/>
          <w:lang w:val="fr-FR"/>
        </w:rPr>
        <w:t>ant sur les tendances observées pour les variétés de référen</w:t>
      </w:r>
      <w:r w:rsidR="001A0B67" w:rsidRPr="005D2316">
        <w:rPr>
          <w:rFonts w:eastAsia="Calibri" w:cs="Arial"/>
          <w:lang w:val="fr-FR"/>
        </w:rPr>
        <w:t>ce.  Si</w:t>
      </w:r>
      <w:r w:rsidR="00E7012A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l</w:t>
      </w:r>
      <w:r w:rsidR="00E7012A" w:rsidRPr="005D2316">
        <w:rPr>
          <w:rFonts w:eastAsia="Calibri" w:cs="Arial"/>
          <w:lang w:val="fr-FR"/>
        </w:rPr>
        <w:t>e degré d</w:t>
      </w:r>
      <w:r w:rsidR="0067269A" w:rsidRPr="005D2316">
        <w:rPr>
          <w:rFonts w:eastAsia="Calibri" w:cs="Arial"/>
          <w:lang w:val="fr-FR"/>
        </w:rPr>
        <w:t>’</w:t>
      </w:r>
      <w:r w:rsidR="00E7012A" w:rsidRPr="005D2316">
        <w:rPr>
          <w:rFonts w:eastAsia="Calibri" w:cs="Arial"/>
          <w:lang w:val="fr-FR"/>
        </w:rPr>
        <w:t>extrapolation</w:t>
      </w:r>
      <w:r w:rsidRPr="005D2316">
        <w:rPr>
          <w:rFonts w:eastAsia="Calibri" w:cs="Arial"/>
          <w:lang w:val="fr-FR"/>
        </w:rPr>
        <w:t xml:space="preserve"> est très élevé, les variétés candidates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pourraient être considérée</w:t>
      </w:r>
      <w:r w:rsidR="00E7012A" w:rsidRPr="005D2316">
        <w:rPr>
          <w:rFonts w:eastAsia="Calibri" w:cs="Arial"/>
          <w:lang w:val="fr-FR"/>
        </w:rPr>
        <w:t>s</w:t>
      </w:r>
      <w:r w:rsidRPr="005D2316">
        <w:rPr>
          <w:rFonts w:eastAsia="Calibri" w:cs="Arial"/>
          <w:lang w:val="fr-FR"/>
        </w:rPr>
        <w:t xml:space="preserve"> comme n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ayant aucune variété </w:t>
      </w:r>
      <w:r w:rsidR="00A16EC8" w:rsidRPr="005D2316">
        <w:rPr>
          <w:rFonts w:eastAsia="Calibri" w:cs="Arial"/>
          <w:lang w:val="fr-FR"/>
        </w:rPr>
        <w:t>comparab</w:t>
      </w:r>
      <w:r w:rsidR="001A0B67" w:rsidRPr="005D2316">
        <w:rPr>
          <w:rFonts w:eastAsia="Calibri" w:cs="Arial"/>
          <w:lang w:val="fr-FR"/>
        </w:rPr>
        <w:t>le.  Da</w:t>
      </w:r>
      <w:r w:rsidRPr="005D2316">
        <w:rPr>
          <w:rFonts w:eastAsia="Calibri" w:cs="Arial"/>
          <w:lang w:val="fr-FR"/>
        </w:rPr>
        <w:t>ns ce</w:t>
      </w:r>
      <w:r w:rsidR="00A16EC8" w:rsidRPr="005D2316">
        <w:rPr>
          <w:rFonts w:eastAsia="Calibri" w:cs="Arial"/>
          <w:lang w:val="fr-FR"/>
        </w:rPr>
        <w:t xml:space="preserve"> cas, </w:t>
      </w:r>
      <w:r w:rsidRPr="005D2316">
        <w:rPr>
          <w:rFonts w:eastAsia="Calibri" w:cs="Arial"/>
          <w:lang w:val="fr-FR"/>
        </w:rPr>
        <w:t>il faudrait peut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 xml:space="preserve">être accorder le bénéfice du </w:t>
      </w:r>
      <w:r w:rsidR="00A16EC8" w:rsidRPr="005D2316">
        <w:rPr>
          <w:rFonts w:eastAsia="Calibri" w:cs="Arial"/>
          <w:lang w:val="fr-FR"/>
        </w:rPr>
        <w:t>dout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aux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variétés candidates</w:t>
      </w:r>
      <w:r w:rsidR="00A16EC8" w:rsidRPr="005D2316">
        <w:rPr>
          <w:rFonts w:eastAsia="Calibri" w:cs="Arial"/>
          <w:lang w:val="fr-FR"/>
        </w:rPr>
        <w:t>.</w:t>
      </w:r>
    </w:p>
    <w:p w14:paraId="48071234" w14:textId="77777777" w:rsidR="00A16EC8" w:rsidRPr="005D2316" w:rsidRDefault="00A16EC8" w:rsidP="00A16EC8">
      <w:pPr>
        <w:rPr>
          <w:rFonts w:eastAsia="Calibri" w:cs="Arial"/>
          <w:lang w:val="fr-FR"/>
        </w:rPr>
      </w:pPr>
    </w:p>
    <w:p w14:paraId="5252242A" w14:textId="155E23EA" w:rsidR="00A16EC8" w:rsidRPr="005D2316" w:rsidRDefault="005E1D30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La </w:t>
      </w:r>
      <w:r w:rsidR="002E2579" w:rsidRPr="005D2316">
        <w:rPr>
          <w:rFonts w:eastAsia="Calibri" w:cs="Arial"/>
          <w:lang w:val="fr-FR"/>
        </w:rPr>
        <w:t xml:space="preserve">ligne de </w:t>
      </w:r>
      <w:r w:rsidRPr="005D2316">
        <w:rPr>
          <w:rFonts w:eastAsia="Calibri" w:cs="Arial"/>
          <w:lang w:val="fr-FR"/>
        </w:rPr>
        <w:t>tendance observée pour les variétés de référence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pourrait apporter certains </w:t>
      </w:r>
      <w:r w:rsidR="00A16EC8" w:rsidRPr="005D2316">
        <w:rPr>
          <w:rFonts w:eastAsia="Calibri" w:cs="Arial"/>
          <w:lang w:val="fr-FR"/>
        </w:rPr>
        <w:t>caract</w:t>
      </w:r>
      <w:r w:rsidRPr="005D2316">
        <w:rPr>
          <w:rFonts w:eastAsia="Calibri" w:cs="Arial"/>
          <w:lang w:val="fr-FR"/>
        </w:rPr>
        <w:t>èr</w:t>
      </w:r>
      <w:r w:rsidR="001A0B67" w:rsidRPr="005D2316">
        <w:rPr>
          <w:rFonts w:eastAsia="Calibri" w:cs="Arial"/>
          <w:lang w:val="fr-FR"/>
        </w:rPr>
        <w:t>es.  Da</w:t>
      </w:r>
      <w:r w:rsidRPr="005D2316">
        <w:rPr>
          <w:rFonts w:eastAsia="Calibri" w:cs="Arial"/>
          <w:lang w:val="fr-FR"/>
        </w:rPr>
        <w:t>ns ce</w:t>
      </w:r>
      <w:r w:rsidR="00F22590" w:rsidRPr="005D2316">
        <w:rPr>
          <w:rFonts w:eastAsia="Calibri" w:cs="Arial"/>
          <w:lang w:val="fr-FR"/>
        </w:rPr>
        <w:t xml:space="preserve">s </w:t>
      </w:r>
      <w:r w:rsidR="00A16EC8" w:rsidRPr="005D2316">
        <w:rPr>
          <w:rFonts w:eastAsia="Calibri" w:cs="Arial"/>
          <w:lang w:val="fr-FR"/>
        </w:rPr>
        <w:t>cas</w:t>
      </w:r>
      <w:r w:rsidR="00F22590" w:rsidRPr="005D2316">
        <w:rPr>
          <w:rFonts w:eastAsia="Calibri" w:cs="Arial"/>
          <w:lang w:val="fr-FR"/>
        </w:rPr>
        <w:t xml:space="preserve"> de figure, l</w:t>
      </w:r>
      <w:r w:rsidR="0067269A" w:rsidRPr="005D2316">
        <w:rPr>
          <w:rFonts w:eastAsia="Calibri" w:cs="Arial"/>
          <w:lang w:val="fr-FR"/>
        </w:rPr>
        <w:t>’</w:t>
      </w:r>
      <w:r w:rsidR="00F22590" w:rsidRPr="005D2316">
        <w:rPr>
          <w:rFonts w:eastAsia="Calibri" w:cs="Arial"/>
          <w:lang w:val="fr-FR"/>
        </w:rPr>
        <w:t>extrapolation mériter</w:t>
      </w:r>
      <w:r w:rsidR="002E2579" w:rsidRPr="005D2316">
        <w:rPr>
          <w:rFonts w:eastAsia="Calibri" w:cs="Arial"/>
          <w:lang w:val="fr-FR"/>
        </w:rPr>
        <w:t>ait</w:t>
      </w:r>
      <w:r w:rsidR="00F22590" w:rsidRPr="005D2316">
        <w:rPr>
          <w:rFonts w:eastAsia="Calibri" w:cs="Arial"/>
          <w:lang w:val="fr-FR"/>
        </w:rPr>
        <w:t xml:space="preserve"> un degré de c</w:t>
      </w:r>
      <w:r w:rsidR="00A16EC8" w:rsidRPr="005D2316">
        <w:rPr>
          <w:rFonts w:eastAsia="Calibri" w:cs="Arial"/>
          <w:lang w:val="fr-FR"/>
        </w:rPr>
        <w:t>onfi</w:t>
      </w:r>
      <w:r w:rsidR="00F22590" w:rsidRPr="005D2316">
        <w:rPr>
          <w:rFonts w:eastAsia="Calibri" w:cs="Arial"/>
          <w:lang w:val="fr-FR"/>
        </w:rPr>
        <w:t>a</w:t>
      </w:r>
      <w:r w:rsidR="00A16EC8" w:rsidRPr="005D2316">
        <w:rPr>
          <w:rFonts w:eastAsia="Calibri" w:cs="Arial"/>
          <w:lang w:val="fr-FR"/>
        </w:rPr>
        <w:t xml:space="preserve">nce </w:t>
      </w:r>
      <w:r w:rsidR="00F22590" w:rsidRPr="005D2316">
        <w:rPr>
          <w:rFonts w:eastAsia="Calibri" w:cs="Arial"/>
          <w:lang w:val="fr-FR"/>
        </w:rPr>
        <w:t>plus important</w:t>
      </w:r>
      <w:r w:rsidR="00A16EC8" w:rsidRPr="005D2316">
        <w:rPr>
          <w:rFonts w:eastAsia="Calibri" w:cs="Arial"/>
          <w:lang w:val="fr-FR"/>
        </w:rPr>
        <w:t>.</w:t>
      </w:r>
    </w:p>
    <w:p w14:paraId="34423FD7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6C97FA1D" w14:textId="7A340516" w:rsidR="00A16EC8" w:rsidRPr="005D2316" w:rsidRDefault="00A16EC8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I</w:t>
      </w:r>
      <w:r w:rsidR="00F22590" w:rsidRPr="005D2316">
        <w:rPr>
          <w:rFonts w:eastAsia="Calibri" w:cs="Arial"/>
          <w:lang w:val="fr-FR"/>
        </w:rPr>
        <w:t>l est</w:t>
      </w:r>
      <w:r w:rsidRPr="005D2316">
        <w:rPr>
          <w:rFonts w:eastAsia="Calibri" w:cs="Arial"/>
          <w:lang w:val="fr-FR"/>
        </w:rPr>
        <w:t xml:space="preserve"> important </w:t>
      </w:r>
      <w:r w:rsidR="00F22590" w:rsidRPr="005D2316">
        <w:rPr>
          <w:rFonts w:eastAsia="Calibri" w:cs="Arial"/>
          <w:lang w:val="fr-FR"/>
        </w:rPr>
        <w:t>d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examine</w:t>
      </w:r>
      <w:r w:rsidR="00F22590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 xml:space="preserve"> </w:t>
      </w:r>
      <w:r w:rsidR="00F22590" w:rsidRPr="005D2316">
        <w:rPr>
          <w:rFonts w:eastAsia="Calibri" w:cs="Arial"/>
          <w:lang w:val="fr-FR"/>
        </w:rPr>
        <w:t>les autres</w:t>
      </w:r>
      <w:r w:rsidRPr="005D2316">
        <w:rPr>
          <w:rFonts w:eastAsia="Calibri" w:cs="Arial"/>
          <w:lang w:val="fr-FR"/>
        </w:rPr>
        <w:t xml:space="preserve"> cycles/a</w:t>
      </w:r>
      <w:r w:rsidR="00F22590" w:rsidRPr="005D2316">
        <w:rPr>
          <w:rFonts w:eastAsia="Calibri" w:cs="Arial"/>
          <w:lang w:val="fr-FR"/>
        </w:rPr>
        <w:t>nné</w:t>
      </w:r>
      <w:r w:rsidR="001A0B67" w:rsidRPr="005D2316">
        <w:rPr>
          <w:rFonts w:eastAsia="Calibri" w:cs="Arial"/>
          <w:lang w:val="fr-FR"/>
        </w:rPr>
        <w:t>es.  La</w:t>
      </w:r>
      <w:r w:rsidR="00F22590" w:rsidRPr="005D2316">
        <w:rPr>
          <w:rFonts w:eastAsia="Calibri" w:cs="Arial"/>
          <w:lang w:val="fr-FR"/>
        </w:rPr>
        <w:t xml:space="preserve"> décision</w:t>
      </w:r>
      <w:r w:rsidRPr="005D2316">
        <w:rPr>
          <w:rFonts w:eastAsia="Calibri" w:cs="Arial"/>
          <w:lang w:val="fr-FR"/>
        </w:rPr>
        <w:t xml:space="preserve"> COYU </w:t>
      </w:r>
      <w:r w:rsidR="00F22590" w:rsidRPr="005D2316">
        <w:rPr>
          <w:rFonts w:eastAsia="Calibri" w:cs="Arial"/>
          <w:lang w:val="fr-FR"/>
        </w:rPr>
        <w:t xml:space="preserve">se prend au regard de </w:t>
      </w:r>
      <w:r w:rsidRPr="005D2316">
        <w:rPr>
          <w:rFonts w:eastAsia="Calibri" w:cs="Arial"/>
          <w:lang w:val="fr-FR"/>
        </w:rPr>
        <w:t>cycles/</w:t>
      </w:r>
      <w:r w:rsidR="00F22590" w:rsidRPr="005D2316">
        <w:rPr>
          <w:rFonts w:eastAsia="Calibri" w:cs="Arial"/>
          <w:lang w:val="fr-FR"/>
        </w:rPr>
        <w:t>année</w:t>
      </w:r>
      <w:r w:rsidRPr="005D2316">
        <w:rPr>
          <w:rFonts w:eastAsia="Calibri" w:cs="Arial"/>
          <w:lang w:val="fr-FR"/>
        </w:rPr>
        <w:t xml:space="preserve">s, </w:t>
      </w:r>
      <w:r w:rsidR="00F22590" w:rsidRPr="005D2316">
        <w:rPr>
          <w:rFonts w:eastAsia="Calibri" w:cs="Arial"/>
          <w:lang w:val="fr-FR"/>
        </w:rPr>
        <w:t>et il peut s</w:t>
      </w:r>
      <w:r w:rsidR="0067269A" w:rsidRPr="005D2316">
        <w:rPr>
          <w:rFonts w:eastAsia="Calibri" w:cs="Arial"/>
          <w:lang w:val="fr-FR"/>
        </w:rPr>
        <w:t>’</w:t>
      </w:r>
      <w:r w:rsidR="00F22590" w:rsidRPr="005D2316">
        <w:rPr>
          <w:rFonts w:eastAsia="Calibri" w:cs="Arial"/>
          <w:lang w:val="fr-FR"/>
        </w:rPr>
        <w:t xml:space="preserve">avérer </w:t>
      </w:r>
      <w:proofErr w:type="gramStart"/>
      <w:r w:rsidR="00F22590" w:rsidRPr="005D2316">
        <w:rPr>
          <w:rFonts w:eastAsia="Calibri" w:cs="Arial"/>
          <w:lang w:val="fr-FR"/>
        </w:rPr>
        <w:t>risqué</w:t>
      </w:r>
      <w:proofErr w:type="gramEnd"/>
      <w:r w:rsidR="00F22590" w:rsidRPr="005D2316">
        <w:rPr>
          <w:rFonts w:eastAsia="Calibri" w:cs="Arial"/>
          <w:lang w:val="fr-FR"/>
        </w:rPr>
        <w:t xml:space="preserve"> de </w:t>
      </w:r>
      <w:r w:rsidRPr="005D2316">
        <w:rPr>
          <w:rFonts w:eastAsia="Calibri" w:cs="Arial"/>
          <w:lang w:val="fr-FR"/>
        </w:rPr>
        <w:t>combine</w:t>
      </w:r>
      <w:r w:rsidR="00F22590" w:rsidRPr="005D2316">
        <w:rPr>
          <w:rFonts w:eastAsia="Calibri" w:cs="Arial"/>
          <w:lang w:val="fr-FR"/>
        </w:rPr>
        <w:t>r</w:t>
      </w:r>
      <w:r w:rsidRPr="005D2316">
        <w:rPr>
          <w:rFonts w:eastAsia="Calibri" w:cs="Arial"/>
          <w:lang w:val="fr-FR"/>
        </w:rPr>
        <w:t xml:space="preserve"> </w:t>
      </w:r>
      <w:r w:rsidR="00F22590" w:rsidRPr="005D2316">
        <w:rPr>
          <w:rFonts w:eastAsia="Calibri" w:cs="Arial"/>
          <w:lang w:val="fr-FR"/>
        </w:rPr>
        <w:t>subjectivement les ré</w:t>
      </w:r>
      <w:r w:rsidRPr="005D2316">
        <w:rPr>
          <w:rFonts w:eastAsia="Calibri" w:cs="Arial"/>
          <w:lang w:val="fr-FR"/>
        </w:rPr>
        <w:t>sult</w:t>
      </w:r>
      <w:r w:rsidR="00F22590" w:rsidRPr="005D2316">
        <w:rPr>
          <w:rFonts w:eastAsia="Calibri" w:cs="Arial"/>
          <w:lang w:val="fr-FR"/>
        </w:rPr>
        <w:t>at</w:t>
      </w:r>
      <w:r w:rsidRPr="005D2316">
        <w:rPr>
          <w:rFonts w:eastAsia="Calibri" w:cs="Arial"/>
          <w:lang w:val="fr-FR"/>
        </w:rPr>
        <w:t xml:space="preserve">s </w:t>
      </w:r>
      <w:r w:rsidR="00F22590" w:rsidRPr="005D2316">
        <w:rPr>
          <w:rFonts w:eastAsia="Calibri" w:cs="Arial"/>
          <w:lang w:val="fr-FR"/>
        </w:rPr>
        <w:t>en l</w:t>
      </w:r>
      <w:r w:rsidR="0067269A" w:rsidRPr="005D2316">
        <w:rPr>
          <w:rFonts w:eastAsia="Calibri" w:cs="Arial"/>
          <w:lang w:val="fr-FR"/>
        </w:rPr>
        <w:t>’</w:t>
      </w:r>
      <w:r w:rsidR="00F22590" w:rsidRPr="005D2316">
        <w:rPr>
          <w:rFonts w:eastAsia="Calibri" w:cs="Arial"/>
          <w:lang w:val="fr-FR"/>
        </w:rPr>
        <w:t>absence d</w:t>
      </w:r>
      <w:r w:rsidR="0067269A" w:rsidRPr="005D2316">
        <w:rPr>
          <w:rFonts w:eastAsia="Calibri" w:cs="Arial"/>
          <w:lang w:val="fr-FR"/>
        </w:rPr>
        <w:t>’</w:t>
      </w:r>
      <w:r w:rsidR="00F22590" w:rsidRPr="005D2316">
        <w:rPr>
          <w:rFonts w:eastAsia="Calibri" w:cs="Arial"/>
          <w:lang w:val="fr-FR"/>
        </w:rPr>
        <w:t>incohérence</w:t>
      </w:r>
      <w:r w:rsidRPr="005D2316">
        <w:rPr>
          <w:rFonts w:eastAsia="Calibri" w:cs="Arial"/>
          <w:lang w:val="fr-FR"/>
        </w:rPr>
        <w:t>.</w:t>
      </w:r>
    </w:p>
    <w:p w14:paraId="1D6310AA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2CAF85B8" w14:textId="3B940C13" w:rsidR="0067269A" w:rsidRPr="005D2316" w:rsidRDefault="00F22590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Nous soumettons ci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 xml:space="preserve">dessous quelques </w:t>
      </w:r>
      <w:r w:rsidR="00A16EC8" w:rsidRPr="005D2316">
        <w:rPr>
          <w:rFonts w:eastAsia="Calibri" w:cs="Arial"/>
          <w:lang w:val="fr-FR"/>
        </w:rPr>
        <w:t>ex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mples </w:t>
      </w:r>
      <w:r w:rsidRPr="005D2316">
        <w:rPr>
          <w:rFonts w:eastAsia="Calibri" w:cs="Arial"/>
          <w:lang w:val="fr-FR"/>
        </w:rPr>
        <w:t>pour exam</w:t>
      </w:r>
      <w:r w:rsidR="001A0B67" w:rsidRPr="005D2316">
        <w:rPr>
          <w:rFonts w:eastAsia="Calibri" w:cs="Arial"/>
          <w:lang w:val="fr-FR"/>
        </w:rPr>
        <w:t>en.  Da</w:t>
      </w:r>
      <w:r w:rsidRPr="005D2316">
        <w:rPr>
          <w:rFonts w:eastAsia="Calibri" w:cs="Arial"/>
          <w:lang w:val="fr-FR"/>
        </w:rPr>
        <w:t>ns la 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5, </w:t>
      </w:r>
      <w:r w:rsidRPr="005D2316">
        <w:rPr>
          <w:rFonts w:eastAsia="Calibri" w:cs="Arial"/>
          <w:lang w:val="fr-FR"/>
        </w:rPr>
        <w:t>nous avons un</w:t>
      </w:r>
      <w:r w:rsidR="00A16EC8" w:rsidRPr="005D2316">
        <w:rPr>
          <w:rFonts w:eastAsia="Calibri" w:cs="Arial"/>
          <w:lang w:val="fr-FR"/>
        </w:rPr>
        <w:t xml:space="preserve"> cas </w:t>
      </w:r>
      <w:r w:rsidR="002E2579" w:rsidRPr="005D2316">
        <w:rPr>
          <w:rFonts w:eastAsia="Calibri" w:cs="Arial"/>
          <w:lang w:val="fr-FR"/>
        </w:rPr>
        <w:t>avec</w:t>
      </w:r>
      <w:r w:rsidRPr="005D2316">
        <w:rPr>
          <w:rFonts w:eastAsia="Calibri" w:cs="Arial"/>
          <w:lang w:val="fr-FR"/>
        </w:rPr>
        <w:t xml:space="preserve"> une ligne de tendance peu conséquente pour les </w:t>
      </w:r>
      <w:r w:rsidR="005E1D30" w:rsidRPr="005D2316">
        <w:rPr>
          <w:rFonts w:eastAsia="Calibri" w:cs="Arial"/>
          <w:lang w:val="fr-FR"/>
        </w:rPr>
        <w:t>variétés de référen</w:t>
      </w:r>
      <w:r w:rsidR="001A0B67" w:rsidRPr="005D2316">
        <w:rPr>
          <w:rFonts w:eastAsia="Calibri" w:cs="Arial"/>
          <w:lang w:val="fr-FR"/>
        </w:rPr>
        <w:t>ce.  La</w:t>
      </w:r>
      <w:r w:rsidRPr="005D2316">
        <w:rPr>
          <w:rFonts w:eastAsia="Calibri" w:cs="Arial"/>
          <w:lang w:val="fr-FR"/>
        </w:rPr>
        <w:t xml:space="preserve"> v</w:t>
      </w:r>
      <w:r w:rsidR="005E1D30" w:rsidRPr="005D2316">
        <w:rPr>
          <w:rFonts w:eastAsia="Calibri" w:cs="Arial"/>
          <w:lang w:val="fr-FR"/>
        </w:rPr>
        <w:t>ariété candidate</w:t>
      </w:r>
      <w:r w:rsidR="00A16EC8" w:rsidRPr="005D2316">
        <w:rPr>
          <w:rFonts w:eastAsia="Calibri" w:cs="Arial"/>
          <w:lang w:val="fr-FR"/>
        </w:rPr>
        <w:t xml:space="preserve"> 1 </w:t>
      </w:r>
      <w:r w:rsidRPr="005D2316">
        <w:rPr>
          <w:rFonts w:eastAsia="Calibri" w:cs="Arial"/>
          <w:lang w:val="fr-FR"/>
        </w:rPr>
        <w:t xml:space="preserve">présente nettement une faible variabilité par rapport aux </w:t>
      </w:r>
      <w:r w:rsidR="005E1D30" w:rsidRPr="005D2316">
        <w:rPr>
          <w:rFonts w:eastAsia="Calibri" w:cs="Arial"/>
          <w:lang w:val="fr-FR"/>
        </w:rPr>
        <w:t>variétés de référence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 xml:space="preserve">ce qui pourrait </w:t>
      </w:r>
      <w:r w:rsidR="00A16EC8" w:rsidRPr="005D2316">
        <w:rPr>
          <w:rFonts w:eastAsia="Calibri" w:cs="Arial"/>
          <w:lang w:val="fr-FR"/>
        </w:rPr>
        <w:t>indi</w:t>
      </w:r>
      <w:r w:rsidRPr="005D2316">
        <w:rPr>
          <w:rFonts w:eastAsia="Calibri" w:cs="Arial"/>
          <w:lang w:val="fr-FR"/>
        </w:rPr>
        <w:t xml:space="preserve">quer une </w:t>
      </w:r>
      <w:r w:rsidR="00AA5C19" w:rsidRPr="005D2316">
        <w:rPr>
          <w:rFonts w:eastAsia="Calibri" w:cs="Arial"/>
          <w:lang w:val="fr-FR"/>
        </w:rPr>
        <w:t>homogénéité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 xml:space="preserve">satisfaisante en cas de similitude </w:t>
      </w:r>
      <w:r w:rsidR="002E2579" w:rsidRPr="005D2316">
        <w:rPr>
          <w:rFonts w:eastAsia="Calibri" w:cs="Arial"/>
          <w:lang w:val="fr-FR"/>
        </w:rPr>
        <w:t>avec l</w:t>
      </w:r>
      <w:r w:rsidRPr="005D2316">
        <w:rPr>
          <w:rFonts w:eastAsia="Calibri" w:cs="Arial"/>
          <w:lang w:val="fr-FR"/>
        </w:rPr>
        <w:t>es autres</w:t>
      </w:r>
      <w:r w:rsidR="00A16EC8" w:rsidRPr="005D2316">
        <w:rPr>
          <w:rFonts w:eastAsia="Calibri" w:cs="Arial"/>
          <w:lang w:val="fr-FR"/>
        </w:rPr>
        <w:t xml:space="preserve"> cycles/a</w:t>
      </w:r>
      <w:r w:rsidRPr="005D2316">
        <w:rPr>
          <w:rFonts w:eastAsia="Calibri" w:cs="Arial"/>
          <w:lang w:val="fr-FR"/>
        </w:rPr>
        <w:t>nné</w:t>
      </w:r>
      <w:r w:rsidR="001A0B67" w:rsidRPr="005D2316">
        <w:rPr>
          <w:rFonts w:eastAsia="Calibri" w:cs="Arial"/>
          <w:lang w:val="fr-FR"/>
        </w:rPr>
        <w:t>es.  Pa</w:t>
      </w:r>
      <w:r w:rsidRPr="005D2316">
        <w:rPr>
          <w:rFonts w:eastAsia="Calibri" w:cs="Arial"/>
          <w:lang w:val="fr-FR"/>
        </w:rPr>
        <w:t>r contre</w:t>
      </w:r>
      <w:r w:rsidR="00A16EC8" w:rsidRPr="005D2316">
        <w:rPr>
          <w:rFonts w:eastAsia="Calibri" w:cs="Arial"/>
          <w:lang w:val="fr-FR"/>
        </w:rPr>
        <w:t xml:space="preserve">, </w:t>
      </w:r>
      <w:r w:rsidRPr="005D2316">
        <w:rPr>
          <w:rFonts w:eastAsia="Calibri" w:cs="Arial"/>
          <w:lang w:val="fr-FR"/>
        </w:rPr>
        <w:t xml:space="preserve">la </w:t>
      </w:r>
      <w:r w:rsidR="005E1D30" w:rsidRPr="005D2316">
        <w:rPr>
          <w:rFonts w:eastAsia="Calibri" w:cs="Arial"/>
          <w:lang w:val="fr-FR"/>
        </w:rPr>
        <w:t>variété candidate</w:t>
      </w:r>
      <w:r w:rsidR="0012350F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2 </w:t>
      </w:r>
      <w:r w:rsidRPr="005D2316">
        <w:rPr>
          <w:rFonts w:eastAsia="Calibri" w:cs="Arial"/>
          <w:lang w:val="fr-FR"/>
        </w:rPr>
        <w:t>présente des niveaux de variabilité élevés par rapport aux</w:t>
      </w:r>
      <w:r w:rsidR="00A16EC8" w:rsidRPr="005D2316">
        <w:rPr>
          <w:rFonts w:eastAsia="Calibri" w:cs="Arial"/>
          <w:lang w:val="fr-FR"/>
        </w:rPr>
        <w:t xml:space="preserve"> </w:t>
      </w:r>
      <w:r w:rsidR="005E1D30" w:rsidRPr="005D2316">
        <w:rPr>
          <w:rFonts w:eastAsia="Calibri" w:cs="Arial"/>
          <w:lang w:val="fr-FR"/>
        </w:rPr>
        <w:t>variétés de référence</w:t>
      </w:r>
      <w:r w:rsidR="00A16EC8" w:rsidRPr="005D2316">
        <w:rPr>
          <w:rFonts w:eastAsia="Calibri" w:cs="Arial"/>
          <w:lang w:val="fr-FR"/>
        </w:rPr>
        <w:t xml:space="preserve">, </w:t>
      </w:r>
      <w:r w:rsidR="007C0257" w:rsidRPr="005D2316">
        <w:rPr>
          <w:rFonts w:eastAsia="Calibri" w:cs="Arial"/>
          <w:lang w:val="fr-FR"/>
        </w:rPr>
        <w:t>ce qui pourrait être un motif de réelle préoccupation quant au manque d</w:t>
      </w:r>
      <w:r w:rsidR="0067269A" w:rsidRPr="005D2316">
        <w:rPr>
          <w:rFonts w:eastAsia="Calibri" w:cs="Arial"/>
          <w:lang w:val="fr-FR"/>
        </w:rPr>
        <w:t>’</w:t>
      </w:r>
      <w:r w:rsidR="00AA5C19" w:rsidRPr="005D2316">
        <w:rPr>
          <w:rFonts w:eastAsia="Calibri" w:cs="Arial"/>
          <w:lang w:val="fr-FR"/>
        </w:rPr>
        <w:t>homogénéité</w:t>
      </w:r>
      <w:r w:rsidR="00A16EC8" w:rsidRPr="005D2316">
        <w:rPr>
          <w:rFonts w:eastAsia="Calibri" w:cs="Arial"/>
          <w:lang w:val="fr-FR"/>
        </w:rPr>
        <w:t>.</w:t>
      </w:r>
    </w:p>
    <w:p w14:paraId="4B8C9230" w14:textId="57107042" w:rsidR="00A16EC8" w:rsidRPr="005D2316" w:rsidRDefault="00A16EC8" w:rsidP="00A16EC8">
      <w:pPr>
        <w:rPr>
          <w:rFonts w:ascii="Calibri" w:eastAsia="Calibri" w:hAnsi="Calibri"/>
          <w:sz w:val="22"/>
          <w:szCs w:val="22"/>
          <w:lang w:val="fr-FR"/>
        </w:rPr>
      </w:pPr>
      <w:r w:rsidRPr="005D2316">
        <w:rPr>
          <w:rFonts w:ascii="Calibri" w:eastAsia="Calibri" w:hAnsi="Calibri"/>
          <w:noProof/>
          <w:sz w:val="22"/>
          <w:szCs w:val="22"/>
          <w:lang w:eastAsia="ja-JP"/>
        </w:rPr>
        <w:drawing>
          <wp:inline distT="0" distB="0" distL="0" distR="0" wp14:anchorId="4F0A629E" wp14:editId="5C76310C">
            <wp:extent cx="3375160" cy="3064476"/>
            <wp:effectExtent l="0" t="0" r="0" b="0"/>
            <wp:docPr id="92" name="Picture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fig4.wmf"/>
                    <pic:cNvPicPr/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7428" b="34107"/>
                    <a:stretch/>
                  </pic:blipFill>
                  <pic:spPr bwMode="auto">
                    <a:xfrm>
                      <a:off x="0" y="0"/>
                      <a:ext cx="3376275" cy="306548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AD11CC4" w14:textId="0305474B" w:rsidR="00A16EC8" w:rsidRPr="005D2316" w:rsidRDefault="00A16EC8" w:rsidP="00A16EC8">
      <w:pPr>
        <w:rPr>
          <w:rFonts w:eastAsia="Calibri" w:cs="Arial"/>
          <w:i/>
          <w:sz w:val="18"/>
          <w:szCs w:val="18"/>
          <w:lang w:val="fr-FR"/>
        </w:rPr>
      </w:pPr>
      <w:r w:rsidRPr="005D2316">
        <w:rPr>
          <w:rFonts w:eastAsia="Calibri" w:cs="Arial"/>
          <w:b/>
          <w:sz w:val="18"/>
          <w:szCs w:val="18"/>
          <w:lang w:val="fr-FR"/>
        </w:rPr>
        <w:t>Figure</w:t>
      </w:r>
      <w:r w:rsidR="00A2333E" w:rsidRPr="005D2316">
        <w:rPr>
          <w:rFonts w:eastAsia="Calibri" w:cs="Arial"/>
          <w:b/>
          <w:sz w:val="18"/>
          <w:szCs w:val="18"/>
          <w:lang w:val="fr-FR"/>
        </w:rPr>
        <w:t> </w:t>
      </w:r>
      <w:r w:rsidRPr="005D2316">
        <w:rPr>
          <w:rFonts w:eastAsia="Calibri" w:cs="Arial"/>
          <w:b/>
          <w:sz w:val="18"/>
          <w:szCs w:val="18"/>
          <w:lang w:val="fr-FR"/>
        </w:rPr>
        <w:t>5</w:t>
      </w:r>
      <w:r w:rsidR="0067269A" w:rsidRPr="005D2316">
        <w:rPr>
          <w:rFonts w:eastAsia="Calibri" w:cs="Arial"/>
          <w:b/>
          <w:sz w:val="18"/>
          <w:szCs w:val="18"/>
          <w:lang w:val="fr-FR"/>
        </w:rPr>
        <w:t> :</w:t>
      </w:r>
      <w:r w:rsidRPr="005D2316">
        <w:rPr>
          <w:rFonts w:eastAsia="Calibri" w:cs="Arial"/>
          <w:sz w:val="18"/>
          <w:szCs w:val="18"/>
          <w:lang w:val="fr-FR"/>
        </w:rPr>
        <w:t xml:space="preserve"> </w:t>
      </w:r>
      <w:r w:rsidRPr="005D2316">
        <w:rPr>
          <w:rFonts w:eastAsia="Calibri" w:cs="Arial"/>
          <w:i/>
          <w:sz w:val="18"/>
          <w:szCs w:val="18"/>
          <w:lang w:val="fr-FR"/>
        </w:rPr>
        <w:t>Ex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mple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d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un</w:t>
      </w:r>
      <w:r w:rsidR="0012350F" w:rsidRPr="005D2316">
        <w:rPr>
          <w:rFonts w:eastAsia="Calibri" w:cs="Arial"/>
          <w:i/>
          <w:sz w:val="18"/>
          <w:szCs w:val="18"/>
          <w:lang w:val="fr-FR"/>
        </w:rPr>
        <w:t>e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 ligne de tendance peu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viden</w:t>
      </w:r>
      <w:r w:rsidR="001A0B67" w:rsidRPr="005D2316">
        <w:rPr>
          <w:rFonts w:eastAsia="Calibri" w:cs="Arial"/>
          <w:i/>
          <w:sz w:val="18"/>
          <w:szCs w:val="18"/>
          <w:lang w:val="fr-FR"/>
        </w:rPr>
        <w:t>te.  Le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s </w:t>
      </w:r>
      <w:r w:rsidR="005E1D30" w:rsidRPr="005D2316">
        <w:rPr>
          <w:rFonts w:eastAsia="Calibri" w:cs="Arial"/>
          <w:i/>
          <w:sz w:val="18"/>
          <w:szCs w:val="18"/>
          <w:lang w:val="fr-FR"/>
        </w:rPr>
        <w:t>variétés de référence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sont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repr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sent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e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par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‘</w:t>
      </w:r>
      <w:r w:rsidRPr="005D2316">
        <w:rPr>
          <w:rFonts w:eastAsia="Calibri" w:cs="Arial"/>
          <w:i/>
          <w:sz w:val="18"/>
          <w:szCs w:val="18"/>
          <w:lang w:val="fr-FR"/>
        </w:rPr>
        <w:t>x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et les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5E1D30" w:rsidRPr="005D2316">
        <w:rPr>
          <w:rFonts w:eastAsia="Calibri" w:cs="Arial"/>
          <w:i/>
          <w:sz w:val="18"/>
          <w:szCs w:val="18"/>
          <w:lang w:val="fr-FR"/>
        </w:rPr>
        <w:t>variétés candidates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 par 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‘</w:t>
      </w:r>
      <w:r w:rsidRPr="005D2316">
        <w:rPr>
          <w:rFonts w:eastAsia="Calibri" w:cs="Arial"/>
          <w:i/>
          <w:sz w:val="18"/>
          <w:szCs w:val="18"/>
          <w:lang w:val="fr-FR"/>
        </w:rPr>
        <w:t>1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et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‘</w:t>
      </w:r>
      <w:r w:rsidRPr="005D2316">
        <w:rPr>
          <w:rFonts w:eastAsia="Calibri" w:cs="Arial"/>
          <w:i/>
          <w:sz w:val="18"/>
          <w:szCs w:val="18"/>
          <w:lang w:val="fr-FR"/>
        </w:rPr>
        <w:t>2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>.</w:t>
      </w:r>
      <w:r w:rsidR="00A2333E"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La ligne bleue indique le </w:t>
      </w:r>
      <w:proofErr w:type="spellStart"/>
      <w:r w:rsidRPr="005D2316">
        <w:rPr>
          <w:rFonts w:eastAsia="Calibri" w:cs="Arial"/>
          <w:i/>
          <w:sz w:val="18"/>
          <w:szCs w:val="18"/>
          <w:lang w:val="fr-FR"/>
        </w:rPr>
        <w:t>spline</w:t>
      </w:r>
      <w:proofErr w:type="spellEnd"/>
      <w:r w:rsidRPr="005D2316">
        <w:rPr>
          <w:rFonts w:eastAsia="Calibri" w:cs="Arial"/>
          <w:i/>
          <w:sz w:val="18"/>
          <w:szCs w:val="18"/>
          <w:lang w:val="fr-FR"/>
        </w:rPr>
        <w:t>.</w:t>
      </w:r>
    </w:p>
    <w:p w14:paraId="73498988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72E09D6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C3C3214" w14:textId="76EDFD65" w:rsidR="00A16EC8" w:rsidRPr="005D2316" w:rsidRDefault="003754C3" w:rsidP="0028590D">
      <w:pPr>
        <w:keepNext/>
        <w:keepLines/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lastRenderedPageBreak/>
        <w:t>Dans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exemple qui suit, nous reprenons les mêmes données que dans la f</w:t>
      </w:r>
      <w:r w:rsidR="00A16EC8" w:rsidRPr="005D2316">
        <w:rPr>
          <w:rFonts w:eastAsia="Calibri" w:cs="Arial"/>
          <w:lang w:val="fr-FR"/>
        </w:rPr>
        <w:t>igure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1. </w:t>
      </w:r>
      <w:r w:rsidR="00A2333E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La fi</w:t>
      </w:r>
      <w:r w:rsidR="00A16EC8" w:rsidRPr="005D2316">
        <w:rPr>
          <w:rFonts w:eastAsia="Calibri" w:cs="Arial"/>
          <w:lang w:val="fr-FR"/>
        </w:rPr>
        <w:t>gure</w:t>
      </w:r>
      <w:r w:rsidR="00A2333E" w:rsidRPr="005D2316">
        <w:rPr>
          <w:rFonts w:eastAsia="Calibri" w:cs="Arial"/>
          <w:lang w:val="fr-FR"/>
        </w:rPr>
        <w:t> </w:t>
      </w:r>
      <w:r w:rsidR="00A16EC8" w:rsidRPr="005D2316">
        <w:rPr>
          <w:rFonts w:eastAsia="Calibri" w:cs="Arial"/>
          <w:lang w:val="fr-FR"/>
        </w:rPr>
        <w:t xml:space="preserve">6 </w:t>
      </w:r>
      <w:r w:rsidRPr="005D2316">
        <w:rPr>
          <w:rFonts w:eastAsia="Calibri" w:cs="Arial"/>
          <w:lang w:val="fr-FR"/>
        </w:rPr>
        <w:t>présente les mêmes données pour les variétés de ré</w:t>
      </w:r>
      <w:r w:rsidR="00A16EC8" w:rsidRPr="005D2316">
        <w:rPr>
          <w:rFonts w:eastAsia="Calibri" w:cs="Arial"/>
          <w:lang w:val="fr-FR"/>
        </w:rPr>
        <w:t>f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rence, </w:t>
      </w:r>
      <w:r w:rsidRPr="005D2316">
        <w:rPr>
          <w:rFonts w:eastAsia="Calibri" w:cs="Arial"/>
          <w:lang w:val="fr-FR"/>
        </w:rPr>
        <w:t>en introduisant toutefois deux</w:t>
      </w:r>
      <w:r w:rsidR="00A2333E" w:rsidRPr="005D2316">
        <w:rPr>
          <w:rFonts w:eastAsia="Calibri" w:cs="Arial"/>
          <w:lang w:val="fr-FR"/>
        </w:rPr>
        <w:t> </w:t>
      </w:r>
      <w:r w:rsidRPr="005D2316">
        <w:rPr>
          <w:rFonts w:eastAsia="Calibri" w:cs="Arial"/>
          <w:lang w:val="fr-FR"/>
        </w:rPr>
        <w:t>nouvelles</w:t>
      </w:r>
      <w:r w:rsidR="00A16EC8" w:rsidRPr="005D2316">
        <w:rPr>
          <w:rFonts w:eastAsia="Calibri" w:cs="Arial"/>
          <w:lang w:val="fr-FR"/>
        </w:rPr>
        <w:t xml:space="preserve"> </w:t>
      </w:r>
      <w:r w:rsidR="005E1D30" w:rsidRPr="005D2316">
        <w:rPr>
          <w:rFonts w:eastAsia="Calibri" w:cs="Arial"/>
          <w:lang w:val="fr-FR"/>
        </w:rPr>
        <w:t>variétés candidat</w:t>
      </w:r>
      <w:r w:rsidR="001A0B67" w:rsidRPr="005D2316">
        <w:rPr>
          <w:rFonts w:eastAsia="Calibri" w:cs="Arial"/>
          <w:lang w:val="fr-FR"/>
        </w:rPr>
        <w:t>es.  Ic</w:t>
      </w:r>
      <w:r w:rsidRPr="005D2316">
        <w:rPr>
          <w:rFonts w:eastAsia="Calibri" w:cs="Arial"/>
          <w:lang w:val="fr-FR"/>
        </w:rPr>
        <w:t xml:space="preserve">i, la </w:t>
      </w:r>
      <w:r w:rsidR="005E1D30" w:rsidRPr="005D2316">
        <w:rPr>
          <w:rFonts w:eastAsia="Calibri" w:cs="Arial"/>
          <w:lang w:val="fr-FR"/>
        </w:rPr>
        <w:t>variété candidate</w:t>
      </w:r>
      <w:r w:rsidR="00A16EC8" w:rsidRPr="005D2316">
        <w:rPr>
          <w:rFonts w:eastAsia="Calibri" w:cs="Arial"/>
          <w:lang w:val="fr-FR"/>
        </w:rPr>
        <w:t xml:space="preserve"> 1 </w:t>
      </w:r>
      <w:r w:rsidRPr="005D2316">
        <w:rPr>
          <w:rFonts w:eastAsia="Calibri" w:cs="Arial"/>
          <w:lang w:val="fr-FR"/>
        </w:rPr>
        <w:t xml:space="preserve">est globalement alignée sur la </w:t>
      </w:r>
      <w:r w:rsidR="002E2579" w:rsidRPr="005D2316">
        <w:rPr>
          <w:rFonts w:eastAsia="Calibri" w:cs="Arial"/>
          <w:lang w:val="fr-FR"/>
        </w:rPr>
        <w:t xml:space="preserve">ligne de </w:t>
      </w:r>
      <w:r w:rsidR="00A16EC8" w:rsidRPr="005D2316">
        <w:rPr>
          <w:rFonts w:eastAsia="Calibri" w:cs="Arial"/>
          <w:lang w:val="fr-FR"/>
        </w:rPr>
        <w:t>tend</w:t>
      </w:r>
      <w:r w:rsidRPr="005D2316">
        <w:rPr>
          <w:rFonts w:eastAsia="Calibri" w:cs="Arial"/>
          <w:lang w:val="fr-FR"/>
        </w:rPr>
        <w:t>ance</w:t>
      </w:r>
      <w:r w:rsidR="002E2579" w:rsidRPr="005D2316">
        <w:rPr>
          <w:rFonts w:eastAsia="Calibri" w:cs="Arial"/>
          <w:lang w:val="fr-FR"/>
        </w:rPr>
        <w:t>,</w:t>
      </w:r>
      <w:r w:rsidRPr="005D2316">
        <w:rPr>
          <w:rFonts w:eastAsia="Calibri" w:cs="Arial"/>
          <w:lang w:val="fr-FR"/>
        </w:rPr>
        <w:t xml:space="preserve"> et on pourrait avancer que 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homogénéité dans ce cas ne devrait susciter aucune préoccupati</w:t>
      </w:r>
      <w:r w:rsidR="001A0B67" w:rsidRPr="005D2316">
        <w:rPr>
          <w:rFonts w:eastAsia="Calibri" w:cs="Arial"/>
          <w:lang w:val="fr-FR"/>
        </w:rPr>
        <w:t>on.  Ce</w:t>
      </w:r>
      <w:r w:rsidRPr="005D2316">
        <w:rPr>
          <w:rFonts w:eastAsia="Calibri" w:cs="Arial"/>
          <w:lang w:val="fr-FR"/>
        </w:rPr>
        <w:t xml:space="preserve">pendant, la </w:t>
      </w:r>
      <w:r w:rsidR="005E1D30" w:rsidRPr="005D2316">
        <w:rPr>
          <w:rFonts w:eastAsia="Calibri" w:cs="Arial"/>
          <w:lang w:val="fr-FR"/>
        </w:rPr>
        <w:t>variété candidate</w:t>
      </w:r>
      <w:r w:rsidR="00A16EC8" w:rsidRPr="005D2316">
        <w:rPr>
          <w:rFonts w:eastAsia="Calibri" w:cs="Arial"/>
          <w:lang w:val="fr-FR"/>
        </w:rPr>
        <w:t xml:space="preserve"> 2 </w:t>
      </w:r>
      <w:r w:rsidRPr="005D2316">
        <w:rPr>
          <w:rFonts w:eastAsia="Calibri" w:cs="Arial"/>
          <w:lang w:val="fr-FR"/>
        </w:rPr>
        <w:t>est très nettement au</w:t>
      </w:r>
      <w:r w:rsidR="0067269A" w:rsidRPr="005D2316">
        <w:rPr>
          <w:rFonts w:eastAsia="Calibri" w:cs="Arial"/>
          <w:lang w:val="fr-FR"/>
        </w:rPr>
        <w:t>-</w:t>
      </w:r>
      <w:r w:rsidRPr="005D2316">
        <w:rPr>
          <w:rFonts w:eastAsia="Calibri" w:cs="Arial"/>
          <w:lang w:val="fr-FR"/>
        </w:rPr>
        <w:t xml:space="preserve">dessus de la </w:t>
      </w:r>
      <w:r w:rsidR="00F52469" w:rsidRPr="005D2316">
        <w:rPr>
          <w:rFonts w:eastAsia="Calibri" w:cs="Arial"/>
          <w:lang w:val="fr-FR"/>
        </w:rPr>
        <w:t xml:space="preserve">ligne de </w:t>
      </w:r>
      <w:r w:rsidR="00A16EC8" w:rsidRPr="005D2316">
        <w:rPr>
          <w:rFonts w:eastAsia="Calibri" w:cs="Arial"/>
          <w:lang w:val="fr-FR"/>
        </w:rPr>
        <w:t>tend</w:t>
      </w:r>
      <w:r w:rsidR="00F52469" w:rsidRPr="005D2316">
        <w:rPr>
          <w:rFonts w:eastAsia="Calibri" w:cs="Arial"/>
          <w:lang w:val="fr-FR"/>
        </w:rPr>
        <w:t>anc</w:t>
      </w:r>
      <w:r w:rsidR="00A16EC8" w:rsidRPr="005D2316">
        <w:rPr>
          <w:rFonts w:eastAsia="Calibri" w:cs="Arial"/>
          <w:lang w:val="fr-FR"/>
        </w:rPr>
        <w:t>e.</w:t>
      </w:r>
    </w:p>
    <w:p w14:paraId="5C5A1336" w14:textId="77777777" w:rsidR="00A16EC8" w:rsidRPr="005D2316" w:rsidRDefault="00A16EC8" w:rsidP="00A16EC8">
      <w:pPr>
        <w:keepNext/>
        <w:rPr>
          <w:rFonts w:ascii="Calibri" w:eastAsia="Calibri" w:hAnsi="Calibri"/>
          <w:sz w:val="22"/>
          <w:szCs w:val="22"/>
          <w:lang w:val="fr-FR"/>
        </w:rPr>
      </w:pPr>
      <w:r w:rsidRPr="005D2316">
        <w:rPr>
          <w:rFonts w:ascii="Calibri" w:eastAsia="Calibri" w:hAnsi="Calibri"/>
          <w:noProof/>
          <w:sz w:val="22"/>
          <w:szCs w:val="22"/>
          <w:lang w:eastAsia="ja-JP"/>
        </w:rPr>
        <w:drawing>
          <wp:inline distT="0" distB="0" distL="0" distR="0" wp14:anchorId="3D44778B" wp14:editId="06AAF5B4">
            <wp:extent cx="3230175" cy="3152738"/>
            <wp:effectExtent l="0" t="0" r="0" b="0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fig6.wmf"/>
                    <pic:cNvPicPr/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1150" b="32801"/>
                    <a:stretch/>
                  </pic:blipFill>
                  <pic:spPr bwMode="auto">
                    <a:xfrm>
                      <a:off x="0" y="0"/>
                      <a:ext cx="3234502" cy="3156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9FF8D4" w14:textId="231F0873" w:rsidR="00A16EC8" w:rsidRPr="005D2316" w:rsidRDefault="00A16EC8" w:rsidP="00A16EC8">
      <w:pPr>
        <w:rPr>
          <w:rFonts w:eastAsia="Calibri" w:cs="Arial"/>
          <w:i/>
          <w:sz w:val="18"/>
          <w:szCs w:val="18"/>
          <w:lang w:val="fr-FR"/>
        </w:rPr>
      </w:pPr>
      <w:r w:rsidRPr="005D2316">
        <w:rPr>
          <w:rFonts w:eastAsia="Calibri" w:cs="Arial"/>
          <w:b/>
          <w:sz w:val="18"/>
          <w:szCs w:val="18"/>
          <w:lang w:val="fr-FR"/>
        </w:rPr>
        <w:t>Figure</w:t>
      </w:r>
      <w:r w:rsidR="00A2333E" w:rsidRPr="005D2316">
        <w:rPr>
          <w:rFonts w:eastAsia="Calibri" w:cs="Arial"/>
          <w:b/>
          <w:sz w:val="18"/>
          <w:szCs w:val="18"/>
          <w:lang w:val="fr-FR"/>
        </w:rPr>
        <w:t> </w:t>
      </w:r>
      <w:r w:rsidRPr="005D2316">
        <w:rPr>
          <w:rFonts w:eastAsia="Calibri" w:cs="Arial"/>
          <w:b/>
          <w:sz w:val="18"/>
          <w:szCs w:val="18"/>
          <w:lang w:val="fr-FR"/>
        </w:rPr>
        <w:t>6</w:t>
      </w:r>
      <w:r w:rsidR="0067269A" w:rsidRPr="005D2316">
        <w:rPr>
          <w:rFonts w:eastAsia="Calibri" w:cs="Arial"/>
          <w:b/>
          <w:sz w:val="18"/>
          <w:szCs w:val="18"/>
          <w:lang w:val="fr-FR"/>
        </w:rPr>
        <w:t> :</w:t>
      </w:r>
      <w:r w:rsidRPr="005D2316">
        <w:rPr>
          <w:rFonts w:eastAsia="Calibri" w:cs="Arial"/>
          <w:sz w:val="18"/>
          <w:szCs w:val="18"/>
          <w:lang w:val="fr-FR"/>
        </w:rPr>
        <w:t xml:space="preserve"> </w:t>
      </w:r>
      <w:r w:rsidRPr="005D2316">
        <w:rPr>
          <w:rFonts w:eastAsia="Calibri" w:cs="Arial"/>
          <w:i/>
          <w:sz w:val="18"/>
          <w:szCs w:val="18"/>
          <w:lang w:val="fr-FR"/>
        </w:rPr>
        <w:t>Ex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mple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de ligne de tendance for</w:t>
      </w:r>
      <w:r w:rsidR="001A0B67" w:rsidRPr="005D2316">
        <w:rPr>
          <w:rFonts w:eastAsia="Calibri" w:cs="Arial"/>
          <w:i/>
          <w:sz w:val="18"/>
          <w:szCs w:val="18"/>
          <w:lang w:val="fr-FR"/>
        </w:rPr>
        <w:t>te.  Le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s </w:t>
      </w:r>
      <w:r w:rsidR="005E1D30" w:rsidRPr="005D2316">
        <w:rPr>
          <w:rFonts w:eastAsia="Calibri" w:cs="Arial"/>
          <w:i/>
          <w:sz w:val="18"/>
          <w:szCs w:val="18"/>
          <w:lang w:val="fr-FR"/>
        </w:rPr>
        <w:t>variétés de référence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sont </w:t>
      </w:r>
      <w:r w:rsidRPr="005D2316">
        <w:rPr>
          <w:rFonts w:eastAsia="Calibri" w:cs="Arial"/>
          <w:i/>
          <w:sz w:val="18"/>
          <w:szCs w:val="18"/>
          <w:lang w:val="fr-FR"/>
        </w:rPr>
        <w:t>repr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sent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é</w:t>
      </w:r>
      <w:r w:rsidRPr="005D2316">
        <w:rPr>
          <w:rFonts w:eastAsia="Calibri" w:cs="Arial"/>
          <w:i/>
          <w:sz w:val="18"/>
          <w:szCs w:val="18"/>
          <w:lang w:val="fr-FR"/>
        </w:rPr>
        <w:t>e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par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‘</w:t>
      </w:r>
      <w:r w:rsidRPr="005D2316">
        <w:rPr>
          <w:rFonts w:eastAsia="Calibri" w:cs="Arial"/>
          <w:i/>
          <w:sz w:val="18"/>
          <w:szCs w:val="18"/>
          <w:lang w:val="fr-FR"/>
        </w:rPr>
        <w:t>x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et les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5E1D30" w:rsidRPr="005D2316">
        <w:rPr>
          <w:rFonts w:eastAsia="Calibri" w:cs="Arial"/>
          <w:i/>
          <w:sz w:val="18"/>
          <w:szCs w:val="18"/>
          <w:lang w:val="fr-FR"/>
        </w:rPr>
        <w:t>variétés candidates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par 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‘</w:t>
      </w:r>
      <w:r w:rsidRPr="005D2316">
        <w:rPr>
          <w:rFonts w:eastAsia="Calibri" w:cs="Arial"/>
          <w:i/>
          <w:sz w:val="18"/>
          <w:szCs w:val="18"/>
          <w:lang w:val="fr-FR"/>
        </w:rPr>
        <w:t>1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>et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‘</w:t>
      </w:r>
      <w:r w:rsidRPr="005D2316">
        <w:rPr>
          <w:rFonts w:eastAsia="Calibri" w:cs="Arial"/>
          <w:i/>
          <w:sz w:val="18"/>
          <w:szCs w:val="18"/>
          <w:lang w:val="fr-FR"/>
        </w:rPr>
        <w:t>2</w:t>
      </w:r>
      <w:r w:rsidR="0067269A" w:rsidRPr="005D2316">
        <w:rPr>
          <w:rFonts w:eastAsia="Calibri" w:cs="Arial"/>
          <w:i/>
          <w:sz w:val="18"/>
          <w:szCs w:val="18"/>
          <w:lang w:val="fr-FR"/>
        </w:rPr>
        <w:t>’</w:t>
      </w:r>
      <w:r w:rsidRPr="005D2316">
        <w:rPr>
          <w:rFonts w:eastAsia="Calibri" w:cs="Arial"/>
          <w:i/>
          <w:sz w:val="18"/>
          <w:szCs w:val="18"/>
          <w:lang w:val="fr-FR"/>
        </w:rPr>
        <w:t xml:space="preserve">. </w:t>
      </w:r>
      <w:r w:rsidR="00A2333E" w:rsidRPr="005D2316">
        <w:rPr>
          <w:rFonts w:eastAsia="Calibri" w:cs="Arial"/>
          <w:i/>
          <w:sz w:val="18"/>
          <w:szCs w:val="18"/>
          <w:lang w:val="fr-FR"/>
        </w:rPr>
        <w:t xml:space="preserve"> </w:t>
      </w:r>
      <w:r w:rsidR="003754C3" w:rsidRPr="005D2316">
        <w:rPr>
          <w:rFonts w:eastAsia="Calibri" w:cs="Arial"/>
          <w:i/>
          <w:sz w:val="18"/>
          <w:szCs w:val="18"/>
          <w:lang w:val="fr-FR"/>
        </w:rPr>
        <w:t xml:space="preserve">La ligne bleue indique le </w:t>
      </w:r>
      <w:proofErr w:type="spellStart"/>
      <w:r w:rsidR="003754C3" w:rsidRPr="005D2316">
        <w:rPr>
          <w:rFonts w:eastAsia="Calibri" w:cs="Arial"/>
          <w:i/>
          <w:sz w:val="18"/>
          <w:szCs w:val="18"/>
          <w:lang w:val="fr-FR"/>
        </w:rPr>
        <w:t>spline</w:t>
      </w:r>
      <w:proofErr w:type="spellEnd"/>
      <w:r w:rsidRPr="005D2316">
        <w:rPr>
          <w:rFonts w:eastAsia="Calibri" w:cs="Arial"/>
          <w:i/>
          <w:sz w:val="18"/>
          <w:szCs w:val="18"/>
          <w:lang w:val="fr-FR"/>
        </w:rPr>
        <w:t>.</w:t>
      </w:r>
    </w:p>
    <w:p w14:paraId="42199A4F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B419280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4D9E357B" w14:textId="29C7A644" w:rsidR="00A16EC8" w:rsidRPr="005D2316" w:rsidRDefault="00A2333E" w:rsidP="00887C0B">
      <w:pPr>
        <w:pStyle w:val="Heading1"/>
      </w:pPr>
      <w:bookmarkStart w:id="30" w:name="_Toc117002607"/>
      <w:proofErr w:type="gramStart"/>
      <w:r w:rsidRPr="005D2316">
        <w:rPr>
          <w:rFonts w:eastAsia="Calibri"/>
        </w:rPr>
        <w:t>Point</w:t>
      </w:r>
      <w:r w:rsidR="003754C3" w:rsidRPr="005D2316">
        <w:t>s à</w:t>
      </w:r>
      <w:proofErr w:type="gramEnd"/>
      <w:r w:rsidR="003754C3" w:rsidRPr="005D2316">
        <w:t xml:space="preserve"> </w:t>
      </w:r>
      <w:r w:rsidR="0028590D">
        <w:t>d</w:t>
      </w:r>
      <w:r w:rsidR="00A16EC8" w:rsidRPr="005D2316">
        <w:t>iscu</w:t>
      </w:r>
      <w:r w:rsidR="003754C3" w:rsidRPr="005D2316">
        <w:t>ter</w:t>
      </w:r>
      <w:bookmarkEnd w:id="30"/>
    </w:p>
    <w:p w14:paraId="497688A0" w14:textId="77777777" w:rsidR="00A16EC8" w:rsidRPr="005D2316" w:rsidRDefault="00A16EC8" w:rsidP="00A16EC8">
      <w:pPr>
        <w:rPr>
          <w:rFonts w:eastAsia="Calibri"/>
          <w:lang w:val="fr-FR"/>
        </w:rPr>
      </w:pPr>
    </w:p>
    <w:p w14:paraId="63642CE7" w14:textId="011EC240" w:rsidR="00A16EC8" w:rsidRPr="005D2316" w:rsidRDefault="003754C3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L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>e</w:t>
      </w:r>
      <w:r w:rsidR="00A16EC8" w:rsidRPr="005D2316">
        <w:rPr>
          <w:rFonts w:eastAsia="Calibri" w:cs="Arial"/>
          <w:lang w:val="fr-FR"/>
        </w:rPr>
        <w:t xml:space="preserve">xtrapolation </w:t>
      </w:r>
      <w:r w:rsidRPr="005D2316">
        <w:rPr>
          <w:rFonts w:eastAsia="Calibri" w:cs="Arial"/>
          <w:lang w:val="fr-FR"/>
        </w:rPr>
        <w:t>est une question qui a n</w:t>
      </w:r>
      <w:r w:rsidR="0067269A" w:rsidRPr="005D2316">
        <w:rPr>
          <w:rFonts w:eastAsia="Calibri" w:cs="Arial"/>
          <w:lang w:val="fr-FR"/>
        </w:rPr>
        <w:t>’</w:t>
      </w:r>
      <w:r w:rsidRPr="005D2316">
        <w:rPr>
          <w:rFonts w:eastAsia="Calibri" w:cs="Arial"/>
          <w:lang w:val="fr-FR"/>
        </w:rPr>
        <w:t xml:space="preserve">été que récemment </w:t>
      </w:r>
      <w:r w:rsidR="00A16EC8" w:rsidRPr="005D2316">
        <w:rPr>
          <w:rFonts w:eastAsia="Calibri" w:cs="Arial"/>
          <w:lang w:val="fr-FR"/>
        </w:rPr>
        <w:t>identifi</w:t>
      </w:r>
      <w:r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e </w:t>
      </w:r>
      <w:r w:rsidRPr="005D2316">
        <w:rPr>
          <w:rFonts w:eastAsia="Calibri" w:cs="Arial"/>
          <w:lang w:val="fr-FR"/>
        </w:rPr>
        <w:t>pour</w:t>
      </w:r>
      <w:r w:rsidR="00A16EC8" w:rsidRPr="005D2316">
        <w:rPr>
          <w:rFonts w:eastAsia="Calibri" w:cs="Arial"/>
          <w:lang w:val="fr-FR"/>
        </w:rPr>
        <w:t xml:space="preserve"> COYU, </w:t>
      </w:r>
      <w:r w:rsidRPr="005D2316">
        <w:rPr>
          <w:rFonts w:eastAsia="Calibri" w:cs="Arial"/>
          <w:lang w:val="fr-FR"/>
        </w:rPr>
        <w:t xml:space="preserve">de sorte </w:t>
      </w:r>
      <w:r w:rsidR="00E911B1" w:rsidRPr="005D2316">
        <w:rPr>
          <w:rFonts w:eastAsia="Calibri" w:cs="Arial"/>
          <w:lang w:val="fr-FR"/>
        </w:rPr>
        <w:t>qu</w:t>
      </w:r>
      <w:r w:rsidR="002E2579" w:rsidRPr="005D2316">
        <w:rPr>
          <w:rFonts w:eastAsia="Calibri" w:cs="Arial"/>
          <w:lang w:val="fr-FR"/>
        </w:rPr>
        <w:t>e nous avons</w:t>
      </w:r>
      <w:r w:rsidR="00E911B1" w:rsidRPr="005D2316">
        <w:rPr>
          <w:rFonts w:eastAsia="Calibri" w:cs="Arial"/>
          <w:lang w:val="fr-FR"/>
        </w:rPr>
        <w:t xml:space="preserve"> peu d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>exp</w:t>
      </w:r>
      <w:r w:rsidR="00E911B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 xml:space="preserve">rience </w:t>
      </w:r>
      <w:r w:rsidR="00E911B1" w:rsidRPr="005D2316">
        <w:rPr>
          <w:rFonts w:eastAsia="Calibri" w:cs="Arial"/>
          <w:lang w:val="fr-FR"/>
        </w:rPr>
        <w:t>sur la façon de la traiter dans la pratiq</w:t>
      </w:r>
      <w:r w:rsidR="001A0B67" w:rsidRPr="005D2316">
        <w:rPr>
          <w:rFonts w:eastAsia="Calibri" w:cs="Arial"/>
          <w:lang w:val="fr-FR"/>
        </w:rPr>
        <w:t>ue.  Mê</w:t>
      </w:r>
      <w:r w:rsidR="00E911B1" w:rsidRPr="005D2316">
        <w:rPr>
          <w:rFonts w:eastAsia="Calibri" w:cs="Arial"/>
          <w:lang w:val="fr-FR"/>
        </w:rPr>
        <w:t>me si cette question a été mise en évidence au cours de l</w:t>
      </w:r>
      <w:r w:rsidR="005B099C" w:rsidRPr="005D2316">
        <w:rPr>
          <w:rFonts w:eastAsia="Calibri" w:cs="Arial"/>
          <w:lang w:val="fr-FR"/>
        </w:rPr>
        <w:t>a mise au point</w:t>
      </w:r>
      <w:r w:rsidR="00E911B1" w:rsidRPr="005D2316">
        <w:rPr>
          <w:rFonts w:eastAsia="Calibri" w:cs="Arial"/>
          <w:lang w:val="fr-FR"/>
        </w:rPr>
        <w:t xml:space="preserve"> de la méthode </w:t>
      </w:r>
      <w:r w:rsidR="00A16EC8" w:rsidRPr="005D2316">
        <w:rPr>
          <w:rFonts w:eastAsia="Calibri" w:cs="Arial"/>
          <w:lang w:val="fr-FR"/>
        </w:rPr>
        <w:t xml:space="preserve">COYU </w:t>
      </w:r>
      <w:r w:rsidR="00E911B1" w:rsidRPr="005D2316">
        <w:rPr>
          <w:rFonts w:eastAsia="Calibri" w:cs="Arial"/>
          <w:lang w:val="fr-FR"/>
        </w:rPr>
        <w:t>avec des</w:t>
      </w:r>
      <w:r w:rsidR="00A16EC8" w:rsidRPr="005D2316">
        <w:rPr>
          <w:rFonts w:eastAsia="Calibri" w:cs="Arial"/>
          <w:lang w:val="fr-FR"/>
        </w:rPr>
        <w:t xml:space="preserve"> </w:t>
      </w:r>
      <w:proofErr w:type="spellStart"/>
      <w:r w:rsidR="00A16EC8" w:rsidRPr="005D2316">
        <w:rPr>
          <w:rFonts w:eastAsia="Calibri" w:cs="Arial"/>
          <w:lang w:val="fr-FR"/>
        </w:rPr>
        <w:t>splines</w:t>
      </w:r>
      <w:proofErr w:type="spellEnd"/>
      <w:r w:rsidR="00A16EC8" w:rsidRPr="005D2316">
        <w:rPr>
          <w:rFonts w:eastAsia="Calibri" w:cs="Arial"/>
          <w:lang w:val="fr-FR"/>
        </w:rPr>
        <w:t xml:space="preserve">, </w:t>
      </w:r>
      <w:r w:rsidR="00E911B1" w:rsidRPr="005D2316">
        <w:rPr>
          <w:rFonts w:eastAsia="Calibri" w:cs="Arial"/>
          <w:lang w:val="fr-FR"/>
        </w:rPr>
        <w:t>elle n</w:t>
      </w:r>
      <w:r w:rsidR="0067269A" w:rsidRPr="005D2316">
        <w:rPr>
          <w:rFonts w:eastAsia="Calibri" w:cs="Arial"/>
          <w:lang w:val="fr-FR"/>
        </w:rPr>
        <w:t>’</w:t>
      </w:r>
      <w:r w:rsidR="00E911B1" w:rsidRPr="005D2316">
        <w:rPr>
          <w:rFonts w:eastAsia="Calibri" w:cs="Arial"/>
          <w:lang w:val="fr-FR"/>
        </w:rPr>
        <w:t>en revêt pas moins tout autant de pertinence concern</w:t>
      </w:r>
      <w:r w:rsidR="002E2579" w:rsidRPr="005D2316">
        <w:rPr>
          <w:rFonts w:eastAsia="Calibri" w:cs="Arial"/>
          <w:lang w:val="fr-FR"/>
        </w:rPr>
        <w:t>ant</w:t>
      </w:r>
      <w:r w:rsidR="00E911B1" w:rsidRPr="005D2316">
        <w:rPr>
          <w:rFonts w:eastAsia="Calibri" w:cs="Arial"/>
          <w:lang w:val="fr-FR"/>
        </w:rPr>
        <w:t xml:space="preserve"> l</w:t>
      </w:r>
      <w:r w:rsidR="0067269A" w:rsidRPr="005D2316">
        <w:rPr>
          <w:rFonts w:eastAsia="Calibri" w:cs="Arial"/>
          <w:lang w:val="fr-FR"/>
        </w:rPr>
        <w:t>’</w:t>
      </w:r>
      <w:r w:rsidR="00E911B1" w:rsidRPr="005D2316">
        <w:rPr>
          <w:rFonts w:eastAsia="Calibri" w:cs="Arial"/>
          <w:lang w:val="fr-FR"/>
        </w:rPr>
        <w:t xml:space="preserve">ancienne </w:t>
      </w:r>
      <w:r w:rsidR="00A16EC8" w:rsidRPr="005D2316">
        <w:rPr>
          <w:rFonts w:eastAsia="Calibri" w:cs="Arial"/>
          <w:lang w:val="fr-FR"/>
        </w:rPr>
        <w:t>m</w:t>
      </w:r>
      <w:r w:rsidR="00E911B1" w:rsidRPr="005D2316">
        <w:rPr>
          <w:rFonts w:eastAsia="Calibri" w:cs="Arial"/>
          <w:lang w:val="fr-FR"/>
        </w:rPr>
        <w:t>é</w:t>
      </w:r>
      <w:r w:rsidR="00A16EC8" w:rsidRPr="005D2316">
        <w:rPr>
          <w:rFonts w:eastAsia="Calibri" w:cs="Arial"/>
          <w:lang w:val="fr-FR"/>
        </w:rPr>
        <w:t>tho</w:t>
      </w:r>
      <w:r w:rsidR="001A0B67" w:rsidRPr="005D2316">
        <w:rPr>
          <w:rFonts w:eastAsia="Calibri" w:cs="Arial"/>
          <w:lang w:val="fr-FR"/>
        </w:rPr>
        <w:t>de.  En</w:t>
      </w:r>
      <w:r w:rsidR="00E911B1" w:rsidRPr="005D2316">
        <w:rPr>
          <w:rFonts w:eastAsia="Calibri" w:cs="Arial"/>
          <w:lang w:val="fr-FR"/>
        </w:rPr>
        <w:t xml:space="preserve"> conséquence, il convient de mener une discussion sur la manière de la définir en termes pratiques, </w:t>
      </w:r>
      <w:r w:rsidR="00A16EC8" w:rsidRPr="005D2316">
        <w:rPr>
          <w:rFonts w:eastAsia="Calibri" w:cs="Arial"/>
          <w:lang w:val="fr-FR"/>
        </w:rPr>
        <w:t>a</w:t>
      </w:r>
      <w:r w:rsidR="00E911B1" w:rsidRPr="005D2316">
        <w:rPr>
          <w:rFonts w:eastAsia="Calibri" w:cs="Arial"/>
          <w:lang w:val="fr-FR"/>
        </w:rPr>
        <w:t>insi que sur ce qu</w:t>
      </w:r>
      <w:r w:rsidR="0067269A" w:rsidRPr="005D2316">
        <w:rPr>
          <w:rFonts w:eastAsia="Calibri" w:cs="Arial"/>
          <w:lang w:val="fr-FR"/>
        </w:rPr>
        <w:t>’</w:t>
      </w:r>
      <w:r w:rsidR="00E911B1" w:rsidRPr="005D2316">
        <w:rPr>
          <w:rFonts w:eastAsia="Calibri" w:cs="Arial"/>
          <w:lang w:val="fr-FR"/>
        </w:rPr>
        <w:t>il faut faire dans les cas où l</w:t>
      </w:r>
      <w:r w:rsidR="0067269A" w:rsidRPr="005D2316">
        <w:rPr>
          <w:rFonts w:eastAsia="Calibri" w:cs="Arial"/>
          <w:lang w:val="fr-FR"/>
        </w:rPr>
        <w:t>’</w:t>
      </w:r>
      <w:r w:rsidR="00A16EC8" w:rsidRPr="005D2316">
        <w:rPr>
          <w:rFonts w:eastAsia="Calibri" w:cs="Arial"/>
          <w:lang w:val="fr-FR"/>
        </w:rPr>
        <w:t xml:space="preserve">extrapolation </w:t>
      </w:r>
      <w:r w:rsidR="00E911B1" w:rsidRPr="005D2316">
        <w:rPr>
          <w:rFonts w:eastAsia="Calibri" w:cs="Arial"/>
          <w:lang w:val="fr-FR"/>
        </w:rPr>
        <w:t>est</w:t>
      </w:r>
      <w:r w:rsidR="00A16EC8" w:rsidRPr="005D2316">
        <w:rPr>
          <w:rFonts w:eastAsia="Calibri" w:cs="Arial"/>
          <w:lang w:val="fr-FR"/>
        </w:rPr>
        <w:t xml:space="preserve"> indi</w:t>
      </w:r>
      <w:r w:rsidR="00E911B1" w:rsidRPr="005D2316">
        <w:rPr>
          <w:rFonts w:eastAsia="Calibri" w:cs="Arial"/>
          <w:lang w:val="fr-FR"/>
        </w:rPr>
        <w:t>qué</w:t>
      </w:r>
      <w:r w:rsidR="00A16EC8" w:rsidRPr="005D2316">
        <w:rPr>
          <w:rFonts w:eastAsia="Calibri" w:cs="Arial"/>
          <w:lang w:val="fr-FR"/>
        </w:rPr>
        <w:t>e.</w:t>
      </w:r>
    </w:p>
    <w:p w14:paraId="151B7E66" w14:textId="77777777" w:rsidR="00A16EC8" w:rsidRPr="005D2316" w:rsidRDefault="00A16EC8" w:rsidP="00AF4261">
      <w:pPr>
        <w:contextualSpacing/>
        <w:rPr>
          <w:rFonts w:eastAsia="Calibri" w:cs="Arial"/>
          <w:lang w:val="fr-FR"/>
        </w:rPr>
      </w:pPr>
    </w:p>
    <w:p w14:paraId="0036638A" w14:textId="60BB798C" w:rsidR="0067269A" w:rsidRPr="005D2316" w:rsidRDefault="00E911B1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>Dans le présent document, les e</w:t>
      </w:r>
      <w:r w:rsidR="00A16EC8" w:rsidRPr="005D2316">
        <w:rPr>
          <w:rFonts w:eastAsia="Calibri" w:cs="Arial"/>
          <w:lang w:val="fr-FR"/>
        </w:rPr>
        <w:t xml:space="preserve">xperts </w:t>
      </w:r>
      <w:r w:rsidRPr="005D2316">
        <w:rPr>
          <w:rFonts w:eastAsia="Calibri" w:cs="Arial"/>
          <w:lang w:val="fr-FR"/>
        </w:rPr>
        <w:t>du</w:t>
      </w:r>
      <w:r w:rsidR="00A16EC8" w:rsidRPr="005D2316">
        <w:rPr>
          <w:rFonts w:eastAsia="Calibri" w:cs="Arial"/>
          <w:lang w:val="fr-FR"/>
        </w:rPr>
        <w:t xml:space="preserve"> </w:t>
      </w:r>
      <w:r w:rsidR="00592AEC" w:rsidRPr="005D2316">
        <w:rPr>
          <w:rFonts w:eastAsia="Calibri" w:cs="Arial"/>
          <w:lang w:val="fr-FR"/>
        </w:rPr>
        <w:t>Royaume</w:t>
      </w:r>
      <w:r w:rsidR="0067269A" w:rsidRPr="005D2316">
        <w:rPr>
          <w:rFonts w:eastAsia="Calibri" w:cs="Arial"/>
          <w:lang w:val="fr-FR"/>
        </w:rPr>
        <w:t>-</w:t>
      </w:r>
      <w:r w:rsidR="00592AEC" w:rsidRPr="005D2316">
        <w:rPr>
          <w:rFonts w:eastAsia="Calibri" w:cs="Arial"/>
          <w:lang w:val="fr-FR"/>
        </w:rPr>
        <w:t>Uni</w:t>
      </w:r>
      <w:r w:rsidR="00A16EC8" w:rsidRPr="005D2316">
        <w:rPr>
          <w:rFonts w:eastAsia="Calibri" w:cs="Arial"/>
          <w:lang w:val="fr-FR"/>
        </w:rPr>
        <w:t xml:space="preserve"> </w:t>
      </w:r>
      <w:r w:rsidRPr="005D2316">
        <w:rPr>
          <w:rFonts w:eastAsia="Calibri" w:cs="Arial"/>
          <w:lang w:val="fr-FR"/>
        </w:rPr>
        <w:t>ont f</w:t>
      </w:r>
      <w:r w:rsidR="002E2579" w:rsidRPr="005D2316">
        <w:rPr>
          <w:rFonts w:eastAsia="Calibri" w:cs="Arial"/>
          <w:lang w:val="fr-FR"/>
        </w:rPr>
        <w:t>ormulé</w:t>
      </w:r>
      <w:r w:rsidRPr="005D2316">
        <w:rPr>
          <w:rFonts w:eastAsia="Calibri" w:cs="Arial"/>
          <w:lang w:val="fr-FR"/>
        </w:rPr>
        <w:t xml:space="preserve"> des propositions pour </w:t>
      </w:r>
      <w:r w:rsidR="00A16EC8" w:rsidRPr="005D2316">
        <w:rPr>
          <w:rFonts w:eastAsia="Calibri" w:cs="Arial"/>
          <w:lang w:val="fr-FR"/>
        </w:rPr>
        <w:t xml:space="preserve">discussion </w:t>
      </w:r>
      <w:r w:rsidRPr="005D2316">
        <w:rPr>
          <w:rFonts w:eastAsia="Calibri" w:cs="Arial"/>
          <w:lang w:val="fr-FR"/>
        </w:rPr>
        <w:t>dans le cadre</w:t>
      </w:r>
      <w:r w:rsidR="0067269A" w:rsidRPr="005D2316">
        <w:rPr>
          <w:rFonts w:eastAsia="Calibri" w:cs="Arial"/>
          <w:lang w:val="fr-FR"/>
        </w:rPr>
        <w:t xml:space="preserve"> du TWM</w:t>
      </w:r>
      <w:r w:rsidR="00A16EC8" w:rsidRPr="005D2316">
        <w:rPr>
          <w:rFonts w:eastAsia="Calibri" w:cs="Arial"/>
          <w:lang w:val="fr-FR"/>
        </w:rPr>
        <w:t>.</w:t>
      </w:r>
    </w:p>
    <w:p w14:paraId="7FA566AA" w14:textId="169F8177" w:rsidR="00A16EC8" w:rsidRPr="005D2316" w:rsidRDefault="00A16EC8" w:rsidP="00A16EC8">
      <w:pPr>
        <w:rPr>
          <w:rFonts w:eastAsia="Calibri" w:cs="Arial"/>
          <w:lang w:val="fr-FR"/>
        </w:rPr>
      </w:pPr>
    </w:p>
    <w:p w14:paraId="07608B30" w14:textId="05858E64" w:rsidR="00A16EC8" w:rsidRPr="005D2316" w:rsidRDefault="008D70D2" w:rsidP="00AF4261">
      <w:pPr>
        <w:numPr>
          <w:ilvl w:val="0"/>
          <w:numId w:val="2"/>
        </w:numPr>
        <w:ind w:left="0" w:firstLine="0"/>
        <w:contextualSpacing/>
        <w:rPr>
          <w:rFonts w:eastAsia="Calibri" w:cs="Arial"/>
          <w:lang w:val="fr-FR"/>
        </w:rPr>
      </w:pPr>
      <w:r w:rsidRPr="005D2316">
        <w:rPr>
          <w:rFonts w:eastAsia="Calibri" w:cs="Arial"/>
          <w:lang w:val="fr-FR"/>
        </w:rPr>
        <w:t xml:space="preserve">Une fois </w:t>
      </w:r>
      <w:r w:rsidR="00E911B1" w:rsidRPr="005D2316">
        <w:rPr>
          <w:rFonts w:eastAsia="Calibri" w:cs="Arial"/>
          <w:lang w:val="fr-FR"/>
        </w:rPr>
        <w:t xml:space="preserve">que </w:t>
      </w:r>
      <w:r w:rsidRPr="005D2316">
        <w:rPr>
          <w:rFonts w:eastAsia="Calibri" w:cs="Arial"/>
          <w:lang w:val="fr-FR"/>
        </w:rPr>
        <w:t>des</w:t>
      </w:r>
      <w:r w:rsidR="00A16EC8" w:rsidRPr="005D2316">
        <w:rPr>
          <w:rFonts w:eastAsia="Calibri" w:cs="Arial"/>
          <w:lang w:val="fr-FR"/>
        </w:rPr>
        <w:t xml:space="preserve"> </w:t>
      </w:r>
      <w:r w:rsidR="00977AA7" w:rsidRPr="005D2316">
        <w:rPr>
          <w:rFonts w:eastAsia="Calibri" w:cs="Arial"/>
          <w:lang w:val="fr-FR"/>
        </w:rPr>
        <w:t>orientations</w:t>
      </w:r>
      <w:r w:rsidR="00A16EC8" w:rsidRPr="005D2316">
        <w:rPr>
          <w:rFonts w:eastAsia="Calibri" w:cs="Arial"/>
          <w:lang w:val="fr-FR"/>
        </w:rPr>
        <w:t xml:space="preserve"> </w:t>
      </w:r>
      <w:r w:rsidR="00E911B1" w:rsidRPr="005D2316">
        <w:rPr>
          <w:rFonts w:eastAsia="Calibri" w:cs="Arial"/>
          <w:lang w:val="fr-FR"/>
        </w:rPr>
        <w:t xml:space="preserve">auront été </w:t>
      </w:r>
      <w:r w:rsidRPr="005D2316">
        <w:rPr>
          <w:rFonts w:eastAsia="Calibri" w:cs="Arial"/>
          <w:lang w:val="fr-FR"/>
        </w:rPr>
        <w:t>élaborée</w:t>
      </w:r>
      <w:r w:rsidR="00A16EC8" w:rsidRPr="005D2316">
        <w:rPr>
          <w:rFonts w:eastAsia="Calibri" w:cs="Arial"/>
          <w:lang w:val="fr-FR"/>
        </w:rPr>
        <w:t xml:space="preserve">s, </w:t>
      </w:r>
      <w:r w:rsidR="00E911B1" w:rsidRPr="005D2316">
        <w:rPr>
          <w:rFonts w:eastAsia="Calibri" w:cs="Arial"/>
          <w:lang w:val="fr-FR"/>
        </w:rPr>
        <w:t xml:space="preserve">elles pourront être </w:t>
      </w:r>
      <w:r w:rsidR="00A16EC8" w:rsidRPr="005D2316">
        <w:rPr>
          <w:rFonts w:eastAsia="Calibri" w:cs="Arial"/>
          <w:lang w:val="fr-FR"/>
        </w:rPr>
        <w:t>in</w:t>
      </w:r>
      <w:r w:rsidR="00E911B1" w:rsidRPr="005D2316">
        <w:rPr>
          <w:rFonts w:eastAsia="Calibri" w:cs="Arial"/>
          <w:lang w:val="fr-FR"/>
        </w:rPr>
        <w:t xml:space="preserve">tégrées dans le </w:t>
      </w:r>
      <w:r w:rsidR="00A16EC8" w:rsidRPr="005D2316">
        <w:rPr>
          <w:rFonts w:eastAsia="Calibri" w:cs="Arial"/>
          <w:lang w:val="fr-FR"/>
        </w:rPr>
        <w:t xml:space="preserve">document TGP/8 </w:t>
      </w:r>
      <w:r w:rsidR="004B76DE" w:rsidRPr="005D2316">
        <w:rPr>
          <w:rFonts w:eastAsia="Calibri" w:cs="Arial"/>
          <w:lang w:val="fr-FR"/>
        </w:rPr>
        <w:t>et transposées au niveau du logiciel</w:t>
      </w:r>
      <w:r w:rsidR="00A16EC8" w:rsidRPr="005D2316">
        <w:rPr>
          <w:rFonts w:eastAsia="Calibri" w:cs="Arial"/>
          <w:lang w:val="fr-FR"/>
        </w:rPr>
        <w:t>.</w:t>
      </w:r>
    </w:p>
    <w:p w14:paraId="1DC854A1" w14:textId="77777777" w:rsidR="00450501" w:rsidRPr="005D2316" w:rsidRDefault="00450501" w:rsidP="00B06F4E">
      <w:pPr>
        <w:rPr>
          <w:rFonts w:eastAsia="Calibri" w:cs="Arial"/>
          <w:lang w:val="fr-FR"/>
        </w:rPr>
      </w:pPr>
    </w:p>
    <w:p w14:paraId="29637410" w14:textId="77777777" w:rsidR="00B06F4E" w:rsidRPr="005D2316" w:rsidRDefault="00B06F4E" w:rsidP="00B06F4E">
      <w:pPr>
        <w:rPr>
          <w:lang w:val="fr-FR"/>
        </w:rPr>
      </w:pPr>
    </w:p>
    <w:p w14:paraId="67685FE7" w14:textId="77777777" w:rsidR="006A03C0" w:rsidRPr="005D2316" w:rsidRDefault="006A03C0" w:rsidP="00B06F4E">
      <w:pPr>
        <w:rPr>
          <w:lang w:val="fr-FR"/>
        </w:rPr>
      </w:pPr>
    </w:p>
    <w:p w14:paraId="319BCA97" w14:textId="68F96B0A" w:rsidR="00050E16" w:rsidRPr="005D2316" w:rsidRDefault="00B06F4E" w:rsidP="00AF4261">
      <w:pPr>
        <w:jc w:val="right"/>
        <w:rPr>
          <w:lang w:val="fr-FR"/>
        </w:rPr>
      </w:pPr>
      <w:r w:rsidRPr="005D2316">
        <w:rPr>
          <w:lang w:val="fr-FR"/>
        </w:rPr>
        <w:t>[</w:t>
      </w:r>
      <w:r w:rsidR="008D70D2" w:rsidRPr="005D2316">
        <w:rPr>
          <w:lang w:val="fr-FR"/>
        </w:rPr>
        <w:t>Fin de l</w:t>
      </w:r>
      <w:r w:rsidR="0067269A" w:rsidRPr="005D2316">
        <w:rPr>
          <w:lang w:val="fr-FR"/>
        </w:rPr>
        <w:t>’annexe I</w:t>
      </w:r>
      <w:r w:rsidRPr="005D2316">
        <w:rPr>
          <w:lang w:val="fr-FR"/>
        </w:rPr>
        <w:t xml:space="preserve">I </w:t>
      </w:r>
      <w:r w:rsidR="008D70D2" w:rsidRPr="005D2316">
        <w:rPr>
          <w:lang w:val="fr-FR"/>
        </w:rPr>
        <w:t xml:space="preserve">et </w:t>
      </w:r>
      <w:r w:rsidRPr="005D2316">
        <w:rPr>
          <w:lang w:val="fr-FR"/>
        </w:rPr>
        <w:t>d</w:t>
      </w:r>
      <w:r w:rsidR="008D70D2" w:rsidRPr="005D2316">
        <w:rPr>
          <w:lang w:val="fr-FR"/>
        </w:rPr>
        <w:t>u</w:t>
      </w:r>
      <w:r w:rsidRPr="005D2316">
        <w:rPr>
          <w:lang w:val="fr-FR"/>
        </w:rPr>
        <w:t xml:space="preserve"> document]</w:t>
      </w:r>
    </w:p>
    <w:sectPr w:rsidR="00050E16" w:rsidRPr="005D2316" w:rsidSect="0004198B">
      <w:headerReference w:type="default" r:id="rId25"/>
      <w:headerReference w:type="first" r:id="rId26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14C96" w14:textId="77777777" w:rsidR="004C1C17" w:rsidRDefault="004C1C17" w:rsidP="006655D3">
      <w:r>
        <w:separator/>
      </w:r>
    </w:p>
    <w:p w14:paraId="2923CE2A" w14:textId="77777777" w:rsidR="004C1C17" w:rsidRDefault="004C1C17" w:rsidP="006655D3"/>
    <w:p w14:paraId="5DA8F986" w14:textId="77777777" w:rsidR="004C1C17" w:rsidRDefault="004C1C17" w:rsidP="006655D3"/>
  </w:endnote>
  <w:endnote w:type="continuationSeparator" w:id="0">
    <w:p w14:paraId="69C378CC" w14:textId="77777777" w:rsidR="004C1C17" w:rsidRDefault="004C1C17" w:rsidP="006655D3">
      <w:r>
        <w:separator/>
      </w:r>
    </w:p>
    <w:p w14:paraId="0AFE16D5" w14:textId="77777777" w:rsidR="004C1C17" w:rsidRPr="00294751" w:rsidRDefault="004C1C1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50BEB25C" w14:textId="77777777" w:rsidR="004C1C17" w:rsidRPr="00294751" w:rsidRDefault="004C1C17" w:rsidP="006655D3">
      <w:pPr>
        <w:rPr>
          <w:lang w:val="fr-FR"/>
        </w:rPr>
      </w:pPr>
    </w:p>
    <w:p w14:paraId="3ECD4A1D" w14:textId="77777777" w:rsidR="004C1C17" w:rsidRPr="00294751" w:rsidRDefault="004C1C17" w:rsidP="006655D3">
      <w:pPr>
        <w:rPr>
          <w:lang w:val="fr-FR"/>
        </w:rPr>
      </w:pPr>
    </w:p>
  </w:endnote>
  <w:endnote w:type="continuationNotice" w:id="1">
    <w:p w14:paraId="13804E13" w14:textId="77777777" w:rsidR="004C1C17" w:rsidRPr="00294751" w:rsidRDefault="004C1C17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C3FED65" w14:textId="77777777" w:rsidR="004C1C17" w:rsidRPr="00294751" w:rsidRDefault="004C1C17" w:rsidP="006655D3">
      <w:pPr>
        <w:rPr>
          <w:lang w:val="fr-FR"/>
        </w:rPr>
      </w:pPr>
    </w:p>
    <w:p w14:paraId="7B8301E5" w14:textId="77777777" w:rsidR="004C1C17" w:rsidRPr="00294751" w:rsidRDefault="004C1C17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25034E" w14:textId="77777777" w:rsidR="004C1C17" w:rsidRDefault="004C1C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5D388A" w14:textId="77777777" w:rsidR="004C1C17" w:rsidRDefault="004C1C1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9E19BA" w14:textId="77777777" w:rsidR="004C1C17" w:rsidRDefault="004C1C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24F9E" w14:textId="77777777" w:rsidR="004C1C17" w:rsidRDefault="004C1C17" w:rsidP="006655D3">
      <w:r>
        <w:separator/>
      </w:r>
    </w:p>
  </w:footnote>
  <w:footnote w:type="continuationSeparator" w:id="0">
    <w:p w14:paraId="125129FA" w14:textId="77777777" w:rsidR="004C1C17" w:rsidRDefault="004C1C17" w:rsidP="006655D3">
      <w:r>
        <w:separator/>
      </w:r>
    </w:p>
  </w:footnote>
  <w:footnote w:type="continuationNotice" w:id="1">
    <w:p w14:paraId="54911100" w14:textId="77777777" w:rsidR="004C1C17" w:rsidRPr="00AB530F" w:rsidRDefault="004C1C17" w:rsidP="00AB530F">
      <w:pPr>
        <w:pStyle w:val="Footer"/>
      </w:pPr>
    </w:p>
  </w:footnote>
  <w:footnote w:id="2">
    <w:p w14:paraId="0A8E24AD" w14:textId="2D40677D" w:rsidR="004C1C17" w:rsidRPr="00854DA9" w:rsidRDefault="004C1C17" w:rsidP="00887C0B">
      <w:pPr>
        <w:pStyle w:val="FootnoteText"/>
        <w:rPr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Tenue à Genève les 29 et 30 octobre 2018</w:t>
      </w:r>
      <w:r w:rsidR="006E4FA9" w:rsidRPr="00854DA9">
        <w:rPr>
          <w:lang w:val="fr-FR"/>
        </w:rPr>
        <w:t>.</w:t>
      </w:r>
    </w:p>
  </w:footnote>
  <w:footnote w:id="3">
    <w:p w14:paraId="0A21B4B4" w14:textId="52B458DD" w:rsidR="004C1C17" w:rsidRPr="00854DA9" w:rsidRDefault="004C1C17" w:rsidP="00887C0B">
      <w:pPr>
        <w:pStyle w:val="FootnoteText"/>
        <w:rPr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À sa cinquante-septième session, tenue par voie électronique les 2</w:t>
      </w:r>
      <w:r w:rsidR="00887C0B">
        <w:rPr>
          <w:lang w:val="fr-FR"/>
        </w:rPr>
        <w:t>5</w:t>
      </w:r>
      <w:r w:rsidRPr="00854DA9">
        <w:rPr>
          <w:lang w:val="fr-FR"/>
        </w:rPr>
        <w:t xml:space="preserve"> et 2</w:t>
      </w:r>
      <w:r w:rsidR="00887C0B">
        <w:rPr>
          <w:lang w:val="fr-FR"/>
        </w:rPr>
        <w:t>6</w:t>
      </w:r>
      <w:r w:rsidRPr="00854DA9">
        <w:rPr>
          <w:lang w:val="fr-FR"/>
        </w:rPr>
        <w:t> octobre 2021</w:t>
      </w:r>
      <w:r w:rsidR="006E4FA9" w:rsidRPr="00854DA9">
        <w:rPr>
          <w:lang w:val="fr-FR"/>
        </w:rPr>
        <w:t>.</w:t>
      </w:r>
    </w:p>
  </w:footnote>
  <w:footnote w:id="4">
    <w:p w14:paraId="4A1E052D" w14:textId="63B76079" w:rsidR="004C1C17" w:rsidRPr="00854DA9" w:rsidRDefault="004C1C17" w:rsidP="00887C0B">
      <w:pPr>
        <w:pStyle w:val="FootnoteText"/>
        <w:rPr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À sa cinquante-sixième session, tenue par voie électronique du 18 au 22 avril 2022</w:t>
      </w:r>
      <w:r w:rsidR="006E4FA9" w:rsidRPr="00854DA9">
        <w:rPr>
          <w:lang w:val="fr-FR"/>
        </w:rPr>
        <w:t>.</w:t>
      </w:r>
    </w:p>
  </w:footnote>
  <w:footnote w:id="5">
    <w:p w14:paraId="7CB97A7E" w14:textId="331F8E4E" w:rsidR="004C1C17" w:rsidRPr="00854DA9" w:rsidRDefault="004C1C17" w:rsidP="00887C0B">
      <w:pPr>
        <w:pStyle w:val="FootnoteText"/>
        <w:rPr>
          <w:highlight w:val="cyan"/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À sa cinquante et unième session, organisée par le Royaume-Uni par voie électronique du 23 au 27 mai 2022</w:t>
      </w:r>
      <w:r w:rsidR="006E4FA9" w:rsidRPr="00854DA9">
        <w:rPr>
          <w:lang w:val="fr-FR"/>
        </w:rPr>
        <w:t>.</w:t>
      </w:r>
    </w:p>
  </w:footnote>
  <w:footnote w:id="6">
    <w:p w14:paraId="729D2A3B" w14:textId="49061D91" w:rsidR="004C1C17" w:rsidRPr="00854DA9" w:rsidRDefault="004C1C17" w:rsidP="00887C0B">
      <w:pPr>
        <w:pStyle w:val="FootnoteText"/>
        <w:rPr>
          <w:highlight w:val="cyan"/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À sa cinquante-quatrième session, organisée par l’Allemagne par voie électronique du 13 au 27 juin 2022</w:t>
      </w:r>
      <w:r w:rsidR="006E4FA9" w:rsidRPr="00854DA9">
        <w:rPr>
          <w:lang w:val="fr-FR"/>
        </w:rPr>
        <w:t>.</w:t>
      </w:r>
    </w:p>
  </w:footnote>
  <w:footnote w:id="7">
    <w:p w14:paraId="126A2062" w14:textId="52D9C129" w:rsidR="004C1C17" w:rsidRPr="00854DA9" w:rsidRDefault="004C1C17" w:rsidP="00887C0B">
      <w:pPr>
        <w:pStyle w:val="FootnoteText"/>
        <w:rPr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À sa cinquante-troisième session, tenue par voie électronique du 11 au 15 juillet 2022</w:t>
      </w:r>
      <w:r w:rsidR="006E4FA9" w:rsidRPr="00854DA9">
        <w:rPr>
          <w:lang w:val="fr-FR"/>
        </w:rPr>
        <w:t>.</w:t>
      </w:r>
    </w:p>
  </w:footnote>
  <w:footnote w:id="8">
    <w:p w14:paraId="0C690853" w14:textId="2FD701C6" w:rsidR="004C1C17" w:rsidRPr="00854DA9" w:rsidRDefault="004C1C17" w:rsidP="00887C0B">
      <w:pPr>
        <w:pStyle w:val="FootnoteText"/>
        <w:rPr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="006E4FA9" w:rsidRPr="00854DA9">
        <w:rPr>
          <w:lang w:val="fr-FR"/>
        </w:rPr>
        <w:tab/>
      </w:r>
      <w:r w:rsidRPr="00854DA9">
        <w:rPr>
          <w:lang w:val="fr-FR"/>
        </w:rPr>
        <w:t>À sa première session, tenue par voie électronique du 19 au 23 septembre 2022</w:t>
      </w:r>
      <w:r w:rsidR="006E4FA9" w:rsidRPr="00854DA9">
        <w:rPr>
          <w:lang w:val="fr-FR"/>
        </w:rPr>
        <w:t>.</w:t>
      </w:r>
    </w:p>
  </w:footnote>
  <w:footnote w:id="9">
    <w:p w14:paraId="280AFC9E" w14:textId="5137C0BB" w:rsidR="009215AE" w:rsidRPr="00854DA9" w:rsidRDefault="009215AE" w:rsidP="00887C0B">
      <w:pPr>
        <w:pStyle w:val="FootnoteText"/>
        <w:rPr>
          <w:lang w:val="fr-FR"/>
        </w:rPr>
      </w:pPr>
      <w:r w:rsidRPr="00854DA9">
        <w:rPr>
          <w:rStyle w:val="FootnoteReference"/>
          <w:lang w:val="fr-FR"/>
        </w:rPr>
        <w:footnoteRef/>
      </w:r>
      <w:r w:rsidRPr="00854DA9">
        <w:rPr>
          <w:lang w:val="fr-FR"/>
        </w:rPr>
        <w:t xml:space="preserve"> </w:t>
      </w:r>
      <w:r w:rsidRPr="00854DA9">
        <w:rPr>
          <w:lang w:val="fr-FR"/>
        </w:rPr>
        <w:tab/>
      </w:r>
      <w:r w:rsidR="00854DA9">
        <w:rPr>
          <w:lang w:val="fr-FR"/>
        </w:rPr>
        <w:t>Les “</w:t>
      </w:r>
      <w:r w:rsidR="00854DA9" w:rsidRPr="00854DA9">
        <w:rPr>
          <w:lang w:val="fr-FR"/>
        </w:rPr>
        <w:t>variétés comparables</w:t>
      </w:r>
      <w:r w:rsidR="00854DA9">
        <w:rPr>
          <w:lang w:val="fr-FR"/>
        </w:rPr>
        <w:t>”</w:t>
      </w:r>
      <w:r w:rsidR="00854DA9" w:rsidRPr="00854DA9">
        <w:rPr>
          <w:lang w:val="fr-FR"/>
        </w:rPr>
        <w:t xml:space="preserve"> sont des variétés co</w:t>
      </w:r>
      <w:r w:rsidR="00854DA9">
        <w:rPr>
          <w:lang w:val="fr-FR"/>
        </w:rPr>
        <w:t>nnues considérées comme étant d’</w:t>
      </w:r>
      <w:r w:rsidR="00854DA9" w:rsidRPr="00854DA9">
        <w:rPr>
          <w:lang w:val="fr-FR"/>
        </w:rPr>
        <w:t>un type ou d</w:t>
      </w:r>
      <w:r w:rsidR="00854DA9">
        <w:rPr>
          <w:lang w:val="fr-FR"/>
        </w:rPr>
        <w:t>’</w:t>
      </w:r>
      <w:r w:rsidR="00854DA9" w:rsidRPr="00854DA9">
        <w:rPr>
          <w:lang w:val="fr-FR"/>
        </w:rPr>
        <w:t>une nature similaires à la nouvelle variété en cause.</w:t>
      </w:r>
      <w:r w:rsidR="00854DA9">
        <w:rPr>
          <w:lang w:val="fr-FR"/>
        </w:rPr>
        <w:t xml:space="preserve"> </w:t>
      </w:r>
      <w:r w:rsidR="00854DA9" w:rsidRPr="00854DA9">
        <w:rPr>
          <w:lang w:val="fr-FR"/>
        </w:rPr>
        <w:t xml:space="preserve"> Cette terminologie est employée dans les documents TG/1/3 et </w:t>
      </w:r>
      <w:r w:rsidR="00854DA9">
        <w:rPr>
          <w:lang w:val="fr-FR"/>
        </w:rPr>
        <w:t>TGP/8/3 de préférence au terme “</w:t>
      </w:r>
      <w:r w:rsidR="00854DA9" w:rsidRPr="00854DA9">
        <w:rPr>
          <w:lang w:val="fr-FR"/>
        </w:rPr>
        <w:t>variétés de référence</w:t>
      </w:r>
      <w:r w:rsidR="00854DA9">
        <w:rPr>
          <w:lang w:val="fr-FR"/>
        </w:rPr>
        <w:t>”</w:t>
      </w:r>
      <w:r w:rsidR="00854DA9" w:rsidRPr="00854DA9">
        <w:rPr>
          <w:lang w:val="fr-FR"/>
        </w:rPr>
        <w:t xml:space="preserve"> dans ce contexte.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051BF0" w14:textId="77777777" w:rsidR="004C1C17" w:rsidRDefault="004C1C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4639C" w14:textId="77777777" w:rsidR="004C1C17" w:rsidRPr="00C5280D" w:rsidRDefault="004C1C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TC/58/6</w:t>
    </w:r>
  </w:p>
  <w:p w14:paraId="3F3E15A3" w14:textId="05DD122C" w:rsidR="004C1C17" w:rsidRPr="00455A1B" w:rsidRDefault="004C1C17" w:rsidP="00B06F4E">
    <w:pPr>
      <w:jc w:val="center"/>
    </w:pPr>
    <w:proofErr w:type="gramStart"/>
    <w:r w:rsidRPr="00455A1B">
      <w:t>page</w:t>
    </w:r>
    <w:proofErr w:type="gramEnd"/>
    <w:r w:rsidR="0012350F">
      <w:t> </w:t>
    </w:r>
    <w:r w:rsidRPr="00455A1B">
      <w:fldChar w:fldCharType="begin"/>
    </w:r>
    <w:r w:rsidRPr="00455A1B">
      <w:instrText xml:space="preserve"> PAGE </w:instrText>
    </w:r>
    <w:r w:rsidRPr="00455A1B">
      <w:fldChar w:fldCharType="separate"/>
    </w:r>
    <w:r w:rsidR="00383052">
      <w:rPr>
        <w:noProof/>
      </w:rPr>
      <w:t>4</w:t>
    </w:r>
    <w:r w:rsidRPr="00455A1B">
      <w:fldChar w:fldCharType="end"/>
    </w:r>
  </w:p>
  <w:p w14:paraId="4BD0F05F" w14:textId="77777777" w:rsidR="004C1C17" w:rsidRPr="00C5280D" w:rsidRDefault="004C1C17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92B56" w14:textId="77777777" w:rsidR="004C1C17" w:rsidRDefault="004C1C1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26FFBB" w14:textId="77777777" w:rsidR="004C1C17" w:rsidRPr="00C5280D" w:rsidRDefault="004C1C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TC/58/6</w:t>
    </w:r>
  </w:p>
  <w:p w14:paraId="602D7A61" w14:textId="18D756DA" w:rsidR="004C1C17" w:rsidRPr="001712BB" w:rsidRDefault="004C1C17" w:rsidP="00B06F4E">
    <w:pPr>
      <w:jc w:val="center"/>
      <w:rPr>
        <w:lang w:val="fr-FR"/>
      </w:rPr>
    </w:pPr>
    <w:r w:rsidRPr="001712BB">
      <w:rPr>
        <w:lang w:val="fr-FR"/>
      </w:rPr>
      <w:t xml:space="preserve">Annexe I, page </w:t>
    </w:r>
    <w:r w:rsidRPr="001712BB">
      <w:rPr>
        <w:lang w:val="fr-FR"/>
      </w:rPr>
      <w:fldChar w:fldCharType="begin"/>
    </w:r>
    <w:r w:rsidRPr="001712BB">
      <w:rPr>
        <w:lang w:val="fr-FR"/>
      </w:rPr>
      <w:instrText xml:space="preserve"> PAGE </w:instrText>
    </w:r>
    <w:r w:rsidRPr="001712BB">
      <w:rPr>
        <w:lang w:val="fr-FR"/>
      </w:rPr>
      <w:fldChar w:fldCharType="separate"/>
    </w:r>
    <w:r w:rsidR="00383052">
      <w:rPr>
        <w:noProof/>
        <w:lang w:val="fr-FR"/>
      </w:rPr>
      <w:t>3</w:t>
    </w:r>
    <w:r w:rsidRPr="001712BB">
      <w:rPr>
        <w:lang w:val="fr-FR"/>
      </w:rPr>
      <w:fldChar w:fldCharType="end"/>
    </w:r>
  </w:p>
  <w:p w14:paraId="4BBCC616" w14:textId="77777777" w:rsidR="004C1C17" w:rsidRPr="00C5280D" w:rsidRDefault="004C1C17" w:rsidP="006655D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A62C1" w14:textId="77777777" w:rsidR="004C1C17" w:rsidRDefault="004C1C17" w:rsidP="00A16EC8">
    <w:pPr>
      <w:jc w:val="center"/>
      <w:rPr>
        <w:rStyle w:val="PageNumber"/>
      </w:rPr>
    </w:pPr>
    <w:r w:rsidRPr="0035578C">
      <w:rPr>
        <w:rStyle w:val="PageNumber"/>
      </w:rPr>
      <w:t>TC/58/</w:t>
    </w:r>
    <w:r>
      <w:rPr>
        <w:rStyle w:val="PageNumber"/>
      </w:rPr>
      <w:t>6</w:t>
    </w:r>
  </w:p>
  <w:p w14:paraId="5A7B8304" w14:textId="77777777" w:rsidR="004C1C17" w:rsidRDefault="004C1C17" w:rsidP="00A16EC8">
    <w:pPr>
      <w:jc w:val="center"/>
      <w:rPr>
        <w:rStyle w:val="PageNumber"/>
      </w:rPr>
    </w:pPr>
  </w:p>
  <w:p w14:paraId="4F5E28CA" w14:textId="0E21A7EA" w:rsidR="004C1C17" w:rsidRDefault="004C1C17" w:rsidP="00A16EC8">
    <w:pPr>
      <w:jc w:val="center"/>
    </w:pPr>
    <w:r w:rsidRPr="0031757A">
      <w:t>ANNEX</w:t>
    </w:r>
    <w:r>
      <w:t>E</w:t>
    </w:r>
    <w:r w:rsidRPr="0031757A">
      <w:t xml:space="preserve"> I</w:t>
    </w:r>
  </w:p>
  <w:p w14:paraId="6A4F9C48" w14:textId="77777777" w:rsidR="004C1C17" w:rsidRPr="0004198B" w:rsidRDefault="004C1C17" w:rsidP="00A16EC8">
    <w:pPr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28998" w14:textId="77777777" w:rsidR="004C1C17" w:rsidRPr="00C5280D" w:rsidRDefault="004C1C17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TC/58/6</w:t>
    </w:r>
  </w:p>
  <w:p w14:paraId="42D54A1C" w14:textId="11162A2D" w:rsidR="004C1C17" w:rsidRPr="00E34662" w:rsidRDefault="004C1C17" w:rsidP="00B06F4E">
    <w:pPr>
      <w:jc w:val="center"/>
      <w:rPr>
        <w:lang w:val="fr-FR"/>
      </w:rPr>
    </w:pPr>
    <w:r w:rsidRPr="00E34662">
      <w:rPr>
        <w:lang w:val="fr-FR"/>
      </w:rPr>
      <w:t xml:space="preserve">Annexe II, page </w:t>
    </w:r>
    <w:r w:rsidRPr="00E34662">
      <w:rPr>
        <w:lang w:val="fr-FR"/>
      </w:rPr>
      <w:fldChar w:fldCharType="begin"/>
    </w:r>
    <w:r w:rsidRPr="00E34662">
      <w:rPr>
        <w:lang w:val="fr-FR"/>
      </w:rPr>
      <w:instrText xml:space="preserve"> PAGE </w:instrText>
    </w:r>
    <w:r w:rsidRPr="00E34662">
      <w:rPr>
        <w:lang w:val="fr-FR"/>
      </w:rPr>
      <w:fldChar w:fldCharType="separate"/>
    </w:r>
    <w:r w:rsidR="00383052">
      <w:rPr>
        <w:noProof/>
        <w:lang w:val="fr-FR"/>
      </w:rPr>
      <w:t>6</w:t>
    </w:r>
    <w:r w:rsidRPr="00E34662">
      <w:rPr>
        <w:lang w:val="fr-FR"/>
      </w:rPr>
      <w:fldChar w:fldCharType="end"/>
    </w:r>
  </w:p>
  <w:p w14:paraId="0B88EF5D" w14:textId="77777777" w:rsidR="004C1C17" w:rsidRPr="00C5280D" w:rsidRDefault="004C1C17" w:rsidP="006655D3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01642" w14:textId="77777777" w:rsidR="004C1C17" w:rsidRDefault="004C1C17" w:rsidP="00A16EC8">
    <w:pPr>
      <w:jc w:val="center"/>
      <w:rPr>
        <w:rStyle w:val="PageNumber"/>
      </w:rPr>
    </w:pPr>
    <w:r w:rsidRPr="0035578C">
      <w:rPr>
        <w:rStyle w:val="PageNumber"/>
      </w:rPr>
      <w:t>TC/58/</w:t>
    </w:r>
    <w:r>
      <w:rPr>
        <w:rStyle w:val="PageNumber"/>
      </w:rPr>
      <w:t>6</w:t>
    </w:r>
  </w:p>
  <w:p w14:paraId="15A2DD50" w14:textId="77777777" w:rsidR="004C1C17" w:rsidRDefault="004C1C17" w:rsidP="00A16EC8">
    <w:pPr>
      <w:jc w:val="center"/>
      <w:rPr>
        <w:rStyle w:val="PageNumber"/>
      </w:rPr>
    </w:pPr>
  </w:p>
  <w:p w14:paraId="2410F8CA" w14:textId="43414CB7" w:rsidR="004C1C17" w:rsidRPr="001712BB" w:rsidRDefault="004C1C17" w:rsidP="00A16EC8">
    <w:pPr>
      <w:jc w:val="center"/>
      <w:rPr>
        <w:lang w:val="fr-FR"/>
      </w:rPr>
    </w:pPr>
    <w:r w:rsidRPr="001712BB">
      <w:rPr>
        <w:lang w:val="fr-FR"/>
      </w:rPr>
      <w:t>ANNEXE II</w:t>
    </w:r>
  </w:p>
  <w:p w14:paraId="3A253619" w14:textId="77777777" w:rsidR="004C1C17" w:rsidRPr="0004198B" w:rsidRDefault="004C1C17" w:rsidP="00A16EC8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EF2"/>
    <w:multiLevelType w:val="hybridMultilevel"/>
    <w:tmpl w:val="C352DB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D6439B4"/>
    <w:multiLevelType w:val="multilevel"/>
    <w:tmpl w:val="CC08D59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2CEB783F"/>
    <w:multiLevelType w:val="hybridMultilevel"/>
    <w:tmpl w:val="354C1F2A"/>
    <w:lvl w:ilvl="0" w:tplc="EE26DAB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D04FC4"/>
    <w:multiLevelType w:val="hybridMultilevel"/>
    <w:tmpl w:val="97807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533CFD"/>
    <w:multiLevelType w:val="hybridMultilevel"/>
    <w:tmpl w:val="F894C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B6B30A8"/>
    <w:multiLevelType w:val="multilevel"/>
    <w:tmpl w:val="EB3E4DCE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DA5320D"/>
    <w:multiLevelType w:val="hybridMultilevel"/>
    <w:tmpl w:val="FEBAD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82"/>
    <w:rsid w:val="00010AF3"/>
    <w:rsid w:val="00010CF3"/>
    <w:rsid w:val="00011E27"/>
    <w:rsid w:val="000148BC"/>
    <w:rsid w:val="00024AB8"/>
    <w:rsid w:val="00025ADC"/>
    <w:rsid w:val="00030854"/>
    <w:rsid w:val="00036028"/>
    <w:rsid w:val="0004198B"/>
    <w:rsid w:val="00044642"/>
    <w:rsid w:val="000446B9"/>
    <w:rsid w:val="00047E21"/>
    <w:rsid w:val="00050E16"/>
    <w:rsid w:val="00051FED"/>
    <w:rsid w:val="000571F7"/>
    <w:rsid w:val="000710B2"/>
    <w:rsid w:val="000835C9"/>
    <w:rsid w:val="00084993"/>
    <w:rsid w:val="00085505"/>
    <w:rsid w:val="000948A7"/>
    <w:rsid w:val="0009599F"/>
    <w:rsid w:val="00097871"/>
    <w:rsid w:val="000C4E25"/>
    <w:rsid w:val="000C7021"/>
    <w:rsid w:val="000D6690"/>
    <w:rsid w:val="000D6BBC"/>
    <w:rsid w:val="000D7780"/>
    <w:rsid w:val="000E636A"/>
    <w:rsid w:val="000E79EC"/>
    <w:rsid w:val="000F2F11"/>
    <w:rsid w:val="00100A5F"/>
    <w:rsid w:val="00105929"/>
    <w:rsid w:val="00110BED"/>
    <w:rsid w:val="00110C36"/>
    <w:rsid w:val="001131D5"/>
    <w:rsid w:val="00114547"/>
    <w:rsid w:val="0012350F"/>
    <w:rsid w:val="00135FB8"/>
    <w:rsid w:val="00141DB8"/>
    <w:rsid w:val="00144612"/>
    <w:rsid w:val="0015619C"/>
    <w:rsid w:val="001712BB"/>
    <w:rsid w:val="00172084"/>
    <w:rsid w:val="0017474A"/>
    <w:rsid w:val="001758C6"/>
    <w:rsid w:val="00182B99"/>
    <w:rsid w:val="001A0B67"/>
    <w:rsid w:val="001C1525"/>
    <w:rsid w:val="001C6546"/>
    <w:rsid w:val="001D72BF"/>
    <w:rsid w:val="001E132C"/>
    <w:rsid w:val="001E2F02"/>
    <w:rsid w:val="001F2660"/>
    <w:rsid w:val="00213117"/>
    <w:rsid w:val="0021332C"/>
    <w:rsid w:val="00213982"/>
    <w:rsid w:val="0024416D"/>
    <w:rsid w:val="002457CC"/>
    <w:rsid w:val="00270348"/>
    <w:rsid w:val="00271911"/>
    <w:rsid w:val="0027255D"/>
    <w:rsid w:val="00273187"/>
    <w:rsid w:val="002800A0"/>
    <w:rsid w:val="002801B3"/>
    <w:rsid w:val="00281060"/>
    <w:rsid w:val="00284050"/>
    <w:rsid w:val="00284ACE"/>
    <w:rsid w:val="0028590D"/>
    <w:rsid w:val="00285BD0"/>
    <w:rsid w:val="002940E8"/>
    <w:rsid w:val="00294751"/>
    <w:rsid w:val="002957BD"/>
    <w:rsid w:val="002975BA"/>
    <w:rsid w:val="002A6E50"/>
    <w:rsid w:val="002B4298"/>
    <w:rsid w:val="002B587E"/>
    <w:rsid w:val="002B7A36"/>
    <w:rsid w:val="002C256A"/>
    <w:rsid w:val="002D5226"/>
    <w:rsid w:val="002D7623"/>
    <w:rsid w:val="002E0D44"/>
    <w:rsid w:val="002E2579"/>
    <w:rsid w:val="002E471E"/>
    <w:rsid w:val="00302764"/>
    <w:rsid w:val="00305A7F"/>
    <w:rsid w:val="003065A8"/>
    <w:rsid w:val="0031006F"/>
    <w:rsid w:val="003152FE"/>
    <w:rsid w:val="00327436"/>
    <w:rsid w:val="0034068E"/>
    <w:rsid w:val="00341B7D"/>
    <w:rsid w:val="00344BD6"/>
    <w:rsid w:val="0035167E"/>
    <w:rsid w:val="0035528D"/>
    <w:rsid w:val="00361821"/>
    <w:rsid w:val="00361E9E"/>
    <w:rsid w:val="00367A58"/>
    <w:rsid w:val="003753EE"/>
    <w:rsid w:val="003754C3"/>
    <w:rsid w:val="00383052"/>
    <w:rsid w:val="003A0835"/>
    <w:rsid w:val="003A5AAF"/>
    <w:rsid w:val="003B5240"/>
    <w:rsid w:val="003B700A"/>
    <w:rsid w:val="003C0F84"/>
    <w:rsid w:val="003C60ED"/>
    <w:rsid w:val="003C7FBE"/>
    <w:rsid w:val="003D0839"/>
    <w:rsid w:val="003D227C"/>
    <w:rsid w:val="003D2B4D"/>
    <w:rsid w:val="003D5F5B"/>
    <w:rsid w:val="003F37F5"/>
    <w:rsid w:val="004133B2"/>
    <w:rsid w:val="00444A88"/>
    <w:rsid w:val="00445B73"/>
    <w:rsid w:val="00447E75"/>
    <w:rsid w:val="00450501"/>
    <w:rsid w:val="00455AF5"/>
    <w:rsid w:val="00474DA4"/>
    <w:rsid w:val="00476B4D"/>
    <w:rsid w:val="004805FA"/>
    <w:rsid w:val="004935D2"/>
    <w:rsid w:val="004969EB"/>
    <w:rsid w:val="004B1215"/>
    <w:rsid w:val="004B76DE"/>
    <w:rsid w:val="004C1C17"/>
    <w:rsid w:val="004C782A"/>
    <w:rsid w:val="004D047D"/>
    <w:rsid w:val="004D34C0"/>
    <w:rsid w:val="004F1E9E"/>
    <w:rsid w:val="004F305A"/>
    <w:rsid w:val="005007AA"/>
    <w:rsid w:val="00512164"/>
    <w:rsid w:val="00520297"/>
    <w:rsid w:val="005338F9"/>
    <w:rsid w:val="0053540D"/>
    <w:rsid w:val="0054281C"/>
    <w:rsid w:val="00542955"/>
    <w:rsid w:val="00543465"/>
    <w:rsid w:val="00544581"/>
    <w:rsid w:val="0055268D"/>
    <w:rsid w:val="00552905"/>
    <w:rsid w:val="00575DE2"/>
    <w:rsid w:val="00576BE4"/>
    <w:rsid w:val="005779DB"/>
    <w:rsid w:val="00592AEC"/>
    <w:rsid w:val="00594D32"/>
    <w:rsid w:val="005A2A67"/>
    <w:rsid w:val="005A400A"/>
    <w:rsid w:val="005A618A"/>
    <w:rsid w:val="005B099C"/>
    <w:rsid w:val="005B0DFA"/>
    <w:rsid w:val="005B269D"/>
    <w:rsid w:val="005D2316"/>
    <w:rsid w:val="005E1D30"/>
    <w:rsid w:val="005E6203"/>
    <w:rsid w:val="005F7B92"/>
    <w:rsid w:val="00612379"/>
    <w:rsid w:val="006153B6"/>
    <w:rsid w:val="0061555F"/>
    <w:rsid w:val="006245ED"/>
    <w:rsid w:val="00636CA6"/>
    <w:rsid w:val="00641200"/>
    <w:rsid w:val="00645CA8"/>
    <w:rsid w:val="0066180F"/>
    <w:rsid w:val="0066286D"/>
    <w:rsid w:val="006655D3"/>
    <w:rsid w:val="00667404"/>
    <w:rsid w:val="0067269A"/>
    <w:rsid w:val="0067537F"/>
    <w:rsid w:val="00687EB4"/>
    <w:rsid w:val="00695C56"/>
    <w:rsid w:val="006A03C0"/>
    <w:rsid w:val="006A5CDE"/>
    <w:rsid w:val="006A644A"/>
    <w:rsid w:val="006B17D2"/>
    <w:rsid w:val="006B5134"/>
    <w:rsid w:val="006C224E"/>
    <w:rsid w:val="006D6156"/>
    <w:rsid w:val="006D780A"/>
    <w:rsid w:val="006D7EE8"/>
    <w:rsid w:val="006E4FA9"/>
    <w:rsid w:val="00700DD6"/>
    <w:rsid w:val="0070630F"/>
    <w:rsid w:val="0071271E"/>
    <w:rsid w:val="0072507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8653F"/>
    <w:rsid w:val="0079023E"/>
    <w:rsid w:val="007915C4"/>
    <w:rsid w:val="007A2854"/>
    <w:rsid w:val="007B1BA8"/>
    <w:rsid w:val="007C0257"/>
    <w:rsid w:val="007C1D92"/>
    <w:rsid w:val="007C4CB9"/>
    <w:rsid w:val="007D0B9D"/>
    <w:rsid w:val="007D19B0"/>
    <w:rsid w:val="007F498F"/>
    <w:rsid w:val="00800C5A"/>
    <w:rsid w:val="0080679D"/>
    <w:rsid w:val="008108B0"/>
    <w:rsid w:val="00811B20"/>
    <w:rsid w:val="00812609"/>
    <w:rsid w:val="008211B5"/>
    <w:rsid w:val="0082296E"/>
    <w:rsid w:val="00824099"/>
    <w:rsid w:val="00827704"/>
    <w:rsid w:val="00836B13"/>
    <w:rsid w:val="008422AD"/>
    <w:rsid w:val="00846D7C"/>
    <w:rsid w:val="00854DA9"/>
    <w:rsid w:val="00860719"/>
    <w:rsid w:val="0086245B"/>
    <w:rsid w:val="00867AC1"/>
    <w:rsid w:val="008751DE"/>
    <w:rsid w:val="00887C0B"/>
    <w:rsid w:val="00890DF8"/>
    <w:rsid w:val="008A0ADE"/>
    <w:rsid w:val="008A743F"/>
    <w:rsid w:val="008C0970"/>
    <w:rsid w:val="008D0BC5"/>
    <w:rsid w:val="008D2CF7"/>
    <w:rsid w:val="008D70D2"/>
    <w:rsid w:val="008F21C3"/>
    <w:rsid w:val="00900C26"/>
    <w:rsid w:val="00900C57"/>
    <w:rsid w:val="0090197F"/>
    <w:rsid w:val="00903264"/>
    <w:rsid w:val="009039D0"/>
    <w:rsid w:val="00906DDC"/>
    <w:rsid w:val="0091643D"/>
    <w:rsid w:val="009215AE"/>
    <w:rsid w:val="00934E09"/>
    <w:rsid w:val="00936253"/>
    <w:rsid w:val="00940D46"/>
    <w:rsid w:val="009413F1"/>
    <w:rsid w:val="00942A44"/>
    <w:rsid w:val="00952DD4"/>
    <w:rsid w:val="009561F4"/>
    <w:rsid w:val="00965AE7"/>
    <w:rsid w:val="00967906"/>
    <w:rsid w:val="00970FED"/>
    <w:rsid w:val="00977AA7"/>
    <w:rsid w:val="00983A65"/>
    <w:rsid w:val="00985E41"/>
    <w:rsid w:val="00990D12"/>
    <w:rsid w:val="00992D82"/>
    <w:rsid w:val="00997029"/>
    <w:rsid w:val="009A2233"/>
    <w:rsid w:val="009A7339"/>
    <w:rsid w:val="009B440E"/>
    <w:rsid w:val="009D3227"/>
    <w:rsid w:val="009D690D"/>
    <w:rsid w:val="009E2692"/>
    <w:rsid w:val="009E65B6"/>
    <w:rsid w:val="009F0A51"/>
    <w:rsid w:val="009F0B7F"/>
    <w:rsid w:val="009F77CF"/>
    <w:rsid w:val="00A12795"/>
    <w:rsid w:val="00A16EC8"/>
    <w:rsid w:val="00A2054A"/>
    <w:rsid w:val="00A2333E"/>
    <w:rsid w:val="00A24C10"/>
    <w:rsid w:val="00A36B81"/>
    <w:rsid w:val="00A36C59"/>
    <w:rsid w:val="00A42AC3"/>
    <w:rsid w:val="00A430CF"/>
    <w:rsid w:val="00A54309"/>
    <w:rsid w:val="00A5499F"/>
    <w:rsid w:val="00A55168"/>
    <w:rsid w:val="00A610A9"/>
    <w:rsid w:val="00A80F2A"/>
    <w:rsid w:val="00A8296D"/>
    <w:rsid w:val="00A96C33"/>
    <w:rsid w:val="00AA13EF"/>
    <w:rsid w:val="00AA5C19"/>
    <w:rsid w:val="00AB2B93"/>
    <w:rsid w:val="00AB530F"/>
    <w:rsid w:val="00AB7E5B"/>
    <w:rsid w:val="00AC2883"/>
    <w:rsid w:val="00AE0EF1"/>
    <w:rsid w:val="00AE2937"/>
    <w:rsid w:val="00AE3F08"/>
    <w:rsid w:val="00AF4261"/>
    <w:rsid w:val="00B06F4E"/>
    <w:rsid w:val="00B07301"/>
    <w:rsid w:val="00B11F3E"/>
    <w:rsid w:val="00B224DE"/>
    <w:rsid w:val="00B31548"/>
    <w:rsid w:val="00B324D4"/>
    <w:rsid w:val="00B46575"/>
    <w:rsid w:val="00B50005"/>
    <w:rsid w:val="00B604E6"/>
    <w:rsid w:val="00B61777"/>
    <w:rsid w:val="00B622E6"/>
    <w:rsid w:val="00B83E82"/>
    <w:rsid w:val="00B84BBD"/>
    <w:rsid w:val="00B91195"/>
    <w:rsid w:val="00BA43FB"/>
    <w:rsid w:val="00BB7506"/>
    <w:rsid w:val="00BC127D"/>
    <w:rsid w:val="00BC1FE6"/>
    <w:rsid w:val="00BD42F5"/>
    <w:rsid w:val="00C061B6"/>
    <w:rsid w:val="00C2446C"/>
    <w:rsid w:val="00C36AE5"/>
    <w:rsid w:val="00C41F17"/>
    <w:rsid w:val="00C45098"/>
    <w:rsid w:val="00C527FA"/>
    <w:rsid w:val="00C5280D"/>
    <w:rsid w:val="00C53EB3"/>
    <w:rsid w:val="00C5791C"/>
    <w:rsid w:val="00C66290"/>
    <w:rsid w:val="00C72B7A"/>
    <w:rsid w:val="00C7425C"/>
    <w:rsid w:val="00C87187"/>
    <w:rsid w:val="00C973F2"/>
    <w:rsid w:val="00CA304C"/>
    <w:rsid w:val="00CA6B36"/>
    <w:rsid w:val="00CA774A"/>
    <w:rsid w:val="00CB4921"/>
    <w:rsid w:val="00CC11B0"/>
    <w:rsid w:val="00CC2841"/>
    <w:rsid w:val="00CC6619"/>
    <w:rsid w:val="00CD3F81"/>
    <w:rsid w:val="00CE74EA"/>
    <w:rsid w:val="00CF1330"/>
    <w:rsid w:val="00CF4074"/>
    <w:rsid w:val="00CF7E36"/>
    <w:rsid w:val="00D05FD7"/>
    <w:rsid w:val="00D27BB4"/>
    <w:rsid w:val="00D3708D"/>
    <w:rsid w:val="00D40426"/>
    <w:rsid w:val="00D57C96"/>
    <w:rsid w:val="00D57D18"/>
    <w:rsid w:val="00D644CD"/>
    <w:rsid w:val="00D70E65"/>
    <w:rsid w:val="00D76B4F"/>
    <w:rsid w:val="00D91203"/>
    <w:rsid w:val="00D95174"/>
    <w:rsid w:val="00DA0D7F"/>
    <w:rsid w:val="00DA4973"/>
    <w:rsid w:val="00DA6F36"/>
    <w:rsid w:val="00DB596E"/>
    <w:rsid w:val="00DB7773"/>
    <w:rsid w:val="00DC00EA"/>
    <w:rsid w:val="00DC3802"/>
    <w:rsid w:val="00DD136E"/>
    <w:rsid w:val="00DD1482"/>
    <w:rsid w:val="00DD6208"/>
    <w:rsid w:val="00DE2F7E"/>
    <w:rsid w:val="00DF7E99"/>
    <w:rsid w:val="00E07D87"/>
    <w:rsid w:val="00E249C8"/>
    <w:rsid w:val="00E32F7E"/>
    <w:rsid w:val="00E34662"/>
    <w:rsid w:val="00E4413B"/>
    <w:rsid w:val="00E5267B"/>
    <w:rsid w:val="00E559F0"/>
    <w:rsid w:val="00E63C0E"/>
    <w:rsid w:val="00E6487C"/>
    <w:rsid w:val="00E64CEA"/>
    <w:rsid w:val="00E7012A"/>
    <w:rsid w:val="00E7232A"/>
    <w:rsid w:val="00E72D49"/>
    <w:rsid w:val="00E7593C"/>
    <w:rsid w:val="00E7678A"/>
    <w:rsid w:val="00E773E1"/>
    <w:rsid w:val="00E911B1"/>
    <w:rsid w:val="00E91B19"/>
    <w:rsid w:val="00E935F1"/>
    <w:rsid w:val="00E94A81"/>
    <w:rsid w:val="00E9673E"/>
    <w:rsid w:val="00EA1FFB"/>
    <w:rsid w:val="00EB048E"/>
    <w:rsid w:val="00EB4E9C"/>
    <w:rsid w:val="00EC634B"/>
    <w:rsid w:val="00EE34DF"/>
    <w:rsid w:val="00EF074E"/>
    <w:rsid w:val="00EF2F89"/>
    <w:rsid w:val="00F019CB"/>
    <w:rsid w:val="00F03E98"/>
    <w:rsid w:val="00F1237A"/>
    <w:rsid w:val="00F21A20"/>
    <w:rsid w:val="00F22590"/>
    <w:rsid w:val="00F22CBD"/>
    <w:rsid w:val="00F22DA2"/>
    <w:rsid w:val="00F23F1E"/>
    <w:rsid w:val="00F272F1"/>
    <w:rsid w:val="00F31412"/>
    <w:rsid w:val="00F32533"/>
    <w:rsid w:val="00F45372"/>
    <w:rsid w:val="00F52469"/>
    <w:rsid w:val="00F560F7"/>
    <w:rsid w:val="00F60FC5"/>
    <w:rsid w:val="00F6334D"/>
    <w:rsid w:val="00F63599"/>
    <w:rsid w:val="00F6530E"/>
    <w:rsid w:val="00F6677A"/>
    <w:rsid w:val="00F71781"/>
    <w:rsid w:val="00F72BBA"/>
    <w:rsid w:val="00F833B0"/>
    <w:rsid w:val="00F8637E"/>
    <w:rsid w:val="00FA49AB"/>
    <w:rsid w:val="00FC2472"/>
    <w:rsid w:val="00FC5FD0"/>
    <w:rsid w:val="00FD4BB4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C7C202"/>
  <w15:docId w15:val="{88B37E05-DFA3-407E-A572-C35C46D2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87C0B"/>
    <w:pPr>
      <w:keepNext/>
      <w:jc w:val="both"/>
      <w:outlineLvl w:val="0"/>
    </w:pPr>
    <w:rPr>
      <w:rFonts w:ascii="Arial" w:hAnsi="Arial"/>
      <w:caps/>
      <w:spacing w:val="-6"/>
      <w:lang w:val="fr-FR"/>
    </w:rPr>
  </w:style>
  <w:style w:type="paragraph" w:styleId="Heading2">
    <w:name w:val="heading 2"/>
    <w:next w:val="Normal"/>
    <w:autoRedefine/>
    <w:qFormat/>
    <w:rsid w:val="00084993"/>
    <w:pPr>
      <w:keepNext/>
      <w:jc w:val="both"/>
      <w:outlineLvl w:val="1"/>
    </w:pPr>
    <w:rPr>
      <w:rFonts w:ascii="Arial" w:hAnsi="Arial"/>
      <w:u w:val="single"/>
      <w:lang w:val="fr-FR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link w:val="Heading4Char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link w:val="Heading5Char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887C0B"/>
    <w:pPr>
      <w:spacing w:before="60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uiPriority w:val="39"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basedOn w:val="Normal"/>
    <w:next w:val="Normal"/>
    <w:autoRedefine/>
    <w:uiPriority w:val="39"/>
    <w:qFormat/>
    <w:rsid w:val="00DD136E"/>
    <w:pPr>
      <w:tabs>
        <w:tab w:val="right" w:leader="dot" w:pos="9639"/>
      </w:tabs>
      <w:spacing w:before="60"/>
      <w:ind w:right="1418"/>
      <w:jc w:val="center"/>
    </w:pPr>
    <w:rPr>
      <w:caps/>
      <w:sz w:val="18"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4Char">
    <w:name w:val="Heading 4 Char"/>
    <w:basedOn w:val="DefaultParagraphFont"/>
    <w:link w:val="Heading4"/>
    <w:rsid w:val="004133B2"/>
    <w:rPr>
      <w:rFonts w:ascii="Arial" w:hAnsi="Arial"/>
      <w:u w:val="single"/>
      <w:lang w:val="fr-FR"/>
    </w:rPr>
  </w:style>
  <w:style w:type="character" w:customStyle="1" w:styleId="Heading5Char">
    <w:name w:val="Heading 5 Char"/>
    <w:link w:val="Heading5"/>
    <w:locked/>
    <w:rsid w:val="004133B2"/>
    <w:rPr>
      <w:rFonts w:ascii="Arial" w:hAnsi="Arial"/>
      <w:i/>
    </w:rPr>
  </w:style>
  <w:style w:type="character" w:customStyle="1" w:styleId="FootnoteTextChar">
    <w:name w:val="Footnote Text Char"/>
    <w:basedOn w:val="DefaultParagraphFont"/>
    <w:link w:val="FootnoteText"/>
    <w:rsid w:val="00887C0B"/>
    <w:rPr>
      <w:rFonts w:ascii="Arial" w:hAnsi="Arial"/>
      <w:sz w:val="16"/>
    </w:rPr>
  </w:style>
  <w:style w:type="paragraph" w:styleId="ListParagraph">
    <w:name w:val="List Paragraph"/>
    <w:basedOn w:val="Normal"/>
    <w:uiPriority w:val="34"/>
    <w:qFormat/>
    <w:rsid w:val="008422AD"/>
    <w:pPr>
      <w:ind w:left="720"/>
      <w:contextualSpacing/>
    </w:pPr>
  </w:style>
  <w:style w:type="character" w:customStyle="1" w:styleId="TitleofdocChar">
    <w:name w:val="Title_of_doc Char"/>
    <w:link w:val="Titleofdoc0"/>
    <w:rsid w:val="00B06F4E"/>
    <w:rPr>
      <w:rFonts w:ascii="Arial" w:hAnsi="Arial"/>
      <w:b/>
      <w:caps/>
    </w:rPr>
  </w:style>
  <w:style w:type="table" w:styleId="TableGrid">
    <w:name w:val="Table Grid"/>
    <w:basedOn w:val="TableNormal"/>
    <w:uiPriority w:val="39"/>
    <w:rsid w:val="00B06F4E"/>
    <w:rPr>
      <w:rFonts w:ascii="Calibri" w:eastAsia="Calibri" w:hAnsi="Calibr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51">
    <w:name w:val="Plain Table 51"/>
    <w:basedOn w:val="TableNormal"/>
    <w:next w:val="PlainTable5"/>
    <w:uiPriority w:val="45"/>
    <w:rsid w:val="00B06F4E"/>
    <w:rPr>
      <w:rFonts w:ascii="Calibri" w:eastAsia="Calibri" w:hAnsi="Calibri"/>
      <w:sz w:val="22"/>
      <w:szCs w:val="22"/>
      <w:lang w:val="en-G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B06F4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8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3.wmf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image" Target="media/image5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2.wmf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yperlink" Target="https://www.upov.int/edocs/mdocs/upov/en/twc_35/twc_35_6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8.wmf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image" Target="media/image7.wmf"/><Relationship Id="rId28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image" Target="media/image4.wmf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image" Target="media/image6.wmf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98822-3431-402E-81FF-6CC9B111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13</Pages>
  <Words>4582</Words>
  <Characters>25297</Characters>
  <Application>Microsoft Office Word</Application>
  <DocSecurity>0</DocSecurity>
  <Lines>210</Lines>
  <Paragraphs>59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TC/58</vt:lpstr>
      <vt:lpstr>TC/58</vt:lpstr>
    </vt:vector>
  </TitlesOfParts>
  <Company>UPOV</Company>
  <LinksUpToDate>false</LinksUpToDate>
  <CharactersWithSpaces>29820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</dc:title>
  <dc:creator>MAY Jessica</dc:creator>
  <cp:lastModifiedBy>FALQUET Kasumi</cp:lastModifiedBy>
  <cp:revision>90</cp:revision>
  <cp:lastPrinted>2016-11-22T15:41:00Z</cp:lastPrinted>
  <dcterms:created xsi:type="dcterms:W3CDTF">2022-10-04T16:38:00Z</dcterms:created>
  <dcterms:modified xsi:type="dcterms:W3CDTF">2022-10-18T14:23:00Z</dcterms:modified>
</cp:coreProperties>
</file>