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01D82" w:rsidTr="00EB4E9C">
        <w:tc>
          <w:tcPr>
            <w:tcW w:w="6522" w:type="dxa"/>
          </w:tcPr>
          <w:p w:rsidR="00DC3802" w:rsidRPr="00801D82" w:rsidRDefault="00DC3802" w:rsidP="00AC2883">
            <w:r w:rsidRPr="00801D82">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01D82" w:rsidRDefault="00856D0A" w:rsidP="00856D0A">
            <w:pPr>
              <w:pStyle w:val="Lettrine"/>
            </w:pPr>
            <w:r w:rsidRPr="00801D82">
              <w:t>F</w:t>
            </w:r>
          </w:p>
        </w:tc>
      </w:tr>
      <w:tr w:rsidR="00DC3802" w:rsidRPr="00801D82" w:rsidTr="00645CA8">
        <w:trPr>
          <w:trHeight w:val="219"/>
        </w:trPr>
        <w:tc>
          <w:tcPr>
            <w:tcW w:w="6522" w:type="dxa"/>
          </w:tcPr>
          <w:p w:rsidR="00DC3802" w:rsidRPr="00801D82" w:rsidRDefault="00856D0A" w:rsidP="00AC2883">
            <w:pPr>
              <w:pStyle w:val="upove"/>
            </w:pPr>
            <w:r w:rsidRPr="00801D82">
              <w:t>Union internationale pour la protection des obtentions végétales</w:t>
            </w:r>
          </w:p>
        </w:tc>
        <w:tc>
          <w:tcPr>
            <w:tcW w:w="3117" w:type="dxa"/>
          </w:tcPr>
          <w:p w:rsidR="00DC3802" w:rsidRPr="00801D82" w:rsidRDefault="00DC3802" w:rsidP="00DA4973"/>
        </w:tc>
      </w:tr>
    </w:tbl>
    <w:p w:rsidR="00DC3802" w:rsidRPr="00801D82" w:rsidRDefault="00DC3802" w:rsidP="00DC3802"/>
    <w:p w:rsidR="003D0839" w:rsidRPr="00801D82"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801D82" w:rsidTr="007A4FDD">
        <w:tc>
          <w:tcPr>
            <w:tcW w:w="6512" w:type="dxa"/>
          </w:tcPr>
          <w:p w:rsidR="003D0839" w:rsidRPr="00801D82" w:rsidRDefault="003D0839" w:rsidP="007A4FDD">
            <w:pPr>
              <w:pStyle w:val="Sessiontc"/>
              <w:spacing w:line="240" w:lineRule="auto"/>
            </w:pPr>
            <w:r w:rsidRPr="00801D82">
              <w:t>Comité technique</w:t>
            </w:r>
          </w:p>
          <w:p w:rsidR="003D0839" w:rsidRPr="00801D82" w:rsidRDefault="00856D0A" w:rsidP="00856D0A">
            <w:pPr>
              <w:pStyle w:val="Sessiontcplacedate"/>
              <w:rPr>
                <w:sz w:val="22"/>
              </w:rPr>
            </w:pPr>
            <w:r w:rsidRPr="00801D82">
              <w:t>Cinquante</w:t>
            </w:r>
            <w:r w:rsidR="00EF1C79" w:rsidRPr="00801D82">
              <w:t>-</w:t>
            </w:r>
            <w:r w:rsidRPr="00801D82">
              <w:t>huit</w:t>
            </w:r>
            <w:r w:rsidR="00EF1C79" w:rsidRPr="00801D82">
              <w:t>ième session</w:t>
            </w:r>
            <w:r w:rsidRPr="00801D82">
              <w:br/>
              <w:t>Genève, 24 et 2</w:t>
            </w:r>
            <w:r w:rsidR="00EF1C79" w:rsidRPr="00801D82">
              <w:t>5 octobre</w:t>
            </w:r>
            <w:r w:rsidRPr="00801D82">
              <w:t> 2022</w:t>
            </w:r>
          </w:p>
        </w:tc>
        <w:tc>
          <w:tcPr>
            <w:tcW w:w="3127" w:type="dxa"/>
          </w:tcPr>
          <w:p w:rsidR="003D0839" w:rsidRPr="00801D82" w:rsidRDefault="003D0839" w:rsidP="007A4FDD">
            <w:pPr>
              <w:pStyle w:val="Doccode"/>
            </w:pPr>
            <w:r w:rsidRPr="00801D82">
              <w:t>TC/58/3</w:t>
            </w:r>
          </w:p>
          <w:p w:rsidR="003D0839" w:rsidRPr="00801D82" w:rsidRDefault="003D0839" w:rsidP="007A4FDD">
            <w:pPr>
              <w:pStyle w:val="Docoriginal"/>
            </w:pPr>
            <w:r w:rsidRPr="00801D82">
              <w:t>Original</w:t>
            </w:r>
            <w:r w:rsidR="00EF1C79" w:rsidRPr="00801D82">
              <w:t> :</w:t>
            </w:r>
            <w:r w:rsidRPr="00801D82">
              <w:rPr>
                <w:b w:val="0"/>
              </w:rPr>
              <w:t xml:space="preserve"> anglais</w:t>
            </w:r>
          </w:p>
          <w:p w:rsidR="003D0839" w:rsidRPr="00801D82" w:rsidRDefault="003D0839" w:rsidP="00856D0A">
            <w:pPr>
              <w:pStyle w:val="Docoriginal"/>
            </w:pPr>
            <w:r w:rsidRPr="00801D82">
              <w:t>Date</w:t>
            </w:r>
            <w:r w:rsidR="00EF1C79" w:rsidRPr="00801D82">
              <w:t> :</w:t>
            </w:r>
            <w:r w:rsidRPr="00801D82">
              <w:rPr>
                <w:b w:val="0"/>
              </w:rPr>
              <w:t xml:space="preserve"> 5 octobre 2022</w:t>
            </w:r>
          </w:p>
        </w:tc>
      </w:tr>
    </w:tbl>
    <w:p w:rsidR="00856D0A" w:rsidRPr="00801D82" w:rsidRDefault="00856D0A" w:rsidP="00856D0A">
      <w:pPr>
        <w:pStyle w:val="Titleofdoc0"/>
      </w:pPr>
      <w:r w:rsidRPr="00801D82">
        <w:t>Questions découlant des travaux des groupes de travail techniques</w:t>
      </w:r>
    </w:p>
    <w:p w:rsidR="00856D0A" w:rsidRPr="00801D82" w:rsidRDefault="00856D0A" w:rsidP="00856D0A">
      <w:pPr>
        <w:pStyle w:val="preparedby1"/>
        <w:jc w:val="left"/>
      </w:pPr>
      <w:r w:rsidRPr="00801D82">
        <w:t>Document établi par le Bureau de l</w:t>
      </w:r>
      <w:r w:rsidR="00EF1C79" w:rsidRPr="00801D82">
        <w:t>’</w:t>
      </w:r>
      <w:r w:rsidRPr="00801D82">
        <w:t>Union</w:t>
      </w:r>
    </w:p>
    <w:p w:rsidR="00856D0A" w:rsidRPr="00801D82" w:rsidRDefault="00856D0A" w:rsidP="00856D0A">
      <w:pPr>
        <w:pStyle w:val="Disclaimer"/>
      </w:pPr>
      <w:r w:rsidRPr="00801D82">
        <w:t>Avertissement</w:t>
      </w:r>
      <w:r w:rsidR="00EF1C79" w:rsidRPr="00801D82">
        <w:t> :</w:t>
      </w:r>
      <w:r w:rsidRPr="00801D82">
        <w:t xml:space="preserve"> le présent document ne représente pas les principes ou les orientations de l</w:t>
      </w:r>
      <w:r w:rsidR="00EF1C79" w:rsidRPr="00801D82">
        <w:t>’</w:t>
      </w:r>
      <w:r w:rsidRPr="00801D82">
        <w:t>UPOV</w:t>
      </w:r>
    </w:p>
    <w:p w:rsidR="00856D0A" w:rsidRPr="00801D82" w:rsidRDefault="00856D0A" w:rsidP="00856D0A">
      <w:pPr>
        <w:pStyle w:val="Heading1"/>
      </w:pPr>
      <w:bookmarkStart w:id="0" w:name="_Toc54200135"/>
      <w:bookmarkStart w:id="1" w:name="_Toc116914904"/>
      <w:r w:rsidRPr="00801D82">
        <w:t>R</w:t>
      </w:r>
      <w:r w:rsidR="00801D82">
        <w:t>ésumé</w:t>
      </w:r>
      <w:bookmarkEnd w:id="0"/>
      <w:bookmarkEnd w:id="1"/>
    </w:p>
    <w:p w:rsidR="008301C2" w:rsidRPr="00801D82" w:rsidRDefault="008301C2" w:rsidP="008301C2">
      <w:pPr>
        <w:rPr>
          <w:color w:val="000000"/>
        </w:rPr>
      </w:pPr>
    </w:p>
    <w:p w:rsidR="00EF1C79" w:rsidRPr="00801D82" w:rsidRDefault="008301C2" w:rsidP="008301C2">
      <w:pPr>
        <w:rPr>
          <w:color w:val="000000"/>
        </w:rPr>
      </w:pPr>
      <w:r w:rsidRPr="00801D82">
        <w:rPr>
          <w:color w:val="000000"/>
        </w:rPr>
        <w:fldChar w:fldCharType="begin"/>
      </w:r>
      <w:r w:rsidRPr="00801D82">
        <w:rPr>
          <w:color w:val="000000"/>
        </w:rPr>
        <w:instrText xml:space="preserve"> AUTONUM  </w:instrText>
      </w:r>
      <w:r w:rsidRPr="00801D82">
        <w:rPr>
          <w:color w:val="000000"/>
        </w:rPr>
        <w:fldChar w:fldCharType="end"/>
      </w:r>
      <w:r w:rsidRPr="00801D82">
        <w:rPr>
          <w:color w:val="000000"/>
        </w:rPr>
        <w:tab/>
        <w:t xml:space="preserve">Le présent document rassemble les questions qui ne </w:t>
      </w:r>
      <w:r w:rsidR="00375FEC" w:rsidRPr="00801D82">
        <w:rPr>
          <w:color w:val="000000"/>
        </w:rPr>
        <w:t>relèvent pas expressément de points précis</w:t>
      </w:r>
      <w:r w:rsidR="00375FEC" w:rsidRPr="00801D82" w:rsidDel="00375FEC">
        <w:rPr>
          <w:color w:val="000000"/>
        </w:rPr>
        <w:t xml:space="preserve"> </w:t>
      </w:r>
      <w:r w:rsidRPr="00801D82">
        <w:rPr>
          <w:color w:val="000000"/>
        </w:rPr>
        <w:t>de l</w:t>
      </w:r>
      <w:r w:rsidR="00EF1C79" w:rsidRPr="00801D82">
        <w:rPr>
          <w:color w:val="000000"/>
        </w:rPr>
        <w:t>’</w:t>
      </w:r>
      <w:r w:rsidRPr="00801D82">
        <w:rPr>
          <w:color w:val="000000"/>
        </w:rPr>
        <w:t xml:space="preserve">ordre du jour découlant des sessions 2022 du </w:t>
      </w:r>
      <w:r w:rsidRPr="00801D82">
        <w:t>Groupe de travail technique sur les plantes potagères (TWV)</w:t>
      </w:r>
      <w:r w:rsidRPr="00801D82">
        <w:rPr>
          <w:rFonts w:eastAsia="PMingLiU"/>
          <w:szCs w:val="24"/>
          <w:vertAlign w:val="superscript"/>
        </w:rPr>
        <w:footnoteReference w:id="2"/>
      </w:r>
      <w:r w:rsidRPr="00801D82">
        <w:t>, du Groupe de travail technique sur les plantes agricoles (TWA)</w:t>
      </w:r>
      <w:r w:rsidRPr="00801D82">
        <w:rPr>
          <w:rFonts w:eastAsia="PMingLiU"/>
          <w:szCs w:val="24"/>
          <w:vertAlign w:val="superscript"/>
        </w:rPr>
        <w:footnoteReference w:id="3"/>
      </w:r>
      <w:r w:rsidRPr="00801D82">
        <w:t>,</w:t>
      </w:r>
      <w:r w:rsidRPr="00801D82">
        <w:rPr>
          <w:color w:val="000000"/>
        </w:rPr>
        <w:t xml:space="preserve"> </w:t>
      </w:r>
      <w:r w:rsidRPr="00801D82">
        <w:t>du Groupe de travail technique sur les plantes ornementales et les arbres forestiers (TWO)</w:t>
      </w:r>
      <w:r w:rsidR="00D14633" w:rsidRPr="00801D82">
        <w:rPr>
          <w:rFonts w:eastAsia="PMingLiU"/>
          <w:szCs w:val="24"/>
          <w:vertAlign w:val="superscript"/>
        </w:rPr>
        <w:footnoteReference w:id="4"/>
      </w:r>
      <w:r w:rsidRPr="00801D82">
        <w:t>, du Groupe de travail technique sur les plantes fruitières</w:t>
      </w:r>
      <w:r w:rsidRPr="00801D82">
        <w:rPr>
          <w:color w:val="000000"/>
        </w:rPr>
        <w:t xml:space="preserve"> (TWF)</w:t>
      </w:r>
      <w:r w:rsidRPr="00801D82">
        <w:rPr>
          <w:color w:val="000000"/>
          <w:vertAlign w:val="superscript"/>
        </w:rPr>
        <w:footnoteReference w:id="5"/>
      </w:r>
      <w:r w:rsidRPr="00801D82">
        <w:rPr>
          <w:color w:val="000000"/>
        </w:rPr>
        <w:t xml:space="preserve"> et du Groupe de travail technique sur les méthodes et techniques d</w:t>
      </w:r>
      <w:r w:rsidR="00EF1C79" w:rsidRPr="00801D82">
        <w:rPr>
          <w:color w:val="000000"/>
        </w:rPr>
        <w:t>’</w:t>
      </w:r>
      <w:r w:rsidRPr="00801D82">
        <w:rPr>
          <w:color w:val="000000"/>
        </w:rPr>
        <w:t>essai (TWM).</w:t>
      </w:r>
    </w:p>
    <w:p w:rsidR="00BD022B" w:rsidRPr="00801D82" w:rsidRDefault="00BD022B" w:rsidP="008301C2">
      <w:pPr>
        <w:rPr>
          <w:color w:val="000000"/>
        </w:rPr>
      </w:pPr>
    </w:p>
    <w:p w:rsidR="00245B08" w:rsidRPr="00801D82" w:rsidRDefault="008301C2" w:rsidP="00245B08">
      <w:r w:rsidRPr="00801D82">
        <w:rPr>
          <w:color w:val="000000"/>
        </w:rPr>
        <w:fldChar w:fldCharType="begin"/>
      </w:r>
      <w:r w:rsidRPr="00801D82">
        <w:rPr>
          <w:color w:val="000000"/>
        </w:rPr>
        <w:instrText xml:space="preserve"> AUTONUM  </w:instrText>
      </w:r>
      <w:r w:rsidRPr="00801D82">
        <w:rPr>
          <w:color w:val="000000"/>
        </w:rPr>
        <w:fldChar w:fldCharType="end"/>
      </w:r>
      <w:r w:rsidRPr="00801D82">
        <w:rPr>
          <w:color w:val="000000"/>
        </w:rPr>
        <w:tab/>
        <w:t xml:space="preserve">Les questions des groupes de travail techniques </w:t>
      </w:r>
      <w:r w:rsidRPr="00801D82">
        <w:t xml:space="preserve">(TWP) </w:t>
      </w:r>
      <w:r w:rsidRPr="00801D82">
        <w:rPr>
          <w:color w:val="000000"/>
        </w:rPr>
        <w:t>sont regroupées en deux parti</w:t>
      </w:r>
      <w:r w:rsidR="009B376D" w:rsidRPr="00801D82">
        <w:rPr>
          <w:color w:val="000000"/>
        </w:rPr>
        <w:t xml:space="preserve">es.  </w:t>
      </w:r>
      <w:r w:rsidR="009B376D" w:rsidRPr="00801D82">
        <w:t>La</w:t>
      </w:r>
      <w:r w:rsidRPr="00801D82">
        <w:t xml:space="preserve"> première, intitulée “Questions pour information et décision éventuelle du Comité technique (TC)</w:t>
      </w:r>
      <w:r w:rsidRPr="00801D82">
        <w:rPr>
          <w:caps/>
        </w:rPr>
        <w:t>”,</w:t>
      </w:r>
      <w:r w:rsidRPr="00801D82">
        <w:t xml:space="preserve"> recense les questions qui peuvent nécessiter une prise de décision par le</w:t>
      </w:r>
      <w:r w:rsidR="00EF1C79" w:rsidRPr="00801D82">
        <w:t> TC</w:t>
      </w:r>
      <w:r w:rsidRPr="00801D82">
        <w:t>.  Le Bureau de l</w:t>
      </w:r>
      <w:r w:rsidR="00EF1C79" w:rsidRPr="00801D82">
        <w:t>’</w:t>
      </w:r>
      <w:r w:rsidRPr="00801D82">
        <w:t>Union (ci</w:t>
      </w:r>
      <w:r w:rsidR="00EF1C79" w:rsidRPr="00801D82">
        <w:t>-</w:t>
      </w:r>
      <w:r w:rsidRPr="00801D82">
        <w:t>après dénommé “Bureau”) a précisé les questions au sujet desquelles le</w:t>
      </w:r>
      <w:r w:rsidR="00EF1C79" w:rsidRPr="00801D82">
        <w:t> TC</w:t>
      </w:r>
      <w:r w:rsidRPr="00801D82">
        <w:t xml:space="preserve"> peut souhaiter prendre une décision en présentant un paragraphe contenant une proposition de décisi</w:t>
      </w:r>
      <w:r w:rsidR="009B376D" w:rsidRPr="00801D82">
        <w:t>on.  La</w:t>
      </w:r>
      <w:r w:rsidRPr="00801D82">
        <w:t xml:space="preserve"> seconde partie, intitulée “Questions pour information”, est communiquée pour information au</w:t>
      </w:r>
      <w:r w:rsidR="00EF1C79" w:rsidRPr="00801D82">
        <w:t> TC</w:t>
      </w:r>
      <w:r w:rsidRPr="00801D82">
        <w:t>, mais n</w:t>
      </w:r>
      <w:r w:rsidR="00EF1C79" w:rsidRPr="00801D82">
        <w:t>’</w:t>
      </w:r>
      <w:r w:rsidRPr="00801D82">
        <w:t>appelle pas de décision à ce stade.</w:t>
      </w:r>
    </w:p>
    <w:p w:rsidR="00245B08" w:rsidRPr="00801D82" w:rsidRDefault="00245B08" w:rsidP="00245B08">
      <w:pPr>
        <w:tabs>
          <w:tab w:val="left" w:pos="567"/>
          <w:tab w:val="left" w:pos="1701"/>
        </w:tabs>
        <w:ind w:left="1695" w:hanging="1695"/>
        <w:rPr>
          <w:rFonts w:eastAsia="PMingLiU"/>
          <w:szCs w:val="24"/>
        </w:rPr>
      </w:pPr>
    </w:p>
    <w:p w:rsidR="00245B08" w:rsidRPr="00801D82" w:rsidRDefault="00245B08" w:rsidP="00245B08">
      <w:pPr>
        <w:tabs>
          <w:tab w:val="left" w:pos="567"/>
        </w:tabs>
      </w:pPr>
      <w:r w:rsidRPr="00801D82">
        <w:fldChar w:fldCharType="begin"/>
      </w:r>
      <w:r w:rsidRPr="00801D82">
        <w:instrText xml:space="preserve"> AUTONUM  </w:instrText>
      </w:r>
      <w:r w:rsidRPr="00801D82">
        <w:fldChar w:fldCharType="end"/>
      </w:r>
      <w:r w:rsidRPr="00801D82">
        <w:tab/>
        <w:t>Le</w:t>
      </w:r>
      <w:r w:rsidR="00EF1C79" w:rsidRPr="00801D82">
        <w:t> TC</w:t>
      </w:r>
      <w:r w:rsidRPr="00801D82">
        <w:t xml:space="preserve"> est invité à prendre note des faits nouveaux intervenus au sein des groupes de travail techniques concernant les points suivants</w:t>
      </w:r>
      <w:r w:rsidR="00EF1C79" w:rsidRPr="00801D82">
        <w:t> :</w:t>
      </w:r>
    </w:p>
    <w:p w:rsidR="008301C2" w:rsidRPr="00801D82" w:rsidRDefault="008301C2" w:rsidP="00245B08"/>
    <w:p w:rsidR="008301C2" w:rsidRPr="00801D82" w:rsidRDefault="008301C2" w:rsidP="008301C2">
      <w:pPr>
        <w:tabs>
          <w:tab w:val="left" w:pos="1701"/>
        </w:tabs>
        <w:ind w:left="1134" w:hanging="567"/>
      </w:pPr>
      <w:r w:rsidRPr="00801D82">
        <w:t>i)</w:t>
      </w:r>
      <w:r w:rsidRPr="00801D82">
        <w:tab/>
        <w:t>Informations nécessaires pour améliorer l</w:t>
      </w:r>
      <w:r w:rsidR="00EF1C79" w:rsidRPr="00801D82">
        <w:t>’</w:t>
      </w:r>
      <w:r w:rsidRPr="00801D82">
        <w:t>utilisation des rapports d</w:t>
      </w:r>
      <w:r w:rsidR="00EF1C79" w:rsidRPr="00801D82">
        <w:t>’</w:t>
      </w:r>
      <w:r w:rsidRPr="00801D82">
        <w:t>examen DHS existants;</w:t>
      </w:r>
    </w:p>
    <w:p w:rsidR="008301C2" w:rsidRPr="00801D82" w:rsidRDefault="008301C2" w:rsidP="008301C2">
      <w:pPr>
        <w:tabs>
          <w:tab w:val="left" w:pos="1701"/>
        </w:tabs>
        <w:ind w:left="1134" w:hanging="567"/>
      </w:pPr>
      <w:r w:rsidRPr="00801D82">
        <w:t>ii)</w:t>
      </w:r>
      <w:r w:rsidRPr="00801D82">
        <w:tab/>
        <w:t>Examen DHS des variétés mutantes du pommier;</w:t>
      </w:r>
    </w:p>
    <w:p w:rsidR="008301C2" w:rsidRPr="00801D82" w:rsidRDefault="008301C2" w:rsidP="008301C2">
      <w:pPr>
        <w:tabs>
          <w:tab w:val="left" w:pos="1701"/>
        </w:tabs>
        <w:ind w:left="1134" w:hanging="567"/>
      </w:pPr>
      <w:r w:rsidRPr="00801D82">
        <w:t>iii)</w:t>
      </w:r>
      <w:r w:rsidRPr="00801D82">
        <w:tab/>
        <w:t>Accès au matériel végétal aux fins de la gestion des collections de variétés et de l</w:t>
      </w:r>
      <w:r w:rsidR="00EF1C79" w:rsidRPr="00801D82">
        <w:t>’</w:t>
      </w:r>
      <w:r w:rsidRPr="00801D82">
        <w:t>examen DHS;</w:t>
      </w:r>
    </w:p>
    <w:p w:rsidR="008301C2" w:rsidRPr="00801D82" w:rsidRDefault="008301C2" w:rsidP="008301C2">
      <w:pPr>
        <w:tabs>
          <w:tab w:val="left" w:pos="1701"/>
        </w:tabs>
        <w:ind w:left="1134" w:hanging="567"/>
      </w:pPr>
      <w:r w:rsidRPr="00801D82">
        <w:t>iv)</w:t>
      </w:r>
      <w:r w:rsidRPr="00801D82">
        <w:tab/>
        <w:t>Utilisation de caractères de résistance aux maladies;</w:t>
      </w:r>
    </w:p>
    <w:p w:rsidR="008301C2" w:rsidRPr="00801D82" w:rsidRDefault="008301C2" w:rsidP="008301C2">
      <w:pPr>
        <w:tabs>
          <w:tab w:val="left" w:pos="1701"/>
        </w:tabs>
        <w:ind w:left="1134" w:hanging="567"/>
      </w:pPr>
      <w:r w:rsidRPr="00801D82">
        <w:t>v)</w:t>
      </w:r>
      <w:r w:rsidRPr="00801D82">
        <w:tab/>
        <w:t>Résistance aux maladies dans les cultures ornementales;</w:t>
      </w:r>
    </w:p>
    <w:p w:rsidR="008301C2" w:rsidRPr="00801D82" w:rsidRDefault="008301C2" w:rsidP="008301C2">
      <w:pPr>
        <w:tabs>
          <w:tab w:val="left" w:pos="1701"/>
        </w:tabs>
        <w:ind w:left="1134" w:hanging="567"/>
      </w:pPr>
      <w:r w:rsidRPr="00801D82">
        <w:t>vi)</w:t>
      </w:r>
      <w:r w:rsidRPr="00801D82">
        <w:tab/>
      </w:r>
      <w:r w:rsidRPr="00801D82">
        <w:rPr>
          <w:snapToGrid w:val="0"/>
        </w:rPr>
        <w:t>Nouvelles questions se posant pour l</w:t>
      </w:r>
      <w:r w:rsidR="00EF1C79" w:rsidRPr="00801D82">
        <w:rPr>
          <w:snapToGrid w:val="0"/>
        </w:rPr>
        <w:t>’</w:t>
      </w:r>
      <w:r w:rsidRPr="00801D82">
        <w:rPr>
          <w:snapToGrid w:val="0"/>
        </w:rPr>
        <w:t>examen DHS</w:t>
      </w:r>
      <w:r w:rsidRPr="00801D82">
        <w:t>;</w:t>
      </w:r>
    </w:p>
    <w:p w:rsidR="008301C2" w:rsidRPr="00801D82" w:rsidRDefault="008301C2" w:rsidP="008301C2">
      <w:pPr>
        <w:tabs>
          <w:tab w:val="left" w:pos="1701"/>
        </w:tabs>
        <w:ind w:left="1134" w:hanging="567"/>
      </w:pPr>
      <w:r w:rsidRPr="00801D82">
        <w:t>vii)</w:t>
      </w:r>
      <w:r w:rsidRPr="00801D82">
        <w:tab/>
        <w:t>Expériences avec de nouveaux types et de nouvelles espèces;</w:t>
      </w:r>
    </w:p>
    <w:p w:rsidR="00EF1C79" w:rsidRPr="00801D82" w:rsidRDefault="008301C2" w:rsidP="008301C2">
      <w:pPr>
        <w:tabs>
          <w:tab w:val="left" w:pos="1701"/>
        </w:tabs>
        <w:ind w:left="1134" w:hanging="567"/>
      </w:pPr>
      <w:r w:rsidRPr="00801D82">
        <w:t>viii)</w:t>
      </w:r>
      <w:r w:rsidRPr="00801D82">
        <w:tab/>
        <w:t>Examen des variétés hybrides;</w:t>
      </w:r>
    </w:p>
    <w:p w:rsidR="00DB49C6" w:rsidRPr="00801D82" w:rsidRDefault="008301C2" w:rsidP="008301C2">
      <w:pPr>
        <w:tabs>
          <w:tab w:val="left" w:pos="1701"/>
        </w:tabs>
        <w:ind w:left="1134" w:hanging="567"/>
      </w:pPr>
      <w:r w:rsidRPr="00801D82">
        <w:t>ix)</w:t>
      </w:r>
      <w:r w:rsidRPr="00801D82">
        <w:tab/>
        <w:t>Nouvelles technologies en matière d</w:t>
      </w:r>
      <w:r w:rsidR="00EF1C79" w:rsidRPr="00801D82">
        <w:t>’</w:t>
      </w:r>
      <w:r w:rsidRPr="00801D82">
        <w:t>examen DHS;</w:t>
      </w:r>
    </w:p>
    <w:p w:rsidR="00DB49C6" w:rsidRPr="00801D82" w:rsidRDefault="00DB49C6" w:rsidP="008301C2">
      <w:pPr>
        <w:tabs>
          <w:tab w:val="left" w:pos="1701"/>
        </w:tabs>
        <w:ind w:left="1134" w:hanging="567"/>
      </w:pPr>
      <w:r w:rsidRPr="00801D82">
        <w:t>x)</w:t>
      </w:r>
      <w:r w:rsidRPr="00801D82">
        <w:tab/>
        <w:t xml:space="preserve">Plateforme de </w:t>
      </w:r>
      <w:proofErr w:type="spellStart"/>
      <w:r w:rsidRPr="00801D82">
        <w:t>mégadonnées</w:t>
      </w:r>
      <w:proofErr w:type="spellEnd"/>
      <w:r w:rsidRPr="00801D82">
        <w:t xml:space="preserve"> pour l</w:t>
      </w:r>
      <w:r w:rsidR="00EF1C79" w:rsidRPr="00801D82">
        <w:t>’</w:t>
      </w:r>
      <w:r w:rsidRPr="00801D82">
        <w:t>examen DHS;</w:t>
      </w:r>
    </w:p>
    <w:p w:rsidR="008301C2" w:rsidRPr="00801D82" w:rsidRDefault="00DB49C6" w:rsidP="008301C2">
      <w:pPr>
        <w:tabs>
          <w:tab w:val="left" w:pos="1701"/>
        </w:tabs>
        <w:ind w:left="1134" w:hanging="567"/>
      </w:pPr>
      <w:r w:rsidRPr="00801D82">
        <w:t>xi)</w:t>
      </w:r>
      <w:r w:rsidRPr="00801D82">
        <w:tab/>
        <w:t>L</w:t>
      </w:r>
      <w:r w:rsidR="00EF1C79" w:rsidRPr="00801D82">
        <w:t>’</w:t>
      </w:r>
      <w:r w:rsidRPr="00801D82">
        <w:t xml:space="preserve">évaluation de la couleur dans les plantes fruitières; </w:t>
      </w:r>
      <w:r w:rsidR="00E32799" w:rsidRPr="00801D82">
        <w:t xml:space="preserve"> </w:t>
      </w:r>
      <w:r w:rsidRPr="00801D82">
        <w:t>et</w:t>
      </w:r>
    </w:p>
    <w:p w:rsidR="00DB49C6" w:rsidRPr="00801D82" w:rsidRDefault="00DB49C6" w:rsidP="008301C2">
      <w:pPr>
        <w:tabs>
          <w:tab w:val="left" w:pos="1701"/>
        </w:tabs>
        <w:ind w:left="1134" w:hanging="567"/>
      </w:pPr>
      <w:r w:rsidRPr="00801D82">
        <w:t>xii)</w:t>
      </w:r>
      <w:r w:rsidRPr="00801D82">
        <w:tab/>
        <w:t>Établissement de phénotypes et analyse d</w:t>
      </w:r>
      <w:r w:rsidR="00EF1C79" w:rsidRPr="00801D82">
        <w:t>’</w:t>
      </w:r>
      <w:r w:rsidRPr="00801D82">
        <w:t>images.</w:t>
      </w:r>
    </w:p>
    <w:p w:rsidR="008301C2" w:rsidRPr="00801D82" w:rsidRDefault="008301C2" w:rsidP="008301C2">
      <w:pPr>
        <w:tabs>
          <w:tab w:val="left" w:pos="1701"/>
        </w:tabs>
        <w:rPr>
          <w:rFonts w:cs="Arial"/>
        </w:rPr>
      </w:pPr>
    </w:p>
    <w:p w:rsidR="00245B08" w:rsidRPr="00801D82" w:rsidRDefault="008301C2" w:rsidP="00245B08">
      <w:pPr>
        <w:keepNext/>
        <w:rPr>
          <w:color w:val="000000"/>
        </w:rPr>
      </w:pPr>
      <w:r w:rsidRPr="00801D82">
        <w:rPr>
          <w:color w:val="000000"/>
        </w:rPr>
        <w:fldChar w:fldCharType="begin"/>
      </w:r>
      <w:r w:rsidRPr="00801D82">
        <w:rPr>
          <w:color w:val="000000"/>
        </w:rPr>
        <w:instrText xml:space="preserve"> AUTONUM  </w:instrText>
      </w:r>
      <w:r w:rsidRPr="00801D82">
        <w:rPr>
          <w:color w:val="000000"/>
        </w:rPr>
        <w:fldChar w:fldCharType="end"/>
      </w:r>
      <w:r w:rsidRPr="00801D82">
        <w:rPr>
          <w:color w:val="000000"/>
        </w:rPr>
        <w:tab/>
      </w:r>
      <w:r w:rsidRPr="00801D82">
        <w:t>Les abréviations suivantes sont utilisées dans le présent document</w:t>
      </w:r>
      <w:r w:rsidR="00EF1C79" w:rsidRPr="00801D82">
        <w:t> :</w:t>
      </w:r>
    </w:p>
    <w:p w:rsidR="008301C2" w:rsidRPr="00801D82" w:rsidRDefault="008301C2" w:rsidP="008301C2">
      <w:pPr>
        <w:keepNext/>
        <w:ind w:left="1692" w:hanging="1125"/>
        <w:jc w:val="left"/>
        <w:rPr>
          <w:color w:val="000000"/>
        </w:rPr>
      </w:pPr>
    </w:p>
    <w:p w:rsidR="00245B08" w:rsidRPr="00801D82" w:rsidRDefault="00245B08" w:rsidP="00245B08">
      <w:pPr>
        <w:keepNext/>
        <w:tabs>
          <w:tab w:val="left" w:pos="567"/>
          <w:tab w:val="left" w:pos="1701"/>
        </w:tabs>
      </w:pPr>
      <w:r w:rsidRPr="00801D82">
        <w:tab/>
        <w:t>CAJ</w:t>
      </w:r>
      <w:r w:rsidR="00EF1C79" w:rsidRPr="00801D82">
        <w:t> :</w:t>
      </w:r>
      <w:r w:rsidRPr="00801D82">
        <w:t xml:space="preserve"> </w:t>
      </w:r>
      <w:r w:rsidRPr="00801D82">
        <w:tab/>
        <w:t>Comité administratif et juridique</w:t>
      </w:r>
    </w:p>
    <w:p w:rsidR="00245B08" w:rsidRPr="00801D82" w:rsidRDefault="00245B08" w:rsidP="00245B08">
      <w:pPr>
        <w:keepNext/>
        <w:tabs>
          <w:tab w:val="left" w:pos="567"/>
          <w:tab w:val="left" w:pos="1701"/>
        </w:tabs>
      </w:pPr>
      <w:r w:rsidRPr="00801D82">
        <w:tab/>
        <w:t>TC</w:t>
      </w:r>
      <w:r w:rsidR="00EF1C79" w:rsidRPr="00801D82">
        <w:t> :</w:t>
      </w:r>
      <w:r w:rsidRPr="00801D82">
        <w:t xml:space="preserve"> </w:t>
      </w:r>
      <w:r w:rsidRPr="00801D82">
        <w:tab/>
        <w:t>Comité technique</w:t>
      </w:r>
    </w:p>
    <w:p w:rsidR="00245B08" w:rsidRPr="00801D82" w:rsidRDefault="00245B08" w:rsidP="00245B08">
      <w:pPr>
        <w:keepNext/>
        <w:tabs>
          <w:tab w:val="left" w:pos="567"/>
          <w:tab w:val="left" w:pos="1701"/>
        </w:tabs>
        <w:rPr>
          <w:rFonts w:eastAsia="PMingLiU"/>
          <w:szCs w:val="24"/>
        </w:rPr>
      </w:pPr>
      <w:r w:rsidRPr="00801D82">
        <w:tab/>
        <w:t>TC</w:t>
      </w:r>
      <w:r w:rsidR="00EF1C79" w:rsidRPr="00801D82">
        <w:t>-</w:t>
      </w:r>
      <w:r w:rsidRPr="00801D82">
        <w:t>EDC</w:t>
      </w:r>
      <w:r w:rsidR="00EF1C79" w:rsidRPr="00801D82">
        <w:t> :</w:t>
      </w:r>
      <w:r w:rsidRPr="00801D82">
        <w:t xml:space="preserve"> </w:t>
      </w:r>
      <w:r w:rsidRPr="00801D82">
        <w:tab/>
        <w:t>Comité de rédaction élargi</w:t>
      </w:r>
    </w:p>
    <w:p w:rsidR="00245B08" w:rsidRPr="00801D82" w:rsidRDefault="00245B08" w:rsidP="00245B08">
      <w:pPr>
        <w:keepNext/>
        <w:tabs>
          <w:tab w:val="left" w:pos="567"/>
          <w:tab w:val="left" w:pos="1701"/>
        </w:tabs>
        <w:rPr>
          <w:rFonts w:eastAsia="PMingLiU"/>
          <w:szCs w:val="24"/>
        </w:rPr>
      </w:pPr>
      <w:r w:rsidRPr="00801D82">
        <w:tab/>
        <w:t>TWA</w:t>
      </w:r>
      <w:r w:rsidR="00EF1C79" w:rsidRPr="00801D82">
        <w:t> :</w:t>
      </w:r>
      <w:r w:rsidRPr="00801D82">
        <w:t xml:space="preserve"> </w:t>
      </w:r>
      <w:r w:rsidRPr="00801D82">
        <w:tab/>
        <w:t>Groupe de travail technique sur les plantes agricoles</w:t>
      </w:r>
    </w:p>
    <w:p w:rsidR="00245B08" w:rsidRPr="00801D82" w:rsidRDefault="00245B08" w:rsidP="00801D82">
      <w:pPr>
        <w:tabs>
          <w:tab w:val="left" w:pos="567"/>
          <w:tab w:val="left" w:pos="1701"/>
        </w:tabs>
        <w:ind w:left="1701" w:hanging="1701"/>
        <w:rPr>
          <w:rFonts w:eastAsia="PMingLiU"/>
          <w:szCs w:val="24"/>
        </w:rPr>
      </w:pPr>
      <w:r w:rsidRPr="00801D82">
        <w:tab/>
        <w:t>TWC</w:t>
      </w:r>
      <w:r w:rsidR="00EF1C79" w:rsidRPr="00801D82">
        <w:t> :</w:t>
      </w:r>
      <w:r w:rsidRPr="00801D82">
        <w:t xml:space="preserve"> </w:t>
      </w:r>
      <w:r w:rsidRPr="00801D82">
        <w:tab/>
        <w:t>Groupe de travail technique sur les systèmes d</w:t>
      </w:r>
      <w:r w:rsidR="00EF1C79" w:rsidRPr="00801D82">
        <w:t>’</w:t>
      </w:r>
      <w:r w:rsidRPr="00801D82">
        <w:t>automatisation et les programmes d</w:t>
      </w:r>
      <w:r w:rsidR="00EF1C79" w:rsidRPr="00801D82">
        <w:t>’</w:t>
      </w:r>
      <w:r w:rsidRPr="00801D82">
        <w:t>ordinateur</w:t>
      </w:r>
    </w:p>
    <w:p w:rsidR="00245B08" w:rsidRPr="00801D82" w:rsidRDefault="00245B08" w:rsidP="00801D82">
      <w:pPr>
        <w:tabs>
          <w:tab w:val="left" w:pos="567"/>
          <w:tab w:val="left" w:pos="1701"/>
        </w:tabs>
        <w:rPr>
          <w:rFonts w:eastAsia="PMingLiU"/>
          <w:szCs w:val="24"/>
        </w:rPr>
      </w:pPr>
      <w:r w:rsidRPr="00801D82">
        <w:tab/>
        <w:t>TWF</w:t>
      </w:r>
      <w:r w:rsidR="00EF1C79" w:rsidRPr="00801D82">
        <w:t> :</w:t>
      </w:r>
      <w:r w:rsidRPr="00801D82">
        <w:t xml:space="preserve"> </w:t>
      </w:r>
      <w:r w:rsidRPr="00801D82">
        <w:tab/>
        <w:t>Groupe de travail technique sur les plantes fruitières</w:t>
      </w:r>
    </w:p>
    <w:p w:rsidR="00EF1C79" w:rsidRPr="00801D82" w:rsidRDefault="009470BB" w:rsidP="00801D82">
      <w:pPr>
        <w:tabs>
          <w:tab w:val="left" w:pos="567"/>
          <w:tab w:val="left" w:pos="1701"/>
        </w:tabs>
      </w:pPr>
      <w:r w:rsidRPr="00801D82">
        <w:lastRenderedPageBreak/>
        <w:tab/>
        <w:t>TWM</w:t>
      </w:r>
      <w:r w:rsidR="00EF1C79" w:rsidRPr="00801D82">
        <w:t> :</w:t>
      </w:r>
      <w:r w:rsidR="00E32799" w:rsidRPr="00801D82">
        <w:t xml:space="preserve"> </w:t>
      </w:r>
      <w:r w:rsidRPr="00801D82">
        <w:tab/>
        <w:t>Groupe de travail technique sur les méthodes et techniques d</w:t>
      </w:r>
      <w:r w:rsidR="00EF1C79" w:rsidRPr="00801D82">
        <w:t>’</w:t>
      </w:r>
      <w:r w:rsidRPr="00801D82">
        <w:t>essai</w:t>
      </w:r>
    </w:p>
    <w:p w:rsidR="00245B08" w:rsidRPr="00801D82" w:rsidRDefault="008301C2" w:rsidP="00801D82">
      <w:pPr>
        <w:tabs>
          <w:tab w:val="left" w:pos="567"/>
          <w:tab w:val="left" w:pos="1701"/>
        </w:tabs>
        <w:rPr>
          <w:rFonts w:eastAsia="PMingLiU"/>
          <w:szCs w:val="24"/>
        </w:rPr>
      </w:pPr>
      <w:r w:rsidRPr="00801D82">
        <w:tab/>
        <w:t>TWO</w:t>
      </w:r>
      <w:r w:rsidR="00EF1C79" w:rsidRPr="00801D82">
        <w:t> :</w:t>
      </w:r>
      <w:r w:rsidRPr="00801D82">
        <w:t xml:space="preserve"> </w:t>
      </w:r>
      <w:r w:rsidRPr="00801D82">
        <w:tab/>
        <w:t>Groupe de travail technique sur les plantes ornementales et les arbres forestiers</w:t>
      </w:r>
    </w:p>
    <w:p w:rsidR="00245B08" w:rsidRPr="00801D82" w:rsidRDefault="00245B08" w:rsidP="00801D82">
      <w:pPr>
        <w:tabs>
          <w:tab w:val="left" w:pos="567"/>
          <w:tab w:val="left" w:pos="1701"/>
        </w:tabs>
        <w:rPr>
          <w:rFonts w:eastAsia="PMingLiU"/>
          <w:szCs w:val="24"/>
        </w:rPr>
      </w:pPr>
      <w:r w:rsidRPr="00801D82">
        <w:tab/>
        <w:t>TWP</w:t>
      </w:r>
      <w:r w:rsidR="00EF1C79" w:rsidRPr="00801D82">
        <w:t> :</w:t>
      </w:r>
      <w:r w:rsidRPr="00801D82">
        <w:t xml:space="preserve"> </w:t>
      </w:r>
      <w:r w:rsidRPr="00801D82">
        <w:tab/>
        <w:t>Groupe(s) de travail technique(s)</w:t>
      </w:r>
    </w:p>
    <w:p w:rsidR="00245B08" w:rsidRPr="00801D82" w:rsidRDefault="00245B08" w:rsidP="00801D82">
      <w:pPr>
        <w:tabs>
          <w:tab w:val="left" w:pos="567"/>
          <w:tab w:val="left" w:pos="1701"/>
        </w:tabs>
        <w:rPr>
          <w:rFonts w:eastAsia="PMingLiU"/>
          <w:szCs w:val="24"/>
        </w:rPr>
      </w:pPr>
      <w:r w:rsidRPr="00801D82">
        <w:tab/>
        <w:t>TWV</w:t>
      </w:r>
      <w:r w:rsidR="00EF1C79" w:rsidRPr="00801D82">
        <w:t> :</w:t>
      </w:r>
      <w:r w:rsidRPr="00801D82">
        <w:t xml:space="preserve"> </w:t>
      </w:r>
      <w:r w:rsidRPr="00801D82">
        <w:tab/>
        <w:t>Groupe de travail technique sur les plantes potagères</w:t>
      </w:r>
    </w:p>
    <w:p w:rsidR="008301C2" w:rsidRPr="00801D82" w:rsidRDefault="008301C2" w:rsidP="00245B08">
      <w:pPr>
        <w:tabs>
          <w:tab w:val="left" w:pos="567"/>
          <w:tab w:val="left" w:pos="1701"/>
        </w:tabs>
      </w:pPr>
    </w:p>
    <w:p w:rsidR="00245B08" w:rsidRPr="00801D82" w:rsidRDefault="008301C2" w:rsidP="00245B08">
      <w:r w:rsidRPr="00801D82">
        <w:rPr>
          <w:color w:val="000000"/>
        </w:rPr>
        <w:fldChar w:fldCharType="begin"/>
      </w:r>
      <w:r w:rsidRPr="00801D82">
        <w:rPr>
          <w:color w:val="000000"/>
        </w:rPr>
        <w:instrText xml:space="preserve"> AUTONUM  </w:instrText>
      </w:r>
      <w:r w:rsidRPr="00801D82">
        <w:rPr>
          <w:color w:val="000000"/>
        </w:rPr>
        <w:fldChar w:fldCharType="end"/>
      </w:r>
      <w:r w:rsidRPr="00801D82">
        <w:rPr>
          <w:color w:val="000000"/>
        </w:rPr>
        <w:tab/>
      </w:r>
      <w:r w:rsidRPr="00801D82">
        <w:t>Le présent document est structuré comme suit</w:t>
      </w:r>
      <w:r w:rsidR="00EF1C79" w:rsidRPr="00801D82">
        <w:t> :</w:t>
      </w:r>
    </w:p>
    <w:p w:rsidR="008301C2" w:rsidRPr="00801D82" w:rsidRDefault="008301C2" w:rsidP="008301C2"/>
    <w:p w:rsidR="00CC673C" w:rsidRPr="008F2286" w:rsidRDefault="008301C2">
      <w:pPr>
        <w:pStyle w:val="TOC1"/>
        <w:rPr>
          <w:rFonts w:asciiTheme="minorHAnsi" w:eastAsiaTheme="minorEastAsia" w:hAnsiTheme="minorHAnsi" w:cstheme="minorBidi"/>
          <w:caps w:val="0"/>
          <w:noProof/>
          <w:sz w:val="22"/>
          <w:szCs w:val="22"/>
          <w:lang w:val="fr-CH"/>
        </w:rPr>
      </w:pPr>
      <w:r w:rsidRPr="00801D82">
        <w:rPr>
          <w:rFonts w:eastAsia="MS Mincho" w:cs="Arial"/>
        </w:rPr>
        <w:fldChar w:fldCharType="begin"/>
      </w:r>
      <w:r w:rsidRPr="00801D82">
        <w:rPr>
          <w:rFonts w:eastAsia="MS Mincho" w:cs="Arial"/>
        </w:rPr>
        <w:instrText xml:space="preserve"> TOC \o "1-2" \u </w:instrText>
      </w:r>
      <w:r w:rsidRPr="00801D82">
        <w:rPr>
          <w:rFonts w:eastAsia="MS Mincho" w:cs="Arial"/>
        </w:rPr>
        <w:fldChar w:fldCharType="separate"/>
      </w:r>
      <w:r w:rsidR="00CC673C" w:rsidRPr="00801D82">
        <w:rPr>
          <w:noProof/>
        </w:rPr>
        <w:t>RÉSUMÉ</w:t>
      </w:r>
      <w:r w:rsidR="00CC673C" w:rsidRPr="00801D82">
        <w:rPr>
          <w:noProof/>
        </w:rPr>
        <w:tab/>
      </w:r>
      <w:r w:rsidR="00CC673C" w:rsidRPr="00801D82">
        <w:rPr>
          <w:noProof/>
        </w:rPr>
        <w:fldChar w:fldCharType="begin"/>
      </w:r>
      <w:r w:rsidR="00CC673C" w:rsidRPr="00801D82">
        <w:rPr>
          <w:noProof/>
        </w:rPr>
        <w:instrText xml:space="preserve"> PAGEREF _Toc116914904 \h </w:instrText>
      </w:r>
      <w:r w:rsidR="00CC673C" w:rsidRPr="00801D82">
        <w:rPr>
          <w:noProof/>
        </w:rPr>
      </w:r>
      <w:r w:rsidR="00CC673C" w:rsidRPr="00801D82">
        <w:rPr>
          <w:noProof/>
        </w:rPr>
        <w:fldChar w:fldCharType="separate"/>
      </w:r>
      <w:r w:rsidR="00CC673C" w:rsidRPr="00801D82">
        <w:rPr>
          <w:noProof/>
        </w:rPr>
        <w:t>1</w:t>
      </w:r>
      <w:r w:rsidR="00CC673C" w:rsidRPr="00801D82">
        <w:rPr>
          <w:noProof/>
        </w:rPr>
        <w:fldChar w:fldCharType="end"/>
      </w:r>
    </w:p>
    <w:p w:rsidR="00CC673C" w:rsidRPr="008F2286" w:rsidRDefault="00CC673C">
      <w:pPr>
        <w:pStyle w:val="TOC1"/>
        <w:rPr>
          <w:rFonts w:asciiTheme="minorHAnsi" w:eastAsiaTheme="minorEastAsia" w:hAnsiTheme="minorHAnsi" w:cstheme="minorBidi"/>
          <w:caps w:val="0"/>
          <w:noProof/>
          <w:sz w:val="22"/>
          <w:szCs w:val="22"/>
          <w:lang w:val="fr-CH"/>
        </w:rPr>
      </w:pPr>
      <w:r w:rsidRPr="00801D82">
        <w:rPr>
          <w:noProof/>
        </w:rPr>
        <w:t>Questions pour information et décision éventuelle du Comité technique (TC)</w:t>
      </w:r>
      <w:r w:rsidRPr="00801D82">
        <w:rPr>
          <w:noProof/>
        </w:rPr>
        <w:tab/>
      </w:r>
      <w:r w:rsidRPr="00801D82">
        <w:rPr>
          <w:noProof/>
        </w:rPr>
        <w:fldChar w:fldCharType="begin"/>
      </w:r>
      <w:r w:rsidRPr="00801D82">
        <w:rPr>
          <w:noProof/>
        </w:rPr>
        <w:instrText xml:space="preserve"> PAGEREF _Toc116914905 \h </w:instrText>
      </w:r>
      <w:r w:rsidRPr="00801D82">
        <w:rPr>
          <w:noProof/>
        </w:rPr>
      </w:r>
      <w:r w:rsidRPr="00801D82">
        <w:rPr>
          <w:noProof/>
        </w:rPr>
        <w:fldChar w:fldCharType="separate"/>
      </w:r>
      <w:r w:rsidRPr="00801D82">
        <w:rPr>
          <w:noProof/>
        </w:rPr>
        <w:t>2</w:t>
      </w:r>
      <w:r w:rsidRPr="00801D82">
        <w:rPr>
          <w:noProof/>
        </w:rPr>
        <w:fldChar w:fldCharType="end"/>
      </w:r>
    </w:p>
    <w:p w:rsidR="00CC673C" w:rsidRPr="008F2286" w:rsidRDefault="00CC673C">
      <w:pPr>
        <w:pStyle w:val="TOC1"/>
        <w:rPr>
          <w:rFonts w:asciiTheme="minorHAnsi" w:eastAsiaTheme="minorEastAsia" w:hAnsiTheme="minorHAnsi" w:cstheme="minorBidi"/>
          <w:caps w:val="0"/>
          <w:noProof/>
          <w:sz w:val="22"/>
          <w:szCs w:val="22"/>
          <w:lang w:val="fr-CH"/>
        </w:rPr>
      </w:pPr>
      <w:r w:rsidRPr="00801D82">
        <w:rPr>
          <w:noProof/>
        </w:rPr>
        <w:t>QUESTIONS POUR INFORMATION</w:t>
      </w:r>
      <w:r w:rsidRPr="00801D82">
        <w:rPr>
          <w:noProof/>
        </w:rPr>
        <w:tab/>
      </w:r>
      <w:r w:rsidRPr="00801D82">
        <w:rPr>
          <w:noProof/>
        </w:rPr>
        <w:fldChar w:fldCharType="begin"/>
      </w:r>
      <w:r w:rsidRPr="00801D82">
        <w:rPr>
          <w:noProof/>
        </w:rPr>
        <w:instrText xml:space="preserve"> PAGEREF _Toc116914906 \h </w:instrText>
      </w:r>
      <w:r w:rsidRPr="00801D82">
        <w:rPr>
          <w:noProof/>
        </w:rPr>
      </w:r>
      <w:r w:rsidRPr="00801D82">
        <w:rPr>
          <w:noProof/>
        </w:rPr>
        <w:fldChar w:fldCharType="separate"/>
      </w:r>
      <w:r w:rsidRPr="00801D82">
        <w:rPr>
          <w:noProof/>
        </w:rPr>
        <w:t>2</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Informations nécessaires pour améliorer l’utilisation des rapports d’examen DHS existants</w:t>
      </w:r>
      <w:r w:rsidRPr="00801D82">
        <w:rPr>
          <w:noProof/>
        </w:rPr>
        <w:tab/>
      </w:r>
      <w:r w:rsidRPr="00801D82">
        <w:rPr>
          <w:noProof/>
        </w:rPr>
        <w:fldChar w:fldCharType="begin"/>
      </w:r>
      <w:r w:rsidRPr="00801D82">
        <w:rPr>
          <w:noProof/>
        </w:rPr>
        <w:instrText xml:space="preserve"> PAGEREF _Toc116914907 \h </w:instrText>
      </w:r>
      <w:r w:rsidRPr="00801D82">
        <w:rPr>
          <w:noProof/>
        </w:rPr>
      </w:r>
      <w:r w:rsidRPr="00801D82">
        <w:rPr>
          <w:noProof/>
        </w:rPr>
        <w:fldChar w:fldCharType="separate"/>
      </w:r>
      <w:r w:rsidRPr="00801D82">
        <w:rPr>
          <w:noProof/>
        </w:rPr>
        <w:t>2</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Examen DHS des variétés mutantes du pommier</w:t>
      </w:r>
      <w:r w:rsidRPr="00801D82">
        <w:rPr>
          <w:noProof/>
        </w:rPr>
        <w:tab/>
      </w:r>
      <w:r w:rsidRPr="00801D82">
        <w:rPr>
          <w:noProof/>
        </w:rPr>
        <w:fldChar w:fldCharType="begin"/>
      </w:r>
      <w:r w:rsidRPr="00801D82">
        <w:rPr>
          <w:noProof/>
        </w:rPr>
        <w:instrText xml:space="preserve"> PAGEREF _Toc116914908 \h </w:instrText>
      </w:r>
      <w:r w:rsidRPr="00801D82">
        <w:rPr>
          <w:noProof/>
        </w:rPr>
      </w:r>
      <w:r w:rsidRPr="00801D82">
        <w:rPr>
          <w:noProof/>
        </w:rPr>
        <w:fldChar w:fldCharType="separate"/>
      </w:r>
      <w:r w:rsidRPr="00801D82">
        <w:rPr>
          <w:noProof/>
        </w:rPr>
        <w:t>3</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Accès au matériel végétal aux fins de la gestion des collections de variétés et de l’examen DHS</w:t>
      </w:r>
      <w:r w:rsidRPr="00801D82">
        <w:rPr>
          <w:noProof/>
        </w:rPr>
        <w:tab/>
      </w:r>
      <w:r w:rsidRPr="00801D82">
        <w:rPr>
          <w:noProof/>
        </w:rPr>
        <w:fldChar w:fldCharType="begin"/>
      </w:r>
      <w:r w:rsidRPr="00801D82">
        <w:rPr>
          <w:noProof/>
        </w:rPr>
        <w:instrText xml:space="preserve"> PAGEREF _Toc116914909 \h </w:instrText>
      </w:r>
      <w:r w:rsidRPr="00801D82">
        <w:rPr>
          <w:noProof/>
        </w:rPr>
      </w:r>
      <w:r w:rsidRPr="00801D82">
        <w:rPr>
          <w:noProof/>
        </w:rPr>
        <w:fldChar w:fldCharType="separate"/>
      </w:r>
      <w:r w:rsidRPr="00801D82">
        <w:rPr>
          <w:noProof/>
        </w:rPr>
        <w:t>3</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Utilisation de caractères de résistance aux maladies</w:t>
      </w:r>
      <w:r w:rsidRPr="00801D82">
        <w:rPr>
          <w:noProof/>
        </w:rPr>
        <w:tab/>
      </w:r>
      <w:r w:rsidRPr="00801D82">
        <w:rPr>
          <w:noProof/>
        </w:rPr>
        <w:fldChar w:fldCharType="begin"/>
      </w:r>
      <w:r w:rsidRPr="00801D82">
        <w:rPr>
          <w:noProof/>
        </w:rPr>
        <w:instrText xml:space="preserve"> PAGEREF _Toc116914910 \h </w:instrText>
      </w:r>
      <w:r w:rsidRPr="00801D82">
        <w:rPr>
          <w:noProof/>
        </w:rPr>
      </w:r>
      <w:r w:rsidRPr="00801D82">
        <w:rPr>
          <w:noProof/>
        </w:rPr>
        <w:fldChar w:fldCharType="separate"/>
      </w:r>
      <w:r w:rsidRPr="00801D82">
        <w:rPr>
          <w:noProof/>
        </w:rPr>
        <w:t>3</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Résistance aux maladies chez les plantes ornementales</w:t>
      </w:r>
      <w:r w:rsidRPr="00801D82">
        <w:rPr>
          <w:noProof/>
        </w:rPr>
        <w:tab/>
      </w:r>
      <w:r w:rsidRPr="00801D82">
        <w:rPr>
          <w:noProof/>
        </w:rPr>
        <w:fldChar w:fldCharType="begin"/>
      </w:r>
      <w:r w:rsidRPr="00801D82">
        <w:rPr>
          <w:noProof/>
        </w:rPr>
        <w:instrText xml:space="preserve"> PAGEREF _Toc116914911 \h </w:instrText>
      </w:r>
      <w:r w:rsidRPr="00801D82">
        <w:rPr>
          <w:noProof/>
        </w:rPr>
      </w:r>
      <w:r w:rsidRPr="00801D82">
        <w:rPr>
          <w:noProof/>
        </w:rPr>
        <w:fldChar w:fldCharType="separate"/>
      </w:r>
      <w:r w:rsidRPr="00801D82">
        <w:rPr>
          <w:noProof/>
        </w:rPr>
        <w:t>3</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Nouvelles questions se posant pour l’examen DHS</w:t>
      </w:r>
      <w:r w:rsidRPr="00801D82">
        <w:rPr>
          <w:noProof/>
        </w:rPr>
        <w:tab/>
      </w:r>
      <w:r w:rsidRPr="00801D82">
        <w:rPr>
          <w:noProof/>
        </w:rPr>
        <w:fldChar w:fldCharType="begin"/>
      </w:r>
      <w:r w:rsidRPr="00801D82">
        <w:rPr>
          <w:noProof/>
        </w:rPr>
        <w:instrText xml:space="preserve"> PAGEREF _Toc116914912 \h </w:instrText>
      </w:r>
      <w:r w:rsidRPr="00801D82">
        <w:rPr>
          <w:noProof/>
        </w:rPr>
      </w:r>
      <w:r w:rsidRPr="00801D82">
        <w:rPr>
          <w:noProof/>
        </w:rPr>
        <w:fldChar w:fldCharType="separate"/>
      </w:r>
      <w:r w:rsidRPr="00801D82">
        <w:rPr>
          <w:noProof/>
        </w:rPr>
        <w:t>3</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Expériences avec de nouveaux types et de nouvelles espèces</w:t>
      </w:r>
      <w:r w:rsidRPr="00801D82">
        <w:rPr>
          <w:noProof/>
        </w:rPr>
        <w:tab/>
      </w:r>
      <w:r w:rsidRPr="00801D82">
        <w:rPr>
          <w:noProof/>
        </w:rPr>
        <w:fldChar w:fldCharType="begin"/>
      </w:r>
      <w:r w:rsidRPr="00801D82">
        <w:rPr>
          <w:noProof/>
        </w:rPr>
        <w:instrText xml:space="preserve"> PAGEREF _Toc116914913 \h </w:instrText>
      </w:r>
      <w:r w:rsidRPr="00801D82">
        <w:rPr>
          <w:noProof/>
        </w:rPr>
      </w:r>
      <w:r w:rsidRPr="00801D82">
        <w:rPr>
          <w:noProof/>
        </w:rPr>
        <w:fldChar w:fldCharType="separate"/>
      </w:r>
      <w:r w:rsidRPr="00801D82">
        <w:rPr>
          <w:noProof/>
        </w:rPr>
        <w:t>4</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Examen des variétés hybrides</w:t>
      </w:r>
      <w:r w:rsidRPr="00801D82">
        <w:rPr>
          <w:noProof/>
        </w:rPr>
        <w:tab/>
      </w:r>
      <w:r w:rsidRPr="00801D82">
        <w:rPr>
          <w:noProof/>
        </w:rPr>
        <w:fldChar w:fldCharType="begin"/>
      </w:r>
      <w:r w:rsidRPr="00801D82">
        <w:rPr>
          <w:noProof/>
        </w:rPr>
        <w:instrText xml:space="preserve"> PAGEREF _Toc116914914 \h </w:instrText>
      </w:r>
      <w:r w:rsidRPr="00801D82">
        <w:rPr>
          <w:noProof/>
        </w:rPr>
      </w:r>
      <w:r w:rsidRPr="00801D82">
        <w:rPr>
          <w:noProof/>
        </w:rPr>
        <w:fldChar w:fldCharType="separate"/>
      </w:r>
      <w:r w:rsidRPr="00801D82">
        <w:rPr>
          <w:noProof/>
        </w:rPr>
        <w:t>4</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Nouvelles technologies en matière d’examen DHS</w:t>
      </w:r>
      <w:r w:rsidRPr="00801D82">
        <w:rPr>
          <w:noProof/>
        </w:rPr>
        <w:tab/>
      </w:r>
      <w:r w:rsidRPr="00801D82">
        <w:rPr>
          <w:noProof/>
        </w:rPr>
        <w:fldChar w:fldCharType="begin"/>
      </w:r>
      <w:r w:rsidRPr="00801D82">
        <w:rPr>
          <w:noProof/>
        </w:rPr>
        <w:instrText xml:space="preserve"> PAGEREF _Toc116914915 \h </w:instrText>
      </w:r>
      <w:r w:rsidRPr="00801D82">
        <w:rPr>
          <w:noProof/>
        </w:rPr>
      </w:r>
      <w:r w:rsidRPr="00801D82">
        <w:rPr>
          <w:noProof/>
        </w:rPr>
        <w:fldChar w:fldCharType="separate"/>
      </w:r>
      <w:r w:rsidRPr="00801D82">
        <w:rPr>
          <w:noProof/>
        </w:rPr>
        <w:t>4</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Plateforme de mégadonnées pour l’examen DHS</w:t>
      </w:r>
      <w:r w:rsidRPr="00801D82">
        <w:rPr>
          <w:noProof/>
        </w:rPr>
        <w:tab/>
      </w:r>
      <w:r w:rsidRPr="00801D82">
        <w:rPr>
          <w:noProof/>
        </w:rPr>
        <w:fldChar w:fldCharType="begin"/>
      </w:r>
      <w:r w:rsidRPr="00801D82">
        <w:rPr>
          <w:noProof/>
        </w:rPr>
        <w:instrText xml:space="preserve"> PAGEREF _Toc116914916 \h </w:instrText>
      </w:r>
      <w:r w:rsidRPr="00801D82">
        <w:rPr>
          <w:noProof/>
        </w:rPr>
      </w:r>
      <w:r w:rsidRPr="00801D82">
        <w:rPr>
          <w:noProof/>
        </w:rPr>
        <w:fldChar w:fldCharType="separate"/>
      </w:r>
      <w:r w:rsidRPr="00801D82">
        <w:rPr>
          <w:noProof/>
        </w:rPr>
        <w:t>4</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L’évaluation de la couleur dans les plantes fruitières</w:t>
      </w:r>
      <w:r w:rsidRPr="00801D82">
        <w:rPr>
          <w:noProof/>
        </w:rPr>
        <w:tab/>
      </w:r>
      <w:r w:rsidRPr="00801D82">
        <w:rPr>
          <w:noProof/>
        </w:rPr>
        <w:fldChar w:fldCharType="begin"/>
      </w:r>
      <w:r w:rsidRPr="00801D82">
        <w:rPr>
          <w:noProof/>
        </w:rPr>
        <w:instrText xml:space="preserve"> PAGEREF _Toc116914917 \h </w:instrText>
      </w:r>
      <w:r w:rsidRPr="00801D82">
        <w:rPr>
          <w:noProof/>
        </w:rPr>
      </w:r>
      <w:r w:rsidRPr="00801D82">
        <w:rPr>
          <w:noProof/>
        </w:rPr>
        <w:fldChar w:fldCharType="separate"/>
      </w:r>
      <w:r w:rsidRPr="00801D82">
        <w:rPr>
          <w:noProof/>
        </w:rPr>
        <w:t>4</w:t>
      </w:r>
      <w:r w:rsidRPr="00801D82">
        <w:rPr>
          <w:noProof/>
        </w:rPr>
        <w:fldChar w:fldCharType="end"/>
      </w:r>
    </w:p>
    <w:p w:rsidR="00CC673C" w:rsidRPr="008F2286" w:rsidRDefault="00CC673C">
      <w:pPr>
        <w:pStyle w:val="TOC2"/>
        <w:rPr>
          <w:rFonts w:asciiTheme="minorHAnsi" w:eastAsiaTheme="minorEastAsia" w:hAnsiTheme="minorHAnsi" w:cstheme="minorBidi"/>
          <w:noProof/>
          <w:sz w:val="22"/>
          <w:szCs w:val="22"/>
          <w:lang w:val="fr-CH"/>
        </w:rPr>
      </w:pPr>
      <w:r w:rsidRPr="00801D82">
        <w:rPr>
          <w:noProof/>
        </w:rPr>
        <w:t>Établissement de phénotypes et analyse d’images</w:t>
      </w:r>
      <w:r w:rsidRPr="00801D82">
        <w:rPr>
          <w:noProof/>
        </w:rPr>
        <w:tab/>
      </w:r>
      <w:r w:rsidRPr="00801D82">
        <w:rPr>
          <w:noProof/>
        </w:rPr>
        <w:fldChar w:fldCharType="begin"/>
      </w:r>
      <w:r w:rsidRPr="00801D82">
        <w:rPr>
          <w:noProof/>
        </w:rPr>
        <w:instrText xml:space="preserve"> PAGEREF _Toc116914918 \h </w:instrText>
      </w:r>
      <w:r w:rsidRPr="00801D82">
        <w:rPr>
          <w:noProof/>
        </w:rPr>
      </w:r>
      <w:r w:rsidRPr="00801D82">
        <w:rPr>
          <w:noProof/>
        </w:rPr>
        <w:fldChar w:fldCharType="separate"/>
      </w:r>
      <w:r w:rsidRPr="00801D82">
        <w:rPr>
          <w:noProof/>
        </w:rPr>
        <w:t>4</w:t>
      </w:r>
      <w:r w:rsidRPr="00801D82">
        <w:rPr>
          <w:noProof/>
        </w:rPr>
        <w:fldChar w:fldCharType="end"/>
      </w:r>
    </w:p>
    <w:p w:rsidR="008301C2" w:rsidRPr="00801D82" w:rsidRDefault="008301C2" w:rsidP="00037992">
      <w:pPr>
        <w:rPr>
          <w:rFonts w:ascii="Calibri" w:hAnsi="Calibri"/>
          <w:sz w:val="22"/>
        </w:rPr>
      </w:pPr>
      <w:r w:rsidRPr="00801D82">
        <w:rPr>
          <w:rFonts w:eastAsia="MS Mincho" w:cs="Arial"/>
          <w:i/>
        </w:rPr>
        <w:fldChar w:fldCharType="end"/>
      </w:r>
      <w:r w:rsidRPr="00801D82">
        <w:rPr>
          <w:caps/>
          <w:sz w:val="18"/>
        </w:rPr>
        <w:fldChar w:fldCharType="begin"/>
      </w:r>
      <w:r w:rsidRPr="00801D82">
        <w:instrText xml:space="preserve"> TOC \o "1-3" \h \z \u </w:instrText>
      </w:r>
      <w:r w:rsidRPr="00801D82">
        <w:rPr>
          <w:caps/>
          <w:sz w:val="18"/>
        </w:rPr>
        <w:fldChar w:fldCharType="separate"/>
      </w:r>
    </w:p>
    <w:p w:rsidR="008301C2" w:rsidRPr="00801D82" w:rsidRDefault="008301C2" w:rsidP="008301C2">
      <w:pPr>
        <w:tabs>
          <w:tab w:val="left" w:pos="567"/>
        </w:tabs>
        <w:rPr>
          <w:rFonts w:cs="Arial"/>
        </w:rPr>
      </w:pPr>
      <w:r w:rsidRPr="00801D82">
        <w:fldChar w:fldCharType="end"/>
      </w:r>
    </w:p>
    <w:p w:rsidR="008301C2" w:rsidRPr="00801D82" w:rsidRDefault="00245B08" w:rsidP="008F2286">
      <w:pPr>
        <w:pStyle w:val="Heading1"/>
        <w:rPr>
          <w:rFonts w:eastAsia="PMingLiU"/>
          <w:szCs w:val="24"/>
        </w:rPr>
      </w:pPr>
      <w:bookmarkStart w:id="2" w:name="_Toc22473822"/>
      <w:bookmarkStart w:id="3" w:name="_Toc54200136"/>
      <w:bookmarkStart w:id="4" w:name="_Toc20505078"/>
      <w:bookmarkStart w:id="5" w:name="_Toc527377892"/>
      <w:bookmarkStart w:id="6" w:name="_Toc441497828"/>
      <w:bookmarkStart w:id="7" w:name="_Toc116914905"/>
      <w:r w:rsidRPr="00801D82">
        <w:t xml:space="preserve">Questions pour information et décision éventuelle du </w:t>
      </w:r>
      <w:r w:rsidR="00E32799" w:rsidRPr="00801D82">
        <w:t>Comité</w:t>
      </w:r>
      <w:r w:rsidRPr="00801D82">
        <w:t xml:space="preserve"> technique (TC)</w:t>
      </w:r>
      <w:bookmarkEnd w:id="2"/>
      <w:bookmarkEnd w:id="3"/>
      <w:bookmarkEnd w:id="4"/>
      <w:bookmarkEnd w:id="5"/>
      <w:bookmarkEnd w:id="6"/>
      <w:bookmarkEnd w:id="7"/>
    </w:p>
    <w:p w:rsidR="008301C2" w:rsidRPr="00801D82" w:rsidRDefault="008301C2" w:rsidP="008301C2"/>
    <w:p w:rsidR="00245B08" w:rsidRPr="00801D82" w:rsidRDefault="008301C2" w:rsidP="00245B08">
      <w:r w:rsidRPr="00801D82">
        <w:fldChar w:fldCharType="begin"/>
      </w:r>
      <w:r w:rsidRPr="00801D82">
        <w:instrText xml:space="preserve"> AUTONUM  </w:instrText>
      </w:r>
      <w:r w:rsidRPr="00801D82">
        <w:fldChar w:fldCharType="end"/>
      </w:r>
      <w:r w:rsidRPr="00801D82">
        <w:tab/>
        <w:t>Il n</w:t>
      </w:r>
      <w:r w:rsidR="00EF1C79" w:rsidRPr="00801D82">
        <w:t>’</w:t>
      </w:r>
      <w:r w:rsidRPr="00801D82">
        <w:t>y a aucune question nécessitant une prise de décision de la part du Comité technique lors de sa cinquante</w:t>
      </w:r>
      <w:r w:rsidR="00EF1C79" w:rsidRPr="00801D82">
        <w:t>-</w:t>
      </w:r>
      <w:r w:rsidRPr="00801D82">
        <w:t>huit</w:t>
      </w:r>
      <w:r w:rsidR="00EF1C79" w:rsidRPr="00801D82">
        <w:t>ième session</w:t>
      </w:r>
      <w:r w:rsidRPr="00801D82">
        <w:t>.</w:t>
      </w:r>
    </w:p>
    <w:p w:rsidR="00245B08" w:rsidRPr="00801D82" w:rsidRDefault="00245B08" w:rsidP="00245B08"/>
    <w:p w:rsidR="00245B08" w:rsidRPr="00801D82" w:rsidRDefault="00245B08" w:rsidP="00245B08"/>
    <w:p w:rsidR="00245B08" w:rsidRPr="00801D82" w:rsidRDefault="00245B08" w:rsidP="00245B08">
      <w:pPr>
        <w:pStyle w:val="Heading1"/>
      </w:pPr>
      <w:bookmarkStart w:id="8" w:name="_Toc441497830"/>
      <w:bookmarkStart w:id="9" w:name="_Toc527377899"/>
      <w:bookmarkStart w:id="10" w:name="_Toc20505079"/>
      <w:bookmarkStart w:id="11" w:name="_Toc54200137"/>
      <w:bookmarkStart w:id="12" w:name="_Toc116914906"/>
      <w:r w:rsidRPr="00801D82">
        <w:t>Q</w:t>
      </w:r>
      <w:r w:rsidR="00801D82">
        <w:t>uestions pour information</w:t>
      </w:r>
      <w:bookmarkEnd w:id="8"/>
      <w:bookmarkEnd w:id="9"/>
      <w:bookmarkEnd w:id="10"/>
      <w:bookmarkEnd w:id="11"/>
      <w:bookmarkEnd w:id="12"/>
    </w:p>
    <w:p w:rsidR="00831EE0" w:rsidRPr="00801D82" w:rsidRDefault="00831EE0" w:rsidP="00245B08"/>
    <w:p w:rsidR="00831EE0" w:rsidRPr="008F2286" w:rsidRDefault="00831EE0" w:rsidP="008F2286">
      <w:pPr>
        <w:pStyle w:val="Heading2"/>
      </w:pPr>
      <w:bookmarkStart w:id="13" w:name="_Toc116914907"/>
      <w:r w:rsidRPr="008F2286">
        <w:t>Informations nécessaires pour améliorer l</w:t>
      </w:r>
      <w:r w:rsidR="00EF1C79" w:rsidRPr="008F2286">
        <w:t>’</w:t>
      </w:r>
      <w:r w:rsidRPr="008F2286">
        <w:t>utilisation des rapports d</w:t>
      </w:r>
      <w:r w:rsidR="00EF1C79" w:rsidRPr="008F2286">
        <w:t>’</w:t>
      </w:r>
      <w:r w:rsidRPr="008F2286">
        <w:t>examen DHS existants</w:t>
      </w:r>
      <w:bookmarkEnd w:id="13"/>
    </w:p>
    <w:p w:rsidR="00831EE0" w:rsidRPr="00801D82" w:rsidRDefault="00831EE0" w:rsidP="00831EE0"/>
    <w:p w:rsidR="00831EE0" w:rsidRPr="00801D82" w:rsidRDefault="00831EE0" w:rsidP="00831EE0">
      <w:r w:rsidRPr="00801D82">
        <w:fldChar w:fldCharType="begin"/>
      </w:r>
      <w:r w:rsidRPr="00801D82">
        <w:instrText xml:space="preserve"> AUTONUM  </w:instrText>
      </w:r>
      <w:r w:rsidRPr="00801D82">
        <w:fldChar w:fldCharType="end"/>
      </w:r>
      <w:r w:rsidRPr="00801D82">
        <w:tab/>
        <w:t xml:space="preserve">Le TWF a examiné le </w:t>
      </w:r>
      <w:r w:rsidR="00EF1C79" w:rsidRPr="00801D82">
        <w:t>document TW</w:t>
      </w:r>
      <w:r w:rsidRPr="00801D82">
        <w:t>F/53/6 présenté par un expert de la Nouvelle</w:t>
      </w:r>
      <w:r w:rsidR="00EF1C79" w:rsidRPr="00801D82">
        <w:t>-</w:t>
      </w:r>
      <w:r w:rsidRPr="00801D82">
        <w:t xml:space="preserve">Zélande </w:t>
      </w:r>
      <w:r w:rsidR="008F2286">
        <w:br/>
      </w:r>
      <w:r w:rsidRPr="00801D82">
        <w:t xml:space="preserve">(voir </w:t>
      </w:r>
      <w:r w:rsidR="00375FEC" w:rsidRPr="00801D82">
        <w:t xml:space="preserve">les paragraphes 61 à 64 du </w:t>
      </w:r>
      <w:r w:rsidR="00EF1C79" w:rsidRPr="00801D82">
        <w:t>document TW</w:t>
      </w:r>
      <w:r w:rsidRPr="00801D82">
        <w:t>F/53/14 “</w:t>
      </w:r>
      <w:r w:rsidR="00375FEC" w:rsidRPr="00801D82">
        <w:t>Compte rendu</w:t>
      </w:r>
      <w:r w:rsidRPr="00801D82">
        <w:t>”).</w:t>
      </w:r>
    </w:p>
    <w:p w:rsidR="00831EE0" w:rsidRPr="00801D82" w:rsidRDefault="00831EE0" w:rsidP="00831EE0"/>
    <w:p w:rsidR="00EF1C79" w:rsidRPr="00801D82" w:rsidRDefault="00831EE0" w:rsidP="00831EE0">
      <w:r w:rsidRPr="00801D82">
        <w:fldChar w:fldCharType="begin"/>
      </w:r>
      <w:r w:rsidRPr="00801D82">
        <w:instrText xml:space="preserve"> AUTONUM  </w:instrText>
      </w:r>
      <w:r w:rsidRPr="00801D82">
        <w:fldChar w:fldCharType="end"/>
      </w:r>
      <w:r w:rsidRPr="00801D82">
        <w:tab/>
        <w:t>Le TWF a estimé que les informations à fournir dans une description variétale de l</w:t>
      </w:r>
      <w:r w:rsidR="00EF1C79" w:rsidRPr="00801D82">
        <w:t>’</w:t>
      </w:r>
      <w:r w:rsidRPr="00801D82">
        <w:t>UPOV devaient favoriser l</w:t>
      </w:r>
      <w:r w:rsidR="00EF1C79" w:rsidRPr="00801D82">
        <w:t>’</w:t>
      </w:r>
      <w:r w:rsidRPr="00801D82">
        <w:t>échange et la reprise des rapports d</w:t>
      </w:r>
      <w:r w:rsidR="00EF1C79" w:rsidRPr="00801D82">
        <w:t>’</w:t>
      </w:r>
      <w:r w:rsidRPr="00801D82">
        <w:t>examen </w:t>
      </w:r>
      <w:r w:rsidR="009B376D" w:rsidRPr="00801D82">
        <w:t>DHS.  Le</w:t>
      </w:r>
      <w:r w:rsidRPr="00801D82">
        <w:t xml:space="preserve"> TWF </w:t>
      </w:r>
      <w:r w:rsidR="00375FEC" w:rsidRPr="00801D82">
        <w:t>est</w:t>
      </w:r>
      <w:r w:rsidRPr="00801D82">
        <w:t xml:space="preserve"> convenu que des informations devaient toujours être fournies dans la section 16, “Variétés voisines et différences par rapport à ces variétés”, pour </w:t>
      </w:r>
      <w:r w:rsidR="00375FEC" w:rsidRPr="00801D82">
        <w:t xml:space="preserve">préciser </w:t>
      </w:r>
      <w:r w:rsidRPr="00801D82">
        <w:t>l</w:t>
      </w:r>
      <w:r w:rsidR="00EF1C79" w:rsidRPr="00801D82">
        <w:t>’</w:t>
      </w:r>
      <w:r w:rsidRPr="00801D82">
        <w:t>existence ou non de variétés voisines.</w:t>
      </w:r>
    </w:p>
    <w:p w:rsidR="00831EE0" w:rsidRPr="00801D82" w:rsidRDefault="00831EE0" w:rsidP="00831EE0"/>
    <w:p w:rsidR="00831EE0" w:rsidRPr="00801D82" w:rsidRDefault="00831EE0" w:rsidP="00831EE0">
      <w:r w:rsidRPr="00801D82">
        <w:fldChar w:fldCharType="begin"/>
      </w:r>
      <w:r w:rsidRPr="00801D82">
        <w:instrText xml:space="preserve"> AUTONUM  </w:instrText>
      </w:r>
      <w:r w:rsidRPr="00801D82">
        <w:fldChar w:fldCharType="end"/>
      </w:r>
      <w:r w:rsidRPr="00801D82">
        <w:tab/>
        <w:t xml:space="preserve">Le TWF a pris note des différentes possibilités de fournir des informations dans la section 16, </w:t>
      </w:r>
      <w:r w:rsidR="00EF1C79" w:rsidRPr="00801D82">
        <w:t>y compris</w:t>
      </w:r>
      <w:r w:rsidRPr="00801D82">
        <w:t xml:space="preserve"> l</w:t>
      </w:r>
      <w:r w:rsidR="00EF1C79" w:rsidRPr="00801D82">
        <w:t>’</w:t>
      </w:r>
      <w:r w:rsidRPr="00801D82">
        <w:t>énumération d</w:t>
      </w:r>
      <w:r w:rsidR="00EF1C79" w:rsidRPr="00801D82">
        <w:t>’</w:t>
      </w:r>
      <w:r w:rsidRPr="00801D82">
        <w:t>une ou plusieurs variétés considérées comme les plus voisines, et l</w:t>
      </w:r>
      <w:r w:rsidR="00EF1C79" w:rsidRPr="00801D82">
        <w:t>’</w:t>
      </w:r>
      <w:r w:rsidRPr="00801D82">
        <w:t>énumération d</w:t>
      </w:r>
      <w:r w:rsidR="00EF1C79" w:rsidRPr="00801D82">
        <w:t>’</w:t>
      </w:r>
      <w:r w:rsidRPr="00801D82">
        <w:t xml:space="preserve">un ou plusieurs caractères par variété </w:t>
      </w:r>
      <w:r w:rsidR="00375FEC" w:rsidRPr="00801D82">
        <w:t xml:space="preserve">établissant la </w:t>
      </w:r>
      <w:r w:rsidRPr="00801D82">
        <w:t>distincti</w:t>
      </w:r>
      <w:r w:rsidR="009B376D" w:rsidRPr="00801D82">
        <w:t>on.  Le</w:t>
      </w:r>
      <w:r w:rsidRPr="00801D82">
        <w:t xml:space="preserve"> TWF </w:t>
      </w:r>
      <w:r w:rsidR="00375FEC" w:rsidRPr="00801D82">
        <w:t>est convenu qu</w:t>
      </w:r>
      <w:r w:rsidR="00EF1C79" w:rsidRPr="00801D82">
        <w:t>’</w:t>
      </w:r>
      <w:r w:rsidR="00375FEC" w:rsidRPr="00801D82">
        <w:t>il fallait toujours indiquer les cas où aucune variété similaire n</w:t>
      </w:r>
      <w:r w:rsidR="00EF1C79" w:rsidRPr="00801D82">
        <w:t>’</w:t>
      </w:r>
      <w:r w:rsidR="00375FEC" w:rsidRPr="00801D82">
        <w:t>a été identifiée</w:t>
      </w:r>
      <w:r w:rsidRPr="00801D82">
        <w:t>.</w:t>
      </w:r>
    </w:p>
    <w:p w:rsidR="00831EE0" w:rsidRPr="00801D82" w:rsidRDefault="00831EE0" w:rsidP="00831EE0"/>
    <w:p w:rsidR="00EF1C79" w:rsidRPr="00801D82" w:rsidRDefault="00831EE0" w:rsidP="00831EE0">
      <w:r w:rsidRPr="00801D82">
        <w:fldChar w:fldCharType="begin"/>
      </w:r>
      <w:r w:rsidRPr="00801D82">
        <w:instrText xml:space="preserve"> AUTONUM  </w:instrText>
      </w:r>
      <w:r w:rsidRPr="00801D82">
        <w:fldChar w:fldCharType="end"/>
      </w:r>
      <w:r w:rsidRPr="00801D82">
        <w:tab/>
        <w:t>Le TWF est convenu que les discussions devaient se poursuivre et a invité l</w:t>
      </w:r>
      <w:r w:rsidR="00EF1C79" w:rsidRPr="00801D82">
        <w:t>’</w:t>
      </w:r>
      <w:r w:rsidRPr="00801D82">
        <w:t xml:space="preserve">expert de la </w:t>
      </w:r>
      <w:r w:rsidR="008F2286">
        <w:br/>
      </w:r>
      <w:r w:rsidRPr="00801D82">
        <w:t>Nouvelle</w:t>
      </w:r>
      <w:r w:rsidR="00EF1C79" w:rsidRPr="00801D82">
        <w:t>-</w:t>
      </w:r>
      <w:r w:rsidRPr="00801D82">
        <w:t>Zélande, avec le soutien des experts de l</w:t>
      </w:r>
      <w:r w:rsidR="00EF1C79" w:rsidRPr="00801D82">
        <w:t>’</w:t>
      </w:r>
      <w:r w:rsidRPr="00801D82">
        <w:t>Australie, du Canada, de l</w:t>
      </w:r>
      <w:r w:rsidR="00EF1C79" w:rsidRPr="00801D82">
        <w:t>’</w:t>
      </w:r>
      <w:r w:rsidRPr="00801D82">
        <w:t>Union européenne, de la France, de l</w:t>
      </w:r>
      <w:r w:rsidR="00EF1C79" w:rsidRPr="00801D82">
        <w:t>’</w:t>
      </w:r>
      <w:r w:rsidRPr="00801D82">
        <w:t>Allemagne et de l</w:t>
      </w:r>
      <w:r w:rsidR="00EF1C79" w:rsidRPr="00801D82">
        <w:t>’</w:t>
      </w:r>
      <w:r w:rsidRPr="00801D82">
        <w:t>Italie, à élaborer une proposition d</w:t>
      </w:r>
      <w:r w:rsidR="00EF1C79" w:rsidRPr="00801D82">
        <w:t>’</w:t>
      </w:r>
      <w:r w:rsidRPr="00801D82">
        <w:t xml:space="preserve">orientations sur la manière de remplir la </w:t>
      </w:r>
      <w:r w:rsidR="008F2286">
        <w:br/>
      </w:r>
      <w:r w:rsidRPr="00801D82">
        <w:t>section 16 de la description variétale de l</w:t>
      </w:r>
      <w:r w:rsidR="00EF1C79" w:rsidRPr="00801D82">
        <w:t>’</w:t>
      </w:r>
      <w:r w:rsidRPr="00801D82">
        <w:t>UPOV.</w:t>
      </w:r>
    </w:p>
    <w:p w:rsidR="00831EE0" w:rsidRPr="00801D82" w:rsidRDefault="00831EE0" w:rsidP="00831EE0"/>
    <w:p w:rsidR="005104A9" w:rsidRPr="00801D82" w:rsidRDefault="005104A9" w:rsidP="005104A9"/>
    <w:p w:rsidR="00015A45" w:rsidRPr="00801D82" w:rsidRDefault="00015A45" w:rsidP="00015A45">
      <w:pPr>
        <w:pStyle w:val="Heading2"/>
      </w:pPr>
      <w:bookmarkStart w:id="14" w:name="_Toc54200143"/>
      <w:bookmarkStart w:id="15" w:name="_Toc116914908"/>
      <w:r w:rsidRPr="00801D82">
        <w:t>Examen DHS des variétés mutantes du pommier</w:t>
      </w:r>
      <w:bookmarkEnd w:id="14"/>
      <w:bookmarkEnd w:id="15"/>
    </w:p>
    <w:p w:rsidR="005104A9" w:rsidRPr="00801D82" w:rsidRDefault="005104A9" w:rsidP="005104A9"/>
    <w:p w:rsidR="005104A9" w:rsidRPr="00801D82" w:rsidRDefault="005104A9" w:rsidP="005104A9">
      <w:r w:rsidRPr="00801D82">
        <w:fldChar w:fldCharType="begin"/>
      </w:r>
      <w:r w:rsidRPr="00801D82">
        <w:instrText xml:space="preserve"> AUTONUM  </w:instrText>
      </w:r>
      <w:r w:rsidRPr="00801D82">
        <w:fldChar w:fldCharType="end"/>
      </w:r>
      <w:r w:rsidRPr="00801D82">
        <w:tab/>
        <w:t>Le TWF a reçu une présentation d</w:t>
      </w:r>
      <w:r w:rsidR="00EF1C79" w:rsidRPr="00801D82">
        <w:t>’</w:t>
      </w:r>
      <w:r w:rsidRPr="00801D82">
        <w:t xml:space="preserve">un expert du </w:t>
      </w:r>
      <w:proofErr w:type="spellStart"/>
      <w:r w:rsidRPr="00801D82">
        <w:t>Canadasur</w:t>
      </w:r>
      <w:proofErr w:type="spellEnd"/>
      <w:r w:rsidRPr="00801D82">
        <w:t xml:space="preserve"> “les pommes mutantes et la divulgation de la filiation”.  Une copie de la présentation est fournie dans le </w:t>
      </w:r>
      <w:r w:rsidR="00EF1C79" w:rsidRPr="00801D82">
        <w:t>document TW</w:t>
      </w:r>
      <w:r w:rsidRPr="00801D82">
        <w:t xml:space="preserve">F/53/10 </w:t>
      </w:r>
      <w:r w:rsidR="008F2286">
        <w:br/>
      </w:r>
      <w:r w:rsidRPr="00801D82">
        <w:t xml:space="preserve">(voir </w:t>
      </w:r>
      <w:r w:rsidR="00375FEC" w:rsidRPr="00801D82">
        <w:t xml:space="preserve">les paragraphes 53 à 55 du </w:t>
      </w:r>
      <w:r w:rsidR="00EF1C79" w:rsidRPr="00801D82">
        <w:t>document TW</w:t>
      </w:r>
      <w:r w:rsidRPr="00801D82">
        <w:t>F/53/14 “</w:t>
      </w:r>
      <w:r w:rsidR="00375FEC" w:rsidRPr="00801D82">
        <w:t>Compte rendu</w:t>
      </w:r>
      <w:r w:rsidRPr="00801D82">
        <w:t>”).</w:t>
      </w:r>
    </w:p>
    <w:p w:rsidR="005104A9" w:rsidRPr="00801D82" w:rsidRDefault="005104A9" w:rsidP="005104A9"/>
    <w:p w:rsidR="005104A9" w:rsidRPr="00801D82" w:rsidRDefault="005104A9" w:rsidP="005104A9">
      <w:r w:rsidRPr="00801D82">
        <w:fldChar w:fldCharType="begin"/>
      </w:r>
      <w:r w:rsidRPr="00801D82">
        <w:instrText xml:space="preserve"> AUTONUM  </w:instrText>
      </w:r>
      <w:r w:rsidRPr="00801D82">
        <w:fldChar w:fldCharType="end"/>
      </w:r>
      <w:r w:rsidRPr="00801D82">
        <w:tab/>
        <w:t>Le TWF a examiné l</w:t>
      </w:r>
      <w:r w:rsidR="00EF1C79" w:rsidRPr="00801D82">
        <w:t>’</w:t>
      </w:r>
      <w:r w:rsidRPr="00801D82">
        <w:t>opportunité de créer une base de données commune pour les variétés mutantes du pommier, qui serait mise à disposition sur le site</w:t>
      </w:r>
      <w:r w:rsidR="00E32799" w:rsidRPr="00801D82">
        <w:t> </w:t>
      </w:r>
      <w:r w:rsidRPr="00801D82">
        <w:t>Web de l</w:t>
      </w:r>
      <w:r w:rsidR="00EF1C79" w:rsidRPr="00801D82">
        <w:t>’</w:t>
      </w:r>
      <w:r w:rsidRPr="00801D82">
        <w:t>U</w:t>
      </w:r>
      <w:r w:rsidR="009B376D" w:rsidRPr="00801D82">
        <w:t>POV.  Le</w:t>
      </w:r>
      <w:r w:rsidRPr="00801D82">
        <w:t> TWF a pris note des rapports de</w:t>
      </w:r>
      <w:r w:rsidR="002E0331" w:rsidRPr="00801D82">
        <w:t>s délégations de</w:t>
      </w:r>
      <w:r w:rsidRPr="00801D82">
        <w:t xml:space="preserve"> l</w:t>
      </w:r>
      <w:r w:rsidR="00EF1C79" w:rsidRPr="00801D82">
        <w:t>’</w:t>
      </w:r>
      <w:r w:rsidRPr="00801D82">
        <w:t>Australie, du Brésil et du Canada</w:t>
      </w:r>
      <w:r w:rsidR="002E0331" w:rsidRPr="00801D82">
        <w:t>,</w:t>
      </w:r>
      <w:r w:rsidRPr="00801D82">
        <w:t xml:space="preserve"> selon lesquels il pourrait y avoir des limites à la divulgation </w:t>
      </w:r>
      <w:r w:rsidRPr="00801D82">
        <w:lastRenderedPageBreak/>
        <w:t>de la filiation des variétés candidates dans leur pa</w:t>
      </w:r>
      <w:r w:rsidR="009B376D" w:rsidRPr="00801D82">
        <w:t>ys.  Le</w:t>
      </w:r>
      <w:r w:rsidRPr="00801D82">
        <w:t> TWF est convenu que les informations sur les variétés auraient une valeur pour l</w:t>
      </w:r>
      <w:r w:rsidR="00EF1C79" w:rsidRPr="00801D82">
        <w:t>’</w:t>
      </w:r>
      <w:r w:rsidRPr="00801D82">
        <w:t>examen DHS si la filiation était également indiquée.</w:t>
      </w:r>
    </w:p>
    <w:p w:rsidR="005104A9" w:rsidRPr="00801D82" w:rsidRDefault="005104A9" w:rsidP="005104A9"/>
    <w:p w:rsidR="005104A9" w:rsidRPr="00801D82" w:rsidRDefault="005104A9" w:rsidP="005104A9">
      <w:r w:rsidRPr="00801D82">
        <w:fldChar w:fldCharType="begin"/>
      </w:r>
      <w:r w:rsidRPr="00801D82">
        <w:instrText xml:space="preserve"> AUTONUM  </w:instrText>
      </w:r>
      <w:r w:rsidRPr="00801D82">
        <w:fldChar w:fldCharType="end"/>
      </w:r>
      <w:r w:rsidRPr="00801D82">
        <w:tab/>
        <w:t>Le TWF est convenu d</w:t>
      </w:r>
      <w:r w:rsidR="00EF1C79" w:rsidRPr="00801D82">
        <w:t>’</w:t>
      </w:r>
      <w:r w:rsidRPr="00801D82">
        <w:t>inviter l</w:t>
      </w:r>
      <w:r w:rsidR="00EF1C79" w:rsidRPr="00801D82">
        <w:t>’</w:t>
      </w:r>
      <w:r w:rsidRPr="00801D82">
        <w:t>Union européenne à réexaminer la pratique antérieure de collecte d</w:t>
      </w:r>
      <w:r w:rsidR="00EF1C79" w:rsidRPr="00801D82">
        <w:t>’</w:t>
      </w:r>
      <w:r w:rsidRPr="00801D82">
        <w:t>informations sur les demandes déposées pour la protection des variétés mutantes du pommier et à rendre compte des résultats à la prochaine sessi</w:t>
      </w:r>
      <w:r w:rsidR="009B376D" w:rsidRPr="00801D82">
        <w:t>on.  Le</w:t>
      </w:r>
      <w:r w:rsidRPr="00801D82">
        <w:t xml:space="preserve"> TWF </w:t>
      </w:r>
      <w:r w:rsidR="002E0331" w:rsidRPr="00801D82">
        <w:t>est</w:t>
      </w:r>
      <w:r w:rsidRPr="00801D82">
        <w:t xml:space="preserve"> convenu que les informations recueillies ne devaient être partagées qu</w:t>
      </w:r>
      <w:r w:rsidR="00EF1C79" w:rsidRPr="00801D82">
        <w:t>’</w:t>
      </w:r>
      <w:r w:rsidRPr="00801D82">
        <w:t>entre les autorités et ne devaient pas être rendues publiques.</w:t>
      </w:r>
    </w:p>
    <w:p w:rsidR="005104A9" w:rsidRPr="00801D82" w:rsidRDefault="005104A9" w:rsidP="005104A9"/>
    <w:p w:rsidR="005104A9" w:rsidRPr="00801D82" w:rsidRDefault="005104A9" w:rsidP="005104A9"/>
    <w:p w:rsidR="00015A45" w:rsidRPr="00801D82" w:rsidRDefault="00015A45" w:rsidP="00015A45">
      <w:pPr>
        <w:pStyle w:val="Heading2"/>
      </w:pPr>
      <w:bookmarkStart w:id="16" w:name="_Toc54200142"/>
      <w:bookmarkStart w:id="17" w:name="_Toc116914909"/>
      <w:r w:rsidRPr="00801D82">
        <w:t>Accès au matériel végétal aux fins de la gestion des collections de variétés et de l</w:t>
      </w:r>
      <w:r w:rsidR="00EF1C79" w:rsidRPr="00801D82">
        <w:t>’</w:t>
      </w:r>
      <w:r w:rsidRPr="00801D82">
        <w:t>examen DHS</w:t>
      </w:r>
      <w:bookmarkEnd w:id="16"/>
      <w:bookmarkEnd w:id="17"/>
    </w:p>
    <w:p w:rsidR="005104A9" w:rsidRPr="00801D82" w:rsidRDefault="005104A9" w:rsidP="005104A9">
      <w:pPr>
        <w:keepNext/>
      </w:pPr>
    </w:p>
    <w:p w:rsidR="005104A9" w:rsidRPr="00801D82" w:rsidRDefault="005104A9" w:rsidP="005104A9">
      <w:pPr>
        <w:keepNext/>
      </w:pPr>
      <w:r w:rsidRPr="00801D82">
        <w:fldChar w:fldCharType="begin"/>
      </w:r>
      <w:r w:rsidRPr="00801D82">
        <w:instrText xml:space="preserve"> AUTONUM  </w:instrText>
      </w:r>
      <w:r w:rsidRPr="00801D82">
        <w:fldChar w:fldCharType="end"/>
      </w:r>
      <w:r w:rsidRPr="00801D82">
        <w:tab/>
        <w:t>Le TWF a reçu une présentation d</w:t>
      </w:r>
      <w:r w:rsidR="00EF1C79" w:rsidRPr="00801D82">
        <w:t>’</w:t>
      </w:r>
      <w:r w:rsidRPr="00801D82">
        <w:t>un expert de l</w:t>
      </w:r>
      <w:r w:rsidR="00EF1C79" w:rsidRPr="00801D82">
        <w:t>’</w:t>
      </w:r>
      <w:r w:rsidRPr="00801D82">
        <w:t>Union européenne sur l</w:t>
      </w:r>
      <w:r w:rsidR="00EF1C79" w:rsidRPr="00801D82">
        <w:t>’</w:t>
      </w:r>
      <w:r w:rsidRPr="00801D82">
        <w:t>“Accès au matériel végétal aux fins de la gestion des collections de variétés et de l</w:t>
      </w:r>
      <w:r w:rsidR="00EF1C79" w:rsidRPr="00801D82">
        <w:t>’</w:t>
      </w:r>
      <w:r w:rsidRPr="00801D82">
        <w:t xml:space="preserve">examen DHS”.  Un exemplaire de la présentation et une lettre type pour la demande de matériel végétal figurent dans le </w:t>
      </w:r>
      <w:r w:rsidR="00EF1C79" w:rsidRPr="00801D82">
        <w:t>document TW</w:t>
      </w:r>
      <w:r w:rsidRPr="00801D82">
        <w:t>F/53/11 (voir le</w:t>
      </w:r>
      <w:r w:rsidR="002E0331" w:rsidRPr="00801D82">
        <w:t>s paragraphes 56 et 57 du</w:t>
      </w:r>
      <w:r w:rsidRPr="00801D82">
        <w:t xml:space="preserve"> document TWF/53/14 “</w:t>
      </w:r>
      <w:r w:rsidR="002E0331" w:rsidRPr="00801D82">
        <w:t>Compte rendu</w:t>
      </w:r>
      <w:r w:rsidR="00EF1C79" w:rsidRPr="00801D82">
        <w:t>”</w:t>
      </w:r>
      <w:r w:rsidRPr="00801D82">
        <w:t>).</w:t>
      </w:r>
    </w:p>
    <w:p w:rsidR="005104A9" w:rsidRPr="00801D82" w:rsidRDefault="005104A9" w:rsidP="005104A9"/>
    <w:p w:rsidR="00EF1C79" w:rsidRPr="00801D82" w:rsidRDefault="005104A9" w:rsidP="005104A9">
      <w:r w:rsidRPr="00801D82">
        <w:fldChar w:fldCharType="begin"/>
      </w:r>
      <w:r w:rsidRPr="00801D82">
        <w:instrText xml:space="preserve"> AUTONUM  </w:instrText>
      </w:r>
      <w:r w:rsidRPr="00801D82">
        <w:fldChar w:fldCharType="end"/>
      </w:r>
      <w:r w:rsidRPr="00801D82">
        <w:tab/>
        <w:t>Le TWF est convenu d</w:t>
      </w:r>
      <w:r w:rsidR="00EF1C79" w:rsidRPr="00801D82">
        <w:t>’</w:t>
      </w:r>
      <w:r w:rsidRPr="00801D82">
        <w:t>inviter l</w:t>
      </w:r>
      <w:r w:rsidR="00EF1C79" w:rsidRPr="00801D82">
        <w:t>’</w:t>
      </w:r>
      <w:r w:rsidRPr="00801D82">
        <w:t>Union européenne, avec le soutien de l</w:t>
      </w:r>
      <w:r w:rsidR="00EF1C79" w:rsidRPr="00801D82">
        <w:t>’</w:t>
      </w:r>
      <w:r w:rsidRPr="00801D82">
        <w:t>Allemagne, du Canada, de la France, de l</w:t>
      </w:r>
      <w:r w:rsidR="00EF1C79" w:rsidRPr="00801D82">
        <w:t>’</w:t>
      </w:r>
      <w:r w:rsidRPr="00801D82">
        <w:t xml:space="preserve">Italie et de la </w:t>
      </w:r>
      <w:r w:rsidR="00EF1C79" w:rsidRPr="00801D82">
        <w:t>Nouvelle-Zélande</w:t>
      </w:r>
      <w:r w:rsidRPr="00801D82">
        <w:t>, à établir une liste des éléments à inclure dans les demandes de soumission de matériel végétal de la variété candidate et de variétés notoirement connues aux fins de l</w:t>
      </w:r>
      <w:r w:rsidR="00EF1C79" w:rsidRPr="00801D82">
        <w:t>’</w:t>
      </w:r>
      <w:r w:rsidRPr="00801D82">
        <w:t>examen </w:t>
      </w:r>
      <w:r w:rsidR="009B376D" w:rsidRPr="00801D82">
        <w:t>DHS.  Le</w:t>
      </w:r>
      <w:r w:rsidRPr="00801D82">
        <w:t xml:space="preserve"> TWF </w:t>
      </w:r>
      <w:r w:rsidR="002E0331" w:rsidRPr="00801D82">
        <w:t xml:space="preserve">est </w:t>
      </w:r>
      <w:r w:rsidRPr="00801D82">
        <w:t>convenu que les projets d</w:t>
      </w:r>
      <w:r w:rsidR="00EF1C79" w:rsidRPr="00801D82">
        <w:t>’</w:t>
      </w:r>
      <w:r w:rsidRPr="00801D82">
        <w:t>éléments pourraient être développés pour un futur document d</w:t>
      </w:r>
      <w:r w:rsidR="00EF1C79" w:rsidRPr="00801D82">
        <w:t>’</w:t>
      </w:r>
      <w:r w:rsidRPr="00801D82">
        <w:t>orientation techniq</w:t>
      </w:r>
      <w:r w:rsidR="009B376D" w:rsidRPr="00801D82">
        <w:t>ue.  Le</w:t>
      </w:r>
      <w:r w:rsidRPr="00801D82">
        <w:t> TWF est convenu d</w:t>
      </w:r>
      <w:r w:rsidR="00EF1C79" w:rsidRPr="00801D82">
        <w:t>’</w:t>
      </w:r>
      <w:r w:rsidRPr="00801D82">
        <w:t>inviter l</w:t>
      </w:r>
      <w:r w:rsidR="00EF1C79" w:rsidRPr="00801D82">
        <w:t>’</w:t>
      </w:r>
      <w:r w:rsidRPr="00801D82">
        <w:t>Union européenne à rendre compte de l</w:t>
      </w:r>
      <w:r w:rsidR="00EF1C79" w:rsidRPr="00801D82">
        <w:t>’</w:t>
      </w:r>
      <w:r w:rsidRPr="00801D82">
        <w:t xml:space="preserve">évolution de la situation </w:t>
      </w:r>
      <w:r w:rsidR="002E0331" w:rsidRPr="00801D82">
        <w:t>à</w:t>
      </w:r>
      <w:r w:rsidRPr="00801D82">
        <w:t xml:space="preserve"> sa cinquante</w:t>
      </w:r>
      <w:r w:rsidR="00EF1C79" w:rsidRPr="00801D82">
        <w:t>-</w:t>
      </w:r>
      <w:r w:rsidRPr="00801D82">
        <w:t>quatr</w:t>
      </w:r>
      <w:r w:rsidR="00EF1C79" w:rsidRPr="00801D82">
        <w:t>ième session</w:t>
      </w:r>
      <w:r w:rsidRPr="00801D82">
        <w:t>.</w:t>
      </w:r>
    </w:p>
    <w:p w:rsidR="001C1341" w:rsidRPr="00801D82" w:rsidRDefault="001C1341" w:rsidP="00445B73">
      <w:pPr>
        <w:jc w:val="left"/>
        <w:rPr>
          <w:snapToGrid w:val="0"/>
        </w:rPr>
      </w:pPr>
    </w:p>
    <w:p w:rsidR="001C1341" w:rsidRPr="00801D82" w:rsidRDefault="001C1341" w:rsidP="001C1341">
      <w:pPr>
        <w:jc w:val="left"/>
      </w:pPr>
    </w:p>
    <w:p w:rsidR="00015A45" w:rsidRPr="00801D82" w:rsidRDefault="00015A45" w:rsidP="00015A45">
      <w:pPr>
        <w:pStyle w:val="Heading2"/>
      </w:pPr>
      <w:bookmarkStart w:id="18" w:name="_Toc54200139"/>
      <w:bookmarkStart w:id="19" w:name="_Toc116914910"/>
      <w:r w:rsidRPr="00801D82">
        <w:t>Utilisation de caractères de résistance aux maladies</w:t>
      </w:r>
      <w:bookmarkEnd w:id="18"/>
      <w:bookmarkEnd w:id="19"/>
    </w:p>
    <w:p w:rsidR="001C1341" w:rsidRPr="00801D82" w:rsidRDefault="001C1341" w:rsidP="001C1341"/>
    <w:p w:rsidR="001C1341" w:rsidRPr="00801D82" w:rsidRDefault="001C1341" w:rsidP="001C1341">
      <w:r w:rsidRPr="00801D82">
        <w:fldChar w:fldCharType="begin"/>
      </w:r>
      <w:r w:rsidRPr="00801D82">
        <w:instrText xml:space="preserve"> AUTONUM  </w:instrText>
      </w:r>
      <w:r w:rsidRPr="00801D82">
        <w:fldChar w:fldCharType="end"/>
      </w:r>
      <w:r w:rsidRPr="00801D82">
        <w:tab/>
        <w:t>Le TWV a reçu une présentation d</w:t>
      </w:r>
      <w:r w:rsidR="00EF1C79" w:rsidRPr="00801D82">
        <w:t>’</w:t>
      </w:r>
      <w:r w:rsidRPr="00801D82">
        <w:t xml:space="preserve">un expert de la </w:t>
      </w:r>
      <w:r w:rsidR="002E0331" w:rsidRPr="00801D82">
        <w:t xml:space="preserve">France </w:t>
      </w:r>
      <w:r w:rsidRPr="00801D82">
        <w:t>sur “</w:t>
      </w:r>
      <w:proofErr w:type="spellStart"/>
      <w:r w:rsidRPr="00801D82">
        <w:t>Harmorescoll</w:t>
      </w:r>
      <w:proofErr w:type="spellEnd"/>
      <w:r w:rsidRPr="00801D82">
        <w:t> – Vers une collection harmonisée de matériel de référence pour les essais de résistance pour l</w:t>
      </w:r>
      <w:r w:rsidR="00EF1C79" w:rsidRPr="00801D82">
        <w:t>’</w:t>
      </w:r>
      <w:r w:rsidRPr="00801D82">
        <w:t xml:space="preserve">examen DHS”.  Une copie de la présentation figure dans le </w:t>
      </w:r>
      <w:r w:rsidR="00EF1C79" w:rsidRPr="00801D82">
        <w:t>document TW</w:t>
      </w:r>
      <w:r w:rsidRPr="00801D82">
        <w:t>V/56/6</w:t>
      </w:r>
      <w:r w:rsidR="00E32799" w:rsidRPr="00801D82">
        <w:t> </w:t>
      </w:r>
      <w:r w:rsidRPr="00801D82">
        <w:t xml:space="preserve">Corr. (voir le </w:t>
      </w:r>
      <w:r w:rsidR="002E0331" w:rsidRPr="00801D82">
        <w:t xml:space="preserve">paragraphe 74 du </w:t>
      </w:r>
      <w:r w:rsidR="008F2286">
        <w:br/>
      </w:r>
      <w:r w:rsidRPr="00801D82">
        <w:t xml:space="preserve">document C/56/22 </w:t>
      </w:r>
      <w:r w:rsidR="00EF1C79" w:rsidRPr="00801D82">
        <w:t>“</w:t>
      </w:r>
      <w:r w:rsidR="002E0331" w:rsidRPr="00801D82">
        <w:t>Compte rendu</w:t>
      </w:r>
      <w:r w:rsidR="00EF1C79" w:rsidRPr="00801D82">
        <w:t>”</w:t>
      </w:r>
      <w:r w:rsidRPr="00801D82">
        <w:t>).</w:t>
      </w:r>
    </w:p>
    <w:p w:rsidR="001C1341" w:rsidRPr="00801D82" w:rsidRDefault="001C1341" w:rsidP="001C1341"/>
    <w:p w:rsidR="005104A9" w:rsidRPr="00801D82" w:rsidRDefault="005104A9" w:rsidP="001C1341"/>
    <w:p w:rsidR="00006EED" w:rsidRPr="00801D82" w:rsidRDefault="00015A45" w:rsidP="00015A45">
      <w:pPr>
        <w:pStyle w:val="Heading2"/>
      </w:pPr>
      <w:bookmarkStart w:id="20" w:name="_Toc116914911"/>
      <w:r w:rsidRPr="00801D82">
        <w:t>Résistance aux maladies chez les plantes ornementales</w:t>
      </w:r>
      <w:bookmarkEnd w:id="20"/>
    </w:p>
    <w:p w:rsidR="00015A45" w:rsidRPr="00801D82" w:rsidRDefault="00015A45" w:rsidP="00015A45"/>
    <w:p w:rsidR="00006EED" w:rsidRPr="00801D82" w:rsidRDefault="00006EED" w:rsidP="00006EED">
      <w:r w:rsidRPr="00801D82">
        <w:fldChar w:fldCharType="begin"/>
      </w:r>
      <w:r w:rsidRPr="00801D82">
        <w:instrText xml:space="preserve"> AUTONUM  </w:instrText>
      </w:r>
      <w:r w:rsidRPr="00801D82">
        <w:fldChar w:fldCharType="end"/>
      </w:r>
      <w:r w:rsidRPr="00801D82">
        <w:tab/>
        <w:t>Le TWO a reçu une présentation d</w:t>
      </w:r>
      <w:r w:rsidR="00EF1C79" w:rsidRPr="00801D82">
        <w:t>’</w:t>
      </w:r>
      <w:r w:rsidRPr="00801D82">
        <w:t>un expert des Pays</w:t>
      </w:r>
      <w:r w:rsidR="00EF1C79" w:rsidRPr="00801D82">
        <w:t>-</w:t>
      </w:r>
      <w:r w:rsidRPr="00801D82">
        <w:t xml:space="preserve">Bas sur la “Résistance des variétés de chrysanthème à </w:t>
      </w:r>
      <w:r w:rsidRPr="00801D82">
        <w:rPr>
          <w:i/>
        </w:rPr>
        <w:t xml:space="preserve">Puccinia </w:t>
      </w:r>
      <w:proofErr w:type="spellStart"/>
      <w:r w:rsidRPr="00801D82">
        <w:rPr>
          <w:i/>
        </w:rPr>
        <w:t>horiana</w:t>
      </w:r>
      <w:proofErr w:type="spellEnd"/>
      <w:r w:rsidRPr="00801D82">
        <w:t>– Rapport d</w:t>
      </w:r>
      <w:r w:rsidR="00EF1C79" w:rsidRPr="00801D82">
        <w:t>’</w:t>
      </w:r>
      <w:r w:rsidRPr="00801D82">
        <w:t xml:space="preserve">avancement concernant un nouveau caractère DHS potentiel”.  Une copie de la présentation figure dans le </w:t>
      </w:r>
      <w:r w:rsidR="00EF1C79" w:rsidRPr="00801D82">
        <w:t>document TW</w:t>
      </w:r>
      <w:r w:rsidRPr="00801D82">
        <w:t>O/54/4.  Le TWO a pris note des travaux présentés et a décidé d</w:t>
      </w:r>
      <w:r w:rsidR="00EF1C79" w:rsidRPr="00801D82">
        <w:t>’</w:t>
      </w:r>
      <w:r w:rsidRPr="00801D82">
        <w:t>inviter l</w:t>
      </w:r>
      <w:r w:rsidR="00EF1C79" w:rsidRPr="00801D82">
        <w:t>’</w:t>
      </w:r>
      <w:r w:rsidRPr="00801D82">
        <w:t>expert des Pays</w:t>
      </w:r>
      <w:r w:rsidR="00EF1C79" w:rsidRPr="00801D82">
        <w:t>-</w:t>
      </w:r>
      <w:r w:rsidRPr="00801D82">
        <w:t>Bas à rendre compte de l</w:t>
      </w:r>
      <w:r w:rsidR="00EF1C79" w:rsidRPr="00801D82">
        <w:t>’</w:t>
      </w:r>
      <w:r w:rsidRPr="00801D82">
        <w:t xml:space="preserve">évolution de la situation à sa </w:t>
      </w:r>
      <w:r w:rsidR="008F2286">
        <w:br/>
      </w:r>
      <w:r w:rsidRPr="00801D82">
        <w:t>cinquante</w:t>
      </w:r>
      <w:r w:rsidR="00EF1C79" w:rsidRPr="00801D82">
        <w:t>-</w:t>
      </w:r>
      <w:r w:rsidRPr="00801D82">
        <w:t>cinqu</w:t>
      </w:r>
      <w:r w:rsidR="00EF1C79" w:rsidRPr="00801D82">
        <w:t>ième session</w:t>
      </w:r>
      <w:r w:rsidRPr="00801D82">
        <w:t xml:space="preserve"> (voir</w:t>
      </w:r>
      <w:r w:rsidR="002E0331" w:rsidRPr="00801D82">
        <w:t xml:space="preserve"> les</w:t>
      </w:r>
      <w:r w:rsidRPr="00801D82">
        <w:t xml:space="preserve"> </w:t>
      </w:r>
      <w:r w:rsidR="002E0331" w:rsidRPr="00801D82">
        <w:t xml:space="preserve">paragraphes 37 à 39 du </w:t>
      </w:r>
      <w:r w:rsidR="00EF1C79" w:rsidRPr="00801D82">
        <w:t>document TW</w:t>
      </w:r>
      <w:r w:rsidRPr="00801D82">
        <w:t>O/54/6 “</w:t>
      </w:r>
      <w:r w:rsidR="002E0331" w:rsidRPr="00801D82">
        <w:t>Compte rendu</w:t>
      </w:r>
      <w:r w:rsidR="00EF1C79" w:rsidRPr="00801D82">
        <w:t>”</w:t>
      </w:r>
      <w:r w:rsidRPr="00801D82">
        <w:t>).</w:t>
      </w:r>
    </w:p>
    <w:p w:rsidR="00006EED" w:rsidRPr="00801D82" w:rsidRDefault="00006EED" w:rsidP="00006EED"/>
    <w:p w:rsidR="00EF1C79" w:rsidRPr="00801D82" w:rsidRDefault="00006EED" w:rsidP="00006EED">
      <w:r w:rsidRPr="00801D82">
        <w:fldChar w:fldCharType="begin"/>
      </w:r>
      <w:r w:rsidRPr="00801D82">
        <w:instrText xml:space="preserve"> AUTONUM  </w:instrText>
      </w:r>
      <w:r w:rsidRPr="00801D82">
        <w:fldChar w:fldCharType="end"/>
      </w:r>
      <w:r w:rsidRPr="00801D82">
        <w:tab/>
        <w:t xml:space="preserve">Le TWO a noté que la résistance à </w:t>
      </w:r>
      <w:r w:rsidRPr="00801D82">
        <w:rPr>
          <w:i/>
        </w:rPr>
        <w:t>P.</w:t>
      </w:r>
      <w:r w:rsidR="002050AE" w:rsidRPr="00801D82">
        <w:rPr>
          <w:i/>
        </w:rPr>
        <w:t> </w:t>
      </w:r>
      <w:proofErr w:type="spellStart"/>
      <w:r w:rsidRPr="00801D82">
        <w:rPr>
          <w:i/>
        </w:rPr>
        <w:t>horiana</w:t>
      </w:r>
      <w:proofErr w:type="spellEnd"/>
      <w:r w:rsidRPr="00801D82">
        <w:t xml:space="preserve"> est un objectif de sélection actuel et qu</w:t>
      </w:r>
      <w:r w:rsidR="00EF1C79" w:rsidRPr="00801D82">
        <w:t>’</w:t>
      </w:r>
      <w:r w:rsidRPr="00801D82">
        <w:t>elle n</w:t>
      </w:r>
      <w:r w:rsidR="00EF1C79" w:rsidRPr="00801D82">
        <w:t>’</w:t>
      </w:r>
      <w:r w:rsidRPr="00801D82">
        <w:t>est pas encore utilisée dans l</w:t>
      </w:r>
      <w:r w:rsidR="00EF1C79" w:rsidRPr="00801D82">
        <w:t>’</w:t>
      </w:r>
      <w:r w:rsidRPr="00801D82">
        <w:t>examen </w:t>
      </w:r>
      <w:r w:rsidR="009B376D" w:rsidRPr="00801D82">
        <w:t>DHS.  Le</w:t>
      </w:r>
      <w:r w:rsidRPr="00801D82">
        <w:t> TWO a pris note de l</w:t>
      </w:r>
      <w:r w:rsidR="00EF1C79" w:rsidRPr="00801D82">
        <w:t>’</w:t>
      </w:r>
      <w:r w:rsidRPr="00801D82">
        <w:t>invitation à poursuivre la participation à l</w:t>
      </w:r>
      <w:r w:rsidR="00EF1C79" w:rsidRPr="00801D82">
        <w:t>’</w:t>
      </w:r>
      <w:r w:rsidRPr="00801D82">
        <w:t>élaboration de la méthode d</w:t>
      </w:r>
      <w:r w:rsidR="00EF1C79" w:rsidRPr="00801D82">
        <w:t>’</w:t>
      </w:r>
      <w:r w:rsidRPr="00801D82">
        <w:t xml:space="preserve">évaluation </w:t>
      </w:r>
      <w:r w:rsidR="002E0331" w:rsidRPr="00801D82">
        <w:t>de ce caractère</w:t>
      </w:r>
      <w:r w:rsidRPr="00801D82">
        <w:t>.</w:t>
      </w:r>
    </w:p>
    <w:p w:rsidR="00006EED" w:rsidRPr="00801D82" w:rsidRDefault="00006EED" w:rsidP="00006EED"/>
    <w:p w:rsidR="00006EED" w:rsidRPr="00801D82" w:rsidRDefault="00006EED" w:rsidP="00006EED">
      <w:r w:rsidRPr="00801D82">
        <w:fldChar w:fldCharType="begin"/>
      </w:r>
      <w:r w:rsidRPr="00801D82">
        <w:instrText xml:space="preserve"> AUTONUM  </w:instrText>
      </w:r>
      <w:r w:rsidRPr="00801D82">
        <w:fldChar w:fldCharType="end"/>
      </w:r>
      <w:r w:rsidRPr="00801D82">
        <w:tab/>
        <w:t xml:space="preserve">Le TWO a pris note des exigences particulières en matière de maintien des isolats de </w:t>
      </w:r>
      <w:r w:rsidRPr="00801D82">
        <w:rPr>
          <w:i/>
        </w:rPr>
        <w:t>P</w:t>
      </w:r>
      <w:r w:rsidRPr="00801D82">
        <w:t>.</w:t>
      </w:r>
      <w:r w:rsidR="00E32799" w:rsidRPr="00801D82">
        <w:t> </w:t>
      </w:r>
      <w:proofErr w:type="spellStart"/>
      <w:r w:rsidRPr="00801D82">
        <w:rPr>
          <w:i/>
        </w:rPr>
        <w:t>horiana</w:t>
      </w:r>
      <w:proofErr w:type="spellEnd"/>
      <w:r w:rsidRPr="00801D82">
        <w:t xml:space="preserve"> et est convenu qu</w:t>
      </w:r>
      <w:r w:rsidR="00EF1C79" w:rsidRPr="00801D82">
        <w:t>’</w:t>
      </w:r>
      <w:r w:rsidRPr="00801D82">
        <w:t>un examen plus approfondi serait nécessaire avant d</w:t>
      </w:r>
      <w:r w:rsidR="00EF1C79" w:rsidRPr="00801D82">
        <w:t>’</w:t>
      </w:r>
      <w:r w:rsidRPr="00801D82">
        <w:t xml:space="preserve">introduire ce </w:t>
      </w:r>
      <w:r w:rsidR="002E0331" w:rsidRPr="00801D82">
        <w:t xml:space="preserve">caractère </w:t>
      </w:r>
      <w:r w:rsidRPr="00801D82">
        <w:t>dans les principes directeurs d</w:t>
      </w:r>
      <w:r w:rsidR="00EF1C79" w:rsidRPr="00801D82">
        <w:t>’</w:t>
      </w:r>
      <w:r w:rsidRPr="00801D82">
        <w:t>examen du chrysanthème.</w:t>
      </w:r>
    </w:p>
    <w:p w:rsidR="00006EED" w:rsidRPr="00801D82" w:rsidRDefault="00006EED" w:rsidP="001C1341"/>
    <w:p w:rsidR="005104A9" w:rsidRPr="00801D82" w:rsidRDefault="005104A9" w:rsidP="001C1341"/>
    <w:p w:rsidR="00015A45" w:rsidRPr="00801D82" w:rsidRDefault="00015A45" w:rsidP="00CC673C">
      <w:pPr>
        <w:pStyle w:val="Heading2"/>
      </w:pPr>
      <w:bookmarkStart w:id="21" w:name="_Toc54200138"/>
      <w:bookmarkStart w:id="22" w:name="_Toc116914912"/>
      <w:r w:rsidRPr="00801D82">
        <w:t>Nouvelles questions se posant pour l</w:t>
      </w:r>
      <w:r w:rsidR="00EF1C79" w:rsidRPr="00801D82">
        <w:t>’</w:t>
      </w:r>
      <w:r w:rsidRPr="00801D82">
        <w:t>examen DHS</w:t>
      </w:r>
      <w:bookmarkEnd w:id="21"/>
      <w:bookmarkEnd w:id="22"/>
    </w:p>
    <w:p w:rsidR="001C1341" w:rsidRPr="00801D82" w:rsidRDefault="001C1341" w:rsidP="00CC673C">
      <w:pPr>
        <w:keepNext/>
      </w:pPr>
    </w:p>
    <w:p w:rsidR="001C1341" w:rsidRPr="00801D82" w:rsidRDefault="001C1341" w:rsidP="00CC673C">
      <w:pPr>
        <w:keepNext/>
      </w:pPr>
      <w:r w:rsidRPr="00801D82">
        <w:fldChar w:fldCharType="begin"/>
      </w:r>
      <w:r w:rsidRPr="00801D82">
        <w:instrText xml:space="preserve"> AUTONUM  </w:instrText>
      </w:r>
      <w:r w:rsidRPr="00801D82">
        <w:fldChar w:fldCharType="end"/>
      </w:r>
      <w:r w:rsidRPr="00801D82">
        <w:tab/>
        <w:t>Le TWV a reçu les présentations suivantes faites par des experts de l</w:t>
      </w:r>
      <w:r w:rsidR="00EF1C79" w:rsidRPr="00801D82">
        <w:t>’</w:t>
      </w:r>
      <w:r w:rsidRPr="00801D82">
        <w:t xml:space="preserve">Union européenne, dont des copies figurent dans le </w:t>
      </w:r>
      <w:r w:rsidR="00EF1C79" w:rsidRPr="00801D82">
        <w:t>document TW</w:t>
      </w:r>
      <w:r w:rsidRPr="00801D82">
        <w:t>V/56/14 (paragraphe 75)</w:t>
      </w:r>
      <w:r w:rsidR="00EF1C79" w:rsidRPr="00801D82">
        <w:t> :</w:t>
      </w:r>
    </w:p>
    <w:p w:rsidR="001C1341" w:rsidRPr="00801D82" w:rsidRDefault="001C1341" w:rsidP="00CC673C">
      <w:pPr>
        <w:keepNext/>
      </w:pPr>
    </w:p>
    <w:p w:rsidR="001C1341" w:rsidRPr="00801D82" w:rsidRDefault="001C1341" w:rsidP="001C1341">
      <w:pPr>
        <w:pStyle w:val="ListParagraph"/>
        <w:numPr>
          <w:ilvl w:val="2"/>
          <w:numId w:val="2"/>
        </w:numPr>
        <w:ind w:left="1134" w:hanging="567"/>
      </w:pPr>
      <w:r w:rsidRPr="00801D82">
        <w:t>“Caractères avec une seule observation dans les essais pluriannuels”;</w:t>
      </w:r>
    </w:p>
    <w:p w:rsidR="001C1341" w:rsidRPr="00801D82" w:rsidRDefault="001C1341" w:rsidP="001C1341">
      <w:pPr>
        <w:pStyle w:val="ListParagraph"/>
        <w:numPr>
          <w:ilvl w:val="2"/>
          <w:numId w:val="2"/>
        </w:numPr>
        <w:ind w:left="1134" w:hanging="567"/>
      </w:pPr>
      <w:r w:rsidRPr="00801D82">
        <w:t>“Acceptation des rapports finaux basés sur des descriptions de variétés avec les mêmes notes”;</w:t>
      </w:r>
    </w:p>
    <w:p w:rsidR="001C1341" w:rsidRPr="00801D82" w:rsidRDefault="001C1341" w:rsidP="001C1341">
      <w:pPr>
        <w:pStyle w:val="ListParagraph"/>
        <w:numPr>
          <w:ilvl w:val="2"/>
          <w:numId w:val="2"/>
        </w:numPr>
        <w:ind w:left="1134" w:hanging="567"/>
      </w:pPr>
      <w:r w:rsidRPr="00801D82">
        <w:t>“Délivrance d</w:t>
      </w:r>
      <w:r w:rsidR="00EF1C79" w:rsidRPr="00801D82">
        <w:t>’</w:t>
      </w:r>
      <w:r w:rsidRPr="00801D82">
        <w:t>un rapport sur l</w:t>
      </w:r>
      <w:r w:rsidR="00EF1C79" w:rsidRPr="00801D82">
        <w:t>’</w:t>
      </w:r>
      <w:r w:rsidRPr="00801D82">
        <w:t>absence de variétés voisines mentionnées au chapitre 16 des descriptions variétales”.</w:t>
      </w:r>
    </w:p>
    <w:p w:rsidR="00AC3A8C" w:rsidRPr="00801D82" w:rsidRDefault="00AC3A8C" w:rsidP="00AC3A8C"/>
    <w:p w:rsidR="005104A9" w:rsidRPr="00801D82" w:rsidRDefault="005104A9" w:rsidP="00AC3A8C"/>
    <w:p w:rsidR="00015A45" w:rsidRPr="00801D82" w:rsidRDefault="00015A45" w:rsidP="00015A45">
      <w:pPr>
        <w:pStyle w:val="Heading2"/>
      </w:pPr>
      <w:bookmarkStart w:id="23" w:name="_Toc54200146"/>
      <w:bookmarkStart w:id="24" w:name="_Toc116914913"/>
      <w:r w:rsidRPr="00801D82">
        <w:lastRenderedPageBreak/>
        <w:t>Expériences avec de nouveaux types et de nouvelles espèces</w:t>
      </w:r>
      <w:bookmarkEnd w:id="23"/>
      <w:bookmarkEnd w:id="24"/>
    </w:p>
    <w:p w:rsidR="00AC3A8C" w:rsidRPr="00801D82" w:rsidRDefault="00AC3A8C" w:rsidP="00646AF0">
      <w:pPr>
        <w:keepNext/>
      </w:pPr>
    </w:p>
    <w:p w:rsidR="00AC3A8C" w:rsidRPr="00801D82" w:rsidRDefault="00AC3A8C" w:rsidP="00646AF0">
      <w:pPr>
        <w:keepNext/>
      </w:pPr>
      <w:r w:rsidRPr="00801D82">
        <w:fldChar w:fldCharType="begin"/>
      </w:r>
      <w:r w:rsidRPr="00801D82">
        <w:instrText xml:space="preserve"> AUTONUM  </w:instrText>
      </w:r>
      <w:r w:rsidRPr="00801D82">
        <w:fldChar w:fldCharType="end"/>
      </w:r>
      <w:r w:rsidRPr="00801D82">
        <w:tab/>
        <w:t>Le TWO a reçu un rapport d</w:t>
      </w:r>
      <w:r w:rsidR="00EF1C79" w:rsidRPr="00801D82">
        <w:t>’</w:t>
      </w:r>
      <w:r w:rsidRPr="00801D82">
        <w:t>un expert de l</w:t>
      </w:r>
      <w:r w:rsidR="00EF1C79" w:rsidRPr="00801D82">
        <w:t>’</w:t>
      </w:r>
      <w:r w:rsidRPr="00801D82">
        <w:t xml:space="preserve">Union européenne sur les demandes reçues pour des variétés ornementales de </w:t>
      </w:r>
      <w:proofErr w:type="spellStart"/>
      <w:r w:rsidRPr="00801D82">
        <w:rPr>
          <w:i/>
        </w:rPr>
        <w:t>Colocasia</w:t>
      </w:r>
      <w:proofErr w:type="spellEnd"/>
      <w:r w:rsidRPr="00801D82">
        <w:rPr>
          <w:i/>
        </w:rPr>
        <w:t xml:space="preserve"> </w:t>
      </w:r>
      <w:proofErr w:type="spellStart"/>
      <w:r w:rsidRPr="00801D82">
        <w:rPr>
          <w:i/>
        </w:rPr>
        <w:t>esculenta</w:t>
      </w:r>
      <w:proofErr w:type="spellEnd"/>
      <w:r w:rsidRPr="00801D82">
        <w:t xml:space="preserve"> (L.) Scho</w:t>
      </w:r>
      <w:r w:rsidR="009B376D" w:rsidRPr="00801D82">
        <w:t>tt.  Le</w:t>
      </w:r>
      <w:r w:rsidRPr="00801D82">
        <w:t> TWO a noté que les principes directeurs d</w:t>
      </w:r>
      <w:r w:rsidR="00EF1C79" w:rsidRPr="00801D82">
        <w:t>’</w:t>
      </w:r>
      <w:r w:rsidRPr="00801D82">
        <w:t xml:space="preserve">examen de </w:t>
      </w:r>
      <w:proofErr w:type="spellStart"/>
      <w:r w:rsidRPr="00801D82">
        <w:t>Colocasia</w:t>
      </w:r>
      <w:proofErr w:type="spellEnd"/>
      <w:r w:rsidRPr="00801D82">
        <w:t xml:space="preserve"> (</w:t>
      </w:r>
      <w:r w:rsidR="00EF1C79" w:rsidRPr="00801D82">
        <w:t>document TG</w:t>
      </w:r>
      <w:r w:rsidRPr="00801D82">
        <w:t>/255/1) n</w:t>
      </w:r>
      <w:r w:rsidR="00EF1C79" w:rsidRPr="00801D82">
        <w:t>’</w:t>
      </w:r>
      <w:r w:rsidRPr="00801D82">
        <w:t>ont pas été élaborés pour les variétés ornementales et a constaté que les participants n</w:t>
      </w:r>
      <w:r w:rsidR="00EF1C79" w:rsidRPr="00801D82">
        <w:t>’</w:t>
      </w:r>
      <w:r w:rsidRPr="00801D82">
        <w:t>ont aucune expérience de l</w:t>
      </w:r>
      <w:r w:rsidR="00EF1C79" w:rsidRPr="00801D82">
        <w:t>’</w:t>
      </w:r>
      <w:r w:rsidRPr="00801D82">
        <w:t>examen DHS de cette culture (paragraphe 63)</w:t>
      </w:r>
      <w:r w:rsidR="002E0331" w:rsidRPr="00801D82">
        <w:t>.</w:t>
      </w:r>
    </w:p>
    <w:p w:rsidR="00370794" w:rsidRPr="00801D82" w:rsidRDefault="00370794" w:rsidP="0045207C"/>
    <w:p w:rsidR="00CC673C" w:rsidRPr="00801D82" w:rsidRDefault="00CC673C" w:rsidP="0045207C"/>
    <w:p w:rsidR="00370794" w:rsidRPr="00801D82" w:rsidRDefault="00370794" w:rsidP="00370794">
      <w:pPr>
        <w:pStyle w:val="Heading2"/>
      </w:pPr>
      <w:bookmarkStart w:id="25" w:name="_Toc116914914"/>
      <w:r w:rsidRPr="00801D82">
        <w:t>Examen des variétés hybrides</w:t>
      </w:r>
      <w:bookmarkEnd w:id="25"/>
    </w:p>
    <w:p w:rsidR="00370794" w:rsidRPr="00801D82" w:rsidRDefault="00370794" w:rsidP="00370794"/>
    <w:p w:rsidR="00370794" w:rsidRPr="00801D82" w:rsidRDefault="00370794" w:rsidP="00370794">
      <w:r w:rsidRPr="00801D82">
        <w:fldChar w:fldCharType="begin"/>
      </w:r>
      <w:r w:rsidRPr="00801D82">
        <w:instrText xml:space="preserve"> AUTONUM  </w:instrText>
      </w:r>
      <w:r w:rsidRPr="00801D82">
        <w:fldChar w:fldCharType="end"/>
      </w:r>
      <w:r w:rsidRPr="00801D82">
        <w:tab/>
        <w:t>Le TWA a reçu une présentation d</w:t>
      </w:r>
      <w:r w:rsidR="00EF1C79" w:rsidRPr="00801D82">
        <w:t>’</w:t>
      </w:r>
      <w:r w:rsidRPr="00801D82">
        <w:t>un expert du Royaume</w:t>
      </w:r>
      <w:r w:rsidR="00EF1C79" w:rsidRPr="00801D82">
        <w:t>-</w:t>
      </w:r>
      <w:r w:rsidRPr="00801D82">
        <w:t>Uni sur “l</w:t>
      </w:r>
      <w:r w:rsidR="00EF1C79" w:rsidRPr="00801D82">
        <w:t>’</w:t>
      </w:r>
      <w:r w:rsidRPr="00801D82">
        <w:t xml:space="preserve">examen des variétés hybrides du blé”.  Une copie de la présentation figure dans le </w:t>
      </w:r>
      <w:r w:rsidR="00EF1C79" w:rsidRPr="00801D82">
        <w:t>document TW</w:t>
      </w:r>
      <w:r w:rsidRPr="00801D82">
        <w:t>A/51/10.  Le TWA est convenu que l</w:t>
      </w:r>
      <w:r w:rsidR="00EF1C79" w:rsidRPr="00801D82">
        <w:t>’</w:t>
      </w:r>
      <w:r w:rsidRPr="00801D82">
        <w:t>expérience acquise en matière d</w:t>
      </w:r>
      <w:r w:rsidR="00EF1C79" w:rsidRPr="00801D82">
        <w:t>’</w:t>
      </w:r>
      <w:r w:rsidRPr="00801D82">
        <w:t>examen DHS des variétés hybrides du blé produit</w:t>
      </w:r>
      <w:r w:rsidR="002E0331" w:rsidRPr="00801D82">
        <w:t>e</w:t>
      </w:r>
      <w:r w:rsidRPr="00801D82">
        <w:t>s par différentes méthodes de multiplication n</w:t>
      </w:r>
      <w:r w:rsidR="00EF1C79" w:rsidRPr="00801D82">
        <w:t>’</w:t>
      </w:r>
      <w:r w:rsidRPr="00801D82">
        <w:t>était pas suffisante pour envisager de modifier les normes d</w:t>
      </w:r>
      <w:r w:rsidR="00EF1C79" w:rsidRPr="00801D82">
        <w:t>’</w:t>
      </w:r>
      <w:r w:rsidRPr="00801D82">
        <w:t>homogénéité dans les principes directeurs d</w:t>
      </w:r>
      <w:r w:rsidR="00EF1C79" w:rsidRPr="00801D82">
        <w:t>’</w:t>
      </w:r>
      <w:r w:rsidRPr="00801D82">
        <w:t xml:space="preserve">examen (voir le </w:t>
      </w:r>
      <w:r w:rsidR="002E0331" w:rsidRPr="00801D82">
        <w:t xml:space="preserve">paragraphe 40 du </w:t>
      </w:r>
      <w:r w:rsidR="00EF1C79" w:rsidRPr="00801D82">
        <w:t>document TW</w:t>
      </w:r>
      <w:r w:rsidRPr="00801D82">
        <w:t>A/51/11 “</w:t>
      </w:r>
      <w:r w:rsidR="002E0331" w:rsidRPr="00801D82">
        <w:t>Compte rendu</w:t>
      </w:r>
      <w:r w:rsidRPr="00801D82">
        <w:t>”).</w:t>
      </w:r>
    </w:p>
    <w:p w:rsidR="00370794" w:rsidRPr="00801D82" w:rsidRDefault="00370794" w:rsidP="00370794"/>
    <w:p w:rsidR="005104A9" w:rsidRPr="00801D82" w:rsidRDefault="005104A9" w:rsidP="005104A9">
      <w:pPr>
        <w:jc w:val="left"/>
      </w:pPr>
    </w:p>
    <w:p w:rsidR="005104A9" w:rsidRPr="00801D82" w:rsidRDefault="005104A9" w:rsidP="005104A9">
      <w:pPr>
        <w:pStyle w:val="Heading2"/>
      </w:pPr>
      <w:bookmarkStart w:id="26" w:name="_Toc116914915"/>
      <w:r w:rsidRPr="00801D82">
        <w:t>Nouvelles technologies en matière d</w:t>
      </w:r>
      <w:r w:rsidR="00EF1C79" w:rsidRPr="00801D82">
        <w:t>’</w:t>
      </w:r>
      <w:r w:rsidRPr="00801D82">
        <w:t>examen DHS</w:t>
      </w:r>
      <w:bookmarkEnd w:id="26"/>
    </w:p>
    <w:p w:rsidR="005104A9" w:rsidRPr="00801D82" w:rsidRDefault="005104A9" w:rsidP="005104A9"/>
    <w:p w:rsidR="005104A9" w:rsidRPr="00801D82" w:rsidRDefault="005104A9" w:rsidP="005104A9">
      <w:r w:rsidRPr="00801D82">
        <w:fldChar w:fldCharType="begin"/>
      </w:r>
      <w:r w:rsidRPr="00801D82">
        <w:instrText xml:space="preserve"> AUTONUM  </w:instrText>
      </w:r>
      <w:r w:rsidRPr="00801D82">
        <w:fldChar w:fldCharType="end"/>
      </w:r>
      <w:r w:rsidRPr="00801D82">
        <w:tab/>
        <w:t>Le TWA a reçu une présentation d</w:t>
      </w:r>
      <w:r w:rsidR="00EF1C79" w:rsidRPr="00801D82">
        <w:t>’</w:t>
      </w:r>
      <w:r w:rsidRPr="00801D82">
        <w:t>un expert du Danemark sur “L</w:t>
      </w:r>
      <w:r w:rsidR="00EF1C79" w:rsidRPr="00801D82">
        <w:t>’</w:t>
      </w:r>
      <w:r w:rsidRPr="00801D82">
        <w:t>estimation de la longueur des plantes dans le blé d</w:t>
      </w:r>
      <w:r w:rsidR="00EF1C79" w:rsidRPr="00801D82">
        <w:t>’</w:t>
      </w:r>
      <w:r w:rsidRPr="00801D82">
        <w:t>hiver par l</w:t>
      </w:r>
      <w:r w:rsidR="00EF1C79" w:rsidRPr="00801D82">
        <w:t>’</w:t>
      </w:r>
      <w:r w:rsidRPr="00801D82">
        <w:t xml:space="preserve">imagerie par drone”.  Une copie de la présentation figure dans le </w:t>
      </w:r>
      <w:r w:rsidR="00EF1C79" w:rsidRPr="00801D82">
        <w:t>document TW</w:t>
      </w:r>
      <w:r w:rsidRPr="00801D82">
        <w:t>A/51/6.  Le TWA a pris note des travaux présentés et est convenu d</w:t>
      </w:r>
      <w:r w:rsidR="00EF1C79" w:rsidRPr="00801D82">
        <w:t>’</w:t>
      </w:r>
      <w:r w:rsidRPr="00801D82">
        <w:t>inviter l</w:t>
      </w:r>
      <w:r w:rsidR="00EF1C79" w:rsidRPr="00801D82">
        <w:t>’</w:t>
      </w:r>
      <w:r w:rsidRPr="00801D82">
        <w:t>expert du Danemark à rendre compte de l</w:t>
      </w:r>
      <w:r w:rsidR="00EF1C79" w:rsidRPr="00801D82">
        <w:t>’</w:t>
      </w:r>
      <w:r w:rsidRPr="00801D82">
        <w:t>évolution de la situation à sa cinquante</w:t>
      </w:r>
      <w:r w:rsidR="00EF1C79" w:rsidRPr="00801D82">
        <w:t>-</w:t>
      </w:r>
      <w:r w:rsidRPr="00801D82">
        <w:t>deux</w:t>
      </w:r>
      <w:r w:rsidR="00EF1C79" w:rsidRPr="00801D82">
        <w:t>ième session</w:t>
      </w:r>
      <w:r w:rsidRPr="00801D82">
        <w:t xml:space="preserve"> (voir le </w:t>
      </w:r>
      <w:r w:rsidR="002E0331" w:rsidRPr="00801D82">
        <w:t xml:space="preserve">paragraphe 38 du </w:t>
      </w:r>
      <w:r w:rsidR="00EF1C79" w:rsidRPr="00801D82">
        <w:t>document TW</w:t>
      </w:r>
      <w:r w:rsidRPr="00801D82">
        <w:t>A/51/11 “</w:t>
      </w:r>
      <w:r w:rsidR="002E0331" w:rsidRPr="00801D82">
        <w:t>Compte rendu</w:t>
      </w:r>
      <w:r w:rsidRPr="00801D82">
        <w:t>”).</w:t>
      </w:r>
    </w:p>
    <w:p w:rsidR="0045207C" w:rsidRPr="00801D82" w:rsidRDefault="0045207C" w:rsidP="0045207C"/>
    <w:p w:rsidR="00CC673C" w:rsidRPr="00801D82" w:rsidRDefault="00CC673C" w:rsidP="0045207C"/>
    <w:p w:rsidR="00831EE0" w:rsidRPr="00801D82" w:rsidRDefault="00831EE0" w:rsidP="00831EE0">
      <w:pPr>
        <w:pStyle w:val="Heading2"/>
      </w:pPr>
      <w:bookmarkStart w:id="27" w:name="_Toc116914916"/>
      <w:r w:rsidRPr="00801D82">
        <w:t xml:space="preserve">Plateforme de </w:t>
      </w:r>
      <w:proofErr w:type="spellStart"/>
      <w:r w:rsidRPr="00801D82">
        <w:t>mégadonnées</w:t>
      </w:r>
      <w:proofErr w:type="spellEnd"/>
      <w:r w:rsidRPr="00801D82">
        <w:t xml:space="preserve"> pour l</w:t>
      </w:r>
      <w:r w:rsidR="00EF1C79" w:rsidRPr="00801D82">
        <w:t>’</w:t>
      </w:r>
      <w:r w:rsidRPr="00801D82">
        <w:t>examen DHS</w:t>
      </w:r>
      <w:bookmarkEnd w:id="27"/>
    </w:p>
    <w:p w:rsidR="00831EE0" w:rsidRPr="00801D82" w:rsidRDefault="00831EE0" w:rsidP="00831EE0"/>
    <w:p w:rsidR="00831EE0" w:rsidRPr="00801D82" w:rsidRDefault="00831EE0" w:rsidP="00831EE0">
      <w:r w:rsidRPr="00801D82">
        <w:fldChar w:fldCharType="begin"/>
      </w:r>
      <w:r w:rsidRPr="00801D82">
        <w:instrText xml:space="preserve"> AUTONUM  </w:instrText>
      </w:r>
      <w:r w:rsidRPr="00801D82">
        <w:fldChar w:fldCharType="end"/>
      </w:r>
      <w:r w:rsidRPr="00801D82">
        <w:tab/>
        <w:t>Le TWA a reçu une présentation d</w:t>
      </w:r>
      <w:r w:rsidR="00EF1C79" w:rsidRPr="00801D82">
        <w:t>’</w:t>
      </w:r>
      <w:r w:rsidRPr="00801D82">
        <w:t xml:space="preserve">un expert de la Chine sur la “Plateforme de </w:t>
      </w:r>
      <w:proofErr w:type="spellStart"/>
      <w:r w:rsidRPr="00801D82">
        <w:t>mégadonnées</w:t>
      </w:r>
      <w:proofErr w:type="spellEnd"/>
      <w:r w:rsidRPr="00801D82">
        <w:t xml:space="preserve"> pour l</w:t>
      </w:r>
      <w:r w:rsidR="00EF1C79" w:rsidRPr="00801D82">
        <w:t>’</w:t>
      </w:r>
      <w:r w:rsidRPr="00801D82">
        <w:t xml:space="preserve">examen DHS”.  Une copie de la présentation figure dans le </w:t>
      </w:r>
      <w:r w:rsidR="00EF1C79" w:rsidRPr="00801D82">
        <w:t>document TW</w:t>
      </w:r>
      <w:r w:rsidRPr="00801D82">
        <w:t>A/51/7.  Le TWA a pris note des travaux présentés et a décidé d</w:t>
      </w:r>
      <w:r w:rsidR="00EF1C79" w:rsidRPr="00801D82">
        <w:t>’</w:t>
      </w:r>
      <w:r w:rsidRPr="00801D82">
        <w:t>inviter l</w:t>
      </w:r>
      <w:r w:rsidR="00EF1C79" w:rsidRPr="00801D82">
        <w:t>’</w:t>
      </w:r>
      <w:r w:rsidRPr="00801D82">
        <w:t>expert de la Chine à rendre compte de l</w:t>
      </w:r>
      <w:r w:rsidR="00EF1C79" w:rsidRPr="00801D82">
        <w:t>’</w:t>
      </w:r>
      <w:r w:rsidRPr="00801D82">
        <w:t>évolution de la situation à sa cinquante</w:t>
      </w:r>
      <w:r w:rsidR="00EF1C79" w:rsidRPr="00801D82">
        <w:t>-</w:t>
      </w:r>
      <w:r w:rsidRPr="00801D82">
        <w:t>deux</w:t>
      </w:r>
      <w:r w:rsidR="00EF1C79" w:rsidRPr="00801D82">
        <w:t>ième session</w:t>
      </w:r>
      <w:r w:rsidRPr="00801D82">
        <w:t xml:space="preserve"> (voir le </w:t>
      </w:r>
      <w:r w:rsidR="002E0331" w:rsidRPr="00801D82">
        <w:t xml:space="preserve">paragraphe 39 du </w:t>
      </w:r>
      <w:r w:rsidR="00EF1C79" w:rsidRPr="00801D82">
        <w:t>document TW</w:t>
      </w:r>
      <w:r w:rsidRPr="00801D82">
        <w:t>A/51/11 “</w:t>
      </w:r>
      <w:r w:rsidR="002E0331" w:rsidRPr="00801D82">
        <w:t>Compte rendu</w:t>
      </w:r>
      <w:r w:rsidRPr="00801D82">
        <w:t>”).</w:t>
      </w:r>
    </w:p>
    <w:p w:rsidR="005104A9" w:rsidRPr="00801D82" w:rsidRDefault="005104A9" w:rsidP="005104A9"/>
    <w:p w:rsidR="00CC673C" w:rsidRPr="00801D82" w:rsidRDefault="00CC673C" w:rsidP="005104A9"/>
    <w:p w:rsidR="005104A9" w:rsidRPr="00801D82" w:rsidRDefault="005104A9" w:rsidP="005104A9">
      <w:pPr>
        <w:keepNext/>
        <w:keepLines/>
      </w:pPr>
      <w:bookmarkStart w:id="28" w:name="_Toc116914917"/>
      <w:r w:rsidRPr="00801D82">
        <w:rPr>
          <w:rStyle w:val="Heading2Char"/>
        </w:rPr>
        <w:t>L</w:t>
      </w:r>
      <w:r w:rsidR="00EF1C79" w:rsidRPr="00801D82">
        <w:rPr>
          <w:rStyle w:val="Heading2Char"/>
        </w:rPr>
        <w:t>’</w:t>
      </w:r>
      <w:r w:rsidRPr="00801D82">
        <w:rPr>
          <w:rStyle w:val="Heading2Char"/>
        </w:rPr>
        <w:t>évaluation de la couleur dans les plantes fruitières</w:t>
      </w:r>
      <w:bookmarkEnd w:id="28"/>
    </w:p>
    <w:p w:rsidR="005104A9" w:rsidRPr="00801D82" w:rsidRDefault="005104A9" w:rsidP="005104A9">
      <w:pPr>
        <w:keepNext/>
        <w:keepLines/>
      </w:pPr>
    </w:p>
    <w:p w:rsidR="005104A9" w:rsidRPr="00801D82" w:rsidRDefault="005104A9" w:rsidP="005104A9">
      <w:pPr>
        <w:keepNext/>
        <w:keepLines/>
        <w:autoSpaceDE w:val="0"/>
        <w:autoSpaceDN w:val="0"/>
        <w:adjustRightInd w:val="0"/>
      </w:pPr>
      <w:r w:rsidRPr="00801D82">
        <w:fldChar w:fldCharType="begin"/>
      </w:r>
      <w:r w:rsidRPr="00801D82">
        <w:instrText xml:space="preserve"> AUTONUM  </w:instrText>
      </w:r>
      <w:r w:rsidRPr="00801D82">
        <w:fldChar w:fldCharType="end"/>
      </w:r>
      <w:r w:rsidRPr="00801D82">
        <w:tab/>
        <w:t>Le TWF a reçu une présentation d</w:t>
      </w:r>
      <w:r w:rsidR="00EF1C79" w:rsidRPr="00801D82">
        <w:t>’</w:t>
      </w:r>
      <w:r w:rsidRPr="00801D82">
        <w:t>un expert de la Nouvelle</w:t>
      </w:r>
      <w:r w:rsidR="00EF1C79" w:rsidRPr="00801D82">
        <w:t>-</w:t>
      </w:r>
      <w:r w:rsidRPr="00801D82">
        <w:t>Zélande sur “L</w:t>
      </w:r>
      <w:r w:rsidR="00EF1C79" w:rsidRPr="00801D82">
        <w:t>’</w:t>
      </w:r>
      <w:r w:rsidRPr="00801D82">
        <w:t>évaluation de la couleur dans les plantes fruitières</w:t>
      </w:r>
      <w:r w:rsidR="00EF1C79" w:rsidRPr="00801D82">
        <w:t> :</w:t>
      </w:r>
      <w:r w:rsidRPr="00801D82">
        <w:t xml:space="preserve"> Une approche différente?”.  Une copie de la présentation figure dans le </w:t>
      </w:r>
      <w:r w:rsidR="008F2286">
        <w:br/>
      </w:r>
      <w:r w:rsidR="00EF1C79" w:rsidRPr="00801D82">
        <w:t>document TW</w:t>
      </w:r>
      <w:r w:rsidRPr="00801D82">
        <w:t xml:space="preserve">F/53/5 (voir </w:t>
      </w:r>
      <w:r w:rsidR="002E0331" w:rsidRPr="00801D82">
        <w:t xml:space="preserve">les paragraphes 58 à 60 du </w:t>
      </w:r>
      <w:r w:rsidR="00EF1C79" w:rsidRPr="00801D82">
        <w:t>document TW</w:t>
      </w:r>
      <w:r w:rsidRPr="00801D82">
        <w:t>F/53/14 “</w:t>
      </w:r>
      <w:r w:rsidR="002E0331" w:rsidRPr="00801D82">
        <w:t>Compte rendu</w:t>
      </w:r>
      <w:r w:rsidRPr="00801D82">
        <w:t>”).</w:t>
      </w:r>
    </w:p>
    <w:p w:rsidR="005104A9" w:rsidRPr="00801D82" w:rsidRDefault="005104A9" w:rsidP="005104A9">
      <w:pPr>
        <w:keepNext/>
        <w:keepLines/>
      </w:pPr>
    </w:p>
    <w:p w:rsidR="00EF1C79" w:rsidRPr="00801D82" w:rsidRDefault="005104A9" w:rsidP="005104A9">
      <w:r w:rsidRPr="00801D82">
        <w:fldChar w:fldCharType="begin"/>
      </w:r>
      <w:r w:rsidRPr="00801D82">
        <w:instrText xml:space="preserve"> AUTONUM  </w:instrText>
      </w:r>
      <w:r w:rsidRPr="00801D82">
        <w:fldChar w:fldCharType="end"/>
      </w:r>
      <w:r w:rsidRPr="00801D82">
        <w:tab/>
        <w:t>Le TWF a noté que le code RHS des couleurs était envisagé en Nouvelle</w:t>
      </w:r>
      <w:r w:rsidR="00EF1C79" w:rsidRPr="00801D82">
        <w:t>-</w:t>
      </w:r>
      <w:r w:rsidRPr="00801D82">
        <w:t>Zélande pour l</w:t>
      </w:r>
      <w:r w:rsidR="00EF1C79" w:rsidRPr="00801D82">
        <w:t>’</w:t>
      </w:r>
      <w:r w:rsidRPr="00801D82">
        <w:t>évaluation de la couleur des plantes fruitièr</w:t>
      </w:r>
      <w:r w:rsidR="009B376D" w:rsidRPr="00801D82">
        <w:t>es.  Le</w:t>
      </w:r>
      <w:r w:rsidRPr="00801D82">
        <w:t> TWF a noté que l</w:t>
      </w:r>
      <w:r w:rsidR="00EF1C79" w:rsidRPr="00801D82">
        <w:t>’</w:t>
      </w:r>
      <w:r w:rsidRPr="00801D82">
        <w:t xml:space="preserve">évaluation de la couleur des plantes fruitières présentait un certain nombre de difficultés et </w:t>
      </w:r>
      <w:r w:rsidR="002E0331" w:rsidRPr="00801D82">
        <w:t xml:space="preserve">est </w:t>
      </w:r>
      <w:r w:rsidRPr="00801D82">
        <w:t>convenu que l</w:t>
      </w:r>
      <w:r w:rsidR="00EF1C79" w:rsidRPr="00801D82">
        <w:t>’</w:t>
      </w:r>
      <w:r w:rsidRPr="00801D82">
        <w:t>utilisation de nuanciers pourrait être envisagée pour la description des variétés et à l</w:t>
      </w:r>
      <w:r w:rsidR="00EF1C79" w:rsidRPr="00801D82">
        <w:t>’</w:t>
      </w:r>
      <w:r w:rsidRPr="00801D82">
        <w:t>appui des observations.</w:t>
      </w:r>
    </w:p>
    <w:p w:rsidR="005104A9" w:rsidRPr="00801D82" w:rsidRDefault="005104A9" w:rsidP="005104A9"/>
    <w:p w:rsidR="00EF1C79" w:rsidRPr="00801D82" w:rsidRDefault="005104A9" w:rsidP="005104A9">
      <w:r w:rsidRPr="00801D82">
        <w:fldChar w:fldCharType="begin"/>
      </w:r>
      <w:r w:rsidRPr="00801D82">
        <w:instrText xml:space="preserve"> AUTONUM  </w:instrText>
      </w:r>
      <w:r w:rsidRPr="00801D82">
        <w:fldChar w:fldCharType="end"/>
      </w:r>
      <w:r w:rsidRPr="00801D82">
        <w:tab/>
        <w:t>Le TWF est convenu d</w:t>
      </w:r>
      <w:r w:rsidR="00EF1C79" w:rsidRPr="00801D82">
        <w:t>’</w:t>
      </w:r>
      <w:r w:rsidRPr="00801D82">
        <w:t>inclure un point à l</w:t>
      </w:r>
      <w:r w:rsidR="00EF1C79" w:rsidRPr="00801D82">
        <w:t>’</w:t>
      </w:r>
      <w:r w:rsidRPr="00801D82">
        <w:t xml:space="preserve">ordre du jour et </w:t>
      </w:r>
      <w:r w:rsidR="002E0331" w:rsidRPr="00801D82">
        <w:t xml:space="preserve">de solliciter </w:t>
      </w:r>
      <w:r w:rsidRPr="00801D82">
        <w:t>des présentations sur les méthodes alternatives d</w:t>
      </w:r>
      <w:r w:rsidR="00EF1C79" w:rsidRPr="00801D82">
        <w:t>’</w:t>
      </w:r>
      <w:r w:rsidRPr="00801D82">
        <w:t>évaluation de la couleur des plantes fruitières à sa cinquante</w:t>
      </w:r>
      <w:r w:rsidR="00EF1C79" w:rsidRPr="00801D82">
        <w:t>-</w:t>
      </w:r>
      <w:r w:rsidRPr="00801D82">
        <w:t>quatr</w:t>
      </w:r>
      <w:r w:rsidR="00EF1C79" w:rsidRPr="00801D82">
        <w:t>ième session</w:t>
      </w:r>
      <w:r w:rsidRPr="00801D82">
        <w:t>.</w:t>
      </w:r>
    </w:p>
    <w:p w:rsidR="00370794" w:rsidRPr="00801D82" w:rsidRDefault="00370794" w:rsidP="00F671F0">
      <w:pPr>
        <w:jc w:val="left"/>
      </w:pPr>
    </w:p>
    <w:p w:rsidR="005104A9" w:rsidRPr="00801D82" w:rsidRDefault="005104A9" w:rsidP="00F671F0">
      <w:pPr>
        <w:jc w:val="left"/>
      </w:pPr>
    </w:p>
    <w:p w:rsidR="00015A45" w:rsidRPr="00801D82" w:rsidRDefault="00015A45" w:rsidP="00CC673C">
      <w:pPr>
        <w:pStyle w:val="Heading2"/>
      </w:pPr>
      <w:bookmarkStart w:id="29" w:name="_Toc54200151"/>
      <w:bookmarkStart w:id="30" w:name="_Toc116914918"/>
      <w:r w:rsidRPr="00801D82">
        <w:t>Établissement de phénotypes et analyse d</w:t>
      </w:r>
      <w:r w:rsidR="00EF1C79" w:rsidRPr="00801D82">
        <w:t>’</w:t>
      </w:r>
      <w:r w:rsidRPr="00801D82">
        <w:t>images</w:t>
      </w:r>
      <w:bookmarkEnd w:id="29"/>
      <w:bookmarkEnd w:id="30"/>
    </w:p>
    <w:p w:rsidR="00F671F0" w:rsidRPr="00801D82" w:rsidRDefault="00F671F0" w:rsidP="00CC673C">
      <w:pPr>
        <w:keepNext/>
        <w:jc w:val="left"/>
      </w:pPr>
    </w:p>
    <w:p w:rsidR="00EF1C79" w:rsidRPr="00801D82" w:rsidRDefault="00F671F0" w:rsidP="00F671F0">
      <w:r w:rsidRPr="00801D82">
        <w:fldChar w:fldCharType="begin"/>
      </w:r>
      <w:r w:rsidRPr="00801D82">
        <w:instrText xml:space="preserve"> AUTONUM  </w:instrText>
      </w:r>
      <w:r w:rsidRPr="00801D82">
        <w:fldChar w:fldCharType="end"/>
      </w:r>
      <w:r w:rsidRPr="00801D82">
        <w:tab/>
        <w:t>Le TWM a assisté à une présentation de M. </w:t>
      </w:r>
      <w:proofErr w:type="spellStart"/>
      <w:r w:rsidRPr="00801D82">
        <w:t>Woo</w:t>
      </w:r>
      <w:proofErr w:type="spellEnd"/>
      <w:r w:rsidRPr="00801D82">
        <w:t xml:space="preserve"> Gun Shin (République de Corée) sur </w:t>
      </w:r>
      <w:r w:rsidR="008F2286">
        <w:br/>
      </w:r>
      <w:r w:rsidRPr="00801D82">
        <w:t>“l</w:t>
      </w:r>
      <w:r w:rsidR="00EF1C79" w:rsidRPr="00801D82">
        <w:t>’</w:t>
      </w:r>
      <w:r w:rsidRPr="00801D82">
        <w:t>analyse d</w:t>
      </w:r>
      <w:r w:rsidR="00EF1C79" w:rsidRPr="00801D82">
        <w:t>’</w:t>
      </w:r>
      <w:r w:rsidRPr="00801D82">
        <w:t>images dans l</w:t>
      </w:r>
      <w:r w:rsidR="00EF1C79" w:rsidRPr="00801D82">
        <w:t>’</w:t>
      </w:r>
      <w:r w:rsidRPr="00801D82">
        <w:t xml:space="preserve">examen des variétés végétales”, dont une copie est reproduite dans le </w:t>
      </w:r>
      <w:r w:rsidR="00EF1C79" w:rsidRPr="00801D82">
        <w:t>document TW</w:t>
      </w:r>
      <w:r w:rsidRPr="00801D82">
        <w:t>M/1/4 (voir le</w:t>
      </w:r>
      <w:r w:rsidR="002E0331" w:rsidRPr="00801D82">
        <w:t>s paragraphes 61 à 68 du</w:t>
      </w:r>
      <w:r w:rsidRPr="00801D82">
        <w:t xml:space="preserve"> </w:t>
      </w:r>
      <w:r w:rsidR="00EF1C79" w:rsidRPr="00801D82">
        <w:t>document TW</w:t>
      </w:r>
      <w:r w:rsidRPr="00801D82">
        <w:t>M/1/26 “</w:t>
      </w:r>
      <w:r w:rsidR="002E0331" w:rsidRPr="00801D82">
        <w:t>Compte rendu</w:t>
      </w:r>
      <w:r w:rsidRPr="00801D82">
        <w:t>”).</w:t>
      </w:r>
    </w:p>
    <w:p w:rsidR="00F671F0" w:rsidRPr="00801D82" w:rsidRDefault="00F671F0" w:rsidP="00F671F0"/>
    <w:p w:rsidR="00EF1C79" w:rsidRPr="00801D82" w:rsidRDefault="00F671F0" w:rsidP="00F671F0">
      <w:r w:rsidRPr="00801D82">
        <w:fldChar w:fldCharType="begin"/>
      </w:r>
      <w:r w:rsidRPr="00801D82">
        <w:instrText xml:space="preserve"> AUTONUM  </w:instrText>
      </w:r>
      <w:r w:rsidRPr="00801D82">
        <w:fldChar w:fldCharType="end"/>
      </w:r>
      <w:r w:rsidRPr="00801D82">
        <w:tab/>
        <w:t>Des précisions ont été apportées sur les conditions de correction des images en intérieur et en extérieur et sur l</w:t>
      </w:r>
      <w:r w:rsidR="00EF1C79" w:rsidRPr="00801D82">
        <w:t>’</w:t>
      </w:r>
      <w:r w:rsidRPr="00801D82">
        <w:t>utilisation de logiciels pour l</w:t>
      </w:r>
      <w:r w:rsidR="00EF1C79" w:rsidRPr="00801D82">
        <w:t>’</w:t>
      </w:r>
      <w:r w:rsidRPr="00801D82">
        <w:t>analyse de la couleur des fleurs.</w:t>
      </w:r>
    </w:p>
    <w:p w:rsidR="00F671F0" w:rsidRPr="00801D82" w:rsidRDefault="00F671F0" w:rsidP="00F671F0">
      <w:pPr>
        <w:jc w:val="left"/>
      </w:pPr>
    </w:p>
    <w:p w:rsidR="00EF1C79" w:rsidRPr="00801D82" w:rsidRDefault="00F671F0" w:rsidP="00F671F0">
      <w:r w:rsidRPr="00801D82">
        <w:fldChar w:fldCharType="begin"/>
      </w:r>
      <w:r w:rsidRPr="00801D82">
        <w:instrText xml:space="preserve"> AUTONUM  </w:instrText>
      </w:r>
      <w:r w:rsidRPr="00801D82">
        <w:fldChar w:fldCharType="end"/>
      </w:r>
      <w:r w:rsidRPr="00801D82">
        <w:tab/>
        <w:t>Le TWM a reçu une présentation de Mme </w:t>
      </w:r>
      <w:proofErr w:type="spellStart"/>
      <w:r w:rsidRPr="00801D82">
        <w:t>Yanfang</w:t>
      </w:r>
      <w:proofErr w:type="spellEnd"/>
      <w:r w:rsidRPr="00801D82">
        <w:t xml:space="preserve"> Liu (Chine) sur le “Système d</w:t>
      </w:r>
      <w:r w:rsidR="00EF1C79" w:rsidRPr="00801D82">
        <w:t>’</w:t>
      </w:r>
      <w:r w:rsidRPr="00801D82">
        <w:t>analyse d</w:t>
      </w:r>
      <w:r w:rsidR="00EF1C79" w:rsidRPr="00801D82">
        <w:t>’</w:t>
      </w:r>
      <w:r w:rsidRPr="00801D82">
        <w:t xml:space="preserve">imagerie couleur”, dont une copie est reproduite dans le </w:t>
      </w:r>
      <w:r w:rsidR="00EF1C79" w:rsidRPr="00801D82">
        <w:t>document TW</w:t>
      </w:r>
      <w:r w:rsidRPr="00801D82">
        <w:t>M/1/5.</w:t>
      </w:r>
    </w:p>
    <w:p w:rsidR="00F671F0" w:rsidRPr="00801D82" w:rsidRDefault="00F671F0" w:rsidP="00F671F0">
      <w:pPr>
        <w:keepNext/>
        <w:jc w:val="left"/>
      </w:pPr>
    </w:p>
    <w:p w:rsidR="00F671F0" w:rsidRPr="00801D82" w:rsidRDefault="00F671F0" w:rsidP="00F671F0">
      <w:pPr>
        <w:keepNext/>
      </w:pPr>
      <w:r w:rsidRPr="00801D82">
        <w:fldChar w:fldCharType="begin"/>
      </w:r>
      <w:r w:rsidRPr="00801D82">
        <w:instrText xml:space="preserve"> AUTONUM  </w:instrText>
      </w:r>
      <w:r w:rsidRPr="00801D82">
        <w:fldChar w:fldCharType="end"/>
      </w:r>
      <w:r w:rsidRPr="00801D82">
        <w:tab/>
        <w:t>Le TWM a reçu une présentation de M. </w:t>
      </w:r>
      <w:proofErr w:type="spellStart"/>
      <w:r w:rsidRPr="00801D82">
        <w:t>Yongxiang</w:t>
      </w:r>
      <w:proofErr w:type="spellEnd"/>
      <w:r w:rsidRPr="00801D82">
        <w:t xml:space="preserve"> Tong (Chine) sur le “processeur d</w:t>
      </w:r>
      <w:r w:rsidR="00EF1C79" w:rsidRPr="00801D82">
        <w:t>’</w:t>
      </w:r>
      <w:r w:rsidRPr="00801D82">
        <w:t>images des caractéristiques de l</w:t>
      </w:r>
      <w:r w:rsidR="00EF1C79" w:rsidRPr="00801D82">
        <w:t>’</w:t>
      </w:r>
      <w:r w:rsidRPr="00801D82">
        <w:t xml:space="preserve">examen DHS”, dont une copie est reproduite dans le </w:t>
      </w:r>
      <w:r w:rsidR="00EF1C79" w:rsidRPr="00801D82">
        <w:t>document TW</w:t>
      </w:r>
      <w:r w:rsidRPr="00801D82">
        <w:t>M/1/6.</w:t>
      </w:r>
    </w:p>
    <w:p w:rsidR="00F671F0" w:rsidRPr="00801D82" w:rsidRDefault="00F671F0" w:rsidP="00F671F0">
      <w:pPr>
        <w:jc w:val="left"/>
      </w:pPr>
    </w:p>
    <w:p w:rsidR="00F671F0" w:rsidRPr="00801D82" w:rsidRDefault="00F671F0" w:rsidP="00F671F0">
      <w:pPr>
        <w:keepNext/>
      </w:pPr>
      <w:r w:rsidRPr="00801D82">
        <w:fldChar w:fldCharType="begin"/>
      </w:r>
      <w:r w:rsidRPr="00801D82">
        <w:instrText xml:space="preserve"> AUTONUM  </w:instrText>
      </w:r>
      <w:r w:rsidRPr="00801D82">
        <w:fldChar w:fldCharType="end"/>
      </w:r>
      <w:r w:rsidRPr="00801D82">
        <w:tab/>
        <w:t>Le TWM a reçu une présentation de Mme Margaret</w:t>
      </w:r>
      <w:r w:rsidR="00CC673C" w:rsidRPr="00801D82">
        <w:t> </w:t>
      </w:r>
      <w:r w:rsidRPr="00801D82">
        <w:t>Wallace (Royaume</w:t>
      </w:r>
      <w:r w:rsidR="00EF1C79" w:rsidRPr="00801D82">
        <w:t>-</w:t>
      </w:r>
      <w:r w:rsidRPr="00801D82">
        <w:t>Uni) sur le “potentiel des drones dans l</w:t>
      </w:r>
      <w:r w:rsidR="00EF1C79" w:rsidRPr="00801D82">
        <w:t>’</w:t>
      </w:r>
      <w:r w:rsidRPr="00801D82">
        <w:t xml:space="preserve">examen DHS”, dont une copie est reproduite dans le </w:t>
      </w:r>
      <w:r w:rsidR="00EF1C79" w:rsidRPr="00801D82">
        <w:t>document TW</w:t>
      </w:r>
      <w:r w:rsidRPr="00801D82">
        <w:t>M/1/20.</w:t>
      </w:r>
    </w:p>
    <w:p w:rsidR="00F671F0" w:rsidRPr="00801D82" w:rsidRDefault="00F671F0" w:rsidP="00F671F0">
      <w:pPr>
        <w:jc w:val="left"/>
      </w:pPr>
    </w:p>
    <w:p w:rsidR="00F671F0" w:rsidRPr="00801D82" w:rsidRDefault="00F671F0" w:rsidP="00F671F0">
      <w:pPr>
        <w:keepNext/>
      </w:pPr>
      <w:r w:rsidRPr="00801D82">
        <w:fldChar w:fldCharType="begin"/>
      </w:r>
      <w:r w:rsidRPr="00801D82">
        <w:instrText xml:space="preserve"> AUTONUM  </w:instrText>
      </w:r>
      <w:r w:rsidRPr="00801D82">
        <w:fldChar w:fldCharType="end"/>
      </w:r>
      <w:r w:rsidRPr="00801D82">
        <w:tab/>
        <w:t xml:space="preserve">Le TWM a reçu une présentation de M. Danilo </w:t>
      </w:r>
      <w:proofErr w:type="spellStart"/>
      <w:r w:rsidRPr="00801D82">
        <w:t>Sarti</w:t>
      </w:r>
      <w:proofErr w:type="spellEnd"/>
      <w:r w:rsidRPr="00801D82">
        <w:t xml:space="preserve"> (Université de Maynooth) sur le projet </w:t>
      </w:r>
      <w:r w:rsidR="008F2286">
        <w:br/>
      </w:r>
      <w:r w:rsidRPr="00801D82">
        <w:t xml:space="preserve">“Machine Learning </w:t>
      </w:r>
      <w:proofErr w:type="spellStart"/>
      <w:r w:rsidRPr="00801D82">
        <w:t>InnoVar</w:t>
      </w:r>
      <w:proofErr w:type="spellEnd"/>
      <w:r w:rsidRPr="00801D82">
        <w:t xml:space="preserve">”, dont une copie est reproduite dans le </w:t>
      </w:r>
      <w:r w:rsidR="00EF1C79" w:rsidRPr="00801D82">
        <w:t>document TW</w:t>
      </w:r>
      <w:r w:rsidRPr="00801D82">
        <w:t>M/1/25.</w:t>
      </w:r>
    </w:p>
    <w:p w:rsidR="00F671F0" w:rsidRPr="00801D82" w:rsidRDefault="00F671F0" w:rsidP="00F671F0">
      <w:pPr>
        <w:keepNext/>
      </w:pPr>
    </w:p>
    <w:p w:rsidR="00F671F0" w:rsidRPr="00801D82" w:rsidRDefault="00F671F0" w:rsidP="00F671F0">
      <w:r w:rsidRPr="00801D82">
        <w:fldChar w:fldCharType="begin"/>
      </w:r>
      <w:r w:rsidRPr="00801D82">
        <w:instrText xml:space="preserve"> AUTONUM  </w:instrText>
      </w:r>
      <w:r w:rsidRPr="00801D82">
        <w:fldChar w:fldCharType="end"/>
      </w:r>
      <w:r w:rsidRPr="00801D82">
        <w:tab/>
        <w:t xml:space="preserve">Il a été précisé que le modèle AMBARTI pouvait être utilisé pour comprendre et prévoir le comportement des attributs DHS et VCU en tenant compte des interactions entre les génotypes et les environnements pour les caractéristiques, </w:t>
      </w:r>
      <w:r w:rsidR="00EF1C79" w:rsidRPr="00801D82">
        <w:t>y compris</w:t>
      </w:r>
      <w:r w:rsidRPr="00801D82">
        <w:t xml:space="preserve"> le rendement des cultures.</w:t>
      </w:r>
    </w:p>
    <w:p w:rsidR="00EF1C79" w:rsidRPr="00801D82" w:rsidRDefault="00EF1C79" w:rsidP="00F671F0">
      <w:pPr>
        <w:jc w:val="left"/>
      </w:pPr>
    </w:p>
    <w:p w:rsidR="00EF1C79" w:rsidRPr="00801D82" w:rsidRDefault="00F671F0" w:rsidP="00F671F0">
      <w:r w:rsidRPr="00801D82">
        <w:fldChar w:fldCharType="begin"/>
      </w:r>
      <w:r w:rsidRPr="00801D82">
        <w:instrText xml:space="preserve"> AUTONUM  </w:instrText>
      </w:r>
      <w:r w:rsidRPr="00801D82">
        <w:fldChar w:fldCharType="end"/>
      </w:r>
      <w:r w:rsidRPr="00801D82">
        <w:tab/>
        <w:t>Le TWM est convenu d</w:t>
      </w:r>
      <w:r w:rsidR="00EF1C79" w:rsidRPr="00801D82">
        <w:t>’</w:t>
      </w:r>
      <w:r w:rsidRPr="00801D82">
        <w:t xml:space="preserve">inviter à présenter, </w:t>
      </w:r>
      <w:r w:rsidR="002E0331" w:rsidRPr="00801D82">
        <w:t>à</w:t>
      </w:r>
      <w:r w:rsidRPr="00801D82">
        <w:t xml:space="preserve"> sa deux</w:t>
      </w:r>
      <w:r w:rsidR="00EF1C79" w:rsidRPr="00801D82">
        <w:t>ième session</w:t>
      </w:r>
      <w:r w:rsidRPr="00801D82">
        <w:t>, d</w:t>
      </w:r>
      <w:r w:rsidR="00EF1C79" w:rsidRPr="00801D82">
        <w:t>’</w:t>
      </w:r>
      <w:r w:rsidRPr="00801D82">
        <w:t>autres développements sur l</w:t>
      </w:r>
      <w:r w:rsidR="00EF1C79" w:rsidRPr="00801D82">
        <w:t>’</w:t>
      </w:r>
      <w:r w:rsidRPr="00801D82">
        <w:t xml:space="preserve">évaluation de la couleur par le </w:t>
      </w:r>
      <w:proofErr w:type="spellStart"/>
      <w:r w:rsidRPr="00801D82">
        <w:t>phénotypage</w:t>
      </w:r>
      <w:proofErr w:type="spellEnd"/>
      <w:r w:rsidRPr="00801D82">
        <w:t xml:space="preserve"> et l</w:t>
      </w:r>
      <w:r w:rsidR="00EF1C79" w:rsidRPr="00801D82">
        <w:t>’</w:t>
      </w:r>
      <w:r w:rsidRPr="00801D82">
        <w:t>analyse d</w:t>
      </w:r>
      <w:r w:rsidR="00EF1C79" w:rsidRPr="00801D82">
        <w:t>’</w:t>
      </w:r>
      <w:r w:rsidRPr="00801D82">
        <w:t>images.</w:t>
      </w:r>
    </w:p>
    <w:p w:rsidR="00F671F0" w:rsidRPr="00801D82" w:rsidRDefault="00F671F0" w:rsidP="00F671F0">
      <w:pPr>
        <w:keepNext/>
      </w:pPr>
    </w:p>
    <w:p w:rsidR="00646AF0" w:rsidRPr="008F2286" w:rsidRDefault="00646AF0" w:rsidP="008F2286">
      <w:pPr>
        <w:tabs>
          <w:tab w:val="left" w:pos="567"/>
          <w:tab w:val="left" w:pos="5387"/>
          <w:tab w:val="left" w:pos="5954"/>
        </w:tabs>
        <w:ind w:left="4820"/>
        <w:rPr>
          <w:i/>
          <w:lang w:val="en-US"/>
        </w:rPr>
      </w:pPr>
      <w:r w:rsidRPr="008F2286">
        <w:rPr>
          <w:i/>
          <w:lang w:val="en-US"/>
        </w:rPr>
        <w:fldChar w:fldCharType="begin"/>
      </w:r>
      <w:r w:rsidRPr="008F2286">
        <w:rPr>
          <w:i/>
          <w:lang w:val="en-US"/>
        </w:rPr>
        <w:instrText xml:space="preserve"> AUTONUM  </w:instrText>
      </w:r>
      <w:r w:rsidRPr="008F2286">
        <w:rPr>
          <w:i/>
          <w:lang w:val="en-US"/>
        </w:rPr>
        <w:fldChar w:fldCharType="end"/>
      </w:r>
      <w:r w:rsidRPr="008F2286">
        <w:rPr>
          <w:i/>
          <w:lang w:val="en-US"/>
        </w:rPr>
        <w:tab/>
        <w:t xml:space="preserve">Le </w:t>
      </w:r>
      <w:proofErr w:type="spellStart"/>
      <w:r w:rsidRPr="008F2286">
        <w:rPr>
          <w:i/>
          <w:lang w:val="en-US"/>
        </w:rPr>
        <w:t>Comité</w:t>
      </w:r>
      <w:proofErr w:type="spellEnd"/>
      <w:r w:rsidRPr="008F2286">
        <w:rPr>
          <w:i/>
          <w:lang w:val="en-US"/>
        </w:rPr>
        <w:t xml:space="preserve"> technique est invité à prendre note </w:t>
      </w:r>
      <w:r w:rsidR="002E0331" w:rsidRPr="008F2286">
        <w:rPr>
          <w:i/>
          <w:lang w:val="en-US"/>
        </w:rPr>
        <w:t>des faits nouveaux intervenus au sein des groupes de travail techniques concernant les points</w:t>
      </w:r>
      <w:r w:rsidR="00E32799" w:rsidRPr="008F2286">
        <w:rPr>
          <w:i/>
          <w:lang w:val="en-US"/>
        </w:rPr>
        <w:t> </w:t>
      </w:r>
      <w:r w:rsidRPr="008F2286">
        <w:rPr>
          <w:i/>
          <w:lang w:val="en-US"/>
        </w:rPr>
        <w:t>:</w:t>
      </w:r>
    </w:p>
    <w:p w:rsidR="00646AF0" w:rsidRPr="008F2286" w:rsidRDefault="00646AF0" w:rsidP="008F2286">
      <w:pPr>
        <w:tabs>
          <w:tab w:val="left" w:pos="567"/>
          <w:tab w:val="left" w:pos="5387"/>
          <w:tab w:val="left" w:pos="5954"/>
        </w:tabs>
        <w:ind w:left="4820"/>
        <w:rPr>
          <w:i/>
          <w:lang w:val="en-US"/>
        </w:rPr>
      </w:pPr>
    </w:p>
    <w:p w:rsidR="00646AF0" w:rsidRPr="008F2286" w:rsidRDefault="00646AF0" w:rsidP="008F2286">
      <w:pPr>
        <w:tabs>
          <w:tab w:val="left" w:pos="567"/>
          <w:tab w:val="left" w:pos="5387"/>
          <w:tab w:val="left" w:pos="5954"/>
        </w:tabs>
        <w:ind w:left="5103" w:hanging="283"/>
        <w:rPr>
          <w:i/>
          <w:lang w:val="fr-CH"/>
        </w:rPr>
      </w:pPr>
      <w:r w:rsidRPr="008F2286">
        <w:rPr>
          <w:i/>
          <w:lang w:val="fr-CH"/>
        </w:rPr>
        <w:t>i)</w:t>
      </w:r>
      <w:r w:rsidRPr="008F2286">
        <w:rPr>
          <w:i/>
          <w:lang w:val="fr-CH"/>
        </w:rPr>
        <w:tab/>
        <w:t>Informations nécessaires pour améliorer l</w:t>
      </w:r>
      <w:r w:rsidR="00EF1C79" w:rsidRPr="008F2286">
        <w:rPr>
          <w:i/>
          <w:lang w:val="fr-CH"/>
        </w:rPr>
        <w:t>’</w:t>
      </w:r>
      <w:r w:rsidRPr="008F2286">
        <w:rPr>
          <w:i/>
          <w:lang w:val="fr-CH"/>
        </w:rPr>
        <w:t>utilisation des rapports d</w:t>
      </w:r>
      <w:r w:rsidR="00EF1C79" w:rsidRPr="008F2286">
        <w:rPr>
          <w:i/>
          <w:lang w:val="fr-CH"/>
        </w:rPr>
        <w:t>’</w:t>
      </w:r>
      <w:r w:rsidRPr="008F2286">
        <w:rPr>
          <w:i/>
          <w:lang w:val="fr-CH"/>
        </w:rPr>
        <w:t>examen DHS existants;</w:t>
      </w:r>
    </w:p>
    <w:p w:rsidR="00646AF0" w:rsidRPr="008F2286" w:rsidRDefault="00646AF0" w:rsidP="008F2286">
      <w:pPr>
        <w:tabs>
          <w:tab w:val="left" w:pos="567"/>
          <w:tab w:val="left" w:pos="5387"/>
          <w:tab w:val="left" w:pos="5954"/>
        </w:tabs>
        <w:ind w:left="5103" w:hanging="283"/>
        <w:rPr>
          <w:i/>
          <w:lang w:val="fr-CH"/>
        </w:rPr>
      </w:pPr>
      <w:r w:rsidRPr="008F2286">
        <w:rPr>
          <w:i/>
          <w:lang w:val="fr-CH"/>
        </w:rPr>
        <w:t>ii)</w:t>
      </w:r>
      <w:r w:rsidRPr="008F2286">
        <w:rPr>
          <w:i/>
          <w:lang w:val="fr-CH"/>
        </w:rPr>
        <w:tab/>
        <w:t>Examen DHS des variétés mutantes du pommier;</w:t>
      </w:r>
    </w:p>
    <w:p w:rsidR="00646AF0" w:rsidRPr="008F2286" w:rsidRDefault="00646AF0" w:rsidP="008F2286">
      <w:pPr>
        <w:tabs>
          <w:tab w:val="left" w:pos="567"/>
          <w:tab w:val="left" w:pos="5387"/>
          <w:tab w:val="left" w:pos="5954"/>
        </w:tabs>
        <w:ind w:left="5103" w:hanging="283"/>
        <w:rPr>
          <w:i/>
          <w:lang w:val="fr-CH"/>
        </w:rPr>
      </w:pPr>
      <w:r w:rsidRPr="008F2286">
        <w:rPr>
          <w:i/>
          <w:lang w:val="fr-CH"/>
        </w:rPr>
        <w:t>iii)</w:t>
      </w:r>
      <w:r w:rsidRPr="008F2286">
        <w:rPr>
          <w:i/>
          <w:lang w:val="fr-CH"/>
        </w:rPr>
        <w:tab/>
        <w:t>Accès au matériel végétal aux fins de la gestion des collections de variétés et de l</w:t>
      </w:r>
      <w:r w:rsidR="00EF1C79" w:rsidRPr="008F2286">
        <w:rPr>
          <w:i/>
          <w:lang w:val="fr-CH"/>
        </w:rPr>
        <w:t>’</w:t>
      </w:r>
      <w:r w:rsidRPr="008F2286">
        <w:rPr>
          <w:i/>
          <w:lang w:val="fr-CH"/>
        </w:rPr>
        <w:t>examen DHS;</w:t>
      </w:r>
    </w:p>
    <w:p w:rsidR="00646AF0" w:rsidRPr="008F2286" w:rsidRDefault="00646AF0" w:rsidP="008F2286">
      <w:pPr>
        <w:tabs>
          <w:tab w:val="left" w:pos="567"/>
          <w:tab w:val="left" w:pos="5387"/>
          <w:tab w:val="left" w:pos="5954"/>
        </w:tabs>
        <w:ind w:left="5103" w:hanging="283"/>
        <w:rPr>
          <w:i/>
          <w:lang w:val="fr-CH"/>
        </w:rPr>
      </w:pPr>
      <w:r w:rsidRPr="008F2286">
        <w:rPr>
          <w:i/>
          <w:lang w:val="fr-CH"/>
        </w:rPr>
        <w:t>iv)</w:t>
      </w:r>
      <w:r w:rsidRPr="008F2286">
        <w:rPr>
          <w:i/>
          <w:lang w:val="fr-CH"/>
        </w:rPr>
        <w:tab/>
        <w:t>Utilisation de caractères de résistance aux maladies;</w:t>
      </w:r>
    </w:p>
    <w:p w:rsidR="00646AF0" w:rsidRPr="008F2286" w:rsidRDefault="00646AF0" w:rsidP="008F2286">
      <w:pPr>
        <w:tabs>
          <w:tab w:val="left" w:pos="567"/>
          <w:tab w:val="left" w:pos="5387"/>
          <w:tab w:val="left" w:pos="5954"/>
        </w:tabs>
        <w:ind w:left="5103" w:hanging="283"/>
        <w:rPr>
          <w:i/>
          <w:lang w:val="fr-CH"/>
        </w:rPr>
      </w:pPr>
      <w:r w:rsidRPr="008F2286">
        <w:rPr>
          <w:i/>
          <w:lang w:val="fr-CH"/>
        </w:rPr>
        <w:t>v)</w:t>
      </w:r>
      <w:r w:rsidRPr="008F2286">
        <w:rPr>
          <w:i/>
          <w:lang w:val="fr-CH"/>
        </w:rPr>
        <w:tab/>
        <w:t>Résistance aux maladies dans les cultures ornementales;</w:t>
      </w:r>
    </w:p>
    <w:p w:rsidR="00646AF0" w:rsidRPr="008F2286" w:rsidRDefault="00646AF0" w:rsidP="008F2286">
      <w:pPr>
        <w:tabs>
          <w:tab w:val="left" w:pos="567"/>
          <w:tab w:val="left" w:pos="5387"/>
          <w:tab w:val="left" w:pos="5954"/>
        </w:tabs>
        <w:ind w:left="5103" w:hanging="283"/>
        <w:rPr>
          <w:i/>
          <w:lang w:val="fr-CH"/>
        </w:rPr>
      </w:pPr>
      <w:r w:rsidRPr="008F2286">
        <w:rPr>
          <w:i/>
          <w:lang w:val="fr-CH"/>
        </w:rPr>
        <w:t>vi)</w:t>
      </w:r>
      <w:r w:rsidRPr="008F2286">
        <w:rPr>
          <w:i/>
          <w:lang w:val="fr-CH"/>
        </w:rPr>
        <w:tab/>
        <w:t>Nouvelles questions se posant pour l</w:t>
      </w:r>
      <w:r w:rsidR="00EF1C79" w:rsidRPr="008F2286">
        <w:rPr>
          <w:i/>
          <w:lang w:val="fr-CH"/>
        </w:rPr>
        <w:t>’</w:t>
      </w:r>
      <w:r w:rsidRPr="008F2286">
        <w:rPr>
          <w:i/>
          <w:lang w:val="fr-CH"/>
        </w:rPr>
        <w:t>examen DHS;</w:t>
      </w:r>
    </w:p>
    <w:p w:rsidR="00646AF0" w:rsidRPr="008F2286" w:rsidRDefault="00646AF0" w:rsidP="008F2286">
      <w:pPr>
        <w:tabs>
          <w:tab w:val="left" w:pos="567"/>
          <w:tab w:val="left" w:pos="5387"/>
          <w:tab w:val="left" w:pos="5954"/>
        </w:tabs>
        <w:ind w:left="5103" w:hanging="283"/>
        <w:rPr>
          <w:i/>
          <w:lang w:val="fr-CH"/>
        </w:rPr>
      </w:pPr>
      <w:r w:rsidRPr="008F2286">
        <w:rPr>
          <w:i/>
          <w:lang w:val="fr-CH"/>
        </w:rPr>
        <w:t>vii)</w:t>
      </w:r>
      <w:r w:rsidRPr="008F2286">
        <w:rPr>
          <w:i/>
          <w:lang w:val="fr-CH"/>
        </w:rPr>
        <w:tab/>
        <w:t>Expériences avec de nouveaux types et de nouvelles espèces;</w:t>
      </w:r>
    </w:p>
    <w:p w:rsidR="00EF1C79" w:rsidRPr="008F2286" w:rsidRDefault="00646AF0" w:rsidP="008F2286">
      <w:pPr>
        <w:tabs>
          <w:tab w:val="left" w:pos="567"/>
          <w:tab w:val="left" w:pos="5387"/>
          <w:tab w:val="left" w:pos="5954"/>
        </w:tabs>
        <w:ind w:left="4820"/>
        <w:rPr>
          <w:i/>
          <w:lang w:val="en-US"/>
        </w:rPr>
      </w:pPr>
      <w:r w:rsidRPr="008F2286">
        <w:rPr>
          <w:i/>
          <w:lang w:val="en-US"/>
        </w:rPr>
        <w:t>viii)</w:t>
      </w:r>
      <w:r w:rsidRPr="008F2286">
        <w:rPr>
          <w:i/>
          <w:lang w:val="en-US"/>
        </w:rPr>
        <w:tab/>
      </w:r>
      <w:proofErr w:type="spellStart"/>
      <w:r w:rsidRPr="008F2286">
        <w:rPr>
          <w:i/>
          <w:lang w:val="en-US"/>
        </w:rPr>
        <w:t>Examen</w:t>
      </w:r>
      <w:proofErr w:type="spellEnd"/>
      <w:r w:rsidRPr="008F2286">
        <w:rPr>
          <w:i/>
          <w:lang w:val="en-US"/>
        </w:rPr>
        <w:t xml:space="preserve"> des </w:t>
      </w:r>
      <w:proofErr w:type="spellStart"/>
      <w:r w:rsidRPr="008F2286">
        <w:rPr>
          <w:i/>
          <w:lang w:val="en-US"/>
        </w:rPr>
        <w:t>variétés</w:t>
      </w:r>
      <w:proofErr w:type="spellEnd"/>
      <w:r w:rsidRPr="008F2286">
        <w:rPr>
          <w:i/>
          <w:lang w:val="en-US"/>
        </w:rPr>
        <w:t xml:space="preserve"> hybrides;</w:t>
      </w:r>
    </w:p>
    <w:p w:rsidR="00646AF0" w:rsidRPr="008F2286" w:rsidRDefault="00646AF0" w:rsidP="008F2286">
      <w:pPr>
        <w:tabs>
          <w:tab w:val="left" w:pos="567"/>
          <w:tab w:val="left" w:pos="5387"/>
          <w:tab w:val="left" w:pos="5954"/>
        </w:tabs>
        <w:ind w:left="5103" w:hanging="283"/>
        <w:rPr>
          <w:i/>
          <w:lang w:val="fr-CH"/>
        </w:rPr>
      </w:pPr>
      <w:r w:rsidRPr="008F2286">
        <w:rPr>
          <w:i/>
          <w:lang w:val="fr-CH"/>
        </w:rPr>
        <w:t>ix)</w:t>
      </w:r>
      <w:r w:rsidRPr="008F2286">
        <w:rPr>
          <w:i/>
          <w:lang w:val="fr-CH"/>
        </w:rPr>
        <w:tab/>
        <w:t>Nouvelles technologies en matière d</w:t>
      </w:r>
      <w:r w:rsidR="00EF1C79" w:rsidRPr="008F2286">
        <w:rPr>
          <w:i/>
          <w:lang w:val="fr-CH"/>
        </w:rPr>
        <w:t>’</w:t>
      </w:r>
      <w:r w:rsidRPr="008F2286">
        <w:rPr>
          <w:i/>
          <w:lang w:val="fr-CH"/>
        </w:rPr>
        <w:t>examen DHS;</w:t>
      </w:r>
    </w:p>
    <w:p w:rsidR="00646AF0" w:rsidRPr="008F2286" w:rsidRDefault="00646AF0" w:rsidP="008F2286">
      <w:pPr>
        <w:tabs>
          <w:tab w:val="left" w:pos="567"/>
          <w:tab w:val="left" w:pos="5387"/>
          <w:tab w:val="left" w:pos="5954"/>
        </w:tabs>
        <w:ind w:left="5103" w:hanging="283"/>
        <w:rPr>
          <w:i/>
          <w:lang w:val="fr-CH"/>
        </w:rPr>
      </w:pPr>
      <w:r w:rsidRPr="008F2286">
        <w:rPr>
          <w:i/>
          <w:lang w:val="fr-CH"/>
        </w:rPr>
        <w:t>x)</w:t>
      </w:r>
      <w:r w:rsidRPr="008F2286">
        <w:rPr>
          <w:i/>
          <w:lang w:val="fr-CH"/>
        </w:rPr>
        <w:tab/>
        <w:t xml:space="preserve">Plateforme de </w:t>
      </w:r>
      <w:proofErr w:type="spellStart"/>
      <w:r w:rsidRPr="008F2286">
        <w:rPr>
          <w:i/>
          <w:lang w:val="fr-CH"/>
        </w:rPr>
        <w:t>mégadonnées</w:t>
      </w:r>
      <w:proofErr w:type="spellEnd"/>
      <w:r w:rsidRPr="008F2286">
        <w:rPr>
          <w:i/>
          <w:lang w:val="fr-CH"/>
        </w:rPr>
        <w:t xml:space="preserve"> pour l</w:t>
      </w:r>
      <w:r w:rsidR="00EF1C79" w:rsidRPr="008F2286">
        <w:rPr>
          <w:i/>
          <w:lang w:val="fr-CH"/>
        </w:rPr>
        <w:t>’</w:t>
      </w:r>
      <w:r w:rsidRPr="008F2286">
        <w:rPr>
          <w:i/>
          <w:lang w:val="fr-CH"/>
        </w:rPr>
        <w:t>examen DHS;</w:t>
      </w:r>
    </w:p>
    <w:p w:rsidR="00646AF0" w:rsidRPr="008F2286" w:rsidRDefault="00646AF0" w:rsidP="008F2286">
      <w:pPr>
        <w:tabs>
          <w:tab w:val="left" w:pos="567"/>
          <w:tab w:val="left" w:pos="5387"/>
          <w:tab w:val="left" w:pos="5954"/>
        </w:tabs>
        <w:ind w:left="5103" w:hanging="283"/>
        <w:rPr>
          <w:i/>
          <w:lang w:val="fr-CH"/>
        </w:rPr>
      </w:pPr>
      <w:r w:rsidRPr="008F2286">
        <w:rPr>
          <w:i/>
          <w:lang w:val="fr-CH"/>
        </w:rPr>
        <w:t>xi)</w:t>
      </w:r>
      <w:r w:rsidRPr="008F2286">
        <w:rPr>
          <w:i/>
          <w:lang w:val="fr-CH"/>
        </w:rPr>
        <w:tab/>
        <w:t>L</w:t>
      </w:r>
      <w:r w:rsidR="00EF1C79" w:rsidRPr="008F2286">
        <w:rPr>
          <w:i/>
          <w:lang w:val="fr-CH"/>
        </w:rPr>
        <w:t>’</w:t>
      </w:r>
      <w:r w:rsidRPr="008F2286">
        <w:rPr>
          <w:i/>
          <w:lang w:val="fr-CH"/>
        </w:rPr>
        <w:t xml:space="preserve">évaluation de la couleur dans les plantes </w:t>
      </w:r>
      <w:bookmarkStart w:id="31" w:name="_GoBack"/>
      <w:bookmarkEnd w:id="31"/>
      <w:r w:rsidRPr="008F2286">
        <w:rPr>
          <w:i/>
          <w:lang w:val="fr-CH"/>
        </w:rPr>
        <w:t xml:space="preserve">fruitières; </w:t>
      </w:r>
      <w:r w:rsidR="00E32799" w:rsidRPr="008F2286">
        <w:rPr>
          <w:i/>
          <w:lang w:val="fr-CH"/>
        </w:rPr>
        <w:t xml:space="preserve"> </w:t>
      </w:r>
      <w:r w:rsidRPr="008F2286">
        <w:rPr>
          <w:i/>
          <w:lang w:val="fr-CH"/>
        </w:rPr>
        <w:t>et</w:t>
      </w:r>
    </w:p>
    <w:p w:rsidR="00646AF0" w:rsidRPr="008F2286" w:rsidRDefault="00646AF0" w:rsidP="008F2286">
      <w:pPr>
        <w:tabs>
          <w:tab w:val="left" w:pos="567"/>
          <w:tab w:val="left" w:pos="5387"/>
          <w:tab w:val="left" w:pos="5954"/>
        </w:tabs>
        <w:ind w:left="5103" w:hanging="283"/>
        <w:rPr>
          <w:i/>
          <w:lang w:val="fr-CH"/>
        </w:rPr>
      </w:pPr>
      <w:r w:rsidRPr="008F2286">
        <w:rPr>
          <w:i/>
          <w:lang w:val="fr-CH"/>
        </w:rPr>
        <w:t>xii)</w:t>
      </w:r>
      <w:r w:rsidRPr="008F2286">
        <w:rPr>
          <w:i/>
          <w:lang w:val="fr-CH"/>
        </w:rPr>
        <w:tab/>
        <w:t>Établissement de phénotypes et analyse d</w:t>
      </w:r>
      <w:r w:rsidR="00EF1C79" w:rsidRPr="008F2286">
        <w:rPr>
          <w:i/>
          <w:lang w:val="fr-CH"/>
        </w:rPr>
        <w:t>’</w:t>
      </w:r>
      <w:r w:rsidRPr="008F2286">
        <w:rPr>
          <w:i/>
          <w:lang w:val="fr-CH"/>
        </w:rPr>
        <w:t>images</w:t>
      </w:r>
    </w:p>
    <w:p w:rsidR="0045207C" w:rsidRPr="008F2286" w:rsidRDefault="0045207C" w:rsidP="008F2286">
      <w:pPr>
        <w:pStyle w:val="DecisionParagraphs"/>
      </w:pPr>
    </w:p>
    <w:p w:rsidR="00646AF0" w:rsidRPr="00801D82" w:rsidRDefault="00646AF0" w:rsidP="00445B73"/>
    <w:p w:rsidR="00646AF0" w:rsidRPr="00801D82" w:rsidRDefault="00646AF0" w:rsidP="00445B73"/>
    <w:p w:rsidR="0045207C" w:rsidRPr="009B376D" w:rsidRDefault="00C54C75" w:rsidP="00C54C75">
      <w:pPr>
        <w:jc w:val="right"/>
      </w:pPr>
      <w:r w:rsidRPr="00801D82">
        <w:t>[Fin du document]</w:t>
      </w:r>
    </w:p>
    <w:sectPr w:rsidR="0045207C" w:rsidRPr="009B376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rPr>
      </w:pPr>
      <w:r w:rsidRPr="00294751">
        <w:rPr>
          <w:sz w:val="18"/>
        </w:rPr>
        <w:t>[Suite de la note de la page précédente]</w:t>
      </w:r>
    </w:p>
    <w:p w:rsidR="00DD1482" w:rsidRPr="00294751" w:rsidRDefault="00DD1482" w:rsidP="006655D3"/>
    <w:p w:rsidR="00DD1482" w:rsidRPr="00294751" w:rsidRDefault="00DD1482" w:rsidP="006655D3"/>
  </w:endnote>
  <w:endnote w:type="continuationNotice" w:id="1">
    <w:p w:rsidR="00DD1482" w:rsidRPr="00294751" w:rsidRDefault="00DD1482" w:rsidP="006655D3">
      <w:r w:rsidRPr="00294751">
        <w:t>[Suite de la note page suivante]</w:t>
      </w:r>
    </w:p>
    <w:p w:rsidR="00DD1482" w:rsidRPr="00294751" w:rsidRDefault="00DD1482" w:rsidP="006655D3"/>
    <w:p w:rsidR="00DD1482" w:rsidRPr="00294751" w:rsidRDefault="00DD148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8301C2" w:rsidRDefault="008301C2" w:rsidP="009B376D">
      <w:pPr>
        <w:pStyle w:val="FootnoteText"/>
        <w:tabs>
          <w:tab w:val="left" w:pos="567"/>
        </w:tabs>
      </w:pPr>
      <w:r>
        <w:rPr>
          <w:rStyle w:val="FootnoteReference"/>
        </w:rPr>
        <w:footnoteRef/>
      </w:r>
      <w:r>
        <w:t xml:space="preserve"> </w:t>
      </w:r>
      <w:r w:rsidR="009B376D">
        <w:tab/>
      </w:r>
      <w:r w:rsidR="00375FEC">
        <w:t xml:space="preserve">À </w:t>
      </w:r>
      <w:r>
        <w:t>sa cinquante</w:t>
      </w:r>
      <w:r w:rsidR="00496630">
        <w:t>-</w:t>
      </w:r>
      <w:r>
        <w:t>six</w:t>
      </w:r>
      <w:r w:rsidR="00496630">
        <w:t>ième session</w:t>
      </w:r>
      <w:r>
        <w:t>, tenue par voie électronique du 18 au 22 avril 2022.</w:t>
      </w:r>
    </w:p>
  </w:footnote>
  <w:footnote w:id="3">
    <w:p w:rsidR="008301C2" w:rsidRDefault="008301C2" w:rsidP="009B376D">
      <w:pPr>
        <w:pStyle w:val="FootnoteText"/>
        <w:tabs>
          <w:tab w:val="left" w:pos="567"/>
        </w:tabs>
      </w:pPr>
      <w:r>
        <w:rPr>
          <w:rStyle w:val="FootnoteReference"/>
        </w:rPr>
        <w:footnoteRef/>
      </w:r>
      <w:r>
        <w:t xml:space="preserve"> </w:t>
      </w:r>
      <w:r w:rsidR="009B376D">
        <w:tab/>
      </w:r>
      <w:r w:rsidR="00375FEC">
        <w:t>À</w:t>
      </w:r>
      <w:r>
        <w:t xml:space="preserve"> sa cinquante</w:t>
      </w:r>
      <w:r w:rsidR="00496630">
        <w:t> et unième session</w:t>
      </w:r>
      <w:r>
        <w:t>, tenue à Cambridge</w:t>
      </w:r>
      <w:r w:rsidR="00CC673C">
        <w:t xml:space="preserve"> </w:t>
      </w:r>
      <w:r w:rsidR="00375FEC">
        <w:t>(Royaume</w:t>
      </w:r>
      <w:r w:rsidR="00496630">
        <w:t>-</w:t>
      </w:r>
      <w:r w:rsidR="00375FEC">
        <w:t>Uni)</w:t>
      </w:r>
      <w:r>
        <w:t xml:space="preserve"> du 23 au 27 mai 2022.</w:t>
      </w:r>
    </w:p>
  </w:footnote>
  <w:footnote w:id="4">
    <w:p w:rsidR="00D14633" w:rsidRDefault="00D14633" w:rsidP="009B376D">
      <w:pPr>
        <w:pStyle w:val="FootnoteText"/>
        <w:tabs>
          <w:tab w:val="left" w:pos="567"/>
        </w:tabs>
      </w:pPr>
      <w:r>
        <w:rPr>
          <w:rStyle w:val="FootnoteReference"/>
        </w:rPr>
        <w:footnoteRef/>
      </w:r>
      <w:r>
        <w:t xml:space="preserve"> </w:t>
      </w:r>
      <w:r w:rsidR="009B376D">
        <w:tab/>
      </w:r>
      <w:r w:rsidR="00375FEC">
        <w:t>À</w:t>
      </w:r>
      <w:r>
        <w:t xml:space="preserve"> sa cinquante</w:t>
      </w:r>
      <w:r w:rsidR="00496630">
        <w:t>-</w:t>
      </w:r>
      <w:r>
        <w:t>quatr</w:t>
      </w:r>
      <w:r w:rsidR="00496630">
        <w:t>ième session</w:t>
      </w:r>
      <w:r>
        <w:t>, accueillie par l</w:t>
      </w:r>
      <w:r w:rsidR="00496630">
        <w:t>’</w:t>
      </w:r>
      <w:r>
        <w:t>Allemagne et tenue par voie électronique du 13 au 17 juin 2022.</w:t>
      </w:r>
    </w:p>
  </w:footnote>
  <w:footnote w:id="5">
    <w:p w:rsidR="008301C2" w:rsidRDefault="008301C2" w:rsidP="009B376D">
      <w:pPr>
        <w:pStyle w:val="FootnoteText"/>
        <w:tabs>
          <w:tab w:val="left" w:pos="567"/>
        </w:tabs>
      </w:pPr>
      <w:r>
        <w:rPr>
          <w:rStyle w:val="FootnoteReference"/>
        </w:rPr>
        <w:footnoteRef/>
      </w:r>
      <w:r>
        <w:t xml:space="preserve"> </w:t>
      </w:r>
      <w:r w:rsidR="009B376D">
        <w:tab/>
      </w:r>
      <w:r w:rsidR="00375FEC">
        <w:t>À</w:t>
      </w:r>
      <w:r>
        <w:t xml:space="preserve"> sa cinquante</w:t>
      </w:r>
      <w:r w:rsidR="00496630">
        <w:t>-</w:t>
      </w:r>
      <w:r>
        <w:t>trois</w:t>
      </w:r>
      <w:r w:rsidR="00496630">
        <w:t>ième session</w:t>
      </w:r>
      <w:r>
        <w:t>, tenue par voie électronique du 11 au 15 juillet 2022</w:t>
      </w:r>
      <w:r w:rsidR="009B376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rPr>
    </w:pPr>
    <w:r>
      <w:rPr>
        <w:rStyle w:val="PageNumber"/>
      </w:rPr>
      <w:t>TC/58/3</w:t>
    </w:r>
  </w:p>
  <w:p w:rsidR="0004198B" w:rsidRPr="00C5280D" w:rsidRDefault="0004198B"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F2286">
      <w:rPr>
        <w:rStyle w:val="PageNumber"/>
        <w:noProof/>
      </w:rPr>
      <w:t>5</w:t>
    </w:r>
    <w:r w:rsidRPr="00C5280D">
      <w:rPr>
        <w:rStyle w:val="PageNumber"/>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6A27C56"/>
    <w:multiLevelType w:val="hybridMultilevel"/>
    <w:tmpl w:val="9CF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6EED"/>
    <w:rsid w:val="00010CF3"/>
    <w:rsid w:val="00011E27"/>
    <w:rsid w:val="000148BC"/>
    <w:rsid w:val="00015A45"/>
    <w:rsid w:val="00024AB8"/>
    <w:rsid w:val="00030854"/>
    <w:rsid w:val="00036028"/>
    <w:rsid w:val="00037992"/>
    <w:rsid w:val="0004198B"/>
    <w:rsid w:val="00043C66"/>
    <w:rsid w:val="00044642"/>
    <w:rsid w:val="000446B9"/>
    <w:rsid w:val="00046575"/>
    <w:rsid w:val="00047E21"/>
    <w:rsid w:val="00050E16"/>
    <w:rsid w:val="00085505"/>
    <w:rsid w:val="000C10DC"/>
    <w:rsid w:val="000C4E25"/>
    <w:rsid w:val="000C7021"/>
    <w:rsid w:val="000D5CCA"/>
    <w:rsid w:val="000D6BBC"/>
    <w:rsid w:val="000D7780"/>
    <w:rsid w:val="000E636A"/>
    <w:rsid w:val="000F2F11"/>
    <w:rsid w:val="00100A5F"/>
    <w:rsid w:val="00105929"/>
    <w:rsid w:val="00110BED"/>
    <w:rsid w:val="00110C36"/>
    <w:rsid w:val="001131D5"/>
    <w:rsid w:val="00114547"/>
    <w:rsid w:val="00125277"/>
    <w:rsid w:val="00141DB8"/>
    <w:rsid w:val="00144612"/>
    <w:rsid w:val="00172084"/>
    <w:rsid w:val="0017474A"/>
    <w:rsid w:val="001758C6"/>
    <w:rsid w:val="00182B99"/>
    <w:rsid w:val="00185A59"/>
    <w:rsid w:val="001C1341"/>
    <w:rsid w:val="001C1525"/>
    <w:rsid w:val="001E1930"/>
    <w:rsid w:val="002050AE"/>
    <w:rsid w:val="0021332C"/>
    <w:rsid w:val="00213982"/>
    <w:rsid w:val="0024416D"/>
    <w:rsid w:val="00245B08"/>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0331"/>
    <w:rsid w:val="00305A7F"/>
    <w:rsid w:val="003152FE"/>
    <w:rsid w:val="00327436"/>
    <w:rsid w:val="00344BD6"/>
    <w:rsid w:val="0035528D"/>
    <w:rsid w:val="00361821"/>
    <w:rsid w:val="00361E9E"/>
    <w:rsid w:val="00370794"/>
    <w:rsid w:val="003753EE"/>
    <w:rsid w:val="00375FEC"/>
    <w:rsid w:val="00377456"/>
    <w:rsid w:val="003A0835"/>
    <w:rsid w:val="003A5AAF"/>
    <w:rsid w:val="003B700A"/>
    <w:rsid w:val="003C7FBE"/>
    <w:rsid w:val="003D0839"/>
    <w:rsid w:val="003D227C"/>
    <w:rsid w:val="003D2B4D"/>
    <w:rsid w:val="003F37F5"/>
    <w:rsid w:val="00444A88"/>
    <w:rsid w:val="00445B73"/>
    <w:rsid w:val="0045207C"/>
    <w:rsid w:val="00474DA4"/>
    <w:rsid w:val="00476B4D"/>
    <w:rsid w:val="004805FA"/>
    <w:rsid w:val="00484277"/>
    <w:rsid w:val="004935D2"/>
    <w:rsid w:val="00496630"/>
    <w:rsid w:val="004B1215"/>
    <w:rsid w:val="004C7F56"/>
    <w:rsid w:val="004D047D"/>
    <w:rsid w:val="004F1E9E"/>
    <w:rsid w:val="004F305A"/>
    <w:rsid w:val="005104A9"/>
    <w:rsid w:val="00512164"/>
    <w:rsid w:val="00520297"/>
    <w:rsid w:val="005338F9"/>
    <w:rsid w:val="00537529"/>
    <w:rsid w:val="0054281C"/>
    <w:rsid w:val="00544581"/>
    <w:rsid w:val="0055268D"/>
    <w:rsid w:val="005557C7"/>
    <w:rsid w:val="00575DE2"/>
    <w:rsid w:val="00576BE4"/>
    <w:rsid w:val="005779DB"/>
    <w:rsid w:val="005A2A67"/>
    <w:rsid w:val="005A400A"/>
    <w:rsid w:val="005B269D"/>
    <w:rsid w:val="005F7B92"/>
    <w:rsid w:val="00612379"/>
    <w:rsid w:val="006153B6"/>
    <w:rsid w:val="0061555F"/>
    <w:rsid w:val="006245ED"/>
    <w:rsid w:val="006248DE"/>
    <w:rsid w:val="00636CA6"/>
    <w:rsid w:val="00641200"/>
    <w:rsid w:val="00645CA8"/>
    <w:rsid w:val="00646AF0"/>
    <w:rsid w:val="006655D3"/>
    <w:rsid w:val="00667404"/>
    <w:rsid w:val="00687EB4"/>
    <w:rsid w:val="0069260D"/>
    <w:rsid w:val="00695C56"/>
    <w:rsid w:val="006A5CDE"/>
    <w:rsid w:val="006A644A"/>
    <w:rsid w:val="006B17D2"/>
    <w:rsid w:val="006B59A0"/>
    <w:rsid w:val="006C224E"/>
    <w:rsid w:val="006D780A"/>
    <w:rsid w:val="0071271E"/>
    <w:rsid w:val="00732DEC"/>
    <w:rsid w:val="00735BD5"/>
    <w:rsid w:val="00742C2C"/>
    <w:rsid w:val="007451EC"/>
    <w:rsid w:val="00751613"/>
    <w:rsid w:val="00753EE9"/>
    <w:rsid w:val="007556F6"/>
    <w:rsid w:val="00760EEF"/>
    <w:rsid w:val="00777EE5"/>
    <w:rsid w:val="00784836"/>
    <w:rsid w:val="0079023E"/>
    <w:rsid w:val="007973E8"/>
    <w:rsid w:val="007A2854"/>
    <w:rsid w:val="007B6777"/>
    <w:rsid w:val="007C1D92"/>
    <w:rsid w:val="007C4CB9"/>
    <w:rsid w:val="007D0B9D"/>
    <w:rsid w:val="007D19B0"/>
    <w:rsid w:val="007F3E8C"/>
    <w:rsid w:val="007F498F"/>
    <w:rsid w:val="00801D82"/>
    <w:rsid w:val="0080679D"/>
    <w:rsid w:val="008108B0"/>
    <w:rsid w:val="00811B20"/>
    <w:rsid w:val="00812609"/>
    <w:rsid w:val="008211B5"/>
    <w:rsid w:val="0082296E"/>
    <w:rsid w:val="00824099"/>
    <w:rsid w:val="008301C2"/>
    <w:rsid w:val="00831EE0"/>
    <w:rsid w:val="00846D7C"/>
    <w:rsid w:val="00856D0A"/>
    <w:rsid w:val="00867AC1"/>
    <w:rsid w:val="008751DE"/>
    <w:rsid w:val="00890DF8"/>
    <w:rsid w:val="008A0ADE"/>
    <w:rsid w:val="008A743F"/>
    <w:rsid w:val="008C0970"/>
    <w:rsid w:val="008D0BC5"/>
    <w:rsid w:val="008D2CF7"/>
    <w:rsid w:val="008D6DF1"/>
    <w:rsid w:val="008F2286"/>
    <w:rsid w:val="00900C26"/>
    <w:rsid w:val="0090197F"/>
    <w:rsid w:val="00903264"/>
    <w:rsid w:val="00906DDC"/>
    <w:rsid w:val="00934E09"/>
    <w:rsid w:val="00936253"/>
    <w:rsid w:val="00940D46"/>
    <w:rsid w:val="009413F1"/>
    <w:rsid w:val="009470BB"/>
    <w:rsid w:val="00952DD4"/>
    <w:rsid w:val="009561F4"/>
    <w:rsid w:val="00965AE7"/>
    <w:rsid w:val="00970FED"/>
    <w:rsid w:val="00972E68"/>
    <w:rsid w:val="00980362"/>
    <w:rsid w:val="00985E41"/>
    <w:rsid w:val="009879FF"/>
    <w:rsid w:val="00992D82"/>
    <w:rsid w:val="00997029"/>
    <w:rsid w:val="009A7339"/>
    <w:rsid w:val="009B376D"/>
    <w:rsid w:val="009B440E"/>
    <w:rsid w:val="009C0A66"/>
    <w:rsid w:val="009D690D"/>
    <w:rsid w:val="009E65B6"/>
    <w:rsid w:val="009F0A51"/>
    <w:rsid w:val="009F0B7F"/>
    <w:rsid w:val="009F77CF"/>
    <w:rsid w:val="00A12795"/>
    <w:rsid w:val="00A24C10"/>
    <w:rsid w:val="00A42AC3"/>
    <w:rsid w:val="00A430CF"/>
    <w:rsid w:val="00A54309"/>
    <w:rsid w:val="00A55168"/>
    <w:rsid w:val="00A610A9"/>
    <w:rsid w:val="00A618AF"/>
    <w:rsid w:val="00A80F2A"/>
    <w:rsid w:val="00A96C33"/>
    <w:rsid w:val="00AB2B93"/>
    <w:rsid w:val="00AB530F"/>
    <w:rsid w:val="00AB7E5B"/>
    <w:rsid w:val="00AC2883"/>
    <w:rsid w:val="00AC3A8C"/>
    <w:rsid w:val="00AE0EF1"/>
    <w:rsid w:val="00AE2937"/>
    <w:rsid w:val="00B07301"/>
    <w:rsid w:val="00B11F3E"/>
    <w:rsid w:val="00B224DE"/>
    <w:rsid w:val="00B324D4"/>
    <w:rsid w:val="00B46575"/>
    <w:rsid w:val="00B61777"/>
    <w:rsid w:val="00B622E6"/>
    <w:rsid w:val="00B83E82"/>
    <w:rsid w:val="00B84BBD"/>
    <w:rsid w:val="00B91195"/>
    <w:rsid w:val="00BA43FB"/>
    <w:rsid w:val="00BB09E5"/>
    <w:rsid w:val="00BC127D"/>
    <w:rsid w:val="00BC1FE6"/>
    <w:rsid w:val="00BD022B"/>
    <w:rsid w:val="00BE7F98"/>
    <w:rsid w:val="00C061B6"/>
    <w:rsid w:val="00C2446C"/>
    <w:rsid w:val="00C36AE5"/>
    <w:rsid w:val="00C41F17"/>
    <w:rsid w:val="00C44BCA"/>
    <w:rsid w:val="00C45098"/>
    <w:rsid w:val="00C527FA"/>
    <w:rsid w:val="00C5280D"/>
    <w:rsid w:val="00C53EB3"/>
    <w:rsid w:val="00C54C75"/>
    <w:rsid w:val="00C5791C"/>
    <w:rsid w:val="00C66290"/>
    <w:rsid w:val="00C72B7A"/>
    <w:rsid w:val="00C973F2"/>
    <w:rsid w:val="00CA304C"/>
    <w:rsid w:val="00CA774A"/>
    <w:rsid w:val="00CB4921"/>
    <w:rsid w:val="00CB603E"/>
    <w:rsid w:val="00CC11B0"/>
    <w:rsid w:val="00CC2841"/>
    <w:rsid w:val="00CC673C"/>
    <w:rsid w:val="00CC7B92"/>
    <w:rsid w:val="00CF1330"/>
    <w:rsid w:val="00CF7E36"/>
    <w:rsid w:val="00D107A7"/>
    <w:rsid w:val="00D14633"/>
    <w:rsid w:val="00D3708D"/>
    <w:rsid w:val="00D40426"/>
    <w:rsid w:val="00D57C96"/>
    <w:rsid w:val="00D57D18"/>
    <w:rsid w:val="00D70E65"/>
    <w:rsid w:val="00D91203"/>
    <w:rsid w:val="00D95174"/>
    <w:rsid w:val="00DA4973"/>
    <w:rsid w:val="00DA6F36"/>
    <w:rsid w:val="00DB49C6"/>
    <w:rsid w:val="00DB596E"/>
    <w:rsid w:val="00DB7773"/>
    <w:rsid w:val="00DC00EA"/>
    <w:rsid w:val="00DC3802"/>
    <w:rsid w:val="00DD1482"/>
    <w:rsid w:val="00DD6208"/>
    <w:rsid w:val="00DF7E99"/>
    <w:rsid w:val="00E07D87"/>
    <w:rsid w:val="00E249C8"/>
    <w:rsid w:val="00E32799"/>
    <w:rsid w:val="00E32F7E"/>
    <w:rsid w:val="00E5267B"/>
    <w:rsid w:val="00E559F0"/>
    <w:rsid w:val="00E63C0E"/>
    <w:rsid w:val="00E7232A"/>
    <w:rsid w:val="00E72D49"/>
    <w:rsid w:val="00E7593C"/>
    <w:rsid w:val="00E75E12"/>
    <w:rsid w:val="00E7678A"/>
    <w:rsid w:val="00E935F1"/>
    <w:rsid w:val="00E94A81"/>
    <w:rsid w:val="00EA1FFB"/>
    <w:rsid w:val="00EB048E"/>
    <w:rsid w:val="00EB4E9C"/>
    <w:rsid w:val="00EC634B"/>
    <w:rsid w:val="00EE34DF"/>
    <w:rsid w:val="00EF1C79"/>
    <w:rsid w:val="00EF2F89"/>
    <w:rsid w:val="00F03E98"/>
    <w:rsid w:val="00F1237A"/>
    <w:rsid w:val="00F22CBD"/>
    <w:rsid w:val="00F272F1"/>
    <w:rsid w:val="00F31412"/>
    <w:rsid w:val="00F45372"/>
    <w:rsid w:val="00F560F7"/>
    <w:rsid w:val="00F6334D"/>
    <w:rsid w:val="00F63599"/>
    <w:rsid w:val="00F671F0"/>
    <w:rsid w:val="00F71781"/>
    <w:rsid w:val="00F86FED"/>
    <w:rsid w:val="00FA49AB"/>
    <w:rsid w:val="00FC5FD0"/>
    <w:rsid w:val="00FE39C7"/>
    <w:rsid w:val="00FF4D07"/>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FE730"/>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8F2286"/>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37992"/>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03799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8F2286"/>
    <w:rPr>
      <w:rFonts w:ascii="Arial" w:hAnsi="Arial"/>
      <w:u w:val="single"/>
    </w:rPr>
  </w:style>
  <w:style w:type="paragraph" w:styleId="ListParagraph">
    <w:name w:val="List Paragraph"/>
    <w:aliases w:val="auto_list_(i),List Paragraph1"/>
    <w:basedOn w:val="Normal"/>
    <w:link w:val="ListParagraphChar"/>
    <w:uiPriority w:val="34"/>
    <w:qFormat/>
    <w:rsid w:val="001C134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C1341"/>
    <w:rPr>
      <w:rFonts w:ascii="Arial" w:hAnsi="Arial"/>
    </w:rPr>
  </w:style>
  <w:style w:type="character" w:customStyle="1" w:styleId="FootnoteTextChar">
    <w:name w:val="Footnote Text Char"/>
    <w:basedOn w:val="DefaultParagraphFont"/>
    <w:link w:val="FootnoteText"/>
    <w:rsid w:val="008301C2"/>
    <w:rPr>
      <w:rFonts w:ascii="Arial" w:hAnsi="Arial"/>
      <w:sz w:val="16"/>
    </w:rPr>
  </w:style>
  <w:style w:type="character" w:customStyle="1" w:styleId="Heading1Char">
    <w:name w:val="Heading 1 Char"/>
    <w:basedOn w:val="DefaultParagraphFont"/>
    <w:link w:val="Heading1"/>
    <w:rsid w:val="008301C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1165">
      <w:bodyDiv w:val="1"/>
      <w:marLeft w:val="0"/>
      <w:marRight w:val="0"/>
      <w:marTop w:val="0"/>
      <w:marBottom w:val="0"/>
      <w:divBdr>
        <w:top w:val="none" w:sz="0" w:space="0" w:color="auto"/>
        <w:left w:val="none" w:sz="0" w:space="0" w:color="auto"/>
        <w:bottom w:val="none" w:sz="0" w:space="0" w:color="auto"/>
        <w:right w:val="none" w:sz="0" w:space="0" w:color="auto"/>
      </w:divBdr>
    </w:div>
    <w:div w:id="163326579">
      <w:bodyDiv w:val="1"/>
      <w:marLeft w:val="0"/>
      <w:marRight w:val="0"/>
      <w:marTop w:val="0"/>
      <w:marBottom w:val="0"/>
      <w:divBdr>
        <w:top w:val="none" w:sz="0" w:space="0" w:color="auto"/>
        <w:left w:val="none" w:sz="0" w:space="0" w:color="auto"/>
        <w:bottom w:val="none" w:sz="0" w:space="0" w:color="auto"/>
        <w:right w:val="none" w:sz="0" w:space="0" w:color="auto"/>
      </w:divBdr>
    </w:div>
    <w:div w:id="369034718">
      <w:bodyDiv w:val="1"/>
      <w:marLeft w:val="0"/>
      <w:marRight w:val="0"/>
      <w:marTop w:val="0"/>
      <w:marBottom w:val="0"/>
      <w:divBdr>
        <w:top w:val="none" w:sz="0" w:space="0" w:color="auto"/>
        <w:left w:val="none" w:sz="0" w:space="0" w:color="auto"/>
        <w:bottom w:val="none" w:sz="0" w:space="0" w:color="auto"/>
        <w:right w:val="none" w:sz="0" w:space="0" w:color="auto"/>
      </w:divBdr>
    </w:div>
    <w:div w:id="535047325">
      <w:bodyDiv w:val="1"/>
      <w:marLeft w:val="0"/>
      <w:marRight w:val="0"/>
      <w:marTop w:val="0"/>
      <w:marBottom w:val="0"/>
      <w:divBdr>
        <w:top w:val="none" w:sz="0" w:space="0" w:color="auto"/>
        <w:left w:val="none" w:sz="0" w:space="0" w:color="auto"/>
        <w:bottom w:val="none" w:sz="0" w:space="0" w:color="auto"/>
        <w:right w:val="none" w:sz="0" w:space="0" w:color="auto"/>
      </w:divBdr>
    </w:div>
    <w:div w:id="153210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B82A-7335-41E5-BEF5-A4BB4C6A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NICOLO Laurianne</cp:lastModifiedBy>
  <cp:revision>11</cp:revision>
  <cp:lastPrinted>2016-11-22T15:41:00Z</cp:lastPrinted>
  <dcterms:created xsi:type="dcterms:W3CDTF">2022-10-17T12:55:00Z</dcterms:created>
  <dcterms:modified xsi:type="dcterms:W3CDTF">2022-10-18T09:46:00Z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24f23a28-20c4-4bd4-8ede-1f6502be7ec9</vt:lpwstr>
  </property>
</Properties>
</file>