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E766E" w:rsidTr="00EB4E9C">
        <w:tc>
          <w:tcPr>
            <w:tcW w:w="6522" w:type="dxa"/>
          </w:tcPr>
          <w:p w:rsidR="00DC3802" w:rsidRPr="00BE766E" w:rsidRDefault="00DC3802" w:rsidP="00AC2883">
            <w:r w:rsidRPr="00BE766E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E766E" w:rsidRDefault="00DC3802" w:rsidP="00AC2883">
            <w:pPr>
              <w:pStyle w:val="Lettrine"/>
            </w:pPr>
            <w:r w:rsidRPr="00BE766E">
              <w:t>F</w:t>
            </w:r>
          </w:p>
        </w:tc>
      </w:tr>
      <w:tr w:rsidR="00DC3802" w:rsidRPr="00BE766E" w:rsidTr="00645CA8">
        <w:trPr>
          <w:trHeight w:val="219"/>
        </w:trPr>
        <w:tc>
          <w:tcPr>
            <w:tcW w:w="6522" w:type="dxa"/>
          </w:tcPr>
          <w:p w:rsidR="00DC3802" w:rsidRPr="00BE766E" w:rsidRDefault="00DC3802" w:rsidP="00AC2883">
            <w:pPr>
              <w:pStyle w:val="upove"/>
            </w:pPr>
            <w:r w:rsidRPr="00BE766E"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BE766E" w:rsidRDefault="00DC3802" w:rsidP="00DA4973"/>
        </w:tc>
      </w:tr>
    </w:tbl>
    <w:p w:rsidR="00DC3802" w:rsidRPr="00BE766E" w:rsidRDefault="00DC3802" w:rsidP="00DC3802"/>
    <w:p w:rsidR="003D0839" w:rsidRPr="00BE766E" w:rsidRDefault="003D0839" w:rsidP="003D083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BE766E" w:rsidTr="007A4FDD">
        <w:tc>
          <w:tcPr>
            <w:tcW w:w="6512" w:type="dxa"/>
          </w:tcPr>
          <w:p w:rsidR="003D0839" w:rsidRPr="00BE766E" w:rsidRDefault="003D0839" w:rsidP="007A4FDD">
            <w:pPr>
              <w:pStyle w:val="Sessiontc"/>
              <w:spacing w:line="240" w:lineRule="auto"/>
            </w:pPr>
            <w:r w:rsidRPr="00BE766E">
              <w:t>Comité technique</w:t>
            </w:r>
          </w:p>
          <w:p w:rsidR="003D0839" w:rsidRPr="00BE766E" w:rsidRDefault="003D0839" w:rsidP="007A4FDD">
            <w:pPr>
              <w:pStyle w:val="Sessiontcplacedate"/>
              <w:rPr>
                <w:sz w:val="22"/>
              </w:rPr>
            </w:pPr>
            <w:r w:rsidRPr="00BE766E">
              <w:t>Cinquante</w:t>
            </w:r>
            <w:r w:rsidR="003E471F" w:rsidRPr="00BE766E">
              <w:t>-</w:t>
            </w:r>
            <w:r w:rsidRPr="00BE766E">
              <w:t>huit</w:t>
            </w:r>
            <w:r w:rsidR="003E471F" w:rsidRPr="00BE766E">
              <w:t>ième session</w:t>
            </w:r>
            <w:r w:rsidRPr="00BE766E">
              <w:br/>
              <w:t>Genève, 24 et 2</w:t>
            </w:r>
            <w:r w:rsidR="003E471F" w:rsidRPr="00BE766E">
              <w:t>5 octobre 20</w:t>
            </w:r>
            <w:r w:rsidRPr="00BE766E">
              <w:t>22</w:t>
            </w:r>
          </w:p>
        </w:tc>
        <w:tc>
          <w:tcPr>
            <w:tcW w:w="3127" w:type="dxa"/>
          </w:tcPr>
          <w:p w:rsidR="003D0839" w:rsidRPr="00BE766E" w:rsidRDefault="003D0839" w:rsidP="007A4FDD">
            <w:pPr>
              <w:pStyle w:val="Doccode"/>
            </w:pPr>
            <w:r w:rsidRPr="00BE766E">
              <w:t>TC/58/25</w:t>
            </w:r>
          </w:p>
          <w:p w:rsidR="003D0839" w:rsidRPr="00BE766E" w:rsidRDefault="003D0839" w:rsidP="007A4FDD">
            <w:pPr>
              <w:pStyle w:val="Docoriginal"/>
            </w:pPr>
            <w:r w:rsidRPr="00BE766E">
              <w:t>Original</w:t>
            </w:r>
            <w:r w:rsidR="003E471F" w:rsidRPr="00BE766E">
              <w:t> :</w:t>
            </w:r>
            <w:r w:rsidRPr="00BE766E">
              <w:rPr>
                <w:b w:val="0"/>
              </w:rPr>
              <w:t xml:space="preserve"> anglais</w:t>
            </w:r>
          </w:p>
          <w:p w:rsidR="003D0839" w:rsidRPr="00BE766E" w:rsidRDefault="003D0839" w:rsidP="00380670">
            <w:pPr>
              <w:pStyle w:val="Docoriginal"/>
            </w:pPr>
            <w:r w:rsidRPr="00BE766E">
              <w:t>Date</w:t>
            </w:r>
            <w:r w:rsidR="003E471F" w:rsidRPr="00BE766E">
              <w:t> :</w:t>
            </w:r>
            <w:r w:rsidRPr="00BE766E">
              <w:rPr>
                <w:b w:val="0"/>
              </w:rPr>
              <w:t xml:space="preserve"> 5 octobre 2022</w:t>
            </w:r>
          </w:p>
        </w:tc>
      </w:tr>
    </w:tbl>
    <w:p w:rsidR="00DB3E5A" w:rsidRPr="00BE766E" w:rsidRDefault="00DB3E5A" w:rsidP="00DB3E5A">
      <w:pPr>
        <w:pStyle w:val="Titleofdoc0"/>
      </w:pPr>
      <w:r w:rsidRPr="00BE766E">
        <w:t>QUESTIONS EN SUSPENS CONCERNANT LES PRINCIPES DIRECTEURS D</w:t>
      </w:r>
      <w:r w:rsidR="003E471F" w:rsidRPr="00BE766E">
        <w:t>’</w:t>
      </w:r>
      <w:r w:rsidRPr="00BE766E">
        <w:t>EXAMEN SOUMIS AU COMITÉ TECHNIQUE POUR ADOPTION</w:t>
      </w:r>
      <w:r w:rsidR="003E471F" w:rsidRPr="00BE766E">
        <w:t> :</w:t>
      </w:r>
      <w:r w:rsidRPr="00BE766E">
        <w:t xml:space="preserve"> PORTE</w:t>
      </w:r>
      <w:r w:rsidR="003E471F" w:rsidRPr="00BE766E">
        <w:t>-</w:t>
      </w:r>
      <w:r w:rsidRPr="00BE766E">
        <w:t>GREFFE DE TOMATE</w:t>
      </w:r>
    </w:p>
    <w:p w:rsidR="00DB3E5A" w:rsidRPr="00BE766E" w:rsidRDefault="00DB3E5A" w:rsidP="00DB3E5A">
      <w:pPr>
        <w:pStyle w:val="preparedby1"/>
        <w:jc w:val="left"/>
      </w:pPr>
      <w:bookmarkStart w:id="0" w:name="Prepared"/>
      <w:bookmarkEnd w:id="0"/>
      <w:r w:rsidRPr="00BE766E">
        <w:t>Document établi par une experte des Pays</w:t>
      </w:r>
      <w:r w:rsidR="003E471F" w:rsidRPr="00BE766E">
        <w:t>-</w:t>
      </w:r>
      <w:r w:rsidRPr="00BE766E">
        <w:t>Bas</w:t>
      </w:r>
    </w:p>
    <w:p w:rsidR="00DB3E5A" w:rsidRPr="00BE766E" w:rsidRDefault="00DB3E5A" w:rsidP="00DB3E5A">
      <w:pPr>
        <w:pStyle w:val="Disclaimer"/>
      </w:pPr>
      <w:r w:rsidRPr="00BE766E">
        <w:t>Avertissement</w:t>
      </w:r>
      <w:r w:rsidR="003E471F" w:rsidRPr="00BE766E">
        <w:t> :</w:t>
      </w:r>
      <w:r w:rsidRPr="00BE766E">
        <w:t xml:space="preserve"> le présent document ne représente pas les principes ou les orientations de l</w:t>
      </w:r>
      <w:r w:rsidR="003E471F" w:rsidRPr="00BE766E">
        <w:t>’</w:t>
      </w:r>
      <w:r w:rsidRPr="00BE766E">
        <w:t>UPOV</w:t>
      </w:r>
    </w:p>
    <w:p w:rsidR="00DB3E5A" w:rsidRPr="00BE766E" w:rsidRDefault="00DB3E5A" w:rsidP="00DB3E5A">
      <w:r w:rsidRPr="00BE766E">
        <w:fldChar w:fldCharType="begin"/>
      </w:r>
      <w:r w:rsidRPr="00BE766E">
        <w:instrText xml:space="preserve"> AUTONUM  </w:instrText>
      </w:r>
      <w:r w:rsidRPr="00BE766E">
        <w:fldChar w:fldCharType="end"/>
      </w:r>
      <w:r w:rsidRPr="00BE766E">
        <w:tab/>
        <w:t>À sa réunion tenue à Genève les 25 et 26 octobre 2021, le Comité de rédaction élargi (TC</w:t>
      </w:r>
      <w:r w:rsidR="003E471F" w:rsidRPr="00BE766E">
        <w:t>-</w:t>
      </w:r>
      <w:r w:rsidRPr="00BE766E">
        <w:t>EDC) a examiné une proposition de révision partielle des principes directeurs d</w:t>
      </w:r>
      <w:r w:rsidR="003E471F" w:rsidRPr="00BE766E">
        <w:t>’</w:t>
      </w:r>
      <w:r w:rsidRPr="00BE766E">
        <w:t>examen du porte</w:t>
      </w:r>
      <w:r w:rsidR="003E471F" w:rsidRPr="00BE766E">
        <w:t>-</w:t>
      </w:r>
      <w:r w:rsidRPr="00BE766E">
        <w:t>greffe de tomate (</w:t>
      </w:r>
      <w:r w:rsidR="003E471F" w:rsidRPr="00BE766E">
        <w:t>document TC</w:t>
      </w:r>
      <w:r w:rsidRPr="00BE766E">
        <w:t>/57/18).  Le</w:t>
      </w:r>
      <w:r w:rsidR="003E471F" w:rsidRPr="00BE766E">
        <w:t> TC-EDC</w:t>
      </w:r>
      <w:r w:rsidRPr="00BE766E">
        <w:t xml:space="preserve"> est convenu que les problèmes techniques soulevés dans la proposition de révision partielle devraient être examinés par le Groupe de travail technique sur les plantes potagères (TWV) (voir l</w:t>
      </w:r>
      <w:r w:rsidR="003E471F" w:rsidRPr="00BE766E">
        <w:t>’annexe I</w:t>
      </w:r>
      <w:r w:rsidRPr="00BE766E">
        <w:t xml:space="preserve">I du </w:t>
      </w:r>
      <w:r w:rsidR="003E471F" w:rsidRPr="00BE766E">
        <w:t>document TC</w:t>
      </w:r>
      <w:r w:rsidRPr="00BE766E">
        <w:t>/57/25 “Compte rendu”).</w:t>
      </w:r>
    </w:p>
    <w:p w:rsidR="00DB3E5A" w:rsidRPr="00BE766E" w:rsidRDefault="00DB3E5A" w:rsidP="00DB3E5A">
      <w:pPr>
        <w:rPr>
          <w:snapToGrid w:val="0"/>
        </w:rPr>
      </w:pPr>
    </w:p>
    <w:p w:rsidR="00DB3E5A" w:rsidRPr="00BE766E" w:rsidRDefault="00DB3E5A" w:rsidP="00DB3E5A">
      <w:pPr>
        <w:rPr>
          <w:snapToGrid w:val="0"/>
        </w:rPr>
      </w:pPr>
      <w:r w:rsidRPr="00BE766E">
        <w:rPr>
          <w:snapToGrid w:val="0"/>
        </w:rPr>
        <w:fldChar w:fldCharType="begin"/>
      </w:r>
      <w:r w:rsidRPr="00BE766E">
        <w:rPr>
          <w:snapToGrid w:val="0"/>
        </w:rPr>
        <w:instrText xml:space="preserve"> AUTONUM  </w:instrText>
      </w:r>
      <w:r w:rsidRPr="00BE766E">
        <w:rPr>
          <w:snapToGrid w:val="0"/>
        </w:rPr>
        <w:fldChar w:fldCharType="end"/>
      </w:r>
      <w:r w:rsidRPr="00BE766E">
        <w:rPr>
          <w:snapToGrid w:val="0"/>
        </w:rPr>
        <w:tab/>
      </w:r>
      <w:r w:rsidRPr="00BE766E">
        <w:t>À sa cinquante</w:t>
      </w:r>
      <w:r w:rsidR="003E471F" w:rsidRPr="00BE766E">
        <w:t>-</w:t>
      </w:r>
      <w:r w:rsidRPr="00BE766E">
        <w:t>six</w:t>
      </w:r>
      <w:r w:rsidR="003E471F" w:rsidRPr="00BE766E">
        <w:t>ième session</w:t>
      </w:r>
      <w:r w:rsidRPr="00BE766E">
        <w:rPr>
          <w:rStyle w:val="FootnoteReference"/>
          <w:rFonts w:cs="Arial"/>
        </w:rPr>
        <w:footnoteReference w:id="2"/>
      </w:r>
      <w:r w:rsidRPr="00BE766E">
        <w:t>,</w:t>
      </w:r>
      <w:r w:rsidR="003E471F" w:rsidRPr="00BE766E">
        <w:t xml:space="preserve"> </w:t>
      </w:r>
      <w:r w:rsidR="003E471F" w:rsidRPr="00BE766E">
        <w:rPr>
          <w:snapToGrid w:val="0"/>
        </w:rPr>
        <w:t>le</w:t>
      </w:r>
      <w:r w:rsidR="003E471F" w:rsidRPr="00BE766E">
        <w:t> </w:t>
      </w:r>
      <w:r w:rsidR="003E471F" w:rsidRPr="00BE766E">
        <w:rPr>
          <w:snapToGrid w:val="0"/>
        </w:rPr>
        <w:t>TWV</w:t>
      </w:r>
      <w:r w:rsidRPr="00BE766E">
        <w:rPr>
          <w:snapToGrid w:val="0"/>
        </w:rPr>
        <w:t xml:space="preserve"> </w:t>
      </w:r>
      <w:r w:rsidRPr="00BE766E">
        <w:t>a examiné le document TWV/56/8 “</w:t>
      </w:r>
      <w:proofErr w:type="spellStart"/>
      <w:r w:rsidRPr="00A52B7E">
        <w:rPr>
          <w:i/>
        </w:rPr>
        <w:t>Matters</w:t>
      </w:r>
      <w:proofErr w:type="spellEnd"/>
      <w:r w:rsidRPr="00A52B7E">
        <w:rPr>
          <w:i/>
        </w:rPr>
        <w:t xml:space="preserve"> to </w:t>
      </w:r>
      <w:proofErr w:type="spellStart"/>
      <w:r w:rsidRPr="00A52B7E">
        <w:rPr>
          <w:i/>
        </w:rPr>
        <w:t>be</w:t>
      </w:r>
      <w:proofErr w:type="spellEnd"/>
      <w:r w:rsidRPr="00A52B7E">
        <w:rPr>
          <w:i/>
        </w:rPr>
        <w:t xml:space="preserve"> </w:t>
      </w:r>
      <w:proofErr w:type="spellStart"/>
      <w:r w:rsidRPr="00A52B7E">
        <w:rPr>
          <w:i/>
        </w:rPr>
        <w:t>resolved</w:t>
      </w:r>
      <w:proofErr w:type="spellEnd"/>
      <w:r w:rsidRPr="00A52B7E">
        <w:rPr>
          <w:i/>
        </w:rPr>
        <w:t xml:space="preserve"> </w:t>
      </w:r>
      <w:proofErr w:type="spellStart"/>
      <w:r w:rsidRPr="00A52B7E">
        <w:rPr>
          <w:i/>
        </w:rPr>
        <w:t>concerning</w:t>
      </w:r>
      <w:proofErr w:type="spellEnd"/>
      <w:r w:rsidRPr="00A52B7E">
        <w:rPr>
          <w:i/>
        </w:rPr>
        <w:t xml:space="preserve"> Test Guidelines put </w:t>
      </w:r>
      <w:proofErr w:type="spellStart"/>
      <w:r w:rsidRPr="00A52B7E">
        <w:rPr>
          <w:i/>
        </w:rPr>
        <w:t>forward</w:t>
      </w:r>
      <w:proofErr w:type="spellEnd"/>
      <w:r w:rsidRPr="00A52B7E">
        <w:rPr>
          <w:i/>
        </w:rPr>
        <w:t xml:space="preserve"> for adoption by the </w:t>
      </w:r>
      <w:proofErr w:type="spellStart"/>
      <w:r w:rsidRPr="00A52B7E">
        <w:rPr>
          <w:i/>
        </w:rPr>
        <w:t>Technical</w:t>
      </w:r>
      <w:proofErr w:type="spellEnd"/>
      <w:r w:rsidRPr="00A52B7E">
        <w:rPr>
          <w:i/>
        </w:rPr>
        <w:t xml:space="preserve"> </w:t>
      </w:r>
      <w:proofErr w:type="spellStart"/>
      <w:r w:rsidRPr="00A52B7E">
        <w:rPr>
          <w:i/>
        </w:rPr>
        <w:t>Committee</w:t>
      </w:r>
      <w:proofErr w:type="spellEnd"/>
      <w:r w:rsidRPr="00A52B7E">
        <w:rPr>
          <w:i/>
        </w:rPr>
        <w:t xml:space="preserve">: </w:t>
      </w:r>
      <w:proofErr w:type="spellStart"/>
      <w:r w:rsidRPr="00A52B7E">
        <w:rPr>
          <w:i/>
        </w:rPr>
        <w:t>Tomato</w:t>
      </w:r>
      <w:proofErr w:type="spellEnd"/>
      <w:r w:rsidRPr="00A52B7E">
        <w:rPr>
          <w:i/>
        </w:rPr>
        <w:t xml:space="preserve"> </w:t>
      </w:r>
      <w:proofErr w:type="spellStart"/>
      <w:r w:rsidRPr="00A52B7E">
        <w:rPr>
          <w:i/>
        </w:rPr>
        <w:t>Rootstocks</w:t>
      </w:r>
      <w:proofErr w:type="spellEnd"/>
      <w:r w:rsidRPr="00BE766E">
        <w:t xml:space="preserve">”, </w:t>
      </w:r>
      <w:r w:rsidR="003E471F" w:rsidRPr="00BE766E">
        <w:t>y compris</w:t>
      </w:r>
      <w:r w:rsidRPr="00BE766E">
        <w:t xml:space="preserve"> les questions techniques signalées par le</w:t>
      </w:r>
      <w:r w:rsidR="003E471F" w:rsidRPr="00BE766E">
        <w:t> TC-EDC</w:t>
      </w:r>
      <w:r w:rsidRPr="00BE766E">
        <w:t xml:space="preserve"> (indiquées ci</w:t>
      </w:r>
      <w:r w:rsidR="003E471F" w:rsidRPr="00BE766E">
        <w:t>-</w:t>
      </w:r>
      <w:r w:rsidRPr="00BE766E">
        <w:t xml:space="preserve">dessous par le signe “#”). </w:t>
      </w:r>
      <w:r w:rsidR="00E40BE7" w:rsidRPr="00BE766E">
        <w:t xml:space="preserve"> </w:t>
      </w:r>
      <w:r w:rsidRPr="00BE766E">
        <w:t>Les réponses proposées par l</w:t>
      </w:r>
      <w:r w:rsidR="003E471F" w:rsidRPr="00BE766E">
        <w:t>’</w:t>
      </w:r>
      <w:r w:rsidRPr="00BE766E">
        <w:t>experte principale, Mme</w:t>
      </w:r>
      <w:r w:rsidR="00E40BE7" w:rsidRPr="00BE766E">
        <w:t> </w:t>
      </w:r>
      <w:r w:rsidRPr="00BE766E">
        <w:t>Cécile</w:t>
      </w:r>
      <w:r w:rsidR="008F1DD9">
        <w:t> </w:t>
      </w:r>
      <w:r w:rsidRPr="00BE766E">
        <w:t>Marchenay (Pays</w:t>
      </w:r>
      <w:r w:rsidR="003E471F" w:rsidRPr="00BE766E">
        <w:t>-</w:t>
      </w:r>
      <w:r w:rsidRPr="00BE766E">
        <w:t>Bas), et les conclusions</w:t>
      </w:r>
      <w:r w:rsidR="003E471F" w:rsidRPr="00BE766E">
        <w:t xml:space="preserve"> du TWV</w:t>
      </w:r>
      <w:r w:rsidRPr="00BE766E">
        <w:t xml:space="preserve"> ont été les suivantes (voir le </w:t>
      </w:r>
      <w:r w:rsidR="003E471F" w:rsidRPr="00BE766E">
        <w:t>paragraphe 8</w:t>
      </w:r>
      <w:r w:rsidRPr="00BE766E">
        <w:t>1 du document TWV/56/2 “</w:t>
      </w:r>
      <w:r w:rsidRPr="00A52B7E">
        <w:rPr>
          <w:i/>
        </w:rPr>
        <w:t>Report</w:t>
      </w:r>
      <w:r w:rsidRPr="00BE766E">
        <w:t>”)</w:t>
      </w:r>
      <w:r w:rsidR="003E471F" w:rsidRPr="00BE766E">
        <w:t> :</w:t>
      </w:r>
    </w:p>
    <w:p w:rsidR="00DB3E5A" w:rsidRPr="00BE766E" w:rsidRDefault="00DB3E5A" w:rsidP="00DB3E5A">
      <w:pPr>
        <w:rPr>
          <w:rFonts w:cs="Arial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8208"/>
      </w:tblGrid>
      <w:tr w:rsidR="00DB3E5A" w:rsidRPr="00BE766E" w:rsidTr="00945030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r w:rsidRPr="00BE766E">
              <w:rPr>
                <w:vertAlign w:val="superscript"/>
              </w:rPr>
              <w:t>#</w:t>
            </w:r>
            <w:r w:rsidRPr="00BE766E">
              <w:t>Car.</w:t>
            </w:r>
            <w:r w:rsidRPr="00BE766E">
              <w:rPr>
                <w:color w:val="000000"/>
              </w:rPr>
              <w:t xml:space="preserve"> 22, </w:t>
            </w:r>
            <w:r w:rsidRPr="00BE766E">
              <w:rPr>
                <w:color w:val="000000"/>
              </w:rPr>
              <w:br/>
              <w:t>Ad. 22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proofErr w:type="gramStart"/>
            <w:r w:rsidRPr="00BE766E">
              <w:rPr>
                <w:color w:val="000000"/>
              </w:rPr>
              <w:t>vérifier</w:t>
            </w:r>
            <w:proofErr w:type="gramEnd"/>
            <w:r w:rsidRPr="00BE766E">
              <w:rPr>
                <w:color w:val="000000"/>
              </w:rPr>
              <w:t xml:space="preserve"> s</w:t>
            </w:r>
            <w:r w:rsidR="003E471F" w:rsidRPr="00BE766E">
              <w:rPr>
                <w:color w:val="000000"/>
              </w:rPr>
              <w:t>’</w:t>
            </w:r>
            <w:r w:rsidRPr="00BE766E">
              <w:rPr>
                <w:color w:val="000000"/>
              </w:rPr>
              <w:t>il convient de réduire l</w:t>
            </w:r>
            <w:r w:rsidR="003E471F" w:rsidRPr="00BE766E">
              <w:rPr>
                <w:color w:val="000000"/>
              </w:rPr>
              <w:t>’</w:t>
            </w:r>
            <w:r w:rsidRPr="00BE766E">
              <w:rPr>
                <w:color w:val="000000"/>
              </w:rPr>
              <w:t>échelle à trois</w:t>
            </w:r>
            <w:r w:rsidR="00E40BE7" w:rsidRPr="00BE766E">
              <w:rPr>
                <w:color w:val="000000"/>
              </w:rPr>
              <w:t> </w:t>
            </w:r>
            <w:r w:rsidRPr="00BE766E">
              <w:rPr>
                <w:color w:val="000000"/>
              </w:rPr>
              <w:t>notes ou d</w:t>
            </w:r>
            <w:r w:rsidR="003E471F" w:rsidRPr="00BE766E">
              <w:rPr>
                <w:color w:val="000000"/>
              </w:rPr>
              <w:t>’</w:t>
            </w:r>
            <w:r w:rsidRPr="00BE766E">
              <w:rPr>
                <w:color w:val="000000"/>
              </w:rPr>
              <w:t>améliorer l</w:t>
            </w:r>
            <w:r w:rsidR="003E471F" w:rsidRPr="00BE766E">
              <w:rPr>
                <w:color w:val="000000"/>
              </w:rPr>
              <w:t>’</w:t>
            </w:r>
            <w:r w:rsidRPr="00BE766E">
              <w:rPr>
                <w:color w:val="000000"/>
              </w:rPr>
              <w:t>explication relative à la notation du caractère en utilisant toutes les notes sur l</w:t>
            </w:r>
            <w:r w:rsidR="003E471F" w:rsidRPr="00BE766E">
              <w:rPr>
                <w:color w:val="000000"/>
              </w:rPr>
              <w:t>’</w:t>
            </w:r>
            <w:r w:rsidRPr="00BE766E">
              <w:rPr>
                <w:color w:val="000000"/>
              </w:rPr>
              <w:t>échelle de cinq</w:t>
            </w:r>
            <w:r w:rsidR="00E40BE7" w:rsidRPr="00BE766E">
              <w:rPr>
                <w:color w:val="000000"/>
              </w:rPr>
              <w:t> </w:t>
            </w:r>
            <w:r w:rsidRPr="00BE766E">
              <w:rPr>
                <w:color w:val="000000"/>
              </w:rPr>
              <w:t>notes.</w:t>
            </w:r>
          </w:p>
          <w:p w:rsidR="003E471F" w:rsidRPr="00BE766E" w:rsidRDefault="00DB3E5A" w:rsidP="00CF2112">
            <w:pPr>
              <w:pStyle w:val="BodyText"/>
              <w:jc w:val="left"/>
              <w:rPr>
                <w:i/>
                <w:color w:val="000000"/>
              </w:rPr>
            </w:pPr>
            <w:r w:rsidRPr="00BE766E">
              <w:rPr>
                <w:i/>
                <w:color w:val="000000"/>
              </w:rPr>
              <w:t>Experte principale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</w:t>
            </w:r>
            <w:r w:rsidR="0058221B">
              <w:rPr>
                <w:i/>
                <w:color w:val="000000"/>
              </w:rPr>
              <w:t>l</w:t>
            </w:r>
            <w:r w:rsidR="003E471F" w:rsidRPr="00BE766E">
              <w:rPr>
                <w:i/>
                <w:color w:val="000000"/>
              </w:rPr>
              <w:t>’</w:t>
            </w:r>
            <w:r w:rsidRPr="00BE766E">
              <w:rPr>
                <w:i/>
                <w:color w:val="000000"/>
              </w:rPr>
              <w:t xml:space="preserve">échelle de 1 à 5 a été conservée pour le moment, </w:t>
            </w:r>
            <w:r w:rsidR="003E471F" w:rsidRPr="00BE766E">
              <w:rPr>
                <w:i/>
                <w:color w:val="000000"/>
              </w:rPr>
              <w:t>y compris</w:t>
            </w:r>
            <w:r w:rsidRPr="00BE766E">
              <w:rPr>
                <w:i/>
                <w:color w:val="000000"/>
              </w:rPr>
              <w:t xml:space="preserve"> l</w:t>
            </w:r>
            <w:r w:rsidR="003E471F" w:rsidRPr="00BE766E">
              <w:rPr>
                <w:i/>
                <w:color w:val="000000"/>
              </w:rPr>
              <w:t>’</w:t>
            </w:r>
            <w:r w:rsidRPr="00BE766E">
              <w:rPr>
                <w:i/>
                <w:color w:val="000000"/>
              </w:rPr>
              <w:t>explication supplémentaire concernant les notes.</w:t>
            </w:r>
          </w:p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BE766E">
              <w:rPr>
                <w:i/>
                <w:color w:val="000000"/>
              </w:rPr>
              <w:t>TWV</w:t>
            </w:r>
            <w:r w:rsidR="003E471F" w:rsidRPr="00BE766E">
              <w:rPr>
                <w:i/>
                <w:color w:val="000000"/>
              </w:rPr>
              <w:t> 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78"/>
              <w:gridCol w:w="6378"/>
            </w:tblGrid>
            <w:tr w:rsidR="00DB3E5A" w:rsidRPr="00BE766E" w:rsidTr="00CF2112">
              <w:tc>
                <w:tcPr>
                  <w:tcW w:w="1578" w:type="dxa"/>
                </w:tcPr>
                <w:p w:rsidR="00DB3E5A" w:rsidRPr="00BE766E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BE766E">
                    <w:rPr>
                      <w:i/>
                      <w:color w:val="000000"/>
                    </w:rPr>
                    <w:t>Car. 22</w:t>
                  </w:r>
                </w:p>
              </w:tc>
              <w:tc>
                <w:tcPr>
                  <w:tcW w:w="6378" w:type="dxa"/>
                </w:tcPr>
                <w:p w:rsidR="00DB3E5A" w:rsidRPr="00BE766E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BE766E">
                    <w:rPr>
                      <w:i/>
                      <w:color w:val="000000"/>
                    </w:rPr>
                    <w:t>modifier le libellé comme suit</w:t>
                  </w:r>
                  <w:r w:rsidR="003E471F" w:rsidRPr="00BE766E">
                    <w:rPr>
                      <w:i/>
                      <w:color w:val="000000"/>
                    </w:rPr>
                    <w:t> :</w:t>
                  </w:r>
                </w:p>
              </w:tc>
            </w:tr>
          </w:tbl>
          <w:p w:rsidR="00DB3E5A" w:rsidRPr="00BE766E" w:rsidRDefault="00DB3E5A" w:rsidP="00CF2112"/>
          <w:tbl>
            <w:tblPr>
              <w:tblW w:w="5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677"/>
              <w:gridCol w:w="567"/>
              <w:gridCol w:w="2319"/>
              <w:gridCol w:w="1280"/>
              <w:gridCol w:w="567"/>
            </w:tblGrid>
            <w:tr w:rsidR="00DB3E5A" w:rsidRPr="00BE766E" w:rsidTr="00CF2112">
              <w:trPr>
                <w:cantSplit/>
              </w:trPr>
              <w:tc>
                <w:tcPr>
                  <w:tcW w:w="677" w:type="dxa"/>
                </w:tcPr>
                <w:p w:rsidR="00DB3E5A" w:rsidRPr="00BE766E" w:rsidRDefault="00DB3E5A" w:rsidP="00CF2112">
                  <w:pPr>
                    <w:pStyle w:val="Normaltb"/>
                    <w:jc w:val="center"/>
                    <w:rPr>
                      <w:rFonts w:cs="Arial"/>
                      <w:szCs w:val="16"/>
                    </w:rPr>
                  </w:pPr>
                  <w:r w:rsidRPr="00BE766E">
                    <w:t xml:space="preserve">22. </w:t>
                  </w:r>
                  <w:r w:rsidRPr="00BE766E">
                    <w:br/>
                    <w:t>(*)</w:t>
                  </w:r>
                  <w:r w:rsidRPr="00BE766E">
                    <w:br/>
                    <w:t>(+)</w:t>
                  </w:r>
                </w:p>
              </w:tc>
              <w:tc>
                <w:tcPr>
                  <w:tcW w:w="567" w:type="dxa"/>
                </w:tcPr>
                <w:p w:rsidR="00DB3E5A" w:rsidRPr="00BE766E" w:rsidRDefault="00DB3E5A" w:rsidP="00CF2112">
                  <w:pPr>
                    <w:pStyle w:val="Normaltb"/>
                    <w:jc w:val="center"/>
                    <w:rPr>
                      <w:rFonts w:cs="Arial"/>
                      <w:szCs w:val="16"/>
                    </w:rPr>
                  </w:pPr>
                  <w:r w:rsidRPr="00BE766E">
                    <w:t>VG</w:t>
                  </w:r>
                </w:p>
              </w:tc>
              <w:tc>
                <w:tcPr>
                  <w:tcW w:w="2319" w:type="dxa"/>
                </w:tcPr>
                <w:p w:rsidR="00DB3E5A" w:rsidRPr="00BE766E" w:rsidRDefault="00DB3E5A" w:rsidP="00CF2112">
                  <w:pPr>
                    <w:pStyle w:val="Normaltb"/>
                    <w:rPr>
                      <w:i/>
                    </w:rPr>
                  </w:pPr>
                  <w:r w:rsidRPr="00BE766E">
                    <w:t xml:space="preserve">Résistance à </w:t>
                  </w:r>
                  <w:proofErr w:type="spellStart"/>
                  <w:r w:rsidRPr="00BE766E">
                    <w:rPr>
                      <w:i/>
                    </w:rPr>
                    <w:t>Meloidogyne</w:t>
                  </w:r>
                  <w:proofErr w:type="spellEnd"/>
                  <w:r w:rsidRPr="00BE766E">
                    <w:rPr>
                      <w:i/>
                    </w:rPr>
                    <w:t xml:space="preserve"> </w:t>
                  </w:r>
                  <w:proofErr w:type="spellStart"/>
                  <w:r w:rsidRPr="00BE766E">
                    <w:rPr>
                      <w:i/>
                    </w:rPr>
                    <w:t>incognita</w:t>
                  </w:r>
                  <w:proofErr w:type="spellEnd"/>
                  <w:r w:rsidRPr="00BE766E">
                    <w:t xml:space="preserve"> (Mi)</w:t>
                  </w:r>
                </w:p>
              </w:tc>
              <w:tc>
                <w:tcPr>
                  <w:tcW w:w="1280" w:type="dxa"/>
                </w:tcPr>
                <w:p w:rsidR="00DB3E5A" w:rsidRPr="00BE766E" w:rsidRDefault="00DB3E5A" w:rsidP="00CF2112">
                  <w:pPr>
                    <w:pStyle w:val="Normaltb"/>
                  </w:pPr>
                </w:p>
              </w:tc>
              <w:tc>
                <w:tcPr>
                  <w:tcW w:w="567" w:type="dxa"/>
                </w:tcPr>
                <w:p w:rsidR="00DB3E5A" w:rsidRPr="00BE766E" w:rsidRDefault="00DB3E5A" w:rsidP="00CF2112">
                  <w:pPr>
                    <w:pStyle w:val="Normaltb"/>
                  </w:pPr>
                </w:p>
              </w:tc>
            </w:tr>
            <w:tr w:rsidR="00DB3E5A" w:rsidRPr="00BE766E" w:rsidTr="00CF2112">
              <w:trPr>
                <w:cantSplit/>
              </w:trPr>
              <w:tc>
                <w:tcPr>
                  <w:tcW w:w="677" w:type="dxa"/>
                </w:tcPr>
                <w:p w:rsidR="00DB3E5A" w:rsidRPr="00BE766E" w:rsidRDefault="00DB3E5A" w:rsidP="00CF2112">
                  <w:pPr>
                    <w:pStyle w:val="Normalt"/>
                    <w:keepNext/>
                    <w:jc w:val="center"/>
                    <w:rPr>
                      <w:rFonts w:cs="Arial"/>
                      <w:b/>
                      <w:szCs w:val="16"/>
                    </w:rPr>
                  </w:pPr>
                  <w:r w:rsidRPr="00BE766E">
                    <w:rPr>
                      <w:b/>
                    </w:rPr>
                    <w:t>QN</w:t>
                  </w:r>
                </w:p>
              </w:tc>
              <w:tc>
                <w:tcPr>
                  <w:tcW w:w="567" w:type="dxa"/>
                </w:tcPr>
                <w:p w:rsidR="00DB3E5A" w:rsidRPr="00BE766E" w:rsidRDefault="00DB3E5A" w:rsidP="00CF2112">
                  <w:pPr>
                    <w:pStyle w:val="Normaltb"/>
                    <w:jc w:val="center"/>
                    <w:rPr>
                      <w:rFonts w:cs="Arial"/>
                      <w:szCs w:val="16"/>
                    </w:rPr>
                  </w:pPr>
                </w:p>
              </w:tc>
              <w:tc>
                <w:tcPr>
                  <w:tcW w:w="2319" w:type="dxa"/>
                </w:tcPr>
                <w:p w:rsidR="00DB3E5A" w:rsidRPr="00BE766E" w:rsidRDefault="00DB3E5A" w:rsidP="00CF2112">
                  <w:pPr>
                    <w:pStyle w:val="Normalt"/>
                  </w:pPr>
                  <w:r w:rsidRPr="00BE766E">
                    <w:t>sensible</w:t>
                  </w:r>
                </w:p>
              </w:tc>
              <w:tc>
                <w:tcPr>
                  <w:tcW w:w="1280" w:type="dxa"/>
                </w:tcPr>
                <w:p w:rsidR="00DB3E5A" w:rsidRPr="00BE766E" w:rsidRDefault="00DB3E5A" w:rsidP="00CF2112">
                  <w:pPr>
                    <w:pStyle w:val="Normalt"/>
                  </w:pPr>
                  <w:r w:rsidRPr="00BE766E">
                    <w:t>Bruce</w:t>
                  </w:r>
                </w:p>
              </w:tc>
              <w:tc>
                <w:tcPr>
                  <w:tcW w:w="567" w:type="dxa"/>
                </w:tcPr>
                <w:p w:rsidR="00DB3E5A" w:rsidRPr="00BE766E" w:rsidRDefault="00DB3E5A" w:rsidP="00CF2112">
                  <w:pPr>
                    <w:pStyle w:val="Normalt"/>
                    <w:keepNext/>
                    <w:jc w:val="center"/>
                    <w:rPr>
                      <w:rFonts w:cs="Arial"/>
                      <w:szCs w:val="16"/>
                    </w:rPr>
                  </w:pPr>
                  <w:r w:rsidRPr="00BE766E">
                    <w:t>1</w:t>
                  </w:r>
                </w:p>
              </w:tc>
            </w:tr>
            <w:tr w:rsidR="00DB3E5A" w:rsidRPr="00BE766E" w:rsidTr="00CF2112">
              <w:trPr>
                <w:cantSplit/>
              </w:trPr>
              <w:tc>
                <w:tcPr>
                  <w:tcW w:w="677" w:type="dxa"/>
                </w:tcPr>
                <w:p w:rsidR="00DB3E5A" w:rsidRPr="00BE766E" w:rsidRDefault="00DB3E5A" w:rsidP="00CF2112">
                  <w:pPr>
                    <w:pStyle w:val="Normalt"/>
                    <w:keepNext/>
                    <w:jc w:val="center"/>
                    <w:rPr>
                      <w:rFonts w:cs="Arial"/>
                      <w:b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B3E5A" w:rsidRPr="00BE766E" w:rsidRDefault="00DB3E5A" w:rsidP="00CF2112">
                  <w:pPr>
                    <w:pStyle w:val="Normaltb"/>
                    <w:jc w:val="center"/>
                    <w:rPr>
                      <w:rFonts w:cs="Arial"/>
                      <w:szCs w:val="16"/>
                    </w:rPr>
                  </w:pPr>
                </w:p>
              </w:tc>
              <w:tc>
                <w:tcPr>
                  <w:tcW w:w="2319" w:type="dxa"/>
                </w:tcPr>
                <w:p w:rsidR="00DB3E5A" w:rsidRPr="00BE766E" w:rsidRDefault="00DB3E5A" w:rsidP="00CF2112">
                  <w:pPr>
                    <w:pStyle w:val="Normalt"/>
                  </w:pPr>
                  <w:r w:rsidRPr="00BE766E">
                    <w:t xml:space="preserve">résistant à un niveau intermédiaire </w:t>
                  </w:r>
                </w:p>
              </w:tc>
              <w:tc>
                <w:tcPr>
                  <w:tcW w:w="1280" w:type="dxa"/>
                </w:tcPr>
                <w:p w:rsidR="00DB3E5A" w:rsidRPr="00BE766E" w:rsidRDefault="00DB3E5A" w:rsidP="00CF2112">
                  <w:pPr>
                    <w:pStyle w:val="Normalt"/>
                  </w:pPr>
                </w:p>
              </w:tc>
              <w:tc>
                <w:tcPr>
                  <w:tcW w:w="567" w:type="dxa"/>
                </w:tcPr>
                <w:p w:rsidR="00DB3E5A" w:rsidRPr="00BE766E" w:rsidRDefault="00DB3E5A" w:rsidP="00CF2112">
                  <w:pPr>
                    <w:pStyle w:val="Normalt"/>
                    <w:keepNext/>
                    <w:jc w:val="center"/>
                    <w:rPr>
                      <w:rFonts w:cs="Arial"/>
                      <w:szCs w:val="16"/>
                    </w:rPr>
                  </w:pPr>
                  <w:r w:rsidRPr="00BE766E">
                    <w:t>2</w:t>
                  </w:r>
                </w:p>
              </w:tc>
            </w:tr>
            <w:tr w:rsidR="00DB3E5A" w:rsidRPr="00BE766E" w:rsidTr="00CF2112">
              <w:trPr>
                <w:cantSplit/>
              </w:trPr>
              <w:tc>
                <w:tcPr>
                  <w:tcW w:w="677" w:type="dxa"/>
                </w:tcPr>
                <w:p w:rsidR="00DB3E5A" w:rsidRPr="00BE766E" w:rsidRDefault="00DB3E5A" w:rsidP="00CF2112">
                  <w:pPr>
                    <w:pStyle w:val="Normalt"/>
                    <w:jc w:val="center"/>
                    <w:rPr>
                      <w:rFonts w:cs="Arial"/>
                      <w:b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B3E5A" w:rsidRPr="00BE766E" w:rsidRDefault="00DB3E5A" w:rsidP="00CF2112">
                  <w:pPr>
                    <w:pStyle w:val="Normaltb"/>
                    <w:jc w:val="center"/>
                    <w:rPr>
                      <w:rFonts w:cs="Arial"/>
                      <w:szCs w:val="16"/>
                    </w:rPr>
                  </w:pPr>
                </w:p>
              </w:tc>
              <w:tc>
                <w:tcPr>
                  <w:tcW w:w="2319" w:type="dxa"/>
                </w:tcPr>
                <w:p w:rsidR="00DB3E5A" w:rsidRPr="00BE766E" w:rsidRDefault="00DB3E5A" w:rsidP="00CF2112">
                  <w:pPr>
                    <w:pStyle w:val="Normalt"/>
                  </w:pPr>
                  <w:r w:rsidRPr="00BE766E">
                    <w:t>hautement résistant</w:t>
                  </w:r>
                </w:p>
              </w:tc>
              <w:tc>
                <w:tcPr>
                  <w:tcW w:w="1280" w:type="dxa"/>
                </w:tcPr>
                <w:p w:rsidR="00DB3E5A" w:rsidRPr="00BE766E" w:rsidRDefault="00DB3E5A" w:rsidP="00CF2112">
                  <w:pPr>
                    <w:pStyle w:val="Normalt"/>
                  </w:pPr>
                  <w:proofErr w:type="spellStart"/>
                  <w:r w:rsidRPr="00BE766E">
                    <w:t>Emperador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DB3E5A" w:rsidRPr="00BE766E" w:rsidRDefault="00DB3E5A" w:rsidP="00CF2112">
                  <w:pPr>
                    <w:pStyle w:val="Normalt"/>
                    <w:jc w:val="center"/>
                    <w:rPr>
                      <w:rFonts w:cs="Arial"/>
                      <w:szCs w:val="16"/>
                    </w:rPr>
                  </w:pPr>
                  <w:r w:rsidRPr="00BE766E">
                    <w:t>3</w:t>
                  </w:r>
                </w:p>
              </w:tc>
            </w:tr>
          </w:tbl>
          <w:p w:rsidR="00DB3E5A" w:rsidRPr="00BE766E" w:rsidRDefault="00DB3E5A" w:rsidP="00CF2112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78"/>
              <w:gridCol w:w="6378"/>
            </w:tblGrid>
            <w:tr w:rsidR="00DB3E5A" w:rsidRPr="00BE766E" w:rsidTr="00CF2112">
              <w:tc>
                <w:tcPr>
                  <w:tcW w:w="1578" w:type="dxa"/>
                </w:tcPr>
                <w:p w:rsidR="00DB3E5A" w:rsidRPr="00BE766E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BE766E">
                    <w:rPr>
                      <w:i/>
                      <w:color w:val="000000"/>
                    </w:rPr>
                    <w:t>Ad. 22, 4.</w:t>
                  </w:r>
                </w:p>
              </w:tc>
              <w:tc>
                <w:tcPr>
                  <w:tcW w:w="6378" w:type="dxa"/>
                </w:tcPr>
                <w:p w:rsidR="00DB3E5A" w:rsidRPr="00BE766E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BE766E">
                    <w:rPr>
                      <w:i/>
                      <w:color w:val="000000"/>
                    </w:rPr>
                    <w:t>pour les renvois à INIA, remplacer par “INIA – CSIC”</w:t>
                  </w:r>
                </w:p>
              </w:tc>
            </w:tr>
            <w:tr w:rsidR="00DB3E5A" w:rsidRPr="00BE766E" w:rsidTr="00CF2112">
              <w:tc>
                <w:tcPr>
                  <w:tcW w:w="1578" w:type="dxa"/>
                </w:tcPr>
                <w:p w:rsidR="00DB3E5A" w:rsidRPr="00BE766E" w:rsidRDefault="00DB3E5A" w:rsidP="00CF2112">
                  <w:r w:rsidRPr="00BE766E">
                    <w:rPr>
                      <w:i/>
                      <w:color w:val="000000"/>
                    </w:rPr>
                    <w:t>Ad. 22, 8.5</w:t>
                  </w:r>
                </w:p>
              </w:tc>
              <w:tc>
                <w:tcPr>
                  <w:tcW w:w="6378" w:type="dxa"/>
                </w:tcPr>
                <w:p w:rsidR="00DB3E5A" w:rsidRPr="00BE766E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BE766E">
                    <w:rPr>
                      <w:i/>
                      <w:color w:val="000000"/>
                    </w:rPr>
                    <w:t>modifier le libellé comme suit</w:t>
                  </w:r>
                  <w:r w:rsidR="003E471F" w:rsidRPr="00BE766E">
                    <w:rPr>
                      <w:i/>
                      <w:color w:val="000000"/>
                    </w:rPr>
                    <w:t> :</w:t>
                  </w:r>
                  <w:r w:rsidRPr="00BE766E">
                    <w:rPr>
                      <w:i/>
                      <w:color w:val="000000"/>
                    </w:rPr>
                    <w:t xml:space="preserve"> “déposer des morceaux de racines inoculées…”</w:t>
                  </w:r>
                </w:p>
              </w:tc>
            </w:tr>
            <w:tr w:rsidR="00DB3E5A" w:rsidRPr="00BE766E" w:rsidTr="00CF2112">
              <w:tc>
                <w:tcPr>
                  <w:tcW w:w="1578" w:type="dxa"/>
                </w:tcPr>
                <w:p w:rsidR="00DB3E5A" w:rsidRPr="00BE766E" w:rsidRDefault="00DB3E5A" w:rsidP="00CF2112">
                  <w:r w:rsidRPr="00BE766E">
                    <w:rPr>
                      <w:i/>
                      <w:color w:val="000000"/>
                    </w:rPr>
                    <w:t>Ad. 22, 9.1</w:t>
                  </w:r>
                </w:p>
              </w:tc>
              <w:tc>
                <w:tcPr>
                  <w:tcW w:w="6378" w:type="dxa"/>
                </w:tcPr>
                <w:p w:rsidR="00DB3E5A" w:rsidRPr="00BE766E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BE766E">
                    <w:rPr>
                      <w:i/>
                      <w:color w:val="000000"/>
                    </w:rPr>
                    <w:t xml:space="preserve">Ajouter </w:t>
                  </w:r>
                  <w:r w:rsidR="003E471F" w:rsidRPr="00BE766E">
                    <w:rPr>
                      <w:i/>
                      <w:color w:val="000000"/>
                    </w:rPr>
                    <w:t>“I</w:t>
                  </w:r>
                  <w:r w:rsidRPr="00BE766E">
                    <w:rPr>
                      <w:i/>
                      <w:color w:val="000000"/>
                    </w:rPr>
                    <w:t>l est recommandé d</w:t>
                  </w:r>
                  <w:r w:rsidR="003E471F" w:rsidRPr="00BE766E">
                    <w:rPr>
                      <w:i/>
                      <w:color w:val="000000"/>
                    </w:rPr>
                    <w:t>’</w:t>
                  </w:r>
                  <w:r w:rsidRPr="00BE766E">
                    <w:rPr>
                      <w:i/>
                      <w:color w:val="000000"/>
                    </w:rPr>
                    <w:t>inclure dans l</w:t>
                  </w:r>
                  <w:r w:rsidR="003E471F" w:rsidRPr="00BE766E">
                    <w:rPr>
                      <w:i/>
                      <w:color w:val="000000"/>
                    </w:rPr>
                    <w:t>’</w:t>
                  </w:r>
                  <w:r w:rsidRPr="00BE766E">
                    <w:rPr>
                      <w:i/>
                      <w:color w:val="000000"/>
                    </w:rPr>
                    <w:t>essai 10</w:t>
                  </w:r>
                  <w:r w:rsidR="008F1DD9">
                    <w:rPr>
                      <w:i/>
                      <w:color w:val="000000"/>
                    </w:rPr>
                    <w:t> </w:t>
                  </w:r>
                  <w:r w:rsidRPr="00BE766E">
                    <w:rPr>
                      <w:i/>
                      <w:color w:val="000000"/>
                    </w:rPr>
                    <w:t>plantes non inoculées, afin de pouvoir identifier un éventuel manque de germination ou un retard dans la croissance des plantes, dû au matériel</w:t>
                  </w:r>
                  <w:r w:rsidR="003E471F" w:rsidRPr="00BE766E">
                    <w:rPr>
                      <w:i/>
                      <w:color w:val="000000"/>
                    </w:rPr>
                    <w:t>.”</w:t>
                  </w:r>
                </w:p>
              </w:tc>
            </w:tr>
            <w:tr w:rsidR="00DB3E5A" w:rsidRPr="00BE766E" w:rsidTr="00CF2112">
              <w:tc>
                <w:tcPr>
                  <w:tcW w:w="1578" w:type="dxa"/>
                </w:tcPr>
                <w:p w:rsidR="00DB3E5A" w:rsidRPr="00BE766E" w:rsidRDefault="00DB3E5A" w:rsidP="00CF2112">
                  <w:r w:rsidRPr="00BE766E">
                    <w:rPr>
                      <w:i/>
                      <w:color w:val="000000"/>
                    </w:rPr>
                    <w:t>Ad. 22, 10.2</w:t>
                  </w:r>
                </w:p>
              </w:tc>
              <w:tc>
                <w:tcPr>
                  <w:tcW w:w="6378" w:type="dxa"/>
                </w:tcPr>
                <w:p w:rsidR="00DB3E5A" w:rsidRPr="00BE766E" w:rsidRDefault="00DB3E5A" w:rsidP="0058221B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BE766E">
                    <w:rPr>
                      <w:i/>
                      <w:color w:val="000000"/>
                    </w:rPr>
                    <w:t>modifier le libellé comme suit</w:t>
                  </w:r>
                  <w:r w:rsidR="003E471F" w:rsidRPr="00BE766E">
                    <w:rPr>
                      <w:i/>
                      <w:color w:val="000000"/>
                    </w:rPr>
                    <w:t> :</w:t>
                  </w:r>
                  <w:r w:rsidRPr="00BE766E">
                    <w:rPr>
                      <w:i/>
                      <w:color w:val="000000"/>
                    </w:rPr>
                    <w:t xml:space="preserve"> </w:t>
                  </w:r>
                  <w:r w:rsidR="0058221B">
                    <w:rPr>
                      <w:i/>
                      <w:color w:val="000000"/>
                    </w:rPr>
                    <w:t>“l</w:t>
                  </w:r>
                  <w:r w:rsidR="003E471F" w:rsidRPr="00BE766E">
                    <w:rPr>
                      <w:i/>
                      <w:color w:val="000000"/>
                    </w:rPr>
                    <w:t>’</w:t>
                  </w:r>
                  <w:r w:rsidRPr="00BE766E">
                    <w:rPr>
                      <w:i/>
                      <w:color w:val="000000"/>
                    </w:rPr>
                    <w:t>agressivité de l</w:t>
                  </w:r>
                  <w:r w:rsidR="003E471F" w:rsidRPr="00BE766E">
                    <w:rPr>
                      <w:i/>
                      <w:color w:val="000000"/>
                    </w:rPr>
                    <w:t>’</w:t>
                  </w:r>
                  <w:r w:rsidRPr="00BE766E">
                    <w:rPr>
                      <w:i/>
                      <w:color w:val="000000"/>
                    </w:rPr>
                    <w:t>essai dépend de la quantité d</w:t>
                  </w:r>
                  <w:r w:rsidR="003E471F" w:rsidRPr="00BE766E">
                    <w:rPr>
                      <w:i/>
                      <w:color w:val="000000"/>
                    </w:rPr>
                    <w:t>’</w:t>
                  </w:r>
                  <w:r w:rsidRPr="00BE766E">
                    <w:rPr>
                      <w:i/>
                      <w:color w:val="000000"/>
                    </w:rPr>
                    <w:t>inoculum et des conditions de culture (par exemple entre 30 et 60</w:t>
                  </w:r>
                  <w:r w:rsidR="00C67DA5">
                    <w:rPr>
                      <w:i/>
                      <w:color w:val="000000"/>
                    </w:rPr>
                    <w:t> </w:t>
                  </w:r>
                  <w:r w:rsidRPr="00BE766E">
                    <w:rPr>
                      <w:i/>
                      <w:color w:val="000000"/>
                    </w:rPr>
                    <w:t>g de racines inoculée</w:t>
                  </w:r>
                  <w:r w:rsidR="003E471F" w:rsidRPr="00BE766E">
                    <w:rPr>
                      <w:i/>
                      <w:color w:val="000000"/>
                    </w:rPr>
                    <w:t>s”</w:t>
                  </w:r>
                </w:p>
              </w:tc>
            </w:tr>
            <w:tr w:rsidR="00DB3E5A" w:rsidRPr="00BE766E" w:rsidTr="00CF2112">
              <w:tc>
                <w:tcPr>
                  <w:tcW w:w="1578" w:type="dxa"/>
                </w:tcPr>
                <w:p w:rsidR="00DB3E5A" w:rsidRPr="00BE766E" w:rsidRDefault="00DB3E5A" w:rsidP="00CF2112">
                  <w:r w:rsidRPr="00BE766E">
                    <w:rPr>
                      <w:i/>
                      <w:color w:val="000000"/>
                    </w:rPr>
                    <w:t>Ad. 22, 10.4</w:t>
                  </w:r>
                </w:p>
              </w:tc>
              <w:tc>
                <w:tcPr>
                  <w:tcW w:w="6378" w:type="dxa"/>
                </w:tcPr>
                <w:p w:rsidR="00DB3E5A" w:rsidRPr="00BE766E" w:rsidRDefault="00DB3E5A" w:rsidP="0058221B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BE766E">
                    <w:rPr>
                      <w:i/>
                      <w:color w:val="000000"/>
                    </w:rPr>
                    <w:t>modifier le libellé comme suit</w:t>
                  </w:r>
                  <w:r w:rsidR="003E471F" w:rsidRPr="00BE766E">
                    <w:rPr>
                      <w:i/>
                      <w:color w:val="000000"/>
                    </w:rPr>
                    <w:t> :</w:t>
                  </w:r>
                  <w:r w:rsidRPr="00BE766E">
                    <w:rPr>
                      <w:i/>
                      <w:color w:val="000000"/>
                    </w:rPr>
                    <w:t xml:space="preserve"> “</w:t>
                  </w:r>
                  <w:r w:rsidR="0058221B">
                    <w:rPr>
                      <w:i/>
                      <w:color w:val="000000"/>
                    </w:rPr>
                    <w:t>d</w:t>
                  </w:r>
                  <w:r w:rsidRPr="00BE766E">
                    <w:rPr>
                      <w:i/>
                      <w:color w:val="000000"/>
                    </w:rPr>
                    <w:t>es semences sont semées dans un sol non inoculé et l</w:t>
                  </w:r>
                  <w:r w:rsidR="003E471F" w:rsidRPr="00BE766E">
                    <w:rPr>
                      <w:i/>
                      <w:color w:val="000000"/>
                    </w:rPr>
                    <w:t>’</w:t>
                  </w:r>
                  <w:r w:rsidRPr="00BE766E">
                    <w:rPr>
                      <w:i/>
                      <w:color w:val="000000"/>
                    </w:rPr>
                    <w:t>inoculation du sol…”</w:t>
                  </w:r>
                </w:p>
              </w:tc>
            </w:tr>
            <w:tr w:rsidR="00DB3E5A" w:rsidRPr="00BE766E" w:rsidTr="00CF2112">
              <w:tc>
                <w:tcPr>
                  <w:tcW w:w="1578" w:type="dxa"/>
                </w:tcPr>
                <w:p w:rsidR="00DB3E5A" w:rsidRPr="00BE766E" w:rsidRDefault="00DB3E5A" w:rsidP="00945030">
                  <w:pPr>
                    <w:keepNext/>
                    <w:rPr>
                      <w:rFonts w:cs="Arial"/>
                      <w:i/>
                      <w:color w:val="000000"/>
                    </w:rPr>
                  </w:pPr>
                  <w:r w:rsidRPr="00BE766E">
                    <w:rPr>
                      <w:i/>
                      <w:color w:val="000000"/>
                    </w:rPr>
                    <w:lastRenderedPageBreak/>
                    <w:t>Ad. 22, 12.</w:t>
                  </w:r>
                </w:p>
              </w:tc>
              <w:tc>
                <w:tcPr>
                  <w:tcW w:w="6378" w:type="dxa"/>
                </w:tcPr>
                <w:p w:rsidR="00DB3E5A" w:rsidRPr="00BE766E" w:rsidRDefault="00DB3E5A" w:rsidP="00945030">
                  <w:pPr>
                    <w:pStyle w:val="BodyText"/>
                    <w:keepNext/>
                    <w:jc w:val="left"/>
                    <w:rPr>
                      <w:rFonts w:cs="Arial"/>
                      <w:i/>
                      <w:color w:val="000000"/>
                    </w:rPr>
                  </w:pPr>
                  <w:proofErr w:type="gramStart"/>
                  <w:r w:rsidRPr="00BE766E">
                    <w:rPr>
                      <w:i/>
                      <w:color w:val="000000"/>
                    </w:rPr>
                    <w:t>modifier</w:t>
                  </w:r>
                  <w:proofErr w:type="gramEnd"/>
                  <w:r w:rsidRPr="00BE766E">
                    <w:rPr>
                      <w:i/>
                      <w:color w:val="000000"/>
                    </w:rPr>
                    <w:t xml:space="preserve"> le libellé comme suit</w:t>
                  </w:r>
                  <w:r w:rsidR="003E471F" w:rsidRPr="00BE766E">
                    <w:rPr>
                      <w:i/>
                      <w:color w:val="000000"/>
                    </w:rPr>
                    <w:t> :</w:t>
                  </w:r>
                </w:p>
                <w:p w:rsidR="003E471F" w:rsidRPr="00BE766E" w:rsidRDefault="00DB3E5A" w:rsidP="00945030">
                  <w:pPr>
                    <w:pStyle w:val="BodyText"/>
                    <w:keepNext/>
                    <w:jc w:val="left"/>
                    <w:rPr>
                      <w:i/>
                      <w:color w:val="000000"/>
                    </w:rPr>
                  </w:pPr>
                  <w:proofErr w:type="gramStart"/>
                  <w:r w:rsidRPr="00BE766E">
                    <w:rPr>
                      <w:i/>
                      <w:color w:val="000000"/>
                    </w:rPr>
                    <w:t>“[</w:t>
                  </w:r>
                  <w:proofErr w:type="gramEnd"/>
                  <w:r w:rsidRPr="00BE766E">
                    <w:rPr>
                      <w:i/>
                      <w:color w:val="000000"/>
                    </w:rPr>
                    <w:t>1] Sensible</w:t>
                  </w:r>
                  <w:r w:rsidR="003E471F" w:rsidRPr="00BE766E">
                    <w:rPr>
                      <w:i/>
                      <w:color w:val="000000"/>
                    </w:rPr>
                    <w:t> :</w:t>
                  </w:r>
                  <w:r w:rsidRPr="00BE766E">
                    <w:rPr>
                      <w:i/>
                      <w:color w:val="000000"/>
                    </w:rPr>
                    <w:t xml:space="preserve"> variété très proche de la variété témoin sensible</w:t>
                  </w:r>
                </w:p>
                <w:p w:rsidR="003E471F" w:rsidRPr="00BE766E" w:rsidRDefault="0058221B" w:rsidP="00945030">
                  <w:pPr>
                    <w:pStyle w:val="BodyText"/>
                    <w:keepNext/>
                    <w:jc w:val="left"/>
                    <w:rPr>
                      <w:i/>
                      <w:color w:val="000000"/>
                    </w:rPr>
                  </w:pPr>
                  <w:proofErr w:type="gramStart"/>
                  <w:r>
                    <w:rPr>
                      <w:i/>
                      <w:color w:val="000000"/>
                    </w:rPr>
                    <w:t>“</w:t>
                  </w:r>
                  <w:r w:rsidR="00DB3E5A" w:rsidRPr="00BE766E">
                    <w:rPr>
                      <w:i/>
                      <w:color w:val="000000"/>
                    </w:rPr>
                    <w:t>[</w:t>
                  </w:r>
                  <w:proofErr w:type="gramEnd"/>
                  <w:r w:rsidR="00DB3E5A" w:rsidRPr="00BE766E">
                    <w:rPr>
                      <w:i/>
                      <w:color w:val="000000"/>
                    </w:rPr>
                    <w:t>2] Résistante à un niveau intermédiaire</w:t>
                  </w:r>
                  <w:r w:rsidR="003E471F" w:rsidRPr="00BE766E">
                    <w:rPr>
                      <w:i/>
                      <w:color w:val="000000"/>
                    </w:rPr>
                    <w:t> :</w:t>
                  </w:r>
                  <w:r w:rsidR="00DB3E5A" w:rsidRPr="00BE766E">
                    <w:rPr>
                      <w:i/>
                      <w:color w:val="000000"/>
                    </w:rPr>
                    <w:t xml:space="preserve"> variété très proche de la variété témoin moyennement résistante</w:t>
                  </w:r>
                </w:p>
                <w:p w:rsidR="003E471F" w:rsidRPr="00BE766E" w:rsidRDefault="0058221B" w:rsidP="00945030">
                  <w:pPr>
                    <w:pStyle w:val="BodyText"/>
                    <w:keepNext/>
                    <w:jc w:val="left"/>
                    <w:rPr>
                      <w:i/>
                      <w:color w:val="000000"/>
                    </w:rPr>
                  </w:pPr>
                  <w:proofErr w:type="gramStart"/>
                  <w:r>
                    <w:rPr>
                      <w:i/>
                      <w:color w:val="000000"/>
                    </w:rPr>
                    <w:t>“</w:t>
                  </w:r>
                  <w:r w:rsidR="00DB3E5A" w:rsidRPr="00BE766E">
                    <w:rPr>
                      <w:i/>
                      <w:color w:val="000000"/>
                    </w:rPr>
                    <w:t>[</w:t>
                  </w:r>
                  <w:proofErr w:type="gramEnd"/>
                  <w:r w:rsidR="00DB3E5A" w:rsidRPr="00BE766E">
                    <w:rPr>
                      <w:i/>
                      <w:color w:val="000000"/>
                    </w:rPr>
                    <w:t>3] Hautement résistante</w:t>
                  </w:r>
                  <w:r w:rsidR="003E471F" w:rsidRPr="00BE766E">
                    <w:rPr>
                      <w:i/>
                      <w:color w:val="000000"/>
                    </w:rPr>
                    <w:t> :</w:t>
                  </w:r>
                  <w:r w:rsidR="00DB3E5A" w:rsidRPr="00BE766E">
                    <w:rPr>
                      <w:i/>
                      <w:color w:val="000000"/>
                    </w:rPr>
                    <w:t xml:space="preserve"> variété très proche de la variété témoin hautement résistante</w:t>
                  </w:r>
                </w:p>
                <w:p w:rsidR="00DB3E5A" w:rsidRPr="00BE766E" w:rsidRDefault="00DB3E5A" w:rsidP="00945030">
                  <w:pPr>
                    <w:pStyle w:val="BodyText"/>
                    <w:keepNext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BE766E">
                    <w:rPr>
                      <w:i/>
                      <w:color w:val="000000"/>
                    </w:rPr>
                    <w:t>Si les résultats ne sont pas clairs, une analyse statistique est conseillée.</w:t>
                  </w:r>
                </w:p>
                <w:p w:rsidR="00DB3E5A" w:rsidRPr="00BE766E" w:rsidRDefault="00DB3E5A" w:rsidP="00945030">
                  <w:pPr>
                    <w:pStyle w:val="BodyText"/>
                    <w:keepNext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BE766E">
                    <w:rPr>
                      <w:i/>
                      <w:color w:val="000000"/>
                    </w:rPr>
                    <w:t>Si très différente des variétés témoins, un nouvel essai est conseillé pour vérifier si le résultat est stable.”</w:t>
                  </w:r>
                </w:p>
              </w:tc>
            </w:tr>
          </w:tbl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r w:rsidRPr="00BE766E">
              <w:rPr>
                <w:i/>
                <w:color w:val="000000"/>
              </w:rPr>
              <w:t xml:space="preserve"> </w:t>
            </w:r>
          </w:p>
        </w:tc>
      </w:tr>
      <w:tr w:rsidR="00DB3E5A" w:rsidRPr="00BE766E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bookmarkStart w:id="1" w:name="_Hlk92118187"/>
            <w:r w:rsidRPr="00BE766E">
              <w:rPr>
                <w:vertAlign w:val="superscript"/>
              </w:rPr>
              <w:lastRenderedPageBreak/>
              <w:t>#</w:t>
            </w:r>
            <w:r w:rsidRPr="00BE766E">
              <w:t>Ad.</w:t>
            </w:r>
            <w:r w:rsidRPr="00BE766E">
              <w:rPr>
                <w:color w:val="000000"/>
              </w:rPr>
              <w:t xml:space="preserve"> 22, 9.1, 9.4, 11.3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proofErr w:type="gramStart"/>
            <w:r w:rsidRPr="00BE766E">
              <w:rPr>
                <w:snapToGrid w:val="0"/>
                <w:color w:val="000000"/>
              </w:rPr>
              <w:t>améliorer</w:t>
            </w:r>
            <w:proofErr w:type="gramEnd"/>
            <w:r w:rsidRPr="00BE766E">
              <w:rPr>
                <w:snapToGrid w:val="0"/>
                <w:color w:val="000000"/>
              </w:rPr>
              <w:t xml:space="preserve"> l</w:t>
            </w:r>
            <w:r w:rsidR="003E471F" w:rsidRPr="00BE766E">
              <w:rPr>
                <w:snapToGrid w:val="0"/>
                <w:color w:val="000000"/>
              </w:rPr>
              <w:t>’</w:t>
            </w:r>
            <w:r w:rsidRPr="00BE766E">
              <w:rPr>
                <w:snapToGrid w:val="0"/>
                <w:color w:val="000000"/>
              </w:rPr>
              <w:t>explication en indiquant l</w:t>
            </w:r>
            <w:r w:rsidR="003E471F" w:rsidRPr="00BE766E">
              <w:rPr>
                <w:snapToGrid w:val="0"/>
                <w:color w:val="000000"/>
              </w:rPr>
              <w:t>’</w:t>
            </w:r>
            <w:r w:rsidRPr="00BE766E">
              <w:rPr>
                <w:snapToGrid w:val="0"/>
                <w:color w:val="000000"/>
              </w:rPr>
              <w:t>effet de la germination sur la notation du caractère</w:t>
            </w:r>
          </w:p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BE766E">
              <w:rPr>
                <w:i/>
                <w:color w:val="000000"/>
              </w:rPr>
              <w:t>Experte principale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voir l</w:t>
            </w:r>
            <w:r w:rsidR="003E471F" w:rsidRPr="00BE766E">
              <w:rPr>
                <w:i/>
                <w:color w:val="000000"/>
              </w:rPr>
              <w:t>’</w:t>
            </w:r>
            <w:r w:rsidRPr="00BE766E">
              <w:rPr>
                <w:i/>
                <w:color w:val="000000"/>
              </w:rPr>
              <w:t>annexe du présent document</w:t>
            </w:r>
          </w:p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BE766E">
              <w:rPr>
                <w:i/>
                <w:color w:val="000000"/>
              </w:rPr>
              <w:t>TWV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approuvé</w:t>
            </w:r>
          </w:p>
        </w:tc>
        <w:bookmarkEnd w:id="1"/>
      </w:tr>
      <w:tr w:rsidR="00DB3E5A" w:rsidRPr="00BE766E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BE766E" w:rsidRDefault="00DB3E5A" w:rsidP="00CF2112">
            <w:pPr>
              <w:tabs>
                <w:tab w:val="left" w:leader="dot" w:pos="3402"/>
              </w:tabs>
              <w:ind w:right="227"/>
              <w:jc w:val="left"/>
              <w:rPr>
                <w:rFonts w:cs="Arial"/>
              </w:rPr>
            </w:pPr>
            <w:r w:rsidRPr="00BE766E">
              <w:rPr>
                <w:color w:val="000000"/>
              </w:rPr>
              <w:t xml:space="preserve">Ad. 22, </w:t>
            </w:r>
            <w:r w:rsidRPr="00BE766E">
              <w:t>9.1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1F" w:rsidRPr="00BE766E" w:rsidRDefault="00DB3E5A" w:rsidP="00CF2112">
            <w:pPr>
              <w:pStyle w:val="BodyText"/>
              <w:jc w:val="left"/>
              <w:rPr>
                <w:i/>
                <w:color w:val="000000"/>
              </w:rPr>
            </w:pPr>
            <w:proofErr w:type="gramStart"/>
            <w:r w:rsidRPr="00BE766E">
              <w:t>modifier</w:t>
            </w:r>
            <w:proofErr w:type="gramEnd"/>
            <w:r w:rsidRPr="00BE766E">
              <w:t xml:space="preserve"> le libellé comme suit</w:t>
            </w:r>
            <w:r w:rsidR="003E471F" w:rsidRPr="00BE766E">
              <w:t> :</w:t>
            </w:r>
            <w:r w:rsidRPr="00BE766E">
              <w:t xml:space="preserve"> “… due au nématode </w:t>
            </w:r>
            <w:r w:rsidRPr="00BE766E">
              <w:rPr>
                <w:strike/>
              </w:rPr>
              <w:t>ou non</w:t>
            </w:r>
            <w:r w:rsidRPr="00BE766E">
              <w:t>”</w:t>
            </w:r>
          </w:p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BE766E">
              <w:rPr>
                <w:i/>
                <w:color w:val="000000"/>
              </w:rPr>
              <w:t>Experte principale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voir l</w:t>
            </w:r>
            <w:r w:rsidR="003E471F" w:rsidRPr="00BE766E">
              <w:rPr>
                <w:i/>
                <w:color w:val="000000"/>
              </w:rPr>
              <w:t>’</w:t>
            </w:r>
            <w:r w:rsidRPr="00BE766E">
              <w:rPr>
                <w:i/>
                <w:color w:val="000000"/>
              </w:rPr>
              <w:t>annexe du présent document (couvert par l</w:t>
            </w:r>
            <w:r w:rsidR="003E471F" w:rsidRPr="00BE766E">
              <w:rPr>
                <w:i/>
                <w:color w:val="000000"/>
              </w:rPr>
              <w:t>’</w:t>
            </w:r>
            <w:r w:rsidRPr="00BE766E">
              <w:rPr>
                <w:i/>
                <w:color w:val="000000"/>
              </w:rPr>
              <w:t>observation ci</w:t>
            </w:r>
            <w:r w:rsidR="003E471F" w:rsidRPr="00BE766E">
              <w:rPr>
                <w:i/>
                <w:color w:val="000000"/>
              </w:rPr>
              <w:t>-</w:t>
            </w:r>
            <w:r w:rsidRPr="00BE766E">
              <w:rPr>
                <w:i/>
                <w:color w:val="000000"/>
              </w:rPr>
              <w:t>dessus)</w:t>
            </w:r>
          </w:p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BE766E">
              <w:rPr>
                <w:i/>
                <w:color w:val="000000"/>
              </w:rPr>
              <w:t>TWV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approuvé</w:t>
            </w:r>
          </w:p>
        </w:tc>
      </w:tr>
      <w:tr w:rsidR="00DB3E5A" w:rsidRPr="00BE766E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BE766E" w:rsidRDefault="00DB3E5A" w:rsidP="00CF2112">
            <w:pPr>
              <w:tabs>
                <w:tab w:val="left" w:leader="dot" w:pos="3402"/>
              </w:tabs>
              <w:ind w:right="227"/>
              <w:jc w:val="left"/>
              <w:rPr>
                <w:rFonts w:cs="Arial"/>
              </w:rPr>
            </w:pPr>
            <w:r w:rsidRPr="00BE766E">
              <w:rPr>
                <w:color w:val="000000"/>
              </w:rPr>
              <w:t xml:space="preserve">Ad. 22, </w:t>
            </w:r>
            <w:r w:rsidRPr="00BE766E">
              <w:t>9.2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proofErr w:type="gramStart"/>
            <w:r w:rsidRPr="00BE766E">
              <w:rPr>
                <w:color w:val="000000"/>
              </w:rPr>
              <w:t>modifier</w:t>
            </w:r>
            <w:proofErr w:type="gramEnd"/>
            <w:r w:rsidRPr="00BE766E">
              <w:rPr>
                <w:color w:val="000000"/>
              </w:rPr>
              <w:t xml:space="preserve"> le libellé comme suit</w:t>
            </w:r>
            <w:r w:rsidR="003E471F" w:rsidRPr="00BE766E">
              <w:rPr>
                <w:color w:val="000000"/>
              </w:rPr>
              <w:t> :</w:t>
            </w:r>
            <w:r w:rsidRPr="00BE766E">
              <w:rPr>
                <w:color w:val="000000"/>
              </w:rPr>
              <w:t xml:space="preserve"> “au moins deux, de préférence trois </w:t>
            </w:r>
            <w:r w:rsidRPr="00BE766E">
              <w:rPr>
                <w:strike/>
              </w:rPr>
              <w:t>pour permettre une analyse statistique</w:t>
            </w:r>
            <w:r w:rsidRPr="00BE766E">
              <w:rPr>
                <w:color w:val="000000"/>
              </w:rPr>
              <w:t>”</w:t>
            </w:r>
          </w:p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BE766E">
              <w:rPr>
                <w:i/>
                <w:color w:val="000000"/>
              </w:rPr>
              <w:t>Experte principale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préfère conserver “pour permettre une analyse statistique”</w:t>
            </w:r>
          </w:p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i/>
                <w:snapToGrid w:val="0"/>
                <w:color w:val="000000"/>
              </w:rPr>
            </w:pPr>
            <w:r w:rsidRPr="00BE766E">
              <w:rPr>
                <w:i/>
                <w:color w:val="000000"/>
              </w:rPr>
              <w:t>TWV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approuvé</w:t>
            </w:r>
          </w:p>
        </w:tc>
      </w:tr>
      <w:tr w:rsidR="00DB3E5A" w:rsidRPr="00BE766E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BE766E" w:rsidRDefault="00DB3E5A" w:rsidP="00CF2112">
            <w:pPr>
              <w:tabs>
                <w:tab w:val="left" w:leader="dot" w:pos="3402"/>
              </w:tabs>
              <w:ind w:right="227"/>
              <w:jc w:val="left"/>
              <w:rPr>
                <w:rFonts w:cs="Arial"/>
              </w:rPr>
            </w:pPr>
            <w:r w:rsidRPr="00BE766E">
              <w:rPr>
                <w:color w:val="000000"/>
              </w:rPr>
              <w:t xml:space="preserve">Ad. 22, </w:t>
            </w:r>
            <w:r w:rsidRPr="00BE766E">
              <w:t>9.6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BE766E" w:rsidRDefault="00DB3E5A" w:rsidP="00CF2112">
            <w:pPr>
              <w:pStyle w:val="BodyText"/>
              <w:jc w:val="left"/>
              <w:rPr>
                <w:rFonts w:cs="Arial"/>
              </w:rPr>
            </w:pPr>
            <w:proofErr w:type="gramStart"/>
            <w:r w:rsidRPr="00BE766E">
              <w:t>modifier</w:t>
            </w:r>
            <w:proofErr w:type="gramEnd"/>
            <w:r w:rsidRPr="00BE766E">
              <w:t xml:space="preserve"> le libellé comme suit</w:t>
            </w:r>
            <w:r w:rsidR="003E471F" w:rsidRPr="00BE766E">
              <w:t> :</w:t>
            </w:r>
            <w:r w:rsidRPr="00BE766E">
              <w:t xml:space="preserve"> “20</w:t>
            </w:r>
            <w:r w:rsidR="003E471F" w:rsidRPr="00BE766E">
              <w:t>-</w:t>
            </w:r>
            <w:r w:rsidRPr="00BE766E">
              <w:t xml:space="preserve">26 °C, la température </w:t>
            </w:r>
            <w:r w:rsidRPr="00BE766E">
              <w:rPr>
                <w:strike/>
              </w:rPr>
              <w:t>peut</w:t>
            </w:r>
            <w:r w:rsidRPr="00BE766E">
              <w:t xml:space="preserve"> </w:t>
            </w:r>
            <w:r w:rsidRPr="00BE766E">
              <w:rPr>
                <w:u w:val="single"/>
              </w:rPr>
              <w:t>doit</w:t>
            </w:r>
            <w:r w:rsidRPr="00BE766E">
              <w:t xml:space="preserve"> être …”</w:t>
            </w:r>
          </w:p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BE766E">
              <w:rPr>
                <w:i/>
                <w:color w:val="000000"/>
              </w:rPr>
              <w:t>Experte principale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approuvé</w:t>
            </w:r>
          </w:p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BE766E">
              <w:rPr>
                <w:i/>
                <w:color w:val="000000"/>
              </w:rPr>
              <w:t>TWV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approuvé</w:t>
            </w:r>
          </w:p>
        </w:tc>
      </w:tr>
      <w:tr w:rsidR="00DB3E5A" w:rsidRPr="00BE766E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BE766E" w:rsidRDefault="00DB3E5A" w:rsidP="00CF2112">
            <w:pPr>
              <w:tabs>
                <w:tab w:val="left" w:leader="dot" w:pos="3402"/>
              </w:tabs>
              <w:ind w:right="227"/>
              <w:jc w:val="left"/>
              <w:rPr>
                <w:rFonts w:cs="Arial"/>
              </w:rPr>
            </w:pPr>
            <w:r w:rsidRPr="00BE766E">
              <w:rPr>
                <w:color w:val="000000"/>
              </w:rPr>
              <w:t xml:space="preserve">Ad. 22, </w:t>
            </w:r>
            <w:r w:rsidRPr="00BE766E">
              <w:t>10.2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BE766E" w:rsidRDefault="00DB3E5A" w:rsidP="00CF2112">
            <w:pPr>
              <w:pStyle w:val="BodyText"/>
              <w:jc w:val="left"/>
              <w:rPr>
                <w:rFonts w:cs="Arial"/>
              </w:rPr>
            </w:pPr>
            <w:proofErr w:type="gramStart"/>
            <w:r w:rsidRPr="00BE766E">
              <w:t>modifier</w:t>
            </w:r>
            <w:proofErr w:type="gramEnd"/>
            <w:r w:rsidRPr="00BE766E">
              <w:t xml:space="preserve"> le libellé comme suit</w:t>
            </w:r>
            <w:r w:rsidR="003E471F" w:rsidRPr="00BE766E">
              <w:t> :</w:t>
            </w:r>
            <w:r w:rsidRPr="00BE766E">
              <w:t xml:space="preserve"> “</w:t>
            </w:r>
            <w:r w:rsidRPr="00BE766E">
              <w:rPr>
                <w:strike/>
              </w:rPr>
              <w:t xml:space="preserve">le ratio dépend de </w:t>
            </w:r>
            <w:r w:rsidRPr="00BE766E">
              <w:rPr>
                <w:u w:val="single"/>
              </w:rPr>
              <w:t>La quantité d</w:t>
            </w:r>
            <w:r w:rsidR="003E471F" w:rsidRPr="00BE766E">
              <w:rPr>
                <w:u w:val="single"/>
              </w:rPr>
              <w:t>’</w:t>
            </w:r>
            <w:r w:rsidRPr="00BE766E">
              <w:rPr>
                <w:u w:val="single"/>
              </w:rPr>
              <w:t>inoculum dépend de</w:t>
            </w:r>
            <w:r w:rsidRPr="00BE766E">
              <w:t xml:space="preserve"> l</w:t>
            </w:r>
            <w:r w:rsidR="003E471F" w:rsidRPr="00BE766E">
              <w:t>’</w:t>
            </w:r>
            <w:r w:rsidRPr="00BE766E">
              <w:t>agressivité de l</w:t>
            </w:r>
            <w:r w:rsidR="003E471F" w:rsidRPr="00BE766E">
              <w:t>’</w:t>
            </w:r>
            <w:r w:rsidRPr="00BE766E">
              <w:t xml:space="preserve">essai et des conditions </w:t>
            </w:r>
            <w:r w:rsidRPr="00BE766E">
              <w:rPr>
                <w:strike/>
              </w:rPr>
              <w:t xml:space="preserve">du </w:t>
            </w:r>
            <w:proofErr w:type="spellStart"/>
            <w:r w:rsidRPr="00BE766E">
              <w:rPr>
                <w:strike/>
              </w:rPr>
              <w:t>laboratoire</w:t>
            </w:r>
            <w:r w:rsidRPr="00BE766E">
              <w:rPr>
                <w:u w:val="single"/>
              </w:rPr>
              <w:t>de</w:t>
            </w:r>
            <w:proofErr w:type="spellEnd"/>
            <w:r w:rsidRPr="00BE766E">
              <w:rPr>
                <w:u w:val="single"/>
              </w:rPr>
              <w:t xml:space="preserve"> culture</w:t>
            </w:r>
            <w:r w:rsidRPr="00BE766E">
              <w:t xml:space="preserve"> (p.</w:t>
            </w:r>
            <w:r w:rsidR="00E40BE7" w:rsidRPr="00BE766E">
              <w:t> </w:t>
            </w:r>
            <w:r w:rsidRPr="00BE766E">
              <w:t>ex., entre 30 et 60 </w:t>
            </w:r>
            <w:r w:rsidR="00C67DA5">
              <w:t>g de racines infestées pour 100 </w:t>
            </w:r>
            <w:r w:rsidRPr="00BE766E">
              <w:t>plantes dans un plateau de 45*30 cm contenant environ 5,5</w:t>
            </w:r>
            <w:r w:rsidR="00C67DA5">
              <w:t> </w:t>
            </w:r>
            <w:r w:rsidRPr="00BE766E">
              <w:t>kg de substrat);</w:t>
            </w:r>
            <w:r w:rsidRPr="00A832B6">
              <w:rPr>
                <w:strike/>
              </w:rPr>
              <w:t>,</w:t>
            </w:r>
            <w:r w:rsidRPr="00BE766E">
              <w:t xml:space="preserve"> </w:t>
            </w:r>
            <w:r w:rsidR="00A832B6">
              <w:t xml:space="preserve"> </w:t>
            </w:r>
            <w:r w:rsidRPr="00BE766E">
              <w:t>les galles doivent être mélangées de manière homogène avec la terre.”</w:t>
            </w:r>
          </w:p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BE766E">
              <w:rPr>
                <w:i/>
                <w:color w:val="000000"/>
              </w:rPr>
              <w:t>Experte principale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approuvé</w:t>
            </w:r>
          </w:p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BE766E">
              <w:rPr>
                <w:i/>
                <w:color w:val="000000"/>
              </w:rPr>
              <w:t>TWV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approuvé</w:t>
            </w:r>
          </w:p>
        </w:tc>
      </w:tr>
      <w:tr w:rsidR="00DB3E5A" w:rsidRPr="00BE766E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BE766E" w:rsidRDefault="00DB3E5A" w:rsidP="00CF2112">
            <w:r w:rsidRPr="00BE766E">
              <w:t>Ad. 22, 10.4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BE766E" w:rsidRDefault="00DB3E5A" w:rsidP="00CF2112">
            <w:pPr>
              <w:rPr>
                <w:rFonts w:cs="Arial"/>
              </w:rPr>
            </w:pPr>
            <w:proofErr w:type="gramStart"/>
            <w:r w:rsidRPr="00BE766E">
              <w:t>modifier</w:t>
            </w:r>
            <w:proofErr w:type="gramEnd"/>
            <w:r w:rsidRPr="00BE766E">
              <w:t xml:space="preserve"> le libellé comme suit</w:t>
            </w:r>
            <w:r w:rsidR="003E471F" w:rsidRPr="00BE766E">
              <w:t> :</w:t>
            </w:r>
            <w:r w:rsidRPr="00BE766E">
              <w:t xml:space="preserve"> “</w:t>
            </w:r>
            <w:r w:rsidRPr="00BE766E">
              <w:rPr>
                <w:strike/>
              </w:rPr>
              <w:t>plantes</w:t>
            </w:r>
            <w:r w:rsidRPr="00BE766E">
              <w:t xml:space="preserve"> semences semées dans du sol contaminé par des galles.”</w:t>
            </w:r>
          </w:p>
          <w:p w:rsidR="00DB3E5A" w:rsidRPr="00BE766E" w:rsidRDefault="00DB3E5A" w:rsidP="00CF2112">
            <w:pPr>
              <w:rPr>
                <w:rFonts w:cs="Arial"/>
                <w:i/>
                <w:color w:val="000000"/>
              </w:rPr>
            </w:pPr>
            <w:r w:rsidRPr="00BE766E">
              <w:rPr>
                <w:i/>
                <w:color w:val="000000"/>
              </w:rPr>
              <w:t>Experte principale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approuvé</w:t>
            </w:r>
          </w:p>
          <w:p w:rsidR="00DB3E5A" w:rsidRPr="00BE766E" w:rsidRDefault="00DB3E5A" w:rsidP="00CF2112">
            <w:r w:rsidRPr="00BE766E">
              <w:rPr>
                <w:i/>
                <w:color w:val="000000"/>
              </w:rPr>
              <w:t>TWV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approuvé</w:t>
            </w:r>
          </w:p>
        </w:tc>
      </w:tr>
      <w:tr w:rsidR="00DB3E5A" w:rsidRPr="00BE766E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BE766E" w:rsidRDefault="00DB3E5A" w:rsidP="00CF2112">
            <w:pPr>
              <w:pStyle w:val="BodyText"/>
              <w:ind w:right="227"/>
              <w:jc w:val="left"/>
              <w:rPr>
                <w:rFonts w:cs="Arial"/>
                <w:color w:val="000000"/>
              </w:rPr>
            </w:pPr>
            <w:r w:rsidRPr="00BE766E">
              <w:rPr>
                <w:color w:val="000000"/>
              </w:rPr>
              <w:t>Ad. 22, 11.4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1F" w:rsidRPr="00BE766E" w:rsidRDefault="00DB3E5A" w:rsidP="00CF2112">
            <w:pPr>
              <w:pStyle w:val="BodyText"/>
              <w:jc w:val="left"/>
              <w:rPr>
                <w:color w:val="000000"/>
              </w:rPr>
            </w:pPr>
            <w:proofErr w:type="gramStart"/>
            <w:r w:rsidRPr="00BE766E">
              <w:rPr>
                <w:color w:val="000000"/>
              </w:rPr>
              <w:t>à</w:t>
            </w:r>
            <w:proofErr w:type="gramEnd"/>
            <w:r w:rsidRPr="00BE766E">
              <w:rPr>
                <w:color w:val="000000"/>
              </w:rPr>
              <w:t xml:space="preserve"> supprimer</w:t>
            </w:r>
          </w:p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BE766E">
              <w:rPr>
                <w:i/>
                <w:color w:val="000000"/>
              </w:rPr>
              <w:t>Experte principale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approuvé</w:t>
            </w:r>
          </w:p>
          <w:p w:rsidR="00DB3E5A" w:rsidRPr="00BE766E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r w:rsidRPr="00BE766E">
              <w:rPr>
                <w:i/>
                <w:color w:val="000000"/>
              </w:rPr>
              <w:t>TWV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approuvé</w:t>
            </w:r>
          </w:p>
        </w:tc>
      </w:tr>
      <w:tr w:rsidR="00DB3E5A" w:rsidRPr="00BE766E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A" w:rsidRPr="00BE766E" w:rsidRDefault="00DB3E5A" w:rsidP="00CF2112">
            <w:pPr>
              <w:pStyle w:val="BodyText"/>
              <w:ind w:right="227"/>
              <w:jc w:val="left"/>
              <w:rPr>
                <w:rFonts w:cs="Arial"/>
                <w:color w:val="000000"/>
              </w:rPr>
            </w:pPr>
            <w:r w:rsidRPr="00BE766E">
              <w:rPr>
                <w:color w:val="000000"/>
              </w:rPr>
              <w:t>Ad. 22, 12.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A" w:rsidRPr="00BE766E" w:rsidRDefault="00DB3E5A" w:rsidP="00CF2112">
            <w:pPr>
              <w:rPr>
                <w:rFonts w:cs="Arial"/>
              </w:rPr>
            </w:pPr>
            <w:proofErr w:type="gramStart"/>
            <w:r w:rsidRPr="00BE766E">
              <w:t>dans</w:t>
            </w:r>
            <w:proofErr w:type="gramEnd"/>
            <w:r w:rsidRPr="00BE766E">
              <w:t xml:space="preserve"> le texte en bleu de la figure</w:t>
            </w:r>
            <w:r w:rsidR="003E471F" w:rsidRPr="00BE766E">
              <w:t> :</w:t>
            </w:r>
            <w:r w:rsidRPr="00BE766E">
              <w:t xml:space="preserve"> remplacer “</w:t>
            </w:r>
            <w:proofErr w:type="spellStart"/>
            <w:r w:rsidRPr="00BE766E">
              <w:t>Tyonoc</w:t>
            </w:r>
            <w:proofErr w:type="spellEnd"/>
            <w:r w:rsidRPr="00BE766E">
              <w:t>” par “</w:t>
            </w:r>
            <w:proofErr w:type="spellStart"/>
            <w:r w:rsidRPr="00BE766E">
              <w:t>Tyonic</w:t>
            </w:r>
            <w:proofErr w:type="spellEnd"/>
            <w:r w:rsidRPr="00BE766E">
              <w:t>”</w:t>
            </w:r>
          </w:p>
          <w:p w:rsidR="00DB3E5A" w:rsidRPr="00BE766E" w:rsidRDefault="00DB3E5A" w:rsidP="00CF2112">
            <w:pPr>
              <w:rPr>
                <w:rFonts w:cs="Arial"/>
                <w:i/>
                <w:color w:val="000000"/>
              </w:rPr>
            </w:pPr>
            <w:r w:rsidRPr="00BE766E">
              <w:rPr>
                <w:i/>
                <w:color w:val="000000"/>
              </w:rPr>
              <w:t>Experte principale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figure supprimée, ne s</w:t>
            </w:r>
            <w:r w:rsidR="003E471F" w:rsidRPr="00BE766E">
              <w:rPr>
                <w:i/>
                <w:color w:val="000000"/>
              </w:rPr>
              <w:t>’</w:t>
            </w:r>
            <w:r w:rsidRPr="00BE766E">
              <w:rPr>
                <w:i/>
                <w:color w:val="000000"/>
              </w:rPr>
              <w:t>applique pas</w:t>
            </w:r>
          </w:p>
          <w:p w:rsidR="00DB3E5A" w:rsidRPr="00BE766E" w:rsidRDefault="00DB3E5A" w:rsidP="00CF2112">
            <w:pPr>
              <w:rPr>
                <w:rFonts w:cs="Arial"/>
                <w:color w:val="000000"/>
              </w:rPr>
            </w:pPr>
            <w:r w:rsidRPr="00BE766E">
              <w:rPr>
                <w:i/>
                <w:color w:val="000000"/>
              </w:rPr>
              <w:t>TWV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approuvé</w:t>
            </w:r>
          </w:p>
        </w:tc>
      </w:tr>
      <w:tr w:rsidR="00DB3E5A" w:rsidRPr="00BE766E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BE766E" w:rsidRDefault="00DB3E5A" w:rsidP="00CF2112">
            <w:bookmarkStart w:id="2" w:name="_Hlk92118908"/>
            <w:r w:rsidRPr="00BE766E">
              <w:t>Ad. 24, 12.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1F" w:rsidRPr="00BE766E" w:rsidRDefault="00DB3E5A" w:rsidP="00CF2112">
            <w:r w:rsidRPr="00BE766E">
              <w:t>– ajouter le libellé suivant</w:t>
            </w:r>
            <w:r w:rsidR="003E471F" w:rsidRPr="00BE766E">
              <w:t> :</w:t>
            </w:r>
          </w:p>
          <w:p w:rsidR="00DB3E5A" w:rsidRPr="00BE766E" w:rsidRDefault="00DB3E5A" w:rsidP="00CF2112">
            <w:r w:rsidRPr="00BE766E">
              <w:t>“Absente [1] répartition des plantes dans les classes comparables avec les contrôles de sensibilité.”</w:t>
            </w:r>
          </w:p>
          <w:p w:rsidR="00DB3E5A" w:rsidRPr="00BE766E" w:rsidRDefault="00DB3E5A" w:rsidP="00CF2112">
            <w:r w:rsidRPr="00BE766E">
              <w:t>“Présente [9] répartition des plantes dans les classes comparables avec les contrôles de résistance.”</w:t>
            </w:r>
          </w:p>
          <w:p w:rsidR="00DB3E5A" w:rsidRPr="00BE766E" w:rsidRDefault="00DB3E5A" w:rsidP="00CF2112">
            <w:pPr>
              <w:rPr>
                <w:rFonts w:cs="Arial"/>
                <w:i/>
                <w:color w:val="000000"/>
              </w:rPr>
            </w:pPr>
            <w:r w:rsidRPr="00BE766E">
              <w:rPr>
                <w:i/>
                <w:color w:val="000000"/>
              </w:rPr>
              <w:t>Experte principale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approuvé</w:t>
            </w:r>
          </w:p>
          <w:p w:rsidR="00DB3E5A" w:rsidRPr="00BE766E" w:rsidRDefault="00DB3E5A" w:rsidP="00CF2112">
            <w:r w:rsidRPr="00BE766E">
              <w:rPr>
                <w:i/>
                <w:color w:val="000000"/>
              </w:rPr>
              <w:t>TWV</w:t>
            </w:r>
            <w:r w:rsidR="003E471F" w:rsidRPr="00BE766E">
              <w:rPr>
                <w:i/>
                <w:color w:val="000000"/>
              </w:rPr>
              <w:t> :</w:t>
            </w:r>
            <w:r w:rsidRPr="00BE766E">
              <w:rPr>
                <w:i/>
                <w:color w:val="000000"/>
              </w:rPr>
              <w:t xml:space="preserve"> approuvé</w:t>
            </w:r>
          </w:p>
        </w:tc>
        <w:bookmarkEnd w:id="2"/>
      </w:tr>
    </w:tbl>
    <w:p w:rsidR="00DB3E5A" w:rsidRPr="00BE766E" w:rsidRDefault="00DB3E5A" w:rsidP="00DB3E5A"/>
    <w:p w:rsidR="00DB3E5A" w:rsidRPr="00BE766E" w:rsidRDefault="00DB3E5A" w:rsidP="00DB3E5A">
      <w:r w:rsidRPr="00BE766E">
        <w:fldChar w:fldCharType="begin"/>
      </w:r>
      <w:r w:rsidRPr="00BE766E">
        <w:instrText xml:space="preserve"> AUTONUM  </w:instrText>
      </w:r>
      <w:r w:rsidRPr="00BE766E">
        <w:fldChar w:fldCharType="end"/>
      </w:r>
      <w:r w:rsidRPr="00BE766E">
        <w:tab/>
        <w:t>L</w:t>
      </w:r>
      <w:r w:rsidR="003E471F" w:rsidRPr="00BE766E">
        <w:t>’</w:t>
      </w:r>
      <w:r w:rsidRPr="00BE766E">
        <w:t>annexe du présent document présente une nouvelle proposition pour l</w:t>
      </w:r>
      <w:r w:rsidR="003E471F" w:rsidRPr="00BE766E">
        <w:t>’</w:t>
      </w:r>
      <w:r w:rsidRPr="00BE766E">
        <w:t>explication Ad.</w:t>
      </w:r>
      <w:r w:rsidR="00A832B6">
        <w:t> </w:t>
      </w:r>
      <w:r w:rsidRPr="00BE766E">
        <w:t>22, fondée sur les informations ci</w:t>
      </w:r>
      <w:r w:rsidR="003E471F" w:rsidRPr="00BE766E">
        <w:t>-</w:t>
      </w:r>
      <w:r w:rsidRPr="00BE766E">
        <w:t>dessus.</w:t>
      </w:r>
    </w:p>
    <w:p w:rsidR="00FA622A" w:rsidRPr="00BE766E" w:rsidRDefault="00FA622A" w:rsidP="00DB3E5A"/>
    <w:p w:rsidR="00FA622A" w:rsidRPr="00BE766E" w:rsidRDefault="00FA622A" w:rsidP="00DB3E5A">
      <w:r w:rsidRPr="00BE766E">
        <w:fldChar w:fldCharType="begin"/>
      </w:r>
      <w:r w:rsidRPr="00BE766E">
        <w:instrText xml:space="preserve"> AUTONUM  </w:instrText>
      </w:r>
      <w:r w:rsidRPr="00BE766E">
        <w:fldChar w:fldCharType="end"/>
      </w:r>
      <w:r w:rsidRPr="00BE766E">
        <w:tab/>
        <w:t>Les modifications précédemment approuvées pour les principes directeurs d</w:t>
      </w:r>
      <w:r w:rsidR="003E471F" w:rsidRPr="00BE766E">
        <w:t>’</w:t>
      </w:r>
      <w:r w:rsidRPr="00BE766E">
        <w:t>examen du porte</w:t>
      </w:r>
      <w:r w:rsidR="003E471F" w:rsidRPr="00BE766E">
        <w:t>-</w:t>
      </w:r>
      <w:r w:rsidRPr="00BE766E">
        <w:t xml:space="preserve">greffe de tomate, présentées dans le </w:t>
      </w:r>
      <w:r w:rsidR="003E471F" w:rsidRPr="00BE766E">
        <w:t>document TC</w:t>
      </w:r>
      <w:r w:rsidRPr="00BE766E">
        <w:t>/57/18, seront intégrées dans la version finale adoptée de la révision partielle des principes directeurs d</w:t>
      </w:r>
      <w:r w:rsidR="003E471F" w:rsidRPr="00BE766E">
        <w:t>’</w:t>
      </w:r>
      <w:r w:rsidRPr="00BE766E">
        <w:t>examen du porte</w:t>
      </w:r>
      <w:r w:rsidR="003E471F" w:rsidRPr="00BE766E">
        <w:t>-</w:t>
      </w:r>
      <w:r w:rsidRPr="00BE766E">
        <w:t>greffe de tomate.</w:t>
      </w:r>
    </w:p>
    <w:p w:rsidR="00FA622A" w:rsidRPr="00BE766E" w:rsidRDefault="00FA622A" w:rsidP="00DB3E5A"/>
    <w:p w:rsidR="009A4219" w:rsidRPr="00BE766E" w:rsidRDefault="009A4219" w:rsidP="00DB3E5A"/>
    <w:p w:rsidR="00DB3E5A" w:rsidRPr="00BE766E" w:rsidRDefault="00DB3E5A" w:rsidP="00DB3E5A"/>
    <w:p w:rsidR="00DB3E5A" w:rsidRPr="00BE766E" w:rsidRDefault="00DB3E5A" w:rsidP="00DB3E5A">
      <w:pPr>
        <w:jc w:val="right"/>
      </w:pPr>
      <w:r w:rsidRPr="00BE766E">
        <w:t>[L</w:t>
      </w:r>
      <w:r w:rsidR="003E471F" w:rsidRPr="00BE766E">
        <w:t>’</w:t>
      </w:r>
      <w:r w:rsidRPr="00BE766E">
        <w:t>annexe suit]</w:t>
      </w:r>
    </w:p>
    <w:p w:rsidR="00DB3E5A" w:rsidRPr="00BE766E" w:rsidRDefault="00DB3E5A" w:rsidP="00DB3E5A">
      <w:pPr>
        <w:jc w:val="left"/>
        <w:sectPr w:rsidR="00DB3E5A" w:rsidRPr="00BE766E" w:rsidSect="003E47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DB3E5A" w:rsidRPr="00BE766E" w:rsidRDefault="00DB3E5A" w:rsidP="00DB3E5A">
      <w:pPr>
        <w:spacing w:line="259" w:lineRule="auto"/>
        <w:jc w:val="left"/>
      </w:pPr>
      <w:r w:rsidRPr="00BE766E">
        <w:rPr>
          <w:u w:val="single"/>
        </w:rPr>
        <w:t>Proposition de modification de l</w:t>
      </w:r>
      <w:r w:rsidR="003E471F" w:rsidRPr="00BE766E">
        <w:rPr>
          <w:u w:val="single"/>
        </w:rPr>
        <w:t>’</w:t>
      </w:r>
      <w:r w:rsidRPr="00BE766E">
        <w:rPr>
          <w:u w:val="single"/>
        </w:rPr>
        <w:t xml:space="preserve">explication Ad. 22 “Résistance à </w:t>
      </w:r>
      <w:proofErr w:type="spellStart"/>
      <w:r w:rsidRPr="00BE766E">
        <w:rPr>
          <w:i/>
          <w:u w:val="single"/>
        </w:rPr>
        <w:t>Meloidogyne</w:t>
      </w:r>
      <w:proofErr w:type="spellEnd"/>
      <w:r w:rsidRPr="00BE766E">
        <w:rPr>
          <w:i/>
          <w:u w:val="single"/>
        </w:rPr>
        <w:t xml:space="preserve"> </w:t>
      </w:r>
      <w:proofErr w:type="spellStart"/>
      <w:r w:rsidRPr="00BE766E">
        <w:rPr>
          <w:i/>
          <w:u w:val="single"/>
        </w:rPr>
        <w:t>incognita</w:t>
      </w:r>
      <w:proofErr w:type="spellEnd"/>
      <w:r w:rsidRPr="00BE766E">
        <w:rPr>
          <w:u w:val="single"/>
        </w:rPr>
        <w:t xml:space="preserve"> (Mi)”</w:t>
      </w:r>
    </w:p>
    <w:p w:rsidR="00DB3E5A" w:rsidRPr="00BE766E" w:rsidRDefault="00DB3E5A" w:rsidP="00DB3E5A">
      <w:pPr>
        <w:spacing w:line="259" w:lineRule="auto"/>
        <w:jc w:val="left"/>
      </w:pPr>
    </w:p>
    <w:p w:rsidR="00DB3E5A" w:rsidRPr="00BE766E" w:rsidRDefault="00DB3E5A" w:rsidP="00DB3E5A">
      <w:pPr>
        <w:spacing w:line="259" w:lineRule="auto"/>
        <w:jc w:val="left"/>
        <w:rPr>
          <w:i/>
        </w:rPr>
      </w:pPr>
      <w:r w:rsidRPr="00BE766E">
        <w:rPr>
          <w:u w:val="single"/>
        </w:rPr>
        <w:t>Ad.</w:t>
      </w:r>
      <w:r w:rsidR="00A832B6">
        <w:rPr>
          <w:u w:val="single"/>
        </w:rPr>
        <w:t> </w:t>
      </w:r>
      <w:r w:rsidRPr="00BE766E">
        <w:rPr>
          <w:u w:val="single"/>
        </w:rPr>
        <w:t>22</w:t>
      </w:r>
      <w:r w:rsidR="003E471F" w:rsidRPr="00BE766E">
        <w:rPr>
          <w:u w:val="single"/>
        </w:rPr>
        <w:t> :</w:t>
      </w:r>
      <w:r w:rsidRPr="00BE766E">
        <w:rPr>
          <w:u w:val="single"/>
        </w:rPr>
        <w:t xml:space="preserve"> Résistance à </w:t>
      </w:r>
      <w:proofErr w:type="spellStart"/>
      <w:r w:rsidRPr="00BE766E">
        <w:rPr>
          <w:i/>
          <w:u w:val="single"/>
        </w:rPr>
        <w:t>Meloidogyne</w:t>
      </w:r>
      <w:proofErr w:type="spellEnd"/>
      <w:r w:rsidRPr="00BE766E">
        <w:rPr>
          <w:i/>
          <w:u w:val="single"/>
        </w:rPr>
        <w:t xml:space="preserve"> </w:t>
      </w:r>
      <w:proofErr w:type="spellStart"/>
      <w:r w:rsidRPr="00BE766E">
        <w:rPr>
          <w:i/>
          <w:u w:val="single"/>
        </w:rPr>
        <w:t>incognita</w:t>
      </w:r>
      <w:proofErr w:type="spellEnd"/>
      <w:r w:rsidRPr="00BE766E">
        <w:rPr>
          <w:u w:val="single"/>
        </w:rPr>
        <w:t xml:space="preserve"> (Mi)</w:t>
      </w:r>
    </w:p>
    <w:p w:rsidR="00DB3E5A" w:rsidRPr="00BE766E" w:rsidRDefault="00DB3E5A" w:rsidP="00DB3E5A">
      <w:pPr>
        <w:jc w:val="left"/>
      </w:pPr>
    </w:p>
    <w:tbl>
      <w:tblPr>
        <w:tblStyle w:val="TableGrid"/>
        <w:tblW w:w="985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3968"/>
        <w:gridCol w:w="4955"/>
      </w:tblGrid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1.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Agent pathogène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pos="3402"/>
              </w:tabs>
              <w:rPr>
                <w:rFonts w:cs="Arial"/>
                <w:i/>
              </w:rPr>
            </w:pPr>
            <w:proofErr w:type="spellStart"/>
            <w:r w:rsidRPr="00BE766E">
              <w:rPr>
                <w:i/>
              </w:rPr>
              <w:t>Meloidogyne</w:t>
            </w:r>
            <w:proofErr w:type="spellEnd"/>
            <w:r w:rsidRPr="00BE766E">
              <w:rPr>
                <w:i/>
              </w:rPr>
              <w:t xml:space="preserve"> </w:t>
            </w:r>
            <w:proofErr w:type="spellStart"/>
            <w:r w:rsidRPr="00BE766E">
              <w:rPr>
                <w:i/>
              </w:rPr>
              <w:t>incognita</w:t>
            </w:r>
            <w:proofErr w:type="spellEnd"/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2.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État de quarantaine</w:t>
            </w:r>
          </w:p>
        </w:tc>
        <w:tc>
          <w:tcPr>
            <w:tcW w:w="5413" w:type="dxa"/>
          </w:tcPr>
          <w:p w:rsidR="00DB3E5A" w:rsidRPr="00BE766E" w:rsidRDefault="003E471F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-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3.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Espèce hôte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 xml:space="preserve">Tomate – </w:t>
            </w:r>
            <w:proofErr w:type="spellStart"/>
            <w:r w:rsidRPr="00BE766E">
              <w:rPr>
                <w:i/>
                <w:iCs/>
              </w:rPr>
              <w:t>Solanum</w:t>
            </w:r>
            <w:proofErr w:type="spellEnd"/>
            <w:r w:rsidRPr="00BE766E">
              <w:rPr>
                <w:i/>
                <w:iCs/>
              </w:rPr>
              <w:t xml:space="preserve"> </w:t>
            </w:r>
            <w:proofErr w:type="spellStart"/>
            <w:r w:rsidRPr="00BE766E">
              <w:rPr>
                <w:i/>
                <w:iCs/>
              </w:rPr>
              <w:t>lycopersicum</w:t>
            </w:r>
            <w:proofErr w:type="spellEnd"/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4.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Source de l</w:t>
            </w:r>
            <w:r w:rsidR="003E471F" w:rsidRPr="00BE766E">
              <w:t>’</w:t>
            </w:r>
            <w:r w:rsidRPr="00BE766E">
              <w:t>inoculum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GEVES</w:t>
            </w:r>
            <w:r w:rsidRPr="00BE766E">
              <w:rPr>
                <w:rStyle w:val="FootnoteReference"/>
                <w:rFonts w:cs="Arial"/>
              </w:rPr>
              <w:footnoteReference w:id="3"/>
            </w:r>
            <w:r w:rsidRPr="00BE766E">
              <w:t xml:space="preserve"> (FR) ou </w:t>
            </w:r>
            <w:r w:rsidRPr="00BE766E">
              <w:rPr>
                <w:highlight w:val="lightGray"/>
                <w:u w:val="single"/>
              </w:rPr>
              <w:t>INIA – CSIC (ES)</w:t>
            </w:r>
            <w:r w:rsidRPr="00BE766E">
              <w:rPr>
                <w:rStyle w:val="FootnoteReference"/>
                <w:rFonts w:cs="Arial"/>
                <w:highlight w:val="lightGray"/>
                <w:u w:val="single"/>
              </w:rPr>
              <w:footnoteReference w:id="4"/>
            </w:r>
            <w:r w:rsidRPr="00BE766E">
              <w:rPr>
                <w:u w:val="single"/>
              </w:rPr>
              <w:t xml:space="preserve"> </w:t>
            </w:r>
            <w:r w:rsidRPr="00BE766E">
              <w:t xml:space="preserve">ou </w:t>
            </w:r>
            <w:proofErr w:type="spellStart"/>
            <w:r w:rsidRPr="00BE766E">
              <w:t>Naktuinbouw</w:t>
            </w:r>
            <w:proofErr w:type="spellEnd"/>
            <w:r w:rsidRPr="00BE766E">
              <w:t xml:space="preserve"> (NL</w:t>
            </w:r>
            <w:r w:rsidRPr="00BE766E">
              <w:rPr>
                <w:rStyle w:val="FootnoteReference"/>
                <w:rFonts w:cs="Arial"/>
              </w:rPr>
              <w:footnoteReference w:id="5"/>
            </w:r>
            <w:r w:rsidRPr="00BE766E">
              <w:t>)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5.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Isolat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rupture de non</w:t>
            </w:r>
            <w:r w:rsidR="003E471F" w:rsidRPr="00BE766E">
              <w:t>-</w:t>
            </w:r>
            <w:r w:rsidRPr="00BE766E">
              <w:t>résistance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6.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Identification de l</w:t>
            </w:r>
            <w:r w:rsidR="003E471F" w:rsidRPr="00BE766E">
              <w:t>’</w:t>
            </w:r>
            <w:r w:rsidRPr="00BE766E">
              <w:t>isolat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utiliser des tomates standard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7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Détermination du pouvoir pathogène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ind w:hanging="17"/>
              <w:rPr>
                <w:rFonts w:cs="Arial"/>
              </w:rPr>
            </w:pPr>
            <w:r w:rsidRPr="00BE766E">
              <w:t>utiliser un porte</w:t>
            </w:r>
            <w:r w:rsidR="003E471F" w:rsidRPr="00BE766E">
              <w:t>-</w:t>
            </w:r>
            <w:r w:rsidRPr="00BE766E">
              <w:t>greffe ou des tomates standard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8.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Multiplication de l</w:t>
            </w:r>
            <w:r w:rsidR="003E471F" w:rsidRPr="00BE766E">
              <w:t>’</w:t>
            </w:r>
            <w:r w:rsidRPr="00BE766E">
              <w:t>inoculum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8.1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Milieu de multiplication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plante vivante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8.2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Variété de multiplication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rPr>
                <w:u w:val="single"/>
                <w:shd w:val="clear" w:color="auto" w:fill="D9D9D9" w:themeFill="background1" w:themeFillShade="D9"/>
              </w:rPr>
              <w:t>variété sensible,</w:t>
            </w:r>
            <w:r w:rsidRPr="00BE766E">
              <w:t xml:space="preserve"> de préférence résistante à l</w:t>
            </w:r>
            <w:r w:rsidR="003E471F" w:rsidRPr="00BE766E">
              <w:t>’</w:t>
            </w:r>
            <w:r w:rsidRPr="00BE766E">
              <w:t>Oïdium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8.3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Stade de la plante lors de l</w:t>
            </w:r>
            <w:r w:rsidR="003E471F" w:rsidRPr="00BE766E">
              <w:t>’</w:t>
            </w:r>
            <w:r w:rsidRPr="00BE766E">
              <w:t>inoculation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rPr>
                <w:strike/>
                <w:highlight w:val="lightGray"/>
              </w:rPr>
              <w:t>voir 10.3</w:t>
            </w:r>
            <w:r w:rsidR="008F1DD9" w:rsidRPr="00A832B6">
              <w:rPr>
                <w:strike/>
              </w:rPr>
              <w:t> </w:t>
            </w:r>
            <w:r w:rsidRPr="00BE766E">
              <w:rPr>
                <w:highlight w:val="lightGray"/>
                <w:u w:val="single"/>
              </w:rPr>
              <w:t xml:space="preserve">stade de la deuxième </w:t>
            </w:r>
            <w:r w:rsidRPr="00BE766E">
              <w:rPr>
                <w:highlight w:val="lightGray"/>
                <w:u w:val="single"/>
                <w:shd w:val="clear" w:color="auto" w:fill="D9D9D9" w:themeFill="background1" w:themeFillShade="D9"/>
              </w:rPr>
              <w:t>feuille</w:t>
            </w:r>
            <w:r w:rsidRPr="00BE766E">
              <w:t xml:space="preserve"> 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8.5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Méthode d</w:t>
            </w:r>
            <w:r w:rsidR="003E471F" w:rsidRPr="00BE766E">
              <w:t>’</w:t>
            </w:r>
            <w:r w:rsidRPr="00BE766E">
              <w:t>inoculation</w:t>
            </w:r>
          </w:p>
        </w:tc>
        <w:tc>
          <w:tcPr>
            <w:tcW w:w="5413" w:type="dxa"/>
          </w:tcPr>
          <w:p w:rsidR="003E471F" w:rsidRPr="00BE766E" w:rsidRDefault="00DB3E5A" w:rsidP="00CF2112">
            <w:pPr>
              <w:tabs>
                <w:tab w:val="left" w:leader="dot" w:pos="3402"/>
              </w:tabs>
              <w:rPr>
                <w:strike/>
                <w:highlight w:val="lightGray"/>
              </w:rPr>
            </w:pPr>
            <w:proofErr w:type="gramStart"/>
            <w:r w:rsidRPr="00BE766E">
              <w:rPr>
                <w:strike/>
                <w:highlight w:val="lightGray"/>
              </w:rPr>
              <w:t>voir</w:t>
            </w:r>
            <w:proofErr w:type="gramEnd"/>
            <w:r w:rsidRPr="00BE766E">
              <w:rPr>
                <w:strike/>
                <w:highlight w:val="lightGray"/>
              </w:rPr>
              <w:t xml:space="preserve"> 10.4</w:t>
            </w:r>
          </w:p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rPr>
                <w:highlight w:val="lightGray"/>
                <w:u w:val="single"/>
              </w:rPr>
              <w:t>dépôt de morceaux de racines inoculées dans le sol (environ 5</w:t>
            </w:r>
            <w:r w:rsidR="003E471F" w:rsidRPr="00BE766E">
              <w:rPr>
                <w:highlight w:val="lightGray"/>
                <w:u w:val="single"/>
              </w:rPr>
              <w:t>-</w:t>
            </w:r>
            <w:r w:rsidRPr="00BE766E">
              <w:rPr>
                <w:highlight w:val="lightGray"/>
                <w:u w:val="single"/>
              </w:rPr>
              <w:t>10 g près de chaque plante, à adapter en fonction de l</w:t>
            </w:r>
            <w:r w:rsidR="003E471F" w:rsidRPr="00BE766E">
              <w:rPr>
                <w:highlight w:val="lightGray"/>
                <w:u w:val="single"/>
              </w:rPr>
              <w:t>’</w:t>
            </w:r>
            <w:r w:rsidRPr="00BE766E">
              <w:rPr>
                <w:highlight w:val="lightGray"/>
                <w:u w:val="single"/>
              </w:rPr>
              <w:t>agressivité de la population)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8.6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Récolte de l</w:t>
            </w:r>
            <w:r w:rsidR="003E471F" w:rsidRPr="00BE766E">
              <w:t>’</w:t>
            </w:r>
            <w:r w:rsidRPr="00BE766E">
              <w:t>inoculum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ind w:hanging="17"/>
              <w:rPr>
                <w:rFonts w:cs="Arial"/>
              </w:rPr>
            </w:pPr>
            <w:r w:rsidRPr="00BE766E">
              <w:rPr>
                <w:highlight w:val="lightGray"/>
                <w:u w:val="single"/>
              </w:rPr>
              <w:t>6 à 10</w:t>
            </w:r>
            <w:r w:rsidR="008F1DD9">
              <w:rPr>
                <w:highlight w:val="lightGray"/>
                <w:u w:val="single"/>
              </w:rPr>
              <w:t> </w:t>
            </w:r>
            <w:r w:rsidRPr="00BE766E">
              <w:rPr>
                <w:highlight w:val="lightGray"/>
                <w:u w:val="single"/>
              </w:rPr>
              <w:t>semaines après l</w:t>
            </w:r>
            <w:r w:rsidR="003E471F" w:rsidRPr="00BE766E">
              <w:rPr>
                <w:highlight w:val="lightGray"/>
                <w:u w:val="single"/>
              </w:rPr>
              <w:t>’</w:t>
            </w:r>
            <w:r w:rsidRPr="00BE766E">
              <w:rPr>
                <w:highlight w:val="lightGray"/>
                <w:u w:val="single"/>
              </w:rPr>
              <w:t>inoculation,</w:t>
            </w:r>
            <w:r w:rsidRPr="00BE766E">
              <w:t xml:space="preserve"> les systèmes radiculaires sont coupés avec des ciseaux en morceaux d</w:t>
            </w:r>
            <w:r w:rsidR="003E471F" w:rsidRPr="00BE766E">
              <w:t>’</w:t>
            </w:r>
            <w:r w:rsidRPr="00BE766E">
              <w:t>environ 1 cm de longueur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8.7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Vérification de l</w:t>
            </w:r>
            <w:r w:rsidR="003E471F" w:rsidRPr="00BE766E">
              <w:t>’</w:t>
            </w:r>
            <w:r w:rsidRPr="00BE766E">
              <w:t>inoculum récolté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vérification visuelle pour la présence de racines noduleuses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8.8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Durée de conservation/viabilité de l</w:t>
            </w:r>
            <w:r w:rsidR="003E471F" w:rsidRPr="00BE766E">
              <w:t>’</w:t>
            </w:r>
            <w:r w:rsidRPr="00BE766E">
              <w:t>inoculum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1 jour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9.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Format de l</w:t>
            </w:r>
            <w:r w:rsidR="003E471F" w:rsidRPr="00BE766E">
              <w:t>’</w:t>
            </w:r>
            <w:r w:rsidRPr="00BE766E">
              <w:t>essai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9.1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Nombre de plantes par génotype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  <w:highlight w:val="lightGray"/>
              </w:rPr>
            </w:pPr>
            <w:r w:rsidRPr="00BE766E">
              <w:rPr>
                <w:strike/>
                <w:highlight w:val="lightGray"/>
              </w:rPr>
              <w:t>20 plantes</w:t>
            </w:r>
            <w:r w:rsidRPr="00BE766E">
              <w:rPr>
                <w:highlight w:val="lightGray"/>
              </w:rPr>
              <w:t xml:space="preserve"> </w:t>
            </w:r>
            <w:r w:rsidRPr="00BE766E">
              <w:rPr>
                <w:highlight w:val="lightGray"/>
                <w:u w:val="single"/>
              </w:rPr>
              <w:t xml:space="preserve">30 </w:t>
            </w:r>
            <w:proofErr w:type="gramStart"/>
            <w:r w:rsidRPr="00BE766E">
              <w:rPr>
                <w:highlight w:val="lightGray"/>
                <w:u w:val="single"/>
              </w:rPr>
              <w:t>plantes</w:t>
            </w:r>
            <w:proofErr w:type="gramEnd"/>
          </w:p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  <w:r w:rsidRPr="00BE766E">
              <w:rPr>
                <w:highlight w:val="lightGray"/>
                <w:u w:val="single"/>
              </w:rPr>
              <w:t>Remarque</w:t>
            </w:r>
            <w:r w:rsidR="003E471F" w:rsidRPr="00BE766E">
              <w:rPr>
                <w:highlight w:val="lightGray"/>
                <w:u w:val="single"/>
              </w:rPr>
              <w:t> :</w:t>
            </w:r>
            <w:r w:rsidRPr="00BE766E">
              <w:rPr>
                <w:highlight w:val="lightGray"/>
                <w:u w:val="single"/>
              </w:rPr>
              <w:t xml:space="preserve"> sachant que la germination dans les porte</w:t>
            </w:r>
            <w:r w:rsidR="003E471F" w:rsidRPr="00BE766E">
              <w:rPr>
                <w:highlight w:val="lightGray"/>
                <w:u w:val="single"/>
              </w:rPr>
              <w:t>-</w:t>
            </w:r>
            <w:r w:rsidRPr="00BE766E">
              <w:rPr>
                <w:highlight w:val="lightGray"/>
                <w:u w:val="single"/>
              </w:rPr>
              <w:t xml:space="preserve">greffes </w:t>
            </w:r>
            <w:proofErr w:type="gramStart"/>
            <w:r w:rsidRPr="00BE766E">
              <w:rPr>
                <w:highlight w:val="lightGray"/>
                <w:u w:val="single"/>
              </w:rPr>
              <w:t>peut être</w:t>
            </w:r>
            <w:proofErr w:type="gramEnd"/>
            <w:r w:rsidRPr="00BE766E">
              <w:rPr>
                <w:highlight w:val="lightGray"/>
                <w:u w:val="single"/>
              </w:rPr>
              <w:t xml:space="preserve"> faible ou irrégulière, il est recommandé de semer plus de graines pour être sûr d</w:t>
            </w:r>
            <w:r w:rsidR="003E471F" w:rsidRPr="00BE766E">
              <w:rPr>
                <w:highlight w:val="lightGray"/>
                <w:u w:val="single"/>
              </w:rPr>
              <w:t>’</w:t>
            </w:r>
            <w:r w:rsidRPr="00BE766E">
              <w:rPr>
                <w:highlight w:val="lightGray"/>
                <w:u w:val="single"/>
              </w:rPr>
              <w:t>obtenir au moins 30</w:t>
            </w:r>
            <w:r w:rsidR="008F1DD9">
              <w:rPr>
                <w:highlight w:val="lightGray"/>
                <w:u w:val="single"/>
              </w:rPr>
              <w:t> </w:t>
            </w:r>
            <w:r w:rsidRPr="00BE766E">
              <w:rPr>
                <w:highlight w:val="lightGray"/>
                <w:u w:val="single"/>
              </w:rPr>
              <w:t>plantes.</w:t>
            </w:r>
          </w:p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</w:p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  <w:r w:rsidRPr="00BE766E">
              <w:rPr>
                <w:highlight w:val="lightGray"/>
                <w:u w:val="single"/>
              </w:rPr>
              <w:t>Il est recommandé d</w:t>
            </w:r>
            <w:r w:rsidR="003E471F" w:rsidRPr="00BE766E">
              <w:rPr>
                <w:highlight w:val="lightGray"/>
                <w:u w:val="single"/>
              </w:rPr>
              <w:t>’</w:t>
            </w:r>
            <w:r w:rsidRPr="00BE766E">
              <w:rPr>
                <w:highlight w:val="lightGray"/>
                <w:u w:val="single"/>
              </w:rPr>
              <w:t>inclure dans l</w:t>
            </w:r>
            <w:r w:rsidR="003E471F" w:rsidRPr="00BE766E">
              <w:rPr>
                <w:highlight w:val="lightGray"/>
                <w:u w:val="single"/>
              </w:rPr>
              <w:t>’</w:t>
            </w:r>
            <w:r w:rsidRPr="00BE766E">
              <w:rPr>
                <w:highlight w:val="lightGray"/>
                <w:u w:val="single"/>
              </w:rPr>
              <w:t>essai 10</w:t>
            </w:r>
            <w:r w:rsidR="008F1DD9">
              <w:rPr>
                <w:highlight w:val="lightGray"/>
                <w:u w:val="single"/>
              </w:rPr>
              <w:t> </w:t>
            </w:r>
            <w:r w:rsidRPr="00BE766E">
              <w:rPr>
                <w:highlight w:val="lightGray"/>
                <w:u w:val="single"/>
              </w:rPr>
              <w:t>plantes non inoculées, afin de pouvoir identifier un éventuel manque de germination ou un retard dans la croissance des plantes, dû au matériel.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9.2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Nombre de répétitions</w:t>
            </w:r>
          </w:p>
        </w:tc>
        <w:tc>
          <w:tcPr>
            <w:tcW w:w="5413" w:type="dxa"/>
            <w:shd w:val="clear" w:color="auto" w:fill="auto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  <w:highlight w:val="lightGray"/>
              </w:rPr>
            </w:pPr>
            <w:r w:rsidRPr="00BE766E">
              <w:rPr>
                <w:strike/>
                <w:highlight w:val="lightGray"/>
              </w:rPr>
              <w:t>1 répétition</w:t>
            </w:r>
          </w:p>
          <w:p w:rsidR="00DB3E5A" w:rsidRPr="00BE766E" w:rsidRDefault="00DB3E5A" w:rsidP="00A832B6">
            <w:pPr>
              <w:tabs>
                <w:tab w:val="left" w:leader="dot" w:pos="3402"/>
              </w:tabs>
              <w:rPr>
                <w:rFonts w:cs="Arial"/>
                <w:u w:val="single"/>
              </w:rPr>
            </w:pPr>
            <w:r w:rsidRPr="00BE766E">
              <w:rPr>
                <w:color w:val="000000"/>
                <w:highlight w:val="lightGray"/>
                <w:u w:val="single"/>
              </w:rPr>
              <w:t xml:space="preserve">au moins deux, de préférence </w:t>
            </w:r>
            <w:r w:rsidR="00A832B6">
              <w:rPr>
                <w:color w:val="000000"/>
                <w:highlight w:val="lightGray"/>
                <w:u w:val="single"/>
              </w:rPr>
              <w:t>trois</w:t>
            </w:r>
            <w:r w:rsidRPr="00BE766E">
              <w:rPr>
                <w:color w:val="000000"/>
                <w:highlight w:val="lightGray"/>
                <w:u w:val="single"/>
              </w:rPr>
              <w:t xml:space="preserve"> pour permettre une analyse statistique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9.3</w:t>
            </w:r>
          </w:p>
        </w:tc>
        <w:tc>
          <w:tcPr>
            <w:tcW w:w="3450" w:type="dxa"/>
          </w:tcPr>
          <w:p w:rsidR="00DB3E5A" w:rsidRPr="00BE766E" w:rsidRDefault="00DB3E5A" w:rsidP="00A832B6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Variétés témoins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544"/>
              </w:tabs>
              <w:ind w:left="-17"/>
            </w:pPr>
            <w:r w:rsidRPr="00BE766E">
              <w:t>Sensibles</w:t>
            </w:r>
            <w:r w:rsidR="003E471F" w:rsidRPr="00BE766E">
              <w:t> :</w:t>
            </w:r>
            <w:r w:rsidRPr="00BE766E">
              <w:t xml:space="preserve"> Bruce et (</w:t>
            </w:r>
            <w:proofErr w:type="spellStart"/>
            <w:r w:rsidRPr="00BE766E">
              <w:rPr>
                <w:i/>
              </w:rPr>
              <w:t>Solanum</w:t>
            </w:r>
            <w:proofErr w:type="spellEnd"/>
            <w:r w:rsidRPr="00BE766E">
              <w:rPr>
                <w:i/>
              </w:rPr>
              <w:t xml:space="preserve"> </w:t>
            </w:r>
            <w:proofErr w:type="spellStart"/>
            <w:r w:rsidRPr="00BE766E">
              <w:rPr>
                <w:i/>
              </w:rPr>
              <w:t>lycopersicum</w:t>
            </w:r>
            <w:proofErr w:type="spellEnd"/>
            <w:r w:rsidRPr="00BE766E">
              <w:t xml:space="preserve">) </w:t>
            </w:r>
            <w:proofErr w:type="spellStart"/>
            <w:r w:rsidRPr="00BE766E">
              <w:rPr>
                <w:strike/>
                <w:highlight w:val="lightGray"/>
              </w:rPr>
              <w:t>Clairvil</w:t>
            </w:r>
            <w:proofErr w:type="spellEnd"/>
            <w:r w:rsidRPr="00BE766E">
              <w:rPr>
                <w:strike/>
                <w:highlight w:val="lightGray"/>
              </w:rPr>
              <w:t>,</w:t>
            </w:r>
            <w:r w:rsidRPr="00BE766E">
              <w:t xml:space="preserve"> Casaque Rouge</w:t>
            </w:r>
          </w:p>
          <w:p w:rsidR="003E471F" w:rsidRPr="00BE766E" w:rsidRDefault="00DB3E5A" w:rsidP="00CF2112">
            <w:pPr>
              <w:tabs>
                <w:tab w:val="left" w:leader="dot" w:pos="3544"/>
              </w:tabs>
              <w:ind w:left="-17"/>
            </w:pPr>
            <w:r w:rsidRPr="00BE766E">
              <w:rPr>
                <w:strike/>
                <w:highlight w:val="lightGray"/>
              </w:rPr>
              <w:t>Moyennement</w:t>
            </w:r>
            <w:r w:rsidRPr="00BE766E">
              <w:t xml:space="preserve"> résistantes </w:t>
            </w:r>
            <w:r w:rsidRPr="00BE766E">
              <w:rPr>
                <w:highlight w:val="lightGray"/>
                <w:u w:val="single"/>
              </w:rPr>
              <w:t>à un niveau intermédiaire</w:t>
            </w:r>
            <w:r w:rsidR="003E471F" w:rsidRPr="00BE766E">
              <w:t> :</w:t>
            </w:r>
            <w:r w:rsidRPr="00BE766E">
              <w:t xml:space="preserve"> (</w:t>
            </w:r>
            <w:proofErr w:type="spellStart"/>
            <w:r w:rsidRPr="00BE766E">
              <w:rPr>
                <w:i/>
              </w:rPr>
              <w:t>Solanum</w:t>
            </w:r>
            <w:proofErr w:type="spellEnd"/>
            <w:r w:rsidRPr="00BE766E">
              <w:rPr>
                <w:i/>
              </w:rPr>
              <w:t xml:space="preserve"> </w:t>
            </w:r>
            <w:proofErr w:type="spellStart"/>
            <w:r w:rsidRPr="00BE766E">
              <w:rPr>
                <w:i/>
              </w:rPr>
              <w:t>lycopersicum</w:t>
            </w:r>
            <w:proofErr w:type="spellEnd"/>
            <w:r w:rsidRPr="00BE766E">
              <w:t>)</w:t>
            </w:r>
          </w:p>
          <w:p w:rsidR="00DB3E5A" w:rsidRPr="00BE766E" w:rsidRDefault="00DB3E5A" w:rsidP="00CF2112">
            <w:pPr>
              <w:tabs>
                <w:tab w:val="left" w:leader="dot" w:pos="3544"/>
              </w:tabs>
              <w:ind w:left="-17"/>
              <w:rPr>
                <w:rFonts w:cs="Arial"/>
              </w:rPr>
            </w:pPr>
            <w:proofErr w:type="spellStart"/>
            <w:r w:rsidRPr="00BE766E">
              <w:rPr>
                <w:strike/>
                <w:highlight w:val="lightGray"/>
              </w:rPr>
              <w:t>Madyta</w:t>
            </w:r>
            <w:proofErr w:type="spellEnd"/>
            <w:r w:rsidRPr="00BE766E">
              <w:rPr>
                <w:strike/>
                <w:highlight w:val="lightGray"/>
              </w:rPr>
              <w:t>,</w:t>
            </w:r>
            <w:r w:rsidRPr="00BE766E">
              <w:t xml:space="preserve"> </w:t>
            </w:r>
            <w:proofErr w:type="spellStart"/>
            <w:r w:rsidRPr="00BE766E">
              <w:t>Campeon</w:t>
            </w:r>
            <w:proofErr w:type="spellEnd"/>
            <w:r w:rsidRPr="00BE766E">
              <w:t xml:space="preserve">, </w:t>
            </w:r>
            <w:proofErr w:type="spellStart"/>
            <w:r w:rsidRPr="00BE766E">
              <w:rPr>
                <w:strike/>
                <w:highlight w:val="lightGray"/>
              </w:rPr>
              <w:t>Madyta</w:t>
            </w:r>
            <w:proofErr w:type="spellEnd"/>
            <w:r w:rsidRPr="00BE766E">
              <w:rPr>
                <w:strike/>
                <w:highlight w:val="lightGray"/>
              </w:rPr>
              <w:t xml:space="preserve">, </w:t>
            </w:r>
            <w:proofErr w:type="spellStart"/>
            <w:r w:rsidRPr="00BE766E">
              <w:rPr>
                <w:strike/>
                <w:highlight w:val="lightGray"/>
              </w:rPr>
              <w:t>Vinchy</w:t>
            </w:r>
            <w:proofErr w:type="spellEnd"/>
            <w:r w:rsidRPr="00BE766E">
              <w:rPr>
                <w:highlight w:val="lightGray"/>
                <w:u w:val="single"/>
              </w:rPr>
              <w:t xml:space="preserve">, </w:t>
            </w:r>
            <w:proofErr w:type="spellStart"/>
            <w:r w:rsidRPr="00BE766E">
              <w:rPr>
                <w:highlight w:val="lightGray"/>
                <w:u w:val="single"/>
              </w:rPr>
              <w:t>Tyonic</w:t>
            </w:r>
            <w:proofErr w:type="spellEnd"/>
          </w:p>
          <w:p w:rsidR="00DB3E5A" w:rsidRPr="00BE766E" w:rsidRDefault="00DB3E5A" w:rsidP="00CF2112">
            <w:pPr>
              <w:tabs>
                <w:tab w:val="left" w:leader="dot" w:pos="3544"/>
              </w:tabs>
              <w:ind w:left="-17"/>
              <w:rPr>
                <w:rFonts w:cs="Arial"/>
              </w:rPr>
            </w:pPr>
            <w:r w:rsidRPr="00BE766E">
              <w:t>Hautement résistantes</w:t>
            </w:r>
            <w:r w:rsidR="003E471F" w:rsidRPr="00BE766E">
              <w:t> :</w:t>
            </w:r>
            <w:r w:rsidRPr="00BE766E">
              <w:t xml:space="preserve"> </w:t>
            </w:r>
            <w:proofErr w:type="spellStart"/>
            <w:r w:rsidRPr="00BE766E">
              <w:t>Emperador</w:t>
            </w:r>
            <w:proofErr w:type="spellEnd"/>
            <w:r w:rsidRPr="00BE766E">
              <w:t xml:space="preserve"> </w:t>
            </w:r>
            <w:r w:rsidRPr="00BE766E">
              <w:rPr>
                <w:strike/>
                <w:highlight w:val="lightGray"/>
              </w:rPr>
              <w:t>et (</w:t>
            </w:r>
            <w:proofErr w:type="spellStart"/>
            <w:r w:rsidRPr="00BE766E">
              <w:rPr>
                <w:i/>
                <w:strike/>
                <w:highlight w:val="lightGray"/>
              </w:rPr>
              <w:t>Solanum</w:t>
            </w:r>
            <w:proofErr w:type="spellEnd"/>
            <w:r w:rsidRPr="00BE766E">
              <w:rPr>
                <w:i/>
                <w:strike/>
                <w:highlight w:val="lightGray"/>
              </w:rPr>
              <w:t xml:space="preserve"> </w:t>
            </w:r>
            <w:proofErr w:type="spellStart"/>
            <w:r w:rsidRPr="00BE766E">
              <w:rPr>
                <w:i/>
                <w:strike/>
                <w:highlight w:val="lightGray"/>
              </w:rPr>
              <w:t>lycopersicum</w:t>
            </w:r>
            <w:proofErr w:type="spellEnd"/>
            <w:r w:rsidRPr="00BE766E">
              <w:rPr>
                <w:strike/>
                <w:highlight w:val="lightGray"/>
              </w:rPr>
              <w:t>) “</w:t>
            </w:r>
            <w:proofErr w:type="spellStart"/>
            <w:r w:rsidRPr="00BE766E">
              <w:rPr>
                <w:strike/>
                <w:highlight w:val="lightGray"/>
              </w:rPr>
              <w:t>Anahu</w:t>
            </w:r>
            <w:proofErr w:type="spellEnd"/>
            <w:r w:rsidRPr="00BE766E">
              <w:rPr>
                <w:strike/>
                <w:highlight w:val="lightGray"/>
              </w:rPr>
              <w:t xml:space="preserve"> x Casaque Rouge”, </w:t>
            </w:r>
            <w:proofErr w:type="spellStart"/>
            <w:r w:rsidRPr="00BE766E">
              <w:rPr>
                <w:strike/>
                <w:highlight w:val="lightGray"/>
              </w:rPr>
              <w:t>Anahu</w:t>
            </w:r>
            <w:proofErr w:type="spellEnd"/>
            <w:r w:rsidRPr="00BE766E">
              <w:rPr>
                <w:strike/>
                <w:highlight w:val="lightGray"/>
              </w:rPr>
              <w:t xml:space="preserve">, </w:t>
            </w:r>
            <w:proofErr w:type="spellStart"/>
            <w:r w:rsidRPr="00BE766E">
              <w:rPr>
                <w:strike/>
                <w:highlight w:val="lightGray"/>
              </w:rPr>
              <w:t>Anabel</w:t>
            </w:r>
            <w:proofErr w:type="spellEnd"/>
            <w:r w:rsidRPr="00BE766E">
              <w:rPr>
                <w:strike/>
              </w:rPr>
              <w:t xml:space="preserve"> 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9.4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Protocole d</w:t>
            </w:r>
            <w:r w:rsidR="003E471F" w:rsidRPr="00BE766E">
              <w:t>’</w:t>
            </w:r>
            <w:r w:rsidRPr="00BE766E">
              <w:t>essai</w:t>
            </w:r>
          </w:p>
        </w:tc>
        <w:tc>
          <w:tcPr>
            <w:tcW w:w="5413" w:type="dxa"/>
            <w:shd w:val="clear" w:color="auto" w:fill="auto"/>
          </w:tcPr>
          <w:p w:rsidR="00DB3E5A" w:rsidRPr="00BE766E" w:rsidRDefault="00DB3E5A" w:rsidP="00CF2112">
            <w:pPr>
              <w:ind w:left="-17" w:hanging="17"/>
              <w:rPr>
                <w:rFonts w:cs="Arial"/>
                <w:strike/>
              </w:rPr>
            </w:pPr>
            <w:proofErr w:type="gramStart"/>
            <w:r w:rsidRPr="00BE766E">
              <w:rPr>
                <w:strike/>
                <w:highlight w:val="lightGray"/>
              </w:rPr>
              <w:t>inclure</w:t>
            </w:r>
            <w:proofErr w:type="gramEnd"/>
            <w:r w:rsidRPr="00BE766E">
              <w:rPr>
                <w:strike/>
                <w:highlight w:val="lightGray"/>
              </w:rPr>
              <w:t xml:space="preserve"> des variétés témoins</w:t>
            </w:r>
          </w:p>
          <w:p w:rsidR="00DB3E5A" w:rsidRPr="00BE766E" w:rsidRDefault="00DB3E5A" w:rsidP="00CF2112">
            <w:pPr>
              <w:ind w:left="-17" w:hanging="17"/>
              <w:rPr>
                <w:rFonts w:cs="Arial"/>
                <w:u w:val="single"/>
              </w:rPr>
            </w:pPr>
            <w:r w:rsidRPr="00BE766E">
              <w:rPr>
                <w:highlight w:val="lightGray"/>
                <w:u w:val="single"/>
              </w:rPr>
              <w:t>3 répétitions de 10</w:t>
            </w:r>
            <w:r w:rsidR="008F1DD9">
              <w:rPr>
                <w:highlight w:val="lightGray"/>
                <w:u w:val="single"/>
              </w:rPr>
              <w:t> </w:t>
            </w:r>
            <w:r w:rsidRPr="00BE766E">
              <w:rPr>
                <w:highlight w:val="lightGray"/>
                <w:u w:val="single"/>
              </w:rPr>
              <w:t>plantes dans différents plateaux par variété</w:t>
            </w:r>
            <w:r w:rsidRPr="00BE766E">
              <w:rPr>
                <w:strike/>
                <w:highlight w:val="lightGray"/>
                <w:u w:val="single"/>
              </w:rPr>
              <w:t>, plantes non</w:t>
            </w:r>
            <w:r w:rsidR="008F1DD9">
              <w:rPr>
                <w:strike/>
                <w:highlight w:val="lightGray"/>
                <w:u w:val="single"/>
              </w:rPr>
              <w:t xml:space="preserve"> </w:t>
            </w:r>
            <w:r w:rsidRPr="00BE766E">
              <w:rPr>
                <w:strike/>
                <w:highlight w:val="lightGray"/>
                <w:u w:val="single"/>
              </w:rPr>
              <w:t>inoculées dans un plateau séparé</w:t>
            </w:r>
            <w:r w:rsidRPr="00BE766E">
              <w:rPr>
                <w:strike/>
                <w:u w:val="single"/>
              </w:rPr>
              <w:t xml:space="preserve"> 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9.5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Installation d</w:t>
            </w:r>
            <w:r w:rsidR="003E471F" w:rsidRPr="00BE766E">
              <w:t>’</w:t>
            </w:r>
            <w:r w:rsidRPr="00BE766E">
              <w:t>essai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serre ou chambre climatisée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9.6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Température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</w:rPr>
            </w:pPr>
            <w:proofErr w:type="gramStart"/>
            <w:r w:rsidRPr="00BE766E">
              <w:rPr>
                <w:strike/>
                <w:highlight w:val="lightGray"/>
              </w:rPr>
              <w:t>pas</w:t>
            </w:r>
            <w:proofErr w:type="gramEnd"/>
            <w:r w:rsidRPr="00BE766E">
              <w:rPr>
                <w:strike/>
                <w:highlight w:val="lightGray"/>
              </w:rPr>
              <w:t xml:space="preserve"> plus de 28°C</w:t>
            </w:r>
          </w:p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  <w:u w:val="single"/>
              </w:rPr>
            </w:pPr>
            <w:r w:rsidRPr="00BE766E">
              <w:rPr>
                <w:highlight w:val="lightGray"/>
                <w:u w:val="single"/>
              </w:rPr>
              <w:t>20</w:t>
            </w:r>
            <w:r w:rsidR="003E471F" w:rsidRPr="00BE766E">
              <w:rPr>
                <w:highlight w:val="lightGray"/>
                <w:u w:val="single"/>
              </w:rPr>
              <w:t>-</w:t>
            </w:r>
            <w:r w:rsidRPr="00BE766E">
              <w:rPr>
                <w:highlight w:val="lightGray"/>
                <w:u w:val="single"/>
              </w:rPr>
              <w:t>26</w:t>
            </w:r>
            <w:r w:rsidR="00A832B6">
              <w:rPr>
                <w:highlight w:val="lightGray"/>
                <w:u w:val="single"/>
              </w:rPr>
              <w:t> </w:t>
            </w:r>
            <w:r w:rsidRPr="00BE766E">
              <w:rPr>
                <w:highlight w:val="lightGray"/>
                <w:u w:val="single"/>
              </w:rPr>
              <w:t>°C, la température peut être adaptée, en fonction de l</w:t>
            </w:r>
            <w:r w:rsidR="003E471F" w:rsidRPr="00BE766E">
              <w:rPr>
                <w:highlight w:val="lightGray"/>
                <w:u w:val="single"/>
              </w:rPr>
              <w:t>’</w:t>
            </w:r>
            <w:r w:rsidRPr="00BE766E">
              <w:rPr>
                <w:highlight w:val="lightGray"/>
                <w:u w:val="single"/>
              </w:rPr>
              <w:t>agressivité de l</w:t>
            </w:r>
            <w:r w:rsidR="003E471F" w:rsidRPr="00BE766E">
              <w:rPr>
                <w:highlight w:val="lightGray"/>
                <w:u w:val="single"/>
              </w:rPr>
              <w:t>’</w:t>
            </w:r>
            <w:r w:rsidRPr="00BE766E">
              <w:rPr>
                <w:highlight w:val="lightGray"/>
                <w:u w:val="single"/>
              </w:rPr>
              <w:t>essai, pour obtenir la réponse attendue des variétés témoins, mais ne doit pas dépasser 26</w:t>
            </w:r>
            <w:r w:rsidR="00A832B6">
              <w:rPr>
                <w:highlight w:val="lightGray"/>
                <w:u w:val="single"/>
              </w:rPr>
              <w:t> </w:t>
            </w:r>
            <w:r w:rsidRPr="00BE766E">
              <w:rPr>
                <w:highlight w:val="lightGray"/>
                <w:u w:val="single"/>
              </w:rPr>
              <w:t xml:space="preserve">°C. </w:t>
            </w:r>
            <w:r w:rsidR="00E40BE7" w:rsidRPr="00BE766E">
              <w:rPr>
                <w:highlight w:val="lightGray"/>
                <w:u w:val="single"/>
              </w:rPr>
              <w:t xml:space="preserve"> </w:t>
            </w:r>
            <w:r w:rsidRPr="00BE766E">
              <w:rPr>
                <w:highlight w:val="lightGray"/>
                <w:u w:val="single"/>
                <w:shd w:val="clear" w:color="auto" w:fill="D9D9D9" w:themeFill="background1" w:themeFillShade="D9"/>
              </w:rPr>
              <w:t>Des températures plus élevées entraîneront une rupture de la résistance.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9.7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Lumière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au moins 12</w:t>
            </w:r>
            <w:r w:rsidR="008F1DD9">
              <w:t> </w:t>
            </w:r>
            <w:r w:rsidRPr="00BE766E">
              <w:t>heures par jour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10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Inoculation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10.1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Préparation de l</w:t>
            </w:r>
            <w:r w:rsidR="003E471F" w:rsidRPr="00BE766E">
              <w:t>’</w:t>
            </w:r>
            <w:r w:rsidRPr="00BE766E">
              <w:t>inoculum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proofErr w:type="gramStart"/>
            <w:r w:rsidRPr="00BE766E">
              <w:t>petits</w:t>
            </w:r>
            <w:proofErr w:type="gramEnd"/>
            <w:r w:rsidRPr="00BE766E">
              <w:t xml:space="preserve"> morceaux de racine</w:t>
            </w:r>
            <w:r w:rsidRPr="00BE766E">
              <w:rPr>
                <w:highlight w:val="lightGray"/>
                <w:u w:val="single"/>
              </w:rPr>
              <w:t>s</w:t>
            </w:r>
            <w:r w:rsidRPr="00BE766E">
              <w:t xml:space="preserve"> infectée</w:t>
            </w:r>
            <w:r w:rsidRPr="00BE766E">
              <w:rPr>
                <w:highlight w:val="lightGray"/>
                <w:u w:val="single"/>
              </w:rPr>
              <w:t>s</w:t>
            </w:r>
            <w:r w:rsidRPr="00BE766E">
              <w:t xml:space="preserve"> mélangée</w:t>
            </w:r>
            <w:r w:rsidRPr="00BE766E">
              <w:rPr>
                <w:highlight w:val="lightGray"/>
                <w:u w:val="single"/>
              </w:rPr>
              <w:t>s</w:t>
            </w:r>
            <w:r w:rsidRPr="00BE766E">
              <w:t xml:space="preserve"> au sol</w:t>
            </w:r>
          </w:p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</w:rPr>
            </w:pPr>
            <w:r w:rsidRPr="00BE766E">
              <w:rPr>
                <w:strike/>
                <w:highlight w:val="lightGray"/>
              </w:rPr>
              <w:t>mélanger du sol et des morceaux de racine infestés</w:t>
            </w:r>
          </w:p>
        </w:tc>
      </w:tr>
      <w:tr w:rsidR="00DB3E5A" w:rsidRPr="00BE766E" w:rsidTr="00CF2112">
        <w:trPr>
          <w:cantSplit/>
        </w:trPr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10.2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Quantification de l</w:t>
            </w:r>
            <w:r w:rsidR="003E471F" w:rsidRPr="00BE766E">
              <w:t>’</w:t>
            </w:r>
            <w:r w:rsidRPr="00BE766E">
              <w:t>inoculum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</w:rPr>
            </w:pPr>
            <w:proofErr w:type="gramStart"/>
            <w:r w:rsidRPr="00BE766E">
              <w:rPr>
                <w:strike/>
                <w:highlight w:val="lightGray"/>
              </w:rPr>
              <w:t>sol</w:t>
            </w:r>
            <w:proofErr w:type="gramEnd"/>
            <w:r w:rsidR="003E471F" w:rsidRPr="00BE766E">
              <w:rPr>
                <w:strike/>
                <w:highlight w:val="lightGray"/>
              </w:rPr>
              <w:t> :</w:t>
            </w:r>
            <w:r w:rsidRPr="00BE766E">
              <w:rPr>
                <w:strike/>
                <w:highlight w:val="lightGray"/>
              </w:rPr>
              <w:t xml:space="preserve"> ratio sol</w:t>
            </w:r>
            <w:r w:rsidR="003E471F" w:rsidRPr="00BE766E">
              <w:rPr>
                <w:strike/>
                <w:highlight w:val="lightGray"/>
              </w:rPr>
              <w:t>-</w:t>
            </w:r>
            <w:r w:rsidRPr="00BE766E">
              <w:rPr>
                <w:strike/>
                <w:highlight w:val="lightGray"/>
              </w:rPr>
              <w:t>racines = 8/1 ou selon l</w:t>
            </w:r>
            <w:r w:rsidR="003E471F" w:rsidRPr="00BE766E">
              <w:rPr>
                <w:strike/>
                <w:highlight w:val="lightGray"/>
              </w:rPr>
              <w:t>’</w:t>
            </w:r>
            <w:r w:rsidRPr="00BE766E">
              <w:rPr>
                <w:strike/>
                <w:highlight w:val="lightGray"/>
              </w:rPr>
              <w:t>expérience</w:t>
            </w:r>
          </w:p>
          <w:p w:rsidR="00DB3E5A" w:rsidRPr="00BE766E" w:rsidRDefault="00DB3E5A" w:rsidP="00DB3E5A">
            <w:pPr>
              <w:rPr>
                <w:u w:val="single"/>
              </w:rPr>
            </w:pPr>
            <w:r w:rsidRPr="00BE766E">
              <w:rPr>
                <w:highlight w:val="lightGray"/>
                <w:u w:val="single"/>
              </w:rPr>
              <w:t>La quantité de l</w:t>
            </w:r>
            <w:r w:rsidR="003E471F" w:rsidRPr="00BE766E">
              <w:rPr>
                <w:highlight w:val="lightGray"/>
                <w:u w:val="single"/>
              </w:rPr>
              <w:t>’</w:t>
            </w:r>
            <w:r w:rsidRPr="00BE766E">
              <w:rPr>
                <w:highlight w:val="lightGray"/>
                <w:u w:val="single"/>
              </w:rPr>
              <w:t>inoculum dépend de l</w:t>
            </w:r>
            <w:r w:rsidR="003E471F" w:rsidRPr="00BE766E">
              <w:rPr>
                <w:highlight w:val="lightGray"/>
                <w:u w:val="single"/>
              </w:rPr>
              <w:t>’</w:t>
            </w:r>
            <w:r w:rsidRPr="00BE766E">
              <w:rPr>
                <w:highlight w:val="lightGray"/>
                <w:u w:val="single"/>
              </w:rPr>
              <w:t>agressivité de l</w:t>
            </w:r>
            <w:r w:rsidR="003E471F" w:rsidRPr="00BE766E">
              <w:rPr>
                <w:highlight w:val="lightGray"/>
                <w:u w:val="single"/>
              </w:rPr>
              <w:t>’</w:t>
            </w:r>
            <w:r w:rsidRPr="00BE766E">
              <w:rPr>
                <w:highlight w:val="lightGray"/>
                <w:u w:val="single"/>
              </w:rPr>
              <w:t>essai et des conditions de croissance (p.</w:t>
            </w:r>
            <w:r w:rsidR="00E40BE7" w:rsidRPr="00BE766E">
              <w:rPr>
                <w:highlight w:val="lightGray"/>
                <w:u w:val="single"/>
              </w:rPr>
              <w:t> </w:t>
            </w:r>
            <w:r w:rsidR="00C67DA5">
              <w:rPr>
                <w:highlight w:val="lightGray"/>
                <w:u w:val="single"/>
              </w:rPr>
              <w:t>ex., entre 30 et 60 </w:t>
            </w:r>
            <w:r w:rsidRPr="00BE766E">
              <w:rPr>
                <w:highlight w:val="lightGray"/>
                <w:u w:val="single"/>
              </w:rPr>
              <w:t>g de racines inoculées;</w:t>
            </w:r>
            <w:r w:rsidR="00E40BE7" w:rsidRPr="00BE766E">
              <w:rPr>
                <w:highlight w:val="lightGray"/>
                <w:u w:val="single"/>
              </w:rPr>
              <w:t xml:space="preserve"> </w:t>
            </w:r>
            <w:r w:rsidRPr="00BE766E">
              <w:rPr>
                <w:highlight w:val="lightGray"/>
                <w:u w:val="single"/>
              </w:rPr>
              <w:t xml:space="preserve"> pour 100 plantes dans un plateau de</w:t>
            </w:r>
            <w:r w:rsidR="00C67DA5">
              <w:rPr>
                <w:highlight w:val="lightGray"/>
                <w:u w:val="single"/>
              </w:rPr>
              <w:t xml:space="preserve"> 45*30 cm contenant environ 5,5 </w:t>
            </w:r>
            <w:r w:rsidRPr="00BE766E">
              <w:rPr>
                <w:highlight w:val="lightGray"/>
                <w:u w:val="single"/>
              </w:rPr>
              <w:t>kg de substrat), les galles doivent être mélangées de manière homogène avec la terre.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10.3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Stade de la plante lors de l</w:t>
            </w:r>
            <w:r w:rsidR="003E471F" w:rsidRPr="00BE766E">
              <w:t>’</w:t>
            </w:r>
            <w:r w:rsidRPr="00BE766E">
              <w:t>inoculation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semences</w:t>
            </w:r>
            <w:r w:rsidRPr="00BE766E">
              <w:rPr>
                <w:strike/>
                <w:highlight w:val="lightGray"/>
              </w:rPr>
              <w:t xml:space="preserve"> ou cotylédons</w:t>
            </w:r>
          </w:p>
        </w:tc>
      </w:tr>
      <w:tr w:rsidR="00DB3E5A" w:rsidRPr="00BE766E" w:rsidTr="00CF2112">
        <w:trPr>
          <w:cantSplit/>
        </w:trPr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10.4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Méthode d</w:t>
            </w:r>
            <w:r w:rsidR="003E471F" w:rsidRPr="00BE766E">
              <w:t>’</w:t>
            </w:r>
            <w:r w:rsidRPr="00BE766E">
              <w:t>inoculation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  <w:u w:val="single"/>
              </w:rPr>
            </w:pPr>
            <w:proofErr w:type="gramStart"/>
            <w:r w:rsidRPr="00BE766E">
              <w:rPr>
                <w:strike/>
                <w:highlight w:val="lightGray"/>
                <w:u w:val="single"/>
              </w:rPr>
              <w:t>des</w:t>
            </w:r>
            <w:proofErr w:type="gramEnd"/>
            <w:r w:rsidRPr="00BE766E">
              <w:rPr>
                <w:strike/>
                <w:highlight w:val="lightGray"/>
                <w:u w:val="single"/>
              </w:rPr>
              <w:t xml:space="preserve"> plantes sont semées dans du sol infesté ou contamination du sol après les semis lorsque les plantules se trouvent au stade du cotylédon</w:t>
            </w:r>
          </w:p>
          <w:p w:rsidR="00DB3E5A" w:rsidRPr="00BE766E" w:rsidRDefault="00945030" w:rsidP="00945030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  <w:r w:rsidRPr="00BE766E">
              <w:rPr>
                <w:highlight w:val="lightGray"/>
                <w:u w:val="single"/>
              </w:rPr>
              <w:t>des semences sont semées dans du sol non inoculé et l</w:t>
            </w:r>
            <w:r w:rsidR="003E471F" w:rsidRPr="00BE766E">
              <w:rPr>
                <w:highlight w:val="lightGray"/>
                <w:u w:val="single"/>
              </w:rPr>
              <w:t>’</w:t>
            </w:r>
            <w:r w:rsidRPr="00BE766E">
              <w:rPr>
                <w:highlight w:val="lightGray"/>
                <w:u w:val="single"/>
              </w:rPr>
              <w:t>inoculation du sol a lieu après les semis lorsque les plantules se trouvent au stade du cotylédon.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10.7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Fin de l</w:t>
            </w:r>
            <w:r w:rsidR="003E471F" w:rsidRPr="00BE766E">
              <w:t>’</w:t>
            </w:r>
            <w:r w:rsidRPr="00BE766E">
              <w:t>essai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28 à 45</w:t>
            </w:r>
            <w:r w:rsidR="008F1DD9">
              <w:t> </w:t>
            </w:r>
            <w:r w:rsidRPr="00BE766E">
              <w:t>jours après l</w:t>
            </w:r>
            <w:r w:rsidR="003E471F" w:rsidRPr="00BE766E">
              <w:t>’</w:t>
            </w:r>
            <w:r w:rsidRPr="00BE766E">
              <w:t xml:space="preserve">inoculation </w:t>
            </w:r>
            <w:r w:rsidRPr="00BE766E">
              <w:rPr>
                <w:highlight w:val="lightGray"/>
                <w:u w:val="single"/>
              </w:rPr>
              <w:t>en fonction des conditions de l</w:t>
            </w:r>
            <w:r w:rsidR="003E471F" w:rsidRPr="00BE766E">
              <w:rPr>
                <w:highlight w:val="lightGray"/>
                <w:u w:val="single"/>
              </w:rPr>
              <w:t>’</w:t>
            </w:r>
            <w:r w:rsidRPr="00BE766E">
              <w:rPr>
                <w:highlight w:val="lightGray"/>
                <w:u w:val="single"/>
              </w:rPr>
              <w:t>essai (température, saison)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11.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Observations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11.1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Méthode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 xml:space="preserve">inspection des racines </w:t>
            </w:r>
            <w:r w:rsidRPr="00BE766E">
              <w:rPr>
                <w:highlight w:val="lightGray"/>
                <w:u w:val="single"/>
              </w:rPr>
              <w:t>par plante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11.2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Échelle d</w:t>
            </w:r>
            <w:r w:rsidR="003E471F" w:rsidRPr="00BE766E">
              <w:t>’</w:t>
            </w:r>
            <w:r w:rsidRPr="00BE766E">
              <w:t>observation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DB3E5A" w:rsidRPr="00BE766E" w:rsidTr="00CF2112">
        <w:tc>
          <w:tcPr>
            <w:tcW w:w="9855" w:type="dxa"/>
            <w:gridSpan w:val="3"/>
            <w:vAlign w:val="center"/>
          </w:tcPr>
          <w:p w:rsidR="00DB3E5A" w:rsidRPr="00BE766E" w:rsidRDefault="00DB3E5A" w:rsidP="00CF2112">
            <w:pPr>
              <w:tabs>
                <w:tab w:val="left" w:leader="dot" w:pos="3402"/>
              </w:tabs>
              <w:jc w:val="center"/>
              <w:rPr>
                <w:rFonts w:cs="Arial"/>
                <w:noProof/>
                <w:color w:val="00000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668"/>
              <w:gridCol w:w="1968"/>
              <w:gridCol w:w="1974"/>
              <w:gridCol w:w="1721"/>
              <w:gridCol w:w="2524"/>
            </w:tblGrid>
            <w:tr w:rsidR="008912AC" w:rsidRPr="00CE13AB" w:rsidTr="00D97438">
              <w:tc>
                <w:tcPr>
                  <w:tcW w:w="1668" w:type="dxa"/>
                  <w:tcMar>
                    <w:left w:w="57" w:type="dxa"/>
                    <w:right w:w="57" w:type="dxa"/>
                  </w:tcMar>
                </w:tcPr>
                <w:p w:rsidR="008912AC" w:rsidRPr="00CE13AB" w:rsidRDefault="008912AC" w:rsidP="008912AC">
                  <w:pPr>
                    <w:tabs>
                      <w:tab w:val="left" w:leader="dot" w:pos="3402"/>
                    </w:tabs>
                    <w:jc w:val="center"/>
                    <w:rPr>
                      <w:rFonts w:cs="Arial"/>
                      <w:color w:val="0A0A0A"/>
                    </w:rPr>
                  </w:pPr>
                  <w:r w:rsidRPr="00CE13AB">
                    <w:rPr>
                      <w:rFonts w:cs="Arial"/>
                      <w:color w:val="0A0A0A"/>
                    </w:rPr>
                    <w:t>Classe 0 : plante saine, aucune galle</w:t>
                  </w:r>
                </w:p>
                <w:p w:rsidR="008912AC" w:rsidRPr="00CE13AB" w:rsidRDefault="008912AC" w:rsidP="008912AC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968" w:type="dxa"/>
                  <w:tcMar>
                    <w:left w:w="57" w:type="dxa"/>
                    <w:right w:w="57" w:type="dxa"/>
                  </w:tcMar>
                </w:tcPr>
                <w:p w:rsidR="008912AC" w:rsidRPr="00CE13AB" w:rsidRDefault="008912AC" w:rsidP="008912AC">
                  <w:pPr>
                    <w:jc w:val="center"/>
                    <w:rPr>
                      <w:rFonts w:cs="Arial"/>
                      <w:lang w:val="fr-CH"/>
                    </w:rPr>
                  </w:pPr>
                  <w:r w:rsidRPr="00CE13AB">
                    <w:rPr>
                      <w:rFonts w:cs="Arial"/>
                      <w:color w:val="0A0A0A"/>
                      <w:lang w:val="fr-CH"/>
                    </w:rPr>
                    <w:t>Classe 1 : quelques petites galles, difficiles à repérer (par exemple, moins</w:t>
                  </w:r>
                  <w:r>
                    <w:rPr>
                      <w:rFonts w:cs="Arial"/>
                      <w:color w:val="0A0A0A"/>
                      <w:lang w:val="fr-CH"/>
                    </w:rPr>
                    <w:t> </w:t>
                  </w:r>
                  <w:r w:rsidRPr="00CE13AB">
                    <w:rPr>
                      <w:rFonts w:cs="Arial"/>
                      <w:color w:val="0A0A0A"/>
                      <w:lang w:val="fr-CH"/>
                    </w:rPr>
                    <w:t>de 5)</w:t>
                  </w:r>
                </w:p>
              </w:tc>
              <w:tc>
                <w:tcPr>
                  <w:tcW w:w="1974" w:type="dxa"/>
                  <w:tcMar>
                    <w:left w:w="57" w:type="dxa"/>
                    <w:right w:w="57" w:type="dxa"/>
                  </w:tcMar>
                </w:tcPr>
                <w:p w:rsidR="008912AC" w:rsidRPr="00CE13AB" w:rsidRDefault="008912AC" w:rsidP="008912AC">
                  <w:pPr>
                    <w:tabs>
                      <w:tab w:val="left" w:leader="dot" w:pos="3402"/>
                    </w:tabs>
                    <w:jc w:val="center"/>
                    <w:rPr>
                      <w:rFonts w:cs="Arial"/>
                      <w:lang w:val="fr-CH"/>
                    </w:rPr>
                  </w:pPr>
                  <w:r w:rsidRPr="00CE13AB">
                    <w:rPr>
                      <w:rFonts w:cs="Arial"/>
                      <w:color w:val="0A0A0A"/>
                      <w:lang w:val="fr-CH"/>
                    </w:rPr>
                    <w:t>Classe 2 :</w:t>
                  </w:r>
                  <w:r w:rsidRPr="00CE13AB">
                    <w:rPr>
                      <w:rFonts w:cs="Arial"/>
                      <w:color w:val="0A0A0A"/>
                      <w:spacing w:val="-31"/>
                      <w:lang w:val="fr-CH"/>
                    </w:rPr>
                    <w:t xml:space="preserve"> </w:t>
                  </w:r>
                  <w:r w:rsidRPr="00CE13AB">
                    <w:rPr>
                      <w:rFonts w:cs="Arial"/>
                      <w:color w:val="0A0A0A"/>
                      <w:lang w:val="fr-CH"/>
                    </w:rPr>
                    <w:t>quelques galles, faciles à observer mais présentes sur quelques racines, de nombreuses racines restant indemnes de galles</w:t>
                  </w:r>
                </w:p>
              </w:tc>
              <w:tc>
                <w:tcPr>
                  <w:tcW w:w="1721" w:type="dxa"/>
                  <w:tcMar>
                    <w:left w:w="57" w:type="dxa"/>
                    <w:right w:w="57" w:type="dxa"/>
                  </w:tcMar>
                </w:tcPr>
                <w:p w:rsidR="008912AC" w:rsidRPr="00CE13AB" w:rsidRDefault="008912AC" w:rsidP="008912AC">
                  <w:pPr>
                    <w:tabs>
                      <w:tab w:val="left" w:leader="dot" w:pos="3402"/>
                    </w:tabs>
                    <w:jc w:val="center"/>
                    <w:rPr>
                      <w:rFonts w:cs="Arial"/>
                      <w:color w:val="0A0A0A"/>
                      <w:lang w:val="fr-CH"/>
                    </w:rPr>
                  </w:pPr>
                  <w:r w:rsidRPr="00CE13AB">
                    <w:rPr>
                      <w:rFonts w:cs="Arial"/>
                      <w:color w:val="0A0A0A"/>
                      <w:lang w:val="fr-CH"/>
                    </w:rPr>
                    <w:t>Classe 3 : de nombreuses galles individuelles sur la plupart mais pas la totalité des racines</w:t>
                  </w:r>
                </w:p>
                <w:p w:rsidR="008912AC" w:rsidRPr="00CE13AB" w:rsidRDefault="008912AC" w:rsidP="008912AC">
                  <w:pPr>
                    <w:jc w:val="center"/>
                    <w:rPr>
                      <w:rFonts w:cs="Arial"/>
                      <w:lang w:val="fr-CH"/>
                    </w:rPr>
                  </w:pPr>
                </w:p>
              </w:tc>
              <w:tc>
                <w:tcPr>
                  <w:tcW w:w="2533" w:type="dxa"/>
                  <w:tcMar>
                    <w:left w:w="57" w:type="dxa"/>
                    <w:right w:w="57" w:type="dxa"/>
                  </w:tcMar>
                </w:tcPr>
                <w:p w:rsidR="008912AC" w:rsidRPr="00CE13AB" w:rsidRDefault="008912AC" w:rsidP="008912AC">
                  <w:pPr>
                    <w:tabs>
                      <w:tab w:val="left" w:leader="dot" w:pos="3402"/>
                    </w:tabs>
                    <w:jc w:val="center"/>
                    <w:rPr>
                      <w:rFonts w:cs="Arial"/>
                      <w:lang w:val="fr-CH"/>
                    </w:rPr>
                  </w:pPr>
                  <w:r w:rsidRPr="00CE13AB">
                    <w:rPr>
                      <w:rFonts w:cs="Arial"/>
                      <w:color w:val="0A0A0A"/>
                      <w:lang w:val="fr-CH"/>
                    </w:rPr>
                    <w:t>Classe 4 : de nombreuses galles sur toutes les racines, parfois en chaînes, peuvent entraîner la mort des plantes ou empêcher l’émergence</w:t>
                  </w:r>
                </w:p>
                <w:p w:rsidR="008912AC" w:rsidRPr="00CE13AB" w:rsidRDefault="008912AC" w:rsidP="008912AC">
                  <w:pPr>
                    <w:jc w:val="center"/>
                    <w:rPr>
                      <w:rFonts w:cs="Arial"/>
                      <w:lang w:val="fr-CH"/>
                    </w:rPr>
                  </w:pPr>
                </w:p>
              </w:tc>
            </w:tr>
            <w:tr w:rsidR="008912AC" w:rsidTr="00D97438">
              <w:trPr>
                <w:trHeight w:val="506"/>
              </w:trPr>
              <w:tc>
                <w:tcPr>
                  <w:tcW w:w="9864" w:type="dxa"/>
                  <w:gridSpan w:val="5"/>
                </w:tcPr>
                <w:p w:rsidR="008912AC" w:rsidRPr="00BE766E" w:rsidRDefault="008912AC" w:rsidP="008912AC">
                  <w:pPr>
                    <w:rPr>
                      <w:noProof/>
                      <w:color w:val="000000"/>
                    </w:rPr>
                  </w:pPr>
                  <w:r w:rsidRPr="00BE766E">
                    <w:rPr>
                      <w:noProof/>
                      <w:color w:val="000000"/>
                    </w:rPr>
                    <w:drawing>
                      <wp:inline distT="0" distB="0" distL="0" distR="0" wp14:anchorId="387A6AF3" wp14:editId="4B65B7A8">
                        <wp:extent cx="6120765" cy="1795041"/>
                        <wp:effectExtent l="0" t="0" r="0" b="0"/>
                        <wp:docPr id="2" name="Afbeelding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5"/>
                                <a:srcRect t="304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120765" cy="1795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41F0" w:rsidTr="00D97438">
              <w:trPr>
                <w:trHeight w:val="506"/>
              </w:trPr>
              <w:tc>
                <w:tcPr>
                  <w:tcW w:w="9864" w:type="dxa"/>
                  <w:gridSpan w:val="5"/>
                </w:tcPr>
                <w:p w:rsidR="008C41F0" w:rsidRPr="00BE766E" w:rsidRDefault="008C41F0" w:rsidP="008912AC">
                  <w:pPr>
                    <w:rPr>
                      <w:noProof/>
                      <w:color w:val="000000"/>
                    </w:rPr>
                  </w:pPr>
                  <w:bookmarkStart w:id="3" w:name="_GoBack"/>
                  <w:bookmarkEnd w:id="3"/>
                </w:p>
              </w:tc>
            </w:tr>
          </w:tbl>
          <w:p w:rsidR="008912AC" w:rsidRPr="00BE766E" w:rsidRDefault="008912AC" w:rsidP="008912AC">
            <w:pPr>
              <w:tabs>
                <w:tab w:val="left" w:leader="dot" w:pos="3402"/>
              </w:tabs>
              <w:rPr>
                <w:rFonts w:cs="Arial"/>
                <w:u w:val="single"/>
              </w:rPr>
            </w:pP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1F6E1F">
            <w:pPr>
              <w:keepNext/>
              <w:keepLines/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11.3</w:t>
            </w:r>
          </w:p>
        </w:tc>
        <w:tc>
          <w:tcPr>
            <w:tcW w:w="3450" w:type="dxa"/>
          </w:tcPr>
          <w:p w:rsidR="00DB3E5A" w:rsidRPr="00BE766E" w:rsidRDefault="00DB3E5A" w:rsidP="001F6E1F">
            <w:pPr>
              <w:keepNext/>
              <w:keepLines/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Validation de l</w:t>
            </w:r>
            <w:r w:rsidR="003E471F" w:rsidRPr="00BE766E">
              <w:t>’</w:t>
            </w:r>
            <w:r w:rsidRPr="00BE766E">
              <w:t>essai</w:t>
            </w:r>
          </w:p>
        </w:tc>
        <w:tc>
          <w:tcPr>
            <w:tcW w:w="5413" w:type="dxa"/>
          </w:tcPr>
          <w:p w:rsidR="00DB3E5A" w:rsidRPr="00BE766E" w:rsidRDefault="00DB3E5A" w:rsidP="001F6E1F">
            <w:pPr>
              <w:keepNext/>
              <w:keepLines/>
              <w:rPr>
                <w:rFonts w:cs="Arial"/>
                <w:strike/>
              </w:rPr>
            </w:pPr>
            <w:proofErr w:type="gramStart"/>
            <w:r w:rsidRPr="00BE766E">
              <w:rPr>
                <w:strike/>
                <w:highlight w:val="lightGray"/>
              </w:rPr>
              <w:t>l</w:t>
            </w:r>
            <w:r w:rsidR="003E471F" w:rsidRPr="00BE766E">
              <w:rPr>
                <w:strike/>
                <w:highlight w:val="lightGray"/>
              </w:rPr>
              <w:t>’</w:t>
            </w:r>
            <w:r w:rsidRPr="00BE766E">
              <w:rPr>
                <w:strike/>
                <w:highlight w:val="lightGray"/>
              </w:rPr>
              <w:t>évaluation</w:t>
            </w:r>
            <w:proofErr w:type="gramEnd"/>
            <w:r w:rsidRPr="00BE766E">
              <w:rPr>
                <w:strike/>
                <w:highlight w:val="lightGray"/>
              </w:rPr>
              <w:t xml:space="preserve"> de la résistance des variétés doit être calibrée avec les résultats des contrôles de résistance et de sensibilité sur les normes</w:t>
            </w:r>
          </w:p>
          <w:p w:rsidR="00DB3E5A" w:rsidRPr="00BE766E" w:rsidRDefault="00DB3E5A" w:rsidP="001F6E1F">
            <w:pPr>
              <w:keepNext/>
              <w:keepLines/>
              <w:rPr>
                <w:rFonts w:cs="Arial"/>
                <w:highlight w:val="lightGray"/>
                <w:u w:val="single"/>
              </w:rPr>
            </w:pPr>
            <w:r w:rsidRPr="00BE766E">
              <w:rPr>
                <w:highlight w:val="lightGray"/>
                <w:u w:val="single"/>
              </w:rPr>
              <w:t>Validation des contrôl</w:t>
            </w:r>
            <w:r w:rsidR="00BE766E" w:rsidRPr="00BE766E">
              <w:rPr>
                <w:highlight w:val="lightGray"/>
                <w:u w:val="single"/>
              </w:rPr>
              <w:t>es.  Ré</w:t>
            </w:r>
            <w:r w:rsidRPr="00BE766E">
              <w:rPr>
                <w:highlight w:val="lightGray"/>
                <w:u w:val="single"/>
              </w:rPr>
              <w:t>actions attendues des variétés témoins</w:t>
            </w:r>
            <w:r w:rsidR="003E471F" w:rsidRPr="00BE766E">
              <w:rPr>
                <w:highlight w:val="lightGray"/>
                <w:u w:val="single"/>
              </w:rPr>
              <w:t> :</w:t>
            </w:r>
          </w:p>
          <w:p w:rsidR="00DB3E5A" w:rsidRPr="00BE766E" w:rsidRDefault="00DB3E5A" w:rsidP="001F6E1F">
            <w:pPr>
              <w:keepNext/>
              <w:keepLines/>
              <w:rPr>
                <w:rFonts w:cs="Arial"/>
                <w:highlight w:val="lightGray"/>
                <w:u w:val="single"/>
              </w:rPr>
            </w:pPr>
            <w:r w:rsidRPr="00BE766E">
              <w:rPr>
                <w:highlight w:val="lightGray"/>
                <w:u w:val="single"/>
              </w:rPr>
              <w:t>Variété témoin sensible</w:t>
            </w:r>
            <w:r w:rsidR="003E471F" w:rsidRPr="00BE766E">
              <w:rPr>
                <w:highlight w:val="lightGray"/>
                <w:u w:val="single"/>
              </w:rPr>
              <w:t> :</w:t>
            </w:r>
            <w:r w:rsidRPr="00BE766E">
              <w:rPr>
                <w:highlight w:val="lightGray"/>
                <w:u w:val="single"/>
              </w:rPr>
              <w:t xml:space="preserve"> la plupart des plantes dans les </w:t>
            </w:r>
            <w:r w:rsidR="003E471F" w:rsidRPr="00BE766E">
              <w:rPr>
                <w:highlight w:val="lightGray"/>
                <w:u w:val="single"/>
              </w:rPr>
              <w:t>classes 3</w:t>
            </w:r>
            <w:r w:rsidRPr="00BE766E">
              <w:rPr>
                <w:highlight w:val="lightGray"/>
                <w:u w:val="single"/>
              </w:rPr>
              <w:t xml:space="preserve"> et 4.</w:t>
            </w:r>
          </w:p>
          <w:p w:rsidR="00DB3E5A" w:rsidRPr="00BE766E" w:rsidRDefault="00DB3E5A" w:rsidP="001F6E1F">
            <w:pPr>
              <w:keepNext/>
              <w:keepLines/>
              <w:rPr>
                <w:rFonts w:cs="Arial"/>
                <w:highlight w:val="lightGray"/>
                <w:u w:val="single"/>
              </w:rPr>
            </w:pPr>
            <w:r w:rsidRPr="00BE766E">
              <w:rPr>
                <w:highlight w:val="lightGray"/>
                <w:u w:val="single"/>
              </w:rPr>
              <w:t>Hautement résistante</w:t>
            </w:r>
            <w:r w:rsidR="003E471F" w:rsidRPr="00BE766E">
              <w:rPr>
                <w:highlight w:val="lightGray"/>
                <w:u w:val="single"/>
              </w:rPr>
              <w:t> :</w:t>
            </w:r>
            <w:r w:rsidRPr="00BE766E">
              <w:rPr>
                <w:highlight w:val="lightGray"/>
                <w:u w:val="single"/>
              </w:rPr>
              <w:t xml:space="preserve"> la plupart des plantes dans les </w:t>
            </w:r>
            <w:r w:rsidR="003E471F" w:rsidRPr="00BE766E">
              <w:rPr>
                <w:highlight w:val="lightGray"/>
                <w:u w:val="single"/>
              </w:rPr>
              <w:t>classes 0</w:t>
            </w:r>
            <w:r w:rsidRPr="00BE766E">
              <w:rPr>
                <w:highlight w:val="lightGray"/>
                <w:u w:val="single"/>
              </w:rPr>
              <w:t xml:space="preserve"> et 1.</w:t>
            </w:r>
          </w:p>
          <w:p w:rsidR="00DB3E5A" w:rsidRPr="00BE766E" w:rsidRDefault="00DB3E5A" w:rsidP="001F6E1F">
            <w:pPr>
              <w:keepNext/>
              <w:keepLines/>
              <w:rPr>
                <w:rFonts w:cs="Arial"/>
              </w:rPr>
            </w:pPr>
            <w:r w:rsidRPr="00BE766E">
              <w:rPr>
                <w:highlight w:val="lightGray"/>
                <w:u w:val="single"/>
              </w:rPr>
              <w:t>Résistante à un niveau intermédiaire</w:t>
            </w:r>
            <w:r w:rsidR="003E471F" w:rsidRPr="00BE766E">
              <w:rPr>
                <w:highlight w:val="lightGray"/>
                <w:u w:val="single"/>
              </w:rPr>
              <w:t> :</w:t>
            </w:r>
            <w:r w:rsidRPr="00BE766E">
              <w:rPr>
                <w:highlight w:val="lightGray"/>
                <w:u w:val="single"/>
              </w:rPr>
              <w:t xml:space="preserve"> clairement différente des autres variétés témoins avec une majorité de plantes autour de la </w:t>
            </w:r>
            <w:r w:rsidR="003E471F" w:rsidRPr="00BE766E">
              <w:rPr>
                <w:highlight w:val="lightGray"/>
                <w:u w:val="single"/>
              </w:rPr>
              <w:t>classe 2</w:t>
            </w:r>
            <w:r w:rsidRPr="00BE766E">
              <w:rPr>
                <w:highlight w:val="lightGray"/>
                <w:u w:val="single"/>
              </w:rPr>
              <w:t>.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  <w:r w:rsidRPr="00BE766E">
              <w:rPr>
                <w:highlight w:val="lightGray"/>
                <w:u w:val="single"/>
              </w:rPr>
              <w:t>11.4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  <w:r w:rsidRPr="00BE766E">
              <w:rPr>
                <w:highlight w:val="lightGray"/>
                <w:u w:val="single"/>
              </w:rPr>
              <w:t>Hors</w:t>
            </w:r>
            <w:r w:rsidR="003E471F" w:rsidRPr="00BE766E">
              <w:rPr>
                <w:highlight w:val="lightGray"/>
                <w:u w:val="single"/>
              </w:rPr>
              <w:t>-</w:t>
            </w:r>
            <w:r w:rsidRPr="00BE766E">
              <w:rPr>
                <w:highlight w:val="lightGray"/>
                <w:u w:val="single"/>
              </w:rPr>
              <w:t>types</w:t>
            </w:r>
          </w:p>
        </w:tc>
        <w:tc>
          <w:tcPr>
            <w:tcW w:w="5413" w:type="dxa"/>
          </w:tcPr>
          <w:p w:rsidR="00DB3E5A" w:rsidRPr="00BE766E" w:rsidRDefault="00DB3E5A" w:rsidP="00C67DA5">
            <w:pPr>
              <w:rPr>
                <w:rFonts w:cs="Arial"/>
                <w:highlight w:val="lightGray"/>
                <w:u w:val="single"/>
              </w:rPr>
            </w:pPr>
            <w:r w:rsidRPr="00BE766E">
              <w:rPr>
                <w:highlight w:val="lightGray"/>
                <w:u w:val="single"/>
              </w:rPr>
              <w:t>les variétés résistantes peuvent avoir quelques plantes avec quelques galles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12.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 xml:space="preserve">Interprétation des </w:t>
            </w:r>
            <w:r w:rsidRPr="00BE766E">
              <w:rPr>
                <w:strike/>
                <w:highlight w:val="lightGray"/>
              </w:rPr>
              <w:t xml:space="preserve">résultats du test en comparaison avec les variétés </w:t>
            </w:r>
            <w:proofErr w:type="spellStart"/>
            <w:r w:rsidRPr="00BE766E">
              <w:rPr>
                <w:strike/>
                <w:highlight w:val="lightGray"/>
              </w:rPr>
              <w:t>témoins</w:t>
            </w:r>
            <w:r w:rsidRPr="00BE766E">
              <w:rPr>
                <w:highlight w:val="lightGray"/>
                <w:u w:val="single"/>
              </w:rPr>
              <w:t>données</w:t>
            </w:r>
            <w:proofErr w:type="spellEnd"/>
            <w:r w:rsidRPr="00BE766E">
              <w:rPr>
                <w:highlight w:val="lightGray"/>
                <w:u w:val="single"/>
              </w:rPr>
              <w:t xml:space="preserve"> en termes de niveaux d</w:t>
            </w:r>
            <w:r w:rsidR="003E471F" w:rsidRPr="00BE766E">
              <w:rPr>
                <w:highlight w:val="lightGray"/>
                <w:u w:val="single"/>
              </w:rPr>
              <w:t>’</w:t>
            </w:r>
            <w:r w:rsidRPr="00BE766E">
              <w:rPr>
                <w:highlight w:val="lightGray"/>
                <w:u w:val="single"/>
              </w:rPr>
              <w:t>expression des caractères UPOV</w:t>
            </w:r>
          </w:p>
        </w:tc>
        <w:tc>
          <w:tcPr>
            <w:tcW w:w="5413" w:type="dxa"/>
          </w:tcPr>
          <w:p w:rsidR="003E471F" w:rsidRPr="00BE766E" w:rsidRDefault="00945030" w:rsidP="00C67DA5">
            <w:pPr>
              <w:rPr>
                <w:highlight w:val="lightGray"/>
                <w:u w:val="single"/>
              </w:rPr>
            </w:pPr>
            <w:r w:rsidRPr="00BE766E">
              <w:rPr>
                <w:highlight w:val="lightGray"/>
                <w:u w:val="single"/>
              </w:rPr>
              <w:t>[1] Sensible</w:t>
            </w:r>
            <w:r w:rsidR="003E471F" w:rsidRPr="00BE766E">
              <w:rPr>
                <w:highlight w:val="lightGray"/>
                <w:u w:val="single"/>
              </w:rPr>
              <w:t> :</w:t>
            </w:r>
            <w:r w:rsidRPr="00BE766E">
              <w:rPr>
                <w:highlight w:val="lightGray"/>
                <w:u w:val="single"/>
              </w:rPr>
              <w:t xml:space="preserve"> variété très proche de la variété témoin sensible</w:t>
            </w:r>
          </w:p>
          <w:p w:rsidR="003E471F" w:rsidRPr="00BE766E" w:rsidRDefault="00945030" w:rsidP="00C67DA5">
            <w:pPr>
              <w:rPr>
                <w:highlight w:val="lightGray"/>
                <w:u w:val="single"/>
              </w:rPr>
            </w:pPr>
            <w:r w:rsidRPr="00BE766E">
              <w:rPr>
                <w:highlight w:val="lightGray"/>
                <w:u w:val="single"/>
              </w:rPr>
              <w:t>[2] Résistante à un niveau intermédiaire</w:t>
            </w:r>
            <w:r w:rsidR="003E471F" w:rsidRPr="00BE766E">
              <w:rPr>
                <w:highlight w:val="lightGray"/>
                <w:u w:val="single"/>
              </w:rPr>
              <w:t> :</w:t>
            </w:r>
            <w:r w:rsidRPr="00BE766E">
              <w:rPr>
                <w:highlight w:val="lightGray"/>
                <w:u w:val="single"/>
              </w:rPr>
              <w:t xml:space="preserve"> variété très proche de la variété témoin résistante à un niveau intermédiaire</w:t>
            </w:r>
          </w:p>
          <w:p w:rsidR="003E471F" w:rsidRPr="00BE766E" w:rsidRDefault="00945030" w:rsidP="00C67DA5">
            <w:pPr>
              <w:rPr>
                <w:highlight w:val="lightGray"/>
                <w:u w:val="single"/>
              </w:rPr>
            </w:pPr>
            <w:r w:rsidRPr="00BE766E">
              <w:rPr>
                <w:highlight w:val="lightGray"/>
                <w:u w:val="single"/>
              </w:rPr>
              <w:t>[3] Hautement résistante</w:t>
            </w:r>
            <w:r w:rsidR="003E471F" w:rsidRPr="00BE766E">
              <w:rPr>
                <w:highlight w:val="lightGray"/>
                <w:u w:val="single"/>
              </w:rPr>
              <w:t> :</w:t>
            </w:r>
            <w:r w:rsidRPr="00BE766E">
              <w:rPr>
                <w:highlight w:val="lightGray"/>
                <w:u w:val="single"/>
              </w:rPr>
              <w:t xml:space="preserve"> variété très proche de la variété témoin hautement résistante</w:t>
            </w:r>
          </w:p>
          <w:p w:rsidR="00945030" w:rsidRPr="00BE766E" w:rsidRDefault="00945030" w:rsidP="00C67DA5">
            <w:pPr>
              <w:rPr>
                <w:rFonts w:cs="Arial"/>
                <w:highlight w:val="lightGray"/>
                <w:u w:val="single"/>
              </w:rPr>
            </w:pPr>
          </w:p>
          <w:p w:rsidR="00945030" w:rsidRPr="00BE766E" w:rsidRDefault="00945030" w:rsidP="00C67DA5">
            <w:pPr>
              <w:rPr>
                <w:rFonts w:cs="Arial"/>
                <w:highlight w:val="lightGray"/>
                <w:u w:val="single"/>
              </w:rPr>
            </w:pPr>
            <w:r w:rsidRPr="00BE766E">
              <w:rPr>
                <w:highlight w:val="lightGray"/>
                <w:u w:val="single"/>
              </w:rPr>
              <w:t>Si les résultats ne sont pas clairs, une analyse statistique est conseillée.</w:t>
            </w:r>
          </w:p>
          <w:p w:rsidR="00945030" w:rsidRPr="00BE766E" w:rsidRDefault="00945030" w:rsidP="00C67DA5">
            <w:pPr>
              <w:rPr>
                <w:rFonts w:cs="Arial"/>
                <w:highlight w:val="lightGray"/>
                <w:u w:val="single"/>
              </w:rPr>
            </w:pPr>
          </w:p>
          <w:p w:rsidR="00DB3E5A" w:rsidRPr="00BE766E" w:rsidRDefault="00945030" w:rsidP="00C67DA5">
            <w:pPr>
              <w:rPr>
                <w:rFonts w:cs="Arial"/>
              </w:rPr>
            </w:pPr>
            <w:r w:rsidRPr="00BE766E">
              <w:rPr>
                <w:highlight w:val="lightGray"/>
                <w:u w:val="single"/>
              </w:rPr>
              <w:t>Si très différente des variétés témoins, un nouvel essai est conseillé pour vérifier si le résultat est stable.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  <w:tc>
          <w:tcPr>
            <w:tcW w:w="8863" w:type="dxa"/>
            <w:gridSpan w:val="2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strike/>
                <w:highlight w:val="lightGray"/>
              </w:rPr>
            </w:pPr>
            <w:r w:rsidRPr="00BE766E">
              <w:rPr>
                <w:strike/>
                <w:highlight w:val="lightGray"/>
              </w:rPr>
              <w:t>Prendre en compte que les variétés résistantes peuvent avoir un petit nombre de plantes avec des gall</w:t>
            </w:r>
            <w:r w:rsidR="00BE766E" w:rsidRPr="00BE766E">
              <w:rPr>
                <w:strike/>
                <w:highlight w:val="lightGray"/>
              </w:rPr>
              <w:t>es.  El</w:t>
            </w:r>
            <w:r w:rsidRPr="00BE766E">
              <w:rPr>
                <w:strike/>
                <w:highlight w:val="lightGray"/>
              </w:rPr>
              <w:t>les ne sont pas considérées comme des hors</w:t>
            </w:r>
            <w:r w:rsidR="003E471F" w:rsidRPr="00BE766E">
              <w:rPr>
                <w:strike/>
                <w:highlight w:val="lightGray"/>
              </w:rPr>
              <w:t>-</w:t>
            </w:r>
            <w:r w:rsidRPr="00BE766E">
              <w:rPr>
                <w:strike/>
                <w:highlight w:val="lightGray"/>
              </w:rPr>
              <w:t>types.</w:t>
            </w:r>
          </w:p>
          <w:p w:rsidR="00DB3E5A" w:rsidRPr="00BE766E" w:rsidRDefault="00DB3E5A" w:rsidP="00C67DA5">
            <w:pPr>
              <w:keepNext/>
              <w:tabs>
                <w:tab w:val="left" w:pos="319"/>
                <w:tab w:val="left" w:leader="dot" w:pos="3296"/>
              </w:tabs>
              <w:rPr>
                <w:bCs/>
                <w:strike/>
                <w:highlight w:val="lightGray"/>
              </w:rPr>
            </w:pPr>
            <w:r w:rsidRPr="00BE766E">
              <w:rPr>
                <w:strike/>
                <w:highlight w:val="lightGray"/>
              </w:rPr>
              <w:tab/>
            </w:r>
            <w:proofErr w:type="gramStart"/>
            <w:r w:rsidRPr="00BE766E">
              <w:rPr>
                <w:strike/>
                <w:highlight w:val="lightGray"/>
              </w:rPr>
              <w:t>absente</w:t>
            </w:r>
            <w:proofErr w:type="gramEnd"/>
            <w:r w:rsidRPr="00BE766E">
              <w:rPr>
                <w:strike/>
                <w:highlight w:val="lightGray"/>
              </w:rPr>
              <w:t xml:space="preserve"> (sensible) </w:t>
            </w:r>
            <w:r w:rsidR="00C67DA5">
              <w:rPr>
                <w:strike/>
                <w:highlight w:val="lightGray"/>
              </w:rPr>
              <w:tab/>
            </w:r>
            <w:r w:rsidRPr="00BE766E">
              <w:rPr>
                <w:strike/>
                <w:highlight w:val="lightGray"/>
              </w:rPr>
              <w:t>[1] forte réduction de la croissance, nombre élevé de galles</w:t>
            </w:r>
          </w:p>
          <w:p w:rsidR="00DB3E5A" w:rsidRPr="00BE766E" w:rsidRDefault="00DB3E5A" w:rsidP="00C67DA5">
            <w:pPr>
              <w:tabs>
                <w:tab w:val="left" w:pos="287"/>
                <w:tab w:val="left" w:pos="3296"/>
              </w:tabs>
              <w:rPr>
                <w:bCs/>
                <w:strike/>
                <w:highlight w:val="lightGray"/>
              </w:rPr>
            </w:pPr>
            <w:r w:rsidRPr="00BE766E">
              <w:rPr>
                <w:strike/>
                <w:highlight w:val="lightGray"/>
              </w:rPr>
              <w:tab/>
              <w:t xml:space="preserve">intermédiaire </w:t>
            </w:r>
            <w:r w:rsidRPr="00BE766E">
              <w:rPr>
                <w:strike/>
                <w:highlight w:val="lightGray"/>
              </w:rPr>
              <w:br/>
            </w:r>
            <w:r w:rsidR="00C67DA5">
              <w:rPr>
                <w:strike/>
                <w:highlight w:val="lightGray"/>
              </w:rPr>
              <w:tab/>
            </w:r>
            <w:r w:rsidRPr="00BE766E">
              <w:rPr>
                <w:strike/>
                <w:highlight w:val="lightGray"/>
              </w:rPr>
              <w:t xml:space="preserve">(moyennement résistante) </w:t>
            </w:r>
            <w:r w:rsidR="00C67DA5" w:rsidRPr="00C67DA5">
              <w:rPr>
                <w:strike/>
                <w:highlight w:val="lightGray"/>
                <w:u w:val="dotted"/>
              </w:rPr>
              <w:tab/>
            </w:r>
            <w:r w:rsidRPr="00BE766E">
              <w:rPr>
                <w:strike/>
                <w:highlight w:val="lightGray"/>
              </w:rPr>
              <w:t>[2] réduction moyenne de la croissance, décompte des galles</w:t>
            </w:r>
          </w:p>
          <w:p w:rsidR="00DB3E5A" w:rsidRPr="00BE766E" w:rsidRDefault="00DB3E5A" w:rsidP="00C67DA5">
            <w:pPr>
              <w:tabs>
                <w:tab w:val="left" w:pos="319"/>
                <w:tab w:val="left" w:pos="3296"/>
              </w:tabs>
              <w:rPr>
                <w:rFonts w:cs="Arial"/>
                <w:highlight w:val="lightGray"/>
                <w:u w:val="single"/>
              </w:rPr>
            </w:pPr>
            <w:r w:rsidRPr="00BE766E">
              <w:rPr>
                <w:strike/>
                <w:highlight w:val="lightGray"/>
              </w:rPr>
              <w:tab/>
              <w:t>présente (hautement résistante)</w:t>
            </w:r>
            <w:r w:rsidRPr="00C67DA5">
              <w:rPr>
                <w:strike/>
                <w:highlight w:val="lightGray"/>
                <w:u w:val="dotted"/>
              </w:rPr>
              <w:t xml:space="preserve"> </w:t>
            </w:r>
            <w:r w:rsidR="00C67DA5" w:rsidRPr="00C67DA5">
              <w:rPr>
                <w:strike/>
                <w:highlight w:val="lightGray"/>
                <w:u w:val="dotted"/>
              </w:rPr>
              <w:tab/>
            </w:r>
            <w:r w:rsidRPr="00BE766E">
              <w:rPr>
                <w:strike/>
                <w:highlight w:val="lightGray"/>
              </w:rPr>
              <w:t>[3] aucune réduction de la croissance, aucune galle</w:t>
            </w:r>
          </w:p>
        </w:tc>
      </w:tr>
      <w:tr w:rsidR="00DB3E5A" w:rsidRPr="00BE766E" w:rsidTr="00CF2112">
        <w:tc>
          <w:tcPr>
            <w:tcW w:w="992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13.</w:t>
            </w:r>
          </w:p>
        </w:tc>
        <w:tc>
          <w:tcPr>
            <w:tcW w:w="3450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BE766E">
              <w:t>Points critiques de contrôle</w:t>
            </w:r>
          </w:p>
        </w:tc>
        <w:tc>
          <w:tcPr>
            <w:tcW w:w="5413" w:type="dxa"/>
          </w:tcPr>
          <w:p w:rsidR="00DB3E5A" w:rsidRPr="00BE766E" w:rsidRDefault="00DB3E5A" w:rsidP="00CF2112">
            <w:pPr>
              <w:tabs>
                <w:tab w:val="left" w:leader="dot" w:pos="3402"/>
              </w:tabs>
              <w:rPr>
                <w:strike/>
              </w:rPr>
            </w:pPr>
            <w:r w:rsidRPr="00BE766E">
              <w:rPr>
                <w:strike/>
                <w:highlight w:val="lightGray"/>
              </w:rPr>
              <w:t xml:space="preserve">Éviter le pourrissement des </w:t>
            </w:r>
            <w:proofErr w:type="gramStart"/>
            <w:r w:rsidRPr="00BE766E">
              <w:rPr>
                <w:strike/>
                <w:highlight w:val="lightGray"/>
              </w:rPr>
              <w:t xml:space="preserve">racines; </w:t>
            </w:r>
            <w:r w:rsidR="00E40BE7" w:rsidRPr="00BE766E">
              <w:rPr>
                <w:strike/>
                <w:highlight w:val="lightGray"/>
              </w:rPr>
              <w:t xml:space="preserve"> </w:t>
            </w:r>
            <w:r w:rsidRPr="00BE766E">
              <w:rPr>
                <w:strike/>
                <w:highlight w:val="lightGray"/>
              </w:rPr>
              <w:t>une</w:t>
            </w:r>
            <w:proofErr w:type="gramEnd"/>
            <w:r w:rsidRPr="00BE766E">
              <w:rPr>
                <w:strike/>
                <w:highlight w:val="lightGray"/>
              </w:rPr>
              <w:t xml:space="preserve"> température élevée cause une rupture de la résistance</w:t>
            </w:r>
          </w:p>
          <w:p w:rsidR="00DB3E5A" w:rsidRPr="00BE766E" w:rsidRDefault="00DB3E5A" w:rsidP="00CF2112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 w:rsidRPr="00BE766E">
              <w:rPr>
                <w:color w:val="000000"/>
                <w:highlight w:val="lightGray"/>
                <w:u w:val="single"/>
              </w:rPr>
              <w:t>Éviter de trop arros</w:t>
            </w:r>
            <w:r w:rsidR="00BE766E" w:rsidRPr="00BE766E">
              <w:rPr>
                <w:color w:val="000000"/>
                <w:highlight w:val="lightGray"/>
                <w:u w:val="single"/>
              </w:rPr>
              <w:t>er.  Ce</w:t>
            </w:r>
            <w:r w:rsidRPr="00BE766E">
              <w:rPr>
                <w:color w:val="000000"/>
                <w:highlight w:val="lightGray"/>
                <w:u w:val="single"/>
              </w:rPr>
              <w:t>la peut entraîner la pourriture des racines.</w:t>
            </w:r>
          </w:p>
          <w:p w:rsidR="00DB3E5A" w:rsidRPr="00BE766E" w:rsidRDefault="00DB3E5A" w:rsidP="00CF2112">
            <w:pPr>
              <w:spacing w:before="20" w:after="20"/>
              <w:rPr>
                <w:rFonts w:cs="Arial"/>
              </w:rPr>
            </w:pPr>
            <w:r w:rsidRPr="00BE766E">
              <w:rPr>
                <w:color w:val="000000"/>
                <w:highlight w:val="lightGray"/>
                <w:u w:val="single"/>
              </w:rPr>
              <w:t>En cas d</w:t>
            </w:r>
            <w:r w:rsidR="003E471F" w:rsidRPr="00BE766E">
              <w:rPr>
                <w:color w:val="000000"/>
                <w:highlight w:val="lightGray"/>
                <w:u w:val="single"/>
              </w:rPr>
              <w:t>’</w:t>
            </w:r>
            <w:r w:rsidRPr="00BE766E">
              <w:rPr>
                <w:color w:val="000000"/>
                <w:highlight w:val="lightGray"/>
                <w:u w:val="single"/>
              </w:rPr>
              <w:t>essai agressif, diminuer la quantité d</w:t>
            </w:r>
            <w:r w:rsidR="003E471F" w:rsidRPr="00BE766E">
              <w:rPr>
                <w:color w:val="000000"/>
                <w:highlight w:val="lightGray"/>
                <w:u w:val="single"/>
              </w:rPr>
              <w:t>’</w:t>
            </w:r>
            <w:r w:rsidRPr="00BE766E">
              <w:rPr>
                <w:color w:val="000000"/>
                <w:highlight w:val="lightGray"/>
                <w:u w:val="single"/>
              </w:rPr>
              <w:t>inoculum.</w:t>
            </w:r>
          </w:p>
        </w:tc>
      </w:tr>
    </w:tbl>
    <w:p w:rsidR="00DB3E5A" w:rsidRPr="00BE766E" w:rsidRDefault="00DB3E5A" w:rsidP="00DB3E5A">
      <w:pPr>
        <w:jc w:val="left"/>
      </w:pPr>
    </w:p>
    <w:p w:rsidR="00D273D3" w:rsidRPr="00BE766E" w:rsidRDefault="00D273D3" w:rsidP="00DB3E5A">
      <w:pPr>
        <w:jc w:val="left"/>
      </w:pPr>
    </w:p>
    <w:p w:rsidR="00D273D3" w:rsidRPr="00BE766E" w:rsidRDefault="00D273D3" w:rsidP="00DB3E5A">
      <w:pPr>
        <w:jc w:val="left"/>
      </w:pPr>
    </w:p>
    <w:p w:rsidR="00050E16" w:rsidRPr="00BE766E" w:rsidRDefault="00DB3E5A" w:rsidP="00B810CD">
      <w:pPr>
        <w:jc w:val="right"/>
      </w:pPr>
      <w:r w:rsidRPr="00BE766E">
        <w:t>[Fin de l</w:t>
      </w:r>
      <w:r w:rsidR="003E471F" w:rsidRPr="00BE766E">
        <w:t>’</w:t>
      </w:r>
      <w:r w:rsidRPr="00BE766E">
        <w:t>annexe et du document]</w:t>
      </w:r>
    </w:p>
    <w:sectPr w:rsidR="00050E16" w:rsidRPr="00BE766E" w:rsidSect="0004198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70" w:rsidRDefault="00380670" w:rsidP="006655D3">
      <w:r>
        <w:separator/>
      </w:r>
    </w:p>
    <w:p w:rsidR="00380670" w:rsidRDefault="00380670" w:rsidP="006655D3"/>
    <w:p w:rsidR="00380670" w:rsidRDefault="00380670" w:rsidP="006655D3"/>
  </w:endnote>
  <w:endnote w:type="continuationSeparator" w:id="0">
    <w:p w:rsidR="00380670" w:rsidRDefault="00380670" w:rsidP="006655D3">
      <w:r>
        <w:separator/>
      </w:r>
    </w:p>
    <w:p w:rsidR="00380670" w:rsidRPr="00294751" w:rsidRDefault="00380670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:rsidR="00380670" w:rsidRPr="00294751" w:rsidRDefault="00380670" w:rsidP="006655D3"/>
    <w:p w:rsidR="00380670" w:rsidRPr="00294751" w:rsidRDefault="00380670" w:rsidP="006655D3"/>
  </w:endnote>
  <w:endnote w:type="continuationNotice" w:id="1">
    <w:p w:rsidR="00380670" w:rsidRPr="00294751" w:rsidRDefault="00380670" w:rsidP="006655D3">
      <w:r w:rsidRPr="00294751">
        <w:t>[Suite de la note page suivante]</w:t>
      </w:r>
    </w:p>
    <w:p w:rsidR="00380670" w:rsidRPr="00294751" w:rsidRDefault="00380670" w:rsidP="006655D3"/>
    <w:p w:rsidR="00380670" w:rsidRPr="00294751" w:rsidRDefault="00380670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1F" w:rsidRDefault="001F6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1F" w:rsidRDefault="001F6E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1F" w:rsidRDefault="001F6E1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1F" w:rsidRDefault="003E471F" w:rsidP="003E471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1F" w:rsidRDefault="003E471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1F" w:rsidRDefault="003E4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70" w:rsidRDefault="00380670" w:rsidP="006655D3">
      <w:r>
        <w:separator/>
      </w:r>
    </w:p>
  </w:footnote>
  <w:footnote w:type="continuationSeparator" w:id="0">
    <w:p w:rsidR="00380670" w:rsidRDefault="00380670" w:rsidP="006655D3">
      <w:r>
        <w:separator/>
      </w:r>
    </w:p>
  </w:footnote>
  <w:footnote w:type="continuationNotice" w:id="1">
    <w:p w:rsidR="00380670" w:rsidRPr="00AB530F" w:rsidRDefault="00380670" w:rsidP="00AB530F">
      <w:pPr>
        <w:pStyle w:val="Footer"/>
      </w:pPr>
    </w:p>
  </w:footnote>
  <w:footnote w:id="2">
    <w:p w:rsidR="00DB3E5A" w:rsidRPr="00023498" w:rsidRDefault="00DB3E5A" w:rsidP="0058221B">
      <w:pPr>
        <w:pStyle w:val="FootnoteText"/>
        <w:tabs>
          <w:tab w:val="left" w:pos="567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 w:rsidR="0058221B">
        <w:tab/>
      </w:r>
      <w:r>
        <w:t>Tenue par voie électronique du 18 au 22 avril 2022.</w:t>
      </w:r>
    </w:p>
  </w:footnote>
  <w:footnote w:id="3">
    <w:p w:rsidR="00DB3E5A" w:rsidRPr="008912AC" w:rsidRDefault="00DB3E5A" w:rsidP="0058221B">
      <w:pPr>
        <w:pStyle w:val="FootnoteText"/>
        <w:tabs>
          <w:tab w:val="left" w:pos="567"/>
        </w:tabs>
        <w:ind w:left="0" w:firstLine="0"/>
        <w:rPr>
          <w:lang w:val="en-US"/>
        </w:rPr>
      </w:pPr>
      <w:r>
        <w:rPr>
          <w:rStyle w:val="FootnoteReference"/>
        </w:rPr>
        <w:footnoteRef/>
      </w:r>
      <w:r w:rsidRPr="008912AC">
        <w:rPr>
          <w:lang w:val="en-US"/>
        </w:rPr>
        <w:t xml:space="preserve"> </w:t>
      </w:r>
      <w:r w:rsidR="0058221B" w:rsidRPr="008912AC">
        <w:rPr>
          <w:lang w:val="en-US"/>
        </w:rPr>
        <w:tab/>
      </w:r>
      <w:r w:rsidRPr="008912AC">
        <w:rPr>
          <w:lang w:val="en-US"/>
        </w:rPr>
        <w:t xml:space="preserve">GEVES; </w:t>
      </w:r>
      <w:r w:rsidR="00E40BE7" w:rsidRPr="008912AC">
        <w:rPr>
          <w:lang w:val="en-US"/>
        </w:rPr>
        <w:t xml:space="preserve"> </w:t>
      </w:r>
      <w:hyperlink r:id="rId1" w:history="1">
        <w:r w:rsidRPr="008912AC">
          <w:rPr>
            <w:rStyle w:val="Hyperlink"/>
            <w:lang w:val="en-US"/>
          </w:rPr>
          <w:t>matref@geves.fr</w:t>
        </w:r>
      </w:hyperlink>
      <w:r w:rsidRPr="008912AC">
        <w:rPr>
          <w:lang w:val="en-US"/>
        </w:rPr>
        <w:t xml:space="preserve"> </w:t>
      </w:r>
    </w:p>
  </w:footnote>
  <w:footnote w:id="4">
    <w:p w:rsidR="00DB3E5A" w:rsidRPr="008912AC" w:rsidRDefault="00DB3E5A" w:rsidP="0058221B">
      <w:pPr>
        <w:pStyle w:val="FootnoteText"/>
        <w:tabs>
          <w:tab w:val="left" w:pos="567"/>
        </w:tabs>
        <w:ind w:left="0" w:firstLine="0"/>
        <w:rPr>
          <w:lang w:val="en-US"/>
        </w:rPr>
      </w:pPr>
      <w:r>
        <w:rPr>
          <w:rStyle w:val="FootnoteReference"/>
        </w:rPr>
        <w:footnoteRef/>
      </w:r>
      <w:r w:rsidRPr="008912AC">
        <w:rPr>
          <w:lang w:val="en-US"/>
        </w:rPr>
        <w:t xml:space="preserve"> </w:t>
      </w:r>
      <w:r w:rsidR="0058221B" w:rsidRPr="008912AC">
        <w:rPr>
          <w:lang w:val="en-US"/>
        </w:rPr>
        <w:tab/>
      </w:r>
      <w:r w:rsidRPr="008912AC">
        <w:rPr>
          <w:lang w:val="en-US"/>
        </w:rPr>
        <w:t xml:space="preserve">INIA; </w:t>
      </w:r>
      <w:r w:rsidR="00E40BE7" w:rsidRPr="008912AC">
        <w:rPr>
          <w:lang w:val="en-US"/>
        </w:rPr>
        <w:t xml:space="preserve"> </w:t>
      </w:r>
      <w:hyperlink r:id="rId2" w:history="1">
        <w:r w:rsidRPr="008912AC">
          <w:rPr>
            <w:rStyle w:val="Hyperlink"/>
            <w:lang w:val="en-US"/>
          </w:rPr>
          <w:t>resistencias@inia.es</w:t>
        </w:r>
      </w:hyperlink>
    </w:p>
  </w:footnote>
  <w:footnote w:id="5">
    <w:p w:rsidR="00DB3E5A" w:rsidRPr="003579AF" w:rsidRDefault="00DB3E5A" w:rsidP="0058221B">
      <w:pPr>
        <w:pStyle w:val="FootnoteText"/>
        <w:tabs>
          <w:tab w:val="left" w:pos="567"/>
        </w:tabs>
        <w:ind w:left="0" w:firstLine="0"/>
        <w:rPr>
          <w:rFonts w:ascii="Tahoma" w:hAnsi="Tahoma" w:cs="Tahoma"/>
        </w:rPr>
      </w:pPr>
      <w:r>
        <w:rPr>
          <w:rStyle w:val="FootnoteReference"/>
        </w:rPr>
        <w:footnoteRef/>
      </w:r>
      <w:r>
        <w:t xml:space="preserve"> </w:t>
      </w:r>
      <w:r w:rsidR="0058221B">
        <w:tab/>
      </w:r>
      <w:proofErr w:type="spellStart"/>
      <w:r>
        <w:t>Naktuinbouw</w:t>
      </w:r>
      <w:proofErr w:type="spellEnd"/>
      <w:r>
        <w:t xml:space="preserve">; </w:t>
      </w:r>
      <w:r w:rsidR="00E40BE7">
        <w:t xml:space="preserve"> </w:t>
      </w:r>
      <w:hyperlink r:id="rId3" w:history="1">
        <w:r>
          <w:rPr>
            <w:rStyle w:val="Hyperlink"/>
          </w:rPr>
          <w:t>resistentie@naktuinbouw.nl</w:t>
        </w:r>
      </w:hyperlink>
      <w:r>
        <w:rPr>
          <w:rFonts w:ascii="Tahoma" w:hAnsi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1F" w:rsidRPr="00C5280D" w:rsidRDefault="003E471F" w:rsidP="003E471F">
    <w:pPr>
      <w:pStyle w:val="Header"/>
      <w:rPr>
        <w:rStyle w:val="PageNumber"/>
      </w:rPr>
    </w:pPr>
    <w:r>
      <w:rPr>
        <w:rStyle w:val="PageNumber"/>
      </w:rPr>
      <w:t>TC/58/25</w:t>
    </w:r>
  </w:p>
  <w:p w:rsidR="003E471F" w:rsidRPr="00C5280D" w:rsidRDefault="003E471F" w:rsidP="003E471F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8C41F0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3E471F" w:rsidRPr="00C5280D" w:rsidRDefault="003E471F" w:rsidP="003E47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E5A" w:rsidRPr="00C5280D" w:rsidRDefault="00B810CD" w:rsidP="00EB048E">
    <w:pPr>
      <w:pStyle w:val="Header"/>
      <w:rPr>
        <w:rStyle w:val="PageNumber"/>
      </w:rPr>
    </w:pPr>
    <w:r>
      <w:rPr>
        <w:rStyle w:val="PageNumber"/>
      </w:rPr>
      <w:t>TC/58/25</w:t>
    </w:r>
  </w:p>
  <w:p w:rsidR="00DB3E5A" w:rsidRPr="00C5280D" w:rsidRDefault="00DB3E5A" w:rsidP="00EB048E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3E471F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DB3E5A" w:rsidRPr="00C5280D" w:rsidRDefault="00DB3E5A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E5A" w:rsidRPr="0004198B" w:rsidRDefault="00DB3E5A" w:rsidP="000419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1F" w:rsidRPr="00C5280D" w:rsidRDefault="003E471F" w:rsidP="003E471F">
    <w:pPr>
      <w:pStyle w:val="Header"/>
      <w:rPr>
        <w:rStyle w:val="PageNumber"/>
      </w:rPr>
    </w:pPr>
    <w:r>
      <w:rPr>
        <w:rStyle w:val="PageNumber"/>
      </w:rPr>
      <w:t>TC/58/25</w:t>
    </w:r>
  </w:p>
  <w:p w:rsidR="003E471F" w:rsidRPr="00C5280D" w:rsidRDefault="003E471F" w:rsidP="003E471F">
    <w:pPr>
      <w:pStyle w:val="Header"/>
    </w:pPr>
    <w:r>
      <w:t xml:space="preserve">Annexe, 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8C41F0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3E471F" w:rsidRPr="00C5280D" w:rsidRDefault="003E471F" w:rsidP="003E471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D0839" w:rsidP="00EB048E">
    <w:pPr>
      <w:pStyle w:val="Header"/>
      <w:rPr>
        <w:rStyle w:val="PageNumber"/>
      </w:rPr>
    </w:pPr>
    <w:r>
      <w:rPr>
        <w:rStyle w:val="PageNumber"/>
      </w:rPr>
      <w:t>TC/58/25</w:t>
    </w:r>
  </w:p>
  <w:p w:rsidR="0004198B" w:rsidRPr="00C5280D" w:rsidRDefault="00B810CD" w:rsidP="00EB048E">
    <w:pPr>
      <w:pStyle w:val="Header"/>
    </w:pPr>
    <w:r>
      <w:t xml:space="preserve">Annexe, page </w:t>
    </w:r>
    <w:r w:rsidR="0004198B" w:rsidRPr="00C5280D">
      <w:rPr>
        <w:rStyle w:val="PageNumber"/>
      </w:rPr>
      <w:fldChar w:fldCharType="begin"/>
    </w:r>
    <w:r w:rsidR="0004198B" w:rsidRPr="00C5280D">
      <w:rPr>
        <w:rStyle w:val="PageNumber"/>
      </w:rPr>
      <w:instrText xml:space="preserve"> PAGE </w:instrText>
    </w:r>
    <w:r w:rsidR="0004198B" w:rsidRPr="00C5280D">
      <w:rPr>
        <w:rStyle w:val="PageNumber"/>
      </w:rPr>
      <w:fldChar w:fldCharType="separate"/>
    </w:r>
    <w:r w:rsidR="008C41F0">
      <w:rPr>
        <w:rStyle w:val="PageNumber"/>
        <w:noProof/>
      </w:rPr>
      <w:t>3</w:t>
    </w:r>
    <w:r w:rsidR="0004198B" w:rsidRPr="00C5280D">
      <w:rPr>
        <w:rStyle w:val="PageNumber"/>
      </w:rPr>
      <w:fldChar w:fldCharType="end"/>
    </w:r>
  </w:p>
  <w:p w:rsidR="0004198B" w:rsidRPr="00C5280D" w:rsidRDefault="0004198B" w:rsidP="006655D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Default="00B810CD" w:rsidP="0004198B">
    <w:pPr>
      <w:pStyle w:val="Header"/>
    </w:pPr>
    <w:r>
      <w:t>TC/58/25</w:t>
    </w:r>
  </w:p>
  <w:p w:rsidR="00B810CD" w:rsidRDefault="00B810CD" w:rsidP="0004198B">
    <w:pPr>
      <w:pStyle w:val="Header"/>
      <w:rPr>
        <w:lang w:val="fr-CH"/>
      </w:rPr>
    </w:pPr>
  </w:p>
  <w:p w:rsidR="00B810CD" w:rsidRDefault="00B810CD" w:rsidP="0004198B">
    <w:pPr>
      <w:pStyle w:val="Header"/>
    </w:pPr>
    <w:r>
      <w:t>ANNEXE</w:t>
    </w:r>
  </w:p>
  <w:p w:rsidR="00B810CD" w:rsidRPr="00B810CD" w:rsidRDefault="00B810CD" w:rsidP="0004198B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70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A0E56"/>
    <w:rsid w:val="001C1525"/>
    <w:rsid w:val="001F6E1F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80670"/>
    <w:rsid w:val="003852E5"/>
    <w:rsid w:val="003A0835"/>
    <w:rsid w:val="003A0BAC"/>
    <w:rsid w:val="003A5AAF"/>
    <w:rsid w:val="003B700A"/>
    <w:rsid w:val="003C7FBE"/>
    <w:rsid w:val="003D0839"/>
    <w:rsid w:val="003D227C"/>
    <w:rsid w:val="003D2B4D"/>
    <w:rsid w:val="003E471F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D4B89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221B"/>
    <w:rsid w:val="00596738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001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912AC"/>
    <w:rsid w:val="008A0ADE"/>
    <w:rsid w:val="008A743F"/>
    <w:rsid w:val="008C0970"/>
    <w:rsid w:val="008C41F0"/>
    <w:rsid w:val="008D0BC5"/>
    <w:rsid w:val="008D2CF7"/>
    <w:rsid w:val="008F1DD9"/>
    <w:rsid w:val="00900C26"/>
    <w:rsid w:val="0090197F"/>
    <w:rsid w:val="00903264"/>
    <w:rsid w:val="00906DDC"/>
    <w:rsid w:val="00934E09"/>
    <w:rsid w:val="00936253"/>
    <w:rsid w:val="00940D46"/>
    <w:rsid w:val="009413F1"/>
    <w:rsid w:val="00945030"/>
    <w:rsid w:val="00946E30"/>
    <w:rsid w:val="00952DD4"/>
    <w:rsid w:val="009561F4"/>
    <w:rsid w:val="00965AE7"/>
    <w:rsid w:val="00970FED"/>
    <w:rsid w:val="00985E41"/>
    <w:rsid w:val="00992D82"/>
    <w:rsid w:val="00997029"/>
    <w:rsid w:val="009A4219"/>
    <w:rsid w:val="009A7339"/>
    <w:rsid w:val="009B440E"/>
    <w:rsid w:val="009D690D"/>
    <w:rsid w:val="009E65B6"/>
    <w:rsid w:val="009F0A51"/>
    <w:rsid w:val="009F0B7F"/>
    <w:rsid w:val="009F77CF"/>
    <w:rsid w:val="00A12795"/>
    <w:rsid w:val="00A24C10"/>
    <w:rsid w:val="00A42AC3"/>
    <w:rsid w:val="00A430CF"/>
    <w:rsid w:val="00A52B7E"/>
    <w:rsid w:val="00A54309"/>
    <w:rsid w:val="00A55168"/>
    <w:rsid w:val="00A610A9"/>
    <w:rsid w:val="00A80F2A"/>
    <w:rsid w:val="00A832B6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144FD"/>
    <w:rsid w:val="00B224DE"/>
    <w:rsid w:val="00B324D4"/>
    <w:rsid w:val="00B46575"/>
    <w:rsid w:val="00B61777"/>
    <w:rsid w:val="00B622E6"/>
    <w:rsid w:val="00B80903"/>
    <w:rsid w:val="00B810CD"/>
    <w:rsid w:val="00B83E82"/>
    <w:rsid w:val="00B84BBD"/>
    <w:rsid w:val="00BA43FB"/>
    <w:rsid w:val="00BC127D"/>
    <w:rsid w:val="00BC1FE6"/>
    <w:rsid w:val="00BE766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67DA5"/>
    <w:rsid w:val="00C72B7A"/>
    <w:rsid w:val="00C8054E"/>
    <w:rsid w:val="00C973F2"/>
    <w:rsid w:val="00CA304C"/>
    <w:rsid w:val="00CA774A"/>
    <w:rsid w:val="00CB4921"/>
    <w:rsid w:val="00CC11B0"/>
    <w:rsid w:val="00CC2841"/>
    <w:rsid w:val="00CF1330"/>
    <w:rsid w:val="00CF7E36"/>
    <w:rsid w:val="00D273D3"/>
    <w:rsid w:val="00D3708D"/>
    <w:rsid w:val="00D40426"/>
    <w:rsid w:val="00D426CF"/>
    <w:rsid w:val="00D57C96"/>
    <w:rsid w:val="00D57D18"/>
    <w:rsid w:val="00D70E65"/>
    <w:rsid w:val="00D91203"/>
    <w:rsid w:val="00D95174"/>
    <w:rsid w:val="00DA4973"/>
    <w:rsid w:val="00DA6F36"/>
    <w:rsid w:val="00DB3E5A"/>
    <w:rsid w:val="00DB596E"/>
    <w:rsid w:val="00DB7773"/>
    <w:rsid w:val="00DC00EA"/>
    <w:rsid w:val="00DC3802"/>
    <w:rsid w:val="00DC5C45"/>
    <w:rsid w:val="00DD6208"/>
    <w:rsid w:val="00DF7E99"/>
    <w:rsid w:val="00E07D87"/>
    <w:rsid w:val="00E249C8"/>
    <w:rsid w:val="00E32F7E"/>
    <w:rsid w:val="00E40BE7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34B"/>
    <w:rsid w:val="00EE34DF"/>
    <w:rsid w:val="00EF2F89"/>
    <w:rsid w:val="00EF6B54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90303"/>
    <w:rsid w:val="00FA49AB"/>
    <w:rsid w:val="00FA622A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F9D292F"/>
  <w15:docId w15:val="{1382D842-FECC-472C-A3FD-C32BD7BF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DB3E5A"/>
    <w:rPr>
      <w:rFonts w:ascii="Arial" w:hAnsi="Arial"/>
      <w:b/>
      <w:caps/>
    </w:rPr>
  </w:style>
  <w:style w:type="character" w:customStyle="1" w:styleId="BodyTextChar">
    <w:name w:val="Body Text Char"/>
    <w:basedOn w:val="DefaultParagraphFont"/>
    <w:link w:val="BodyText"/>
    <w:rsid w:val="00DB3E5A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DB3E5A"/>
    <w:rPr>
      <w:rFonts w:ascii="Arial" w:hAnsi="Arial"/>
      <w:sz w:val="16"/>
    </w:rPr>
  </w:style>
  <w:style w:type="table" w:styleId="TableGrid">
    <w:name w:val="Table Grid"/>
    <w:basedOn w:val="TableNormal"/>
    <w:rsid w:val="00DB3E5A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b">
    <w:name w:val="Normaltb"/>
    <w:basedOn w:val="Normal"/>
    <w:rsid w:val="00DB3E5A"/>
    <w:pPr>
      <w:keepNext/>
      <w:spacing w:before="80" w:after="80"/>
      <w:jc w:val="left"/>
    </w:pPr>
    <w:rPr>
      <w:b/>
      <w:bCs/>
      <w:sz w:val="16"/>
    </w:rPr>
  </w:style>
  <w:style w:type="paragraph" w:customStyle="1" w:styleId="Normalt">
    <w:name w:val="Normalt"/>
    <w:basedOn w:val="Normal"/>
    <w:rsid w:val="00DB3E5A"/>
    <w:pPr>
      <w:spacing w:before="80" w:after="8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esistentie@naktuinbouw.nl" TargetMode="External"/><Relationship Id="rId2" Type="http://schemas.openxmlformats.org/officeDocument/2006/relationships/hyperlink" Target="mailto:resistencias@inia.es" TargetMode="External"/><Relationship Id="rId1" Type="http://schemas.openxmlformats.org/officeDocument/2006/relationships/hyperlink" Target="mailto:matref@gev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AFAE-0467-408C-B74A-376ACA8B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1799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TC/58/25</vt:lpstr>
    </vt:vector>
  </TitlesOfParts>
  <Company>UPOV</Company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TC/58/25</dc:title>
  <dc:creator>OERTEL Romy</dc:creator>
  <cp:keywords>TC/58/25</cp:keywords>
  <cp:lastModifiedBy>OERTEL Romy</cp:lastModifiedBy>
  <cp:revision>5</cp:revision>
  <cp:lastPrinted>2023-01-06T10:24:00Z</cp:lastPrinted>
  <dcterms:created xsi:type="dcterms:W3CDTF">2023-01-06T09:47:00Z</dcterms:created>
  <dcterms:modified xsi:type="dcterms:W3CDTF">2023-01-06T10:24:00Z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5254941f-16b8-4439-9739-b7cc8584b3c3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