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>
              <w:t>F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>
              <w:t>Union internationale pour la protection des obtentions végétales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3D0839" w:rsidRPr="00365DC1" w:rsidRDefault="003D0839" w:rsidP="003D0839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3D0839" w:rsidRPr="00C5280D" w:rsidTr="007A4FDD">
        <w:tc>
          <w:tcPr>
            <w:tcW w:w="6512" w:type="dxa"/>
          </w:tcPr>
          <w:p w:rsidR="003D0839" w:rsidRPr="00AC2883" w:rsidRDefault="003D0839" w:rsidP="007A4FDD">
            <w:pPr>
              <w:pStyle w:val="Sessiontc"/>
              <w:spacing w:line="240" w:lineRule="auto"/>
            </w:pPr>
            <w:r>
              <w:t>Comité technique</w:t>
            </w:r>
          </w:p>
          <w:p w:rsidR="003D0839" w:rsidRPr="00DC3802" w:rsidRDefault="003D0839" w:rsidP="007A4FDD">
            <w:pPr>
              <w:pStyle w:val="Sessiontcplacedate"/>
              <w:rPr>
                <w:sz w:val="22"/>
              </w:rPr>
            </w:pPr>
            <w:r>
              <w:t>Cinquante</w:t>
            </w:r>
            <w:r w:rsidR="00F11A81">
              <w:noBreakHyphen/>
            </w:r>
            <w:r>
              <w:t>huit</w:t>
            </w:r>
            <w:r w:rsidR="009B2417">
              <w:t>ième session</w:t>
            </w:r>
            <w:r>
              <w:br/>
              <w:t>Genève, 24 et 2</w:t>
            </w:r>
            <w:r w:rsidR="009B2417">
              <w:t>5 octobre 20</w:t>
            </w:r>
            <w:r>
              <w:t>22</w:t>
            </w:r>
          </w:p>
        </w:tc>
        <w:tc>
          <w:tcPr>
            <w:tcW w:w="3127" w:type="dxa"/>
          </w:tcPr>
          <w:p w:rsidR="003D0839" w:rsidRPr="003C7FBE" w:rsidRDefault="003D0839" w:rsidP="007A4FDD">
            <w:pPr>
              <w:pStyle w:val="Doccode"/>
            </w:pPr>
            <w:r>
              <w:t>TC/58/17</w:t>
            </w:r>
            <w:r w:rsidR="00995086">
              <w:t> </w:t>
            </w:r>
            <w:proofErr w:type="spellStart"/>
            <w:r>
              <w:t>Add</w:t>
            </w:r>
            <w:proofErr w:type="spellEnd"/>
            <w:r>
              <w:t>.</w:t>
            </w:r>
          </w:p>
          <w:p w:rsidR="003D0839" w:rsidRPr="003C7FBE" w:rsidRDefault="003D0839" w:rsidP="007A4FDD">
            <w:pPr>
              <w:pStyle w:val="Docoriginal"/>
            </w:pPr>
            <w:r>
              <w:t>Original</w:t>
            </w:r>
            <w:r w:rsidR="009B2417">
              <w:t> :</w:t>
            </w:r>
            <w:r w:rsidR="009B2417">
              <w:rPr>
                <w:b w:val="0"/>
              </w:rPr>
              <w:t xml:space="preserve"> </w:t>
            </w:r>
            <w:r>
              <w:rPr>
                <w:b w:val="0"/>
              </w:rPr>
              <w:t>anglais</w:t>
            </w:r>
          </w:p>
          <w:p w:rsidR="003D0839" w:rsidRPr="007C1D92" w:rsidRDefault="003D0839" w:rsidP="006F34A9">
            <w:pPr>
              <w:pStyle w:val="Docoriginal"/>
            </w:pPr>
            <w:r>
              <w:t>Date</w:t>
            </w:r>
            <w:r w:rsidR="009B2417">
              <w:t> :</w:t>
            </w:r>
            <w:r w:rsidR="009B2417">
              <w:rPr>
                <w:b w:val="0"/>
              </w:rPr>
              <w:t xml:space="preserve"> </w:t>
            </w:r>
            <w:r>
              <w:rPr>
                <w:b w:val="0"/>
              </w:rPr>
              <w:t>2</w:t>
            </w:r>
            <w:r w:rsidR="009B2417">
              <w:rPr>
                <w:b w:val="0"/>
              </w:rPr>
              <w:t>0 octobre 20</w:t>
            </w:r>
            <w:r>
              <w:rPr>
                <w:b w:val="0"/>
              </w:rPr>
              <w:t>22</w:t>
            </w:r>
          </w:p>
        </w:tc>
      </w:tr>
    </w:tbl>
    <w:p w:rsidR="00985A1B" w:rsidRPr="006A644A" w:rsidRDefault="00985A1B" w:rsidP="00985A1B">
      <w:pPr>
        <w:pStyle w:val="Titleofdoc0"/>
      </w:pPr>
      <w:r>
        <w:t>Additif aux rapports sur l</w:t>
      </w:r>
      <w:r w:rsidR="009B2417">
        <w:t>’</w:t>
      </w:r>
      <w:r>
        <w:t>état d</w:t>
      </w:r>
      <w:r w:rsidR="009B2417">
        <w:t>’</w:t>
      </w:r>
      <w:r>
        <w:t>avancement des travaux des groupes de travail techniques</w:t>
      </w:r>
    </w:p>
    <w:p w:rsidR="003D0839" w:rsidRPr="006A644A" w:rsidRDefault="003D0839" w:rsidP="003D0839">
      <w:pPr>
        <w:pStyle w:val="preparedby1"/>
        <w:jc w:val="left"/>
      </w:pPr>
      <w:r>
        <w:t>Document établi par le Bureau de l</w:t>
      </w:r>
      <w:r w:rsidR="009B2417">
        <w:t>’</w:t>
      </w:r>
      <w:r>
        <w:t>Union</w:t>
      </w:r>
    </w:p>
    <w:p w:rsidR="003D0839" w:rsidRPr="006A644A" w:rsidRDefault="003D0839" w:rsidP="003D0839">
      <w:pPr>
        <w:pStyle w:val="Disclaimer"/>
      </w:pPr>
      <w:r>
        <w:t>Avertissement</w:t>
      </w:r>
      <w:r w:rsidR="009B2417">
        <w:t> :</w:t>
      </w:r>
      <w:r>
        <w:t xml:space="preserve"> le présent document ne représente pas les principes ou les orientations de l</w:t>
      </w:r>
      <w:r w:rsidR="009B2417">
        <w:t>’</w:t>
      </w:r>
      <w:r>
        <w:t>UPOV</w:t>
      </w:r>
    </w:p>
    <w:p w:rsidR="00985A1B" w:rsidRPr="0007285E" w:rsidRDefault="00985A1B" w:rsidP="00985A1B">
      <w:pPr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  <w:t>Cet additif a pour objet de présenter le rapport de la présidente du Groupe de travail technique sur les méthodes et techniques d</w:t>
      </w:r>
      <w:r w:rsidR="009B2417">
        <w:rPr>
          <w:snapToGrid w:val="0"/>
        </w:rPr>
        <w:t>’</w:t>
      </w:r>
      <w:r>
        <w:rPr>
          <w:snapToGrid w:val="0"/>
        </w:rPr>
        <w:t xml:space="preserve">essai (TWM) à sa session </w:t>
      </w:r>
      <w:r w:rsidR="009B2417">
        <w:rPr>
          <w:snapToGrid w:val="0"/>
        </w:rPr>
        <w:t>de 2022</w:t>
      </w:r>
      <w:r>
        <w:rPr>
          <w:snapToGrid w:val="0"/>
        </w:rPr>
        <w:t>.</w:t>
      </w:r>
    </w:p>
    <w:p w:rsidR="00985A1B" w:rsidRDefault="00985A1B" w:rsidP="00985A1B">
      <w:pPr>
        <w:rPr>
          <w:snapToGrid w:val="0"/>
        </w:rPr>
      </w:pPr>
    </w:p>
    <w:p w:rsidR="00985A1B" w:rsidRDefault="00985A1B" w:rsidP="00985A1B">
      <w:pPr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  <w:t>Le présent document est structuré comme suit</w:t>
      </w:r>
      <w:r w:rsidR="009B2417">
        <w:rPr>
          <w:snapToGrid w:val="0"/>
        </w:rPr>
        <w:t> :</w:t>
      </w:r>
    </w:p>
    <w:p w:rsidR="00985A1B" w:rsidRDefault="00985A1B" w:rsidP="00985A1B">
      <w:pPr>
        <w:rPr>
          <w:snapToGrid w:val="0"/>
        </w:rPr>
      </w:pPr>
    </w:p>
    <w:p w:rsidR="00985A1B" w:rsidRDefault="00985A1B" w:rsidP="00985A1B">
      <w:pPr>
        <w:rPr>
          <w:snapToGrid w:val="0"/>
        </w:rPr>
      </w:pPr>
      <w:r>
        <w:rPr>
          <w:snapToGrid w:val="0"/>
        </w:rPr>
        <w:t>Annexe</w:t>
      </w:r>
      <w:r>
        <w:rPr>
          <w:snapToGrid w:val="0"/>
        </w:rPr>
        <w:tab/>
        <w:t>Groupe de travail technique sur les méthodes et techniques d</w:t>
      </w:r>
      <w:r w:rsidR="009B2417">
        <w:rPr>
          <w:snapToGrid w:val="0"/>
        </w:rPr>
        <w:t>’</w:t>
      </w:r>
      <w:r>
        <w:rPr>
          <w:snapToGrid w:val="0"/>
        </w:rPr>
        <w:t>essai (TWM)</w:t>
      </w:r>
    </w:p>
    <w:p w:rsidR="00985A1B" w:rsidRDefault="00985A1B" w:rsidP="00985A1B"/>
    <w:p w:rsidR="00985A1B" w:rsidRDefault="00985A1B" w:rsidP="00985A1B">
      <w:pPr>
        <w:jc w:val="left"/>
      </w:pPr>
    </w:p>
    <w:p w:rsidR="00985A1B" w:rsidRPr="00C651CE" w:rsidRDefault="00985A1B" w:rsidP="00985A1B"/>
    <w:p w:rsidR="00985A1B" w:rsidRDefault="00985A1B" w:rsidP="00985A1B">
      <w:pPr>
        <w:jc w:val="right"/>
      </w:pPr>
      <w:r>
        <w:t>[L</w:t>
      </w:r>
      <w:r w:rsidR="009B2417">
        <w:t>’</w:t>
      </w:r>
      <w:r>
        <w:t>annexe suit]</w:t>
      </w:r>
    </w:p>
    <w:p w:rsidR="00985A1B" w:rsidRDefault="00985A1B" w:rsidP="00985A1B">
      <w:pPr>
        <w:jc w:val="left"/>
        <w:sectPr w:rsidR="00985A1B" w:rsidSect="0004198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p w:rsidR="00985A1B" w:rsidRDefault="00985A1B" w:rsidP="00985A1B">
      <w:pPr>
        <w:pStyle w:val="Heading1"/>
        <w:jc w:val="center"/>
      </w:pPr>
    </w:p>
    <w:p w:rsidR="00985A1B" w:rsidRPr="00B611F0" w:rsidRDefault="00985A1B" w:rsidP="00985A1B">
      <w:pPr>
        <w:pStyle w:val="Heading1"/>
      </w:pPr>
      <w:r>
        <w:t>Première session du groupe de travail technique sur les méthodes et techniques d</w:t>
      </w:r>
      <w:r w:rsidR="009B2417">
        <w:t>’</w:t>
      </w:r>
      <w:r>
        <w:t>essai (twm)</w:t>
      </w:r>
    </w:p>
    <w:p w:rsidR="00985A1B" w:rsidRPr="00B611F0" w:rsidRDefault="00985A1B" w:rsidP="00985A1B">
      <w:pPr>
        <w:rPr>
          <w:rFonts w:cs="Arial"/>
        </w:rPr>
      </w:pPr>
    </w:p>
    <w:p w:rsidR="00985A1B" w:rsidRPr="00425902" w:rsidRDefault="00985A1B" w:rsidP="00985A1B">
      <w:pPr>
        <w:keepNext/>
        <w:outlineLvl w:val="2"/>
        <w:rPr>
          <w:i/>
        </w:rPr>
      </w:pPr>
      <w:r>
        <w:rPr>
          <w:i/>
        </w:rPr>
        <w:t>Rapport établi par Mme</w:t>
      </w:r>
      <w:r w:rsidR="00995086">
        <w:rPr>
          <w:i/>
        </w:rPr>
        <w:t> </w:t>
      </w:r>
      <w:r>
        <w:rPr>
          <w:i/>
        </w:rPr>
        <w:t xml:space="preserve">Beate </w:t>
      </w:r>
      <w:proofErr w:type="spellStart"/>
      <w:r>
        <w:rPr>
          <w:i/>
        </w:rPr>
        <w:t>Rücker</w:t>
      </w:r>
      <w:proofErr w:type="spellEnd"/>
      <w:r>
        <w:rPr>
          <w:i/>
        </w:rPr>
        <w:t xml:space="preserve"> (Allemagne), présidente</w:t>
      </w:r>
      <w:r w:rsidR="009B2417">
        <w:rPr>
          <w:i/>
        </w:rPr>
        <w:t xml:space="preserve"> du TWM</w:t>
      </w:r>
    </w:p>
    <w:p w:rsidR="00985A1B" w:rsidRPr="008D0013" w:rsidRDefault="00985A1B" w:rsidP="00985A1B">
      <w:pPr>
        <w:rPr>
          <w:rFonts w:cs="Arial"/>
        </w:rPr>
      </w:pPr>
    </w:p>
    <w:p w:rsidR="00985A1B" w:rsidRPr="008D0013" w:rsidRDefault="00985A1B" w:rsidP="00985A1B">
      <w:r>
        <w:fldChar w:fldCharType="begin"/>
      </w:r>
      <w:r>
        <w:instrText xml:space="preserve"> AUTONUM  </w:instrText>
      </w:r>
      <w:r>
        <w:fldChar w:fldCharType="end"/>
      </w:r>
      <w:r>
        <w:tab/>
        <w:t>Le TWM a tenu sa première session, organisée par voie électronique, du 19 au 2</w:t>
      </w:r>
      <w:r w:rsidR="009B2417">
        <w:t>3 septembre 20</w:t>
      </w:r>
      <w:r>
        <w:t>22, sous la présidence de Mme</w:t>
      </w:r>
      <w:r w:rsidR="00995086">
        <w:t> </w:t>
      </w:r>
      <w:r>
        <w:t xml:space="preserve">Beate </w:t>
      </w:r>
      <w:proofErr w:type="spellStart"/>
      <w:r>
        <w:t>Rücker</w:t>
      </w:r>
      <w:proofErr w:type="spellEnd"/>
      <w:r>
        <w:t xml:space="preserve"> (Allemagne).  Le compte rendu de cette session figure dans le document TWM/1/26 “Compte rendu”.</w:t>
      </w:r>
    </w:p>
    <w:p w:rsidR="00985A1B" w:rsidRPr="008D0013" w:rsidRDefault="00985A1B" w:rsidP="00985A1B"/>
    <w:p w:rsidR="00985A1B" w:rsidRPr="008D0013" w:rsidRDefault="00985A1B" w:rsidP="00985A1B">
      <w:r w:rsidRPr="008D0013">
        <w:fldChar w:fldCharType="begin"/>
      </w:r>
      <w:r w:rsidRPr="008D0013">
        <w:instrText xml:space="preserve"> 2. </w:instrText>
      </w:r>
      <w:r w:rsidRPr="008D0013">
        <w:fldChar w:fldCharType="end"/>
      </w:r>
      <w:r>
        <w:fldChar w:fldCharType="begin"/>
      </w:r>
      <w:r>
        <w:instrText xml:space="preserve"> AUTONUM  </w:instrText>
      </w:r>
      <w:r>
        <w:fldChar w:fldCharType="end"/>
      </w:r>
      <w:r>
        <w:tab/>
        <w:t>La session a réuni 116</w:t>
      </w:r>
      <w:r w:rsidR="00F11A81">
        <w:t> </w:t>
      </w:r>
      <w:r>
        <w:t>participants représentant 28</w:t>
      </w:r>
      <w:r w:rsidR="00F11A81">
        <w:t> </w:t>
      </w:r>
      <w:r>
        <w:t>membres de l</w:t>
      </w:r>
      <w:r w:rsidR="009B2417">
        <w:t>’</w:t>
      </w:r>
      <w:r w:rsidR="00F11A81">
        <w:t>Union, deux </w:t>
      </w:r>
      <w:r>
        <w:t>États ayant le statut d</w:t>
      </w:r>
      <w:r w:rsidR="009B2417">
        <w:t>’</w:t>
      </w:r>
      <w:r>
        <w:t>observateur et 8</w:t>
      </w:r>
      <w:r w:rsidR="00F11A81">
        <w:t> </w:t>
      </w:r>
      <w:r>
        <w:t>organisations ayant le statut d</w:t>
      </w:r>
      <w:r w:rsidR="009B2417">
        <w:t>’</w:t>
      </w:r>
      <w:r>
        <w:t>observateur.</w:t>
      </w:r>
    </w:p>
    <w:p w:rsidR="00985A1B" w:rsidRPr="008D0013" w:rsidRDefault="00985A1B" w:rsidP="00985A1B"/>
    <w:p w:rsidR="00985A1B" w:rsidRPr="003A5AB5" w:rsidRDefault="00985A1B" w:rsidP="00985A1B">
      <w:pPr>
        <w:spacing w:after="60"/>
      </w:pPr>
      <w:r w:rsidRPr="00C811B2">
        <w:rPr>
          <w:rFonts w:cs="Arial"/>
        </w:rPr>
        <w:fldChar w:fldCharType="begin"/>
      </w:r>
      <w:r w:rsidRPr="00C811B2">
        <w:rPr>
          <w:rFonts w:cs="Arial"/>
        </w:rPr>
        <w:instrText xml:space="preserve"> AUTONUM  </w:instrText>
      </w:r>
      <w:r w:rsidRPr="00C811B2">
        <w:rPr>
          <w:rFonts w:cs="Arial"/>
        </w:rPr>
        <w:fldChar w:fldCharType="end"/>
      </w:r>
      <w:r>
        <w:tab/>
        <w:t xml:space="preserve">Le TWM a examiné le document TWM/1/8 </w:t>
      </w:r>
      <w:r w:rsidR="009B2417">
        <w:t>“</w:t>
      </w:r>
      <w:proofErr w:type="spellStart"/>
      <w:r w:rsidR="009B2417">
        <w:t>D</w:t>
      </w:r>
      <w:r>
        <w:t>evelopments</w:t>
      </w:r>
      <w:proofErr w:type="spellEnd"/>
      <w:r>
        <w:t xml:space="preserve"> on the </w:t>
      </w:r>
      <w:proofErr w:type="spellStart"/>
      <w:r>
        <w:t>improved</w:t>
      </w:r>
      <w:proofErr w:type="spellEnd"/>
      <w:r>
        <w:t xml:space="preserve"> COYU </w:t>
      </w:r>
      <w:proofErr w:type="spellStart"/>
      <w:r>
        <w:t>method</w:t>
      </w:r>
      <w:proofErr w:type="spellEnd"/>
      <w:r>
        <w:t xml:space="preserve"> (</w:t>
      </w:r>
      <w:proofErr w:type="spellStart"/>
      <w:r>
        <w:t>splines</w:t>
      </w:r>
      <w:proofErr w:type="spellEnd"/>
      <w:r>
        <w:t>)</w:t>
      </w:r>
      <w:r w:rsidR="00F11A81">
        <w:t>”</w:t>
      </w:r>
      <w:r>
        <w:t xml:space="preserve"> et a assisté à un exposé présenté par M.</w:t>
      </w:r>
      <w:r w:rsidR="00995086">
        <w:t> </w:t>
      </w:r>
      <w:r>
        <w:t>Adrian</w:t>
      </w:r>
      <w:r w:rsidR="00F11A81">
        <w:t> </w:t>
      </w:r>
      <w:r>
        <w:t>Roberts et de Mme</w:t>
      </w:r>
      <w:r w:rsidR="00995086">
        <w:t> </w:t>
      </w:r>
      <w:proofErr w:type="spellStart"/>
      <w:r>
        <w:t>Haidee</w:t>
      </w:r>
      <w:proofErr w:type="spellEnd"/>
      <w:r>
        <w:t xml:space="preserve"> </w:t>
      </w:r>
      <w:proofErr w:type="spellStart"/>
      <w:r>
        <w:t>Philpott</w:t>
      </w:r>
      <w:proofErr w:type="spellEnd"/>
      <w:r>
        <w:t xml:space="preserve"> (Royaume</w:t>
      </w:r>
      <w:r w:rsidR="00F11A81">
        <w:noBreakHyphen/>
      </w:r>
      <w:r>
        <w:t>U</w:t>
      </w:r>
      <w:r w:rsidR="00F11A81">
        <w:t>ni)</w:t>
      </w:r>
      <w:r w:rsidR="00F11A81">
        <w:t xml:space="preserve">.  </w:t>
      </w:r>
      <w:r w:rsidR="00F11A81">
        <w:t>Le</w:t>
      </w:r>
      <w:r w:rsidR="009B2417">
        <w:t> TWM</w:t>
      </w:r>
      <w:r>
        <w:t xml:space="preserve"> a noté qu</w:t>
      </w:r>
      <w:r w:rsidR="009B2417">
        <w:t>’</w:t>
      </w:r>
      <w:r>
        <w:t>un rapport contenant les résultats de la série d</w:t>
      </w:r>
      <w:r w:rsidR="009B2417">
        <w:t>’</w:t>
      </w:r>
      <w:r>
        <w:t xml:space="preserve">essais sur le logiciel COYU </w:t>
      </w:r>
      <w:proofErr w:type="spellStart"/>
      <w:r>
        <w:t>Splines</w:t>
      </w:r>
      <w:proofErr w:type="spellEnd"/>
      <w:r>
        <w:t xml:space="preserve"> serait présenté au</w:t>
      </w:r>
      <w:r w:rsidR="009B2417">
        <w:t> TC</w:t>
      </w:r>
      <w:r>
        <w:t xml:space="preserve"> pour examen à sa cinquante</w:t>
      </w:r>
      <w:r w:rsidR="00F11A81">
        <w:noBreakHyphen/>
      </w:r>
      <w:r>
        <w:t>huit</w:t>
      </w:r>
      <w:r w:rsidR="009B2417">
        <w:t>ième session</w:t>
      </w:r>
      <w:r>
        <w:t>, parallèlement à la révision du document TGP/8.</w:t>
      </w:r>
    </w:p>
    <w:p w:rsidR="00985A1B" w:rsidRPr="003A5AB5" w:rsidRDefault="00985A1B" w:rsidP="00985A1B">
      <w:pPr>
        <w:autoSpaceDE w:val="0"/>
        <w:autoSpaceDN w:val="0"/>
        <w:adjustRightInd w:val="0"/>
      </w:pPr>
    </w:p>
    <w:p w:rsidR="00985A1B" w:rsidRPr="003A5AB5" w:rsidRDefault="003238E4" w:rsidP="00985A1B">
      <w:pPr>
        <w:autoSpaceDE w:val="0"/>
        <w:autoSpaceDN w:val="0"/>
        <w:adjustRightInd w:val="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Le TWM a noté qu</w:t>
      </w:r>
      <w:r w:rsidR="009B2417">
        <w:t>’</w:t>
      </w:r>
      <w:r>
        <w:t xml:space="preserve">une nouvelle version de DUSTNT intégrant la méthode COYU utilisant les </w:t>
      </w:r>
      <w:proofErr w:type="spellStart"/>
      <w:r>
        <w:t>splines</w:t>
      </w:r>
      <w:proofErr w:type="spellEnd"/>
      <w:r>
        <w:t xml:space="preserve"> (DUST9NT) serait lancée d</w:t>
      </w:r>
      <w:r w:rsidR="009B2417">
        <w:t>’</w:t>
      </w:r>
      <w:r>
        <w:t xml:space="preserve">ici </w:t>
      </w:r>
      <w:r w:rsidR="009B2417">
        <w:t>septembre 20</w:t>
      </w:r>
      <w:r>
        <w:t>23, une fois que les améliorations mises en évidence lors de la série d</w:t>
      </w:r>
      <w:r w:rsidR="009B2417">
        <w:t>’</w:t>
      </w:r>
      <w:r>
        <w:t xml:space="preserve">essais auraient été intégrées, </w:t>
      </w:r>
      <w:r w:rsidR="009B2417">
        <w:t>y compris</w:t>
      </w:r>
      <w:r>
        <w:t xml:space="preserve"> l</w:t>
      </w:r>
      <w:r w:rsidR="009B2417">
        <w:t>’</w:t>
      </w:r>
      <w:r>
        <w:t>extrapolati</w:t>
      </w:r>
      <w:r w:rsidR="00F11A81">
        <w:t>on</w:t>
      </w:r>
      <w:r w:rsidR="00F11A81">
        <w:t xml:space="preserve">.  </w:t>
      </w:r>
      <w:r w:rsidR="00F11A81">
        <w:t>L’e</w:t>
      </w:r>
      <w:r>
        <w:t>xpert a noté que d</w:t>
      </w:r>
      <w:r w:rsidR="009B2417">
        <w:t>’</w:t>
      </w:r>
      <w:r>
        <w:t>autres révisions du document TGP/8 seraient nécessaires pour incorporer des orientations sur l</w:t>
      </w:r>
      <w:r w:rsidR="009B2417">
        <w:t>’</w:t>
      </w:r>
      <w:r>
        <w:t>extrapolation et les exigences minimales en matière de données.</w:t>
      </w:r>
    </w:p>
    <w:p w:rsidR="00985A1B" w:rsidRPr="003A5AB5" w:rsidRDefault="00985A1B" w:rsidP="00985A1B">
      <w:pPr>
        <w:autoSpaceDE w:val="0"/>
        <w:autoSpaceDN w:val="0"/>
        <w:adjustRightInd w:val="0"/>
      </w:pPr>
    </w:p>
    <w:p w:rsidR="00985A1B" w:rsidRDefault="003238E4" w:rsidP="00985A1B">
      <w:pPr>
        <w:autoSpaceDE w:val="0"/>
        <w:autoSpaceDN w:val="0"/>
        <w:adjustRightInd w:val="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Le TWM a examiné le document TWM/1/7 </w:t>
      </w:r>
      <w:r w:rsidR="009B2417">
        <w:t>“</w:t>
      </w:r>
      <w:proofErr w:type="spellStart"/>
      <w:r w:rsidR="009B2417">
        <w:t>D</w:t>
      </w:r>
      <w:r>
        <w:t>evelopments</w:t>
      </w:r>
      <w:proofErr w:type="spellEnd"/>
      <w:r>
        <w:t xml:space="preserve"> on the </w:t>
      </w:r>
      <w:proofErr w:type="spellStart"/>
      <w:r>
        <w:t>improved</w:t>
      </w:r>
      <w:proofErr w:type="spellEnd"/>
      <w:r>
        <w:t xml:space="preserve"> COYU)</w:t>
      </w:r>
      <w:r w:rsidR="009B2417">
        <w:t> :</w:t>
      </w:r>
      <w:r>
        <w:t xml:space="preserve"> Extrapolatio</w:t>
      </w:r>
      <w:r w:rsidR="009B2417">
        <w:t>n”</w:t>
      </w:r>
      <w:r>
        <w:t xml:space="preserve"> et a assisté à un exposé présenté par M.</w:t>
      </w:r>
      <w:r w:rsidR="00995086">
        <w:t> </w:t>
      </w:r>
      <w:r>
        <w:t>Adrian</w:t>
      </w:r>
      <w:r w:rsidR="00F11A81">
        <w:t> </w:t>
      </w:r>
      <w:r>
        <w:t>Roberts et de Mme</w:t>
      </w:r>
      <w:r w:rsidR="00995086">
        <w:t> </w:t>
      </w:r>
      <w:r>
        <w:t>(Royaume</w:t>
      </w:r>
      <w:r w:rsidR="00F11A81">
        <w:noBreakHyphen/>
      </w:r>
      <w:r>
        <w:t>U</w:t>
      </w:r>
      <w:r w:rsidR="00F11A81">
        <w:t>ni)</w:t>
      </w:r>
      <w:r w:rsidR="00F11A81">
        <w:t xml:space="preserve">.  </w:t>
      </w:r>
      <w:r w:rsidR="00F11A81">
        <w:t>Le</w:t>
      </w:r>
      <w:r w:rsidR="009B2417">
        <w:t> TWM</w:t>
      </w:r>
      <w:r>
        <w:t xml:space="preserve"> a pris note de la recommandation selon laquelle les </w:t>
      </w:r>
      <w:proofErr w:type="spellStart"/>
      <w:r>
        <w:t>phytotechniciens</w:t>
      </w:r>
      <w:proofErr w:type="spellEnd"/>
      <w:r>
        <w:t xml:space="preserve"> devraient accorder une attention particulière à l</w:t>
      </w:r>
      <w:r w:rsidR="009B2417">
        <w:t>’</w:t>
      </w:r>
      <w:r>
        <w:t>uniformité en cas d</w:t>
      </w:r>
      <w:r w:rsidR="009B2417">
        <w:t>’</w:t>
      </w:r>
      <w:r>
        <w:t>extrapolati</w:t>
      </w:r>
      <w:r w:rsidR="00F11A81">
        <w:t>on</w:t>
      </w:r>
      <w:r w:rsidR="00F11A81">
        <w:t xml:space="preserve">.  </w:t>
      </w:r>
      <w:r w:rsidR="00F11A81">
        <w:t>Le</w:t>
      </w:r>
      <w:r w:rsidR="009B2417">
        <w:t> TWM</w:t>
      </w:r>
      <w:r>
        <w:t xml:space="preserve"> est convenu qu</w:t>
      </w:r>
      <w:r w:rsidR="009B2417">
        <w:t>’</w:t>
      </w:r>
      <w:r>
        <w:t>il serait nécessaire de poursuivre les discussions sur les approches à adopter lorsqu</w:t>
      </w:r>
      <w:r w:rsidR="009B2417">
        <w:t>’</w:t>
      </w:r>
      <w:r>
        <w:t>une extrapolation est indiquée et a décidé d</w:t>
      </w:r>
      <w:r w:rsidR="009B2417">
        <w:t>’</w:t>
      </w:r>
      <w:r>
        <w:t>inviter le Royaume</w:t>
      </w:r>
      <w:r w:rsidR="00F11A81">
        <w:noBreakHyphen/>
      </w:r>
      <w:r>
        <w:t>Uni et d</w:t>
      </w:r>
      <w:r w:rsidR="009B2417">
        <w:t>’</w:t>
      </w:r>
      <w:r>
        <w:t>autres membres à présenter un rapport</w:t>
      </w:r>
      <w:r w:rsidR="009B2417">
        <w:t xml:space="preserve"> au TWM</w:t>
      </w:r>
      <w:r>
        <w:t xml:space="preserve"> à sa deux</w:t>
      </w:r>
      <w:r w:rsidR="009B2417">
        <w:t>ième session</w:t>
      </w:r>
      <w:r>
        <w:t>.</w:t>
      </w:r>
    </w:p>
    <w:p w:rsidR="00985A1B" w:rsidRDefault="00985A1B" w:rsidP="00985A1B">
      <w:pPr>
        <w:autoSpaceDE w:val="0"/>
        <w:autoSpaceDN w:val="0"/>
        <w:adjustRightInd w:val="0"/>
      </w:pPr>
    </w:p>
    <w:p w:rsidR="009B2417" w:rsidRDefault="003238E4" w:rsidP="00985A1B">
      <w:pPr>
        <w:autoSpaceDE w:val="0"/>
        <w:autoSpaceDN w:val="0"/>
        <w:adjustRightInd w:val="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Le TWM a examiné le document TWP/6/5. </w:t>
      </w:r>
      <w:r w:rsidR="00995086">
        <w:t xml:space="preserve"> </w:t>
      </w:r>
      <w:r>
        <w:t>Il a noté que des informations ont été reçues de la Chine, de la France, de l</w:t>
      </w:r>
      <w:r w:rsidR="009B2417">
        <w:t>’</w:t>
      </w:r>
      <w:r>
        <w:t>Ouzbékistan, de la Pologne et de la République tchèque pour actualiser le document UPOV/INF/16.</w:t>
      </w:r>
      <w:r w:rsidR="009B2417">
        <w:t xml:space="preserve"> </w:t>
      </w:r>
      <w:r w:rsidR="00995086">
        <w:t xml:space="preserve"> </w:t>
      </w:r>
      <w:r w:rsidR="009B2417">
        <w:t>Le TWM</w:t>
      </w:r>
      <w:r>
        <w:t xml:space="preserve"> est convenu que des précisions seraient nécessaires au sujet du logiciel proposé par l</w:t>
      </w:r>
      <w:r w:rsidR="009B2417">
        <w:t>’</w:t>
      </w:r>
      <w:r>
        <w:t xml:space="preserve">Ouzbékistan, </w:t>
      </w:r>
      <w:r w:rsidR="009B2417">
        <w:t>y compris</w:t>
      </w:r>
      <w:r>
        <w:t xml:space="preserve"> les possibilités d</w:t>
      </w:r>
      <w:r w:rsidR="009B2417">
        <w:t>’</w:t>
      </w:r>
      <w:r>
        <w:t>échange.</w:t>
      </w:r>
    </w:p>
    <w:p w:rsidR="00985A1B" w:rsidRDefault="00985A1B" w:rsidP="00985A1B">
      <w:pPr>
        <w:autoSpaceDE w:val="0"/>
        <w:autoSpaceDN w:val="0"/>
        <w:adjustRightInd w:val="0"/>
      </w:pPr>
    </w:p>
    <w:p w:rsidR="00985A1B" w:rsidRDefault="003238E4" w:rsidP="00985A1B">
      <w:pPr>
        <w:autoSpaceDE w:val="0"/>
        <w:autoSpaceDN w:val="0"/>
        <w:adjustRightInd w:val="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Le TWM a assisté à un exposé présenté par M.</w:t>
      </w:r>
      <w:r w:rsidR="00995086">
        <w:t> </w:t>
      </w:r>
      <w:r>
        <w:t>Kun Yang (Chine) sur le développement de logiciels d</w:t>
      </w:r>
      <w:r w:rsidR="009B2417">
        <w:t>’</w:t>
      </w:r>
      <w:r>
        <w:t>analyse statistique</w:t>
      </w:r>
      <w:r w:rsidR="009B2417">
        <w:t> :</w:t>
      </w:r>
      <w:r>
        <w:t xml:space="preserve"> DUSCEL et DUSBIGDATA (document TWM/1/10).</w:t>
      </w:r>
      <w:r w:rsidR="009B2417">
        <w:t xml:space="preserve"> </w:t>
      </w:r>
      <w:r w:rsidR="00995086">
        <w:t xml:space="preserve"> </w:t>
      </w:r>
      <w:r w:rsidR="009B2417">
        <w:t>Le TWM</w:t>
      </w:r>
      <w:r>
        <w:t xml:space="preserve"> a pris note des travaux importants réalisés sur le logiciel afin d</w:t>
      </w:r>
      <w:r w:rsidR="009B2417">
        <w:t>’</w:t>
      </w:r>
      <w:r>
        <w:t>inclure de nouvelles fonctio</w:t>
      </w:r>
      <w:r w:rsidR="00F11A81">
        <w:t>ns</w:t>
      </w:r>
      <w:r w:rsidR="00F11A81">
        <w:t xml:space="preserve">.  </w:t>
      </w:r>
      <w:r w:rsidR="00F11A81">
        <w:t>Le</w:t>
      </w:r>
      <w:r w:rsidR="009B2417">
        <w:t> TWM</w:t>
      </w:r>
      <w:r>
        <w:t xml:space="preserve"> est convenu d</w:t>
      </w:r>
      <w:r w:rsidR="009B2417">
        <w:t>’</w:t>
      </w:r>
      <w:r>
        <w:t>inviter la Chine à rendre compte de l</w:t>
      </w:r>
      <w:r w:rsidR="009B2417">
        <w:t>’</w:t>
      </w:r>
      <w:r>
        <w:t>évolution de la situation à la deux</w:t>
      </w:r>
      <w:r w:rsidR="009B2417">
        <w:t>ième session du TWM</w:t>
      </w:r>
      <w:r>
        <w:t>.</w:t>
      </w:r>
    </w:p>
    <w:p w:rsidR="00985A1B" w:rsidRPr="00816CCA" w:rsidRDefault="00985A1B" w:rsidP="00985A1B">
      <w:pPr>
        <w:autoSpaceDE w:val="0"/>
        <w:autoSpaceDN w:val="0"/>
        <w:adjustRightInd w:val="0"/>
      </w:pPr>
    </w:p>
    <w:p w:rsidR="00985A1B" w:rsidRDefault="003238E4" w:rsidP="00985A1B">
      <w:pPr>
        <w:autoSpaceDE w:val="0"/>
        <w:autoSpaceDN w:val="0"/>
        <w:adjustRightInd w:val="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Le TWM a assisté à un exposé présenté par M.</w:t>
      </w:r>
      <w:r w:rsidR="00995086">
        <w:t> </w:t>
      </w:r>
      <w:r>
        <w:t>Thibaud</w:t>
      </w:r>
      <w:r w:rsidR="00F11A81">
        <w:t> </w:t>
      </w:r>
      <w:proofErr w:type="spellStart"/>
      <w:r>
        <w:t>Quémar</w:t>
      </w:r>
      <w:proofErr w:type="spellEnd"/>
      <w:r>
        <w:t xml:space="preserve"> (France) sur l</w:t>
      </w:r>
      <w:r w:rsidR="009B2417">
        <w:t>’</w:t>
      </w:r>
      <w:r>
        <w:t>application PATHOSTAT (document TWM/1/11).</w:t>
      </w:r>
      <w:r w:rsidR="009B2417">
        <w:t xml:space="preserve"> </w:t>
      </w:r>
      <w:r w:rsidR="00995086">
        <w:t xml:space="preserve"> </w:t>
      </w:r>
      <w:r w:rsidR="009B2417">
        <w:t>Le TWM</w:t>
      </w:r>
      <w:r>
        <w:t xml:space="preserve"> a noté que PATHOSTAT est une application Web mise à la disposition des membres de l</w:t>
      </w:r>
      <w:r w:rsidR="009B2417">
        <w:t>’</w:t>
      </w:r>
      <w:r>
        <w:t>Uni</w:t>
      </w:r>
      <w:r w:rsidR="00F11A81">
        <w:t>on</w:t>
      </w:r>
      <w:r w:rsidR="00F11A81">
        <w:t xml:space="preserve">.  </w:t>
      </w:r>
      <w:r w:rsidR="00F11A81">
        <w:t>Il</w:t>
      </w:r>
      <w:r>
        <w:t xml:space="preserve"> a pris note de la condition selon laquelle PATHOSTAT était mis à disposition en tant que service Web et non en tant que logiciel à télécharg</w:t>
      </w:r>
      <w:r w:rsidR="00F11A81">
        <w:t>er</w:t>
      </w:r>
      <w:r w:rsidR="00F11A81">
        <w:t xml:space="preserve">.  </w:t>
      </w:r>
      <w:r w:rsidR="00F11A81">
        <w:t>Le</w:t>
      </w:r>
      <w:r w:rsidR="009B2417">
        <w:t> TWM</w:t>
      </w:r>
      <w:r>
        <w:t xml:space="preserve"> a recommandé que le</w:t>
      </w:r>
      <w:r w:rsidR="009B2417">
        <w:t> TC</w:t>
      </w:r>
      <w:r>
        <w:t>, à sa cinquante</w:t>
      </w:r>
      <w:r w:rsidR="00F11A81">
        <w:noBreakHyphen/>
      </w:r>
      <w:r>
        <w:t>huit</w:t>
      </w:r>
      <w:r w:rsidR="009B2417">
        <w:t>ième session</w:t>
      </w:r>
      <w:r>
        <w:t>, propose l</w:t>
      </w:r>
      <w:r w:rsidR="009B2417">
        <w:t>’</w:t>
      </w:r>
      <w:r>
        <w:t>inclusion de l</w:t>
      </w:r>
      <w:r w:rsidR="009B2417">
        <w:t>’</w:t>
      </w:r>
      <w:r>
        <w:t>application PATHOSTAT dans le document UPOV/INF/16.</w:t>
      </w:r>
    </w:p>
    <w:p w:rsidR="00985A1B" w:rsidRDefault="00985A1B" w:rsidP="00985A1B">
      <w:pPr>
        <w:autoSpaceDE w:val="0"/>
        <w:autoSpaceDN w:val="0"/>
        <w:adjustRightInd w:val="0"/>
      </w:pPr>
    </w:p>
    <w:p w:rsidR="00985A1B" w:rsidRPr="004A0B99" w:rsidRDefault="003238E4" w:rsidP="00985A1B">
      <w:pPr>
        <w:autoSpaceDE w:val="0"/>
        <w:autoSpaceDN w:val="0"/>
        <w:adjustRightInd w:val="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Le TWM a suivi des exposés sur l</w:t>
      </w:r>
      <w:r w:rsidR="009B2417">
        <w:t>’</w:t>
      </w:r>
      <w:r>
        <w:t>établissement de phénotypes et analyse d</w:t>
      </w:r>
      <w:r w:rsidR="009B2417">
        <w:t>’</w:t>
      </w:r>
      <w:r>
        <w:t>images présentés par des experts de la République de Corée, de la Chine, du Royaume</w:t>
      </w:r>
      <w:r w:rsidR="00F11A81">
        <w:noBreakHyphen/>
      </w:r>
      <w:r>
        <w:t>Uni et de l</w:t>
      </w:r>
      <w:r w:rsidR="009B2417">
        <w:t>’</w:t>
      </w:r>
      <w:r>
        <w:t>Université de Maynooth (Irlan</w:t>
      </w:r>
      <w:r w:rsidR="00F11A81">
        <w:t>de)</w:t>
      </w:r>
      <w:r w:rsidR="00F11A81">
        <w:t xml:space="preserve">.  </w:t>
      </w:r>
      <w:r w:rsidR="00F11A81">
        <w:t>Le</w:t>
      </w:r>
      <w:r w:rsidR="009B2417">
        <w:t> TWM</w:t>
      </w:r>
      <w:r>
        <w:t xml:space="preserve"> est convenu d</w:t>
      </w:r>
      <w:r w:rsidR="009B2417">
        <w:t>’</w:t>
      </w:r>
      <w:r>
        <w:t>inviter les membres à présenter d</w:t>
      </w:r>
      <w:r w:rsidR="009B2417">
        <w:t>’</w:t>
      </w:r>
      <w:r>
        <w:t>autres informations sur l</w:t>
      </w:r>
      <w:r w:rsidR="009B2417">
        <w:t>’</w:t>
      </w:r>
      <w:r>
        <w:t>évaluation de la couleur par l</w:t>
      </w:r>
      <w:r w:rsidR="009B2417">
        <w:t>’</w:t>
      </w:r>
      <w:r>
        <w:t>établissement de phénotypes et l</w:t>
      </w:r>
      <w:r w:rsidR="009B2417">
        <w:t>’</w:t>
      </w:r>
      <w:r>
        <w:t>analyse d</w:t>
      </w:r>
      <w:r w:rsidR="009B2417">
        <w:t>’</w:t>
      </w:r>
      <w:r>
        <w:t>images à sa deux</w:t>
      </w:r>
      <w:r w:rsidR="009B2417">
        <w:t>ième session</w:t>
      </w:r>
      <w:r>
        <w:t>.</w:t>
      </w:r>
    </w:p>
    <w:p w:rsidR="00985A1B" w:rsidRDefault="00985A1B" w:rsidP="00985A1B">
      <w:pPr>
        <w:autoSpaceDE w:val="0"/>
        <w:autoSpaceDN w:val="0"/>
        <w:adjustRightInd w:val="0"/>
      </w:pPr>
    </w:p>
    <w:p w:rsidR="00985A1B" w:rsidRDefault="003238E4" w:rsidP="00985A1B">
      <w:pPr>
        <w:autoSpaceDE w:val="0"/>
        <w:autoSpaceDN w:val="0"/>
        <w:adjustRightInd w:val="0"/>
        <w:jc w:val="left"/>
        <w:rPr>
          <w:rFonts w:eastAsia="CIDFont+F1" w:cs="Arial"/>
        </w:rPr>
      </w:pPr>
      <w:r>
        <w:rPr>
          <w:rFonts w:eastAsia="CIDFont+F1" w:cs="Arial"/>
        </w:rPr>
        <w:fldChar w:fldCharType="begin"/>
      </w:r>
      <w:r>
        <w:rPr>
          <w:rFonts w:eastAsia="CIDFont+F1" w:cs="Arial"/>
        </w:rPr>
        <w:instrText xml:space="preserve"> AUTONUM  </w:instrText>
      </w:r>
      <w:r>
        <w:rPr>
          <w:rFonts w:eastAsia="CIDFont+F1" w:cs="Arial"/>
        </w:rPr>
        <w:fldChar w:fldCharType="end"/>
      </w:r>
      <w:r>
        <w:tab/>
        <w:t>Le TWM a assisté à des exposés présentés par Mme</w:t>
      </w:r>
      <w:r w:rsidR="00995086">
        <w:t> </w:t>
      </w:r>
      <w:r>
        <w:t xml:space="preserve">Ana Laura </w:t>
      </w:r>
      <w:proofErr w:type="spellStart"/>
      <w:r>
        <w:t>Vicario</w:t>
      </w:r>
      <w:proofErr w:type="spellEnd"/>
      <w:r>
        <w:t xml:space="preserve"> (Association internationale d</w:t>
      </w:r>
      <w:r w:rsidR="009B2417">
        <w:t>’</w:t>
      </w:r>
      <w:r>
        <w:t>essais de semences (ISTA)) sur le rapport de l</w:t>
      </w:r>
      <w:r w:rsidR="009B2417">
        <w:t>’</w:t>
      </w:r>
      <w:r>
        <w:t>ISTA sur l</w:t>
      </w:r>
      <w:r w:rsidR="009B2417">
        <w:t>’</w:t>
      </w:r>
      <w:r>
        <w:t>utilisation des techniques moléculaires (document TWM/1/23) et par M.</w:t>
      </w:r>
      <w:r w:rsidR="00995086">
        <w:t> </w:t>
      </w:r>
      <w:r>
        <w:t>Christophe</w:t>
      </w:r>
      <w:r w:rsidR="00F11A81">
        <w:t> </w:t>
      </w:r>
      <w:proofErr w:type="spellStart"/>
      <w:r>
        <w:t>Rouillard</w:t>
      </w:r>
      <w:proofErr w:type="spellEnd"/>
      <w:r>
        <w:t xml:space="preserve"> (Organisation de coopération et de développement économiques (OCDE)) intitulé </w:t>
      </w:r>
      <w:r w:rsidR="009B2417">
        <w:t>“</w:t>
      </w:r>
      <w:proofErr w:type="spellStart"/>
      <w:r w:rsidR="009B2417">
        <w:t>L</w:t>
      </w:r>
      <w:r>
        <w:t>atest</w:t>
      </w:r>
      <w:proofErr w:type="spellEnd"/>
      <w:r>
        <w:t xml:space="preserve"> </w:t>
      </w:r>
      <w:proofErr w:type="spellStart"/>
      <w:r>
        <w:t>developments</w:t>
      </w:r>
      <w:proofErr w:type="spellEnd"/>
      <w:r>
        <w:t xml:space="preserve"> in the application of BMT </w:t>
      </w:r>
      <w:proofErr w:type="spellStart"/>
      <w:r>
        <w:t>under</w:t>
      </w:r>
      <w:proofErr w:type="spellEnd"/>
      <w:r>
        <w:t xml:space="preserve"> the OECD </w:t>
      </w:r>
      <w:proofErr w:type="spellStart"/>
      <w:r>
        <w:t>Seed</w:t>
      </w:r>
      <w:proofErr w:type="spellEnd"/>
      <w:r>
        <w:t xml:space="preserve"> </w:t>
      </w:r>
      <w:proofErr w:type="spellStart"/>
      <w:r>
        <w:t>Scheme</w:t>
      </w:r>
      <w:r w:rsidR="009B2417">
        <w:t>s</w:t>
      </w:r>
      <w:proofErr w:type="spellEnd"/>
      <w:r w:rsidR="009B2417">
        <w:t>”</w:t>
      </w:r>
      <w:r>
        <w:t xml:space="preserve"> (Avancées récentes en matière d</w:t>
      </w:r>
      <w:r w:rsidR="009B2417">
        <w:t>’</w:t>
      </w:r>
      <w:r>
        <w:t>application des techniques biochimiques et moléculaires dans le cadre des systèmes de semences de l</w:t>
      </w:r>
      <w:r w:rsidR="009B2417">
        <w:t>’</w:t>
      </w:r>
      <w:r>
        <w:t>OCDE) (document TWM/1/24).</w:t>
      </w:r>
      <w:r w:rsidR="009B2417">
        <w:t xml:space="preserve"> </w:t>
      </w:r>
      <w:r w:rsidR="00995086">
        <w:t xml:space="preserve"> </w:t>
      </w:r>
      <w:r w:rsidR="009B2417">
        <w:t>Le TWM</w:t>
      </w:r>
      <w:r>
        <w:t xml:space="preserve"> a noté que l</w:t>
      </w:r>
      <w:r w:rsidR="009B2417">
        <w:t>’</w:t>
      </w:r>
      <w:r>
        <w:t>OCDE avait créé un groupe consultatif sur les techniques biochimiques et moléculaires dont l</w:t>
      </w:r>
      <w:r w:rsidR="009B2417">
        <w:t>’</w:t>
      </w:r>
      <w:r>
        <w:t xml:space="preserve">objet était de traiter toutes les questions relatives à ces techniques dans le cadre des systèmes de semences, </w:t>
      </w:r>
      <w:r w:rsidR="009B2417">
        <w:t>y compris</w:t>
      </w:r>
      <w:r>
        <w:t xml:space="preserve"> les questions relatives à la coopération avec d</w:t>
      </w:r>
      <w:r w:rsidR="009B2417">
        <w:t>’</w:t>
      </w:r>
      <w:r>
        <w:t>autres organisations internationales.</w:t>
      </w:r>
    </w:p>
    <w:p w:rsidR="00985A1B" w:rsidRPr="00AA705C" w:rsidRDefault="00985A1B" w:rsidP="00985A1B">
      <w:pPr>
        <w:autoSpaceDE w:val="0"/>
        <w:autoSpaceDN w:val="0"/>
        <w:adjustRightInd w:val="0"/>
        <w:jc w:val="left"/>
        <w:rPr>
          <w:rFonts w:eastAsia="CIDFont+F1" w:cs="Arial"/>
        </w:rPr>
      </w:pPr>
    </w:p>
    <w:p w:rsidR="00985A1B" w:rsidRDefault="003238E4" w:rsidP="00985A1B">
      <w:pPr>
        <w:keepNext/>
        <w:autoSpaceDE w:val="0"/>
        <w:autoSpaceDN w:val="0"/>
        <w:adjustRightInd w:val="0"/>
        <w:jc w:val="left"/>
        <w:rPr>
          <w:rFonts w:eastAsia="CIDFont+F1" w:cs="Arial"/>
        </w:rPr>
      </w:pPr>
      <w:r>
        <w:rPr>
          <w:rFonts w:eastAsia="CIDFont+F1" w:cs="Arial"/>
        </w:rPr>
        <w:lastRenderedPageBreak/>
        <w:fldChar w:fldCharType="begin"/>
      </w:r>
      <w:r>
        <w:rPr>
          <w:rFonts w:eastAsia="CIDFont+F1" w:cs="Arial"/>
        </w:rPr>
        <w:instrText xml:space="preserve"> AUTONUM  </w:instrText>
      </w:r>
      <w:r>
        <w:rPr>
          <w:rFonts w:eastAsia="CIDFont+F1" w:cs="Arial"/>
        </w:rPr>
        <w:fldChar w:fldCharType="end"/>
      </w:r>
      <w:r>
        <w:tab/>
        <w:t>Le TWM a assisté à des exposés sur les thèmes suivants</w:t>
      </w:r>
      <w:r w:rsidR="00995086">
        <w:t> </w:t>
      </w:r>
      <w:r>
        <w:t>:</w:t>
      </w:r>
    </w:p>
    <w:p w:rsidR="00985A1B" w:rsidRDefault="00985A1B" w:rsidP="00985A1B">
      <w:pPr>
        <w:keepNext/>
        <w:autoSpaceDE w:val="0"/>
        <w:autoSpaceDN w:val="0"/>
        <w:adjustRightInd w:val="0"/>
        <w:jc w:val="left"/>
        <w:rPr>
          <w:rFonts w:eastAsia="CIDFont+F1" w:cs="Arial"/>
        </w:rPr>
      </w:pPr>
    </w:p>
    <w:p w:rsidR="00985A1B" w:rsidRPr="00AA705C" w:rsidRDefault="00F11A81" w:rsidP="00F11A81">
      <w:pPr>
        <w:keepNext/>
        <w:autoSpaceDE w:val="0"/>
        <w:autoSpaceDN w:val="0"/>
        <w:adjustRightInd w:val="0"/>
        <w:ind w:left="1134" w:hanging="567"/>
        <w:jc w:val="left"/>
        <w:rPr>
          <w:rFonts w:eastAsia="CIDFont+F1" w:cs="Arial"/>
        </w:rPr>
      </w:pPr>
      <w:r>
        <w:t>–</w:t>
      </w:r>
      <w:r w:rsidR="00985A1B">
        <w:tab/>
        <w:t>Comptes rendus des travaux sur les techniques moléculaires dans le cadre de l</w:t>
      </w:r>
      <w:r w:rsidR="009B2417">
        <w:t>’</w:t>
      </w:r>
      <w:r w:rsidR="00985A1B">
        <w:t>examen</w:t>
      </w:r>
      <w:r w:rsidR="00995086">
        <w:t> </w:t>
      </w:r>
      <w:r w:rsidR="00985A1B">
        <w:t>DHS</w:t>
      </w:r>
    </w:p>
    <w:p w:rsidR="00985A1B" w:rsidRPr="00AA705C" w:rsidRDefault="00F11A81" w:rsidP="00F11A81">
      <w:pPr>
        <w:autoSpaceDE w:val="0"/>
        <w:autoSpaceDN w:val="0"/>
        <w:adjustRightInd w:val="0"/>
        <w:ind w:left="1134" w:hanging="567"/>
        <w:jc w:val="left"/>
        <w:rPr>
          <w:rFonts w:eastAsia="CIDFont+F1" w:cs="Arial"/>
        </w:rPr>
      </w:pPr>
      <w:r>
        <w:t>–</w:t>
      </w:r>
      <w:r w:rsidR="00985A1B">
        <w:tab/>
        <w:t>Méthodes d</w:t>
      </w:r>
      <w:r w:rsidR="009B2417">
        <w:t>’</w:t>
      </w:r>
      <w:r w:rsidR="00985A1B">
        <w:t>analyse des données moléculaires, gestion des bases de données et échange de données et de matériel</w:t>
      </w:r>
    </w:p>
    <w:p w:rsidR="00985A1B" w:rsidRPr="00AA705C" w:rsidRDefault="00F11A81" w:rsidP="00F11A81">
      <w:pPr>
        <w:autoSpaceDE w:val="0"/>
        <w:autoSpaceDN w:val="0"/>
        <w:adjustRightInd w:val="0"/>
        <w:ind w:left="1134" w:hanging="567"/>
        <w:jc w:val="left"/>
        <w:rPr>
          <w:rFonts w:eastAsia="CIDFont+F1" w:cs="Arial"/>
        </w:rPr>
      </w:pPr>
      <w:r>
        <w:t>–</w:t>
      </w:r>
      <w:r w:rsidR="00985A1B">
        <w:tab/>
        <w:t xml:space="preserve">Confidentialité, propriété et accès en matière de données moléculaires, </w:t>
      </w:r>
      <w:r w:rsidR="009B2417">
        <w:t>y compris</w:t>
      </w:r>
      <w:r w:rsidR="00985A1B">
        <w:t xml:space="preserve"> le modèle d</w:t>
      </w:r>
      <w:r w:rsidR="009B2417">
        <w:t>’</w:t>
      </w:r>
      <w:r w:rsidR="00985A1B">
        <w:t>accord type</w:t>
      </w:r>
    </w:p>
    <w:p w:rsidR="00985A1B" w:rsidRDefault="00F11A81" w:rsidP="00F11A81">
      <w:pPr>
        <w:autoSpaceDE w:val="0"/>
        <w:autoSpaceDN w:val="0"/>
        <w:adjustRightInd w:val="0"/>
        <w:ind w:left="1134" w:hanging="567"/>
        <w:jc w:val="left"/>
        <w:rPr>
          <w:rFonts w:eastAsia="CIDFont+F1" w:cs="Arial"/>
        </w:rPr>
      </w:pPr>
      <w:r>
        <w:t>–</w:t>
      </w:r>
      <w:r w:rsidR="00985A1B">
        <w:tab/>
        <w:t>Utilisation des techniques moléculaires dans l</w:t>
      </w:r>
      <w:r w:rsidR="009B2417">
        <w:t>’</w:t>
      </w:r>
      <w:r w:rsidR="00985A1B">
        <w:t>identification des variétés</w:t>
      </w:r>
    </w:p>
    <w:p w:rsidR="00985A1B" w:rsidRPr="00ED6343" w:rsidRDefault="00F11A81" w:rsidP="00F11A81">
      <w:pPr>
        <w:autoSpaceDE w:val="0"/>
        <w:autoSpaceDN w:val="0"/>
        <w:adjustRightInd w:val="0"/>
        <w:ind w:left="1134" w:hanging="567"/>
        <w:jc w:val="left"/>
        <w:rPr>
          <w:rFonts w:eastAsia="CIDFont+F1" w:cs="Arial"/>
        </w:rPr>
      </w:pPr>
      <w:r>
        <w:t>–</w:t>
      </w:r>
      <w:r w:rsidR="00985A1B">
        <w:tab/>
        <w:t>Utilisation des techniques moléculaires pour l</w:t>
      </w:r>
      <w:r w:rsidR="009B2417">
        <w:t>’</w:t>
      </w:r>
      <w:r w:rsidR="00985A1B">
        <w:t>application des droits.</w:t>
      </w:r>
    </w:p>
    <w:p w:rsidR="00985A1B" w:rsidRDefault="00985A1B" w:rsidP="00985A1B">
      <w:pPr>
        <w:autoSpaceDE w:val="0"/>
        <w:autoSpaceDN w:val="0"/>
        <w:adjustRightInd w:val="0"/>
        <w:jc w:val="left"/>
        <w:rPr>
          <w:rFonts w:eastAsia="CIDFont+F1" w:cs="Arial"/>
        </w:rPr>
      </w:pPr>
    </w:p>
    <w:p w:rsidR="00985A1B" w:rsidRPr="00C80A60" w:rsidRDefault="003238E4" w:rsidP="00985A1B">
      <w:pPr>
        <w:autoSpaceDE w:val="0"/>
        <w:autoSpaceDN w:val="0"/>
        <w:adjustRightInd w:val="0"/>
        <w:rPr>
          <w:rFonts w:eastAsia="CIDFont+F1" w:cs="Arial"/>
        </w:rPr>
      </w:pPr>
      <w:r>
        <w:rPr>
          <w:rFonts w:eastAsia="CIDFont+F1" w:cs="Arial"/>
        </w:rPr>
        <w:fldChar w:fldCharType="begin"/>
      </w:r>
      <w:r>
        <w:rPr>
          <w:rFonts w:eastAsia="CIDFont+F1" w:cs="Arial"/>
        </w:rPr>
        <w:instrText xml:space="preserve"> AUTONUM  </w:instrText>
      </w:r>
      <w:r>
        <w:rPr>
          <w:rFonts w:eastAsia="CIDFont+F1" w:cs="Arial"/>
        </w:rPr>
        <w:fldChar w:fldCharType="end"/>
      </w:r>
      <w:r>
        <w:tab/>
        <w:t>Le TWM a assisté à un exposé présenté par M.</w:t>
      </w:r>
      <w:r w:rsidR="00995086">
        <w:t> </w:t>
      </w:r>
      <w:r>
        <w:t>Marcel</w:t>
      </w:r>
      <w:r w:rsidR="00F11A81">
        <w:t> </w:t>
      </w:r>
      <w:proofErr w:type="spellStart"/>
      <w:r>
        <w:t>Bruins</w:t>
      </w:r>
      <w:proofErr w:type="spellEnd"/>
      <w:r>
        <w:t xml:space="preserve"> (</w:t>
      </w:r>
      <w:proofErr w:type="spellStart"/>
      <w:r>
        <w:t>CropLife</w:t>
      </w:r>
      <w:proofErr w:type="spellEnd"/>
      <w:r>
        <w:t xml:space="preserve"> International) sur la confidentialité et la titularité des informations moléculaires (document TWM/1/22).</w:t>
      </w:r>
      <w:r w:rsidR="009B2417">
        <w:t xml:space="preserve"> </w:t>
      </w:r>
      <w:r w:rsidR="00995086">
        <w:t xml:space="preserve"> </w:t>
      </w:r>
      <w:r w:rsidR="009B2417">
        <w:t>Le TWM</w:t>
      </w:r>
      <w:r>
        <w:t xml:space="preserve"> a pris note des préoccupations exprimées par les organisations d</w:t>
      </w:r>
      <w:r w:rsidR="009B2417">
        <w:t>’</w:t>
      </w:r>
      <w:r>
        <w:t>obtenteurs selon lesquelles les informations moléculaires fournies pour l</w:t>
      </w:r>
      <w:r w:rsidR="009B2417">
        <w:t>’</w:t>
      </w:r>
      <w:r>
        <w:t>examen d</w:t>
      </w:r>
      <w:r w:rsidR="009B2417">
        <w:t>’</w:t>
      </w:r>
      <w:r>
        <w:t>une variété ne devraient pas être communiquées à des personnes extérieures au service ayant reçu la demande sans l</w:t>
      </w:r>
      <w:r w:rsidR="009B2417">
        <w:t>’</w:t>
      </w:r>
      <w:r>
        <w:t>autorisation de l</w:t>
      </w:r>
      <w:r w:rsidR="009B2417">
        <w:t>’</w:t>
      </w:r>
      <w:r>
        <w:t>obtente</w:t>
      </w:r>
      <w:r w:rsidR="00F11A81">
        <w:t>ur</w:t>
      </w:r>
      <w:r w:rsidR="00F11A81">
        <w:t xml:space="preserve">.  </w:t>
      </w:r>
      <w:r w:rsidR="00F11A81">
        <w:t>Le</w:t>
      </w:r>
      <w:r w:rsidR="009B2417">
        <w:t> TWM</w:t>
      </w:r>
      <w:r>
        <w:t xml:space="preserve"> a également pris note de la préoccupation selon laquelle la manière dont les informations moléculaires étaient utilisées, et surtout partagées, n</w:t>
      </w:r>
      <w:r w:rsidR="009B2417">
        <w:t>’</w:t>
      </w:r>
      <w:r>
        <w:t>était pas assez claire pour les obtenteurs.</w:t>
      </w:r>
    </w:p>
    <w:p w:rsidR="00985A1B" w:rsidRDefault="00985A1B" w:rsidP="00985A1B">
      <w:pPr>
        <w:autoSpaceDE w:val="0"/>
        <w:autoSpaceDN w:val="0"/>
        <w:adjustRightInd w:val="0"/>
        <w:rPr>
          <w:rFonts w:eastAsia="CIDFont+F1" w:cs="Arial"/>
        </w:rPr>
      </w:pPr>
    </w:p>
    <w:p w:rsidR="00985A1B" w:rsidRPr="00C80A60" w:rsidRDefault="003238E4" w:rsidP="00985A1B">
      <w:pPr>
        <w:autoSpaceDE w:val="0"/>
        <w:autoSpaceDN w:val="0"/>
        <w:adjustRightInd w:val="0"/>
        <w:rPr>
          <w:rFonts w:eastAsia="CIDFont+F1" w:cs="Arial"/>
        </w:rPr>
      </w:pPr>
      <w:r>
        <w:rPr>
          <w:rFonts w:eastAsia="CIDFont+F1" w:cs="Arial"/>
        </w:rPr>
        <w:fldChar w:fldCharType="begin"/>
      </w:r>
      <w:r>
        <w:rPr>
          <w:rFonts w:eastAsia="CIDFont+F1" w:cs="Arial"/>
        </w:rPr>
        <w:instrText xml:space="preserve"> AUTONUM  </w:instrText>
      </w:r>
      <w:r>
        <w:rPr>
          <w:rFonts w:eastAsia="CIDFont+F1" w:cs="Arial"/>
        </w:rPr>
        <w:fldChar w:fldCharType="end"/>
      </w:r>
      <w:r>
        <w:tab/>
        <w:t>Le TWM est convenu qu</w:t>
      </w:r>
      <w:r w:rsidR="009B2417">
        <w:t>’</w:t>
      </w:r>
      <w:r>
        <w:t>il convenait de préciser davantage le type d</w:t>
      </w:r>
      <w:r w:rsidR="009B2417">
        <w:t>’</w:t>
      </w:r>
      <w:r>
        <w:t>informations qui pourraient être partagées (par exemple, les écarts moléculaires entre les variétés, les séquences de génotypes, etc.) entre les services de protection des obtentions végétales à condition d</w:t>
      </w:r>
      <w:r w:rsidR="009B2417">
        <w:t>’</w:t>
      </w:r>
      <w:r>
        <w:t>avoir obtenu une autorisation préalable, ainsi que le but de l</w:t>
      </w:r>
      <w:r w:rsidR="009B2417">
        <w:t>’</w:t>
      </w:r>
      <w:r>
        <w:t>utilisation de ces donné</w:t>
      </w:r>
      <w:r w:rsidR="00F11A81">
        <w:t>es</w:t>
      </w:r>
      <w:r w:rsidR="00F11A81">
        <w:t xml:space="preserve">.  </w:t>
      </w:r>
      <w:r w:rsidR="00F11A81">
        <w:t>Le</w:t>
      </w:r>
      <w:r w:rsidR="009B2417">
        <w:t> TWM</w:t>
      </w:r>
      <w:r>
        <w:t xml:space="preserve"> est convenu d</w:t>
      </w:r>
      <w:r w:rsidR="009B2417">
        <w:t>’</w:t>
      </w:r>
      <w:r>
        <w:t>inviter les membres et les observateurs à rendre compte des politiques existantes en matière de confidentialité des informations moléculaires à sa deux</w:t>
      </w:r>
      <w:r w:rsidR="009B2417">
        <w:t>ième session</w:t>
      </w:r>
      <w:r>
        <w:t>.</w:t>
      </w:r>
    </w:p>
    <w:p w:rsidR="00985A1B" w:rsidRDefault="00985A1B" w:rsidP="00985A1B">
      <w:pPr>
        <w:autoSpaceDE w:val="0"/>
        <w:autoSpaceDN w:val="0"/>
        <w:adjustRightInd w:val="0"/>
        <w:jc w:val="left"/>
        <w:rPr>
          <w:rFonts w:eastAsia="CIDFont+F1" w:cs="Arial"/>
        </w:rPr>
      </w:pPr>
    </w:p>
    <w:p w:rsidR="00985A1B" w:rsidRDefault="003238E4" w:rsidP="00985A1B">
      <w:pPr>
        <w:autoSpaceDE w:val="0"/>
        <w:autoSpaceDN w:val="0"/>
        <w:adjustRightInd w:val="0"/>
        <w:rPr>
          <w:rFonts w:eastAsia="CIDFont+F1" w:cs="Arial"/>
        </w:rPr>
      </w:pPr>
      <w:r>
        <w:rPr>
          <w:rFonts w:eastAsia="CIDFont+F1" w:cs="Arial"/>
        </w:rPr>
        <w:fldChar w:fldCharType="begin"/>
      </w:r>
      <w:r>
        <w:rPr>
          <w:rFonts w:eastAsia="CIDFont+F1" w:cs="Arial"/>
        </w:rPr>
        <w:instrText xml:space="preserve"> AUTONUM  </w:instrText>
      </w:r>
      <w:r>
        <w:rPr>
          <w:rFonts w:eastAsia="CIDFont+F1" w:cs="Arial"/>
        </w:rPr>
        <w:fldChar w:fldCharType="end"/>
      </w:r>
      <w:r>
        <w:tab/>
        <w:t>Le TWM a examiné le document TWP/6/7.</w:t>
      </w:r>
      <w:r w:rsidR="009B2417">
        <w:t xml:space="preserve"> </w:t>
      </w:r>
      <w:r w:rsidR="00995086">
        <w:t xml:space="preserve"> </w:t>
      </w:r>
      <w:r w:rsidR="009B2417">
        <w:t>Le TWM</w:t>
      </w:r>
      <w:r>
        <w:t xml:space="preserve"> a organisé une réunion afin que les participants puissent échanger des informations sur leurs travaux concernant les techniques biochimiques et moléculaires et étudier les domaines de coopération possibl</w:t>
      </w:r>
      <w:r w:rsidR="00F11A81">
        <w:t>es</w:t>
      </w:r>
      <w:r w:rsidR="00F11A81">
        <w:t xml:space="preserve">.  </w:t>
      </w:r>
      <w:r w:rsidR="00F11A81">
        <w:t>Le</w:t>
      </w:r>
      <w:r w:rsidR="009B2417">
        <w:t> TWM</w:t>
      </w:r>
      <w:r>
        <w:t xml:space="preserve"> est convenu qu</w:t>
      </w:r>
      <w:r w:rsidR="009B2417">
        <w:t>’</w:t>
      </w:r>
      <w:r>
        <w:t>il faudrait consacrer suffisamment de temps à l</w:t>
      </w:r>
      <w:r w:rsidR="009B2417">
        <w:t>’</w:t>
      </w:r>
      <w:r>
        <w:t>examen des points de l</w:t>
      </w:r>
      <w:r w:rsidR="009B2417">
        <w:t>’</w:t>
      </w:r>
      <w:r>
        <w:t>ordre du jour dans le futur programme de travail de la réunion et qu</w:t>
      </w:r>
      <w:r w:rsidR="009B2417">
        <w:t>’</w:t>
      </w:r>
      <w:r>
        <w:t>il ne serait pas nécessaire de tenir de débat ouvert.</w:t>
      </w:r>
    </w:p>
    <w:p w:rsidR="00985A1B" w:rsidRPr="00DF1C14" w:rsidRDefault="00985A1B" w:rsidP="00985A1B">
      <w:pPr>
        <w:autoSpaceDE w:val="0"/>
        <w:autoSpaceDN w:val="0"/>
        <w:adjustRightInd w:val="0"/>
        <w:jc w:val="left"/>
        <w:rPr>
          <w:rFonts w:cs="Arial"/>
        </w:rPr>
      </w:pPr>
    </w:p>
    <w:p w:rsidR="00985A1B" w:rsidRPr="008D0013" w:rsidRDefault="00985A1B" w:rsidP="00985A1B">
      <w:r>
        <w:fldChar w:fldCharType="begin"/>
      </w:r>
      <w:r>
        <w:instrText xml:space="preserve"> AUTONUM  </w:instrText>
      </w:r>
      <w:r>
        <w:fldChar w:fldCharType="end"/>
      </w:r>
      <w:r>
        <w:tab/>
        <w:t>Le TWM est convenu de tenir sa deux</w:t>
      </w:r>
      <w:r w:rsidR="009B2417">
        <w:t>ième session</w:t>
      </w:r>
      <w:r>
        <w:t xml:space="preserve"> du 8 au 1</w:t>
      </w:r>
      <w:r w:rsidR="009B2417">
        <w:t>2 avril 20</w:t>
      </w:r>
      <w:r>
        <w:t>24.</w:t>
      </w:r>
    </w:p>
    <w:p w:rsidR="00985A1B" w:rsidRPr="00F4370D" w:rsidRDefault="00985A1B" w:rsidP="00985A1B"/>
    <w:p w:rsidR="00985A1B" w:rsidRPr="00113E52" w:rsidRDefault="00985A1B" w:rsidP="00985A1B">
      <w:pPr>
        <w:keepNext/>
        <w:rPr>
          <w:rFonts w:cs="Arial"/>
        </w:rPr>
      </w:pPr>
      <w:r w:rsidRPr="00113E52">
        <w:fldChar w:fldCharType="begin"/>
      </w:r>
      <w:r w:rsidRPr="00113E52">
        <w:instrText xml:space="preserve"> AUTONUM  </w:instrText>
      </w:r>
      <w:r w:rsidRPr="00113E52">
        <w:fldChar w:fldCharType="end"/>
      </w:r>
      <w:r>
        <w:tab/>
        <w:t>Le TWM est convenu que les réunions virtuelles permettaient une plus grande participation des experts et que les réunions sur place étaient importantes pour la coopérati</w:t>
      </w:r>
      <w:r w:rsidR="00F11A81">
        <w:t>on</w:t>
      </w:r>
      <w:r w:rsidR="00F11A81">
        <w:t xml:space="preserve">.  </w:t>
      </w:r>
      <w:r w:rsidR="00F11A81">
        <w:t>Le</w:t>
      </w:r>
      <w:r w:rsidR="009B2417">
        <w:t> TWM</w:t>
      </w:r>
      <w:r>
        <w:t xml:space="preserve"> a accepté de proposer de tenir une réunion sous forme hybride.</w:t>
      </w:r>
    </w:p>
    <w:p w:rsidR="00985A1B" w:rsidRPr="00113E52" w:rsidRDefault="00985A1B" w:rsidP="00985A1B">
      <w:pPr>
        <w:keepNext/>
        <w:rPr>
          <w:rFonts w:cs="Arial"/>
          <w:u w:val="single"/>
        </w:rPr>
      </w:pPr>
    </w:p>
    <w:p w:rsidR="00985A1B" w:rsidRPr="00B71352" w:rsidRDefault="00985A1B" w:rsidP="00985A1B">
      <w:pPr>
        <w:rPr>
          <w:rFonts w:cs="Arial"/>
        </w:rPr>
      </w:pPr>
      <w:r w:rsidRPr="00B71352">
        <w:rPr>
          <w:rFonts w:cs="Arial"/>
        </w:rPr>
        <w:fldChar w:fldCharType="begin"/>
      </w:r>
      <w:r w:rsidRPr="00B71352">
        <w:rPr>
          <w:rFonts w:cs="Arial"/>
        </w:rPr>
        <w:instrText xml:space="preserve"> AUTONUM  </w:instrText>
      </w:r>
      <w:r w:rsidRPr="00B71352">
        <w:rPr>
          <w:rFonts w:cs="Arial"/>
        </w:rPr>
        <w:fldChar w:fldCharType="end"/>
      </w:r>
      <w:r>
        <w:tab/>
        <w:t>Le TWM a pris note de l</w:t>
      </w:r>
      <w:r w:rsidR="009B2417">
        <w:t>’</w:t>
      </w:r>
      <w:r>
        <w:t xml:space="preserve">intérêt manifesté par la </w:t>
      </w:r>
      <w:proofErr w:type="spellStart"/>
      <w:r>
        <w:t>Seed</w:t>
      </w:r>
      <w:proofErr w:type="spellEnd"/>
      <w:r>
        <w:t xml:space="preserve"> Association of the </w:t>
      </w:r>
      <w:proofErr w:type="spellStart"/>
      <w:r>
        <w:t>Americas</w:t>
      </w:r>
      <w:proofErr w:type="spellEnd"/>
      <w:r>
        <w:t xml:space="preserve"> (SAA) pour appuyer l</w:t>
      </w:r>
      <w:r w:rsidR="009B2417">
        <w:t>’</w:t>
      </w:r>
      <w:r>
        <w:t>organisation d</w:t>
      </w:r>
      <w:r w:rsidR="009B2417">
        <w:t>’</w:t>
      </w:r>
      <w:r>
        <w:t>une réunion</w:t>
      </w:r>
      <w:r w:rsidR="009B2417">
        <w:t xml:space="preserve"> du TWM</w:t>
      </w:r>
      <w:r>
        <w:t xml:space="preserve"> qui se tiendrait en présentiel dans un membre de l</w:t>
      </w:r>
      <w:r w:rsidR="009B2417">
        <w:t>’</w:t>
      </w:r>
      <w:r>
        <w:t>UPOV.</w:t>
      </w:r>
    </w:p>
    <w:p w:rsidR="00985A1B" w:rsidRPr="00B71352" w:rsidRDefault="00985A1B" w:rsidP="00985A1B">
      <w:pPr>
        <w:rPr>
          <w:rFonts w:cs="Arial"/>
        </w:rPr>
      </w:pPr>
    </w:p>
    <w:p w:rsidR="00985A1B" w:rsidRPr="00B71352" w:rsidRDefault="00985A1B" w:rsidP="00985A1B">
      <w:pPr>
        <w:keepNext/>
      </w:pPr>
      <w:r w:rsidRPr="00B71352">
        <w:fldChar w:fldCharType="begin"/>
      </w:r>
      <w:r w:rsidRPr="00B71352">
        <w:instrText xml:space="preserve"> AUTONUM  </w:instrText>
      </w:r>
      <w:r w:rsidRPr="00B71352">
        <w:fldChar w:fldCharType="end"/>
      </w:r>
      <w:r>
        <w:tab/>
        <w:t>Le TWM est convenu que les documents relatifs à sa deux</w:t>
      </w:r>
      <w:r w:rsidR="009B2417">
        <w:t>ième session</w:t>
      </w:r>
      <w:r>
        <w:t xml:space="preserve"> devraient être soumis au Bureau de l</w:t>
      </w:r>
      <w:r w:rsidR="009B2417">
        <w:t>’</w:t>
      </w:r>
      <w:r>
        <w:t>Union d</w:t>
      </w:r>
      <w:r w:rsidR="009B2417">
        <w:t>’</w:t>
      </w:r>
      <w:r>
        <w:t>ici au 2</w:t>
      </w:r>
      <w:r w:rsidR="009B2417">
        <w:t>3 février 20</w:t>
      </w:r>
      <w:r>
        <w:t xml:space="preserve">24. </w:t>
      </w:r>
      <w:r w:rsidR="00995086">
        <w:t xml:space="preserve"> </w:t>
      </w:r>
      <w:r>
        <w:t>Il a indiqué que les points de l</w:t>
      </w:r>
      <w:r w:rsidR="009B2417">
        <w:t>’</w:t>
      </w:r>
      <w:r>
        <w:t>ordre du jour pour lesquels les documents prévus ne seraient pas parvenus au Bureau de l</w:t>
      </w:r>
      <w:r w:rsidR="009B2417">
        <w:t>’</w:t>
      </w:r>
      <w:r>
        <w:t>Union dans le délai convenu seraient supprimés.</w:t>
      </w:r>
    </w:p>
    <w:p w:rsidR="00985A1B" w:rsidRPr="00B71352" w:rsidRDefault="00985A1B" w:rsidP="00985A1B"/>
    <w:p w:rsidR="00985A1B" w:rsidRPr="00B71352" w:rsidRDefault="00985A1B" w:rsidP="00985A1B">
      <w:pPr>
        <w:keepNext/>
        <w:rPr>
          <w:snapToGrid w:val="0"/>
        </w:rPr>
      </w:pPr>
      <w:r w:rsidRPr="00B71352">
        <w:rPr>
          <w:snapToGrid w:val="0"/>
        </w:rPr>
        <w:fldChar w:fldCharType="begin"/>
      </w:r>
      <w:r w:rsidRPr="00B71352">
        <w:rPr>
          <w:snapToGrid w:val="0"/>
        </w:rPr>
        <w:instrText xml:space="preserve"> AUTONUM  </w:instrText>
      </w:r>
      <w:r w:rsidRPr="00B71352">
        <w:rPr>
          <w:snapToGrid w:val="0"/>
        </w:rPr>
        <w:fldChar w:fldCharType="end"/>
      </w:r>
      <w:r>
        <w:rPr>
          <w:snapToGrid w:val="0"/>
        </w:rPr>
        <w:tab/>
        <w:t>Le TWM a proposé d</w:t>
      </w:r>
      <w:r w:rsidR="009B2417">
        <w:rPr>
          <w:snapToGrid w:val="0"/>
        </w:rPr>
        <w:t>’</w:t>
      </w:r>
      <w:r>
        <w:rPr>
          <w:snapToGrid w:val="0"/>
        </w:rPr>
        <w:t xml:space="preserve">examiner les points suivants à </w:t>
      </w:r>
      <w:r>
        <w:t>sa deux</w:t>
      </w:r>
      <w:r w:rsidR="009B2417">
        <w:t>ième session :</w:t>
      </w:r>
    </w:p>
    <w:p w:rsidR="00985A1B" w:rsidRPr="00B71352" w:rsidRDefault="00985A1B" w:rsidP="00985A1B">
      <w:pPr>
        <w:keepNext/>
        <w:rPr>
          <w:snapToGrid w:val="0"/>
        </w:rPr>
      </w:pPr>
    </w:p>
    <w:p w:rsidR="00985A1B" w:rsidRPr="00C85523" w:rsidRDefault="00985A1B" w:rsidP="00985A1B">
      <w:pPr>
        <w:spacing w:after="120" w:line="276" w:lineRule="auto"/>
        <w:ind w:left="567"/>
      </w:pPr>
      <w:r>
        <w:t>1.</w:t>
      </w:r>
      <w:r>
        <w:tab/>
        <w:t>Ouverture de la session</w:t>
      </w:r>
    </w:p>
    <w:p w:rsidR="00985A1B" w:rsidRPr="00C85523" w:rsidRDefault="00985A1B" w:rsidP="00985A1B">
      <w:pPr>
        <w:spacing w:after="120" w:line="276" w:lineRule="auto"/>
        <w:ind w:left="567"/>
      </w:pPr>
      <w:r>
        <w:t>2.</w:t>
      </w:r>
      <w:r>
        <w:tab/>
        <w:t>Adoption de l</w:t>
      </w:r>
      <w:r w:rsidR="009B2417">
        <w:t>’</w:t>
      </w:r>
      <w:r>
        <w:t>ordre du jour</w:t>
      </w:r>
    </w:p>
    <w:p w:rsidR="00985A1B" w:rsidRPr="00C85523" w:rsidRDefault="00985A1B" w:rsidP="00985A1B">
      <w:pPr>
        <w:spacing w:after="120" w:line="276" w:lineRule="auto"/>
        <w:ind w:left="567"/>
      </w:pPr>
      <w:r>
        <w:t>3.</w:t>
      </w:r>
      <w:r>
        <w:tab/>
        <w:t>Éléments nouveaux en matière de protection des obtentions végétales</w:t>
      </w:r>
    </w:p>
    <w:p w:rsidR="00985A1B" w:rsidRPr="00C85523" w:rsidRDefault="00F11A81" w:rsidP="00985A1B">
      <w:pPr>
        <w:tabs>
          <w:tab w:val="left" w:pos="1701"/>
        </w:tabs>
        <w:spacing w:after="120" w:line="276" w:lineRule="auto"/>
        <w:ind w:left="1701" w:hanging="567"/>
      </w:pPr>
      <w:r>
        <w:t>a)</w:t>
      </w:r>
      <w:r w:rsidR="00985A1B">
        <w:tab/>
        <w:t>Rapports des membres et des observateurs (rapports écrits à établir par les membres et observateurs)</w:t>
      </w:r>
    </w:p>
    <w:p w:rsidR="009B2417" w:rsidRDefault="00F11A81" w:rsidP="00985A1B">
      <w:pPr>
        <w:tabs>
          <w:tab w:val="left" w:pos="1701"/>
        </w:tabs>
        <w:spacing w:after="120" w:line="276" w:lineRule="auto"/>
        <w:ind w:left="1701" w:hanging="567"/>
      </w:pPr>
      <w:r>
        <w:t>b)</w:t>
      </w:r>
      <w:r w:rsidR="00985A1B">
        <w:tab/>
        <w:t>Rapport sur les faits nouveaux intervenus à l</w:t>
      </w:r>
      <w:r w:rsidR="009B2417">
        <w:t>’</w:t>
      </w:r>
      <w:r w:rsidR="00985A1B">
        <w:t>UPOV (rapport du Bureau de l</w:t>
      </w:r>
      <w:r w:rsidR="009B2417">
        <w:t>’</w:t>
      </w:r>
      <w:r w:rsidR="00985A1B">
        <w:t>Union)</w:t>
      </w:r>
    </w:p>
    <w:p w:rsidR="009B2417" w:rsidRDefault="00985A1B" w:rsidP="00985A1B">
      <w:pPr>
        <w:tabs>
          <w:tab w:val="left" w:pos="1134"/>
        </w:tabs>
        <w:spacing w:after="120" w:line="276" w:lineRule="auto"/>
        <w:ind w:left="1134" w:hanging="567"/>
        <w:rPr>
          <w:i/>
        </w:rPr>
      </w:pPr>
      <w:r>
        <w:t>4.</w:t>
      </w:r>
      <w:r>
        <w:tab/>
        <w:t>Conseils et coopération</w:t>
      </w:r>
    </w:p>
    <w:p w:rsidR="00985A1B" w:rsidRDefault="00985A1B" w:rsidP="00F11A81">
      <w:pPr>
        <w:spacing w:after="120" w:line="276" w:lineRule="auto"/>
        <w:ind w:left="1710" w:hanging="576"/>
      </w:pPr>
      <w:r>
        <w:t>a)</w:t>
      </w:r>
      <w:r>
        <w:tab/>
        <w:t>Élaboration de documents d</w:t>
      </w:r>
      <w:r w:rsidR="009B2417">
        <w:t>’</w:t>
      </w:r>
      <w:r>
        <w:t>orientation et d</w:t>
      </w:r>
      <w:r w:rsidR="009B2417">
        <w:t>’</w:t>
      </w:r>
      <w:r>
        <w:t>information (document à établir par le Bureau de l</w:t>
      </w:r>
      <w:r w:rsidR="009B2417">
        <w:t>’</w:t>
      </w:r>
      <w:r>
        <w:t>Union)</w:t>
      </w:r>
    </w:p>
    <w:p w:rsidR="00985A1B" w:rsidRDefault="00985A1B" w:rsidP="00F11A81">
      <w:pPr>
        <w:spacing w:after="120" w:line="276" w:lineRule="auto"/>
        <w:ind w:left="1710" w:hanging="576"/>
      </w:pPr>
      <w:r>
        <w:t>b)</w:t>
      </w:r>
      <w:r>
        <w:tab/>
        <w:t>Renforcement de la participation aux travaux du</w:t>
      </w:r>
      <w:r w:rsidR="009B2417">
        <w:t> TC</w:t>
      </w:r>
      <w:r>
        <w:t xml:space="preserve"> et</w:t>
      </w:r>
      <w:r w:rsidR="009B2417">
        <w:t xml:space="preserve"> des TWP</w:t>
      </w:r>
      <w:r>
        <w:t xml:space="preserve"> (document à établir par le Bureau de l</w:t>
      </w:r>
      <w:r w:rsidR="009B2417">
        <w:t>’</w:t>
      </w:r>
      <w:r>
        <w:t>Union)</w:t>
      </w:r>
    </w:p>
    <w:p w:rsidR="00985A1B" w:rsidRDefault="00985A1B" w:rsidP="00F11A81">
      <w:pPr>
        <w:spacing w:after="120" w:line="276" w:lineRule="auto"/>
        <w:ind w:left="1710" w:hanging="576"/>
      </w:pPr>
      <w:r>
        <w:t>c)</w:t>
      </w:r>
      <w:r>
        <w:tab/>
        <w:t>Coopération en matière d</w:t>
      </w:r>
      <w:r w:rsidR="009B2417">
        <w:t>’</w:t>
      </w:r>
      <w:r>
        <w:t>examen (document à établir par le Bureau de l</w:t>
      </w:r>
      <w:r w:rsidR="009B2417">
        <w:t>’</w:t>
      </w:r>
      <w:r>
        <w:t>Union)</w:t>
      </w:r>
    </w:p>
    <w:p w:rsidR="00985A1B" w:rsidRPr="00C85523" w:rsidRDefault="00985A1B" w:rsidP="00F11A81">
      <w:pPr>
        <w:keepNext/>
        <w:spacing w:after="120" w:line="276" w:lineRule="auto"/>
        <w:ind w:left="1710" w:hanging="576"/>
      </w:pPr>
      <w:r>
        <w:t>d)</w:t>
      </w:r>
      <w:r>
        <w:tab/>
        <w:t>Informations et bases de données</w:t>
      </w:r>
    </w:p>
    <w:p w:rsidR="009B2417" w:rsidRDefault="00F11A81" w:rsidP="00F11A81">
      <w:pPr>
        <w:keepNext/>
        <w:spacing w:after="120" w:line="276" w:lineRule="auto"/>
        <w:ind w:left="2268" w:hanging="558"/>
      </w:pPr>
      <w:r>
        <w:t>–</w:t>
      </w:r>
      <w:r w:rsidR="00985A1B">
        <w:tab/>
        <w:t>UPOV PRISMA (document à établir par le Bureau de l</w:t>
      </w:r>
      <w:r w:rsidR="009B2417">
        <w:t>’</w:t>
      </w:r>
      <w:r w:rsidR="00985A1B">
        <w:t>Union)</w:t>
      </w:r>
    </w:p>
    <w:p w:rsidR="00985A1B" w:rsidRDefault="00F11A81" w:rsidP="00F11A81">
      <w:pPr>
        <w:spacing w:after="120" w:line="276" w:lineRule="auto"/>
        <w:ind w:left="2268" w:hanging="558"/>
      </w:pPr>
      <w:r>
        <w:t>–</w:t>
      </w:r>
      <w:r w:rsidR="00985A1B">
        <w:tab/>
        <w:t>Bases de données d</w:t>
      </w:r>
      <w:r w:rsidR="009B2417">
        <w:t>’</w:t>
      </w:r>
      <w:r w:rsidR="00985A1B">
        <w:t>information de l</w:t>
      </w:r>
      <w:r w:rsidR="009B2417">
        <w:t>’</w:t>
      </w:r>
      <w:r w:rsidR="00985A1B">
        <w:t>UPOV (document à établir par le Bureau de l</w:t>
      </w:r>
      <w:r w:rsidR="009B2417">
        <w:t>’</w:t>
      </w:r>
      <w:r w:rsidR="00985A1B">
        <w:t>Union)</w:t>
      </w:r>
    </w:p>
    <w:p w:rsidR="009B2417" w:rsidRDefault="00F11A81" w:rsidP="00F11A81">
      <w:pPr>
        <w:spacing w:after="120" w:line="276" w:lineRule="auto"/>
        <w:ind w:left="2268" w:hanging="558"/>
      </w:pPr>
      <w:r>
        <w:t>–</w:t>
      </w:r>
      <w:r w:rsidR="00985A1B">
        <w:tab/>
        <w:t>Bases de données sur les descriptions variétales, notamment les bases de données contenant des données moléculaires (document à établir par le Bureau de l</w:t>
      </w:r>
      <w:r w:rsidR="009B2417">
        <w:t>’</w:t>
      </w:r>
      <w:r w:rsidR="00985A1B">
        <w:t>Union et documents sollicités)</w:t>
      </w:r>
    </w:p>
    <w:p w:rsidR="00985A1B" w:rsidRPr="00C85523" w:rsidRDefault="00F11A81" w:rsidP="00F11A81">
      <w:pPr>
        <w:spacing w:after="120" w:line="276" w:lineRule="auto"/>
        <w:ind w:left="2268" w:hanging="558"/>
      </w:pPr>
      <w:r>
        <w:t>–</w:t>
      </w:r>
      <w:r w:rsidR="00985A1B">
        <w:tab/>
        <w:t>Dénominations variétales (document à établir par le Bureau de l</w:t>
      </w:r>
      <w:r w:rsidR="009B2417">
        <w:t>’</w:t>
      </w:r>
      <w:r w:rsidR="00985A1B">
        <w:t>Union)</w:t>
      </w:r>
    </w:p>
    <w:p w:rsidR="009B2417" w:rsidRDefault="00985A1B" w:rsidP="00985A1B">
      <w:pPr>
        <w:spacing w:after="120" w:line="276" w:lineRule="auto"/>
        <w:ind w:left="1134" w:hanging="567"/>
        <w:rPr>
          <w:i/>
        </w:rPr>
      </w:pPr>
      <w:r>
        <w:t>5.</w:t>
      </w:r>
      <w:r>
        <w:tab/>
        <w:t>Logiciels et méthodes d</w:t>
      </w:r>
      <w:r w:rsidR="009B2417">
        <w:t>’</w:t>
      </w:r>
      <w:r>
        <w:t>analyse statistique pour l</w:t>
      </w:r>
      <w:r w:rsidR="009B2417">
        <w:t>’</w:t>
      </w:r>
      <w:r>
        <w:t>examen</w:t>
      </w:r>
      <w:r w:rsidR="00995086">
        <w:t> </w:t>
      </w:r>
      <w:r>
        <w:t>DHS</w:t>
      </w:r>
    </w:p>
    <w:p w:rsidR="00985A1B" w:rsidRDefault="00985A1B" w:rsidP="00F11A81">
      <w:pPr>
        <w:spacing w:after="120" w:line="276" w:lineRule="auto"/>
        <w:ind w:left="1701" w:hanging="567"/>
      </w:pPr>
      <w:r>
        <w:t>a)</w:t>
      </w:r>
      <w:r w:rsidR="00F11A81">
        <w:tab/>
      </w:r>
      <w:r>
        <w:t>Outils et méthodes statistiques pour l</w:t>
      </w:r>
      <w:r w:rsidR="009B2417">
        <w:t>’</w:t>
      </w:r>
      <w:r>
        <w:t>examen</w:t>
      </w:r>
      <w:r w:rsidR="00995086">
        <w:t> </w:t>
      </w:r>
      <w:r>
        <w:t>DHS (documents sollicités)</w:t>
      </w:r>
    </w:p>
    <w:p w:rsidR="00985A1B" w:rsidRPr="00C85523" w:rsidRDefault="00F11A81" w:rsidP="00F11A81">
      <w:pPr>
        <w:spacing w:after="120" w:line="276" w:lineRule="auto"/>
        <w:ind w:left="2268" w:hanging="558"/>
      </w:pPr>
      <w:r>
        <w:t>–</w:t>
      </w:r>
      <w:r w:rsidR="00985A1B">
        <w:tab/>
        <w:t>Analyse globale de l</w:t>
      </w:r>
      <w:r w:rsidR="009B2417">
        <w:t>’</w:t>
      </w:r>
      <w:r w:rsidR="00985A1B">
        <w:t>homogénéité sur plusieurs années (méthode d</w:t>
      </w:r>
      <w:r w:rsidR="009B2417">
        <w:t>’</w:t>
      </w:r>
      <w:r w:rsidR="00985A1B">
        <w:t>analyse COYU) (document à établir par le Bureau de l</w:t>
      </w:r>
      <w:r w:rsidR="009B2417">
        <w:t>’</w:t>
      </w:r>
      <w:r w:rsidR="00985A1B">
        <w:t>Union)</w:t>
      </w:r>
    </w:p>
    <w:p w:rsidR="00985A1B" w:rsidRPr="00477E0D" w:rsidRDefault="00F11A81" w:rsidP="00F11A81">
      <w:pPr>
        <w:spacing w:after="120" w:line="276" w:lineRule="auto"/>
        <w:ind w:left="2268" w:hanging="558"/>
      </w:pPr>
      <w:r>
        <w:t>–</w:t>
      </w:r>
      <w:r w:rsidR="00985A1B">
        <w:tab/>
        <w:t>Développement de logiciels pour la méthode COYU améliorée (</w:t>
      </w:r>
      <w:proofErr w:type="spellStart"/>
      <w:r w:rsidR="00985A1B">
        <w:t>splines</w:t>
      </w:r>
      <w:proofErr w:type="spellEnd"/>
      <w:r w:rsidR="00985A1B">
        <w:t>) (document à établir par le Royaume</w:t>
      </w:r>
      <w:r>
        <w:noBreakHyphen/>
      </w:r>
      <w:r w:rsidR="00985A1B">
        <w:t>Uni)</w:t>
      </w:r>
    </w:p>
    <w:p w:rsidR="009B2417" w:rsidRDefault="00F11A81" w:rsidP="00F11A81">
      <w:pPr>
        <w:spacing w:after="120" w:line="276" w:lineRule="auto"/>
        <w:ind w:left="2268" w:hanging="558"/>
      </w:pPr>
      <w:r>
        <w:t>–</w:t>
      </w:r>
      <w:r w:rsidR="00985A1B">
        <w:tab/>
        <w:t>Extrapolation en rapport avec la méthode d</w:t>
      </w:r>
      <w:r w:rsidR="009B2417">
        <w:t>’</w:t>
      </w:r>
      <w:r w:rsidR="00985A1B">
        <w:t>analyse COYU (document à établir par le Royaume</w:t>
      </w:r>
      <w:r>
        <w:noBreakHyphen/>
      </w:r>
      <w:r w:rsidR="00985A1B">
        <w:t>Uni et documents sollicités)</w:t>
      </w:r>
    </w:p>
    <w:p w:rsidR="00985A1B" w:rsidRDefault="00F11A81" w:rsidP="00F11A81">
      <w:pPr>
        <w:spacing w:after="120" w:line="276" w:lineRule="auto"/>
        <w:ind w:left="2268" w:hanging="558"/>
      </w:pPr>
      <w:r>
        <w:t>–</w:t>
      </w:r>
      <w:r w:rsidR="00985A1B">
        <w:tab/>
        <w:t>Comparaison des résultats obtenus avec les méthodes COYD et COYU à l</w:t>
      </w:r>
      <w:r w:rsidR="009B2417">
        <w:t>’</w:t>
      </w:r>
      <w:r w:rsidR="00985A1B">
        <w:t>aide de différents logiciels (document à établir par la France)</w:t>
      </w:r>
    </w:p>
    <w:p w:rsidR="00985A1B" w:rsidRPr="00477E0D" w:rsidRDefault="00F11A81" w:rsidP="00F11A81">
      <w:pPr>
        <w:spacing w:after="120" w:line="276" w:lineRule="auto"/>
        <w:ind w:left="2268" w:hanging="558"/>
      </w:pPr>
      <w:r>
        <w:t>–</w:t>
      </w:r>
      <w:r w:rsidR="00985A1B">
        <w:tab/>
        <w:t xml:space="preserve">Développement de plateformes de </w:t>
      </w:r>
      <w:proofErr w:type="spellStart"/>
      <w:r w:rsidR="00985A1B">
        <w:t>mégadonnées</w:t>
      </w:r>
      <w:proofErr w:type="spellEnd"/>
      <w:r w:rsidR="00985A1B">
        <w:t xml:space="preserve"> pour l</w:t>
      </w:r>
      <w:r w:rsidR="009B2417">
        <w:t>’</w:t>
      </w:r>
      <w:r w:rsidR="00985A1B">
        <w:t>examen</w:t>
      </w:r>
      <w:r w:rsidR="00995086">
        <w:t> </w:t>
      </w:r>
      <w:r w:rsidR="00985A1B">
        <w:t>DHS (document à établir par la Chine)</w:t>
      </w:r>
    </w:p>
    <w:p w:rsidR="00985A1B" w:rsidRPr="00C85523" w:rsidRDefault="00F11A81" w:rsidP="00F11A81">
      <w:pPr>
        <w:spacing w:after="120" w:line="276" w:lineRule="auto"/>
        <w:ind w:left="1701" w:hanging="567"/>
      </w:pPr>
      <w:r>
        <w:t>b)</w:t>
      </w:r>
      <w:r w:rsidR="00985A1B">
        <w:tab/>
        <w:t>Échange et utilisation de logiciels et d</w:t>
      </w:r>
      <w:r w:rsidR="009B2417">
        <w:t>’</w:t>
      </w:r>
      <w:r w:rsidR="00985A1B">
        <w:t>équipements (document à établir par le Bureau de l</w:t>
      </w:r>
      <w:r w:rsidR="009B2417">
        <w:t>’</w:t>
      </w:r>
      <w:r w:rsidR="00985A1B">
        <w:t>Union et documents sollicités)</w:t>
      </w:r>
    </w:p>
    <w:p w:rsidR="00985A1B" w:rsidRPr="00477E0D" w:rsidRDefault="00F11A81" w:rsidP="00F11A81">
      <w:pPr>
        <w:spacing w:after="120" w:line="276" w:lineRule="auto"/>
        <w:ind w:left="2268" w:hanging="558"/>
      </w:pPr>
      <w:r>
        <w:t>–</w:t>
      </w:r>
      <w:r w:rsidR="00985A1B">
        <w:tab/>
        <w:t>Développement de logiciels d</w:t>
      </w:r>
      <w:r w:rsidR="009B2417">
        <w:t>’</w:t>
      </w:r>
      <w:r w:rsidR="00985A1B">
        <w:t>analyse statistique</w:t>
      </w:r>
      <w:r w:rsidR="009B2417">
        <w:t> :</w:t>
      </w:r>
      <w:r w:rsidR="00985A1B">
        <w:t xml:space="preserve"> DUSCEL (document à établir par la Chine)</w:t>
      </w:r>
    </w:p>
    <w:p w:rsidR="00985A1B" w:rsidRDefault="00985A1B" w:rsidP="00985A1B">
      <w:pPr>
        <w:spacing w:after="120" w:line="276" w:lineRule="auto"/>
        <w:ind w:left="1134" w:hanging="567"/>
      </w:pPr>
      <w:r>
        <w:t>6.</w:t>
      </w:r>
      <w:r>
        <w:tab/>
        <w:t>Établissement de phénotypes et analyse d</w:t>
      </w:r>
      <w:r w:rsidR="009B2417">
        <w:t>’</w:t>
      </w:r>
      <w:r>
        <w:t>images (documents sollicités)</w:t>
      </w:r>
    </w:p>
    <w:p w:rsidR="00985A1B" w:rsidRPr="00504DC8" w:rsidRDefault="00F11A81" w:rsidP="00985A1B">
      <w:pPr>
        <w:spacing w:after="120" w:line="276" w:lineRule="auto"/>
        <w:ind w:left="1134"/>
      </w:pPr>
      <w:r>
        <w:t>–</w:t>
      </w:r>
      <w:r w:rsidR="00985A1B">
        <w:tab/>
        <w:t>Évaluation des caractères de couleur au moyen de l</w:t>
      </w:r>
      <w:r w:rsidR="009B2417">
        <w:t>’</w:t>
      </w:r>
      <w:r w:rsidR="00985A1B">
        <w:t>analyse d</w:t>
      </w:r>
      <w:r w:rsidR="009B2417">
        <w:t>’</w:t>
      </w:r>
      <w:r w:rsidR="00985A1B">
        <w:t>images (documents sollicités)</w:t>
      </w:r>
    </w:p>
    <w:p w:rsidR="00985A1B" w:rsidRDefault="00985A1B" w:rsidP="00985A1B">
      <w:pPr>
        <w:spacing w:after="120" w:line="276" w:lineRule="auto"/>
        <w:ind w:left="1134" w:hanging="567"/>
      </w:pPr>
      <w:r>
        <w:t>7.</w:t>
      </w:r>
      <w:r>
        <w:tab/>
        <w:t>Évolution des techniques moléculaires et de la bio</w:t>
      </w:r>
      <w:r w:rsidR="00F11A81">
        <w:noBreakHyphen/>
      </w:r>
      <w:r>
        <w:t>informatique</w:t>
      </w:r>
    </w:p>
    <w:p w:rsidR="00985A1B" w:rsidRDefault="00985A1B" w:rsidP="00F11A81">
      <w:pPr>
        <w:spacing w:after="120" w:line="276" w:lineRule="auto"/>
        <w:ind w:left="1701" w:hanging="567"/>
      </w:pPr>
      <w:r>
        <w:t>a)</w:t>
      </w:r>
      <w:r>
        <w:tab/>
        <w:t>Avancées récentes en matière de techniques moléculaires et de bio</w:t>
      </w:r>
      <w:r w:rsidR="00F11A81">
        <w:noBreakHyphen/>
      </w:r>
      <w:r>
        <w:t>informatique (documents sollicités)</w:t>
      </w:r>
    </w:p>
    <w:p w:rsidR="00985A1B" w:rsidRDefault="00985A1B" w:rsidP="00F11A81">
      <w:pPr>
        <w:spacing w:after="120" w:line="276" w:lineRule="auto"/>
        <w:ind w:left="1701" w:hanging="567"/>
      </w:pPr>
      <w:r>
        <w:t>b)</w:t>
      </w:r>
      <w:r>
        <w:tab/>
        <w:t>Coopération entre organisations internationales (document à établir par le Bureau de l</w:t>
      </w:r>
      <w:r w:rsidR="009B2417">
        <w:t>’</w:t>
      </w:r>
      <w:r>
        <w:t>Union et documents so</w:t>
      </w:r>
      <w:bookmarkStart w:id="0" w:name="_GoBack"/>
      <w:bookmarkEnd w:id="0"/>
      <w:r>
        <w:t>llicités)</w:t>
      </w:r>
    </w:p>
    <w:p w:rsidR="00985A1B" w:rsidRDefault="00985A1B" w:rsidP="00F11A81">
      <w:pPr>
        <w:spacing w:after="120" w:line="276" w:lineRule="auto"/>
        <w:ind w:left="1701" w:hanging="567"/>
      </w:pPr>
      <w:r>
        <w:t>c)</w:t>
      </w:r>
      <w:r>
        <w:tab/>
        <w:t>Compte rendu des travaux sur les techniques moléculaires dans le cadre de l</w:t>
      </w:r>
      <w:r w:rsidR="009B2417">
        <w:t>’</w:t>
      </w:r>
      <w:r>
        <w:t>examen</w:t>
      </w:r>
      <w:r w:rsidR="00995086">
        <w:t> </w:t>
      </w:r>
      <w:r>
        <w:t>DHS (documents sollicités)</w:t>
      </w:r>
    </w:p>
    <w:p w:rsidR="009B2417" w:rsidRDefault="00985A1B" w:rsidP="00F11A81">
      <w:pPr>
        <w:spacing w:after="120" w:line="276" w:lineRule="auto"/>
        <w:ind w:left="1701" w:hanging="567"/>
      </w:pPr>
      <w:r>
        <w:t>d)</w:t>
      </w:r>
      <w:r>
        <w:tab/>
        <w:t>Méthodes d</w:t>
      </w:r>
      <w:r w:rsidR="009B2417">
        <w:t>’</w:t>
      </w:r>
      <w:r>
        <w:t>analyse des données moléculaires, gestion des bases de données et échange de données et de matériel (documents sollicités)</w:t>
      </w:r>
    </w:p>
    <w:p w:rsidR="00985A1B" w:rsidRDefault="00985A1B" w:rsidP="00F11A81">
      <w:pPr>
        <w:spacing w:after="120" w:line="276" w:lineRule="auto"/>
        <w:ind w:left="1701" w:hanging="567"/>
      </w:pPr>
      <w:r>
        <w:t>e)</w:t>
      </w:r>
      <w:r>
        <w:tab/>
        <w:t>Confidentialité, titularité et accès en matière de données moléculaires, modèle d</w:t>
      </w:r>
      <w:r w:rsidR="009B2417">
        <w:t>’</w:t>
      </w:r>
      <w:r>
        <w:t xml:space="preserve">accord </w:t>
      </w:r>
      <w:r w:rsidR="009B2417">
        <w:t>y compris</w:t>
      </w:r>
      <w:r>
        <w:rPr>
          <w:vertAlign w:val="superscript"/>
        </w:rPr>
        <w:t>1</w:t>
      </w:r>
      <w:r>
        <w:t xml:space="preserve"> (documents sollicités)</w:t>
      </w:r>
    </w:p>
    <w:p w:rsidR="00985A1B" w:rsidRDefault="00F11A81" w:rsidP="00F11A81">
      <w:pPr>
        <w:spacing w:after="120" w:line="276" w:lineRule="auto"/>
        <w:ind w:left="2268" w:hanging="558"/>
        <w:rPr>
          <w:vertAlign w:val="superscript"/>
        </w:rPr>
      </w:pPr>
      <w:r>
        <w:t>–</w:t>
      </w:r>
      <w:r w:rsidR="00985A1B">
        <w:tab/>
        <w:t>Exemples de politiques de confidentialité des données relatives aux informations moléculaires et d</w:t>
      </w:r>
      <w:r w:rsidR="009B2417">
        <w:t>’</w:t>
      </w:r>
      <w:r w:rsidR="00985A1B">
        <w:t>accès à ces données (documents sollicités)</w:t>
      </w:r>
    </w:p>
    <w:p w:rsidR="00985A1B" w:rsidRDefault="00985A1B" w:rsidP="00F11A81">
      <w:pPr>
        <w:spacing w:after="120" w:line="276" w:lineRule="auto"/>
        <w:ind w:left="1701" w:hanging="567"/>
      </w:pPr>
      <w:r>
        <w:t>f)</w:t>
      </w:r>
      <w:r>
        <w:tab/>
        <w:t>Utilisation des techniques moléculaires pour l</w:t>
      </w:r>
      <w:r w:rsidR="009B2417">
        <w:t>’</w:t>
      </w:r>
      <w:r>
        <w:t>examen des variétés essentiellement dérivées</w:t>
      </w:r>
      <w:r w:rsidRPr="00C85523">
        <w:rPr>
          <w:rStyle w:val="FootnoteReference"/>
        </w:rPr>
        <w:footnoteReference w:id="2"/>
      </w:r>
      <w:r>
        <w:t xml:space="preserve"> (documents sollicités)</w:t>
      </w:r>
    </w:p>
    <w:p w:rsidR="00985A1B" w:rsidRDefault="00985A1B" w:rsidP="00F11A81">
      <w:pPr>
        <w:spacing w:after="120" w:line="276" w:lineRule="auto"/>
        <w:ind w:left="1701" w:hanging="567"/>
      </w:pPr>
      <w:r>
        <w:t>g)</w:t>
      </w:r>
      <w:r>
        <w:tab/>
        <w:t>Utilisation des techniques moléculaires dans l</w:t>
      </w:r>
      <w:r w:rsidR="009B2417">
        <w:t>’</w:t>
      </w:r>
      <w:r>
        <w:t>identification des variétés</w:t>
      </w:r>
      <w:r>
        <w:rPr>
          <w:vertAlign w:val="superscript"/>
        </w:rPr>
        <w:t>1</w:t>
      </w:r>
      <w:r>
        <w:t xml:space="preserve"> (documents sollicités)</w:t>
      </w:r>
    </w:p>
    <w:p w:rsidR="00985A1B" w:rsidRDefault="00985A1B" w:rsidP="00F11A81">
      <w:pPr>
        <w:spacing w:after="120" w:line="276" w:lineRule="auto"/>
        <w:ind w:left="1701" w:hanging="567"/>
      </w:pPr>
      <w:r>
        <w:t>h)</w:t>
      </w:r>
      <w:r>
        <w:tab/>
        <w:t>Utilisation des techniques moléculaires aux fins d</w:t>
      </w:r>
      <w:r w:rsidR="009B2417">
        <w:t>’</w:t>
      </w:r>
      <w:r>
        <w:t>application des droits</w:t>
      </w:r>
      <w:r>
        <w:rPr>
          <w:vertAlign w:val="superscript"/>
        </w:rPr>
        <w:t>1</w:t>
      </w:r>
      <w:r>
        <w:t xml:space="preserve"> (documents sollicités)</w:t>
      </w:r>
    </w:p>
    <w:p w:rsidR="00985A1B" w:rsidRPr="00C85523" w:rsidRDefault="00985A1B" w:rsidP="00985A1B">
      <w:pPr>
        <w:spacing w:after="120" w:line="276" w:lineRule="auto"/>
        <w:ind w:left="1134" w:hanging="567"/>
      </w:pPr>
      <w:r>
        <w:t>8.</w:t>
      </w:r>
      <w:r>
        <w:tab/>
        <w:t>Date et lieu de la prochaine session</w:t>
      </w:r>
    </w:p>
    <w:p w:rsidR="00985A1B" w:rsidRPr="00C85523" w:rsidRDefault="00985A1B" w:rsidP="00985A1B">
      <w:pPr>
        <w:spacing w:after="120" w:line="276" w:lineRule="auto"/>
        <w:ind w:left="1134" w:hanging="567"/>
      </w:pPr>
      <w:r>
        <w:t>9.</w:t>
      </w:r>
      <w:r>
        <w:tab/>
        <w:t>Programme futur</w:t>
      </w:r>
    </w:p>
    <w:p w:rsidR="00985A1B" w:rsidRPr="00C85523" w:rsidRDefault="00985A1B" w:rsidP="00985A1B">
      <w:pPr>
        <w:spacing w:after="120" w:line="276" w:lineRule="auto"/>
        <w:ind w:left="1134" w:hanging="567"/>
      </w:pPr>
      <w:r>
        <w:t>10.</w:t>
      </w:r>
      <w:r>
        <w:tab/>
        <w:t>Adoption du compte rendu de la session (selon le temps disponible)</w:t>
      </w:r>
    </w:p>
    <w:p w:rsidR="00985A1B" w:rsidRDefault="00985A1B" w:rsidP="00985A1B">
      <w:pPr>
        <w:spacing w:after="120" w:line="276" w:lineRule="auto"/>
        <w:ind w:left="1134" w:hanging="567"/>
      </w:pPr>
      <w:r>
        <w:t>11.</w:t>
      </w:r>
      <w:r>
        <w:tab/>
        <w:t>Clôture de la session</w:t>
      </w:r>
    </w:p>
    <w:p w:rsidR="00985A1B" w:rsidRPr="00C5280D" w:rsidRDefault="00985A1B" w:rsidP="00985A1B">
      <w:pPr>
        <w:jc w:val="left"/>
      </w:pPr>
    </w:p>
    <w:p w:rsidR="00985A1B" w:rsidRDefault="00985A1B" w:rsidP="00985A1B">
      <w:pPr>
        <w:jc w:val="left"/>
      </w:pPr>
    </w:p>
    <w:p w:rsidR="00985A1B" w:rsidRPr="00C5280D" w:rsidRDefault="00985A1B" w:rsidP="00985A1B">
      <w:pPr>
        <w:jc w:val="right"/>
      </w:pPr>
      <w:r>
        <w:t>[Fin de l</w:t>
      </w:r>
      <w:r w:rsidR="009B2417">
        <w:t>’</w:t>
      </w:r>
      <w:r>
        <w:t>annexe et du document]</w:t>
      </w:r>
    </w:p>
    <w:sectPr w:rsidR="00985A1B" w:rsidRPr="00C5280D" w:rsidSect="00745249">
      <w:headerReference w:type="default" r:id="rId15"/>
      <w:headerReference w:type="first" r:id="rId16"/>
      <w:pgSz w:w="11907" w:h="16840" w:code="9"/>
      <w:pgMar w:top="510" w:right="1134" w:bottom="567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52E" w:rsidRDefault="0054452E" w:rsidP="006655D3">
      <w:r>
        <w:separator/>
      </w:r>
    </w:p>
    <w:p w:rsidR="0054452E" w:rsidRDefault="0054452E" w:rsidP="006655D3"/>
    <w:p w:rsidR="0054452E" w:rsidRDefault="0054452E" w:rsidP="006655D3"/>
  </w:endnote>
  <w:endnote w:type="continuationSeparator" w:id="0">
    <w:p w:rsidR="0054452E" w:rsidRDefault="0054452E" w:rsidP="006655D3">
      <w:r>
        <w:separator/>
      </w:r>
    </w:p>
    <w:p w:rsidR="0054452E" w:rsidRPr="00294751" w:rsidRDefault="0054452E">
      <w:pPr>
        <w:pStyle w:val="Footer"/>
        <w:spacing w:after="60"/>
        <w:rPr>
          <w:sz w:val="18"/>
        </w:rPr>
      </w:pPr>
      <w:r w:rsidRPr="00294751">
        <w:rPr>
          <w:sz w:val="18"/>
        </w:rPr>
        <w:t>[Suite de la note de la page précédente]</w:t>
      </w:r>
    </w:p>
    <w:p w:rsidR="0054452E" w:rsidRPr="00294751" w:rsidRDefault="0054452E" w:rsidP="006655D3"/>
    <w:p w:rsidR="0054452E" w:rsidRPr="00294751" w:rsidRDefault="0054452E" w:rsidP="006655D3"/>
  </w:endnote>
  <w:endnote w:type="continuationNotice" w:id="1">
    <w:p w:rsidR="0054452E" w:rsidRPr="00294751" w:rsidRDefault="0054452E" w:rsidP="006655D3">
      <w:r w:rsidRPr="00294751">
        <w:t>[Suite de la note page suivante]</w:t>
      </w:r>
    </w:p>
    <w:p w:rsidR="0054452E" w:rsidRPr="00294751" w:rsidRDefault="0054452E" w:rsidP="006655D3"/>
    <w:p w:rsidR="0054452E" w:rsidRPr="00294751" w:rsidRDefault="0054452E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A81" w:rsidRDefault="00F11A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A81" w:rsidRDefault="00F11A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A81" w:rsidRDefault="00F11A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52E" w:rsidRDefault="0054452E" w:rsidP="006655D3">
      <w:r>
        <w:separator/>
      </w:r>
    </w:p>
  </w:footnote>
  <w:footnote w:type="continuationSeparator" w:id="0">
    <w:p w:rsidR="0054452E" w:rsidRDefault="0054452E" w:rsidP="006655D3">
      <w:r>
        <w:separator/>
      </w:r>
    </w:p>
  </w:footnote>
  <w:footnote w:type="continuationNotice" w:id="1">
    <w:p w:rsidR="0054452E" w:rsidRPr="00AB530F" w:rsidRDefault="0054452E" w:rsidP="00AB530F">
      <w:pPr>
        <w:pStyle w:val="Footer"/>
      </w:pPr>
    </w:p>
  </w:footnote>
  <w:footnote w:id="2">
    <w:p w:rsidR="00985A1B" w:rsidRDefault="00985A1B" w:rsidP="00985A1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F11A81">
        <w:tab/>
      </w:r>
      <w:r w:rsidR="000864D5">
        <w:t>“J</w:t>
      </w:r>
      <w:r>
        <w:t>ournée des obtenteur</w:t>
      </w:r>
      <w:r w:rsidR="000864D5">
        <w:t>s”</w:t>
      </w:r>
      <w:r>
        <w:t>, 1</w:t>
      </w:r>
      <w:r w:rsidR="000864D5">
        <w:t>1 avril 20</w:t>
      </w:r>
      <w:r>
        <w:t>24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A81" w:rsidRDefault="00F11A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A1B" w:rsidRPr="00C5280D" w:rsidRDefault="00985A1B" w:rsidP="00EB048E">
    <w:pPr>
      <w:pStyle w:val="Header"/>
      <w:rPr>
        <w:rStyle w:val="PageNumber"/>
      </w:rPr>
    </w:pPr>
    <w:r>
      <w:rPr>
        <w:rStyle w:val="PageNumber"/>
      </w:rPr>
      <w:t>TC/58/INF/8</w:t>
    </w:r>
  </w:p>
  <w:p w:rsidR="00985A1B" w:rsidRPr="00C5280D" w:rsidRDefault="00985A1B" w:rsidP="00EB048E">
    <w:pPr>
      <w:pStyle w:val="Header"/>
    </w:pPr>
    <w:r>
      <w:t xml:space="preserve">page </w:t>
    </w:r>
    <w:r w:rsidRPr="00C5280D">
      <w:rPr>
        <w:rStyle w:val="PageNumber"/>
      </w:rPr>
      <w:fldChar w:fldCharType="begin"/>
    </w:r>
    <w:r w:rsidRPr="00C5280D">
      <w:rPr>
        <w:rStyle w:val="PageNumber"/>
      </w:rPr>
      <w:instrText xml:space="preserve"> PAGE </w:instrText>
    </w:r>
    <w:r w:rsidRPr="00C5280D">
      <w:rPr>
        <w:rStyle w:val="PageNumber"/>
      </w:rPr>
      <w:fldChar w:fldCharType="separate"/>
    </w:r>
    <w:r>
      <w:rPr>
        <w:rStyle w:val="PageNumber"/>
      </w:rPr>
      <w:t>2</w:t>
    </w:r>
    <w:r w:rsidRPr="00C5280D">
      <w:rPr>
        <w:rStyle w:val="PageNumber"/>
      </w:rPr>
      <w:fldChar w:fldCharType="end"/>
    </w:r>
  </w:p>
  <w:p w:rsidR="00985A1B" w:rsidRPr="00C5280D" w:rsidRDefault="00985A1B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A81" w:rsidRDefault="00F11A8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8B" w:rsidRPr="00C5280D" w:rsidRDefault="003D0839" w:rsidP="00EB048E">
    <w:pPr>
      <w:pStyle w:val="Header"/>
      <w:rPr>
        <w:rStyle w:val="PageNumber"/>
      </w:rPr>
    </w:pPr>
    <w:r>
      <w:rPr>
        <w:rStyle w:val="PageNumber"/>
      </w:rPr>
      <w:t xml:space="preserve">TC/58/17 </w:t>
    </w:r>
    <w:proofErr w:type="spellStart"/>
    <w:r>
      <w:rPr>
        <w:rStyle w:val="PageNumber"/>
      </w:rPr>
      <w:t>Add</w:t>
    </w:r>
    <w:proofErr w:type="spellEnd"/>
    <w:r>
      <w:rPr>
        <w:rStyle w:val="PageNumber"/>
      </w:rPr>
      <w:t>.</w:t>
    </w:r>
  </w:p>
  <w:p w:rsidR="0004198B" w:rsidRPr="00C5280D" w:rsidRDefault="00745249" w:rsidP="00EB048E">
    <w:pPr>
      <w:pStyle w:val="Header"/>
    </w:pPr>
    <w:r>
      <w:t xml:space="preserve">Annexe, page </w:t>
    </w:r>
    <w:r w:rsidR="0004198B" w:rsidRPr="00C5280D">
      <w:rPr>
        <w:rStyle w:val="PageNumber"/>
      </w:rPr>
      <w:fldChar w:fldCharType="begin"/>
    </w:r>
    <w:r w:rsidR="0004198B" w:rsidRPr="00C5280D">
      <w:rPr>
        <w:rStyle w:val="PageNumber"/>
      </w:rPr>
      <w:instrText xml:space="preserve"> PAGE </w:instrText>
    </w:r>
    <w:r w:rsidR="0004198B" w:rsidRPr="00C5280D">
      <w:rPr>
        <w:rStyle w:val="PageNumber"/>
      </w:rPr>
      <w:fldChar w:fldCharType="separate"/>
    </w:r>
    <w:r w:rsidR="00F11A81">
      <w:rPr>
        <w:rStyle w:val="PageNumber"/>
        <w:noProof/>
      </w:rPr>
      <w:t>4</w:t>
    </w:r>
    <w:r w:rsidR="0004198B" w:rsidRPr="00C5280D">
      <w:rPr>
        <w:rStyle w:val="PageNumber"/>
      </w:rPr>
      <w:fldChar w:fldCharType="end"/>
    </w:r>
  </w:p>
  <w:p w:rsidR="0004198B" w:rsidRPr="00C5280D" w:rsidRDefault="0004198B" w:rsidP="006655D3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8B" w:rsidRDefault="00745249" w:rsidP="0004198B">
    <w:pPr>
      <w:pStyle w:val="Header"/>
    </w:pPr>
    <w:r>
      <w:t xml:space="preserve">TC/58/17 </w:t>
    </w:r>
    <w:proofErr w:type="spellStart"/>
    <w:r>
      <w:t>Add</w:t>
    </w:r>
    <w:proofErr w:type="spellEnd"/>
    <w:r>
      <w:t>.</w:t>
    </w:r>
  </w:p>
  <w:p w:rsidR="00745249" w:rsidRDefault="00745249" w:rsidP="0004198B">
    <w:pPr>
      <w:pStyle w:val="Header"/>
      <w:rPr>
        <w:lang w:val="fr-CH"/>
      </w:rPr>
    </w:pPr>
  </w:p>
  <w:p w:rsidR="00745249" w:rsidRDefault="00745249" w:rsidP="0004198B">
    <w:pPr>
      <w:pStyle w:val="Header"/>
    </w:pPr>
    <w:r>
      <w:t>ANNEXE</w:t>
    </w:r>
  </w:p>
  <w:p w:rsidR="00745249" w:rsidRPr="00745249" w:rsidRDefault="00745249" w:rsidP="0004198B">
    <w:pPr>
      <w:pStyle w:val="Header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52E"/>
    <w:rsid w:val="00010CF3"/>
    <w:rsid w:val="00011E27"/>
    <w:rsid w:val="000148BC"/>
    <w:rsid w:val="00024AB8"/>
    <w:rsid w:val="00030854"/>
    <w:rsid w:val="00036028"/>
    <w:rsid w:val="0004198B"/>
    <w:rsid w:val="00044642"/>
    <w:rsid w:val="000446B9"/>
    <w:rsid w:val="00047E21"/>
    <w:rsid w:val="00050E16"/>
    <w:rsid w:val="00085505"/>
    <w:rsid w:val="000864D5"/>
    <w:rsid w:val="000C4E25"/>
    <w:rsid w:val="000C7021"/>
    <w:rsid w:val="000D6BBC"/>
    <w:rsid w:val="000D7780"/>
    <w:rsid w:val="000E636A"/>
    <w:rsid w:val="000F2F11"/>
    <w:rsid w:val="00100A5F"/>
    <w:rsid w:val="00105929"/>
    <w:rsid w:val="00110BED"/>
    <w:rsid w:val="00110C36"/>
    <w:rsid w:val="001131D5"/>
    <w:rsid w:val="00114547"/>
    <w:rsid w:val="00141DB8"/>
    <w:rsid w:val="00172084"/>
    <w:rsid w:val="0017474A"/>
    <w:rsid w:val="001758C6"/>
    <w:rsid w:val="00180227"/>
    <w:rsid w:val="00182B99"/>
    <w:rsid w:val="001C1525"/>
    <w:rsid w:val="001F7BBA"/>
    <w:rsid w:val="00207A61"/>
    <w:rsid w:val="0021332C"/>
    <w:rsid w:val="00213982"/>
    <w:rsid w:val="0024416D"/>
    <w:rsid w:val="00271911"/>
    <w:rsid w:val="00273187"/>
    <w:rsid w:val="002800A0"/>
    <w:rsid w:val="002801B3"/>
    <w:rsid w:val="00281060"/>
    <w:rsid w:val="00284050"/>
    <w:rsid w:val="00285BD0"/>
    <w:rsid w:val="002940E8"/>
    <w:rsid w:val="00294751"/>
    <w:rsid w:val="002A6E50"/>
    <w:rsid w:val="002B4298"/>
    <w:rsid w:val="002B7A36"/>
    <w:rsid w:val="002C256A"/>
    <w:rsid w:val="002D5226"/>
    <w:rsid w:val="00305A7F"/>
    <w:rsid w:val="003152FE"/>
    <w:rsid w:val="003238E4"/>
    <w:rsid w:val="00327436"/>
    <w:rsid w:val="00344BD6"/>
    <w:rsid w:val="0035528D"/>
    <w:rsid w:val="00361821"/>
    <w:rsid w:val="00361E9E"/>
    <w:rsid w:val="003753EE"/>
    <w:rsid w:val="003A0835"/>
    <w:rsid w:val="003A5AAF"/>
    <w:rsid w:val="003B700A"/>
    <w:rsid w:val="003C7FBE"/>
    <w:rsid w:val="003D0839"/>
    <w:rsid w:val="003D227C"/>
    <w:rsid w:val="003D2B4D"/>
    <w:rsid w:val="003F37F5"/>
    <w:rsid w:val="00444A88"/>
    <w:rsid w:val="00445B73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2E"/>
    <w:rsid w:val="00544581"/>
    <w:rsid w:val="0055268D"/>
    <w:rsid w:val="00575DE2"/>
    <w:rsid w:val="00576BE4"/>
    <w:rsid w:val="005779DB"/>
    <w:rsid w:val="005A2A67"/>
    <w:rsid w:val="005A400A"/>
    <w:rsid w:val="005B269D"/>
    <w:rsid w:val="005F7B92"/>
    <w:rsid w:val="00612379"/>
    <w:rsid w:val="006153B6"/>
    <w:rsid w:val="0061555F"/>
    <w:rsid w:val="006245ED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6F34A9"/>
    <w:rsid w:val="0071271E"/>
    <w:rsid w:val="00732DEC"/>
    <w:rsid w:val="00735BD5"/>
    <w:rsid w:val="007451EC"/>
    <w:rsid w:val="00745249"/>
    <w:rsid w:val="00751613"/>
    <w:rsid w:val="00753EE9"/>
    <w:rsid w:val="007556F6"/>
    <w:rsid w:val="00760EEF"/>
    <w:rsid w:val="00777EE5"/>
    <w:rsid w:val="00784836"/>
    <w:rsid w:val="0079023E"/>
    <w:rsid w:val="007A2854"/>
    <w:rsid w:val="007A5DED"/>
    <w:rsid w:val="007C1D92"/>
    <w:rsid w:val="007C436B"/>
    <w:rsid w:val="007C4CB9"/>
    <w:rsid w:val="007D0B9D"/>
    <w:rsid w:val="007D19B0"/>
    <w:rsid w:val="007F498F"/>
    <w:rsid w:val="0080679D"/>
    <w:rsid w:val="008108B0"/>
    <w:rsid w:val="00811B20"/>
    <w:rsid w:val="00812609"/>
    <w:rsid w:val="008211B5"/>
    <w:rsid w:val="0082296E"/>
    <w:rsid w:val="00824099"/>
    <w:rsid w:val="00846D7C"/>
    <w:rsid w:val="00867AC1"/>
    <w:rsid w:val="008751DE"/>
    <w:rsid w:val="00890DF8"/>
    <w:rsid w:val="008A0ADE"/>
    <w:rsid w:val="008A743F"/>
    <w:rsid w:val="008C0970"/>
    <w:rsid w:val="008D0BC5"/>
    <w:rsid w:val="008D2CF7"/>
    <w:rsid w:val="00900C26"/>
    <w:rsid w:val="0090197F"/>
    <w:rsid w:val="00903264"/>
    <w:rsid w:val="00906DDC"/>
    <w:rsid w:val="00934E09"/>
    <w:rsid w:val="00936253"/>
    <w:rsid w:val="00940D46"/>
    <w:rsid w:val="009413F1"/>
    <w:rsid w:val="00952DD4"/>
    <w:rsid w:val="009561F4"/>
    <w:rsid w:val="00965AE7"/>
    <w:rsid w:val="00970FED"/>
    <w:rsid w:val="0098510F"/>
    <w:rsid w:val="00985A1B"/>
    <w:rsid w:val="00985E41"/>
    <w:rsid w:val="00992D82"/>
    <w:rsid w:val="00995086"/>
    <w:rsid w:val="00997029"/>
    <w:rsid w:val="009A7339"/>
    <w:rsid w:val="009B2417"/>
    <w:rsid w:val="009B440E"/>
    <w:rsid w:val="009D690D"/>
    <w:rsid w:val="009E65B6"/>
    <w:rsid w:val="009F0A51"/>
    <w:rsid w:val="009F0B7F"/>
    <w:rsid w:val="009F77CF"/>
    <w:rsid w:val="00A12795"/>
    <w:rsid w:val="00A24C10"/>
    <w:rsid w:val="00A42AC3"/>
    <w:rsid w:val="00A430CF"/>
    <w:rsid w:val="00A54309"/>
    <w:rsid w:val="00A55168"/>
    <w:rsid w:val="00A610A9"/>
    <w:rsid w:val="00A80F2A"/>
    <w:rsid w:val="00A96C33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622E6"/>
    <w:rsid w:val="00B83E82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478E"/>
    <w:rsid w:val="00C973F2"/>
    <w:rsid w:val="00CA304C"/>
    <w:rsid w:val="00CA774A"/>
    <w:rsid w:val="00CB4921"/>
    <w:rsid w:val="00CC11B0"/>
    <w:rsid w:val="00CC2841"/>
    <w:rsid w:val="00CF1330"/>
    <w:rsid w:val="00CF7E36"/>
    <w:rsid w:val="00D3708D"/>
    <w:rsid w:val="00D40426"/>
    <w:rsid w:val="00D57C96"/>
    <w:rsid w:val="00D57D18"/>
    <w:rsid w:val="00D70E65"/>
    <w:rsid w:val="00D91203"/>
    <w:rsid w:val="00D95174"/>
    <w:rsid w:val="00DA4973"/>
    <w:rsid w:val="00DA6F36"/>
    <w:rsid w:val="00DB596E"/>
    <w:rsid w:val="00DB7773"/>
    <w:rsid w:val="00DC00EA"/>
    <w:rsid w:val="00DC3802"/>
    <w:rsid w:val="00DD6208"/>
    <w:rsid w:val="00DF7E99"/>
    <w:rsid w:val="00E07D87"/>
    <w:rsid w:val="00E249C8"/>
    <w:rsid w:val="00E32F7E"/>
    <w:rsid w:val="00E5267B"/>
    <w:rsid w:val="00E559F0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C634B"/>
    <w:rsid w:val="00EE34DF"/>
    <w:rsid w:val="00EF2F89"/>
    <w:rsid w:val="00F03E98"/>
    <w:rsid w:val="00F11A81"/>
    <w:rsid w:val="00F1237A"/>
    <w:rsid w:val="00F22CBD"/>
    <w:rsid w:val="00F272F1"/>
    <w:rsid w:val="00F31412"/>
    <w:rsid w:val="00F45372"/>
    <w:rsid w:val="00F560F7"/>
    <w:rsid w:val="00F6334D"/>
    <w:rsid w:val="00F63599"/>
    <w:rsid w:val="00F71781"/>
    <w:rsid w:val="00FA49AB"/>
    <w:rsid w:val="00FC5FD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D76682F"/>
  <w15:docId w15:val="{99283A42-6A7A-45E2-9A05-6DCF59DD7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aliases w:val="COMMON NAME,common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fr-FR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1Char">
    <w:name w:val="Heading 1 Char"/>
    <w:aliases w:val="COMMON NAME Char,common Char"/>
    <w:basedOn w:val="DefaultParagraphFont"/>
    <w:link w:val="Heading1"/>
    <w:rsid w:val="00985A1B"/>
    <w:rPr>
      <w:rFonts w:ascii="Arial" w:hAnsi="Arial"/>
      <w:caps/>
    </w:rPr>
  </w:style>
  <w:style w:type="character" w:customStyle="1" w:styleId="FootnoteTextChar">
    <w:name w:val="Footnote Text Char"/>
    <w:basedOn w:val="DefaultParagraphFont"/>
    <w:link w:val="FootnoteText"/>
    <w:rsid w:val="00985A1B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AFFE3-D91F-4E3C-BA4A-57F4F40D0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1818</Words>
  <Characters>10381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TC/57</vt:lpstr>
    </vt:vector>
  </TitlesOfParts>
  <Company>UPOV</Company>
  <LinksUpToDate>false</LinksUpToDate>
  <CharactersWithSpaces>12175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TC/58</dc:title>
  <dc:creator>MAY Jessica</dc:creator>
  <cp:lastModifiedBy>BERNARD Nadège</cp:lastModifiedBy>
  <cp:revision>13</cp:revision>
  <cp:lastPrinted>2016-11-22T15:41:00Z</cp:lastPrinted>
  <dcterms:created xsi:type="dcterms:W3CDTF">2022-10-19T14:31:00Z</dcterms:created>
  <dcterms:modified xsi:type="dcterms:W3CDTF">2022-10-28T10:04:00Z</dcterms:modified>
</cp:coreProperties>
</file>