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>
              <w:t>Comité technique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>
              <w:t>Cinquante</w:t>
            </w:r>
            <w:r w:rsidR="00AA523C">
              <w:noBreakHyphen/>
            </w:r>
            <w:r>
              <w:t>huit</w:t>
            </w:r>
            <w:r w:rsidR="009E79AB">
              <w:t>ième session</w:t>
            </w:r>
            <w:r>
              <w:br/>
              <w:t>Genève, 24 et 2</w:t>
            </w:r>
            <w:r w:rsidR="009E79AB">
              <w:t>5 octobre 20</w:t>
            </w:r>
            <w:r>
              <w:t>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TC/58/15</w:t>
            </w:r>
          </w:p>
          <w:p w:rsidR="003D0839" w:rsidRPr="003C7FBE" w:rsidRDefault="003D0839" w:rsidP="007A4FDD">
            <w:pPr>
              <w:pStyle w:val="Docoriginal"/>
            </w:pPr>
            <w:r>
              <w:t>Original</w:t>
            </w:r>
            <w:r w:rsidR="009E79AB">
              <w:t> :</w:t>
            </w:r>
            <w:r>
              <w:rPr>
                <w:b w:val="0"/>
              </w:rPr>
              <w:t xml:space="preserve"> anglais</w:t>
            </w:r>
          </w:p>
          <w:p w:rsidR="003D0839" w:rsidRPr="007C1D92" w:rsidRDefault="003D0839" w:rsidP="00AE4867">
            <w:pPr>
              <w:pStyle w:val="Docoriginal"/>
            </w:pPr>
            <w:r>
              <w:t>Date</w:t>
            </w:r>
            <w:r w:rsidR="009E79AB">
              <w:t> :</w:t>
            </w:r>
            <w:r w:rsidR="009E79AB">
              <w:rPr>
                <w:b w:val="0"/>
              </w:rPr>
              <w:t xml:space="preserve"> 6 octobre 20</w:t>
            </w:r>
            <w:r>
              <w:rPr>
                <w:b w:val="0"/>
              </w:rPr>
              <w:t>22</w:t>
            </w:r>
          </w:p>
        </w:tc>
      </w:tr>
    </w:tbl>
    <w:p w:rsidR="003D0839" w:rsidRPr="006A644A" w:rsidRDefault="00E80027" w:rsidP="003D0839">
      <w:pPr>
        <w:pStyle w:val="Titleofdoc0"/>
      </w:pPr>
      <w:r>
        <w:t>Dénominations variétales</w:t>
      </w:r>
    </w:p>
    <w:p w:rsidR="003D0839" w:rsidRPr="006A644A" w:rsidRDefault="003D0839" w:rsidP="003D0839">
      <w:pPr>
        <w:pStyle w:val="preparedby1"/>
        <w:jc w:val="left"/>
      </w:pPr>
      <w:r>
        <w:t>Document établi par le Bureau de l</w:t>
      </w:r>
      <w:r w:rsidR="009E79AB">
        <w:t>’</w:t>
      </w:r>
      <w:r>
        <w:t>Union</w:t>
      </w:r>
    </w:p>
    <w:p w:rsidR="003D0839" w:rsidRPr="006A644A" w:rsidRDefault="003D0839" w:rsidP="003D0839">
      <w:pPr>
        <w:pStyle w:val="Disclaimer"/>
      </w:pPr>
      <w:r>
        <w:t>Avertissement</w:t>
      </w:r>
      <w:r w:rsidR="009E79AB">
        <w:t> :</w:t>
      </w:r>
      <w:r>
        <w:t xml:space="preserve"> Le présent document ne représente pas les principes ou les orientations de l</w:t>
      </w:r>
      <w:r w:rsidR="009E79AB">
        <w:t>’</w:t>
      </w:r>
      <w:r>
        <w:t>UPOV</w:t>
      </w:r>
    </w:p>
    <w:p w:rsidR="00FE2092" w:rsidRPr="00FA4478" w:rsidRDefault="00FE2092" w:rsidP="00FE2092">
      <w:pPr>
        <w:pStyle w:val="Heading1"/>
      </w:pPr>
      <w:bookmarkStart w:id="0" w:name="_Toc116904330"/>
      <w:r>
        <w:t>Résumé</w:t>
      </w:r>
      <w:bookmarkEnd w:id="0"/>
    </w:p>
    <w:p w:rsidR="00FE2092" w:rsidRPr="00FA4478" w:rsidRDefault="00FE2092" w:rsidP="00FE2092">
      <w:pPr>
        <w:rPr>
          <w:sz w:val="18"/>
          <w:lang w:eastAsia="ja-JP"/>
        </w:rPr>
      </w:pPr>
    </w:p>
    <w:p w:rsidR="00FE2092" w:rsidRDefault="00FE2092" w:rsidP="00FE2092">
      <w:pPr>
        <w:rPr>
          <w:rFonts w:eastAsiaTheme="minorEastAsia" w:cs="Arial"/>
          <w:snapToGrid w:val="0"/>
        </w:rPr>
      </w:pPr>
      <w:r w:rsidRPr="000D7945">
        <w:rPr>
          <w:rFonts w:eastAsiaTheme="minorEastAsia" w:cs="Arial"/>
          <w:snapToGrid w:val="0"/>
        </w:rPr>
        <w:fldChar w:fldCharType="begin"/>
      </w:r>
      <w:r w:rsidRPr="000D7945">
        <w:rPr>
          <w:rFonts w:eastAsiaTheme="minorEastAsia" w:cs="Arial"/>
          <w:snapToGrid w:val="0"/>
        </w:rPr>
        <w:instrText xml:space="preserve"> AUTONUM  </w:instrText>
      </w:r>
      <w:r w:rsidRPr="000D7945"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 xml:space="preserve">Le présent document a pour objet de faire le point sur la révision </w:t>
      </w:r>
      <w:r>
        <w:t xml:space="preserve">des “Notes explicatives sur les dénominations variétales selon la </w:t>
      </w:r>
      <w:r w:rsidR="009E79AB">
        <w:t>Convention UPOV</w:t>
      </w:r>
      <w:r>
        <w:t>” (</w:t>
      </w:r>
      <w:r w:rsidR="009E79AB">
        <w:t>document UP</w:t>
      </w:r>
      <w:r>
        <w:t xml:space="preserve">OV/EXN/DEN/1) effectuée en 2021, </w:t>
      </w:r>
      <w:r>
        <w:rPr>
          <w:snapToGrid w:val="0"/>
        </w:rPr>
        <w:t>la possibilité d</w:t>
      </w:r>
      <w:r w:rsidR="009E79AB">
        <w:rPr>
          <w:snapToGrid w:val="0"/>
        </w:rPr>
        <w:t>’</w:t>
      </w:r>
      <w:r>
        <w:rPr>
          <w:snapToGrid w:val="0"/>
        </w:rPr>
        <w:t>élaborer un outil de recherche de similarité aux fins de la dénomination variétale et l</w:t>
      </w:r>
      <w:r w:rsidR="009E79AB">
        <w:rPr>
          <w:snapToGrid w:val="0"/>
        </w:rPr>
        <w:t>’</w:t>
      </w:r>
      <w:r>
        <w:rPr>
          <w:snapToGrid w:val="0"/>
        </w:rPr>
        <w:t>élargissement du contenu de la base de données PLUTO</w:t>
      </w:r>
      <w:r>
        <w:t>.</w:t>
      </w:r>
    </w:p>
    <w:p w:rsidR="00FE2092" w:rsidRDefault="00FE2092" w:rsidP="00FE2092">
      <w:pPr>
        <w:rPr>
          <w:rFonts w:eastAsiaTheme="minorEastAsia" w:cs="Arial"/>
          <w:snapToGrid w:val="0"/>
          <w:lang w:eastAsia="ja-JP"/>
        </w:rPr>
      </w:pPr>
    </w:p>
    <w:p w:rsidR="00FE2092" w:rsidRDefault="00FE2092" w:rsidP="00FE2092">
      <w:pPr>
        <w:rPr>
          <w:rFonts w:eastAsiaTheme="minorEastAsia" w:cs="Arial"/>
          <w:snapToGrid w:val="0"/>
        </w:rPr>
      </w:pPr>
      <w:r>
        <w:rPr>
          <w:rFonts w:eastAsiaTheme="minorEastAsia" w:cs="Arial"/>
          <w:snapToGrid w:val="0"/>
        </w:rPr>
        <w:fldChar w:fldCharType="begin"/>
      </w:r>
      <w:r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 xml:space="preserve">Les TWP sont invités à prendre note des faits nouveaux concernant les “Notes explicatives sur les dénominations variétales selon la </w:t>
      </w:r>
      <w:r w:rsidR="009E79AB">
        <w:rPr>
          <w:snapToGrid w:val="0"/>
        </w:rPr>
        <w:t>Convention UPOV</w:t>
      </w:r>
      <w:r>
        <w:rPr>
          <w:snapToGrid w:val="0"/>
        </w:rPr>
        <w:t>” (</w:t>
      </w:r>
      <w:r w:rsidR="009E79AB">
        <w:rPr>
          <w:snapToGrid w:val="0"/>
        </w:rPr>
        <w:t>document UP</w:t>
      </w:r>
      <w:r>
        <w:rPr>
          <w:snapToGrid w:val="0"/>
        </w:rPr>
        <w:t>OV/EXN/DEN/1), la possibilité d</w:t>
      </w:r>
      <w:r w:rsidR="009E79AB">
        <w:rPr>
          <w:snapToGrid w:val="0"/>
        </w:rPr>
        <w:t>’</w:t>
      </w:r>
      <w:r>
        <w:rPr>
          <w:snapToGrid w:val="0"/>
        </w:rPr>
        <w:t>élaborer un outil de recherche de similarité aux fins de la dénomination variétale et l</w:t>
      </w:r>
      <w:r w:rsidR="009E79AB">
        <w:rPr>
          <w:snapToGrid w:val="0"/>
        </w:rPr>
        <w:t>’</w:t>
      </w:r>
      <w:r>
        <w:rPr>
          <w:snapToGrid w:val="0"/>
        </w:rPr>
        <w:t>élargissement du contenu de la base de données PLUTO.</w:t>
      </w:r>
    </w:p>
    <w:p w:rsidR="00FE2092" w:rsidRDefault="00FE2092" w:rsidP="00FE2092">
      <w:pPr>
        <w:rPr>
          <w:rFonts w:eastAsiaTheme="minorEastAsia" w:cs="Arial"/>
          <w:snapToGrid w:val="0"/>
          <w:lang w:eastAsia="ja-JP"/>
        </w:rPr>
      </w:pPr>
    </w:p>
    <w:p w:rsidR="00FE2092" w:rsidRPr="000D7945" w:rsidRDefault="00FE2092" w:rsidP="00FE2092">
      <w:pPr>
        <w:keepNext/>
        <w:rPr>
          <w:rFonts w:eastAsiaTheme="minorEastAsia" w:cs="Arial"/>
          <w:snapToGrid w:val="0"/>
        </w:rPr>
      </w:pPr>
      <w:r w:rsidRPr="000D7945">
        <w:rPr>
          <w:rFonts w:eastAsiaTheme="minorEastAsia" w:cs="Arial"/>
          <w:snapToGrid w:val="0"/>
        </w:rPr>
        <w:fldChar w:fldCharType="begin"/>
      </w:r>
      <w:r w:rsidRPr="000D7945">
        <w:rPr>
          <w:rFonts w:eastAsiaTheme="minorEastAsia" w:cs="Arial"/>
          <w:snapToGrid w:val="0"/>
        </w:rPr>
        <w:instrText xml:space="preserve"> AUTONUM  </w:instrText>
      </w:r>
      <w:r w:rsidRPr="000D7945"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>Les abréviations ci</w:t>
      </w:r>
      <w:r w:rsidR="00AA523C">
        <w:rPr>
          <w:snapToGrid w:val="0"/>
        </w:rPr>
        <w:noBreakHyphen/>
      </w:r>
      <w:r>
        <w:rPr>
          <w:snapToGrid w:val="0"/>
        </w:rPr>
        <w:t>après sont utilisées dans le présent document</w:t>
      </w:r>
      <w:r w:rsidR="009E79AB">
        <w:rPr>
          <w:snapToGrid w:val="0"/>
        </w:rPr>
        <w:t> :</w:t>
      </w:r>
    </w:p>
    <w:p w:rsidR="009E79AB" w:rsidRDefault="00FE2092" w:rsidP="003F6DE3">
      <w:pPr>
        <w:keepNext/>
        <w:ind w:left="1418" w:hanging="851"/>
        <w:rPr>
          <w:snapToGrid w:val="0"/>
        </w:rPr>
      </w:pPr>
      <w:r>
        <w:rPr>
          <w:snapToGrid w:val="0"/>
        </w:rPr>
        <w:t>CAJ</w:t>
      </w:r>
      <w:r w:rsidR="009E79AB">
        <w:rPr>
          <w:snapToGrid w:val="0"/>
        </w:rPr>
        <w:t> :</w:t>
      </w:r>
      <w:r>
        <w:rPr>
          <w:snapToGrid w:val="0"/>
        </w:rPr>
        <w:t xml:space="preserve"> </w:t>
      </w:r>
      <w:r>
        <w:rPr>
          <w:snapToGrid w:val="0"/>
        </w:rPr>
        <w:tab/>
        <w:t>Comité administratif et juridique</w:t>
      </w:r>
    </w:p>
    <w:p w:rsidR="009211BE" w:rsidRPr="00FA16C0" w:rsidRDefault="009211BE" w:rsidP="009211BE">
      <w:pPr>
        <w:tabs>
          <w:tab w:val="left" w:pos="567"/>
        </w:tabs>
        <w:ind w:left="1418" w:hanging="851"/>
        <w:rPr>
          <w:rFonts w:cs="Arial"/>
          <w:color w:val="000000"/>
        </w:rPr>
      </w:pPr>
      <w:r>
        <w:rPr>
          <w:color w:val="000000"/>
        </w:rPr>
        <w:t>TC</w:t>
      </w:r>
      <w:r w:rsidR="009E79AB">
        <w:rPr>
          <w:color w:val="000000"/>
        </w:rPr>
        <w:t> :</w:t>
      </w:r>
      <w:r>
        <w:rPr>
          <w:color w:val="000000"/>
        </w:rPr>
        <w:tab/>
        <w:t>Comité technique</w:t>
      </w:r>
    </w:p>
    <w:p w:rsidR="009211BE" w:rsidRPr="00FA16C0" w:rsidRDefault="009211BE" w:rsidP="009211BE">
      <w:pPr>
        <w:tabs>
          <w:tab w:val="left" w:pos="567"/>
        </w:tabs>
        <w:ind w:left="1418" w:hanging="851"/>
        <w:rPr>
          <w:rFonts w:cs="Arial"/>
          <w:color w:val="000000"/>
        </w:rPr>
      </w:pPr>
      <w:r>
        <w:rPr>
          <w:color w:val="000000"/>
        </w:rPr>
        <w:t>TWA</w:t>
      </w:r>
      <w:r w:rsidR="009E79AB">
        <w:rPr>
          <w:color w:val="000000"/>
        </w:rPr>
        <w:t> :</w:t>
      </w:r>
      <w:r>
        <w:rPr>
          <w:color w:val="000000"/>
        </w:rPr>
        <w:tab/>
        <w:t>Groupe de travail technique sur les plantes agricoles</w:t>
      </w:r>
    </w:p>
    <w:p w:rsidR="009211BE" w:rsidRPr="00FA16C0" w:rsidRDefault="009211BE" w:rsidP="009211BE">
      <w:pPr>
        <w:ind w:left="1418" w:hanging="851"/>
        <w:rPr>
          <w:rFonts w:cs="Arial"/>
          <w:color w:val="000000"/>
        </w:rPr>
      </w:pPr>
      <w:r>
        <w:rPr>
          <w:color w:val="000000"/>
        </w:rPr>
        <w:t>TWF</w:t>
      </w:r>
      <w:r w:rsidR="009E79AB">
        <w:rPr>
          <w:color w:val="000000"/>
        </w:rPr>
        <w:t> :</w:t>
      </w:r>
      <w:r>
        <w:rPr>
          <w:color w:val="000000"/>
        </w:rPr>
        <w:t xml:space="preserve"> </w:t>
      </w:r>
      <w:r>
        <w:rPr>
          <w:color w:val="000000"/>
        </w:rPr>
        <w:tab/>
        <w:t>Groupe de travail technique sur les plantes fruitières</w:t>
      </w:r>
    </w:p>
    <w:p w:rsidR="009211BE" w:rsidRPr="00FA16C0" w:rsidRDefault="009211BE" w:rsidP="009211BE">
      <w:pPr>
        <w:ind w:left="1418" w:hanging="851"/>
        <w:rPr>
          <w:rFonts w:cs="Arial"/>
          <w:color w:val="000000"/>
        </w:rPr>
      </w:pPr>
      <w:r>
        <w:rPr>
          <w:color w:val="000000"/>
        </w:rPr>
        <w:t>TWM</w:t>
      </w:r>
      <w:r w:rsidR="009E79AB">
        <w:rPr>
          <w:color w:val="000000"/>
        </w:rPr>
        <w:t> :</w:t>
      </w:r>
      <w:r>
        <w:rPr>
          <w:color w:val="000000"/>
        </w:rPr>
        <w:tab/>
      </w:r>
      <w:r>
        <w:t>Groupe de travail technique sur les méthodes et techniques d</w:t>
      </w:r>
      <w:r w:rsidR="009E79AB">
        <w:t>’</w:t>
      </w:r>
      <w:r>
        <w:t>essai</w:t>
      </w:r>
    </w:p>
    <w:p w:rsidR="009211BE" w:rsidRPr="00FA16C0" w:rsidRDefault="009211BE" w:rsidP="009211BE">
      <w:pPr>
        <w:ind w:left="1418" w:hanging="851"/>
        <w:rPr>
          <w:rFonts w:cs="Arial"/>
          <w:color w:val="000000"/>
        </w:rPr>
      </w:pPr>
      <w:r>
        <w:rPr>
          <w:color w:val="000000"/>
        </w:rPr>
        <w:t>TWO</w:t>
      </w:r>
      <w:r w:rsidR="009E79AB">
        <w:rPr>
          <w:color w:val="000000"/>
        </w:rPr>
        <w:t> :</w:t>
      </w:r>
      <w:r>
        <w:rPr>
          <w:color w:val="000000"/>
        </w:rPr>
        <w:tab/>
        <w:t>Groupe de travail technique sur les plantes ornementales et les arbres forestiers</w:t>
      </w:r>
    </w:p>
    <w:p w:rsidR="009211BE" w:rsidRPr="00FA16C0" w:rsidRDefault="009211BE" w:rsidP="009211BE">
      <w:pPr>
        <w:tabs>
          <w:tab w:val="left" w:pos="567"/>
        </w:tabs>
        <w:ind w:left="1418" w:hanging="851"/>
        <w:rPr>
          <w:rFonts w:cs="Arial"/>
          <w:color w:val="000000"/>
        </w:rPr>
      </w:pPr>
      <w:r>
        <w:rPr>
          <w:color w:val="000000"/>
        </w:rPr>
        <w:t>TWP</w:t>
      </w:r>
      <w:r w:rsidR="009E79AB">
        <w:rPr>
          <w:color w:val="000000"/>
        </w:rPr>
        <w:t> :</w:t>
      </w:r>
      <w:r>
        <w:rPr>
          <w:color w:val="000000"/>
        </w:rPr>
        <w:tab/>
        <w:t>Groupe(s) de travail technique(s)</w:t>
      </w:r>
    </w:p>
    <w:p w:rsidR="009211BE" w:rsidRPr="00FA16C0" w:rsidRDefault="009211BE" w:rsidP="009211BE">
      <w:pPr>
        <w:ind w:left="1418" w:hanging="851"/>
        <w:rPr>
          <w:rFonts w:cs="Arial"/>
          <w:color w:val="000000"/>
        </w:rPr>
      </w:pPr>
      <w:r>
        <w:rPr>
          <w:color w:val="000000"/>
        </w:rPr>
        <w:t>TWV</w:t>
      </w:r>
      <w:r w:rsidR="009E79AB">
        <w:rPr>
          <w:color w:val="000000"/>
        </w:rPr>
        <w:t> :</w:t>
      </w:r>
      <w:r>
        <w:rPr>
          <w:color w:val="000000"/>
        </w:rPr>
        <w:tab/>
        <w:t>Groupe de travail technique sur les plantes potagères</w:t>
      </w:r>
    </w:p>
    <w:p w:rsidR="00FE2092" w:rsidRPr="00FA4478" w:rsidRDefault="00FE2092" w:rsidP="00FE2092">
      <w:pPr>
        <w:jc w:val="left"/>
        <w:rPr>
          <w:rFonts w:cs="Arial"/>
          <w:snapToGrid w:val="0"/>
          <w:szCs w:val="24"/>
          <w:lang w:eastAsia="ja-JP"/>
        </w:rPr>
      </w:pPr>
    </w:p>
    <w:p w:rsidR="00FE2092" w:rsidRPr="00FA4478" w:rsidRDefault="00FE2092" w:rsidP="00FE2092">
      <w:pPr>
        <w:keepNext/>
        <w:keepLines/>
      </w:pPr>
      <w:r w:rsidRPr="00FA4478">
        <w:fldChar w:fldCharType="begin"/>
      </w:r>
      <w:r w:rsidRPr="00FA4478">
        <w:instrText xml:space="preserve"> AUTONUM  </w:instrText>
      </w:r>
      <w:r w:rsidRPr="00FA4478">
        <w:fldChar w:fldCharType="end"/>
      </w:r>
      <w:r>
        <w:tab/>
        <w:t>Le présent document est structuré comme suit</w:t>
      </w:r>
      <w:r w:rsidR="009E79AB">
        <w:t> :</w:t>
      </w:r>
    </w:p>
    <w:sdt>
      <w:sdtPr>
        <w:rPr>
          <w:rFonts w:eastAsiaTheme="minorHAnsi" w:cs="Arial"/>
          <w:smallCaps/>
          <w:noProof/>
          <w:sz w:val="18"/>
          <w:szCs w:val="18"/>
        </w:rPr>
        <w:id w:val="-1800911247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noProof w:val="0"/>
          <w:szCs w:val="20"/>
        </w:rPr>
      </w:sdtEndPr>
      <w:sdtContent>
        <w:p w:rsidR="00FE2092" w:rsidRPr="00FA4478" w:rsidRDefault="00FE2092" w:rsidP="00FE2092">
          <w:pPr>
            <w:keepNext/>
            <w:keepLines/>
            <w:rPr>
              <w:rFonts w:cs="Arial"/>
              <w:b/>
              <w:sz w:val="18"/>
            </w:rPr>
          </w:pPr>
        </w:p>
        <w:p w:rsidR="00AA523C" w:rsidRDefault="00FE209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r w:rsidRPr="00FA4478">
            <w:fldChar w:fldCharType="begin"/>
          </w:r>
          <w:r w:rsidRPr="00FA4478">
            <w:instrText xml:space="preserve"> TOC \o "1-3" \h \z \u </w:instrText>
          </w:r>
          <w:r w:rsidRPr="00FA4478">
            <w:fldChar w:fldCharType="separate"/>
          </w:r>
          <w:hyperlink w:anchor="_Toc116904330" w:history="1">
            <w:r w:rsidR="00AA523C" w:rsidRPr="00553CF6">
              <w:rPr>
                <w:rStyle w:val="Hyperlink"/>
                <w:noProof/>
              </w:rPr>
              <w:t>Résumé</w:t>
            </w:r>
            <w:r w:rsidR="00AA523C">
              <w:rPr>
                <w:noProof/>
                <w:webHidden/>
              </w:rPr>
              <w:tab/>
            </w:r>
            <w:r w:rsidR="00AA523C">
              <w:rPr>
                <w:noProof/>
                <w:webHidden/>
              </w:rPr>
              <w:fldChar w:fldCharType="begin"/>
            </w:r>
            <w:r w:rsidR="00AA523C">
              <w:rPr>
                <w:noProof/>
                <w:webHidden/>
              </w:rPr>
              <w:instrText xml:space="preserve"> PAGEREF _Toc116904330 \h </w:instrText>
            </w:r>
            <w:r w:rsidR="00AA523C">
              <w:rPr>
                <w:noProof/>
                <w:webHidden/>
              </w:rPr>
            </w:r>
            <w:r w:rsidR="00AA523C">
              <w:rPr>
                <w:noProof/>
                <w:webHidden/>
              </w:rPr>
              <w:fldChar w:fldCharType="separate"/>
            </w:r>
            <w:r w:rsidR="00AA523C">
              <w:rPr>
                <w:noProof/>
                <w:webHidden/>
              </w:rPr>
              <w:t>1</w:t>
            </w:r>
            <w:r w:rsidR="00AA523C">
              <w:rPr>
                <w:noProof/>
                <w:webHidden/>
              </w:rPr>
              <w:fldChar w:fldCharType="end"/>
            </w:r>
          </w:hyperlink>
        </w:p>
        <w:p w:rsidR="00AA523C" w:rsidRDefault="00AA523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904331" w:history="1">
            <w:r w:rsidRPr="00553CF6">
              <w:rPr>
                <w:rStyle w:val="Hyperlink"/>
                <w:noProof/>
                <w:snapToGrid w:val="0"/>
              </w:rPr>
              <w:t xml:space="preserve">Nouvelles propositions de </w:t>
            </w:r>
            <w:r w:rsidRPr="00553CF6">
              <w:rPr>
                <w:rStyle w:val="Hyperlink"/>
                <w:noProof/>
              </w:rPr>
              <w:t xml:space="preserve">classes de dénominations variétales pour </w:t>
            </w:r>
            <w:r w:rsidRPr="00553CF6">
              <w:rPr>
                <w:rStyle w:val="Hyperlink"/>
                <w:i/>
                <w:noProof/>
              </w:rPr>
              <w:t>Allium</w:t>
            </w:r>
            <w:r w:rsidRPr="00553CF6">
              <w:rPr>
                <w:rStyle w:val="Hyperlink"/>
                <w:noProof/>
              </w:rPr>
              <w:t xml:space="preserve">, </w:t>
            </w:r>
            <w:r w:rsidRPr="00553CF6">
              <w:rPr>
                <w:rStyle w:val="Hyperlink"/>
                <w:i/>
                <w:noProof/>
              </w:rPr>
              <w:t>Brassica</w:t>
            </w:r>
            <w:r w:rsidRPr="00553CF6">
              <w:rPr>
                <w:rStyle w:val="Hyperlink"/>
                <w:noProof/>
              </w:rPr>
              <w:t xml:space="preserve"> et </w:t>
            </w:r>
            <w:r w:rsidRPr="00553CF6">
              <w:rPr>
                <w:rStyle w:val="Hyperlink"/>
                <w:i/>
                <w:noProof/>
              </w:rPr>
              <w:t>Prunus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_Toc116904331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23C" w:rsidRDefault="00AA523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904332" w:history="1">
            <w:r w:rsidRPr="00553CF6">
              <w:rPr>
                <w:rStyle w:val="Hyperlink"/>
                <w:noProof/>
              </w:rPr>
              <w:t>Possibilité d’élaborer un outil de recherche de similarité de l’UPOV aux fins de la dénomination variétale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_Toc116904332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23C" w:rsidRDefault="00AA523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904333" w:history="1">
            <w:r w:rsidRPr="00553CF6">
              <w:rPr>
                <w:rStyle w:val="Hyperlink"/>
                <w:noProof/>
              </w:rPr>
              <w:t>Élargissement du contenu de la base de données PLUTO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_Toc116904333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523C" w:rsidRDefault="00AA523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16904334" w:history="1">
            <w:r w:rsidRPr="00553CF6">
              <w:rPr>
                <w:rStyle w:val="Hyperlink"/>
                <w:noProof/>
              </w:rPr>
              <w:t>Faits nouveaux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_Toc116904334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2092" w:rsidRPr="00FA4478" w:rsidRDefault="00FE2092" w:rsidP="00FE2092">
          <w:pPr>
            <w:pStyle w:val="TOC2"/>
            <w:ind w:left="0"/>
            <w:rPr>
              <w:b/>
              <w:smallCaps/>
            </w:rPr>
          </w:pPr>
          <w:r w:rsidRPr="00FA4478">
            <w:rPr>
              <w:b/>
              <w:smallCaps/>
            </w:rPr>
            <w:fldChar w:fldCharType="end"/>
          </w:r>
        </w:p>
      </w:sdtContent>
    </w:sdt>
    <w:p w:rsidR="009E79AB" w:rsidRDefault="00FE2092" w:rsidP="00FE2092">
      <w:bookmarkStart w:id="1" w:name="_Toc477358703"/>
      <w:bookmarkStart w:id="2" w:name="_Toc52996360"/>
      <w:r>
        <w:t>Annexe I</w:t>
      </w:r>
      <w:r>
        <w:tab/>
        <w:t xml:space="preserve">Nouvelles propositions de classes de dénominations variétales pour </w:t>
      </w:r>
      <w:r>
        <w:rPr>
          <w:i/>
        </w:rPr>
        <w:t>Allium</w:t>
      </w:r>
      <w:r>
        <w:t xml:space="preserve">, </w:t>
      </w:r>
      <w:proofErr w:type="spellStart"/>
      <w:r>
        <w:rPr>
          <w:i/>
        </w:rPr>
        <w:t>Brassica</w:t>
      </w:r>
      <w:proofErr w:type="spellEnd"/>
      <w:r>
        <w:t xml:space="preserve"> et </w:t>
      </w:r>
      <w:r>
        <w:rPr>
          <w:i/>
        </w:rPr>
        <w:t>Prunus</w:t>
      </w:r>
    </w:p>
    <w:p w:rsidR="009E79AB" w:rsidRDefault="00FE2092" w:rsidP="00FE2092">
      <w:pPr>
        <w:rPr>
          <w:sz w:val="18"/>
        </w:rPr>
      </w:pPr>
      <w:r>
        <w:t>Annexe II</w:t>
      </w:r>
      <w:r>
        <w:tab/>
      </w:r>
      <w:r>
        <w:rPr>
          <w:sz w:val="18"/>
        </w:rPr>
        <w:t>Élargissement du contenu de la base de données PLUTO</w:t>
      </w:r>
    </w:p>
    <w:bookmarkEnd w:id="1"/>
    <w:bookmarkEnd w:id="2"/>
    <w:p w:rsidR="00FE2092" w:rsidRDefault="00FE2092" w:rsidP="00FE2092">
      <w:pPr>
        <w:rPr>
          <w:lang w:eastAsia="ja-JP"/>
        </w:rPr>
      </w:pPr>
    </w:p>
    <w:p w:rsidR="00702FFC" w:rsidRDefault="00702FFC" w:rsidP="00FE2092">
      <w:pPr>
        <w:jc w:val="right"/>
      </w:pPr>
    </w:p>
    <w:p w:rsidR="00702FFC" w:rsidRDefault="006168C8" w:rsidP="007A62CD">
      <w:pPr>
        <w:pStyle w:val="Heading1"/>
        <w:rPr>
          <w:snapToGrid w:val="0"/>
        </w:rPr>
      </w:pPr>
      <w:bookmarkStart w:id="3" w:name="_Toc116904331"/>
      <w:r>
        <w:rPr>
          <w:snapToGrid w:val="0"/>
        </w:rPr>
        <w:t xml:space="preserve">Nouvelles propositions de </w:t>
      </w:r>
      <w:r>
        <w:t xml:space="preserve">classes de dénominations variétales pour </w:t>
      </w:r>
      <w:r>
        <w:rPr>
          <w:i/>
        </w:rPr>
        <w:t>Allium</w:t>
      </w:r>
      <w:r>
        <w:t xml:space="preserve">, </w:t>
      </w:r>
      <w:r>
        <w:rPr>
          <w:i/>
        </w:rPr>
        <w:t>Brassica</w:t>
      </w:r>
      <w:r>
        <w:t xml:space="preserve"> et </w:t>
      </w:r>
      <w:r>
        <w:rPr>
          <w:i/>
        </w:rPr>
        <w:t>Prunus</w:t>
      </w:r>
      <w:bookmarkEnd w:id="3"/>
    </w:p>
    <w:p w:rsidR="007A62CD" w:rsidRDefault="007A62CD" w:rsidP="00702FFC">
      <w:pPr>
        <w:ind w:left="567" w:hanging="567"/>
        <w:rPr>
          <w:snapToGrid w:val="0"/>
        </w:rPr>
      </w:pPr>
    </w:p>
    <w:p w:rsidR="009E79AB" w:rsidRDefault="00702FFC" w:rsidP="00702FFC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Le TWV, à sa cinquante</w:t>
      </w:r>
      <w:r w:rsidR="00AA523C">
        <w:rPr>
          <w:snapToGrid w:val="0"/>
        </w:rPr>
        <w:noBreakHyphen/>
      </w:r>
      <w:r>
        <w:rPr>
          <w:snapToGrid w:val="0"/>
        </w:rPr>
        <w:t>six</w:t>
      </w:r>
      <w:r w:rsidR="009E79AB">
        <w:rPr>
          <w:snapToGrid w:val="0"/>
        </w:rPr>
        <w:t>ième session</w:t>
      </w:r>
      <w:r>
        <w:rPr>
          <w:snapToGrid w:val="0"/>
        </w:rPr>
        <w:t>, et</w:t>
      </w:r>
      <w:r w:rsidR="009E79AB">
        <w:rPr>
          <w:snapToGrid w:val="0"/>
        </w:rPr>
        <w:t xml:space="preserve"> </w:t>
      </w:r>
      <w:r w:rsidR="009E79AB">
        <w:t>le</w:t>
      </w:r>
      <w:r w:rsidR="009E79AB">
        <w:rPr>
          <w:snapToGrid w:val="0"/>
        </w:rPr>
        <w:t> </w:t>
      </w:r>
      <w:r w:rsidR="009E79AB">
        <w:t>TWF</w:t>
      </w:r>
      <w:r>
        <w:t>, à sa cinquante</w:t>
      </w:r>
      <w:r w:rsidR="00AA523C">
        <w:noBreakHyphen/>
      </w:r>
      <w:r>
        <w:t>trois</w:t>
      </w:r>
      <w:r w:rsidR="009E79AB">
        <w:t>ième session</w:t>
      </w:r>
      <w:r>
        <w:t xml:space="preserve">, </w:t>
      </w:r>
      <w:r>
        <w:rPr>
          <w:snapToGrid w:val="0"/>
        </w:rPr>
        <w:t xml:space="preserve">ont examiné respectivement les </w:t>
      </w:r>
      <w:r w:rsidR="009E79AB">
        <w:rPr>
          <w:snapToGrid w:val="0"/>
        </w:rPr>
        <w:t>documents TW</w:t>
      </w:r>
      <w:r>
        <w:rPr>
          <w:snapToGrid w:val="0"/>
        </w:rPr>
        <w:t>V/56/4 et </w:t>
      </w:r>
      <w:r>
        <w:t xml:space="preserve">TWF/53/4 </w:t>
      </w:r>
      <w:r>
        <w:rPr>
          <w:snapToGrid w:val="0"/>
        </w:rPr>
        <w:t xml:space="preserve">“Dénominations variétales”.  Ils ont examiné les </w:t>
      </w:r>
      <w:r>
        <w:t xml:space="preserve">propositions de modification des classes de dénominations variétales pour </w:t>
      </w:r>
      <w:proofErr w:type="spellStart"/>
      <w:r>
        <w:rPr>
          <w:i/>
        </w:rPr>
        <w:t>Brassica</w:t>
      </w:r>
      <w:proofErr w:type="spellEnd"/>
      <w:r>
        <w:t xml:space="preserve"> et de création de nouvelles classes au sein des genres Allium</w:t>
      </w:r>
      <w:r>
        <w:rPr>
          <w:i/>
        </w:rPr>
        <w:t xml:space="preserve"> </w:t>
      </w:r>
      <w:r>
        <w:t xml:space="preserve">et </w:t>
      </w:r>
      <w:r>
        <w:rPr>
          <w:i/>
        </w:rPr>
        <w:t>Prunus</w:t>
      </w:r>
      <w:r>
        <w:t xml:space="preserve">, présentées par un expert de la République tchèque </w:t>
      </w:r>
      <w:r>
        <w:lastRenderedPageBreak/>
        <w:t xml:space="preserve">(voir les paragraphes 52 à 54 du </w:t>
      </w:r>
      <w:r w:rsidR="009E79AB">
        <w:t>document TW</w:t>
      </w:r>
      <w:r>
        <w:t xml:space="preserve">V/56/22 “Report” et les paragraphes 28 à 30 du </w:t>
      </w:r>
      <w:r w:rsidR="009E79AB">
        <w:t>document TW</w:t>
      </w:r>
      <w:r>
        <w:t>F/53/14 “Report”).</w:t>
      </w:r>
    </w:p>
    <w:p w:rsidR="006168C8" w:rsidRDefault="006168C8" w:rsidP="00702FFC">
      <w:pPr>
        <w:rPr>
          <w:snapToGrid w:val="0"/>
        </w:rPr>
      </w:pPr>
    </w:p>
    <w:p w:rsidR="009E79AB" w:rsidRDefault="00702FFC" w:rsidP="00702FFC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TWV a examiné les différentes espèces au sein des classes proposées pour </w:t>
      </w:r>
      <w:r>
        <w:rPr>
          <w:i/>
        </w:rPr>
        <w:t>Allium</w:t>
      </w:r>
      <w:r>
        <w:t xml:space="preserve"> et </w:t>
      </w:r>
      <w:proofErr w:type="spellStart"/>
      <w:r>
        <w:rPr>
          <w:i/>
        </w:rPr>
        <w:t>Brassica</w:t>
      </w:r>
      <w:proofErr w:type="spellEnd"/>
      <w:r>
        <w:t xml:space="preserve"> et il est convenu qu</w:t>
      </w:r>
      <w:r w:rsidR="009E79AB">
        <w:t>’</w:t>
      </w:r>
      <w:r>
        <w:t>un examen plus approfondi était nécessai</w:t>
      </w:r>
      <w:r w:rsidR="00AA523C">
        <w:t>re</w:t>
      </w:r>
      <w:r w:rsidR="00AA523C">
        <w:t xml:space="preserve">.  </w:t>
      </w:r>
      <w:r w:rsidR="00AA523C">
        <w:t>Le</w:t>
      </w:r>
      <w:r w:rsidR="009E79AB">
        <w:t> TWV</w:t>
      </w:r>
      <w:r>
        <w:t xml:space="preserve"> est convenu que les espèces du genre </w:t>
      </w:r>
      <w:r>
        <w:rPr>
          <w:i/>
        </w:rPr>
        <w:t>Allium</w:t>
      </w:r>
      <w:r>
        <w:t xml:space="preserve"> utilisées comme plantes potagères devraient être répertoriées individuellement afin de créer une classe de dénomination distincte des autres espèces utilisées comme plantes ornementales.</w:t>
      </w:r>
    </w:p>
    <w:p w:rsidR="00702FFC" w:rsidRDefault="00702FFC" w:rsidP="00702FFC"/>
    <w:p w:rsidR="009E79AB" w:rsidRDefault="00702FFC" w:rsidP="00702FFC">
      <w:r>
        <w:fldChar w:fldCharType="begin"/>
      </w:r>
      <w:r>
        <w:instrText xml:space="preserve"> AUTONUM  </w:instrText>
      </w:r>
      <w:r>
        <w:fldChar w:fldCharType="end"/>
      </w:r>
      <w:r>
        <w:tab/>
        <w:t>Le TWV est convenu d</w:t>
      </w:r>
      <w:r w:rsidR="009E79AB">
        <w:t>’</w:t>
      </w:r>
      <w:r>
        <w:t>inviter les experts des Pays</w:t>
      </w:r>
      <w:r w:rsidR="00AA523C">
        <w:noBreakHyphen/>
      </w:r>
      <w:r>
        <w:t xml:space="preserve">Bas et de la République tchèque à élaborer une nouvelle proposition de modification des classes de dénominations pour les genres </w:t>
      </w:r>
      <w:r>
        <w:rPr>
          <w:i/>
        </w:rPr>
        <w:t>Allium</w:t>
      </w:r>
      <w:r>
        <w:t xml:space="preserve"> et </w:t>
      </w:r>
      <w:proofErr w:type="spellStart"/>
      <w:r>
        <w:rPr>
          <w:i/>
        </w:rPr>
        <w:t>Brassica</w:t>
      </w:r>
      <w:proofErr w:type="spellEnd"/>
      <w:r>
        <w:t xml:space="preserve">, </w:t>
      </w:r>
      <w:r>
        <w:rPr>
          <w:snapToGrid w:val="0"/>
        </w:rPr>
        <w:t xml:space="preserve">qui sera </w:t>
      </w:r>
      <w:r>
        <w:t>présentée</w:t>
      </w:r>
      <w:r w:rsidR="009E79AB">
        <w:t xml:space="preserve"> au TWV</w:t>
      </w:r>
      <w:r>
        <w:t xml:space="preserve"> à sa cinquante</w:t>
      </w:r>
      <w:r w:rsidR="00AA523C">
        <w:noBreakHyphen/>
      </w:r>
      <w:r>
        <w:t>sept</w:t>
      </w:r>
      <w:r w:rsidR="009E79AB">
        <w:t>ième session</w:t>
      </w:r>
      <w:r>
        <w:t>.</w:t>
      </w:r>
    </w:p>
    <w:p w:rsidR="007A62CD" w:rsidRDefault="007A62CD" w:rsidP="007A62CD"/>
    <w:p w:rsidR="009E79AB" w:rsidRDefault="007A62CD" w:rsidP="007A62CD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TWF a examiné comment traiter les hybrides interspécifiques du genre </w:t>
      </w:r>
      <w:r>
        <w:rPr>
          <w:i/>
        </w:rPr>
        <w:t>Prunus</w:t>
      </w:r>
      <w:r>
        <w:t xml:space="preserve"> provenant d</w:t>
      </w:r>
      <w:r w:rsidR="009E79AB">
        <w:t>’</w:t>
      </w:r>
      <w:r>
        <w:t>espèces appartenant à différentes classes de dénomination proposées et il est convenu qu</w:t>
      </w:r>
      <w:r w:rsidR="009E79AB">
        <w:t>’</w:t>
      </w:r>
      <w:r>
        <w:t>un examen approfondi serait nécessaire, notamment avec la participation d</w:t>
      </w:r>
      <w:r w:rsidR="009E79AB">
        <w:t>’</w:t>
      </w:r>
      <w:r>
        <w:t>experts en dénominati</w:t>
      </w:r>
      <w:r w:rsidR="00AA523C">
        <w:t>on</w:t>
      </w:r>
      <w:r w:rsidR="00AA523C">
        <w:t xml:space="preserve">.  </w:t>
      </w:r>
      <w:r w:rsidR="00AA523C">
        <w:t>Le</w:t>
      </w:r>
      <w:r w:rsidR="009E79AB">
        <w:t> TWF</w:t>
      </w:r>
      <w:r>
        <w:t xml:space="preserve"> a noté que les variétés hybrides issues d</w:t>
      </w:r>
      <w:r w:rsidR="009E79AB">
        <w:t>’</w:t>
      </w:r>
      <w:r>
        <w:t xml:space="preserve">espèces du genre </w:t>
      </w:r>
      <w:r>
        <w:rPr>
          <w:i/>
        </w:rPr>
        <w:t>Prunus</w:t>
      </w:r>
      <w:r>
        <w:t xml:space="preserve"> appartenant à des classes de dénomination différentes pourraient conduire à des approches différentes dans l</w:t>
      </w:r>
      <w:r w:rsidR="009E79AB">
        <w:t>’</w:t>
      </w:r>
      <w:r>
        <w:t>attribution de la classe de dénomination.</w:t>
      </w:r>
    </w:p>
    <w:p w:rsidR="007A62CD" w:rsidRDefault="007A62CD" w:rsidP="007A62CD"/>
    <w:p w:rsidR="007A62CD" w:rsidRDefault="007A62CD" w:rsidP="007A62CD">
      <w:r>
        <w:fldChar w:fldCharType="begin"/>
      </w:r>
      <w:r>
        <w:instrText xml:space="preserve"> AUTONUM  </w:instrText>
      </w:r>
      <w:r>
        <w:fldChar w:fldCharType="end"/>
      </w:r>
      <w:r>
        <w:tab/>
        <w:t>Le TWF est convenu d</w:t>
      </w:r>
      <w:r w:rsidR="009E79AB">
        <w:t>’</w:t>
      </w:r>
      <w:r>
        <w:t>inviter l</w:t>
      </w:r>
      <w:r w:rsidR="009E79AB">
        <w:t>’</w:t>
      </w:r>
      <w:r>
        <w:t>expert de la République tchèque à poursuivre l</w:t>
      </w:r>
      <w:r w:rsidR="009E79AB">
        <w:t>’</w:t>
      </w:r>
      <w:r>
        <w:t>élaboration de la proposition en collaboration avec l</w:t>
      </w:r>
      <w:r w:rsidR="009E79AB">
        <w:t>’</w:t>
      </w:r>
      <w:r>
        <w:t>Allemagne, la France, le Japon, la Nouvelle</w:t>
      </w:r>
      <w:r w:rsidR="00AA523C">
        <w:noBreakHyphen/>
      </w:r>
      <w:r>
        <w:t>Zélande et l</w:t>
      </w:r>
      <w:r w:rsidR="009E79AB">
        <w:t>’</w:t>
      </w:r>
      <w:r>
        <w:t>Union européenne, et à rendre compte des faits nouveaux à sa cinquante</w:t>
      </w:r>
      <w:r w:rsidR="00AA523C">
        <w:noBreakHyphen/>
      </w:r>
      <w:r>
        <w:t>quatr</w:t>
      </w:r>
      <w:r w:rsidR="009E79AB">
        <w:t>ième session</w:t>
      </w:r>
      <w:r>
        <w:t>.</w:t>
      </w:r>
    </w:p>
    <w:p w:rsidR="007A62CD" w:rsidRDefault="007A62CD" w:rsidP="00702FFC"/>
    <w:p w:rsidR="006168C8" w:rsidRPr="00847998" w:rsidRDefault="006168C8" w:rsidP="00702FFC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Les propositions examinées par</w:t>
      </w:r>
      <w:r w:rsidR="009E79AB">
        <w:rPr>
          <w:snapToGrid w:val="0"/>
        </w:rPr>
        <w:t xml:space="preserve"> le TWV</w:t>
      </w:r>
      <w:r>
        <w:rPr>
          <w:snapToGrid w:val="0"/>
        </w:rPr>
        <w:t xml:space="preserve"> et</w:t>
      </w:r>
      <w:r w:rsidR="009E79AB">
        <w:rPr>
          <w:snapToGrid w:val="0"/>
        </w:rPr>
        <w:t xml:space="preserve"> le TWF</w:t>
      </w:r>
      <w:r>
        <w:rPr>
          <w:snapToGrid w:val="0"/>
        </w:rPr>
        <w:t xml:space="preserve"> sont reproduites à l</w:t>
      </w:r>
      <w:r w:rsidR="009E79AB">
        <w:rPr>
          <w:snapToGrid w:val="0"/>
        </w:rPr>
        <w:t>’</w:t>
      </w:r>
      <w:r>
        <w:rPr>
          <w:snapToGrid w:val="0"/>
        </w:rPr>
        <w:t>annexe I du présent document.</w:t>
      </w:r>
    </w:p>
    <w:p w:rsidR="006168C8" w:rsidRPr="00847998" w:rsidRDefault="006168C8" w:rsidP="00702FFC">
      <w:pPr>
        <w:rPr>
          <w:snapToGrid w:val="0"/>
        </w:rPr>
      </w:pPr>
    </w:p>
    <w:p w:rsidR="006168C8" w:rsidRPr="008E2918" w:rsidRDefault="006168C8" w:rsidP="008E2918">
      <w:pPr>
        <w:tabs>
          <w:tab w:val="left" w:pos="5387"/>
        </w:tabs>
        <w:ind w:left="4820"/>
        <w:rPr>
          <w:i/>
          <w:snapToGrid w:val="0"/>
        </w:rPr>
      </w:pPr>
      <w:r w:rsidRPr="00847998">
        <w:rPr>
          <w:i/>
          <w:snapToGrid w:val="0"/>
        </w:rPr>
        <w:fldChar w:fldCharType="begin"/>
      </w:r>
      <w:r w:rsidRPr="00847998">
        <w:rPr>
          <w:i/>
          <w:snapToGrid w:val="0"/>
        </w:rPr>
        <w:instrText xml:space="preserve"> AUTONUM  </w:instrText>
      </w:r>
      <w:r w:rsidRPr="00847998">
        <w:rPr>
          <w:i/>
          <w:snapToGrid w:val="0"/>
        </w:rPr>
        <w:fldChar w:fldCharType="end"/>
      </w:r>
      <w:r>
        <w:rPr>
          <w:i/>
          <w:snapToGrid w:val="0"/>
        </w:rPr>
        <w:tab/>
        <w:t>Le</w:t>
      </w:r>
      <w:r w:rsidR="009E79AB">
        <w:rPr>
          <w:i/>
          <w:snapToGrid w:val="0"/>
        </w:rPr>
        <w:t> TC</w:t>
      </w:r>
      <w:r>
        <w:rPr>
          <w:i/>
          <w:snapToGrid w:val="0"/>
        </w:rPr>
        <w:t xml:space="preserve"> est invité à prendre note des délibérations sur les nouvelles propositions de classes de dénomination des genres Allium, </w:t>
      </w:r>
      <w:proofErr w:type="spellStart"/>
      <w:r>
        <w:rPr>
          <w:i/>
          <w:snapToGrid w:val="0"/>
        </w:rPr>
        <w:t>Brassica</w:t>
      </w:r>
      <w:proofErr w:type="spellEnd"/>
      <w:r>
        <w:rPr>
          <w:i/>
          <w:snapToGrid w:val="0"/>
        </w:rPr>
        <w:t xml:space="preserve"> et Prunus, telles qu</w:t>
      </w:r>
      <w:r w:rsidR="009E79AB">
        <w:rPr>
          <w:i/>
          <w:snapToGrid w:val="0"/>
        </w:rPr>
        <w:t>’</w:t>
      </w:r>
      <w:r>
        <w:rPr>
          <w:i/>
          <w:snapToGrid w:val="0"/>
        </w:rPr>
        <w:t>elles figurent aux paragraphes 5 à 10 du présent document.</w:t>
      </w:r>
    </w:p>
    <w:p w:rsidR="00FE2092" w:rsidRDefault="00FE2092" w:rsidP="00FE2092">
      <w:pPr>
        <w:jc w:val="right"/>
      </w:pPr>
    </w:p>
    <w:p w:rsidR="004F355C" w:rsidRPr="000D7945" w:rsidRDefault="004F355C" w:rsidP="004F355C">
      <w:pPr>
        <w:rPr>
          <w:lang w:eastAsia="ja-JP"/>
        </w:rPr>
      </w:pPr>
    </w:p>
    <w:p w:rsidR="004F355C" w:rsidRPr="000D7945" w:rsidRDefault="004F355C" w:rsidP="004F355C">
      <w:pPr>
        <w:pStyle w:val="Heading1"/>
        <w:rPr>
          <w:rFonts w:eastAsiaTheme="minorEastAsia"/>
        </w:rPr>
      </w:pPr>
      <w:bookmarkStart w:id="4" w:name="_Toc382388623"/>
      <w:bookmarkStart w:id="5" w:name="_Toc477358706"/>
      <w:bookmarkStart w:id="6" w:name="_Toc52996363"/>
      <w:bookmarkStart w:id="7" w:name="_Toc116904332"/>
      <w:r>
        <w:t>Possibilité d</w:t>
      </w:r>
      <w:r w:rsidR="009E79AB">
        <w:t>’</w:t>
      </w:r>
      <w:r>
        <w:t>élaborer un outil de recherche de similarité de l</w:t>
      </w:r>
      <w:r w:rsidR="009E79AB">
        <w:t>’</w:t>
      </w:r>
      <w:r>
        <w:t>UPOV aux fins de la dénomination variétale</w:t>
      </w:r>
      <w:bookmarkEnd w:id="4"/>
      <w:bookmarkEnd w:id="5"/>
      <w:bookmarkEnd w:id="6"/>
      <w:bookmarkEnd w:id="7"/>
    </w:p>
    <w:p w:rsidR="004F355C" w:rsidRDefault="004F355C" w:rsidP="004F355C">
      <w:pPr>
        <w:rPr>
          <w:rFonts w:cs="Arial"/>
        </w:rPr>
      </w:pPr>
    </w:p>
    <w:p w:rsidR="004F355C" w:rsidRDefault="004F355C" w:rsidP="004F355C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Un compte rendu des faits nouveaux concernant la mise au point d</w:t>
      </w:r>
      <w:r w:rsidR="009E79AB">
        <w:t>’</w:t>
      </w:r>
      <w:r>
        <w:t xml:space="preserve">un outil de recherche de similarité aux fins de la dénomination variétale figure dans le </w:t>
      </w:r>
      <w:r w:rsidR="009E79AB">
        <w:t>document TC</w:t>
      </w:r>
      <w:r>
        <w:t>/58/INF/7 “Outil de recherche de similarité de l</w:t>
      </w:r>
      <w:r w:rsidR="009E79AB">
        <w:t>’</w:t>
      </w:r>
      <w:r>
        <w:t>UPOV aux fins de la dénomination variétale”.</w:t>
      </w:r>
    </w:p>
    <w:p w:rsidR="004F355C" w:rsidRDefault="004F355C" w:rsidP="004F355C">
      <w:pPr>
        <w:rPr>
          <w:rFonts w:cs="Arial"/>
        </w:rPr>
      </w:pPr>
    </w:p>
    <w:p w:rsidR="004F355C" w:rsidRPr="000D7945" w:rsidRDefault="004F355C" w:rsidP="004F355C">
      <w:pPr>
        <w:rPr>
          <w:rFonts w:eastAsiaTheme="minorEastAsia"/>
          <w:lang w:eastAsia="ja-JP"/>
        </w:rPr>
      </w:pPr>
    </w:p>
    <w:p w:rsidR="004F355C" w:rsidRPr="0096300E" w:rsidRDefault="004F355C" w:rsidP="004F355C">
      <w:pPr>
        <w:pStyle w:val="Heading1"/>
        <w:rPr>
          <w:rFonts w:eastAsiaTheme="minorEastAsia"/>
        </w:rPr>
      </w:pPr>
      <w:bookmarkStart w:id="8" w:name="_Toc477358709"/>
      <w:bookmarkStart w:id="9" w:name="_Toc52996366"/>
      <w:bookmarkStart w:id="10" w:name="_Toc85051627"/>
      <w:bookmarkStart w:id="11" w:name="_Toc116904333"/>
      <w:r>
        <w:t>Élargissement du contenu de la base de données PLUTO</w:t>
      </w:r>
      <w:bookmarkEnd w:id="8"/>
      <w:bookmarkEnd w:id="9"/>
      <w:bookmarkEnd w:id="10"/>
      <w:bookmarkEnd w:id="11"/>
    </w:p>
    <w:p w:rsidR="004F355C" w:rsidRDefault="004F355C" w:rsidP="004F355C">
      <w:pPr>
        <w:rPr>
          <w:u w:val="single"/>
        </w:rPr>
      </w:pPr>
    </w:p>
    <w:p w:rsidR="004F355C" w:rsidRDefault="004F355C" w:rsidP="004F355C">
      <w:r>
        <w:fldChar w:fldCharType="begin"/>
      </w:r>
      <w:r>
        <w:instrText xml:space="preserve"> AUTONUM  </w:instrText>
      </w:r>
      <w:r>
        <w:fldChar w:fldCharType="end"/>
      </w:r>
      <w:r>
        <w:tab/>
        <w:t>Les informations générales sur cette question sont fournies à l</w:t>
      </w:r>
      <w:r w:rsidR="009E79AB">
        <w:t>’</w:t>
      </w:r>
      <w:r>
        <w:t>annexe II du présent document.</w:t>
      </w:r>
    </w:p>
    <w:p w:rsidR="004F355C" w:rsidRDefault="004F355C" w:rsidP="004F355C"/>
    <w:p w:rsidR="009E79AB" w:rsidRDefault="004F355C" w:rsidP="004F355C">
      <w:pPr>
        <w:pStyle w:val="Heading2"/>
      </w:pPr>
      <w:bookmarkStart w:id="12" w:name="_Toc116904334"/>
      <w:r>
        <w:t>Faits nouveaux</w:t>
      </w:r>
      <w:bookmarkEnd w:id="12"/>
    </w:p>
    <w:p w:rsidR="004F355C" w:rsidRDefault="004F355C" w:rsidP="004F355C"/>
    <w:p w:rsidR="009E79AB" w:rsidRDefault="004F355C" w:rsidP="004F355C"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 xml:space="preserve">La nouvelle version de la base de données PLUTO a été lancée le 11 octobre 2021, à la nouvelle adresse </w:t>
      </w:r>
      <w:hyperlink r:id="rId9" w:history="1">
        <w:r>
          <w:rPr>
            <w:rStyle w:val="Hyperlink"/>
          </w:rPr>
          <w:t>https://pluto.upov.int</w:t>
        </w:r>
      </w:hyperlink>
      <w:r>
        <w:t>.</w:t>
      </w:r>
    </w:p>
    <w:p w:rsidR="004F355C" w:rsidRDefault="004F355C" w:rsidP="004F355C">
      <w:pPr>
        <w:rPr>
          <w:rFonts w:cs="Arial"/>
          <w:bCs/>
        </w:rPr>
      </w:pPr>
    </w:p>
    <w:p w:rsidR="009E79AB" w:rsidRDefault="004F355C" w:rsidP="004F355C"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La nouvelle version de la base de données PLUTO définit un identifiant unique pour les notations de variétés dans la base de données PLUTO, fondé sur deux paramètres</w:t>
      </w:r>
      <w:r w:rsidR="009E79AB">
        <w:t> :</w:t>
      </w:r>
    </w:p>
    <w:p w:rsidR="004F355C" w:rsidRDefault="004F355C" w:rsidP="004F355C">
      <w:pPr>
        <w:rPr>
          <w:rFonts w:eastAsiaTheme="minorEastAsia"/>
          <w:spacing w:val="-2"/>
        </w:rPr>
      </w:pPr>
    </w:p>
    <w:p w:rsidR="009E79AB" w:rsidRDefault="004F355C" w:rsidP="003F6DE3">
      <w:pPr>
        <w:pStyle w:val="ListParagraph"/>
        <w:numPr>
          <w:ilvl w:val="0"/>
          <w:numId w:val="3"/>
        </w:numPr>
        <w:ind w:left="1134" w:hanging="567"/>
      </w:pPr>
      <w:proofErr w:type="gramStart"/>
      <w:r>
        <w:t>le</w:t>
      </w:r>
      <w:proofErr w:type="gramEnd"/>
      <w:r>
        <w:t xml:space="preserve"> service</w:t>
      </w:r>
      <w:r w:rsidR="009E79AB">
        <w:t> :</w:t>
      </w:r>
      <w:r>
        <w:t xml:space="preserve"> où la variété fait l</w:t>
      </w:r>
      <w:r w:rsidR="009E79AB">
        <w:t>’</w:t>
      </w:r>
      <w:r>
        <w:t>objet d</w:t>
      </w:r>
      <w:r w:rsidR="009E79AB">
        <w:t>’</w:t>
      </w:r>
      <w:r>
        <w:t>une protection ou est inscrite dans un répertoire national et,</w:t>
      </w:r>
    </w:p>
    <w:p w:rsidR="009E79AB" w:rsidRDefault="004F355C" w:rsidP="003F6DE3">
      <w:pPr>
        <w:pStyle w:val="ListParagraph"/>
        <w:numPr>
          <w:ilvl w:val="0"/>
          <w:numId w:val="3"/>
        </w:numPr>
        <w:ind w:left="1134" w:hanging="567"/>
      </w:pPr>
      <w:proofErr w:type="gramStart"/>
      <w:r>
        <w:t>l</w:t>
      </w:r>
      <w:r w:rsidR="009E79AB">
        <w:t>’</w:t>
      </w:r>
      <w:r>
        <w:t>identifiant</w:t>
      </w:r>
      <w:proofErr w:type="gramEnd"/>
      <w:r>
        <w:t xml:space="preserve"> de la variété</w:t>
      </w:r>
      <w:r w:rsidR="009E79AB">
        <w:t> :</w:t>
      </w:r>
      <w:r>
        <w:t xml:space="preserve"> s</w:t>
      </w:r>
      <w:r w:rsidR="009E79AB">
        <w:t>’</w:t>
      </w:r>
      <w:r>
        <w:t>il n</w:t>
      </w:r>
      <w:r w:rsidR="009E79AB">
        <w:t>’</w:t>
      </w:r>
      <w:r>
        <w:t>est pas fourni par les contributeurs, l</w:t>
      </w:r>
      <w:r w:rsidR="009E79AB">
        <w:t>’</w:t>
      </w:r>
      <w:r>
        <w:t>identifiant de la variété est le numéro de la demande ou le numéro d</w:t>
      </w:r>
      <w:r w:rsidR="009E79AB">
        <w:t>’</w:t>
      </w:r>
      <w:r>
        <w:t>octr</w:t>
      </w:r>
      <w:r w:rsidR="00AA523C">
        <w:t>oi</w:t>
      </w:r>
      <w:r w:rsidR="00AA523C">
        <w:t xml:space="preserve">.  </w:t>
      </w:r>
      <w:r w:rsidR="00AA523C">
        <w:t>Si</w:t>
      </w:r>
      <w:r>
        <w:t xml:space="preserve"> aucun des deux</w:t>
      </w:r>
      <w:r>
        <w:t xml:space="preserve"> </w:t>
      </w:r>
      <w:r>
        <w:t>n</w:t>
      </w:r>
      <w:r w:rsidR="009E79AB">
        <w:t>’</w:t>
      </w:r>
      <w:r>
        <w:t>est disponible, la base de données PLUTO génère un identifiant unique.</w:t>
      </w:r>
    </w:p>
    <w:p w:rsidR="004F355C" w:rsidRDefault="004F355C" w:rsidP="004F355C">
      <w:pPr>
        <w:pStyle w:val="ListParagraph"/>
        <w:rPr>
          <w:rFonts w:eastAsiaTheme="minorEastAsia"/>
          <w:spacing w:val="-2"/>
        </w:rPr>
      </w:pPr>
    </w:p>
    <w:p w:rsidR="004F355C" w:rsidRDefault="004F355C" w:rsidP="004F355C">
      <w:pPr>
        <w:rPr>
          <w:rFonts w:eastAsiaTheme="minorEastAsia"/>
          <w:spacing w:val="-2"/>
        </w:rPr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</w:t>
      </w:r>
      <w:r w:rsidR="009E79AB">
        <w:t>’</w:t>
      </w:r>
      <w:r>
        <w:t>identifiant unique permet aux contributeurs de soumettre uniquement des fichiers modifiés ou nouvea</w:t>
      </w:r>
      <w:r w:rsidR="00AA523C">
        <w:t>ux</w:t>
      </w:r>
      <w:r w:rsidR="00AA523C">
        <w:t xml:space="preserve">.  </w:t>
      </w:r>
      <w:r w:rsidR="00AA523C">
        <w:t>Il</w:t>
      </w:r>
      <w:r>
        <w:t xml:space="preserve"> n</w:t>
      </w:r>
      <w:r w:rsidR="009E79AB">
        <w:t>’</w:t>
      </w:r>
      <w:r>
        <w:t>est plus obligatoire de soumettre l</w:t>
      </w:r>
      <w:r w:rsidR="009E79AB">
        <w:t>’</w:t>
      </w:r>
      <w:r>
        <w:t>ensemble des données à chaque fois.</w:t>
      </w:r>
    </w:p>
    <w:p w:rsidR="004F355C" w:rsidRDefault="004F355C" w:rsidP="004F355C">
      <w:pPr>
        <w:rPr>
          <w:rFonts w:eastAsiaTheme="minorEastAsia"/>
          <w:spacing w:val="-2"/>
        </w:rPr>
      </w:pPr>
    </w:p>
    <w:p w:rsidR="009E79AB" w:rsidRDefault="004F355C" w:rsidP="004F355C"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La nouvelle base de données PLUTO accepte les accents et les caractères spéciaux et permet d</w:t>
      </w:r>
      <w:r w:rsidR="009E79AB">
        <w:t>’</w:t>
      </w:r>
      <w:r>
        <w:t>ajouter des informations sur les dénominations, le nom commun, les parties concernées en alphabet non romain, comme défini dans la norme ISO/IEC 8859 1: 1998.</w:t>
      </w:r>
    </w:p>
    <w:p w:rsidR="004F355C" w:rsidRDefault="004F355C" w:rsidP="004F355C"/>
    <w:p w:rsidR="009E79AB" w:rsidRDefault="004F355C" w:rsidP="004F355C">
      <w:pPr>
        <w:rPr>
          <w:color w:val="000000"/>
          <w:sz w:val="16"/>
        </w:rPr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Des orientations sur le format “TAG” pour la transmission de données vers la base de données PLUTO sont disponibles sur le site Internet d</w:t>
      </w:r>
      <w:r w:rsidR="009E79AB">
        <w:t>’</w:t>
      </w:r>
      <w:r>
        <w:t>information de la base de données PLUTO sous la rubrique “COMMENT FOURNIR DES DONNÉES À PLUTO” (page “Comment utiliser PLUTO”) à l</w:t>
      </w:r>
      <w:r w:rsidR="009E79AB">
        <w:t>’</w:t>
      </w:r>
      <w:r>
        <w:t xml:space="preserve">adresse </w:t>
      </w:r>
      <w:hyperlink r:id="rId10" w:history="1">
        <w:r>
          <w:rPr>
            <w:rStyle w:val="Hyperlink"/>
          </w:rPr>
          <w:t>https://www.upov.int/pluto/fr/help.html</w:t>
        </w:r>
      </w:hyperlink>
      <w:r>
        <w:t>, avec un modèle Excel pour les contributeurs.</w:t>
      </w:r>
    </w:p>
    <w:p w:rsidR="004F355C" w:rsidRDefault="004F355C" w:rsidP="009211BE"/>
    <w:p w:rsidR="004F355C" w:rsidRPr="000D7945" w:rsidRDefault="004F355C" w:rsidP="004F355C">
      <w:pPr>
        <w:keepLines/>
        <w:tabs>
          <w:tab w:val="left" w:pos="5387"/>
        </w:tabs>
        <w:ind w:left="4820"/>
      </w:pPr>
      <w:r w:rsidRPr="002101CC">
        <w:rPr>
          <w:rFonts w:eastAsiaTheme="minorEastAsia" w:cs="Arial"/>
          <w:i/>
          <w:snapToGrid w:val="0"/>
        </w:rPr>
        <w:fldChar w:fldCharType="begin"/>
      </w:r>
      <w:r w:rsidRPr="002101CC">
        <w:rPr>
          <w:rFonts w:eastAsiaTheme="minorEastAsia" w:cs="Arial"/>
          <w:i/>
          <w:snapToGrid w:val="0"/>
        </w:rPr>
        <w:instrText xml:space="preserve"> AUTONUM  </w:instrText>
      </w:r>
      <w:r w:rsidRPr="002101CC">
        <w:rPr>
          <w:rFonts w:eastAsiaTheme="minorEastAsia" w:cs="Arial"/>
          <w:i/>
          <w:snapToGrid w:val="0"/>
        </w:rPr>
        <w:fldChar w:fldCharType="end"/>
      </w:r>
      <w:r>
        <w:rPr>
          <w:i/>
          <w:snapToGrid w:val="0"/>
        </w:rPr>
        <w:tab/>
        <w:t>Le</w:t>
      </w:r>
      <w:r w:rsidR="009E79AB">
        <w:rPr>
          <w:i/>
          <w:snapToGrid w:val="0"/>
        </w:rPr>
        <w:t> TC</w:t>
      </w:r>
      <w:r>
        <w:rPr>
          <w:i/>
          <w:snapToGrid w:val="0"/>
        </w:rPr>
        <w:t xml:space="preserve"> est invité à prendre note des faits nouveaux concernant </w:t>
      </w:r>
      <w:r>
        <w:rPr>
          <w:i/>
        </w:rPr>
        <w:t>l</w:t>
      </w:r>
      <w:r w:rsidR="009E79AB">
        <w:rPr>
          <w:i/>
        </w:rPr>
        <w:t>’</w:t>
      </w:r>
      <w:r>
        <w:rPr>
          <w:i/>
          <w:snapToGrid w:val="0"/>
        </w:rPr>
        <w:t>élargissement du contenu de la base de données PLUTO.</w:t>
      </w:r>
    </w:p>
    <w:p w:rsidR="004F355C" w:rsidRDefault="004F355C" w:rsidP="004F355C">
      <w:pPr>
        <w:jc w:val="right"/>
      </w:pPr>
    </w:p>
    <w:p w:rsidR="004F355C" w:rsidRDefault="004F355C" w:rsidP="00FE2092">
      <w:pPr>
        <w:jc w:val="right"/>
      </w:pPr>
    </w:p>
    <w:p w:rsidR="00FE2092" w:rsidRDefault="00FE2092" w:rsidP="00FE2092">
      <w:pPr>
        <w:jc w:val="right"/>
      </w:pPr>
      <w:r>
        <w:t>[Les annexes suivent]</w:t>
      </w:r>
    </w:p>
    <w:p w:rsidR="00870335" w:rsidRDefault="00870335" w:rsidP="00FE2092">
      <w:pPr>
        <w:jc w:val="right"/>
      </w:pPr>
    </w:p>
    <w:p w:rsidR="00870335" w:rsidRDefault="00870335" w:rsidP="00FE2092">
      <w:pPr>
        <w:jc w:val="right"/>
        <w:sectPr w:rsidR="00870335" w:rsidSect="0004198B"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211BE" w:rsidRPr="009211BE" w:rsidRDefault="009211BE" w:rsidP="009211BE">
      <w:pPr>
        <w:rPr>
          <w:i/>
          <w:caps/>
        </w:rPr>
      </w:pPr>
      <w:bookmarkStart w:id="13" w:name="Prepared"/>
      <w:bookmarkEnd w:id="13"/>
      <w:r>
        <w:rPr>
          <w:caps/>
          <w:snapToGrid w:val="0"/>
        </w:rPr>
        <w:lastRenderedPageBreak/>
        <w:t xml:space="preserve">Nouvelles propositions de </w:t>
      </w:r>
      <w:r>
        <w:rPr>
          <w:caps/>
        </w:rPr>
        <w:t xml:space="preserve">classes de dénominations variétales pour </w:t>
      </w:r>
      <w:r>
        <w:rPr>
          <w:i/>
          <w:caps/>
        </w:rPr>
        <w:t>Allium</w:t>
      </w:r>
      <w:r>
        <w:rPr>
          <w:caps/>
        </w:rPr>
        <w:t xml:space="preserve">, </w:t>
      </w:r>
      <w:r>
        <w:rPr>
          <w:i/>
          <w:caps/>
        </w:rPr>
        <w:t>Brassica</w:t>
      </w:r>
      <w:r>
        <w:rPr>
          <w:caps/>
        </w:rPr>
        <w:t xml:space="preserve"> et </w:t>
      </w:r>
      <w:r>
        <w:rPr>
          <w:i/>
          <w:caps/>
        </w:rPr>
        <w:t>Prunus</w:t>
      </w:r>
    </w:p>
    <w:p w:rsidR="009211BE" w:rsidRPr="009211BE" w:rsidRDefault="009211BE" w:rsidP="009211BE"/>
    <w:p w:rsidR="009E79AB" w:rsidRDefault="002202AE" w:rsidP="002202AE">
      <w:pPr>
        <w:pStyle w:val="preparedby1"/>
      </w:pPr>
      <w:r>
        <w:t>Document établi par un expert de la République tchèque</w:t>
      </w:r>
    </w:p>
    <w:p w:rsidR="002202AE" w:rsidRDefault="002202AE" w:rsidP="002202A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présent document a pour objet de proposer des modifications des classes de dénomination variétale pour le genre </w:t>
      </w:r>
      <w:proofErr w:type="spellStart"/>
      <w:r>
        <w:rPr>
          <w:i/>
        </w:rPr>
        <w:t>Brassica</w:t>
      </w:r>
      <w:proofErr w:type="spellEnd"/>
      <w:r>
        <w:t xml:space="preserve"> et la création de nouvelles classes de dénomination variétale au sein des genres </w:t>
      </w:r>
      <w:r>
        <w:rPr>
          <w:i/>
        </w:rPr>
        <w:t>Allium</w:t>
      </w:r>
      <w:r>
        <w:t xml:space="preserve"> et </w:t>
      </w:r>
      <w:r>
        <w:rPr>
          <w:i/>
        </w:rPr>
        <w:t>Prunus</w:t>
      </w:r>
      <w:r>
        <w:t>.</w:t>
      </w:r>
    </w:p>
    <w:p w:rsidR="002202AE" w:rsidRDefault="002202AE" w:rsidP="002202AE"/>
    <w:p w:rsidR="002202AE" w:rsidRDefault="002202AE" w:rsidP="002202AE">
      <w:r>
        <w:fldChar w:fldCharType="begin"/>
      </w:r>
      <w:r>
        <w:instrText xml:space="preserve"> AUTONUM  </w:instrText>
      </w:r>
      <w:r>
        <w:fldChar w:fldCharType="end"/>
      </w:r>
      <w:r>
        <w:tab/>
        <w:t>Nous nous heurtons à des difficultés lors de l</w:t>
      </w:r>
      <w:r w:rsidR="009E79AB">
        <w:t>’</w:t>
      </w:r>
      <w:r>
        <w:t xml:space="preserve">examen des dénominations variétales pour les genres </w:t>
      </w:r>
      <w:proofErr w:type="spellStart"/>
      <w:r>
        <w:rPr>
          <w:i/>
        </w:rPr>
        <w:t>Brassica</w:t>
      </w:r>
      <w:proofErr w:type="spellEnd"/>
      <w:r>
        <w:rPr>
          <w:i/>
        </w:rPr>
        <w:t>, Allium</w:t>
      </w:r>
      <w:r>
        <w:t xml:space="preserve"> et </w:t>
      </w:r>
      <w:r>
        <w:rPr>
          <w:i/>
        </w:rPr>
        <w:t>Prun</w:t>
      </w:r>
      <w:r w:rsidR="00AA523C">
        <w:rPr>
          <w:i/>
        </w:rPr>
        <w:t>us</w:t>
      </w:r>
      <w:r w:rsidR="00AA523C">
        <w:rPr>
          <w:i/>
        </w:rPr>
        <w:t xml:space="preserve">.  </w:t>
      </w:r>
      <w:r w:rsidR="00AA523C">
        <w:t>Ce</w:t>
      </w:r>
      <w:r>
        <w:t>s genres sont vastes et il est parfois difficile de trouver une dénomination variétale, notamment pour le colza, l</w:t>
      </w:r>
      <w:r w:rsidR="009E79AB">
        <w:t>’</w:t>
      </w:r>
      <w:r>
        <w:t>ail, l</w:t>
      </w:r>
      <w:r w:rsidR="009E79AB">
        <w:t>’</w:t>
      </w:r>
      <w:r>
        <w:t xml:space="preserve">oignon et les arbres fruitiers du genre </w:t>
      </w:r>
      <w:r>
        <w:rPr>
          <w:i/>
        </w:rPr>
        <w:t>Prunus</w:t>
      </w:r>
      <w:r>
        <w:t>.</w:t>
      </w:r>
    </w:p>
    <w:p w:rsidR="002202AE" w:rsidRDefault="002202AE" w:rsidP="002202AE"/>
    <w:p w:rsidR="002202AE" w:rsidRDefault="002202AE" w:rsidP="002202AE">
      <w:r>
        <w:fldChar w:fldCharType="begin"/>
      </w:r>
      <w:r>
        <w:instrText xml:space="preserve"> AUTONUM  </w:instrText>
      </w:r>
      <w:r>
        <w:fldChar w:fldCharType="end"/>
      </w:r>
      <w:r>
        <w:tab/>
        <w:t>Les dénominations variétales sont souvent rejetées pour le colza parce que le chou chinois (par exemple) a déjà une dénomination identique ou similaire, pour l</w:t>
      </w:r>
      <w:r w:rsidR="009E79AB">
        <w:t>’</w:t>
      </w:r>
      <w:r>
        <w:t>ail parce que l</w:t>
      </w:r>
      <w:r w:rsidR="009E79AB">
        <w:t>’</w:t>
      </w:r>
      <w:r>
        <w:t>oignon (par exemple) a déjà une dénomination identique ou similaire et pour le pêcher parce que le prunier (par exemple) a déjà une dénomination identique ou similaire.</w:t>
      </w:r>
    </w:p>
    <w:p w:rsidR="002202AE" w:rsidRDefault="002202AE" w:rsidP="002202AE"/>
    <w:p w:rsidR="002202AE" w:rsidRDefault="002202AE" w:rsidP="002202AE">
      <w:r>
        <w:fldChar w:fldCharType="begin"/>
      </w:r>
      <w:r>
        <w:instrText xml:space="preserve"> AUTONUM  </w:instrText>
      </w:r>
      <w:r>
        <w:fldChar w:fldCharType="end"/>
      </w:r>
      <w:r>
        <w:tab/>
        <w:t>Exemples</w:t>
      </w:r>
      <w:r w:rsidR="009E79AB">
        <w:t> :</w:t>
      </w:r>
    </w:p>
    <w:p w:rsidR="002202AE" w:rsidRDefault="002202AE" w:rsidP="002202AE"/>
    <w:p w:rsidR="002202AE" w:rsidRDefault="00AA523C" w:rsidP="002202AE">
      <w:pPr>
        <w:ind w:left="1134" w:hanging="567"/>
      </w:pPr>
      <w:r>
        <w:t>–</w:t>
      </w:r>
      <w:r w:rsidR="002202AE">
        <w:tab/>
        <w:t>rejet de la dénomination “</w:t>
      </w:r>
      <w:proofErr w:type="spellStart"/>
      <w:r w:rsidR="002202AE">
        <w:t>Amelie</w:t>
      </w:r>
      <w:proofErr w:type="spellEnd"/>
      <w:r w:rsidR="002202AE">
        <w:t>” pour une variété de navet (légumes) en raison de l</w:t>
      </w:r>
      <w:r w:rsidR="009E79AB">
        <w:t>’</w:t>
      </w:r>
      <w:r w:rsidR="002202AE">
        <w:t>existence de la variété de colza “</w:t>
      </w:r>
      <w:proofErr w:type="spellStart"/>
      <w:r w:rsidR="002202AE">
        <w:t>Amelie</w:t>
      </w:r>
      <w:proofErr w:type="spellEnd"/>
      <w:r w:rsidR="002202AE">
        <w:t>”.</w:t>
      </w:r>
    </w:p>
    <w:p w:rsidR="002202AE" w:rsidRDefault="002202AE" w:rsidP="002202AE">
      <w:pPr>
        <w:ind w:left="1134" w:hanging="567"/>
      </w:pPr>
    </w:p>
    <w:p w:rsidR="002202AE" w:rsidRDefault="00AA523C" w:rsidP="002202AE">
      <w:pPr>
        <w:ind w:left="1134" w:hanging="567"/>
      </w:pPr>
      <w:r>
        <w:t>–</w:t>
      </w:r>
      <w:r w:rsidR="002202AE">
        <w:tab/>
        <w:t>rejet de la dénomination “</w:t>
      </w:r>
      <w:proofErr w:type="spellStart"/>
      <w:r w:rsidR="002202AE">
        <w:t>Rusalka</w:t>
      </w:r>
      <w:proofErr w:type="spellEnd"/>
      <w:r w:rsidR="002202AE">
        <w:t>” pour une variété d</w:t>
      </w:r>
      <w:r w:rsidR="009E79AB">
        <w:t>’</w:t>
      </w:r>
      <w:r w:rsidR="002202AE">
        <w:t>ail en raison de l</w:t>
      </w:r>
      <w:r w:rsidR="009E79AB">
        <w:t>’</w:t>
      </w:r>
      <w:r w:rsidR="002202AE">
        <w:t>existence de la variété d</w:t>
      </w:r>
      <w:r w:rsidR="009E79AB">
        <w:t>’</w:t>
      </w:r>
      <w:r w:rsidR="002202AE">
        <w:t>oignon “</w:t>
      </w:r>
      <w:proofErr w:type="spellStart"/>
      <w:r w:rsidR="002202AE">
        <w:t>Rusalka</w:t>
      </w:r>
      <w:proofErr w:type="spellEnd"/>
      <w:r w:rsidR="002202AE">
        <w:t>”.</w:t>
      </w:r>
    </w:p>
    <w:p w:rsidR="002202AE" w:rsidRDefault="002202AE" w:rsidP="002202AE">
      <w:pPr>
        <w:ind w:left="1134" w:hanging="567"/>
      </w:pPr>
    </w:p>
    <w:p w:rsidR="002202AE" w:rsidRDefault="00AA523C" w:rsidP="002202AE">
      <w:pPr>
        <w:ind w:left="1134" w:hanging="567"/>
      </w:pPr>
      <w:r>
        <w:t>–</w:t>
      </w:r>
      <w:r w:rsidR="002202AE">
        <w:tab/>
        <w:t>rejet de la dénomination “Luisa” pour une variété de cerisier doux en raison de l</w:t>
      </w:r>
      <w:r w:rsidR="009E79AB">
        <w:t>’</w:t>
      </w:r>
      <w:r w:rsidR="002202AE">
        <w:t>existence de la variété de pêcher “Luisa”.</w:t>
      </w:r>
    </w:p>
    <w:p w:rsidR="002202AE" w:rsidRDefault="002202AE" w:rsidP="002202AE"/>
    <w:p w:rsidR="002202AE" w:rsidRDefault="002202AE" w:rsidP="002202AE">
      <w:r>
        <w:fldChar w:fldCharType="begin"/>
      </w:r>
      <w:r>
        <w:instrText xml:space="preserve"> AUTONUM  </w:instrText>
      </w:r>
      <w:r>
        <w:fldChar w:fldCharType="end"/>
      </w:r>
      <w:r>
        <w:tab/>
        <w:t>Nous proposons, en tenant compte de la fréquence d</w:t>
      </w:r>
      <w:r w:rsidR="009E79AB">
        <w:t>’</w:t>
      </w:r>
      <w:r>
        <w:t>enregistrement (répertoire national) de ces espèces, de diviser certaines classes de dénomination variétale en fonction de l</w:t>
      </w:r>
      <w:r w:rsidR="009E79AB">
        <w:t>’</w:t>
      </w:r>
      <w:r>
        <w:t>utilisation de l</w:t>
      </w:r>
      <w:r w:rsidR="009E79AB">
        <w:t>’</w:t>
      </w:r>
      <w:r>
        <w:t>espèce et des différences visuelles d</w:t>
      </w:r>
      <w:r w:rsidR="009E79AB">
        <w:t>’</w:t>
      </w:r>
      <w:r>
        <w:t>une plante (ou d</w:t>
      </w:r>
      <w:r w:rsidR="009E79AB">
        <w:t>’</w:t>
      </w:r>
      <w:r>
        <w:t>un fruit) adul</w:t>
      </w:r>
      <w:r w:rsidR="00AA523C">
        <w:t>te</w:t>
      </w:r>
      <w:r w:rsidR="00AA523C">
        <w:t xml:space="preserve">.  </w:t>
      </w:r>
      <w:r w:rsidR="00AA523C">
        <w:t>En</w:t>
      </w:r>
      <w:r>
        <w:t xml:space="preserve"> ce qui concerne l</w:t>
      </w:r>
      <w:r w:rsidR="009E79AB">
        <w:t>’</w:t>
      </w:r>
      <w:r>
        <w:t>ail (</w:t>
      </w:r>
      <w:r>
        <w:rPr>
          <w:i/>
        </w:rPr>
        <w:t xml:space="preserve">Allium </w:t>
      </w:r>
      <w:proofErr w:type="spellStart"/>
      <w:r>
        <w:rPr>
          <w:i/>
        </w:rPr>
        <w:t>sativum</w:t>
      </w:r>
      <w:proofErr w:type="spellEnd"/>
      <w:r>
        <w:t>), le mode de reproduction ou de multiplication joue également un rôle (ail x oignon).</w:t>
      </w:r>
    </w:p>
    <w:p w:rsidR="002202AE" w:rsidRDefault="002202AE" w:rsidP="002202AE"/>
    <w:p w:rsidR="002202AE" w:rsidRDefault="002202AE" w:rsidP="002202AE">
      <w:r>
        <w:fldChar w:fldCharType="begin"/>
      </w:r>
      <w:r>
        <w:instrText xml:space="preserve"> AUTONUM  </w:instrText>
      </w:r>
      <w:r>
        <w:fldChar w:fldCharType="end"/>
      </w:r>
      <w:r>
        <w:tab/>
        <w:t>D</w:t>
      </w:r>
      <w:r w:rsidR="009E79AB">
        <w:t>’</w:t>
      </w:r>
      <w:r>
        <w:t>autres pays peuvent avoir d</w:t>
      </w:r>
      <w:r w:rsidR="009E79AB">
        <w:t>’</w:t>
      </w:r>
      <w:r>
        <w:t>autres propositions ou peut</w:t>
      </w:r>
      <w:r w:rsidR="00AA523C">
        <w:noBreakHyphen/>
      </w:r>
      <w:r>
        <w:t>être des propositions similaires et cela devrait faire l</w:t>
      </w:r>
      <w:r w:rsidR="009E79AB">
        <w:t>’</w:t>
      </w:r>
      <w:r>
        <w:t>objet d</w:t>
      </w:r>
      <w:r w:rsidR="009E79AB">
        <w:t>’</w:t>
      </w:r>
      <w:r>
        <w:t>une discussion entre les experts des groupes de travail techniques concernés.</w:t>
      </w:r>
    </w:p>
    <w:p w:rsidR="002202AE" w:rsidRDefault="002202AE" w:rsidP="002202AE"/>
    <w:p w:rsidR="002202AE" w:rsidRDefault="002202AE" w:rsidP="002202AE"/>
    <w:p w:rsidR="002202AE" w:rsidRDefault="002202AE" w:rsidP="002202AE">
      <w:pPr>
        <w:rPr>
          <w:u w:val="single"/>
        </w:rPr>
      </w:pPr>
      <w:r>
        <w:rPr>
          <w:u w:val="single"/>
        </w:rPr>
        <w:t>Proposition</w:t>
      </w:r>
      <w:r w:rsidR="009E79AB">
        <w:rPr>
          <w:u w:val="single"/>
        </w:rPr>
        <w:t> :</w:t>
      </w:r>
    </w:p>
    <w:p w:rsidR="002202AE" w:rsidRDefault="002202AE" w:rsidP="002202AE"/>
    <w:p w:rsidR="002202AE" w:rsidRDefault="002202AE" w:rsidP="002202AE">
      <w:pPr>
        <w:rPr>
          <w:rFonts w:eastAsia="MS Mincho"/>
          <w:b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Il est proposé d</w:t>
      </w:r>
      <w:r w:rsidR="009E79AB">
        <w:t>’</w:t>
      </w:r>
      <w:r>
        <w:t>apporter les modifications ci</w:t>
      </w:r>
      <w:r w:rsidR="00AA523C">
        <w:noBreakHyphen/>
      </w:r>
      <w:r>
        <w:t>après à l</w:t>
      </w:r>
      <w:r w:rsidR="009E79AB">
        <w:t>’</w:t>
      </w:r>
      <w:r>
        <w:t xml:space="preserve">annexe I du </w:t>
      </w:r>
      <w:r w:rsidR="009E79AB">
        <w:t>document UP</w:t>
      </w:r>
      <w:r>
        <w:t xml:space="preserve">OV/EXN/DEN/1 “Notes explicatives sur les dénominations variétales” (les modifications sont indiquées en surbrillance et </w:t>
      </w:r>
      <w:r>
        <w:rPr>
          <w:strike/>
          <w:highlight w:val="lightGray"/>
        </w:rPr>
        <w:t>biffées</w:t>
      </w:r>
      <w:r>
        <w:t xml:space="preserve"> pour les suppressions et en surbrillance et </w:t>
      </w:r>
      <w:r>
        <w:rPr>
          <w:highlight w:val="lightGray"/>
          <w:u w:val="single"/>
        </w:rPr>
        <w:t>soulignées</w:t>
      </w:r>
      <w:r>
        <w:t xml:space="preserve"> pour les insertions)</w:t>
      </w:r>
      <w:r w:rsidR="009E79AB">
        <w:t> :</w:t>
      </w:r>
    </w:p>
    <w:p w:rsidR="002202AE" w:rsidRDefault="002202AE" w:rsidP="002202AE">
      <w:pPr>
        <w:rPr>
          <w:rFonts w:eastAsia="MS Mincho"/>
        </w:rPr>
      </w:pPr>
    </w:p>
    <w:p w:rsidR="002202AE" w:rsidRDefault="002202AE" w:rsidP="002202AE">
      <w:pPr>
        <w:keepNext/>
        <w:rPr>
          <w:rFonts w:eastAsia="MS Mincho"/>
          <w:i/>
        </w:rPr>
      </w:pPr>
      <w:r>
        <w:rPr>
          <w:i/>
        </w:rPr>
        <w:lastRenderedPageBreak/>
        <w:t>Première partie</w:t>
      </w:r>
      <w:r w:rsidR="009E79AB">
        <w:rPr>
          <w:i/>
        </w:rPr>
        <w:t> :</w:t>
      </w:r>
      <w:r>
        <w:rPr>
          <w:i/>
        </w:rPr>
        <w:t xml:space="preserve"> Classes au sein d</w:t>
      </w:r>
      <w:r w:rsidR="009E79AB">
        <w:rPr>
          <w:i/>
        </w:rPr>
        <w:t>’</w:t>
      </w:r>
      <w:r>
        <w:rPr>
          <w:i/>
        </w:rPr>
        <w:t>un genre</w:t>
      </w:r>
    </w:p>
    <w:p w:rsidR="002202AE" w:rsidRDefault="002202AE" w:rsidP="002202AE">
      <w:pPr>
        <w:keepNext/>
        <w:rPr>
          <w:rFonts w:eastAsia="MS Mincho"/>
          <w:lang w:eastAsia="ja-JP"/>
        </w:rPr>
      </w:pPr>
    </w:p>
    <w:tbl>
      <w:tblPr>
        <w:tblW w:w="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73"/>
        <w:gridCol w:w="3686"/>
        <w:gridCol w:w="1984"/>
        <w:gridCol w:w="1418"/>
        <w:gridCol w:w="1984"/>
      </w:tblGrid>
      <w:tr w:rsidR="002202AE" w:rsidTr="002202AE">
        <w:trPr>
          <w:cantSplit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2AE" w:rsidRDefault="002202AE">
            <w:pPr>
              <w:keepNext/>
              <w:spacing w:before="40" w:after="60"/>
              <w:jc w:val="left"/>
              <w:rPr>
                <w:rFonts w:eastAsia="MS Mincho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2AE" w:rsidRDefault="002202AE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Noms botaniques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2AE" w:rsidRDefault="002202AE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Codes UPOV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202AE" w:rsidRDefault="002202AE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highlight w:val="darkGray"/>
                <w:u w:val="single"/>
              </w:rPr>
            </w:pPr>
            <w:r>
              <w:rPr>
                <w:sz w:val="18"/>
                <w:highlight w:val="darkGray"/>
                <w:u w:val="single"/>
              </w:rPr>
              <w:t>UTILISATION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202AE" w:rsidRDefault="002202AE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highlight w:val="darkGray"/>
                <w:u w:val="single"/>
              </w:rPr>
            </w:pPr>
            <w:r>
              <w:rPr>
                <w:sz w:val="18"/>
                <w:highlight w:val="darkGray"/>
                <w:u w:val="single"/>
              </w:rPr>
              <w:t>Nom commun</w:t>
            </w:r>
          </w:p>
        </w:tc>
      </w:tr>
      <w:tr w:rsidR="002202AE" w:rsidTr="002202AE">
        <w:trPr>
          <w:cantSplit/>
          <w:tblHeader/>
        </w:trPr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  <w:r>
              <w:rPr>
                <w:sz w:val="18"/>
              </w:rPr>
              <w:t>Classe 1</w:t>
            </w:r>
            <w:r w:rsidR="002202AE">
              <w:rPr>
                <w:sz w:val="18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Brassica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oleracea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  <w:r>
              <w:rPr>
                <w:sz w:val="18"/>
              </w:rPr>
              <w:t>BRASS_OLE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  <w:r>
              <w:rPr>
                <w:strike/>
                <w:sz w:val="18"/>
                <w:highlight w:val="lightGray"/>
              </w:rPr>
              <w:t>Classe 1</w:t>
            </w:r>
            <w:r w:rsidR="002202AE">
              <w:rPr>
                <w:strike/>
                <w:sz w:val="18"/>
                <w:highlight w:val="lightGray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  <w:proofErr w:type="spellStart"/>
            <w:r>
              <w:rPr>
                <w:strike/>
                <w:sz w:val="18"/>
                <w:highlight w:val="lightGray"/>
              </w:rPr>
              <w:t>Brassica</w:t>
            </w:r>
            <w:proofErr w:type="spellEnd"/>
            <w:r>
              <w:rPr>
                <w:strike/>
                <w:sz w:val="18"/>
                <w:highlight w:val="lightGray"/>
              </w:rPr>
              <w:t xml:space="preserve"> autres que </w:t>
            </w:r>
            <w:proofErr w:type="spellStart"/>
            <w:r>
              <w:rPr>
                <w:strike/>
                <w:sz w:val="18"/>
                <w:highlight w:val="lightGray"/>
              </w:rPr>
              <w:t>Brassica</w:t>
            </w:r>
            <w:proofErr w:type="spellEnd"/>
            <w:r>
              <w:rPr>
                <w:strike/>
                <w:sz w:val="18"/>
                <w:highlight w:val="lightGray"/>
              </w:rPr>
              <w:t xml:space="preserve"> </w:t>
            </w:r>
            <w:proofErr w:type="spellStart"/>
            <w:r>
              <w:rPr>
                <w:strike/>
                <w:sz w:val="18"/>
                <w:highlight w:val="lightGray"/>
              </w:rPr>
              <w:t>oleracea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  <w:r>
              <w:rPr>
                <w:strike/>
                <w:sz w:val="18"/>
                <w:highlight w:val="lightGray"/>
              </w:rPr>
              <w:t>autre que BRASS_OLE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1</w:t>
            </w:r>
            <w:r w:rsidR="002202AE">
              <w:rPr>
                <w:sz w:val="18"/>
                <w:highlight w:val="lightGray"/>
                <w:u w:val="single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proofErr w:type="spellStart"/>
            <w:r>
              <w:rPr>
                <w:sz w:val="18"/>
                <w:highlight w:val="lightGray"/>
                <w:u w:val="single"/>
              </w:rPr>
              <w:t>Brassica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8"/>
                <w:highlight w:val="lightGray"/>
                <w:u w:val="single"/>
              </w:rPr>
              <w:t>rapa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L.</w:t>
            </w:r>
            <w:r w:rsidR="003D1831">
              <w:rPr>
                <w:sz w:val="18"/>
                <w:highlight w:val="lightGray"/>
                <w:u w:val="single"/>
              </w:rPr>
              <w:t> </w:t>
            </w:r>
            <w:proofErr w:type="spellStart"/>
            <w:r>
              <w:rPr>
                <w:sz w:val="18"/>
                <w:highlight w:val="lightGray"/>
                <w:u w:val="single"/>
              </w:rPr>
              <w:t>subsp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highlight w:val="lightGray"/>
                <w:u w:val="single"/>
              </w:rPr>
              <w:t>chinensis</w:t>
            </w:r>
            <w:proofErr w:type="spellEnd"/>
            <w:proofErr w:type="gramEnd"/>
            <w:r>
              <w:rPr>
                <w:sz w:val="18"/>
                <w:highlight w:val="lightGray"/>
                <w:u w:val="single"/>
              </w:rPr>
              <w:t xml:space="preserve"> (L.) </w:t>
            </w:r>
            <w:proofErr w:type="spellStart"/>
            <w:r>
              <w:rPr>
                <w:sz w:val="18"/>
                <w:highlight w:val="lightGray"/>
                <w:u w:val="single"/>
              </w:rPr>
              <w:t>Hanelt</w:t>
            </w:r>
            <w:proofErr w:type="spellEnd"/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proofErr w:type="spellStart"/>
            <w:r>
              <w:rPr>
                <w:sz w:val="18"/>
                <w:highlight w:val="lightGray"/>
                <w:u w:val="single"/>
              </w:rPr>
              <w:t>Brassica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8"/>
                <w:highlight w:val="lightGray"/>
                <w:u w:val="single"/>
              </w:rPr>
              <w:t>rapa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L.</w:t>
            </w:r>
            <w:r w:rsidR="003D1831">
              <w:rPr>
                <w:sz w:val="18"/>
                <w:highlight w:val="lightGray"/>
                <w:u w:val="single"/>
              </w:rPr>
              <w:t> </w:t>
            </w:r>
            <w:proofErr w:type="spellStart"/>
            <w:r>
              <w:rPr>
                <w:sz w:val="18"/>
                <w:highlight w:val="lightGray"/>
                <w:u w:val="single"/>
              </w:rPr>
              <w:t>subsp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highlight w:val="lightGray"/>
                <w:u w:val="single"/>
              </w:rPr>
              <w:t>pekinensis</w:t>
            </w:r>
            <w:proofErr w:type="spellEnd"/>
            <w:proofErr w:type="gramEnd"/>
            <w:r>
              <w:rPr>
                <w:sz w:val="18"/>
                <w:highlight w:val="lightGray"/>
                <w:u w:val="single"/>
              </w:rPr>
              <w:t xml:space="preserve"> (</w:t>
            </w:r>
            <w:proofErr w:type="spellStart"/>
            <w:r>
              <w:rPr>
                <w:sz w:val="18"/>
                <w:highlight w:val="lightGray"/>
                <w:u w:val="single"/>
              </w:rPr>
              <w:t>Lour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.) </w:t>
            </w:r>
            <w:proofErr w:type="spellStart"/>
            <w:r>
              <w:rPr>
                <w:sz w:val="18"/>
                <w:highlight w:val="lightGray"/>
                <w:u w:val="single"/>
              </w:rPr>
              <w:t>Hanelt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Pr="000F55D0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BRASS_RAP_CHI</w:t>
            </w:r>
          </w:p>
          <w:p w:rsidR="002202AE" w:rsidRPr="000F55D0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BRASS_RAP_PEK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Feuilles</w:t>
            </w:r>
            <w:r w:rsidR="009E79AB">
              <w:rPr>
                <w:sz w:val="18"/>
                <w:highlight w:val="lightGray"/>
                <w:u w:val="single"/>
              </w:rPr>
              <w:t xml:space="preserve"> – </w:t>
            </w:r>
            <w:r>
              <w:rPr>
                <w:sz w:val="18"/>
                <w:highlight w:val="lightGray"/>
                <w:u w:val="single"/>
              </w:rPr>
              <w:t>plantes potagères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Chou de Chine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Chou chinois</w:t>
            </w:r>
          </w:p>
        </w:tc>
      </w:tr>
      <w:tr w:rsidR="002202AE" w:rsidRPr="0079715A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1</w:t>
            </w:r>
            <w:r w:rsidR="002202AE">
              <w:rPr>
                <w:sz w:val="18"/>
                <w:highlight w:val="lightGray"/>
                <w:u w:val="single"/>
              </w:rPr>
              <w:t>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proofErr w:type="spellStart"/>
            <w:r>
              <w:rPr>
                <w:sz w:val="18"/>
                <w:highlight w:val="lightGray"/>
                <w:u w:val="single"/>
              </w:rPr>
              <w:t>Brassica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8"/>
                <w:highlight w:val="lightGray"/>
                <w:u w:val="single"/>
              </w:rPr>
              <w:t>napus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var.</w:t>
            </w:r>
            <w:r w:rsidR="007515A0">
              <w:rPr>
                <w:sz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8"/>
                <w:highlight w:val="lightGray"/>
                <w:u w:val="single"/>
              </w:rPr>
              <w:t>napus</w:t>
            </w:r>
            <w:proofErr w:type="spellEnd"/>
          </w:p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proofErr w:type="spellStart"/>
            <w:r>
              <w:rPr>
                <w:sz w:val="18"/>
                <w:highlight w:val="lightGray"/>
                <w:u w:val="single"/>
              </w:rPr>
              <w:t>Brassica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8"/>
                <w:highlight w:val="lightGray"/>
                <w:u w:val="single"/>
              </w:rPr>
              <w:t>rapa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L.</w:t>
            </w:r>
            <w:r w:rsidR="003D1831">
              <w:rPr>
                <w:sz w:val="18"/>
                <w:highlight w:val="lightGray"/>
                <w:u w:val="single"/>
              </w:rPr>
              <w:t> </w:t>
            </w:r>
            <w:proofErr w:type="spellStart"/>
            <w:r>
              <w:rPr>
                <w:sz w:val="18"/>
                <w:highlight w:val="lightGray"/>
                <w:u w:val="single"/>
              </w:rPr>
              <w:t>subsp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. </w:t>
            </w:r>
            <w:proofErr w:type="spellStart"/>
            <w:r>
              <w:rPr>
                <w:sz w:val="18"/>
                <w:highlight w:val="lightGray"/>
                <w:u w:val="single"/>
              </w:rPr>
              <w:t>campestris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(L.) A.</w:t>
            </w:r>
            <w:r w:rsidR="003D1831">
              <w:rPr>
                <w:sz w:val="18"/>
                <w:highlight w:val="lightGray"/>
                <w:u w:val="single"/>
              </w:rPr>
              <w:t> </w:t>
            </w:r>
            <w:r>
              <w:rPr>
                <w:sz w:val="18"/>
                <w:highlight w:val="lightGray"/>
                <w:u w:val="single"/>
              </w:rPr>
              <w:t>R.</w:t>
            </w:r>
            <w:r w:rsidR="003D1831">
              <w:rPr>
                <w:sz w:val="18"/>
                <w:highlight w:val="lightGray"/>
                <w:u w:val="single"/>
              </w:rPr>
              <w:t> </w:t>
            </w:r>
            <w:proofErr w:type="spellStart"/>
            <w:r>
              <w:rPr>
                <w:sz w:val="18"/>
                <w:highlight w:val="lightGray"/>
                <w:u w:val="single"/>
              </w:rPr>
              <w:t>Clapham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Pr="000F55D0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BRASS_NAP_NUS</w:t>
            </w:r>
          </w:p>
          <w:p w:rsidR="002202AE" w:rsidRPr="000F55D0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BRASS_RAP_CAM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Semences, plantes fourragères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Colza</w:t>
            </w:r>
          </w:p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Navette</w:t>
            </w:r>
          </w:p>
        </w:tc>
      </w:tr>
      <w:tr w:rsidR="002202AE" w:rsidRPr="0079715A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1</w:t>
            </w:r>
            <w:r w:rsidR="002202AE">
              <w:rPr>
                <w:sz w:val="18"/>
                <w:highlight w:val="lightGray"/>
                <w:u w:val="single"/>
              </w:rPr>
              <w:t>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Pr="00AA523C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</w:pP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Brassica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napus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var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.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napobrassica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(L.) </w:t>
            </w:r>
            <w:proofErr w:type="spellStart"/>
            <w:r w:rsidRPr="00AA523C">
              <w:rPr>
                <w:sz w:val="18"/>
                <w:highlight w:val="lightGray"/>
                <w:u w:val="single"/>
                <w:lang w:val="es-ES"/>
              </w:rPr>
              <w:t>Rchb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s-ES"/>
              </w:rPr>
              <w:t>.</w:t>
            </w:r>
          </w:p>
          <w:p w:rsidR="002202AE" w:rsidRPr="00AA523C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</w:pPr>
            <w:proofErr w:type="spellStart"/>
            <w:r w:rsidRPr="00AA523C">
              <w:rPr>
                <w:sz w:val="18"/>
                <w:highlight w:val="lightGray"/>
                <w:u w:val="single"/>
                <w:lang w:val="es-ES"/>
              </w:rPr>
              <w:t>Brassica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s-ES"/>
              </w:rPr>
              <w:t xml:space="preserve"> rapa L.</w:t>
            </w:r>
            <w:r w:rsidR="003D1831" w:rsidRPr="00AA523C">
              <w:rPr>
                <w:sz w:val="18"/>
                <w:highlight w:val="lightGray"/>
                <w:u w:val="single"/>
                <w:lang w:val="es-ES"/>
              </w:rPr>
              <w:t> </w:t>
            </w:r>
            <w:proofErr w:type="spellStart"/>
            <w:r w:rsidRPr="00AA523C">
              <w:rPr>
                <w:sz w:val="18"/>
                <w:highlight w:val="lightGray"/>
                <w:u w:val="single"/>
                <w:lang w:val="es-ES"/>
              </w:rPr>
              <w:t>var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s-ES"/>
              </w:rPr>
              <w:t xml:space="preserve">. rapa (L.) </w:t>
            </w:r>
            <w:proofErr w:type="spellStart"/>
            <w:r w:rsidRPr="00AA523C">
              <w:rPr>
                <w:sz w:val="18"/>
                <w:highlight w:val="lightGray"/>
                <w:u w:val="single"/>
                <w:lang w:val="es-ES"/>
              </w:rPr>
              <w:t>Thell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s-E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BRASS_NAP_NBR</w:t>
            </w:r>
          </w:p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BRASS_RAP_RAP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Bulbes</w:t>
            </w:r>
            <w:r w:rsidR="009E79AB">
              <w:rPr>
                <w:sz w:val="18"/>
                <w:highlight w:val="lightGray"/>
                <w:u w:val="single"/>
              </w:rPr>
              <w:t xml:space="preserve"> – </w:t>
            </w:r>
            <w:r>
              <w:rPr>
                <w:sz w:val="18"/>
                <w:highlight w:val="lightGray"/>
                <w:u w:val="single"/>
              </w:rPr>
              <w:t>plantes potagères ou plantes fourragères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Chou</w:t>
            </w:r>
            <w:r w:rsidR="00AA523C">
              <w:rPr>
                <w:sz w:val="18"/>
                <w:highlight w:val="lightGray"/>
                <w:u w:val="single"/>
              </w:rPr>
              <w:noBreakHyphen/>
            </w:r>
            <w:r>
              <w:rPr>
                <w:sz w:val="18"/>
                <w:highlight w:val="lightGray"/>
                <w:u w:val="single"/>
              </w:rPr>
              <w:t>navet, rutabaga</w:t>
            </w:r>
          </w:p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Navet</w:t>
            </w: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1</w:t>
            </w:r>
            <w:r w:rsidR="002202AE">
              <w:rPr>
                <w:sz w:val="18"/>
                <w:highlight w:val="lightGray"/>
                <w:u w:val="single"/>
              </w:rPr>
              <w:t>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proofErr w:type="spellStart"/>
            <w:r>
              <w:rPr>
                <w:sz w:val="18"/>
                <w:highlight w:val="lightGray"/>
                <w:u w:val="single"/>
              </w:rPr>
              <w:t>Brassica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autres que les </w:t>
            </w:r>
            <w:r w:rsidR="009E79AB">
              <w:rPr>
                <w:sz w:val="18"/>
                <w:highlight w:val="lightGray"/>
                <w:u w:val="single"/>
              </w:rPr>
              <w:t>classes 1</w:t>
            </w:r>
            <w:r>
              <w:rPr>
                <w:sz w:val="18"/>
                <w:highlight w:val="lightGray"/>
                <w:u w:val="single"/>
              </w:rPr>
              <w:t>.1, 1.2, 1.3, 1.4 et 214 (moutarde)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autre que les </w:t>
            </w:r>
            <w:r w:rsidR="009E79AB">
              <w:rPr>
                <w:sz w:val="18"/>
                <w:highlight w:val="lightGray"/>
                <w:u w:val="single"/>
              </w:rPr>
              <w:t>classes 1</w:t>
            </w:r>
            <w:r>
              <w:rPr>
                <w:sz w:val="18"/>
                <w:highlight w:val="lightGray"/>
                <w:u w:val="single"/>
              </w:rPr>
              <w:t>.1, 1.2, 1.3, 1.4 et 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  <w:r>
              <w:rPr>
                <w:sz w:val="18"/>
              </w:rPr>
              <w:t>[…]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5</w:t>
            </w:r>
            <w:r w:rsidR="002202AE">
              <w:rPr>
                <w:sz w:val="18"/>
                <w:highlight w:val="lightGray"/>
                <w:u w:val="single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Pr="009E79AB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9E79AB">
              <w:rPr>
                <w:sz w:val="18"/>
                <w:highlight w:val="lightGray"/>
                <w:u w:val="single"/>
                <w:lang w:val="en-US"/>
              </w:rPr>
              <w:t xml:space="preserve">Allium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n-US"/>
              </w:rPr>
              <w:t>sativum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n-US"/>
              </w:rPr>
              <w:t xml:space="preserve"> L.</w:t>
            </w:r>
          </w:p>
          <w:p w:rsidR="002202AE" w:rsidRPr="009E79AB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9E79AB">
              <w:rPr>
                <w:sz w:val="18"/>
                <w:highlight w:val="lightGray"/>
                <w:u w:val="single"/>
                <w:lang w:val="en-US"/>
              </w:rPr>
              <w:t xml:space="preserve">Allium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n-US"/>
              </w:rPr>
              <w:t>ursinum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n-US"/>
              </w:rPr>
              <w:t xml:space="preserve"> L.*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Allium L.</w:t>
            </w:r>
            <w:r w:rsidR="003D1831">
              <w:rPr>
                <w:sz w:val="18"/>
                <w:highlight w:val="lightGray"/>
                <w:u w:val="single"/>
              </w:rPr>
              <w:t> </w:t>
            </w:r>
            <w:r w:rsidR="009E79AB">
              <w:rPr>
                <w:sz w:val="18"/>
                <w:highlight w:val="lightGray"/>
                <w:u w:val="single"/>
              </w:rPr>
              <w:t xml:space="preserve">– </w:t>
            </w:r>
            <w:r>
              <w:rPr>
                <w:sz w:val="18"/>
                <w:highlight w:val="lightGray"/>
                <w:u w:val="single"/>
              </w:rPr>
              <w:t>toutes les espèces d</w:t>
            </w:r>
            <w:r w:rsidR="009E79AB">
              <w:rPr>
                <w:sz w:val="18"/>
                <w:highlight w:val="lightGray"/>
                <w:u w:val="single"/>
              </w:rPr>
              <w:t>’</w:t>
            </w:r>
            <w:r>
              <w:rPr>
                <w:sz w:val="18"/>
                <w:highlight w:val="lightGray"/>
                <w:u w:val="single"/>
              </w:rPr>
              <w:t>Allium ornementales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ALLIU_SAT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ALLIU_URS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ALLIU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Ail plante potagère et</w:t>
            </w:r>
          </w:p>
          <w:p w:rsidR="002202AE" w:rsidRDefault="002202AE" w:rsidP="007515A0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espèces d</w:t>
            </w:r>
            <w:r w:rsidR="009E79AB">
              <w:rPr>
                <w:sz w:val="18"/>
                <w:highlight w:val="lightGray"/>
                <w:u w:val="single"/>
              </w:rPr>
              <w:t>’</w:t>
            </w:r>
            <w:r>
              <w:rPr>
                <w:sz w:val="18"/>
                <w:highlight w:val="lightGray"/>
                <w:u w:val="single"/>
              </w:rPr>
              <w:t>ALLIUM orn</w:t>
            </w:r>
            <w:r w:rsidR="007515A0">
              <w:rPr>
                <w:sz w:val="18"/>
                <w:highlight w:val="lightGray"/>
                <w:u w:val="single"/>
              </w:rPr>
              <w:t>e</w:t>
            </w:r>
            <w:r>
              <w:rPr>
                <w:sz w:val="18"/>
                <w:highlight w:val="lightGray"/>
                <w:u w:val="single"/>
              </w:rPr>
              <w:t>mentales (ou plantes médicinales)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Pr="000F55D0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Ail</w:t>
            </w:r>
          </w:p>
          <w:p w:rsidR="002202AE" w:rsidRPr="000F55D0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Ail des ours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toutes les espèces d</w:t>
            </w:r>
            <w:r w:rsidR="009E79AB">
              <w:rPr>
                <w:sz w:val="18"/>
                <w:highlight w:val="lightGray"/>
                <w:u w:val="single"/>
              </w:rPr>
              <w:t>’</w:t>
            </w:r>
            <w:r>
              <w:rPr>
                <w:sz w:val="18"/>
                <w:highlight w:val="lightGray"/>
                <w:u w:val="single"/>
              </w:rPr>
              <w:t>Allium ornementales</w:t>
            </w: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5</w:t>
            </w:r>
            <w:r w:rsidR="002202AE">
              <w:rPr>
                <w:sz w:val="18"/>
                <w:highlight w:val="lightGray"/>
                <w:u w:val="single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Allium autres que la </w:t>
            </w:r>
            <w:r w:rsidR="009E79AB">
              <w:rPr>
                <w:sz w:val="18"/>
                <w:highlight w:val="lightGray"/>
                <w:u w:val="single"/>
              </w:rPr>
              <w:t>classe 5</w:t>
            </w:r>
            <w:r>
              <w:rPr>
                <w:sz w:val="18"/>
                <w:highlight w:val="lightGray"/>
                <w:u w:val="single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Autre ALLIU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Plantes potagères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6</w:t>
            </w:r>
            <w:r w:rsidR="002202AE">
              <w:rPr>
                <w:sz w:val="18"/>
                <w:highlight w:val="lightGray"/>
                <w:u w:val="single"/>
              </w:rPr>
              <w:t>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Prunus </w:t>
            </w:r>
            <w:proofErr w:type="spellStart"/>
            <w:r>
              <w:rPr>
                <w:sz w:val="18"/>
                <w:highlight w:val="lightGray"/>
                <w:u w:val="single"/>
              </w:rPr>
              <w:t>avium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(L.) L.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Prunus </w:t>
            </w:r>
            <w:proofErr w:type="spellStart"/>
            <w:r>
              <w:rPr>
                <w:sz w:val="18"/>
                <w:highlight w:val="lightGray"/>
                <w:u w:val="single"/>
              </w:rPr>
              <w:t>cerasus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PRUNU_AVI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PRUNU_CSS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Fruit similaire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Cerisier doux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Cerisier acide</w:t>
            </w: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6</w:t>
            </w:r>
            <w:r w:rsidR="002202AE">
              <w:rPr>
                <w:sz w:val="18"/>
                <w:highlight w:val="lightGray"/>
                <w:u w:val="single"/>
              </w:rPr>
              <w:t>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Prunus </w:t>
            </w:r>
            <w:proofErr w:type="spellStart"/>
            <w:r>
              <w:rPr>
                <w:sz w:val="18"/>
                <w:highlight w:val="lightGray"/>
                <w:u w:val="single"/>
              </w:rPr>
              <w:t>domestica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PRUNU_DOM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Prunier</w:t>
            </w: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6</w:t>
            </w:r>
            <w:r w:rsidR="002202AE">
              <w:rPr>
                <w:sz w:val="18"/>
                <w:highlight w:val="lightGray"/>
                <w:u w:val="single"/>
              </w:rPr>
              <w:t>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Pr="009E79AB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</w:pP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Prunus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armeniaca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L.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Prunus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9E79AB">
              <w:rPr>
                <w:sz w:val="18"/>
                <w:highlight w:val="lightGray"/>
                <w:u w:val="single"/>
                <w:lang w:val="es-ES"/>
              </w:rPr>
              <w:t>persica</w:t>
            </w:r>
            <w:proofErr w:type="spellEnd"/>
            <w:r w:rsidRPr="009E79AB">
              <w:rPr>
                <w:sz w:val="18"/>
                <w:highlight w:val="lightGray"/>
                <w:u w:val="single"/>
                <w:lang w:val="es-ES"/>
              </w:rPr>
              <w:t xml:space="preserve"> (L.) </w:t>
            </w:r>
            <w:proofErr w:type="spellStart"/>
            <w:r>
              <w:rPr>
                <w:sz w:val="18"/>
                <w:highlight w:val="lightGray"/>
                <w:u w:val="single"/>
              </w:rPr>
              <w:t>Batsch</w:t>
            </w:r>
            <w:proofErr w:type="spellEnd"/>
            <w:r>
              <w:rPr>
                <w:sz w:val="18"/>
                <w:highlight w:val="lightGray"/>
                <w:u w:val="singl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PRUNU_ARM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PRUNU_PER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Fruit similaire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Abricotier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Pêcher</w:t>
            </w:r>
          </w:p>
        </w:tc>
      </w:tr>
      <w:tr w:rsidR="002202AE" w:rsidTr="002202AE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Classe 6</w:t>
            </w:r>
            <w:r w:rsidR="002202AE">
              <w:rPr>
                <w:sz w:val="18"/>
                <w:highlight w:val="lightGray"/>
                <w:u w:val="single"/>
              </w:rPr>
              <w:t>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Prunus autres que les </w:t>
            </w:r>
            <w:r w:rsidR="009E79AB">
              <w:rPr>
                <w:sz w:val="18"/>
                <w:highlight w:val="lightGray"/>
                <w:u w:val="single"/>
              </w:rPr>
              <w:t>classes 6</w:t>
            </w:r>
            <w:r>
              <w:rPr>
                <w:sz w:val="18"/>
                <w:highlight w:val="lightGray"/>
                <w:u w:val="single"/>
              </w:rPr>
              <w:t>.1, 6.2 et 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 xml:space="preserve">autre que les </w:t>
            </w:r>
            <w:r w:rsidR="009E79AB">
              <w:rPr>
                <w:sz w:val="18"/>
                <w:highlight w:val="lightGray"/>
                <w:u w:val="single"/>
              </w:rPr>
              <w:t>classes 6</w:t>
            </w:r>
            <w:r>
              <w:rPr>
                <w:sz w:val="18"/>
                <w:highlight w:val="lightGray"/>
                <w:u w:val="single"/>
              </w:rPr>
              <w:t>.1, 6.2 et 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</w:tbl>
    <w:p w:rsidR="002202AE" w:rsidRDefault="002202AE" w:rsidP="002202AE">
      <w:pPr>
        <w:rPr>
          <w:rFonts w:eastAsia="MS Mincho"/>
          <w:sz w:val="18"/>
          <w:highlight w:val="cyan"/>
        </w:rPr>
      </w:pPr>
    </w:p>
    <w:p w:rsidR="002202AE" w:rsidRDefault="002202AE" w:rsidP="002202AE">
      <w:pPr>
        <w:rPr>
          <w:rFonts w:eastAsia="MS Mincho"/>
          <w:sz w:val="18"/>
          <w:u w:val="single"/>
        </w:rPr>
      </w:pPr>
      <w:r>
        <w:rPr>
          <w:sz w:val="18"/>
          <w:highlight w:val="lightGray"/>
          <w:u w:val="single"/>
        </w:rPr>
        <w:t>*commentaire</w:t>
      </w:r>
      <w:r w:rsidR="009E79AB">
        <w:rPr>
          <w:sz w:val="18"/>
          <w:highlight w:val="lightGray"/>
          <w:u w:val="single"/>
        </w:rPr>
        <w:t> :</w:t>
      </w:r>
      <w:r>
        <w:rPr>
          <w:sz w:val="18"/>
          <w:highlight w:val="lightGray"/>
          <w:u w:val="single"/>
        </w:rPr>
        <w:t xml:space="preserve"> Peut</w:t>
      </w:r>
      <w:r w:rsidR="00AA523C">
        <w:rPr>
          <w:sz w:val="18"/>
          <w:highlight w:val="lightGray"/>
          <w:u w:val="single"/>
        </w:rPr>
        <w:noBreakHyphen/>
      </w:r>
      <w:r>
        <w:rPr>
          <w:sz w:val="18"/>
          <w:highlight w:val="lightGray"/>
          <w:u w:val="single"/>
        </w:rPr>
        <w:t>être pas nécessaire de séparer, inclus dans toutes les espèces ornementales d</w:t>
      </w:r>
      <w:r w:rsidR="009E79AB">
        <w:rPr>
          <w:sz w:val="18"/>
          <w:highlight w:val="lightGray"/>
          <w:u w:val="single"/>
        </w:rPr>
        <w:t>’</w:t>
      </w:r>
      <w:r>
        <w:rPr>
          <w:sz w:val="18"/>
          <w:highlight w:val="lightGray"/>
          <w:u w:val="single"/>
        </w:rPr>
        <w:t>Allium</w:t>
      </w:r>
    </w:p>
    <w:p w:rsidR="002202AE" w:rsidRDefault="002202AE" w:rsidP="002202AE">
      <w:pPr>
        <w:rPr>
          <w:rFonts w:eastAsia="MS Mincho"/>
        </w:rPr>
      </w:pPr>
    </w:p>
    <w:p w:rsidR="002202AE" w:rsidRDefault="002202AE" w:rsidP="002202AE">
      <w:pPr>
        <w:rPr>
          <w:rFonts w:eastAsia="MS Mincho"/>
        </w:rPr>
      </w:pPr>
    </w:p>
    <w:p w:rsidR="002202AE" w:rsidRDefault="002202AE" w:rsidP="002202AE">
      <w:pPr>
        <w:rPr>
          <w:rFonts w:eastAsia="MS Mincho"/>
          <w:i/>
        </w:rPr>
      </w:pPr>
      <w:r>
        <w:rPr>
          <w:i/>
        </w:rPr>
        <w:t>Deuxième partie</w:t>
      </w:r>
      <w:r w:rsidR="009E79AB">
        <w:rPr>
          <w:i/>
        </w:rPr>
        <w:t> :</w:t>
      </w:r>
      <w:r>
        <w:rPr>
          <w:i/>
        </w:rPr>
        <w:t xml:space="preserve"> Classes englobant plusieurs genres</w:t>
      </w:r>
    </w:p>
    <w:p w:rsidR="002202AE" w:rsidRDefault="002202AE" w:rsidP="002202AE">
      <w:pPr>
        <w:rPr>
          <w:rFonts w:eastAsia="MS Mincho"/>
          <w:i/>
        </w:rPr>
      </w:pPr>
    </w:p>
    <w:tbl>
      <w:tblPr>
        <w:tblW w:w="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4253"/>
        <w:gridCol w:w="1559"/>
        <w:gridCol w:w="1701"/>
        <w:gridCol w:w="1701"/>
      </w:tblGrid>
      <w:tr w:rsidR="002202AE" w:rsidTr="002202AE">
        <w:trPr>
          <w:cantSplit/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2AE" w:rsidRDefault="002202AE">
            <w:pPr>
              <w:spacing w:before="40" w:after="40"/>
              <w:jc w:val="left"/>
              <w:rPr>
                <w:rFonts w:eastAsia="MS Mincho"/>
                <w:sz w:val="18"/>
                <w:szCs w:val="1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2AE" w:rsidRDefault="002202AE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Noms botaniques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02AE" w:rsidRDefault="002202AE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Codes UPOV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02AE" w:rsidRDefault="002202AE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02AE" w:rsidRDefault="002202AE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</w:p>
        </w:tc>
      </w:tr>
      <w:tr w:rsidR="002202AE" w:rsidTr="002202AE">
        <w:trPr>
          <w:cantSplit/>
          <w:tblHeader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  <w:r>
              <w:t>[…]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</w:tr>
      <w:tr w:rsidR="002202AE" w:rsidTr="002202AE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9E79AB">
            <w:pPr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highlight w:val="lightGray"/>
                <w:u w:val="single"/>
              </w:rPr>
              <w:t>Classe 2</w:t>
            </w:r>
            <w:r w:rsidR="002202AE">
              <w:rPr>
                <w:sz w:val="18"/>
                <w:highlight w:val="lightGray"/>
                <w:u w:val="single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Pr="00AA523C" w:rsidRDefault="002202AE">
            <w:pPr>
              <w:tabs>
                <w:tab w:val="left" w:pos="6373"/>
                <w:tab w:val="left" w:pos="9066"/>
              </w:tabs>
              <w:spacing w:before="40" w:after="40"/>
              <w:ind w:left="298" w:right="113" w:hanging="298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AA523C">
              <w:rPr>
                <w:sz w:val="18"/>
                <w:highlight w:val="lightGray"/>
                <w:u w:val="single"/>
                <w:lang w:val="en-US"/>
              </w:rPr>
              <w:t xml:space="preserve">Brassica </w:t>
            </w:r>
            <w:proofErr w:type="spellStart"/>
            <w:r w:rsidRPr="00AA523C">
              <w:rPr>
                <w:sz w:val="18"/>
                <w:highlight w:val="lightGray"/>
                <w:u w:val="single"/>
                <w:lang w:val="en-US"/>
              </w:rPr>
              <w:t>juncea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n-US"/>
              </w:rPr>
              <w:t xml:space="preserve"> (L.) </w:t>
            </w:r>
            <w:proofErr w:type="spellStart"/>
            <w:r w:rsidRPr="00AA523C">
              <w:rPr>
                <w:sz w:val="18"/>
                <w:highlight w:val="lightGray"/>
                <w:u w:val="single"/>
                <w:lang w:val="en-US"/>
              </w:rPr>
              <w:t>Czern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n-US"/>
              </w:rPr>
              <w:t>.</w:t>
            </w:r>
          </w:p>
          <w:p w:rsidR="002202AE" w:rsidRPr="00AA523C" w:rsidRDefault="002202AE">
            <w:pPr>
              <w:tabs>
                <w:tab w:val="left" w:pos="6373"/>
                <w:tab w:val="left" w:pos="9066"/>
              </w:tabs>
              <w:spacing w:before="40" w:after="40"/>
              <w:ind w:left="298" w:right="113" w:hanging="298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</w:pPr>
            <w:proofErr w:type="spellStart"/>
            <w:r w:rsidRPr="00AA523C">
              <w:rPr>
                <w:sz w:val="18"/>
                <w:highlight w:val="lightGray"/>
                <w:u w:val="single"/>
                <w:lang w:val="es-ES"/>
              </w:rPr>
              <w:t>Brassica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AA523C">
              <w:rPr>
                <w:sz w:val="18"/>
                <w:highlight w:val="lightGray"/>
                <w:u w:val="single"/>
                <w:lang w:val="es-ES"/>
              </w:rPr>
              <w:t>nigra</w:t>
            </w:r>
            <w:proofErr w:type="spellEnd"/>
            <w:r w:rsidRPr="00AA523C">
              <w:rPr>
                <w:sz w:val="18"/>
                <w:highlight w:val="lightGray"/>
                <w:u w:val="single"/>
                <w:lang w:val="es-ES"/>
              </w:rPr>
              <w:t xml:space="preserve"> L.</w:t>
            </w:r>
            <w:r w:rsidR="003D1831" w:rsidRPr="00AA523C">
              <w:rPr>
                <w:sz w:val="18"/>
                <w:highlight w:val="lightGray"/>
                <w:u w:val="single"/>
                <w:lang w:val="es-ES"/>
              </w:rPr>
              <w:t> </w:t>
            </w:r>
            <w:r w:rsidR="00AA523C">
              <w:rPr>
                <w:sz w:val="18"/>
                <w:highlight w:val="lightGray"/>
                <w:u w:val="single"/>
                <w:lang w:val="es-ES"/>
              </w:rPr>
              <w:t>W.D.</w:t>
            </w:r>
            <w:r w:rsidR="003D1831" w:rsidRPr="00AA523C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  <w:r w:rsidRPr="00AA523C">
              <w:rPr>
                <w:sz w:val="18"/>
                <w:highlight w:val="lightGray"/>
                <w:u w:val="single"/>
                <w:lang w:val="es-ES"/>
              </w:rPr>
              <w:t>J.</w:t>
            </w:r>
            <w:r w:rsidR="003D1831" w:rsidRPr="00AA523C">
              <w:rPr>
                <w:sz w:val="18"/>
                <w:highlight w:val="lightGray"/>
                <w:u w:val="single"/>
                <w:lang w:val="es-ES"/>
              </w:rPr>
              <w:t> </w:t>
            </w:r>
            <w:r w:rsidRPr="00AA523C">
              <w:rPr>
                <w:sz w:val="18"/>
                <w:highlight w:val="lightGray"/>
                <w:u w:val="single"/>
                <w:lang w:val="es-ES"/>
              </w:rPr>
              <w:t>Koch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proofErr w:type="spellStart"/>
            <w:r>
              <w:rPr>
                <w:sz w:val="18"/>
                <w:highlight w:val="lightGray"/>
                <w:u w:val="single"/>
              </w:rPr>
              <w:t>Sinapis</w:t>
            </w:r>
            <w:proofErr w:type="spellEnd"/>
            <w:r>
              <w:rPr>
                <w:sz w:val="18"/>
                <w:highlight w:val="lightGray"/>
                <w:u w:val="single"/>
              </w:rPr>
              <w:t xml:space="preserve"> alba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Pr="009E79AB" w:rsidRDefault="002202AE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9E79AB">
              <w:rPr>
                <w:sz w:val="18"/>
                <w:highlight w:val="lightGray"/>
                <w:u w:val="single"/>
                <w:lang w:val="en-US"/>
              </w:rPr>
              <w:t>BRASS_JUN</w:t>
            </w:r>
          </w:p>
          <w:p w:rsidR="002202AE" w:rsidRPr="009E79AB" w:rsidRDefault="002202AE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9E79AB">
              <w:rPr>
                <w:sz w:val="18"/>
                <w:highlight w:val="lightGray"/>
                <w:u w:val="single"/>
                <w:lang w:val="en-US"/>
              </w:rPr>
              <w:t>BRASS_NIG</w:t>
            </w:r>
          </w:p>
          <w:p w:rsidR="002202AE" w:rsidRPr="009E79AB" w:rsidRDefault="002202AE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  <w:lang w:val="en-US"/>
              </w:rPr>
            </w:pPr>
            <w:r w:rsidRPr="009E79AB">
              <w:rPr>
                <w:sz w:val="18"/>
                <w:highlight w:val="lightGray"/>
                <w:u w:val="single"/>
                <w:lang w:val="en-US"/>
              </w:rPr>
              <w:t>SINAP_ALB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highlight w:val="lightGray"/>
                <w:u w:val="single"/>
              </w:rPr>
              <w:t>Moutarde alimentaire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AE" w:rsidRDefault="002202AE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Moutarde brune</w:t>
            </w:r>
          </w:p>
          <w:p w:rsidR="002202AE" w:rsidRDefault="002202AE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Moutarde noire</w:t>
            </w:r>
          </w:p>
          <w:p w:rsidR="002202AE" w:rsidRDefault="002202AE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>
              <w:rPr>
                <w:sz w:val="18"/>
                <w:highlight w:val="lightGray"/>
                <w:u w:val="single"/>
              </w:rPr>
              <w:t>Moutarde blanche</w:t>
            </w:r>
          </w:p>
        </w:tc>
      </w:tr>
    </w:tbl>
    <w:p w:rsidR="002202AE" w:rsidRDefault="002202AE" w:rsidP="002202AE">
      <w:pPr>
        <w:rPr>
          <w:rFonts w:eastAsia="MS Mincho"/>
        </w:rPr>
      </w:pPr>
    </w:p>
    <w:p w:rsidR="002202AE" w:rsidRDefault="002202AE" w:rsidP="002202AE">
      <w:pPr>
        <w:jc w:val="left"/>
      </w:pPr>
    </w:p>
    <w:p w:rsidR="00870335" w:rsidRDefault="00870335" w:rsidP="002202AE">
      <w:pPr>
        <w:jc w:val="left"/>
      </w:pPr>
    </w:p>
    <w:p w:rsidR="00870335" w:rsidRDefault="00870335" w:rsidP="00870335">
      <w:pPr>
        <w:jc w:val="right"/>
      </w:pPr>
      <w:r>
        <w:t>[L</w:t>
      </w:r>
      <w:r w:rsidR="009E79AB">
        <w:t>’annexe I</w:t>
      </w:r>
      <w:r>
        <w:t>I suit]</w:t>
      </w:r>
    </w:p>
    <w:p w:rsidR="00FE2092" w:rsidRDefault="00FE2092" w:rsidP="00FE2092">
      <w:pPr>
        <w:jc w:val="left"/>
      </w:pPr>
    </w:p>
    <w:p w:rsidR="002202AE" w:rsidRDefault="002202AE" w:rsidP="00FE2092">
      <w:pPr>
        <w:rPr>
          <w:rFonts w:eastAsiaTheme="minorEastAsia"/>
          <w:lang w:eastAsia="ja-JP"/>
        </w:rPr>
        <w:sectPr w:rsidR="002202AE" w:rsidSect="0004198B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FE2092" w:rsidRPr="000D7945" w:rsidRDefault="00FE2092" w:rsidP="00FE2092">
      <w:pPr>
        <w:rPr>
          <w:rFonts w:eastAsiaTheme="minorEastAsia"/>
          <w:lang w:eastAsia="ja-JP"/>
        </w:rPr>
      </w:pPr>
    </w:p>
    <w:p w:rsidR="00FE2092" w:rsidRPr="00CB7CD0" w:rsidRDefault="00FE2092" w:rsidP="00FE2092">
      <w:pPr>
        <w:rPr>
          <w:rFonts w:eastAsiaTheme="minorEastAsia"/>
          <w:caps/>
        </w:rPr>
      </w:pPr>
      <w:r>
        <w:rPr>
          <w:caps/>
        </w:rPr>
        <w:t>élargissement du contenu de la base de données PLUTO</w:t>
      </w:r>
    </w:p>
    <w:p w:rsidR="00FE2092" w:rsidRPr="0096300E" w:rsidRDefault="00FE2092" w:rsidP="00FE2092">
      <w:pPr>
        <w:keepNext/>
        <w:rPr>
          <w:rFonts w:eastAsiaTheme="minorEastAsia"/>
          <w:snapToGrid w:val="0"/>
          <w:lang w:eastAsia="ja-JP"/>
        </w:rPr>
      </w:pPr>
    </w:p>
    <w:p w:rsidR="00FE2092" w:rsidRPr="00CB7CD0" w:rsidRDefault="00FE2092" w:rsidP="00FE2092">
      <w:pPr>
        <w:rPr>
          <w:rFonts w:eastAsiaTheme="minorEastAsia"/>
          <w:u w:val="single"/>
        </w:rPr>
      </w:pPr>
      <w:r>
        <w:rPr>
          <w:u w:val="single"/>
        </w:rPr>
        <w:t>Groupe de travail sur les dénominations variétales en 2019</w:t>
      </w:r>
    </w:p>
    <w:p w:rsidR="00FE2092" w:rsidRPr="0096300E" w:rsidRDefault="00FE2092" w:rsidP="00FE2092">
      <w:pPr>
        <w:keepNext/>
        <w:keepLines/>
        <w:rPr>
          <w:rFonts w:eastAsiaTheme="minorEastAsia"/>
          <w:lang w:eastAsia="ja-JP"/>
        </w:rPr>
      </w:pPr>
    </w:p>
    <w:p w:rsidR="00FE2092" w:rsidRPr="0096300E" w:rsidRDefault="00FE2092" w:rsidP="00FE2092">
      <w:pPr>
        <w:keepNext/>
        <w:rPr>
          <w:rFonts w:eastAsiaTheme="minorEastAsia"/>
        </w:rPr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 xml:space="preserve">Les informations générales sur cette question figurent aux paragraphes 11 à 17 du </w:t>
      </w:r>
      <w:r w:rsidR="009E79AB">
        <w:t>document TC</w:t>
      </w:r>
      <w:r>
        <w:t>/55/INF/7.</w:t>
      </w:r>
    </w:p>
    <w:p w:rsidR="00FE2092" w:rsidRPr="0096300E" w:rsidRDefault="00FE2092" w:rsidP="00FE2092">
      <w:pPr>
        <w:ind w:left="1701" w:hanging="1134"/>
        <w:jc w:val="left"/>
        <w:rPr>
          <w:rFonts w:eastAsiaTheme="minorEastAsia" w:cs="Arial"/>
          <w:snapToGrid w:val="0"/>
        </w:rPr>
      </w:pPr>
    </w:p>
    <w:p w:rsidR="00FE2092" w:rsidRPr="0096300E" w:rsidRDefault="00FE2092" w:rsidP="00FE2092"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</w:r>
      <w:r>
        <w:rPr>
          <w:snapToGrid w:val="0"/>
        </w:rPr>
        <w:t xml:space="preserve">À sa sixième réunion, </w:t>
      </w:r>
      <w:r>
        <w:t>le WG</w:t>
      </w:r>
      <w:r w:rsidR="00AA523C">
        <w:noBreakHyphen/>
      </w:r>
      <w:r>
        <w:t>DEN a suivi un exposé sur l</w:t>
      </w:r>
      <w:r w:rsidR="009E79AB">
        <w:t>’</w:t>
      </w:r>
      <w:r>
        <w:t>introduction éventuelle d</w:t>
      </w:r>
      <w:r w:rsidR="009E79AB">
        <w:t>’</w:t>
      </w:r>
      <w:r>
        <w:t>un identifiant unique pour les notations de variétés dans la base de données PLUTO.</w:t>
      </w:r>
    </w:p>
    <w:p w:rsidR="00FE2092" w:rsidRPr="0096300E" w:rsidRDefault="00FE2092" w:rsidP="00FE2092">
      <w:pPr>
        <w:ind w:left="1701" w:hanging="1134"/>
        <w:jc w:val="left"/>
        <w:rPr>
          <w:rFonts w:eastAsiaTheme="minorEastAsia" w:cs="Arial"/>
          <w:snapToGrid w:val="0"/>
        </w:rPr>
      </w:pPr>
    </w:p>
    <w:p w:rsidR="00FE2092" w:rsidRPr="0096300E" w:rsidRDefault="00FE2092" w:rsidP="00FE2092"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Le WG</w:t>
      </w:r>
      <w:r w:rsidR="00AA523C">
        <w:noBreakHyphen/>
      </w:r>
      <w:r>
        <w:t>DEN a pris note des projets d</w:t>
      </w:r>
      <w:r w:rsidR="009E79AB">
        <w:t>’</w:t>
      </w:r>
      <w:r>
        <w:t>introduction d</w:t>
      </w:r>
      <w:r w:rsidR="009E79AB">
        <w:t>’</w:t>
      </w:r>
      <w:r>
        <w:t>un identifiant unique pour les notations de la variété dans la base de données PLUTO.</w:t>
      </w:r>
    </w:p>
    <w:p w:rsidR="00FE2092" w:rsidRPr="0096300E" w:rsidRDefault="00FE2092" w:rsidP="00FE2092">
      <w:pPr>
        <w:rPr>
          <w:rFonts w:eastAsiaTheme="minorEastAsia"/>
          <w:lang w:eastAsia="ja-JP"/>
        </w:rPr>
      </w:pPr>
    </w:p>
    <w:p w:rsidR="009E79AB" w:rsidRDefault="00FE2092" w:rsidP="00FE2092">
      <w:pPr>
        <w:keepLines/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Le WG</w:t>
      </w:r>
      <w:r w:rsidR="00AA523C">
        <w:noBreakHyphen/>
      </w:r>
      <w:r>
        <w:t>DEN a examiné les propositions concernant des données supplémentaires à inclure dans la base de données PLUTO et a approuvé la proposition tendant à ajouter les noms communs dans d</w:t>
      </w:r>
      <w:r w:rsidR="009E79AB">
        <w:t>’</w:t>
      </w:r>
      <w:r>
        <w:t>autres langues dans la base de données PLUTO, pour autant que les ressources disponibles le permettent.</w:t>
      </w:r>
    </w:p>
    <w:p w:rsidR="00FE2092" w:rsidRPr="0096300E" w:rsidRDefault="00FE2092" w:rsidP="00FE2092">
      <w:pPr>
        <w:keepLines/>
        <w:rPr>
          <w:rFonts w:eastAsiaTheme="minorEastAsia"/>
          <w:lang w:eastAsia="ja-JP"/>
        </w:rPr>
      </w:pPr>
    </w:p>
    <w:p w:rsidR="009E79AB" w:rsidRDefault="00FE2092" w:rsidP="00FE2092">
      <w:pPr>
        <w:keepLines/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Le WG</w:t>
      </w:r>
      <w:r w:rsidR="00AA523C">
        <w:noBreakHyphen/>
      </w:r>
      <w:r>
        <w:t>DEN a noté que le</w:t>
      </w:r>
      <w:r w:rsidR="009E79AB">
        <w:t> TC</w:t>
      </w:r>
      <w:r>
        <w:t xml:space="preserve"> examinait comment gérer les questions concernant les types de variétés aux fins de l</w:t>
      </w:r>
      <w:r w:rsidR="009E79AB">
        <w:t>’</w:t>
      </w:r>
      <w:r>
        <w:t>examen</w:t>
      </w:r>
      <w:r w:rsidR="003D1831">
        <w:t> </w:t>
      </w:r>
      <w:r>
        <w:t>DHS et il est convenu qu</w:t>
      </w:r>
      <w:r w:rsidR="009E79AB">
        <w:t>’</w:t>
      </w:r>
      <w:r>
        <w:t>il devrait être rendu compte</w:t>
      </w:r>
      <w:r w:rsidR="009E79AB">
        <w:t xml:space="preserve"> au CAJ</w:t>
      </w:r>
      <w:r>
        <w:t xml:space="preserve"> des faits nouveaux intervenus au sein du</w:t>
      </w:r>
      <w:r w:rsidR="009E79AB">
        <w:t> TC</w:t>
      </w:r>
      <w:r>
        <w:t>.</w:t>
      </w:r>
    </w:p>
    <w:p w:rsidR="00FE2092" w:rsidRPr="0096300E" w:rsidRDefault="00FE2092" w:rsidP="00FE2092">
      <w:pPr>
        <w:rPr>
          <w:rFonts w:cs="Arial"/>
          <w:iCs/>
        </w:rPr>
      </w:pPr>
    </w:p>
    <w:p w:rsidR="00FE2092" w:rsidRPr="0096300E" w:rsidRDefault="00FE2092" w:rsidP="00FE2092">
      <w:pPr>
        <w:rPr>
          <w:rFonts w:cs="Arial"/>
          <w:iCs/>
        </w:rPr>
      </w:pPr>
    </w:p>
    <w:p w:rsidR="00FE2092" w:rsidRPr="00CB7CD0" w:rsidRDefault="00FE2092" w:rsidP="00FE2092">
      <w:pPr>
        <w:rPr>
          <w:u w:val="single"/>
        </w:rPr>
      </w:pPr>
      <w:r>
        <w:rPr>
          <w:u w:val="single"/>
        </w:rPr>
        <w:t>Comité administratif et juridique en 2019</w:t>
      </w:r>
    </w:p>
    <w:p w:rsidR="00FE2092" w:rsidRPr="0096300E" w:rsidRDefault="00FE2092" w:rsidP="00FE2092">
      <w:pPr>
        <w:keepNext/>
        <w:jc w:val="left"/>
        <w:rPr>
          <w:rFonts w:eastAsiaTheme="minorEastAsia" w:cs="Arial"/>
          <w:snapToGrid w:val="0"/>
        </w:rPr>
      </w:pPr>
    </w:p>
    <w:p w:rsidR="00FE2092" w:rsidRPr="0096300E" w:rsidRDefault="00FE2092" w:rsidP="00FE2092"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</w:r>
      <w:r>
        <w:rPr>
          <w:snapToGrid w:val="0"/>
        </w:rPr>
        <w:t>À sa soixante</w:t>
      </w:r>
      <w:r w:rsidR="00AA523C">
        <w:rPr>
          <w:snapToGrid w:val="0"/>
        </w:rPr>
        <w:noBreakHyphen/>
      </w:r>
      <w:r>
        <w:rPr>
          <w:snapToGrid w:val="0"/>
        </w:rPr>
        <w:t>seiz</w:t>
      </w:r>
      <w:r w:rsidR="009E79AB">
        <w:rPr>
          <w:snapToGrid w:val="0"/>
        </w:rPr>
        <w:t>ième session</w:t>
      </w:r>
      <w:r>
        <w:rPr>
          <w:snapToGrid w:val="0"/>
        </w:rPr>
        <w:t>,</w:t>
      </w:r>
      <w:r w:rsidR="009E79AB">
        <w:t xml:space="preserve"> le CAJ</w:t>
      </w:r>
      <w:r>
        <w:t xml:space="preserve"> a pris note des faits nouveaux dont il était rendu compte dans le </w:t>
      </w:r>
      <w:r w:rsidR="009E79AB">
        <w:t>document CA</w:t>
      </w:r>
      <w:r>
        <w:t>J/76/6 </w:t>
      </w:r>
      <w:proofErr w:type="spellStart"/>
      <w:r>
        <w:t>Add</w:t>
      </w:r>
      <w:proofErr w:type="spellEnd"/>
      <w:r>
        <w:t xml:space="preserve">. </w:t>
      </w:r>
      <w:proofErr w:type="gramStart"/>
      <w:r>
        <w:t>concernant</w:t>
      </w:r>
      <w:proofErr w:type="gramEnd"/>
      <w:r>
        <w:t xml:space="preserve"> l</w:t>
      </w:r>
      <w:r w:rsidR="009E79AB">
        <w:t>’</w:t>
      </w:r>
      <w:r>
        <w:t>“élargissement du contenu de la base de données PLUTO” et l</w:t>
      </w:r>
      <w:r w:rsidR="009E79AB">
        <w:t>’</w:t>
      </w:r>
      <w:r>
        <w:t>introduction éventuelle d</w:t>
      </w:r>
      <w:r w:rsidR="009E79AB">
        <w:t>’</w:t>
      </w:r>
      <w:r>
        <w:t xml:space="preserve">un identifiant unique pour les notations de variétés dans la base de données PLUTO (voir les paragraphes 40 à 42 du </w:t>
      </w:r>
      <w:r w:rsidR="009E79AB">
        <w:t>document CA</w:t>
      </w:r>
      <w:r>
        <w:t>J/76/9 “Compte rendu”).</w:t>
      </w:r>
    </w:p>
    <w:p w:rsidR="00FE2092" w:rsidRPr="0096300E" w:rsidRDefault="00FE2092" w:rsidP="00FE2092">
      <w:pPr>
        <w:rPr>
          <w:rFonts w:cs="Arial"/>
          <w:iCs/>
        </w:rPr>
      </w:pPr>
    </w:p>
    <w:p w:rsidR="009E79AB" w:rsidRDefault="00FE2092" w:rsidP="00FE2092">
      <w:pPr>
        <w:keepLines/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S</w:t>
      </w:r>
      <w:r w:rsidR="009E79AB">
        <w:t>’</w:t>
      </w:r>
      <w:r>
        <w:t>agissant de l</w:t>
      </w:r>
      <w:r w:rsidR="009E79AB">
        <w:t>’</w:t>
      </w:r>
      <w:r>
        <w:t>intégration d</w:t>
      </w:r>
      <w:r w:rsidR="009E79AB">
        <w:t>’</w:t>
      </w:r>
      <w:r>
        <w:t>autres variétés (nouvelles données) à la base de données PLUTO,</w:t>
      </w:r>
      <w:r w:rsidR="009E79AB">
        <w:t xml:space="preserve"> le CAJ</w:t>
      </w:r>
      <w:r>
        <w:t xml:space="preserve"> a pris note des propositions de données supplémentaires à intégrer à la base de données PLUTO et a approuvé la proposition tendant à ajouter des noms communs dans d</w:t>
      </w:r>
      <w:r w:rsidR="009E79AB">
        <w:t>’</w:t>
      </w:r>
      <w:r>
        <w:t>autres langues dans la base de données PLUTO.</w:t>
      </w:r>
    </w:p>
    <w:p w:rsidR="00FE2092" w:rsidRPr="0096300E" w:rsidRDefault="00FE2092" w:rsidP="00FE2092">
      <w:pPr>
        <w:keepLines/>
        <w:rPr>
          <w:rFonts w:eastAsiaTheme="minorEastAsia"/>
          <w:lang w:eastAsia="ja-JP"/>
        </w:rPr>
      </w:pPr>
      <w:bookmarkStart w:id="14" w:name="_GoBack"/>
      <w:bookmarkEnd w:id="14"/>
    </w:p>
    <w:p w:rsidR="009E79AB" w:rsidRDefault="00FE2092" w:rsidP="00FE2092">
      <w:pPr>
        <w:keepLines/>
      </w:pPr>
      <w:r w:rsidRPr="0096300E">
        <w:rPr>
          <w:rFonts w:eastAsiaTheme="minorEastAsia"/>
        </w:rPr>
        <w:fldChar w:fldCharType="begin"/>
      </w:r>
      <w:r w:rsidRPr="0096300E">
        <w:rPr>
          <w:rFonts w:eastAsiaTheme="minorEastAsia"/>
        </w:rPr>
        <w:instrText xml:space="preserve"> AUTONUM  </w:instrText>
      </w:r>
      <w:r w:rsidRPr="0096300E">
        <w:rPr>
          <w:rFonts w:eastAsiaTheme="minorEastAsia"/>
        </w:rPr>
        <w:fldChar w:fldCharType="end"/>
      </w:r>
      <w:r>
        <w:tab/>
        <w:t>Le CAJ a noté que le</w:t>
      </w:r>
      <w:r w:rsidR="009E79AB">
        <w:t> TC</w:t>
      </w:r>
      <w:r>
        <w:t xml:space="preserve"> examinait comment gérer les questions concernant les types de variétés aux fins de l</w:t>
      </w:r>
      <w:r w:rsidR="009E79AB">
        <w:t>’</w:t>
      </w:r>
      <w:r>
        <w:t>examen</w:t>
      </w:r>
      <w:r w:rsidR="003D1831">
        <w:t> </w:t>
      </w:r>
      <w:r>
        <w:t>DHS et il est convenu qu</w:t>
      </w:r>
      <w:r w:rsidR="009E79AB">
        <w:t>’</w:t>
      </w:r>
      <w:r>
        <w:t>il devrait être rendu compte</w:t>
      </w:r>
      <w:r w:rsidR="009E79AB">
        <w:t xml:space="preserve"> au CAJ</w:t>
      </w:r>
      <w:r>
        <w:t xml:space="preserve"> des faits nouveaux intervenus au sein du</w:t>
      </w:r>
      <w:r w:rsidR="009E79AB">
        <w:t> TC</w:t>
      </w:r>
      <w:r>
        <w:t>.</w:t>
      </w:r>
    </w:p>
    <w:p w:rsidR="00FE2092" w:rsidRDefault="00FE2092" w:rsidP="00FE2092">
      <w:pPr>
        <w:jc w:val="left"/>
      </w:pPr>
    </w:p>
    <w:p w:rsidR="00FE2092" w:rsidRDefault="00FE2092" w:rsidP="00FE2092">
      <w:pPr>
        <w:jc w:val="left"/>
      </w:pPr>
    </w:p>
    <w:p w:rsidR="00FE2092" w:rsidRDefault="00FE2092" w:rsidP="00FE2092">
      <w:pPr>
        <w:jc w:val="left"/>
      </w:pPr>
    </w:p>
    <w:p w:rsidR="00FE2092" w:rsidRPr="00C5280D" w:rsidRDefault="00FE2092" w:rsidP="00FE2092">
      <w:pPr>
        <w:jc w:val="right"/>
      </w:pPr>
      <w:r>
        <w:t>[Fin de l</w:t>
      </w:r>
      <w:r w:rsidR="009E79AB">
        <w:t>’</w:t>
      </w:r>
      <w:r>
        <w:t>annexe II et du document]</w:t>
      </w:r>
    </w:p>
    <w:sectPr w:rsidR="00FE2092" w:rsidRPr="00C5280D" w:rsidSect="0004198B"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82" w:rsidRDefault="00DD1482" w:rsidP="006655D3">
      <w:r>
        <w:separator/>
      </w:r>
    </w:p>
    <w:p w:rsidR="00DD1482" w:rsidRDefault="00DD1482" w:rsidP="006655D3"/>
    <w:p w:rsidR="00DD1482" w:rsidRDefault="00DD1482" w:rsidP="006655D3"/>
  </w:endnote>
  <w:endnote w:type="continuationSeparator" w:id="0">
    <w:p w:rsidR="00DD1482" w:rsidRDefault="00DD1482" w:rsidP="006655D3">
      <w:r>
        <w:separator/>
      </w:r>
    </w:p>
    <w:p w:rsidR="00DD1482" w:rsidRPr="00294751" w:rsidRDefault="00DD1482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DD1482" w:rsidRPr="00294751" w:rsidRDefault="00DD1482" w:rsidP="006655D3"/>
    <w:p w:rsidR="00DD1482" w:rsidRPr="00294751" w:rsidRDefault="00DD1482" w:rsidP="006655D3"/>
  </w:endnote>
  <w:endnote w:type="continuationNotice" w:id="1">
    <w:p w:rsidR="00DD1482" w:rsidRPr="00294751" w:rsidRDefault="00DD1482" w:rsidP="006655D3">
      <w:r w:rsidRPr="00294751">
        <w:t>[Suite de la note page suivante]</w:t>
      </w:r>
    </w:p>
    <w:p w:rsidR="00DD1482" w:rsidRPr="00294751" w:rsidRDefault="00DD1482" w:rsidP="006655D3"/>
    <w:p w:rsidR="00DD1482" w:rsidRPr="00294751" w:rsidRDefault="00DD148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82" w:rsidRDefault="00DD1482" w:rsidP="006655D3">
      <w:r>
        <w:separator/>
      </w:r>
    </w:p>
  </w:footnote>
  <w:footnote w:type="continuationSeparator" w:id="0">
    <w:p w:rsidR="00DD1482" w:rsidRDefault="00DD1482" w:rsidP="006655D3">
      <w:r>
        <w:separator/>
      </w:r>
    </w:p>
  </w:footnote>
  <w:footnote w:type="continuationNotice" w:id="1">
    <w:p w:rsidR="00DD1482" w:rsidRPr="00AB530F" w:rsidRDefault="00DD148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</w:rPr>
    </w:pPr>
    <w:r>
      <w:rPr>
        <w:rStyle w:val="PageNumber"/>
      </w:rPr>
      <w:t>TC/58/15</w:t>
    </w:r>
  </w:p>
  <w:p w:rsidR="0004198B" w:rsidRPr="00C5280D" w:rsidRDefault="0004198B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515A0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9BC" w:rsidRPr="00C5280D" w:rsidRDefault="006479BC" w:rsidP="00EB048E">
    <w:pPr>
      <w:pStyle w:val="Header"/>
      <w:rPr>
        <w:rStyle w:val="PageNumber"/>
      </w:rPr>
    </w:pPr>
    <w:r>
      <w:rPr>
        <w:rStyle w:val="PageNumber"/>
      </w:rPr>
      <w:t>TC/58/15</w:t>
    </w:r>
  </w:p>
  <w:p w:rsidR="006479BC" w:rsidRPr="00C5280D" w:rsidRDefault="006479BC" w:rsidP="00EB048E">
    <w:pPr>
      <w:pStyle w:val="Header"/>
    </w:pPr>
    <w:r>
      <w:t>Annexe I, 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515A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6479BC" w:rsidRPr="00C5280D" w:rsidRDefault="006479B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9BC" w:rsidRDefault="006479BC" w:rsidP="006479BC">
    <w:pPr>
      <w:pStyle w:val="Header"/>
    </w:pPr>
    <w:r>
      <w:t>TC/58/15</w:t>
    </w:r>
  </w:p>
  <w:p w:rsidR="006479BC" w:rsidRDefault="006479BC" w:rsidP="006479BC">
    <w:pPr>
      <w:pStyle w:val="Header"/>
      <w:rPr>
        <w:lang w:val="en-US"/>
      </w:rPr>
    </w:pPr>
  </w:p>
  <w:p w:rsidR="006479BC" w:rsidRDefault="006479BC" w:rsidP="006479BC">
    <w:pPr>
      <w:pStyle w:val="Header"/>
    </w:pPr>
    <w:r>
      <w:t>ANNEXE I</w:t>
    </w:r>
  </w:p>
  <w:p w:rsidR="006479BC" w:rsidRPr="006479BC" w:rsidRDefault="006479BC" w:rsidP="006479BC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9BC" w:rsidRDefault="006479BC" w:rsidP="006479BC">
    <w:pPr>
      <w:pStyle w:val="Header"/>
    </w:pPr>
    <w:r>
      <w:t>TC/58/15</w:t>
    </w:r>
  </w:p>
  <w:p w:rsidR="006479BC" w:rsidRDefault="006479BC" w:rsidP="006479BC">
    <w:pPr>
      <w:pStyle w:val="Header"/>
      <w:rPr>
        <w:lang w:val="en-US"/>
      </w:rPr>
    </w:pPr>
  </w:p>
  <w:p w:rsidR="006479BC" w:rsidRDefault="006479BC" w:rsidP="006479BC">
    <w:pPr>
      <w:pStyle w:val="Header"/>
    </w:pPr>
    <w:r>
      <w:t>ANNEXE II</w:t>
    </w:r>
  </w:p>
  <w:p w:rsidR="006479BC" w:rsidRPr="006479BC" w:rsidRDefault="006479BC" w:rsidP="006479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1E7"/>
    <w:multiLevelType w:val="hybridMultilevel"/>
    <w:tmpl w:val="F012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C713C"/>
    <w:rsid w:val="000D6BBC"/>
    <w:rsid w:val="000D7780"/>
    <w:rsid w:val="000E636A"/>
    <w:rsid w:val="000F2F11"/>
    <w:rsid w:val="000F55D0"/>
    <w:rsid w:val="00100A5F"/>
    <w:rsid w:val="00105929"/>
    <w:rsid w:val="00110BED"/>
    <w:rsid w:val="00110C36"/>
    <w:rsid w:val="001131D5"/>
    <w:rsid w:val="00114547"/>
    <w:rsid w:val="00141DB8"/>
    <w:rsid w:val="00144612"/>
    <w:rsid w:val="00172084"/>
    <w:rsid w:val="0017474A"/>
    <w:rsid w:val="001758C6"/>
    <w:rsid w:val="00182B99"/>
    <w:rsid w:val="001C1525"/>
    <w:rsid w:val="001C3C4E"/>
    <w:rsid w:val="001C6546"/>
    <w:rsid w:val="0021332C"/>
    <w:rsid w:val="00213982"/>
    <w:rsid w:val="002202AE"/>
    <w:rsid w:val="0024416D"/>
    <w:rsid w:val="00271911"/>
    <w:rsid w:val="00273187"/>
    <w:rsid w:val="002800A0"/>
    <w:rsid w:val="002801B3"/>
    <w:rsid w:val="00281060"/>
    <w:rsid w:val="00284050"/>
    <w:rsid w:val="00284ACE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63EE5"/>
    <w:rsid w:val="003753EE"/>
    <w:rsid w:val="003A0835"/>
    <w:rsid w:val="003A5AAF"/>
    <w:rsid w:val="003B700A"/>
    <w:rsid w:val="003C7FBE"/>
    <w:rsid w:val="003D0839"/>
    <w:rsid w:val="003D1831"/>
    <w:rsid w:val="003D227C"/>
    <w:rsid w:val="003D2B4D"/>
    <w:rsid w:val="003D5F5B"/>
    <w:rsid w:val="003F37F5"/>
    <w:rsid w:val="003F6DE3"/>
    <w:rsid w:val="00441916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4F355C"/>
    <w:rsid w:val="005007AA"/>
    <w:rsid w:val="005063E0"/>
    <w:rsid w:val="00512164"/>
    <w:rsid w:val="00520297"/>
    <w:rsid w:val="005338F9"/>
    <w:rsid w:val="00536929"/>
    <w:rsid w:val="0054281C"/>
    <w:rsid w:val="00544581"/>
    <w:rsid w:val="0055268D"/>
    <w:rsid w:val="00561708"/>
    <w:rsid w:val="00575DE2"/>
    <w:rsid w:val="00576BE4"/>
    <w:rsid w:val="005779DB"/>
    <w:rsid w:val="005A2A67"/>
    <w:rsid w:val="005A400A"/>
    <w:rsid w:val="005B269D"/>
    <w:rsid w:val="005D2899"/>
    <w:rsid w:val="005F7B92"/>
    <w:rsid w:val="00612379"/>
    <w:rsid w:val="006153B6"/>
    <w:rsid w:val="0061555F"/>
    <w:rsid w:val="006168C8"/>
    <w:rsid w:val="006245ED"/>
    <w:rsid w:val="00636CA6"/>
    <w:rsid w:val="00641200"/>
    <w:rsid w:val="00645CA8"/>
    <w:rsid w:val="006479BC"/>
    <w:rsid w:val="006655D3"/>
    <w:rsid w:val="00667404"/>
    <w:rsid w:val="00687EB4"/>
    <w:rsid w:val="00695C56"/>
    <w:rsid w:val="006A5CDE"/>
    <w:rsid w:val="006A644A"/>
    <w:rsid w:val="006B17D2"/>
    <w:rsid w:val="006C224E"/>
    <w:rsid w:val="006D3B27"/>
    <w:rsid w:val="006D780A"/>
    <w:rsid w:val="00700DD6"/>
    <w:rsid w:val="00702FFC"/>
    <w:rsid w:val="0071271E"/>
    <w:rsid w:val="00732DEC"/>
    <w:rsid w:val="00735BD5"/>
    <w:rsid w:val="007451EC"/>
    <w:rsid w:val="007515A0"/>
    <w:rsid w:val="00751613"/>
    <w:rsid w:val="00753EE9"/>
    <w:rsid w:val="007556F6"/>
    <w:rsid w:val="00760EEF"/>
    <w:rsid w:val="00777EE5"/>
    <w:rsid w:val="00784836"/>
    <w:rsid w:val="0079023E"/>
    <w:rsid w:val="0079715A"/>
    <w:rsid w:val="007A2854"/>
    <w:rsid w:val="007A62CD"/>
    <w:rsid w:val="007C1D92"/>
    <w:rsid w:val="007C4CB9"/>
    <w:rsid w:val="007C4DDB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27704"/>
    <w:rsid w:val="00844356"/>
    <w:rsid w:val="00846D7C"/>
    <w:rsid w:val="00847998"/>
    <w:rsid w:val="008559E0"/>
    <w:rsid w:val="00867AC1"/>
    <w:rsid w:val="00870335"/>
    <w:rsid w:val="008751DE"/>
    <w:rsid w:val="00890DF8"/>
    <w:rsid w:val="008A0ADE"/>
    <w:rsid w:val="008A743F"/>
    <w:rsid w:val="008C0970"/>
    <w:rsid w:val="008D0BC5"/>
    <w:rsid w:val="008D2CF7"/>
    <w:rsid w:val="008D75CB"/>
    <w:rsid w:val="008E2918"/>
    <w:rsid w:val="00900C26"/>
    <w:rsid w:val="0090197F"/>
    <w:rsid w:val="00903264"/>
    <w:rsid w:val="00906DDC"/>
    <w:rsid w:val="009211BE"/>
    <w:rsid w:val="00934E09"/>
    <w:rsid w:val="00936253"/>
    <w:rsid w:val="00940D46"/>
    <w:rsid w:val="009413F1"/>
    <w:rsid w:val="00952DD4"/>
    <w:rsid w:val="009561F4"/>
    <w:rsid w:val="0096366F"/>
    <w:rsid w:val="00965AE7"/>
    <w:rsid w:val="009704EF"/>
    <w:rsid w:val="00970FED"/>
    <w:rsid w:val="00985E41"/>
    <w:rsid w:val="00992D82"/>
    <w:rsid w:val="00997029"/>
    <w:rsid w:val="009A7339"/>
    <w:rsid w:val="009B440E"/>
    <w:rsid w:val="009D690D"/>
    <w:rsid w:val="009E65B6"/>
    <w:rsid w:val="009E79AB"/>
    <w:rsid w:val="009F0A51"/>
    <w:rsid w:val="009F0B7F"/>
    <w:rsid w:val="009F77CF"/>
    <w:rsid w:val="00A12795"/>
    <w:rsid w:val="00A2054A"/>
    <w:rsid w:val="00A24C10"/>
    <w:rsid w:val="00A42AC3"/>
    <w:rsid w:val="00A430CF"/>
    <w:rsid w:val="00A54309"/>
    <w:rsid w:val="00A5499F"/>
    <w:rsid w:val="00A55168"/>
    <w:rsid w:val="00A610A9"/>
    <w:rsid w:val="00A66B7E"/>
    <w:rsid w:val="00A80F2A"/>
    <w:rsid w:val="00A96C33"/>
    <w:rsid w:val="00AA523C"/>
    <w:rsid w:val="00AB2B93"/>
    <w:rsid w:val="00AB530F"/>
    <w:rsid w:val="00AB7E5B"/>
    <w:rsid w:val="00AC2883"/>
    <w:rsid w:val="00AE0EF1"/>
    <w:rsid w:val="00AE2937"/>
    <w:rsid w:val="00AE4867"/>
    <w:rsid w:val="00B07301"/>
    <w:rsid w:val="00B11F3E"/>
    <w:rsid w:val="00B224DE"/>
    <w:rsid w:val="00B324D4"/>
    <w:rsid w:val="00B33E7F"/>
    <w:rsid w:val="00B46575"/>
    <w:rsid w:val="00B61777"/>
    <w:rsid w:val="00B622E6"/>
    <w:rsid w:val="00B83E82"/>
    <w:rsid w:val="00B84BBD"/>
    <w:rsid w:val="00B91195"/>
    <w:rsid w:val="00BA43FB"/>
    <w:rsid w:val="00BC127D"/>
    <w:rsid w:val="00BC1FE6"/>
    <w:rsid w:val="00BD42F5"/>
    <w:rsid w:val="00C061B6"/>
    <w:rsid w:val="00C16EDD"/>
    <w:rsid w:val="00C2446C"/>
    <w:rsid w:val="00C36AE5"/>
    <w:rsid w:val="00C41F17"/>
    <w:rsid w:val="00C45098"/>
    <w:rsid w:val="00C527FA"/>
    <w:rsid w:val="00C5280D"/>
    <w:rsid w:val="00C53EB3"/>
    <w:rsid w:val="00C5791C"/>
    <w:rsid w:val="00C66290"/>
    <w:rsid w:val="00C72B7A"/>
    <w:rsid w:val="00C943A8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0F85"/>
    <w:rsid w:val="00DA4973"/>
    <w:rsid w:val="00DA6F36"/>
    <w:rsid w:val="00DB2B55"/>
    <w:rsid w:val="00DB596E"/>
    <w:rsid w:val="00DB7773"/>
    <w:rsid w:val="00DC00EA"/>
    <w:rsid w:val="00DC3802"/>
    <w:rsid w:val="00DD1482"/>
    <w:rsid w:val="00DD6208"/>
    <w:rsid w:val="00DF3CDC"/>
    <w:rsid w:val="00DF7E99"/>
    <w:rsid w:val="00E07D87"/>
    <w:rsid w:val="00E203AE"/>
    <w:rsid w:val="00E249C8"/>
    <w:rsid w:val="00E32F7E"/>
    <w:rsid w:val="00E36F6B"/>
    <w:rsid w:val="00E37783"/>
    <w:rsid w:val="00E5267B"/>
    <w:rsid w:val="00E559F0"/>
    <w:rsid w:val="00E63C0E"/>
    <w:rsid w:val="00E7232A"/>
    <w:rsid w:val="00E72D49"/>
    <w:rsid w:val="00E7593C"/>
    <w:rsid w:val="00E7678A"/>
    <w:rsid w:val="00E77591"/>
    <w:rsid w:val="00E80027"/>
    <w:rsid w:val="00E935F1"/>
    <w:rsid w:val="00E94A81"/>
    <w:rsid w:val="00EA1FFB"/>
    <w:rsid w:val="00EB048E"/>
    <w:rsid w:val="00EB4E9C"/>
    <w:rsid w:val="00EC634B"/>
    <w:rsid w:val="00ED77EF"/>
    <w:rsid w:val="00EE34DF"/>
    <w:rsid w:val="00EF2F89"/>
    <w:rsid w:val="00EF3651"/>
    <w:rsid w:val="00F03E98"/>
    <w:rsid w:val="00F1237A"/>
    <w:rsid w:val="00F22CBD"/>
    <w:rsid w:val="00F272F1"/>
    <w:rsid w:val="00F31412"/>
    <w:rsid w:val="00F401C6"/>
    <w:rsid w:val="00F45372"/>
    <w:rsid w:val="00F560F7"/>
    <w:rsid w:val="00F6334D"/>
    <w:rsid w:val="00F63599"/>
    <w:rsid w:val="00F71781"/>
    <w:rsid w:val="00FA49AB"/>
    <w:rsid w:val="00FC5FD0"/>
    <w:rsid w:val="00FE209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6A2064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847998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847998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FE2092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FE2092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FE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E209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2092"/>
    <w:rPr>
      <w:rFonts w:ascii="Arial" w:hAnsi="Arial"/>
      <w:lang w:val="fr-FR"/>
    </w:rPr>
  </w:style>
  <w:style w:type="character" w:customStyle="1" w:styleId="TitleofdocChar">
    <w:name w:val="Title_of_doc Char"/>
    <w:link w:val="Titleofdoc0"/>
    <w:locked/>
    <w:rsid w:val="002202AE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ov.int/pluto/fr/hel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to.upov.in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470B-D373-4FD7-BD75-DB240776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2002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BERNARD Nadège</cp:lastModifiedBy>
  <cp:revision>9</cp:revision>
  <cp:lastPrinted>2016-11-22T15:41:00Z</cp:lastPrinted>
  <dcterms:created xsi:type="dcterms:W3CDTF">2022-10-06T05:56:00Z</dcterms:created>
  <dcterms:modified xsi:type="dcterms:W3CDTF">2022-10-17T11:17:00Z</dcterms:modified>
</cp:coreProperties>
</file>