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3D0839" w:rsidRPr="00365DC1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C5280D" w:rsidTr="007A4FDD">
        <w:tc>
          <w:tcPr>
            <w:tcW w:w="6512" w:type="dxa"/>
          </w:tcPr>
          <w:p w:rsidR="003D0839" w:rsidRPr="00AC2883" w:rsidRDefault="003D0839" w:rsidP="007A4FDD">
            <w:pPr>
              <w:pStyle w:val="Sessiontc"/>
              <w:spacing w:line="240" w:lineRule="auto"/>
            </w:pPr>
            <w:r>
              <w:t>Comité technique</w:t>
            </w:r>
          </w:p>
          <w:p w:rsidR="003D0839" w:rsidRPr="00DC3802" w:rsidRDefault="003D0839" w:rsidP="007A4FDD">
            <w:pPr>
              <w:pStyle w:val="Sessiontcplacedate"/>
              <w:rPr>
                <w:sz w:val="22"/>
              </w:rPr>
            </w:pPr>
            <w:r>
              <w:t>Cinquante</w:t>
            </w:r>
            <w:r w:rsidR="00852DA0">
              <w:noBreakHyphen/>
            </w:r>
            <w:r>
              <w:t>huit</w:t>
            </w:r>
            <w:r w:rsidR="00E66602">
              <w:t>ième session</w:t>
            </w:r>
            <w:r>
              <w:br/>
              <w:t>Genève, 24 et 2</w:t>
            </w:r>
            <w:r w:rsidR="00E66602">
              <w:t>5 octobre 20</w:t>
            </w:r>
            <w:r>
              <w:t>22</w:t>
            </w:r>
          </w:p>
        </w:tc>
        <w:tc>
          <w:tcPr>
            <w:tcW w:w="3127" w:type="dxa"/>
          </w:tcPr>
          <w:p w:rsidR="003D0839" w:rsidRPr="003C7FBE" w:rsidRDefault="003D0839" w:rsidP="007A4FDD">
            <w:pPr>
              <w:pStyle w:val="Doccode"/>
            </w:pPr>
            <w:r>
              <w:t>TC/58/14</w:t>
            </w:r>
          </w:p>
          <w:p w:rsidR="003D0839" w:rsidRPr="003C7FBE" w:rsidRDefault="003D0839" w:rsidP="007A4FDD">
            <w:pPr>
              <w:pStyle w:val="Docoriginal"/>
            </w:pPr>
            <w:r>
              <w:t>Original</w:t>
            </w:r>
            <w:r w:rsidR="00E66602">
              <w:t> :</w:t>
            </w:r>
            <w:r>
              <w:rPr>
                <w:b w:val="0"/>
              </w:rPr>
              <w:t xml:space="preserve"> anglais</w:t>
            </w:r>
          </w:p>
          <w:p w:rsidR="003D0839" w:rsidRPr="007C1D92" w:rsidRDefault="003D0839" w:rsidP="009A294A">
            <w:pPr>
              <w:pStyle w:val="Docoriginal"/>
            </w:pPr>
            <w:r>
              <w:t>Date</w:t>
            </w:r>
            <w:r w:rsidR="00E66602">
              <w:t> :</w:t>
            </w:r>
            <w:r w:rsidR="00E66602">
              <w:rPr>
                <w:b w:val="0"/>
              </w:rPr>
              <w:t xml:space="preserve"> 6 octobre 20</w:t>
            </w:r>
            <w:r>
              <w:rPr>
                <w:b w:val="0"/>
              </w:rPr>
              <w:t>22</w:t>
            </w:r>
          </w:p>
        </w:tc>
      </w:tr>
    </w:tbl>
    <w:p w:rsidR="003D0839" w:rsidRPr="006A644A" w:rsidRDefault="00363EE5" w:rsidP="003D0839">
      <w:pPr>
        <w:pStyle w:val="Titleofdoc0"/>
      </w:pPr>
      <w:r>
        <w:t>Ateliers préparatoires</w:t>
      </w:r>
    </w:p>
    <w:p w:rsidR="003D0839" w:rsidRPr="006A644A" w:rsidRDefault="003D0839" w:rsidP="003D0839">
      <w:pPr>
        <w:pStyle w:val="preparedby1"/>
        <w:jc w:val="left"/>
      </w:pPr>
      <w:r>
        <w:t>Document établi par le Bureau de l</w:t>
      </w:r>
      <w:r w:rsidR="00E66602">
        <w:t>’</w:t>
      </w:r>
      <w:r>
        <w:t>Union</w:t>
      </w:r>
    </w:p>
    <w:p w:rsidR="003D0839" w:rsidRPr="006A644A" w:rsidRDefault="003D0839" w:rsidP="003D0839">
      <w:pPr>
        <w:pStyle w:val="Disclaimer"/>
      </w:pPr>
      <w:r>
        <w:t>Avertissement</w:t>
      </w:r>
      <w:r w:rsidR="00E66602">
        <w:t> :</w:t>
      </w:r>
      <w:r>
        <w:t xml:space="preserve"> Le présent document ne représente pas les principes ou les orientations de l</w:t>
      </w:r>
      <w:r w:rsidR="00E66602">
        <w:t>’</w:t>
      </w:r>
      <w:r>
        <w:t>UPOV</w:t>
      </w:r>
    </w:p>
    <w:p w:rsidR="00FA16C0" w:rsidRPr="00FA16C0" w:rsidRDefault="00FA16C0" w:rsidP="00FA16C0">
      <w:pPr>
        <w:keepNext/>
        <w:outlineLvl w:val="0"/>
        <w:rPr>
          <w:caps/>
        </w:rPr>
      </w:pPr>
      <w:bookmarkStart w:id="1" w:name="_Toc475955714"/>
      <w:bookmarkStart w:id="2" w:name="_Toc117001243"/>
      <w:r>
        <w:rPr>
          <w:caps/>
        </w:rPr>
        <w:t>R</w:t>
      </w:r>
      <w:r w:rsidR="00852DA0">
        <w:rPr>
          <w:caps/>
        </w:rPr>
        <w:t>ésumé</w:t>
      </w:r>
      <w:bookmarkEnd w:id="1"/>
      <w:bookmarkEnd w:id="2"/>
    </w:p>
    <w:p w:rsidR="00FA16C0" w:rsidRPr="00FA16C0" w:rsidRDefault="00FA16C0" w:rsidP="00FA16C0">
      <w:pPr>
        <w:autoSpaceDE w:val="0"/>
        <w:autoSpaceDN w:val="0"/>
        <w:adjustRightInd w:val="0"/>
        <w:rPr>
          <w:rFonts w:cs="Arial"/>
        </w:rPr>
      </w:pPr>
    </w:p>
    <w:p w:rsidR="00FA16C0" w:rsidRPr="00FA16C0" w:rsidRDefault="00FA16C0" w:rsidP="00FA16C0">
      <w:pPr>
        <w:rPr>
          <w:rFonts w:cs="Arial"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 xml:space="preserve">Le présent document a pour objet de rendre compte des ateliers préparatoires tenus </w:t>
      </w:r>
      <w:r w:rsidR="00E66602">
        <w:t>en 2022</w:t>
      </w:r>
      <w:r>
        <w:t xml:space="preserve"> et de présenter les propositions </w:t>
      </w:r>
      <w:r w:rsidR="00E66602">
        <w:t>pour 2023</w:t>
      </w:r>
      <w:r>
        <w:t>.</w:t>
      </w:r>
    </w:p>
    <w:p w:rsidR="00FA16C0" w:rsidRPr="00FA16C0" w:rsidRDefault="00FA16C0" w:rsidP="00FA16C0">
      <w:pPr>
        <w:tabs>
          <w:tab w:val="left" w:pos="567"/>
          <w:tab w:val="left" w:pos="1134"/>
        </w:tabs>
        <w:autoSpaceDE w:val="0"/>
        <w:autoSpaceDN w:val="0"/>
        <w:adjustRightInd w:val="0"/>
        <w:rPr>
          <w:rFonts w:cs="Arial"/>
        </w:rPr>
      </w:pPr>
    </w:p>
    <w:p w:rsidR="00FA16C0" w:rsidRPr="00FA16C0" w:rsidRDefault="00FA16C0" w:rsidP="00FA16C0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>Le</w:t>
      </w:r>
      <w:r w:rsidR="00E66602">
        <w:t> TC</w:t>
      </w:r>
      <w:r>
        <w:t xml:space="preserve"> est invité à </w:t>
      </w:r>
      <w:r>
        <w:rPr>
          <w:snapToGrid w:val="0"/>
        </w:rPr>
        <w:t>examiner s</w:t>
      </w:r>
      <w:r w:rsidR="00E66602">
        <w:rPr>
          <w:snapToGrid w:val="0"/>
        </w:rPr>
        <w:t>’</w:t>
      </w:r>
      <w:r>
        <w:rPr>
          <w:snapToGrid w:val="0"/>
        </w:rPr>
        <w:t>il convient d</w:t>
      </w:r>
      <w:r w:rsidR="00E66602">
        <w:rPr>
          <w:snapToGrid w:val="0"/>
        </w:rPr>
        <w:t>’</w:t>
      </w:r>
      <w:r>
        <w:rPr>
          <w:snapToGrid w:val="0"/>
        </w:rPr>
        <w:t>organiser des ateliers préparatoires sous la forme d</w:t>
      </w:r>
      <w:r w:rsidR="00E66602">
        <w:rPr>
          <w:snapToGrid w:val="0"/>
        </w:rPr>
        <w:t>’</w:t>
      </w:r>
      <w:r>
        <w:rPr>
          <w:snapToGrid w:val="0"/>
        </w:rPr>
        <w:t>une série de webinaires, qui se tiendraient à des dates fixées en fonction du calendrier des sessions</w:t>
      </w:r>
      <w:r w:rsidR="00E66602">
        <w:rPr>
          <w:snapToGrid w:val="0"/>
        </w:rPr>
        <w:t xml:space="preserve"> des TWP</w:t>
      </w:r>
      <w:r>
        <w:rPr>
          <w:snapToGrid w:val="0"/>
        </w:rPr>
        <w:t xml:space="preserve"> </w:t>
      </w:r>
      <w:r w:rsidR="00E66602">
        <w:rPr>
          <w:snapToGrid w:val="0"/>
        </w:rPr>
        <w:t>en 2023</w:t>
      </w:r>
      <w:r>
        <w:rPr>
          <w:snapToGrid w:val="0"/>
        </w:rPr>
        <w:t xml:space="preserve"> et seraient, le cas échéant, accompagnés d</w:t>
      </w:r>
      <w:r w:rsidR="00E66602">
        <w:rPr>
          <w:snapToGrid w:val="0"/>
        </w:rPr>
        <w:t>’</w:t>
      </w:r>
      <w:r>
        <w:rPr>
          <w:snapToGrid w:val="0"/>
        </w:rPr>
        <w:t xml:space="preserve">ateliers en présentiel, comme indiqué aux </w:t>
      </w:r>
      <w:r w:rsidR="00E66602">
        <w:rPr>
          <w:snapToGrid w:val="0"/>
        </w:rPr>
        <w:t>paragraphes 1</w:t>
      </w:r>
      <w:r>
        <w:rPr>
          <w:snapToGrid w:val="0"/>
        </w:rPr>
        <w:t>5 à 18 du présent document.</w:t>
      </w:r>
    </w:p>
    <w:p w:rsidR="00FA16C0" w:rsidRPr="00FA16C0" w:rsidRDefault="00FA16C0" w:rsidP="00FA16C0">
      <w:pPr>
        <w:tabs>
          <w:tab w:val="left" w:pos="567"/>
          <w:tab w:val="left" w:pos="1134"/>
          <w:tab w:val="num" w:pos="5387"/>
          <w:tab w:val="left" w:pos="5954"/>
        </w:tabs>
        <w:ind w:left="567"/>
        <w:rPr>
          <w:rFonts w:cs="Arial"/>
        </w:rPr>
      </w:pPr>
    </w:p>
    <w:p w:rsidR="00FA16C0" w:rsidRPr="00FA16C0" w:rsidRDefault="00FA16C0" w:rsidP="00FA16C0">
      <w:pPr>
        <w:rPr>
          <w:rFonts w:cs="Arial"/>
          <w:color w:val="000000"/>
        </w:rPr>
      </w:pPr>
      <w:r w:rsidRPr="00FA16C0">
        <w:rPr>
          <w:rFonts w:cs="Arial"/>
          <w:color w:val="000000"/>
        </w:rPr>
        <w:fldChar w:fldCharType="begin"/>
      </w:r>
      <w:r w:rsidRPr="00FA16C0">
        <w:rPr>
          <w:rFonts w:cs="Arial"/>
          <w:color w:val="000000"/>
        </w:rPr>
        <w:instrText xml:space="preserve"> AUTONUM  </w:instrText>
      </w:r>
      <w:r w:rsidRPr="00FA16C0">
        <w:rPr>
          <w:rFonts w:cs="Arial"/>
          <w:color w:val="000000"/>
        </w:rPr>
        <w:fldChar w:fldCharType="end"/>
      </w:r>
      <w:r>
        <w:tab/>
        <w:t>Les abréviations suivantes sont utilisées dans le présent document</w:t>
      </w:r>
      <w:r w:rsidR="00E66602">
        <w:t> :</w:t>
      </w:r>
    </w:p>
    <w:p w:rsidR="00FA16C0" w:rsidRPr="00FA16C0" w:rsidRDefault="00FA16C0" w:rsidP="00FA16C0">
      <w:pPr>
        <w:rPr>
          <w:rFonts w:cs="Arial"/>
          <w:color w:val="000000"/>
        </w:rPr>
      </w:pPr>
    </w:p>
    <w:p w:rsidR="00FA16C0" w:rsidRPr="00FA16C0" w:rsidRDefault="00FA16C0" w:rsidP="00FA16C0">
      <w:pPr>
        <w:tabs>
          <w:tab w:val="left" w:pos="567"/>
        </w:tabs>
        <w:ind w:left="1418" w:hanging="851"/>
        <w:rPr>
          <w:rFonts w:cs="Arial"/>
          <w:color w:val="000000"/>
        </w:rPr>
      </w:pPr>
      <w:r>
        <w:rPr>
          <w:color w:val="000000"/>
        </w:rPr>
        <w:t>TC</w:t>
      </w:r>
      <w:r w:rsidR="00E66602">
        <w:rPr>
          <w:color w:val="000000"/>
        </w:rPr>
        <w:t> :</w:t>
      </w:r>
      <w:r>
        <w:rPr>
          <w:color w:val="000000"/>
        </w:rPr>
        <w:tab/>
        <w:t>Comité technique</w:t>
      </w:r>
    </w:p>
    <w:p w:rsidR="00FA16C0" w:rsidRPr="00FA16C0" w:rsidRDefault="00FA16C0" w:rsidP="00FA16C0">
      <w:pPr>
        <w:tabs>
          <w:tab w:val="left" w:pos="567"/>
        </w:tabs>
        <w:ind w:left="1418" w:hanging="851"/>
        <w:rPr>
          <w:rFonts w:cs="Arial"/>
          <w:color w:val="000000"/>
        </w:rPr>
      </w:pPr>
      <w:r>
        <w:rPr>
          <w:color w:val="000000"/>
        </w:rPr>
        <w:t>TWA</w:t>
      </w:r>
      <w:r w:rsidR="00E66602">
        <w:rPr>
          <w:color w:val="000000"/>
        </w:rPr>
        <w:t> :</w:t>
      </w:r>
      <w:r>
        <w:rPr>
          <w:color w:val="000000"/>
        </w:rPr>
        <w:tab/>
        <w:t>Groupe de travail technique sur les plantes agricoles</w:t>
      </w:r>
    </w:p>
    <w:p w:rsidR="00FA16C0" w:rsidRPr="00FA16C0" w:rsidRDefault="00E66602" w:rsidP="00FA16C0">
      <w:pPr>
        <w:ind w:left="1418" w:hanging="851"/>
        <w:rPr>
          <w:rFonts w:cs="Arial"/>
          <w:color w:val="000000"/>
        </w:rPr>
      </w:pPr>
      <w:r>
        <w:rPr>
          <w:color w:val="000000"/>
        </w:rPr>
        <w:t>TWF :</w:t>
      </w:r>
      <w:r w:rsidR="00FA16C0">
        <w:rPr>
          <w:color w:val="000000"/>
        </w:rPr>
        <w:tab/>
        <w:t>Groupe de travail technique sur les plantes fruitières</w:t>
      </w:r>
    </w:p>
    <w:p w:rsidR="00FA16C0" w:rsidRPr="00FA16C0" w:rsidRDefault="00FA16C0" w:rsidP="00FA16C0">
      <w:pPr>
        <w:ind w:left="1418" w:hanging="851"/>
        <w:rPr>
          <w:rFonts w:cs="Arial"/>
          <w:color w:val="000000"/>
        </w:rPr>
      </w:pPr>
      <w:r>
        <w:rPr>
          <w:color w:val="000000"/>
        </w:rPr>
        <w:t>TWM</w:t>
      </w:r>
      <w:r w:rsidR="00E66602">
        <w:rPr>
          <w:color w:val="000000"/>
        </w:rPr>
        <w:t> :</w:t>
      </w:r>
      <w:r>
        <w:rPr>
          <w:color w:val="000000"/>
        </w:rPr>
        <w:tab/>
      </w:r>
      <w:r>
        <w:t>Groupe de travail technique sur les méthodes et techniques d</w:t>
      </w:r>
      <w:r w:rsidR="00E66602">
        <w:t>’</w:t>
      </w:r>
      <w:r>
        <w:t>essai</w:t>
      </w:r>
    </w:p>
    <w:p w:rsidR="00FA16C0" w:rsidRPr="00FA16C0" w:rsidRDefault="00FA16C0" w:rsidP="00FA16C0">
      <w:pPr>
        <w:ind w:left="1418" w:hanging="851"/>
        <w:rPr>
          <w:rFonts w:cs="Arial"/>
          <w:color w:val="000000"/>
        </w:rPr>
      </w:pPr>
      <w:r>
        <w:rPr>
          <w:color w:val="000000"/>
        </w:rPr>
        <w:t>TWO</w:t>
      </w:r>
      <w:r w:rsidR="00E66602">
        <w:rPr>
          <w:color w:val="000000"/>
        </w:rPr>
        <w:t> :</w:t>
      </w:r>
      <w:r>
        <w:rPr>
          <w:color w:val="000000"/>
        </w:rPr>
        <w:tab/>
        <w:t>Groupe de travail technique sur les plantes ornementales et les arbres forestiers</w:t>
      </w:r>
    </w:p>
    <w:p w:rsidR="00FA16C0" w:rsidRPr="00FA16C0" w:rsidRDefault="00FA16C0" w:rsidP="00FA16C0">
      <w:pPr>
        <w:tabs>
          <w:tab w:val="left" w:pos="567"/>
        </w:tabs>
        <w:ind w:left="1418" w:hanging="851"/>
        <w:rPr>
          <w:rFonts w:cs="Arial"/>
          <w:color w:val="000000"/>
        </w:rPr>
      </w:pPr>
      <w:r>
        <w:rPr>
          <w:color w:val="000000"/>
        </w:rPr>
        <w:t>TWP</w:t>
      </w:r>
      <w:r w:rsidR="00E66602">
        <w:rPr>
          <w:color w:val="000000"/>
        </w:rPr>
        <w:t> :</w:t>
      </w:r>
      <w:r>
        <w:rPr>
          <w:color w:val="000000"/>
        </w:rPr>
        <w:tab/>
        <w:t>Groupe(s) de travail technique(s)</w:t>
      </w:r>
    </w:p>
    <w:p w:rsidR="00FA16C0" w:rsidRPr="00FA16C0" w:rsidRDefault="00FA16C0" w:rsidP="00FA16C0">
      <w:pPr>
        <w:ind w:left="1418" w:hanging="851"/>
        <w:rPr>
          <w:rFonts w:cs="Arial"/>
          <w:color w:val="000000"/>
        </w:rPr>
      </w:pPr>
      <w:r>
        <w:rPr>
          <w:color w:val="000000"/>
        </w:rPr>
        <w:t>TWV</w:t>
      </w:r>
      <w:r w:rsidR="00E66602">
        <w:rPr>
          <w:color w:val="000000"/>
        </w:rPr>
        <w:t> :</w:t>
      </w:r>
      <w:r>
        <w:rPr>
          <w:color w:val="000000"/>
        </w:rPr>
        <w:tab/>
        <w:t>Groupe de travail technique sur les plantes potagères</w:t>
      </w:r>
    </w:p>
    <w:p w:rsidR="00FA16C0" w:rsidRPr="00FA16C0" w:rsidRDefault="00FA16C0" w:rsidP="00FA16C0">
      <w:pPr>
        <w:autoSpaceDE w:val="0"/>
        <w:autoSpaceDN w:val="0"/>
        <w:adjustRightInd w:val="0"/>
        <w:rPr>
          <w:rFonts w:cs="Arial"/>
          <w:snapToGrid w:val="0"/>
        </w:rPr>
      </w:pPr>
    </w:p>
    <w:p w:rsidR="00FA16C0" w:rsidRPr="00FA16C0" w:rsidRDefault="00FA16C0" w:rsidP="00FA16C0">
      <w:pPr>
        <w:autoSpaceDE w:val="0"/>
        <w:autoSpaceDN w:val="0"/>
        <w:adjustRightInd w:val="0"/>
        <w:rPr>
          <w:rFonts w:cs="Arial"/>
          <w:snapToGrid w:val="0"/>
        </w:rPr>
      </w:pPr>
      <w:r w:rsidRPr="00FA16C0">
        <w:rPr>
          <w:rFonts w:cs="Arial"/>
          <w:snapToGrid w:val="0"/>
        </w:rPr>
        <w:fldChar w:fldCharType="begin"/>
      </w:r>
      <w:r w:rsidRPr="00FA16C0">
        <w:rPr>
          <w:rFonts w:cs="Arial"/>
          <w:snapToGrid w:val="0"/>
        </w:rPr>
        <w:instrText xml:space="preserve"> AUTONUM  </w:instrText>
      </w:r>
      <w:r w:rsidRPr="00FA16C0">
        <w:rPr>
          <w:rFonts w:cs="Arial"/>
          <w:snapToGrid w:val="0"/>
        </w:rPr>
        <w:fldChar w:fldCharType="end"/>
      </w:r>
      <w:r>
        <w:rPr>
          <w:snapToGrid w:val="0"/>
        </w:rPr>
        <w:tab/>
        <w:t>Le présent document est structuré comme suit</w:t>
      </w:r>
      <w:r w:rsidR="00E66602">
        <w:rPr>
          <w:snapToGrid w:val="0"/>
        </w:rPr>
        <w:t> :</w:t>
      </w:r>
    </w:p>
    <w:p w:rsidR="00FA16C0" w:rsidRPr="00FA16C0" w:rsidRDefault="00FA16C0" w:rsidP="00FA16C0">
      <w:pPr>
        <w:autoSpaceDE w:val="0"/>
        <w:autoSpaceDN w:val="0"/>
        <w:adjustRightInd w:val="0"/>
        <w:rPr>
          <w:rFonts w:cs="Arial"/>
          <w:snapToGrid w:val="0"/>
          <w:lang w:eastAsia="ja-JP"/>
        </w:rPr>
      </w:pPr>
    </w:p>
    <w:p w:rsidR="00852DA0" w:rsidRDefault="00FA16C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TOC \o "1-3" \h \z \u </w:instrText>
      </w:r>
      <w:r w:rsidRPr="00FA16C0">
        <w:rPr>
          <w:snapToGrid w:val="0"/>
        </w:rPr>
        <w:fldChar w:fldCharType="separate"/>
      </w:r>
      <w:hyperlink w:anchor="_Toc117001243" w:history="1">
        <w:r w:rsidR="00852DA0" w:rsidRPr="0080251A">
          <w:rPr>
            <w:rStyle w:val="Hyperlink"/>
            <w:noProof/>
          </w:rPr>
          <w:t>Résumé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_Toc117001243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1</w:t>
        </w:r>
        <w:r w:rsidR="00852DA0">
          <w:rPr>
            <w:noProof/>
            <w:webHidden/>
          </w:rPr>
          <w:fldChar w:fldCharType="end"/>
        </w:r>
      </w:hyperlink>
    </w:p>
    <w:p w:rsidR="00852DA0" w:rsidRDefault="001719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117001244" w:history="1">
        <w:r w:rsidR="00852DA0" w:rsidRPr="0080251A">
          <w:rPr>
            <w:rStyle w:val="Hyperlink"/>
            <w:noProof/>
          </w:rPr>
          <w:t>Rappel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_Toc117001244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1</w:t>
        </w:r>
        <w:r w:rsidR="00852DA0">
          <w:rPr>
            <w:noProof/>
            <w:webHidden/>
          </w:rPr>
          <w:fldChar w:fldCharType="end"/>
        </w:r>
      </w:hyperlink>
    </w:p>
    <w:p w:rsidR="00852DA0" w:rsidRDefault="001719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117001245" w:history="1">
        <w:r w:rsidR="00852DA0" w:rsidRPr="0080251A">
          <w:rPr>
            <w:rStyle w:val="Hyperlink"/>
            <w:noProof/>
          </w:rPr>
          <w:t>Rapport sur les ateliers préparatoires tenus en 2022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_Toc117001245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2</w:t>
        </w:r>
        <w:r w:rsidR="00852DA0">
          <w:rPr>
            <w:noProof/>
            <w:webHidden/>
          </w:rPr>
          <w:fldChar w:fldCharType="end"/>
        </w:r>
      </w:hyperlink>
    </w:p>
    <w:p w:rsidR="00852DA0" w:rsidRDefault="001719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117001246" w:history="1">
        <w:r w:rsidR="00852DA0" w:rsidRPr="0080251A">
          <w:rPr>
            <w:rStyle w:val="Hyperlink"/>
            <w:noProof/>
          </w:rPr>
          <w:t>Programme et modalités d’organisation des travaux préparatoires en 2023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_Toc117001246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3</w:t>
        </w:r>
        <w:r w:rsidR="00852DA0">
          <w:rPr>
            <w:noProof/>
            <w:webHidden/>
          </w:rPr>
          <w:fldChar w:fldCharType="end"/>
        </w:r>
      </w:hyperlink>
    </w:p>
    <w:p w:rsidR="00852DA0" w:rsidRDefault="001719C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17001247" w:history="1">
        <w:r w:rsidR="00852DA0" w:rsidRPr="0080251A">
          <w:rPr>
            <w:rStyle w:val="Hyperlink"/>
            <w:noProof/>
          </w:rPr>
          <w:t>Proposition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_Toc117001247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3</w:t>
        </w:r>
        <w:r w:rsidR="00852DA0">
          <w:rPr>
            <w:noProof/>
            <w:webHidden/>
          </w:rPr>
          <w:fldChar w:fldCharType="end"/>
        </w:r>
      </w:hyperlink>
    </w:p>
    <w:p w:rsidR="00852DA0" w:rsidRDefault="001719CE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en-US"/>
        </w:rPr>
      </w:pPr>
      <w:hyperlink w:anchor="_Toc117001248" w:history="1">
        <w:r w:rsidR="00852DA0" w:rsidRPr="0080251A">
          <w:rPr>
            <w:rStyle w:val="Hyperlink"/>
            <w:noProof/>
          </w:rPr>
          <w:t>Programme des Webinaires préparatoires de 2022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_Toc117001248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1</w:t>
        </w:r>
        <w:r w:rsidR="00852DA0">
          <w:rPr>
            <w:noProof/>
            <w:webHidden/>
          </w:rPr>
          <w:fldChar w:fldCharType="end"/>
        </w:r>
      </w:hyperlink>
    </w:p>
    <w:p w:rsidR="00852DA0" w:rsidRDefault="001719CE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117001249" w:history="1">
        <w:r w:rsidR="00852DA0" w:rsidRPr="0080251A">
          <w:rPr>
            <w:rStyle w:val="Hyperlink"/>
            <w:noProof/>
          </w:rPr>
          <w:t>Exposés liminaires</w:t>
        </w:r>
        <w:r w:rsidR="00852DA0">
          <w:rPr>
            <w:noProof/>
            <w:webHidden/>
          </w:rPr>
          <w:tab/>
        </w:r>
        <w:r w:rsidR="00852DA0">
          <w:rPr>
            <w:noProof/>
            <w:webHidden/>
          </w:rPr>
          <w:fldChar w:fldCharType="begin"/>
        </w:r>
        <w:r w:rsidR="00852DA0">
          <w:rPr>
            <w:noProof/>
            <w:webHidden/>
          </w:rPr>
          <w:instrText xml:space="preserve"> PAGEREF _Toc117001249 \h </w:instrText>
        </w:r>
        <w:r w:rsidR="00852DA0">
          <w:rPr>
            <w:noProof/>
            <w:webHidden/>
          </w:rPr>
        </w:r>
        <w:r w:rsidR="00852DA0">
          <w:rPr>
            <w:noProof/>
            <w:webHidden/>
          </w:rPr>
          <w:fldChar w:fldCharType="separate"/>
        </w:r>
        <w:r w:rsidR="00852DA0">
          <w:rPr>
            <w:noProof/>
            <w:webHidden/>
          </w:rPr>
          <w:t>1</w:t>
        </w:r>
        <w:r w:rsidR="00852DA0">
          <w:rPr>
            <w:noProof/>
            <w:webHidden/>
          </w:rPr>
          <w:fldChar w:fldCharType="end"/>
        </w:r>
      </w:hyperlink>
    </w:p>
    <w:p w:rsidR="00FA16C0" w:rsidRPr="00FA16C0" w:rsidRDefault="00FA16C0" w:rsidP="00FA16C0">
      <w:pPr>
        <w:rPr>
          <w:rFonts w:cs="Arial"/>
          <w:snapToGrid w:val="0"/>
        </w:rPr>
      </w:pPr>
      <w:r w:rsidRPr="00FA16C0">
        <w:rPr>
          <w:rFonts w:cs="Arial"/>
          <w:snapToGrid w:val="0"/>
        </w:rPr>
        <w:fldChar w:fldCharType="end"/>
      </w:r>
      <w:r>
        <w:rPr>
          <w:snapToGrid w:val="0"/>
        </w:rPr>
        <w:t>Annexe</w:t>
      </w:r>
      <w:r w:rsidR="00E66602">
        <w:rPr>
          <w:snapToGrid w:val="0"/>
        </w:rPr>
        <w:t> :</w:t>
      </w:r>
      <w:r>
        <w:rPr>
          <w:snapToGrid w:val="0"/>
        </w:rPr>
        <w:t xml:space="preserve"> Programme des webinaires préparatoires </w:t>
      </w:r>
      <w:r w:rsidR="00E66602">
        <w:rPr>
          <w:snapToGrid w:val="0"/>
        </w:rPr>
        <w:t>de 2022</w:t>
      </w:r>
    </w:p>
    <w:p w:rsidR="00FA16C0" w:rsidRPr="00FA16C0" w:rsidRDefault="00FA16C0" w:rsidP="00FA16C0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860BF" wp14:editId="5EFF5DC0">
                <wp:simplePos x="0" y="0"/>
                <wp:positionH relativeFrom="column">
                  <wp:posOffset>-694690</wp:posOffset>
                </wp:positionH>
                <wp:positionV relativeFrom="paragraph">
                  <wp:posOffset>155575</wp:posOffset>
                </wp:positionV>
                <wp:extent cx="317500" cy="63500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A16C0" w:rsidRDefault="00FA16C0" w:rsidP="00FA16C0">
                            <w:pPr>
                              <w:jc w:val="right"/>
                              <w:rPr>
                                <w:rFonts w:cs="Arial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./.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860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4.7pt;margin-top:12.25pt;width:25pt;height: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" fillcolor="black" strokeweight=".5pt">
                <v:fill opacity="0"/>
                <v:stroke opacity="0" joinstyle="round"/>
                <v:textbox inset="0,0,0,0">
                  <w:txbxContent>
                    <w:p w:rsidR="00FA16C0" w:rsidRDefault="00FA16C0" w:rsidP="00FA16C0">
                      <w:pPr>
                        <w:jc w:val="right"/>
                        <w:rPr>
                          <w:rFonts w:cs="Arial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./. </w:t>
                      </w:r>
                    </w:p>
                  </w:txbxContent>
                </v:textbox>
              </v:shape>
            </w:pict>
          </mc:Fallback>
        </mc:AlternateContent>
      </w:r>
    </w:p>
    <w:p w:rsidR="00FA16C0" w:rsidRPr="00FA16C0" w:rsidRDefault="00FA16C0" w:rsidP="00FA16C0">
      <w:pPr>
        <w:keepNext/>
        <w:keepLines/>
        <w:outlineLvl w:val="0"/>
        <w:rPr>
          <w:caps/>
        </w:rPr>
      </w:pPr>
      <w:bookmarkStart w:id="3" w:name="_Toc117001244"/>
      <w:r>
        <w:rPr>
          <w:caps/>
        </w:rPr>
        <w:t>R</w:t>
      </w:r>
      <w:r w:rsidR="00852DA0">
        <w:rPr>
          <w:caps/>
        </w:rPr>
        <w:t>appel</w:t>
      </w:r>
      <w:bookmarkEnd w:id="3"/>
    </w:p>
    <w:p w:rsidR="00FA16C0" w:rsidRPr="00FA16C0" w:rsidRDefault="00FA16C0" w:rsidP="00FA16C0">
      <w:pPr>
        <w:keepNext/>
        <w:keepLines/>
      </w:pPr>
    </w:p>
    <w:p w:rsidR="00FA16C0" w:rsidRPr="00FA16C0" w:rsidRDefault="00FA16C0" w:rsidP="00FA16C0">
      <w:pPr>
        <w:keepLines/>
        <w:autoSpaceDE w:val="0"/>
        <w:autoSpaceDN w:val="0"/>
        <w:adjustRightInd w:val="0"/>
        <w:rPr>
          <w:rFonts w:cs="Arial"/>
          <w:snapToGrid w:val="0"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>À sa trente</w:t>
      </w:r>
      <w:r w:rsidR="00852DA0">
        <w:noBreakHyphen/>
      </w:r>
      <w:r>
        <w:t>huit</w:t>
      </w:r>
      <w:r w:rsidR="00E66602">
        <w:t>ième session</w:t>
      </w:r>
      <w:r w:rsidRPr="00FA16C0">
        <w:rPr>
          <w:rFonts w:cs="Arial"/>
          <w:vertAlign w:val="superscript"/>
        </w:rPr>
        <w:footnoteReference w:id="2"/>
      </w:r>
      <w:r>
        <w:t>, le</w:t>
      </w:r>
      <w:r w:rsidR="00E66602">
        <w:t> TC</w:t>
      </w:r>
      <w:r>
        <w:t xml:space="preserve"> a décidé, sur la base du </w:t>
      </w:r>
      <w:r w:rsidR="00E66602">
        <w:t>document TC</w:t>
      </w:r>
      <w:r>
        <w:t>/38/12, de la tenue d</w:t>
      </w:r>
      <w:r w:rsidR="00E66602">
        <w:t>’</w:t>
      </w:r>
      <w:r>
        <w:t>un atelier préparatoire avant chaque réunion d</w:t>
      </w:r>
      <w:r w:rsidR="00E66602">
        <w:t>’</w:t>
      </w:r>
      <w:r>
        <w:t>un groupe de travail technique (TWP), afin d</w:t>
      </w:r>
      <w:r w:rsidR="00E66602">
        <w:t>’</w:t>
      </w:r>
      <w:r>
        <w:t xml:space="preserve">aider certains des délégués à participer plus activement à la réunion (voir les </w:t>
      </w:r>
      <w:r w:rsidR="00E66602">
        <w:t>paragraphes 2</w:t>
      </w:r>
      <w:r>
        <w:t xml:space="preserve">15 à 218 du </w:t>
      </w:r>
      <w:r w:rsidR="00E66602">
        <w:t>document TC</w:t>
      </w:r>
      <w:r>
        <w:t>/38/16 “Compte rendu”).</w:t>
      </w:r>
    </w:p>
    <w:p w:rsidR="00FA16C0" w:rsidRPr="00FA16C0" w:rsidRDefault="00FA16C0" w:rsidP="00FA16C0"/>
    <w:p w:rsidR="00FA16C0" w:rsidRPr="00FA16C0" w:rsidRDefault="00FA16C0" w:rsidP="00FA16C0">
      <w:r w:rsidRPr="00FA16C0">
        <w:fldChar w:fldCharType="begin"/>
      </w:r>
      <w:r w:rsidRPr="00FA16C0">
        <w:instrText xml:space="preserve"> AUTONUM  </w:instrText>
      </w:r>
      <w:r w:rsidRPr="00FA16C0">
        <w:fldChar w:fldCharType="end"/>
      </w:r>
      <w:r>
        <w:tab/>
        <w:t>À sa cinquante</w:t>
      </w:r>
      <w:r w:rsidR="00852DA0">
        <w:noBreakHyphen/>
      </w:r>
      <w:r>
        <w:t>cinqu</w:t>
      </w:r>
      <w:r w:rsidR="00E66602">
        <w:t>ième session</w:t>
      </w:r>
      <w:r w:rsidRPr="00FA16C0">
        <w:rPr>
          <w:vertAlign w:val="superscript"/>
        </w:rPr>
        <w:footnoteReference w:id="3"/>
      </w:r>
      <w:r>
        <w:t>, le</w:t>
      </w:r>
      <w:r w:rsidR="00E66602">
        <w:t> TC</w:t>
      </w:r>
      <w:r>
        <w:t xml:space="preserve"> a rappelé que les ateliers préparatoires étaient une occasion de former les participants locaux et est convenu que les hôtes</w:t>
      </w:r>
      <w:r w:rsidR="00E66602">
        <w:t xml:space="preserve"> des TWP</w:t>
      </w:r>
      <w:r>
        <w:t xml:space="preserve"> devaient avoir la possibilité de décider </w:t>
      </w:r>
      <w:r>
        <w:lastRenderedPageBreak/>
        <w:t>d</w:t>
      </w:r>
      <w:r w:rsidR="00E66602">
        <w:t>’</w:t>
      </w:r>
      <w:r>
        <w:t>organiser ou non un atelier préparatoire avant la session</w:t>
      </w:r>
      <w:r w:rsidR="00E66602">
        <w:t xml:space="preserve"> des TWP</w:t>
      </w:r>
      <w:r>
        <w:t xml:space="preserve"> (voir les </w:t>
      </w:r>
      <w:r w:rsidR="00E66602">
        <w:t>paragraphes 2</w:t>
      </w:r>
      <w:r>
        <w:t xml:space="preserve">26 et 227 du </w:t>
      </w:r>
      <w:r w:rsidR="00E66602">
        <w:t>document TC</w:t>
      </w:r>
      <w:r>
        <w:t>/55/25 “Compte rendu”).</w:t>
      </w:r>
    </w:p>
    <w:p w:rsidR="00FA16C0" w:rsidRPr="00FA16C0" w:rsidRDefault="00FA16C0" w:rsidP="00FA16C0"/>
    <w:p w:rsidR="00FA16C0" w:rsidRPr="00FA16C0" w:rsidRDefault="00FA16C0" w:rsidP="00FA16C0">
      <w:r w:rsidRPr="00FA16C0">
        <w:fldChar w:fldCharType="begin"/>
      </w:r>
      <w:r w:rsidRPr="00FA16C0">
        <w:instrText xml:space="preserve"> AUTONUM  </w:instrText>
      </w:r>
      <w:r w:rsidRPr="00FA16C0">
        <w:fldChar w:fldCharType="end"/>
      </w:r>
      <w:r>
        <w:tab/>
        <w:t>À sa cinquante</w:t>
      </w:r>
      <w:r w:rsidR="00852DA0">
        <w:noBreakHyphen/>
      </w:r>
      <w:r>
        <w:t>cinqu</w:t>
      </w:r>
      <w:r w:rsidR="00E66602">
        <w:t>ième session</w:t>
      </w:r>
      <w:r>
        <w:t>, le</w:t>
      </w:r>
      <w:r w:rsidR="00E66602">
        <w:t> TC</w:t>
      </w:r>
      <w:r>
        <w:t xml:space="preserve"> est convenu que</w:t>
      </w:r>
      <w:r w:rsidR="00E66602">
        <w:t xml:space="preserve"> les TWP</w:t>
      </w:r>
      <w:r>
        <w:t xml:space="preserve"> devaient être invités à examiner l</w:t>
      </w:r>
      <w:r w:rsidR="00E66602">
        <w:t>’</w:t>
      </w:r>
      <w:r>
        <w:t>organisation éventuelle d</w:t>
      </w:r>
      <w:r w:rsidR="00E66602">
        <w:t>’</w:t>
      </w:r>
      <w:r>
        <w:t>ateliers préparatoires lorsqu</w:t>
      </w:r>
      <w:r w:rsidR="00E66602">
        <w:t>’</w:t>
      </w:r>
      <w:r>
        <w:t>ils détermineraient la date et le lieu de leurs futures sessions.</w:t>
      </w:r>
    </w:p>
    <w:p w:rsidR="00FA16C0" w:rsidRPr="00FA16C0" w:rsidRDefault="00FA16C0" w:rsidP="00FA16C0"/>
    <w:p w:rsidR="00E66602" w:rsidRDefault="00FA16C0" w:rsidP="00FA16C0">
      <w:pPr>
        <w:rPr>
          <w:snapToGrid w:val="0"/>
        </w:rPr>
      </w:pPr>
      <w:r w:rsidRPr="00FA16C0">
        <w:fldChar w:fldCharType="begin"/>
      </w:r>
      <w:r w:rsidRPr="00FA16C0">
        <w:instrText xml:space="preserve"> AUTONUM  </w:instrText>
      </w:r>
      <w:r w:rsidRPr="00FA16C0">
        <w:fldChar w:fldCharType="end"/>
      </w:r>
      <w:r>
        <w:tab/>
        <w:t>À sa cinquante</w:t>
      </w:r>
      <w:r w:rsidR="00852DA0">
        <w:noBreakHyphen/>
      </w:r>
      <w:r>
        <w:t>six</w:t>
      </w:r>
      <w:r w:rsidR="00E66602">
        <w:t>ième session</w:t>
      </w:r>
      <w:r w:rsidRPr="00FA16C0">
        <w:rPr>
          <w:vertAlign w:val="superscript"/>
        </w:rPr>
        <w:footnoteReference w:id="4"/>
      </w:r>
      <w:r>
        <w:t>, le</w:t>
      </w:r>
      <w:r w:rsidR="00E66602">
        <w:t> TC</w:t>
      </w:r>
      <w:r>
        <w:t xml:space="preserve"> </w:t>
      </w:r>
      <w:r>
        <w:rPr>
          <w:snapToGrid w:val="0"/>
        </w:rPr>
        <w:t xml:space="preserve">a noté que les exposés des webinaires seraient enregistrés et mis en ligne, mais pas les débats.  </w:t>
      </w:r>
      <w:r>
        <w:rPr>
          <w:snapToGrid w:val="0"/>
        </w:rPr>
        <w:tab/>
        <w:t>Le</w:t>
      </w:r>
      <w:r w:rsidR="00E66602">
        <w:rPr>
          <w:snapToGrid w:val="0"/>
        </w:rPr>
        <w:t> TC</w:t>
      </w:r>
      <w:r>
        <w:rPr>
          <w:snapToGrid w:val="0"/>
        </w:rPr>
        <w:t xml:space="preserve"> a noté que le Bureau de l</w:t>
      </w:r>
      <w:r w:rsidR="00E66602">
        <w:rPr>
          <w:snapToGrid w:val="0"/>
        </w:rPr>
        <w:t>’</w:t>
      </w:r>
      <w:r>
        <w:rPr>
          <w:snapToGrid w:val="0"/>
        </w:rPr>
        <w:t>Union fournirait du contenu pour les webinaires et inviterait des experts des membres à participer aux débats en tant que conférenciers et à présenter des exemples pratiques</w:t>
      </w:r>
      <w:r w:rsidR="00852DA0">
        <w:rPr>
          <w:snapToGrid w:val="0"/>
        </w:rPr>
        <w:t xml:space="preserve"> </w:t>
      </w:r>
      <w:r>
        <w:t xml:space="preserve">(voir les </w:t>
      </w:r>
      <w:r w:rsidR="00E66602">
        <w:t>paragraphes 7</w:t>
      </w:r>
      <w:r>
        <w:t xml:space="preserve">1 et 75 du </w:t>
      </w:r>
      <w:r w:rsidR="00E66602">
        <w:t>document TC</w:t>
      </w:r>
      <w:r>
        <w:t>/56/23 “Compte rendu”)</w:t>
      </w:r>
      <w:r>
        <w:rPr>
          <w:snapToGrid w:val="0"/>
        </w:rPr>
        <w:t>.</w:t>
      </w:r>
    </w:p>
    <w:p w:rsidR="00FA16C0" w:rsidRPr="00FA16C0" w:rsidRDefault="00FA16C0" w:rsidP="00FA16C0">
      <w:pPr>
        <w:rPr>
          <w:snapToGrid w:val="0"/>
        </w:rPr>
      </w:pPr>
    </w:p>
    <w:p w:rsidR="00FA16C0" w:rsidRPr="00FA16C0" w:rsidRDefault="00FA16C0" w:rsidP="00FA16C0">
      <w:pPr>
        <w:rPr>
          <w:snapToGrid w:val="0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AUTONUM  </w:instrText>
      </w:r>
      <w:r w:rsidRPr="00FA16C0">
        <w:rPr>
          <w:snapToGrid w:val="0"/>
        </w:rPr>
        <w:fldChar w:fldCharType="end"/>
      </w:r>
      <w:r>
        <w:rPr>
          <w:snapToGrid w:val="0"/>
        </w:rPr>
        <w:tab/>
      </w:r>
      <w:r>
        <w:rPr>
          <w:snapToGrid w:val="0"/>
        </w:rPr>
        <w:tab/>
        <w:t>À sa cinquante</w:t>
      </w:r>
      <w:r w:rsidR="00852DA0">
        <w:rPr>
          <w:snapToGrid w:val="0"/>
        </w:rPr>
        <w:noBreakHyphen/>
      </w:r>
      <w:r>
        <w:rPr>
          <w:snapToGrid w:val="0"/>
        </w:rPr>
        <w:t>six</w:t>
      </w:r>
      <w:r w:rsidR="00E66602">
        <w:rPr>
          <w:snapToGrid w:val="0"/>
        </w:rPr>
        <w:t>ième session</w:t>
      </w:r>
      <w:r>
        <w:rPr>
          <w:snapToGrid w:val="0"/>
        </w:rPr>
        <w:t>,</w:t>
      </w:r>
      <w:r>
        <w:t xml:space="preserve"> le</w:t>
      </w:r>
      <w:r w:rsidR="00E66602">
        <w:t> TC</w:t>
      </w:r>
      <w:r>
        <w:rPr>
          <w:snapToGrid w:val="0"/>
        </w:rPr>
        <w:t xml:space="preserve"> a noté que les modalités d</w:t>
      </w:r>
      <w:r w:rsidR="00E66602">
        <w:rPr>
          <w:snapToGrid w:val="0"/>
        </w:rPr>
        <w:t>’</w:t>
      </w:r>
      <w:r>
        <w:rPr>
          <w:snapToGrid w:val="0"/>
        </w:rPr>
        <w:t>organisation précises de ces webinaires seraient finalisées par le Bureau de l</w:t>
      </w:r>
      <w:r w:rsidR="00E66602">
        <w:rPr>
          <w:snapToGrid w:val="0"/>
        </w:rPr>
        <w:t>’</w:t>
      </w:r>
      <w:r>
        <w:rPr>
          <w:snapToGrid w:val="0"/>
        </w:rPr>
        <w:t>Union en coordination avec les présidents du</w:t>
      </w:r>
      <w:r w:rsidR="00E66602">
        <w:rPr>
          <w:snapToGrid w:val="0"/>
        </w:rPr>
        <w:t> TC</w:t>
      </w:r>
      <w:r>
        <w:rPr>
          <w:snapToGrid w:val="0"/>
        </w:rPr>
        <w:t xml:space="preserve"> et</w:t>
      </w:r>
      <w:r w:rsidR="00E66602">
        <w:rPr>
          <w:snapToGrid w:val="0"/>
        </w:rPr>
        <w:t xml:space="preserve"> des TWP</w:t>
      </w:r>
      <w:r>
        <w:rPr>
          <w:snapToGrid w:val="0"/>
        </w:rPr>
        <w:t>.</w:t>
      </w:r>
    </w:p>
    <w:p w:rsidR="00FA16C0" w:rsidRPr="00FA16C0" w:rsidRDefault="00FA16C0" w:rsidP="00FA16C0">
      <w:pPr>
        <w:rPr>
          <w:rFonts w:cs="Arial"/>
        </w:rPr>
      </w:pPr>
    </w:p>
    <w:p w:rsidR="00FA16C0" w:rsidRPr="00FA16C0" w:rsidRDefault="00FA16C0" w:rsidP="00FA16C0">
      <w:pPr>
        <w:rPr>
          <w:rFonts w:cs="Arial"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>À sa cinquante</w:t>
      </w:r>
      <w:r w:rsidR="00852DA0">
        <w:noBreakHyphen/>
      </w:r>
      <w:r>
        <w:t>six</w:t>
      </w:r>
      <w:r w:rsidR="00E66602">
        <w:t>ième session</w:t>
      </w:r>
      <w:r>
        <w:t>, le</w:t>
      </w:r>
      <w:r w:rsidR="00E66602">
        <w:t> TC</w:t>
      </w:r>
      <w:r>
        <w:t xml:space="preserve"> a not</w:t>
      </w:r>
      <w:r w:rsidR="00852DA0">
        <w:t>é</w:t>
      </w:r>
      <w:r>
        <w:t xml:space="preserve"> que, sous réserve d</w:t>
      </w:r>
      <w:r w:rsidR="00E66602">
        <w:t>’</w:t>
      </w:r>
      <w:r>
        <w:t>une demande des hôtes</w:t>
      </w:r>
      <w:r w:rsidR="00E66602">
        <w:t xml:space="preserve"> des TWP</w:t>
      </w:r>
      <w:r>
        <w:t>, des ateliers en présentiel pourraient être organisés en parallèle des sessions</w:t>
      </w:r>
      <w:r w:rsidR="00E66602">
        <w:t xml:space="preserve"> des </w:t>
      </w:r>
      <w:r w:rsidR="00852DA0">
        <w:t>TWP.  Le</w:t>
      </w:r>
      <w:r>
        <w:t xml:space="preserve"> contenu serait alors adapté au contexte.</w:t>
      </w:r>
    </w:p>
    <w:p w:rsidR="00FA16C0" w:rsidRPr="00FA16C0" w:rsidRDefault="00FA16C0" w:rsidP="00FA16C0"/>
    <w:p w:rsidR="00FA16C0" w:rsidRPr="00FA16C0" w:rsidRDefault="00FA16C0" w:rsidP="00FA16C0"/>
    <w:p w:rsidR="00FA16C0" w:rsidRPr="00FA16C0" w:rsidRDefault="00FA16C0" w:rsidP="00FA16C0">
      <w:pPr>
        <w:keepNext/>
        <w:outlineLvl w:val="0"/>
        <w:rPr>
          <w:i/>
          <w:caps/>
        </w:rPr>
      </w:pPr>
      <w:bookmarkStart w:id="4" w:name="_Toc524688361"/>
      <w:bookmarkStart w:id="5" w:name="_Toc117001245"/>
      <w:r>
        <w:t xml:space="preserve">Rapport sur les ateliers préparatoires tenus </w:t>
      </w:r>
      <w:bookmarkEnd w:id="4"/>
      <w:r w:rsidR="00E66602">
        <w:t>en 2022</w:t>
      </w:r>
      <w:bookmarkEnd w:id="5"/>
    </w:p>
    <w:p w:rsidR="00FA16C0" w:rsidRPr="00FA16C0" w:rsidRDefault="00FA16C0" w:rsidP="00FA16C0">
      <w:pPr>
        <w:jc w:val="left"/>
        <w:rPr>
          <w:snapToGrid w:val="0"/>
        </w:rPr>
      </w:pPr>
    </w:p>
    <w:p w:rsidR="00FA16C0" w:rsidRPr="00FA16C0" w:rsidRDefault="00FA16C0" w:rsidP="00FA16C0">
      <w:pPr>
        <w:rPr>
          <w:snapToGrid w:val="0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AUTONUM  </w:instrText>
      </w:r>
      <w:r w:rsidRPr="00FA16C0">
        <w:rPr>
          <w:snapToGrid w:val="0"/>
        </w:rPr>
        <w:fldChar w:fldCharType="end"/>
      </w:r>
      <w:r>
        <w:rPr>
          <w:snapToGrid w:val="0"/>
        </w:rPr>
        <w:tab/>
      </w:r>
      <w:r>
        <w:t>Au total, six</w:t>
      </w:r>
      <w:r w:rsidR="00676F2C">
        <w:t> </w:t>
      </w:r>
      <w:r>
        <w:t>webinaires préparatoires se sont tenus dans la matinée et dans l</w:t>
      </w:r>
      <w:r w:rsidR="00E66602">
        <w:t>’</w:t>
      </w:r>
      <w:r>
        <w:t>après</w:t>
      </w:r>
      <w:r w:rsidR="00852DA0">
        <w:noBreakHyphen/>
      </w:r>
      <w:r>
        <w:t>midi des 12, 13 et 1</w:t>
      </w:r>
      <w:r w:rsidR="00E66602">
        <w:t>4 avril 20</w:t>
      </w:r>
      <w:r>
        <w:t>22.</w:t>
      </w:r>
    </w:p>
    <w:p w:rsidR="00FA16C0" w:rsidRPr="00FA16C0" w:rsidRDefault="00FA16C0" w:rsidP="00FA16C0">
      <w:pPr>
        <w:rPr>
          <w:snapToGrid w:val="0"/>
        </w:rPr>
      </w:pPr>
    </w:p>
    <w:p w:rsidR="00FA16C0" w:rsidRPr="00FA16C0" w:rsidRDefault="00FA16C0" w:rsidP="00FA16C0">
      <w:pPr>
        <w:rPr>
          <w:snapToGrid w:val="0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AUTONUM  </w:instrText>
      </w:r>
      <w:r w:rsidRPr="00FA16C0">
        <w:rPr>
          <w:snapToGrid w:val="0"/>
        </w:rPr>
        <w:fldChar w:fldCharType="end"/>
      </w:r>
      <w:r>
        <w:rPr>
          <w:snapToGrid w:val="0"/>
        </w:rPr>
        <w:tab/>
        <w:t>Les webinaires portaient sur les thèmes suivants</w:t>
      </w:r>
      <w:r w:rsidR="00E66602">
        <w:rPr>
          <w:snapToGrid w:val="0"/>
        </w:rPr>
        <w:t> :</w:t>
      </w:r>
    </w:p>
    <w:p w:rsidR="00FA16C0" w:rsidRPr="00FA16C0" w:rsidRDefault="00FA16C0" w:rsidP="00FA16C0">
      <w:pPr>
        <w:rPr>
          <w:snapToGrid w:val="0"/>
        </w:rPr>
      </w:pPr>
    </w:p>
    <w:p w:rsidR="00FA16C0" w:rsidRPr="00FA16C0" w:rsidRDefault="00FA16C0" w:rsidP="00852DA0">
      <w:pPr>
        <w:numPr>
          <w:ilvl w:val="0"/>
          <w:numId w:val="8"/>
        </w:numPr>
        <w:ind w:left="1134" w:hanging="567"/>
        <w:rPr>
          <w:rFonts w:cs="Arial"/>
          <w:color w:val="000000" w:themeColor="text1"/>
          <w:szCs w:val="18"/>
        </w:rPr>
      </w:pPr>
      <w:r>
        <w:rPr>
          <w:color w:val="000000" w:themeColor="text1"/>
        </w:rPr>
        <w:t>Webinaire</w:t>
      </w:r>
      <w:r w:rsidR="00852DA0">
        <w:rPr>
          <w:color w:val="000000" w:themeColor="text1"/>
        </w:rPr>
        <w:t> </w:t>
      </w:r>
      <w:r>
        <w:rPr>
          <w:color w:val="000000" w:themeColor="text1"/>
        </w:rPr>
        <w:t>1</w:t>
      </w:r>
      <w:r w:rsidR="00E66602">
        <w:rPr>
          <w:color w:val="000000" w:themeColor="text1"/>
        </w:rPr>
        <w:t> :</w:t>
      </w:r>
      <w:r>
        <w:rPr>
          <w:color w:val="000000" w:themeColor="text1"/>
        </w:rPr>
        <w:t xml:space="preserve"> Comment organiser un examen DHS avec des informations fournies par le demandeur</w:t>
      </w:r>
    </w:p>
    <w:p w:rsidR="00FA16C0" w:rsidRPr="00FA16C0" w:rsidRDefault="00FA16C0" w:rsidP="00852DA0">
      <w:pPr>
        <w:numPr>
          <w:ilvl w:val="0"/>
          <w:numId w:val="8"/>
        </w:numPr>
        <w:ind w:left="1134" w:hanging="567"/>
        <w:rPr>
          <w:rFonts w:cs="Arial"/>
          <w:color w:val="000000" w:themeColor="text1"/>
          <w:szCs w:val="18"/>
        </w:rPr>
      </w:pPr>
      <w:r>
        <w:rPr>
          <w:color w:val="000000" w:themeColor="text1"/>
        </w:rPr>
        <w:t>Webinaire</w:t>
      </w:r>
      <w:r w:rsidR="00852DA0">
        <w:rPr>
          <w:color w:val="000000" w:themeColor="text1"/>
        </w:rPr>
        <w:t> </w:t>
      </w:r>
      <w:r>
        <w:rPr>
          <w:color w:val="000000" w:themeColor="text1"/>
        </w:rPr>
        <w:t>2</w:t>
      </w:r>
      <w:r w:rsidR="00E66602">
        <w:rPr>
          <w:color w:val="000000" w:themeColor="text1"/>
        </w:rPr>
        <w:t> :</w:t>
      </w:r>
      <w:r>
        <w:rPr>
          <w:color w:val="000000" w:themeColor="text1"/>
        </w:rPr>
        <w:t xml:space="preserve"> Résistance aux maladies et caractères physiologiques dans un examen DHS</w:t>
      </w:r>
    </w:p>
    <w:p w:rsidR="00FA16C0" w:rsidRPr="00FA16C0" w:rsidRDefault="00FA16C0" w:rsidP="00852DA0">
      <w:pPr>
        <w:numPr>
          <w:ilvl w:val="0"/>
          <w:numId w:val="8"/>
        </w:numPr>
        <w:ind w:left="1134" w:hanging="567"/>
        <w:rPr>
          <w:rFonts w:cs="Arial"/>
          <w:color w:val="000000" w:themeColor="text1"/>
          <w:szCs w:val="18"/>
        </w:rPr>
      </w:pPr>
      <w:r>
        <w:rPr>
          <w:color w:val="000000" w:themeColor="text1"/>
        </w:rPr>
        <w:t>Webinaire</w:t>
      </w:r>
      <w:r w:rsidR="00852DA0">
        <w:rPr>
          <w:color w:val="000000" w:themeColor="text1"/>
        </w:rPr>
        <w:t> </w:t>
      </w:r>
      <w:r>
        <w:rPr>
          <w:color w:val="000000" w:themeColor="text1"/>
        </w:rPr>
        <w:t>3</w:t>
      </w:r>
      <w:r w:rsidR="00E66602">
        <w:rPr>
          <w:color w:val="000000" w:themeColor="text1"/>
        </w:rPr>
        <w:t> :</w:t>
      </w:r>
      <w:r>
        <w:rPr>
          <w:color w:val="000000" w:themeColor="text1"/>
        </w:rPr>
        <w:t xml:space="preserve"> Techniques de traitement des données dans un examen DHS</w:t>
      </w:r>
    </w:p>
    <w:p w:rsidR="001F0A06" w:rsidRPr="00FA16C0" w:rsidRDefault="001F0A06" w:rsidP="001F0A06">
      <w:pPr>
        <w:rPr>
          <w:rFonts w:cs="Arial"/>
        </w:rPr>
      </w:pPr>
    </w:p>
    <w:p w:rsidR="001F0A06" w:rsidRPr="000F2A04" w:rsidRDefault="001F0A06" w:rsidP="001F0A06">
      <w:pPr>
        <w:rPr>
          <w:rFonts w:cs="Arial"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>Le nombre ci</w:t>
      </w:r>
      <w:r w:rsidR="00852DA0">
        <w:noBreakHyphen/>
      </w:r>
      <w:r>
        <w:t>après de participants ont assisté aux webinaires</w:t>
      </w:r>
      <w:r w:rsidR="00E66602">
        <w:t> :</w:t>
      </w:r>
    </w:p>
    <w:p w:rsidR="001F0A06" w:rsidRDefault="001F0A06" w:rsidP="00FA16C0">
      <w:pPr>
        <w:rPr>
          <w:snapToGrid w:val="0"/>
        </w:rPr>
      </w:pPr>
    </w:p>
    <w:tbl>
      <w:tblPr>
        <w:tblW w:w="9632" w:type="dxa"/>
        <w:tblInd w:w="-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694"/>
        <w:gridCol w:w="2551"/>
        <w:gridCol w:w="2126"/>
      </w:tblGrid>
      <w:tr w:rsidR="001F0A06" w:rsidRPr="00933C4A" w:rsidTr="00933C4A">
        <w:trPr>
          <w:trHeight w:val="315"/>
        </w:trPr>
        <w:tc>
          <w:tcPr>
            <w:tcW w:w="22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A06" w:rsidRPr="00933C4A" w:rsidRDefault="00933C4A" w:rsidP="00933C4A">
            <w:pPr>
              <w:jc w:val="lef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Nombre total pour les deux</w:t>
            </w:r>
            <w:r w:rsidR="00676F2C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sessions (matin et après</w:t>
            </w:r>
            <w:r w:rsidR="00852DA0">
              <w:rPr>
                <w:color w:val="000000"/>
                <w:sz w:val="18"/>
              </w:rPr>
              <w:noBreakHyphen/>
            </w:r>
            <w:r>
              <w:rPr>
                <w:color w:val="000000"/>
                <w:sz w:val="18"/>
              </w:rPr>
              <w:t>midi)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0A06" w:rsidRPr="00933C4A" w:rsidRDefault="00933C4A" w:rsidP="00933C4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>Comment organiser un examen DHS avec des informations fournies par le demandeur</w:t>
            </w:r>
          </w:p>
        </w:tc>
        <w:tc>
          <w:tcPr>
            <w:tcW w:w="2551" w:type="dxa"/>
            <w:vAlign w:val="center"/>
          </w:tcPr>
          <w:p w:rsidR="001F0A06" w:rsidRPr="00933C4A" w:rsidRDefault="00933C4A" w:rsidP="00933C4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>Résistance aux maladies et caractères physiologiques dans un examen DHS</w:t>
            </w:r>
          </w:p>
        </w:tc>
        <w:tc>
          <w:tcPr>
            <w:tcW w:w="2126" w:type="dxa"/>
            <w:vAlign w:val="center"/>
          </w:tcPr>
          <w:p w:rsidR="001F0A06" w:rsidRPr="00933C4A" w:rsidRDefault="00933C4A" w:rsidP="00933C4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 w:themeColor="text1"/>
                <w:sz w:val="18"/>
              </w:rPr>
              <w:t>Techniques de traitement des données dans un examen DHS</w:t>
            </w:r>
          </w:p>
        </w:tc>
      </w:tr>
      <w:tr w:rsidR="00933C4A" w:rsidRPr="001F0A06" w:rsidTr="00933C4A">
        <w:trPr>
          <w:trHeight w:val="263"/>
        </w:trPr>
        <w:tc>
          <w:tcPr>
            <w:tcW w:w="22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3450FC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Nombre total de participants 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2551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2126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</w:tr>
      <w:tr w:rsidR="00933C4A" w:rsidRPr="001F0A06" w:rsidTr="00933C4A">
        <w:trPr>
          <w:trHeight w:val="330"/>
        </w:trPr>
        <w:tc>
          <w:tcPr>
            <w:tcW w:w="22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933C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Participants de membres de l</w:t>
            </w:r>
            <w:r w:rsidR="00E66602">
              <w:rPr>
                <w:color w:val="000000"/>
              </w:rPr>
              <w:t>’</w:t>
            </w:r>
            <w:r>
              <w:rPr>
                <w:color w:val="000000"/>
              </w:rPr>
              <w:t>UPOV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199 </w:t>
            </w:r>
          </w:p>
        </w:tc>
        <w:tc>
          <w:tcPr>
            <w:tcW w:w="2551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179 </w:t>
            </w:r>
          </w:p>
        </w:tc>
        <w:tc>
          <w:tcPr>
            <w:tcW w:w="2126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178 </w:t>
            </w:r>
          </w:p>
        </w:tc>
      </w:tr>
      <w:tr w:rsidR="00933C4A" w:rsidRPr="001F0A06" w:rsidTr="00933C4A">
        <w:trPr>
          <w:trHeight w:val="330"/>
        </w:trPr>
        <w:tc>
          <w:tcPr>
            <w:tcW w:w="22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3450FC" w:rsidP="00933C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Participants d</w:t>
            </w:r>
            <w:r w:rsidR="00E66602">
              <w:rPr>
                <w:color w:val="000000"/>
              </w:rPr>
              <w:t>’</w:t>
            </w:r>
            <w:r>
              <w:rPr>
                <w:color w:val="000000"/>
              </w:rPr>
              <w:t>États observateurs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 </w:t>
            </w:r>
          </w:p>
        </w:tc>
        <w:tc>
          <w:tcPr>
            <w:tcW w:w="2551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126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</w:tr>
      <w:tr w:rsidR="00933C4A" w:rsidRPr="001F0A06" w:rsidTr="00933C4A">
        <w:trPr>
          <w:trHeight w:val="330"/>
        </w:trPr>
        <w:tc>
          <w:tcPr>
            <w:tcW w:w="22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3450FC" w:rsidP="003450FC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Participants d</w:t>
            </w:r>
            <w:r w:rsidR="00E66602">
              <w:rPr>
                <w:color w:val="000000"/>
              </w:rPr>
              <w:t>’</w:t>
            </w:r>
            <w:r>
              <w:rPr>
                <w:color w:val="000000"/>
              </w:rPr>
              <w:t>organisations observatrices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2551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126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933C4A" w:rsidTr="00933C4A">
        <w:trPr>
          <w:trHeight w:val="330"/>
        </w:trPr>
        <w:tc>
          <w:tcPr>
            <w:tcW w:w="2261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3450FC" w:rsidP="003450FC">
            <w:pPr>
              <w:jc w:val="left"/>
              <w:rPr>
                <w:color w:val="FF0000"/>
              </w:rPr>
            </w:pPr>
            <w:r>
              <w:rPr>
                <w:color w:val="000000" w:themeColor="text1"/>
              </w:rPr>
              <w:t>Participants n</w:t>
            </w:r>
            <w:r w:rsidR="00E66602">
              <w:rPr>
                <w:color w:val="000000" w:themeColor="text1"/>
              </w:rPr>
              <w:t>’</w:t>
            </w:r>
            <w:r>
              <w:rPr>
                <w:color w:val="000000" w:themeColor="text1"/>
              </w:rPr>
              <w:t>ayant pas participé à un groupe de travail technique</w:t>
            </w:r>
          </w:p>
        </w:tc>
        <w:tc>
          <w:tcPr>
            <w:tcW w:w="269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33C4A" w:rsidRPr="001F0A06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551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126" w:type="dxa"/>
            <w:vAlign w:val="center"/>
          </w:tcPr>
          <w:p w:rsidR="00933C4A" w:rsidRDefault="00933C4A" w:rsidP="00933C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</w:tbl>
    <w:p w:rsidR="001F0A06" w:rsidRPr="00FA16C0" w:rsidRDefault="001F0A06" w:rsidP="00FA16C0">
      <w:pPr>
        <w:rPr>
          <w:snapToGrid w:val="0"/>
        </w:rPr>
      </w:pPr>
    </w:p>
    <w:p w:rsidR="00E66602" w:rsidRDefault="00FA16C0" w:rsidP="00FA16C0"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>Les enregistrements vidéo des webinaires, à l</w:t>
      </w:r>
      <w:r w:rsidR="00E66602">
        <w:t>’</w:t>
      </w:r>
      <w:r>
        <w:t xml:space="preserve">exception des séances de discussion, ont été mis à disposition sur la </w:t>
      </w:r>
      <w:r w:rsidR="00E66602">
        <w:t>page W</w:t>
      </w:r>
      <w:r>
        <w:t>eb de l</w:t>
      </w:r>
      <w:r w:rsidR="00E66602">
        <w:t>’</w:t>
      </w:r>
      <w:r>
        <w:t>UPOV (</w:t>
      </w:r>
      <w:hyperlink r:id="rId9" w:history="1">
        <w:r>
          <w:rPr>
            <w:color w:val="0000FF"/>
            <w:u w:val="single"/>
          </w:rPr>
          <w:t>https://www.upov.int/meetings/en/webinar_videos.html</w:t>
        </w:r>
      </w:hyperlink>
      <w:r>
        <w:t>) pour le</w:t>
      </w:r>
      <w:r w:rsidR="00E66602">
        <w:t> TC</w:t>
      </w:r>
      <w:r>
        <w:t xml:space="preserve"> et pour chaque session</w:t>
      </w:r>
      <w:r w:rsidR="00E66602">
        <w:t xml:space="preserve"> du TWP</w:t>
      </w:r>
      <w:r>
        <w:t xml:space="preserve"> tenue </w:t>
      </w:r>
      <w:r w:rsidR="00E66602">
        <w:t>en 2022</w:t>
      </w:r>
      <w:r>
        <w:t xml:space="preserve"> et sur la chaîne de l</w:t>
      </w:r>
      <w:r w:rsidR="00E66602">
        <w:t>’</w:t>
      </w:r>
      <w:r>
        <w:t>UPOV sur YouTube (</w:t>
      </w:r>
      <w:hyperlink r:id="rId10" w:history="1">
        <w:r>
          <w:rPr>
            <w:color w:val="0000FF"/>
            <w:u w:val="single"/>
          </w:rPr>
          <w:t>https://www.youtube.com/user/upov</w:t>
        </w:r>
      </w:hyperlink>
      <w:r>
        <w:t>).  La chaîne de l</w:t>
      </w:r>
      <w:r w:rsidR="00E66602">
        <w:t>’</w:t>
      </w:r>
      <w:r>
        <w:t>UPOV sur YouTube offre la possibilité de regarder des vidéos accompagnées de transcriptions et peut générer automatiquement des sous</w:t>
      </w:r>
      <w:r w:rsidR="00852DA0">
        <w:noBreakHyphen/>
      </w:r>
      <w:r>
        <w:t>titres dans différentes langues.</w:t>
      </w:r>
    </w:p>
    <w:p w:rsidR="00FA16C0" w:rsidRPr="00FA16C0" w:rsidRDefault="00FA16C0" w:rsidP="00FA16C0">
      <w:pPr>
        <w:rPr>
          <w:rFonts w:cs="Arial"/>
        </w:rPr>
      </w:pPr>
    </w:p>
    <w:p w:rsidR="00FA16C0" w:rsidRPr="000F2A04" w:rsidRDefault="00FA16C0" w:rsidP="00FA16C0">
      <w:pPr>
        <w:rPr>
          <w:rFonts w:cs="Arial"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  <w:t xml:space="preserve">Au </w:t>
      </w:r>
      <w:r w:rsidR="00E66602">
        <w:t>5 octobre 20</w:t>
      </w:r>
      <w:r>
        <w:t>22, le nombre de consultations enregistré était le suivant</w:t>
      </w:r>
      <w:r w:rsidR="00E66602">
        <w:t> :</w:t>
      </w:r>
    </w:p>
    <w:p w:rsidR="00FA16C0" w:rsidRPr="000F2A04" w:rsidRDefault="00FA16C0" w:rsidP="0095090F">
      <w:pPr>
        <w:keepNext/>
        <w:rPr>
          <w:rFonts w:cs="Arial"/>
        </w:rPr>
      </w:pPr>
    </w:p>
    <w:p w:rsidR="00FA16C0" w:rsidRPr="000F2A04" w:rsidRDefault="00FA16C0" w:rsidP="0095090F">
      <w:pPr>
        <w:keepNext/>
        <w:rPr>
          <w:rFonts w:cs="Arial"/>
        </w:rPr>
      </w:pPr>
      <w:r>
        <w:t xml:space="preserve">Pages </w:t>
      </w:r>
      <w:r w:rsidR="00676F2C">
        <w:t>Web</w:t>
      </w:r>
      <w:r w:rsidR="00E66602">
        <w:t xml:space="preserve"> du TWP</w:t>
      </w:r>
      <w:r>
        <w:t xml:space="preserve"> de l</w:t>
      </w:r>
      <w:r w:rsidR="00E66602">
        <w:t>’</w:t>
      </w:r>
      <w:r>
        <w:t>UPOV</w:t>
      </w:r>
      <w:r w:rsidR="00E66602">
        <w:t> :</w:t>
      </w:r>
    </w:p>
    <w:p w:rsidR="00FA16C0" w:rsidRPr="000F2A04" w:rsidRDefault="00FA16C0" w:rsidP="0095090F">
      <w:pPr>
        <w:keepNext/>
        <w:rPr>
          <w:rFonts w:cs="Arial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80"/>
      </w:tblGrid>
      <w:tr w:rsidR="00FA16C0" w:rsidRPr="000F2A04" w:rsidTr="0095090F">
        <w:trPr>
          <w:cantSplit/>
          <w:jc w:val="center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16C0" w:rsidRPr="000F2A04" w:rsidRDefault="00FA16C0" w:rsidP="0095090F">
            <w:pPr>
              <w:keepNext/>
              <w:jc w:val="center"/>
            </w:pPr>
            <w:r>
              <w:t>Pages consultées</w:t>
            </w:r>
          </w:p>
          <w:p w:rsidR="00FA16C0" w:rsidRPr="000F2A04" w:rsidRDefault="00FA16C0" w:rsidP="0095090F">
            <w:pPr>
              <w:keepNext/>
              <w:jc w:val="center"/>
            </w:pP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C0" w:rsidRPr="000F2A04" w:rsidRDefault="00FA16C0" w:rsidP="0095090F">
            <w:pPr>
              <w:keepNext/>
              <w:jc w:val="center"/>
            </w:pPr>
            <w:r>
              <w:t>Consultations ponctuelles</w:t>
            </w:r>
          </w:p>
        </w:tc>
      </w:tr>
      <w:tr w:rsidR="00FA16C0" w:rsidRPr="00FA16C0" w:rsidTr="0095090F">
        <w:trPr>
          <w:cantSplit/>
          <w:jc w:val="center"/>
        </w:trPr>
        <w:tc>
          <w:tcPr>
            <w:tcW w:w="20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C0" w:rsidRPr="000F2A04" w:rsidRDefault="000F2A04" w:rsidP="0095090F">
            <w:pPr>
              <w:keepNext/>
              <w:jc w:val="center"/>
            </w:pPr>
            <w:r>
              <w:t>274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C0" w:rsidRPr="000F2A04" w:rsidRDefault="000F2A04" w:rsidP="0095090F">
            <w:pPr>
              <w:keepNext/>
              <w:jc w:val="center"/>
            </w:pPr>
            <w:r>
              <w:t>238</w:t>
            </w:r>
          </w:p>
        </w:tc>
      </w:tr>
    </w:tbl>
    <w:p w:rsidR="00FA16C0" w:rsidRPr="00FA16C0" w:rsidRDefault="00FA16C0" w:rsidP="00FA16C0">
      <w:pPr>
        <w:rPr>
          <w:rFonts w:cs="Arial"/>
        </w:rPr>
      </w:pPr>
    </w:p>
    <w:p w:rsidR="00FA16C0" w:rsidRPr="00FA16C0" w:rsidRDefault="00FA16C0" w:rsidP="00523C64">
      <w:pPr>
        <w:keepNext/>
        <w:keepLines/>
      </w:pPr>
      <w:r>
        <w:t>Chaîne de l</w:t>
      </w:r>
      <w:r w:rsidR="00E66602">
        <w:t>’</w:t>
      </w:r>
      <w:r>
        <w:t>UPOV sur YouTube</w:t>
      </w:r>
      <w:r w:rsidR="00E66602">
        <w:t> :</w:t>
      </w:r>
    </w:p>
    <w:p w:rsidR="00FA16C0" w:rsidRPr="00FA16C0" w:rsidRDefault="00FA16C0" w:rsidP="00523C64">
      <w:pPr>
        <w:keepNext/>
        <w:keepLines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5"/>
        <w:gridCol w:w="1863"/>
        <w:gridCol w:w="2350"/>
      </w:tblGrid>
      <w:tr w:rsidR="00FA16C0" w:rsidRPr="00FA16C0" w:rsidTr="00FA16C0">
        <w:trPr>
          <w:jc w:val="center"/>
        </w:trPr>
        <w:tc>
          <w:tcPr>
            <w:tcW w:w="3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C0" w:rsidRPr="00FA16C0" w:rsidRDefault="00FA16C0" w:rsidP="00523C64">
            <w:pPr>
              <w:keepNext/>
              <w:keepLines/>
            </w:pPr>
            <w:r>
              <w:t>Webinaire</w:t>
            </w:r>
          </w:p>
        </w:tc>
        <w:tc>
          <w:tcPr>
            <w:tcW w:w="1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C0" w:rsidRPr="00FA16C0" w:rsidRDefault="00FA16C0" w:rsidP="00523C64">
            <w:pPr>
              <w:keepNext/>
              <w:keepLines/>
              <w:jc w:val="center"/>
            </w:pPr>
            <w:r>
              <w:t>Nombre total de consultations</w:t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6C0" w:rsidRPr="00FA16C0" w:rsidRDefault="00FA16C0" w:rsidP="00523C64">
            <w:pPr>
              <w:keepNext/>
              <w:keepLines/>
              <w:jc w:val="center"/>
            </w:pPr>
            <w:r>
              <w:t>Transcription/sous</w:t>
            </w:r>
            <w:r w:rsidR="00852DA0">
              <w:noBreakHyphen/>
            </w:r>
            <w:r>
              <w:t>titres</w:t>
            </w:r>
          </w:p>
        </w:tc>
      </w:tr>
      <w:tr w:rsidR="001F0A06" w:rsidRPr="00FA16C0" w:rsidTr="00FA16C0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FA16C0" w:rsidRDefault="001F0A06" w:rsidP="001F0A06">
            <w:pPr>
              <w:keepNext/>
              <w:keepLines/>
            </w:pPr>
            <w:r>
              <w:t>Webinaire</w:t>
            </w:r>
            <w:r w:rsidR="00852DA0">
              <w:t> </w:t>
            </w:r>
            <w:r>
              <w:t>1</w:t>
            </w:r>
            <w:r w:rsidR="00E66602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2E3326" w:rsidRDefault="001F0A06" w:rsidP="001F0A06">
            <w:pPr>
              <w:jc w:val="center"/>
            </w:pPr>
            <w: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2E3326" w:rsidRDefault="001F0A06" w:rsidP="001F0A06">
            <w:pPr>
              <w:jc w:val="center"/>
            </w:pPr>
            <w:r>
              <w:t>9 (EN)</w:t>
            </w:r>
          </w:p>
        </w:tc>
      </w:tr>
      <w:tr w:rsidR="001F0A06" w:rsidRPr="00FA16C0" w:rsidTr="00FA16C0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FA16C0" w:rsidRDefault="001F0A06" w:rsidP="001F0A06">
            <w:pPr>
              <w:keepNext/>
              <w:keepLines/>
            </w:pPr>
            <w:r>
              <w:t>Webinaire</w:t>
            </w:r>
            <w:r w:rsidR="00852DA0">
              <w:t> </w:t>
            </w:r>
            <w:r>
              <w:t>2</w:t>
            </w:r>
            <w:r w:rsidR="00E66602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2E3326" w:rsidRDefault="001F0A06" w:rsidP="001F0A06">
            <w:pPr>
              <w:jc w:val="center"/>
            </w:pPr>
            <w: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2E3326" w:rsidRDefault="001F0A06" w:rsidP="001F0A06">
            <w:pPr>
              <w:jc w:val="center"/>
            </w:pPr>
            <w:r>
              <w:t>14 (EN)</w:t>
            </w:r>
          </w:p>
        </w:tc>
      </w:tr>
      <w:tr w:rsidR="001F0A06" w:rsidRPr="00FA16C0" w:rsidTr="00FA16C0">
        <w:trPr>
          <w:jc w:val="center"/>
        </w:trPr>
        <w:tc>
          <w:tcPr>
            <w:tcW w:w="32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FA16C0" w:rsidRDefault="001F0A06" w:rsidP="001F0A06">
            <w:pPr>
              <w:keepNext/>
              <w:keepLines/>
            </w:pPr>
            <w:r>
              <w:t>Webinaire</w:t>
            </w:r>
            <w:r w:rsidR="00852DA0">
              <w:t> </w:t>
            </w:r>
            <w:r>
              <w:t>3</w:t>
            </w:r>
            <w:r w:rsidR="00E66602">
              <w:t xml:space="preserve"> du TWP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Pr="002E3326" w:rsidRDefault="001F0A06" w:rsidP="001F0A06">
            <w:pPr>
              <w:jc w:val="center"/>
            </w:pPr>
            <w:r>
              <w:t>103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A06" w:rsidRDefault="001F0A06" w:rsidP="001F0A06">
            <w:pPr>
              <w:jc w:val="center"/>
            </w:pPr>
            <w:r>
              <w:t>6 (EN)</w:t>
            </w:r>
          </w:p>
        </w:tc>
      </w:tr>
    </w:tbl>
    <w:p w:rsidR="00FA16C0" w:rsidRPr="00FA16C0" w:rsidRDefault="00FA16C0" w:rsidP="00FA16C0"/>
    <w:p w:rsidR="00FA16C0" w:rsidRPr="00FA16C0" w:rsidRDefault="00FA16C0" w:rsidP="00FA16C0"/>
    <w:p w:rsidR="00FA16C0" w:rsidRPr="00FA16C0" w:rsidRDefault="00FA16C0" w:rsidP="00FA16C0">
      <w:pPr>
        <w:keepNext/>
        <w:keepLines/>
        <w:outlineLvl w:val="0"/>
        <w:rPr>
          <w:i/>
          <w:caps/>
        </w:rPr>
      </w:pPr>
      <w:bookmarkStart w:id="6" w:name="_Toc524688363"/>
      <w:bookmarkStart w:id="7" w:name="_Toc117001246"/>
      <w:r>
        <w:rPr>
          <w:caps/>
        </w:rPr>
        <w:t>Programme et modalités d</w:t>
      </w:r>
      <w:r w:rsidR="00E66602">
        <w:rPr>
          <w:caps/>
        </w:rPr>
        <w:t>’</w:t>
      </w:r>
      <w:r>
        <w:rPr>
          <w:caps/>
        </w:rPr>
        <w:t xml:space="preserve">organisation des travaux préparatoires </w:t>
      </w:r>
      <w:bookmarkEnd w:id="6"/>
      <w:r w:rsidR="00E66602">
        <w:rPr>
          <w:caps/>
        </w:rPr>
        <w:t>en 2023</w:t>
      </w:r>
      <w:bookmarkEnd w:id="7"/>
    </w:p>
    <w:p w:rsidR="00FA16C0" w:rsidRPr="00FA16C0" w:rsidRDefault="00FA16C0" w:rsidP="00FA16C0">
      <w:pPr>
        <w:keepNext/>
        <w:keepLines/>
        <w:rPr>
          <w:snapToGrid w:val="0"/>
        </w:rPr>
      </w:pPr>
    </w:p>
    <w:p w:rsidR="00FA16C0" w:rsidRPr="00FA16C0" w:rsidRDefault="00FA16C0" w:rsidP="00FA16C0">
      <w:pPr>
        <w:keepNext/>
        <w:snapToGrid w:val="0"/>
        <w:outlineLvl w:val="1"/>
        <w:rPr>
          <w:u w:val="single"/>
        </w:rPr>
      </w:pPr>
      <w:bookmarkStart w:id="8" w:name="_Toc117001247"/>
      <w:r>
        <w:rPr>
          <w:u w:val="single"/>
        </w:rPr>
        <w:t>Proposition</w:t>
      </w:r>
      <w:bookmarkEnd w:id="8"/>
    </w:p>
    <w:p w:rsidR="00FA16C0" w:rsidRPr="00FA16C0" w:rsidRDefault="00FA16C0" w:rsidP="00FA16C0">
      <w:pPr>
        <w:keepNext/>
        <w:keepLines/>
        <w:rPr>
          <w:snapToGrid w:val="0"/>
        </w:rPr>
      </w:pPr>
    </w:p>
    <w:p w:rsidR="00E66602" w:rsidRDefault="00FA16C0" w:rsidP="00FA16C0">
      <w:pPr>
        <w:keepNext/>
        <w:keepLines/>
        <w:rPr>
          <w:snapToGrid w:val="0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AUTONUM  </w:instrText>
      </w:r>
      <w:r w:rsidRPr="00FA16C0">
        <w:rPr>
          <w:snapToGrid w:val="0"/>
        </w:rPr>
        <w:fldChar w:fldCharType="end"/>
      </w:r>
      <w:r>
        <w:rPr>
          <w:snapToGrid w:val="0"/>
        </w:rPr>
        <w:tab/>
        <w:t xml:space="preserve">Il est proposé que les ateliers préparatoires soient organisés </w:t>
      </w:r>
      <w:r w:rsidR="00E66602">
        <w:rPr>
          <w:snapToGrid w:val="0"/>
        </w:rPr>
        <w:t>en 2023</w:t>
      </w:r>
      <w:r>
        <w:rPr>
          <w:snapToGrid w:val="0"/>
        </w:rPr>
        <w:t xml:space="preserve"> sous la forme de webinaires qui se tiendraient à des dates fixées en fonction du calendrier des sessions</w:t>
      </w:r>
      <w:r w:rsidR="00E66602">
        <w:rPr>
          <w:snapToGrid w:val="0"/>
        </w:rPr>
        <w:t xml:space="preserve"> des </w:t>
      </w:r>
      <w:r w:rsidR="00852DA0">
        <w:rPr>
          <w:snapToGrid w:val="0"/>
        </w:rPr>
        <w:t>TWP.  Le</w:t>
      </w:r>
      <w:r>
        <w:rPr>
          <w:snapToGrid w:val="0"/>
        </w:rPr>
        <w:t>s exposés présentés lors des webinaires et les réunions</w:t>
      </w:r>
      <w:r w:rsidR="00852DA0">
        <w:rPr>
          <w:snapToGrid w:val="0"/>
        </w:rPr>
        <w:noBreakHyphen/>
      </w:r>
      <w:r>
        <w:rPr>
          <w:snapToGrid w:val="0"/>
        </w:rPr>
        <w:t>débats seraient enregistrés et diffusés en lig</w:t>
      </w:r>
      <w:r w:rsidR="00852DA0">
        <w:rPr>
          <w:snapToGrid w:val="0"/>
        </w:rPr>
        <w:t>ne.  La</w:t>
      </w:r>
      <w:r>
        <w:rPr>
          <w:snapToGrid w:val="0"/>
        </w:rPr>
        <w:t xml:space="preserve"> séance consacrée aux questions</w:t>
      </w:r>
      <w:r w:rsidR="00852DA0">
        <w:rPr>
          <w:snapToGrid w:val="0"/>
        </w:rPr>
        <w:t xml:space="preserve"> </w:t>
      </w:r>
      <w:r>
        <w:rPr>
          <w:snapToGrid w:val="0"/>
        </w:rPr>
        <w:t>et réponses ne serait pas enregistrée ou diffusée en ligne.</w:t>
      </w:r>
    </w:p>
    <w:p w:rsidR="00FA16C0" w:rsidRPr="00FA16C0" w:rsidRDefault="00FA16C0" w:rsidP="00FA16C0">
      <w:pPr>
        <w:rPr>
          <w:snapToGrid w:val="0"/>
        </w:rPr>
      </w:pPr>
    </w:p>
    <w:p w:rsidR="00E66602" w:rsidRDefault="00FA16C0" w:rsidP="00FA16C0">
      <w:pPr>
        <w:rPr>
          <w:snapToGrid w:val="0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AUTONUM  </w:instrText>
      </w:r>
      <w:r w:rsidRPr="00FA16C0">
        <w:rPr>
          <w:snapToGrid w:val="0"/>
        </w:rPr>
        <w:fldChar w:fldCharType="end"/>
      </w:r>
      <w:r>
        <w:rPr>
          <w:snapToGrid w:val="0"/>
        </w:rPr>
        <w:tab/>
        <w:t>Des experts des membres de l</w:t>
      </w:r>
      <w:r w:rsidR="00E66602">
        <w:rPr>
          <w:snapToGrid w:val="0"/>
        </w:rPr>
        <w:t>’</w:t>
      </w:r>
      <w:r>
        <w:rPr>
          <w:snapToGrid w:val="0"/>
        </w:rPr>
        <w:t>Union seraient invités à présenter des exposés sur des thèmes précis et à participer aux débats en tant que spécialistes.</w:t>
      </w:r>
    </w:p>
    <w:p w:rsidR="00FA16C0" w:rsidRPr="00FA16C0" w:rsidRDefault="00FA16C0" w:rsidP="00FA16C0">
      <w:pPr>
        <w:rPr>
          <w:snapToGrid w:val="0"/>
        </w:rPr>
      </w:pPr>
    </w:p>
    <w:p w:rsidR="00FA16C0" w:rsidRPr="00FA16C0" w:rsidRDefault="00FA16C0" w:rsidP="00FA16C0">
      <w:pPr>
        <w:rPr>
          <w:snapToGrid w:val="0"/>
        </w:rPr>
      </w:pPr>
      <w:r w:rsidRPr="00FA16C0">
        <w:rPr>
          <w:snapToGrid w:val="0"/>
        </w:rPr>
        <w:fldChar w:fldCharType="begin"/>
      </w:r>
      <w:r w:rsidRPr="00FA16C0">
        <w:rPr>
          <w:snapToGrid w:val="0"/>
        </w:rPr>
        <w:instrText xml:space="preserve"> AUTONUM  </w:instrText>
      </w:r>
      <w:r w:rsidRPr="00FA16C0">
        <w:rPr>
          <w:snapToGrid w:val="0"/>
        </w:rPr>
        <w:fldChar w:fldCharType="end"/>
      </w:r>
      <w:r>
        <w:rPr>
          <w:snapToGrid w:val="0"/>
        </w:rPr>
        <w:tab/>
        <w:t>Les modalités précises d</w:t>
      </w:r>
      <w:r w:rsidR="00E66602">
        <w:rPr>
          <w:snapToGrid w:val="0"/>
        </w:rPr>
        <w:t>’</w:t>
      </w:r>
      <w:r>
        <w:rPr>
          <w:snapToGrid w:val="0"/>
        </w:rPr>
        <w:t>organisation de ces webinaires seraient finalisées par le Bureau de l</w:t>
      </w:r>
      <w:r w:rsidR="00E66602">
        <w:rPr>
          <w:snapToGrid w:val="0"/>
        </w:rPr>
        <w:t>’</w:t>
      </w:r>
      <w:r>
        <w:rPr>
          <w:snapToGrid w:val="0"/>
        </w:rPr>
        <w:t>Union en coordination avec les présidents du</w:t>
      </w:r>
      <w:r w:rsidR="00E66602">
        <w:rPr>
          <w:snapToGrid w:val="0"/>
        </w:rPr>
        <w:t> TC</w:t>
      </w:r>
      <w:r>
        <w:rPr>
          <w:snapToGrid w:val="0"/>
        </w:rPr>
        <w:t xml:space="preserve"> et</w:t>
      </w:r>
      <w:r w:rsidR="00E66602">
        <w:rPr>
          <w:snapToGrid w:val="0"/>
        </w:rPr>
        <w:t xml:space="preserve"> des TWP</w:t>
      </w:r>
      <w:r>
        <w:rPr>
          <w:snapToGrid w:val="0"/>
        </w:rPr>
        <w:t>.</w:t>
      </w:r>
    </w:p>
    <w:p w:rsidR="00FA16C0" w:rsidRPr="00FA16C0" w:rsidRDefault="00FA16C0" w:rsidP="00FA16C0">
      <w:pPr>
        <w:rPr>
          <w:rFonts w:cs="Arial"/>
        </w:rPr>
      </w:pPr>
    </w:p>
    <w:p w:rsidR="00FA16C0" w:rsidRPr="00FA16C0" w:rsidRDefault="00FA16C0" w:rsidP="00FA16C0">
      <w:pPr>
        <w:rPr>
          <w:rFonts w:cs="Arial"/>
        </w:rPr>
      </w:pPr>
      <w:r w:rsidRPr="00FA16C0">
        <w:fldChar w:fldCharType="begin"/>
      </w:r>
      <w:r w:rsidRPr="00FA16C0">
        <w:instrText xml:space="preserve"> AUTONUM  </w:instrText>
      </w:r>
      <w:r w:rsidRPr="00FA16C0">
        <w:fldChar w:fldCharType="end"/>
      </w:r>
      <w:r>
        <w:tab/>
        <w:t>Si les hôtes</w:t>
      </w:r>
      <w:r w:rsidR="00E66602">
        <w:t xml:space="preserve"> des TWP</w:t>
      </w:r>
      <w:r>
        <w:t xml:space="preserve"> le demandent, des ateliers en présentiel pourraient être organisés en parallèle des sessions</w:t>
      </w:r>
      <w:r w:rsidR="00E66602">
        <w:t xml:space="preserve"> des </w:t>
      </w:r>
      <w:r w:rsidR="00852DA0">
        <w:t>TWP.  Le</w:t>
      </w:r>
      <w:r>
        <w:t xml:space="preserve"> contenu serait alors adapté au contexte.</w:t>
      </w:r>
    </w:p>
    <w:p w:rsidR="00FA16C0" w:rsidRPr="00FA16C0" w:rsidRDefault="00FA16C0" w:rsidP="00FA16C0">
      <w:pPr>
        <w:rPr>
          <w:rFonts w:eastAsia="Calibri" w:cs="Arial"/>
        </w:rPr>
      </w:pPr>
    </w:p>
    <w:p w:rsidR="00FA16C0" w:rsidRPr="00FA16C0" w:rsidRDefault="00FA16C0" w:rsidP="00FA16C0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FA16C0">
        <w:rPr>
          <w:rFonts w:cs="Arial"/>
        </w:rPr>
        <w:fldChar w:fldCharType="begin"/>
      </w:r>
      <w:r w:rsidRPr="00FA16C0">
        <w:rPr>
          <w:rFonts w:cs="Arial"/>
          <w:i/>
        </w:rPr>
        <w:instrText xml:space="preserve"> AUTONUM  </w:instrText>
      </w:r>
      <w:r w:rsidRPr="00FA16C0">
        <w:rPr>
          <w:rFonts w:cs="Arial"/>
        </w:rPr>
        <w:fldChar w:fldCharType="end"/>
      </w:r>
      <w:r>
        <w:tab/>
      </w:r>
      <w:r>
        <w:rPr>
          <w:i/>
          <w:iCs/>
        </w:rPr>
        <w:t>Le</w:t>
      </w:r>
      <w:r w:rsidR="00E66602">
        <w:rPr>
          <w:i/>
          <w:iCs/>
        </w:rPr>
        <w:t> TC</w:t>
      </w:r>
      <w:r>
        <w:rPr>
          <w:i/>
          <w:iCs/>
        </w:rPr>
        <w:t xml:space="preserve"> est invité à examiner s</w:t>
      </w:r>
      <w:r w:rsidR="00E66602">
        <w:rPr>
          <w:i/>
          <w:iCs/>
        </w:rPr>
        <w:t>’</w:t>
      </w:r>
      <w:r>
        <w:rPr>
          <w:i/>
          <w:iCs/>
        </w:rPr>
        <w:t>il convient d</w:t>
      </w:r>
      <w:r w:rsidR="00E66602">
        <w:rPr>
          <w:i/>
          <w:iCs/>
        </w:rPr>
        <w:t>’</w:t>
      </w:r>
      <w:r>
        <w:rPr>
          <w:i/>
          <w:iCs/>
        </w:rPr>
        <w:t>organiser des ateliers préparatoires sous la forme d</w:t>
      </w:r>
      <w:r w:rsidR="00E66602">
        <w:rPr>
          <w:i/>
          <w:iCs/>
        </w:rPr>
        <w:t>’</w:t>
      </w:r>
      <w:r>
        <w:rPr>
          <w:i/>
          <w:iCs/>
        </w:rPr>
        <w:t>une série de webinaires, qui se tiendraient à des dates fixées en fonction du calendrier des sessions</w:t>
      </w:r>
      <w:r w:rsidR="00E66602">
        <w:rPr>
          <w:i/>
          <w:iCs/>
        </w:rPr>
        <w:t xml:space="preserve"> des TWP</w:t>
      </w:r>
      <w:r>
        <w:rPr>
          <w:i/>
          <w:iCs/>
        </w:rPr>
        <w:t xml:space="preserve"> </w:t>
      </w:r>
      <w:r w:rsidR="00E66602">
        <w:rPr>
          <w:i/>
          <w:iCs/>
        </w:rPr>
        <w:t>en 2022</w:t>
      </w:r>
      <w:r>
        <w:rPr>
          <w:i/>
          <w:iCs/>
        </w:rPr>
        <w:t xml:space="preserve"> et seraient, le cas échéant, accompagnés d</w:t>
      </w:r>
      <w:r w:rsidR="00E66602">
        <w:rPr>
          <w:i/>
          <w:iCs/>
        </w:rPr>
        <w:t>’</w:t>
      </w:r>
      <w:r>
        <w:rPr>
          <w:i/>
          <w:iCs/>
        </w:rPr>
        <w:t xml:space="preserve">ateliers en présentiel, comme indiqué aux </w:t>
      </w:r>
      <w:r w:rsidR="00E66602">
        <w:rPr>
          <w:i/>
          <w:iCs/>
        </w:rPr>
        <w:t>paragraphes 1</w:t>
      </w:r>
      <w:r>
        <w:rPr>
          <w:i/>
          <w:iCs/>
        </w:rPr>
        <w:t>5 à 18 du présent document.</w:t>
      </w:r>
    </w:p>
    <w:p w:rsidR="00FA16C0" w:rsidRPr="00FA16C0" w:rsidRDefault="00FA16C0" w:rsidP="00FA16C0">
      <w:pPr>
        <w:jc w:val="left"/>
        <w:rPr>
          <w:snapToGrid w:val="0"/>
        </w:rPr>
      </w:pPr>
    </w:p>
    <w:p w:rsidR="00FA16C0" w:rsidRPr="00FA16C0" w:rsidRDefault="00FA16C0" w:rsidP="00FA16C0">
      <w:pPr>
        <w:jc w:val="left"/>
        <w:rPr>
          <w:snapToGrid w:val="0"/>
        </w:rPr>
      </w:pPr>
    </w:p>
    <w:p w:rsidR="00FA16C0" w:rsidRPr="00FA16C0" w:rsidRDefault="00FA16C0" w:rsidP="00FA16C0">
      <w:pPr>
        <w:jc w:val="left"/>
        <w:rPr>
          <w:snapToGrid w:val="0"/>
        </w:rPr>
      </w:pPr>
    </w:p>
    <w:p w:rsidR="00FA16C0" w:rsidRPr="00FA16C0" w:rsidRDefault="00FA16C0" w:rsidP="00FA16C0">
      <w:pPr>
        <w:jc w:val="right"/>
        <w:rPr>
          <w:snapToGrid w:val="0"/>
        </w:rPr>
      </w:pPr>
      <w:r>
        <w:rPr>
          <w:snapToGrid w:val="0"/>
        </w:rPr>
        <w:t>[L</w:t>
      </w:r>
      <w:r w:rsidR="00E66602">
        <w:rPr>
          <w:snapToGrid w:val="0"/>
        </w:rPr>
        <w:t>’</w:t>
      </w:r>
      <w:r>
        <w:rPr>
          <w:snapToGrid w:val="0"/>
        </w:rPr>
        <w:t>annexe suit]</w:t>
      </w:r>
    </w:p>
    <w:p w:rsidR="00FA16C0" w:rsidRPr="00FA16C0" w:rsidRDefault="00FA16C0" w:rsidP="00FA16C0">
      <w:pPr>
        <w:jc w:val="left"/>
        <w:rPr>
          <w:snapToGrid w:val="0"/>
        </w:rPr>
      </w:pPr>
    </w:p>
    <w:p w:rsidR="00FA16C0" w:rsidRPr="00FA16C0" w:rsidRDefault="00FA16C0" w:rsidP="00FA16C0">
      <w:pPr>
        <w:jc w:val="left"/>
        <w:rPr>
          <w:snapToGrid w:val="0"/>
        </w:rPr>
        <w:sectPr w:rsidR="00FA16C0" w:rsidRPr="00FA16C0" w:rsidSect="005E3333">
          <w:headerReference w:type="default" r:id="rId11"/>
          <w:pgSz w:w="11907" w:h="16840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:rsidR="00FA16C0" w:rsidRPr="00FA16C0" w:rsidRDefault="00FA16C0" w:rsidP="00FA16C0">
      <w:pPr>
        <w:jc w:val="center"/>
        <w:outlineLvl w:val="0"/>
        <w:rPr>
          <w:rFonts w:cs="Arial"/>
          <w:caps/>
        </w:rPr>
      </w:pPr>
      <w:bookmarkStart w:id="9" w:name="_Toc117001248"/>
      <w:r>
        <w:rPr>
          <w:caps/>
        </w:rPr>
        <w:t>P</w:t>
      </w:r>
      <w:r w:rsidR="00852DA0">
        <w:rPr>
          <w:caps/>
        </w:rPr>
        <w:t xml:space="preserve">rogramme des Webinaires préparatoires de </w:t>
      </w:r>
      <w:r>
        <w:rPr>
          <w:caps/>
        </w:rPr>
        <w:t>2022</w:t>
      </w:r>
      <w:bookmarkEnd w:id="9"/>
    </w:p>
    <w:p w:rsidR="00FA16C0" w:rsidRPr="00FA16C0" w:rsidRDefault="00FA16C0" w:rsidP="00FA16C0">
      <w:pPr>
        <w:spacing w:line="276" w:lineRule="auto"/>
        <w:rPr>
          <w:rFonts w:cs="Arial"/>
          <w:sz w:val="16"/>
        </w:rPr>
      </w:pPr>
    </w:p>
    <w:p w:rsidR="00A867E1" w:rsidRDefault="00A867E1" w:rsidP="00FA16C0">
      <w:pPr>
        <w:rPr>
          <w:noProof/>
        </w:rPr>
      </w:pPr>
      <w:r>
        <w:t>Chaque webinaire a été présenté deux</w:t>
      </w:r>
      <w:r w:rsidR="00676F2C">
        <w:t> </w:t>
      </w:r>
      <w:r>
        <w:t>fois (à 8</w:t>
      </w:r>
      <w:r w:rsidR="00852DA0">
        <w:t> h </w:t>
      </w:r>
      <w:r>
        <w:t>00 et à 15</w:t>
      </w:r>
      <w:r w:rsidR="00852DA0">
        <w:t> h </w:t>
      </w:r>
      <w:r>
        <w:t>00, heure de Genève).</w:t>
      </w:r>
    </w:p>
    <w:p w:rsidR="00FA16C0" w:rsidRPr="00FA16C0" w:rsidRDefault="00FA16C0" w:rsidP="00FA16C0">
      <w:pPr>
        <w:spacing w:line="276" w:lineRule="auto"/>
        <w:rPr>
          <w:rFonts w:cs="Arial"/>
          <w:sz w:val="16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A867E1" w:rsidRPr="00A867E1" w:rsidTr="003B5386">
        <w:trPr>
          <w:trHeight w:val="60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MARDI 12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AVRIL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2022</w:t>
            </w:r>
            <w:r w:rsidR="00E66602">
              <w:rPr>
                <w:color w:val="000000" w:themeColor="text1"/>
                <w:sz w:val="18"/>
              </w:rPr>
              <w:t> :</w:t>
            </w:r>
            <w:r>
              <w:rPr>
                <w:color w:val="000000" w:themeColor="text1"/>
                <w:sz w:val="18"/>
              </w:rPr>
              <w:t xml:space="preserve"> WEBINAIRE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1</w:t>
            </w:r>
            <w:r w:rsidR="00E66602">
              <w:rPr>
                <w:color w:val="000000" w:themeColor="text1"/>
                <w:sz w:val="18"/>
              </w:rPr>
              <w:t> :</w:t>
            </w:r>
            <w:r>
              <w:rPr>
                <w:color w:val="000000" w:themeColor="text1"/>
                <w:sz w:val="18"/>
              </w:rPr>
              <w:t xml:space="preserve"> COMMENT ORGANISER UN EXAMEN DHS AVEC DES INFORMATIONS FOURNIES PAR LE DEMANDEUR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Conférenciers</w:t>
            </w:r>
            <w:r w:rsidR="00852DA0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Experts</w:t>
            </w:r>
          </w:p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867E1" w:rsidRPr="00A867E1" w:rsidTr="003B5386">
        <w:trPr>
          <w:trHeight w:val="27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EC7EAC" w:rsidP="00930E56">
            <w:pPr>
              <w:spacing w:line="276" w:lineRule="auto"/>
              <w:ind w:left="332" w:hanging="332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Exposés liminaires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A867E1" w:rsidRPr="00A867E1" w:rsidTr="003B538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602" w:rsidRDefault="00A867E1" w:rsidP="00930E56">
            <w:pPr>
              <w:keepNext/>
              <w:spacing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Que sont les questionnaires techniques dans les formulaires de demande</w:t>
            </w:r>
          </w:p>
          <w:p w:rsidR="00E66602" w:rsidRDefault="00852DA0" w:rsidP="00930E56">
            <w:pPr>
              <w:keepNext/>
              <w:spacing w:line="276" w:lineRule="auto"/>
              <w:ind w:firstLine="567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  <w:r w:rsidR="00A867E1">
              <w:rPr>
                <w:sz w:val="18"/>
              </w:rPr>
              <w:t xml:space="preserve"> caractères utilisés pour le groupement des variétés</w:t>
            </w:r>
          </w:p>
          <w:p w:rsidR="00A867E1" w:rsidRPr="00FA16C0" w:rsidRDefault="00852DA0" w:rsidP="00930E56">
            <w:pPr>
              <w:keepNext/>
              <w:spacing w:line="276" w:lineRule="auto"/>
              <w:ind w:firstLine="567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–</w:t>
            </w:r>
            <w:r w:rsidR="00A867E1">
              <w:rPr>
                <w:sz w:val="18"/>
              </w:rPr>
              <w:t xml:space="preserve"> schéma de sélection et autres informations utiles pour distinguer les variétés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Leontino </w:t>
            </w:r>
            <w:proofErr w:type="spellStart"/>
            <w:r>
              <w:rPr>
                <w:sz w:val="18"/>
              </w:rPr>
              <w:t>Taveira</w:t>
            </w:r>
            <w:proofErr w:type="spellEnd"/>
          </w:p>
        </w:tc>
      </w:tr>
      <w:tr w:rsidR="00A867E1" w:rsidRPr="00A867E1" w:rsidTr="003B538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A867E1" w:rsidRDefault="00A867E1" w:rsidP="00930E56">
            <w:pPr>
              <w:keepNext/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Sélection de variétés similaires aux fins de l</w:t>
            </w:r>
            <w:r w:rsidR="00E66602">
              <w:rPr>
                <w:sz w:val="18"/>
              </w:rPr>
              <w:t>’</w:t>
            </w:r>
            <w:r>
              <w:rPr>
                <w:sz w:val="18"/>
              </w:rPr>
              <w:t>organisation de l</w:t>
            </w:r>
            <w:r w:rsidR="00E66602">
              <w:rPr>
                <w:sz w:val="18"/>
              </w:rPr>
              <w:t>’</w:t>
            </w:r>
            <w:r>
              <w:rPr>
                <w:sz w:val="18"/>
              </w:rPr>
              <w:t>examen</w:t>
            </w:r>
            <w:r w:rsidR="00676F2C">
              <w:rPr>
                <w:sz w:val="18"/>
              </w:rPr>
              <w:t> </w:t>
            </w:r>
            <w:r>
              <w:rPr>
                <w:sz w:val="18"/>
              </w:rPr>
              <w:t>DHS</w:t>
            </w:r>
            <w:r w:rsidR="00E66602">
              <w:rPr>
                <w:sz w:val="18"/>
              </w:rPr>
              <w:t> :</w:t>
            </w:r>
          </w:p>
          <w:p w:rsidR="00E66602" w:rsidRDefault="00852DA0" w:rsidP="00852DA0">
            <w:pPr>
              <w:keepNext/>
              <w:spacing w:line="276" w:lineRule="auto"/>
              <w:ind w:left="589"/>
              <w:jc w:val="left"/>
              <w:rPr>
                <w:sz w:val="18"/>
              </w:rPr>
            </w:pPr>
            <w:r>
              <w:rPr>
                <w:sz w:val="18"/>
              </w:rPr>
              <w:t>–</w:t>
            </w:r>
            <w:r w:rsidR="00A867E1">
              <w:rPr>
                <w:sz w:val="18"/>
              </w:rPr>
              <w:t xml:space="preserve"> constitution et maintien des collections de variétés</w:t>
            </w:r>
          </w:p>
          <w:p w:rsidR="00A867E1" w:rsidRPr="00FA16C0" w:rsidRDefault="00E66602" w:rsidP="00852DA0">
            <w:pPr>
              <w:spacing w:line="276" w:lineRule="auto"/>
              <w:ind w:left="589"/>
              <w:jc w:val="left"/>
              <w:rPr>
                <w:spacing w:val="-2"/>
                <w:sz w:val="18"/>
                <w:szCs w:val="18"/>
              </w:rPr>
            </w:pPr>
            <w:r>
              <w:rPr>
                <w:sz w:val="18"/>
              </w:rPr>
              <w:t xml:space="preserve">– </w:t>
            </w:r>
            <w:r w:rsidR="00A867E1">
              <w:rPr>
                <w:sz w:val="18"/>
              </w:rPr>
              <w:t>utilisation d</w:t>
            </w:r>
            <w:r>
              <w:rPr>
                <w:sz w:val="18"/>
              </w:rPr>
              <w:t>’</w:t>
            </w:r>
            <w:r w:rsidR="00A867E1">
              <w:rPr>
                <w:sz w:val="18"/>
              </w:rPr>
              <w:t>informations moléculaires aux fins de l</w:t>
            </w:r>
            <w:r>
              <w:rPr>
                <w:sz w:val="18"/>
              </w:rPr>
              <w:t>’</w:t>
            </w:r>
            <w:r w:rsidR="00A867E1">
              <w:rPr>
                <w:sz w:val="18"/>
              </w:rPr>
              <w:t xml:space="preserve">organisation des essais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Manabu</w:t>
            </w:r>
            <w:proofErr w:type="spellEnd"/>
            <w:r>
              <w:rPr>
                <w:sz w:val="18"/>
              </w:rPr>
              <w:t xml:space="preserve"> Suzuki</w:t>
            </w:r>
          </w:p>
        </w:tc>
      </w:tr>
      <w:tr w:rsidR="00A867E1" w:rsidRPr="00A867E1" w:rsidTr="003B538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E1" w:rsidRPr="00FA16C0" w:rsidRDefault="00A867E1" w:rsidP="00930E56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Débats d</w:t>
            </w:r>
            <w:r w:rsidR="00E66602">
              <w:rPr>
                <w:i/>
                <w:sz w:val="18"/>
              </w:rPr>
              <w:t>’</w:t>
            </w:r>
            <w:r>
              <w:rPr>
                <w:i/>
                <w:sz w:val="18"/>
              </w:rPr>
              <w:t>experts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629" w:rsidRPr="003B5386" w:rsidRDefault="003B5386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Anthony Parker (Canada)</w:t>
            </w:r>
          </w:p>
          <w:p w:rsidR="003B5386" w:rsidRDefault="003B5386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Cecile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Marchenay</w:t>
            </w:r>
            <w:proofErr w:type="spellEnd"/>
            <w:r>
              <w:rPr>
                <w:sz w:val="18"/>
              </w:rPr>
              <w:t xml:space="preserve"> (Pays</w:t>
            </w:r>
            <w:r w:rsidR="00852DA0">
              <w:rPr>
                <w:sz w:val="18"/>
              </w:rPr>
              <w:noBreakHyphen/>
            </w:r>
            <w:r>
              <w:rPr>
                <w:sz w:val="18"/>
              </w:rPr>
              <w:t>Bas)</w:t>
            </w:r>
          </w:p>
          <w:p w:rsidR="003B5386" w:rsidRPr="003B5386" w:rsidRDefault="003B5386" w:rsidP="00BE1218">
            <w:pPr>
              <w:spacing w:line="276" w:lineRule="auto"/>
              <w:jc w:val="left"/>
              <w:rPr>
                <w:strike/>
                <w:sz w:val="18"/>
                <w:szCs w:val="18"/>
              </w:rPr>
            </w:pPr>
            <w:r>
              <w:rPr>
                <w:sz w:val="18"/>
              </w:rPr>
              <w:t>Chris Barnaby (Nouvelle</w:t>
            </w:r>
            <w:r w:rsidR="00852DA0">
              <w:rPr>
                <w:sz w:val="18"/>
              </w:rPr>
              <w:noBreakHyphen/>
            </w:r>
            <w:r>
              <w:rPr>
                <w:sz w:val="18"/>
              </w:rPr>
              <w:t xml:space="preserve">Zélande) </w:t>
            </w:r>
            <w:proofErr w:type="spellStart"/>
            <w:r>
              <w:rPr>
                <w:sz w:val="18"/>
              </w:rPr>
              <w:t>Leobigildo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Cordova</w:t>
            </w:r>
            <w:proofErr w:type="spellEnd"/>
            <w:r>
              <w:rPr>
                <w:sz w:val="18"/>
              </w:rPr>
              <w:t xml:space="preserve"> (Mexique)</w:t>
            </w:r>
          </w:p>
          <w:p w:rsidR="00E66602" w:rsidRDefault="003B5386" w:rsidP="00BE1218">
            <w:pPr>
              <w:spacing w:line="276" w:lineRule="auto"/>
              <w:jc w:val="left"/>
              <w:rPr>
                <w:sz w:val="18"/>
              </w:rPr>
            </w:pPr>
            <w:r>
              <w:rPr>
                <w:sz w:val="18"/>
              </w:rPr>
              <w:t>Liz</w:t>
            </w:r>
            <w:r w:rsidR="00852DA0">
              <w:rPr>
                <w:sz w:val="18"/>
              </w:rPr>
              <w:t> </w:t>
            </w:r>
            <w:r>
              <w:rPr>
                <w:sz w:val="18"/>
              </w:rPr>
              <w:t>Scott (Royaume</w:t>
            </w:r>
            <w:r w:rsidR="00852DA0">
              <w:rPr>
                <w:sz w:val="18"/>
              </w:rPr>
              <w:noBreakHyphen/>
            </w:r>
            <w:r>
              <w:rPr>
                <w:sz w:val="18"/>
              </w:rPr>
              <w:t>Uni),</w:t>
            </w:r>
          </w:p>
          <w:p w:rsidR="00A867E1" w:rsidRPr="00FA16C0" w:rsidRDefault="003B5386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Malerotho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Lekoane</w:t>
            </w:r>
            <w:proofErr w:type="spellEnd"/>
            <w:r>
              <w:rPr>
                <w:sz w:val="18"/>
              </w:rPr>
              <w:t xml:space="preserve"> et Hennie Venter (Afrique du Sud) </w:t>
            </w:r>
          </w:p>
        </w:tc>
      </w:tr>
      <w:tr w:rsidR="00A867E1" w:rsidRPr="00A867E1" w:rsidTr="003B538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E1" w:rsidRPr="00FA16C0" w:rsidRDefault="00A867E1" w:rsidP="00930E56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Séance de questions</w:t>
            </w:r>
            <w:r w:rsidR="00852DA0">
              <w:rPr>
                <w:i/>
                <w:sz w:val="18"/>
              </w:rPr>
              <w:noBreakHyphen/>
            </w:r>
            <w:r>
              <w:rPr>
                <w:i/>
                <w:sz w:val="18"/>
              </w:rPr>
              <w:t>réponses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:rsidR="00FA16C0" w:rsidRPr="00FA16C0" w:rsidRDefault="00FA16C0" w:rsidP="00FA16C0">
      <w:pPr>
        <w:spacing w:line="276" w:lineRule="auto"/>
        <w:rPr>
          <w:rFonts w:cs="Arial"/>
          <w:sz w:val="18"/>
          <w:szCs w:val="18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A867E1" w:rsidRPr="00A867E1" w:rsidTr="00930E56">
        <w:trPr>
          <w:trHeight w:val="62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MERCREDI 13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AVRIL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2022</w:t>
            </w:r>
            <w:r w:rsidR="00E66602">
              <w:rPr>
                <w:color w:val="000000" w:themeColor="text1"/>
                <w:sz w:val="18"/>
              </w:rPr>
              <w:t> :</w:t>
            </w:r>
            <w:r>
              <w:rPr>
                <w:color w:val="000000" w:themeColor="text1"/>
                <w:sz w:val="18"/>
              </w:rPr>
              <w:t xml:space="preserve"> WEBINAIRE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2</w:t>
            </w:r>
            <w:r w:rsidR="00E66602">
              <w:rPr>
                <w:color w:val="000000" w:themeColor="text1"/>
                <w:sz w:val="18"/>
              </w:rPr>
              <w:t> :</w:t>
            </w:r>
            <w:r>
              <w:rPr>
                <w:color w:val="000000" w:themeColor="text1"/>
                <w:sz w:val="18"/>
              </w:rPr>
              <w:t xml:space="preserve"> RÉSISTANCE AUX MALADIES ET CARACTÈRES PHYSIOLOGIQUES DANS UN EXAMEN DHS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Conférenciers</w:t>
            </w:r>
            <w:r w:rsidR="00852DA0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Experts</w:t>
            </w:r>
          </w:p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867E1" w:rsidRPr="00A867E1" w:rsidTr="00930E56">
        <w:trPr>
          <w:trHeight w:val="274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EC7EAC" w:rsidRDefault="00EC7EAC" w:rsidP="00930E56">
            <w:pPr>
              <w:pStyle w:val="Heading2"/>
              <w:jc w:val="left"/>
              <w:outlineLvl w:val="1"/>
              <w:rPr>
                <w:color w:val="000000" w:themeColor="text1"/>
              </w:rPr>
            </w:pPr>
            <w:bookmarkStart w:id="10" w:name="_Toc117001249"/>
            <w:r>
              <w:t>Exposés liminaires</w:t>
            </w:r>
            <w:bookmarkEnd w:id="10"/>
            <w: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A867E1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852DA0" w:rsidP="00852DA0">
            <w:pPr>
              <w:spacing w:line="276" w:lineRule="auto"/>
              <w:ind w:left="589" w:hanging="589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</w:r>
            <w:r w:rsidR="00930E56">
              <w:rPr>
                <w:sz w:val="18"/>
              </w:rPr>
              <w:t>Conditions fondamentales auxquelles les caractères doivent satisfaire dans un examen</w:t>
            </w:r>
            <w:r w:rsidR="00676F2C">
              <w:rPr>
                <w:sz w:val="18"/>
              </w:rPr>
              <w:t> </w:t>
            </w:r>
            <w:r w:rsidR="00930E56">
              <w:rPr>
                <w:sz w:val="18"/>
              </w:rPr>
              <w:t xml:space="preserve">DHS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EC7EAC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Nik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Hulse</w:t>
            </w:r>
            <w:proofErr w:type="spellEnd"/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852DA0" w:rsidP="00852DA0">
            <w:pPr>
              <w:spacing w:line="276" w:lineRule="auto"/>
              <w:ind w:left="589" w:hanging="589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 w:rsidR="00930E56">
              <w:rPr>
                <w:sz w:val="18"/>
              </w:rPr>
              <w:t>Orientations de l</w:t>
            </w:r>
            <w:r w:rsidR="00E66602">
              <w:rPr>
                <w:sz w:val="18"/>
              </w:rPr>
              <w:t>’</w:t>
            </w:r>
            <w:r w:rsidR="00930E56">
              <w:rPr>
                <w:sz w:val="18"/>
              </w:rPr>
              <w:t xml:space="preserve">UPOV concernant les caractères physiologiques dans un examen DHS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EC7EAC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Leontino </w:t>
            </w:r>
            <w:proofErr w:type="spellStart"/>
            <w:r>
              <w:rPr>
                <w:sz w:val="18"/>
              </w:rPr>
              <w:t>Taveira</w:t>
            </w:r>
            <w:proofErr w:type="spellEnd"/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E1" w:rsidRPr="00FA16C0" w:rsidRDefault="00A867E1" w:rsidP="00930E56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Débats d</w:t>
            </w:r>
            <w:r w:rsidR="00E66602">
              <w:rPr>
                <w:i/>
                <w:sz w:val="18"/>
              </w:rPr>
              <w:t>’</w:t>
            </w:r>
            <w:r>
              <w:rPr>
                <w:i/>
                <w:sz w:val="18"/>
              </w:rPr>
              <w:t>experts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386" w:rsidRDefault="003B5386" w:rsidP="00BE1218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center" w:pos="5386"/>
              </w:tabs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Chystelle</w:t>
            </w:r>
            <w:proofErr w:type="spellEnd"/>
            <w:r>
              <w:rPr>
                <w:sz w:val="18"/>
              </w:rPr>
              <w:t xml:space="preserve"> Jouy (France),</w:t>
            </w:r>
          </w:p>
          <w:p w:rsidR="00E66602" w:rsidRDefault="00A867E1" w:rsidP="00BE1218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center" w:pos="5386"/>
              </w:tabs>
              <w:spacing w:line="276" w:lineRule="auto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Gosia</w:t>
            </w:r>
            <w:proofErr w:type="spellEnd"/>
            <w:r>
              <w:rPr>
                <w:sz w:val="18"/>
              </w:rPr>
              <w:t xml:space="preserve"> Blokker (Pays</w:t>
            </w:r>
            <w:r w:rsidR="00852DA0">
              <w:rPr>
                <w:sz w:val="18"/>
              </w:rPr>
              <w:noBreakHyphen/>
            </w:r>
            <w:r>
              <w:rPr>
                <w:sz w:val="18"/>
              </w:rPr>
              <w:t xml:space="preserve">Bas), </w:t>
            </w:r>
            <w:proofErr w:type="spellStart"/>
            <w:r>
              <w:rPr>
                <w:sz w:val="18"/>
              </w:rPr>
              <w:t>Stefânia</w:t>
            </w:r>
            <w:proofErr w:type="spellEnd"/>
            <w:r>
              <w:rPr>
                <w:sz w:val="18"/>
              </w:rPr>
              <w:t xml:space="preserve"> Palma (Brésil),</w:t>
            </w:r>
          </w:p>
          <w:p w:rsidR="00A867E1" w:rsidRPr="00FA16C0" w:rsidRDefault="00A867E1" w:rsidP="00BE1218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center" w:pos="5386"/>
              </w:tabs>
              <w:spacing w:line="276" w:lineRule="auto"/>
              <w:jc w:val="left"/>
              <w:rPr>
                <w:sz w:val="18"/>
                <w:szCs w:val="18"/>
                <w:highlight w:val="cyan"/>
              </w:rPr>
            </w:pPr>
            <w:proofErr w:type="spellStart"/>
            <w:r>
              <w:rPr>
                <w:sz w:val="18"/>
              </w:rPr>
              <w:t>Yoshiyuki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Ohno</w:t>
            </w:r>
            <w:proofErr w:type="spellEnd"/>
            <w:r>
              <w:rPr>
                <w:sz w:val="18"/>
              </w:rPr>
              <w:t xml:space="preserve"> (Japon)</w:t>
            </w:r>
            <w:r>
              <w:rPr>
                <w:sz w:val="18"/>
                <w:highlight w:val="cyan"/>
              </w:rPr>
              <w:t xml:space="preserve"> </w:t>
            </w: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E1" w:rsidRPr="00FA16C0" w:rsidRDefault="00A867E1" w:rsidP="00930E56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Séance de questions</w:t>
            </w:r>
            <w:r w:rsidR="00852DA0">
              <w:rPr>
                <w:i/>
                <w:sz w:val="18"/>
              </w:rPr>
              <w:noBreakHyphen/>
            </w:r>
            <w:r>
              <w:rPr>
                <w:i/>
                <w:sz w:val="18"/>
              </w:rPr>
              <w:t>réponses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:rsidR="00FA16C0" w:rsidRPr="00FA16C0" w:rsidRDefault="00FA16C0" w:rsidP="00FA16C0">
      <w:p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line="276" w:lineRule="auto"/>
        <w:rPr>
          <w:rFonts w:cs="Arial"/>
          <w:sz w:val="18"/>
          <w:szCs w:val="18"/>
        </w:rPr>
      </w:pPr>
    </w:p>
    <w:tbl>
      <w:tblPr>
        <w:tblStyle w:val="TableGrid"/>
        <w:tblW w:w="9634" w:type="dxa"/>
        <w:tblInd w:w="0" w:type="dxa"/>
        <w:tblLook w:val="04A0" w:firstRow="1" w:lastRow="0" w:firstColumn="1" w:lastColumn="0" w:noHBand="0" w:noVBand="1"/>
      </w:tblPr>
      <w:tblGrid>
        <w:gridCol w:w="6516"/>
        <w:gridCol w:w="3118"/>
      </w:tblGrid>
      <w:tr w:rsidR="00A867E1" w:rsidRPr="00A867E1" w:rsidTr="00930E56">
        <w:trPr>
          <w:trHeight w:val="55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JEUDI 14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AVRIL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2022</w:t>
            </w:r>
            <w:r w:rsidR="00E66602">
              <w:rPr>
                <w:color w:val="000000" w:themeColor="text1"/>
                <w:sz w:val="18"/>
              </w:rPr>
              <w:t> :</w:t>
            </w:r>
            <w:r>
              <w:rPr>
                <w:color w:val="000000" w:themeColor="text1"/>
                <w:sz w:val="18"/>
              </w:rPr>
              <w:t xml:space="preserve"> WEBINAIRE</w:t>
            </w:r>
            <w:r w:rsidR="00852DA0">
              <w:rPr>
                <w:color w:val="000000" w:themeColor="text1"/>
                <w:sz w:val="18"/>
              </w:rPr>
              <w:t> </w:t>
            </w:r>
            <w:r>
              <w:rPr>
                <w:color w:val="000000" w:themeColor="text1"/>
                <w:sz w:val="18"/>
              </w:rPr>
              <w:t>3</w:t>
            </w:r>
            <w:r w:rsidR="00E66602">
              <w:rPr>
                <w:color w:val="000000" w:themeColor="text1"/>
                <w:sz w:val="18"/>
              </w:rPr>
              <w:t> :</w:t>
            </w:r>
            <w:r>
              <w:rPr>
                <w:color w:val="000000" w:themeColor="text1"/>
                <w:sz w:val="18"/>
              </w:rPr>
              <w:t xml:space="preserve"> TECHNIQUES DE TRAITEMENT DES DONNÉES DANS UN EXAMEN DHS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</w:rPr>
              <w:t>Conférenciers</w:t>
            </w:r>
            <w:r w:rsidR="00852DA0">
              <w:rPr>
                <w:color w:val="000000" w:themeColor="text1"/>
                <w:sz w:val="18"/>
              </w:rPr>
              <w:t>/</w:t>
            </w:r>
            <w:r>
              <w:rPr>
                <w:color w:val="000000" w:themeColor="text1"/>
                <w:sz w:val="18"/>
              </w:rPr>
              <w:t>Experts</w:t>
            </w:r>
          </w:p>
          <w:p w:rsidR="00A867E1" w:rsidRPr="00FA16C0" w:rsidRDefault="00A867E1" w:rsidP="00930E56">
            <w:pPr>
              <w:spacing w:line="276" w:lineRule="auto"/>
              <w:jc w:val="left"/>
              <w:rPr>
                <w:color w:val="000000" w:themeColor="text1"/>
                <w:sz w:val="18"/>
                <w:szCs w:val="18"/>
              </w:rPr>
            </w:pPr>
          </w:p>
        </w:tc>
      </w:tr>
      <w:tr w:rsidR="00A867E1" w:rsidRPr="00A867E1" w:rsidTr="00930E56">
        <w:trPr>
          <w:trHeight w:val="325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629" w:rsidRPr="00FA16C0" w:rsidRDefault="008B59CB" w:rsidP="00930E56">
            <w:pPr>
              <w:spacing w:line="276" w:lineRule="auto"/>
              <w:ind w:left="332" w:hanging="332"/>
              <w:jc w:val="left"/>
              <w:rPr>
                <w:sz w:val="18"/>
                <w:szCs w:val="18"/>
              </w:rPr>
            </w:pPr>
            <w:r>
              <w:rPr>
                <w:i/>
                <w:sz w:val="18"/>
              </w:rPr>
              <w:t>Exposés liminaires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A867E1" w:rsidP="00852DA0">
            <w:pPr>
              <w:tabs>
                <w:tab w:val="left" w:pos="567"/>
                <w:tab w:val="left" w:pos="1134"/>
              </w:tabs>
              <w:spacing w:line="276" w:lineRule="auto"/>
              <w:ind w:left="589" w:hanging="589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Présentation du document TGP/8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8B59CB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Manabu</w:t>
            </w:r>
            <w:proofErr w:type="spellEnd"/>
            <w:r>
              <w:rPr>
                <w:sz w:val="18"/>
              </w:rPr>
              <w:t xml:space="preserve"> Suzuki</w:t>
            </w: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A867E1" w:rsidRDefault="00A867E1" w:rsidP="00852DA0">
            <w:pPr>
              <w:tabs>
                <w:tab w:val="left" w:pos="567"/>
                <w:tab w:val="left" w:pos="1134"/>
              </w:tabs>
              <w:spacing w:line="276" w:lineRule="auto"/>
              <w:ind w:left="589" w:hanging="589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Analyse globale de l</w:t>
            </w:r>
            <w:r w:rsidR="00E66602">
              <w:rPr>
                <w:sz w:val="18"/>
              </w:rPr>
              <w:t>’</w:t>
            </w:r>
            <w:r>
              <w:rPr>
                <w:sz w:val="18"/>
              </w:rPr>
              <w:t xml:space="preserve">homogénéité sur plusieurs années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A867E1" w:rsidRDefault="008B59CB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Sally</w:t>
            </w:r>
            <w:r w:rsidR="00852DA0">
              <w:rPr>
                <w:sz w:val="18"/>
              </w:rPr>
              <w:t> </w:t>
            </w:r>
            <w:r>
              <w:rPr>
                <w:sz w:val="18"/>
              </w:rPr>
              <w:t>Watson (Royaume</w:t>
            </w:r>
            <w:r w:rsidR="00852DA0">
              <w:rPr>
                <w:sz w:val="18"/>
              </w:rPr>
              <w:noBreakHyphen/>
            </w:r>
            <w:r>
              <w:rPr>
                <w:sz w:val="18"/>
              </w:rPr>
              <w:t>Uni)</w:t>
            </w: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A867E1" w:rsidP="00852DA0">
            <w:pPr>
              <w:spacing w:line="276" w:lineRule="auto"/>
              <w:ind w:left="589" w:hanging="589"/>
              <w:jc w:val="left"/>
              <w:rPr>
                <w:spacing w:val="-2"/>
                <w:sz w:val="18"/>
                <w:szCs w:val="18"/>
              </w:rPr>
            </w:pPr>
            <w:r>
              <w:rPr>
                <w:sz w:val="18"/>
              </w:rPr>
              <w:t>c)</w:t>
            </w:r>
            <w:r>
              <w:rPr>
                <w:sz w:val="18"/>
              </w:rPr>
              <w:tab/>
              <w:t xml:space="preserve">Méthodologie GAIA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8B59CB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Christelle</w:t>
            </w:r>
            <w:r w:rsidR="00852DA0">
              <w:rPr>
                <w:sz w:val="18"/>
              </w:rPr>
              <w:t> </w:t>
            </w:r>
            <w:proofErr w:type="spellStart"/>
            <w:r>
              <w:rPr>
                <w:sz w:val="18"/>
              </w:rPr>
              <w:t>Lavaud</w:t>
            </w:r>
            <w:proofErr w:type="spellEnd"/>
            <w:r>
              <w:rPr>
                <w:sz w:val="18"/>
              </w:rPr>
              <w:t xml:space="preserve"> (France)</w:t>
            </w: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7E1" w:rsidRPr="00FA16C0" w:rsidRDefault="00A867E1" w:rsidP="00852DA0">
            <w:pPr>
              <w:spacing w:line="276" w:lineRule="auto"/>
              <w:ind w:left="589" w:hanging="589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d)</w:t>
            </w:r>
            <w:r>
              <w:rPr>
                <w:sz w:val="18"/>
              </w:rPr>
              <w:tab/>
              <w:t xml:space="preserve">Intégration de méthodes et de techniques statistiques dans un logiciel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8B59CB" w:rsidP="00BE1218">
            <w:pPr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Thomas</w:t>
            </w:r>
            <w:r w:rsidR="00852DA0">
              <w:rPr>
                <w:sz w:val="18"/>
              </w:rPr>
              <w:t> </w:t>
            </w:r>
            <w:proofErr w:type="spellStart"/>
            <w:r>
              <w:rPr>
                <w:sz w:val="18"/>
              </w:rPr>
              <w:t>Drobeck</w:t>
            </w:r>
            <w:proofErr w:type="spellEnd"/>
            <w:r>
              <w:rPr>
                <w:sz w:val="18"/>
              </w:rPr>
              <w:t xml:space="preserve"> (Allemagne)</w:t>
            </w: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E1" w:rsidRPr="00FA16C0" w:rsidRDefault="00A867E1" w:rsidP="00930E56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Débats d</w:t>
            </w:r>
            <w:r w:rsidR="00E66602">
              <w:rPr>
                <w:i/>
                <w:sz w:val="18"/>
              </w:rPr>
              <w:t>’</w:t>
            </w:r>
            <w:r>
              <w:rPr>
                <w:i/>
                <w:sz w:val="18"/>
              </w:rPr>
              <w:t>experts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C7" w:rsidRDefault="001B48C7" w:rsidP="00BE1218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center" w:pos="5386"/>
              </w:tabs>
              <w:spacing w:line="276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</w:rPr>
              <w:t>Samuel</w:t>
            </w:r>
            <w:r w:rsidR="00852DA0">
              <w:rPr>
                <w:sz w:val="18"/>
              </w:rPr>
              <w:t> </w:t>
            </w:r>
            <w:proofErr w:type="spellStart"/>
            <w:r>
              <w:rPr>
                <w:sz w:val="18"/>
              </w:rPr>
              <w:t>Ogola</w:t>
            </w:r>
            <w:proofErr w:type="spellEnd"/>
            <w:r>
              <w:rPr>
                <w:sz w:val="18"/>
              </w:rPr>
              <w:t xml:space="preserve"> (Kenya);</w:t>
            </w:r>
          </w:p>
          <w:p w:rsidR="00A867E1" w:rsidRPr="00FA16C0" w:rsidRDefault="00A867E1" w:rsidP="00BE1218">
            <w:pPr>
              <w:tabs>
                <w:tab w:val="left" w:pos="567"/>
                <w:tab w:val="left" w:pos="1134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center" w:pos="5386"/>
              </w:tabs>
              <w:spacing w:line="276" w:lineRule="auto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</w:rPr>
              <w:t>Yoshiyuki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Ohno</w:t>
            </w:r>
            <w:proofErr w:type="spellEnd"/>
            <w:r>
              <w:rPr>
                <w:sz w:val="18"/>
              </w:rPr>
              <w:t xml:space="preserve"> (Japon) </w:t>
            </w:r>
          </w:p>
        </w:tc>
      </w:tr>
      <w:tr w:rsidR="00A867E1" w:rsidRPr="00A867E1" w:rsidTr="00930E56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7E1" w:rsidRPr="00FA16C0" w:rsidRDefault="00A867E1" w:rsidP="00930E56">
            <w:pPr>
              <w:spacing w:line="276" w:lineRule="auto"/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Séance de questions</w:t>
            </w:r>
            <w:r w:rsidR="00852DA0">
              <w:rPr>
                <w:i/>
                <w:sz w:val="18"/>
              </w:rPr>
              <w:noBreakHyphen/>
            </w:r>
            <w:r>
              <w:rPr>
                <w:i/>
                <w:sz w:val="18"/>
              </w:rPr>
              <w:t>réponses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E1" w:rsidRPr="00FA16C0" w:rsidRDefault="00A867E1" w:rsidP="00930E56">
            <w:pPr>
              <w:spacing w:line="276" w:lineRule="auto"/>
              <w:jc w:val="left"/>
              <w:rPr>
                <w:sz w:val="18"/>
                <w:szCs w:val="18"/>
              </w:rPr>
            </w:pPr>
          </w:p>
        </w:tc>
      </w:tr>
    </w:tbl>
    <w:p w:rsidR="00FA16C0" w:rsidRPr="00FA16C0" w:rsidRDefault="00FA16C0" w:rsidP="00FA16C0">
      <w:pPr>
        <w:rPr>
          <w:rFonts w:cs="Arial"/>
        </w:rPr>
      </w:pPr>
    </w:p>
    <w:p w:rsidR="00FA16C0" w:rsidRPr="00FA16C0" w:rsidRDefault="00FA16C0" w:rsidP="00FA16C0">
      <w:pPr>
        <w:jc w:val="left"/>
        <w:rPr>
          <w:snapToGrid w:val="0"/>
        </w:rPr>
      </w:pPr>
    </w:p>
    <w:p w:rsidR="00FA16C0" w:rsidRPr="00FA16C0" w:rsidRDefault="00FA16C0" w:rsidP="00FA16C0">
      <w:pPr>
        <w:jc w:val="left"/>
        <w:rPr>
          <w:snapToGrid w:val="0"/>
        </w:rPr>
      </w:pPr>
    </w:p>
    <w:p w:rsidR="00050E16" w:rsidRPr="00C5280D" w:rsidRDefault="00FA16C0" w:rsidP="00763629">
      <w:pPr>
        <w:jc w:val="right"/>
      </w:pPr>
      <w:r>
        <w:rPr>
          <w:snapToGrid w:val="0"/>
        </w:rPr>
        <w:t>[Fin de l</w:t>
      </w:r>
      <w:r w:rsidR="00E66602">
        <w:rPr>
          <w:snapToGrid w:val="0"/>
        </w:rPr>
        <w:t>’</w:t>
      </w:r>
      <w:r>
        <w:rPr>
          <w:snapToGrid w:val="0"/>
        </w:rPr>
        <w:t>annexe et du document]</w:t>
      </w:r>
    </w:p>
    <w:sectPr w:rsidR="00050E16" w:rsidRPr="00C5280D" w:rsidSect="0004198B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482" w:rsidRDefault="00DD1482" w:rsidP="006655D3">
      <w:r>
        <w:separator/>
      </w:r>
    </w:p>
    <w:p w:rsidR="00DD1482" w:rsidRDefault="00DD1482" w:rsidP="006655D3"/>
    <w:p w:rsidR="00DD1482" w:rsidRDefault="00DD1482" w:rsidP="006655D3"/>
  </w:endnote>
  <w:endnote w:type="continuationSeparator" w:id="0">
    <w:p w:rsidR="00DD1482" w:rsidRDefault="00DD1482" w:rsidP="006655D3">
      <w:r>
        <w:separator/>
      </w:r>
    </w:p>
    <w:p w:rsidR="00DD1482" w:rsidRPr="00294751" w:rsidRDefault="00DD1482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DD1482" w:rsidRPr="00294751" w:rsidRDefault="00DD1482" w:rsidP="006655D3"/>
    <w:p w:rsidR="00DD1482" w:rsidRPr="00294751" w:rsidRDefault="00DD1482" w:rsidP="006655D3"/>
  </w:endnote>
  <w:endnote w:type="continuationNotice" w:id="1">
    <w:p w:rsidR="00DD1482" w:rsidRPr="00294751" w:rsidRDefault="00DD1482" w:rsidP="006655D3">
      <w:r w:rsidRPr="00294751">
        <w:t>[Suite de la note page suivante]</w:t>
      </w:r>
    </w:p>
    <w:p w:rsidR="00DD1482" w:rsidRPr="00294751" w:rsidRDefault="00DD1482" w:rsidP="006655D3"/>
    <w:p w:rsidR="00DD1482" w:rsidRPr="00294751" w:rsidRDefault="00DD148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482" w:rsidRDefault="00DD1482" w:rsidP="006655D3">
      <w:r>
        <w:separator/>
      </w:r>
    </w:p>
  </w:footnote>
  <w:footnote w:type="continuationSeparator" w:id="0">
    <w:p w:rsidR="00DD1482" w:rsidRDefault="00DD1482" w:rsidP="006655D3">
      <w:r>
        <w:separator/>
      </w:r>
    </w:p>
  </w:footnote>
  <w:footnote w:type="continuationNotice" w:id="1">
    <w:p w:rsidR="00DD1482" w:rsidRPr="00AB530F" w:rsidRDefault="00DD1482" w:rsidP="00AB530F">
      <w:pPr>
        <w:pStyle w:val="Footer"/>
      </w:pPr>
    </w:p>
  </w:footnote>
  <w:footnote w:id="2">
    <w:p w:rsidR="00FA16C0" w:rsidRDefault="00FA16C0" w:rsidP="00FA16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2DA0">
        <w:tab/>
      </w:r>
      <w:r>
        <w:t>Tenue à Genève du 15 au 1</w:t>
      </w:r>
      <w:r w:rsidR="007F275F">
        <w:t>7 avril 20</w:t>
      </w:r>
      <w:r>
        <w:t>02.</w:t>
      </w:r>
    </w:p>
  </w:footnote>
  <w:footnote w:id="3">
    <w:p w:rsidR="00FA16C0" w:rsidRDefault="00FA16C0" w:rsidP="00FA16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2DA0">
        <w:tab/>
      </w:r>
      <w:r>
        <w:rPr>
          <w:snapToGrid w:val="0"/>
        </w:rPr>
        <w:t>Tenue à Genève les 28 et 2</w:t>
      </w:r>
      <w:r w:rsidR="007F275F">
        <w:rPr>
          <w:snapToGrid w:val="0"/>
        </w:rPr>
        <w:t>9 octobre 20</w:t>
      </w:r>
      <w:r>
        <w:rPr>
          <w:snapToGrid w:val="0"/>
        </w:rPr>
        <w:t>19.</w:t>
      </w:r>
    </w:p>
  </w:footnote>
  <w:footnote w:id="4">
    <w:p w:rsidR="00FA16C0" w:rsidRDefault="00FA16C0" w:rsidP="00FA16C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52DA0">
        <w:tab/>
      </w:r>
      <w:r>
        <w:rPr>
          <w:snapToGrid w:val="0"/>
        </w:rPr>
        <w:t>Tenue à Genève les 26 et 2</w:t>
      </w:r>
      <w:r w:rsidR="007F275F">
        <w:rPr>
          <w:snapToGrid w:val="0"/>
        </w:rPr>
        <w:t>7 octobre 20</w:t>
      </w:r>
      <w:r>
        <w:rPr>
          <w:snapToGrid w:val="0"/>
        </w:rPr>
        <w:t>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33" w:rsidRPr="00C5280D" w:rsidRDefault="005E3333" w:rsidP="005E3333">
    <w:pPr>
      <w:pStyle w:val="Header"/>
      <w:rPr>
        <w:rStyle w:val="PageNumber"/>
      </w:rPr>
    </w:pPr>
    <w:r>
      <w:rPr>
        <w:rStyle w:val="PageNumber"/>
      </w:rPr>
      <w:t>TC/58/14</w:t>
    </w:r>
  </w:p>
  <w:p w:rsidR="005E3333" w:rsidRPr="00C5280D" w:rsidRDefault="005E3333" w:rsidP="005E3333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1719CE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024CEA" w:rsidRPr="00C5280D" w:rsidRDefault="00024CEA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3D0839" w:rsidP="00EB048E">
    <w:pPr>
      <w:pStyle w:val="Header"/>
      <w:rPr>
        <w:rStyle w:val="PageNumber"/>
      </w:rPr>
    </w:pPr>
    <w:r>
      <w:rPr>
        <w:rStyle w:val="PageNumber"/>
      </w:rPr>
      <w:t>TC/58/14</w:t>
    </w:r>
  </w:p>
  <w:p w:rsidR="0004198B" w:rsidRPr="00C5280D" w:rsidRDefault="0004198B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E66602">
      <w:rPr>
        <w:rStyle w:val="PageNumber"/>
        <w:noProof/>
      </w:rPr>
      <w:t>1</w:t>
    </w:r>
    <w:r w:rsidRPr="00C5280D">
      <w:rPr>
        <w:rStyle w:val="PageNumber"/>
      </w:rPr>
      <w:fldChar w:fldCharType="end"/>
    </w:r>
  </w:p>
  <w:p w:rsidR="0004198B" w:rsidRPr="00C5280D" w:rsidRDefault="0004198B" w:rsidP="006655D3"/>
  <w:p w:rsidR="002C3BF3" w:rsidRDefault="002C3BF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Default="006D2DD4" w:rsidP="0004198B">
    <w:pPr>
      <w:pStyle w:val="Header"/>
    </w:pPr>
    <w:r>
      <w:t>TC/58/14</w:t>
    </w:r>
  </w:p>
  <w:p w:rsidR="006D2DD4" w:rsidRDefault="006D2DD4" w:rsidP="0004198B">
    <w:pPr>
      <w:pStyle w:val="Header"/>
      <w:rPr>
        <w:lang w:val="en-US"/>
      </w:rPr>
    </w:pPr>
  </w:p>
  <w:p w:rsidR="006D2DD4" w:rsidRDefault="006D2DD4" w:rsidP="0004198B">
    <w:pPr>
      <w:pStyle w:val="Header"/>
    </w:pPr>
    <w:r>
      <w:t xml:space="preserve">ANNEXE </w:t>
    </w:r>
  </w:p>
  <w:p w:rsidR="006D2DD4" w:rsidRPr="006D2DD4" w:rsidRDefault="006D2DD4" w:rsidP="0004198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124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34D0482C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616A69EA"/>
    <w:multiLevelType w:val="hybridMultilevel"/>
    <w:tmpl w:val="1A464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203F7B"/>
    <w:multiLevelType w:val="hybridMultilevel"/>
    <w:tmpl w:val="2D8CD070"/>
    <w:lvl w:ilvl="0" w:tplc="9F6A0B92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99D0B31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7" w15:restartNumberingAfterBreak="0">
    <w:nsid w:val="7EAE3516"/>
    <w:multiLevelType w:val="hybridMultilevel"/>
    <w:tmpl w:val="7BB090FC"/>
    <w:lvl w:ilvl="0" w:tplc="A49C906C">
      <w:start w:val="1"/>
      <w:numFmt w:val="bullet"/>
      <w:lvlText w:val="-"/>
      <w:lvlJc w:val="left"/>
      <w:pPr>
        <w:tabs>
          <w:tab w:val="num" w:pos="2064"/>
        </w:tabs>
        <w:ind w:left="2064" w:hanging="360"/>
      </w:pPr>
      <w:rPr>
        <w:rFonts w:ascii="Courier New" w:hAnsi="Courier New" w:cs="Times New Roman" w:hint="default"/>
      </w:rPr>
    </w:lvl>
    <w:lvl w:ilvl="1" w:tplc="9F6A0B92">
      <w:start w:val="1"/>
      <w:numFmt w:val="lowerLetter"/>
      <w:lvlText w:val="(%2)"/>
      <w:lvlJc w:val="left"/>
      <w:pPr>
        <w:ind w:left="2007" w:hanging="360"/>
      </w:p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10CF3"/>
    <w:rsid w:val="00011E27"/>
    <w:rsid w:val="000148BC"/>
    <w:rsid w:val="00024AB8"/>
    <w:rsid w:val="00024CEA"/>
    <w:rsid w:val="00030854"/>
    <w:rsid w:val="00036028"/>
    <w:rsid w:val="0004198B"/>
    <w:rsid w:val="00044642"/>
    <w:rsid w:val="000446B9"/>
    <w:rsid w:val="00047E21"/>
    <w:rsid w:val="00050E16"/>
    <w:rsid w:val="00085505"/>
    <w:rsid w:val="00093729"/>
    <w:rsid w:val="000C4E25"/>
    <w:rsid w:val="000C7021"/>
    <w:rsid w:val="000D6BBC"/>
    <w:rsid w:val="000D7780"/>
    <w:rsid w:val="000E33D9"/>
    <w:rsid w:val="000E636A"/>
    <w:rsid w:val="000F2A04"/>
    <w:rsid w:val="000F2F11"/>
    <w:rsid w:val="000F4B9B"/>
    <w:rsid w:val="00100A5F"/>
    <w:rsid w:val="00105929"/>
    <w:rsid w:val="001077C7"/>
    <w:rsid w:val="00110A56"/>
    <w:rsid w:val="00110BED"/>
    <w:rsid w:val="00110C36"/>
    <w:rsid w:val="001131D5"/>
    <w:rsid w:val="00114547"/>
    <w:rsid w:val="00141DB8"/>
    <w:rsid w:val="00144612"/>
    <w:rsid w:val="001719CE"/>
    <w:rsid w:val="00172084"/>
    <w:rsid w:val="0017474A"/>
    <w:rsid w:val="001758C6"/>
    <w:rsid w:val="00182B99"/>
    <w:rsid w:val="00195D9C"/>
    <w:rsid w:val="001A5F28"/>
    <w:rsid w:val="001B48C7"/>
    <w:rsid w:val="001C1525"/>
    <w:rsid w:val="001C3C4E"/>
    <w:rsid w:val="001C6546"/>
    <w:rsid w:val="001D1A73"/>
    <w:rsid w:val="001F0A06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4ACE"/>
    <w:rsid w:val="00285BD0"/>
    <w:rsid w:val="002940E8"/>
    <w:rsid w:val="00294751"/>
    <w:rsid w:val="002A6E50"/>
    <w:rsid w:val="002B4298"/>
    <w:rsid w:val="002B7A36"/>
    <w:rsid w:val="002C256A"/>
    <w:rsid w:val="002C3BF3"/>
    <w:rsid w:val="002D5226"/>
    <w:rsid w:val="00305A7F"/>
    <w:rsid w:val="003152FE"/>
    <w:rsid w:val="003234AA"/>
    <w:rsid w:val="00327436"/>
    <w:rsid w:val="00344BD6"/>
    <w:rsid w:val="003450FC"/>
    <w:rsid w:val="0035528D"/>
    <w:rsid w:val="00361821"/>
    <w:rsid w:val="00361E9E"/>
    <w:rsid w:val="00363EE5"/>
    <w:rsid w:val="003753EE"/>
    <w:rsid w:val="003A0835"/>
    <w:rsid w:val="003A5AAF"/>
    <w:rsid w:val="003B5386"/>
    <w:rsid w:val="003B700A"/>
    <w:rsid w:val="003C7FBE"/>
    <w:rsid w:val="003D0839"/>
    <w:rsid w:val="003D227C"/>
    <w:rsid w:val="003D2B4D"/>
    <w:rsid w:val="003D5F5B"/>
    <w:rsid w:val="003F37F5"/>
    <w:rsid w:val="00444A88"/>
    <w:rsid w:val="00445B73"/>
    <w:rsid w:val="00474DA4"/>
    <w:rsid w:val="00476B4D"/>
    <w:rsid w:val="004805FA"/>
    <w:rsid w:val="004935D2"/>
    <w:rsid w:val="004B1215"/>
    <w:rsid w:val="004D047D"/>
    <w:rsid w:val="004E52DD"/>
    <w:rsid w:val="004F1E9E"/>
    <w:rsid w:val="004F305A"/>
    <w:rsid w:val="005007AA"/>
    <w:rsid w:val="005063E0"/>
    <w:rsid w:val="00512164"/>
    <w:rsid w:val="00520297"/>
    <w:rsid w:val="00523C64"/>
    <w:rsid w:val="00526C14"/>
    <w:rsid w:val="005338F9"/>
    <w:rsid w:val="00536929"/>
    <w:rsid w:val="0054281C"/>
    <w:rsid w:val="00544581"/>
    <w:rsid w:val="0055268D"/>
    <w:rsid w:val="00561708"/>
    <w:rsid w:val="00575DE2"/>
    <w:rsid w:val="00576BE4"/>
    <w:rsid w:val="005779DB"/>
    <w:rsid w:val="005A2A67"/>
    <w:rsid w:val="005A400A"/>
    <w:rsid w:val="005B269D"/>
    <w:rsid w:val="005D2899"/>
    <w:rsid w:val="005E3333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6F2C"/>
    <w:rsid w:val="00687EB4"/>
    <w:rsid w:val="00695C56"/>
    <w:rsid w:val="006A5CDE"/>
    <w:rsid w:val="006A644A"/>
    <w:rsid w:val="006B17D2"/>
    <w:rsid w:val="006B1F32"/>
    <w:rsid w:val="006C224E"/>
    <w:rsid w:val="006D2DD4"/>
    <w:rsid w:val="006D3B27"/>
    <w:rsid w:val="006D780A"/>
    <w:rsid w:val="00700DD6"/>
    <w:rsid w:val="0071271E"/>
    <w:rsid w:val="00732DEC"/>
    <w:rsid w:val="00735BD5"/>
    <w:rsid w:val="007451EC"/>
    <w:rsid w:val="00751613"/>
    <w:rsid w:val="00753EE9"/>
    <w:rsid w:val="007556F6"/>
    <w:rsid w:val="00760EEF"/>
    <w:rsid w:val="00763629"/>
    <w:rsid w:val="00777EE5"/>
    <w:rsid w:val="00784836"/>
    <w:rsid w:val="0079023E"/>
    <w:rsid w:val="007A2854"/>
    <w:rsid w:val="007C1D92"/>
    <w:rsid w:val="007C4CB9"/>
    <w:rsid w:val="007C4DDB"/>
    <w:rsid w:val="007D0B9D"/>
    <w:rsid w:val="007D19B0"/>
    <w:rsid w:val="007F275F"/>
    <w:rsid w:val="007F498F"/>
    <w:rsid w:val="0080679D"/>
    <w:rsid w:val="008108B0"/>
    <w:rsid w:val="00811B20"/>
    <w:rsid w:val="00812609"/>
    <w:rsid w:val="008211B5"/>
    <w:rsid w:val="0082296E"/>
    <w:rsid w:val="00824099"/>
    <w:rsid w:val="00827704"/>
    <w:rsid w:val="00846D7C"/>
    <w:rsid w:val="00852DA0"/>
    <w:rsid w:val="008559E0"/>
    <w:rsid w:val="00867AC1"/>
    <w:rsid w:val="008751DE"/>
    <w:rsid w:val="00890DF8"/>
    <w:rsid w:val="008A0ADE"/>
    <w:rsid w:val="008A743F"/>
    <w:rsid w:val="008B59CB"/>
    <w:rsid w:val="008C0970"/>
    <w:rsid w:val="008D0BC5"/>
    <w:rsid w:val="008D2CF7"/>
    <w:rsid w:val="00900C26"/>
    <w:rsid w:val="0090197F"/>
    <w:rsid w:val="00903264"/>
    <w:rsid w:val="00906DDC"/>
    <w:rsid w:val="00930E56"/>
    <w:rsid w:val="00933C4A"/>
    <w:rsid w:val="00934E09"/>
    <w:rsid w:val="00936253"/>
    <w:rsid w:val="00940D46"/>
    <w:rsid w:val="009413F1"/>
    <w:rsid w:val="0095090F"/>
    <w:rsid w:val="00952DD4"/>
    <w:rsid w:val="009561F4"/>
    <w:rsid w:val="00965AE7"/>
    <w:rsid w:val="009704EF"/>
    <w:rsid w:val="00970FED"/>
    <w:rsid w:val="00985E41"/>
    <w:rsid w:val="00992D82"/>
    <w:rsid w:val="00997029"/>
    <w:rsid w:val="009A294A"/>
    <w:rsid w:val="009A7339"/>
    <w:rsid w:val="009B440E"/>
    <w:rsid w:val="009D690D"/>
    <w:rsid w:val="009D7D58"/>
    <w:rsid w:val="009E65B6"/>
    <w:rsid w:val="009F0A51"/>
    <w:rsid w:val="009F0B7F"/>
    <w:rsid w:val="009F5ED5"/>
    <w:rsid w:val="009F77CF"/>
    <w:rsid w:val="00A12795"/>
    <w:rsid w:val="00A2054A"/>
    <w:rsid w:val="00A24C10"/>
    <w:rsid w:val="00A42AC3"/>
    <w:rsid w:val="00A430CF"/>
    <w:rsid w:val="00A54309"/>
    <w:rsid w:val="00A5499F"/>
    <w:rsid w:val="00A55168"/>
    <w:rsid w:val="00A610A9"/>
    <w:rsid w:val="00A66B7E"/>
    <w:rsid w:val="00A80F2A"/>
    <w:rsid w:val="00A83F4B"/>
    <w:rsid w:val="00A867E1"/>
    <w:rsid w:val="00A96C33"/>
    <w:rsid w:val="00AB2B93"/>
    <w:rsid w:val="00AB530F"/>
    <w:rsid w:val="00AB7E5B"/>
    <w:rsid w:val="00AC2883"/>
    <w:rsid w:val="00AE0EF1"/>
    <w:rsid w:val="00AE2937"/>
    <w:rsid w:val="00AF1838"/>
    <w:rsid w:val="00B07301"/>
    <w:rsid w:val="00B11F3E"/>
    <w:rsid w:val="00B16F2C"/>
    <w:rsid w:val="00B224DE"/>
    <w:rsid w:val="00B324D4"/>
    <w:rsid w:val="00B33E7F"/>
    <w:rsid w:val="00B46575"/>
    <w:rsid w:val="00B61777"/>
    <w:rsid w:val="00B622E6"/>
    <w:rsid w:val="00B83E82"/>
    <w:rsid w:val="00B84BBD"/>
    <w:rsid w:val="00B91195"/>
    <w:rsid w:val="00BA43FB"/>
    <w:rsid w:val="00BC127D"/>
    <w:rsid w:val="00BC1FE6"/>
    <w:rsid w:val="00BD42F5"/>
    <w:rsid w:val="00BE1218"/>
    <w:rsid w:val="00C061B6"/>
    <w:rsid w:val="00C2446C"/>
    <w:rsid w:val="00C36AE5"/>
    <w:rsid w:val="00C41F17"/>
    <w:rsid w:val="00C45098"/>
    <w:rsid w:val="00C527FA"/>
    <w:rsid w:val="00C5280D"/>
    <w:rsid w:val="00C53EB3"/>
    <w:rsid w:val="00C5791C"/>
    <w:rsid w:val="00C65F79"/>
    <w:rsid w:val="00C66290"/>
    <w:rsid w:val="00C72B7A"/>
    <w:rsid w:val="00C973F2"/>
    <w:rsid w:val="00CA304C"/>
    <w:rsid w:val="00CA774A"/>
    <w:rsid w:val="00CB4921"/>
    <w:rsid w:val="00CC11B0"/>
    <w:rsid w:val="00CC2841"/>
    <w:rsid w:val="00CD1BEC"/>
    <w:rsid w:val="00CE73C4"/>
    <w:rsid w:val="00CF1330"/>
    <w:rsid w:val="00CF54CA"/>
    <w:rsid w:val="00CF7E36"/>
    <w:rsid w:val="00D06899"/>
    <w:rsid w:val="00D3708D"/>
    <w:rsid w:val="00D40426"/>
    <w:rsid w:val="00D57C96"/>
    <w:rsid w:val="00D57D18"/>
    <w:rsid w:val="00D70E65"/>
    <w:rsid w:val="00D91203"/>
    <w:rsid w:val="00D95174"/>
    <w:rsid w:val="00DA0F85"/>
    <w:rsid w:val="00DA4973"/>
    <w:rsid w:val="00DA6F36"/>
    <w:rsid w:val="00DB2B55"/>
    <w:rsid w:val="00DB596E"/>
    <w:rsid w:val="00DB7773"/>
    <w:rsid w:val="00DC00EA"/>
    <w:rsid w:val="00DC3802"/>
    <w:rsid w:val="00DD1482"/>
    <w:rsid w:val="00DD6208"/>
    <w:rsid w:val="00DE4FFE"/>
    <w:rsid w:val="00DF7E99"/>
    <w:rsid w:val="00E07D87"/>
    <w:rsid w:val="00E1439D"/>
    <w:rsid w:val="00E17AF3"/>
    <w:rsid w:val="00E249C8"/>
    <w:rsid w:val="00E32F7E"/>
    <w:rsid w:val="00E36F6B"/>
    <w:rsid w:val="00E37783"/>
    <w:rsid w:val="00E5267B"/>
    <w:rsid w:val="00E559F0"/>
    <w:rsid w:val="00E63C0E"/>
    <w:rsid w:val="00E66602"/>
    <w:rsid w:val="00E7232A"/>
    <w:rsid w:val="00E72D49"/>
    <w:rsid w:val="00E7593C"/>
    <w:rsid w:val="00E7678A"/>
    <w:rsid w:val="00E77591"/>
    <w:rsid w:val="00E935F1"/>
    <w:rsid w:val="00E94A81"/>
    <w:rsid w:val="00EA1FFB"/>
    <w:rsid w:val="00EB048E"/>
    <w:rsid w:val="00EB4E9C"/>
    <w:rsid w:val="00EC634B"/>
    <w:rsid w:val="00EC7EAC"/>
    <w:rsid w:val="00ED69CF"/>
    <w:rsid w:val="00ED77EF"/>
    <w:rsid w:val="00EE34DF"/>
    <w:rsid w:val="00EF2F89"/>
    <w:rsid w:val="00F03E98"/>
    <w:rsid w:val="00F1237A"/>
    <w:rsid w:val="00F22CBD"/>
    <w:rsid w:val="00F272F1"/>
    <w:rsid w:val="00F31412"/>
    <w:rsid w:val="00F401C6"/>
    <w:rsid w:val="00F45372"/>
    <w:rsid w:val="00F560F7"/>
    <w:rsid w:val="00F6334D"/>
    <w:rsid w:val="00F63599"/>
    <w:rsid w:val="00F71781"/>
    <w:rsid w:val="00F73644"/>
    <w:rsid w:val="00FA16C0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C7EAC"/>
    <w:pPr>
      <w:keepNext/>
      <w:jc w:val="both"/>
      <w:outlineLvl w:val="1"/>
    </w:pPr>
    <w:rPr>
      <w:rFonts w:ascii="Arial" w:hAnsi="Arial" w:cs="Arial"/>
      <w:i/>
      <w:sz w:val="18"/>
      <w:szCs w:val="18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CE73C4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rsid w:val="00CE73C4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A16C0"/>
    <w:rPr>
      <w:rFonts w:ascii="Arial" w:hAnsi="Arial"/>
      <w:sz w:val="16"/>
    </w:rPr>
  </w:style>
  <w:style w:type="table" w:styleId="TableGrid">
    <w:name w:val="Table Grid"/>
    <w:basedOn w:val="TableNormal"/>
    <w:rsid w:val="00FA16C0"/>
    <w:pPr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locked/>
    <w:rsid w:val="00EC7EAC"/>
    <w:rPr>
      <w:rFonts w:ascii="Arial" w:hAnsi="Arial" w:cs="Arial"/>
      <w:i/>
      <w:sz w:val="18"/>
      <w:szCs w:val="18"/>
    </w:rPr>
  </w:style>
  <w:style w:type="paragraph" w:styleId="ListParagraph">
    <w:name w:val="List Paragraph"/>
    <w:basedOn w:val="Normal"/>
    <w:uiPriority w:val="34"/>
    <w:qFormat/>
    <w:rsid w:val="003B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7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user/up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en/webinar_video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E1846-C582-4DED-BC37-F991851C7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1335</Words>
  <Characters>8249</Characters>
  <Application>Microsoft Office Word</Application>
  <DocSecurity>0</DocSecurity>
  <Lines>196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MAY Jessica</cp:lastModifiedBy>
  <cp:revision>44</cp:revision>
  <cp:lastPrinted>2016-11-22T15:41:00Z</cp:lastPrinted>
  <dcterms:created xsi:type="dcterms:W3CDTF">2022-04-28T09:33:00Z</dcterms:created>
  <dcterms:modified xsi:type="dcterms:W3CDTF">2022-10-18T16:14:00Z</dcterms:modified>
</cp:coreProperties>
</file>