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A706D3" w:rsidP="00AC2883">
            <w:pPr>
              <w:pStyle w:val="Lettrine"/>
            </w:pPr>
            <w:r>
              <w:t>F</w:t>
            </w:r>
          </w:p>
        </w:tc>
      </w:tr>
      <w:tr w:rsidR="00DC3802" w:rsidRPr="00DA4973" w:rsidTr="00645CA8">
        <w:trPr>
          <w:trHeight w:val="219"/>
        </w:trPr>
        <w:tc>
          <w:tcPr>
            <w:tcW w:w="6522" w:type="dxa"/>
          </w:tcPr>
          <w:p w:rsidR="00DC3802" w:rsidRPr="00AC2883" w:rsidRDefault="00DC3802" w:rsidP="00A706D3">
            <w:pPr>
              <w:pStyle w:val="upove"/>
            </w:pPr>
            <w:r w:rsidRPr="00AC2883">
              <w:t xml:space="preserve">Union </w:t>
            </w:r>
            <w:r w:rsidR="00A706D3">
              <w:t>i</w:t>
            </w:r>
            <w:r w:rsidR="00A706D3" w:rsidRPr="00AC2883">
              <w:t>nternational</w:t>
            </w:r>
            <w:r w:rsidR="00A706D3">
              <w:t>e</w:t>
            </w:r>
            <w:r w:rsidR="00A706D3" w:rsidRPr="00AC2883">
              <w:t xml:space="preserve"> </w:t>
            </w:r>
            <w:r w:rsidR="00A706D3">
              <w:t>pour la protection des obtentions végétales</w:t>
            </w:r>
          </w:p>
        </w:tc>
        <w:tc>
          <w:tcPr>
            <w:tcW w:w="3117" w:type="dxa"/>
          </w:tcPr>
          <w:p w:rsidR="00DC3802" w:rsidRPr="00DA4973" w:rsidRDefault="00DC3802" w:rsidP="00DA4973"/>
        </w:tc>
      </w:tr>
    </w:tbl>
    <w:p w:rsidR="00BF265D" w:rsidRDefault="00BF265D"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0E3068">
        <w:tc>
          <w:tcPr>
            <w:tcW w:w="6512" w:type="dxa"/>
            <w:tcBorders>
              <w:bottom w:val="single" w:sz="4" w:space="0" w:color="auto"/>
            </w:tcBorders>
          </w:tcPr>
          <w:p w:rsidR="00BF265D" w:rsidRDefault="00A706D3" w:rsidP="00AC2883">
            <w:pPr>
              <w:pStyle w:val="Sessiontc"/>
              <w:spacing w:line="240" w:lineRule="auto"/>
            </w:pPr>
            <w:r>
              <w:t>Comité technique</w:t>
            </w:r>
          </w:p>
          <w:p w:rsidR="00EB4E9C" w:rsidRPr="00DC3802" w:rsidRDefault="00A706D3" w:rsidP="00A2300A">
            <w:pPr>
              <w:pStyle w:val="Sessiontcplacedate"/>
              <w:rPr>
                <w:sz w:val="22"/>
              </w:rPr>
            </w:pPr>
            <w:r>
              <w:t>Cinquante</w:t>
            </w:r>
            <w:r w:rsidR="002D3995">
              <w:t>-</w:t>
            </w:r>
            <w:r w:rsidR="00027994">
              <w:t>s</w:t>
            </w:r>
            <w:r w:rsidR="00A2300A">
              <w:t>ept</w:t>
            </w:r>
            <w:r w:rsidR="002D3995">
              <w:t>ième session</w:t>
            </w:r>
            <w:r w:rsidR="00EB4E9C" w:rsidRPr="00DA4973">
              <w:br/>
              <w:t>Gen</w:t>
            </w:r>
            <w:r>
              <w:t>è</w:t>
            </w:r>
            <w:r w:rsidR="00EB4E9C" w:rsidRPr="00DA4973">
              <w:t>v</w:t>
            </w:r>
            <w:r>
              <w:t>e</w:t>
            </w:r>
            <w:r w:rsidR="00EB4E9C" w:rsidRPr="00DA4973">
              <w:t xml:space="preserve">, </w:t>
            </w:r>
            <w:r w:rsidR="00897A4D">
              <w:t>2</w:t>
            </w:r>
            <w:r w:rsidR="00A2300A">
              <w:t>5</w:t>
            </w:r>
            <w:r w:rsidR="00897A4D">
              <w:t xml:space="preserve"> et </w:t>
            </w:r>
            <w:r w:rsidR="001C1F2F">
              <w:t>2</w:t>
            </w:r>
            <w:r w:rsidR="002D3995">
              <w:t>6 octobre 20</w:t>
            </w:r>
            <w:r w:rsidR="00027994">
              <w:t>2</w:t>
            </w:r>
            <w:r w:rsidR="00A2300A">
              <w:t>1</w:t>
            </w:r>
          </w:p>
        </w:tc>
        <w:tc>
          <w:tcPr>
            <w:tcW w:w="3127" w:type="dxa"/>
            <w:tcBorders>
              <w:bottom w:val="single" w:sz="4" w:space="0" w:color="auto"/>
            </w:tcBorders>
          </w:tcPr>
          <w:p w:rsidR="00BF265D" w:rsidRDefault="00027994" w:rsidP="003C7FBE">
            <w:pPr>
              <w:pStyle w:val="Doccode"/>
              <w:rPr>
                <w:lang w:val="fr-FR"/>
              </w:rPr>
            </w:pPr>
            <w:r>
              <w:rPr>
                <w:lang w:val="fr-FR"/>
              </w:rPr>
              <w:t>TC/5</w:t>
            </w:r>
            <w:r w:rsidR="00A2300A">
              <w:rPr>
                <w:lang w:val="fr-FR"/>
              </w:rPr>
              <w:t>7</w:t>
            </w:r>
            <w:r w:rsidR="00EB4E9C" w:rsidRPr="00027994">
              <w:rPr>
                <w:lang w:val="fr-FR"/>
              </w:rPr>
              <w:t>/</w:t>
            </w:r>
            <w:r w:rsidR="007E2DFF">
              <w:rPr>
                <w:lang w:val="fr-FR"/>
              </w:rPr>
              <w:t>INF/6</w:t>
            </w:r>
          </w:p>
          <w:p w:rsidR="00BF265D" w:rsidRDefault="00EB4E9C" w:rsidP="003C7FBE">
            <w:pPr>
              <w:pStyle w:val="Docoriginal"/>
            </w:pPr>
            <w:r w:rsidRPr="00AC2883">
              <w:t>Original</w:t>
            </w:r>
            <w:r w:rsidR="002D3995">
              <w:t> :</w:t>
            </w:r>
            <w:r w:rsidRPr="000E636A">
              <w:rPr>
                <w:b w:val="0"/>
                <w:spacing w:val="0"/>
              </w:rPr>
              <w:t xml:space="preserve"> </w:t>
            </w:r>
            <w:r w:rsidR="00A706D3">
              <w:rPr>
                <w:b w:val="0"/>
                <w:spacing w:val="0"/>
              </w:rPr>
              <w:t>anglais</w:t>
            </w:r>
          </w:p>
          <w:p w:rsidR="000E3068" w:rsidRPr="000E3068" w:rsidRDefault="00EB4E9C" w:rsidP="007E2DFF">
            <w:pPr>
              <w:pStyle w:val="Docoriginal"/>
              <w:rPr>
                <w:b w:val="0"/>
                <w:spacing w:val="0"/>
              </w:rPr>
            </w:pPr>
            <w:r w:rsidRPr="00AC2883">
              <w:t>Date</w:t>
            </w:r>
            <w:r w:rsidR="002D3995">
              <w:t> :</w:t>
            </w:r>
            <w:r w:rsidR="00897A4D">
              <w:rPr>
                <w:b w:val="0"/>
                <w:spacing w:val="0"/>
              </w:rPr>
              <w:t xml:space="preserve"> </w:t>
            </w:r>
            <w:r w:rsidR="002D3995">
              <w:rPr>
                <w:b w:val="0"/>
                <w:spacing w:val="0"/>
              </w:rPr>
              <w:t>7 octobre 20</w:t>
            </w:r>
            <w:r w:rsidR="007E2DFF">
              <w:rPr>
                <w:b w:val="0"/>
                <w:spacing w:val="0"/>
              </w:rPr>
              <w:t>21</w:t>
            </w:r>
          </w:p>
        </w:tc>
      </w:tr>
    </w:tbl>
    <w:p w:rsidR="00BF265D" w:rsidRDefault="007E2DFF" w:rsidP="006A644A">
      <w:pPr>
        <w:pStyle w:val="Titleofdoc0"/>
      </w:pPr>
      <w:bookmarkStart w:id="0" w:name="TitleOfDoc"/>
      <w:bookmarkEnd w:id="0"/>
      <w:r>
        <w:t>techniques moléculaires</w:t>
      </w:r>
    </w:p>
    <w:p w:rsidR="00BF265D" w:rsidRDefault="00AE0EF1" w:rsidP="006A644A">
      <w:pPr>
        <w:pStyle w:val="preparedby1"/>
        <w:jc w:val="left"/>
      </w:pPr>
      <w:bookmarkStart w:id="1" w:name="Prepared"/>
      <w:bookmarkEnd w:id="1"/>
      <w:r w:rsidRPr="000C4E25">
        <w:t xml:space="preserve">Document </w:t>
      </w:r>
      <w:r w:rsidR="00A706D3">
        <w:t>établi par le Bureau de l</w:t>
      </w:r>
      <w:r w:rsidR="002D3995">
        <w:t>’</w:t>
      </w:r>
      <w:r w:rsidR="00A706D3">
        <w:t>Union</w:t>
      </w:r>
    </w:p>
    <w:p w:rsidR="00BF265D" w:rsidRDefault="00A706D3" w:rsidP="006A644A">
      <w:pPr>
        <w:pStyle w:val="Disclaimer"/>
      </w:pPr>
      <w:r w:rsidRPr="00A706D3">
        <w:t>Avertissement</w:t>
      </w:r>
      <w:r w:rsidR="002D3995">
        <w:t> :</w:t>
      </w:r>
      <w:r w:rsidRPr="00A706D3">
        <w:t xml:space="preserve"> le présent document ne représente pas les principes ou les orientations de l</w:t>
      </w:r>
      <w:r w:rsidR="002D3995">
        <w:t>’</w:t>
      </w:r>
      <w:r w:rsidRPr="00A706D3">
        <w:t>UPOV</w:t>
      </w:r>
    </w:p>
    <w:p w:rsidR="00BF265D" w:rsidRPr="00BF265D" w:rsidRDefault="00C80E35" w:rsidP="007E2DFF">
      <w:pPr>
        <w:pStyle w:val="Heading1"/>
        <w:rPr>
          <w:lang w:val="fr-CH"/>
        </w:rPr>
      </w:pPr>
      <w:bookmarkStart w:id="2" w:name="_Toc85447850"/>
      <w:r w:rsidRPr="00BF265D">
        <w:rPr>
          <w:lang w:val="fr-CH"/>
        </w:rPr>
        <w:t>Résumé</w:t>
      </w:r>
      <w:bookmarkEnd w:id="2"/>
    </w:p>
    <w:p w:rsidR="00BF265D" w:rsidRPr="00BF265D" w:rsidRDefault="00BF265D" w:rsidP="007E2DFF">
      <w:pPr>
        <w:rPr>
          <w:sz w:val="18"/>
          <w:lang w:val="fr-CH" w:eastAsia="ja-JP"/>
        </w:rPr>
      </w:pPr>
    </w:p>
    <w:p w:rsidR="00BF265D" w:rsidRPr="00465AAB" w:rsidRDefault="007E2DFF" w:rsidP="00BF265D">
      <w:pPr>
        <w:rPr>
          <w:lang w:val="fr-CH"/>
        </w:rPr>
      </w:pPr>
      <w:r w:rsidRPr="00FA4478">
        <w:fldChar w:fldCharType="begin"/>
      </w:r>
      <w:r w:rsidRPr="00BF265D">
        <w:rPr>
          <w:lang w:val="fr-CH"/>
        </w:rPr>
        <w:instrText xml:space="preserve"> AUTONUM  </w:instrText>
      </w:r>
      <w:r w:rsidRPr="00FA4478">
        <w:fldChar w:fldCharType="end"/>
      </w:r>
      <w:r w:rsidRPr="00BF265D">
        <w:rPr>
          <w:lang w:val="fr-CH"/>
        </w:rPr>
        <w:tab/>
      </w:r>
      <w:r w:rsidR="00BF265D" w:rsidRPr="00465AAB">
        <w:rPr>
          <w:lang w:val="fr-CH"/>
        </w:rPr>
        <w:t>L</w:t>
      </w:r>
      <w:r w:rsidR="002D3995" w:rsidRPr="00465AAB">
        <w:rPr>
          <w:lang w:val="fr-CH"/>
        </w:rPr>
        <w:t>’</w:t>
      </w:r>
      <w:r w:rsidR="00BF265D" w:rsidRPr="00465AAB">
        <w:rPr>
          <w:lang w:val="fr-CH"/>
        </w:rPr>
        <w:t xml:space="preserve">objet du présent document est de rendre compte des faits nouveaux survenus au sein des groupes de travail techniques à leurs sessions </w:t>
      </w:r>
      <w:r w:rsidR="002D3995" w:rsidRPr="00465AAB">
        <w:rPr>
          <w:lang w:val="fr-CH"/>
        </w:rPr>
        <w:t>de 2021</w:t>
      </w:r>
      <w:r w:rsidR="00BF265D" w:rsidRPr="00465AAB">
        <w:rPr>
          <w:lang w:val="fr-CH"/>
        </w:rPr>
        <w:t>, ainsi qu</w:t>
      </w:r>
      <w:r w:rsidR="002D3995" w:rsidRPr="00465AAB">
        <w:rPr>
          <w:lang w:val="fr-CH"/>
        </w:rPr>
        <w:t>’</w:t>
      </w:r>
      <w:r w:rsidR="00BF265D" w:rsidRPr="00465AAB">
        <w:rPr>
          <w:lang w:val="fr-CH"/>
        </w:rPr>
        <w:t>à la vingt</w:t>
      </w:r>
      <w:r w:rsidR="002D3995" w:rsidRPr="00465AAB">
        <w:rPr>
          <w:lang w:val="fr-CH"/>
        </w:rPr>
        <w:t>ième session</w:t>
      </w:r>
      <w:r w:rsidR="00BF265D" w:rsidRPr="00465AAB">
        <w:rPr>
          <w:lang w:val="fr-CH"/>
        </w:rPr>
        <w:t xml:space="preserve"> du Groupe de travail sur les techniques biochimiques et moléculaires, notamment les profils d</w:t>
      </w:r>
      <w:r w:rsidR="002D3995" w:rsidRPr="00465AAB">
        <w:rPr>
          <w:lang w:val="fr-CH"/>
        </w:rPr>
        <w:t>’</w:t>
      </w:r>
      <w:r w:rsidR="00BF265D" w:rsidRPr="00465AAB">
        <w:rPr>
          <w:lang w:val="fr-CH"/>
        </w:rPr>
        <w:t>ADN (BMT)</w:t>
      </w:r>
      <w:r w:rsidR="0081261B" w:rsidRPr="00465AAB">
        <w:rPr>
          <w:lang w:val="fr-CH"/>
        </w:rPr>
        <w:t>,</w:t>
      </w:r>
      <w:r w:rsidR="00BF265D" w:rsidRPr="00465AAB">
        <w:rPr>
          <w:lang w:val="fr-CH"/>
        </w:rPr>
        <w:t xml:space="preserve"> à des fins d</w:t>
      </w:r>
      <w:r w:rsidR="002D3995" w:rsidRPr="00465AAB">
        <w:rPr>
          <w:lang w:val="fr-CH"/>
        </w:rPr>
        <w:t>’</w:t>
      </w:r>
      <w:r w:rsidR="00BF265D" w:rsidRPr="00465AAB">
        <w:rPr>
          <w:lang w:val="fr-CH"/>
        </w:rPr>
        <w:t>information.</w:t>
      </w:r>
    </w:p>
    <w:p w:rsidR="00BF265D" w:rsidRPr="00465AAB" w:rsidRDefault="00BF265D" w:rsidP="007E2DFF">
      <w:pPr>
        <w:rPr>
          <w:lang w:val="fr-CH" w:eastAsia="ja-JP"/>
        </w:rPr>
      </w:pPr>
    </w:p>
    <w:p w:rsidR="00BF265D" w:rsidRPr="00465AAB" w:rsidRDefault="007E2DFF" w:rsidP="00BF265D">
      <w:pPr>
        <w:rPr>
          <w:lang w:val="fr-CH"/>
        </w:rPr>
      </w:pPr>
      <w:r w:rsidRPr="00465AAB">
        <w:fldChar w:fldCharType="begin"/>
      </w:r>
      <w:r w:rsidRPr="00465AAB">
        <w:rPr>
          <w:lang w:val="fr-CH"/>
        </w:rPr>
        <w:instrText xml:space="preserve"> AUTONUM  </w:instrText>
      </w:r>
      <w:r w:rsidRPr="00465AAB">
        <w:fldChar w:fldCharType="end"/>
      </w:r>
      <w:r w:rsidRPr="00465AAB">
        <w:rPr>
          <w:lang w:val="fr-CH"/>
        </w:rPr>
        <w:tab/>
      </w:r>
      <w:r w:rsidR="00BF265D" w:rsidRPr="00465AAB">
        <w:rPr>
          <w:lang w:val="fr-CH"/>
        </w:rPr>
        <w:t>Les questions pour examen par le Comité technique (TC) concernant l</w:t>
      </w:r>
      <w:r w:rsidR="002D3995" w:rsidRPr="00465AAB">
        <w:rPr>
          <w:lang w:val="fr-CH"/>
        </w:rPr>
        <w:t>’</w:t>
      </w:r>
      <w:r w:rsidR="00BF265D" w:rsidRPr="00465AAB">
        <w:rPr>
          <w:lang w:val="fr-CH"/>
        </w:rPr>
        <w:t>utilisation des techniques biochimiques et moléculaires dans le cadre de l</w:t>
      </w:r>
      <w:r w:rsidR="002D3995" w:rsidRPr="00465AAB">
        <w:rPr>
          <w:lang w:val="fr-CH"/>
        </w:rPr>
        <w:t>’</w:t>
      </w:r>
      <w:r w:rsidR="00BF265D" w:rsidRPr="00465AAB">
        <w:rPr>
          <w:lang w:val="fr-CH"/>
        </w:rPr>
        <w:t>examen</w:t>
      </w:r>
      <w:r w:rsidR="00F53B5E" w:rsidRPr="00465AAB">
        <w:rPr>
          <w:lang w:val="fr-CH"/>
        </w:rPr>
        <w:t> </w:t>
      </w:r>
      <w:r w:rsidR="00BF265D" w:rsidRPr="00465AAB">
        <w:rPr>
          <w:lang w:val="fr-CH"/>
        </w:rPr>
        <w:t>DHS et les techniques moléculaires en rapport avec les groupes de travail techniques et le Groupe de travail sur les techniques biochimiques et moléculaires, notamment les profils d</w:t>
      </w:r>
      <w:r w:rsidR="002D3995" w:rsidRPr="00465AAB">
        <w:rPr>
          <w:lang w:val="fr-CH"/>
        </w:rPr>
        <w:t>’</w:t>
      </w:r>
      <w:r w:rsidR="00BF265D" w:rsidRPr="00465AAB">
        <w:rPr>
          <w:lang w:val="fr-CH"/>
        </w:rPr>
        <w:t xml:space="preserve">ADN (BMT), figurent dans les </w:t>
      </w:r>
      <w:r w:rsidR="002D3995" w:rsidRPr="00465AAB">
        <w:rPr>
          <w:lang w:val="fr-CH"/>
        </w:rPr>
        <w:t>documents</w:t>
      </w:r>
      <w:r w:rsidR="007F3DBD" w:rsidRPr="00465AAB">
        <w:rPr>
          <w:lang w:val="fr-CH"/>
        </w:rPr>
        <w:t> </w:t>
      </w:r>
      <w:r w:rsidR="002D3995" w:rsidRPr="00465AAB">
        <w:rPr>
          <w:lang w:val="fr-CH"/>
        </w:rPr>
        <w:t>TC</w:t>
      </w:r>
      <w:r w:rsidR="00BF265D" w:rsidRPr="00465AAB">
        <w:rPr>
          <w:lang w:val="fr-CH"/>
        </w:rPr>
        <w:t>/57/8 et</w:t>
      </w:r>
      <w:r w:rsidR="002D3995" w:rsidRPr="00465AAB">
        <w:rPr>
          <w:lang w:val="fr-CH"/>
        </w:rPr>
        <w:t> TC</w:t>
      </w:r>
      <w:r w:rsidR="00BF265D" w:rsidRPr="00465AAB">
        <w:rPr>
          <w:lang w:val="fr-CH"/>
        </w:rPr>
        <w:t>/57/8</w:t>
      </w:r>
      <w:r w:rsidR="00F53B5E" w:rsidRPr="00465AAB">
        <w:rPr>
          <w:lang w:val="fr-CH"/>
        </w:rPr>
        <w:t> </w:t>
      </w:r>
      <w:proofErr w:type="spellStart"/>
      <w:r w:rsidR="00BF265D" w:rsidRPr="00465AAB">
        <w:rPr>
          <w:lang w:val="fr-CH"/>
        </w:rPr>
        <w:t>Add</w:t>
      </w:r>
      <w:proofErr w:type="spellEnd"/>
      <w:r w:rsidR="00BF265D" w:rsidRPr="00465AAB">
        <w:rPr>
          <w:lang w:val="fr-CH"/>
        </w:rPr>
        <w:t>. “Techniques moléculaires” et</w:t>
      </w:r>
      <w:r w:rsidR="002D3995" w:rsidRPr="00465AAB">
        <w:rPr>
          <w:lang w:val="fr-CH"/>
        </w:rPr>
        <w:t> TC</w:t>
      </w:r>
      <w:r w:rsidR="00BF265D" w:rsidRPr="00465AAB">
        <w:rPr>
          <w:lang w:val="fr-CH"/>
        </w:rPr>
        <w:t>/57/24 “Rapports sur l</w:t>
      </w:r>
      <w:r w:rsidR="002D3995" w:rsidRPr="00465AAB">
        <w:rPr>
          <w:lang w:val="fr-CH"/>
        </w:rPr>
        <w:t>’</w:t>
      </w:r>
      <w:r w:rsidR="00BF265D" w:rsidRPr="00465AAB">
        <w:rPr>
          <w:lang w:val="fr-CH"/>
        </w:rPr>
        <w:t>état d</w:t>
      </w:r>
      <w:r w:rsidR="002D3995" w:rsidRPr="00465AAB">
        <w:rPr>
          <w:lang w:val="fr-CH"/>
        </w:rPr>
        <w:t>’</w:t>
      </w:r>
      <w:r w:rsidR="00BF265D" w:rsidRPr="00465AAB">
        <w:rPr>
          <w:lang w:val="fr-CH"/>
        </w:rPr>
        <w:t xml:space="preserve">avancement des travaux des groupes de travail techniques, </w:t>
      </w:r>
      <w:proofErr w:type="gramStart"/>
      <w:r w:rsidR="002D3995" w:rsidRPr="00465AAB">
        <w:rPr>
          <w:lang w:val="fr-CH"/>
        </w:rPr>
        <w:t>y</w:t>
      </w:r>
      <w:proofErr w:type="gramEnd"/>
      <w:r w:rsidR="002D3995" w:rsidRPr="00465AAB">
        <w:rPr>
          <w:lang w:val="fr-CH"/>
        </w:rPr>
        <w:t> compris</w:t>
      </w:r>
      <w:r w:rsidR="00BF265D" w:rsidRPr="00465AAB">
        <w:rPr>
          <w:lang w:val="fr-CH"/>
        </w:rPr>
        <w:t xml:space="preserve"> le Groupe de travail sur les techniques biochimiques et moléculaires, notamment les profils d</w:t>
      </w:r>
      <w:r w:rsidR="002D3995" w:rsidRPr="00465AAB">
        <w:rPr>
          <w:lang w:val="fr-CH"/>
        </w:rPr>
        <w:t>’</w:t>
      </w:r>
      <w:r w:rsidR="00BF265D" w:rsidRPr="00465AAB">
        <w:rPr>
          <w:lang w:val="fr-CH"/>
        </w:rPr>
        <w:t>ADN (BMT)</w:t>
      </w:r>
      <w:r w:rsidR="007F3DBD" w:rsidRPr="00465AAB">
        <w:rPr>
          <w:lang w:val="fr-CH"/>
        </w:rPr>
        <w:t>”</w:t>
      </w:r>
      <w:r w:rsidR="00BF265D" w:rsidRPr="00465AAB">
        <w:rPr>
          <w:lang w:val="fr-CH"/>
        </w:rPr>
        <w:t>.</w:t>
      </w:r>
    </w:p>
    <w:p w:rsidR="00BF265D" w:rsidRPr="00465AAB" w:rsidRDefault="00BF265D" w:rsidP="007E2DFF">
      <w:pPr>
        <w:jc w:val="left"/>
        <w:rPr>
          <w:rFonts w:cs="Arial"/>
          <w:snapToGrid w:val="0"/>
          <w:szCs w:val="24"/>
          <w:lang w:val="fr-CH" w:eastAsia="ja-JP"/>
        </w:rPr>
      </w:pPr>
    </w:p>
    <w:p w:rsidR="00BF265D" w:rsidRPr="00465AAB" w:rsidRDefault="007E2DFF" w:rsidP="00BF265D">
      <w:pPr>
        <w:keepNext/>
        <w:keepLines/>
        <w:rPr>
          <w:lang w:val="fr-CH"/>
        </w:rPr>
      </w:pPr>
      <w:r w:rsidRPr="00465AAB">
        <w:fldChar w:fldCharType="begin"/>
      </w:r>
      <w:r w:rsidRPr="00465AAB">
        <w:rPr>
          <w:lang w:val="fr-CH"/>
        </w:rPr>
        <w:instrText xml:space="preserve"> AUTONUM  </w:instrText>
      </w:r>
      <w:r w:rsidRPr="00465AAB">
        <w:fldChar w:fldCharType="end"/>
      </w:r>
      <w:r w:rsidRPr="00465AAB">
        <w:rPr>
          <w:lang w:val="fr-CH"/>
        </w:rPr>
        <w:tab/>
      </w:r>
      <w:r w:rsidR="00BF265D" w:rsidRPr="00465AAB">
        <w:rPr>
          <w:lang w:val="fr-CH"/>
        </w:rPr>
        <w:t>Le présent document est structuré comme suit</w:t>
      </w:r>
      <w:r w:rsidR="002D3995" w:rsidRPr="00465AAB">
        <w:rPr>
          <w:lang w:val="fr-CH"/>
        </w:rPr>
        <w:t> :</w:t>
      </w:r>
    </w:p>
    <w:sdt>
      <w:sdtPr>
        <w:rPr>
          <w:smallCaps/>
          <w:sz w:val="18"/>
          <w:lang w:val="en-US"/>
        </w:rPr>
        <w:id w:val="-1800911247"/>
        <w:docPartObj>
          <w:docPartGallery w:val="Table of Contents"/>
          <w:docPartUnique/>
        </w:docPartObj>
      </w:sdtPr>
      <w:sdtEndPr>
        <w:rPr>
          <w:noProof/>
          <w:sz w:val="20"/>
        </w:rPr>
      </w:sdtEndPr>
      <w:sdtContent>
        <w:p w:rsidR="00BF265D" w:rsidRPr="00465AAB" w:rsidRDefault="00BF265D" w:rsidP="007E2DFF">
          <w:pPr>
            <w:keepNext/>
            <w:keepLines/>
            <w:rPr>
              <w:rFonts w:cs="Arial"/>
              <w:b/>
              <w:sz w:val="18"/>
            </w:rPr>
          </w:pPr>
        </w:p>
        <w:p w:rsidR="00BA7E3C" w:rsidRPr="00465AAB" w:rsidRDefault="007E2DFF" w:rsidP="00DF130A">
          <w:pPr>
            <w:pStyle w:val="TOC1"/>
            <w:rPr>
              <w:rFonts w:asciiTheme="minorHAnsi" w:eastAsiaTheme="minorEastAsia" w:hAnsiTheme="minorHAnsi" w:cstheme="minorBidi"/>
              <w:noProof/>
              <w:lang w:val="fr-CH" w:eastAsia="fr-CH"/>
            </w:rPr>
          </w:pPr>
          <w:r w:rsidRPr="00465AAB">
            <w:rPr>
              <w:rFonts w:cs="Arial"/>
              <w:lang w:eastAsia="ja-JP"/>
            </w:rPr>
            <w:fldChar w:fldCharType="begin"/>
          </w:r>
          <w:r w:rsidRPr="00465AAB">
            <w:rPr>
              <w:rFonts w:cs="Arial"/>
              <w:bCs/>
              <w:noProof/>
              <w:lang w:eastAsia="ja-JP"/>
            </w:rPr>
            <w:instrText xml:space="preserve"> TOC \o "1-3" \h \z \u </w:instrText>
          </w:r>
          <w:r w:rsidRPr="00465AAB">
            <w:rPr>
              <w:rFonts w:cs="Arial"/>
              <w:lang w:eastAsia="ja-JP"/>
            </w:rPr>
            <w:fldChar w:fldCharType="separate"/>
          </w:r>
          <w:hyperlink w:anchor="_Toc85447850" w:history="1">
            <w:r w:rsidR="00BA7E3C" w:rsidRPr="00465AAB">
              <w:rPr>
                <w:rStyle w:val="Hyperlink"/>
                <w:noProof/>
                <w:color w:val="auto"/>
                <w:sz w:val="18"/>
                <w:szCs w:val="18"/>
                <w:lang w:val="fr-CH"/>
              </w:rPr>
              <w:t>Résumé</w:t>
            </w:r>
            <w:r w:rsidR="00BA7E3C" w:rsidRPr="00465AAB">
              <w:rPr>
                <w:noProof/>
                <w:webHidden/>
              </w:rPr>
              <w:tab/>
            </w:r>
            <w:r w:rsidR="00BA7E3C" w:rsidRPr="00465AAB">
              <w:rPr>
                <w:noProof/>
                <w:webHidden/>
              </w:rPr>
              <w:fldChar w:fldCharType="begin"/>
            </w:r>
            <w:r w:rsidR="00BA7E3C" w:rsidRPr="00465AAB">
              <w:rPr>
                <w:noProof/>
                <w:webHidden/>
              </w:rPr>
              <w:instrText xml:space="preserve"> PAGEREF _Toc85447850 \h </w:instrText>
            </w:r>
            <w:r w:rsidR="00BA7E3C" w:rsidRPr="00465AAB">
              <w:rPr>
                <w:noProof/>
                <w:webHidden/>
              </w:rPr>
            </w:r>
            <w:r w:rsidR="00BA7E3C" w:rsidRPr="00465AAB">
              <w:rPr>
                <w:noProof/>
                <w:webHidden/>
              </w:rPr>
              <w:fldChar w:fldCharType="separate"/>
            </w:r>
            <w:r w:rsidR="00BA7E3C" w:rsidRPr="00465AAB">
              <w:rPr>
                <w:noProof/>
                <w:webHidden/>
              </w:rPr>
              <w:t>1</w:t>
            </w:r>
            <w:r w:rsidR="00BA7E3C" w:rsidRPr="00465AAB">
              <w:rPr>
                <w:noProof/>
                <w:webHidden/>
              </w:rPr>
              <w:fldChar w:fldCharType="end"/>
            </w:r>
          </w:hyperlink>
        </w:p>
        <w:p w:rsidR="00BA7E3C" w:rsidRPr="00465AAB" w:rsidRDefault="003A2C0F" w:rsidP="00DF130A">
          <w:pPr>
            <w:pStyle w:val="TOC1"/>
            <w:rPr>
              <w:rFonts w:asciiTheme="minorHAnsi" w:eastAsiaTheme="minorEastAsia" w:hAnsiTheme="minorHAnsi" w:cstheme="minorBidi"/>
              <w:noProof/>
              <w:lang w:val="fr-CH" w:eastAsia="fr-CH"/>
            </w:rPr>
          </w:pPr>
          <w:hyperlink w:anchor="_Toc85447851" w:history="1">
            <w:r w:rsidR="00BA7E3C" w:rsidRPr="00465AAB">
              <w:rPr>
                <w:rStyle w:val="Hyperlink"/>
                <w:noProof/>
                <w:color w:val="auto"/>
                <w:sz w:val="18"/>
                <w:szCs w:val="18"/>
                <w:lang w:val="fr-CH"/>
              </w:rPr>
              <w:t>Confidentialité et titularité des informations moléculaires</w:t>
            </w:r>
            <w:r w:rsidR="00BA7E3C" w:rsidRPr="00465AAB">
              <w:rPr>
                <w:noProof/>
                <w:webHidden/>
              </w:rPr>
              <w:tab/>
            </w:r>
            <w:r w:rsidR="00BA7E3C" w:rsidRPr="00465AAB">
              <w:rPr>
                <w:noProof/>
                <w:webHidden/>
              </w:rPr>
              <w:fldChar w:fldCharType="begin"/>
            </w:r>
            <w:r w:rsidR="00BA7E3C" w:rsidRPr="00465AAB">
              <w:rPr>
                <w:noProof/>
                <w:webHidden/>
              </w:rPr>
              <w:instrText xml:space="preserve"> PAGEREF _Toc85447851 \h </w:instrText>
            </w:r>
            <w:r w:rsidR="00BA7E3C" w:rsidRPr="00465AAB">
              <w:rPr>
                <w:noProof/>
                <w:webHidden/>
              </w:rPr>
            </w:r>
            <w:r w:rsidR="00BA7E3C" w:rsidRPr="00465AAB">
              <w:rPr>
                <w:noProof/>
                <w:webHidden/>
              </w:rPr>
              <w:fldChar w:fldCharType="separate"/>
            </w:r>
            <w:r w:rsidR="00BA7E3C" w:rsidRPr="00465AAB">
              <w:rPr>
                <w:noProof/>
                <w:webHidden/>
              </w:rPr>
              <w:t>2</w:t>
            </w:r>
            <w:r w:rsidR="00BA7E3C" w:rsidRPr="00465AAB">
              <w:rPr>
                <w:noProof/>
                <w:webHidden/>
              </w:rPr>
              <w:fldChar w:fldCharType="end"/>
            </w:r>
          </w:hyperlink>
        </w:p>
        <w:p w:rsidR="00BA7E3C" w:rsidRPr="00465AAB" w:rsidRDefault="003A2C0F" w:rsidP="00DF130A">
          <w:pPr>
            <w:pStyle w:val="TOC1"/>
            <w:rPr>
              <w:rFonts w:asciiTheme="minorHAnsi" w:eastAsiaTheme="minorEastAsia" w:hAnsiTheme="minorHAnsi" w:cstheme="minorBidi"/>
              <w:noProof/>
              <w:lang w:eastAsia="fr-CH"/>
            </w:rPr>
          </w:pPr>
          <w:hyperlink w:anchor="_Toc85447852" w:history="1">
            <w:r w:rsidR="00BA7E3C" w:rsidRPr="00465AAB">
              <w:rPr>
                <w:rStyle w:val="Hyperlink"/>
                <w:noProof/>
                <w:color w:val="auto"/>
                <w:sz w:val="18"/>
                <w:szCs w:val="18"/>
                <w:lang w:val="fr-CH"/>
              </w:rPr>
              <w:t>Examen du document UPOV/INF/17 “Directives concernant les profils d’ADN : choix des marqueurs moléculaires et construction d’une base de données y relative (‘Directives BMT’)”</w:t>
            </w:r>
            <w:r w:rsidR="00BA7E3C" w:rsidRPr="00465AAB">
              <w:rPr>
                <w:noProof/>
                <w:webHidden/>
              </w:rPr>
              <w:tab/>
            </w:r>
            <w:r w:rsidR="00BA7E3C" w:rsidRPr="00465AAB">
              <w:rPr>
                <w:noProof/>
                <w:webHidden/>
              </w:rPr>
              <w:fldChar w:fldCharType="begin"/>
            </w:r>
            <w:r w:rsidR="00BA7E3C" w:rsidRPr="00465AAB">
              <w:rPr>
                <w:noProof/>
                <w:webHidden/>
              </w:rPr>
              <w:instrText xml:space="preserve"> PAGEREF _Toc85447852 \h </w:instrText>
            </w:r>
            <w:r w:rsidR="00BA7E3C" w:rsidRPr="00465AAB">
              <w:rPr>
                <w:noProof/>
                <w:webHidden/>
              </w:rPr>
            </w:r>
            <w:r w:rsidR="00BA7E3C" w:rsidRPr="00465AAB">
              <w:rPr>
                <w:noProof/>
                <w:webHidden/>
              </w:rPr>
              <w:fldChar w:fldCharType="separate"/>
            </w:r>
            <w:r w:rsidR="00BA7E3C" w:rsidRPr="00465AAB">
              <w:rPr>
                <w:noProof/>
                <w:webHidden/>
              </w:rPr>
              <w:t>3</w:t>
            </w:r>
            <w:r w:rsidR="00BA7E3C" w:rsidRPr="00465AAB">
              <w:rPr>
                <w:noProof/>
                <w:webHidden/>
              </w:rPr>
              <w:fldChar w:fldCharType="end"/>
            </w:r>
          </w:hyperlink>
        </w:p>
        <w:p w:rsidR="00BA7E3C" w:rsidRPr="00465AAB" w:rsidRDefault="003A2C0F" w:rsidP="00DF130A">
          <w:pPr>
            <w:pStyle w:val="TOC1"/>
            <w:rPr>
              <w:rFonts w:asciiTheme="minorHAnsi" w:eastAsiaTheme="minorEastAsia" w:hAnsiTheme="minorHAnsi" w:cstheme="minorBidi"/>
              <w:noProof/>
              <w:sz w:val="22"/>
              <w:szCs w:val="22"/>
              <w:lang w:eastAsia="fr-CH"/>
            </w:rPr>
          </w:pPr>
          <w:hyperlink w:anchor="_Toc85447853" w:history="1">
            <w:r w:rsidR="00BA7E3C" w:rsidRPr="00465AAB">
              <w:rPr>
                <w:rStyle w:val="Hyperlink"/>
                <w:noProof/>
                <w:color w:val="auto"/>
                <w:sz w:val="18"/>
                <w:szCs w:val="18"/>
                <w:lang w:val="fr-CH"/>
              </w:rPr>
              <w:t>Faits nouveaux survenus au sein des groupes de travail techniques à leurs sessions de 2021</w:t>
            </w:r>
            <w:r w:rsidR="00BA7E3C" w:rsidRPr="00465AAB">
              <w:rPr>
                <w:noProof/>
                <w:webHidden/>
              </w:rPr>
              <w:tab/>
            </w:r>
            <w:r w:rsidR="00BA7E3C" w:rsidRPr="00465AAB">
              <w:rPr>
                <w:noProof/>
                <w:webHidden/>
              </w:rPr>
              <w:fldChar w:fldCharType="begin"/>
            </w:r>
            <w:r w:rsidR="00BA7E3C" w:rsidRPr="00465AAB">
              <w:rPr>
                <w:noProof/>
                <w:webHidden/>
              </w:rPr>
              <w:instrText xml:space="preserve"> PAGEREF _Toc85447853 \h </w:instrText>
            </w:r>
            <w:r w:rsidR="00BA7E3C" w:rsidRPr="00465AAB">
              <w:rPr>
                <w:noProof/>
                <w:webHidden/>
              </w:rPr>
            </w:r>
            <w:r w:rsidR="00BA7E3C" w:rsidRPr="00465AAB">
              <w:rPr>
                <w:noProof/>
                <w:webHidden/>
              </w:rPr>
              <w:fldChar w:fldCharType="separate"/>
            </w:r>
            <w:r w:rsidR="00BA7E3C" w:rsidRPr="00465AAB">
              <w:rPr>
                <w:noProof/>
                <w:webHidden/>
              </w:rPr>
              <w:t>3</w:t>
            </w:r>
            <w:r w:rsidR="00BA7E3C" w:rsidRPr="00465AAB">
              <w:rPr>
                <w:noProof/>
                <w:webHidden/>
              </w:rPr>
              <w:fldChar w:fldCharType="end"/>
            </w:r>
          </w:hyperlink>
        </w:p>
        <w:p w:rsidR="00BA7E3C" w:rsidRPr="00465AAB" w:rsidRDefault="003A2C0F" w:rsidP="00DF130A">
          <w:pPr>
            <w:pStyle w:val="TOC2"/>
            <w:spacing w:before="0"/>
            <w:ind w:left="568"/>
            <w:rPr>
              <w:rFonts w:asciiTheme="minorHAnsi" w:eastAsiaTheme="minorEastAsia" w:hAnsiTheme="minorHAnsi" w:cstheme="minorBidi"/>
              <w:smallCaps w:val="0"/>
              <w:noProof/>
              <w:sz w:val="18"/>
              <w:szCs w:val="18"/>
              <w:lang w:val="fr-CH" w:eastAsia="fr-CH"/>
            </w:rPr>
          </w:pPr>
          <w:hyperlink w:anchor="_Toc85447854" w:history="1">
            <w:r w:rsidR="00BA7E3C" w:rsidRPr="00465AAB">
              <w:rPr>
                <w:rStyle w:val="Hyperlink"/>
                <w:smallCaps w:val="0"/>
                <w:noProof/>
                <w:color w:val="auto"/>
                <w:sz w:val="18"/>
                <w:szCs w:val="18"/>
                <w:lang w:val="fr-CH"/>
              </w:rPr>
              <w:t>Faits nouveaux survenus à la dix-neuvième session du Groupe de travail sur les techniques biochimiques et moléculaires, notamment les profils d’ADN</w:t>
            </w:r>
            <w:r w:rsidR="00BA7E3C" w:rsidRPr="00465AAB">
              <w:rPr>
                <w:smallCaps w:val="0"/>
                <w:noProof/>
                <w:webHidden/>
                <w:sz w:val="18"/>
                <w:szCs w:val="18"/>
              </w:rPr>
              <w:tab/>
            </w:r>
            <w:r w:rsidR="00BA7E3C" w:rsidRPr="00465AAB">
              <w:rPr>
                <w:smallCaps w:val="0"/>
                <w:noProof/>
                <w:webHidden/>
                <w:sz w:val="18"/>
                <w:szCs w:val="18"/>
              </w:rPr>
              <w:fldChar w:fldCharType="begin"/>
            </w:r>
            <w:r w:rsidR="00BA7E3C" w:rsidRPr="00465AAB">
              <w:rPr>
                <w:smallCaps w:val="0"/>
                <w:noProof/>
                <w:webHidden/>
                <w:sz w:val="18"/>
                <w:szCs w:val="18"/>
              </w:rPr>
              <w:instrText xml:space="preserve"> PAGEREF _Toc85447854 \h </w:instrText>
            </w:r>
            <w:r w:rsidR="00BA7E3C" w:rsidRPr="00465AAB">
              <w:rPr>
                <w:smallCaps w:val="0"/>
                <w:noProof/>
                <w:webHidden/>
                <w:sz w:val="18"/>
                <w:szCs w:val="18"/>
              </w:rPr>
            </w:r>
            <w:r w:rsidR="00BA7E3C" w:rsidRPr="00465AAB">
              <w:rPr>
                <w:smallCaps w:val="0"/>
                <w:noProof/>
                <w:webHidden/>
                <w:sz w:val="18"/>
                <w:szCs w:val="18"/>
              </w:rPr>
              <w:fldChar w:fldCharType="separate"/>
            </w:r>
            <w:r w:rsidR="00BA7E3C" w:rsidRPr="00465AAB">
              <w:rPr>
                <w:smallCaps w:val="0"/>
                <w:noProof/>
                <w:webHidden/>
                <w:sz w:val="18"/>
                <w:szCs w:val="18"/>
              </w:rPr>
              <w:t>3</w:t>
            </w:r>
            <w:r w:rsidR="00BA7E3C" w:rsidRPr="00465AAB">
              <w:rPr>
                <w:smallCaps w:val="0"/>
                <w:noProof/>
                <w:webHidden/>
                <w:sz w:val="18"/>
                <w:szCs w:val="18"/>
              </w:rPr>
              <w:fldChar w:fldCharType="end"/>
            </w:r>
          </w:hyperlink>
        </w:p>
        <w:p w:rsidR="00BA7E3C" w:rsidRPr="00465AAB" w:rsidRDefault="003A2C0F" w:rsidP="00DF130A">
          <w:pPr>
            <w:pStyle w:val="TOC2"/>
            <w:spacing w:before="0"/>
            <w:ind w:left="568"/>
            <w:rPr>
              <w:rFonts w:asciiTheme="minorHAnsi" w:eastAsiaTheme="minorEastAsia" w:hAnsiTheme="minorHAnsi" w:cstheme="minorBidi"/>
              <w:smallCaps w:val="0"/>
              <w:noProof/>
              <w:sz w:val="18"/>
              <w:szCs w:val="18"/>
              <w:lang w:val="fr-CH" w:eastAsia="fr-CH"/>
            </w:rPr>
          </w:pPr>
          <w:hyperlink w:anchor="_Toc85447855" w:history="1">
            <w:r w:rsidR="00BA7E3C" w:rsidRPr="00465AAB">
              <w:rPr>
                <w:rStyle w:val="Hyperlink"/>
                <w:smallCaps w:val="0"/>
                <w:noProof/>
                <w:color w:val="auto"/>
                <w:sz w:val="18"/>
                <w:szCs w:val="18"/>
                <w:lang w:val="fr-CH"/>
              </w:rPr>
              <w:t>Fusion du Groupe de travail sur les techniques biochimiques et moléculaires, notamment les profils d’ADN (BMT) et du Groupe de travail technique sur les systèmes d’automatisation et les programmes d’ordinateur (TWC)</w:t>
            </w:r>
            <w:r w:rsidR="00BA7E3C" w:rsidRPr="00465AAB">
              <w:rPr>
                <w:smallCaps w:val="0"/>
                <w:noProof/>
                <w:webHidden/>
                <w:sz w:val="18"/>
                <w:szCs w:val="18"/>
              </w:rPr>
              <w:tab/>
            </w:r>
            <w:r w:rsidR="00BA7E3C" w:rsidRPr="00465AAB">
              <w:rPr>
                <w:smallCaps w:val="0"/>
                <w:noProof/>
                <w:webHidden/>
                <w:sz w:val="18"/>
                <w:szCs w:val="18"/>
              </w:rPr>
              <w:fldChar w:fldCharType="begin"/>
            </w:r>
            <w:r w:rsidR="00BA7E3C" w:rsidRPr="00465AAB">
              <w:rPr>
                <w:smallCaps w:val="0"/>
                <w:noProof/>
                <w:webHidden/>
                <w:sz w:val="18"/>
                <w:szCs w:val="18"/>
              </w:rPr>
              <w:instrText xml:space="preserve"> PAGEREF _Toc85447855 \h </w:instrText>
            </w:r>
            <w:r w:rsidR="00BA7E3C" w:rsidRPr="00465AAB">
              <w:rPr>
                <w:smallCaps w:val="0"/>
                <w:noProof/>
                <w:webHidden/>
                <w:sz w:val="18"/>
                <w:szCs w:val="18"/>
              </w:rPr>
            </w:r>
            <w:r w:rsidR="00BA7E3C" w:rsidRPr="00465AAB">
              <w:rPr>
                <w:smallCaps w:val="0"/>
                <w:noProof/>
                <w:webHidden/>
                <w:sz w:val="18"/>
                <w:szCs w:val="18"/>
              </w:rPr>
              <w:fldChar w:fldCharType="separate"/>
            </w:r>
            <w:r w:rsidR="00BA7E3C" w:rsidRPr="00465AAB">
              <w:rPr>
                <w:smallCaps w:val="0"/>
                <w:noProof/>
                <w:webHidden/>
                <w:sz w:val="18"/>
                <w:szCs w:val="18"/>
              </w:rPr>
              <w:t>3</w:t>
            </w:r>
            <w:r w:rsidR="00BA7E3C" w:rsidRPr="00465AAB">
              <w:rPr>
                <w:smallCaps w:val="0"/>
                <w:noProof/>
                <w:webHidden/>
                <w:sz w:val="18"/>
                <w:szCs w:val="18"/>
              </w:rPr>
              <w:fldChar w:fldCharType="end"/>
            </w:r>
          </w:hyperlink>
        </w:p>
        <w:p w:rsidR="00BA7E3C" w:rsidRPr="00465AAB" w:rsidRDefault="003A2C0F" w:rsidP="00DF130A">
          <w:pPr>
            <w:pStyle w:val="TOC1"/>
            <w:rPr>
              <w:rFonts w:asciiTheme="minorHAnsi" w:eastAsiaTheme="minorEastAsia" w:hAnsiTheme="minorHAnsi" w:cstheme="minorBidi"/>
              <w:noProof/>
              <w:sz w:val="22"/>
              <w:szCs w:val="22"/>
              <w:lang w:eastAsia="fr-CH"/>
            </w:rPr>
          </w:pPr>
          <w:hyperlink w:anchor="_Toc85447856" w:history="1">
            <w:r w:rsidR="00BA7E3C" w:rsidRPr="00465AAB">
              <w:rPr>
                <w:rStyle w:val="Hyperlink"/>
                <w:noProof/>
                <w:color w:val="auto"/>
                <w:sz w:val="18"/>
                <w:szCs w:val="18"/>
                <w:lang w:val="fr-CH"/>
              </w:rPr>
              <w:t>Faits nouveaux survenus à la vingtième session du Groupe de travail sur les techniques biochimiques et moléculaires, notamment les profils d’ADN</w:t>
            </w:r>
            <w:r w:rsidR="00BA7E3C" w:rsidRPr="00465AAB">
              <w:rPr>
                <w:noProof/>
                <w:webHidden/>
              </w:rPr>
              <w:tab/>
            </w:r>
            <w:r w:rsidR="00BA7E3C" w:rsidRPr="00465AAB">
              <w:rPr>
                <w:noProof/>
                <w:webHidden/>
              </w:rPr>
              <w:fldChar w:fldCharType="begin"/>
            </w:r>
            <w:r w:rsidR="00BA7E3C" w:rsidRPr="00465AAB">
              <w:rPr>
                <w:noProof/>
                <w:webHidden/>
              </w:rPr>
              <w:instrText xml:space="preserve"> PAGEREF _Toc85447856 \h </w:instrText>
            </w:r>
            <w:r w:rsidR="00BA7E3C" w:rsidRPr="00465AAB">
              <w:rPr>
                <w:noProof/>
                <w:webHidden/>
              </w:rPr>
            </w:r>
            <w:r w:rsidR="00BA7E3C" w:rsidRPr="00465AAB">
              <w:rPr>
                <w:noProof/>
                <w:webHidden/>
              </w:rPr>
              <w:fldChar w:fldCharType="separate"/>
            </w:r>
            <w:r w:rsidR="00BA7E3C" w:rsidRPr="00465AAB">
              <w:rPr>
                <w:noProof/>
                <w:webHidden/>
              </w:rPr>
              <w:t>4</w:t>
            </w:r>
            <w:r w:rsidR="00BA7E3C" w:rsidRPr="00465AAB">
              <w:rPr>
                <w:noProof/>
                <w:webHidden/>
              </w:rPr>
              <w:fldChar w:fldCharType="end"/>
            </w:r>
          </w:hyperlink>
        </w:p>
        <w:p w:rsidR="00BA7E3C" w:rsidRPr="00465AAB" w:rsidRDefault="003A2C0F" w:rsidP="00DF130A">
          <w:pPr>
            <w:pStyle w:val="TOC2"/>
            <w:spacing w:before="0"/>
            <w:ind w:left="568"/>
            <w:rPr>
              <w:rFonts w:asciiTheme="minorHAnsi" w:eastAsiaTheme="minorEastAsia" w:hAnsiTheme="minorHAnsi" w:cstheme="minorBidi"/>
              <w:smallCaps w:val="0"/>
              <w:noProof/>
              <w:sz w:val="18"/>
              <w:szCs w:val="18"/>
              <w:lang w:val="fr-CH" w:eastAsia="fr-CH"/>
            </w:rPr>
          </w:pPr>
          <w:hyperlink w:anchor="_Toc85447857" w:history="1">
            <w:r w:rsidR="00BA7E3C" w:rsidRPr="00465AAB">
              <w:rPr>
                <w:rStyle w:val="Hyperlink"/>
                <w:smallCaps w:val="0"/>
                <w:noProof/>
                <w:color w:val="auto"/>
                <w:sz w:val="18"/>
                <w:szCs w:val="18"/>
                <w:lang w:val="fr-CH" w:eastAsia="ja-JP"/>
              </w:rPr>
              <w:t>Documents présentés</w:t>
            </w:r>
            <w:r w:rsidR="00BA7E3C" w:rsidRPr="00465AAB">
              <w:rPr>
                <w:smallCaps w:val="0"/>
                <w:noProof/>
                <w:webHidden/>
                <w:sz w:val="18"/>
                <w:szCs w:val="18"/>
              </w:rPr>
              <w:tab/>
            </w:r>
            <w:r w:rsidR="00BA7E3C" w:rsidRPr="00465AAB">
              <w:rPr>
                <w:smallCaps w:val="0"/>
                <w:noProof/>
                <w:webHidden/>
                <w:sz w:val="18"/>
                <w:szCs w:val="18"/>
              </w:rPr>
              <w:fldChar w:fldCharType="begin"/>
            </w:r>
            <w:r w:rsidR="00BA7E3C" w:rsidRPr="00465AAB">
              <w:rPr>
                <w:smallCaps w:val="0"/>
                <w:noProof/>
                <w:webHidden/>
                <w:sz w:val="18"/>
                <w:szCs w:val="18"/>
              </w:rPr>
              <w:instrText xml:space="preserve"> PAGEREF _Toc85447857 \h </w:instrText>
            </w:r>
            <w:r w:rsidR="00BA7E3C" w:rsidRPr="00465AAB">
              <w:rPr>
                <w:smallCaps w:val="0"/>
                <w:noProof/>
                <w:webHidden/>
                <w:sz w:val="18"/>
                <w:szCs w:val="18"/>
              </w:rPr>
            </w:r>
            <w:r w:rsidR="00BA7E3C" w:rsidRPr="00465AAB">
              <w:rPr>
                <w:smallCaps w:val="0"/>
                <w:noProof/>
                <w:webHidden/>
                <w:sz w:val="18"/>
                <w:szCs w:val="18"/>
              </w:rPr>
              <w:fldChar w:fldCharType="separate"/>
            </w:r>
            <w:r w:rsidR="00BA7E3C" w:rsidRPr="00465AAB">
              <w:rPr>
                <w:smallCaps w:val="0"/>
                <w:noProof/>
                <w:webHidden/>
                <w:sz w:val="18"/>
                <w:szCs w:val="18"/>
              </w:rPr>
              <w:t>4</w:t>
            </w:r>
            <w:r w:rsidR="00BA7E3C" w:rsidRPr="00465AAB">
              <w:rPr>
                <w:smallCaps w:val="0"/>
                <w:noProof/>
                <w:webHidden/>
                <w:sz w:val="18"/>
                <w:szCs w:val="18"/>
              </w:rPr>
              <w:fldChar w:fldCharType="end"/>
            </w:r>
          </w:hyperlink>
        </w:p>
        <w:p w:rsidR="00BA7E3C" w:rsidRPr="00465AAB" w:rsidRDefault="003A2C0F" w:rsidP="00DF130A">
          <w:pPr>
            <w:pStyle w:val="TOC2"/>
            <w:spacing w:before="0"/>
            <w:ind w:left="568"/>
            <w:rPr>
              <w:rFonts w:asciiTheme="minorHAnsi" w:eastAsiaTheme="minorEastAsia" w:hAnsiTheme="minorHAnsi" w:cstheme="minorBidi"/>
              <w:smallCaps w:val="0"/>
              <w:noProof/>
              <w:sz w:val="18"/>
              <w:szCs w:val="18"/>
              <w:lang w:val="fr-CH" w:eastAsia="fr-CH"/>
            </w:rPr>
          </w:pPr>
          <w:hyperlink w:anchor="_Toc85447858" w:history="1">
            <w:r w:rsidR="00BA7E3C" w:rsidRPr="00465AAB">
              <w:rPr>
                <w:rStyle w:val="Hyperlink"/>
                <w:smallCaps w:val="0"/>
                <w:noProof/>
                <w:color w:val="auto"/>
                <w:sz w:val="18"/>
                <w:szCs w:val="18"/>
                <w:lang w:val="fr-CH"/>
              </w:rPr>
              <w:t>Exposés succincts sur les faits nouveaux survenus en matière de techniques biochimiques et moléculaires, présentés par des experts de l’examen DHS, des spécialistes en techniques biochimiques et moléculaires, des obtenteurs et les organisations internationales concernées</w:t>
            </w:r>
            <w:r w:rsidR="00BA7E3C" w:rsidRPr="00465AAB">
              <w:rPr>
                <w:smallCaps w:val="0"/>
                <w:noProof/>
                <w:webHidden/>
                <w:sz w:val="18"/>
                <w:szCs w:val="18"/>
              </w:rPr>
              <w:tab/>
            </w:r>
            <w:r w:rsidR="00BA7E3C" w:rsidRPr="00465AAB">
              <w:rPr>
                <w:smallCaps w:val="0"/>
                <w:noProof/>
                <w:webHidden/>
                <w:sz w:val="18"/>
                <w:szCs w:val="18"/>
              </w:rPr>
              <w:fldChar w:fldCharType="begin"/>
            </w:r>
            <w:r w:rsidR="00BA7E3C" w:rsidRPr="00465AAB">
              <w:rPr>
                <w:smallCaps w:val="0"/>
                <w:noProof/>
                <w:webHidden/>
                <w:sz w:val="18"/>
                <w:szCs w:val="18"/>
              </w:rPr>
              <w:instrText xml:space="preserve"> PAGEREF _Toc85447858 \h </w:instrText>
            </w:r>
            <w:r w:rsidR="00BA7E3C" w:rsidRPr="00465AAB">
              <w:rPr>
                <w:smallCaps w:val="0"/>
                <w:noProof/>
                <w:webHidden/>
                <w:sz w:val="18"/>
                <w:szCs w:val="18"/>
              </w:rPr>
            </w:r>
            <w:r w:rsidR="00BA7E3C" w:rsidRPr="00465AAB">
              <w:rPr>
                <w:smallCaps w:val="0"/>
                <w:noProof/>
                <w:webHidden/>
                <w:sz w:val="18"/>
                <w:szCs w:val="18"/>
              </w:rPr>
              <w:fldChar w:fldCharType="separate"/>
            </w:r>
            <w:r w:rsidR="00BA7E3C" w:rsidRPr="00465AAB">
              <w:rPr>
                <w:smallCaps w:val="0"/>
                <w:noProof/>
                <w:webHidden/>
                <w:sz w:val="18"/>
                <w:szCs w:val="18"/>
              </w:rPr>
              <w:t>4</w:t>
            </w:r>
            <w:r w:rsidR="00BA7E3C" w:rsidRPr="00465AAB">
              <w:rPr>
                <w:smallCaps w:val="0"/>
                <w:noProof/>
                <w:webHidden/>
                <w:sz w:val="18"/>
                <w:szCs w:val="18"/>
              </w:rPr>
              <w:fldChar w:fldCharType="end"/>
            </w:r>
          </w:hyperlink>
        </w:p>
        <w:p w:rsidR="00BF265D" w:rsidRPr="00465AAB" w:rsidRDefault="007E2DFF" w:rsidP="007E2DFF">
          <w:pPr>
            <w:pStyle w:val="TOC2"/>
            <w:rPr>
              <w:noProof/>
            </w:rPr>
          </w:pPr>
          <w:r w:rsidRPr="00465AAB">
            <w:rPr>
              <w:noProof/>
            </w:rPr>
            <w:fldChar w:fldCharType="end"/>
          </w:r>
        </w:p>
      </w:sdtContent>
    </w:sdt>
    <w:p w:rsidR="00BF265D" w:rsidRPr="00465AAB" w:rsidRDefault="007E2DFF" w:rsidP="00BF265D">
      <w:pPr>
        <w:rPr>
          <w:lang w:val="fr-CH"/>
        </w:rPr>
      </w:pPr>
      <w:r w:rsidRPr="00465AAB">
        <w:fldChar w:fldCharType="begin"/>
      </w:r>
      <w:r w:rsidRPr="00465AAB">
        <w:rPr>
          <w:lang w:val="fr-CH"/>
        </w:rPr>
        <w:instrText xml:space="preserve"> AUTONUM  </w:instrText>
      </w:r>
      <w:r w:rsidRPr="00465AAB">
        <w:fldChar w:fldCharType="end"/>
      </w:r>
      <w:r w:rsidRPr="00465AAB">
        <w:rPr>
          <w:lang w:val="fr-CH"/>
        </w:rPr>
        <w:tab/>
      </w:r>
      <w:r w:rsidR="00BF265D" w:rsidRPr="00465AAB">
        <w:rPr>
          <w:lang w:val="fr-CH"/>
        </w:rPr>
        <w:t>Les abréviations suivantes sont utilisées dans le présent document</w:t>
      </w:r>
      <w:r w:rsidR="002D3995" w:rsidRPr="00465AAB">
        <w:rPr>
          <w:lang w:val="fr-CH"/>
        </w:rPr>
        <w:t> :</w:t>
      </w:r>
    </w:p>
    <w:p w:rsidR="00BF265D" w:rsidRPr="00465AAB" w:rsidRDefault="00BF265D" w:rsidP="007E2DFF">
      <w:pPr>
        <w:rPr>
          <w:lang w:val="fr-CH"/>
        </w:rPr>
      </w:pPr>
    </w:p>
    <w:p w:rsidR="002D3995" w:rsidRPr="00465AAB" w:rsidRDefault="00131637" w:rsidP="00131637">
      <w:pPr>
        <w:keepNext/>
        <w:tabs>
          <w:tab w:val="left" w:pos="567"/>
        </w:tabs>
        <w:ind w:left="1701" w:hanging="1134"/>
        <w:rPr>
          <w:sz w:val="18"/>
          <w:lang w:val="fr-CH"/>
        </w:rPr>
      </w:pPr>
      <w:r w:rsidRPr="00465AAB">
        <w:rPr>
          <w:sz w:val="18"/>
          <w:lang w:val="fr-CH"/>
        </w:rPr>
        <w:t>BMT</w:t>
      </w:r>
      <w:r w:rsidR="002D3995" w:rsidRPr="00465AAB">
        <w:rPr>
          <w:sz w:val="18"/>
          <w:lang w:val="fr-CH"/>
        </w:rPr>
        <w:t> :</w:t>
      </w:r>
      <w:r w:rsidR="00F53B5E" w:rsidRPr="00465AAB">
        <w:rPr>
          <w:sz w:val="18"/>
          <w:lang w:val="fr-CH"/>
        </w:rPr>
        <w:t xml:space="preserve"> </w:t>
      </w:r>
      <w:r w:rsidRPr="00465AAB">
        <w:rPr>
          <w:sz w:val="18"/>
          <w:lang w:val="fr-CH"/>
        </w:rPr>
        <w:tab/>
        <w:t>Groupe de travail sur les techniques biochimiques et moléculaires, notamment les profils d</w:t>
      </w:r>
      <w:r w:rsidR="002D3995" w:rsidRPr="00465AAB">
        <w:rPr>
          <w:sz w:val="18"/>
          <w:lang w:val="fr-CH"/>
        </w:rPr>
        <w:t>’</w:t>
      </w:r>
      <w:r w:rsidRPr="00465AAB">
        <w:rPr>
          <w:sz w:val="18"/>
          <w:lang w:val="fr-CH"/>
        </w:rPr>
        <w:t>ADN</w:t>
      </w:r>
    </w:p>
    <w:p w:rsidR="00BF265D" w:rsidRPr="00465AAB" w:rsidRDefault="00131637" w:rsidP="00131637">
      <w:pPr>
        <w:ind w:left="1701" w:hanging="1134"/>
        <w:rPr>
          <w:rFonts w:cs="Arial"/>
          <w:snapToGrid w:val="0"/>
          <w:sz w:val="18"/>
          <w:szCs w:val="24"/>
          <w:lang w:val="fr-CH" w:eastAsia="ja-JP"/>
        </w:rPr>
      </w:pPr>
      <w:r w:rsidRPr="00465AAB">
        <w:rPr>
          <w:rFonts w:cs="Arial"/>
          <w:snapToGrid w:val="0"/>
          <w:sz w:val="18"/>
          <w:szCs w:val="24"/>
          <w:lang w:val="fr-CH" w:eastAsia="ja-JP"/>
        </w:rPr>
        <w:t>ISTA</w:t>
      </w:r>
      <w:r w:rsidR="002D3995" w:rsidRPr="00465AAB">
        <w:rPr>
          <w:rFonts w:cs="Arial"/>
          <w:snapToGrid w:val="0"/>
          <w:sz w:val="18"/>
          <w:szCs w:val="24"/>
          <w:lang w:val="fr-CH" w:eastAsia="ja-JP"/>
        </w:rPr>
        <w:t> :</w:t>
      </w:r>
      <w:r w:rsidR="00F53B5E" w:rsidRPr="00465AAB">
        <w:rPr>
          <w:rFonts w:cs="Arial"/>
          <w:snapToGrid w:val="0"/>
          <w:sz w:val="18"/>
          <w:szCs w:val="24"/>
          <w:lang w:val="fr-CH" w:eastAsia="ja-JP"/>
        </w:rPr>
        <w:t xml:space="preserve"> </w:t>
      </w:r>
      <w:r w:rsidRPr="00465AAB">
        <w:rPr>
          <w:sz w:val="18"/>
          <w:lang w:val="fr-CH"/>
        </w:rPr>
        <w:tab/>
      </w:r>
      <w:r w:rsidRPr="00465AAB">
        <w:rPr>
          <w:rFonts w:cs="Arial"/>
          <w:snapToGrid w:val="0"/>
          <w:sz w:val="18"/>
          <w:szCs w:val="24"/>
          <w:lang w:val="fr-CH" w:eastAsia="ja-JP"/>
        </w:rPr>
        <w:t>Association internationale d</w:t>
      </w:r>
      <w:r w:rsidR="002D3995" w:rsidRPr="00465AAB">
        <w:rPr>
          <w:rFonts w:cs="Arial"/>
          <w:snapToGrid w:val="0"/>
          <w:sz w:val="18"/>
          <w:szCs w:val="24"/>
          <w:lang w:val="fr-CH" w:eastAsia="ja-JP"/>
        </w:rPr>
        <w:t>’</w:t>
      </w:r>
      <w:r w:rsidRPr="00465AAB">
        <w:rPr>
          <w:rFonts w:cs="Arial"/>
          <w:snapToGrid w:val="0"/>
          <w:sz w:val="18"/>
          <w:szCs w:val="24"/>
          <w:lang w:val="fr-CH" w:eastAsia="ja-JP"/>
        </w:rPr>
        <w:t>essais de semences</w:t>
      </w:r>
    </w:p>
    <w:p w:rsidR="00BF265D" w:rsidRPr="00465AAB" w:rsidRDefault="00131637" w:rsidP="00131637">
      <w:pPr>
        <w:ind w:left="1701" w:hanging="1134"/>
        <w:rPr>
          <w:rFonts w:eastAsia="PMingLiU" w:cs="Arial"/>
          <w:snapToGrid w:val="0"/>
          <w:sz w:val="18"/>
          <w:szCs w:val="24"/>
          <w:lang w:val="fr-CH"/>
        </w:rPr>
      </w:pPr>
      <w:r w:rsidRPr="00465AAB">
        <w:rPr>
          <w:rFonts w:eastAsia="PMingLiU" w:cs="Arial"/>
          <w:snapToGrid w:val="0"/>
          <w:sz w:val="18"/>
          <w:szCs w:val="24"/>
          <w:lang w:val="fr-CH"/>
        </w:rPr>
        <w:t>OCDE</w:t>
      </w:r>
      <w:r w:rsidR="002D3995" w:rsidRPr="00465AAB">
        <w:rPr>
          <w:rFonts w:eastAsia="PMingLiU" w:cs="Arial"/>
          <w:snapToGrid w:val="0"/>
          <w:sz w:val="18"/>
          <w:szCs w:val="24"/>
          <w:lang w:val="fr-CH"/>
        </w:rPr>
        <w:t> :</w:t>
      </w:r>
      <w:r w:rsidR="00F53B5E" w:rsidRPr="00465AAB">
        <w:rPr>
          <w:rFonts w:eastAsia="PMingLiU" w:cs="Arial"/>
          <w:snapToGrid w:val="0"/>
          <w:sz w:val="18"/>
          <w:szCs w:val="24"/>
          <w:lang w:val="fr-CH"/>
        </w:rPr>
        <w:t xml:space="preserve"> </w:t>
      </w:r>
      <w:r w:rsidRPr="00465AAB">
        <w:rPr>
          <w:rFonts w:eastAsia="PMingLiU"/>
          <w:sz w:val="18"/>
          <w:lang w:val="fr-CH"/>
        </w:rPr>
        <w:tab/>
      </w:r>
      <w:r w:rsidRPr="00465AAB">
        <w:rPr>
          <w:rFonts w:eastAsia="PMingLiU" w:cs="Arial"/>
          <w:snapToGrid w:val="0"/>
          <w:sz w:val="18"/>
          <w:szCs w:val="24"/>
          <w:lang w:val="fr-CH"/>
        </w:rPr>
        <w:t>Organisation de coopération et de développement économiques</w:t>
      </w:r>
    </w:p>
    <w:p w:rsidR="00BF265D" w:rsidRPr="00465AAB" w:rsidRDefault="00131637" w:rsidP="00131637">
      <w:pPr>
        <w:keepNext/>
        <w:tabs>
          <w:tab w:val="left" w:pos="567"/>
        </w:tabs>
        <w:ind w:left="1701" w:hanging="1134"/>
        <w:rPr>
          <w:sz w:val="18"/>
          <w:lang w:val="fr-CH"/>
        </w:rPr>
      </w:pPr>
      <w:r w:rsidRPr="00465AAB">
        <w:rPr>
          <w:sz w:val="18"/>
          <w:lang w:val="fr-CH"/>
        </w:rPr>
        <w:t>TC</w:t>
      </w:r>
      <w:r w:rsidR="002D3995" w:rsidRPr="00465AAB">
        <w:rPr>
          <w:sz w:val="18"/>
          <w:lang w:val="fr-CH"/>
        </w:rPr>
        <w:t> :</w:t>
      </w:r>
      <w:r w:rsidR="00F53B5E" w:rsidRPr="00465AAB">
        <w:rPr>
          <w:sz w:val="18"/>
          <w:lang w:val="fr-CH"/>
        </w:rPr>
        <w:t xml:space="preserve"> </w:t>
      </w:r>
      <w:r w:rsidRPr="00465AAB">
        <w:rPr>
          <w:sz w:val="18"/>
          <w:lang w:val="fr-CH"/>
        </w:rPr>
        <w:tab/>
        <w:t>Comité technique</w:t>
      </w:r>
    </w:p>
    <w:p w:rsidR="00BF265D" w:rsidRPr="00465AAB" w:rsidRDefault="00131637" w:rsidP="00131637">
      <w:pPr>
        <w:ind w:left="1701" w:hanging="1134"/>
        <w:rPr>
          <w:rFonts w:eastAsia="PMingLiU" w:cs="Arial"/>
          <w:sz w:val="18"/>
          <w:szCs w:val="24"/>
          <w:lang w:val="fr-CH"/>
        </w:rPr>
      </w:pPr>
      <w:r w:rsidRPr="00465AAB">
        <w:rPr>
          <w:rFonts w:eastAsia="PMingLiU" w:cs="Arial"/>
          <w:sz w:val="18"/>
          <w:szCs w:val="24"/>
          <w:lang w:val="fr-CH"/>
        </w:rPr>
        <w:t>TWA</w:t>
      </w:r>
      <w:r w:rsidR="002D3995" w:rsidRPr="00465AAB">
        <w:rPr>
          <w:rFonts w:eastAsia="PMingLiU" w:cs="Arial"/>
          <w:sz w:val="18"/>
          <w:szCs w:val="24"/>
          <w:lang w:val="fr-CH"/>
        </w:rPr>
        <w:t> :</w:t>
      </w:r>
      <w:r w:rsidR="00F53B5E" w:rsidRPr="00465AAB">
        <w:rPr>
          <w:rFonts w:eastAsia="PMingLiU" w:cs="Arial"/>
          <w:sz w:val="18"/>
          <w:szCs w:val="24"/>
          <w:lang w:val="fr-CH"/>
        </w:rPr>
        <w:t xml:space="preserve"> </w:t>
      </w:r>
      <w:r w:rsidRPr="00465AAB">
        <w:rPr>
          <w:rFonts w:eastAsia="PMingLiU"/>
          <w:sz w:val="18"/>
          <w:lang w:val="fr-CH"/>
        </w:rPr>
        <w:tab/>
      </w:r>
      <w:r w:rsidRPr="00465AAB">
        <w:rPr>
          <w:rFonts w:eastAsia="PMingLiU" w:cs="Arial"/>
          <w:sz w:val="18"/>
          <w:szCs w:val="24"/>
          <w:lang w:val="fr-CH"/>
        </w:rPr>
        <w:t>Groupe de travail technique sur les plantes agricoles</w:t>
      </w:r>
    </w:p>
    <w:p w:rsidR="00BF265D" w:rsidRPr="00465AAB" w:rsidRDefault="00131637" w:rsidP="00131637">
      <w:pPr>
        <w:ind w:left="1701" w:hanging="1134"/>
        <w:rPr>
          <w:rFonts w:eastAsia="PMingLiU" w:cs="Arial"/>
          <w:sz w:val="18"/>
          <w:szCs w:val="24"/>
          <w:lang w:val="fr-CH"/>
        </w:rPr>
      </w:pPr>
      <w:r w:rsidRPr="00465AAB">
        <w:rPr>
          <w:rFonts w:eastAsia="PMingLiU" w:cs="Arial"/>
          <w:sz w:val="18"/>
          <w:szCs w:val="24"/>
          <w:lang w:val="fr-CH"/>
        </w:rPr>
        <w:t>TWC</w:t>
      </w:r>
      <w:r w:rsidR="002D3995" w:rsidRPr="00465AAB">
        <w:rPr>
          <w:rFonts w:eastAsia="PMingLiU" w:cs="Arial"/>
          <w:sz w:val="18"/>
          <w:szCs w:val="24"/>
          <w:lang w:val="fr-CH"/>
        </w:rPr>
        <w:t> :</w:t>
      </w:r>
      <w:r w:rsidR="00F53B5E" w:rsidRPr="00465AAB">
        <w:rPr>
          <w:rFonts w:eastAsia="PMingLiU" w:cs="Arial"/>
          <w:sz w:val="18"/>
          <w:szCs w:val="24"/>
          <w:lang w:val="fr-CH"/>
        </w:rPr>
        <w:t xml:space="preserve"> </w:t>
      </w:r>
      <w:r w:rsidRPr="00465AAB">
        <w:rPr>
          <w:rFonts w:eastAsia="PMingLiU"/>
          <w:sz w:val="18"/>
          <w:lang w:val="fr-CH"/>
        </w:rPr>
        <w:tab/>
      </w:r>
      <w:r w:rsidRPr="00465AAB">
        <w:rPr>
          <w:rFonts w:eastAsia="PMingLiU" w:cs="Arial"/>
          <w:sz w:val="18"/>
          <w:szCs w:val="24"/>
          <w:lang w:val="fr-CH"/>
        </w:rPr>
        <w:t>Groupe de travail technique sur les systèmes d</w:t>
      </w:r>
      <w:r w:rsidR="002D3995" w:rsidRPr="00465AAB">
        <w:rPr>
          <w:rFonts w:eastAsia="PMingLiU" w:cs="Arial"/>
          <w:sz w:val="18"/>
          <w:szCs w:val="24"/>
          <w:lang w:val="fr-CH"/>
        </w:rPr>
        <w:t>’</w:t>
      </w:r>
      <w:r w:rsidRPr="00465AAB">
        <w:rPr>
          <w:rFonts w:eastAsia="PMingLiU" w:cs="Arial"/>
          <w:sz w:val="18"/>
          <w:szCs w:val="24"/>
          <w:lang w:val="fr-CH"/>
        </w:rPr>
        <w:t>automatisation et les programmes d</w:t>
      </w:r>
      <w:r w:rsidR="002D3995" w:rsidRPr="00465AAB">
        <w:rPr>
          <w:rFonts w:eastAsia="PMingLiU" w:cs="Arial"/>
          <w:sz w:val="18"/>
          <w:szCs w:val="24"/>
          <w:lang w:val="fr-CH"/>
        </w:rPr>
        <w:t>’</w:t>
      </w:r>
      <w:r w:rsidRPr="00465AAB">
        <w:rPr>
          <w:rFonts w:eastAsia="PMingLiU" w:cs="Arial"/>
          <w:sz w:val="18"/>
          <w:szCs w:val="24"/>
          <w:lang w:val="fr-CH"/>
        </w:rPr>
        <w:t>ordinateur</w:t>
      </w:r>
    </w:p>
    <w:p w:rsidR="00BF265D" w:rsidRPr="00465AAB" w:rsidRDefault="00131637" w:rsidP="00131637">
      <w:pPr>
        <w:ind w:left="1701" w:hanging="1134"/>
        <w:rPr>
          <w:rFonts w:eastAsia="PMingLiU" w:cs="Arial"/>
          <w:sz w:val="18"/>
          <w:szCs w:val="24"/>
          <w:lang w:val="fr-CH"/>
        </w:rPr>
      </w:pPr>
      <w:r w:rsidRPr="00465AAB">
        <w:rPr>
          <w:rFonts w:eastAsia="PMingLiU" w:cs="Arial"/>
          <w:sz w:val="18"/>
          <w:szCs w:val="24"/>
          <w:lang w:val="fr-CH"/>
        </w:rPr>
        <w:t>TWF</w:t>
      </w:r>
      <w:r w:rsidR="002D3995" w:rsidRPr="00465AAB">
        <w:rPr>
          <w:rFonts w:eastAsia="PMingLiU" w:cs="Arial"/>
          <w:sz w:val="18"/>
          <w:szCs w:val="24"/>
          <w:lang w:val="fr-CH"/>
        </w:rPr>
        <w:t> :</w:t>
      </w:r>
      <w:r w:rsidR="00F53B5E" w:rsidRPr="00465AAB">
        <w:rPr>
          <w:rFonts w:eastAsia="PMingLiU" w:cs="Arial"/>
          <w:sz w:val="18"/>
          <w:szCs w:val="24"/>
          <w:lang w:val="fr-CH"/>
        </w:rPr>
        <w:t xml:space="preserve"> </w:t>
      </w:r>
      <w:r w:rsidRPr="00465AAB">
        <w:rPr>
          <w:rFonts w:eastAsia="PMingLiU"/>
          <w:sz w:val="18"/>
          <w:lang w:val="fr-CH"/>
        </w:rPr>
        <w:tab/>
      </w:r>
      <w:r w:rsidRPr="00465AAB">
        <w:rPr>
          <w:rFonts w:eastAsia="PMingLiU" w:cs="Arial"/>
          <w:sz w:val="18"/>
          <w:szCs w:val="24"/>
          <w:lang w:val="fr-CH"/>
        </w:rPr>
        <w:t>Groupe de travail technique sur les plantes fruitières</w:t>
      </w:r>
    </w:p>
    <w:p w:rsidR="002D3995" w:rsidRPr="00465AAB" w:rsidRDefault="00131637" w:rsidP="00131637">
      <w:pPr>
        <w:ind w:left="1701" w:hanging="1134"/>
        <w:rPr>
          <w:rFonts w:eastAsia="PMingLiU" w:cs="Arial"/>
          <w:sz w:val="18"/>
          <w:szCs w:val="24"/>
          <w:lang w:val="fr-CH"/>
        </w:rPr>
      </w:pPr>
      <w:r w:rsidRPr="00465AAB">
        <w:rPr>
          <w:rFonts w:eastAsia="PMingLiU" w:cs="Arial"/>
          <w:sz w:val="18"/>
          <w:szCs w:val="24"/>
          <w:lang w:val="fr-CH"/>
        </w:rPr>
        <w:t>TWM</w:t>
      </w:r>
      <w:r w:rsidR="002D3995" w:rsidRPr="00465AAB">
        <w:rPr>
          <w:rFonts w:eastAsia="PMingLiU" w:cs="Arial"/>
          <w:sz w:val="18"/>
          <w:szCs w:val="24"/>
          <w:lang w:val="fr-CH"/>
        </w:rPr>
        <w:t> :</w:t>
      </w:r>
      <w:r w:rsidR="00F53B5E" w:rsidRPr="00465AAB">
        <w:rPr>
          <w:rFonts w:eastAsia="PMingLiU" w:cs="Arial"/>
          <w:sz w:val="18"/>
          <w:szCs w:val="24"/>
          <w:lang w:val="fr-CH"/>
        </w:rPr>
        <w:t xml:space="preserve"> </w:t>
      </w:r>
      <w:r w:rsidR="00F53B5E" w:rsidRPr="00465AAB">
        <w:rPr>
          <w:rFonts w:eastAsia="PMingLiU" w:cs="Arial"/>
          <w:sz w:val="18"/>
          <w:szCs w:val="24"/>
          <w:lang w:val="fr-CH"/>
        </w:rPr>
        <w:tab/>
      </w:r>
      <w:r w:rsidRPr="00465AAB">
        <w:rPr>
          <w:rFonts w:eastAsia="PMingLiU" w:cs="Arial"/>
          <w:sz w:val="18"/>
          <w:szCs w:val="24"/>
          <w:lang w:val="fr-CH"/>
        </w:rPr>
        <w:t>Groupe de travail technique sur les méthodes et techniques d</w:t>
      </w:r>
      <w:r w:rsidR="002D3995" w:rsidRPr="00465AAB">
        <w:rPr>
          <w:rFonts w:eastAsia="PMingLiU" w:cs="Arial"/>
          <w:sz w:val="18"/>
          <w:szCs w:val="24"/>
          <w:lang w:val="fr-CH"/>
        </w:rPr>
        <w:t>’</w:t>
      </w:r>
      <w:r w:rsidRPr="00465AAB">
        <w:rPr>
          <w:rFonts w:eastAsia="PMingLiU" w:cs="Arial"/>
          <w:sz w:val="18"/>
          <w:szCs w:val="24"/>
          <w:lang w:val="fr-CH"/>
        </w:rPr>
        <w:t>essai</w:t>
      </w:r>
    </w:p>
    <w:p w:rsidR="00BF265D" w:rsidRPr="00465AAB" w:rsidRDefault="00131637" w:rsidP="00131637">
      <w:pPr>
        <w:ind w:left="1701" w:hanging="1134"/>
        <w:rPr>
          <w:rFonts w:eastAsia="PMingLiU" w:cs="Arial"/>
          <w:sz w:val="18"/>
          <w:szCs w:val="24"/>
          <w:lang w:val="fr-CH"/>
        </w:rPr>
      </w:pPr>
      <w:r w:rsidRPr="00465AAB">
        <w:rPr>
          <w:rFonts w:eastAsia="PMingLiU" w:cs="Arial"/>
          <w:sz w:val="18"/>
          <w:szCs w:val="24"/>
          <w:lang w:val="fr-CH"/>
        </w:rPr>
        <w:lastRenderedPageBreak/>
        <w:t>TWO</w:t>
      </w:r>
      <w:r w:rsidR="002D3995" w:rsidRPr="00465AAB">
        <w:rPr>
          <w:rFonts w:eastAsia="PMingLiU" w:cs="Arial"/>
          <w:sz w:val="18"/>
          <w:szCs w:val="24"/>
          <w:lang w:val="fr-CH"/>
        </w:rPr>
        <w:t> :</w:t>
      </w:r>
      <w:r w:rsidR="00F53B5E" w:rsidRPr="00465AAB">
        <w:rPr>
          <w:rFonts w:eastAsia="PMingLiU" w:cs="Arial"/>
          <w:sz w:val="18"/>
          <w:szCs w:val="24"/>
          <w:lang w:val="fr-CH"/>
        </w:rPr>
        <w:t xml:space="preserve"> </w:t>
      </w:r>
      <w:r w:rsidRPr="00465AAB">
        <w:rPr>
          <w:rFonts w:eastAsia="PMingLiU"/>
          <w:sz w:val="18"/>
          <w:lang w:val="fr-CH"/>
        </w:rPr>
        <w:tab/>
      </w:r>
      <w:r w:rsidRPr="00465AAB">
        <w:rPr>
          <w:rFonts w:eastAsia="PMingLiU" w:cs="Arial"/>
          <w:sz w:val="18"/>
          <w:szCs w:val="24"/>
          <w:lang w:val="fr-CH"/>
        </w:rPr>
        <w:t>Groupe de travail technique sur les plantes ornementales et les arbres forestiers</w:t>
      </w:r>
    </w:p>
    <w:p w:rsidR="00BF265D" w:rsidRPr="00465AAB" w:rsidRDefault="00131637" w:rsidP="00131637">
      <w:pPr>
        <w:ind w:left="1701" w:hanging="1134"/>
        <w:rPr>
          <w:rFonts w:eastAsia="PMingLiU" w:cs="Arial"/>
          <w:sz w:val="18"/>
          <w:szCs w:val="24"/>
          <w:lang w:val="fr-CH"/>
        </w:rPr>
      </w:pPr>
      <w:r w:rsidRPr="00465AAB">
        <w:rPr>
          <w:rFonts w:eastAsia="PMingLiU" w:cs="Arial"/>
          <w:sz w:val="18"/>
          <w:szCs w:val="24"/>
          <w:lang w:val="fr-CH"/>
        </w:rPr>
        <w:t>TWP</w:t>
      </w:r>
      <w:r w:rsidR="002D3995" w:rsidRPr="00465AAB">
        <w:rPr>
          <w:rFonts w:eastAsia="PMingLiU" w:cs="Arial"/>
          <w:sz w:val="18"/>
          <w:szCs w:val="24"/>
          <w:lang w:val="fr-CH"/>
        </w:rPr>
        <w:t> :</w:t>
      </w:r>
      <w:r w:rsidR="00F53B5E" w:rsidRPr="00465AAB">
        <w:rPr>
          <w:rFonts w:eastAsia="PMingLiU" w:cs="Arial"/>
          <w:sz w:val="18"/>
          <w:szCs w:val="24"/>
          <w:lang w:val="fr-CH"/>
        </w:rPr>
        <w:t xml:space="preserve"> </w:t>
      </w:r>
      <w:r w:rsidRPr="00465AAB">
        <w:rPr>
          <w:rFonts w:eastAsia="PMingLiU"/>
          <w:sz w:val="18"/>
          <w:lang w:val="fr-CH"/>
        </w:rPr>
        <w:tab/>
      </w:r>
      <w:r w:rsidRPr="00465AAB">
        <w:rPr>
          <w:rFonts w:eastAsia="PMingLiU" w:cs="Arial"/>
          <w:sz w:val="18"/>
          <w:szCs w:val="24"/>
          <w:lang w:val="fr-CH"/>
        </w:rPr>
        <w:t>Groupe(s) de travail technique(s)</w:t>
      </w:r>
    </w:p>
    <w:p w:rsidR="00BF265D" w:rsidRPr="00465AAB" w:rsidRDefault="00131637" w:rsidP="00131637">
      <w:pPr>
        <w:ind w:left="1701" w:hanging="1134"/>
        <w:rPr>
          <w:rFonts w:eastAsia="PMingLiU" w:cs="Arial"/>
          <w:sz w:val="18"/>
          <w:szCs w:val="24"/>
          <w:lang w:val="fr-CH"/>
        </w:rPr>
      </w:pPr>
      <w:r w:rsidRPr="00465AAB">
        <w:rPr>
          <w:rFonts w:eastAsia="PMingLiU" w:cs="Arial"/>
          <w:sz w:val="18"/>
          <w:szCs w:val="24"/>
          <w:lang w:val="fr-CH"/>
        </w:rPr>
        <w:t>TWV</w:t>
      </w:r>
      <w:r w:rsidR="002D3995" w:rsidRPr="00465AAB">
        <w:rPr>
          <w:rFonts w:eastAsia="PMingLiU" w:cs="Arial"/>
          <w:sz w:val="18"/>
          <w:szCs w:val="24"/>
          <w:lang w:val="fr-CH"/>
        </w:rPr>
        <w:t> :</w:t>
      </w:r>
      <w:r w:rsidR="00F53B5E" w:rsidRPr="00465AAB">
        <w:rPr>
          <w:rFonts w:eastAsia="PMingLiU" w:cs="Arial"/>
          <w:sz w:val="18"/>
          <w:szCs w:val="24"/>
          <w:lang w:val="fr-CH"/>
        </w:rPr>
        <w:t xml:space="preserve"> </w:t>
      </w:r>
      <w:r w:rsidRPr="00465AAB">
        <w:rPr>
          <w:rFonts w:eastAsia="PMingLiU"/>
          <w:sz w:val="18"/>
          <w:lang w:val="fr-CH"/>
        </w:rPr>
        <w:tab/>
      </w:r>
      <w:r w:rsidRPr="00465AAB">
        <w:rPr>
          <w:rFonts w:eastAsia="PMingLiU" w:cs="Arial"/>
          <w:sz w:val="18"/>
          <w:szCs w:val="24"/>
          <w:lang w:val="fr-CH"/>
        </w:rPr>
        <w:t>Groupe de travail technique sur les plantes potagères</w:t>
      </w:r>
    </w:p>
    <w:p w:rsidR="00BF265D" w:rsidRPr="00465AAB" w:rsidRDefault="00BF265D" w:rsidP="007E2DFF">
      <w:pPr>
        <w:rPr>
          <w:noProof/>
          <w:lang w:val="fr-CH" w:eastAsia="ja-JP"/>
        </w:rPr>
      </w:pPr>
    </w:p>
    <w:p w:rsidR="00BF265D" w:rsidRPr="00465AAB" w:rsidRDefault="00BF265D" w:rsidP="007E2DFF">
      <w:pPr>
        <w:rPr>
          <w:lang w:val="fr-CH"/>
        </w:rPr>
      </w:pPr>
    </w:p>
    <w:p w:rsidR="00BF265D" w:rsidRPr="00465AAB" w:rsidRDefault="00131637" w:rsidP="00131637">
      <w:pPr>
        <w:pStyle w:val="Heading1"/>
        <w:rPr>
          <w:lang w:val="fr-CH"/>
        </w:rPr>
      </w:pPr>
      <w:bookmarkStart w:id="3" w:name="_Toc85447851"/>
      <w:r w:rsidRPr="00465AAB">
        <w:rPr>
          <w:lang w:val="fr-CH"/>
        </w:rPr>
        <w:t>Confidentialité et titularité des informations moléculaires</w:t>
      </w:r>
      <w:bookmarkEnd w:id="3"/>
    </w:p>
    <w:p w:rsidR="00BF265D" w:rsidRPr="00465AAB" w:rsidRDefault="00BF265D" w:rsidP="007E2DFF">
      <w:pPr>
        <w:rPr>
          <w:lang w:val="fr-CH"/>
        </w:rPr>
      </w:pPr>
    </w:p>
    <w:p w:rsidR="00BF265D" w:rsidRPr="00465AAB" w:rsidRDefault="007E2DFF" w:rsidP="002B2839">
      <w:pPr>
        <w:rPr>
          <w:lang w:val="fr-CH"/>
        </w:rPr>
      </w:pPr>
      <w:r w:rsidRPr="00465AAB">
        <w:fldChar w:fldCharType="begin"/>
      </w:r>
      <w:r w:rsidRPr="00465AAB">
        <w:rPr>
          <w:lang w:val="fr-CH"/>
        </w:rPr>
        <w:instrText xml:space="preserve"> AUTONUM  </w:instrText>
      </w:r>
      <w:r w:rsidRPr="00465AAB">
        <w:fldChar w:fldCharType="end"/>
      </w:r>
      <w:r w:rsidRPr="00465AAB">
        <w:rPr>
          <w:lang w:val="fr-CH"/>
        </w:rPr>
        <w:tab/>
      </w:r>
      <w:r w:rsidR="002B2839" w:rsidRPr="00465AAB">
        <w:rPr>
          <w:lang w:val="fr-CH"/>
        </w:rPr>
        <w:t>Les TWP et</w:t>
      </w:r>
      <w:r w:rsidR="002D3995" w:rsidRPr="00465AAB">
        <w:rPr>
          <w:lang w:val="fr-CH"/>
        </w:rPr>
        <w:t xml:space="preserve"> le BMT</w:t>
      </w:r>
      <w:r w:rsidR="002B2839" w:rsidRPr="00465AAB">
        <w:rPr>
          <w:lang w:val="fr-CH"/>
        </w:rPr>
        <w:t xml:space="preserve">, à leurs sessions </w:t>
      </w:r>
      <w:r w:rsidR="002D3995" w:rsidRPr="00465AAB">
        <w:rPr>
          <w:lang w:val="fr-CH"/>
        </w:rPr>
        <w:t>de 2021</w:t>
      </w:r>
      <w:r w:rsidR="002B2839" w:rsidRPr="00465AAB">
        <w:rPr>
          <w:lang w:val="fr-CH"/>
        </w:rPr>
        <w:t>, ont suivi un exposé intitulé “</w:t>
      </w:r>
      <w:proofErr w:type="spellStart"/>
      <w:r w:rsidR="002B2839" w:rsidRPr="00465AAB">
        <w:rPr>
          <w:lang w:val="fr-CH"/>
        </w:rPr>
        <w:t>Confidentiality</w:t>
      </w:r>
      <w:proofErr w:type="spellEnd"/>
      <w:r w:rsidR="002B2839" w:rsidRPr="00465AAB">
        <w:rPr>
          <w:lang w:val="fr-CH"/>
        </w:rPr>
        <w:t xml:space="preserve"> &amp; </w:t>
      </w:r>
      <w:proofErr w:type="spellStart"/>
      <w:r w:rsidR="002B2839" w:rsidRPr="00465AAB">
        <w:rPr>
          <w:lang w:val="fr-CH"/>
        </w:rPr>
        <w:t>Ownership</w:t>
      </w:r>
      <w:proofErr w:type="spellEnd"/>
      <w:r w:rsidR="002B2839" w:rsidRPr="00465AAB">
        <w:rPr>
          <w:lang w:val="fr-CH"/>
        </w:rPr>
        <w:t xml:space="preserve"> of </w:t>
      </w:r>
      <w:proofErr w:type="spellStart"/>
      <w:r w:rsidR="002B2839" w:rsidRPr="00465AAB">
        <w:rPr>
          <w:lang w:val="fr-CH"/>
        </w:rPr>
        <w:t>Molecular</w:t>
      </w:r>
      <w:proofErr w:type="spellEnd"/>
      <w:r w:rsidR="002B2839" w:rsidRPr="00465AAB">
        <w:rPr>
          <w:lang w:val="fr-CH"/>
        </w:rPr>
        <w:t xml:space="preserve"> Information” (Confidentialité et titularité des informations moléculaires), présenté par un expert au nom de l</w:t>
      </w:r>
      <w:r w:rsidR="002D3995" w:rsidRPr="00465AAB">
        <w:rPr>
          <w:lang w:val="fr-CH"/>
        </w:rPr>
        <w:t>’</w:t>
      </w:r>
      <w:r w:rsidR="002B2839" w:rsidRPr="00465AAB">
        <w:rPr>
          <w:lang w:val="fr-CH"/>
        </w:rPr>
        <w:t>Association africaine du commerce des semences (AFSTA), de l</w:t>
      </w:r>
      <w:r w:rsidR="002D3995" w:rsidRPr="00465AAB">
        <w:rPr>
          <w:lang w:val="fr-CH"/>
        </w:rPr>
        <w:t>’</w:t>
      </w:r>
      <w:r w:rsidR="002B2839" w:rsidRPr="00465AAB">
        <w:rPr>
          <w:lang w:val="fr-CH"/>
        </w:rPr>
        <w:t>Association des semenciers d</w:t>
      </w:r>
      <w:r w:rsidR="002D3995" w:rsidRPr="00465AAB">
        <w:rPr>
          <w:lang w:val="fr-CH"/>
        </w:rPr>
        <w:t>’</w:t>
      </w:r>
      <w:r w:rsidR="002B2839" w:rsidRPr="00465AAB">
        <w:rPr>
          <w:lang w:val="fr-CH"/>
        </w:rPr>
        <w:t xml:space="preserve">Asie et du Pacifique (APSA), de la Communauté internationale des obtenteurs de plantes horticoles à reproduction asexuée (CIOPORA), de </w:t>
      </w:r>
      <w:proofErr w:type="spellStart"/>
      <w:r w:rsidR="002B2839" w:rsidRPr="00465AAB">
        <w:rPr>
          <w:lang w:val="fr-CH"/>
        </w:rPr>
        <w:t>CropLife</w:t>
      </w:r>
      <w:proofErr w:type="spellEnd"/>
      <w:r w:rsidR="002B2839" w:rsidRPr="00465AAB">
        <w:rPr>
          <w:lang w:val="fr-CH"/>
        </w:rPr>
        <w:t xml:space="preserve"> International, d</w:t>
      </w:r>
      <w:r w:rsidR="002D3995" w:rsidRPr="00465AAB">
        <w:rPr>
          <w:lang w:val="fr-CH"/>
        </w:rPr>
        <w:t>’</w:t>
      </w:r>
      <w:proofErr w:type="spellStart"/>
      <w:r w:rsidR="002B2839" w:rsidRPr="00465AAB">
        <w:rPr>
          <w:lang w:val="fr-CH"/>
        </w:rPr>
        <w:t>Euroseeds</w:t>
      </w:r>
      <w:proofErr w:type="spellEnd"/>
      <w:r w:rsidR="002B2839" w:rsidRPr="00465AAB">
        <w:rPr>
          <w:lang w:val="fr-CH"/>
        </w:rPr>
        <w:t>, de l</w:t>
      </w:r>
      <w:r w:rsidR="002D3995" w:rsidRPr="00465AAB">
        <w:rPr>
          <w:lang w:val="fr-CH"/>
        </w:rPr>
        <w:t>’</w:t>
      </w:r>
      <w:r w:rsidR="002B2839" w:rsidRPr="00465AAB">
        <w:rPr>
          <w:lang w:val="fr-CH"/>
        </w:rPr>
        <w:t xml:space="preserve">International </w:t>
      </w:r>
      <w:proofErr w:type="spellStart"/>
      <w:r w:rsidR="002B2839" w:rsidRPr="00465AAB">
        <w:rPr>
          <w:lang w:val="fr-CH"/>
        </w:rPr>
        <w:t>Seed</w:t>
      </w:r>
      <w:proofErr w:type="spellEnd"/>
      <w:r w:rsidR="002B2839" w:rsidRPr="00465AAB">
        <w:rPr>
          <w:lang w:val="fr-CH"/>
        </w:rPr>
        <w:t xml:space="preserve"> </w:t>
      </w:r>
      <w:proofErr w:type="spellStart"/>
      <w:r w:rsidR="002B2839" w:rsidRPr="00465AAB">
        <w:rPr>
          <w:lang w:val="fr-CH"/>
        </w:rPr>
        <w:t>Federation</w:t>
      </w:r>
      <w:proofErr w:type="spellEnd"/>
      <w:r w:rsidR="002B2839" w:rsidRPr="00465AAB">
        <w:rPr>
          <w:lang w:val="fr-CH"/>
        </w:rPr>
        <w:t xml:space="preserve"> (ISF) et de la </w:t>
      </w:r>
      <w:proofErr w:type="spellStart"/>
      <w:r w:rsidR="002B2839" w:rsidRPr="00465AAB">
        <w:rPr>
          <w:lang w:val="fr-CH"/>
        </w:rPr>
        <w:t>Seed</w:t>
      </w:r>
      <w:proofErr w:type="spellEnd"/>
      <w:r w:rsidR="002B2839" w:rsidRPr="00465AAB">
        <w:rPr>
          <w:lang w:val="fr-CH"/>
        </w:rPr>
        <w:t xml:space="preserve"> Association of the </w:t>
      </w:r>
      <w:proofErr w:type="spellStart"/>
      <w:r w:rsidR="002B2839" w:rsidRPr="00465AAB">
        <w:rPr>
          <w:lang w:val="fr-CH"/>
        </w:rPr>
        <w:t>Americas</w:t>
      </w:r>
      <w:proofErr w:type="spellEnd"/>
      <w:r w:rsidR="002B2839" w:rsidRPr="00465AAB">
        <w:rPr>
          <w:lang w:val="fr-CH"/>
        </w:rPr>
        <w:t xml:space="preserve"> (SAA).</w:t>
      </w:r>
      <w:r w:rsidRPr="00465AAB">
        <w:rPr>
          <w:lang w:val="fr-CH"/>
        </w:rPr>
        <w:t xml:space="preserve">  </w:t>
      </w:r>
      <w:r w:rsidR="002B2839" w:rsidRPr="00465AAB">
        <w:rPr>
          <w:lang w:val="fr-CH"/>
        </w:rPr>
        <w:t>Une copie de l</w:t>
      </w:r>
      <w:r w:rsidR="002D3995" w:rsidRPr="00465AAB">
        <w:rPr>
          <w:lang w:val="fr-CH"/>
        </w:rPr>
        <w:t>’</w:t>
      </w:r>
      <w:r w:rsidR="002B2839" w:rsidRPr="00465AAB">
        <w:rPr>
          <w:lang w:val="fr-CH"/>
        </w:rPr>
        <w:t xml:space="preserve">exposé </w:t>
      </w:r>
      <w:r w:rsidR="00713DE4" w:rsidRPr="00465AAB">
        <w:rPr>
          <w:lang w:val="fr-CH"/>
        </w:rPr>
        <w:t>figure</w:t>
      </w:r>
      <w:r w:rsidR="002B2839" w:rsidRPr="00465AAB">
        <w:rPr>
          <w:lang w:val="fr-CH"/>
        </w:rPr>
        <w:t xml:space="preserve"> dans le document TWV/55/4 (voir les </w:t>
      </w:r>
      <w:r w:rsidR="002D3995" w:rsidRPr="00465AAB">
        <w:rPr>
          <w:lang w:val="fr-CH"/>
        </w:rPr>
        <w:t>paragraphes 5</w:t>
      </w:r>
      <w:r w:rsidR="002B2839" w:rsidRPr="00465AAB">
        <w:rPr>
          <w:lang w:val="fr-CH"/>
        </w:rPr>
        <w:t xml:space="preserve">6 à 61 du document TWV/55/16 </w:t>
      </w:r>
      <w:r w:rsidR="002D3995" w:rsidRPr="00465AAB">
        <w:rPr>
          <w:lang w:val="fr-CH"/>
        </w:rPr>
        <w:t>“R</w:t>
      </w:r>
      <w:r w:rsidR="002B2839" w:rsidRPr="00465AAB">
        <w:rPr>
          <w:lang w:val="fr-CH"/>
        </w:rPr>
        <w:t>epor</w:t>
      </w:r>
      <w:r w:rsidR="002D3995" w:rsidRPr="00465AAB">
        <w:rPr>
          <w:lang w:val="fr-CH"/>
        </w:rPr>
        <w:t>t”</w:t>
      </w:r>
      <w:r w:rsidR="002B2839" w:rsidRPr="00465AAB">
        <w:rPr>
          <w:lang w:val="fr-CH"/>
        </w:rPr>
        <w:t xml:space="preserve">, les </w:t>
      </w:r>
      <w:r w:rsidR="002D3995" w:rsidRPr="00465AAB">
        <w:rPr>
          <w:lang w:val="fr-CH"/>
        </w:rPr>
        <w:t>paragraphes 6</w:t>
      </w:r>
      <w:r w:rsidR="002B2839" w:rsidRPr="00465AAB">
        <w:rPr>
          <w:lang w:val="fr-CH"/>
        </w:rPr>
        <w:t xml:space="preserve">2 à 64 du document TWO/53/10 </w:t>
      </w:r>
      <w:r w:rsidR="002D3995" w:rsidRPr="00465AAB">
        <w:rPr>
          <w:lang w:val="fr-CH"/>
        </w:rPr>
        <w:t>“R</w:t>
      </w:r>
      <w:r w:rsidR="002B2839" w:rsidRPr="00465AAB">
        <w:rPr>
          <w:lang w:val="fr-CH"/>
        </w:rPr>
        <w:t>epor</w:t>
      </w:r>
      <w:r w:rsidR="002D3995" w:rsidRPr="00465AAB">
        <w:rPr>
          <w:lang w:val="fr-CH"/>
        </w:rPr>
        <w:t>t”</w:t>
      </w:r>
      <w:r w:rsidR="002B2839" w:rsidRPr="00465AAB">
        <w:rPr>
          <w:lang w:val="fr-CH"/>
        </w:rPr>
        <w:t xml:space="preserve">, les </w:t>
      </w:r>
      <w:r w:rsidR="002D3995" w:rsidRPr="00465AAB">
        <w:rPr>
          <w:lang w:val="fr-CH"/>
        </w:rPr>
        <w:t>paragraphes 9</w:t>
      </w:r>
      <w:r w:rsidR="002B2839" w:rsidRPr="00465AAB">
        <w:rPr>
          <w:lang w:val="fr-CH"/>
        </w:rPr>
        <w:t xml:space="preserve">1 à 93 du document TWA/50/9 </w:t>
      </w:r>
      <w:r w:rsidR="002D3995" w:rsidRPr="00465AAB">
        <w:rPr>
          <w:lang w:val="fr-CH"/>
        </w:rPr>
        <w:t>“R</w:t>
      </w:r>
      <w:r w:rsidR="002B2839" w:rsidRPr="00465AAB">
        <w:rPr>
          <w:lang w:val="fr-CH"/>
        </w:rPr>
        <w:t>epor</w:t>
      </w:r>
      <w:r w:rsidR="002D3995" w:rsidRPr="00465AAB">
        <w:rPr>
          <w:lang w:val="fr-CH"/>
        </w:rPr>
        <w:t>t”</w:t>
      </w:r>
      <w:r w:rsidR="002B2839" w:rsidRPr="00465AAB">
        <w:rPr>
          <w:lang w:val="fr-CH"/>
        </w:rPr>
        <w:t xml:space="preserve">, les </w:t>
      </w:r>
      <w:r w:rsidR="002D3995" w:rsidRPr="00465AAB">
        <w:rPr>
          <w:lang w:val="fr-CH"/>
        </w:rPr>
        <w:t>paragraphes 1</w:t>
      </w:r>
      <w:r w:rsidR="002B2839" w:rsidRPr="00465AAB">
        <w:rPr>
          <w:lang w:val="fr-CH"/>
        </w:rPr>
        <w:t xml:space="preserve">6 et 17 du document TWF/52/10 </w:t>
      </w:r>
      <w:r w:rsidR="002D3995" w:rsidRPr="00465AAB">
        <w:rPr>
          <w:lang w:val="fr-CH"/>
        </w:rPr>
        <w:t>“R</w:t>
      </w:r>
      <w:r w:rsidR="002B2839" w:rsidRPr="00465AAB">
        <w:rPr>
          <w:lang w:val="fr-CH"/>
        </w:rPr>
        <w:t>epor</w:t>
      </w:r>
      <w:r w:rsidR="002D3995" w:rsidRPr="00465AAB">
        <w:rPr>
          <w:lang w:val="fr-CH"/>
        </w:rPr>
        <w:t>t”</w:t>
      </w:r>
      <w:r w:rsidR="002B2839" w:rsidRPr="00465AAB">
        <w:rPr>
          <w:lang w:val="fr-CH"/>
        </w:rPr>
        <w:t xml:space="preserve"> et les </w:t>
      </w:r>
      <w:r w:rsidR="002D3995" w:rsidRPr="00465AAB">
        <w:rPr>
          <w:lang w:val="fr-CH"/>
        </w:rPr>
        <w:t>paragraphes 2</w:t>
      </w:r>
      <w:r w:rsidR="002B2839" w:rsidRPr="00465AAB">
        <w:rPr>
          <w:lang w:val="fr-CH"/>
        </w:rPr>
        <w:t xml:space="preserve">5 à 27 du document BMT/20/12 </w:t>
      </w:r>
      <w:r w:rsidR="002D3995" w:rsidRPr="00465AAB">
        <w:rPr>
          <w:lang w:val="fr-CH"/>
        </w:rPr>
        <w:t>“R</w:t>
      </w:r>
      <w:r w:rsidR="002B2839" w:rsidRPr="00465AAB">
        <w:rPr>
          <w:lang w:val="fr-CH"/>
        </w:rPr>
        <w:t>epor</w:t>
      </w:r>
      <w:r w:rsidR="002D3995" w:rsidRPr="00465AAB">
        <w:rPr>
          <w:lang w:val="fr-CH"/>
        </w:rPr>
        <w:t>t”</w:t>
      </w:r>
      <w:r w:rsidR="002B2839" w:rsidRPr="00465AAB">
        <w:rPr>
          <w:lang w:val="fr-CH"/>
        </w:rPr>
        <w:t>).</w:t>
      </w:r>
    </w:p>
    <w:p w:rsidR="00BF265D" w:rsidRPr="00465AAB" w:rsidRDefault="00BF265D" w:rsidP="007E2DFF">
      <w:pPr>
        <w:rPr>
          <w:lang w:val="fr-CH"/>
        </w:rPr>
      </w:pPr>
    </w:p>
    <w:p w:rsidR="00BF265D" w:rsidRPr="00465AAB" w:rsidRDefault="007E2DFF" w:rsidP="002B2839">
      <w:pPr>
        <w:rPr>
          <w:lang w:val="fr-CH"/>
        </w:rPr>
      </w:pPr>
      <w:r w:rsidRPr="00465AAB">
        <w:fldChar w:fldCharType="begin"/>
      </w:r>
      <w:r w:rsidRPr="00465AAB">
        <w:rPr>
          <w:lang w:val="fr-CH"/>
        </w:rPr>
        <w:instrText xml:space="preserve"> AUTONUM  </w:instrText>
      </w:r>
      <w:r w:rsidRPr="00465AAB">
        <w:fldChar w:fldCharType="end"/>
      </w:r>
      <w:r w:rsidRPr="00465AAB">
        <w:rPr>
          <w:lang w:val="fr-CH"/>
        </w:rPr>
        <w:tab/>
      </w:r>
      <w:r w:rsidR="002B2839" w:rsidRPr="00465AAB">
        <w:rPr>
          <w:lang w:val="fr-CH"/>
        </w:rPr>
        <w:t>Le TWV,</w:t>
      </w:r>
      <w:r w:rsidR="002D3995" w:rsidRPr="00465AAB">
        <w:rPr>
          <w:lang w:val="fr-CH"/>
        </w:rPr>
        <w:t xml:space="preserve"> le TWO</w:t>
      </w:r>
      <w:r w:rsidR="002B2839" w:rsidRPr="00465AAB">
        <w:rPr>
          <w:lang w:val="fr-CH"/>
        </w:rPr>
        <w:t xml:space="preserve"> et</w:t>
      </w:r>
      <w:r w:rsidR="002D3995" w:rsidRPr="00465AAB">
        <w:rPr>
          <w:lang w:val="fr-CH"/>
        </w:rPr>
        <w:t xml:space="preserve"> le TWA</w:t>
      </w:r>
      <w:r w:rsidR="002B2839" w:rsidRPr="00465AAB">
        <w:rPr>
          <w:lang w:val="fr-CH"/>
        </w:rPr>
        <w:t xml:space="preserve"> ont examiné la proposition visant à réviser la </w:t>
      </w:r>
      <w:r w:rsidR="002D3995" w:rsidRPr="00465AAB">
        <w:rPr>
          <w:lang w:val="fr-CH"/>
        </w:rPr>
        <w:t>section 3</w:t>
      </w:r>
      <w:r w:rsidR="002B2839" w:rsidRPr="00465AAB">
        <w:rPr>
          <w:lang w:val="fr-CH"/>
        </w:rPr>
        <w:t xml:space="preserve"> du document</w:t>
      </w:r>
      <w:r w:rsidR="007F3DBD" w:rsidRPr="00465AAB">
        <w:rPr>
          <w:lang w:val="fr-CH"/>
        </w:rPr>
        <w:t> </w:t>
      </w:r>
      <w:r w:rsidR="002B2839" w:rsidRPr="00465AAB">
        <w:rPr>
          <w:lang w:val="fr-CH"/>
        </w:rPr>
        <w:t>TGP/5, intitulée “Formulaire de demande type”, afin d</w:t>
      </w:r>
      <w:r w:rsidR="002D3995" w:rsidRPr="00465AAB">
        <w:rPr>
          <w:lang w:val="fr-CH"/>
        </w:rPr>
        <w:t>’</w:t>
      </w:r>
      <w:r w:rsidR="002B2839" w:rsidRPr="00465AAB">
        <w:rPr>
          <w:lang w:val="fr-CH"/>
        </w:rPr>
        <w:t>y inclure une demande de confidentialité relative aux informations moléculaires des variétés candidates, comme suit</w:t>
      </w:r>
      <w:r w:rsidR="002D3995" w:rsidRPr="00465AAB">
        <w:rPr>
          <w:lang w:val="fr-CH"/>
        </w:rPr>
        <w:t> :</w:t>
      </w:r>
    </w:p>
    <w:p w:rsidR="00BF265D" w:rsidRPr="00465AAB" w:rsidRDefault="00BF265D" w:rsidP="007E2DFF">
      <w:pPr>
        <w:ind w:left="567" w:right="567"/>
        <w:rPr>
          <w:lang w:val="fr-CH"/>
        </w:rPr>
      </w:pPr>
    </w:p>
    <w:p w:rsidR="00BF265D" w:rsidRPr="00465AAB" w:rsidRDefault="002B2839" w:rsidP="002B2839">
      <w:pPr>
        <w:ind w:left="567" w:right="567"/>
        <w:rPr>
          <w:i/>
          <w:lang w:val="fr-CH"/>
        </w:rPr>
      </w:pPr>
      <w:r w:rsidRPr="00465AAB">
        <w:rPr>
          <w:i/>
          <w:lang w:val="fr-CH"/>
        </w:rPr>
        <w:t>“Je demande/Nous demandons que les informations moléculaires relatives à la variété restent confidentielles et que l</w:t>
      </w:r>
      <w:r w:rsidR="002D3995" w:rsidRPr="00465AAB">
        <w:rPr>
          <w:i/>
          <w:lang w:val="fr-CH"/>
        </w:rPr>
        <w:t>’</w:t>
      </w:r>
      <w:r w:rsidRPr="00465AAB">
        <w:rPr>
          <w:i/>
          <w:lang w:val="fr-CH"/>
        </w:rPr>
        <w:t>échange avec un autre membre de l</w:t>
      </w:r>
      <w:r w:rsidR="002D3995" w:rsidRPr="00465AAB">
        <w:rPr>
          <w:i/>
          <w:lang w:val="fr-CH"/>
        </w:rPr>
        <w:t>’</w:t>
      </w:r>
      <w:r w:rsidRPr="00465AAB">
        <w:rPr>
          <w:i/>
          <w:lang w:val="fr-CH"/>
        </w:rPr>
        <w:t>UPOV ou un autre service d</w:t>
      </w:r>
      <w:r w:rsidR="002D3995" w:rsidRPr="00465AAB">
        <w:rPr>
          <w:i/>
          <w:lang w:val="fr-CH"/>
        </w:rPr>
        <w:t>’</w:t>
      </w:r>
      <w:r w:rsidRPr="00465AAB">
        <w:rPr>
          <w:i/>
          <w:lang w:val="fr-CH"/>
        </w:rPr>
        <w:t>examen soit soumis à l</w:t>
      </w:r>
      <w:r w:rsidR="002D3995" w:rsidRPr="00465AAB">
        <w:rPr>
          <w:i/>
          <w:lang w:val="fr-CH"/>
        </w:rPr>
        <w:t>’</w:t>
      </w:r>
      <w:r w:rsidRPr="00465AAB">
        <w:rPr>
          <w:i/>
          <w:lang w:val="fr-CH"/>
        </w:rPr>
        <w:t>approbation du demandeur.”</w:t>
      </w:r>
    </w:p>
    <w:p w:rsidR="00BF265D" w:rsidRPr="00465AAB" w:rsidRDefault="00BF265D" w:rsidP="007E2DFF">
      <w:pPr>
        <w:rPr>
          <w:lang w:val="fr-CH"/>
        </w:rPr>
      </w:pPr>
    </w:p>
    <w:p w:rsidR="002D3995" w:rsidRPr="00465AAB" w:rsidRDefault="007E2DFF" w:rsidP="002B2839">
      <w:pPr>
        <w:rPr>
          <w:lang w:val="fr-CH"/>
        </w:rPr>
      </w:pPr>
      <w:r w:rsidRPr="00465AAB">
        <w:fldChar w:fldCharType="begin"/>
      </w:r>
      <w:r w:rsidRPr="00465AAB">
        <w:rPr>
          <w:lang w:val="fr-CH"/>
        </w:rPr>
        <w:instrText xml:space="preserve"> AUTONUM  </w:instrText>
      </w:r>
      <w:r w:rsidRPr="00465AAB">
        <w:fldChar w:fldCharType="end"/>
      </w:r>
      <w:r w:rsidRPr="00465AAB">
        <w:rPr>
          <w:lang w:val="fr-CH"/>
        </w:rPr>
        <w:tab/>
      </w:r>
      <w:r w:rsidR="002B2839" w:rsidRPr="00465AAB">
        <w:rPr>
          <w:lang w:val="fr-CH"/>
        </w:rPr>
        <w:t>Le TWV a noté que certains services créaient des bases de données contenant des informations moléculaires et utilisaient ces informations pour sélectionner des variétés similaires et organiser l</w:t>
      </w:r>
      <w:r w:rsidR="002D3995" w:rsidRPr="00465AAB">
        <w:rPr>
          <w:lang w:val="fr-CH"/>
        </w:rPr>
        <w:t>’</w:t>
      </w:r>
      <w:r w:rsidR="002B2839" w:rsidRPr="00465AAB">
        <w:rPr>
          <w:lang w:val="fr-CH"/>
        </w:rPr>
        <w:t>essai en culture.</w:t>
      </w:r>
    </w:p>
    <w:p w:rsidR="00BF265D" w:rsidRPr="00465AAB" w:rsidRDefault="00BF265D" w:rsidP="007E2DFF">
      <w:pPr>
        <w:rPr>
          <w:lang w:val="fr-CH"/>
        </w:rPr>
      </w:pPr>
    </w:p>
    <w:p w:rsidR="00BF265D" w:rsidRPr="00465AAB" w:rsidRDefault="007E2DFF" w:rsidP="002B2839">
      <w:pPr>
        <w:rPr>
          <w:lang w:val="fr-CH"/>
        </w:rPr>
      </w:pPr>
      <w:r w:rsidRPr="00465AAB">
        <w:fldChar w:fldCharType="begin"/>
      </w:r>
      <w:r w:rsidRPr="00465AAB">
        <w:rPr>
          <w:lang w:val="fr-CH"/>
        </w:rPr>
        <w:instrText xml:space="preserve"> AUTONUM  </w:instrText>
      </w:r>
      <w:r w:rsidRPr="00465AAB">
        <w:fldChar w:fldCharType="end"/>
      </w:r>
      <w:r w:rsidRPr="00465AAB">
        <w:rPr>
          <w:lang w:val="fr-CH"/>
        </w:rPr>
        <w:tab/>
      </w:r>
      <w:r w:rsidR="002B2839" w:rsidRPr="00465AAB">
        <w:rPr>
          <w:lang w:val="fr-CH"/>
        </w:rPr>
        <w:t>Le TWV est convenu de demander des informations sur la question de savoir si la proposition pouvait empêcher le service recevant une demande d</w:t>
      </w:r>
      <w:r w:rsidR="002D3995" w:rsidRPr="00465AAB">
        <w:rPr>
          <w:lang w:val="fr-CH"/>
        </w:rPr>
        <w:t>’</w:t>
      </w:r>
      <w:r w:rsidR="002B2839" w:rsidRPr="00465AAB">
        <w:rPr>
          <w:lang w:val="fr-CH"/>
        </w:rPr>
        <w:t>obtenir des informations moléculaires relative à la variété candidate à des fins d</w:t>
      </w:r>
      <w:r w:rsidR="002D3995" w:rsidRPr="00465AAB">
        <w:rPr>
          <w:lang w:val="fr-CH"/>
        </w:rPr>
        <w:t>’</w:t>
      </w:r>
      <w:r w:rsidR="002B2839" w:rsidRPr="00465AAB">
        <w:rPr>
          <w:lang w:val="fr-CH"/>
        </w:rPr>
        <w:t>examen</w:t>
      </w:r>
      <w:r w:rsidR="00F53B5E" w:rsidRPr="00465AAB">
        <w:rPr>
          <w:lang w:val="fr-CH"/>
        </w:rPr>
        <w:t> </w:t>
      </w:r>
      <w:r w:rsidR="002B2839" w:rsidRPr="00465AAB">
        <w:rPr>
          <w:lang w:val="fr-CH"/>
        </w:rPr>
        <w:t>DHS et si la proposition visait uniquement à empêcher le service recevant la demande de transmettre des informations moléculaires relative à la variété à d</w:t>
      </w:r>
      <w:r w:rsidR="002D3995" w:rsidRPr="00465AAB">
        <w:rPr>
          <w:lang w:val="fr-CH"/>
        </w:rPr>
        <w:t>’</w:t>
      </w:r>
      <w:r w:rsidR="002B2839" w:rsidRPr="00465AAB">
        <w:rPr>
          <w:lang w:val="fr-CH"/>
        </w:rPr>
        <w:t>autres services sans l</w:t>
      </w:r>
      <w:r w:rsidR="002D3995" w:rsidRPr="00465AAB">
        <w:rPr>
          <w:lang w:val="fr-CH"/>
        </w:rPr>
        <w:t>’</w:t>
      </w:r>
      <w:r w:rsidR="002B2839" w:rsidRPr="00465AAB">
        <w:rPr>
          <w:lang w:val="fr-CH"/>
        </w:rPr>
        <w:t>approbation du demandeur.</w:t>
      </w:r>
    </w:p>
    <w:p w:rsidR="00BF265D" w:rsidRPr="00465AAB" w:rsidRDefault="00BF265D" w:rsidP="007E2DFF">
      <w:pPr>
        <w:rPr>
          <w:lang w:val="fr-CH"/>
        </w:rPr>
      </w:pPr>
    </w:p>
    <w:p w:rsidR="00BF265D" w:rsidRPr="00465AAB" w:rsidRDefault="007E2DFF" w:rsidP="00556C30">
      <w:pPr>
        <w:rPr>
          <w:lang w:val="fr-CH"/>
        </w:rPr>
      </w:pPr>
      <w:r w:rsidRPr="00465AAB">
        <w:fldChar w:fldCharType="begin"/>
      </w:r>
      <w:r w:rsidRPr="00465AAB">
        <w:rPr>
          <w:lang w:val="fr-CH"/>
        </w:rPr>
        <w:instrText xml:space="preserve"> AUTONUM  </w:instrText>
      </w:r>
      <w:r w:rsidRPr="00465AAB">
        <w:fldChar w:fldCharType="end"/>
      </w:r>
      <w:r w:rsidRPr="00465AAB">
        <w:rPr>
          <w:lang w:val="fr-CH"/>
        </w:rPr>
        <w:tab/>
      </w:r>
      <w:r w:rsidR="00556C30" w:rsidRPr="00465AAB">
        <w:rPr>
          <w:lang w:val="fr-CH"/>
        </w:rPr>
        <w:t>Le TWV a noté qu</w:t>
      </w:r>
      <w:r w:rsidR="002D3995" w:rsidRPr="00465AAB">
        <w:rPr>
          <w:lang w:val="fr-CH"/>
        </w:rPr>
        <w:t>’</w:t>
      </w:r>
      <w:r w:rsidR="00556C30" w:rsidRPr="00465AAB">
        <w:rPr>
          <w:lang w:val="fr-CH"/>
        </w:rPr>
        <w:t xml:space="preserve">une discussion plus approfondie avec les obtenteurs sera nécessaire pour trouver une solution pragmatique </w:t>
      </w:r>
      <w:r w:rsidR="00DD38BF" w:rsidRPr="00465AAB">
        <w:rPr>
          <w:lang w:val="fr-CH"/>
        </w:rPr>
        <w:t>permettant</w:t>
      </w:r>
      <w:r w:rsidR="00556C30" w:rsidRPr="00465AAB">
        <w:rPr>
          <w:lang w:val="fr-CH"/>
        </w:rPr>
        <w:t xml:space="preserve"> de répondre aux préoccupations des obtenteurs tout en évitant une charge administrative inutile pour les services.</w:t>
      </w:r>
    </w:p>
    <w:p w:rsidR="00BF265D" w:rsidRPr="00465AAB" w:rsidRDefault="00BF265D" w:rsidP="007E2DFF">
      <w:pPr>
        <w:rPr>
          <w:lang w:val="fr-CH"/>
        </w:rPr>
      </w:pPr>
    </w:p>
    <w:p w:rsidR="00BF265D" w:rsidRPr="00465AAB" w:rsidRDefault="007E2DFF" w:rsidP="00556C30">
      <w:pPr>
        <w:rPr>
          <w:lang w:val="fr-CH"/>
        </w:rPr>
      </w:pPr>
      <w:r w:rsidRPr="00465AAB">
        <w:fldChar w:fldCharType="begin"/>
      </w:r>
      <w:r w:rsidRPr="00465AAB">
        <w:rPr>
          <w:lang w:val="fr-CH"/>
        </w:rPr>
        <w:instrText xml:space="preserve"> AUTONUM  </w:instrText>
      </w:r>
      <w:r w:rsidRPr="00465AAB">
        <w:fldChar w:fldCharType="end"/>
      </w:r>
      <w:r w:rsidRPr="00465AAB">
        <w:rPr>
          <w:lang w:val="fr-CH"/>
        </w:rPr>
        <w:tab/>
      </w:r>
      <w:r w:rsidR="00556C30" w:rsidRPr="00465AAB">
        <w:rPr>
          <w:lang w:val="fr-CH"/>
        </w:rPr>
        <w:t>Le TWV a noté que le même exposé serait prévu pour d</w:t>
      </w:r>
      <w:r w:rsidR="002D3995" w:rsidRPr="00465AAB">
        <w:rPr>
          <w:lang w:val="fr-CH"/>
        </w:rPr>
        <w:t>’</w:t>
      </w:r>
      <w:r w:rsidR="00556C30" w:rsidRPr="00465AAB">
        <w:rPr>
          <w:lang w:val="fr-CH"/>
        </w:rPr>
        <w:t xml:space="preserve">autres TWP à leurs sessions </w:t>
      </w:r>
      <w:r w:rsidR="002D3995" w:rsidRPr="00465AAB">
        <w:rPr>
          <w:lang w:val="fr-CH"/>
        </w:rPr>
        <w:t>en 2021</w:t>
      </w:r>
      <w:r w:rsidR="00556C30" w:rsidRPr="00465AAB">
        <w:rPr>
          <w:lang w:val="fr-CH"/>
        </w:rPr>
        <w:t>, ce qui permettrait un examen plus approfondi de la proposition.</w:t>
      </w:r>
    </w:p>
    <w:p w:rsidR="00BF265D" w:rsidRPr="00465AAB" w:rsidRDefault="00BF265D" w:rsidP="007E2DFF">
      <w:pPr>
        <w:rPr>
          <w:lang w:val="fr-CH"/>
        </w:rPr>
      </w:pPr>
    </w:p>
    <w:p w:rsidR="00BF265D" w:rsidRPr="00465AAB" w:rsidRDefault="007E2DFF" w:rsidP="00DD38BF">
      <w:pPr>
        <w:rPr>
          <w:lang w:val="fr-CH"/>
        </w:rPr>
      </w:pPr>
      <w:r w:rsidRPr="00465AAB">
        <w:fldChar w:fldCharType="begin"/>
      </w:r>
      <w:r w:rsidRPr="00465AAB">
        <w:rPr>
          <w:lang w:val="fr-CH"/>
        </w:rPr>
        <w:instrText xml:space="preserve"> AUTONUM  </w:instrText>
      </w:r>
      <w:r w:rsidRPr="00465AAB">
        <w:fldChar w:fldCharType="end"/>
      </w:r>
      <w:r w:rsidRPr="00465AAB">
        <w:rPr>
          <w:lang w:val="fr-CH"/>
        </w:rPr>
        <w:tab/>
      </w:r>
      <w:r w:rsidR="00DD38BF" w:rsidRPr="00465AAB">
        <w:rPr>
          <w:lang w:val="fr-CH"/>
        </w:rPr>
        <w:t>Le TWO est convenu qu</w:t>
      </w:r>
      <w:r w:rsidR="002D3995" w:rsidRPr="00465AAB">
        <w:rPr>
          <w:lang w:val="fr-CH"/>
        </w:rPr>
        <w:t>’</w:t>
      </w:r>
      <w:r w:rsidR="00DD38BF" w:rsidRPr="00465AAB">
        <w:rPr>
          <w:lang w:val="fr-CH"/>
        </w:rPr>
        <w:t>une discussion plus approfondie serait nécessaire pour trouver une solution appropriée permettant de répondre aux préoccupations des obtenteurs tout en évitant une charge administrative inutile pour les services.</w:t>
      </w:r>
    </w:p>
    <w:p w:rsidR="00BF265D" w:rsidRPr="00465AAB" w:rsidRDefault="00BF265D" w:rsidP="007E2DFF">
      <w:pPr>
        <w:jc w:val="left"/>
        <w:rPr>
          <w:lang w:val="fr-CH"/>
        </w:rPr>
      </w:pPr>
    </w:p>
    <w:p w:rsidR="00BF265D" w:rsidRPr="00465AAB" w:rsidRDefault="007E2DFF" w:rsidP="0035279B">
      <w:pPr>
        <w:rPr>
          <w:lang w:val="fr-CH"/>
        </w:rPr>
      </w:pPr>
      <w:r w:rsidRPr="00465AAB">
        <w:fldChar w:fldCharType="begin"/>
      </w:r>
      <w:r w:rsidRPr="00465AAB">
        <w:rPr>
          <w:lang w:val="fr-CH"/>
        </w:rPr>
        <w:instrText xml:space="preserve"> AUTONUM  </w:instrText>
      </w:r>
      <w:r w:rsidRPr="00465AAB">
        <w:fldChar w:fldCharType="end"/>
      </w:r>
      <w:r w:rsidRPr="00465AAB">
        <w:rPr>
          <w:lang w:val="fr-CH"/>
        </w:rPr>
        <w:tab/>
      </w:r>
      <w:r w:rsidR="00DD38BF" w:rsidRPr="00465AAB">
        <w:rPr>
          <w:lang w:val="fr-CH"/>
        </w:rPr>
        <w:t>Le TWA a pris note de l</w:t>
      </w:r>
      <w:r w:rsidR="002D3995" w:rsidRPr="00465AAB">
        <w:rPr>
          <w:lang w:val="fr-CH"/>
        </w:rPr>
        <w:t>’</w:t>
      </w:r>
      <w:r w:rsidR="00DD38BF" w:rsidRPr="00465AAB">
        <w:rPr>
          <w:lang w:val="fr-CH"/>
        </w:rPr>
        <w:t>importance de la confidentialité des informations moléculaires pour les obtenteurs et il est convenu que des discussions supplémentaires seraient nécessaires sur ce suj</w:t>
      </w:r>
      <w:r w:rsidR="00BA7E3C" w:rsidRPr="00465AAB">
        <w:rPr>
          <w:lang w:val="fr-CH"/>
        </w:rPr>
        <w:t>et.  Il</w:t>
      </w:r>
      <w:r w:rsidR="00DD38BF" w:rsidRPr="00465AAB">
        <w:rPr>
          <w:lang w:val="fr-CH"/>
        </w:rPr>
        <w:t xml:space="preserve"> a noté que la confidentialité des informations moléculaires pouvait être régie par la législation dans différents membres de l</w:t>
      </w:r>
      <w:r w:rsidR="002D3995" w:rsidRPr="00465AAB">
        <w:rPr>
          <w:lang w:val="fr-CH"/>
        </w:rPr>
        <w:t>’</w:t>
      </w:r>
      <w:r w:rsidR="00DD38BF" w:rsidRPr="00465AAB">
        <w:rPr>
          <w:lang w:val="fr-CH"/>
        </w:rPr>
        <w:t>UPOV et il est convenu de solliciter la présentation d</w:t>
      </w:r>
      <w:r w:rsidR="002D3995" w:rsidRPr="00465AAB">
        <w:rPr>
          <w:lang w:val="fr-CH"/>
        </w:rPr>
        <w:t>’</w:t>
      </w:r>
      <w:r w:rsidR="00DD38BF" w:rsidRPr="00465AAB">
        <w:rPr>
          <w:lang w:val="fr-CH"/>
        </w:rPr>
        <w:t>exposés à sa cinquante</w:t>
      </w:r>
      <w:r w:rsidR="002D3995" w:rsidRPr="00465AAB">
        <w:rPr>
          <w:lang w:val="fr-CH"/>
        </w:rPr>
        <w:t> et unième sessi</w:t>
      </w:r>
      <w:r w:rsidR="00BA7E3C" w:rsidRPr="00465AAB">
        <w:rPr>
          <w:lang w:val="fr-CH"/>
        </w:rPr>
        <w:t>on.  Le</w:t>
      </w:r>
      <w:r w:rsidR="002D3995" w:rsidRPr="00465AAB">
        <w:rPr>
          <w:lang w:val="fr-CH"/>
        </w:rPr>
        <w:t> TWA</w:t>
      </w:r>
      <w:r w:rsidR="0035279B" w:rsidRPr="00465AAB">
        <w:rPr>
          <w:lang w:val="fr-CH"/>
        </w:rPr>
        <w:t xml:space="preserve"> a noté que l</w:t>
      </w:r>
      <w:r w:rsidR="002D3995" w:rsidRPr="00465AAB">
        <w:rPr>
          <w:lang w:val="fr-CH"/>
        </w:rPr>
        <w:t>’</w:t>
      </w:r>
      <w:r w:rsidR="0035279B" w:rsidRPr="00465AAB">
        <w:rPr>
          <w:lang w:val="fr-CH"/>
        </w:rPr>
        <w:t xml:space="preserve">Argentine souhaitait présenter un exposé sur le sujet à </w:t>
      </w:r>
      <w:r w:rsidR="00713DE4" w:rsidRPr="00465AAB">
        <w:rPr>
          <w:lang w:val="fr-CH"/>
        </w:rPr>
        <w:t>s</w:t>
      </w:r>
      <w:r w:rsidR="0035279B" w:rsidRPr="00465AAB">
        <w:rPr>
          <w:lang w:val="fr-CH"/>
        </w:rPr>
        <w:t>a cinquante</w:t>
      </w:r>
      <w:r w:rsidR="002D3995" w:rsidRPr="00465AAB">
        <w:rPr>
          <w:lang w:val="fr-CH"/>
        </w:rPr>
        <w:t> et unième session</w:t>
      </w:r>
      <w:r w:rsidR="0035279B" w:rsidRPr="00465AAB">
        <w:rPr>
          <w:lang w:val="fr-CH"/>
        </w:rPr>
        <w:t>.</w:t>
      </w:r>
    </w:p>
    <w:p w:rsidR="00BF265D" w:rsidRPr="00465AAB" w:rsidRDefault="00BF265D" w:rsidP="007E2DFF">
      <w:pPr>
        <w:rPr>
          <w:lang w:val="fr-CH"/>
        </w:rPr>
      </w:pPr>
    </w:p>
    <w:p w:rsidR="00BF265D" w:rsidRPr="00465AAB" w:rsidRDefault="007E2DFF" w:rsidP="000303A9">
      <w:pPr>
        <w:rPr>
          <w:rFonts w:cs="Arial"/>
          <w:i/>
          <w:snapToGrid w:val="0"/>
          <w:lang w:val="fr-CH"/>
        </w:rPr>
      </w:pPr>
      <w:r w:rsidRPr="00465AAB">
        <w:fldChar w:fldCharType="begin"/>
      </w:r>
      <w:r w:rsidRPr="00465AAB">
        <w:rPr>
          <w:lang w:val="fr-CH"/>
        </w:rPr>
        <w:instrText xml:space="preserve"> AUTONUM  </w:instrText>
      </w:r>
      <w:r w:rsidRPr="00465AAB">
        <w:fldChar w:fldCharType="end"/>
      </w:r>
      <w:r w:rsidRPr="00465AAB">
        <w:rPr>
          <w:lang w:val="fr-CH"/>
        </w:rPr>
        <w:tab/>
      </w:r>
      <w:r w:rsidR="000303A9" w:rsidRPr="00465AAB">
        <w:rPr>
          <w:lang w:val="fr-CH"/>
        </w:rPr>
        <w:t>Le TWF a noté que la question de la confidentialité et de la titularité des informations moléculaires n</w:t>
      </w:r>
      <w:r w:rsidR="002D3995" w:rsidRPr="00465AAB">
        <w:rPr>
          <w:lang w:val="fr-CH"/>
        </w:rPr>
        <w:t>’</w:t>
      </w:r>
      <w:r w:rsidR="000303A9" w:rsidRPr="00465AAB">
        <w:rPr>
          <w:lang w:val="fr-CH"/>
        </w:rPr>
        <w:t>avait pas été examinée en détail dans le secteur des fruits et il est convenu qu</w:t>
      </w:r>
      <w:r w:rsidR="002D3995" w:rsidRPr="00465AAB">
        <w:rPr>
          <w:lang w:val="fr-CH"/>
        </w:rPr>
        <w:t>’</w:t>
      </w:r>
      <w:r w:rsidR="000303A9" w:rsidRPr="00465AAB">
        <w:rPr>
          <w:lang w:val="fr-CH"/>
        </w:rPr>
        <w:t>il fallait poursuivre les déba</w:t>
      </w:r>
      <w:r w:rsidR="00BA7E3C" w:rsidRPr="00465AAB">
        <w:rPr>
          <w:lang w:val="fr-CH"/>
        </w:rPr>
        <w:t>ts.  Il</w:t>
      </w:r>
      <w:r w:rsidR="000303A9" w:rsidRPr="00465AAB">
        <w:rPr>
          <w:lang w:val="fr-CH"/>
        </w:rPr>
        <w:t xml:space="preserve"> est convenu d</w:t>
      </w:r>
      <w:r w:rsidR="002D3995" w:rsidRPr="00465AAB">
        <w:rPr>
          <w:lang w:val="fr-CH"/>
        </w:rPr>
        <w:t>’</w:t>
      </w:r>
      <w:r w:rsidR="000303A9" w:rsidRPr="00465AAB">
        <w:rPr>
          <w:lang w:val="fr-CH"/>
        </w:rPr>
        <w:t>inviter les membres et les observateurs à présenter des exposés sur ce sujet au titre du point de l</w:t>
      </w:r>
      <w:r w:rsidR="002D3995" w:rsidRPr="00465AAB">
        <w:rPr>
          <w:lang w:val="fr-CH"/>
        </w:rPr>
        <w:t>’</w:t>
      </w:r>
      <w:r w:rsidR="000303A9" w:rsidRPr="00465AAB">
        <w:rPr>
          <w:lang w:val="fr-CH"/>
        </w:rPr>
        <w:t>ordre du jour “Exposé sur l</w:t>
      </w:r>
      <w:r w:rsidR="002D3995" w:rsidRPr="00465AAB">
        <w:rPr>
          <w:lang w:val="fr-CH"/>
        </w:rPr>
        <w:t>’</w:t>
      </w:r>
      <w:r w:rsidR="000303A9" w:rsidRPr="00465AAB">
        <w:rPr>
          <w:lang w:val="fr-CH"/>
        </w:rPr>
        <w:t>utilisation des techniques moléculaires dans l</w:t>
      </w:r>
      <w:r w:rsidR="002D3995" w:rsidRPr="00465AAB">
        <w:rPr>
          <w:lang w:val="fr-CH"/>
        </w:rPr>
        <w:t>’</w:t>
      </w:r>
      <w:r w:rsidR="000303A9" w:rsidRPr="00465AAB">
        <w:rPr>
          <w:lang w:val="fr-CH"/>
        </w:rPr>
        <w:t>examen</w:t>
      </w:r>
      <w:r w:rsidR="00F53B5E" w:rsidRPr="00465AAB">
        <w:rPr>
          <w:lang w:val="fr-CH"/>
        </w:rPr>
        <w:t> </w:t>
      </w:r>
      <w:r w:rsidR="000303A9" w:rsidRPr="00465AAB">
        <w:rPr>
          <w:lang w:val="fr-CH"/>
        </w:rPr>
        <w:t>DHS” à sa cinquante</w:t>
      </w:r>
      <w:r w:rsidR="002D3995" w:rsidRPr="00465AAB">
        <w:rPr>
          <w:lang w:val="fr-CH"/>
        </w:rPr>
        <w:t>-</w:t>
      </w:r>
      <w:r w:rsidR="000303A9" w:rsidRPr="00465AAB">
        <w:rPr>
          <w:lang w:val="fr-CH"/>
        </w:rPr>
        <w:t>trois</w:t>
      </w:r>
      <w:r w:rsidR="002D3995" w:rsidRPr="00465AAB">
        <w:rPr>
          <w:lang w:val="fr-CH"/>
        </w:rPr>
        <w:t>ième session</w:t>
      </w:r>
      <w:r w:rsidR="000303A9" w:rsidRPr="00465AAB">
        <w:rPr>
          <w:lang w:val="fr-CH"/>
        </w:rPr>
        <w:t>.</w:t>
      </w:r>
    </w:p>
    <w:p w:rsidR="00BF265D" w:rsidRPr="00465AAB" w:rsidRDefault="00BF265D" w:rsidP="007E2DFF">
      <w:pPr>
        <w:jc w:val="left"/>
        <w:rPr>
          <w:lang w:val="fr-CH"/>
        </w:rPr>
      </w:pPr>
    </w:p>
    <w:p w:rsidR="00BF265D" w:rsidRPr="00465AAB" w:rsidRDefault="007E2DFF" w:rsidP="000303A9">
      <w:pPr>
        <w:rPr>
          <w:rFonts w:cs="Arial"/>
          <w:iCs/>
          <w:lang w:val="fr-CH"/>
        </w:rPr>
      </w:pPr>
      <w:r w:rsidRPr="00465AAB">
        <w:rPr>
          <w:rFonts w:cs="Arial"/>
          <w:iCs/>
        </w:rPr>
        <w:fldChar w:fldCharType="begin"/>
      </w:r>
      <w:r w:rsidRPr="00465AAB">
        <w:rPr>
          <w:rFonts w:cs="Arial"/>
          <w:iCs/>
          <w:lang w:val="fr-CH"/>
        </w:rPr>
        <w:instrText xml:space="preserve"> AUTONUM  </w:instrText>
      </w:r>
      <w:r w:rsidRPr="00465AAB">
        <w:rPr>
          <w:rFonts w:cs="Arial"/>
          <w:iCs/>
        </w:rPr>
        <w:fldChar w:fldCharType="end"/>
      </w:r>
      <w:r w:rsidRPr="00465AAB">
        <w:rPr>
          <w:rFonts w:cs="Arial"/>
          <w:iCs/>
          <w:lang w:val="fr-CH"/>
        </w:rPr>
        <w:tab/>
      </w:r>
      <w:r w:rsidR="000303A9" w:rsidRPr="00465AAB">
        <w:rPr>
          <w:rFonts w:cs="Arial"/>
          <w:iCs/>
          <w:lang w:val="fr-CH"/>
        </w:rPr>
        <w:t>Le BMT a noté que des discussions sur la confidentialité, la titularité et l</w:t>
      </w:r>
      <w:r w:rsidR="002D3995" w:rsidRPr="00465AAB">
        <w:rPr>
          <w:rFonts w:cs="Arial"/>
          <w:iCs/>
          <w:lang w:val="fr-CH"/>
        </w:rPr>
        <w:t>’</w:t>
      </w:r>
      <w:r w:rsidR="000303A9" w:rsidRPr="00465AAB">
        <w:rPr>
          <w:rFonts w:cs="Arial"/>
          <w:iCs/>
          <w:lang w:val="fr-CH"/>
        </w:rPr>
        <w:t xml:space="preserve">accès en matière de données moléculaires avaient eu lieu au sein des groupes de travail techniques à leurs sessions </w:t>
      </w:r>
      <w:r w:rsidR="002D3995" w:rsidRPr="00465AAB">
        <w:rPr>
          <w:rFonts w:cs="Arial"/>
          <w:iCs/>
          <w:lang w:val="fr-CH"/>
        </w:rPr>
        <w:t>de 2021</w:t>
      </w:r>
      <w:r w:rsidR="000303A9" w:rsidRPr="00465AAB">
        <w:rPr>
          <w:rFonts w:cs="Arial"/>
          <w:iCs/>
          <w:lang w:val="fr-CH"/>
        </w:rPr>
        <w:t>.</w:t>
      </w:r>
      <w:r w:rsidRPr="00465AAB">
        <w:rPr>
          <w:lang w:val="fr-CH"/>
        </w:rPr>
        <w:t xml:space="preserve"> </w:t>
      </w:r>
      <w:r w:rsidR="002D3995" w:rsidRPr="00465AAB">
        <w:rPr>
          <w:lang w:val="fr-CH"/>
        </w:rPr>
        <w:t xml:space="preserve"> </w:t>
      </w:r>
      <w:r w:rsidR="002D3995" w:rsidRPr="00465AAB">
        <w:rPr>
          <w:rFonts w:cs="Arial"/>
          <w:iCs/>
          <w:lang w:val="fr-CH"/>
        </w:rPr>
        <w:t>Le BMT</w:t>
      </w:r>
      <w:r w:rsidR="000303A9" w:rsidRPr="00465AAB">
        <w:rPr>
          <w:rFonts w:cs="Arial"/>
          <w:iCs/>
          <w:lang w:val="fr-CH"/>
        </w:rPr>
        <w:t xml:space="preserve"> a noté que</w:t>
      </w:r>
      <w:r w:rsidR="002D3995" w:rsidRPr="00465AAB">
        <w:rPr>
          <w:rFonts w:cs="Arial"/>
          <w:iCs/>
          <w:lang w:val="fr-CH"/>
        </w:rPr>
        <w:t xml:space="preserve"> les TWP</w:t>
      </w:r>
      <w:r w:rsidR="000303A9" w:rsidRPr="00465AAB">
        <w:rPr>
          <w:rFonts w:cs="Arial"/>
          <w:iCs/>
          <w:lang w:val="fr-CH"/>
        </w:rPr>
        <w:t xml:space="preserve"> avaient invité les participants à poursuivre les discussions sur ce sujet lors de leurs prochaines sessions.</w:t>
      </w:r>
    </w:p>
    <w:p w:rsidR="00BF265D" w:rsidRPr="00465AAB" w:rsidRDefault="00BF265D" w:rsidP="007E2DFF">
      <w:pPr>
        <w:rPr>
          <w:rFonts w:cs="Arial"/>
          <w:iCs/>
          <w:lang w:val="fr-CH"/>
        </w:rPr>
      </w:pPr>
    </w:p>
    <w:p w:rsidR="002D3995" w:rsidRPr="00465AAB" w:rsidRDefault="007E2DFF" w:rsidP="008B30F2">
      <w:pPr>
        <w:rPr>
          <w:rFonts w:cs="Arial"/>
          <w:iCs/>
          <w:lang w:val="fr-CH"/>
        </w:rPr>
      </w:pPr>
      <w:r w:rsidRPr="00465AAB">
        <w:rPr>
          <w:rFonts w:cs="Arial"/>
          <w:iCs/>
        </w:rPr>
        <w:fldChar w:fldCharType="begin"/>
      </w:r>
      <w:r w:rsidRPr="00465AAB">
        <w:rPr>
          <w:rFonts w:cs="Arial"/>
          <w:iCs/>
          <w:lang w:val="fr-CH"/>
        </w:rPr>
        <w:instrText xml:space="preserve"> AUTONUM  </w:instrText>
      </w:r>
      <w:r w:rsidRPr="00465AAB">
        <w:rPr>
          <w:rFonts w:cs="Arial"/>
          <w:iCs/>
        </w:rPr>
        <w:fldChar w:fldCharType="end"/>
      </w:r>
      <w:r w:rsidRPr="00465AAB">
        <w:rPr>
          <w:rFonts w:cs="Arial"/>
          <w:iCs/>
          <w:lang w:val="fr-CH"/>
        </w:rPr>
        <w:tab/>
      </w:r>
      <w:r w:rsidR="008B30F2" w:rsidRPr="00465AAB">
        <w:rPr>
          <w:rFonts w:cs="Arial"/>
          <w:iCs/>
          <w:lang w:val="fr-CH"/>
        </w:rPr>
        <w:t>Le BMT est convenu de solliciter des exposés sur les pratiques actuelles concernant la confidentialité et l</w:t>
      </w:r>
      <w:r w:rsidR="002D3995" w:rsidRPr="00465AAB">
        <w:rPr>
          <w:rFonts w:cs="Arial"/>
          <w:iCs/>
          <w:lang w:val="fr-CH"/>
        </w:rPr>
        <w:t>’</w:t>
      </w:r>
      <w:r w:rsidR="008B30F2" w:rsidRPr="00465AAB">
        <w:rPr>
          <w:rFonts w:cs="Arial"/>
          <w:iCs/>
          <w:lang w:val="fr-CH"/>
        </w:rPr>
        <w:t xml:space="preserve">accès en matière de données moléculaires, qui seront présentés </w:t>
      </w:r>
      <w:r w:rsidR="00B80441" w:rsidRPr="00465AAB">
        <w:rPr>
          <w:rFonts w:cs="Arial"/>
          <w:iCs/>
          <w:lang w:val="fr-CH"/>
        </w:rPr>
        <w:t>à</w:t>
      </w:r>
      <w:r w:rsidR="008B30F2" w:rsidRPr="00465AAB">
        <w:rPr>
          <w:rFonts w:cs="Arial"/>
          <w:iCs/>
          <w:lang w:val="fr-CH"/>
        </w:rPr>
        <w:t xml:space="preserve"> la première session</w:t>
      </w:r>
      <w:r w:rsidR="002D3995" w:rsidRPr="00465AAB">
        <w:rPr>
          <w:rFonts w:cs="Arial"/>
          <w:iCs/>
          <w:lang w:val="fr-CH"/>
        </w:rPr>
        <w:t xml:space="preserve"> du </w:t>
      </w:r>
      <w:r w:rsidR="00BA7E3C" w:rsidRPr="00465AAB">
        <w:rPr>
          <w:rFonts w:cs="Arial"/>
          <w:iCs/>
          <w:lang w:val="fr-CH"/>
        </w:rPr>
        <w:t xml:space="preserve">TWM.  </w:t>
      </w:r>
      <w:r w:rsidR="00B80441" w:rsidRPr="00465AAB">
        <w:rPr>
          <w:rFonts w:cs="Arial"/>
          <w:iCs/>
          <w:lang w:val="fr-CH"/>
        </w:rPr>
        <w:t>Il</w:t>
      </w:r>
      <w:r w:rsidR="008B30F2" w:rsidRPr="00465AAB">
        <w:rPr>
          <w:rFonts w:cs="Arial"/>
          <w:iCs/>
          <w:lang w:val="fr-CH"/>
        </w:rPr>
        <w:t xml:space="preserve"> est convenu que les pratiques actuelles des membres et observateurs de l</w:t>
      </w:r>
      <w:r w:rsidR="002D3995" w:rsidRPr="00465AAB">
        <w:rPr>
          <w:rFonts w:cs="Arial"/>
          <w:iCs/>
          <w:lang w:val="fr-CH"/>
        </w:rPr>
        <w:t>’</w:t>
      </w:r>
      <w:r w:rsidR="008B30F2" w:rsidRPr="00465AAB">
        <w:rPr>
          <w:rFonts w:cs="Arial"/>
          <w:iCs/>
          <w:lang w:val="fr-CH"/>
        </w:rPr>
        <w:t>UPOV pourraient constituer une bonne base pour la poursuite des discussions sur ce sujet.</w:t>
      </w:r>
    </w:p>
    <w:p w:rsidR="00BF265D" w:rsidRPr="00465AAB" w:rsidRDefault="00BF265D" w:rsidP="007E2DFF">
      <w:pPr>
        <w:rPr>
          <w:noProof/>
          <w:lang w:val="fr-CH" w:eastAsia="ja-JP"/>
        </w:rPr>
      </w:pPr>
    </w:p>
    <w:p w:rsidR="00465AAB" w:rsidRPr="00465AAB" w:rsidRDefault="00465AAB" w:rsidP="007E2DFF">
      <w:pPr>
        <w:rPr>
          <w:lang w:val="fr-CH"/>
        </w:rPr>
      </w:pPr>
    </w:p>
    <w:p w:rsidR="00BF265D" w:rsidRPr="00465AAB" w:rsidRDefault="008B30F2" w:rsidP="008B30F2">
      <w:pPr>
        <w:pStyle w:val="Heading1"/>
        <w:rPr>
          <w:lang w:val="fr-CH"/>
        </w:rPr>
      </w:pPr>
      <w:bookmarkStart w:id="4" w:name="_Toc85447852"/>
      <w:r w:rsidRPr="00465AAB">
        <w:rPr>
          <w:lang w:val="fr-CH"/>
        </w:rPr>
        <w:t>Examen du document</w:t>
      </w:r>
      <w:r w:rsidR="007F3DBD" w:rsidRPr="00465AAB">
        <w:rPr>
          <w:lang w:val="fr-CH"/>
        </w:rPr>
        <w:t> </w:t>
      </w:r>
      <w:r w:rsidRPr="00465AAB">
        <w:rPr>
          <w:lang w:val="fr-CH"/>
        </w:rPr>
        <w:t>UPOV/INF/17 “Directives concernant les profils d</w:t>
      </w:r>
      <w:r w:rsidR="002D3995" w:rsidRPr="00465AAB">
        <w:rPr>
          <w:lang w:val="fr-CH"/>
        </w:rPr>
        <w:t>’</w:t>
      </w:r>
      <w:r w:rsidRPr="00465AAB">
        <w:rPr>
          <w:lang w:val="fr-CH"/>
        </w:rPr>
        <w:t>ADN</w:t>
      </w:r>
      <w:r w:rsidR="002D3995" w:rsidRPr="00465AAB">
        <w:rPr>
          <w:lang w:val="fr-CH"/>
        </w:rPr>
        <w:t> :</w:t>
      </w:r>
      <w:r w:rsidRPr="00465AAB">
        <w:rPr>
          <w:lang w:val="fr-CH"/>
        </w:rPr>
        <w:t xml:space="preserve"> choix des marqueurs moléculaires et construction d</w:t>
      </w:r>
      <w:r w:rsidR="002D3995" w:rsidRPr="00465AAB">
        <w:rPr>
          <w:lang w:val="fr-CH"/>
        </w:rPr>
        <w:t>’</w:t>
      </w:r>
      <w:r w:rsidRPr="00465AAB">
        <w:rPr>
          <w:lang w:val="fr-CH"/>
        </w:rPr>
        <w:t>une base de données y relative (</w:t>
      </w:r>
      <w:r w:rsidR="002D3995" w:rsidRPr="00465AAB">
        <w:rPr>
          <w:lang w:val="fr-CH"/>
        </w:rPr>
        <w:t>‘</w:t>
      </w:r>
      <w:r w:rsidRPr="00465AAB">
        <w:rPr>
          <w:lang w:val="fr-CH"/>
        </w:rPr>
        <w:t>Directives BMT</w:t>
      </w:r>
      <w:r w:rsidR="002D3995" w:rsidRPr="00465AAB">
        <w:rPr>
          <w:lang w:val="fr-CH"/>
        </w:rPr>
        <w:t>’</w:t>
      </w:r>
      <w:r w:rsidRPr="00465AAB">
        <w:rPr>
          <w:lang w:val="fr-CH"/>
        </w:rPr>
        <w:t>)”</w:t>
      </w:r>
      <w:bookmarkEnd w:id="4"/>
    </w:p>
    <w:p w:rsidR="00BF265D" w:rsidRPr="00465AAB" w:rsidRDefault="00BF265D" w:rsidP="007E2DFF">
      <w:pPr>
        <w:rPr>
          <w:lang w:val="fr-CH"/>
        </w:rPr>
      </w:pPr>
    </w:p>
    <w:p w:rsidR="00BF265D" w:rsidRPr="00465AAB" w:rsidRDefault="007E2DFF" w:rsidP="008B30F2">
      <w:pPr>
        <w:rPr>
          <w:lang w:val="fr-CH"/>
        </w:rPr>
      </w:pPr>
      <w:r w:rsidRPr="00465AAB">
        <w:fldChar w:fldCharType="begin"/>
      </w:r>
      <w:r w:rsidRPr="00465AAB">
        <w:rPr>
          <w:lang w:val="fr-CH"/>
        </w:rPr>
        <w:instrText xml:space="preserve"> AUTONUM  </w:instrText>
      </w:r>
      <w:r w:rsidRPr="00465AAB">
        <w:fldChar w:fldCharType="end"/>
      </w:r>
      <w:r w:rsidRPr="00465AAB">
        <w:rPr>
          <w:lang w:val="fr-CH"/>
        </w:rPr>
        <w:tab/>
      </w:r>
      <w:r w:rsidR="008B30F2" w:rsidRPr="00465AAB">
        <w:rPr>
          <w:lang w:val="fr-CH"/>
        </w:rPr>
        <w:t xml:space="preserve">À leurs sessions </w:t>
      </w:r>
      <w:r w:rsidR="002D3995" w:rsidRPr="00465AAB">
        <w:rPr>
          <w:lang w:val="fr-CH"/>
        </w:rPr>
        <w:t>de 2021</w:t>
      </w:r>
      <w:r w:rsidR="008B30F2" w:rsidRPr="00465AAB">
        <w:rPr>
          <w:lang w:val="fr-CH"/>
        </w:rPr>
        <w:t>,</w:t>
      </w:r>
      <w:r w:rsidR="002D3995" w:rsidRPr="00465AAB">
        <w:rPr>
          <w:lang w:val="fr-CH"/>
        </w:rPr>
        <w:t xml:space="preserve"> les TWP</w:t>
      </w:r>
      <w:r w:rsidR="008B30F2" w:rsidRPr="00465AAB">
        <w:rPr>
          <w:lang w:val="fr-CH"/>
        </w:rPr>
        <w:t xml:space="preserve"> ont approuvé la révision du document</w:t>
      </w:r>
      <w:r w:rsidR="007F3DBD" w:rsidRPr="00465AAB">
        <w:rPr>
          <w:lang w:val="fr-CH"/>
        </w:rPr>
        <w:t> </w:t>
      </w:r>
      <w:r w:rsidR="008B30F2" w:rsidRPr="00465AAB">
        <w:rPr>
          <w:lang w:val="fr-CH"/>
        </w:rPr>
        <w:t>UPOV/INF/17/1 sur la base du document</w:t>
      </w:r>
      <w:r w:rsidR="007F3DBD" w:rsidRPr="00465AAB">
        <w:rPr>
          <w:lang w:val="fr-CH"/>
        </w:rPr>
        <w:t> </w:t>
      </w:r>
      <w:r w:rsidR="008B30F2" w:rsidRPr="00465AAB">
        <w:rPr>
          <w:lang w:val="fr-CH"/>
        </w:rPr>
        <w:t xml:space="preserve">UPOV/INF/17/2 </w:t>
      </w:r>
      <w:proofErr w:type="spellStart"/>
      <w:r w:rsidR="008B30F2" w:rsidRPr="00465AAB">
        <w:rPr>
          <w:lang w:val="fr-CH"/>
        </w:rPr>
        <w:t>Draft</w:t>
      </w:r>
      <w:proofErr w:type="spellEnd"/>
      <w:r w:rsidR="007F3DBD" w:rsidRPr="00465AAB">
        <w:rPr>
          <w:lang w:val="fr-CH"/>
        </w:rPr>
        <w:t> </w:t>
      </w:r>
      <w:r w:rsidR="008B30F2" w:rsidRPr="00465AAB">
        <w:rPr>
          <w:lang w:val="fr-CH"/>
        </w:rPr>
        <w:t>5 et de l</w:t>
      </w:r>
      <w:r w:rsidR="002D3995" w:rsidRPr="00465AAB">
        <w:rPr>
          <w:lang w:val="fr-CH"/>
        </w:rPr>
        <w:t>’annexe I</w:t>
      </w:r>
      <w:r w:rsidR="008B30F2" w:rsidRPr="00465AAB">
        <w:rPr>
          <w:lang w:val="fr-CH"/>
        </w:rPr>
        <w:t>I du document</w:t>
      </w:r>
      <w:r w:rsidR="007F3DBD" w:rsidRPr="00465AAB">
        <w:rPr>
          <w:lang w:val="fr-CH"/>
        </w:rPr>
        <w:t> </w:t>
      </w:r>
      <w:r w:rsidR="008B30F2" w:rsidRPr="00465AAB">
        <w:rPr>
          <w:lang w:val="fr-CH"/>
        </w:rPr>
        <w:t xml:space="preserve">TWP/5/7 (voir le </w:t>
      </w:r>
      <w:r w:rsidR="002D3995" w:rsidRPr="00465AAB">
        <w:rPr>
          <w:lang w:val="fr-CH"/>
        </w:rPr>
        <w:t>paragraphe 5</w:t>
      </w:r>
      <w:r w:rsidR="008B30F2" w:rsidRPr="00465AAB">
        <w:rPr>
          <w:lang w:val="fr-CH"/>
        </w:rPr>
        <w:t xml:space="preserve">0 du document TWV/55/16 </w:t>
      </w:r>
      <w:r w:rsidR="002D3995" w:rsidRPr="00465AAB">
        <w:rPr>
          <w:lang w:val="fr-CH"/>
        </w:rPr>
        <w:t>“R</w:t>
      </w:r>
      <w:r w:rsidR="008B30F2" w:rsidRPr="00465AAB">
        <w:rPr>
          <w:lang w:val="fr-CH"/>
        </w:rPr>
        <w:t>epor</w:t>
      </w:r>
      <w:r w:rsidR="002D3995" w:rsidRPr="00465AAB">
        <w:rPr>
          <w:lang w:val="fr-CH"/>
        </w:rPr>
        <w:t>t”</w:t>
      </w:r>
      <w:r w:rsidR="008B30F2" w:rsidRPr="00465AAB">
        <w:rPr>
          <w:lang w:val="fr-CH"/>
        </w:rPr>
        <w:t xml:space="preserve">, le </w:t>
      </w:r>
      <w:r w:rsidR="002D3995" w:rsidRPr="00465AAB">
        <w:rPr>
          <w:lang w:val="fr-CH"/>
        </w:rPr>
        <w:t>paragraphe 5</w:t>
      </w:r>
      <w:r w:rsidR="008B30F2" w:rsidRPr="00465AAB">
        <w:rPr>
          <w:lang w:val="fr-CH"/>
        </w:rPr>
        <w:t xml:space="preserve">8 du document TWO/53/10 </w:t>
      </w:r>
      <w:r w:rsidR="002D3995" w:rsidRPr="00465AAB">
        <w:rPr>
          <w:lang w:val="fr-CH"/>
        </w:rPr>
        <w:t>“R</w:t>
      </w:r>
      <w:r w:rsidR="008B30F2" w:rsidRPr="00465AAB">
        <w:rPr>
          <w:lang w:val="fr-CH"/>
        </w:rPr>
        <w:t>epor</w:t>
      </w:r>
      <w:r w:rsidR="002D3995" w:rsidRPr="00465AAB">
        <w:rPr>
          <w:lang w:val="fr-CH"/>
        </w:rPr>
        <w:t>t”</w:t>
      </w:r>
      <w:r w:rsidR="008B30F2" w:rsidRPr="00465AAB">
        <w:rPr>
          <w:lang w:val="fr-CH"/>
        </w:rPr>
        <w:t xml:space="preserve">, le </w:t>
      </w:r>
      <w:r w:rsidR="002D3995" w:rsidRPr="00465AAB">
        <w:rPr>
          <w:lang w:val="fr-CH"/>
        </w:rPr>
        <w:t>paragraphe 8</w:t>
      </w:r>
      <w:r w:rsidR="008B30F2" w:rsidRPr="00465AAB">
        <w:rPr>
          <w:lang w:val="fr-CH"/>
        </w:rPr>
        <w:t xml:space="preserve">7 du document TWA/50/9 </w:t>
      </w:r>
      <w:r w:rsidR="002D3995" w:rsidRPr="00465AAB">
        <w:rPr>
          <w:lang w:val="fr-CH"/>
        </w:rPr>
        <w:t>“R</w:t>
      </w:r>
      <w:r w:rsidR="008B30F2" w:rsidRPr="00465AAB">
        <w:rPr>
          <w:lang w:val="fr-CH"/>
        </w:rPr>
        <w:t>epor</w:t>
      </w:r>
      <w:r w:rsidR="002D3995" w:rsidRPr="00465AAB">
        <w:rPr>
          <w:lang w:val="fr-CH"/>
        </w:rPr>
        <w:t>t”</w:t>
      </w:r>
      <w:r w:rsidR="008B30F2" w:rsidRPr="00465AAB">
        <w:rPr>
          <w:lang w:val="fr-CH"/>
        </w:rPr>
        <w:t xml:space="preserve">, le </w:t>
      </w:r>
      <w:r w:rsidR="002D3995" w:rsidRPr="00465AAB">
        <w:rPr>
          <w:lang w:val="fr-CH"/>
        </w:rPr>
        <w:t>paragraphe 1</w:t>
      </w:r>
      <w:r w:rsidR="008B30F2" w:rsidRPr="00465AAB">
        <w:rPr>
          <w:lang w:val="fr-CH"/>
        </w:rPr>
        <w:t xml:space="preserve">2 du document TWF/52/10 </w:t>
      </w:r>
      <w:r w:rsidR="002D3995" w:rsidRPr="00465AAB">
        <w:rPr>
          <w:lang w:val="fr-CH"/>
        </w:rPr>
        <w:t>“R</w:t>
      </w:r>
      <w:r w:rsidR="008B30F2" w:rsidRPr="00465AAB">
        <w:rPr>
          <w:lang w:val="fr-CH"/>
        </w:rPr>
        <w:t>epor</w:t>
      </w:r>
      <w:r w:rsidR="002D3995" w:rsidRPr="00465AAB">
        <w:rPr>
          <w:lang w:val="fr-CH"/>
        </w:rPr>
        <w:t>t”</w:t>
      </w:r>
      <w:r w:rsidR="008B30F2" w:rsidRPr="00465AAB">
        <w:rPr>
          <w:lang w:val="fr-CH"/>
        </w:rPr>
        <w:t xml:space="preserve"> et le </w:t>
      </w:r>
      <w:r w:rsidR="002D3995" w:rsidRPr="00465AAB">
        <w:rPr>
          <w:lang w:val="fr-CH"/>
        </w:rPr>
        <w:t>paragraphe 7</w:t>
      </w:r>
      <w:r w:rsidR="008B30F2" w:rsidRPr="00465AAB">
        <w:rPr>
          <w:lang w:val="fr-CH"/>
        </w:rPr>
        <w:t xml:space="preserve">1 du document TWC/39/9 </w:t>
      </w:r>
      <w:r w:rsidR="002D3995" w:rsidRPr="00465AAB">
        <w:rPr>
          <w:lang w:val="fr-CH"/>
        </w:rPr>
        <w:t>“R</w:t>
      </w:r>
      <w:r w:rsidR="008B30F2" w:rsidRPr="00465AAB">
        <w:rPr>
          <w:lang w:val="fr-CH"/>
        </w:rPr>
        <w:t>epor</w:t>
      </w:r>
      <w:r w:rsidR="002D3995" w:rsidRPr="00465AAB">
        <w:rPr>
          <w:lang w:val="fr-CH"/>
        </w:rPr>
        <w:t>t”</w:t>
      </w:r>
      <w:r w:rsidR="008B30F2" w:rsidRPr="00465AAB">
        <w:rPr>
          <w:lang w:val="fr-CH"/>
        </w:rPr>
        <w:t>).</w:t>
      </w:r>
    </w:p>
    <w:p w:rsidR="00BF265D" w:rsidRPr="00465AAB" w:rsidRDefault="00BF265D" w:rsidP="007E2DFF">
      <w:pPr>
        <w:rPr>
          <w:lang w:val="fr-CH"/>
        </w:rPr>
      </w:pPr>
    </w:p>
    <w:p w:rsidR="00BF265D" w:rsidRPr="00465AAB" w:rsidRDefault="007E2DFF" w:rsidP="00D5756F">
      <w:pPr>
        <w:rPr>
          <w:lang w:val="fr-CH"/>
        </w:rPr>
      </w:pPr>
      <w:r w:rsidRPr="00465AAB">
        <w:fldChar w:fldCharType="begin"/>
      </w:r>
      <w:r w:rsidRPr="00465AAB">
        <w:rPr>
          <w:lang w:val="fr-CH"/>
        </w:rPr>
        <w:instrText xml:space="preserve"> AUTONUM  </w:instrText>
      </w:r>
      <w:r w:rsidRPr="00465AAB">
        <w:fldChar w:fldCharType="end"/>
      </w:r>
      <w:r w:rsidRPr="00465AAB">
        <w:rPr>
          <w:lang w:val="fr-CH"/>
        </w:rPr>
        <w:tab/>
      </w:r>
      <w:r w:rsidR="00D5756F" w:rsidRPr="00465AAB">
        <w:rPr>
          <w:lang w:val="fr-CH"/>
        </w:rPr>
        <w:t>Le BMT a approuvé la révision du document</w:t>
      </w:r>
      <w:r w:rsidR="007F3DBD" w:rsidRPr="00465AAB">
        <w:rPr>
          <w:lang w:val="fr-CH"/>
        </w:rPr>
        <w:t> </w:t>
      </w:r>
      <w:r w:rsidR="00D5756F" w:rsidRPr="00465AAB">
        <w:rPr>
          <w:lang w:val="fr-CH"/>
        </w:rPr>
        <w:t>UPOV/INF/17/2 sur la base du document</w:t>
      </w:r>
      <w:r w:rsidR="007F3DBD" w:rsidRPr="00465AAB">
        <w:rPr>
          <w:lang w:val="fr-CH"/>
        </w:rPr>
        <w:t> </w:t>
      </w:r>
      <w:r w:rsidR="00D5756F" w:rsidRPr="00465AAB">
        <w:rPr>
          <w:lang w:val="fr-CH"/>
        </w:rPr>
        <w:t xml:space="preserve">UPOV/INF/17/2 </w:t>
      </w:r>
      <w:proofErr w:type="spellStart"/>
      <w:r w:rsidR="00D5756F" w:rsidRPr="00465AAB">
        <w:rPr>
          <w:lang w:val="fr-CH"/>
        </w:rPr>
        <w:t>Draft</w:t>
      </w:r>
      <w:proofErr w:type="spellEnd"/>
      <w:r w:rsidR="007F3DBD" w:rsidRPr="00465AAB">
        <w:rPr>
          <w:lang w:val="fr-CH"/>
        </w:rPr>
        <w:t> </w:t>
      </w:r>
      <w:r w:rsidR="00D5756F" w:rsidRPr="00465AAB">
        <w:rPr>
          <w:lang w:val="fr-CH"/>
        </w:rPr>
        <w:t>5 et de l</w:t>
      </w:r>
      <w:r w:rsidR="002D3995" w:rsidRPr="00465AAB">
        <w:rPr>
          <w:lang w:val="fr-CH"/>
        </w:rPr>
        <w:t>’</w:t>
      </w:r>
      <w:r w:rsidR="00D5756F" w:rsidRPr="00465AAB">
        <w:rPr>
          <w:lang w:val="fr-CH"/>
        </w:rPr>
        <w:t>annexe du document</w:t>
      </w:r>
      <w:r w:rsidR="007F3DBD" w:rsidRPr="00465AAB">
        <w:rPr>
          <w:lang w:val="fr-CH"/>
        </w:rPr>
        <w:t> </w:t>
      </w:r>
      <w:r w:rsidR="00D5756F" w:rsidRPr="00465AAB">
        <w:rPr>
          <w:lang w:val="fr-CH"/>
        </w:rPr>
        <w:t xml:space="preserve">BMT/20/3 (voir les </w:t>
      </w:r>
      <w:r w:rsidR="002D3995" w:rsidRPr="00465AAB">
        <w:rPr>
          <w:lang w:val="fr-CH"/>
        </w:rPr>
        <w:t>paragraphes 1</w:t>
      </w:r>
      <w:r w:rsidR="00D5756F" w:rsidRPr="00465AAB">
        <w:rPr>
          <w:lang w:val="fr-CH"/>
        </w:rPr>
        <w:t>0 à 12</w:t>
      </w:r>
      <w:r w:rsidR="00B80441" w:rsidRPr="00465AAB">
        <w:rPr>
          <w:lang w:val="fr-CH"/>
        </w:rPr>
        <w:t xml:space="preserve"> du document </w:t>
      </w:r>
      <w:r w:rsidR="00D5756F" w:rsidRPr="00465AAB">
        <w:rPr>
          <w:lang w:val="fr-CH"/>
        </w:rPr>
        <w:t xml:space="preserve">BMT/20/12 </w:t>
      </w:r>
      <w:r w:rsidR="002D3995" w:rsidRPr="00465AAB">
        <w:rPr>
          <w:lang w:val="fr-CH"/>
        </w:rPr>
        <w:t>“R</w:t>
      </w:r>
      <w:r w:rsidR="00D5756F" w:rsidRPr="00465AAB">
        <w:rPr>
          <w:lang w:val="fr-CH"/>
        </w:rPr>
        <w:t>epor</w:t>
      </w:r>
      <w:r w:rsidR="002D3995" w:rsidRPr="00465AAB">
        <w:rPr>
          <w:lang w:val="fr-CH"/>
        </w:rPr>
        <w:t>t”</w:t>
      </w:r>
      <w:r w:rsidR="00D5756F" w:rsidRPr="00465AAB">
        <w:rPr>
          <w:lang w:val="fr-CH"/>
        </w:rPr>
        <w:t>).</w:t>
      </w:r>
    </w:p>
    <w:p w:rsidR="00BF265D" w:rsidRPr="00465AAB" w:rsidRDefault="00BF265D" w:rsidP="007E2DFF">
      <w:pPr>
        <w:rPr>
          <w:lang w:val="fr-CH"/>
        </w:rPr>
      </w:pPr>
    </w:p>
    <w:p w:rsidR="00BF265D" w:rsidRPr="00465AAB" w:rsidRDefault="007E2DFF" w:rsidP="00BF6C07">
      <w:pPr>
        <w:rPr>
          <w:lang w:val="fr-CH"/>
        </w:rPr>
      </w:pPr>
      <w:r w:rsidRPr="00465AAB">
        <w:fldChar w:fldCharType="begin"/>
      </w:r>
      <w:r w:rsidRPr="00465AAB">
        <w:rPr>
          <w:lang w:val="fr-CH"/>
        </w:rPr>
        <w:instrText xml:space="preserve"> AUTONUM  </w:instrText>
      </w:r>
      <w:r w:rsidRPr="00465AAB">
        <w:fldChar w:fldCharType="end"/>
      </w:r>
      <w:r w:rsidRPr="00465AAB">
        <w:rPr>
          <w:lang w:val="fr-CH"/>
        </w:rPr>
        <w:tab/>
      </w:r>
      <w:r w:rsidR="00BF6C07" w:rsidRPr="00465AAB">
        <w:rPr>
          <w:lang w:val="fr-CH"/>
        </w:rPr>
        <w:t>Le BMT a pris note des observations formulées par l</w:t>
      </w:r>
      <w:r w:rsidR="002D3995" w:rsidRPr="00465AAB">
        <w:rPr>
          <w:lang w:val="fr-CH"/>
        </w:rPr>
        <w:t>’</w:t>
      </w:r>
      <w:r w:rsidR="00BF6C07" w:rsidRPr="00465AAB">
        <w:rPr>
          <w:lang w:val="fr-CH"/>
        </w:rPr>
        <w:t>ISF avant la session au sujet des améliorations possibles du document</w:t>
      </w:r>
      <w:r w:rsidR="007F3DBD" w:rsidRPr="00465AAB">
        <w:rPr>
          <w:lang w:val="fr-CH"/>
        </w:rPr>
        <w:t> </w:t>
      </w:r>
      <w:r w:rsidR="00BF6C07" w:rsidRPr="00465AAB">
        <w:rPr>
          <w:lang w:val="fr-CH"/>
        </w:rPr>
        <w:t>UPOV/INF/17 concernant certaines questions techniqu</w:t>
      </w:r>
      <w:r w:rsidR="00BA7E3C" w:rsidRPr="00465AAB">
        <w:rPr>
          <w:lang w:val="fr-CH"/>
        </w:rPr>
        <w:t>es.  Il</w:t>
      </w:r>
      <w:r w:rsidR="00BF6C07" w:rsidRPr="00465AAB">
        <w:rPr>
          <w:lang w:val="fr-CH"/>
        </w:rPr>
        <w:t xml:space="preserve"> est convenu d</w:t>
      </w:r>
      <w:r w:rsidR="002D3995" w:rsidRPr="00465AAB">
        <w:rPr>
          <w:lang w:val="fr-CH"/>
        </w:rPr>
        <w:t>’</w:t>
      </w:r>
      <w:r w:rsidR="00BF6C07" w:rsidRPr="00465AAB">
        <w:rPr>
          <w:lang w:val="fr-CH"/>
        </w:rPr>
        <w:t>inviter l</w:t>
      </w:r>
      <w:r w:rsidR="002D3995" w:rsidRPr="00465AAB">
        <w:rPr>
          <w:lang w:val="fr-CH"/>
        </w:rPr>
        <w:t>’</w:t>
      </w:r>
      <w:r w:rsidR="00BF6C07" w:rsidRPr="00465AAB">
        <w:rPr>
          <w:lang w:val="fr-CH"/>
        </w:rPr>
        <w:t xml:space="preserve">ISF à présenter un exposé sur ces questions </w:t>
      </w:r>
      <w:r w:rsidR="00B80441" w:rsidRPr="00465AAB">
        <w:rPr>
          <w:lang w:val="fr-CH"/>
        </w:rPr>
        <w:t>à</w:t>
      </w:r>
      <w:r w:rsidR="00BF6C07" w:rsidRPr="00465AAB">
        <w:rPr>
          <w:lang w:val="fr-CH"/>
        </w:rPr>
        <w:t xml:space="preserve"> la première session</w:t>
      </w:r>
      <w:r w:rsidR="002D3995" w:rsidRPr="00465AAB">
        <w:rPr>
          <w:lang w:val="fr-CH"/>
        </w:rPr>
        <w:t xml:space="preserve"> du TWM</w:t>
      </w:r>
      <w:r w:rsidR="00BF6C07" w:rsidRPr="00465AAB">
        <w:rPr>
          <w:lang w:val="fr-CH"/>
        </w:rPr>
        <w:t>.</w:t>
      </w:r>
    </w:p>
    <w:p w:rsidR="00BF265D" w:rsidRPr="00465AAB" w:rsidRDefault="00BF265D" w:rsidP="007E2DFF">
      <w:pPr>
        <w:rPr>
          <w:noProof/>
          <w:lang w:val="fr-CH" w:eastAsia="ja-JP"/>
        </w:rPr>
      </w:pPr>
    </w:p>
    <w:p w:rsidR="00BF265D" w:rsidRPr="00465AAB" w:rsidRDefault="00BF265D" w:rsidP="007E2DFF">
      <w:pPr>
        <w:rPr>
          <w:noProof/>
          <w:lang w:val="fr-CH" w:eastAsia="ja-JP"/>
        </w:rPr>
      </w:pPr>
    </w:p>
    <w:p w:rsidR="00BF265D" w:rsidRPr="00465AAB" w:rsidRDefault="00BF6C07" w:rsidP="00BF6C07">
      <w:pPr>
        <w:pStyle w:val="Heading1"/>
        <w:rPr>
          <w:lang w:val="fr-CH"/>
        </w:rPr>
      </w:pPr>
      <w:bookmarkStart w:id="5" w:name="_Toc85447853"/>
      <w:r w:rsidRPr="00465AAB">
        <w:rPr>
          <w:lang w:val="fr-CH"/>
        </w:rPr>
        <w:t xml:space="preserve">Faits nouveaux survenus au sein des groupes de travail techniques à leurs sessions </w:t>
      </w:r>
      <w:r w:rsidR="002D3995" w:rsidRPr="00465AAB">
        <w:rPr>
          <w:lang w:val="fr-CH"/>
        </w:rPr>
        <w:t>de 2021</w:t>
      </w:r>
      <w:bookmarkEnd w:id="5"/>
    </w:p>
    <w:p w:rsidR="00BF265D" w:rsidRPr="00465AAB" w:rsidRDefault="00BF265D" w:rsidP="007E2DFF">
      <w:pPr>
        <w:rPr>
          <w:lang w:val="fr-CH"/>
        </w:rPr>
      </w:pPr>
    </w:p>
    <w:p w:rsidR="00BF265D" w:rsidRPr="00465AAB" w:rsidRDefault="007E2DFF" w:rsidP="00BF6C07">
      <w:pPr>
        <w:keepNext/>
        <w:keepLines/>
        <w:rPr>
          <w:lang w:val="fr-CH"/>
        </w:rPr>
      </w:pPr>
      <w:r w:rsidRPr="00465AAB">
        <w:fldChar w:fldCharType="begin"/>
      </w:r>
      <w:r w:rsidRPr="00465AAB">
        <w:rPr>
          <w:lang w:val="fr-CH"/>
        </w:rPr>
        <w:instrText xml:space="preserve"> AUTONUM  </w:instrText>
      </w:r>
      <w:r w:rsidRPr="00465AAB">
        <w:fldChar w:fldCharType="end"/>
      </w:r>
      <w:r w:rsidRPr="00465AAB">
        <w:rPr>
          <w:lang w:val="fr-CH"/>
        </w:rPr>
        <w:tab/>
      </w:r>
      <w:r w:rsidR="00BF6C07" w:rsidRPr="00465AAB">
        <w:rPr>
          <w:lang w:val="fr-CH"/>
        </w:rPr>
        <w:t xml:space="preserve">À leurs sessions </w:t>
      </w:r>
      <w:r w:rsidR="002D3995" w:rsidRPr="00465AAB">
        <w:rPr>
          <w:lang w:val="fr-CH"/>
        </w:rPr>
        <w:t>de 2021</w:t>
      </w:r>
      <w:r w:rsidR="00BF6C07" w:rsidRPr="00465AAB">
        <w:rPr>
          <w:lang w:val="fr-CH"/>
        </w:rPr>
        <w:t>,</w:t>
      </w:r>
      <w:r w:rsidR="002D3995" w:rsidRPr="00465AAB">
        <w:rPr>
          <w:lang w:val="fr-CH"/>
        </w:rPr>
        <w:t xml:space="preserve"> le TWV</w:t>
      </w:r>
      <w:r w:rsidR="00BF6C07" w:rsidRPr="00465AAB">
        <w:rPr>
          <w:rStyle w:val="FootnoteReference"/>
          <w:lang w:val="en-US"/>
        </w:rPr>
        <w:footnoteReference w:id="2"/>
      </w:r>
      <w:r w:rsidR="00BF6C07" w:rsidRPr="00465AAB">
        <w:rPr>
          <w:lang w:val="fr-CH"/>
        </w:rPr>
        <w:t>,</w:t>
      </w:r>
      <w:r w:rsidR="002D3995" w:rsidRPr="00465AAB">
        <w:rPr>
          <w:lang w:val="fr-CH"/>
        </w:rPr>
        <w:t xml:space="preserve"> le TWO</w:t>
      </w:r>
      <w:r w:rsidR="00BF6C07" w:rsidRPr="00465AAB">
        <w:rPr>
          <w:rStyle w:val="FootnoteReference"/>
          <w:lang w:val="en-US"/>
        </w:rPr>
        <w:footnoteReference w:id="3"/>
      </w:r>
      <w:r w:rsidR="00BF6C07" w:rsidRPr="00465AAB">
        <w:rPr>
          <w:lang w:val="fr-CH"/>
        </w:rPr>
        <w:t>,</w:t>
      </w:r>
      <w:r w:rsidR="002D3995" w:rsidRPr="00465AAB">
        <w:rPr>
          <w:lang w:val="fr-CH"/>
        </w:rPr>
        <w:t xml:space="preserve"> le TWA</w:t>
      </w:r>
      <w:r w:rsidR="00BF6C07" w:rsidRPr="00465AAB">
        <w:rPr>
          <w:rStyle w:val="FootnoteReference"/>
          <w:lang w:val="en-US"/>
        </w:rPr>
        <w:footnoteReference w:id="4"/>
      </w:r>
      <w:r w:rsidR="00BF6C07" w:rsidRPr="00465AAB">
        <w:rPr>
          <w:lang w:val="fr-CH"/>
        </w:rPr>
        <w:t>,</w:t>
      </w:r>
      <w:r w:rsidR="002D3995" w:rsidRPr="00465AAB">
        <w:rPr>
          <w:lang w:val="fr-CH"/>
        </w:rPr>
        <w:t xml:space="preserve"> le TWF</w:t>
      </w:r>
      <w:r w:rsidR="00BF6C07" w:rsidRPr="00465AAB">
        <w:rPr>
          <w:rStyle w:val="FootnoteReference"/>
          <w:lang w:val="en-US"/>
        </w:rPr>
        <w:footnoteReference w:id="5"/>
      </w:r>
      <w:r w:rsidR="00BF6C07" w:rsidRPr="00465AAB">
        <w:rPr>
          <w:lang w:val="fr-CH"/>
        </w:rPr>
        <w:t xml:space="preserve"> et</w:t>
      </w:r>
      <w:r w:rsidR="002D3995" w:rsidRPr="00465AAB">
        <w:rPr>
          <w:lang w:val="fr-CH"/>
        </w:rPr>
        <w:t xml:space="preserve"> le TWC</w:t>
      </w:r>
      <w:r w:rsidR="00BF6C07" w:rsidRPr="00465AAB">
        <w:rPr>
          <w:rStyle w:val="FootnoteReference"/>
          <w:lang w:val="en-US"/>
        </w:rPr>
        <w:footnoteReference w:id="6"/>
      </w:r>
      <w:r w:rsidR="00BF6C07" w:rsidRPr="00465AAB">
        <w:rPr>
          <w:lang w:val="fr-CH"/>
        </w:rPr>
        <w:t xml:space="preserve"> ont examiné le document</w:t>
      </w:r>
      <w:r w:rsidR="007F3DBD" w:rsidRPr="00465AAB">
        <w:rPr>
          <w:lang w:val="fr-CH"/>
        </w:rPr>
        <w:t> </w:t>
      </w:r>
      <w:r w:rsidR="00BF6C07" w:rsidRPr="00465AAB">
        <w:rPr>
          <w:lang w:val="fr-CH"/>
        </w:rPr>
        <w:t>TWP/5/7</w:t>
      </w:r>
      <w:r w:rsidR="00B80441" w:rsidRPr="00465AAB">
        <w:rPr>
          <w:lang w:val="fr-CH"/>
        </w:rPr>
        <w:t xml:space="preserve"> “</w:t>
      </w:r>
      <w:proofErr w:type="spellStart"/>
      <w:r w:rsidR="00BF6C07" w:rsidRPr="00465AAB">
        <w:rPr>
          <w:lang w:val="fr-CH"/>
        </w:rPr>
        <w:t>Molecular</w:t>
      </w:r>
      <w:proofErr w:type="spellEnd"/>
      <w:r w:rsidR="00BF6C07" w:rsidRPr="00465AAB">
        <w:rPr>
          <w:lang w:val="fr-CH"/>
        </w:rPr>
        <w:t xml:space="preserve"> techniques” (voir les </w:t>
      </w:r>
      <w:r w:rsidR="002D3995" w:rsidRPr="00465AAB">
        <w:rPr>
          <w:lang w:val="fr-CH"/>
        </w:rPr>
        <w:t>paragraphes 4</w:t>
      </w:r>
      <w:r w:rsidR="00BF6C07" w:rsidRPr="00465AAB">
        <w:rPr>
          <w:lang w:val="fr-CH"/>
        </w:rPr>
        <w:t xml:space="preserve">3 à 55 du document TWV/55/16 “Report”, les </w:t>
      </w:r>
      <w:r w:rsidR="002D3995" w:rsidRPr="00465AAB">
        <w:rPr>
          <w:lang w:val="fr-CH"/>
        </w:rPr>
        <w:t>paragraphes 5</w:t>
      </w:r>
      <w:r w:rsidR="00BF6C07" w:rsidRPr="00465AAB">
        <w:rPr>
          <w:lang w:val="fr-CH"/>
        </w:rPr>
        <w:t xml:space="preserve">4 à 61 du document TWO/53/10 “Report”, les </w:t>
      </w:r>
      <w:r w:rsidR="002D3995" w:rsidRPr="00465AAB">
        <w:rPr>
          <w:lang w:val="fr-CH"/>
        </w:rPr>
        <w:t>paragraphes 8</w:t>
      </w:r>
      <w:r w:rsidR="00BF6C07" w:rsidRPr="00465AAB">
        <w:rPr>
          <w:lang w:val="fr-CH"/>
        </w:rPr>
        <w:t>2 à 90 du document TWA/50/</w:t>
      </w:r>
      <w:r w:rsidR="00DF5E5F">
        <w:rPr>
          <w:lang w:val="fr-CH"/>
        </w:rPr>
        <w:t>9</w:t>
      </w:r>
      <w:r w:rsidR="00BF6C07" w:rsidRPr="00465AAB">
        <w:rPr>
          <w:lang w:val="fr-CH"/>
        </w:rPr>
        <w:t xml:space="preserve"> “Report”, les </w:t>
      </w:r>
      <w:r w:rsidR="002D3995" w:rsidRPr="00465AAB">
        <w:rPr>
          <w:lang w:val="fr-CH"/>
        </w:rPr>
        <w:t>paragraphes 7</w:t>
      </w:r>
      <w:r w:rsidR="00BF6C07" w:rsidRPr="00465AAB">
        <w:rPr>
          <w:lang w:val="fr-CH"/>
        </w:rPr>
        <w:t xml:space="preserve"> à 15 du document TWF/52/10 “Report” et les </w:t>
      </w:r>
      <w:r w:rsidR="002D3995" w:rsidRPr="00465AAB">
        <w:rPr>
          <w:lang w:val="fr-CH"/>
        </w:rPr>
        <w:t>paragraphes 6</w:t>
      </w:r>
      <w:r w:rsidR="00BF6C07" w:rsidRPr="00465AAB">
        <w:rPr>
          <w:lang w:val="fr-CH"/>
        </w:rPr>
        <w:t>4 à 76 du document TWC/39/9 “Report”).</w:t>
      </w:r>
    </w:p>
    <w:p w:rsidR="00BF265D" w:rsidRPr="00465AAB" w:rsidRDefault="00BF265D" w:rsidP="007E2DFF">
      <w:pPr>
        <w:rPr>
          <w:lang w:val="fr-CH"/>
        </w:rPr>
      </w:pPr>
    </w:p>
    <w:p w:rsidR="00BF265D" w:rsidRPr="00465AAB" w:rsidRDefault="00BF6C07" w:rsidP="00BF6C07">
      <w:pPr>
        <w:pStyle w:val="Heading2"/>
        <w:rPr>
          <w:lang w:val="fr-CH"/>
        </w:rPr>
      </w:pPr>
      <w:bookmarkStart w:id="6" w:name="_Toc85447854"/>
      <w:r w:rsidRPr="00465AAB">
        <w:rPr>
          <w:lang w:val="fr-CH"/>
        </w:rPr>
        <w:t>Faits nouveaux survenus à la dix</w:t>
      </w:r>
      <w:r w:rsidR="002D3995" w:rsidRPr="00465AAB">
        <w:rPr>
          <w:lang w:val="fr-CH"/>
        </w:rPr>
        <w:t>-</w:t>
      </w:r>
      <w:r w:rsidRPr="00465AAB">
        <w:rPr>
          <w:lang w:val="fr-CH"/>
        </w:rPr>
        <w:t>neuv</w:t>
      </w:r>
      <w:r w:rsidR="002D3995" w:rsidRPr="00465AAB">
        <w:rPr>
          <w:lang w:val="fr-CH"/>
        </w:rPr>
        <w:t>ième session</w:t>
      </w:r>
      <w:r w:rsidRPr="00465AAB">
        <w:rPr>
          <w:lang w:val="fr-CH"/>
        </w:rPr>
        <w:t xml:space="preserve"> du Groupe de travail sur les techniques biochimiques et moléculaires, notamment les profils d</w:t>
      </w:r>
      <w:r w:rsidR="002D3995" w:rsidRPr="00465AAB">
        <w:rPr>
          <w:lang w:val="fr-CH"/>
        </w:rPr>
        <w:t>’</w:t>
      </w:r>
      <w:r w:rsidRPr="00465AAB">
        <w:rPr>
          <w:lang w:val="fr-CH"/>
        </w:rPr>
        <w:t>ADN</w:t>
      </w:r>
      <w:bookmarkEnd w:id="6"/>
    </w:p>
    <w:p w:rsidR="00BF265D" w:rsidRPr="00465AAB" w:rsidRDefault="00BF265D" w:rsidP="007E2DFF">
      <w:pPr>
        <w:rPr>
          <w:lang w:val="fr-CH"/>
        </w:rPr>
      </w:pPr>
    </w:p>
    <w:p w:rsidR="00BF265D" w:rsidRPr="00465AAB" w:rsidRDefault="007E2DFF" w:rsidP="00A801D9">
      <w:pPr>
        <w:rPr>
          <w:lang w:val="fr-CH"/>
        </w:rPr>
      </w:pPr>
      <w:r w:rsidRPr="00465AAB">
        <w:fldChar w:fldCharType="begin"/>
      </w:r>
      <w:r w:rsidRPr="00465AAB">
        <w:rPr>
          <w:lang w:val="fr-CH"/>
        </w:rPr>
        <w:instrText xml:space="preserve"> AUTONUM  </w:instrText>
      </w:r>
      <w:r w:rsidRPr="00465AAB">
        <w:fldChar w:fldCharType="end"/>
      </w:r>
      <w:r w:rsidRPr="00465AAB">
        <w:rPr>
          <w:lang w:val="fr-CH"/>
        </w:rPr>
        <w:tab/>
      </w:r>
      <w:r w:rsidR="00A801D9" w:rsidRPr="00465AAB">
        <w:rPr>
          <w:lang w:val="fr-CH"/>
        </w:rPr>
        <w:t>Les TWP ont pris note des documents présentés à la dix</w:t>
      </w:r>
      <w:r w:rsidR="002D3995" w:rsidRPr="00465AAB">
        <w:rPr>
          <w:lang w:val="fr-CH"/>
        </w:rPr>
        <w:t>-</w:t>
      </w:r>
      <w:r w:rsidR="00A801D9" w:rsidRPr="00465AAB">
        <w:rPr>
          <w:lang w:val="fr-CH"/>
        </w:rPr>
        <w:t>neuv</w:t>
      </w:r>
      <w:r w:rsidR="002D3995" w:rsidRPr="00465AAB">
        <w:rPr>
          <w:lang w:val="fr-CH"/>
        </w:rPr>
        <w:t>ième session du BMT</w:t>
      </w:r>
      <w:r w:rsidR="00A801D9" w:rsidRPr="00465AAB">
        <w:rPr>
          <w:lang w:val="fr-CH"/>
        </w:rPr>
        <w:t xml:space="preserve"> tenue </w:t>
      </w:r>
      <w:r w:rsidR="002D3995" w:rsidRPr="00465AAB">
        <w:rPr>
          <w:lang w:val="fr-CH"/>
        </w:rPr>
        <w:t>en 2020</w:t>
      </w:r>
      <w:r w:rsidR="00A801D9" w:rsidRPr="00465AAB">
        <w:rPr>
          <w:lang w:val="fr-CH"/>
        </w:rPr>
        <w:t xml:space="preserve">, comme indiqué au </w:t>
      </w:r>
      <w:r w:rsidR="002D3995" w:rsidRPr="00465AAB">
        <w:rPr>
          <w:lang w:val="fr-CH"/>
        </w:rPr>
        <w:t>paragraphe 1</w:t>
      </w:r>
      <w:r w:rsidR="00A801D9" w:rsidRPr="00465AAB">
        <w:rPr>
          <w:lang w:val="fr-CH"/>
        </w:rPr>
        <w:t>2 du document</w:t>
      </w:r>
      <w:r w:rsidR="007F3DBD" w:rsidRPr="00465AAB">
        <w:rPr>
          <w:lang w:val="fr-CH"/>
        </w:rPr>
        <w:t> </w:t>
      </w:r>
      <w:r w:rsidR="00A801D9" w:rsidRPr="00465AAB">
        <w:rPr>
          <w:lang w:val="fr-CH"/>
        </w:rPr>
        <w:t>TWP/5/7.</w:t>
      </w:r>
    </w:p>
    <w:p w:rsidR="00BF265D" w:rsidRPr="00465AAB" w:rsidRDefault="00BF265D" w:rsidP="007E2DFF">
      <w:pPr>
        <w:rPr>
          <w:lang w:val="fr-CH"/>
        </w:rPr>
      </w:pPr>
    </w:p>
    <w:p w:rsidR="002D3995" w:rsidRPr="00465AAB" w:rsidRDefault="007E2DFF" w:rsidP="00BD0E07">
      <w:pPr>
        <w:rPr>
          <w:lang w:val="fr-CH"/>
        </w:rPr>
      </w:pPr>
      <w:r w:rsidRPr="00465AAB">
        <w:fldChar w:fldCharType="begin"/>
      </w:r>
      <w:r w:rsidRPr="00465AAB">
        <w:rPr>
          <w:lang w:val="fr-CH"/>
        </w:rPr>
        <w:instrText xml:space="preserve"> AUTONUM  </w:instrText>
      </w:r>
      <w:r w:rsidRPr="00465AAB">
        <w:fldChar w:fldCharType="end"/>
      </w:r>
      <w:r w:rsidRPr="00465AAB">
        <w:rPr>
          <w:lang w:val="fr-CH"/>
        </w:rPr>
        <w:tab/>
      </w:r>
      <w:r w:rsidR="00BD0E07" w:rsidRPr="00465AAB">
        <w:rPr>
          <w:lang w:val="fr-CH"/>
        </w:rPr>
        <w:t>Les TWP ont noté que</w:t>
      </w:r>
      <w:r w:rsidR="002D3995" w:rsidRPr="00465AAB">
        <w:rPr>
          <w:lang w:val="fr-CH"/>
        </w:rPr>
        <w:t xml:space="preserve"> le BMT</w:t>
      </w:r>
      <w:r w:rsidR="00BD0E07" w:rsidRPr="00465AAB">
        <w:rPr>
          <w:lang w:val="fr-CH"/>
        </w:rPr>
        <w:t xml:space="preserve"> tiendrait sa vingt</w:t>
      </w:r>
      <w:r w:rsidR="002D3995" w:rsidRPr="00465AAB">
        <w:rPr>
          <w:lang w:val="fr-CH"/>
        </w:rPr>
        <w:t>ième session</w:t>
      </w:r>
      <w:r w:rsidR="00BD0E07" w:rsidRPr="00465AAB">
        <w:rPr>
          <w:lang w:val="fr-CH"/>
        </w:rPr>
        <w:t xml:space="preserve"> conjointement avec</w:t>
      </w:r>
      <w:r w:rsidR="002D3995" w:rsidRPr="00465AAB">
        <w:rPr>
          <w:lang w:val="fr-CH"/>
        </w:rPr>
        <w:t xml:space="preserve"> le TWC</w:t>
      </w:r>
      <w:r w:rsidR="00BD0E07" w:rsidRPr="00465AAB">
        <w:rPr>
          <w:lang w:val="fr-CH"/>
        </w:rPr>
        <w:t>, pendant la semaine du 2</w:t>
      </w:r>
      <w:r w:rsidR="002D3995" w:rsidRPr="00465AAB">
        <w:rPr>
          <w:lang w:val="fr-CH"/>
        </w:rPr>
        <w:t>0 septembre 20</w:t>
      </w:r>
      <w:r w:rsidR="00BD0E07" w:rsidRPr="00465AAB">
        <w:rPr>
          <w:lang w:val="fr-CH"/>
        </w:rPr>
        <w:t>21.</w:t>
      </w:r>
    </w:p>
    <w:p w:rsidR="00BF265D" w:rsidRPr="00465AAB" w:rsidRDefault="00BF265D" w:rsidP="007E2DFF">
      <w:pPr>
        <w:rPr>
          <w:lang w:val="fr-CH"/>
        </w:rPr>
      </w:pPr>
    </w:p>
    <w:p w:rsidR="00BF265D" w:rsidRPr="00465AAB" w:rsidRDefault="007E2DFF" w:rsidP="00BD0E07">
      <w:pPr>
        <w:rPr>
          <w:lang w:val="fr-CH"/>
        </w:rPr>
      </w:pPr>
      <w:r w:rsidRPr="00465AAB">
        <w:fldChar w:fldCharType="begin"/>
      </w:r>
      <w:r w:rsidRPr="00465AAB">
        <w:rPr>
          <w:lang w:val="fr-CH"/>
        </w:rPr>
        <w:instrText xml:space="preserve"> AUTONUM  </w:instrText>
      </w:r>
      <w:r w:rsidRPr="00465AAB">
        <w:fldChar w:fldCharType="end"/>
      </w:r>
      <w:r w:rsidRPr="00465AAB">
        <w:rPr>
          <w:lang w:val="fr-CH"/>
        </w:rPr>
        <w:tab/>
      </w:r>
      <w:r w:rsidR="00BD0E07" w:rsidRPr="00465AAB">
        <w:rPr>
          <w:lang w:val="fr-CH"/>
        </w:rPr>
        <w:t>Les TWP ont pris note du projet d</w:t>
      </w:r>
      <w:r w:rsidR="002D3995" w:rsidRPr="00465AAB">
        <w:rPr>
          <w:lang w:val="fr-CH"/>
        </w:rPr>
        <w:t>’</w:t>
      </w:r>
      <w:r w:rsidR="00BD0E07" w:rsidRPr="00465AAB">
        <w:rPr>
          <w:lang w:val="fr-CH"/>
        </w:rPr>
        <w:t>ordre du jour de la vingt</w:t>
      </w:r>
      <w:r w:rsidR="002D3995" w:rsidRPr="00465AAB">
        <w:rPr>
          <w:lang w:val="fr-CH"/>
        </w:rPr>
        <w:t>ième session du BMT</w:t>
      </w:r>
      <w:r w:rsidR="00BD0E07" w:rsidRPr="00465AAB">
        <w:rPr>
          <w:lang w:val="fr-CH"/>
        </w:rPr>
        <w:t xml:space="preserve"> prévue </w:t>
      </w:r>
      <w:r w:rsidR="002D3995" w:rsidRPr="00465AAB">
        <w:rPr>
          <w:lang w:val="fr-CH"/>
        </w:rPr>
        <w:t>en 2021</w:t>
      </w:r>
      <w:r w:rsidR="00BD0E07" w:rsidRPr="00465AAB">
        <w:rPr>
          <w:lang w:val="fr-CH"/>
        </w:rPr>
        <w:t>, tel qu</w:t>
      </w:r>
      <w:r w:rsidR="002D3995" w:rsidRPr="00465AAB">
        <w:rPr>
          <w:lang w:val="fr-CH"/>
        </w:rPr>
        <w:t>’</w:t>
      </w:r>
      <w:r w:rsidR="00BD0E07" w:rsidRPr="00465AAB">
        <w:rPr>
          <w:lang w:val="fr-CH"/>
        </w:rPr>
        <w:t xml:space="preserve">il figure au </w:t>
      </w:r>
      <w:r w:rsidR="002D3995" w:rsidRPr="00465AAB">
        <w:rPr>
          <w:lang w:val="fr-CH"/>
        </w:rPr>
        <w:t>paragraphe 1</w:t>
      </w:r>
      <w:r w:rsidR="00BD0E07" w:rsidRPr="00465AAB">
        <w:rPr>
          <w:lang w:val="fr-CH"/>
        </w:rPr>
        <w:t>4 du document</w:t>
      </w:r>
      <w:r w:rsidR="007F3DBD" w:rsidRPr="00465AAB">
        <w:rPr>
          <w:lang w:val="fr-CH"/>
        </w:rPr>
        <w:t> </w:t>
      </w:r>
      <w:r w:rsidR="00BD0E07" w:rsidRPr="00465AAB">
        <w:rPr>
          <w:lang w:val="fr-CH"/>
        </w:rPr>
        <w:t>TWP/5/7.</w:t>
      </w:r>
    </w:p>
    <w:p w:rsidR="00BF265D" w:rsidRPr="00465AAB" w:rsidRDefault="00BF265D" w:rsidP="00B24829">
      <w:pPr>
        <w:pStyle w:val="Heading2"/>
        <w:keepNext w:val="0"/>
        <w:rPr>
          <w:lang w:val="fr-CH"/>
        </w:rPr>
      </w:pPr>
      <w:bookmarkStart w:id="7" w:name="_Toc69722869"/>
    </w:p>
    <w:p w:rsidR="00BF265D" w:rsidRPr="00465AAB" w:rsidRDefault="00BD0E07" w:rsidP="00B24829">
      <w:pPr>
        <w:pStyle w:val="Heading2"/>
        <w:keepNext w:val="0"/>
        <w:keepLines/>
        <w:rPr>
          <w:lang w:val="fr-CH"/>
        </w:rPr>
      </w:pPr>
      <w:bookmarkStart w:id="8" w:name="_Toc85447855"/>
      <w:bookmarkEnd w:id="7"/>
      <w:r w:rsidRPr="00465AAB">
        <w:rPr>
          <w:lang w:val="fr-CH"/>
        </w:rPr>
        <w:t>Fusion du Groupe de travail sur les techniques biochimiques et moléculaires, notamment les profils d</w:t>
      </w:r>
      <w:r w:rsidR="002D3995" w:rsidRPr="00465AAB">
        <w:rPr>
          <w:lang w:val="fr-CH"/>
        </w:rPr>
        <w:t>’</w:t>
      </w:r>
      <w:r w:rsidRPr="00465AAB">
        <w:rPr>
          <w:lang w:val="fr-CH"/>
        </w:rPr>
        <w:t>ADN (BMT) et du Groupe de travail technique sur les systèmes d</w:t>
      </w:r>
      <w:r w:rsidR="002D3995" w:rsidRPr="00465AAB">
        <w:rPr>
          <w:lang w:val="fr-CH"/>
        </w:rPr>
        <w:t>’</w:t>
      </w:r>
      <w:r w:rsidRPr="00465AAB">
        <w:rPr>
          <w:lang w:val="fr-CH"/>
        </w:rPr>
        <w:t>automatisation et les programmes d</w:t>
      </w:r>
      <w:r w:rsidR="002D3995" w:rsidRPr="00465AAB">
        <w:rPr>
          <w:lang w:val="fr-CH"/>
        </w:rPr>
        <w:t>’</w:t>
      </w:r>
      <w:r w:rsidRPr="00465AAB">
        <w:rPr>
          <w:lang w:val="fr-CH"/>
        </w:rPr>
        <w:t>ordinateur (TWC)</w:t>
      </w:r>
      <w:bookmarkEnd w:id="8"/>
    </w:p>
    <w:p w:rsidR="00BF265D" w:rsidRPr="00465AAB" w:rsidRDefault="00BF265D" w:rsidP="00B24829">
      <w:pPr>
        <w:keepLines/>
        <w:rPr>
          <w:lang w:val="fr-CH"/>
        </w:rPr>
      </w:pPr>
    </w:p>
    <w:p w:rsidR="00BF265D" w:rsidRPr="00465AAB" w:rsidRDefault="007E2DFF" w:rsidP="00B24829">
      <w:pPr>
        <w:keepLines/>
        <w:rPr>
          <w:lang w:val="fr-CH"/>
        </w:rPr>
      </w:pPr>
      <w:r w:rsidRPr="00465AAB">
        <w:fldChar w:fldCharType="begin"/>
      </w:r>
      <w:r w:rsidRPr="00465AAB">
        <w:rPr>
          <w:lang w:val="fr-CH"/>
        </w:rPr>
        <w:instrText xml:space="preserve"> AUTONUM  </w:instrText>
      </w:r>
      <w:r w:rsidRPr="00465AAB">
        <w:fldChar w:fldCharType="end"/>
      </w:r>
      <w:r w:rsidRPr="00465AAB">
        <w:rPr>
          <w:lang w:val="fr-CH"/>
        </w:rPr>
        <w:tab/>
      </w:r>
      <w:r w:rsidR="00BD0E07" w:rsidRPr="00465AAB">
        <w:rPr>
          <w:lang w:val="fr-CH"/>
        </w:rPr>
        <w:t>Les TWP ont noté que le Conseil avait créé le Groupe de travail technique sur les méthodes et techniques d</w:t>
      </w:r>
      <w:r w:rsidR="002D3995" w:rsidRPr="00465AAB">
        <w:rPr>
          <w:lang w:val="fr-CH"/>
        </w:rPr>
        <w:t>’</w:t>
      </w:r>
      <w:r w:rsidR="00BD0E07" w:rsidRPr="00465AAB">
        <w:rPr>
          <w:lang w:val="fr-CH"/>
        </w:rPr>
        <w:t>essai (TWM), qui englobe les travaux</w:t>
      </w:r>
      <w:r w:rsidR="002D3995" w:rsidRPr="00465AAB">
        <w:rPr>
          <w:lang w:val="fr-CH"/>
        </w:rPr>
        <w:t xml:space="preserve"> du TWC</w:t>
      </w:r>
      <w:r w:rsidR="00BD0E07" w:rsidRPr="00465AAB">
        <w:rPr>
          <w:lang w:val="fr-CH"/>
        </w:rPr>
        <w:t xml:space="preserve"> et</w:t>
      </w:r>
      <w:r w:rsidR="002D3995" w:rsidRPr="00465AAB">
        <w:rPr>
          <w:lang w:val="fr-CH"/>
        </w:rPr>
        <w:t xml:space="preserve"> du BMT</w:t>
      </w:r>
      <w:r w:rsidR="00BD0E07" w:rsidRPr="00465AAB">
        <w:rPr>
          <w:lang w:val="fr-CH"/>
        </w:rPr>
        <w:t xml:space="preserve"> et </w:t>
      </w:r>
      <w:r w:rsidR="00B80441" w:rsidRPr="00465AAB">
        <w:rPr>
          <w:lang w:val="fr-CH"/>
        </w:rPr>
        <w:t xml:space="preserve">entrera en fonction </w:t>
      </w:r>
      <w:r w:rsidR="002D3995" w:rsidRPr="00465AAB">
        <w:rPr>
          <w:lang w:val="fr-CH"/>
        </w:rPr>
        <w:t>en 2022</w:t>
      </w:r>
      <w:r w:rsidR="00BD0E07" w:rsidRPr="00465AAB">
        <w:rPr>
          <w:lang w:val="fr-CH"/>
        </w:rPr>
        <w:t>.</w:t>
      </w:r>
    </w:p>
    <w:p w:rsidR="00BF265D" w:rsidRPr="00465AAB" w:rsidRDefault="00BF265D" w:rsidP="00B24829">
      <w:pPr>
        <w:keepLines/>
        <w:rPr>
          <w:lang w:val="fr-CH"/>
        </w:rPr>
      </w:pPr>
    </w:p>
    <w:p w:rsidR="00BF265D" w:rsidRPr="00465AAB" w:rsidRDefault="007E2DFF" w:rsidP="00B24829">
      <w:pPr>
        <w:keepLines/>
        <w:rPr>
          <w:lang w:val="fr-CH"/>
        </w:rPr>
      </w:pPr>
      <w:r w:rsidRPr="00465AAB">
        <w:fldChar w:fldCharType="begin"/>
      </w:r>
      <w:r w:rsidRPr="00465AAB">
        <w:rPr>
          <w:lang w:val="fr-CH"/>
        </w:rPr>
        <w:instrText xml:space="preserve"> AUTONUM  </w:instrText>
      </w:r>
      <w:r w:rsidRPr="00465AAB">
        <w:fldChar w:fldCharType="end"/>
      </w:r>
      <w:r w:rsidRPr="00465AAB">
        <w:rPr>
          <w:lang w:val="fr-CH"/>
        </w:rPr>
        <w:tab/>
      </w:r>
      <w:r w:rsidR="00BD0E07" w:rsidRPr="00465AAB">
        <w:rPr>
          <w:lang w:val="fr-CH"/>
        </w:rPr>
        <w:t>Les TWP ont pris note du mandat</w:t>
      </w:r>
      <w:r w:rsidR="002D3995" w:rsidRPr="00465AAB">
        <w:rPr>
          <w:lang w:val="fr-CH"/>
        </w:rPr>
        <w:t xml:space="preserve"> du TWM</w:t>
      </w:r>
      <w:r w:rsidR="00BD0E07" w:rsidRPr="00465AAB">
        <w:rPr>
          <w:lang w:val="fr-CH"/>
        </w:rPr>
        <w:t>, tel qu</w:t>
      </w:r>
      <w:r w:rsidR="002D3995" w:rsidRPr="00465AAB">
        <w:rPr>
          <w:lang w:val="fr-CH"/>
        </w:rPr>
        <w:t>’</w:t>
      </w:r>
      <w:r w:rsidR="00BD0E07" w:rsidRPr="00465AAB">
        <w:rPr>
          <w:lang w:val="fr-CH"/>
        </w:rPr>
        <w:t xml:space="preserve">il est présenté au </w:t>
      </w:r>
      <w:r w:rsidR="002D3995" w:rsidRPr="00465AAB">
        <w:rPr>
          <w:lang w:val="fr-CH"/>
        </w:rPr>
        <w:t>paragraphe 1</w:t>
      </w:r>
      <w:r w:rsidR="00BD0E07" w:rsidRPr="00465AAB">
        <w:rPr>
          <w:lang w:val="fr-CH"/>
        </w:rPr>
        <w:t>7 du document</w:t>
      </w:r>
      <w:r w:rsidR="007F3DBD" w:rsidRPr="00465AAB">
        <w:rPr>
          <w:lang w:val="fr-CH"/>
        </w:rPr>
        <w:t> </w:t>
      </w:r>
      <w:r w:rsidR="00BD0E07" w:rsidRPr="00465AAB">
        <w:rPr>
          <w:lang w:val="fr-CH"/>
        </w:rPr>
        <w:t>TWP/5/7.</w:t>
      </w:r>
    </w:p>
    <w:p w:rsidR="00BF265D" w:rsidRPr="00465AAB" w:rsidRDefault="00BF265D" w:rsidP="007E2DFF">
      <w:pPr>
        <w:jc w:val="left"/>
        <w:rPr>
          <w:lang w:val="fr-CH"/>
        </w:rPr>
      </w:pPr>
    </w:p>
    <w:p w:rsidR="00BF265D" w:rsidRPr="00465AAB" w:rsidRDefault="00BF265D" w:rsidP="007E2DFF">
      <w:pPr>
        <w:ind w:left="567" w:hanging="567"/>
        <w:rPr>
          <w:lang w:val="fr-CH" w:eastAsia="ja-JP"/>
        </w:rPr>
      </w:pPr>
    </w:p>
    <w:p w:rsidR="00BF265D" w:rsidRPr="00465AAB" w:rsidRDefault="00BD0E07" w:rsidP="00BD0E07">
      <w:pPr>
        <w:pStyle w:val="Heading1"/>
        <w:rPr>
          <w:lang w:val="fr-CH"/>
        </w:rPr>
      </w:pPr>
      <w:bookmarkStart w:id="9" w:name="_Toc85447856"/>
      <w:r w:rsidRPr="00465AAB">
        <w:rPr>
          <w:lang w:val="fr-CH"/>
        </w:rPr>
        <w:t>Faits nouveaux survenus à la vingt</w:t>
      </w:r>
      <w:r w:rsidR="002D3995" w:rsidRPr="00465AAB">
        <w:rPr>
          <w:lang w:val="fr-CH"/>
        </w:rPr>
        <w:t>ième session</w:t>
      </w:r>
      <w:r w:rsidRPr="00465AAB">
        <w:rPr>
          <w:lang w:val="fr-CH"/>
        </w:rPr>
        <w:t xml:space="preserve"> du Groupe de travail sur les techniques biochimiques et moléculaires, notamment les profils d</w:t>
      </w:r>
      <w:r w:rsidR="002D3995" w:rsidRPr="00465AAB">
        <w:rPr>
          <w:lang w:val="fr-CH"/>
        </w:rPr>
        <w:t>’</w:t>
      </w:r>
      <w:r w:rsidRPr="00465AAB">
        <w:rPr>
          <w:lang w:val="fr-CH"/>
        </w:rPr>
        <w:t>ADN</w:t>
      </w:r>
      <w:bookmarkEnd w:id="9"/>
    </w:p>
    <w:p w:rsidR="00BF265D" w:rsidRPr="00465AAB" w:rsidRDefault="00BF265D" w:rsidP="007E2DFF">
      <w:pPr>
        <w:rPr>
          <w:lang w:val="fr-CH" w:eastAsia="ja-JP"/>
        </w:rPr>
      </w:pPr>
    </w:p>
    <w:p w:rsidR="002D3995" w:rsidRPr="00465AAB" w:rsidRDefault="007E2DFF" w:rsidP="00BD0E07">
      <w:pPr>
        <w:rPr>
          <w:lang w:val="fr-CH"/>
        </w:rPr>
      </w:pPr>
      <w:r w:rsidRPr="00465AAB">
        <w:fldChar w:fldCharType="begin"/>
      </w:r>
      <w:r w:rsidRPr="00465AAB">
        <w:rPr>
          <w:lang w:val="fr-CH"/>
        </w:rPr>
        <w:instrText xml:space="preserve"> AUTONUM  </w:instrText>
      </w:r>
      <w:r w:rsidRPr="00465AAB">
        <w:fldChar w:fldCharType="end"/>
      </w:r>
      <w:r w:rsidRPr="00465AAB">
        <w:rPr>
          <w:lang w:val="fr-CH"/>
        </w:rPr>
        <w:tab/>
      </w:r>
      <w:r w:rsidR="00BD0E07" w:rsidRPr="00465AAB">
        <w:rPr>
          <w:lang w:val="fr-CH"/>
        </w:rPr>
        <w:t>Le BMT a tenu sa vingt</w:t>
      </w:r>
      <w:r w:rsidR="002D3995" w:rsidRPr="00465AAB">
        <w:rPr>
          <w:lang w:val="fr-CH"/>
        </w:rPr>
        <w:t>ième session</w:t>
      </w:r>
      <w:r w:rsidR="00BD0E07" w:rsidRPr="00465AAB">
        <w:rPr>
          <w:lang w:val="fr-CH"/>
        </w:rPr>
        <w:t xml:space="preserve"> aux États</w:t>
      </w:r>
      <w:r w:rsidR="002D3995" w:rsidRPr="00465AAB">
        <w:rPr>
          <w:lang w:val="fr-CH"/>
        </w:rPr>
        <w:t>-</w:t>
      </w:r>
      <w:r w:rsidR="00BD0E07" w:rsidRPr="00465AAB">
        <w:rPr>
          <w:lang w:val="fr-CH"/>
        </w:rPr>
        <w:t>Unis d</w:t>
      </w:r>
      <w:r w:rsidR="002D3995" w:rsidRPr="00465AAB">
        <w:rPr>
          <w:lang w:val="fr-CH"/>
        </w:rPr>
        <w:t>’</w:t>
      </w:r>
      <w:r w:rsidR="00BD0E07" w:rsidRPr="00465AAB">
        <w:rPr>
          <w:lang w:val="fr-CH"/>
        </w:rPr>
        <w:t xml:space="preserve">Amérique </w:t>
      </w:r>
      <w:r w:rsidR="00B80441" w:rsidRPr="00465AAB">
        <w:rPr>
          <w:lang w:val="fr-CH"/>
        </w:rPr>
        <w:t xml:space="preserve">par voir électronique </w:t>
      </w:r>
      <w:r w:rsidR="00BD0E07" w:rsidRPr="00465AAB">
        <w:rPr>
          <w:lang w:val="fr-CH"/>
        </w:rPr>
        <w:t>du 22 au 2</w:t>
      </w:r>
      <w:r w:rsidR="002D3995" w:rsidRPr="00465AAB">
        <w:rPr>
          <w:lang w:val="fr-CH"/>
        </w:rPr>
        <w:t>4 septembre 20</w:t>
      </w:r>
      <w:r w:rsidR="00BD0E07" w:rsidRPr="00465AAB">
        <w:rPr>
          <w:lang w:val="fr-CH"/>
        </w:rPr>
        <w:t xml:space="preserve">21 (voir le </w:t>
      </w:r>
      <w:r w:rsidR="002D3995" w:rsidRPr="00465AAB">
        <w:rPr>
          <w:lang w:val="fr-CH"/>
        </w:rPr>
        <w:t>paragraphe 1</w:t>
      </w:r>
      <w:r w:rsidR="00BD0E07" w:rsidRPr="00465AAB">
        <w:rPr>
          <w:lang w:val="fr-CH"/>
        </w:rPr>
        <w:t xml:space="preserve"> du document</w:t>
      </w:r>
      <w:r w:rsidR="007F3DBD" w:rsidRPr="00465AAB">
        <w:rPr>
          <w:lang w:val="fr-CH"/>
        </w:rPr>
        <w:t> </w:t>
      </w:r>
      <w:r w:rsidR="00BD0E07" w:rsidRPr="00465AAB">
        <w:rPr>
          <w:lang w:val="fr-CH"/>
        </w:rPr>
        <w:t>BMT/20/12 “Report”).</w:t>
      </w:r>
    </w:p>
    <w:p w:rsidR="00BF265D" w:rsidRPr="00465AAB" w:rsidRDefault="00BF265D" w:rsidP="007E2DFF">
      <w:pPr>
        <w:rPr>
          <w:noProof/>
          <w:lang w:val="fr-CH" w:eastAsia="ja-JP"/>
        </w:rPr>
      </w:pPr>
    </w:p>
    <w:p w:rsidR="00BF265D" w:rsidRPr="00465AAB" w:rsidRDefault="00BD0E07" w:rsidP="00BD0E07">
      <w:pPr>
        <w:pStyle w:val="Heading2"/>
        <w:rPr>
          <w:lang w:val="fr-CH" w:eastAsia="ja-JP"/>
        </w:rPr>
      </w:pPr>
      <w:bookmarkStart w:id="10" w:name="_Toc85447857"/>
      <w:r w:rsidRPr="00465AAB">
        <w:rPr>
          <w:lang w:val="fr-CH" w:eastAsia="ja-JP"/>
        </w:rPr>
        <w:t>Documents présentés</w:t>
      </w:r>
      <w:bookmarkEnd w:id="10"/>
    </w:p>
    <w:p w:rsidR="00BF265D" w:rsidRPr="00465AAB" w:rsidRDefault="00BF265D" w:rsidP="007E2DFF">
      <w:pPr>
        <w:keepNext/>
        <w:rPr>
          <w:lang w:val="fr-CH"/>
        </w:rPr>
      </w:pPr>
    </w:p>
    <w:p w:rsidR="00BF265D" w:rsidRPr="00465AAB" w:rsidRDefault="007E2DFF" w:rsidP="00BD0E07">
      <w:pPr>
        <w:keepNext/>
        <w:rPr>
          <w:lang w:val="fr-CH"/>
        </w:rPr>
      </w:pPr>
      <w:r w:rsidRPr="00465AAB">
        <w:fldChar w:fldCharType="begin"/>
      </w:r>
      <w:r w:rsidRPr="00465AAB">
        <w:rPr>
          <w:lang w:val="fr-CH"/>
        </w:rPr>
        <w:instrText xml:space="preserve"> AUTONUM  </w:instrText>
      </w:r>
      <w:r w:rsidRPr="00465AAB">
        <w:fldChar w:fldCharType="end"/>
      </w:r>
      <w:r w:rsidRPr="00465AAB">
        <w:rPr>
          <w:lang w:val="fr-CH"/>
        </w:rPr>
        <w:tab/>
      </w:r>
      <w:r w:rsidR="00BD0E07" w:rsidRPr="00465AAB">
        <w:rPr>
          <w:lang w:val="fr-CH"/>
        </w:rPr>
        <w:t>Les documents présentés au titre des points de l</w:t>
      </w:r>
      <w:r w:rsidR="002D3995" w:rsidRPr="00465AAB">
        <w:rPr>
          <w:lang w:val="fr-CH"/>
        </w:rPr>
        <w:t>’</w:t>
      </w:r>
      <w:r w:rsidR="00BD0E07" w:rsidRPr="00465AAB">
        <w:rPr>
          <w:lang w:val="fr-CH"/>
        </w:rPr>
        <w:t>ordre du jour de la vingt</w:t>
      </w:r>
      <w:r w:rsidR="002D3995" w:rsidRPr="00465AAB">
        <w:rPr>
          <w:lang w:val="fr-CH"/>
        </w:rPr>
        <w:t>ième session du BMT</w:t>
      </w:r>
      <w:r w:rsidR="00BD0E07" w:rsidRPr="00465AAB">
        <w:rPr>
          <w:lang w:val="fr-CH"/>
        </w:rPr>
        <w:t xml:space="preserve"> sont les suivants</w:t>
      </w:r>
      <w:r w:rsidR="002D3995" w:rsidRPr="00465AAB">
        <w:rPr>
          <w:lang w:val="fr-CH"/>
        </w:rPr>
        <w:t> :</w:t>
      </w:r>
    </w:p>
    <w:p w:rsidR="00BF265D" w:rsidRPr="00465AAB" w:rsidRDefault="00BF265D" w:rsidP="007E2DFF">
      <w:pPr>
        <w:rPr>
          <w:snapToGrid w:val="0"/>
          <w:sz w:val="18"/>
          <w:lang w:val="fr-CH"/>
        </w:rPr>
      </w:pPr>
    </w:p>
    <w:p w:rsidR="002D3995" w:rsidRPr="00465AAB" w:rsidRDefault="00BD0E07" w:rsidP="00BD0E07">
      <w:pPr>
        <w:spacing w:after="120"/>
        <w:ind w:left="567"/>
        <w:rPr>
          <w:i/>
          <w:snapToGrid w:val="0"/>
          <w:lang w:val="fr-CH"/>
        </w:rPr>
      </w:pPr>
      <w:r w:rsidRPr="00465AAB">
        <w:rPr>
          <w:i/>
          <w:snapToGrid w:val="0"/>
          <w:lang w:val="fr-CH"/>
        </w:rPr>
        <w:t xml:space="preserve">Reports on </w:t>
      </w:r>
      <w:proofErr w:type="spellStart"/>
      <w:r w:rsidRPr="00465AAB">
        <w:rPr>
          <w:i/>
          <w:snapToGrid w:val="0"/>
          <w:lang w:val="fr-CH"/>
        </w:rPr>
        <w:t>developments</w:t>
      </w:r>
      <w:proofErr w:type="spellEnd"/>
      <w:r w:rsidRPr="00465AAB">
        <w:rPr>
          <w:i/>
          <w:snapToGrid w:val="0"/>
          <w:lang w:val="fr-CH"/>
        </w:rPr>
        <w:t xml:space="preserve"> in UPOV </w:t>
      </w:r>
      <w:proofErr w:type="spellStart"/>
      <w:r w:rsidRPr="00465AAB">
        <w:rPr>
          <w:i/>
          <w:snapToGrid w:val="0"/>
          <w:lang w:val="fr-CH"/>
        </w:rPr>
        <w:t>concerning</w:t>
      </w:r>
      <w:proofErr w:type="spellEnd"/>
      <w:r w:rsidRPr="00465AAB">
        <w:rPr>
          <w:i/>
          <w:snapToGrid w:val="0"/>
          <w:lang w:val="fr-CH"/>
        </w:rPr>
        <w:t xml:space="preserve"> </w:t>
      </w:r>
      <w:proofErr w:type="spellStart"/>
      <w:r w:rsidRPr="00465AAB">
        <w:rPr>
          <w:i/>
          <w:snapToGrid w:val="0"/>
          <w:lang w:val="fr-CH"/>
        </w:rPr>
        <w:t>biochemical</w:t>
      </w:r>
      <w:proofErr w:type="spellEnd"/>
      <w:r w:rsidRPr="00465AAB">
        <w:rPr>
          <w:i/>
          <w:snapToGrid w:val="0"/>
          <w:lang w:val="fr-CH"/>
        </w:rPr>
        <w:t xml:space="preserve"> and </w:t>
      </w:r>
      <w:proofErr w:type="spellStart"/>
      <w:r w:rsidRPr="00465AAB">
        <w:rPr>
          <w:i/>
          <w:snapToGrid w:val="0"/>
          <w:lang w:val="fr-CH"/>
        </w:rPr>
        <w:t>molecular</w:t>
      </w:r>
      <w:proofErr w:type="spellEnd"/>
      <w:r w:rsidRPr="00465AAB">
        <w:rPr>
          <w:i/>
          <w:snapToGrid w:val="0"/>
          <w:lang w:val="fr-CH"/>
        </w:rPr>
        <w:t xml:space="preserve"> techniques (</w:t>
      </w:r>
      <w:r w:rsidR="00D63810" w:rsidRPr="00465AAB">
        <w:rPr>
          <w:i/>
          <w:snapToGrid w:val="0"/>
          <w:lang w:val="fr-CH"/>
        </w:rPr>
        <w:t>Rapports sur les faits nouveaux intervenus au sein de</w:t>
      </w:r>
      <w:r w:rsidRPr="00465AAB">
        <w:rPr>
          <w:i/>
          <w:snapToGrid w:val="0"/>
          <w:lang w:val="fr-CH"/>
        </w:rPr>
        <w:t xml:space="preserve"> l</w:t>
      </w:r>
      <w:r w:rsidR="002D3995" w:rsidRPr="00465AAB">
        <w:rPr>
          <w:i/>
          <w:snapToGrid w:val="0"/>
          <w:lang w:val="fr-CH"/>
        </w:rPr>
        <w:t>’</w:t>
      </w:r>
      <w:r w:rsidRPr="00465AAB">
        <w:rPr>
          <w:i/>
          <w:snapToGrid w:val="0"/>
          <w:lang w:val="fr-CH"/>
        </w:rPr>
        <w:t>UPOV concernant l</w:t>
      </w:r>
      <w:r w:rsidR="002D3995" w:rsidRPr="00465AAB">
        <w:rPr>
          <w:i/>
          <w:snapToGrid w:val="0"/>
          <w:lang w:val="fr-CH"/>
        </w:rPr>
        <w:t>’</w:t>
      </w:r>
      <w:r w:rsidRPr="00465AAB">
        <w:rPr>
          <w:i/>
          <w:snapToGrid w:val="0"/>
          <w:lang w:val="fr-CH"/>
        </w:rPr>
        <w:t>application des techniques biochimiques et moléculaires</w:t>
      </w:r>
      <w:r w:rsidR="0012402B" w:rsidRPr="00465AAB">
        <w:rPr>
          <w:i/>
          <w:snapToGrid w:val="0"/>
          <w:lang w:val="fr-CH"/>
        </w:rPr>
        <w:t>)</w:t>
      </w:r>
      <w:r w:rsidRPr="00465AAB">
        <w:rPr>
          <w:i/>
          <w:snapToGrid w:val="0"/>
          <w:lang w:val="fr-CH"/>
        </w:rPr>
        <w:t xml:space="preserve"> (document</w:t>
      </w:r>
      <w:r w:rsidR="007F3DBD" w:rsidRPr="00465AAB">
        <w:rPr>
          <w:i/>
          <w:snapToGrid w:val="0"/>
          <w:lang w:val="fr-CH"/>
        </w:rPr>
        <w:t> </w:t>
      </w:r>
      <w:r w:rsidR="0012402B" w:rsidRPr="00465AAB">
        <w:rPr>
          <w:i/>
          <w:snapToGrid w:val="0"/>
          <w:lang w:val="fr-CH"/>
        </w:rPr>
        <w:t>BMT/20/2)</w:t>
      </w:r>
    </w:p>
    <w:p w:rsidR="002D3995" w:rsidRPr="00465AAB" w:rsidRDefault="00BD0E07" w:rsidP="00BD0E07">
      <w:pPr>
        <w:spacing w:after="120"/>
        <w:ind w:left="567"/>
        <w:rPr>
          <w:i/>
          <w:snapToGrid w:val="0"/>
          <w:lang w:val="fr-CH"/>
        </w:rPr>
      </w:pPr>
      <w:r w:rsidRPr="00465AAB">
        <w:rPr>
          <w:i/>
          <w:snapToGrid w:val="0"/>
          <w:lang w:val="fr-CH"/>
        </w:rPr>
        <w:t>Exposés succincts sur les faits nouveaux en matière de techniques biochimiques et moléculaires, présentés par les spécialistes de l</w:t>
      </w:r>
      <w:r w:rsidR="002D3995" w:rsidRPr="00465AAB">
        <w:rPr>
          <w:i/>
          <w:snapToGrid w:val="0"/>
          <w:lang w:val="fr-CH"/>
        </w:rPr>
        <w:t>’</w:t>
      </w:r>
      <w:r w:rsidRPr="00465AAB">
        <w:rPr>
          <w:i/>
          <w:snapToGrid w:val="0"/>
          <w:lang w:val="fr-CH"/>
        </w:rPr>
        <w:t>examen</w:t>
      </w:r>
      <w:r w:rsidR="00F53B5E" w:rsidRPr="00465AAB">
        <w:rPr>
          <w:i/>
          <w:snapToGrid w:val="0"/>
          <w:lang w:val="fr-CH"/>
        </w:rPr>
        <w:t> </w:t>
      </w:r>
      <w:r w:rsidRPr="00465AAB">
        <w:rPr>
          <w:i/>
          <w:snapToGrid w:val="0"/>
          <w:lang w:val="fr-CH"/>
        </w:rPr>
        <w:t>DHS, des spécialistes des techniques biochimiques et moléculaires, des obtenteurs et les organisations internationales concernées (rapports verbaux des participants)</w:t>
      </w:r>
    </w:p>
    <w:p w:rsidR="00BF265D" w:rsidRPr="00465AAB" w:rsidRDefault="00BD0E07" w:rsidP="00BD0E07">
      <w:pPr>
        <w:spacing w:after="120"/>
        <w:ind w:left="567" w:hanging="5"/>
        <w:rPr>
          <w:i/>
          <w:snapToGrid w:val="0"/>
          <w:lang w:val="fr-CH"/>
        </w:rPr>
      </w:pPr>
      <w:r w:rsidRPr="00465AAB">
        <w:rPr>
          <w:i/>
          <w:snapToGrid w:val="0"/>
          <w:lang w:val="fr-CH"/>
        </w:rPr>
        <w:t>Compte rendu des travaux sur l</w:t>
      </w:r>
      <w:r w:rsidR="002D3995" w:rsidRPr="00465AAB">
        <w:rPr>
          <w:i/>
          <w:snapToGrid w:val="0"/>
          <w:lang w:val="fr-CH"/>
        </w:rPr>
        <w:t>’</w:t>
      </w:r>
      <w:r w:rsidRPr="00465AAB">
        <w:rPr>
          <w:i/>
          <w:snapToGrid w:val="0"/>
          <w:lang w:val="fr-CH"/>
        </w:rPr>
        <w:t>utilisation des techniques moléculaires dans le cadre de l</w:t>
      </w:r>
      <w:r w:rsidR="002D3995" w:rsidRPr="00465AAB">
        <w:rPr>
          <w:i/>
          <w:snapToGrid w:val="0"/>
          <w:lang w:val="fr-CH"/>
        </w:rPr>
        <w:t>’</w:t>
      </w:r>
      <w:r w:rsidRPr="00465AAB">
        <w:rPr>
          <w:i/>
          <w:snapToGrid w:val="0"/>
          <w:lang w:val="fr-CH"/>
        </w:rPr>
        <w:t>examen</w:t>
      </w:r>
      <w:r w:rsidR="00F53B5E" w:rsidRPr="00465AAB">
        <w:rPr>
          <w:i/>
          <w:snapToGrid w:val="0"/>
          <w:lang w:val="fr-CH"/>
        </w:rPr>
        <w:t> </w:t>
      </w:r>
      <w:r w:rsidRPr="00465AAB">
        <w:rPr>
          <w:i/>
          <w:snapToGrid w:val="0"/>
          <w:lang w:val="fr-CH"/>
        </w:rPr>
        <w:t>DHS</w:t>
      </w:r>
    </w:p>
    <w:p w:rsidR="00BF265D" w:rsidRPr="00465AAB" w:rsidRDefault="00BD0E07" w:rsidP="00BD0E07">
      <w:pPr>
        <w:pStyle w:val="ListParagraph"/>
        <w:spacing w:after="120"/>
        <w:ind w:left="922"/>
        <w:rPr>
          <w:rFonts w:cs="Arial"/>
          <w:i/>
          <w:shd w:val="clear" w:color="auto" w:fill="FFFFFF"/>
          <w:lang w:val="fr-FR"/>
        </w:rPr>
      </w:pPr>
      <w:proofErr w:type="gramStart"/>
      <w:r w:rsidRPr="00465AAB">
        <w:rPr>
          <w:rFonts w:cs="Arial"/>
          <w:i/>
          <w:shd w:val="clear" w:color="auto" w:fill="FFFFFF"/>
          <w:lang w:val="fr-FR"/>
        </w:rPr>
        <w:t>Update on</w:t>
      </w:r>
      <w:proofErr w:type="gramEnd"/>
      <w:r w:rsidRPr="00465AAB">
        <w:rPr>
          <w:rFonts w:cs="Arial"/>
          <w:i/>
          <w:shd w:val="clear" w:color="auto" w:fill="FFFFFF"/>
          <w:lang w:val="fr-FR"/>
        </w:rPr>
        <w:t xml:space="preserve"> IMODDUS </w:t>
      </w:r>
      <w:proofErr w:type="spellStart"/>
      <w:r w:rsidRPr="00465AAB">
        <w:rPr>
          <w:rFonts w:cs="Arial"/>
          <w:i/>
          <w:shd w:val="clear" w:color="auto" w:fill="FFFFFF"/>
          <w:lang w:val="fr-FR"/>
        </w:rPr>
        <w:t>activities</w:t>
      </w:r>
      <w:proofErr w:type="spellEnd"/>
      <w:r w:rsidRPr="00465AAB">
        <w:rPr>
          <w:rFonts w:cs="Arial"/>
          <w:i/>
          <w:shd w:val="clear" w:color="auto" w:fill="FFFFFF"/>
          <w:lang w:val="fr-FR"/>
        </w:rPr>
        <w:t xml:space="preserve"> (Informations sur les activités d</w:t>
      </w:r>
      <w:r w:rsidR="002D3995" w:rsidRPr="00465AAB">
        <w:rPr>
          <w:rFonts w:cs="Arial"/>
          <w:i/>
          <w:shd w:val="clear" w:color="auto" w:fill="FFFFFF"/>
          <w:lang w:val="fr-FR"/>
        </w:rPr>
        <w:t>’</w:t>
      </w:r>
      <w:r w:rsidRPr="00465AAB">
        <w:rPr>
          <w:rFonts w:cs="Arial"/>
          <w:i/>
          <w:shd w:val="clear" w:color="auto" w:fill="FFFFFF"/>
          <w:lang w:val="fr-FR"/>
        </w:rPr>
        <w:t>IMODDUS) (document</w:t>
      </w:r>
      <w:r w:rsidR="007F3DBD" w:rsidRPr="00465AAB">
        <w:rPr>
          <w:rFonts w:cs="Arial"/>
          <w:i/>
          <w:shd w:val="clear" w:color="auto" w:fill="FFFFFF"/>
          <w:lang w:val="fr-FR"/>
        </w:rPr>
        <w:t> </w:t>
      </w:r>
      <w:r w:rsidRPr="00465AAB">
        <w:rPr>
          <w:rFonts w:cs="Arial"/>
          <w:i/>
          <w:shd w:val="clear" w:color="auto" w:fill="FFFFFF"/>
          <w:lang w:val="fr-FR"/>
        </w:rPr>
        <w:t>BMT/20/7)</w:t>
      </w:r>
    </w:p>
    <w:p w:rsidR="00BF265D" w:rsidRPr="00465AAB" w:rsidRDefault="00BF265D" w:rsidP="007E2DFF">
      <w:pPr>
        <w:pStyle w:val="ListParagraph"/>
        <w:spacing w:after="120"/>
        <w:ind w:left="922"/>
        <w:rPr>
          <w:rFonts w:eastAsiaTheme="minorEastAsia"/>
          <w:i/>
          <w:strike/>
          <w:snapToGrid w:val="0"/>
          <w:lang w:val="fr-FR" w:eastAsia="ja-JP"/>
        </w:rPr>
      </w:pPr>
    </w:p>
    <w:p w:rsidR="00BF265D" w:rsidRPr="00465AAB" w:rsidRDefault="00B80441" w:rsidP="00D63810">
      <w:pPr>
        <w:pStyle w:val="ListParagraph"/>
        <w:spacing w:after="120"/>
        <w:ind w:left="922"/>
        <w:rPr>
          <w:rFonts w:cs="Arial"/>
          <w:i/>
          <w:shd w:val="clear" w:color="auto" w:fill="FFFFFF"/>
          <w:lang w:val="fr-CH"/>
        </w:rPr>
      </w:pPr>
      <w:r w:rsidRPr="00465AAB">
        <w:rPr>
          <w:i/>
          <w:lang w:val="fr-CH"/>
        </w:rPr>
        <w:t xml:space="preserve">Identifying </w:t>
      </w:r>
      <w:proofErr w:type="spellStart"/>
      <w:r w:rsidRPr="00465AAB">
        <w:rPr>
          <w:i/>
          <w:lang w:val="fr-CH"/>
        </w:rPr>
        <w:t>levels</w:t>
      </w:r>
      <w:proofErr w:type="spellEnd"/>
      <w:r w:rsidRPr="00465AAB">
        <w:rPr>
          <w:i/>
          <w:lang w:val="fr-CH"/>
        </w:rPr>
        <w:t xml:space="preserve"> of </w:t>
      </w:r>
      <w:proofErr w:type="spellStart"/>
      <w:r w:rsidRPr="00465AAB">
        <w:rPr>
          <w:i/>
          <w:lang w:val="fr-CH"/>
        </w:rPr>
        <w:t>diversity</w:t>
      </w:r>
      <w:proofErr w:type="spellEnd"/>
      <w:r w:rsidRPr="00465AAB">
        <w:rPr>
          <w:i/>
          <w:lang w:val="fr-CH"/>
        </w:rPr>
        <w:t xml:space="preserve"> and </w:t>
      </w:r>
      <w:proofErr w:type="spellStart"/>
      <w:r w:rsidRPr="00465AAB">
        <w:rPr>
          <w:i/>
          <w:lang w:val="fr-CH"/>
        </w:rPr>
        <w:t>developing</w:t>
      </w:r>
      <w:proofErr w:type="spellEnd"/>
      <w:r w:rsidRPr="00465AAB">
        <w:rPr>
          <w:i/>
          <w:lang w:val="fr-CH"/>
        </w:rPr>
        <w:t xml:space="preserve"> markers to </w:t>
      </w:r>
      <w:proofErr w:type="spellStart"/>
      <w:r w:rsidRPr="00465AAB">
        <w:rPr>
          <w:i/>
          <w:lang w:val="fr-CH"/>
        </w:rPr>
        <w:t>assist</w:t>
      </w:r>
      <w:proofErr w:type="spellEnd"/>
      <w:r w:rsidRPr="00465AAB">
        <w:rPr>
          <w:i/>
          <w:lang w:val="fr-CH"/>
        </w:rPr>
        <w:t xml:space="preserve"> in </w:t>
      </w:r>
      <w:proofErr w:type="spellStart"/>
      <w:r w:rsidRPr="00465AAB">
        <w:rPr>
          <w:i/>
          <w:lang w:val="fr-CH"/>
        </w:rPr>
        <w:t>managing</w:t>
      </w:r>
      <w:proofErr w:type="spellEnd"/>
      <w:r w:rsidRPr="00465AAB">
        <w:rPr>
          <w:i/>
          <w:lang w:val="fr-CH"/>
        </w:rPr>
        <w:t xml:space="preserve"> the DUS </w:t>
      </w:r>
      <w:proofErr w:type="spellStart"/>
      <w:r w:rsidRPr="00465AAB">
        <w:rPr>
          <w:i/>
          <w:lang w:val="fr-CH"/>
        </w:rPr>
        <w:t>reference</w:t>
      </w:r>
      <w:proofErr w:type="spellEnd"/>
      <w:r w:rsidRPr="00465AAB">
        <w:rPr>
          <w:i/>
          <w:lang w:val="fr-CH"/>
        </w:rPr>
        <w:t xml:space="preserve"> collection of </w:t>
      </w:r>
      <w:proofErr w:type="spellStart"/>
      <w:r w:rsidRPr="00465AAB">
        <w:rPr>
          <w:i/>
          <w:lang w:val="fr-CH"/>
        </w:rPr>
        <w:t>field</w:t>
      </w:r>
      <w:proofErr w:type="spellEnd"/>
      <w:r w:rsidRPr="00465AAB">
        <w:rPr>
          <w:i/>
          <w:lang w:val="fr-CH"/>
        </w:rPr>
        <w:t xml:space="preserve"> </w:t>
      </w:r>
      <w:proofErr w:type="spellStart"/>
      <w:r w:rsidRPr="00465AAB">
        <w:rPr>
          <w:i/>
          <w:lang w:val="fr-CH"/>
        </w:rPr>
        <w:t>beans</w:t>
      </w:r>
      <w:proofErr w:type="spellEnd"/>
      <w:r w:rsidRPr="00465AAB">
        <w:rPr>
          <w:i/>
          <w:lang w:val="fr-CH"/>
        </w:rPr>
        <w:t xml:space="preserve"> (Vicia </w:t>
      </w:r>
      <w:proofErr w:type="spellStart"/>
      <w:r w:rsidRPr="00465AAB">
        <w:rPr>
          <w:i/>
          <w:lang w:val="fr-CH"/>
        </w:rPr>
        <w:t>faba</w:t>
      </w:r>
      <w:proofErr w:type="spellEnd"/>
      <w:r w:rsidRPr="00465AAB">
        <w:rPr>
          <w:i/>
          <w:lang w:val="fr-CH"/>
        </w:rPr>
        <w:t>) (</w:t>
      </w:r>
      <w:r w:rsidR="00D63810" w:rsidRPr="00465AAB">
        <w:rPr>
          <w:rFonts w:cs="Arial"/>
          <w:i/>
          <w:shd w:val="clear" w:color="auto" w:fill="FFFFFF"/>
          <w:lang w:val="fr-CH"/>
        </w:rPr>
        <w:t xml:space="preserve">Identification des niveaux de diversité et mise au point de marqueurs pour faciliter la gestion de la collection de référence DHS de féveroles (Vicia </w:t>
      </w:r>
      <w:proofErr w:type="spellStart"/>
      <w:r w:rsidR="00D63810" w:rsidRPr="00465AAB">
        <w:rPr>
          <w:rFonts w:cs="Arial"/>
          <w:i/>
          <w:shd w:val="clear" w:color="auto" w:fill="FFFFFF"/>
          <w:lang w:val="fr-CH"/>
        </w:rPr>
        <w:t>faba</w:t>
      </w:r>
      <w:proofErr w:type="spellEnd"/>
      <w:r w:rsidR="00D63810" w:rsidRPr="00465AAB">
        <w:rPr>
          <w:rFonts w:cs="Arial"/>
          <w:i/>
          <w:shd w:val="clear" w:color="auto" w:fill="FFFFFF"/>
          <w:lang w:val="fr-CH"/>
        </w:rPr>
        <w:t>)</w:t>
      </w:r>
      <w:r w:rsidRPr="00465AAB">
        <w:rPr>
          <w:rFonts w:cs="Arial"/>
          <w:i/>
          <w:shd w:val="clear" w:color="auto" w:fill="FFFFFF"/>
          <w:lang w:val="fr-CH"/>
        </w:rPr>
        <w:t>)</w:t>
      </w:r>
      <w:r w:rsidR="00D63810" w:rsidRPr="00465AAB">
        <w:rPr>
          <w:rFonts w:cs="Arial"/>
          <w:i/>
          <w:shd w:val="clear" w:color="auto" w:fill="FFFFFF"/>
          <w:lang w:val="fr-CH"/>
        </w:rPr>
        <w:t xml:space="preserve"> (document</w:t>
      </w:r>
      <w:r w:rsidR="00465AAB">
        <w:rPr>
          <w:rFonts w:cs="Arial"/>
          <w:i/>
          <w:shd w:val="clear" w:color="auto" w:fill="FFFFFF"/>
          <w:lang w:val="fr-CH"/>
        </w:rPr>
        <w:t> </w:t>
      </w:r>
      <w:r w:rsidR="00D63810" w:rsidRPr="00465AAB">
        <w:rPr>
          <w:rFonts w:cs="Arial"/>
          <w:i/>
          <w:shd w:val="clear" w:color="auto" w:fill="FFFFFF"/>
          <w:lang w:val="fr-CH"/>
        </w:rPr>
        <w:t>BMT/20/8)</w:t>
      </w:r>
    </w:p>
    <w:p w:rsidR="00BF265D" w:rsidRPr="00465AAB" w:rsidRDefault="00BF265D" w:rsidP="007E2DFF">
      <w:pPr>
        <w:pStyle w:val="ListParagraph"/>
        <w:spacing w:after="120"/>
        <w:ind w:left="922"/>
        <w:rPr>
          <w:rFonts w:eastAsiaTheme="minorEastAsia"/>
          <w:i/>
          <w:strike/>
          <w:snapToGrid w:val="0"/>
          <w:lang w:val="fr-CH" w:eastAsia="ja-JP"/>
        </w:rPr>
      </w:pPr>
    </w:p>
    <w:p w:rsidR="00BF265D" w:rsidRPr="00465AAB" w:rsidRDefault="00B80441" w:rsidP="00D63810">
      <w:pPr>
        <w:pStyle w:val="ListParagraph"/>
        <w:spacing w:after="120"/>
        <w:ind w:left="922"/>
        <w:rPr>
          <w:rFonts w:eastAsiaTheme="minorEastAsia"/>
          <w:i/>
          <w:snapToGrid w:val="0"/>
          <w:lang w:val="fr-CH" w:eastAsia="ja-JP"/>
        </w:rPr>
      </w:pPr>
      <w:proofErr w:type="spellStart"/>
      <w:r w:rsidRPr="00465AAB">
        <w:rPr>
          <w:i/>
          <w:lang w:val="fr-CH"/>
        </w:rPr>
        <w:t>Developing</w:t>
      </w:r>
      <w:proofErr w:type="spellEnd"/>
      <w:r w:rsidRPr="00465AAB">
        <w:rPr>
          <w:i/>
          <w:lang w:val="fr-CH"/>
        </w:rPr>
        <w:t xml:space="preserve"> a </w:t>
      </w:r>
      <w:proofErr w:type="spellStart"/>
      <w:r w:rsidRPr="00465AAB">
        <w:rPr>
          <w:i/>
          <w:lang w:val="fr-CH"/>
        </w:rPr>
        <w:t>strategy</w:t>
      </w:r>
      <w:proofErr w:type="spellEnd"/>
      <w:r w:rsidRPr="00465AAB">
        <w:rPr>
          <w:i/>
          <w:lang w:val="fr-CH"/>
        </w:rPr>
        <w:t xml:space="preserve"> to </w:t>
      </w:r>
      <w:proofErr w:type="spellStart"/>
      <w:r w:rsidRPr="00465AAB">
        <w:rPr>
          <w:i/>
          <w:lang w:val="fr-CH"/>
        </w:rPr>
        <w:t>apply</w:t>
      </w:r>
      <w:proofErr w:type="spellEnd"/>
      <w:r w:rsidRPr="00465AAB">
        <w:rPr>
          <w:i/>
          <w:lang w:val="fr-CH"/>
        </w:rPr>
        <w:t xml:space="preserve"> SNP </w:t>
      </w:r>
      <w:proofErr w:type="spellStart"/>
      <w:r w:rsidRPr="00465AAB">
        <w:rPr>
          <w:i/>
          <w:lang w:val="fr-CH"/>
        </w:rPr>
        <w:t>molecular</w:t>
      </w:r>
      <w:proofErr w:type="spellEnd"/>
      <w:r w:rsidRPr="00465AAB">
        <w:rPr>
          <w:i/>
          <w:lang w:val="fr-CH"/>
        </w:rPr>
        <w:t xml:space="preserve"> markers in the </w:t>
      </w:r>
      <w:proofErr w:type="spellStart"/>
      <w:r w:rsidRPr="00465AAB">
        <w:rPr>
          <w:i/>
          <w:lang w:val="fr-CH"/>
        </w:rPr>
        <w:t>framework</w:t>
      </w:r>
      <w:proofErr w:type="spellEnd"/>
      <w:r w:rsidRPr="00465AAB">
        <w:rPr>
          <w:i/>
          <w:lang w:val="fr-CH"/>
        </w:rPr>
        <w:t xml:space="preserve"> of </w:t>
      </w:r>
      <w:proofErr w:type="spellStart"/>
      <w:r w:rsidRPr="00465AAB">
        <w:rPr>
          <w:i/>
          <w:lang w:val="fr-CH"/>
        </w:rPr>
        <w:t>winter</w:t>
      </w:r>
      <w:proofErr w:type="spellEnd"/>
      <w:r w:rsidRPr="00465AAB">
        <w:rPr>
          <w:i/>
          <w:lang w:val="fr-CH"/>
        </w:rPr>
        <w:t xml:space="preserve"> </w:t>
      </w:r>
      <w:proofErr w:type="spellStart"/>
      <w:r w:rsidRPr="00465AAB">
        <w:rPr>
          <w:i/>
          <w:lang w:val="fr-CH"/>
        </w:rPr>
        <w:t>oilseed</w:t>
      </w:r>
      <w:proofErr w:type="spellEnd"/>
      <w:r w:rsidRPr="00465AAB">
        <w:rPr>
          <w:i/>
          <w:lang w:val="fr-CH"/>
        </w:rPr>
        <w:t xml:space="preserve"> </w:t>
      </w:r>
      <w:proofErr w:type="spellStart"/>
      <w:r w:rsidRPr="00465AAB">
        <w:rPr>
          <w:i/>
          <w:lang w:val="fr-CH"/>
        </w:rPr>
        <w:t>rape</w:t>
      </w:r>
      <w:proofErr w:type="spellEnd"/>
      <w:r w:rsidRPr="00465AAB">
        <w:rPr>
          <w:i/>
          <w:lang w:val="fr-CH"/>
        </w:rPr>
        <w:t xml:space="preserve"> DUS </w:t>
      </w:r>
      <w:proofErr w:type="spellStart"/>
      <w:r w:rsidRPr="00465AAB">
        <w:rPr>
          <w:i/>
          <w:lang w:val="fr-CH"/>
        </w:rPr>
        <w:t>testing</w:t>
      </w:r>
      <w:proofErr w:type="spellEnd"/>
      <w:r w:rsidRPr="00465AAB">
        <w:rPr>
          <w:i/>
          <w:lang w:val="fr-CH"/>
        </w:rPr>
        <w:t xml:space="preserve"> </w:t>
      </w:r>
      <w:r w:rsidRPr="00465AAB">
        <w:rPr>
          <w:rFonts w:eastAsiaTheme="minorEastAsia"/>
          <w:i/>
          <w:snapToGrid w:val="0"/>
          <w:lang w:val="fr-CH" w:eastAsia="ja-JP"/>
        </w:rPr>
        <w:t>(</w:t>
      </w:r>
      <w:r w:rsidR="00D63810" w:rsidRPr="00465AAB">
        <w:rPr>
          <w:rFonts w:eastAsiaTheme="minorEastAsia"/>
          <w:i/>
          <w:snapToGrid w:val="0"/>
          <w:lang w:val="fr-CH" w:eastAsia="ja-JP"/>
        </w:rPr>
        <w:t>Élaboration d</w:t>
      </w:r>
      <w:r w:rsidR="002D3995" w:rsidRPr="00465AAB">
        <w:rPr>
          <w:rFonts w:eastAsiaTheme="minorEastAsia"/>
          <w:i/>
          <w:snapToGrid w:val="0"/>
          <w:lang w:val="fr-CH" w:eastAsia="ja-JP"/>
        </w:rPr>
        <w:t>’</w:t>
      </w:r>
      <w:r w:rsidR="00D63810" w:rsidRPr="00465AAB">
        <w:rPr>
          <w:rFonts w:eastAsiaTheme="minorEastAsia"/>
          <w:i/>
          <w:snapToGrid w:val="0"/>
          <w:lang w:val="fr-CH" w:eastAsia="ja-JP"/>
        </w:rPr>
        <w:t>une stratégie relative à l</w:t>
      </w:r>
      <w:r w:rsidR="002D3995" w:rsidRPr="00465AAB">
        <w:rPr>
          <w:rFonts w:eastAsiaTheme="minorEastAsia"/>
          <w:i/>
          <w:snapToGrid w:val="0"/>
          <w:lang w:val="fr-CH" w:eastAsia="ja-JP"/>
        </w:rPr>
        <w:t>’</w:t>
      </w:r>
      <w:r w:rsidR="00D63810" w:rsidRPr="00465AAB">
        <w:rPr>
          <w:rFonts w:eastAsiaTheme="minorEastAsia"/>
          <w:i/>
          <w:snapToGrid w:val="0"/>
          <w:lang w:val="fr-CH" w:eastAsia="ja-JP"/>
        </w:rPr>
        <w:t>application de marqueurs moléculaires de type SNP dans le cadre de l</w:t>
      </w:r>
      <w:r w:rsidR="002D3995" w:rsidRPr="00465AAB">
        <w:rPr>
          <w:rFonts w:eastAsiaTheme="minorEastAsia"/>
          <w:i/>
          <w:snapToGrid w:val="0"/>
          <w:lang w:val="fr-CH" w:eastAsia="ja-JP"/>
        </w:rPr>
        <w:t>’</w:t>
      </w:r>
      <w:r w:rsidR="00D63810" w:rsidRPr="00465AAB">
        <w:rPr>
          <w:rFonts w:eastAsiaTheme="minorEastAsia"/>
          <w:i/>
          <w:snapToGrid w:val="0"/>
          <w:lang w:val="fr-CH" w:eastAsia="ja-JP"/>
        </w:rPr>
        <w:t>examen</w:t>
      </w:r>
      <w:r w:rsidR="00F53B5E" w:rsidRPr="00465AAB">
        <w:rPr>
          <w:rFonts w:eastAsiaTheme="minorEastAsia"/>
          <w:i/>
          <w:snapToGrid w:val="0"/>
          <w:lang w:val="fr-CH" w:eastAsia="ja-JP"/>
        </w:rPr>
        <w:t> </w:t>
      </w:r>
      <w:r w:rsidR="00D63810" w:rsidRPr="00465AAB">
        <w:rPr>
          <w:rFonts w:eastAsiaTheme="minorEastAsia"/>
          <w:i/>
          <w:snapToGrid w:val="0"/>
          <w:lang w:val="fr-CH" w:eastAsia="ja-JP"/>
        </w:rPr>
        <w:t>DHS du colza oléagineux d</w:t>
      </w:r>
      <w:r w:rsidR="002D3995" w:rsidRPr="00465AAB">
        <w:rPr>
          <w:rFonts w:eastAsiaTheme="minorEastAsia"/>
          <w:i/>
          <w:snapToGrid w:val="0"/>
          <w:lang w:val="fr-CH" w:eastAsia="ja-JP"/>
        </w:rPr>
        <w:t>’</w:t>
      </w:r>
      <w:r w:rsidR="00D63810" w:rsidRPr="00465AAB">
        <w:rPr>
          <w:rFonts w:eastAsiaTheme="minorEastAsia"/>
          <w:i/>
          <w:snapToGrid w:val="0"/>
          <w:lang w:val="fr-CH" w:eastAsia="ja-JP"/>
        </w:rPr>
        <w:t>hiver</w:t>
      </w:r>
      <w:r w:rsidRPr="00465AAB">
        <w:rPr>
          <w:rFonts w:eastAsiaTheme="minorEastAsia"/>
          <w:i/>
          <w:snapToGrid w:val="0"/>
          <w:lang w:val="fr-CH" w:eastAsia="ja-JP"/>
        </w:rPr>
        <w:t>)</w:t>
      </w:r>
      <w:r w:rsidR="00D63810" w:rsidRPr="00465AAB">
        <w:rPr>
          <w:rFonts w:eastAsiaTheme="minorEastAsia"/>
          <w:snapToGrid w:val="0"/>
          <w:lang w:val="fr-CH" w:eastAsia="ja-JP"/>
        </w:rPr>
        <w:t xml:space="preserve"> </w:t>
      </w:r>
      <w:r w:rsidR="00D63810" w:rsidRPr="00465AAB">
        <w:rPr>
          <w:rFonts w:eastAsiaTheme="minorEastAsia"/>
          <w:i/>
          <w:snapToGrid w:val="0"/>
          <w:lang w:val="fr-CH" w:eastAsia="ja-JP"/>
        </w:rPr>
        <w:t>(document</w:t>
      </w:r>
      <w:r w:rsidR="007F3DBD" w:rsidRPr="00465AAB">
        <w:rPr>
          <w:rFonts w:eastAsiaTheme="minorEastAsia"/>
          <w:i/>
          <w:snapToGrid w:val="0"/>
          <w:lang w:val="fr-CH" w:eastAsia="ja-JP"/>
        </w:rPr>
        <w:t> </w:t>
      </w:r>
      <w:r w:rsidR="00D63810" w:rsidRPr="00465AAB">
        <w:rPr>
          <w:rFonts w:eastAsiaTheme="minorEastAsia"/>
          <w:i/>
          <w:snapToGrid w:val="0"/>
          <w:lang w:val="fr-CH" w:eastAsia="ja-JP"/>
        </w:rPr>
        <w:t>BMT/20/9)</w:t>
      </w:r>
    </w:p>
    <w:p w:rsidR="00BF265D" w:rsidRPr="00465AAB" w:rsidRDefault="000C7B8B" w:rsidP="000C7B8B">
      <w:pPr>
        <w:spacing w:after="120"/>
        <w:ind w:left="567"/>
        <w:rPr>
          <w:rFonts w:eastAsia="MS Mincho"/>
          <w:i/>
          <w:snapToGrid w:val="0"/>
          <w:lang w:val="fr-CH"/>
        </w:rPr>
      </w:pPr>
      <w:r w:rsidRPr="00465AAB">
        <w:rPr>
          <w:rFonts w:eastAsia="MS Mincho"/>
          <w:i/>
          <w:snapToGrid w:val="0"/>
          <w:lang w:val="fr-CH"/>
        </w:rPr>
        <w:t>Révision du document</w:t>
      </w:r>
      <w:r w:rsidR="007F3DBD" w:rsidRPr="00465AAB">
        <w:rPr>
          <w:rFonts w:eastAsia="MS Mincho"/>
          <w:i/>
          <w:snapToGrid w:val="0"/>
          <w:lang w:val="fr-CH"/>
        </w:rPr>
        <w:t> </w:t>
      </w:r>
      <w:r w:rsidRPr="00465AAB">
        <w:rPr>
          <w:rFonts w:eastAsia="MS Mincho"/>
          <w:i/>
          <w:snapToGrid w:val="0"/>
          <w:lang w:val="fr-CH"/>
        </w:rPr>
        <w:t>UPOV/INF/17 “Directives concernant les profils d</w:t>
      </w:r>
      <w:r w:rsidR="002D3995" w:rsidRPr="00465AAB">
        <w:rPr>
          <w:rFonts w:eastAsia="MS Mincho"/>
          <w:i/>
          <w:snapToGrid w:val="0"/>
          <w:lang w:val="fr-CH"/>
        </w:rPr>
        <w:t>’</w:t>
      </w:r>
      <w:r w:rsidRPr="00465AAB">
        <w:rPr>
          <w:rFonts w:eastAsia="MS Mincho"/>
          <w:i/>
          <w:snapToGrid w:val="0"/>
          <w:lang w:val="fr-CH"/>
        </w:rPr>
        <w:t>ADN</w:t>
      </w:r>
      <w:r w:rsidR="002D3995" w:rsidRPr="00465AAB">
        <w:rPr>
          <w:rFonts w:eastAsia="MS Mincho"/>
          <w:i/>
          <w:snapToGrid w:val="0"/>
          <w:lang w:val="fr-CH"/>
        </w:rPr>
        <w:t> :</w:t>
      </w:r>
      <w:r w:rsidRPr="00465AAB">
        <w:rPr>
          <w:rFonts w:eastAsia="MS Mincho"/>
          <w:i/>
          <w:snapToGrid w:val="0"/>
          <w:lang w:val="fr-CH"/>
        </w:rPr>
        <w:t xml:space="preserve"> choix des marqueurs moléculaires et construction d</w:t>
      </w:r>
      <w:r w:rsidR="002D3995" w:rsidRPr="00465AAB">
        <w:rPr>
          <w:rFonts w:eastAsia="MS Mincho"/>
          <w:i/>
          <w:snapToGrid w:val="0"/>
          <w:lang w:val="fr-CH"/>
        </w:rPr>
        <w:t>’</w:t>
      </w:r>
      <w:r w:rsidRPr="00465AAB">
        <w:rPr>
          <w:rFonts w:eastAsia="MS Mincho"/>
          <w:i/>
          <w:snapToGrid w:val="0"/>
          <w:lang w:val="fr-CH"/>
        </w:rPr>
        <w:t>une base de données y relative (</w:t>
      </w:r>
      <w:r w:rsidR="002D3995" w:rsidRPr="00465AAB">
        <w:rPr>
          <w:rFonts w:eastAsia="MS Mincho"/>
          <w:i/>
          <w:snapToGrid w:val="0"/>
          <w:lang w:val="fr-CH"/>
        </w:rPr>
        <w:t>“D</w:t>
      </w:r>
      <w:r w:rsidRPr="00465AAB">
        <w:rPr>
          <w:rFonts w:eastAsia="MS Mincho"/>
          <w:i/>
          <w:snapToGrid w:val="0"/>
          <w:lang w:val="fr-CH"/>
        </w:rPr>
        <w:t>irectives BM</w:t>
      </w:r>
      <w:r w:rsidR="002D3995" w:rsidRPr="00465AAB">
        <w:rPr>
          <w:rFonts w:eastAsia="MS Mincho"/>
          <w:i/>
          <w:snapToGrid w:val="0"/>
          <w:lang w:val="fr-CH"/>
        </w:rPr>
        <w:t>T”</w:t>
      </w:r>
      <w:r w:rsidRPr="00465AAB">
        <w:rPr>
          <w:rFonts w:eastAsia="MS Mincho"/>
          <w:i/>
          <w:snapToGrid w:val="0"/>
          <w:lang w:val="fr-CH"/>
        </w:rPr>
        <w:t>) (documents</w:t>
      </w:r>
      <w:r w:rsidR="007F3DBD" w:rsidRPr="00465AAB">
        <w:rPr>
          <w:rFonts w:eastAsia="MS Mincho"/>
          <w:i/>
          <w:snapToGrid w:val="0"/>
          <w:lang w:val="fr-CH"/>
        </w:rPr>
        <w:t> </w:t>
      </w:r>
      <w:r w:rsidRPr="00465AAB">
        <w:rPr>
          <w:rFonts w:eastAsia="MS Mincho"/>
          <w:i/>
          <w:snapToGrid w:val="0"/>
          <w:lang w:val="fr-CH"/>
        </w:rPr>
        <w:t xml:space="preserve">BMT/20/3 et UPOV/INF/17/2 </w:t>
      </w:r>
      <w:proofErr w:type="spellStart"/>
      <w:r w:rsidRPr="00465AAB">
        <w:rPr>
          <w:rFonts w:eastAsia="MS Mincho"/>
          <w:i/>
          <w:snapToGrid w:val="0"/>
          <w:lang w:val="fr-CH"/>
        </w:rPr>
        <w:t>Draft</w:t>
      </w:r>
      <w:proofErr w:type="spellEnd"/>
      <w:r w:rsidR="007F3DBD" w:rsidRPr="00465AAB">
        <w:rPr>
          <w:rFonts w:eastAsia="MS Mincho"/>
          <w:i/>
          <w:snapToGrid w:val="0"/>
          <w:lang w:val="fr-CH"/>
        </w:rPr>
        <w:t> </w:t>
      </w:r>
      <w:r w:rsidRPr="00465AAB">
        <w:rPr>
          <w:rFonts w:eastAsia="MS Mincho"/>
          <w:i/>
          <w:snapToGrid w:val="0"/>
          <w:lang w:val="fr-CH"/>
        </w:rPr>
        <w:t>5)</w:t>
      </w:r>
    </w:p>
    <w:p w:rsidR="00BF265D" w:rsidRPr="00465AAB" w:rsidRDefault="000C7B8B" w:rsidP="000C7B8B">
      <w:pPr>
        <w:spacing w:after="120"/>
        <w:ind w:left="567"/>
        <w:rPr>
          <w:rFonts w:cs="Arial"/>
          <w:i/>
          <w:lang w:val="fr-CH"/>
        </w:rPr>
      </w:pPr>
      <w:r w:rsidRPr="00465AAB">
        <w:rPr>
          <w:rFonts w:cs="Arial"/>
          <w:i/>
          <w:lang w:val="fr-CH"/>
        </w:rPr>
        <w:t>Coopération entre organisations internationales (document</w:t>
      </w:r>
      <w:r w:rsidR="007F3DBD" w:rsidRPr="00465AAB">
        <w:rPr>
          <w:rFonts w:cs="Arial"/>
          <w:i/>
          <w:lang w:val="fr-CH"/>
        </w:rPr>
        <w:t> </w:t>
      </w:r>
      <w:r w:rsidRPr="00465AAB">
        <w:rPr>
          <w:rFonts w:cs="Arial"/>
          <w:i/>
          <w:lang w:val="fr-CH"/>
        </w:rPr>
        <w:t>BMT/20/4)</w:t>
      </w:r>
    </w:p>
    <w:p w:rsidR="002D3995" w:rsidRPr="00465AAB" w:rsidRDefault="00DA398E" w:rsidP="000C7B8B">
      <w:pPr>
        <w:pStyle w:val="ListParagraph"/>
        <w:spacing w:after="120"/>
        <w:ind w:left="927"/>
        <w:rPr>
          <w:rFonts w:cs="Arial"/>
          <w:i/>
          <w:lang w:val="fr-CH"/>
        </w:rPr>
      </w:pPr>
      <w:r w:rsidRPr="00465AAB">
        <w:rPr>
          <w:rFonts w:cs="Arial"/>
          <w:i/>
          <w:lang w:val="fr-CH"/>
        </w:rPr>
        <w:t xml:space="preserve">OECD </w:t>
      </w:r>
      <w:proofErr w:type="spellStart"/>
      <w:r w:rsidRPr="00465AAB">
        <w:rPr>
          <w:rFonts w:cs="Arial"/>
          <w:i/>
          <w:lang w:val="fr-CH"/>
        </w:rPr>
        <w:t>Seed</w:t>
      </w:r>
      <w:proofErr w:type="spellEnd"/>
      <w:r w:rsidRPr="00465AAB">
        <w:rPr>
          <w:rFonts w:cs="Arial"/>
          <w:i/>
          <w:lang w:val="fr-CH"/>
        </w:rPr>
        <w:t xml:space="preserve"> </w:t>
      </w:r>
      <w:proofErr w:type="spellStart"/>
      <w:r w:rsidRPr="00465AAB">
        <w:rPr>
          <w:rFonts w:cs="Arial"/>
          <w:i/>
          <w:lang w:val="fr-CH"/>
        </w:rPr>
        <w:t>Schemes</w:t>
      </w:r>
      <w:proofErr w:type="spellEnd"/>
      <w:r w:rsidRPr="00465AAB">
        <w:rPr>
          <w:rFonts w:cs="Arial"/>
          <w:i/>
          <w:lang w:val="fr-CH"/>
        </w:rPr>
        <w:t xml:space="preserve"> (</w:t>
      </w:r>
      <w:r w:rsidR="000C7B8B" w:rsidRPr="00465AAB">
        <w:rPr>
          <w:rFonts w:cs="Arial"/>
          <w:i/>
          <w:lang w:val="fr-CH"/>
        </w:rPr>
        <w:t>Systèmes des semences de l</w:t>
      </w:r>
      <w:r w:rsidR="002D3995" w:rsidRPr="00465AAB">
        <w:rPr>
          <w:rFonts w:cs="Arial"/>
          <w:i/>
          <w:lang w:val="fr-CH"/>
        </w:rPr>
        <w:t>’</w:t>
      </w:r>
      <w:r w:rsidR="000C7B8B" w:rsidRPr="00465AAB">
        <w:rPr>
          <w:rFonts w:cs="Arial"/>
          <w:i/>
          <w:lang w:val="fr-CH"/>
        </w:rPr>
        <w:t>OCDE</w:t>
      </w:r>
      <w:r w:rsidRPr="00465AAB">
        <w:rPr>
          <w:rFonts w:cs="Arial"/>
          <w:i/>
          <w:lang w:val="fr-CH"/>
        </w:rPr>
        <w:t>)</w:t>
      </w:r>
      <w:r w:rsidR="000C7B8B" w:rsidRPr="00465AAB">
        <w:rPr>
          <w:rFonts w:cs="Arial"/>
          <w:lang w:val="fr-CH"/>
        </w:rPr>
        <w:t xml:space="preserve"> </w:t>
      </w:r>
      <w:r w:rsidR="000C7B8B" w:rsidRPr="00465AAB">
        <w:rPr>
          <w:rFonts w:cs="Arial"/>
          <w:i/>
          <w:lang w:val="fr-CH"/>
        </w:rPr>
        <w:t>(document</w:t>
      </w:r>
      <w:r w:rsidR="007F3DBD" w:rsidRPr="00465AAB">
        <w:rPr>
          <w:rFonts w:cs="Arial"/>
          <w:i/>
          <w:lang w:val="fr-CH"/>
        </w:rPr>
        <w:t> </w:t>
      </w:r>
      <w:r w:rsidR="000C7B8B" w:rsidRPr="00465AAB">
        <w:rPr>
          <w:rFonts w:cs="Arial"/>
          <w:i/>
          <w:lang w:val="fr-CH"/>
        </w:rPr>
        <w:t>BMT/20/10)</w:t>
      </w:r>
    </w:p>
    <w:p w:rsidR="00BF265D" w:rsidRPr="00465AAB" w:rsidRDefault="003D54CF" w:rsidP="00084F61">
      <w:pPr>
        <w:spacing w:after="120"/>
        <w:ind w:left="567" w:firstLine="360"/>
        <w:rPr>
          <w:rFonts w:eastAsia="MS Mincho" w:cs="Arial"/>
          <w:i/>
          <w:lang w:val="fr-CH"/>
        </w:rPr>
      </w:pPr>
      <w:r w:rsidRPr="00465AAB">
        <w:rPr>
          <w:rFonts w:eastAsia="MS Mincho" w:cs="Arial"/>
          <w:i/>
        </w:rPr>
        <w:t xml:space="preserve">ISTA report on </w:t>
      </w:r>
      <w:proofErr w:type="spellStart"/>
      <w:r w:rsidRPr="00465AAB">
        <w:rPr>
          <w:rFonts w:eastAsia="MS Mincho" w:cs="Arial"/>
          <w:i/>
        </w:rPr>
        <w:t>biochemical</w:t>
      </w:r>
      <w:proofErr w:type="spellEnd"/>
      <w:r w:rsidRPr="00465AAB">
        <w:rPr>
          <w:rFonts w:eastAsia="MS Mincho" w:cs="Arial"/>
          <w:i/>
        </w:rPr>
        <w:t xml:space="preserve"> and </w:t>
      </w:r>
      <w:proofErr w:type="spellStart"/>
      <w:r w:rsidRPr="00465AAB">
        <w:rPr>
          <w:rFonts w:eastAsia="MS Mincho" w:cs="Arial"/>
          <w:i/>
        </w:rPr>
        <w:t>molecular</w:t>
      </w:r>
      <w:proofErr w:type="spellEnd"/>
      <w:r w:rsidRPr="00465AAB">
        <w:rPr>
          <w:rFonts w:eastAsia="MS Mincho" w:cs="Arial"/>
          <w:i/>
        </w:rPr>
        <w:t xml:space="preserve"> techniques (</w:t>
      </w:r>
      <w:r w:rsidR="00084F61" w:rsidRPr="00465AAB">
        <w:rPr>
          <w:rFonts w:eastAsia="MS Mincho" w:cs="Arial"/>
          <w:i/>
          <w:lang w:val="fr-CH"/>
        </w:rPr>
        <w:t>Rapport de l</w:t>
      </w:r>
      <w:r w:rsidR="002D3995" w:rsidRPr="00465AAB">
        <w:rPr>
          <w:rFonts w:eastAsia="MS Mincho" w:cs="Arial"/>
          <w:i/>
          <w:lang w:val="fr-CH"/>
        </w:rPr>
        <w:t>’</w:t>
      </w:r>
      <w:r w:rsidR="00084F61" w:rsidRPr="00465AAB">
        <w:rPr>
          <w:rFonts w:eastAsia="MS Mincho" w:cs="Arial"/>
          <w:i/>
          <w:lang w:val="fr-CH"/>
        </w:rPr>
        <w:t>ISTA sur les techniques biochimiques et moléculaires</w:t>
      </w:r>
      <w:r w:rsidRPr="00465AAB">
        <w:rPr>
          <w:rFonts w:eastAsia="MS Mincho" w:cs="Arial"/>
          <w:i/>
          <w:lang w:val="fr-CH"/>
        </w:rPr>
        <w:t>)</w:t>
      </w:r>
      <w:r w:rsidR="00084F61" w:rsidRPr="00465AAB">
        <w:rPr>
          <w:rFonts w:eastAsia="MS Mincho" w:cs="Arial"/>
          <w:i/>
          <w:lang w:val="fr-CH"/>
        </w:rPr>
        <w:t xml:space="preserve"> (document</w:t>
      </w:r>
      <w:r w:rsidR="007F3DBD" w:rsidRPr="00465AAB">
        <w:rPr>
          <w:rFonts w:eastAsia="MS Mincho" w:cs="Arial"/>
          <w:i/>
          <w:lang w:val="fr-CH"/>
        </w:rPr>
        <w:t> </w:t>
      </w:r>
      <w:r w:rsidR="00084F61" w:rsidRPr="00465AAB">
        <w:rPr>
          <w:rFonts w:eastAsia="MS Mincho" w:cs="Arial"/>
          <w:i/>
          <w:lang w:val="fr-CH"/>
        </w:rPr>
        <w:t>BMT/20/11)</w:t>
      </w:r>
    </w:p>
    <w:p w:rsidR="002D3995" w:rsidRPr="00465AAB" w:rsidRDefault="00BC5FFC" w:rsidP="00084F61">
      <w:pPr>
        <w:spacing w:after="120"/>
        <w:ind w:left="567"/>
        <w:rPr>
          <w:rFonts w:cs="Arial"/>
          <w:i/>
          <w:lang w:val="fr-CH"/>
        </w:rPr>
      </w:pPr>
      <w:r w:rsidRPr="00465AAB">
        <w:rPr>
          <w:i/>
          <w:snapToGrid w:val="0"/>
        </w:rPr>
        <w:t xml:space="preserve">Confidentiality, </w:t>
      </w:r>
      <w:proofErr w:type="spellStart"/>
      <w:r w:rsidRPr="00465AAB">
        <w:rPr>
          <w:i/>
          <w:snapToGrid w:val="0"/>
        </w:rPr>
        <w:t>ownership</w:t>
      </w:r>
      <w:proofErr w:type="spellEnd"/>
      <w:r w:rsidRPr="00465AAB">
        <w:rPr>
          <w:i/>
          <w:snapToGrid w:val="0"/>
        </w:rPr>
        <w:t xml:space="preserve"> and </w:t>
      </w:r>
      <w:proofErr w:type="spellStart"/>
      <w:r w:rsidRPr="00465AAB">
        <w:rPr>
          <w:i/>
          <w:snapToGrid w:val="0"/>
        </w:rPr>
        <w:t>access</w:t>
      </w:r>
      <w:proofErr w:type="spellEnd"/>
      <w:r w:rsidRPr="00465AAB">
        <w:rPr>
          <w:i/>
          <w:snapToGrid w:val="0"/>
        </w:rPr>
        <w:t xml:space="preserve"> to </w:t>
      </w:r>
      <w:proofErr w:type="spellStart"/>
      <w:r w:rsidRPr="00465AAB">
        <w:rPr>
          <w:i/>
          <w:snapToGrid w:val="0"/>
        </w:rPr>
        <w:t>molecular</w:t>
      </w:r>
      <w:proofErr w:type="spellEnd"/>
      <w:r w:rsidRPr="00465AAB">
        <w:rPr>
          <w:i/>
          <w:snapToGrid w:val="0"/>
        </w:rPr>
        <w:t xml:space="preserve"> data</w:t>
      </w:r>
      <w:r w:rsidRPr="00465AAB">
        <w:rPr>
          <w:i/>
        </w:rPr>
        <w:t xml:space="preserve">, </w:t>
      </w:r>
      <w:proofErr w:type="spellStart"/>
      <w:r w:rsidRPr="00465AAB">
        <w:rPr>
          <w:i/>
        </w:rPr>
        <w:t>including</w:t>
      </w:r>
      <w:proofErr w:type="spellEnd"/>
      <w:r w:rsidRPr="00465AAB">
        <w:rPr>
          <w:i/>
        </w:rPr>
        <w:t xml:space="preserve"> model agreement </w:t>
      </w:r>
      <w:proofErr w:type="spellStart"/>
      <w:r w:rsidRPr="00465AAB">
        <w:rPr>
          <w:i/>
        </w:rPr>
        <w:t>template</w:t>
      </w:r>
      <w:proofErr w:type="spellEnd"/>
      <w:r w:rsidRPr="00465AAB">
        <w:rPr>
          <w:rFonts w:cs="Arial"/>
          <w:i/>
          <w:lang w:val="fr-CH"/>
        </w:rPr>
        <w:t xml:space="preserve"> (</w:t>
      </w:r>
      <w:r w:rsidR="00084F61" w:rsidRPr="00465AAB">
        <w:rPr>
          <w:rFonts w:cs="Arial"/>
          <w:i/>
          <w:lang w:val="fr-CH"/>
        </w:rPr>
        <w:t>Confidentialité, titularité et accès en matière de données moléculaires, modèle d</w:t>
      </w:r>
      <w:r w:rsidR="002D3995" w:rsidRPr="00465AAB">
        <w:rPr>
          <w:rFonts w:cs="Arial"/>
          <w:i/>
          <w:lang w:val="fr-CH"/>
        </w:rPr>
        <w:t>’</w:t>
      </w:r>
      <w:r w:rsidR="00084F61" w:rsidRPr="00465AAB">
        <w:rPr>
          <w:rFonts w:cs="Arial"/>
          <w:i/>
          <w:lang w:val="fr-CH"/>
        </w:rPr>
        <w:t xml:space="preserve">accord </w:t>
      </w:r>
      <w:r w:rsidR="002D3995" w:rsidRPr="00465AAB">
        <w:rPr>
          <w:rFonts w:cs="Arial"/>
          <w:i/>
          <w:lang w:val="fr-CH"/>
        </w:rPr>
        <w:t>y compris</w:t>
      </w:r>
      <w:r w:rsidRPr="00465AAB">
        <w:rPr>
          <w:rFonts w:cs="Arial"/>
          <w:i/>
          <w:lang w:val="fr-CH"/>
        </w:rPr>
        <w:t>)</w:t>
      </w:r>
      <w:r w:rsidR="00084F61" w:rsidRPr="00465AAB">
        <w:rPr>
          <w:rFonts w:cs="Arial"/>
          <w:i/>
          <w:lang w:val="fr-CH"/>
        </w:rPr>
        <w:t xml:space="preserve"> (document</w:t>
      </w:r>
      <w:r w:rsidR="007F3DBD" w:rsidRPr="00465AAB">
        <w:rPr>
          <w:rFonts w:cs="Arial"/>
          <w:i/>
          <w:lang w:val="fr-CH"/>
        </w:rPr>
        <w:t> </w:t>
      </w:r>
      <w:r w:rsidR="00084F61" w:rsidRPr="00465AAB">
        <w:rPr>
          <w:rFonts w:cs="Arial"/>
          <w:i/>
          <w:lang w:val="fr-CH"/>
        </w:rPr>
        <w:t>BMT/20/5)</w:t>
      </w:r>
    </w:p>
    <w:p w:rsidR="002D3995" w:rsidRPr="00465AAB" w:rsidRDefault="00DA398E" w:rsidP="00084F61">
      <w:pPr>
        <w:spacing w:after="120"/>
        <w:ind w:firstLine="567"/>
        <w:rPr>
          <w:i/>
          <w:snapToGrid w:val="0"/>
          <w:lang w:val="fr-CH"/>
        </w:rPr>
      </w:pPr>
      <w:r w:rsidRPr="00465AAB">
        <w:rPr>
          <w:i/>
          <w:snapToGrid w:val="0"/>
        </w:rPr>
        <w:t xml:space="preserve">Session to </w:t>
      </w:r>
      <w:proofErr w:type="spellStart"/>
      <w:r w:rsidRPr="00465AAB">
        <w:rPr>
          <w:i/>
          <w:snapToGrid w:val="0"/>
        </w:rPr>
        <w:t>facilitate</w:t>
      </w:r>
      <w:proofErr w:type="spellEnd"/>
      <w:r w:rsidRPr="00465AAB">
        <w:rPr>
          <w:i/>
          <w:snapToGrid w:val="0"/>
        </w:rPr>
        <w:t xml:space="preserve"> </w:t>
      </w:r>
      <w:proofErr w:type="spellStart"/>
      <w:r w:rsidRPr="00465AAB">
        <w:rPr>
          <w:i/>
          <w:snapToGrid w:val="0"/>
        </w:rPr>
        <w:t>cooperation</w:t>
      </w:r>
      <w:proofErr w:type="spellEnd"/>
      <w:r w:rsidRPr="00465AAB">
        <w:rPr>
          <w:i/>
          <w:snapToGrid w:val="0"/>
        </w:rPr>
        <w:t xml:space="preserve"> (</w:t>
      </w:r>
      <w:r w:rsidR="00084F61" w:rsidRPr="00465AAB">
        <w:rPr>
          <w:i/>
          <w:snapToGrid w:val="0"/>
          <w:lang w:val="fr-CH"/>
        </w:rPr>
        <w:t>Réunion visant à faciliter la coopération</w:t>
      </w:r>
      <w:r w:rsidRPr="00465AAB">
        <w:rPr>
          <w:i/>
          <w:snapToGrid w:val="0"/>
          <w:lang w:val="fr-CH"/>
        </w:rPr>
        <w:t>)</w:t>
      </w:r>
      <w:r w:rsidR="00084F61" w:rsidRPr="00465AAB">
        <w:rPr>
          <w:i/>
          <w:snapToGrid w:val="0"/>
          <w:lang w:val="fr-CH"/>
        </w:rPr>
        <w:t xml:space="preserve"> (document</w:t>
      </w:r>
      <w:r w:rsidR="007F3DBD" w:rsidRPr="00465AAB">
        <w:rPr>
          <w:i/>
          <w:snapToGrid w:val="0"/>
          <w:lang w:val="fr-CH"/>
        </w:rPr>
        <w:t> </w:t>
      </w:r>
      <w:r w:rsidR="00084F61" w:rsidRPr="00465AAB">
        <w:rPr>
          <w:i/>
          <w:snapToGrid w:val="0"/>
          <w:lang w:val="fr-CH"/>
        </w:rPr>
        <w:t>BMT/20/6)</w:t>
      </w:r>
    </w:p>
    <w:p w:rsidR="00BF265D" w:rsidRPr="00465AAB" w:rsidRDefault="00BF265D" w:rsidP="007E2DFF">
      <w:pPr>
        <w:rPr>
          <w:lang w:val="fr-CH"/>
        </w:rPr>
      </w:pPr>
    </w:p>
    <w:p w:rsidR="002D3995" w:rsidRPr="00465AAB" w:rsidRDefault="00084F61" w:rsidP="00084F61">
      <w:pPr>
        <w:pStyle w:val="Heading2"/>
        <w:rPr>
          <w:lang w:val="fr-CH"/>
        </w:rPr>
      </w:pPr>
      <w:bookmarkStart w:id="11" w:name="_Toc85447858"/>
      <w:r w:rsidRPr="00465AAB">
        <w:rPr>
          <w:lang w:val="fr-CH"/>
        </w:rPr>
        <w:t>Exposés succincts sur les faits nouveaux survenus en matière de techniques biochimiques et moléculaires, présentés par des experts de l</w:t>
      </w:r>
      <w:r w:rsidR="002D3995" w:rsidRPr="00465AAB">
        <w:rPr>
          <w:lang w:val="fr-CH"/>
        </w:rPr>
        <w:t>’</w:t>
      </w:r>
      <w:r w:rsidRPr="00465AAB">
        <w:rPr>
          <w:lang w:val="fr-CH"/>
        </w:rPr>
        <w:t>examen</w:t>
      </w:r>
      <w:r w:rsidR="00F53B5E" w:rsidRPr="00465AAB">
        <w:rPr>
          <w:lang w:val="fr-CH"/>
        </w:rPr>
        <w:t> </w:t>
      </w:r>
      <w:r w:rsidRPr="00465AAB">
        <w:rPr>
          <w:lang w:val="fr-CH"/>
        </w:rPr>
        <w:t>DHS, des spécialistes en techniques biochimiques et moléculaires, des obtenteurs et les organisations internationales concernées</w:t>
      </w:r>
      <w:bookmarkEnd w:id="11"/>
    </w:p>
    <w:p w:rsidR="00BF265D" w:rsidRPr="00465AAB" w:rsidRDefault="00BF265D" w:rsidP="007E2DFF">
      <w:pPr>
        <w:rPr>
          <w:lang w:val="fr-CH"/>
        </w:rPr>
      </w:pPr>
    </w:p>
    <w:p w:rsidR="002D3995" w:rsidRPr="00465AAB" w:rsidRDefault="007E2DFF" w:rsidP="0012402B">
      <w:pPr>
        <w:keepNext/>
        <w:keepLines/>
        <w:rPr>
          <w:lang w:val="fr-CH"/>
        </w:rPr>
      </w:pPr>
      <w:r w:rsidRPr="00465AAB">
        <w:fldChar w:fldCharType="begin"/>
      </w:r>
      <w:r w:rsidRPr="00465AAB">
        <w:rPr>
          <w:lang w:val="fr-CH"/>
        </w:rPr>
        <w:instrText xml:space="preserve"> AUTONUM  </w:instrText>
      </w:r>
      <w:r w:rsidRPr="00465AAB">
        <w:fldChar w:fldCharType="end"/>
      </w:r>
      <w:r w:rsidRPr="00465AAB">
        <w:rPr>
          <w:lang w:val="fr-CH"/>
        </w:rPr>
        <w:tab/>
      </w:r>
      <w:r w:rsidR="00656871" w:rsidRPr="00465AAB">
        <w:rPr>
          <w:lang w:val="fr-CH"/>
        </w:rPr>
        <w:t>Le BMT a pris note de l</w:t>
      </w:r>
      <w:r w:rsidR="002D3995" w:rsidRPr="00465AAB">
        <w:rPr>
          <w:lang w:val="fr-CH"/>
        </w:rPr>
        <w:t>’</w:t>
      </w:r>
      <w:r w:rsidR="00656871" w:rsidRPr="00465AAB">
        <w:rPr>
          <w:lang w:val="fr-CH"/>
        </w:rPr>
        <w:t>intervention de la France selon laquelle un cours de formation sur l</w:t>
      </w:r>
      <w:r w:rsidR="002D3995" w:rsidRPr="00465AAB">
        <w:rPr>
          <w:lang w:val="fr-CH"/>
        </w:rPr>
        <w:t>’</w:t>
      </w:r>
      <w:r w:rsidR="00656871" w:rsidRPr="00465AAB">
        <w:rPr>
          <w:lang w:val="fr-CH"/>
        </w:rPr>
        <w:t>utilisation des technique</w:t>
      </w:r>
      <w:bookmarkStart w:id="12" w:name="_GoBack"/>
      <w:bookmarkEnd w:id="12"/>
      <w:r w:rsidR="00656871" w:rsidRPr="00465AAB">
        <w:rPr>
          <w:lang w:val="fr-CH"/>
        </w:rPr>
        <w:t>s moléculaires dans l</w:t>
      </w:r>
      <w:r w:rsidR="002D3995" w:rsidRPr="00465AAB">
        <w:rPr>
          <w:lang w:val="fr-CH"/>
        </w:rPr>
        <w:t>’</w:t>
      </w:r>
      <w:r w:rsidR="00656871" w:rsidRPr="00465AAB">
        <w:rPr>
          <w:lang w:val="fr-CH"/>
        </w:rPr>
        <w:t>examen</w:t>
      </w:r>
      <w:r w:rsidR="00F53B5E" w:rsidRPr="00465AAB">
        <w:rPr>
          <w:lang w:val="fr-CH"/>
        </w:rPr>
        <w:t> </w:t>
      </w:r>
      <w:r w:rsidR="00656871" w:rsidRPr="00465AAB">
        <w:rPr>
          <w:lang w:val="fr-CH"/>
        </w:rPr>
        <w:t>DHS serait organisé par</w:t>
      </w:r>
      <w:r w:rsidR="002D3995" w:rsidRPr="00465AAB">
        <w:rPr>
          <w:lang w:val="fr-CH"/>
        </w:rPr>
        <w:t xml:space="preserve"> le GEV</w:t>
      </w:r>
      <w:r w:rsidR="00656871" w:rsidRPr="00465AAB">
        <w:rPr>
          <w:lang w:val="fr-CH"/>
        </w:rPr>
        <w:t xml:space="preserve">ES en </w:t>
      </w:r>
      <w:r w:rsidR="002D3995" w:rsidRPr="00465AAB">
        <w:rPr>
          <w:lang w:val="fr-CH"/>
        </w:rPr>
        <w:t>mars 20</w:t>
      </w:r>
      <w:r w:rsidR="00656871" w:rsidRPr="00465AAB">
        <w:rPr>
          <w:lang w:val="fr-CH"/>
        </w:rPr>
        <w:t xml:space="preserve">22 (voir le </w:t>
      </w:r>
      <w:r w:rsidR="002D3995" w:rsidRPr="00465AAB">
        <w:rPr>
          <w:lang w:val="fr-CH"/>
        </w:rPr>
        <w:t>paragraphe 6</w:t>
      </w:r>
      <w:r w:rsidR="00656871" w:rsidRPr="00465AAB">
        <w:rPr>
          <w:lang w:val="fr-CH"/>
        </w:rPr>
        <w:t xml:space="preserve"> du document</w:t>
      </w:r>
      <w:r w:rsidR="007F3DBD" w:rsidRPr="00465AAB">
        <w:rPr>
          <w:lang w:val="fr-CH"/>
        </w:rPr>
        <w:t> </w:t>
      </w:r>
      <w:r w:rsidR="00656871" w:rsidRPr="00465AAB">
        <w:rPr>
          <w:lang w:val="fr-CH"/>
        </w:rPr>
        <w:t xml:space="preserve">BMT/20/12 </w:t>
      </w:r>
      <w:r w:rsidR="002D3995" w:rsidRPr="00465AAB">
        <w:rPr>
          <w:lang w:val="fr-CH"/>
        </w:rPr>
        <w:t>“R</w:t>
      </w:r>
      <w:r w:rsidR="00656871" w:rsidRPr="00465AAB">
        <w:rPr>
          <w:lang w:val="fr-CH"/>
        </w:rPr>
        <w:t>epor</w:t>
      </w:r>
      <w:r w:rsidR="002D3995" w:rsidRPr="00465AAB">
        <w:rPr>
          <w:lang w:val="fr-CH"/>
        </w:rPr>
        <w:t>t”</w:t>
      </w:r>
      <w:r w:rsidR="00656871" w:rsidRPr="00465AAB">
        <w:rPr>
          <w:lang w:val="fr-CH"/>
        </w:rPr>
        <w:t>).</w:t>
      </w:r>
    </w:p>
    <w:p w:rsidR="00BF265D" w:rsidRPr="00465AAB" w:rsidRDefault="00BF265D" w:rsidP="0012402B">
      <w:pPr>
        <w:keepNext/>
        <w:keepLines/>
        <w:rPr>
          <w:lang w:val="fr-CH"/>
        </w:rPr>
      </w:pPr>
    </w:p>
    <w:p w:rsidR="00BF265D" w:rsidRPr="00465AAB" w:rsidRDefault="00BF265D" w:rsidP="0012402B">
      <w:pPr>
        <w:keepNext/>
        <w:keepLines/>
        <w:rPr>
          <w:lang w:val="fr-CH"/>
        </w:rPr>
      </w:pPr>
    </w:p>
    <w:p w:rsidR="00BF265D" w:rsidRPr="00465AAB" w:rsidRDefault="00BF265D" w:rsidP="0012402B">
      <w:pPr>
        <w:keepNext/>
        <w:keepLines/>
        <w:jc w:val="left"/>
        <w:rPr>
          <w:lang w:val="fr-CH"/>
        </w:rPr>
      </w:pPr>
    </w:p>
    <w:p w:rsidR="00BF265D" w:rsidRPr="00465AAB" w:rsidRDefault="00BF265D" w:rsidP="0012402B">
      <w:pPr>
        <w:keepNext/>
        <w:keepLines/>
        <w:rPr>
          <w:lang w:val="fr-CH"/>
        </w:rPr>
      </w:pPr>
    </w:p>
    <w:p w:rsidR="00BF265D" w:rsidRPr="00465AAB" w:rsidRDefault="00050E16" w:rsidP="0012402B">
      <w:pPr>
        <w:keepNext/>
        <w:keepLines/>
        <w:jc w:val="right"/>
      </w:pPr>
      <w:r w:rsidRPr="00465AAB">
        <w:t>[</w:t>
      </w:r>
      <w:r w:rsidR="00A706D3" w:rsidRPr="00465AAB">
        <w:t xml:space="preserve">Fin du </w:t>
      </w:r>
      <w:r w:rsidRPr="00465AAB">
        <w:t>document]</w:t>
      </w:r>
    </w:p>
    <w:p w:rsidR="00BF265D" w:rsidRPr="00465AAB" w:rsidRDefault="00BF265D">
      <w:pPr>
        <w:jc w:val="left"/>
      </w:pPr>
    </w:p>
    <w:sectPr w:rsidR="00BF265D" w:rsidRPr="00465AAB" w:rsidSect="00906DDC">
      <w:headerReference w:type="even" r:id="rId7"/>
      <w:headerReference w:type="default" r:id="rId8"/>
      <w:footerReference w:type="even" r:id="rId9"/>
      <w:footerReference w:type="default" r:id="rId10"/>
      <w:headerReference w:type="first" r:id="rId11"/>
      <w:footerReference w:type="first" r:id="rId1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DFF" w:rsidRDefault="007E2DFF" w:rsidP="006655D3">
      <w:r>
        <w:separator/>
      </w:r>
    </w:p>
    <w:p w:rsidR="007E2DFF" w:rsidRDefault="007E2DFF" w:rsidP="006655D3"/>
    <w:p w:rsidR="007E2DFF" w:rsidRDefault="007E2DFF" w:rsidP="006655D3"/>
  </w:endnote>
  <w:endnote w:type="continuationSeparator" w:id="0">
    <w:p w:rsidR="007E2DFF" w:rsidRDefault="007E2DFF" w:rsidP="006655D3">
      <w:r>
        <w:separator/>
      </w:r>
    </w:p>
    <w:p w:rsidR="007E2DFF" w:rsidRPr="00294751" w:rsidRDefault="007E2DFF">
      <w:pPr>
        <w:pStyle w:val="Footer"/>
        <w:spacing w:after="60"/>
        <w:rPr>
          <w:sz w:val="18"/>
          <w:lang w:val="fr-FR"/>
        </w:rPr>
      </w:pPr>
      <w:r w:rsidRPr="00294751">
        <w:rPr>
          <w:sz w:val="18"/>
          <w:lang w:val="fr-FR"/>
        </w:rPr>
        <w:t>[Suite de la note de la page précédente]</w:t>
      </w:r>
    </w:p>
    <w:p w:rsidR="007E2DFF" w:rsidRPr="00294751" w:rsidRDefault="007E2DFF" w:rsidP="006655D3"/>
    <w:p w:rsidR="007E2DFF" w:rsidRPr="00294751" w:rsidRDefault="007E2DFF" w:rsidP="006655D3"/>
  </w:endnote>
  <w:endnote w:type="continuationNotice" w:id="1">
    <w:p w:rsidR="007E2DFF" w:rsidRPr="00294751" w:rsidRDefault="007E2DFF" w:rsidP="006655D3">
      <w:r w:rsidRPr="00294751">
        <w:t>[Suite de la note page suivante]</w:t>
      </w:r>
    </w:p>
    <w:p w:rsidR="007E2DFF" w:rsidRPr="00294751" w:rsidRDefault="007E2DFF" w:rsidP="006655D3"/>
    <w:p w:rsidR="007E2DFF" w:rsidRPr="00294751" w:rsidRDefault="007E2DFF"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DBD" w:rsidRDefault="007F3D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E3C" w:rsidRDefault="00BA7E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DBD" w:rsidRDefault="007F3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DFF" w:rsidRDefault="007E2DFF" w:rsidP="006655D3">
      <w:r>
        <w:separator/>
      </w:r>
    </w:p>
  </w:footnote>
  <w:footnote w:type="continuationSeparator" w:id="0">
    <w:p w:rsidR="007E2DFF" w:rsidRDefault="007E2DFF" w:rsidP="006655D3">
      <w:r>
        <w:separator/>
      </w:r>
    </w:p>
  </w:footnote>
  <w:footnote w:type="continuationNotice" w:id="1">
    <w:p w:rsidR="007E2DFF" w:rsidRPr="00AB530F" w:rsidRDefault="007E2DFF" w:rsidP="00AB530F">
      <w:pPr>
        <w:pStyle w:val="Footer"/>
      </w:pPr>
    </w:p>
  </w:footnote>
  <w:footnote w:id="2">
    <w:p w:rsidR="00BF6C07" w:rsidRPr="00B80441" w:rsidRDefault="00BF6C07" w:rsidP="00BF6C07">
      <w:pPr>
        <w:pStyle w:val="FootnoteText"/>
        <w:rPr>
          <w:lang w:val="fr-CH"/>
        </w:rPr>
      </w:pPr>
      <w:r w:rsidRPr="00B80441">
        <w:rPr>
          <w:rStyle w:val="FootnoteReference"/>
        </w:rPr>
        <w:footnoteRef/>
      </w:r>
      <w:r w:rsidRPr="00B80441">
        <w:rPr>
          <w:lang w:val="fr-CH"/>
        </w:rPr>
        <w:t xml:space="preserve"> </w:t>
      </w:r>
      <w:r w:rsidRPr="00B80441">
        <w:rPr>
          <w:lang w:val="fr-CH"/>
        </w:rPr>
        <w:tab/>
        <w:t>À sa cinquante</w:t>
      </w:r>
      <w:r w:rsidR="00A711FE" w:rsidRPr="00B80441">
        <w:rPr>
          <w:lang w:val="fr-CH"/>
        </w:rPr>
        <w:t>-</w:t>
      </w:r>
      <w:r w:rsidRPr="00B80441">
        <w:rPr>
          <w:lang w:val="fr-CH"/>
        </w:rPr>
        <w:t>cinqu</w:t>
      </w:r>
      <w:r w:rsidR="00A711FE" w:rsidRPr="00B80441">
        <w:rPr>
          <w:lang w:val="fr-CH"/>
        </w:rPr>
        <w:t>ième session</w:t>
      </w:r>
      <w:r w:rsidRPr="00B80441">
        <w:rPr>
          <w:lang w:val="fr-CH"/>
        </w:rPr>
        <w:t xml:space="preserve">, organisée par la Turquie par voie électronique du 3 au </w:t>
      </w:r>
      <w:r w:rsidR="00A711FE" w:rsidRPr="00B80441">
        <w:rPr>
          <w:lang w:val="fr-CH"/>
        </w:rPr>
        <w:t>7 mai 20</w:t>
      </w:r>
      <w:r w:rsidRPr="00B80441">
        <w:rPr>
          <w:lang w:val="fr-CH"/>
        </w:rPr>
        <w:t>21.</w:t>
      </w:r>
    </w:p>
  </w:footnote>
  <w:footnote w:id="3">
    <w:p w:rsidR="00BF6C07" w:rsidRPr="00B80441" w:rsidRDefault="00BF6C07" w:rsidP="00BF6C07">
      <w:pPr>
        <w:pStyle w:val="FootnoteText"/>
        <w:rPr>
          <w:lang w:val="fr-CH"/>
        </w:rPr>
      </w:pPr>
      <w:r w:rsidRPr="00B80441">
        <w:rPr>
          <w:rStyle w:val="FootnoteReference"/>
        </w:rPr>
        <w:footnoteRef/>
      </w:r>
      <w:r w:rsidRPr="00B80441">
        <w:rPr>
          <w:lang w:val="fr-CH"/>
        </w:rPr>
        <w:t xml:space="preserve"> </w:t>
      </w:r>
      <w:r w:rsidRPr="00B80441">
        <w:rPr>
          <w:lang w:val="fr-CH"/>
        </w:rPr>
        <w:tab/>
        <w:t>À sa cinquante</w:t>
      </w:r>
      <w:r w:rsidR="00A711FE" w:rsidRPr="00B80441">
        <w:rPr>
          <w:lang w:val="fr-CH"/>
        </w:rPr>
        <w:t>-</w:t>
      </w:r>
      <w:r w:rsidRPr="00B80441">
        <w:rPr>
          <w:lang w:val="fr-CH"/>
        </w:rPr>
        <w:t>trois</w:t>
      </w:r>
      <w:r w:rsidR="00A711FE" w:rsidRPr="00B80441">
        <w:rPr>
          <w:lang w:val="fr-CH"/>
        </w:rPr>
        <w:t>ième session</w:t>
      </w:r>
      <w:r w:rsidRPr="00B80441">
        <w:rPr>
          <w:lang w:val="fr-CH"/>
        </w:rPr>
        <w:t>, organisée par les Pays</w:t>
      </w:r>
      <w:r w:rsidR="00A711FE" w:rsidRPr="00B80441">
        <w:rPr>
          <w:lang w:val="fr-CH"/>
        </w:rPr>
        <w:t>-</w:t>
      </w:r>
      <w:r w:rsidRPr="00B80441">
        <w:rPr>
          <w:lang w:val="fr-CH"/>
        </w:rPr>
        <w:t>Bas par voie électronique du 7 au 1</w:t>
      </w:r>
      <w:r w:rsidR="00A711FE" w:rsidRPr="00B80441">
        <w:rPr>
          <w:lang w:val="fr-CH"/>
        </w:rPr>
        <w:t>1 juin 20</w:t>
      </w:r>
      <w:r w:rsidRPr="00B80441">
        <w:rPr>
          <w:lang w:val="fr-CH"/>
        </w:rPr>
        <w:t>21.</w:t>
      </w:r>
    </w:p>
  </w:footnote>
  <w:footnote w:id="4">
    <w:p w:rsidR="00BF6C07" w:rsidRPr="00B80441" w:rsidRDefault="00BF6C07" w:rsidP="00BF6C07">
      <w:pPr>
        <w:pStyle w:val="FootnoteText"/>
        <w:rPr>
          <w:lang w:val="fr-CH"/>
        </w:rPr>
      </w:pPr>
      <w:r w:rsidRPr="00B80441">
        <w:rPr>
          <w:rStyle w:val="FootnoteReference"/>
        </w:rPr>
        <w:footnoteRef/>
      </w:r>
      <w:r w:rsidRPr="00B80441">
        <w:rPr>
          <w:lang w:val="fr-CH"/>
        </w:rPr>
        <w:t xml:space="preserve"> </w:t>
      </w:r>
      <w:r w:rsidRPr="00B80441">
        <w:rPr>
          <w:lang w:val="fr-CH"/>
        </w:rPr>
        <w:tab/>
        <w:t>À sa cinquant</w:t>
      </w:r>
      <w:r w:rsidR="00A711FE" w:rsidRPr="00B80441">
        <w:rPr>
          <w:lang w:val="fr-CH"/>
        </w:rPr>
        <w:t>ième session</w:t>
      </w:r>
      <w:r w:rsidRPr="00B80441">
        <w:rPr>
          <w:lang w:val="fr-CH"/>
        </w:rPr>
        <w:t>, organisée par la République</w:t>
      </w:r>
      <w:r w:rsidR="00A711FE" w:rsidRPr="00B80441">
        <w:rPr>
          <w:lang w:val="fr-CH"/>
        </w:rPr>
        <w:t>-</w:t>
      </w:r>
      <w:r w:rsidRPr="00B80441">
        <w:rPr>
          <w:lang w:val="fr-CH"/>
        </w:rPr>
        <w:t>Unie de Tanzanie par voie électronique du 21 au 2</w:t>
      </w:r>
      <w:r w:rsidR="00A711FE" w:rsidRPr="00B80441">
        <w:rPr>
          <w:lang w:val="fr-CH"/>
        </w:rPr>
        <w:t>5 juin 20</w:t>
      </w:r>
      <w:r w:rsidRPr="00B80441">
        <w:rPr>
          <w:lang w:val="fr-CH"/>
        </w:rPr>
        <w:t>21.</w:t>
      </w:r>
    </w:p>
  </w:footnote>
  <w:footnote w:id="5">
    <w:p w:rsidR="00BF6C07" w:rsidRPr="00B80441" w:rsidRDefault="00BF6C07" w:rsidP="00BF6C07">
      <w:pPr>
        <w:pStyle w:val="FootnoteText"/>
        <w:rPr>
          <w:lang w:val="fr-CH"/>
        </w:rPr>
      </w:pPr>
      <w:r w:rsidRPr="00B80441">
        <w:rPr>
          <w:rStyle w:val="FootnoteReference"/>
        </w:rPr>
        <w:footnoteRef/>
      </w:r>
      <w:r w:rsidRPr="00B80441">
        <w:rPr>
          <w:lang w:val="fr-CH"/>
        </w:rPr>
        <w:t xml:space="preserve"> </w:t>
      </w:r>
      <w:r w:rsidRPr="00B80441">
        <w:rPr>
          <w:lang w:val="fr-CH"/>
        </w:rPr>
        <w:tab/>
        <w:t>À sa cinquante</w:t>
      </w:r>
      <w:r w:rsidR="00A711FE" w:rsidRPr="00B80441">
        <w:rPr>
          <w:lang w:val="fr-CH"/>
        </w:rPr>
        <w:t>-</w:t>
      </w:r>
      <w:r w:rsidRPr="00B80441">
        <w:rPr>
          <w:lang w:val="fr-CH"/>
        </w:rPr>
        <w:t>deux</w:t>
      </w:r>
      <w:r w:rsidR="00A711FE" w:rsidRPr="00B80441">
        <w:rPr>
          <w:lang w:val="fr-CH"/>
        </w:rPr>
        <w:t>ième session</w:t>
      </w:r>
      <w:r w:rsidRPr="00B80441">
        <w:rPr>
          <w:lang w:val="fr-CH"/>
        </w:rPr>
        <w:t>, organisée par la Chine par voie électronique du 12 au 1</w:t>
      </w:r>
      <w:r w:rsidR="00A711FE" w:rsidRPr="00B80441">
        <w:rPr>
          <w:lang w:val="fr-CH"/>
        </w:rPr>
        <w:t>6 juillet 20</w:t>
      </w:r>
      <w:r w:rsidRPr="00B80441">
        <w:rPr>
          <w:lang w:val="fr-CH"/>
        </w:rPr>
        <w:t>21.</w:t>
      </w:r>
    </w:p>
  </w:footnote>
  <w:footnote w:id="6">
    <w:p w:rsidR="00BF6C07" w:rsidRPr="00B80441" w:rsidRDefault="00BF6C07" w:rsidP="00BF6C07">
      <w:pPr>
        <w:pStyle w:val="FootnoteText"/>
        <w:rPr>
          <w:lang w:val="fr-CH"/>
        </w:rPr>
      </w:pPr>
      <w:r w:rsidRPr="00B80441">
        <w:rPr>
          <w:rStyle w:val="FootnoteReference"/>
        </w:rPr>
        <w:footnoteRef/>
      </w:r>
      <w:r w:rsidRPr="00B80441">
        <w:rPr>
          <w:lang w:val="fr-CH"/>
        </w:rPr>
        <w:t xml:space="preserve"> </w:t>
      </w:r>
      <w:r w:rsidRPr="00B80441">
        <w:rPr>
          <w:lang w:val="fr-CH"/>
        </w:rPr>
        <w:tab/>
        <w:t>À sa trente</w:t>
      </w:r>
      <w:r w:rsidR="00A711FE" w:rsidRPr="00B80441">
        <w:rPr>
          <w:lang w:val="fr-CH"/>
        </w:rPr>
        <w:t>-</w:t>
      </w:r>
      <w:r w:rsidRPr="00B80441">
        <w:rPr>
          <w:lang w:val="fr-CH"/>
        </w:rPr>
        <w:t>neuv</w:t>
      </w:r>
      <w:r w:rsidR="00A711FE" w:rsidRPr="00B80441">
        <w:rPr>
          <w:lang w:val="fr-CH"/>
        </w:rPr>
        <w:t>ième session</w:t>
      </w:r>
      <w:r w:rsidRPr="00B80441">
        <w:rPr>
          <w:lang w:val="fr-CH"/>
        </w:rPr>
        <w:t>, organisée par les États</w:t>
      </w:r>
      <w:r w:rsidR="00A711FE" w:rsidRPr="00B80441">
        <w:rPr>
          <w:lang w:val="fr-CH"/>
        </w:rPr>
        <w:t>-</w:t>
      </w:r>
      <w:r w:rsidRPr="00B80441">
        <w:rPr>
          <w:lang w:val="fr-CH"/>
        </w:rPr>
        <w:t>Unis d</w:t>
      </w:r>
      <w:r w:rsidR="00A711FE" w:rsidRPr="00B80441">
        <w:rPr>
          <w:lang w:val="fr-CH"/>
        </w:rPr>
        <w:t>’</w:t>
      </w:r>
      <w:r w:rsidRPr="00B80441">
        <w:rPr>
          <w:lang w:val="fr-CH"/>
        </w:rPr>
        <w:t>Amérique par voie électronique du 20 au 2</w:t>
      </w:r>
      <w:r w:rsidR="00A711FE" w:rsidRPr="00B80441">
        <w:rPr>
          <w:lang w:val="fr-CH"/>
        </w:rPr>
        <w:t>2 septembre 20</w:t>
      </w:r>
      <w:r w:rsidRPr="00B80441">
        <w:rPr>
          <w:lang w:val="fr-CH"/>
        </w:rPr>
        <w:t>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DBD" w:rsidRDefault="007F3D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027994" w:rsidP="00EB048E">
    <w:pPr>
      <w:pStyle w:val="Header"/>
      <w:rPr>
        <w:rStyle w:val="PageNumber"/>
        <w:lang w:val="en-US"/>
      </w:rPr>
    </w:pPr>
    <w:r>
      <w:rPr>
        <w:rStyle w:val="PageNumber"/>
        <w:lang w:val="en-US"/>
      </w:rPr>
      <w:t>TC/5</w:t>
    </w:r>
    <w:r w:rsidR="00A2300A">
      <w:rPr>
        <w:rStyle w:val="PageNumber"/>
        <w:lang w:val="en-US"/>
      </w:rPr>
      <w:t>7</w:t>
    </w:r>
    <w:r w:rsidR="00667404">
      <w:rPr>
        <w:rStyle w:val="PageNumber"/>
        <w:lang w:val="en-US"/>
      </w:rPr>
      <w:t>/</w:t>
    </w:r>
    <w:r w:rsidR="00395233">
      <w:rPr>
        <w:rStyle w:val="PageNumber"/>
        <w:lang w:val="en-US"/>
      </w:rPr>
      <w:t>INF/6</w:t>
    </w:r>
  </w:p>
  <w:p w:rsidR="00182B99" w:rsidRPr="00C5280D" w:rsidRDefault="00182B99" w:rsidP="00EB048E">
    <w:pPr>
      <w:pStyle w:val="Header"/>
      <w:rPr>
        <w:lang w:val="en-US"/>
      </w:rPr>
    </w:pPr>
    <w:proofErr w:type="gramStart"/>
    <w:r w:rsidRPr="00C5280D">
      <w:rPr>
        <w:lang w:val="en-US"/>
      </w:rPr>
      <w:t>page</w:t>
    </w:r>
    <w:proofErr w:type="gramEnd"/>
    <w:r w:rsidR="007F3DBD">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A2C0F">
      <w:rPr>
        <w:rStyle w:val="PageNumber"/>
        <w:noProof/>
        <w:lang w:val="en-US"/>
      </w:rPr>
      <w:t>4</w:t>
    </w:r>
    <w:r w:rsidRPr="00C5280D">
      <w:rPr>
        <w:rStyle w:val="PageNumber"/>
        <w:lang w:val="en-US"/>
      </w:rPr>
      <w:fldChar w:fldCharType="end"/>
    </w:r>
  </w:p>
  <w:p w:rsidR="00182B99" w:rsidRPr="00C5280D" w:rsidRDefault="00182B99"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DBD" w:rsidRDefault="007F3D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xUPOV LDTERM"/>
    <w:docVar w:name="TermBaseURL" w:val="empty"/>
    <w:docVar w:name="TextBases" w:val="TextBase TMs\WorkspaceFTS\UPOV\TGs|TextBase TMs\WorkspaceFTS\UPOV\UPOV"/>
    <w:docVar w:name="TextBaseURL" w:val="empty"/>
    <w:docVar w:name="UILng" w:val="en"/>
  </w:docVars>
  <w:rsids>
    <w:rsidRoot w:val="007E2DFF"/>
    <w:rsid w:val="00010CF3"/>
    <w:rsid w:val="00011E27"/>
    <w:rsid w:val="000148BC"/>
    <w:rsid w:val="00024AB8"/>
    <w:rsid w:val="00027994"/>
    <w:rsid w:val="000303A9"/>
    <w:rsid w:val="00030854"/>
    <w:rsid w:val="00036028"/>
    <w:rsid w:val="00044642"/>
    <w:rsid w:val="000446B9"/>
    <w:rsid w:val="00047E21"/>
    <w:rsid w:val="00050E16"/>
    <w:rsid w:val="00084F61"/>
    <w:rsid w:val="00085505"/>
    <w:rsid w:val="000C4E25"/>
    <w:rsid w:val="000C7021"/>
    <w:rsid w:val="000C7B8B"/>
    <w:rsid w:val="000D6BBC"/>
    <w:rsid w:val="000D7780"/>
    <w:rsid w:val="000E3068"/>
    <w:rsid w:val="000E636A"/>
    <w:rsid w:val="000F2F11"/>
    <w:rsid w:val="00105929"/>
    <w:rsid w:val="00110C36"/>
    <w:rsid w:val="001131D5"/>
    <w:rsid w:val="0012402B"/>
    <w:rsid w:val="00131637"/>
    <w:rsid w:val="00141DB8"/>
    <w:rsid w:val="00172084"/>
    <w:rsid w:val="0017474A"/>
    <w:rsid w:val="001758C6"/>
    <w:rsid w:val="00182B99"/>
    <w:rsid w:val="001C1F2F"/>
    <w:rsid w:val="001F3D68"/>
    <w:rsid w:val="0021332C"/>
    <w:rsid w:val="00213982"/>
    <w:rsid w:val="0024416D"/>
    <w:rsid w:val="00271911"/>
    <w:rsid w:val="002800A0"/>
    <w:rsid w:val="002801B3"/>
    <w:rsid w:val="00281060"/>
    <w:rsid w:val="002940E8"/>
    <w:rsid w:val="00294751"/>
    <w:rsid w:val="002A6E50"/>
    <w:rsid w:val="002B2839"/>
    <w:rsid w:val="002B4298"/>
    <w:rsid w:val="002C256A"/>
    <w:rsid w:val="002D3995"/>
    <w:rsid w:val="00305A7F"/>
    <w:rsid w:val="003152FE"/>
    <w:rsid w:val="003216A2"/>
    <w:rsid w:val="00327436"/>
    <w:rsid w:val="00337C0A"/>
    <w:rsid w:val="00344BD6"/>
    <w:rsid w:val="0035084F"/>
    <w:rsid w:val="0035279B"/>
    <w:rsid w:val="0035528D"/>
    <w:rsid w:val="00361821"/>
    <w:rsid w:val="00361E9E"/>
    <w:rsid w:val="00395233"/>
    <w:rsid w:val="003A2160"/>
    <w:rsid w:val="003A2C0F"/>
    <w:rsid w:val="003C7FBE"/>
    <w:rsid w:val="003D227C"/>
    <w:rsid w:val="003D2B4D"/>
    <w:rsid w:val="003D54CF"/>
    <w:rsid w:val="0040557F"/>
    <w:rsid w:val="00444A88"/>
    <w:rsid w:val="00465AAB"/>
    <w:rsid w:val="00474DA4"/>
    <w:rsid w:val="00476B4D"/>
    <w:rsid w:val="004805FA"/>
    <w:rsid w:val="004935D2"/>
    <w:rsid w:val="004B1215"/>
    <w:rsid w:val="004D047D"/>
    <w:rsid w:val="004F1E9E"/>
    <w:rsid w:val="004F305A"/>
    <w:rsid w:val="004F70D4"/>
    <w:rsid w:val="00512164"/>
    <w:rsid w:val="00520297"/>
    <w:rsid w:val="005338F9"/>
    <w:rsid w:val="0054281C"/>
    <w:rsid w:val="00544581"/>
    <w:rsid w:val="00545E42"/>
    <w:rsid w:val="0055268D"/>
    <w:rsid w:val="00556C30"/>
    <w:rsid w:val="00576BE4"/>
    <w:rsid w:val="005929CF"/>
    <w:rsid w:val="005A400A"/>
    <w:rsid w:val="005F7B92"/>
    <w:rsid w:val="00612379"/>
    <w:rsid w:val="006153B6"/>
    <w:rsid w:val="0061555F"/>
    <w:rsid w:val="00636CA6"/>
    <w:rsid w:val="00641200"/>
    <w:rsid w:val="00645CA8"/>
    <w:rsid w:val="00656871"/>
    <w:rsid w:val="006655D3"/>
    <w:rsid w:val="00667404"/>
    <w:rsid w:val="00667834"/>
    <w:rsid w:val="00687EB4"/>
    <w:rsid w:val="00695C56"/>
    <w:rsid w:val="006A5CDE"/>
    <w:rsid w:val="006A644A"/>
    <w:rsid w:val="006B17D2"/>
    <w:rsid w:val="006B5204"/>
    <w:rsid w:val="006C224E"/>
    <w:rsid w:val="006D780A"/>
    <w:rsid w:val="0071271E"/>
    <w:rsid w:val="00713DE4"/>
    <w:rsid w:val="00732DEC"/>
    <w:rsid w:val="00735BD5"/>
    <w:rsid w:val="00751613"/>
    <w:rsid w:val="007556F6"/>
    <w:rsid w:val="00760EEF"/>
    <w:rsid w:val="00777EE5"/>
    <w:rsid w:val="00784836"/>
    <w:rsid w:val="0079023E"/>
    <w:rsid w:val="007A2854"/>
    <w:rsid w:val="007C1D92"/>
    <w:rsid w:val="007C4CB9"/>
    <w:rsid w:val="007D0B9D"/>
    <w:rsid w:val="007D19B0"/>
    <w:rsid w:val="007E2DFF"/>
    <w:rsid w:val="007F3DBD"/>
    <w:rsid w:val="007F498F"/>
    <w:rsid w:val="0080679D"/>
    <w:rsid w:val="008108B0"/>
    <w:rsid w:val="00811B20"/>
    <w:rsid w:val="0081261B"/>
    <w:rsid w:val="008211B5"/>
    <w:rsid w:val="0082296E"/>
    <w:rsid w:val="00824099"/>
    <w:rsid w:val="00846D7C"/>
    <w:rsid w:val="00864C55"/>
    <w:rsid w:val="00867AC1"/>
    <w:rsid w:val="00890DF8"/>
    <w:rsid w:val="00892780"/>
    <w:rsid w:val="00897A4D"/>
    <w:rsid w:val="008A743F"/>
    <w:rsid w:val="008B30F2"/>
    <w:rsid w:val="008C0970"/>
    <w:rsid w:val="008D0BC5"/>
    <w:rsid w:val="008D2CF7"/>
    <w:rsid w:val="00900C26"/>
    <w:rsid w:val="0090197F"/>
    <w:rsid w:val="00906DDC"/>
    <w:rsid w:val="00934E09"/>
    <w:rsid w:val="00936253"/>
    <w:rsid w:val="00940D46"/>
    <w:rsid w:val="00952DD4"/>
    <w:rsid w:val="00965AE7"/>
    <w:rsid w:val="00970FED"/>
    <w:rsid w:val="00992D82"/>
    <w:rsid w:val="00997029"/>
    <w:rsid w:val="009A7339"/>
    <w:rsid w:val="009B440E"/>
    <w:rsid w:val="009D690D"/>
    <w:rsid w:val="009E65B6"/>
    <w:rsid w:val="00A2300A"/>
    <w:rsid w:val="00A24C10"/>
    <w:rsid w:val="00A42AC3"/>
    <w:rsid w:val="00A430CF"/>
    <w:rsid w:val="00A54309"/>
    <w:rsid w:val="00A706D3"/>
    <w:rsid w:val="00A711FE"/>
    <w:rsid w:val="00A801D9"/>
    <w:rsid w:val="00AB2B93"/>
    <w:rsid w:val="00AB530F"/>
    <w:rsid w:val="00AB7E5B"/>
    <w:rsid w:val="00AC2883"/>
    <w:rsid w:val="00AE0EF1"/>
    <w:rsid w:val="00AE2937"/>
    <w:rsid w:val="00B07301"/>
    <w:rsid w:val="00B11F3E"/>
    <w:rsid w:val="00B224DE"/>
    <w:rsid w:val="00B24829"/>
    <w:rsid w:val="00B324D4"/>
    <w:rsid w:val="00B46575"/>
    <w:rsid w:val="00B55F76"/>
    <w:rsid w:val="00B61777"/>
    <w:rsid w:val="00B80441"/>
    <w:rsid w:val="00B84BBD"/>
    <w:rsid w:val="00BA43FB"/>
    <w:rsid w:val="00BA7E3C"/>
    <w:rsid w:val="00BC127D"/>
    <w:rsid w:val="00BC1FE6"/>
    <w:rsid w:val="00BC5FFC"/>
    <w:rsid w:val="00BD0E07"/>
    <w:rsid w:val="00BF265D"/>
    <w:rsid w:val="00BF6C07"/>
    <w:rsid w:val="00C061B6"/>
    <w:rsid w:val="00C2446C"/>
    <w:rsid w:val="00C36AE5"/>
    <w:rsid w:val="00C40A3E"/>
    <w:rsid w:val="00C41F17"/>
    <w:rsid w:val="00C527FA"/>
    <w:rsid w:val="00C5280D"/>
    <w:rsid w:val="00C53EB3"/>
    <w:rsid w:val="00C5791C"/>
    <w:rsid w:val="00C66290"/>
    <w:rsid w:val="00C72B7A"/>
    <w:rsid w:val="00C80E35"/>
    <w:rsid w:val="00C973F2"/>
    <w:rsid w:val="00CA304C"/>
    <w:rsid w:val="00CA774A"/>
    <w:rsid w:val="00CC11B0"/>
    <w:rsid w:val="00CC2841"/>
    <w:rsid w:val="00CC40C2"/>
    <w:rsid w:val="00CF1330"/>
    <w:rsid w:val="00CF7E36"/>
    <w:rsid w:val="00D3708D"/>
    <w:rsid w:val="00D40426"/>
    <w:rsid w:val="00D5756F"/>
    <w:rsid w:val="00D57C96"/>
    <w:rsid w:val="00D57D18"/>
    <w:rsid w:val="00D63810"/>
    <w:rsid w:val="00D91203"/>
    <w:rsid w:val="00D95174"/>
    <w:rsid w:val="00DA398E"/>
    <w:rsid w:val="00DA4973"/>
    <w:rsid w:val="00DA6F36"/>
    <w:rsid w:val="00DB596E"/>
    <w:rsid w:val="00DB7773"/>
    <w:rsid w:val="00DC00EA"/>
    <w:rsid w:val="00DC3802"/>
    <w:rsid w:val="00DD38BF"/>
    <w:rsid w:val="00DF130A"/>
    <w:rsid w:val="00DF5E5F"/>
    <w:rsid w:val="00E07D87"/>
    <w:rsid w:val="00E32F7E"/>
    <w:rsid w:val="00E5267B"/>
    <w:rsid w:val="00E63C0E"/>
    <w:rsid w:val="00E72D49"/>
    <w:rsid w:val="00E7593C"/>
    <w:rsid w:val="00E7678A"/>
    <w:rsid w:val="00E935F1"/>
    <w:rsid w:val="00E94A81"/>
    <w:rsid w:val="00EA1FFB"/>
    <w:rsid w:val="00EB048E"/>
    <w:rsid w:val="00EB4E9C"/>
    <w:rsid w:val="00EC07E0"/>
    <w:rsid w:val="00EE2376"/>
    <w:rsid w:val="00EE34DF"/>
    <w:rsid w:val="00EF2F89"/>
    <w:rsid w:val="00F03E98"/>
    <w:rsid w:val="00F1237A"/>
    <w:rsid w:val="00F22CBD"/>
    <w:rsid w:val="00F272F1"/>
    <w:rsid w:val="00F45372"/>
    <w:rsid w:val="00F53B5E"/>
    <w:rsid w:val="00F560F7"/>
    <w:rsid w:val="00F6334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2E406EF"/>
  <w15:docId w15:val="{4C1D9A0B-4448-4C45-A3F6-E6737CFF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6D3"/>
    <w:pPr>
      <w:jc w:val="both"/>
    </w:pPr>
    <w:rPr>
      <w:rFonts w:ascii="Arial" w:hAnsi="Arial"/>
      <w:lang w:val="fr-FR"/>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F3D68"/>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F3D68"/>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DF130A"/>
    <w:pPr>
      <w:tabs>
        <w:tab w:val="right" w:leader="dot" w:pos="9639"/>
      </w:tabs>
      <w:spacing w:before="60"/>
      <w:ind w:right="1418"/>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link w:val="Heading2"/>
    <w:locked/>
    <w:rsid w:val="007E2DFF"/>
    <w:rPr>
      <w:rFonts w:ascii="Arial" w:hAnsi="Arial"/>
      <w:u w:val="single"/>
    </w:rPr>
  </w:style>
  <w:style w:type="character" w:customStyle="1" w:styleId="FootnoteTextChar">
    <w:name w:val="Footnote Text Char"/>
    <w:basedOn w:val="DefaultParagraphFont"/>
    <w:link w:val="FootnoteText"/>
    <w:rsid w:val="007E2DFF"/>
    <w:rPr>
      <w:rFonts w:ascii="Arial" w:hAnsi="Arial"/>
      <w:sz w:val="16"/>
      <w:lang w:val="fr-FR"/>
    </w:rPr>
  </w:style>
  <w:style w:type="character" w:customStyle="1" w:styleId="Heading1Char">
    <w:name w:val="Heading 1 Char"/>
    <w:basedOn w:val="DefaultParagraphFont"/>
    <w:link w:val="Heading1"/>
    <w:rsid w:val="007E2DFF"/>
    <w:rPr>
      <w:rFonts w:ascii="Arial" w:hAnsi="Arial"/>
      <w:caps/>
    </w:rPr>
  </w:style>
  <w:style w:type="paragraph" w:styleId="ListParagraph">
    <w:name w:val="List Paragraph"/>
    <w:basedOn w:val="Normal"/>
    <w:uiPriority w:val="34"/>
    <w:qFormat/>
    <w:rsid w:val="007E2DFF"/>
    <w:pPr>
      <w:ind w:left="720"/>
      <w:contextualSpacing/>
    </w:pPr>
    <w:rPr>
      <w:rFonts w:eastAsia="MS Minch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2060</Words>
  <Characters>12476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TC/57</vt:lpstr>
    </vt:vector>
  </TitlesOfParts>
  <Company>UPOV</Company>
  <LinksUpToDate>false</LinksUpToDate>
  <CharactersWithSpaces>14507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TC/57/INF/6</dc:title>
  <dc:creator>BAILLY Delphine</dc:creator>
  <cp:lastModifiedBy>MAY Jessica</cp:lastModifiedBy>
  <cp:revision>29</cp:revision>
  <cp:lastPrinted>2016-11-22T15:41:00Z</cp:lastPrinted>
  <dcterms:created xsi:type="dcterms:W3CDTF">2021-10-18T06:40:00Z</dcterms:created>
  <dcterms:modified xsi:type="dcterms:W3CDTF">2021-10-19T12:23:00Z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0e9ec8a8-f232-4ccd-adf5-f3a16b030597</vt:lpwstr>
  </property>
</Properties>
</file>