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A706D3" w:rsidP="00AC2883">
            <w:pPr>
              <w:pStyle w:val="Lettrine"/>
            </w:pPr>
            <w:r>
              <w:t>F</w:t>
            </w:r>
          </w:p>
        </w:tc>
      </w:tr>
      <w:tr w:rsidR="00DC3802" w:rsidRPr="00DA4973" w:rsidTr="00645CA8">
        <w:trPr>
          <w:trHeight w:val="219"/>
        </w:trPr>
        <w:tc>
          <w:tcPr>
            <w:tcW w:w="6522" w:type="dxa"/>
          </w:tcPr>
          <w:p w:rsidR="00DC3802" w:rsidRPr="00AC2883" w:rsidRDefault="00DC3802" w:rsidP="00A706D3">
            <w:pPr>
              <w:pStyle w:val="upove"/>
            </w:pPr>
            <w:r w:rsidRPr="00AC2883">
              <w:t xml:space="preserve">Union </w:t>
            </w:r>
            <w:r w:rsidR="00A706D3">
              <w:t>i</w:t>
            </w:r>
            <w:r w:rsidR="00A706D3" w:rsidRPr="00AC2883">
              <w:t>nternational</w:t>
            </w:r>
            <w:r w:rsidR="00A706D3">
              <w:t>e</w:t>
            </w:r>
            <w:r w:rsidR="00A706D3" w:rsidRPr="00AC2883">
              <w:t xml:space="preserve"> </w:t>
            </w:r>
            <w:r w:rsidR="00A706D3">
              <w:t>pour la protection des obtentions végétales</w:t>
            </w:r>
          </w:p>
        </w:tc>
        <w:tc>
          <w:tcPr>
            <w:tcW w:w="3117" w:type="dxa"/>
          </w:tcPr>
          <w:p w:rsidR="00DC3802" w:rsidRPr="00DA4973" w:rsidRDefault="00DC3802" w:rsidP="00DA4973"/>
        </w:tc>
      </w:tr>
    </w:tbl>
    <w:p w:rsidR="00DC7EA3" w:rsidRDefault="00DC7EA3"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0E3068">
        <w:tc>
          <w:tcPr>
            <w:tcW w:w="6512" w:type="dxa"/>
            <w:tcBorders>
              <w:bottom w:val="single" w:sz="4" w:space="0" w:color="auto"/>
            </w:tcBorders>
          </w:tcPr>
          <w:p w:rsidR="00DC7EA3" w:rsidRDefault="00A706D3" w:rsidP="00AC2883">
            <w:pPr>
              <w:pStyle w:val="Sessiontc"/>
              <w:spacing w:line="240" w:lineRule="auto"/>
            </w:pPr>
            <w:r>
              <w:t>Comité technique</w:t>
            </w:r>
          </w:p>
          <w:p w:rsidR="00EB4E9C" w:rsidRPr="00DC3802" w:rsidRDefault="00A706D3" w:rsidP="00A2300A">
            <w:pPr>
              <w:pStyle w:val="Sessiontcplacedate"/>
              <w:rPr>
                <w:sz w:val="22"/>
              </w:rPr>
            </w:pPr>
            <w:r>
              <w:t>Cinquante</w:t>
            </w:r>
            <w:r w:rsidR="00255969">
              <w:t>-</w:t>
            </w:r>
            <w:r w:rsidR="00027994">
              <w:t>s</w:t>
            </w:r>
            <w:r w:rsidR="00A2300A">
              <w:t>ept</w:t>
            </w:r>
            <w:r w:rsidR="00255969">
              <w:t>ième session</w:t>
            </w:r>
            <w:r w:rsidR="00EB4E9C" w:rsidRPr="00DA4973">
              <w:br/>
              <w:t>Gen</w:t>
            </w:r>
            <w:r>
              <w:t>è</w:t>
            </w:r>
            <w:r w:rsidR="00EB4E9C" w:rsidRPr="00DA4973">
              <w:t>v</w:t>
            </w:r>
            <w:r>
              <w:t>e</w:t>
            </w:r>
            <w:r w:rsidR="00EB4E9C" w:rsidRPr="00DA4973">
              <w:t xml:space="preserve">, </w:t>
            </w:r>
            <w:r w:rsidR="00897A4D">
              <w:t>2</w:t>
            </w:r>
            <w:r w:rsidR="00A2300A">
              <w:t>5</w:t>
            </w:r>
            <w:r w:rsidR="00897A4D">
              <w:t xml:space="preserve"> et </w:t>
            </w:r>
            <w:r w:rsidR="001C1F2F">
              <w:t>2</w:t>
            </w:r>
            <w:r w:rsidR="00255969">
              <w:t>6 octobre 20</w:t>
            </w:r>
            <w:r w:rsidR="00027994">
              <w:t>2</w:t>
            </w:r>
            <w:r w:rsidR="00A2300A">
              <w:t>1</w:t>
            </w:r>
          </w:p>
        </w:tc>
        <w:tc>
          <w:tcPr>
            <w:tcW w:w="3127" w:type="dxa"/>
            <w:tcBorders>
              <w:bottom w:val="single" w:sz="4" w:space="0" w:color="auto"/>
            </w:tcBorders>
          </w:tcPr>
          <w:p w:rsidR="00DC7EA3" w:rsidRDefault="00027994" w:rsidP="003C7FBE">
            <w:pPr>
              <w:pStyle w:val="Doccode"/>
              <w:rPr>
                <w:lang w:val="fr-FR"/>
              </w:rPr>
            </w:pPr>
            <w:r>
              <w:rPr>
                <w:lang w:val="fr-FR"/>
              </w:rPr>
              <w:t>TC/5</w:t>
            </w:r>
            <w:r w:rsidR="00A2300A">
              <w:rPr>
                <w:lang w:val="fr-FR"/>
              </w:rPr>
              <w:t>7</w:t>
            </w:r>
            <w:r w:rsidR="00EB4E9C" w:rsidRPr="00027994">
              <w:rPr>
                <w:lang w:val="fr-FR"/>
              </w:rPr>
              <w:t>/</w:t>
            </w:r>
            <w:r w:rsidR="00B0676A">
              <w:rPr>
                <w:lang w:val="fr-FR"/>
              </w:rPr>
              <w:t>INF/3</w:t>
            </w:r>
          </w:p>
          <w:p w:rsidR="00DC7EA3" w:rsidRDefault="00EB4E9C" w:rsidP="003C7FBE">
            <w:pPr>
              <w:pStyle w:val="Docoriginal"/>
            </w:pPr>
            <w:r w:rsidRPr="00AC2883">
              <w:t>Original</w:t>
            </w:r>
            <w:r w:rsidR="00255969">
              <w:t> :</w:t>
            </w:r>
            <w:r w:rsidRPr="000E636A">
              <w:rPr>
                <w:b w:val="0"/>
                <w:spacing w:val="0"/>
              </w:rPr>
              <w:t xml:space="preserve"> </w:t>
            </w:r>
            <w:r w:rsidR="00A706D3">
              <w:rPr>
                <w:b w:val="0"/>
                <w:spacing w:val="0"/>
              </w:rPr>
              <w:t>anglais</w:t>
            </w:r>
          </w:p>
          <w:p w:rsidR="000E3068" w:rsidRPr="000E3068" w:rsidRDefault="00EB4E9C" w:rsidP="00B0676A">
            <w:pPr>
              <w:pStyle w:val="Docoriginal"/>
              <w:rPr>
                <w:b w:val="0"/>
                <w:spacing w:val="0"/>
              </w:rPr>
            </w:pPr>
            <w:r w:rsidRPr="00AC2883">
              <w:t>Date</w:t>
            </w:r>
            <w:r w:rsidR="00255969">
              <w:t> :</w:t>
            </w:r>
            <w:r w:rsidR="00897A4D">
              <w:rPr>
                <w:b w:val="0"/>
                <w:spacing w:val="0"/>
              </w:rPr>
              <w:t xml:space="preserve"> </w:t>
            </w:r>
            <w:r w:rsidR="00B0676A">
              <w:rPr>
                <w:b w:val="0"/>
                <w:spacing w:val="0"/>
              </w:rPr>
              <w:t>1</w:t>
            </w:r>
            <w:r w:rsidR="00255969">
              <w:rPr>
                <w:b w:val="0"/>
                <w:spacing w:val="0"/>
              </w:rPr>
              <w:t>5 octobre 20</w:t>
            </w:r>
            <w:r w:rsidR="00B0676A">
              <w:rPr>
                <w:b w:val="0"/>
                <w:spacing w:val="0"/>
              </w:rPr>
              <w:t>21</w:t>
            </w:r>
          </w:p>
        </w:tc>
      </w:tr>
    </w:tbl>
    <w:p w:rsidR="00DC7EA3" w:rsidRDefault="0074329C" w:rsidP="006A644A">
      <w:pPr>
        <w:pStyle w:val="Titleofdoc0"/>
      </w:pPr>
      <w:bookmarkStart w:id="0" w:name="TitleOfDoc"/>
      <w:bookmarkEnd w:id="0"/>
      <w:r>
        <w:t>Bases de données d</w:t>
      </w:r>
      <w:r w:rsidR="00255969">
        <w:t>’</w:t>
      </w:r>
      <w:r>
        <w:t>information de l</w:t>
      </w:r>
      <w:r w:rsidR="00255969">
        <w:t>’</w:t>
      </w:r>
      <w:r>
        <w:t>UPOV</w:t>
      </w:r>
    </w:p>
    <w:p w:rsidR="00DC7EA3" w:rsidRDefault="00AE0EF1" w:rsidP="006A644A">
      <w:pPr>
        <w:pStyle w:val="preparedby1"/>
        <w:jc w:val="left"/>
      </w:pPr>
      <w:bookmarkStart w:id="1" w:name="Prepared"/>
      <w:bookmarkEnd w:id="1"/>
      <w:r w:rsidRPr="000C4E25">
        <w:t xml:space="preserve">Document </w:t>
      </w:r>
      <w:r w:rsidR="00A706D3">
        <w:t>établi par le Bureau de l</w:t>
      </w:r>
      <w:r w:rsidR="00255969">
        <w:t>’</w:t>
      </w:r>
      <w:r w:rsidR="00A706D3">
        <w:t>Union</w:t>
      </w:r>
    </w:p>
    <w:p w:rsidR="00DC7EA3" w:rsidRDefault="00A706D3" w:rsidP="006A644A">
      <w:pPr>
        <w:pStyle w:val="Disclaimer"/>
      </w:pPr>
      <w:r w:rsidRPr="00A706D3">
        <w:t>Avertissement</w:t>
      </w:r>
      <w:r w:rsidR="00255969">
        <w:t> :</w:t>
      </w:r>
      <w:r w:rsidRPr="00A706D3">
        <w:t xml:space="preserve"> le présent document ne représente pas les principes ou les orientations de l</w:t>
      </w:r>
      <w:r w:rsidR="00255969">
        <w:t>’</w:t>
      </w:r>
      <w:r w:rsidRPr="00A706D3">
        <w:t>UPOV</w:t>
      </w:r>
    </w:p>
    <w:p w:rsidR="00DC7EA3" w:rsidRPr="00B16E6F" w:rsidRDefault="0074329C" w:rsidP="00B0676A">
      <w:pPr>
        <w:keepNext/>
        <w:outlineLvl w:val="0"/>
        <w:rPr>
          <w:rFonts w:eastAsia="MS Mincho"/>
          <w:caps/>
          <w:lang w:val="fr-CH"/>
        </w:rPr>
      </w:pPr>
      <w:bookmarkStart w:id="2" w:name="_Toc477797636"/>
      <w:bookmarkStart w:id="3" w:name="_Toc38109178"/>
      <w:bookmarkStart w:id="4" w:name="_Toc68852028"/>
      <w:bookmarkStart w:id="5" w:name="_Toc86066522"/>
      <w:r w:rsidRPr="00B16E6F">
        <w:rPr>
          <w:rFonts w:eastAsia="MS Mincho"/>
          <w:caps/>
          <w:lang w:val="fr-CH"/>
        </w:rPr>
        <w:t>résumé</w:t>
      </w:r>
      <w:bookmarkEnd w:id="5"/>
    </w:p>
    <w:p w:rsidR="00DC7EA3" w:rsidRPr="00B16E6F" w:rsidRDefault="00DC7EA3" w:rsidP="00B0676A">
      <w:pPr>
        <w:keepNext/>
        <w:outlineLvl w:val="0"/>
        <w:rPr>
          <w:rFonts w:eastAsia="MS Mincho"/>
          <w:caps/>
          <w:highlight w:val="yellow"/>
          <w:lang w:val="fr-CH"/>
        </w:rPr>
      </w:pPr>
    </w:p>
    <w:p w:rsidR="00DC7EA3" w:rsidRPr="00B16E6F" w:rsidRDefault="00B0676A" w:rsidP="0074329C">
      <w:pPr>
        <w:rPr>
          <w:rFonts w:eastAsiaTheme="minorEastAsia"/>
        </w:rPr>
      </w:pPr>
      <w:r w:rsidRPr="00B16E6F">
        <w:rPr>
          <w:rFonts w:eastAsiaTheme="minorEastAsia" w:cs="Arial"/>
        </w:rPr>
        <w:fldChar w:fldCharType="begin"/>
      </w:r>
      <w:r w:rsidRPr="00B16E6F">
        <w:rPr>
          <w:rFonts w:eastAsiaTheme="minorEastAsia" w:cs="Arial"/>
          <w:lang w:val="fr-CH"/>
        </w:rPr>
        <w:instrText xml:space="preserve"> AUTONUM  </w:instrText>
      </w:r>
      <w:r w:rsidRPr="00B16E6F">
        <w:rPr>
          <w:rFonts w:eastAsiaTheme="minorEastAsia" w:cs="Arial"/>
        </w:rPr>
        <w:fldChar w:fldCharType="end"/>
      </w:r>
      <w:r w:rsidRPr="00B16E6F">
        <w:rPr>
          <w:rFonts w:eastAsiaTheme="minorEastAsia" w:cs="Arial"/>
          <w:lang w:val="fr-CH"/>
        </w:rPr>
        <w:tab/>
      </w:r>
      <w:r w:rsidR="0074329C" w:rsidRPr="00B16E6F">
        <w:rPr>
          <w:rFonts w:eastAsiaTheme="minorEastAsia"/>
        </w:rPr>
        <w:t>L</w:t>
      </w:r>
      <w:r w:rsidR="00255969">
        <w:rPr>
          <w:rFonts w:eastAsiaTheme="minorEastAsia"/>
        </w:rPr>
        <w:t>’</w:t>
      </w:r>
      <w:r w:rsidR="0074329C" w:rsidRPr="00B16E6F">
        <w:rPr>
          <w:rFonts w:eastAsiaTheme="minorEastAsia"/>
        </w:rPr>
        <w:t>objet du présent document est de faire le point sur les faits nouveaux concernant la base de données GENIE, les codes UPOV et la base de données PLUTO, qui ne sont pas traités dans d</w:t>
      </w:r>
      <w:r w:rsidR="00255969">
        <w:rPr>
          <w:rFonts w:eastAsiaTheme="minorEastAsia"/>
        </w:rPr>
        <w:t>’</w:t>
      </w:r>
      <w:r w:rsidR="0074329C" w:rsidRPr="00B16E6F">
        <w:rPr>
          <w:rFonts w:eastAsiaTheme="minorEastAsia"/>
        </w:rPr>
        <w:t>autres documents.</w:t>
      </w:r>
    </w:p>
    <w:p w:rsidR="00DC7EA3" w:rsidRPr="00B16E6F" w:rsidRDefault="00DC7EA3" w:rsidP="0074329C">
      <w:pPr>
        <w:ind w:firstLine="567"/>
        <w:rPr>
          <w:rFonts w:eastAsia="MS Mincho"/>
        </w:rPr>
      </w:pPr>
    </w:p>
    <w:p w:rsidR="00DC7EA3" w:rsidRPr="00B16E6F" w:rsidRDefault="0074329C" w:rsidP="0074329C">
      <w:pPr>
        <w:keepNext/>
        <w:rPr>
          <w:rFonts w:eastAsiaTheme="minorEastAsia"/>
        </w:rPr>
      </w:pPr>
      <w:r w:rsidRPr="00B16E6F">
        <w:rPr>
          <w:rFonts w:eastAsiaTheme="minorEastAsia"/>
        </w:rPr>
        <w:fldChar w:fldCharType="begin"/>
      </w:r>
      <w:r w:rsidRPr="00B16E6F">
        <w:rPr>
          <w:rFonts w:eastAsiaTheme="minorEastAsia"/>
        </w:rPr>
        <w:instrText xml:space="preserve"> AUTONUM  </w:instrText>
      </w:r>
      <w:r w:rsidRPr="00B16E6F">
        <w:rPr>
          <w:rFonts w:eastAsiaTheme="minorEastAsia"/>
        </w:rPr>
        <w:fldChar w:fldCharType="end"/>
      </w:r>
      <w:r w:rsidRPr="00B16E6F">
        <w:rPr>
          <w:rFonts w:eastAsiaTheme="minorEastAsia"/>
        </w:rPr>
        <w:tab/>
        <w:t>Les abréviations suivantes sont utilisées dans le présent document</w:t>
      </w:r>
      <w:r w:rsidR="00255969">
        <w:rPr>
          <w:rFonts w:eastAsiaTheme="minorEastAsia"/>
        </w:rPr>
        <w:t> :</w:t>
      </w:r>
    </w:p>
    <w:p w:rsidR="00DC7EA3" w:rsidRPr="00B16E6F" w:rsidRDefault="00DC7EA3" w:rsidP="0074329C">
      <w:pPr>
        <w:keepNext/>
        <w:rPr>
          <w:rFonts w:eastAsiaTheme="minorEastAsia"/>
        </w:rPr>
      </w:pPr>
    </w:p>
    <w:p w:rsidR="00DC7EA3" w:rsidRPr="00B16E6F" w:rsidRDefault="0074329C" w:rsidP="0074329C">
      <w:pPr>
        <w:keepNext/>
        <w:tabs>
          <w:tab w:val="left" w:pos="567"/>
          <w:tab w:val="left" w:pos="1701"/>
        </w:tabs>
        <w:ind w:left="567"/>
        <w:rPr>
          <w:rFonts w:eastAsiaTheme="minorEastAsia"/>
        </w:rPr>
      </w:pPr>
      <w:r w:rsidRPr="00B16E6F">
        <w:rPr>
          <w:rFonts w:eastAsiaTheme="minorEastAsia"/>
        </w:rPr>
        <w:t>CAJ</w:t>
      </w:r>
      <w:r w:rsidR="00255969">
        <w:rPr>
          <w:rFonts w:eastAsiaTheme="minorEastAsia"/>
        </w:rPr>
        <w:t> :</w:t>
      </w:r>
      <w:r w:rsidRPr="00B16E6F">
        <w:rPr>
          <w:rFonts w:eastAsiaTheme="minorEastAsia"/>
        </w:rPr>
        <w:t xml:space="preserve"> </w:t>
      </w:r>
      <w:r w:rsidR="00401AE3" w:rsidRPr="00B16E6F">
        <w:rPr>
          <w:rFonts w:eastAsiaTheme="minorEastAsia"/>
        </w:rPr>
        <w:tab/>
      </w:r>
      <w:r w:rsidRPr="00B16E6F">
        <w:rPr>
          <w:rFonts w:eastAsiaTheme="minorEastAsia"/>
        </w:rPr>
        <w:t>Comité administratif et juridique</w:t>
      </w:r>
    </w:p>
    <w:p w:rsidR="00DC7EA3" w:rsidRPr="00B16E6F" w:rsidRDefault="0074329C" w:rsidP="0074329C">
      <w:pPr>
        <w:keepNext/>
        <w:tabs>
          <w:tab w:val="left" w:pos="567"/>
          <w:tab w:val="left" w:pos="1701"/>
        </w:tabs>
        <w:ind w:left="567"/>
        <w:rPr>
          <w:rFonts w:eastAsiaTheme="minorEastAsia"/>
        </w:rPr>
      </w:pPr>
      <w:r w:rsidRPr="00B16E6F">
        <w:rPr>
          <w:rFonts w:eastAsiaTheme="minorEastAsia"/>
        </w:rPr>
        <w:t>GRIN</w:t>
      </w:r>
      <w:r w:rsidR="00255969">
        <w:rPr>
          <w:rFonts w:eastAsiaTheme="minorEastAsia"/>
        </w:rPr>
        <w:t> :</w:t>
      </w:r>
      <w:r w:rsidRPr="00B16E6F">
        <w:rPr>
          <w:rFonts w:eastAsiaTheme="minorEastAsia"/>
        </w:rPr>
        <w:t xml:space="preserve"> </w:t>
      </w:r>
      <w:r w:rsidR="00401AE3" w:rsidRPr="00B16E6F">
        <w:rPr>
          <w:rFonts w:eastAsiaTheme="minorEastAsia"/>
        </w:rPr>
        <w:tab/>
      </w:r>
      <w:r w:rsidRPr="00B16E6F">
        <w:rPr>
          <w:rFonts w:eastAsiaTheme="minorEastAsia"/>
        </w:rPr>
        <w:t>Germplasm Resources Information Network</w:t>
      </w:r>
    </w:p>
    <w:p w:rsidR="00DC7EA3" w:rsidRPr="00B16E6F" w:rsidRDefault="0074329C" w:rsidP="0074329C">
      <w:pPr>
        <w:keepNext/>
        <w:tabs>
          <w:tab w:val="left" w:pos="567"/>
          <w:tab w:val="left" w:pos="1701"/>
        </w:tabs>
        <w:rPr>
          <w:rFonts w:eastAsia="PMingLiU"/>
          <w:szCs w:val="24"/>
        </w:rPr>
      </w:pPr>
      <w:r w:rsidRPr="00B16E6F">
        <w:rPr>
          <w:rFonts w:eastAsia="PMingLiU"/>
          <w:szCs w:val="24"/>
        </w:rPr>
        <w:tab/>
        <w:t>TC</w:t>
      </w:r>
      <w:r w:rsidR="00255969">
        <w:rPr>
          <w:rFonts w:eastAsia="PMingLiU"/>
          <w:szCs w:val="24"/>
        </w:rPr>
        <w:t> :</w:t>
      </w:r>
      <w:r w:rsidRPr="00B16E6F">
        <w:rPr>
          <w:rFonts w:eastAsia="PMingLiU"/>
          <w:szCs w:val="24"/>
        </w:rPr>
        <w:t xml:space="preserve"> </w:t>
      </w:r>
      <w:r w:rsidR="00401AE3" w:rsidRPr="00B16E6F">
        <w:rPr>
          <w:rFonts w:eastAsia="PMingLiU"/>
          <w:szCs w:val="24"/>
        </w:rPr>
        <w:tab/>
      </w:r>
      <w:r w:rsidRPr="00B16E6F">
        <w:rPr>
          <w:rFonts w:eastAsia="PMingLiU"/>
          <w:szCs w:val="24"/>
        </w:rPr>
        <w:t>Comité technique</w:t>
      </w:r>
    </w:p>
    <w:p w:rsidR="00DC7EA3" w:rsidRPr="00B16E6F" w:rsidRDefault="0074329C" w:rsidP="0074329C">
      <w:pPr>
        <w:keepNext/>
        <w:tabs>
          <w:tab w:val="left" w:pos="567"/>
          <w:tab w:val="left" w:pos="1701"/>
        </w:tabs>
        <w:rPr>
          <w:rFonts w:eastAsia="PMingLiU"/>
          <w:szCs w:val="24"/>
        </w:rPr>
      </w:pPr>
      <w:r w:rsidRPr="00B16E6F">
        <w:rPr>
          <w:rFonts w:eastAsia="PMingLiU"/>
          <w:szCs w:val="24"/>
        </w:rPr>
        <w:tab/>
        <w:t>TWA</w:t>
      </w:r>
      <w:r w:rsidR="00255969">
        <w:rPr>
          <w:rFonts w:eastAsia="PMingLiU"/>
          <w:szCs w:val="24"/>
        </w:rPr>
        <w:t> :</w:t>
      </w:r>
      <w:r w:rsidRPr="00B16E6F">
        <w:rPr>
          <w:rFonts w:eastAsia="PMingLiU"/>
          <w:szCs w:val="24"/>
        </w:rPr>
        <w:t xml:space="preserve"> </w:t>
      </w:r>
      <w:r w:rsidR="00401AE3" w:rsidRPr="00B16E6F">
        <w:rPr>
          <w:rFonts w:eastAsia="PMingLiU"/>
          <w:szCs w:val="24"/>
        </w:rPr>
        <w:tab/>
      </w:r>
      <w:r w:rsidRPr="00B16E6F">
        <w:rPr>
          <w:rFonts w:eastAsia="PMingLiU"/>
          <w:szCs w:val="24"/>
        </w:rPr>
        <w:t>Groupe de travail technique sur les plantes agricoles</w:t>
      </w:r>
    </w:p>
    <w:p w:rsidR="00DC7EA3" w:rsidRPr="00B16E6F" w:rsidRDefault="0074329C" w:rsidP="0074329C">
      <w:pPr>
        <w:keepNext/>
        <w:tabs>
          <w:tab w:val="left" w:pos="567"/>
          <w:tab w:val="left" w:pos="1701"/>
        </w:tabs>
        <w:rPr>
          <w:rFonts w:eastAsia="PMingLiU"/>
          <w:szCs w:val="24"/>
        </w:rPr>
      </w:pPr>
      <w:r w:rsidRPr="00B16E6F">
        <w:rPr>
          <w:rFonts w:eastAsia="PMingLiU"/>
          <w:szCs w:val="24"/>
        </w:rPr>
        <w:tab/>
        <w:t>TWC</w:t>
      </w:r>
      <w:r w:rsidR="00255969">
        <w:rPr>
          <w:rFonts w:eastAsia="PMingLiU"/>
          <w:szCs w:val="24"/>
        </w:rPr>
        <w:t> :</w:t>
      </w:r>
      <w:r w:rsidRPr="00B16E6F">
        <w:rPr>
          <w:rFonts w:eastAsia="PMingLiU"/>
          <w:szCs w:val="24"/>
        </w:rPr>
        <w:t xml:space="preserve"> </w:t>
      </w:r>
      <w:r w:rsidR="00401AE3" w:rsidRPr="00B16E6F">
        <w:rPr>
          <w:rFonts w:eastAsia="PMingLiU"/>
          <w:szCs w:val="24"/>
        </w:rPr>
        <w:tab/>
      </w:r>
      <w:r w:rsidRPr="00B16E6F">
        <w:rPr>
          <w:rFonts w:eastAsia="PMingLiU"/>
          <w:szCs w:val="24"/>
        </w:rPr>
        <w:t>Groupe de travail technique sur les systèmes d</w:t>
      </w:r>
      <w:r w:rsidR="00255969">
        <w:rPr>
          <w:rFonts w:eastAsia="PMingLiU"/>
          <w:szCs w:val="24"/>
        </w:rPr>
        <w:t>’</w:t>
      </w:r>
      <w:r w:rsidRPr="00B16E6F">
        <w:rPr>
          <w:rFonts w:eastAsia="PMingLiU"/>
          <w:szCs w:val="24"/>
        </w:rPr>
        <w:t>automatisation et les programmes d</w:t>
      </w:r>
      <w:r w:rsidR="00255969">
        <w:rPr>
          <w:rFonts w:eastAsia="PMingLiU"/>
          <w:szCs w:val="24"/>
        </w:rPr>
        <w:t>’</w:t>
      </w:r>
      <w:r w:rsidRPr="00B16E6F">
        <w:rPr>
          <w:rFonts w:eastAsia="PMingLiU"/>
          <w:szCs w:val="24"/>
        </w:rPr>
        <w:t>ordinateur</w:t>
      </w:r>
    </w:p>
    <w:p w:rsidR="00DC7EA3" w:rsidRPr="00B16E6F" w:rsidRDefault="0074329C" w:rsidP="0074329C">
      <w:pPr>
        <w:keepNext/>
        <w:tabs>
          <w:tab w:val="left" w:pos="567"/>
          <w:tab w:val="left" w:pos="1701"/>
        </w:tabs>
        <w:rPr>
          <w:rFonts w:eastAsia="PMingLiU"/>
          <w:szCs w:val="24"/>
        </w:rPr>
      </w:pPr>
      <w:r w:rsidRPr="00B16E6F">
        <w:rPr>
          <w:rFonts w:eastAsia="PMingLiU"/>
          <w:szCs w:val="24"/>
        </w:rPr>
        <w:tab/>
        <w:t>TWF</w:t>
      </w:r>
      <w:r w:rsidR="00255969">
        <w:rPr>
          <w:rFonts w:eastAsia="PMingLiU"/>
          <w:szCs w:val="24"/>
        </w:rPr>
        <w:t> :</w:t>
      </w:r>
      <w:r w:rsidRPr="00B16E6F">
        <w:rPr>
          <w:rFonts w:eastAsia="PMingLiU"/>
          <w:szCs w:val="24"/>
        </w:rPr>
        <w:t xml:space="preserve"> </w:t>
      </w:r>
      <w:r w:rsidR="00401AE3" w:rsidRPr="00B16E6F">
        <w:rPr>
          <w:rFonts w:eastAsia="PMingLiU"/>
          <w:szCs w:val="24"/>
        </w:rPr>
        <w:tab/>
      </w:r>
      <w:r w:rsidRPr="00B16E6F">
        <w:rPr>
          <w:rFonts w:eastAsia="PMingLiU"/>
          <w:szCs w:val="24"/>
        </w:rPr>
        <w:t>Groupe de travail technique sur les plantes fruitières</w:t>
      </w:r>
    </w:p>
    <w:p w:rsidR="00DC7EA3" w:rsidRPr="00B16E6F" w:rsidRDefault="0074329C" w:rsidP="0074329C">
      <w:pPr>
        <w:keepNext/>
        <w:tabs>
          <w:tab w:val="left" w:pos="567"/>
          <w:tab w:val="left" w:pos="1701"/>
        </w:tabs>
        <w:rPr>
          <w:rFonts w:eastAsia="PMingLiU"/>
          <w:szCs w:val="24"/>
        </w:rPr>
      </w:pPr>
      <w:r w:rsidRPr="00B16E6F">
        <w:rPr>
          <w:rFonts w:eastAsia="PMingLiU"/>
          <w:szCs w:val="24"/>
        </w:rPr>
        <w:tab/>
        <w:t>TWO</w:t>
      </w:r>
      <w:r w:rsidR="00255969">
        <w:rPr>
          <w:rFonts w:eastAsia="PMingLiU"/>
          <w:szCs w:val="24"/>
        </w:rPr>
        <w:t> :</w:t>
      </w:r>
      <w:r w:rsidRPr="00B16E6F">
        <w:rPr>
          <w:rFonts w:eastAsia="PMingLiU"/>
          <w:szCs w:val="24"/>
        </w:rPr>
        <w:t xml:space="preserve"> </w:t>
      </w:r>
      <w:r w:rsidR="00401AE3" w:rsidRPr="00B16E6F">
        <w:rPr>
          <w:rFonts w:eastAsia="PMingLiU"/>
          <w:szCs w:val="24"/>
        </w:rPr>
        <w:tab/>
      </w:r>
      <w:r w:rsidRPr="00B16E6F">
        <w:rPr>
          <w:rFonts w:eastAsia="PMingLiU"/>
          <w:szCs w:val="24"/>
        </w:rPr>
        <w:t>Groupe de travail technique sur les plantes ornementales et les arbres forestiers</w:t>
      </w:r>
    </w:p>
    <w:p w:rsidR="00DC7EA3" w:rsidRPr="00B16E6F" w:rsidRDefault="0074329C" w:rsidP="0074329C">
      <w:pPr>
        <w:keepNext/>
        <w:tabs>
          <w:tab w:val="left" w:pos="567"/>
          <w:tab w:val="left" w:pos="1701"/>
        </w:tabs>
        <w:rPr>
          <w:rFonts w:eastAsia="PMingLiU"/>
          <w:szCs w:val="24"/>
        </w:rPr>
      </w:pPr>
      <w:r w:rsidRPr="00B16E6F">
        <w:rPr>
          <w:rFonts w:eastAsia="PMingLiU"/>
          <w:szCs w:val="24"/>
        </w:rPr>
        <w:tab/>
        <w:t>TWP</w:t>
      </w:r>
      <w:r w:rsidR="00255969">
        <w:rPr>
          <w:rFonts w:eastAsia="PMingLiU"/>
          <w:szCs w:val="24"/>
        </w:rPr>
        <w:t> :</w:t>
      </w:r>
      <w:r w:rsidRPr="00B16E6F">
        <w:rPr>
          <w:rFonts w:eastAsia="PMingLiU"/>
          <w:szCs w:val="24"/>
        </w:rPr>
        <w:t xml:space="preserve"> </w:t>
      </w:r>
      <w:r w:rsidR="00401AE3" w:rsidRPr="00B16E6F">
        <w:rPr>
          <w:rFonts w:eastAsia="PMingLiU"/>
          <w:szCs w:val="24"/>
        </w:rPr>
        <w:tab/>
      </w:r>
      <w:r w:rsidRPr="00B16E6F">
        <w:rPr>
          <w:rFonts w:eastAsia="PMingLiU"/>
          <w:szCs w:val="24"/>
        </w:rPr>
        <w:t>Groupe(s) de travail technique(s)</w:t>
      </w:r>
    </w:p>
    <w:p w:rsidR="00DC7EA3" w:rsidRPr="00B16E6F" w:rsidRDefault="0074329C" w:rsidP="0074329C">
      <w:pPr>
        <w:tabs>
          <w:tab w:val="left" w:pos="567"/>
          <w:tab w:val="left" w:pos="1701"/>
        </w:tabs>
        <w:rPr>
          <w:rFonts w:eastAsiaTheme="minorEastAsia"/>
          <w:lang w:eastAsia="ja-JP"/>
        </w:rPr>
      </w:pPr>
      <w:r w:rsidRPr="00B16E6F">
        <w:rPr>
          <w:rFonts w:eastAsiaTheme="minorEastAsia"/>
        </w:rPr>
        <w:tab/>
        <w:t>TWV</w:t>
      </w:r>
      <w:r w:rsidR="00255969">
        <w:rPr>
          <w:rFonts w:eastAsiaTheme="minorEastAsia"/>
        </w:rPr>
        <w:t> :</w:t>
      </w:r>
      <w:r w:rsidRPr="00B16E6F">
        <w:rPr>
          <w:rFonts w:eastAsiaTheme="minorEastAsia"/>
        </w:rPr>
        <w:t xml:space="preserve"> </w:t>
      </w:r>
      <w:r w:rsidR="00401AE3" w:rsidRPr="00B16E6F">
        <w:rPr>
          <w:rFonts w:eastAsiaTheme="minorEastAsia"/>
        </w:rPr>
        <w:tab/>
      </w:r>
      <w:r w:rsidRPr="00B16E6F">
        <w:rPr>
          <w:rFonts w:eastAsiaTheme="minorEastAsia"/>
        </w:rPr>
        <w:t>Groupe de travail technique sur les plantes potagères</w:t>
      </w:r>
    </w:p>
    <w:p w:rsidR="00DC7EA3" w:rsidRPr="00B16E6F" w:rsidRDefault="0074329C" w:rsidP="0074329C">
      <w:pPr>
        <w:tabs>
          <w:tab w:val="left" w:pos="567"/>
          <w:tab w:val="left" w:pos="1701"/>
        </w:tabs>
        <w:rPr>
          <w:rFonts w:eastAsiaTheme="minorEastAsia" w:cs="Arial"/>
          <w:lang w:eastAsia="ja-JP"/>
        </w:rPr>
      </w:pPr>
      <w:r w:rsidRPr="00B16E6F">
        <w:rPr>
          <w:rFonts w:eastAsiaTheme="minorEastAsia"/>
          <w:snapToGrid w:val="0"/>
          <w:lang w:eastAsia="ja-JP"/>
        </w:rPr>
        <w:tab/>
        <w:t>WG</w:t>
      </w:r>
      <w:r w:rsidR="00255969">
        <w:rPr>
          <w:rFonts w:eastAsiaTheme="minorEastAsia"/>
          <w:snapToGrid w:val="0"/>
          <w:lang w:eastAsia="ja-JP"/>
        </w:rPr>
        <w:t>-</w:t>
      </w:r>
      <w:r w:rsidRPr="00B16E6F">
        <w:rPr>
          <w:rFonts w:eastAsiaTheme="minorEastAsia"/>
          <w:snapToGrid w:val="0"/>
          <w:lang w:eastAsia="ja-JP"/>
        </w:rPr>
        <w:t>DEN</w:t>
      </w:r>
      <w:r w:rsidR="00255969">
        <w:rPr>
          <w:rFonts w:eastAsiaTheme="minorEastAsia"/>
          <w:snapToGrid w:val="0"/>
          <w:lang w:eastAsia="ja-JP"/>
        </w:rPr>
        <w:t> :</w:t>
      </w:r>
      <w:r w:rsidRPr="00B16E6F">
        <w:rPr>
          <w:rFonts w:eastAsiaTheme="minorEastAsia"/>
          <w:snapToGrid w:val="0"/>
          <w:lang w:eastAsia="ja-JP"/>
        </w:rPr>
        <w:t xml:space="preserve"> </w:t>
      </w:r>
      <w:r w:rsidR="00401AE3" w:rsidRPr="00B16E6F">
        <w:rPr>
          <w:rFonts w:eastAsiaTheme="minorEastAsia"/>
          <w:snapToGrid w:val="0"/>
          <w:lang w:eastAsia="ja-JP"/>
        </w:rPr>
        <w:tab/>
      </w:r>
      <w:r w:rsidRPr="00B16E6F">
        <w:rPr>
          <w:rFonts w:eastAsiaTheme="minorEastAsia"/>
          <w:snapToGrid w:val="0"/>
          <w:lang w:eastAsia="ja-JP"/>
        </w:rPr>
        <w:t>Groupe de travail sur les dénominations variétales</w:t>
      </w:r>
    </w:p>
    <w:p w:rsidR="00DC7EA3" w:rsidRPr="00B16E6F" w:rsidRDefault="00DC7EA3" w:rsidP="0074329C">
      <w:pPr>
        <w:keepNext/>
        <w:keepLines/>
        <w:rPr>
          <w:rFonts w:eastAsia="MS Mincho" w:cs="Arial"/>
          <w:snapToGrid w:val="0"/>
        </w:rPr>
      </w:pPr>
    </w:p>
    <w:p w:rsidR="00DC7EA3" w:rsidRPr="00B16E6F" w:rsidRDefault="0074329C" w:rsidP="0074329C">
      <w:pPr>
        <w:keepNext/>
        <w:keepLines/>
        <w:rPr>
          <w:rFonts w:eastAsia="MS Mincho"/>
        </w:rPr>
      </w:pPr>
      <w:r w:rsidRPr="00B16E6F">
        <w:rPr>
          <w:rFonts w:eastAsia="MS Mincho"/>
        </w:rPr>
        <w:fldChar w:fldCharType="begin"/>
      </w:r>
      <w:r w:rsidRPr="00B16E6F">
        <w:rPr>
          <w:rFonts w:eastAsia="MS Mincho"/>
        </w:rPr>
        <w:instrText xml:space="preserve"> AUTONUM  </w:instrText>
      </w:r>
      <w:r w:rsidRPr="00B16E6F">
        <w:rPr>
          <w:rFonts w:eastAsia="MS Mincho"/>
        </w:rPr>
        <w:fldChar w:fldCharType="end"/>
      </w:r>
      <w:r w:rsidRPr="00B16E6F">
        <w:rPr>
          <w:rFonts w:eastAsia="MS Mincho"/>
        </w:rPr>
        <w:tab/>
        <w:t>Le présent document est structuré comme suit</w:t>
      </w:r>
      <w:r w:rsidR="00255969">
        <w:rPr>
          <w:rFonts w:eastAsia="MS Mincho"/>
        </w:rPr>
        <w:t> :</w:t>
      </w:r>
    </w:p>
    <w:p w:rsidR="00DC7EA3" w:rsidRPr="00B16E6F" w:rsidRDefault="00DC7EA3" w:rsidP="0074329C">
      <w:pPr>
        <w:rPr>
          <w:rFonts w:eastAsia="MS Mincho"/>
          <w:caps/>
        </w:rPr>
      </w:pPr>
    </w:p>
    <w:sdt>
      <w:sdtPr>
        <w:rPr>
          <w:smallCaps/>
        </w:rPr>
        <w:id w:val="-454788501"/>
        <w:docPartObj>
          <w:docPartGallery w:val="Table of Contents"/>
          <w:docPartUnique/>
        </w:docPartObj>
      </w:sdtPr>
      <w:sdtEndPr>
        <w:rPr>
          <w:caps w:val="0"/>
          <w:smallCaps w:val="0"/>
        </w:rPr>
      </w:sdtEndPr>
      <w:sdtContent>
        <w:p w:rsidR="00A610CE" w:rsidRDefault="00B0676A">
          <w:pPr>
            <w:pStyle w:val="TOC1"/>
            <w:rPr>
              <w:rFonts w:asciiTheme="minorHAnsi" w:eastAsiaTheme="minorEastAsia" w:hAnsiTheme="minorHAnsi" w:cstheme="minorBidi"/>
              <w:caps w:val="0"/>
              <w:noProof/>
              <w:sz w:val="22"/>
              <w:szCs w:val="22"/>
              <w:lang w:val="en-US"/>
            </w:rPr>
          </w:pPr>
          <w:r w:rsidRPr="00B16E6F">
            <w:fldChar w:fldCharType="begin"/>
          </w:r>
          <w:r w:rsidRPr="00B16E6F">
            <w:instrText xml:space="preserve"> TOC \o "1-3" \h \z \u </w:instrText>
          </w:r>
          <w:r w:rsidRPr="00B16E6F">
            <w:fldChar w:fldCharType="separate"/>
          </w:r>
          <w:hyperlink w:anchor="_Toc86066522" w:history="1">
            <w:r w:rsidR="00A610CE" w:rsidRPr="004268F0">
              <w:rPr>
                <w:rStyle w:val="Hyperlink"/>
                <w:rFonts w:eastAsia="MS Mincho"/>
                <w:noProof/>
                <w:lang w:val="fr-CH"/>
              </w:rPr>
              <w:t>résumé</w:t>
            </w:r>
            <w:r w:rsidR="00A610CE">
              <w:rPr>
                <w:noProof/>
                <w:webHidden/>
              </w:rPr>
              <w:tab/>
            </w:r>
            <w:r w:rsidR="00A610CE">
              <w:rPr>
                <w:noProof/>
                <w:webHidden/>
              </w:rPr>
              <w:fldChar w:fldCharType="begin"/>
            </w:r>
            <w:r w:rsidR="00A610CE">
              <w:rPr>
                <w:noProof/>
                <w:webHidden/>
              </w:rPr>
              <w:instrText xml:space="preserve"> PAGEREF _Toc86066522 \h </w:instrText>
            </w:r>
            <w:r w:rsidR="00A610CE">
              <w:rPr>
                <w:noProof/>
                <w:webHidden/>
              </w:rPr>
            </w:r>
            <w:r w:rsidR="00A610CE">
              <w:rPr>
                <w:noProof/>
                <w:webHidden/>
              </w:rPr>
              <w:fldChar w:fldCharType="separate"/>
            </w:r>
            <w:r w:rsidR="00A610CE">
              <w:rPr>
                <w:noProof/>
                <w:webHidden/>
              </w:rPr>
              <w:t>1</w:t>
            </w:r>
            <w:r w:rsidR="00A610CE">
              <w:rPr>
                <w:noProof/>
                <w:webHidden/>
              </w:rPr>
              <w:fldChar w:fldCharType="end"/>
            </w:r>
          </w:hyperlink>
        </w:p>
        <w:p w:rsidR="00A610CE" w:rsidRDefault="00A610CE">
          <w:pPr>
            <w:pStyle w:val="TOC1"/>
            <w:rPr>
              <w:rFonts w:asciiTheme="minorHAnsi" w:eastAsiaTheme="minorEastAsia" w:hAnsiTheme="minorHAnsi" w:cstheme="minorBidi"/>
              <w:caps w:val="0"/>
              <w:noProof/>
              <w:sz w:val="22"/>
              <w:szCs w:val="22"/>
              <w:lang w:val="en-US"/>
            </w:rPr>
          </w:pPr>
          <w:hyperlink w:anchor="_Toc86066523" w:history="1">
            <w:r w:rsidRPr="004268F0">
              <w:rPr>
                <w:rStyle w:val="Hyperlink"/>
                <w:rFonts w:eastAsia="MS Mincho"/>
                <w:noProof/>
                <w:lang w:val="fr-CH"/>
              </w:rPr>
              <w:t>Base de données GENIE</w:t>
            </w:r>
            <w:r>
              <w:rPr>
                <w:noProof/>
                <w:webHidden/>
              </w:rPr>
              <w:tab/>
            </w:r>
            <w:r>
              <w:rPr>
                <w:noProof/>
                <w:webHidden/>
              </w:rPr>
              <w:fldChar w:fldCharType="begin"/>
            </w:r>
            <w:r>
              <w:rPr>
                <w:noProof/>
                <w:webHidden/>
              </w:rPr>
              <w:instrText xml:space="preserve"> PAGEREF _Toc86066523 \h </w:instrText>
            </w:r>
            <w:r>
              <w:rPr>
                <w:noProof/>
                <w:webHidden/>
              </w:rPr>
            </w:r>
            <w:r>
              <w:rPr>
                <w:noProof/>
                <w:webHidden/>
              </w:rPr>
              <w:fldChar w:fldCharType="separate"/>
            </w:r>
            <w:r>
              <w:rPr>
                <w:noProof/>
                <w:webHidden/>
              </w:rPr>
              <w:t>1</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24" w:history="1">
            <w:r w:rsidRPr="004268F0">
              <w:rPr>
                <w:rStyle w:val="Hyperlink"/>
                <w:rFonts w:eastAsia="MS Mincho"/>
                <w:noProof/>
                <w:lang w:val="fr-CH"/>
              </w:rPr>
              <w:t>Rappel</w:t>
            </w:r>
            <w:r>
              <w:rPr>
                <w:noProof/>
                <w:webHidden/>
              </w:rPr>
              <w:tab/>
            </w:r>
            <w:r>
              <w:rPr>
                <w:noProof/>
                <w:webHidden/>
              </w:rPr>
              <w:fldChar w:fldCharType="begin"/>
            </w:r>
            <w:r>
              <w:rPr>
                <w:noProof/>
                <w:webHidden/>
              </w:rPr>
              <w:instrText xml:space="preserve"> PAGEREF _Toc86066524 \h </w:instrText>
            </w:r>
            <w:r>
              <w:rPr>
                <w:noProof/>
                <w:webHidden/>
              </w:rPr>
            </w:r>
            <w:r>
              <w:rPr>
                <w:noProof/>
                <w:webHidden/>
              </w:rPr>
              <w:fldChar w:fldCharType="separate"/>
            </w:r>
            <w:r>
              <w:rPr>
                <w:noProof/>
                <w:webHidden/>
              </w:rPr>
              <w:t>1</w:t>
            </w:r>
            <w:r>
              <w:rPr>
                <w:noProof/>
                <w:webHidden/>
              </w:rPr>
              <w:fldChar w:fldCharType="end"/>
            </w:r>
          </w:hyperlink>
        </w:p>
        <w:p w:rsidR="00A610CE" w:rsidRDefault="00A610CE">
          <w:pPr>
            <w:pStyle w:val="TOC1"/>
            <w:rPr>
              <w:rFonts w:asciiTheme="minorHAnsi" w:eastAsiaTheme="minorEastAsia" w:hAnsiTheme="minorHAnsi" w:cstheme="minorBidi"/>
              <w:caps w:val="0"/>
              <w:noProof/>
              <w:sz w:val="22"/>
              <w:szCs w:val="22"/>
              <w:lang w:val="en-US"/>
            </w:rPr>
          </w:pPr>
          <w:hyperlink w:anchor="_Toc86066525" w:history="1">
            <w:r w:rsidRPr="004268F0">
              <w:rPr>
                <w:rStyle w:val="Hyperlink"/>
                <w:noProof/>
              </w:rPr>
              <w:t>Système de codes UPOV</w:t>
            </w:r>
            <w:r>
              <w:rPr>
                <w:noProof/>
                <w:webHidden/>
              </w:rPr>
              <w:tab/>
            </w:r>
            <w:r>
              <w:rPr>
                <w:noProof/>
                <w:webHidden/>
              </w:rPr>
              <w:fldChar w:fldCharType="begin"/>
            </w:r>
            <w:r>
              <w:rPr>
                <w:noProof/>
                <w:webHidden/>
              </w:rPr>
              <w:instrText xml:space="preserve"> PAGEREF _Toc86066525 \h </w:instrText>
            </w:r>
            <w:r>
              <w:rPr>
                <w:noProof/>
                <w:webHidden/>
              </w:rPr>
            </w:r>
            <w:r>
              <w:rPr>
                <w:noProof/>
                <w:webHidden/>
              </w:rPr>
              <w:fldChar w:fldCharType="separate"/>
            </w:r>
            <w:r>
              <w:rPr>
                <w:noProof/>
                <w:webHidden/>
              </w:rPr>
              <w:t>2</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26" w:history="1">
            <w:r w:rsidRPr="004268F0">
              <w:rPr>
                <w:rStyle w:val="Hyperlink"/>
                <w:rFonts w:eastAsia="MS Mincho"/>
                <w:noProof/>
                <w:lang w:val="fr-CH"/>
              </w:rPr>
              <w:t>Faits nouveaux concernant les codes UPOV</w:t>
            </w:r>
            <w:r>
              <w:rPr>
                <w:noProof/>
                <w:webHidden/>
              </w:rPr>
              <w:tab/>
            </w:r>
            <w:r>
              <w:rPr>
                <w:noProof/>
                <w:webHidden/>
              </w:rPr>
              <w:fldChar w:fldCharType="begin"/>
            </w:r>
            <w:r>
              <w:rPr>
                <w:noProof/>
                <w:webHidden/>
              </w:rPr>
              <w:instrText xml:space="preserve"> PAGEREF _Toc86066526 \h </w:instrText>
            </w:r>
            <w:r>
              <w:rPr>
                <w:noProof/>
                <w:webHidden/>
              </w:rPr>
            </w:r>
            <w:r>
              <w:rPr>
                <w:noProof/>
                <w:webHidden/>
              </w:rPr>
              <w:fldChar w:fldCharType="separate"/>
            </w:r>
            <w:r>
              <w:rPr>
                <w:noProof/>
                <w:webHidden/>
              </w:rPr>
              <w:t>2</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27" w:history="1">
            <w:r w:rsidRPr="004268F0">
              <w:rPr>
                <w:rStyle w:val="Hyperlink"/>
                <w:noProof/>
                <w:lang w:eastAsia="ja-JP"/>
              </w:rPr>
              <w:t>Vérification par les TWP</w:t>
            </w:r>
            <w:r>
              <w:rPr>
                <w:noProof/>
                <w:webHidden/>
              </w:rPr>
              <w:tab/>
            </w:r>
            <w:r>
              <w:rPr>
                <w:noProof/>
                <w:webHidden/>
              </w:rPr>
              <w:fldChar w:fldCharType="begin"/>
            </w:r>
            <w:r>
              <w:rPr>
                <w:noProof/>
                <w:webHidden/>
              </w:rPr>
              <w:instrText xml:space="preserve"> PAGEREF _Toc86066527 \h </w:instrText>
            </w:r>
            <w:r>
              <w:rPr>
                <w:noProof/>
                <w:webHidden/>
              </w:rPr>
            </w:r>
            <w:r>
              <w:rPr>
                <w:noProof/>
                <w:webHidden/>
              </w:rPr>
              <w:fldChar w:fldCharType="separate"/>
            </w:r>
            <w:r>
              <w:rPr>
                <w:noProof/>
                <w:webHidden/>
              </w:rPr>
              <w:t>3</w:t>
            </w:r>
            <w:r>
              <w:rPr>
                <w:noProof/>
                <w:webHidden/>
              </w:rPr>
              <w:fldChar w:fldCharType="end"/>
            </w:r>
          </w:hyperlink>
        </w:p>
        <w:p w:rsidR="00A610CE" w:rsidRDefault="00A610CE">
          <w:pPr>
            <w:pStyle w:val="TOC1"/>
            <w:rPr>
              <w:rFonts w:asciiTheme="minorHAnsi" w:eastAsiaTheme="minorEastAsia" w:hAnsiTheme="minorHAnsi" w:cstheme="minorBidi"/>
              <w:caps w:val="0"/>
              <w:noProof/>
              <w:sz w:val="22"/>
              <w:szCs w:val="22"/>
              <w:lang w:val="en-US"/>
            </w:rPr>
          </w:pPr>
          <w:hyperlink w:anchor="_Toc86066528" w:history="1">
            <w:r w:rsidRPr="004268F0">
              <w:rPr>
                <w:rStyle w:val="Hyperlink"/>
                <w:noProof/>
                <w:lang w:val="fr-CH"/>
              </w:rPr>
              <w:t>Base de données PLUTO</w:t>
            </w:r>
            <w:r>
              <w:rPr>
                <w:noProof/>
                <w:webHidden/>
              </w:rPr>
              <w:tab/>
            </w:r>
            <w:r>
              <w:rPr>
                <w:noProof/>
                <w:webHidden/>
              </w:rPr>
              <w:fldChar w:fldCharType="begin"/>
            </w:r>
            <w:r>
              <w:rPr>
                <w:noProof/>
                <w:webHidden/>
              </w:rPr>
              <w:instrText xml:space="preserve"> PAGEREF _Toc86066528 \h </w:instrText>
            </w:r>
            <w:r>
              <w:rPr>
                <w:noProof/>
                <w:webHidden/>
              </w:rPr>
            </w:r>
            <w:r>
              <w:rPr>
                <w:noProof/>
                <w:webHidden/>
              </w:rPr>
              <w:fldChar w:fldCharType="separate"/>
            </w:r>
            <w:r>
              <w:rPr>
                <w:noProof/>
                <w:webHidden/>
              </w:rPr>
              <w:t>3</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29" w:history="1">
            <w:r w:rsidRPr="004268F0">
              <w:rPr>
                <w:rStyle w:val="Hyperlink"/>
                <w:rFonts w:eastAsia="MS Mincho"/>
                <w:noProof/>
                <w:lang w:val="fr-CH"/>
              </w:rPr>
              <w:t>Rappel</w:t>
            </w:r>
            <w:r>
              <w:rPr>
                <w:noProof/>
                <w:webHidden/>
              </w:rPr>
              <w:tab/>
            </w:r>
            <w:r>
              <w:rPr>
                <w:noProof/>
                <w:webHidden/>
              </w:rPr>
              <w:fldChar w:fldCharType="begin"/>
            </w:r>
            <w:r>
              <w:rPr>
                <w:noProof/>
                <w:webHidden/>
              </w:rPr>
              <w:instrText xml:space="preserve"> PAGEREF _Toc86066529 \h </w:instrText>
            </w:r>
            <w:r>
              <w:rPr>
                <w:noProof/>
                <w:webHidden/>
              </w:rPr>
            </w:r>
            <w:r>
              <w:rPr>
                <w:noProof/>
                <w:webHidden/>
              </w:rPr>
              <w:fldChar w:fldCharType="separate"/>
            </w:r>
            <w:r>
              <w:rPr>
                <w:noProof/>
                <w:webHidden/>
              </w:rPr>
              <w:t>3</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30" w:history="1">
            <w:r w:rsidRPr="004268F0">
              <w:rPr>
                <w:rStyle w:val="Hyperlink"/>
                <w:noProof/>
                <w:lang w:val="fr-CH"/>
              </w:rPr>
              <w:t>Nou</w:t>
            </w:r>
            <w:r w:rsidRPr="004268F0">
              <w:rPr>
                <w:rStyle w:val="Hyperlink"/>
                <w:noProof/>
                <w:lang w:val="fr-CH"/>
              </w:rPr>
              <w:t>v</w:t>
            </w:r>
            <w:r w:rsidRPr="004268F0">
              <w:rPr>
                <w:rStyle w:val="Hyperlink"/>
                <w:noProof/>
                <w:lang w:val="fr-CH"/>
              </w:rPr>
              <w:t>elle version de la base de données PLUTO</w:t>
            </w:r>
            <w:r>
              <w:rPr>
                <w:noProof/>
                <w:webHidden/>
              </w:rPr>
              <w:tab/>
            </w:r>
            <w:r>
              <w:rPr>
                <w:noProof/>
                <w:webHidden/>
              </w:rPr>
              <w:fldChar w:fldCharType="begin"/>
            </w:r>
            <w:r>
              <w:rPr>
                <w:noProof/>
                <w:webHidden/>
              </w:rPr>
              <w:instrText xml:space="preserve"> PAGEREF _Toc86066530 \h </w:instrText>
            </w:r>
            <w:r>
              <w:rPr>
                <w:noProof/>
                <w:webHidden/>
              </w:rPr>
            </w:r>
            <w:r>
              <w:rPr>
                <w:noProof/>
                <w:webHidden/>
              </w:rPr>
              <w:fldChar w:fldCharType="separate"/>
            </w:r>
            <w:r>
              <w:rPr>
                <w:noProof/>
                <w:webHidden/>
              </w:rPr>
              <w:t>4</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31" w:history="1">
            <w:r w:rsidRPr="004268F0">
              <w:rPr>
                <w:rStyle w:val="Hyperlink"/>
                <w:noProof/>
                <w:lang w:val="fr-CH"/>
              </w:rPr>
              <w:t>Contributions à la base de données</w:t>
            </w:r>
            <w:r>
              <w:rPr>
                <w:noProof/>
                <w:webHidden/>
              </w:rPr>
              <w:tab/>
            </w:r>
            <w:r>
              <w:rPr>
                <w:noProof/>
                <w:webHidden/>
              </w:rPr>
              <w:fldChar w:fldCharType="begin"/>
            </w:r>
            <w:r>
              <w:rPr>
                <w:noProof/>
                <w:webHidden/>
              </w:rPr>
              <w:instrText xml:space="preserve"> PAGEREF _Toc86066531 \h </w:instrText>
            </w:r>
            <w:r>
              <w:rPr>
                <w:noProof/>
                <w:webHidden/>
              </w:rPr>
            </w:r>
            <w:r>
              <w:rPr>
                <w:noProof/>
                <w:webHidden/>
              </w:rPr>
              <w:fldChar w:fldCharType="separate"/>
            </w:r>
            <w:r>
              <w:rPr>
                <w:noProof/>
                <w:webHidden/>
              </w:rPr>
              <w:t>4</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32" w:history="1">
            <w:r w:rsidRPr="004268F0">
              <w:rPr>
                <w:rStyle w:val="Hyperlink"/>
                <w:noProof/>
                <w:lang w:val="fr-CH"/>
              </w:rPr>
              <w:t>Lancement de la nouvelle version de la base de données PLUTO pour les utilisateurs</w:t>
            </w:r>
            <w:r>
              <w:rPr>
                <w:noProof/>
                <w:webHidden/>
              </w:rPr>
              <w:tab/>
            </w:r>
            <w:r>
              <w:rPr>
                <w:noProof/>
                <w:webHidden/>
              </w:rPr>
              <w:fldChar w:fldCharType="begin"/>
            </w:r>
            <w:r>
              <w:rPr>
                <w:noProof/>
                <w:webHidden/>
              </w:rPr>
              <w:instrText xml:space="preserve"> PAGEREF _Toc86066532 \h </w:instrText>
            </w:r>
            <w:r>
              <w:rPr>
                <w:noProof/>
                <w:webHidden/>
              </w:rPr>
            </w:r>
            <w:r>
              <w:rPr>
                <w:noProof/>
                <w:webHidden/>
              </w:rPr>
              <w:fldChar w:fldCharType="separate"/>
            </w:r>
            <w:r>
              <w:rPr>
                <w:noProof/>
                <w:webHidden/>
              </w:rPr>
              <w:t>5</w:t>
            </w:r>
            <w:r>
              <w:rPr>
                <w:noProof/>
                <w:webHidden/>
              </w:rPr>
              <w:fldChar w:fldCharType="end"/>
            </w:r>
          </w:hyperlink>
        </w:p>
        <w:p w:rsidR="00A610CE" w:rsidRDefault="00A610CE">
          <w:pPr>
            <w:pStyle w:val="TOC2"/>
            <w:rPr>
              <w:rFonts w:asciiTheme="minorHAnsi" w:eastAsiaTheme="minorEastAsia" w:hAnsiTheme="minorHAnsi" w:cstheme="minorBidi"/>
              <w:noProof/>
              <w:sz w:val="22"/>
              <w:szCs w:val="22"/>
              <w:lang w:val="en-US"/>
            </w:rPr>
          </w:pPr>
          <w:hyperlink w:anchor="_Toc86066533" w:history="1">
            <w:r w:rsidRPr="004268F0">
              <w:rPr>
                <w:rStyle w:val="Hyperlink"/>
                <w:rFonts w:cs="Arial"/>
                <w:noProof/>
                <w:lang w:val="fr-CH"/>
              </w:rPr>
              <w:t>Lancement de nouveaux services relatifs à la base de données PLUTO</w:t>
            </w:r>
            <w:r>
              <w:rPr>
                <w:noProof/>
                <w:webHidden/>
              </w:rPr>
              <w:tab/>
            </w:r>
            <w:r>
              <w:rPr>
                <w:noProof/>
                <w:webHidden/>
              </w:rPr>
              <w:fldChar w:fldCharType="begin"/>
            </w:r>
            <w:r>
              <w:rPr>
                <w:noProof/>
                <w:webHidden/>
              </w:rPr>
              <w:instrText xml:space="preserve"> PAGEREF _Toc86066533 \h </w:instrText>
            </w:r>
            <w:r>
              <w:rPr>
                <w:noProof/>
                <w:webHidden/>
              </w:rPr>
            </w:r>
            <w:r>
              <w:rPr>
                <w:noProof/>
                <w:webHidden/>
              </w:rPr>
              <w:fldChar w:fldCharType="separate"/>
            </w:r>
            <w:r>
              <w:rPr>
                <w:noProof/>
                <w:webHidden/>
              </w:rPr>
              <w:t>5</w:t>
            </w:r>
            <w:r>
              <w:rPr>
                <w:noProof/>
                <w:webHidden/>
              </w:rPr>
              <w:fldChar w:fldCharType="end"/>
            </w:r>
          </w:hyperlink>
        </w:p>
        <w:p w:rsidR="00DC7EA3" w:rsidRPr="00B16E6F" w:rsidRDefault="00B0676A" w:rsidP="00AC6C80">
          <w:pPr>
            <w:pStyle w:val="TOC2"/>
            <w:rPr>
              <w:noProof/>
            </w:rPr>
          </w:pPr>
          <w:r w:rsidRPr="00B16E6F">
            <w:rPr>
              <w:noProof/>
            </w:rPr>
            <w:fldChar w:fldCharType="end"/>
          </w:r>
        </w:p>
      </w:sdtContent>
    </w:sdt>
    <w:p w:rsidR="00DC7EA3" w:rsidRPr="00B16E6F" w:rsidRDefault="00B0676A" w:rsidP="00B0676A">
      <w:pPr>
        <w:spacing w:before="120"/>
        <w:ind w:left="1138" w:hanging="1138"/>
        <w:rPr>
          <w:sz w:val="18"/>
          <w:lang w:val="fr-CH"/>
        </w:rPr>
      </w:pPr>
      <w:r w:rsidRPr="00B16E6F">
        <w:rPr>
          <w:sz w:val="18"/>
          <w:lang w:val="fr-CH"/>
        </w:rPr>
        <w:t>ANNEX</w:t>
      </w:r>
      <w:r w:rsidR="00AC6C80" w:rsidRPr="00B16E6F">
        <w:rPr>
          <w:sz w:val="18"/>
          <w:lang w:val="fr-CH"/>
        </w:rPr>
        <w:t>E</w:t>
      </w:r>
      <w:r w:rsidRPr="00B16E6F">
        <w:rPr>
          <w:sz w:val="18"/>
          <w:lang w:val="fr-CH"/>
        </w:rPr>
        <w:t xml:space="preserve"> I</w:t>
      </w:r>
      <w:r w:rsidR="00255969">
        <w:rPr>
          <w:sz w:val="18"/>
          <w:lang w:val="fr-CH"/>
        </w:rPr>
        <w:t> :</w:t>
      </w:r>
      <w:r w:rsidR="00D31106">
        <w:rPr>
          <w:sz w:val="18"/>
          <w:lang w:val="fr-CH"/>
        </w:rPr>
        <w:t xml:space="preserve"> </w:t>
      </w:r>
      <w:r w:rsidRPr="00B16E6F">
        <w:rPr>
          <w:sz w:val="18"/>
          <w:lang w:val="fr-CH"/>
        </w:rPr>
        <w:tab/>
        <w:t>PROGRAM</w:t>
      </w:r>
      <w:r w:rsidR="00AC6C80" w:rsidRPr="00B16E6F">
        <w:rPr>
          <w:sz w:val="18"/>
          <w:lang w:val="fr-CH"/>
        </w:rPr>
        <w:t>ME D</w:t>
      </w:r>
      <w:r w:rsidR="00255969">
        <w:rPr>
          <w:sz w:val="18"/>
          <w:lang w:val="fr-CH"/>
        </w:rPr>
        <w:t>’</w:t>
      </w:r>
      <w:r w:rsidR="00AC6C80" w:rsidRPr="00B16E6F">
        <w:rPr>
          <w:sz w:val="18"/>
          <w:lang w:val="fr-CH"/>
        </w:rPr>
        <w:t>AMÉLIORATIONS DE LA BASE DE DONNÉES SUR LES VARIÉTÉS VÉGÉTALES</w:t>
      </w:r>
    </w:p>
    <w:p w:rsidR="00DC7EA3" w:rsidRPr="00B16E6F" w:rsidRDefault="00B0676A" w:rsidP="00B0676A">
      <w:pPr>
        <w:spacing w:before="120"/>
        <w:ind w:left="1138" w:hanging="1138"/>
        <w:rPr>
          <w:sz w:val="18"/>
          <w:lang w:val="fr-CH"/>
        </w:rPr>
      </w:pPr>
      <w:r w:rsidRPr="00B16E6F">
        <w:rPr>
          <w:sz w:val="18"/>
          <w:lang w:val="fr-CH"/>
        </w:rPr>
        <w:t>ANNEX</w:t>
      </w:r>
      <w:r w:rsidR="00AC6C80" w:rsidRPr="00B16E6F">
        <w:rPr>
          <w:sz w:val="18"/>
          <w:lang w:val="fr-CH"/>
        </w:rPr>
        <w:t>E</w:t>
      </w:r>
      <w:r w:rsidR="00F3336A">
        <w:rPr>
          <w:sz w:val="18"/>
          <w:lang w:val="fr-CH"/>
        </w:rPr>
        <w:t> </w:t>
      </w:r>
      <w:r w:rsidRPr="00B16E6F">
        <w:rPr>
          <w:sz w:val="18"/>
          <w:lang w:val="fr-CH"/>
        </w:rPr>
        <w:t>II</w:t>
      </w:r>
      <w:r w:rsidR="00255969">
        <w:rPr>
          <w:sz w:val="18"/>
          <w:lang w:val="fr-CH"/>
        </w:rPr>
        <w:t> :</w:t>
      </w:r>
      <w:r w:rsidRPr="00B16E6F">
        <w:rPr>
          <w:sz w:val="18"/>
          <w:lang w:val="fr-CH"/>
        </w:rPr>
        <w:t xml:space="preserve"> </w:t>
      </w:r>
      <w:r w:rsidRPr="00B16E6F">
        <w:rPr>
          <w:sz w:val="18"/>
          <w:lang w:val="fr-CH"/>
        </w:rPr>
        <w:tab/>
      </w:r>
      <w:r w:rsidR="00AC6C80" w:rsidRPr="00B16E6F">
        <w:rPr>
          <w:sz w:val="18"/>
          <w:lang w:val="fr-CH"/>
        </w:rPr>
        <w:t>RAPPORT SUR LES DONNÉES APPORTÉES À LA BASE DE DONNÉES SUR LES VARIÉTÉS VÉGÉTALES PAR LES MEMBRES DE L</w:t>
      </w:r>
      <w:r w:rsidR="00255969">
        <w:rPr>
          <w:sz w:val="18"/>
          <w:lang w:val="fr-CH"/>
        </w:rPr>
        <w:t>’</w:t>
      </w:r>
      <w:r w:rsidR="00AC6C80" w:rsidRPr="00B16E6F">
        <w:rPr>
          <w:sz w:val="18"/>
          <w:lang w:val="fr-CH"/>
        </w:rPr>
        <w:t>UNION ET D</w:t>
      </w:r>
      <w:r w:rsidR="00255969">
        <w:rPr>
          <w:sz w:val="18"/>
          <w:lang w:val="fr-CH"/>
        </w:rPr>
        <w:t>’</w:t>
      </w:r>
      <w:r w:rsidR="00AC6C80" w:rsidRPr="00B16E6F">
        <w:rPr>
          <w:sz w:val="18"/>
          <w:lang w:val="fr-CH"/>
        </w:rPr>
        <w:t>AUTRES CONTRIBUTEURS ET L</w:t>
      </w:r>
      <w:r w:rsidR="00255969">
        <w:rPr>
          <w:sz w:val="18"/>
          <w:lang w:val="fr-CH"/>
        </w:rPr>
        <w:t>’</w:t>
      </w:r>
      <w:r w:rsidR="00AC6C80" w:rsidRPr="00B16E6F">
        <w:rPr>
          <w:sz w:val="18"/>
          <w:lang w:val="fr-CH"/>
        </w:rPr>
        <w:t>ASSISTANCE À L</w:t>
      </w:r>
      <w:r w:rsidR="00255969">
        <w:rPr>
          <w:sz w:val="18"/>
          <w:lang w:val="fr-CH"/>
        </w:rPr>
        <w:t>’</w:t>
      </w:r>
      <w:r w:rsidR="00AC6C80" w:rsidRPr="00B16E6F">
        <w:rPr>
          <w:sz w:val="18"/>
          <w:lang w:val="fr-CH"/>
        </w:rPr>
        <w:t>APPORT DE DONNÉES</w:t>
      </w:r>
    </w:p>
    <w:p w:rsidR="00DC7EA3" w:rsidRDefault="00DC7EA3" w:rsidP="00B0676A">
      <w:pPr>
        <w:rPr>
          <w:lang w:val="fr-CH"/>
        </w:rPr>
      </w:pPr>
    </w:p>
    <w:p w:rsidR="00A610CE" w:rsidRPr="00B16E6F" w:rsidRDefault="00A610CE" w:rsidP="00B0676A">
      <w:pPr>
        <w:rPr>
          <w:lang w:val="fr-CH"/>
        </w:rPr>
      </w:pPr>
    </w:p>
    <w:p w:rsidR="00255969" w:rsidRDefault="0074329C" w:rsidP="00B0676A">
      <w:pPr>
        <w:keepNext/>
        <w:keepLines/>
        <w:outlineLvl w:val="0"/>
        <w:rPr>
          <w:rFonts w:eastAsia="MS Mincho"/>
          <w:caps/>
          <w:lang w:val="fr-CH"/>
        </w:rPr>
      </w:pPr>
      <w:bookmarkStart w:id="6" w:name="_Toc86066523"/>
      <w:r w:rsidRPr="00B16E6F">
        <w:rPr>
          <w:rFonts w:eastAsia="MS Mincho"/>
          <w:caps/>
          <w:lang w:val="fr-CH"/>
        </w:rPr>
        <w:lastRenderedPageBreak/>
        <w:t xml:space="preserve">Base de données </w:t>
      </w:r>
      <w:r w:rsidR="00B0676A" w:rsidRPr="00B16E6F">
        <w:rPr>
          <w:rFonts w:eastAsia="MS Mincho"/>
          <w:caps/>
          <w:lang w:val="fr-CH"/>
        </w:rPr>
        <w:t>GENIE</w:t>
      </w:r>
      <w:bookmarkEnd w:id="2"/>
      <w:bookmarkEnd w:id="3"/>
      <w:bookmarkEnd w:id="4"/>
      <w:bookmarkEnd w:id="6"/>
    </w:p>
    <w:p w:rsidR="00DC7EA3" w:rsidRPr="00B16E6F" w:rsidRDefault="00DC7EA3" w:rsidP="00B0676A">
      <w:pPr>
        <w:keepNext/>
        <w:keepLines/>
        <w:rPr>
          <w:rFonts w:eastAsiaTheme="minorEastAsia"/>
          <w:lang w:val="fr-CH" w:eastAsia="ja-JP"/>
        </w:rPr>
      </w:pPr>
    </w:p>
    <w:p w:rsidR="00DC7EA3" w:rsidRPr="00B16E6F" w:rsidRDefault="0074329C" w:rsidP="00B0676A">
      <w:pPr>
        <w:keepNext/>
        <w:keepLines/>
        <w:outlineLvl w:val="1"/>
        <w:rPr>
          <w:rFonts w:eastAsia="MS Mincho"/>
          <w:u w:val="single"/>
          <w:lang w:val="fr-CH"/>
        </w:rPr>
      </w:pPr>
      <w:bookmarkStart w:id="7" w:name="_Toc86066524"/>
      <w:r w:rsidRPr="00B16E6F">
        <w:rPr>
          <w:rFonts w:eastAsia="MS Mincho"/>
          <w:u w:val="single"/>
          <w:lang w:val="fr-CH"/>
        </w:rPr>
        <w:t>Rappel</w:t>
      </w:r>
      <w:bookmarkEnd w:id="7"/>
    </w:p>
    <w:p w:rsidR="00DC7EA3" w:rsidRPr="00B16E6F" w:rsidRDefault="00DC7EA3" w:rsidP="00B0676A">
      <w:pPr>
        <w:keepNext/>
        <w:keepLines/>
        <w:rPr>
          <w:rFonts w:eastAsiaTheme="minorEastAsia"/>
          <w:lang w:val="fr-CH" w:eastAsia="ja-JP"/>
        </w:rPr>
      </w:pPr>
    </w:p>
    <w:p w:rsidR="00DC7EA3" w:rsidRPr="00B16E6F" w:rsidRDefault="00B0676A" w:rsidP="0074329C">
      <w:pPr>
        <w:rPr>
          <w:rFonts w:eastAsiaTheme="minorEastAsia"/>
          <w:caps/>
        </w:rPr>
      </w:pPr>
      <w:r w:rsidRPr="00B16E6F">
        <w:rPr>
          <w:rFonts w:eastAsiaTheme="minorEastAsia" w:cs="Arial"/>
        </w:rPr>
        <w:fldChar w:fldCharType="begin"/>
      </w:r>
      <w:r w:rsidRPr="00B16E6F">
        <w:rPr>
          <w:rFonts w:eastAsiaTheme="minorEastAsia" w:cs="Arial"/>
          <w:lang w:val="fr-CH"/>
        </w:rPr>
        <w:instrText xml:space="preserve"> AUTONUM  </w:instrText>
      </w:r>
      <w:r w:rsidRPr="00B16E6F">
        <w:rPr>
          <w:rFonts w:eastAsiaTheme="minorEastAsia" w:cs="Arial"/>
        </w:rPr>
        <w:fldChar w:fldCharType="end"/>
      </w:r>
      <w:r w:rsidRPr="00B16E6F">
        <w:rPr>
          <w:rFonts w:eastAsiaTheme="minorEastAsia" w:cs="Arial"/>
          <w:lang w:val="fr-CH"/>
        </w:rPr>
        <w:tab/>
      </w:r>
      <w:r w:rsidR="0074329C" w:rsidRPr="00B16E6F">
        <w:rPr>
          <w:rFonts w:eastAsiaTheme="minorEastAsia" w:cs="Arial"/>
        </w:rPr>
        <w:t>La base de données GENIE (</w:t>
      </w:r>
      <w:hyperlink r:id="rId8" w:history="1">
        <w:r w:rsidR="0074329C" w:rsidRPr="00B16E6F">
          <w:rPr>
            <w:rStyle w:val="Hyperlink"/>
            <w:rFonts w:cs="Arial"/>
            <w:color w:val="auto"/>
          </w:rPr>
          <w:t>http://www.upov.int/genie/fr/</w:t>
        </w:r>
      </w:hyperlink>
      <w:r w:rsidR="0074329C" w:rsidRPr="00B16E6F">
        <w:rPr>
          <w:rFonts w:eastAsiaTheme="minorEastAsia" w:cs="Arial"/>
        </w:rPr>
        <w:t>) a été élaborée pour fournir des informations en ligne relatives à l</w:t>
      </w:r>
      <w:r w:rsidR="00255969">
        <w:rPr>
          <w:rFonts w:eastAsiaTheme="minorEastAsia" w:cs="Arial"/>
        </w:rPr>
        <w:t>’</w:t>
      </w:r>
      <w:r w:rsidR="0074329C" w:rsidRPr="00B16E6F">
        <w:rPr>
          <w:rFonts w:eastAsiaTheme="minorEastAsia" w:cs="Arial"/>
        </w:rPr>
        <w:t>état de la protection, à la coopération en matière d</w:t>
      </w:r>
      <w:r w:rsidR="00255969">
        <w:rPr>
          <w:rFonts w:eastAsiaTheme="minorEastAsia" w:cs="Arial"/>
        </w:rPr>
        <w:t>’</w:t>
      </w:r>
      <w:r w:rsidR="0074329C" w:rsidRPr="00B16E6F">
        <w:rPr>
          <w:rFonts w:eastAsiaTheme="minorEastAsia" w:cs="Arial"/>
        </w:rPr>
        <w:t>examen, à l</w:t>
      </w:r>
      <w:r w:rsidR="00255969">
        <w:rPr>
          <w:rFonts w:eastAsiaTheme="minorEastAsia" w:cs="Arial"/>
        </w:rPr>
        <w:t>’</w:t>
      </w:r>
      <w:r w:rsidR="0074329C" w:rsidRPr="00B16E6F">
        <w:rPr>
          <w:rFonts w:eastAsiaTheme="minorEastAsia" w:cs="Arial"/>
        </w:rPr>
        <w:t>expérience en matière d</w:t>
      </w:r>
      <w:r w:rsidR="00255969">
        <w:rPr>
          <w:rFonts w:eastAsiaTheme="minorEastAsia" w:cs="Arial"/>
        </w:rPr>
        <w:t>’</w:t>
      </w:r>
      <w:r w:rsidR="0074329C" w:rsidRPr="00B16E6F">
        <w:rPr>
          <w:rFonts w:eastAsiaTheme="minorEastAsia" w:cs="Arial"/>
        </w:rPr>
        <w:t>examen DHS et à l</w:t>
      </w:r>
      <w:r w:rsidR="00255969">
        <w:rPr>
          <w:rFonts w:eastAsiaTheme="minorEastAsia" w:cs="Arial"/>
        </w:rPr>
        <w:t>’</w:t>
      </w:r>
      <w:r w:rsidR="0074329C" w:rsidRPr="00B16E6F">
        <w:rPr>
          <w:rFonts w:eastAsiaTheme="minorEastAsia" w:cs="Arial"/>
        </w:rPr>
        <w:t>existence de principes directeurs d</w:t>
      </w:r>
      <w:r w:rsidR="00255969">
        <w:rPr>
          <w:rFonts w:eastAsiaTheme="minorEastAsia" w:cs="Arial"/>
        </w:rPr>
        <w:t>’</w:t>
      </w:r>
      <w:r w:rsidR="0074329C" w:rsidRPr="00B16E6F">
        <w:rPr>
          <w:rFonts w:eastAsiaTheme="minorEastAsia" w:cs="Arial"/>
        </w:rPr>
        <w:t>examen de l</w:t>
      </w:r>
      <w:r w:rsidR="00255969">
        <w:rPr>
          <w:rFonts w:eastAsiaTheme="minorEastAsia" w:cs="Arial"/>
        </w:rPr>
        <w:t>’</w:t>
      </w:r>
      <w:r w:rsidR="0074329C" w:rsidRPr="00B16E6F">
        <w:rPr>
          <w:rFonts w:eastAsiaTheme="minorEastAsia" w:cs="Arial"/>
        </w:rPr>
        <w:t>UPOV pour différents genres et espèces (“GENera” et “specIEs”, d</w:t>
      </w:r>
      <w:r w:rsidR="00255969">
        <w:rPr>
          <w:rFonts w:eastAsiaTheme="minorEastAsia" w:cs="Arial"/>
        </w:rPr>
        <w:t>’</w:t>
      </w:r>
      <w:r w:rsidR="0074329C" w:rsidRPr="00B16E6F">
        <w:rPr>
          <w:rFonts w:eastAsiaTheme="minorEastAsia" w:cs="Arial"/>
        </w:rPr>
        <w:t>où “GENIE”).  La base de données GENIE est utilisée pour rédiger les documents pertinents du Conseil et du</w:t>
      </w:r>
      <w:r w:rsidR="00255969">
        <w:rPr>
          <w:rFonts w:eastAsiaTheme="minorEastAsia" w:cs="Arial"/>
        </w:rPr>
        <w:t> TC</w:t>
      </w:r>
      <w:r w:rsidR="0074329C" w:rsidRPr="00B16E6F">
        <w:rPr>
          <w:rFonts w:eastAsiaTheme="minorEastAsia" w:cs="Arial"/>
        </w:rPr>
        <w:t xml:space="preserve"> concernant ces informations</w:t>
      </w:r>
      <w:r w:rsidR="00401AE3" w:rsidRPr="00B16E6F">
        <w:rPr>
          <w:rStyle w:val="FootnoteReference"/>
          <w:rFonts w:eastAsiaTheme="minorEastAsia" w:cs="Arial"/>
        </w:rPr>
        <w:footnoteReference w:id="2"/>
      </w:r>
      <w:r w:rsidR="0074329C" w:rsidRPr="00B16E6F">
        <w:rPr>
          <w:rFonts w:eastAsiaTheme="minorEastAsia" w:cs="Arial"/>
        </w:rPr>
        <w:t>.</w:t>
      </w:r>
    </w:p>
    <w:p w:rsidR="00DC7EA3" w:rsidRPr="00B16E6F" w:rsidRDefault="00DC7EA3" w:rsidP="0074329C">
      <w:pPr>
        <w:rPr>
          <w:rFonts w:eastAsiaTheme="minorEastAsia" w:cs="Arial"/>
        </w:rPr>
      </w:pPr>
    </w:p>
    <w:p w:rsidR="00DC7EA3" w:rsidRPr="00B16E6F" w:rsidRDefault="0074329C" w:rsidP="0074329C">
      <w:pPr>
        <w:rPr>
          <w:rFonts w:eastAsiaTheme="minorEastAsia" w:cs="Arial"/>
        </w:rPr>
      </w:pPr>
      <w:r w:rsidRPr="00B16E6F">
        <w:rPr>
          <w:rFonts w:eastAsiaTheme="minorEastAsia" w:cs="Arial"/>
        </w:rPr>
        <w:fldChar w:fldCharType="begin"/>
      </w:r>
      <w:r w:rsidRPr="00B16E6F">
        <w:rPr>
          <w:rFonts w:eastAsiaTheme="minorEastAsia" w:cs="Arial"/>
        </w:rPr>
        <w:instrText xml:space="preserve"> AUTONUM  </w:instrText>
      </w:r>
      <w:r w:rsidRPr="00B16E6F">
        <w:rPr>
          <w:rFonts w:eastAsiaTheme="minorEastAsia" w:cs="Arial"/>
        </w:rPr>
        <w:fldChar w:fldCharType="end"/>
      </w:r>
      <w:r w:rsidRPr="00B16E6F">
        <w:rPr>
          <w:rFonts w:eastAsiaTheme="minorEastAsia" w:cs="Arial"/>
        </w:rPr>
        <w:tab/>
        <w:t>La base de données GENIE contient la liste des codes UPOV, ainsi que des renseignements sur les principaux et les autres noms botaniques et noms communs des taxons végétaux.</w:t>
      </w:r>
    </w:p>
    <w:p w:rsidR="00DC7EA3" w:rsidRPr="00B16E6F" w:rsidRDefault="00DC7EA3" w:rsidP="0074329C">
      <w:pPr>
        <w:rPr>
          <w:rFonts w:eastAsiaTheme="minorEastAsia"/>
          <w:caps/>
        </w:rPr>
      </w:pPr>
      <w:bookmarkStart w:id="8" w:name="_Toc477797639"/>
    </w:p>
    <w:p w:rsidR="00DC7EA3" w:rsidRPr="00B16E6F" w:rsidRDefault="00DC7EA3" w:rsidP="0074329C">
      <w:pPr>
        <w:rPr>
          <w:rFonts w:eastAsiaTheme="minorEastAsia"/>
          <w:caps/>
        </w:rPr>
      </w:pPr>
    </w:p>
    <w:p w:rsidR="00DC7EA3" w:rsidRPr="00B16E6F" w:rsidRDefault="0074329C" w:rsidP="0074329C">
      <w:pPr>
        <w:keepNext/>
        <w:outlineLvl w:val="0"/>
        <w:rPr>
          <w:rFonts w:eastAsiaTheme="minorEastAsia"/>
          <w:caps/>
        </w:rPr>
      </w:pPr>
      <w:bookmarkStart w:id="9" w:name="_Toc54010777"/>
      <w:bookmarkStart w:id="10" w:name="_Toc86066525"/>
      <w:bookmarkEnd w:id="8"/>
      <w:r w:rsidRPr="00B16E6F">
        <w:rPr>
          <w:rFonts w:eastAsiaTheme="minorEastAsia"/>
          <w:caps/>
        </w:rPr>
        <w:t>Système de codes UPOV</w:t>
      </w:r>
      <w:bookmarkEnd w:id="9"/>
      <w:bookmarkEnd w:id="10"/>
    </w:p>
    <w:p w:rsidR="00DC7EA3" w:rsidRPr="00B16E6F" w:rsidRDefault="00DC7EA3" w:rsidP="0074329C">
      <w:pPr>
        <w:keepNext/>
        <w:keepLines/>
        <w:rPr>
          <w:rFonts w:eastAsiaTheme="minorEastAsia" w:cs="Arial"/>
          <w:snapToGrid w:val="0"/>
          <w:lang w:val="fr-CH"/>
        </w:rPr>
      </w:pPr>
    </w:p>
    <w:p w:rsidR="00DC7EA3" w:rsidRPr="00B16E6F" w:rsidRDefault="00B0676A" w:rsidP="0086795C">
      <w:pPr>
        <w:rPr>
          <w:rFonts w:eastAsia="MS Mincho" w:cs="Arial"/>
          <w:snapToGrid w:val="0"/>
          <w:spacing w:val="2"/>
          <w:lang w:val="fr-CH"/>
        </w:rPr>
      </w:pPr>
      <w:r w:rsidRPr="00B16E6F">
        <w:rPr>
          <w:rFonts w:eastAsia="MS Mincho"/>
          <w:spacing w:val="2"/>
          <w:lang w:val="en-GB"/>
        </w:rPr>
        <w:fldChar w:fldCharType="begin"/>
      </w:r>
      <w:r w:rsidRPr="00B16E6F">
        <w:rPr>
          <w:rFonts w:eastAsia="MS Mincho"/>
          <w:spacing w:val="2"/>
          <w:lang w:val="fr-CH"/>
        </w:rPr>
        <w:instrText xml:space="preserve"> AUTONUM  </w:instrText>
      </w:r>
      <w:r w:rsidRPr="00B16E6F">
        <w:rPr>
          <w:rFonts w:eastAsia="MS Mincho"/>
          <w:spacing w:val="2"/>
          <w:lang w:val="en-GB"/>
        </w:rPr>
        <w:fldChar w:fldCharType="end"/>
      </w:r>
      <w:r w:rsidRPr="00B16E6F">
        <w:rPr>
          <w:rFonts w:eastAsia="MS Mincho"/>
          <w:spacing w:val="2"/>
          <w:lang w:val="fr-CH"/>
        </w:rPr>
        <w:tab/>
      </w:r>
      <w:r w:rsidR="0086795C" w:rsidRPr="00B16E6F">
        <w:rPr>
          <w:rFonts w:eastAsia="MS Mincho"/>
          <w:spacing w:val="2"/>
          <w:lang w:val="fr-CH"/>
        </w:rPr>
        <w:t>L</w:t>
      </w:r>
      <w:r w:rsidR="00255969">
        <w:rPr>
          <w:rFonts w:eastAsia="MS Mincho"/>
          <w:spacing w:val="2"/>
          <w:lang w:val="fr-CH"/>
        </w:rPr>
        <w:t>’</w:t>
      </w:r>
      <w:r w:rsidR="0086795C" w:rsidRPr="00B16E6F">
        <w:rPr>
          <w:rFonts w:eastAsia="MS Mincho"/>
          <w:spacing w:val="2"/>
          <w:lang w:val="fr-CH"/>
        </w:rPr>
        <w:t>“Introduction au système de codes UPOV”, tel</w:t>
      </w:r>
      <w:r w:rsidR="00AC6C80" w:rsidRPr="00B16E6F">
        <w:rPr>
          <w:rFonts w:eastAsia="MS Mincho"/>
          <w:spacing w:val="2"/>
          <w:lang w:val="fr-CH"/>
        </w:rPr>
        <w:t>le</w:t>
      </w:r>
      <w:r w:rsidR="0086795C" w:rsidRPr="00B16E6F">
        <w:rPr>
          <w:rFonts w:eastAsia="MS Mincho"/>
          <w:spacing w:val="2"/>
          <w:lang w:val="fr-CH"/>
        </w:rPr>
        <w:t xml:space="preserve"> qu</w:t>
      </w:r>
      <w:r w:rsidR="00255969">
        <w:rPr>
          <w:rFonts w:eastAsia="MS Mincho"/>
          <w:spacing w:val="2"/>
          <w:lang w:val="fr-CH"/>
        </w:rPr>
        <w:t>’</w:t>
      </w:r>
      <w:r w:rsidR="0086795C" w:rsidRPr="00B16E6F">
        <w:rPr>
          <w:rFonts w:eastAsia="MS Mincho"/>
          <w:spacing w:val="2"/>
          <w:lang w:val="fr-CH"/>
        </w:rPr>
        <w:t>elle a été modifié</w:t>
      </w:r>
      <w:r w:rsidR="00AC6C80" w:rsidRPr="00B16E6F">
        <w:rPr>
          <w:rFonts w:eastAsia="MS Mincho"/>
          <w:spacing w:val="2"/>
          <w:lang w:val="fr-CH"/>
        </w:rPr>
        <w:t>e</w:t>
      </w:r>
      <w:r w:rsidR="0086795C" w:rsidRPr="00B16E6F">
        <w:rPr>
          <w:rFonts w:eastAsia="MS Mincho"/>
          <w:spacing w:val="2"/>
          <w:lang w:val="fr-CH"/>
        </w:rPr>
        <w:t xml:space="preserve"> par le</w:t>
      </w:r>
      <w:r w:rsidR="00255969">
        <w:rPr>
          <w:rFonts w:eastAsia="MS Mincho"/>
          <w:spacing w:val="2"/>
          <w:lang w:val="fr-CH"/>
        </w:rPr>
        <w:t> TC</w:t>
      </w:r>
      <w:r w:rsidR="0086795C" w:rsidRPr="00B16E6F">
        <w:rPr>
          <w:rFonts w:eastAsia="MS Mincho"/>
          <w:spacing w:val="2"/>
          <w:lang w:val="fr-CH"/>
        </w:rPr>
        <w:t xml:space="preserve"> à l</w:t>
      </w:r>
      <w:r w:rsidR="00255969">
        <w:rPr>
          <w:rFonts w:eastAsia="MS Mincho"/>
          <w:spacing w:val="2"/>
          <w:lang w:val="fr-CH"/>
        </w:rPr>
        <w:t>’</w:t>
      </w:r>
      <w:r w:rsidR="0086795C" w:rsidRPr="00B16E6F">
        <w:rPr>
          <w:rFonts w:eastAsia="MS Mincho"/>
          <w:spacing w:val="2"/>
          <w:lang w:val="fr-CH"/>
        </w:rPr>
        <w:t>occasion de sa quarante</w:t>
      </w:r>
      <w:r w:rsidR="00255969">
        <w:rPr>
          <w:rFonts w:eastAsia="MS Mincho"/>
          <w:spacing w:val="2"/>
          <w:lang w:val="fr-CH"/>
        </w:rPr>
        <w:t>-</w:t>
      </w:r>
      <w:r w:rsidR="0086795C" w:rsidRPr="00B16E6F">
        <w:rPr>
          <w:rFonts w:eastAsia="MS Mincho"/>
          <w:spacing w:val="2"/>
          <w:lang w:val="fr-CH"/>
        </w:rPr>
        <w:t>huit</w:t>
      </w:r>
      <w:r w:rsidR="00255969">
        <w:rPr>
          <w:rFonts w:eastAsia="MS Mincho"/>
          <w:spacing w:val="2"/>
          <w:lang w:val="fr-CH"/>
        </w:rPr>
        <w:t>ième session</w:t>
      </w:r>
      <w:r w:rsidR="0086795C" w:rsidRPr="00B16E6F">
        <w:rPr>
          <w:rStyle w:val="FootnoteReference"/>
          <w:rFonts w:eastAsia="MS Mincho"/>
          <w:spacing w:val="2"/>
          <w:lang w:val="en-GB"/>
        </w:rPr>
        <w:footnoteReference w:id="3"/>
      </w:r>
      <w:r w:rsidR="0086795C" w:rsidRPr="00B16E6F">
        <w:rPr>
          <w:rFonts w:eastAsia="MS Mincho"/>
          <w:spacing w:val="2"/>
          <w:lang w:val="fr-CH"/>
        </w:rPr>
        <w:t xml:space="preserve"> et par</w:t>
      </w:r>
      <w:r w:rsidR="00255969" w:rsidRPr="00B16E6F">
        <w:rPr>
          <w:rFonts w:eastAsia="MS Mincho"/>
          <w:spacing w:val="2"/>
          <w:lang w:val="fr-CH"/>
        </w:rPr>
        <w:t xml:space="preserve"> le</w:t>
      </w:r>
      <w:r w:rsidR="00255969">
        <w:rPr>
          <w:rFonts w:eastAsia="MS Mincho"/>
          <w:spacing w:val="2"/>
          <w:lang w:val="fr-CH"/>
        </w:rPr>
        <w:t> </w:t>
      </w:r>
      <w:r w:rsidR="00255969" w:rsidRPr="00B16E6F">
        <w:rPr>
          <w:rFonts w:eastAsia="MS Mincho"/>
          <w:spacing w:val="2"/>
          <w:lang w:val="fr-CH"/>
        </w:rPr>
        <w:t>CAJ</w:t>
      </w:r>
      <w:r w:rsidR="0086795C" w:rsidRPr="00B16E6F">
        <w:rPr>
          <w:rFonts w:eastAsia="MS Mincho"/>
          <w:spacing w:val="2"/>
          <w:lang w:val="fr-CH"/>
        </w:rPr>
        <w:t xml:space="preserve"> à l</w:t>
      </w:r>
      <w:r w:rsidR="00255969">
        <w:rPr>
          <w:rFonts w:eastAsia="MS Mincho"/>
          <w:spacing w:val="2"/>
          <w:lang w:val="fr-CH"/>
        </w:rPr>
        <w:t>’</w:t>
      </w:r>
      <w:r w:rsidR="0086795C" w:rsidRPr="00B16E6F">
        <w:rPr>
          <w:rFonts w:eastAsia="MS Mincho"/>
          <w:spacing w:val="2"/>
          <w:lang w:val="fr-CH"/>
        </w:rPr>
        <w:t>occasion de sa soixante</w:t>
      </w:r>
      <w:r w:rsidR="00255969">
        <w:rPr>
          <w:rFonts w:eastAsia="MS Mincho"/>
          <w:spacing w:val="2"/>
          <w:lang w:val="fr-CH"/>
        </w:rPr>
        <w:t>-</w:t>
      </w:r>
      <w:r w:rsidR="0086795C" w:rsidRPr="00B16E6F">
        <w:rPr>
          <w:rFonts w:eastAsia="MS Mincho"/>
          <w:spacing w:val="2"/>
          <w:lang w:val="fr-CH"/>
        </w:rPr>
        <w:t>cinqu</w:t>
      </w:r>
      <w:r w:rsidR="00255969">
        <w:rPr>
          <w:rFonts w:eastAsia="MS Mincho"/>
          <w:spacing w:val="2"/>
          <w:lang w:val="fr-CH"/>
        </w:rPr>
        <w:t>ième session</w:t>
      </w:r>
      <w:r w:rsidR="0086795C" w:rsidRPr="00B16E6F">
        <w:rPr>
          <w:rStyle w:val="FootnoteReference"/>
          <w:rFonts w:eastAsia="MS Mincho"/>
          <w:spacing w:val="2"/>
          <w:lang w:val="en-GB"/>
        </w:rPr>
        <w:footnoteReference w:id="4"/>
      </w:r>
      <w:r w:rsidR="0086795C" w:rsidRPr="00B16E6F">
        <w:rPr>
          <w:rFonts w:eastAsia="MS Mincho"/>
          <w:spacing w:val="2"/>
          <w:lang w:val="fr-CH"/>
        </w:rPr>
        <w:t>, est disponible sur le site</w:t>
      </w:r>
      <w:r w:rsidR="00D31106">
        <w:rPr>
          <w:rFonts w:eastAsia="MS Mincho"/>
          <w:spacing w:val="2"/>
          <w:lang w:val="fr-CH"/>
        </w:rPr>
        <w:t> </w:t>
      </w:r>
      <w:r w:rsidR="0086795C" w:rsidRPr="00B16E6F">
        <w:rPr>
          <w:rFonts w:eastAsia="MS Mincho"/>
          <w:spacing w:val="2"/>
          <w:lang w:val="fr-CH"/>
        </w:rPr>
        <w:t>Web de l</w:t>
      </w:r>
      <w:r w:rsidR="00255969">
        <w:rPr>
          <w:rFonts w:eastAsia="MS Mincho"/>
          <w:spacing w:val="2"/>
          <w:lang w:val="fr-CH"/>
        </w:rPr>
        <w:t>’</w:t>
      </w:r>
      <w:r w:rsidR="0086795C" w:rsidRPr="00B16E6F">
        <w:rPr>
          <w:rFonts w:eastAsia="MS Mincho"/>
          <w:spacing w:val="2"/>
          <w:lang w:val="fr-CH"/>
        </w:rPr>
        <w:t xml:space="preserve">UPOV (voir </w:t>
      </w:r>
      <w:hyperlink r:id="rId9" w:history="1">
        <w:r w:rsidR="00A95652" w:rsidRPr="00B16E6F">
          <w:rPr>
            <w:rStyle w:val="Hyperlink"/>
            <w:rFonts w:cs="Arial"/>
            <w:color w:val="auto"/>
          </w:rPr>
          <w:t>https://www.upov.int/genie/resources/pdfs/upov_code_system_fr.pdf</w:t>
        </w:r>
      </w:hyperlink>
      <w:r w:rsidR="0086795C" w:rsidRPr="00B16E6F">
        <w:rPr>
          <w:rFonts w:eastAsia="MS Mincho"/>
          <w:spacing w:val="2"/>
          <w:u w:val="single"/>
          <w:lang w:val="fr-CH"/>
        </w:rPr>
        <w:t>)</w:t>
      </w:r>
      <w:r w:rsidR="0086795C" w:rsidRPr="00B16E6F">
        <w:rPr>
          <w:rFonts w:eastAsia="MS Mincho"/>
          <w:spacing w:val="2"/>
          <w:lang w:val="fr-CH"/>
        </w:rPr>
        <w:t>.</w:t>
      </w:r>
    </w:p>
    <w:p w:rsidR="00DC7EA3" w:rsidRPr="00B16E6F" w:rsidRDefault="00DC7EA3" w:rsidP="00B0676A">
      <w:pPr>
        <w:keepLines/>
        <w:rPr>
          <w:rFonts w:eastAsia="MS Mincho"/>
          <w:i/>
          <w:lang w:val="fr-CH"/>
        </w:rPr>
      </w:pPr>
    </w:p>
    <w:p w:rsidR="00255969" w:rsidRDefault="00B0676A" w:rsidP="0086795C">
      <w:pPr>
        <w:autoSpaceDE w:val="0"/>
        <w:autoSpaceDN w:val="0"/>
        <w:adjustRightInd w:val="0"/>
        <w:rPr>
          <w:rFonts w:eastAsia="MS Mincho" w:cs="Arial"/>
          <w:lang w:val="fr-CH"/>
        </w:rPr>
      </w:pPr>
      <w:r w:rsidRPr="00B16E6F">
        <w:rPr>
          <w:rFonts w:eastAsia="MS Mincho" w:cs="Arial"/>
        </w:rPr>
        <w:fldChar w:fldCharType="begin"/>
      </w:r>
      <w:r w:rsidRPr="00B16E6F">
        <w:rPr>
          <w:rFonts w:eastAsia="MS Mincho" w:cs="Arial"/>
          <w:lang w:val="fr-CH"/>
        </w:rPr>
        <w:instrText xml:space="preserve"> AUTONUM  </w:instrText>
      </w:r>
      <w:r w:rsidRPr="00B16E6F">
        <w:rPr>
          <w:rFonts w:eastAsia="MS Mincho" w:cs="Arial"/>
        </w:rPr>
        <w:fldChar w:fldCharType="end"/>
      </w:r>
      <w:r w:rsidRPr="00B16E6F">
        <w:rPr>
          <w:rFonts w:eastAsia="MS Mincho" w:cs="Arial"/>
          <w:lang w:val="fr-CH"/>
        </w:rPr>
        <w:tab/>
      </w:r>
      <w:r w:rsidR="0086795C" w:rsidRPr="00B16E6F">
        <w:rPr>
          <w:rFonts w:eastAsia="MS Mincho" w:cs="Arial"/>
          <w:lang w:val="fr-CH"/>
        </w:rPr>
        <w:t>Le Comité consultatif, à sa quatre</w:t>
      </w:r>
      <w:r w:rsidR="00255969">
        <w:rPr>
          <w:rFonts w:eastAsia="MS Mincho" w:cs="Arial"/>
          <w:lang w:val="fr-CH"/>
        </w:rPr>
        <w:t>-</w:t>
      </w:r>
      <w:r w:rsidR="0086795C" w:rsidRPr="00B16E6F">
        <w:rPr>
          <w:rFonts w:eastAsia="MS Mincho" w:cs="Arial"/>
          <w:lang w:val="fr-CH"/>
        </w:rPr>
        <w:t>vingt</w:t>
      </w:r>
      <w:r w:rsidR="00255969">
        <w:rPr>
          <w:rFonts w:eastAsia="MS Mincho" w:cs="Arial"/>
          <w:lang w:val="fr-CH"/>
        </w:rPr>
        <w:t>-</w:t>
      </w:r>
      <w:r w:rsidR="0086795C" w:rsidRPr="00B16E6F">
        <w:rPr>
          <w:rFonts w:eastAsia="MS Mincho" w:cs="Arial"/>
          <w:lang w:val="fr-CH"/>
        </w:rPr>
        <w:t>seiz</w:t>
      </w:r>
      <w:r w:rsidR="00255969">
        <w:rPr>
          <w:rFonts w:eastAsia="MS Mincho" w:cs="Arial"/>
          <w:lang w:val="fr-CH"/>
        </w:rPr>
        <w:t>ième session</w:t>
      </w:r>
      <w:r w:rsidR="0086795C" w:rsidRPr="00B16E6F">
        <w:rPr>
          <w:rFonts w:eastAsia="MS Mincho" w:cs="Arial"/>
          <w:lang w:val="fr-CH"/>
        </w:rPr>
        <w:t xml:space="preserve"> tenue à Genève le 3</w:t>
      </w:r>
      <w:r w:rsidR="00255969" w:rsidRPr="00B16E6F">
        <w:rPr>
          <w:rFonts w:eastAsia="MS Mincho" w:cs="Arial"/>
          <w:lang w:val="fr-CH"/>
        </w:rPr>
        <w:t>1</w:t>
      </w:r>
      <w:r w:rsidR="00255969">
        <w:rPr>
          <w:rFonts w:eastAsia="MS Mincho" w:cs="Arial"/>
          <w:lang w:val="fr-CH"/>
        </w:rPr>
        <w:t> </w:t>
      </w:r>
      <w:r w:rsidR="00255969" w:rsidRPr="00B16E6F">
        <w:rPr>
          <w:rFonts w:eastAsia="MS Mincho" w:cs="Arial"/>
          <w:lang w:val="fr-CH"/>
        </w:rPr>
        <w:t>octobre</w:t>
      </w:r>
      <w:r w:rsidR="00255969">
        <w:rPr>
          <w:rFonts w:eastAsia="MS Mincho" w:cs="Arial"/>
          <w:lang w:val="fr-CH"/>
        </w:rPr>
        <w:t> </w:t>
      </w:r>
      <w:r w:rsidR="00255969" w:rsidRPr="00B16E6F">
        <w:rPr>
          <w:rFonts w:eastAsia="MS Mincho" w:cs="Arial"/>
          <w:lang w:val="fr-CH"/>
        </w:rPr>
        <w:t>20</w:t>
      </w:r>
      <w:r w:rsidR="0086795C" w:rsidRPr="00B16E6F">
        <w:rPr>
          <w:rFonts w:eastAsia="MS Mincho" w:cs="Arial"/>
          <w:lang w:val="fr-CH"/>
        </w:rPr>
        <w:t>19, a noté qu</w:t>
      </w:r>
      <w:r w:rsidR="00255969">
        <w:rPr>
          <w:rFonts w:eastAsia="MS Mincho" w:cs="Arial"/>
          <w:lang w:val="fr-CH"/>
        </w:rPr>
        <w:t>’</w:t>
      </w:r>
      <w:r w:rsidR="0086795C" w:rsidRPr="00B16E6F">
        <w:rPr>
          <w:rFonts w:eastAsia="MS Mincho" w:cs="Arial"/>
          <w:lang w:val="fr-CH"/>
        </w:rPr>
        <w:t>en temps voulu le Conseil serait invité à adopter le “Programme d</w:t>
      </w:r>
      <w:r w:rsidR="00255969">
        <w:rPr>
          <w:rFonts w:eastAsia="MS Mincho" w:cs="Arial"/>
          <w:lang w:val="fr-CH"/>
        </w:rPr>
        <w:t>’</w:t>
      </w:r>
      <w:r w:rsidR="0086795C" w:rsidRPr="00B16E6F">
        <w:rPr>
          <w:rFonts w:eastAsia="MS Mincho" w:cs="Arial"/>
          <w:lang w:val="fr-CH"/>
        </w:rPr>
        <w:t>améliorations de la base de données PLUTO” et l</w:t>
      </w:r>
      <w:r w:rsidR="00255969">
        <w:rPr>
          <w:rFonts w:eastAsia="MS Mincho" w:cs="Arial"/>
          <w:lang w:val="fr-CH"/>
        </w:rPr>
        <w:t>’</w:t>
      </w:r>
      <w:r w:rsidR="0086795C" w:rsidRPr="00B16E6F">
        <w:rPr>
          <w:rFonts w:eastAsia="MS Mincho" w:cs="Arial"/>
          <w:lang w:val="fr-CH"/>
        </w:rPr>
        <w:t>“Introduction au système de codes UPOV”, diffusés dans la collection de documents d</w:t>
      </w:r>
      <w:r w:rsidR="00255969">
        <w:rPr>
          <w:rFonts w:eastAsia="MS Mincho" w:cs="Arial"/>
          <w:lang w:val="fr-CH"/>
        </w:rPr>
        <w:t>’</w:t>
      </w:r>
      <w:r w:rsidR="0086795C" w:rsidRPr="00B16E6F">
        <w:rPr>
          <w:rFonts w:eastAsia="MS Mincho" w:cs="Arial"/>
          <w:lang w:val="fr-CH"/>
        </w:rPr>
        <w:t>information de l</w:t>
      </w:r>
      <w:r w:rsidR="00255969">
        <w:rPr>
          <w:rFonts w:eastAsia="MS Mincho" w:cs="Arial"/>
          <w:lang w:val="fr-CH"/>
        </w:rPr>
        <w:t>’</w:t>
      </w:r>
      <w:r w:rsidR="0086795C" w:rsidRPr="00B16E6F">
        <w:rPr>
          <w:rFonts w:eastAsia="MS Mincho" w:cs="Arial"/>
          <w:lang w:val="fr-CH"/>
        </w:rPr>
        <w:t>UPOV (</w:t>
      </w:r>
      <w:r w:rsidR="00255969" w:rsidRPr="00B16E6F">
        <w:rPr>
          <w:rFonts w:eastAsia="MS Mincho" w:cs="Arial"/>
          <w:lang w:val="fr-CH"/>
        </w:rPr>
        <w:t>paragraphe</w:t>
      </w:r>
      <w:r w:rsidR="00255969">
        <w:rPr>
          <w:rFonts w:eastAsia="MS Mincho" w:cs="Arial"/>
          <w:lang w:val="fr-CH"/>
        </w:rPr>
        <w:t> </w:t>
      </w:r>
      <w:r w:rsidR="00255969" w:rsidRPr="00B16E6F">
        <w:rPr>
          <w:rFonts w:eastAsia="MS Mincho" w:cs="Arial"/>
          <w:lang w:val="fr-CH"/>
        </w:rPr>
        <w:t>8</w:t>
      </w:r>
      <w:r w:rsidR="0086795C" w:rsidRPr="00B16E6F">
        <w:rPr>
          <w:rFonts w:eastAsia="MS Mincho" w:cs="Arial"/>
          <w:lang w:val="fr-CH"/>
        </w:rPr>
        <w:t>5 du document</w:t>
      </w:r>
      <w:r w:rsidR="00F3336A">
        <w:rPr>
          <w:rFonts w:eastAsia="MS Mincho" w:cs="Arial"/>
          <w:lang w:val="fr-CH"/>
        </w:rPr>
        <w:t> </w:t>
      </w:r>
      <w:r w:rsidR="0086795C" w:rsidRPr="00B16E6F">
        <w:rPr>
          <w:rFonts w:eastAsia="MS Mincho" w:cs="Arial"/>
          <w:lang w:val="fr-CH"/>
        </w:rPr>
        <w:t>CC/96/14 “Compte rendu”).</w:t>
      </w:r>
    </w:p>
    <w:p w:rsidR="00DC7EA3" w:rsidRPr="00B16E6F" w:rsidRDefault="00DC7EA3" w:rsidP="00B0676A">
      <w:pPr>
        <w:rPr>
          <w:rFonts w:eastAsia="MS Mincho" w:cs="Arial"/>
          <w:snapToGrid w:val="0"/>
          <w:spacing w:val="-2"/>
          <w:lang w:val="fr-CH"/>
        </w:rPr>
      </w:pPr>
    </w:p>
    <w:p w:rsidR="00DC7EA3" w:rsidRPr="00B16E6F" w:rsidRDefault="00B0676A" w:rsidP="0086795C">
      <w:pPr>
        <w:rPr>
          <w:rFonts w:eastAsia="MS Mincho"/>
          <w:lang w:val="fr-CH"/>
        </w:rPr>
      </w:pPr>
      <w:r w:rsidRPr="00B16E6F">
        <w:rPr>
          <w:rFonts w:eastAsia="MS Mincho"/>
        </w:rPr>
        <w:fldChar w:fldCharType="begin"/>
      </w:r>
      <w:r w:rsidRPr="00B16E6F">
        <w:rPr>
          <w:rFonts w:eastAsia="MS Mincho"/>
          <w:lang w:val="fr-CH"/>
        </w:rPr>
        <w:instrText xml:space="preserve"> AUTONUM  </w:instrText>
      </w:r>
      <w:r w:rsidRPr="00B16E6F">
        <w:rPr>
          <w:rFonts w:eastAsia="MS Mincho"/>
        </w:rPr>
        <w:fldChar w:fldCharType="end"/>
      </w:r>
      <w:r w:rsidRPr="00B16E6F">
        <w:rPr>
          <w:rFonts w:eastAsia="MS Mincho"/>
          <w:lang w:val="fr-CH"/>
        </w:rPr>
        <w:tab/>
      </w:r>
      <w:r w:rsidR="0086795C" w:rsidRPr="00B16E6F">
        <w:rPr>
          <w:rFonts w:eastAsia="MS Mincho"/>
          <w:lang w:val="fr-CH"/>
        </w:rPr>
        <w:t>À sa cinquante</w:t>
      </w:r>
      <w:r w:rsidR="00255969">
        <w:rPr>
          <w:rFonts w:eastAsia="MS Mincho"/>
          <w:lang w:val="fr-CH"/>
        </w:rPr>
        <w:t>-</w:t>
      </w:r>
      <w:r w:rsidR="0086795C" w:rsidRPr="00B16E6F">
        <w:rPr>
          <w:rFonts w:eastAsia="MS Mincho"/>
          <w:lang w:val="fr-CH"/>
        </w:rPr>
        <w:t>six</w:t>
      </w:r>
      <w:r w:rsidR="00255969">
        <w:rPr>
          <w:rFonts w:eastAsia="MS Mincho"/>
          <w:lang w:val="fr-CH"/>
        </w:rPr>
        <w:t>ième session</w:t>
      </w:r>
      <w:r w:rsidR="0086795C" w:rsidRPr="00B16E6F">
        <w:rPr>
          <w:rStyle w:val="FootnoteReference"/>
          <w:rFonts w:eastAsia="MS Mincho"/>
          <w:lang w:val="en-US"/>
        </w:rPr>
        <w:footnoteReference w:id="5"/>
      </w:r>
      <w:r w:rsidR="0086795C" w:rsidRPr="00B16E6F">
        <w:rPr>
          <w:rFonts w:eastAsia="MS Mincho"/>
          <w:lang w:val="fr-CH"/>
        </w:rPr>
        <w:t>, le</w:t>
      </w:r>
      <w:r w:rsidR="00255969">
        <w:rPr>
          <w:rFonts w:eastAsia="MS Mincho"/>
          <w:lang w:val="fr-CH"/>
        </w:rPr>
        <w:t> TC</w:t>
      </w:r>
      <w:r w:rsidR="0086795C" w:rsidRPr="00B16E6F">
        <w:rPr>
          <w:rFonts w:eastAsia="MS Mincho"/>
          <w:lang w:val="fr-CH"/>
        </w:rPr>
        <w:t xml:space="preserve"> a pris note du rapport du Bureau de l</w:t>
      </w:r>
      <w:r w:rsidR="00255969">
        <w:rPr>
          <w:rFonts w:eastAsia="MS Mincho"/>
          <w:lang w:val="fr-CH"/>
        </w:rPr>
        <w:t>’</w:t>
      </w:r>
      <w:r w:rsidR="0086795C" w:rsidRPr="00B16E6F">
        <w:rPr>
          <w:rFonts w:eastAsia="MS Mincho"/>
          <w:lang w:val="fr-CH"/>
        </w:rPr>
        <w:t>Union dont il ressort que, le 2</w:t>
      </w:r>
      <w:r w:rsidR="00255969" w:rsidRPr="00B16E6F">
        <w:rPr>
          <w:rFonts w:eastAsia="MS Mincho"/>
          <w:lang w:val="fr-CH"/>
        </w:rPr>
        <w:t>5</w:t>
      </w:r>
      <w:r w:rsidR="00255969">
        <w:rPr>
          <w:rFonts w:eastAsia="MS Mincho"/>
          <w:lang w:val="fr-CH"/>
        </w:rPr>
        <w:t> </w:t>
      </w:r>
      <w:r w:rsidR="00255969" w:rsidRPr="00B16E6F">
        <w:rPr>
          <w:rFonts w:eastAsia="MS Mincho"/>
          <w:lang w:val="fr-CH"/>
        </w:rPr>
        <w:t>octobre</w:t>
      </w:r>
      <w:r w:rsidR="00255969">
        <w:rPr>
          <w:rFonts w:eastAsia="MS Mincho"/>
          <w:lang w:val="fr-CH"/>
        </w:rPr>
        <w:t> </w:t>
      </w:r>
      <w:r w:rsidR="00255969" w:rsidRPr="00B16E6F">
        <w:rPr>
          <w:rFonts w:eastAsia="MS Mincho"/>
          <w:lang w:val="fr-CH"/>
        </w:rPr>
        <w:t>20</w:t>
      </w:r>
      <w:r w:rsidR="0086795C" w:rsidRPr="00B16E6F">
        <w:rPr>
          <w:rFonts w:eastAsia="MS Mincho"/>
          <w:lang w:val="fr-CH"/>
        </w:rPr>
        <w:t>20, dans le cadre de la procédure par correspondance,</w:t>
      </w:r>
      <w:r w:rsidR="00255969" w:rsidRPr="00B16E6F">
        <w:rPr>
          <w:rFonts w:eastAsia="MS Mincho"/>
          <w:lang w:val="fr-CH"/>
        </w:rPr>
        <w:t xml:space="preserve"> le</w:t>
      </w:r>
      <w:r w:rsidR="00255969">
        <w:rPr>
          <w:rFonts w:eastAsia="MS Mincho"/>
          <w:lang w:val="fr-CH"/>
        </w:rPr>
        <w:t> </w:t>
      </w:r>
      <w:r w:rsidR="00255969" w:rsidRPr="00B16E6F">
        <w:rPr>
          <w:rFonts w:eastAsia="MS Mincho"/>
          <w:lang w:val="fr-CH"/>
        </w:rPr>
        <w:t>CAJ</w:t>
      </w:r>
      <w:r w:rsidR="0086795C" w:rsidRPr="00B16E6F">
        <w:rPr>
          <w:rFonts w:eastAsia="MS Mincho"/>
          <w:lang w:val="fr-CH"/>
        </w:rPr>
        <w:t xml:space="preserve"> a approuvé l</w:t>
      </w:r>
      <w:r w:rsidR="00255969">
        <w:rPr>
          <w:rFonts w:eastAsia="MS Mincho"/>
          <w:lang w:val="fr-CH"/>
        </w:rPr>
        <w:t>’</w:t>
      </w:r>
      <w:r w:rsidR="0086795C" w:rsidRPr="00B16E6F">
        <w:rPr>
          <w:rFonts w:eastAsia="MS Mincho"/>
          <w:lang w:val="fr-CH"/>
        </w:rPr>
        <w:t>“Introduction au système de codes UPOV” sur la base du document UPOV/INF/23/1 Draft</w:t>
      </w:r>
      <w:r w:rsidR="00F3336A">
        <w:rPr>
          <w:rFonts w:eastAsia="MS Mincho"/>
          <w:lang w:val="fr-CH"/>
        </w:rPr>
        <w:t> </w:t>
      </w:r>
      <w:r w:rsidR="0086795C" w:rsidRPr="00B16E6F">
        <w:rPr>
          <w:rFonts w:eastAsia="MS Mincho"/>
          <w:lang w:val="fr-CH"/>
        </w:rPr>
        <w:t>1 et a proposé que le</w:t>
      </w:r>
      <w:r w:rsidR="00255969">
        <w:rPr>
          <w:rFonts w:eastAsia="MS Mincho"/>
          <w:lang w:val="fr-CH"/>
        </w:rPr>
        <w:t> TC</w:t>
      </w:r>
      <w:r w:rsidR="0086795C" w:rsidRPr="00B16E6F">
        <w:rPr>
          <w:rFonts w:eastAsia="MS Mincho"/>
          <w:lang w:val="fr-CH"/>
        </w:rPr>
        <w:t xml:space="preserve"> examine un nouveau projet de document UPOV/INF/23/1 “Introduction au système de codes UPOV” </w:t>
      </w:r>
      <w:r w:rsidR="00255969" w:rsidRPr="00B16E6F">
        <w:rPr>
          <w:rFonts w:eastAsia="MS Mincho"/>
          <w:lang w:val="fr-CH"/>
        </w:rPr>
        <w:t>en</w:t>
      </w:r>
      <w:r w:rsidR="00255969">
        <w:rPr>
          <w:rFonts w:eastAsia="MS Mincho"/>
          <w:lang w:val="fr-CH"/>
        </w:rPr>
        <w:t> </w:t>
      </w:r>
      <w:r w:rsidR="00255969" w:rsidRPr="00B16E6F">
        <w:rPr>
          <w:rFonts w:eastAsia="MS Mincho"/>
          <w:lang w:val="fr-CH"/>
        </w:rPr>
        <w:t>2021</w:t>
      </w:r>
      <w:r w:rsidR="0086795C" w:rsidRPr="00B16E6F">
        <w:rPr>
          <w:rFonts w:eastAsia="MS Mincho"/>
          <w:lang w:val="fr-CH"/>
        </w:rPr>
        <w:t xml:space="preserve"> (voir les </w:t>
      </w:r>
      <w:r w:rsidR="00255969" w:rsidRPr="00B16E6F">
        <w:rPr>
          <w:rFonts w:eastAsia="MS Mincho"/>
          <w:lang w:val="fr-CH"/>
        </w:rPr>
        <w:t>paragraphes</w:t>
      </w:r>
      <w:r w:rsidR="00255969">
        <w:rPr>
          <w:rFonts w:eastAsia="MS Mincho"/>
          <w:lang w:val="fr-CH"/>
        </w:rPr>
        <w:t> </w:t>
      </w:r>
      <w:r w:rsidR="00255969" w:rsidRPr="00B16E6F">
        <w:rPr>
          <w:rFonts w:eastAsia="MS Mincho"/>
          <w:lang w:val="fr-CH"/>
        </w:rPr>
        <w:t>2</w:t>
      </w:r>
      <w:r w:rsidR="0086795C" w:rsidRPr="00B16E6F">
        <w:rPr>
          <w:rFonts w:eastAsia="MS Mincho"/>
          <w:lang w:val="fr-CH"/>
        </w:rPr>
        <w:t>6 et 27 du document CAJ/77/9 “Résultats de l</w:t>
      </w:r>
      <w:r w:rsidR="00255969">
        <w:rPr>
          <w:rFonts w:eastAsia="MS Mincho"/>
          <w:lang w:val="fr-CH"/>
        </w:rPr>
        <w:t>’</w:t>
      </w:r>
      <w:r w:rsidR="0086795C" w:rsidRPr="00B16E6F">
        <w:rPr>
          <w:rFonts w:eastAsia="MS Mincho"/>
          <w:lang w:val="fr-CH"/>
        </w:rPr>
        <w:t>examen des documents par correspondance”).</w:t>
      </w:r>
    </w:p>
    <w:p w:rsidR="00DC7EA3" w:rsidRPr="00B16E6F" w:rsidRDefault="00DC7EA3" w:rsidP="00B0676A">
      <w:pPr>
        <w:rPr>
          <w:rFonts w:eastAsia="MS Mincho"/>
          <w:lang w:val="fr-CH"/>
        </w:rPr>
      </w:pPr>
    </w:p>
    <w:p w:rsidR="00DC7EA3" w:rsidRPr="00B16E6F" w:rsidRDefault="00B0676A" w:rsidP="00896A20">
      <w:pPr>
        <w:rPr>
          <w:rFonts w:eastAsia="MS Mincho"/>
          <w:lang w:val="fr-CH"/>
        </w:rPr>
      </w:pPr>
      <w:r w:rsidRPr="00B16E6F">
        <w:rPr>
          <w:rFonts w:eastAsia="MS Mincho"/>
        </w:rPr>
        <w:fldChar w:fldCharType="begin"/>
      </w:r>
      <w:r w:rsidRPr="00B16E6F">
        <w:rPr>
          <w:rFonts w:eastAsia="MS Mincho"/>
          <w:lang w:val="fr-CH"/>
        </w:rPr>
        <w:instrText xml:space="preserve"> AUTONUM  </w:instrText>
      </w:r>
      <w:r w:rsidRPr="00B16E6F">
        <w:rPr>
          <w:rFonts w:eastAsia="MS Mincho"/>
        </w:rPr>
        <w:fldChar w:fldCharType="end"/>
      </w:r>
      <w:r w:rsidRPr="00B16E6F">
        <w:rPr>
          <w:rFonts w:eastAsia="MS Mincho"/>
          <w:lang w:val="fr-CH"/>
        </w:rPr>
        <w:tab/>
      </w:r>
      <w:r w:rsidR="00896A20" w:rsidRPr="00B16E6F">
        <w:rPr>
          <w:rFonts w:eastAsia="MS Mincho"/>
          <w:lang w:val="fr-CH"/>
        </w:rPr>
        <w:t>Les questions relatives à l</w:t>
      </w:r>
      <w:r w:rsidR="00255969">
        <w:rPr>
          <w:rFonts w:eastAsia="MS Mincho"/>
          <w:lang w:val="fr-CH"/>
        </w:rPr>
        <w:t>’</w:t>
      </w:r>
      <w:r w:rsidR="00896A20" w:rsidRPr="00B16E6F">
        <w:rPr>
          <w:rFonts w:eastAsia="MS Mincho"/>
          <w:lang w:val="fr-CH"/>
        </w:rPr>
        <w:t xml:space="preserve">adoption du document UPOV/INF/23/1 </w:t>
      </w:r>
      <w:r w:rsidR="00255969">
        <w:rPr>
          <w:rFonts w:eastAsia="MS Mincho"/>
          <w:lang w:val="fr-CH"/>
        </w:rPr>
        <w:t>“</w:t>
      </w:r>
      <w:r w:rsidR="00255969" w:rsidRPr="00B16E6F">
        <w:rPr>
          <w:rFonts w:eastAsia="MS Mincho"/>
          <w:spacing w:val="2"/>
          <w:lang w:val="fr-CH"/>
        </w:rPr>
        <w:t>I</w:t>
      </w:r>
      <w:r w:rsidR="00646F8C" w:rsidRPr="00B16E6F">
        <w:rPr>
          <w:rFonts w:eastAsia="MS Mincho"/>
          <w:spacing w:val="2"/>
          <w:lang w:val="fr-CH"/>
        </w:rPr>
        <w:t>ntroduction au système de codes UPO</w:t>
      </w:r>
      <w:r w:rsidR="00255969" w:rsidRPr="00B16E6F">
        <w:rPr>
          <w:rFonts w:eastAsia="MS Mincho"/>
          <w:spacing w:val="2"/>
          <w:lang w:val="fr-CH"/>
        </w:rPr>
        <w:t>V</w:t>
      </w:r>
      <w:r w:rsidR="00255969">
        <w:rPr>
          <w:rFonts w:eastAsia="MS Mincho"/>
          <w:spacing w:val="2"/>
          <w:lang w:val="fr-CH"/>
        </w:rPr>
        <w:t>”</w:t>
      </w:r>
      <w:r w:rsidR="00896A20" w:rsidRPr="00B16E6F">
        <w:rPr>
          <w:rFonts w:eastAsia="MS Mincho"/>
          <w:lang w:val="fr-CH"/>
        </w:rPr>
        <w:t xml:space="preserve"> sont présentées dans le </w:t>
      </w:r>
      <w:r w:rsidR="00255969" w:rsidRPr="00B16E6F">
        <w:rPr>
          <w:rFonts w:eastAsia="MS Mincho"/>
          <w:lang w:val="fr-CH"/>
        </w:rPr>
        <w:t>document</w:t>
      </w:r>
      <w:r w:rsidR="00F3336A">
        <w:rPr>
          <w:rFonts w:eastAsia="MS Mincho"/>
          <w:lang w:val="fr-CH"/>
        </w:rPr>
        <w:t> </w:t>
      </w:r>
      <w:r w:rsidR="00255969">
        <w:rPr>
          <w:rFonts w:eastAsia="MS Mincho"/>
          <w:lang w:val="fr-CH"/>
        </w:rPr>
        <w:t>TC</w:t>
      </w:r>
      <w:r w:rsidR="00896A20" w:rsidRPr="00B16E6F">
        <w:rPr>
          <w:rFonts w:eastAsia="MS Mincho"/>
          <w:lang w:val="fr-CH"/>
        </w:rPr>
        <w:t>/57/4</w:t>
      </w:r>
      <w:r w:rsidR="00D31106">
        <w:rPr>
          <w:rFonts w:eastAsia="MS Mincho"/>
          <w:lang w:val="fr-CH"/>
        </w:rPr>
        <w:t> </w:t>
      </w:r>
      <w:r w:rsidR="00896A20" w:rsidRPr="00B16E6F">
        <w:rPr>
          <w:rFonts w:eastAsia="MS Mincho"/>
          <w:lang w:val="fr-CH"/>
        </w:rPr>
        <w:t xml:space="preserve">Rev. </w:t>
      </w:r>
      <w:r w:rsidR="00255969">
        <w:rPr>
          <w:rFonts w:eastAsia="MS Mincho"/>
          <w:lang w:val="fr-CH"/>
        </w:rPr>
        <w:t>“</w:t>
      </w:r>
      <w:r w:rsidR="00255969" w:rsidRPr="00B16E6F">
        <w:rPr>
          <w:rFonts w:eastAsia="MS Mincho"/>
          <w:lang w:val="fr-CH"/>
        </w:rPr>
        <w:t>É</w:t>
      </w:r>
      <w:r w:rsidR="00896A20" w:rsidRPr="00B16E6F">
        <w:rPr>
          <w:rFonts w:eastAsia="MS Mincho"/>
          <w:lang w:val="fr-CH"/>
        </w:rPr>
        <w:t>laboration de documents d</w:t>
      </w:r>
      <w:r w:rsidR="00255969">
        <w:rPr>
          <w:rFonts w:eastAsia="MS Mincho"/>
          <w:lang w:val="fr-CH"/>
        </w:rPr>
        <w:t>’</w:t>
      </w:r>
      <w:r w:rsidR="00896A20" w:rsidRPr="00B16E6F">
        <w:rPr>
          <w:rFonts w:eastAsia="MS Mincho"/>
          <w:lang w:val="fr-CH"/>
        </w:rPr>
        <w:t>orientation et d</w:t>
      </w:r>
      <w:r w:rsidR="00255969">
        <w:rPr>
          <w:rFonts w:eastAsia="MS Mincho"/>
          <w:lang w:val="fr-CH"/>
        </w:rPr>
        <w:t>’</w:t>
      </w:r>
      <w:r w:rsidR="00896A20" w:rsidRPr="00B16E6F">
        <w:rPr>
          <w:rFonts w:eastAsia="MS Mincho"/>
          <w:lang w:val="fr-CH"/>
        </w:rPr>
        <w:t>information</w:t>
      </w:r>
      <w:r w:rsidR="00255969">
        <w:rPr>
          <w:rFonts w:eastAsia="MS Mincho"/>
          <w:lang w:val="fr-CH"/>
        </w:rPr>
        <w:t> :</w:t>
      </w:r>
      <w:r w:rsidR="00896A20" w:rsidRPr="00B16E6F">
        <w:rPr>
          <w:rFonts w:eastAsia="MS Mincho"/>
          <w:lang w:val="fr-CH"/>
        </w:rPr>
        <w:t xml:space="preserve"> questions pour adoption par le Conseil </w:t>
      </w:r>
      <w:r w:rsidR="00255969" w:rsidRPr="00B16E6F">
        <w:rPr>
          <w:rFonts w:eastAsia="MS Mincho"/>
          <w:lang w:val="fr-CH"/>
        </w:rPr>
        <w:t>en</w:t>
      </w:r>
      <w:r w:rsidR="00255969">
        <w:rPr>
          <w:rFonts w:eastAsia="MS Mincho"/>
          <w:lang w:val="fr-CH"/>
        </w:rPr>
        <w:t> </w:t>
      </w:r>
      <w:r w:rsidR="00255969" w:rsidRPr="00B16E6F">
        <w:rPr>
          <w:rFonts w:eastAsia="MS Mincho"/>
          <w:lang w:val="fr-CH"/>
        </w:rPr>
        <w:t>2021</w:t>
      </w:r>
      <w:r w:rsidR="00255969">
        <w:rPr>
          <w:rFonts w:eastAsia="MS Mincho"/>
          <w:lang w:val="fr-CH"/>
        </w:rPr>
        <w:t>”</w:t>
      </w:r>
      <w:r w:rsidR="00896A20" w:rsidRPr="00B16E6F">
        <w:rPr>
          <w:rFonts w:eastAsia="MS Mincho"/>
          <w:lang w:val="fr-CH"/>
        </w:rPr>
        <w:t>.</w:t>
      </w:r>
    </w:p>
    <w:p w:rsidR="00DC7EA3" w:rsidRPr="00B16E6F" w:rsidRDefault="00DC7EA3" w:rsidP="00B0676A">
      <w:pPr>
        <w:rPr>
          <w:rFonts w:eastAsia="MS Mincho"/>
          <w:snapToGrid w:val="0"/>
          <w:lang w:val="fr-CH"/>
        </w:rPr>
      </w:pPr>
    </w:p>
    <w:p w:rsidR="00DC7EA3" w:rsidRPr="00B16E6F" w:rsidRDefault="00DC7EA3" w:rsidP="00B0676A">
      <w:pPr>
        <w:rPr>
          <w:rFonts w:eastAsia="MS Mincho"/>
          <w:snapToGrid w:val="0"/>
          <w:lang w:val="fr-CH"/>
        </w:rPr>
      </w:pPr>
    </w:p>
    <w:p w:rsidR="00255969" w:rsidRDefault="00896A20" w:rsidP="00896A20">
      <w:pPr>
        <w:keepNext/>
        <w:outlineLvl w:val="1"/>
        <w:rPr>
          <w:rFonts w:eastAsia="MS Mincho"/>
          <w:u w:val="single"/>
          <w:lang w:val="fr-CH"/>
        </w:rPr>
      </w:pPr>
      <w:bookmarkStart w:id="11" w:name="_Toc86066526"/>
      <w:r w:rsidRPr="00B16E6F">
        <w:rPr>
          <w:rFonts w:eastAsia="MS Mincho"/>
          <w:u w:val="single"/>
          <w:lang w:val="fr-CH"/>
        </w:rPr>
        <w:t>Faits nouveaux concernant les codes UPOV</w:t>
      </w:r>
      <w:bookmarkEnd w:id="11"/>
    </w:p>
    <w:p w:rsidR="00DC7EA3" w:rsidRPr="00B16E6F" w:rsidRDefault="00DC7EA3" w:rsidP="00B0676A">
      <w:pPr>
        <w:keepNext/>
        <w:rPr>
          <w:rFonts w:eastAsiaTheme="minorEastAsia"/>
          <w:snapToGrid w:val="0"/>
          <w:highlight w:val="cyan"/>
          <w:lang w:val="fr-CH"/>
        </w:rPr>
      </w:pPr>
    </w:p>
    <w:p w:rsidR="00DC7EA3" w:rsidRPr="00B16E6F" w:rsidRDefault="00B0676A" w:rsidP="00B0676A">
      <w:pPr>
        <w:keepNext/>
        <w:rPr>
          <w:rFonts w:eastAsiaTheme="minorEastAsia"/>
          <w:snapToGrid w:val="0"/>
        </w:rPr>
      </w:pPr>
      <w:r w:rsidRPr="00B16E6F">
        <w:rPr>
          <w:rFonts w:eastAsiaTheme="minorEastAsia"/>
          <w:snapToGrid w:val="0"/>
        </w:rPr>
        <w:fldChar w:fldCharType="begin"/>
      </w:r>
      <w:r w:rsidRPr="00B16E6F">
        <w:rPr>
          <w:rFonts w:eastAsiaTheme="minorEastAsia"/>
          <w:snapToGrid w:val="0"/>
          <w:lang w:val="fr-CH"/>
        </w:rPr>
        <w:instrText xml:space="preserve"> AUTONUM  </w:instrText>
      </w:r>
      <w:r w:rsidRPr="00B16E6F">
        <w:rPr>
          <w:rFonts w:eastAsiaTheme="minorEastAsia"/>
          <w:snapToGrid w:val="0"/>
        </w:rPr>
        <w:fldChar w:fldCharType="end"/>
      </w:r>
      <w:r w:rsidRPr="00B16E6F">
        <w:rPr>
          <w:rFonts w:eastAsiaTheme="minorEastAsia"/>
          <w:snapToGrid w:val="0"/>
          <w:lang w:val="fr-CH"/>
        </w:rPr>
        <w:tab/>
      </w:r>
      <w:r w:rsidR="0074329C" w:rsidRPr="00B16E6F">
        <w:rPr>
          <w:rFonts w:eastAsiaTheme="minorEastAsia"/>
          <w:snapToGrid w:val="0"/>
        </w:rPr>
        <w:t>En 2020, 177</w:t>
      </w:r>
      <w:r w:rsidR="00F3336A">
        <w:rPr>
          <w:rFonts w:eastAsiaTheme="minorEastAsia"/>
          <w:snapToGrid w:val="0"/>
        </w:rPr>
        <w:t> </w:t>
      </w:r>
      <w:r w:rsidR="0074329C" w:rsidRPr="00B16E6F">
        <w:rPr>
          <w:rFonts w:eastAsiaTheme="minorEastAsia"/>
          <w:snapToGrid w:val="0"/>
        </w:rPr>
        <w:t>nouveaux codes UPOV ont été cré</w:t>
      </w:r>
      <w:r w:rsidR="00F3336A" w:rsidRPr="00B16E6F">
        <w:rPr>
          <w:rFonts w:eastAsiaTheme="minorEastAsia"/>
          <w:snapToGrid w:val="0"/>
        </w:rPr>
        <w:t>és</w:t>
      </w:r>
      <w:r w:rsidR="00F3336A">
        <w:rPr>
          <w:rFonts w:eastAsiaTheme="minorEastAsia"/>
          <w:snapToGrid w:val="0"/>
        </w:rPr>
        <w:t xml:space="preserve">.  </w:t>
      </w:r>
      <w:r w:rsidR="00F3336A" w:rsidRPr="00B16E6F">
        <w:rPr>
          <w:rFonts w:eastAsiaTheme="minorEastAsia"/>
          <w:snapToGrid w:val="0"/>
        </w:rPr>
        <w:t>Le</w:t>
      </w:r>
      <w:r w:rsidR="0074329C" w:rsidRPr="00B16E6F">
        <w:rPr>
          <w:rFonts w:eastAsiaTheme="minorEastAsia"/>
          <w:snapToGrid w:val="0"/>
        </w:rPr>
        <w:t xml:space="preserve"> nombre total de codes UPOV figurant dans la base de données GENIE était de 9213 au 31 décembre 2020.</w:t>
      </w:r>
    </w:p>
    <w:p w:rsidR="00B0676A" w:rsidRPr="00B16E6F" w:rsidRDefault="00B0676A" w:rsidP="00B0676A">
      <w:pPr>
        <w:keepNext/>
        <w:rPr>
          <w:rFonts w:eastAsiaTheme="minorEastAsia"/>
          <w:snapToGrid w:val="0"/>
          <w:lang w:val="fr-CH"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B0676A" w:rsidRPr="00B16E6F" w:rsidTr="0086795C">
        <w:tc>
          <w:tcPr>
            <w:tcW w:w="1701" w:type="dxa"/>
            <w:tcBorders>
              <w:top w:val="nil"/>
              <w:left w:val="nil"/>
              <w:bottom w:val="nil"/>
            </w:tcBorders>
          </w:tcPr>
          <w:p w:rsidR="00B0676A" w:rsidRPr="00B16E6F" w:rsidRDefault="00B0676A" w:rsidP="0086795C">
            <w:pPr>
              <w:keepNext/>
              <w:spacing w:before="40" w:after="40"/>
              <w:jc w:val="right"/>
              <w:rPr>
                <w:rFonts w:eastAsiaTheme="minorEastAsia" w:cs="Arial"/>
                <w:snapToGrid w:val="0"/>
                <w:sz w:val="18"/>
                <w:szCs w:val="18"/>
                <w:lang w:val="fr-CH"/>
              </w:rPr>
            </w:pPr>
          </w:p>
        </w:tc>
        <w:tc>
          <w:tcPr>
            <w:tcW w:w="7088" w:type="dxa"/>
            <w:gridSpan w:val="10"/>
            <w:tcBorders>
              <w:bottom w:val="dotted" w:sz="4" w:space="0" w:color="auto"/>
            </w:tcBorders>
          </w:tcPr>
          <w:p w:rsidR="00B0676A" w:rsidRPr="00B16E6F" w:rsidRDefault="00896A20" w:rsidP="00896A20">
            <w:pPr>
              <w:keepNext/>
              <w:spacing w:before="40" w:after="40"/>
              <w:jc w:val="center"/>
              <w:rPr>
                <w:rFonts w:eastAsiaTheme="minorEastAsia" w:cs="Arial"/>
                <w:snapToGrid w:val="0"/>
                <w:sz w:val="18"/>
                <w:szCs w:val="18"/>
              </w:rPr>
            </w:pPr>
            <w:r w:rsidRPr="00B16E6F">
              <w:rPr>
                <w:rFonts w:eastAsiaTheme="minorEastAsia" w:cs="Arial"/>
                <w:snapToGrid w:val="0"/>
                <w:sz w:val="18"/>
                <w:szCs w:val="18"/>
              </w:rPr>
              <w:t>Année</w:t>
            </w:r>
          </w:p>
        </w:tc>
      </w:tr>
      <w:tr w:rsidR="00B0676A" w:rsidRPr="00B16E6F" w:rsidTr="0086795C">
        <w:trPr>
          <w:trHeight w:val="393"/>
        </w:trPr>
        <w:tc>
          <w:tcPr>
            <w:tcW w:w="1701" w:type="dxa"/>
            <w:tcBorders>
              <w:top w:val="nil"/>
              <w:left w:val="nil"/>
            </w:tcBorders>
            <w:vAlign w:val="center"/>
          </w:tcPr>
          <w:p w:rsidR="00B0676A" w:rsidRPr="00B16E6F" w:rsidRDefault="00B0676A" w:rsidP="0086795C">
            <w:pPr>
              <w:keepNext/>
              <w:spacing w:before="40" w:after="40"/>
              <w:jc w:val="left"/>
              <w:rPr>
                <w:rFonts w:eastAsiaTheme="minorEastAsia" w:cs="Arial"/>
                <w:snapToGrid w:val="0"/>
                <w:sz w:val="18"/>
                <w:szCs w:val="18"/>
                <w:u w:val="single"/>
              </w:rPr>
            </w:pP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w:t>
            </w:r>
            <w:r w:rsidRPr="00B16E6F">
              <w:rPr>
                <w:rFonts w:eastAsiaTheme="minorEastAsia" w:cs="Arial"/>
                <w:snapToGrid w:val="0"/>
                <w:sz w:val="18"/>
                <w:szCs w:val="18"/>
                <w:u w:val="single"/>
                <w:lang w:eastAsia="ja-JP"/>
              </w:rPr>
              <w:t>1</w:t>
            </w: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w:t>
            </w:r>
            <w:r w:rsidRPr="00B16E6F">
              <w:rPr>
                <w:rFonts w:eastAsiaTheme="minorEastAsia" w:cs="Arial"/>
                <w:snapToGrid w:val="0"/>
                <w:sz w:val="18"/>
                <w:szCs w:val="18"/>
                <w:u w:val="single"/>
                <w:lang w:eastAsia="ja-JP"/>
              </w:rPr>
              <w:t>2</w:t>
            </w:r>
          </w:p>
        </w:tc>
        <w:tc>
          <w:tcPr>
            <w:tcW w:w="708" w:type="dxa"/>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w:t>
            </w:r>
            <w:r w:rsidRPr="00B16E6F">
              <w:rPr>
                <w:rFonts w:eastAsiaTheme="minorEastAsia" w:cs="Arial"/>
                <w:snapToGrid w:val="0"/>
                <w:sz w:val="18"/>
                <w:szCs w:val="18"/>
                <w:u w:val="single"/>
                <w:lang w:eastAsia="ja-JP"/>
              </w:rPr>
              <w:t>3</w:t>
            </w: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w:t>
            </w:r>
            <w:r w:rsidRPr="00B16E6F">
              <w:rPr>
                <w:rFonts w:eastAsiaTheme="minorEastAsia" w:cs="Arial"/>
                <w:snapToGrid w:val="0"/>
                <w:sz w:val="18"/>
                <w:szCs w:val="18"/>
                <w:u w:val="single"/>
                <w:lang w:eastAsia="ja-JP"/>
              </w:rPr>
              <w:t>4</w:t>
            </w: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w:t>
            </w:r>
            <w:r w:rsidRPr="00B16E6F">
              <w:rPr>
                <w:rFonts w:eastAsiaTheme="minorEastAsia" w:cs="Arial"/>
                <w:snapToGrid w:val="0"/>
                <w:sz w:val="18"/>
                <w:szCs w:val="18"/>
                <w:u w:val="single"/>
                <w:lang w:eastAsia="ja-JP"/>
              </w:rPr>
              <w:t>5</w:t>
            </w:r>
          </w:p>
        </w:tc>
        <w:tc>
          <w:tcPr>
            <w:tcW w:w="709" w:type="dxa"/>
            <w:shd w:val="clear" w:color="auto" w:fill="auto"/>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2016</w:t>
            </w:r>
          </w:p>
        </w:tc>
        <w:tc>
          <w:tcPr>
            <w:tcW w:w="708" w:type="dxa"/>
            <w:shd w:val="clear" w:color="auto" w:fill="auto"/>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2017</w:t>
            </w: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u w:val="single"/>
                <w:lang w:eastAsia="ja-JP"/>
              </w:rPr>
            </w:pPr>
            <w:r w:rsidRPr="00B16E6F">
              <w:rPr>
                <w:rFonts w:eastAsiaTheme="minorEastAsia" w:cs="Arial"/>
                <w:snapToGrid w:val="0"/>
                <w:sz w:val="18"/>
                <w:szCs w:val="18"/>
                <w:u w:val="single"/>
              </w:rPr>
              <w:t>2018</w:t>
            </w: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lang w:eastAsia="ja-JP"/>
              </w:rPr>
            </w:pPr>
            <w:r w:rsidRPr="00B16E6F">
              <w:rPr>
                <w:rFonts w:eastAsiaTheme="minorEastAsia" w:cs="Arial"/>
                <w:snapToGrid w:val="0"/>
                <w:sz w:val="18"/>
                <w:szCs w:val="18"/>
                <w:u w:val="single"/>
              </w:rPr>
              <w:t>2019</w:t>
            </w:r>
          </w:p>
        </w:tc>
        <w:tc>
          <w:tcPr>
            <w:tcW w:w="709" w:type="dxa"/>
            <w:vAlign w:val="center"/>
          </w:tcPr>
          <w:p w:rsidR="00B0676A" w:rsidRPr="00B16E6F" w:rsidRDefault="00B0676A" w:rsidP="0086795C">
            <w:pPr>
              <w:keepNext/>
              <w:spacing w:before="40" w:after="40"/>
              <w:jc w:val="center"/>
              <w:rPr>
                <w:rFonts w:eastAsiaTheme="minorEastAsia" w:cs="Arial"/>
                <w:snapToGrid w:val="0"/>
                <w:sz w:val="18"/>
                <w:szCs w:val="18"/>
                <w:lang w:eastAsia="ja-JP"/>
              </w:rPr>
            </w:pPr>
            <w:r w:rsidRPr="00B16E6F">
              <w:rPr>
                <w:rFonts w:eastAsiaTheme="minorEastAsia" w:cs="Arial"/>
                <w:snapToGrid w:val="0"/>
                <w:sz w:val="18"/>
                <w:szCs w:val="18"/>
                <w:u w:val="single"/>
              </w:rPr>
              <w:t>2020</w:t>
            </w:r>
          </w:p>
        </w:tc>
      </w:tr>
      <w:tr w:rsidR="0074329C" w:rsidRPr="00B16E6F" w:rsidTr="0086795C">
        <w:trPr>
          <w:trHeight w:val="426"/>
        </w:trPr>
        <w:tc>
          <w:tcPr>
            <w:tcW w:w="1701" w:type="dxa"/>
            <w:vAlign w:val="center"/>
          </w:tcPr>
          <w:p w:rsidR="0074329C" w:rsidRPr="00B16E6F" w:rsidRDefault="0074329C" w:rsidP="0074329C">
            <w:pPr>
              <w:keepNext/>
              <w:spacing w:before="40" w:after="40"/>
              <w:jc w:val="left"/>
              <w:rPr>
                <w:rFonts w:eastAsiaTheme="minorEastAsia" w:cs="Arial"/>
                <w:snapToGrid w:val="0"/>
                <w:sz w:val="18"/>
                <w:szCs w:val="18"/>
              </w:rPr>
            </w:pPr>
            <w:r w:rsidRPr="00B16E6F">
              <w:rPr>
                <w:rFonts w:eastAsiaTheme="minorEastAsia" w:cs="Arial"/>
                <w:snapToGrid w:val="0"/>
                <w:sz w:val="18"/>
                <w:szCs w:val="18"/>
              </w:rPr>
              <w:t>Nouveaux codes UPOV</w:t>
            </w:r>
          </w:p>
        </w:tc>
        <w:tc>
          <w:tcPr>
            <w:tcW w:w="709" w:type="dxa"/>
            <w:vAlign w:val="center"/>
          </w:tcPr>
          <w:p w:rsidR="0074329C" w:rsidRPr="00B16E6F" w:rsidRDefault="0074329C" w:rsidP="0074329C">
            <w:pPr>
              <w:keepNext/>
              <w:spacing w:before="40" w:after="40"/>
              <w:ind w:right="113"/>
              <w:jc w:val="center"/>
              <w:rPr>
                <w:rFonts w:eastAsiaTheme="minorEastAsia" w:cs="Arial"/>
                <w:snapToGrid w:val="0"/>
                <w:sz w:val="18"/>
                <w:szCs w:val="18"/>
              </w:rPr>
            </w:pPr>
            <w:r w:rsidRPr="00B16E6F">
              <w:rPr>
                <w:rFonts w:eastAsiaTheme="minorEastAsia" w:cs="Arial"/>
                <w:snapToGrid w:val="0"/>
                <w:sz w:val="18"/>
                <w:szCs w:val="18"/>
              </w:rPr>
              <w:t>173</w:t>
            </w:r>
          </w:p>
        </w:tc>
        <w:tc>
          <w:tcPr>
            <w:tcW w:w="709" w:type="dxa"/>
            <w:vAlign w:val="center"/>
          </w:tcPr>
          <w:p w:rsidR="0074329C" w:rsidRPr="00B16E6F" w:rsidRDefault="0074329C" w:rsidP="0074329C">
            <w:pPr>
              <w:keepNext/>
              <w:spacing w:before="40" w:after="40"/>
              <w:ind w:right="113"/>
              <w:jc w:val="center"/>
              <w:rPr>
                <w:rFonts w:eastAsiaTheme="minorEastAsia" w:cs="Arial"/>
                <w:snapToGrid w:val="0"/>
                <w:sz w:val="18"/>
                <w:szCs w:val="18"/>
              </w:rPr>
            </w:pPr>
            <w:r w:rsidRPr="00B16E6F">
              <w:rPr>
                <w:rFonts w:eastAsiaTheme="minorEastAsia" w:cs="Arial"/>
                <w:snapToGrid w:val="0"/>
                <w:sz w:val="18"/>
                <w:szCs w:val="18"/>
              </w:rPr>
              <w:t>212</w:t>
            </w:r>
          </w:p>
        </w:tc>
        <w:tc>
          <w:tcPr>
            <w:tcW w:w="708" w:type="dxa"/>
            <w:vAlign w:val="center"/>
          </w:tcPr>
          <w:p w:rsidR="0074329C" w:rsidRPr="00B16E6F" w:rsidRDefault="0074329C" w:rsidP="0074329C">
            <w:pPr>
              <w:keepNext/>
              <w:spacing w:before="40" w:after="40"/>
              <w:ind w:right="165"/>
              <w:jc w:val="center"/>
              <w:rPr>
                <w:rFonts w:eastAsiaTheme="minorEastAsia" w:cs="Arial"/>
                <w:snapToGrid w:val="0"/>
                <w:sz w:val="18"/>
                <w:szCs w:val="18"/>
              </w:rPr>
            </w:pPr>
            <w:r w:rsidRPr="00B16E6F">
              <w:rPr>
                <w:rFonts w:eastAsiaTheme="minorEastAsia" w:cs="Arial"/>
                <w:snapToGrid w:val="0"/>
                <w:sz w:val="18"/>
                <w:szCs w:val="18"/>
              </w:rPr>
              <w:t>209</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577</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188</w:t>
            </w:r>
          </w:p>
        </w:tc>
        <w:tc>
          <w:tcPr>
            <w:tcW w:w="709" w:type="dxa"/>
            <w:shd w:val="clear" w:color="auto" w:fill="auto"/>
            <w:vAlign w:val="center"/>
          </w:tcPr>
          <w:p w:rsidR="0074329C" w:rsidRPr="00B16E6F" w:rsidRDefault="0074329C" w:rsidP="0074329C">
            <w:pPr>
              <w:keepNext/>
              <w:spacing w:before="40" w:after="40"/>
              <w:jc w:val="center"/>
              <w:rPr>
                <w:rFonts w:eastAsiaTheme="minorEastAsia" w:cs="Arial"/>
                <w:snapToGrid w:val="0"/>
                <w:sz w:val="18"/>
                <w:szCs w:val="18"/>
                <w:lang w:eastAsia="ja-JP"/>
              </w:rPr>
            </w:pPr>
            <w:r w:rsidRPr="00B16E6F">
              <w:rPr>
                <w:rFonts w:eastAsiaTheme="minorEastAsia" w:cs="Arial"/>
                <w:snapToGrid w:val="0"/>
                <w:sz w:val="18"/>
                <w:szCs w:val="18"/>
                <w:lang w:eastAsia="ja-JP"/>
              </w:rPr>
              <w:t>173</w:t>
            </w:r>
          </w:p>
        </w:tc>
        <w:tc>
          <w:tcPr>
            <w:tcW w:w="708" w:type="dxa"/>
            <w:shd w:val="clear" w:color="auto" w:fill="auto"/>
            <w:vAlign w:val="center"/>
          </w:tcPr>
          <w:p w:rsidR="0074329C" w:rsidRPr="00B16E6F" w:rsidRDefault="0074329C" w:rsidP="0074329C">
            <w:pPr>
              <w:keepNext/>
              <w:spacing w:before="40" w:after="40"/>
              <w:jc w:val="center"/>
              <w:rPr>
                <w:rFonts w:eastAsiaTheme="minorEastAsia" w:cs="Arial"/>
                <w:snapToGrid w:val="0"/>
                <w:sz w:val="18"/>
                <w:szCs w:val="18"/>
                <w:lang w:eastAsia="ja-JP"/>
              </w:rPr>
            </w:pPr>
            <w:r w:rsidRPr="00B16E6F">
              <w:rPr>
                <w:rFonts w:eastAsiaTheme="minorEastAsia" w:cs="Arial"/>
                <w:snapToGrid w:val="0"/>
                <w:sz w:val="18"/>
                <w:szCs w:val="18"/>
                <w:lang w:eastAsia="ja-JP"/>
              </w:rPr>
              <w:t>440</w:t>
            </w:r>
          </w:p>
        </w:tc>
        <w:tc>
          <w:tcPr>
            <w:tcW w:w="709" w:type="dxa"/>
            <w:vAlign w:val="center"/>
          </w:tcPr>
          <w:p w:rsidR="0074329C" w:rsidRPr="00B16E6F" w:rsidRDefault="0074329C" w:rsidP="0074329C">
            <w:pPr>
              <w:keepNext/>
              <w:spacing w:before="40" w:after="40"/>
              <w:jc w:val="center"/>
              <w:rPr>
                <w:rFonts w:eastAsiaTheme="minorEastAsia" w:cs="Arial"/>
                <w:snapToGrid w:val="0"/>
                <w:sz w:val="18"/>
                <w:szCs w:val="18"/>
                <w:lang w:eastAsia="ja-JP"/>
              </w:rPr>
            </w:pPr>
            <w:r w:rsidRPr="00B16E6F">
              <w:rPr>
                <w:rFonts w:eastAsiaTheme="minorEastAsia" w:cs="Arial"/>
                <w:snapToGrid w:val="0"/>
                <w:sz w:val="18"/>
                <w:szCs w:val="18"/>
                <w:lang w:eastAsia="ja-JP"/>
              </w:rPr>
              <w:t>242</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243</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177</w:t>
            </w:r>
          </w:p>
        </w:tc>
      </w:tr>
      <w:tr w:rsidR="0074329C" w:rsidRPr="00B16E6F" w:rsidTr="0086795C">
        <w:trPr>
          <w:trHeight w:val="404"/>
        </w:trPr>
        <w:tc>
          <w:tcPr>
            <w:tcW w:w="1701" w:type="dxa"/>
            <w:vAlign w:val="center"/>
          </w:tcPr>
          <w:p w:rsidR="0074329C" w:rsidRPr="00B16E6F" w:rsidRDefault="0074329C" w:rsidP="0074329C">
            <w:pPr>
              <w:keepNext/>
              <w:spacing w:before="40" w:after="40"/>
              <w:jc w:val="left"/>
              <w:rPr>
                <w:rFonts w:eastAsiaTheme="minorEastAsia" w:cs="Arial"/>
                <w:snapToGrid w:val="0"/>
                <w:sz w:val="18"/>
                <w:szCs w:val="18"/>
              </w:rPr>
            </w:pPr>
            <w:r w:rsidRPr="00B16E6F">
              <w:rPr>
                <w:rFonts w:eastAsiaTheme="minorEastAsia" w:cs="Arial"/>
                <w:snapToGrid w:val="0"/>
                <w:sz w:val="18"/>
                <w:szCs w:val="18"/>
              </w:rPr>
              <w:t>Modifications</w:t>
            </w:r>
          </w:p>
        </w:tc>
        <w:tc>
          <w:tcPr>
            <w:tcW w:w="709" w:type="dxa"/>
            <w:vAlign w:val="center"/>
          </w:tcPr>
          <w:p w:rsidR="0074329C" w:rsidRPr="00B16E6F" w:rsidRDefault="0074329C" w:rsidP="0074329C">
            <w:pPr>
              <w:keepNext/>
              <w:spacing w:before="40" w:after="40"/>
              <w:ind w:right="113"/>
              <w:jc w:val="center"/>
              <w:rPr>
                <w:rFonts w:eastAsiaTheme="minorEastAsia" w:cs="Arial"/>
                <w:snapToGrid w:val="0"/>
                <w:sz w:val="18"/>
                <w:szCs w:val="18"/>
                <w:lang w:eastAsia="ja-JP"/>
              </w:rPr>
            </w:pPr>
            <w:r w:rsidRPr="00B16E6F">
              <w:rPr>
                <w:rFonts w:eastAsiaTheme="minorEastAsia" w:cs="Arial"/>
                <w:snapToGrid w:val="0"/>
                <w:sz w:val="18"/>
                <w:szCs w:val="18"/>
              </w:rPr>
              <w:t>12</w:t>
            </w:r>
          </w:p>
        </w:tc>
        <w:tc>
          <w:tcPr>
            <w:tcW w:w="709" w:type="dxa"/>
            <w:vAlign w:val="center"/>
          </w:tcPr>
          <w:p w:rsidR="0074329C" w:rsidRPr="00B16E6F" w:rsidRDefault="0074329C" w:rsidP="0074329C">
            <w:pPr>
              <w:keepNext/>
              <w:spacing w:before="40" w:after="40"/>
              <w:ind w:right="113"/>
              <w:jc w:val="center"/>
              <w:rPr>
                <w:rFonts w:eastAsiaTheme="minorEastAsia" w:cs="Arial"/>
                <w:snapToGrid w:val="0"/>
                <w:sz w:val="18"/>
                <w:szCs w:val="18"/>
              </w:rPr>
            </w:pPr>
            <w:r w:rsidRPr="00B16E6F">
              <w:rPr>
                <w:rFonts w:eastAsiaTheme="minorEastAsia" w:cs="Arial"/>
                <w:snapToGrid w:val="0"/>
                <w:sz w:val="18"/>
                <w:szCs w:val="18"/>
              </w:rPr>
              <w:t>5</w:t>
            </w:r>
          </w:p>
        </w:tc>
        <w:tc>
          <w:tcPr>
            <w:tcW w:w="708" w:type="dxa"/>
            <w:vAlign w:val="center"/>
          </w:tcPr>
          <w:p w:rsidR="0074329C" w:rsidRPr="00B16E6F" w:rsidRDefault="0074329C" w:rsidP="0074329C">
            <w:pPr>
              <w:keepNext/>
              <w:spacing w:before="40" w:after="40"/>
              <w:jc w:val="center"/>
              <w:rPr>
                <w:rFonts w:eastAsiaTheme="minorEastAsia" w:cs="Arial"/>
                <w:snapToGrid w:val="0"/>
                <w:sz w:val="18"/>
                <w:szCs w:val="18"/>
                <w:lang w:eastAsia="ja-JP"/>
              </w:rPr>
            </w:pPr>
            <w:r w:rsidRPr="00B16E6F">
              <w:rPr>
                <w:rFonts w:eastAsiaTheme="minorEastAsia" w:cs="Arial"/>
                <w:snapToGrid w:val="0"/>
                <w:sz w:val="18"/>
                <w:szCs w:val="18"/>
              </w:rPr>
              <w:t>47*</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37</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11</w:t>
            </w:r>
          </w:p>
        </w:tc>
        <w:tc>
          <w:tcPr>
            <w:tcW w:w="709" w:type="dxa"/>
            <w:shd w:val="clear" w:color="auto" w:fill="auto"/>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16</w:t>
            </w:r>
          </w:p>
        </w:tc>
        <w:tc>
          <w:tcPr>
            <w:tcW w:w="708" w:type="dxa"/>
            <w:shd w:val="clear" w:color="auto" w:fill="auto"/>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1</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5</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3</w:t>
            </w:r>
          </w:p>
        </w:tc>
        <w:tc>
          <w:tcPr>
            <w:tcW w:w="709" w:type="dxa"/>
            <w:vAlign w:val="center"/>
          </w:tcPr>
          <w:p w:rsidR="0074329C" w:rsidRPr="00B16E6F" w:rsidRDefault="0074329C" w:rsidP="0074329C">
            <w:pPr>
              <w:keepNext/>
              <w:spacing w:before="40" w:after="40"/>
              <w:ind w:right="165"/>
              <w:jc w:val="center"/>
              <w:rPr>
                <w:rFonts w:eastAsiaTheme="minorEastAsia" w:cs="Arial"/>
                <w:snapToGrid w:val="0"/>
                <w:sz w:val="18"/>
                <w:szCs w:val="18"/>
                <w:lang w:eastAsia="ja-JP"/>
              </w:rPr>
            </w:pPr>
            <w:r w:rsidRPr="00B16E6F">
              <w:rPr>
                <w:rFonts w:eastAsiaTheme="minorEastAsia" w:cs="Arial"/>
                <w:snapToGrid w:val="0"/>
                <w:sz w:val="18"/>
                <w:szCs w:val="18"/>
                <w:lang w:eastAsia="ja-JP"/>
              </w:rPr>
              <w:t>44</w:t>
            </w:r>
          </w:p>
        </w:tc>
      </w:tr>
      <w:tr w:rsidR="0074329C" w:rsidRPr="00B16E6F" w:rsidTr="0086795C">
        <w:trPr>
          <w:trHeight w:val="425"/>
        </w:trPr>
        <w:tc>
          <w:tcPr>
            <w:tcW w:w="1701" w:type="dxa"/>
            <w:vAlign w:val="center"/>
          </w:tcPr>
          <w:p w:rsidR="0074329C" w:rsidRPr="00B16E6F" w:rsidRDefault="0074329C" w:rsidP="0074329C">
            <w:pPr>
              <w:spacing w:before="40" w:after="40"/>
              <w:jc w:val="left"/>
              <w:rPr>
                <w:rFonts w:eastAsiaTheme="minorEastAsia" w:cs="Arial"/>
                <w:snapToGrid w:val="0"/>
                <w:sz w:val="18"/>
                <w:szCs w:val="18"/>
              </w:rPr>
            </w:pPr>
            <w:r w:rsidRPr="00B16E6F">
              <w:rPr>
                <w:rFonts w:eastAsiaTheme="minorEastAsia" w:cs="Arial"/>
                <w:snapToGrid w:val="0"/>
                <w:sz w:val="18"/>
                <w:szCs w:val="18"/>
              </w:rPr>
              <w:t>Nombre total de codes UPOV</w:t>
            </w:r>
          </w:p>
        </w:tc>
        <w:tc>
          <w:tcPr>
            <w:tcW w:w="709" w:type="dxa"/>
            <w:vAlign w:val="center"/>
          </w:tcPr>
          <w:p w:rsidR="0074329C" w:rsidRPr="00B16E6F" w:rsidRDefault="00896A20" w:rsidP="00896A20">
            <w:pPr>
              <w:keepNext/>
              <w:spacing w:before="40" w:after="40"/>
              <w:ind w:right="113"/>
              <w:jc w:val="center"/>
              <w:rPr>
                <w:rFonts w:eastAsiaTheme="minorEastAsia" w:cs="Arial"/>
                <w:snapToGrid w:val="0"/>
                <w:sz w:val="18"/>
                <w:szCs w:val="18"/>
              </w:rPr>
            </w:pPr>
            <w:r w:rsidRPr="00B16E6F">
              <w:rPr>
                <w:rFonts w:eastAsiaTheme="minorEastAsia" w:cs="Arial"/>
                <w:snapToGrid w:val="0"/>
                <w:sz w:val="18"/>
                <w:szCs w:val="18"/>
              </w:rPr>
              <w:t>6 851</w:t>
            </w:r>
          </w:p>
        </w:tc>
        <w:tc>
          <w:tcPr>
            <w:tcW w:w="709" w:type="dxa"/>
            <w:vAlign w:val="center"/>
          </w:tcPr>
          <w:p w:rsidR="0074329C" w:rsidRPr="00B16E6F" w:rsidRDefault="00896A20" w:rsidP="00896A20">
            <w:pPr>
              <w:keepNext/>
              <w:spacing w:before="40" w:after="40"/>
              <w:ind w:right="113"/>
              <w:jc w:val="center"/>
              <w:rPr>
                <w:rFonts w:eastAsiaTheme="minorEastAsia" w:cs="Arial"/>
                <w:snapToGrid w:val="0"/>
                <w:sz w:val="18"/>
                <w:szCs w:val="18"/>
              </w:rPr>
            </w:pPr>
            <w:r w:rsidRPr="00B16E6F">
              <w:rPr>
                <w:rFonts w:eastAsiaTheme="minorEastAsia" w:cs="Arial"/>
                <w:snapToGrid w:val="0"/>
                <w:sz w:val="18"/>
                <w:szCs w:val="18"/>
              </w:rPr>
              <w:t>7 061</w:t>
            </w:r>
          </w:p>
        </w:tc>
        <w:tc>
          <w:tcPr>
            <w:tcW w:w="708" w:type="dxa"/>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rPr>
            </w:pPr>
            <w:r w:rsidRPr="00B16E6F">
              <w:rPr>
                <w:rFonts w:eastAsiaTheme="minorEastAsia" w:cs="Arial"/>
                <w:snapToGrid w:val="0"/>
                <w:sz w:val="18"/>
                <w:szCs w:val="18"/>
              </w:rPr>
              <w:t>7 251</w:t>
            </w:r>
          </w:p>
        </w:tc>
        <w:tc>
          <w:tcPr>
            <w:tcW w:w="709" w:type="dxa"/>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7 808</w:t>
            </w:r>
          </w:p>
        </w:tc>
        <w:tc>
          <w:tcPr>
            <w:tcW w:w="709" w:type="dxa"/>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7 992</w:t>
            </w:r>
          </w:p>
        </w:tc>
        <w:tc>
          <w:tcPr>
            <w:tcW w:w="709" w:type="dxa"/>
            <w:shd w:val="clear" w:color="auto" w:fill="auto"/>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8 149</w:t>
            </w:r>
          </w:p>
        </w:tc>
        <w:tc>
          <w:tcPr>
            <w:tcW w:w="708" w:type="dxa"/>
            <w:shd w:val="clear" w:color="auto" w:fill="auto"/>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8 589</w:t>
            </w:r>
          </w:p>
        </w:tc>
        <w:tc>
          <w:tcPr>
            <w:tcW w:w="709" w:type="dxa"/>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8 844</w:t>
            </w:r>
          </w:p>
        </w:tc>
        <w:tc>
          <w:tcPr>
            <w:tcW w:w="709" w:type="dxa"/>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9 077</w:t>
            </w:r>
          </w:p>
        </w:tc>
        <w:tc>
          <w:tcPr>
            <w:tcW w:w="709" w:type="dxa"/>
            <w:vAlign w:val="center"/>
          </w:tcPr>
          <w:p w:rsidR="0074329C" w:rsidRPr="00B16E6F" w:rsidRDefault="00896A20" w:rsidP="00896A20">
            <w:pPr>
              <w:keepNext/>
              <w:tabs>
                <w:tab w:val="left" w:pos="630"/>
                <w:tab w:val="left" w:pos="748"/>
              </w:tabs>
              <w:spacing w:before="40" w:after="40"/>
              <w:ind w:right="23"/>
              <w:jc w:val="center"/>
              <w:rPr>
                <w:rFonts w:eastAsiaTheme="minorEastAsia" w:cs="Arial"/>
                <w:snapToGrid w:val="0"/>
                <w:sz w:val="18"/>
                <w:szCs w:val="18"/>
                <w:lang w:eastAsia="ja-JP"/>
              </w:rPr>
            </w:pPr>
            <w:r w:rsidRPr="00B16E6F">
              <w:rPr>
                <w:rFonts w:eastAsiaTheme="minorEastAsia" w:cs="Arial"/>
                <w:snapToGrid w:val="0"/>
                <w:sz w:val="18"/>
                <w:szCs w:val="18"/>
                <w:lang w:eastAsia="ja-JP"/>
              </w:rPr>
              <w:t>9 213</w:t>
            </w:r>
          </w:p>
        </w:tc>
      </w:tr>
    </w:tbl>
    <w:p w:rsidR="00DC7EA3" w:rsidRPr="00B16E6F" w:rsidRDefault="00B0676A" w:rsidP="00B0676A">
      <w:pPr>
        <w:keepNext/>
        <w:spacing w:before="120"/>
        <w:ind w:left="567" w:right="567" w:hanging="284"/>
        <w:rPr>
          <w:rFonts w:eastAsiaTheme="minorEastAsia" w:cs="Arial"/>
          <w:sz w:val="16"/>
          <w:szCs w:val="18"/>
          <w:lang w:val="fr-CH"/>
        </w:rPr>
      </w:pPr>
      <w:r w:rsidRPr="00B16E6F">
        <w:rPr>
          <w:rFonts w:eastAsiaTheme="minorEastAsia" w:cs="Arial"/>
          <w:sz w:val="16"/>
          <w:szCs w:val="18"/>
          <w:lang w:val="fr-CH"/>
        </w:rPr>
        <w:t xml:space="preserve">* </w:t>
      </w:r>
      <w:r w:rsidR="00255969">
        <w:rPr>
          <w:rFonts w:eastAsiaTheme="minorEastAsia" w:cs="Arial"/>
          <w:sz w:val="16"/>
          <w:szCs w:val="18"/>
        </w:rPr>
        <w:t>y compris</w:t>
      </w:r>
      <w:r w:rsidR="0074329C" w:rsidRPr="00B16E6F">
        <w:rPr>
          <w:rFonts w:eastAsiaTheme="minorEastAsia" w:cs="Arial"/>
          <w:sz w:val="16"/>
          <w:szCs w:val="18"/>
        </w:rPr>
        <w:t xml:space="preserve"> les modifications des codes UPOV résultant de la modification de l</w:t>
      </w:r>
      <w:r w:rsidR="00255969">
        <w:rPr>
          <w:rFonts w:eastAsiaTheme="minorEastAsia" w:cs="Arial"/>
          <w:sz w:val="16"/>
          <w:szCs w:val="18"/>
        </w:rPr>
        <w:t>’</w:t>
      </w:r>
      <w:r w:rsidR="0074329C" w:rsidRPr="00B16E6F">
        <w:rPr>
          <w:rFonts w:eastAsiaTheme="minorEastAsia" w:cs="Arial"/>
          <w:sz w:val="16"/>
          <w:szCs w:val="18"/>
        </w:rPr>
        <w:t xml:space="preserve">“Introduction au système de codes UPOV” concernant les hybrides (voir le </w:t>
      </w:r>
      <w:r w:rsidR="00255969" w:rsidRPr="00B16E6F">
        <w:rPr>
          <w:rFonts w:eastAsiaTheme="minorEastAsia" w:cs="Arial"/>
          <w:sz w:val="16"/>
          <w:szCs w:val="18"/>
        </w:rPr>
        <w:t>document</w:t>
      </w:r>
      <w:r w:rsidR="00F3336A">
        <w:rPr>
          <w:rFonts w:eastAsiaTheme="minorEastAsia" w:cs="Arial"/>
          <w:sz w:val="16"/>
          <w:szCs w:val="18"/>
        </w:rPr>
        <w:t> </w:t>
      </w:r>
      <w:r w:rsidR="00255969">
        <w:rPr>
          <w:rFonts w:eastAsiaTheme="minorEastAsia" w:cs="Arial"/>
          <w:sz w:val="16"/>
          <w:szCs w:val="18"/>
        </w:rPr>
        <w:t>TC</w:t>
      </w:r>
      <w:r w:rsidR="0074329C" w:rsidRPr="00B16E6F">
        <w:rPr>
          <w:rFonts w:eastAsiaTheme="minorEastAsia" w:cs="Arial"/>
          <w:sz w:val="16"/>
          <w:szCs w:val="18"/>
        </w:rPr>
        <w:t>/49/6).</w:t>
      </w:r>
    </w:p>
    <w:p w:rsidR="00DC7EA3" w:rsidRPr="00B16E6F" w:rsidRDefault="00DC7EA3" w:rsidP="00B0676A">
      <w:pPr>
        <w:rPr>
          <w:rFonts w:eastAsia="MS Mincho"/>
          <w:lang w:val="fr-CH" w:eastAsia="ja-JP"/>
        </w:rPr>
      </w:pPr>
    </w:p>
    <w:p w:rsidR="00DC7EA3" w:rsidRPr="00B16E6F" w:rsidRDefault="00DC7EA3" w:rsidP="00B0676A">
      <w:pPr>
        <w:rPr>
          <w:rFonts w:eastAsiaTheme="minorEastAsia" w:cs="Arial"/>
          <w:snapToGrid w:val="0"/>
          <w:lang w:val="fr-CH"/>
        </w:rPr>
      </w:pPr>
    </w:p>
    <w:p w:rsidR="00DC7EA3" w:rsidRPr="00B16E6F" w:rsidRDefault="00DC7EA3" w:rsidP="00B0676A">
      <w:pPr>
        <w:tabs>
          <w:tab w:val="left" w:pos="0"/>
        </w:tabs>
        <w:contextualSpacing/>
        <w:rPr>
          <w:rFonts w:eastAsia="MS Mincho"/>
          <w:lang w:val="fr-CH"/>
        </w:rPr>
      </w:pPr>
    </w:p>
    <w:p w:rsidR="00DC7EA3" w:rsidRPr="00B16E6F" w:rsidRDefault="0074329C" w:rsidP="0074329C">
      <w:pPr>
        <w:keepNext/>
        <w:outlineLvl w:val="1"/>
        <w:rPr>
          <w:rFonts w:eastAsiaTheme="minorEastAsia"/>
          <w:u w:val="single"/>
          <w:lang w:eastAsia="ja-JP"/>
        </w:rPr>
      </w:pPr>
      <w:bookmarkStart w:id="12" w:name="_Toc54010779"/>
      <w:bookmarkStart w:id="13" w:name="_Toc86066527"/>
      <w:r w:rsidRPr="00B16E6F">
        <w:rPr>
          <w:rFonts w:eastAsiaTheme="minorEastAsia"/>
          <w:u w:val="single"/>
          <w:lang w:eastAsia="ja-JP"/>
        </w:rPr>
        <w:t>Vérification par les TWP</w:t>
      </w:r>
      <w:bookmarkEnd w:id="12"/>
      <w:bookmarkEnd w:id="13"/>
    </w:p>
    <w:p w:rsidR="00DC7EA3" w:rsidRPr="00B16E6F" w:rsidRDefault="00DC7EA3" w:rsidP="0074329C">
      <w:pPr>
        <w:keepNext/>
        <w:outlineLvl w:val="1"/>
        <w:rPr>
          <w:rFonts w:eastAsiaTheme="minorEastAsia"/>
          <w:u w:val="single"/>
        </w:rPr>
      </w:pPr>
    </w:p>
    <w:p w:rsidR="00DC7EA3" w:rsidRPr="00B16E6F" w:rsidRDefault="0074329C" w:rsidP="0074329C">
      <w:pPr>
        <w:keepNext/>
        <w:keepLines/>
        <w:rPr>
          <w:rFonts w:eastAsia="MS Mincho"/>
        </w:rPr>
      </w:pPr>
      <w:r w:rsidRPr="00B16E6F">
        <w:rPr>
          <w:rFonts w:eastAsiaTheme="minorEastAsia"/>
          <w:snapToGrid w:val="0"/>
        </w:rPr>
        <w:fldChar w:fldCharType="begin"/>
      </w:r>
      <w:r w:rsidRPr="00B16E6F">
        <w:rPr>
          <w:rFonts w:eastAsiaTheme="minorEastAsia"/>
          <w:snapToGrid w:val="0"/>
        </w:rPr>
        <w:instrText xml:space="preserve"> AUTONUM  </w:instrText>
      </w:r>
      <w:r w:rsidRPr="00B16E6F">
        <w:rPr>
          <w:rFonts w:eastAsiaTheme="minorEastAsia"/>
          <w:snapToGrid w:val="0"/>
        </w:rPr>
        <w:fldChar w:fldCharType="end"/>
      </w:r>
      <w:r w:rsidRPr="00B16E6F">
        <w:rPr>
          <w:rFonts w:eastAsia="MS Mincho"/>
          <w:snapToGrid w:val="0"/>
        </w:rPr>
        <w:tab/>
        <w:t>La section </w:t>
      </w:r>
      <w:r w:rsidR="00A95652" w:rsidRPr="00B16E6F">
        <w:rPr>
          <w:rFonts w:eastAsia="MS Mincho"/>
          <w:snapToGrid w:val="0"/>
        </w:rPr>
        <w:t>3.3 de</w:t>
      </w:r>
      <w:r w:rsidRPr="00B16E6F">
        <w:rPr>
          <w:rFonts w:eastAsia="MS Mincho"/>
          <w:snapToGrid w:val="0"/>
        </w:rPr>
        <w:t xml:space="preserve"> </w:t>
      </w:r>
      <w:r w:rsidR="00A95652" w:rsidRPr="00B16E6F">
        <w:rPr>
          <w:rFonts w:eastAsia="MS Mincho"/>
          <w:snapToGrid w:val="0"/>
        </w:rPr>
        <w:t>l</w:t>
      </w:r>
      <w:r w:rsidR="00255969">
        <w:rPr>
          <w:rFonts w:eastAsia="MS Mincho"/>
          <w:snapToGrid w:val="0"/>
        </w:rPr>
        <w:t>’</w:t>
      </w:r>
      <w:r w:rsidRPr="00B16E6F">
        <w:rPr>
          <w:rFonts w:eastAsia="MS Mincho"/>
          <w:snapToGrid w:val="0"/>
        </w:rPr>
        <w:t>“</w:t>
      </w:r>
      <w:r w:rsidR="00A95652" w:rsidRPr="00B16E6F">
        <w:rPr>
          <w:rFonts w:eastAsia="MS Mincho"/>
          <w:spacing w:val="2"/>
          <w:lang w:val="fr-CH"/>
        </w:rPr>
        <w:t xml:space="preserve">Introduction au système de codes </w:t>
      </w:r>
      <w:r w:rsidRPr="00B16E6F">
        <w:rPr>
          <w:rFonts w:eastAsia="MS Mincho"/>
          <w:snapToGrid w:val="0"/>
        </w:rPr>
        <w:t>UPOV” dispose notamment ce qui suit</w:t>
      </w:r>
      <w:r w:rsidR="00255969">
        <w:rPr>
          <w:rFonts w:eastAsia="MS Mincho"/>
          <w:snapToGrid w:val="0"/>
        </w:rPr>
        <w:t> :</w:t>
      </w:r>
    </w:p>
    <w:p w:rsidR="00DC7EA3" w:rsidRPr="00B16E6F" w:rsidRDefault="00DC7EA3" w:rsidP="0074329C">
      <w:pPr>
        <w:keepNext/>
        <w:rPr>
          <w:rFonts w:eastAsia="MS Mincho"/>
        </w:rPr>
      </w:pPr>
    </w:p>
    <w:p w:rsidR="00DC7EA3" w:rsidRPr="00B16E6F" w:rsidRDefault="0074329C" w:rsidP="0074329C">
      <w:pPr>
        <w:keepNext/>
        <w:ind w:left="567" w:right="566"/>
        <w:rPr>
          <w:rFonts w:eastAsia="MS Mincho"/>
          <w:snapToGrid w:val="0"/>
          <w:sz w:val="18"/>
          <w:szCs w:val="18"/>
        </w:rPr>
      </w:pPr>
      <w:r w:rsidRPr="00B16E6F">
        <w:rPr>
          <w:rFonts w:eastAsia="MS Mincho"/>
          <w:snapToGrid w:val="0"/>
          <w:sz w:val="18"/>
          <w:szCs w:val="18"/>
        </w:rPr>
        <w:t>“Les modifications des codes UPOV seront traitées selon la même procédure que l</w:t>
      </w:r>
      <w:r w:rsidR="00255969">
        <w:rPr>
          <w:rFonts w:eastAsia="MS Mincho"/>
          <w:snapToGrid w:val="0"/>
          <w:sz w:val="18"/>
          <w:szCs w:val="18"/>
        </w:rPr>
        <w:t>’</w:t>
      </w:r>
      <w:r w:rsidRPr="00B16E6F">
        <w:rPr>
          <w:rFonts w:eastAsia="MS Mincho"/>
          <w:snapToGrid w:val="0"/>
          <w:sz w:val="18"/>
          <w:szCs w:val="18"/>
        </w:rPr>
        <w:t>adoption de nouveaux codes UPOV […].  Toutefois, tous les membres de l</w:t>
      </w:r>
      <w:r w:rsidR="00255969">
        <w:rPr>
          <w:rFonts w:eastAsia="MS Mincho"/>
          <w:snapToGrid w:val="0"/>
          <w:sz w:val="18"/>
          <w:szCs w:val="18"/>
        </w:rPr>
        <w:t>’</w:t>
      </w:r>
      <w:r w:rsidRPr="00B16E6F">
        <w:rPr>
          <w:rFonts w:eastAsia="MS Mincho"/>
          <w:snapToGrid w:val="0"/>
          <w:sz w:val="18"/>
          <w:szCs w:val="18"/>
        </w:rPr>
        <w:t>Union et les fournisseurs de données à la base de données sur les variétés végétales seront en outre tenus informés des modifications.”</w:t>
      </w:r>
    </w:p>
    <w:p w:rsidR="00DC7EA3" w:rsidRPr="00B16E6F" w:rsidRDefault="00DC7EA3" w:rsidP="0074329C">
      <w:pPr>
        <w:rPr>
          <w:rFonts w:eastAsiaTheme="minorEastAsia" w:cs="Arial"/>
          <w:lang w:eastAsia="ja-JP"/>
        </w:rPr>
      </w:pPr>
    </w:p>
    <w:p w:rsidR="00DC7EA3" w:rsidRPr="00B16E6F" w:rsidRDefault="0074329C" w:rsidP="0074329C">
      <w:pPr>
        <w:rPr>
          <w:rFonts w:eastAsiaTheme="minorEastAsia" w:cs="Arial"/>
        </w:rPr>
      </w:pPr>
      <w:r w:rsidRPr="00B16E6F">
        <w:rPr>
          <w:rFonts w:eastAsiaTheme="minorEastAsia"/>
          <w:snapToGrid w:val="0"/>
        </w:rPr>
        <w:fldChar w:fldCharType="begin"/>
      </w:r>
      <w:r w:rsidRPr="00B16E6F">
        <w:rPr>
          <w:rFonts w:eastAsiaTheme="minorEastAsia"/>
          <w:snapToGrid w:val="0"/>
        </w:rPr>
        <w:instrText xml:space="preserve"> AUTONUM  </w:instrText>
      </w:r>
      <w:r w:rsidRPr="00B16E6F">
        <w:rPr>
          <w:rFonts w:eastAsiaTheme="minorEastAsia"/>
          <w:snapToGrid w:val="0"/>
        </w:rPr>
        <w:fldChar w:fldCharType="end"/>
      </w:r>
      <w:r w:rsidRPr="00B16E6F">
        <w:rPr>
          <w:rFonts w:eastAsiaTheme="minorEastAsia" w:cs="Arial"/>
          <w:snapToGrid w:val="0"/>
        </w:rPr>
        <w:tab/>
        <w:t>Conformément à la procédure prévue à la section 3.3 de l</w:t>
      </w:r>
      <w:r w:rsidR="00255969">
        <w:rPr>
          <w:rFonts w:eastAsiaTheme="minorEastAsia" w:cs="Arial"/>
          <w:snapToGrid w:val="0"/>
        </w:rPr>
        <w:t>’</w:t>
      </w:r>
      <w:r w:rsidRPr="00B16E6F">
        <w:rPr>
          <w:rFonts w:eastAsiaTheme="minorEastAsia" w:cs="Arial"/>
          <w:snapToGrid w:val="0"/>
        </w:rPr>
        <w:t>Introduction au système de codes UPOV, le Bureau de l</w:t>
      </w:r>
      <w:r w:rsidR="00255969">
        <w:rPr>
          <w:rFonts w:eastAsiaTheme="minorEastAsia" w:cs="Arial"/>
          <w:snapToGrid w:val="0"/>
        </w:rPr>
        <w:t>’</w:t>
      </w:r>
      <w:r w:rsidRPr="00B16E6F">
        <w:rPr>
          <w:rFonts w:eastAsiaTheme="minorEastAsia" w:cs="Arial"/>
          <w:snapToGrid w:val="0"/>
        </w:rPr>
        <w:t>Union établit des tableaux des ajouts et des modifications apportés aux codes UPOV pour vérification par les services compétents pour chacune des sessions des TWP en 2021.</w:t>
      </w:r>
    </w:p>
    <w:p w:rsidR="00DC7EA3" w:rsidRPr="00B16E6F" w:rsidRDefault="00DC7EA3" w:rsidP="0074329C">
      <w:pPr>
        <w:rPr>
          <w:rFonts w:eastAsiaTheme="minorEastAsia" w:cs="Arial"/>
          <w:lang w:eastAsia="ja-JP"/>
        </w:rPr>
      </w:pPr>
    </w:p>
    <w:p w:rsidR="00DC7EA3" w:rsidRPr="00B16E6F" w:rsidRDefault="0074329C" w:rsidP="0074329C">
      <w:pPr>
        <w:rPr>
          <w:rFonts w:eastAsiaTheme="minorEastAsia" w:cs="Arial"/>
          <w:snapToGrid w:val="0"/>
        </w:rPr>
      </w:pPr>
      <w:r w:rsidRPr="00B16E6F">
        <w:rPr>
          <w:rFonts w:eastAsiaTheme="minorEastAsia" w:cs="Arial"/>
        </w:rPr>
        <w:fldChar w:fldCharType="begin"/>
      </w:r>
      <w:r w:rsidRPr="00B16E6F">
        <w:rPr>
          <w:rFonts w:eastAsiaTheme="minorEastAsia" w:cs="Arial"/>
        </w:rPr>
        <w:instrText xml:space="preserve"> AUTONUM  </w:instrText>
      </w:r>
      <w:r w:rsidRPr="00B16E6F">
        <w:rPr>
          <w:rFonts w:eastAsiaTheme="minorEastAsia" w:cs="Arial"/>
        </w:rPr>
        <w:fldChar w:fldCharType="end"/>
      </w:r>
      <w:r w:rsidRPr="00B16E6F">
        <w:rPr>
          <w:rFonts w:eastAsiaTheme="minorEastAsia" w:cs="Arial"/>
        </w:rPr>
        <w:tab/>
      </w:r>
      <w:r w:rsidR="00646F8C" w:rsidRPr="00B16E6F">
        <w:rPr>
          <w:rFonts w:eastAsiaTheme="minorEastAsia" w:cs="Arial"/>
          <w:snapToGrid w:val="0"/>
        </w:rPr>
        <w:t>Les experts du G</w:t>
      </w:r>
      <w:r w:rsidRPr="00B16E6F">
        <w:rPr>
          <w:rFonts w:eastAsiaTheme="minorEastAsia" w:cs="Arial"/>
          <w:snapToGrid w:val="0"/>
        </w:rPr>
        <w:t>roupe de travail technique sur le</w:t>
      </w:r>
      <w:r w:rsidR="00646F8C" w:rsidRPr="00B16E6F">
        <w:rPr>
          <w:rFonts w:eastAsiaTheme="minorEastAsia" w:cs="Arial"/>
          <w:snapToGrid w:val="0"/>
        </w:rPr>
        <w:t>s plantes potagères (TWV), du G</w:t>
      </w:r>
      <w:r w:rsidRPr="00B16E6F">
        <w:rPr>
          <w:rFonts w:eastAsiaTheme="minorEastAsia" w:cs="Arial"/>
          <w:snapToGrid w:val="0"/>
        </w:rPr>
        <w:t>roupe de travail technique sur les plantes ornementales et l</w:t>
      </w:r>
      <w:r w:rsidR="00646F8C" w:rsidRPr="00B16E6F">
        <w:rPr>
          <w:rFonts w:eastAsiaTheme="minorEastAsia" w:cs="Arial"/>
          <w:snapToGrid w:val="0"/>
        </w:rPr>
        <w:t>es arbres forestiers (TWO), du G</w:t>
      </w:r>
      <w:r w:rsidRPr="00B16E6F">
        <w:rPr>
          <w:rFonts w:eastAsiaTheme="minorEastAsia" w:cs="Arial"/>
          <w:snapToGrid w:val="0"/>
        </w:rPr>
        <w:t>roupe de travail technique sur les</w:t>
      </w:r>
      <w:r w:rsidR="00646F8C" w:rsidRPr="00B16E6F">
        <w:rPr>
          <w:rFonts w:eastAsiaTheme="minorEastAsia" w:cs="Arial"/>
          <w:snapToGrid w:val="0"/>
        </w:rPr>
        <w:t xml:space="preserve"> plantes agricoles (TWA) et du G</w:t>
      </w:r>
      <w:r w:rsidRPr="00B16E6F">
        <w:rPr>
          <w:rFonts w:eastAsiaTheme="minorEastAsia" w:cs="Arial"/>
          <w:snapToGrid w:val="0"/>
        </w:rPr>
        <w:t>roupe de travail technique sur les plantes fruitières (TWF) ont été priés de vérifier les modifications apportées aux codes UPOV existants et les nouveaux codes UPOV ou les nouvelles informations ajoutées aux codes UPOV existants et de soumettre leurs observations avant le 31 décembre 2021.</w:t>
      </w:r>
    </w:p>
    <w:p w:rsidR="00DC7EA3" w:rsidRPr="00B16E6F" w:rsidRDefault="00DC7EA3" w:rsidP="00B0676A">
      <w:pPr>
        <w:rPr>
          <w:rFonts w:eastAsiaTheme="minorEastAsia"/>
          <w:lang w:eastAsia="ja-JP"/>
        </w:rPr>
      </w:pPr>
    </w:p>
    <w:p w:rsidR="00DC7EA3" w:rsidRPr="00B16E6F" w:rsidRDefault="00DC7EA3" w:rsidP="00B0676A">
      <w:pPr>
        <w:rPr>
          <w:rFonts w:eastAsiaTheme="minorEastAsia"/>
          <w:lang w:val="fr-CH" w:eastAsia="ja-JP"/>
        </w:rPr>
      </w:pPr>
    </w:p>
    <w:p w:rsidR="00255969" w:rsidRDefault="0074329C" w:rsidP="00B0676A">
      <w:pPr>
        <w:keepNext/>
        <w:keepLines/>
        <w:outlineLvl w:val="0"/>
        <w:rPr>
          <w:rFonts w:eastAsiaTheme="minorEastAsia"/>
          <w:caps/>
          <w:lang w:val="fr-CH"/>
        </w:rPr>
      </w:pPr>
      <w:bookmarkStart w:id="14" w:name="_Toc477797643"/>
      <w:bookmarkStart w:id="15" w:name="_Toc38109191"/>
      <w:bookmarkStart w:id="16" w:name="_Toc68852048"/>
      <w:bookmarkStart w:id="17" w:name="_Toc86066528"/>
      <w:r w:rsidRPr="00B16E6F">
        <w:rPr>
          <w:rFonts w:eastAsiaTheme="minorEastAsia"/>
          <w:caps/>
          <w:lang w:val="fr-CH"/>
        </w:rPr>
        <w:t xml:space="preserve">Base de données </w:t>
      </w:r>
      <w:r w:rsidR="00B0676A" w:rsidRPr="00B16E6F">
        <w:rPr>
          <w:rFonts w:eastAsiaTheme="minorEastAsia"/>
          <w:caps/>
          <w:lang w:val="fr-CH"/>
        </w:rPr>
        <w:t>PLUTO</w:t>
      </w:r>
      <w:bookmarkEnd w:id="14"/>
      <w:bookmarkEnd w:id="15"/>
      <w:bookmarkEnd w:id="16"/>
      <w:bookmarkEnd w:id="17"/>
    </w:p>
    <w:p w:rsidR="00DC7EA3" w:rsidRPr="00B16E6F" w:rsidRDefault="00DC7EA3" w:rsidP="00B0676A">
      <w:pPr>
        <w:rPr>
          <w:rFonts w:eastAsiaTheme="minorEastAsia"/>
          <w:lang w:val="fr-CH"/>
        </w:rPr>
      </w:pPr>
    </w:p>
    <w:p w:rsidR="00DC7EA3" w:rsidRPr="00B16E6F" w:rsidRDefault="0074329C" w:rsidP="00B0676A">
      <w:pPr>
        <w:keepNext/>
        <w:outlineLvl w:val="1"/>
        <w:rPr>
          <w:rFonts w:eastAsia="MS Mincho"/>
          <w:u w:val="single"/>
          <w:lang w:val="fr-CH"/>
        </w:rPr>
      </w:pPr>
      <w:bookmarkStart w:id="18" w:name="_Toc86066529"/>
      <w:r w:rsidRPr="00B16E6F">
        <w:rPr>
          <w:rFonts w:eastAsia="MS Mincho"/>
          <w:u w:val="single"/>
          <w:lang w:val="fr-CH"/>
        </w:rPr>
        <w:t>Rappel</w:t>
      </w:r>
      <w:bookmarkEnd w:id="18"/>
    </w:p>
    <w:p w:rsidR="00DC7EA3" w:rsidRPr="00B16E6F" w:rsidRDefault="00DC7EA3" w:rsidP="00B0676A">
      <w:pPr>
        <w:rPr>
          <w:rFonts w:eastAsiaTheme="minorEastAsia" w:cs="Arial"/>
          <w:bCs/>
          <w:lang w:val="fr-CH"/>
        </w:rPr>
      </w:pPr>
    </w:p>
    <w:p w:rsidR="00DC7EA3" w:rsidRPr="00B16E6F" w:rsidRDefault="00B0676A" w:rsidP="0074329C">
      <w:pPr>
        <w:keepLines/>
        <w:tabs>
          <w:tab w:val="left" w:pos="567"/>
        </w:tabs>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74329C" w:rsidRPr="00B16E6F">
        <w:rPr>
          <w:rFonts w:eastAsiaTheme="minorEastAsia" w:cs="Arial"/>
          <w:bCs/>
        </w:rPr>
        <w:t>À sa cinquante</w:t>
      </w:r>
      <w:r w:rsidR="00255969">
        <w:rPr>
          <w:rFonts w:eastAsiaTheme="minorEastAsia" w:cs="Arial"/>
          <w:bCs/>
        </w:rPr>
        <w:t>-</w:t>
      </w:r>
      <w:r w:rsidR="0074329C" w:rsidRPr="00B16E6F">
        <w:rPr>
          <w:rFonts w:eastAsiaTheme="minorEastAsia" w:cs="Arial"/>
          <w:bCs/>
        </w:rPr>
        <w:t>trois</w:t>
      </w:r>
      <w:r w:rsidR="00255969">
        <w:rPr>
          <w:rFonts w:eastAsiaTheme="minorEastAsia" w:cs="Arial"/>
          <w:bCs/>
        </w:rPr>
        <w:t>ième session</w:t>
      </w:r>
      <w:r w:rsidR="0074329C" w:rsidRPr="00B16E6F">
        <w:rPr>
          <w:rFonts w:eastAsiaTheme="minorEastAsia" w:cs="Arial"/>
          <w:bCs/>
        </w:rPr>
        <w:t xml:space="preserve"> ordinaire tenue à Genève le</w:t>
      </w:r>
      <w:r w:rsidR="00255969">
        <w:rPr>
          <w:rFonts w:eastAsiaTheme="minorEastAsia" w:cs="Arial"/>
          <w:bCs/>
        </w:rPr>
        <w:t xml:space="preserve"> 1</w:t>
      </w:r>
      <w:r w:rsidR="00255969" w:rsidRPr="00255969">
        <w:rPr>
          <w:rFonts w:eastAsiaTheme="minorEastAsia" w:cs="Arial"/>
          <w:bCs/>
          <w:vertAlign w:val="superscript"/>
        </w:rPr>
        <w:t>er</w:t>
      </w:r>
      <w:r w:rsidR="00255969">
        <w:rPr>
          <w:rFonts w:eastAsiaTheme="minorEastAsia" w:cs="Arial"/>
          <w:bCs/>
        </w:rPr>
        <w:t> </w:t>
      </w:r>
      <w:r w:rsidR="0074329C" w:rsidRPr="00B16E6F">
        <w:rPr>
          <w:rFonts w:eastAsiaTheme="minorEastAsia" w:cs="Arial"/>
          <w:bCs/>
        </w:rPr>
        <w:t>novembre 2019 (voir le paragraphe 23 du document C/53/15), le Conseil a décidé de mettre fin à l</w:t>
      </w:r>
      <w:r w:rsidR="00255969">
        <w:rPr>
          <w:rFonts w:eastAsiaTheme="minorEastAsia" w:cs="Arial"/>
          <w:bCs/>
        </w:rPr>
        <w:t>’</w:t>
      </w:r>
      <w:r w:rsidR="0074329C" w:rsidRPr="00B16E6F">
        <w:rPr>
          <w:rFonts w:eastAsiaTheme="minorEastAsia" w:cs="Arial"/>
          <w:bCs/>
        </w:rPr>
        <w:t>accord entre l</w:t>
      </w:r>
      <w:r w:rsidR="00255969">
        <w:rPr>
          <w:rFonts w:eastAsiaTheme="minorEastAsia" w:cs="Arial"/>
          <w:bCs/>
        </w:rPr>
        <w:t>’</w:t>
      </w:r>
      <w:r w:rsidR="0074329C" w:rsidRPr="00B16E6F">
        <w:rPr>
          <w:rFonts w:eastAsiaTheme="minorEastAsia" w:cs="Arial"/>
          <w:bCs/>
        </w:rPr>
        <w:t>UPOV et l</w:t>
      </w:r>
      <w:r w:rsidR="00255969">
        <w:rPr>
          <w:rFonts w:eastAsiaTheme="minorEastAsia" w:cs="Arial"/>
          <w:bCs/>
        </w:rPr>
        <w:t>’</w:t>
      </w:r>
      <w:r w:rsidR="0074329C" w:rsidRPr="00B16E6F">
        <w:rPr>
          <w:rFonts w:eastAsiaTheme="minorEastAsia" w:cs="Arial"/>
          <w:bCs/>
        </w:rPr>
        <w:t>OMPI concernant la base de données de l</w:t>
      </w:r>
      <w:r w:rsidR="00255969">
        <w:rPr>
          <w:rFonts w:eastAsiaTheme="minorEastAsia" w:cs="Arial"/>
          <w:bCs/>
        </w:rPr>
        <w:t>’</w:t>
      </w:r>
      <w:r w:rsidR="0074329C" w:rsidRPr="00B16E6F">
        <w:rPr>
          <w:rFonts w:eastAsiaTheme="minorEastAsia" w:cs="Arial"/>
          <w:bCs/>
        </w:rPr>
        <w:t>UPOV sur les variétés végétales (accord UPOV</w:t>
      </w:r>
      <w:r w:rsidR="00255969">
        <w:rPr>
          <w:rFonts w:eastAsiaTheme="minorEastAsia" w:cs="Arial"/>
          <w:bCs/>
        </w:rPr>
        <w:t>-</w:t>
      </w:r>
      <w:r w:rsidR="0074329C" w:rsidRPr="00B16E6F">
        <w:rPr>
          <w:rFonts w:eastAsiaTheme="minorEastAsia" w:cs="Arial"/>
          <w:bCs/>
        </w:rPr>
        <w:t>OMPI</w:t>
      </w:r>
      <w:r w:rsidR="0074329C" w:rsidRPr="00B16E6F">
        <w:rPr>
          <w:rStyle w:val="FootnoteReference"/>
          <w:rFonts w:eastAsiaTheme="minorEastAsia" w:cs="Arial"/>
          <w:bCs/>
        </w:rPr>
        <w:footnoteReference w:id="6"/>
      </w:r>
      <w:r w:rsidR="0074329C" w:rsidRPr="00B16E6F">
        <w:rPr>
          <w:rFonts w:eastAsiaTheme="minorEastAsia" w:cs="Arial"/>
          <w:bCs/>
        </w:rPr>
        <w:t>), dès lors que le transfert des connaissances et la rationalisation de la gestion des données de PLUTO auront été effectués à la satisfaction du Bureau de l</w:t>
      </w:r>
      <w:r w:rsidR="00255969">
        <w:rPr>
          <w:rFonts w:eastAsiaTheme="minorEastAsia" w:cs="Arial"/>
          <w:bCs/>
        </w:rPr>
        <w:t>’</w:t>
      </w:r>
      <w:r w:rsidR="0074329C" w:rsidRPr="00B16E6F">
        <w:rPr>
          <w:rFonts w:eastAsiaTheme="minorEastAsia" w:cs="Arial"/>
          <w:bCs/>
        </w:rPr>
        <w:t>Uni</w:t>
      </w:r>
      <w:r w:rsidR="00F3336A" w:rsidRPr="00B16E6F">
        <w:rPr>
          <w:rFonts w:eastAsiaTheme="minorEastAsia" w:cs="Arial"/>
          <w:bCs/>
        </w:rPr>
        <w:t>on</w:t>
      </w:r>
      <w:r w:rsidR="00F3336A">
        <w:rPr>
          <w:rFonts w:eastAsiaTheme="minorEastAsia" w:cs="Arial"/>
          <w:bCs/>
        </w:rPr>
        <w:t xml:space="preserve">.  </w:t>
      </w:r>
      <w:r w:rsidR="00F3336A" w:rsidRPr="00B16E6F">
        <w:rPr>
          <w:rFonts w:eastAsiaTheme="minorEastAsia" w:cs="Arial"/>
          <w:bCs/>
        </w:rPr>
        <w:t>Le</w:t>
      </w:r>
      <w:r w:rsidR="0074329C" w:rsidRPr="00B16E6F">
        <w:rPr>
          <w:rFonts w:eastAsiaTheme="minorEastAsia" w:cs="Arial"/>
          <w:bCs/>
        </w:rPr>
        <w:t xml:space="preserve"> Conseil a également décidé d</w:t>
      </w:r>
      <w:r w:rsidR="00255969">
        <w:rPr>
          <w:rFonts w:eastAsiaTheme="minorEastAsia" w:cs="Arial"/>
          <w:bCs/>
        </w:rPr>
        <w:t>’</w:t>
      </w:r>
      <w:r w:rsidR="0074329C" w:rsidRPr="00B16E6F">
        <w:rPr>
          <w:rFonts w:eastAsiaTheme="minorEastAsia" w:cs="Arial"/>
          <w:bCs/>
        </w:rPr>
        <w:t>approuver l</w:t>
      </w:r>
      <w:r w:rsidR="00255969">
        <w:rPr>
          <w:rFonts w:eastAsiaTheme="minorEastAsia" w:cs="Arial"/>
          <w:bCs/>
        </w:rPr>
        <w:t>’</w:t>
      </w:r>
      <w:r w:rsidR="0074329C" w:rsidRPr="00B16E6F">
        <w:rPr>
          <w:rFonts w:eastAsiaTheme="minorEastAsia" w:cs="Arial"/>
          <w:bCs/>
        </w:rPr>
        <w:t>approche ci</w:t>
      </w:r>
      <w:r w:rsidR="00255969">
        <w:rPr>
          <w:rFonts w:eastAsiaTheme="minorEastAsia" w:cs="Arial"/>
          <w:bCs/>
        </w:rPr>
        <w:t>-</w:t>
      </w:r>
      <w:r w:rsidR="0074329C" w:rsidRPr="00B16E6F">
        <w:rPr>
          <w:rFonts w:eastAsiaTheme="minorEastAsia" w:cs="Arial"/>
          <w:bCs/>
        </w:rPr>
        <w:t>après à compter de novembre 2020 pour la base de données PLUTO</w:t>
      </w:r>
      <w:r w:rsidR="00255969">
        <w:rPr>
          <w:rFonts w:eastAsiaTheme="minorEastAsia" w:cs="Arial"/>
          <w:bCs/>
        </w:rPr>
        <w:t> :</w:t>
      </w:r>
    </w:p>
    <w:p w:rsidR="00DC7EA3" w:rsidRPr="00B16E6F" w:rsidRDefault="00DC7EA3" w:rsidP="0074329C"/>
    <w:p w:rsidR="00DC7EA3" w:rsidRPr="00B16E6F" w:rsidRDefault="0074329C" w:rsidP="0074329C">
      <w:pPr>
        <w:pStyle w:val="ListParagraph"/>
        <w:numPr>
          <w:ilvl w:val="0"/>
          <w:numId w:val="2"/>
        </w:numPr>
        <w:ind w:left="851" w:hanging="284"/>
        <w:rPr>
          <w:sz w:val="20"/>
          <w:szCs w:val="20"/>
          <w:lang w:val="fr-FR"/>
        </w:rPr>
      </w:pPr>
      <w:r w:rsidRPr="00B16E6F">
        <w:rPr>
          <w:sz w:val="20"/>
          <w:szCs w:val="20"/>
          <w:lang w:val="fr-FR"/>
        </w:rPr>
        <w:t>option gratuite</w:t>
      </w:r>
      <w:r w:rsidR="00255969">
        <w:rPr>
          <w:sz w:val="20"/>
          <w:szCs w:val="20"/>
          <w:lang w:val="fr-FR"/>
        </w:rPr>
        <w:t> :</w:t>
      </w:r>
      <w:r w:rsidRPr="00B16E6F">
        <w:rPr>
          <w:sz w:val="20"/>
          <w:szCs w:val="20"/>
          <w:lang w:val="fr-FR"/>
        </w:rPr>
        <w:t xml:space="preserve"> la base de données PLUTO ayant une fonction recherche serait gratuite pour tous les utilisateu</w:t>
      </w:r>
      <w:r w:rsidR="00F3336A" w:rsidRPr="00B16E6F">
        <w:rPr>
          <w:sz w:val="20"/>
          <w:szCs w:val="20"/>
          <w:lang w:val="fr-FR"/>
        </w:rPr>
        <w:t>rs</w:t>
      </w:r>
      <w:r w:rsidR="00F3336A">
        <w:rPr>
          <w:sz w:val="20"/>
          <w:szCs w:val="20"/>
          <w:lang w:val="fr-FR"/>
        </w:rPr>
        <w:t xml:space="preserve">.  </w:t>
      </w:r>
      <w:r w:rsidR="00F3336A" w:rsidRPr="00B16E6F">
        <w:rPr>
          <w:sz w:val="20"/>
          <w:szCs w:val="20"/>
          <w:lang w:val="fr-FR"/>
        </w:rPr>
        <w:t>Le</w:t>
      </w:r>
      <w:r w:rsidRPr="00B16E6F">
        <w:rPr>
          <w:sz w:val="20"/>
          <w:szCs w:val="20"/>
          <w:lang w:val="fr-FR"/>
        </w:rPr>
        <w:t>s résultats d</w:t>
      </w:r>
      <w:r w:rsidR="00255969">
        <w:rPr>
          <w:sz w:val="20"/>
          <w:szCs w:val="20"/>
          <w:lang w:val="fr-FR"/>
        </w:rPr>
        <w:t>’</w:t>
      </w:r>
      <w:r w:rsidRPr="00B16E6F">
        <w:rPr>
          <w:sz w:val="20"/>
          <w:szCs w:val="20"/>
          <w:lang w:val="fr-FR"/>
        </w:rPr>
        <w:t>une recherche s</w:t>
      </w:r>
      <w:r w:rsidR="00255969">
        <w:rPr>
          <w:sz w:val="20"/>
          <w:szCs w:val="20"/>
          <w:lang w:val="fr-FR"/>
        </w:rPr>
        <w:t>’</w:t>
      </w:r>
      <w:r w:rsidRPr="00B16E6F">
        <w:rPr>
          <w:sz w:val="20"/>
          <w:szCs w:val="20"/>
          <w:lang w:val="fr-FR"/>
        </w:rPr>
        <w:t>afficheraient uniquement à l</w:t>
      </w:r>
      <w:r w:rsidR="00255969">
        <w:rPr>
          <w:sz w:val="20"/>
          <w:szCs w:val="20"/>
          <w:lang w:val="fr-FR"/>
        </w:rPr>
        <w:t>’</w:t>
      </w:r>
      <w:r w:rsidRPr="00B16E6F">
        <w:rPr>
          <w:sz w:val="20"/>
          <w:szCs w:val="20"/>
          <w:lang w:val="fr-FR"/>
        </w:rPr>
        <w:t>écran sur une seule pa</w:t>
      </w:r>
      <w:r w:rsidR="00F3336A" w:rsidRPr="00B16E6F">
        <w:rPr>
          <w:sz w:val="20"/>
          <w:szCs w:val="20"/>
          <w:lang w:val="fr-FR"/>
        </w:rPr>
        <w:t>ge</w:t>
      </w:r>
      <w:r w:rsidR="00F3336A">
        <w:rPr>
          <w:sz w:val="20"/>
          <w:szCs w:val="20"/>
          <w:lang w:val="fr-FR"/>
        </w:rPr>
        <w:t xml:space="preserve">.  </w:t>
      </w:r>
      <w:r w:rsidR="00F3336A" w:rsidRPr="00B16E6F">
        <w:rPr>
          <w:sz w:val="20"/>
          <w:szCs w:val="20"/>
          <w:lang w:val="fr-FR"/>
        </w:rPr>
        <w:t>Il</w:t>
      </w:r>
      <w:r w:rsidRPr="00B16E6F">
        <w:rPr>
          <w:sz w:val="20"/>
          <w:szCs w:val="20"/>
          <w:lang w:val="fr-FR"/>
        </w:rPr>
        <w:t xml:space="preserve"> n</w:t>
      </w:r>
      <w:r w:rsidR="00255969">
        <w:rPr>
          <w:sz w:val="20"/>
          <w:szCs w:val="20"/>
          <w:lang w:val="fr-FR"/>
        </w:rPr>
        <w:t>’</w:t>
      </w:r>
      <w:r w:rsidRPr="00B16E6F">
        <w:rPr>
          <w:sz w:val="20"/>
          <w:szCs w:val="20"/>
          <w:lang w:val="fr-FR"/>
        </w:rPr>
        <w:t>y aurait aucune option pour télécharger les résultats d</w:t>
      </w:r>
      <w:r w:rsidR="00255969">
        <w:rPr>
          <w:sz w:val="20"/>
          <w:szCs w:val="20"/>
          <w:lang w:val="fr-FR"/>
        </w:rPr>
        <w:t>’</w:t>
      </w:r>
      <w:r w:rsidRPr="00B16E6F">
        <w:rPr>
          <w:sz w:val="20"/>
          <w:szCs w:val="20"/>
          <w:lang w:val="fr-FR"/>
        </w:rPr>
        <w:t>une recherche ou les données contenues dans PLUTO;</w:t>
      </w:r>
    </w:p>
    <w:p w:rsidR="00DC7EA3" w:rsidRPr="00B16E6F" w:rsidRDefault="00DC7EA3" w:rsidP="0074329C">
      <w:pPr>
        <w:ind w:left="567"/>
      </w:pPr>
    </w:p>
    <w:p w:rsidR="00DC7EA3" w:rsidRPr="00B16E6F" w:rsidRDefault="0074329C" w:rsidP="0074329C">
      <w:pPr>
        <w:pStyle w:val="ListParagraph"/>
        <w:numPr>
          <w:ilvl w:val="0"/>
          <w:numId w:val="2"/>
        </w:numPr>
        <w:ind w:left="851" w:hanging="284"/>
        <w:rPr>
          <w:sz w:val="20"/>
          <w:szCs w:val="20"/>
          <w:lang w:val="fr-FR"/>
        </w:rPr>
      </w:pPr>
      <w:r w:rsidRPr="00B16E6F">
        <w:rPr>
          <w:sz w:val="20"/>
          <w:szCs w:val="20"/>
          <w:lang w:val="fr-FR"/>
        </w:rPr>
        <w:t>option premium</w:t>
      </w:r>
      <w:r w:rsidR="00255969">
        <w:rPr>
          <w:sz w:val="20"/>
          <w:szCs w:val="20"/>
          <w:lang w:val="fr-FR"/>
        </w:rPr>
        <w:t> :</w:t>
      </w:r>
      <w:r w:rsidRPr="00B16E6F">
        <w:rPr>
          <w:sz w:val="20"/>
          <w:szCs w:val="20"/>
          <w:lang w:val="fr-FR"/>
        </w:rPr>
        <w:t xml:space="preserve"> les utilisateurs payants auraient accès à toutes les fonctionnalités de la base de données PLUTO et pourraient télécharger les données sans restricti</w:t>
      </w:r>
      <w:r w:rsidR="00F3336A" w:rsidRPr="00B16E6F">
        <w:rPr>
          <w:sz w:val="20"/>
          <w:szCs w:val="20"/>
          <w:lang w:val="fr-FR"/>
        </w:rPr>
        <w:t>on</w:t>
      </w:r>
      <w:r w:rsidR="00F3336A">
        <w:rPr>
          <w:sz w:val="20"/>
          <w:szCs w:val="20"/>
          <w:lang w:val="fr-FR"/>
        </w:rPr>
        <w:t xml:space="preserve">.  </w:t>
      </w:r>
      <w:r w:rsidR="00F3336A" w:rsidRPr="00B16E6F">
        <w:rPr>
          <w:sz w:val="20"/>
          <w:szCs w:val="20"/>
          <w:lang w:val="fr-FR"/>
        </w:rPr>
        <w:t>La</w:t>
      </w:r>
      <w:r w:rsidRPr="00B16E6F">
        <w:rPr>
          <w:sz w:val="20"/>
          <w:szCs w:val="20"/>
          <w:lang w:val="fr-FR"/>
        </w:rPr>
        <w:t xml:space="preserve"> taxe s</w:t>
      </w:r>
      <w:r w:rsidR="00255969">
        <w:rPr>
          <w:sz w:val="20"/>
          <w:szCs w:val="20"/>
          <w:lang w:val="fr-FR"/>
        </w:rPr>
        <w:t>’</w:t>
      </w:r>
      <w:r w:rsidRPr="00B16E6F">
        <w:rPr>
          <w:sz w:val="20"/>
          <w:szCs w:val="20"/>
          <w:lang w:val="fr-FR"/>
        </w:rPr>
        <w:t>élèverait à 750 francs suisses par an;</w:t>
      </w:r>
    </w:p>
    <w:p w:rsidR="00DC7EA3" w:rsidRPr="00B16E6F" w:rsidRDefault="00DC7EA3" w:rsidP="0074329C">
      <w:pPr>
        <w:ind w:left="851" w:hanging="284"/>
      </w:pPr>
    </w:p>
    <w:p w:rsidR="00DC7EA3" w:rsidRPr="00B16E6F" w:rsidRDefault="0074329C" w:rsidP="0074329C">
      <w:pPr>
        <w:pStyle w:val="ListParagraph"/>
        <w:numPr>
          <w:ilvl w:val="0"/>
          <w:numId w:val="2"/>
        </w:numPr>
        <w:ind w:left="851" w:hanging="284"/>
        <w:rPr>
          <w:sz w:val="20"/>
          <w:szCs w:val="20"/>
          <w:lang w:val="fr-FR"/>
        </w:rPr>
      </w:pPr>
      <w:r w:rsidRPr="00B16E6F">
        <w:rPr>
          <w:sz w:val="20"/>
          <w:szCs w:val="20"/>
          <w:lang w:val="fr-FR"/>
        </w:rPr>
        <w:t>membres de l</w:t>
      </w:r>
      <w:r w:rsidR="00255969">
        <w:rPr>
          <w:sz w:val="20"/>
          <w:szCs w:val="20"/>
          <w:lang w:val="fr-FR"/>
        </w:rPr>
        <w:t>’</w:t>
      </w:r>
      <w:r w:rsidRPr="00B16E6F">
        <w:rPr>
          <w:sz w:val="20"/>
          <w:szCs w:val="20"/>
          <w:lang w:val="fr-FR"/>
        </w:rPr>
        <w:t>Union et contributeurs de données</w:t>
      </w:r>
      <w:r w:rsidR="00255969">
        <w:rPr>
          <w:sz w:val="20"/>
          <w:szCs w:val="20"/>
          <w:lang w:val="fr-FR"/>
        </w:rPr>
        <w:t> :</w:t>
      </w:r>
      <w:r w:rsidRPr="00B16E6F">
        <w:rPr>
          <w:sz w:val="20"/>
          <w:szCs w:val="20"/>
          <w:lang w:val="fr-FR"/>
        </w:rPr>
        <w:t xml:space="preserve"> l</w:t>
      </w:r>
      <w:r w:rsidR="00255969">
        <w:rPr>
          <w:sz w:val="20"/>
          <w:szCs w:val="20"/>
          <w:lang w:val="fr-FR"/>
        </w:rPr>
        <w:t>’</w:t>
      </w:r>
      <w:r w:rsidRPr="00B16E6F">
        <w:rPr>
          <w:sz w:val="20"/>
          <w:szCs w:val="20"/>
          <w:lang w:val="fr-FR"/>
        </w:rPr>
        <w:t>accès à toutes les fonctions “premium” de la base de données PLUTO serait gratuit pour tous les membres de l</w:t>
      </w:r>
      <w:r w:rsidR="00255969">
        <w:rPr>
          <w:sz w:val="20"/>
          <w:szCs w:val="20"/>
          <w:lang w:val="fr-FR"/>
        </w:rPr>
        <w:t>’</w:t>
      </w:r>
      <w:r w:rsidRPr="00B16E6F">
        <w:rPr>
          <w:sz w:val="20"/>
          <w:szCs w:val="20"/>
          <w:lang w:val="fr-FR"/>
        </w:rPr>
        <w:t>Union et contributeurs de données (par exemple, l</w:t>
      </w:r>
      <w:r w:rsidR="00255969">
        <w:rPr>
          <w:sz w:val="20"/>
          <w:szCs w:val="20"/>
          <w:lang w:val="fr-FR"/>
        </w:rPr>
        <w:t>’</w:t>
      </w:r>
      <w:r w:rsidRPr="00B16E6F">
        <w:rPr>
          <w:sz w:val="20"/>
          <w:szCs w:val="20"/>
          <w:lang w:val="fr-FR"/>
        </w:rPr>
        <w:t>OCDE);  et</w:t>
      </w:r>
    </w:p>
    <w:p w:rsidR="00DC7EA3" w:rsidRPr="00B16E6F" w:rsidRDefault="00DC7EA3" w:rsidP="0074329C">
      <w:pPr>
        <w:pStyle w:val="ListParagraph"/>
        <w:rPr>
          <w:sz w:val="20"/>
          <w:szCs w:val="20"/>
          <w:lang w:val="fr-FR"/>
        </w:rPr>
      </w:pPr>
    </w:p>
    <w:p w:rsidR="00DC7EA3" w:rsidRPr="00B16E6F" w:rsidRDefault="0074329C" w:rsidP="0074329C">
      <w:pPr>
        <w:pStyle w:val="ListParagraph"/>
        <w:numPr>
          <w:ilvl w:val="0"/>
          <w:numId w:val="2"/>
        </w:numPr>
        <w:ind w:left="851" w:hanging="284"/>
        <w:rPr>
          <w:sz w:val="20"/>
          <w:szCs w:val="20"/>
          <w:lang w:val="fr-FR"/>
        </w:rPr>
      </w:pPr>
      <w:r w:rsidRPr="00B16E6F">
        <w:rPr>
          <w:sz w:val="20"/>
          <w:szCs w:val="20"/>
          <w:lang w:val="fr-FR"/>
        </w:rPr>
        <w:t>l</w:t>
      </w:r>
      <w:r w:rsidR="00255969">
        <w:rPr>
          <w:sz w:val="20"/>
          <w:szCs w:val="20"/>
          <w:lang w:val="fr-FR"/>
        </w:rPr>
        <w:t>’</w:t>
      </w:r>
      <w:r w:rsidRPr="00B16E6F">
        <w:rPr>
          <w:sz w:val="20"/>
          <w:szCs w:val="20"/>
          <w:lang w:val="fr-FR"/>
        </w:rPr>
        <w:t>accès aux données PLUTO pourrait également être accordé dans les cas approuvés par le Comité consultatif, dans des conditions similaires à l</w:t>
      </w:r>
      <w:r w:rsidR="00255969">
        <w:rPr>
          <w:sz w:val="20"/>
          <w:szCs w:val="20"/>
          <w:lang w:val="fr-FR"/>
        </w:rPr>
        <w:t>’</w:t>
      </w:r>
      <w:r w:rsidRPr="00B16E6F">
        <w:rPr>
          <w:sz w:val="20"/>
          <w:szCs w:val="20"/>
          <w:lang w:val="fr-FR"/>
        </w:rPr>
        <w:t>assistance que le Bureau de l</w:t>
      </w:r>
      <w:r w:rsidR="00255969">
        <w:rPr>
          <w:sz w:val="20"/>
          <w:szCs w:val="20"/>
          <w:lang w:val="fr-FR"/>
        </w:rPr>
        <w:t>’</w:t>
      </w:r>
      <w:r w:rsidRPr="00B16E6F">
        <w:rPr>
          <w:sz w:val="20"/>
          <w:szCs w:val="20"/>
          <w:lang w:val="fr-FR"/>
        </w:rPr>
        <w:t>Union fournit au Traité international sur les ressources phytogénétiques pour l</w:t>
      </w:r>
      <w:r w:rsidR="00255969">
        <w:rPr>
          <w:sz w:val="20"/>
          <w:szCs w:val="20"/>
          <w:lang w:val="fr-FR"/>
        </w:rPr>
        <w:t>’</w:t>
      </w:r>
      <w:r w:rsidRPr="00B16E6F">
        <w:rPr>
          <w:sz w:val="20"/>
          <w:szCs w:val="20"/>
          <w:lang w:val="fr-FR"/>
        </w:rPr>
        <w:t>alimentation et l</w:t>
      </w:r>
      <w:r w:rsidR="00255969">
        <w:rPr>
          <w:sz w:val="20"/>
          <w:szCs w:val="20"/>
          <w:lang w:val="fr-FR"/>
        </w:rPr>
        <w:t>’</w:t>
      </w:r>
      <w:r w:rsidRPr="00B16E6F">
        <w:rPr>
          <w:sz w:val="20"/>
          <w:szCs w:val="20"/>
          <w:lang w:val="fr-FR"/>
        </w:rPr>
        <w:t>agriculture (Traité international).</w:t>
      </w:r>
    </w:p>
    <w:p w:rsidR="00DC7EA3" w:rsidRPr="00B16E6F" w:rsidRDefault="00DC7EA3" w:rsidP="00B0676A">
      <w:pPr>
        <w:rPr>
          <w:rFonts w:cs="Arial"/>
          <w:bCs/>
          <w:lang w:val="fr-CH"/>
        </w:rPr>
      </w:pPr>
    </w:p>
    <w:p w:rsidR="00DC7EA3" w:rsidRPr="00B16E6F" w:rsidRDefault="00B0676A" w:rsidP="00B0676A">
      <w:pPr>
        <w:pStyle w:val="Heading2"/>
        <w:rPr>
          <w:lang w:val="fr-CH"/>
        </w:rPr>
      </w:pPr>
      <w:bookmarkStart w:id="19" w:name="_Toc86066530"/>
      <w:r w:rsidRPr="00B16E6F">
        <w:rPr>
          <w:lang w:val="fr-CH"/>
        </w:rPr>
        <w:t>N</w:t>
      </w:r>
      <w:r w:rsidR="00B7112E" w:rsidRPr="00B16E6F">
        <w:rPr>
          <w:lang w:val="fr-CH"/>
        </w:rPr>
        <w:t xml:space="preserve">ouvelle </w:t>
      </w:r>
      <w:r w:rsidRPr="00B16E6F">
        <w:rPr>
          <w:lang w:val="fr-CH"/>
        </w:rPr>
        <w:t xml:space="preserve">version </w:t>
      </w:r>
      <w:r w:rsidR="00B7112E" w:rsidRPr="00B16E6F">
        <w:rPr>
          <w:lang w:val="fr-CH"/>
        </w:rPr>
        <w:t>de la base de données</w:t>
      </w:r>
      <w:r w:rsidRPr="00B16E6F">
        <w:rPr>
          <w:lang w:val="fr-CH"/>
        </w:rPr>
        <w:t xml:space="preserve"> PLUTO</w:t>
      </w:r>
      <w:bookmarkEnd w:id="19"/>
    </w:p>
    <w:p w:rsidR="00DC7EA3" w:rsidRPr="00B16E6F" w:rsidRDefault="00DC7EA3" w:rsidP="00B0676A">
      <w:pPr>
        <w:rPr>
          <w:lang w:val="fr-CH"/>
        </w:rPr>
      </w:pPr>
    </w:p>
    <w:p w:rsidR="00DC7EA3" w:rsidRPr="00B16E6F" w:rsidRDefault="00B0676A" w:rsidP="00B0676A">
      <w:pPr>
        <w:rPr>
          <w:lang w:val="fr-CH"/>
        </w:rPr>
      </w:pPr>
      <w:r w:rsidRPr="00B16E6F">
        <w:fldChar w:fldCharType="begin"/>
      </w:r>
      <w:r w:rsidRPr="00B16E6F">
        <w:rPr>
          <w:lang w:val="fr-CH"/>
        </w:rPr>
        <w:instrText xml:space="preserve"> AUTONUM  </w:instrText>
      </w:r>
      <w:r w:rsidRPr="00B16E6F">
        <w:fldChar w:fldCharType="end"/>
      </w:r>
      <w:r w:rsidRPr="00B16E6F">
        <w:rPr>
          <w:lang w:val="fr-CH"/>
        </w:rPr>
        <w:tab/>
      </w:r>
      <w:r w:rsidR="0074329C" w:rsidRPr="00B16E6F">
        <w:t>Le 30 juin 2020, un webinaire a été organisé afin de présenter les modifications à apporter à la base de données PLUTO et de donner la possibilité aux utilisateurs de faire part de leurs observations sur la configuration et les nouvelles fonctionnalités proposé</w:t>
      </w:r>
      <w:r w:rsidR="00F3336A" w:rsidRPr="00B16E6F">
        <w:t>es</w:t>
      </w:r>
      <w:r w:rsidR="00F3336A">
        <w:t xml:space="preserve">.  </w:t>
      </w:r>
      <w:r w:rsidR="00F3336A" w:rsidRPr="00B16E6F">
        <w:t>Ce</w:t>
      </w:r>
      <w:r w:rsidR="0074329C" w:rsidRPr="00B16E6F">
        <w:t xml:space="preserve"> webinaire a été suivi par 185 participan</w:t>
      </w:r>
      <w:r w:rsidR="00F3336A" w:rsidRPr="00B16E6F">
        <w:t>ts</w:t>
      </w:r>
      <w:r w:rsidR="00F3336A">
        <w:t xml:space="preserve">.  </w:t>
      </w:r>
      <w:r w:rsidR="00F3336A" w:rsidRPr="00B16E6F">
        <w:t>Le</w:t>
      </w:r>
      <w:r w:rsidR="0074329C" w:rsidRPr="00B16E6F">
        <w:t>s participants ont pu formuler des observations en répondant à des questions posées en direct durant le webinaire</w:t>
      </w:r>
      <w:r w:rsidR="00646F8C" w:rsidRPr="00B16E6F">
        <w:t>,</w:t>
      </w:r>
      <w:r w:rsidR="0074329C" w:rsidRPr="00B16E6F">
        <w:t xml:space="preserve"> ainsi que dans le cadre d</w:t>
      </w:r>
      <w:r w:rsidR="00255969">
        <w:t>’</w:t>
      </w:r>
      <w:r w:rsidR="0074329C" w:rsidRPr="00B16E6F">
        <w:t>une session de questions</w:t>
      </w:r>
      <w:r w:rsidR="00255969">
        <w:t>-</w:t>
      </w:r>
      <w:r w:rsidR="0074329C" w:rsidRPr="00B16E6F">
        <w:t>réponses organisée à la fin du webinaire, et avaient également la possibilité d</w:t>
      </w:r>
      <w:r w:rsidR="00255969">
        <w:t>’</w:t>
      </w:r>
      <w:r w:rsidR="0074329C" w:rsidRPr="00B16E6F">
        <w:t>envoyer des questions par courrier électronique après le webinai</w:t>
      </w:r>
      <w:r w:rsidR="00F3336A" w:rsidRPr="00B16E6F">
        <w:t>re</w:t>
      </w:r>
      <w:r w:rsidR="00F3336A">
        <w:t xml:space="preserve">.  </w:t>
      </w:r>
      <w:r w:rsidR="00F3336A" w:rsidRPr="00B16E6F">
        <w:t>Un</w:t>
      </w:r>
      <w:r w:rsidR="0074329C" w:rsidRPr="00B16E6F">
        <w:t xml:space="preserve"> enregistrement vidéo du webinaire, sans les questions posées en direct ni la session de questions</w:t>
      </w:r>
      <w:r w:rsidR="00255969">
        <w:t>-</w:t>
      </w:r>
      <w:r w:rsidR="0074329C" w:rsidRPr="00B16E6F">
        <w:t>réponses, a été mis à disposition sur le site</w:t>
      </w:r>
      <w:r w:rsidR="00D31106">
        <w:t> </w:t>
      </w:r>
      <w:r w:rsidR="0074329C" w:rsidRPr="00B16E6F">
        <w:t>Web de l</w:t>
      </w:r>
      <w:r w:rsidR="00255969">
        <w:t>’</w:t>
      </w:r>
      <w:r w:rsidRPr="00B16E6F">
        <w:rPr>
          <w:lang w:val="fr-CH"/>
        </w:rPr>
        <w:t>UPOV.</w:t>
      </w:r>
    </w:p>
    <w:p w:rsidR="00DC7EA3" w:rsidRPr="00B16E6F" w:rsidRDefault="00DC7EA3" w:rsidP="00B0676A">
      <w:pPr>
        <w:rPr>
          <w:lang w:val="fr-CH"/>
        </w:rPr>
      </w:pPr>
    </w:p>
    <w:p w:rsidR="00255969" w:rsidRDefault="00B0676A" w:rsidP="00B0676A">
      <w:pPr>
        <w:rPr>
          <w:lang w:val="fr-CH"/>
        </w:rPr>
      </w:pPr>
      <w:r w:rsidRPr="00B16E6F">
        <w:fldChar w:fldCharType="begin"/>
      </w:r>
      <w:r w:rsidRPr="00B16E6F">
        <w:rPr>
          <w:lang w:val="fr-CH"/>
        </w:rPr>
        <w:instrText xml:space="preserve"> AUTONUM  </w:instrText>
      </w:r>
      <w:r w:rsidRPr="00B16E6F">
        <w:fldChar w:fldCharType="end"/>
      </w:r>
      <w:r w:rsidRPr="00B16E6F">
        <w:rPr>
          <w:lang w:val="fr-CH"/>
        </w:rPr>
        <w:tab/>
      </w:r>
      <w:r w:rsidR="0074329C" w:rsidRPr="00B16E6F">
        <w:t>Partant des observations formulées durant le webinaire et après celui</w:t>
      </w:r>
      <w:r w:rsidR="00255969">
        <w:t>-</w:t>
      </w:r>
      <w:r w:rsidR="0074329C" w:rsidRPr="00B16E6F">
        <w:t>ci, il a été conclu qu</w:t>
      </w:r>
      <w:r w:rsidR="00255969">
        <w:t>’</w:t>
      </w:r>
      <w:r w:rsidR="0074329C" w:rsidRPr="00B16E6F">
        <w:t>un questionnaire de suivi serait envoyé pour mieux connaître les besoins des utilisateu</w:t>
      </w:r>
      <w:r w:rsidR="00F3336A" w:rsidRPr="00B16E6F">
        <w:t>rs</w:t>
      </w:r>
      <w:r w:rsidR="00F3336A">
        <w:t xml:space="preserve">.  </w:t>
      </w:r>
      <w:r w:rsidR="00F3336A" w:rsidRPr="00B16E6F">
        <w:t>Un</w:t>
      </w:r>
      <w:r w:rsidR="0074329C" w:rsidRPr="00B16E6F">
        <w:t>e invitation à répondre à un questionnaire a été envoyée à tous les organes de l</w:t>
      </w:r>
      <w:r w:rsidR="00255969">
        <w:t>’</w:t>
      </w:r>
      <w:r w:rsidR="0074329C" w:rsidRPr="00B16E6F">
        <w:t>UPOV, aux utilisateurs de la base de données PLUTO et aux participants au webinaire</w:t>
      </w:r>
      <w:r w:rsidRPr="00B16E6F">
        <w:rPr>
          <w:lang w:val="fr-CH"/>
        </w:rPr>
        <w:t>.</w:t>
      </w:r>
    </w:p>
    <w:p w:rsidR="00DC7EA3" w:rsidRPr="00B16E6F" w:rsidRDefault="00DC7EA3" w:rsidP="00B0676A">
      <w:pPr>
        <w:rPr>
          <w:lang w:val="fr-CH"/>
        </w:rPr>
      </w:pPr>
    </w:p>
    <w:p w:rsidR="00DC7EA3" w:rsidRPr="00B16E6F" w:rsidRDefault="00B0676A" w:rsidP="00B0676A">
      <w:pPr>
        <w:rPr>
          <w:lang w:val="fr-CH"/>
        </w:rPr>
      </w:pPr>
      <w:r w:rsidRPr="00B16E6F">
        <w:fldChar w:fldCharType="begin"/>
      </w:r>
      <w:r w:rsidRPr="00B16E6F">
        <w:rPr>
          <w:lang w:val="fr-CH"/>
        </w:rPr>
        <w:instrText xml:space="preserve"> AUTONUM  </w:instrText>
      </w:r>
      <w:r w:rsidRPr="00B16E6F">
        <w:fldChar w:fldCharType="end"/>
      </w:r>
      <w:r w:rsidRPr="00B16E6F">
        <w:rPr>
          <w:lang w:val="fr-CH"/>
        </w:rPr>
        <w:tab/>
      </w:r>
      <w:r w:rsidR="0074329C" w:rsidRPr="00B16E6F">
        <w:t>Les réponses reçues dans le cadre du webinaire et en réponse au questionnaire ont servi à la finalisation de la nouvelle version de la base de données PLUTO</w:t>
      </w:r>
      <w:r w:rsidRPr="00B16E6F">
        <w:rPr>
          <w:lang w:val="fr-CH"/>
        </w:rPr>
        <w:t>.</w:t>
      </w:r>
    </w:p>
    <w:p w:rsidR="00DC7EA3" w:rsidRPr="00B16E6F" w:rsidRDefault="00DC7EA3" w:rsidP="00B0676A">
      <w:pPr>
        <w:rPr>
          <w:lang w:val="fr-CH"/>
        </w:rPr>
      </w:pPr>
    </w:p>
    <w:p w:rsidR="00DC7EA3" w:rsidRPr="00B16E6F" w:rsidRDefault="00B0676A" w:rsidP="00015BFE">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015BFE" w:rsidRPr="00B16E6F">
        <w:rPr>
          <w:rFonts w:cs="Arial"/>
          <w:bCs/>
          <w:lang w:val="fr-CH"/>
        </w:rPr>
        <w:t>Une série d</w:t>
      </w:r>
      <w:r w:rsidR="00255969">
        <w:rPr>
          <w:rFonts w:cs="Arial"/>
          <w:bCs/>
          <w:lang w:val="fr-CH"/>
        </w:rPr>
        <w:t>’</w:t>
      </w:r>
      <w:r w:rsidR="00015BFE" w:rsidRPr="00B16E6F">
        <w:rPr>
          <w:rFonts w:cs="Arial"/>
          <w:bCs/>
          <w:lang w:val="fr-CH"/>
        </w:rPr>
        <w:t>essais a eu lieu du 3</w:t>
      </w:r>
      <w:r w:rsidR="00255969" w:rsidRPr="00B16E6F">
        <w:rPr>
          <w:rFonts w:cs="Arial"/>
          <w:bCs/>
          <w:lang w:val="fr-CH"/>
        </w:rPr>
        <w:t>0</w:t>
      </w:r>
      <w:r w:rsidR="00255969">
        <w:rPr>
          <w:rFonts w:cs="Arial"/>
          <w:bCs/>
          <w:lang w:val="fr-CH"/>
        </w:rPr>
        <w:t> </w:t>
      </w:r>
      <w:r w:rsidR="00255969" w:rsidRPr="00B16E6F">
        <w:rPr>
          <w:rFonts w:cs="Arial"/>
          <w:bCs/>
          <w:lang w:val="fr-CH"/>
        </w:rPr>
        <w:t>août</w:t>
      </w:r>
      <w:r w:rsidR="00255969">
        <w:rPr>
          <w:rFonts w:cs="Arial"/>
          <w:bCs/>
          <w:lang w:val="fr-CH"/>
        </w:rPr>
        <w:t> </w:t>
      </w:r>
      <w:r w:rsidR="00255969" w:rsidRPr="00B16E6F">
        <w:rPr>
          <w:rFonts w:cs="Arial"/>
          <w:bCs/>
          <w:lang w:val="fr-CH"/>
        </w:rPr>
        <w:t>20</w:t>
      </w:r>
      <w:r w:rsidR="00015BFE" w:rsidRPr="00B16E6F">
        <w:rPr>
          <w:rFonts w:cs="Arial"/>
          <w:bCs/>
          <w:lang w:val="fr-CH"/>
        </w:rPr>
        <w:t>21 au 1</w:t>
      </w:r>
      <w:r w:rsidR="00255969" w:rsidRPr="00B16E6F">
        <w:rPr>
          <w:rFonts w:cs="Arial"/>
          <w:bCs/>
          <w:lang w:val="fr-CH"/>
        </w:rPr>
        <w:t>0</w:t>
      </w:r>
      <w:r w:rsidR="00255969">
        <w:rPr>
          <w:rFonts w:cs="Arial"/>
          <w:bCs/>
          <w:lang w:val="fr-CH"/>
        </w:rPr>
        <w:t> </w:t>
      </w:r>
      <w:r w:rsidR="00255969" w:rsidRPr="00B16E6F">
        <w:rPr>
          <w:rFonts w:cs="Arial"/>
          <w:bCs/>
          <w:lang w:val="fr-CH"/>
        </w:rPr>
        <w:t>septembre</w:t>
      </w:r>
      <w:r w:rsidR="00255969">
        <w:rPr>
          <w:rFonts w:cs="Arial"/>
          <w:bCs/>
          <w:lang w:val="fr-CH"/>
        </w:rPr>
        <w:t> </w:t>
      </w:r>
      <w:r w:rsidR="00255969" w:rsidRPr="00B16E6F">
        <w:rPr>
          <w:rFonts w:cs="Arial"/>
          <w:bCs/>
          <w:lang w:val="fr-CH"/>
        </w:rPr>
        <w:t>20</w:t>
      </w:r>
      <w:r w:rsidR="00015BFE" w:rsidRPr="00B16E6F">
        <w:rPr>
          <w:rFonts w:cs="Arial"/>
          <w:bCs/>
          <w:lang w:val="fr-CH"/>
        </w:rPr>
        <w:t>21 pour que les services de protection des obtentions végétales et d</w:t>
      </w:r>
      <w:r w:rsidR="00255969">
        <w:rPr>
          <w:rFonts w:cs="Arial"/>
          <w:bCs/>
          <w:lang w:val="fr-CH"/>
        </w:rPr>
        <w:t>’</w:t>
      </w:r>
      <w:r w:rsidR="00015BFE" w:rsidRPr="00B16E6F">
        <w:rPr>
          <w:rFonts w:cs="Arial"/>
          <w:bCs/>
          <w:lang w:val="fr-CH"/>
        </w:rPr>
        <w:t>autres utilisateurs puissent tester la nouvelle configuration et les nouvelles fonctionnalités de la base de donné</w:t>
      </w:r>
      <w:r w:rsidR="00F3336A" w:rsidRPr="00B16E6F">
        <w:rPr>
          <w:rFonts w:cs="Arial"/>
          <w:bCs/>
          <w:lang w:val="fr-CH"/>
        </w:rPr>
        <w:t>es</w:t>
      </w:r>
      <w:r w:rsidR="00F3336A">
        <w:rPr>
          <w:rFonts w:cs="Arial"/>
          <w:bCs/>
          <w:lang w:val="fr-CH"/>
        </w:rPr>
        <w:t xml:space="preserve">.  </w:t>
      </w:r>
      <w:r w:rsidR="00F3336A" w:rsidRPr="00B16E6F">
        <w:rPr>
          <w:rFonts w:cs="Arial"/>
          <w:bCs/>
          <w:lang w:val="fr-CH"/>
        </w:rPr>
        <w:t>Le</w:t>
      </w:r>
      <w:r w:rsidR="00015BFE" w:rsidRPr="00B16E6F">
        <w:rPr>
          <w:rFonts w:cs="Arial"/>
          <w:bCs/>
          <w:lang w:val="fr-CH"/>
        </w:rPr>
        <w:t>s observations formulées tout au long de la série d</w:t>
      </w:r>
      <w:r w:rsidR="00255969">
        <w:rPr>
          <w:rFonts w:cs="Arial"/>
          <w:bCs/>
          <w:lang w:val="fr-CH"/>
        </w:rPr>
        <w:t>’</w:t>
      </w:r>
      <w:r w:rsidR="00015BFE" w:rsidRPr="00B16E6F">
        <w:rPr>
          <w:rFonts w:cs="Arial"/>
          <w:bCs/>
          <w:lang w:val="fr-CH"/>
        </w:rPr>
        <w:t>essais ont permis d</w:t>
      </w:r>
      <w:r w:rsidR="00255969">
        <w:rPr>
          <w:rFonts w:cs="Arial"/>
          <w:bCs/>
          <w:lang w:val="fr-CH"/>
        </w:rPr>
        <w:t>’</w:t>
      </w:r>
      <w:r w:rsidR="00015BFE" w:rsidRPr="00B16E6F">
        <w:rPr>
          <w:rFonts w:cs="Arial"/>
          <w:bCs/>
          <w:lang w:val="fr-CH"/>
        </w:rPr>
        <w:t>affiner la version finale.</w:t>
      </w:r>
    </w:p>
    <w:p w:rsidR="00DC7EA3" w:rsidRPr="00B16E6F" w:rsidRDefault="00DC7EA3" w:rsidP="00B0676A">
      <w:pPr>
        <w:rPr>
          <w:lang w:val="fr-CH"/>
        </w:rPr>
      </w:pPr>
    </w:p>
    <w:p w:rsidR="00DC7EA3" w:rsidRPr="00B16E6F" w:rsidRDefault="00DC7EA3" w:rsidP="00B0676A">
      <w:pPr>
        <w:rPr>
          <w:lang w:val="fr-CH"/>
        </w:rPr>
      </w:pPr>
    </w:p>
    <w:p w:rsidR="00DC7EA3" w:rsidRPr="00B16E6F" w:rsidRDefault="00015BFE" w:rsidP="00015BFE">
      <w:pPr>
        <w:pStyle w:val="Heading2"/>
        <w:rPr>
          <w:lang w:val="fr-CH"/>
        </w:rPr>
      </w:pPr>
      <w:bookmarkStart w:id="20" w:name="_Toc86066531"/>
      <w:r w:rsidRPr="00B16E6F">
        <w:rPr>
          <w:lang w:val="fr-CH"/>
        </w:rPr>
        <w:t>Contributions à la base de données</w:t>
      </w:r>
      <w:bookmarkEnd w:id="20"/>
    </w:p>
    <w:p w:rsidR="00DC7EA3" w:rsidRPr="00B16E6F" w:rsidRDefault="00DC7EA3" w:rsidP="00B0676A">
      <w:pPr>
        <w:rPr>
          <w:lang w:val="fr-CH"/>
        </w:rPr>
      </w:pPr>
    </w:p>
    <w:p w:rsidR="00DC7EA3" w:rsidRPr="00B16E6F" w:rsidRDefault="00B0676A" w:rsidP="0074329C">
      <w:pPr>
        <w:rPr>
          <w:rFonts w:eastAsiaTheme="minorEastAsia" w:cs="Arial"/>
          <w:bCs/>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74329C" w:rsidRPr="00B16E6F">
        <w:rPr>
          <w:rFonts w:eastAsiaTheme="minorEastAsia" w:cs="Arial"/>
          <w:bCs/>
        </w:rPr>
        <w:t>Le programme d</w:t>
      </w:r>
      <w:r w:rsidR="00255969">
        <w:rPr>
          <w:rFonts w:eastAsiaTheme="minorEastAsia" w:cs="Arial"/>
          <w:bCs/>
        </w:rPr>
        <w:t>’</w:t>
      </w:r>
      <w:r w:rsidR="0074329C" w:rsidRPr="00B16E6F">
        <w:rPr>
          <w:rFonts w:eastAsiaTheme="minorEastAsia" w:cs="Arial"/>
          <w:bCs/>
        </w:rPr>
        <w:t>améliorations de la base de données PLUTO (ci</w:t>
      </w:r>
      <w:r w:rsidR="00255969">
        <w:rPr>
          <w:rFonts w:eastAsiaTheme="minorEastAsia" w:cs="Arial"/>
          <w:bCs/>
        </w:rPr>
        <w:t>-</w:t>
      </w:r>
      <w:r w:rsidR="0074329C" w:rsidRPr="00B16E6F">
        <w:rPr>
          <w:rFonts w:eastAsiaTheme="minorEastAsia" w:cs="Arial"/>
          <w:bCs/>
        </w:rPr>
        <w:t>après dénommé “programme”) présentant les modifications approuvées par le CAJ, tel qu</w:t>
      </w:r>
      <w:r w:rsidR="00255969">
        <w:rPr>
          <w:rFonts w:eastAsiaTheme="minorEastAsia" w:cs="Arial"/>
          <w:bCs/>
        </w:rPr>
        <w:t>’</w:t>
      </w:r>
      <w:r w:rsidR="0074329C" w:rsidRPr="00B16E6F">
        <w:rPr>
          <w:rFonts w:eastAsiaTheme="minorEastAsia" w:cs="Arial"/>
          <w:bCs/>
        </w:rPr>
        <w:t xml:space="preserve">il figure à </w:t>
      </w:r>
      <w:r w:rsidR="0074329C" w:rsidRPr="00B16E6F">
        <w:rPr>
          <w:rFonts w:eastAsia="SimSun"/>
        </w:rPr>
        <w:t>l</w:t>
      </w:r>
      <w:r w:rsidR="00255969">
        <w:rPr>
          <w:rFonts w:eastAsia="SimSun"/>
        </w:rPr>
        <w:t>’</w:t>
      </w:r>
      <w:r w:rsidR="0074329C" w:rsidRPr="00B16E6F">
        <w:rPr>
          <w:rFonts w:eastAsia="SimSun"/>
        </w:rPr>
        <w:t>annexe I</w:t>
      </w:r>
      <w:r w:rsidR="0074329C" w:rsidRPr="00B16E6F">
        <w:rPr>
          <w:rFonts w:eastAsiaTheme="minorEastAsia" w:cs="Arial"/>
          <w:bCs/>
        </w:rPr>
        <w:t xml:space="preserve"> du présent document, précise le but de ces améliorations dans le cadre de l</w:t>
      </w:r>
      <w:r w:rsidR="00255969">
        <w:rPr>
          <w:rFonts w:eastAsiaTheme="minorEastAsia" w:cs="Arial"/>
          <w:bCs/>
        </w:rPr>
        <w:t>’</w:t>
      </w:r>
      <w:r w:rsidR="0074329C" w:rsidRPr="00B16E6F">
        <w:rPr>
          <w:rFonts w:eastAsiaTheme="minorEastAsia" w:cs="Arial"/>
          <w:bCs/>
        </w:rPr>
        <w:t>assistance fournie aux contributeurs</w:t>
      </w:r>
      <w:r w:rsidR="00255969">
        <w:rPr>
          <w:rFonts w:eastAsiaTheme="minorEastAsia" w:cs="Arial"/>
          <w:bCs/>
        </w:rPr>
        <w:t> :</w:t>
      </w:r>
    </w:p>
    <w:p w:rsidR="00DC7EA3" w:rsidRPr="00B16E6F" w:rsidRDefault="00DC7EA3" w:rsidP="0074329C">
      <w:pPr>
        <w:rPr>
          <w:rFonts w:eastAsiaTheme="minorEastAsia" w:cs="Arial"/>
          <w:bCs/>
        </w:rPr>
      </w:pPr>
    </w:p>
    <w:p w:rsidR="00DC7EA3" w:rsidRPr="00B16E6F" w:rsidRDefault="0074329C" w:rsidP="0074329C">
      <w:pPr>
        <w:ind w:left="567" w:right="567"/>
        <w:rPr>
          <w:bCs/>
          <w:i/>
          <w:iCs/>
          <w:sz w:val="18"/>
        </w:rPr>
      </w:pPr>
      <w:r w:rsidRPr="00B16E6F">
        <w:rPr>
          <w:bCs/>
          <w:i/>
          <w:iCs/>
          <w:sz w:val="18"/>
        </w:rPr>
        <w:t>“2.</w:t>
      </w:r>
      <w:r w:rsidRPr="00B16E6F">
        <w:rPr>
          <w:bCs/>
          <w:i/>
          <w:iCs/>
          <w:sz w:val="18"/>
        </w:rPr>
        <w:tab/>
        <w:t>Fourniture d</w:t>
      </w:r>
      <w:r w:rsidR="00255969">
        <w:rPr>
          <w:bCs/>
          <w:i/>
          <w:iCs/>
          <w:sz w:val="18"/>
        </w:rPr>
        <w:t>’</w:t>
      </w:r>
      <w:r w:rsidRPr="00B16E6F">
        <w:rPr>
          <w:bCs/>
          <w:i/>
          <w:iCs/>
          <w:sz w:val="18"/>
        </w:rPr>
        <w:t>une assistance aux contributeurs</w:t>
      </w:r>
    </w:p>
    <w:p w:rsidR="00DC7EA3" w:rsidRPr="00B16E6F" w:rsidRDefault="00DC7EA3" w:rsidP="0074329C">
      <w:pPr>
        <w:ind w:left="567" w:right="567"/>
        <w:rPr>
          <w:bCs/>
          <w:i/>
          <w:iCs/>
          <w:sz w:val="18"/>
        </w:rPr>
      </w:pPr>
    </w:p>
    <w:p w:rsidR="00DC7EA3" w:rsidRPr="00B16E6F" w:rsidRDefault="0074329C" w:rsidP="0074329C">
      <w:pPr>
        <w:ind w:left="567" w:right="567"/>
        <w:rPr>
          <w:bCs/>
          <w:sz w:val="18"/>
        </w:rPr>
      </w:pPr>
      <w:r w:rsidRPr="00B16E6F">
        <w:rPr>
          <w:bCs/>
          <w:sz w:val="18"/>
        </w:rPr>
        <w:t>“2.1</w:t>
      </w:r>
      <w:r w:rsidRPr="00B16E6F">
        <w:rPr>
          <w:bCs/>
          <w:sz w:val="18"/>
        </w:rPr>
        <w:tab/>
        <w:t>L</w:t>
      </w:r>
      <w:r w:rsidR="00255969">
        <w:rPr>
          <w:bCs/>
          <w:sz w:val="18"/>
        </w:rPr>
        <w:t>’</w:t>
      </w:r>
      <w:r w:rsidRPr="00B16E6F">
        <w:rPr>
          <w:bCs/>
          <w:sz w:val="18"/>
        </w:rPr>
        <w:t>administrateur de la base de données PLUTO continuera de contacter tous les membres de l</w:t>
      </w:r>
      <w:r w:rsidR="00255969">
        <w:rPr>
          <w:bCs/>
          <w:sz w:val="18"/>
        </w:rPr>
        <w:t>’</w:t>
      </w:r>
      <w:r w:rsidRPr="00B16E6F">
        <w:rPr>
          <w:bCs/>
          <w:sz w:val="18"/>
        </w:rPr>
        <w:t>Union et les contributeurs à la base de données PLUTO qui n</w:t>
      </w:r>
      <w:r w:rsidR="00255969">
        <w:rPr>
          <w:bCs/>
          <w:sz w:val="18"/>
        </w:rPr>
        <w:t>’</w:t>
      </w:r>
      <w:r w:rsidRPr="00B16E6F">
        <w:rPr>
          <w:bCs/>
          <w:sz w:val="18"/>
        </w:rPr>
        <w:t>apportent pas de données à la base de données PLUTO, ne les apportent pas régulièrement ou ne les assortissent pas de codes U</w:t>
      </w:r>
      <w:r w:rsidR="00F3336A" w:rsidRPr="00B16E6F">
        <w:rPr>
          <w:bCs/>
          <w:sz w:val="18"/>
        </w:rPr>
        <w:t>POV</w:t>
      </w:r>
      <w:r w:rsidR="00F3336A">
        <w:rPr>
          <w:bCs/>
          <w:sz w:val="18"/>
        </w:rPr>
        <w:t xml:space="preserve">.  </w:t>
      </w:r>
      <w:r w:rsidR="00F3336A" w:rsidRPr="00B16E6F">
        <w:rPr>
          <w:bCs/>
          <w:sz w:val="18"/>
        </w:rPr>
        <w:t>Da</w:t>
      </w:r>
      <w:r w:rsidRPr="00B16E6F">
        <w:rPr>
          <w:bCs/>
          <w:sz w:val="18"/>
        </w:rPr>
        <w:t>ns chaque cas, l</w:t>
      </w:r>
      <w:r w:rsidR="00255969">
        <w:rPr>
          <w:bCs/>
          <w:sz w:val="18"/>
        </w:rPr>
        <w:t>’</w:t>
      </w:r>
      <w:r w:rsidRPr="00B16E6F">
        <w:rPr>
          <w:bCs/>
          <w:sz w:val="18"/>
        </w:rPr>
        <w:t>administrateur les invitera à décrire le type d</w:t>
      </w:r>
      <w:r w:rsidR="00255969">
        <w:rPr>
          <w:bCs/>
          <w:sz w:val="18"/>
        </w:rPr>
        <w:t>’</w:t>
      </w:r>
      <w:r w:rsidRPr="00B16E6F">
        <w:rPr>
          <w:bCs/>
          <w:sz w:val="18"/>
        </w:rPr>
        <w:t>assistance qui leur permettrait d</w:t>
      </w:r>
      <w:r w:rsidR="00255969">
        <w:rPr>
          <w:bCs/>
          <w:sz w:val="18"/>
        </w:rPr>
        <w:t>’</w:t>
      </w:r>
      <w:r w:rsidRPr="00B16E6F">
        <w:rPr>
          <w:bCs/>
          <w:sz w:val="18"/>
        </w:rPr>
        <w:t>apporter régulièrement des données complètes à la base de données PLUTO.</w:t>
      </w:r>
    </w:p>
    <w:p w:rsidR="00DC7EA3" w:rsidRPr="00B16E6F" w:rsidRDefault="00DC7EA3" w:rsidP="0074329C">
      <w:pPr>
        <w:ind w:left="567" w:right="567"/>
        <w:rPr>
          <w:bCs/>
          <w:sz w:val="18"/>
        </w:rPr>
      </w:pPr>
    </w:p>
    <w:p w:rsidR="00DC7EA3" w:rsidRPr="00B16E6F" w:rsidRDefault="0074329C" w:rsidP="0074329C">
      <w:pPr>
        <w:ind w:left="567" w:right="567"/>
        <w:rPr>
          <w:bCs/>
          <w:sz w:val="18"/>
        </w:rPr>
      </w:pPr>
      <w:r w:rsidRPr="00B16E6F">
        <w:rPr>
          <w:bCs/>
          <w:sz w:val="18"/>
        </w:rPr>
        <w:t>“2.2</w:t>
      </w:r>
      <w:r w:rsidRPr="00B16E6F">
        <w:rPr>
          <w:bCs/>
          <w:sz w:val="18"/>
        </w:rPr>
        <w:tab/>
        <w:t>Pour répondre aux besoins définis par les membres de l</w:t>
      </w:r>
      <w:r w:rsidR="00255969">
        <w:rPr>
          <w:bCs/>
          <w:sz w:val="18"/>
        </w:rPr>
        <w:t>’</w:t>
      </w:r>
      <w:r w:rsidRPr="00B16E6F">
        <w:rPr>
          <w:bCs/>
          <w:sz w:val="18"/>
        </w:rPr>
        <w:t>Union et les contributeurs à la base de données dans le cadre de l</w:t>
      </w:r>
      <w:r w:rsidR="00255969">
        <w:rPr>
          <w:bCs/>
          <w:sz w:val="18"/>
        </w:rPr>
        <w:t>’</w:t>
      </w:r>
      <w:r w:rsidRPr="00B16E6F">
        <w:rPr>
          <w:bCs/>
          <w:sz w:val="18"/>
        </w:rPr>
        <w:t>activité décrite au paragraphe 2.1, l</w:t>
      </w:r>
      <w:r w:rsidR="00255969">
        <w:rPr>
          <w:bCs/>
          <w:sz w:val="18"/>
        </w:rPr>
        <w:t>’</w:t>
      </w:r>
      <w:r w:rsidRPr="00B16E6F">
        <w:rPr>
          <w:bCs/>
          <w:sz w:val="18"/>
        </w:rPr>
        <w:t>administrateur de la base de données PLUTO s</w:t>
      </w:r>
      <w:r w:rsidR="00255969">
        <w:rPr>
          <w:bCs/>
          <w:sz w:val="18"/>
        </w:rPr>
        <w:t>’</w:t>
      </w:r>
      <w:r w:rsidRPr="00B16E6F">
        <w:rPr>
          <w:bCs/>
          <w:sz w:val="18"/>
        </w:rPr>
        <w:t>efforcera d</w:t>
      </w:r>
      <w:r w:rsidR="00255969">
        <w:rPr>
          <w:bCs/>
          <w:sz w:val="18"/>
        </w:rPr>
        <w:t>’</w:t>
      </w:r>
      <w:r w:rsidRPr="00B16E6F">
        <w:rPr>
          <w:bCs/>
          <w:sz w:val="18"/>
        </w:rPr>
        <w:t>élaborer des solutions pour chacun des contributeurs à la base de données.</w:t>
      </w:r>
    </w:p>
    <w:p w:rsidR="00DC7EA3" w:rsidRPr="00B16E6F" w:rsidRDefault="00DC7EA3" w:rsidP="0074329C">
      <w:pPr>
        <w:ind w:left="567" w:right="567"/>
        <w:rPr>
          <w:bCs/>
          <w:sz w:val="18"/>
        </w:rPr>
      </w:pPr>
    </w:p>
    <w:p w:rsidR="00DC7EA3" w:rsidRPr="00B16E6F" w:rsidRDefault="0074329C" w:rsidP="0074329C">
      <w:pPr>
        <w:ind w:left="567" w:right="567"/>
        <w:rPr>
          <w:bCs/>
          <w:sz w:val="18"/>
        </w:rPr>
      </w:pPr>
      <w:r w:rsidRPr="00B16E6F">
        <w:rPr>
          <w:bCs/>
          <w:sz w:val="18"/>
        </w:rPr>
        <w:t>“2.3</w:t>
      </w:r>
      <w:r w:rsidRPr="00B16E6F">
        <w:rPr>
          <w:bCs/>
          <w:sz w:val="18"/>
        </w:rPr>
        <w:tab/>
        <w:t>Un rapport annuel de la situation sera présenté au Comité administratif et juridique (CAJ) et au Comité technique (TC).</w:t>
      </w:r>
      <w:r w:rsidR="00255969">
        <w:rPr>
          <w:bCs/>
          <w:sz w:val="18"/>
        </w:rPr>
        <w:t>”</w:t>
      </w:r>
    </w:p>
    <w:p w:rsidR="00DC7EA3" w:rsidRPr="00B16E6F" w:rsidRDefault="00DC7EA3" w:rsidP="00B0676A">
      <w:pPr>
        <w:keepNext/>
        <w:keepLines/>
        <w:rPr>
          <w:rFonts w:cs="Arial"/>
          <w:bCs/>
          <w:lang w:val="fr-CH"/>
        </w:rPr>
      </w:pPr>
    </w:p>
    <w:p w:rsidR="00255969" w:rsidRDefault="00B0676A" w:rsidP="00015BFE">
      <w:pPr>
        <w:keepNext/>
        <w:keepLines/>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015BFE" w:rsidRPr="00B16E6F">
        <w:rPr>
          <w:rFonts w:cs="Arial"/>
          <w:bCs/>
          <w:lang w:val="fr-CH"/>
        </w:rPr>
        <w:t>Le 3</w:t>
      </w:r>
      <w:r w:rsidR="00255969" w:rsidRPr="00B16E6F">
        <w:rPr>
          <w:rFonts w:cs="Arial"/>
          <w:bCs/>
          <w:lang w:val="fr-CH"/>
        </w:rPr>
        <w:t>0</w:t>
      </w:r>
      <w:r w:rsidR="00255969">
        <w:rPr>
          <w:rFonts w:cs="Arial"/>
          <w:bCs/>
          <w:lang w:val="fr-CH"/>
        </w:rPr>
        <w:t> </w:t>
      </w:r>
      <w:r w:rsidR="00255969" w:rsidRPr="00B16E6F">
        <w:rPr>
          <w:rFonts w:cs="Arial"/>
          <w:bCs/>
          <w:lang w:val="fr-CH"/>
        </w:rPr>
        <w:t>juin</w:t>
      </w:r>
      <w:r w:rsidR="00255969">
        <w:rPr>
          <w:rFonts w:cs="Arial"/>
          <w:bCs/>
          <w:lang w:val="fr-CH"/>
        </w:rPr>
        <w:t> </w:t>
      </w:r>
      <w:r w:rsidR="00255969" w:rsidRPr="00B16E6F">
        <w:rPr>
          <w:rFonts w:cs="Arial"/>
          <w:bCs/>
          <w:lang w:val="fr-CH"/>
        </w:rPr>
        <w:t>20</w:t>
      </w:r>
      <w:r w:rsidR="00015BFE" w:rsidRPr="00B16E6F">
        <w:rPr>
          <w:rFonts w:cs="Arial"/>
          <w:bCs/>
          <w:lang w:val="fr-CH"/>
        </w:rPr>
        <w:t>20, un webinaire sur les changements apportés à la base de données PLUTO a été organisé à l</w:t>
      </w:r>
      <w:r w:rsidR="00255969">
        <w:rPr>
          <w:rFonts w:cs="Arial"/>
          <w:bCs/>
          <w:lang w:val="fr-CH"/>
        </w:rPr>
        <w:t>’</w:t>
      </w:r>
      <w:r w:rsidR="00015BFE" w:rsidRPr="00B16E6F">
        <w:rPr>
          <w:rFonts w:cs="Arial"/>
          <w:bCs/>
          <w:lang w:val="fr-CH"/>
        </w:rPr>
        <w:t>intention des contributeurs à la base de données PLUTO afin d</w:t>
      </w:r>
      <w:r w:rsidR="00255969">
        <w:rPr>
          <w:rFonts w:cs="Arial"/>
          <w:bCs/>
          <w:lang w:val="fr-CH"/>
        </w:rPr>
        <w:t>’</w:t>
      </w:r>
      <w:r w:rsidR="00015BFE" w:rsidRPr="00B16E6F">
        <w:rPr>
          <w:rFonts w:cs="Arial"/>
          <w:bCs/>
          <w:lang w:val="fr-CH"/>
        </w:rPr>
        <w:t>expliquer les changements à apporter au processus pour alimenter la base de données PLUTO et les contrôles de qualité des données téléchargées.</w:t>
      </w:r>
    </w:p>
    <w:p w:rsidR="00DC7EA3" w:rsidRPr="00B16E6F" w:rsidRDefault="00DC7EA3" w:rsidP="00B0676A">
      <w:pPr>
        <w:rPr>
          <w:lang w:val="fr-CH"/>
        </w:rPr>
      </w:pPr>
    </w:p>
    <w:p w:rsidR="00DC7EA3" w:rsidRPr="00B16E6F" w:rsidRDefault="00B0676A" w:rsidP="00015BFE">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015BFE" w:rsidRPr="00B16E6F">
        <w:rPr>
          <w:rFonts w:cs="Arial"/>
          <w:bCs/>
          <w:lang w:val="fr-CH"/>
        </w:rPr>
        <w:t>La qualité des données a été améliorée moyennant des contrôles supplémentaires prévus dans le cadre des nouvelles modalités concernant la contribution de données à la base de données PL</w:t>
      </w:r>
      <w:r w:rsidR="00F3336A" w:rsidRPr="00B16E6F">
        <w:rPr>
          <w:rFonts w:cs="Arial"/>
          <w:bCs/>
          <w:lang w:val="fr-CH"/>
        </w:rPr>
        <w:t>UTO</w:t>
      </w:r>
      <w:r w:rsidR="00F3336A">
        <w:rPr>
          <w:rFonts w:cs="Arial"/>
          <w:bCs/>
          <w:lang w:val="fr-CH"/>
        </w:rPr>
        <w:t xml:space="preserve">.  </w:t>
      </w:r>
      <w:r w:rsidR="00F3336A" w:rsidRPr="00B16E6F">
        <w:rPr>
          <w:rFonts w:cs="Arial"/>
          <w:bCs/>
          <w:lang w:val="fr-CH"/>
        </w:rPr>
        <w:t>Le</w:t>
      </w:r>
      <w:r w:rsidR="00015BFE" w:rsidRPr="00B16E6F">
        <w:rPr>
          <w:rFonts w:cs="Arial"/>
          <w:bCs/>
          <w:lang w:val="fr-CH"/>
        </w:rPr>
        <w:t xml:space="preserve"> traitement des données existantes suivant la nouvelle procédure de validation des données a conduit</w:t>
      </w:r>
    </w:p>
    <w:p w:rsidR="00255969" w:rsidRDefault="00255969" w:rsidP="00B0676A">
      <w:pPr>
        <w:rPr>
          <w:rFonts w:cs="Arial"/>
          <w:bCs/>
          <w:lang w:val="fr-CH"/>
        </w:rPr>
      </w:pPr>
    </w:p>
    <w:p w:rsidR="00DC7EA3" w:rsidRPr="00B16E6F" w:rsidRDefault="00015BFE" w:rsidP="00015BFE">
      <w:pPr>
        <w:pStyle w:val="ListParagraph"/>
        <w:numPr>
          <w:ilvl w:val="0"/>
          <w:numId w:val="41"/>
        </w:numPr>
        <w:rPr>
          <w:bCs/>
          <w:sz w:val="20"/>
          <w:szCs w:val="20"/>
          <w:lang w:val="fr-CH"/>
        </w:rPr>
      </w:pPr>
      <w:r w:rsidRPr="00B16E6F">
        <w:rPr>
          <w:bCs/>
          <w:sz w:val="20"/>
          <w:szCs w:val="20"/>
          <w:lang w:val="fr-CH"/>
        </w:rPr>
        <w:t xml:space="preserve">à la validation </w:t>
      </w:r>
      <w:r w:rsidR="00255969" w:rsidRPr="00B16E6F">
        <w:rPr>
          <w:bCs/>
          <w:sz w:val="20"/>
          <w:szCs w:val="20"/>
          <w:lang w:val="fr-CH"/>
        </w:rPr>
        <w:t>de</w:t>
      </w:r>
      <w:r w:rsidR="00255969">
        <w:rPr>
          <w:bCs/>
          <w:sz w:val="20"/>
          <w:szCs w:val="20"/>
          <w:lang w:val="fr-CH"/>
        </w:rPr>
        <w:t> </w:t>
      </w:r>
      <w:r w:rsidR="00255969" w:rsidRPr="00B16E6F">
        <w:rPr>
          <w:bCs/>
          <w:sz w:val="20"/>
          <w:szCs w:val="20"/>
          <w:lang w:val="fr-CH"/>
        </w:rPr>
        <w:t>8916</w:t>
      </w:r>
      <w:r w:rsidR="00F3336A">
        <w:rPr>
          <w:bCs/>
          <w:sz w:val="20"/>
          <w:szCs w:val="20"/>
          <w:lang w:val="fr-CH"/>
        </w:rPr>
        <w:t> </w:t>
      </w:r>
      <w:r w:rsidRPr="00B16E6F">
        <w:rPr>
          <w:bCs/>
          <w:sz w:val="20"/>
          <w:szCs w:val="20"/>
          <w:lang w:val="fr-CH"/>
        </w:rPr>
        <w:t>suggestions,</w:t>
      </w:r>
    </w:p>
    <w:p w:rsidR="00DC7EA3" w:rsidRPr="00B16E6F" w:rsidRDefault="00015BFE" w:rsidP="00015BFE">
      <w:pPr>
        <w:pStyle w:val="ListParagraph"/>
        <w:numPr>
          <w:ilvl w:val="0"/>
          <w:numId w:val="41"/>
        </w:numPr>
        <w:rPr>
          <w:bCs/>
          <w:sz w:val="20"/>
          <w:szCs w:val="20"/>
          <w:lang w:val="fr-CH"/>
        </w:rPr>
      </w:pPr>
      <w:r w:rsidRPr="00B16E6F">
        <w:rPr>
          <w:bCs/>
          <w:sz w:val="20"/>
          <w:szCs w:val="20"/>
          <w:lang w:val="fr-CH"/>
        </w:rPr>
        <w:t>à la détection de 636</w:t>
      </w:r>
      <w:r w:rsidR="00F3336A">
        <w:rPr>
          <w:bCs/>
          <w:sz w:val="20"/>
          <w:szCs w:val="20"/>
          <w:lang w:val="fr-CH"/>
        </w:rPr>
        <w:t> </w:t>
      </w:r>
      <w:r w:rsidRPr="00B16E6F">
        <w:rPr>
          <w:bCs/>
          <w:sz w:val="20"/>
          <w:szCs w:val="20"/>
          <w:lang w:val="fr-CH"/>
        </w:rPr>
        <w:t>doublons et</w:t>
      </w:r>
    </w:p>
    <w:p w:rsidR="00DC7EA3" w:rsidRPr="00B16E6F" w:rsidRDefault="00015BFE" w:rsidP="00015BFE">
      <w:pPr>
        <w:pStyle w:val="ListParagraph"/>
        <w:numPr>
          <w:ilvl w:val="0"/>
          <w:numId w:val="41"/>
        </w:numPr>
        <w:rPr>
          <w:bCs/>
          <w:sz w:val="20"/>
          <w:szCs w:val="20"/>
          <w:lang w:val="fr-CH"/>
        </w:rPr>
      </w:pPr>
      <w:r w:rsidRPr="00B16E6F">
        <w:rPr>
          <w:bCs/>
          <w:sz w:val="20"/>
          <w:szCs w:val="20"/>
          <w:lang w:val="fr-CH"/>
        </w:rPr>
        <w:t>à la création de 18</w:t>
      </w:r>
      <w:r w:rsidR="00F3336A">
        <w:rPr>
          <w:bCs/>
          <w:sz w:val="20"/>
          <w:szCs w:val="20"/>
          <w:lang w:val="fr-CH"/>
        </w:rPr>
        <w:t> </w:t>
      </w:r>
      <w:r w:rsidRPr="00B16E6F">
        <w:rPr>
          <w:bCs/>
          <w:sz w:val="20"/>
          <w:szCs w:val="20"/>
          <w:lang w:val="fr-CH"/>
        </w:rPr>
        <w:t>nouveaux codes UPOV.</w:t>
      </w:r>
    </w:p>
    <w:p w:rsidR="00DC7EA3" w:rsidRPr="00B16E6F" w:rsidRDefault="00DC7EA3" w:rsidP="00B0676A">
      <w:pPr>
        <w:rPr>
          <w:rFonts w:cs="Arial"/>
          <w:bCs/>
          <w:lang w:val="fr-CH"/>
        </w:rPr>
      </w:pPr>
    </w:p>
    <w:p w:rsidR="00255969" w:rsidRDefault="00B0676A" w:rsidP="00B0676A">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74329C" w:rsidRPr="00B16E6F">
        <w:rPr>
          <w:rFonts w:eastAsiaTheme="minorEastAsia" w:cs="Arial"/>
          <w:bCs/>
        </w:rPr>
        <w:t xml:space="preserve">On trouvera à </w:t>
      </w:r>
      <w:r w:rsidR="0074329C" w:rsidRPr="00B16E6F">
        <w:rPr>
          <w:rFonts w:eastAsia="SimSun"/>
        </w:rPr>
        <w:t>l</w:t>
      </w:r>
      <w:r w:rsidR="00255969">
        <w:rPr>
          <w:rFonts w:eastAsia="SimSun"/>
        </w:rPr>
        <w:t>’</w:t>
      </w:r>
      <w:r w:rsidR="0074329C" w:rsidRPr="00B16E6F">
        <w:rPr>
          <w:rFonts w:eastAsia="SimSun"/>
        </w:rPr>
        <w:t>annexe II</w:t>
      </w:r>
      <w:r w:rsidR="0074329C" w:rsidRPr="00B16E6F">
        <w:rPr>
          <w:rFonts w:eastAsiaTheme="minorEastAsia" w:cs="Arial"/>
          <w:bCs/>
        </w:rPr>
        <w:t xml:space="preserve"> du présent document une synthèse des contributions faites à la base de données PLUTO entre 2016 et 2021</w:t>
      </w:r>
      <w:r w:rsidRPr="00B16E6F">
        <w:rPr>
          <w:rFonts w:cs="Arial"/>
          <w:bCs/>
          <w:lang w:val="fr-CH"/>
        </w:rPr>
        <w:t>.</w:t>
      </w:r>
    </w:p>
    <w:p w:rsidR="00DC7EA3" w:rsidRPr="00B16E6F" w:rsidRDefault="00DC7EA3" w:rsidP="00B0676A">
      <w:pPr>
        <w:rPr>
          <w:rFonts w:cs="Arial"/>
          <w:bCs/>
          <w:lang w:val="fr-CH"/>
        </w:rPr>
      </w:pPr>
    </w:p>
    <w:p w:rsidR="00DC7EA3" w:rsidRPr="00B16E6F" w:rsidRDefault="00DC7EA3" w:rsidP="00B0676A">
      <w:pPr>
        <w:rPr>
          <w:rFonts w:cs="Arial"/>
          <w:bCs/>
          <w:lang w:val="fr-CH"/>
        </w:rPr>
      </w:pPr>
    </w:p>
    <w:p w:rsidR="00DC7EA3" w:rsidRPr="00B16E6F" w:rsidRDefault="00DC7EA3" w:rsidP="00DC7EA3">
      <w:pPr>
        <w:pStyle w:val="Heading2"/>
        <w:rPr>
          <w:lang w:val="fr-CH"/>
        </w:rPr>
      </w:pPr>
      <w:bookmarkStart w:id="21" w:name="_Toc86066532"/>
      <w:r w:rsidRPr="00B16E6F">
        <w:rPr>
          <w:lang w:val="fr-CH"/>
        </w:rPr>
        <w:t>Lancement de la nouvelle version de la base de données PLUTO pour les utilisateurs</w:t>
      </w:r>
      <w:bookmarkEnd w:id="21"/>
    </w:p>
    <w:p w:rsidR="00DC7EA3" w:rsidRPr="00B16E6F" w:rsidRDefault="00DC7EA3" w:rsidP="00B0676A">
      <w:pPr>
        <w:ind w:right="567"/>
        <w:rPr>
          <w:bCs/>
          <w:sz w:val="18"/>
          <w:lang w:val="fr-CH"/>
        </w:rPr>
      </w:pPr>
    </w:p>
    <w:p w:rsidR="00255969" w:rsidRDefault="00B0676A" w:rsidP="00DC7EA3">
      <w:pPr>
        <w:rPr>
          <w:lang w:val="fr-CH"/>
        </w:rPr>
      </w:pPr>
      <w:r w:rsidRPr="00B16E6F">
        <w:fldChar w:fldCharType="begin"/>
      </w:r>
      <w:r w:rsidRPr="00B16E6F">
        <w:rPr>
          <w:lang w:val="fr-CH"/>
        </w:rPr>
        <w:instrText xml:space="preserve"> AUTONUM  </w:instrText>
      </w:r>
      <w:r w:rsidRPr="00B16E6F">
        <w:fldChar w:fldCharType="end"/>
      </w:r>
      <w:r w:rsidRPr="00B16E6F">
        <w:rPr>
          <w:lang w:val="fr-CH"/>
        </w:rPr>
        <w:tab/>
      </w:r>
      <w:r w:rsidR="00DC7EA3" w:rsidRPr="00B16E6F">
        <w:rPr>
          <w:lang w:val="fr-CH"/>
        </w:rPr>
        <w:t>Le 1</w:t>
      </w:r>
      <w:r w:rsidR="00255969" w:rsidRPr="00B16E6F">
        <w:rPr>
          <w:lang w:val="fr-CH"/>
        </w:rPr>
        <w:t>4</w:t>
      </w:r>
      <w:r w:rsidR="00255969">
        <w:rPr>
          <w:lang w:val="fr-CH"/>
        </w:rPr>
        <w:t> </w:t>
      </w:r>
      <w:r w:rsidR="00255969" w:rsidRPr="00B16E6F">
        <w:rPr>
          <w:lang w:val="fr-CH"/>
        </w:rPr>
        <w:t>septembre</w:t>
      </w:r>
      <w:r w:rsidR="00255969">
        <w:rPr>
          <w:lang w:val="fr-CH"/>
        </w:rPr>
        <w:t> </w:t>
      </w:r>
      <w:r w:rsidR="00255969" w:rsidRPr="00B16E6F">
        <w:rPr>
          <w:lang w:val="fr-CH"/>
        </w:rPr>
        <w:t>20</w:t>
      </w:r>
      <w:r w:rsidR="00DC7EA3" w:rsidRPr="00B16E6F">
        <w:rPr>
          <w:lang w:val="fr-CH"/>
        </w:rPr>
        <w:t>21, le Bureau de l</w:t>
      </w:r>
      <w:r w:rsidR="00255969">
        <w:rPr>
          <w:lang w:val="fr-CH"/>
        </w:rPr>
        <w:t>’</w:t>
      </w:r>
      <w:r w:rsidR="00DC7EA3" w:rsidRPr="00B16E6F">
        <w:rPr>
          <w:lang w:val="fr-CH"/>
        </w:rPr>
        <w:t>Union a diffusé la circulaire</w:t>
      </w:r>
      <w:r w:rsidR="00F3336A">
        <w:rPr>
          <w:lang w:val="fr-CH"/>
        </w:rPr>
        <w:t> </w:t>
      </w:r>
      <w:r w:rsidR="00DC7EA3" w:rsidRPr="00B16E6F">
        <w:rPr>
          <w:lang w:val="fr-CH"/>
        </w:rPr>
        <w:t>E</w:t>
      </w:r>
      <w:r w:rsidR="00255969">
        <w:rPr>
          <w:lang w:val="fr-CH"/>
        </w:rPr>
        <w:t>-</w:t>
      </w:r>
      <w:r w:rsidR="00DC7EA3" w:rsidRPr="00B16E6F">
        <w:rPr>
          <w:lang w:val="fr-CH"/>
        </w:rPr>
        <w:t>21/136 aux contributeurs à la base de données PLUTO et aux représentants et suppléants du Conseil de l</w:t>
      </w:r>
      <w:r w:rsidR="00255969">
        <w:rPr>
          <w:lang w:val="fr-CH"/>
        </w:rPr>
        <w:t>’</w:t>
      </w:r>
      <w:r w:rsidR="00DC7EA3" w:rsidRPr="00B16E6F">
        <w:rPr>
          <w:lang w:val="fr-CH"/>
        </w:rPr>
        <w:t>UPOV, expliquant le calendrier de lancement du nouveau service et les plans pour une série de webinaires à l</w:t>
      </w:r>
      <w:r w:rsidR="00255969">
        <w:rPr>
          <w:lang w:val="fr-CH"/>
        </w:rPr>
        <w:t>’</w:t>
      </w:r>
      <w:r w:rsidR="00DC7EA3" w:rsidRPr="00B16E6F">
        <w:rPr>
          <w:lang w:val="fr-CH"/>
        </w:rPr>
        <w:t>intention des contributeu</w:t>
      </w:r>
      <w:r w:rsidR="00F3336A" w:rsidRPr="00B16E6F">
        <w:rPr>
          <w:lang w:val="fr-CH"/>
        </w:rPr>
        <w:t>rs</w:t>
      </w:r>
      <w:r w:rsidR="00F3336A">
        <w:rPr>
          <w:lang w:val="fr-CH"/>
        </w:rPr>
        <w:t xml:space="preserve">.  </w:t>
      </w:r>
      <w:r w:rsidR="00F3336A" w:rsidRPr="00B16E6F">
        <w:rPr>
          <w:lang w:val="fr-CH"/>
        </w:rPr>
        <w:t>Af</w:t>
      </w:r>
      <w:r w:rsidR="00DC7EA3" w:rsidRPr="00B16E6F">
        <w:rPr>
          <w:lang w:val="fr-CH"/>
        </w:rPr>
        <w:t>in de prévoir une transition en douceur vers la nouvelle version de la base de données PLUTO, il a été demandé aux contributeurs de ne pas soumettre de nouvelles données avant le</w:t>
      </w:r>
      <w:r w:rsidR="00255969">
        <w:rPr>
          <w:lang w:val="fr-CH"/>
        </w:rPr>
        <w:t xml:space="preserve"> 1</w:t>
      </w:r>
      <w:r w:rsidR="00255969" w:rsidRPr="00255969">
        <w:rPr>
          <w:vertAlign w:val="superscript"/>
          <w:lang w:val="fr-CH"/>
        </w:rPr>
        <w:t>er</w:t>
      </w:r>
      <w:r w:rsidR="00255969">
        <w:rPr>
          <w:lang w:val="fr-CH"/>
        </w:rPr>
        <w:t> </w:t>
      </w:r>
      <w:r w:rsidR="00255969" w:rsidRPr="00B16E6F">
        <w:rPr>
          <w:lang w:val="fr-CH"/>
        </w:rPr>
        <w:t>octobre</w:t>
      </w:r>
      <w:r w:rsidR="00255969">
        <w:rPr>
          <w:lang w:val="fr-CH"/>
        </w:rPr>
        <w:t> </w:t>
      </w:r>
      <w:r w:rsidR="00255969" w:rsidRPr="00B16E6F">
        <w:rPr>
          <w:lang w:val="fr-CH"/>
        </w:rPr>
        <w:t>20</w:t>
      </w:r>
      <w:r w:rsidR="00DC7EA3" w:rsidRPr="00B16E6F">
        <w:rPr>
          <w:lang w:val="fr-CH"/>
        </w:rPr>
        <w:t>21.</w:t>
      </w:r>
    </w:p>
    <w:p w:rsidR="00DC7EA3" w:rsidRPr="00B16E6F" w:rsidRDefault="00DC7EA3" w:rsidP="00B0676A">
      <w:pPr>
        <w:rPr>
          <w:lang w:val="fr-CH"/>
        </w:rPr>
      </w:pPr>
    </w:p>
    <w:p w:rsidR="00DC7EA3" w:rsidRPr="00B16E6F" w:rsidRDefault="00B0676A" w:rsidP="00DC7EA3">
      <w:pPr>
        <w:rPr>
          <w:lang w:val="fr-CH"/>
        </w:rPr>
      </w:pPr>
      <w:r w:rsidRPr="00B16E6F">
        <w:fldChar w:fldCharType="begin"/>
      </w:r>
      <w:r w:rsidRPr="00B16E6F">
        <w:rPr>
          <w:lang w:val="fr-CH"/>
        </w:rPr>
        <w:instrText xml:space="preserve"> AUTONUM  </w:instrText>
      </w:r>
      <w:r w:rsidRPr="00B16E6F">
        <w:fldChar w:fldCharType="end"/>
      </w:r>
      <w:r w:rsidRPr="00B16E6F">
        <w:rPr>
          <w:lang w:val="fr-CH"/>
        </w:rPr>
        <w:tab/>
      </w:r>
      <w:r w:rsidR="00DC7EA3" w:rsidRPr="00B16E6F">
        <w:rPr>
          <w:lang w:val="fr-CH"/>
        </w:rPr>
        <w:t>Une série de webinaires à l</w:t>
      </w:r>
      <w:r w:rsidR="00255969">
        <w:rPr>
          <w:lang w:val="fr-CH"/>
        </w:rPr>
        <w:t>’</w:t>
      </w:r>
      <w:r w:rsidR="00DC7EA3" w:rsidRPr="00B16E6F">
        <w:rPr>
          <w:lang w:val="fr-CH"/>
        </w:rPr>
        <w:t>intention des contributeurs à la base de données PLUTO (en français, anglais et espagnol) ont été organisés les 28 et 3</w:t>
      </w:r>
      <w:r w:rsidR="00255969" w:rsidRPr="00B16E6F">
        <w:rPr>
          <w:lang w:val="fr-CH"/>
        </w:rPr>
        <w:t>0</w:t>
      </w:r>
      <w:r w:rsidR="00255969">
        <w:rPr>
          <w:lang w:val="fr-CH"/>
        </w:rPr>
        <w:t> </w:t>
      </w:r>
      <w:r w:rsidR="00255969" w:rsidRPr="00B16E6F">
        <w:rPr>
          <w:lang w:val="fr-CH"/>
        </w:rPr>
        <w:t>septembre</w:t>
      </w:r>
      <w:r w:rsidR="00255969">
        <w:rPr>
          <w:lang w:val="fr-CH"/>
        </w:rPr>
        <w:t> </w:t>
      </w:r>
      <w:r w:rsidR="00255969" w:rsidRPr="00B16E6F">
        <w:rPr>
          <w:lang w:val="fr-CH"/>
        </w:rPr>
        <w:t>20</w:t>
      </w:r>
      <w:r w:rsidR="00DC7EA3" w:rsidRPr="00B16E6F">
        <w:rPr>
          <w:lang w:val="fr-CH"/>
        </w:rPr>
        <w:t>21 pour expliquer la nouvelle procédure à suivre pour alimenter la base de données PL</w:t>
      </w:r>
      <w:r w:rsidR="00F3336A" w:rsidRPr="00B16E6F">
        <w:rPr>
          <w:lang w:val="fr-CH"/>
        </w:rPr>
        <w:t>UTO</w:t>
      </w:r>
      <w:r w:rsidR="00F3336A">
        <w:rPr>
          <w:lang w:val="fr-CH"/>
        </w:rPr>
        <w:t xml:space="preserve">.  </w:t>
      </w:r>
      <w:r w:rsidR="00F3336A" w:rsidRPr="00B16E6F">
        <w:rPr>
          <w:lang w:val="fr-CH"/>
        </w:rPr>
        <w:t>Le</w:t>
      </w:r>
      <w:r w:rsidR="00DC7EA3" w:rsidRPr="00B16E6F">
        <w:rPr>
          <w:lang w:val="fr-CH"/>
        </w:rPr>
        <w:t>s quatre</w:t>
      </w:r>
      <w:r w:rsidR="00D31106">
        <w:rPr>
          <w:lang w:val="fr-CH"/>
        </w:rPr>
        <w:t> </w:t>
      </w:r>
      <w:r w:rsidR="00DC7EA3" w:rsidRPr="00B16E6F">
        <w:rPr>
          <w:lang w:val="fr-CH"/>
        </w:rPr>
        <w:t>webinaires ont été suivis par 19</w:t>
      </w:r>
      <w:r w:rsidR="00F3336A">
        <w:rPr>
          <w:lang w:val="fr-CH"/>
        </w:rPr>
        <w:t> </w:t>
      </w:r>
      <w:r w:rsidR="00DC7EA3" w:rsidRPr="00B16E6F">
        <w:rPr>
          <w:lang w:val="fr-CH"/>
        </w:rPr>
        <w:t>participan</w:t>
      </w:r>
      <w:r w:rsidR="00F3336A" w:rsidRPr="00B16E6F">
        <w:rPr>
          <w:lang w:val="fr-CH"/>
        </w:rPr>
        <w:t>ts</w:t>
      </w:r>
      <w:r w:rsidR="00F3336A">
        <w:rPr>
          <w:lang w:val="fr-CH"/>
        </w:rPr>
        <w:t xml:space="preserve">.  </w:t>
      </w:r>
      <w:r w:rsidR="00F3336A" w:rsidRPr="00B16E6F">
        <w:rPr>
          <w:lang w:val="fr-CH"/>
        </w:rPr>
        <w:t>Le</w:t>
      </w:r>
      <w:r w:rsidR="00DC7EA3" w:rsidRPr="00B16E6F">
        <w:rPr>
          <w:lang w:val="fr-CH"/>
        </w:rPr>
        <w:t>s enregistrements vidéo des webinaires sont disponibles à l</w:t>
      </w:r>
      <w:r w:rsidR="00255969">
        <w:rPr>
          <w:lang w:val="fr-CH"/>
        </w:rPr>
        <w:t>’</w:t>
      </w:r>
      <w:r w:rsidR="00DC7EA3" w:rsidRPr="00B16E6F">
        <w:rPr>
          <w:lang w:val="fr-CH"/>
        </w:rPr>
        <w:t xml:space="preserve">adresse </w:t>
      </w:r>
      <w:hyperlink r:id="rId10" w:history="1">
        <w:r w:rsidR="00BB5970" w:rsidRPr="00B16E6F">
          <w:rPr>
            <w:rStyle w:val="Hyperlink"/>
            <w:rFonts w:cs="Arial"/>
            <w:color w:val="auto"/>
          </w:rPr>
          <w:t>https://www.upov.int/pluto/fr/help.html</w:t>
        </w:r>
      </w:hyperlink>
      <w:r w:rsidR="00DC7EA3" w:rsidRPr="00B16E6F">
        <w:rPr>
          <w:lang w:val="fr-CH"/>
        </w:rPr>
        <w:t>.</w:t>
      </w:r>
      <w:r w:rsidRPr="00B16E6F">
        <w:rPr>
          <w:lang w:val="fr-CH"/>
        </w:rPr>
        <w:t xml:space="preserve">  </w:t>
      </w:r>
      <w:r w:rsidR="00DC7EA3" w:rsidRPr="00B16E6F">
        <w:rPr>
          <w:lang w:val="fr-CH"/>
        </w:rPr>
        <w:t>En outre, des réunions virtuelles individuelles peuvent être organisées, sur demande, pour les contributeurs, afin d</w:t>
      </w:r>
      <w:r w:rsidR="00255969">
        <w:rPr>
          <w:lang w:val="fr-CH"/>
        </w:rPr>
        <w:t>’</w:t>
      </w:r>
      <w:r w:rsidR="00DC7EA3" w:rsidRPr="00B16E6F">
        <w:rPr>
          <w:lang w:val="fr-CH"/>
        </w:rPr>
        <w:t>expliquer la nouvelle procédure à suivre pour alimenter la base de données PL</w:t>
      </w:r>
      <w:r w:rsidR="00F3336A" w:rsidRPr="00B16E6F">
        <w:rPr>
          <w:lang w:val="fr-CH"/>
        </w:rPr>
        <w:t>UTO</w:t>
      </w:r>
      <w:r w:rsidR="00F3336A">
        <w:rPr>
          <w:lang w:val="fr-CH"/>
        </w:rPr>
        <w:t xml:space="preserve">.  </w:t>
      </w:r>
      <w:r w:rsidR="00F3336A" w:rsidRPr="00B16E6F">
        <w:rPr>
          <w:lang w:val="fr-CH"/>
        </w:rPr>
        <w:t>Le</w:t>
      </w:r>
      <w:r w:rsidR="00DC7EA3" w:rsidRPr="00B16E6F">
        <w:rPr>
          <w:lang w:val="fr-CH"/>
        </w:rPr>
        <w:t>s nouvelles modalités concernant la contribution de données à la base de données PLUTO ont été introduites pour les contributeurs le 2</w:t>
      </w:r>
      <w:r w:rsidR="00255969" w:rsidRPr="00B16E6F">
        <w:rPr>
          <w:lang w:val="fr-CH"/>
        </w:rPr>
        <w:t>7</w:t>
      </w:r>
      <w:r w:rsidR="00255969">
        <w:rPr>
          <w:lang w:val="fr-CH"/>
        </w:rPr>
        <w:t> </w:t>
      </w:r>
      <w:r w:rsidR="00255969" w:rsidRPr="00B16E6F">
        <w:rPr>
          <w:lang w:val="fr-CH"/>
        </w:rPr>
        <w:t>septembre</w:t>
      </w:r>
      <w:r w:rsidR="00255969">
        <w:rPr>
          <w:lang w:val="fr-CH"/>
        </w:rPr>
        <w:t> </w:t>
      </w:r>
      <w:r w:rsidR="00255969" w:rsidRPr="00B16E6F">
        <w:rPr>
          <w:lang w:val="fr-CH"/>
        </w:rPr>
        <w:t>20</w:t>
      </w:r>
      <w:r w:rsidR="00DC7EA3" w:rsidRPr="00B16E6F">
        <w:rPr>
          <w:lang w:val="fr-CH"/>
        </w:rPr>
        <w:t>21.</w:t>
      </w:r>
    </w:p>
    <w:p w:rsidR="00DC7EA3" w:rsidRPr="00B16E6F" w:rsidRDefault="00DC7EA3" w:rsidP="00B0676A">
      <w:pPr>
        <w:rPr>
          <w:rFonts w:cs="Arial"/>
          <w:bCs/>
          <w:highlight w:val="cyan"/>
          <w:lang w:val="fr-CH"/>
        </w:rPr>
      </w:pPr>
    </w:p>
    <w:p w:rsidR="00DC7EA3" w:rsidRPr="00B16E6F" w:rsidRDefault="00DC7EA3" w:rsidP="00B0676A">
      <w:pPr>
        <w:rPr>
          <w:rFonts w:cs="Arial"/>
          <w:bCs/>
          <w:highlight w:val="cyan"/>
          <w:lang w:val="fr-CH"/>
        </w:rPr>
      </w:pPr>
    </w:p>
    <w:p w:rsidR="00DC7EA3" w:rsidRPr="00B16E6F" w:rsidRDefault="00DC7EA3" w:rsidP="00DC7EA3">
      <w:pPr>
        <w:pStyle w:val="Heading2"/>
        <w:rPr>
          <w:rFonts w:cs="Arial"/>
          <w:lang w:val="fr-CH"/>
        </w:rPr>
      </w:pPr>
      <w:bookmarkStart w:id="22" w:name="_Toc86066533"/>
      <w:r w:rsidRPr="00B16E6F">
        <w:rPr>
          <w:rFonts w:cs="Arial"/>
          <w:lang w:val="fr-CH"/>
        </w:rPr>
        <w:t>Lancement de nouveaux services relatifs à la base de données PLUTO</w:t>
      </w:r>
      <w:bookmarkEnd w:id="22"/>
    </w:p>
    <w:p w:rsidR="00DC7EA3" w:rsidRPr="00B16E6F" w:rsidRDefault="00DC7EA3" w:rsidP="00B0676A">
      <w:pPr>
        <w:rPr>
          <w:rFonts w:cs="Arial"/>
          <w:bCs/>
          <w:highlight w:val="cyan"/>
          <w:lang w:val="fr-CH"/>
        </w:rPr>
      </w:pPr>
    </w:p>
    <w:p w:rsidR="00255969" w:rsidRDefault="00B0676A" w:rsidP="00DC7EA3">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DC7EA3" w:rsidRPr="00B16E6F">
        <w:rPr>
          <w:rFonts w:cs="Arial"/>
          <w:bCs/>
          <w:lang w:val="fr-CH"/>
        </w:rPr>
        <w:t>Le 2</w:t>
      </w:r>
      <w:r w:rsidR="00255969" w:rsidRPr="00B16E6F">
        <w:rPr>
          <w:rFonts w:cs="Arial"/>
          <w:bCs/>
          <w:lang w:val="fr-CH"/>
        </w:rPr>
        <w:t>4</w:t>
      </w:r>
      <w:r w:rsidR="00255969">
        <w:rPr>
          <w:rFonts w:cs="Arial"/>
          <w:bCs/>
          <w:lang w:val="fr-CH"/>
        </w:rPr>
        <w:t> </w:t>
      </w:r>
      <w:r w:rsidR="00255969" w:rsidRPr="00B16E6F">
        <w:rPr>
          <w:rFonts w:cs="Arial"/>
          <w:bCs/>
          <w:lang w:val="fr-CH"/>
        </w:rPr>
        <w:t>septembre</w:t>
      </w:r>
      <w:r w:rsidR="00255969">
        <w:rPr>
          <w:rFonts w:cs="Arial"/>
          <w:bCs/>
          <w:lang w:val="fr-CH"/>
        </w:rPr>
        <w:t> </w:t>
      </w:r>
      <w:r w:rsidR="00255969" w:rsidRPr="00B16E6F">
        <w:rPr>
          <w:rFonts w:cs="Arial"/>
          <w:bCs/>
          <w:lang w:val="fr-CH"/>
        </w:rPr>
        <w:t>20</w:t>
      </w:r>
      <w:r w:rsidR="00DC7EA3" w:rsidRPr="00B16E6F">
        <w:rPr>
          <w:rFonts w:cs="Arial"/>
          <w:bCs/>
          <w:lang w:val="fr-CH"/>
        </w:rPr>
        <w:t>21, le Bureau de l</w:t>
      </w:r>
      <w:r w:rsidR="00255969">
        <w:rPr>
          <w:rFonts w:cs="Arial"/>
          <w:bCs/>
          <w:lang w:val="fr-CH"/>
        </w:rPr>
        <w:t>’</w:t>
      </w:r>
      <w:r w:rsidR="00DC7EA3" w:rsidRPr="00B16E6F">
        <w:rPr>
          <w:rFonts w:cs="Arial"/>
          <w:bCs/>
          <w:lang w:val="fr-CH"/>
        </w:rPr>
        <w:t>Union a diffusé la circulaire</w:t>
      </w:r>
      <w:r w:rsidR="00F3336A">
        <w:rPr>
          <w:rFonts w:cs="Arial"/>
          <w:bCs/>
          <w:lang w:val="fr-CH"/>
        </w:rPr>
        <w:t> </w:t>
      </w:r>
      <w:r w:rsidR="00DC7EA3" w:rsidRPr="00B16E6F">
        <w:rPr>
          <w:rFonts w:cs="Arial"/>
          <w:bCs/>
          <w:lang w:val="fr-CH"/>
        </w:rPr>
        <w:t>E</w:t>
      </w:r>
      <w:r w:rsidR="00255969">
        <w:rPr>
          <w:rFonts w:cs="Arial"/>
          <w:bCs/>
          <w:lang w:val="fr-CH"/>
        </w:rPr>
        <w:t>-</w:t>
      </w:r>
      <w:r w:rsidR="00DC7EA3" w:rsidRPr="00B16E6F">
        <w:rPr>
          <w:rFonts w:cs="Arial"/>
          <w:bCs/>
          <w:lang w:val="fr-CH"/>
        </w:rPr>
        <w:t>21/154 à tous les organes de l</w:t>
      </w:r>
      <w:r w:rsidR="00255969">
        <w:rPr>
          <w:rFonts w:cs="Arial"/>
          <w:bCs/>
          <w:lang w:val="fr-CH"/>
        </w:rPr>
        <w:t>’</w:t>
      </w:r>
      <w:r w:rsidR="00DC7EA3" w:rsidRPr="00B16E6F">
        <w:rPr>
          <w:rFonts w:cs="Arial"/>
          <w:bCs/>
          <w:lang w:val="fr-CH"/>
        </w:rPr>
        <w:t>UPOV et aux utilisateurs de la base de données PLUTO, annonçant le lancement de la nouvelle version de la base de données PL</w:t>
      </w:r>
      <w:r w:rsidR="00F3336A" w:rsidRPr="00B16E6F">
        <w:rPr>
          <w:rFonts w:cs="Arial"/>
          <w:bCs/>
          <w:lang w:val="fr-CH"/>
        </w:rPr>
        <w:t>UTO</w:t>
      </w:r>
      <w:r w:rsidR="00F3336A">
        <w:rPr>
          <w:rFonts w:cs="Arial"/>
          <w:bCs/>
          <w:lang w:val="fr-CH"/>
        </w:rPr>
        <w:t xml:space="preserve">.  </w:t>
      </w:r>
      <w:r w:rsidR="00F3336A" w:rsidRPr="00B16E6F">
        <w:rPr>
          <w:rStyle w:val="Hyperlink"/>
          <w:rFonts w:cs="Arial"/>
          <w:bCs/>
          <w:color w:val="auto"/>
          <w:u w:val="none"/>
          <w:lang w:val="fr-CH"/>
        </w:rPr>
        <w:t>La</w:t>
      </w:r>
      <w:r w:rsidR="00DC7EA3" w:rsidRPr="00B16E6F">
        <w:rPr>
          <w:rStyle w:val="Hyperlink"/>
          <w:rFonts w:cs="Arial"/>
          <w:bCs/>
          <w:color w:val="auto"/>
          <w:u w:val="none"/>
          <w:lang w:val="fr-CH"/>
        </w:rPr>
        <w:t xml:space="preserve"> circulaire invitait également les utilisateurs à participer à une série de webinaires, du 5 au </w:t>
      </w:r>
      <w:r w:rsidR="00255969" w:rsidRPr="00B16E6F">
        <w:rPr>
          <w:rStyle w:val="Hyperlink"/>
          <w:rFonts w:cs="Arial"/>
          <w:bCs/>
          <w:color w:val="auto"/>
          <w:u w:val="none"/>
          <w:lang w:val="fr-CH"/>
        </w:rPr>
        <w:t>6</w:t>
      </w:r>
      <w:r w:rsidR="00255969">
        <w:rPr>
          <w:rStyle w:val="Hyperlink"/>
          <w:rFonts w:cs="Arial"/>
          <w:bCs/>
          <w:color w:val="auto"/>
          <w:u w:val="none"/>
          <w:lang w:val="fr-CH"/>
        </w:rPr>
        <w:t> </w:t>
      </w:r>
      <w:r w:rsidR="00255969" w:rsidRPr="00B16E6F">
        <w:rPr>
          <w:rStyle w:val="Hyperlink"/>
          <w:rFonts w:cs="Arial"/>
          <w:bCs/>
          <w:color w:val="auto"/>
          <w:u w:val="none"/>
          <w:lang w:val="fr-CH"/>
        </w:rPr>
        <w:t>octobre</w:t>
      </w:r>
      <w:r w:rsidR="00255969">
        <w:rPr>
          <w:rStyle w:val="Hyperlink"/>
          <w:rFonts w:cs="Arial"/>
          <w:bCs/>
          <w:color w:val="auto"/>
          <w:u w:val="none"/>
          <w:lang w:val="fr-CH"/>
        </w:rPr>
        <w:t> </w:t>
      </w:r>
      <w:r w:rsidR="00255969" w:rsidRPr="00B16E6F">
        <w:rPr>
          <w:rStyle w:val="Hyperlink"/>
          <w:rFonts w:cs="Arial"/>
          <w:bCs/>
          <w:color w:val="auto"/>
          <w:u w:val="none"/>
          <w:lang w:val="fr-CH"/>
        </w:rPr>
        <w:t>20</w:t>
      </w:r>
      <w:r w:rsidR="00DC7EA3" w:rsidRPr="00B16E6F">
        <w:rPr>
          <w:rStyle w:val="Hyperlink"/>
          <w:rFonts w:cs="Arial"/>
          <w:bCs/>
          <w:color w:val="auto"/>
          <w:u w:val="none"/>
          <w:lang w:val="fr-CH"/>
        </w:rPr>
        <w:t>21, pour leur présenter la nouvelle configuration et les nouvelles fonctionnalités de la base de données.</w:t>
      </w:r>
    </w:p>
    <w:p w:rsidR="00DC7EA3" w:rsidRPr="00B16E6F" w:rsidRDefault="00DC7EA3" w:rsidP="00B0676A">
      <w:pPr>
        <w:rPr>
          <w:rFonts w:cs="Arial"/>
          <w:bCs/>
          <w:lang w:val="fr-CH"/>
        </w:rPr>
      </w:pPr>
    </w:p>
    <w:p w:rsidR="00DC7EA3" w:rsidRPr="00B16E6F" w:rsidRDefault="00B0676A" w:rsidP="00DC7EA3">
      <w:pPr>
        <w:rPr>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DC7EA3" w:rsidRPr="00B16E6F">
        <w:rPr>
          <w:rFonts w:cs="Arial"/>
          <w:bCs/>
          <w:lang w:val="fr-CH"/>
        </w:rPr>
        <w:t>Les quatre</w:t>
      </w:r>
      <w:r w:rsidR="00D31106">
        <w:rPr>
          <w:rFonts w:cs="Arial"/>
          <w:bCs/>
          <w:lang w:val="fr-CH"/>
        </w:rPr>
        <w:t> </w:t>
      </w:r>
      <w:r w:rsidR="00DC7EA3" w:rsidRPr="00B16E6F">
        <w:rPr>
          <w:rFonts w:cs="Arial"/>
          <w:bCs/>
          <w:lang w:val="fr-CH"/>
        </w:rPr>
        <w:t>webinaires ont été suivis par 89</w:t>
      </w:r>
      <w:r w:rsidR="00F3336A">
        <w:rPr>
          <w:rFonts w:cs="Arial"/>
          <w:bCs/>
          <w:lang w:val="fr-CH"/>
        </w:rPr>
        <w:t> </w:t>
      </w:r>
      <w:r w:rsidR="00DC7EA3" w:rsidRPr="00B16E6F">
        <w:rPr>
          <w:rFonts w:cs="Arial"/>
          <w:bCs/>
          <w:lang w:val="fr-CH"/>
        </w:rPr>
        <w:t>participan</w:t>
      </w:r>
      <w:r w:rsidR="00F3336A" w:rsidRPr="00B16E6F">
        <w:rPr>
          <w:rFonts w:cs="Arial"/>
          <w:bCs/>
          <w:lang w:val="fr-CH"/>
        </w:rPr>
        <w:t>ts</w:t>
      </w:r>
      <w:r w:rsidR="00F3336A">
        <w:rPr>
          <w:rFonts w:cs="Arial"/>
          <w:bCs/>
          <w:lang w:val="fr-CH"/>
        </w:rPr>
        <w:t xml:space="preserve">.  </w:t>
      </w:r>
      <w:r w:rsidR="00F3336A" w:rsidRPr="00B16E6F">
        <w:rPr>
          <w:lang w:val="fr-CH"/>
        </w:rPr>
        <w:t>Le</w:t>
      </w:r>
      <w:r w:rsidR="00DC7EA3" w:rsidRPr="00B16E6F">
        <w:rPr>
          <w:lang w:val="fr-CH"/>
        </w:rPr>
        <w:t>s enregistrements des webinaires sont disponibles à l</w:t>
      </w:r>
      <w:r w:rsidR="00255969">
        <w:rPr>
          <w:lang w:val="fr-CH"/>
        </w:rPr>
        <w:t>’</w:t>
      </w:r>
      <w:r w:rsidR="00DC7EA3" w:rsidRPr="00B16E6F">
        <w:rPr>
          <w:lang w:val="fr-CH"/>
        </w:rPr>
        <w:t xml:space="preserve">adresse </w:t>
      </w:r>
      <w:hyperlink r:id="rId11" w:history="1">
        <w:r w:rsidR="00BB5970" w:rsidRPr="00B16E6F">
          <w:rPr>
            <w:rStyle w:val="Hyperlink"/>
            <w:rFonts w:cs="Arial"/>
            <w:color w:val="auto"/>
          </w:rPr>
          <w:t>https://www.upov.int/pluto/fr/help.html</w:t>
        </w:r>
      </w:hyperlink>
      <w:r w:rsidR="00DC7EA3" w:rsidRPr="00B16E6F">
        <w:rPr>
          <w:lang w:val="fr-CH"/>
        </w:rPr>
        <w:t>.</w:t>
      </w:r>
    </w:p>
    <w:p w:rsidR="00DC7EA3" w:rsidRPr="00B16E6F" w:rsidRDefault="00DC7EA3" w:rsidP="00B0676A">
      <w:pPr>
        <w:rPr>
          <w:lang w:val="fr-CH"/>
        </w:rPr>
      </w:pPr>
    </w:p>
    <w:p w:rsidR="00DC7EA3" w:rsidRPr="00B16E6F" w:rsidRDefault="00B0676A" w:rsidP="00DC7EA3">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DC7EA3" w:rsidRPr="00B16E6F">
        <w:rPr>
          <w:rFonts w:cs="Arial"/>
          <w:bCs/>
          <w:lang w:val="fr-CH"/>
        </w:rPr>
        <w:t>La nouvelle version de la base de données PLUTO a été lancée le 1</w:t>
      </w:r>
      <w:r w:rsidR="00255969" w:rsidRPr="00B16E6F">
        <w:rPr>
          <w:rFonts w:cs="Arial"/>
          <w:bCs/>
          <w:lang w:val="fr-CH"/>
        </w:rPr>
        <w:t>1</w:t>
      </w:r>
      <w:r w:rsidR="00255969">
        <w:rPr>
          <w:rFonts w:cs="Arial"/>
          <w:bCs/>
          <w:lang w:val="fr-CH"/>
        </w:rPr>
        <w:t> </w:t>
      </w:r>
      <w:r w:rsidR="00255969" w:rsidRPr="00B16E6F">
        <w:rPr>
          <w:rFonts w:cs="Arial"/>
          <w:bCs/>
          <w:lang w:val="fr-CH"/>
        </w:rPr>
        <w:t>octobre</w:t>
      </w:r>
      <w:r w:rsidR="00255969">
        <w:rPr>
          <w:rFonts w:cs="Arial"/>
          <w:bCs/>
          <w:lang w:val="fr-CH"/>
        </w:rPr>
        <w:t> </w:t>
      </w:r>
      <w:r w:rsidR="00255969" w:rsidRPr="00B16E6F">
        <w:rPr>
          <w:rFonts w:cs="Arial"/>
          <w:bCs/>
          <w:lang w:val="fr-CH"/>
        </w:rPr>
        <w:t>20</w:t>
      </w:r>
      <w:r w:rsidR="00DC7EA3" w:rsidRPr="00B16E6F">
        <w:rPr>
          <w:rFonts w:cs="Arial"/>
          <w:bCs/>
          <w:lang w:val="fr-CH"/>
        </w:rPr>
        <w:t xml:space="preserve">21, à la nouvelle adresse </w:t>
      </w:r>
      <w:hyperlink r:id="rId12" w:history="1">
        <w:r w:rsidR="00DC7EA3" w:rsidRPr="00B16E6F">
          <w:rPr>
            <w:rStyle w:val="Hyperlink"/>
            <w:rFonts w:cs="Arial"/>
            <w:color w:val="auto"/>
          </w:rPr>
          <w:t>https://pluto.upov.int</w:t>
        </w:r>
      </w:hyperlink>
      <w:r w:rsidR="00DC7EA3" w:rsidRPr="00B16E6F">
        <w:rPr>
          <w:rFonts w:cs="Arial"/>
          <w:bCs/>
          <w:lang w:val="fr-CH"/>
        </w:rPr>
        <w:t>.</w:t>
      </w:r>
    </w:p>
    <w:p w:rsidR="00DC7EA3" w:rsidRPr="00B16E6F" w:rsidRDefault="00DC7EA3" w:rsidP="00B0676A">
      <w:pPr>
        <w:rPr>
          <w:rFonts w:cs="Arial"/>
          <w:bCs/>
          <w:lang w:val="fr-CH"/>
        </w:rPr>
      </w:pPr>
    </w:p>
    <w:p w:rsidR="00255969" w:rsidRDefault="00B0676A" w:rsidP="00DC7EA3">
      <w:pPr>
        <w:rPr>
          <w:lang w:val="fr-CH"/>
        </w:rPr>
      </w:pPr>
      <w:r w:rsidRPr="00B16E6F">
        <w:fldChar w:fldCharType="begin"/>
      </w:r>
      <w:r w:rsidRPr="00B16E6F">
        <w:rPr>
          <w:lang w:val="fr-CH"/>
        </w:rPr>
        <w:instrText xml:space="preserve"> AUTONUM  </w:instrText>
      </w:r>
      <w:r w:rsidRPr="00B16E6F">
        <w:fldChar w:fldCharType="end"/>
      </w:r>
      <w:r w:rsidRPr="00B16E6F">
        <w:rPr>
          <w:lang w:val="fr-CH"/>
        </w:rPr>
        <w:tab/>
      </w:r>
      <w:r w:rsidR="00DC7EA3" w:rsidRPr="00B16E6F">
        <w:rPr>
          <w:lang w:val="fr-CH"/>
        </w:rPr>
        <w:t>Afin de permettre aux utilisateurs d</w:t>
      </w:r>
      <w:r w:rsidR="00255969">
        <w:rPr>
          <w:lang w:val="fr-CH"/>
        </w:rPr>
        <w:t>’</w:t>
      </w:r>
      <w:r w:rsidR="00DC7EA3" w:rsidRPr="00B16E6F">
        <w:rPr>
          <w:lang w:val="fr-CH"/>
        </w:rPr>
        <w:t>évaluer s</w:t>
      </w:r>
      <w:r w:rsidR="00255969">
        <w:rPr>
          <w:lang w:val="fr-CH"/>
        </w:rPr>
        <w:t>’</w:t>
      </w:r>
      <w:r w:rsidR="00DC7EA3" w:rsidRPr="00B16E6F">
        <w:rPr>
          <w:lang w:val="fr-CH"/>
        </w:rPr>
        <w:t>ils doivent utiliser le service standard ou le service premium, ce dernier est disponible gratuitement du 1</w:t>
      </w:r>
      <w:r w:rsidR="00255969" w:rsidRPr="00B16E6F">
        <w:rPr>
          <w:lang w:val="fr-CH"/>
        </w:rPr>
        <w:t>1</w:t>
      </w:r>
      <w:r w:rsidR="00255969">
        <w:rPr>
          <w:lang w:val="fr-CH"/>
        </w:rPr>
        <w:t> </w:t>
      </w:r>
      <w:r w:rsidR="00255969" w:rsidRPr="00B16E6F">
        <w:rPr>
          <w:lang w:val="fr-CH"/>
        </w:rPr>
        <w:t>octobre</w:t>
      </w:r>
      <w:r w:rsidR="00255969">
        <w:rPr>
          <w:lang w:val="fr-CH"/>
        </w:rPr>
        <w:t> </w:t>
      </w:r>
      <w:r w:rsidR="00255969" w:rsidRPr="00B16E6F">
        <w:rPr>
          <w:lang w:val="fr-CH"/>
        </w:rPr>
        <w:t>20</w:t>
      </w:r>
      <w:r w:rsidR="00DC7EA3" w:rsidRPr="00B16E6F">
        <w:rPr>
          <w:lang w:val="fr-CH"/>
        </w:rPr>
        <w:t xml:space="preserve">21 (date de lancement de la nouvelle version de la base de données PLUTO) au </w:t>
      </w:r>
      <w:r w:rsidR="00255969" w:rsidRPr="00B16E6F">
        <w:rPr>
          <w:lang w:val="fr-CH"/>
        </w:rPr>
        <w:t>5</w:t>
      </w:r>
      <w:r w:rsidR="00255969">
        <w:rPr>
          <w:lang w:val="fr-CH"/>
        </w:rPr>
        <w:t> </w:t>
      </w:r>
      <w:r w:rsidR="00255969" w:rsidRPr="00B16E6F">
        <w:rPr>
          <w:lang w:val="fr-CH"/>
        </w:rPr>
        <w:t>novembre</w:t>
      </w:r>
      <w:r w:rsidR="00255969">
        <w:rPr>
          <w:lang w:val="fr-CH"/>
        </w:rPr>
        <w:t> </w:t>
      </w:r>
      <w:r w:rsidR="00255969" w:rsidRPr="00B16E6F">
        <w:rPr>
          <w:lang w:val="fr-CH"/>
        </w:rPr>
        <w:t>20</w:t>
      </w:r>
      <w:r w:rsidR="00DC7EA3" w:rsidRPr="00B16E6F">
        <w:rPr>
          <w:lang w:val="fr-CH"/>
        </w:rPr>
        <w:t>21.</w:t>
      </w:r>
    </w:p>
    <w:p w:rsidR="00DC7EA3" w:rsidRPr="00B16E6F" w:rsidRDefault="00DC7EA3" w:rsidP="00B0676A">
      <w:pPr>
        <w:rPr>
          <w:rFonts w:cs="Arial"/>
          <w:bCs/>
          <w:lang w:val="fr-CH"/>
        </w:rPr>
      </w:pPr>
    </w:p>
    <w:p w:rsidR="00255969" w:rsidRDefault="00B0676A" w:rsidP="00DC7EA3">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DC7EA3" w:rsidRPr="00B16E6F">
        <w:rPr>
          <w:rFonts w:cs="Arial"/>
          <w:bCs/>
          <w:lang w:val="fr-CH"/>
        </w:rPr>
        <w:t>Les membres de l</w:t>
      </w:r>
      <w:r w:rsidR="00255969">
        <w:rPr>
          <w:rFonts w:cs="Arial"/>
          <w:bCs/>
          <w:lang w:val="fr-CH"/>
        </w:rPr>
        <w:t>’</w:t>
      </w:r>
      <w:r w:rsidR="00DC7EA3" w:rsidRPr="00B16E6F">
        <w:rPr>
          <w:rFonts w:cs="Arial"/>
          <w:bCs/>
          <w:lang w:val="fr-CH"/>
        </w:rPr>
        <w:t>UPOV et les contributeurs à la base de données bénéficient d</w:t>
      </w:r>
      <w:r w:rsidR="00255969">
        <w:rPr>
          <w:rFonts w:cs="Arial"/>
          <w:bCs/>
          <w:lang w:val="fr-CH"/>
        </w:rPr>
        <w:t>’</w:t>
      </w:r>
      <w:r w:rsidR="00DC7EA3" w:rsidRPr="00B16E6F">
        <w:rPr>
          <w:rFonts w:cs="Arial"/>
          <w:bCs/>
          <w:lang w:val="fr-CH"/>
        </w:rPr>
        <w:t>un accès gratuit au service premium lorsqu</w:t>
      </w:r>
      <w:r w:rsidR="00255969">
        <w:rPr>
          <w:rFonts w:cs="Arial"/>
          <w:bCs/>
          <w:lang w:val="fr-CH"/>
        </w:rPr>
        <w:t>’</w:t>
      </w:r>
      <w:r w:rsidR="00DC7EA3" w:rsidRPr="00B16E6F">
        <w:rPr>
          <w:rFonts w:cs="Arial"/>
          <w:bCs/>
          <w:lang w:val="fr-CH"/>
        </w:rPr>
        <w:t xml:space="preserve">ils sont autorisés par le représentant </w:t>
      </w:r>
      <w:r w:rsidR="00A218BC" w:rsidRPr="00B16E6F">
        <w:rPr>
          <w:rFonts w:cs="Arial"/>
          <w:bCs/>
          <w:lang w:val="fr-CH"/>
        </w:rPr>
        <w:t>a</w:t>
      </w:r>
      <w:r w:rsidR="00DC7EA3" w:rsidRPr="00B16E6F">
        <w:rPr>
          <w:rFonts w:cs="Arial"/>
          <w:bCs/>
          <w:lang w:val="fr-CH"/>
        </w:rPr>
        <w:t>u</w:t>
      </w:r>
      <w:r w:rsidR="00A218BC" w:rsidRPr="00B16E6F">
        <w:rPr>
          <w:rFonts w:cs="Arial"/>
          <w:bCs/>
          <w:lang w:val="fr-CH"/>
        </w:rPr>
        <w:t>près du</w:t>
      </w:r>
      <w:r w:rsidR="00DC7EA3" w:rsidRPr="00B16E6F">
        <w:rPr>
          <w:rFonts w:cs="Arial"/>
          <w:bCs/>
          <w:lang w:val="fr-CH"/>
        </w:rPr>
        <w:t xml:space="preserve"> Conseil du membre de l</w:t>
      </w:r>
      <w:r w:rsidR="00255969">
        <w:rPr>
          <w:rFonts w:cs="Arial"/>
          <w:bCs/>
          <w:lang w:val="fr-CH"/>
        </w:rPr>
        <w:t>’</w:t>
      </w:r>
      <w:r w:rsidR="00DC7EA3" w:rsidRPr="00B16E6F">
        <w:rPr>
          <w:rFonts w:cs="Arial"/>
          <w:bCs/>
          <w:lang w:val="fr-CH"/>
        </w:rPr>
        <w:t>UPOV concer</w:t>
      </w:r>
      <w:r w:rsidR="00F3336A" w:rsidRPr="00B16E6F">
        <w:rPr>
          <w:rFonts w:cs="Arial"/>
          <w:bCs/>
          <w:lang w:val="fr-CH"/>
        </w:rPr>
        <w:t>né</w:t>
      </w:r>
      <w:r w:rsidR="00F3336A">
        <w:rPr>
          <w:rFonts w:cs="Arial"/>
          <w:bCs/>
          <w:lang w:val="fr-CH"/>
        </w:rPr>
        <w:t xml:space="preserve">.  </w:t>
      </w:r>
      <w:r w:rsidR="00F3336A" w:rsidRPr="00B16E6F">
        <w:rPr>
          <w:rFonts w:cs="Arial"/>
          <w:bCs/>
          <w:lang w:val="fr-CH"/>
        </w:rPr>
        <w:t>Af</w:t>
      </w:r>
      <w:r w:rsidR="00DC7EA3" w:rsidRPr="00B16E6F">
        <w:rPr>
          <w:rFonts w:cs="Arial"/>
          <w:bCs/>
          <w:lang w:val="fr-CH"/>
        </w:rPr>
        <w:t>in d</w:t>
      </w:r>
      <w:r w:rsidR="00255969">
        <w:rPr>
          <w:rFonts w:cs="Arial"/>
          <w:bCs/>
          <w:lang w:val="fr-CH"/>
        </w:rPr>
        <w:t>’</w:t>
      </w:r>
      <w:r w:rsidR="00DC7EA3" w:rsidRPr="00B16E6F">
        <w:rPr>
          <w:rFonts w:cs="Arial"/>
          <w:bCs/>
          <w:lang w:val="fr-CH"/>
        </w:rPr>
        <w:t>organiser cet accès gratuit, la circulaire</w:t>
      </w:r>
      <w:r w:rsidR="00F3336A">
        <w:rPr>
          <w:rFonts w:cs="Arial"/>
          <w:bCs/>
          <w:lang w:val="fr-CH"/>
        </w:rPr>
        <w:t> </w:t>
      </w:r>
      <w:r w:rsidR="00DC7EA3" w:rsidRPr="00B16E6F">
        <w:rPr>
          <w:rFonts w:cs="Arial"/>
          <w:bCs/>
          <w:lang w:val="fr-CH"/>
        </w:rPr>
        <w:t>E21/114 a été envoyée le 2</w:t>
      </w:r>
      <w:r w:rsidR="00255969" w:rsidRPr="00B16E6F">
        <w:rPr>
          <w:rFonts w:cs="Arial"/>
          <w:bCs/>
          <w:lang w:val="fr-CH"/>
        </w:rPr>
        <w:t>6</w:t>
      </w:r>
      <w:r w:rsidR="00255969">
        <w:rPr>
          <w:rFonts w:cs="Arial"/>
          <w:bCs/>
          <w:lang w:val="fr-CH"/>
        </w:rPr>
        <w:t> </w:t>
      </w:r>
      <w:r w:rsidR="00255969" w:rsidRPr="00B16E6F">
        <w:rPr>
          <w:rFonts w:cs="Arial"/>
          <w:bCs/>
          <w:lang w:val="fr-CH"/>
        </w:rPr>
        <w:t>juillet</w:t>
      </w:r>
      <w:r w:rsidR="00255969">
        <w:rPr>
          <w:rFonts w:cs="Arial"/>
          <w:bCs/>
          <w:lang w:val="fr-CH"/>
        </w:rPr>
        <w:t> </w:t>
      </w:r>
      <w:r w:rsidR="00255969" w:rsidRPr="00B16E6F">
        <w:rPr>
          <w:rFonts w:cs="Arial"/>
          <w:bCs/>
          <w:lang w:val="fr-CH"/>
        </w:rPr>
        <w:t>20</w:t>
      </w:r>
      <w:r w:rsidR="00DC7EA3" w:rsidRPr="00B16E6F">
        <w:rPr>
          <w:rFonts w:cs="Arial"/>
          <w:bCs/>
          <w:lang w:val="fr-CH"/>
        </w:rPr>
        <w:t xml:space="preserve">21 pour inviter les représentants </w:t>
      </w:r>
      <w:r w:rsidR="00A218BC" w:rsidRPr="00B16E6F">
        <w:rPr>
          <w:rFonts w:cs="Arial"/>
          <w:bCs/>
          <w:lang w:val="fr-CH"/>
        </w:rPr>
        <w:t xml:space="preserve">auprès du </w:t>
      </w:r>
      <w:r w:rsidR="00DC7EA3" w:rsidRPr="00B16E6F">
        <w:rPr>
          <w:rFonts w:cs="Arial"/>
          <w:bCs/>
          <w:lang w:val="fr-CH"/>
        </w:rPr>
        <w:t>Conseil de l</w:t>
      </w:r>
      <w:r w:rsidR="00255969">
        <w:rPr>
          <w:rFonts w:cs="Arial"/>
          <w:bCs/>
          <w:lang w:val="fr-CH"/>
        </w:rPr>
        <w:t>’</w:t>
      </w:r>
      <w:r w:rsidR="00DC7EA3" w:rsidRPr="00B16E6F">
        <w:rPr>
          <w:rFonts w:cs="Arial"/>
          <w:bCs/>
          <w:lang w:val="fr-CH"/>
        </w:rPr>
        <w:t>UPOV à désigner les fonctionnaires remplissant les conditions requises pour bénéficier du service premium gratuit.</w:t>
      </w:r>
    </w:p>
    <w:p w:rsidR="00DC7EA3" w:rsidRPr="00B16E6F" w:rsidRDefault="00DC7EA3" w:rsidP="00B0676A">
      <w:pPr>
        <w:rPr>
          <w:rFonts w:cs="Arial"/>
          <w:bCs/>
          <w:lang w:val="fr-CH"/>
        </w:rPr>
      </w:pPr>
    </w:p>
    <w:p w:rsidR="00255969" w:rsidRDefault="00B0676A" w:rsidP="00DC7EA3">
      <w:pPr>
        <w:rPr>
          <w:rFonts w:cs="Arial"/>
          <w:bCs/>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DC7EA3" w:rsidRPr="00B16E6F">
        <w:rPr>
          <w:rFonts w:cs="Arial"/>
          <w:bCs/>
          <w:lang w:val="fr-CH"/>
        </w:rPr>
        <w:t>Des conseils pour les contributeurs et les utilisateurs de la base de données PLUTO sont disponibles à l</w:t>
      </w:r>
      <w:r w:rsidR="00255969">
        <w:rPr>
          <w:rFonts w:cs="Arial"/>
          <w:bCs/>
          <w:lang w:val="fr-CH"/>
        </w:rPr>
        <w:t>’</w:t>
      </w:r>
      <w:r w:rsidR="00DC7EA3" w:rsidRPr="00B16E6F">
        <w:rPr>
          <w:rFonts w:cs="Arial"/>
          <w:bCs/>
          <w:lang w:val="fr-CH"/>
        </w:rPr>
        <w:t xml:space="preserve">adresse </w:t>
      </w:r>
      <w:hyperlink r:id="rId13" w:history="1">
        <w:r w:rsidR="00DC7EA3" w:rsidRPr="00B16E6F">
          <w:rPr>
            <w:rStyle w:val="Hyperlink"/>
            <w:rFonts w:cs="Arial"/>
            <w:color w:val="auto"/>
          </w:rPr>
          <w:t>https://www.upov.int/pluto</w:t>
        </w:r>
      </w:hyperlink>
      <w:r w:rsidR="00DC7EA3" w:rsidRPr="00B16E6F">
        <w:rPr>
          <w:rFonts w:cs="Arial"/>
          <w:bCs/>
          <w:lang w:val="fr-CH"/>
        </w:rPr>
        <w:t>.</w:t>
      </w:r>
    </w:p>
    <w:p w:rsidR="00DC7EA3" w:rsidRPr="00B16E6F" w:rsidRDefault="00DC7EA3" w:rsidP="00B0676A">
      <w:pPr>
        <w:rPr>
          <w:rFonts w:cs="Arial"/>
          <w:bCs/>
          <w:lang w:val="fr-CH"/>
        </w:rPr>
      </w:pPr>
    </w:p>
    <w:p w:rsidR="00DC7EA3" w:rsidRPr="00B16E6F" w:rsidRDefault="00B0676A" w:rsidP="00DC7EA3">
      <w:pPr>
        <w:rPr>
          <w:rFonts w:cs="Arial"/>
          <w:lang w:val="fr-CH"/>
        </w:rPr>
      </w:pPr>
      <w:r w:rsidRPr="00B16E6F">
        <w:rPr>
          <w:rFonts w:cs="Arial"/>
          <w:bCs/>
        </w:rPr>
        <w:fldChar w:fldCharType="begin"/>
      </w:r>
      <w:r w:rsidRPr="00B16E6F">
        <w:rPr>
          <w:rFonts w:cs="Arial"/>
          <w:bCs/>
          <w:lang w:val="fr-CH"/>
        </w:rPr>
        <w:instrText xml:space="preserve"> AUTONUM  </w:instrText>
      </w:r>
      <w:r w:rsidRPr="00B16E6F">
        <w:rPr>
          <w:rFonts w:cs="Arial"/>
          <w:bCs/>
        </w:rPr>
        <w:fldChar w:fldCharType="end"/>
      </w:r>
      <w:r w:rsidRPr="00B16E6F">
        <w:rPr>
          <w:rFonts w:cs="Arial"/>
          <w:bCs/>
          <w:lang w:val="fr-CH"/>
        </w:rPr>
        <w:tab/>
      </w:r>
      <w:r w:rsidR="00DC7EA3" w:rsidRPr="00B16E6F">
        <w:rPr>
          <w:rFonts w:cs="Arial"/>
          <w:bCs/>
          <w:lang w:val="fr-CH"/>
        </w:rPr>
        <w:t xml:space="preserve">La nouvelle base de données PLUTO, les nouvelles modalités concernant la contribution de données et les </w:t>
      </w:r>
      <w:r w:rsidR="00255969" w:rsidRPr="00B16E6F">
        <w:rPr>
          <w:rFonts w:cs="Arial"/>
          <w:bCs/>
          <w:lang w:val="fr-CH"/>
        </w:rPr>
        <w:t>pages</w:t>
      </w:r>
      <w:r w:rsidR="00255969">
        <w:rPr>
          <w:rFonts w:cs="Arial"/>
          <w:bCs/>
          <w:lang w:val="fr-CH"/>
        </w:rPr>
        <w:t> </w:t>
      </w:r>
      <w:r w:rsidR="00255969" w:rsidRPr="00B16E6F">
        <w:rPr>
          <w:rFonts w:cs="Arial"/>
          <w:bCs/>
          <w:lang w:val="fr-CH"/>
        </w:rPr>
        <w:t>W</w:t>
      </w:r>
      <w:r w:rsidR="00DC7EA3" w:rsidRPr="00B16E6F">
        <w:rPr>
          <w:rFonts w:cs="Arial"/>
          <w:bCs/>
          <w:lang w:val="fr-CH"/>
        </w:rPr>
        <w:t>eb consacrées à la base de données PLUTO seront présentées à la cinquante</w:t>
      </w:r>
      <w:r w:rsidR="00A610CE">
        <w:rPr>
          <w:rFonts w:cs="Arial"/>
          <w:bCs/>
          <w:lang w:val="fr-CH"/>
        </w:rPr>
        <w:noBreakHyphen/>
      </w:r>
      <w:bookmarkStart w:id="23" w:name="_GoBack"/>
      <w:bookmarkEnd w:id="23"/>
      <w:r w:rsidR="00DC7EA3" w:rsidRPr="00B16E6F">
        <w:rPr>
          <w:rFonts w:cs="Arial"/>
          <w:bCs/>
          <w:lang w:val="fr-CH"/>
        </w:rPr>
        <w:t>sept</w:t>
      </w:r>
      <w:r w:rsidR="00255969">
        <w:rPr>
          <w:rFonts w:cs="Arial"/>
          <w:bCs/>
          <w:lang w:val="fr-CH"/>
        </w:rPr>
        <w:t>ième session</w:t>
      </w:r>
      <w:r w:rsidR="00DC7EA3" w:rsidRPr="00B16E6F">
        <w:rPr>
          <w:rFonts w:cs="Arial"/>
          <w:bCs/>
          <w:lang w:val="fr-CH"/>
        </w:rPr>
        <w:t xml:space="preserve"> du</w:t>
      </w:r>
      <w:r w:rsidR="00255969">
        <w:rPr>
          <w:rFonts w:cs="Arial"/>
          <w:bCs/>
          <w:lang w:val="fr-CH"/>
        </w:rPr>
        <w:t> TC</w:t>
      </w:r>
      <w:r w:rsidR="00DC7EA3" w:rsidRPr="00B16E6F">
        <w:rPr>
          <w:rFonts w:cs="Arial"/>
          <w:bCs/>
          <w:lang w:val="fr-CH"/>
        </w:rPr>
        <w:t>.</w:t>
      </w:r>
    </w:p>
    <w:p w:rsidR="00DC7EA3" w:rsidRPr="00B16E6F" w:rsidRDefault="00DC7EA3" w:rsidP="00B0676A">
      <w:pPr>
        <w:rPr>
          <w:lang w:val="fr-CH"/>
        </w:rPr>
      </w:pPr>
    </w:p>
    <w:p w:rsidR="00DC7EA3" w:rsidRPr="00B16E6F" w:rsidRDefault="00DC7EA3" w:rsidP="00B0676A">
      <w:pPr>
        <w:rPr>
          <w:lang w:val="fr-CH"/>
        </w:rPr>
      </w:pPr>
    </w:p>
    <w:p w:rsidR="00255969" w:rsidRDefault="00255969" w:rsidP="00B0676A">
      <w:pPr>
        <w:rPr>
          <w:lang w:val="fr-CH"/>
        </w:rPr>
      </w:pPr>
    </w:p>
    <w:p w:rsidR="00DC7EA3" w:rsidRPr="00B16E6F" w:rsidRDefault="00B0676A" w:rsidP="00B0676A">
      <w:pPr>
        <w:jc w:val="right"/>
        <w:rPr>
          <w:lang w:val="fr-CH"/>
        </w:rPr>
      </w:pPr>
      <w:r w:rsidRPr="00B16E6F">
        <w:rPr>
          <w:lang w:val="fr-CH"/>
        </w:rPr>
        <w:t>[</w:t>
      </w:r>
      <w:r w:rsidR="009F2B82" w:rsidRPr="00B16E6F">
        <w:rPr>
          <w:lang w:val="fr-CH"/>
        </w:rPr>
        <w:t>Les a</w:t>
      </w:r>
      <w:r w:rsidRPr="00B16E6F">
        <w:rPr>
          <w:lang w:val="fr-CH"/>
        </w:rPr>
        <w:t xml:space="preserve">nnexes </w:t>
      </w:r>
      <w:r w:rsidR="009F2B82" w:rsidRPr="00B16E6F">
        <w:rPr>
          <w:lang w:val="fr-CH"/>
        </w:rPr>
        <w:t>suivent</w:t>
      </w:r>
      <w:r w:rsidRPr="00B16E6F">
        <w:rPr>
          <w:lang w:val="fr-CH"/>
        </w:rPr>
        <w:t>]</w:t>
      </w:r>
    </w:p>
    <w:p w:rsidR="00DC7EA3" w:rsidRPr="00B16E6F" w:rsidRDefault="00DC7EA3" w:rsidP="00B0676A">
      <w:pPr>
        <w:rPr>
          <w:lang w:val="fr-CH"/>
        </w:rPr>
      </w:pPr>
    </w:p>
    <w:p w:rsidR="00B0676A" w:rsidRPr="00B16E6F" w:rsidRDefault="00B0676A" w:rsidP="00B0676A">
      <w:pPr>
        <w:jc w:val="right"/>
        <w:rPr>
          <w:lang w:val="fr-CH"/>
        </w:rPr>
        <w:sectPr w:rsidR="00B0676A" w:rsidRPr="00B16E6F" w:rsidSect="0086795C">
          <w:headerReference w:type="default" r:id="rId14"/>
          <w:pgSz w:w="11907" w:h="16840" w:code="9"/>
          <w:pgMar w:top="510" w:right="1134" w:bottom="1134" w:left="1134" w:header="510" w:footer="680" w:gutter="0"/>
          <w:pgNumType w:start="1"/>
          <w:cols w:space="720"/>
          <w:titlePg/>
        </w:sectPr>
      </w:pPr>
    </w:p>
    <w:p w:rsidR="00DC7EA3" w:rsidRPr="00B16E6F" w:rsidRDefault="009F2B82" w:rsidP="009F2B82">
      <w:pPr>
        <w:jc w:val="center"/>
        <w:rPr>
          <w:rFonts w:cs="Angsana New"/>
          <w:szCs w:val="24"/>
          <w:lang w:bidi="th-TH"/>
        </w:rPr>
      </w:pPr>
      <w:r w:rsidRPr="00B16E6F">
        <w:rPr>
          <w:rFonts w:cs="Angsana New"/>
          <w:szCs w:val="24"/>
          <w:lang w:bidi="th-TH"/>
        </w:rPr>
        <w:t>AMÉLIORATIONS DE LA BASE DE DONNÉES SUR LES VARIÉTÉS VÉGÉTALES</w:t>
      </w:r>
    </w:p>
    <w:p w:rsidR="00DC7EA3" w:rsidRPr="00B16E6F" w:rsidRDefault="00DC7EA3" w:rsidP="009F2B82">
      <w:pPr>
        <w:jc w:val="center"/>
        <w:rPr>
          <w:rFonts w:cs="Angsana New"/>
          <w:szCs w:val="24"/>
          <w:lang w:bidi="th-TH"/>
        </w:rPr>
      </w:pPr>
    </w:p>
    <w:p w:rsidR="00DC7EA3" w:rsidRPr="00B16E6F" w:rsidRDefault="009F2B82" w:rsidP="009F2B82">
      <w:pPr>
        <w:jc w:val="center"/>
        <w:rPr>
          <w:bCs/>
          <w:i/>
          <w:sz w:val="18"/>
        </w:rPr>
      </w:pPr>
      <w:r w:rsidRPr="00B16E6F">
        <w:rPr>
          <w:rFonts w:cs="Angsana New"/>
          <w:i/>
          <w:iCs/>
          <w:sz w:val="18"/>
          <w:szCs w:val="24"/>
          <w:lang w:bidi="th-TH"/>
        </w:rPr>
        <w:t xml:space="preserve">approuvé par le Comité administratif et juridique (CAJ), </w:t>
      </w:r>
      <w:r w:rsidRPr="00B16E6F">
        <w:rPr>
          <w:rFonts w:cs="Angsana New"/>
          <w:i/>
          <w:iCs/>
          <w:sz w:val="18"/>
          <w:szCs w:val="24"/>
          <w:lang w:bidi="th-TH"/>
        </w:rPr>
        <w:br/>
      </w:r>
      <w:r w:rsidRPr="00B16E6F">
        <w:rPr>
          <w:rFonts w:cs="Arial"/>
          <w:bCs/>
          <w:i/>
          <w:spacing w:val="-2"/>
          <w:sz w:val="18"/>
        </w:rPr>
        <w:t>à sa cinquante</w:t>
      </w:r>
      <w:r w:rsidR="00255969">
        <w:rPr>
          <w:rFonts w:cs="Arial"/>
          <w:bCs/>
          <w:i/>
          <w:spacing w:val="-2"/>
          <w:sz w:val="18"/>
        </w:rPr>
        <w:t>-</w:t>
      </w:r>
      <w:r w:rsidRPr="00B16E6F">
        <w:rPr>
          <w:rFonts w:cs="Arial"/>
          <w:bCs/>
          <w:i/>
          <w:spacing w:val="-2"/>
          <w:sz w:val="18"/>
        </w:rPr>
        <w:t>neuv</w:t>
      </w:r>
      <w:r w:rsidR="00255969">
        <w:rPr>
          <w:rFonts w:cs="Arial"/>
          <w:bCs/>
          <w:i/>
          <w:spacing w:val="-2"/>
          <w:sz w:val="18"/>
        </w:rPr>
        <w:t>ième session</w:t>
      </w:r>
      <w:r w:rsidRPr="00B16E6F">
        <w:rPr>
          <w:rFonts w:cs="Arial"/>
          <w:bCs/>
          <w:i/>
          <w:spacing w:val="-2"/>
          <w:sz w:val="18"/>
        </w:rPr>
        <w:t xml:space="preserve"> tenue à Genève le 2 avril 2009,</w:t>
      </w:r>
      <w:r w:rsidRPr="00B16E6F">
        <w:rPr>
          <w:rFonts w:cs="Arial"/>
          <w:bCs/>
          <w:i/>
          <w:spacing w:val="-2"/>
          <w:sz w:val="18"/>
        </w:rPr>
        <w:br/>
        <w:t>puis modifié par le CAJ à sa soixante</w:t>
      </w:r>
      <w:r w:rsidR="00255969">
        <w:rPr>
          <w:rFonts w:cs="Arial"/>
          <w:bCs/>
          <w:i/>
          <w:spacing w:val="-2"/>
          <w:sz w:val="18"/>
        </w:rPr>
        <w:t>-</w:t>
      </w:r>
      <w:r w:rsidRPr="00B16E6F">
        <w:rPr>
          <w:rFonts w:cs="Arial"/>
          <w:bCs/>
          <w:i/>
          <w:spacing w:val="-2"/>
          <w:sz w:val="18"/>
        </w:rPr>
        <w:t>cinqu</w:t>
      </w:r>
      <w:r w:rsidR="00255969">
        <w:rPr>
          <w:rFonts w:cs="Arial"/>
          <w:bCs/>
          <w:i/>
          <w:spacing w:val="-2"/>
          <w:sz w:val="18"/>
        </w:rPr>
        <w:t>ième session</w:t>
      </w:r>
      <w:r w:rsidRPr="00B16E6F">
        <w:rPr>
          <w:rFonts w:cs="Arial"/>
          <w:bCs/>
          <w:i/>
          <w:spacing w:val="-2"/>
          <w:sz w:val="18"/>
        </w:rPr>
        <w:t xml:space="preserve"> tenue à Genève le 21 mars 2012,</w:t>
      </w:r>
      <w:r w:rsidRPr="00B16E6F">
        <w:rPr>
          <w:rFonts w:cs="Arial"/>
          <w:bCs/>
          <w:i/>
          <w:spacing w:val="-2"/>
          <w:sz w:val="18"/>
        </w:rPr>
        <w:br/>
        <w:t>à sa soixante</w:t>
      </w:r>
      <w:r w:rsidR="00255969">
        <w:rPr>
          <w:rFonts w:cs="Arial"/>
          <w:bCs/>
          <w:i/>
          <w:spacing w:val="-2"/>
          <w:sz w:val="18"/>
        </w:rPr>
        <w:t>-</w:t>
      </w:r>
      <w:r w:rsidRPr="00B16E6F">
        <w:rPr>
          <w:rFonts w:cs="Arial"/>
          <w:bCs/>
          <w:i/>
          <w:spacing w:val="-2"/>
          <w:sz w:val="18"/>
        </w:rPr>
        <w:t>huit</w:t>
      </w:r>
      <w:r w:rsidR="00255969">
        <w:rPr>
          <w:rFonts w:cs="Arial"/>
          <w:bCs/>
          <w:i/>
          <w:spacing w:val="-2"/>
          <w:sz w:val="18"/>
        </w:rPr>
        <w:t>ième session</w:t>
      </w:r>
      <w:r w:rsidRPr="00B16E6F">
        <w:rPr>
          <w:rFonts w:cs="Arial"/>
          <w:bCs/>
          <w:i/>
          <w:spacing w:val="-2"/>
          <w:sz w:val="18"/>
        </w:rPr>
        <w:t xml:space="preserve"> tenue à Genève le 21 octobre 2013 et</w:t>
      </w:r>
      <w:r w:rsidRPr="00B16E6F">
        <w:rPr>
          <w:bCs/>
          <w:i/>
          <w:sz w:val="18"/>
        </w:rPr>
        <w:br/>
        <w:t>à sa soixante</w:t>
      </w:r>
      <w:r w:rsidR="00255969">
        <w:rPr>
          <w:bCs/>
          <w:i/>
          <w:sz w:val="18"/>
        </w:rPr>
        <w:t>-</w:t>
      </w:r>
      <w:r w:rsidRPr="00B16E6F">
        <w:rPr>
          <w:bCs/>
          <w:i/>
          <w:sz w:val="18"/>
        </w:rPr>
        <w:t>seiz</w:t>
      </w:r>
      <w:r w:rsidR="00255969">
        <w:rPr>
          <w:bCs/>
          <w:i/>
          <w:sz w:val="18"/>
        </w:rPr>
        <w:t>ième session</w:t>
      </w:r>
      <w:r w:rsidRPr="00B16E6F">
        <w:rPr>
          <w:bCs/>
          <w:i/>
          <w:sz w:val="18"/>
        </w:rPr>
        <w:t xml:space="preserve"> tenue à Genève le 30 octobre 2019</w:t>
      </w:r>
    </w:p>
    <w:p w:rsidR="00DC7EA3" w:rsidRPr="00B16E6F" w:rsidRDefault="00DC7EA3" w:rsidP="009F2B82">
      <w:pPr>
        <w:rPr>
          <w:bCs/>
        </w:rPr>
      </w:pPr>
    </w:p>
    <w:p w:rsidR="00DC7EA3" w:rsidRPr="00B16E6F" w:rsidRDefault="009F2B82" w:rsidP="009F2B82">
      <w:pPr>
        <w:rPr>
          <w:bCs/>
          <w:i/>
          <w:iCs/>
        </w:rPr>
      </w:pPr>
      <w:r w:rsidRPr="00B16E6F">
        <w:rPr>
          <w:bCs/>
          <w:i/>
          <w:iCs/>
        </w:rPr>
        <w:t>1.</w:t>
      </w:r>
      <w:r w:rsidRPr="00B16E6F">
        <w:rPr>
          <w:bCs/>
          <w:i/>
          <w:iCs/>
        </w:rPr>
        <w:tab/>
        <w:t>Titre de la base de données sur les variétés végétales</w:t>
      </w:r>
    </w:p>
    <w:p w:rsidR="00DC7EA3" w:rsidRPr="00B16E6F" w:rsidRDefault="00DC7EA3" w:rsidP="009F2B82">
      <w:pPr>
        <w:rPr>
          <w:bCs/>
        </w:rPr>
      </w:pPr>
    </w:p>
    <w:p w:rsidR="00DC7EA3" w:rsidRPr="00B16E6F" w:rsidRDefault="009F2B82" w:rsidP="009F2B82">
      <w:pPr>
        <w:rPr>
          <w:bCs/>
        </w:rPr>
      </w:pPr>
      <w:r w:rsidRPr="00B16E6F">
        <w:rPr>
          <w:bCs/>
        </w:rPr>
        <w:t xml:space="preserve">Le nom de la base de données sur les variétés végétales est la “base de données PLUTO”, (PLUTO = </w:t>
      </w:r>
      <w:r w:rsidRPr="00B16E6F">
        <w:rPr>
          <w:b/>
          <w:bCs/>
        </w:rPr>
        <w:t>PL</w:t>
      </w:r>
      <w:r w:rsidRPr="00B16E6F">
        <w:rPr>
          <w:bCs/>
        </w:rPr>
        <w:t xml:space="preserve">ant varieties in the </w:t>
      </w:r>
      <w:r w:rsidRPr="00B16E6F">
        <w:rPr>
          <w:b/>
          <w:bCs/>
        </w:rPr>
        <w:t>U</w:t>
      </w:r>
      <w:r w:rsidRPr="00B16E6F">
        <w:rPr>
          <w:bCs/>
        </w:rPr>
        <w:t>POV system</w:t>
      </w:r>
      <w:r w:rsidR="00255969">
        <w:rPr>
          <w:bCs/>
        </w:rPr>
        <w:t> :</w:t>
      </w:r>
      <w:r w:rsidRPr="00B16E6F">
        <w:rPr>
          <w:bCs/>
        </w:rPr>
        <w:t xml:space="preserve"> </w:t>
      </w:r>
      <w:r w:rsidRPr="00B16E6F">
        <w:rPr>
          <w:b/>
          <w:bCs/>
        </w:rPr>
        <w:t>T</w:t>
      </w:r>
      <w:r w:rsidRPr="00B16E6F">
        <w:rPr>
          <w:bCs/>
        </w:rPr>
        <w:t xml:space="preserve">he </w:t>
      </w:r>
      <w:r w:rsidRPr="00B16E6F">
        <w:rPr>
          <w:b/>
          <w:bCs/>
        </w:rPr>
        <w:t>O</w:t>
      </w:r>
      <w:r w:rsidRPr="00B16E6F">
        <w:rPr>
          <w:bCs/>
        </w:rPr>
        <w:t>mnibus).</w:t>
      </w:r>
    </w:p>
    <w:p w:rsidR="00DC7EA3" w:rsidRPr="00B16E6F" w:rsidRDefault="00DC7EA3" w:rsidP="009F2B82">
      <w:pPr>
        <w:rPr>
          <w:bCs/>
        </w:rPr>
      </w:pPr>
    </w:p>
    <w:p w:rsidR="00DC7EA3" w:rsidRPr="00B16E6F" w:rsidRDefault="00DC7EA3" w:rsidP="009F2B82">
      <w:pPr>
        <w:rPr>
          <w:bCs/>
        </w:rPr>
      </w:pPr>
    </w:p>
    <w:p w:rsidR="00DC7EA3" w:rsidRPr="00B16E6F" w:rsidRDefault="009F2B82" w:rsidP="009F2B82">
      <w:pPr>
        <w:rPr>
          <w:bCs/>
          <w:i/>
          <w:iCs/>
        </w:rPr>
      </w:pPr>
      <w:r w:rsidRPr="00B16E6F">
        <w:rPr>
          <w:bCs/>
          <w:i/>
          <w:iCs/>
        </w:rPr>
        <w:t>2.</w:t>
      </w:r>
      <w:r w:rsidRPr="00B16E6F">
        <w:rPr>
          <w:bCs/>
          <w:i/>
          <w:iCs/>
        </w:rPr>
        <w:tab/>
        <w:t>Fourniture d</w:t>
      </w:r>
      <w:r w:rsidR="00255969">
        <w:rPr>
          <w:bCs/>
          <w:i/>
          <w:iCs/>
        </w:rPr>
        <w:t>’</w:t>
      </w:r>
      <w:r w:rsidRPr="00B16E6F">
        <w:rPr>
          <w:bCs/>
          <w:i/>
          <w:iCs/>
        </w:rPr>
        <w:t>une assistance aux contributeurs</w:t>
      </w:r>
    </w:p>
    <w:p w:rsidR="00DC7EA3" w:rsidRPr="00B16E6F" w:rsidRDefault="00DC7EA3" w:rsidP="009F2B82">
      <w:pPr>
        <w:rPr>
          <w:bCs/>
          <w:i/>
          <w:iCs/>
        </w:rPr>
      </w:pPr>
    </w:p>
    <w:p w:rsidR="00DC7EA3" w:rsidRPr="00B16E6F" w:rsidRDefault="009F2B82" w:rsidP="009F2B82">
      <w:pPr>
        <w:rPr>
          <w:bCs/>
        </w:rPr>
      </w:pPr>
      <w:r w:rsidRPr="00B16E6F">
        <w:rPr>
          <w:bCs/>
        </w:rPr>
        <w:t>2.1</w:t>
      </w:r>
      <w:r w:rsidRPr="00B16E6F">
        <w:rPr>
          <w:bCs/>
        </w:rPr>
        <w:tab/>
        <w:t>L</w:t>
      </w:r>
      <w:r w:rsidR="00255969">
        <w:rPr>
          <w:bCs/>
        </w:rPr>
        <w:t>’</w:t>
      </w:r>
      <w:r w:rsidRPr="00B16E6F">
        <w:rPr>
          <w:bCs/>
        </w:rPr>
        <w:t>administrateur de la base de données PLUTO</w:t>
      </w:r>
      <w:r w:rsidRPr="00B16E6F">
        <w:rPr>
          <w:rStyle w:val="FootnoteReference"/>
          <w:bCs/>
        </w:rPr>
        <w:footnoteReference w:id="7"/>
      </w:r>
      <w:r w:rsidRPr="00B16E6F">
        <w:rPr>
          <w:bCs/>
        </w:rPr>
        <w:t xml:space="preserve"> continuera de contacter tous les membres de l</w:t>
      </w:r>
      <w:r w:rsidR="00255969">
        <w:rPr>
          <w:bCs/>
        </w:rPr>
        <w:t>’</w:t>
      </w:r>
      <w:r w:rsidRPr="00B16E6F">
        <w:rPr>
          <w:bCs/>
        </w:rPr>
        <w:t>Union et les contributeurs à la base de données PLUTO qui n</w:t>
      </w:r>
      <w:r w:rsidR="00255969">
        <w:rPr>
          <w:bCs/>
        </w:rPr>
        <w:t>’</w:t>
      </w:r>
      <w:r w:rsidRPr="00B16E6F">
        <w:rPr>
          <w:bCs/>
        </w:rPr>
        <w:t>apportent pas de données à la base de données PLUTO, ne les apportent pas régulièrement ou ne les assortissent pas de codes U</w:t>
      </w:r>
      <w:r w:rsidR="00F3336A" w:rsidRPr="00B16E6F">
        <w:rPr>
          <w:bCs/>
        </w:rPr>
        <w:t>POV</w:t>
      </w:r>
      <w:r w:rsidR="00F3336A">
        <w:rPr>
          <w:bCs/>
        </w:rPr>
        <w:t xml:space="preserve">.  </w:t>
      </w:r>
      <w:r w:rsidR="00F3336A" w:rsidRPr="00B16E6F">
        <w:rPr>
          <w:bCs/>
        </w:rPr>
        <w:t>Da</w:t>
      </w:r>
      <w:r w:rsidRPr="00B16E6F">
        <w:rPr>
          <w:bCs/>
        </w:rPr>
        <w:t>ns chaque cas, l</w:t>
      </w:r>
      <w:r w:rsidR="00255969">
        <w:rPr>
          <w:bCs/>
        </w:rPr>
        <w:t>’</w:t>
      </w:r>
      <w:r w:rsidRPr="00B16E6F">
        <w:rPr>
          <w:bCs/>
        </w:rPr>
        <w:t>administrateur les invitera à décrire le type d</w:t>
      </w:r>
      <w:r w:rsidR="00255969">
        <w:rPr>
          <w:bCs/>
        </w:rPr>
        <w:t>’</w:t>
      </w:r>
      <w:r w:rsidRPr="00B16E6F">
        <w:rPr>
          <w:bCs/>
        </w:rPr>
        <w:t>assistance qui leur permettrait d</w:t>
      </w:r>
      <w:r w:rsidR="00255969">
        <w:rPr>
          <w:bCs/>
        </w:rPr>
        <w:t>’</w:t>
      </w:r>
      <w:r w:rsidRPr="00B16E6F">
        <w:rPr>
          <w:bCs/>
        </w:rPr>
        <w:t>apporter régulièrement des données complètes à la base de données PLUTO.</w:t>
      </w:r>
    </w:p>
    <w:p w:rsidR="00DC7EA3" w:rsidRPr="00B16E6F" w:rsidRDefault="00DC7EA3" w:rsidP="009F2B82">
      <w:pPr>
        <w:rPr>
          <w:bCs/>
        </w:rPr>
      </w:pPr>
    </w:p>
    <w:p w:rsidR="00DC7EA3" w:rsidRPr="00B16E6F" w:rsidRDefault="009F2B82" w:rsidP="009F2B82">
      <w:pPr>
        <w:rPr>
          <w:bCs/>
        </w:rPr>
      </w:pPr>
      <w:r w:rsidRPr="00B16E6F">
        <w:rPr>
          <w:bCs/>
        </w:rPr>
        <w:t>2.2</w:t>
      </w:r>
      <w:r w:rsidRPr="00B16E6F">
        <w:rPr>
          <w:bCs/>
        </w:rPr>
        <w:tab/>
        <w:t>Pour répondre aux besoins définis par les membres de l</w:t>
      </w:r>
      <w:r w:rsidR="00255969">
        <w:rPr>
          <w:bCs/>
        </w:rPr>
        <w:t>’</w:t>
      </w:r>
      <w:r w:rsidRPr="00B16E6F">
        <w:rPr>
          <w:bCs/>
        </w:rPr>
        <w:t>Union et les contributeurs à la base de données dans le cadre de l</w:t>
      </w:r>
      <w:r w:rsidR="00255969">
        <w:rPr>
          <w:bCs/>
        </w:rPr>
        <w:t>’</w:t>
      </w:r>
      <w:r w:rsidRPr="00B16E6F">
        <w:rPr>
          <w:bCs/>
        </w:rPr>
        <w:t>activité décrite au paragraphe 2.1, l</w:t>
      </w:r>
      <w:r w:rsidR="00255969">
        <w:rPr>
          <w:bCs/>
        </w:rPr>
        <w:t>’</w:t>
      </w:r>
      <w:r w:rsidRPr="00B16E6F">
        <w:rPr>
          <w:bCs/>
        </w:rPr>
        <w:t>administrateur de la base de données PLUTO s</w:t>
      </w:r>
      <w:r w:rsidR="00255969">
        <w:rPr>
          <w:bCs/>
        </w:rPr>
        <w:t>’</w:t>
      </w:r>
      <w:r w:rsidRPr="00B16E6F">
        <w:rPr>
          <w:bCs/>
        </w:rPr>
        <w:t>efforcera d</w:t>
      </w:r>
      <w:r w:rsidR="00255969">
        <w:rPr>
          <w:bCs/>
        </w:rPr>
        <w:t>’</w:t>
      </w:r>
      <w:r w:rsidRPr="00B16E6F">
        <w:rPr>
          <w:bCs/>
        </w:rPr>
        <w:t>élaborer des solutions pour chacun des contributeurs à la base de données.</w:t>
      </w:r>
    </w:p>
    <w:p w:rsidR="00DC7EA3" w:rsidRPr="00B16E6F" w:rsidRDefault="00DC7EA3" w:rsidP="009F2B82">
      <w:pPr>
        <w:rPr>
          <w:bCs/>
        </w:rPr>
      </w:pPr>
    </w:p>
    <w:p w:rsidR="00DC7EA3" w:rsidRPr="00B16E6F" w:rsidRDefault="009F2B82" w:rsidP="009F2B82">
      <w:pPr>
        <w:rPr>
          <w:bCs/>
        </w:rPr>
      </w:pPr>
      <w:r w:rsidRPr="00B16E6F">
        <w:rPr>
          <w:bCs/>
        </w:rPr>
        <w:t>2.3</w:t>
      </w:r>
      <w:r w:rsidRPr="00B16E6F">
        <w:rPr>
          <w:bCs/>
        </w:rPr>
        <w:tab/>
        <w:t>Un rapport annuel de la situation sera présenté au Comité administratif et juridique (CAJ) et au Comité technique (TC).</w:t>
      </w:r>
    </w:p>
    <w:p w:rsidR="00DC7EA3" w:rsidRPr="00B16E6F" w:rsidRDefault="00DC7EA3" w:rsidP="009F2B82">
      <w:pPr>
        <w:rPr>
          <w:bCs/>
        </w:rPr>
      </w:pPr>
    </w:p>
    <w:p w:rsidR="00DC7EA3" w:rsidRPr="00B16E6F" w:rsidRDefault="009F2B82" w:rsidP="009F2B82">
      <w:r w:rsidRPr="00B16E6F">
        <w:t>2.4</w:t>
      </w:r>
      <w:r w:rsidRPr="00B16E6F">
        <w:tab/>
        <w:t>S</w:t>
      </w:r>
      <w:r w:rsidR="00255969">
        <w:t>’</w:t>
      </w:r>
      <w:r w:rsidRPr="00B16E6F">
        <w:t>agissant de l</w:t>
      </w:r>
      <w:r w:rsidR="00255969">
        <w:t>’</w:t>
      </w:r>
      <w:r w:rsidRPr="00B16E6F">
        <w:t>assistance qui sera fournie aux contributeurs, la “Mention de réserve et avertissement de caractère général” de la base de données PLUTO indique que “[…] Tous les contributeurs à la base de données PLUTO sont responsables de l</w:t>
      </w:r>
      <w:r w:rsidR="00255969">
        <w:t>’</w:t>
      </w:r>
      <w:r w:rsidRPr="00B16E6F">
        <w:t>exactitude et de l</w:t>
      </w:r>
      <w:r w:rsidR="00255969">
        <w:t>’</w:t>
      </w:r>
      <w:r w:rsidRPr="00B16E6F">
        <w:t>exhaustivité des données qu</w:t>
      </w:r>
      <w:r w:rsidR="00255969">
        <w:t>’</w:t>
      </w:r>
      <w:r w:rsidRPr="00B16E6F">
        <w:t>ils fournissent […]”.  […]”.  Partant, dans les cas où une assistance est fournie à un contributeur, celui</w:t>
      </w:r>
      <w:r w:rsidR="00255969">
        <w:t>-</w:t>
      </w:r>
      <w:r w:rsidRPr="00B16E6F">
        <w:t>là reste responsable de l</w:t>
      </w:r>
      <w:r w:rsidR="00255969">
        <w:t>’</w:t>
      </w:r>
      <w:r w:rsidRPr="00B16E6F">
        <w:t>exactitude et de l</w:t>
      </w:r>
      <w:r w:rsidR="00255969">
        <w:t>’</w:t>
      </w:r>
      <w:r w:rsidRPr="00B16E6F">
        <w:t>exhaustivité des donné</w:t>
      </w:r>
      <w:r w:rsidR="00F3336A" w:rsidRPr="00B16E6F">
        <w:t>es</w:t>
      </w:r>
      <w:r w:rsidR="00F3336A">
        <w:t xml:space="preserve">.  </w:t>
      </w:r>
      <w:r w:rsidR="00F3336A" w:rsidRPr="00B16E6F">
        <w:t>Lo</w:t>
      </w:r>
      <w:r w:rsidRPr="00B16E6F">
        <w:t>rsque le contributeur demande à l</w:t>
      </w:r>
      <w:r w:rsidR="00255969">
        <w:t>’</w:t>
      </w:r>
      <w:r w:rsidRPr="00B16E6F">
        <w:t>administrateur de la base de données PLUTO d</w:t>
      </w:r>
      <w:r w:rsidR="00255969">
        <w:t>’</w:t>
      </w:r>
      <w:r w:rsidRPr="00B16E6F">
        <w:t>attribuer des codes UPOV ou lorsqu</w:t>
      </w:r>
      <w:r w:rsidR="00255969">
        <w:t>’</w:t>
      </w:r>
      <w:r w:rsidRPr="00B16E6F">
        <w:t>il est approprié de modifier un code UPOV attribué par le contributeur, l</w:t>
      </w:r>
      <w:r w:rsidR="00255969">
        <w:t>’</w:t>
      </w:r>
      <w:r w:rsidRPr="00B16E6F">
        <w:t>administrateur de la base de données PLUTO soumet des propositions au contributeur pour approbati</w:t>
      </w:r>
      <w:r w:rsidR="00F3336A" w:rsidRPr="00B16E6F">
        <w:t>on</w:t>
      </w:r>
      <w:r w:rsidR="00F3336A">
        <w:t xml:space="preserve">.  </w:t>
      </w:r>
      <w:r w:rsidR="00F3336A" w:rsidRPr="00B16E6F">
        <w:t>En</w:t>
      </w:r>
      <w:r w:rsidRPr="00B16E6F">
        <w:t xml:space="preserve"> l</w:t>
      </w:r>
      <w:r w:rsidR="00255969">
        <w:t>’</w:t>
      </w:r>
      <w:r w:rsidRPr="00B16E6F">
        <w:t>absence de réponses dans le délai imparti, les codes UPOV proposés sont utilisés dans la base de données PL</w:t>
      </w:r>
      <w:r w:rsidR="00F3336A" w:rsidRPr="00B16E6F">
        <w:t>UTO</w:t>
      </w:r>
      <w:r w:rsidR="00F3336A">
        <w:t xml:space="preserve">.  </w:t>
      </w:r>
      <w:r w:rsidR="00F3336A" w:rsidRPr="00B16E6F">
        <w:t>Lo</w:t>
      </w:r>
      <w:r w:rsidRPr="00B16E6F">
        <w:t>rsque le contributeur informe l</w:t>
      </w:r>
      <w:r w:rsidR="00255969">
        <w:t>’</w:t>
      </w:r>
      <w:r w:rsidRPr="00B16E6F">
        <w:t>administrateur de la base de données PLUTO qu</w:t>
      </w:r>
      <w:r w:rsidR="00255969">
        <w:t>’</w:t>
      </w:r>
      <w:r w:rsidRPr="00B16E6F">
        <w:t>une correction s</w:t>
      </w:r>
      <w:r w:rsidR="00255969">
        <w:t>’</w:t>
      </w:r>
      <w:r w:rsidRPr="00B16E6F">
        <w:t>impose, cette dernière est effectuée dès que possible, conformément à la section 4 “Fréquence de la mise à jour des données”.</w:t>
      </w:r>
    </w:p>
    <w:p w:rsidR="00DC7EA3" w:rsidRPr="00B16E6F" w:rsidRDefault="00DC7EA3" w:rsidP="009F2B82">
      <w:pPr>
        <w:rPr>
          <w:bCs/>
        </w:rPr>
      </w:pPr>
    </w:p>
    <w:p w:rsidR="00DC7EA3" w:rsidRPr="00B16E6F" w:rsidRDefault="00DC7EA3" w:rsidP="009F2B82">
      <w:pPr>
        <w:rPr>
          <w:bCs/>
        </w:rPr>
      </w:pPr>
    </w:p>
    <w:p w:rsidR="00DC7EA3" w:rsidRPr="00B16E6F" w:rsidRDefault="009F2B82" w:rsidP="009F2B82">
      <w:pPr>
        <w:keepNext/>
        <w:rPr>
          <w:bCs/>
          <w:i/>
          <w:iCs/>
        </w:rPr>
      </w:pPr>
      <w:r w:rsidRPr="00B16E6F">
        <w:rPr>
          <w:bCs/>
          <w:i/>
          <w:iCs/>
        </w:rPr>
        <w:t>3.</w:t>
      </w:r>
      <w:r w:rsidRPr="00B16E6F">
        <w:rPr>
          <w:bCs/>
          <w:i/>
          <w:iCs/>
        </w:rPr>
        <w:tab/>
        <w:t>Données à inclure dans la base de données PLUTO</w:t>
      </w:r>
    </w:p>
    <w:p w:rsidR="00DC7EA3" w:rsidRPr="00B16E6F" w:rsidRDefault="00DC7EA3" w:rsidP="009F2B82">
      <w:pPr>
        <w:keepNext/>
        <w:rPr>
          <w:bCs/>
          <w:i/>
          <w:iCs/>
        </w:rPr>
      </w:pPr>
    </w:p>
    <w:p w:rsidR="00DC7EA3" w:rsidRPr="00B16E6F" w:rsidRDefault="009F2B82" w:rsidP="009F2B82">
      <w:pPr>
        <w:keepNext/>
        <w:ind w:left="567"/>
        <w:rPr>
          <w:bCs/>
          <w:i/>
          <w:iCs/>
        </w:rPr>
      </w:pPr>
      <w:r w:rsidRPr="00B16E6F">
        <w:rPr>
          <w:bCs/>
          <w:iCs/>
        </w:rPr>
        <w:t>3.1</w:t>
      </w:r>
      <w:r w:rsidRPr="00B16E6F">
        <w:rPr>
          <w:bCs/>
          <w:iCs/>
        </w:rPr>
        <w:tab/>
      </w:r>
      <w:r w:rsidRPr="00B16E6F">
        <w:rPr>
          <w:bCs/>
          <w:i/>
          <w:iCs/>
        </w:rPr>
        <w:t>Format des données</w:t>
      </w:r>
    </w:p>
    <w:p w:rsidR="00DC7EA3" w:rsidRPr="00B16E6F" w:rsidRDefault="00DC7EA3" w:rsidP="009F2B82">
      <w:pPr>
        <w:keepNext/>
        <w:rPr>
          <w:bCs/>
        </w:rPr>
      </w:pPr>
    </w:p>
    <w:p w:rsidR="00DC7EA3" w:rsidRPr="00B16E6F" w:rsidRDefault="009F2B82" w:rsidP="009F2B82">
      <w:pPr>
        <w:rPr>
          <w:bCs/>
          <w:spacing w:val="2"/>
        </w:rPr>
      </w:pPr>
      <w:r w:rsidRPr="00B16E6F">
        <w:rPr>
          <w:bCs/>
          <w:spacing w:val="2"/>
        </w:rPr>
        <w:t>3.1.1</w:t>
      </w:r>
      <w:r w:rsidRPr="00B16E6F">
        <w:rPr>
          <w:bCs/>
          <w:spacing w:val="2"/>
        </w:rPr>
        <w:tab/>
        <w:t>Devraient notamment être acceptées pour les contributions à la base de données PLUTO</w:t>
      </w:r>
      <w:r w:rsidR="00255969">
        <w:rPr>
          <w:bCs/>
          <w:spacing w:val="2"/>
        </w:rPr>
        <w:t> :</w:t>
      </w:r>
    </w:p>
    <w:p w:rsidR="00DC7EA3" w:rsidRPr="00B16E6F" w:rsidRDefault="00DC7EA3" w:rsidP="009F2B82">
      <w:pPr>
        <w:rPr>
          <w:bCs/>
          <w:sz w:val="16"/>
        </w:rPr>
      </w:pPr>
    </w:p>
    <w:p w:rsidR="00DC7EA3" w:rsidRPr="00B16E6F" w:rsidRDefault="009F2B82" w:rsidP="009F2B82">
      <w:pPr>
        <w:spacing w:after="120"/>
        <w:ind w:left="567"/>
        <w:rPr>
          <w:bCs/>
        </w:rPr>
      </w:pPr>
      <w:r w:rsidRPr="00B16E6F">
        <w:rPr>
          <w:bCs/>
        </w:rPr>
        <w:t>a)</w:t>
      </w:r>
      <w:r w:rsidRPr="00B16E6F">
        <w:rPr>
          <w:bCs/>
        </w:rPr>
        <w:tab/>
        <w:t>les données au format XML;</w:t>
      </w:r>
    </w:p>
    <w:p w:rsidR="00DC7EA3" w:rsidRPr="00B16E6F" w:rsidRDefault="009F2B82" w:rsidP="009F2B82">
      <w:pPr>
        <w:spacing w:after="120"/>
        <w:ind w:left="567"/>
        <w:rPr>
          <w:bCs/>
        </w:rPr>
      </w:pPr>
      <w:r w:rsidRPr="00B16E6F">
        <w:rPr>
          <w:bCs/>
        </w:rPr>
        <w:t>b)</w:t>
      </w:r>
      <w:r w:rsidRPr="00B16E6F">
        <w:rPr>
          <w:bCs/>
        </w:rPr>
        <w:tab/>
        <w:t>les données au format du tableur Excel ou en tableau Word;</w:t>
      </w:r>
    </w:p>
    <w:p w:rsidR="00DC7EA3" w:rsidRPr="00B16E6F" w:rsidRDefault="009F2B82" w:rsidP="009F2B82">
      <w:pPr>
        <w:spacing w:after="120"/>
        <w:ind w:left="567"/>
        <w:rPr>
          <w:bCs/>
        </w:rPr>
      </w:pPr>
      <w:r w:rsidRPr="00B16E6F">
        <w:rPr>
          <w:bCs/>
        </w:rPr>
        <w:t>c)</w:t>
      </w:r>
      <w:r w:rsidRPr="00B16E6F">
        <w:rPr>
          <w:bCs/>
        </w:rPr>
        <w:tab/>
        <w:t>les données fournies au moyen d</w:t>
      </w:r>
      <w:r w:rsidR="00255969">
        <w:rPr>
          <w:bCs/>
        </w:rPr>
        <w:t>’</w:t>
      </w:r>
      <w:r w:rsidRPr="00B16E6F">
        <w:rPr>
          <w:bCs/>
        </w:rPr>
        <w:t>un formulaire Web en ligne;</w:t>
      </w:r>
    </w:p>
    <w:p w:rsidR="00DC7EA3" w:rsidRPr="00B16E6F" w:rsidRDefault="009F2B82" w:rsidP="009F2B82">
      <w:pPr>
        <w:ind w:left="567"/>
        <w:rPr>
          <w:bCs/>
        </w:rPr>
      </w:pPr>
      <w:r w:rsidRPr="00B16E6F">
        <w:rPr>
          <w:bCs/>
        </w:rPr>
        <w:t>d)</w:t>
      </w:r>
      <w:r w:rsidRPr="00B16E6F">
        <w:rPr>
          <w:bCs/>
        </w:rPr>
        <w:tab/>
        <w:t>la possibilité pour les contributeurs de ne fournir que des données nouvelles ou modifiées.</w:t>
      </w:r>
    </w:p>
    <w:p w:rsidR="00DC7EA3" w:rsidRPr="00B16E6F" w:rsidRDefault="00DC7EA3" w:rsidP="009F2B82">
      <w:pPr>
        <w:ind w:left="567"/>
        <w:rPr>
          <w:bCs/>
        </w:rPr>
      </w:pPr>
    </w:p>
    <w:p w:rsidR="00DC7EA3" w:rsidRPr="00B16E6F" w:rsidRDefault="009F2B82" w:rsidP="009F2B82">
      <w:pPr>
        <w:rPr>
          <w:bCs/>
        </w:rPr>
      </w:pPr>
      <w:r w:rsidRPr="00B16E6F">
        <w:rPr>
          <w:bCs/>
        </w:rPr>
        <w:t>3.1.2</w:t>
      </w:r>
      <w:r w:rsidRPr="00B16E6F">
        <w:rPr>
          <w:bCs/>
        </w:rPr>
        <w:tab/>
        <w:t>Il convient d</w:t>
      </w:r>
      <w:r w:rsidR="00255969">
        <w:rPr>
          <w:bCs/>
        </w:rPr>
        <w:t>’</w:t>
      </w:r>
      <w:r w:rsidRPr="00B16E6F">
        <w:rPr>
          <w:bCs/>
        </w:rPr>
        <w:t>envisager, selon les besoins, une restructuration de certaines balises, par exemple lorsque certaines parties d</w:t>
      </w:r>
      <w:r w:rsidR="00255969">
        <w:rPr>
          <w:bCs/>
        </w:rPr>
        <w:t>’</w:t>
      </w:r>
      <w:r w:rsidRPr="00B16E6F">
        <w:rPr>
          <w:bCs/>
        </w:rPr>
        <w:t>un champ sont obligatoires et que d</w:t>
      </w:r>
      <w:r w:rsidR="00255969">
        <w:rPr>
          <w:bCs/>
        </w:rPr>
        <w:t>’</w:t>
      </w:r>
      <w:r w:rsidRPr="00B16E6F">
        <w:rPr>
          <w:bCs/>
        </w:rPr>
        <w:t>autres ne le sont pas.</w:t>
      </w:r>
    </w:p>
    <w:p w:rsidR="00DC7EA3" w:rsidRPr="00B16E6F" w:rsidRDefault="00DC7EA3" w:rsidP="009F2B82">
      <w:pPr>
        <w:rPr>
          <w:bCs/>
        </w:rPr>
      </w:pPr>
    </w:p>
    <w:p w:rsidR="00DC7EA3" w:rsidRPr="00B16E6F" w:rsidRDefault="009F2B82" w:rsidP="009F2B82">
      <w:pPr>
        <w:rPr>
          <w:rFonts w:cs="Arial"/>
          <w:bCs/>
        </w:rPr>
      </w:pPr>
      <w:r w:rsidRPr="00B16E6F">
        <w:rPr>
          <w:rFonts w:cs="Arial"/>
          <w:bCs/>
        </w:rPr>
        <w:t>3.1.3</w:t>
      </w:r>
      <w:r w:rsidRPr="00B16E6F">
        <w:rPr>
          <w:rFonts w:cs="Arial"/>
          <w:bCs/>
        </w:rPr>
        <w:tab/>
        <w:t>Sous réserve des dispositions de la section 3.1.4, le jeu de caractères des données est le jeu de caractères ASCII [Code standard américain pour l</w:t>
      </w:r>
      <w:r w:rsidR="00255969">
        <w:rPr>
          <w:rFonts w:cs="Arial"/>
          <w:bCs/>
        </w:rPr>
        <w:t>’</w:t>
      </w:r>
      <w:r w:rsidRPr="00B16E6F">
        <w:rPr>
          <w:rFonts w:cs="Arial"/>
          <w:bCs/>
        </w:rPr>
        <w:t>échange d</w:t>
      </w:r>
      <w:r w:rsidR="00255969">
        <w:rPr>
          <w:rFonts w:cs="Arial"/>
          <w:bCs/>
        </w:rPr>
        <w:t>’</w:t>
      </w:r>
      <w:r w:rsidRPr="00B16E6F">
        <w:rPr>
          <w:rFonts w:cs="Arial"/>
          <w:bCs/>
        </w:rPr>
        <w:t>informations] étendu, tel qu</w:t>
      </w:r>
      <w:r w:rsidR="00255969">
        <w:rPr>
          <w:rFonts w:cs="Arial"/>
          <w:bCs/>
        </w:rPr>
        <w:t>’</w:t>
      </w:r>
      <w:r w:rsidRPr="00B16E6F">
        <w:rPr>
          <w:rFonts w:cs="Arial"/>
          <w:bCs/>
        </w:rPr>
        <w:t>il est défini dans la norme ISO/CEI [Organisation internationale de normalisation/Commission électrotechnique internationale] 8859</w:t>
      </w:r>
      <w:r w:rsidR="00255969">
        <w:rPr>
          <w:rFonts w:cs="Arial"/>
          <w:bCs/>
        </w:rPr>
        <w:t>-</w:t>
      </w:r>
      <w:r w:rsidRPr="00B16E6F">
        <w:rPr>
          <w:rFonts w:cs="Arial"/>
          <w:bCs/>
        </w:rPr>
        <w:t>1</w:t>
      </w:r>
      <w:r w:rsidR="00255969">
        <w:rPr>
          <w:rFonts w:cs="Arial"/>
          <w:bCs/>
        </w:rPr>
        <w:t> :</w:t>
      </w:r>
      <w:r w:rsidRPr="00B16E6F">
        <w:rPr>
          <w:rFonts w:cs="Arial"/>
          <w:bCs/>
        </w:rPr>
        <w:t xml:space="preserve"> 1998.</w:t>
      </w:r>
    </w:p>
    <w:p w:rsidR="00DC7EA3" w:rsidRPr="00B16E6F" w:rsidRDefault="00DC7EA3" w:rsidP="009F2B82">
      <w:pPr>
        <w:rPr>
          <w:rFonts w:cs="Arial"/>
          <w:bCs/>
        </w:rPr>
      </w:pPr>
    </w:p>
    <w:p w:rsidR="00DC7EA3" w:rsidRPr="00B16E6F" w:rsidRDefault="009F2B82" w:rsidP="009F2B82">
      <w:pPr>
        <w:rPr>
          <w:rFonts w:cs="Arial"/>
          <w:bCs/>
        </w:rPr>
      </w:pPr>
      <w:r w:rsidRPr="00B16E6F">
        <w:rPr>
          <w:rFonts w:cs="Arial"/>
          <w:bCs/>
        </w:rPr>
        <w:t>3.1.4</w:t>
      </w:r>
      <w:r w:rsidRPr="00B16E6F">
        <w:rPr>
          <w:rFonts w:cs="Arial"/>
          <w:bCs/>
        </w:rPr>
        <w:tab/>
        <w:t>En ce qui concerne les balises &lt;520&gt;, &lt;550&gt;, &lt;551&gt;, &lt;552&gt;, &lt;553&gt;, &lt;650&gt; &lt;651&gt;, &lt;652&gt;, &lt;750&gt;, &lt;751&gt;, &lt;752&gt;, &lt;753&gt;, &lt;760&gt;, &lt;950&gt; et &lt;960&gt;, les données doivent être fournies en format de transformation en Unicode à 8 bits (UTF</w:t>
      </w:r>
      <w:r w:rsidR="00255969">
        <w:rPr>
          <w:rFonts w:cs="Arial"/>
          <w:bCs/>
        </w:rPr>
        <w:t>-</w:t>
      </w:r>
      <w:r w:rsidRPr="00B16E6F">
        <w:rPr>
          <w:rFonts w:cs="Arial"/>
          <w:bCs/>
        </w:rPr>
        <w:t>8).</w:t>
      </w:r>
    </w:p>
    <w:p w:rsidR="00DC7EA3" w:rsidRPr="00B16E6F" w:rsidRDefault="00DC7EA3" w:rsidP="009F2B82">
      <w:pPr>
        <w:spacing w:line="360" w:lineRule="auto"/>
        <w:rPr>
          <w:bCs/>
        </w:rPr>
      </w:pPr>
    </w:p>
    <w:p w:rsidR="00DC7EA3" w:rsidRPr="00B16E6F" w:rsidRDefault="009F2B82" w:rsidP="009F2B82">
      <w:pPr>
        <w:keepNext/>
        <w:ind w:left="567"/>
        <w:rPr>
          <w:bCs/>
          <w:i/>
          <w:iCs/>
        </w:rPr>
      </w:pPr>
      <w:r w:rsidRPr="00B16E6F">
        <w:rPr>
          <w:bCs/>
          <w:iCs/>
        </w:rPr>
        <w:t>3.2</w:t>
      </w:r>
      <w:r w:rsidRPr="00B16E6F">
        <w:rPr>
          <w:bCs/>
          <w:iCs/>
        </w:rPr>
        <w:tab/>
      </w:r>
      <w:r w:rsidRPr="00B16E6F">
        <w:rPr>
          <w:bCs/>
          <w:i/>
          <w:iCs/>
        </w:rPr>
        <w:t>Qualité et exhaustivité des données</w:t>
      </w:r>
    </w:p>
    <w:p w:rsidR="00DC7EA3" w:rsidRPr="00B16E6F" w:rsidRDefault="00DC7EA3" w:rsidP="009F2B82">
      <w:pPr>
        <w:keepNext/>
        <w:rPr>
          <w:bCs/>
        </w:rPr>
      </w:pPr>
    </w:p>
    <w:p w:rsidR="00DC7EA3" w:rsidRPr="00B16E6F" w:rsidRDefault="009F2B82" w:rsidP="009F2B82">
      <w:pPr>
        <w:keepNext/>
        <w:rPr>
          <w:bCs/>
        </w:rPr>
      </w:pPr>
      <w:r w:rsidRPr="00B16E6F">
        <w:rPr>
          <w:bCs/>
        </w:rPr>
        <w:t>Il convient d</w:t>
      </w:r>
      <w:r w:rsidR="00255969">
        <w:rPr>
          <w:bCs/>
        </w:rPr>
        <w:t>’</w:t>
      </w:r>
      <w:r w:rsidRPr="00B16E6F">
        <w:rPr>
          <w:bCs/>
        </w:rPr>
        <w:t>introduire les spécifications suivantes concernant les données dans la base de données PLUTO</w:t>
      </w:r>
      <w:r w:rsidR="00255969">
        <w:rPr>
          <w:bCs/>
        </w:rPr>
        <w:t> :</w:t>
      </w:r>
    </w:p>
    <w:p w:rsidR="009F2B82" w:rsidRPr="00B16E6F" w:rsidRDefault="009F2B82" w:rsidP="009F2B82">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9F2B82" w:rsidRPr="00B16E6F" w:rsidTr="0086795C">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9F2B82" w:rsidRPr="00B16E6F" w:rsidRDefault="009F2B82" w:rsidP="0086795C">
            <w:pPr>
              <w:spacing w:before="60" w:after="60"/>
              <w:rPr>
                <w:rFonts w:cs="Arial"/>
                <w:sz w:val="18"/>
                <w:szCs w:val="18"/>
                <w:u w:val="single"/>
              </w:rPr>
            </w:pPr>
            <w:r w:rsidRPr="00B16E6F">
              <w:rPr>
                <w:rFonts w:cs="Arial"/>
                <w:sz w:val="18"/>
                <w:szCs w:val="18"/>
                <w:u w:val="single"/>
              </w:rPr>
              <w:t>Balise</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9F2B82" w:rsidRPr="00B16E6F" w:rsidRDefault="009F2B82" w:rsidP="0086795C">
            <w:pPr>
              <w:spacing w:before="60" w:after="60"/>
              <w:jc w:val="left"/>
              <w:rPr>
                <w:rFonts w:cs="Arial"/>
                <w:sz w:val="18"/>
                <w:szCs w:val="18"/>
                <w:u w:val="single"/>
              </w:rPr>
            </w:pPr>
            <w:r w:rsidRPr="00B16E6F">
              <w:rPr>
                <w:rFonts w:cs="Arial"/>
                <w:sz w:val="18"/>
                <w:szCs w:val="18"/>
                <w:u w:val="single"/>
              </w:rPr>
              <w:t>Description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9F2B82" w:rsidRPr="00B16E6F" w:rsidRDefault="009F2B82" w:rsidP="0086795C">
            <w:pPr>
              <w:spacing w:before="60" w:after="60"/>
              <w:jc w:val="left"/>
              <w:rPr>
                <w:rFonts w:cs="Arial"/>
                <w:sz w:val="18"/>
                <w:szCs w:val="18"/>
                <w:u w:val="single"/>
              </w:rPr>
            </w:pPr>
            <w:r w:rsidRPr="00B16E6F">
              <w:rPr>
                <w:rFonts w:cs="Arial"/>
                <w:sz w:val="18"/>
                <w:szCs w:val="18"/>
                <w:u w:val="single"/>
              </w:rPr>
              <w:t xml:space="preserve">Statut actuel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9F2B82" w:rsidRPr="00B16E6F" w:rsidRDefault="009F2B82" w:rsidP="0086795C">
            <w:pPr>
              <w:tabs>
                <w:tab w:val="left" w:pos="386"/>
              </w:tabs>
              <w:spacing w:before="60" w:after="60"/>
              <w:jc w:val="left"/>
              <w:rPr>
                <w:rFonts w:cs="Arial"/>
                <w:sz w:val="18"/>
                <w:szCs w:val="18"/>
                <w:u w:val="single"/>
              </w:rPr>
            </w:pPr>
            <w:r w:rsidRPr="00B16E6F">
              <w:rPr>
                <w:rFonts w:cs="Arial"/>
                <w:sz w:val="18"/>
                <w:szCs w:val="18"/>
                <w:u w:val="single"/>
              </w:rPr>
              <w:t>Statut proposé</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9F2B82" w:rsidRPr="00B16E6F" w:rsidRDefault="009F2B82" w:rsidP="0086795C">
            <w:pPr>
              <w:tabs>
                <w:tab w:val="left" w:pos="385"/>
              </w:tabs>
              <w:spacing w:before="60" w:after="60"/>
              <w:jc w:val="left"/>
              <w:rPr>
                <w:rFonts w:cs="Arial"/>
                <w:sz w:val="18"/>
                <w:szCs w:val="18"/>
                <w:u w:val="single"/>
              </w:rPr>
            </w:pPr>
            <w:r w:rsidRPr="00B16E6F">
              <w:rPr>
                <w:rFonts w:cs="Arial"/>
                <w:sz w:val="18"/>
                <w:szCs w:val="18"/>
                <w:u w:val="single"/>
              </w:rPr>
              <w:t>Modifications de la base de données demandées</w:t>
            </w: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Début de l</w:t>
            </w:r>
            <w:r w:rsidR="00255969">
              <w:rPr>
                <w:rFonts w:cs="Arial"/>
                <w:b/>
                <w:bCs/>
                <w:sz w:val="18"/>
                <w:szCs w:val="18"/>
              </w:rPr>
              <w:t>’</w:t>
            </w:r>
            <w:r w:rsidRPr="00B16E6F">
              <w:rPr>
                <w:rFonts w:cs="Arial"/>
                <w:b/>
                <w:bCs/>
                <w:sz w:val="18"/>
                <w:szCs w:val="18"/>
              </w:rPr>
              <w:t>enregistrement et statut de l</w:t>
            </w:r>
            <w:r w:rsidR="00255969">
              <w:rPr>
                <w:rFonts w:cs="Arial"/>
                <w:b/>
                <w:bCs/>
                <w:sz w:val="18"/>
                <w:szCs w:val="18"/>
              </w:rPr>
              <w:t>’</w:t>
            </w:r>
            <w:r w:rsidRPr="00B16E6F">
              <w:rPr>
                <w:rFonts w:cs="Arial"/>
                <w:b/>
                <w:bCs/>
                <w:sz w:val="18"/>
                <w:szCs w:val="18"/>
              </w:rPr>
              <w:t xml:space="preserve">enregistrement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le début de l</w:t>
            </w:r>
            <w:r w:rsidR="00255969">
              <w:rPr>
                <w:rFonts w:cs="Arial"/>
                <w:b/>
                <w:bCs/>
                <w:sz w:val="18"/>
                <w:szCs w:val="18"/>
              </w:rPr>
              <w:t>’</w:t>
            </w:r>
            <w:r w:rsidRPr="00B16E6F">
              <w:rPr>
                <w:rFonts w:cs="Arial"/>
                <w:b/>
                <w:bCs/>
                <w:sz w:val="18"/>
                <w:szCs w:val="18"/>
              </w:rPr>
              <w:t>enregistrement doit être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obligatoire, sous réserve de l</w:t>
            </w:r>
            <w:r w:rsidR="00255969">
              <w:rPr>
                <w:rFonts w:cs="Arial"/>
                <w:sz w:val="18"/>
                <w:szCs w:val="18"/>
              </w:rPr>
              <w:t>’</w:t>
            </w:r>
            <w:r w:rsidRPr="00B16E6F">
              <w:rPr>
                <w:rFonts w:cs="Arial"/>
                <w:sz w:val="18"/>
                <w:szCs w:val="18"/>
              </w:rPr>
              <w:t>élaboration d</w:t>
            </w:r>
            <w:r w:rsidR="00255969">
              <w:rPr>
                <w:rFonts w:cs="Arial"/>
                <w:sz w:val="18"/>
                <w:szCs w:val="18"/>
              </w:rPr>
              <w:t>’</w:t>
            </w:r>
            <w:r w:rsidRPr="00B16E6F">
              <w:rPr>
                <w:rFonts w:cs="Arial"/>
                <w:sz w:val="18"/>
                <w:szCs w:val="18"/>
              </w:rPr>
              <w:t>un outil permettant d</w:t>
            </w:r>
            <w:r w:rsidR="00255969">
              <w:rPr>
                <w:rFonts w:cs="Arial"/>
                <w:sz w:val="18"/>
                <w:szCs w:val="18"/>
              </w:rPr>
              <w:t>’</w:t>
            </w:r>
            <w:r w:rsidRPr="00B16E6F">
              <w:rPr>
                <w:rFonts w:cs="Arial"/>
                <w:sz w:val="18"/>
                <w:szCs w:val="18"/>
              </w:rPr>
              <w:t>établir le statut de l</w:t>
            </w:r>
            <w:r w:rsidR="00255969">
              <w:rPr>
                <w:rFonts w:cs="Arial"/>
                <w:sz w:val="18"/>
                <w:szCs w:val="18"/>
              </w:rPr>
              <w:t>’</w:t>
            </w:r>
            <w:r w:rsidRPr="00B16E6F">
              <w:rPr>
                <w:rFonts w:cs="Arial"/>
                <w:sz w:val="18"/>
                <w:szCs w:val="18"/>
              </w:rPr>
              <w:t>enregistrement (par comparaison avec la précédente communication de données) si celui</w:t>
            </w:r>
            <w:r w:rsidR="00255969">
              <w:rPr>
                <w:rFonts w:cs="Arial"/>
                <w:sz w:val="18"/>
                <w:szCs w:val="18"/>
              </w:rPr>
              <w:t>-</w:t>
            </w:r>
            <w:r w:rsidRPr="00B16E6F">
              <w:rPr>
                <w:rFonts w:cs="Arial"/>
                <w:sz w:val="18"/>
                <w:szCs w:val="18"/>
              </w:rPr>
              <w:t>ci n</w:t>
            </w:r>
            <w:r w:rsidR="00255969">
              <w:rPr>
                <w:rFonts w:cs="Arial"/>
                <w:sz w:val="18"/>
                <w:szCs w:val="18"/>
              </w:rPr>
              <w:t>’</w:t>
            </w:r>
            <w:r w:rsidRPr="00B16E6F">
              <w:rPr>
                <w:rFonts w:cs="Arial"/>
                <w:sz w:val="18"/>
                <w:szCs w:val="18"/>
              </w:rPr>
              <w:t>est pas requis</w:t>
            </w: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Pays ou organisation communiquant les informations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b/>
                <w:bCs/>
                <w:sz w:val="18"/>
                <w:szCs w:val="18"/>
              </w:rPr>
              <w:t xml:space="preserve">obligatoire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vérification de la qualité des données</w:t>
            </w:r>
            <w:r w:rsidR="00255969">
              <w:rPr>
                <w:rFonts w:cs="Arial"/>
                <w:sz w:val="18"/>
                <w:szCs w:val="18"/>
              </w:rPr>
              <w:t> :</w:t>
            </w:r>
            <w:r w:rsidRPr="00B16E6F">
              <w:rPr>
                <w:rFonts w:cs="Arial"/>
                <w:sz w:val="18"/>
                <w:szCs w:val="18"/>
              </w:rPr>
              <w:t xml:space="preserve"> comparer à la liste de codes</w:t>
            </w: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Type d</w:t>
            </w:r>
            <w:r w:rsidR="00255969">
              <w:rPr>
                <w:rFonts w:cs="Arial"/>
                <w:b/>
                <w:bCs/>
                <w:sz w:val="18"/>
                <w:szCs w:val="18"/>
              </w:rPr>
              <w:t>’</w:t>
            </w:r>
            <w:r w:rsidRPr="00B16E6F">
              <w:rPr>
                <w:rFonts w:cs="Arial"/>
                <w:b/>
                <w:bCs/>
                <w:sz w:val="18"/>
                <w:szCs w:val="18"/>
              </w:rPr>
              <w:t>enregistrement et identifiant (de variété)</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b/>
                <w:bCs/>
                <w:sz w:val="18"/>
                <w:szCs w:val="18"/>
              </w:rPr>
              <w:t xml:space="preserve">les deux sont obligatoires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w:t>
            </w:r>
            <w:r w:rsidRPr="00B16E6F">
              <w:rPr>
                <w:rFonts w:cs="Arial"/>
                <w:sz w:val="18"/>
                <w:szCs w:val="18"/>
              </w:rPr>
              <w:tab/>
              <w:t>le sens de l</w:t>
            </w:r>
            <w:r w:rsidR="00255969">
              <w:rPr>
                <w:rFonts w:cs="Arial"/>
                <w:sz w:val="18"/>
                <w:szCs w:val="18"/>
              </w:rPr>
              <w:t>’</w:t>
            </w:r>
            <w:r w:rsidRPr="00B16E6F">
              <w:rPr>
                <w:rFonts w:cs="Arial"/>
                <w:sz w:val="18"/>
                <w:szCs w:val="18"/>
              </w:rPr>
              <w:t>expression “identifiant (de variété)” doit être éclairci au regard de la balise &lt;210&gt;;</w:t>
            </w:r>
          </w:p>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ii)</w:t>
            </w:r>
            <w:r w:rsidRPr="00B16E6F">
              <w:rPr>
                <w:rFonts w:cs="Arial"/>
                <w:sz w:val="18"/>
                <w:szCs w:val="18"/>
              </w:rPr>
              <w:tab/>
              <w:t>déterminer s</w:t>
            </w:r>
            <w:r w:rsidR="00255969">
              <w:rPr>
                <w:rFonts w:cs="Arial"/>
                <w:sz w:val="18"/>
                <w:szCs w:val="18"/>
              </w:rPr>
              <w:t>’</w:t>
            </w:r>
            <w:r w:rsidRPr="00B16E6F">
              <w:rPr>
                <w:rFonts w:cs="Arial"/>
                <w:sz w:val="18"/>
                <w:szCs w:val="18"/>
              </w:rPr>
              <w:t>il convient de conserver le type d</w:t>
            </w:r>
            <w:r w:rsidR="00255969">
              <w:rPr>
                <w:rFonts w:cs="Arial"/>
                <w:sz w:val="18"/>
                <w:szCs w:val="18"/>
              </w:rPr>
              <w:t>’</w:t>
            </w:r>
            <w:r w:rsidRPr="00B16E6F">
              <w:rPr>
                <w:rFonts w:cs="Arial"/>
                <w:sz w:val="18"/>
                <w:szCs w:val="18"/>
              </w:rPr>
              <w:t>enregistrement “BIL”;</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iii)</w:t>
            </w:r>
            <w:r w:rsidRPr="00B16E6F">
              <w:rPr>
                <w:rFonts w:cs="Arial"/>
                <w:sz w:val="18"/>
                <w:szCs w:val="18"/>
              </w:rPr>
              <w:tab/>
              <w:t>contrôle de qualité des données</w:t>
            </w:r>
            <w:r w:rsidR="00255969">
              <w:rPr>
                <w:rFonts w:cs="Arial"/>
                <w:sz w:val="18"/>
                <w:szCs w:val="18"/>
              </w:rPr>
              <w:t> :</w:t>
            </w:r>
            <w:r w:rsidRPr="00B16E6F">
              <w:rPr>
                <w:rFonts w:cs="Arial"/>
                <w:sz w:val="18"/>
                <w:szCs w:val="18"/>
              </w:rPr>
              <w:t xml:space="preserve"> comparer à la liste des types d</w:t>
            </w:r>
            <w:r w:rsidR="00255969">
              <w:rPr>
                <w:rFonts w:cs="Arial"/>
                <w:sz w:val="18"/>
                <w:szCs w:val="18"/>
              </w:rPr>
              <w:t>’</w:t>
            </w:r>
            <w:r w:rsidRPr="00B16E6F">
              <w:rPr>
                <w:rFonts w:cs="Arial"/>
                <w:sz w:val="18"/>
                <w:szCs w:val="18"/>
              </w:rPr>
              <w:t>enregistrement</w:t>
            </w: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Espèce – nom en latin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jusqu</w:t>
            </w:r>
            <w:r w:rsidR="00255969">
              <w:rPr>
                <w:rFonts w:cs="Arial"/>
                <w:sz w:val="18"/>
                <w:szCs w:val="18"/>
              </w:rPr>
              <w:t>’</w:t>
            </w:r>
            <w:r w:rsidRPr="00B16E6F">
              <w:rPr>
                <w:rFonts w:cs="Arial"/>
                <w:sz w:val="18"/>
                <w:szCs w:val="18"/>
              </w:rPr>
              <w:t>à ce qu</w:t>
            </w:r>
            <w:r w:rsidR="00255969">
              <w:rPr>
                <w:rFonts w:cs="Arial"/>
                <w:sz w:val="18"/>
                <w:szCs w:val="18"/>
              </w:rPr>
              <w:t>’</w:t>
            </w:r>
            <w:r w:rsidRPr="00B16E6F">
              <w:rPr>
                <w:rFonts w:cs="Arial"/>
                <w:sz w:val="18"/>
                <w:szCs w:val="18"/>
              </w:rPr>
              <w:t>un code UPOV ait été attribué</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obligatoire (même si un code UPOV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Espèce – nom commun en 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si aucun nom commun n</w:t>
            </w:r>
            <w:r w:rsidR="00255969">
              <w:rPr>
                <w:rFonts w:cs="Arial"/>
                <w:sz w:val="18"/>
                <w:szCs w:val="18"/>
              </w:rPr>
              <w:t>’</w:t>
            </w:r>
            <w:r w:rsidRPr="00B16E6F">
              <w:rPr>
                <w:rFonts w:cs="Arial"/>
                <w:sz w:val="18"/>
                <w:szCs w:val="18"/>
              </w:rPr>
              <w:t>est attribué dans la langue nationale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Espèce – nom commun dans la langue nationale (autre que l</w:t>
            </w:r>
            <w:r w:rsidR="00255969">
              <w:rPr>
                <w:rFonts w:cs="Arial"/>
                <w:sz w:val="18"/>
                <w:szCs w:val="18"/>
              </w:rPr>
              <w:t>’</w:t>
            </w:r>
            <w:r w:rsidRPr="00B16E6F">
              <w:rPr>
                <w:rFonts w:cs="Arial"/>
                <w:sz w:val="18"/>
                <w:szCs w:val="18"/>
              </w:rPr>
              <w:t>anglais)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si aucun nom commun n</w:t>
            </w:r>
            <w:r w:rsidR="00255969">
              <w:rPr>
                <w:rFonts w:cs="Arial"/>
                <w:sz w:val="18"/>
                <w:szCs w:val="18"/>
              </w:rPr>
              <w:t>’</w:t>
            </w:r>
            <w:r w:rsidRPr="00B16E6F">
              <w:rPr>
                <w:rFonts w:cs="Arial"/>
                <w:sz w:val="18"/>
                <w:szCs w:val="18"/>
              </w:rPr>
              <w:t xml:space="preserve">est attribué en anglais (&lt;509&gt;)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&lt;520&gt;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Espèce – nom commun dans la langue nationale autre que l</w:t>
            </w:r>
            <w:r w:rsidR="00255969">
              <w:rPr>
                <w:rFonts w:cs="Arial"/>
                <w:sz w:val="18"/>
                <w:szCs w:val="18"/>
              </w:rPr>
              <w:t>’</w:t>
            </w:r>
            <w:r w:rsidRPr="00B16E6F">
              <w:rPr>
                <w:rFonts w:cs="Arial"/>
                <w:sz w:val="18"/>
                <w:szCs w:val="18"/>
              </w:rPr>
              <w:t>anglais en alphabet non romain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Espèce – Code taxonomique de l</w:t>
            </w:r>
            <w:r w:rsidR="00255969">
              <w:rPr>
                <w:rFonts w:cs="Arial"/>
                <w:b/>
                <w:bCs/>
                <w:sz w:val="18"/>
                <w:szCs w:val="18"/>
              </w:rPr>
              <w:t>’</w:t>
            </w:r>
            <w:r w:rsidRPr="00B16E6F">
              <w:rPr>
                <w:rFonts w:cs="Arial"/>
                <w:b/>
                <w:bCs/>
                <w:sz w:val="18"/>
                <w:szCs w:val="18"/>
              </w:rPr>
              <w:t xml:space="preserve">UPOV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 xml:space="preserve">obligatoire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w:t>
            </w:r>
            <w:r w:rsidRPr="00B16E6F">
              <w:rPr>
                <w:rFonts w:cs="Arial"/>
                <w:sz w:val="18"/>
                <w:szCs w:val="18"/>
              </w:rPr>
              <w:tab/>
              <w:t>l</w:t>
            </w:r>
            <w:r w:rsidR="00255969">
              <w:rPr>
                <w:rFonts w:cs="Arial"/>
                <w:sz w:val="18"/>
                <w:szCs w:val="18"/>
              </w:rPr>
              <w:t>’</w:t>
            </w:r>
            <w:r w:rsidRPr="00B16E6F">
              <w:rPr>
                <w:rFonts w:cs="Arial"/>
                <w:sz w:val="18"/>
                <w:szCs w:val="18"/>
              </w:rPr>
              <w:t>administrateur de la base de données PLUTO doit fournir, à la demande, une assistance au contributeur pour attribuer des codes UPOV;</w:t>
            </w:r>
          </w:p>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ii)</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les codes UPOV attribués doivent être comparés à la liste des codes UPOV;</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iii)</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vérifier les attributions de codes UPOV qui semblent erronées (p. ex. un mauvais code d</w:t>
            </w:r>
            <w:r w:rsidR="00255969">
              <w:rPr>
                <w:rFonts w:cs="Arial"/>
                <w:sz w:val="18"/>
                <w:szCs w:val="18"/>
              </w:rPr>
              <w:t>’</w:t>
            </w:r>
            <w:r w:rsidRPr="00B16E6F">
              <w:rPr>
                <w:rFonts w:cs="Arial"/>
                <w:sz w:val="18"/>
                <w:szCs w:val="18"/>
              </w:rPr>
              <w:t>espèce)</w:t>
            </w:r>
          </w:p>
        </w:tc>
      </w:tr>
      <w:tr w:rsidR="009F2B82" w:rsidRPr="00B16E6F" w:rsidTr="008679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tabs>
                <w:tab w:val="left" w:pos="386"/>
              </w:tabs>
              <w:spacing w:before="60" w:after="60"/>
              <w:jc w:val="left"/>
              <w:rPr>
                <w:rFonts w:cs="Arial"/>
                <w:sz w:val="18"/>
                <w:szCs w:val="18"/>
              </w:rPr>
            </w:pPr>
            <w:r w:rsidRPr="00B16E6F">
              <w:rPr>
                <w:rFonts w:cs="Arial"/>
                <w:sz w:val="18"/>
                <w:szCs w:val="18"/>
              </w:rPr>
              <w:t>DÉNOMINATIONS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 dénomination proposée, première apparition ou première saisie dans la base de données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n</w:t>
            </w:r>
            <w:r w:rsidR="00255969">
              <w:rPr>
                <w:rFonts w:cs="Arial"/>
                <w:sz w:val="18"/>
                <w:szCs w:val="18"/>
              </w:rPr>
              <w:t>’</w:t>
            </w:r>
            <w:r w:rsidRPr="00B16E6F">
              <w:rPr>
                <w:rFonts w:cs="Arial"/>
                <w:sz w:val="18"/>
                <w:szCs w:val="18"/>
              </w:rPr>
              <w:t>y a pas de référence de l</w:t>
            </w:r>
            <w:r w:rsidR="00255969">
              <w:rPr>
                <w:rFonts w:cs="Arial"/>
                <w:sz w:val="18"/>
                <w:szCs w:val="18"/>
              </w:rPr>
              <w:t>’</w:t>
            </w:r>
            <w:r w:rsidRPr="00B16E6F">
              <w:rPr>
                <w:rFonts w:cs="Arial"/>
                <w:sz w:val="18"/>
                <w:szCs w:val="18"/>
              </w:rPr>
              <w:t xml:space="preserve">obtenteur (&lt;600&gt;)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DC7EA3"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i)</w:t>
            </w:r>
            <w:r w:rsidRPr="00B16E6F">
              <w:rPr>
                <w:rFonts w:cs="Arial"/>
                <w:b/>
                <w:bCs/>
                <w:sz w:val="18"/>
                <w:szCs w:val="18"/>
              </w:rPr>
              <w:tab/>
              <w:t>il est obligatoire de renseigner les champs &lt;540&gt;, &lt;541&gt;, &lt;542&gt; ou &lt;543&gt; si le champ &lt;600&gt; n</w:t>
            </w:r>
            <w:r w:rsidR="00255969">
              <w:rPr>
                <w:rFonts w:cs="Arial"/>
                <w:b/>
                <w:bCs/>
                <w:sz w:val="18"/>
                <w:szCs w:val="18"/>
              </w:rPr>
              <w:t>’</w:t>
            </w:r>
            <w:r w:rsidRPr="00B16E6F">
              <w:rPr>
                <w:rFonts w:cs="Arial"/>
                <w:b/>
                <w:bCs/>
                <w:sz w:val="18"/>
                <w:szCs w:val="18"/>
              </w:rPr>
              <w:t>est pas renseigné</w:t>
            </w:r>
          </w:p>
          <w:p w:rsidR="00DC7EA3" w:rsidRPr="00B16E6F" w:rsidRDefault="009F2B82" w:rsidP="0086795C">
            <w:pPr>
              <w:tabs>
                <w:tab w:val="left" w:pos="386"/>
              </w:tabs>
              <w:spacing w:before="20" w:after="20"/>
              <w:jc w:val="left"/>
              <w:rPr>
                <w:rFonts w:cs="Arial"/>
                <w:sz w:val="18"/>
                <w:szCs w:val="18"/>
              </w:rPr>
            </w:pPr>
            <w:r w:rsidRPr="00B16E6F">
              <w:rPr>
                <w:rFonts w:cs="Arial"/>
                <w:sz w:val="18"/>
                <w:szCs w:val="18"/>
              </w:rPr>
              <w:t>ii)</w:t>
            </w:r>
            <w:r w:rsidRPr="00B16E6F">
              <w:rPr>
                <w:rFonts w:cs="Arial"/>
                <w:sz w:val="18"/>
                <w:szCs w:val="18"/>
              </w:rPr>
              <w:tab/>
              <w:t>la date n</w:t>
            </w:r>
            <w:r w:rsidR="00255969">
              <w:rPr>
                <w:rFonts w:cs="Arial"/>
                <w:sz w:val="18"/>
                <w:szCs w:val="18"/>
              </w:rPr>
              <w:t>’</w:t>
            </w:r>
            <w:r w:rsidRPr="00B16E6F">
              <w:rPr>
                <w:rFonts w:cs="Arial"/>
                <w:sz w:val="18"/>
                <w:szCs w:val="18"/>
              </w:rPr>
              <w:t>est pas obligatoire</w:t>
            </w:r>
          </w:p>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iii) REQUIS si &lt;550&gt;, &lt;551&gt;, &lt;552&gt; ou &lt;553&gt; sont fournis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éclaircir le sens et renommer;</w:t>
            </w:r>
            <w:r w:rsidRPr="00B16E6F">
              <w:rPr>
                <w:rFonts w:cs="Arial"/>
                <w:sz w:val="18"/>
                <w:szCs w:val="18"/>
              </w:rPr>
              <w:br/>
            </w:r>
            <w:r w:rsidRPr="00B16E6F">
              <w:rPr>
                <w:rFonts w:cs="Arial"/>
                <w:sz w:val="18"/>
                <w:szCs w:val="18"/>
              </w:rPr>
              <w:br/>
              <w:t xml:space="preserve">ii) </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Date + dénomination proposée, première apparition ou première saisie dans la base de données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Cs/>
                <w:sz w:val="18"/>
                <w:szCs w:val="18"/>
              </w:rPr>
            </w:pPr>
            <w:r w:rsidRPr="00B16E6F">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 dénomination proposée, publiée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éclaircir le sens et renommer;</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ii)</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Cs/>
                <w:sz w:val="18"/>
                <w:szCs w:val="18"/>
              </w:rPr>
            </w:pPr>
            <w:r w:rsidRPr="00B16E6F">
              <w:rPr>
                <w:rFonts w:cs="Arial"/>
                <w:bCs/>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Date + dénomination proposée, publiée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Cs/>
                <w:sz w:val="18"/>
                <w:szCs w:val="18"/>
              </w:rPr>
            </w:pPr>
            <w:r w:rsidRPr="00B16E6F">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 dénomination, approuvée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si protégée ou inscrite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sz w:val="18"/>
                <w:szCs w:val="18"/>
              </w:rPr>
            </w:pPr>
            <w:r w:rsidRPr="00B16E6F">
              <w:rPr>
                <w:rFonts w:cs="Arial"/>
                <w:b/>
                <w:sz w:val="18"/>
                <w:szCs w:val="18"/>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w:t>
            </w:r>
            <w:r w:rsidRPr="00B16E6F">
              <w:rPr>
                <w:rFonts w:cs="Arial"/>
                <w:sz w:val="18"/>
                <w:szCs w:val="18"/>
              </w:rPr>
              <w:tab/>
              <w:t>éclaircir le sens et renommer;</w:t>
            </w:r>
          </w:p>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ii)</w:t>
            </w:r>
            <w:r w:rsidRPr="00B16E6F">
              <w:rPr>
                <w:rFonts w:cs="Arial"/>
                <w:sz w:val="18"/>
                <w:szCs w:val="18"/>
              </w:rPr>
              <w:tab/>
              <w:t>autoriser plus d</w:t>
            </w:r>
            <w:r w:rsidR="00255969">
              <w:rPr>
                <w:rFonts w:cs="Arial"/>
                <w:sz w:val="18"/>
                <w:szCs w:val="18"/>
              </w:rPr>
              <w:t>’</w:t>
            </w:r>
            <w:r w:rsidRPr="00B16E6F">
              <w:rPr>
                <w:rFonts w:cs="Arial"/>
                <w:sz w:val="18"/>
                <w:szCs w:val="18"/>
              </w:rPr>
              <w:t>une dénomination approuvée par variété (c</w:t>
            </w:r>
            <w:r w:rsidR="00255969">
              <w:rPr>
                <w:rFonts w:cs="Arial"/>
                <w:sz w:val="18"/>
                <w:szCs w:val="18"/>
              </w:rPr>
              <w:t>’</w:t>
            </w:r>
            <w:r w:rsidRPr="00B16E6F">
              <w:rPr>
                <w:rFonts w:cs="Arial"/>
                <w:sz w:val="18"/>
                <w:szCs w:val="18"/>
              </w:rPr>
              <w:t>est</w:t>
            </w:r>
            <w:r w:rsidR="00255969">
              <w:rPr>
                <w:rFonts w:cs="Arial"/>
                <w:sz w:val="18"/>
                <w:szCs w:val="18"/>
              </w:rPr>
              <w:t>-</w:t>
            </w:r>
            <w:r w:rsidRPr="00B16E6F">
              <w:rPr>
                <w:rFonts w:cs="Arial"/>
                <w:sz w:val="18"/>
                <w:szCs w:val="18"/>
              </w:rPr>
              <w:t>à</w:t>
            </w:r>
            <w:r w:rsidR="00255969">
              <w:rPr>
                <w:rFonts w:cs="Arial"/>
                <w:sz w:val="18"/>
                <w:szCs w:val="18"/>
              </w:rPr>
              <w:t>-</w:t>
            </w:r>
            <w:r w:rsidRPr="00B16E6F">
              <w:rPr>
                <w:rFonts w:cs="Arial"/>
                <w:sz w:val="18"/>
                <w:szCs w:val="18"/>
              </w:rPr>
              <w:t>dire lorsqu</w:t>
            </w:r>
            <w:r w:rsidR="00255969">
              <w:rPr>
                <w:rFonts w:cs="Arial"/>
                <w:sz w:val="18"/>
                <w:szCs w:val="18"/>
              </w:rPr>
              <w:t>’</w:t>
            </w:r>
            <w:r w:rsidRPr="00B16E6F">
              <w:rPr>
                <w:rFonts w:cs="Arial"/>
                <w:sz w:val="18"/>
                <w:szCs w:val="18"/>
              </w:rPr>
              <w:t>une dénomination a été approuvée mais qu</w:t>
            </w:r>
            <w:r w:rsidR="00255969">
              <w:rPr>
                <w:rFonts w:cs="Arial"/>
                <w:sz w:val="18"/>
                <w:szCs w:val="18"/>
              </w:rPr>
              <w:t>’</w:t>
            </w:r>
            <w:r w:rsidRPr="00B16E6F">
              <w:rPr>
                <w:rFonts w:cs="Arial"/>
                <w:sz w:val="18"/>
                <w:szCs w:val="18"/>
              </w:rPr>
              <w:t>elle a ensuite été remplacée);</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iii)</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Cs/>
                <w:sz w:val="18"/>
                <w:szCs w:val="18"/>
              </w:rPr>
            </w:pPr>
            <w:r w:rsidRPr="00B16E6F">
              <w:rPr>
                <w:rFonts w:cs="Arial"/>
                <w:bCs/>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Date + dénomination approuvée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 dénomination, rejetée ou retirée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sz w:val="18"/>
                <w:szCs w:val="18"/>
              </w:rPr>
            </w:pPr>
            <w:r w:rsidRPr="00B16E6F">
              <w:rPr>
                <w:rFonts w:cs="Arial"/>
                <w:b/>
                <w:sz w:val="18"/>
                <w:szCs w:val="18"/>
              </w:rPr>
              <w:t>voir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éclaircir le sens et renommer;</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ii)</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Cs/>
                <w:sz w:val="18"/>
                <w:szCs w:val="18"/>
              </w:rPr>
            </w:pPr>
            <w:r w:rsidRPr="00B16E6F">
              <w:rPr>
                <w:rFonts w:cs="Arial"/>
                <w:bCs/>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Date + dénomination rejetée ou retirée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Référence de l</w:t>
            </w:r>
            <w:r w:rsidR="00255969">
              <w:rPr>
                <w:rFonts w:cs="Arial"/>
                <w:sz w:val="18"/>
                <w:szCs w:val="18"/>
              </w:rPr>
              <w:t>’</w:t>
            </w:r>
            <w:r w:rsidRPr="00B16E6F">
              <w:rPr>
                <w:rFonts w:cs="Arial"/>
                <w:sz w:val="18"/>
                <w:szCs w:val="18"/>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&lt;650&gt;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Référence de l</w:t>
            </w:r>
            <w:r w:rsidR="00255969">
              <w:rPr>
                <w:rFonts w:cs="Arial"/>
                <w:sz w:val="18"/>
                <w:szCs w:val="18"/>
              </w:rPr>
              <w:t>’</w:t>
            </w:r>
            <w:r w:rsidRPr="00B16E6F">
              <w:rPr>
                <w:rFonts w:cs="Arial"/>
                <w:sz w:val="18"/>
                <w:szCs w:val="18"/>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spacing w:before="20" w:after="20"/>
              <w:rPr>
                <w:rFonts w:cs="Arial"/>
                <w:sz w:val="18"/>
                <w:szCs w:val="18"/>
              </w:rPr>
            </w:pPr>
            <w:r w:rsidRPr="00B16E6F">
              <w:rPr>
                <w:rFonts w:cs="Arial"/>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spacing w:before="20" w:after="20"/>
              <w:jc w:val="left"/>
              <w:rPr>
                <w:rFonts w:cs="Arial"/>
                <w:sz w:val="18"/>
                <w:szCs w:val="18"/>
              </w:rPr>
            </w:pPr>
            <w:r w:rsidRPr="00B16E6F">
              <w:rPr>
                <w:rFonts w:cs="Arial"/>
                <w:sz w:val="18"/>
                <w:szCs w:val="18"/>
              </w:rPr>
              <w:t>Synonyme de la dénomination de la variété</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keepNext/>
              <w:tabs>
                <w:tab w:val="left" w:pos="386"/>
              </w:tabs>
              <w:spacing w:before="20" w:after="20"/>
              <w:jc w:val="left"/>
              <w:rPr>
                <w:rFonts w:cs="Arial"/>
                <w:sz w:val="18"/>
                <w:szCs w:val="18"/>
              </w:rPr>
            </w:pPr>
            <w:r w:rsidRPr="00B16E6F">
              <w:rPr>
                <w:rFonts w:cs="Arial"/>
                <w:sz w:val="18"/>
                <w:szCs w:val="18"/>
              </w:rPr>
              <w:t>REQUIS si &lt;651&gt;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Synonyme de dénomination de la variété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Nom commercial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&lt;652&gt;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éclaircir le sens</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ii) </w:t>
            </w:r>
            <w:r w:rsidRPr="00B16E6F">
              <w:rPr>
                <w:rFonts w:cs="Arial"/>
                <w:sz w:val="18"/>
                <w:szCs w:val="18"/>
              </w:rPr>
              <w:tab/>
              <w:t>permettre des entrées multiples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Nom commercial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demande</w:t>
            </w:r>
          </w:p>
        </w:tc>
        <w:tc>
          <w:tcPr>
            <w:tcW w:w="1985" w:type="dxa"/>
            <w:tcBorders>
              <w:top w:val="dotted" w:sz="4" w:space="0" w:color="auto"/>
              <w:left w:val="dotted" w:sz="4" w:space="0" w:color="auto"/>
              <w:bottom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sz w:val="18"/>
                <w:szCs w:val="18"/>
              </w:rPr>
              <w:t>obligatoire s</w:t>
            </w:r>
            <w:r w:rsidR="00255969">
              <w:rPr>
                <w:rFonts w:cs="Arial"/>
                <w:b/>
                <w:sz w:val="18"/>
                <w:szCs w:val="18"/>
              </w:rPr>
              <w:t>’</w:t>
            </w:r>
            <w:r w:rsidRPr="00B16E6F">
              <w:rPr>
                <w:rFonts w:cs="Arial"/>
                <w:b/>
                <w:sz w:val="18"/>
                <w:szCs w:val="18"/>
              </w:rPr>
              <w:t>il existe une demande</w:t>
            </w:r>
          </w:p>
        </w:tc>
        <w:tc>
          <w:tcPr>
            <w:tcW w:w="3419" w:type="dxa"/>
            <w:tcBorders>
              <w:top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à examiner parallèlement à la balise &lt;010&gt;</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Date de la demande ou de dépôt du dossier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sz w:val="18"/>
                <w:szCs w:val="18"/>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explication à fournir si la balise &lt;220&gt; n</w:t>
            </w:r>
            <w:r w:rsidR="00255969">
              <w:rPr>
                <w:rFonts w:cs="Arial"/>
                <w:sz w:val="18"/>
                <w:szCs w:val="18"/>
              </w:rPr>
              <w:t>’</w:t>
            </w:r>
            <w:r w:rsidRPr="00B16E6F">
              <w:rPr>
                <w:rFonts w:cs="Arial"/>
                <w:sz w:val="18"/>
                <w:szCs w:val="18"/>
              </w:rPr>
              <w:t>est pas complète</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Date de publication des informations concernant la demande (protection) ou le dépôt du dossier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Numéro d</w:t>
            </w:r>
            <w:r w:rsidR="00255969">
              <w:rPr>
                <w:rFonts w:cs="Arial"/>
                <w:b/>
                <w:bCs/>
                <w:sz w:val="18"/>
                <w:szCs w:val="18"/>
              </w:rPr>
              <w:t>’</w:t>
            </w:r>
            <w:r w:rsidRPr="00B16E6F">
              <w:rPr>
                <w:rFonts w:cs="Arial"/>
                <w:b/>
                <w:bCs/>
                <w:sz w:val="18"/>
                <w:szCs w:val="18"/>
              </w:rPr>
              <w:t>octroi (protection) ou d</w:t>
            </w:r>
            <w:r w:rsidR="00255969">
              <w:rPr>
                <w:rFonts w:cs="Arial"/>
                <w:b/>
                <w:bCs/>
                <w:sz w:val="18"/>
                <w:szCs w:val="18"/>
              </w:rPr>
              <w:t>’</w:t>
            </w:r>
            <w:r w:rsidRPr="00B16E6F">
              <w:rPr>
                <w:rFonts w:cs="Arial"/>
                <w:b/>
                <w:bCs/>
                <w:sz w:val="18"/>
                <w:szCs w:val="18"/>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DC7EA3"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i)</w:t>
            </w:r>
            <w:r w:rsidRPr="00B16E6F">
              <w:rPr>
                <w:rFonts w:cs="Arial"/>
                <w:b/>
                <w:bCs/>
                <w:sz w:val="18"/>
                <w:szCs w:val="18"/>
              </w:rPr>
              <w:tab/>
              <w:t>les champs &lt;111&gt; / &lt;151&gt; / &lt;610&gt; ou &lt;620&gt; doivent obligatoirement être renseignés si la demande est octroyée ou la variété inscrite au catalogue</w:t>
            </w:r>
          </w:p>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ii) la date n</w:t>
            </w:r>
            <w:r w:rsidR="00255969">
              <w:rPr>
                <w:rFonts w:cs="Arial"/>
                <w:sz w:val="18"/>
                <w:szCs w:val="18"/>
              </w:rPr>
              <w:t>’</w:t>
            </w:r>
            <w:r w:rsidRPr="00B16E6F">
              <w:rPr>
                <w:rFonts w:cs="Arial"/>
                <w:sz w:val="18"/>
                <w:szCs w:val="18"/>
              </w:rPr>
              <w:t>est pas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i)</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ii)</w:t>
            </w:r>
            <w:r w:rsidRPr="00B16E6F">
              <w:rPr>
                <w:rFonts w:cs="Arial"/>
                <w:sz w:val="18"/>
                <w:szCs w:val="18"/>
              </w:rPr>
              <w:tab/>
              <w:t>corriger toutes les incohérences éventuelles concernant le statut de la balise&lt;220&gt;</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de publication des données concernant l</w:t>
            </w:r>
            <w:r w:rsidR="00255969">
              <w:rPr>
                <w:rFonts w:cs="Arial"/>
                <w:b/>
                <w:bCs/>
                <w:sz w:val="18"/>
                <w:szCs w:val="18"/>
              </w:rPr>
              <w:t>’</w:t>
            </w:r>
            <w:r w:rsidRPr="00B16E6F">
              <w:rPr>
                <w:rFonts w:cs="Arial"/>
                <w:b/>
                <w:bCs/>
                <w:sz w:val="18"/>
                <w:szCs w:val="18"/>
              </w:rPr>
              <w:t>octroi (protection) ou l</w:t>
            </w:r>
            <w:r w:rsidR="00255969">
              <w:rPr>
                <w:rFonts w:cs="Arial"/>
                <w:b/>
                <w:bCs/>
                <w:sz w:val="18"/>
                <w:szCs w:val="18"/>
              </w:rPr>
              <w:t>’</w:t>
            </w:r>
            <w:r w:rsidRPr="00B16E6F">
              <w:rPr>
                <w:rFonts w:cs="Arial"/>
                <w:b/>
                <w:bCs/>
                <w:sz w:val="18"/>
                <w:szCs w:val="18"/>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DC7EA3"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voir &lt;111&gt;</w:t>
            </w:r>
          </w:p>
          <w:p w:rsidR="009F2B82" w:rsidRPr="00B16E6F" w:rsidRDefault="009F2B82" w:rsidP="0086795C">
            <w:pPr>
              <w:tabs>
                <w:tab w:val="left" w:pos="386"/>
              </w:tabs>
              <w:spacing w:before="20" w:after="20"/>
              <w:jc w:val="left"/>
              <w:rPr>
                <w:rFonts w:cs="Arial"/>
                <w:b/>
                <w:bCs/>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de début de l</w:t>
            </w:r>
            <w:r w:rsidR="00255969">
              <w:rPr>
                <w:rFonts w:cs="Arial"/>
                <w:b/>
                <w:bCs/>
                <w:sz w:val="18"/>
                <w:szCs w:val="18"/>
              </w:rPr>
              <w:t>’</w:t>
            </w:r>
            <w:r w:rsidRPr="00B16E6F">
              <w:rPr>
                <w:rFonts w:cs="Arial"/>
                <w:b/>
                <w:bCs/>
                <w:sz w:val="18"/>
                <w:szCs w:val="18"/>
              </w:rPr>
              <w:t>octroi (protection) ou de l</w:t>
            </w:r>
            <w:r w:rsidR="00255969">
              <w:rPr>
                <w:rFonts w:cs="Arial"/>
                <w:b/>
                <w:bCs/>
                <w:sz w:val="18"/>
                <w:szCs w:val="18"/>
              </w:rPr>
              <w:t>’</w:t>
            </w:r>
            <w:r w:rsidRPr="00B16E6F">
              <w:rPr>
                <w:rFonts w:cs="Arial"/>
                <w:b/>
                <w:bCs/>
                <w:sz w:val="18"/>
                <w:szCs w:val="18"/>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référence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sz w:val="18"/>
                <w:szCs w:val="18"/>
              </w:rPr>
            </w:pPr>
            <w:r w:rsidRPr="00B16E6F">
              <w:rPr>
                <w:rFonts w:cs="Arial"/>
                <w:b/>
                <w:sz w:val="18"/>
                <w:szCs w:val="18"/>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ii) </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la date ne peut être antérieure à celle du champ &lt;220&gt;</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Date de début du renouvellement de l</w:t>
            </w:r>
            <w:r w:rsidR="00255969">
              <w:rPr>
                <w:rFonts w:cs="Arial"/>
                <w:b/>
                <w:bCs/>
                <w:sz w:val="18"/>
                <w:szCs w:val="18"/>
              </w:rPr>
              <w:t>’</w:t>
            </w:r>
            <w:r w:rsidRPr="00B16E6F">
              <w:rPr>
                <w:rFonts w:cs="Arial"/>
                <w:b/>
                <w:bCs/>
                <w:sz w:val="18"/>
                <w:szCs w:val="18"/>
              </w:rPr>
              <w:t>enregistrement (inscription au catalogue)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voir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condition obligatoire au regard d</w:t>
            </w:r>
            <w:r w:rsidR="00255969">
              <w:rPr>
                <w:rFonts w:cs="Arial"/>
                <w:sz w:val="18"/>
                <w:szCs w:val="18"/>
              </w:rPr>
              <w:t>’</w:t>
            </w:r>
            <w:r w:rsidRPr="00B16E6F">
              <w:rPr>
                <w:rFonts w:cs="Arial"/>
                <w:sz w:val="18"/>
                <w:szCs w:val="18"/>
              </w:rPr>
              <w:t>autres éléments</w:t>
            </w:r>
          </w:p>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ii) </w:t>
            </w:r>
            <w:r w:rsidRPr="00B16E6F">
              <w:rPr>
                <w:rFonts w:cs="Arial"/>
                <w:sz w:val="18"/>
                <w:szCs w:val="18"/>
              </w:rPr>
              <w:tab/>
              <w:t>vérification de la qualité des données</w:t>
            </w:r>
            <w:r w:rsidR="00255969">
              <w:rPr>
                <w:rFonts w:cs="Arial"/>
                <w:sz w:val="18"/>
                <w:szCs w:val="18"/>
              </w:rPr>
              <w:t> :</w:t>
            </w:r>
            <w:r w:rsidRPr="00B16E6F">
              <w:rPr>
                <w:rFonts w:cs="Arial"/>
                <w:sz w:val="18"/>
                <w:szCs w:val="18"/>
              </w:rPr>
              <w:t xml:space="preserve"> la date ne peut être antérieure à celle du champ &lt;610&gt;</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iii) </w:t>
            </w:r>
            <w:r w:rsidRPr="00B16E6F">
              <w:rPr>
                <w:rFonts w:cs="Arial"/>
                <w:sz w:val="18"/>
                <w:szCs w:val="18"/>
              </w:rPr>
              <w:tab/>
              <w:t xml:space="preserve">éclaircir le sens </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Date d</w:t>
            </w:r>
            <w:r w:rsidR="00255969">
              <w:rPr>
                <w:rFonts w:cs="Arial"/>
                <w:sz w:val="18"/>
                <w:szCs w:val="18"/>
              </w:rPr>
              <w:t>’</w:t>
            </w:r>
            <w:r w:rsidRPr="00B16E6F">
              <w:rPr>
                <w:rFonts w:cs="Arial"/>
                <w:sz w:val="18"/>
                <w:szCs w:val="18"/>
              </w:rPr>
              <w:t>expiration calculée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en cas d</w:t>
            </w:r>
            <w:r w:rsidR="00255969">
              <w:rPr>
                <w:rFonts w:cs="Arial"/>
                <w:sz w:val="18"/>
                <w:szCs w:val="18"/>
              </w:rPr>
              <w:t>’</w:t>
            </w:r>
            <w:r w:rsidRPr="00B16E6F">
              <w:rPr>
                <w:rFonts w:cs="Arial"/>
                <w:sz w:val="18"/>
                <w:szCs w:val="18"/>
              </w:rPr>
              <w:t>octroi ou d</w:t>
            </w:r>
            <w:r w:rsidR="00255969">
              <w:rPr>
                <w:rFonts w:cs="Arial"/>
                <w:sz w:val="18"/>
                <w:szCs w:val="18"/>
              </w:rPr>
              <w:t>’</w:t>
            </w:r>
            <w:r w:rsidRPr="00B16E6F">
              <w:rPr>
                <w:rFonts w:cs="Arial"/>
                <w:sz w:val="18"/>
                <w:szCs w:val="18"/>
              </w:rPr>
              <w:t>inscription au catalogue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Type de date suivi de “date de fin”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référence</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tabs>
                <w:tab w:val="left" w:pos="386"/>
              </w:tabs>
              <w:spacing w:before="60" w:after="60"/>
              <w:jc w:val="left"/>
              <w:rPr>
                <w:rFonts w:cs="Arial"/>
                <w:sz w:val="18"/>
                <w:szCs w:val="18"/>
              </w:rPr>
            </w:pPr>
            <w:r w:rsidRPr="00B16E6F">
              <w:rPr>
                <w:rFonts w:cs="Arial"/>
                <w:sz w:val="18"/>
                <w:szCs w:val="18"/>
              </w:rPr>
              <w:t>PARTIES CONCERNÉES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 xml:space="preserve">Nom du demandeur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existe une demande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obligatoire si la demande existe ou</w:t>
            </w:r>
            <w:r w:rsidRPr="00B16E6F">
              <w:rPr>
                <w:rFonts w:cs="Arial"/>
                <w:bCs/>
                <w:sz w:val="18"/>
                <w:szCs w:val="18"/>
              </w:rPr>
              <w:t xml:space="preserve"> REQUIS si &lt;750&gt;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Cs/>
                <w:sz w:val="18"/>
                <w:szCs w:val="18"/>
              </w:rPr>
            </w:pPr>
            <w:r w:rsidRPr="00B16E6F">
              <w:rPr>
                <w:rFonts w:cs="Arial"/>
                <w:bCs/>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Nom du demandeur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Cs/>
                <w:sz w:val="18"/>
                <w:szCs w:val="18"/>
              </w:rPr>
            </w:pPr>
            <w:r w:rsidRPr="00B16E6F">
              <w:rPr>
                <w:rFonts w:cs="Arial"/>
                <w:bCs/>
                <w:sz w:val="18"/>
                <w:szCs w:val="18"/>
              </w:rPr>
              <w:t xml:space="preserve">non obligatoire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Nom de l</w:t>
            </w:r>
            <w:r w:rsidR="00255969">
              <w:rPr>
                <w:rFonts w:cs="Arial"/>
                <w:b/>
                <w:bCs/>
                <w:sz w:val="18"/>
                <w:szCs w:val="18"/>
              </w:rPr>
              <w:t>’</w:t>
            </w:r>
            <w:r w:rsidRPr="00B16E6F">
              <w:rPr>
                <w:rFonts w:cs="Arial"/>
                <w:b/>
                <w:bCs/>
                <w:sz w:val="18"/>
                <w:szCs w:val="18"/>
              </w:rPr>
              <w:t>obtenteur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
                <w:bCs/>
                <w:sz w:val="18"/>
                <w:szCs w:val="18"/>
              </w:rPr>
            </w:pPr>
            <w:r w:rsidRPr="00B16E6F">
              <w:rPr>
                <w:rFonts w:cs="Arial"/>
                <w:b/>
                <w:bCs/>
                <w:sz w:val="18"/>
                <w:szCs w:val="18"/>
              </w:rPr>
              <w:t>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éclaircir le sens du terme “obtenteur” au regard du document</w:t>
            </w:r>
            <w:r w:rsidR="00F3336A">
              <w:rPr>
                <w:rFonts w:cs="Arial"/>
                <w:sz w:val="18"/>
                <w:szCs w:val="18"/>
              </w:rPr>
              <w:t> </w:t>
            </w:r>
            <w:r w:rsidRPr="00B16E6F">
              <w:rPr>
                <w:rFonts w:cs="Arial"/>
                <w:sz w:val="18"/>
                <w:szCs w:val="18"/>
              </w:rPr>
              <w:t>TGP/5 (voir &lt;733&gt;)</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Cs/>
                <w:sz w:val="18"/>
                <w:szCs w:val="18"/>
              </w:rPr>
            </w:pPr>
            <w:r w:rsidRPr="00B16E6F">
              <w:rPr>
                <w:rFonts w:cs="Arial"/>
                <w:bCs/>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Nom de l</w:t>
            </w:r>
            <w:r w:rsidR="00255969">
              <w:rPr>
                <w:rFonts w:cs="Arial"/>
                <w:bCs/>
                <w:sz w:val="18"/>
                <w:szCs w:val="18"/>
              </w:rPr>
              <w:t>’</w:t>
            </w:r>
            <w:r w:rsidRPr="00B16E6F">
              <w:rPr>
                <w:rFonts w:cs="Arial"/>
                <w:bCs/>
                <w:sz w:val="18"/>
                <w:szCs w:val="18"/>
              </w:rPr>
              <w:t>obtenteur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bCs/>
                <w:sz w:val="18"/>
                <w:szCs w:val="18"/>
              </w:rPr>
            </w:pPr>
            <w:r w:rsidRPr="00B16E6F">
              <w:rPr>
                <w:rFonts w:cs="Arial"/>
                <w:bCs/>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Nom du mainteneur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w:t>
            </w:r>
            <w:r w:rsidR="00255969">
              <w:rPr>
                <w:rFonts w:cs="Arial"/>
                <w:sz w:val="18"/>
                <w:szCs w:val="18"/>
              </w:rPr>
              <w:t>’</w:t>
            </w:r>
            <w:r w:rsidRPr="00B16E6F">
              <w:rPr>
                <w:rFonts w:cs="Arial"/>
                <w:sz w:val="18"/>
                <w:szCs w:val="18"/>
              </w:rPr>
              <w:t>il est inscrit sur la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&lt;752&gt;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doit être accompagné de la date de début et de fin (le mainteneur peut changer)</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Nom du mainteneur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
                <w:bCs/>
                <w:sz w:val="18"/>
                <w:szCs w:val="18"/>
              </w:rPr>
            </w:pPr>
            <w:r w:rsidRPr="00B16E6F">
              <w:rPr>
                <w:rFonts w:cs="Arial"/>
                <w:b/>
                <w:bCs/>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
                <w:bCs/>
                <w:sz w:val="18"/>
                <w:szCs w:val="18"/>
              </w:rPr>
            </w:pPr>
            <w:r w:rsidRPr="00B16E6F">
              <w:rPr>
                <w:rFonts w:cs="Arial"/>
                <w:b/>
                <w:bCs/>
                <w:sz w:val="18"/>
                <w:szCs w:val="18"/>
              </w:rPr>
              <w:t>Nom du titulaire du titre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obligatoire si la variété est protégée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b/>
                <w:sz w:val="18"/>
                <w:szCs w:val="18"/>
              </w:rPr>
              <w:t>obligatoire si la variété est protégée</w:t>
            </w:r>
            <w:r w:rsidRPr="00B16E6F">
              <w:rPr>
                <w:rFonts w:cs="Arial"/>
                <w:sz w:val="18"/>
                <w:szCs w:val="18"/>
              </w:rPr>
              <w:t xml:space="preserve"> REQUIS si &lt;753&gt;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DC7EA3"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 </w:t>
            </w:r>
            <w:r w:rsidRPr="00B16E6F">
              <w:rPr>
                <w:rFonts w:cs="Arial"/>
                <w:sz w:val="18"/>
                <w:szCs w:val="18"/>
              </w:rPr>
              <w:tab/>
              <w:t>éclaircir le sens du terme “titulaire du titre” au regard du document</w:t>
            </w:r>
            <w:r w:rsidR="00F3336A">
              <w:rPr>
                <w:rFonts w:cs="Arial"/>
                <w:sz w:val="18"/>
                <w:szCs w:val="18"/>
              </w:rPr>
              <w:t> </w:t>
            </w:r>
            <w:r w:rsidRPr="00B16E6F">
              <w:rPr>
                <w:rFonts w:cs="Arial"/>
                <w:sz w:val="18"/>
                <w:szCs w:val="18"/>
              </w:rPr>
              <w:t>TGP/5 (voir &lt;731&gt;)</w:t>
            </w:r>
          </w:p>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 xml:space="preserve">ii) </w:t>
            </w:r>
            <w:r w:rsidRPr="00B16E6F">
              <w:rPr>
                <w:rFonts w:cs="Arial"/>
                <w:sz w:val="18"/>
                <w:szCs w:val="18"/>
              </w:rPr>
              <w:tab/>
              <w:t>doit être accompagné de la date de début et de fin (le mainteneur peut changer)</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bCs/>
                <w:sz w:val="18"/>
                <w:szCs w:val="18"/>
              </w:rPr>
            </w:pPr>
            <w:r w:rsidRPr="00B16E6F">
              <w:rPr>
                <w:rFonts w:cs="Arial"/>
                <w:bCs/>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bCs/>
                <w:sz w:val="18"/>
                <w:szCs w:val="18"/>
              </w:rPr>
            </w:pPr>
            <w:r w:rsidRPr="00B16E6F">
              <w:rPr>
                <w:rFonts w:cs="Arial"/>
                <w:bCs/>
                <w:sz w:val="18"/>
                <w:szCs w:val="18"/>
              </w:rPr>
              <w:t>Nom du titulaire du titre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Type d</w:t>
            </w:r>
            <w:r w:rsidR="00255969">
              <w:rPr>
                <w:rFonts w:cs="Arial"/>
                <w:sz w:val="18"/>
                <w:szCs w:val="18"/>
              </w:rPr>
              <w:t>’</w:t>
            </w:r>
            <w:r w:rsidRPr="00B16E6F">
              <w:rPr>
                <w:rFonts w:cs="Arial"/>
                <w:sz w:val="18"/>
                <w:szCs w:val="18"/>
              </w:rPr>
              <w:t>autre partie, suivi du nom de la partie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&lt;760&gt;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Type d</w:t>
            </w:r>
            <w:r w:rsidR="00255969">
              <w:rPr>
                <w:rFonts w:cs="Arial"/>
                <w:sz w:val="18"/>
                <w:szCs w:val="18"/>
              </w:rPr>
              <w:t>’</w:t>
            </w:r>
            <w:r w:rsidRPr="00B16E6F">
              <w:rPr>
                <w:rFonts w:cs="Arial"/>
                <w:sz w:val="18"/>
                <w:szCs w:val="18"/>
              </w:rPr>
              <w:t>autre partie suivi du nom de la partie en alphabet non romain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6"/>
              </w:tabs>
              <w:spacing w:before="60" w:after="60"/>
              <w:jc w:val="left"/>
              <w:rPr>
                <w:rFonts w:cs="Arial"/>
                <w:sz w:val="18"/>
                <w:szCs w:val="18"/>
              </w:rPr>
            </w:pPr>
            <w:r w:rsidRPr="00B16E6F">
              <w:rPr>
                <w:rFonts w:cs="Arial"/>
                <w:sz w:val="18"/>
                <w:szCs w:val="18"/>
              </w:rPr>
              <w:t>INFORMATIONS SUR LES DEMANDES ÉQUIVALENTES DÉPOSÉES SUR D</w:t>
            </w:r>
            <w:r w:rsidR="00255969">
              <w:rPr>
                <w:rFonts w:cs="Arial"/>
                <w:sz w:val="18"/>
                <w:szCs w:val="18"/>
              </w:rPr>
              <w:t>’</w:t>
            </w:r>
            <w:r w:rsidRPr="00B16E6F">
              <w:rPr>
                <w:rFonts w:cs="Arial"/>
                <w:sz w:val="18"/>
                <w:szCs w:val="18"/>
              </w:rPr>
              <w:t>AUTRES TERRITOIRES</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Demande établissant la priorité</w:t>
            </w:r>
            <w:r w:rsidR="00255969">
              <w:rPr>
                <w:rFonts w:cs="Arial"/>
                <w:sz w:val="18"/>
                <w:szCs w:val="18"/>
              </w:rPr>
              <w:t> :</w:t>
            </w:r>
            <w:r w:rsidRPr="00B16E6F">
              <w:rPr>
                <w:rFonts w:cs="Arial"/>
                <w:sz w:val="18"/>
                <w:szCs w:val="18"/>
              </w:rPr>
              <w:t xml:space="preserve"> pays, type d</w:t>
            </w:r>
            <w:r w:rsidR="00255969">
              <w:rPr>
                <w:rFonts w:cs="Arial"/>
                <w:sz w:val="18"/>
                <w:szCs w:val="18"/>
              </w:rPr>
              <w:t>’</w:t>
            </w:r>
            <w:r w:rsidRPr="00B16E6F">
              <w:rPr>
                <w:rFonts w:cs="Arial"/>
                <w:sz w:val="18"/>
                <w:szCs w:val="18"/>
              </w:rPr>
              <w:t>enregistrement, date 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Autres demandes</w:t>
            </w:r>
            <w:r w:rsidR="00255969">
              <w:rPr>
                <w:rFonts w:cs="Arial"/>
                <w:sz w:val="18"/>
                <w:szCs w:val="18"/>
              </w:rPr>
              <w:t> :</w:t>
            </w:r>
            <w:r w:rsidRPr="00B16E6F">
              <w:rPr>
                <w:rFonts w:cs="Arial"/>
                <w:sz w:val="18"/>
                <w:szCs w:val="18"/>
              </w:rPr>
              <w:t xml:space="preserve"> pays, type d</w:t>
            </w:r>
            <w:r w:rsidR="00255969">
              <w:rPr>
                <w:rFonts w:cs="Arial"/>
                <w:sz w:val="18"/>
                <w:szCs w:val="18"/>
              </w:rPr>
              <w:t>’</w:t>
            </w:r>
            <w:r w:rsidRPr="00B16E6F">
              <w:rPr>
                <w:rFonts w:cs="Arial"/>
                <w:sz w:val="18"/>
                <w:szCs w:val="18"/>
              </w:rPr>
              <w:t>enregistrement, date et numéro de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Autres pays</w:t>
            </w:r>
            <w:r w:rsidR="00255969">
              <w:rPr>
                <w:rFonts w:cs="Arial"/>
                <w:sz w:val="18"/>
                <w:szCs w:val="18"/>
              </w:rPr>
              <w:t> :</w:t>
            </w:r>
            <w:r w:rsidRPr="00B16E6F">
              <w:rPr>
                <w:rFonts w:cs="Arial"/>
                <w:sz w:val="18"/>
                <w:szCs w:val="18"/>
              </w:rPr>
              <w:t xml:space="preserve"> pays, dénomination si elle diffère de la dénomination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Autres pays</w:t>
            </w:r>
            <w:r w:rsidR="00255969">
              <w:rPr>
                <w:rFonts w:cs="Arial"/>
                <w:sz w:val="18"/>
                <w:szCs w:val="18"/>
              </w:rPr>
              <w:t> :</w:t>
            </w:r>
            <w:r w:rsidRPr="00B16E6F">
              <w:rPr>
                <w:rFonts w:cs="Arial"/>
                <w:sz w:val="18"/>
                <w:szCs w:val="18"/>
              </w:rPr>
              <w:t xml:space="preserve"> pays, référence de l</w:t>
            </w:r>
            <w:r w:rsidR="00255969">
              <w:rPr>
                <w:rFonts w:cs="Arial"/>
                <w:sz w:val="18"/>
                <w:szCs w:val="18"/>
              </w:rPr>
              <w:t>’</w:t>
            </w:r>
            <w:r w:rsidRPr="00B16E6F">
              <w:rPr>
                <w:rFonts w:cs="Arial"/>
                <w:sz w:val="18"/>
                <w:szCs w:val="18"/>
              </w:rPr>
              <w:t>obtenteur si elle diffère de la référence indiquée dans la demande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Autres informations pertinentes (segments de phrase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&lt;950&gt;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Autres informations pertinentes (segments de phrase indexés)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Remarques (mots indexés)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REQUIS si &lt;960&gt; a été attribué</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Remarques (mots indexés) en alphabet non romain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Balises d</w:t>
            </w:r>
            <w:r w:rsidR="00255969">
              <w:rPr>
                <w:rFonts w:cs="Arial"/>
                <w:sz w:val="18"/>
                <w:szCs w:val="18"/>
              </w:rPr>
              <w:t>’</w:t>
            </w:r>
            <w:r w:rsidRPr="00B16E6F">
              <w:rPr>
                <w:rFonts w:cs="Arial"/>
                <w:sz w:val="18"/>
                <w:szCs w:val="18"/>
              </w:rPr>
              <w:t>éléments d</w:t>
            </w:r>
            <w:r w:rsidR="00255969">
              <w:rPr>
                <w:rFonts w:cs="Arial"/>
                <w:sz w:val="18"/>
                <w:szCs w:val="18"/>
              </w:rPr>
              <w:t>’</w:t>
            </w:r>
            <w:r w:rsidRPr="00B16E6F">
              <w:rPr>
                <w:rFonts w:cs="Arial"/>
                <w:sz w:val="18"/>
                <w:szCs w:val="18"/>
              </w:rPr>
              <w:t>information qui ont été modifiés depuis la dernière transmission (facultatif)</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permettre de générer ces balises automatiquement (voir 2.1.1.a))</w:t>
            </w:r>
          </w:p>
        </w:tc>
      </w:tr>
      <w:tr w:rsidR="009F2B82" w:rsidRPr="00B16E6F" w:rsidTr="008679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r w:rsidR="009F2B82" w:rsidRPr="00B16E6F" w:rsidTr="008679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Identifiant d</w:t>
            </w:r>
            <w:r w:rsidR="00255969">
              <w:rPr>
                <w:rFonts w:cs="Arial"/>
                <w:sz w:val="18"/>
                <w:szCs w:val="18"/>
              </w:rPr>
              <w:t>’</w:t>
            </w:r>
            <w:r w:rsidRPr="00B16E6F">
              <w:rPr>
                <w:rFonts w:cs="Arial"/>
                <w:sz w:val="18"/>
                <w:szCs w:val="18"/>
              </w:rPr>
              <w:t>image (pour un usage futur)</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r w:rsidRPr="00B16E6F">
              <w:rPr>
                <w:rFonts w:cs="Arial"/>
                <w:sz w:val="18"/>
                <w:szCs w:val="18"/>
              </w:rPr>
              <w:t>permettre d</w:t>
            </w:r>
            <w:r w:rsidR="00255969">
              <w:rPr>
                <w:rFonts w:cs="Arial"/>
                <w:sz w:val="18"/>
                <w:szCs w:val="18"/>
              </w:rPr>
              <w:t>’</w:t>
            </w:r>
            <w:r w:rsidRPr="00B16E6F">
              <w:rPr>
                <w:rFonts w:cs="Arial"/>
                <w:sz w:val="18"/>
                <w:szCs w:val="18"/>
              </w:rPr>
              <w:t>insérer un lien hypertexte vers une image (p. ex. sur la page Web d</w:t>
            </w:r>
            <w:r w:rsidR="00255969">
              <w:rPr>
                <w:rFonts w:cs="Arial"/>
                <w:sz w:val="18"/>
                <w:szCs w:val="18"/>
              </w:rPr>
              <w:t>’</w:t>
            </w:r>
            <w:r w:rsidRPr="00B16E6F">
              <w:rPr>
                <w:rFonts w:cs="Arial"/>
                <w:sz w:val="18"/>
                <w:szCs w:val="18"/>
              </w:rPr>
              <w:t>un service)</w:t>
            </w:r>
          </w:p>
        </w:tc>
      </w:tr>
      <w:tr w:rsidR="009F2B82" w:rsidRPr="00B16E6F" w:rsidTr="0086795C">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F2B82" w:rsidRPr="00B16E6F" w:rsidRDefault="009F2B82" w:rsidP="0086795C">
            <w:pPr>
              <w:keepNext/>
              <w:tabs>
                <w:tab w:val="left" w:pos="386"/>
              </w:tabs>
              <w:spacing w:before="60" w:after="60"/>
              <w:jc w:val="left"/>
              <w:rPr>
                <w:rFonts w:cs="Arial"/>
                <w:sz w:val="18"/>
                <w:szCs w:val="18"/>
              </w:rPr>
            </w:pPr>
            <w:r w:rsidRPr="00B16E6F">
              <w:rPr>
                <w:rFonts w:cs="Arial"/>
                <w:sz w:val="18"/>
                <w:szCs w:val="18"/>
              </w:rPr>
              <w:t>DATES DE COMMERCIALISATION</w:t>
            </w:r>
          </w:p>
        </w:tc>
      </w:tr>
      <w:tr w:rsidR="009F2B82" w:rsidRPr="00B16E6F" w:rsidTr="0086795C">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rPr>
                <w:rFonts w:cs="Arial"/>
                <w:sz w:val="18"/>
                <w:szCs w:val="18"/>
              </w:rPr>
            </w:pPr>
            <w:r w:rsidRPr="00B16E6F">
              <w:rPr>
                <w:rFonts w:cs="Arial"/>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r w:rsidRPr="00B16E6F">
              <w:rPr>
                <w:rFonts w:cs="Arial"/>
                <w:sz w:val="18"/>
                <w:szCs w:val="18"/>
              </w:rPr>
              <w:t>Dates de commercialisation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spacing w:before="20" w:after="20"/>
              <w:jc w:val="left"/>
              <w:rPr>
                <w:rFonts w:cs="Arial"/>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F2B82" w:rsidRPr="00B16E6F" w:rsidRDefault="009F2B82" w:rsidP="0086795C">
            <w:pPr>
              <w:tabs>
                <w:tab w:val="left" w:pos="386"/>
              </w:tabs>
              <w:spacing w:before="20" w:after="20"/>
              <w:jc w:val="left"/>
              <w:rPr>
                <w:rFonts w:cs="Arial"/>
                <w:sz w:val="18"/>
                <w:szCs w:val="18"/>
              </w:rPr>
            </w:pPr>
            <w:r w:rsidRPr="00B16E6F">
              <w:rPr>
                <w:rFonts w:cs="Arial"/>
                <w:sz w:val="18"/>
                <w:szCs w:val="18"/>
              </w:rPr>
              <w:t>non obligatoire</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F2B82" w:rsidRPr="00B16E6F" w:rsidRDefault="009F2B82" w:rsidP="0086795C">
            <w:pPr>
              <w:tabs>
                <w:tab w:val="left" w:pos="385"/>
              </w:tabs>
              <w:spacing w:before="20" w:after="20"/>
              <w:jc w:val="left"/>
              <w:rPr>
                <w:rFonts w:cs="Arial"/>
                <w:sz w:val="18"/>
                <w:szCs w:val="18"/>
              </w:rPr>
            </w:pPr>
          </w:p>
        </w:tc>
      </w:tr>
    </w:tbl>
    <w:p w:rsidR="00DC7EA3" w:rsidRPr="00B16E6F" w:rsidRDefault="00DC7EA3" w:rsidP="009F2B82">
      <w:pPr>
        <w:spacing w:line="360" w:lineRule="auto"/>
        <w:ind w:left="567"/>
        <w:rPr>
          <w:bCs/>
        </w:rPr>
      </w:pPr>
    </w:p>
    <w:p w:rsidR="00DC7EA3" w:rsidRPr="00B16E6F" w:rsidRDefault="009F2B82" w:rsidP="009F2B82">
      <w:pPr>
        <w:rPr>
          <w:rFonts w:cs="Arial"/>
        </w:rPr>
      </w:pPr>
      <w:r w:rsidRPr="00B16E6F">
        <w:rPr>
          <w:rFonts w:cs="Arial"/>
        </w:rPr>
        <w:t>&lt;800&gt; exemple</w:t>
      </w:r>
      <w:r w:rsidR="00255969">
        <w:rPr>
          <w:rFonts w:cs="Arial"/>
        </w:rPr>
        <w:t> :</w:t>
      </w:r>
      <w:r w:rsidRPr="00B16E6F">
        <w:rPr>
          <w:rFonts w:cs="Arial"/>
        </w:rPr>
        <w:t xml:space="preserve"> “AB</w:t>
      </w:r>
      <w:r w:rsidR="00F3336A">
        <w:rPr>
          <w:rFonts w:cs="Arial"/>
        </w:rPr>
        <w:t> </w:t>
      </w:r>
      <w:r w:rsidRPr="00B16E6F">
        <w:rPr>
          <w:rFonts w:cs="Arial"/>
        </w:rPr>
        <w:t>CD 20120119 statut de la source”</w:t>
      </w:r>
    </w:p>
    <w:p w:rsidR="00DC7EA3" w:rsidRPr="00B16E6F" w:rsidRDefault="009F2B82" w:rsidP="009F2B82">
      <w:pPr>
        <w:rPr>
          <w:rFonts w:cs="Arial"/>
        </w:rPr>
      </w:pPr>
      <w:r w:rsidRPr="00B16E6F">
        <w:rPr>
          <w:rFonts w:cs="Arial"/>
        </w:rPr>
        <w:tab/>
      </w:r>
      <w:r w:rsidRPr="00B16E6F">
        <w:rPr>
          <w:rFonts w:cs="Arial"/>
        </w:rPr>
        <w:tab/>
        <w:t>ou “AB</w:t>
      </w:r>
      <w:r w:rsidR="00F3336A">
        <w:rPr>
          <w:rFonts w:cs="Arial"/>
        </w:rPr>
        <w:t> </w:t>
      </w:r>
      <w:r w:rsidRPr="00B16E6F">
        <w:rPr>
          <w:rFonts w:cs="Arial"/>
        </w:rPr>
        <w:t>CD 2012 statut de la source”</w:t>
      </w:r>
    </w:p>
    <w:p w:rsidR="00DC7EA3" w:rsidRPr="00B16E6F" w:rsidRDefault="00DC7EA3" w:rsidP="009F2B82">
      <w:pPr>
        <w:spacing w:line="360" w:lineRule="auto"/>
        <w:ind w:left="567"/>
        <w:rPr>
          <w:bCs/>
        </w:rPr>
      </w:pPr>
    </w:p>
    <w:p w:rsidR="00DC7EA3" w:rsidRPr="00B16E6F" w:rsidRDefault="009F2B82" w:rsidP="009F2B82">
      <w:pPr>
        <w:keepNext/>
        <w:ind w:left="567"/>
        <w:rPr>
          <w:rFonts w:cs="Arial"/>
          <w:bCs/>
          <w:i/>
          <w:iCs/>
        </w:rPr>
      </w:pPr>
      <w:r w:rsidRPr="00B16E6F">
        <w:rPr>
          <w:rFonts w:cs="Arial"/>
          <w:bCs/>
          <w:iCs/>
        </w:rPr>
        <w:t>3.3</w:t>
      </w:r>
      <w:r w:rsidRPr="00B16E6F">
        <w:rPr>
          <w:rFonts w:cs="Arial"/>
          <w:bCs/>
          <w:iCs/>
        </w:rPr>
        <w:tab/>
      </w:r>
      <w:r w:rsidRPr="00B16E6F">
        <w:rPr>
          <w:rFonts w:cs="Arial"/>
          <w:bCs/>
          <w:i/>
          <w:iCs/>
        </w:rPr>
        <w:t>Éléments obligatoires et requis</w:t>
      </w:r>
    </w:p>
    <w:p w:rsidR="00DC7EA3" w:rsidRPr="00B16E6F" w:rsidRDefault="00DC7EA3" w:rsidP="009F2B82">
      <w:pPr>
        <w:keepNext/>
        <w:ind w:left="567"/>
        <w:rPr>
          <w:bCs/>
        </w:rPr>
      </w:pPr>
    </w:p>
    <w:p w:rsidR="00DC7EA3" w:rsidRPr="00B16E6F" w:rsidRDefault="009F2B82" w:rsidP="009F2B82">
      <w:pPr>
        <w:rPr>
          <w:rFonts w:cs="Angsana New"/>
          <w:bCs/>
          <w:szCs w:val="24"/>
          <w:lang w:bidi="th-TH"/>
        </w:rPr>
      </w:pPr>
      <w:r w:rsidRPr="00B16E6F">
        <w:rPr>
          <w:rFonts w:cs="Angsana New"/>
          <w:bCs/>
          <w:szCs w:val="24"/>
          <w:lang w:bidi="th-TH"/>
        </w:rPr>
        <w:t>3.3.1</w:t>
      </w:r>
      <w:r w:rsidRPr="00B16E6F">
        <w:rPr>
          <w:rFonts w:cs="Angsana New"/>
          <w:bCs/>
          <w:szCs w:val="24"/>
          <w:lang w:bidi="th-TH"/>
        </w:rPr>
        <w:tab/>
        <w:t>S</w:t>
      </w:r>
      <w:r w:rsidR="00255969">
        <w:rPr>
          <w:rFonts w:cs="Angsana New"/>
          <w:bCs/>
          <w:szCs w:val="24"/>
          <w:lang w:bidi="th-TH"/>
        </w:rPr>
        <w:t>’</w:t>
      </w:r>
      <w:r w:rsidRPr="00B16E6F">
        <w:rPr>
          <w:rFonts w:cs="Angsana New"/>
          <w:bCs/>
          <w:szCs w:val="24"/>
          <w:lang w:bidi="th-TH"/>
        </w:rPr>
        <w:t>agissant des éléments qualifiés d</w:t>
      </w:r>
      <w:r w:rsidR="00255969">
        <w:rPr>
          <w:rFonts w:cs="Angsana New"/>
          <w:bCs/>
          <w:szCs w:val="24"/>
          <w:lang w:bidi="th-TH"/>
        </w:rPr>
        <w:t>’</w:t>
      </w:r>
      <w:r w:rsidRPr="00B16E6F">
        <w:rPr>
          <w:rFonts w:cs="Angsana New"/>
          <w:bCs/>
          <w:szCs w:val="24"/>
          <w:lang w:bidi="th-TH"/>
        </w:rPr>
        <w:t>“obligatoires” à la section 3,2, les données ne seront pas exclues de la base de données PLUTO si ces éléments sont absen</w:t>
      </w:r>
      <w:r w:rsidR="00F3336A" w:rsidRPr="00B16E6F">
        <w:rPr>
          <w:rFonts w:cs="Angsana New"/>
          <w:bCs/>
          <w:szCs w:val="24"/>
          <w:lang w:bidi="th-TH"/>
        </w:rPr>
        <w:t>ts</w:t>
      </w:r>
      <w:r w:rsidR="00F3336A">
        <w:rPr>
          <w:rFonts w:cs="Angsana New"/>
          <w:bCs/>
          <w:szCs w:val="24"/>
          <w:lang w:bidi="th-TH"/>
        </w:rPr>
        <w:t xml:space="preserve">.  </w:t>
      </w:r>
      <w:r w:rsidR="00F3336A" w:rsidRPr="00B16E6F">
        <w:rPr>
          <w:rFonts w:cs="Angsana New"/>
          <w:bCs/>
          <w:szCs w:val="24"/>
          <w:lang w:bidi="th-TH"/>
        </w:rPr>
        <w:t>To</w:t>
      </w:r>
      <w:r w:rsidRPr="00B16E6F">
        <w:rPr>
          <w:rFonts w:cs="Angsana New"/>
          <w:bCs/>
          <w:szCs w:val="24"/>
          <w:lang w:bidi="th-TH"/>
        </w:rPr>
        <w:t>utefois, un rapport sur les éléments non conformes sera adressé au contributeur.</w:t>
      </w:r>
    </w:p>
    <w:p w:rsidR="00DC7EA3" w:rsidRPr="00B16E6F" w:rsidRDefault="00DC7EA3" w:rsidP="009F2B82">
      <w:pPr>
        <w:rPr>
          <w:rFonts w:cs="Angsana New"/>
          <w:bCs/>
          <w:szCs w:val="24"/>
          <w:lang w:bidi="th-TH"/>
        </w:rPr>
      </w:pPr>
    </w:p>
    <w:p w:rsidR="00DC7EA3" w:rsidRPr="00B16E6F" w:rsidRDefault="009F2B82" w:rsidP="009F2B82">
      <w:pPr>
        <w:rPr>
          <w:rFonts w:cs="Angsana New"/>
          <w:bCs/>
          <w:szCs w:val="24"/>
          <w:lang w:bidi="th-TH"/>
        </w:rPr>
      </w:pPr>
      <w:r w:rsidRPr="00B16E6F">
        <w:rPr>
          <w:rFonts w:cs="Angsana New"/>
          <w:bCs/>
          <w:szCs w:val="24"/>
          <w:lang w:bidi="th-TH"/>
        </w:rPr>
        <w:t>3.3.2</w:t>
      </w:r>
      <w:r w:rsidRPr="00B16E6F">
        <w:rPr>
          <w:rFonts w:cs="Angsana New"/>
          <w:bCs/>
          <w:szCs w:val="24"/>
          <w:lang w:bidi="th-TH"/>
        </w:rPr>
        <w:tab/>
        <w:t>Un résumé des éléments non conformes sera aussi adressé au</w:t>
      </w:r>
      <w:r w:rsidR="00255969">
        <w:rPr>
          <w:rFonts w:cs="Angsana New"/>
          <w:bCs/>
          <w:szCs w:val="24"/>
          <w:lang w:bidi="th-TH"/>
        </w:rPr>
        <w:t> TC</w:t>
      </w:r>
      <w:r w:rsidRPr="00B16E6F">
        <w:rPr>
          <w:rFonts w:cs="Angsana New"/>
          <w:bCs/>
          <w:szCs w:val="24"/>
          <w:lang w:bidi="th-TH"/>
        </w:rPr>
        <w:t xml:space="preserve"> et au CAJ chaque année.</w:t>
      </w:r>
    </w:p>
    <w:p w:rsidR="00DC7EA3" w:rsidRPr="00B16E6F" w:rsidRDefault="00DC7EA3" w:rsidP="009F2B82">
      <w:pPr>
        <w:spacing w:line="360" w:lineRule="auto"/>
        <w:rPr>
          <w:bCs/>
        </w:rPr>
      </w:pPr>
    </w:p>
    <w:p w:rsidR="00DC7EA3" w:rsidRPr="00B16E6F" w:rsidRDefault="009F2B82" w:rsidP="009F2B82">
      <w:r w:rsidRPr="00B16E6F">
        <w:t>3.3.3</w:t>
      </w:r>
      <w:r w:rsidRPr="00B16E6F">
        <w:tab/>
        <w:t>S</w:t>
      </w:r>
      <w:r w:rsidR="00255969">
        <w:t>’</w:t>
      </w:r>
      <w:r w:rsidRPr="00B16E6F">
        <w:t>agissant des éléments qualifiés de “REQUIS” à la section 3,2, les données seront exclues de la base de données PLUTO si l</w:t>
      </w:r>
      <w:r w:rsidR="00255969">
        <w:t>’</w:t>
      </w:r>
      <w:r w:rsidRPr="00B16E6F">
        <w:t>élément requis est absent en alphabet latin</w:t>
      </w:r>
    </w:p>
    <w:p w:rsidR="00DC7EA3" w:rsidRPr="00B16E6F" w:rsidRDefault="00DC7EA3" w:rsidP="009F2B82">
      <w:pPr>
        <w:spacing w:line="360" w:lineRule="auto"/>
        <w:rPr>
          <w:bCs/>
        </w:rPr>
      </w:pPr>
    </w:p>
    <w:p w:rsidR="00DC7EA3" w:rsidRPr="00B16E6F" w:rsidRDefault="009F2B82" w:rsidP="009F2B82">
      <w:pPr>
        <w:ind w:left="567"/>
        <w:rPr>
          <w:bCs/>
          <w:i/>
          <w:iCs/>
        </w:rPr>
      </w:pPr>
      <w:r w:rsidRPr="00B16E6F">
        <w:rPr>
          <w:bCs/>
          <w:iCs/>
        </w:rPr>
        <w:t xml:space="preserve">3.4 </w:t>
      </w:r>
      <w:r w:rsidRPr="00B16E6F">
        <w:rPr>
          <w:bCs/>
          <w:i/>
          <w:iCs/>
        </w:rPr>
        <w:t>Dates de commercialisation</w:t>
      </w:r>
    </w:p>
    <w:p w:rsidR="00DC7EA3" w:rsidRPr="00B16E6F" w:rsidRDefault="00DC7EA3" w:rsidP="009F2B82">
      <w:pPr>
        <w:ind w:left="567"/>
        <w:rPr>
          <w:bCs/>
          <w:i/>
          <w:iCs/>
        </w:rPr>
      </w:pPr>
    </w:p>
    <w:p w:rsidR="00DC7EA3" w:rsidRPr="00B16E6F" w:rsidRDefault="009F2B82" w:rsidP="009F2B82">
      <w:pPr>
        <w:rPr>
          <w:iCs/>
        </w:rPr>
      </w:pPr>
      <w:r w:rsidRPr="00B16E6F">
        <w:rPr>
          <w:iCs/>
        </w:rPr>
        <w:t>3.4.1</w:t>
      </w:r>
      <w:r w:rsidRPr="00B16E6F">
        <w:rPr>
          <w:iCs/>
        </w:rPr>
        <w:tab/>
        <w:t>Un champ a été ajouté à la base de données PLUTO pour permettre de communiquer des informations sur les dates auxquelles une variété a été commercialisée pour la première fois sur le territoire de la demande et dans d</w:t>
      </w:r>
      <w:r w:rsidR="00255969">
        <w:rPr>
          <w:iCs/>
        </w:rPr>
        <w:t>’</w:t>
      </w:r>
      <w:r w:rsidRPr="00B16E6F">
        <w:rPr>
          <w:iCs/>
        </w:rPr>
        <w:t>autres territoires, de la manière suivante</w:t>
      </w:r>
      <w:r w:rsidR="00255969">
        <w:rPr>
          <w:iCs/>
        </w:rPr>
        <w:t> :</w:t>
      </w:r>
    </w:p>
    <w:p w:rsidR="00DC7EA3" w:rsidRPr="00B16E6F" w:rsidRDefault="00DC7EA3" w:rsidP="009F2B82">
      <w:pPr>
        <w:rPr>
          <w:i/>
          <w:iCs/>
        </w:rPr>
      </w:pPr>
    </w:p>
    <w:p w:rsidR="00DC7EA3" w:rsidRPr="00B16E6F" w:rsidRDefault="009F2B82" w:rsidP="009F2B82">
      <w:pPr>
        <w:ind w:left="567"/>
      </w:pPr>
      <w:r w:rsidRPr="00B16E6F">
        <w:t>Entrée &lt;XXX&gt;</w:t>
      </w:r>
      <w:r w:rsidR="00255969">
        <w:t> :</w:t>
      </w:r>
      <w:r w:rsidRPr="00B16E6F">
        <w:t xml:space="preserve"> dates auxquelles une variété a été commercialisée pour la première fois sur le territoire de la demande et dans d</w:t>
      </w:r>
      <w:r w:rsidR="00255969">
        <w:t>’</w:t>
      </w:r>
      <w:r w:rsidRPr="00B16E6F">
        <w:t>autres territoires (non obligatoire)</w:t>
      </w:r>
    </w:p>
    <w:p w:rsidR="009F2B82" w:rsidRPr="00B16E6F" w:rsidRDefault="009F2B82" w:rsidP="009F2B82">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9F2B82" w:rsidRPr="00B16E6F" w:rsidTr="0086795C">
        <w:trPr>
          <w:cantSplit/>
          <w:tblHeader/>
        </w:trPr>
        <w:tc>
          <w:tcPr>
            <w:tcW w:w="5165" w:type="dxa"/>
            <w:tcBorders>
              <w:top w:val="dotted" w:sz="4" w:space="0" w:color="auto"/>
              <w:left w:val="dotted" w:sz="4" w:space="0" w:color="auto"/>
              <w:bottom w:val="dotted" w:sz="4" w:space="0" w:color="auto"/>
              <w:right w:val="dotted" w:sz="4" w:space="0" w:color="auto"/>
            </w:tcBorders>
          </w:tcPr>
          <w:p w:rsidR="009F2B82" w:rsidRPr="00B16E6F" w:rsidRDefault="009F2B82" w:rsidP="0086795C">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9F2B82" w:rsidRPr="00B16E6F" w:rsidRDefault="009F2B82" w:rsidP="0086795C">
            <w:pPr>
              <w:spacing w:before="40" w:after="40"/>
              <w:jc w:val="left"/>
              <w:rPr>
                <w:sz w:val="18"/>
                <w:szCs w:val="24"/>
                <w:u w:val="single"/>
              </w:rPr>
            </w:pPr>
            <w:r w:rsidRPr="00B16E6F">
              <w:rPr>
                <w:sz w:val="18"/>
                <w:szCs w:val="24"/>
                <w:u w:val="single"/>
              </w:rPr>
              <w:t>Commentaire</w:t>
            </w:r>
          </w:p>
        </w:tc>
      </w:tr>
      <w:tr w:rsidR="009F2B82" w:rsidRPr="00B16E6F" w:rsidTr="0086795C">
        <w:trPr>
          <w:cantSplit/>
        </w:trPr>
        <w:tc>
          <w:tcPr>
            <w:tcW w:w="5165" w:type="dxa"/>
            <w:tcBorders>
              <w:top w:val="dotted" w:sz="4" w:space="0" w:color="auto"/>
              <w:left w:val="dotted" w:sz="4" w:space="0" w:color="auto"/>
              <w:bottom w:val="dotted" w:sz="4" w:space="0" w:color="auto"/>
              <w:right w:val="dotted" w:sz="4" w:space="0" w:color="auto"/>
            </w:tcBorders>
          </w:tcPr>
          <w:p w:rsidR="009F2B82" w:rsidRPr="00B16E6F" w:rsidRDefault="009F2B82" w:rsidP="0086795C">
            <w:pPr>
              <w:spacing w:before="40" w:after="40"/>
              <w:jc w:val="left"/>
              <w:rPr>
                <w:sz w:val="18"/>
                <w:szCs w:val="24"/>
              </w:rPr>
            </w:pPr>
            <w:r w:rsidRPr="00B16E6F">
              <w:rPr>
                <w:sz w:val="18"/>
                <w:szCs w:val="24"/>
              </w:rPr>
              <w:t>i)</w:t>
            </w:r>
            <w:r w:rsidRPr="00B16E6F">
              <w:rPr>
                <w:sz w:val="18"/>
                <w:szCs w:val="24"/>
              </w:rPr>
              <w:tab/>
              <w:t>Service fournissant l</w:t>
            </w:r>
            <w:r w:rsidR="00255969">
              <w:rPr>
                <w:sz w:val="18"/>
                <w:szCs w:val="24"/>
              </w:rPr>
              <w:t>’</w:t>
            </w:r>
            <w:r w:rsidRPr="00B16E6F">
              <w:rPr>
                <w:sz w:val="18"/>
                <w:szCs w:val="24"/>
              </w:rPr>
              <w:t>information [suivante]</w:t>
            </w:r>
          </w:p>
        </w:tc>
        <w:tc>
          <w:tcPr>
            <w:tcW w:w="4030" w:type="dxa"/>
            <w:tcBorders>
              <w:top w:val="dotted" w:sz="4" w:space="0" w:color="auto"/>
              <w:left w:val="dotted" w:sz="4" w:space="0" w:color="auto"/>
              <w:bottom w:val="dotted" w:sz="4" w:space="0" w:color="auto"/>
              <w:right w:val="dotted" w:sz="4" w:space="0" w:color="auto"/>
            </w:tcBorders>
            <w:noWrap/>
          </w:tcPr>
          <w:p w:rsidR="009F2B82" w:rsidRPr="00B16E6F" w:rsidRDefault="009F2B82" w:rsidP="0086795C">
            <w:pPr>
              <w:spacing w:before="40" w:after="40"/>
              <w:jc w:val="left"/>
              <w:rPr>
                <w:sz w:val="18"/>
                <w:szCs w:val="24"/>
              </w:rPr>
            </w:pPr>
            <w:r w:rsidRPr="00B16E6F">
              <w:rPr>
                <w:sz w:val="18"/>
                <w:szCs w:val="24"/>
              </w:rPr>
              <w:t>code ISO sur deux lettres</w:t>
            </w:r>
          </w:p>
        </w:tc>
      </w:tr>
      <w:tr w:rsidR="009F2B82" w:rsidRPr="00B16E6F" w:rsidTr="0086795C">
        <w:trPr>
          <w:cantSplit/>
        </w:trPr>
        <w:tc>
          <w:tcPr>
            <w:tcW w:w="5165" w:type="dxa"/>
            <w:tcBorders>
              <w:top w:val="dotted" w:sz="4" w:space="0" w:color="auto"/>
              <w:left w:val="dotted" w:sz="4" w:space="0" w:color="auto"/>
              <w:bottom w:val="dotted" w:sz="4" w:space="0" w:color="auto"/>
              <w:right w:val="dotted" w:sz="4" w:space="0" w:color="auto"/>
            </w:tcBorders>
          </w:tcPr>
          <w:p w:rsidR="009F2B82" w:rsidRPr="00B16E6F" w:rsidRDefault="009F2B82" w:rsidP="0086795C">
            <w:pPr>
              <w:spacing w:before="40" w:after="40"/>
              <w:jc w:val="left"/>
              <w:rPr>
                <w:sz w:val="18"/>
              </w:rPr>
            </w:pPr>
            <w:r w:rsidRPr="00B16E6F">
              <w:rPr>
                <w:sz w:val="18"/>
              </w:rPr>
              <w:t>ii)</w:t>
            </w:r>
            <w:r w:rsidRPr="00B16E6F">
              <w:rPr>
                <w:sz w:val="18"/>
              </w:rPr>
              <w:tab/>
              <w:t>Territoire de commercialisation</w:t>
            </w:r>
          </w:p>
        </w:tc>
        <w:tc>
          <w:tcPr>
            <w:tcW w:w="4030" w:type="dxa"/>
            <w:tcBorders>
              <w:top w:val="dotted" w:sz="4" w:space="0" w:color="auto"/>
              <w:left w:val="dotted" w:sz="4" w:space="0" w:color="auto"/>
              <w:bottom w:val="dotted" w:sz="4" w:space="0" w:color="auto"/>
              <w:right w:val="dotted" w:sz="4" w:space="0" w:color="auto"/>
            </w:tcBorders>
            <w:noWrap/>
          </w:tcPr>
          <w:p w:rsidR="009F2B82" w:rsidRPr="00B16E6F" w:rsidRDefault="009F2B82" w:rsidP="0086795C">
            <w:pPr>
              <w:spacing w:before="40" w:after="40"/>
              <w:jc w:val="left"/>
              <w:rPr>
                <w:sz w:val="18"/>
                <w:szCs w:val="24"/>
              </w:rPr>
            </w:pPr>
            <w:r w:rsidRPr="00B16E6F">
              <w:rPr>
                <w:sz w:val="18"/>
                <w:szCs w:val="24"/>
              </w:rPr>
              <w:t>code ISO sur deux lettres</w:t>
            </w:r>
          </w:p>
        </w:tc>
      </w:tr>
      <w:tr w:rsidR="009F2B82" w:rsidRPr="00B16E6F" w:rsidTr="0086795C">
        <w:trPr>
          <w:cantSplit/>
        </w:trPr>
        <w:tc>
          <w:tcPr>
            <w:tcW w:w="5165" w:type="dxa"/>
            <w:tcBorders>
              <w:top w:val="dotted" w:sz="4" w:space="0" w:color="auto"/>
              <w:left w:val="dotted" w:sz="4" w:space="0" w:color="auto"/>
              <w:bottom w:val="dotted" w:sz="4" w:space="0" w:color="auto"/>
              <w:right w:val="dotted" w:sz="4" w:space="0" w:color="auto"/>
            </w:tcBorders>
          </w:tcPr>
          <w:p w:rsidR="00DC7EA3" w:rsidRPr="00B16E6F" w:rsidRDefault="009F2B82" w:rsidP="0086795C">
            <w:pPr>
              <w:spacing w:before="40" w:after="40"/>
              <w:jc w:val="left"/>
              <w:rPr>
                <w:sz w:val="18"/>
              </w:rPr>
            </w:pPr>
            <w:r w:rsidRPr="00B16E6F">
              <w:rPr>
                <w:sz w:val="18"/>
              </w:rPr>
              <w:t>iii)</w:t>
            </w:r>
            <w:r w:rsidRPr="00B16E6F">
              <w:rPr>
                <w:rFonts w:cs="Arial"/>
                <w:sz w:val="18"/>
                <w:szCs w:val="18"/>
              </w:rPr>
              <w:t xml:space="preserve"> </w:t>
            </w:r>
            <w:r w:rsidRPr="00B16E6F">
              <w:rPr>
                <w:rFonts w:cs="Arial"/>
                <w:sz w:val="18"/>
                <w:szCs w:val="18"/>
              </w:rPr>
              <w:tab/>
            </w:r>
            <w:r w:rsidRPr="00B16E6F">
              <w:rPr>
                <w:sz w:val="18"/>
              </w:rPr>
              <w:t>Date à laquelle la variété a été commercialisée* pour la première fois sur le territoire</w:t>
            </w:r>
          </w:p>
          <w:p w:rsidR="009F2B82" w:rsidRPr="00B16E6F" w:rsidRDefault="009F2B82" w:rsidP="0086795C">
            <w:pPr>
              <w:spacing w:before="40" w:after="40"/>
              <w:jc w:val="left"/>
              <w:rPr>
                <w:sz w:val="18"/>
              </w:rPr>
            </w:pPr>
            <w:r w:rsidRPr="00B16E6F">
              <w:rPr>
                <w:sz w:val="18"/>
              </w:rPr>
              <w:t>(*L</w:t>
            </w:r>
            <w:r w:rsidR="00255969">
              <w:rPr>
                <w:sz w:val="18"/>
              </w:rPr>
              <w:t>’</w:t>
            </w:r>
            <w:r w:rsidRPr="00B16E6F">
              <w:rPr>
                <w:sz w:val="18"/>
              </w:rPr>
              <w:t>expression “commercialisée” s</w:t>
            </w:r>
            <w:r w:rsidR="00255969">
              <w:rPr>
                <w:sz w:val="18"/>
              </w:rPr>
              <w:t>’</w:t>
            </w:r>
            <w:r w:rsidRPr="00B16E6F">
              <w:rPr>
                <w:sz w:val="18"/>
              </w:rPr>
              <w:t>entend de ce qui est “vendu ou remis à des tiers d</w:t>
            </w:r>
            <w:r w:rsidR="00255969">
              <w:rPr>
                <w:sz w:val="18"/>
              </w:rPr>
              <w:t>’</w:t>
            </w:r>
            <w:r w:rsidRPr="00B16E6F">
              <w:rPr>
                <w:sz w:val="18"/>
              </w:rPr>
              <w:t>une autre manière, par l</w:t>
            </w:r>
            <w:r w:rsidR="00255969">
              <w:rPr>
                <w:sz w:val="18"/>
              </w:rPr>
              <w:t>’</w:t>
            </w:r>
            <w:r w:rsidRPr="00B16E6F">
              <w:rPr>
                <w:sz w:val="18"/>
              </w:rPr>
              <w:t>obtenteur ou avec son consentement, aux fins de l</w:t>
            </w:r>
            <w:r w:rsidR="00255969">
              <w:rPr>
                <w:sz w:val="18"/>
              </w:rPr>
              <w:t>’</w:t>
            </w:r>
            <w:r w:rsidRPr="00B16E6F">
              <w:rPr>
                <w:sz w:val="18"/>
              </w:rPr>
              <w:t>exploitation de la variété” (article 6,1) de l</w:t>
            </w:r>
            <w:r w:rsidR="00255969">
              <w:rPr>
                <w:sz w:val="18"/>
              </w:rPr>
              <w:t>’</w:t>
            </w:r>
            <w:r w:rsidRPr="00B16E6F">
              <w:rPr>
                <w:sz w:val="18"/>
              </w:rPr>
              <w:t xml:space="preserve">Acte de 1991 de la </w:t>
            </w:r>
            <w:r w:rsidR="00255969">
              <w:rPr>
                <w:sz w:val="18"/>
              </w:rPr>
              <w:t>Convention UPOV</w:t>
            </w:r>
            <w:r w:rsidRPr="00B16E6F">
              <w:rPr>
                <w:sz w:val="18"/>
              </w:rPr>
              <w:t>) ou “offert à la vente ou commercialisé avec le consentement de l</w:t>
            </w:r>
            <w:r w:rsidR="00255969">
              <w:rPr>
                <w:sz w:val="18"/>
              </w:rPr>
              <w:t>’</w:t>
            </w:r>
            <w:r w:rsidRPr="00B16E6F">
              <w:rPr>
                <w:sz w:val="18"/>
              </w:rPr>
              <w:t>obtenteur” (article 6.1.b) de l</w:t>
            </w:r>
            <w:r w:rsidR="00255969">
              <w:rPr>
                <w:sz w:val="18"/>
              </w:rPr>
              <w:t>’</w:t>
            </w:r>
            <w:r w:rsidRPr="00B16E6F">
              <w:rPr>
                <w:sz w:val="18"/>
              </w:rPr>
              <w:t xml:space="preserve">Acte de 1978 de la </w:t>
            </w:r>
            <w:r w:rsidR="00255969">
              <w:rPr>
                <w:sz w:val="18"/>
              </w:rPr>
              <w:t>Convention UPOV</w:t>
            </w:r>
            <w:r w:rsidRPr="00B16E6F">
              <w:rPr>
                <w:sz w:val="18"/>
              </w:rPr>
              <w:t>), selon la situation).</w:t>
            </w:r>
          </w:p>
        </w:tc>
        <w:tc>
          <w:tcPr>
            <w:tcW w:w="4030" w:type="dxa"/>
            <w:tcBorders>
              <w:top w:val="dotted" w:sz="4" w:space="0" w:color="auto"/>
              <w:left w:val="dotted" w:sz="4" w:space="0" w:color="auto"/>
              <w:bottom w:val="dotted" w:sz="4" w:space="0" w:color="auto"/>
              <w:right w:val="dotted" w:sz="4" w:space="0" w:color="auto"/>
            </w:tcBorders>
            <w:noWrap/>
          </w:tcPr>
          <w:p w:rsidR="009F2B82" w:rsidRPr="00B16E6F" w:rsidRDefault="009F2B82" w:rsidP="0086795C">
            <w:pPr>
              <w:spacing w:before="40" w:after="40"/>
              <w:jc w:val="left"/>
              <w:rPr>
                <w:sz w:val="18"/>
                <w:szCs w:val="24"/>
              </w:rPr>
            </w:pPr>
            <w:r w:rsidRPr="00B16E6F">
              <w:rPr>
                <w:sz w:val="18"/>
                <w:szCs w:val="24"/>
              </w:rPr>
              <w:t>date au format AAAA [MMJJ] (Année[MoisJour])</w:t>
            </w:r>
            <w:r w:rsidR="00255969">
              <w:rPr>
                <w:sz w:val="18"/>
                <w:szCs w:val="24"/>
              </w:rPr>
              <w:t> :</w:t>
            </w:r>
            <w:r w:rsidRPr="00B16E6F">
              <w:rPr>
                <w:sz w:val="18"/>
                <w:szCs w:val="24"/>
              </w:rPr>
              <w:t xml:space="preserve"> le mois et le jour ne seront pas obligatoires s</w:t>
            </w:r>
            <w:r w:rsidR="00255969">
              <w:rPr>
                <w:sz w:val="18"/>
                <w:szCs w:val="24"/>
              </w:rPr>
              <w:t>’</w:t>
            </w:r>
            <w:r w:rsidRPr="00B16E6F">
              <w:rPr>
                <w:sz w:val="18"/>
                <w:szCs w:val="24"/>
              </w:rPr>
              <w:t>ils ne sont pas disponibles</w:t>
            </w:r>
          </w:p>
        </w:tc>
      </w:tr>
      <w:tr w:rsidR="009F2B82" w:rsidRPr="00B16E6F" w:rsidTr="0086795C">
        <w:trPr>
          <w:cantSplit/>
        </w:trPr>
        <w:tc>
          <w:tcPr>
            <w:tcW w:w="5165" w:type="dxa"/>
            <w:tcBorders>
              <w:top w:val="dotted" w:sz="4" w:space="0" w:color="auto"/>
              <w:left w:val="dotted" w:sz="4" w:space="0" w:color="auto"/>
              <w:bottom w:val="dotted" w:sz="4" w:space="0" w:color="auto"/>
              <w:right w:val="dotted" w:sz="4" w:space="0" w:color="auto"/>
            </w:tcBorders>
          </w:tcPr>
          <w:p w:rsidR="009F2B82" w:rsidRPr="00B16E6F" w:rsidRDefault="009F2B82" w:rsidP="0086795C">
            <w:pPr>
              <w:spacing w:before="40" w:after="40"/>
              <w:jc w:val="left"/>
              <w:rPr>
                <w:sz w:val="18"/>
              </w:rPr>
            </w:pPr>
            <w:r w:rsidRPr="00B16E6F">
              <w:rPr>
                <w:sz w:val="18"/>
              </w:rPr>
              <w:t>iv)</w:t>
            </w:r>
            <w:r w:rsidRPr="00B16E6F">
              <w:rPr>
                <w:rFonts w:cs="Arial"/>
                <w:sz w:val="18"/>
                <w:szCs w:val="18"/>
              </w:rPr>
              <w:t xml:space="preserve"> </w:t>
            </w:r>
            <w:r w:rsidRPr="00B16E6F">
              <w:rPr>
                <w:rFonts w:cs="Arial"/>
                <w:sz w:val="18"/>
                <w:szCs w:val="18"/>
              </w:rPr>
              <w:tab/>
            </w:r>
            <w:r w:rsidRPr="00B16E6F">
              <w:rPr>
                <w:sz w:val="18"/>
              </w:rPr>
              <w:t>Origine de l</w:t>
            </w:r>
            <w:r w:rsidR="00255969">
              <w:rPr>
                <w:sz w:val="18"/>
              </w:rPr>
              <w:t>’</w:t>
            </w:r>
            <w:r w:rsidRPr="00B16E6F">
              <w:rPr>
                <w:sz w:val="18"/>
              </w:rPr>
              <w:t>information</w:t>
            </w:r>
          </w:p>
        </w:tc>
        <w:tc>
          <w:tcPr>
            <w:tcW w:w="4030" w:type="dxa"/>
            <w:tcBorders>
              <w:top w:val="dotted" w:sz="4" w:space="0" w:color="auto"/>
              <w:left w:val="dotted" w:sz="4" w:space="0" w:color="auto"/>
              <w:bottom w:val="dotted" w:sz="4" w:space="0" w:color="auto"/>
              <w:right w:val="dotted" w:sz="4" w:space="0" w:color="auto"/>
            </w:tcBorders>
            <w:noWrap/>
          </w:tcPr>
          <w:p w:rsidR="009F2B82" w:rsidRPr="00B16E6F" w:rsidRDefault="009F2B82" w:rsidP="0086795C">
            <w:pPr>
              <w:spacing w:before="40" w:after="40"/>
              <w:jc w:val="left"/>
              <w:rPr>
                <w:sz w:val="18"/>
                <w:szCs w:val="24"/>
              </w:rPr>
            </w:pPr>
            <w:r w:rsidRPr="00B16E6F">
              <w:rPr>
                <w:sz w:val="18"/>
                <w:szCs w:val="24"/>
              </w:rPr>
              <w:t xml:space="preserve">obligatoire pour toute entrée dans le champ &lt;XXX&gt; </w:t>
            </w:r>
          </w:p>
        </w:tc>
      </w:tr>
      <w:tr w:rsidR="009F2B82" w:rsidRPr="00B16E6F" w:rsidTr="0086795C">
        <w:trPr>
          <w:cantSplit/>
        </w:trPr>
        <w:tc>
          <w:tcPr>
            <w:tcW w:w="5165" w:type="dxa"/>
            <w:tcBorders>
              <w:top w:val="dotted" w:sz="4" w:space="0" w:color="auto"/>
              <w:left w:val="dotted" w:sz="4" w:space="0" w:color="auto"/>
              <w:bottom w:val="dotted" w:sz="4" w:space="0" w:color="auto"/>
              <w:right w:val="dotted" w:sz="4" w:space="0" w:color="auto"/>
            </w:tcBorders>
          </w:tcPr>
          <w:p w:rsidR="009F2B82" w:rsidRPr="00B16E6F" w:rsidRDefault="009F2B82" w:rsidP="0086795C">
            <w:pPr>
              <w:spacing w:before="40" w:after="40"/>
              <w:jc w:val="left"/>
              <w:rPr>
                <w:sz w:val="18"/>
              </w:rPr>
            </w:pPr>
            <w:r w:rsidRPr="00B16E6F">
              <w:rPr>
                <w:sz w:val="18"/>
              </w:rPr>
              <w:t>v)</w:t>
            </w:r>
            <w:r w:rsidRPr="00B16E6F">
              <w:rPr>
                <w:rFonts w:cs="Arial"/>
                <w:sz w:val="18"/>
                <w:szCs w:val="18"/>
              </w:rPr>
              <w:t xml:space="preserve"> </w:t>
            </w:r>
            <w:r w:rsidRPr="00B16E6F">
              <w:rPr>
                <w:rFonts w:cs="Arial"/>
                <w:sz w:val="18"/>
                <w:szCs w:val="18"/>
              </w:rPr>
              <w:tab/>
            </w:r>
            <w:r w:rsidRPr="00B16E6F">
              <w:rPr>
                <w:sz w:val="18"/>
              </w:rPr>
              <w:t>Statut de l</w:t>
            </w:r>
            <w:r w:rsidR="00255969">
              <w:rPr>
                <w:sz w:val="18"/>
              </w:rPr>
              <w:t>’</w:t>
            </w:r>
            <w:r w:rsidRPr="00B16E6F">
              <w:rPr>
                <w:sz w:val="18"/>
              </w:rPr>
              <w:t>information</w:t>
            </w:r>
          </w:p>
        </w:tc>
        <w:tc>
          <w:tcPr>
            <w:tcW w:w="4030" w:type="dxa"/>
            <w:tcBorders>
              <w:top w:val="dotted" w:sz="4" w:space="0" w:color="auto"/>
              <w:left w:val="dotted" w:sz="4" w:space="0" w:color="auto"/>
              <w:bottom w:val="dotted" w:sz="4" w:space="0" w:color="auto"/>
              <w:right w:val="dotted" w:sz="4" w:space="0" w:color="auto"/>
            </w:tcBorders>
            <w:noWrap/>
          </w:tcPr>
          <w:p w:rsidR="00DC7EA3" w:rsidRPr="00B16E6F" w:rsidRDefault="009F2B82" w:rsidP="0086795C">
            <w:pPr>
              <w:spacing w:before="40" w:after="40"/>
              <w:jc w:val="left"/>
              <w:rPr>
                <w:spacing w:val="-2"/>
                <w:sz w:val="18"/>
                <w:szCs w:val="24"/>
              </w:rPr>
            </w:pPr>
            <w:r w:rsidRPr="00B16E6F">
              <w:rPr>
                <w:spacing w:val="-2"/>
                <w:sz w:val="18"/>
                <w:szCs w:val="24"/>
              </w:rPr>
              <w:t>obligatoire pour toute entrée dans le champ &lt;XXX&gt;</w:t>
            </w:r>
          </w:p>
          <w:p w:rsidR="009F2B82" w:rsidRPr="00B16E6F" w:rsidRDefault="009F2B82" w:rsidP="0086795C">
            <w:pPr>
              <w:spacing w:before="40" w:after="40"/>
              <w:jc w:val="left"/>
              <w:rPr>
                <w:sz w:val="18"/>
                <w:szCs w:val="24"/>
              </w:rPr>
            </w:pPr>
            <w:r w:rsidRPr="00B16E6F">
              <w:rPr>
                <w:sz w:val="18"/>
                <w:szCs w:val="24"/>
              </w:rPr>
              <w:t>(permet d</w:t>
            </w:r>
            <w:r w:rsidR="00255969">
              <w:rPr>
                <w:sz w:val="18"/>
                <w:szCs w:val="24"/>
              </w:rPr>
              <w:t>’</w:t>
            </w:r>
            <w:r w:rsidRPr="00B16E6F">
              <w:rPr>
                <w:sz w:val="18"/>
                <w:szCs w:val="24"/>
              </w:rPr>
              <w:t>insérer une explication ou une référence à une source contenant une explication (p. ex. le site Web du service communiquant les données pour cette entrée).</w:t>
            </w:r>
          </w:p>
        </w:tc>
      </w:tr>
      <w:tr w:rsidR="009F2B82" w:rsidRPr="00B16E6F" w:rsidTr="0086795C">
        <w:trPr>
          <w:cantSplit/>
        </w:trPr>
        <w:tc>
          <w:tcPr>
            <w:tcW w:w="5165" w:type="dxa"/>
            <w:tcBorders>
              <w:top w:val="dotted" w:sz="4" w:space="0" w:color="auto"/>
              <w:left w:val="dotted" w:sz="4" w:space="0" w:color="auto"/>
              <w:bottom w:val="dotted" w:sz="4" w:space="0" w:color="auto"/>
              <w:right w:val="dotted" w:sz="4" w:space="0" w:color="auto"/>
            </w:tcBorders>
          </w:tcPr>
          <w:p w:rsidR="009F2B82" w:rsidRPr="00B16E6F" w:rsidRDefault="009F2B82" w:rsidP="0086795C">
            <w:pPr>
              <w:spacing w:before="40" w:after="40"/>
              <w:jc w:val="left"/>
              <w:rPr>
                <w:i/>
                <w:iCs/>
                <w:sz w:val="18"/>
                <w:szCs w:val="22"/>
              </w:rPr>
            </w:pPr>
            <w:r w:rsidRPr="00B16E6F">
              <w:rPr>
                <w:i/>
                <w:iCs/>
                <w:sz w:val="18"/>
                <w:szCs w:val="22"/>
              </w:rPr>
              <w:t>Note</w:t>
            </w:r>
            <w:r w:rsidR="00255969">
              <w:rPr>
                <w:i/>
                <w:iCs/>
                <w:sz w:val="18"/>
                <w:szCs w:val="22"/>
              </w:rPr>
              <w:t> :</w:t>
            </w:r>
            <w:r w:rsidRPr="00B16E6F">
              <w:rPr>
                <w:i/>
                <w:iCs/>
                <w:sz w:val="18"/>
                <w:szCs w:val="22"/>
              </w:rPr>
              <w:t xml:space="preserve"> pour une même demande, le service indiqué en i) pourrait saisir plus d</w:t>
            </w:r>
            <w:r w:rsidR="00255969">
              <w:rPr>
                <w:i/>
                <w:iCs/>
                <w:sz w:val="18"/>
                <w:szCs w:val="22"/>
              </w:rPr>
              <w:t>’</w:t>
            </w:r>
            <w:r w:rsidRPr="00B16E6F">
              <w:rPr>
                <w:i/>
                <w:iCs/>
                <w:sz w:val="18"/>
                <w:szCs w:val="22"/>
              </w:rPr>
              <w:t>une entrée concernant les éléments mentionnés de ii) à v).  Il pourrait notamment fournir des informations concernant la commercialisation “sur le territoire du pays de la demande” mais aussi “dans d</w:t>
            </w:r>
            <w:r w:rsidR="00255969">
              <w:rPr>
                <w:i/>
                <w:iCs/>
                <w:sz w:val="18"/>
                <w:szCs w:val="22"/>
              </w:rPr>
              <w:t>’</w:t>
            </w:r>
            <w:r w:rsidRPr="00B16E6F">
              <w:rPr>
                <w:i/>
                <w:iCs/>
                <w:sz w:val="18"/>
                <w:szCs w:val="22"/>
              </w:rPr>
              <w:t xml:space="preserve">autres territoires”.  </w:t>
            </w:r>
          </w:p>
        </w:tc>
        <w:tc>
          <w:tcPr>
            <w:tcW w:w="4030" w:type="dxa"/>
            <w:tcBorders>
              <w:top w:val="dotted" w:sz="4" w:space="0" w:color="auto"/>
              <w:left w:val="dotted" w:sz="4" w:space="0" w:color="auto"/>
              <w:bottom w:val="dotted" w:sz="4" w:space="0" w:color="auto"/>
              <w:right w:val="dotted" w:sz="4" w:space="0" w:color="auto"/>
            </w:tcBorders>
            <w:noWrap/>
          </w:tcPr>
          <w:p w:rsidR="009F2B82" w:rsidRPr="00B16E6F" w:rsidRDefault="009F2B82" w:rsidP="0086795C">
            <w:pPr>
              <w:spacing w:before="40" w:after="40"/>
              <w:jc w:val="left"/>
              <w:rPr>
                <w:sz w:val="18"/>
                <w:szCs w:val="24"/>
              </w:rPr>
            </w:pPr>
          </w:p>
        </w:tc>
      </w:tr>
    </w:tbl>
    <w:p w:rsidR="00DC7EA3" w:rsidRPr="00B16E6F" w:rsidRDefault="00DC7EA3" w:rsidP="009F2B82"/>
    <w:p w:rsidR="00DC7EA3" w:rsidRPr="00B16E6F" w:rsidRDefault="009F2B82" w:rsidP="009F2B82">
      <w:r w:rsidRPr="00B16E6F">
        <w:t xml:space="preserve">3.4.2 </w:t>
      </w:r>
      <w:r w:rsidRPr="00B16E6F">
        <w:tab/>
        <w:t>La réserve suivante apparaîtra à côté du titre de l</w:t>
      </w:r>
      <w:r w:rsidR="00255969">
        <w:t>’</w:t>
      </w:r>
      <w:r w:rsidRPr="00B16E6F">
        <w:t>entrée dans la base de données</w:t>
      </w:r>
      <w:r w:rsidR="00255969">
        <w:t> :</w:t>
      </w:r>
    </w:p>
    <w:p w:rsidR="00DC7EA3" w:rsidRPr="00B16E6F" w:rsidRDefault="00DC7EA3" w:rsidP="009F2B82">
      <w:pPr>
        <w:rPr>
          <w:sz w:val="14"/>
        </w:rPr>
      </w:pPr>
    </w:p>
    <w:p w:rsidR="00DC7EA3" w:rsidRPr="00B16E6F" w:rsidRDefault="009F2B82" w:rsidP="009F2B82">
      <w:pPr>
        <w:ind w:left="567" w:right="567"/>
        <w:rPr>
          <w:i/>
          <w:sz w:val="18"/>
        </w:rPr>
      </w:pPr>
      <w:r w:rsidRPr="00B16E6F">
        <w:rPr>
          <w:i/>
          <w:sz w:val="18"/>
        </w:rPr>
        <w:t>“L</w:t>
      </w:r>
      <w:r w:rsidR="00255969">
        <w:rPr>
          <w:i/>
          <w:sz w:val="18"/>
        </w:rPr>
        <w:t>’</w:t>
      </w:r>
      <w:r w:rsidRPr="00B16E6F">
        <w:rPr>
          <w:i/>
          <w:sz w:val="18"/>
        </w:rPr>
        <w:t>absence d</w:t>
      </w:r>
      <w:r w:rsidR="00255969">
        <w:rPr>
          <w:i/>
          <w:sz w:val="18"/>
        </w:rPr>
        <w:t>’</w:t>
      </w:r>
      <w:r w:rsidRPr="00B16E6F">
        <w:rPr>
          <w:i/>
          <w:sz w:val="18"/>
        </w:rPr>
        <w:t>informations dans le champ [XXX] n</w:t>
      </w:r>
      <w:r w:rsidR="00255969">
        <w:rPr>
          <w:i/>
          <w:sz w:val="18"/>
        </w:rPr>
        <w:t>’</w:t>
      </w:r>
      <w:r w:rsidRPr="00B16E6F">
        <w:rPr>
          <w:i/>
          <w:sz w:val="18"/>
        </w:rPr>
        <w:t>indique pas que la variété n</w:t>
      </w:r>
      <w:r w:rsidR="00255969">
        <w:rPr>
          <w:i/>
          <w:sz w:val="18"/>
        </w:rPr>
        <w:t>’</w:t>
      </w:r>
      <w:r w:rsidRPr="00B16E6F">
        <w:rPr>
          <w:i/>
          <w:sz w:val="18"/>
        </w:rPr>
        <w:t>a pas été commercialis</w:t>
      </w:r>
      <w:r w:rsidR="00F3336A" w:rsidRPr="00B16E6F">
        <w:rPr>
          <w:i/>
          <w:sz w:val="18"/>
        </w:rPr>
        <w:t>ée</w:t>
      </w:r>
      <w:r w:rsidR="00F3336A">
        <w:rPr>
          <w:i/>
          <w:sz w:val="18"/>
        </w:rPr>
        <w:t xml:space="preserve">.  </w:t>
      </w:r>
      <w:r w:rsidR="00F3336A" w:rsidRPr="00B16E6F">
        <w:rPr>
          <w:i/>
          <w:sz w:val="18"/>
        </w:rPr>
        <w:t>Po</w:t>
      </w:r>
      <w:r w:rsidRPr="00B16E6F">
        <w:rPr>
          <w:i/>
          <w:sz w:val="18"/>
        </w:rPr>
        <w:t>ur toute information communiquée, il convient de consulter son origine et son statut dans les champs “Origine de l</w:t>
      </w:r>
      <w:r w:rsidR="00255969">
        <w:rPr>
          <w:i/>
          <w:sz w:val="18"/>
        </w:rPr>
        <w:t>’</w:t>
      </w:r>
      <w:r w:rsidRPr="00B16E6F">
        <w:rPr>
          <w:i/>
          <w:sz w:val="18"/>
        </w:rPr>
        <w:t>information” et “Statut de l</w:t>
      </w:r>
      <w:r w:rsidR="00255969">
        <w:rPr>
          <w:i/>
          <w:sz w:val="18"/>
        </w:rPr>
        <w:t>’</w:t>
      </w:r>
      <w:r w:rsidRPr="00B16E6F">
        <w:rPr>
          <w:i/>
          <w:sz w:val="18"/>
        </w:rPr>
        <w:t>information”.  À cet égard, il convient aussi de noter que les informations fournies ne sont pas nécessairement exhaustives et précises.”</w:t>
      </w:r>
    </w:p>
    <w:p w:rsidR="00DC7EA3" w:rsidRPr="00B16E6F" w:rsidRDefault="00DC7EA3" w:rsidP="009F2B82">
      <w:pPr>
        <w:rPr>
          <w:i/>
          <w:iCs/>
        </w:rPr>
      </w:pPr>
    </w:p>
    <w:p w:rsidR="00DC7EA3" w:rsidRPr="00B16E6F" w:rsidRDefault="00DC7EA3" w:rsidP="009F2B82">
      <w:pPr>
        <w:rPr>
          <w:i/>
          <w:iCs/>
        </w:rPr>
      </w:pPr>
    </w:p>
    <w:p w:rsidR="00DC7EA3" w:rsidRPr="00B16E6F" w:rsidRDefault="009F2B82" w:rsidP="009F2B82">
      <w:pPr>
        <w:keepNext/>
        <w:rPr>
          <w:bCs/>
          <w:i/>
          <w:iCs/>
        </w:rPr>
      </w:pPr>
      <w:r w:rsidRPr="00B16E6F">
        <w:rPr>
          <w:bCs/>
          <w:i/>
          <w:iCs/>
        </w:rPr>
        <w:t>4.</w:t>
      </w:r>
      <w:r w:rsidRPr="00B16E6F">
        <w:rPr>
          <w:bCs/>
          <w:iCs/>
        </w:rPr>
        <w:tab/>
      </w:r>
      <w:r w:rsidRPr="00B16E6F">
        <w:rPr>
          <w:bCs/>
          <w:i/>
          <w:iCs/>
        </w:rPr>
        <w:t>Fréquence de la communication des données</w:t>
      </w:r>
    </w:p>
    <w:p w:rsidR="00DC7EA3" w:rsidRPr="00B16E6F" w:rsidRDefault="00DC7EA3" w:rsidP="009F2B82">
      <w:pPr>
        <w:keepNext/>
        <w:rPr>
          <w:bCs/>
        </w:rPr>
      </w:pPr>
    </w:p>
    <w:p w:rsidR="00DC7EA3" w:rsidRPr="00B16E6F" w:rsidRDefault="009F2B82" w:rsidP="009F2B82">
      <w:pPr>
        <w:rPr>
          <w:bCs/>
        </w:rPr>
      </w:pPr>
      <w:r w:rsidRPr="00B16E6F">
        <w:rPr>
          <w:bCs/>
        </w:rPr>
        <w:t>Les contributeurs seront encouragés à fournir des données dès que possible après leur publication par l</w:t>
      </w:r>
      <w:r w:rsidR="00255969">
        <w:rPr>
          <w:bCs/>
        </w:rPr>
        <w:t>’</w:t>
      </w:r>
      <w:r w:rsidRPr="00B16E6F">
        <w:rPr>
          <w:bCs/>
        </w:rPr>
        <w:t>(les) autorité(s) concernée(s).  La base de données PLUTO sera mise à jour avec de nouvelles données aussi rapidement que possible après leur réception, conformément à la procédure de téléchargeme</w:t>
      </w:r>
      <w:r w:rsidR="00F3336A" w:rsidRPr="00B16E6F">
        <w:rPr>
          <w:bCs/>
        </w:rPr>
        <w:t>nt</w:t>
      </w:r>
      <w:r w:rsidR="00F3336A">
        <w:rPr>
          <w:bCs/>
        </w:rPr>
        <w:t xml:space="preserve">.  </w:t>
      </w:r>
      <w:r w:rsidR="00F3336A" w:rsidRPr="00B16E6F">
        <w:rPr>
          <w:bCs/>
        </w:rPr>
        <w:t>La</w:t>
      </w:r>
      <w:r w:rsidRPr="00B16E6F">
        <w:rPr>
          <w:bCs/>
        </w:rPr>
        <w:t xml:space="preserve"> base de données PLUTO peut, au besoin, être mise à jour à l</w:t>
      </w:r>
      <w:r w:rsidR="00255969">
        <w:rPr>
          <w:bCs/>
        </w:rPr>
        <w:t>’</w:t>
      </w:r>
      <w:r w:rsidRPr="00B16E6F">
        <w:rPr>
          <w:bCs/>
        </w:rPr>
        <w:t>aide de données corrigées, conformément à la procédure de téléchargement.</w:t>
      </w:r>
    </w:p>
    <w:p w:rsidR="00DC7EA3" w:rsidRPr="00B16E6F" w:rsidRDefault="00DC7EA3" w:rsidP="009F2B82">
      <w:pPr>
        <w:rPr>
          <w:bCs/>
        </w:rPr>
      </w:pPr>
    </w:p>
    <w:p w:rsidR="00DC7EA3" w:rsidRPr="00B16E6F" w:rsidRDefault="00DC7EA3" w:rsidP="009F2B82">
      <w:pPr>
        <w:rPr>
          <w:bCs/>
        </w:rPr>
      </w:pPr>
    </w:p>
    <w:p w:rsidR="00DC7EA3" w:rsidRPr="00B16E6F" w:rsidRDefault="009F2B82" w:rsidP="009F2B82">
      <w:pPr>
        <w:keepNext/>
        <w:rPr>
          <w:bCs/>
          <w:i/>
        </w:rPr>
      </w:pPr>
      <w:r w:rsidRPr="00B16E6F">
        <w:rPr>
          <w:bCs/>
          <w:i/>
        </w:rPr>
        <w:t>5.</w:t>
      </w:r>
      <w:r w:rsidRPr="00B16E6F">
        <w:rPr>
          <w:bCs/>
          <w:i/>
        </w:rPr>
        <w:tab/>
        <w:t>Avertissement</w:t>
      </w:r>
    </w:p>
    <w:p w:rsidR="00DC7EA3" w:rsidRPr="00B16E6F" w:rsidRDefault="00DC7EA3" w:rsidP="009F2B82">
      <w:pPr>
        <w:keepNext/>
        <w:rPr>
          <w:bCs/>
        </w:rPr>
      </w:pPr>
    </w:p>
    <w:p w:rsidR="00DC7EA3" w:rsidRPr="00B16E6F" w:rsidRDefault="009F2B82" w:rsidP="009F2B82">
      <w:pPr>
        <w:keepNext/>
        <w:rPr>
          <w:bCs/>
        </w:rPr>
      </w:pPr>
      <w:r w:rsidRPr="00B16E6F">
        <w:rPr>
          <w:bCs/>
        </w:rPr>
        <w:t>5.1</w:t>
      </w:r>
      <w:r w:rsidRPr="00B16E6F">
        <w:rPr>
          <w:bCs/>
        </w:rPr>
        <w:tab/>
        <w:t>L</w:t>
      </w:r>
      <w:r w:rsidR="00255969">
        <w:rPr>
          <w:bCs/>
        </w:rPr>
        <w:t>’</w:t>
      </w:r>
      <w:r w:rsidRPr="00B16E6F">
        <w:rPr>
          <w:bCs/>
        </w:rPr>
        <w:t>avertissement suivant figure sur la page PLUTO du site Web de l</w:t>
      </w:r>
      <w:r w:rsidR="00255969">
        <w:rPr>
          <w:bCs/>
        </w:rPr>
        <w:t>’</w:t>
      </w:r>
      <w:r w:rsidRPr="00B16E6F">
        <w:rPr>
          <w:bCs/>
        </w:rPr>
        <w:t>UPOV</w:t>
      </w:r>
    </w:p>
    <w:p w:rsidR="00DC7EA3" w:rsidRPr="00B16E6F" w:rsidRDefault="00DC7EA3" w:rsidP="009F2B82">
      <w:pPr>
        <w:keepNext/>
        <w:rPr>
          <w:bCs/>
        </w:rPr>
      </w:pPr>
    </w:p>
    <w:p w:rsidR="00DC7EA3" w:rsidRPr="00B16E6F" w:rsidRDefault="009F2B82" w:rsidP="009F2B82">
      <w:pPr>
        <w:ind w:left="567" w:right="567"/>
        <w:rPr>
          <w:snapToGrid w:val="0"/>
          <w:sz w:val="18"/>
          <w:szCs w:val="18"/>
        </w:rPr>
      </w:pPr>
      <w:r w:rsidRPr="00B16E6F">
        <w:rPr>
          <w:snapToGrid w:val="0"/>
          <w:sz w:val="18"/>
          <w:szCs w:val="18"/>
        </w:rPr>
        <w:t>“Les données les plus récentes disponibles dans la base de données PLUTO datent de [jj/mm/aaaa].</w:t>
      </w:r>
    </w:p>
    <w:p w:rsidR="00DC7EA3" w:rsidRPr="00B16E6F" w:rsidRDefault="00DC7EA3" w:rsidP="009F2B82">
      <w:pPr>
        <w:ind w:left="567" w:right="567"/>
        <w:rPr>
          <w:snapToGrid w:val="0"/>
          <w:sz w:val="18"/>
          <w:szCs w:val="18"/>
        </w:rPr>
      </w:pPr>
    </w:p>
    <w:p w:rsidR="00DC7EA3" w:rsidRPr="00B16E6F" w:rsidRDefault="009F2B82" w:rsidP="009F2B82">
      <w:pPr>
        <w:ind w:left="567" w:right="567"/>
        <w:rPr>
          <w:snapToGrid w:val="0"/>
          <w:sz w:val="18"/>
          <w:szCs w:val="18"/>
        </w:rPr>
      </w:pPr>
      <w:r w:rsidRPr="00B16E6F">
        <w:rPr>
          <w:snapToGrid w:val="0"/>
          <w:sz w:val="18"/>
          <w:szCs w:val="18"/>
        </w:rPr>
        <w:t>“Pour continuer vers la page PLUTO, vous devez d</w:t>
      </w:r>
      <w:r w:rsidR="00255969">
        <w:rPr>
          <w:snapToGrid w:val="0"/>
          <w:sz w:val="18"/>
          <w:szCs w:val="18"/>
        </w:rPr>
        <w:t>’</w:t>
      </w:r>
      <w:r w:rsidRPr="00B16E6F">
        <w:rPr>
          <w:snapToGrid w:val="0"/>
          <w:sz w:val="18"/>
          <w:szCs w:val="18"/>
        </w:rPr>
        <w:t>abord prendre acte de l</w:t>
      </w:r>
      <w:r w:rsidR="00255969">
        <w:rPr>
          <w:snapToGrid w:val="0"/>
          <w:sz w:val="18"/>
          <w:szCs w:val="18"/>
        </w:rPr>
        <w:t>’</w:t>
      </w:r>
      <w:r w:rsidRPr="00B16E6F">
        <w:rPr>
          <w:snapToGrid w:val="0"/>
          <w:sz w:val="18"/>
          <w:szCs w:val="18"/>
        </w:rPr>
        <w:t>avertissement suivant.</w:t>
      </w:r>
    </w:p>
    <w:p w:rsidR="00DC7EA3" w:rsidRPr="00B16E6F" w:rsidRDefault="00DC7EA3" w:rsidP="009F2B82">
      <w:pPr>
        <w:ind w:left="567" w:right="567"/>
        <w:rPr>
          <w:snapToGrid w:val="0"/>
          <w:sz w:val="18"/>
          <w:szCs w:val="18"/>
        </w:rPr>
      </w:pPr>
    </w:p>
    <w:p w:rsidR="00DC7EA3" w:rsidRPr="00B16E6F" w:rsidRDefault="009F2B82" w:rsidP="009F2B82">
      <w:pPr>
        <w:ind w:left="567" w:right="567"/>
        <w:rPr>
          <w:snapToGrid w:val="0"/>
          <w:spacing w:val="-2"/>
          <w:sz w:val="18"/>
          <w:szCs w:val="18"/>
        </w:rPr>
      </w:pPr>
      <w:r w:rsidRPr="00B16E6F">
        <w:rPr>
          <w:snapToGrid w:val="0"/>
          <w:spacing w:val="-2"/>
          <w:sz w:val="18"/>
          <w:szCs w:val="18"/>
        </w:rPr>
        <w:t>“Veuillez noter que les informations relatives aux droits d</w:t>
      </w:r>
      <w:r w:rsidR="00255969">
        <w:rPr>
          <w:snapToGrid w:val="0"/>
          <w:spacing w:val="-2"/>
          <w:sz w:val="18"/>
          <w:szCs w:val="18"/>
        </w:rPr>
        <w:t>’</w:t>
      </w:r>
      <w:r w:rsidRPr="00B16E6F">
        <w:rPr>
          <w:snapToGrid w:val="0"/>
          <w:spacing w:val="-2"/>
          <w:sz w:val="18"/>
          <w:szCs w:val="18"/>
        </w:rPr>
        <w:t>obtenteur figurant dans la base de données PLUTO n</w:t>
      </w:r>
      <w:r w:rsidR="00255969">
        <w:rPr>
          <w:snapToGrid w:val="0"/>
          <w:spacing w:val="-2"/>
          <w:sz w:val="18"/>
          <w:szCs w:val="18"/>
        </w:rPr>
        <w:t>’</w:t>
      </w:r>
      <w:r w:rsidRPr="00B16E6F">
        <w:rPr>
          <w:snapToGrid w:val="0"/>
          <w:spacing w:val="-2"/>
          <w:sz w:val="18"/>
          <w:szCs w:val="18"/>
        </w:rPr>
        <w:t>ont pas valeur de publication officielle par les services concern</w:t>
      </w:r>
      <w:r w:rsidR="00F3336A" w:rsidRPr="00B16E6F">
        <w:rPr>
          <w:snapToGrid w:val="0"/>
          <w:spacing w:val="-2"/>
          <w:sz w:val="18"/>
          <w:szCs w:val="18"/>
        </w:rPr>
        <w:t>és</w:t>
      </w:r>
      <w:r w:rsidR="00F3336A">
        <w:rPr>
          <w:snapToGrid w:val="0"/>
          <w:spacing w:val="-2"/>
          <w:sz w:val="18"/>
          <w:szCs w:val="18"/>
        </w:rPr>
        <w:t xml:space="preserve">.  </w:t>
      </w:r>
      <w:r w:rsidR="00F3336A" w:rsidRPr="00B16E6F">
        <w:rPr>
          <w:snapToGrid w:val="0"/>
          <w:spacing w:val="-2"/>
          <w:sz w:val="18"/>
          <w:szCs w:val="18"/>
        </w:rPr>
        <w:t>Po</w:t>
      </w:r>
      <w:r w:rsidRPr="00B16E6F">
        <w:rPr>
          <w:snapToGrid w:val="0"/>
          <w:spacing w:val="-2"/>
          <w:sz w:val="18"/>
          <w:szCs w:val="18"/>
        </w:rPr>
        <w:t>ur consulter les informations officielles ou obtenir des précisions sur le caractère et l</w:t>
      </w:r>
      <w:r w:rsidR="00255969">
        <w:rPr>
          <w:snapToGrid w:val="0"/>
          <w:spacing w:val="-2"/>
          <w:sz w:val="18"/>
          <w:szCs w:val="18"/>
        </w:rPr>
        <w:t>’</w:t>
      </w:r>
      <w:r w:rsidRPr="00B16E6F">
        <w:rPr>
          <w:snapToGrid w:val="0"/>
          <w:spacing w:val="-2"/>
          <w:sz w:val="18"/>
          <w:szCs w:val="18"/>
        </w:rPr>
        <w:t>exhaustivité des informations figurant dans la base de données PLUTO, veuillez vous mettre en rapport avec le service compétent, dont vous trouverez les coordonnées à l</w:t>
      </w:r>
      <w:r w:rsidR="00255969">
        <w:rPr>
          <w:snapToGrid w:val="0"/>
          <w:spacing w:val="-2"/>
          <w:sz w:val="18"/>
          <w:szCs w:val="18"/>
        </w:rPr>
        <w:t>’</w:t>
      </w:r>
      <w:r w:rsidRPr="00B16E6F">
        <w:rPr>
          <w:snapToGrid w:val="0"/>
          <w:spacing w:val="-2"/>
          <w:sz w:val="18"/>
          <w:szCs w:val="18"/>
        </w:rPr>
        <w:t xml:space="preserve">adresse </w:t>
      </w:r>
      <w:hyperlink r:id="rId15" w:history="1">
        <w:r w:rsidRPr="00B16E6F">
          <w:rPr>
            <w:rStyle w:val="Hyperlink"/>
            <w:rFonts w:cs="Arial"/>
            <w:color w:val="auto"/>
            <w:sz w:val="18"/>
          </w:rPr>
          <w:t>https://www.upov.int/members/fr/pvp_offices.html</w:t>
        </w:r>
      </w:hyperlink>
      <w:r w:rsidRPr="00B16E6F">
        <w:rPr>
          <w:snapToGrid w:val="0"/>
          <w:spacing w:val="-2"/>
          <w:sz w:val="18"/>
          <w:szCs w:val="18"/>
        </w:rPr>
        <w:t>.</w:t>
      </w:r>
    </w:p>
    <w:p w:rsidR="00DC7EA3" w:rsidRPr="00B16E6F" w:rsidRDefault="00DC7EA3" w:rsidP="009F2B82">
      <w:pPr>
        <w:ind w:left="567" w:right="567"/>
        <w:rPr>
          <w:snapToGrid w:val="0"/>
          <w:sz w:val="18"/>
          <w:szCs w:val="18"/>
        </w:rPr>
      </w:pPr>
    </w:p>
    <w:p w:rsidR="00DC7EA3" w:rsidRPr="00B16E6F" w:rsidRDefault="009F2B82" w:rsidP="009F2B82">
      <w:pPr>
        <w:ind w:left="567" w:right="567"/>
        <w:rPr>
          <w:snapToGrid w:val="0"/>
          <w:sz w:val="18"/>
          <w:szCs w:val="18"/>
        </w:rPr>
      </w:pPr>
      <w:r w:rsidRPr="00B16E6F">
        <w:rPr>
          <w:snapToGrid w:val="0"/>
          <w:sz w:val="18"/>
          <w:szCs w:val="18"/>
        </w:rPr>
        <w:t>“Tous les contributeurs de la base de données PLUTO sont responsables de l</w:t>
      </w:r>
      <w:r w:rsidR="00255969">
        <w:rPr>
          <w:snapToGrid w:val="0"/>
          <w:sz w:val="18"/>
          <w:szCs w:val="18"/>
        </w:rPr>
        <w:t>’</w:t>
      </w:r>
      <w:r w:rsidRPr="00B16E6F">
        <w:rPr>
          <w:snapToGrid w:val="0"/>
          <w:sz w:val="18"/>
          <w:szCs w:val="18"/>
        </w:rPr>
        <w:t>exactitude et de l</w:t>
      </w:r>
      <w:r w:rsidR="00255969">
        <w:rPr>
          <w:snapToGrid w:val="0"/>
          <w:sz w:val="18"/>
          <w:szCs w:val="18"/>
        </w:rPr>
        <w:t>’</w:t>
      </w:r>
      <w:r w:rsidRPr="00B16E6F">
        <w:rPr>
          <w:snapToGrid w:val="0"/>
          <w:sz w:val="18"/>
          <w:szCs w:val="18"/>
        </w:rPr>
        <w:t>exhaustivité des données qu</w:t>
      </w:r>
      <w:r w:rsidR="00255969">
        <w:rPr>
          <w:snapToGrid w:val="0"/>
          <w:sz w:val="18"/>
          <w:szCs w:val="18"/>
        </w:rPr>
        <w:t>’</w:t>
      </w:r>
      <w:r w:rsidRPr="00B16E6F">
        <w:rPr>
          <w:snapToGrid w:val="0"/>
          <w:sz w:val="18"/>
          <w:szCs w:val="18"/>
        </w:rPr>
        <w:t>ils fournisse</w:t>
      </w:r>
      <w:r w:rsidR="00F3336A" w:rsidRPr="00B16E6F">
        <w:rPr>
          <w:snapToGrid w:val="0"/>
          <w:sz w:val="18"/>
          <w:szCs w:val="18"/>
        </w:rPr>
        <w:t>nt</w:t>
      </w:r>
      <w:r w:rsidR="00F3336A">
        <w:rPr>
          <w:snapToGrid w:val="0"/>
          <w:sz w:val="18"/>
          <w:szCs w:val="18"/>
        </w:rPr>
        <w:t xml:space="preserve">.  </w:t>
      </w:r>
      <w:r w:rsidR="00F3336A" w:rsidRPr="00B16E6F">
        <w:rPr>
          <w:snapToGrid w:val="0"/>
          <w:sz w:val="18"/>
          <w:szCs w:val="18"/>
        </w:rPr>
        <w:t>Le</w:t>
      </w:r>
      <w:r w:rsidRPr="00B16E6F">
        <w:rPr>
          <w:snapToGrid w:val="0"/>
          <w:sz w:val="18"/>
          <w:szCs w:val="18"/>
        </w:rPr>
        <w:t>s utilisateurs sont particulièrement invités à noter que les membres de l</w:t>
      </w:r>
      <w:r w:rsidR="00255969">
        <w:rPr>
          <w:snapToGrid w:val="0"/>
          <w:sz w:val="18"/>
          <w:szCs w:val="18"/>
        </w:rPr>
        <w:t>’</w:t>
      </w:r>
      <w:r w:rsidRPr="00B16E6F">
        <w:rPr>
          <w:snapToGrid w:val="0"/>
          <w:sz w:val="18"/>
          <w:szCs w:val="18"/>
        </w:rPr>
        <w:t>Union ne sont pas tenus de fournir des données pour la base de données PLUTO et que les membres de l</w:t>
      </w:r>
      <w:r w:rsidR="00255969">
        <w:rPr>
          <w:snapToGrid w:val="0"/>
          <w:sz w:val="18"/>
          <w:szCs w:val="18"/>
        </w:rPr>
        <w:t>’</w:t>
      </w:r>
      <w:r w:rsidRPr="00B16E6F">
        <w:rPr>
          <w:snapToGrid w:val="0"/>
          <w:sz w:val="18"/>
          <w:szCs w:val="18"/>
        </w:rPr>
        <w:t>Union qui fournissent des données ne sont pas tenus d</w:t>
      </w:r>
      <w:r w:rsidR="00255969">
        <w:rPr>
          <w:snapToGrid w:val="0"/>
          <w:sz w:val="18"/>
          <w:szCs w:val="18"/>
        </w:rPr>
        <w:t>’</w:t>
      </w:r>
      <w:r w:rsidRPr="00B16E6F">
        <w:rPr>
          <w:snapToGrid w:val="0"/>
          <w:sz w:val="18"/>
          <w:szCs w:val="18"/>
        </w:rPr>
        <w:t>en fournir pour toutes les rubriques.”</w:t>
      </w:r>
    </w:p>
    <w:p w:rsidR="00DC7EA3" w:rsidRPr="00B16E6F" w:rsidRDefault="00DC7EA3" w:rsidP="009F2B82">
      <w:pPr>
        <w:rPr>
          <w:bCs/>
        </w:rPr>
      </w:pPr>
    </w:p>
    <w:p w:rsidR="00DC7EA3" w:rsidRPr="00B16E6F" w:rsidRDefault="009F2B82" w:rsidP="009F2B82">
      <w:pPr>
        <w:rPr>
          <w:bCs/>
        </w:rPr>
      </w:pPr>
      <w:r w:rsidRPr="00B16E6F">
        <w:rPr>
          <w:bCs/>
        </w:rPr>
        <w:t xml:space="preserve">5.2 </w:t>
      </w:r>
      <w:r w:rsidRPr="00B16E6F">
        <w:rPr>
          <w:bCs/>
        </w:rPr>
        <w:tab/>
        <w:t>L</w:t>
      </w:r>
      <w:r w:rsidR="00255969">
        <w:rPr>
          <w:bCs/>
        </w:rPr>
        <w:t>’</w:t>
      </w:r>
      <w:r w:rsidRPr="00B16E6F">
        <w:rPr>
          <w:bCs/>
        </w:rPr>
        <w:t>avertissement suivant figure sur les rapports produits par la base de données PLUTO</w:t>
      </w:r>
      <w:r w:rsidR="00255969">
        <w:rPr>
          <w:bCs/>
        </w:rPr>
        <w:t> :</w:t>
      </w:r>
    </w:p>
    <w:p w:rsidR="00DC7EA3" w:rsidRPr="00B16E6F" w:rsidRDefault="00DC7EA3" w:rsidP="009F2B82">
      <w:pPr>
        <w:rPr>
          <w:bCs/>
        </w:rPr>
      </w:pPr>
    </w:p>
    <w:p w:rsidR="00DC7EA3" w:rsidRPr="00B16E6F" w:rsidRDefault="009F2B82" w:rsidP="009F2B82">
      <w:pPr>
        <w:keepNext/>
        <w:ind w:left="567" w:right="567"/>
        <w:rPr>
          <w:rStyle w:val="Hyperlink"/>
          <w:snapToGrid w:val="0"/>
          <w:color w:val="auto"/>
          <w:sz w:val="18"/>
          <w:szCs w:val="18"/>
        </w:rPr>
      </w:pPr>
      <w:r w:rsidRPr="00B16E6F">
        <w:rPr>
          <w:rStyle w:val="Hyperlink"/>
          <w:snapToGrid w:val="0"/>
          <w:color w:val="auto"/>
          <w:sz w:val="18"/>
          <w:szCs w:val="18"/>
          <w:u w:val="none"/>
        </w:rPr>
        <w:t xml:space="preserve">“Les </w:t>
      </w:r>
      <w:hyperlink r:id="rId16" w:tgtFrame="_blank" w:history="1">
        <w:r w:rsidRPr="00B16E6F">
          <w:rPr>
            <w:rStyle w:val="Hyperlink"/>
            <w:rFonts w:cs="Arial"/>
            <w:color w:val="auto"/>
            <w:sz w:val="18"/>
          </w:rPr>
          <w:t>données figurant dans le présent rapport ont été produites par la base de données PLUTO le [jj/mm/aaaa]</w:t>
        </w:r>
      </w:hyperlink>
      <w:r w:rsidRPr="00B16E6F">
        <w:rPr>
          <w:rStyle w:val="Hyperlink"/>
          <w:snapToGrid w:val="0"/>
          <w:color w:val="auto"/>
          <w:sz w:val="18"/>
          <w:szCs w:val="18"/>
          <w:u w:val="none"/>
        </w:rPr>
        <w:t>.</w:t>
      </w:r>
    </w:p>
    <w:p w:rsidR="00DC7EA3" w:rsidRPr="00B16E6F" w:rsidRDefault="00DC7EA3" w:rsidP="009F2B82">
      <w:pPr>
        <w:keepNext/>
        <w:ind w:left="567" w:right="567"/>
        <w:rPr>
          <w:snapToGrid w:val="0"/>
          <w:sz w:val="18"/>
          <w:szCs w:val="18"/>
        </w:rPr>
      </w:pPr>
    </w:p>
    <w:p w:rsidR="00DC7EA3" w:rsidRPr="00B16E6F" w:rsidRDefault="009F2B82" w:rsidP="009F2B82">
      <w:pPr>
        <w:ind w:left="567" w:right="567"/>
        <w:rPr>
          <w:snapToGrid w:val="0"/>
          <w:spacing w:val="-2"/>
          <w:sz w:val="18"/>
          <w:szCs w:val="18"/>
        </w:rPr>
      </w:pPr>
      <w:r w:rsidRPr="00B16E6F">
        <w:rPr>
          <w:snapToGrid w:val="0"/>
          <w:spacing w:val="-2"/>
          <w:sz w:val="18"/>
          <w:szCs w:val="18"/>
        </w:rPr>
        <w:t>“Veuillez noter que les informations relatives aux droits d</w:t>
      </w:r>
      <w:r w:rsidR="00255969">
        <w:rPr>
          <w:snapToGrid w:val="0"/>
          <w:spacing w:val="-2"/>
          <w:sz w:val="18"/>
          <w:szCs w:val="18"/>
        </w:rPr>
        <w:t>’</w:t>
      </w:r>
      <w:r w:rsidRPr="00B16E6F">
        <w:rPr>
          <w:snapToGrid w:val="0"/>
          <w:spacing w:val="-2"/>
          <w:sz w:val="18"/>
          <w:szCs w:val="18"/>
        </w:rPr>
        <w:t>obtenteur figurant dans la base de données PLUTO n</w:t>
      </w:r>
      <w:r w:rsidR="00255969">
        <w:rPr>
          <w:snapToGrid w:val="0"/>
          <w:spacing w:val="-2"/>
          <w:sz w:val="18"/>
          <w:szCs w:val="18"/>
        </w:rPr>
        <w:t>’</w:t>
      </w:r>
      <w:r w:rsidRPr="00B16E6F">
        <w:rPr>
          <w:snapToGrid w:val="0"/>
          <w:spacing w:val="-2"/>
          <w:sz w:val="18"/>
          <w:szCs w:val="18"/>
        </w:rPr>
        <w:t>ont pas valeur de publication officielle par les services concern</w:t>
      </w:r>
      <w:r w:rsidR="00F3336A" w:rsidRPr="00B16E6F">
        <w:rPr>
          <w:snapToGrid w:val="0"/>
          <w:spacing w:val="-2"/>
          <w:sz w:val="18"/>
          <w:szCs w:val="18"/>
        </w:rPr>
        <w:t>és</w:t>
      </w:r>
      <w:r w:rsidR="00F3336A">
        <w:rPr>
          <w:snapToGrid w:val="0"/>
          <w:spacing w:val="-2"/>
          <w:sz w:val="18"/>
          <w:szCs w:val="18"/>
        </w:rPr>
        <w:t xml:space="preserve">.  </w:t>
      </w:r>
      <w:r w:rsidR="00F3336A" w:rsidRPr="00B16E6F">
        <w:rPr>
          <w:snapToGrid w:val="0"/>
          <w:spacing w:val="-2"/>
          <w:sz w:val="18"/>
          <w:szCs w:val="18"/>
        </w:rPr>
        <w:t>Po</w:t>
      </w:r>
      <w:r w:rsidRPr="00B16E6F">
        <w:rPr>
          <w:snapToGrid w:val="0"/>
          <w:spacing w:val="-2"/>
          <w:sz w:val="18"/>
          <w:szCs w:val="18"/>
        </w:rPr>
        <w:t>ur consulter les informations officielles ou obtenir des précisions sur le caractère et l</w:t>
      </w:r>
      <w:r w:rsidR="00255969">
        <w:rPr>
          <w:snapToGrid w:val="0"/>
          <w:spacing w:val="-2"/>
          <w:sz w:val="18"/>
          <w:szCs w:val="18"/>
        </w:rPr>
        <w:t>’</w:t>
      </w:r>
      <w:r w:rsidRPr="00B16E6F">
        <w:rPr>
          <w:snapToGrid w:val="0"/>
          <w:spacing w:val="-2"/>
          <w:sz w:val="18"/>
          <w:szCs w:val="18"/>
        </w:rPr>
        <w:t>exhaustivité des informations figurant dans la base de données PLUTO, veuillez vous mettre en rapport avec le service compétent, dont vous trouverez les coordonnées à l</w:t>
      </w:r>
      <w:r w:rsidR="00255969">
        <w:rPr>
          <w:snapToGrid w:val="0"/>
          <w:spacing w:val="-2"/>
          <w:sz w:val="18"/>
          <w:szCs w:val="18"/>
        </w:rPr>
        <w:t>’</w:t>
      </w:r>
      <w:r w:rsidRPr="00B16E6F">
        <w:rPr>
          <w:snapToGrid w:val="0"/>
          <w:spacing w:val="-2"/>
          <w:sz w:val="18"/>
          <w:szCs w:val="18"/>
        </w:rPr>
        <w:t xml:space="preserve">adresse </w:t>
      </w:r>
      <w:hyperlink r:id="rId17" w:history="1">
        <w:r w:rsidRPr="00B16E6F">
          <w:rPr>
            <w:rStyle w:val="Hyperlink"/>
            <w:rFonts w:cs="Arial"/>
            <w:color w:val="auto"/>
            <w:sz w:val="18"/>
          </w:rPr>
          <w:t>https://www.upov.int/members/fr/pvp_offices.html</w:t>
        </w:r>
      </w:hyperlink>
      <w:r w:rsidRPr="00B16E6F">
        <w:rPr>
          <w:snapToGrid w:val="0"/>
          <w:spacing w:val="-2"/>
          <w:sz w:val="18"/>
          <w:szCs w:val="18"/>
        </w:rPr>
        <w:t>.</w:t>
      </w:r>
    </w:p>
    <w:p w:rsidR="00DC7EA3" w:rsidRPr="00B16E6F" w:rsidRDefault="00DC7EA3" w:rsidP="009F2B82">
      <w:pPr>
        <w:ind w:left="567" w:right="567"/>
        <w:rPr>
          <w:snapToGrid w:val="0"/>
          <w:sz w:val="18"/>
          <w:szCs w:val="18"/>
        </w:rPr>
      </w:pPr>
    </w:p>
    <w:p w:rsidR="00DC7EA3" w:rsidRPr="00B16E6F" w:rsidRDefault="009F2B82" w:rsidP="009F2B82">
      <w:pPr>
        <w:ind w:left="567" w:right="567"/>
        <w:rPr>
          <w:snapToGrid w:val="0"/>
          <w:sz w:val="18"/>
          <w:szCs w:val="18"/>
        </w:rPr>
      </w:pPr>
      <w:r w:rsidRPr="00B16E6F">
        <w:rPr>
          <w:snapToGrid w:val="0"/>
          <w:sz w:val="18"/>
          <w:szCs w:val="18"/>
        </w:rPr>
        <w:t>“Tous les contributeurs de la base de données PLUTO sont responsables de l</w:t>
      </w:r>
      <w:r w:rsidR="00255969">
        <w:rPr>
          <w:snapToGrid w:val="0"/>
          <w:sz w:val="18"/>
          <w:szCs w:val="18"/>
        </w:rPr>
        <w:t>’</w:t>
      </w:r>
      <w:r w:rsidRPr="00B16E6F">
        <w:rPr>
          <w:snapToGrid w:val="0"/>
          <w:sz w:val="18"/>
          <w:szCs w:val="18"/>
        </w:rPr>
        <w:t>exactitude et de l</w:t>
      </w:r>
      <w:r w:rsidR="00255969">
        <w:rPr>
          <w:snapToGrid w:val="0"/>
          <w:sz w:val="18"/>
          <w:szCs w:val="18"/>
        </w:rPr>
        <w:t>’</w:t>
      </w:r>
      <w:r w:rsidRPr="00B16E6F">
        <w:rPr>
          <w:snapToGrid w:val="0"/>
          <w:sz w:val="18"/>
          <w:szCs w:val="18"/>
        </w:rPr>
        <w:t>exhaustivité des données qu</w:t>
      </w:r>
      <w:r w:rsidR="00255969">
        <w:rPr>
          <w:snapToGrid w:val="0"/>
          <w:sz w:val="18"/>
          <w:szCs w:val="18"/>
        </w:rPr>
        <w:t>’</w:t>
      </w:r>
      <w:r w:rsidRPr="00B16E6F">
        <w:rPr>
          <w:snapToGrid w:val="0"/>
          <w:sz w:val="18"/>
          <w:szCs w:val="18"/>
        </w:rPr>
        <w:t>ils fournisse</w:t>
      </w:r>
      <w:r w:rsidR="00F3336A" w:rsidRPr="00B16E6F">
        <w:rPr>
          <w:snapToGrid w:val="0"/>
          <w:sz w:val="18"/>
          <w:szCs w:val="18"/>
        </w:rPr>
        <w:t>nt</w:t>
      </w:r>
      <w:r w:rsidR="00F3336A">
        <w:rPr>
          <w:snapToGrid w:val="0"/>
          <w:sz w:val="18"/>
          <w:szCs w:val="18"/>
        </w:rPr>
        <w:t xml:space="preserve">.  </w:t>
      </w:r>
      <w:r w:rsidR="00F3336A" w:rsidRPr="00B16E6F">
        <w:rPr>
          <w:snapToGrid w:val="0"/>
          <w:sz w:val="18"/>
          <w:szCs w:val="18"/>
        </w:rPr>
        <w:t>Le</w:t>
      </w:r>
      <w:r w:rsidRPr="00B16E6F">
        <w:rPr>
          <w:snapToGrid w:val="0"/>
          <w:sz w:val="18"/>
          <w:szCs w:val="18"/>
        </w:rPr>
        <w:t>s utilisateurs sont particulièrement invités à noter que les membres de l</w:t>
      </w:r>
      <w:r w:rsidR="00255969">
        <w:rPr>
          <w:snapToGrid w:val="0"/>
          <w:sz w:val="18"/>
          <w:szCs w:val="18"/>
        </w:rPr>
        <w:t>’</w:t>
      </w:r>
      <w:r w:rsidRPr="00B16E6F">
        <w:rPr>
          <w:snapToGrid w:val="0"/>
          <w:sz w:val="18"/>
          <w:szCs w:val="18"/>
        </w:rPr>
        <w:t>Union ne sont pas tenus de fournir des données pour la base de données PLUTO et que les membres de l</w:t>
      </w:r>
      <w:r w:rsidR="00255969">
        <w:rPr>
          <w:snapToGrid w:val="0"/>
          <w:sz w:val="18"/>
          <w:szCs w:val="18"/>
        </w:rPr>
        <w:t>’</w:t>
      </w:r>
      <w:r w:rsidRPr="00B16E6F">
        <w:rPr>
          <w:snapToGrid w:val="0"/>
          <w:sz w:val="18"/>
          <w:szCs w:val="18"/>
        </w:rPr>
        <w:t>Union qui fournissent des données ne sont pas tenus d</w:t>
      </w:r>
      <w:r w:rsidR="00255969">
        <w:rPr>
          <w:snapToGrid w:val="0"/>
          <w:sz w:val="18"/>
          <w:szCs w:val="18"/>
        </w:rPr>
        <w:t>’</w:t>
      </w:r>
      <w:r w:rsidRPr="00B16E6F">
        <w:rPr>
          <w:snapToGrid w:val="0"/>
          <w:sz w:val="18"/>
          <w:szCs w:val="18"/>
        </w:rPr>
        <w:t>en fournir pour toutes les rubriques.”</w:t>
      </w:r>
    </w:p>
    <w:p w:rsidR="00DC7EA3" w:rsidRPr="00B16E6F" w:rsidRDefault="00DC7EA3" w:rsidP="009F2B82">
      <w:pPr>
        <w:rPr>
          <w:bCs/>
        </w:rPr>
      </w:pPr>
    </w:p>
    <w:p w:rsidR="00DC7EA3" w:rsidRPr="00B16E6F" w:rsidRDefault="00DC7EA3" w:rsidP="009F2B82">
      <w:pPr>
        <w:rPr>
          <w:bCs/>
        </w:rPr>
      </w:pPr>
    </w:p>
    <w:p w:rsidR="00DC7EA3" w:rsidRPr="00B16E6F" w:rsidRDefault="009F2B82" w:rsidP="009F2B82">
      <w:pPr>
        <w:keepNext/>
        <w:rPr>
          <w:bCs/>
          <w:i/>
          <w:iCs/>
        </w:rPr>
      </w:pPr>
      <w:r w:rsidRPr="00B16E6F">
        <w:rPr>
          <w:bCs/>
          <w:i/>
          <w:iCs/>
        </w:rPr>
        <w:t>6.</w:t>
      </w:r>
      <w:r w:rsidRPr="00B16E6F">
        <w:rPr>
          <w:i/>
        </w:rPr>
        <w:t xml:space="preserve"> </w:t>
      </w:r>
      <w:r w:rsidRPr="00B16E6F">
        <w:rPr>
          <w:bCs/>
          <w:i/>
          <w:iCs/>
        </w:rPr>
        <w:t xml:space="preserve"> </w:t>
      </w:r>
      <w:r w:rsidRPr="00B16E6F">
        <w:rPr>
          <w:bCs/>
          <w:iCs/>
        </w:rPr>
        <w:tab/>
      </w:r>
      <w:r w:rsidRPr="00B16E6F">
        <w:rPr>
          <w:bCs/>
          <w:i/>
          <w:iCs/>
        </w:rPr>
        <w:t>Interface de recherche commune</w:t>
      </w:r>
    </w:p>
    <w:p w:rsidR="00DC7EA3" w:rsidRPr="00B16E6F" w:rsidRDefault="00DC7EA3" w:rsidP="009F2B82">
      <w:pPr>
        <w:keepNext/>
        <w:rPr>
          <w:bCs/>
          <w:i/>
          <w:iCs/>
        </w:rPr>
      </w:pPr>
    </w:p>
    <w:p w:rsidR="00DC7EA3" w:rsidRPr="00B16E6F" w:rsidRDefault="009F2B82" w:rsidP="00B0676A">
      <w:pPr>
        <w:rPr>
          <w:bCs/>
        </w:rPr>
      </w:pPr>
      <w:r w:rsidRPr="00B16E6F">
        <w:rPr>
          <w:rFonts w:cs="Arial"/>
          <w:bCs/>
          <w:noProof/>
          <w:lang w:val="en-US"/>
        </w:rPr>
        <mc:AlternateContent>
          <mc:Choice Requires="wps">
            <w:drawing>
              <wp:anchor distT="0" distB="0" distL="114300" distR="114300" simplePos="0" relativeHeight="251659264" behindDoc="0" locked="0" layoutInCell="0" allowOverlap="1" wp14:anchorId="6F7C6156" wp14:editId="11AF02ED">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795C" w:rsidRPr="00A1206C" w:rsidRDefault="0086795C" w:rsidP="009F2B82">
                            <w:pPr>
                              <w:ind w:right="53"/>
                              <w:jc w:val="right"/>
                              <w:rPr>
                                <w:rFonts w:cs="Arial"/>
                              </w:rPr>
                            </w:pPr>
                            <w:r w:rsidRPr="00A1206C">
                              <w:rPr>
                                <w:rFonts w:cs="Arial"/>
                              </w:rPr>
                              <w:t>[L’annexe</w:t>
                            </w:r>
                            <w:r w:rsidR="00F3336A">
                              <w:rPr>
                                <w:rFonts w:cs="Arial"/>
                              </w:rPr>
                              <w:t> </w:t>
                            </w:r>
                            <w:r w:rsidRPr="00A1206C">
                              <w:rPr>
                                <w:rFonts w:cs="Arial"/>
                              </w:rPr>
                              <w:t>II suit]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C6156"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rsidR="0086795C" w:rsidRPr="00A1206C" w:rsidRDefault="0086795C" w:rsidP="009F2B82">
                      <w:pPr>
                        <w:ind w:right="53"/>
                        <w:jc w:val="right"/>
                        <w:rPr>
                          <w:rFonts w:cs="Arial"/>
                        </w:rPr>
                      </w:pPr>
                      <w:r w:rsidRPr="00A1206C">
                        <w:rPr>
                          <w:rFonts w:cs="Arial"/>
                        </w:rPr>
                        <w:t>[L’annexe</w:t>
                      </w:r>
                      <w:r w:rsidR="00F3336A">
                        <w:rPr>
                          <w:rFonts w:cs="Arial"/>
                        </w:rPr>
                        <w:t> </w:t>
                      </w:r>
                      <w:r w:rsidRPr="00A1206C">
                        <w:rPr>
                          <w:rFonts w:cs="Arial"/>
                        </w:rPr>
                        <w:t>II suit]</w:t>
                      </w:r>
                    </w:p>
                  </w:txbxContent>
                </v:textbox>
              </v:shape>
            </w:pict>
          </mc:Fallback>
        </mc:AlternateContent>
      </w:r>
      <w:r w:rsidRPr="00B16E6F">
        <w:rPr>
          <w:bCs/>
        </w:rPr>
        <w:t>Un rapport sur les éléments nouveaux relatifs à l</w:t>
      </w:r>
      <w:r w:rsidR="00255969">
        <w:rPr>
          <w:bCs/>
        </w:rPr>
        <w:t>’</w:t>
      </w:r>
      <w:r w:rsidRPr="00B16E6F">
        <w:rPr>
          <w:bCs/>
        </w:rPr>
        <w:t>élaboration d</w:t>
      </w:r>
      <w:r w:rsidR="00255969">
        <w:rPr>
          <w:bCs/>
        </w:rPr>
        <w:t>’</w:t>
      </w:r>
      <w:r w:rsidRPr="00B16E6F">
        <w:rPr>
          <w:bCs/>
        </w:rPr>
        <w:t>une interface de recherche commune sera présenté au</w:t>
      </w:r>
      <w:r w:rsidR="00255969">
        <w:rPr>
          <w:bCs/>
        </w:rPr>
        <w:t> TC</w:t>
      </w:r>
      <w:r w:rsidRPr="00B16E6F">
        <w:rPr>
          <w:bCs/>
        </w:rPr>
        <w:t xml:space="preserve"> et au </w:t>
      </w:r>
      <w:r w:rsidR="00F3336A" w:rsidRPr="00B16E6F">
        <w:rPr>
          <w:bCs/>
        </w:rPr>
        <w:t>CAJ</w:t>
      </w:r>
      <w:r w:rsidR="00F3336A">
        <w:rPr>
          <w:bCs/>
        </w:rPr>
        <w:t xml:space="preserve">.  </w:t>
      </w:r>
      <w:r w:rsidR="00F3336A" w:rsidRPr="00B16E6F">
        <w:rPr>
          <w:bCs/>
        </w:rPr>
        <w:t>To</w:t>
      </w:r>
      <w:r w:rsidRPr="00B16E6F">
        <w:rPr>
          <w:bCs/>
        </w:rPr>
        <w:t>ute proposition relative à cette interface sera soumise au</w:t>
      </w:r>
      <w:r w:rsidR="00255969">
        <w:rPr>
          <w:bCs/>
        </w:rPr>
        <w:t> TC</w:t>
      </w:r>
      <w:r w:rsidRPr="00B16E6F">
        <w:rPr>
          <w:bCs/>
        </w:rPr>
        <w:t xml:space="preserve"> et au CAJ pour examen</w:t>
      </w:r>
      <w:r w:rsidR="00B0676A" w:rsidRPr="00B16E6F">
        <w:rPr>
          <w:bCs/>
          <w:lang w:val="fr-CH"/>
        </w:rPr>
        <w:t>.</w:t>
      </w:r>
    </w:p>
    <w:p w:rsidR="00B0676A" w:rsidRPr="00B16E6F" w:rsidRDefault="00B0676A" w:rsidP="00B0676A">
      <w:pPr>
        <w:rPr>
          <w:bCs/>
          <w:lang w:val="fr-CH"/>
        </w:rPr>
        <w:sectPr w:rsidR="00B0676A" w:rsidRPr="00B16E6F" w:rsidSect="0086795C">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851" w:left="1134" w:header="510" w:footer="525" w:gutter="0"/>
          <w:pgNumType w:start="1"/>
          <w:cols w:space="720"/>
          <w:titlePg/>
        </w:sectPr>
      </w:pPr>
    </w:p>
    <w:p w:rsidR="00DC7EA3" w:rsidRPr="00B16E6F" w:rsidRDefault="009F2B82" w:rsidP="009F2B82">
      <w:pPr>
        <w:jc w:val="center"/>
        <w:rPr>
          <w:rFonts w:eastAsiaTheme="minorEastAsia" w:cs="Arial"/>
        </w:rPr>
      </w:pPr>
      <w:r w:rsidRPr="00B16E6F">
        <w:rPr>
          <w:rFonts w:eastAsiaTheme="minorEastAsia" w:cs="Arial"/>
        </w:rPr>
        <w:t>RAPPORT SUR LES DONNÉES APPORTÉES À LA BASE DE DONNÉES SUR LES VARIÉTÉS VÉGÉTALES PAR LES MEMBRES DE L</w:t>
      </w:r>
      <w:r w:rsidR="00255969">
        <w:rPr>
          <w:rFonts w:eastAsiaTheme="minorEastAsia" w:cs="Arial"/>
        </w:rPr>
        <w:t>’</w:t>
      </w:r>
      <w:r w:rsidRPr="00B16E6F">
        <w:rPr>
          <w:rFonts w:eastAsiaTheme="minorEastAsia" w:cs="Arial"/>
        </w:rPr>
        <w:t>UNION ET D</w:t>
      </w:r>
      <w:r w:rsidR="00255969">
        <w:rPr>
          <w:rFonts w:eastAsiaTheme="minorEastAsia" w:cs="Arial"/>
        </w:rPr>
        <w:t>’</w:t>
      </w:r>
      <w:r w:rsidRPr="00B16E6F">
        <w:rPr>
          <w:rFonts w:eastAsiaTheme="minorEastAsia" w:cs="Arial"/>
        </w:rPr>
        <w:t>AUTRES CONTRIBUTEURS ET L</w:t>
      </w:r>
      <w:r w:rsidR="00255969">
        <w:rPr>
          <w:rFonts w:eastAsiaTheme="minorEastAsia" w:cs="Arial"/>
        </w:rPr>
        <w:t>’</w:t>
      </w:r>
      <w:r w:rsidRPr="00B16E6F">
        <w:rPr>
          <w:rFonts w:eastAsiaTheme="minorEastAsia" w:cs="Arial"/>
        </w:rPr>
        <w:t>ASSISTANCE À L</w:t>
      </w:r>
      <w:r w:rsidR="00255969">
        <w:rPr>
          <w:rFonts w:eastAsiaTheme="minorEastAsia" w:cs="Arial"/>
        </w:rPr>
        <w:t>’</w:t>
      </w:r>
      <w:r w:rsidRPr="00B16E6F">
        <w:rPr>
          <w:rFonts w:eastAsiaTheme="minorEastAsia" w:cs="Arial"/>
        </w:rPr>
        <w:t>APPORT DE DONNÉES</w:t>
      </w:r>
    </w:p>
    <w:p w:rsidR="00B0676A" w:rsidRPr="00B16E6F" w:rsidRDefault="00B0676A" w:rsidP="00B0676A">
      <w:pPr>
        <w:jc w:val="center"/>
        <w:rPr>
          <w:rFonts w:cs="Arial"/>
        </w:rPr>
      </w:pPr>
    </w:p>
    <w:tbl>
      <w:tblPr>
        <w:tblW w:w="92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45"/>
        <w:gridCol w:w="450"/>
        <w:gridCol w:w="1350"/>
        <w:gridCol w:w="720"/>
        <w:gridCol w:w="630"/>
        <w:gridCol w:w="720"/>
        <w:gridCol w:w="720"/>
        <w:gridCol w:w="810"/>
        <w:gridCol w:w="1620"/>
      </w:tblGrid>
      <w:tr w:rsidR="00B0676A" w:rsidRPr="00B16E6F" w:rsidTr="0086795C">
        <w:trPr>
          <w:cantSplit/>
          <w:tblHeader/>
        </w:trPr>
        <w:tc>
          <w:tcPr>
            <w:tcW w:w="2695" w:type="dxa"/>
            <w:gridSpan w:val="2"/>
            <w:vMerge w:val="restart"/>
            <w:shd w:val="clear" w:color="auto" w:fill="E6E6E6"/>
            <w:vAlign w:val="center"/>
          </w:tcPr>
          <w:p w:rsidR="00B0676A" w:rsidRPr="00B16E6F" w:rsidRDefault="00B0676A" w:rsidP="009F2B82">
            <w:pPr>
              <w:jc w:val="center"/>
              <w:rPr>
                <w:rFonts w:cs="Arial"/>
                <w:sz w:val="16"/>
                <w:szCs w:val="16"/>
              </w:rPr>
            </w:pPr>
            <w:r w:rsidRPr="00B16E6F">
              <w:rPr>
                <w:rFonts w:cs="Arial"/>
                <w:sz w:val="16"/>
                <w:szCs w:val="16"/>
              </w:rPr>
              <w:t>Contribut</w:t>
            </w:r>
            <w:r w:rsidR="009F2B82" w:rsidRPr="00B16E6F">
              <w:rPr>
                <w:rFonts w:cs="Arial"/>
                <w:sz w:val="16"/>
                <w:szCs w:val="16"/>
              </w:rPr>
              <w:t>eurs</w:t>
            </w:r>
          </w:p>
        </w:tc>
        <w:tc>
          <w:tcPr>
            <w:tcW w:w="1350" w:type="dxa"/>
            <w:vMerge w:val="restart"/>
            <w:shd w:val="clear" w:color="auto" w:fill="E6E6E6"/>
            <w:vAlign w:val="center"/>
          </w:tcPr>
          <w:p w:rsidR="00B0676A" w:rsidRPr="00B16E6F" w:rsidRDefault="009F2B82" w:rsidP="0086795C">
            <w:pPr>
              <w:jc w:val="center"/>
              <w:rPr>
                <w:rFonts w:cs="Arial"/>
                <w:sz w:val="16"/>
                <w:szCs w:val="16"/>
                <w:lang w:val="fr-CH"/>
              </w:rPr>
            </w:pPr>
            <w:r w:rsidRPr="00B16E6F">
              <w:rPr>
                <w:rFonts w:eastAsiaTheme="minorEastAsia" w:cs="Arial"/>
                <w:sz w:val="16"/>
                <w:szCs w:val="16"/>
              </w:rPr>
              <w:t>Nombre de demandes de droits d</w:t>
            </w:r>
            <w:r w:rsidR="00255969">
              <w:rPr>
                <w:rFonts w:eastAsiaTheme="minorEastAsia" w:cs="Arial"/>
                <w:sz w:val="16"/>
                <w:szCs w:val="16"/>
              </w:rPr>
              <w:t>’</w:t>
            </w:r>
            <w:r w:rsidRPr="00B16E6F">
              <w:rPr>
                <w:rFonts w:eastAsiaTheme="minorEastAsia" w:cs="Arial"/>
                <w:sz w:val="16"/>
                <w:szCs w:val="16"/>
              </w:rPr>
              <w:t>obtenteur en </w:t>
            </w:r>
            <w:r w:rsidR="00B0676A" w:rsidRPr="00B16E6F">
              <w:rPr>
                <w:rFonts w:cs="Arial"/>
                <w:sz w:val="16"/>
                <w:szCs w:val="16"/>
                <w:lang w:val="fr-CH"/>
              </w:rPr>
              <w:t>2019</w:t>
            </w:r>
            <w:r w:rsidR="00B0676A" w:rsidRPr="00B16E6F">
              <w:rPr>
                <w:rStyle w:val="FootnoteReference"/>
                <w:rFonts w:cs="Arial"/>
                <w:sz w:val="16"/>
                <w:szCs w:val="16"/>
              </w:rPr>
              <w:footnoteReference w:id="8"/>
            </w:r>
          </w:p>
        </w:tc>
        <w:tc>
          <w:tcPr>
            <w:tcW w:w="5220" w:type="dxa"/>
            <w:gridSpan w:val="6"/>
            <w:tcBorders>
              <w:bottom w:val="single" w:sz="4" w:space="0" w:color="auto"/>
            </w:tcBorders>
            <w:shd w:val="clear" w:color="auto" w:fill="E6E6E6"/>
            <w:vAlign w:val="center"/>
          </w:tcPr>
          <w:p w:rsidR="00B0676A" w:rsidRPr="00B16E6F" w:rsidRDefault="009F2B82" w:rsidP="0086795C">
            <w:pPr>
              <w:jc w:val="center"/>
              <w:rPr>
                <w:rFonts w:cs="Arial"/>
                <w:sz w:val="16"/>
                <w:szCs w:val="16"/>
                <w:lang w:val="fr-CH"/>
              </w:rPr>
            </w:pPr>
            <w:r w:rsidRPr="00B16E6F">
              <w:rPr>
                <w:rFonts w:eastAsiaTheme="minorEastAsia" w:cs="Arial"/>
                <w:sz w:val="16"/>
                <w:szCs w:val="16"/>
              </w:rPr>
              <w:t>Nouveaux apports de données à PLUTO</w:t>
            </w:r>
          </w:p>
        </w:tc>
      </w:tr>
      <w:tr w:rsidR="00B0676A" w:rsidRPr="00B16E6F" w:rsidTr="0086795C">
        <w:trPr>
          <w:cantSplit/>
          <w:tblHeader/>
        </w:trPr>
        <w:tc>
          <w:tcPr>
            <w:tcW w:w="2695" w:type="dxa"/>
            <w:gridSpan w:val="2"/>
            <w:vMerge/>
            <w:tcBorders>
              <w:bottom w:val="single" w:sz="4" w:space="0" w:color="auto"/>
            </w:tcBorders>
            <w:shd w:val="clear" w:color="auto" w:fill="E6E6E6"/>
            <w:vAlign w:val="center"/>
          </w:tcPr>
          <w:p w:rsidR="00B0676A" w:rsidRPr="00B16E6F" w:rsidRDefault="00B0676A" w:rsidP="0086795C">
            <w:pPr>
              <w:jc w:val="center"/>
              <w:rPr>
                <w:rFonts w:cs="Arial"/>
                <w:sz w:val="16"/>
                <w:szCs w:val="16"/>
                <w:lang w:val="fr-CH"/>
              </w:rPr>
            </w:pPr>
          </w:p>
        </w:tc>
        <w:tc>
          <w:tcPr>
            <w:tcW w:w="1350" w:type="dxa"/>
            <w:vMerge/>
            <w:tcBorders>
              <w:bottom w:val="single" w:sz="4" w:space="0" w:color="auto"/>
            </w:tcBorders>
            <w:shd w:val="clear" w:color="auto" w:fill="E6E6E6"/>
            <w:vAlign w:val="center"/>
          </w:tcPr>
          <w:p w:rsidR="00B0676A" w:rsidRPr="00B16E6F" w:rsidRDefault="00B0676A" w:rsidP="0086795C">
            <w:pPr>
              <w:jc w:val="center"/>
              <w:rPr>
                <w:rFonts w:cs="Arial"/>
                <w:sz w:val="16"/>
                <w:szCs w:val="16"/>
                <w:lang w:val="fr-CH"/>
              </w:rPr>
            </w:pPr>
          </w:p>
        </w:tc>
        <w:tc>
          <w:tcPr>
            <w:tcW w:w="720" w:type="dxa"/>
            <w:tcBorders>
              <w:bottom w:val="single" w:sz="4" w:space="0" w:color="auto"/>
            </w:tcBorders>
            <w:shd w:val="clear" w:color="auto" w:fill="E6E6E6"/>
            <w:vAlign w:val="center"/>
          </w:tcPr>
          <w:p w:rsidR="00B0676A" w:rsidRPr="00B16E6F" w:rsidRDefault="00B0676A" w:rsidP="0086795C">
            <w:pPr>
              <w:jc w:val="center"/>
              <w:rPr>
                <w:rFonts w:cs="Arial"/>
                <w:sz w:val="16"/>
                <w:szCs w:val="16"/>
              </w:rPr>
            </w:pPr>
            <w:r w:rsidRPr="00B16E6F">
              <w:rPr>
                <w:rFonts w:cs="Arial"/>
                <w:sz w:val="16"/>
                <w:szCs w:val="16"/>
              </w:rPr>
              <w:t>2016</w:t>
            </w:r>
          </w:p>
        </w:tc>
        <w:tc>
          <w:tcPr>
            <w:tcW w:w="630" w:type="dxa"/>
            <w:tcBorders>
              <w:bottom w:val="single" w:sz="4" w:space="0" w:color="auto"/>
            </w:tcBorders>
            <w:shd w:val="clear" w:color="auto" w:fill="E6E6E6"/>
            <w:vAlign w:val="center"/>
          </w:tcPr>
          <w:p w:rsidR="00B0676A" w:rsidRPr="00B16E6F" w:rsidRDefault="00B0676A" w:rsidP="0086795C">
            <w:pPr>
              <w:jc w:val="center"/>
              <w:rPr>
                <w:rFonts w:cs="Arial"/>
                <w:sz w:val="16"/>
                <w:szCs w:val="16"/>
              </w:rPr>
            </w:pPr>
            <w:r w:rsidRPr="00B16E6F">
              <w:rPr>
                <w:rFonts w:cs="Arial"/>
                <w:sz w:val="16"/>
                <w:szCs w:val="16"/>
              </w:rPr>
              <w:t>2017</w:t>
            </w:r>
          </w:p>
        </w:tc>
        <w:tc>
          <w:tcPr>
            <w:tcW w:w="720" w:type="dxa"/>
            <w:tcBorders>
              <w:bottom w:val="single" w:sz="4" w:space="0" w:color="auto"/>
            </w:tcBorders>
            <w:shd w:val="clear" w:color="auto" w:fill="E6E6E6"/>
            <w:vAlign w:val="center"/>
          </w:tcPr>
          <w:p w:rsidR="00B0676A" w:rsidRPr="00B16E6F" w:rsidRDefault="00B0676A" w:rsidP="0086795C">
            <w:pPr>
              <w:jc w:val="center"/>
              <w:rPr>
                <w:rFonts w:cs="Arial"/>
                <w:sz w:val="16"/>
                <w:szCs w:val="16"/>
              </w:rPr>
            </w:pPr>
            <w:r w:rsidRPr="00B16E6F">
              <w:rPr>
                <w:rFonts w:cs="Arial"/>
                <w:sz w:val="16"/>
                <w:szCs w:val="16"/>
              </w:rPr>
              <w:t>2018</w:t>
            </w:r>
          </w:p>
        </w:tc>
        <w:tc>
          <w:tcPr>
            <w:tcW w:w="720" w:type="dxa"/>
            <w:tcBorders>
              <w:bottom w:val="single" w:sz="4" w:space="0" w:color="auto"/>
            </w:tcBorders>
            <w:shd w:val="clear" w:color="auto" w:fill="E6E6E6"/>
            <w:vAlign w:val="center"/>
          </w:tcPr>
          <w:p w:rsidR="00B0676A" w:rsidRPr="00B16E6F" w:rsidRDefault="00B0676A" w:rsidP="0086795C">
            <w:pPr>
              <w:jc w:val="center"/>
              <w:rPr>
                <w:rFonts w:cs="Arial"/>
                <w:sz w:val="16"/>
                <w:szCs w:val="16"/>
              </w:rPr>
            </w:pPr>
            <w:r w:rsidRPr="00B16E6F">
              <w:rPr>
                <w:rFonts w:cs="Arial"/>
                <w:sz w:val="16"/>
                <w:szCs w:val="16"/>
              </w:rPr>
              <w:t>2019</w:t>
            </w:r>
          </w:p>
        </w:tc>
        <w:tc>
          <w:tcPr>
            <w:tcW w:w="810" w:type="dxa"/>
            <w:tcBorders>
              <w:bottom w:val="single" w:sz="4" w:space="0" w:color="auto"/>
            </w:tcBorders>
            <w:shd w:val="clear" w:color="auto" w:fill="E6E6E6"/>
            <w:vAlign w:val="center"/>
          </w:tcPr>
          <w:p w:rsidR="00B0676A" w:rsidRPr="00B16E6F" w:rsidRDefault="00B0676A" w:rsidP="0086795C">
            <w:pPr>
              <w:jc w:val="center"/>
              <w:rPr>
                <w:rFonts w:cs="Arial"/>
                <w:sz w:val="16"/>
                <w:szCs w:val="16"/>
              </w:rPr>
            </w:pPr>
            <w:r w:rsidRPr="00B16E6F">
              <w:rPr>
                <w:rFonts w:cs="Arial"/>
                <w:sz w:val="16"/>
                <w:szCs w:val="16"/>
              </w:rPr>
              <w:t>2020</w:t>
            </w:r>
          </w:p>
        </w:tc>
        <w:tc>
          <w:tcPr>
            <w:tcW w:w="1620" w:type="dxa"/>
            <w:tcBorders>
              <w:bottom w:val="single" w:sz="4" w:space="0" w:color="auto"/>
            </w:tcBorders>
            <w:shd w:val="clear" w:color="auto" w:fill="E6E6E6"/>
          </w:tcPr>
          <w:p w:rsidR="00B0676A" w:rsidRPr="00B16E6F" w:rsidRDefault="00B0676A" w:rsidP="009F2B82">
            <w:pPr>
              <w:jc w:val="center"/>
              <w:rPr>
                <w:rFonts w:cs="Arial"/>
                <w:sz w:val="16"/>
                <w:szCs w:val="16"/>
              </w:rPr>
            </w:pPr>
            <w:r w:rsidRPr="00B16E6F">
              <w:rPr>
                <w:rFonts w:cs="Arial"/>
                <w:sz w:val="16"/>
                <w:szCs w:val="16"/>
              </w:rPr>
              <w:t>2021 (a</w:t>
            </w:r>
            <w:r w:rsidR="009F2B82" w:rsidRPr="00B16E6F">
              <w:rPr>
                <w:rFonts w:cs="Arial"/>
                <w:sz w:val="16"/>
                <w:szCs w:val="16"/>
              </w:rPr>
              <w:t>u 3</w:t>
            </w:r>
            <w:r w:rsidR="00255969" w:rsidRPr="00B16E6F">
              <w:rPr>
                <w:rFonts w:cs="Arial"/>
                <w:sz w:val="16"/>
                <w:szCs w:val="16"/>
              </w:rPr>
              <w:t>0</w:t>
            </w:r>
            <w:r w:rsidR="00255969">
              <w:rPr>
                <w:rFonts w:cs="Arial"/>
                <w:sz w:val="16"/>
                <w:szCs w:val="16"/>
              </w:rPr>
              <w:t> </w:t>
            </w:r>
            <w:r w:rsidR="00255969" w:rsidRPr="00B16E6F">
              <w:rPr>
                <w:rFonts w:cs="Arial"/>
                <w:sz w:val="16"/>
                <w:szCs w:val="16"/>
              </w:rPr>
              <w:t>septembre</w:t>
            </w:r>
            <w:r w:rsidR="00255969">
              <w:rPr>
                <w:rFonts w:cs="Arial"/>
                <w:sz w:val="16"/>
                <w:szCs w:val="16"/>
              </w:rPr>
              <w:t> </w:t>
            </w:r>
            <w:r w:rsidR="00255969" w:rsidRPr="00B16E6F">
              <w:rPr>
                <w:rFonts w:cs="Arial"/>
                <w:sz w:val="16"/>
                <w:szCs w:val="16"/>
              </w:rPr>
              <w:t>20</w:t>
            </w:r>
            <w:r w:rsidRPr="00B16E6F">
              <w:rPr>
                <w:rFonts w:cs="Arial"/>
                <w:sz w:val="16"/>
                <w:szCs w:val="16"/>
              </w:rPr>
              <w:t>21)</w:t>
            </w:r>
          </w:p>
        </w:tc>
      </w:tr>
      <w:tr w:rsidR="00B0676A" w:rsidRPr="00B16E6F" w:rsidTr="0086795C">
        <w:trPr>
          <w:cantSplit/>
        </w:trPr>
        <w:tc>
          <w:tcPr>
            <w:tcW w:w="2245" w:type="dxa"/>
            <w:shd w:val="clear" w:color="auto" w:fill="auto"/>
          </w:tcPr>
          <w:p w:rsidR="00B0676A" w:rsidRPr="00B16E6F" w:rsidRDefault="009F2B82" w:rsidP="009F2B82">
            <w:pPr>
              <w:jc w:val="left"/>
              <w:rPr>
                <w:rFonts w:cs="Arial"/>
                <w:sz w:val="16"/>
                <w:szCs w:val="16"/>
              </w:rPr>
            </w:pPr>
            <w:r w:rsidRPr="00B16E6F">
              <w:rPr>
                <w:rFonts w:cs="Arial"/>
                <w:sz w:val="16"/>
                <w:szCs w:val="16"/>
              </w:rPr>
              <w:t>Organisation africaine de la propriété intellectuelle</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OA</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12</w:t>
            </w:r>
          </w:p>
        </w:tc>
        <w:tc>
          <w:tcPr>
            <w:tcW w:w="720" w:type="dxa"/>
            <w:tcBorders>
              <w:top w:val="single" w:sz="4" w:space="0" w:color="auto"/>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0</w:t>
            </w:r>
          </w:p>
        </w:tc>
        <w:tc>
          <w:tcPr>
            <w:tcW w:w="630" w:type="dxa"/>
            <w:tcBorders>
              <w:top w:val="single" w:sz="4" w:space="0" w:color="auto"/>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0</w:t>
            </w:r>
          </w:p>
        </w:tc>
        <w:tc>
          <w:tcPr>
            <w:tcW w:w="720" w:type="dxa"/>
            <w:tcBorders>
              <w:top w:val="single" w:sz="4" w:space="0" w:color="auto"/>
              <w:left w:val="nil"/>
              <w:bottom w:val="single" w:sz="4" w:space="0" w:color="auto"/>
              <w:right w:val="single" w:sz="4" w:space="0" w:color="auto"/>
            </w:tcBorders>
            <w:shd w:val="clear" w:color="000000" w:fill="FFFFFF"/>
            <w:vAlign w:val="center"/>
          </w:tcPr>
          <w:p w:rsidR="00B0676A" w:rsidRPr="00B16E6F" w:rsidRDefault="00B0676A" w:rsidP="0086795C">
            <w:pPr>
              <w:jc w:val="center"/>
              <w:rPr>
                <w:rFonts w:cs="Arial"/>
                <w:sz w:val="16"/>
                <w:szCs w:val="16"/>
              </w:rPr>
            </w:pPr>
            <w:r w:rsidRPr="00B16E6F">
              <w:rPr>
                <w:rFonts w:cs="Arial"/>
                <w:sz w:val="16"/>
                <w:szCs w:val="16"/>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0</w:t>
            </w:r>
          </w:p>
        </w:tc>
        <w:tc>
          <w:tcPr>
            <w:tcW w:w="810" w:type="dxa"/>
            <w:tcBorders>
              <w:top w:val="single" w:sz="4" w:space="0" w:color="auto"/>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0</w:t>
            </w:r>
          </w:p>
        </w:tc>
        <w:tc>
          <w:tcPr>
            <w:tcW w:w="1620" w:type="dxa"/>
            <w:tcBorders>
              <w:top w:val="single" w:sz="4" w:space="0" w:color="auto"/>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Afrique du Sud</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ZA</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282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Albanie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AL</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Allemagne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DE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Argentine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AR</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377</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Australie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AU</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281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22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19</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Autriche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AT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Azerbaïdjan</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AZ</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Bélarus</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BY</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Belgique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BE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Bolivie (État plurinational de)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BO</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Bosnie</w:t>
            </w:r>
            <w:r>
              <w:rPr>
                <w:rFonts w:cs="Arial"/>
                <w:sz w:val="16"/>
                <w:szCs w:val="16"/>
              </w:rPr>
              <w:t>-</w:t>
            </w:r>
            <w:r w:rsidRPr="00B16E6F">
              <w:rPr>
                <w:rFonts w:cs="Arial"/>
                <w:sz w:val="16"/>
                <w:szCs w:val="16"/>
              </w:rPr>
              <w:t>Herzégovine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BA</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Brésil</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BR</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283</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11</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8</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Bulgarie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BG</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25</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Canada</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CA</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366</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12</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Chili</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CL</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82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7</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4</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Chine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CN</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7834</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Colombie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CO</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107</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Costa</w:t>
            </w:r>
            <w:r>
              <w:rPr>
                <w:rFonts w:cs="Arial"/>
                <w:sz w:val="16"/>
                <w:szCs w:val="16"/>
              </w:rPr>
              <w:t> </w:t>
            </w:r>
            <w:r w:rsidRPr="00B16E6F">
              <w:rPr>
                <w:rFonts w:cs="Arial"/>
                <w:sz w:val="16"/>
                <w:szCs w:val="16"/>
              </w:rPr>
              <w:t>Rica</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CR</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Croatie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HR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Danemark</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DK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Égypte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EG</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Pr>
                <w:rFonts w:cs="Arial"/>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Pr>
                <w:rFonts w:cs="Arial"/>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Pr>
                <w:rFonts w:cs="Arial"/>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Pr>
                <w:rFonts w:cs="Arial"/>
                <w:sz w:val="16"/>
                <w:szCs w:val="16"/>
              </w:rPr>
              <w:t>-</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Équateur</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EC</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Espagne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ES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Estonie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EE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lang w:eastAsia="ja-JP"/>
              </w:rPr>
            </w:pPr>
            <w:r w:rsidRPr="00B16E6F">
              <w:rPr>
                <w:rFonts w:cs="Arial"/>
                <w:sz w:val="16"/>
                <w:szCs w:val="16"/>
              </w:rPr>
              <w:t>États</w:t>
            </w:r>
            <w:r>
              <w:rPr>
                <w:rFonts w:cs="Arial"/>
                <w:sz w:val="16"/>
                <w:szCs w:val="16"/>
              </w:rPr>
              <w:t>-</w:t>
            </w:r>
            <w:r w:rsidRPr="00B16E6F">
              <w:rPr>
                <w:rFonts w:cs="Arial"/>
                <w:sz w:val="16"/>
                <w:szCs w:val="16"/>
              </w:rPr>
              <w:t>Unis d</w:t>
            </w:r>
            <w:r>
              <w:rPr>
                <w:rFonts w:cs="Arial"/>
                <w:sz w:val="16"/>
                <w:szCs w:val="16"/>
              </w:rPr>
              <w:t>’</w:t>
            </w:r>
            <w:r w:rsidRPr="00B16E6F">
              <w:rPr>
                <w:rFonts w:cs="Arial"/>
                <w:sz w:val="16"/>
                <w:szCs w:val="16"/>
              </w:rPr>
              <w:t>Amérique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US</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Pr>
                <w:rFonts w:cs="Arial"/>
                <w:sz w:val="16"/>
                <w:szCs w:val="16"/>
              </w:rPr>
              <w:t>1</w:t>
            </w:r>
            <w:r w:rsidRPr="00B16E6F">
              <w:rPr>
                <w:rFonts w:cs="Arial"/>
                <w:sz w:val="16"/>
                <w:szCs w:val="16"/>
              </w:rPr>
              <w:t>590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16</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12</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12</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4</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Fédération de Russie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RU</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765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Finlande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FI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France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FR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Géorgie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GE</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Hongrie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HU</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19</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13</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13</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Irlande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IE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Islande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IS</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Israël</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IL</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117</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Italie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IT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Japon</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JP</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822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Jordanie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JO</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Kenya</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KE</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Kirghizistan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KG</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Height w:val="15"/>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Lettonie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LV</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Lituanie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LT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Macédoine du Nord</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MK</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Maroc</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MA</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80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Mexique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MX</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205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Monténégro</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ME</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Nicaragua</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NI</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Norvège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NO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Nouvelle</w:t>
            </w:r>
            <w:r>
              <w:rPr>
                <w:rFonts w:cs="Arial"/>
                <w:sz w:val="16"/>
                <w:szCs w:val="16"/>
              </w:rPr>
              <w:t>-</w:t>
            </w:r>
            <w:r w:rsidRPr="00B16E6F">
              <w:rPr>
                <w:rFonts w:cs="Arial"/>
                <w:sz w:val="16"/>
                <w:szCs w:val="16"/>
              </w:rPr>
              <w:t>Zélande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NZ</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Oman</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OM</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Ouzbékistan</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UZ</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77</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Panama</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PA</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Paraguay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PY</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Pays</w:t>
            </w:r>
            <w:r>
              <w:rPr>
                <w:rFonts w:cs="Arial"/>
                <w:sz w:val="16"/>
                <w:szCs w:val="16"/>
              </w:rPr>
              <w:t>-</w:t>
            </w:r>
            <w:r w:rsidRPr="00B16E6F">
              <w:rPr>
                <w:rFonts w:cs="Arial"/>
                <w:sz w:val="16"/>
                <w:szCs w:val="16"/>
              </w:rPr>
              <w:t>Bas</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NL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767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Pérou</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PE</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Pologne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PL</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Portugal</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PT</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République de Corée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KR</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695</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République de Moldova</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MD</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16</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République dominicaine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DO</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République tchèque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lang w:eastAsia="ja-JP"/>
              </w:rPr>
            </w:pPr>
            <w:r w:rsidRPr="00B16E6F">
              <w:rPr>
                <w:rFonts w:cs="Arial"/>
                <w:sz w:val="16"/>
                <w:szCs w:val="16"/>
                <w:lang w:eastAsia="ja-JP"/>
              </w:rPr>
              <w:t>République</w:t>
            </w:r>
            <w:r>
              <w:rPr>
                <w:rFonts w:cs="Arial"/>
                <w:sz w:val="16"/>
                <w:szCs w:val="16"/>
                <w:lang w:eastAsia="ja-JP"/>
              </w:rPr>
              <w:t>-</w:t>
            </w:r>
            <w:r w:rsidRPr="00B16E6F">
              <w:rPr>
                <w:rFonts w:cs="Arial"/>
                <w:sz w:val="16"/>
                <w:szCs w:val="16"/>
                <w:lang w:eastAsia="ja-JP"/>
              </w:rPr>
              <w:t>Unie de Tanzanie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TZ</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Roumanie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RO</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Royaume</w:t>
            </w:r>
            <w:r>
              <w:rPr>
                <w:rFonts w:cs="Arial"/>
                <w:sz w:val="16"/>
                <w:szCs w:val="16"/>
              </w:rPr>
              <w:t>-</w:t>
            </w:r>
            <w:r w:rsidRPr="00B16E6F">
              <w:rPr>
                <w:rFonts w:cs="Arial"/>
                <w:sz w:val="16"/>
                <w:szCs w:val="16"/>
              </w:rPr>
              <w:t>Uni</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GB</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187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Serbie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RS</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51</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4</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Singapour</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SG</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Slovaquie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SK</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Slovénie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SI</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Suède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SE</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12</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Suisse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CH</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54</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8</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5</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Trinité</w:t>
            </w:r>
            <w:r>
              <w:rPr>
                <w:rFonts w:cs="Arial"/>
                <w:sz w:val="16"/>
                <w:szCs w:val="16"/>
              </w:rPr>
              <w:t>-</w:t>
            </w:r>
            <w:r w:rsidRPr="00B16E6F">
              <w:rPr>
                <w:rFonts w:cs="Arial"/>
                <w:sz w:val="16"/>
                <w:szCs w:val="16"/>
              </w:rPr>
              <w:t>et</w:t>
            </w:r>
            <w:r>
              <w:rPr>
                <w:rFonts w:cs="Arial"/>
                <w:sz w:val="16"/>
                <w:szCs w:val="16"/>
              </w:rPr>
              <w:t>-</w:t>
            </w:r>
            <w:r w:rsidRPr="00B16E6F">
              <w:rPr>
                <w:rFonts w:cs="Arial"/>
                <w:sz w:val="16"/>
                <w:szCs w:val="16"/>
              </w:rPr>
              <w:t>Tobago</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TT</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n/a</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Tunisie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TN</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Turquie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TR</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227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3</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Ukraine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UA</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E52F2B">
            <w:pPr>
              <w:jc w:val="center"/>
              <w:rPr>
                <w:rFonts w:cs="Arial"/>
                <w:sz w:val="16"/>
                <w:szCs w:val="16"/>
              </w:rPr>
            </w:pPr>
            <w:r w:rsidRPr="00B16E6F">
              <w:rPr>
                <w:rFonts w:cs="Arial"/>
                <w:sz w:val="16"/>
                <w:szCs w:val="16"/>
              </w:rPr>
              <w:t>1238</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3</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5</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3</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Union européenne</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QZ</w:t>
            </w:r>
          </w:p>
        </w:tc>
        <w:tc>
          <w:tcPr>
            <w:tcW w:w="1350" w:type="dxa"/>
            <w:tcBorders>
              <w:top w:val="nil"/>
              <w:left w:val="single" w:sz="4" w:space="0" w:color="auto"/>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Pr>
                <w:rFonts w:cs="Arial"/>
                <w:sz w:val="16"/>
                <w:szCs w:val="16"/>
              </w:rPr>
              <w:t>3</w:t>
            </w:r>
            <w:r w:rsidRPr="00B16E6F">
              <w:rPr>
                <w:rFonts w:cs="Arial"/>
                <w:sz w:val="16"/>
                <w:szCs w:val="16"/>
              </w:rPr>
              <w:t>525</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13</w:t>
            </w:r>
          </w:p>
        </w:tc>
        <w:tc>
          <w:tcPr>
            <w:tcW w:w="63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7</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11</w:t>
            </w:r>
          </w:p>
        </w:tc>
        <w:tc>
          <w:tcPr>
            <w:tcW w:w="7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c>
          <w:tcPr>
            <w:tcW w:w="81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9</w:t>
            </w:r>
          </w:p>
        </w:tc>
        <w:tc>
          <w:tcPr>
            <w:tcW w:w="1620" w:type="dxa"/>
            <w:tcBorders>
              <w:top w:val="nil"/>
              <w:left w:val="nil"/>
              <w:bottom w:val="single" w:sz="4" w:space="0" w:color="auto"/>
              <w:right w:val="single" w:sz="4" w:space="0" w:color="auto"/>
            </w:tcBorders>
            <w:shd w:val="clear" w:color="000000" w:fill="BFBFBF"/>
            <w:vAlign w:val="center"/>
          </w:tcPr>
          <w:p w:rsidR="00D30FAD" w:rsidRPr="00B16E6F" w:rsidRDefault="00D30FAD" w:rsidP="009F2B82">
            <w:pPr>
              <w:jc w:val="center"/>
              <w:rPr>
                <w:rFonts w:cs="Arial"/>
                <w:sz w:val="16"/>
                <w:szCs w:val="16"/>
              </w:rPr>
            </w:pPr>
            <w:r w:rsidRPr="00B16E6F">
              <w:rPr>
                <w:rFonts w:cs="Arial"/>
                <w:sz w:val="16"/>
                <w:szCs w:val="16"/>
              </w:rPr>
              <w:t>6</w:t>
            </w:r>
          </w:p>
        </w:tc>
      </w:tr>
      <w:tr w:rsidR="00D30FAD" w:rsidRPr="00B16E6F" w:rsidTr="0086795C">
        <w:trPr>
          <w:cantSplit/>
        </w:trPr>
        <w:tc>
          <w:tcPr>
            <w:tcW w:w="2245" w:type="dxa"/>
            <w:tcBorders>
              <w:bottom w:val="single" w:sz="4" w:space="0" w:color="auto"/>
            </w:tcBorders>
            <w:shd w:val="clear" w:color="auto" w:fill="auto"/>
          </w:tcPr>
          <w:p w:rsidR="00D30FAD" w:rsidRPr="00B16E6F" w:rsidRDefault="00D30FAD" w:rsidP="009F2B82">
            <w:pPr>
              <w:jc w:val="left"/>
              <w:rPr>
                <w:rFonts w:cs="Arial"/>
                <w:sz w:val="16"/>
                <w:szCs w:val="16"/>
              </w:rPr>
            </w:pPr>
            <w:r w:rsidRPr="00B16E6F">
              <w:rPr>
                <w:rFonts w:cs="Arial"/>
                <w:sz w:val="16"/>
                <w:szCs w:val="16"/>
              </w:rPr>
              <w:t>Uruguay</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UY</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68</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000000" w:fill="FFFFFF"/>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w:t>
            </w:r>
          </w:p>
        </w:tc>
      </w:tr>
      <w:tr w:rsidR="00D30FAD" w:rsidRPr="00B16E6F" w:rsidTr="0086795C">
        <w:trPr>
          <w:cantSplit/>
        </w:trPr>
        <w:tc>
          <w:tcPr>
            <w:tcW w:w="2245" w:type="dxa"/>
            <w:shd w:val="clear" w:color="auto" w:fill="auto"/>
          </w:tcPr>
          <w:p w:rsidR="00D30FAD" w:rsidRPr="00B16E6F" w:rsidRDefault="00D30FAD" w:rsidP="009F2B82">
            <w:pPr>
              <w:jc w:val="left"/>
              <w:rPr>
                <w:rFonts w:cs="Arial"/>
                <w:sz w:val="16"/>
                <w:szCs w:val="16"/>
              </w:rPr>
            </w:pPr>
            <w:r w:rsidRPr="00B16E6F">
              <w:rPr>
                <w:rFonts w:cs="Arial"/>
                <w:sz w:val="16"/>
                <w:szCs w:val="16"/>
              </w:rPr>
              <w:t>Viet</w:t>
            </w:r>
            <w:r>
              <w:rPr>
                <w:rFonts w:cs="Arial"/>
                <w:sz w:val="16"/>
                <w:szCs w:val="16"/>
              </w:rPr>
              <w:t> </w:t>
            </w:r>
            <w:r w:rsidRPr="00B16E6F">
              <w:rPr>
                <w:rFonts w:cs="Arial"/>
                <w:sz w:val="16"/>
                <w:szCs w:val="16"/>
              </w:rPr>
              <w:t>Nam</w:t>
            </w:r>
          </w:p>
        </w:tc>
        <w:tc>
          <w:tcPr>
            <w:tcW w:w="450" w:type="dxa"/>
            <w:tcBorders>
              <w:top w:val="nil"/>
              <w:left w:val="single" w:sz="4" w:space="0" w:color="auto"/>
              <w:bottom w:val="single" w:sz="4" w:space="0" w:color="auto"/>
              <w:right w:val="single" w:sz="4" w:space="0" w:color="auto"/>
            </w:tcBorders>
            <w:shd w:val="clear" w:color="auto" w:fill="auto"/>
            <w:vAlign w:val="bottom"/>
          </w:tcPr>
          <w:p w:rsidR="00D30FAD" w:rsidRPr="00B16E6F" w:rsidRDefault="00D30FAD" w:rsidP="009F2B82">
            <w:pPr>
              <w:jc w:val="center"/>
              <w:rPr>
                <w:rFonts w:cs="Arial"/>
                <w:sz w:val="16"/>
                <w:szCs w:val="16"/>
              </w:rPr>
            </w:pPr>
            <w:r w:rsidRPr="00B16E6F">
              <w:rPr>
                <w:rFonts w:cs="Arial"/>
                <w:sz w:val="16"/>
                <w:szCs w:val="16"/>
              </w:rPr>
              <w:t>VN</w:t>
            </w:r>
          </w:p>
        </w:tc>
        <w:tc>
          <w:tcPr>
            <w:tcW w:w="1350" w:type="dxa"/>
            <w:tcBorders>
              <w:top w:val="nil"/>
              <w:left w:val="single" w:sz="4" w:space="0" w:color="auto"/>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194</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63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7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81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c>
          <w:tcPr>
            <w:tcW w:w="1620" w:type="dxa"/>
            <w:tcBorders>
              <w:top w:val="nil"/>
              <w:left w:val="nil"/>
              <w:bottom w:val="single" w:sz="4" w:space="0" w:color="auto"/>
              <w:right w:val="single" w:sz="4" w:space="0" w:color="auto"/>
            </w:tcBorders>
            <w:shd w:val="clear" w:color="auto" w:fill="auto"/>
            <w:vAlign w:val="center"/>
          </w:tcPr>
          <w:p w:rsidR="00D30FAD" w:rsidRPr="00B16E6F" w:rsidRDefault="00D30FAD" w:rsidP="009F2B82">
            <w:pPr>
              <w:jc w:val="center"/>
              <w:rPr>
                <w:rFonts w:cs="Arial"/>
                <w:sz w:val="16"/>
                <w:szCs w:val="16"/>
              </w:rPr>
            </w:pPr>
            <w:r w:rsidRPr="00B16E6F">
              <w:rPr>
                <w:rFonts w:cs="Arial"/>
                <w:sz w:val="16"/>
                <w:szCs w:val="16"/>
              </w:rPr>
              <w:t>0</w:t>
            </w:r>
          </w:p>
        </w:tc>
      </w:tr>
      <w:tr w:rsidR="00B0676A" w:rsidRPr="00B16E6F" w:rsidTr="0086795C">
        <w:trPr>
          <w:cantSplit/>
        </w:trPr>
        <w:tc>
          <w:tcPr>
            <w:tcW w:w="2245" w:type="dxa"/>
            <w:shd w:val="clear" w:color="auto" w:fill="auto"/>
          </w:tcPr>
          <w:p w:rsidR="00B0676A" w:rsidRPr="00B16E6F" w:rsidRDefault="009F2B82" w:rsidP="0086795C">
            <w:pPr>
              <w:jc w:val="left"/>
              <w:rPr>
                <w:rFonts w:cs="Arial"/>
                <w:sz w:val="16"/>
                <w:szCs w:val="16"/>
              </w:rPr>
            </w:pPr>
            <w:r w:rsidRPr="00B16E6F">
              <w:rPr>
                <w:rFonts w:cs="Arial"/>
                <w:sz w:val="16"/>
                <w:szCs w:val="16"/>
              </w:rPr>
              <w:t>O</w:t>
            </w:r>
            <w:r w:rsidR="00B0676A" w:rsidRPr="00B16E6F">
              <w:rPr>
                <w:rFonts w:cs="Arial"/>
                <w:sz w:val="16"/>
                <w:szCs w:val="16"/>
              </w:rPr>
              <w:t>CD</w:t>
            </w:r>
            <w:r w:rsidRPr="00B16E6F">
              <w:rPr>
                <w:rFonts w:cs="Arial"/>
                <w:sz w:val="16"/>
                <w:szCs w:val="16"/>
              </w:rPr>
              <w:t>E</w:t>
            </w:r>
          </w:p>
        </w:tc>
        <w:tc>
          <w:tcPr>
            <w:tcW w:w="450" w:type="dxa"/>
            <w:tcBorders>
              <w:top w:val="nil"/>
              <w:left w:val="single" w:sz="4" w:space="0" w:color="auto"/>
              <w:bottom w:val="single" w:sz="4" w:space="0" w:color="auto"/>
              <w:right w:val="single" w:sz="4" w:space="0" w:color="auto"/>
            </w:tcBorders>
            <w:shd w:val="clear" w:color="auto" w:fill="auto"/>
            <w:vAlign w:val="bottom"/>
          </w:tcPr>
          <w:p w:rsidR="00B0676A" w:rsidRPr="00B16E6F" w:rsidRDefault="00B0676A" w:rsidP="0086795C">
            <w:pPr>
              <w:jc w:val="center"/>
              <w:rPr>
                <w:rFonts w:cs="Arial"/>
                <w:sz w:val="16"/>
                <w:szCs w:val="16"/>
              </w:rPr>
            </w:pPr>
            <w:r w:rsidRPr="00B16E6F">
              <w:rPr>
                <w:rFonts w:cs="Arial"/>
                <w:sz w:val="16"/>
                <w:szCs w:val="16"/>
              </w:rPr>
              <w:t>QM</w:t>
            </w:r>
          </w:p>
        </w:tc>
        <w:tc>
          <w:tcPr>
            <w:tcW w:w="1350" w:type="dxa"/>
            <w:tcBorders>
              <w:top w:val="nil"/>
              <w:left w:val="single" w:sz="4" w:space="0" w:color="auto"/>
              <w:bottom w:val="single" w:sz="4" w:space="0" w:color="auto"/>
              <w:right w:val="single" w:sz="4" w:space="0" w:color="auto"/>
            </w:tcBorders>
            <w:shd w:val="clear" w:color="000000" w:fill="FFFFFF"/>
            <w:vAlign w:val="center"/>
          </w:tcPr>
          <w:p w:rsidR="00B0676A" w:rsidRPr="00B16E6F" w:rsidRDefault="00255969" w:rsidP="0086795C">
            <w:pPr>
              <w:jc w:val="center"/>
              <w:rPr>
                <w:rFonts w:cs="Arial"/>
                <w:sz w:val="16"/>
                <w:szCs w:val="16"/>
              </w:rPr>
            </w:pPr>
            <w:r>
              <w:rPr>
                <w:rFonts w:cs="Arial"/>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2</w:t>
            </w:r>
          </w:p>
        </w:tc>
        <w:tc>
          <w:tcPr>
            <w:tcW w:w="63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2</w:t>
            </w:r>
          </w:p>
        </w:tc>
        <w:tc>
          <w:tcPr>
            <w:tcW w:w="7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2</w:t>
            </w:r>
          </w:p>
        </w:tc>
        <w:tc>
          <w:tcPr>
            <w:tcW w:w="81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2</w:t>
            </w:r>
          </w:p>
        </w:tc>
        <w:tc>
          <w:tcPr>
            <w:tcW w:w="16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sz w:val="16"/>
                <w:szCs w:val="16"/>
              </w:rPr>
            </w:pPr>
            <w:r w:rsidRPr="00B16E6F">
              <w:rPr>
                <w:rFonts w:cs="Arial"/>
                <w:sz w:val="16"/>
                <w:szCs w:val="16"/>
              </w:rPr>
              <w:t>1</w:t>
            </w:r>
          </w:p>
        </w:tc>
      </w:tr>
      <w:tr w:rsidR="00B0676A" w:rsidRPr="00B16E6F" w:rsidTr="0086795C">
        <w:trPr>
          <w:cantSplit/>
        </w:trPr>
        <w:tc>
          <w:tcPr>
            <w:tcW w:w="2245" w:type="dxa"/>
            <w:shd w:val="clear" w:color="auto" w:fill="auto"/>
          </w:tcPr>
          <w:p w:rsidR="00B0676A" w:rsidRPr="00B16E6F" w:rsidRDefault="00B0676A" w:rsidP="0086795C">
            <w:pPr>
              <w:jc w:val="left"/>
              <w:rPr>
                <w:rStyle w:val="FootnoteReference"/>
                <w:rFonts w:cs="Arial"/>
                <w:b/>
                <w:sz w:val="16"/>
                <w:szCs w:val="16"/>
              </w:rPr>
            </w:pPr>
            <w:r w:rsidRPr="00B16E6F">
              <w:rPr>
                <w:rFonts w:cs="Arial"/>
                <w:b/>
                <w:sz w:val="16"/>
                <w:szCs w:val="16"/>
              </w:rPr>
              <w:t>Total</w:t>
            </w:r>
          </w:p>
        </w:tc>
        <w:tc>
          <w:tcPr>
            <w:tcW w:w="450" w:type="dxa"/>
          </w:tcPr>
          <w:p w:rsidR="00B0676A" w:rsidRPr="00B16E6F" w:rsidRDefault="00B0676A" w:rsidP="0086795C">
            <w:pPr>
              <w:ind w:right="284"/>
              <w:jc w:val="right"/>
              <w:rPr>
                <w:rFonts w:cs="Arial"/>
                <w:b/>
                <w:sz w:val="16"/>
                <w:szCs w:val="16"/>
              </w:rPr>
            </w:pPr>
          </w:p>
        </w:tc>
        <w:tc>
          <w:tcPr>
            <w:tcW w:w="1350" w:type="dxa"/>
            <w:tcBorders>
              <w:top w:val="nil"/>
              <w:left w:val="single" w:sz="4" w:space="0" w:color="auto"/>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21,265</w:t>
            </w:r>
          </w:p>
        </w:tc>
        <w:tc>
          <w:tcPr>
            <w:tcW w:w="7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255</w:t>
            </w:r>
          </w:p>
        </w:tc>
        <w:tc>
          <w:tcPr>
            <w:tcW w:w="63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222</w:t>
            </w:r>
          </w:p>
        </w:tc>
        <w:tc>
          <w:tcPr>
            <w:tcW w:w="7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247</w:t>
            </w:r>
          </w:p>
        </w:tc>
        <w:tc>
          <w:tcPr>
            <w:tcW w:w="7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254</w:t>
            </w:r>
          </w:p>
        </w:tc>
        <w:tc>
          <w:tcPr>
            <w:tcW w:w="81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249</w:t>
            </w:r>
          </w:p>
        </w:tc>
        <w:tc>
          <w:tcPr>
            <w:tcW w:w="1620" w:type="dxa"/>
            <w:tcBorders>
              <w:top w:val="nil"/>
              <w:left w:val="nil"/>
              <w:bottom w:val="single" w:sz="4" w:space="0" w:color="auto"/>
              <w:right w:val="single" w:sz="4" w:space="0" w:color="auto"/>
            </w:tcBorders>
            <w:shd w:val="clear" w:color="auto" w:fill="auto"/>
            <w:vAlign w:val="center"/>
          </w:tcPr>
          <w:p w:rsidR="00B0676A" w:rsidRPr="00B16E6F" w:rsidRDefault="00B0676A" w:rsidP="0086795C">
            <w:pPr>
              <w:jc w:val="center"/>
              <w:rPr>
                <w:rFonts w:cs="Arial"/>
                <w:b/>
                <w:bCs/>
                <w:sz w:val="16"/>
                <w:szCs w:val="16"/>
              </w:rPr>
            </w:pPr>
            <w:r w:rsidRPr="00B16E6F">
              <w:rPr>
                <w:rFonts w:cs="Arial"/>
                <w:b/>
                <w:bCs/>
                <w:sz w:val="16"/>
                <w:szCs w:val="16"/>
              </w:rPr>
              <w:t>180</w:t>
            </w:r>
          </w:p>
        </w:tc>
      </w:tr>
    </w:tbl>
    <w:p w:rsidR="00DC7EA3" w:rsidRPr="00B16E6F" w:rsidRDefault="00DC7EA3" w:rsidP="004B1215"/>
    <w:p w:rsidR="00DC7EA3" w:rsidRPr="00B16E6F" w:rsidRDefault="00DC7EA3" w:rsidP="00050E16"/>
    <w:p w:rsidR="00DC7EA3" w:rsidRPr="00B16E6F" w:rsidRDefault="00DC7EA3">
      <w:pPr>
        <w:jc w:val="left"/>
      </w:pPr>
    </w:p>
    <w:p w:rsidR="00DC7EA3" w:rsidRPr="00B16E6F" w:rsidRDefault="00DC7EA3" w:rsidP="00050E16"/>
    <w:p w:rsidR="00DC7EA3" w:rsidRPr="00B16E6F" w:rsidRDefault="00050E16" w:rsidP="00AC6C80">
      <w:pPr>
        <w:jc w:val="right"/>
      </w:pPr>
      <w:r w:rsidRPr="00B16E6F">
        <w:t>[</w:t>
      </w:r>
      <w:r w:rsidR="00A706D3" w:rsidRPr="00B16E6F">
        <w:t xml:space="preserve">Fin </w:t>
      </w:r>
      <w:r w:rsidR="00B0676A" w:rsidRPr="00B16E6F">
        <w:t>de l</w:t>
      </w:r>
      <w:r w:rsidR="00255969">
        <w:t>’</w:t>
      </w:r>
      <w:r w:rsidR="00255969" w:rsidRPr="00B16E6F">
        <w:t>annexe</w:t>
      </w:r>
      <w:r w:rsidR="00255969">
        <w:t> </w:t>
      </w:r>
      <w:r w:rsidR="00255969" w:rsidRPr="00B16E6F">
        <w:t>I</w:t>
      </w:r>
      <w:r w:rsidR="00B0676A" w:rsidRPr="00B16E6F">
        <w:t xml:space="preserve">I et </w:t>
      </w:r>
      <w:r w:rsidR="00A706D3" w:rsidRPr="00B16E6F">
        <w:t xml:space="preserve">du </w:t>
      </w:r>
      <w:r w:rsidRPr="00B16E6F">
        <w:t>document]</w:t>
      </w:r>
    </w:p>
    <w:p w:rsidR="00DC7EA3" w:rsidRPr="00B16E6F" w:rsidRDefault="00DC7EA3" w:rsidP="009B440E">
      <w:pPr>
        <w:jc w:val="left"/>
      </w:pPr>
    </w:p>
    <w:p w:rsidR="00DC7EA3" w:rsidRPr="00B16E6F" w:rsidRDefault="00DC7EA3" w:rsidP="009B440E">
      <w:pPr>
        <w:jc w:val="left"/>
      </w:pPr>
    </w:p>
    <w:p w:rsidR="00DC7EA3" w:rsidRPr="00B16E6F" w:rsidRDefault="00DC7EA3" w:rsidP="009B440E">
      <w:pPr>
        <w:jc w:val="left"/>
      </w:pPr>
    </w:p>
    <w:p w:rsidR="00DC7EA3" w:rsidRPr="00B16E6F" w:rsidRDefault="00DC7EA3" w:rsidP="009B440E">
      <w:pPr>
        <w:jc w:val="left"/>
      </w:pPr>
    </w:p>
    <w:p w:rsidR="00050E16" w:rsidRPr="00B16E6F" w:rsidRDefault="00050E16" w:rsidP="009B440E">
      <w:pPr>
        <w:jc w:val="left"/>
      </w:pPr>
    </w:p>
    <w:sectPr w:rsidR="00050E16" w:rsidRPr="00B16E6F" w:rsidSect="00AC6C80">
      <w:headerReference w:type="default" r:id="rId24"/>
      <w:headerReference w:type="first" r:id="rId2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5C" w:rsidRDefault="0086795C" w:rsidP="006655D3">
      <w:r>
        <w:separator/>
      </w:r>
    </w:p>
    <w:p w:rsidR="0086795C" w:rsidRDefault="0086795C" w:rsidP="006655D3"/>
    <w:p w:rsidR="0086795C" w:rsidRDefault="0086795C" w:rsidP="006655D3"/>
  </w:endnote>
  <w:endnote w:type="continuationSeparator" w:id="0">
    <w:p w:rsidR="0086795C" w:rsidRDefault="0086795C" w:rsidP="006655D3">
      <w:r>
        <w:separator/>
      </w:r>
    </w:p>
    <w:p w:rsidR="0086795C" w:rsidRPr="00294751" w:rsidRDefault="0086795C">
      <w:pPr>
        <w:pStyle w:val="Footer"/>
        <w:spacing w:after="60"/>
        <w:rPr>
          <w:sz w:val="18"/>
          <w:lang w:val="fr-FR"/>
        </w:rPr>
      </w:pPr>
      <w:r w:rsidRPr="00294751">
        <w:rPr>
          <w:sz w:val="18"/>
          <w:lang w:val="fr-FR"/>
        </w:rPr>
        <w:t>[Suite de la note de la page précédente]</w:t>
      </w:r>
    </w:p>
    <w:p w:rsidR="0086795C" w:rsidRPr="00294751" w:rsidRDefault="0086795C" w:rsidP="006655D3"/>
    <w:p w:rsidR="0086795C" w:rsidRPr="00294751" w:rsidRDefault="0086795C" w:rsidP="006655D3"/>
  </w:endnote>
  <w:endnote w:type="continuationNotice" w:id="1">
    <w:p w:rsidR="0086795C" w:rsidRPr="00294751" w:rsidRDefault="0086795C" w:rsidP="006655D3">
      <w:r w:rsidRPr="00294751">
        <w:t>[Suite de la note page suivante]</w:t>
      </w:r>
    </w:p>
    <w:p w:rsidR="0086795C" w:rsidRPr="00294751" w:rsidRDefault="0086795C" w:rsidP="006655D3"/>
    <w:p w:rsidR="0086795C" w:rsidRPr="00294751" w:rsidRDefault="0086795C"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Default="0086795C" w:rsidP="00867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Default="008679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Default="00867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5C" w:rsidRDefault="0086795C" w:rsidP="006655D3">
      <w:r>
        <w:separator/>
      </w:r>
    </w:p>
  </w:footnote>
  <w:footnote w:type="continuationSeparator" w:id="0">
    <w:p w:rsidR="0086795C" w:rsidRDefault="0086795C" w:rsidP="006655D3">
      <w:r>
        <w:separator/>
      </w:r>
    </w:p>
  </w:footnote>
  <w:footnote w:type="continuationNotice" w:id="1">
    <w:p w:rsidR="0086795C" w:rsidRPr="00AB530F" w:rsidRDefault="0086795C" w:rsidP="00AB530F">
      <w:pPr>
        <w:pStyle w:val="Footer"/>
      </w:pPr>
    </w:p>
  </w:footnote>
  <w:footnote w:id="2">
    <w:p w:rsidR="0086795C" w:rsidRPr="00A95652" w:rsidRDefault="0086795C" w:rsidP="00401AE3">
      <w:pPr>
        <w:pStyle w:val="FootnoteText"/>
      </w:pPr>
      <w:r w:rsidRPr="00A95652">
        <w:rPr>
          <w:rStyle w:val="FootnoteReference"/>
        </w:rPr>
        <w:footnoteRef/>
      </w:r>
      <w:r w:rsidRPr="00A95652">
        <w:tab/>
        <w:t>Voir les documents</w:t>
      </w:r>
      <w:r w:rsidR="00F3336A">
        <w:t> </w:t>
      </w:r>
      <w:r w:rsidRPr="00A95652">
        <w:t>C/[session]/INF/6 “Liste des taxons protégés par les membres de l</w:t>
      </w:r>
      <w:r w:rsidR="00485319">
        <w:t>’</w:t>
      </w:r>
      <w:r w:rsidRPr="00A95652">
        <w:t xml:space="preserve">Union”;  </w:t>
      </w:r>
      <w:r w:rsidR="00A95652" w:rsidRPr="00A95652">
        <w:t>C/[session]/INF/5 “</w:t>
      </w:r>
      <w:r w:rsidRPr="00A95652">
        <w:t>Coopération en matière d</w:t>
      </w:r>
      <w:r w:rsidR="00485319">
        <w:t>’</w:t>
      </w:r>
      <w:r w:rsidRPr="00A95652">
        <w:t xml:space="preserve">examen”; </w:t>
      </w:r>
      <w:r w:rsidR="00D31106">
        <w:t xml:space="preserve"> </w:t>
      </w:r>
      <w:r w:rsidR="00485319">
        <w:t>TC</w:t>
      </w:r>
      <w:r w:rsidRPr="00A95652">
        <w:t>/[session]/INF/4 “Liste des genres et espèces pour lesquels les services ont une expérience pratique en matière d</w:t>
      </w:r>
      <w:r w:rsidR="00485319">
        <w:t>’</w:t>
      </w:r>
      <w:r w:rsidRPr="00A95652">
        <w:t>examen de la distinction, de l</w:t>
      </w:r>
      <w:r w:rsidR="00485319">
        <w:t>’</w:t>
      </w:r>
      <w:r w:rsidRPr="00A95652">
        <w:t>homogénéité et de la stabilité”;  et</w:t>
      </w:r>
      <w:r w:rsidR="00485319">
        <w:t> TC</w:t>
      </w:r>
      <w:r w:rsidRPr="00A95652">
        <w:t>/[session]/2 “Principes directeurs d</w:t>
      </w:r>
      <w:r w:rsidR="00485319">
        <w:t>’</w:t>
      </w:r>
      <w:r w:rsidRPr="00A95652">
        <w:t>examen”.</w:t>
      </w:r>
    </w:p>
  </w:footnote>
  <w:footnote w:id="3">
    <w:p w:rsidR="0086795C" w:rsidRPr="00A95652" w:rsidRDefault="0086795C" w:rsidP="0086795C">
      <w:pPr>
        <w:pStyle w:val="FootnoteText"/>
        <w:rPr>
          <w:lang w:val="fr-CH"/>
        </w:rPr>
      </w:pPr>
      <w:r w:rsidRPr="00A95652">
        <w:rPr>
          <w:rStyle w:val="FootnoteReference"/>
        </w:rPr>
        <w:footnoteRef/>
      </w:r>
      <w:r w:rsidRPr="00A95652">
        <w:rPr>
          <w:lang w:val="fr-CH"/>
        </w:rPr>
        <w:t xml:space="preserve"> </w:t>
      </w:r>
      <w:r w:rsidRPr="00A95652">
        <w:rPr>
          <w:lang w:val="fr-CH"/>
        </w:rPr>
        <w:tab/>
        <w:t>Tenue à Genève du 26 au 2</w:t>
      </w:r>
      <w:r w:rsidR="00485319" w:rsidRPr="00A95652">
        <w:rPr>
          <w:lang w:val="fr-CH"/>
        </w:rPr>
        <w:t>8</w:t>
      </w:r>
      <w:r w:rsidR="00485319">
        <w:rPr>
          <w:lang w:val="fr-CH"/>
        </w:rPr>
        <w:t> </w:t>
      </w:r>
      <w:r w:rsidR="00485319" w:rsidRPr="00A95652">
        <w:rPr>
          <w:lang w:val="fr-CH"/>
        </w:rPr>
        <w:t>mars</w:t>
      </w:r>
      <w:r w:rsidR="00485319">
        <w:rPr>
          <w:lang w:val="fr-CH"/>
        </w:rPr>
        <w:t> </w:t>
      </w:r>
      <w:r w:rsidR="00485319" w:rsidRPr="00A95652">
        <w:rPr>
          <w:lang w:val="fr-CH"/>
        </w:rPr>
        <w:t>20</w:t>
      </w:r>
      <w:r w:rsidRPr="00A95652">
        <w:rPr>
          <w:lang w:val="fr-CH"/>
        </w:rPr>
        <w:t>12.</w:t>
      </w:r>
    </w:p>
  </w:footnote>
  <w:footnote w:id="4">
    <w:p w:rsidR="0086795C" w:rsidRPr="00A95652" w:rsidRDefault="0086795C" w:rsidP="0086795C">
      <w:pPr>
        <w:pStyle w:val="FootnoteText"/>
        <w:rPr>
          <w:lang w:val="fr-CH"/>
        </w:rPr>
      </w:pPr>
      <w:r w:rsidRPr="00A95652">
        <w:rPr>
          <w:rStyle w:val="FootnoteReference"/>
        </w:rPr>
        <w:footnoteRef/>
      </w:r>
      <w:r w:rsidRPr="00A95652">
        <w:rPr>
          <w:lang w:val="fr-CH"/>
        </w:rPr>
        <w:t xml:space="preserve"> </w:t>
      </w:r>
      <w:r w:rsidRPr="00A95652">
        <w:rPr>
          <w:lang w:val="fr-CH"/>
        </w:rPr>
        <w:tab/>
        <w:t>Tenue à Genève le 2</w:t>
      </w:r>
      <w:r w:rsidR="00485319" w:rsidRPr="00A95652">
        <w:rPr>
          <w:lang w:val="fr-CH"/>
        </w:rPr>
        <w:t>9</w:t>
      </w:r>
      <w:r w:rsidR="00485319">
        <w:rPr>
          <w:lang w:val="fr-CH"/>
        </w:rPr>
        <w:t> </w:t>
      </w:r>
      <w:r w:rsidR="00485319" w:rsidRPr="00A95652">
        <w:rPr>
          <w:lang w:val="fr-CH"/>
        </w:rPr>
        <w:t>mars</w:t>
      </w:r>
      <w:r w:rsidR="00485319">
        <w:rPr>
          <w:lang w:val="fr-CH"/>
        </w:rPr>
        <w:t> </w:t>
      </w:r>
      <w:r w:rsidR="00485319" w:rsidRPr="00A95652">
        <w:rPr>
          <w:lang w:val="fr-CH"/>
        </w:rPr>
        <w:t>20</w:t>
      </w:r>
      <w:r w:rsidRPr="00A95652">
        <w:rPr>
          <w:lang w:val="fr-CH"/>
        </w:rPr>
        <w:t>12.</w:t>
      </w:r>
    </w:p>
  </w:footnote>
  <w:footnote w:id="5">
    <w:p w:rsidR="0086795C" w:rsidRPr="00A95652" w:rsidRDefault="0086795C" w:rsidP="0086795C">
      <w:pPr>
        <w:pStyle w:val="FootnoteText"/>
        <w:rPr>
          <w:lang w:val="fr-CH"/>
        </w:rPr>
      </w:pPr>
      <w:r w:rsidRPr="00A95652">
        <w:rPr>
          <w:rStyle w:val="FootnoteReference"/>
        </w:rPr>
        <w:footnoteRef/>
      </w:r>
      <w:r w:rsidRPr="00A95652">
        <w:rPr>
          <w:lang w:val="fr-CH"/>
        </w:rPr>
        <w:t xml:space="preserve"> </w:t>
      </w:r>
      <w:r w:rsidRPr="00A95652">
        <w:rPr>
          <w:lang w:val="fr-CH"/>
        </w:rPr>
        <w:tab/>
        <w:t>Tenue par voie électronique les 26 et 2</w:t>
      </w:r>
      <w:r w:rsidR="00485319" w:rsidRPr="00A95652">
        <w:rPr>
          <w:lang w:val="fr-CH"/>
        </w:rPr>
        <w:t>7</w:t>
      </w:r>
      <w:r w:rsidR="00485319">
        <w:rPr>
          <w:lang w:val="fr-CH"/>
        </w:rPr>
        <w:t> </w:t>
      </w:r>
      <w:r w:rsidR="00485319" w:rsidRPr="00A95652">
        <w:rPr>
          <w:lang w:val="fr-CH"/>
        </w:rPr>
        <w:t>octobre</w:t>
      </w:r>
      <w:r w:rsidR="00485319">
        <w:rPr>
          <w:lang w:val="fr-CH"/>
        </w:rPr>
        <w:t> </w:t>
      </w:r>
      <w:r w:rsidR="00485319" w:rsidRPr="00A95652">
        <w:rPr>
          <w:lang w:val="fr-CH"/>
        </w:rPr>
        <w:t>20</w:t>
      </w:r>
      <w:r w:rsidRPr="00A95652">
        <w:rPr>
          <w:lang w:val="fr-CH"/>
        </w:rPr>
        <w:t>20.</w:t>
      </w:r>
    </w:p>
  </w:footnote>
  <w:footnote w:id="6">
    <w:p w:rsidR="0086795C" w:rsidRPr="00A95652" w:rsidRDefault="0086795C" w:rsidP="0074329C">
      <w:pPr>
        <w:pStyle w:val="FootnoteText"/>
      </w:pPr>
      <w:r w:rsidRPr="00A95652">
        <w:rPr>
          <w:rStyle w:val="FootnoteReference"/>
        </w:rPr>
        <w:footnoteRef/>
      </w:r>
      <w:r w:rsidRPr="00A95652">
        <w:t xml:space="preserve"> </w:t>
      </w:r>
      <w:r w:rsidRPr="00A95652">
        <w:tab/>
        <w:t>À sa soixante</w:t>
      </w:r>
      <w:r w:rsidR="00485319">
        <w:t>-</w:t>
      </w:r>
      <w:r w:rsidRPr="00A95652">
        <w:t>seiz</w:t>
      </w:r>
      <w:r w:rsidR="00485319">
        <w:t>ième session</w:t>
      </w:r>
      <w:r w:rsidRPr="00A95652">
        <w:t xml:space="preserve"> tenue à Genève le 29 octobre 2008, le Comité consultatif a approuvé un accord entre l</w:t>
      </w:r>
      <w:r w:rsidR="00485319">
        <w:t>’</w:t>
      </w:r>
      <w:r w:rsidRPr="00A95652">
        <w:t>UPOV et l</w:t>
      </w:r>
      <w:r w:rsidR="00485319">
        <w:t>’</w:t>
      </w:r>
      <w:r w:rsidRPr="00A95652">
        <w:t>Organisation Mondiale de la Propriété Intellectuelle (OMPI) (accord UPOV</w:t>
      </w:r>
      <w:r w:rsidR="00485319">
        <w:t>-</w:t>
      </w:r>
      <w:r w:rsidRPr="00A95652">
        <w:t>OMPI) concernant la base de données UPOV sur les variétés végétales, comme suit</w:t>
      </w:r>
      <w:r w:rsidR="00485319">
        <w:t> :</w:t>
      </w:r>
    </w:p>
    <w:p w:rsidR="0086795C" w:rsidRPr="00A95652" w:rsidRDefault="0086795C" w:rsidP="0074329C">
      <w:pPr>
        <w:pStyle w:val="FootnoteText"/>
      </w:pPr>
      <w:r w:rsidRPr="00A95652">
        <w:t>“a)</w:t>
      </w:r>
      <w:r w:rsidRPr="00A95652">
        <w:tab/>
        <w:t>L</w:t>
      </w:r>
      <w:r w:rsidR="00485319">
        <w:t>’</w:t>
      </w:r>
      <w:r w:rsidRPr="00A95652">
        <w:t>OMPI procède à la compilation des données pour l</w:t>
      </w:r>
      <w:r w:rsidR="00485319">
        <w:t>’</w:t>
      </w:r>
      <w:r w:rsidRPr="00A95652">
        <w:t>UPOV</w:t>
      </w:r>
      <w:r w:rsidR="00485319">
        <w:t>-</w:t>
      </w:r>
      <w:r w:rsidRPr="00A95652">
        <w:t>ROM et fournit l</w:t>
      </w:r>
      <w:r w:rsidR="00485319">
        <w:t>’</w:t>
      </w:r>
      <w:r w:rsidRPr="00A95652">
        <w:t>assistance nécessaire à l</w:t>
      </w:r>
      <w:r w:rsidR="00485319">
        <w:t>’</w:t>
      </w:r>
      <w:r w:rsidRPr="00A95652">
        <w:t>exécution du programme d</w:t>
      </w:r>
      <w:r w:rsidR="00485319">
        <w:t>’</w:t>
      </w:r>
      <w:r w:rsidRPr="00A95652">
        <w:t>améliorations concernant, en particulier, la possibilité de recevoir des données destinées à l</w:t>
      </w:r>
      <w:r w:rsidR="00485319">
        <w:t>’</w:t>
      </w:r>
      <w:r w:rsidRPr="00A95652">
        <w:t>UPOV</w:t>
      </w:r>
      <w:r w:rsidR="00485319">
        <w:t>-</w:t>
      </w:r>
      <w:r w:rsidRPr="00A95652">
        <w:t>ROM sous différents formats et apporte une aide pour l</w:t>
      </w:r>
      <w:r w:rsidR="00485319">
        <w:t>’</w:t>
      </w:r>
      <w:r w:rsidRPr="00A95652">
        <w:t>attribution d</w:t>
      </w:r>
      <w:r w:rsidR="00485319">
        <w:t>’</w:t>
      </w:r>
      <w:r w:rsidRPr="00A95652">
        <w:t>un code UPOV à toutes les entrées (voir documents CAJ/57/6, paragraphes 3 et 8 et</w:t>
      </w:r>
      <w:r w:rsidR="00485319">
        <w:t> TC</w:t>
      </w:r>
      <w:r w:rsidRPr="00A95652">
        <w:t>/44/6, paragraphes 12 à 17).  En outre, l</w:t>
      </w:r>
      <w:r w:rsidR="00485319">
        <w:t>’</w:t>
      </w:r>
      <w:r w:rsidRPr="00A95652">
        <w:t>OMPI s</w:t>
      </w:r>
      <w:r w:rsidR="00485319">
        <w:t>’</w:t>
      </w:r>
      <w:r w:rsidRPr="00A95652">
        <w:t>emploiera à élaborer une version conçue pour l</w:t>
      </w:r>
      <w:r w:rsidR="00485319">
        <w:t>’</w:t>
      </w:r>
      <w:r w:rsidRPr="00A95652">
        <w:t>Internet de la base de données de l</w:t>
      </w:r>
      <w:r w:rsidR="00485319">
        <w:t>’</w:t>
      </w:r>
      <w:r w:rsidRPr="00A95652">
        <w:t>UPOV sur les variétés végétales et à se doter d</w:t>
      </w:r>
      <w:r w:rsidR="00485319">
        <w:t>’</w:t>
      </w:r>
      <w:r w:rsidRPr="00A95652">
        <w:t>un moyen de créer des versions sur CD</w:t>
      </w:r>
      <w:r w:rsidR="00485319">
        <w:t>-</w:t>
      </w:r>
      <w:r w:rsidRPr="00A95652">
        <w:t>ROM de cette base de données, et fournira l</w:t>
      </w:r>
      <w:r w:rsidR="00485319">
        <w:t>’</w:t>
      </w:r>
      <w:r w:rsidRPr="00A95652">
        <w:t>appui technique nécessaire en ce qui concerne l</w:t>
      </w:r>
      <w:r w:rsidR="00485319">
        <w:t>’</w:t>
      </w:r>
      <w:r w:rsidRPr="00A95652">
        <w:t>élaboration d</w:t>
      </w:r>
      <w:r w:rsidR="00485319">
        <w:t>’</w:t>
      </w:r>
      <w:r w:rsidRPr="00A95652">
        <w:t>une interface de recherche commune (voir les paragraphes 18 à 21 du document</w:t>
      </w:r>
      <w:r w:rsidR="00F3336A">
        <w:t> </w:t>
      </w:r>
      <w:r w:rsidRPr="00A95652">
        <w:t xml:space="preserve">CAJ/57/6 et les paragraphes 27 à 30 du </w:t>
      </w:r>
      <w:r w:rsidR="00485319" w:rsidRPr="00A95652">
        <w:t>document</w:t>
      </w:r>
      <w:r w:rsidR="00F3336A">
        <w:t> </w:t>
      </w:r>
      <w:r w:rsidR="00485319">
        <w:t>TC</w:t>
      </w:r>
      <w:r w:rsidRPr="00A95652">
        <w:t>/44/6).</w:t>
      </w:r>
    </w:p>
    <w:p w:rsidR="0086795C" w:rsidRPr="00A95652" w:rsidRDefault="0086795C" w:rsidP="0074329C">
      <w:pPr>
        <w:pStyle w:val="FootnoteText"/>
      </w:pPr>
      <w:r w:rsidRPr="00A95652">
        <w:t>“b)</w:t>
      </w:r>
      <w:r w:rsidRPr="00A95652">
        <w:tab/>
        <w:t>L</w:t>
      </w:r>
      <w:r w:rsidR="00485319">
        <w:t>’</w:t>
      </w:r>
      <w:r w:rsidRPr="00A95652">
        <w:t>UPOV accepte que les données figurant dans la base de données UPOV</w:t>
      </w:r>
      <w:r w:rsidR="00485319">
        <w:t>-</w:t>
      </w:r>
      <w:r w:rsidRPr="00A95652">
        <w:t>ROM sur les variétés végétales puissent être intégrées au service de recherche Patentscope® de l</w:t>
      </w:r>
      <w:r w:rsidR="00485319">
        <w:t>’</w:t>
      </w:r>
      <w:r w:rsidRPr="00A95652">
        <w:t>OMPI.  En ce qui concerne les données communiquées par des parties autres que les membres de l</w:t>
      </w:r>
      <w:r w:rsidR="00485319">
        <w:t>’</w:t>
      </w:r>
      <w:r w:rsidRPr="00A95652">
        <w:t>Union (par exemple, l</w:t>
      </w:r>
      <w:r w:rsidR="00485319">
        <w:t>’</w:t>
      </w:r>
      <w:r w:rsidRPr="00A95652">
        <w:t>Organisation de coopération et de développement économiques (OCDE)), l</w:t>
      </w:r>
      <w:r w:rsidR="00485319">
        <w:t>’</w:t>
      </w:r>
      <w:r w:rsidRPr="00A95652">
        <w:t>autorisation d</w:t>
      </w:r>
      <w:r w:rsidR="00485319">
        <w:t>’</w:t>
      </w:r>
      <w:r w:rsidRPr="00A95652">
        <w:t>utiliser les données dans le service de recherche Patentscope® de l</w:t>
      </w:r>
      <w:r w:rsidR="00485319">
        <w:t>’</w:t>
      </w:r>
      <w:r w:rsidRPr="00A95652">
        <w:t>OMPI relèvera des parties concernées</w:t>
      </w:r>
      <w:r w:rsidR="00876639">
        <w:t>.</w:t>
      </w:r>
      <w:r w:rsidRPr="00A95652">
        <w:t>”</w:t>
      </w:r>
    </w:p>
  </w:footnote>
  <w:footnote w:id="7">
    <w:p w:rsidR="0086795C" w:rsidRPr="00A95652" w:rsidRDefault="0086795C" w:rsidP="009F2B82">
      <w:pPr>
        <w:pStyle w:val="FootnoteText"/>
      </w:pPr>
      <w:r w:rsidRPr="00A95652">
        <w:rPr>
          <w:rStyle w:val="FootnoteReference"/>
        </w:rPr>
        <w:footnoteRef/>
      </w:r>
      <w:r w:rsidRPr="00A95652">
        <w:t xml:space="preserve"> </w:t>
      </w:r>
      <w:r w:rsidRPr="00A95652">
        <w:tab/>
        <w:t>À sa soixante</w:t>
      </w:r>
      <w:r w:rsidR="00485319">
        <w:t>-</w:t>
      </w:r>
      <w:r w:rsidRPr="00A95652">
        <w:t>seiz</w:t>
      </w:r>
      <w:r w:rsidR="00485319">
        <w:t>ième session</w:t>
      </w:r>
      <w:r w:rsidRPr="00A95652">
        <w:t xml:space="preserve"> tenue à Genève le 29 octobre 2008, le Comité consultatif a approuvé un accord entre l</w:t>
      </w:r>
      <w:r w:rsidR="00485319">
        <w:t>’</w:t>
      </w:r>
      <w:r w:rsidRPr="00A95652">
        <w:t>UPOV et l</w:t>
      </w:r>
      <w:r w:rsidR="00485319">
        <w:t>’</w:t>
      </w:r>
      <w:r w:rsidRPr="00A95652">
        <w:t>Organisation Mondiale de la Propriété Intellectuelle (OMPI) (accord UPOV</w:t>
      </w:r>
      <w:r w:rsidR="00485319">
        <w:t>-</w:t>
      </w:r>
      <w:r w:rsidRPr="00A95652">
        <w:t>OMPI) concernant la base de données UPOV sur les variétés végétales, comme suit</w:t>
      </w:r>
      <w:r w:rsidR="00485319">
        <w:t> :</w:t>
      </w:r>
    </w:p>
    <w:p w:rsidR="0086795C" w:rsidRPr="00A95652" w:rsidRDefault="0086795C" w:rsidP="009F2B82">
      <w:pPr>
        <w:pStyle w:val="FootnoteText"/>
      </w:pPr>
      <w:r w:rsidRPr="00A95652">
        <w:t>“a)</w:t>
      </w:r>
      <w:r w:rsidRPr="00A95652">
        <w:tab/>
        <w:t>L</w:t>
      </w:r>
      <w:r w:rsidR="00485319">
        <w:t>’</w:t>
      </w:r>
      <w:r w:rsidRPr="00A95652">
        <w:t>OMPI procède à la compilation des données pour l</w:t>
      </w:r>
      <w:r w:rsidR="00485319">
        <w:t>’</w:t>
      </w:r>
      <w:r w:rsidRPr="00A95652">
        <w:t>UPOV</w:t>
      </w:r>
      <w:r w:rsidR="00485319">
        <w:t>-</w:t>
      </w:r>
      <w:r w:rsidRPr="00A95652">
        <w:t>ROM et fournit l</w:t>
      </w:r>
      <w:r w:rsidR="00485319">
        <w:t>’</w:t>
      </w:r>
      <w:r w:rsidRPr="00A95652">
        <w:t>assistance nécessaire à l</w:t>
      </w:r>
      <w:r w:rsidR="00485319">
        <w:t>’</w:t>
      </w:r>
      <w:r w:rsidRPr="00A95652">
        <w:t>exécution du programme d</w:t>
      </w:r>
      <w:r w:rsidR="00485319">
        <w:t>’</w:t>
      </w:r>
      <w:r w:rsidRPr="00A95652">
        <w:t>améliorations concernant, en particulier, la possibilité de recevoir des données destinées à l</w:t>
      </w:r>
      <w:r w:rsidR="00485319">
        <w:t>’</w:t>
      </w:r>
      <w:r w:rsidRPr="00A95652">
        <w:t>UPOV</w:t>
      </w:r>
      <w:r w:rsidR="00485319">
        <w:t>-</w:t>
      </w:r>
      <w:r w:rsidRPr="00A95652">
        <w:t>ROM sous différents formats et apporte une aide pour l</w:t>
      </w:r>
      <w:r w:rsidR="00485319">
        <w:t>’</w:t>
      </w:r>
      <w:r w:rsidRPr="00A95652">
        <w:t>attribution d</w:t>
      </w:r>
      <w:r w:rsidR="00485319">
        <w:t>’</w:t>
      </w:r>
      <w:r w:rsidRPr="00A95652">
        <w:t>un code UPOV à toutes les entrées (voir documents CAJ/57/6, paragraphes 3 et 8 et</w:t>
      </w:r>
      <w:r w:rsidR="00485319">
        <w:t> TC</w:t>
      </w:r>
      <w:r w:rsidRPr="00A95652">
        <w:t>/44/6, paragraphes 12 et 17).  En outre, l</w:t>
      </w:r>
      <w:r w:rsidR="00485319">
        <w:t>’</w:t>
      </w:r>
      <w:r w:rsidRPr="00A95652">
        <w:t>OMPI s</w:t>
      </w:r>
      <w:r w:rsidR="00485319">
        <w:t>’</w:t>
      </w:r>
      <w:r w:rsidRPr="00A95652">
        <w:t>emploiera à élaborer une version conçue pour l</w:t>
      </w:r>
      <w:r w:rsidR="00485319">
        <w:t>’</w:t>
      </w:r>
      <w:r w:rsidRPr="00A95652">
        <w:t>Internet de la base de données de l</w:t>
      </w:r>
      <w:r w:rsidR="00485319">
        <w:t>’</w:t>
      </w:r>
      <w:r w:rsidRPr="00A95652">
        <w:t>UPOV sur les variétés végétales et à se doter d</w:t>
      </w:r>
      <w:r w:rsidR="00485319">
        <w:t>’</w:t>
      </w:r>
      <w:r w:rsidRPr="00A95652">
        <w:t>un moyen de créer des versions sur CD</w:t>
      </w:r>
      <w:r w:rsidR="00485319">
        <w:t>-</w:t>
      </w:r>
      <w:r w:rsidRPr="00A95652">
        <w:t>ROM de cette base de données, et fournira l</w:t>
      </w:r>
      <w:r w:rsidR="00485319">
        <w:t>’</w:t>
      </w:r>
      <w:r w:rsidRPr="00A95652">
        <w:t>appui technique nécessaire en ce qui concerne l</w:t>
      </w:r>
      <w:r w:rsidR="00485319">
        <w:t>’</w:t>
      </w:r>
      <w:r w:rsidRPr="00A95652">
        <w:t>élaboration d</w:t>
      </w:r>
      <w:r w:rsidR="00485319">
        <w:t>’</w:t>
      </w:r>
      <w:r w:rsidRPr="00A95652">
        <w:t>une interface de recherche commune (voir les paragraphes 18 à 21 du document</w:t>
      </w:r>
      <w:r w:rsidR="00F3336A">
        <w:t> </w:t>
      </w:r>
      <w:r w:rsidRPr="00A95652">
        <w:t xml:space="preserve">CAJ/57/6 et les paragraphes 27 à 30 du </w:t>
      </w:r>
      <w:r w:rsidR="00485319" w:rsidRPr="00A95652">
        <w:t>document</w:t>
      </w:r>
      <w:r w:rsidR="00F3336A">
        <w:t> </w:t>
      </w:r>
      <w:r w:rsidR="00485319">
        <w:t>TC</w:t>
      </w:r>
      <w:r w:rsidRPr="00A95652">
        <w:t>/44/6).</w:t>
      </w:r>
    </w:p>
    <w:p w:rsidR="0086795C" w:rsidRPr="00A95652" w:rsidRDefault="0086795C" w:rsidP="009F2B82">
      <w:pPr>
        <w:pStyle w:val="FootnoteText"/>
      </w:pPr>
      <w:r w:rsidRPr="00A95652">
        <w:t>“b)</w:t>
      </w:r>
      <w:r w:rsidRPr="00A95652">
        <w:tab/>
        <w:t>L</w:t>
      </w:r>
      <w:r w:rsidR="00485319">
        <w:t>’</w:t>
      </w:r>
      <w:r w:rsidRPr="00A95652">
        <w:t>UPOV accepte que les données figurant dans la base de données UPOV</w:t>
      </w:r>
      <w:r w:rsidR="00485319">
        <w:t>-</w:t>
      </w:r>
      <w:r w:rsidRPr="00A95652">
        <w:t>ROM sur les variétés végétales puissent être intégrées au service de recherche Patentscope® de l</w:t>
      </w:r>
      <w:r w:rsidR="00485319">
        <w:t>’</w:t>
      </w:r>
      <w:r w:rsidRPr="00A95652">
        <w:t>OMPI.  En ce qui concerne les données communiquées par des parties autres que les membres de l</w:t>
      </w:r>
      <w:r w:rsidR="00485319">
        <w:t>’</w:t>
      </w:r>
      <w:r w:rsidRPr="00A95652">
        <w:t>Union (par exemple, l</w:t>
      </w:r>
      <w:r w:rsidR="00485319">
        <w:t>’</w:t>
      </w:r>
      <w:r w:rsidRPr="00A95652">
        <w:t>Organisation de coopération et de développement économiques (OCDE)), l</w:t>
      </w:r>
      <w:r w:rsidR="00485319">
        <w:t>’</w:t>
      </w:r>
      <w:r w:rsidRPr="00A95652">
        <w:t>autorisation d</w:t>
      </w:r>
      <w:r w:rsidR="00485319">
        <w:t>’</w:t>
      </w:r>
      <w:r w:rsidRPr="00A95652">
        <w:t>utiliser les données dans le service de recherche Patentscope® de l</w:t>
      </w:r>
      <w:r w:rsidR="00485319">
        <w:t>’</w:t>
      </w:r>
      <w:r w:rsidRPr="00A95652">
        <w:t>OMPI r</w:t>
      </w:r>
      <w:r w:rsidR="00876639">
        <w:t>elèvera des parties concernées.”</w:t>
      </w:r>
    </w:p>
  </w:footnote>
  <w:footnote w:id="8">
    <w:p w:rsidR="0086795C" w:rsidRPr="00A218BC" w:rsidRDefault="0086795C" w:rsidP="00B0676A">
      <w:pPr>
        <w:pStyle w:val="FootnoteText"/>
        <w:rPr>
          <w:lang w:val="fr-CH"/>
        </w:rPr>
      </w:pPr>
      <w:r w:rsidRPr="00A95652">
        <w:rPr>
          <w:rStyle w:val="FootnoteReference"/>
        </w:rPr>
        <w:footnoteRef/>
      </w:r>
      <w:r w:rsidRPr="00A218BC">
        <w:rPr>
          <w:lang w:val="fr-CH"/>
        </w:rPr>
        <w:tab/>
      </w:r>
      <w:r w:rsidR="00A218BC" w:rsidRPr="00A218BC">
        <w:rPr>
          <w:lang w:val="fr-CH"/>
        </w:rPr>
        <w:t>Voir le</w:t>
      </w:r>
      <w:r w:rsidRPr="00A218BC">
        <w:rPr>
          <w:lang w:val="fr-CH"/>
        </w:rPr>
        <w:t xml:space="preserve"> document</w:t>
      </w:r>
      <w:r w:rsidR="00F3336A">
        <w:rPr>
          <w:lang w:val="fr-CH"/>
        </w:rPr>
        <w:t> </w:t>
      </w:r>
      <w:r w:rsidRPr="00A218BC">
        <w:rPr>
          <w:lang w:val="fr-CH"/>
        </w:rPr>
        <w:t>C/54/INF/7</w:t>
      </w:r>
    </w:p>
    <w:p w:rsidR="0086795C" w:rsidRPr="00A218BC" w:rsidRDefault="00A218BC" w:rsidP="00B0676A">
      <w:pPr>
        <w:pStyle w:val="FootnoteText"/>
        <w:rPr>
          <w:lang w:val="fr-CH"/>
        </w:rPr>
      </w:pPr>
      <w:r w:rsidRPr="00A218BC">
        <w:rPr>
          <w:highlight w:val="lightGray"/>
          <w:lang w:val="fr-CH"/>
        </w:rPr>
        <w:t>Les données fournies par l</w:t>
      </w:r>
      <w:r w:rsidR="00485319">
        <w:rPr>
          <w:highlight w:val="lightGray"/>
          <w:lang w:val="fr-CH"/>
        </w:rPr>
        <w:t>’</w:t>
      </w:r>
      <w:r w:rsidRPr="00A218BC">
        <w:rPr>
          <w:highlight w:val="lightGray"/>
          <w:lang w:val="fr-CH"/>
        </w:rPr>
        <w:t xml:space="preserve">OCVV </w:t>
      </w:r>
      <w:r w:rsidR="00876639">
        <w:rPr>
          <w:highlight w:val="lightGray"/>
          <w:lang w:val="fr-CH"/>
        </w:rPr>
        <w:t>apparaissent</w:t>
      </w:r>
      <w:r w:rsidRPr="00A218BC">
        <w:rPr>
          <w:highlight w:val="lightGray"/>
          <w:lang w:val="fr-CH"/>
        </w:rPr>
        <w:t xml:space="preserve"> en surbrillance</w:t>
      </w:r>
      <w:r w:rsidR="0086795C" w:rsidRPr="00A218BC">
        <w:rPr>
          <w:highlight w:val="lightGray"/>
          <w:lang w:val="fr-CH"/>
        </w:rPr>
        <w:t>.</w:t>
      </w:r>
    </w:p>
    <w:p w:rsidR="0086795C" w:rsidRPr="00A218BC" w:rsidRDefault="0086795C" w:rsidP="00B0676A">
      <w:pPr>
        <w:pStyle w:val="FootnoteText"/>
        <w:rPr>
          <w:lang w:val="fr-C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Pr="00C5280D" w:rsidRDefault="0086795C" w:rsidP="00EB048E">
    <w:pPr>
      <w:pStyle w:val="Header"/>
      <w:rPr>
        <w:rStyle w:val="PageNumber"/>
        <w:lang w:val="en-US"/>
      </w:rPr>
    </w:pPr>
    <w:r>
      <w:rPr>
        <w:rStyle w:val="PageNumber"/>
        <w:lang w:val="en-US"/>
      </w:rPr>
      <w:t>TC/57/INF/3</w:t>
    </w:r>
  </w:p>
  <w:p w:rsidR="0086795C" w:rsidRPr="00C5280D" w:rsidRDefault="0086795C" w:rsidP="00EB048E">
    <w:pPr>
      <w:pStyle w:val="Header"/>
      <w:rPr>
        <w:lang w:val="en-US"/>
      </w:rPr>
    </w:pPr>
    <w:r w:rsidRPr="00C5280D">
      <w:rPr>
        <w:lang w:val="en-US"/>
      </w:rPr>
      <w:t>page</w:t>
    </w:r>
    <w:r w:rsidR="00F3336A">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91599">
      <w:rPr>
        <w:rStyle w:val="PageNumber"/>
        <w:noProof/>
        <w:lang w:val="en-US"/>
      </w:rPr>
      <w:t>5</w:t>
    </w:r>
    <w:r w:rsidRPr="00C5280D">
      <w:rPr>
        <w:rStyle w:val="PageNumber"/>
        <w:lang w:val="en-US"/>
      </w:rPr>
      <w:fldChar w:fldCharType="end"/>
    </w:r>
  </w:p>
  <w:p w:rsidR="0086795C" w:rsidRPr="00C5280D" w:rsidRDefault="0086795C"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Pr="00455A1B" w:rsidRDefault="0086795C" w:rsidP="0086795C">
    <w:pPr>
      <w:jc w:val="center"/>
    </w:pPr>
    <w:r>
      <w:rPr>
        <w:noProof/>
        <w:lang w:val="en-US"/>
      </w:rPr>
      <mc:AlternateContent>
        <mc:Choice Requires="wps">
          <w:drawing>
            <wp:anchor distT="558800" distB="0" distL="114300" distR="114300" simplePos="0" relativeHeight="251659264" behindDoc="0" locked="0" layoutInCell="0" allowOverlap="1" wp14:anchorId="23B06B3A" wp14:editId="420E5767">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6795C" w:rsidRDefault="0086795C" w:rsidP="0086795C">
                          <w:pPr>
                            <w:jc w:val="center"/>
                          </w:pPr>
                          <w:r w:rsidRPr="0035233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06B3A" id="_x0000_t202" coordsize="21600,21600" o:spt="202" path="m,l,21600r21600,l21600,xe">
              <v:stroke joinstyle="miter"/>
              <v:path gradientshapeok="t" o:connecttype="rect"/>
            </v:shapetype>
            <v:shape id="TITUSE3footer" o:spid="_x0000_s1027"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rsidR="0086795C" w:rsidRDefault="0086795C" w:rsidP="0086795C">
                    <w:pPr>
                      <w:jc w:val="center"/>
                    </w:pPr>
                    <w:r w:rsidRPr="0035233C">
                      <w:rPr>
                        <w:color w:val="000000"/>
                        <w:sz w:val="17"/>
                      </w:rPr>
                      <w:t>WIPO FOR OFFICIAL USE ONLY</w:t>
                    </w:r>
                  </w:p>
                </w:txbxContent>
              </v:textbox>
              <w10:wrap anchorx="margin" anchory="margin"/>
            </v:shape>
          </w:pict>
        </mc:Fallback>
      </mc:AlternateContent>
    </w:r>
    <w:r>
      <w:t>CAJ/77/8</w:t>
    </w:r>
  </w:p>
  <w:p w:rsidR="0086795C" w:rsidRPr="00455A1B" w:rsidRDefault="0086795C" w:rsidP="0086795C">
    <w:pPr>
      <w:jc w:val="center"/>
    </w:pPr>
    <w:r w:rsidRPr="00455A1B">
      <w:t>Annex</w:t>
    </w:r>
    <w:r>
      <w:t xml:space="preserve"> II</w:t>
    </w:r>
    <w:r w:rsidRPr="00455A1B">
      <w:t xml:space="preserve">, page </w:t>
    </w:r>
    <w:r w:rsidRPr="00455A1B">
      <w:fldChar w:fldCharType="begin"/>
    </w:r>
    <w:r w:rsidRPr="00455A1B">
      <w:instrText xml:space="preserve"> PAGE </w:instrText>
    </w:r>
    <w:r w:rsidRPr="00455A1B">
      <w:fldChar w:fldCharType="separate"/>
    </w:r>
    <w:r>
      <w:rPr>
        <w:noProof/>
      </w:rPr>
      <w:t>1</w:t>
    </w:r>
    <w:r w:rsidRPr="00455A1B">
      <w:fldChar w:fldCharType="end"/>
    </w:r>
  </w:p>
  <w:p w:rsidR="0086795C" w:rsidRPr="00596722" w:rsidRDefault="0086795C" w:rsidP="00867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Pr="00C5280D" w:rsidRDefault="0086795C" w:rsidP="0086795C">
    <w:pPr>
      <w:pStyle w:val="Header"/>
      <w:rPr>
        <w:rStyle w:val="PageNumber"/>
        <w:lang w:val="en-US"/>
      </w:rPr>
    </w:pPr>
    <w:r>
      <w:rPr>
        <w:rStyle w:val="PageNumber"/>
        <w:lang w:val="en-US"/>
      </w:rPr>
      <w:t>TC/57/INF/3</w:t>
    </w:r>
  </w:p>
  <w:p w:rsidR="0086795C" w:rsidRPr="00455A1B" w:rsidRDefault="0086795C" w:rsidP="0086795C">
    <w:pPr>
      <w:jc w:val="center"/>
    </w:pPr>
    <w:r w:rsidRPr="00455A1B">
      <w:t>Annex</w:t>
    </w:r>
    <w:r>
      <w:t>e I</w:t>
    </w:r>
    <w:r w:rsidRPr="00455A1B">
      <w:t xml:space="preserve">, page </w:t>
    </w:r>
    <w:r w:rsidRPr="00455A1B">
      <w:fldChar w:fldCharType="begin"/>
    </w:r>
    <w:r w:rsidRPr="00455A1B">
      <w:instrText xml:space="preserve"> PAGE </w:instrText>
    </w:r>
    <w:r w:rsidRPr="00455A1B">
      <w:fldChar w:fldCharType="separate"/>
    </w:r>
    <w:r w:rsidR="00891599">
      <w:rPr>
        <w:noProof/>
      </w:rPr>
      <w:t>7</w:t>
    </w:r>
    <w:r w:rsidRPr="00455A1B">
      <w:fldChar w:fldCharType="end"/>
    </w:r>
  </w:p>
  <w:p w:rsidR="0086795C" w:rsidRPr="00E96DEB" w:rsidRDefault="0086795C" w:rsidP="0086795C">
    <w:pPr>
      <w:pStyle w:val="Header"/>
      <w:rPr>
        <w:sz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Pr="00C5280D" w:rsidRDefault="0086795C" w:rsidP="0086795C">
    <w:pPr>
      <w:pStyle w:val="Header"/>
      <w:rPr>
        <w:rStyle w:val="PageNumber"/>
        <w:lang w:val="en-US"/>
      </w:rPr>
    </w:pPr>
    <w:r>
      <w:rPr>
        <w:rStyle w:val="PageNumber"/>
        <w:lang w:val="en-US"/>
      </w:rPr>
      <w:t>TC/57/INF/3</w:t>
    </w:r>
  </w:p>
  <w:p w:rsidR="0086795C" w:rsidRPr="00455A1B" w:rsidRDefault="0086795C" w:rsidP="0086795C">
    <w:pPr>
      <w:jc w:val="center"/>
    </w:pPr>
  </w:p>
  <w:p w:rsidR="0086795C" w:rsidRPr="00455A1B" w:rsidRDefault="0086795C" w:rsidP="0086795C">
    <w:pPr>
      <w:jc w:val="center"/>
    </w:pPr>
    <w:r w:rsidRPr="00455A1B">
      <w:t>ANNEX</w:t>
    </w:r>
    <w:r>
      <w:t>E I</w:t>
    </w:r>
  </w:p>
  <w:p w:rsidR="0086795C" w:rsidRPr="00E96DEB" w:rsidRDefault="0086795C">
    <w:pPr>
      <w:pStyle w:val="Header"/>
      <w:rPr>
        <w:sz w:val="12"/>
        <w:szCs w:val="16"/>
      </w:rPr>
    </w:pPr>
  </w:p>
  <w:p w:rsidR="0086795C" w:rsidRPr="00E96DEB" w:rsidRDefault="0086795C">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Pr="00AC6C80" w:rsidRDefault="0086795C" w:rsidP="00EB048E">
    <w:pPr>
      <w:pStyle w:val="Header"/>
      <w:rPr>
        <w:rStyle w:val="PageNumber"/>
        <w:lang w:val="fr-CH"/>
      </w:rPr>
    </w:pPr>
    <w:r w:rsidRPr="00AC6C80">
      <w:rPr>
        <w:rStyle w:val="PageNumber"/>
        <w:lang w:val="fr-CH"/>
      </w:rPr>
      <w:t>TC/57/</w:t>
    </w:r>
    <w:r w:rsidR="00AC6C80" w:rsidRPr="00AC6C80">
      <w:rPr>
        <w:rStyle w:val="PageNumber"/>
        <w:lang w:val="fr-CH"/>
      </w:rPr>
      <w:t>INF/3</w:t>
    </w:r>
  </w:p>
  <w:p w:rsidR="0086795C" w:rsidRPr="00AC6C80" w:rsidRDefault="00AC6C80" w:rsidP="00EB048E">
    <w:pPr>
      <w:pStyle w:val="Header"/>
      <w:rPr>
        <w:lang w:val="fr-CH"/>
      </w:rPr>
    </w:pPr>
    <w:r w:rsidRPr="00AC6C80">
      <w:rPr>
        <w:lang w:val="fr-CH"/>
      </w:rPr>
      <w:t xml:space="preserve">Annexe II, </w:t>
    </w:r>
    <w:r w:rsidR="0086795C" w:rsidRPr="00AC6C80">
      <w:rPr>
        <w:lang w:val="fr-CH"/>
      </w:rPr>
      <w:t xml:space="preserve">page </w:t>
    </w:r>
    <w:r w:rsidR="0086795C" w:rsidRPr="00C5280D">
      <w:rPr>
        <w:rStyle w:val="PageNumber"/>
        <w:lang w:val="en-US"/>
      </w:rPr>
      <w:fldChar w:fldCharType="begin"/>
    </w:r>
    <w:r w:rsidR="0086795C" w:rsidRPr="00AC6C80">
      <w:rPr>
        <w:rStyle w:val="PageNumber"/>
        <w:lang w:val="fr-CH"/>
      </w:rPr>
      <w:instrText xml:space="preserve"> PAGE </w:instrText>
    </w:r>
    <w:r w:rsidR="0086795C" w:rsidRPr="00C5280D">
      <w:rPr>
        <w:rStyle w:val="PageNumber"/>
        <w:lang w:val="en-US"/>
      </w:rPr>
      <w:fldChar w:fldCharType="separate"/>
    </w:r>
    <w:r w:rsidR="000F252E">
      <w:rPr>
        <w:rStyle w:val="PageNumber"/>
        <w:noProof/>
        <w:lang w:val="fr-CH"/>
      </w:rPr>
      <w:t>2</w:t>
    </w:r>
    <w:r w:rsidR="0086795C" w:rsidRPr="00C5280D">
      <w:rPr>
        <w:rStyle w:val="PageNumber"/>
        <w:lang w:val="en-US"/>
      </w:rPr>
      <w:fldChar w:fldCharType="end"/>
    </w:r>
  </w:p>
  <w:p w:rsidR="0086795C" w:rsidRPr="00C5280D" w:rsidRDefault="0086795C"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95C" w:rsidRPr="00C5280D" w:rsidRDefault="0086795C" w:rsidP="0086795C">
    <w:pPr>
      <w:pStyle w:val="Header"/>
      <w:rPr>
        <w:rStyle w:val="PageNumber"/>
        <w:lang w:val="en-US"/>
      </w:rPr>
    </w:pPr>
    <w:r>
      <w:rPr>
        <w:rStyle w:val="PageNumber"/>
        <w:lang w:val="en-US"/>
      </w:rPr>
      <w:t>TC/57/INF/3</w:t>
    </w:r>
  </w:p>
  <w:p w:rsidR="0086795C" w:rsidRPr="00455A1B" w:rsidRDefault="0086795C" w:rsidP="0086795C">
    <w:pPr>
      <w:jc w:val="center"/>
    </w:pPr>
  </w:p>
  <w:p w:rsidR="0086795C" w:rsidRPr="00455A1B" w:rsidRDefault="0086795C" w:rsidP="0086795C">
    <w:pPr>
      <w:jc w:val="center"/>
    </w:pPr>
    <w:r w:rsidRPr="00455A1B">
      <w:t>ANNEX</w:t>
    </w:r>
    <w:r>
      <w:t>E II</w:t>
    </w:r>
  </w:p>
  <w:p w:rsidR="0086795C" w:rsidRPr="00AC6C80" w:rsidRDefault="00867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1"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8E27CE5"/>
    <w:multiLevelType w:val="hybridMultilevel"/>
    <w:tmpl w:val="69A2E80C"/>
    <w:lvl w:ilvl="0" w:tplc="FDC4D268">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0CB520C0"/>
    <w:multiLevelType w:val="hybridMultilevel"/>
    <w:tmpl w:val="B802B3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341A44"/>
    <w:multiLevelType w:val="hybridMultilevel"/>
    <w:tmpl w:val="933A97D8"/>
    <w:lvl w:ilvl="0" w:tplc="5C5A7036">
      <w:start w:val="1"/>
      <w:numFmt w:val="bullet"/>
      <w:lvlText w:val="◦"/>
      <w:lvlJc w:val="left"/>
      <w:pPr>
        <w:ind w:left="1713" w:hanging="360"/>
      </w:pPr>
      <w:rPr>
        <w:rFonts w:ascii="Segoe UI Symbol" w:hAnsi="Segoe UI 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6" w15:restartNumberingAfterBreak="0">
    <w:nsid w:val="43D34675"/>
    <w:multiLevelType w:val="hybridMultilevel"/>
    <w:tmpl w:val="EA5C7E44"/>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8C907C9"/>
    <w:multiLevelType w:val="hybridMultilevel"/>
    <w:tmpl w:val="1D1E691C"/>
    <w:lvl w:ilvl="0" w:tplc="939420D6">
      <w:start w:val="1"/>
      <w:numFmt w:val="lowerLetter"/>
      <w:lvlText w:val="(%1)"/>
      <w:lvlJc w:val="left"/>
      <w:pPr>
        <w:ind w:left="7077" w:hanging="570"/>
      </w:pPr>
      <w:rPr>
        <w:rFonts w:hint="default"/>
      </w:rPr>
    </w:lvl>
    <w:lvl w:ilvl="1" w:tplc="04090019" w:tentative="1">
      <w:start w:val="1"/>
      <w:numFmt w:val="lowerLetter"/>
      <w:lvlText w:val="%2."/>
      <w:lvlJc w:val="left"/>
      <w:pPr>
        <w:ind w:left="7587" w:hanging="360"/>
      </w:pPr>
    </w:lvl>
    <w:lvl w:ilvl="2" w:tplc="0409001B" w:tentative="1">
      <w:start w:val="1"/>
      <w:numFmt w:val="lowerRoman"/>
      <w:lvlText w:val="%3."/>
      <w:lvlJc w:val="right"/>
      <w:pPr>
        <w:ind w:left="8307" w:hanging="180"/>
      </w:pPr>
    </w:lvl>
    <w:lvl w:ilvl="3" w:tplc="0409000F" w:tentative="1">
      <w:start w:val="1"/>
      <w:numFmt w:val="decimal"/>
      <w:lvlText w:val="%4."/>
      <w:lvlJc w:val="left"/>
      <w:pPr>
        <w:ind w:left="9027" w:hanging="360"/>
      </w:pPr>
    </w:lvl>
    <w:lvl w:ilvl="4" w:tplc="04090019" w:tentative="1">
      <w:start w:val="1"/>
      <w:numFmt w:val="lowerLetter"/>
      <w:lvlText w:val="%5."/>
      <w:lvlJc w:val="left"/>
      <w:pPr>
        <w:ind w:left="9747" w:hanging="360"/>
      </w:pPr>
    </w:lvl>
    <w:lvl w:ilvl="5" w:tplc="0409001B" w:tentative="1">
      <w:start w:val="1"/>
      <w:numFmt w:val="lowerRoman"/>
      <w:lvlText w:val="%6."/>
      <w:lvlJc w:val="right"/>
      <w:pPr>
        <w:ind w:left="10467" w:hanging="180"/>
      </w:pPr>
    </w:lvl>
    <w:lvl w:ilvl="6" w:tplc="0409000F" w:tentative="1">
      <w:start w:val="1"/>
      <w:numFmt w:val="decimal"/>
      <w:lvlText w:val="%7."/>
      <w:lvlJc w:val="left"/>
      <w:pPr>
        <w:ind w:left="11187" w:hanging="360"/>
      </w:pPr>
    </w:lvl>
    <w:lvl w:ilvl="7" w:tplc="04090019" w:tentative="1">
      <w:start w:val="1"/>
      <w:numFmt w:val="lowerLetter"/>
      <w:lvlText w:val="%8."/>
      <w:lvlJc w:val="left"/>
      <w:pPr>
        <w:ind w:left="11907" w:hanging="360"/>
      </w:pPr>
    </w:lvl>
    <w:lvl w:ilvl="8" w:tplc="0409001B" w:tentative="1">
      <w:start w:val="1"/>
      <w:numFmt w:val="lowerRoman"/>
      <w:lvlText w:val="%9."/>
      <w:lvlJc w:val="right"/>
      <w:pPr>
        <w:ind w:left="12627" w:hanging="180"/>
      </w:pPr>
    </w:lvl>
  </w:abstractNum>
  <w:abstractNum w:abstractNumId="29"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0"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CA56686"/>
    <w:multiLevelType w:val="hybridMultilevel"/>
    <w:tmpl w:val="EF901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7"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8"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356FD6"/>
    <w:multiLevelType w:val="hybridMultilevel"/>
    <w:tmpl w:val="9A508AF6"/>
    <w:lvl w:ilvl="0" w:tplc="CC6E3690">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1"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14"/>
  </w:num>
  <w:num w:numId="3">
    <w:abstractNumId w:val="10"/>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6"/>
  </w:num>
  <w:num w:numId="16">
    <w:abstractNumId w:val="39"/>
  </w:num>
  <w:num w:numId="17">
    <w:abstractNumId w:val="38"/>
  </w:num>
  <w:num w:numId="18">
    <w:abstractNumId w:val="20"/>
  </w:num>
  <w:num w:numId="19">
    <w:abstractNumId w:val="41"/>
  </w:num>
  <w:num w:numId="20">
    <w:abstractNumId w:val="32"/>
  </w:num>
  <w:num w:numId="21">
    <w:abstractNumId w:val="18"/>
  </w:num>
  <w:num w:numId="22">
    <w:abstractNumId w:val="35"/>
  </w:num>
  <w:num w:numId="23">
    <w:abstractNumId w:val="13"/>
  </w:num>
  <w:num w:numId="24">
    <w:abstractNumId w:val="15"/>
  </w:num>
  <w:num w:numId="25">
    <w:abstractNumId w:val="29"/>
  </w:num>
  <w:num w:numId="26">
    <w:abstractNumId w:val="19"/>
  </w:num>
  <w:num w:numId="27">
    <w:abstractNumId w:val="30"/>
  </w:num>
  <w:num w:numId="28">
    <w:abstractNumId w:val="24"/>
  </w:num>
  <w:num w:numId="29">
    <w:abstractNumId w:val="31"/>
  </w:num>
  <w:num w:numId="30">
    <w:abstractNumId w:val="11"/>
  </w:num>
  <w:num w:numId="31">
    <w:abstractNumId w:val="21"/>
  </w:num>
  <w:num w:numId="32">
    <w:abstractNumId w:val="17"/>
  </w:num>
  <w:num w:numId="33">
    <w:abstractNumId w:val="12"/>
  </w:num>
  <w:num w:numId="34">
    <w:abstractNumId w:val="23"/>
  </w:num>
  <w:num w:numId="35">
    <w:abstractNumId w:val="33"/>
  </w:num>
  <w:num w:numId="36">
    <w:abstractNumId w:val="25"/>
  </w:num>
  <w:num w:numId="37">
    <w:abstractNumId w:val="22"/>
  </w:num>
  <w:num w:numId="38">
    <w:abstractNumId w:val="40"/>
  </w:num>
  <w:num w:numId="39">
    <w:abstractNumId w:val="34"/>
  </w:num>
  <w:num w:numId="40">
    <w:abstractNumId w:val="26"/>
  </w:num>
  <w:num w:numId="41">
    <w:abstractNumId w:val="1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xtBase TMs\WorkspaceFTS\UPOV\TGs|TextBase TMs\WorkspaceFTS\UPOV\UPOV"/>
    <w:docVar w:name="TextBaseURL" w:val="empty"/>
    <w:docVar w:name="UILng" w:val="en"/>
  </w:docVars>
  <w:rsids>
    <w:rsidRoot w:val="00B0676A"/>
    <w:rsid w:val="00010CF3"/>
    <w:rsid w:val="00011E27"/>
    <w:rsid w:val="000148BC"/>
    <w:rsid w:val="00015BFE"/>
    <w:rsid w:val="00024AB8"/>
    <w:rsid w:val="00027994"/>
    <w:rsid w:val="00030854"/>
    <w:rsid w:val="00036028"/>
    <w:rsid w:val="00044642"/>
    <w:rsid w:val="000446B9"/>
    <w:rsid w:val="00047E21"/>
    <w:rsid w:val="00050E16"/>
    <w:rsid w:val="00085505"/>
    <w:rsid w:val="000C4E25"/>
    <w:rsid w:val="000C7021"/>
    <w:rsid w:val="000D6BBC"/>
    <w:rsid w:val="000D7780"/>
    <w:rsid w:val="000E3068"/>
    <w:rsid w:val="000E636A"/>
    <w:rsid w:val="000F252E"/>
    <w:rsid w:val="000F2F11"/>
    <w:rsid w:val="00105929"/>
    <w:rsid w:val="00110C36"/>
    <w:rsid w:val="001131D5"/>
    <w:rsid w:val="00141DB8"/>
    <w:rsid w:val="00172084"/>
    <w:rsid w:val="0017474A"/>
    <w:rsid w:val="001758C6"/>
    <w:rsid w:val="00182B99"/>
    <w:rsid w:val="001C1F2F"/>
    <w:rsid w:val="001F3D68"/>
    <w:rsid w:val="0021332C"/>
    <w:rsid w:val="00213982"/>
    <w:rsid w:val="0024416D"/>
    <w:rsid w:val="00255969"/>
    <w:rsid w:val="00271911"/>
    <w:rsid w:val="002800A0"/>
    <w:rsid w:val="002801B3"/>
    <w:rsid w:val="00281060"/>
    <w:rsid w:val="002940E8"/>
    <w:rsid w:val="00294751"/>
    <w:rsid w:val="002A6E50"/>
    <w:rsid w:val="002B4298"/>
    <w:rsid w:val="002C256A"/>
    <w:rsid w:val="00305A7F"/>
    <w:rsid w:val="003152FE"/>
    <w:rsid w:val="00327436"/>
    <w:rsid w:val="00337C0A"/>
    <w:rsid w:val="00344BD6"/>
    <w:rsid w:val="0035084F"/>
    <w:rsid w:val="0035528D"/>
    <w:rsid w:val="00361821"/>
    <w:rsid w:val="00361E9E"/>
    <w:rsid w:val="003A2160"/>
    <w:rsid w:val="003C7FBE"/>
    <w:rsid w:val="003D227C"/>
    <w:rsid w:val="003D2B4D"/>
    <w:rsid w:val="00401AE3"/>
    <w:rsid w:val="0040557F"/>
    <w:rsid w:val="004357A1"/>
    <w:rsid w:val="00444A88"/>
    <w:rsid w:val="00474DA4"/>
    <w:rsid w:val="00476B4D"/>
    <w:rsid w:val="004805FA"/>
    <w:rsid w:val="00485319"/>
    <w:rsid w:val="004935D2"/>
    <w:rsid w:val="004B1215"/>
    <w:rsid w:val="004D047D"/>
    <w:rsid w:val="004F1E9E"/>
    <w:rsid w:val="004F305A"/>
    <w:rsid w:val="004F70D4"/>
    <w:rsid w:val="00501FF8"/>
    <w:rsid w:val="00512164"/>
    <w:rsid w:val="00520297"/>
    <w:rsid w:val="005338F9"/>
    <w:rsid w:val="0054281C"/>
    <w:rsid w:val="00544581"/>
    <w:rsid w:val="00545E42"/>
    <w:rsid w:val="0055268D"/>
    <w:rsid w:val="00576BE4"/>
    <w:rsid w:val="005929CF"/>
    <w:rsid w:val="005A400A"/>
    <w:rsid w:val="005F7B92"/>
    <w:rsid w:val="00612379"/>
    <w:rsid w:val="006153B6"/>
    <w:rsid w:val="0061555F"/>
    <w:rsid w:val="00636CA6"/>
    <w:rsid w:val="00641200"/>
    <w:rsid w:val="00645CA8"/>
    <w:rsid w:val="00646F8C"/>
    <w:rsid w:val="006655D3"/>
    <w:rsid w:val="00667404"/>
    <w:rsid w:val="00687EB4"/>
    <w:rsid w:val="00695C56"/>
    <w:rsid w:val="006A5CDE"/>
    <w:rsid w:val="006A644A"/>
    <w:rsid w:val="006B17D2"/>
    <w:rsid w:val="006B5204"/>
    <w:rsid w:val="006C224E"/>
    <w:rsid w:val="006D780A"/>
    <w:rsid w:val="0071271E"/>
    <w:rsid w:val="00732DEC"/>
    <w:rsid w:val="00735BD5"/>
    <w:rsid w:val="0074329C"/>
    <w:rsid w:val="00751613"/>
    <w:rsid w:val="007556F6"/>
    <w:rsid w:val="00760EEF"/>
    <w:rsid w:val="00777EE5"/>
    <w:rsid w:val="00784836"/>
    <w:rsid w:val="0079023E"/>
    <w:rsid w:val="007963E2"/>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95C"/>
    <w:rsid w:val="00867AC1"/>
    <w:rsid w:val="00876639"/>
    <w:rsid w:val="00890DF8"/>
    <w:rsid w:val="00891599"/>
    <w:rsid w:val="00892780"/>
    <w:rsid w:val="00896A20"/>
    <w:rsid w:val="00897A4D"/>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9F2B82"/>
    <w:rsid w:val="00A218BC"/>
    <w:rsid w:val="00A2300A"/>
    <w:rsid w:val="00A24C10"/>
    <w:rsid w:val="00A42AC3"/>
    <w:rsid w:val="00A430CF"/>
    <w:rsid w:val="00A54309"/>
    <w:rsid w:val="00A610CE"/>
    <w:rsid w:val="00A706D3"/>
    <w:rsid w:val="00A95652"/>
    <w:rsid w:val="00AB2B93"/>
    <w:rsid w:val="00AB530F"/>
    <w:rsid w:val="00AB7E5B"/>
    <w:rsid w:val="00AC2883"/>
    <w:rsid w:val="00AC6C80"/>
    <w:rsid w:val="00AE0EF1"/>
    <w:rsid w:val="00AE2937"/>
    <w:rsid w:val="00B0676A"/>
    <w:rsid w:val="00B07301"/>
    <w:rsid w:val="00B11F3E"/>
    <w:rsid w:val="00B16E6F"/>
    <w:rsid w:val="00B224DE"/>
    <w:rsid w:val="00B324D4"/>
    <w:rsid w:val="00B46575"/>
    <w:rsid w:val="00B61777"/>
    <w:rsid w:val="00B7112E"/>
    <w:rsid w:val="00B84BBD"/>
    <w:rsid w:val="00BA43FB"/>
    <w:rsid w:val="00BB5970"/>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40C2"/>
    <w:rsid w:val="00CF1330"/>
    <w:rsid w:val="00CF7E36"/>
    <w:rsid w:val="00D30FAD"/>
    <w:rsid w:val="00D31106"/>
    <w:rsid w:val="00D3708D"/>
    <w:rsid w:val="00D40426"/>
    <w:rsid w:val="00D57C96"/>
    <w:rsid w:val="00D57D18"/>
    <w:rsid w:val="00D753B1"/>
    <w:rsid w:val="00D91203"/>
    <w:rsid w:val="00D95174"/>
    <w:rsid w:val="00DA4973"/>
    <w:rsid w:val="00DA6F36"/>
    <w:rsid w:val="00DB596E"/>
    <w:rsid w:val="00DB7773"/>
    <w:rsid w:val="00DC00EA"/>
    <w:rsid w:val="00DC3802"/>
    <w:rsid w:val="00DC7EA3"/>
    <w:rsid w:val="00E07D87"/>
    <w:rsid w:val="00E32F7E"/>
    <w:rsid w:val="00E5267B"/>
    <w:rsid w:val="00E52F2B"/>
    <w:rsid w:val="00E63C0E"/>
    <w:rsid w:val="00E72D49"/>
    <w:rsid w:val="00E7593C"/>
    <w:rsid w:val="00E7678A"/>
    <w:rsid w:val="00E935F1"/>
    <w:rsid w:val="00E94A81"/>
    <w:rsid w:val="00EA1FFB"/>
    <w:rsid w:val="00EB048E"/>
    <w:rsid w:val="00EB4E9C"/>
    <w:rsid w:val="00EC07E0"/>
    <w:rsid w:val="00EE2376"/>
    <w:rsid w:val="00EE34DF"/>
    <w:rsid w:val="00EF2F89"/>
    <w:rsid w:val="00F03E98"/>
    <w:rsid w:val="00F1237A"/>
    <w:rsid w:val="00F22CBD"/>
    <w:rsid w:val="00F272F1"/>
    <w:rsid w:val="00F3336A"/>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E9CCE7"/>
  <w15:docId w15:val="{397CCDA7-1A49-4F5D-8BFE-4A2C6247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B0676A"/>
    <w:pPr>
      <w:jc w:val="left"/>
      <w:outlineLvl w:val="5"/>
    </w:pPr>
    <w:rPr>
      <w:rFonts w:ascii="Times New Roman" w:eastAsia="MS Mincho" w:hAnsi="Times New Roman"/>
      <w:sz w:val="24"/>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610CE"/>
    <w:pPr>
      <w:tabs>
        <w:tab w:val="right" w:leader="dot" w:pos="9639"/>
      </w:tabs>
      <w:ind w:left="568" w:right="851" w:hanging="284"/>
      <w:contextualSpacing/>
      <w:jc w:val="left"/>
    </w:pPr>
    <w:rPr>
      <w:sz w:val="18"/>
    </w:rPr>
  </w:style>
  <w:style w:type="paragraph" w:styleId="TOC3">
    <w:name w:val="toc 3"/>
    <w:next w:val="Normal"/>
    <w:autoRedefine/>
    <w:uiPriority w:val="39"/>
    <w:qFormat/>
    <w:rsid w:val="00A610CE"/>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A610CE"/>
    <w:pPr>
      <w:tabs>
        <w:tab w:val="right" w:leader="dot" w:pos="9639"/>
      </w:tabs>
      <w:spacing w:before="60"/>
      <w:ind w:right="1418"/>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B0676A"/>
    <w:rPr>
      <w:rFonts w:eastAsia="MS Mincho"/>
      <w:sz w:val="24"/>
    </w:rPr>
  </w:style>
  <w:style w:type="character" w:customStyle="1" w:styleId="FootnoteTextChar">
    <w:name w:val="Footnote Text Char"/>
    <w:basedOn w:val="DefaultParagraphFont"/>
    <w:link w:val="FootnoteText"/>
    <w:rsid w:val="00B0676A"/>
    <w:rPr>
      <w:rFonts w:ascii="Arial" w:hAnsi="Arial"/>
      <w:sz w:val="16"/>
      <w:lang w:val="fr-FR"/>
    </w:rPr>
  </w:style>
  <w:style w:type="paragraph" w:styleId="ListParagraph">
    <w:name w:val="List Paragraph"/>
    <w:basedOn w:val="Normal"/>
    <w:uiPriority w:val="34"/>
    <w:qFormat/>
    <w:rsid w:val="00B0676A"/>
    <w:pPr>
      <w:autoSpaceDE w:val="0"/>
      <w:autoSpaceDN w:val="0"/>
      <w:adjustRightInd w:val="0"/>
      <w:ind w:left="640" w:right="103" w:firstLine="533"/>
    </w:pPr>
    <w:rPr>
      <w:rFonts w:eastAsiaTheme="minorEastAsia" w:cs="Arial"/>
      <w:sz w:val="24"/>
      <w:szCs w:val="24"/>
      <w:lang w:val="en-US"/>
    </w:rPr>
  </w:style>
  <w:style w:type="character" w:customStyle="1" w:styleId="Heading1Char">
    <w:name w:val="Heading 1 Char"/>
    <w:basedOn w:val="DefaultParagraphFont"/>
    <w:link w:val="Heading1"/>
    <w:rsid w:val="00B0676A"/>
    <w:rPr>
      <w:rFonts w:ascii="Arial" w:hAnsi="Arial"/>
      <w:caps/>
    </w:rPr>
  </w:style>
  <w:style w:type="character" w:customStyle="1" w:styleId="DecisionParagraphsChar">
    <w:name w:val="DecisionParagraphs Char"/>
    <w:basedOn w:val="DefaultParagraphFont"/>
    <w:link w:val="DecisionParagraphs"/>
    <w:rsid w:val="00B0676A"/>
    <w:rPr>
      <w:rFonts w:ascii="Arial" w:hAnsi="Arial"/>
      <w:i/>
      <w:lang w:val="fr-FR"/>
    </w:rPr>
  </w:style>
  <w:style w:type="character" w:customStyle="1" w:styleId="BodyTextChar">
    <w:name w:val="Body Text Char"/>
    <w:basedOn w:val="DefaultParagraphFont"/>
    <w:link w:val="BodyText"/>
    <w:rsid w:val="00B0676A"/>
    <w:rPr>
      <w:rFonts w:ascii="Arial" w:hAnsi="Arial"/>
      <w:lang w:val="fr-FR"/>
    </w:rPr>
  </w:style>
  <w:style w:type="character" w:customStyle="1" w:styleId="Heading2Char">
    <w:name w:val="Heading 2 Char"/>
    <w:basedOn w:val="DefaultParagraphFont"/>
    <w:link w:val="Heading2"/>
    <w:rsid w:val="00B0676A"/>
    <w:rPr>
      <w:rFonts w:ascii="Arial" w:hAnsi="Arial"/>
      <w:u w:val="single"/>
    </w:rPr>
  </w:style>
  <w:style w:type="character" w:customStyle="1" w:styleId="HeaderChar">
    <w:name w:val="Header Char"/>
    <w:basedOn w:val="DefaultParagraphFont"/>
    <w:link w:val="Header"/>
    <w:rsid w:val="00B0676A"/>
    <w:rPr>
      <w:rFonts w:ascii="Arial" w:hAnsi="Arial"/>
      <w:lang w:val="fr-FR"/>
    </w:rPr>
  </w:style>
  <w:style w:type="paragraph" w:customStyle="1" w:styleId="StyleDocoriginalNotBold">
    <w:name w:val="Style Doc_original + Not Bold"/>
    <w:basedOn w:val="Docoriginal"/>
    <w:link w:val="StyleDocoriginalNotBoldChar"/>
    <w:autoRedefine/>
    <w:rsid w:val="00B0676A"/>
    <w:pPr>
      <w:ind w:left="1589"/>
    </w:pPr>
    <w:rPr>
      <w:rFonts w:eastAsiaTheme="minorEastAsia"/>
    </w:rPr>
  </w:style>
  <w:style w:type="character" w:customStyle="1" w:styleId="StyleDocoriginalNotBoldChar">
    <w:name w:val="Style Doc_original + Not Bold Char"/>
    <w:basedOn w:val="DocoriginalChar"/>
    <w:link w:val="StyleDocoriginalNotBold"/>
    <w:rsid w:val="00B0676A"/>
    <w:rPr>
      <w:rFonts w:ascii="Arial" w:eastAsiaTheme="minorEastAsia" w:hAnsi="Arial"/>
      <w:b/>
      <w:bCs/>
      <w:spacing w:val="10"/>
      <w:sz w:val="18"/>
      <w:lang w:val="fr-FR" w:eastAsia="en-US" w:bidi="ar-SA"/>
    </w:rPr>
  </w:style>
  <w:style w:type="paragraph" w:customStyle="1" w:styleId="StyleDocoriginal">
    <w:name w:val="Style Doc_original"/>
    <w:basedOn w:val="Docoriginal"/>
    <w:link w:val="StyleDocoriginalChar"/>
    <w:rsid w:val="00B0676A"/>
    <w:rPr>
      <w:rFonts w:eastAsiaTheme="minorEastAsia"/>
    </w:rPr>
  </w:style>
  <w:style w:type="character" w:customStyle="1" w:styleId="StyleDocoriginalChar">
    <w:name w:val="Style Doc_original Char"/>
    <w:basedOn w:val="DocoriginalChar"/>
    <w:link w:val="StyleDocoriginal"/>
    <w:rsid w:val="00B0676A"/>
    <w:rPr>
      <w:rFonts w:ascii="Arial" w:eastAsiaTheme="minorEastAsia" w:hAnsi="Arial"/>
      <w:b/>
      <w:bCs/>
      <w:spacing w:val="10"/>
      <w:sz w:val="18"/>
      <w:lang w:val="fr-FR" w:eastAsia="en-US" w:bidi="ar-SA"/>
    </w:rPr>
  </w:style>
  <w:style w:type="numbering" w:customStyle="1" w:styleId="NoList1">
    <w:name w:val="No List1"/>
    <w:next w:val="NoList"/>
    <w:uiPriority w:val="99"/>
    <w:semiHidden/>
    <w:unhideWhenUsed/>
    <w:rsid w:val="00B0676A"/>
  </w:style>
  <w:style w:type="numbering" w:customStyle="1" w:styleId="NoList11">
    <w:name w:val="No List11"/>
    <w:next w:val="NoList"/>
    <w:uiPriority w:val="99"/>
    <w:semiHidden/>
    <w:unhideWhenUsed/>
    <w:rsid w:val="00B0676A"/>
  </w:style>
  <w:style w:type="paragraph" w:customStyle="1" w:styleId="Sessiontwp">
    <w:name w:val="Session_twp"/>
    <w:basedOn w:val="Normal"/>
    <w:next w:val="Normal"/>
    <w:qFormat/>
    <w:rsid w:val="00B0676A"/>
    <w:rPr>
      <w:rFonts w:eastAsiaTheme="minorEastAsia"/>
      <w:b/>
      <w:lang w:val="en-US"/>
    </w:rPr>
  </w:style>
  <w:style w:type="paragraph" w:customStyle="1" w:styleId="Sessiontwpplacedate">
    <w:name w:val="Session_twp_place_date"/>
    <w:basedOn w:val="Normal"/>
    <w:next w:val="Normal"/>
    <w:qFormat/>
    <w:rsid w:val="00B0676A"/>
    <w:rPr>
      <w:rFonts w:eastAsiaTheme="minorEastAsia"/>
      <w:lang w:val="en-US"/>
    </w:rPr>
  </w:style>
  <w:style w:type="numbering" w:customStyle="1" w:styleId="NoList111">
    <w:name w:val="No List111"/>
    <w:next w:val="NoList"/>
    <w:uiPriority w:val="99"/>
    <w:semiHidden/>
    <w:unhideWhenUsed/>
    <w:rsid w:val="00B0676A"/>
  </w:style>
  <w:style w:type="character" w:customStyle="1" w:styleId="Heading3Char">
    <w:name w:val="Heading 3 Char"/>
    <w:basedOn w:val="DefaultParagraphFont"/>
    <w:link w:val="Heading3"/>
    <w:rsid w:val="00B0676A"/>
    <w:rPr>
      <w:rFonts w:ascii="Arial" w:hAnsi="Arial"/>
      <w:i/>
    </w:rPr>
  </w:style>
  <w:style w:type="character" w:customStyle="1" w:styleId="Heading4Char">
    <w:name w:val="Heading 4 Char"/>
    <w:basedOn w:val="DefaultParagraphFont"/>
    <w:link w:val="Heading4"/>
    <w:rsid w:val="00B0676A"/>
    <w:rPr>
      <w:rFonts w:ascii="Arial" w:hAnsi="Arial"/>
      <w:u w:val="single"/>
      <w:lang w:val="fr-FR"/>
    </w:rPr>
  </w:style>
  <w:style w:type="character" w:customStyle="1" w:styleId="Heading5Char">
    <w:name w:val="Heading 5 Char"/>
    <w:basedOn w:val="DefaultParagraphFont"/>
    <w:link w:val="Heading5"/>
    <w:rsid w:val="00B0676A"/>
    <w:rPr>
      <w:rFonts w:ascii="Arial" w:hAnsi="Arial"/>
      <w:i/>
    </w:rPr>
  </w:style>
  <w:style w:type="character" w:customStyle="1" w:styleId="Heading9Char">
    <w:name w:val="Heading 9 Char"/>
    <w:basedOn w:val="DefaultParagraphFont"/>
    <w:link w:val="Heading9"/>
    <w:rsid w:val="00B0676A"/>
    <w:rPr>
      <w:rFonts w:ascii="Arial" w:hAnsi="Arial"/>
      <w:i/>
      <w:sz w:val="18"/>
      <w:lang w:val="fr-FR"/>
    </w:rPr>
  </w:style>
  <w:style w:type="character" w:customStyle="1" w:styleId="FooterChar">
    <w:name w:val="Footer Char"/>
    <w:aliases w:val="doc_path_name Char"/>
    <w:basedOn w:val="DefaultParagraphFont"/>
    <w:link w:val="Footer"/>
    <w:rsid w:val="00B0676A"/>
    <w:rPr>
      <w:rFonts w:ascii="Arial" w:hAnsi="Arial"/>
      <w:sz w:val="14"/>
    </w:rPr>
  </w:style>
  <w:style w:type="character" w:customStyle="1" w:styleId="TitleChar">
    <w:name w:val="Title Char"/>
    <w:basedOn w:val="DefaultParagraphFont"/>
    <w:link w:val="Title"/>
    <w:rsid w:val="00B0676A"/>
    <w:rPr>
      <w:rFonts w:ascii="Arial" w:hAnsi="Arial"/>
      <w:b/>
      <w:caps/>
      <w:kern w:val="28"/>
      <w:sz w:val="30"/>
      <w:lang w:val="fr-FR"/>
    </w:rPr>
  </w:style>
  <w:style w:type="character" w:customStyle="1" w:styleId="ClosingChar">
    <w:name w:val="Closing Char"/>
    <w:basedOn w:val="DefaultParagraphFont"/>
    <w:link w:val="Closing"/>
    <w:rsid w:val="00B0676A"/>
    <w:rPr>
      <w:rFonts w:ascii="Arial" w:hAnsi="Arial"/>
      <w:lang w:val="fr-FR"/>
    </w:rPr>
  </w:style>
  <w:style w:type="character" w:customStyle="1" w:styleId="MacroTextChar">
    <w:name w:val="Macro Text Char"/>
    <w:basedOn w:val="DefaultParagraphFont"/>
    <w:link w:val="MacroText"/>
    <w:semiHidden/>
    <w:rsid w:val="00B0676A"/>
    <w:rPr>
      <w:rFonts w:ascii="Courier New" w:hAnsi="Courier New"/>
      <w:sz w:val="16"/>
    </w:rPr>
  </w:style>
  <w:style w:type="character" w:customStyle="1" w:styleId="SignatureChar">
    <w:name w:val="Signature Char"/>
    <w:basedOn w:val="DefaultParagraphFont"/>
    <w:link w:val="Signature"/>
    <w:rsid w:val="00B0676A"/>
    <w:rPr>
      <w:rFonts w:ascii="Arial" w:hAnsi="Arial"/>
      <w:lang w:val="fr-FR"/>
    </w:rPr>
  </w:style>
  <w:style w:type="character" w:customStyle="1" w:styleId="EndnoteTextChar">
    <w:name w:val="Endnote Text Char"/>
    <w:basedOn w:val="DefaultParagraphFont"/>
    <w:link w:val="EndnoteText"/>
    <w:semiHidden/>
    <w:rsid w:val="00B0676A"/>
    <w:rPr>
      <w:rFonts w:ascii="Arial" w:hAnsi="Arial"/>
      <w:lang w:val="fr-FR"/>
    </w:rPr>
  </w:style>
  <w:style w:type="character" w:customStyle="1" w:styleId="DateChar">
    <w:name w:val="Date Char"/>
    <w:basedOn w:val="DefaultParagraphFont"/>
    <w:link w:val="Date"/>
    <w:semiHidden/>
    <w:rsid w:val="00B0676A"/>
    <w:rPr>
      <w:rFonts w:ascii="Arial" w:hAnsi="Arial"/>
      <w:b/>
      <w:sz w:val="22"/>
      <w:lang w:val="fr-FR"/>
    </w:rPr>
  </w:style>
  <w:style w:type="character" w:customStyle="1" w:styleId="StyleDocoriginalNotBold1">
    <w:name w:val="Style Doc_original + Not Bold1"/>
    <w:basedOn w:val="DefaultParagraphFont"/>
    <w:rsid w:val="00B0676A"/>
    <w:rPr>
      <w:rFonts w:ascii="Arial" w:hAnsi="Arial"/>
      <w:b/>
      <w:bCs/>
      <w:spacing w:val="10"/>
      <w:lang w:val="en-US" w:eastAsia="en-US" w:bidi="ar-SA"/>
    </w:rPr>
  </w:style>
  <w:style w:type="paragraph" w:customStyle="1" w:styleId="StyleDocnumber">
    <w:name w:val="Style Doc_number"/>
    <w:basedOn w:val="Docoriginal"/>
    <w:rsid w:val="00B0676A"/>
    <w:pPr>
      <w:spacing w:before="0" w:line="280" w:lineRule="exact"/>
      <w:ind w:left="1589"/>
      <w:contextualSpacing w:val="0"/>
      <w:jc w:val="both"/>
    </w:pPr>
    <w:rPr>
      <w:rFonts w:eastAsia="MS Mincho"/>
      <w:sz w:val="20"/>
      <w:lang w:val="en-US"/>
    </w:rPr>
  </w:style>
  <w:style w:type="paragraph" w:customStyle="1" w:styleId="StyleStyleDocoriginalNotBoldNotBold">
    <w:name w:val="Style Style Doc_original + Not Bold + Not Bold"/>
    <w:basedOn w:val="StyleDocoriginalNotBold"/>
    <w:link w:val="StyleStyleDocoriginalNotBoldNotBoldChar"/>
    <w:rsid w:val="00B0676A"/>
    <w:pPr>
      <w:spacing w:before="0" w:line="280" w:lineRule="exact"/>
      <w:contextualSpacing w:val="0"/>
    </w:pPr>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0676A"/>
    <w:rPr>
      <w:rFonts w:ascii="Arial" w:eastAsiaTheme="minorEastAsia" w:hAnsi="Arial"/>
      <w:b w:val="0"/>
      <w:bCs w:val="0"/>
      <w:spacing w:val="10"/>
      <w:sz w:val="18"/>
      <w:lang w:val="fr-FR" w:eastAsia="en-US" w:bidi="ar-SA"/>
    </w:rPr>
  </w:style>
  <w:style w:type="character" w:customStyle="1" w:styleId="StyleDoclangBold">
    <w:name w:val="Style Doc_lang + Bold"/>
    <w:basedOn w:val="Doclang"/>
    <w:rsid w:val="00B0676A"/>
    <w:rPr>
      <w:rFonts w:ascii="Arial" w:hAnsi="Arial"/>
      <w:b/>
      <w:bCs/>
      <w:sz w:val="20"/>
      <w:lang w:val="en-US"/>
    </w:rPr>
  </w:style>
  <w:style w:type="paragraph" w:customStyle="1" w:styleId="Default">
    <w:name w:val="Default"/>
    <w:rsid w:val="00B0676A"/>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B0676A"/>
    <w:pPr>
      <w:spacing w:after="120" w:line="480" w:lineRule="auto"/>
      <w:ind w:left="283"/>
    </w:pPr>
    <w:rPr>
      <w:rFonts w:eastAsiaTheme="minorEastAsia"/>
      <w:lang w:val="en-US"/>
    </w:rPr>
  </w:style>
  <w:style w:type="character" w:customStyle="1" w:styleId="BodyTextIndent2Char">
    <w:name w:val="Body Text Indent 2 Char"/>
    <w:basedOn w:val="DefaultParagraphFont"/>
    <w:link w:val="BodyTextIndent2"/>
    <w:rsid w:val="00B0676A"/>
    <w:rPr>
      <w:rFonts w:ascii="Arial" w:eastAsiaTheme="minorEastAsia" w:hAnsi="Arial"/>
    </w:rPr>
  </w:style>
  <w:style w:type="character" w:styleId="CommentReference">
    <w:name w:val="annotation reference"/>
    <w:basedOn w:val="DefaultParagraphFont"/>
    <w:rsid w:val="00B0676A"/>
    <w:rPr>
      <w:sz w:val="16"/>
      <w:szCs w:val="16"/>
    </w:rPr>
  </w:style>
  <w:style w:type="paragraph" w:styleId="CommentText">
    <w:name w:val="annotation text"/>
    <w:basedOn w:val="Normal"/>
    <w:link w:val="CommentTextChar"/>
    <w:rsid w:val="00B0676A"/>
    <w:rPr>
      <w:rFonts w:eastAsiaTheme="minorEastAsia"/>
      <w:lang w:val="en-US"/>
    </w:rPr>
  </w:style>
  <w:style w:type="character" w:customStyle="1" w:styleId="CommentTextChar">
    <w:name w:val="Comment Text Char"/>
    <w:basedOn w:val="DefaultParagraphFont"/>
    <w:link w:val="CommentText"/>
    <w:rsid w:val="00B0676A"/>
    <w:rPr>
      <w:rFonts w:ascii="Arial" w:eastAsiaTheme="minorEastAsia" w:hAnsi="Arial"/>
    </w:rPr>
  </w:style>
  <w:style w:type="paragraph" w:styleId="CommentSubject">
    <w:name w:val="annotation subject"/>
    <w:basedOn w:val="CommentText"/>
    <w:next w:val="CommentText"/>
    <w:link w:val="CommentSubjectChar"/>
    <w:rsid w:val="00B0676A"/>
    <w:rPr>
      <w:b/>
      <w:bCs/>
    </w:rPr>
  </w:style>
  <w:style w:type="character" w:customStyle="1" w:styleId="CommentSubjectChar">
    <w:name w:val="Comment Subject Char"/>
    <w:basedOn w:val="CommentTextChar"/>
    <w:link w:val="CommentSubject"/>
    <w:rsid w:val="00B0676A"/>
    <w:rPr>
      <w:rFonts w:ascii="Arial" w:eastAsiaTheme="minorEastAsia" w:hAnsi="Arial"/>
      <w:b/>
      <w:bCs/>
    </w:rPr>
  </w:style>
  <w:style w:type="paragraph" w:customStyle="1" w:styleId="dec">
    <w:name w:val="dec"/>
    <w:basedOn w:val="Normal"/>
    <w:link w:val="decChar"/>
    <w:qFormat/>
    <w:rsid w:val="00B0676A"/>
    <w:pPr>
      <w:ind w:left="4536"/>
    </w:pPr>
    <w:rPr>
      <w:rFonts w:eastAsiaTheme="minorEastAsia"/>
      <w:i/>
      <w:spacing w:val="-2"/>
      <w:lang w:val="en-US"/>
    </w:rPr>
  </w:style>
  <w:style w:type="character" w:customStyle="1" w:styleId="decChar">
    <w:name w:val="dec Char"/>
    <w:basedOn w:val="DefaultParagraphFont"/>
    <w:link w:val="dec"/>
    <w:rsid w:val="00B0676A"/>
    <w:rPr>
      <w:rFonts w:ascii="Arial" w:eastAsiaTheme="minorEastAsia" w:hAnsi="Arial"/>
      <w:i/>
      <w:spacing w:val="-2"/>
    </w:rPr>
  </w:style>
  <w:style w:type="paragraph" w:styleId="Caption">
    <w:name w:val="caption"/>
    <w:basedOn w:val="Normal"/>
    <w:next w:val="Normal"/>
    <w:qFormat/>
    <w:rsid w:val="00B0676A"/>
    <w:pPr>
      <w:jc w:val="left"/>
    </w:pPr>
    <w:rPr>
      <w:rFonts w:ascii="Times New Roman" w:eastAsia="MS Mincho" w:hAnsi="Times New Roman"/>
      <w:b/>
      <w:bCs/>
      <w:lang w:val="en-US"/>
    </w:rPr>
  </w:style>
  <w:style w:type="character" w:customStyle="1" w:styleId="CharChar19">
    <w:name w:val="Char Char19"/>
    <w:locked/>
    <w:rsid w:val="00B0676A"/>
    <w:rPr>
      <w:rFonts w:ascii="Arial" w:hAnsi="Arial"/>
      <w:caps/>
      <w:lang w:val="en-US" w:eastAsia="en-US" w:bidi="ar-SA"/>
    </w:rPr>
  </w:style>
  <w:style w:type="paragraph" w:customStyle="1" w:styleId="ZchnZchn1">
    <w:name w:val="Zchn Zchn1"/>
    <w:basedOn w:val="Normal"/>
    <w:rsid w:val="00B0676A"/>
    <w:pPr>
      <w:spacing w:after="160" w:line="240" w:lineRule="exact"/>
      <w:jc w:val="left"/>
    </w:pPr>
    <w:rPr>
      <w:rFonts w:ascii="Verdana" w:eastAsia="PMingLiU" w:hAnsi="Verdana"/>
      <w:lang w:val="en-US"/>
    </w:rPr>
  </w:style>
  <w:style w:type="paragraph" w:styleId="BlockText">
    <w:name w:val="Block Text"/>
    <w:basedOn w:val="Normal"/>
    <w:rsid w:val="00B0676A"/>
    <w:pPr>
      <w:ind w:left="1134" w:right="-1" w:hanging="567"/>
    </w:pPr>
    <w:rPr>
      <w:rFonts w:ascii="Times New Roman" w:eastAsia="MS Mincho" w:hAnsi="Times New Roman"/>
      <w:sz w:val="24"/>
      <w:lang w:val="en-US"/>
    </w:rPr>
  </w:style>
  <w:style w:type="paragraph" w:customStyle="1" w:styleId="indentpara">
    <w:name w:val="indentpara"/>
    <w:basedOn w:val="Normal"/>
    <w:rsid w:val="00B0676A"/>
    <w:pPr>
      <w:numPr>
        <w:numId w:val="16"/>
      </w:numPr>
    </w:pPr>
    <w:rPr>
      <w:rFonts w:ascii="Times New Roman" w:eastAsia="MS Mincho" w:hAnsi="Times New Roman"/>
      <w:sz w:val="24"/>
      <w:lang w:val="en-US"/>
    </w:rPr>
  </w:style>
  <w:style w:type="paragraph" w:styleId="NormalWeb">
    <w:name w:val="Normal (Web)"/>
    <w:basedOn w:val="Normal"/>
    <w:rsid w:val="00B0676A"/>
    <w:pPr>
      <w:spacing w:before="100" w:beforeAutospacing="1" w:after="100" w:afterAutospacing="1"/>
      <w:jc w:val="left"/>
    </w:pPr>
    <w:rPr>
      <w:rFonts w:ascii="Times New Roman" w:eastAsia="MS Mincho" w:hAnsi="Times New Roman"/>
      <w:sz w:val="24"/>
      <w:szCs w:val="24"/>
      <w:lang w:val="en-US"/>
    </w:rPr>
  </w:style>
  <w:style w:type="paragraph" w:customStyle="1" w:styleId="TegnTegnCharChar">
    <w:name w:val="Tegn Tegn Char Char"/>
    <w:basedOn w:val="Normal"/>
    <w:rsid w:val="00B0676A"/>
    <w:pPr>
      <w:spacing w:after="160" w:line="240" w:lineRule="exact"/>
      <w:jc w:val="left"/>
    </w:pPr>
    <w:rPr>
      <w:rFonts w:ascii="Verdana" w:eastAsia="PMingLiU" w:hAnsi="Verdana"/>
      <w:lang w:val="en-US"/>
    </w:rPr>
  </w:style>
  <w:style w:type="paragraph" w:styleId="BodyTextIndent">
    <w:name w:val="Body Text Indent"/>
    <w:basedOn w:val="Normal"/>
    <w:link w:val="BodyTextIndentChar"/>
    <w:rsid w:val="00B0676A"/>
    <w:pPr>
      <w:ind w:left="567"/>
      <w:jc w:val="left"/>
    </w:pPr>
    <w:rPr>
      <w:rFonts w:ascii="Times New Roman" w:eastAsia="MS Mincho" w:hAnsi="Times New Roman"/>
      <w:sz w:val="24"/>
      <w:lang w:val="en-US"/>
    </w:rPr>
  </w:style>
  <w:style w:type="character" w:customStyle="1" w:styleId="BodyTextIndentChar">
    <w:name w:val="Body Text Indent Char"/>
    <w:basedOn w:val="DefaultParagraphFont"/>
    <w:link w:val="BodyTextIndent"/>
    <w:rsid w:val="00B0676A"/>
    <w:rPr>
      <w:rFonts w:eastAsia="MS Mincho"/>
      <w:sz w:val="24"/>
    </w:rPr>
  </w:style>
  <w:style w:type="paragraph" w:customStyle="1" w:styleId="Committee">
    <w:name w:val="Committee"/>
    <w:basedOn w:val="Normal"/>
    <w:rsid w:val="00B0676A"/>
    <w:pPr>
      <w:spacing w:after="300"/>
      <w:jc w:val="center"/>
    </w:pPr>
    <w:rPr>
      <w:rFonts w:eastAsia="MS Mincho"/>
      <w:b/>
      <w:caps/>
      <w:kern w:val="28"/>
      <w:sz w:val="30"/>
      <w:lang w:val="en-US"/>
    </w:rPr>
  </w:style>
  <w:style w:type="paragraph" w:customStyle="1" w:styleId="DecisionInvitingPara">
    <w:name w:val="Decision Inviting Para."/>
    <w:basedOn w:val="Normal"/>
    <w:rsid w:val="00B0676A"/>
    <w:pPr>
      <w:ind w:left="4536"/>
      <w:jc w:val="left"/>
    </w:pPr>
    <w:rPr>
      <w:rFonts w:ascii="Times New Roman" w:eastAsia="MS Mincho" w:hAnsi="Times New Roman"/>
      <w:i/>
      <w:sz w:val="24"/>
      <w:lang w:val="en-US"/>
    </w:rPr>
  </w:style>
  <w:style w:type="paragraph" w:customStyle="1" w:styleId="Endofdocument">
    <w:name w:val="End of document"/>
    <w:basedOn w:val="Normal"/>
    <w:rsid w:val="00B0676A"/>
    <w:pPr>
      <w:ind w:left="4536"/>
      <w:jc w:val="center"/>
    </w:pPr>
    <w:rPr>
      <w:rFonts w:ascii="Times New Roman" w:eastAsia="MS Mincho" w:hAnsi="Times New Roman"/>
      <w:sz w:val="24"/>
      <w:lang w:val="en-US"/>
    </w:rPr>
  </w:style>
  <w:style w:type="paragraph" w:customStyle="1" w:styleId="MTDisplayEquation">
    <w:name w:val="MTDisplayEquation"/>
    <w:basedOn w:val="Normal"/>
    <w:next w:val="Normal"/>
    <w:rsid w:val="00B0676A"/>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B0676A"/>
    <w:rPr>
      <w:rFonts w:cs="Times New Roman"/>
      <w:color w:val="800080"/>
      <w:u w:val="single"/>
    </w:rPr>
  </w:style>
  <w:style w:type="character" w:styleId="Emphasis">
    <w:name w:val="Emphasis"/>
    <w:qFormat/>
    <w:rsid w:val="00B0676A"/>
    <w:rPr>
      <w:rFonts w:ascii="Arial" w:hAnsi="Arial" w:cs="Times New Roman"/>
      <w:b/>
      <w:i/>
    </w:rPr>
  </w:style>
  <w:style w:type="character" w:customStyle="1" w:styleId="StyleTimesNewRomanPSMT">
    <w:name w:val="Style TimesNewRomanPSMT"/>
    <w:rsid w:val="00B0676A"/>
    <w:rPr>
      <w:rFonts w:ascii="Arial" w:hAnsi="Arial"/>
      <w:sz w:val="20"/>
    </w:rPr>
  </w:style>
  <w:style w:type="table" w:styleId="TableGrid">
    <w:name w:val="Table Grid"/>
    <w:basedOn w:val="TableNormal"/>
    <w:rsid w:val="00B0676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0676A"/>
  </w:style>
  <w:style w:type="numbering" w:customStyle="1" w:styleId="NoList2">
    <w:name w:val="No List2"/>
    <w:next w:val="NoList"/>
    <w:uiPriority w:val="99"/>
    <w:semiHidden/>
    <w:unhideWhenUsed/>
    <w:rsid w:val="00B0676A"/>
  </w:style>
  <w:style w:type="numbering" w:customStyle="1" w:styleId="NoList12">
    <w:name w:val="No List12"/>
    <w:next w:val="NoList"/>
    <w:uiPriority w:val="99"/>
    <w:semiHidden/>
    <w:unhideWhenUsed/>
    <w:rsid w:val="00B0676A"/>
  </w:style>
  <w:style w:type="character" w:styleId="LineNumber">
    <w:name w:val="line number"/>
    <w:basedOn w:val="DefaultParagraphFont"/>
    <w:semiHidden/>
    <w:unhideWhenUsed/>
    <w:rsid w:val="00B0676A"/>
  </w:style>
  <w:style w:type="paragraph" w:styleId="Revision">
    <w:name w:val="Revision"/>
    <w:hidden/>
    <w:uiPriority w:val="99"/>
    <w:semiHidden/>
    <w:rsid w:val="00B0676A"/>
    <w:rPr>
      <w:rFonts w:ascii="Arial" w:eastAsiaTheme="minorEastAsia" w:hAnsi="Arial"/>
    </w:rPr>
  </w:style>
  <w:style w:type="paragraph" w:styleId="TOCHeading">
    <w:name w:val="TOC Heading"/>
    <w:basedOn w:val="Heading1"/>
    <w:next w:val="Normal"/>
    <w:uiPriority w:val="39"/>
    <w:unhideWhenUsed/>
    <w:qFormat/>
    <w:rsid w:val="00B0676A"/>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genie/fr/" TargetMode="External"/><Relationship Id="rId13" Type="http://schemas.openxmlformats.org/officeDocument/2006/relationships/hyperlink" Target="https://www.upov.int/pluto"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luto.upov.int" TargetMode="External"/><Relationship Id="rId17" Type="http://schemas.openxmlformats.org/officeDocument/2006/relationships/hyperlink" Target="http://www.upov.int/members/en/pvp_offices.html"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http://www.upov.int/pluto/data/current.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pluto/fr/help.html"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upov.int/members/en/pvp_offices.html" TargetMode="External"/><Relationship Id="rId23" Type="http://schemas.openxmlformats.org/officeDocument/2006/relationships/footer" Target="footer3.xml"/><Relationship Id="rId10" Type="http://schemas.openxmlformats.org/officeDocument/2006/relationships/hyperlink" Target="https://www.upov.int/pluto/fr/help.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upov.int/genie/resources/pdfs/upov_code_system_fr.pdf"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6037</Words>
  <Characters>32050</Characters>
  <Application>Microsoft Office Word</Application>
  <DocSecurity>0</DocSecurity>
  <Lines>267</Lines>
  <Paragraphs>76</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38011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TC/57/INF/3</dc:title>
  <dc:creator>BAILLY Delphine</dc:creator>
  <cp:lastModifiedBy>MAY Jessica</cp:lastModifiedBy>
  <cp:revision>22</cp:revision>
  <cp:lastPrinted>2016-11-22T15:41:00Z</cp:lastPrinted>
  <dcterms:created xsi:type="dcterms:W3CDTF">2021-10-22T07:02:00Z</dcterms:created>
  <dcterms:modified xsi:type="dcterms:W3CDTF">2021-10-25T13:05:00Z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741b7fa4-7288-4232-8836-f0fce7875373</vt:lpwstr>
  </property>
</Properties>
</file>