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826656" w:rsidRDefault="00826656"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0E3068">
        <w:tc>
          <w:tcPr>
            <w:tcW w:w="6512" w:type="dxa"/>
            <w:tcBorders>
              <w:bottom w:val="single" w:sz="4" w:space="0" w:color="auto"/>
            </w:tcBorders>
          </w:tcPr>
          <w:p w:rsidR="00826656" w:rsidRDefault="00A706D3" w:rsidP="00AC2883">
            <w:pPr>
              <w:pStyle w:val="Sessiontc"/>
              <w:spacing w:line="240" w:lineRule="auto"/>
            </w:pPr>
            <w:r>
              <w:t>Comité technique</w:t>
            </w:r>
          </w:p>
          <w:p w:rsidR="00EB4E9C" w:rsidRPr="00DC3802" w:rsidRDefault="00A706D3" w:rsidP="00A2300A">
            <w:pPr>
              <w:pStyle w:val="Sessiontcplacedate"/>
              <w:rPr>
                <w:sz w:val="22"/>
              </w:rPr>
            </w:pPr>
            <w:r>
              <w:t>Cinquante</w:t>
            </w:r>
            <w:r w:rsidR="009104CD">
              <w:t>-</w:t>
            </w:r>
            <w:r w:rsidR="00027994">
              <w:t>s</w:t>
            </w:r>
            <w:r w:rsidR="00A2300A">
              <w:t>ept</w:t>
            </w:r>
            <w:r w:rsidR="009104CD">
              <w:t>ième session</w:t>
            </w:r>
            <w:r w:rsidR="00EB4E9C" w:rsidRPr="00DA4973">
              <w:br/>
              <w:t>Gen</w:t>
            </w:r>
            <w:r>
              <w:t>è</w:t>
            </w:r>
            <w:r w:rsidR="00EB4E9C" w:rsidRPr="00DA4973">
              <w:t>v</w:t>
            </w:r>
            <w:r>
              <w:t>e</w:t>
            </w:r>
            <w:r w:rsidR="00EB4E9C" w:rsidRPr="00DA4973">
              <w:t xml:space="preserve">, </w:t>
            </w:r>
            <w:r w:rsidR="00897A4D">
              <w:t>2</w:t>
            </w:r>
            <w:r w:rsidR="00A2300A">
              <w:t>5</w:t>
            </w:r>
            <w:r w:rsidR="00897A4D">
              <w:t xml:space="preserve"> et </w:t>
            </w:r>
            <w:r w:rsidR="001C1F2F">
              <w:t>2</w:t>
            </w:r>
            <w:r w:rsidR="00484441">
              <w:t>6 octobre 20</w:t>
            </w:r>
            <w:r w:rsidR="00027994">
              <w:t>2</w:t>
            </w:r>
            <w:r w:rsidR="00A2300A">
              <w:t>1</w:t>
            </w:r>
          </w:p>
        </w:tc>
        <w:tc>
          <w:tcPr>
            <w:tcW w:w="3127" w:type="dxa"/>
            <w:tcBorders>
              <w:bottom w:val="single" w:sz="4" w:space="0" w:color="auto"/>
            </w:tcBorders>
          </w:tcPr>
          <w:p w:rsidR="00826656" w:rsidRDefault="00027994" w:rsidP="003C7FBE">
            <w:pPr>
              <w:pStyle w:val="Doccode"/>
              <w:rPr>
                <w:lang w:val="fr-FR"/>
              </w:rPr>
            </w:pPr>
            <w:r>
              <w:rPr>
                <w:lang w:val="fr-FR"/>
              </w:rPr>
              <w:t>TC/5</w:t>
            </w:r>
            <w:r w:rsidR="00A2300A">
              <w:rPr>
                <w:lang w:val="fr-FR"/>
              </w:rPr>
              <w:t>7</w:t>
            </w:r>
            <w:r w:rsidR="00EB4E9C" w:rsidRPr="00027994">
              <w:rPr>
                <w:lang w:val="fr-FR"/>
              </w:rPr>
              <w:t>/</w:t>
            </w:r>
            <w:r w:rsidR="00E705BD">
              <w:rPr>
                <w:lang w:val="fr-FR"/>
              </w:rPr>
              <w:t>8</w:t>
            </w:r>
            <w:r w:rsidR="00D2510D">
              <w:rPr>
                <w:lang w:val="fr-FR"/>
              </w:rPr>
              <w:t> </w:t>
            </w:r>
            <w:r w:rsidR="00E705BD">
              <w:rPr>
                <w:lang w:val="fr-FR"/>
              </w:rPr>
              <w:t>Add.</w:t>
            </w:r>
          </w:p>
          <w:p w:rsidR="00826656" w:rsidRDefault="00EB4E9C" w:rsidP="003C7FBE">
            <w:pPr>
              <w:pStyle w:val="Docoriginal"/>
            </w:pPr>
            <w:r w:rsidRPr="00AC2883">
              <w:t>Original</w:t>
            </w:r>
            <w:r w:rsidR="009104CD">
              <w:t> :</w:t>
            </w:r>
            <w:r w:rsidRPr="000E636A">
              <w:rPr>
                <w:b w:val="0"/>
                <w:spacing w:val="0"/>
              </w:rPr>
              <w:t xml:space="preserve"> </w:t>
            </w:r>
            <w:r w:rsidR="00A706D3">
              <w:rPr>
                <w:b w:val="0"/>
                <w:spacing w:val="0"/>
              </w:rPr>
              <w:t>anglais</w:t>
            </w:r>
          </w:p>
          <w:p w:rsidR="000E3068" w:rsidRPr="000E3068" w:rsidRDefault="00EB4E9C" w:rsidP="00E705BD">
            <w:pPr>
              <w:pStyle w:val="Docoriginal"/>
              <w:rPr>
                <w:b w:val="0"/>
                <w:spacing w:val="0"/>
              </w:rPr>
            </w:pPr>
            <w:r w:rsidRPr="00AC2883">
              <w:t>Date</w:t>
            </w:r>
            <w:r w:rsidR="009104CD">
              <w:t> :</w:t>
            </w:r>
            <w:r w:rsidR="00897A4D">
              <w:rPr>
                <w:b w:val="0"/>
                <w:spacing w:val="0"/>
              </w:rPr>
              <w:t xml:space="preserve"> </w:t>
            </w:r>
            <w:r w:rsidR="00484441" w:rsidRPr="00E705BD">
              <w:rPr>
                <w:b w:val="0"/>
                <w:spacing w:val="0"/>
              </w:rPr>
              <w:t>8</w:t>
            </w:r>
            <w:r w:rsidR="00484441">
              <w:rPr>
                <w:b w:val="0"/>
                <w:spacing w:val="0"/>
              </w:rPr>
              <w:t> </w:t>
            </w:r>
            <w:r w:rsidR="00484441" w:rsidRPr="00E705BD">
              <w:rPr>
                <w:b w:val="0"/>
                <w:spacing w:val="0"/>
              </w:rPr>
              <w:t>octobre</w:t>
            </w:r>
            <w:r w:rsidR="00484441">
              <w:rPr>
                <w:b w:val="0"/>
                <w:spacing w:val="0"/>
              </w:rPr>
              <w:t> </w:t>
            </w:r>
            <w:r w:rsidR="00484441" w:rsidRPr="00E705BD">
              <w:rPr>
                <w:b w:val="0"/>
                <w:spacing w:val="0"/>
              </w:rPr>
              <w:t>20</w:t>
            </w:r>
            <w:r w:rsidR="00E705BD" w:rsidRPr="00E705BD">
              <w:rPr>
                <w:b w:val="0"/>
                <w:spacing w:val="0"/>
              </w:rPr>
              <w:t>21</w:t>
            </w:r>
          </w:p>
        </w:tc>
      </w:tr>
    </w:tbl>
    <w:p w:rsidR="00826656" w:rsidRDefault="00E705BD" w:rsidP="006A644A">
      <w:pPr>
        <w:pStyle w:val="Titleofdoc0"/>
      </w:pPr>
      <w:bookmarkStart w:id="0" w:name="TitleOfDoc"/>
      <w:bookmarkEnd w:id="0"/>
      <w:r>
        <w:t xml:space="preserve">Additif concernant les </w:t>
      </w:r>
      <w:r>
        <w:br/>
      </w:r>
      <w:r w:rsidRPr="00F62FC5">
        <w:t>techniques</w:t>
      </w:r>
      <w:r>
        <w:t xml:space="preserve"> moléculaires</w:t>
      </w:r>
    </w:p>
    <w:p w:rsidR="00826656" w:rsidRDefault="00AE0EF1" w:rsidP="006A644A">
      <w:pPr>
        <w:pStyle w:val="preparedby1"/>
        <w:jc w:val="left"/>
      </w:pPr>
      <w:bookmarkStart w:id="1" w:name="Prepared"/>
      <w:bookmarkEnd w:id="1"/>
      <w:r w:rsidRPr="000C4E25">
        <w:t xml:space="preserve">Document </w:t>
      </w:r>
      <w:r w:rsidR="00A706D3">
        <w:t>établi par le Bureau de l</w:t>
      </w:r>
      <w:r w:rsidR="009104CD">
        <w:t>’</w:t>
      </w:r>
      <w:r w:rsidR="00A706D3">
        <w:t>Union</w:t>
      </w:r>
    </w:p>
    <w:p w:rsidR="00826656" w:rsidRDefault="00A706D3" w:rsidP="006A644A">
      <w:pPr>
        <w:pStyle w:val="Disclaimer"/>
      </w:pPr>
      <w:r w:rsidRPr="00A706D3">
        <w:t>Avertissement</w:t>
      </w:r>
      <w:r w:rsidR="009104CD">
        <w:t> :</w:t>
      </w:r>
      <w:r w:rsidRPr="00A706D3">
        <w:t xml:space="preserve"> le présent document ne représente pas les principes ou les orientations de l</w:t>
      </w:r>
      <w:r w:rsidR="009104CD">
        <w:t>’</w:t>
      </w:r>
      <w:r w:rsidRPr="00A706D3">
        <w:t>UPOV</w:t>
      </w:r>
    </w:p>
    <w:p w:rsidR="00826656" w:rsidRPr="004369C3" w:rsidRDefault="00D9562C" w:rsidP="00D81784">
      <w:pPr>
        <w:pStyle w:val="Heading1"/>
        <w:rPr>
          <w:snapToGrid w:val="0"/>
          <w:lang w:eastAsia="ja-JP"/>
        </w:rPr>
      </w:pPr>
      <w:bookmarkStart w:id="2" w:name="_Toc85632852"/>
      <w:r w:rsidRPr="004369C3">
        <w:rPr>
          <w:snapToGrid w:val="0"/>
          <w:lang w:eastAsia="ja-JP"/>
        </w:rPr>
        <w:t>RÉSUMÉ</w:t>
      </w:r>
      <w:bookmarkEnd w:id="2"/>
    </w:p>
    <w:p w:rsidR="00826656" w:rsidRPr="004369C3" w:rsidRDefault="00826656" w:rsidP="00E705BD">
      <w:pPr>
        <w:rPr>
          <w:lang w:val="fr-CH" w:eastAsia="ja-JP"/>
        </w:rPr>
      </w:pPr>
    </w:p>
    <w:p w:rsidR="00826656" w:rsidRPr="004369C3" w:rsidRDefault="00E705BD" w:rsidP="00D9562C">
      <w:pPr>
        <w:rPr>
          <w:lang w:val="fr-CH"/>
        </w:rPr>
      </w:pPr>
      <w:r w:rsidRPr="004369C3">
        <w:fldChar w:fldCharType="begin"/>
      </w:r>
      <w:r w:rsidRPr="004369C3">
        <w:rPr>
          <w:lang w:val="fr-CH"/>
        </w:rPr>
        <w:instrText xml:space="preserve"> AUTONUM  </w:instrText>
      </w:r>
      <w:r w:rsidRPr="004369C3">
        <w:fldChar w:fldCharType="end"/>
      </w:r>
      <w:r w:rsidRPr="004369C3">
        <w:rPr>
          <w:lang w:val="fr-CH"/>
        </w:rPr>
        <w:tab/>
      </w:r>
      <w:r w:rsidR="00D9562C" w:rsidRPr="004369C3">
        <w:rPr>
          <w:lang w:val="fr-CH"/>
        </w:rPr>
        <w:t xml:space="preserve">Le présent additif a pour objet de rendre compte des faits nouveaux intervenus aux sessions </w:t>
      </w:r>
      <w:r w:rsidR="00484441" w:rsidRPr="004369C3">
        <w:rPr>
          <w:lang w:val="fr-CH"/>
        </w:rPr>
        <w:t>de 2021</w:t>
      </w:r>
      <w:r w:rsidR="00D9562C" w:rsidRPr="004369C3">
        <w:rPr>
          <w:lang w:val="fr-CH"/>
        </w:rPr>
        <w:t xml:space="preserve"> des groupes de travail techniques et du Groupe de travail sur les techniques biochimiques et moléculaires, notamment les profils d</w:t>
      </w:r>
      <w:r w:rsidR="009104CD">
        <w:rPr>
          <w:lang w:val="fr-CH"/>
        </w:rPr>
        <w:t>’</w:t>
      </w:r>
      <w:r w:rsidR="00D9562C" w:rsidRPr="004369C3">
        <w:rPr>
          <w:lang w:val="fr-CH"/>
        </w:rPr>
        <w:t>ADN (BMT) concernant</w:t>
      </w:r>
      <w:r w:rsidR="009104CD">
        <w:rPr>
          <w:lang w:val="fr-CH"/>
        </w:rPr>
        <w:t> :</w:t>
      </w:r>
      <w:r w:rsidR="00D9562C" w:rsidRPr="004369C3">
        <w:rPr>
          <w:lang w:val="fr-CH"/>
        </w:rPr>
        <w:t xml:space="preserve"> 1) la coopération entre les organisations internationales et 2) des </w:t>
      </w:r>
      <w:r w:rsidR="004369C3">
        <w:rPr>
          <w:lang w:val="fr-CH"/>
        </w:rPr>
        <w:t>réunions</w:t>
      </w:r>
      <w:r w:rsidR="00D9562C" w:rsidRPr="004369C3">
        <w:rPr>
          <w:lang w:val="fr-CH"/>
        </w:rPr>
        <w:t xml:space="preserve"> </w:t>
      </w:r>
      <w:r w:rsidR="004369C3">
        <w:rPr>
          <w:lang w:val="fr-CH"/>
        </w:rPr>
        <w:t xml:space="preserve">destinées à favoriser </w:t>
      </w:r>
      <w:r w:rsidR="00D9562C" w:rsidRPr="004369C3">
        <w:rPr>
          <w:lang w:val="fr-CH"/>
        </w:rPr>
        <w:t xml:space="preserve">la coopération </w:t>
      </w:r>
      <w:r w:rsidR="004369C3">
        <w:rPr>
          <w:lang w:val="fr-CH"/>
        </w:rPr>
        <w:t>dans l</w:t>
      </w:r>
      <w:r w:rsidR="009104CD">
        <w:rPr>
          <w:lang w:val="fr-CH"/>
        </w:rPr>
        <w:t>’</w:t>
      </w:r>
      <w:r w:rsidR="00D9562C" w:rsidRPr="004369C3">
        <w:rPr>
          <w:lang w:val="fr-CH"/>
        </w:rPr>
        <w:t>utilisation des techniques moléculaires.</w:t>
      </w:r>
    </w:p>
    <w:p w:rsidR="00826656" w:rsidRPr="004369C3" w:rsidRDefault="00826656" w:rsidP="00E705BD">
      <w:pPr>
        <w:jc w:val="left"/>
        <w:rPr>
          <w:rFonts w:cs="Arial"/>
          <w:snapToGrid w:val="0"/>
          <w:szCs w:val="24"/>
          <w:lang w:val="fr-CH" w:eastAsia="ja-JP"/>
        </w:rPr>
      </w:pPr>
    </w:p>
    <w:p w:rsidR="00826656" w:rsidRPr="004369C3" w:rsidRDefault="00E705BD" w:rsidP="00D9562C">
      <w:pPr>
        <w:tabs>
          <w:tab w:val="left" w:pos="567"/>
          <w:tab w:val="left" w:pos="1134"/>
          <w:tab w:val="left" w:pos="5387"/>
          <w:tab w:val="left" w:pos="5954"/>
        </w:tabs>
        <w:rPr>
          <w:lang w:val="fr-CH"/>
        </w:rPr>
      </w:pPr>
      <w:r w:rsidRPr="004369C3">
        <w:fldChar w:fldCharType="begin"/>
      </w:r>
      <w:r w:rsidRPr="004369C3">
        <w:rPr>
          <w:lang w:val="fr-CH"/>
        </w:rPr>
        <w:instrText xml:space="preserve"> AUTONUM  </w:instrText>
      </w:r>
      <w:r w:rsidRPr="004369C3">
        <w:fldChar w:fldCharType="end"/>
      </w:r>
      <w:r w:rsidRPr="004369C3">
        <w:rPr>
          <w:lang w:val="fr-CH"/>
        </w:rPr>
        <w:tab/>
      </w:r>
      <w:r w:rsidR="00D9562C" w:rsidRPr="004369C3">
        <w:rPr>
          <w:lang w:val="fr-CH"/>
        </w:rPr>
        <w:t>Le</w:t>
      </w:r>
      <w:r w:rsidR="009104CD">
        <w:rPr>
          <w:lang w:val="fr-CH"/>
        </w:rPr>
        <w:t> TC</w:t>
      </w:r>
      <w:r w:rsidR="00D9562C" w:rsidRPr="004369C3">
        <w:rPr>
          <w:lang w:val="fr-CH"/>
        </w:rPr>
        <w:t xml:space="preserve"> est invité</w:t>
      </w:r>
    </w:p>
    <w:p w:rsidR="00826656" w:rsidRDefault="00826656" w:rsidP="00E705BD">
      <w:pPr>
        <w:tabs>
          <w:tab w:val="left" w:pos="567"/>
          <w:tab w:val="left" w:pos="1134"/>
          <w:tab w:val="left" w:pos="5387"/>
          <w:tab w:val="left" w:pos="5954"/>
        </w:tabs>
        <w:rPr>
          <w:lang w:val="fr-CH"/>
        </w:rPr>
      </w:pPr>
    </w:p>
    <w:p w:rsidR="00826656" w:rsidRDefault="00E705BD" w:rsidP="00D9562C">
      <w:pPr>
        <w:tabs>
          <w:tab w:val="left" w:pos="567"/>
          <w:tab w:val="left" w:pos="1134"/>
          <w:tab w:val="left" w:pos="5387"/>
          <w:tab w:val="left" w:pos="5954"/>
        </w:tabs>
        <w:rPr>
          <w:lang w:val="fr-CH"/>
        </w:rPr>
      </w:pPr>
      <w:r w:rsidRPr="00D9562C">
        <w:rPr>
          <w:lang w:val="fr-CH"/>
        </w:rPr>
        <w:tab/>
      </w:r>
      <w:r w:rsidR="00D9562C" w:rsidRPr="00D9562C">
        <w:rPr>
          <w:color w:val="000000"/>
          <w:lang w:val="fr-CH"/>
        </w:rPr>
        <w:t>a)</w:t>
      </w:r>
      <w:r w:rsidR="00D9562C" w:rsidRPr="00D9562C">
        <w:rPr>
          <w:color w:val="000000"/>
          <w:lang w:val="fr-CH"/>
        </w:rPr>
        <w:tab/>
        <w:t>à examiner les thèmes possibles ci</w:t>
      </w:r>
      <w:r w:rsidR="009104CD">
        <w:rPr>
          <w:color w:val="000000"/>
          <w:lang w:val="fr-CH"/>
        </w:rPr>
        <w:t>-</w:t>
      </w:r>
      <w:r w:rsidR="00D9562C" w:rsidRPr="00D9562C">
        <w:rPr>
          <w:color w:val="000000"/>
          <w:lang w:val="fr-CH"/>
        </w:rPr>
        <w:t>après pour un futur atelier org</w:t>
      </w:r>
      <w:r w:rsidR="00693B13">
        <w:rPr>
          <w:color w:val="000000"/>
          <w:lang w:val="fr-CH"/>
        </w:rPr>
        <w:t>a</w:t>
      </w:r>
      <w:r w:rsidR="00D9562C" w:rsidRPr="00D9562C">
        <w:rPr>
          <w:color w:val="000000"/>
          <w:lang w:val="fr-CH"/>
        </w:rPr>
        <w:t>nisé conjointement par l</w:t>
      </w:r>
      <w:r w:rsidR="009104CD">
        <w:rPr>
          <w:color w:val="000000"/>
          <w:lang w:val="fr-CH"/>
        </w:rPr>
        <w:t>’</w:t>
      </w:r>
      <w:r w:rsidR="00D9562C" w:rsidRPr="00D9562C">
        <w:rPr>
          <w:color w:val="000000"/>
          <w:lang w:val="fr-CH"/>
        </w:rPr>
        <w:t>UPOV, l</w:t>
      </w:r>
      <w:r w:rsidR="009104CD">
        <w:rPr>
          <w:color w:val="000000"/>
          <w:lang w:val="fr-CH"/>
        </w:rPr>
        <w:t>’</w:t>
      </w:r>
      <w:r w:rsidR="00D9562C" w:rsidRPr="00D9562C">
        <w:rPr>
          <w:color w:val="000000"/>
          <w:lang w:val="fr-CH"/>
        </w:rPr>
        <w:t>OCDE et l</w:t>
      </w:r>
      <w:r w:rsidR="009104CD">
        <w:rPr>
          <w:color w:val="000000"/>
          <w:lang w:val="fr-CH"/>
        </w:rPr>
        <w:t>’</w:t>
      </w:r>
      <w:r w:rsidR="00D9562C" w:rsidRPr="00D9562C">
        <w:rPr>
          <w:color w:val="000000"/>
          <w:lang w:val="fr-CH"/>
        </w:rPr>
        <w:t>ISTA</w:t>
      </w:r>
      <w:r w:rsidR="009104CD">
        <w:rPr>
          <w:color w:val="000000"/>
          <w:lang w:val="fr-CH"/>
        </w:rPr>
        <w:t> :</w:t>
      </w:r>
    </w:p>
    <w:p w:rsidR="00826656" w:rsidRDefault="00826656" w:rsidP="00E705BD">
      <w:pPr>
        <w:tabs>
          <w:tab w:val="left" w:pos="567"/>
          <w:tab w:val="left" w:pos="1134"/>
          <w:tab w:val="left" w:pos="5954"/>
        </w:tabs>
        <w:ind w:firstLine="567"/>
        <w:rPr>
          <w:lang w:val="fr-CH"/>
        </w:rPr>
      </w:pPr>
    </w:p>
    <w:p w:rsidR="00826656" w:rsidRDefault="00693B13" w:rsidP="00693B13">
      <w:pPr>
        <w:pStyle w:val="ListParagraph"/>
        <w:tabs>
          <w:tab w:val="left" w:pos="567"/>
          <w:tab w:val="left" w:pos="1134"/>
          <w:tab w:val="left" w:pos="1701"/>
          <w:tab w:val="left" w:pos="5954"/>
        </w:tabs>
        <w:ind w:left="1134"/>
        <w:rPr>
          <w:lang w:val="fr-CH"/>
        </w:rPr>
      </w:pPr>
      <w:r w:rsidRPr="00693B13">
        <w:rPr>
          <w:color w:val="000000"/>
          <w:lang w:val="fr-CH"/>
        </w:rPr>
        <w:t>i)</w:t>
      </w:r>
      <w:r w:rsidRPr="00693B13">
        <w:rPr>
          <w:color w:val="000000"/>
          <w:lang w:val="fr-CH"/>
        </w:rPr>
        <w:tab/>
        <w:t>fourniture d</w:t>
      </w:r>
      <w:r w:rsidR="009104CD">
        <w:rPr>
          <w:color w:val="000000"/>
          <w:lang w:val="fr-CH"/>
        </w:rPr>
        <w:t>’</w:t>
      </w:r>
      <w:r w:rsidRPr="00693B13">
        <w:rPr>
          <w:color w:val="000000"/>
          <w:lang w:val="fr-CH"/>
        </w:rPr>
        <w:t>informations sur l</w:t>
      </w:r>
      <w:r w:rsidR="009104CD">
        <w:rPr>
          <w:color w:val="000000"/>
          <w:lang w:val="fr-CH"/>
        </w:rPr>
        <w:t>’</w:t>
      </w:r>
      <w:r w:rsidRPr="00693B13">
        <w:rPr>
          <w:color w:val="000000"/>
          <w:lang w:val="fr-CH"/>
        </w:rPr>
        <w:t>utilisation des techniques moléculaires dans chaque organisation;</w:t>
      </w:r>
    </w:p>
    <w:p w:rsidR="00826656" w:rsidRDefault="00424B2B" w:rsidP="00424B2B">
      <w:pPr>
        <w:pStyle w:val="ListParagraph"/>
        <w:tabs>
          <w:tab w:val="left" w:pos="567"/>
          <w:tab w:val="left" w:pos="1134"/>
          <w:tab w:val="left" w:pos="1701"/>
          <w:tab w:val="left" w:pos="5954"/>
        </w:tabs>
        <w:ind w:left="1134"/>
        <w:rPr>
          <w:lang w:val="fr-CH"/>
        </w:rPr>
      </w:pPr>
      <w:r w:rsidRPr="00424B2B">
        <w:rPr>
          <w:color w:val="000000"/>
          <w:lang w:val="fr-CH"/>
        </w:rPr>
        <w:t>ii)</w:t>
      </w:r>
      <w:r w:rsidRPr="00424B2B">
        <w:rPr>
          <w:color w:val="000000"/>
          <w:lang w:val="fr-CH"/>
        </w:rPr>
        <w:tab/>
        <w:t>procédure d</w:t>
      </w:r>
      <w:r w:rsidR="009104CD">
        <w:rPr>
          <w:color w:val="000000"/>
          <w:lang w:val="fr-CH"/>
        </w:rPr>
        <w:t>’</w:t>
      </w:r>
      <w:r w:rsidRPr="00424B2B">
        <w:rPr>
          <w:color w:val="000000"/>
          <w:lang w:val="fr-CH"/>
        </w:rPr>
        <w:t xml:space="preserve">approbation des méthodes biochimiques et moléculaires dans chaque organisation; </w:t>
      </w:r>
      <w:r w:rsidR="00D2510D">
        <w:rPr>
          <w:color w:val="000000"/>
          <w:lang w:val="fr-CH"/>
        </w:rPr>
        <w:t xml:space="preserve"> </w:t>
      </w:r>
      <w:r w:rsidRPr="00424B2B">
        <w:rPr>
          <w:color w:val="000000"/>
          <w:lang w:val="fr-CH"/>
        </w:rPr>
        <w:t>et</w:t>
      </w:r>
    </w:p>
    <w:p w:rsidR="00484441" w:rsidRDefault="00424B2B" w:rsidP="00424B2B">
      <w:pPr>
        <w:pStyle w:val="ListParagraph"/>
        <w:tabs>
          <w:tab w:val="left" w:pos="567"/>
          <w:tab w:val="left" w:pos="1134"/>
          <w:tab w:val="left" w:pos="1701"/>
          <w:tab w:val="left" w:pos="5954"/>
        </w:tabs>
        <w:ind w:left="1134"/>
        <w:rPr>
          <w:lang w:val="fr-CH"/>
        </w:rPr>
      </w:pPr>
      <w:r w:rsidRPr="00424B2B">
        <w:rPr>
          <w:color w:val="000000"/>
          <w:lang w:val="fr-CH"/>
        </w:rPr>
        <w:t>iii)</w:t>
      </w:r>
      <w:r w:rsidRPr="00424B2B">
        <w:rPr>
          <w:color w:val="000000"/>
          <w:lang w:val="fr-CH"/>
        </w:rPr>
        <w:tab/>
        <w:t>possibilités d</w:t>
      </w:r>
      <w:r w:rsidR="009104CD">
        <w:rPr>
          <w:color w:val="000000"/>
          <w:lang w:val="fr-CH"/>
        </w:rPr>
        <w:t>’</w:t>
      </w:r>
      <w:r w:rsidRPr="00424B2B">
        <w:rPr>
          <w:color w:val="000000"/>
          <w:lang w:val="fr-CH"/>
        </w:rPr>
        <w:t>harmonisation des méthodes entre l</w:t>
      </w:r>
      <w:r w:rsidR="009104CD">
        <w:rPr>
          <w:color w:val="000000"/>
          <w:lang w:val="fr-CH"/>
        </w:rPr>
        <w:t>’</w:t>
      </w:r>
      <w:r w:rsidRPr="00424B2B">
        <w:rPr>
          <w:color w:val="000000"/>
          <w:lang w:val="fr-CH"/>
        </w:rPr>
        <w:t>UPOV, l</w:t>
      </w:r>
      <w:r w:rsidR="009104CD">
        <w:rPr>
          <w:color w:val="000000"/>
          <w:lang w:val="fr-CH"/>
        </w:rPr>
        <w:t>’</w:t>
      </w:r>
      <w:r w:rsidRPr="00424B2B">
        <w:rPr>
          <w:color w:val="000000"/>
          <w:lang w:val="fr-CH"/>
        </w:rPr>
        <w:t>OCDE et l</w:t>
      </w:r>
      <w:r w:rsidR="009104CD">
        <w:rPr>
          <w:color w:val="000000"/>
          <w:lang w:val="fr-CH"/>
        </w:rPr>
        <w:t>’</w:t>
      </w:r>
      <w:r w:rsidR="004369C3">
        <w:rPr>
          <w:color w:val="000000"/>
          <w:lang w:val="fr-CH"/>
        </w:rPr>
        <w:t>ISTA;</w:t>
      </w:r>
    </w:p>
    <w:p w:rsidR="00826656" w:rsidRDefault="00826656" w:rsidP="00E705BD">
      <w:pPr>
        <w:tabs>
          <w:tab w:val="left" w:pos="567"/>
          <w:tab w:val="left" w:pos="1134"/>
        </w:tabs>
        <w:jc w:val="left"/>
        <w:rPr>
          <w:rFonts w:cs="Arial"/>
          <w:snapToGrid w:val="0"/>
          <w:szCs w:val="24"/>
          <w:lang w:val="fr-CH" w:eastAsia="ja-JP"/>
        </w:rPr>
      </w:pPr>
    </w:p>
    <w:p w:rsidR="00484441" w:rsidRDefault="00424B2B" w:rsidP="00424B2B">
      <w:pPr>
        <w:tabs>
          <w:tab w:val="left" w:pos="567"/>
          <w:tab w:val="left" w:pos="1134"/>
          <w:tab w:val="left" w:pos="5387"/>
        </w:tabs>
        <w:ind w:firstLine="567"/>
        <w:rPr>
          <w:lang w:val="fr-CH"/>
        </w:rPr>
      </w:pPr>
      <w:r w:rsidRPr="00424B2B">
        <w:rPr>
          <w:color w:val="000000"/>
          <w:lang w:val="fr-CH"/>
        </w:rPr>
        <w:t>b)</w:t>
      </w:r>
      <w:r w:rsidRPr="00424B2B">
        <w:rPr>
          <w:color w:val="000000"/>
          <w:lang w:val="fr-CH"/>
        </w:rPr>
        <w:tab/>
        <w:t>à examiner s</w:t>
      </w:r>
      <w:r w:rsidR="009104CD">
        <w:rPr>
          <w:color w:val="000000"/>
          <w:lang w:val="fr-CH"/>
        </w:rPr>
        <w:t>’</w:t>
      </w:r>
      <w:r w:rsidRPr="00424B2B">
        <w:rPr>
          <w:color w:val="000000"/>
          <w:lang w:val="fr-CH"/>
        </w:rPr>
        <w:t>il convient de poursuivre l</w:t>
      </w:r>
      <w:r w:rsidR="009104CD">
        <w:rPr>
          <w:color w:val="000000"/>
          <w:lang w:val="fr-CH"/>
        </w:rPr>
        <w:t>’</w:t>
      </w:r>
      <w:r w:rsidRPr="00424B2B">
        <w:rPr>
          <w:color w:val="000000"/>
          <w:lang w:val="fr-CH"/>
        </w:rPr>
        <w:t>enquête sur l</w:t>
      </w:r>
      <w:r w:rsidR="009104CD">
        <w:rPr>
          <w:color w:val="000000"/>
          <w:lang w:val="fr-CH"/>
        </w:rPr>
        <w:t>’</w:t>
      </w:r>
      <w:r w:rsidRPr="00424B2B">
        <w:rPr>
          <w:color w:val="000000"/>
          <w:lang w:val="fr-CH"/>
        </w:rPr>
        <w:t>utilisation des marqueurs moléculaires afin de recueillir des informations auprès d</w:t>
      </w:r>
      <w:r w:rsidR="009104CD">
        <w:rPr>
          <w:color w:val="000000"/>
          <w:lang w:val="fr-CH"/>
        </w:rPr>
        <w:t>’</w:t>
      </w:r>
      <w:r w:rsidRPr="00424B2B">
        <w:rPr>
          <w:color w:val="000000"/>
          <w:lang w:val="fr-CH"/>
        </w:rPr>
        <w:t>un plus grand nombre de membres de l</w:t>
      </w:r>
      <w:r w:rsidR="009104CD">
        <w:rPr>
          <w:color w:val="000000"/>
          <w:lang w:val="fr-CH"/>
        </w:rPr>
        <w:t>’</w:t>
      </w:r>
      <w:r w:rsidRPr="00424B2B">
        <w:rPr>
          <w:color w:val="000000"/>
          <w:lang w:val="fr-CH"/>
        </w:rPr>
        <w:t>UPOV;  et</w:t>
      </w:r>
    </w:p>
    <w:p w:rsidR="00826656" w:rsidRDefault="00826656" w:rsidP="00E705BD">
      <w:pPr>
        <w:tabs>
          <w:tab w:val="left" w:pos="567"/>
          <w:tab w:val="left" w:pos="1134"/>
          <w:tab w:val="left" w:pos="5387"/>
        </w:tabs>
        <w:ind w:firstLine="567"/>
        <w:rPr>
          <w:lang w:val="fr-CH"/>
        </w:rPr>
      </w:pPr>
    </w:p>
    <w:p w:rsidR="00826656" w:rsidRDefault="00424B2B" w:rsidP="00424B2B">
      <w:pPr>
        <w:tabs>
          <w:tab w:val="left" w:pos="567"/>
          <w:tab w:val="left" w:pos="1134"/>
          <w:tab w:val="left" w:pos="5387"/>
        </w:tabs>
        <w:ind w:firstLine="567"/>
        <w:rPr>
          <w:lang w:val="fr-CH"/>
        </w:rPr>
      </w:pPr>
      <w:r w:rsidRPr="00424B2B">
        <w:rPr>
          <w:color w:val="000000"/>
          <w:lang w:val="fr-CH"/>
        </w:rPr>
        <w:t>c)</w:t>
      </w:r>
      <w:r w:rsidRPr="00424B2B">
        <w:rPr>
          <w:color w:val="000000"/>
          <w:lang w:val="fr-CH"/>
        </w:rPr>
        <w:tab/>
        <w:t>à examiner les raisons pour lesquelles les membres de l</w:t>
      </w:r>
      <w:r w:rsidR="009104CD">
        <w:rPr>
          <w:color w:val="000000"/>
          <w:lang w:val="fr-CH"/>
        </w:rPr>
        <w:t>’</w:t>
      </w:r>
      <w:r w:rsidRPr="00424B2B">
        <w:rPr>
          <w:color w:val="000000"/>
          <w:lang w:val="fr-CH"/>
        </w:rPr>
        <w:t>Union n</w:t>
      </w:r>
      <w:r w:rsidR="009104CD">
        <w:rPr>
          <w:color w:val="000000"/>
          <w:lang w:val="fr-CH"/>
        </w:rPr>
        <w:t>’</w:t>
      </w:r>
      <w:r w:rsidRPr="00424B2B">
        <w:rPr>
          <w:color w:val="000000"/>
          <w:lang w:val="fr-CH"/>
        </w:rPr>
        <w:t>ont pas répondu à la première enquête.</w:t>
      </w:r>
    </w:p>
    <w:p w:rsidR="00826656" w:rsidRDefault="00826656" w:rsidP="00E705BD">
      <w:pPr>
        <w:jc w:val="left"/>
        <w:rPr>
          <w:rFonts w:cs="Arial"/>
          <w:snapToGrid w:val="0"/>
          <w:szCs w:val="24"/>
          <w:lang w:val="fr-CH" w:eastAsia="ja-JP"/>
        </w:rPr>
      </w:pPr>
    </w:p>
    <w:p w:rsidR="00826656" w:rsidRPr="004369C3" w:rsidRDefault="00E705BD" w:rsidP="00424B2B">
      <w:pPr>
        <w:keepNext/>
        <w:keepLines/>
        <w:rPr>
          <w:lang w:val="fr-CH"/>
        </w:rPr>
      </w:pPr>
      <w:r w:rsidRPr="00FA4478">
        <w:fldChar w:fldCharType="begin"/>
      </w:r>
      <w:r w:rsidRPr="00424B2B">
        <w:rPr>
          <w:lang w:val="fr-CH"/>
        </w:rPr>
        <w:instrText xml:space="preserve"> AUTONUM  </w:instrText>
      </w:r>
      <w:r w:rsidRPr="00FA4478">
        <w:fldChar w:fldCharType="end"/>
      </w:r>
      <w:r w:rsidRPr="00424B2B">
        <w:rPr>
          <w:lang w:val="fr-CH"/>
        </w:rPr>
        <w:tab/>
      </w:r>
      <w:r w:rsidR="00424B2B" w:rsidRPr="004369C3">
        <w:rPr>
          <w:lang w:val="fr-CH"/>
        </w:rPr>
        <w:t>Le présent document est structuré comme suit</w:t>
      </w:r>
      <w:r w:rsidR="009104CD">
        <w:rPr>
          <w:lang w:val="fr-CH"/>
        </w:rPr>
        <w:t> :</w:t>
      </w:r>
    </w:p>
    <w:sdt>
      <w:sdtPr>
        <w:rPr>
          <w:smallCaps/>
          <w:sz w:val="18"/>
          <w:lang w:val="en-US"/>
        </w:rPr>
        <w:id w:val="-1800911247"/>
        <w:docPartObj>
          <w:docPartGallery w:val="Table of Contents"/>
          <w:docPartUnique/>
        </w:docPartObj>
      </w:sdtPr>
      <w:sdtEndPr>
        <w:rPr>
          <w:smallCaps w:val="0"/>
          <w:noProof/>
        </w:rPr>
      </w:sdtEndPr>
      <w:sdtContent>
        <w:p w:rsidR="00826656" w:rsidRDefault="00826656" w:rsidP="00E705BD">
          <w:pPr>
            <w:keepNext/>
            <w:keepLines/>
            <w:rPr>
              <w:rFonts w:cs="Arial"/>
              <w:b/>
              <w:sz w:val="18"/>
            </w:rPr>
          </w:pPr>
        </w:p>
        <w:p w:rsidR="002F6A6F" w:rsidRDefault="002F6A6F">
          <w:pPr>
            <w:pStyle w:val="TOC1"/>
            <w:rPr>
              <w:rFonts w:asciiTheme="minorHAnsi" w:eastAsiaTheme="minorEastAsia" w:hAnsiTheme="minorHAnsi" w:cstheme="minorBidi"/>
              <w:caps w:val="0"/>
              <w:noProof/>
              <w:sz w:val="22"/>
              <w:szCs w:val="22"/>
            </w:rPr>
          </w:pPr>
          <w:r>
            <w:rPr>
              <w:rFonts w:cs="Arial"/>
              <w:szCs w:val="18"/>
              <w:lang w:eastAsia="ja-JP"/>
            </w:rPr>
            <w:fldChar w:fldCharType="begin"/>
          </w:r>
          <w:r>
            <w:rPr>
              <w:rFonts w:cs="Arial"/>
              <w:szCs w:val="18"/>
              <w:lang w:eastAsia="ja-JP"/>
            </w:rPr>
            <w:instrText xml:space="preserve"> TOC \o "1-3" \h \z \u </w:instrText>
          </w:r>
          <w:r>
            <w:rPr>
              <w:rFonts w:cs="Arial"/>
              <w:szCs w:val="18"/>
              <w:lang w:eastAsia="ja-JP"/>
            </w:rPr>
            <w:fldChar w:fldCharType="separate"/>
          </w:r>
          <w:hyperlink w:anchor="_Toc85632852" w:history="1">
            <w:r w:rsidRPr="00E07C33">
              <w:rPr>
                <w:rStyle w:val="Hyperlink"/>
                <w:noProof/>
                <w:snapToGrid w:val="0"/>
                <w:lang w:eastAsia="ja-JP"/>
              </w:rPr>
              <w:t>RÉSUMÉ</w:t>
            </w:r>
            <w:r>
              <w:rPr>
                <w:noProof/>
                <w:webHidden/>
              </w:rPr>
              <w:tab/>
            </w:r>
            <w:r>
              <w:rPr>
                <w:noProof/>
                <w:webHidden/>
              </w:rPr>
              <w:fldChar w:fldCharType="begin"/>
            </w:r>
            <w:r>
              <w:rPr>
                <w:noProof/>
                <w:webHidden/>
              </w:rPr>
              <w:instrText xml:space="preserve"> PAGEREF _Toc85632852 \h </w:instrText>
            </w:r>
            <w:r>
              <w:rPr>
                <w:noProof/>
                <w:webHidden/>
              </w:rPr>
            </w:r>
            <w:r>
              <w:rPr>
                <w:noProof/>
                <w:webHidden/>
              </w:rPr>
              <w:fldChar w:fldCharType="separate"/>
            </w:r>
            <w:r>
              <w:rPr>
                <w:noProof/>
                <w:webHidden/>
              </w:rPr>
              <w:t>1</w:t>
            </w:r>
            <w:r>
              <w:rPr>
                <w:noProof/>
                <w:webHidden/>
              </w:rPr>
              <w:fldChar w:fldCharType="end"/>
            </w:r>
          </w:hyperlink>
        </w:p>
        <w:p w:rsidR="002F6A6F" w:rsidRDefault="00F346D6">
          <w:pPr>
            <w:pStyle w:val="TOC1"/>
            <w:rPr>
              <w:rFonts w:asciiTheme="minorHAnsi" w:eastAsiaTheme="minorEastAsia" w:hAnsiTheme="minorHAnsi" w:cstheme="minorBidi"/>
              <w:caps w:val="0"/>
              <w:noProof/>
              <w:sz w:val="22"/>
              <w:szCs w:val="22"/>
            </w:rPr>
          </w:pPr>
          <w:hyperlink w:anchor="_Toc85632853" w:history="1">
            <w:r w:rsidR="002F6A6F" w:rsidRPr="00E07C33">
              <w:rPr>
                <w:rStyle w:val="Hyperlink"/>
                <w:noProof/>
                <w:lang w:eastAsia="ja-JP"/>
              </w:rPr>
              <w:t>Coopération entre organisations internationales</w:t>
            </w:r>
            <w:r w:rsidR="002F6A6F">
              <w:rPr>
                <w:noProof/>
                <w:webHidden/>
              </w:rPr>
              <w:tab/>
            </w:r>
            <w:r w:rsidR="002F6A6F">
              <w:rPr>
                <w:noProof/>
                <w:webHidden/>
              </w:rPr>
              <w:fldChar w:fldCharType="begin"/>
            </w:r>
            <w:r w:rsidR="002F6A6F">
              <w:rPr>
                <w:noProof/>
                <w:webHidden/>
              </w:rPr>
              <w:instrText xml:space="preserve"> PAGEREF _Toc85632853 \h </w:instrText>
            </w:r>
            <w:r w:rsidR="002F6A6F">
              <w:rPr>
                <w:noProof/>
                <w:webHidden/>
              </w:rPr>
            </w:r>
            <w:r w:rsidR="002F6A6F">
              <w:rPr>
                <w:noProof/>
                <w:webHidden/>
              </w:rPr>
              <w:fldChar w:fldCharType="separate"/>
            </w:r>
            <w:r w:rsidR="002F6A6F">
              <w:rPr>
                <w:noProof/>
                <w:webHidden/>
              </w:rPr>
              <w:t>2</w:t>
            </w:r>
            <w:r w:rsidR="002F6A6F">
              <w:rPr>
                <w:noProof/>
                <w:webHidden/>
              </w:rPr>
              <w:fldChar w:fldCharType="end"/>
            </w:r>
          </w:hyperlink>
        </w:p>
        <w:p w:rsidR="002F6A6F" w:rsidRDefault="00F346D6">
          <w:pPr>
            <w:pStyle w:val="TOC2"/>
            <w:rPr>
              <w:rFonts w:asciiTheme="minorHAnsi" w:eastAsiaTheme="minorEastAsia" w:hAnsiTheme="minorHAnsi" w:cstheme="minorBidi"/>
              <w:noProof/>
              <w:sz w:val="22"/>
              <w:szCs w:val="22"/>
            </w:rPr>
          </w:pPr>
          <w:hyperlink w:anchor="_Toc85632854" w:history="1">
            <w:r w:rsidR="002F6A6F" w:rsidRPr="00E07C33">
              <w:rPr>
                <w:rStyle w:val="Hyperlink"/>
                <w:noProof/>
                <w:lang w:val="fr-CH"/>
              </w:rPr>
              <w:t>Listes d’initiatives conjointes possibles avec l’OCDE et l’ISTA dans le domaine des techniques moléculaires</w:t>
            </w:r>
            <w:r w:rsidR="002F6A6F">
              <w:rPr>
                <w:noProof/>
                <w:webHidden/>
              </w:rPr>
              <w:tab/>
            </w:r>
            <w:r w:rsidR="002F6A6F">
              <w:rPr>
                <w:noProof/>
                <w:webHidden/>
              </w:rPr>
              <w:fldChar w:fldCharType="begin"/>
            </w:r>
            <w:r w:rsidR="002F6A6F">
              <w:rPr>
                <w:noProof/>
                <w:webHidden/>
              </w:rPr>
              <w:instrText xml:space="preserve"> PAGEREF _Toc85632854 \h </w:instrText>
            </w:r>
            <w:r w:rsidR="002F6A6F">
              <w:rPr>
                <w:noProof/>
                <w:webHidden/>
              </w:rPr>
            </w:r>
            <w:r w:rsidR="002F6A6F">
              <w:rPr>
                <w:noProof/>
                <w:webHidden/>
              </w:rPr>
              <w:fldChar w:fldCharType="separate"/>
            </w:r>
            <w:r w:rsidR="002F6A6F">
              <w:rPr>
                <w:noProof/>
                <w:webHidden/>
              </w:rPr>
              <w:t>2</w:t>
            </w:r>
            <w:r w:rsidR="002F6A6F">
              <w:rPr>
                <w:noProof/>
                <w:webHidden/>
              </w:rPr>
              <w:fldChar w:fldCharType="end"/>
            </w:r>
          </w:hyperlink>
        </w:p>
        <w:p w:rsidR="002F6A6F" w:rsidRDefault="00F346D6">
          <w:pPr>
            <w:pStyle w:val="TOC2"/>
            <w:rPr>
              <w:rFonts w:asciiTheme="minorHAnsi" w:eastAsiaTheme="minorEastAsia" w:hAnsiTheme="minorHAnsi" w:cstheme="minorBidi"/>
              <w:noProof/>
              <w:sz w:val="22"/>
              <w:szCs w:val="22"/>
            </w:rPr>
          </w:pPr>
          <w:hyperlink w:anchor="_Toc85632855" w:history="1">
            <w:r w:rsidR="002F6A6F" w:rsidRPr="00E07C33">
              <w:rPr>
                <w:rStyle w:val="Hyperlink"/>
                <w:noProof/>
                <w:lang w:val="fr-CH"/>
              </w:rPr>
              <w:t>Document commun présentant les particularités des systèmes de l’OCDE, de l’UPOV et de l’ISTA</w:t>
            </w:r>
            <w:r w:rsidR="002F6A6F">
              <w:rPr>
                <w:noProof/>
                <w:webHidden/>
              </w:rPr>
              <w:tab/>
            </w:r>
            <w:r w:rsidR="002F6A6F">
              <w:rPr>
                <w:noProof/>
                <w:webHidden/>
              </w:rPr>
              <w:fldChar w:fldCharType="begin"/>
            </w:r>
            <w:r w:rsidR="002F6A6F">
              <w:rPr>
                <w:noProof/>
                <w:webHidden/>
              </w:rPr>
              <w:instrText xml:space="preserve"> PAGEREF _Toc85632855 \h </w:instrText>
            </w:r>
            <w:r w:rsidR="002F6A6F">
              <w:rPr>
                <w:noProof/>
                <w:webHidden/>
              </w:rPr>
            </w:r>
            <w:r w:rsidR="002F6A6F">
              <w:rPr>
                <w:noProof/>
                <w:webHidden/>
              </w:rPr>
              <w:fldChar w:fldCharType="separate"/>
            </w:r>
            <w:r w:rsidR="002F6A6F">
              <w:rPr>
                <w:noProof/>
                <w:webHidden/>
              </w:rPr>
              <w:t>3</w:t>
            </w:r>
            <w:r w:rsidR="002F6A6F">
              <w:rPr>
                <w:noProof/>
                <w:webHidden/>
              </w:rPr>
              <w:fldChar w:fldCharType="end"/>
            </w:r>
          </w:hyperlink>
        </w:p>
        <w:p w:rsidR="002F6A6F" w:rsidRDefault="00F346D6">
          <w:pPr>
            <w:pStyle w:val="TOC2"/>
            <w:rPr>
              <w:rFonts w:asciiTheme="minorHAnsi" w:eastAsiaTheme="minorEastAsia" w:hAnsiTheme="minorHAnsi" w:cstheme="minorBidi"/>
              <w:noProof/>
              <w:sz w:val="22"/>
              <w:szCs w:val="22"/>
            </w:rPr>
          </w:pPr>
          <w:hyperlink w:anchor="_Toc85632856" w:history="1">
            <w:r w:rsidR="002F6A6F" w:rsidRPr="00E07C33">
              <w:rPr>
                <w:rStyle w:val="Hyperlink"/>
                <w:noProof/>
                <w:lang w:val="fr-CH"/>
              </w:rPr>
              <w:t>Inventaire, par plante, de l’utilisation des techniques faisant intervenir des marqueurs moléculaires</w:t>
            </w:r>
            <w:r w:rsidR="002F6A6F">
              <w:rPr>
                <w:noProof/>
                <w:webHidden/>
              </w:rPr>
              <w:tab/>
            </w:r>
            <w:r w:rsidR="002F6A6F">
              <w:rPr>
                <w:noProof/>
                <w:webHidden/>
              </w:rPr>
              <w:fldChar w:fldCharType="begin"/>
            </w:r>
            <w:r w:rsidR="002F6A6F">
              <w:rPr>
                <w:noProof/>
                <w:webHidden/>
              </w:rPr>
              <w:instrText xml:space="preserve"> PAGEREF _Toc85632856 \h </w:instrText>
            </w:r>
            <w:r w:rsidR="002F6A6F">
              <w:rPr>
                <w:noProof/>
                <w:webHidden/>
              </w:rPr>
            </w:r>
            <w:r w:rsidR="002F6A6F">
              <w:rPr>
                <w:noProof/>
                <w:webHidden/>
              </w:rPr>
              <w:fldChar w:fldCharType="separate"/>
            </w:r>
            <w:r w:rsidR="002F6A6F">
              <w:rPr>
                <w:noProof/>
                <w:webHidden/>
              </w:rPr>
              <w:t>3</w:t>
            </w:r>
            <w:r w:rsidR="002F6A6F">
              <w:rPr>
                <w:noProof/>
                <w:webHidden/>
              </w:rPr>
              <w:fldChar w:fldCharType="end"/>
            </w:r>
          </w:hyperlink>
        </w:p>
        <w:p w:rsidR="002F6A6F" w:rsidRDefault="00F346D6">
          <w:pPr>
            <w:pStyle w:val="TOC2"/>
            <w:rPr>
              <w:rFonts w:asciiTheme="minorHAnsi" w:eastAsiaTheme="minorEastAsia" w:hAnsiTheme="minorHAnsi" w:cstheme="minorBidi"/>
              <w:noProof/>
              <w:sz w:val="22"/>
              <w:szCs w:val="22"/>
            </w:rPr>
          </w:pPr>
          <w:hyperlink w:anchor="_Toc85632857" w:history="1">
            <w:r w:rsidR="002F6A6F" w:rsidRPr="00E07C33">
              <w:rPr>
                <w:rStyle w:val="Hyperlink"/>
                <w:noProof/>
                <w:lang w:val="fr-CH"/>
              </w:rPr>
              <w:t>Association internationale d’essais de semences</w:t>
            </w:r>
            <w:r w:rsidR="002F6A6F">
              <w:rPr>
                <w:noProof/>
                <w:webHidden/>
              </w:rPr>
              <w:tab/>
            </w:r>
            <w:r w:rsidR="002F6A6F">
              <w:rPr>
                <w:noProof/>
                <w:webHidden/>
              </w:rPr>
              <w:fldChar w:fldCharType="begin"/>
            </w:r>
            <w:r w:rsidR="002F6A6F">
              <w:rPr>
                <w:noProof/>
                <w:webHidden/>
              </w:rPr>
              <w:instrText xml:space="preserve"> PAGEREF _Toc85632857 \h </w:instrText>
            </w:r>
            <w:r w:rsidR="002F6A6F">
              <w:rPr>
                <w:noProof/>
                <w:webHidden/>
              </w:rPr>
            </w:r>
            <w:r w:rsidR="002F6A6F">
              <w:rPr>
                <w:noProof/>
                <w:webHidden/>
              </w:rPr>
              <w:fldChar w:fldCharType="separate"/>
            </w:r>
            <w:r w:rsidR="002F6A6F">
              <w:rPr>
                <w:noProof/>
                <w:webHidden/>
              </w:rPr>
              <w:t>3</w:t>
            </w:r>
            <w:r w:rsidR="002F6A6F">
              <w:rPr>
                <w:noProof/>
                <w:webHidden/>
              </w:rPr>
              <w:fldChar w:fldCharType="end"/>
            </w:r>
          </w:hyperlink>
        </w:p>
        <w:p w:rsidR="002F6A6F" w:rsidRDefault="00F346D6">
          <w:pPr>
            <w:pStyle w:val="TOC2"/>
            <w:rPr>
              <w:rFonts w:asciiTheme="minorHAnsi" w:eastAsiaTheme="minorEastAsia" w:hAnsiTheme="minorHAnsi" w:cstheme="minorBidi"/>
              <w:noProof/>
              <w:sz w:val="22"/>
              <w:szCs w:val="22"/>
            </w:rPr>
          </w:pPr>
          <w:hyperlink w:anchor="_Toc85632858" w:history="1">
            <w:r w:rsidR="002F6A6F" w:rsidRPr="00E07C33">
              <w:rPr>
                <w:rStyle w:val="Hyperlink"/>
                <w:rFonts w:cs="Arial"/>
                <w:noProof/>
                <w:lang w:val="fr-CH"/>
              </w:rPr>
              <w:t>Organisation de coopération et de développement économiques</w:t>
            </w:r>
            <w:r w:rsidR="002F6A6F">
              <w:rPr>
                <w:noProof/>
                <w:webHidden/>
              </w:rPr>
              <w:tab/>
            </w:r>
            <w:r w:rsidR="002F6A6F">
              <w:rPr>
                <w:noProof/>
                <w:webHidden/>
              </w:rPr>
              <w:fldChar w:fldCharType="begin"/>
            </w:r>
            <w:r w:rsidR="002F6A6F">
              <w:rPr>
                <w:noProof/>
                <w:webHidden/>
              </w:rPr>
              <w:instrText xml:space="preserve"> PAGEREF _Toc85632858 \h </w:instrText>
            </w:r>
            <w:r w:rsidR="002F6A6F">
              <w:rPr>
                <w:noProof/>
                <w:webHidden/>
              </w:rPr>
            </w:r>
            <w:r w:rsidR="002F6A6F">
              <w:rPr>
                <w:noProof/>
                <w:webHidden/>
              </w:rPr>
              <w:fldChar w:fldCharType="separate"/>
            </w:r>
            <w:r w:rsidR="002F6A6F">
              <w:rPr>
                <w:noProof/>
                <w:webHidden/>
              </w:rPr>
              <w:t>3</w:t>
            </w:r>
            <w:r w:rsidR="002F6A6F">
              <w:rPr>
                <w:noProof/>
                <w:webHidden/>
              </w:rPr>
              <w:fldChar w:fldCharType="end"/>
            </w:r>
          </w:hyperlink>
        </w:p>
        <w:p w:rsidR="002F6A6F" w:rsidRDefault="00F346D6">
          <w:pPr>
            <w:pStyle w:val="TOC1"/>
            <w:rPr>
              <w:rFonts w:asciiTheme="minorHAnsi" w:eastAsiaTheme="minorEastAsia" w:hAnsiTheme="minorHAnsi" w:cstheme="minorBidi"/>
              <w:caps w:val="0"/>
              <w:noProof/>
              <w:sz w:val="22"/>
              <w:szCs w:val="22"/>
            </w:rPr>
          </w:pPr>
          <w:hyperlink w:anchor="_Toc85632859" w:history="1">
            <w:r w:rsidR="002F6A6F" w:rsidRPr="00E07C33">
              <w:rPr>
                <w:rStyle w:val="Hyperlink"/>
                <w:noProof/>
              </w:rPr>
              <w:t>RÉUNION DESTINÉE À FAVORISER LA COOPÉRATION DANS L’UTILISATION DES TECHNIQUES MOLÉCULAIRES</w:t>
            </w:r>
            <w:r w:rsidR="002F6A6F">
              <w:rPr>
                <w:noProof/>
                <w:webHidden/>
              </w:rPr>
              <w:tab/>
            </w:r>
            <w:r w:rsidR="002F6A6F">
              <w:rPr>
                <w:noProof/>
                <w:webHidden/>
              </w:rPr>
              <w:fldChar w:fldCharType="begin"/>
            </w:r>
            <w:r w:rsidR="002F6A6F">
              <w:rPr>
                <w:noProof/>
                <w:webHidden/>
              </w:rPr>
              <w:instrText xml:space="preserve"> PAGEREF _Toc85632859 \h </w:instrText>
            </w:r>
            <w:r w:rsidR="002F6A6F">
              <w:rPr>
                <w:noProof/>
                <w:webHidden/>
              </w:rPr>
            </w:r>
            <w:r w:rsidR="002F6A6F">
              <w:rPr>
                <w:noProof/>
                <w:webHidden/>
              </w:rPr>
              <w:fldChar w:fldCharType="separate"/>
            </w:r>
            <w:r w:rsidR="002F6A6F">
              <w:rPr>
                <w:noProof/>
                <w:webHidden/>
              </w:rPr>
              <w:t>4</w:t>
            </w:r>
            <w:r w:rsidR="002F6A6F">
              <w:rPr>
                <w:noProof/>
                <w:webHidden/>
              </w:rPr>
              <w:fldChar w:fldCharType="end"/>
            </w:r>
          </w:hyperlink>
        </w:p>
        <w:p w:rsidR="002F6A6F" w:rsidRDefault="00F346D6">
          <w:pPr>
            <w:pStyle w:val="TOC2"/>
            <w:rPr>
              <w:rFonts w:asciiTheme="minorHAnsi" w:eastAsiaTheme="minorEastAsia" w:hAnsiTheme="minorHAnsi" w:cstheme="minorBidi"/>
              <w:noProof/>
              <w:sz w:val="22"/>
              <w:szCs w:val="22"/>
            </w:rPr>
          </w:pPr>
          <w:hyperlink w:anchor="_Toc85632860" w:history="1">
            <w:r w:rsidR="002F6A6F" w:rsidRPr="00E07C33">
              <w:rPr>
                <w:rStyle w:val="Hyperlink"/>
                <w:noProof/>
                <w:lang w:val="fr-CH"/>
              </w:rPr>
              <w:t>Groupes de travail techniques (TWP)</w:t>
            </w:r>
            <w:r w:rsidR="002F6A6F">
              <w:rPr>
                <w:noProof/>
                <w:webHidden/>
              </w:rPr>
              <w:tab/>
            </w:r>
            <w:r w:rsidR="002F6A6F">
              <w:rPr>
                <w:noProof/>
                <w:webHidden/>
              </w:rPr>
              <w:fldChar w:fldCharType="begin"/>
            </w:r>
            <w:r w:rsidR="002F6A6F">
              <w:rPr>
                <w:noProof/>
                <w:webHidden/>
              </w:rPr>
              <w:instrText xml:space="preserve"> PAGEREF _Toc85632860 \h </w:instrText>
            </w:r>
            <w:r w:rsidR="002F6A6F">
              <w:rPr>
                <w:noProof/>
                <w:webHidden/>
              </w:rPr>
            </w:r>
            <w:r w:rsidR="002F6A6F">
              <w:rPr>
                <w:noProof/>
                <w:webHidden/>
              </w:rPr>
              <w:fldChar w:fldCharType="separate"/>
            </w:r>
            <w:r w:rsidR="002F6A6F">
              <w:rPr>
                <w:noProof/>
                <w:webHidden/>
              </w:rPr>
              <w:t>4</w:t>
            </w:r>
            <w:r w:rsidR="002F6A6F">
              <w:rPr>
                <w:noProof/>
                <w:webHidden/>
              </w:rPr>
              <w:fldChar w:fldCharType="end"/>
            </w:r>
          </w:hyperlink>
        </w:p>
        <w:p w:rsidR="002F6A6F" w:rsidRDefault="00F346D6">
          <w:pPr>
            <w:pStyle w:val="TOC2"/>
            <w:rPr>
              <w:rFonts w:asciiTheme="minorHAnsi" w:eastAsiaTheme="minorEastAsia" w:hAnsiTheme="minorHAnsi" w:cstheme="minorBidi"/>
              <w:noProof/>
              <w:sz w:val="22"/>
              <w:szCs w:val="22"/>
            </w:rPr>
          </w:pPr>
          <w:hyperlink w:anchor="_Toc85632861" w:history="1">
            <w:r w:rsidR="002F6A6F" w:rsidRPr="00E07C33">
              <w:rPr>
                <w:rStyle w:val="Hyperlink"/>
                <w:noProof/>
                <w:lang w:val="fr-CH"/>
              </w:rPr>
              <w:t>Groupe de travail sur les techniques biochimiques et moléculaires, notamment les profils d’ADN (BMT)</w:t>
            </w:r>
            <w:r w:rsidR="002F6A6F">
              <w:rPr>
                <w:noProof/>
                <w:webHidden/>
              </w:rPr>
              <w:tab/>
            </w:r>
            <w:r w:rsidR="002F6A6F">
              <w:rPr>
                <w:noProof/>
                <w:webHidden/>
              </w:rPr>
              <w:fldChar w:fldCharType="begin"/>
            </w:r>
            <w:r w:rsidR="002F6A6F">
              <w:rPr>
                <w:noProof/>
                <w:webHidden/>
              </w:rPr>
              <w:instrText xml:space="preserve"> PAGEREF _Toc85632861 \h </w:instrText>
            </w:r>
            <w:r w:rsidR="002F6A6F">
              <w:rPr>
                <w:noProof/>
                <w:webHidden/>
              </w:rPr>
            </w:r>
            <w:r w:rsidR="002F6A6F">
              <w:rPr>
                <w:noProof/>
                <w:webHidden/>
              </w:rPr>
              <w:fldChar w:fldCharType="separate"/>
            </w:r>
            <w:r w:rsidR="002F6A6F">
              <w:rPr>
                <w:noProof/>
                <w:webHidden/>
              </w:rPr>
              <w:t>4</w:t>
            </w:r>
            <w:r w:rsidR="002F6A6F">
              <w:rPr>
                <w:noProof/>
                <w:webHidden/>
              </w:rPr>
              <w:fldChar w:fldCharType="end"/>
            </w:r>
          </w:hyperlink>
        </w:p>
        <w:p w:rsidR="00826656" w:rsidRDefault="002F6A6F" w:rsidP="000F467F">
          <w:pPr>
            <w:pStyle w:val="TOC2"/>
            <w:rPr>
              <w:noProof/>
            </w:rPr>
          </w:pPr>
          <w:r>
            <w:rPr>
              <w:rFonts w:cs="Arial"/>
              <w:szCs w:val="18"/>
              <w:lang w:eastAsia="ja-JP"/>
            </w:rPr>
            <w:fldChar w:fldCharType="end"/>
          </w:r>
        </w:p>
      </w:sdtContent>
    </w:sdt>
    <w:p w:rsidR="00826656" w:rsidRDefault="00424B2B" w:rsidP="00424B2B">
      <w:pPr>
        <w:rPr>
          <w:sz w:val="18"/>
          <w:lang w:val="fr-CH"/>
        </w:rPr>
      </w:pPr>
      <w:r w:rsidRPr="00424B2B">
        <w:rPr>
          <w:color w:val="000000"/>
          <w:sz w:val="18"/>
          <w:lang w:val="fr-CH"/>
        </w:rPr>
        <w:t>Annexe</w:t>
      </w:r>
      <w:r w:rsidR="009104CD">
        <w:rPr>
          <w:color w:val="000000"/>
          <w:sz w:val="18"/>
          <w:lang w:val="fr-CH"/>
        </w:rPr>
        <w:t> :</w:t>
      </w:r>
      <w:r w:rsidRPr="00424B2B">
        <w:rPr>
          <w:color w:val="000000"/>
          <w:sz w:val="18"/>
          <w:lang w:val="fr-CH"/>
        </w:rPr>
        <w:t xml:space="preserve"> Enquête auprès des participants de la vingt</w:t>
      </w:r>
      <w:r w:rsidR="009104CD">
        <w:rPr>
          <w:color w:val="000000"/>
          <w:sz w:val="18"/>
          <w:lang w:val="fr-CH"/>
        </w:rPr>
        <w:t>ième session</w:t>
      </w:r>
      <w:r w:rsidR="00484441" w:rsidRPr="00424B2B">
        <w:rPr>
          <w:color w:val="000000"/>
          <w:sz w:val="18"/>
          <w:lang w:val="fr-CH"/>
        </w:rPr>
        <w:t xml:space="preserve"> du</w:t>
      </w:r>
      <w:r w:rsidR="00484441">
        <w:rPr>
          <w:color w:val="000000"/>
          <w:sz w:val="18"/>
          <w:lang w:val="fr-CH"/>
        </w:rPr>
        <w:t> </w:t>
      </w:r>
      <w:r w:rsidR="00484441" w:rsidRPr="00424B2B">
        <w:rPr>
          <w:color w:val="000000"/>
          <w:sz w:val="18"/>
          <w:lang w:val="fr-CH"/>
        </w:rPr>
        <w:t>BMT</w:t>
      </w:r>
      <w:r w:rsidRPr="00424B2B">
        <w:rPr>
          <w:color w:val="000000"/>
          <w:sz w:val="18"/>
          <w:lang w:val="fr-CH"/>
        </w:rPr>
        <w:t xml:space="preserve"> sur la coopération avec l</w:t>
      </w:r>
      <w:r w:rsidR="009104CD">
        <w:rPr>
          <w:color w:val="000000"/>
          <w:sz w:val="18"/>
          <w:lang w:val="fr-CH"/>
        </w:rPr>
        <w:t>’</w:t>
      </w:r>
      <w:r w:rsidRPr="00424B2B">
        <w:rPr>
          <w:color w:val="000000"/>
          <w:sz w:val="18"/>
          <w:lang w:val="fr-CH"/>
        </w:rPr>
        <w:t>OCDE et l</w:t>
      </w:r>
      <w:r w:rsidR="009104CD">
        <w:rPr>
          <w:color w:val="000000"/>
          <w:sz w:val="18"/>
          <w:lang w:val="fr-CH"/>
        </w:rPr>
        <w:t>’</w:t>
      </w:r>
      <w:r w:rsidRPr="00424B2B">
        <w:rPr>
          <w:color w:val="000000"/>
          <w:sz w:val="18"/>
          <w:lang w:val="fr-CH"/>
        </w:rPr>
        <w:t>ISTA</w:t>
      </w:r>
    </w:p>
    <w:p w:rsidR="00826656" w:rsidRPr="004369C3" w:rsidRDefault="00E705BD" w:rsidP="000F467F">
      <w:pPr>
        <w:keepNext/>
        <w:keepLines/>
        <w:rPr>
          <w:lang w:val="fr-CH"/>
        </w:rPr>
      </w:pPr>
      <w:r w:rsidRPr="00FA4478">
        <w:lastRenderedPageBreak/>
        <w:fldChar w:fldCharType="begin"/>
      </w:r>
      <w:r w:rsidRPr="00424B2B">
        <w:rPr>
          <w:lang w:val="fr-CH"/>
        </w:rPr>
        <w:instrText xml:space="preserve"> AUTONUM  </w:instrText>
      </w:r>
      <w:r w:rsidRPr="00FA4478">
        <w:fldChar w:fldCharType="end"/>
      </w:r>
      <w:r w:rsidRPr="00424B2B">
        <w:rPr>
          <w:lang w:val="fr-CH"/>
        </w:rPr>
        <w:tab/>
      </w:r>
      <w:r w:rsidR="00424B2B" w:rsidRPr="004369C3">
        <w:rPr>
          <w:lang w:val="fr-CH"/>
        </w:rPr>
        <w:t>Les abréviations suivantes sont utilisées dans le présent document</w:t>
      </w:r>
      <w:r w:rsidR="009104CD">
        <w:rPr>
          <w:lang w:val="fr-CH"/>
        </w:rPr>
        <w:t> :</w:t>
      </w:r>
    </w:p>
    <w:p w:rsidR="00826656" w:rsidRPr="004369C3" w:rsidRDefault="00826656" w:rsidP="000F467F">
      <w:pPr>
        <w:keepNext/>
        <w:keepLines/>
        <w:rPr>
          <w:lang w:val="fr-CH"/>
        </w:rPr>
      </w:pPr>
    </w:p>
    <w:p w:rsidR="00484441" w:rsidRPr="004369C3" w:rsidRDefault="00424B2B" w:rsidP="000F467F">
      <w:pPr>
        <w:keepNext/>
        <w:keepLines/>
        <w:tabs>
          <w:tab w:val="left" w:pos="567"/>
        </w:tabs>
        <w:ind w:left="1701" w:hanging="1134"/>
        <w:rPr>
          <w:sz w:val="18"/>
          <w:lang w:val="fr-CH"/>
        </w:rPr>
      </w:pPr>
      <w:r w:rsidRPr="004369C3">
        <w:rPr>
          <w:sz w:val="18"/>
          <w:lang w:val="fr-CH"/>
        </w:rPr>
        <w:t>BMT</w:t>
      </w:r>
      <w:r w:rsidR="009104CD">
        <w:rPr>
          <w:sz w:val="18"/>
          <w:lang w:val="fr-CH"/>
        </w:rPr>
        <w:t> :</w:t>
      </w:r>
      <w:r w:rsidRPr="004369C3">
        <w:rPr>
          <w:sz w:val="18"/>
          <w:lang w:val="fr-CH"/>
        </w:rPr>
        <w:tab/>
        <w:t>Groupe de travail sur les techniques biochimiques et moléculaires, notamment les profils d</w:t>
      </w:r>
      <w:r w:rsidR="009104CD">
        <w:rPr>
          <w:sz w:val="18"/>
          <w:lang w:val="fr-CH"/>
        </w:rPr>
        <w:t>’</w:t>
      </w:r>
      <w:r w:rsidRPr="004369C3">
        <w:rPr>
          <w:sz w:val="18"/>
          <w:lang w:val="fr-CH"/>
        </w:rPr>
        <w:t>ADN</w:t>
      </w:r>
    </w:p>
    <w:p w:rsidR="00826656" w:rsidRPr="004369C3" w:rsidRDefault="00424B2B" w:rsidP="000F467F">
      <w:pPr>
        <w:keepNext/>
        <w:keepLines/>
        <w:ind w:left="1701" w:hanging="1134"/>
        <w:rPr>
          <w:rFonts w:cs="Arial"/>
          <w:snapToGrid w:val="0"/>
          <w:sz w:val="18"/>
          <w:szCs w:val="24"/>
          <w:lang w:val="fr-CH" w:eastAsia="ja-JP"/>
        </w:rPr>
      </w:pPr>
      <w:r w:rsidRPr="004369C3">
        <w:rPr>
          <w:rFonts w:cs="Arial"/>
          <w:snapToGrid w:val="0"/>
          <w:sz w:val="18"/>
          <w:szCs w:val="24"/>
          <w:lang w:val="fr-CH" w:eastAsia="ja-JP"/>
        </w:rPr>
        <w:t>ISTA</w:t>
      </w:r>
      <w:r w:rsidR="009104CD">
        <w:rPr>
          <w:rFonts w:cs="Arial"/>
          <w:snapToGrid w:val="0"/>
          <w:sz w:val="18"/>
          <w:szCs w:val="24"/>
          <w:lang w:val="fr-CH" w:eastAsia="ja-JP"/>
        </w:rPr>
        <w:t> :</w:t>
      </w:r>
      <w:r w:rsidRPr="004369C3">
        <w:rPr>
          <w:sz w:val="18"/>
          <w:lang w:val="fr-CH"/>
        </w:rPr>
        <w:tab/>
      </w:r>
      <w:r w:rsidRPr="004369C3">
        <w:rPr>
          <w:rFonts w:cs="Arial"/>
          <w:snapToGrid w:val="0"/>
          <w:sz w:val="18"/>
          <w:szCs w:val="24"/>
          <w:lang w:val="fr-CH" w:eastAsia="ja-JP"/>
        </w:rPr>
        <w:t>Association internationale d</w:t>
      </w:r>
      <w:r w:rsidR="009104CD">
        <w:rPr>
          <w:rFonts w:cs="Arial"/>
          <w:snapToGrid w:val="0"/>
          <w:sz w:val="18"/>
          <w:szCs w:val="24"/>
          <w:lang w:val="fr-CH" w:eastAsia="ja-JP"/>
        </w:rPr>
        <w:t>’</w:t>
      </w:r>
      <w:r w:rsidRPr="004369C3">
        <w:rPr>
          <w:rFonts w:cs="Arial"/>
          <w:snapToGrid w:val="0"/>
          <w:sz w:val="18"/>
          <w:szCs w:val="24"/>
          <w:lang w:val="fr-CH" w:eastAsia="ja-JP"/>
        </w:rPr>
        <w:t>essais de semences</w:t>
      </w:r>
    </w:p>
    <w:p w:rsidR="00826656" w:rsidRPr="004369C3" w:rsidRDefault="00424B2B" w:rsidP="000F467F">
      <w:pPr>
        <w:keepNext/>
        <w:keepLines/>
        <w:ind w:left="1701" w:hanging="1134"/>
        <w:rPr>
          <w:rFonts w:eastAsia="PMingLiU" w:cs="Arial"/>
          <w:snapToGrid w:val="0"/>
          <w:sz w:val="18"/>
          <w:szCs w:val="24"/>
          <w:lang w:val="fr-CH"/>
        </w:rPr>
      </w:pPr>
      <w:r w:rsidRPr="004369C3">
        <w:rPr>
          <w:rFonts w:eastAsia="PMingLiU" w:cs="Arial"/>
          <w:snapToGrid w:val="0"/>
          <w:sz w:val="18"/>
          <w:szCs w:val="24"/>
          <w:lang w:val="fr-CH"/>
        </w:rPr>
        <w:t>OCDE</w:t>
      </w:r>
      <w:r w:rsidR="009104CD">
        <w:rPr>
          <w:rFonts w:eastAsia="PMingLiU" w:cs="Arial"/>
          <w:snapToGrid w:val="0"/>
          <w:sz w:val="18"/>
          <w:szCs w:val="24"/>
          <w:lang w:val="fr-CH"/>
        </w:rPr>
        <w:t> :</w:t>
      </w:r>
      <w:r w:rsidRPr="004369C3">
        <w:rPr>
          <w:rFonts w:eastAsia="PMingLiU"/>
          <w:sz w:val="18"/>
          <w:lang w:val="fr-CH"/>
        </w:rPr>
        <w:tab/>
      </w:r>
      <w:r w:rsidRPr="004369C3">
        <w:rPr>
          <w:rFonts w:eastAsia="PMingLiU" w:cs="Arial"/>
          <w:snapToGrid w:val="0"/>
          <w:sz w:val="18"/>
          <w:szCs w:val="24"/>
          <w:lang w:val="fr-CH"/>
        </w:rPr>
        <w:t>Organisation de coopération et de développement économiques</w:t>
      </w:r>
    </w:p>
    <w:p w:rsidR="00826656" w:rsidRPr="004369C3" w:rsidRDefault="00424B2B" w:rsidP="000F467F">
      <w:pPr>
        <w:keepNext/>
        <w:keepLines/>
        <w:tabs>
          <w:tab w:val="left" w:pos="567"/>
        </w:tabs>
        <w:ind w:left="1701" w:hanging="1134"/>
        <w:rPr>
          <w:sz w:val="18"/>
          <w:lang w:val="fr-CH"/>
        </w:rPr>
      </w:pPr>
      <w:r w:rsidRPr="004369C3">
        <w:rPr>
          <w:sz w:val="18"/>
          <w:lang w:val="fr-CH"/>
        </w:rPr>
        <w:t>TC</w:t>
      </w:r>
      <w:r w:rsidR="009104CD">
        <w:rPr>
          <w:sz w:val="18"/>
          <w:lang w:val="fr-CH"/>
        </w:rPr>
        <w:t> :</w:t>
      </w:r>
      <w:r w:rsidRPr="004369C3">
        <w:rPr>
          <w:sz w:val="18"/>
          <w:lang w:val="fr-CH"/>
        </w:rPr>
        <w:tab/>
        <w:t>Comité technique</w:t>
      </w:r>
    </w:p>
    <w:p w:rsidR="00826656" w:rsidRPr="004369C3" w:rsidRDefault="00424B2B" w:rsidP="000F467F">
      <w:pPr>
        <w:keepNext/>
        <w:keepLines/>
        <w:ind w:left="1701" w:hanging="1134"/>
        <w:rPr>
          <w:rFonts w:eastAsia="PMingLiU" w:cs="Arial"/>
          <w:sz w:val="18"/>
          <w:szCs w:val="24"/>
          <w:lang w:val="fr-CH"/>
        </w:rPr>
      </w:pPr>
      <w:r w:rsidRPr="004369C3">
        <w:rPr>
          <w:rFonts w:eastAsia="PMingLiU" w:cs="Arial"/>
          <w:sz w:val="18"/>
          <w:szCs w:val="24"/>
          <w:lang w:val="fr-CH"/>
        </w:rPr>
        <w:t>TWA</w:t>
      </w:r>
      <w:r w:rsidR="009104CD">
        <w:rPr>
          <w:rFonts w:eastAsia="PMingLiU" w:cs="Arial"/>
          <w:sz w:val="18"/>
          <w:szCs w:val="24"/>
          <w:lang w:val="fr-CH"/>
        </w:rPr>
        <w:t> :</w:t>
      </w:r>
      <w:r w:rsidRPr="004369C3">
        <w:rPr>
          <w:rFonts w:eastAsia="PMingLiU"/>
          <w:sz w:val="18"/>
          <w:lang w:val="fr-CH"/>
        </w:rPr>
        <w:tab/>
      </w:r>
      <w:r w:rsidRPr="004369C3">
        <w:rPr>
          <w:rFonts w:eastAsia="PMingLiU" w:cs="Arial"/>
          <w:sz w:val="18"/>
          <w:szCs w:val="24"/>
          <w:lang w:val="fr-CH"/>
        </w:rPr>
        <w:t>Groupe de travail technique sur les plantes agricoles</w:t>
      </w:r>
    </w:p>
    <w:p w:rsidR="00826656" w:rsidRPr="004369C3" w:rsidRDefault="00424B2B" w:rsidP="000F467F">
      <w:pPr>
        <w:keepNext/>
        <w:keepLines/>
        <w:ind w:left="1701" w:hanging="1134"/>
        <w:rPr>
          <w:rFonts w:eastAsia="PMingLiU" w:cs="Arial"/>
          <w:sz w:val="18"/>
          <w:szCs w:val="24"/>
          <w:lang w:val="fr-CH"/>
        </w:rPr>
      </w:pPr>
      <w:r w:rsidRPr="004369C3">
        <w:rPr>
          <w:rFonts w:eastAsia="PMingLiU" w:cs="Arial"/>
          <w:sz w:val="18"/>
          <w:szCs w:val="24"/>
          <w:lang w:val="fr-CH"/>
        </w:rPr>
        <w:t>TWC</w:t>
      </w:r>
      <w:r w:rsidR="009104CD">
        <w:rPr>
          <w:rFonts w:eastAsia="PMingLiU" w:cs="Arial"/>
          <w:sz w:val="18"/>
          <w:szCs w:val="24"/>
          <w:lang w:val="fr-CH"/>
        </w:rPr>
        <w:t> :</w:t>
      </w:r>
      <w:r w:rsidRPr="004369C3">
        <w:rPr>
          <w:rFonts w:eastAsia="PMingLiU"/>
          <w:sz w:val="18"/>
          <w:lang w:val="fr-CH"/>
        </w:rPr>
        <w:tab/>
      </w:r>
      <w:r w:rsidRPr="004369C3">
        <w:rPr>
          <w:rFonts w:eastAsia="PMingLiU" w:cs="Arial"/>
          <w:sz w:val="18"/>
          <w:szCs w:val="24"/>
          <w:lang w:val="fr-CH"/>
        </w:rPr>
        <w:t>Groupe de travail technique sur les systèmes d</w:t>
      </w:r>
      <w:r w:rsidR="009104CD">
        <w:rPr>
          <w:rFonts w:eastAsia="PMingLiU" w:cs="Arial"/>
          <w:sz w:val="18"/>
          <w:szCs w:val="24"/>
          <w:lang w:val="fr-CH"/>
        </w:rPr>
        <w:t>’</w:t>
      </w:r>
      <w:r w:rsidRPr="004369C3">
        <w:rPr>
          <w:rFonts w:eastAsia="PMingLiU" w:cs="Arial"/>
          <w:sz w:val="18"/>
          <w:szCs w:val="24"/>
          <w:lang w:val="fr-CH"/>
        </w:rPr>
        <w:t>automatisation et les programmes d</w:t>
      </w:r>
      <w:r w:rsidR="009104CD">
        <w:rPr>
          <w:rFonts w:eastAsia="PMingLiU" w:cs="Arial"/>
          <w:sz w:val="18"/>
          <w:szCs w:val="24"/>
          <w:lang w:val="fr-CH"/>
        </w:rPr>
        <w:t>’</w:t>
      </w:r>
      <w:r w:rsidRPr="004369C3">
        <w:rPr>
          <w:rFonts w:eastAsia="PMingLiU" w:cs="Arial"/>
          <w:sz w:val="18"/>
          <w:szCs w:val="24"/>
          <w:lang w:val="fr-CH"/>
        </w:rPr>
        <w:t>ordinateur</w:t>
      </w:r>
    </w:p>
    <w:p w:rsidR="00826656" w:rsidRPr="004369C3" w:rsidRDefault="00424B2B" w:rsidP="000F467F">
      <w:pPr>
        <w:keepNext/>
        <w:keepLines/>
        <w:ind w:left="1701" w:hanging="1134"/>
        <w:rPr>
          <w:rFonts w:eastAsia="PMingLiU" w:cs="Arial"/>
          <w:sz w:val="18"/>
          <w:szCs w:val="24"/>
          <w:lang w:val="fr-CH"/>
        </w:rPr>
      </w:pPr>
      <w:r w:rsidRPr="004369C3">
        <w:rPr>
          <w:rFonts w:eastAsia="PMingLiU" w:cs="Arial"/>
          <w:sz w:val="18"/>
          <w:szCs w:val="24"/>
          <w:lang w:val="fr-CH"/>
        </w:rPr>
        <w:t>TWF</w:t>
      </w:r>
      <w:r w:rsidR="009104CD">
        <w:rPr>
          <w:rFonts w:eastAsia="PMingLiU" w:cs="Arial"/>
          <w:sz w:val="18"/>
          <w:szCs w:val="24"/>
          <w:lang w:val="fr-CH"/>
        </w:rPr>
        <w:t> :</w:t>
      </w:r>
      <w:r w:rsidRPr="004369C3">
        <w:rPr>
          <w:rFonts w:eastAsia="PMingLiU"/>
          <w:sz w:val="18"/>
          <w:lang w:val="fr-CH"/>
        </w:rPr>
        <w:tab/>
      </w:r>
      <w:r w:rsidRPr="004369C3">
        <w:rPr>
          <w:rFonts w:eastAsia="PMingLiU" w:cs="Arial"/>
          <w:sz w:val="18"/>
          <w:szCs w:val="24"/>
          <w:lang w:val="fr-CH"/>
        </w:rPr>
        <w:t>Groupe de travail technique sur les plantes fruitières</w:t>
      </w:r>
    </w:p>
    <w:p w:rsidR="00484441" w:rsidRPr="004369C3" w:rsidRDefault="00424B2B" w:rsidP="000F467F">
      <w:pPr>
        <w:keepNext/>
        <w:keepLines/>
        <w:ind w:left="1701" w:hanging="1134"/>
        <w:rPr>
          <w:rFonts w:eastAsia="PMingLiU" w:cs="Arial"/>
          <w:sz w:val="18"/>
          <w:szCs w:val="24"/>
          <w:lang w:val="fr-CH"/>
        </w:rPr>
      </w:pPr>
      <w:r w:rsidRPr="004369C3">
        <w:rPr>
          <w:rFonts w:eastAsia="PMingLiU" w:cs="Arial"/>
          <w:sz w:val="18"/>
          <w:szCs w:val="24"/>
          <w:lang w:val="fr-CH"/>
        </w:rPr>
        <w:t>TWM</w:t>
      </w:r>
      <w:r w:rsidR="009104CD">
        <w:rPr>
          <w:rFonts w:eastAsia="PMingLiU" w:cs="Arial"/>
          <w:sz w:val="18"/>
          <w:szCs w:val="24"/>
          <w:lang w:val="fr-CH"/>
        </w:rPr>
        <w:t> :</w:t>
      </w:r>
      <w:r w:rsidR="00D2510D" w:rsidRPr="004369C3">
        <w:rPr>
          <w:rFonts w:eastAsia="PMingLiU" w:cs="Arial"/>
          <w:sz w:val="18"/>
          <w:szCs w:val="24"/>
          <w:lang w:val="fr-CH"/>
        </w:rPr>
        <w:tab/>
      </w:r>
      <w:r w:rsidRPr="004369C3">
        <w:rPr>
          <w:rFonts w:eastAsia="PMingLiU" w:cs="Arial"/>
          <w:sz w:val="18"/>
          <w:szCs w:val="24"/>
          <w:lang w:val="fr-CH"/>
        </w:rPr>
        <w:t>Groupe de travail technique sur les méthodes et techniques d</w:t>
      </w:r>
      <w:r w:rsidR="009104CD">
        <w:rPr>
          <w:rFonts w:eastAsia="PMingLiU" w:cs="Arial"/>
          <w:sz w:val="18"/>
          <w:szCs w:val="24"/>
          <w:lang w:val="fr-CH"/>
        </w:rPr>
        <w:t>’</w:t>
      </w:r>
      <w:r w:rsidRPr="004369C3">
        <w:rPr>
          <w:rFonts w:eastAsia="PMingLiU" w:cs="Arial"/>
          <w:sz w:val="18"/>
          <w:szCs w:val="24"/>
          <w:lang w:val="fr-CH"/>
        </w:rPr>
        <w:t>essai</w:t>
      </w:r>
    </w:p>
    <w:p w:rsidR="00826656" w:rsidRPr="004369C3" w:rsidRDefault="00424B2B" w:rsidP="000F467F">
      <w:pPr>
        <w:keepNext/>
        <w:keepLines/>
        <w:ind w:left="1701" w:hanging="1134"/>
        <w:rPr>
          <w:rFonts w:eastAsia="PMingLiU" w:cs="Arial"/>
          <w:sz w:val="18"/>
          <w:szCs w:val="24"/>
          <w:lang w:val="fr-CH"/>
        </w:rPr>
      </w:pPr>
      <w:r w:rsidRPr="004369C3">
        <w:rPr>
          <w:rFonts w:eastAsia="PMingLiU" w:cs="Arial"/>
          <w:sz w:val="18"/>
          <w:szCs w:val="24"/>
          <w:lang w:val="fr-CH"/>
        </w:rPr>
        <w:t>TWO</w:t>
      </w:r>
      <w:r w:rsidR="009104CD">
        <w:rPr>
          <w:rFonts w:eastAsia="PMingLiU" w:cs="Arial"/>
          <w:sz w:val="18"/>
          <w:szCs w:val="24"/>
          <w:lang w:val="fr-CH"/>
        </w:rPr>
        <w:t> :</w:t>
      </w:r>
      <w:r w:rsidRPr="004369C3">
        <w:rPr>
          <w:rFonts w:eastAsia="PMingLiU"/>
          <w:sz w:val="18"/>
          <w:lang w:val="fr-CH"/>
        </w:rPr>
        <w:tab/>
      </w:r>
      <w:r w:rsidRPr="004369C3">
        <w:rPr>
          <w:rFonts w:eastAsia="PMingLiU" w:cs="Arial"/>
          <w:sz w:val="18"/>
          <w:szCs w:val="24"/>
          <w:lang w:val="fr-CH"/>
        </w:rPr>
        <w:t>Groupe de travail technique sur les plantes ornementales et les arbres forestiers</w:t>
      </w:r>
    </w:p>
    <w:p w:rsidR="00826656" w:rsidRPr="004369C3" w:rsidRDefault="00424B2B" w:rsidP="000F467F">
      <w:pPr>
        <w:keepNext/>
        <w:keepLines/>
        <w:ind w:left="1701" w:hanging="1134"/>
        <w:rPr>
          <w:rFonts w:eastAsia="PMingLiU" w:cs="Arial"/>
          <w:sz w:val="18"/>
          <w:szCs w:val="24"/>
          <w:lang w:val="fr-CH"/>
        </w:rPr>
      </w:pPr>
      <w:r w:rsidRPr="004369C3">
        <w:rPr>
          <w:rFonts w:eastAsia="PMingLiU" w:cs="Arial"/>
          <w:sz w:val="18"/>
          <w:szCs w:val="24"/>
          <w:lang w:val="fr-CH"/>
        </w:rPr>
        <w:t>TWP</w:t>
      </w:r>
      <w:r w:rsidR="009104CD">
        <w:rPr>
          <w:rFonts w:eastAsia="PMingLiU" w:cs="Arial"/>
          <w:sz w:val="18"/>
          <w:szCs w:val="24"/>
          <w:lang w:val="fr-CH"/>
        </w:rPr>
        <w:t> :</w:t>
      </w:r>
      <w:r w:rsidRPr="004369C3">
        <w:rPr>
          <w:rFonts w:eastAsia="PMingLiU"/>
          <w:sz w:val="18"/>
          <w:lang w:val="fr-CH"/>
        </w:rPr>
        <w:tab/>
      </w:r>
      <w:r w:rsidRPr="004369C3">
        <w:rPr>
          <w:rFonts w:eastAsia="PMingLiU" w:cs="Arial"/>
          <w:sz w:val="18"/>
          <w:szCs w:val="24"/>
          <w:lang w:val="fr-CH"/>
        </w:rPr>
        <w:t>Groupe(s) de travail technique(s)</w:t>
      </w:r>
    </w:p>
    <w:p w:rsidR="00826656" w:rsidRPr="004369C3" w:rsidRDefault="00424B2B" w:rsidP="000F467F">
      <w:pPr>
        <w:keepNext/>
        <w:keepLines/>
        <w:ind w:left="1701" w:hanging="1134"/>
        <w:rPr>
          <w:rFonts w:eastAsia="PMingLiU" w:cs="Arial"/>
          <w:sz w:val="18"/>
          <w:szCs w:val="24"/>
          <w:lang w:val="fr-CH"/>
        </w:rPr>
      </w:pPr>
      <w:r w:rsidRPr="004369C3">
        <w:rPr>
          <w:rFonts w:eastAsia="PMingLiU" w:cs="Arial"/>
          <w:sz w:val="18"/>
          <w:szCs w:val="24"/>
          <w:lang w:val="fr-CH"/>
        </w:rPr>
        <w:t>TWV</w:t>
      </w:r>
      <w:r w:rsidR="009104CD">
        <w:rPr>
          <w:rFonts w:eastAsia="PMingLiU" w:cs="Arial"/>
          <w:sz w:val="18"/>
          <w:szCs w:val="24"/>
          <w:lang w:val="fr-CH"/>
        </w:rPr>
        <w:t> :</w:t>
      </w:r>
      <w:r w:rsidRPr="004369C3">
        <w:rPr>
          <w:rFonts w:eastAsia="PMingLiU"/>
          <w:sz w:val="18"/>
          <w:lang w:val="fr-CH"/>
        </w:rPr>
        <w:tab/>
      </w:r>
      <w:r w:rsidRPr="004369C3">
        <w:rPr>
          <w:rFonts w:eastAsia="PMingLiU" w:cs="Arial"/>
          <w:sz w:val="18"/>
          <w:szCs w:val="24"/>
          <w:lang w:val="fr-CH"/>
        </w:rPr>
        <w:t>Groupe de travail technique sur les plantes potagères</w:t>
      </w:r>
    </w:p>
    <w:p w:rsidR="00826656" w:rsidRPr="004369C3" w:rsidRDefault="00826656" w:rsidP="00E705BD">
      <w:pPr>
        <w:rPr>
          <w:lang w:val="fr-CH" w:eastAsia="ja-JP"/>
        </w:rPr>
      </w:pPr>
    </w:p>
    <w:p w:rsidR="00826656" w:rsidRDefault="00826656" w:rsidP="00E705BD">
      <w:pPr>
        <w:rPr>
          <w:lang w:val="fr-CH" w:eastAsia="ja-JP"/>
        </w:rPr>
      </w:pPr>
    </w:p>
    <w:p w:rsidR="00826656" w:rsidRDefault="00826656" w:rsidP="00E705BD">
      <w:pPr>
        <w:rPr>
          <w:lang w:val="fr-CH" w:eastAsia="ja-JP"/>
        </w:rPr>
      </w:pPr>
    </w:p>
    <w:p w:rsidR="00826656" w:rsidRPr="004369C3" w:rsidRDefault="00424B2B" w:rsidP="00D81784">
      <w:pPr>
        <w:pStyle w:val="Heading1"/>
        <w:rPr>
          <w:lang w:eastAsia="ja-JP"/>
        </w:rPr>
      </w:pPr>
      <w:bookmarkStart w:id="3" w:name="_Toc85632853"/>
      <w:r w:rsidRPr="004369C3">
        <w:rPr>
          <w:lang w:eastAsia="ja-JP"/>
        </w:rPr>
        <w:t>Coopération entre organisations internationales</w:t>
      </w:r>
      <w:bookmarkEnd w:id="3"/>
    </w:p>
    <w:p w:rsidR="00826656" w:rsidRPr="004369C3" w:rsidRDefault="00826656" w:rsidP="00E705BD">
      <w:pPr>
        <w:keepNext/>
        <w:keepLines/>
        <w:rPr>
          <w:lang w:val="fr-CH" w:eastAsia="ja-JP"/>
        </w:rPr>
      </w:pPr>
    </w:p>
    <w:p w:rsidR="00826656" w:rsidRPr="004369C3" w:rsidRDefault="00E705BD" w:rsidP="00811177">
      <w:pPr>
        <w:keepNext/>
        <w:keepLines/>
        <w:rPr>
          <w:lang w:val="fr-CH"/>
        </w:rPr>
      </w:pPr>
      <w:r w:rsidRPr="004369C3">
        <w:fldChar w:fldCharType="begin"/>
      </w:r>
      <w:r w:rsidRPr="004369C3">
        <w:rPr>
          <w:lang w:val="fr-CH"/>
        </w:rPr>
        <w:instrText xml:space="preserve"> AUTONUM  </w:instrText>
      </w:r>
      <w:r w:rsidRPr="004369C3">
        <w:fldChar w:fldCharType="end"/>
      </w:r>
      <w:r w:rsidRPr="004369C3">
        <w:rPr>
          <w:lang w:val="fr-CH"/>
        </w:rPr>
        <w:tab/>
      </w:r>
      <w:r w:rsidR="00811177" w:rsidRPr="004369C3">
        <w:rPr>
          <w:lang w:val="fr-CH"/>
        </w:rPr>
        <w:t xml:space="preserve">À leurs sessions </w:t>
      </w:r>
      <w:r w:rsidR="00484441" w:rsidRPr="004369C3">
        <w:rPr>
          <w:lang w:val="fr-CH"/>
        </w:rPr>
        <w:t>de 2021</w:t>
      </w:r>
      <w:r w:rsidR="00811177" w:rsidRPr="004369C3">
        <w:rPr>
          <w:lang w:val="fr-CH"/>
        </w:rPr>
        <w:t>,</w:t>
      </w:r>
      <w:r w:rsidR="00484441" w:rsidRPr="004369C3">
        <w:rPr>
          <w:lang w:val="fr-CH"/>
        </w:rPr>
        <w:t xml:space="preserve"> le TWV</w:t>
      </w:r>
      <w:r w:rsidR="00811177" w:rsidRPr="004369C3">
        <w:rPr>
          <w:rStyle w:val="FootnoteReference"/>
          <w:lang w:val="en-US"/>
        </w:rPr>
        <w:footnoteReference w:id="2"/>
      </w:r>
      <w:r w:rsidR="00811177" w:rsidRPr="004369C3">
        <w:rPr>
          <w:lang w:val="fr-CH"/>
        </w:rPr>
        <w:t>,</w:t>
      </w:r>
      <w:r w:rsidR="00484441" w:rsidRPr="004369C3">
        <w:rPr>
          <w:lang w:val="fr-CH"/>
        </w:rPr>
        <w:t xml:space="preserve"> le TWO</w:t>
      </w:r>
      <w:r w:rsidR="00811177" w:rsidRPr="004369C3">
        <w:rPr>
          <w:rStyle w:val="FootnoteReference"/>
          <w:lang w:val="en-US"/>
        </w:rPr>
        <w:footnoteReference w:id="3"/>
      </w:r>
      <w:r w:rsidR="00811177" w:rsidRPr="004369C3">
        <w:rPr>
          <w:lang w:val="fr-CH"/>
        </w:rPr>
        <w:t>,</w:t>
      </w:r>
      <w:r w:rsidR="00484441" w:rsidRPr="004369C3">
        <w:rPr>
          <w:lang w:val="fr-CH"/>
        </w:rPr>
        <w:t xml:space="preserve"> le TWA</w:t>
      </w:r>
      <w:r w:rsidR="00811177" w:rsidRPr="004369C3">
        <w:rPr>
          <w:rStyle w:val="FootnoteReference"/>
          <w:lang w:val="en-US"/>
        </w:rPr>
        <w:footnoteReference w:id="4"/>
      </w:r>
      <w:r w:rsidR="00811177" w:rsidRPr="004369C3">
        <w:rPr>
          <w:lang w:val="fr-CH"/>
        </w:rPr>
        <w:t>,</w:t>
      </w:r>
      <w:r w:rsidR="00484441" w:rsidRPr="004369C3">
        <w:rPr>
          <w:lang w:val="fr-CH"/>
        </w:rPr>
        <w:t xml:space="preserve"> le TWF</w:t>
      </w:r>
      <w:r w:rsidR="00811177" w:rsidRPr="004369C3">
        <w:rPr>
          <w:rStyle w:val="FootnoteReference"/>
          <w:lang w:val="en-US"/>
        </w:rPr>
        <w:footnoteReference w:id="5"/>
      </w:r>
      <w:r w:rsidR="00811177" w:rsidRPr="004369C3">
        <w:rPr>
          <w:lang w:val="fr-CH"/>
        </w:rPr>
        <w:t xml:space="preserve"> et</w:t>
      </w:r>
      <w:r w:rsidR="00484441" w:rsidRPr="004369C3">
        <w:rPr>
          <w:lang w:val="fr-CH"/>
        </w:rPr>
        <w:t xml:space="preserve"> le TWC</w:t>
      </w:r>
      <w:r w:rsidR="00811177" w:rsidRPr="004369C3">
        <w:rPr>
          <w:rStyle w:val="FootnoteReference"/>
          <w:lang w:val="en-US"/>
        </w:rPr>
        <w:footnoteReference w:id="6"/>
      </w:r>
      <w:r w:rsidR="00811177" w:rsidRPr="004369C3">
        <w:rPr>
          <w:lang w:val="fr-CH"/>
        </w:rPr>
        <w:t xml:space="preserve"> ont examiné le document TWP/5/7 </w:t>
      </w:r>
      <w:r w:rsidR="00484441" w:rsidRPr="004369C3">
        <w:rPr>
          <w:lang w:val="fr-CH"/>
        </w:rPr>
        <w:t>“M</w:t>
      </w:r>
      <w:r w:rsidR="00811177" w:rsidRPr="004369C3">
        <w:rPr>
          <w:lang w:val="fr-CH"/>
        </w:rPr>
        <w:t xml:space="preserve">olecular techniques” (voir les </w:t>
      </w:r>
      <w:r w:rsidR="00484441" w:rsidRPr="004369C3">
        <w:rPr>
          <w:lang w:val="fr-CH"/>
        </w:rPr>
        <w:t>paragraphes 5</w:t>
      </w:r>
      <w:r w:rsidR="00811177" w:rsidRPr="004369C3">
        <w:rPr>
          <w:lang w:val="fr-CH"/>
        </w:rPr>
        <w:t>1</w:t>
      </w:r>
      <w:r w:rsidR="004369C3">
        <w:rPr>
          <w:lang w:val="fr-CH"/>
        </w:rPr>
        <w:t xml:space="preserve"> </w:t>
      </w:r>
      <w:r w:rsidR="00811177" w:rsidRPr="004369C3">
        <w:rPr>
          <w:lang w:val="fr-CH"/>
        </w:rPr>
        <w:t xml:space="preserve">à 55 </w:t>
      </w:r>
      <w:r w:rsidR="004369C3">
        <w:rPr>
          <w:lang w:val="fr-CH"/>
        </w:rPr>
        <w:t>du document TWV/55/16 “Report”,</w:t>
      </w:r>
      <w:r w:rsidR="00811177" w:rsidRPr="004369C3">
        <w:rPr>
          <w:lang w:val="fr-CH"/>
        </w:rPr>
        <w:t xml:space="preserve"> les </w:t>
      </w:r>
      <w:r w:rsidR="00484441" w:rsidRPr="004369C3">
        <w:rPr>
          <w:lang w:val="fr-CH"/>
        </w:rPr>
        <w:t>paragraphes 5</w:t>
      </w:r>
      <w:r w:rsidR="00811177" w:rsidRPr="004369C3">
        <w:rPr>
          <w:lang w:val="fr-CH"/>
        </w:rPr>
        <w:t xml:space="preserve">9 à 61 du </w:t>
      </w:r>
      <w:r w:rsidR="009104CD" w:rsidRPr="004369C3">
        <w:rPr>
          <w:lang w:val="fr-CH"/>
        </w:rPr>
        <w:t>document</w:t>
      </w:r>
      <w:r w:rsidR="009104CD">
        <w:rPr>
          <w:lang w:val="fr-CH"/>
        </w:rPr>
        <w:t xml:space="preserve"> TW</w:t>
      </w:r>
      <w:r w:rsidR="004369C3">
        <w:rPr>
          <w:lang w:val="fr-CH"/>
        </w:rPr>
        <w:t>O/53/10 “Report”,</w:t>
      </w:r>
      <w:r w:rsidR="00811177" w:rsidRPr="004369C3">
        <w:rPr>
          <w:lang w:val="fr-CH"/>
        </w:rPr>
        <w:t xml:space="preserve"> les </w:t>
      </w:r>
      <w:r w:rsidR="00484441" w:rsidRPr="004369C3">
        <w:rPr>
          <w:lang w:val="fr-CH"/>
        </w:rPr>
        <w:t>paragraphes 8</w:t>
      </w:r>
      <w:r w:rsidR="00811177" w:rsidRPr="004369C3">
        <w:rPr>
          <w:lang w:val="fr-CH"/>
        </w:rPr>
        <w:t xml:space="preserve">8 à 90 du </w:t>
      </w:r>
      <w:r w:rsidR="009104CD" w:rsidRPr="004369C3">
        <w:rPr>
          <w:lang w:val="fr-CH"/>
        </w:rPr>
        <w:t>document</w:t>
      </w:r>
      <w:r w:rsidR="009104CD">
        <w:rPr>
          <w:lang w:val="fr-CH"/>
        </w:rPr>
        <w:t xml:space="preserve"> </w:t>
      </w:r>
      <w:r w:rsidR="009104CD" w:rsidRPr="004369C3">
        <w:rPr>
          <w:lang w:val="fr-CH"/>
        </w:rPr>
        <w:t>TW</w:t>
      </w:r>
      <w:r w:rsidR="00811177" w:rsidRPr="004369C3">
        <w:rPr>
          <w:lang w:val="fr-CH"/>
        </w:rPr>
        <w:t>A/50/</w:t>
      </w:r>
      <w:r w:rsidR="004369C3">
        <w:rPr>
          <w:lang w:val="fr-CH"/>
        </w:rPr>
        <w:t>9</w:t>
      </w:r>
      <w:r w:rsidR="00811177" w:rsidRPr="004369C3">
        <w:rPr>
          <w:lang w:val="fr-CH"/>
        </w:rPr>
        <w:t xml:space="preserve"> “Report”</w:t>
      </w:r>
      <w:r w:rsidR="004369C3">
        <w:rPr>
          <w:lang w:val="fr-CH"/>
        </w:rPr>
        <w:t>,</w:t>
      </w:r>
      <w:r w:rsidR="00811177" w:rsidRPr="004369C3">
        <w:rPr>
          <w:lang w:val="fr-CH"/>
        </w:rPr>
        <w:t xml:space="preserve"> les </w:t>
      </w:r>
      <w:r w:rsidR="00484441" w:rsidRPr="004369C3">
        <w:rPr>
          <w:lang w:val="fr-CH"/>
        </w:rPr>
        <w:t>paragraphes 1</w:t>
      </w:r>
      <w:r w:rsidR="00811177" w:rsidRPr="004369C3">
        <w:rPr>
          <w:lang w:val="fr-CH"/>
        </w:rPr>
        <w:t xml:space="preserve">3 à 15 du document TWF/52/10 “Report” et les </w:t>
      </w:r>
      <w:r w:rsidR="00484441" w:rsidRPr="004369C3">
        <w:rPr>
          <w:lang w:val="fr-CH"/>
        </w:rPr>
        <w:t>paragraphes 7</w:t>
      </w:r>
      <w:r w:rsidR="00811177" w:rsidRPr="004369C3">
        <w:rPr>
          <w:lang w:val="fr-CH"/>
        </w:rPr>
        <w:t>2 à 76 du document TWC/39/9 “Report”).</w:t>
      </w:r>
    </w:p>
    <w:p w:rsidR="00826656" w:rsidRPr="004369C3" w:rsidRDefault="00826656" w:rsidP="00E705BD">
      <w:pPr>
        <w:rPr>
          <w:lang w:val="fr-CH"/>
        </w:rPr>
      </w:pPr>
    </w:p>
    <w:p w:rsidR="00826656" w:rsidRPr="004369C3" w:rsidRDefault="00E705BD" w:rsidP="00811177">
      <w:pPr>
        <w:rPr>
          <w:lang w:val="fr-CH"/>
        </w:rPr>
      </w:pPr>
      <w:r w:rsidRPr="004369C3">
        <w:fldChar w:fldCharType="begin"/>
      </w:r>
      <w:r w:rsidRPr="004369C3">
        <w:rPr>
          <w:lang w:val="fr-CH"/>
        </w:rPr>
        <w:instrText xml:space="preserve"> AUTONUM  </w:instrText>
      </w:r>
      <w:r w:rsidRPr="004369C3">
        <w:fldChar w:fldCharType="end"/>
      </w:r>
      <w:r w:rsidRPr="004369C3">
        <w:rPr>
          <w:lang w:val="fr-CH"/>
        </w:rPr>
        <w:tab/>
      </w:r>
      <w:r w:rsidR="00811177" w:rsidRPr="004369C3">
        <w:rPr>
          <w:lang w:val="fr-CH"/>
        </w:rPr>
        <w:t>À sa vingt</w:t>
      </w:r>
      <w:r w:rsidR="009104CD">
        <w:rPr>
          <w:lang w:val="fr-CH"/>
        </w:rPr>
        <w:t>ième session</w:t>
      </w:r>
      <w:r w:rsidR="00811177" w:rsidRPr="004369C3">
        <w:rPr>
          <w:rStyle w:val="FootnoteReference"/>
          <w:lang w:val="en-US"/>
        </w:rPr>
        <w:footnoteReference w:id="7"/>
      </w:r>
      <w:r w:rsidR="00811177" w:rsidRPr="004369C3">
        <w:rPr>
          <w:lang w:val="fr-CH"/>
        </w:rPr>
        <w:t>,</w:t>
      </w:r>
      <w:r w:rsidR="00484441" w:rsidRPr="004369C3">
        <w:rPr>
          <w:lang w:val="fr-CH"/>
        </w:rPr>
        <w:t xml:space="preserve"> le BMT</w:t>
      </w:r>
      <w:r w:rsidR="00811177" w:rsidRPr="004369C3">
        <w:rPr>
          <w:lang w:val="fr-CH"/>
        </w:rPr>
        <w:t xml:space="preserve"> a examiné le document BMT/20/4 “Cooperation between International Organizations” (voir les </w:t>
      </w:r>
      <w:r w:rsidR="00484441" w:rsidRPr="004369C3">
        <w:rPr>
          <w:lang w:val="fr-CH"/>
        </w:rPr>
        <w:t>paragraphes 1</w:t>
      </w:r>
      <w:r w:rsidR="00811177" w:rsidRPr="004369C3">
        <w:rPr>
          <w:lang w:val="fr-CH"/>
        </w:rPr>
        <w:t>3 à 24 du document BMT/20/12 “Report”).</w:t>
      </w:r>
    </w:p>
    <w:p w:rsidR="00826656" w:rsidRPr="004369C3" w:rsidRDefault="00826656" w:rsidP="00E705BD">
      <w:pPr>
        <w:rPr>
          <w:lang w:val="fr-CH"/>
        </w:rPr>
      </w:pPr>
    </w:p>
    <w:p w:rsidR="00826656" w:rsidRPr="004369C3" w:rsidRDefault="00826656" w:rsidP="00E705BD">
      <w:pPr>
        <w:rPr>
          <w:lang w:val="fr-CH"/>
        </w:rPr>
      </w:pPr>
    </w:p>
    <w:p w:rsidR="00826656" w:rsidRDefault="00811177" w:rsidP="00811177">
      <w:pPr>
        <w:pStyle w:val="Heading2"/>
        <w:rPr>
          <w:lang w:val="fr-CH"/>
        </w:rPr>
      </w:pPr>
      <w:bookmarkStart w:id="4" w:name="_Toc85632854"/>
      <w:r w:rsidRPr="004369C3">
        <w:rPr>
          <w:lang w:val="fr-CH"/>
        </w:rPr>
        <w:t>Listes d</w:t>
      </w:r>
      <w:r w:rsidR="009104CD">
        <w:rPr>
          <w:lang w:val="fr-CH"/>
        </w:rPr>
        <w:t>’</w:t>
      </w:r>
      <w:r w:rsidRPr="004369C3">
        <w:rPr>
          <w:lang w:val="fr-CH"/>
        </w:rPr>
        <w:t>initiatives conjointes possibles avec l</w:t>
      </w:r>
      <w:r w:rsidR="009104CD">
        <w:rPr>
          <w:lang w:val="fr-CH"/>
        </w:rPr>
        <w:t>’</w:t>
      </w:r>
      <w:r w:rsidRPr="004369C3">
        <w:rPr>
          <w:lang w:val="fr-CH"/>
        </w:rPr>
        <w:t>OCDE et l</w:t>
      </w:r>
      <w:r w:rsidR="009104CD">
        <w:rPr>
          <w:lang w:val="fr-CH"/>
        </w:rPr>
        <w:t>’</w:t>
      </w:r>
      <w:r w:rsidRPr="004369C3">
        <w:rPr>
          <w:lang w:val="fr-CH"/>
        </w:rPr>
        <w:t>ISTA dans le domaine des techniques moléculaires</w:t>
      </w:r>
      <w:bookmarkEnd w:id="4"/>
    </w:p>
    <w:p w:rsidR="00826656" w:rsidRDefault="00826656" w:rsidP="00E705BD">
      <w:pPr>
        <w:rPr>
          <w:lang w:val="fr-CH"/>
        </w:rPr>
      </w:pPr>
    </w:p>
    <w:p w:rsidR="00484441" w:rsidRDefault="00E705BD" w:rsidP="00811177">
      <w:pPr>
        <w:rPr>
          <w:lang w:val="fr-CH"/>
        </w:rPr>
      </w:pPr>
      <w:r w:rsidRPr="00FA4478">
        <w:fldChar w:fldCharType="begin"/>
      </w:r>
      <w:r w:rsidRPr="00811177">
        <w:rPr>
          <w:lang w:val="fr-CH"/>
        </w:rPr>
        <w:instrText xml:space="preserve"> AUTONUM  </w:instrText>
      </w:r>
      <w:r w:rsidRPr="00FA4478">
        <w:fldChar w:fldCharType="end"/>
      </w:r>
      <w:r w:rsidRPr="00811177">
        <w:rPr>
          <w:lang w:val="fr-CH"/>
        </w:rPr>
        <w:tab/>
      </w:r>
      <w:r w:rsidR="00811177" w:rsidRPr="00811177">
        <w:rPr>
          <w:color w:val="000000"/>
          <w:lang w:val="fr-CH"/>
        </w:rPr>
        <w:t>Les TWP et</w:t>
      </w:r>
      <w:r w:rsidR="00484441" w:rsidRPr="00811177">
        <w:rPr>
          <w:color w:val="000000"/>
          <w:lang w:val="fr-CH"/>
        </w:rPr>
        <w:t xml:space="preserve"> le</w:t>
      </w:r>
      <w:r w:rsidR="00484441">
        <w:rPr>
          <w:color w:val="000000"/>
          <w:lang w:val="fr-CH"/>
        </w:rPr>
        <w:t> </w:t>
      </w:r>
      <w:r w:rsidR="00484441" w:rsidRPr="00811177">
        <w:rPr>
          <w:color w:val="000000"/>
          <w:lang w:val="fr-CH"/>
        </w:rPr>
        <w:t>BMT</w:t>
      </w:r>
      <w:r w:rsidR="00811177" w:rsidRPr="00811177">
        <w:rPr>
          <w:color w:val="000000"/>
          <w:lang w:val="fr-CH"/>
        </w:rPr>
        <w:t xml:space="preserve"> ont noté que le</w:t>
      </w:r>
      <w:r w:rsidR="009104CD">
        <w:rPr>
          <w:color w:val="000000"/>
          <w:lang w:val="fr-CH"/>
        </w:rPr>
        <w:t> TC</w:t>
      </w:r>
      <w:r w:rsidR="00811177" w:rsidRPr="00811177">
        <w:rPr>
          <w:color w:val="000000"/>
          <w:lang w:val="fr-CH"/>
        </w:rPr>
        <w:t>, à sa cinquante</w:t>
      </w:r>
      <w:r w:rsidR="009104CD">
        <w:rPr>
          <w:color w:val="000000"/>
          <w:lang w:val="fr-CH"/>
        </w:rPr>
        <w:t>-</w:t>
      </w:r>
      <w:r w:rsidR="00811177" w:rsidRPr="00811177">
        <w:rPr>
          <w:color w:val="000000"/>
          <w:lang w:val="fr-CH"/>
        </w:rPr>
        <w:t>six</w:t>
      </w:r>
      <w:r w:rsidR="009104CD">
        <w:rPr>
          <w:color w:val="000000"/>
          <w:lang w:val="fr-CH"/>
        </w:rPr>
        <w:t>ième session</w:t>
      </w:r>
      <w:r w:rsidR="00811177" w:rsidRPr="00811177">
        <w:rPr>
          <w:color w:val="000000"/>
          <w:lang w:val="fr-CH"/>
        </w:rPr>
        <w:t>, était convenu qu</w:t>
      </w:r>
      <w:r w:rsidR="009104CD">
        <w:rPr>
          <w:color w:val="000000"/>
          <w:lang w:val="fr-CH"/>
        </w:rPr>
        <w:t>’</w:t>
      </w:r>
      <w:r w:rsidR="00811177" w:rsidRPr="00811177">
        <w:rPr>
          <w:color w:val="000000"/>
          <w:lang w:val="fr-CH"/>
        </w:rPr>
        <w:t>un nouvel atelier conjoint de l</w:t>
      </w:r>
      <w:r w:rsidR="009104CD">
        <w:rPr>
          <w:color w:val="000000"/>
          <w:lang w:val="fr-CH"/>
        </w:rPr>
        <w:t>’</w:t>
      </w:r>
      <w:r w:rsidR="00811177" w:rsidRPr="00811177">
        <w:rPr>
          <w:color w:val="000000"/>
          <w:lang w:val="fr-CH"/>
        </w:rPr>
        <w:t>OCDE, de l</w:t>
      </w:r>
      <w:r w:rsidR="009104CD">
        <w:rPr>
          <w:color w:val="000000"/>
          <w:lang w:val="fr-CH"/>
        </w:rPr>
        <w:t>’</w:t>
      </w:r>
      <w:r w:rsidR="00811177" w:rsidRPr="00811177">
        <w:rPr>
          <w:color w:val="000000"/>
          <w:lang w:val="fr-CH"/>
        </w:rPr>
        <w:t>UPOV et de l</w:t>
      </w:r>
      <w:r w:rsidR="009104CD">
        <w:rPr>
          <w:color w:val="000000"/>
          <w:lang w:val="fr-CH"/>
        </w:rPr>
        <w:t>’</w:t>
      </w:r>
      <w:r w:rsidR="00811177" w:rsidRPr="00811177">
        <w:rPr>
          <w:color w:val="000000"/>
          <w:lang w:val="fr-CH"/>
        </w:rPr>
        <w:t>ISTA dans le domaine des techniques moléculaires devrait être organisé dans un avenir proche.</w:t>
      </w:r>
    </w:p>
    <w:p w:rsidR="00826656" w:rsidRDefault="00826656" w:rsidP="00E705BD">
      <w:pPr>
        <w:rPr>
          <w:lang w:val="fr-CH"/>
        </w:rPr>
      </w:pPr>
    </w:p>
    <w:p w:rsidR="00826656" w:rsidRDefault="00E705BD" w:rsidP="00811177">
      <w:pPr>
        <w:rPr>
          <w:lang w:val="fr-CH"/>
        </w:rPr>
      </w:pPr>
      <w:r w:rsidRPr="00FC712E">
        <w:fldChar w:fldCharType="begin"/>
      </w:r>
      <w:r w:rsidRPr="00811177">
        <w:rPr>
          <w:lang w:val="fr-CH"/>
        </w:rPr>
        <w:instrText xml:space="preserve"> AUTONUM  </w:instrText>
      </w:r>
      <w:r w:rsidRPr="00FC712E">
        <w:fldChar w:fldCharType="end"/>
      </w:r>
      <w:r w:rsidRPr="00811177">
        <w:rPr>
          <w:lang w:val="fr-CH"/>
        </w:rPr>
        <w:tab/>
      </w:r>
      <w:r w:rsidR="00811177" w:rsidRPr="00811177">
        <w:rPr>
          <w:color w:val="000000"/>
          <w:lang w:val="fr-CH"/>
        </w:rPr>
        <w:t>Les TWP et</w:t>
      </w:r>
      <w:r w:rsidR="00484441" w:rsidRPr="00811177">
        <w:rPr>
          <w:color w:val="000000"/>
          <w:lang w:val="fr-CH"/>
        </w:rPr>
        <w:t xml:space="preserve"> le</w:t>
      </w:r>
      <w:r w:rsidR="00484441">
        <w:rPr>
          <w:color w:val="000000"/>
          <w:lang w:val="fr-CH"/>
        </w:rPr>
        <w:t> </w:t>
      </w:r>
      <w:r w:rsidR="00484441" w:rsidRPr="00811177">
        <w:rPr>
          <w:color w:val="000000"/>
          <w:lang w:val="fr-CH"/>
        </w:rPr>
        <w:t>BMT</w:t>
      </w:r>
      <w:r w:rsidR="00811177" w:rsidRPr="00811177">
        <w:rPr>
          <w:color w:val="000000"/>
          <w:lang w:val="fr-CH"/>
        </w:rPr>
        <w:t xml:space="preserve"> ont noté que le</w:t>
      </w:r>
      <w:r w:rsidR="009104CD">
        <w:rPr>
          <w:color w:val="000000"/>
          <w:lang w:val="fr-CH"/>
        </w:rPr>
        <w:t> TC</w:t>
      </w:r>
      <w:r w:rsidR="00811177" w:rsidRPr="00811177">
        <w:rPr>
          <w:color w:val="000000"/>
          <w:lang w:val="fr-CH"/>
        </w:rPr>
        <w:t xml:space="preserve"> était convenu que l</w:t>
      </w:r>
      <w:r w:rsidR="009104CD">
        <w:rPr>
          <w:color w:val="000000"/>
          <w:lang w:val="fr-CH"/>
        </w:rPr>
        <w:t>’</w:t>
      </w:r>
      <w:r w:rsidR="00811177" w:rsidRPr="00811177">
        <w:rPr>
          <w:color w:val="000000"/>
          <w:lang w:val="fr-CH"/>
        </w:rPr>
        <w:t>organisation d</w:t>
      </w:r>
      <w:r w:rsidR="009104CD">
        <w:rPr>
          <w:color w:val="000000"/>
          <w:lang w:val="fr-CH"/>
        </w:rPr>
        <w:t>’</w:t>
      </w:r>
      <w:r w:rsidR="00811177" w:rsidRPr="00811177">
        <w:rPr>
          <w:color w:val="000000"/>
          <w:lang w:val="fr-CH"/>
        </w:rPr>
        <w:t>un nouvel atelier conjoint de l</w:t>
      </w:r>
      <w:r w:rsidR="009104CD">
        <w:rPr>
          <w:color w:val="000000"/>
          <w:lang w:val="fr-CH"/>
        </w:rPr>
        <w:t>’</w:t>
      </w:r>
      <w:r w:rsidR="00811177" w:rsidRPr="00811177">
        <w:rPr>
          <w:color w:val="000000"/>
          <w:lang w:val="fr-CH"/>
        </w:rPr>
        <w:t>OCDE, de l</w:t>
      </w:r>
      <w:r w:rsidR="009104CD">
        <w:rPr>
          <w:color w:val="000000"/>
          <w:lang w:val="fr-CH"/>
        </w:rPr>
        <w:t>’</w:t>
      </w:r>
      <w:r w:rsidR="00811177" w:rsidRPr="00811177">
        <w:rPr>
          <w:color w:val="000000"/>
          <w:lang w:val="fr-CH"/>
        </w:rPr>
        <w:t>UPOV et de l</w:t>
      </w:r>
      <w:r w:rsidR="009104CD">
        <w:rPr>
          <w:color w:val="000000"/>
          <w:lang w:val="fr-CH"/>
        </w:rPr>
        <w:t>’</w:t>
      </w:r>
      <w:r w:rsidR="00811177" w:rsidRPr="00811177">
        <w:rPr>
          <w:color w:val="000000"/>
          <w:lang w:val="fr-CH"/>
        </w:rPr>
        <w:t>ISTA dans le domaine des techniques moléculaires permettrait d</w:t>
      </w:r>
      <w:r w:rsidR="009104CD">
        <w:rPr>
          <w:color w:val="000000"/>
          <w:lang w:val="fr-CH"/>
        </w:rPr>
        <w:t>’</w:t>
      </w:r>
      <w:r w:rsidR="00811177" w:rsidRPr="00811177">
        <w:rPr>
          <w:color w:val="000000"/>
          <w:lang w:val="fr-CH"/>
        </w:rPr>
        <w:t>examiner les définitions utilisées dans ce domaine en vue de les harmoniser.</w:t>
      </w:r>
    </w:p>
    <w:p w:rsidR="00826656" w:rsidRDefault="00826656" w:rsidP="00E705BD">
      <w:pPr>
        <w:rPr>
          <w:lang w:val="fr-CH"/>
        </w:rPr>
      </w:pPr>
    </w:p>
    <w:p w:rsidR="00826656" w:rsidRDefault="00E705BD" w:rsidP="00811177">
      <w:pPr>
        <w:rPr>
          <w:lang w:val="fr-CH"/>
        </w:rPr>
      </w:pPr>
      <w:r w:rsidRPr="00FC712E">
        <w:fldChar w:fldCharType="begin"/>
      </w:r>
      <w:r w:rsidRPr="00811177">
        <w:rPr>
          <w:lang w:val="fr-CH"/>
        </w:rPr>
        <w:instrText xml:space="preserve"> AUTONUM  </w:instrText>
      </w:r>
      <w:r w:rsidRPr="00FC712E">
        <w:fldChar w:fldCharType="end"/>
      </w:r>
      <w:r w:rsidRPr="00811177">
        <w:rPr>
          <w:lang w:val="fr-CH"/>
        </w:rPr>
        <w:tab/>
      </w:r>
      <w:r w:rsidR="00811177" w:rsidRPr="00811177">
        <w:rPr>
          <w:color w:val="000000"/>
          <w:lang w:val="fr-CH"/>
        </w:rPr>
        <w:t>Le BMT a noté qu</w:t>
      </w:r>
      <w:r w:rsidR="009104CD">
        <w:rPr>
          <w:color w:val="000000"/>
          <w:lang w:val="fr-CH"/>
        </w:rPr>
        <w:t>’</w:t>
      </w:r>
      <w:r w:rsidR="00811177" w:rsidRPr="00811177">
        <w:rPr>
          <w:color w:val="000000"/>
          <w:lang w:val="fr-CH"/>
        </w:rPr>
        <w:t>un sondage avait été effectué au cours de sa vingt</w:t>
      </w:r>
      <w:r w:rsidR="009104CD">
        <w:rPr>
          <w:color w:val="000000"/>
          <w:lang w:val="fr-CH"/>
        </w:rPr>
        <w:t>ième session</w:t>
      </w:r>
      <w:r w:rsidR="00811177" w:rsidRPr="00811177">
        <w:rPr>
          <w:color w:val="000000"/>
          <w:lang w:val="fr-CH"/>
        </w:rPr>
        <w:t xml:space="preserve"> pour recueillir les informations suivantes auprès des participants</w:t>
      </w:r>
      <w:r w:rsidR="009104CD">
        <w:rPr>
          <w:color w:val="000000"/>
          <w:lang w:val="fr-CH"/>
        </w:rPr>
        <w:t> :</w:t>
      </w:r>
    </w:p>
    <w:p w:rsidR="00826656" w:rsidRDefault="00826656" w:rsidP="00E705BD">
      <w:pPr>
        <w:rPr>
          <w:lang w:val="fr-CH"/>
        </w:rPr>
      </w:pPr>
    </w:p>
    <w:p w:rsidR="00826656" w:rsidRDefault="00811177" w:rsidP="00811177">
      <w:pPr>
        <w:pStyle w:val="ListParagraph"/>
        <w:numPr>
          <w:ilvl w:val="0"/>
          <w:numId w:val="2"/>
        </w:numPr>
        <w:ind w:left="851" w:hanging="284"/>
        <w:rPr>
          <w:lang w:val="fr-CH"/>
        </w:rPr>
      </w:pPr>
      <w:r w:rsidRPr="00811177">
        <w:rPr>
          <w:color w:val="000000"/>
          <w:lang w:val="fr-CH"/>
        </w:rPr>
        <w:t>Quels sont les domaines d</w:t>
      </w:r>
      <w:r w:rsidR="009104CD">
        <w:rPr>
          <w:color w:val="000000"/>
          <w:lang w:val="fr-CH"/>
        </w:rPr>
        <w:t>’</w:t>
      </w:r>
      <w:r w:rsidRPr="00811177">
        <w:rPr>
          <w:color w:val="000000"/>
          <w:lang w:val="fr-CH"/>
        </w:rPr>
        <w:t>intérêt commun entre l</w:t>
      </w:r>
      <w:r w:rsidR="009104CD">
        <w:rPr>
          <w:color w:val="000000"/>
          <w:lang w:val="fr-CH"/>
        </w:rPr>
        <w:t>’</w:t>
      </w:r>
      <w:r w:rsidRPr="00811177">
        <w:rPr>
          <w:color w:val="000000"/>
          <w:lang w:val="fr-CH"/>
        </w:rPr>
        <w:t>UPOV, l</w:t>
      </w:r>
      <w:r w:rsidR="009104CD">
        <w:rPr>
          <w:color w:val="000000"/>
          <w:lang w:val="fr-CH"/>
        </w:rPr>
        <w:t>’</w:t>
      </w:r>
      <w:r w:rsidRPr="00811177">
        <w:rPr>
          <w:color w:val="000000"/>
          <w:lang w:val="fr-CH"/>
        </w:rPr>
        <w:t>OCDE et l</w:t>
      </w:r>
      <w:r w:rsidR="009104CD">
        <w:rPr>
          <w:color w:val="000000"/>
          <w:lang w:val="fr-CH"/>
        </w:rPr>
        <w:t>’</w:t>
      </w:r>
      <w:r w:rsidRPr="00811177">
        <w:rPr>
          <w:color w:val="000000"/>
          <w:lang w:val="fr-CH"/>
        </w:rPr>
        <w:t xml:space="preserve">ISTA </w:t>
      </w:r>
      <w:r w:rsidR="004369C3">
        <w:rPr>
          <w:color w:val="000000"/>
          <w:lang w:val="fr-CH"/>
        </w:rPr>
        <w:t>concernant</w:t>
      </w:r>
      <w:r w:rsidRPr="00811177">
        <w:rPr>
          <w:color w:val="000000"/>
          <w:lang w:val="fr-CH"/>
        </w:rPr>
        <w:t xml:space="preserve"> l</w:t>
      </w:r>
      <w:r w:rsidR="009104CD">
        <w:rPr>
          <w:color w:val="000000"/>
          <w:lang w:val="fr-CH"/>
        </w:rPr>
        <w:t>’</w:t>
      </w:r>
      <w:r w:rsidRPr="00811177">
        <w:rPr>
          <w:color w:val="000000"/>
          <w:lang w:val="fr-CH"/>
        </w:rPr>
        <w:t>utilisation des techniques biochimiques et moléculaires?</w:t>
      </w:r>
    </w:p>
    <w:p w:rsidR="00826656" w:rsidRDefault="002030BA" w:rsidP="002030BA">
      <w:pPr>
        <w:pStyle w:val="ListParagraph"/>
        <w:numPr>
          <w:ilvl w:val="0"/>
          <w:numId w:val="2"/>
        </w:numPr>
        <w:ind w:left="851" w:hanging="284"/>
        <w:rPr>
          <w:lang w:val="fr-CH"/>
        </w:rPr>
      </w:pPr>
      <w:r w:rsidRPr="002030BA">
        <w:rPr>
          <w:color w:val="000000"/>
          <w:lang w:val="fr-CH"/>
        </w:rPr>
        <w:t>Quels thèmes conviendraient pour un atelier organisé conjointement par l</w:t>
      </w:r>
      <w:r w:rsidR="009104CD">
        <w:rPr>
          <w:color w:val="000000"/>
          <w:lang w:val="fr-CH"/>
        </w:rPr>
        <w:t>’</w:t>
      </w:r>
      <w:r w:rsidRPr="002030BA">
        <w:rPr>
          <w:color w:val="000000"/>
          <w:lang w:val="fr-CH"/>
        </w:rPr>
        <w:t>UPOV, l</w:t>
      </w:r>
      <w:r w:rsidR="009104CD">
        <w:rPr>
          <w:color w:val="000000"/>
          <w:lang w:val="fr-CH"/>
        </w:rPr>
        <w:t>’</w:t>
      </w:r>
      <w:r w:rsidRPr="002030BA">
        <w:rPr>
          <w:color w:val="000000"/>
          <w:lang w:val="fr-CH"/>
        </w:rPr>
        <w:t>OCDE et l</w:t>
      </w:r>
      <w:r w:rsidR="009104CD">
        <w:rPr>
          <w:color w:val="000000"/>
          <w:lang w:val="fr-CH"/>
        </w:rPr>
        <w:t>’</w:t>
      </w:r>
      <w:r w:rsidRPr="002030BA">
        <w:rPr>
          <w:color w:val="000000"/>
          <w:lang w:val="fr-CH"/>
        </w:rPr>
        <w:t>ISTA sur les techniques biochimiques et moléculaires?</w:t>
      </w:r>
    </w:p>
    <w:p w:rsidR="00826656" w:rsidRDefault="00826656" w:rsidP="00E705BD">
      <w:pPr>
        <w:rPr>
          <w:lang w:val="fr-CH"/>
        </w:rPr>
      </w:pPr>
    </w:p>
    <w:p w:rsidR="00826656" w:rsidRDefault="00E705BD" w:rsidP="00560D21">
      <w:pPr>
        <w:rPr>
          <w:lang w:val="fr-CH"/>
        </w:rPr>
      </w:pPr>
      <w:r w:rsidRPr="00A17C89">
        <w:fldChar w:fldCharType="begin"/>
      </w:r>
      <w:r w:rsidRPr="00560D21">
        <w:rPr>
          <w:lang w:val="fr-CH"/>
        </w:rPr>
        <w:instrText xml:space="preserve"> AUTONUM  </w:instrText>
      </w:r>
      <w:r w:rsidRPr="00A17C89">
        <w:fldChar w:fldCharType="end"/>
      </w:r>
      <w:r w:rsidRPr="00560D21">
        <w:rPr>
          <w:lang w:val="fr-CH"/>
        </w:rPr>
        <w:tab/>
      </w:r>
      <w:r w:rsidR="00560D21" w:rsidRPr="00560D21">
        <w:rPr>
          <w:color w:val="000000"/>
          <w:lang w:val="fr-CH"/>
        </w:rPr>
        <w:t>Le BMT a examiné les réponses au sondage, telles qu</w:t>
      </w:r>
      <w:r w:rsidR="009104CD">
        <w:rPr>
          <w:color w:val="000000"/>
          <w:lang w:val="fr-CH"/>
        </w:rPr>
        <w:t>’</w:t>
      </w:r>
      <w:r w:rsidR="00560D21" w:rsidRPr="00560D21">
        <w:rPr>
          <w:color w:val="000000"/>
          <w:lang w:val="fr-CH"/>
        </w:rPr>
        <w:t>elles sont reproduites à l</w:t>
      </w:r>
      <w:r w:rsidR="009104CD">
        <w:rPr>
          <w:color w:val="000000"/>
          <w:lang w:val="fr-CH"/>
        </w:rPr>
        <w:t>’</w:t>
      </w:r>
      <w:r w:rsidR="00484441" w:rsidRPr="00560D21">
        <w:rPr>
          <w:color w:val="000000"/>
          <w:lang w:val="fr-CH"/>
        </w:rPr>
        <w:t>annexe</w:t>
      </w:r>
      <w:r w:rsidR="00484441">
        <w:rPr>
          <w:color w:val="000000"/>
          <w:lang w:val="fr-CH"/>
        </w:rPr>
        <w:t> </w:t>
      </w:r>
      <w:r w:rsidR="00484441" w:rsidRPr="00560D21">
        <w:rPr>
          <w:color w:val="000000"/>
          <w:lang w:val="fr-CH"/>
        </w:rPr>
        <w:t>I</w:t>
      </w:r>
      <w:r w:rsidR="00560D21" w:rsidRPr="00560D21">
        <w:rPr>
          <w:color w:val="000000"/>
          <w:lang w:val="fr-CH"/>
        </w:rPr>
        <w:t>I du présent document, et il est convenu de proposer les thèmes possibles ci</w:t>
      </w:r>
      <w:r w:rsidR="009104CD">
        <w:rPr>
          <w:color w:val="000000"/>
          <w:lang w:val="fr-CH"/>
        </w:rPr>
        <w:t>-</w:t>
      </w:r>
      <w:r w:rsidR="00560D21" w:rsidRPr="00560D21">
        <w:rPr>
          <w:color w:val="000000"/>
          <w:lang w:val="fr-CH"/>
        </w:rPr>
        <w:t>après pour un futur atelier organisé conjointement par l</w:t>
      </w:r>
      <w:r w:rsidR="009104CD">
        <w:rPr>
          <w:color w:val="000000"/>
          <w:lang w:val="fr-CH"/>
        </w:rPr>
        <w:t>’</w:t>
      </w:r>
      <w:r w:rsidR="00560D21" w:rsidRPr="00560D21">
        <w:rPr>
          <w:color w:val="000000"/>
          <w:lang w:val="fr-CH"/>
        </w:rPr>
        <w:t>UPOV, l</w:t>
      </w:r>
      <w:r w:rsidR="009104CD">
        <w:rPr>
          <w:color w:val="000000"/>
          <w:lang w:val="fr-CH"/>
        </w:rPr>
        <w:t>’</w:t>
      </w:r>
      <w:r w:rsidR="00560D21" w:rsidRPr="00560D21">
        <w:rPr>
          <w:color w:val="000000"/>
          <w:lang w:val="fr-CH"/>
        </w:rPr>
        <w:t>OCDE et l</w:t>
      </w:r>
      <w:r w:rsidR="009104CD">
        <w:rPr>
          <w:color w:val="000000"/>
          <w:lang w:val="fr-CH"/>
        </w:rPr>
        <w:t>’</w:t>
      </w:r>
      <w:r w:rsidR="00560D21" w:rsidRPr="00560D21">
        <w:rPr>
          <w:color w:val="000000"/>
          <w:lang w:val="fr-CH"/>
        </w:rPr>
        <w:t>ISTA</w:t>
      </w:r>
      <w:r w:rsidR="009104CD">
        <w:rPr>
          <w:color w:val="000000"/>
          <w:lang w:val="fr-CH"/>
        </w:rPr>
        <w:t> :</w:t>
      </w:r>
    </w:p>
    <w:p w:rsidR="00826656" w:rsidRDefault="00826656" w:rsidP="00E705BD">
      <w:pPr>
        <w:rPr>
          <w:lang w:val="fr-CH"/>
        </w:rPr>
      </w:pPr>
    </w:p>
    <w:p w:rsidR="00826656" w:rsidRDefault="00560D21" w:rsidP="00560D21">
      <w:pPr>
        <w:pStyle w:val="ListParagraph"/>
        <w:numPr>
          <w:ilvl w:val="0"/>
          <w:numId w:val="1"/>
        </w:numPr>
        <w:ind w:left="851" w:hanging="284"/>
        <w:rPr>
          <w:lang w:val="fr-CH"/>
        </w:rPr>
      </w:pPr>
      <w:r w:rsidRPr="00560D21">
        <w:rPr>
          <w:color w:val="000000"/>
          <w:lang w:val="fr-CH"/>
        </w:rPr>
        <w:t>fourniture d</w:t>
      </w:r>
      <w:r w:rsidR="009104CD">
        <w:rPr>
          <w:color w:val="000000"/>
          <w:lang w:val="fr-CH"/>
        </w:rPr>
        <w:t>’</w:t>
      </w:r>
      <w:r w:rsidRPr="00560D21">
        <w:rPr>
          <w:color w:val="000000"/>
          <w:lang w:val="fr-CH"/>
        </w:rPr>
        <w:t>informations sur l</w:t>
      </w:r>
      <w:r w:rsidR="009104CD">
        <w:rPr>
          <w:color w:val="000000"/>
          <w:lang w:val="fr-CH"/>
        </w:rPr>
        <w:t>’</w:t>
      </w:r>
      <w:r w:rsidRPr="00560D21">
        <w:rPr>
          <w:color w:val="000000"/>
          <w:lang w:val="fr-CH"/>
        </w:rPr>
        <w:t>utilisation des techniques moléculaires dans chaque organisation;</w:t>
      </w:r>
    </w:p>
    <w:p w:rsidR="00826656" w:rsidRDefault="00560D21" w:rsidP="00560D21">
      <w:pPr>
        <w:pStyle w:val="ListParagraph"/>
        <w:numPr>
          <w:ilvl w:val="0"/>
          <w:numId w:val="1"/>
        </w:numPr>
        <w:ind w:left="851" w:hanging="284"/>
        <w:rPr>
          <w:lang w:val="fr-CH"/>
        </w:rPr>
      </w:pPr>
      <w:r w:rsidRPr="00560D21">
        <w:rPr>
          <w:color w:val="000000"/>
          <w:lang w:val="fr-CH"/>
        </w:rPr>
        <w:t>procédure d</w:t>
      </w:r>
      <w:r w:rsidR="009104CD">
        <w:rPr>
          <w:color w:val="000000"/>
          <w:lang w:val="fr-CH"/>
        </w:rPr>
        <w:t>’</w:t>
      </w:r>
      <w:r w:rsidRPr="00560D21">
        <w:rPr>
          <w:color w:val="000000"/>
          <w:lang w:val="fr-CH"/>
        </w:rPr>
        <w:t xml:space="preserve">approbation des méthodes biochimiques et moléculaires dans chaque organisation; </w:t>
      </w:r>
      <w:r w:rsidR="00D2510D">
        <w:rPr>
          <w:color w:val="000000"/>
          <w:lang w:val="fr-CH"/>
        </w:rPr>
        <w:t xml:space="preserve"> </w:t>
      </w:r>
      <w:r w:rsidRPr="00560D21">
        <w:rPr>
          <w:color w:val="000000"/>
          <w:lang w:val="fr-CH"/>
        </w:rPr>
        <w:t>et</w:t>
      </w:r>
    </w:p>
    <w:p w:rsidR="00484441" w:rsidRDefault="00560D21" w:rsidP="00560D21">
      <w:pPr>
        <w:pStyle w:val="ListParagraph"/>
        <w:numPr>
          <w:ilvl w:val="0"/>
          <w:numId w:val="1"/>
        </w:numPr>
        <w:ind w:left="851" w:hanging="284"/>
        <w:rPr>
          <w:lang w:val="fr-CH"/>
        </w:rPr>
      </w:pPr>
      <w:r w:rsidRPr="00560D21">
        <w:rPr>
          <w:color w:val="000000"/>
          <w:lang w:val="fr-CH"/>
        </w:rPr>
        <w:t>possibilités d</w:t>
      </w:r>
      <w:r w:rsidR="009104CD">
        <w:rPr>
          <w:color w:val="000000"/>
          <w:lang w:val="fr-CH"/>
        </w:rPr>
        <w:t>’</w:t>
      </w:r>
      <w:r w:rsidRPr="00560D21">
        <w:rPr>
          <w:color w:val="000000"/>
          <w:lang w:val="fr-CH"/>
        </w:rPr>
        <w:t>harmonisation des méthodes entre l</w:t>
      </w:r>
      <w:r w:rsidR="009104CD">
        <w:rPr>
          <w:color w:val="000000"/>
          <w:lang w:val="fr-CH"/>
        </w:rPr>
        <w:t>’</w:t>
      </w:r>
      <w:r w:rsidRPr="00560D21">
        <w:rPr>
          <w:color w:val="000000"/>
          <w:lang w:val="fr-CH"/>
        </w:rPr>
        <w:t>UPOV, l</w:t>
      </w:r>
      <w:r w:rsidR="009104CD">
        <w:rPr>
          <w:color w:val="000000"/>
          <w:lang w:val="fr-CH"/>
        </w:rPr>
        <w:t>’</w:t>
      </w:r>
      <w:r w:rsidRPr="00560D21">
        <w:rPr>
          <w:color w:val="000000"/>
          <w:lang w:val="fr-CH"/>
        </w:rPr>
        <w:t>OCDE et l</w:t>
      </w:r>
      <w:r w:rsidR="009104CD">
        <w:rPr>
          <w:color w:val="000000"/>
          <w:lang w:val="fr-CH"/>
        </w:rPr>
        <w:t>’</w:t>
      </w:r>
      <w:r w:rsidRPr="00560D21">
        <w:rPr>
          <w:color w:val="000000"/>
          <w:lang w:val="fr-CH"/>
        </w:rPr>
        <w:t>ISTA.</w:t>
      </w:r>
    </w:p>
    <w:p w:rsidR="00826656" w:rsidRDefault="00826656" w:rsidP="00E705BD">
      <w:pPr>
        <w:pStyle w:val="ListParagraph"/>
        <w:ind w:left="851"/>
        <w:rPr>
          <w:lang w:val="fr-CH"/>
        </w:rPr>
      </w:pPr>
    </w:p>
    <w:p w:rsidR="00826656" w:rsidRDefault="00E705BD" w:rsidP="004369C3">
      <w:pPr>
        <w:keepNext/>
        <w:keepLines/>
        <w:tabs>
          <w:tab w:val="left" w:pos="5387"/>
          <w:tab w:val="left" w:pos="5954"/>
        </w:tabs>
        <w:ind w:left="4820"/>
        <w:rPr>
          <w:i/>
          <w:lang w:val="fr-CH"/>
        </w:rPr>
      </w:pPr>
      <w:r w:rsidRPr="005D0BEA">
        <w:rPr>
          <w:i/>
        </w:rPr>
        <w:fldChar w:fldCharType="begin"/>
      </w:r>
      <w:r w:rsidRPr="00560D21">
        <w:rPr>
          <w:i/>
          <w:lang w:val="fr-CH"/>
        </w:rPr>
        <w:instrText xml:space="preserve"> AUTONUM  </w:instrText>
      </w:r>
      <w:r w:rsidRPr="005D0BEA">
        <w:rPr>
          <w:i/>
        </w:rPr>
        <w:fldChar w:fldCharType="end"/>
      </w:r>
      <w:r w:rsidRPr="00560D21">
        <w:rPr>
          <w:i/>
          <w:lang w:val="fr-CH"/>
        </w:rPr>
        <w:tab/>
      </w:r>
      <w:r w:rsidR="00560D21" w:rsidRPr="00560D21">
        <w:rPr>
          <w:i/>
          <w:color w:val="000000"/>
          <w:lang w:val="fr-CH"/>
        </w:rPr>
        <w:t>Le</w:t>
      </w:r>
      <w:r w:rsidR="009104CD">
        <w:rPr>
          <w:i/>
          <w:color w:val="000000"/>
          <w:lang w:val="fr-CH"/>
        </w:rPr>
        <w:t> TC</w:t>
      </w:r>
      <w:r w:rsidR="00560D21" w:rsidRPr="00560D21">
        <w:rPr>
          <w:i/>
          <w:color w:val="000000"/>
          <w:lang w:val="fr-CH"/>
        </w:rPr>
        <w:t xml:space="preserve"> est invité à examiner les thèmes possibles ci</w:t>
      </w:r>
      <w:r w:rsidR="009104CD">
        <w:rPr>
          <w:i/>
          <w:color w:val="000000"/>
          <w:lang w:val="fr-CH"/>
        </w:rPr>
        <w:t>-</w:t>
      </w:r>
      <w:r w:rsidR="00560D21" w:rsidRPr="00560D21">
        <w:rPr>
          <w:i/>
          <w:color w:val="000000"/>
          <w:lang w:val="fr-CH"/>
        </w:rPr>
        <w:t>après pour un futur atelier organisé conjointement par l</w:t>
      </w:r>
      <w:r w:rsidR="009104CD">
        <w:rPr>
          <w:i/>
          <w:color w:val="000000"/>
          <w:lang w:val="fr-CH"/>
        </w:rPr>
        <w:t>’</w:t>
      </w:r>
      <w:r w:rsidR="00560D21" w:rsidRPr="00560D21">
        <w:rPr>
          <w:i/>
          <w:color w:val="000000"/>
          <w:lang w:val="fr-CH"/>
        </w:rPr>
        <w:t>UPOV, l</w:t>
      </w:r>
      <w:r w:rsidR="009104CD">
        <w:rPr>
          <w:i/>
          <w:color w:val="000000"/>
          <w:lang w:val="fr-CH"/>
        </w:rPr>
        <w:t>’</w:t>
      </w:r>
      <w:r w:rsidR="00560D21" w:rsidRPr="00560D21">
        <w:rPr>
          <w:i/>
          <w:color w:val="000000"/>
          <w:lang w:val="fr-CH"/>
        </w:rPr>
        <w:t>OCDE et l</w:t>
      </w:r>
      <w:r w:rsidR="009104CD">
        <w:rPr>
          <w:i/>
          <w:color w:val="000000"/>
          <w:lang w:val="fr-CH"/>
        </w:rPr>
        <w:t>’</w:t>
      </w:r>
      <w:r w:rsidR="00560D21" w:rsidRPr="00560D21">
        <w:rPr>
          <w:i/>
          <w:color w:val="000000"/>
          <w:lang w:val="fr-CH"/>
        </w:rPr>
        <w:t>ISTA</w:t>
      </w:r>
      <w:r w:rsidR="009104CD">
        <w:rPr>
          <w:i/>
          <w:color w:val="000000"/>
          <w:lang w:val="fr-CH"/>
        </w:rPr>
        <w:t> :</w:t>
      </w:r>
    </w:p>
    <w:p w:rsidR="00826656" w:rsidRDefault="00826656" w:rsidP="004369C3">
      <w:pPr>
        <w:keepNext/>
        <w:keepLines/>
        <w:tabs>
          <w:tab w:val="left" w:pos="5954"/>
        </w:tabs>
        <w:ind w:left="4820" w:firstLine="567"/>
        <w:rPr>
          <w:i/>
          <w:lang w:val="fr-CH"/>
        </w:rPr>
      </w:pPr>
    </w:p>
    <w:p w:rsidR="00826656" w:rsidRDefault="007B33E1" w:rsidP="004369C3">
      <w:pPr>
        <w:pStyle w:val="DecisionParagraphs"/>
        <w:keepNext/>
        <w:keepLines/>
        <w:rPr>
          <w:lang w:val="fr-CH"/>
        </w:rPr>
      </w:pPr>
      <w:r>
        <w:rPr>
          <w:lang w:val="fr-CH"/>
        </w:rPr>
        <w:tab/>
      </w:r>
      <w:r w:rsidR="00E705BD" w:rsidRPr="00560D21">
        <w:rPr>
          <w:lang w:val="fr-CH"/>
        </w:rPr>
        <w:t>i)</w:t>
      </w:r>
      <w:r w:rsidR="00E705BD" w:rsidRPr="00560D21">
        <w:rPr>
          <w:lang w:val="fr-CH"/>
        </w:rPr>
        <w:tab/>
      </w:r>
      <w:r w:rsidR="00560D21" w:rsidRPr="00560D21">
        <w:rPr>
          <w:color w:val="000000"/>
          <w:lang w:val="fr-CH"/>
        </w:rPr>
        <w:t>fourniture d</w:t>
      </w:r>
      <w:r w:rsidR="009104CD">
        <w:rPr>
          <w:color w:val="000000"/>
          <w:lang w:val="fr-CH"/>
        </w:rPr>
        <w:t>’</w:t>
      </w:r>
      <w:r w:rsidR="00560D21" w:rsidRPr="00560D21">
        <w:rPr>
          <w:color w:val="000000"/>
          <w:lang w:val="fr-CH"/>
        </w:rPr>
        <w:t>informations sur l</w:t>
      </w:r>
      <w:r w:rsidR="009104CD">
        <w:rPr>
          <w:color w:val="000000"/>
          <w:lang w:val="fr-CH"/>
        </w:rPr>
        <w:t>’</w:t>
      </w:r>
      <w:r w:rsidR="00560D21" w:rsidRPr="00560D21">
        <w:rPr>
          <w:color w:val="000000"/>
          <w:lang w:val="fr-CH"/>
        </w:rPr>
        <w:t>utilisation des techniques moléculaires dans chaque organisation</w:t>
      </w:r>
      <w:r w:rsidR="00E705BD" w:rsidRPr="00560D21">
        <w:rPr>
          <w:lang w:val="fr-CH"/>
        </w:rPr>
        <w:t>;</w:t>
      </w:r>
    </w:p>
    <w:p w:rsidR="00826656" w:rsidRDefault="00E705BD" w:rsidP="00E705BD">
      <w:pPr>
        <w:pStyle w:val="DecisionParagraphs"/>
        <w:rPr>
          <w:lang w:val="fr-CH"/>
        </w:rPr>
      </w:pPr>
      <w:r w:rsidRPr="00560D21">
        <w:rPr>
          <w:lang w:val="fr-CH"/>
        </w:rPr>
        <w:tab/>
        <w:t>ii)</w:t>
      </w:r>
      <w:r w:rsidRPr="00560D21">
        <w:rPr>
          <w:lang w:val="fr-CH"/>
        </w:rPr>
        <w:tab/>
      </w:r>
      <w:r w:rsidR="00560D21" w:rsidRPr="00560D21">
        <w:rPr>
          <w:color w:val="000000"/>
          <w:lang w:val="fr-CH"/>
        </w:rPr>
        <w:t>procédure d</w:t>
      </w:r>
      <w:r w:rsidR="009104CD">
        <w:rPr>
          <w:color w:val="000000"/>
          <w:lang w:val="fr-CH"/>
        </w:rPr>
        <w:t>’</w:t>
      </w:r>
      <w:r w:rsidR="00560D21" w:rsidRPr="00560D21">
        <w:rPr>
          <w:color w:val="000000"/>
          <w:lang w:val="fr-CH"/>
        </w:rPr>
        <w:t>approbation des méthodes biochimiques et moléculaires dans chaque organisation</w:t>
      </w:r>
      <w:r w:rsidRPr="00560D21">
        <w:rPr>
          <w:lang w:val="fr-CH"/>
        </w:rPr>
        <w:t xml:space="preserve">; </w:t>
      </w:r>
      <w:r w:rsidR="00560D21">
        <w:rPr>
          <w:lang w:val="fr-CH"/>
        </w:rPr>
        <w:t xml:space="preserve"> et</w:t>
      </w:r>
    </w:p>
    <w:p w:rsidR="00484441" w:rsidRDefault="00E705BD" w:rsidP="00E705BD">
      <w:pPr>
        <w:pStyle w:val="DecisionParagraphs"/>
        <w:rPr>
          <w:lang w:val="fr-CH"/>
        </w:rPr>
      </w:pPr>
      <w:r w:rsidRPr="00560D21">
        <w:rPr>
          <w:lang w:val="fr-CH"/>
        </w:rPr>
        <w:tab/>
        <w:t>iii)</w:t>
      </w:r>
      <w:r w:rsidRPr="00560D21">
        <w:rPr>
          <w:lang w:val="fr-CH"/>
        </w:rPr>
        <w:tab/>
      </w:r>
      <w:r w:rsidR="00560D21" w:rsidRPr="00560D21">
        <w:rPr>
          <w:color w:val="000000"/>
          <w:lang w:val="fr-CH"/>
        </w:rPr>
        <w:t>possibilités d</w:t>
      </w:r>
      <w:r w:rsidR="009104CD">
        <w:rPr>
          <w:color w:val="000000"/>
          <w:lang w:val="fr-CH"/>
        </w:rPr>
        <w:t>’</w:t>
      </w:r>
      <w:r w:rsidR="00560D21" w:rsidRPr="00560D21">
        <w:rPr>
          <w:color w:val="000000"/>
          <w:lang w:val="fr-CH"/>
        </w:rPr>
        <w:t>harmonisation des méthodes entre l</w:t>
      </w:r>
      <w:r w:rsidR="009104CD">
        <w:rPr>
          <w:color w:val="000000"/>
          <w:lang w:val="fr-CH"/>
        </w:rPr>
        <w:t>’</w:t>
      </w:r>
      <w:r w:rsidR="00560D21" w:rsidRPr="00560D21">
        <w:rPr>
          <w:color w:val="000000"/>
          <w:lang w:val="fr-CH"/>
        </w:rPr>
        <w:t>UPOV, l</w:t>
      </w:r>
      <w:r w:rsidR="009104CD">
        <w:rPr>
          <w:color w:val="000000"/>
          <w:lang w:val="fr-CH"/>
        </w:rPr>
        <w:t>’</w:t>
      </w:r>
      <w:r w:rsidR="00560D21" w:rsidRPr="00560D21">
        <w:rPr>
          <w:color w:val="000000"/>
          <w:lang w:val="fr-CH"/>
        </w:rPr>
        <w:t>OCDE et l</w:t>
      </w:r>
      <w:r w:rsidR="009104CD">
        <w:rPr>
          <w:color w:val="000000"/>
          <w:lang w:val="fr-CH"/>
        </w:rPr>
        <w:t>’</w:t>
      </w:r>
      <w:r w:rsidR="00560D21" w:rsidRPr="00560D21">
        <w:rPr>
          <w:color w:val="000000"/>
          <w:lang w:val="fr-CH"/>
        </w:rPr>
        <w:t>ISTA</w:t>
      </w:r>
      <w:r w:rsidRPr="00560D21">
        <w:rPr>
          <w:lang w:val="fr-CH"/>
        </w:rPr>
        <w:t>.</w:t>
      </w:r>
    </w:p>
    <w:p w:rsidR="00826656" w:rsidRDefault="00826656" w:rsidP="00E705BD">
      <w:pPr>
        <w:rPr>
          <w:lang w:val="fr-CH"/>
        </w:rPr>
      </w:pPr>
    </w:p>
    <w:p w:rsidR="00826656" w:rsidRDefault="00826656" w:rsidP="00E705BD">
      <w:pPr>
        <w:rPr>
          <w:lang w:val="fr-CH"/>
        </w:rPr>
      </w:pPr>
    </w:p>
    <w:p w:rsidR="00826656" w:rsidRPr="00D81784" w:rsidRDefault="00113F64" w:rsidP="00113F64">
      <w:pPr>
        <w:pStyle w:val="Heading2"/>
        <w:rPr>
          <w:lang w:val="fr-CH"/>
        </w:rPr>
      </w:pPr>
      <w:bookmarkStart w:id="5" w:name="_Toc85632855"/>
      <w:r w:rsidRPr="00D81784">
        <w:rPr>
          <w:lang w:val="fr-CH"/>
        </w:rPr>
        <w:t>Document commun présentant les particularités des systèmes de l</w:t>
      </w:r>
      <w:r w:rsidR="009104CD">
        <w:rPr>
          <w:lang w:val="fr-CH"/>
        </w:rPr>
        <w:t>’</w:t>
      </w:r>
      <w:r w:rsidRPr="00D81784">
        <w:rPr>
          <w:lang w:val="fr-CH"/>
        </w:rPr>
        <w:t>OCDE, de l</w:t>
      </w:r>
      <w:r w:rsidR="009104CD">
        <w:rPr>
          <w:lang w:val="fr-CH"/>
        </w:rPr>
        <w:t>’</w:t>
      </w:r>
      <w:r w:rsidRPr="00D81784">
        <w:rPr>
          <w:lang w:val="fr-CH"/>
        </w:rPr>
        <w:t>UPOV et de l</w:t>
      </w:r>
      <w:r w:rsidR="009104CD">
        <w:rPr>
          <w:lang w:val="fr-CH"/>
        </w:rPr>
        <w:t>’</w:t>
      </w:r>
      <w:r w:rsidRPr="00D81784">
        <w:rPr>
          <w:lang w:val="fr-CH"/>
        </w:rPr>
        <w:t>ISTA</w:t>
      </w:r>
      <w:bookmarkEnd w:id="5"/>
    </w:p>
    <w:p w:rsidR="00826656" w:rsidRPr="00D81784" w:rsidRDefault="00826656" w:rsidP="00E705BD">
      <w:pPr>
        <w:keepNext/>
        <w:rPr>
          <w:lang w:val="fr-CH"/>
        </w:rPr>
      </w:pPr>
    </w:p>
    <w:p w:rsidR="00826656" w:rsidRPr="00D81784" w:rsidRDefault="00E705BD" w:rsidP="00113F64">
      <w:pPr>
        <w:keepNext/>
        <w:rPr>
          <w:lang w:val="fr-CH"/>
        </w:rPr>
      </w:pPr>
      <w:r w:rsidRPr="00D81784">
        <w:fldChar w:fldCharType="begin"/>
      </w:r>
      <w:r w:rsidRPr="00D81784">
        <w:rPr>
          <w:lang w:val="fr-CH"/>
        </w:rPr>
        <w:instrText xml:space="preserve"> AUTONUM  </w:instrText>
      </w:r>
      <w:r w:rsidRPr="00D81784">
        <w:fldChar w:fldCharType="end"/>
      </w:r>
      <w:r w:rsidRPr="00D81784">
        <w:rPr>
          <w:lang w:val="fr-CH"/>
        </w:rPr>
        <w:tab/>
      </w:r>
      <w:r w:rsidR="00113F64" w:rsidRPr="00D81784">
        <w:rPr>
          <w:lang w:val="fr-CH"/>
        </w:rPr>
        <w:t>Les TWP et</w:t>
      </w:r>
      <w:r w:rsidR="00484441" w:rsidRPr="00D81784">
        <w:rPr>
          <w:lang w:val="fr-CH"/>
        </w:rPr>
        <w:t xml:space="preserve"> le BMT</w:t>
      </w:r>
      <w:r w:rsidR="00113F64" w:rsidRPr="00D81784">
        <w:rPr>
          <w:lang w:val="fr-CH"/>
        </w:rPr>
        <w:t xml:space="preserve"> ont noté qu</w:t>
      </w:r>
      <w:r w:rsidR="009104CD">
        <w:rPr>
          <w:lang w:val="fr-CH"/>
        </w:rPr>
        <w:t>’</w:t>
      </w:r>
      <w:r w:rsidR="00113F64" w:rsidRPr="00D81784">
        <w:rPr>
          <w:lang w:val="fr-CH"/>
        </w:rPr>
        <w:t>un projet de document commun présentant les particularités des systèmes de l</w:t>
      </w:r>
      <w:r w:rsidR="009104CD">
        <w:rPr>
          <w:lang w:val="fr-CH"/>
        </w:rPr>
        <w:t>’</w:t>
      </w:r>
      <w:r w:rsidR="00113F64" w:rsidRPr="00D81784">
        <w:rPr>
          <w:lang w:val="fr-CH"/>
        </w:rPr>
        <w:t>OCDE, de l</w:t>
      </w:r>
      <w:r w:rsidR="009104CD">
        <w:rPr>
          <w:lang w:val="fr-CH"/>
        </w:rPr>
        <w:t>’</w:t>
      </w:r>
      <w:r w:rsidR="00113F64" w:rsidRPr="00D81784">
        <w:rPr>
          <w:lang w:val="fr-CH"/>
        </w:rPr>
        <w:t>UPOV et de l</w:t>
      </w:r>
      <w:r w:rsidR="009104CD">
        <w:rPr>
          <w:lang w:val="fr-CH"/>
        </w:rPr>
        <w:t>’</w:t>
      </w:r>
      <w:r w:rsidR="00113F64" w:rsidRPr="00D81784">
        <w:rPr>
          <w:lang w:val="fr-CH"/>
        </w:rPr>
        <w:t>ISTA serait présenté pour examen par le</w:t>
      </w:r>
      <w:r w:rsidR="009104CD">
        <w:rPr>
          <w:lang w:val="fr-CH"/>
        </w:rPr>
        <w:t> TC</w:t>
      </w:r>
      <w:r w:rsidR="00113F64" w:rsidRPr="00D81784">
        <w:rPr>
          <w:lang w:val="fr-CH"/>
        </w:rPr>
        <w:t xml:space="preserve"> à sa cinquante</w:t>
      </w:r>
      <w:r w:rsidR="00B91E7F">
        <w:rPr>
          <w:lang w:val="fr-CH"/>
        </w:rPr>
        <w:noBreakHyphen/>
      </w:r>
      <w:r w:rsidR="00113F64" w:rsidRPr="00D81784">
        <w:rPr>
          <w:lang w:val="fr-CH"/>
        </w:rPr>
        <w:t>sept</w:t>
      </w:r>
      <w:r w:rsidR="009104CD">
        <w:rPr>
          <w:lang w:val="fr-CH"/>
        </w:rPr>
        <w:t>ième session</w:t>
      </w:r>
      <w:r w:rsidR="00113F64" w:rsidRPr="00D81784">
        <w:rPr>
          <w:lang w:val="fr-CH"/>
        </w:rPr>
        <w:t>.</w:t>
      </w:r>
    </w:p>
    <w:p w:rsidR="00826656" w:rsidRPr="00D81784" w:rsidRDefault="00826656" w:rsidP="00E705BD">
      <w:pPr>
        <w:keepNext/>
        <w:rPr>
          <w:lang w:val="fr-CH"/>
        </w:rPr>
      </w:pPr>
    </w:p>
    <w:p w:rsidR="00826656" w:rsidRPr="00D81784" w:rsidRDefault="00E705BD" w:rsidP="00790695">
      <w:pPr>
        <w:keepNext/>
        <w:rPr>
          <w:lang w:val="fr-CH"/>
        </w:rPr>
      </w:pPr>
      <w:r w:rsidRPr="00D81784">
        <w:fldChar w:fldCharType="begin"/>
      </w:r>
      <w:r w:rsidRPr="00D81784">
        <w:rPr>
          <w:lang w:val="fr-CH"/>
        </w:rPr>
        <w:instrText xml:space="preserve"> AUTONUM  </w:instrText>
      </w:r>
      <w:r w:rsidRPr="00D81784">
        <w:fldChar w:fldCharType="end"/>
      </w:r>
      <w:r w:rsidRPr="00D81784">
        <w:rPr>
          <w:lang w:val="fr-CH"/>
        </w:rPr>
        <w:tab/>
      </w:r>
      <w:r w:rsidR="00790695" w:rsidRPr="00D81784">
        <w:rPr>
          <w:lang w:val="fr-CH"/>
        </w:rPr>
        <w:t>À sa vingt</w:t>
      </w:r>
      <w:r w:rsidR="009104CD">
        <w:rPr>
          <w:lang w:val="fr-CH"/>
        </w:rPr>
        <w:t>ième session</w:t>
      </w:r>
      <w:r w:rsidR="00790695" w:rsidRPr="00D81784">
        <w:rPr>
          <w:lang w:val="fr-CH"/>
        </w:rPr>
        <w:t>,</w:t>
      </w:r>
      <w:r w:rsidR="00484441" w:rsidRPr="00D81784">
        <w:rPr>
          <w:lang w:val="fr-CH"/>
        </w:rPr>
        <w:t xml:space="preserve"> le BMT</w:t>
      </w:r>
      <w:r w:rsidR="00790695" w:rsidRPr="00D81784">
        <w:rPr>
          <w:lang w:val="fr-CH"/>
        </w:rPr>
        <w:t xml:space="preserve"> a noté que, sous réserve de l</w:t>
      </w:r>
      <w:r w:rsidR="009104CD">
        <w:rPr>
          <w:lang w:val="fr-CH"/>
        </w:rPr>
        <w:t>’</w:t>
      </w:r>
      <w:r w:rsidR="00790695" w:rsidRPr="00D81784">
        <w:rPr>
          <w:lang w:val="fr-CH"/>
        </w:rPr>
        <w:t>approbation du projet de document commun par le</w:t>
      </w:r>
      <w:r w:rsidR="009104CD">
        <w:rPr>
          <w:lang w:val="fr-CH"/>
        </w:rPr>
        <w:t> TC</w:t>
      </w:r>
      <w:r w:rsidR="00790695" w:rsidRPr="00D81784">
        <w:rPr>
          <w:lang w:val="fr-CH"/>
        </w:rPr>
        <w:t>, celui</w:t>
      </w:r>
      <w:r w:rsidR="009104CD">
        <w:rPr>
          <w:lang w:val="fr-CH"/>
        </w:rPr>
        <w:t>-</w:t>
      </w:r>
      <w:r w:rsidR="00790695" w:rsidRPr="00D81784">
        <w:rPr>
          <w:lang w:val="fr-CH"/>
        </w:rPr>
        <w:t>ci serait invité à demander au Bureau de l</w:t>
      </w:r>
      <w:r w:rsidR="009104CD">
        <w:rPr>
          <w:lang w:val="fr-CH"/>
        </w:rPr>
        <w:t>’</w:t>
      </w:r>
      <w:r w:rsidR="00790695" w:rsidRPr="00D81784">
        <w:rPr>
          <w:lang w:val="fr-CH"/>
        </w:rPr>
        <w:t>Union d</w:t>
      </w:r>
      <w:r w:rsidR="009104CD">
        <w:rPr>
          <w:lang w:val="fr-CH"/>
        </w:rPr>
        <w:t>’</w:t>
      </w:r>
      <w:r w:rsidR="00790695" w:rsidRPr="00D81784">
        <w:rPr>
          <w:lang w:val="fr-CH"/>
        </w:rPr>
        <w:t>en informer l</w:t>
      </w:r>
      <w:r w:rsidR="009104CD">
        <w:rPr>
          <w:lang w:val="fr-CH"/>
        </w:rPr>
        <w:t>’</w:t>
      </w:r>
      <w:r w:rsidR="00790695" w:rsidRPr="00D81784">
        <w:rPr>
          <w:lang w:val="fr-CH"/>
        </w:rPr>
        <w:t>OCDE et l</w:t>
      </w:r>
      <w:r w:rsidR="009104CD">
        <w:rPr>
          <w:lang w:val="fr-CH"/>
        </w:rPr>
        <w:t>’</w:t>
      </w:r>
      <w:r w:rsidR="00790695" w:rsidRPr="00D81784">
        <w:rPr>
          <w:lang w:val="fr-CH"/>
        </w:rPr>
        <w:t>ISTA.</w:t>
      </w:r>
    </w:p>
    <w:p w:rsidR="00826656" w:rsidRPr="00D81784" w:rsidRDefault="00826656" w:rsidP="00E705BD">
      <w:pPr>
        <w:rPr>
          <w:lang w:val="fr-CH" w:eastAsia="ja-JP"/>
        </w:rPr>
      </w:pPr>
    </w:p>
    <w:p w:rsidR="00826656" w:rsidRPr="00D81784" w:rsidRDefault="00826656" w:rsidP="00E705BD">
      <w:pPr>
        <w:keepNext/>
        <w:rPr>
          <w:lang w:val="fr-CH"/>
        </w:rPr>
      </w:pPr>
    </w:p>
    <w:p w:rsidR="00826656" w:rsidRPr="00D81784" w:rsidRDefault="00790695" w:rsidP="00790695">
      <w:pPr>
        <w:pStyle w:val="Heading2"/>
        <w:rPr>
          <w:lang w:val="fr-CH"/>
        </w:rPr>
      </w:pPr>
      <w:bookmarkStart w:id="6" w:name="_Toc85632856"/>
      <w:r w:rsidRPr="00D81784">
        <w:rPr>
          <w:lang w:val="fr-CH"/>
        </w:rPr>
        <w:t>Inventaire, par plante, de l</w:t>
      </w:r>
      <w:r w:rsidR="009104CD">
        <w:rPr>
          <w:lang w:val="fr-CH"/>
        </w:rPr>
        <w:t>’</w:t>
      </w:r>
      <w:r w:rsidRPr="00D81784">
        <w:rPr>
          <w:lang w:val="fr-CH"/>
        </w:rPr>
        <w:t>utilisation des techniques faisant intervenir des marqueurs moléculaires</w:t>
      </w:r>
      <w:bookmarkEnd w:id="6"/>
    </w:p>
    <w:p w:rsidR="00826656" w:rsidRPr="00D81784" w:rsidRDefault="00826656" w:rsidP="00E705BD">
      <w:pPr>
        <w:keepNext/>
        <w:rPr>
          <w:lang w:val="fr-CH"/>
        </w:rPr>
      </w:pPr>
    </w:p>
    <w:p w:rsidR="00826656" w:rsidRPr="00D81784" w:rsidRDefault="00E705BD" w:rsidP="00790695">
      <w:pPr>
        <w:rPr>
          <w:lang w:val="fr-CH"/>
        </w:rPr>
      </w:pPr>
      <w:r w:rsidRPr="00D81784">
        <w:fldChar w:fldCharType="begin"/>
      </w:r>
      <w:r w:rsidRPr="00D81784">
        <w:rPr>
          <w:lang w:val="fr-CH"/>
        </w:rPr>
        <w:instrText xml:space="preserve"> AUTONUM  </w:instrText>
      </w:r>
      <w:r w:rsidRPr="00D81784">
        <w:fldChar w:fldCharType="end"/>
      </w:r>
      <w:r w:rsidRPr="00D81784">
        <w:rPr>
          <w:lang w:val="fr-CH"/>
        </w:rPr>
        <w:tab/>
      </w:r>
      <w:r w:rsidR="00790695" w:rsidRPr="00D81784">
        <w:rPr>
          <w:lang w:val="fr-CH"/>
        </w:rPr>
        <w:t>Les TWP et</w:t>
      </w:r>
      <w:r w:rsidR="00484441" w:rsidRPr="00D81784">
        <w:rPr>
          <w:lang w:val="fr-CH"/>
        </w:rPr>
        <w:t xml:space="preserve"> le BMT</w:t>
      </w:r>
      <w:r w:rsidR="00790695" w:rsidRPr="00D81784">
        <w:rPr>
          <w:lang w:val="fr-CH"/>
        </w:rPr>
        <w:t xml:space="preserve"> ont noté que, le 1</w:t>
      </w:r>
      <w:r w:rsidR="00484441" w:rsidRPr="00D81784">
        <w:rPr>
          <w:lang w:val="fr-CH"/>
        </w:rPr>
        <w:t>6 octobre 20</w:t>
      </w:r>
      <w:r w:rsidR="00790695" w:rsidRPr="00D81784">
        <w:rPr>
          <w:lang w:val="fr-CH"/>
        </w:rPr>
        <w:t>20, le Bureau de l</w:t>
      </w:r>
      <w:r w:rsidR="009104CD">
        <w:rPr>
          <w:lang w:val="fr-CH"/>
        </w:rPr>
        <w:t>’</w:t>
      </w:r>
      <w:r w:rsidR="00790695" w:rsidRPr="00D81784">
        <w:rPr>
          <w:lang w:val="fr-CH"/>
        </w:rPr>
        <w:t>Union avait diffusé la circulaire</w:t>
      </w:r>
      <w:r w:rsidR="000F467F" w:rsidRPr="00D81784">
        <w:rPr>
          <w:lang w:val="fr-CH"/>
        </w:rPr>
        <w:t> </w:t>
      </w:r>
      <w:r w:rsidR="00790695" w:rsidRPr="00D81784">
        <w:rPr>
          <w:lang w:val="fr-CH"/>
        </w:rPr>
        <w:t>E</w:t>
      </w:r>
      <w:r w:rsidR="009104CD">
        <w:rPr>
          <w:lang w:val="fr-CH"/>
        </w:rPr>
        <w:t>-</w:t>
      </w:r>
      <w:r w:rsidR="00790695" w:rsidRPr="00D81784">
        <w:rPr>
          <w:lang w:val="fr-CH"/>
        </w:rPr>
        <w:t>20/189 invitant les membres à répondre à l</w:t>
      </w:r>
      <w:r w:rsidR="009104CD">
        <w:rPr>
          <w:lang w:val="fr-CH"/>
        </w:rPr>
        <w:t>’</w:t>
      </w:r>
      <w:r w:rsidR="00790695" w:rsidRPr="00D81784">
        <w:rPr>
          <w:lang w:val="fr-CH"/>
        </w:rPr>
        <w:t>enquête sur l</w:t>
      </w:r>
      <w:r w:rsidR="009104CD">
        <w:rPr>
          <w:lang w:val="fr-CH"/>
        </w:rPr>
        <w:t>’</w:t>
      </w:r>
      <w:r w:rsidR="00790695" w:rsidRPr="00D81784">
        <w:rPr>
          <w:lang w:val="fr-CH"/>
        </w:rPr>
        <w:t>utilisation des techniques faisant intervenir des marqueurs moléculaires avant le 1</w:t>
      </w:r>
      <w:r w:rsidR="00484441" w:rsidRPr="00D81784">
        <w:rPr>
          <w:lang w:val="fr-CH"/>
        </w:rPr>
        <w:t>5 décembre 20</w:t>
      </w:r>
      <w:r w:rsidR="00790695" w:rsidRPr="00D81784">
        <w:rPr>
          <w:lang w:val="fr-CH"/>
        </w:rPr>
        <w:t>20.</w:t>
      </w:r>
    </w:p>
    <w:p w:rsidR="00826656" w:rsidRPr="00D81784" w:rsidRDefault="00826656" w:rsidP="00E705BD">
      <w:pPr>
        <w:rPr>
          <w:lang w:val="fr-CH"/>
        </w:rPr>
      </w:pPr>
    </w:p>
    <w:p w:rsidR="00826656" w:rsidRPr="00D81784" w:rsidRDefault="00E705BD" w:rsidP="00790695">
      <w:pPr>
        <w:rPr>
          <w:lang w:val="fr-CH"/>
        </w:rPr>
      </w:pPr>
      <w:r w:rsidRPr="00D81784">
        <w:fldChar w:fldCharType="begin"/>
      </w:r>
      <w:r w:rsidRPr="00D81784">
        <w:rPr>
          <w:lang w:val="fr-CH"/>
        </w:rPr>
        <w:instrText xml:space="preserve"> AUTONUM  </w:instrText>
      </w:r>
      <w:r w:rsidRPr="00D81784">
        <w:fldChar w:fldCharType="end"/>
      </w:r>
      <w:r w:rsidRPr="00D81784">
        <w:rPr>
          <w:lang w:val="fr-CH"/>
        </w:rPr>
        <w:tab/>
      </w:r>
      <w:r w:rsidR="00790695" w:rsidRPr="00D81784">
        <w:rPr>
          <w:lang w:val="fr-CH"/>
        </w:rPr>
        <w:t>Les TWP et</w:t>
      </w:r>
      <w:r w:rsidR="00484441" w:rsidRPr="00D81784">
        <w:rPr>
          <w:lang w:val="fr-CH"/>
        </w:rPr>
        <w:t xml:space="preserve"> le BMT</w:t>
      </w:r>
      <w:r w:rsidR="00790695" w:rsidRPr="00D81784">
        <w:rPr>
          <w:lang w:val="fr-CH"/>
        </w:rPr>
        <w:t xml:space="preserve"> ont noté que les résultats de l</w:t>
      </w:r>
      <w:r w:rsidR="009104CD">
        <w:rPr>
          <w:lang w:val="fr-CH"/>
        </w:rPr>
        <w:t>’</w:t>
      </w:r>
      <w:r w:rsidR="00790695" w:rsidRPr="00D81784">
        <w:rPr>
          <w:lang w:val="fr-CH"/>
        </w:rPr>
        <w:t>enquête seraient présentés au Comité technique à sa cinquante</w:t>
      </w:r>
      <w:r w:rsidR="009104CD">
        <w:rPr>
          <w:lang w:val="fr-CH"/>
        </w:rPr>
        <w:t>-</w:t>
      </w:r>
      <w:r w:rsidR="00790695" w:rsidRPr="00D81784">
        <w:rPr>
          <w:lang w:val="fr-CH"/>
        </w:rPr>
        <w:t>sept</w:t>
      </w:r>
      <w:r w:rsidR="009104CD">
        <w:rPr>
          <w:lang w:val="fr-CH"/>
        </w:rPr>
        <w:t>ième session</w:t>
      </w:r>
      <w:r w:rsidR="00790695" w:rsidRPr="00D81784">
        <w:rPr>
          <w:lang w:val="fr-CH"/>
        </w:rPr>
        <w:t xml:space="preserve"> prévue </w:t>
      </w:r>
      <w:r w:rsidR="00484441" w:rsidRPr="00D81784">
        <w:rPr>
          <w:lang w:val="fr-CH"/>
        </w:rPr>
        <w:t>en 2021</w:t>
      </w:r>
      <w:r w:rsidR="00790695" w:rsidRPr="00D81784">
        <w:rPr>
          <w:lang w:val="fr-CH"/>
        </w:rPr>
        <w:t>.</w:t>
      </w:r>
    </w:p>
    <w:p w:rsidR="00826656" w:rsidRPr="00D81784" w:rsidRDefault="00826656" w:rsidP="00E705BD">
      <w:pPr>
        <w:rPr>
          <w:lang w:val="fr-CH"/>
        </w:rPr>
      </w:pPr>
    </w:p>
    <w:p w:rsidR="00826656" w:rsidRPr="00D81784" w:rsidRDefault="00E705BD" w:rsidP="00790695">
      <w:pPr>
        <w:rPr>
          <w:lang w:val="fr-CH"/>
        </w:rPr>
      </w:pPr>
      <w:r w:rsidRPr="00D81784">
        <w:fldChar w:fldCharType="begin"/>
      </w:r>
      <w:r w:rsidRPr="00D81784">
        <w:rPr>
          <w:lang w:val="fr-CH"/>
        </w:rPr>
        <w:instrText xml:space="preserve"> AUTONUM  </w:instrText>
      </w:r>
      <w:r w:rsidRPr="00D81784">
        <w:fldChar w:fldCharType="end"/>
      </w:r>
      <w:r w:rsidRPr="00D81784">
        <w:rPr>
          <w:lang w:val="fr-CH"/>
        </w:rPr>
        <w:tab/>
      </w:r>
      <w:r w:rsidR="00790695" w:rsidRPr="00D81784">
        <w:rPr>
          <w:lang w:val="fr-CH"/>
        </w:rPr>
        <w:t>À sa vingt</w:t>
      </w:r>
      <w:r w:rsidR="009104CD">
        <w:rPr>
          <w:lang w:val="fr-CH"/>
        </w:rPr>
        <w:t>ième session</w:t>
      </w:r>
      <w:r w:rsidR="00790695" w:rsidRPr="00D81784">
        <w:rPr>
          <w:lang w:val="fr-CH"/>
        </w:rPr>
        <w:t>,</w:t>
      </w:r>
      <w:r w:rsidR="00484441" w:rsidRPr="00D81784">
        <w:rPr>
          <w:lang w:val="fr-CH"/>
        </w:rPr>
        <w:t xml:space="preserve"> le BMT</w:t>
      </w:r>
      <w:r w:rsidR="00790695" w:rsidRPr="00D81784">
        <w:rPr>
          <w:lang w:val="fr-CH"/>
        </w:rPr>
        <w:t xml:space="preserve"> a noté que le</w:t>
      </w:r>
      <w:r w:rsidR="009104CD">
        <w:rPr>
          <w:lang w:val="fr-CH"/>
        </w:rPr>
        <w:t> TC</w:t>
      </w:r>
      <w:r w:rsidR="00790695" w:rsidRPr="00D81784">
        <w:rPr>
          <w:lang w:val="fr-CH"/>
        </w:rPr>
        <w:t xml:space="preserve"> serait invité, à sa cinquante</w:t>
      </w:r>
      <w:r w:rsidR="009104CD">
        <w:rPr>
          <w:lang w:val="fr-CH"/>
        </w:rPr>
        <w:t>-</w:t>
      </w:r>
      <w:r w:rsidR="00790695" w:rsidRPr="00D81784">
        <w:rPr>
          <w:lang w:val="fr-CH"/>
        </w:rPr>
        <w:t>sept</w:t>
      </w:r>
      <w:r w:rsidR="009104CD">
        <w:rPr>
          <w:lang w:val="fr-CH"/>
        </w:rPr>
        <w:t>ième session</w:t>
      </w:r>
      <w:r w:rsidR="00790695" w:rsidRPr="00D81784">
        <w:rPr>
          <w:lang w:val="fr-CH"/>
        </w:rPr>
        <w:t>, à demander au Bureau de l</w:t>
      </w:r>
      <w:r w:rsidR="009104CD">
        <w:rPr>
          <w:lang w:val="fr-CH"/>
        </w:rPr>
        <w:t>’</w:t>
      </w:r>
      <w:r w:rsidR="00790695" w:rsidRPr="00D81784">
        <w:rPr>
          <w:lang w:val="fr-CH"/>
        </w:rPr>
        <w:t>Union d</w:t>
      </w:r>
      <w:r w:rsidR="009104CD">
        <w:rPr>
          <w:lang w:val="fr-CH"/>
        </w:rPr>
        <w:t>’</w:t>
      </w:r>
      <w:r w:rsidR="00790695" w:rsidRPr="00D81784">
        <w:rPr>
          <w:lang w:val="fr-CH"/>
        </w:rPr>
        <w:t>informer l</w:t>
      </w:r>
      <w:r w:rsidR="009104CD">
        <w:rPr>
          <w:lang w:val="fr-CH"/>
        </w:rPr>
        <w:t>’</w:t>
      </w:r>
      <w:r w:rsidR="00790695" w:rsidRPr="00D81784">
        <w:rPr>
          <w:lang w:val="fr-CH"/>
        </w:rPr>
        <w:t>OCDE des résultats de l</w:t>
      </w:r>
      <w:r w:rsidR="009104CD">
        <w:rPr>
          <w:lang w:val="fr-CH"/>
        </w:rPr>
        <w:t>’</w:t>
      </w:r>
      <w:r w:rsidR="00790695" w:rsidRPr="00D81784">
        <w:rPr>
          <w:lang w:val="fr-CH"/>
        </w:rPr>
        <w:t xml:space="preserve">enquête et </w:t>
      </w:r>
      <w:r w:rsidR="00D81784">
        <w:rPr>
          <w:lang w:val="fr-CH"/>
        </w:rPr>
        <w:t>à</w:t>
      </w:r>
      <w:r w:rsidR="00790695" w:rsidRPr="00D81784">
        <w:rPr>
          <w:lang w:val="fr-CH"/>
        </w:rPr>
        <w:t xml:space="preserve"> rendre compte des faits nouveaux au</w:t>
      </w:r>
      <w:r w:rsidR="009104CD">
        <w:rPr>
          <w:lang w:val="fr-CH"/>
        </w:rPr>
        <w:t> TC</w:t>
      </w:r>
      <w:r w:rsidR="00790695" w:rsidRPr="00D81784">
        <w:rPr>
          <w:lang w:val="fr-CH"/>
        </w:rPr>
        <w:t xml:space="preserve"> à sa cinquante</w:t>
      </w:r>
      <w:r w:rsidR="009104CD">
        <w:rPr>
          <w:lang w:val="fr-CH"/>
        </w:rPr>
        <w:t>-</w:t>
      </w:r>
      <w:r w:rsidR="00790695" w:rsidRPr="00D81784">
        <w:rPr>
          <w:lang w:val="fr-CH"/>
        </w:rPr>
        <w:t>huit</w:t>
      </w:r>
      <w:r w:rsidR="009104CD">
        <w:rPr>
          <w:lang w:val="fr-CH"/>
        </w:rPr>
        <w:t>ième session</w:t>
      </w:r>
      <w:r w:rsidR="00790695" w:rsidRPr="00D81784">
        <w:rPr>
          <w:lang w:val="fr-CH"/>
        </w:rPr>
        <w:t>.</w:t>
      </w:r>
    </w:p>
    <w:p w:rsidR="00826656" w:rsidRDefault="00826656" w:rsidP="00E705BD">
      <w:pPr>
        <w:rPr>
          <w:lang w:val="fr-CH"/>
        </w:rPr>
      </w:pPr>
    </w:p>
    <w:p w:rsidR="00826656" w:rsidRDefault="00826656" w:rsidP="00E705BD">
      <w:pPr>
        <w:rPr>
          <w:lang w:val="fr-CH"/>
        </w:rPr>
      </w:pPr>
    </w:p>
    <w:p w:rsidR="00826656" w:rsidRPr="00D81784" w:rsidRDefault="00790695" w:rsidP="00790695">
      <w:pPr>
        <w:pStyle w:val="Heading2"/>
        <w:rPr>
          <w:lang w:val="fr-CH"/>
        </w:rPr>
      </w:pPr>
      <w:bookmarkStart w:id="7" w:name="_Toc85632857"/>
      <w:r w:rsidRPr="00D81784">
        <w:rPr>
          <w:lang w:val="fr-CH"/>
        </w:rPr>
        <w:t>Association internationale d</w:t>
      </w:r>
      <w:r w:rsidR="009104CD">
        <w:rPr>
          <w:lang w:val="fr-CH"/>
        </w:rPr>
        <w:t>’</w:t>
      </w:r>
      <w:r w:rsidRPr="00D81784">
        <w:rPr>
          <w:lang w:val="fr-CH"/>
        </w:rPr>
        <w:t>essais de semences</w:t>
      </w:r>
      <w:bookmarkEnd w:id="7"/>
    </w:p>
    <w:p w:rsidR="00826656" w:rsidRPr="00D81784" w:rsidRDefault="00826656" w:rsidP="00E705BD">
      <w:pPr>
        <w:rPr>
          <w:lang w:val="fr-CH"/>
        </w:rPr>
      </w:pPr>
    </w:p>
    <w:p w:rsidR="00826656" w:rsidRPr="00D81784" w:rsidRDefault="00E705BD" w:rsidP="006E0A0F">
      <w:pPr>
        <w:rPr>
          <w:rFonts w:cs="Arial"/>
          <w:iCs/>
          <w:lang w:val="fr-CH"/>
        </w:rPr>
      </w:pPr>
      <w:r w:rsidRPr="00D81784">
        <w:fldChar w:fldCharType="begin"/>
      </w:r>
      <w:r w:rsidRPr="00D81784">
        <w:rPr>
          <w:lang w:val="fr-CH"/>
        </w:rPr>
        <w:instrText xml:space="preserve"> AUTONUM  </w:instrText>
      </w:r>
      <w:r w:rsidRPr="00D81784">
        <w:fldChar w:fldCharType="end"/>
      </w:r>
      <w:r w:rsidRPr="00D81784">
        <w:rPr>
          <w:lang w:val="fr-CH"/>
        </w:rPr>
        <w:tab/>
      </w:r>
      <w:r w:rsidR="006E0A0F" w:rsidRPr="00D81784">
        <w:rPr>
          <w:lang w:val="fr-CH"/>
        </w:rPr>
        <w:t>À sa vingt</w:t>
      </w:r>
      <w:r w:rsidR="009104CD">
        <w:rPr>
          <w:lang w:val="fr-CH"/>
        </w:rPr>
        <w:t>ième session</w:t>
      </w:r>
      <w:r w:rsidR="006E0A0F" w:rsidRPr="00D81784">
        <w:rPr>
          <w:lang w:val="fr-CH"/>
        </w:rPr>
        <w:t>,</w:t>
      </w:r>
      <w:r w:rsidR="00484441" w:rsidRPr="00D81784">
        <w:rPr>
          <w:lang w:val="fr-CH"/>
        </w:rPr>
        <w:t xml:space="preserve"> le BMT</w:t>
      </w:r>
      <w:r w:rsidR="006E0A0F" w:rsidRPr="00D81784">
        <w:rPr>
          <w:lang w:val="fr-CH"/>
        </w:rPr>
        <w:t xml:space="preserve"> a suivi un exposé présenté par Mme</w:t>
      </w:r>
      <w:r w:rsidR="00D2510D" w:rsidRPr="00D81784">
        <w:rPr>
          <w:lang w:val="fr-CH"/>
        </w:rPr>
        <w:t> </w:t>
      </w:r>
      <w:r w:rsidR="006E0A0F" w:rsidRPr="00D81784">
        <w:rPr>
          <w:lang w:val="fr-CH"/>
        </w:rPr>
        <w:t>Ana</w:t>
      </w:r>
      <w:r w:rsidR="00D81784">
        <w:rPr>
          <w:lang w:val="fr-CH"/>
        </w:rPr>
        <w:t> Laura </w:t>
      </w:r>
      <w:r w:rsidR="006E0A0F" w:rsidRPr="00D81784">
        <w:rPr>
          <w:lang w:val="fr-CH"/>
        </w:rPr>
        <w:t>Vicario (Association internationale d</w:t>
      </w:r>
      <w:r w:rsidR="009104CD">
        <w:rPr>
          <w:lang w:val="fr-CH"/>
        </w:rPr>
        <w:t>’</w:t>
      </w:r>
      <w:r w:rsidR="006E0A0F" w:rsidRPr="00D81784">
        <w:rPr>
          <w:lang w:val="fr-CH"/>
        </w:rPr>
        <w:t xml:space="preserve">essais de semences (ISTA)) intitulé </w:t>
      </w:r>
      <w:r w:rsidR="00484441" w:rsidRPr="00D81784">
        <w:rPr>
          <w:lang w:val="fr-CH"/>
        </w:rPr>
        <w:t>“I</w:t>
      </w:r>
      <w:r w:rsidR="006E0A0F" w:rsidRPr="00D81784">
        <w:rPr>
          <w:lang w:val="fr-CH"/>
        </w:rPr>
        <w:t>STA report on biochemical and molecular technique</w:t>
      </w:r>
      <w:r w:rsidR="00484441" w:rsidRPr="00D81784">
        <w:rPr>
          <w:lang w:val="fr-CH"/>
        </w:rPr>
        <w:t>s”</w:t>
      </w:r>
      <w:r w:rsidR="006E0A0F" w:rsidRPr="00D81784">
        <w:rPr>
          <w:lang w:val="fr-CH"/>
        </w:rPr>
        <w:t xml:space="preserve"> (Rapport de l</w:t>
      </w:r>
      <w:r w:rsidR="009104CD">
        <w:rPr>
          <w:lang w:val="fr-CH"/>
        </w:rPr>
        <w:t>’</w:t>
      </w:r>
      <w:r w:rsidR="006E0A0F" w:rsidRPr="00D81784">
        <w:rPr>
          <w:lang w:val="fr-CH"/>
        </w:rPr>
        <w:t xml:space="preserve">ISTA sur les techniques biochimiques et moléculaires), dont une copie est reproduite dans le </w:t>
      </w:r>
      <w:r w:rsidR="009104CD" w:rsidRPr="00D81784">
        <w:rPr>
          <w:lang w:val="fr-CH"/>
        </w:rPr>
        <w:t>document</w:t>
      </w:r>
      <w:r w:rsidR="00B901C0">
        <w:rPr>
          <w:lang w:val="fr-CH"/>
        </w:rPr>
        <w:t> </w:t>
      </w:r>
      <w:r w:rsidR="009104CD" w:rsidRPr="00D81784">
        <w:rPr>
          <w:lang w:val="fr-CH"/>
        </w:rPr>
        <w:t>BM</w:t>
      </w:r>
      <w:r w:rsidR="006E0A0F" w:rsidRPr="00D81784">
        <w:rPr>
          <w:lang w:val="fr-CH"/>
        </w:rPr>
        <w:t>T/20/11.</w:t>
      </w:r>
    </w:p>
    <w:p w:rsidR="00826656" w:rsidRPr="00D81784" w:rsidRDefault="00826656" w:rsidP="00E705BD">
      <w:pPr>
        <w:rPr>
          <w:lang w:val="fr-CH"/>
        </w:rPr>
      </w:pPr>
    </w:p>
    <w:p w:rsidR="00826656" w:rsidRPr="00D81784" w:rsidRDefault="00E705BD" w:rsidP="00E6379D">
      <w:pPr>
        <w:rPr>
          <w:lang w:val="fr-CH"/>
        </w:rPr>
      </w:pPr>
      <w:r w:rsidRPr="00D81784">
        <w:fldChar w:fldCharType="begin"/>
      </w:r>
      <w:r w:rsidRPr="00D81784">
        <w:rPr>
          <w:lang w:val="fr-CH"/>
        </w:rPr>
        <w:instrText xml:space="preserve"> AUTONUM  </w:instrText>
      </w:r>
      <w:r w:rsidRPr="00D81784">
        <w:fldChar w:fldCharType="end"/>
      </w:r>
      <w:r w:rsidRPr="00D81784">
        <w:rPr>
          <w:lang w:val="fr-CH"/>
        </w:rPr>
        <w:tab/>
      </w:r>
      <w:r w:rsidR="00E6379D" w:rsidRPr="00D81784">
        <w:rPr>
          <w:lang w:val="fr-CH"/>
        </w:rPr>
        <w:t>Le BMT est convenu qu</w:t>
      </w:r>
      <w:r w:rsidR="009104CD">
        <w:rPr>
          <w:lang w:val="fr-CH"/>
        </w:rPr>
        <w:t>’</w:t>
      </w:r>
      <w:r w:rsidR="00E6379D" w:rsidRPr="00D81784">
        <w:rPr>
          <w:lang w:val="fr-CH"/>
        </w:rPr>
        <w:t>il était utile de prendre connaissance des progrès réalisés dans les méthodes de validation de l</w:t>
      </w:r>
      <w:r w:rsidR="009104CD">
        <w:rPr>
          <w:lang w:val="fr-CH"/>
        </w:rPr>
        <w:t>’</w:t>
      </w:r>
      <w:r w:rsidR="00E6379D" w:rsidRPr="00D81784">
        <w:rPr>
          <w:lang w:val="fr-CH"/>
        </w:rPr>
        <w:t>ISTA, comme indiqué dans l</w:t>
      </w:r>
      <w:r w:rsidR="009104CD">
        <w:rPr>
          <w:lang w:val="fr-CH"/>
        </w:rPr>
        <w:t>’</w:t>
      </w:r>
      <w:r w:rsidR="00E6379D" w:rsidRPr="00D81784">
        <w:rPr>
          <w:lang w:val="fr-CH"/>
        </w:rPr>
        <w:t>exposé.</w:t>
      </w:r>
    </w:p>
    <w:p w:rsidR="00826656" w:rsidRPr="00D81784" w:rsidRDefault="00826656" w:rsidP="00E705BD">
      <w:pPr>
        <w:rPr>
          <w:lang w:val="fr-CH"/>
        </w:rPr>
      </w:pPr>
    </w:p>
    <w:p w:rsidR="00826656" w:rsidRPr="00D81784" w:rsidRDefault="00826656" w:rsidP="00E705BD">
      <w:pPr>
        <w:rPr>
          <w:lang w:val="fr-CH"/>
        </w:rPr>
      </w:pPr>
    </w:p>
    <w:p w:rsidR="00826656" w:rsidRPr="00D81784" w:rsidRDefault="00E6379D" w:rsidP="00E6379D">
      <w:pPr>
        <w:pStyle w:val="Heading2"/>
        <w:rPr>
          <w:rFonts w:cs="Arial"/>
          <w:lang w:val="fr-CH"/>
        </w:rPr>
      </w:pPr>
      <w:bookmarkStart w:id="8" w:name="_Toc85632858"/>
      <w:r w:rsidRPr="00D81784">
        <w:rPr>
          <w:rFonts w:cs="Arial"/>
          <w:lang w:val="fr-CH"/>
        </w:rPr>
        <w:t>Organisation de coopération et de développement économiques</w:t>
      </w:r>
      <w:bookmarkEnd w:id="8"/>
    </w:p>
    <w:p w:rsidR="00826656" w:rsidRPr="00E6379D" w:rsidRDefault="00826656" w:rsidP="00E705BD">
      <w:pPr>
        <w:rPr>
          <w:lang w:val="fr-CH"/>
        </w:rPr>
      </w:pPr>
    </w:p>
    <w:p w:rsidR="00826656" w:rsidRPr="00E6379D" w:rsidRDefault="00E705BD" w:rsidP="00E6379D">
      <w:pPr>
        <w:rPr>
          <w:rFonts w:cs="Arial"/>
          <w:iCs/>
          <w:lang w:val="fr-CH"/>
        </w:rPr>
      </w:pPr>
      <w:r w:rsidRPr="003E7D87">
        <w:fldChar w:fldCharType="begin"/>
      </w:r>
      <w:r w:rsidRPr="00E6379D">
        <w:rPr>
          <w:lang w:val="fr-CH"/>
        </w:rPr>
        <w:instrText xml:space="preserve"> AUTONUM  </w:instrText>
      </w:r>
      <w:r w:rsidRPr="003E7D87">
        <w:fldChar w:fldCharType="end"/>
      </w:r>
      <w:r w:rsidRPr="00E6379D">
        <w:rPr>
          <w:lang w:val="fr-CH"/>
        </w:rPr>
        <w:tab/>
      </w:r>
      <w:r w:rsidR="00E6379D" w:rsidRPr="00E6379D">
        <w:rPr>
          <w:color w:val="000000"/>
          <w:lang w:val="fr-CH"/>
        </w:rPr>
        <w:t>À sa vingt</w:t>
      </w:r>
      <w:r w:rsidR="009104CD">
        <w:rPr>
          <w:color w:val="000000"/>
          <w:lang w:val="fr-CH"/>
        </w:rPr>
        <w:t>ième session</w:t>
      </w:r>
      <w:r w:rsidR="00E6379D" w:rsidRPr="00E6379D">
        <w:rPr>
          <w:color w:val="000000"/>
          <w:lang w:val="fr-CH"/>
        </w:rPr>
        <w:t>,</w:t>
      </w:r>
      <w:r w:rsidR="00484441" w:rsidRPr="00E6379D">
        <w:rPr>
          <w:color w:val="000000"/>
          <w:lang w:val="fr-CH"/>
        </w:rPr>
        <w:t xml:space="preserve"> le</w:t>
      </w:r>
      <w:r w:rsidR="00484441">
        <w:rPr>
          <w:color w:val="000000"/>
          <w:lang w:val="fr-CH"/>
        </w:rPr>
        <w:t> </w:t>
      </w:r>
      <w:r w:rsidR="00484441" w:rsidRPr="00E6379D">
        <w:rPr>
          <w:color w:val="000000"/>
          <w:lang w:val="fr-CH"/>
        </w:rPr>
        <w:t>BMT</w:t>
      </w:r>
      <w:r w:rsidR="00E6379D" w:rsidRPr="00E6379D">
        <w:rPr>
          <w:color w:val="000000"/>
          <w:lang w:val="fr-CH"/>
        </w:rPr>
        <w:t xml:space="preserve"> a suivi un exposé de M.</w:t>
      </w:r>
      <w:r w:rsidR="00D2510D">
        <w:rPr>
          <w:color w:val="000000"/>
          <w:lang w:val="fr-CH"/>
        </w:rPr>
        <w:t> </w:t>
      </w:r>
      <w:r w:rsidR="00D81784">
        <w:rPr>
          <w:color w:val="000000"/>
          <w:lang w:val="fr-CH"/>
        </w:rPr>
        <w:t>Csaba </w:t>
      </w:r>
      <w:r w:rsidR="00E6379D" w:rsidRPr="00E6379D">
        <w:rPr>
          <w:color w:val="000000"/>
          <w:lang w:val="fr-CH"/>
        </w:rPr>
        <w:t xml:space="preserve">Gaspar (Organisation de coopération et de développement économiques (OCDE)) intitulé </w:t>
      </w:r>
      <w:r w:rsidR="00484441">
        <w:rPr>
          <w:color w:val="000000"/>
          <w:lang w:val="fr-CH"/>
        </w:rPr>
        <w:t>“</w:t>
      </w:r>
      <w:r w:rsidR="00484441" w:rsidRPr="00E6379D">
        <w:rPr>
          <w:color w:val="000000"/>
          <w:lang w:val="fr-CH"/>
        </w:rPr>
        <w:t>C</w:t>
      </w:r>
      <w:r w:rsidR="00E6379D" w:rsidRPr="00E6379D">
        <w:rPr>
          <w:color w:val="000000"/>
          <w:lang w:val="fr-CH"/>
        </w:rPr>
        <w:t>urrent status of BMT under the OECD Seed Scheme</w:t>
      </w:r>
      <w:r w:rsidR="00484441" w:rsidRPr="00E6379D">
        <w:rPr>
          <w:color w:val="000000"/>
          <w:lang w:val="fr-CH"/>
        </w:rPr>
        <w:t>s</w:t>
      </w:r>
      <w:r w:rsidR="00484441">
        <w:rPr>
          <w:color w:val="000000"/>
          <w:lang w:val="fr-CH"/>
        </w:rPr>
        <w:t>”</w:t>
      </w:r>
      <w:r w:rsidR="00E6379D" w:rsidRPr="00E6379D">
        <w:rPr>
          <w:color w:val="000000"/>
          <w:lang w:val="fr-CH"/>
        </w:rPr>
        <w:t xml:space="preserve"> (Situation actuelle</w:t>
      </w:r>
      <w:r w:rsidR="00D81784">
        <w:rPr>
          <w:color w:val="000000"/>
          <w:lang w:val="fr-CH"/>
        </w:rPr>
        <w:t xml:space="preserve"> des techniques biochimiques et moléculaires </w:t>
      </w:r>
      <w:r w:rsidR="00E6379D" w:rsidRPr="00E6379D">
        <w:rPr>
          <w:color w:val="000000"/>
          <w:lang w:val="fr-CH"/>
        </w:rPr>
        <w:t>dans le cadre des systèmes de semences de l</w:t>
      </w:r>
      <w:r w:rsidR="009104CD">
        <w:rPr>
          <w:color w:val="000000"/>
          <w:lang w:val="fr-CH"/>
        </w:rPr>
        <w:t>’</w:t>
      </w:r>
      <w:r w:rsidR="00E6379D" w:rsidRPr="00E6379D">
        <w:rPr>
          <w:color w:val="000000"/>
          <w:lang w:val="fr-CH"/>
        </w:rPr>
        <w:t xml:space="preserve">OCDE), dont une copie est reproduite dans le </w:t>
      </w:r>
      <w:r w:rsidR="009104CD" w:rsidRPr="00E6379D">
        <w:rPr>
          <w:color w:val="000000"/>
          <w:lang w:val="fr-CH"/>
        </w:rPr>
        <w:t>document</w:t>
      </w:r>
      <w:r w:rsidR="00B901C0">
        <w:rPr>
          <w:color w:val="000000"/>
          <w:lang w:val="fr-CH"/>
        </w:rPr>
        <w:t> </w:t>
      </w:r>
      <w:r w:rsidR="009104CD" w:rsidRPr="00E6379D">
        <w:rPr>
          <w:color w:val="000000"/>
          <w:lang w:val="fr-CH"/>
        </w:rPr>
        <w:t>BM</w:t>
      </w:r>
      <w:r w:rsidR="00E6379D" w:rsidRPr="00E6379D">
        <w:rPr>
          <w:color w:val="000000"/>
          <w:lang w:val="fr-CH"/>
        </w:rPr>
        <w:t>T/20/10.</w:t>
      </w:r>
    </w:p>
    <w:p w:rsidR="00826656" w:rsidRPr="00E6379D" w:rsidRDefault="00826656" w:rsidP="00E705BD">
      <w:pPr>
        <w:rPr>
          <w:rFonts w:cs="Arial"/>
          <w:iCs/>
          <w:lang w:val="fr-CH"/>
        </w:rPr>
      </w:pPr>
    </w:p>
    <w:p w:rsidR="00826656" w:rsidRPr="0064032C" w:rsidRDefault="00E705BD" w:rsidP="0064032C">
      <w:pPr>
        <w:rPr>
          <w:rFonts w:cs="Arial"/>
          <w:iCs/>
          <w:lang w:val="fr-CH"/>
        </w:rPr>
      </w:pPr>
      <w:r w:rsidRPr="003E7D87">
        <w:rPr>
          <w:rFonts w:cs="Arial"/>
          <w:iCs/>
        </w:rPr>
        <w:fldChar w:fldCharType="begin"/>
      </w:r>
      <w:r w:rsidRPr="0064032C">
        <w:rPr>
          <w:rFonts w:cs="Arial"/>
          <w:iCs/>
          <w:lang w:val="fr-CH"/>
        </w:rPr>
        <w:instrText xml:space="preserve"> AUTONUM  </w:instrText>
      </w:r>
      <w:r w:rsidRPr="003E7D87">
        <w:rPr>
          <w:rFonts w:cs="Arial"/>
          <w:iCs/>
        </w:rPr>
        <w:fldChar w:fldCharType="end"/>
      </w:r>
      <w:r w:rsidRPr="0064032C">
        <w:rPr>
          <w:rFonts w:cs="Arial"/>
          <w:iCs/>
          <w:lang w:val="fr-CH"/>
        </w:rPr>
        <w:tab/>
      </w:r>
      <w:r w:rsidR="0064032C" w:rsidRPr="0064032C">
        <w:rPr>
          <w:rFonts w:cs="Arial"/>
          <w:iCs/>
          <w:color w:val="000000"/>
          <w:lang w:val="fr-CH"/>
        </w:rPr>
        <w:t>Le BMT a noté que l</w:t>
      </w:r>
      <w:r w:rsidR="009104CD">
        <w:rPr>
          <w:rFonts w:cs="Arial"/>
          <w:iCs/>
          <w:color w:val="000000"/>
          <w:lang w:val="fr-CH"/>
        </w:rPr>
        <w:t>’</w:t>
      </w:r>
      <w:r w:rsidR="0064032C" w:rsidRPr="0064032C">
        <w:rPr>
          <w:rFonts w:cs="Arial"/>
          <w:iCs/>
          <w:color w:val="000000"/>
          <w:lang w:val="fr-CH"/>
        </w:rPr>
        <w:t xml:space="preserve">OCDE avait </w:t>
      </w:r>
      <w:r w:rsidR="00D81784">
        <w:rPr>
          <w:rFonts w:cs="Arial"/>
          <w:iCs/>
          <w:color w:val="000000"/>
          <w:lang w:val="fr-CH"/>
        </w:rPr>
        <w:t>exprimé le souhait de poursuivre</w:t>
      </w:r>
      <w:r w:rsidR="0064032C" w:rsidRPr="0064032C">
        <w:rPr>
          <w:rFonts w:cs="Arial"/>
          <w:iCs/>
          <w:color w:val="000000"/>
          <w:lang w:val="fr-CH"/>
        </w:rPr>
        <w:t xml:space="preserve"> la collaboration avec l</w:t>
      </w:r>
      <w:r w:rsidR="009104CD">
        <w:rPr>
          <w:rFonts w:cs="Arial"/>
          <w:iCs/>
          <w:color w:val="000000"/>
          <w:lang w:val="fr-CH"/>
        </w:rPr>
        <w:t>’</w:t>
      </w:r>
      <w:r w:rsidR="0064032C" w:rsidRPr="0064032C">
        <w:rPr>
          <w:rFonts w:cs="Arial"/>
          <w:iCs/>
          <w:color w:val="000000"/>
          <w:lang w:val="fr-CH"/>
        </w:rPr>
        <w:t>UPOV sur les questions relatives à l</w:t>
      </w:r>
      <w:r w:rsidR="009104CD">
        <w:rPr>
          <w:rFonts w:cs="Arial"/>
          <w:iCs/>
          <w:color w:val="000000"/>
          <w:lang w:val="fr-CH"/>
        </w:rPr>
        <w:t>’</w:t>
      </w:r>
      <w:r w:rsidR="0064032C" w:rsidRPr="0064032C">
        <w:rPr>
          <w:rFonts w:cs="Arial"/>
          <w:iCs/>
          <w:color w:val="000000"/>
          <w:lang w:val="fr-CH"/>
        </w:rPr>
        <w:t>utilisation des marqueurs moléculaires dans les organisations et il est convenu que les initiatives conjointes devaient être poursuivies.</w:t>
      </w:r>
    </w:p>
    <w:p w:rsidR="00826656" w:rsidRPr="0064032C" w:rsidRDefault="00826656" w:rsidP="00E705BD">
      <w:pPr>
        <w:rPr>
          <w:lang w:val="fr-CH" w:eastAsia="ja-JP"/>
        </w:rPr>
      </w:pPr>
    </w:p>
    <w:p w:rsidR="00826656" w:rsidRPr="0064032C" w:rsidRDefault="00826656" w:rsidP="00E705BD">
      <w:pPr>
        <w:rPr>
          <w:lang w:val="fr-CH" w:eastAsia="ja-JP"/>
        </w:rPr>
      </w:pPr>
    </w:p>
    <w:p w:rsidR="00826656" w:rsidRPr="0064032C" w:rsidRDefault="00826656" w:rsidP="00E705BD">
      <w:pPr>
        <w:rPr>
          <w:lang w:val="fr-CH"/>
        </w:rPr>
      </w:pPr>
    </w:p>
    <w:p w:rsidR="00826656" w:rsidRPr="00D81784" w:rsidRDefault="0064032C" w:rsidP="00D81784">
      <w:pPr>
        <w:pStyle w:val="Heading1"/>
      </w:pPr>
      <w:bookmarkStart w:id="9" w:name="_Toc85632859"/>
      <w:r w:rsidRPr="00D81784">
        <w:t>RÉUNION DESTINÉE À FAVORISER LA COOPÉRATION DANS L</w:t>
      </w:r>
      <w:r w:rsidR="009104CD">
        <w:t>’</w:t>
      </w:r>
      <w:r w:rsidRPr="00D81784">
        <w:t>UTILISATION DES TECHNIQUES MOLÉCULAIRES</w:t>
      </w:r>
      <w:bookmarkEnd w:id="9"/>
    </w:p>
    <w:p w:rsidR="00826656" w:rsidRPr="0064032C" w:rsidRDefault="00826656" w:rsidP="00E705BD">
      <w:pPr>
        <w:keepNext/>
        <w:rPr>
          <w:lang w:val="fr-CH"/>
        </w:rPr>
      </w:pPr>
    </w:p>
    <w:p w:rsidR="00826656" w:rsidRPr="0064032C" w:rsidRDefault="0064032C" w:rsidP="0064032C">
      <w:pPr>
        <w:pStyle w:val="Heading2"/>
        <w:rPr>
          <w:lang w:val="fr-CH"/>
        </w:rPr>
      </w:pPr>
      <w:bookmarkStart w:id="10" w:name="_Toc85632860"/>
      <w:r w:rsidRPr="0064032C">
        <w:rPr>
          <w:color w:val="000000"/>
          <w:lang w:val="fr-CH"/>
        </w:rPr>
        <w:t>Groupes de travail techniques (TWP)</w:t>
      </w:r>
      <w:bookmarkEnd w:id="10"/>
    </w:p>
    <w:p w:rsidR="00826656" w:rsidRPr="0064032C" w:rsidRDefault="00826656" w:rsidP="00E705BD">
      <w:pPr>
        <w:keepNext/>
        <w:rPr>
          <w:lang w:val="fr-CH"/>
        </w:rPr>
      </w:pPr>
    </w:p>
    <w:p w:rsidR="00826656" w:rsidRPr="00B05F03" w:rsidRDefault="00E705BD" w:rsidP="00B05F03">
      <w:pPr>
        <w:rPr>
          <w:lang w:val="fr-CH"/>
        </w:rPr>
      </w:pPr>
      <w:r w:rsidRPr="00FA4478">
        <w:fldChar w:fldCharType="begin"/>
      </w:r>
      <w:r w:rsidRPr="00B05F03">
        <w:rPr>
          <w:lang w:val="fr-CH"/>
        </w:rPr>
        <w:instrText xml:space="preserve"> AUTONUM  </w:instrText>
      </w:r>
      <w:r w:rsidRPr="00FA4478">
        <w:fldChar w:fldCharType="end"/>
      </w:r>
      <w:r w:rsidRPr="00B05F03">
        <w:rPr>
          <w:lang w:val="fr-CH"/>
        </w:rPr>
        <w:tab/>
      </w:r>
      <w:r w:rsidR="00B05F03" w:rsidRPr="00B05F03">
        <w:rPr>
          <w:color w:val="000000"/>
          <w:lang w:val="fr-CH"/>
        </w:rPr>
        <w:t xml:space="preserve">À leurs sessions </w:t>
      </w:r>
      <w:r w:rsidR="00484441" w:rsidRPr="00B05F03">
        <w:rPr>
          <w:color w:val="000000"/>
          <w:lang w:val="fr-CH"/>
        </w:rPr>
        <w:t>de</w:t>
      </w:r>
      <w:r w:rsidR="00484441">
        <w:rPr>
          <w:color w:val="000000"/>
          <w:lang w:val="fr-CH"/>
        </w:rPr>
        <w:t> </w:t>
      </w:r>
      <w:r w:rsidR="00484441" w:rsidRPr="00B05F03">
        <w:rPr>
          <w:color w:val="000000"/>
          <w:lang w:val="fr-CH"/>
        </w:rPr>
        <w:t>2021</w:t>
      </w:r>
      <w:r w:rsidR="00B05F03" w:rsidRPr="00B05F03">
        <w:rPr>
          <w:color w:val="000000"/>
          <w:lang w:val="fr-CH"/>
        </w:rPr>
        <w:t>,</w:t>
      </w:r>
      <w:r w:rsidR="00484441" w:rsidRPr="00B05F03">
        <w:rPr>
          <w:color w:val="000000"/>
          <w:lang w:val="fr-CH"/>
        </w:rPr>
        <w:t xml:space="preserve"> les</w:t>
      </w:r>
      <w:r w:rsidR="00484441">
        <w:rPr>
          <w:color w:val="000000"/>
          <w:lang w:val="fr-CH"/>
        </w:rPr>
        <w:t> </w:t>
      </w:r>
      <w:r w:rsidR="00484441" w:rsidRPr="00B05F03">
        <w:rPr>
          <w:color w:val="000000"/>
          <w:lang w:val="fr-CH"/>
        </w:rPr>
        <w:t>TWP</w:t>
      </w:r>
      <w:r w:rsidR="00B05F03" w:rsidRPr="00B05F03">
        <w:rPr>
          <w:color w:val="000000"/>
          <w:lang w:val="fr-CH"/>
        </w:rPr>
        <w:t xml:space="preserve"> ont pris </w:t>
      </w:r>
      <w:r w:rsidR="00D81784">
        <w:rPr>
          <w:color w:val="000000"/>
          <w:lang w:val="fr-CH"/>
        </w:rPr>
        <w:t xml:space="preserve">note </w:t>
      </w:r>
      <w:r w:rsidR="00B05F03" w:rsidRPr="00B05F03">
        <w:rPr>
          <w:color w:val="000000"/>
          <w:lang w:val="fr-CH"/>
        </w:rPr>
        <w:t>des informations communiquées par les participants de la dix</w:t>
      </w:r>
      <w:r w:rsidR="009104CD">
        <w:rPr>
          <w:color w:val="000000"/>
          <w:lang w:val="fr-CH"/>
        </w:rPr>
        <w:t>-</w:t>
      </w:r>
      <w:r w:rsidR="00B05F03" w:rsidRPr="00B05F03">
        <w:rPr>
          <w:color w:val="000000"/>
          <w:lang w:val="fr-CH"/>
        </w:rPr>
        <w:t>neuv</w:t>
      </w:r>
      <w:r w:rsidR="009104CD">
        <w:rPr>
          <w:color w:val="000000"/>
          <w:lang w:val="fr-CH"/>
        </w:rPr>
        <w:t>ième session</w:t>
      </w:r>
      <w:r w:rsidR="00484441" w:rsidRPr="00B05F03">
        <w:rPr>
          <w:color w:val="000000"/>
          <w:lang w:val="fr-CH"/>
        </w:rPr>
        <w:t xml:space="preserve"> du</w:t>
      </w:r>
      <w:r w:rsidR="00484441">
        <w:rPr>
          <w:color w:val="000000"/>
          <w:lang w:val="fr-CH"/>
        </w:rPr>
        <w:t> </w:t>
      </w:r>
      <w:r w:rsidR="00484441" w:rsidRPr="00B05F03">
        <w:rPr>
          <w:color w:val="000000"/>
          <w:lang w:val="fr-CH"/>
        </w:rPr>
        <w:t>BMT</w:t>
      </w:r>
      <w:r w:rsidR="00B05F03" w:rsidRPr="00B05F03">
        <w:rPr>
          <w:color w:val="000000"/>
          <w:lang w:val="fr-CH"/>
        </w:rPr>
        <w:t xml:space="preserve"> concernant leurs travaux sur les techniques biochimiques et moléculaires et les domaines de coopération, qui font l</w:t>
      </w:r>
      <w:r w:rsidR="009104CD">
        <w:rPr>
          <w:color w:val="000000"/>
          <w:lang w:val="fr-CH"/>
        </w:rPr>
        <w:t>’</w:t>
      </w:r>
      <w:r w:rsidR="00B05F03" w:rsidRPr="00B05F03">
        <w:rPr>
          <w:color w:val="000000"/>
          <w:lang w:val="fr-CH"/>
        </w:rPr>
        <w:t>objet de l</w:t>
      </w:r>
      <w:r w:rsidR="009104CD">
        <w:rPr>
          <w:color w:val="000000"/>
          <w:lang w:val="fr-CH"/>
        </w:rPr>
        <w:t>’</w:t>
      </w:r>
      <w:r w:rsidR="00484441" w:rsidRPr="00B05F03">
        <w:rPr>
          <w:color w:val="000000"/>
          <w:lang w:val="fr-CH"/>
        </w:rPr>
        <w:t>annexe</w:t>
      </w:r>
      <w:r w:rsidR="00484441">
        <w:rPr>
          <w:color w:val="000000"/>
          <w:lang w:val="fr-CH"/>
        </w:rPr>
        <w:t> </w:t>
      </w:r>
      <w:r w:rsidR="00484441" w:rsidRPr="00B05F03">
        <w:rPr>
          <w:color w:val="000000"/>
          <w:lang w:val="fr-CH"/>
        </w:rPr>
        <w:t>I</w:t>
      </w:r>
      <w:r w:rsidR="00B05F03" w:rsidRPr="00B05F03">
        <w:rPr>
          <w:color w:val="000000"/>
          <w:lang w:val="fr-CH"/>
        </w:rPr>
        <w:t xml:space="preserve"> du </w:t>
      </w:r>
      <w:r w:rsidR="009104CD" w:rsidRPr="00B05F03">
        <w:rPr>
          <w:color w:val="000000"/>
          <w:lang w:val="fr-CH"/>
        </w:rPr>
        <w:t>document</w:t>
      </w:r>
      <w:r w:rsidR="00B901C0">
        <w:rPr>
          <w:color w:val="000000"/>
          <w:lang w:val="fr-CH"/>
        </w:rPr>
        <w:t> </w:t>
      </w:r>
      <w:r w:rsidR="009104CD" w:rsidRPr="00B05F03">
        <w:rPr>
          <w:color w:val="000000"/>
          <w:lang w:val="fr-CH"/>
        </w:rPr>
        <w:t>TW</w:t>
      </w:r>
      <w:r w:rsidR="00B05F03" w:rsidRPr="00B05F03">
        <w:rPr>
          <w:color w:val="000000"/>
          <w:lang w:val="fr-CH"/>
        </w:rPr>
        <w:t xml:space="preserve">P/5/7 (voir les </w:t>
      </w:r>
      <w:r w:rsidR="00484441" w:rsidRPr="00B05F03">
        <w:rPr>
          <w:color w:val="000000"/>
          <w:lang w:val="fr-CH"/>
        </w:rPr>
        <w:t>paragraphes</w:t>
      </w:r>
      <w:r w:rsidR="00484441">
        <w:rPr>
          <w:color w:val="000000"/>
          <w:lang w:val="fr-CH"/>
        </w:rPr>
        <w:t> </w:t>
      </w:r>
      <w:r w:rsidR="00484441" w:rsidRPr="00B05F03">
        <w:rPr>
          <w:color w:val="000000"/>
          <w:lang w:val="fr-CH"/>
        </w:rPr>
        <w:t>4</w:t>
      </w:r>
      <w:r w:rsidR="00BA73B2">
        <w:rPr>
          <w:color w:val="000000"/>
          <w:lang w:val="fr-CH"/>
        </w:rPr>
        <w:t>8</w:t>
      </w:r>
      <w:r w:rsidR="00B05F03" w:rsidRPr="00B05F03">
        <w:rPr>
          <w:color w:val="000000"/>
          <w:lang w:val="fr-CH"/>
        </w:rPr>
        <w:t xml:space="preserve"> et 49 du </w:t>
      </w:r>
      <w:r w:rsidR="009104CD" w:rsidRPr="00B05F03">
        <w:rPr>
          <w:color w:val="000000"/>
          <w:lang w:val="fr-CH"/>
        </w:rPr>
        <w:t>document</w:t>
      </w:r>
      <w:r w:rsidR="009104CD">
        <w:rPr>
          <w:color w:val="000000"/>
          <w:lang w:val="fr-CH"/>
        </w:rPr>
        <w:t xml:space="preserve"> TW</w:t>
      </w:r>
      <w:r w:rsidR="00D81784">
        <w:rPr>
          <w:color w:val="000000"/>
          <w:lang w:val="fr-CH"/>
        </w:rPr>
        <w:t>V/55/16 “Report”,</w:t>
      </w:r>
      <w:r w:rsidR="00B05F03" w:rsidRPr="00B05F03">
        <w:rPr>
          <w:color w:val="000000"/>
          <w:lang w:val="fr-CH"/>
        </w:rPr>
        <w:t xml:space="preserve"> le </w:t>
      </w:r>
      <w:r w:rsidR="00484441" w:rsidRPr="00B05F03">
        <w:rPr>
          <w:color w:val="000000"/>
          <w:lang w:val="fr-CH"/>
        </w:rPr>
        <w:t>paragraphe</w:t>
      </w:r>
      <w:r w:rsidR="00484441">
        <w:rPr>
          <w:color w:val="000000"/>
          <w:lang w:val="fr-CH"/>
        </w:rPr>
        <w:t> </w:t>
      </w:r>
      <w:r w:rsidR="00484441" w:rsidRPr="00B05F03">
        <w:rPr>
          <w:color w:val="000000"/>
          <w:lang w:val="fr-CH"/>
        </w:rPr>
        <w:t>5</w:t>
      </w:r>
      <w:r w:rsidR="00B05F03" w:rsidRPr="00B05F03">
        <w:rPr>
          <w:color w:val="000000"/>
          <w:lang w:val="fr-CH"/>
        </w:rPr>
        <w:t xml:space="preserve">7 du </w:t>
      </w:r>
      <w:r w:rsidR="009104CD" w:rsidRPr="00B05F03">
        <w:rPr>
          <w:color w:val="000000"/>
          <w:lang w:val="fr-CH"/>
        </w:rPr>
        <w:t>document</w:t>
      </w:r>
      <w:r w:rsidR="009104CD">
        <w:rPr>
          <w:color w:val="000000"/>
          <w:lang w:val="fr-CH"/>
        </w:rPr>
        <w:t xml:space="preserve"> </w:t>
      </w:r>
      <w:r w:rsidR="009104CD" w:rsidRPr="00B05F03">
        <w:rPr>
          <w:color w:val="000000"/>
          <w:lang w:val="fr-CH"/>
        </w:rPr>
        <w:t>TW</w:t>
      </w:r>
      <w:r w:rsidR="00B05F03" w:rsidRPr="00B05F03">
        <w:rPr>
          <w:color w:val="000000"/>
          <w:lang w:val="fr-CH"/>
        </w:rPr>
        <w:t>O/53/10 “Report”</w:t>
      </w:r>
      <w:r w:rsidR="00D81784">
        <w:rPr>
          <w:color w:val="000000"/>
          <w:lang w:val="fr-CH"/>
        </w:rPr>
        <w:t>,</w:t>
      </w:r>
      <w:r w:rsidR="00B05F03" w:rsidRPr="00B05F03">
        <w:rPr>
          <w:color w:val="000000"/>
          <w:lang w:val="fr-CH"/>
        </w:rPr>
        <w:t xml:space="preserve"> les </w:t>
      </w:r>
      <w:r w:rsidR="00484441" w:rsidRPr="00B05F03">
        <w:rPr>
          <w:color w:val="000000"/>
          <w:lang w:val="fr-CH"/>
        </w:rPr>
        <w:t>paragraphes</w:t>
      </w:r>
      <w:r w:rsidR="00484441">
        <w:rPr>
          <w:color w:val="000000"/>
          <w:lang w:val="fr-CH"/>
        </w:rPr>
        <w:t> </w:t>
      </w:r>
      <w:r w:rsidR="00484441" w:rsidRPr="00B05F03">
        <w:rPr>
          <w:color w:val="000000"/>
          <w:lang w:val="fr-CH"/>
        </w:rPr>
        <w:t>8</w:t>
      </w:r>
      <w:r w:rsidR="00B05F03" w:rsidRPr="00B05F03">
        <w:rPr>
          <w:color w:val="000000"/>
          <w:lang w:val="fr-CH"/>
        </w:rPr>
        <w:t xml:space="preserve">5 et 86 du </w:t>
      </w:r>
      <w:r w:rsidR="009104CD" w:rsidRPr="00B05F03">
        <w:rPr>
          <w:color w:val="000000"/>
          <w:lang w:val="fr-CH"/>
        </w:rPr>
        <w:t>document</w:t>
      </w:r>
      <w:r w:rsidR="009104CD">
        <w:rPr>
          <w:color w:val="000000"/>
          <w:lang w:val="fr-CH"/>
        </w:rPr>
        <w:t xml:space="preserve"> TW</w:t>
      </w:r>
      <w:r w:rsidR="00D81784">
        <w:rPr>
          <w:color w:val="000000"/>
          <w:lang w:val="fr-CH"/>
        </w:rPr>
        <w:t>A/50/9 “Report”,</w:t>
      </w:r>
      <w:r w:rsidR="00B05F03" w:rsidRPr="00B05F03">
        <w:rPr>
          <w:color w:val="000000"/>
          <w:lang w:val="fr-CH"/>
        </w:rPr>
        <w:t xml:space="preserve"> les </w:t>
      </w:r>
      <w:r w:rsidR="00484441" w:rsidRPr="00B05F03">
        <w:rPr>
          <w:color w:val="000000"/>
          <w:lang w:val="fr-CH"/>
        </w:rPr>
        <w:t>paragraphes</w:t>
      </w:r>
      <w:r w:rsidR="00484441">
        <w:rPr>
          <w:color w:val="000000"/>
          <w:lang w:val="fr-CH"/>
        </w:rPr>
        <w:t> </w:t>
      </w:r>
      <w:r w:rsidR="00484441" w:rsidRPr="00B05F03">
        <w:rPr>
          <w:color w:val="000000"/>
          <w:lang w:val="fr-CH"/>
        </w:rPr>
        <w:t>1</w:t>
      </w:r>
      <w:r w:rsidR="00B05F03" w:rsidRPr="00B05F03">
        <w:rPr>
          <w:color w:val="000000"/>
          <w:lang w:val="fr-CH"/>
        </w:rPr>
        <w:t>0</w:t>
      </w:r>
      <w:r w:rsidR="00D81784">
        <w:rPr>
          <w:color w:val="000000"/>
          <w:lang w:val="fr-CH"/>
        </w:rPr>
        <w:t xml:space="preserve"> e</w:t>
      </w:r>
      <w:r w:rsidR="00B05F03" w:rsidRPr="00B05F03">
        <w:rPr>
          <w:color w:val="000000"/>
          <w:lang w:val="fr-CH"/>
        </w:rPr>
        <w:t>t</w:t>
      </w:r>
      <w:r w:rsidR="00D81784">
        <w:rPr>
          <w:color w:val="000000"/>
          <w:lang w:val="fr-CH"/>
        </w:rPr>
        <w:t xml:space="preserve"> </w:t>
      </w:r>
      <w:r w:rsidR="00B05F03" w:rsidRPr="00B05F03">
        <w:rPr>
          <w:color w:val="000000"/>
          <w:lang w:val="fr-CH"/>
        </w:rPr>
        <w:t xml:space="preserve">11 </w:t>
      </w:r>
      <w:r w:rsidR="00D81784">
        <w:rPr>
          <w:color w:val="000000"/>
          <w:lang w:val="fr-CH"/>
        </w:rPr>
        <w:t>du document TWF/52/10 “Report”</w:t>
      </w:r>
      <w:r w:rsidR="00B05F03" w:rsidRPr="00B05F03">
        <w:rPr>
          <w:color w:val="000000"/>
          <w:lang w:val="fr-CH"/>
        </w:rPr>
        <w:t xml:space="preserve"> et le </w:t>
      </w:r>
      <w:r w:rsidR="00484441" w:rsidRPr="00B05F03">
        <w:rPr>
          <w:color w:val="000000"/>
          <w:lang w:val="fr-CH"/>
        </w:rPr>
        <w:t>paragraphe</w:t>
      </w:r>
      <w:r w:rsidR="00484441">
        <w:rPr>
          <w:color w:val="000000"/>
          <w:lang w:val="fr-CH"/>
        </w:rPr>
        <w:t> </w:t>
      </w:r>
      <w:r w:rsidR="00484441" w:rsidRPr="00B05F03">
        <w:rPr>
          <w:color w:val="000000"/>
          <w:lang w:val="fr-CH"/>
        </w:rPr>
        <w:t>7</w:t>
      </w:r>
      <w:r w:rsidR="00B05F03" w:rsidRPr="00B05F03">
        <w:rPr>
          <w:color w:val="000000"/>
          <w:lang w:val="fr-CH"/>
        </w:rPr>
        <w:t xml:space="preserve">0 du </w:t>
      </w:r>
      <w:r w:rsidR="009104CD" w:rsidRPr="00B05F03">
        <w:rPr>
          <w:color w:val="000000"/>
          <w:lang w:val="fr-CH"/>
        </w:rPr>
        <w:t>document</w:t>
      </w:r>
      <w:r w:rsidR="009104CD">
        <w:rPr>
          <w:color w:val="000000"/>
          <w:lang w:val="fr-CH"/>
        </w:rPr>
        <w:t xml:space="preserve"> </w:t>
      </w:r>
      <w:r w:rsidR="009104CD" w:rsidRPr="00B05F03">
        <w:rPr>
          <w:color w:val="000000"/>
          <w:lang w:val="fr-CH"/>
        </w:rPr>
        <w:t>TW</w:t>
      </w:r>
      <w:r w:rsidR="00B05F03" w:rsidRPr="00B05F03">
        <w:rPr>
          <w:color w:val="000000"/>
          <w:lang w:val="fr-CH"/>
        </w:rPr>
        <w:t>C/39/9 “Report”).</w:t>
      </w:r>
    </w:p>
    <w:p w:rsidR="00826656" w:rsidRPr="00B05F03" w:rsidRDefault="00826656" w:rsidP="00E705BD">
      <w:pPr>
        <w:rPr>
          <w:lang w:val="fr-CH"/>
        </w:rPr>
      </w:pPr>
    </w:p>
    <w:p w:rsidR="00826656" w:rsidRPr="00D81784" w:rsidRDefault="00E705BD" w:rsidP="00090FB7">
      <w:pPr>
        <w:rPr>
          <w:lang w:val="fr-CH"/>
        </w:rPr>
      </w:pPr>
      <w:r w:rsidRPr="00FC712E">
        <w:fldChar w:fldCharType="begin"/>
      </w:r>
      <w:r w:rsidRPr="00090FB7">
        <w:rPr>
          <w:lang w:val="fr-CH"/>
        </w:rPr>
        <w:instrText xml:space="preserve"> AUTONUM  </w:instrText>
      </w:r>
      <w:r w:rsidRPr="00FC712E">
        <w:fldChar w:fldCharType="end"/>
      </w:r>
      <w:r w:rsidRPr="00090FB7">
        <w:rPr>
          <w:lang w:val="fr-CH"/>
        </w:rPr>
        <w:tab/>
      </w:r>
      <w:r w:rsidR="00090FB7" w:rsidRPr="00D81784">
        <w:rPr>
          <w:lang w:val="fr-CH"/>
        </w:rPr>
        <w:t xml:space="preserve">À sa </w:t>
      </w:r>
      <w:r w:rsidR="00E956C2" w:rsidRPr="00D81784">
        <w:rPr>
          <w:lang w:val="fr-CH"/>
        </w:rPr>
        <w:t>cinquante</w:t>
      </w:r>
      <w:r w:rsidR="00E956C2">
        <w:rPr>
          <w:lang w:val="fr-CH"/>
        </w:rPr>
        <w:t>-</w:t>
      </w:r>
      <w:r w:rsidR="00E956C2" w:rsidRPr="00D81784">
        <w:rPr>
          <w:lang w:val="fr-CH"/>
        </w:rPr>
        <w:t>cinqu</w:t>
      </w:r>
      <w:r w:rsidR="00E956C2">
        <w:rPr>
          <w:lang w:val="fr-CH"/>
        </w:rPr>
        <w:t>ième </w:t>
      </w:r>
      <w:r w:rsidR="009104CD">
        <w:rPr>
          <w:lang w:val="fr-CH"/>
        </w:rPr>
        <w:t>session</w:t>
      </w:r>
      <w:r w:rsidR="00090FB7" w:rsidRPr="00D81784">
        <w:rPr>
          <w:lang w:val="fr-CH"/>
        </w:rPr>
        <w:t>,</w:t>
      </w:r>
      <w:r w:rsidR="00484441" w:rsidRPr="00D81784">
        <w:rPr>
          <w:lang w:val="fr-CH"/>
        </w:rPr>
        <w:t xml:space="preserve"> le TWC</w:t>
      </w:r>
      <w:r w:rsidR="00090FB7" w:rsidRPr="00D81784">
        <w:rPr>
          <w:lang w:val="fr-CH"/>
        </w:rPr>
        <w:t xml:space="preserve"> a </w:t>
      </w:r>
      <w:r w:rsidR="00D81784">
        <w:rPr>
          <w:lang w:val="fr-CH"/>
        </w:rPr>
        <w:t>créé</w:t>
      </w:r>
      <w:r w:rsidR="00090FB7" w:rsidRPr="00D81784">
        <w:rPr>
          <w:lang w:val="fr-CH"/>
        </w:rPr>
        <w:t xml:space="preserve"> un groupe de discussion afin que les participants puissent échanger des informations sur leurs travaux concernant les techniques biochimiques et moléculaires et étudier les domaines de coopération possibl</w:t>
      </w:r>
      <w:r w:rsidR="00B901C0" w:rsidRPr="00D81784">
        <w:rPr>
          <w:lang w:val="fr-CH"/>
        </w:rPr>
        <w:t>es</w:t>
      </w:r>
      <w:r w:rsidR="00B901C0">
        <w:rPr>
          <w:lang w:val="fr-CH"/>
        </w:rPr>
        <w:t xml:space="preserve">.  </w:t>
      </w:r>
      <w:r w:rsidR="00B901C0" w:rsidRPr="00D81784">
        <w:rPr>
          <w:lang w:val="fr-CH"/>
        </w:rPr>
        <w:t>La</w:t>
      </w:r>
      <w:r w:rsidR="00090FB7" w:rsidRPr="00D81784">
        <w:rPr>
          <w:lang w:val="fr-CH"/>
        </w:rPr>
        <w:t xml:space="preserve"> tomate, la laitue et le poivron ont été examinés dans le cadre du groupe de discussion.</w:t>
      </w:r>
    </w:p>
    <w:p w:rsidR="00826656" w:rsidRPr="00D81784" w:rsidRDefault="00826656" w:rsidP="00E705BD">
      <w:pPr>
        <w:rPr>
          <w:lang w:val="fr-CH"/>
        </w:rPr>
      </w:pPr>
    </w:p>
    <w:p w:rsidR="00826656" w:rsidRPr="00D81784" w:rsidRDefault="00E705BD" w:rsidP="00090FB7">
      <w:pPr>
        <w:rPr>
          <w:lang w:val="fr-CH"/>
        </w:rPr>
      </w:pPr>
      <w:r w:rsidRPr="00D81784">
        <w:fldChar w:fldCharType="begin"/>
      </w:r>
      <w:r w:rsidRPr="00D81784">
        <w:rPr>
          <w:lang w:val="fr-CH"/>
        </w:rPr>
        <w:instrText xml:space="preserve"> AUTONUM  </w:instrText>
      </w:r>
      <w:r w:rsidRPr="00D81784">
        <w:fldChar w:fldCharType="end"/>
      </w:r>
      <w:r w:rsidRPr="00D81784">
        <w:rPr>
          <w:lang w:val="fr-CH"/>
        </w:rPr>
        <w:tab/>
      </w:r>
      <w:r w:rsidR="00090FB7" w:rsidRPr="00D81784">
        <w:rPr>
          <w:lang w:val="fr-CH"/>
        </w:rPr>
        <w:t xml:space="preserve">À sa </w:t>
      </w:r>
      <w:r w:rsidR="00E956C2" w:rsidRPr="00D81784">
        <w:rPr>
          <w:lang w:val="fr-CH"/>
        </w:rPr>
        <w:t>cinquant</w:t>
      </w:r>
      <w:r w:rsidR="00E956C2">
        <w:rPr>
          <w:lang w:val="fr-CH"/>
        </w:rPr>
        <w:t>ième </w:t>
      </w:r>
      <w:r w:rsidR="009104CD">
        <w:rPr>
          <w:lang w:val="fr-CH"/>
        </w:rPr>
        <w:t>session</w:t>
      </w:r>
      <w:r w:rsidR="00090FB7" w:rsidRPr="00D81784">
        <w:rPr>
          <w:lang w:val="fr-CH"/>
        </w:rPr>
        <w:t>,</w:t>
      </w:r>
      <w:r w:rsidR="00484441" w:rsidRPr="00D81784">
        <w:rPr>
          <w:lang w:val="fr-CH"/>
        </w:rPr>
        <w:t xml:space="preserve"> le TWA</w:t>
      </w:r>
      <w:r w:rsidR="00090FB7" w:rsidRPr="00D81784">
        <w:rPr>
          <w:lang w:val="fr-CH"/>
        </w:rPr>
        <w:t xml:space="preserve"> a organisé une </w:t>
      </w:r>
      <w:r w:rsidR="00F033B3">
        <w:rPr>
          <w:lang w:val="fr-CH"/>
        </w:rPr>
        <w:t>réunion</w:t>
      </w:r>
      <w:r w:rsidR="00090FB7" w:rsidRPr="00D81784">
        <w:rPr>
          <w:lang w:val="fr-CH"/>
        </w:rPr>
        <w:t xml:space="preserve"> afin que les participants puissent échanger des informations sur leurs travaux concernant les techniques biochimiques et moléculaires et étudier les domaines de coopération possibles pour le soja, la pomme de terre, le colza, le chanvre, la féverole et le b</w:t>
      </w:r>
      <w:r w:rsidR="00B901C0" w:rsidRPr="00D81784">
        <w:rPr>
          <w:lang w:val="fr-CH"/>
        </w:rPr>
        <w:t>lé</w:t>
      </w:r>
      <w:r w:rsidR="00B901C0">
        <w:rPr>
          <w:lang w:val="fr-CH"/>
        </w:rPr>
        <w:t xml:space="preserve">.  </w:t>
      </w:r>
      <w:r w:rsidR="00B901C0" w:rsidRPr="00D81784">
        <w:rPr>
          <w:lang w:val="fr-CH"/>
        </w:rPr>
        <w:t>Il</w:t>
      </w:r>
      <w:r w:rsidR="00090FB7" w:rsidRPr="00D81784">
        <w:rPr>
          <w:lang w:val="fr-CH"/>
        </w:rPr>
        <w:t xml:space="preserve"> est convenu de solliciter la présentation, </w:t>
      </w:r>
      <w:r w:rsidR="00F033B3">
        <w:rPr>
          <w:lang w:val="fr-CH"/>
        </w:rPr>
        <w:t>à</w:t>
      </w:r>
      <w:r w:rsidR="00090FB7" w:rsidRPr="00D81784">
        <w:rPr>
          <w:lang w:val="fr-CH"/>
        </w:rPr>
        <w:t xml:space="preserve"> sa cinquante</w:t>
      </w:r>
      <w:r w:rsidR="009104CD">
        <w:rPr>
          <w:lang w:val="fr-CH"/>
        </w:rPr>
        <w:t> et unième session</w:t>
      </w:r>
      <w:r w:rsidR="00090FB7" w:rsidRPr="00D81784">
        <w:rPr>
          <w:lang w:val="fr-CH"/>
        </w:rPr>
        <w:t xml:space="preserve"> prévue </w:t>
      </w:r>
      <w:r w:rsidR="00484441" w:rsidRPr="00D81784">
        <w:rPr>
          <w:lang w:val="fr-CH"/>
        </w:rPr>
        <w:t>en 2022</w:t>
      </w:r>
      <w:r w:rsidR="00090FB7" w:rsidRPr="00D81784">
        <w:rPr>
          <w:lang w:val="fr-CH"/>
        </w:rPr>
        <w:t>, d</w:t>
      </w:r>
      <w:r w:rsidR="009104CD">
        <w:rPr>
          <w:lang w:val="fr-CH"/>
        </w:rPr>
        <w:t>’</w:t>
      </w:r>
      <w:r w:rsidR="00090FB7" w:rsidRPr="00D81784">
        <w:rPr>
          <w:lang w:val="fr-CH"/>
        </w:rPr>
        <w:t>exposés sur l</w:t>
      </w:r>
      <w:r w:rsidR="009104CD">
        <w:rPr>
          <w:lang w:val="fr-CH"/>
        </w:rPr>
        <w:t>’</w:t>
      </w:r>
      <w:r w:rsidR="00090FB7" w:rsidRPr="00D81784">
        <w:rPr>
          <w:lang w:val="fr-CH"/>
        </w:rPr>
        <w:t>utilisation des techniques biochimiques et moléculaires pour les différentes plantes examinées.</w:t>
      </w:r>
    </w:p>
    <w:p w:rsidR="00826656" w:rsidRPr="00D81784" w:rsidRDefault="00826656" w:rsidP="00E705BD">
      <w:pPr>
        <w:rPr>
          <w:lang w:val="fr-CH"/>
        </w:rPr>
      </w:pPr>
    </w:p>
    <w:p w:rsidR="00826656" w:rsidRPr="00D81784" w:rsidRDefault="00E705BD" w:rsidP="00090FB7">
      <w:pPr>
        <w:rPr>
          <w:lang w:val="fr-CH"/>
        </w:rPr>
      </w:pPr>
      <w:r w:rsidRPr="00D81784">
        <w:fldChar w:fldCharType="begin"/>
      </w:r>
      <w:r w:rsidRPr="00D81784">
        <w:rPr>
          <w:lang w:val="fr-CH"/>
        </w:rPr>
        <w:instrText xml:space="preserve"> AUTONUM  </w:instrText>
      </w:r>
      <w:r w:rsidRPr="00D81784">
        <w:fldChar w:fldCharType="end"/>
      </w:r>
      <w:r w:rsidRPr="00D81784">
        <w:rPr>
          <w:lang w:val="fr-CH"/>
        </w:rPr>
        <w:tab/>
      </w:r>
      <w:r w:rsidR="00090FB7" w:rsidRPr="00D81784">
        <w:rPr>
          <w:lang w:val="fr-CH"/>
        </w:rPr>
        <w:t>À sa cinquante</w:t>
      </w:r>
      <w:r w:rsidR="009104CD">
        <w:rPr>
          <w:lang w:val="fr-CH"/>
        </w:rPr>
        <w:t>-</w:t>
      </w:r>
      <w:r w:rsidR="00090FB7" w:rsidRPr="00D81784">
        <w:rPr>
          <w:lang w:val="fr-CH"/>
        </w:rPr>
        <w:t>trois</w:t>
      </w:r>
      <w:r w:rsidR="009104CD">
        <w:rPr>
          <w:lang w:val="fr-CH"/>
        </w:rPr>
        <w:t>ième session</w:t>
      </w:r>
      <w:r w:rsidR="00090FB7" w:rsidRPr="00D81784">
        <w:rPr>
          <w:lang w:val="fr-CH"/>
        </w:rPr>
        <w:t>,</w:t>
      </w:r>
      <w:r w:rsidR="00484441" w:rsidRPr="00D81784">
        <w:rPr>
          <w:lang w:val="fr-CH"/>
        </w:rPr>
        <w:t xml:space="preserve"> le TWF</w:t>
      </w:r>
      <w:r w:rsidR="00090FB7" w:rsidRPr="00D81784">
        <w:rPr>
          <w:lang w:val="fr-CH"/>
        </w:rPr>
        <w:t xml:space="preserve"> a organisé une </w:t>
      </w:r>
      <w:r w:rsidR="00F033B3">
        <w:rPr>
          <w:lang w:val="fr-CH"/>
        </w:rPr>
        <w:t>réunion</w:t>
      </w:r>
      <w:r w:rsidR="00090FB7" w:rsidRPr="00D81784">
        <w:rPr>
          <w:lang w:val="fr-CH"/>
        </w:rPr>
        <w:t xml:space="preserve"> afin que les participants puissent échanger des informations sur leurs travaux concernant les techniques biochimiques et moléculaires et étudier les domaines de coopération possibles pour le pommier, le fraisier et le pêch</w:t>
      </w:r>
      <w:r w:rsidR="00B901C0" w:rsidRPr="00D81784">
        <w:rPr>
          <w:lang w:val="fr-CH"/>
        </w:rPr>
        <w:t>er</w:t>
      </w:r>
      <w:r w:rsidR="00B901C0">
        <w:rPr>
          <w:lang w:val="fr-CH"/>
        </w:rPr>
        <w:t xml:space="preserve">.  </w:t>
      </w:r>
      <w:r w:rsidR="00B901C0" w:rsidRPr="00D81784">
        <w:rPr>
          <w:lang w:val="fr-CH"/>
        </w:rPr>
        <w:t>Il</w:t>
      </w:r>
      <w:r w:rsidR="00090FB7" w:rsidRPr="00D81784">
        <w:rPr>
          <w:lang w:val="fr-CH"/>
        </w:rPr>
        <w:t xml:space="preserve"> est convenu d</w:t>
      </w:r>
      <w:r w:rsidR="009104CD">
        <w:rPr>
          <w:lang w:val="fr-CH"/>
        </w:rPr>
        <w:t>’</w:t>
      </w:r>
      <w:r w:rsidR="00090FB7" w:rsidRPr="00D81784">
        <w:rPr>
          <w:lang w:val="fr-CH"/>
        </w:rPr>
        <w:t>inviter les experts de l</w:t>
      </w:r>
      <w:r w:rsidR="009104CD">
        <w:rPr>
          <w:lang w:val="fr-CH"/>
        </w:rPr>
        <w:t>’</w:t>
      </w:r>
      <w:r w:rsidR="00090FB7" w:rsidRPr="00D81784">
        <w:rPr>
          <w:lang w:val="fr-CH"/>
        </w:rPr>
        <w:t>Union européenne et de la France à présenter des exposés sur l</w:t>
      </w:r>
      <w:r w:rsidR="009104CD">
        <w:rPr>
          <w:lang w:val="fr-CH"/>
        </w:rPr>
        <w:t>’</w:t>
      </w:r>
      <w:r w:rsidR="00090FB7" w:rsidRPr="00D81784">
        <w:rPr>
          <w:lang w:val="fr-CH"/>
        </w:rPr>
        <w:t>utilisation des techniques moléculaires dans l</w:t>
      </w:r>
      <w:r w:rsidR="009104CD">
        <w:rPr>
          <w:lang w:val="fr-CH"/>
        </w:rPr>
        <w:t>’</w:t>
      </w:r>
      <w:r w:rsidR="00090FB7" w:rsidRPr="00D81784">
        <w:rPr>
          <w:lang w:val="fr-CH"/>
        </w:rPr>
        <w:t>examen</w:t>
      </w:r>
      <w:r w:rsidR="00D2510D" w:rsidRPr="00D81784">
        <w:rPr>
          <w:lang w:val="fr-CH"/>
        </w:rPr>
        <w:t> </w:t>
      </w:r>
      <w:r w:rsidR="00090FB7" w:rsidRPr="00D81784">
        <w:rPr>
          <w:lang w:val="fr-CH"/>
        </w:rPr>
        <w:t>DHS des variétés de pommier à sa cinquante</w:t>
      </w:r>
      <w:r w:rsidR="009104CD">
        <w:rPr>
          <w:lang w:val="fr-CH"/>
        </w:rPr>
        <w:t>-</w:t>
      </w:r>
      <w:r w:rsidR="00090FB7" w:rsidRPr="00D81784">
        <w:rPr>
          <w:lang w:val="fr-CH"/>
        </w:rPr>
        <w:t>trois</w:t>
      </w:r>
      <w:r w:rsidR="009104CD">
        <w:rPr>
          <w:lang w:val="fr-CH"/>
        </w:rPr>
        <w:t>ième session</w:t>
      </w:r>
      <w:r w:rsidR="00090FB7" w:rsidRPr="00D81784">
        <w:rPr>
          <w:lang w:val="fr-CH"/>
        </w:rPr>
        <w:t>.</w:t>
      </w:r>
    </w:p>
    <w:p w:rsidR="00826656" w:rsidRPr="00D81784" w:rsidRDefault="00826656" w:rsidP="00E705BD">
      <w:pPr>
        <w:rPr>
          <w:lang w:val="fr-CH"/>
        </w:rPr>
      </w:pPr>
    </w:p>
    <w:p w:rsidR="00826656" w:rsidRPr="00D81784" w:rsidRDefault="00826656" w:rsidP="00E705BD">
      <w:pPr>
        <w:rPr>
          <w:lang w:val="fr-CH"/>
        </w:rPr>
      </w:pPr>
    </w:p>
    <w:p w:rsidR="00826656" w:rsidRPr="00F033B3" w:rsidRDefault="00090FB7" w:rsidP="00090FB7">
      <w:pPr>
        <w:pStyle w:val="Heading2"/>
        <w:rPr>
          <w:lang w:val="fr-CH"/>
        </w:rPr>
      </w:pPr>
      <w:bookmarkStart w:id="11" w:name="_Toc85632861"/>
      <w:r w:rsidRPr="00F033B3">
        <w:rPr>
          <w:lang w:val="fr-CH"/>
        </w:rPr>
        <w:t>Groupe de travail sur les techniques biochimiques et moléculaires, notamment les profils d</w:t>
      </w:r>
      <w:r w:rsidR="009104CD">
        <w:rPr>
          <w:lang w:val="fr-CH"/>
        </w:rPr>
        <w:t>’</w:t>
      </w:r>
      <w:r w:rsidRPr="00F033B3">
        <w:rPr>
          <w:lang w:val="fr-CH"/>
        </w:rPr>
        <w:t>ADN (BMT)</w:t>
      </w:r>
      <w:bookmarkEnd w:id="11"/>
    </w:p>
    <w:p w:rsidR="00826656" w:rsidRPr="00F033B3" w:rsidRDefault="00826656" w:rsidP="00E705BD">
      <w:pPr>
        <w:rPr>
          <w:lang w:val="fr-CH"/>
        </w:rPr>
      </w:pPr>
    </w:p>
    <w:p w:rsidR="00826656" w:rsidRPr="00F033B3" w:rsidRDefault="00E705BD" w:rsidP="00090FB7">
      <w:pPr>
        <w:rPr>
          <w:lang w:val="fr-CH"/>
        </w:rPr>
      </w:pPr>
      <w:r w:rsidRPr="00F033B3">
        <w:fldChar w:fldCharType="begin"/>
      </w:r>
      <w:r w:rsidRPr="00F033B3">
        <w:rPr>
          <w:lang w:val="fr-CH"/>
        </w:rPr>
        <w:instrText xml:space="preserve"> AUTONUM  </w:instrText>
      </w:r>
      <w:r w:rsidRPr="00F033B3">
        <w:fldChar w:fldCharType="end"/>
      </w:r>
      <w:r w:rsidRPr="00F033B3">
        <w:rPr>
          <w:lang w:val="fr-CH"/>
        </w:rPr>
        <w:tab/>
      </w:r>
      <w:r w:rsidR="00090FB7" w:rsidRPr="00F033B3">
        <w:rPr>
          <w:lang w:val="fr-CH"/>
        </w:rPr>
        <w:t>À sa vingt</w:t>
      </w:r>
      <w:r w:rsidR="009104CD">
        <w:rPr>
          <w:lang w:val="fr-CH"/>
        </w:rPr>
        <w:t>ième session</w:t>
      </w:r>
      <w:r w:rsidR="00090FB7" w:rsidRPr="00F033B3">
        <w:rPr>
          <w:lang w:val="fr-CH"/>
        </w:rPr>
        <w:t>,</w:t>
      </w:r>
      <w:r w:rsidR="00484441" w:rsidRPr="00F033B3">
        <w:rPr>
          <w:lang w:val="fr-CH"/>
        </w:rPr>
        <w:t xml:space="preserve"> le BMT</w:t>
      </w:r>
      <w:r w:rsidR="00090FB7" w:rsidRPr="00F033B3">
        <w:rPr>
          <w:lang w:val="fr-CH"/>
        </w:rPr>
        <w:t xml:space="preserve"> a examiné le document BMT/20/6 “Session to facilitate cooperation” (voir les </w:t>
      </w:r>
      <w:r w:rsidR="00484441" w:rsidRPr="00F033B3">
        <w:rPr>
          <w:lang w:val="fr-CH"/>
        </w:rPr>
        <w:t>paragraphes 2</w:t>
      </w:r>
      <w:r w:rsidR="00090FB7" w:rsidRPr="00F033B3">
        <w:rPr>
          <w:lang w:val="fr-CH"/>
        </w:rPr>
        <w:t>8 à 35 du document BMT/20/12 “Report”).</w:t>
      </w:r>
    </w:p>
    <w:p w:rsidR="00826656" w:rsidRPr="00F033B3" w:rsidRDefault="00826656" w:rsidP="00E705BD">
      <w:pPr>
        <w:rPr>
          <w:lang w:val="fr-CH"/>
        </w:rPr>
      </w:pPr>
    </w:p>
    <w:p w:rsidR="00826656" w:rsidRPr="00F033B3" w:rsidRDefault="00E705BD" w:rsidP="00090FB7">
      <w:pPr>
        <w:rPr>
          <w:lang w:val="fr-CH"/>
        </w:rPr>
      </w:pPr>
      <w:r w:rsidRPr="00F033B3">
        <w:fldChar w:fldCharType="begin"/>
      </w:r>
      <w:r w:rsidRPr="00F033B3">
        <w:rPr>
          <w:lang w:val="fr-CH"/>
        </w:rPr>
        <w:instrText xml:space="preserve"> AUTONUM  </w:instrText>
      </w:r>
      <w:r w:rsidRPr="00F033B3">
        <w:fldChar w:fldCharType="end"/>
      </w:r>
      <w:r w:rsidRPr="00F033B3">
        <w:rPr>
          <w:lang w:val="fr-CH"/>
        </w:rPr>
        <w:tab/>
      </w:r>
      <w:r w:rsidR="00090FB7" w:rsidRPr="00F033B3">
        <w:rPr>
          <w:lang w:val="fr-CH"/>
        </w:rPr>
        <w:t>Le BMT a rappelé les informations fournies par les participants à la dix</w:t>
      </w:r>
      <w:r w:rsidR="009104CD">
        <w:rPr>
          <w:lang w:val="fr-CH"/>
        </w:rPr>
        <w:t>-</w:t>
      </w:r>
      <w:r w:rsidR="00090FB7" w:rsidRPr="00F033B3">
        <w:rPr>
          <w:lang w:val="fr-CH"/>
        </w:rPr>
        <w:t>neuv</w:t>
      </w:r>
      <w:r w:rsidR="009104CD">
        <w:rPr>
          <w:lang w:val="fr-CH"/>
        </w:rPr>
        <w:t>ième session</w:t>
      </w:r>
      <w:r w:rsidR="00484441" w:rsidRPr="00F033B3">
        <w:rPr>
          <w:lang w:val="fr-CH"/>
        </w:rPr>
        <w:t xml:space="preserve"> du BMT</w:t>
      </w:r>
      <w:r w:rsidR="00090FB7" w:rsidRPr="00F033B3">
        <w:rPr>
          <w:lang w:val="fr-CH"/>
        </w:rPr>
        <w:t xml:space="preserve"> en ce qui concerne leurs travaux relatifs aux techniques biochimiques et moléculaires et les domaines de coopération, telles qu</w:t>
      </w:r>
      <w:r w:rsidR="009104CD">
        <w:rPr>
          <w:lang w:val="fr-CH"/>
        </w:rPr>
        <w:t>’</w:t>
      </w:r>
      <w:r w:rsidR="00090FB7" w:rsidRPr="00F033B3">
        <w:rPr>
          <w:lang w:val="fr-CH"/>
        </w:rPr>
        <w:t>elles figurent à l</w:t>
      </w:r>
      <w:r w:rsidR="009104CD">
        <w:rPr>
          <w:lang w:val="fr-CH"/>
        </w:rPr>
        <w:t>’</w:t>
      </w:r>
      <w:r w:rsidR="00090FB7" w:rsidRPr="00F033B3">
        <w:rPr>
          <w:lang w:val="fr-CH"/>
        </w:rPr>
        <w:t xml:space="preserve">annexe du </w:t>
      </w:r>
      <w:r w:rsidR="009104CD" w:rsidRPr="00F033B3">
        <w:rPr>
          <w:lang w:val="fr-CH"/>
        </w:rPr>
        <w:t>document</w:t>
      </w:r>
      <w:r w:rsidR="00B901C0">
        <w:rPr>
          <w:lang w:val="fr-CH"/>
        </w:rPr>
        <w:t> </w:t>
      </w:r>
      <w:r w:rsidR="009104CD" w:rsidRPr="00F033B3">
        <w:rPr>
          <w:lang w:val="fr-CH"/>
        </w:rPr>
        <w:t>BM</w:t>
      </w:r>
      <w:r w:rsidR="00090FB7" w:rsidRPr="00F033B3">
        <w:rPr>
          <w:lang w:val="fr-CH"/>
        </w:rPr>
        <w:t>T/20/6.</w:t>
      </w:r>
    </w:p>
    <w:p w:rsidR="00826656" w:rsidRPr="00F033B3" w:rsidRDefault="00826656" w:rsidP="00E705BD">
      <w:pPr>
        <w:rPr>
          <w:lang w:val="fr-CH"/>
        </w:rPr>
      </w:pPr>
    </w:p>
    <w:p w:rsidR="00826656" w:rsidRPr="00F033B3" w:rsidRDefault="00E705BD" w:rsidP="00E86FA9">
      <w:pPr>
        <w:rPr>
          <w:lang w:val="fr-CH"/>
        </w:rPr>
      </w:pPr>
      <w:r w:rsidRPr="00F033B3">
        <w:fldChar w:fldCharType="begin"/>
      </w:r>
      <w:r w:rsidRPr="00F033B3">
        <w:rPr>
          <w:lang w:val="fr-CH"/>
        </w:rPr>
        <w:instrText xml:space="preserve"> AUTONUM  </w:instrText>
      </w:r>
      <w:r w:rsidRPr="00F033B3">
        <w:fldChar w:fldCharType="end"/>
      </w:r>
      <w:r w:rsidRPr="00F033B3">
        <w:rPr>
          <w:lang w:val="fr-CH"/>
        </w:rPr>
        <w:tab/>
      </w:r>
      <w:r w:rsidR="00E86FA9" w:rsidRPr="00F033B3">
        <w:rPr>
          <w:lang w:val="fr-CH"/>
        </w:rPr>
        <w:t xml:space="preserve">Le BMT a pris note des informations sur les groupes de discussion qui </w:t>
      </w:r>
      <w:r w:rsidR="00F033B3">
        <w:rPr>
          <w:lang w:val="fr-CH"/>
        </w:rPr>
        <w:t>avaient</w:t>
      </w:r>
      <w:r w:rsidR="00E86FA9" w:rsidRPr="00F033B3">
        <w:rPr>
          <w:lang w:val="fr-CH"/>
        </w:rPr>
        <w:t xml:space="preserve"> été créés au sein des groupes de travail techniques</w:t>
      </w:r>
      <w:r w:rsidR="00F033B3">
        <w:rPr>
          <w:lang w:val="fr-CH"/>
        </w:rPr>
        <w:t>,</w:t>
      </w:r>
      <w:r w:rsidR="00E86FA9" w:rsidRPr="00F033B3">
        <w:rPr>
          <w:lang w:val="fr-CH"/>
        </w:rPr>
        <w:t xml:space="preserve"> lors de leurs sessions </w:t>
      </w:r>
      <w:r w:rsidR="00484441" w:rsidRPr="00F033B3">
        <w:rPr>
          <w:lang w:val="fr-CH"/>
        </w:rPr>
        <w:t>de 2021</w:t>
      </w:r>
      <w:r w:rsidR="00F033B3">
        <w:rPr>
          <w:lang w:val="fr-CH"/>
        </w:rPr>
        <w:t>,</w:t>
      </w:r>
      <w:r w:rsidR="00E86FA9" w:rsidRPr="00F033B3">
        <w:rPr>
          <w:lang w:val="fr-CH"/>
        </w:rPr>
        <w:t xml:space="preserve"> afin que les participants puissent échanger des informations sur leurs travaux et étudier les domaines de coopération possibles.</w:t>
      </w:r>
    </w:p>
    <w:p w:rsidR="00826656" w:rsidRPr="00F033B3" w:rsidRDefault="00826656" w:rsidP="00E705BD">
      <w:pPr>
        <w:rPr>
          <w:lang w:val="fr-CH"/>
        </w:rPr>
      </w:pPr>
    </w:p>
    <w:p w:rsidR="00484441" w:rsidRPr="00F033B3" w:rsidRDefault="00E705BD" w:rsidP="00E86FA9">
      <w:pPr>
        <w:rPr>
          <w:lang w:val="fr-CH"/>
        </w:rPr>
      </w:pPr>
      <w:r w:rsidRPr="00F033B3">
        <w:fldChar w:fldCharType="begin"/>
      </w:r>
      <w:r w:rsidRPr="00F033B3">
        <w:rPr>
          <w:lang w:val="fr-CH"/>
        </w:rPr>
        <w:instrText xml:space="preserve"> AUTONUM  </w:instrText>
      </w:r>
      <w:r w:rsidRPr="00F033B3">
        <w:fldChar w:fldCharType="end"/>
      </w:r>
      <w:r w:rsidRPr="00F033B3">
        <w:rPr>
          <w:lang w:val="fr-CH"/>
        </w:rPr>
        <w:tab/>
      </w:r>
      <w:r w:rsidR="00E86FA9" w:rsidRPr="00F033B3">
        <w:rPr>
          <w:lang w:val="fr-CH"/>
        </w:rPr>
        <w:t xml:space="preserve">Le BMT a organisé une </w:t>
      </w:r>
      <w:r w:rsidR="00F033B3">
        <w:rPr>
          <w:lang w:val="fr-CH"/>
        </w:rPr>
        <w:t xml:space="preserve">réunion </w:t>
      </w:r>
      <w:r w:rsidR="00E86FA9" w:rsidRPr="00F033B3">
        <w:rPr>
          <w:lang w:val="fr-CH"/>
        </w:rPr>
        <w:t>afin que les participants puissent échanger des informations sur leurs travaux concernant les techniques biochimiques et moléculaires et étudier les domaines de coopération possibles.</w:t>
      </w:r>
    </w:p>
    <w:p w:rsidR="00826656" w:rsidRPr="00F033B3" w:rsidRDefault="00826656" w:rsidP="00E705BD">
      <w:pPr>
        <w:rPr>
          <w:lang w:val="fr-CH"/>
        </w:rPr>
      </w:pPr>
    </w:p>
    <w:p w:rsidR="00826656" w:rsidRPr="00876C92" w:rsidRDefault="00E705BD" w:rsidP="00876C92">
      <w:pPr>
        <w:rPr>
          <w:lang w:val="fr-CH"/>
        </w:rPr>
      </w:pPr>
      <w:r w:rsidRPr="00FC712E">
        <w:fldChar w:fldCharType="begin"/>
      </w:r>
      <w:r w:rsidRPr="00876C92">
        <w:rPr>
          <w:lang w:val="fr-CH"/>
        </w:rPr>
        <w:instrText xml:space="preserve"> AUTONUM  </w:instrText>
      </w:r>
      <w:r w:rsidRPr="00FC712E">
        <w:fldChar w:fldCharType="end"/>
      </w:r>
      <w:r w:rsidRPr="00876C92">
        <w:rPr>
          <w:lang w:val="fr-CH"/>
        </w:rPr>
        <w:tab/>
      </w:r>
      <w:r w:rsidR="00876C92" w:rsidRPr="00876C92">
        <w:rPr>
          <w:color w:val="000000"/>
          <w:lang w:val="fr-CH"/>
        </w:rPr>
        <w:t>Le BMT a examiné si l</w:t>
      </w:r>
      <w:r w:rsidR="009104CD">
        <w:rPr>
          <w:color w:val="000000"/>
          <w:lang w:val="fr-CH"/>
        </w:rPr>
        <w:t>’</w:t>
      </w:r>
      <w:r w:rsidR="00876C92" w:rsidRPr="00876C92">
        <w:rPr>
          <w:color w:val="000000"/>
          <w:lang w:val="fr-CH"/>
        </w:rPr>
        <w:t xml:space="preserve">UPOV pouvait </w:t>
      </w:r>
      <w:r w:rsidR="00F033B3">
        <w:rPr>
          <w:color w:val="000000"/>
          <w:lang w:val="fr-CH"/>
        </w:rPr>
        <w:t>favoriser</w:t>
      </w:r>
      <w:r w:rsidR="00876C92" w:rsidRPr="00876C92">
        <w:rPr>
          <w:color w:val="000000"/>
          <w:lang w:val="fr-CH"/>
        </w:rPr>
        <w:t xml:space="preserve"> l</w:t>
      </w:r>
      <w:r w:rsidR="009104CD">
        <w:rPr>
          <w:color w:val="000000"/>
          <w:lang w:val="fr-CH"/>
        </w:rPr>
        <w:t>’</w:t>
      </w:r>
      <w:r w:rsidR="00876C92" w:rsidRPr="00876C92">
        <w:rPr>
          <w:color w:val="000000"/>
          <w:lang w:val="fr-CH"/>
        </w:rPr>
        <w:t xml:space="preserve">harmonisation et la coopération entre les membres </w:t>
      </w:r>
      <w:r w:rsidR="00F033B3">
        <w:rPr>
          <w:color w:val="000000"/>
          <w:lang w:val="fr-CH"/>
        </w:rPr>
        <w:t>utilisa</w:t>
      </w:r>
      <w:r w:rsidR="00876C92" w:rsidRPr="00876C92">
        <w:rPr>
          <w:color w:val="000000"/>
          <w:lang w:val="fr-CH"/>
        </w:rPr>
        <w:t>nt déjà des marqueurs moléculaires dans l</w:t>
      </w:r>
      <w:r w:rsidR="009104CD">
        <w:rPr>
          <w:color w:val="000000"/>
          <w:lang w:val="fr-CH"/>
        </w:rPr>
        <w:t>’</w:t>
      </w:r>
      <w:r w:rsidR="00876C92" w:rsidRPr="00876C92">
        <w:rPr>
          <w:color w:val="000000"/>
          <w:lang w:val="fr-CH"/>
        </w:rPr>
        <w:t>examen</w:t>
      </w:r>
      <w:r w:rsidR="00D2510D">
        <w:rPr>
          <w:color w:val="000000"/>
          <w:lang w:val="fr-CH"/>
        </w:rPr>
        <w:t> </w:t>
      </w:r>
      <w:r w:rsidR="00876C92" w:rsidRPr="00876C92">
        <w:rPr>
          <w:color w:val="000000"/>
          <w:lang w:val="fr-CH"/>
        </w:rPr>
        <w:t>DHS ou mett</w:t>
      </w:r>
      <w:r w:rsidR="00F033B3">
        <w:rPr>
          <w:color w:val="000000"/>
          <w:lang w:val="fr-CH"/>
        </w:rPr>
        <w:t>a</w:t>
      </w:r>
      <w:r w:rsidR="00876C92" w:rsidRPr="00876C92">
        <w:rPr>
          <w:color w:val="000000"/>
          <w:lang w:val="fr-CH"/>
        </w:rPr>
        <w:t xml:space="preserve">nt </w:t>
      </w:r>
      <w:r w:rsidR="00F033B3">
        <w:rPr>
          <w:color w:val="000000"/>
          <w:lang w:val="fr-CH"/>
        </w:rPr>
        <w:t xml:space="preserve">déjà </w:t>
      </w:r>
      <w:r w:rsidR="00876C92" w:rsidRPr="00876C92">
        <w:rPr>
          <w:color w:val="000000"/>
          <w:lang w:val="fr-CH"/>
        </w:rPr>
        <w:t>des informations ou des services BMT à la disposition d</w:t>
      </w:r>
      <w:r w:rsidR="009104CD">
        <w:rPr>
          <w:color w:val="000000"/>
          <w:lang w:val="fr-CH"/>
        </w:rPr>
        <w:t>’</w:t>
      </w:r>
      <w:r w:rsidR="00876C92" w:rsidRPr="00876C92">
        <w:rPr>
          <w:color w:val="000000"/>
          <w:lang w:val="fr-CH"/>
        </w:rPr>
        <w:t>autres membres de l</w:t>
      </w:r>
      <w:r w:rsidR="009104CD">
        <w:rPr>
          <w:color w:val="000000"/>
          <w:lang w:val="fr-CH"/>
        </w:rPr>
        <w:t>’</w:t>
      </w:r>
      <w:r w:rsidR="00876C92" w:rsidRPr="00876C92">
        <w:rPr>
          <w:color w:val="000000"/>
          <w:lang w:val="fr-CH"/>
        </w:rPr>
        <w:t>UPOV.</w:t>
      </w:r>
    </w:p>
    <w:p w:rsidR="00826656" w:rsidRPr="00876C92" w:rsidRDefault="00826656" w:rsidP="00E705BD">
      <w:pPr>
        <w:rPr>
          <w:lang w:val="fr-CH"/>
        </w:rPr>
      </w:pPr>
    </w:p>
    <w:p w:rsidR="00484441" w:rsidRDefault="00E705BD" w:rsidP="00876C92">
      <w:pPr>
        <w:rPr>
          <w:lang w:val="fr-CH"/>
        </w:rPr>
      </w:pPr>
      <w:r w:rsidRPr="00FC712E">
        <w:fldChar w:fldCharType="begin"/>
      </w:r>
      <w:r w:rsidRPr="00876C92">
        <w:rPr>
          <w:lang w:val="fr-CH"/>
        </w:rPr>
        <w:instrText xml:space="preserve"> AUTONUM  </w:instrText>
      </w:r>
      <w:r w:rsidRPr="00FC712E">
        <w:fldChar w:fldCharType="end"/>
      </w:r>
      <w:r w:rsidRPr="00876C92">
        <w:rPr>
          <w:lang w:val="fr-CH"/>
        </w:rPr>
        <w:tab/>
      </w:r>
      <w:r w:rsidR="00876C92" w:rsidRPr="00876C92">
        <w:rPr>
          <w:color w:val="000000"/>
          <w:lang w:val="fr-CH"/>
        </w:rPr>
        <w:t>Le BMT est convenu que les informations sur l</w:t>
      </w:r>
      <w:r w:rsidR="009104CD">
        <w:rPr>
          <w:color w:val="000000"/>
          <w:lang w:val="fr-CH"/>
        </w:rPr>
        <w:t>’</w:t>
      </w:r>
      <w:r w:rsidR="00876C92" w:rsidRPr="00876C92">
        <w:rPr>
          <w:color w:val="000000"/>
          <w:lang w:val="fr-CH"/>
        </w:rPr>
        <w:t>utilisation des marqueurs moléculaires par plante étaient importantes pour promouvoir la coopération entre les membres de l</w:t>
      </w:r>
      <w:r w:rsidR="009104CD">
        <w:rPr>
          <w:color w:val="000000"/>
          <w:lang w:val="fr-CH"/>
        </w:rPr>
        <w:t>’</w:t>
      </w:r>
      <w:r w:rsidR="00876C92" w:rsidRPr="00876C92">
        <w:rPr>
          <w:color w:val="000000"/>
          <w:lang w:val="fr-CH"/>
        </w:rPr>
        <w:t xml:space="preserve">UPOV et a décidé de proposer </w:t>
      </w:r>
      <w:r w:rsidR="00F033B3">
        <w:rPr>
          <w:color w:val="000000"/>
          <w:lang w:val="fr-CH"/>
        </w:rPr>
        <w:t xml:space="preserve">la poursuite de </w:t>
      </w:r>
      <w:r w:rsidR="00876C92" w:rsidRPr="00876C92">
        <w:rPr>
          <w:color w:val="000000"/>
          <w:lang w:val="fr-CH"/>
        </w:rPr>
        <w:t>l</w:t>
      </w:r>
      <w:r w:rsidR="009104CD">
        <w:rPr>
          <w:color w:val="000000"/>
          <w:lang w:val="fr-CH"/>
        </w:rPr>
        <w:t>’</w:t>
      </w:r>
      <w:r w:rsidR="00876C92" w:rsidRPr="00876C92">
        <w:rPr>
          <w:color w:val="000000"/>
          <w:lang w:val="fr-CH"/>
        </w:rPr>
        <w:t>enquête sur l</w:t>
      </w:r>
      <w:r w:rsidR="009104CD">
        <w:rPr>
          <w:color w:val="000000"/>
          <w:lang w:val="fr-CH"/>
        </w:rPr>
        <w:t>’</w:t>
      </w:r>
      <w:r w:rsidR="00876C92" w:rsidRPr="00876C92">
        <w:rPr>
          <w:color w:val="000000"/>
          <w:lang w:val="fr-CH"/>
        </w:rPr>
        <w:t>utilisation des marqueurs moléculaires afin de recueillir des informations auprès d</w:t>
      </w:r>
      <w:r w:rsidR="009104CD">
        <w:rPr>
          <w:color w:val="000000"/>
          <w:lang w:val="fr-CH"/>
        </w:rPr>
        <w:t>’</w:t>
      </w:r>
      <w:r w:rsidR="00876C92" w:rsidRPr="00876C92">
        <w:rPr>
          <w:color w:val="000000"/>
          <w:lang w:val="fr-CH"/>
        </w:rPr>
        <w:t>un plus grand nombre de membres de l</w:t>
      </w:r>
      <w:r w:rsidR="009104CD">
        <w:rPr>
          <w:color w:val="000000"/>
          <w:lang w:val="fr-CH"/>
        </w:rPr>
        <w:t>’</w:t>
      </w:r>
      <w:r w:rsidR="00876C92" w:rsidRPr="00876C92">
        <w:rPr>
          <w:color w:val="000000"/>
          <w:lang w:val="fr-CH"/>
        </w:rPr>
        <w:t>UPOV.</w:t>
      </w:r>
    </w:p>
    <w:p w:rsidR="00826656" w:rsidRPr="00876C92" w:rsidRDefault="00826656" w:rsidP="00E705BD">
      <w:pPr>
        <w:rPr>
          <w:lang w:val="fr-CH"/>
        </w:rPr>
      </w:pPr>
    </w:p>
    <w:p w:rsidR="00484441" w:rsidRDefault="00E705BD" w:rsidP="00876C92">
      <w:pPr>
        <w:rPr>
          <w:lang w:val="fr-CH"/>
        </w:rPr>
      </w:pPr>
      <w:r w:rsidRPr="00274192">
        <w:fldChar w:fldCharType="begin"/>
      </w:r>
      <w:r w:rsidRPr="00876C92">
        <w:rPr>
          <w:lang w:val="fr-CH"/>
        </w:rPr>
        <w:instrText xml:space="preserve"> AUTONUM  </w:instrText>
      </w:r>
      <w:r w:rsidRPr="00274192">
        <w:fldChar w:fldCharType="end"/>
      </w:r>
      <w:r w:rsidRPr="00876C92">
        <w:rPr>
          <w:lang w:val="fr-CH"/>
        </w:rPr>
        <w:tab/>
      </w:r>
      <w:r w:rsidR="00876C92" w:rsidRPr="00876C92">
        <w:rPr>
          <w:color w:val="000000"/>
          <w:lang w:val="fr-CH"/>
        </w:rPr>
        <w:t xml:space="preserve">Le BMT est </w:t>
      </w:r>
      <w:r w:rsidR="00F033B3">
        <w:rPr>
          <w:color w:val="000000"/>
          <w:lang w:val="fr-CH"/>
        </w:rPr>
        <w:t>convenu</w:t>
      </w:r>
      <w:r w:rsidR="00876C92" w:rsidRPr="00876C92">
        <w:rPr>
          <w:color w:val="000000"/>
          <w:lang w:val="fr-CH"/>
        </w:rPr>
        <w:t xml:space="preserve"> qu</w:t>
      </w:r>
      <w:r w:rsidR="009104CD">
        <w:rPr>
          <w:color w:val="000000"/>
          <w:lang w:val="fr-CH"/>
        </w:rPr>
        <w:t>’</w:t>
      </w:r>
      <w:r w:rsidR="00876C92" w:rsidRPr="00876C92">
        <w:rPr>
          <w:color w:val="000000"/>
          <w:lang w:val="fr-CH"/>
        </w:rPr>
        <w:t xml:space="preserve">il serait utile de confirmer les raisons </w:t>
      </w:r>
      <w:r w:rsidR="00587BEA">
        <w:rPr>
          <w:color w:val="000000"/>
          <w:lang w:val="fr-CH"/>
        </w:rPr>
        <w:t>de ne pas répondre</w:t>
      </w:r>
      <w:r w:rsidR="00876C92" w:rsidRPr="00876C92">
        <w:rPr>
          <w:color w:val="000000"/>
          <w:lang w:val="fr-CH"/>
        </w:rPr>
        <w:t xml:space="preserve"> à la première enquête.</w:t>
      </w:r>
    </w:p>
    <w:p w:rsidR="00826656" w:rsidRPr="00876C92" w:rsidRDefault="00826656" w:rsidP="00E705BD">
      <w:pPr>
        <w:rPr>
          <w:lang w:val="fr-CH"/>
        </w:rPr>
      </w:pPr>
    </w:p>
    <w:p w:rsidR="00826656" w:rsidRPr="00876C92" w:rsidRDefault="00E705BD" w:rsidP="00876C92">
      <w:pPr>
        <w:rPr>
          <w:lang w:val="fr-CH"/>
        </w:rPr>
      </w:pPr>
      <w:r w:rsidRPr="00FC712E">
        <w:fldChar w:fldCharType="begin"/>
      </w:r>
      <w:r w:rsidRPr="00876C92">
        <w:rPr>
          <w:lang w:val="fr-CH"/>
        </w:rPr>
        <w:instrText xml:space="preserve"> AUTONUM  </w:instrText>
      </w:r>
      <w:r w:rsidRPr="00FC712E">
        <w:fldChar w:fldCharType="end"/>
      </w:r>
      <w:r w:rsidRPr="00876C92">
        <w:rPr>
          <w:lang w:val="fr-CH"/>
        </w:rPr>
        <w:tab/>
      </w:r>
      <w:r w:rsidR="00876C92" w:rsidRPr="00876C92">
        <w:rPr>
          <w:color w:val="000000"/>
          <w:lang w:val="fr-CH"/>
        </w:rPr>
        <w:t>Le BMT est convenu que la possibilité de créer des groupes de discussion pendant les sessions devait être maintenue.</w:t>
      </w:r>
    </w:p>
    <w:p w:rsidR="00826656" w:rsidRPr="00876C92" w:rsidRDefault="00826656" w:rsidP="00E705BD">
      <w:pPr>
        <w:rPr>
          <w:lang w:val="fr-CH" w:eastAsia="ja-JP"/>
        </w:rPr>
      </w:pPr>
    </w:p>
    <w:p w:rsidR="00484441" w:rsidRPr="00F033B3" w:rsidRDefault="00E705BD" w:rsidP="00F033B3">
      <w:pPr>
        <w:keepNext/>
        <w:keepLines/>
        <w:tabs>
          <w:tab w:val="left" w:pos="5387"/>
        </w:tabs>
        <w:ind w:left="4820" w:hanging="50"/>
        <w:rPr>
          <w:i/>
          <w:lang w:val="en-US"/>
        </w:rPr>
      </w:pPr>
      <w:r w:rsidRPr="00F033B3">
        <w:rPr>
          <w:i/>
        </w:rPr>
        <w:fldChar w:fldCharType="begin"/>
      </w:r>
      <w:r w:rsidRPr="00F033B3">
        <w:rPr>
          <w:i/>
          <w:lang w:val="en-US"/>
        </w:rPr>
        <w:instrText xml:space="preserve"> AUTONUM  </w:instrText>
      </w:r>
      <w:r w:rsidRPr="00F033B3">
        <w:rPr>
          <w:i/>
        </w:rPr>
        <w:fldChar w:fldCharType="end"/>
      </w:r>
      <w:r w:rsidRPr="00F033B3">
        <w:rPr>
          <w:i/>
          <w:lang w:val="en-US"/>
        </w:rPr>
        <w:tab/>
      </w:r>
      <w:r w:rsidR="00876C92" w:rsidRPr="00F033B3">
        <w:rPr>
          <w:i/>
          <w:lang w:val="en-US"/>
        </w:rPr>
        <w:t>Le</w:t>
      </w:r>
      <w:r w:rsidR="009104CD">
        <w:rPr>
          <w:i/>
          <w:lang w:val="en-US"/>
        </w:rPr>
        <w:t> TC</w:t>
      </w:r>
      <w:r w:rsidR="00876C92" w:rsidRPr="00F033B3">
        <w:rPr>
          <w:i/>
          <w:lang w:val="en-US"/>
        </w:rPr>
        <w:t xml:space="preserve"> est invité</w:t>
      </w:r>
    </w:p>
    <w:p w:rsidR="00826656" w:rsidRPr="00F033B3" w:rsidRDefault="00826656" w:rsidP="00F033B3">
      <w:pPr>
        <w:keepNext/>
        <w:keepLines/>
        <w:tabs>
          <w:tab w:val="left" w:pos="5387"/>
        </w:tabs>
        <w:ind w:left="4820" w:hanging="50"/>
        <w:rPr>
          <w:i/>
          <w:lang w:val="en-US"/>
        </w:rPr>
      </w:pPr>
    </w:p>
    <w:p w:rsidR="00484441" w:rsidRDefault="00876C92" w:rsidP="00F033B3">
      <w:pPr>
        <w:pStyle w:val="ListParagraph"/>
        <w:keepNext/>
        <w:keepLines/>
        <w:numPr>
          <w:ilvl w:val="0"/>
          <w:numId w:val="5"/>
        </w:numPr>
        <w:tabs>
          <w:tab w:val="left" w:pos="5940"/>
        </w:tabs>
        <w:ind w:left="4770" w:firstLine="630"/>
        <w:rPr>
          <w:i/>
          <w:color w:val="000000"/>
          <w:lang w:val="fr-CH"/>
        </w:rPr>
      </w:pPr>
      <w:r w:rsidRPr="00876C92">
        <w:rPr>
          <w:i/>
          <w:color w:val="000000"/>
          <w:lang w:val="fr-CH"/>
        </w:rPr>
        <w:t>à examiner s</w:t>
      </w:r>
      <w:r w:rsidR="009104CD">
        <w:rPr>
          <w:i/>
          <w:color w:val="000000"/>
          <w:lang w:val="fr-CH"/>
        </w:rPr>
        <w:t>’</w:t>
      </w:r>
      <w:r w:rsidRPr="00876C92">
        <w:rPr>
          <w:i/>
          <w:color w:val="000000"/>
          <w:lang w:val="fr-CH"/>
        </w:rPr>
        <w:t>il convient de poursuivre l</w:t>
      </w:r>
      <w:r w:rsidR="009104CD">
        <w:rPr>
          <w:i/>
          <w:color w:val="000000"/>
          <w:lang w:val="fr-CH"/>
        </w:rPr>
        <w:t>’</w:t>
      </w:r>
      <w:r w:rsidRPr="00876C92">
        <w:rPr>
          <w:i/>
          <w:color w:val="000000"/>
          <w:lang w:val="fr-CH"/>
        </w:rPr>
        <w:t>enquête sur l</w:t>
      </w:r>
      <w:r w:rsidR="009104CD">
        <w:rPr>
          <w:i/>
          <w:color w:val="000000"/>
          <w:lang w:val="fr-CH"/>
        </w:rPr>
        <w:t>’</w:t>
      </w:r>
      <w:r w:rsidRPr="00876C92">
        <w:rPr>
          <w:i/>
          <w:color w:val="000000"/>
          <w:lang w:val="fr-CH"/>
        </w:rPr>
        <w:t>utilisation des marqueurs moléculaires afin de recueillir des informations auprès d</w:t>
      </w:r>
      <w:r w:rsidR="009104CD">
        <w:rPr>
          <w:i/>
          <w:color w:val="000000"/>
          <w:lang w:val="fr-CH"/>
        </w:rPr>
        <w:t>’</w:t>
      </w:r>
      <w:r w:rsidRPr="00876C92">
        <w:rPr>
          <w:i/>
          <w:color w:val="000000"/>
          <w:lang w:val="fr-CH"/>
        </w:rPr>
        <w:t>un plus grand nombre de membres de l</w:t>
      </w:r>
      <w:r w:rsidR="009104CD">
        <w:rPr>
          <w:i/>
          <w:color w:val="000000"/>
          <w:lang w:val="fr-CH"/>
        </w:rPr>
        <w:t>’</w:t>
      </w:r>
      <w:r w:rsidRPr="00876C92">
        <w:rPr>
          <w:i/>
          <w:color w:val="000000"/>
          <w:lang w:val="fr-CH"/>
        </w:rPr>
        <w:t>UPOV et</w:t>
      </w:r>
    </w:p>
    <w:p w:rsidR="00826656" w:rsidRPr="00876C92" w:rsidRDefault="00826656" w:rsidP="00E705BD">
      <w:pPr>
        <w:pStyle w:val="ListParagraph"/>
        <w:tabs>
          <w:tab w:val="left" w:pos="5387"/>
          <w:tab w:val="left" w:pos="5940"/>
        </w:tabs>
        <w:ind w:left="4770" w:firstLine="630"/>
        <w:rPr>
          <w:i/>
          <w:lang w:val="fr-CH"/>
        </w:rPr>
      </w:pPr>
    </w:p>
    <w:p w:rsidR="00826656" w:rsidRPr="00876C92" w:rsidRDefault="00876C92" w:rsidP="00876C92">
      <w:pPr>
        <w:pStyle w:val="ListParagraph"/>
        <w:numPr>
          <w:ilvl w:val="0"/>
          <w:numId w:val="5"/>
        </w:numPr>
        <w:tabs>
          <w:tab w:val="left" w:pos="5387"/>
          <w:tab w:val="left" w:pos="5940"/>
        </w:tabs>
        <w:ind w:left="4770" w:firstLine="630"/>
        <w:rPr>
          <w:i/>
          <w:lang w:val="fr-CH"/>
        </w:rPr>
      </w:pPr>
      <w:r w:rsidRPr="00876C92">
        <w:rPr>
          <w:i/>
          <w:color w:val="000000"/>
          <w:lang w:val="fr-CH"/>
        </w:rPr>
        <w:t>à exam</w:t>
      </w:r>
      <w:bookmarkStart w:id="12" w:name="_GoBack"/>
      <w:bookmarkEnd w:id="12"/>
      <w:r w:rsidRPr="00876C92">
        <w:rPr>
          <w:i/>
          <w:color w:val="000000"/>
          <w:lang w:val="fr-CH"/>
        </w:rPr>
        <w:t>iner les raisons pour lesquelles les membres de l</w:t>
      </w:r>
      <w:r w:rsidR="009104CD">
        <w:rPr>
          <w:i/>
          <w:color w:val="000000"/>
          <w:lang w:val="fr-CH"/>
        </w:rPr>
        <w:t>’</w:t>
      </w:r>
      <w:r w:rsidRPr="00876C92">
        <w:rPr>
          <w:i/>
          <w:color w:val="000000"/>
          <w:lang w:val="fr-CH"/>
        </w:rPr>
        <w:t>Union n</w:t>
      </w:r>
      <w:r w:rsidR="009104CD">
        <w:rPr>
          <w:i/>
          <w:color w:val="000000"/>
          <w:lang w:val="fr-CH"/>
        </w:rPr>
        <w:t>’</w:t>
      </w:r>
      <w:r w:rsidRPr="00876C92">
        <w:rPr>
          <w:i/>
          <w:color w:val="000000"/>
          <w:lang w:val="fr-CH"/>
        </w:rPr>
        <w:t>ont pas répondu à la première enquête.</w:t>
      </w:r>
    </w:p>
    <w:p w:rsidR="00826656" w:rsidRPr="00876C92" w:rsidRDefault="00826656" w:rsidP="00E705BD">
      <w:pPr>
        <w:rPr>
          <w:lang w:val="fr-CH" w:eastAsia="ja-JP"/>
        </w:rPr>
      </w:pPr>
    </w:p>
    <w:p w:rsidR="00826656" w:rsidRPr="00876C92" w:rsidRDefault="00826656" w:rsidP="00E705BD">
      <w:pPr>
        <w:rPr>
          <w:lang w:val="fr-CH" w:eastAsia="ja-JP"/>
        </w:rPr>
      </w:pPr>
    </w:p>
    <w:p w:rsidR="00826656" w:rsidRPr="00876C92" w:rsidRDefault="00826656" w:rsidP="00E705BD">
      <w:pPr>
        <w:rPr>
          <w:lang w:val="fr-CH" w:eastAsia="ja-JP"/>
        </w:rPr>
      </w:pPr>
    </w:p>
    <w:p w:rsidR="00826656" w:rsidRPr="00F033B3" w:rsidRDefault="00876C92" w:rsidP="00876C92">
      <w:pPr>
        <w:jc w:val="right"/>
        <w:rPr>
          <w:lang w:val="fr-CH" w:eastAsia="ja-JP"/>
        </w:rPr>
      </w:pPr>
      <w:r w:rsidRPr="00F033B3">
        <w:rPr>
          <w:lang w:val="fr-CH" w:eastAsia="ja-JP"/>
        </w:rPr>
        <w:t>[L</w:t>
      </w:r>
      <w:r w:rsidR="009104CD">
        <w:rPr>
          <w:lang w:val="fr-CH" w:eastAsia="ja-JP"/>
        </w:rPr>
        <w:t>’</w:t>
      </w:r>
      <w:r w:rsidRPr="00F033B3">
        <w:rPr>
          <w:lang w:val="fr-CH" w:eastAsia="ja-JP"/>
        </w:rPr>
        <w:t>annexe suit]</w:t>
      </w:r>
    </w:p>
    <w:p w:rsidR="00E705BD" w:rsidRPr="00876C92" w:rsidRDefault="00E705BD" w:rsidP="00E705BD">
      <w:pPr>
        <w:jc w:val="right"/>
        <w:rPr>
          <w:lang w:val="fr-CH" w:eastAsia="ja-JP"/>
        </w:rPr>
        <w:sectPr w:rsidR="00E705BD" w:rsidRPr="00876C92" w:rsidSect="002F6A6F">
          <w:headerReference w:type="even" r:id="rId8"/>
          <w:headerReference w:type="default" r:id="rId9"/>
          <w:pgSz w:w="11907" w:h="16840" w:code="9"/>
          <w:pgMar w:top="510" w:right="1134" w:bottom="1134" w:left="1134" w:header="510" w:footer="680" w:gutter="0"/>
          <w:pgNumType w:start="1"/>
          <w:cols w:space="720"/>
          <w:titlePg/>
          <w:docGrid w:linePitch="272"/>
        </w:sectPr>
      </w:pPr>
    </w:p>
    <w:p w:rsidR="00826656" w:rsidRPr="00876C92" w:rsidRDefault="00876C92" w:rsidP="00876C92">
      <w:pPr>
        <w:jc w:val="center"/>
        <w:rPr>
          <w:rFonts w:eastAsia="MS Mincho"/>
          <w:lang w:val="fr-CH"/>
        </w:rPr>
      </w:pPr>
      <w:r w:rsidRPr="00876C92">
        <w:rPr>
          <w:rFonts w:eastAsia="MS Mincho"/>
          <w:color w:val="000000"/>
          <w:lang w:val="fr-CH"/>
        </w:rPr>
        <w:t>ENQUÊTE AUPRÈS DES PARTICIPANTS DE LA VINGTIÈME SESSION DU BMT SUR LA COOPÉRATION AVEC L</w:t>
      </w:r>
      <w:r w:rsidR="009104CD">
        <w:rPr>
          <w:rFonts w:eastAsia="MS Mincho"/>
          <w:color w:val="000000"/>
          <w:lang w:val="fr-CH"/>
        </w:rPr>
        <w:t>’</w:t>
      </w:r>
      <w:r w:rsidRPr="00876C92">
        <w:rPr>
          <w:rFonts w:eastAsia="MS Mincho"/>
          <w:color w:val="000000"/>
          <w:lang w:val="fr-CH"/>
        </w:rPr>
        <w:t>OCDE ET L</w:t>
      </w:r>
      <w:r w:rsidR="009104CD">
        <w:rPr>
          <w:rFonts w:eastAsia="MS Mincho"/>
          <w:color w:val="000000"/>
          <w:lang w:val="fr-CH"/>
        </w:rPr>
        <w:t>’</w:t>
      </w:r>
      <w:r w:rsidRPr="00876C92">
        <w:rPr>
          <w:rFonts w:eastAsia="MS Mincho"/>
          <w:color w:val="000000"/>
          <w:lang w:val="fr-CH"/>
        </w:rPr>
        <w:t>ISTA</w:t>
      </w:r>
    </w:p>
    <w:p w:rsidR="00826656" w:rsidRPr="00876C92" w:rsidRDefault="00826656" w:rsidP="00E705BD">
      <w:pPr>
        <w:jc w:val="center"/>
        <w:rPr>
          <w:rFonts w:eastAsia="MS Mincho"/>
          <w:lang w:val="fr-CH"/>
        </w:rPr>
      </w:pPr>
    </w:p>
    <w:p w:rsidR="00826656" w:rsidRPr="00876C92" w:rsidRDefault="00876C92" w:rsidP="00876C92">
      <w:pPr>
        <w:keepNext/>
        <w:keepLines/>
        <w:spacing w:before="180" w:after="120"/>
        <w:jc w:val="left"/>
        <w:rPr>
          <w:rFonts w:eastAsia="MS Mincho"/>
          <w:bCs/>
          <w:snapToGrid w:val="0"/>
          <w:lang w:val="fr-CH"/>
        </w:rPr>
      </w:pPr>
      <w:r w:rsidRPr="00876C92">
        <w:rPr>
          <w:rFonts w:eastAsia="MS Mincho"/>
          <w:bCs/>
          <w:snapToGrid w:val="0"/>
          <w:color w:val="000000"/>
          <w:lang w:val="fr-CH"/>
        </w:rPr>
        <w:t>Quels sont les domaines d</w:t>
      </w:r>
      <w:r w:rsidR="009104CD">
        <w:rPr>
          <w:rFonts w:eastAsia="MS Mincho"/>
          <w:bCs/>
          <w:snapToGrid w:val="0"/>
          <w:color w:val="000000"/>
          <w:lang w:val="fr-CH"/>
        </w:rPr>
        <w:t>’</w:t>
      </w:r>
      <w:r w:rsidRPr="00876C92">
        <w:rPr>
          <w:rFonts w:eastAsia="MS Mincho"/>
          <w:bCs/>
          <w:snapToGrid w:val="0"/>
          <w:color w:val="000000"/>
          <w:lang w:val="fr-CH"/>
        </w:rPr>
        <w:t>intérêt commun entre l</w:t>
      </w:r>
      <w:r w:rsidR="009104CD">
        <w:rPr>
          <w:rFonts w:eastAsia="MS Mincho"/>
          <w:bCs/>
          <w:snapToGrid w:val="0"/>
          <w:color w:val="000000"/>
          <w:lang w:val="fr-CH"/>
        </w:rPr>
        <w:t>’</w:t>
      </w:r>
      <w:r w:rsidRPr="00876C92">
        <w:rPr>
          <w:rFonts w:eastAsia="MS Mincho"/>
          <w:bCs/>
          <w:snapToGrid w:val="0"/>
          <w:color w:val="000000"/>
          <w:lang w:val="fr-CH"/>
        </w:rPr>
        <w:t>UPOV, l</w:t>
      </w:r>
      <w:r w:rsidR="009104CD">
        <w:rPr>
          <w:rFonts w:eastAsia="MS Mincho"/>
          <w:bCs/>
          <w:snapToGrid w:val="0"/>
          <w:color w:val="000000"/>
          <w:lang w:val="fr-CH"/>
        </w:rPr>
        <w:t>’</w:t>
      </w:r>
      <w:r w:rsidRPr="00876C92">
        <w:rPr>
          <w:rFonts w:eastAsia="MS Mincho"/>
          <w:bCs/>
          <w:snapToGrid w:val="0"/>
          <w:color w:val="000000"/>
          <w:lang w:val="fr-CH"/>
        </w:rPr>
        <w:t>OCDE et l</w:t>
      </w:r>
      <w:r w:rsidR="009104CD">
        <w:rPr>
          <w:rFonts w:eastAsia="MS Mincho"/>
          <w:bCs/>
          <w:snapToGrid w:val="0"/>
          <w:color w:val="000000"/>
          <w:lang w:val="fr-CH"/>
        </w:rPr>
        <w:t>’</w:t>
      </w:r>
      <w:r w:rsidRPr="00876C92">
        <w:rPr>
          <w:rFonts w:eastAsia="MS Mincho"/>
          <w:bCs/>
          <w:snapToGrid w:val="0"/>
          <w:color w:val="000000"/>
          <w:lang w:val="fr-CH"/>
        </w:rPr>
        <w:t>ISTA sur l</w:t>
      </w:r>
      <w:r w:rsidR="009104CD">
        <w:rPr>
          <w:rFonts w:eastAsia="MS Mincho"/>
          <w:bCs/>
          <w:snapToGrid w:val="0"/>
          <w:color w:val="000000"/>
          <w:lang w:val="fr-CH"/>
        </w:rPr>
        <w:t>’</w:t>
      </w:r>
      <w:r w:rsidRPr="00876C92">
        <w:rPr>
          <w:rFonts w:eastAsia="MS Mincho"/>
          <w:bCs/>
          <w:snapToGrid w:val="0"/>
          <w:color w:val="000000"/>
          <w:lang w:val="fr-CH"/>
        </w:rPr>
        <w:t>utilisation des techniques biochimiques et moléculaires?</w:t>
      </w:r>
    </w:p>
    <w:p w:rsidR="00826656" w:rsidRDefault="00876C92" w:rsidP="00876C92">
      <w:pPr>
        <w:numPr>
          <w:ilvl w:val="0"/>
          <w:numId w:val="3"/>
        </w:numPr>
        <w:ind w:left="567" w:hanging="567"/>
        <w:contextualSpacing/>
        <w:jc w:val="left"/>
        <w:rPr>
          <w:rFonts w:eastAsia="MS Mincho"/>
          <w:snapToGrid w:val="0"/>
        </w:rPr>
      </w:pPr>
      <w:r w:rsidRPr="00876C92">
        <w:rPr>
          <w:rFonts w:eastAsia="MS Mincho"/>
          <w:snapToGrid w:val="0"/>
          <w:color w:val="000000"/>
        </w:rPr>
        <w:t>Pureté/</w:t>
      </w:r>
      <w:r w:rsidR="00747EEE">
        <w:rPr>
          <w:rFonts w:eastAsia="MS Mincho"/>
          <w:snapToGrid w:val="0"/>
          <w:color w:val="000000"/>
        </w:rPr>
        <w:t>homogénéité</w:t>
      </w:r>
      <w:r w:rsidRPr="00876C92">
        <w:rPr>
          <w:rFonts w:eastAsia="MS Mincho"/>
          <w:snapToGrid w:val="0"/>
          <w:color w:val="000000"/>
        </w:rPr>
        <w:t xml:space="preserve"> des semences</w:t>
      </w:r>
      <w:r w:rsidR="00BE269B">
        <w:rPr>
          <w:rFonts w:eastAsia="MS Mincho"/>
          <w:snapToGrid w:val="0"/>
          <w:color w:val="000000"/>
        </w:rPr>
        <w:t>.</w:t>
      </w:r>
    </w:p>
    <w:p w:rsidR="00826656" w:rsidRPr="00876C92" w:rsidRDefault="00876C92" w:rsidP="00876C92">
      <w:pPr>
        <w:numPr>
          <w:ilvl w:val="0"/>
          <w:numId w:val="3"/>
        </w:numPr>
        <w:ind w:left="567" w:hanging="567"/>
        <w:contextualSpacing/>
        <w:jc w:val="left"/>
        <w:rPr>
          <w:rFonts w:eastAsia="MS Mincho"/>
          <w:snapToGrid w:val="0"/>
          <w:lang w:val="fr-CH"/>
        </w:rPr>
      </w:pPr>
      <w:r w:rsidRPr="00876C92">
        <w:rPr>
          <w:rFonts w:eastAsia="MS Mincho"/>
          <w:snapToGrid w:val="0"/>
          <w:color w:val="000000"/>
          <w:lang w:val="fr-CH"/>
        </w:rPr>
        <w:t>Harmonisation des ensembles de marqueurs SNP pour certaines plantes à des fins d</w:t>
      </w:r>
      <w:r w:rsidR="009104CD">
        <w:rPr>
          <w:rFonts w:eastAsia="MS Mincho"/>
          <w:snapToGrid w:val="0"/>
          <w:color w:val="000000"/>
          <w:lang w:val="fr-CH"/>
        </w:rPr>
        <w:t>’</w:t>
      </w:r>
      <w:r w:rsidRPr="00876C92">
        <w:rPr>
          <w:rFonts w:eastAsia="MS Mincho"/>
          <w:snapToGrid w:val="0"/>
          <w:color w:val="000000"/>
          <w:lang w:val="fr-CH"/>
        </w:rPr>
        <w:t>identification</w:t>
      </w:r>
      <w:r w:rsidR="00BE269B">
        <w:rPr>
          <w:rFonts w:eastAsia="MS Mincho"/>
          <w:snapToGrid w:val="0"/>
          <w:color w:val="000000"/>
          <w:lang w:val="fr-CH"/>
        </w:rPr>
        <w:t>.</w:t>
      </w:r>
    </w:p>
    <w:p w:rsidR="00826656" w:rsidRDefault="00876C92" w:rsidP="00876C92">
      <w:pPr>
        <w:numPr>
          <w:ilvl w:val="0"/>
          <w:numId w:val="3"/>
        </w:numPr>
        <w:ind w:left="567" w:hanging="567"/>
        <w:contextualSpacing/>
        <w:jc w:val="left"/>
        <w:rPr>
          <w:rFonts w:eastAsia="MS Mincho"/>
          <w:snapToGrid w:val="0"/>
        </w:rPr>
      </w:pPr>
      <w:r w:rsidRPr="00876C92">
        <w:rPr>
          <w:rFonts w:eastAsia="MS Mincho"/>
          <w:snapToGrid w:val="0"/>
          <w:color w:val="000000"/>
        </w:rPr>
        <w:t>Outils de vérification des variétés</w:t>
      </w:r>
      <w:r w:rsidR="00BE269B">
        <w:rPr>
          <w:rFonts w:eastAsia="MS Mincho"/>
          <w:snapToGrid w:val="0"/>
          <w:color w:val="000000"/>
        </w:rPr>
        <w:t>.</w:t>
      </w:r>
    </w:p>
    <w:p w:rsidR="00826656" w:rsidRPr="00876C92" w:rsidRDefault="00876C92" w:rsidP="00876C92">
      <w:pPr>
        <w:numPr>
          <w:ilvl w:val="0"/>
          <w:numId w:val="3"/>
        </w:numPr>
        <w:ind w:left="567" w:hanging="567"/>
        <w:contextualSpacing/>
        <w:jc w:val="left"/>
        <w:rPr>
          <w:rFonts w:eastAsia="MS Mincho"/>
          <w:snapToGrid w:val="0"/>
          <w:lang w:val="fr-CH"/>
        </w:rPr>
      </w:pPr>
      <w:r w:rsidRPr="00876C92">
        <w:rPr>
          <w:rFonts w:eastAsia="MS Mincho"/>
          <w:snapToGrid w:val="0"/>
          <w:color w:val="000000"/>
          <w:lang w:val="fr-CH"/>
        </w:rPr>
        <w:t>Identification des plantes hors</w:t>
      </w:r>
      <w:r w:rsidR="009104CD">
        <w:rPr>
          <w:rFonts w:eastAsia="MS Mincho"/>
          <w:snapToGrid w:val="0"/>
          <w:color w:val="000000"/>
          <w:lang w:val="fr-CH"/>
        </w:rPr>
        <w:t>-</w:t>
      </w:r>
      <w:r w:rsidRPr="00876C92">
        <w:rPr>
          <w:rFonts w:eastAsia="MS Mincho"/>
          <w:snapToGrid w:val="0"/>
          <w:color w:val="000000"/>
          <w:lang w:val="fr-CH"/>
        </w:rPr>
        <w:t>types/impuret</w:t>
      </w:r>
      <w:r w:rsidR="00B901C0" w:rsidRPr="00876C92">
        <w:rPr>
          <w:rFonts w:eastAsia="MS Mincho"/>
          <w:snapToGrid w:val="0"/>
          <w:color w:val="000000"/>
          <w:lang w:val="fr-CH"/>
        </w:rPr>
        <w:t>és</w:t>
      </w:r>
      <w:r w:rsidR="00B901C0">
        <w:rPr>
          <w:rFonts w:eastAsia="MS Mincho"/>
          <w:snapToGrid w:val="0"/>
          <w:color w:val="000000"/>
          <w:lang w:val="fr-CH"/>
        </w:rPr>
        <w:t xml:space="preserve">.  </w:t>
      </w:r>
      <w:r w:rsidR="00B901C0" w:rsidRPr="00876C92">
        <w:rPr>
          <w:rFonts w:eastAsia="MS Mincho"/>
          <w:snapToGrid w:val="0"/>
          <w:color w:val="000000"/>
          <w:lang w:val="fr-CH"/>
        </w:rPr>
        <w:t>Id</w:t>
      </w:r>
      <w:r w:rsidRPr="00876C92">
        <w:rPr>
          <w:rFonts w:eastAsia="MS Mincho"/>
          <w:snapToGrid w:val="0"/>
          <w:color w:val="000000"/>
          <w:lang w:val="fr-CH"/>
        </w:rPr>
        <w:t>entification et description d</w:t>
      </w:r>
      <w:r w:rsidR="009104CD">
        <w:rPr>
          <w:rFonts w:eastAsia="MS Mincho"/>
          <w:snapToGrid w:val="0"/>
          <w:color w:val="000000"/>
          <w:lang w:val="fr-CH"/>
        </w:rPr>
        <w:t>’</w:t>
      </w:r>
      <w:r w:rsidRPr="00876C92">
        <w:rPr>
          <w:rFonts w:eastAsia="MS Mincho"/>
          <w:snapToGrid w:val="0"/>
          <w:color w:val="000000"/>
          <w:lang w:val="fr-CH"/>
        </w:rPr>
        <w:t>une variété.</w:t>
      </w:r>
    </w:p>
    <w:p w:rsidR="00826656" w:rsidRDefault="00747EEE" w:rsidP="00747EEE">
      <w:pPr>
        <w:numPr>
          <w:ilvl w:val="0"/>
          <w:numId w:val="3"/>
        </w:numPr>
        <w:ind w:left="567" w:hanging="567"/>
        <w:contextualSpacing/>
        <w:jc w:val="left"/>
        <w:rPr>
          <w:rFonts w:eastAsia="MS Mincho"/>
          <w:snapToGrid w:val="0"/>
        </w:rPr>
      </w:pPr>
      <w:r w:rsidRPr="00747EEE">
        <w:rPr>
          <w:rFonts w:eastAsia="MS Mincho"/>
          <w:snapToGrid w:val="0"/>
          <w:color w:val="000000"/>
        </w:rPr>
        <w:t>Harmonisation des marqueurs moléculaires</w:t>
      </w:r>
      <w:r w:rsidR="00BE269B">
        <w:rPr>
          <w:rFonts w:eastAsia="MS Mincho"/>
          <w:snapToGrid w:val="0"/>
          <w:color w:val="000000"/>
        </w:rPr>
        <w:t>.</w:t>
      </w:r>
    </w:p>
    <w:p w:rsidR="00826656" w:rsidRPr="00747EEE" w:rsidRDefault="00747EEE" w:rsidP="00747EEE">
      <w:pPr>
        <w:numPr>
          <w:ilvl w:val="0"/>
          <w:numId w:val="3"/>
        </w:numPr>
        <w:ind w:left="567" w:hanging="567"/>
        <w:contextualSpacing/>
        <w:jc w:val="left"/>
        <w:rPr>
          <w:rFonts w:eastAsia="MS Mincho"/>
          <w:snapToGrid w:val="0"/>
          <w:lang w:val="fr-CH"/>
        </w:rPr>
      </w:pPr>
      <w:r w:rsidRPr="00747EEE">
        <w:rPr>
          <w:rFonts w:eastAsia="MS Mincho"/>
          <w:snapToGrid w:val="0"/>
          <w:color w:val="000000"/>
          <w:lang w:val="fr-CH"/>
        </w:rPr>
        <w:t>Dispo</w:t>
      </w:r>
      <w:r w:rsidR="00BE269B">
        <w:rPr>
          <w:rFonts w:eastAsia="MS Mincho"/>
          <w:snapToGrid w:val="0"/>
          <w:color w:val="000000"/>
          <w:lang w:val="fr-CH"/>
        </w:rPr>
        <w:t>ser</w:t>
      </w:r>
      <w:r w:rsidRPr="00747EEE">
        <w:rPr>
          <w:rFonts w:eastAsia="MS Mincho"/>
          <w:snapToGrid w:val="0"/>
          <w:color w:val="000000"/>
          <w:lang w:val="fr-CH"/>
        </w:rPr>
        <w:t xml:space="preserve"> d</w:t>
      </w:r>
      <w:r w:rsidR="009104CD">
        <w:rPr>
          <w:rFonts w:eastAsia="MS Mincho"/>
          <w:snapToGrid w:val="0"/>
          <w:color w:val="000000"/>
          <w:lang w:val="fr-CH"/>
        </w:rPr>
        <w:t>’</w:t>
      </w:r>
      <w:r w:rsidRPr="00747EEE">
        <w:rPr>
          <w:rFonts w:eastAsia="MS Mincho"/>
          <w:snapToGrid w:val="0"/>
          <w:color w:val="000000"/>
          <w:lang w:val="fr-CH"/>
        </w:rPr>
        <w:t>ensembles de marqueurs validés à utiliser pour les besoins de chaque organisati</w:t>
      </w:r>
      <w:r w:rsidR="00B901C0" w:rsidRPr="00747EEE">
        <w:rPr>
          <w:rFonts w:eastAsia="MS Mincho"/>
          <w:snapToGrid w:val="0"/>
          <w:color w:val="000000"/>
          <w:lang w:val="fr-CH"/>
        </w:rPr>
        <w:t>on</w:t>
      </w:r>
      <w:r w:rsidR="00B901C0">
        <w:rPr>
          <w:rFonts w:eastAsia="MS Mincho"/>
          <w:snapToGrid w:val="0"/>
          <w:color w:val="000000"/>
          <w:lang w:val="fr-CH"/>
        </w:rPr>
        <w:t>.  Ex</w:t>
      </w:r>
      <w:r w:rsidR="00BE269B">
        <w:rPr>
          <w:rFonts w:eastAsia="MS Mincho"/>
          <w:snapToGrid w:val="0"/>
          <w:color w:val="000000"/>
          <w:lang w:val="fr-CH"/>
        </w:rPr>
        <w:t xml:space="preserve">aminer comment </w:t>
      </w:r>
      <w:r w:rsidRPr="00747EEE">
        <w:rPr>
          <w:rFonts w:eastAsia="MS Mincho"/>
          <w:snapToGrid w:val="0"/>
          <w:color w:val="000000"/>
          <w:lang w:val="fr-CH"/>
        </w:rPr>
        <w:t>travailler ensemble pour tirer parti du potentiel de chaque organisation.</w:t>
      </w:r>
    </w:p>
    <w:p w:rsidR="00826656" w:rsidRPr="00747EEE" w:rsidRDefault="00747EEE" w:rsidP="00747EEE">
      <w:pPr>
        <w:numPr>
          <w:ilvl w:val="0"/>
          <w:numId w:val="3"/>
        </w:numPr>
        <w:ind w:left="567" w:hanging="567"/>
        <w:contextualSpacing/>
        <w:jc w:val="left"/>
        <w:rPr>
          <w:rFonts w:eastAsia="MS Mincho"/>
          <w:snapToGrid w:val="0"/>
          <w:lang w:val="fr-CH"/>
        </w:rPr>
      </w:pPr>
      <w:r w:rsidRPr="00747EEE">
        <w:rPr>
          <w:rFonts w:eastAsia="MS Mincho"/>
          <w:snapToGrid w:val="0"/>
          <w:color w:val="000000"/>
          <w:lang w:val="fr-CH"/>
        </w:rPr>
        <w:t>Conseils sur la manière de valider une autre méthode par rapport à une méthode de référence;  identité de la variété</w:t>
      </w:r>
      <w:r w:rsidR="00BE269B">
        <w:rPr>
          <w:rFonts w:eastAsia="MS Mincho"/>
          <w:snapToGrid w:val="0"/>
          <w:color w:val="000000"/>
          <w:lang w:val="fr-CH"/>
        </w:rPr>
        <w:t>.</w:t>
      </w:r>
    </w:p>
    <w:p w:rsidR="00826656" w:rsidRPr="00747EEE" w:rsidRDefault="00747EEE" w:rsidP="00747EEE">
      <w:pPr>
        <w:numPr>
          <w:ilvl w:val="0"/>
          <w:numId w:val="3"/>
        </w:numPr>
        <w:ind w:left="567" w:hanging="567"/>
        <w:contextualSpacing/>
        <w:jc w:val="left"/>
        <w:rPr>
          <w:rFonts w:eastAsia="MS Mincho"/>
          <w:snapToGrid w:val="0"/>
          <w:lang w:val="fr-CH"/>
        </w:rPr>
      </w:pPr>
      <w:r w:rsidRPr="00747EEE">
        <w:rPr>
          <w:rFonts w:eastAsia="MS Mincho"/>
          <w:snapToGrid w:val="0"/>
          <w:color w:val="000000"/>
          <w:lang w:val="fr-CH"/>
        </w:rPr>
        <w:t>Normes d</w:t>
      </w:r>
      <w:r w:rsidR="009104CD">
        <w:rPr>
          <w:rFonts w:eastAsia="MS Mincho"/>
          <w:snapToGrid w:val="0"/>
          <w:color w:val="000000"/>
          <w:lang w:val="fr-CH"/>
        </w:rPr>
        <w:t>’</w:t>
      </w:r>
      <w:r w:rsidRPr="00747EEE">
        <w:rPr>
          <w:rFonts w:eastAsia="MS Mincho"/>
          <w:snapToGrid w:val="0"/>
          <w:color w:val="000000"/>
          <w:lang w:val="fr-CH"/>
        </w:rPr>
        <w:t>homogénéité, seuils de variation, utilisation de MM pour favoriser l</w:t>
      </w:r>
      <w:r w:rsidR="009104CD">
        <w:rPr>
          <w:rFonts w:eastAsia="MS Mincho"/>
          <w:snapToGrid w:val="0"/>
          <w:color w:val="000000"/>
          <w:lang w:val="fr-CH"/>
        </w:rPr>
        <w:t>’</w:t>
      </w:r>
      <w:r w:rsidRPr="00747EEE">
        <w:rPr>
          <w:rFonts w:eastAsia="MS Mincho"/>
          <w:snapToGrid w:val="0"/>
          <w:color w:val="000000"/>
          <w:lang w:val="fr-CH"/>
        </w:rPr>
        <w:t>homogénéité (réduire l</w:t>
      </w:r>
      <w:r w:rsidR="009104CD">
        <w:rPr>
          <w:rFonts w:eastAsia="MS Mincho"/>
          <w:snapToGrid w:val="0"/>
          <w:color w:val="000000"/>
          <w:lang w:val="fr-CH"/>
        </w:rPr>
        <w:t>’</w:t>
      </w:r>
      <w:r w:rsidRPr="00747EEE">
        <w:rPr>
          <w:rFonts w:eastAsia="MS Mincho"/>
          <w:snapToGrid w:val="0"/>
          <w:color w:val="000000"/>
          <w:lang w:val="fr-CH"/>
        </w:rPr>
        <w:t>impact de l</w:t>
      </w:r>
      <w:r w:rsidR="009104CD">
        <w:rPr>
          <w:rFonts w:eastAsia="MS Mincho"/>
          <w:snapToGrid w:val="0"/>
          <w:color w:val="000000"/>
          <w:lang w:val="fr-CH"/>
        </w:rPr>
        <w:t>’</w:t>
      </w:r>
      <w:r w:rsidRPr="00747EEE">
        <w:rPr>
          <w:rFonts w:eastAsia="MS Mincho"/>
          <w:snapToGrid w:val="0"/>
          <w:color w:val="000000"/>
          <w:lang w:val="fr-CH"/>
        </w:rPr>
        <w:t xml:space="preserve">environnement ou expertise/formation </w:t>
      </w:r>
      <w:r w:rsidR="00DD5528" w:rsidRPr="00747EEE">
        <w:rPr>
          <w:rFonts w:eastAsia="MS Mincho"/>
          <w:snapToGrid w:val="0"/>
          <w:color w:val="000000"/>
          <w:lang w:val="fr-CH"/>
        </w:rPr>
        <w:t xml:space="preserve">variable </w:t>
      </w:r>
      <w:r w:rsidRPr="00747EEE">
        <w:rPr>
          <w:rFonts w:eastAsia="MS Mincho"/>
          <w:snapToGrid w:val="0"/>
          <w:color w:val="000000"/>
          <w:lang w:val="fr-CH"/>
        </w:rPr>
        <w:t>des collecteurs de données)</w:t>
      </w:r>
      <w:r w:rsidR="00BE269B">
        <w:rPr>
          <w:rFonts w:eastAsia="MS Mincho"/>
          <w:snapToGrid w:val="0"/>
          <w:color w:val="000000"/>
          <w:lang w:val="fr-CH"/>
        </w:rPr>
        <w:t>.</w:t>
      </w:r>
    </w:p>
    <w:p w:rsidR="00826656" w:rsidRDefault="00747EEE" w:rsidP="00747EEE">
      <w:pPr>
        <w:numPr>
          <w:ilvl w:val="0"/>
          <w:numId w:val="3"/>
        </w:numPr>
        <w:ind w:left="567" w:hanging="567"/>
        <w:contextualSpacing/>
        <w:jc w:val="left"/>
        <w:rPr>
          <w:rFonts w:eastAsia="MS Mincho"/>
          <w:snapToGrid w:val="0"/>
        </w:rPr>
      </w:pPr>
      <w:r w:rsidRPr="00747EEE">
        <w:rPr>
          <w:rFonts w:eastAsia="MS Mincho"/>
          <w:snapToGrid w:val="0"/>
          <w:color w:val="000000"/>
        </w:rPr>
        <w:t>Ident</w:t>
      </w:r>
      <w:r>
        <w:rPr>
          <w:rFonts w:eastAsia="MS Mincho"/>
          <w:snapToGrid w:val="0"/>
          <w:color w:val="000000"/>
        </w:rPr>
        <w:t xml:space="preserve">ité </w:t>
      </w:r>
      <w:r w:rsidRPr="00747EEE">
        <w:rPr>
          <w:rFonts w:eastAsia="MS Mincho"/>
          <w:snapToGrid w:val="0"/>
          <w:color w:val="000000"/>
        </w:rPr>
        <w:t>des variétés</w:t>
      </w:r>
      <w:r w:rsidR="00BE269B">
        <w:rPr>
          <w:rFonts w:eastAsia="MS Mincho"/>
          <w:snapToGrid w:val="0"/>
          <w:color w:val="000000"/>
        </w:rPr>
        <w:t>.</w:t>
      </w:r>
    </w:p>
    <w:p w:rsidR="00826656" w:rsidRDefault="002F79CA" w:rsidP="00747EEE">
      <w:pPr>
        <w:numPr>
          <w:ilvl w:val="0"/>
          <w:numId w:val="3"/>
        </w:numPr>
        <w:ind w:left="567" w:hanging="567"/>
        <w:contextualSpacing/>
        <w:jc w:val="left"/>
        <w:rPr>
          <w:rFonts w:eastAsia="MS Mincho"/>
          <w:snapToGrid w:val="0"/>
        </w:rPr>
      </w:pPr>
      <w:r>
        <w:rPr>
          <w:rFonts w:eastAsia="MS Mincho"/>
          <w:snapToGrid w:val="0"/>
          <w:color w:val="000000"/>
        </w:rPr>
        <w:t>Obtentions végétales</w:t>
      </w:r>
      <w:r w:rsidR="00BE269B">
        <w:rPr>
          <w:rFonts w:eastAsia="MS Mincho"/>
          <w:snapToGrid w:val="0"/>
          <w:color w:val="000000"/>
        </w:rPr>
        <w:t>.</w:t>
      </w:r>
    </w:p>
    <w:p w:rsidR="00826656" w:rsidRPr="00747EEE" w:rsidRDefault="00747EEE" w:rsidP="00747EEE">
      <w:pPr>
        <w:numPr>
          <w:ilvl w:val="0"/>
          <w:numId w:val="3"/>
        </w:numPr>
        <w:ind w:left="567" w:hanging="567"/>
        <w:contextualSpacing/>
        <w:jc w:val="left"/>
        <w:rPr>
          <w:rFonts w:eastAsia="MS Mincho"/>
          <w:snapToGrid w:val="0"/>
          <w:lang w:val="fr-CH"/>
        </w:rPr>
      </w:pPr>
      <w:r w:rsidRPr="00747EEE">
        <w:rPr>
          <w:rFonts w:eastAsia="MS Mincho"/>
          <w:snapToGrid w:val="0"/>
          <w:color w:val="000000"/>
          <w:lang w:val="fr-CH"/>
        </w:rPr>
        <w:t>Accord, harmonisation des définitio</w:t>
      </w:r>
      <w:r w:rsidR="00B901C0" w:rsidRPr="00747EEE">
        <w:rPr>
          <w:rFonts w:eastAsia="MS Mincho"/>
          <w:snapToGrid w:val="0"/>
          <w:color w:val="000000"/>
          <w:lang w:val="fr-CH"/>
        </w:rPr>
        <w:t>ns</w:t>
      </w:r>
      <w:r w:rsidR="00B901C0">
        <w:rPr>
          <w:rFonts w:eastAsia="MS Mincho"/>
          <w:snapToGrid w:val="0"/>
          <w:color w:val="000000"/>
          <w:lang w:val="fr-CH"/>
        </w:rPr>
        <w:t xml:space="preserve">.  </w:t>
      </w:r>
      <w:r w:rsidR="00B901C0" w:rsidRPr="00747EEE">
        <w:rPr>
          <w:rFonts w:eastAsia="MS Mincho"/>
          <w:snapToGrid w:val="0"/>
          <w:color w:val="000000"/>
          <w:lang w:val="fr-CH"/>
        </w:rPr>
        <w:t>Pa</w:t>
      </w:r>
      <w:r w:rsidRPr="00747EEE">
        <w:rPr>
          <w:rFonts w:eastAsia="MS Mincho"/>
          <w:snapToGrid w:val="0"/>
          <w:color w:val="000000"/>
          <w:lang w:val="fr-CH"/>
        </w:rPr>
        <w:t>rtage des connaissances et création d</w:t>
      </w:r>
      <w:r w:rsidR="009104CD">
        <w:rPr>
          <w:rFonts w:eastAsia="MS Mincho"/>
          <w:snapToGrid w:val="0"/>
          <w:color w:val="000000"/>
          <w:lang w:val="fr-CH"/>
        </w:rPr>
        <w:t>’</w:t>
      </w:r>
      <w:r w:rsidRPr="00747EEE">
        <w:rPr>
          <w:rFonts w:eastAsia="MS Mincho"/>
          <w:snapToGrid w:val="0"/>
          <w:color w:val="000000"/>
          <w:lang w:val="fr-CH"/>
        </w:rPr>
        <w:t>une base de données commune sur les méthodes utilisées à diverses fins dans les pays membres.</w:t>
      </w:r>
    </w:p>
    <w:p w:rsidR="00826656" w:rsidRPr="00747EEE" w:rsidRDefault="00747EEE" w:rsidP="00747EEE">
      <w:pPr>
        <w:numPr>
          <w:ilvl w:val="0"/>
          <w:numId w:val="3"/>
        </w:numPr>
        <w:ind w:left="567" w:hanging="567"/>
        <w:contextualSpacing/>
        <w:jc w:val="left"/>
        <w:rPr>
          <w:rFonts w:eastAsia="MS Mincho"/>
          <w:snapToGrid w:val="0"/>
          <w:lang w:val="fr-CH"/>
        </w:rPr>
      </w:pPr>
      <w:r w:rsidRPr="00747EEE">
        <w:rPr>
          <w:rFonts w:eastAsia="MS Mincho"/>
          <w:snapToGrid w:val="0"/>
          <w:color w:val="000000"/>
          <w:lang w:val="fr-CH"/>
        </w:rPr>
        <w:t>Utilisation de marqueurs d</w:t>
      </w:r>
      <w:r w:rsidR="009104CD">
        <w:rPr>
          <w:rFonts w:eastAsia="MS Mincho"/>
          <w:snapToGrid w:val="0"/>
          <w:color w:val="000000"/>
          <w:lang w:val="fr-CH"/>
        </w:rPr>
        <w:t>’</w:t>
      </w:r>
      <w:r w:rsidRPr="00747EEE">
        <w:rPr>
          <w:rFonts w:eastAsia="MS Mincho"/>
          <w:snapToGrid w:val="0"/>
          <w:color w:val="000000"/>
          <w:lang w:val="fr-CH"/>
        </w:rPr>
        <w:t>ADN pour l</w:t>
      </w:r>
      <w:r w:rsidR="009104CD">
        <w:rPr>
          <w:rFonts w:eastAsia="MS Mincho"/>
          <w:snapToGrid w:val="0"/>
          <w:color w:val="000000"/>
          <w:lang w:val="fr-CH"/>
        </w:rPr>
        <w:t>’</w:t>
      </w:r>
      <w:r w:rsidRPr="00747EEE">
        <w:rPr>
          <w:rFonts w:eastAsia="MS Mincho"/>
          <w:snapToGrid w:val="0"/>
          <w:color w:val="000000"/>
          <w:lang w:val="fr-CH"/>
        </w:rPr>
        <w:t>examen</w:t>
      </w:r>
      <w:r w:rsidR="00D2510D">
        <w:rPr>
          <w:rFonts w:eastAsia="MS Mincho"/>
          <w:snapToGrid w:val="0"/>
          <w:color w:val="000000"/>
          <w:lang w:val="fr-CH"/>
        </w:rPr>
        <w:t> </w:t>
      </w:r>
      <w:r w:rsidRPr="00747EEE">
        <w:rPr>
          <w:rFonts w:eastAsia="MS Mincho"/>
          <w:snapToGrid w:val="0"/>
          <w:color w:val="000000"/>
          <w:lang w:val="fr-CH"/>
        </w:rPr>
        <w:t>DHS des céréales et des plantes oléagineuses</w:t>
      </w:r>
      <w:r w:rsidR="00BE269B">
        <w:rPr>
          <w:rFonts w:eastAsia="MS Mincho"/>
          <w:snapToGrid w:val="0"/>
          <w:color w:val="000000"/>
          <w:lang w:val="fr-CH"/>
        </w:rPr>
        <w:t>.</w:t>
      </w:r>
    </w:p>
    <w:p w:rsidR="00826656" w:rsidRPr="00747EEE" w:rsidRDefault="00747EEE" w:rsidP="00747EEE">
      <w:pPr>
        <w:numPr>
          <w:ilvl w:val="0"/>
          <w:numId w:val="3"/>
        </w:numPr>
        <w:ind w:left="567" w:hanging="567"/>
        <w:contextualSpacing/>
        <w:jc w:val="left"/>
        <w:rPr>
          <w:rFonts w:eastAsia="MS Mincho"/>
          <w:snapToGrid w:val="0"/>
          <w:lang w:val="fr-CH"/>
        </w:rPr>
      </w:pPr>
      <w:r w:rsidRPr="00747EEE">
        <w:rPr>
          <w:rFonts w:eastAsia="MS Mincho"/>
          <w:snapToGrid w:val="0"/>
          <w:color w:val="000000"/>
          <w:lang w:val="fr-CH"/>
        </w:rPr>
        <w:t>Utilisation de méthodes validées pour l</w:t>
      </w:r>
      <w:r w:rsidR="009104CD">
        <w:rPr>
          <w:rFonts w:eastAsia="MS Mincho"/>
          <w:snapToGrid w:val="0"/>
          <w:color w:val="000000"/>
          <w:lang w:val="fr-CH"/>
        </w:rPr>
        <w:t>’</w:t>
      </w:r>
      <w:r w:rsidRPr="00747EEE">
        <w:rPr>
          <w:rFonts w:eastAsia="MS Mincho"/>
          <w:snapToGrid w:val="0"/>
          <w:color w:val="000000"/>
          <w:lang w:val="fr-CH"/>
        </w:rPr>
        <w:t>identification des variétés</w:t>
      </w:r>
      <w:r w:rsidR="00BE269B">
        <w:rPr>
          <w:rFonts w:eastAsia="MS Mincho"/>
          <w:snapToGrid w:val="0"/>
          <w:color w:val="000000"/>
          <w:lang w:val="fr-CH"/>
        </w:rPr>
        <w:t>.</w:t>
      </w:r>
    </w:p>
    <w:p w:rsidR="00826656" w:rsidRPr="00BE269B" w:rsidRDefault="00747EEE" w:rsidP="00747EEE">
      <w:pPr>
        <w:numPr>
          <w:ilvl w:val="0"/>
          <w:numId w:val="3"/>
        </w:numPr>
        <w:ind w:left="567" w:hanging="567"/>
        <w:contextualSpacing/>
        <w:jc w:val="left"/>
        <w:rPr>
          <w:rFonts w:eastAsia="MS Mincho"/>
          <w:snapToGrid w:val="0"/>
        </w:rPr>
      </w:pPr>
      <w:r w:rsidRPr="00BE269B">
        <w:rPr>
          <w:rFonts w:eastAsia="MS Mincho"/>
          <w:snapToGrid w:val="0"/>
        </w:rPr>
        <w:t>Identification des variétés</w:t>
      </w:r>
      <w:r w:rsidR="00BE269B" w:rsidRPr="00BE269B">
        <w:rPr>
          <w:rFonts w:eastAsia="MS Mincho"/>
          <w:snapToGrid w:val="0"/>
        </w:rPr>
        <w:t>.</w:t>
      </w:r>
    </w:p>
    <w:p w:rsidR="00826656" w:rsidRPr="00BE269B" w:rsidRDefault="00C04540" w:rsidP="00C04540">
      <w:pPr>
        <w:numPr>
          <w:ilvl w:val="0"/>
          <w:numId w:val="3"/>
        </w:numPr>
        <w:ind w:left="567" w:hanging="567"/>
        <w:contextualSpacing/>
        <w:jc w:val="left"/>
        <w:rPr>
          <w:rFonts w:eastAsia="MS Mincho"/>
          <w:snapToGrid w:val="0"/>
          <w:lang w:val="fr-CH"/>
        </w:rPr>
      </w:pPr>
      <w:r w:rsidRPr="00BE269B">
        <w:rPr>
          <w:rFonts w:eastAsia="MS Mincho"/>
          <w:snapToGrid w:val="0"/>
          <w:lang w:val="fr-CH"/>
        </w:rPr>
        <w:t>Il pourrait être intéressant pour l</w:t>
      </w:r>
      <w:r w:rsidR="009104CD">
        <w:rPr>
          <w:rFonts w:eastAsia="MS Mincho"/>
          <w:snapToGrid w:val="0"/>
          <w:lang w:val="fr-CH"/>
        </w:rPr>
        <w:t>’</w:t>
      </w:r>
      <w:r w:rsidRPr="00BE269B">
        <w:rPr>
          <w:rFonts w:eastAsia="MS Mincho"/>
          <w:snapToGrid w:val="0"/>
          <w:lang w:val="fr-CH"/>
        </w:rPr>
        <w:t>UPOV et l</w:t>
      </w:r>
      <w:r w:rsidR="009104CD">
        <w:rPr>
          <w:rFonts w:eastAsia="MS Mincho"/>
          <w:snapToGrid w:val="0"/>
          <w:lang w:val="fr-CH"/>
        </w:rPr>
        <w:t>’</w:t>
      </w:r>
      <w:r w:rsidRPr="00BE269B">
        <w:rPr>
          <w:rFonts w:eastAsia="MS Mincho"/>
          <w:snapToGrid w:val="0"/>
          <w:lang w:val="fr-CH"/>
        </w:rPr>
        <w:t>OCDE d</w:t>
      </w:r>
      <w:r w:rsidR="009104CD">
        <w:rPr>
          <w:rFonts w:eastAsia="MS Mincho"/>
          <w:snapToGrid w:val="0"/>
          <w:lang w:val="fr-CH"/>
        </w:rPr>
        <w:t>’</w:t>
      </w:r>
      <w:r w:rsidRPr="00BE269B">
        <w:rPr>
          <w:rFonts w:eastAsia="MS Mincho"/>
          <w:snapToGrid w:val="0"/>
          <w:lang w:val="fr-CH"/>
        </w:rPr>
        <w:t>appliquer des ensembles</w:t>
      </w:r>
      <w:r w:rsidR="00264DAB">
        <w:rPr>
          <w:rFonts w:eastAsia="MS Mincho"/>
          <w:snapToGrid w:val="0"/>
          <w:lang w:val="fr-CH"/>
        </w:rPr>
        <w:t xml:space="preserve"> de marqueurs comparables pour d</w:t>
      </w:r>
      <w:r w:rsidRPr="00BE269B">
        <w:rPr>
          <w:rFonts w:eastAsia="MS Mincho"/>
          <w:snapToGrid w:val="0"/>
          <w:lang w:val="fr-CH"/>
        </w:rPr>
        <w:t>es questions d</w:t>
      </w:r>
      <w:r w:rsidR="009104CD">
        <w:rPr>
          <w:rFonts w:eastAsia="MS Mincho"/>
          <w:snapToGrid w:val="0"/>
          <w:lang w:val="fr-CH"/>
        </w:rPr>
        <w:t>’</w:t>
      </w:r>
      <w:r w:rsidRPr="00BE269B">
        <w:rPr>
          <w:rFonts w:eastAsia="MS Mincho"/>
          <w:snapToGrid w:val="0"/>
          <w:lang w:val="fr-CH"/>
        </w:rPr>
        <w:t>identité.</w:t>
      </w:r>
    </w:p>
    <w:p w:rsidR="00826656" w:rsidRPr="00BE269B" w:rsidRDefault="00264DAB" w:rsidP="00C04540">
      <w:pPr>
        <w:numPr>
          <w:ilvl w:val="0"/>
          <w:numId w:val="3"/>
        </w:numPr>
        <w:ind w:left="567" w:hanging="567"/>
        <w:contextualSpacing/>
        <w:jc w:val="left"/>
        <w:rPr>
          <w:rFonts w:eastAsia="MS Mincho"/>
          <w:snapToGrid w:val="0"/>
          <w:lang w:val="fr-CH"/>
        </w:rPr>
      </w:pPr>
      <w:r>
        <w:rPr>
          <w:rFonts w:eastAsia="MS Mincho"/>
          <w:snapToGrid w:val="0"/>
          <w:lang w:val="fr-CH"/>
        </w:rPr>
        <w:t>L</w:t>
      </w:r>
      <w:r w:rsidR="009104CD">
        <w:rPr>
          <w:rFonts w:eastAsia="MS Mincho"/>
          <w:snapToGrid w:val="0"/>
          <w:lang w:val="fr-CH"/>
        </w:rPr>
        <w:t>’</w:t>
      </w:r>
      <w:r>
        <w:rPr>
          <w:rFonts w:eastAsia="MS Mincho"/>
          <w:snapToGrid w:val="0"/>
          <w:lang w:val="fr-CH"/>
        </w:rPr>
        <w:t>e</w:t>
      </w:r>
      <w:r w:rsidR="00C04540" w:rsidRPr="00BE269B">
        <w:rPr>
          <w:rFonts w:eastAsia="MS Mincho"/>
          <w:snapToGrid w:val="0"/>
          <w:lang w:val="fr-CH"/>
        </w:rPr>
        <w:t>fficacité de l</w:t>
      </w:r>
      <w:r w:rsidR="009104CD">
        <w:rPr>
          <w:rFonts w:eastAsia="MS Mincho"/>
          <w:snapToGrid w:val="0"/>
          <w:lang w:val="fr-CH"/>
        </w:rPr>
        <w:t>’</w:t>
      </w:r>
      <w:r w:rsidR="00C04540" w:rsidRPr="00BE269B">
        <w:rPr>
          <w:rFonts w:eastAsia="MS Mincho"/>
          <w:snapToGrid w:val="0"/>
          <w:lang w:val="fr-CH"/>
        </w:rPr>
        <w:t>utilisation de la technologie de l</w:t>
      </w:r>
      <w:r w:rsidR="009104CD">
        <w:rPr>
          <w:rFonts w:eastAsia="MS Mincho"/>
          <w:snapToGrid w:val="0"/>
          <w:lang w:val="fr-CH"/>
        </w:rPr>
        <w:t>’</w:t>
      </w:r>
      <w:r w:rsidR="00C04540" w:rsidRPr="00BE269B">
        <w:rPr>
          <w:rFonts w:eastAsia="MS Mincho"/>
          <w:snapToGrid w:val="0"/>
          <w:lang w:val="fr-CH"/>
        </w:rPr>
        <w:t>ADN réside dans l</w:t>
      </w:r>
      <w:r w:rsidR="009104CD">
        <w:rPr>
          <w:rFonts w:eastAsia="MS Mincho"/>
          <w:snapToGrid w:val="0"/>
          <w:lang w:val="fr-CH"/>
        </w:rPr>
        <w:t>’</w:t>
      </w:r>
      <w:r w:rsidR="00C04540" w:rsidRPr="00BE269B">
        <w:rPr>
          <w:rFonts w:eastAsia="MS Mincho"/>
          <w:snapToGrid w:val="0"/>
          <w:lang w:val="fr-CH"/>
        </w:rPr>
        <w:t>identification de la variété</w:t>
      </w:r>
      <w:r w:rsidR="00BE269B" w:rsidRPr="00BE269B">
        <w:rPr>
          <w:rFonts w:eastAsia="MS Mincho"/>
          <w:snapToGrid w:val="0"/>
          <w:lang w:val="fr-CH"/>
        </w:rPr>
        <w:t>.</w:t>
      </w:r>
    </w:p>
    <w:p w:rsidR="00826656" w:rsidRPr="00BE269B" w:rsidRDefault="00C04540" w:rsidP="00C04540">
      <w:pPr>
        <w:numPr>
          <w:ilvl w:val="0"/>
          <w:numId w:val="3"/>
        </w:numPr>
        <w:ind w:left="567" w:hanging="567"/>
        <w:contextualSpacing/>
        <w:jc w:val="left"/>
        <w:rPr>
          <w:rFonts w:eastAsia="MS Mincho"/>
          <w:snapToGrid w:val="0"/>
          <w:lang w:val="fr-CH"/>
        </w:rPr>
      </w:pPr>
      <w:r w:rsidRPr="00BE269B">
        <w:rPr>
          <w:rFonts w:eastAsia="MS Mincho"/>
          <w:snapToGrid w:val="0"/>
          <w:lang w:val="fr-CH"/>
        </w:rPr>
        <w:t xml:space="preserve">Vérification de la variété, description </w:t>
      </w:r>
      <w:r w:rsidR="00264DAB">
        <w:rPr>
          <w:rFonts w:eastAsia="MS Mincho"/>
          <w:snapToGrid w:val="0"/>
          <w:lang w:val="fr-CH"/>
        </w:rPr>
        <w:t xml:space="preserve">variétale </w:t>
      </w:r>
      <w:r w:rsidRPr="00BE269B">
        <w:rPr>
          <w:rFonts w:eastAsia="MS Mincho"/>
          <w:snapToGrid w:val="0"/>
          <w:lang w:val="fr-CH"/>
        </w:rPr>
        <w:t>et droit d</w:t>
      </w:r>
      <w:r w:rsidR="009104CD">
        <w:rPr>
          <w:rFonts w:eastAsia="MS Mincho"/>
          <w:snapToGrid w:val="0"/>
          <w:lang w:val="fr-CH"/>
        </w:rPr>
        <w:t>’</w:t>
      </w:r>
      <w:r w:rsidRPr="00BE269B">
        <w:rPr>
          <w:rFonts w:eastAsia="MS Mincho"/>
          <w:snapToGrid w:val="0"/>
          <w:lang w:val="fr-CH"/>
        </w:rPr>
        <w:t>obtenteur</w:t>
      </w:r>
      <w:r w:rsidR="00BE269B" w:rsidRPr="00BE269B">
        <w:rPr>
          <w:rFonts w:eastAsia="MS Mincho"/>
          <w:snapToGrid w:val="0"/>
          <w:lang w:val="fr-CH"/>
        </w:rPr>
        <w:t>.</w:t>
      </w:r>
    </w:p>
    <w:p w:rsidR="00826656" w:rsidRPr="00BE269B" w:rsidRDefault="00C04540" w:rsidP="00C04540">
      <w:pPr>
        <w:numPr>
          <w:ilvl w:val="0"/>
          <w:numId w:val="3"/>
        </w:numPr>
        <w:ind w:left="567" w:hanging="567"/>
        <w:contextualSpacing/>
        <w:jc w:val="left"/>
        <w:rPr>
          <w:rFonts w:eastAsia="MS Mincho"/>
          <w:snapToGrid w:val="0"/>
        </w:rPr>
      </w:pPr>
      <w:r w:rsidRPr="00BE269B">
        <w:rPr>
          <w:rFonts w:eastAsia="MS Mincho"/>
          <w:snapToGrid w:val="0"/>
        </w:rPr>
        <w:t>Coopération, partage d</w:t>
      </w:r>
      <w:r w:rsidR="009104CD">
        <w:rPr>
          <w:rFonts w:eastAsia="MS Mincho"/>
          <w:snapToGrid w:val="0"/>
        </w:rPr>
        <w:t>’</w:t>
      </w:r>
      <w:r w:rsidRPr="00BE269B">
        <w:rPr>
          <w:rFonts w:eastAsia="MS Mincho"/>
          <w:snapToGrid w:val="0"/>
        </w:rPr>
        <w:t>informations</w:t>
      </w:r>
      <w:r w:rsidR="00BE269B" w:rsidRPr="00BE269B">
        <w:rPr>
          <w:rFonts w:eastAsia="MS Mincho"/>
          <w:snapToGrid w:val="0"/>
        </w:rPr>
        <w:t>.</w:t>
      </w:r>
    </w:p>
    <w:p w:rsidR="00826656" w:rsidRPr="00BE269B" w:rsidRDefault="00C04540" w:rsidP="00C04540">
      <w:pPr>
        <w:numPr>
          <w:ilvl w:val="0"/>
          <w:numId w:val="3"/>
        </w:numPr>
        <w:ind w:left="567" w:hanging="567"/>
        <w:contextualSpacing/>
        <w:jc w:val="left"/>
        <w:rPr>
          <w:rFonts w:eastAsia="MS Mincho"/>
          <w:snapToGrid w:val="0"/>
        </w:rPr>
      </w:pPr>
      <w:r w:rsidRPr="00BE269B">
        <w:rPr>
          <w:rFonts w:eastAsia="MS Mincho"/>
          <w:snapToGrid w:val="0"/>
        </w:rPr>
        <w:t>Technologie</w:t>
      </w:r>
      <w:r w:rsidR="00BE269B" w:rsidRPr="00BE269B">
        <w:rPr>
          <w:rFonts w:eastAsia="MS Mincho"/>
          <w:snapToGrid w:val="0"/>
        </w:rPr>
        <w:t>.</w:t>
      </w:r>
    </w:p>
    <w:p w:rsidR="00826656" w:rsidRPr="00BE269B" w:rsidRDefault="00C04540" w:rsidP="00C04540">
      <w:pPr>
        <w:numPr>
          <w:ilvl w:val="0"/>
          <w:numId w:val="3"/>
        </w:numPr>
        <w:ind w:left="567" w:hanging="567"/>
        <w:contextualSpacing/>
        <w:jc w:val="left"/>
        <w:rPr>
          <w:rFonts w:eastAsia="MS Mincho"/>
          <w:snapToGrid w:val="0"/>
          <w:lang w:val="fr-CH"/>
        </w:rPr>
      </w:pPr>
      <w:r w:rsidRPr="00BE269B">
        <w:rPr>
          <w:rFonts w:eastAsia="MS Mincho"/>
          <w:snapToGrid w:val="0"/>
          <w:lang w:val="fr-CH"/>
        </w:rPr>
        <w:t>Liste des marqueurs et procédures convenus pour identifier une variété</w:t>
      </w:r>
      <w:r w:rsidR="00BE269B" w:rsidRPr="00BE269B">
        <w:rPr>
          <w:rFonts w:eastAsia="MS Mincho"/>
          <w:snapToGrid w:val="0"/>
          <w:lang w:val="fr-CH"/>
        </w:rPr>
        <w:t>.</w:t>
      </w:r>
    </w:p>
    <w:p w:rsidR="00826656" w:rsidRPr="00BE269B" w:rsidRDefault="00C04540" w:rsidP="00C04540">
      <w:pPr>
        <w:numPr>
          <w:ilvl w:val="0"/>
          <w:numId w:val="3"/>
        </w:numPr>
        <w:ind w:left="567" w:hanging="567"/>
        <w:contextualSpacing/>
        <w:jc w:val="left"/>
        <w:rPr>
          <w:rFonts w:eastAsia="MS Mincho"/>
          <w:snapToGrid w:val="0"/>
        </w:rPr>
      </w:pPr>
      <w:r w:rsidRPr="00BE269B">
        <w:rPr>
          <w:rFonts w:eastAsia="MS Mincho"/>
          <w:snapToGrid w:val="0"/>
        </w:rPr>
        <w:t>Identification des variétés par l</w:t>
      </w:r>
      <w:r w:rsidR="009104CD">
        <w:rPr>
          <w:rFonts w:eastAsia="MS Mincho"/>
          <w:snapToGrid w:val="0"/>
        </w:rPr>
        <w:t>’</w:t>
      </w:r>
      <w:r w:rsidRPr="00BE269B">
        <w:rPr>
          <w:rFonts w:eastAsia="MS Mincho"/>
          <w:snapToGrid w:val="0"/>
        </w:rPr>
        <w:t>ADN</w:t>
      </w:r>
      <w:r w:rsidR="00BE269B" w:rsidRPr="00BE269B">
        <w:rPr>
          <w:rFonts w:eastAsia="MS Mincho"/>
          <w:snapToGrid w:val="0"/>
        </w:rPr>
        <w:t>.</w:t>
      </w:r>
    </w:p>
    <w:p w:rsidR="00826656" w:rsidRPr="00BE269B" w:rsidRDefault="00C04540" w:rsidP="00C04540">
      <w:pPr>
        <w:numPr>
          <w:ilvl w:val="0"/>
          <w:numId w:val="3"/>
        </w:numPr>
        <w:ind w:left="567" w:hanging="567"/>
        <w:contextualSpacing/>
        <w:jc w:val="left"/>
        <w:rPr>
          <w:rFonts w:eastAsia="MS Mincho"/>
          <w:snapToGrid w:val="0"/>
          <w:lang w:val="fr-CH"/>
        </w:rPr>
      </w:pPr>
      <w:r w:rsidRPr="00BE269B">
        <w:rPr>
          <w:rFonts w:eastAsia="MS Mincho"/>
          <w:snapToGrid w:val="0"/>
          <w:lang w:val="fr-CH"/>
        </w:rPr>
        <w:t>Application de la protection des obtentions végétales dans le cadre de la certification des semences, mise au point de méthodes d</w:t>
      </w:r>
      <w:r w:rsidR="009104CD">
        <w:rPr>
          <w:rFonts w:eastAsia="MS Mincho"/>
          <w:snapToGrid w:val="0"/>
          <w:lang w:val="fr-CH"/>
        </w:rPr>
        <w:t>’</w:t>
      </w:r>
      <w:r w:rsidRPr="00BE269B">
        <w:rPr>
          <w:rFonts w:eastAsia="MS Mincho"/>
          <w:snapToGrid w:val="0"/>
          <w:lang w:val="fr-CH"/>
        </w:rPr>
        <w:t>identification des variétés protégées.</w:t>
      </w:r>
    </w:p>
    <w:p w:rsidR="00826656" w:rsidRPr="00BE269B" w:rsidRDefault="00C04540" w:rsidP="00C04540">
      <w:pPr>
        <w:numPr>
          <w:ilvl w:val="0"/>
          <w:numId w:val="3"/>
        </w:numPr>
        <w:ind w:left="567" w:hanging="567"/>
        <w:contextualSpacing/>
        <w:jc w:val="left"/>
        <w:rPr>
          <w:rFonts w:eastAsia="MS Mincho"/>
          <w:snapToGrid w:val="0"/>
        </w:rPr>
      </w:pPr>
      <w:r w:rsidRPr="00BE269B">
        <w:rPr>
          <w:rFonts w:eastAsia="MS Mincho"/>
          <w:snapToGrid w:val="0"/>
        </w:rPr>
        <w:t>Identification des variétés</w:t>
      </w:r>
      <w:r w:rsidR="00BE269B" w:rsidRPr="00BE269B">
        <w:rPr>
          <w:rFonts w:eastAsia="MS Mincho"/>
          <w:snapToGrid w:val="0"/>
        </w:rPr>
        <w:t>.</w:t>
      </w:r>
    </w:p>
    <w:p w:rsidR="00826656" w:rsidRPr="00C04540" w:rsidRDefault="00C04540" w:rsidP="00C04540">
      <w:pPr>
        <w:numPr>
          <w:ilvl w:val="0"/>
          <w:numId w:val="3"/>
        </w:numPr>
        <w:ind w:left="567" w:hanging="567"/>
        <w:contextualSpacing/>
        <w:jc w:val="left"/>
        <w:rPr>
          <w:rFonts w:eastAsia="MS Mincho" w:cs="Arial"/>
          <w:lang w:val="fr-CH"/>
        </w:rPr>
      </w:pPr>
      <w:r w:rsidRPr="00BE269B">
        <w:rPr>
          <w:rFonts w:eastAsia="MS Mincho" w:cs="Arial"/>
          <w:lang w:val="fr-CH"/>
        </w:rPr>
        <w:t>Reconnaissance des méthodes</w:t>
      </w:r>
      <w:r w:rsidRPr="00C04540">
        <w:rPr>
          <w:rFonts w:eastAsia="MS Mincho" w:cs="Arial"/>
          <w:color w:val="000000"/>
          <w:lang w:val="fr-CH"/>
        </w:rPr>
        <w:t>;  effort de recherche commun</w:t>
      </w:r>
      <w:r w:rsidR="00BE269B">
        <w:rPr>
          <w:rFonts w:eastAsia="MS Mincho" w:cs="Arial"/>
          <w:color w:val="000000"/>
          <w:lang w:val="fr-CH"/>
        </w:rPr>
        <w:t>.</w:t>
      </w:r>
    </w:p>
    <w:p w:rsidR="00826656" w:rsidRPr="00C04540" w:rsidRDefault="00826656" w:rsidP="00E705BD">
      <w:pPr>
        <w:rPr>
          <w:rFonts w:eastAsia="MS Mincho"/>
          <w:lang w:val="fr-CH"/>
        </w:rPr>
      </w:pPr>
    </w:p>
    <w:p w:rsidR="00826656" w:rsidRPr="005F1500" w:rsidRDefault="005F1500" w:rsidP="005F1500">
      <w:pPr>
        <w:keepNext/>
        <w:keepLines/>
        <w:jc w:val="left"/>
        <w:rPr>
          <w:rFonts w:eastAsia="MS Mincho"/>
          <w:bCs/>
          <w:snapToGrid w:val="0"/>
          <w:lang w:val="fr-CH"/>
        </w:rPr>
      </w:pPr>
      <w:r w:rsidRPr="005F1500">
        <w:rPr>
          <w:rFonts w:eastAsia="MS Mincho"/>
          <w:bCs/>
          <w:snapToGrid w:val="0"/>
          <w:color w:val="000000"/>
          <w:lang w:val="fr-CH"/>
        </w:rPr>
        <w:t>Quels thèmes conviendraient pour un atelier organisé conjointement par l</w:t>
      </w:r>
      <w:r w:rsidR="009104CD">
        <w:rPr>
          <w:rFonts w:eastAsia="MS Mincho"/>
          <w:bCs/>
          <w:snapToGrid w:val="0"/>
          <w:color w:val="000000"/>
          <w:lang w:val="fr-CH"/>
        </w:rPr>
        <w:t>’</w:t>
      </w:r>
      <w:r w:rsidRPr="005F1500">
        <w:rPr>
          <w:rFonts w:eastAsia="MS Mincho"/>
          <w:bCs/>
          <w:snapToGrid w:val="0"/>
          <w:color w:val="000000"/>
          <w:lang w:val="fr-CH"/>
        </w:rPr>
        <w:t>UPOV, l</w:t>
      </w:r>
      <w:r w:rsidR="009104CD">
        <w:rPr>
          <w:rFonts w:eastAsia="MS Mincho"/>
          <w:bCs/>
          <w:snapToGrid w:val="0"/>
          <w:color w:val="000000"/>
          <w:lang w:val="fr-CH"/>
        </w:rPr>
        <w:t>’</w:t>
      </w:r>
      <w:r w:rsidRPr="005F1500">
        <w:rPr>
          <w:rFonts w:eastAsia="MS Mincho"/>
          <w:bCs/>
          <w:snapToGrid w:val="0"/>
          <w:color w:val="000000"/>
          <w:lang w:val="fr-CH"/>
        </w:rPr>
        <w:t>OCDE et l</w:t>
      </w:r>
      <w:r w:rsidR="009104CD">
        <w:rPr>
          <w:rFonts w:eastAsia="MS Mincho"/>
          <w:bCs/>
          <w:snapToGrid w:val="0"/>
          <w:color w:val="000000"/>
          <w:lang w:val="fr-CH"/>
        </w:rPr>
        <w:t>’</w:t>
      </w:r>
      <w:r w:rsidRPr="005F1500">
        <w:rPr>
          <w:rFonts w:eastAsia="MS Mincho"/>
          <w:bCs/>
          <w:snapToGrid w:val="0"/>
          <w:color w:val="000000"/>
          <w:lang w:val="fr-CH"/>
        </w:rPr>
        <w:t>ISTA sur les techniques biochimiques et moléculaires?</w:t>
      </w:r>
    </w:p>
    <w:p w:rsidR="00826656" w:rsidRPr="005F1500" w:rsidRDefault="00826656" w:rsidP="00E705BD">
      <w:pPr>
        <w:rPr>
          <w:rFonts w:eastAsia="MS Mincho"/>
          <w:snapToGrid w:val="0"/>
          <w:lang w:val="fr-CH"/>
        </w:rPr>
      </w:pPr>
    </w:p>
    <w:p w:rsidR="00826656" w:rsidRPr="005F1500" w:rsidRDefault="005F1500" w:rsidP="005F1500">
      <w:pPr>
        <w:numPr>
          <w:ilvl w:val="0"/>
          <w:numId w:val="4"/>
        </w:numPr>
        <w:ind w:left="567" w:hanging="567"/>
        <w:contextualSpacing/>
        <w:jc w:val="left"/>
        <w:rPr>
          <w:rFonts w:eastAsia="MS Mincho"/>
          <w:snapToGrid w:val="0"/>
          <w:lang w:val="fr-CH"/>
        </w:rPr>
      </w:pPr>
      <w:r w:rsidRPr="005F1500">
        <w:rPr>
          <w:rFonts w:eastAsia="MS Mincho"/>
          <w:snapToGrid w:val="0"/>
          <w:color w:val="000000"/>
          <w:lang w:val="fr-CH"/>
        </w:rPr>
        <w:t>Utilisation de marqueurs pour l</w:t>
      </w:r>
      <w:r w:rsidR="009104CD">
        <w:rPr>
          <w:rFonts w:eastAsia="MS Mincho"/>
          <w:snapToGrid w:val="0"/>
          <w:color w:val="000000"/>
          <w:lang w:val="fr-CH"/>
        </w:rPr>
        <w:t>’</w:t>
      </w:r>
      <w:r w:rsidRPr="005F1500">
        <w:rPr>
          <w:rFonts w:eastAsia="MS Mincho"/>
          <w:snapToGrid w:val="0"/>
          <w:color w:val="000000"/>
          <w:lang w:val="fr-CH"/>
        </w:rPr>
        <w:t>identification des variétés</w:t>
      </w:r>
      <w:r w:rsidR="00264DAB">
        <w:rPr>
          <w:rFonts w:eastAsia="MS Mincho"/>
          <w:snapToGrid w:val="0"/>
          <w:color w:val="000000"/>
          <w:lang w:val="fr-CH"/>
        </w:rPr>
        <w:t>.</w:t>
      </w:r>
    </w:p>
    <w:p w:rsidR="00826656" w:rsidRPr="005F1500" w:rsidRDefault="00264DAB" w:rsidP="005F1500">
      <w:pPr>
        <w:numPr>
          <w:ilvl w:val="0"/>
          <w:numId w:val="4"/>
        </w:numPr>
        <w:ind w:left="567" w:hanging="567"/>
        <w:contextualSpacing/>
        <w:jc w:val="left"/>
        <w:rPr>
          <w:rFonts w:eastAsia="MS Mincho"/>
          <w:snapToGrid w:val="0"/>
          <w:lang w:val="fr-CH"/>
        </w:rPr>
      </w:pPr>
      <w:r>
        <w:rPr>
          <w:rFonts w:eastAsia="MS Mincho"/>
          <w:snapToGrid w:val="0"/>
          <w:color w:val="000000"/>
          <w:lang w:val="fr-CH"/>
        </w:rPr>
        <w:t>Comment</w:t>
      </w:r>
      <w:r w:rsidR="005F1500" w:rsidRPr="005F1500">
        <w:rPr>
          <w:rFonts w:eastAsia="MS Mincho"/>
          <w:snapToGrid w:val="0"/>
          <w:color w:val="000000"/>
          <w:lang w:val="fr-CH"/>
        </w:rPr>
        <w:t xml:space="preserve"> harmoniser les méthodes et </w:t>
      </w:r>
      <w:r>
        <w:rPr>
          <w:rFonts w:eastAsia="MS Mincho"/>
          <w:snapToGrid w:val="0"/>
          <w:color w:val="000000"/>
          <w:lang w:val="fr-CH"/>
        </w:rPr>
        <w:t>vérifier</w:t>
      </w:r>
      <w:r w:rsidR="005F1500" w:rsidRPr="005F1500">
        <w:rPr>
          <w:rFonts w:eastAsia="MS Mincho"/>
          <w:snapToGrid w:val="0"/>
          <w:color w:val="000000"/>
          <w:lang w:val="fr-CH"/>
        </w:rPr>
        <w:t xml:space="preserve"> l</w:t>
      </w:r>
      <w:r w:rsidR="009104CD">
        <w:rPr>
          <w:rFonts w:eastAsia="MS Mincho"/>
          <w:snapToGrid w:val="0"/>
          <w:color w:val="000000"/>
          <w:lang w:val="fr-CH"/>
        </w:rPr>
        <w:t>’</w:t>
      </w:r>
      <w:r w:rsidR="005F1500" w:rsidRPr="005F1500">
        <w:rPr>
          <w:rFonts w:eastAsia="MS Mincho"/>
          <w:snapToGrid w:val="0"/>
          <w:color w:val="000000"/>
          <w:lang w:val="fr-CH"/>
        </w:rPr>
        <w:t>homogénéité</w:t>
      </w:r>
      <w:r>
        <w:rPr>
          <w:rFonts w:eastAsia="MS Mincho"/>
          <w:snapToGrid w:val="0"/>
          <w:color w:val="000000"/>
          <w:lang w:val="fr-CH"/>
        </w:rPr>
        <w:t>.</w:t>
      </w:r>
    </w:p>
    <w:p w:rsidR="00826656" w:rsidRPr="005F1500" w:rsidRDefault="005F1500" w:rsidP="005F1500">
      <w:pPr>
        <w:numPr>
          <w:ilvl w:val="0"/>
          <w:numId w:val="4"/>
        </w:numPr>
        <w:ind w:left="567" w:hanging="567"/>
        <w:contextualSpacing/>
        <w:jc w:val="left"/>
        <w:rPr>
          <w:rFonts w:eastAsia="MS Mincho"/>
          <w:snapToGrid w:val="0"/>
          <w:lang w:val="fr-CH"/>
        </w:rPr>
      </w:pPr>
      <w:r w:rsidRPr="005F1500">
        <w:rPr>
          <w:rFonts w:eastAsia="MS Mincho"/>
          <w:snapToGrid w:val="0"/>
          <w:color w:val="000000"/>
          <w:lang w:val="fr-CH"/>
        </w:rPr>
        <w:t>Méthodes appliquées, sujets d</w:t>
      </w:r>
      <w:r w:rsidR="009104CD">
        <w:rPr>
          <w:rFonts w:eastAsia="MS Mincho"/>
          <w:snapToGrid w:val="0"/>
          <w:color w:val="000000"/>
          <w:lang w:val="fr-CH"/>
        </w:rPr>
        <w:t>’</w:t>
      </w:r>
      <w:r w:rsidRPr="005F1500">
        <w:rPr>
          <w:rFonts w:eastAsia="MS Mincho"/>
          <w:snapToGrid w:val="0"/>
          <w:color w:val="000000"/>
          <w:lang w:val="fr-CH"/>
        </w:rPr>
        <w:t>actualité et travaux futurs</w:t>
      </w:r>
      <w:r w:rsidR="00264DAB">
        <w:rPr>
          <w:rFonts w:eastAsia="MS Mincho"/>
          <w:snapToGrid w:val="0"/>
          <w:color w:val="000000"/>
          <w:lang w:val="fr-CH"/>
        </w:rPr>
        <w:t>.</w:t>
      </w:r>
    </w:p>
    <w:p w:rsidR="00826656" w:rsidRPr="005F1500" w:rsidRDefault="005F1500" w:rsidP="005F1500">
      <w:pPr>
        <w:numPr>
          <w:ilvl w:val="0"/>
          <w:numId w:val="4"/>
        </w:numPr>
        <w:ind w:left="567" w:hanging="567"/>
        <w:contextualSpacing/>
        <w:jc w:val="left"/>
        <w:rPr>
          <w:rFonts w:eastAsia="MS Mincho"/>
          <w:snapToGrid w:val="0"/>
          <w:lang w:val="fr-CH"/>
        </w:rPr>
      </w:pPr>
      <w:r w:rsidRPr="005F1500">
        <w:rPr>
          <w:rFonts w:eastAsia="MS Mincho"/>
          <w:snapToGrid w:val="0"/>
          <w:color w:val="000000"/>
          <w:lang w:val="fr-CH"/>
        </w:rPr>
        <w:t>Étude de la relation entre les marqueurs moléculaires et les caractères DHS.</w:t>
      </w:r>
    </w:p>
    <w:p w:rsidR="00826656" w:rsidRPr="00074830" w:rsidRDefault="005F1500" w:rsidP="00074830">
      <w:pPr>
        <w:numPr>
          <w:ilvl w:val="0"/>
          <w:numId w:val="4"/>
        </w:numPr>
        <w:ind w:left="567" w:hanging="567"/>
        <w:contextualSpacing/>
        <w:jc w:val="left"/>
        <w:rPr>
          <w:rFonts w:eastAsia="MS Mincho"/>
          <w:snapToGrid w:val="0"/>
          <w:lang w:val="fr-CH"/>
        </w:rPr>
      </w:pPr>
      <w:r w:rsidRPr="005F1500">
        <w:rPr>
          <w:rFonts w:eastAsia="MS Mincho"/>
          <w:snapToGrid w:val="0"/>
          <w:color w:val="000000"/>
          <w:lang w:val="fr-CH"/>
        </w:rPr>
        <w:t>Schéma de validation de l</w:t>
      </w:r>
      <w:r w:rsidR="009104CD">
        <w:rPr>
          <w:rFonts w:eastAsia="MS Mincho"/>
          <w:snapToGrid w:val="0"/>
          <w:color w:val="000000"/>
          <w:lang w:val="fr-CH"/>
        </w:rPr>
        <w:t>’</w:t>
      </w:r>
      <w:r w:rsidRPr="005F1500">
        <w:rPr>
          <w:rFonts w:eastAsia="MS Mincho"/>
          <w:snapToGrid w:val="0"/>
          <w:color w:val="000000"/>
          <w:lang w:val="fr-CH"/>
        </w:rPr>
        <w:t>ISTA, utilisation des marqueurs moléculaires par l</w:t>
      </w:r>
      <w:r w:rsidR="009104CD">
        <w:rPr>
          <w:rFonts w:eastAsia="MS Mincho"/>
          <w:snapToGrid w:val="0"/>
          <w:color w:val="000000"/>
          <w:lang w:val="fr-CH"/>
        </w:rPr>
        <w:t>’</w:t>
      </w:r>
      <w:r w:rsidRPr="005F1500">
        <w:rPr>
          <w:rFonts w:eastAsia="MS Mincho"/>
          <w:snapToGrid w:val="0"/>
          <w:color w:val="000000"/>
          <w:lang w:val="fr-CH"/>
        </w:rPr>
        <w:t>UPOV, utilisation des marqueurs moléculaires par l</w:t>
      </w:r>
      <w:r w:rsidR="009104CD">
        <w:rPr>
          <w:rFonts w:eastAsia="MS Mincho"/>
          <w:snapToGrid w:val="0"/>
          <w:color w:val="000000"/>
          <w:lang w:val="fr-CH"/>
        </w:rPr>
        <w:t>’</w:t>
      </w:r>
      <w:r w:rsidRPr="005F1500">
        <w:rPr>
          <w:rFonts w:eastAsia="MS Mincho"/>
          <w:snapToGrid w:val="0"/>
          <w:color w:val="000000"/>
          <w:lang w:val="fr-CH"/>
        </w:rPr>
        <w:t>O</w:t>
      </w:r>
      <w:r w:rsidR="00B901C0" w:rsidRPr="005F1500">
        <w:rPr>
          <w:rFonts w:eastAsia="MS Mincho"/>
          <w:snapToGrid w:val="0"/>
          <w:color w:val="000000"/>
          <w:lang w:val="fr-CH"/>
        </w:rPr>
        <w:t>CDE</w:t>
      </w:r>
      <w:r w:rsidR="00B901C0">
        <w:rPr>
          <w:rFonts w:eastAsia="MS Mincho"/>
          <w:snapToGrid w:val="0"/>
          <w:color w:val="000000"/>
          <w:lang w:val="fr-CH"/>
        </w:rPr>
        <w:t xml:space="preserve">.  </w:t>
      </w:r>
      <w:r w:rsidR="00B901C0" w:rsidRPr="00074830">
        <w:rPr>
          <w:rFonts w:eastAsia="MS Mincho"/>
          <w:snapToGrid w:val="0"/>
          <w:color w:val="000000"/>
          <w:lang w:val="fr-CH"/>
        </w:rPr>
        <w:t>Di</w:t>
      </w:r>
      <w:r w:rsidR="00074830" w:rsidRPr="00074830">
        <w:rPr>
          <w:rFonts w:eastAsia="MS Mincho"/>
          <w:snapToGrid w:val="0"/>
          <w:color w:val="000000"/>
          <w:lang w:val="fr-CH"/>
        </w:rPr>
        <w:t>scussion sur les meilleurs marqueurs moléculaires pour différentes plantes et utilisations.</w:t>
      </w:r>
    </w:p>
    <w:p w:rsidR="00826656" w:rsidRDefault="00074830" w:rsidP="00074830">
      <w:pPr>
        <w:numPr>
          <w:ilvl w:val="0"/>
          <w:numId w:val="4"/>
        </w:numPr>
        <w:ind w:left="567" w:hanging="567"/>
        <w:contextualSpacing/>
        <w:jc w:val="left"/>
        <w:rPr>
          <w:rFonts w:eastAsia="MS Mincho"/>
          <w:snapToGrid w:val="0"/>
        </w:rPr>
      </w:pPr>
      <w:r w:rsidRPr="00074830">
        <w:rPr>
          <w:rFonts w:eastAsia="MS Mincho"/>
          <w:snapToGrid w:val="0"/>
          <w:color w:val="000000"/>
        </w:rPr>
        <w:t>Nouvelles technologies et utilisations potentielles</w:t>
      </w:r>
      <w:r w:rsidR="00264DAB">
        <w:rPr>
          <w:rFonts w:eastAsia="MS Mincho"/>
          <w:snapToGrid w:val="0"/>
          <w:color w:val="000000"/>
        </w:rPr>
        <w:t>.</w:t>
      </w:r>
    </w:p>
    <w:p w:rsidR="00826656" w:rsidRPr="00074830" w:rsidRDefault="00074830" w:rsidP="00074830">
      <w:pPr>
        <w:numPr>
          <w:ilvl w:val="0"/>
          <w:numId w:val="4"/>
        </w:numPr>
        <w:ind w:left="567" w:hanging="567"/>
        <w:contextualSpacing/>
        <w:jc w:val="left"/>
        <w:rPr>
          <w:rFonts w:eastAsia="MS Mincho"/>
          <w:snapToGrid w:val="0"/>
          <w:lang w:val="fr-CH"/>
        </w:rPr>
      </w:pPr>
      <w:r w:rsidRPr="00074830">
        <w:rPr>
          <w:rFonts w:eastAsia="MS Mincho"/>
          <w:snapToGrid w:val="0"/>
          <w:color w:val="000000"/>
          <w:lang w:val="fr-CH"/>
        </w:rPr>
        <w:t>Normes pour la détermination de l</w:t>
      </w:r>
      <w:r w:rsidR="009104CD">
        <w:rPr>
          <w:rFonts w:eastAsia="MS Mincho"/>
          <w:snapToGrid w:val="0"/>
          <w:color w:val="000000"/>
          <w:lang w:val="fr-CH"/>
        </w:rPr>
        <w:t>’</w:t>
      </w:r>
      <w:r w:rsidRPr="00074830">
        <w:rPr>
          <w:rFonts w:eastAsia="MS Mincho"/>
          <w:snapToGrid w:val="0"/>
          <w:color w:val="000000"/>
          <w:lang w:val="fr-CH"/>
        </w:rPr>
        <w:t>homogénéité, seuils de variation</w:t>
      </w:r>
      <w:r w:rsidR="00264DAB">
        <w:rPr>
          <w:rFonts w:eastAsia="MS Mincho"/>
          <w:snapToGrid w:val="0"/>
          <w:color w:val="000000"/>
          <w:lang w:val="fr-CH"/>
        </w:rPr>
        <w:t>.</w:t>
      </w:r>
    </w:p>
    <w:p w:rsidR="00826656" w:rsidRDefault="00074830" w:rsidP="00074830">
      <w:pPr>
        <w:numPr>
          <w:ilvl w:val="0"/>
          <w:numId w:val="4"/>
        </w:numPr>
        <w:ind w:left="567" w:hanging="567"/>
        <w:contextualSpacing/>
        <w:jc w:val="left"/>
        <w:rPr>
          <w:rFonts w:eastAsia="MS Mincho"/>
          <w:snapToGrid w:val="0"/>
        </w:rPr>
      </w:pPr>
      <w:r w:rsidRPr="00074830">
        <w:rPr>
          <w:rFonts w:eastAsia="MS Mincho"/>
          <w:snapToGrid w:val="0"/>
          <w:color w:val="000000"/>
        </w:rPr>
        <w:t>Identité</w:t>
      </w:r>
      <w:r w:rsidR="00484441">
        <w:rPr>
          <w:rFonts w:eastAsia="MS Mincho"/>
          <w:snapToGrid w:val="0"/>
          <w:color w:val="000000"/>
        </w:rPr>
        <w:t xml:space="preserve"> – </w:t>
      </w:r>
      <w:r w:rsidRPr="00074830">
        <w:rPr>
          <w:rFonts w:eastAsia="MS Mincho"/>
          <w:snapToGrid w:val="0"/>
          <w:color w:val="000000"/>
        </w:rPr>
        <w:t>distinction</w:t>
      </w:r>
      <w:r w:rsidR="00484441">
        <w:rPr>
          <w:rFonts w:eastAsia="MS Mincho"/>
          <w:snapToGrid w:val="0"/>
          <w:color w:val="000000"/>
        </w:rPr>
        <w:t xml:space="preserve"> – </w:t>
      </w:r>
      <w:r w:rsidRPr="00074830">
        <w:rPr>
          <w:rFonts w:eastAsia="MS Mincho"/>
          <w:snapToGrid w:val="0"/>
          <w:color w:val="000000"/>
        </w:rPr>
        <w:t>méthodes</w:t>
      </w:r>
      <w:r w:rsidR="00264DAB">
        <w:rPr>
          <w:rFonts w:eastAsia="MS Mincho"/>
          <w:snapToGrid w:val="0"/>
          <w:color w:val="000000"/>
        </w:rPr>
        <w:t>.</w:t>
      </w:r>
    </w:p>
    <w:p w:rsidR="00826656" w:rsidRPr="00074830" w:rsidRDefault="00074830" w:rsidP="00074830">
      <w:pPr>
        <w:numPr>
          <w:ilvl w:val="0"/>
          <w:numId w:val="4"/>
        </w:numPr>
        <w:ind w:left="567" w:hanging="567"/>
        <w:contextualSpacing/>
        <w:jc w:val="left"/>
        <w:rPr>
          <w:rFonts w:eastAsia="MS Mincho"/>
          <w:snapToGrid w:val="0"/>
          <w:lang w:val="fr-CH"/>
        </w:rPr>
      </w:pPr>
      <w:r w:rsidRPr="00074830">
        <w:rPr>
          <w:rFonts w:eastAsia="MS Mincho"/>
          <w:snapToGrid w:val="0"/>
          <w:color w:val="000000"/>
          <w:lang w:val="fr-CH"/>
        </w:rPr>
        <w:t>Détermination par l</w:t>
      </w:r>
      <w:r w:rsidR="009104CD">
        <w:rPr>
          <w:rFonts w:eastAsia="MS Mincho"/>
          <w:snapToGrid w:val="0"/>
          <w:color w:val="000000"/>
          <w:lang w:val="fr-CH"/>
        </w:rPr>
        <w:t>’</w:t>
      </w:r>
      <w:r w:rsidRPr="00074830">
        <w:rPr>
          <w:rFonts w:eastAsia="MS Mincho"/>
          <w:snapToGrid w:val="0"/>
          <w:color w:val="000000"/>
          <w:lang w:val="fr-CH"/>
        </w:rPr>
        <w:t>OCDE des règles concernant la propagation et le traitement des semences</w:t>
      </w:r>
      <w:r w:rsidR="00264DAB">
        <w:rPr>
          <w:rFonts w:eastAsia="MS Mincho"/>
          <w:snapToGrid w:val="0"/>
          <w:color w:val="000000"/>
          <w:lang w:val="fr-CH"/>
        </w:rPr>
        <w:t>.</w:t>
      </w:r>
    </w:p>
    <w:p w:rsidR="00826656" w:rsidRDefault="00074830" w:rsidP="00074830">
      <w:pPr>
        <w:numPr>
          <w:ilvl w:val="0"/>
          <w:numId w:val="4"/>
        </w:numPr>
        <w:ind w:left="567" w:hanging="567"/>
        <w:contextualSpacing/>
        <w:jc w:val="left"/>
        <w:rPr>
          <w:rFonts w:eastAsia="MS Mincho"/>
          <w:snapToGrid w:val="0"/>
        </w:rPr>
      </w:pPr>
      <w:r w:rsidRPr="00074830">
        <w:rPr>
          <w:rFonts w:eastAsia="MS Mincho"/>
          <w:snapToGrid w:val="0"/>
          <w:color w:val="000000"/>
          <w:lang w:val="fr-CH"/>
        </w:rPr>
        <w:t>Limites et potentiel de l</w:t>
      </w:r>
      <w:r w:rsidR="009104CD">
        <w:rPr>
          <w:rFonts w:eastAsia="MS Mincho"/>
          <w:snapToGrid w:val="0"/>
          <w:color w:val="000000"/>
          <w:lang w:val="fr-CH"/>
        </w:rPr>
        <w:t>’</w:t>
      </w:r>
      <w:r w:rsidRPr="00074830">
        <w:rPr>
          <w:rFonts w:eastAsia="MS Mincho"/>
          <w:snapToGrid w:val="0"/>
          <w:color w:val="000000"/>
          <w:lang w:val="fr-CH"/>
        </w:rPr>
        <w:t>utilisation des marqueurs moléculaires pour les essais de semences, la certification variétale et la protection des obtentions végétal</w:t>
      </w:r>
      <w:r w:rsidR="00B901C0" w:rsidRPr="00074830">
        <w:rPr>
          <w:rFonts w:eastAsia="MS Mincho"/>
          <w:snapToGrid w:val="0"/>
          <w:color w:val="000000"/>
          <w:lang w:val="fr-CH"/>
        </w:rPr>
        <w:t>es</w:t>
      </w:r>
      <w:r w:rsidR="00B901C0">
        <w:rPr>
          <w:rFonts w:eastAsia="MS Mincho"/>
          <w:snapToGrid w:val="0"/>
          <w:color w:val="000000"/>
          <w:lang w:val="fr-CH"/>
        </w:rPr>
        <w:t xml:space="preserve">.  </w:t>
      </w:r>
      <w:r w:rsidR="00B901C0" w:rsidRPr="00074830">
        <w:rPr>
          <w:rFonts w:eastAsia="MS Mincho"/>
          <w:snapToGrid w:val="0"/>
          <w:color w:val="000000"/>
          <w:lang w:val="fr-CH"/>
        </w:rPr>
        <w:t>Su</w:t>
      </w:r>
      <w:r w:rsidRPr="00074830">
        <w:rPr>
          <w:rFonts w:eastAsia="MS Mincho"/>
          <w:snapToGrid w:val="0"/>
          <w:color w:val="000000"/>
          <w:lang w:val="fr-CH"/>
        </w:rPr>
        <w:t>jets de préoccupation communs et pistes d</w:t>
      </w:r>
      <w:r w:rsidR="009104CD">
        <w:rPr>
          <w:rFonts w:eastAsia="MS Mincho"/>
          <w:snapToGrid w:val="0"/>
          <w:color w:val="000000"/>
          <w:lang w:val="fr-CH"/>
        </w:rPr>
        <w:t>’</w:t>
      </w:r>
      <w:r w:rsidRPr="00074830">
        <w:rPr>
          <w:rFonts w:eastAsia="MS Mincho"/>
          <w:snapToGrid w:val="0"/>
          <w:color w:val="000000"/>
          <w:lang w:val="fr-CH"/>
        </w:rPr>
        <w:t>évolution</w:t>
      </w:r>
      <w:r w:rsidR="00264DAB">
        <w:rPr>
          <w:rFonts w:eastAsia="MS Mincho"/>
          <w:snapToGrid w:val="0"/>
          <w:color w:val="000000"/>
          <w:lang w:val="fr-CH"/>
        </w:rPr>
        <w:t>.</w:t>
      </w:r>
    </w:p>
    <w:p w:rsidR="00826656" w:rsidRPr="00074830" w:rsidRDefault="00074830" w:rsidP="00074830">
      <w:pPr>
        <w:numPr>
          <w:ilvl w:val="0"/>
          <w:numId w:val="4"/>
        </w:numPr>
        <w:ind w:left="567" w:hanging="567"/>
        <w:contextualSpacing/>
        <w:jc w:val="left"/>
        <w:rPr>
          <w:rFonts w:eastAsia="MS Mincho"/>
          <w:snapToGrid w:val="0"/>
          <w:lang w:val="fr-CH"/>
        </w:rPr>
      </w:pPr>
      <w:r w:rsidRPr="00074830">
        <w:rPr>
          <w:rFonts w:eastAsia="MS Mincho"/>
          <w:snapToGrid w:val="0"/>
          <w:color w:val="000000"/>
          <w:lang w:val="fr-CH"/>
        </w:rPr>
        <w:t>Type de marqueurs d</w:t>
      </w:r>
      <w:r w:rsidR="009104CD">
        <w:rPr>
          <w:rFonts w:eastAsia="MS Mincho"/>
          <w:snapToGrid w:val="0"/>
          <w:color w:val="000000"/>
          <w:lang w:val="fr-CH"/>
        </w:rPr>
        <w:t>’</w:t>
      </w:r>
      <w:r w:rsidRPr="00074830">
        <w:rPr>
          <w:rFonts w:eastAsia="MS Mincho"/>
          <w:snapToGrid w:val="0"/>
          <w:color w:val="000000"/>
          <w:lang w:val="fr-CH"/>
        </w:rPr>
        <w:t>ADN pour différentes plantes</w:t>
      </w:r>
      <w:r w:rsidR="00264DAB">
        <w:rPr>
          <w:rFonts w:eastAsia="MS Mincho"/>
          <w:snapToGrid w:val="0"/>
          <w:color w:val="000000"/>
          <w:lang w:val="fr-CH"/>
        </w:rPr>
        <w:t>.</w:t>
      </w:r>
    </w:p>
    <w:p w:rsidR="00826656" w:rsidRPr="009255AD" w:rsidRDefault="009255AD" w:rsidP="009255AD">
      <w:pPr>
        <w:numPr>
          <w:ilvl w:val="0"/>
          <w:numId w:val="4"/>
        </w:numPr>
        <w:ind w:left="567" w:hanging="567"/>
        <w:contextualSpacing/>
        <w:jc w:val="left"/>
        <w:rPr>
          <w:rFonts w:eastAsia="MS Mincho"/>
          <w:snapToGrid w:val="0"/>
          <w:lang w:val="fr-CH"/>
        </w:rPr>
      </w:pPr>
      <w:r w:rsidRPr="009255AD">
        <w:rPr>
          <w:rFonts w:eastAsia="MS Mincho"/>
          <w:snapToGrid w:val="0"/>
          <w:color w:val="000000"/>
          <w:lang w:val="fr-CH"/>
        </w:rPr>
        <w:t>Comparaison entre les systèmes et les activités faisant intervenir les techniques biochimiques et moléculaires, domaines d</w:t>
      </w:r>
      <w:r w:rsidR="009104CD">
        <w:rPr>
          <w:rFonts w:eastAsia="MS Mincho"/>
          <w:snapToGrid w:val="0"/>
          <w:color w:val="000000"/>
          <w:lang w:val="fr-CH"/>
        </w:rPr>
        <w:t>’</w:t>
      </w:r>
      <w:r w:rsidRPr="009255AD">
        <w:rPr>
          <w:rFonts w:eastAsia="MS Mincho"/>
          <w:snapToGrid w:val="0"/>
          <w:color w:val="000000"/>
          <w:lang w:val="fr-CH"/>
        </w:rPr>
        <w:t>harmonisation possibles, moyens de renforcer la coopération et l</w:t>
      </w:r>
      <w:r w:rsidR="009104CD">
        <w:rPr>
          <w:rFonts w:eastAsia="MS Mincho"/>
          <w:snapToGrid w:val="0"/>
          <w:color w:val="000000"/>
          <w:lang w:val="fr-CH"/>
        </w:rPr>
        <w:t>’</w:t>
      </w:r>
      <w:r w:rsidRPr="009255AD">
        <w:rPr>
          <w:rFonts w:eastAsia="MS Mincho"/>
          <w:snapToGrid w:val="0"/>
          <w:color w:val="000000"/>
          <w:lang w:val="fr-CH"/>
        </w:rPr>
        <w:t>échange d</w:t>
      </w:r>
      <w:r w:rsidR="009104CD">
        <w:rPr>
          <w:rFonts w:eastAsia="MS Mincho"/>
          <w:snapToGrid w:val="0"/>
          <w:color w:val="000000"/>
          <w:lang w:val="fr-CH"/>
        </w:rPr>
        <w:t>’</w:t>
      </w:r>
      <w:r w:rsidRPr="009255AD">
        <w:rPr>
          <w:rFonts w:eastAsia="MS Mincho"/>
          <w:snapToGrid w:val="0"/>
          <w:color w:val="000000"/>
          <w:lang w:val="fr-CH"/>
        </w:rPr>
        <w:t>informations.</w:t>
      </w:r>
    </w:p>
    <w:p w:rsidR="00826656" w:rsidRPr="00DA5678" w:rsidRDefault="009255AD" w:rsidP="00DA5678">
      <w:pPr>
        <w:numPr>
          <w:ilvl w:val="0"/>
          <w:numId w:val="4"/>
        </w:numPr>
        <w:ind w:left="567" w:hanging="567"/>
        <w:contextualSpacing/>
        <w:jc w:val="left"/>
        <w:rPr>
          <w:rFonts w:eastAsia="MS Mincho"/>
          <w:snapToGrid w:val="0"/>
          <w:lang w:val="fr-CH"/>
        </w:rPr>
      </w:pPr>
      <w:r w:rsidRPr="009255AD">
        <w:rPr>
          <w:rFonts w:eastAsia="MS Mincho"/>
          <w:snapToGrid w:val="0"/>
          <w:color w:val="000000"/>
          <w:lang w:val="fr-CH"/>
        </w:rPr>
        <w:t>Clarifi</w:t>
      </w:r>
      <w:r w:rsidR="00264DAB">
        <w:rPr>
          <w:rFonts w:eastAsia="MS Mincho"/>
          <w:snapToGrid w:val="0"/>
          <w:color w:val="000000"/>
          <w:lang w:val="fr-CH"/>
        </w:rPr>
        <w:t>er l</w:t>
      </w:r>
      <w:r w:rsidRPr="009255AD">
        <w:rPr>
          <w:rFonts w:eastAsia="MS Mincho"/>
          <w:snapToGrid w:val="0"/>
          <w:color w:val="000000"/>
          <w:lang w:val="fr-CH"/>
        </w:rPr>
        <w:t>es positions des différentes associations concernant l</w:t>
      </w:r>
      <w:r w:rsidR="009104CD">
        <w:rPr>
          <w:rFonts w:eastAsia="MS Mincho"/>
          <w:snapToGrid w:val="0"/>
          <w:color w:val="000000"/>
          <w:lang w:val="fr-CH"/>
        </w:rPr>
        <w:t>’</w:t>
      </w:r>
      <w:r w:rsidRPr="009255AD">
        <w:rPr>
          <w:rFonts w:eastAsia="MS Mincho"/>
          <w:snapToGrid w:val="0"/>
          <w:color w:val="000000"/>
          <w:lang w:val="fr-CH"/>
        </w:rPr>
        <w:t>utilisation des marqueurs moléculaires, évalu</w:t>
      </w:r>
      <w:r w:rsidR="00264DAB">
        <w:rPr>
          <w:rFonts w:eastAsia="MS Mincho"/>
          <w:snapToGrid w:val="0"/>
          <w:color w:val="000000"/>
          <w:lang w:val="fr-CH"/>
        </w:rPr>
        <w:t xml:space="preserve">er les </w:t>
      </w:r>
      <w:r w:rsidRPr="009255AD">
        <w:rPr>
          <w:rFonts w:eastAsia="MS Mincho"/>
          <w:snapToGrid w:val="0"/>
          <w:color w:val="000000"/>
          <w:lang w:val="fr-CH"/>
        </w:rPr>
        <w:t xml:space="preserve">méthodes disponibles, </w:t>
      </w:r>
      <w:r w:rsidR="00264DAB">
        <w:rPr>
          <w:rFonts w:eastAsia="MS Mincho"/>
          <w:snapToGrid w:val="0"/>
          <w:color w:val="000000"/>
          <w:lang w:val="fr-CH"/>
        </w:rPr>
        <w:t xml:space="preserve">donner des </w:t>
      </w:r>
      <w:r w:rsidRPr="009255AD">
        <w:rPr>
          <w:rFonts w:eastAsia="MS Mincho"/>
          <w:snapToGrid w:val="0"/>
          <w:color w:val="000000"/>
          <w:lang w:val="fr-CH"/>
        </w:rPr>
        <w:t>exemples pratiques de leur utilisation par le service d</w:t>
      </w:r>
      <w:r w:rsidR="009104CD">
        <w:rPr>
          <w:rFonts w:eastAsia="MS Mincho"/>
          <w:snapToGrid w:val="0"/>
          <w:color w:val="000000"/>
          <w:lang w:val="fr-CH"/>
        </w:rPr>
        <w:t>’</w:t>
      </w:r>
      <w:r w:rsidRPr="009255AD">
        <w:rPr>
          <w:rFonts w:eastAsia="MS Mincho"/>
          <w:snapToGrid w:val="0"/>
          <w:color w:val="000000"/>
          <w:lang w:val="fr-CH"/>
        </w:rPr>
        <w:t>examen et de certification des semenc</w:t>
      </w:r>
      <w:r w:rsidR="00B901C0" w:rsidRPr="009255AD">
        <w:rPr>
          <w:rFonts w:eastAsia="MS Mincho"/>
          <w:snapToGrid w:val="0"/>
          <w:color w:val="000000"/>
          <w:lang w:val="fr-CH"/>
        </w:rPr>
        <w:t>es</w:t>
      </w:r>
      <w:r w:rsidR="00B901C0">
        <w:rPr>
          <w:rFonts w:eastAsia="MS Mincho"/>
          <w:snapToGrid w:val="0"/>
          <w:color w:val="000000"/>
          <w:lang w:val="fr-CH"/>
        </w:rPr>
        <w:t xml:space="preserve">.  </w:t>
      </w:r>
      <w:r w:rsidR="00B901C0" w:rsidRPr="00DA5678">
        <w:rPr>
          <w:rFonts w:eastAsia="MS Mincho"/>
          <w:snapToGrid w:val="0"/>
          <w:color w:val="000000"/>
          <w:lang w:val="fr-CH"/>
        </w:rPr>
        <w:t>Co</w:t>
      </w:r>
      <w:r w:rsidR="00DA5678" w:rsidRPr="00DA5678">
        <w:rPr>
          <w:rFonts w:eastAsia="MS Mincho"/>
          <w:snapToGrid w:val="0"/>
          <w:color w:val="000000"/>
          <w:lang w:val="fr-CH"/>
        </w:rPr>
        <w:t>mment harmoniser ces méthodes entre les services pour obtenir des résultats comparables?</w:t>
      </w:r>
    </w:p>
    <w:p w:rsidR="00826656" w:rsidRPr="00DA5678" w:rsidRDefault="00DA5678" w:rsidP="00DA5678">
      <w:pPr>
        <w:numPr>
          <w:ilvl w:val="0"/>
          <w:numId w:val="4"/>
        </w:numPr>
        <w:ind w:left="567" w:hanging="567"/>
        <w:contextualSpacing/>
        <w:jc w:val="left"/>
        <w:rPr>
          <w:rFonts w:eastAsia="MS Mincho"/>
          <w:snapToGrid w:val="0"/>
          <w:lang w:val="fr-CH"/>
        </w:rPr>
      </w:pPr>
      <w:r w:rsidRPr="00DA5678">
        <w:rPr>
          <w:rFonts w:eastAsia="MS Mincho"/>
          <w:snapToGrid w:val="0"/>
          <w:color w:val="000000"/>
          <w:lang w:val="fr-CH"/>
        </w:rPr>
        <w:t>Base de données commune des marqueurs par espèce</w:t>
      </w:r>
      <w:r w:rsidR="000F467F">
        <w:rPr>
          <w:rFonts w:eastAsia="MS Mincho"/>
          <w:snapToGrid w:val="0"/>
          <w:color w:val="000000"/>
          <w:lang w:val="fr-CH"/>
        </w:rPr>
        <w:t>/</w:t>
      </w:r>
      <w:r w:rsidRPr="00DA5678">
        <w:rPr>
          <w:rFonts w:eastAsia="MS Mincho"/>
          <w:snapToGrid w:val="0"/>
          <w:color w:val="000000"/>
          <w:lang w:val="fr-CH"/>
        </w:rPr>
        <w:t>validation et reconnaissance des techniques et protocoles actuels</w:t>
      </w:r>
      <w:r w:rsidR="000F467F">
        <w:rPr>
          <w:rFonts w:eastAsia="MS Mincho"/>
          <w:snapToGrid w:val="0"/>
          <w:color w:val="000000"/>
          <w:lang w:val="fr-CH"/>
        </w:rPr>
        <w:t>/</w:t>
      </w:r>
      <w:r w:rsidRPr="00DA5678">
        <w:rPr>
          <w:rFonts w:eastAsia="MS Mincho"/>
          <w:snapToGrid w:val="0"/>
          <w:color w:val="000000"/>
          <w:lang w:val="fr-CH"/>
        </w:rPr>
        <w:t>seuils</w:t>
      </w:r>
      <w:r w:rsidR="000F467F">
        <w:rPr>
          <w:rFonts w:eastAsia="MS Mincho"/>
          <w:snapToGrid w:val="0"/>
          <w:color w:val="000000"/>
          <w:lang w:val="fr-CH"/>
        </w:rPr>
        <w:t>/</w:t>
      </w:r>
      <w:r w:rsidRPr="00DA5678">
        <w:rPr>
          <w:rFonts w:eastAsia="MS Mincho"/>
          <w:snapToGrid w:val="0"/>
          <w:color w:val="000000"/>
          <w:lang w:val="fr-CH"/>
        </w:rPr>
        <w:t>initiatives du secteur privé déjà en place avec des marqueurs</w:t>
      </w:r>
      <w:r w:rsidR="00264DAB">
        <w:rPr>
          <w:rFonts w:eastAsia="MS Mincho"/>
          <w:snapToGrid w:val="0"/>
          <w:color w:val="000000"/>
          <w:lang w:val="fr-CH"/>
        </w:rPr>
        <w:t>.</w:t>
      </w:r>
    </w:p>
    <w:p w:rsidR="00826656" w:rsidRDefault="00DA5678" w:rsidP="00DA5678">
      <w:pPr>
        <w:numPr>
          <w:ilvl w:val="0"/>
          <w:numId w:val="4"/>
        </w:numPr>
        <w:ind w:left="567" w:hanging="567"/>
        <w:contextualSpacing/>
        <w:jc w:val="left"/>
        <w:rPr>
          <w:rFonts w:eastAsia="MS Mincho"/>
          <w:snapToGrid w:val="0"/>
        </w:rPr>
      </w:pPr>
      <w:r w:rsidRPr="00DA5678">
        <w:rPr>
          <w:rFonts w:eastAsia="MS Mincho"/>
          <w:snapToGrid w:val="0"/>
          <w:color w:val="000000"/>
        </w:rPr>
        <w:t>Développement</w:t>
      </w:r>
      <w:r w:rsidR="00264DAB">
        <w:rPr>
          <w:rFonts w:eastAsia="MS Mincho"/>
          <w:snapToGrid w:val="0"/>
          <w:color w:val="000000"/>
        </w:rPr>
        <w:t>.</w:t>
      </w:r>
    </w:p>
    <w:p w:rsidR="00826656" w:rsidRPr="00DA5678" w:rsidRDefault="00DA5678" w:rsidP="00DA5678">
      <w:pPr>
        <w:numPr>
          <w:ilvl w:val="0"/>
          <w:numId w:val="4"/>
        </w:numPr>
        <w:ind w:left="567" w:hanging="567"/>
        <w:contextualSpacing/>
        <w:jc w:val="left"/>
        <w:rPr>
          <w:rFonts w:eastAsia="MS Mincho"/>
          <w:snapToGrid w:val="0"/>
          <w:lang w:val="fr-CH"/>
        </w:rPr>
      </w:pPr>
      <w:r w:rsidRPr="00DA5678">
        <w:rPr>
          <w:rFonts w:eastAsia="MS Mincho"/>
          <w:snapToGrid w:val="0"/>
          <w:color w:val="000000"/>
          <w:lang w:val="fr-CH"/>
        </w:rPr>
        <w:t>Harmonisation des marqueurs et procédures appropriés pour le profil ADN des variétés afin que les profils puissent être échangés ou compilés dans des bases de données d</w:t>
      </w:r>
      <w:r w:rsidR="009104CD">
        <w:rPr>
          <w:rFonts w:eastAsia="MS Mincho"/>
          <w:snapToGrid w:val="0"/>
          <w:color w:val="000000"/>
          <w:lang w:val="fr-CH"/>
        </w:rPr>
        <w:t>’</w:t>
      </w:r>
      <w:r w:rsidRPr="00DA5678">
        <w:rPr>
          <w:rFonts w:eastAsia="MS Mincho"/>
          <w:snapToGrid w:val="0"/>
          <w:color w:val="000000"/>
          <w:lang w:val="fr-CH"/>
        </w:rPr>
        <w:t>utilisation commune</w:t>
      </w:r>
      <w:r w:rsidR="00264DAB">
        <w:rPr>
          <w:rFonts w:eastAsia="MS Mincho"/>
          <w:snapToGrid w:val="0"/>
          <w:color w:val="000000"/>
          <w:lang w:val="fr-CH"/>
        </w:rPr>
        <w:t>.</w:t>
      </w:r>
    </w:p>
    <w:p w:rsidR="00826656" w:rsidRPr="00DA5678" w:rsidRDefault="00DA5678" w:rsidP="00DA5678">
      <w:pPr>
        <w:numPr>
          <w:ilvl w:val="0"/>
          <w:numId w:val="4"/>
        </w:numPr>
        <w:ind w:left="567" w:hanging="567"/>
        <w:contextualSpacing/>
        <w:jc w:val="left"/>
        <w:rPr>
          <w:rFonts w:eastAsia="MS Mincho"/>
          <w:snapToGrid w:val="0"/>
          <w:lang w:val="fr-CH"/>
        </w:rPr>
      </w:pPr>
      <w:r w:rsidRPr="00DA5678">
        <w:rPr>
          <w:rFonts w:eastAsia="MS Mincho"/>
          <w:snapToGrid w:val="0"/>
          <w:color w:val="000000"/>
          <w:lang w:val="fr-CH"/>
        </w:rPr>
        <w:t>Cas où l</w:t>
      </w:r>
      <w:r w:rsidR="009104CD">
        <w:rPr>
          <w:rFonts w:eastAsia="MS Mincho"/>
          <w:snapToGrid w:val="0"/>
          <w:color w:val="000000"/>
          <w:lang w:val="fr-CH"/>
        </w:rPr>
        <w:t>’</w:t>
      </w:r>
      <w:r w:rsidRPr="00DA5678">
        <w:rPr>
          <w:rFonts w:eastAsia="MS Mincho"/>
          <w:snapToGrid w:val="0"/>
          <w:color w:val="000000"/>
          <w:lang w:val="fr-CH"/>
        </w:rPr>
        <w:t>identification des variétés par l</w:t>
      </w:r>
      <w:r w:rsidR="009104CD">
        <w:rPr>
          <w:rFonts w:eastAsia="MS Mincho"/>
          <w:snapToGrid w:val="0"/>
          <w:color w:val="000000"/>
          <w:lang w:val="fr-CH"/>
        </w:rPr>
        <w:t>’</w:t>
      </w:r>
      <w:r w:rsidRPr="00DA5678">
        <w:rPr>
          <w:rFonts w:eastAsia="MS Mincho"/>
          <w:snapToGrid w:val="0"/>
          <w:color w:val="000000"/>
          <w:lang w:val="fr-CH"/>
        </w:rPr>
        <w:t>ADN est nécessaire</w:t>
      </w:r>
      <w:r w:rsidR="00264DAB">
        <w:rPr>
          <w:rFonts w:eastAsia="MS Mincho"/>
          <w:snapToGrid w:val="0"/>
          <w:color w:val="000000"/>
          <w:lang w:val="fr-CH"/>
        </w:rPr>
        <w:t>.</w:t>
      </w:r>
    </w:p>
    <w:p w:rsidR="00826656" w:rsidRPr="00264DAB" w:rsidRDefault="00DA5678" w:rsidP="00DA5678">
      <w:pPr>
        <w:numPr>
          <w:ilvl w:val="0"/>
          <w:numId w:val="4"/>
        </w:numPr>
        <w:ind w:left="567" w:hanging="567"/>
        <w:contextualSpacing/>
        <w:jc w:val="left"/>
        <w:rPr>
          <w:rFonts w:eastAsia="MS Mincho"/>
          <w:snapToGrid w:val="0"/>
        </w:rPr>
      </w:pPr>
      <w:r w:rsidRPr="00264DAB">
        <w:rPr>
          <w:rFonts w:eastAsia="MS Mincho"/>
          <w:snapToGrid w:val="0"/>
        </w:rPr>
        <w:t>Identification des variétés</w:t>
      </w:r>
      <w:r w:rsidR="00264DAB" w:rsidRPr="00264DAB">
        <w:rPr>
          <w:rFonts w:eastAsia="MS Mincho"/>
          <w:snapToGrid w:val="0"/>
        </w:rPr>
        <w:t>.</w:t>
      </w:r>
    </w:p>
    <w:p w:rsidR="00826656" w:rsidRPr="00264DAB" w:rsidRDefault="00DA5678" w:rsidP="00DA5678">
      <w:pPr>
        <w:numPr>
          <w:ilvl w:val="0"/>
          <w:numId w:val="4"/>
        </w:numPr>
        <w:ind w:left="567" w:hanging="567"/>
        <w:contextualSpacing/>
        <w:jc w:val="left"/>
        <w:rPr>
          <w:rFonts w:eastAsiaTheme="minorEastAsia" w:cs="Arial"/>
          <w:lang w:val="fr-CH"/>
        </w:rPr>
      </w:pPr>
      <w:r w:rsidRPr="00264DAB">
        <w:rPr>
          <w:rFonts w:eastAsiaTheme="minorEastAsia" w:cs="Arial"/>
          <w:lang w:val="fr-CH"/>
        </w:rPr>
        <w:t>Stratégie respective sur l</w:t>
      </w:r>
      <w:r w:rsidR="009104CD">
        <w:rPr>
          <w:rFonts w:eastAsiaTheme="minorEastAsia" w:cs="Arial"/>
          <w:lang w:val="fr-CH"/>
        </w:rPr>
        <w:t>’</w:t>
      </w:r>
      <w:r w:rsidRPr="00264DAB">
        <w:rPr>
          <w:rFonts w:eastAsiaTheme="minorEastAsia" w:cs="Arial"/>
          <w:lang w:val="fr-CH"/>
        </w:rPr>
        <w:t>utilisation des techniques biochimiques et moléculaires;  organisation de l</w:t>
      </w:r>
      <w:r w:rsidR="009104CD">
        <w:rPr>
          <w:rFonts w:eastAsiaTheme="minorEastAsia" w:cs="Arial"/>
          <w:lang w:val="fr-CH"/>
        </w:rPr>
        <w:t>’</w:t>
      </w:r>
      <w:r w:rsidRPr="00264DAB">
        <w:rPr>
          <w:rFonts w:eastAsiaTheme="minorEastAsia" w:cs="Arial"/>
          <w:lang w:val="fr-CH"/>
        </w:rPr>
        <w:t>expertise en matière de techniques biochimiques et moléculaires;  méthode de validation</w:t>
      </w:r>
      <w:r w:rsidR="00264DAB" w:rsidRPr="00264DAB">
        <w:rPr>
          <w:rFonts w:eastAsiaTheme="minorEastAsia" w:cs="Arial"/>
          <w:lang w:val="fr-CH"/>
        </w:rPr>
        <w:t>.</w:t>
      </w:r>
    </w:p>
    <w:p w:rsidR="00826656" w:rsidRPr="00264DAB" w:rsidRDefault="00826656" w:rsidP="00E705BD">
      <w:pPr>
        <w:rPr>
          <w:rFonts w:eastAsia="MS Mincho"/>
          <w:lang w:val="fr-CH"/>
        </w:rPr>
      </w:pPr>
    </w:p>
    <w:p w:rsidR="00826656" w:rsidRPr="00264DAB" w:rsidRDefault="00826656" w:rsidP="00E705BD">
      <w:pPr>
        <w:jc w:val="left"/>
        <w:rPr>
          <w:rFonts w:eastAsia="MS Mincho"/>
          <w:lang w:val="fr-CH"/>
        </w:rPr>
      </w:pPr>
    </w:p>
    <w:p w:rsidR="00826656" w:rsidRPr="00264DAB" w:rsidRDefault="00826656" w:rsidP="00E705BD">
      <w:pPr>
        <w:jc w:val="left"/>
        <w:rPr>
          <w:rFonts w:eastAsia="MS Mincho"/>
          <w:lang w:val="fr-CH"/>
        </w:rPr>
      </w:pPr>
    </w:p>
    <w:p w:rsidR="00826656" w:rsidRPr="00264DAB" w:rsidRDefault="00826656" w:rsidP="00E705BD">
      <w:pPr>
        <w:rPr>
          <w:rFonts w:eastAsia="MS Mincho"/>
          <w:lang w:val="fr-CH"/>
        </w:rPr>
      </w:pPr>
    </w:p>
    <w:p w:rsidR="00826656" w:rsidRPr="00264DAB" w:rsidRDefault="00DA5678" w:rsidP="00DA5678">
      <w:pPr>
        <w:jc w:val="right"/>
        <w:rPr>
          <w:rFonts w:eastAsia="MS Mincho"/>
          <w:lang w:val="fr-CH"/>
        </w:rPr>
      </w:pPr>
      <w:r w:rsidRPr="00264DAB">
        <w:rPr>
          <w:rFonts w:eastAsia="MS Mincho"/>
          <w:lang w:val="fr-CH"/>
        </w:rPr>
        <w:t>[Fin de l</w:t>
      </w:r>
      <w:r w:rsidR="009104CD">
        <w:rPr>
          <w:rFonts w:eastAsia="MS Mincho"/>
          <w:lang w:val="fr-CH"/>
        </w:rPr>
        <w:t>’</w:t>
      </w:r>
      <w:r w:rsidRPr="00264DAB">
        <w:rPr>
          <w:rFonts w:eastAsia="MS Mincho"/>
          <w:lang w:val="fr-CH"/>
        </w:rPr>
        <w:t>annexe et du document]</w:t>
      </w:r>
    </w:p>
    <w:sectPr w:rsidR="00826656" w:rsidRPr="00264DAB" w:rsidSect="00264DAB">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105" w:rsidRDefault="000A0105" w:rsidP="006655D3">
      <w:r>
        <w:separator/>
      </w:r>
    </w:p>
    <w:p w:rsidR="000A0105" w:rsidRDefault="000A0105" w:rsidP="006655D3"/>
    <w:p w:rsidR="000A0105" w:rsidRDefault="000A0105" w:rsidP="006655D3"/>
  </w:endnote>
  <w:endnote w:type="continuationSeparator" w:id="0">
    <w:p w:rsidR="000A0105" w:rsidRDefault="000A0105" w:rsidP="006655D3">
      <w:r>
        <w:separator/>
      </w:r>
    </w:p>
    <w:p w:rsidR="000A0105" w:rsidRPr="00294751" w:rsidRDefault="000A0105">
      <w:pPr>
        <w:pStyle w:val="Footer"/>
        <w:spacing w:after="60"/>
        <w:rPr>
          <w:sz w:val="18"/>
          <w:lang w:val="fr-FR"/>
        </w:rPr>
      </w:pPr>
      <w:r w:rsidRPr="00294751">
        <w:rPr>
          <w:sz w:val="18"/>
          <w:lang w:val="fr-FR"/>
        </w:rPr>
        <w:t>[Suite de la note de la page précédente]</w:t>
      </w:r>
    </w:p>
    <w:p w:rsidR="000A0105" w:rsidRPr="00294751" w:rsidRDefault="000A0105" w:rsidP="006655D3"/>
    <w:p w:rsidR="000A0105" w:rsidRPr="00294751" w:rsidRDefault="000A0105" w:rsidP="006655D3"/>
  </w:endnote>
  <w:endnote w:type="continuationNotice" w:id="1">
    <w:p w:rsidR="000A0105" w:rsidRPr="00294751" w:rsidRDefault="000A0105" w:rsidP="006655D3">
      <w:r w:rsidRPr="00294751">
        <w:t>[Suite de la note page suivante]</w:t>
      </w:r>
    </w:p>
    <w:p w:rsidR="000A0105" w:rsidRPr="00294751" w:rsidRDefault="000A0105" w:rsidP="006655D3"/>
    <w:p w:rsidR="000A0105" w:rsidRPr="00294751" w:rsidRDefault="000A0105"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A6F" w:rsidRDefault="002F6A6F" w:rsidP="002F6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A6F" w:rsidRDefault="002F6A6F">
    <w:pPr>
      <w:pStyle w:val="Footer"/>
    </w:pPr>
    <w:r>
      <w:rPr>
        <w:noProof/>
      </w:rPr>
      <mc:AlternateContent>
        <mc:Choice Requires="wps">
          <w:drawing>
            <wp:anchor distT="558800" distB="0" distL="114300" distR="114300" simplePos="0" relativeHeight="25166336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F6A6F" w:rsidRDefault="008C0451" w:rsidP="008C0451">
                          <w:pPr>
                            <w:jc w:val="center"/>
                          </w:pPr>
                          <w:r w:rsidRPr="008C0451">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2footer" o:spid="_x0000_s1030"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73C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Pt3vcKpAgAAZAUAAA4AAAAAAAAAAAAAAAAA&#10;LgIAAGRycy9lMm9Eb2MueG1sUEsBAi0AFAAGAAgAAAAhAM3y8yjaAAAACAEAAA8AAAAAAAAAAAAA&#10;AAAAAwUAAGRycy9kb3ducmV2LnhtbFBLBQYAAAAABAAEAPMAAAAKBgAAAAA=&#10;" o:allowincell="f" filled="f" stroked="f" strokeweight=".5pt">
              <v:fill o:detectmouseclick="t"/>
              <v:path arrowok="t"/>
              <v:textbox>
                <w:txbxContent>
                  <w:p w:rsidR="002F6A6F" w:rsidRDefault="008C0451" w:rsidP="008C0451">
                    <w:pPr>
                      <w:jc w:val="center"/>
                    </w:pPr>
                    <w:r w:rsidRPr="008C0451">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A6F" w:rsidRDefault="002F6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105" w:rsidRDefault="000A0105" w:rsidP="006655D3">
      <w:r>
        <w:separator/>
      </w:r>
    </w:p>
  </w:footnote>
  <w:footnote w:type="continuationSeparator" w:id="0">
    <w:p w:rsidR="000A0105" w:rsidRDefault="000A0105" w:rsidP="006655D3">
      <w:r>
        <w:separator/>
      </w:r>
    </w:p>
  </w:footnote>
  <w:footnote w:type="continuationNotice" w:id="1">
    <w:p w:rsidR="000A0105" w:rsidRPr="00AB530F" w:rsidRDefault="000A0105" w:rsidP="00AB530F">
      <w:pPr>
        <w:pStyle w:val="Footer"/>
      </w:pPr>
    </w:p>
  </w:footnote>
  <w:footnote w:id="2">
    <w:p w:rsidR="000A0105" w:rsidRPr="004369C3" w:rsidRDefault="000A0105" w:rsidP="00811177">
      <w:pPr>
        <w:pStyle w:val="FootnoteText"/>
        <w:rPr>
          <w:lang w:val="fr-CH"/>
        </w:rPr>
      </w:pPr>
      <w:r w:rsidRPr="004369C3">
        <w:rPr>
          <w:rStyle w:val="FootnoteReference"/>
        </w:rPr>
        <w:footnoteRef/>
      </w:r>
      <w:r w:rsidRPr="004369C3">
        <w:rPr>
          <w:lang w:val="fr-CH"/>
        </w:rPr>
        <w:t xml:space="preserve"> </w:t>
      </w:r>
      <w:r w:rsidRPr="004369C3">
        <w:rPr>
          <w:lang w:val="fr-CH"/>
        </w:rPr>
        <w:tab/>
        <w:t>À sa cinquante</w:t>
      </w:r>
      <w:r w:rsidR="00E65D68">
        <w:rPr>
          <w:lang w:val="fr-CH"/>
        </w:rPr>
        <w:t>-</w:t>
      </w:r>
      <w:r w:rsidRPr="004369C3">
        <w:rPr>
          <w:lang w:val="fr-CH"/>
        </w:rPr>
        <w:t>cinqu</w:t>
      </w:r>
      <w:r w:rsidR="00E65D68">
        <w:rPr>
          <w:lang w:val="fr-CH"/>
        </w:rPr>
        <w:t>ième session</w:t>
      </w:r>
      <w:r w:rsidRPr="004369C3">
        <w:rPr>
          <w:lang w:val="fr-CH"/>
        </w:rPr>
        <w:t>, organisée par la Turquie par voie électronique du 3 au 7 mai 2021.</w:t>
      </w:r>
    </w:p>
  </w:footnote>
  <w:footnote w:id="3">
    <w:p w:rsidR="000A0105" w:rsidRPr="004369C3" w:rsidRDefault="000A0105" w:rsidP="00811177">
      <w:pPr>
        <w:pStyle w:val="FootnoteText"/>
        <w:rPr>
          <w:lang w:val="fr-CH"/>
        </w:rPr>
      </w:pPr>
      <w:r w:rsidRPr="004369C3">
        <w:rPr>
          <w:rStyle w:val="FootnoteReference"/>
        </w:rPr>
        <w:footnoteRef/>
      </w:r>
      <w:r w:rsidRPr="004369C3">
        <w:rPr>
          <w:lang w:val="fr-CH"/>
        </w:rPr>
        <w:t xml:space="preserve"> </w:t>
      </w:r>
      <w:r w:rsidRPr="004369C3">
        <w:rPr>
          <w:lang w:val="fr-CH"/>
        </w:rPr>
        <w:tab/>
        <w:t>À sa cinquante</w:t>
      </w:r>
      <w:r w:rsidR="00E65D68">
        <w:rPr>
          <w:lang w:val="fr-CH"/>
        </w:rPr>
        <w:t>-</w:t>
      </w:r>
      <w:r w:rsidRPr="004369C3">
        <w:rPr>
          <w:lang w:val="fr-CH"/>
        </w:rPr>
        <w:t>trois</w:t>
      </w:r>
      <w:r w:rsidR="00E65D68">
        <w:rPr>
          <w:lang w:val="fr-CH"/>
        </w:rPr>
        <w:t>ième session</w:t>
      </w:r>
      <w:r w:rsidRPr="004369C3">
        <w:rPr>
          <w:lang w:val="fr-CH"/>
        </w:rPr>
        <w:t>, organisée par les Pays</w:t>
      </w:r>
      <w:r w:rsidR="00E65D68">
        <w:rPr>
          <w:lang w:val="fr-CH"/>
        </w:rPr>
        <w:t>-</w:t>
      </w:r>
      <w:r w:rsidRPr="004369C3">
        <w:rPr>
          <w:lang w:val="fr-CH"/>
        </w:rPr>
        <w:t>Bas par voie électronique du 7 au 11 juin 2021.</w:t>
      </w:r>
    </w:p>
  </w:footnote>
  <w:footnote w:id="4">
    <w:p w:rsidR="000A0105" w:rsidRPr="004369C3" w:rsidRDefault="000A0105" w:rsidP="00811177">
      <w:pPr>
        <w:pStyle w:val="FootnoteText"/>
        <w:rPr>
          <w:lang w:val="fr-CH"/>
        </w:rPr>
      </w:pPr>
      <w:r w:rsidRPr="004369C3">
        <w:rPr>
          <w:rStyle w:val="FootnoteReference"/>
        </w:rPr>
        <w:footnoteRef/>
      </w:r>
      <w:r w:rsidRPr="004369C3">
        <w:rPr>
          <w:lang w:val="fr-CH"/>
        </w:rPr>
        <w:t xml:space="preserve"> </w:t>
      </w:r>
      <w:r w:rsidRPr="004369C3">
        <w:rPr>
          <w:lang w:val="fr-CH"/>
        </w:rPr>
        <w:tab/>
        <w:t>À sa cinquant</w:t>
      </w:r>
      <w:r w:rsidR="00E65D68">
        <w:rPr>
          <w:lang w:val="fr-CH"/>
        </w:rPr>
        <w:t>ième session</w:t>
      </w:r>
      <w:r w:rsidRPr="004369C3">
        <w:rPr>
          <w:lang w:val="fr-CH"/>
        </w:rPr>
        <w:t>, organisée par la République</w:t>
      </w:r>
      <w:r w:rsidR="00E65D68">
        <w:rPr>
          <w:lang w:val="fr-CH"/>
        </w:rPr>
        <w:t>-</w:t>
      </w:r>
      <w:r w:rsidRPr="004369C3">
        <w:rPr>
          <w:lang w:val="fr-CH"/>
        </w:rPr>
        <w:t>Unie de Tanzanie par voie électronique du 21 au 25 juin 2021.</w:t>
      </w:r>
    </w:p>
  </w:footnote>
  <w:footnote w:id="5">
    <w:p w:rsidR="000A0105" w:rsidRPr="004369C3" w:rsidRDefault="000A0105" w:rsidP="00811177">
      <w:pPr>
        <w:pStyle w:val="FootnoteText"/>
        <w:rPr>
          <w:lang w:val="fr-CH"/>
        </w:rPr>
      </w:pPr>
      <w:r w:rsidRPr="004369C3">
        <w:rPr>
          <w:rStyle w:val="FootnoteReference"/>
        </w:rPr>
        <w:footnoteRef/>
      </w:r>
      <w:r w:rsidRPr="004369C3">
        <w:rPr>
          <w:lang w:val="fr-CH"/>
        </w:rPr>
        <w:t xml:space="preserve"> </w:t>
      </w:r>
      <w:r w:rsidRPr="004369C3">
        <w:rPr>
          <w:lang w:val="fr-CH"/>
        </w:rPr>
        <w:tab/>
        <w:t>À sa cinquante</w:t>
      </w:r>
      <w:r w:rsidR="00E65D68">
        <w:rPr>
          <w:lang w:val="fr-CH"/>
        </w:rPr>
        <w:t>-</w:t>
      </w:r>
      <w:r w:rsidRPr="004369C3">
        <w:rPr>
          <w:lang w:val="fr-CH"/>
        </w:rPr>
        <w:t>deux</w:t>
      </w:r>
      <w:r w:rsidR="00E65D68">
        <w:rPr>
          <w:lang w:val="fr-CH"/>
        </w:rPr>
        <w:t>ième session</w:t>
      </w:r>
      <w:r w:rsidRPr="004369C3">
        <w:rPr>
          <w:lang w:val="fr-CH"/>
        </w:rPr>
        <w:t>, organisée par la Chine par voie électronique du 12 au 16 juillet 2021.</w:t>
      </w:r>
    </w:p>
  </w:footnote>
  <w:footnote w:id="6">
    <w:p w:rsidR="000A0105" w:rsidRPr="004369C3" w:rsidRDefault="000A0105" w:rsidP="00811177">
      <w:pPr>
        <w:pStyle w:val="FootnoteText"/>
        <w:rPr>
          <w:lang w:val="fr-CH"/>
        </w:rPr>
      </w:pPr>
      <w:r w:rsidRPr="004369C3">
        <w:rPr>
          <w:rStyle w:val="FootnoteReference"/>
        </w:rPr>
        <w:footnoteRef/>
      </w:r>
      <w:r w:rsidRPr="004369C3">
        <w:rPr>
          <w:lang w:val="fr-CH"/>
        </w:rPr>
        <w:t xml:space="preserve"> </w:t>
      </w:r>
      <w:r w:rsidRPr="004369C3">
        <w:rPr>
          <w:lang w:val="fr-CH"/>
        </w:rPr>
        <w:tab/>
        <w:t>À sa trente</w:t>
      </w:r>
      <w:r w:rsidR="00E65D68">
        <w:rPr>
          <w:lang w:val="fr-CH"/>
        </w:rPr>
        <w:t>-</w:t>
      </w:r>
      <w:r w:rsidRPr="004369C3">
        <w:rPr>
          <w:lang w:val="fr-CH"/>
        </w:rPr>
        <w:t>neuv</w:t>
      </w:r>
      <w:r w:rsidR="00E65D68">
        <w:rPr>
          <w:lang w:val="fr-CH"/>
        </w:rPr>
        <w:t>ième session</w:t>
      </w:r>
      <w:r w:rsidRPr="004369C3">
        <w:rPr>
          <w:lang w:val="fr-CH"/>
        </w:rPr>
        <w:t xml:space="preserve">, organisée </w:t>
      </w:r>
      <w:r>
        <w:rPr>
          <w:lang w:val="fr-CH"/>
        </w:rPr>
        <w:t>par les</w:t>
      </w:r>
      <w:r w:rsidRPr="004369C3">
        <w:rPr>
          <w:lang w:val="fr-CH"/>
        </w:rPr>
        <w:t xml:space="preserve"> États</w:t>
      </w:r>
      <w:r w:rsidR="00E65D68">
        <w:rPr>
          <w:lang w:val="fr-CH"/>
        </w:rPr>
        <w:t>-</w:t>
      </w:r>
      <w:r w:rsidRPr="004369C3">
        <w:rPr>
          <w:lang w:val="fr-CH"/>
        </w:rPr>
        <w:t>Unis d</w:t>
      </w:r>
      <w:r w:rsidR="00E65D68">
        <w:rPr>
          <w:lang w:val="fr-CH"/>
        </w:rPr>
        <w:t>’</w:t>
      </w:r>
      <w:r w:rsidRPr="004369C3">
        <w:rPr>
          <w:lang w:val="fr-CH"/>
        </w:rPr>
        <w:t xml:space="preserve">Amérique par </w:t>
      </w:r>
      <w:r>
        <w:rPr>
          <w:lang w:val="fr-CH"/>
        </w:rPr>
        <w:t>voie électronique</w:t>
      </w:r>
      <w:r w:rsidRPr="004369C3">
        <w:rPr>
          <w:lang w:val="fr-CH"/>
        </w:rPr>
        <w:t xml:space="preserve"> du 20 au 22 septembre 2021.</w:t>
      </w:r>
    </w:p>
  </w:footnote>
  <w:footnote w:id="7">
    <w:p w:rsidR="000A0105" w:rsidRPr="004369C3" w:rsidRDefault="000A0105" w:rsidP="00811177">
      <w:pPr>
        <w:pStyle w:val="FootnoteText"/>
        <w:rPr>
          <w:lang w:val="fr-CH"/>
        </w:rPr>
      </w:pPr>
      <w:r w:rsidRPr="004369C3">
        <w:rPr>
          <w:rStyle w:val="FootnoteReference"/>
        </w:rPr>
        <w:footnoteRef/>
      </w:r>
      <w:r w:rsidRPr="004369C3">
        <w:rPr>
          <w:lang w:val="fr-CH"/>
        </w:rPr>
        <w:t xml:space="preserve"> </w:t>
      </w:r>
      <w:r w:rsidRPr="004369C3">
        <w:rPr>
          <w:lang w:val="fr-CH"/>
        </w:rPr>
        <w:tab/>
        <w:t>Organisée aux États</w:t>
      </w:r>
      <w:r w:rsidR="00E65D68">
        <w:rPr>
          <w:lang w:val="fr-CH"/>
        </w:rPr>
        <w:t>-</w:t>
      </w:r>
      <w:r w:rsidRPr="004369C3">
        <w:rPr>
          <w:lang w:val="fr-CH"/>
        </w:rPr>
        <w:t>Unis d</w:t>
      </w:r>
      <w:r w:rsidR="00E65D68">
        <w:rPr>
          <w:lang w:val="fr-CH"/>
        </w:rPr>
        <w:t>’</w:t>
      </w:r>
      <w:r w:rsidRPr="004369C3">
        <w:rPr>
          <w:lang w:val="fr-CH"/>
        </w:rPr>
        <w:t>Amérique par voie électronique du 22 au 24 septembre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A6F" w:rsidRPr="00961945" w:rsidRDefault="002F6A6F" w:rsidP="002F6A6F">
    <w:pPr>
      <w:pStyle w:val="Header"/>
      <w:rPr>
        <w:rStyle w:val="PageNumber"/>
        <w:lang w:val="fr-CH"/>
      </w:rPr>
    </w:pPr>
    <w:r w:rsidRPr="00961945">
      <w:rPr>
        <w:rStyle w:val="PageNumber"/>
        <w:lang w:val="fr-CH"/>
      </w:rPr>
      <w:t>T</w:t>
    </w:r>
    <w:r>
      <w:rPr>
        <w:rStyle w:val="PageNumber"/>
        <w:lang w:val="fr-CH"/>
      </w:rPr>
      <w:t>C</w:t>
    </w:r>
    <w:r w:rsidRPr="00961945">
      <w:rPr>
        <w:rStyle w:val="PageNumber"/>
        <w:lang w:val="fr-CH"/>
      </w:rPr>
      <w:t>/57</w:t>
    </w:r>
    <w:r>
      <w:rPr>
        <w:rStyle w:val="PageNumber"/>
        <w:lang w:val="fr-CH"/>
      </w:rPr>
      <w:t>/8 Add.</w:t>
    </w:r>
  </w:p>
  <w:p w:rsidR="002F6A6F" w:rsidRDefault="002F6A6F" w:rsidP="002F6A6F">
    <w:pPr>
      <w:pStyle w:val="Header"/>
      <w:spacing w:after="220"/>
      <w:rPr>
        <w:rStyle w:val="PageNumber"/>
        <w:lang w:val="en-US"/>
      </w:rPr>
    </w:pPr>
    <w:r w:rsidRPr="00961945">
      <w:rPr>
        <w:lang w:val="fr-CH"/>
      </w:rPr>
      <w:t>page</w:t>
    </w:r>
    <w:r>
      <w:rPr>
        <w:lang w:val="fr-CH"/>
      </w:rPr>
      <w:t> </w:t>
    </w:r>
    <w:r w:rsidRPr="00C5280D">
      <w:rPr>
        <w:rStyle w:val="PageNumber"/>
        <w:lang w:val="en-US"/>
      </w:rPr>
      <w:fldChar w:fldCharType="begin"/>
    </w:r>
    <w:r w:rsidRPr="00961945">
      <w:rPr>
        <w:rStyle w:val="PageNumber"/>
        <w:lang w:val="fr-CH"/>
      </w:rPr>
      <w:instrText xml:space="preserve"> PAGE </w:instrText>
    </w:r>
    <w:r w:rsidRPr="00C5280D">
      <w:rPr>
        <w:rStyle w:val="PageNumber"/>
        <w:lang w:val="en-US"/>
      </w:rPr>
      <w:fldChar w:fldCharType="separate"/>
    </w:r>
    <w:r w:rsidR="00F346D6">
      <w:rPr>
        <w:rStyle w:val="PageNumber"/>
        <w:noProof/>
        <w:lang w:val="fr-CH"/>
      </w:rPr>
      <w:t>4</w:t>
    </w:r>
    <w:r w:rsidRPr="00C5280D">
      <w:rPr>
        <w:rStyle w:val="PageNumber"/>
        <w:lang w:val="en-US"/>
      </w:rPr>
      <w:fldChar w:fldCharType="end"/>
    </w:r>
  </w:p>
  <w:p w:rsidR="002F6A6F" w:rsidRPr="00961945" w:rsidRDefault="002F6A6F" w:rsidP="002F6A6F">
    <w:pPr>
      <w:pStyle w:val="BodyText"/>
      <w:spacing w:line="14" w:lineRule="auto"/>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105" w:rsidRPr="00961945" w:rsidRDefault="000A0105" w:rsidP="000F467F">
    <w:pPr>
      <w:pStyle w:val="Header"/>
      <w:rPr>
        <w:rStyle w:val="PageNumber"/>
        <w:lang w:val="fr-CH"/>
      </w:rPr>
    </w:pPr>
    <w:r w:rsidRPr="00961945">
      <w:rPr>
        <w:rStyle w:val="PageNumber"/>
        <w:lang w:val="fr-CH"/>
      </w:rPr>
      <w:t>T</w:t>
    </w:r>
    <w:r>
      <w:rPr>
        <w:rStyle w:val="PageNumber"/>
        <w:lang w:val="fr-CH"/>
      </w:rPr>
      <w:t>C</w:t>
    </w:r>
    <w:r w:rsidRPr="00961945">
      <w:rPr>
        <w:rStyle w:val="PageNumber"/>
        <w:lang w:val="fr-CH"/>
      </w:rPr>
      <w:t>/57</w:t>
    </w:r>
    <w:r>
      <w:rPr>
        <w:rStyle w:val="PageNumber"/>
        <w:lang w:val="fr-CH"/>
      </w:rPr>
      <w:t>/8 Add.</w:t>
    </w:r>
  </w:p>
  <w:p w:rsidR="000A0105" w:rsidRDefault="000A0105" w:rsidP="000F467F">
    <w:pPr>
      <w:pStyle w:val="Header"/>
      <w:rPr>
        <w:rStyle w:val="PageNumber"/>
        <w:lang w:val="en-US"/>
      </w:rPr>
    </w:pPr>
    <w:r w:rsidRPr="00961945">
      <w:rPr>
        <w:lang w:val="fr-CH"/>
      </w:rPr>
      <w:t>page</w:t>
    </w:r>
    <w:r w:rsidR="00B901C0">
      <w:rPr>
        <w:lang w:val="fr-CH"/>
      </w:rPr>
      <w:t> </w:t>
    </w:r>
    <w:r w:rsidRPr="00C5280D">
      <w:rPr>
        <w:rStyle w:val="PageNumber"/>
        <w:lang w:val="en-US"/>
      </w:rPr>
      <w:fldChar w:fldCharType="begin"/>
    </w:r>
    <w:r w:rsidRPr="00961945">
      <w:rPr>
        <w:rStyle w:val="PageNumber"/>
        <w:lang w:val="fr-CH"/>
      </w:rPr>
      <w:instrText xml:space="preserve"> PAGE </w:instrText>
    </w:r>
    <w:r w:rsidRPr="00C5280D">
      <w:rPr>
        <w:rStyle w:val="PageNumber"/>
        <w:lang w:val="en-US"/>
      </w:rPr>
      <w:fldChar w:fldCharType="separate"/>
    </w:r>
    <w:r w:rsidR="00F346D6">
      <w:rPr>
        <w:rStyle w:val="PageNumber"/>
        <w:noProof/>
        <w:lang w:val="fr-CH"/>
      </w:rPr>
      <w:t>5</w:t>
    </w:r>
    <w:r w:rsidRPr="00C5280D">
      <w:rPr>
        <w:rStyle w:val="PageNumber"/>
        <w:lang w:val="en-US"/>
      </w:rPr>
      <w:fldChar w:fldCharType="end"/>
    </w:r>
  </w:p>
  <w:p w:rsidR="000A0105" w:rsidRDefault="000A0105" w:rsidP="000F467F">
    <w:pPr>
      <w:pStyle w:val="Header"/>
    </w:pPr>
  </w:p>
  <w:p w:rsidR="000A0105" w:rsidRPr="00961945" w:rsidRDefault="000A0105">
    <w:pPr>
      <w:pStyle w:val="BodyText"/>
      <w:spacing w:line="14" w:lineRule="auto"/>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A6F" w:rsidRPr="00C5280D" w:rsidRDefault="002F6A6F" w:rsidP="002F6A6F">
    <w:pPr>
      <w:pStyle w:val="Header"/>
      <w:rPr>
        <w:rStyle w:val="PageNumber"/>
        <w:lang w:val="en-US"/>
      </w:rPr>
    </w:pPr>
    <w:r>
      <w:rPr>
        <w:rStyle w:val="PageNumber"/>
        <w:lang w:val="en-US"/>
      </w:rPr>
      <w:t>TC/57/8 Add.</w:t>
    </w:r>
  </w:p>
  <w:p w:rsidR="002F6A6F" w:rsidRPr="00C5280D" w:rsidRDefault="002F6A6F" w:rsidP="002F6A6F">
    <w:pPr>
      <w:pStyle w:val="Header"/>
      <w:rPr>
        <w:lang w:val="en-US"/>
      </w:rPr>
    </w:pPr>
    <w:r>
      <w:rPr>
        <w:lang w:val="en-US"/>
      </w:rPr>
      <w:t xml:space="preserve">Annexe,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91E7F">
      <w:rPr>
        <w:rStyle w:val="PageNumber"/>
        <w:noProof/>
        <w:lang w:val="en-US"/>
      </w:rPr>
      <w:t>2</w:t>
    </w:r>
    <w:r w:rsidRPr="00C5280D">
      <w:rPr>
        <w:rStyle w:val="PageNumber"/>
        <w:lang w:val="en-US"/>
      </w:rPr>
      <w:fldChar w:fldCharType="end"/>
    </w:r>
  </w:p>
  <w:p w:rsidR="002F6A6F" w:rsidRPr="00C5280D" w:rsidRDefault="002F6A6F" w:rsidP="002F6A6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105" w:rsidRPr="00C5280D" w:rsidRDefault="000A0105" w:rsidP="00EB048E">
    <w:pPr>
      <w:pStyle w:val="Header"/>
      <w:rPr>
        <w:rStyle w:val="PageNumber"/>
        <w:lang w:val="en-US"/>
      </w:rPr>
    </w:pPr>
    <w:r>
      <w:rPr>
        <w:rStyle w:val="PageNumber"/>
        <w:lang w:val="en-US"/>
      </w:rPr>
      <w:t>TC/57/8 Add.</w:t>
    </w:r>
  </w:p>
  <w:p w:rsidR="000A0105" w:rsidRPr="00C5280D" w:rsidRDefault="000A0105" w:rsidP="00EB048E">
    <w:pPr>
      <w:pStyle w:val="Header"/>
      <w:rPr>
        <w:lang w:val="en-US"/>
      </w:rPr>
    </w:pPr>
    <w:r>
      <w:rPr>
        <w:lang w:val="en-US"/>
      </w:rPr>
      <w:t xml:space="preserve">Annexe,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956C2">
      <w:rPr>
        <w:rStyle w:val="PageNumber"/>
        <w:noProof/>
        <w:lang w:val="en-US"/>
      </w:rPr>
      <w:t>2</w:t>
    </w:r>
    <w:r w:rsidRPr="00C5280D">
      <w:rPr>
        <w:rStyle w:val="PageNumber"/>
        <w:lang w:val="en-US"/>
      </w:rPr>
      <w:fldChar w:fldCharType="end"/>
    </w:r>
  </w:p>
  <w:p w:rsidR="000A0105" w:rsidRPr="00C5280D" w:rsidRDefault="000A0105"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105" w:rsidRDefault="000A0105" w:rsidP="00901731">
    <w:pPr>
      <w:pStyle w:val="Header"/>
      <w:rPr>
        <w:lang w:val="fr-CH"/>
      </w:rPr>
    </w:pPr>
    <w:r>
      <w:rPr>
        <w:lang w:val="fr-CH"/>
      </w:rPr>
      <w:t>TC/57/8 Add.</w:t>
    </w:r>
  </w:p>
  <w:p w:rsidR="000A0105" w:rsidRDefault="000A0105" w:rsidP="00901731">
    <w:pPr>
      <w:pStyle w:val="Header"/>
      <w:rPr>
        <w:lang w:val="fr-CH"/>
      </w:rPr>
    </w:pPr>
  </w:p>
  <w:p w:rsidR="000A0105" w:rsidRDefault="000A0105" w:rsidP="00901731">
    <w:pPr>
      <w:pStyle w:val="Header"/>
      <w:rPr>
        <w:lang w:val="fr-CH"/>
      </w:rPr>
    </w:pPr>
    <w:r>
      <w:rPr>
        <w:lang w:val="fr-CH"/>
      </w:rPr>
      <w:t>ANNEXE</w:t>
    </w:r>
  </w:p>
  <w:p w:rsidR="000A0105" w:rsidRPr="000A0105" w:rsidRDefault="000A0105" w:rsidP="00901731">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71AFF"/>
    <w:multiLevelType w:val="hybridMultilevel"/>
    <w:tmpl w:val="86C255E8"/>
    <w:lvl w:ilvl="0" w:tplc="04090001">
      <w:start w:val="1"/>
      <w:numFmt w:val="bullet"/>
      <w:lvlText w:val=""/>
      <w:lvlJc w:val="left"/>
      <w:pPr>
        <w:ind w:left="720" w:hanging="360"/>
      </w:pPr>
      <w:rPr>
        <w:rFonts w:ascii="Symbol" w:hAnsi="Symbol" w:hint="default"/>
      </w:rPr>
    </w:lvl>
    <w:lvl w:ilvl="1" w:tplc="1CC28B6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435BD"/>
    <w:multiLevelType w:val="hybridMultilevel"/>
    <w:tmpl w:val="219492CC"/>
    <w:lvl w:ilvl="0" w:tplc="04090017">
      <w:start w:val="1"/>
      <w:numFmt w:val="lowerLetter"/>
      <w:lvlText w:val="%1)"/>
      <w:lvlJc w:val="left"/>
      <w:pPr>
        <w:ind w:left="5440" w:hanging="360"/>
      </w:pPr>
      <w:rPr>
        <w:rFonts w:hint="default"/>
      </w:rPr>
    </w:lvl>
    <w:lvl w:ilvl="1" w:tplc="04090019">
      <w:start w:val="1"/>
      <w:numFmt w:val="lowerLetter"/>
      <w:lvlText w:val="%2."/>
      <w:lvlJc w:val="left"/>
      <w:pPr>
        <w:ind w:left="6160" w:hanging="360"/>
      </w:pPr>
    </w:lvl>
    <w:lvl w:ilvl="2" w:tplc="0409001B" w:tentative="1">
      <w:start w:val="1"/>
      <w:numFmt w:val="lowerRoman"/>
      <w:lvlText w:val="%3."/>
      <w:lvlJc w:val="right"/>
      <w:pPr>
        <w:ind w:left="6880" w:hanging="180"/>
      </w:pPr>
    </w:lvl>
    <w:lvl w:ilvl="3" w:tplc="0409000F" w:tentative="1">
      <w:start w:val="1"/>
      <w:numFmt w:val="decimal"/>
      <w:lvlText w:val="%4."/>
      <w:lvlJc w:val="left"/>
      <w:pPr>
        <w:ind w:left="7600" w:hanging="360"/>
      </w:pPr>
    </w:lvl>
    <w:lvl w:ilvl="4" w:tplc="04090019" w:tentative="1">
      <w:start w:val="1"/>
      <w:numFmt w:val="lowerLetter"/>
      <w:lvlText w:val="%5."/>
      <w:lvlJc w:val="left"/>
      <w:pPr>
        <w:ind w:left="8320" w:hanging="360"/>
      </w:pPr>
    </w:lvl>
    <w:lvl w:ilvl="5" w:tplc="0409001B" w:tentative="1">
      <w:start w:val="1"/>
      <w:numFmt w:val="lowerRoman"/>
      <w:lvlText w:val="%6."/>
      <w:lvlJc w:val="right"/>
      <w:pPr>
        <w:ind w:left="9040" w:hanging="180"/>
      </w:pPr>
    </w:lvl>
    <w:lvl w:ilvl="6" w:tplc="0409000F" w:tentative="1">
      <w:start w:val="1"/>
      <w:numFmt w:val="decimal"/>
      <w:lvlText w:val="%7."/>
      <w:lvlJc w:val="left"/>
      <w:pPr>
        <w:ind w:left="9760" w:hanging="360"/>
      </w:pPr>
    </w:lvl>
    <w:lvl w:ilvl="7" w:tplc="04090019" w:tentative="1">
      <w:start w:val="1"/>
      <w:numFmt w:val="lowerLetter"/>
      <w:lvlText w:val="%8."/>
      <w:lvlJc w:val="left"/>
      <w:pPr>
        <w:ind w:left="10480" w:hanging="360"/>
      </w:pPr>
    </w:lvl>
    <w:lvl w:ilvl="8" w:tplc="0409001B" w:tentative="1">
      <w:start w:val="1"/>
      <w:numFmt w:val="lowerRoman"/>
      <w:lvlText w:val="%9."/>
      <w:lvlJc w:val="right"/>
      <w:pPr>
        <w:ind w:left="11200" w:hanging="180"/>
      </w:pPr>
    </w:lvl>
  </w:abstractNum>
  <w:abstractNum w:abstractNumId="2" w15:restartNumberingAfterBreak="0">
    <w:nsid w:val="3ED6635A"/>
    <w:multiLevelType w:val="hybridMultilevel"/>
    <w:tmpl w:val="6B96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92688"/>
    <w:multiLevelType w:val="hybridMultilevel"/>
    <w:tmpl w:val="C2B2C2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122C42"/>
    <w:multiLevelType w:val="hybridMultilevel"/>
    <w:tmpl w:val="143479F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xUPOV LDTERM"/>
    <w:docVar w:name="TermBaseURL" w:val="empty"/>
    <w:docVar w:name="TextBases" w:val="TextBase TMs\WorkspaceFTS\UPOV\TGs|TextBase TMs\WorkspaceFTS\UPOV\UPOV"/>
    <w:docVar w:name="TextBaseURL" w:val="empty"/>
    <w:docVar w:name="UILng" w:val="en"/>
  </w:docVars>
  <w:rsids>
    <w:rsidRoot w:val="00E705BD"/>
    <w:rsid w:val="00010CF3"/>
    <w:rsid w:val="00011E27"/>
    <w:rsid w:val="000148BC"/>
    <w:rsid w:val="00024AB8"/>
    <w:rsid w:val="00027994"/>
    <w:rsid w:val="00030854"/>
    <w:rsid w:val="00036028"/>
    <w:rsid w:val="00044642"/>
    <w:rsid w:val="000446B9"/>
    <w:rsid w:val="00047E21"/>
    <w:rsid w:val="00050E16"/>
    <w:rsid w:val="00074830"/>
    <w:rsid w:val="00085505"/>
    <w:rsid w:val="00090FB7"/>
    <w:rsid w:val="000A0105"/>
    <w:rsid w:val="000C4E25"/>
    <w:rsid w:val="000C7021"/>
    <w:rsid w:val="000D6BBC"/>
    <w:rsid w:val="000D7780"/>
    <w:rsid w:val="000E3068"/>
    <w:rsid w:val="000E636A"/>
    <w:rsid w:val="000F2F11"/>
    <w:rsid w:val="000F467F"/>
    <w:rsid w:val="00105929"/>
    <w:rsid w:val="00110C36"/>
    <w:rsid w:val="001131D5"/>
    <w:rsid w:val="00113F64"/>
    <w:rsid w:val="0013120C"/>
    <w:rsid w:val="00141DB8"/>
    <w:rsid w:val="00155E15"/>
    <w:rsid w:val="001666D9"/>
    <w:rsid w:val="00172084"/>
    <w:rsid w:val="0017474A"/>
    <w:rsid w:val="001758C6"/>
    <w:rsid w:val="00182B99"/>
    <w:rsid w:val="001B61F0"/>
    <w:rsid w:val="001C1F2F"/>
    <w:rsid w:val="001E3E57"/>
    <w:rsid w:val="001F3D68"/>
    <w:rsid w:val="002030BA"/>
    <w:rsid w:val="0021332C"/>
    <w:rsid w:val="00213982"/>
    <w:rsid w:val="0024416D"/>
    <w:rsid w:val="00264DAB"/>
    <w:rsid w:val="00271911"/>
    <w:rsid w:val="002800A0"/>
    <w:rsid w:val="002801B3"/>
    <w:rsid w:val="00281060"/>
    <w:rsid w:val="002940E8"/>
    <w:rsid w:val="00294751"/>
    <w:rsid w:val="002A6E50"/>
    <w:rsid w:val="002B4298"/>
    <w:rsid w:val="002C256A"/>
    <w:rsid w:val="002F6A6F"/>
    <w:rsid w:val="002F79CA"/>
    <w:rsid w:val="00305A7F"/>
    <w:rsid w:val="003152FE"/>
    <w:rsid w:val="00327436"/>
    <w:rsid w:val="00337C0A"/>
    <w:rsid w:val="00344BD6"/>
    <w:rsid w:val="0035084F"/>
    <w:rsid w:val="0035528D"/>
    <w:rsid w:val="00361821"/>
    <w:rsid w:val="00361E9E"/>
    <w:rsid w:val="003A2160"/>
    <w:rsid w:val="003C7FBE"/>
    <w:rsid w:val="003D227C"/>
    <w:rsid w:val="003D2B4D"/>
    <w:rsid w:val="0040557F"/>
    <w:rsid w:val="00424B2B"/>
    <w:rsid w:val="004369C3"/>
    <w:rsid w:val="00444A88"/>
    <w:rsid w:val="00474DA4"/>
    <w:rsid w:val="00476B4D"/>
    <w:rsid w:val="004805FA"/>
    <w:rsid w:val="00484441"/>
    <w:rsid w:val="004935D2"/>
    <w:rsid w:val="004B1215"/>
    <w:rsid w:val="004D047D"/>
    <w:rsid w:val="004F1E9E"/>
    <w:rsid w:val="004F305A"/>
    <w:rsid w:val="004F70D4"/>
    <w:rsid w:val="00512164"/>
    <w:rsid w:val="00520297"/>
    <w:rsid w:val="005338F9"/>
    <w:rsid w:val="0054281C"/>
    <w:rsid w:val="00544581"/>
    <w:rsid w:val="00545E42"/>
    <w:rsid w:val="0055268D"/>
    <w:rsid w:val="00560D21"/>
    <w:rsid w:val="00576BE4"/>
    <w:rsid w:val="00587BEA"/>
    <w:rsid w:val="005929CF"/>
    <w:rsid w:val="005A400A"/>
    <w:rsid w:val="005C4467"/>
    <w:rsid w:val="005F1500"/>
    <w:rsid w:val="005F7B92"/>
    <w:rsid w:val="00612379"/>
    <w:rsid w:val="006153B6"/>
    <w:rsid w:val="0061555F"/>
    <w:rsid w:val="00636CA6"/>
    <w:rsid w:val="0064032C"/>
    <w:rsid w:val="00641200"/>
    <w:rsid w:val="00645CA8"/>
    <w:rsid w:val="006633BE"/>
    <w:rsid w:val="006655D3"/>
    <w:rsid w:val="00667404"/>
    <w:rsid w:val="00687EB4"/>
    <w:rsid w:val="00693B13"/>
    <w:rsid w:val="00695C56"/>
    <w:rsid w:val="006A5CDE"/>
    <w:rsid w:val="006A644A"/>
    <w:rsid w:val="006B17D2"/>
    <w:rsid w:val="006B5204"/>
    <w:rsid w:val="006C224E"/>
    <w:rsid w:val="006D780A"/>
    <w:rsid w:val="006E01E0"/>
    <w:rsid w:val="006E0A0F"/>
    <w:rsid w:val="0071271E"/>
    <w:rsid w:val="00732DEC"/>
    <w:rsid w:val="00735BD5"/>
    <w:rsid w:val="00747EEE"/>
    <w:rsid w:val="00751613"/>
    <w:rsid w:val="007556F6"/>
    <w:rsid w:val="00760EEF"/>
    <w:rsid w:val="00777EE5"/>
    <w:rsid w:val="00784836"/>
    <w:rsid w:val="0079023E"/>
    <w:rsid w:val="00790695"/>
    <w:rsid w:val="007A2854"/>
    <w:rsid w:val="007B33E1"/>
    <w:rsid w:val="007C1D92"/>
    <w:rsid w:val="007C4CB9"/>
    <w:rsid w:val="007D0B9D"/>
    <w:rsid w:val="007D19B0"/>
    <w:rsid w:val="007F498F"/>
    <w:rsid w:val="00804018"/>
    <w:rsid w:val="0080679D"/>
    <w:rsid w:val="008108B0"/>
    <w:rsid w:val="00811177"/>
    <w:rsid w:val="00811B20"/>
    <w:rsid w:val="008211B5"/>
    <w:rsid w:val="0082296E"/>
    <w:rsid w:val="00824099"/>
    <w:rsid w:val="00826656"/>
    <w:rsid w:val="00843B30"/>
    <w:rsid w:val="00846D7C"/>
    <w:rsid w:val="00864C55"/>
    <w:rsid w:val="00867AC1"/>
    <w:rsid w:val="00876C92"/>
    <w:rsid w:val="00890DF8"/>
    <w:rsid w:val="00892780"/>
    <w:rsid w:val="00897A4D"/>
    <w:rsid w:val="008A743F"/>
    <w:rsid w:val="008C0451"/>
    <w:rsid w:val="008C0970"/>
    <w:rsid w:val="008D0BC5"/>
    <w:rsid w:val="008D2CF7"/>
    <w:rsid w:val="008F2C0F"/>
    <w:rsid w:val="00900C26"/>
    <w:rsid w:val="00901731"/>
    <w:rsid w:val="0090197F"/>
    <w:rsid w:val="00906DDC"/>
    <w:rsid w:val="009104CD"/>
    <w:rsid w:val="009255AD"/>
    <w:rsid w:val="00934E09"/>
    <w:rsid w:val="00936253"/>
    <w:rsid w:val="00940D46"/>
    <w:rsid w:val="00952DD4"/>
    <w:rsid w:val="00965AE7"/>
    <w:rsid w:val="009668A6"/>
    <w:rsid w:val="00970FED"/>
    <w:rsid w:val="00992D82"/>
    <w:rsid w:val="00997029"/>
    <w:rsid w:val="009A7339"/>
    <w:rsid w:val="009B440E"/>
    <w:rsid w:val="009D690D"/>
    <w:rsid w:val="009E65B6"/>
    <w:rsid w:val="00A2300A"/>
    <w:rsid w:val="00A24C10"/>
    <w:rsid w:val="00A42AC3"/>
    <w:rsid w:val="00A430CF"/>
    <w:rsid w:val="00A5078B"/>
    <w:rsid w:val="00A54309"/>
    <w:rsid w:val="00A57C5C"/>
    <w:rsid w:val="00A706D3"/>
    <w:rsid w:val="00AB2B93"/>
    <w:rsid w:val="00AB530F"/>
    <w:rsid w:val="00AB7E5B"/>
    <w:rsid w:val="00AC2883"/>
    <w:rsid w:val="00AE0EF1"/>
    <w:rsid w:val="00AE2937"/>
    <w:rsid w:val="00B05F03"/>
    <w:rsid w:val="00B07301"/>
    <w:rsid w:val="00B11F3E"/>
    <w:rsid w:val="00B224DE"/>
    <w:rsid w:val="00B324D4"/>
    <w:rsid w:val="00B46575"/>
    <w:rsid w:val="00B61777"/>
    <w:rsid w:val="00B84BBD"/>
    <w:rsid w:val="00B901C0"/>
    <w:rsid w:val="00B91E7F"/>
    <w:rsid w:val="00BA43FB"/>
    <w:rsid w:val="00BA73B2"/>
    <w:rsid w:val="00BC127D"/>
    <w:rsid w:val="00BC1FE6"/>
    <w:rsid w:val="00BE269B"/>
    <w:rsid w:val="00C04540"/>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C40C2"/>
    <w:rsid w:val="00CF1330"/>
    <w:rsid w:val="00CF7E36"/>
    <w:rsid w:val="00D2510D"/>
    <w:rsid w:val="00D3708D"/>
    <w:rsid w:val="00D40426"/>
    <w:rsid w:val="00D57C96"/>
    <w:rsid w:val="00D57D18"/>
    <w:rsid w:val="00D81784"/>
    <w:rsid w:val="00D91203"/>
    <w:rsid w:val="00D95174"/>
    <w:rsid w:val="00D9562C"/>
    <w:rsid w:val="00DA4973"/>
    <w:rsid w:val="00DA5678"/>
    <w:rsid w:val="00DA6F36"/>
    <w:rsid w:val="00DB596E"/>
    <w:rsid w:val="00DB7773"/>
    <w:rsid w:val="00DC00EA"/>
    <w:rsid w:val="00DC3802"/>
    <w:rsid w:val="00DD5528"/>
    <w:rsid w:val="00E07D87"/>
    <w:rsid w:val="00E32F7E"/>
    <w:rsid w:val="00E5267B"/>
    <w:rsid w:val="00E6379D"/>
    <w:rsid w:val="00E63C0E"/>
    <w:rsid w:val="00E65D68"/>
    <w:rsid w:val="00E705BD"/>
    <w:rsid w:val="00E72D49"/>
    <w:rsid w:val="00E7593C"/>
    <w:rsid w:val="00E7678A"/>
    <w:rsid w:val="00E86FA9"/>
    <w:rsid w:val="00E935F1"/>
    <w:rsid w:val="00E94A81"/>
    <w:rsid w:val="00E956C2"/>
    <w:rsid w:val="00EA1FFB"/>
    <w:rsid w:val="00EB048E"/>
    <w:rsid w:val="00EB4E9C"/>
    <w:rsid w:val="00EC07E0"/>
    <w:rsid w:val="00EE2376"/>
    <w:rsid w:val="00EE34DF"/>
    <w:rsid w:val="00EF2F89"/>
    <w:rsid w:val="00F033B3"/>
    <w:rsid w:val="00F03E98"/>
    <w:rsid w:val="00F1237A"/>
    <w:rsid w:val="00F22CBD"/>
    <w:rsid w:val="00F272F1"/>
    <w:rsid w:val="00F346D6"/>
    <w:rsid w:val="00F36AFD"/>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2B5498D"/>
  <w15:docId w15:val="{CC68D8CC-FF98-4517-A3EA-5265F6CA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aliases w:val="COMMON NAME,common"/>
    <w:next w:val="Normal"/>
    <w:link w:val="Heading1Char"/>
    <w:autoRedefine/>
    <w:qFormat/>
    <w:rsid w:val="00D81784"/>
    <w:pPr>
      <w:keepNext/>
      <w:jc w:val="both"/>
      <w:outlineLvl w:val="0"/>
    </w:pPr>
    <w:rPr>
      <w:rFonts w:ascii="Arial" w:hAnsi="Arial"/>
      <w:caps/>
      <w:lang w:val="fr-CH"/>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F3D68"/>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F3D68"/>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2F6A6F"/>
    <w:pPr>
      <w:tabs>
        <w:tab w:val="right" w:leader="dot" w:pos="9639"/>
      </w:tabs>
      <w:spacing w:before="120"/>
      <w:ind w:left="567" w:right="851" w:hanging="283"/>
      <w:contextualSpacing/>
    </w:pPr>
    <w:rPr>
      <w:rFonts w:ascii="Arial" w:hAnsi="Arial"/>
      <w:sz w:val="18"/>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2F6A6F"/>
    <w:pPr>
      <w:tabs>
        <w:tab w:val="right" w:leader="dot" w:pos="9639"/>
      </w:tabs>
      <w:contextualSpacing/>
    </w:pPr>
    <w:rPr>
      <w:rFonts w:ascii="Arial" w:hAnsi="Arial"/>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D81784"/>
    <w:rPr>
      <w:rFonts w:ascii="Arial" w:hAnsi="Arial"/>
      <w:caps/>
      <w:lang w:val="fr-CH"/>
    </w:rPr>
  </w:style>
  <w:style w:type="character" w:customStyle="1" w:styleId="Heading2Char">
    <w:name w:val="Heading 2 Char"/>
    <w:aliases w:val="VARIETY Char,variety Char"/>
    <w:link w:val="Heading2"/>
    <w:locked/>
    <w:rsid w:val="00E705BD"/>
    <w:rPr>
      <w:rFonts w:ascii="Arial" w:hAnsi="Arial"/>
      <w:u w:val="single"/>
    </w:rPr>
  </w:style>
  <w:style w:type="character" w:customStyle="1" w:styleId="FootnoteTextChar">
    <w:name w:val="Footnote Text Char"/>
    <w:basedOn w:val="DefaultParagraphFont"/>
    <w:link w:val="FootnoteText"/>
    <w:rsid w:val="00E705BD"/>
    <w:rPr>
      <w:rFonts w:ascii="Arial" w:hAnsi="Arial"/>
      <w:sz w:val="16"/>
      <w:lang w:val="fr-FR"/>
    </w:rPr>
  </w:style>
  <w:style w:type="paragraph" w:styleId="ListParagraph">
    <w:name w:val="List Paragraph"/>
    <w:basedOn w:val="Normal"/>
    <w:uiPriority w:val="34"/>
    <w:qFormat/>
    <w:rsid w:val="00E705BD"/>
    <w:pPr>
      <w:ind w:left="720"/>
      <w:contextualSpacing/>
    </w:pPr>
    <w:rPr>
      <w:lang w:val="en-US"/>
    </w:rPr>
  </w:style>
  <w:style w:type="character" w:customStyle="1" w:styleId="HeaderChar">
    <w:name w:val="Header Char"/>
    <w:basedOn w:val="DefaultParagraphFont"/>
    <w:link w:val="Header"/>
    <w:uiPriority w:val="99"/>
    <w:rsid w:val="000F467F"/>
    <w:rPr>
      <w:rFonts w:ascii="Arial" w:hAnsi="Arial"/>
      <w:lang w:val="fr-FR"/>
    </w:rPr>
  </w:style>
  <w:style w:type="character" w:styleId="PlaceholderText">
    <w:name w:val="Placeholder Text"/>
    <w:basedOn w:val="DefaultParagraphFont"/>
    <w:uiPriority w:val="99"/>
    <w:semiHidden/>
    <w:rsid w:val="004369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2510</Words>
  <Characters>15776</Characters>
  <Application>Microsoft Office Word</Application>
  <DocSecurity>0</DocSecurity>
  <Lines>309</Lines>
  <Paragraphs>122</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18164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TC/57/8 Add.</dc:title>
  <dc:creator>BAILLY Delphine</dc:creator>
  <cp:keywords>FOR OFFICIAL USE ONLY</cp:keywords>
  <cp:lastModifiedBy>MAY Jessica</cp:lastModifiedBy>
  <cp:revision>45</cp:revision>
  <cp:lastPrinted>2016-11-22T15:41:00Z</cp:lastPrinted>
  <dcterms:created xsi:type="dcterms:W3CDTF">2021-10-14T14:56:00Z</dcterms:created>
  <dcterms:modified xsi:type="dcterms:W3CDTF">2021-10-21T08:04:00Z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97b5e84f-eed8-4b87-bad0-a36071721f9b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