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03553" w:rsidRDefault="00D03553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0E3068">
        <w:tc>
          <w:tcPr>
            <w:tcW w:w="6512" w:type="dxa"/>
            <w:tcBorders>
              <w:bottom w:val="single" w:sz="4" w:space="0" w:color="auto"/>
            </w:tcBorders>
          </w:tcPr>
          <w:p w:rsidR="00D03553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EB4E9C" w:rsidRPr="00DC3802" w:rsidRDefault="00A706D3" w:rsidP="00A2300A">
            <w:pPr>
              <w:pStyle w:val="Sessiontcplacedate"/>
              <w:rPr>
                <w:sz w:val="22"/>
              </w:rPr>
            </w:pPr>
            <w:r>
              <w:t>Cinquante</w:t>
            </w:r>
            <w:r w:rsidR="00CA20AA">
              <w:t>-</w:t>
            </w:r>
            <w:r w:rsidR="00027994">
              <w:t>s</w:t>
            </w:r>
            <w:r w:rsidR="00A2300A">
              <w:t>ept</w:t>
            </w:r>
            <w:r w:rsidR="00CA20AA">
              <w:t>ième session</w:t>
            </w:r>
            <w:r w:rsidR="00EB4E9C" w:rsidRPr="00DA4973">
              <w:br/>
              <w:t>Gen</w:t>
            </w:r>
            <w:r>
              <w:t>è</w:t>
            </w:r>
            <w:r w:rsidR="00EB4E9C" w:rsidRPr="00DA4973">
              <w:t>v</w:t>
            </w:r>
            <w:r>
              <w:t>e</w:t>
            </w:r>
            <w:r w:rsidR="00EB4E9C" w:rsidRPr="00DA4973">
              <w:t xml:space="preserve">, </w:t>
            </w:r>
            <w:r w:rsidR="00897A4D">
              <w:t>2</w:t>
            </w:r>
            <w:r w:rsidR="00A2300A">
              <w:t>5</w:t>
            </w:r>
            <w:r w:rsidR="00897A4D">
              <w:t xml:space="preserve"> et </w:t>
            </w:r>
            <w:r w:rsidR="001C1F2F">
              <w:t>2</w:t>
            </w:r>
            <w:r w:rsidR="00F215F4">
              <w:t>6 octobre 20</w:t>
            </w:r>
            <w:r w:rsidR="00027994">
              <w:t>2</w:t>
            </w:r>
            <w:r w:rsidR="00A2300A">
              <w:t>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D03553" w:rsidRDefault="00027994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</w:t>
            </w:r>
            <w:r w:rsidR="00A2300A">
              <w:rPr>
                <w:lang w:val="fr-FR"/>
              </w:rPr>
              <w:t>7</w:t>
            </w:r>
            <w:r w:rsidR="00EB4E9C" w:rsidRPr="00027994">
              <w:rPr>
                <w:lang w:val="fr-FR"/>
              </w:rPr>
              <w:t>/</w:t>
            </w:r>
            <w:r w:rsidR="002D421F">
              <w:rPr>
                <w:lang w:val="fr-FR"/>
              </w:rPr>
              <w:t>3</w:t>
            </w:r>
          </w:p>
          <w:p w:rsidR="00D03553" w:rsidRDefault="00EB4E9C" w:rsidP="003C7FBE">
            <w:pPr>
              <w:pStyle w:val="Docoriginal"/>
            </w:pPr>
            <w:r w:rsidRPr="00AC2883">
              <w:t>Original</w:t>
            </w:r>
            <w:r w:rsidR="00CA20AA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A706D3">
              <w:rPr>
                <w:b w:val="0"/>
                <w:spacing w:val="0"/>
              </w:rPr>
              <w:t>anglais</w:t>
            </w:r>
          </w:p>
          <w:p w:rsidR="000E3068" w:rsidRPr="000E3068" w:rsidRDefault="00EB4E9C" w:rsidP="002D421F">
            <w:pPr>
              <w:pStyle w:val="Docoriginal"/>
              <w:rPr>
                <w:b w:val="0"/>
                <w:spacing w:val="0"/>
              </w:rPr>
            </w:pPr>
            <w:r w:rsidRPr="00AC2883">
              <w:t>Date</w:t>
            </w:r>
            <w:r w:rsidR="00CA20AA">
              <w:t> :</w:t>
            </w:r>
            <w:r w:rsidR="00897A4D">
              <w:rPr>
                <w:b w:val="0"/>
                <w:spacing w:val="0"/>
              </w:rPr>
              <w:t xml:space="preserve"> </w:t>
            </w:r>
            <w:r w:rsidR="002D421F">
              <w:rPr>
                <w:b w:val="0"/>
                <w:spacing w:val="0"/>
              </w:rPr>
              <w:t>2</w:t>
            </w:r>
            <w:r w:rsidR="00F215F4">
              <w:rPr>
                <w:b w:val="0"/>
                <w:spacing w:val="0"/>
              </w:rPr>
              <w:t>0 août 20</w:t>
            </w:r>
            <w:r w:rsidR="002D421F">
              <w:rPr>
                <w:b w:val="0"/>
                <w:spacing w:val="0"/>
              </w:rPr>
              <w:t>21</w:t>
            </w:r>
          </w:p>
        </w:tc>
      </w:tr>
    </w:tbl>
    <w:p w:rsidR="00D03553" w:rsidRDefault="009C40FB" w:rsidP="009C40FB">
      <w:pPr>
        <w:pStyle w:val="Titleofdoc0"/>
      </w:pPr>
      <w:bookmarkStart w:id="0" w:name="TitleOfDoc"/>
      <w:bookmarkStart w:id="1" w:name="Prepared"/>
      <w:bookmarkEnd w:id="0"/>
      <w:bookmarkEnd w:id="1"/>
      <w:r w:rsidRPr="00D85F56">
        <w:t>Questions d</w:t>
      </w:r>
      <w:r w:rsidR="005372AD">
        <w:t>É</w:t>
      </w:r>
      <w:r w:rsidRPr="00D85F56">
        <w:t>coulant des travaux des groupes de travail techniques</w:t>
      </w:r>
    </w:p>
    <w:p w:rsidR="00D03553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>établi par le Bureau de l</w:t>
      </w:r>
      <w:r w:rsidR="00CA20AA">
        <w:t>’</w:t>
      </w:r>
      <w:r w:rsidR="00A706D3">
        <w:t>Union</w:t>
      </w:r>
    </w:p>
    <w:p w:rsidR="00D03553" w:rsidRDefault="00A706D3" w:rsidP="006A644A">
      <w:pPr>
        <w:pStyle w:val="Disclaimer"/>
      </w:pPr>
      <w:r w:rsidRPr="00A706D3">
        <w:t>Avertissement</w:t>
      </w:r>
      <w:r w:rsidR="00CA20AA">
        <w:t> :</w:t>
      </w:r>
      <w:r w:rsidRPr="00A706D3">
        <w:t xml:space="preserve"> le présent document ne représente pas les principes ou les orientations de l</w:t>
      </w:r>
      <w:r w:rsidR="00CA20AA">
        <w:t>’</w:t>
      </w:r>
      <w:r w:rsidRPr="00A706D3">
        <w:t>UPOV</w:t>
      </w:r>
    </w:p>
    <w:p w:rsidR="00D03553" w:rsidRDefault="009C40FB" w:rsidP="002D421F">
      <w:pPr>
        <w:pStyle w:val="Heading1"/>
        <w:rPr>
          <w:lang w:val="fr-CH"/>
        </w:rPr>
      </w:pPr>
      <w:bookmarkStart w:id="2" w:name="_Toc54200135"/>
      <w:bookmarkStart w:id="3" w:name="_Toc81836884"/>
      <w:r w:rsidRPr="00F06A6F">
        <w:rPr>
          <w:lang w:val="fr-CH"/>
        </w:rPr>
        <w:t>RÉSUMÉ</w:t>
      </w:r>
      <w:bookmarkEnd w:id="2"/>
      <w:bookmarkEnd w:id="3"/>
    </w:p>
    <w:p w:rsidR="00D03553" w:rsidRDefault="00D03553" w:rsidP="002D421F">
      <w:pPr>
        <w:rPr>
          <w:color w:val="000000"/>
          <w:lang w:val="fr-CH"/>
        </w:rPr>
      </w:pPr>
    </w:p>
    <w:p w:rsidR="00D03553" w:rsidRDefault="002D421F" w:rsidP="00F06A6F">
      <w:pPr>
        <w:rPr>
          <w:color w:val="000000"/>
          <w:lang w:val="fr-CH"/>
        </w:rPr>
      </w:pPr>
      <w:r w:rsidRPr="002A330A">
        <w:rPr>
          <w:color w:val="000000"/>
        </w:rPr>
        <w:fldChar w:fldCharType="begin"/>
      </w:r>
      <w:r w:rsidRPr="00F06A6F">
        <w:rPr>
          <w:color w:val="000000"/>
          <w:lang w:val="fr-CH"/>
        </w:rPr>
        <w:instrText xml:space="preserve"> AUTONUM  </w:instrText>
      </w:r>
      <w:r w:rsidRPr="002A330A">
        <w:rPr>
          <w:color w:val="000000"/>
        </w:rPr>
        <w:fldChar w:fldCharType="end"/>
      </w:r>
      <w:r w:rsidRPr="00F06A6F">
        <w:rPr>
          <w:color w:val="000000"/>
          <w:lang w:val="fr-CH"/>
        </w:rPr>
        <w:tab/>
      </w:r>
      <w:r w:rsidR="00F06A6F" w:rsidRPr="00F06A6F">
        <w:rPr>
          <w:color w:val="000000"/>
          <w:lang w:val="fr-CH"/>
        </w:rPr>
        <w:t>Le présent document résume les questions découlant des sessions de 2021 du Groupe de travail technique sur les plantes potagères (TWV)</w:t>
      </w:r>
      <w:r w:rsidR="00F06A6F">
        <w:rPr>
          <w:rStyle w:val="FootnoteReference"/>
          <w:color w:val="000000"/>
          <w:lang w:val="en-US"/>
        </w:rPr>
        <w:footnoteReference w:id="2"/>
      </w:r>
      <w:r w:rsidR="00F06A6F" w:rsidRPr="00F06A6F">
        <w:rPr>
          <w:color w:val="000000"/>
          <w:lang w:val="fr-CH"/>
        </w:rPr>
        <w:t>, du Groupe de travail technique sur les plantes ornementales et les arbres forestiers (TWO)</w:t>
      </w:r>
      <w:r w:rsidR="00F06A6F">
        <w:rPr>
          <w:rStyle w:val="FootnoteReference"/>
          <w:color w:val="000000"/>
          <w:lang w:val="en-US"/>
        </w:rPr>
        <w:footnoteReference w:id="3"/>
      </w:r>
      <w:r w:rsidR="00F06A6F" w:rsidRPr="00F06A6F">
        <w:rPr>
          <w:color w:val="000000"/>
          <w:lang w:val="fr-CH"/>
        </w:rPr>
        <w:t>, du Groupe de travail technique sur les plantes agricoles (TWA)</w:t>
      </w:r>
      <w:r w:rsidR="00F06A6F">
        <w:rPr>
          <w:rStyle w:val="FootnoteReference"/>
          <w:color w:val="000000"/>
          <w:lang w:val="en-US"/>
        </w:rPr>
        <w:footnoteReference w:id="4"/>
      </w:r>
      <w:r w:rsidR="00D03553">
        <w:rPr>
          <w:color w:val="000000"/>
          <w:lang w:val="fr-CH"/>
        </w:rPr>
        <w:t xml:space="preserve"> et</w:t>
      </w:r>
      <w:r w:rsidR="00F06A6F" w:rsidRPr="00F06A6F">
        <w:rPr>
          <w:color w:val="000000"/>
          <w:lang w:val="fr-CH"/>
        </w:rPr>
        <w:t xml:space="preserve"> du Groupe de travail technique sur les plantes fruitières (TWF)</w:t>
      </w:r>
      <w:r w:rsidR="00F06A6F">
        <w:rPr>
          <w:rStyle w:val="FootnoteReference"/>
          <w:color w:val="000000"/>
          <w:lang w:val="en-US"/>
        </w:rPr>
        <w:footnoteReference w:id="5"/>
      </w:r>
      <w:r w:rsidR="00F06A6F" w:rsidRPr="00F06A6F">
        <w:rPr>
          <w:color w:val="000000"/>
          <w:lang w:val="fr-CH"/>
        </w:rPr>
        <w:t xml:space="preserve"> </w:t>
      </w:r>
      <w:r w:rsidR="00D03553">
        <w:rPr>
          <w:color w:val="000000"/>
          <w:lang w:val="fr-CH"/>
        </w:rPr>
        <w:t xml:space="preserve">qui ne sont </w:t>
      </w:r>
      <w:r w:rsidR="00F06A6F" w:rsidRPr="00F06A6F">
        <w:rPr>
          <w:color w:val="000000"/>
          <w:lang w:val="fr-CH"/>
        </w:rPr>
        <w:t>pas expressément couvertes par des points spécifiques de l</w:t>
      </w:r>
      <w:r w:rsidR="00CA20AA">
        <w:rPr>
          <w:color w:val="000000"/>
          <w:lang w:val="fr-CH"/>
        </w:rPr>
        <w:t>’</w:t>
      </w:r>
      <w:r w:rsidR="00F06A6F" w:rsidRPr="00F06A6F">
        <w:rPr>
          <w:color w:val="000000"/>
          <w:lang w:val="fr-CH"/>
        </w:rPr>
        <w:t>ordre du jour.</w:t>
      </w:r>
    </w:p>
    <w:p w:rsidR="00D03553" w:rsidRDefault="00D03553" w:rsidP="002D421F">
      <w:pPr>
        <w:rPr>
          <w:color w:val="000000"/>
          <w:lang w:val="fr-CH"/>
        </w:rPr>
      </w:pPr>
    </w:p>
    <w:p w:rsidR="00D03553" w:rsidRDefault="002D421F" w:rsidP="009457FE">
      <w:pPr>
        <w:rPr>
          <w:snapToGrid w:val="0"/>
          <w:lang w:val="fr-CH"/>
        </w:rPr>
      </w:pPr>
      <w:r>
        <w:rPr>
          <w:color w:val="000000"/>
        </w:rPr>
        <w:fldChar w:fldCharType="begin"/>
      </w:r>
      <w:r w:rsidRPr="009457FE">
        <w:rPr>
          <w:color w:val="000000"/>
          <w:lang w:val="fr-CH"/>
        </w:rPr>
        <w:instrText xml:space="preserve"> AUTONUM  </w:instrText>
      </w:r>
      <w:r>
        <w:rPr>
          <w:color w:val="000000"/>
        </w:rPr>
        <w:fldChar w:fldCharType="end"/>
      </w:r>
      <w:r w:rsidRPr="009457FE">
        <w:rPr>
          <w:color w:val="000000"/>
          <w:lang w:val="fr-CH"/>
        </w:rPr>
        <w:tab/>
      </w:r>
      <w:r w:rsidR="009457FE" w:rsidRPr="009457FE">
        <w:rPr>
          <w:color w:val="000000"/>
          <w:lang w:val="fr-CH"/>
        </w:rPr>
        <w:t>Les questions découlant des sessions du Groupe de travail technique sur les systèmes d</w:t>
      </w:r>
      <w:r w:rsidR="00CA20AA">
        <w:rPr>
          <w:color w:val="000000"/>
          <w:lang w:val="fr-CH"/>
        </w:rPr>
        <w:t>’</w:t>
      </w:r>
      <w:r w:rsidR="009457FE" w:rsidRPr="009457FE">
        <w:rPr>
          <w:color w:val="000000"/>
          <w:lang w:val="fr-CH"/>
        </w:rPr>
        <w:t>automatisation et les programmes d</w:t>
      </w:r>
      <w:r w:rsidR="00CA20AA">
        <w:rPr>
          <w:color w:val="000000"/>
          <w:lang w:val="fr-CH"/>
        </w:rPr>
        <w:t>’</w:t>
      </w:r>
      <w:r w:rsidR="009457FE" w:rsidRPr="009457FE">
        <w:rPr>
          <w:color w:val="000000"/>
          <w:lang w:val="fr-CH"/>
        </w:rPr>
        <w:t>ordinateur (TWC)</w:t>
      </w:r>
      <w:r w:rsidR="009457FE" w:rsidRPr="00D03553">
        <w:rPr>
          <w:rStyle w:val="FootnoteReference"/>
          <w:lang w:val="en-US"/>
        </w:rPr>
        <w:footnoteReference w:id="6"/>
      </w:r>
      <w:r w:rsidR="009457FE" w:rsidRPr="009457FE">
        <w:rPr>
          <w:color w:val="800000"/>
          <w:lang w:val="fr-CH"/>
        </w:rPr>
        <w:t xml:space="preserve"> </w:t>
      </w:r>
      <w:r w:rsidR="009457FE" w:rsidRPr="009457FE">
        <w:rPr>
          <w:color w:val="000000"/>
          <w:lang w:val="fr-CH"/>
        </w:rPr>
        <w:t>et du Groupe de travail sur les techniques biochimiques et moléculaires, notamment les profils d</w:t>
      </w:r>
      <w:r w:rsidR="00CA20AA">
        <w:rPr>
          <w:color w:val="000000"/>
          <w:lang w:val="fr-CH"/>
        </w:rPr>
        <w:t>’</w:t>
      </w:r>
      <w:r w:rsidR="009457FE" w:rsidRPr="009457FE">
        <w:rPr>
          <w:color w:val="000000"/>
          <w:lang w:val="fr-CH"/>
        </w:rPr>
        <w:t>ADN (BMT)</w:t>
      </w:r>
      <w:r w:rsidR="009457FE">
        <w:rPr>
          <w:rStyle w:val="FootnoteReference"/>
          <w:color w:val="000000"/>
          <w:lang w:val="en-US"/>
        </w:rPr>
        <w:footnoteReference w:id="7"/>
      </w:r>
      <w:r w:rsidR="009457FE" w:rsidRPr="009457FE">
        <w:rPr>
          <w:color w:val="000000"/>
          <w:lang w:val="fr-CH"/>
        </w:rPr>
        <w:t xml:space="preserve">, prévues en </w:t>
      </w:r>
      <w:r w:rsidR="00F215F4" w:rsidRPr="009457FE">
        <w:rPr>
          <w:color w:val="000000"/>
          <w:lang w:val="fr-CH"/>
        </w:rPr>
        <w:t>septembre</w:t>
      </w:r>
      <w:r w:rsidR="00F215F4">
        <w:rPr>
          <w:color w:val="000000"/>
          <w:lang w:val="fr-CH"/>
        </w:rPr>
        <w:t> </w:t>
      </w:r>
      <w:r w:rsidR="00F215F4" w:rsidRPr="009457FE">
        <w:rPr>
          <w:color w:val="000000"/>
          <w:lang w:val="fr-CH"/>
        </w:rPr>
        <w:t>20</w:t>
      </w:r>
      <w:r w:rsidR="009457FE" w:rsidRPr="009457FE">
        <w:rPr>
          <w:color w:val="000000"/>
          <w:lang w:val="fr-CH"/>
        </w:rPr>
        <w:t>21, seront présentées dans un additif au présent document.</w:t>
      </w:r>
    </w:p>
    <w:p w:rsidR="00D03553" w:rsidRDefault="00D03553" w:rsidP="002D421F">
      <w:pPr>
        <w:rPr>
          <w:color w:val="000000"/>
          <w:lang w:val="fr-CH"/>
        </w:rPr>
      </w:pPr>
    </w:p>
    <w:p w:rsidR="00D03553" w:rsidRDefault="002D421F" w:rsidP="002D421F">
      <w:pPr>
        <w:rPr>
          <w:lang w:val="fr-CH"/>
        </w:rPr>
      </w:pPr>
      <w:r w:rsidRPr="002A330A">
        <w:rPr>
          <w:color w:val="000000"/>
        </w:rPr>
        <w:fldChar w:fldCharType="begin"/>
      </w:r>
      <w:r w:rsidRPr="009457FE">
        <w:rPr>
          <w:color w:val="000000"/>
          <w:lang w:val="fr-CH"/>
        </w:rPr>
        <w:instrText xml:space="preserve"> AUTONUM  </w:instrText>
      </w:r>
      <w:r w:rsidRPr="002A330A">
        <w:rPr>
          <w:color w:val="000000"/>
        </w:rPr>
        <w:fldChar w:fldCharType="end"/>
      </w:r>
      <w:r w:rsidRPr="009457FE">
        <w:rPr>
          <w:color w:val="000000"/>
          <w:lang w:val="fr-CH"/>
        </w:rPr>
        <w:tab/>
      </w:r>
      <w:r w:rsidR="009457FE" w:rsidRPr="005C718D">
        <w:rPr>
          <w:color w:val="000000"/>
        </w:rPr>
        <w:t>Ces questions sont regroupées en deux</w:t>
      </w:r>
      <w:r w:rsidR="009457FE">
        <w:rPr>
          <w:color w:val="000000"/>
        </w:rPr>
        <w:t> </w:t>
      </w:r>
      <w:r w:rsidR="009457FE" w:rsidRPr="005C718D">
        <w:rPr>
          <w:color w:val="000000"/>
        </w:rPr>
        <w:t>parti</w:t>
      </w:r>
      <w:r w:rsidR="000C0499" w:rsidRPr="005C718D">
        <w:rPr>
          <w:color w:val="000000"/>
        </w:rPr>
        <w:t>es</w:t>
      </w:r>
      <w:r w:rsidR="000C0499">
        <w:rPr>
          <w:color w:val="000000"/>
        </w:rPr>
        <w:t xml:space="preserve">.  </w:t>
      </w:r>
      <w:r w:rsidR="000C0499" w:rsidRPr="005C718D">
        <w:t>La</w:t>
      </w:r>
      <w:r w:rsidR="009457FE" w:rsidRPr="005C718D">
        <w:t xml:space="preserve"> première, intitulée </w:t>
      </w:r>
      <w:r w:rsidR="009457FE">
        <w:t>“</w:t>
      </w:r>
      <w:r w:rsidR="009457FE" w:rsidRPr="005C718D">
        <w:t>Questions pour information et décision éventuelle du Comité technique (TC)</w:t>
      </w:r>
      <w:r w:rsidR="009457FE">
        <w:rPr>
          <w:caps/>
        </w:rPr>
        <w:t>”</w:t>
      </w:r>
      <w:r w:rsidR="009457FE" w:rsidRPr="005C718D">
        <w:rPr>
          <w:caps/>
        </w:rPr>
        <w:t>,</w:t>
      </w:r>
      <w:r w:rsidR="009457FE" w:rsidRPr="005C718D">
        <w:t xml:space="preserve"> recense les questions qui peuvent nécessiter une prise de décision par le</w:t>
      </w:r>
      <w:r w:rsidR="00CA20AA">
        <w:t> TC</w:t>
      </w:r>
      <w:r w:rsidR="009457FE" w:rsidRPr="005C718D">
        <w:t xml:space="preserve">. </w:t>
      </w:r>
      <w:r w:rsidR="009457FE">
        <w:t xml:space="preserve"> </w:t>
      </w:r>
      <w:r w:rsidR="009457FE" w:rsidRPr="005C718D">
        <w:t>Le Bureau de l</w:t>
      </w:r>
      <w:r w:rsidR="00CA20AA">
        <w:t>’</w:t>
      </w:r>
      <w:r w:rsidR="009457FE" w:rsidRPr="005C718D">
        <w:t>Union (ci</w:t>
      </w:r>
      <w:r w:rsidR="00CA20AA">
        <w:t>-</w:t>
      </w:r>
      <w:r w:rsidR="009457FE" w:rsidRPr="005C718D">
        <w:t xml:space="preserve">après dénommé </w:t>
      </w:r>
      <w:r w:rsidR="009457FE">
        <w:t>“</w:t>
      </w:r>
      <w:r w:rsidR="009457FE" w:rsidRPr="005C718D">
        <w:t>Bureau</w:t>
      </w:r>
      <w:r w:rsidR="009457FE">
        <w:t>”</w:t>
      </w:r>
      <w:r w:rsidR="009457FE" w:rsidRPr="005C718D">
        <w:t>) a précisé les questions au sujet desquelles le</w:t>
      </w:r>
      <w:r w:rsidR="00CA20AA">
        <w:t> TC</w:t>
      </w:r>
      <w:r w:rsidR="009457FE" w:rsidRPr="005C718D">
        <w:t xml:space="preserve"> peut souhaiter prendre une décision en présentant un paragraphe contenant une proposition de décisi</w:t>
      </w:r>
      <w:r w:rsidR="000C0499" w:rsidRPr="005C718D">
        <w:t>on</w:t>
      </w:r>
      <w:r w:rsidR="000C0499">
        <w:t xml:space="preserve">.  </w:t>
      </w:r>
      <w:r w:rsidR="000C0499" w:rsidRPr="005C718D">
        <w:t>La</w:t>
      </w:r>
      <w:r w:rsidR="009457FE" w:rsidRPr="005C718D">
        <w:t xml:space="preserve"> seconde partie, intitulée </w:t>
      </w:r>
      <w:r w:rsidR="009457FE">
        <w:t>“</w:t>
      </w:r>
      <w:r w:rsidR="009457FE" w:rsidRPr="005C718D">
        <w:t>Questions pour information</w:t>
      </w:r>
      <w:r w:rsidR="009457FE">
        <w:t>”</w:t>
      </w:r>
      <w:r w:rsidR="009457FE" w:rsidRPr="005C718D">
        <w:t xml:space="preserve">, est communiquée pour information </w:t>
      </w:r>
      <w:r w:rsidR="009457FE">
        <w:t>a</w:t>
      </w:r>
      <w:r w:rsidR="009457FE" w:rsidRPr="005C718D">
        <w:t>u</w:t>
      </w:r>
      <w:r w:rsidR="00CA20AA">
        <w:t> TC</w:t>
      </w:r>
      <w:r w:rsidR="009457FE" w:rsidRPr="005C718D">
        <w:t>, mais n</w:t>
      </w:r>
      <w:r w:rsidR="00CA20AA">
        <w:t>’</w:t>
      </w:r>
      <w:r w:rsidR="009457FE" w:rsidRPr="005C718D">
        <w:t>appelle pas de décision à ce stade</w:t>
      </w:r>
      <w:r w:rsidRPr="009457FE">
        <w:rPr>
          <w:lang w:val="fr-CH"/>
        </w:rPr>
        <w:t>.</w:t>
      </w:r>
    </w:p>
    <w:p w:rsidR="00D03553" w:rsidRDefault="00D03553" w:rsidP="002D421F">
      <w:pPr>
        <w:tabs>
          <w:tab w:val="left" w:pos="567"/>
          <w:tab w:val="left" w:pos="1701"/>
        </w:tabs>
        <w:ind w:left="1695" w:hanging="1695"/>
        <w:rPr>
          <w:rFonts w:eastAsia="PMingLiU"/>
          <w:szCs w:val="24"/>
          <w:lang w:val="fr-CH"/>
        </w:rPr>
      </w:pPr>
    </w:p>
    <w:p w:rsidR="00D03553" w:rsidRDefault="002D421F" w:rsidP="002D421F">
      <w:pPr>
        <w:tabs>
          <w:tab w:val="left" w:pos="567"/>
        </w:tabs>
        <w:rPr>
          <w:lang w:val="fr-CH"/>
        </w:rPr>
      </w:pPr>
      <w:r w:rsidRPr="000F5CE3">
        <w:fldChar w:fldCharType="begin"/>
      </w:r>
      <w:r w:rsidRPr="009457FE">
        <w:rPr>
          <w:lang w:val="fr-CH"/>
        </w:rPr>
        <w:instrText xml:space="preserve"> AUTONUM  </w:instrText>
      </w:r>
      <w:r w:rsidRPr="000F5CE3">
        <w:fldChar w:fldCharType="end"/>
      </w:r>
      <w:r w:rsidRPr="009457FE">
        <w:rPr>
          <w:lang w:val="fr-CH"/>
        </w:rPr>
        <w:tab/>
      </w:r>
      <w:r w:rsidR="009457FE" w:rsidRPr="005C718D">
        <w:t>Le</w:t>
      </w:r>
      <w:r w:rsidR="00CA20AA">
        <w:t> TC</w:t>
      </w:r>
      <w:r w:rsidR="009457FE" w:rsidRPr="005C718D">
        <w:t xml:space="preserve"> est invité à prendre note des faits nouveaux </w:t>
      </w:r>
      <w:r w:rsidR="009457FE">
        <w:t>intervenus</w:t>
      </w:r>
      <w:r w:rsidR="009457FE" w:rsidRPr="005C718D">
        <w:t xml:space="preserve"> au sein des groupes de travail techniques concernant les points suivants</w:t>
      </w:r>
      <w:r w:rsidR="00CA20AA">
        <w:t> :</w:t>
      </w:r>
    </w:p>
    <w:p w:rsidR="00D03553" w:rsidRDefault="00D03553" w:rsidP="002D421F">
      <w:pPr>
        <w:tabs>
          <w:tab w:val="left" w:pos="567"/>
        </w:tabs>
        <w:rPr>
          <w:lang w:val="fr-CH"/>
        </w:rPr>
      </w:pPr>
    </w:p>
    <w:p w:rsidR="00D03553" w:rsidRDefault="002D421F" w:rsidP="00E32A74">
      <w:pPr>
        <w:tabs>
          <w:tab w:val="left" w:pos="1701"/>
        </w:tabs>
        <w:ind w:left="1134" w:hanging="567"/>
        <w:rPr>
          <w:lang w:val="fr-CH"/>
        </w:rPr>
      </w:pPr>
      <w:r w:rsidRPr="00D03553">
        <w:rPr>
          <w:lang w:val="fr-CH"/>
        </w:rPr>
        <w:t>i)</w:t>
      </w:r>
      <w:r w:rsidRPr="00D03553">
        <w:rPr>
          <w:lang w:val="fr-CH"/>
        </w:rPr>
        <w:tab/>
      </w:r>
      <w:r w:rsidR="00E32A74" w:rsidRPr="00D03553">
        <w:rPr>
          <w:lang w:val="fr-CH"/>
        </w:rPr>
        <w:t>Accès au matériel végétal aux fins de la gestion des collections de variétés et de l</w:t>
      </w:r>
      <w:r w:rsidR="00CA20AA">
        <w:rPr>
          <w:lang w:val="fr-CH"/>
        </w:rPr>
        <w:t>’</w:t>
      </w:r>
      <w:r w:rsidR="00E32A74" w:rsidRPr="00D03553">
        <w:rPr>
          <w:lang w:val="fr-CH"/>
        </w:rPr>
        <w:t>examen</w:t>
      </w:r>
      <w:r w:rsidR="000E245E" w:rsidRPr="00D03553">
        <w:rPr>
          <w:lang w:val="fr-CH"/>
        </w:rPr>
        <w:t> </w:t>
      </w:r>
      <w:r w:rsidR="00E32A74" w:rsidRPr="00D03553">
        <w:rPr>
          <w:lang w:val="fr-CH"/>
        </w:rPr>
        <w:t>DHS;</w:t>
      </w:r>
    </w:p>
    <w:p w:rsidR="00D03553" w:rsidRDefault="00E32A74" w:rsidP="00E32A74">
      <w:pPr>
        <w:tabs>
          <w:tab w:val="left" w:pos="1701"/>
        </w:tabs>
        <w:ind w:left="1134" w:hanging="567"/>
        <w:rPr>
          <w:lang w:val="fr-CH"/>
        </w:rPr>
      </w:pPr>
      <w:r w:rsidRPr="00D03553">
        <w:rPr>
          <w:lang w:val="fr-CH"/>
        </w:rPr>
        <w:t>ii)</w:t>
      </w:r>
      <w:r w:rsidRPr="00D03553">
        <w:rPr>
          <w:lang w:val="fr-CH"/>
        </w:rPr>
        <w:tab/>
        <w:t>Examen DHS des variétés mutantes du pommier;</w:t>
      </w:r>
    </w:p>
    <w:p w:rsidR="00D03553" w:rsidRDefault="00E32A74" w:rsidP="00E32A74">
      <w:pPr>
        <w:tabs>
          <w:tab w:val="left" w:pos="1701"/>
        </w:tabs>
        <w:ind w:left="1134" w:hanging="567"/>
        <w:rPr>
          <w:lang w:val="fr-CH"/>
        </w:rPr>
      </w:pPr>
      <w:r w:rsidRPr="00D03553">
        <w:rPr>
          <w:lang w:val="fr-CH"/>
        </w:rPr>
        <w:t>iii)</w:t>
      </w:r>
      <w:r w:rsidRPr="00D03553">
        <w:rPr>
          <w:lang w:val="fr-CH"/>
        </w:rPr>
        <w:tab/>
        <w:t>Utilisation de caractères de résistance aux maladies;</w:t>
      </w:r>
    </w:p>
    <w:p w:rsidR="00D03553" w:rsidRDefault="00E32A74" w:rsidP="00E32A74">
      <w:pPr>
        <w:tabs>
          <w:tab w:val="left" w:pos="1701"/>
        </w:tabs>
        <w:ind w:left="1134" w:hanging="567"/>
        <w:rPr>
          <w:lang w:val="fr-CH"/>
        </w:rPr>
      </w:pPr>
      <w:r w:rsidRPr="00D03553">
        <w:rPr>
          <w:lang w:val="fr-CH"/>
        </w:rPr>
        <w:t>iv)</w:t>
      </w:r>
      <w:r w:rsidRPr="00D03553">
        <w:rPr>
          <w:lang w:val="fr-CH"/>
        </w:rPr>
        <w:tab/>
        <w:t>Expériences avec de nouveaux types et de nouvelles espèces;</w:t>
      </w:r>
    </w:p>
    <w:p w:rsidR="00D03553" w:rsidRDefault="00714708" w:rsidP="00714708">
      <w:pPr>
        <w:tabs>
          <w:tab w:val="left" w:pos="1701"/>
        </w:tabs>
        <w:ind w:left="1134" w:hanging="567"/>
        <w:rPr>
          <w:lang w:val="fr-CH"/>
        </w:rPr>
      </w:pPr>
      <w:r w:rsidRPr="00D03553">
        <w:rPr>
          <w:lang w:val="fr-CH"/>
        </w:rPr>
        <w:t>v)</w:t>
      </w:r>
      <w:r w:rsidRPr="00D03553">
        <w:rPr>
          <w:lang w:val="fr-CH"/>
        </w:rPr>
        <w:tab/>
        <w:t>Procédures de groupement des variétés au moyen des codes UPOV et des sources d</w:t>
      </w:r>
      <w:r w:rsidR="00CA20AA">
        <w:rPr>
          <w:lang w:val="fr-CH"/>
        </w:rPr>
        <w:t>’</w:t>
      </w:r>
      <w:r w:rsidRPr="00D03553">
        <w:rPr>
          <w:lang w:val="fr-CH"/>
        </w:rPr>
        <w:t>information pertinentes;</w:t>
      </w:r>
    </w:p>
    <w:p w:rsidR="00D03553" w:rsidRDefault="003C3B4C" w:rsidP="003C3B4C">
      <w:pPr>
        <w:tabs>
          <w:tab w:val="left" w:pos="1701"/>
        </w:tabs>
        <w:ind w:left="1134" w:hanging="567"/>
        <w:rPr>
          <w:lang w:val="fr-CH"/>
        </w:rPr>
      </w:pPr>
      <w:r w:rsidRPr="00D03553">
        <w:rPr>
          <w:lang w:val="fr-CH"/>
        </w:rPr>
        <w:t>vi)</w:t>
      </w:r>
      <w:r w:rsidRPr="00D03553">
        <w:rPr>
          <w:lang w:val="fr-CH"/>
        </w:rPr>
        <w:tab/>
        <w:t>Communication d</w:t>
      </w:r>
      <w:r w:rsidR="00CA20AA">
        <w:rPr>
          <w:lang w:val="fr-CH"/>
        </w:rPr>
        <w:t>’</w:t>
      </w:r>
      <w:r w:rsidRPr="00D03553">
        <w:rPr>
          <w:lang w:val="fr-CH"/>
        </w:rPr>
        <w:t>informations sur des variétés voisines dans le Formulaire UPOV de description variétale;</w:t>
      </w:r>
    </w:p>
    <w:p w:rsidR="00D03553" w:rsidRDefault="003C3B4C" w:rsidP="003C3B4C">
      <w:pPr>
        <w:tabs>
          <w:tab w:val="left" w:pos="1701"/>
        </w:tabs>
        <w:ind w:left="1134" w:hanging="567"/>
        <w:rPr>
          <w:lang w:val="fr-CH"/>
        </w:rPr>
      </w:pPr>
      <w:r w:rsidRPr="00D03553">
        <w:rPr>
          <w:lang w:val="fr-CH"/>
        </w:rPr>
        <w:t>vii)</w:t>
      </w:r>
      <w:r w:rsidRPr="00D03553">
        <w:rPr>
          <w:lang w:val="fr-CH"/>
        </w:rPr>
        <w:tab/>
        <w:t>Évaluation des plantes ornementales au moyen de mesures individuelles (MS);</w:t>
      </w:r>
    </w:p>
    <w:p w:rsidR="00D03553" w:rsidRDefault="003C3B4C" w:rsidP="003C3B4C">
      <w:pPr>
        <w:tabs>
          <w:tab w:val="left" w:pos="1701"/>
        </w:tabs>
        <w:ind w:left="1134" w:hanging="567"/>
        <w:rPr>
          <w:lang w:val="fr-CH"/>
        </w:rPr>
      </w:pPr>
      <w:r w:rsidRPr="00D03553">
        <w:rPr>
          <w:lang w:val="fr-CH"/>
        </w:rPr>
        <w:t>viii)</w:t>
      </w:r>
      <w:r w:rsidRPr="00D03553">
        <w:rPr>
          <w:lang w:val="fr-CH"/>
        </w:rPr>
        <w:tab/>
        <w:t>Nouvelles technologies en matière d</w:t>
      </w:r>
      <w:r w:rsidR="00CA20AA">
        <w:rPr>
          <w:lang w:val="fr-CH"/>
        </w:rPr>
        <w:t>’</w:t>
      </w:r>
      <w:r w:rsidRPr="00D03553">
        <w:rPr>
          <w:lang w:val="fr-CH"/>
        </w:rPr>
        <w:t>examen</w:t>
      </w:r>
      <w:r w:rsidR="000E245E" w:rsidRPr="00D03553">
        <w:rPr>
          <w:lang w:val="fr-CH"/>
        </w:rPr>
        <w:t> </w:t>
      </w:r>
      <w:r w:rsidRPr="00D03553">
        <w:rPr>
          <w:lang w:val="fr-CH"/>
        </w:rPr>
        <w:t>DHS;</w:t>
      </w:r>
    </w:p>
    <w:p w:rsidR="00D03553" w:rsidRDefault="003C3B4C" w:rsidP="003C3B4C">
      <w:pPr>
        <w:tabs>
          <w:tab w:val="left" w:pos="1701"/>
        </w:tabs>
        <w:ind w:left="1134" w:hanging="567"/>
        <w:rPr>
          <w:lang w:val="fr-CH"/>
        </w:rPr>
      </w:pPr>
      <w:r w:rsidRPr="00D03553">
        <w:rPr>
          <w:lang w:val="fr-CH"/>
        </w:rPr>
        <w:t>ix)</w:t>
      </w:r>
      <w:r w:rsidRPr="00D03553">
        <w:rPr>
          <w:lang w:val="fr-CH"/>
        </w:rPr>
        <w:tab/>
        <w:t>Questions à prendre en considération dans l</w:t>
      </w:r>
      <w:r w:rsidR="00CA20AA">
        <w:rPr>
          <w:lang w:val="fr-CH"/>
        </w:rPr>
        <w:t>’</w:t>
      </w:r>
      <w:r w:rsidRPr="00D03553">
        <w:rPr>
          <w:lang w:val="fr-CH"/>
        </w:rPr>
        <w:t>examen</w:t>
      </w:r>
      <w:r w:rsidR="000E245E" w:rsidRPr="00D03553">
        <w:rPr>
          <w:lang w:val="fr-CH"/>
        </w:rPr>
        <w:t> </w:t>
      </w:r>
      <w:r w:rsidRPr="00D03553">
        <w:rPr>
          <w:lang w:val="fr-CH"/>
        </w:rPr>
        <w:t>DHS pour le secteur des fruits</w:t>
      </w:r>
      <w:r w:rsidR="00D03553">
        <w:rPr>
          <w:lang w:val="fr-CH"/>
        </w:rPr>
        <w:t>.</w:t>
      </w:r>
    </w:p>
    <w:p w:rsidR="00D03553" w:rsidRDefault="00D03553" w:rsidP="002D421F">
      <w:pPr>
        <w:tabs>
          <w:tab w:val="left" w:pos="1701"/>
        </w:tabs>
        <w:rPr>
          <w:rFonts w:cs="Arial"/>
          <w:lang w:val="fr-CH"/>
        </w:rPr>
      </w:pPr>
    </w:p>
    <w:p w:rsidR="00D03553" w:rsidRDefault="002D421F" w:rsidP="003C3B4C">
      <w:pPr>
        <w:keepNext/>
        <w:rPr>
          <w:color w:val="000000"/>
        </w:rPr>
      </w:pPr>
      <w:r w:rsidRPr="002A330A">
        <w:rPr>
          <w:color w:val="000000"/>
        </w:rPr>
        <w:lastRenderedPageBreak/>
        <w:fldChar w:fldCharType="begin"/>
      </w:r>
      <w:r w:rsidRPr="003C3B4C">
        <w:rPr>
          <w:color w:val="000000"/>
          <w:lang w:val="fr-CH"/>
        </w:rPr>
        <w:instrText xml:space="preserve"> AUTONUM  </w:instrText>
      </w:r>
      <w:r w:rsidRPr="002A330A">
        <w:rPr>
          <w:color w:val="000000"/>
        </w:rPr>
        <w:fldChar w:fldCharType="end"/>
      </w:r>
      <w:r w:rsidRPr="003C3B4C">
        <w:rPr>
          <w:color w:val="000000"/>
          <w:lang w:val="fr-CH"/>
        </w:rPr>
        <w:tab/>
      </w:r>
      <w:r w:rsidR="003C3B4C" w:rsidRPr="00106748">
        <w:rPr>
          <w:rFonts w:cs="Arial"/>
        </w:rPr>
        <w:t>Les abréviations suivantes sont utilisées dans le présent document</w:t>
      </w:r>
      <w:r w:rsidR="00CA20AA">
        <w:rPr>
          <w:rFonts w:cs="Arial"/>
        </w:rPr>
        <w:t> :</w:t>
      </w:r>
    </w:p>
    <w:p w:rsidR="00D03553" w:rsidRDefault="00D03553" w:rsidP="003C3B4C">
      <w:pPr>
        <w:keepNext/>
        <w:ind w:left="1692" w:hanging="1125"/>
        <w:jc w:val="left"/>
        <w:rPr>
          <w:color w:val="000000"/>
        </w:rPr>
      </w:pPr>
    </w:p>
    <w:p w:rsidR="00D03553" w:rsidRDefault="003C3B4C" w:rsidP="003C3B4C">
      <w:pPr>
        <w:keepNext/>
        <w:tabs>
          <w:tab w:val="left" w:pos="567"/>
          <w:tab w:val="left" w:pos="1701"/>
        </w:tabs>
      </w:pPr>
      <w:r w:rsidRPr="002C7D30">
        <w:tab/>
        <w:t>CAJ</w:t>
      </w:r>
      <w:r w:rsidR="00CA20AA">
        <w:t> :</w:t>
      </w:r>
      <w:r>
        <w:t xml:space="preserve"> </w:t>
      </w:r>
      <w:r w:rsidRPr="002C7D30">
        <w:tab/>
      </w:r>
      <w:r>
        <w:t>Comité administratif et juridique</w:t>
      </w:r>
    </w:p>
    <w:p w:rsidR="00D03553" w:rsidRDefault="003C3B4C" w:rsidP="003C3B4C">
      <w:pPr>
        <w:keepNext/>
        <w:tabs>
          <w:tab w:val="left" w:pos="567"/>
          <w:tab w:val="left" w:pos="1701"/>
        </w:tabs>
      </w:pPr>
      <w:r w:rsidRPr="002C7D30">
        <w:tab/>
        <w:t>TC</w:t>
      </w:r>
      <w:r w:rsidR="00CA20AA">
        <w:t> :</w:t>
      </w:r>
      <w:r>
        <w:t xml:space="preserve"> </w:t>
      </w:r>
      <w:r w:rsidRPr="002C7D30">
        <w:tab/>
      </w:r>
      <w:r>
        <w:t>Comité technique</w:t>
      </w:r>
    </w:p>
    <w:p w:rsidR="00D03553" w:rsidRDefault="003C3B4C" w:rsidP="003C3B4C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2C7D30">
        <w:rPr>
          <w:rFonts w:eastAsia="PMingLiU"/>
          <w:szCs w:val="24"/>
        </w:rPr>
        <w:tab/>
        <w:t>TC</w:t>
      </w:r>
      <w:r w:rsidR="00CA20AA">
        <w:rPr>
          <w:rFonts w:eastAsia="PMingLiU"/>
          <w:szCs w:val="24"/>
        </w:rPr>
        <w:t>-</w:t>
      </w:r>
      <w:r w:rsidRPr="002C7D30">
        <w:rPr>
          <w:rFonts w:eastAsia="PMingLiU"/>
          <w:szCs w:val="24"/>
        </w:rPr>
        <w:t>EDC</w:t>
      </w:r>
      <w:r w:rsidR="00CA20AA">
        <w:rPr>
          <w:rFonts w:eastAsia="PMingLiU"/>
          <w:szCs w:val="24"/>
        </w:rPr>
        <w:t> :</w:t>
      </w:r>
      <w:r>
        <w:rPr>
          <w:rFonts w:eastAsia="PMingLiU"/>
          <w:szCs w:val="24"/>
        </w:rPr>
        <w:t xml:space="preserve"> </w:t>
      </w:r>
      <w:r w:rsidRPr="002C7D30">
        <w:rPr>
          <w:rFonts w:eastAsia="PMingLiU"/>
          <w:szCs w:val="24"/>
        </w:rPr>
        <w:tab/>
      </w:r>
      <w:r>
        <w:rPr>
          <w:rFonts w:eastAsia="PMingLiU"/>
          <w:szCs w:val="24"/>
        </w:rPr>
        <w:t>Comité de rédaction élargi</w:t>
      </w:r>
    </w:p>
    <w:p w:rsidR="00D03553" w:rsidRDefault="003C3B4C" w:rsidP="003C3B4C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2C7D30">
        <w:rPr>
          <w:rFonts w:eastAsia="PMingLiU"/>
          <w:szCs w:val="24"/>
        </w:rPr>
        <w:tab/>
        <w:t>TWA</w:t>
      </w:r>
      <w:r w:rsidR="00CA20AA">
        <w:rPr>
          <w:rFonts w:eastAsia="PMingLiU"/>
          <w:szCs w:val="24"/>
        </w:rPr>
        <w:t> :</w:t>
      </w:r>
      <w:r>
        <w:rPr>
          <w:rFonts w:eastAsia="PMingLiU"/>
          <w:szCs w:val="24"/>
        </w:rPr>
        <w:t xml:space="preserve"> </w:t>
      </w:r>
      <w:r w:rsidRPr="002C7D30">
        <w:rPr>
          <w:rFonts w:eastAsia="PMingLiU"/>
          <w:szCs w:val="24"/>
        </w:rPr>
        <w:tab/>
      </w:r>
      <w:r w:rsidRPr="00106748">
        <w:rPr>
          <w:rFonts w:cs="Arial"/>
        </w:rPr>
        <w:t>Groupe de travail technique sur les plantes agricoles</w:t>
      </w:r>
    </w:p>
    <w:p w:rsidR="00D03553" w:rsidRDefault="003C3B4C" w:rsidP="003C3B4C">
      <w:pPr>
        <w:keepNext/>
        <w:tabs>
          <w:tab w:val="left" w:pos="567"/>
          <w:tab w:val="left" w:pos="1701"/>
        </w:tabs>
        <w:ind w:left="1701" w:hanging="1701"/>
        <w:rPr>
          <w:rFonts w:eastAsia="PMingLiU"/>
          <w:szCs w:val="24"/>
        </w:rPr>
      </w:pPr>
      <w:r w:rsidRPr="002C7D30">
        <w:rPr>
          <w:rFonts w:eastAsia="PMingLiU"/>
          <w:szCs w:val="24"/>
        </w:rPr>
        <w:tab/>
        <w:t>TWC</w:t>
      </w:r>
      <w:r w:rsidR="00CA20AA">
        <w:rPr>
          <w:rFonts w:eastAsia="PMingLiU"/>
          <w:szCs w:val="24"/>
        </w:rPr>
        <w:t> :</w:t>
      </w:r>
      <w:r>
        <w:rPr>
          <w:rFonts w:eastAsia="PMingLiU"/>
          <w:szCs w:val="24"/>
        </w:rPr>
        <w:t xml:space="preserve"> </w:t>
      </w:r>
      <w:r w:rsidRPr="002C7D30">
        <w:rPr>
          <w:rFonts w:eastAsia="PMingLiU"/>
          <w:szCs w:val="24"/>
        </w:rPr>
        <w:tab/>
      </w:r>
      <w:r w:rsidRPr="00106748">
        <w:rPr>
          <w:rFonts w:cs="Arial"/>
        </w:rPr>
        <w:t>Groupe de travail technique sur les systèmes d</w:t>
      </w:r>
      <w:r w:rsidR="00CA20AA">
        <w:rPr>
          <w:rFonts w:cs="Arial"/>
        </w:rPr>
        <w:t>’</w:t>
      </w:r>
      <w:r w:rsidRPr="00106748">
        <w:rPr>
          <w:rFonts w:cs="Arial"/>
        </w:rPr>
        <w:t>automatisation et les programmes d</w:t>
      </w:r>
      <w:r w:rsidR="00CA20AA">
        <w:rPr>
          <w:rFonts w:cs="Arial"/>
        </w:rPr>
        <w:t>’</w:t>
      </w:r>
      <w:r w:rsidRPr="00106748">
        <w:rPr>
          <w:rFonts w:cs="Arial"/>
        </w:rPr>
        <w:t>ordinateur</w:t>
      </w:r>
    </w:p>
    <w:p w:rsidR="00D03553" w:rsidRDefault="003C3B4C" w:rsidP="003C3B4C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2C7D30">
        <w:rPr>
          <w:rFonts w:eastAsia="PMingLiU"/>
          <w:szCs w:val="24"/>
        </w:rPr>
        <w:tab/>
        <w:t>TWF</w:t>
      </w:r>
      <w:r w:rsidR="00CA20AA">
        <w:rPr>
          <w:rFonts w:eastAsia="PMingLiU"/>
          <w:szCs w:val="24"/>
        </w:rPr>
        <w:t> :</w:t>
      </w:r>
      <w:r w:rsidRPr="002C7D30">
        <w:rPr>
          <w:rFonts w:eastAsia="PMingLiU"/>
          <w:szCs w:val="24"/>
        </w:rPr>
        <w:t xml:space="preserve"> </w:t>
      </w:r>
      <w:r w:rsidRPr="002C7D30">
        <w:rPr>
          <w:rFonts w:eastAsia="PMingLiU"/>
          <w:szCs w:val="24"/>
        </w:rPr>
        <w:tab/>
      </w:r>
      <w:r w:rsidRPr="00106748">
        <w:rPr>
          <w:rFonts w:cs="Arial"/>
        </w:rPr>
        <w:t>Groupe de travail technique sur les plantes fruitières</w:t>
      </w:r>
    </w:p>
    <w:p w:rsidR="00D03553" w:rsidRDefault="003C3B4C" w:rsidP="003C3B4C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2C7D30">
        <w:rPr>
          <w:rFonts w:eastAsia="PMingLiU"/>
          <w:szCs w:val="24"/>
        </w:rPr>
        <w:tab/>
        <w:t>TWO</w:t>
      </w:r>
      <w:r w:rsidR="00CA20AA">
        <w:rPr>
          <w:rFonts w:eastAsia="PMingLiU"/>
          <w:szCs w:val="24"/>
        </w:rPr>
        <w:t> :</w:t>
      </w:r>
      <w:r>
        <w:rPr>
          <w:rFonts w:eastAsia="PMingLiU"/>
          <w:szCs w:val="24"/>
        </w:rPr>
        <w:t xml:space="preserve"> </w:t>
      </w:r>
      <w:r w:rsidRPr="002C7D30">
        <w:rPr>
          <w:rFonts w:eastAsia="PMingLiU"/>
          <w:szCs w:val="24"/>
        </w:rPr>
        <w:tab/>
      </w:r>
      <w:r w:rsidRPr="00106748">
        <w:rPr>
          <w:rFonts w:cs="Arial"/>
        </w:rPr>
        <w:t>Groupe de travail technique sur les plantes ornementales et les arbres forestiers</w:t>
      </w:r>
    </w:p>
    <w:p w:rsidR="00D03553" w:rsidRDefault="003C3B4C" w:rsidP="003C3B4C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2C7D30">
        <w:rPr>
          <w:rFonts w:eastAsia="PMingLiU"/>
          <w:szCs w:val="24"/>
        </w:rPr>
        <w:tab/>
        <w:t>TWP</w:t>
      </w:r>
      <w:r w:rsidR="00CA20AA">
        <w:rPr>
          <w:rFonts w:eastAsia="PMingLiU"/>
          <w:szCs w:val="24"/>
        </w:rPr>
        <w:t> :</w:t>
      </w:r>
      <w:r>
        <w:rPr>
          <w:rFonts w:eastAsia="PMingLiU"/>
          <w:szCs w:val="24"/>
        </w:rPr>
        <w:t xml:space="preserve"> </w:t>
      </w:r>
      <w:r w:rsidRPr="002C7D30">
        <w:rPr>
          <w:rFonts w:eastAsia="PMingLiU"/>
          <w:szCs w:val="24"/>
        </w:rPr>
        <w:tab/>
      </w:r>
      <w:r>
        <w:rPr>
          <w:rFonts w:cs="Arial"/>
          <w:lang w:val="fr-CH"/>
        </w:rPr>
        <w:t>Groupe(s) de travail technique(s)</w:t>
      </w:r>
    </w:p>
    <w:p w:rsidR="00D03553" w:rsidRDefault="003C3B4C" w:rsidP="003C3B4C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2C7D30">
        <w:rPr>
          <w:rFonts w:eastAsia="PMingLiU"/>
          <w:szCs w:val="24"/>
        </w:rPr>
        <w:tab/>
        <w:t>TWV</w:t>
      </w:r>
      <w:r w:rsidR="00CA20AA">
        <w:rPr>
          <w:rFonts w:eastAsia="PMingLiU"/>
          <w:szCs w:val="24"/>
        </w:rPr>
        <w:t> :</w:t>
      </w:r>
      <w:r>
        <w:rPr>
          <w:rFonts w:eastAsia="PMingLiU"/>
          <w:szCs w:val="24"/>
        </w:rPr>
        <w:t xml:space="preserve"> </w:t>
      </w:r>
      <w:r w:rsidRPr="002C7D30">
        <w:rPr>
          <w:rFonts w:eastAsia="PMingLiU"/>
          <w:szCs w:val="24"/>
        </w:rPr>
        <w:tab/>
      </w:r>
      <w:r>
        <w:rPr>
          <w:rFonts w:eastAsia="PMingLiU"/>
          <w:szCs w:val="24"/>
        </w:rPr>
        <w:t>Groupe de travail technique sur les plantes potagères</w:t>
      </w:r>
    </w:p>
    <w:p w:rsidR="00D03553" w:rsidRDefault="00D03553" w:rsidP="003C3B4C">
      <w:pPr>
        <w:rPr>
          <w:highlight w:val="cyan"/>
        </w:rPr>
      </w:pPr>
    </w:p>
    <w:p w:rsidR="00D03553" w:rsidRDefault="003C3B4C" w:rsidP="003C3B4C">
      <w:pPr>
        <w:keepNext/>
        <w:rPr>
          <w:lang w:val="fr-CH"/>
        </w:rPr>
      </w:pPr>
      <w:r w:rsidRPr="002C7D30">
        <w:rPr>
          <w:color w:val="000000"/>
        </w:rPr>
        <w:fldChar w:fldCharType="begin"/>
      </w:r>
      <w:r w:rsidRPr="002C7D30">
        <w:rPr>
          <w:color w:val="000000"/>
        </w:rPr>
        <w:instrText xml:space="preserve"> AUTONUM  </w:instrText>
      </w:r>
      <w:r w:rsidRPr="002C7D30">
        <w:rPr>
          <w:color w:val="000000"/>
        </w:rPr>
        <w:fldChar w:fldCharType="end"/>
      </w:r>
      <w:r w:rsidRPr="002C7D30">
        <w:rPr>
          <w:color w:val="000000"/>
        </w:rPr>
        <w:tab/>
      </w:r>
      <w:r>
        <w:t>Le présent document est structuré comme suit</w:t>
      </w:r>
      <w:r w:rsidR="00CA20AA">
        <w:t> :</w:t>
      </w:r>
    </w:p>
    <w:p w:rsidR="00D03553" w:rsidRDefault="00D03553" w:rsidP="002D421F">
      <w:pPr>
        <w:rPr>
          <w:lang w:val="fr-CH"/>
        </w:rPr>
      </w:pPr>
    </w:p>
    <w:p w:rsidR="000C0499" w:rsidRPr="005372AD" w:rsidRDefault="002D421F" w:rsidP="00FC091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r w:rsidRPr="002A330A">
        <w:rPr>
          <w:rFonts w:eastAsia="MS Mincho" w:cs="Arial"/>
          <w:noProof/>
          <w:lang w:eastAsia="ja-JP"/>
        </w:rPr>
        <w:fldChar w:fldCharType="begin"/>
      </w:r>
      <w:r w:rsidRPr="005372AD">
        <w:rPr>
          <w:rFonts w:eastAsia="MS Mincho" w:cs="Arial"/>
          <w:noProof/>
          <w:lang w:val="fr-CH" w:eastAsia="ja-JP"/>
        </w:rPr>
        <w:instrText xml:space="preserve"> TOC \o "1-2" \u </w:instrText>
      </w:r>
      <w:r w:rsidRPr="002A330A">
        <w:rPr>
          <w:rFonts w:eastAsia="MS Mincho" w:cs="Arial"/>
          <w:noProof/>
          <w:lang w:eastAsia="ja-JP"/>
        </w:rPr>
        <w:fldChar w:fldCharType="separate"/>
      </w:r>
      <w:r w:rsidR="000C0499" w:rsidRPr="005372AD">
        <w:rPr>
          <w:noProof/>
          <w:lang w:val="fr-CH"/>
        </w:rPr>
        <w:t>RÉSUMÉ</w:t>
      </w:r>
      <w:r w:rsidR="000C0499" w:rsidRPr="005372AD">
        <w:rPr>
          <w:noProof/>
          <w:lang w:val="fr-CH"/>
        </w:rPr>
        <w:tab/>
      </w:r>
      <w:r w:rsidR="000C0499">
        <w:rPr>
          <w:noProof/>
        </w:rPr>
        <w:fldChar w:fldCharType="begin"/>
      </w:r>
      <w:r w:rsidR="000C0499" w:rsidRPr="005372AD">
        <w:rPr>
          <w:noProof/>
          <w:lang w:val="fr-CH"/>
        </w:rPr>
        <w:instrText xml:space="preserve"> PAGEREF _Toc81836884 \h </w:instrText>
      </w:r>
      <w:r w:rsidR="000C0499">
        <w:rPr>
          <w:noProof/>
        </w:rPr>
      </w:r>
      <w:r w:rsidR="000C0499">
        <w:rPr>
          <w:noProof/>
        </w:rPr>
        <w:fldChar w:fldCharType="separate"/>
      </w:r>
      <w:r w:rsidR="000C0499" w:rsidRPr="005372AD">
        <w:rPr>
          <w:noProof/>
          <w:lang w:val="fr-CH"/>
        </w:rPr>
        <w:t>1</w:t>
      </w:r>
      <w:r w:rsidR="000C0499">
        <w:rPr>
          <w:noProof/>
        </w:rPr>
        <w:fldChar w:fldCharType="end"/>
      </w:r>
    </w:p>
    <w:p w:rsidR="000C0499" w:rsidRPr="005372AD" w:rsidRDefault="000C0499" w:rsidP="00FC091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r w:rsidRPr="005372AD">
        <w:rPr>
          <w:rFonts w:eastAsia="PMingLiU"/>
          <w:noProof/>
          <w:lang w:val="fr-CH"/>
        </w:rPr>
        <w:t>Questions pour information et décision éventuelle du Comité technique (TC)</w:t>
      </w:r>
      <w:r w:rsidRPr="005372AD">
        <w:rPr>
          <w:noProof/>
          <w:lang w:val="fr-CH"/>
        </w:rPr>
        <w:tab/>
      </w:r>
      <w:r>
        <w:rPr>
          <w:noProof/>
        </w:rPr>
        <w:fldChar w:fldCharType="begin"/>
      </w:r>
      <w:r w:rsidRPr="005372AD">
        <w:rPr>
          <w:noProof/>
          <w:lang w:val="fr-CH"/>
        </w:rPr>
        <w:instrText xml:space="preserve"> PAGEREF _Toc81836885 \h </w:instrText>
      </w:r>
      <w:r>
        <w:rPr>
          <w:noProof/>
        </w:rPr>
      </w:r>
      <w:r>
        <w:rPr>
          <w:noProof/>
        </w:rPr>
        <w:fldChar w:fldCharType="separate"/>
      </w:r>
      <w:r w:rsidRPr="005372AD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0C0499" w:rsidRPr="005372AD" w:rsidRDefault="000C0499" w:rsidP="00FC091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r w:rsidRPr="005372AD">
        <w:rPr>
          <w:noProof/>
          <w:lang w:val="fr-CH"/>
        </w:rPr>
        <w:t>Questions pour information</w:t>
      </w:r>
      <w:r w:rsidRPr="005372AD">
        <w:rPr>
          <w:noProof/>
          <w:lang w:val="fr-CH"/>
        </w:rPr>
        <w:tab/>
      </w:r>
      <w:r>
        <w:rPr>
          <w:noProof/>
        </w:rPr>
        <w:fldChar w:fldCharType="begin"/>
      </w:r>
      <w:r w:rsidRPr="005372AD">
        <w:rPr>
          <w:noProof/>
          <w:lang w:val="fr-CH"/>
        </w:rPr>
        <w:instrText xml:space="preserve"> PAGEREF _Toc81836886 \h </w:instrText>
      </w:r>
      <w:r>
        <w:rPr>
          <w:noProof/>
        </w:rPr>
      </w:r>
      <w:r>
        <w:rPr>
          <w:noProof/>
        </w:rPr>
        <w:fldChar w:fldCharType="separate"/>
      </w:r>
      <w:r w:rsidRPr="005372AD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0C0499" w:rsidRPr="005372AD" w:rsidRDefault="000C0499" w:rsidP="00FC0917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fr-CH" w:eastAsia="fr-CH"/>
        </w:rPr>
      </w:pPr>
      <w:r w:rsidRPr="005372AD">
        <w:rPr>
          <w:noProof/>
          <w:lang w:val="fr-CH"/>
        </w:rPr>
        <w:t>Accès au matériel végétal aux fins de la gestion des collections de variétés et de l’examen DHS</w:t>
      </w:r>
      <w:r w:rsidRPr="005372AD">
        <w:rPr>
          <w:noProof/>
          <w:lang w:val="fr-CH"/>
        </w:rPr>
        <w:tab/>
      </w:r>
      <w:r>
        <w:rPr>
          <w:noProof/>
        </w:rPr>
        <w:fldChar w:fldCharType="begin"/>
      </w:r>
      <w:r w:rsidRPr="005372AD">
        <w:rPr>
          <w:noProof/>
          <w:lang w:val="fr-CH"/>
        </w:rPr>
        <w:instrText xml:space="preserve"> PAGEREF _Toc81836887 \h </w:instrText>
      </w:r>
      <w:r>
        <w:rPr>
          <w:noProof/>
        </w:rPr>
      </w:r>
      <w:r>
        <w:rPr>
          <w:noProof/>
        </w:rPr>
        <w:fldChar w:fldCharType="separate"/>
      </w:r>
      <w:r w:rsidRPr="005372AD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0C0499" w:rsidRPr="005372AD" w:rsidRDefault="000C0499" w:rsidP="00FC0917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fr-CH" w:eastAsia="fr-CH"/>
        </w:rPr>
      </w:pPr>
      <w:r w:rsidRPr="005372AD">
        <w:rPr>
          <w:noProof/>
          <w:lang w:val="fr-CH"/>
        </w:rPr>
        <w:t>Examen DHS des variétés mutantes du pommier</w:t>
      </w:r>
      <w:r w:rsidRPr="005372AD">
        <w:rPr>
          <w:noProof/>
          <w:lang w:val="fr-CH"/>
        </w:rPr>
        <w:tab/>
      </w:r>
      <w:r>
        <w:rPr>
          <w:noProof/>
        </w:rPr>
        <w:fldChar w:fldCharType="begin"/>
      </w:r>
      <w:r w:rsidRPr="005372AD">
        <w:rPr>
          <w:noProof/>
          <w:lang w:val="fr-CH"/>
        </w:rPr>
        <w:instrText xml:space="preserve"> PAGEREF _Toc81836888 \h </w:instrText>
      </w:r>
      <w:r>
        <w:rPr>
          <w:noProof/>
        </w:rPr>
      </w:r>
      <w:r>
        <w:rPr>
          <w:noProof/>
        </w:rPr>
        <w:fldChar w:fldCharType="separate"/>
      </w:r>
      <w:r w:rsidRPr="005372AD">
        <w:rPr>
          <w:noProof/>
          <w:lang w:val="fr-CH"/>
        </w:rPr>
        <w:t>3</w:t>
      </w:r>
      <w:r>
        <w:rPr>
          <w:noProof/>
        </w:rPr>
        <w:fldChar w:fldCharType="end"/>
      </w:r>
    </w:p>
    <w:p w:rsidR="000C0499" w:rsidRPr="005372AD" w:rsidRDefault="000C0499" w:rsidP="00FC0917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fr-CH" w:eastAsia="fr-CH"/>
        </w:rPr>
      </w:pPr>
      <w:r w:rsidRPr="005372AD">
        <w:rPr>
          <w:noProof/>
          <w:snapToGrid w:val="0"/>
          <w:lang w:val="fr-CH"/>
        </w:rPr>
        <w:t>Utilisation de caractères de résistance aux maladies</w:t>
      </w:r>
      <w:r w:rsidRPr="005372AD">
        <w:rPr>
          <w:noProof/>
          <w:lang w:val="fr-CH"/>
        </w:rPr>
        <w:tab/>
      </w:r>
      <w:r>
        <w:rPr>
          <w:noProof/>
        </w:rPr>
        <w:fldChar w:fldCharType="begin"/>
      </w:r>
      <w:r w:rsidRPr="005372AD">
        <w:rPr>
          <w:noProof/>
          <w:lang w:val="fr-CH"/>
        </w:rPr>
        <w:instrText xml:space="preserve"> PAGEREF _Toc81836889 \h </w:instrText>
      </w:r>
      <w:r>
        <w:rPr>
          <w:noProof/>
        </w:rPr>
      </w:r>
      <w:r>
        <w:rPr>
          <w:noProof/>
        </w:rPr>
        <w:fldChar w:fldCharType="separate"/>
      </w:r>
      <w:r w:rsidRPr="005372AD">
        <w:rPr>
          <w:noProof/>
          <w:lang w:val="fr-CH"/>
        </w:rPr>
        <w:t>3</w:t>
      </w:r>
      <w:r>
        <w:rPr>
          <w:noProof/>
        </w:rPr>
        <w:fldChar w:fldCharType="end"/>
      </w:r>
    </w:p>
    <w:p w:rsidR="000C0499" w:rsidRPr="005372AD" w:rsidRDefault="000C0499" w:rsidP="00FC0917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fr-CH" w:eastAsia="fr-CH"/>
        </w:rPr>
      </w:pPr>
      <w:r w:rsidRPr="005372AD">
        <w:rPr>
          <w:noProof/>
          <w:lang w:val="fr-CH"/>
        </w:rPr>
        <w:t>Expériences en matière de nouveaux types et espèces</w:t>
      </w:r>
      <w:r w:rsidRPr="005372AD">
        <w:rPr>
          <w:noProof/>
          <w:lang w:val="fr-CH"/>
        </w:rPr>
        <w:tab/>
      </w:r>
      <w:r>
        <w:rPr>
          <w:noProof/>
        </w:rPr>
        <w:fldChar w:fldCharType="begin"/>
      </w:r>
      <w:r w:rsidRPr="005372AD">
        <w:rPr>
          <w:noProof/>
          <w:lang w:val="fr-CH"/>
        </w:rPr>
        <w:instrText xml:space="preserve"> PAGEREF _Toc81836890 \h </w:instrText>
      </w:r>
      <w:r>
        <w:rPr>
          <w:noProof/>
        </w:rPr>
      </w:r>
      <w:r>
        <w:rPr>
          <w:noProof/>
        </w:rPr>
        <w:fldChar w:fldCharType="separate"/>
      </w:r>
      <w:r w:rsidRPr="005372AD">
        <w:rPr>
          <w:noProof/>
          <w:lang w:val="fr-CH"/>
        </w:rPr>
        <w:t>4</w:t>
      </w:r>
      <w:r>
        <w:rPr>
          <w:noProof/>
        </w:rPr>
        <w:fldChar w:fldCharType="end"/>
      </w:r>
    </w:p>
    <w:p w:rsidR="000C0499" w:rsidRPr="00FC0917" w:rsidRDefault="000C0499" w:rsidP="00FC0917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fr-CH" w:eastAsia="fr-CH"/>
        </w:rPr>
      </w:pPr>
      <w:r w:rsidRPr="00FC0917">
        <w:rPr>
          <w:noProof/>
          <w:lang w:val="fr-CH"/>
        </w:rPr>
        <w:t>Procédures de groupement des variétés au moyen des codes UPOV et des sources d’information pertinentes</w:t>
      </w:r>
      <w:r w:rsidRPr="00FC0917">
        <w:rPr>
          <w:noProof/>
          <w:lang w:val="fr-CH"/>
        </w:rPr>
        <w:tab/>
      </w:r>
      <w:r>
        <w:rPr>
          <w:noProof/>
        </w:rPr>
        <w:fldChar w:fldCharType="begin"/>
      </w:r>
      <w:r w:rsidRPr="00FC0917">
        <w:rPr>
          <w:noProof/>
          <w:lang w:val="fr-CH"/>
        </w:rPr>
        <w:instrText xml:space="preserve"> PAGEREF _Toc81836891 \h </w:instrText>
      </w:r>
      <w:r>
        <w:rPr>
          <w:noProof/>
        </w:rPr>
      </w:r>
      <w:r>
        <w:rPr>
          <w:noProof/>
        </w:rPr>
        <w:fldChar w:fldCharType="separate"/>
      </w:r>
      <w:r w:rsidRPr="00FC0917">
        <w:rPr>
          <w:noProof/>
          <w:lang w:val="fr-CH"/>
        </w:rPr>
        <w:t>4</w:t>
      </w:r>
      <w:r>
        <w:rPr>
          <w:noProof/>
        </w:rPr>
        <w:fldChar w:fldCharType="end"/>
      </w:r>
    </w:p>
    <w:p w:rsidR="000C0499" w:rsidRPr="005372AD" w:rsidRDefault="000C0499" w:rsidP="00FC0917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fr-CH" w:eastAsia="fr-CH"/>
        </w:rPr>
      </w:pPr>
      <w:r w:rsidRPr="005372AD">
        <w:rPr>
          <w:noProof/>
          <w:lang w:val="fr-CH"/>
        </w:rPr>
        <w:t>Communication d’informations sur des variétés voisines dans le Formulaire UPOV de description variétale</w:t>
      </w:r>
      <w:r w:rsidRPr="005372AD">
        <w:rPr>
          <w:noProof/>
          <w:lang w:val="fr-CH"/>
        </w:rPr>
        <w:tab/>
      </w:r>
      <w:r>
        <w:rPr>
          <w:noProof/>
        </w:rPr>
        <w:fldChar w:fldCharType="begin"/>
      </w:r>
      <w:r w:rsidRPr="005372AD">
        <w:rPr>
          <w:noProof/>
          <w:lang w:val="fr-CH"/>
        </w:rPr>
        <w:instrText xml:space="preserve"> PAGEREF _Toc81836892 \h </w:instrText>
      </w:r>
      <w:r>
        <w:rPr>
          <w:noProof/>
        </w:rPr>
      </w:r>
      <w:r>
        <w:rPr>
          <w:noProof/>
        </w:rPr>
        <w:fldChar w:fldCharType="separate"/>
      </w:r>
      <w:r w:rsidRPr="005372AD">
        <w:rPr>
          <w:noProof/>
          <w:lang w:val="fr-CH"/>
        </w:rPr>
        <w:t>4</w:t>
      </w:r>
      <w:r>
        <w:rPr>
          <w:noProof/>
        </w:rPr>
        <w:fldChar w:fldCharType="end"/>
      </w:r>
    </w:p>
    <w:p w:rsidR="000C0499" w:rsidRPr="005372AD" w:rsidRDefault="000C0499" w:rsidP="00FC0917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fr-CH" w:eastAsia="fr-CH"/>
        </w:rPr>
      </w:pPr>
      <w:r w:rsidRPr="005372AD">
        <w:rPr>
          <w:noProof/>
          <w:lang w:val="fr-CH"/>
        </w:rPr>
        <w:t>Évaluation des plantes ornementales au moyen de mesures individuelles (MS)</w:t>
      </w:r>
      <w:r w:rsidRPr="005372AD">
        <w:rPr>
          <w:noProof/>
          <w:lang w:val="fr-CH"/>
        </w:rPr>
        <w:tab/>
      </w:r>
      <w:r>
        <w:rPr>
          <w:noProof/>
        </w:rPr>
        <w:fldChar w:fldCharType="begin"/>
      </w:r>
      <w:r w:rsidRPr="005372AD">
        <w:rPr>
          <w:noProof/>
          <w:lang w:val="fr-CH"/>
        </w:rPr>
        <w:instrText xml:space="preserve"> PAGEREF _Toc81836893 \h </w:instrText>
      </w:r>
      <w:r>
        <w:rPr>
          <w:noProof/>
        </w:rPr>
      </w:r>
      <w:r>
        <w:rPr>
          <w:noProof/>
        </w:rPr>
        <w:fldChar w:fldCharType="separate"/>
      </w:r>
      <w:r w:rsidRPr="005372AD">
        <w:rPr>
          <w:noProof/>
          <w:lang w:val="fr-CH"/>
        </w:rPr>
        <w:t>4</w:t>
      </w:r>
      <w:r>
        <w:rPr>
          <w:noProof/>
        </w:rPr>
        <w:fldChar w:fldCharType="end"/>
      </w:r>
    </w:p>
    <w:p w:rsidR="000C0499" w:rsidRPr="005372AD" w:rsidRDefault="000C0499" w:rsidP="00FC0917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fr-CH" w:eastAsia="fr-CH"/>
        </w:rPr>
      </w:pPr>
      <w:r w:rsidRPr="005372AD">
        <w:rPr>
          <w:noProof/>
          <w:lang w:val="fr-CH"/>
        </w:rPr>
        <w:t>Nouvelles technologies en matière d’examen DHS</w:t>
      </w:r>
      <w:r w:rsidRPr="005372AD">
        <w:rPr>
          <w:noProof/>
          <w:lang w:val="fr-CH"/>
        </w:rPr>
        <w:tab/>
      </w:r>
      <w:r>
        <w:rPr>
          <w:noProof/>
        </w:rPr>
        <w:fldChar w:fldCharType="begin"/>
      </w:r>
      <w:r w:rsidRPr="005372AD">
        <w:rPr>
          <w:noProof/>
          <w:lang w:val="fr-CH"/>
        </w:rPr>
        <w:instrText xml:space="preserve"> PAGEREF _Toc81836894 \h </w:instrText>
      </w:r>
      <w:r>
        <w:rPr>
          <w:noProof/>
        </w:rPr>
      </w:r>
      <w:r>
        <w:rPr>
          <w:noProof/>
        </w:rPr>
        <w:fldChar w:fldCharType="separate"/>
      </w:r>
      <w:r w:rsidRPr="005372AD">
        <w:rPr>
          <w:noProof/>
          <w:lang w:val="fr-CH"/>
        </w:rPr>
        <w:t>5</w:t>
      </w:r>
      <w:r>
        <w:rPr>
          <w:noProof/>
        </w:rPr>
        <w:fldChar w:fldCharType="end"/>
      </w:r>
    </w:p>
    <w:p w:rsidR="000C0499" w:rsidRPr="005372AD" w:rsidRDefault="000C0499" w:rsidP="00FC0917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fr-CH" w:eastAsia="fr-CH"/>
        </w:rPr>
      </w:pPr>
      <w:r w:rsidRPr="005372AD">
        <w:rPr>
          <w:noProof/>
          <w:lang w:val="fr-CH"/>
        </w:rPr>
        <w:t>Questions à prendre en considération dans l’examen DHS pour le secteur des variétés fruitières</w:t>
      </w:r>
      <w:r w:rsidRPr="005372AD">
        <w:rPr>
          <w:noProof/>
          <w:lang w:val="fr-CH"/>
        </w:rPr>
        <w:tab/>
      </w:r>
      <w:r>
        <w:rPr>
          <w:noProof/>
        </w:rPr>
        <w:fldChar w:fldCharType="begin"/>
      </w:r>
      <w:r w:rsidRPr="005372AD">
        <w:rPr>
          <w:noProof/>
          <w:lang w:val="fr-CH"/>
        </w:rPr>
        <w:instrText xml:space="preserve"> PAGEREF _Toc81836895 \h </w:instrText>
      </w:r>
      <w:r>
        <w:rPr>
          <w:noProof/>
        </w:rPr>
      </w:r>
      <w:r>
        <w:rPr>
          <w:noProof/>
        </w:rPr>
        <w:fldChar w:fldCharType="separate"/>
      </w:r>
      <w:r w:rsidRPr="005372AD">
        <w:rPr>
          <w:noProof/>
          <w:lang w:val="fr-CH"/>
        </w:rPr>
        <w:t>5</w:t>
      </w:r>
      <w:r>
        <w:rPr>
          <w:noProof/>
        </w:rPr>
        <w:fldChar w:fldCharType="end"/>
      </w:r>
    </w:p>
    <w:p w:rsidR="00D03553" w:rsidRDefault="002D421F" w:rsidP="002D421F">
      <w:pPr>
        <w:rPr>
          <w:rFonts w:ascii="Calibri" w:hAnsi="Calibri"/>
          <w:noProof/>
          <w:sz w:val="22"/>
          <w:szCs w:val="22"/>
          <w:lang w:val="fr-CH"/>
        </w:rPr>
      </w:pPr>
      <w:r w:rsidRPr="002A330A">
        <w:rPr>
          <w:rFonts w:eastAsia="MS Mincho" w:cs="Arial"/>
          <w:bCs/>
          <w:i/>
          <w:noProof/>
          <w:lang w:eastAsia="ja-JP"/>
        </w:rPr>
        <w:fldChar w:fldCharType="end"/>
      </w:r>
      <w:r w:rsidRPr="002A330A">
        <w:rPr>
          <w:caps/>
          <w:sz w:val="18"/>
        </w:rPr>
        <w:fldChar w:fldCharType="begin"/>
      </w:r>
      <w:r w:rsidRPr="000138AF">
        <w:rPr>
          <w:lang w:val="fr-CH"/>
        </w:rPr>
        <w:instrText xml:space="preserve"> TOC \o "1-3" \h \z \u </w:instrText>
      </w:r>
      <w:r w:rsidRPr="002A330A">
        <w:rPr>
          <w:caps/>
          <w:sz w:val="18"/>
        </w:rPr>
        <w:fldChar w:fldCharType="separate"/>
      </w:r>
    </w:p>
    <w:p w:rsidR="00D03553" w:rsidRDefault="002D421F" w:rsidP="002D421F">
      <w:pPr>
        <w:tabs>
          <w:tab w:val="left" w:pos="567"/>
        </w:tabs>
        <w:rPr>
          <w:rFonts w:cs="Arial"/>
          <w:lang w:val="fr-CH"/>
        </w:rPr>
      </w:pPr>
      <w:r w:rsidRPr="002A330A">
        <w:fldChar w:fldCharType="end"/>
      </w:r>
    </w:p>
    <w:p w:rsidR="00D03553" w:rsidRDefault="00F124A2" w:rsidP="00F124A2">
      <w:pPr>
        <w:keepNext/>
        <w:outlineLvl w:val="0"/>
        <w:rPr>
          <w:rFonts w:eastAsia="PMingLiU"/>
          <w:caps/>
          <w:szCs w:val="24"/>
          <w:lang w:val="fr-CH"/>
        </w:rPr>
      </w:pPr>
      <w:bookmarkStart w:id="4" w:name="_Toc81836885"/>
      <w:r w:rsidRPr="00D03553">
        <w:rPr>
          <w:rFonts w:eastAsia="PMingLiU"/>
          <w:caps/>
          <w:szCs w:val="24"/>
          <w:lang w:val="fr-CH"/>
        </w:rPr>
        <w:t>Questions pour information et décision éventuelle du Comité technique (TC)</w:t>
      </w:r>
      <w:bookmarkEnd w:id="4"/>
    </w:p>
    <w:p w:rsidR="00D03553" w:rsidRDefault="00D03553" w:rsidP="002D421F">
      <w:pPr>
        <w:rPr>
          <w:lang w:val="fr-CH"/>
        </w:rPr>
      </w:pPr>
    </w:p>
    <w:p w:rsidR="00D03553" w:rsidRDefault="002D421F" w:rsidP="00F124A2">
      <w:pPr>
        <w:rPr>
          <w:lang w:val="fr-CH"/>
        </w:rPr>
      </w:pPr>
      <w:r w:rsidRPr="00D03553">
        <w:fldChar w:fldCharType="begin"/>
      </w:r>
      <w:r w:rsidRPr="00D03553">
        <w:rPr>
          <w:lang w:val="fr-CH"/>
        </w:rPr>
        <w:instrText xml:space="preserve"> AUTONUM  </w:instrText>
      </w:r>
      <w:r w:rsidRPr="00D03553">
        <w:fldChar w:fldCharType="end"/>
      </w:r>
      <w:r w:rsidRPr="00D03553">
        <w:rPr>
          <w:lang w:val="fr-CH"/>
        </w:rPr>
        <w:tab/>
      </w:r>
      <w:r w:rsidR="00F124A2" w:rsidRPr="00D03553">
        <w:rPr>
          <w:lang w:val="fr-CH"/>
        </w:rPr>
        <w:t>Il n</w:t>
      </w:r>
      <w:r w:rsidR="00CA20AA">
        <w:rPr>
          <w:lang w:val="fr-CH"/>
        </w:rPr>
        <w:t>’</w:t>
      </w:r>
      <w:r w:rsidR="00F124A2" w:rsidRPr="00D03553">
        <w:rPr>
          <w:lang w:val="fr-CH"/>
        </w:rPr>
        <w:t xml:space="preserve">y a aucune question nécessitant une prise de décision de la part du Comité technique </w:t>
      </w:r>
      <w:r w:rsidR="00D03553">
        <w:rPr>
          <w:lang w:val="fr-CH"/>
        </w:rPr>
        <w:t>à</w:t>
      </w:r>
      <w:r w:rsidR="00F124A2" w:rsidRPr="00D03553">
        <w:rPr>
          <w:lang w:val="fr-CH"/>
        </w:rPr>
        <w:t xml:space="preserve"> sa cinquante</w:t>
      </w:r>
      <w:r w:rsidR="00CA20AA">
        <w:rPr>
          <w:lang w:val="fr-CH"/>
        </w:rPr>
        <w:t>-</w:t>
      </w:r>
      <w:r w:rsidR="00F124A2" w:rsidRPr="00D03553">
        <w:rPr>
          <w:lang w:val="fr-CH"/>
        </w:rPr>
        <w:t>sept</w:t>
      </w:r>
      <w:r w:rsidR="00CA20AA">
        <w:rPr>
          <w:lang w:val="fr-CH"/>
        </w:rPr>
        <w:t>ième session</w:t>
      </w:r>
      <w:r w:rsidR="00F124A2" w:rsidRPr="00D03553">
        <w:rPr>
          <w:lang w:val="fr-CH"/>
        </w:rPr>
        <w:t>.</w:t>
      </w:r>
    </w:p>
    <w:p w:rsidR="00D03553" w:rsidRDefault="00D03553" w:rsidP="002D421F">
      <w:pPr>
        <w:rPr>
          <w:lang w:val="fr-CH"/>
        </w:rPr>
      </w:pPr>
    </w:p>
    <w:p w:rsidR="00D03553" w:rsidRDefault="00D03553" w:rsidP="002D421F">
      <w:pPr>
        <w:rPr>
          <w:lang w:val="fr-CH"/>
        </w:rPr>
      </w:pPr>
    </w:p>
    <w:p w:rsidR="00D03553" w:rsidRDefault="00F124A2" w:rsidP="00F124A2">
      <w:pPr>
        <w:keepNext/>
        <w:outlineLvl w:val="0"/>
        <w:rPr>
          <w:caps/>
          <w:lang w:val="fr-CH"/>
        </w:rPr>
      </w:pPr>
      <w:bookmarkStart w:id="5" w:name="_Toc81836886"/>
      <w:r w:rsidRPr="00D03553">
        <w:rPr>
          <w:caps/>
          <w:lang w:val="fr-CH"/>
        </w:rPr>
        <w:t>Questions pour information</w:t>
      </w:r>
      <w:bookmarkEnd w:id="5"/>
    </w:p>
    <w:p w:rsidR="00D03553" w:rsidRDefault="00D03553" w:rsidP="002D421F">
      <w:pPr>
        <w:rPr>
          <w:lang w:val="fr-CH"/>
        </w:rPr>
      </w:pPr>
    </w:p>
    <w:p w:rsidR="00D03553" w:rsidRDefault="00F124A2" w:rsidP="0000071F">
      <w:pPr>
        <w:pStyle w:val="Heading2"/>
      </w:pPr>
      <w:bookmarkStart w:id="6" w:name="_Toc81836887"/>
      <w:r w:rsidRPr="00D03553">
        <w:t>Accès au matériel végétal aux fins de la gestion des collections de variétés et de l</w:t>
      </w:r>
      <w:r w:rsidR="00CA20AA">
        <w:t>’</w:t>
      </w:r>
      <w:r w:rsidRPr="00D03553">
        <w:t>examen</w:t>
      </w:r>
      <w:r w:rsidR="000E245E" w:rsidRPr="00D03553">
        <w:t> </w:t>
      </w:r>
      <w:r w:rsidR="00AE68AA" w:rsidRPr="00D03553">
        <w:t>DHS</w:t>
      </w:r>
      <w:bookmarkEnd w:id="6"/>
    </w:p>
    <w:p w:rsidR="00D03553" w:rsidRDefault="00D03553" w:rsidP="002D421F">
      <w:pPr>
        <w:jc w:val="left"/>
        <w:rPr>
          <w:lang w:val="fr-CH"/>
        </w:rPr>
      </w:pPr>
    </w:p>
    <w:p w:rsidR="00D03553" w:rsidRDefault="002D421F" w:rsidP="00821D99">
      <w:pPr>
        <w:rPr>
          <w:lang w:val="fr-CH"/>
        </w:rPr>
      </w:pPr>
      <w:r w:rsidRPr="00D03553">
        <w:fldChar w:fldCharType="begin"/>
      </w:r>
      <w:r w:rsidRPr="00D03553">
        <w:rPr>
          <w:lang w:val="fr-CH"/>
        </w:rPr>
        <w:instrText xml:space="preserve"> AUTONUM  </w:instrText>
      </w:r>
      <w:r w:rsidRPr="00D03553">
        <w:fldChar w:fldCharType="end"/>
      </w:r>
      <w:r w:rsidRPr="00D03553">
        <w:rPr>
          <w:lang w:val="fr-CH"/>
        </w:rPr>
        <w:tab/>
      </w:r>
      <w:r w:rsidR="00821D99" w:rsidRPr="00D03553">
        <w:rPr>
          <w:lang w:val="fr-CH"/>
        </w:rPr>
        <w:t>Le TWF</w:t>
      </w:r>
      <w:r w:rsidR="00821D99" w:rsidRPr="00D03553">
        <w:rPr>
          <w:rStyle w:val="FootnoteReference"/>
          <w:lang w:val="en-US"/>
        </w:rPr>
        <w:footnoteReference w:id="8"/>
      </w:r>
      <w:r w:rsidR="00821D99" w:rsidRPr="00D03553">
        <w:rPr>
          <w:lang w:val="fr-CH"/>
        </w:rPr>
        <w:t xml:space="preserve"> a examiné le </w:t>
      </w:r>
      <w:r w:rsidR="00CA20AA" w:rsidRPr="00D03553">
        <w:rPr>
          <w:lang w:val="fr-CH"/>
        </w:rPr>
        <w:t>document</w:t>
      </w:r>
      <w:r w:rsidR="00CA20AA">
        <w:rPr>
          <w:lang w:val="fr-CH"/>
        </w:rPr>
        <w:t xml:space="preserve"> </w:t>
      </w:r>
      <w:r w:rsidR="00CA20AA" w:rsidRPr="00D03553">
        <w:rPr>
          <w:lang w:val="fr-CH"/>
        </w:rPr>
        <w:t>TW</w:t>
      </w:r>
      <w:r w:rsidR="00821D99" w:rsidRPr="00D03553">
        <w:rPr>
          <w:lang w:val="fr-CH"/>
        </w:rPr>
        <w:t xml:space="preserve">F/52/5 et suivi un exposé intitulé “DUS Access to plant </w:t>
      </w:r>
      <w:proofErr w:type="spellStart"/>
      <w:r w:rsidR="00821D99" w:rsidRPr="00D03553">
        <w:rPr>
          <w:lang w:val="fr-CH"/>
        </w:rPr>
        <w:t>material</w:t>
      </w:r>
      <w:proofErr w:type="spellEnd"/>
      <w:r w:rsidR="00821D99" w:rsidRPr="00D03553">
        <w:rPr>
          <w:lang w:val="fr-CH"/>
        </w:rPr>
        <w:t xml:space="preserve"> for the </w:t>
      </w:r>
      <w:proofErr w:type="spellStart"/>
      <w:r w:rsidR="00821D99" w:rsidRPr="00D03553">
        <w:rPr>
          <w:lang w:val="fr-CH"/>
        </w:rPr>
        <w:t>purpose</w:t>
      </w:r>
      <w:proofErr w:type="spellEnd"/>
      <w:r w:rsidR="00821D99" w:rsidRPr="00D03553">
        <w:rPr>
          <w:lang w:val="fr-CH"/>
        </w:rPr>
        <w:t xml:space="preserve"> of management of </w:t>
      </w:r>
      <w:proofErr w:type="spellStart"/>
      <w:r w:rsidR="00821D99" w:rsidRPr="00D03553">
        <w:rPr>
          <w:lang w:val="fr-CH"/>
        </w:rPr>
        <w:t>variety</w:t>
      </w:r>
      <w:proofErr w:type="spellEnd"/>
      <w:r w:rsidR="00821D99" w:rsidRPr="00D03553">
        <w:rPr>
          <w:lang w:val="fr-CH"/>
        </w:rPr>
        <w:t xml:space="preserve"> collections and DUS </w:t>
      </w:r>
      <w:proofErr w:type="spellStart"/>
      <w:r w:rsidR="00821D99" w:rsidRPr="00D03553">
        <w:rPr>
          <w:lang w:val="fr-CH"/>
        </w:rPr>
        <w:t>examination</w:t>
      </w:r>
      <w:proofErr w:type="spellEnd"/>
      <w:r w:rsidR="00F215F4" w:rsidRPr="00D03553">
        <w:rPr>
          <w:lang w:val="fr-CH"/>
        </w:rPr>
        <w:t xml:space="preserve"> – </w:t>
      </w:r>
      <w:r w:rsidR="00821D99" w:rsidRPr="00D03553">
        <w:rPr>
          <w:lang w:val="fr-CH"/>
        </w:rPr>
        <w:t xml:space="preserve">The CPVO </w:t>
      </w:r>
      <w:proofErr w:type="spellStart"/>
      <w:r w:rsidR="00821D99" w:rsidRPr="00D03553">
        <w:rPr>
          <w:lang w:val="fr-CH"/>
        </w:rPr>
        <w:t>policy</w:t>
      </w:r>
      <w:proofErr w:type="spellEnd"/>
      <w:r w:rsidR="00821D99" w:rsidRPr="00D03553">
        <w:rPr>
          <w:lang w:val="fr-CH"/>
        </w:rPr>
        <w:t xml:space="preserve">” </w:t>
      </w:r>
      <w:r w:rsidR="00BC004F">
        <w:rPr>
          <w:lang w:val="fr-CH"/>
        </w:rPr>
        <w:t>(</w:t>
      </w:r>
      <w:r w:rsidR="00393E01">
        <w:rPr>
          <w:lang w:val="fr-CH"/>
        </w:rPr>
        <w:t>A</w:t>
      </w:r>
      <w:r w:rsidR="00BC004F" w:rsidRPr="00BC004F">
        <w:rPr>
          <w:lang w:val="fr-CH"/>
        </w:rPr>
        <w:t>ccès au matériel végétal aux fins de la gestion des collections de variétés et de l</w:t>
      </w:r>
      <w:r w:rsidR="00CA20AA">
        <w:rPr>
          <w:lang w:val="fr-CH"/>
        </w:rPr>
        <w:t>’</w:t>
      </w:r>
      <w:r w:rsidR="00BC004F" w:rsidRPr="00BC004F">
        <w:rPr>
          <w:lang w:val="fr-CH"/>
        </w:rPr>
        <w:t>examen</w:t>
      </w:r>
      <w:r w:rsidR="003772C8">
        <w:rPr>
          <w:lang w:val="fr-CH"/>
        </w:rPr>
        <w:t> </w:t>
      </w:r>
      <w:r w:rsidR="00BC004F" w:rsidRPr="00BC004F">
        <w:rPr>
          <w:lang w:val="fr-CH"/>
        </w:rPr>
        <w:t xml:space="preserve">DHS </w:t>
      </w:r>
      <w:r w:rsidR="00BC004F">
        <w:rPr>
          <w:lang w:val="fr-CH"/>
        </w:rPr>
        <w:t>– Les principes directeurs de l</w:t>
      </w:r>
      <w:r w:rsidR="00CA20AA">
        <w:rPr>
          <w:lang w:val="fr-CH"/>
        </w:rPr>
        <w:t>’</w:t>
      </w:r>
      <w:r w:rsidR="00BC004F">
        <w:rPr>
          <w:lang w:val="fr-CH"/>
        </w:rPr>
        <w:t xml:space="preserve">OCVV), </w:t>
      </w:r>
      <w:r w:rsidR="00821D99" w:rsidRPr="00D03553">
        <w:rPr>
          <w:lang w:val="fr-CH"/>
        </w:rPr>
        <w:t>présenté par un expert de l</w:t>
      </w:r>
      <w:r w:rsidR="00CA20AA">
        <w:rPr>
          <w:lang w:val="fr-CH"/>
        </w:rPr>
        <w:t>’</w:t>
      </w:r>
      <w:r w:rsidR="00821D99" w:rsidRPr="00D03553">
        <w:rPr>
          <w:lang w:val="fr-CH"/>
        </w:rPr>
        <w:t>Union européen</w:t>
      </w:r>
      <w:r w:rsidR="000C0499" w:rsidRPr="00D03553">
        <w:rPr>
          <w:lang w:val="fr-CH"/>
        </w:rPr>
        <w:t>ne</w:t>
      </w:r>
      <w:r w:rsidR="000C0499">
        <w:rPr>
          <w:lang w:val="fr-CH"/>
        </w:rPr>
        <w:t xml:space="preserve">.  </w:t>
      </w:r>
      <w:r w:rsidR="000C0499" w:rsidRPr="00D03553">
        <w:rPr>
          <w:lang w:val="fr-CH"/>
        </w:rPr>
        <w:t>Le</w:t>
      </w:r>
      <w:r w:rsidR="00821D99" w:rsidRPr="00D03553">
        <w:rPr>
          <w:lang w:val="fr-CH"/>
        </w:rPr>
        <w:t xml:space="preserve"> texte de cet exposé </w:t>
      </w:r>
      <w:r w:rsidR="00393E01">
        <w:rPr>
          <w:lang w:val="fr-CH"/>
        </w:rPr>
        <w:t>fait l</w:t>
      </w:r>
      <w:r w:rsidR="00CA20AA">
        <w:rPr>
          <w:lang w:val="fr-CH"/>
        </w:rPr>
        <w:t>’</w:t>
      </w:r>
      <w:r w:rsidR="00393E01">
        <w:rPr>
          <w:lang w:val="fr-CH"/>
        </w:rPr>
        <w:t xml:space="preserve">objet de </w:t>
      </w:r>
      <w:r w:rsidR="00821D99" w:rsidRPr="00D03553">
        <w:rPr>
          <w:lang w:val="fr-CH"/>
        </w:rPr>
        <w:t>l</w:t>
      </w:r>
      <w:r w:rsidR="00CA20AA">
        <w:rPr>
          <w:lang w:val="fr-CH"/>
        </w:rPr>
        <w:t>’</w:t>
      </w:r>
      <w:r w:rsidR="00821D99" w:rsidRPr="00D03553">
        <w:rPr>
          <w:lang w:val="fr-CH"/>
        </w:rPr>
        <w:t xml:space="preserve">annexe du </w:t>
      </w:r>
      <w:r w:rsidR="00CA20AA" w:rsidRPr="00D03553">
        <w:rPr>
          <w:lang w:val="fr-CH"/>
        </w:rPr>
        <w:t>document</w:t>
      </w:r>
      <w:r w:rsidR="00CA20AA">
        <w:rPr>
          <w:lang w:val="fr-CH"/>
        </w:rPr>
        <w:t xml:space="preserve"> </w:t>
      </w:r>
      <w:r w:rsidR="00CA20AA" w:rsidRPr="00D03553">
        <w:rPr>
          <w:lang w:val="fr-CH"/>
        </w:rPr>
        <w:t>TW</w:t>
      </w:r>
      <w:r w:rsidR="00821D99" w:rsidRPr="00D03553">
        <w:rPr>
          <w:lang w:val="fr-CH"/>
        </w:rPr>
        <w:t xml:space="preserve">F/52/5 (voir les </w:t>
      </w:r>
      <w:r w:rsidR="00F215F4" w:rsidRPr="00D03553">
        <w:rPr>
          <w:lang w:val="fr-CH"/>
        </w:rPr>
        <w:t>paragraphes 6</w:t>
      </w:r>
      <w:r w:rsidR="00821D99" w:rsidRPr="00D03553">
        <w:rPr>
          <w:lang w:val="fr-CH"/>
        </w:rPr>
        <w:t xml:space="preserve">4 et 65 du </w:t>
      </w:r>
      <w:r w:rsidR="00CA20AA" w:rsidRPr="00D03553">
        <w:rPr>
          <w:lang w:val="fr-CH"/>
        </w:rPr>
        <w:t>document</w:t>
      </w:r>
      <w:r w:rsidR="00CA20AA">
        <w:rPr>
          <w:lang w:val="fr-CH"/>
        </w:rPr>
        <w:t xml:space="preserve"> </w:t>
      </w:r>
      <w:r w:rsidR="00CA20AA" w:rsidRPr="00D03553">
        <w:rPr>
          <w:lang w:val="fr-CH"/>
        </w:rPr>
        <w:t>TW</w:t>
      </w:r>
      <w:r w:rsidR="00821D99" w:rsidRPr="00D03553">
        <w:rPr>
          <w:lang w:val="fr-CH"/>
        </w:rPr>
        <w:t>F/52/10 “Report”).</w:t>
      </w:r>
    </w:p>
    <w:p w:rsidR="00D03553" w:rsidRDefault="00D03553" w:rsidP="002D421F">
      <w:pPr>
        <w:jc w:val="left"/>
        <w:rPr>
          <w:lang w:val="fr-CH"/>
        </w:rPr>
      </w:pPr>
    </w:p>
    <w:p w:rsidR="00D03553" w:rsidRDefault="002D421F" w:rsidP="00677F61">
      <w:pPr>
        <w:rPr>
          <w:lang w:val="fr-CH"/>
        </w:rPr>
      </w:pPr>
      <w:r w:rsidRPr="00797949">
        <w:fldChar w:fldCharType="begin"/>
      </w:r>
      <w:r w:rsidRPr="009018E9">
        <w:rPr>
          <w:lang w:val="fr-CH"/>
        </w:rPr>
        <w:instrText xml:space="preserve"> AUTONUM  </w:instrText>
      </w:r>
      <w:r w:rsidRPr="00797949">
        <w:fldChar w:fldCharType="end"/>
      </w:r>
      <w:r w:rsidRPr="009018E9">
        <w:rPr>
          <w:lang w:val="fr-CH"/>
        </w:rPr>
        <w:tab/>
      </w:r>
      <w:r w:rsidR="009018E9" w:rsidRPr="009018E9">
        <w:rPr>
          <w:color w:val="000000"/>
          <w:lang w:val="fr-CH"/>
        </w:rPr>
        <w:t>Le TWF est conv</w:t>
      </w:r>
      <w:r w:rsidR="004E021A">
        <w:rPr>
          <w:color w:val="000000"/>
          <w:lang w:val="fr-CH"/>
        </w:rPr>
        <w:t>en</w:t>
      </w:r>
      <w:r w:rsidR="009018E9" w:rsidRPr="009018E9">
        <w:rPr>
          <w:color w:val="000000"/>
          <w:lang w:val="fr-CH"/>
        </w:rPr>
        <w:t>u d</w:t>
      </w:r>
      <w:r w:rsidR="00CA20AA">
        <w:rPr>
          <w:color w:val="000000"/>
          <w:lang w:val="fr-CH"/>
        </w:rPr>
        <w:t>’</w:t>
      </w:r>
      <w:r w:rsidR="009018E9" w:rsidRPr="009018E9">
        <w:rPr>
          <w:color w:val="000000"/>
          <w:lang w:val="fr-CH"/>
        </w:rPr>
        <w:t>inviter l</w:t>
      </w:r>
      <w:r w:rsidR="00CA20AA">
        <w:rPr>
          <w:color w:val="000000"/>
          <w:lang w:val="fr-CH"/>
        </w:rPr>
        <w:t>’</w:t>
      </w:r>
      <w:r w:rsidR="009018E9" w:rsidRPr="009018E9">
        <w:rPr>
          <w:color w:val="000000"/>
          <w:lang w:val="fr-CH"/>
        </w:rPr>
        <w:t>expert de l</w:t>
      </w:r>
      <w:r w:rsidR="00CA20AA">
        <w:rPr>
          <w:color w:val="000000"/>
          <w:lang w:val="fr-CH"/>
        </w:rPr>
        <w:t>’</w:t>
      </w:r>
      <w:r w:rsidR="009018E9" w:rsidRPr="009018E9">
        <w:rPr>
          <w:color w:val="000000"/>
          <w:lang w:val="fr-CH"/>
        </w:rPr>
        <w:t>Union européenne à rédiger, avec le concours du Brésil, du Canada, de l</w:t>
      </w:r>
      <w:r w:rsidR="00CA20AA">
        <w:rPr>
          <w:color w:val="000000"/>
          <w:lang w:val="fr-CH"/>
        </w:rPr>
        <w:t>’</w:t>
      </w:r>
      <w:r w:rsidR="009018E9" w:rsidRPr="009018E9">
        <w:rPr>
          <w:color w:val="000000"/>
          <w:lang w:val="fr-CH"/>
        </w:rPr>
        <w:t>Espagne, de la France, de l</w:t>
      </w:r>
      <w:r w:rsidR="00CA20AA">
        <w:rPr>
          <w:color w:val="000000"/>
          <w:lang w:val="fr-CH"/>
        </w:rPr>
        <w:t>’</w:t>
      </w:r>
      <w:r w:rsidR="009018E9" w:rsidRPr="009018E9">
        <w:rPr>
          <w:color w:val="000000"/>
          <w:lang w:val="fr-CH"/>
        </w:rPr>
        <w:t>Italie, de la Nouvelle</w:t>
      </w:r>
      <w:r w:rsidR="00CA20AA">
        <w:rPr>
          <w:color w:val="000000"/>
          <w:lang w:val="fr-CH"/>
        </w:rPr>
        <w:t>-</w:t>
      </w:r>
      <w:r w:rsidR="009018E9" w:rsidRPr="009018E9">
        <w:rPr>
          <w:color w:val="000000"/>
          <w:lang w:val="fr-CH"/>
        </w:rPr>
        <w:t>Zélande et des Pays</w:t>
      </w:r>
      <w:r w:rsidR="00CA20AA">
        <w:rPr>
          <w:color w:val="000000"/>
          <w:lang w:val="fr-CH"/>
        </w:rPr>
        <w:t>-</w:t>
      </w:r>
      <w:r w:rsidR="009018E9" w:rsidRPr="009018E9">
        <w:rPr>
          <w:color w:val="000000"/>
          <w:lang w:val="fr-CH"/>
        </w:rPr>
        <w:t>Bas, une proposition de lettres/contrats types à utiliser pour la fourniture de matériel végétal au service de protection des obtentions végétales ou aux services chargés de l</w:t>
      </w:r>
      <w:r w:rsidR="00CA20AA">
        <w:rPr>
          <w:color w:val="000000"/>
          <w:lang w:val="fr-CH"/>
        </w:rPr>
        <w:t>’</w:t>
      </w:r>
      <w:r w:rsidR="009018E9" w:rsidRPr="009018E9">
        <w:rPr>
          <w:color w:val="000000"/>
          <w:lang w:val="fr-CH"/>
        </w:rPr>
        <w:t>examen</w:t>
      </w:r>
      <w:r w:rsidR="000E245E">
        <w:rPr>
          <w:color w:val="000000"/>
          <w:lang w:val="fr-CH"/>
        </w:rPr>
        <w:t> </w:t>
      </w:r>
      <w:r w:rsidR="000C0499" w:rsidRPr="009018E9">
        <w:rPr>
          <w:color w:val="000000"/>
          <w:lang w:val="fr-CH"/>
        </w:rPr>
        <w:t>DHS</w:t>
      </w:r>
      <w:r w:rsidR="000C0499">
        <w:rPr>
          <w:color w:val="000000"/>
          <w:lang w:val="fr-CH"/>
        </w:rPr>
        <w:t xml:space="preserve">.  </w:t>
      </w:r>
      <w:r w:rsidR="000C0499" w:rsidRPr="00677F61">
        <w:rPr>
          <w:color w:val="000000"/>
          <w:lang w:val="fr-CH"/>
        </w:rPr>
        <w:t>Ce</w:t>
      </w:r>
      <w:r w:rsidR="00677F61" w:rsidRPr="00677F61">
        <w:rPr>
          <w:color w:val="000000"/>
          <w:lang w:val="fr-CH"/>
        </w:rPr>
        <w:t xml:space="preserve"> projet serait présenté à la cinquante</w:t>
      </w:r>
      <w:r w:rsidR="00CA20AA">
        <w:rPr>
          <w:color w:val="000000"/>
          <w:lang w:val="fr-CH"/>
        </w:rPr>
        <w:t>-</w:t>
      </w:r>
      <w:r w:rsidR="00677F61" w:rsidRPr="00677F61">
        <w:rPr>
          <w:color w:val="000000"/>
          <w:lang w:val="fr-CH"/>
        </w:rPr>
        <w:t>trois</w:t>
      </w:r>
      <w:r w:rsidR="00CA20AA">
        <w:rPr>
          <w:color w:val="000000"/>
          <w:lang w:val="fr-CH"/>
        </w:rPr>
        <w:t>ième session</w:t>
      </w:r>
      <w:r w:rsidR="00677F61" w:rsidRPr="00677F61">
        <w:rPr>
          <w:color w:val="000000"/>
          <w:lang w:val="fr-CH"/>
        </w:rPr>
        <w:t xml:space="preserve"> et pourrait être utilisé comme point de départ d</w:t>
      </w:r>
      <w:r w:rsidR="00CA20AA">
        <w:rPr>
          <w:color w:val="000000"/>
          <w:lang w:val="fr-CH"/>
        </w:rPr>
        <w:t>’</w:t>
      </w:r>
      <w:r w:rsidR="00677F61" w:rsidRPr="00677F61">
        <w:rPr>
          <w:color w:val="000000"/>
          <w:lang w:val="fr-CH"/>
        </w:rPr>
        <w:t>éventuelles révisions des orientations de l</w:t>
      </w:r>
      <w:r w:rsidR="00CA20AA">
        <w:rPr>
          <w:color w:val="000000"/>
          <w:lang w:val="fr-CH"/>
        </w:rPr>
        <w:t>’</w:t>
      </w:r>
      <w:r w:rsidR="00677F61" w:rsidRPr="00677F61">
        <w:rPr>
          <w:color w:val="000000"/>
          <w:lang w:val="fr-CH"/>
        </w:rPr>
        <w:t xml:space="preserve">UPOV (par exemple, le document TGP/5, </w:t>
      </w:r>
      <w:r w:rsidR="00F215F4" w:rsidRPr="00677F61">
        <w:rPr>
          <w:color w:val="000000"/>
          <w:lang w:val="fr-CH"/>
        </w:rPr>
        <w:t>section</w:t>
      </w:r>
      <w:r w:rsidR="00F215F4">
        <w:rPr>
          <w:color w:val="000000"/>
          <w:lang w:val="fr-CH"/>
        </w:rPr>
        <w:t> </w:t>
      </w:r>
      <w:r w:rsidR="00F215F4" w:rsidRPr="00677F61">
        <w:rPr>
          <w:color w:val="000000"/>
          <w:lang w:val="fr-CH"/>
        </w:rPr>
        <w:t>1</w:t>
      </w:r>
      <w:r w:rsidR="00677F61" w:rsidRPr="00677F61">
        <w:rPr>
          <w:color w:val="000000"/>
          <w:lang w:val="fr-CH"/>
        </w:rPr>
        <w:t>1</w:t>
      </w:r>
      <w:r w:rsidR="004E021A">
        <w:rPr>
          <w:color w:val="000000"/>
          <w:lang w:val="fr-CH"/>
        </w:rPr>
        <w:t> </w:t>
      </w:r>
      <w:r w:rsidR="00677F61" w:rsidRPr="00677F61">
        <w:rPr>
          <w:color w:val="000000"/>
          <w:lang w:val="fr-CH"/>
        </w:rPr>
        <w:t>“Exemples de politiques et de contrats en ce qui concerne le matériel fourni par l</w:t>
      </w:r>
      <w:r w:rsidR="00CA20AA">
        <w:rPr>
          <w:color w:val="000000"/>
          <w:lang w:val="fr-CH"/>
        </w:rPr>
        <w:t>’</w:t>
      </w:r>
      <w:r w:rsidR="00677F61" w:rsidRPr="00677F61">
        <w:rPr>
          <w:color w:val="000000"/>
          <w:lang w:val="fr-CH"/>
        </w:rPr>
        <w:t>obtenteur”), afin d</w:t>
      </w:r>
      <w:r w:rsidR="00CA20AA">
        <w:rPr>
          <w:color w:val="000000"/>
          <w:lang w:val="fr-CH"/>
        </w:rPr>
        <w:t>’</w:t>
      </w:r>
      <w:r w:rsidR="00677F61" w:rsidRPr="00677F61">
        <w:rPr>
          <w:color w:val="000000"/>
          <w:lang w:val="fr-CH"/>
        </w:rPr>
        <w:t>aider d</w:t>
      </w:r>
      <w:r w:rsidR="00CA20AA">
        <w:rPr>
          <w:color w:val="000000"/>
          <w:lang w:val="fr-CH"/>
        </w:rPr>
        <w:t>’</w:t>
      </w:r>
      <w:r w:rsidR="00677F61" w:rsidRPr="00677F61">
        <w:rPr>
          <w:color w:val="000000"/>
          <w:lang w:val="fr-CH"/>
        </w:rPr>
        <w:t>autres membres de l</w:t>
      </w:r>
      <w:r w:rsidR="00CA20AA">
        <w:rPr>
          <w:color w:val="000000"/>
          <w:lang w:val="fr-CH"/>
        </w:rPr>
        <w:t>’</w:t>
      </w:r>
      <w:r w:rsidR="00677F61" w:rsidRPr="00677F61">
        <w:rPr>
          <w:color w:val="000000"/>
          <w:lang w:val="fr-CH"/>
        </w:rPr>
        <w:t>UPOV à faciliter l</w:t>
      </w:r>
      <w:r w:rsidR="00CA20AA">
        <w:rPr>
          <w:color w:val="000000"/>
          <w:lang w:val="fr-CH"/>
        </w:rPr>
        <w:t>’</w:t>
      </w:r>
      <w:r w:rsidR="00677F61" w:rsidRPr="00677F61">
        <w:rPr>
          <w:color w:val="000000"/>
          <w:lang w:val="fr-CH"/>
        </w:rPr>
        <w:t>accès au matériel végétal aux fins de la gestion des collections de variétés et de l</w:t>
      </w:r>
      <w:r w:rsidR="00CA20AA">
        <w:rPr>
          <w:color w:val="000000"/>
          <w:lang w:val="fr-CH"/>
        </w:rPr>
        <w:t>’</w:t>
      </w:r>
      <w:r w:rsidR="00677F61" w:rsidRPr="00677F61">
        <w:rPr>
          <w:color w:val="000000"/>
          <w:lang w:val="fr-CH"/>
        </w:rPr>
        <w:t>examen</w:t>
      </w:r>
      <w:r w:rsidR="000E245E">
        <w:rPr>
          <w:color w:val="000000"/>
          <w:lang w:val="fr-CH"/>
        </w:rPr>
        <w:t> </w:t>
      </w:r>
      <w:r w:rsidR="000C0499" w:rsidRPr="00677F61">
        <w:rPr>
          <w:color w:val="000000"/>
          <w:lang w:val="fr-CH"/>
        </w:rPr>
        <w:t>DHS</w:t>
      </w:r>
      <w:r w:rsidR="000C0499">
        <w:rPr>
          <w:color w:val="000000"/>
          <w:lang w:val="fr-CH"/>
        </w:rPr>
        <w:t xml:space="preserve">.  </w:t>
      </w:r>
      <w:r w:rsidR="000C0499" w:rsidRPr="00677F61">
        <w:rPr>
          <w:color w:val="000000"/>
          <w:lang w:val="fr-CH"/>
        </w:rPr>
        <w:t>Le</w:t>
      </w:r>
      <w:r w:rsidR="00F215F4">
        <w:rPr>
          <w:lang w:val="fr-CH"/>
        </w:rPr>
        <w:t> </w:t>
      </w:r>
      <w:r w:rsidR="00F215F4" w:rsidRPr="00677F61">
        <w:rPr>
          <w:color w:val="000000"/>
          <w:lang w:val="fr-CH"/>
        </w:rPr>
        <w:t>TWF</w:t>
      </w:r>
      <w:r w:rsidR="00677F61" w:rsidRPr="00677F61">
        <w:rPr>
          <w:color w:val="000000"/>
          <w:lang w:val="fr-CH"/>
        </w:rPr>
        <w:t xml:space="preserve"> a rappelé la liste des facteurs clés concernant l</w:t>
      </w:r>
      <w:r w:rsidR="00CA20AA">
        <w:rPr>
          <w:color w:val="000000"/>
          <w:lang w:val="fr-CH"/>
        </w:rPr>
        <w:t>’</w:t>
      </w:r>
      <w:r w:rsidR="00677F61" w:rsidRPr="00677F61">
        <w:rPr>
          <w:color w:val="000000"/>
          <w:lang w:val="fr-CH"/>
        </w:rPr>
        <w:t xml:space="preserve">accès au matériel végétal pour les obtenteurs et les services de protection des obtentions végétales, </w:t>
      </w:r>
      <w:r w:rsidR="00393E01">
        <w:rPr>
          <w:color w:val="000000"/>
          <w:lang w:val="fr-CH"/>
        </w:rPr>
        <w:t>qui</w:t>
      </w:r>
      <w:r w:rsidR="00677F61" w:rsidRPr="00677F61">
        <w:rPr>
          <w:color w:val="000000"/>
          <w:lang w:val="fr-CH"/>
        </w:rPr>
        <w:t xml:space="preserve"> figure au </w:t>
      </w:r>
      <w:r w:rsidR="00F215F4" w:rsidRPr="00677F61">
        <w:rPr>
          <w:color w:val="000000"/>
          <w:lang w:val="fr-CH"/>
        </w:rPr>
        <w:t>paragraphe</w:t>
      </w:r>
      <w:r w:rsidR="00F215F4">
        <w:rPr>
          <w:color w:val="000000"/>
          <w:lang w:val="fr-CH"/>
        </w:rPr>
        <w:t> </w:t>
      </w:r>
      <w:r w:rsidR="00F215F4" w:rsidRPr="00677F61">
        <w:rPr>
          <w:color w:val="000000"/>
          <w:lang w:val="fr-CH"/>
        </w:rPr>
        <w:t>3</w:t>
      </w:r>
      <w:r w:rsidR="00677F61" w:rsidRPr="00677F61">
        <w:rPr>
          <w:color w:val="000000"/>
          <w:lang w:val="fr-CH"/>
        </w:rPr>
        <w:t xml:space="preserve"> du </w:t>
      </w:r>
      <w:r w:rsidR="00CA20AA" w:rsidRPr="00677F61">
        <w:rPr>
          <w:color w:val="000000"/>
          <w:lang w:val="fr-CH"/>
        </w:rPr>
        <w:t>document</w:t>
      </w:r>
      <w:r w:rsidR="00CA20AA">
        <w:rPr>
          <w:color w:val="000000"/>
          <w:lang w:val="fr-CH"/>
        </w:rPr>
        <w:t xml:space="preserve"> </w:t>
      </w:r>
      <w:r w:rsidR="00CA20AA" w:rsidRPr="00677F61">
        <w:rPr>
          <w:color w:val="000000"/>
          <w:lang w:val="fr-CH"/>
        </w:rPr>
        <w:t>TW</w:t>
      </w:r>
      <w:r w:rsidR="00677F61" w:rsidRPr="00677F61">
        <w:rPr>
          <w:color w:val="000000"/>
          <w:lang w:val="fr-CH"/>
        </w:rPr>
        <w:t>F/52/5, et il est convenu de demander au groupe d</w:t>
      </w:r>
      <w:r w:rsidR="00CA20AA">
        <w:rPr>
          <w:color w:val="000000"/>
          <w:lang w:val="fr-CH"/>
        </w:rPr>
        <w:t>’</w:t>
      </w:r>
      <w:r w:rsidR="00677F61" w:rsidRPr="00677F61">
        <w:rPr>
          <w:color w:val="000000"/>
          <w:lang w:val="fr-CH"/>
        </w:rPr>
        <w:t>experts susmentionné d</w:t>
      </w:r>
      <w:r w:rsidR="00CA20AA">
        <w:rPr>
          <w:color w:val="000000"/>
          <w:lang w:val="fr-CH"/>
        </w:rPr>
        <w:t>’</w:t>
      </w:r>
      <w:r w:rsidR="00677F61" w:rsidRPr="00677F61">
        <w:rPr>
          <w:color w:val="000000"/>
          <w:lang w:val="fr-CH"/>
        </w:rPr>
        <w:t>examiner s</w:t>
      </w:r>
      <w:r w:rsidR="00CA20AA">
        <w:rPr>
          <w:color w:val="000000"/>
          <w:lang w:val="fr-CH"/>
        </w:rPr>
        <w:t>’</w:t>
      </w:r>
      <w:r w:rsidR="00677F61" w:rsidRPr="00677F61">
        <w:rPr>
          <w:color w:val="000000"/>
          <w:lang w:val="fr-CH"/>
        </w:rPr>
        <w:t>il y avait lieu de la réviser.</w:t>
      </w:r>
    </w:p>
    <w:p w:rsidR="00D03553" w:rsidRDefault="00D03553" w:rsidP="002D421F">
      <w:pPr>
        <w:rPr>
          <w:lang w:val="fr-CH"/>
        </w:rPr>
      </w:pPr>
    </w:p>
    <w:p w:rsidR="00D03553" w:rsidRDefault="00D03553" w:rsidP="002D421F">
      <w:pPr>
        <w:rPr>
          <w:lang w:val="fr-CH"/>
        </w:rPr>
      </w:pPr>
    </w:p>
    <w:p w:rsidR="00D03553" w:rsidRPr="00393E01" w:rsidRDefault="00677F61" w:rsidP="0000071F">
      <w:pPr>
        <w:pStyle w:val="Heading2"/>
      </w:pPr>
      <w:bookmarkStart w:id="7" w:name="_Toc81836888"/>
      <w:r w:rsidRPr="00393E01">
        <w:t>Examen DHS des variétés mutantes du pommier</w:t>
      </w:r>
      <w:bookmarkEnd w:id="7"/>
    </w:p>
    <w:p w:rsidR="00D03553" w:rsidRPr="00393E01" w:rsidRDefault="00D03553" w:rsidP="002D421F">
      <w:pPr>
        <w:keepNext/>
        <w:keepLines/>
        <w:jc w:val="left"/>
        <w:rPr>
          <w:rFonts w:cs="Arial"/>
          <w:lang w:val="fr-CH"/>
        </w:rPr>
      </w:pPr>
    </w:p>
    <w:p w:rsidR="00D03553" w:rsidRPr="00393E01" w:rsidRDefault="002D421F" w:rsidP="00677F61">
      <w:pPr>
        <w:keepNext/>
        <w:keepLines/>
        <w:rPr>
          <w:lang w:val="fr-CH"/>
        </w:rPr>
      </w:pPr>
      <w:r w:rsidRPr="00393E01">
        <w:fldChar w:fldCharType="begin"/>
      </w:r>
      <w:r w:rsidRPr="00393E01">
        <w:rPr>
          <w:lang w:val="fr-CH"/>
        </w:rPr>
        <w:instrText xml:space="preserve"> AUTONUM  </w:instrText>
      </w:r>
      <w:r w:rsidRPr="00393E01">
        <w:fldChar w:fldCharType="end"/>
      </w:r>
      <w:r w:rsidRPr="00393E01">
        <w:rPr>
          <w:lang w:val="fr-CH"/>
        </w:rPr>
        <w:tab/>
      </w:r>
      <w:r w:rsidR="00677F61" w:rsidRPr="00393E01">
        <w:rPr>
          <w:lang w:val="fr-CH"/>
        </w:rPr>
        <w:t>Le TWF</w:t>
      </w:r>
      <w:r w:rsidR="00677F61" w:rsidRPr="00393E01">
        <w:rPr>
          <w:rStyle w:val="FootnoteReference"/>
          <w:lang w:val="en-US"/>
        </w:rPr>
        <w:footnoteReference w:id="9"/>
      </w:r>
      <w:r w:rsidR="00677F61" w:rsidRPr="00393E01">
        <w:rPr>
          <w:lang w:val="fr-CH"/>
        </w:rPr>
        <w:t xml:space="preserve"> a examiné le </w:t>
      </w:r>
      <w:r w:rsidR="00CA20AA" w:rsidRPr="00393E01">
        <w:rPr>
          <w:lang w:val="fr-CH"/>
        </w:rPr>
        <w:t>document</w:t>
      </w:r>
      <w:r w:rsidR="00CA20AA">
        <w:rPr>
          <w:lang w:val="fr-CH"/>
        </w:rPr>
        <w:t xml:space="preserve"> </w:t>
      </w:r>
      <w:r w:rsidR="00CA20AA" w:rsidRPr="00393E01">
        <w:rPr>
          <w:lang w:val="fr-CH"/>
        </w:rPr>
        <w:t>TW</w:t>
      </w:r>
      <w:r w:rsidR="00677F61" w:rsidRPr="00393E01">
        <w:rPr>
          <w:lang w:val="fr-CH"/>
        </w:rPr>
        <w:t xml:space="preserve">F/52/6 et assisté à un exposé intitulé “DUS </w:t>
      </w:r>
      <w:proofErr w:type="spellStart"/>
      <w:r w:rsidR="00677F61" w:rsidRPr="00393E01">
        <w:rPr>
          <w:lang w:val="fr-CH"/>
        </w:rPr>
        <w:t>examination</w:t>
      </w:r>
      <w:proofErr w:type="spellEnd"/>
      <w:r w:rsidR="00677F61" w:rsidRPr="00393E01">
        <w:rPr>
          <w:lang w:val="fr-CH"/>
        </w:rPr>
        <w:t xml:space="preserve"> of mutant </w:t>
      </w:r>
      <w:proofErr w:type="spellStart"/>
      <w:r w:rsidR="00677F61" w:rsidRPr="00393E01">
        <w:rPr>
          <w:lang w:val="fr-CH"/>
        </w:rPr>
        <w:t>varieties</w:t>
      </w:r>
      <w:proofErr w:type="spellEnd"/>
      <w:r w:rsidR="00677F61" w:rsidRPr="00393E01">
        <w:rPr>
          <w:lang w:val="fr-CH"/>
        </w:rPr>
        <w:t xml:space="preserve"> of </w:t>
      </w:r>
      <w:proofErr w:type="spellStart"/>
      <w:r w:rsidR="00677F61" w:rsidRPr="00393E01">
        <w:rPr>
          <w:lang w:val="fr-CH"/>
        </w:rPr>
        <w:t>apple</w:t>
      </w:r>
      <w:proofErr w:type="spellEnd"/>
      <w:r w:rsidR="00677F61" w:rsidRPr="00393E01">
        <w:rPr>
          <w:lang w:val="fr-CH"/>
        </w:rPr>
        <w:t>” (</w:t>
      </w:r>
      <w:r w:rsidR="00393E01">
        <w:rPr>
          <w:lang w:val="fr-CH"/>
        </w:rPr>
        <w:t>E</w:t>
      </w:r>
      <w:r w:rsidR="00677F61" w:rsidRPr="00393E01">
        <w:rPr>
          <w:lang w:val="fr-CH"/>
        </w:rPr>
        <w:t>xamen</w:t>
      </w:r>
      <w:r w:rsidR="000E245E" w:rsidRPr="00393E01">
        <w:rPr>
          <w:lang w:val="fr-CH"/>
        </w:rPr>
        <w:t> </w:t>
      </w:r>
      <w:r w:rsidR="00677F61" w:rsidRPr="00393E01">
        <w:rPr>
          <w:lang w:val="fr-CH"/>
        </w:rPr>
        <w:t>DHS des variétés mutantes du pommier)</w:t>
      </w:r>
      <w:r w:rsidR="00393E01">
        <w:rPr>
          <w:lang w:val="fr-CH"/>
        </w:rPr>
        <w:t>,</w:t>
      </w:r>
      <w:r w:rsidR="00677F61" w:rsidRPr="00393E01">
        <w:rPr>
          <w:lang w:val="fr-CH"/>
        </w:rPr>
        <w:t xml:space="preserve"> présenté par un expert de l</w:t>
      </w:r>
      <w:r w:rsidR="00CA20AA">
        <w:rPr>
          <w:lang w:val="fr-CH"/>
        </w:rPr>
        <w:t>’</w:t>
      </w:r>
      <w:r w:rsidR="00677F61" w:rsidRPr="00393E01">
        <w:rPr>
          <w:lang w:val="fr-CH"/>
        </w:rPr>
        <w:t>Union</w:t>
      </w:r>
      <w:r w:rsidR="004D3DF1">
        <w:rPr>
          <w:lang w:val="fr-CH"/>
        </w:rPr>
        <w:t> </w:t>
      </w:r>
      <w:r w:rsidR="00677F61" w:rsidRPr="00393E01">
        <w:rPr>
          <w:lang w:val="fr-CH"/>
        </w:rPr>
        <w:t>européen</w:t>
      </w:r>
      <w:r w:rsidR="000C0499" w:rsidRPr="00393E01">
        <w:rPr>
          <w:lang w:val="fr-CH"/>
        </w:rPr>
        <w:t>ne</w:t>
      </w:r>
      <w:r w:rsidR="000C0499">
        <w:rPr>
          <w:lang w:val="fr-CH"/>
        </w:rPr>
        <w:t xml:space="preserve">.  </w:t>
      </w:r>
      <w:r w:rsidR="000C0499" w:rsidRPr="00393E01">
        <w:rPr>
          <w:lang w:val="fr-CH"/>
        </w:rPr>
        <w:t>Le</w:t>
      </w:r>
      <w:r w:rsidR="00677F61" w:rsidRPr="00393E01">
        <w:rPr>
          <w:lang w:val="fr-CH"/>
        </w:rPr>
        <w:t xml:space="preserve"> texte de cet exposé </w:t>
      </w:r>
      <w:r w:rsidR="00393E01">
        <w:rPr>
          <w:lang w:val="fr-CH"/>
        </w:rPr>
        <w:t>fait l</w:t>
      </w:r>
      <w:r w:rsidR="00CA20AA">
        <w:rPr>
          <w:lang w:val="fr-CH"/>
        </w:rPr>
        <w:t>’</w:t>
      </w:r>
      <w:r w:rsidR="00393E01">
        <w:rPr>
          <w:lang w:val="fr-CH"/>
        </w:rPr>
        <w:t xml:space="preserve">objet de </w:t>
      </w:r>
      <w:r w:rsidR="00677F61" w:rsidRPr="00393E01">
        <w:rPr>
          <w:lang w:val="fr-CH"/>
        </w:rPr>
        <w:t>l</w:t>
      </w:r>
      <w:r w:rsidR="00CA20AA">
        <w:rPr>
          <w:lang w:val="fr-CH"/>
        </w:rPr>
        <w:t>’</w:t>
      </w:r>
      <w:r w:rsidR="00677F61" w:rsidRPr="00393E01">
        <w:rPr>
          <w:lang w:val="fr-CH"/>
        </w:rPr>
        <w:t xml:space="preserve">annexe du </w:t>
      </w:r>
      <w:r w:rsidR="00CA20AA" w:rsidRPr="00393E01">
        <w:rPr>
          <w:lang w:val="fr-CH"/>
        </w:rPr>
        <w:t>document</w:t>
      </w:r>
      <w:r w:rsidR="00CA20AA">
        <w:rPr>
          <w:lang w:val="fr-CH"/>
        </w:rPr>
        <w:t xml:space="preserve"> </w:t>
      </w:r>
      <w:r w:rsidR="00CA20AA" w:rsidRPr="00393E01">
        <w:rPr>
          <w:lang w:val="fr-CH"/>
        </w:rPr>
        <w:t>TW</w:t>
      </w:r>
      <w:r w:rsidR="00677F61" w:rsidRPr="00393E01">
        <w:rPr>
          <w:lang w:val="fr-CH"/>
        </w:rPr>
        <w:t xml:space="preserve">F/52/6 (voir les </w:t>
      </w:r>
      <w:r w:rsidR="00F215F4" w:rsidRPr="00393E01">
        <w:rPr>
          <w:lang w:val="fr-CH"/>
        </w:rPr>
        <w:t>paragraphes 6</w:t>
      </w:r>
      <w:r w:rsidR="00677F61" w:rsidRPr="00393E01">
        <w:rPr>
          <w:lang w:val="fr-CH"/>
        </w:rPr>
        <w:t>6 à 70 du document TWF/52/10 “Report”).</w:t>
      </w:r>
    </w:p>
    <w:p w:rsidR="00D03553" w:rsidRPr="00393E01" w:rsidRDefault="00D03553" w:rsidP="002D421F">
      <w:pPr>
        <w:jc w:val="left"/>
        <w:rPr>
          <w:rFonts w:cs="Arial"/>
          <w:lang w:val="fr-CH"/>
        </w:rPr>
      </w:pPr>
    </w:p>
    <w:p w:rsidR="00D03553" w:rsidRPr="00393E01" w:rsidRDefault="002D421F" w:rsidP="00E009BE">
      <w:pPr>
        <w:rPr>
          <w:lang w:val="fr-CH"/>
        </w:rPr>
      </w:pPr>
      <w:r w:rsidRPr="00393E01">
        <w:fldChar w:fldCharType="begin"/>
      </w:r>
      <w:r w:rsidRPr="00393E01">
        <w:rPr>
          <w:lang w:val="fr-CH"/>
        </w:rPr>
        <w:instrText xml:space="preserve"> AUTONUM  </w:instrText>
      </w:r>
      <w:r w:rsidRPr="00393E01">
        <w:fldChar w:fldCharType="end"/>
      </w:r>
      <w:r w:rsidRPr="00393E01">
        <w:rPr>
          <w:lang w:val="fr-CH"/>
        </w:rPr>
        <w:tab/>
      </w:r>
      <w:r w:rsidR="00E009BE" w:rsidRPr="00393E01">
        <w:rPr>
          <w:lang w:val="fr-CH"/>
        </w:rPr>
        <w:t>Le TWF est convenu que les travaux réalisés par l</w:t>
      </w:r>
      <w:r w:rsidR="00CA20AA">
        <w:rPr>
          <w:lang w:val="fr-CH"/>
        </w:rPr>
        <w:t>’</w:t>
      </w:r>
      <w:r w:rsidR="00E009BE" w:rsidRPr="00393E01">
        <w:rPr>
          <w:lang w:val="fr-CH"/>
        </w:rPr>
        <w:t>expert de l</w:t>
      </w:r>
      <w:r w:rsidR="00CA20AA">
        <w:rPr>
          <w:lang w:val="fr-CH"/>
        </w:rPr>
        <w:t>’</w:t>
      </w:r>
      <w:r w:rsidR="00E009BE" w:rsidRPr="00393E01">
        <w:rPr>
          <w:lang w:val="fr-CH"/>
        </w:rPr>
        <w:t>Union européenne pour recueillir des informations auprès des membres de l</w:t>
      </w:r>
      <w:r w:rsidR="00CA20AA">
        <w:rPr>
          <w:lang w:val="fr-CH"/>
        </w:rPr>
        <w:t>’</w:t>
      </w:r>
      <w:r w:rsidR="00E009BE" w:rsidRPr="00393E01">
        <w:rPr>
          <w:lang w:val="fr-CH"/>
        </w:rPr>
        <w:t>UPOV sur les demandes en cours d</w:t>
      </w:r>
      <w:r w:rsidR="00CA20AA">
        <w:rPr>
          <w:lang w:val="fr-CH"/>
        </w:rPr>
        <w:t>’</w:t>
      </w:r>
      <w:r w:rsidR="00E009BE" w:rsidRPr="00393E01">
        <w:rPr>
          <w:lang w:val="fr-CH"/>
        </w:rPr>
        <w:t>analyse et sur les variétés existantes pour certains groupes de mutations du pommier étai</w:t>
      </w:r>
      <w:r w:rsidR="00393E01">
        <w:rPr>
          <w:lang w:val="fr-CH"/>
        </w:rPr>
        <w:t>en</w:t>
      </w:r>
      <w:r w:rsidR="00E009BE" w:rsidRPr="00393E01">
        <w:rPr>
          <w:lang w:val="fr-CH"/>
        </w:rPr>
        <w:t>t important</w:t>
      </w:r>
      <w:r w:rsidR="00393E01">
        <w:rPr>
          <w:lang w:val="fr-CH"/>
        </w:rPr>
        <w:t>s</w:t>
      </w:r>
      <w:r w:rsidR="00E009BE" w:rsidRPr="00393E01">
        <w:rPr>
          <w:lang w:val="fr-CH"/>
        </w:rPr>
        <w:t xml:space="preserve"> et devai</w:t>
      </w:r>
      <w:r w:rsidR="00393E01">
        <w:rPr>
          <w:lang w:val="fr-CH"/>
        </w:rPr>
        <w:t>en</w:t>
      </w:r>
      <w:r w:rsidR="00E009BE" w:rsidRPr="00393E01">
        <w:rPr>
          <w:lang w:val="fr-CH"/>
        </w:rPr>
        <w:t>t être poursuivi</w:t>
      </w:r>
      <w:r w:rsidR="00393E01">
        <w:rPr>
          <w:lang w:val="fr-CH"/>
        </w:rPr>
        <w:t>s</w:t>
      </w:r>
      <w:r w:rsidR="00E009BE" w:rsidRPr="00393E01">
        <w:rPr>
          <w:lang w:val="fr-CH"/>
        </w:rPr>
        <w:t>.</w:t>
      </w:r>
    </w:p>
    <w:p w:rsidR="00D03553" w:rsidRPr="00393E01" w:rsidRDefault="00D03553" w:rsidP="002D421F">
      <w:pPr>
        <w:jc w:val="left"/>
        <w:rPr>
          <w:lang w:val="fr-CH"/>
        </w:rPr>
      </w:pPr>
    </w:p>
    <w:p w:rsidR="00D03553" w:rsidRPr="00393E01" w:rsidRDefault="002D421F" w:rsidP="00F47A4F">
      <w:pPr>
        <w:rPr>
          <w:lang w:val="fr-CH"/>
        </w:rPr>
      </w:pPr>
      <w:r w:rsidRPr="00393E01">
        <w:fldChar w:fldCharType="begin"/>
      </w:r>
      <w:r w:rsidRPr="00393E01">
        <w:rPr>
          <w:lang w:val="fr-CH"/>
        </w:rPr>
        <w:instrText xml:space="preserve"> AUTONUM  </w:instrText>
      </w:r>
      <w:r w:rsidRPr="00393E01">
        <w:fldChar w:fldCharType="end"/>
      </w:r>
      <w:r w:rsidRPr="00393E01">
        <w:rPr>
          <w:lang w:val="fr-CH"/>
        </w:rPr>
        <w:tab/>
      </w:r>
      <w:r w:rsidR="002A713C" w:rsidRPr="00393E01">
        <w:rPr>
          <w:lang w:val="fr-CH"/>
        </w:rPr>
        <w:t>Le TWF a examiné la question de la confidentialité potentielle de la divulgation de la lignée parentale d</w:t>
      </w:r>
      <w:r w:rsidR="00CA20AA">
        <w:rPr>
          <w:lang w:val="fr-CH"/>
        </w:rPr>
        <w:t>’</w:t>
      </w:r>
      <w:r w:rsidR="002A713C" w:rsidRPr="00393E01">
        <w:rPr>
          <w:lang w:val="fr-CH"/>
        </w:rPr>
        <w:t>une variété protégée lors de l</w:t>
      </w:r>
      <w:r w:rsidR="00CA20AA">
        <w:rPr>
          <w:lang w:val="fr-CH"/>
        </w:rPr>
        <w:t>’</w:t>
      </w:r>
      <w:r w:rsidR="002A713C" w:rsidRPr="00393E01">
        <w:rPr>
          <w:lang w:val="fr-CH"/>
        </w:rPr>
        <w:t>échange de données entre les services de protection des obtentions végétales ou de la mise à disposition de données au publ</w:t>
      </w:r>
      <w:r w:rsidR="000C0499" w:rsidRPr="00393E01">
        <w:rPr>
          <w:lang w:val="fr-CH"/>
        </w:rPr>
        <w:t>ic</w:t>
      </w:r>
      <w:r w:rsidR="000C0499">
        <w:rPr>
          <w:lang w:val="fr-CH"/>
        </w:rPr>
        <w:t xml:space="preserve">.  </w:t>
      </w:r>
      <w:r w:rsidR="000C0499" w:rsidRPr="00393E01">
        <w:rPr>
          <w:lang w:val="fr-CH"/>
        </w:rPr>
        <w:t>Le</w:t>
      </w:r>
      <w:r w:rsidR="00F215F4" w:rsidRPr="00393E01">
        <w:rPr>
          <w:lang w:val="fr-CH"/>
        </w:rPr>
        <w:t> TWF</w:t>
      </w:r>
      <w:r w:rsidR="007D0A42" w:rsidRPr="00393E01">
        <w:rPr>
          <w:lang w:val="fr-CH"/>
        </w:rPr>
        <w:t xml:space="preserve"> est convenu d</w:t>
      </w:r>
      <w:r w:rsidR="00CA20AA">
        <w:rPr>
          <w:lang w:val="fr-CH"/>
        </w:rPr>
        <w:t>’</w:t>
      </w:r>
      <w:r w:rsidR="007D0A42" w:rsidRPr="00393E01">
        <w:rPr>
          <w:lang w:val="fr-CH"/>
        </w:rPr>
        <w:t>inviter l</w:t>
      </w:r>
      <w:r w:rsidR="00CA20AA">
        <w:rPr>
          <w:lang w:val="fr-CH"/>
        </w:rPr>
        <w:t>’</w:t>
      </w:r>
      <w:r w:rsidR="007D0A42" w:rsidRPr="00393E01">
        <w:rPr>
          <w:lang w:val="fr-CH"/>
        </w:rPr>
        <w:t>expert du Canada à identifier, avec le concours de l</w:t>
      </w:r>
      <w:r w:rsidR="00CA20AA">
        <w:rPr>
          <w:lang w:val="fr-CH"/>
        </w:rPr>
        <w:t>’</w:t>
      </w:r>
      <w:r w:rsidR="007D0A42" w:rsidRPr="00393E01">
        <w:rPr>
          <w:lang w:val="fr-CH"/>
        </w:rPr>
        <w:t>Allemagne, de l</w:t>
      </w:r>
      <w:r w:rsidR="00CA20AA">
        <w:rPr>
          <w:lang w:val="fr-CH"/>
        </w:rPr>
        <w:t>’</w:t>
      </w:r>
      <w:r w:rsidR="007D0A42" w:rsidRPr="00393E01">
        <w:rPr>
          <w:lang w:val="fr-CH"/>
        </w:rPr>
        <w:t>Australie, du Brésil, de la France, du Japon et de l</w:t>
      </w:r>
      <w:r w:rsidR="00CA20AA">
        <w:rPr>
          <w:lang w:val="fr-CH"/>
        </w:rPr>
        <w:t>’</w:t>
      </w:r>
      <w:r w:rsidR="007D0A42" w:rsidRPr="00393E01">
        <w:rPr>
          <w:lang w:val="fr-CH"/>
        </w:rPr>
        <w:t>Union européenne, les éventuelles limitations en matière de confidentialité, et à partager ses conclusions avec</w:t>
      </w:r>
      <w:r w:rsidR="00F215F4" w:rsidRPr="00393E01">
        <w:rPr>
          <w:lang w:val="fr-CH"/>
        </w:rPr>
        <w:t xml:space="preserve"> le TWF</w:t>
      </w:r>
      <w:r w:rsidR="007D0A42" w:rsidRPr="00393E01">
        <w:rPr>
          <w:lang w:val="fr-CH"/>
        </w:rPr>
        <w:t xml:space="preserve"> dans un exposé présenté à sa cinquante</w:t>
      </w:r>
      <w:r w:rsidR="00CA20AA">
        <w:rPr>
          <w:lang w:val="fr-CH"/>
        </w:rPr>
        <w:t>-</w:t>
      </w:r>
      <w:r w:rsidR="007D0A42" w:rsidRPr="00393E01">
        <w:rPr>
          <w:lang w:val="fr-CH"/>
        </w:rPr>
        <w:t>trois</w:t>
      </w:r>
      <w:r w:rsidR="00CA20AA">
        <w:rPr>
          <w:lang w:val="fr-CH"/>
        </w:rPr>
        <w:t>ième sessi</w:t>
      </w:r>
      <w:r w:rsidR="000C0499">
        <w:rPr>
          <w:lang w:val="fr-CH"/>
        </w:rPr>
        <w:t xml:space="preserve">on.  </w:t>
      </w:r>
      <w:r w:rsidR="000C0499" w:rsidRPr="00393E01">
        <w:rPr>
          <w:lang w:val="fr-CH"/>
        </w:rPr>
        <w:t>Le</w:t>
      </w:r>
      <w:r w:rsidR="00F215F4" w:rsidRPr="00393E01">
        <w:rPr>
          <w:lang w:val="fr-CH"/>
        </w:rPr>
        <w:t> TWF</w:t>
      </w:r>
      <w:r w:rsidR="00F47A4F" w:rsidRPr="00393E01">
        <w:rPr>
          <w:lang w:val="fr-CH"/>
        </w:rPr>
        <w:t xml:space="preserve"> est convenu que, tant que l</w:t>
      </w:r>
      <w:r w:rsidR="00CA20AA">
        <w:rPr>
          <w:lang w:val="fr-CH"/>
        </w:rPr>
        <w:t>’</w:t>
      </w:r>
      <w:r w:rsidR="00F47A4F" w:rsidRPr="00393E01">
        <w:rPr>
          <w:lang w:val="fr-CH"/>
        </w:rPr>
        <w:t>information sur la confidentialité ne sera pas clarifiée, le document recueillant les informations entre les membres de l</w:t>
      </w:r>
      <w:r w:rsidR="00CA20AA">
        <w:rPr>
          <w:lang w:val="fr-CH"/>
        </w:rPr>
        <w:t>’</w:t>
      </w:r>
      <w:r w:rsidR="00F47A4F" w:rsidRPr="00393E01">
        <w:rPr>
          <w:lang w:val="fr-CH"/>
        </w:rPr>
        <w:t>UPOV ne sera pas mis à la disposition du public.</w:t>
      </w:r>
    </w:p>
    <w:p w:rsidR="00D03553" w:rsidRPr="00393E01" w:rsidRDefault="00D03553" w:rsidP="002D421F">
      <w:pPr>
        <w:rPr>
          <w:lang w:val="fr-CH"/>
        </w:rPr>
      </w:pPr>
    </w:p>
    <w:p w:rsidR="00D03553" w:rsidRPr="00393E01" w:rsidRDefault="002D421F" w:rsidP="00F47A4F">
      <w:pPr>
        <w:rPr>
          <w:lang w:val="fr-CH"/>
        </w:rPr>
      </w:pPr>
      <w:r w:rsidRPr="00393E01">
        <w:fldChar w:fldCharType="begin"/>
      </w:r>
      <w:r w:rsidRPr="00393E01">
        <w:rPr>
          <w:lang w:val="fr-CH"/>
        </w:rPr>
        <w:instrText xml:space="preserve"> AUTONUM  </w:instrText>
      </w:r>
      <w:r w:rsidRPr="00393E01">
        <w:fldChar w:fldCharType="end"/>
      </w:r>
      <w:r w:rsidRPr="00393E01">
        <w:rPr>
          <w:lang w:val="fr-CH"/>
        </w:rPr>
        <w:tab/>
      </w:r>
      <w:r w:rsidR="00F47A4F" w:rsidRPr="00393E01">
        <w:rPr>
          <w:lang w:val="fr-CH"/>
        </w:rPr>
        <w:t>Le TWF est convenu d</w:t>
      </w:r>
      <w:r w:rsidR="00CA20AA">
        <w:rPr>
          <w:lang w:val="fr-CH"/>
        </w:rPr>
        <w:t>’</w:t>
      </w:r>
      <w:r w:rsidR="00F47A4F" w:rsidRPr="00393E01">
        <w:rPr>
          <w:lang w:val="fr-CH"/>
        </w:rPr>
        <w:t>inviter le groupe d</w:t>
      </w:r>
      <w:r w:rsidR="00CA20AA">
        <w:rPr>
          <w:lang w:val="fr-CH"/>
        </w:rPr>
        <w:t>’</w:t>
      </w:r>
      <w:r w:rsidR="00F47A4F" w:rsidRPr="00393E01">
        <w:rPr>
          <w:lang w:val="fr-CH"/>
        </w:rPr>
        <w:t>experts susmentionné à étudier la possibilité d</w:t>
      </w:r>
      <w:r w:rsidR="00CA20AA">
        <w:rPr>
          <w:lang w:val="fr-CH"/>
        </w:rPr>
        <w:t>’</w:t>
      </w:r>
      <w:r w:rsidR="00F47A4F" w:rsidRPr="00393E01">
        <w:rPr>
          <w:lang w:val="fr-CH"/>
        </w:rPr>
        <w:t>ajouter des informations aux codes UPOV pour traiter de l</w:t>
      </w:r>
      <w:r w:rsidR="00CA20AA">
        <w:rPr>
          <w:lang w:val="fr-CH"/>
        </w:rPr>
        <w:t>’</w:t>
      </w:r>
      <w:r w:rsidR="00F47A4F" w:rsidRPr="00393E01">
        <w:rPr>
          <w:lang w:val="fr-CH"/>
        </w:rPr>
        <w:t>identification des groupes de variétés de pommier.</w:t>
      </w:r>
    </w:p>
    <w:p w:rsidR="00D03553" w:rsidRPr="00393E01" w:rsidRDefault="00D03553" w:rsidP="002D421F">
      <w:pPr>
        <w:rPr>
          <w:lang w:val="fr-CH"/>
        </w:rPr>
      </w:pPr>
    </w:p>
    <w:p w:rsidR="00D03553" w:rsidRPr="00393E01" w:rsidRDefault="002D421F" w:rsidP="0071124F">
      <w:pPr>
        <w:rPr>
          <w:lang w:val="fr-CH"/>
        </w:rPr>
      </w:pPr>
      <w:r w:rsidRPr="00393E01">
        <w:fldChar w:fldCharType="begin"/>
      </w:r>
      <w:r w:rsidRPr="00393E01">
        <w:rPr>
          <w:lang w:val="fr-CH"/>
        </w:rPr>
        <w:instrText xml:space="preserve"> AUTONUM  </w:instrText>
      </w:r>
      <w:r w:rsidRPr="00393E01">
        <w:fldChar w:fldCharType="end"/>
      </w:r>
      <w:r w:rsidRPr="00393E01">
        <w:rPr>
          <w:lang w:val="fr-CH"/>
        </w:rPr>
        <w:tab/>
      </w:r>
      <w:r w:rsidR="0071124F" w:rsidRPr="00393E01">
        <w:rPr>
          <w:lang w:val="fr-CH"/>
        </w:rPr>
        <w:t>Le TWF est convenu d</w:t>
      </w:r>
      <w:r w:rsidR="00CA20AA">
        <w:rPr>
          <w:lang w:val="fr-CH"/>
        </w:rPr>
        <w:t>’</w:t>
      </w:r>
      <w:r w:rsidR="0071124F" w:rsidRPr="00393E01">
        <w:rPr>
          <w:lang w:val="fr-CH"/>
        </w:rPr>
        <w:t>inviter le groupe d</w:t>
      </w:r>
      <w:r w:rsidR="00CA20AA">
        <w:rPr>
          <w:lang w:val="fr-CH"/>
        </w:rPr>
        <w:t>’</w:t>
      </w:r>
      <w:r w:rsidR="0071124F" w:rsidRPr="00393E01">
        <w:rPr>
          <w:lang w:val="fr-CH"/>
        </w:rPr>
        <w:t>experts susmentionné à examiner la manière dont les informations</w:t>
      </w:r>
      <w:r w:rsidR="00AE68AA" w:rsidRPr="00393E01">
        <w:rPr>
          <w:lang w:val="fr-CH"/>
        </w:rPr>
        <w:t xml:space="preserve"> </w:t>
      </w:r>
      <w:r w:rsidR="0071124F" w:rsidRPr="00393E01">
        <w:rPr>
          <w:lang w:val="fr-CH"/>
        </w:rPr>
        <w:t>sur les demandes en cours d</w:t>
      </w:r>
      <w:r w:rsidR="00CA20AA">
        <w:rPr>
          <w:lang w:val="fr-CH"/>
        </w:rPr>
        <w:t>’</w:t>
      </w:r>
      <w:r w:rsidR="0071124F" w:rsidRPr="00393E01">
        <w:rPr>
          <w:lang w:val="fr-CH"/>
        </w:rPr>
        <w:t xml:space="preserve">analyse et sur les variétés existantes pour certains groupes de mutation du pommier devraient être mises à disposition, par exemple </w:t>
      </w:r>
      <w:r w:rsidR="0000071F">
        <w:rPr>
          <w:lang w:val="fr-CH"/>
        </w:rPr>
        <w:t>avec</w:t>
      </w:r>
      <w:r w:rsidR="0071124F" w:rsidRPr="00393E01">
        <w:rPr>
          <w:lang w:val="fr-CH"/>
        </w:rPr>
        <w:t xml:space="preserve"> la création d</w:t>
      </w:r>
      <w:r w:rsidR="00CA20AA">
        <w:rPr>
          <w:lang w:val="fr-CH"/>
        </w:rPr>
        <w:t>’</w:t>
      </w:r>
      <w:r w:rsidR="0071124F" w:rsidRPr="00393E01">
        <w:rPr>
          <w:lang w:val="fr-CH"/>
        </w:rPr>
        <w:t>une base de données spécifique</w:t>
      </w:r>
      <w:r w:rsidR="0000071F">
        <w:rPr>
          <w:lang w:val="fr-CH"/>
        </w:rPr>
        <w:t xml:space="preserve"> ou</w:t>
      </w:r>
      <w:r w:rsidR="0071124F" w:rsidRPr="00393E01">
        <w:rPr>
          <w:lang w:val="fr-CH"/>
        </w:rPr>
        <w:t xml:space="preserve"> sur la base de données PLUTO de l</w:t>
      </w:r>
      <w:r w:rsidR="00CA20AA">
        <w:rPr>
          <w:lang w:val="fr-CH"/>
        </w:rPr>
        <w:t>’</w:t>
      </w:r>
      <w:r w:rsidR="0071124F" w:rsidRPr="00393E01">
        <w:rPr>
          <w:lang w:val="fr-CH"/>
        </w:rPr>
        <w:t>UPOV</w:t>
      </w:r>
      <w:r w:rsidR="0000071F">
        <w:rPr>
          <w:lang w:val="fr-CH"/>
        </w:rPr>
        <w:t>,</w:t>
      </w:r>
      <w:r w:rsidR="0071124F" w:rsidRPr="00393E01">
        <w:rPr>
          <w:lang w:val="fr-CH"/>
        </w:rPr>
        <w:t xml:space="preserve"> ou </w:t>
      </w:r>
      <w:r w:rsidR="0000071F">
        <w:rPr>
          <w:lang w:val="fr-CH"/>
        </w:rPr>
        <w:t xml:space="preserve">encore </w:t>
      </w:r>
      <w:r w:rsidR="0071124F" w:rsidRPr="00393E01">
        <w:rPr>
          <w:lang w:val="fr-CH"/>
        </w:rPr>
        <w:t>par la publication d</w:t>
      </w:r>
      <w:r w:rsidR="00CA20AA">
        <w:rPr>
          <w:lang w:val="fr-CH"/>
        </w:rPr>
        <w:t>’</w:t>
      </w:r>
      <w:r w:rsidR="0071124F" w:rsidRPr="00393E01">
        <w:rPr>
          <w:lang w:val="fr-CH"/>
        </w:rPr>
        <w:t>informations sur le site</w:t>
      </w:r>
      <w:r w:rsidR="000E245E" w:rsidRPr="00393E01">
        <w:rPr>
          <w:lang w:val="fr-CH"/>
        </w:rPr>
        <w:t> </w:t>
      </w:r>
      <w:r w:rsidR="0071124F" w:rsidRPr="00393E01">
        <w:rPr>
          <w:lang w:val="fr-CH"/>
        </w:rPr>
        <w:t>Web de l</w:t>
      </w:r>
      <w:r w:rsidR="00CA20AA">
        <w:rPr>
          <w:lang w:val="fr-CH"/>
        </w:rPr>
        <w:t>’</w:t>
      </w:r>
      <w:r w:rsidR="0071124F" w:rsidRPr="00393E01">
        <w:rPr>
          <w:lang w:val="fr-CH"/>
        </w:rPr>
        <w:t>UPOV.</w:t>
      </w:r>
    </w:p>
    <w:p w:rsidR="00D03553" w:rsidRDefault="00D03553" w:rsidP="002D421F">
      <w:pPr>
        <w:rPr>
          <w:lang w:val="fr-CH"/>
        </w:rPr>
      </w:pPr>
    </w:p>
    <w:p w:rsidR="00D03553" w:rsidRDefault="00D03553" w:rsidP="002D421F">
      <w:pPr>
        <w:rPr>
          <w:lang w:val="fr-CH"/>
        </w:rPr>
      </w:pPr>
    </w:p>
    <w:p w:rsidR="00D03553" w:rsidRPr="0000071F" w:rsidRDefault="0071124F" w:rsidP="0000071F">
      <w:pPr>
        <w:pStyle w:val="Heading2"/>
        <w:rPr>
          <w:snapToGrid w:val="0"/>
        </w:rPr>
      </w:pPr>
      <w:bookmarkStart w:id="9" w:name="_Toc81836889"/>
      <w:r w:rsidRPr="0000071F">
        <w:rPr>
          <w:snapToGrid w:val="0"/>
        </w:rPr>
        <w:t>Utilisation de caractères de résistance aux maladies</w:t>
      </w:r>
      <w:bookmarkEnd w:id="9"/>
    </w:p>
    <w:p w:rsidR="00D03553" w:rsidRPr="0000071F" w:rsidRDefault="00D03553" w:rsidP="002D421F">
      <w:pPr>
        <w:rPr>
          <w:rFonts w:cs="Arial"/>
          <w:snapToGrid w:val="0"/>
          <w:lang w:val="fr-CH"/>
        </w:rPr>
      </w:pPr>
    </w:p>
    <w:p w:rsidR="00D03553" w:rsidRPr="0000071F" w:rsidRDefault="002D421F" w:rsidP="00FB05D6">
      <w:pPr>
        <w:rPr>
          <w:lang w:val="fr-CH"/>
        </w:rPr>
      </w:pPr>
      <w:r w:rsidRPr="0000071F">
        <w:fldChar w:fldCharType="begin"/>
      </w:r>
      <w:r w:rsidRPr="0000071F">
        <w:rPr>
          <w:lang w:val="fr-CH"/>
        </w:rPr>
        <w:instrText xml:space="preserve"> AUTONUM  </w:instrText>
      </w:r>
      <w:r w:rsidRPr="0000071F">
        <w:fldChar w:fldCharType="end"/>
      </w:r>
      <w:r w:rsidRPr="0000071F">
        <w:rPr>
          <w:lang w:val="fr-CH"/>
        </w:rPr>
        <w:tab/>
      </w:r>
      <w:r w:rsidR="0071124F" w:rsidRPr="0000071F">
        <w:rPr>
          <w:lang w:val="fr-CH"/>
        </w:rPr>
        <w:t>Le TWV</w:t>
      </w:r>
      <w:r w:rsidR="0071124F" w:rsidRPr="0000071F">
        <w:rPr>
          <w:rStyle w:val="FootnoteReference"/>
          <w:lang w:val="en-US"/>
        </w:rPr>
        <w:footnoteReference w:id="10"/>
      </w:r>
      <w:r w:rsidR="0071124F" w:rsidRPr="0000071F">
        <w:rPr>
          <w:lang w:val="fr-CH"/>
        </w:rPr>
        <w:t xml:space="preserve"> a rappelé l</w:t>
      </w:r>
      <w:r w:rsidR="00CA20AA">
        <w:rPr>
          <w:lang w:val="fr-CH"/>
        </w:rPr>
        <w:t>’</w:t>
      </w:r>
      <w:r w:rsidR="0071124F" w:rsidRPr="0000071F">
        <w:rPr>
          <w:lang w:val="fr-CH"/>
        </w:rPr>
        <w:t>invitation faite aux experts de la France et des Pays</w:t>
      </w:r>
      <w:r w:rsidR="00CA20AA">
        <w:rPr>
          <w:lang w:val="fr-CH"/>
        </w:rPr>
        <w:t>-</w:t>
      </w:r>
      <w:r w:rsidR="0071124F" w:rsidRPr="0000071F">
        <w:rPr>
          <w:lang w:val="fr-CH"/>
        </w:rPr>
        <w:t>Bas de présenter leur pratique actuelle en matière d</w:t>
      </w:r>
      <w:r w:rsidR="00CA20AA">
        <w:rPr>
          <w:lang w:val="fr-CH"/>
        </w:rPr>
        <w:t>’</w:t>
      </w:r>
      <w:r w:rsidR="0071124F" w:rsidRPr="0000071F">
        <w:rPr>
          <w:lang w:val="fr-CH"/>
        </w:rPr>
        <w:t>utilisation des caractères quantitatifs de résistance aux maladies (avec un niveau d</w:t>
      </w:r>
      <w:r w:rsidR="00CA20AA">
        <w:rPr>
          <w:lang w:val="fr-CH"/>
        </w:rPr>
        <w:t>’</w:t>
      </w:r>
      <w:r w:rsidR="0071124F" w:rsidRPr="0000071F">
        <w:rPr>
          <w:lang w:val="fr-CH"/>
        </w:rPr>
        <w:t>expression intermédiaire) à sa cinquante</w:t>
      </w:r>
      <w:r w:rsidR="00CA20AA">
        <w:rPr>
          <w:lang w:val="fr-CH"/>
        </w:rPr>
        <w:t>-</w:t>
      </w:r>
      <w:r w:rsidR="0071124F" w:rsidRPr="0000071F">
        <w:rPr>
          <w:lang w:val="fr-CH"/>
        </w:rPr>
        <w:t>six</w:t>
      </w:r>
      <w:r w:rsidR="00CA20AA">
        <w:rPr>
          <w:lang w:val="fr-CH"/>
        </w:rPr>
        <w:t>ième sessi</w:t>
      </w:r>
      <w:r w:rsidR="000C0499">
        <w:rPr>
          <w:lang w:val="fr-CH"/>
        </w:rPr>
        <w:t xml:space="preserve">on.  </w:t>
      </w:r>
      <w:r w:rsidR="000C0499" w:rsidRPr="0000071F">
        <w:rPr>
          <w:lang w:val="fr-CH"/>
        </w:rPr>
        <w:t>Le</w:t>
      </w:r>
      <w:r w:rsidR="00F215F4" w:rsidRPr="0000071F">
        <w:rPr>
          <w:lang w:val="fr-CH"/>
        </w:rPr>
        <w:t> TWV</w:t>
      </w:r>
      <w:r w:rsidR="00FB05D6" w:rsidRPr="0000071F">
        <w:rPr>
          <w:lang w:val="fr-CH"/>
        </w:rPr>
        <w:t xml:space="preserve"> a pris note de la proposition de l</w:t>
      </w:r>
      <w:r w:rsidR="00CA20AA">
        <w:rPr>
          <w:lang w:val="fr-CH"/>
        </w:rPr>
        <w:t>’</w:t>
      </w:r>
      <w:r w:rsidR="00FB05D6" w:rsidRPr="0000071F">
        <w:rPr>
          <w:lang w:val="fr-CH"/>
        </w:rPr>
        <w:t>ISF de présenter, à sa cinquante</w:t>
      </w:r>
      <w:r w:rsidR="00CA20AA">
        <w:rPr>
          <w:lang w:val="fr-CH"/>
        </w:rPr>
        <w:t>-</w:t>
      </w:r>
      <w:r w:rsidR="00FB05D6" w:rsidRPr="0000071F">
        <w:rPr>
          <w:lang w:val="fr-CH"/>
        </w:rPr>
        <w:t>six</w:t>
      </w:r>
      <w:r w:rsidR="00CA20AA">
        <w:rPr>
          <w:lang w:val="fr-CH"/>
        </w:rPr>
        <w:t>ième session</w:t>
      </w:r>
      <w:r w:rsidR="00FB05D6" w:rsidRPr="0000071F">
        <w:rPr>
          <w:lang w:val="fr-CH"/>
        </w:rPr>
        <w:t xml:space="preserve">, le point de vue des entreprises spécialisées dans la sélection des semences potagères sur la terminologie utilisée pour les caractères de résistance aux maladies (voir les </w:t>
      </w:r>
      <w:r w:rsidR="00F215F4" w:rsidRPr="0000071F">
        <w:rPr>
          <w:lang w:val="fr-CH"/>
        </w:rPr>
        <w:t>paragraphes 3</w:t>
      </w:r>
      <w:r w:rsidR="00FB05D6" w:rsidRPr="0000071F">
        <w:rPr>
          <w:lang w:val="fr-CH"/>
        </w:rPr>
        <w:t xml:space="preserve">8, 40 et 41 du </w:t>
      </w:r>
      <w:r w:rsidR="00CA20AA" w:rsidRPr="0000071F">
        <w:rPr>
          <w:lang w:val="fr-CH"/>
        </w:rPr>
        <w:t>document</w:t>
      </w:r>
      <w:r w:rsidR="00CA20AA">
        <w:rPr>
          <w:lang w:val="fr-CH"/>
        </w:rPr>
        <w:t xml:space="preserve"> </w:t>
      </w:r>
      <w:r w:rsidR="00CA20AA" w:rsidRPr="0000071F">
        <w:rPr>
          <w:lang w:val="fr-CH"/>
        </w:rPr>
        <w:t>TW</w:t>
      </w:r>
      <w:r w:rsidR="00FB05D6" w:rsidRPr="0000071F">
        <w:rPr>
          <w:lang w:val="fr-CH"/>
        </w:rPr>
        <w:t xml:space="preserve">V55/16 </w:t>
      </w:r>
      <w:r w:rsidR="00F215F4" w:rsidRPr="0000071F">
        <w:rPr>
          <w:lang w:val="fr-CH"/>
        </w:rPr>
        <w:t>“R</w:t>
      </w:r>
      <w:r w:rsidR="00FB05D6" w:rsidRPr="0000071F">
        <w:rPr>
          <w:lang w:val="fr-CH"/>
        </w:rPr>
        <w:t>epor</w:t>
      </w:r>
      <w:r w:rsidR="00F215F4" w:rsidRPr="0000071F">
        <w:rPr>
          <w:lang w:val="fr-CH"/>
        </w:rPr>
        <w:t>t”</w:t>
      </w:r>
      <w:r w:rsidR="00FB05D6" w:rsidRPr="0000071F">
        <w:rPr>
          <w:lang w:val="fr-CH"/>
        </w:rPr>
        <w:t>).</w:t>
      </w:r>
    </w:p>
    <w:p w:rsidR="00D03553" w:rsidRPr="0000071F" w:rsidRDefault="00D03553" w:rsidP="002D421F">
      <w:pPr>
        <w:rPr>
          <w:lang w:val="fr-CH"/>
        </w:rPr>
      </w:pPr>
    </w:p>
    <w:p w:rsidR="00D03553" w:rsidRPr="0000071F" w:rsidRDefault="002D421F" w:rsidP="00DB0B8E">
      <w:pPr>
        <w:rPr>
          <w:lang w:val="fr-CH"/>
        </w:rPr>
      </w:pPr>
      <w:r w:rsidRPr="0000071F">
        <w:fldChar w:fldCharType="begin"/>
      </w:r>
      <w:r w:rsidRPr="0000071F">
        <w:rPr>
          <w:lang w:val="fr-CH"/>
        </w:rPr>
        <w:instrText xml:space="preserve"> AUTONUM  </w:instrText>
      </w:r>
      <w:r w:rsidRPr="0000071F">
        <w:fldChar w:fldCharType="end"/>
      </w:r>
      <w:r w:rsidRPr="0000071F">
        <w:rPr>
          <w:lang w:val="fr-CH"/>
        </w:rPr>
        <w:tab/>
      </w:r>
      <w:r w:rsidR="00DB0B8E" w:rsidRPr="0000071F">
        <w:rPr>
          <w:lang w:val="fr-CH"/>
        </w:rPr>
        <w:t>Le TWV a suivi un exposé intitulé “</w:t>
      </w:r>
      <w:proofErr w:type="spellStart"/>
      <w:r w:rsidR="00DB0B8E" w:rsidRPr="0000071F">
        <w:rPr>
          <w:lang w:val="fr-CH"/>
        </w:rPr>
        <w:t>Harmorescoll</w:t>
      </w:r>
      <w:proofErr w:type="spellEnd"/>
      <w:r w:rsidR="00F215F4" w:rsidRPr="0000071F">
        <w:rPr>
          <w:lang w:val="fr-CH"/>
        </w:rPr>
        <w:t xml:space="preserve"> – </w:t>
      </w:r>
      <w:proofErr w:type="spellStart"/>
      <w:r w:rsidR="00DB0B8E" w:rsidRPr="0000071F">
        <w:rPr>
          <w:lang w:val="fr-CH"/>
        </w:rPr>
        <w:t>Towards</w:t>
      </w:r>
      <w:proofErr w:type="spellEnd"/>
      <w:r w:rsidR="00DB0B8E" w:rsidRPr="0000071F">
        <w:rPr>
          <w:lang w:val="fr-CH"/>
        </w:rPr>
        <w:t xml:space="preserve"> a </w:t>
      </w:r>
      <w:proofErr w:type="spellStart"/>
      <w:r w:rsidR="00DB0B8E" w:rsidRPr="0000071F">
        <w:rPr>
          <w:lang w:val="fr-CH"/>
        </w:rPr>
        <w:t>European</w:t>
      </w:r>
      <w:proofErr w:type="spellEnd"/>
      <w:r w:rsidR="00DB0B8E" w:rsidRPr="0000071F">
        <w:rPr>
          <w:lang w:val="fr-CH"/>
        </w:rPr>
        <w:t xml:space="preserve">, </w:t>
      </w:r>
      <w:proofErr w:type="spellStart"/>
      <w:r w:rsidR="00DB0B8E" w:rsidRPr="0000071F">
        <w:rPr>
          <w:lang w:val="fr-CH"/>
        </w:rPr>
        <w:t>harmonized</w:t>
      </w:r>
      <w:proofErr w:type="spellEnd"/>
      <w:r w:rsidR="00DB0B8E" w:rsidRPr="0000071F">
        <w:rPr>
          <w:lang w:val="fr-CH"/>
        </w:rPr>
        <w:t xml:space="preserve"> collection of </w:t>
      </w:r>
      <w:proofErr w:type="spellStart"/>
      <w:r w:rsidR="00DB0B8E" w:rsidRPr="0000071F">
        <w:rPr>
          <w:lang w:val="fr-CH"/>
        </w:rPr>
        <w:t>reference</w:t>
      </w:r>
      <w:proofErr w:type="spellEnd"/>
      <w:r w:rsidR="00DB0B8E" w:rsidRPr="0000071F">
        <w:rPr>
          <w:lang w:val="fr-CH"/>
        </w:rPr>
        <w:t xml:space="preserve"> </w:t>
      </w:r>
      <w:proofErr w:type="spellStart"/>
      <w:r w:rsidR="00DB0B8E" w:rsidRPr="0000071F">
        <w:rPr>
          <w:lang w:val="fr-CH"/>
        </w:rPr>
        <w:t>material</w:t>
      </w:r>
      <w:proofErr w:type="spellEnd"/>
      <w:r w:rsidR="00DB0B8E" w:rsidRPr="0000071F">
        <w:rPr>
          <w:lang w:val="fr-CH"/>
        </w:rPr>
        <w:t xml:space="preserve"> for DUS </w:t>
      </w:r>
      <w:proofErr w:type="spellStart"/>
      <w:r w:rsidR="00DB0B8E" w:rsidRPr="0000071F">
        <w:rPr>
          <w:lang w:val="fr-CH"/>
        </w:rPr>
        <w:t>resistance</w:t>
      </w:r>
      <w:proofErr w:type="spellEnd"/>
      <w:r w:rsidR="00DB0B8E" w:rsidRPr="0000071F">
        <w:rPr>
          <w:lang w:val="fr-CH"/>
        </w:rPr>
        <w:t xml:space="preserve"> tests” (</w:t>
      </w:r>
      <w:proofErr w:type="spellStart"/>
      <w:r w:rsidR="00DB0B8E" w:rsidRPr="0000071F">
        <w:rPr>
          <w:lang w:val="fr-CH"/>
        </w:rPr>
        <w:t>Harmorescoll</w:t>
      </w:r>
      <w:proofErr w:type="spellEnd"/>
      <w:r w:rsidR="00F215F4" w:rsidRPr="0000071F">
        <w:rPr>
          <w:lang w:val="fr-CH"/>
        </w:rPr>
        <w:t xml:space="preserve"> – </w:t>
      </w:r>
      <w:r w:rsidR="00DB0B8E" w:rsidRPr="0000071F">
        <w:rPr>
          <w:lang w:val="fr-CH"/>
        </w:rPr>
        <w:t>Vers une collection européenne harmonisée de matériel de référence pour les essais DHS de résistance)</w:t>
      </w:r>
      <w:r w:rsidR="0000071F">
        <w:rPr>
          <w:lang w:val="fr-CH"/>
        </w:rPr>
        <w:t>,</w:t>
      </w:r>
      <w:r w:rsidR="00DB0B8E" w:rsidRPr="0000071F">
        <w:rPr>
          <w:lang w:val="fr-CH"/>
        </w:rPr>
        <w:t xml:space="preserve"> présenté par un expert de la Fran</w:t>
      </w:r>
      <w:r w:rsidR="000C0499" w:rsidRPr="0000071F">
        <w:rPr>
          <w:lang w:val="fr-CH"/>
        </w:rPr>
        <w:t>ce</w:t>
      </w:r>
      <w:r w:rsidR="000C0499">
        <w:rPr>
          <w:lang w:val="fr-CH"/>
        </w:rPr>
        <w:t>.  Le</w:t>
      </w:r>
      <w:r w:rsidR="0000071F">
        <w:rPr>
          <w:lang w:val="fr-CH"/>
        </w:rPr>
        <w:t xml:space="preserve"> texte </w:t>
      </w:r>
      <w:r w:rsidR="00DB0B8E" w:rsidRPr="0000071F">
        <w:rPr>
          <w:lang w:val="fr-CH"/>
        </w:rPr>
        <w:t>de l</w:t>
      </w:r>
      <w:r w:rsidR="00CA20AA">
        <w:rPr>
          <w:lang w:val="fr-CH"/>
        </w:rPr>
        <w:t>’</w:t>
      </w:r>
      <w:r w:rsidR="00DB0B8E" w:rsidRPr="0000071F">
        <w:rPr>
          <w:lang w:val="fr-CH"/>
        </w:rPr>
        <w:t xml:space="preserve">exposé figure dans le </w:t>
      </w:r>
      <w:r w:rsidR="00CA20AA" w:rsidRPr="0000071F">
        <w:rPr>
          <w:lang w:val="fr-CH"/>
        </w:rPr>
        <w:t>document</w:t>
      </w:r>
      <w:r w:rsidR="00CA20AA">
        <w:rPr>
          <w:lang w:val="fr-CH"/>
        </w:rPr>
        <w:t xml:space="preserve"> </w:t>
      </w:r>
      <w:r w:rsidR="00CA20AA" w:rsidRPr="0000071F">
        <w:rPr>
          <w:lang w:val="fr-CH"/>
        </w:rPr>
        <w:t>TW</w:t>
      </w:r>
      <w:r w:rsidR="00DB0B8E" w:rsidRPr="0000071F">
        <w:rPr>
          <w:lang w:val="fr-CH"/>
        </w:rPr>
        <w:t xml:space="preserve">V/55/6. </w:t>
      </w:r>
      <w:r w:rsidR="00F215F4" w:rsidRPr="0000071F">
        <w:rPr>
          <w:lang w:val="fr-CH"/>
        </w:rPr>
        <w:t xml:space="preserve"> Le TWV</w:t>
      </w:r>
      <w:r w:rsidR="00DB0B8E" w:rsidRPr="0000071F">
        <w:rPr>
          <w:lang w:val="fr-CH"/>
        </w:rPr>
        <w:t xml:space="preserve"> a décidé d</w:t>
      </w:r>
      <w:r w:rsidR="00CA20AA">
        <w:rPr>
          <w:lang w:val="fr-CH"/>
        </w:rPr>
        <w:t>’</w:t>
      </w:r>
      <w:r w:rsidR="00DB0B8E" w:rsidRPr="0000071F">
        <w:rPr>
          <w:lang w:val="fr-CH"/>
        </w:rPr>
        <w:t>inviter l</w:t>
      </w:r>
      <w:r w:rsidR="00CA20AA">
        <w:rPr>
          <w:lang w:val="fr-CH"/>
        </w:rPr>
        <w:t>’</w:t>
      </w:r>
      <w:r w:rsidR="00DB0B8E" w:rsidRPr="0000071F">
        <w:rPr>
          <w:lang w:val="fr-CH"/>
        </w:rPr>
        <w:t>expert de la France à rendre compte de l</w:t>
      </w:r>
      <w:r w:rsidR="00CA20AA">
        <w:rPr>
          <w:lang w:val="fr-CH"/>
        </w:rPr>
        <w:t>’</w:t>
      </w:r>
      <w:r w:rsidR="00DB0B8E" w:rsidRPr="0000071F">
        <w:rPr>
          <w:lang w:val="fr-CH"/>
        </w:rPr>
        <w:t xml:space="preserve">avancement du projet </w:t>
      </w:r>
      <w:proofErr w:type="spellStart"/>
      <w:r w:rsidR="00DB0B8E" w:rsidRPr="0000071F">
        <w:rPr>
          <w:lang w:val="fr-CH"/>
        </w:rPr>
        <w:t>Harmorescoll</w:t>
      </w:r>
      <w:proofErr w:type="spellEnd"/>
      <w:r w:rsidR="00DB0B8E" w:rsidRPr="0000071F">
        <w:rPr>
          <w:lang w:val="fr-CH"/>
        </w:rPr>
        <w:t xml:space="preserve"> à sa cinquante</w:t>
      </w:r>
      <w:r w:rsidR="00CA20AA">
        <w:rPr>
          <w:lang w:val="fr-CH"/>
        </w:rPr>
        <w:t>-</w:t>
      </w:r>
      <w:r w:rsidR="00DB0B8E" w:rsidRPr="0000071F">
        <w:rPr>
          <w:lang w:val="fr-CH"/>
        </w:rPr>
        <w:t>six</w:t>
      </w:r>
      <w:r w:rsidR="00CA20AA">
        <w:rPr>
          <w:lang w:val="fr-CH"/>
        </w:rPr>
        <w:t>ième sessi</w:t>
      </w:r>
      <w:r w:rsidR="000C0499">
        <w:rPr>
          <w:lang w:val="fr-CH"/>
        </w:rPr>
        <w:t>on.  Il</w:t>
      </w:r>
      <w:r w:rsidR="00DB0B8E" w:rsidRPr="0000071F">
        <w:rPr>
          <w:lang w:val="fr-CH"/>
        </w:rPr>
        <w:t xml:space="preserve"> a pris note de l</w:t>
      </w:r>
      <w:r w:rsidR="00CA20AA">
        <w:rPr>
          <w:lang w:val="fr-CH"/>
        </w:rPr>
        <w:t>’</w:t>
      </w:r>
      <w:r w:rsidR="00DB0B8E" w:rsidRPr="0000071F">
        <w:rPr>
          <w:lang w:val="fr-CH"/>
        </w:rPr>
        <w:t>intérêt des membres établis en dehors de l</w:t>
      </w:r>
      <w:r w:rsidR="00CA20AA">
        <w:rPr>
          <w:lang w:val="fr-CH"/>
        </w:rPr>
        <w:t>’</w:t>
      </w:r>
      <w:r w:rsidR="00DB0B8E" w:rsidRPr="0000071F">
        <w:rPr>
          <w:lang w:val="fr-CH"/>
        </w:rPr>
        <w:t>Union européenne et il est convenu que l</w:t>
      </w:r>
      <w:r w:rsidR="00CA20AA">
        <w:rPr>
          <w:lang w:val="fr-CH"/>
        </w:rPr>
        <w:t>’</w:t>
      </w:r>
      <w:r w:rsidR="00DB0B8E" w:rsidRPr="0000071F">
        <w:rPr>
          <w:lang w:val="fr-CH"/>
        </w:rPr>
        <w:t xml:space="preserve">accès </w:t>
      </w:r>
      <w:r w:rsidR="0071420A">
        <w:rPr>
          <w:lang w:val="fr-CH"/>
        </w:rPr>
        <w:t xml:space="preserve">au matériel de </w:t>
      </w:r>
      <w:proofErr w:type="spellStart"/>
      <w:r w:rsidR="0071420A">
        <w:rPr>
          <w:lang w:val="fr-CH"/>
        </w:rPr>
        <w:t>Harmorescoll</w:t>
      </w:r>
      <w:proofErr w:type="spellEnd"/>
      <w:r w:rsidR="0071420A">
        <w:rPr>
          <w:lang w:val="fr-CH"/>
        </w:rPr>
        <w:t xml:space="preserve"> dev</w:t>
      </w:r>
      <w:r w:rsidR="00DB0B8E" w:rsidRPr="0000071F">
        <w:rPr>
          <w:lang w:val="fr-CH"/>
        </w:rPr>
        <w:t>ait être examiné de plus près.</w:t>
      </w:r>
    </w:p>
    <w:p w:rsidR="00D03553" w:rsidRPr="0000071F" w:rsidRDefault="00D03553" w:rsidP="002D421F">
      <w:pPr>
        <w:rPr>
          <w:lang w:val="fr-CH"/>
        </w:rPr>
      </w:pPr>
    </w:p>
    <w:p w:rsidR="00D03553" w:rsidRPr="0000071F" w:rsidRDefault="002D421F" w:rsidP="00A9779C">
      <w:pPr>
        <w:keepNext/>
        <w:keepLines/>
        <w:rPr>
          <w:lang w:val="fr-CH"/>
        </w:rPr>
      </w:pPr>
      <w:r w:rsidRPr="0000071F">
        <w:fldChar w:fldCharType="begin"/>
      </w:r>
      <w:r w:rsidRPr="0000071F">
        <w:rPr>
          <w:lang w:val="fr-CH"/>
        </w:rPr>
        <w:instrText xml:space="preserve"> AUTONUM  </w:instrText>
      </w:r>
      <w:r w:rsidRPr="0000071F">
        <w:fldChar w:fldCharType="end"/>
      </w:r>
      <w:r w:rsidRPr="0000071F">
        <w:rPr>
          <w:lang w:val="fr-CH"/>
        </w:rPr>
        <w:tab/>
      </w:r>
      <w:r w:rsidR="00DB0B8E" w:rsidRPr="0000071F">
        <w:rPr>
          <w:lang w:val="fr-CH"/>
        </w:rPr>
        <w:t>Le TWV est convenu que l</w:t>
      </w:r>
      <w:r w:rsidR="00CA20AA">
        <w:rPr>
          <w:lang w:val="fr-CH"/>
        </w:rPr>
        <w:t>’</w:t>
      </w:r>
      <w:r w:rsidR="00DB0B8E" w:rsidRPr="0000071F">
        <w:rPr>
          <w:lang w:val="fr-CH"/>
        </w:rPr>
        <w:t>accès à du matériel de référence et la disponibilité de variétés témoins étaient essentiels pour la réalisation d</w:t>
      </w:r>
      <w:r w:rsidR="00CA20AA">
        <w:rPr>
          <w:lang w:val="fr-CH"/>
        </w:rPr>
        <w:t>’</w:t>
      </w:r>
      <w:r w:rsidR="00DB0B8E" w:rsidRPr="0000071F">
        <w:rPr>
          <w:lang w:val="fr-CH"/>
        </w:rPr>
        <w:t>essais DHS sur les caractères de résistance aux maladi</w:t>
      </w:r>
      <w:r w:rsidR="000C0499" w:rsidRPr="0000071F">
        <w:rPr>
          <w:lang w:val="fr-CH"/>
        </w:rPr>
        <w:t>es</w:t>
      </w:r>
      <w:r w:rsidR="000C0499">
        <w:rPr>
          <w:lang w:val="fr-CH"/>
        </w:rPr>
        <w:t xml:space="preserve">.  </w:t>
      </w:r>
      <w:r w:rsidR="000C0499" w:rsidRPr="0000071F">
        <w:rPr>
          <w:lang w:val="fr-CH"/>
        </w:rPr>
        <w:t>Il</w:t>
      </w:r>
      <w:r w:rsidR="00A9779C" w:rsidRPr="0000071F">
        <w:rPr>
          <w:lang w:val="fr-CH"/>
        </w:rPr>
        <w:t xml:space="preserve"> est en outre convenu que, lors de la révision ou de la rédaction des principes directeurs d</w:t>
      </w:r>
      <w:r w:rsidR="00CA20AA">
        <w:rPr>
          <w:lang w:val="fr-CH"/>
        </w:rPr>
        <w:t>’</w:t>
      </w:r>
      <w:r w:rsidR="00A9779C" w:rsidRPr="0000071F">
        <w:rPr>
          <w:lang w:val="fr-CH"/>
        </w:rPr>
        <w:t>examen, la disponibilité de l</w:t>
      </w:r>
      <w:r w:rsidR="00CA20AA">
        <w:rPr>
          <w:lang w:val="fr-CH"/>
        </w:rPr>
        <w:t>’</w:t>
      </w:r>
      <w:r w:rsidR="00A9779C" w:rsidRPr="0000071F">
        <w:rPr>
          <w:lang w:val="fr-CH"/>
        </w:rPr>
        <w:t>inoculum, des variétés indiquées à titre d</w:t>
      </w:r>
      <w:r w:rsidR="00CA20AA">
        <w:rPr>
          <w:lang w:val="fr-CH"/>
        </w:rPr>
        <w:t>’</w:t>
      </w:r>
      <w:r w:rsidR="00A9779C" w:rsidRPr="0000071F">
        <w:rPr>
          <w:lang w:val="fr-CH"/>
        </w:rPr>
        <w:t>exemple et des variétés témoins pour les caractères de résistance aux maladies devait être vérifiée et actualisée.</w:t>
      </w:r>
    </w:p>
    <w:p w:rsidR="00D03553" w:rsidRPr="0000071F" w:rsidRDefault="00D03553" w:rsidP="002D421F">
      <w:pPr>
        <w:keepNext/>
        <w:keepLines/>
        <w:rPr>
          <w:lang w:val="fr-CH"/>
        </w:rPr>
      </w:pPr>
    </w:p>
    <w:p w:rsidR="00D03553" w:rsidRDefault="00D03553" w:rsidP="002D421F">
      <w:pPr>
        <w:keepNext/>
        <w:ind w:left="567" w:hanging="567"/>
        <w:rPr>
          <w:snapToGrid w:val="0"/>
          <w:lang w:val="fr-CH"/>
        </w:rPr>
      </w:pPr>
    </w:p>
    <w:p w:rsidR="00D03553" w:rsidRPr="0000071F" w:rsidRDefault="00A9779C" w:rsidP="0000071F">
      <w:pPr>
        <w:pStyle w:val="Heading2"/>
      </w:pPr>
      <w:bookmarkStart w:id="10" w:name="_Toc81836890"/>
      <w:r w:rsidRPr="0000071F">
        <w:t>Expériences en matière de nouveaux types et espèces</w:t>
      </w:r>
      <w:bookmarkEnd w:id="10"/>
    </w:p>
    <w:p w:rsidR="00D03553" w:rsidRDefault="00D03553" w:rsidP="002D421F">
      <w:pPr>
        <w:keepNext/>
        <w:rPr>
          <w:lang w:val="fr-CH"/>
        </w:rPr>
      </w:pPr>
    </w:p>
    <w:p w:rsidR="00D03553" w:rsidRDefault="002D421F" w:rsidP="00761AD3">
      <w:pPr>
        <w:rPr>
          <w:color w:val="000000"/>
          <w:lang w:val="fr-CH"/>
        </w:rPr>
      </w:pPr>
      <w:r w:rsidRPr="00113E52">
        <w:fldChar w:fldCharType="begin"/>
      </w:r>
      <w:r w:rsidRPr="00A9779C">
        <w:rPr>
          <w:lang w:val="fr-CH"/>
        </w:rPr>
        <w:instrText xml:space="preserve"> AUTONUM  </w:instrText>
      </w:r>
      <w:r w:rsidRPr="00113E52">
        <w:fldChar w:fldCharType="end"/>
      </w:r>
      <w:r w:rsidRPr="00A9779C">
        <w:rPr>
          <w:lang w:val="fr-CH"/>
        </w:rPr>
        <w:tab/>
      </w:r>
      <w:r w:rsidR="00A9779C" w:rsidRPr="00A9779C">
        <w:rPr>
          <w:color w:val="000000"/>
          <w:lang w:val="fr-CH"/>
        </w:rPr>
        <w:t>Le TWV</w:t>
      </w:r>
      <w:r w:rsidR="00A9779C" w:rsidRPr="00A9779C">
        <w:rPr>
          <w:color w:val="000000"/>
          <w:vertAlign w:val="superscript"/>
          <w:lang w:val="fr-CH"/>
        </w:rPr>
        <w:t>9</w:t>
      </w:r>
      <w:r w:rsidR="00A9779C" w:rsidRPr="00A9779C">
        <w:rPr>
          <w:color w:val="000000"/>
          <w:lang w:val="fr-CH"/>
        </w:rPr>
        <w:t xml:space="preserve"> a pris note de l</w:t>
      </w:r>
      <w:r w:rsidR="00CA20AA">
        <w:rPr>
          <w:color w:val="000000"/>
          <w:lang w:val="fr-CH"/>
        </w:rPr>
        <w:t>’</w:t>
      </w:r>
      <w:r w:rsidR="00A9779C" w:rsidRPr="00A9779C">
        <w:rPr>
          <w:color w:val="000000"/>
          <w:lang w:val="fr-CH"/>
        </w:rPr>
        <w:t>observation formulée par l</w:t>
      </w:r>
      <w:r w:rsidR="00CA20AA">
        <w:rPr>
          <w:color w:val="000000"/>
          <w:lang w:val="fr-CH"/>
        </w:rPr>
        <w:t>’</w:t>
      </w:r>
      <w:r w:rsidR="00A9779C" w:rsidRPr="00A9779C">
        <w:rPr>
          <w:color w:val="000000"/>
          <w:lang w:val="fr-CH"/>
        </w:rPr>
        <w:t xml:space="preserve">expert de la Turquie sur le nombre croissant de demandes reçues pour </w:t>
      </w:r>
      <w:proofErr w:type="spellStart"/>
      <w:r w:rsidR="00A9779C" w:rsidRPr="0000071F">
        <w:rPr>
          <w:i/>
          <w:color w:val="000000"/>
          <w:lang w:val="fr-CH"/>
        </w:rPr>
        <w:t>Solanum</w:t>
      </w:r>
      <w:proofErr w:type="spellEnd"/>
      <w:r w:rsidR="00A9779C" w:rsidRPr="0000071F">
        <w:rPr>
          <w:i/>
          <w:color w:val="000000"/>
          <w:lang w:val="fr-CH"/>
        </w:rPr>
        <w:t xml:space="preserve"> </w:t>
      </w:r>
      <w:proofErr w:type="spellStart"/>
      <w:r w:rsidR="00A9779C" w:rsidRPr="0000071F">
        <w:rPr>
          <w:i/>
          <w:color w:val="000000"/>
          <w:lang w:val="fr-CH"/>
        </w:rPr>
        <w:t>torvum</w:t>
      </w:r>
      <w:proofErr w:type="spellEnd"/>
      <w:r w:rsidR="00A9779C" w:rsidRPr="0000071F">
        <w:rPr>
          <w:i/>
          <w:color w:val="000000"/>
          <w:lang w:val="fr-CH"/>
        </w:rPr>
        <w:t xml:space="preserve"> </w:t>
      </w:r>
      <w:proofErr w:type="spellStart"/>
      <w:r w:rsidR="00A9779C" w:rsidRPr="0000071F">
        <w:rPr>
          <w:i/>
          <w:color w:val="000000"/>
          <w:lang w:val="fr-CH"/>
        </w:rPr>
        <w:t>Sw</w:t>
      </w:r>
      <w:proofErr w:type="spellEnd"/>
      <w:r w:rsidR="00A9779C" w:rsidRPr="00A9779C">
        <w:rPr>
          <w:color w:val="000000"/>
          <w:lang w:val="fr-CH"/>
        </w:rPr>
        <w:t>.</w:t>
      </w:r>
      <w:r w:rsidR="00761AD3">
        <w:rPr>
          <w:color w:val="000000"/>
          <w:lang w:val="fr-CH"/>
        </w:rPr>
        <w:t xml:space="preserve"> </w:t>
      </w:r>
      <w:r w:rsidRPr="00AE68AA">
        <w:rPr>
          <w:color w:val="000000"/>
          <w:lang w:val="fr-CH"/>
        </w:rPr>
        <w:t xml:space="preserve"> </w:t>
      </w:r>
      <w:r w:rsidR="00761AD3" w:rsidRPr="00761AD3">
        <w:rPr>
          <w:color w:val="000000"/>
          <w:lang w:val="fr-CH"/>
        </w:rPr>
        <w:t>Il a rappelé l</w:t>
      </w:r>
      <w:r w:rsidR="00CA20AA">
        <w:rPr>
          <w:color w:val="000000"/>
          <w:lang w:val="fr-CH"/>
        </w:rPr>
        <w:t>’</w:t>
      </w:r>
      <w:r w:rsidR="00761AD3" w:rsidRPr="00761AD3">
        <w:rPr>
          <w:color w:val="000000"/>
          <w:lang w:val="fr-CH"/>
        </w:rPr>
        <w:t>exposé présenté sur la même espèce à sa cinquante</w:t>
      </w:r>
      <w:r w:rsidR="00CA20AA">
        <w:rPr>
          <w:color w:val="000000"/>
          <w:lang w:val="fr-CH"/>
        </w:rPr>
        <w:t>-</w:t>
      </w:r>
      <w:r w:rsidR="00761AD3" w:rsidRPr="00761AD3">
        <w:rPr>
          <w:color w:val="000000"/>
          <w:lang w:val="fr-CH"/>
        </w:rPr>
        <w:t>deux</w:t>
      </w:r>
      <w:r w:rsidR="00CA20AA">
        <w:rPr>
          <w:color w:val="000000"/>
          <w:lang w:val="fr-CH"/>
        </w:rPr>
        <w:t>ième session</w:t>
      </w:r>
      <w:r w:rsidR="00761AD3" w:rsidRPr="00761AD3">
        <w:rPr>
          <w:color w:val="000000"/>
          <w:lang w:val="fr-CH"/>
        </w:rPr>
        <w:t xml:space="preserve"> (voir le </w:t>
      </w:r>
      <w:r w:rsidR="00CA20AA" w:rsidRPr="00761AD3">
        <w:rPr>
          <w:color w:val="000000"/>
          <w:lang w:val="fr-CH"/>
        </w:rPr>
        <w:t>document</w:t>
      </w:r>
      <w:r w:rsidR="00CA20AA">
        <w:rPr>
          <w:color w:val="000000"/>
          <w:lang w:val="fr-CH"/>
        </w:rPr>
        <w:t xml:space="preserve"> </w:t>
      </w:r>
      <w:r w:rsidR="00CA20AA" w:rsidRPr="00761AD3">
        <w:rPr>
          <w:color w:val="000000"/>
          <w:lang w:val="fr-CH"/>
        </w:rPr>
        <w:t>TW</w:t>
      </w:r>
      <w:r w:rsidR="00761AD3" w:rsidRPr="00761AD3">
        <w:rPr>
          <w:color w:val="000000"/>
          <w:lang w:val="fr-CH"/>
        </w:rPr>
        <w:t xml:space="preserve">V/52/14) (voir le </w:t>
      </w:r>
      <w:r w:rsidR="00F215F4" w:rsidRPr="00761AD3">
        <w:rPr>
          <w:color w:val="000000"/>
          <w:lang w:val="fr-CH"/>
        </w:rPr>
        <w:t>paragraphe</w:t>
      </w:r>
      <w:r w:rsidR="00F215F4">
        <w:rPr>
          <w:color w:val="000000"/>
          <w:lang w:val="fr-CH"/>
        </w:rPr>
        <w:t> </w:t>
      </w:r>
      <w:r w:rsidR="00F215F4" w:rsidRPr="00761AD3">
        <w:rPr>
          <w:color w:val="000000"/>
          <w:lang w:val="fr-CH"/>
        </w:rPr>
        <w:t>1</w:t>
      </w:r>
      <w:r w:rsidR="00761AD3" w:rsidRPr="00761AD3">
        <w:rPr>
          <w:color w:val="000000"/>
          <w:lang w:val="fr-CH"/>
        </w:rPr>
        <w:t xml:space="preserve">04 du </w:t>
      </w:r>
      <w:r w:rsidR="00CA20AA" w:rsidRPr="00761AD3">
        <w:rPr>
          <w:color w:val="000000"/>
          <w:lang w:val="fr-CH"/>
        </w:rPr>
        <w:t>document</w:t>
      </w:r>
      <w:r w:rsidR="00CA20AA">
        <w:rPr>
          <w:color w:val="000000"/>
          <w:lang w:val="fr-CH"/>
        </w:rPr>
        <w:t xml:space="preserve"> </w:t>
      </w:r>
      <w:r w:rsidR="00CA20AA" w:rsidRPr="00761AD3">
        <w:rPr>
          <w:color w:val="000000"/>
          <w:lang w:val="fr-CH"/>
        </w:rPr>
        <w:t>TW</w:t>
      </w:r>
      <w:r w:rsidR="00761AD3" w:rsidRPr="00761AD3">
        <w:rPr>
          <w:color w:val="000000"/>
          <w:lang w:val="fr-CH"/>
        </w:rPr>
        <w:t xml:space="preserve">V/55/16 </w:t>
      </w:r>
      <w:r w:rsidR="00F215F4">
        <w:rPr>
          <w:color w:val="000000"/>
          <w:lang w:val="fr-CH"/>
        </w:rPr>
        <w:t>“</w:t>
      </w:r>
      <w:r w:rsidR="00F215F4" w:rsidRPr="00761AD3">
        <w:rPr>
          <w:color w:val="000000"/>
          <w:lang w:val="fr-CH"/>
        </w:rPr>
        <w:t>R</w:t>
      </w:r>
      <w:r w:rsidR="00761AD3" w:rsidRPr="00761AD3">
        <w:rPr>
          <w:color w:val="000000"/>
          <w:lang w:val="fr-CH"/>
        </w:rPr>
        <w:t>epor</w:t>
      </w:r>
      <w:r w:rsidR="00F215F4" w:rsidRPr="00761AD3">
        <w:rPr>
          <w:color w:val="000000"/>
          <w:lang w:val="fr-CH"/>
        </w:rPr>
        <w:t>t</w:t>
      </w:r>
      <w:r w:rsidR="00F215F4">
        <w:rPr>
          <w:color w:val="000000"/>
          <w:lang w:val="fr-CH"/>
        </w:rPr>
        <w:t>”</w:t>
      </w:r>
      <w:r w:rsidR="00761AD3" w:rsidRPr="00761AD3">
        <w:rPr>
          <w:color w:val="000000"/>
          <w:lang w:val="fr-CH"/>
        </w:rPr>
        <w:t>).</w:t>
      </w:r>
    </w:p>
    <w:p w:rsidR="00D03553" w:rsidRDefault="00D03553" w:rsidP="002D421F">
      <w:pPr>
        <w:rPr>
          <w:lang w:val="fr-CH"/>
        </w:rPr>
      </w:pPr>
    </w:p>
    <w:p w:rsidR="00D03553" w:rsidRDefault="00D03553" w:rsidP="002D421F">
      <w:pPr>
        <w:rPr>
          <w:lang w:val="fr-CH"/>
        </w:rPr>
      </w:pPr>
    </w:p>
    <w:p w:rsidR="00D03553" w:rsidRDefault="00761AD3" w:rsidP="0000071F">
      <w:pPr>
        <w:pStyle w:val="Heading2"/>
      </w:pPr>
      <w:bookmarkStart w:id="11" w:name="_Toc81836891"/>
      <w:r w:rsidRPr="00761AD3">
        <w:t>Procédures de groupement des variétés au moyen des codes UPOV et des sources d</w:t>
      </w:r>
      <w:r w:rsidR="00CA20AA">
        <w:t>’</w:t>
      </w:r>
      <w:r w:rsidRPr="00761AD3">
        <w:t>information pertinentes</w:t>
      </w:r>
      <w:bookmarkEnd w:id="11"/>
    </w:p>
    <w:p w:rsidR="00D03553" w:rsidRDefault="00D03553" w:rsidP="00FC0917">
      <w:pPr>
        <w:pStyle w:val="Heading4"/>
        <w:ind w:left="0"/>
        <w:rPr>
          <w:lang w:val="fr-CH"/>
        </w:rPr>
      </w:pPr>
    </w:p>
    <w:p w:rsidR="00D03553" w:rsidRPr="0000071F" w:rsidRDefault="002D421F" w:rsidP="00761AD3">
      <w:pPr>
        <w:rPr>
          <w:lang w:val="fr-CH"/>
        </w:rPr>
      </w:pPr>
      <w:r>
        <w:fldChar w:fldCharType="begin"/>
      </w:r>
      <w:r w:rsidRPr="00761AD3">
        <w:rPr>
          <w:lang w:val="fr-CH"/>
        </w:rPr>
        <w:instrText xml:space="preserve"> AUTONUM  </w:instrText>
      </w:r>
      <w:r>
        <w:fldChar w:fldCharType="end"/>
      </w:r>
      <w:r w:rsidRPr="00761AD3">
        <w:rPr>
          <w:lang w:val="fr-CH"/>
        </w:rPr>
        <w:tab/>
      </w:r>
      <w:r w:rsidR="00761AD3" w:rsidRPr="0000071F">
        <w:rPr>
          <w:lang w:val="fr-CH"/>
        </w:rPr>
        <w:t>Le TWO</w:t>
      </w:r>
      <w:r w:rsidR="00761AD3" w:rsidRPr="0000071F">
        <w:rPr>
          <w:rStyle w:val="FootnoteReference"/>
          <w:lang w:val="en-US"/>
        </w:rPr>
        <w:footnoteReference w:id="11"/>
      </w:r>
      <w:r w:rsidR="00761AD3" w:rsidRPr="0000071F">
        <w:rPr>
          <w:lang w:val="fr-CH"/>
        </w:rPr>
        <w:t xml:space="preserve"> a suivi un exposé sur </w:t>
      </w:r>
      <w:r w:rsidR="00F215F4" w:rsidRPr="0000071F">
        <w:rPr>
          <w:lang w:val="fr-CH"/>
        </w:rPr>
        <w:t>“l</w:t>
      </w:r>
      <w:r w:rsidR="00CA20AA">
        <w:rPr>
          <w:lang w:val="fr-CH"/>
        </w:rPr>
        <w:t>’</w:t>
      </w:r>
      <w:r w:rsidR="00761AD3" w:rsidRPr="0000071F">
        <w:rPr>
          <w:lang w:val="fr-CH"/>
        </w:rPr>
        <w:t>utilisation des groupements de variétés dans le système de l</w:t>
      </w:r>
      <w:r w:rsidR="00CA20AA">
        <w:rPr>
          <w:lang w:val="fr-CH"/>
        </w:rPr>
        <w:t>’</w:t>
      </w:r>
      <w:r w:rsidR="00761AD3" w:rsidRPr="0000071F">
        <w:rPr>
          <w:lang w:val="fr-CH"/>
        </w:rPr>
        <w:t>UPO</w:t>
      </w:r>
      <w:r w:rsidR="00F215F4" w:rsidRPr="0000071F">
        <w:rPr>
          <w:lang w:val="fr-CH"/>
        </w:rPr>
        <w:t>V”</w:t>
      </w:r>
      <w:r w:rsidR="00761AD3" w:rsidRPr="0000071F">
        <w:rPr>
          <w:lang w:val="fr-CH"/>
        </w:rPr>
        <w:t xml:space="preserve"> présenté par un expert des Pays</w:t>
      </w:r>
      <w:r w:rsidR="00CA20AA">
        <w:rPr>
          <w:lang w:val="fr-CH"/>
        </w:rPr>
        <w:t>-</w:t>
      </w:r>
      <w:r w:rsidR="00761AD3" w:rsidRPr="0000071F">
        <w:rPr>
          <w:lang w:val="fr-CH"/>
        </w:rPr>
        <w:t>B</w:t>
      </w:r>
      <w:r w:rsidR="000C0499" w:rsidRPr="0000071F">
        <w:rPr>
          <w:lang w:val="fr-CH"/>
        </w:rPr>
        <w:t>as</w:t>
      </w:r>
      <w:r w:rsidR="000C0499">
        <w:rPr>
          <w:lang w:val="fr-CH"/>
        </w:rPr>
        <w:t xml:space="preserve">.  </w:t>
      </w:r>
      <w:r w:rsidR="000C0499" w:rsidRPr="0000071F">
        <w:rPr>
          <w:lang w:val="fr-CH"/>
        </w:rPr>
        <w:t>Le</w:t>
      </w:r>
      <w:r w:rsidR="0000071F">
        <w:rPr>
          <w:lang w:val="fr-CH"/>
        </w:rPr>
        <w:t xml:space="preserve"> texte de cet exposé fait l</w:t>
      </w:r>
      <w:r w:rsidR="00CA20AA">
        <w:rPr>
          <w:lang w:val="fr-CH"/>
        </w:rPr>
        <w:t>’</w:t>
      </w:r>
      <w:r w:rsidR="0000071F">
        <w:rPr>
          <w:lang w:val="fr-CH"/>
        </w:rPr>
        <w:t>objet de</w:t>
      </w:r>
      <w:r w:rsidR="00761AD3" w:rsidRPr="0000071F">
        <w:rPr>
          <w:lang w:val="fr-CH"/>
        </w:rPr>
        <w:t xml:space="preserve"> l</w:t>
      </w:r>
      <w:r w:rsidR="00CA20AA">
        <w:rPr>
          <w:lang w:val="fr-CH"/>
        </w:rPr>
        <w:t>’</w:t>
      </w:r>
      <w:r w:rsidR="00761AD3" w:rsidRPr="0000071F">
        <w:rPr>
          <w:lang w:val="fr-CH"/>
        </w:rPr>
        <w:t xml:space="preserve">annexe du </w:t>
      </w:r>
      <w:r w:rsidR="00CA20AA" w:rsidRPr="0000071F">
        <w:rPr>
          <w:lang w:val="fr-CH"/>
        </w:rPr>
        <w:t>document</w:t>
      </w:r>
      <w:r w:rsidR="00CA20AA">
        <w:rPr>
          <w:lang w:val="fr-CH"/>
        </w:rPr>
        <w:t xml:space="preserve"> </w:t>
      </w:r>
      <w:r w:rsidR="00CA20AA" w:rsidRPr="0000071F">
        <w:rPr>
          <w:lang w:val="fr-CH"/>
        </w:rPr>
        <w:t>TW</w:t>
      </w:r>
      <w:r w:rsidR="00761AD3" w:rsidRPr="0000071F">
        <w:rPr>
          <w:lang w:val="fr-CH"/>
        </w:rPr>
        <w:t xml:space="preserve">O/53/7 (voir le </w:t>
      </w:r>
      <w:r w:rsidR="00F215F4" w:rsidRPr="0000071F">
        <w:rPr>
          <w:lang w:val="fr-CH"/>
        </w:rPr>
        <w:t>paragraphe 4</w:t>
      </w:r>
      <w:r w:rsidR="00761AD3" w:rsidRPr="0000071F">
        <w:rPr>
          <w:lang w:val="fr-CH"/>
        </w:rPr>
        <w:t xml:space="preserve">7 du </w:t>
      </w:r>
      <w:r w:rsidR="00CA20AA" w:rsidRPr="0000071F">
        <w:rPr>
          <w:lang w:val="fr-CH"/>
        </w:rPr>
        <w:t>document</w:t>
      </w:r>
      <w:r w:rsidR="00CA20AA">
        <w:rPr>
          <w:lang w:val="fr-CH"/>
        </w:rPr>
        <w:t xml:space="preserve"> </w:t>
      </w:r>
      <w:r w:rsidR="00CA20AA" w:rsidRPr="0000071F">
        <w:rPr>
          <w:lang w:val="fr-CH"/>
        </w:rPr>
        <w:t>TW</w:t>
      </w:r>
      <w:r w:rsidR="00761AD3" w:rsidRPr="0000071F">
        <w:rPr>
          <w:lang w:val="fr-CH"/>
        </w:rPr>
        <w:t>O/53/10 “Report”).</w:t>
      </w:r>
    </w:p>
    <w:p w:rsidR="00D03553" w:rsidRPr="0000071F" w:rsidRDefault="00D03553" w:rsidP="00761AD3">
      <w:pPr>
        <w:rPr>
          <w:lang w:val="fr-CH"/>
        </w:rPr>
      </w:pPr>
    </w:p>
    <w:p w:rsidR="00D03553" w:rsidRPr="0000071F" w:rsidRDefault="00D03553" w:rsidP="00761AD3">
      <w:pPr>
        <w:rPr>
          <w:lang w:val="fr-CH"/>
        </w:rPr>
      </w:pPr>
    </w:p>
    <w:p w:rsidR="00D03553" w:rsidRPr="0000071F" w:rsidRDefault="00761AD3" w:rsidP="0000071F">
      <w:pPr>
        <w:pStyle w:val="Heading2"/>
      </w:pPr>
      <w:bookmarkStart w:id="12" w:name="_Toc81836892"/>
      <w:r w:rsidRPr="0000071F">
        <w:t>Communication d</w:t>
      </w:r>
      <w:r w:rsidR="00CA20AA">
        <w:t>’</w:t>
      </w:r>
      <w:r w:rsidRPr="0000071F">
        <w:t>informations sur des variétés voisines dans le Formulaire UPOV de description variétale</w:t>
      </w:r>
      <w:bookmarkEnd w:id="12"/>
    </w:p>
    <w:p w:rsidR="00D03553" w:rsidRPr="0000071F" w:rsidRDefault="00D03553" w:rsidP="002D421F">
      <w:pPr>
        <w:keepNext/>
        <w:rPr>
          <w:lang w:val="fr-CH"/>
        </w:rPr>
      </w:pPr>
    </w:p>
    <w:p w:rsidR="00D03553" w:rsidRPr="0000071F" w:rsidRDefault="002D421F" w:rsidP="00A53FB4">
      <w:pPr>
        <w:rPr>
          <w:lang w:val="fr-CH"/>
        </w:rPr>
      </w:pPr>
      <w:r w:rsidRPr="0000071F">
        <w:fldChar w:fldCharType="begin"/>
      </w:r>
      <w:r w:rsidRPr="0000071F">
        <w:rPr>
          <w:lang w:val="fr-CH"/>
        </w:rPr>
        <w:instrText xml:space="preserve"> AUTONUM  </w:instrText>
      </w:r>
      <w:r w:rsidRPr="0000071F">
        <w:fldChar w:fldCharType="end"/>
      </w:r>
      <w:r w:rsidRPr="0000071F">
        <w:rPr>
          <w:lang w:val="fr-CH"/>
        </w:rPr>
        <w:tab/>
      </w:r>
      <w:r w:rsidR="00A53FB4" w:rsidRPr="0000071F">
        <w:rPr>
          <w:lang w:val="fr-CH"/>
        </w:rPr>
        <w:t>Le TWO</w:t>
      </w:r>
      <w:r w:rsidR="00A53FB4" w:rsidRPr="0000071F">
        <w:rPr>
          <w:rStyle w:val="FootnoteReference"/>
          <w:lang w:val="en-US"/>
        </w:rPr>
        <w:footnoteReference w:id="12"/>
      </w:r>
      <w:r w:rsidR="00A53FB4" w:rsidRPr="0000071F">
        <w:rPr>
          <w:lang w:val="fr-CH"/>
        </w:rPr>
        <w:t xml:space="preserve"> a suivi un exposé intitulé </w:t>
      </w:r>
      <w:r w:rsidR="00F215F4" w:rsidRPr="0000071F">
        <w:rPr>
          <w:lang w:val="fr-CH"/>
        </w:rPr>
        <w:t>“</w:t>
      </w:r>
      <w:proofErr w:type="spellStart"/>
      <w:r w:rsidR="00F215F4" w:rsidRPr="0000071F">
        <w:rPr>
          <w:lang w:val="fr-CH"/>
        </w:rPr>
        <w:t>P</w:t>
      </w:r>
      <w:r w:rsidR="00A53FB4" w:rsidRPr="0000071F">
        <w:rPr>
          <w:lang w:val="fr-CH"/>
        </w:rPr>
        <w:t>roviding</w:t>
      </w:r>
      <w:proofErr w:type="spellEnd"/>
      <w:r w:rsidR="00A53FB4" w:rsidRPr="0000071F">
        <w:rPr>
          <w:lang w:val="fr-CH"/>
        </w:rPr>
        <w:t xml:space="preserve"> information on </w:t>
      </w:r>
      <w:proofErr w:type="spellStart"/>
      <w:r w:rsidR="00A53FB4" w:rsidRPr="0000071F">
        <w:rPr>
          <w:lang w:val="fr-CH"/>
        </w:rPr>
        <w:t>similar</w:t>
      </w:r>
      <w:proofErr w:type="spellEnd"/>
      <w:r w:rsidR="00A53FB4" w:rsidRPr="0000071F">
        <w:rPr>
          <w:lang w:val="fr-CH"/>
        </w:rPr>
        <w:t xml:space="preserve"> </w:t>
      </w:r>
      <w:proofErr w:type="spellStart"/>
      <w:r w:rsidR="00A53FB4" w:rsidRPr="0000071F">
        <w:rPr>
          <w:lang w:val="fr-CH"/>
        </w:rPr>
        <w:t>varieties</w:t>
      </w:r>
      <w:proofErr w:type="spellEnd"/>
      <w:r w:rsidR="00A53FB4" w:rsidRPr="0000071F">
        <w:rPr>
          <w:lang w:val="fr-CH"/>
        </w:rPr>
        <w:t xml:space="preserve"> in the UPOV model </w:t>
      </w:r>
      <w:proofErr w:type="spellStart"/>
      <w:r w:rsidR="00A53FB4" w:rsidRPr="0000071F">
        <w:rPr>
          <w:lang w:val="fr-CH"/>
        </w:rPr>
        <w:t>variety</w:t>
      </w:r>
      <w:proofErr w:type="spellEnd"/>
      <w:r w:rsidR="00A53FB4" w:rsidRPr="0000071F">
        <w:rPr>
          <w:lang w:val="fr-CH"/>
        </w:rPr>
        <w:t xml:space="preserve"> description” (</w:t>
      </w:r>
      <w:r w:rsidR="0000071F">
        <w:rPr>
          <w:lang w:val="fr-CH"/>
        </w:rPr>
        <w:t>C</w:t>
      </w:r>
      <w:r w:rsidR="00A53FB4" w:rsidRPr="0000071F">
        <w:rPr>
          <w:lang w:val="fr-CH"/>
        </w:rPr>
        <w:t>ommunication d</w:t>
      </w:r>
      <w:r w:rsidR="00CA20AA">
        <w:rPr>
          <w:lang w:val="fr-CH"/>
        </w:rPr>
        <w:t>’</w:t>
      </w:r>
      <w:r w:rsidR="00A53FB4" w:rsidRPr="0000071F">
        <w:rPr>
          <w:lang w:val="fr-CH"/>
        </w:rPr>
        <w:t>informations sur des variétés voisines dans le Formulaire UPOV de description variétal)</w:t>
      </w:r>
      <w:r w:rsidR="0071420A">
        <w:rPr>
          <w:lang w:val="fr-CH"/>
        </w:rPr>
        <w:t>,</w:t>
      </w:r>
      <w:r w:rsidR="00A53FB4" w:rsidRPr="0000071F">
        <w:rPr>
          <w:lang w:val="fr-CH"/>
        </w:rPr>
        <w:t xml:space="preserve"> présenté par un expert de l</w:t>
      </w:r>
      <w:r w:rsidR="00CA20AA">
        <w:rPr>
          <w:lang w:val="fr-CH"/>
        </w:rPr>
        <w:t>’</w:t>
      </w:r>
      <w:r w:rsidR="00A53FB4" w:rsidRPr="0000071F">
        <w:rPr>
          <w:lang w:val="fr-CH"/>
        </w:rPr>
        <w:t>Union européen</w:t>
      </w:r>
      <w:r w:rsidR="000C0499" w:rsidRPr="0000071F">
        <w:rPr>
          <w:lang w:val="fr-CH"/>
        </w:rPr>
        <w:t>ne</w:t>
      </w:r>
      <w:r w:rsidR="000C0499">
        <w:rPr>
          <w:lang w:val="fr-CH"/>
        </w:rPr>
        <w:t xml:space="preserve">.  </w:t>
      </w:r>
      <w:r w:rsidR="000C0499" w:rsidRPr="0000071F">
        <w:rPr>
          <w:lang w:val="fr-CH"/>
        </w:rPr>
        <w:t>Le</w:t>
      </w:r>
      <w:r w:rsidR="00A53FB4" w:rsidRPr="0000071F">
        <w:rPr>
          <w:lang w:val="fr-CH"/>
        </w:rPr>
        <w:t xml:space="preserve"> texte de cet exposé </w:t>
      </w:r>
      <w:r w:rsidR="0071420A">
        <w:rPr>
          <w:lang w:val="fr-CH"/>
        </w:rPr>
        <w:t>figure</w:t>
      </w:r>
      <w:r w:rsidR="00A53FB4" w:rsidRPr="0000071F">
        <w:rPr>
          <w:lang w:val="fr-CH"/>
        </w:rPr>
        <w:t xml:space="preserve"> dans le </w:t>
      </w:r>
      <w:r w:rsidR="00CA20AA" w:rsidRPr="0000071F">
        <w:rPr>
          <w:lang w:val="fr-CH"/>
        </w:rPr>
        <w:t>document</w:t>
      </w:r>
      <w:r w:rsidR="00CA20AA">
        <w:rPr>
          <w:lang w:val="fr-CH"/>
        </w:rPr>
        <w:t xml:space="preserve"> </w:t>
      </w:r>
      <w:r w:rsidR="00CA20AA" w:rsidRPr="0000071F">
        <w:rPr>
          <w:lang w:val="fr-CH"/>
        </w:rPr>
        <w:t>TW</w:t>
      </w:r>
      <w:r w:rsidR="00A53FB4" w:rsidRPr="0000071F">
        <w:rPr>
          <w:lang w:val="fr-CH"/>
        </w:rPr>
        <w:t xml:space="preserve">O/53/6 (voir les </w:t>
      </w:r>
      <w:r w:rsidR="00F215F4" w:rsidRPr="0000071F">
        <w:rPr>
          <w:lang w:val="fr-CH"/>
        </w:rPr>
        <w:t>paragraphes 3</w:t>
      </w:r>
      <w:r w:rsidR="00A53FB4" w:rsidRPr="0000071F">
        <w:rPr>
          <w:lang w:val="fr-CH"/>
        </w:rPr>
        <w:t xml:space="preserve">4 et 35 du </w:t>
      </w:r>
      <w:r w:rsidR="00CA20AA" w:rsidRPr="0000071F">
        <w:rPr>
          <w:lang w:val="fr-CH"/>
        </w:rPr>
        <w:t>document</w:t>
      </w:r>
      <w:r w:rsidR="00CA20AA">
        <w:rPr>
          <w:lang w:val="fr-CH"/>
        </w:rPr>
        <w:t xml:space="preserve"> </w:t>
      </w:r>
      <w:r w:rsidR="00CA20AA" w:rsidRPr="0000071F">
        <w:rPr>
          <w:lang w:val="fr-CH"/>
        </w:rPr>
        <w:t>TW</w:t>
      </w:r>
      <w:r w:rsidR="00A53FB4" w:rsidRPr="0000071F">
        <w:rPr>
          <w:lang w:val="fr-CH"/>
        </w:rPr>
        <w:t>O/53/10 “Report”).</w:t>
      </w:r>
    </w:p>
    <w:p w:rsidR="00D03553" w:rsidRPr="0000071F" w:rsidRDefault="00D03553" w:rsidP="002D421F">
      <w:pPr>
        <w:rPr>
          <w:lang w:val="fr-CH"/>
        </w:rPr>
      </w:pPr>
    </w:p>
    <w:p w:rsidR="00D03553" w:rsidRPr="0000071F" w:rsidRDefault="002D421F" w:rsidP="001D79E0">
      <w:pPr>
        <w:rPr>
          <w:lang w:val="fr-CH"/>
        </w:rPr>
      </w:pPr>
      <w:r w:rsidRPr="0000071F">
        <w:fldChar w:fldCharType="begin"/>
      </w:r>
      <w:r w:rsidRPr="0000071F">
        <w:rPr>
          <w:lang w:val="fr-CH"/>
        </w:rPr>
        <w:instrText xml:space="preserve"> AUTONUM  </w:instrText>
      </w:r>
      <w:r w:rsidRPr="0000071F">
        <w:fldChar w:fldCharType="end"/>
      </w:r>
      <w:r w:rsidRPr="0000071F">
        <w:rPr>
          <w:lang w:val="fr-CH"/>
        </w:rPr>
        <w:tab/>
      </w:r>
      <w:r w:rsidR="001D79E0" w:rsidRPr="0000071F">
        <w:rPr>
          <w:lang w:val="fr-CH"/>
        </w:rPr>
        <w:t xml:space="preserve">Le TWO est convenu que les caractères les plus distinctifs entre la variété candidate et la ou les variétés les plus proches </w:t>
      </w:r>
      <w:r w:rsidR="0071420A">
        <w:rPr>
          <w:lang w:val="fr-CH"/>
        </w:rPr>
        <w:t>devaient</w:t>
      </w:r>
      <w:r w:rsidR="001D79E0" w:rsidRPr="0000071F">
        <w:rPr>
          <w:lang w:val="fr-CH"/>
        </w:rPr>
        <w:t xml:space="preserve"> être indiqués dans le rapport d</w:t>
      </w:r>
      <w:r w:rsidR="00CA20AA">
        <w:rPr>
          <w:lang w:val="fr-CH"/>
        </w:rPr>
        <w:t>’</w:t>
      </w:r>
      <w:r w:rsidR="001D79E0" w:rsidRPr="0000071F">
        <w:rPr>
          <w:lang w:val="fr-CH"/>
        </w:rPr>
        <w:t>examen</w:t>
      </w:r>
      <w:r w:rsidR="000E245E" w:rsidRPr="0000071F">
        <w:rPr>
          <w:lang w:val="fr-CH"/>
        </w:rPr>
        <w:t> </w:t>
      </w:r>
      <w:r w:rsidR="000C0499" w:rsidRPr="0000071F">
        <w:rPr>
          <w:lang w:val="fr-CH"/>
        </w:rPr>
        <w:t>DHS</w:t>
      </w:r>
      <w:r w:rsidR="000C0499">
        <w:rPr>
          <w:lang w:val="fr-CH"/>
        </w:rPr>
        <w:t>.  Il</w:t>
      </w:r>
      <w:r w:rsidR="001D79E0" w:rsidRPr="0000071F">
        <w:rPr>
          <w:lang w:val="fr-CH"/>
        </w:rPr>
        <w:t xml:space="preserve"> est convenu qu</w:t>
      </w:r>
      <w:r w:rsidR="00CA20AA">
        <w:rPr>
          <w:lang w:val="fr-CH"/>
        </w:rPr>
        <w:t>’</w:t>
      </w:r>
      <w:r w:rsidR="001D79E0" w:rsidRPr="0000071F">
        <w:rPr>
          <w:lang w:val="fr-CH"/>
        </w:rPr>
        <w:t>il n</w:t>
      </w:r>
      <w:r w:rsidR="00CA20AA">
        <w:rPr>
          <w:lang w:val="fr-CH"/>
        </w:rPr>
        <w:t>’</w:t>
      </w:r>
      <w:r w:rsidR="0071420A">
        <w:rPr>
          <w:lang w:val="fr-CH"/>
        </w:rPr>
        <w:t>était</w:t>
      </w:r>
      <w:r w:rsidR="001D79E0" w:rsidRPr="0000071F">
        <w:rPr>
          <w:lang w:val="fr-CH"/>
        </w:rPr>
        <w:t xml:space="preserve"> pas nécessaire, à ce stade, d</w:t>
      </w:r>
      <w:r w:rsidR="00CA20AA">
        <w:rPr>
          <w:lang w:val="fr-CH"/>
        </w:rPr>
        <w:t>’</w:t>
      </w:r>
      <w:r w:rsidR="001D79E0" w:rsidRPr="0000071F">
        <w:rPr>
          <w:lang w:val="fr-CH"/>
        </w:rPr>
        <w:t>apporter d</w:t>
      </w:r>
      <w:r w:rsidR="00CA20AA">
        <w:rPr>
          <w:lang w:val="fr-CH"/>
        </w:rPr>
        <w:t>’</w:t>
      </w:r>
      <w:r w:rsidR="001D79E0" w:rsidRPr="0000071F">
        <w:rPr>
          <w:lang w:val="fr-CH"/>
        </w:rPr>
        <w:t>autres précisions dans les orientations de l</w:t>
      </w:r>
      <w:r w:rsidR="00CA20AA">
        <w:rPr>
          <w:lang w:val="fr-CH"/>
        </w:rPr>
        <w:t>’</w:t>
      </w:r>
      <w:r w:rsidR="001D79E0" w:rsidRPr="0000071F">
        <w:rPr>
          <w:lang w:val="fr-CH"/>
        </w:rPr>
        <w:t>UPOV sur cette question.</w:t>
      </w:r>
    </w:p>
    <w:p w:rsidR="00D03553" w:rsidRPr="0000071F" w:rsidRDefault="00D03553" w:rsidP="002D421F">
      <w:pPr>
        <w:jc w:val="left"/>
        <w:rPr>
          <w:lang w:val="fr-CH"/>
        </w:rPr>
      </w:pPr>
    </w:p>
    <w:p w:rsidR="00D03553" w:rsidRPr="0000071F" w:rsidRDefault="00D03553" w:rsidP="002D421F">
      <w:pPr>
        <w:rPr>
          <w:lang w:val="fr-CH"/>
        </w:rPr>
      </w:pPr>
    </w:p>
    <w:p w:rsidR="00D03553" w:rsidRDefault="001D79E0" w:rsidP="0000071F">
      <w:pPr>
        <w:pStyle w:val="Heading2"/>
      </w:pPr>
      <w:bookmarkStart w:id="13" w:name="_Toc81836893"/>
      <w:r w:rsidRPr="001D79E0">
        <w:t>Évaluation des plantes ornementales au moyen de mesures individuelles (MS)</w:t>
      </w:r>
      <w:bookmarkEnd w:id="13"/>
    </w:p>
    <w:p w:rsidR="00D03553" w:rsidRDefault="00D03553" w:rsidP="002D421F">
      <w:pPr>
        <w:keepNext/>
        <w:rPr>
          <w:lang w:val="fr-CH"/>
        </w:rPr>
      </w:pPr>
    </w:p>
    <w:p w:rsidR="00D03553" w:rsidRDefault="002D421F" w:rsidP="009F666F">
      <w:pPr>
        <w:keepNext/>
        <w:rPr>
          <w:lang w:val="fr-CH"/>
        </w:rPr>
      </w:pPr>
      <w:r>
        <w:fldChar w:fldCharType="begin"/>
      </w:r>
      <w:r w:rsidRPr="009F666F">
        <w:rPr>
          <w:lang w:val="fr-CH"/>
        </w:rPr>
        <w:instrText xml:space="preserve"> AUTONUM  </w:instrText>
      </w:r>
      <w:r>
        <w:fldChar w:fldCharType="end"/>
      </w:r>
      <w:r w:rsidRPr="009F666F">
        <w:rPr>
          <w:lang w:val="fr-CH"/>
        </w:rPr>
        <w:tab/>
      </w:r>
      <w:r w:rsidR="009F666F" w:rsidRPr="009F666F">
        <w:rPr>
          <w:color w:val="000000"/>
          <w:lang w:val="fr-CH"/>
        </w:rPr>
        <w:t>Le TWO11 a suivi les exposés ci</w:t>
      </w:r>
      <w:r w:rsidR="00CA20AA">
        <w:rPr>
          <w:color w:val="000000"/>
          <w:lang w:val="fr-CH"/>
        </w:rPr>
        <w:t>-</w:t>
      </w:r>
      <w:r w:rsidR="009F666F" w:rsidRPr="009F666F">
        <w:rPr>
          <w:color w:val="000000"/>
          <w:lang w:val="fr-CH"/>
        </w:rPr>
        <w:t xml:space="preserve">après, dont le texte est reproduit dans les annexes du </w:t>
      </w:r>
      <w:r w:rsidR="00CA20AA" w:rsidRPr="009F666F">
        <w:rPr>
          <w:color w:val="000000"/>
          <w:lang w:val="fr-CH"/>
        </w:rPr>
        <w:t>document</w:t>
      </w:r>
      <w:r w:rsidR="00CA20AA">
        <w:rPr>
          <w:color w:val="000000"/>
          <w:lang w:val="fr-CH"/>
        </w:rPr>
        <w:t xml:space="preserve"> </w:t>
      </w:r>
      <w:r w:rsidR="00CA20AA" w:rsidRPr="009F666F">
        <w:rPr>
          <w:color w:val="000000"/>
          <w:lang w:val="fr-CH"/>
        </w:rPr>
        <w:t>TW</w:t>
      </w:r>
      <w:r w:rsidR="009F666F" w:rsidRPr="009F666F">
        <w:rPr>
          <w:color w:val="000000"/>
          <w:lang w:val="fr-CH"/>
        </w:rPr>
        <w:t xml:space="preserve">O/53/4 (voir les </w:t>
      </w:r>
      <w:r w:rsidR="00F215F4" w:rsidRPr="009F666F">
        <w:rPr>
          <w:color w:val="000000"/>
          <w:lang w:val="fr-CH"/>
        </w:rPr>
        <w:t>paragraphes</w:t>
      </w:r>
      <w:r w:rsidR="00F215F4">
        <w:rPr>
          <w:color w:val="000000"/>
          <w:lang w:val="fr-CH"/>
        </w:rPr>
        <w:t> </w:t>
      </w:r>
      <w:r w:rsidR="00F215F4" w:rsidRPr="009F666F">
        <w:rPr>
          <w:color w:val="000000"/>
          <w:lang w:val="fr-CH"/>
        </w:rPr>
        <w:t>8</w:t>
      </w:r>
      <w:r w:rsidR="009F666F" w:rsidRPr="009F666F">
        <w:rPr>
          <w:color w:val="000000"/>
          <w:lang w:val="fr-CH"/>
        </w:rPr>
        <w:t xml:space="preserve">3 et 84 du </w:t>
      </w:r>
      <w:r w:rsidR="00CA20AA" w:rsidRPr="009F666F">
        <w:rPr>
          <w:color w:val="000000"/>
          <w:lang w:val="fr-CH"/>
        </w:rPr>
        <w:t>document</w:t>
      </w:r>
      <w:r w:rsidR="00CA20AA">
        <w:rPr>
          <w:color w:val="000000"/>
          <w:lang w:val="fr-CH"/>
        </w:rPr>
        <w:t xml:space="preserve"> </w:t>
      </w:r>
      <w:r w:rsidR="00CA20AA" w:rsidRPr="009F666F">
        <w:rPr>
          <w:color w:val="000000"/>
          <w:lang w:val="fr-CH"/>
        </w:rPr>
        <w:t>TW</w:t>
      </w:r>
      <w:r w:rsidR="009F666F" w:rsidRPr="009F666F">
        <w:rPr>
          <w:color w:val="000000"/>
          <w:lang w:val="fr-CH"/>
        </w:rPr>
        <w:t>O/53/10 “Report”)</w:t>
      </w:r>
      <w:r w:rsidR="00CA20AA">
        <w:rPr>
          <w:color w:val="000000"/>
          <w:lang w:val="fr-CH"/>
        </w:rPr>
        <w:t> :</w:t>
      </w:r>
    </w:p>
    <w:p w:rsidR="002D421F" w:rsidRPr="009F666F" w:rsidRDefault="002D421F" w:rsidP="002D421F">
      <w:pPr>
        <w:keepNext/>
        <w:rPr>
          <w:lang w:val="fr-CH"/>
        </w:rPr>
      </w:pPr>
    </w:p>
    <w:tbl>
      <w:tblPr>
        <w:tblStyle w:val="TableGrid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701"/>
      </w:tblGrid>
      <w:tr w:rsidR="0071420A" w:rsidRPr="0071420A" w:rsidTr="00E03F95">
        <w:tc>
          <w:tcPr>
            <w:tcW w:w="7933" w:type="dxa"/>
          </w:tcPr>
          <w:p w:rsidR="002D421F" w:rsidRPr="0071420A" w:rsidRDefault="009F666F" w:rsidP="009F666F">
            <w:pPr>
              <w:keepNext/>
              <w:spacing w:after="120"/>
              <w:ind w:left="166"/>
              <w:rPr>
                <w:lang w:val="fr-CH"/>
              </w:rPr>
            </w:pPr>
            <w:r w:rsidRPr="0071420A">
              <w:rPr>
                <w:lang w:val="fr-CH"/>
              </w:rPr>
              <w:t>“</w:t>
            </w:r>
            <w:proofErr w:type="spellStart"/>
            <w:r w:rsidRPr="0071420A">
              <w:rPr>
                <w:lang w:val="fr-CH"/>
              </w:rPr>
              <w:t>Assessing</w:t>
            </w:r>
            <w:proofErr w:type="spellEnd"/>
            <w:r w:rsidRPr="0071420A">
              <w:rPr>
                <w:lang w:val="fr-CH"/>
              </w:rPr>
              <w:t xml:space="preserve"> </w:t>
            </w:r>
            <w:proofErr w:type="spellStart"/>
            <w:r w:rsidRPr="0071420A">
              <w:rPr>
                <w:lang w:val="fr-CH"/>
              </w:rPr>
              <w:t>ornamental</w:t>
            </w:r>
            <w:proofErr w:type="spellEnd"/>
            <w:r w:rsidRPr="0071420A">
              <w:rPr>
                <w:lang w:val="fr-CH"/>
              </w:rPr>
              <w:t xml:space="preserve"> </w:t>
            </w:r>
            <w:proofErr w:type="spellStart"/>
            <w:r w:rsidRPr="0071420A">
              <w:rPr>
                <w:lang w:val="fr-CH"/>
              </w:rPr>
              <w:t>crops</w:t>
            </w:r>
            <w:proofErr w:type="spellEnd"/>
            <w:r w:rsidRPr="0071420A">
              <w:rPr>
                <w:lang w:val="fr-CH"/>
              </w:rPr>
              <w:t xml:space="preserve"> </w:t>
            </w:r>
            <w:proofErr w:type="spellStart"/>
            <w:r w:rsidRPr="0071420A">
              <w:rPr>
                <w:lang w:val="fr-CH"/>
              </w:rPr>
              <w:t>using</w:t>
            </w:r>
            <w:proofErr w:type="spellEnd"/>
            <w:r w:rsidRPr="0071420A">
              <w:rPr>
                <w:lang w:val="fr-CH"/>
              </w:rPr>
              <w:t xml:space="preserve"> </w:t>
            </w:r>
            <w:proofErr w:type="spellStart"/>
            <w:r w:rsidRPr="0071420A">
              <w:rPr>
                <w:lang w:val="fr-CH"/>
              </w:rPr>
              <w:t>individual</w:t>
            </w:r>
            <w:proofErr w:type="spellEnd"/>
            <w:r w:rsidRPr="0071420A">
              <w:rPr>
                <w:lang w:val="fr-CH"/>
              </w:rPr>
              <w:t xml:space="preserve"> plant </w:t>
            </w:r>
            <w:proofErr w:type="spellStart"/>
            <w:r w:rsidRPr="0071420A">
              <w:rPr>
                <w:lang w:val="fr-CH"/>
              </w:rPr>
              <w:t>measurements</w:t>
            </w:r>
            <w:proofErr w:type="spellEnd"/>
            <w:r w:rsidRPr="0071420A">
              <w:rPr>
                <w:lang w:val="fr-CH"/>
              </w:rPr>
              <w:t xml:space="preserve"> (MS) – </w:t>
            </w:r>
            <w:proofErr w:type="spellStart"/>
            <w:r w:rsidRPr="0071420A">
              <w:rPr>
                <w:lang w:val="fr-CH"/>
              </w:rPr>
              <w:t>When</w:t>
            </w:r>
            <w:proofErr w:type="spellEnd"/>
            <w:r w:rsidRPr="0071420A">
              <w:rPr>
                <w:lang w:val="fr-CH"/>
              </w:rPr>
              <w:t xml:space="preserve"> and </w:t>
            </w:r>
            <w:proofErr w:type="spellStart"/>
            <w:r w:rsidRPr="0071420A">
              <w:rPr>
                <w:lang w:val="fr-CH"/>
              </w:rPr>
              <w:t>why</w:t>
            </w:r>
            <w:proofErr w:type="spellEnd"/>
            <w:r w:rsidRPr="0071420A">
              <w:rPr>
                <w:lang w:val="fr-CH"/>
              </w:rPr>
              <w:t xml:space="preserve"> </w:t>
            </w:r>
            <w:proofErr w:type="spellStart"/>
            <w:r w:rsidRPr="0071420A">
              <w:rPr>
                <w:lang w:val="fr-CH"/>
              </w:rPr>
              <w:t>we</w:t>
            </w:r>
            <w:proofErr w:type="spellEnd"/>
            <w:r w:rsidRPr="0071420A">
              <w:rPr>
                <w:lang w:val="fr-CH"/>
              </w:rPr>
              <w:t xml:space="preserve"> do </w:t>
            </w:r>
            <w:proofErr w:type="spellStart"/>
            <w:r w:rsidRPr="0071420A">
              <w:rPr>
                <w:lang w:val="fr-CH"/>
              </w:rPr>
              <w:t>it</w:t>
            </w:r>
            <w:proofErr w:type="spellEnd"/>
            <w:r w:rsidRPr="0071420A">
              <w:rPr>
                <w:lang w:val="fr-CH"/>
              </w:rPr>
              <w:t xml:space="preserve"> and how </w:t>
            </w:r>
            <w:proofErr w:type="spellStart"/>
            <w:r w:rsidRPr="0071420A">
              <w:rPr>
                <w:lang w:val="fr-CH"/>
              </w:rPr>
              <w:t>we</w:t>
            </w:r>
            <w:proofErr w:type="spellEnd"/>
            <w:r w:rsidRPr="0071420A">
              <w:rPr>
                <w:lang w:val="fr-CH"/>
              </w:rPr>
              <w:t xml:space="preserve"> </w:t>
            </w:r>
            <w:proofErr w:type="spellStart"/>
            <w:r w:rsidRPr="0071420A">
              <w:rPr>
                <w:lang w:val="fr-CH"/>
              </w:rPr>
              <w:t>proceed</w:t>
            </w:r>
            <w:proofErr w:type="spellEnd"/>
            <w:r w:rsidRPr="0071420A">
              <w:rPr>
                <w:lang w:val="fr-CH"/>
              </w:rPr>
              <w:t xml:space="preserve"> </w:t>
            </w:r>
            <w:proofErr w:type="spellStart"/>
            <w:r w:rsidRPr="0071420A">
              <w:rPr>
                <w:lang w:val="fr-CH"/>
              </w:rPr>
              <w:t>with</w:t>
            </w:r>
            <w:proofErr w:type="spellEnd"/>
            <w:r w:rsidRPr="0071420A">
              <w:rPr>
                <w:lang w:val="fr-CH"/>
              </w:rPr>
              <w:t xml:space="preserve"> the data” (</w:t>
            </w:r>
            <w:r w:rsidR="0071420A" w:rsidRPr="0071420A">
              <w:rPr>
                <w:lang w:val="fr-CH"/>
              </w:rPr>
              <w:t>É</w:t>
            </w:r>
            <w:r w:rsidRPr="0071420A">
              <w:rPr>
                <w:lang w:val="fr-CH"/>
              </w:rPr>
              <w:t>valuation des plantes ornementales au moyen de mesures individuelles (MS)</w:t>
            </w:r>
            <w:r w:rsidR="00F215F4" w:rsidRPr="0071420A">
              <w:rPr>
                <w:lang w:val="fr-CH"/>
              </w:rPr>
              <w:t xml:space="preserve"> – </w:t>
            </w:r>
            <w:r w:rsidRPr="0071420A">
              <w:rPr>
                <w:lang w:val="fr-CH"/>
              </w:rPr>
              <w:t>Quand et pourquoi le faire et comment traiter les donnée</w:t>
            </w:r>
            <w:r w:rsidR="00F215F4" w:rsidRPr="0071420A">
              <w:rPr>
                <w:lang w:val="fr-CH"/>
              </w:rPr>
              <w:t>s”</w:t>
            </w:r>
            <w:r w:rsidRPr="0071420A">
              <w:rPr>
                <w:lang w:val="fr-CH"/>
              </w:rPr>
              <w:t>, par un expert de l</w:t>
            </w:r>
            <w:r w:rsidR="00CA20AA">
              <w:rPr>
                <w:lang w:val="fr-CH"/>
              </w:rPr>
              <w:t>’</w:t>
            </w:r>
            <w:r w:rsidRPr="0071420A">
              <w:rPr>
                <w:lang w:val="fr-CH"/>
              </w:rPr>
              <w:t>Allemagne</w:t>
            </w:r>
          </w:p>
        </w:tc>
        <w:tc>
          <w:tcPr>
            <w:tcW w:w="1701" w:type="dxa"/>
          </w:tcPr>
          <w:p w:rsidR="002D421F" w:rsidRPr="0071420A" w:rsidRDefault="002D421F" w:rsidP="009F666F">
            <w:pPr>
              <w:keepNext/>
              <w:spacing w:after="120"/>
            </w:pPr>
            <w:r w:rsidRPr="0071420A">
              <w:rPr>
                <w:lang w:val="fr-CH"/>
              </w:rPr>
              <w:tab/>
            </w:r>
            <w:r w:rsidR="00F215F4" w:rsidRPr="0071420A">
              <w:rPr>
                <w:lang w:val="fr-CH"/>
              </w:rPr>
              <w:t>Annexe I</w:t>
            </w:r>
          </w:p>
        </w:tc>
      </w:tr>
      <w:tr w:rsidR="0071420A" w:rsidRPr="0071420A" w:rsidTr="00E03F95">
        <w:tc>
          <w:tcPr>
            <w:tcW w:w="7933" w:type="dxa"/>
          </w:tcPr>
          <w:p w:rsidR="002D421F" w:rsidRPr="0071420A" w:rsidRDefault="009F666F" w:rsidP="009F666F">
            <w:pPr>
              <w:keepNext/>
              <w:spacing w:after="120"/>
              <w:ind w:left="166"/>
              <w:rPr>
                <w:lang w:val="fr-CH"/>
              </w:rPr>
            </w:pPr>
            <w:r w:rsidRPr="0071420A">
              <w:rPr>
                <w:lang w:val="fr-CH"/>
              </w:rPr>
              <w:t>“</w:t>
            </w:r>
            <w:proofErr w:type="spellStart"/>
            <w:r w:rsidRPr="0071420A">
              <w:rPr>
                <w:lang w:val="fr-CH"/>
              </w:rPr>
              <w:t>Assessing</w:t>
            </w:r>
            <w:proofErr w:type="spellEnd"/>
            <w:r w:rsidRPr="0071420A">
              <w:rPr>
                <w:lang w:val="fr-CH"/>
              </w:rPr>
              <w:t xml:space="preserve"> </w:t>
            </w:r>
            <w:proofErr w:type="spellStart"/>
            <w:r w:rsidRPr="0071420A">
              <w:rPr>
                <w:lang w:val="fr-CH"/>
              </w:rPr>
              <w:t>ornamental</w:t>
            </w:r>
            <w:proofErr w:type="spellEnd"/>
            <w:r w:rsidRPr="0071420A">
              <w:rPr>
                <w:lang w:val="fr-CH"/>
              </w:rPr>
              <w:t xml:space="preserve"> </w:t>
            </w:r>
            <w:proofErr w:type="spellStart"/>
            <w:r w:rsidRPr="0071420A">
              <w:rPr>
                <w:lang w:val="fr-CH"/>
              </w:rPr>
              <w:t>crops</w:t>
            </w:r>
            <w:proofErr w:type="spellEnd"/>
            <w:r w:rsidRPr="0071420A">
              <w:rPr>
                <w:lang w:val="fr-CH"/>
              </w:rPr>
              <w:t xml:space="preserve"> </w:t>
            </w:r>
            <w:proofErr w:type="spellStart"/>
            <w:r w:rsidRPr="0071420A">
              <w:rPr>
                <w:lang w:val="fr-CH"/>
              </w:rPr>
              <w:t>using</w:t>
            </w:r>
            <w:proofErr w:type="spellEnd"/>
            <w:r w:rsidRPr="0071420A">
              <w:rPr>
                <w:lang w:val="fr-CH"/>
              </w:rPr>
              <w:t xml:space="preserve"> </w:t>
            </w:r>
            <w:proofErr w:type="spellStart"/>
            <w:r w:rsidRPr="0071420A">
              <w:rPr>
                <w:lang w:val="fr-CH"/>
              </w:rPr>
              <w:t>individual</w:t>
            </w:r>
            <w:proofErr w:type="spellEnd"/>
            <w:r w:rsidRPr="0071420A">
              <w:rPr>
                <w:lang w:val="fr-CH"/>
              </w:rPr>
              <w:t xml:space="preserve"> plant </w:t>
            </w:r>
            <w:proofErr w:type="spellStart"/>
            <w:r w:rsidRPr="0071420A">
              <w:rPr>
                <w:lang w:val="fr-CH"/>
              </w:rPr>
              <w:t>measurements</w:t>
            </w:r>
            <w:proofErr w:type="spellEnd"/>
            <w:r w:rsidRPr="0071420A">
              <w:rPr>
                <w:lang w:val="fr-CH"/>
              </w:rPr>
              <w:t xml:space="preserve"> (MS) – a United </w:t>
            </w:r>
            <w:proofErr w:type="spellStart"/>
            <w:r w:rsidRPr="0071420A">
              <w:rPr>
                <w:lang w:val="fr-CH"/>
              </w:rPr>
              <w:t>Kingdom</w:t>
            </w:r>
            <w:proofErr w:type="spellEnd"/>
            <w:r w:rsidRPr="0071420A">
              <w:rPr>
                <w:lang w:val="fr-CH"/>
              </w:rPr>
              <w:t xml:space="preserve"> perspective” (</w:t>
            </w:r>
            <w:r w:rsidR="0071420A" w:rsidRPr="0071420A">
              <w:rPr>
                <w:lang w:val="fr-CH"/>
              </w:rPr>
              <w:t>L</w:t>
            </w:r>
            <w:r w:rsidR="00CA20AA">
              <w:rPr>
                <w:lang w:val="fr-CH"/>
              </w:rPr>
              <w:t>’</w:t>
            </w:r>
            <w:r w:rsidRPr="0071420A">
              <w:rPr>
                <w:lang w:val="fr-CH"/>
              </w:rPr>
              <w:t>utilisation de MG et MS dans les principes directeurs d</w:t>
            </w:r>
            <w:r w:rsidR="00CA20AA">
              <w:rPr>
                <w:lang w:val="fr-CH"/>
              </w:rPr>
              <w:t>’</w:t>
            </w:r>
            <w:r w:rsidRPr="0071420A">
              <w:rPr>
                <w:lang w:val="fr-CH"/>
              </w:rPr>
              <w:t>examen des espèces ornementales), par un expert de la Nouvelle</w:t>
            </w:r>
            <w:r w:rsidR="00CA20AA">
              <w:rPr>
                <w:lang w:val="fr-CH"/>
              </w:rPr>
              <w:t>-</w:t>
            </w:r>
            <w:r w:rsidRPr="0071420A">
              <w:rPr>
                <w:lang w:val="fr-CH"/>
              </w:rPr>
              <w:t>Zélande</w:t>
            </w:r>
          </w:p>
        </w:tc>
        <w:tc>
          <w:tcPr>
            <w:tcW w:w="1701" w:type="dxa"/>
          </w:tcPr>
          <w:p w:rsidR="002D421F" w:rsidRPr="0071420A" w:rsidRDefault="002D421F" w:rsidP="009F666F">
            <w:pPr>
              <w:keepNext/>
              <w:spacing w:after="120"/>
            </w:pPr>
            <w:r w:rsidRPr="0071420A">
              <w:rPr>
                <w:lang w:val="fr-CH"/>
              </w:rPr>
              <w:tab/>
            </w:r>
            <w:r w:rsidR="00F215F4" w:rsidRPr="0071420A">
              <w:rPr>
                <w:lang w:val="fr-CH"/>
              </w:rPr>
              <w:t>Annexe I</w:t>
            </w:r>
            <w:r w:rsidR="009F666F" w:rsidRPr="0071420A">
              <w:rPr>
                <w:lang w:val="fr-CH"/>
              </w:rPr>
              <w:t>I</w:t>
            </w:r>
          </w:p>
        </w:tc>
      </w:tr>
      <w:tr w:rsidR="002D421F" w:rsidRPr="0071420A" w:rsidTr="00E03F95">
        <w:tc>
          <w:tcPr>
            <w:tcW w:w="7933" w:type="dxa"/>
          </w:tcPr>
          <w:p w:rsidR="002D421F" w:rsidRPr="0071420A" w:rsidRDefault="009F666F" w:rsidP="009F666F">
            <w:pPr>
              <w:keepNext/>
              <w:spacing w:after="120"/>
              <w:ind w:left="166"/>
              <w:rPr>
                <w:lang w:val="fr-CH"/>
              </w:rPr>
            </w:pPr>
            <w:r w:rsidRPr="0071420A">
              <w:rPr>
                <w:lang w:val="fr-CH"/>
              </w:rPr>
              <w:t>“</w:t>
            </w:r>
            <w:proofErr w:type="spellStart"/>
            <w:r w:rsidRPr="0071420A">
              <w:rPr>
                <w:lang w:val="fr-CH"/>
              </w:rPr>
              <w:t>Assessing</w:t>
            </w:r>
            <w:proofErr w:type="spellEnd"/>
            <w:r w:rsidRPr="0071420A">
              <w:rPr>
                <w:lang w:val="fr-CH"/>
              </w:rPr>
              <w:t xml:space="preserve"> </w:t>
            </w:r>
            <w:proofErr w:type="spellStart"/>
            <w:r w:rsidRPr="0071420A">
              <w:rPr>
                <w:lang w:val="fr-CH"/>
              </w:rPr>
              <w:t>ornamental</w:t>
            </w:r>
            <w:proofErr w:type="spellEnd"/>
            <w:r w:rsidRPr="0071420A">
              <w:rPr>
                <w:lang w:val="fr-CH"/>
              </w:rPr>
              <w:t xml:space="preserve"> </w:t>
            </w:r>
            <w:proofErr w:type="spellStart"/>
            <w:r w:rsidRPr="0071420A">
              <w:rPr>
                <w:lang w:val="fr-CH"/>
              </w:rPr>
              <w:t>crops</w:t>
            </w:r>
            <w:proofErr w:type="spellEnd"/>
            <w:r w:rsidRPr="0071420A">
              <w:rPr>
                <w:lang w:val="fr-CH"/>
              </w:rPr>
              <w:t xml:space="preserve"> </w:t>
            </w:r>
            <w:proofErr w:type="spellStart"/>
            <w:r w:rsidRPr="0071420A">
              <w:rPr>
                <w:lang w:val="fr-CH"/>
              </w:rPr>
              <w:t>using</w:t>
            </w:r>
            <w:proofErr w:type="spellEnd"/>
            <w:r w:rsidRPr="0071420A">
              <w:rPr>
                <w:lang w:val="fr-CH"/>
              </w:rPr>
              <w:t xml:space="preserve"> </w:t>
            </w:r>
            <w:proofErr w:type="spellStart"/>
            <w:r w:rsidRPr="0071420A">
              <w:rPr>
                <w:lang w:val="fr-CH"/>
              </w:rPr>
              <w:t>individual</w:t>
            </w:r>
            <w:proofErr w:type="spellEnd"/>
            <w:r w:rsidRPr="0071420A">
              <w:rPr>
                <w:lang w:val="fr-CH"/>
              </w:rPr>
              <w:t xml:space="preserve"> plant </w:t>
            </w:r>
            <w:proofErr w:type="spellStart"/>
            <w:r w:rsidRPr="0071420A">
              <w:rPr>
                <w:lang w:val="fr-CH"/>
              </w:rPr>
              <w:t>measurements</w:t>
            </w:r>
            <w:proofErr w:type="spellEnd"/>
            <w:r w:rsidRPr="0071420A">
              <w:rPr>
                <w:lang w:val="fr-CH"/>
              </w:rPr>
              <w:t xml:space="preserve"> (MS) – a United </w:t>
            </w:r>
            <w:proofErr w:type="spellStart"/>
            <w:r w:rsidRPr="0071420A">
              <w:rPr>
                <w:lang w:val="fr-CH"/>
              </w:rPr>
              <w:t>Kingdom</w:t>
            </w:r>
            <w:proofErr w:type="spellEnd"/>
            <w:r w:rsidRPr="0071420A">
              <w:rPr>
                <w:lang w:val="fr-CH"/>
              </w:rPr>
              <w:t xml:space="preserve"> perspective” (</w:t>
            </w:r>
            <w:r w:rsidR="0071420A" w:rsidRPr="0071420A">
              <w:rPr>
                <w:lang w:val="fr-CH"/>
              </w:rPr>
              <w:t>É</w:t>
            </w:r>
            <w:r w:rsidRPr="0071420A">
              <w:rPr>
                <w:lang w:val="fr-CH"/>
              </w:rPr>
              <w:t>valuation des cultures ornementales à l</w:t>
            </w:r>
            <w:r w:rsidR="00CA20AA">
              <w:rPr>
                <w:lang w:val="fr-CH"/>
              </w:rPr>
              <w:t>’</w:t>
            </w:r>
            <w:r w:rsidRPr="0071420A">
              <w:rPr>
                <w:lang w:val="fr-CH"/>
              </w:rPr>
              <w:t>aide de mesures individuelles des plantes (MS)</w:t>
            </w:r>
            <w:r w:rsidR="00F215F4" w:rsidRPr="0071420A">
              <w:rPr>
                <w:lang w:val="fr-CH"/>
              </w:rPr>
              <w:t xml:space="preserve"> – </w:t>
            </w:r>
            <w:r w:rsidRPr="0071420A">
              <w:rPr>
                <w:lang w:val="fr-CH"/>
              </w:rPr>
              <w:t>le point de vue du Royaume</w:t>
            </w:r>
            <w:r w:rsidR="00CA20AA">
              <w:rPr>
                <w:lang w:val="fr-CH"/>
              </w:rPr>
              <w:t>-</w:t>
            </w:r>
            <w:r w:rsidRPr="0071420A">
              <w:rPr>
                <w:lang w:val="fr-CH"/>
              </w:rPr>
              <w:t>Uni), par un expert du Royaume</w:t>
            </w:r>
            <w:r w:rsidR="00CA20AA">
              <w:rPr>
                <w:lang w:val="fr-CH"/>
              </w:rPr>
              <w:t>-</w:t>
            </w:r>
            <w:r w:rsidRPr="0071420A">
              <w:rPr>
                <w:lang w:val="fr-CH"/>
              </w:rPr>
              <w:t>Uni</w:t>
            </w:r>
          </w:p>
        </w:tc>
        <w:tc>
          <w:tcPr>
            <w:tcW w:w="1701" w:type="dxa"/>
          </w:tcPr>
          <w:p w:rsidR="002D421F" w:rsidRPr="0071420A" w:rsidRDefault="002D421F" w:rsidP="009F666F">
            <w:pPr>
              <w:keepNext/>
              <w:spacing w:after="120"/>
            </w:pPr>
            <w:r w:rsidRPr="0071420A">
              <w:rPr>
                <w:lang w:val="fr-CH"/>
              </w:rPr>
              <w:tab/>
            </w:r>
            <w:r w:rsidR="00F215F4" w:rsidRPr="0071420A">
              <w:rPr>
                <w:lang w:val="fr-CH"/>
              </w:rPr>
              <w:t>Annexe I</w:t>
            </w:r>
            <w:r w:rsidR="009F666F" w:rsidRPr="0071420A">
              <w:rPr>
                <w:lang w:val="fr-CH"/>
              </w:rPr>
              <w:t>II</w:t>
            </w:r>
          </w:p>
        </w:tc>
      </w:tr>
    </w:tbl>
    <w:p w:rsidR="00D03553" w:rsidRPr="0071420A" w:rsidRDefault="00D03553" w:rsidP="002D421F"/>
    <w:p w:rsidR="00D03553" w:rsidRPr="0071420A" w:rsidRDefault="002D421F" w:rsidP="00CC32DE">
      <w:pPr>
        <w:rPr>
          <w:lang w:val="fr-CH"/>
        </w:rPr>
      </w:pPr>
      <w:r w:rsidRPr="0071420A">
        <w:fldChar w:fldCharType="begin"/>
      </w:r>
      <w:r w:rsidRPr="0071420A">
        <w:rPr>
          <w:lang w:val="fr-CH"/>
        </w:rPr>
        <w:instrText xml:space="preserve"> AUTONUM  </w:instrText>
      </w:r>
      <w:r w:rsidRPr="0071420A">
        <w:fldChar w:fldCharType="end"/>
      </w:r>
      <w:r w:rsidRPr="0071420A">
        <w:rPr>
          <w:lang w:val="fr-CH"/>
        </w:rPr>
        <w:tab/>
      </w:r>
      <w:r w:rsidR="00CC32DE" w:rsidRPr="0071420A">
        <w:rPr>
          <w:lang w:val="fr-CH"/>
        </w:rPr>
        <w:t>Le TWO a noté que les mesures individuelles (MS) étaient utilisées pour les plantes ornementales en fonction de l</w:t>
      </w:r>
      <w:r w:rsidR="00CA20AA">
        <w:rPr>
          <w:lang w:val="fr-CH"/>
        </w:rPr>
        <w:t>’</w:t>
      </w:r>
      <w:r w:rsidR="00CC32DE" w:rsidRPr="0071420A">
        <w:rPr>
          <w:lang w:val="fr-CH"/>
        </w:rPr>
        <w:t>espèce, du type de propagation, de la taille de l</w:t>
      </w:r>
      <w:r w:rsidR="00CA20AA">
        <w:rPr>
          <w:lang w:val="fr-CH"/>
        </w:rPr>
        <w:t>’</w:t>
      </w:r>
      <w:r w:rsidR="00CC32DE" w:rsidRPr="0071420A">
        <w:rPr>
          <w:lang w:val="fr-CH"/>
        </w:rPr>
        <w:t>essai et de la pratique des services en matière d</w:t>
      </w:r>
      <w:r w:rsidR="00CA20AA">
        <w:rPr>
          <w:lang w:val="fr-CH"/>
        </w:rPr>
        <w:t>’</w:t>
      </w:r>
      <w:r w:rsidR="00CC32DE" w:rsidRPr="0071420A">
        <w:rPr>
          <w:lang w:val="fr-CH"/>
        </w:rPr>
        <w:t>exam</w:t>
      </w:r>
      <w:r w:rsidR="000C0499" w:rsidRPr="0071420A">
        <w:rPr>
          <w:lang w:val="fr-CH"/>
        </w:rPr>
        <w:t>en</w:t>
      </w:r>
      <w:r w:rsidR="000C0499">
        <w:rPr>
          <w:lang w:val="fr-CH"/>
        </w:rPr>
        <w:t xml:space="preserve">.  </w:t>
      </w:r>
      <w:r w:rsidR="000C0499">
        <w:rPr>
          <w:rFonts w:eastAsiaTheme="minorHAnsi"/>
          <w:lang w:val="fr-CH"/>
        </w:rPr>
        <w:t>Il</w:t>
      </w:r>
      <w:r w:rsidR="00CC32DE" w:rsidRPr="0071420A">
        <w:rPr>
          <w:rFonts w:eastAsiaTheme="minorHAnsi"/>
          <w:lang w:val="fr-CH"/>
        </w:rPr>
        <w:t xml:space="preserve"> est convenu d</w:t>
      </w:r>
      <w:r w:rsidR="00CA20AA">
        <w:rPr>
          <w:rFonts w:eastAsiaTheme="minorHAnsi"/>
          <w:lang w:val="fr-CH"/>
        </w:rPr>
        <w:t>’</w:t>
      </w:r>
      <w:r w:rsidR="00CC32DE" w:rsidRPr="0071420A">
        <w:rPr>
          <w:rFonts w:eastAsiaTheme="minorHAnsi"/>
          <w:lang w:val="fr-CH"/>
        </w:rPr>
        <w:t>inviter les experts principaux des projets de principes directeurs d</w:t>
      </w:r>
      <w:r w:rsidR="00CA20AA">
        <w:rPr>
          <w:rFonts w:eastAsiaTheme="minorHAnsi"/>
          <w:lang w:val="fr-CH"/>
        </w:rPr>
        <w:t>’</w:t>
      </w:r>
      <w:r w:rsidR="00CC32DE" w:rsidRPr="0071420A">
        <w:rPr>
          <w:rFonts w:eastAsiaTheme="minorHAnsi"/>
          <w:lang w:val="fr-CH"/>
        </w:rPr>
        <w:t xml:space="preserve">examen à </w:t>
      </w:r>
      <w:r w:rsidR="0071420A">
        <w:rPr>
          <w:rFonts w:eastAsiaTheme="minorHAnsi"/>
          <w:lang w:val="fr-CH"/>
        </w:rPr>
        <w:t>favoriser</w:t>
      </w:r>
      <w:r w:rsidR="00CC32DE" w:rsidRPr="0071420A">
        <w:rPr>
          <w:rFonts w:eastAsiaTheme="minorHAnsi"/>
          <w:lang w:val="fr-CH"/>
        </w:rPr>
        <w:t xml:space="preserve"> les </w:t>
      </w:r>
      <w:r w:rsidR="0071420A">
        <w:rPr>
          <w:rFonts w:eastAsiaTheme="minorHAnsi"/>
          <w:lang w:val="fr-CH"/>
        </w:rPr>
        <w:t xml:space="preserve">débats </w:t>
      </w:r>
      <w:r w:rsidR="00CC32DE" w:rsidRPr="0071420A">
        <w:rPr>
          <w:rFonts w:eastAsiaTheme="minorHAnsi"/>
          <w:lang w:val="fr-CH"/>
        </w:rPr>
        <w:t>sur la nécessité d</w:t>
      </w:r>
      <w:r w:rsidR="00CA20AA">
        <w:rPr>
          <w:rFonts w:eastAsiaTheme="minorHAnsi"/>
          <w:lang w:val="fr-CH"/>
        </w:rPr>
        <w:t>’</w:t>
      </w:r>
      <w:r w:rsidR="00CC32DE" w:rsidRPr="0071420A">
        <w:rPr>
          <w:rFonts w:eastAsiaTheme="minorHAnsi"/>
          <w:lang w:val="fr-CH"/>
        </w:rPr>
        <w:t>utiliser des mesures individuelles pour les caractères proposés.</w:t>
      </w:r>
    </w:p>
    <w:p w:rsidR="00D03553" w:rsidRDefault="00D03553" w:rsidP="002D421F">
      <w:pPr>
        <w:rPr>
          <w:lang w:val="fr-CH"/>
        </w:rPr>
      </w:pPr>
    </w:p>
    <w:p w:rsidR="00D03553" w:rsidRDefault="00D03553" w:rsidP="002D421F">
      <w:pPr>
        <w:jc w:val="left"/>
        <w:rPr>
          <w:lang w:val="fr-CH"/>
        </w:rPr>
      </w:pPr>
    </w:p>
    <w:p w:rsidR="00D03553" w:rsidRDefault="009050F2" w:rsidP="0000071F">
      <w:pPr>
        <w:pStyle w:val="Heading2"/>
      </w:pPr>
      <w:bookmarkStart w:id="14" w:name="_Toc81836894"/>
      <w:r w:rsidRPr="009050F2">
        <w:t>Nouvelles technologies en matière d</w:t>
      </w:r>
      <w:r w:rsidR="00CA20AA">
        <w:t>’</w:t>
      </w:r>
      <w:r w:rsidRPr="009050F2">
        <w:t>examen</w:t>
      </w:r>
      <w:r w:rsidR="000E245E">
        <w:t> </w:t>
      </w:r>
      <w:r w:rsidRPr="009050F2">
        <w:t>DHS</w:t>
      </w:r>
      <w:bookmarkEnd w:id="14"/>
    </w:p>
    <w:p w:rsidR="00D03553" w:rsidRDefault="00D03553" w:rsidP="002D421F">
      <w:pPr>
        <w:jc w:val="left"/>
      </w:pPr>
    </w:p>
    <w:p w:rsidR="00D03553" w:rsidRPr="0071420A" w:rsidRDefault="002D421F" w:rsidP="009050F2">
      <w:pPr>
        <w:jc w:val="left"/>
        <w:rPr>
          <w:lang w:val="fr-CH"/>
        </w:rPr>
      </w:pPr>
      <w:r>
        <w:fldChar w:fldCharType="begin"/>
      </w:r>
      <w:r w:rsidRPr="009050F2">
        <w:rPr>
          <w:lang w:val="fr-CH"/>
        </w:rPr>
        <w:instrText xml:space="preserve"> AUTONUM  </w:instrText>
      </w:r>
      <w:r>
        <w:fldChar w:fldCharType="end"/>
      </w:r>
      <w:r w:rsidRPr="009050F2">
        <w:rPr>
          <w:lang w:val="fr-CH"/>
        </w:rPr>
        <w:tab/>
      </w:r>
      <w:r w:rsidR="009050F2" w:rsidRPr="0071420A">
        <w:rPr>
          <w:lang w:val="fr-CH"/>
        </w:rPr>
        <w:t>Le TWA</w:t>
      </w:r>
      <w:r w:rsidR="009050F2" w:rsidRPr="0071420A">
        <w:rPr>
          <w:rStyle w:val="FootnoteReference"/>
          <w:lang w:val="en-US"/>
        </w:rPr>
        <w:footnoteReference w:id="13"/>
      </w:r>
      <w:r w:rsidR="009050F2" w:rsidRPr="0071420A">
        <w:rPr>
          <w:lang w:val="fr-CH"/>
        </w:rPr>
        <w:t xml:space="preserve"> a suivi les exposés ci</w:t>
      </w:r>
      <w:r w:rsidR="00CA20AA">
        <w:rPr>
          <w:lang w:val="fr-CH"/>
        </w:rPr>
        <w:t>-</w:t>
      </w:r>
      <w:r w:rsidR="009050F2" w:rsidRPr="0071420A">
        <w:rPr>
          <w:lang w:val="fr-CH"/>
        </w:rPr>
        <w:t xml:space="preserve">après, qui sont reproduits dans le </w:t>
      </w:r>
      <w:r w:rsidR="00CA20AA" w:rsidRPr="0071420A">
        <w:rPr>
          <w:lang w:val="fr-CH"/>
        </w:rPr>
        <w:t>document</w:t>
      </w:r>
      <w:r w:rsidR="00CA20AA">
        <w:rPr>
          <w:lang w:val="fr-CH"/>
        </w:rPr>
        <w:t xml:space="preserve"> </w:t>
      </w:r>
      <w:r w:rsidR="00CA20AA" w:rsidRPr="0071420A">
        <w:rPr>
          <w:lang w:val="fr-CH"/>
        </w:rPr>
        <w:t>TW</w:t>
      </w:r>
      <w:r w:rsidR="009050F2" w:rsidRPr="0071420A">
        <w:rPr>
          <w:lang w:val="fr-CH"/>
        </w:rPr>
        <w:t xml:space="preserve">A/50/5 (voir les </w:t>
      </w:r>
      <w:r w:rsidR="00F215F4" w:rsidRPr="0071420A">
        <w:rPr>
          <w:lang w:val="fr-CH"/>
        </w:rPr>
        <w:t>paragraphes 9</w:t>
      </w:r>
      <w:r w:rsidR="009050F2" w:rsidRPr="0071420A">
        <w:rPr>
          <w:lang w:val="fr-CH"/>
        </w:rPr>
        <w:t xml:space="preserve">4 et 95 du </w:t>
      </w:r>
      <w:r w:rsidR="00CA20AA" w:rsidRPr="0071420A">
        <w:rPr>
          <w:lang w:val="fr-CH"/>
        </w:rPr>
        <w:t>document</w:t>
      </w:r>
      <w:r w:rsidR="00CA20AA">
        <w:rPr>
          <w:lang w:val="fr-CH"/>
        </w:rPr>
        <w:t xml:space="preserve"> </w:t>
      </w:r>
      <w:r w:rsidR="00CA20AA" w:rsidRPr="0071420A">
        <w:rPr>
          <w:lang w:val="fr-CH"/>
        </w:rPr>
        <w:t>TW</w:t>
      </w:r>
      <w:r w:rsidR="009050F2" w:rsidRPr="0071420A">
        <w:rPr>
          <w:lang w:val="fr-CH"/>
        </w:rPr>
        <w:t>A/50/9 “Report”)</w:t>
      </w:r>
      <w:r w:rsidR="00CA20AA">
        <w:rPr>
          <w:lang w:val="fr-CH"/>
        </w:rPr>
        <w:t> :</w:t>
      </w:r>
    </w:p>
    <w:p w:rsidR="00D03553" w:rsidRPr="0071420A" w:rsidRDefault="00D03553" w:rsidP="002D421F">
      <w:pPr>
        <w:jc w:val="left"/>
        <w:rPr>
          <w:lang w:val="fr-CH"/>
        </w:rPr>
      </w:pPr>
    </w:p>
    <w:p w:rsidR="00D03553" w:rsidRPr="0071420A" w:rsidRDefault="00F215F4" w:rsidP="0071420A">
      <w:pPr>
        <w:ind w:left="1560" w:hanging="993"/>
        <w:rPr>
          <w:lang w:val="fr-CH"/>
        </w:rPr>
      </w:pPr>
      <w:r w:rsidRPr="0071420A">
        <w:rPr>
          <w:lang w:val="fr-CH"/>
        </w:rPr>
        <w:t>Annexe I</w:t>
      </w:r>
      <w:r w:rsidR="009050F2" w:rsidRPr="0071420A">
        <w:rPr>
          <w:lang w:val="fr-CH"/>
        </w:rPr>
        <w:tab/>
        <w:t>“</w:t>
      </w:r>
      <w:proofErr w:type="spellStart"/>
      <w:r w:rsidR="009050F2" w:rsidRPr="0071420A">
        <w:rPr>
          <w:lang w:val="fr-CH"/>
        </w:rPr>
        <w:t>Using</w:t>
      </w:r>
      <w:proofErr w:type="spellEnd"/>
      <w:r w:rsidR="009050F2" w:rsidRPr="0071420A">
        <w:rPr>
          <w:lang w:val="fr-CH"/>
        </w:rPr>
        <w:t xml:space="preserve"> new </w:t>
      </w:r>
      <w:proofErr w:type="spellStart"/>
      <w:r w:rsidR="009050F2" w:rsidRPr="0071420A">
        <w:rPr>
          <w:lang w:val="fr-CH"/>
        </w:rPr>
        <w:t>technology</w:t>
      </w:r>
      <w:proofErr w:type="spellEnd"/>
      <w:r w:rsidR="009050F2" w:rsidRPr="0071420A">
        <w:rPr>
          <w:lang w:val="fr-CH"/>
        </w:rPr>
        <w:t xml:space="preserve"> in DUS</w:t>
      </w:r>
      <w:r w:rsidR="00CA20AA">
        <w:rPr>
          <w:lang w:val="fr-CH"/>
        </w:rPr>
        <w:t>-</w:t>
      </w:r>
      <w:proofErr w:type="spellStart"/>
      <w:r w:rsidR="0071420A">
        <w:rPr>
          <w:lang w:val="fr-CH"/>
        </w:rPr>
        <w:t>testing</w:t>
      </w:r>
      <w:proofErr w:type="spellEnd"/>
      <w:r w:rsidR="0071420A">
        <w:rPr>
          <w:lang w:val="fr-CH"/>
        </w:rPr>
        <w:t>” (U</w:t>
      </w:r>
      <w:r w:rsidR="009050F2" w:rsidRPr="0071420A">
        <w:rPr>
          <w:lang w:val="fr-CH"/>
        </w:rPr>
        <w:t>tilisation des nouvelles technologies dans le cadre de l</w:t>
      </w:r>
      <w:r w:rsidR="00CA20AA">
        <w:rPr>
          <w:lang w:val="fr-CH"/>
        </w:rPr>
        <w:t>’</w:t>
      </w:r>
      <w:r w:rsidR="009050F2" w:rsidRPr="0071420A">
        <w:rPr>
          <w:lang w:val="fr-CH"/>
        </w:rPr>
        <w:t>examen</w:t>
      </w:r>
      <w:r w:rsidR="000E245E" w:rsidRPr="0071420A">
        <w:rPr>
          <w:lang w:val="fr-CH"/>
        </w:rPr>
        <w:t> </w:t>
      </w:r>
      <w:r w:rsidR="009050F2" w:rsidRPr="0071420A">
        <w:rPr>
          <w:lang w:val="fr-CH"/>
        </w:rPr>
        <w:t>DHS), par un expert du Danemark</w:t>
      </w:r>
    </w:p>
    <w:p w:rsidR="00D03553" w:rsidRPr="0071420A" w:rsidRDefault="00F215F4" w:rsidP="0071420A">
      <w:pPr>
        <w:ind w:left="1560" w:hanging="993"/>
        <w:rPr>
          <w:lang w:val="fr-CH"/>
        </w:rPr>
      </w:pPr>
      <w:r w:rsidRPr="0071420A">
        <w:rPr>
          <w:lang w:val="fr-CH"/>
        </w:rPr>
        <w:t>Annexe I</w:t>
      </w:r>
      <w:r w:rsidR="009050F2" w:rsidRPr="0071420A">
        <w:rPr>
          <w:lang w:val="fr-CH"/>
        </w:rPr>
        <w:t>I</w:t>
      </w:r>
      <w:r w:rsidR="009050F2" w:rsidRPr="0071420A">
        <w:rPr>
          <w:lang w:val="fr-CH"/>
        </w:rPr>
        <w:tab/>
        <w:t xml:space="preserve">“Image </w:t>
      </w:r>
      <w:proofErr w:type="spellStart"/>
      <w:r w:rsidR="009050F2" w:rsidRPr="0071420A">
        <w:rPr>
          <w:lang w:val="fr-CH"/>
        </w:rPr>
        <w:t>Analysis</w:t>
      </w:r>
      <w:proofErr w:type="spellEnd"/>
      <w:r w:rsidR="009050F2" w:rsidRPr="0071420A">
        <w:rPr>
          <w:lang w:val="fr-CH"/>
        </w:rPr>
        <w:t xml:space="preserve"> in United </w:t>
      </w:r>
      <w:proofErr w:type="spellStart"/>
      <w:r w:rsidR="009050F2" w:rsidRPr="0071420A">
        <w:rPr>
          <w:lang w:val="fr-CH"/>
        </w:rPr>
        <w:t>Kingdom</w:t>
      </w:r>
      <w:proofErr w:type="spellEnd"/>
      <w:r w:rsidR="009050F2" w:rsidRPr="0071420A">
        <w:rPr>
          <w:lang w:val="fr-CH"/>
        </w:rPr>
        <w:t xml:space="preserve"> Agricultural DUS </w:t>
      </w:r>
      <w:proofErr w:type="spellStart"/>
      <w:r w:rsidR="009050F2" w:rsidRPr="0071420A">
        <w:rPr>
          <w:lang w:val="fr-CH"/>
        </w:rPr>
        <w:t>testing</w:t>
      </w:r>
      <w:proofErr w:type="spellEnd"/>
      <w:r w:rsidR="009050F2" w:rsidRPr="0071420A">
        <w:rPr>
          <w:lang w:val="fr-CH"/>
        </w:rPr>
        <w:t>” (</w:t>
      </w:r>
      <w:r w:rsidR="0071420A" w:rsidRPr="0071420A">
        <w:rPr>
          <w:lang w:val="fr-CH"/>
        </w:rPr>
        <w:t>A</w:t>
      </w:r>
      <w:r w:rsidR="009050F2" w:rsidRPr="0071420A">
        <w:rPr>
          <w:lang w:val="fr-CH"/>
        </w:rPr>
        <w:t>nalyse d</w:t>
      </w:r>
      <w:r w:rsidR="00CA20AA">
        <w:rPr>
          <w:lang w:val="fr-CH"/>
        </w:rPr>
        <w:t>’</w:t>
      </w:r>
      <w:r w:rsidR="009050F2" w:rsidRPr="0071420A">
        <w:rPr>
          <w:lang w:val="fr-CH"/>
        </w:rPr>
        <w:t>image dans le cadre de l</w:t>
      </w:r>
      <w:r w:rsidR="00CA20AA">
        <w:rPr>
          <w:lang w:val="fr-CH"/>
        </w:rPr>
        <w:t>’</w:t>
      </w:r>
      <w:r w:rsidR="009050F2" w:rsidRPr="0071420A">
        <w:rPr>
          <w:lang w:val="fr-CH"/>
        </w:rPr>
        <w:t>examen</w:t>
      </w:r>
      <w:r w:rsidR="000E245E" w:rsidRPr="0071420A">
        <w:rPr>
          <w:lang w:val="fr-CH"/>
        </w:rPr>
        <w:t> </w:t>
      </w:r>
      <w:r w:rsidR="009050F2" w:rsidRPr="0071420A">
        <w:rPr>
          <w:lang w:val="fr-CH"/>
        </w:rPr>
        <w:t>DHS agricole au Royaume</w:t>
      </w:r>
      <w:r w:rsidR="00CA20AA">
        <w:rPr>
          <w:lang w:val="fr-CH"/>
        </w:rPr>
        <w:t>-</w:t>
      </w:r>
      <w:r w:rsidR="009050F2" w:rsidRPr="0071420A">
        <w:rPr>
          <w:lang w:val="fr-CH"/>
        </w:rPr>
        <w:t>Uni), par un expert du Royaume</w:t>
      </w:r>
      <w:r w:rsidR="00CA20AA">
        <w:rPr>
          <w:lang w:val="fr-CH"/>
        </w:rPr>
        <w:t>-</w:t>
      </w:r>
      <w:r w:rsidR="009050F2" w:rsidRPr="0071420A">
        <w:rPr>
          <w:lang w:val="fr-CH"/>
        </w:rPr>
        <w:t>Uni</w:t>
      </w:r>
    </w:p>
    <w:p w:rsidR="00D03553" w:rsidRPr="0071420A" w:rsidRDefault="00D03553" w:rsidP="002D421F">
      <w:pPr>
        <w:jc w:val="left"/>
        <w:rPr>
          <w:lang w:val="fr-CH"/>
        </w:rPr>
      </w:pPr>
    </w:p>
    <w:p w:rsidR="00D03553" w:rsidRPr="0071420A" w:rsidRDefault="002D421F" w:rsidP="00EA4DD8">
      <w:pPr>
        <w:rPr>
          <w:lang w:val="fr-CH"/>
        </w:rPr>
      </w:pPr>
      <w:r w:rsidRPr="0071420A">
        <w:fldChar w:fldCharType="begin"/>
      </w:r>
      <w:r w:rsidRPr="0071420A">
        <w:rPr>
          <w:lang w:val="fr-CH"/>
        </w:rPr>
        <w:instrText xml:space="preserve"> AUTONUM  </w:instrText>
      </w:r>
      <w:r w:rsidRPr="0071420A">
        <w:fldChar w:fldCharType="end"/>
      </w:r>
      <w:r w:rsidRPr="0071420A">
        <w:rPr>
          <w:lang w:val="fr-CH"/>
        </w:rPr>
        <w:tab/>
      </w:r>
      <w:r w:rsidR="00EA4DD8" w:rsidRPr="0071420A">
        <w:rPr>
          <w:lang w:val="fr-CH"/>
        </w:rPr>
        <w:t>Le TWA a pris note des travaux présentés et a décidé d</w:t>
      </w:r>
      <w:r w:rsidR="00CA20AA">
        <w:rPr>
          <w:lang w:val="fr-CH"/>
        </w:rPr>
        <w:t>’</w:t>
      </w:r>
      <w:r w:rsidR="00EA4DD8" w:rsidRPr="0071420A">
        <w:rPr>
          <w:lang w:val="fr-CH"/>
        </w:rPr>
        <w:t>inviter les experts du Danemark et du Royaume</w:t>
      </w:r>
      <w:r w:rsidR="00CA20AA">
        <w:rPr>
          <w:lang w:val="fr-CH"/>
        </w:rPr>
        <w:t>-</w:t>
      </w:r>
      <w:r w:rsidR="00EA4DD8" w:rsidRPr="0071420A">
        <w:rPr>
          <w:lang w:val="fr-CH"/>
        </w:rPr>
        <w:t>Uni à lui rendre compte de l</w:t>
      </w:r>
      <w:r w:rsidR="00CA20AA">
        <w:rPr>
          <w:lang w:val="fr-CH"/>
        </w:rPr>
        <w:t>’</w:t>
      </w:r>
      <w:r w:rsidR="00EA4DD8" w:rsidRPr="0071420A">
        <w:rPr>
          <w:lang w:val="fr-CH"/>
        </w:rPr>
        <w:t xml:space="preserve">évolution de la situation </w:t>
      </w:r>
      <w:r w:rsidR="0071420A">
        <w:rPr>
          <w:lang w:val="fr-CH"/>
        </w:rPr>
        <w:t>à</w:t>
      </w:r>
      <w:r w:rsidR="00EA4DD8" w:rsidRPr="0071420A">
        <w:rPr>
          <w:lang w:val="fr-CH"/>
        </w:rPr>
        <w:t xml:space="preserve"> sa cinquante</w:t>
      </w:r>
      <w:r w:rsidR="00CA20AA">
        <w:rPr>
          <w:lang w:val="fr-CH"/>
        </w:rPr>
        <w:t> et unième session</w:t>
      </w:r>
      <w:r w:rsidR="00EA4DD8" w:rsidRPr="0071420A">
        <w:rPr>
          <w:lang w:val="fr-CH"/>
        </w:rPr>
        <w:t>.</w:t>
      </w:r>
    </w:p>
    <w:p w:rsidR="00D03553" w:rsidRPr="0071420A" w:rsidRDefault="00D03553" w:rsidP="002D421F">
      <w:pPr>
        <w:rPr>
          <w:lang w:val="fr-CH"/>
        </w:rPr>
      </w:pPr>
    </w:p>
    <w:p w:rsidR="00D03553" w:rsidRDefault="00D03553" w:rsidP="002D421F">
      <w:pPr>
        <w:jc w:val="left"/>
        <w:rPr>
          <w:lang w:val="fr-CH"/>
        </w:rPr>
      </w:pPr>
    </w:p>
    <w:p w:rsidR="00D03553" w:rsidRPr="0071420A" w:rsidRDefault="00EA4DD8" w:rsidP="0000071F">
      <w:pPr>
        <w:pStyle w:val="Heading2"/>
      </w:pPr>
      <w:bookmarkStart w:id="15" w:name="_Toc81836895"/>
      <w:r w:rsidRPr="0071420A">
        <w:t>Questions à prendre en considération dans l</w:t>
      </w:r>
      <w:r w:rsidR="00CA20AA">
        <w:t>’</w:t>
      </w:r>
      <w:r w:rsidRPr="0071420A">
        <w:t>examen</w:t>
      </w:r>
      <w:r w:rsidR="000E245E" w:rsidRPr="0071420A">
        <w:t> </w:t>
      </w:r>
      <w:r w:rsidRPr="0071420A">
        <w:t xml:space="preserve">DHS pour le secteur des </w:t>
      </w:r>
      <w:r w:rsidR="0071420A">
        <w:t xml:space="preserve">variétés </w:t>
      </w:r>
      <w:r w:rsidRPr="0071420A">
        <w:t>fruit</w:t>
      </w:r>
      <w:r w:rsidR="0071420A">
        <w:t>ière</w:t>
      </w:r>
      <w:r w:rsidRPr="0071420A">
        <w:t>s</w:t>
      </w:r>
      <w:bookmarkEnd w:id="15"/>
    </w:p>
    <w:p w:rsidR="00D03553" w:rsidRPr="0071420A" w:rsidRDefault="00D03553" w:rsidP="002D421F">
      <w:pPr>
        <w:jc w:val="left"/>
        <w:rPr>
          <w:rFonts w:cs="Arial"/>
          <w:lang w:val="fr-CH"/>
        </w:rPr>
      </w:pPr>
    </w:p>
    <w:p w:rsidR="00D03553" w:rsidRPr="0071420A" w:rsidRDefault="002D421F" w:rsidP="00DC1665">
      <w:pPr>
        <w:rPr>
          <w:lang w:val="fr-CH"/>
        </w:rPr>
      </w:pPr>
      <w:r w:rsidRPr="0071420A">
        <w:rPr>
          <w:rFonts w:cs="Arial"/>
        </w:rPr>
        <w:fldChar w:fldCharType="begin"/>
      </w:r>
      <w:r w:rsidRPr="0071420A">
        <w:rPr>
          <w:rFonts w:cs="Arial"/>
          <w:lang w:val="fr-CH"/>
        </w:rPr>
        <w:instrText xml:space="preserve"> AUTONUM  </w:instrText>
      </w:r>
      <w:r w:rsidRPr="0071420A">
        <w:rPr>
          <w:rFonts w:cs="Arial"/>
        </w:rPr>
        <w:fldChar w:fldCharType="end"/>
      </w:r>
      <w:r w:rsidRPr="0071420A">
        <w:rPr>
          <w:rFonts w:cs="Arial"/>
          <w:lang w:val="fr-CH"/>
        </w:rPr>
        <w:tab/>
      </w:r>
      <w:r w:rsidR="00DC1665" w:rsidRPr="0071420A">
        <w:rPr>
          <w:rFonts w:cs="Arial"/>
          <w:lang w:val="fr-CH"/>
        </w:rPr>
        <w:t>Le TWF</w:t>
      </w:r>
      <w:r w:rsidR="0071420A">
        <w:rPr>
          <w:rStyle w:val="FootnoteReference"/>
          <w:rFonts w:cs="Arial"/>
        </w:rPr>
        <w:footnoteReference w:id="14"/>
      </w:r>
      <w:r w:rsidR="00DC1665" w:rsidRPr="0071420A">
        <w:rPr>
          <w:rFonts w:cs="Arial"/>
          <w:lang w:val="fr-CH"/>
        </w:rPr>
        <w:t xml:space="preserve"> a suivi un exposé intitulé “</w:t>
      </w:r>
      <w:proofErr w:type="spellStart"/>
      <w:r w:rsidR="00DC1665" w:rsidRPr="0071420A">
        <w:rPr>
          <w:rFonts w:cs="Arial"/>
          <w:lang w:val="fr-CH"/>
        </w:rPr>
        <w:t>Number</w:t>
      </w:r>
      <w:proofErr w:type="spellEnd"/>
      <w:r w:rsidR="00DC1665" w:rsidRPr="0071420A">
        <w:rPr>
          <w:rFonts w:cs="Arial"/>
          <w:lang w:val="fr-CH"/>
        </w:rPr>
        <w:t xml:space="preserve"> of plants of </w:t>
      </w:r>
      <w:proofErr w:type="spellStart"/>
      <w:r w:rsidR="00DC1665" w:rsidRPr="0071420A">
        <w:rPr>
          <w:rFonts w:cs="Arial"/>
          <w:lang w:val="fr-CH"/>
        </w:rPr>
        <w:t>reference</w:t>
      </w:r>
      <w:proofErr w:type="spellEnd"/>
      <w:r w:rsidR="00DC1665" w:rsidRPr="0071420A">
        <w:rPr>
          <w:rFonts w:cs="Arial"/>
          <w:lang w:val="fr-CH"/>
        </w:rPr>
        <w:t xml:space="preserve"> </w:t>
      </w:r>
      <w:proofErr w:type="spellStart"/>
      <w:r w:rsidR="00DC1665" w:rsidRPr="0071420A">
        <w:rPr>
          <w:rFonts w:cs="Arial"/>
          <w:lang w:val="fr-CH"/>
        </w:rPr>
        <w:t>variety</w:t>
      </w:r>
      <w:proofErr w:type="spellEnd"/>
      <w:r w:rsidR="00DC1665" w:rsidRPr="0071420A">
        <w:rPr>
          <w:rFonts w:cs="Arial"/>
          <w:lang w:val="fr-CH"/>
        </w:rPr>
        <w:t>” (Nombre de plantes de la variété de référence), présenté par un expert de l</w:t>
      </w:r>
      <w:r w:rsidR="00CA20AA">
        <w:rPr>
          <w:rFonts w:cs="Arial"/>
          <w:lang w:val="fr-CH"/>
        </w:rPr>
        <w:t>’</w:t>
      </w:r>
      <w:r w:rsidR="00DC1665" w:rsidRPr="0071420A">
        <w:rPr>
          <w:rFonts w:cs="Arial"/>
          <w:lang w:val="fr-CH"/>
        </w:rPr>
        <w:t>Union européen</w:t>
      </w:r>
      <w:r w:rsidR="000C0499" w:rsidRPr="0071420A">
        <w:rPr>
          <w:rFonts w:cs="Arial"/>
          <w:lang w:val="fr-CH"/>
        </w:rPr>
        <w:t>ne</w:t>
      </w:r>
      <w:r w:rsidR="000C0499">
        <w:rPr>
          <w:rFonts w:cs="Arial"/>
          <w:lang w:val="fr-CH"/>
        </w:rPr>
        <w:t xml:space="preserve">.  </w:t>
      </w:r>
      <w:r w:rsidR="000C0499" w:rsidRPr="0071420A">
        <w:rPr>
          <w:rFonts w:cs="Arial"/>
          <w:lang w:val="fr-CH"/>
        </w:rPr>
        <w:t>Le</w:t>
      </w:r>
      <w:r w:rsidR="00DC1665" w:rsidRPr="0071420A">
        <w:rPr>
          <w:rFonts w:cs="Arial"/>
          <w:lang w:val="fr-CH"/>
        </w:rPr>
        <w:t xml:space="preserve"> texte de cet exposé </w:t>
      </w:r>
      <w:r w:rsidR="0071420A">
        <w:rPr>
          <w:rFonts w:cs="Arial"/>
          <w:lang w:val="fr-CH"/>
        </w:rPr>
        <w:t>fait l</w:t>
      </w:r>
      <w:r w:rsidR="00CA20AA">
        <w:rPr>
          <w:rFonts w:cs="Arial"/>
          <w:lang w:val="fr-CH"/>
        </w:rPr>
        <w:t>’</w:t>
      </w:r>
      <w:r w:rsidR="0071420A">
        <w:rPr>
          <w:rFonts w:cs="Arial"/>
          <w:lang w:val="fr-CH"/>
        </w:rPr>
        <w:t xml:space="preserve">objet de </w:t>
      </w:r>
      <w:r w:rsidR="00DC1665" w:rsidRPr="0071420A">
        <w:rPr>
          <w:rFonts w:cs="Arial"/>
          <w:lang w:val="fr-CH"/>
        </w:rPr>
        <w:t>l</w:t>
      </w:r>
      <w:r w:rsidR="00CA20AA">
        <w:rPr>
          <w:rFonts w:cs="Arial"/>
          <w:lang w:val="fr-CH"/>
        </w:rPr>
        <w:t>’</w:t>
      </w:r>
      <w:r w:rsidR="00DC1665" w:rsidRPr="0071420A">
        <w:rPr>
          <w:rFonts w:cs="Arial"/>
          <w:lang w:val="fr-CH"/>
        </w:rPr>
        <w:t xml:space="preserve">annexe du </w:t>
      </w:r>
      <w:r w:rsidR="00CA20AA" w:rsidRPr="0071420A">
        <w:rPr>
          <w:rFonts w:cs="Arial"/>
          <w:lang w:val="fr-CH"/>
        </w:rPr>
        <w:t>document</w:t>
      </w:r>
      <w:r w:rsidR="00CA20AA">
        <w:rPr>
          <w:rFonts w:cs="Arial"/>
          <w:lang w:val="fr-CH"/>
        </w:rPr>
        <w:t xml:space="preserve"> </w:t>
      </w:r>
      <w:r w:rsidR="00CA20AA" w:rsidRPr="0071420A">
        <w:rPr>
          <w:rFonts w:cs="Arial"/>
          <w:lang w:val="fr-CH"/>
        </w:rPr>
        <w:t>TW</w:t>
      </w:r>
      <w:r w:rsidR="00DC1665" w:rsidRPr="0071420A">
        <w:rPr>
          <w:rFonts w:cs="Arial"/>
          <w:lang w:val="fr-CH"/>
        </w:rPr>
        <w:t xml:space="preserve">F/52/7 (voir les </w:t>
      </w:r>
      <w:r w:rsidR="00F215F4" w:rsidRPr="0071420A">
        <w:rPr>
          <w:rFonts w:cs="Arial"/>
          <w:lang w:val="fr-CH"/>
        </w:rPr>
        <w:t>paragraphes 7</w:t>
      </w:r>
      <w:r w:rsidR="00DC1665" w:rsidRPr="0071420A">
        <w:rPr>
          <w:rFonts w:cs="Arial"/>
          <w:lang w:val="fr-CH"/>
        </w:rPr>
        <w:t xml:space="preserve">1 et 72 du </w:t>
      </w:r>
      <w:r w:rsidR="00CA20AA" w:rsidRPr="0071420A">
        <w:rPr>
          <w:rFonts w:cs="Arial"/>
          <w:lang w:val="fr-CH"/>
        </w:rPr>
        <w:t>document</w:t>
      </w:r>
      <w:r w:rsidR="00CA20AA">
        <w:rPr>
          <w:rFonts w:cs="Arial"/>
          <w:lang w:val="fr-CH"/>
        </w:rPr>
        <w:t xml:space="preserve"> </w:t>
      </w:r>
      <w:r w:rsidR="00CA20AA" w:rsidRPr="0071420A">
        <w:rPr>
          <w:rFonts w:cs="Arial"/>
          <w:lang w:val="fr-CH"/>
        </w:rPr>
        <w:t>TW</w:t>
      </w:r>
      <w:r w:rsidR="00DC1665" w:rsidRPr="0071420A">
        <w:rPr>
          <w:rFonts w:cs="Arial"/>
          <w:lang w:val="fr-CH"/>
        </w:rPr>
        <w:t>F/52/10 “Report”).</w:t>
      </w:r>
    </w:p>
    <w:p w:rsidR="00D03553" w:rsidRPr="0071420A" w:rsidRDefault="00D03553" w:rsidP="002D421F">
      <w:pPr>
        <w:rPr>
          <w:rFonts w:cs="Arial"/>
          <w:lang w:val="fr-CH"/>
        </w:rPr>
      </w:pPr>
    </w:p>
    <w:p w:rsidR="00D03553" w:rsidRDefault="002D421F" w:rsidP="00DC1665">
      <w:pPr>
        <w:rPr>
          <w:rFonts w:cs="Arial"/>
          <w:lang w:val="fr-CH"/>
        </w:rPr>
      </w:pPr>
      <w:r w:rsidRPr="000035F9">
        <w:rPr>
          <w:rFonts w:cs="Arial"/>
        </w:rPr>
        <w:fldChar w:fldCharType="begin"/>
      </w:r>
      <w:r w:rsidRPr="00DC1665">
        <w:rPr>
          <w:rFonts w:cs="Arial"/>
          <w:lang w:val="fr-CH"/>
        </w:rPr>
        <w:instrText xml:space="preserve"> AUTONUM  </w:instrText>
      </w:r>
      <w:r w:rsidRPr="000035F9">
        <w:rPr>
          <w:rFonts w:cs="Arial"/>
        </w:rPr>
        <w:fldChar w:fldCharType="end"/>
      </w:r>
      <w:r w:rsidRPr="00DC1665">
        <w:rPr>
          <w:rFonts w:cs="Arial"/>
          <w:lang w:val="fr-CH"/>
        </w:rPr>
        <w:tab/>
      </w:r>
      <w:r w:rsidR="00DC1665" w:rsidRPr="00DC1665">
        <w:rPr>
          <w:rFonts w:cs="Arial"/>
          <w:color w:val="000000"/>
          <w:lang w:val="fr-CH"/>
        </w:rPr>
        <w:t>Le TWF est convenu d</w:t>
      </w:r>
      <w:r w:rsidR="00CA20AA">
        <w:rPr>
          <w:rFonts w:cs="Arial"/>
          <w:color w:val="000000"/>
          <w:lang w:val="fr-CH"/>
        </w:rPr>
        <w:t>’</w:t>
      </w:r>
      <w:r w:rsidR="00DC1665" w:rsidRPr="00DC1665">
        <w:rPr>
          <w:rFonts w:cs="Arial"/>
          <w:color w:val="000000"/>
          <w:lang w:val="fr-CH"/>
        </w:rPr>
        <w:t>inviter l</w:t>
      </w:r>
      <w:r w:rsidR="00CA20AA">
        <w:rPr>
          <w:rFonts w:cs="Arial"/>
          <w:color w:val="000000"/>
          <w:lang w:val="fr-CH"/>
        </w:rPr>
        <w:t>’</w:t>
      </w:r>
      <w:r w:rsidR="00DC1665" w:rsidRPr="00DC1665">
        <w:rPr>
          <w:rFonts w:cs="Arial"/>
          <w:color w:val="000000"/>
          <w:lang w:val="fr-CH"/>
        </w:rPr>
        <w:t>expert de l</w:t>
      </w:r>
      <w:r w:rsidR="00CA20AA">
        <w:rPr>
          <w:rFonts w:cs="Arial"/>
          <w:color w:val="000000"/>
          <w:lang w:val="fr-CH"/>
        </w:rPr>
        <w:t>’</w:t>
      </w:r>
      <w:r w:rsidR="00DC1665" w:rsidRPr="00DC1665">
        <w:rPr>
          <w:rFonts w:cs="Arial"/>
          <w:color w:val="000000"/>
          <w:lang w:val="fr-CH"/>
        </w:rPr>
        <w:t xml:space="preserve">Union européenne à rédiger, avec le concours du Brésil, une proposition de modification éventuelle du </w:t>
      </w:r>
      <w:r w:rsidR="00F215F4" w:rsidRPr="00DC1665">
        <w:rPr>
          <w:rFonts w:cs="Arial"/>
          <w:color w:val="000000"/>
          <w:lang w:val="fr-CH"/>
        </w:rPr>
        <w:t>paragraphe</w:t>
      </w:r>
      <w:r w:rsidR="00F215F4">
        <w:rPr>
          <w:rFonts w:cs="Arial"/>
          <w:color w:val="000000"/>
          <w:lang w:val="fr-CH"/>
        </w:rPr>
        <w:t> </w:t>
      </w:r>
      <w:r w:rsidR="00F215F4" w:rsidRPr="00DC1665">
        <w:rPr>
          <w:rFonts w:cs="Arial"/>
          <w:color w:val="000000"/>
          <w:lang w:val="fr-CH"/>
        </w:rPr>
        <w:t>5</w:t>
      </w:r>
      <w:r w:rsidR="00DC1665" w:rsidRPr="00DC1665">
        <w:rPr>
          <w:rFonts w:cs="Arial"/>
          <w:color w:val="000000"/>
          <w:lang w:val="fr-CH"/>
        </w:rPr>
        <w:t xml:space="preserve">.5.5 du </w:t>
      </w:r>
      <w:r w:rsidR="00CA20AA" w:rsidRPr="00DC1665">
        <w:rPr>
          <w:rFonts w:cs="Arial"/>
          <w:color w:val="000000"/>
          <w:lang w:val="fr-CH"/>
        </w:rPr>
        <w:t>document</w:t>
      </w:r>
      <w:r w:rsidR="00CA20AA">
        <w:rPr>
          <w:rFonts w:cs="Arial"/>
          <w:color w:val="000000"/>
          <w:lang w:val="fr-CH"/>
        </w:rPr>
        <w:t xml:space="preserve"> </w:t>
      </w:r>
      <w:r w:rsidR="00CA20AA" w:rsidRPr="00DC1665">
        <w:rPr>
          <w:rFonts w:cs="Arial"/>
          <w:color w:val="000000"/>
          <w:lang w:val="fr-CH"/>
        </w:rPr>
        <w:t>TG</w:t>
      </w:r>
      <w:r w:rsidR="00DC1665" w:rsidRPr="00DC1665">
        <w:rPr>
          <w:rFonts w:cs="Arial"/>
          <w:color w:val="000000"/>
          <w:lang w:val="fr-CH"/>
        </w:rPr>
        <w:t>P/9/2, qui sera présentée à sa cinquante</w:t>
      </w:r>
      <w:r w:rsidR="00CA20AA">
        <w:rPr>
          <w:rFonts w:cs="Arial"/>
          <w:color w:val="000000"/>
          <w:lang w:val="fr-CH"/>
        </w:rPr>
        <w:t>-</w:t>
      </w:r>
      <w:r w:rsidR="00DC1665" w:rsidRPr="00DC1665">
        <w:rPr>
          <w:rFonts w:cs="Arial"/>
          <w:color w:val="000000"/>
          <w:lang w:val="fr-CH"/>
        </w:rPr>
        <w:t>trois</w:t>
      </w:r>
      <w:r w:rsidR="00CA20AA">
        <w:rPr>
          <w:rFonts w:cs="Arial"/>
          <w:color w:val="000000"/>
          <w:lang w:val="fr-CH"/>
        </w:rPr>
        <w:t>ième session</w:t>
      </w:r>
      <w:r w:rsidR="00DC1665" w:rsidRPr="00DC1665">
        <w:rPr>
          <w:rFonts w:cs="Arial"/>
          <w:color w:val="000000"/>
          <w:lang w:val="fr-CH"/>
        </w:rPr>
        <w:t>.</w:t>
      </w:r>
    </w:p>
    <w:p w:rsidR="00D03553" w:rsidRDefault="00D03553" w:rsidP="004B1215">
      <w:pPr>
        <w:rPr>
          <w:lang w:val="fr-CH"/>
        </w:rPr>
      </w:pPr>
    </w:p>
    <w:p w:rsidR="00D03553" w:rsidRDefault="00D03553" w:rsidP="00050E16">
      <w:pPr>
        <w:rPr>
          <w:lang w:val="fr-CH"/>
        </w:rPr>
      </w:pPr>
    </w:p>
    <w:p w:rsidR="00D03553" w:rsidRDefault="00D03553" w:rsidP="00050E16">
      <w:pPr>
        <w:rPr>
          <w:lang w:val="fr-CH"/>
        </w:rPr>
      </w:pPr>
    </w:p>
    <w:p w:rsidR="00050E16" w:rsidRPr="00C5280D" w:rsidRDefault="00050E16" w:rsidP="00FC0917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sectPr w:rsidR="00050E16" w:rsidRPr="00C5280D" w:rsidSect="00FC0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1F" w:rsidRDefault="002D421F" w:rsidP="006655D3">
      <w:r>
        <w:separator/>
      </w:r>
    </w:p>
    <w:p w:rsidR="002D421F" w:rsidRDefault="002D421F" w:rsidP="006655D3"/>
    <w:p w:rsidR="002D421F" w:rsidRDefault="002D421F" w:rsidP="006655D3"/>
  </w:endnote>
  <w:endnote w:type="continuationSeparator" w:id="0">
    <w:p w:rsidR="002D421F" w:rsidRDefault="002D421F" w:rsidP="006655D3">
      <w:r>
        <w:separator/>
      </w:r>
    </w:p>
    <w:p w:rsidR="002D421F" w:rsidRPr="00294751" w:rsidRDefault="002D421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D421F" w:rsidRPr="00294751" w:rsidRDefault="002D421F" w:rsidP="006655D3"/>
    <w:p w:rsidR="002D421F" w:rsidRPr="00294751" w:rsidRDefault="002D421F" w:rsidP="006655D3"/>
  </w:endnote>
  <w:endnote w:type="continuationNotice" w:id="1">
    <w:p w:rsidR="002D421F" w:rsidRPr="00294751" w:rsidRDefault="002D421F" w:rsidP="006655D3">
      <w:r w:rsidRPr="00294751">
        <w:t>[Suite de la note page suivante]</w:t>
      </w:r>
    </w:p>
    <w:p w:rsidR="002D421F" w:rsidRPr="00294751" w:rsidRDefault="002D421F" w:rsidP="006655D3"/>
    <w:p w:rsidR="002D421F" w:rsidRPr="00294751" w:rsidRDefault="002D421F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17" w:rsidRDefault="00FC0917" w:rsidP="00FC0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65" w:rsidRDefault="00DC16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65" w:rsidRDefault="00DC1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1F" w:rsidRDefault="002D421F" w:rsidP="006655D3">
      <w:r>
        <w:separator/>
      </w:r>
    </w:p>
  </w:footnote>
  <w:footnote w:type="continuationSeparator" w:id="0">
    <w:p w:rsidR="002D421F" w:rsidRDefault="002D421F" w:rsidP="006655D3">
      <w:r>
        <w:separator/>
      </w:r>
    </w:p>
  </w:footnote>
  <w:footnote w:type="continuationNotice" w:id="1">
    <w:p w:rsidR="002D421F" w:rsidRPr="00AB530F" w:rsidRDefault="002D421F" w:rsidP="00AB530F">
      <w:pPr>
        <w:pStyle w:val="Footer"/>
      </w:pPr>
    </w:p>
  </w:footnote>
  <w:footnote w:id="2">
    <w:p w:rsidR="00F06A6F" w:rsidRPr="00AE68AA" w:rsidRDefault="00F06A6F" w:rsidP="00F06A6F">
      <w:pPr>
        <w:pStyle w:val="FootnoteText"/>
        <w:rPr>
          <w:lang w:val="fr-CH"/>
        </w:rPr>
      </w:pPr>
      <w:r w:rsidRPr="00AE68AA">
        <w:rPr>
          <w:rStyle w:val="FootnoteReference"/>
        </w:rPr>
        <w:footnoteRef/>
      </w:r>
      <w:r w:rsidRPr="00AE68AA">
        <w:rPr>
          <w:lang w:val="fr-CH"/>
        </w:rPr>
        <w:t xml:space="preserve"> </w:t>
      </w:r>
      <w:r w:rsidR="00AE68AA">
        <w:rPr>
          <w:lang w:val="fr-CH"/>
        </w:rPr>
        <w:tab/>
      </w:r>
      <w:r w:rsidRPr="00AE68AA">
        <w:rPr>
          <w:lang w:val="fr-CH"/>
        </w:rPr>
        <w:t>À sa cinquante</w:t>
      </w:r>
      <w:r w:rsidR="00F901BE">
        <w:rPr>
          <w:lang w:val="fr-CH"/>
        </w:rPr>
        <w:t>-</w:t>
      </w:r>
      <w:r w:rsidRPr="00AE68AA">
        <w:rPr>
          <w:lang w:val="fr-CH"/>
        </w:rPr>
        <w:t>cinqu</w:t>
      </w:r>
      <w:r w:rsidR="00F901BE">
        <w:rPr>
          <w:lang w:val="fr-CH"/>
        </w:rPr>
        <w:t>ième session</w:t>
      </w:r>
      <w:r w:rsidRPr="00AE68AA">
        <w:rPr>
          <w:lang w:val="fr-CH"/>
        </w:rPr>
        <w:t xml:space="preserve">, organisée par la Turquie </w:t>
      </w:r>
      <w:r w:rsidR="00AE68AA">
        <w:rPr>
          <w:lang w:val="fr-CH"/>
        </w:rPr>
        <w:t>par voie</w:t>
      </w:r>
      <w:r w:rsidRPr="00AE68AA">
        <w:rPr>
          <w:lang w:val="fr-CH"/>
        </w:rPr>
        <w:t xml:space="preserve"> électronique du 3 au </w:t>
      </w:r>
      <w:r w:rsidR="00DE0500" w:rsidRPr="00AE68AA">
        <w:rPr>
          <w:lang w:val="fr-CH"/>
        </w:rPr>
        <w:t>7 mai 20</w:t>
      </w:r>
      <w:r w:rsidRPr="00AE68AA">
        <w:rPr>
          <w:lang w:val="fr-CH"/>
        </w:rPr>
        <w:t>21.</w:t>
      </w:r>
    </w:p>
  </w:footnote>
  <w:footnote w:id="3">
    <w:p w:rsidR="00F06A6F" w:rsidRPr="00AE68AA" w:rsidRDefault="00F06A6F" w:rsidP="00F06A6F">
      <w:pPr>
        <w:pStyle w:val="FootnoteText"/>
        <w:rPr>
          <w:lang w:val="fr-CH"/>
        </w:rPr>
      </w:pPr>
      <w:r w:rsidRPr="00AE68AA">
        <w:rPr>
          <w:rStyle w:val="FootnoteReference"/>
        </w:rPr>
        <w:footnoteRef/>
      </w:r>
      <w:r w:rsidRPr="00AE68AA">
        <w:rPr>
          <w:lang w:val="fr-CH"/>
        </w:rPr>
        <w:t xml:space="preserve"> </w:t>
      </w:r>
      <w:r w:rsidR="00AE68AA">
        <w:rPr>
          <w:lang w:val="fr-CH"/>
        </w:rPr>
        <w:tab/>
      </w:r>
      <w:r w:rsidRPr="00AE68AA">
        <w:rPr>
          <w:lang w:val="fr-CH"/>
        </w:rPr>
        <w:t>À sa cinquante</w:t>
      </w:r>
      <w:r w:rsidR="00F901BE">
        <w:rPr>
          <w:lang w:val="fr-CH"/>
        </w:rPr>
        <w:t>-</w:t>
      </w:r>
      <w:r w:rsidRPr="00AE68AA">
        <w:rPr>
          <w:lang w:val="fr-CH"/>
        </w:rPr>
        <w:t>trois</w:t>
      </w:r>
      <w:r w:rsidR="00F901BE">
        <w:rPr>
          <w:lang w:val="fr-CH"/>
        </w:rPr>
        <w:t>ième session</w:t>
      </w:r>
      <w:r w:rsidRPr="00AE68AA">
        <w:rPr>
          <w:lang w:val="fr-CH"/>
        </w:rPr>
        <w:t>, organisée par les Pays</w:t>
      </w:r>
      <w:r w:rsidR="00F901BE">
        <w:rPr>
          <w:lang w:val="fr-CH"/>
        </w:rPr>
        <w:t>-</w:t>
      </w:r>
      <w:r w:rsidRPr="00AE68AA">
        <w:rPr>
          <w:lang w:val="fr-CH"/>
        </w:rPr>
        <w:t xml:space="preserve">Bas </w:t>
      </w:r>
      <w:r w:rsidR="00AE68AA">
        <w:rPr>
          <w:lang w:val="fr-CH"/>
        </w:rPr>
        <w:t>par voie</w:t>
      </w:r>
      <w:r w:rsidRPr="00AE68AA">
        <w:rPr>
          <w:lang w:val="fr-CH"/>
        </w:rPr>
        <w:t xml:space="preserve"> électronique du 7 au 1</w:t>
      </w:r>
      <w:r w:rsidR="00DE0500" w:rsidRPr="00AE68AA">
        <w:rPr>
          <w:lang w:val="fr-CH"/>
        </w:rPr>
        <w:t>1 juin 20</w:t>
      </w:r>
      <w:r w:rsidRPr="00AE68AA">
        <w:rPr>
          <w:lang w:val="fr-CH"/>
        </w:rPr>
        <w:t>21.</w:t>
      </w:r>
    </w:p>
  </w:footnote>
  <w:footnote w:id="4">
    <w:p w:rsidR="00F06A6F" w:rsidRPr="00AE68AA" w:rsidRDefault="00F06A6F" w:rsidP="00F06A6F">
      <w:pPr>
        <w:pStyle w:val="FootnoteText"/>
        <w:rPr>
          <w:lang w:val="fr-CH"/>
        </w:rPr>
      </w:pPr>
      <w:r w:rsidRPr="00AE68AA">
        <w:rPr>
          <w:rStyle w:val="FootnoteReference"/>
        </w:rPr>
        <w:footnoteRef/>
      </w:r>
      <w:r w:rsidRPr="00AE68AA">
        <w:rPr>
          <w:lang w:val="fr-CH"/>
        </w:rPr>
        <w:t xml:space="preserve"> </w:t>
      </w:r>
      <w:r w:rsidR="00AE68AA">
        <w:rPr>
          <w:lang w:val="fr-CH"/>
        </w:rPr>
        <w:tab/>
      </w:r>
      <w:r w:rsidRPr="00AE68AA">
        <w:rPr>
          <w:lang w:val="fr-CH"/>
        </w:rPr>
        <w:t>À sa cinquant</w:t>
      </w:r>
      <w:r w:rsidR="00F901BE">
        <w:rPr>
          <w:lang w:val="fr-CH"/>
        </w:rPr>
        <w:t>ième session</w:t>
      </w:r>
      <w:r w:rsidRPr="00AE68AA">
        <w:rPr>
          <w:lang w:val="fr-CH"/>
        </w:rPr>
        <w:t>, organisée par la République</w:t>
      </w:r>
      <w:r w:rsidR="00F901BE">
        <w:rPr>
          <w:lang w:val="fr-CH"/>
        </w:rPr>
        <w:t>-</w:t>
      </w:r>
      <w:r w:rsidRPr="00AE68AA">
        <w:rPr>
          <w:lang w:val="fr-CH"/>
        </w:rPr>
        <w:t>Unie de Tanzanie par voie électronique du 21 au 2</w:t>
      </w:r>
      <w:r w:rsidR="00DE0500" w:rsidRPr="00AE68AA">
        <w:rPr>
          <w:lang w:val="fr-CH"/>
        </w:rPr>
        <w:t>5 juin 20</w:t>
      </w:r>
      <w:r w:rsidRPr="00AE68AA">
        <w:rPr>
          <w:lang w:val="fr-CH"/>
        </w:rPr>
        <w:t>21.</w:t>
      </w:r>
    </w:p>
  </w:footnote>
  <w:footnote w:id="5">
    <w:p w:rsidR="00F06A6F" w:rsidRPr="00AE68AA" w:rsidRDefault="00F06A6F" w:rsidP="00F06A6F">
      <w:pPr>
        <w:pStyle w:val="FootnoteText"/>
        <w:rPr>
          <w:lang w:val="fr-CH"/>
        </w:rPr>
      </w:pPr>
      <w:r w:rsidRPr="00AE68AA">
        <w:rPr>
          <w:rStyle w:val="FootnoteReference"/>
        </w:rPr>
        <w:footnoteRef/>
      </w:r>
      <w:r w:rsidRPr="00AE68AA">
        <w:rPr>
          <w:lang w:val="fr-CH"/>
        </w:rPr>
        <w:t xml:space="preserve"> </w:t>
      </w:r>
      <w:r w:rsidR="00AE68AA">
        <w:rPr>
          <w:lang w:val="fr-CH"/>
        </w:rPr>
        <w:tab/>
      </w:r>
      <w:r w:rsidRPr="00AE68AA">
        <w:rPr>
          <w:lang w:val="fr-CH"/>
        </w:rPr>
        <w:t>À sa cinquante</w:t>
      </w:r>
      <w:r w:rsidR="00F901BE">
        <w:rPr>
          <w:lang w:val="fr-CH"/>
        </w:rPr>
        <w:t>-</w:t>
      </w:r>
      <w:r w:rsidRPr="00AE68AA">
        <w:rPr>
          <w:lang w:val="fr-CH"/>
        </w:rPr>
        <w:t>deux</w:t>
      </w:r>
      <w:r w:rsidR="00F901BE">
        <w:rPr>
          <w:lang w:val="fr-CH"/>
        </w:rPr>
        <w:t>ième session</w:t>
      </w:r>
      <w:r w:rsidRPr="00AE68AA">
        <w:rPr>
          <w:lang w:val="fr-CH"/>
        </w:rPr>
        <w:t xml:space="preserve">, organisée </w:t>
      </w:r>
      <w:r w:rsidR="004D3DF1">
        <w:rPr>
          <w:lang w:val="fr-CH"/>
        </w:rPr>
        <w:t>par la</w:t>
      </w:r>
      <w:r w:rsidRPr="00AE68AA">
        <w:rPr>
          <w:lang w:val="fr-CH"/>
        </w:rPr>
        <w:t xml:space="preserve"> Chine par voie électronique du 12 au 1</w:t>
      </w:r>
      <w:r w:rsidR="00DE0500" w:rsidRPr="00AE68AA">
        <w:rPr>
          <w:lang w:val="fr-CH"/>
        </w:rPr>
        <w:t>6 juillet 20</w:t>
      </w:r>
      <w:r w:rsidRPr="00AE68AA">
        <w:rPr>
          <w:lang w:val="fr-CH"/>
        </w:rPr>
        <w:t>21.</w:t>
      </w:r>
    </w:p>
  </w:footnote>
  <w:footnote w:id="6">
    <w:p w:rsidR="009457FE" w:rsidRPr="00AE68AA" w:rsidRDefault="009457FE" w:rsidP="009457FE">
      <w:pPr>
        <w:pStyle w:val="FootnoteText"/>
        <w:rPr>
          <w:lang w:val="fr-CH"/>
        </w:rPr>
      </w:pPr>
      <w:r w:rsidRPr="00AE68AA">
        <w:rPr>
          <w:rStyle w:val="FootnoteReference"/>
        </w:rPr>
        <w:footnoteRef/>
      </w:r>
      <w:r w:rsidRPr="00AE68AA">
        <w:rPr>
          <w:lang w:val="fr-CH"/>
        </w:rPr>
        <w:t xml:space="preserve"> </w:t>
      </w:r>
      <w:r w:rsidR="00AE68AA">
        <w:rPr>
          <w:lang w:val="fr-CH"/>
        </w:rPr>
        <w:tab/>
      </w:r>
      <w:r w:rsidRPr="00AE68AA">
        <w:rPr>
          <w:lang w:val="fr-CH"/>
        </w:rPr>
        <w:t>À</w:t>
      </w:r>
      <w:r w:rsidRPr="00AE68AA">
        <w:rPr>
          <w:b/>
          <w:lang w:val="fr-CH"/>
        </w:rPr>
        <w:t xml:space="preserve"> </w:t>
      </w:r>
      <w:r w:rsidRPr="00AE68AA">
        <w:rPr>
          <w:lang w:val="fr-CH"/>
        </w:rPr>
        <w:t>sa trente</w:t>
      </w:r>
      <w:r w:rsidR="00F901BE">
        <w:rPr>
          <w:lang w:val="fr-CH"/>
        </w:rPr>
        <w:t>-</w:t>
      </w:r>
      <w:r w:rsidRPr="00AE68AA">
        <w:rPr>
          <w:lang w:val="fr-CH"/>
        </w:rPr>
        <w:t>neuv</w:t>
      </w:r>
      <w:r w:rsidR="00F901BE">
        <w:rPr>
          <w:lang w:val="fr-CH"/>
        </w:rPr>
        <w:t>ième session</w:t>
      </w:r>
      <w:r w:rsidRPr="00AE68AA">
        <w:rPr>
          <w:lang w:val="fr-CH"/>
        </w:rPr>
        <w:t>, organisée par les États</w:t>
      </w:r>
      <w:r w:rsidR="00F901BE">
        <w:rPr>
          <w:lang w:val="fr-CH"/>
        </w:rPr>
        <w:t>-</w:t>
      </w:r>
      <w:r w:rsidRPr="00AE68AA">
        <w:rPr>
          <w:lang w:val="fr-CH"/>
        </w:rPr>
        <w:t>Unis d</w:t>
      </w:r>
      <w:r w:rsidR="00F901BE">
        <w:rPr>
          <w:lang w:val="fr-CH"/>
        </w:rPr>
        <w:t>’</w:t>
      </w:r>
      <w:r w:rsidRPr="00AE68AA">
        <w:rPr>
          <w:lang w:val="fr-CH"/>
        </w:rPr>
        <w:t>Amérique par voie électronique du 20 au 2</w:t>
      </w:r>
      <w:r w:rsidR="00DE0500" w:rsidRPr="00AE68AA">
        <w:rPr>
          <w:lang w:val="fr-CH"/>
        </w:rPr>
        <w:t>2 septembre 20</w:t>
      </w:r>
      <w:r w:rsidRPr="00AE68AA">
        <w:rPr>
          <w:lang w:val="fr-CH"/>
        </w:rPr>
        <w:t>21.</w:t>
      </w:r>
    </w:p>
  </w:footnote>
  <w:footnote w:id="7">
    <w:p w:rsidR="009457FE" w:rsidRPr="00AE68AA" w:rsidRDefault="009457FE" w:rsidP="009457FE">
      <w:pPr>
        <w:pStyle w:val="FootnoteText"/>
        <w:rPr>
          <w:lang w:val="fr-CH"/>
        </w:rPr>
      </w:pPr>
      <w:r w:rsidRPr="00AE68AA">
        <w:rPr>
          <w:rStyle w:val="FootnoteReference"/>
        </w:rPr>
        <w:footnoteRef/>
      </w:r>
      <w:r w:rsidRPr="00AE68AA">
        <w:rPr>
          <w:lang w:val="fr-CH"/>
        </w:rPr>
        <w:t xml:space="preserve"> </w:t>
      </w:r>
      <w:r w:rsidR="00AE68AA">
        <w:rPr>
          <w:lang w:val="fr-CH"/>
        </w:rPr>
        <w:tab/>
      </w:r>
      <w:r w:rsidRPr="00AE68AA">
        <w:rPr>
          <w:lang w:val="fr-CH"/>
        </w:rPr>
        <w:t xml:space="preserve">À sa </w:t>
      </w:r>
      <w:r w:rsidR="005372AD">
        <w:rPr>
          <w:lang w:val="fr-CH"/>
        </w:rPr>
        <w:t>vingtième</w:t>
      </w:r>
      <w:r w:rsidR="00F901BE">
        <w:rPr>
          <w:lang w:val="fr-CH"/>
        </w:rPr>
        <w:t> session</w:t>
      </w:r>
      <w:r w:rsidRPr="00AE68AA">
        <w:rPr>
          <w:lang w:val="fr-CH"/>
        </w:rPr>
        <w:t>, organisée par les États</w:t>
      </w:r>
      <w:r w:rsidR="00F901BE">
        <w:rPr>
          <w:lang w:val="fr-CH"/>
        </w:rPr>
        <w:t>-</w:t>
      </w:r>
      <w:r w:rsidRPr="00AE68AA">
        <w:rPr>
          <w:lang w:val="fr-CH"/>
        </w:rPr>
        <w:t>Unis d</w:t>
      </w:r>
      <w:r w:rsidR="00F901BE">
        <w:rPr>
          <w:lang w:val="fr-CH"/>
        </w:rPr>
        <w:t>’</w:t>
      </w:r>
      <w:r w:rsidRPr="00AE68AA">
        <w:rPr>
          <w:lang w:val="fr-CH"/>
        </w:rPr>
        <w:t>Amérique par voie électronique du 22 au 2</w:t>
      </w:r>
      <w:r w:rsidR="00DE0500" w:rsidRPr="00AE68AA">
        <w:rPr>
          <w:lang w:val="fr-CH"/>
        </w:rPr>
        <w:t>4 septembre 20</w:t>
      </w:r>
      <w:r w:rsidRPr="00AE68AA">
        <w:rPr>
          <w:lang w:val="fr-CH"/>
        </w:rPr>
        <w:t>21.</w:t>
      </w:r>
    </w:p>
  </w:footnote>
  <w:footnote w:id="8">
    <w:p w:rsidR="00821D99" w:rsidRPr="00AE68AA" w:rsidRDefault="00821D99" w:rsidP="00821D99">
      <w:pPr>
        <w:pStyle w:val="FootnoteText"/>
        <w:rPr>
          <w:lang w:val="fr-CH"/>
        </w:rPr>
      </w:pPr>
      <w:r w:rsidRPr="00AE68AA">
        <w:rPr>
          <w:rStyle w:val="FootnoteReference"/>
        </w:rPr>
        <w:footnoteRef/>
      </w:r>
      <w:r w:rsidRPr="00AE68AA">
        <w:rPr>
          <w:lang w:val="fr-CH"/>
        </w:rPr>
        <w:t xml:space="preserve"> </w:t>
      </w:r>
      <w:r w:rsidR="00AE68AA">
        <w:rPr>
          <w:lang w:val="fr-CH"/>
        </w:rPr>
        <w:tab/>
      </w:r>
      <w:r w:rsidRPr="00AE68AA">
        <w:rPr>
          <w:lang w:val="fr-CH"/>
        </w:rPr>
        <w:t>À sa cinquante</w:t>
      </w:r>
      <w:r w:rsidR="00F901BE">
        <w:rPr>
          <w:lang w:val="fr-CH"/>
        </w:rPr>
        <w:t>-</w:t>
      </w:r>
      <w:r w:rsidRPr="00AE68AA">
        <w:rPr>
          <w:lang w:val="fr-CH"/>
        </w:rPr>
        <w:t>deux</w:t>
      </w:r>
      <w:r w:rsidR="00F901BE">
        <w:rPr>
          <w:lang w:val="fr-CH"/>
        </w:rPr>
        <w:t>ième session</w:t>
      </w:r>
      <w:r w:rsidRPr="00AE68AA">
        <w:rPr>
          <w:lang w:val="fr-CH"/>
        </w:rPr>
        <w:t xml:space="preserve">, organisée </w:t>
      </w:r>
      <w:r w:rsidR="004D3DF1">
        <w:rPr>
          <w:lang w:val="fr-CH"/>
        </w:rPr>
        <w:t>par la</w:t>
      </w:r>
      <w:r w:rsidRPr="00AE68AA">
        <w:rPr>
          <w:lang w:val="fr-CH"/>
        </w:rPr>
        <w:t xml:space="preserve"> Chine par voie électronique du 12 au 1</w:t>
      </w:r>
      <w:r w:rsidR="00DE0500" w:rsidRPr="00AE68AA">
        <w:rPr>
          <w:lang w:val="fr-CH"/>
        </w:rPr>
        <w:t>6 juillet 20</w:t>
      </w:r>
      <w:r w:rsidRPr="00AE68AA">
        <w:rPr>
          <w:lang w:val="fr-CH"/>
        </w:rPr>
        <w:t>21.</w:t>
      </w:r>
    </w:p>
  </w:footnote>
  <w:footnote w:id="9">
    <w:p w:rsidR="00677F61" w:rsidRPr="00AE68AA" w:rsidRDefault="00677F61" w:rsidP="00677F61">
      <w:pPr>
        <w:pStyle w:val="FootnoteText"/>
        <w:rPr>
          <w:lang w:val="fr-CH"/>
        </w:rPr>
      </w:pPr>
      <w:r w:rsidRPr="00AE68AA">
        <w:rPr>
          <w:rStyle w:val="FootnoteReference"/>
        </w:rPr>
        <w:footnoteRef/>
      </w:r>
      <w:r w:rsidRPr="00AE68AA">
        <w:rPr>
          <w:lang w:val="fr-CH"/>
        </w:rPr>
        <w:t xml:space="preserve"> </w:t>
      </w:r>
      <w:r w:rsidR="00AE68AA">
        <w:rPr>
          <w:lang w:val="fr-CH"/>
        </w:rPr>
        <w:tab/>
      </w:r>
      <w:r w:rsidRPr="00AE68AA">
        <w:rPr>
          <w:lang w:val="fr-CH"/>
        </w:rPr>
        <w:t>À sa cinquante</w:t>
      </w:r>
      <w:r w:rsidR="00F901BE">
        <w:rPr>
          <w:lang w:val="fr-CH"/>
        </w:rPr>
        <w:t>-</w:t>
      </w:r>
      <w:r w:rsidRPr="00AE68AA">
        <w:rPr>
          <w:lang w:val="fr-CH"/>
        </w:rPr>
        <w:t>deux</w:t>
      </w:r>
      <w:r w:rsidR="00F901BE">
        <w:rPr>
          <w:lang w:val="fr-CH"/>
        </w:rPr>
        <w:t>ième session</w:t>
      </w:r>
      <w:r w:rsidRPr="00AE68AA">
        <w:rPr>
          <w:lang w:val="fr-CH"/>
        </w:rPr>
        <w:t xml:space="preserve">, organisée </w:t>
      </w:r>
      <w:r w:rsidR="004D3DF1">
        <w:rPr>
          <w:lang w:val="fr-CH"/>
        </w:rPr>
        <w:t>par la</w:t>
      </w:r>
      <w:bookmarkStart w:id="8" w:name="_GoBack"/>
      <w:bookmarkEnd w:id="8"/>
      <w:r w:rsidRPr="00AE68AA">
        <w:rPr>
          <w:lang w:val="fr-CH"/>
        </w:rPr>
        <w:t xml:space="preserve"> Chine par voie électronique du 12 au 1</w:t>
      </w:r>
      <w:r w:rsidR="00DE0500" w:rsidRPr="00AE68AA">
        <w:rPr>
          <w:lang w:val="fr-CH"/>
        </w:rPr>
        <w:t>6 juillet 20</w:t>
      </w:r>
      <w:r w:rsidRPr="00AE68AA">
        <w:rPr>
          <w:lang w:val="fr-CH"/>
        </w:rPr>
        <w:t>21.</w:t>
      </w:r>
    </w:p>
  </w:footnote>
  <w:footnote w:id="10">
    <w:p w:rsidR="0071124F" w:rsidRPr="00AE68AA" w:rsidRDefault="0071124F" w:rsidP="00FB05D6">
      <w:pPr>
        <w:pStyle w:val="FootnoteText"/>
        <w:rPr>
          <w:lang w:val="fr-CH"/>
        </w:rPr>
      </w:pPr>
      <w:r w:rsidRPr="00AE68AA">
        <w:rPr>
          <w:rStyle w:val="FootnoteReference"/>
        </w:rPr>
        <w:footnoteRef/>
      </w:r>
      <w:r w:rsidRPr="00AE68AA">
        <w:rPr>
          <w:lang w:val="fr-CH"/>
        </w:rPr>
        <w:t xml:space="preserve"> </w:t>
      </w:r>
      <w:r w:rsidR="00AE68AA">
        <w:rPr>
          <w:lang w:val="fr-CH"/>
        </w:rPr>
        <w:tab/>
      </w:r>
      <w:r w:rsidR="00FB05D6" w:rsidRPr="00AE68AA">
        <w:rPr>
          <w:lang w:val="fr-CH"/>
        </w:rPr>
        <w:t>À sa cinquante</w:t>
      </w:r>
      <w:r w:rsidR="00F901BE">
        <w:rPr>
          <w:lang w:val="fr-CH"/>
        </w:rPr>
        <w:t>-</w:t>
      </w:r>
      <w:r w:rsidR="00FB05D6" w:rsidRPr="00AE68AA">
        <w:rPr>
          <w:lang w:val="fr-CH"/>
        </w:rPr>
        <w:t>cinqu</w:t>
      </w:r>
      <w:r w:rsidR="00F901BE">
        <w:rPr>
          <w:lang w:val="fr-CH"/>
        </w:rPr>
        <w:t>ième session</w:t>
      </w:r>
      <w:r w:rsidR="00FB05D6" w:rsidRPr="00AE68AA">
        <w:rPr>
          <w:lang w:val="fr-CH"/>
        </w:rPr>
        <w:t xml:space="preserve">, organisée par la Turquie par voie électronique du 3 au </w:t>
      </w:r>
      <w:r w:rsidR="00DE0500" w:rsidRPr="00AE68AA">
        <w:rPr>
          <w:lang w:val="fr-CH"/>
        </w:rPr>
        <w:t>7 mai 20</w:t>
      </w:r>
      <w:r w:rsidR="00FB05D6" w:rsidRPr="00AE68AA">
        <w:rPr>
          <w:lang w:val="fr-CH"/>
        </w:rPr>
        <w:t>21.</w:t>
      </w:r>
    </w:p>
  </w:footnote>
  <w:footnote w:id="11">
    <w:p w:rsidR="00761AD3" w:rsidRPr="00AE68AA" w:rsidRDefault="00761AD3" w:rsidP="00761AD3">
      <w:pPr>
        <w:pStyle w:val="FootnoteText"/>
        <w:rPr>
          <w:lang w:val="fr-CH"/>
        </w:rPr>
      </w:pPr>
      <w:r w:rsidRPr="00AE68AA">
        <w:rPr>
          <w:rStyle w:val="FootnoteReference"/>
        </w:rPr>
        <w:footnoteRef/>
      </w:r>
      <w:r w:rsidRPr="00AE68AA">
        <w:rPr>
          <w:lang w:val="fr-CH"/>
        </w:rPr>
        <w:t xml:space="preserve"> </w:t>
      </w:r>
      <w:r w:rsidR="00AE68AA" w:rsidRPr="00AE68AA">
        <w:rPr>
          <w:lang w:val="fr-CH"/>
        </w:rPr>
        <w:tab/>
      </w:r>
      <w:r w:rsidRPr="00AE68AA">
        <w:rPr>
          <w:lang w:val="fr-CH"/>
        </w:rPr>
        <w:t>À sa cinquante</w:t>
      </w:r>
      <w:r w:rsidR="00F901BE">
        <w:rPr>
          <w:lang w:val="fr-CH"/>
        </w:rPr>
        <w:t>-</w:t>
      </w:r>
      <w:r w:rsidRPr="00AE68AA">
        <w:rPr>
          <w:lang w:val="fr-CH"/>
        </w:rPr>
        <w:t>trois</w:t>
      </w:r>
      <w:r w:rsidR="00F901BE">
        <w:rPr>
          <w:lang w:val="fr-CH"/>
        </w:rPr>
        <w:t>ième session</w:t>
      </w:r>
      <w:r w:rsidRPr="00AE68AA">
        <w:rPr>
          <w:lang w:val="fr-CH"/>
        </w:rPr>
        <w:t>, organisée par les Pays</w:t>
      </w:r>
      <w:r w:rsidR="00F901BE">
        <w:rPr>
          <w:lang w:val="fr-CH"/>
        </w:rPr>
        <w:t>-</w:t>
      </w:r>
      <w:r w:rsidRPr="00AE68AA">
        <w:rPr>
          <w:lang w:val="fr-CH"/>
        </w:rPr>
        <w:t>Bas par voie électronique du 7 au 1</w:t>
      </w:r>
      <w:r w:rsidR="00DE0500" w:rsidRPr="00AE68AA">
        <w:rPr>
          <w:lang w:val="fr-CH"/>
        </w:rPr>
        <w:t>1 juin 20</w:t>
      </w:r>
      <w:r w:rsidRPr="00AE68AA">
        <w:rPr>
          <w:lang w:val="fr-CH"/>
        </w:rPr>
        <w:t>21.</w:t>
      </w:r>
    </w:p>
  </w:footnote>
  <w:footnote w:id="12">
    <w:p w:rsidR="00A53FB4" w:rsidRPr="00AE68AA" w:rsidRDefault="00A53FB4" w:rsidP="00B32A6E">
      <w:pPr>
        <w:pStyle w:val="FootnoteText"/>
        <w:rPr>
          <w:lang w:val="fr-CH"/>
        </w:rPr>
      </w:pPr>
      <w:r w:rsidRPr="00AE68AA">
        <w:rPr>
          <w:rStyle w:val="FootnoteReference"/>
        </w:rPr>
        <w:footnoteRef/>
      </w:r>
      <w:r w:rsidRPr="00AE68AA">
        <w:rPr>
          <w:lang w:val="fr-CH"/>
        </w:rPr>
        <w:t xml:space="preserve"> </w:t>
      </w:r>
      <w:r w:rsidR="00AE68AA" w:rsidRPr="00AE68AA">
        <w:rPr>
          <w:lang w:val="fr-CH"/>
        </w:rPr>
        <w:tab/>
      </w:r>
      <w:r w:rsidR="00B32A6E" w:rsidRPr="00AE68AA">
        <w:rPr>
          <w:lang w:val="fr-CH"/>
        </w:rPr>
        <w:t>À sa cinquante</w:t>
      </w:r>
      <w:r w:rsidR="00F901BE">
        <w:rPr>
          <w:lang w:val="fr-CH"/>
        </w:rPr>
        <w:t>-</w:t>
      </w:r>
      <w:r w:rsidR="00B32A6E" w:rsidRPr="00AE68AA">
        <w:rPr>
          <w:lang w:val="fr-CH"/>
        </w:rPr>
        <w:t>trois</w:t>
      </w:r>
      <w:r w:rsidR="00F901BE">
        <w:rPr>
          <w:lang w:val="fr-CH"/>
        </w:rPr>
        <w:t>ième session</w:t>
      </w:r>
      <w:r w:rsidR="00B32A6E" w:rsidRPr="00AE68AA">
        <w:rPr>
          <w:lang w:val="fr-CH"/>
        </w:rPr>
        <w:t>, organisée par les Pays</w:t>
      </w:r>
      <w:r w:rsidR="00F901BE">
        <w:rPr>
          <w:lang w:val="fr-CH"/>
        </w:rPr>
        <w:t>-</w:t>
      </w:r>
      <w:r w:rsidR="00B32A6E" w:rsidRPr="00AE68AA">
        <w:rPr>
          <w:lang w:val="fr-CH"/>
        </w:rPr>
        <w:t>Bas par voie électronique du 7 au 1</w:t>
      </w:r>
      <w:r w:rsidR="00DE0500" w:rsidRPr="00AE68AA">
        <w:rPr>
          <w:lang w:val="fr-CH"/>
        </w:rPr>
        <w:t>1 juin 20</w:t>
      </w:r>
      <w:r w:rsidR="00B32A6E" w:rsidRPr="00AE68AA">
        <w:rPr>
          <w:lang w:val="fr-CH"/>
        </w:rPr>
        <w:t>21.</w:t>
      </w:r>
    </w:p>
  </w:footnote>
  <w:footnote w:id="13">
    <w:p w:rsidR="009050F2" w:rsidRPr="00AE68AA" w:rsidRDefault="009050F2" w:rsidP="009050F2">
      <w:pPr>
        <w:pStyle w:val="FootnoteText"/>
        <w:rPr>
          <w:lang w:val="fr-CH"/>
        </w:rPr>
      </w:pPr>
      <w:r w:rsidRPr="00AE68AA">
        <w:rPr>
          <w:rStyle w:val="FootnoteReference"/>
        </w:rPr>
        <w:footnoteRef/>
      </w:r>
      <w:r w:rsidRPr="00AE68AA">
        <w:rPr>
          <w:lang w:val="fr-CH"/>
        </w:rPr>
        <w:t xml:space="preserve"> </w:t>
      </w:r>
      <w:r w:rsidR="00AE68AA" w:rsidRPr="00AE68AA">
        <w:rPr>
          <w:lang w:val="fr-CH"/>
        </w:rPr>
        <w:tab/>
      </w:r>
      <w:r w:rsidRPr="00AE68AA">
        <w:rPr>
          <w:lang w:val="fr-CH"/>
        </w:rPr>
        <w:t>À sa cinquant</w:t>
      </w:r>
      <w:r w:rsidR="00F901BE">
        <w:rPr>
          <w:lang w:val="fr-CH"/>
        </w:rPr>
        <w:t>ième session</w:t>
      </w:r>
      <w:r w:rsidRPr="00AE68AA">
        <w:rPr>
          <w:lang w:val="fr-CH"/>
        </w:rPr>
        <w:t>, organisée par la République</w:t>
      </w:r>
      <w:r w:rsidR="00F901BE">
        <w:rPr>
          <w:lang w:val="fr-CH"/>
        </w:rPr>
        <w:t>-</w:t>
      </w:r>
      <w:r w:rsidRPr="00AE68AA">
        <w:rPr>
          <w:lang w:val="fr-CH"/>
        </w:rPr>
        <w:t>Unie de Tanzanie par voie électronique, du 21 au 2</w:t>
      </w:r>
      <w:r w:rsidR="00DE0500" w:rsidRPr="00AE68AA">
        <w:rPr>
          <w:lang w:val="fr-CH"/>
        </w:rPr>
        <w:t>5 juin 20</w:t>
      </w:r>
      <w:r w:rsidRPr="00AE68AA">
        <w:rPr>
          <w:lang w:val="fr-CH"/>
        </w:rPr>
        <w:t>21.</w:t>
      </w:r>
    </w:p>
  </w:footnote>
  <w:footnote w:id="14">
    <w:p w:rsidR="0071420A" w:rsidRPr="0071420A" w:rsidRDefault="0071420A" w:rsidP="0071420A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71420A">
        <w:rPr>
          <w:lang w:val="fr-CH"/>
        </w:rPr>
        <w:t xml:space="preserve"> </w:t>
      </w:r>
      <w:r w:rsidRPr="0071420A">
        <w:rPr>
          <w:lang w:val="fr-CH"/>
        </w:rPr>
        <w:tab/>
        <w:t>À sa cinquante</w:t>
      </w:r>
      <w:r w:rsidR="00F901BE">
        <w:rPr>
          <w:lang w:val="fr-CH"/>
        </w:rPr>
        <w:t>-</w:t>
      </w:r>
      <w:r w:rsidRPr="0071420A">
        <w:rPr>
          <w:lang w:val="fr-CH"/>
        </w:rPr>
        <w:t>deux</w:t>
      </w:r>
      <w:r w:rsidR="00F901BE">
        <w:rPr>
          <w:lang w:val="fr-CH"/>
        </w:rPr>
        <w:t>ième session</w:t>
      </w:r>
      <w:r w:rsidRPr="0071420A">
        <w:rPr>
          <w:lang w:val="fr-CH"/>
        </w:rPr>
        <w:t xml:space="preserve">, </w:t>
      </w:r>
      <w:r>
        <w:rPr>
          <w:lang w:val="fr-CH"/>
        </w:rPr>
        <w:t>organ</w:t>
      </w:r>
      <w:r w:rsidRPr="0071420A">
        <w:rPr>
          <w:lang w:val="fr-CH"/>
        </w:rPr>
        <w:t xml:space="preserve">isée par la Chine par voie électronique </w:t>
      </w:r>
      <w:r>
        <w:rPr>
          <w:lang w:val="fr-CH"/>
        </w:rPr>
        <w:t>du 12 au 16 juillet </w:t>
      </w:r>
      <w:r w:rsidRPr="0071420A">
        <w:rPr>
          <w:lang w:val="fr-CH"/>
        </w:rPr>
        <w:t>2021</w:t>
      </w:r>
      <w:r w:rsidR="00FC0917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17" w:rsidRPr="00C5280D" w:rsidRDefault="00FC0917" w:rsidP="00FC091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TC/57/3</w:t>
    </w:r>
  </w:p>
  <w:p w:rsidR="00FC0917" w:rsidRPr="00C5280D" w:rsidRDefault="00FC0917" w:rsidP="00FC0917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D3DF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FC0917" w:rsidRPr="00C5280D" w:rsidRDefault="00FC0917" w:rsidP="00FC09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02799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</w:t>
    </w:r>
    <w:r w:rsidR="00A2300A">
      <w:rPr>
        <w:rStyle w:val="PageNumber"/>
        <w:lang w:val="en-US"/>
      </w:rPr>
      <w:t>7</w:t>
    </w:r>
    <w:r w:rsidR="00667404">
      <w:rPr>
        <w:rStyle w:val="PageNumber"/>
        <w:lang w:val="en-US"/>
      </w:rPr>
      <w:t>/</w:t>
    </w:r>
    <w:r w:rsidR="00E009BE">
      <w:rPr>
        <w:rStyle w:val="PageNumber"/>
        <w:lang w:val="en-US"/>
      </w:rPr>
      <w:t>3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4E021A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D3DF1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65" w:rsidRDefault="00DC1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2D421F"/>
    <w:rsid w:val="0000071F"/>
    <w:rsid w:val="00010CF3"/>
    <w:rsid w:val="00011E27"/>
    <w:rsid w:val="000138AF"/>
    <w:rsid w:val="000148BC"/>
    <w:rsid w:val="00024AB8"/>
    <w:rsid w:val="00027994"/>
    <w:rsid w:val="00030854"/>
    <w:rsid w:val="00036028"/>
    <w:rsid w:val="00044642"/>
    <w:rsid w:val="000446B9"/>
    <w:rsid w:val="00047E21"/>
    <w:rsid w:val="00050E16"/>
    <w:rsid w:val="00085505"/>
    <w:rsid w:val="000C0499"/>
    <w:rsid w:val="000C4E25"/>
    <w:rsid w:val="000C7021"/>
    <w:rsid w:val="000D6BBC"/>
    <w:rsid w:val="000D7780"/>
    <w:rsid w:val="000E245E"/>
    <w:rsid w:val="000E3068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F2F"/>
    <w:rsid w:val="001D79E0"/>
    <w:rsid w:val="001F3D6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A713C"/>
    <w:rsid w:val="002B4298"/>
    <w:rsid w:val="002C256A"/>
    <w:rsid w:val="002D421F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772C8"/>
    <w:rsid w:val="00393E01"/>
    <w:rsid w:val="003C3B4C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D3DF1"/>
    <w:rsid w:val="004E021A"/>
    <w:rsid w:val="004F1E9E"/>
    <w:rsid w:val="004F305A"/>
    <w:rsid w:val="004F70D4"/>
    <w:rsid w:val="00512164"/>
    <w:rsid w:val="00520297"/>
    <w:rsid w:val="005338F9"/>
    <w:rsid w:val="005372AD"/>
    <w:rsid w:val="0054281C"/>
    <w:rsid w:val="00544581"/>
    <w:rsid w:val="00545E42"/>
    <w:rsid w:val="0055268D"/>
    <w:rsid w:val="00576BE4"/>
    <w:rsid w:val="005929CF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77F61"/>
    <w:rsid w:val="00687EB4"/>
    <w:rsid w:val="00695C56"/>
    <w:rsid w:val="006A5CDE"/>
    <w:rsid w:val="006A644A"/>
    <w:rsid w:val="006B17D2"/>
    <w:rsid w:val="006B5204"/>
    <w:rsid w:val="006C224E"/>
    <w:rsid w:val="006D780A"/>
    <w:rsid w:val="006E5585"/>
    <w:rsid w:val="0071124F"/>
    <w:rsid w:val="0071271E"/>
    <w:rsid w:val="0071420A"/>
    <w:rsid w:val="00714708"/>
    <w:rsid w:val="00732DEC"/>
    <w:rsid w:val="00735BD5"/>
    <w:rsid w:val="00751613"/>
    <w:rsid w:val="007556F6"/>
    <w:rsid w:val="00760EEF"/>
    <w:rsid w:val="00761AD3"/>
    <w:rsid w:val="00777EE5"/>
    <w:rsid w:val="00784836"/>
    <w:rsid w:val="0079023E"/>
    <w:rsid w:val="007A2854"/>
    <w:rsid w:val="007C1D92"/>
    <w:rsid w:val="007C4CB9"/>
    <w:rsid w:val="007D0A42"/>
    <w:rsid w:val="007D0B9D"/>
    <w:rsid w:val="007D19B0"/>
    <w:rsid w:val="007F498F"/>
    <w:rsid w:val="0080679D"/>
    <w:rsid w:val="008108B0"/>
    <w:rsid w:val="00811B20"/>
    <w:rsid w:val="008211B5"/>
    <w:rsid w:val="00821D99"/>
    <w:rsid w:val="0082296E"/>
    <w:rsid w:val="00824099"/>
    <w:rsid w:val="00836A79"/>
    <w:rsid w:val="00846D7C"/>
    <w:rsid w:val="00864C55"/>
    <w:rsid w:val="00867AC1"/>
    <w:rsid w:val="008865C1"/>
    <w:rsid w:val="00890DF8"/>
    <w:rsid w:val="00892780"/>
    <w:rsid w:val="00897A4D"/>
    <w:rsid w:val="008A743F"/>
    <w:rsid w:val="008C0970"/>
    <w:rsid w:val="008D0BC5"/>
    <w:rsid w:val="008D2CF7"/>
    <w:rsid w:val="00900C26"/>
    <w:rsid w:val="009018E9"/>
    <w:rsid w:val="0090197F"/>
    <w:rsid w:val="009050F2"/>
    <w:rsid w:val="00906DDC"/>
    <w:rsid w:val="00934E09"/>
    <w:rsid w:val="00936253"/>
    <w:rsid w:val="00940D46"/>
    <w:rsid w:val="009457FE"/>
    <w:rsid w:val="00952DD4"/>
    <w:rsid w:val="00965AE7"/>
    <w:rsid w:val="00970FED"/>
    <w:rsid w:val="00992D82"/>
    <w:rsid w:val="00997029"/>
    <w:rsid w:val="009A7339"/>
    <w:rsid w:val="009B440E"/>
    <w:rsid w:val="009C40FB"/>
    <w:rsid w:val="009D690D"/>
    <w:rsid w:val="009E65B6"/>
    <w:rsid w:val="009F666F"/>
    <w:rsid w:val="00A2300A"/>
    <w:rsid w:val="00A24C10"/>
    <w:rsid w:val="00A42AC3"/>
    <w:rsid w:val="00A430CF"/>
    <w:rsid w:val="00A53FB4"/>
    <w:rsid w:val="00A54309"/>
    <w:rsid w:val="00A706D3"/>
    <w:rsid w:val="00A9779C"/>
    <w:rsid w:val="00AB2B93"/>
    <w:rsid w:val="00AB530F"/>
    <w:rsid w:val="00AB7E5B"/>
    <w:rsid w:val="00AC2883"/>
    <w:rsid w:val="00AE0EF1"/>
    <w:rsid w:val="00AE2937"/>
    <w:rsid w:val="00AE68AA"/>
    <w:rsid w:val="00B07301"/>
    <w:rsid w:val="00B11F3E"/>
    <w:rsid w:val="00B224DE"/>
    <w:rsid w:val="00B324D4"/>
    <w:rsid w:val="00B32A6E"/>
    <w:rsid w:val="00B46575"/>
    <w:rsid w:val="00B61777"/>
    <w:rsid w:val="00B84BBD"/>
    <w:rsid w:val="00BA43FB"/>
    <w:rsid w:val="00BC004F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20AA"/>
    <w:rsid w:val="00CA304C"/>
    <w:rsid w:val="00CA774A"/>
    <w:rsid w:val="00CC11B0"/>
    <w:rsid w:val="00CC2841"/>
    <w:rsid w:val="00CC32DE"/>
    <w:rsid w:val="00CC40C2"/>
    <w:rsid w:val="00CF1330"/>
    <w:rsid w:val="00CF7E36"/>
    <w:rsid w:val="00D03553"/>
    <w:rsid w:val="00D3708D"/>
    <w:rsid w:val="00D40426"/>
    <w:rsid w:val="00D57C96"/>
    <w:rsid w:val="00D57D18"/>
    <w:rsid w:val="00D91203"/>
    <w:rsid w:val="00D95174"/>
    <w:rsid w:val="00DA4973"/>
    <w:rsid w:val="00DA6F36"/>
    <w:rsid w:val="00DB0B8E"/>
    <w:rsid w:val="00DB596E"/>
    <w:rsid w:val="00DB7773"/>
    <w:rsid w:val="00DC00EA"/>
    <w:rsid w:val="00DC1665"/>
    <w:rsid w:val="00DC3802"/>
    <w:rsid w:val="00DE0500"/>
    <w:rsid w:val="00E009BE"/>
    <w:rsid w:val="00E07D87"/>
    <w:rsid w:val="00E32A74"/>
    <w:rsid w:val="00E32F7E"/>
    <w:rsid w:val="00E5267B"/>
    <w:rsid w:val="00E63C0E"/>
    <w:rsid w:val="00E65301"/>
    <w:rsid w:val="00E72D49"/>
    <w:rsid w:val="00E7593C"/>
    <w:rsid w:val="00E7678A"/>
    <w:rsid w:val="00E935F1"/>
    <w:rsid w:val="00E94A81"/>
    <w:rsid w:val="00EA1FFB"/>
    <w:rsid w:val="00EA4DD8"/>
    <w:rsid w:val="00EB048E"/>
    <w:rsid w:val="00EB4E9C"/>
    <w:rsid w:val="00EC07E0"/>
    <w:rsid w:val="00EE34DF"/>
    <w:rsid w:val="00EF2F89"/>
    <w:rsid w:val="00F03E98"/>
    <w:rsid w:val="00F06A6F"/>
    <w:rsid w:val="00F1237A"/>
    <w:rsid w:val="00F124A2"/>
    <w:rsid w:val="00F215F4"/>
    <w:rsid w:val="00F22CBD"/>
    <w:rsid w:val="00F272F1"/>
    <w:rsid w:val="00F45372"/>
    <w:rsid w:val="00F47A4F"/>
    <w:rsid w:val="00F560F7"/>
    <w:rsid w:val="00F6334D"/>
    <w:rsid w:val="00F901BE"/>
    <w:rsid w:val="00FA49AB"/>
    <w:rsid w:val="00FB05D6"/>
    <w:rsid w:val="00FC091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FFB2CCF"/>
  <w15:docId w15:val="{1A7A45FB-6237-4000-A9CF-D736C2B6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00071F"/>
    <w:pPr>
      <w:keepNext/>
      <w:jc w:val="both"/>
      <w:outlineLvl w:val="1"/>
    </w:pPr>
    <w:rPr>
      <w:rFonts w:ascii="Arial" w:hAnsi="Arial"/>
      <w:u w:val="single"/>
      <w:lang w:val="fr-CH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FC0917"/>
    <w:pPr>
      <w:tabs>
        <w:tab w:val="right" w:leader="dot" w:pos="9639"/>
      </w:tabs>
      <w:ind w:left="284" w:right="851"/>
      <w:contextualSpacing/>
    </w:pPr>
    <w:rPr>
      <w:rFonts w:ascii="Arial" w:hAnsi="Arial"/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FC0917"/>
    <w:pPr>
      <w:tabs>
        <w:tab w:val="right" w:leader="dot" w:pos="9639"/>
      </w:tabs>
      <w:spacing w:before="60" w:after="60"/>
      <w:jc w:val="center"/>
    </w:pPr>
    <w:rPr>
      <w:rFonts w:ascii="Arial" w:hAnsi="Arial"/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2D421F"/>
    <w:rPr>
      <w:rFonts w:ascii="Arial" w:hAnsi="Arial"/>
      <w:sz w:val="16"/>
      <w:lang w:val="fr-FR"/>
    </w:rPr>
  </w:style>
  <w:style w:type="character" w:customStyle="1" w:styleId="Heading1Char">
    <w:name w:val="Heading 1 Char"/>
    <w:basedOn w:val="DefaultParagraphFont"/>
    <w:link w:val="Heading1"/>
    <w:rsid w:val="002D421F"/>
    <w:rPr>
      <w:rFonts w:ascii="Arial" w:hAnsi="Arial"/>
      <w:caps/>
    </w:rPr>
  </w:style>
  <w:style w:type="character" w:customStyle="1" w:styleId="Heading2Char">
    <w:name w:val="Heading 2 Char"/>
    <w:aliases w:val="VARIETY Char,variety Char"/>
    <w:link w:val="Heading2"/>
    <w:locked/>
    <w:rsid w:val="0000071F"/>
    <w:rPr>
      <w:rFonts w:ascii="Arial" w:hAnsi="Arial"/>
      <w:u w:val="single"/>
      <w:lang w:val="fr-CH"/>
    </w:rPr>
  </w:style>
  <w:style w:type="character" w:customStyle="1" w:styleId="Heading4Char">
    <w:name w:val="Heading 4 Char"/>
    <w:basedOn w:val="DefaultParagraphFont"/>
    <w:link w:val="Heading4"/>
    <w:rsid w:val="002D421F"/>
    <w:rPr>
      <w:rFonts w:ascii="Arial" w:hAnsi="Arial"/>
      <w:u w:val="single"/>
      <w:lang w:val="fr-FR"/>
    </w:rPr>
  </w:style>
  <w:style w:type="table" w:styleId="TableGrid">
    <w:name w:val="Table Grid"/>
    <w:basedOn w:val="TableNormal"/>
    <w:rsid w:val="002D421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2234</Words>
  <Characters>12866</Characters>
  <Application>Microsoft Office Word</Application>
  <DocSecurity>0</DocSecurity>
  <Lines>279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</dc:title>
  <dc:creator>BAILLY Delphine</dc:creator>
  <cp:keywords>FOR OFFICIAL USE ONLY</cp:keywords>
  <cp:lastModifiedBy>MAY Jessica</cp:lastModifiedBy>
  <cp:revision>34</cp:revision>
  <cp:lastPrinted>2016-11-22T15:41:00Z</cp:lastPrinted>
  <dcterms:created xsi:type="dcterms:W3CDTF">2021-09-03T12:46:00Z</dcterms:created>
  <dcterms:modified xsi:type="dcterms:W3CDTF">2021-09-13T15:26:00Z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8d8367b2-a630-465a-9532-c1237f505ad3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