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A706D3" w:rsidP="00AC2883">
            <w:pPr>
              <w:pStyle w:val="Lettrine"/>
            </w:pPr>
            <w:r>
              <w:t>F</w:t>
            </w:r>
          </w:p>
        </w:tc>
      </w:tr>
      <w:tr w:rsidR="00DC3802" w:rsidRPr="00DA4973" w:rsidTr="00645CA8">
        <w:trPr>
          <w:trHeight w:val="219"/>
        </w:trPr>
        <w:tc>
          <w:tcPr>
            <w:tcW w:w="6522" w:type="dxa"/>
          </w:tcPr>
          <w:p w:rsidR="00DC3802" w:rsidRPr="00AC2883" w:rsidRDefault="00DC3802" w:rsidP="00A706D3">
            <w:pPr>
              <w:pStyle w:val="upove"/>
            </w:pPr>
            <w:r w:rsidRPr="00AC2883">
              <w:t xml:space="preserve">Union </w:t>
            </w:r>
            <w:r w:rsidR="00A706D3">
              <w:t>i</w:t>
            </w:r>
            <w:r w:rsidR="00A706D3" w:rsidRPr="00AC2883">
              <w:t>nternational</w:t>
            </w:r>
            <w:r w:rsidR="00A706D3">
              <w:t>e</w:t>
            </w:r>
            <w:r w:rsidR="00A706D3" w:rsidRPr="00AC2883">
              <w:t xml:space="preserve"> </w:t>
            </w:r>
            <w:r w:rsidR="00A706D3">
              <w:t>pour la protection des obtentions végétales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A706D3" w:rsidP="00AC2883">
            <w:pPr>
              <w:pStyle w:val="Sessiontc"/>
              <w:spacing w:line="240" w:lineRule="auto"/>
            </w:pPr>
            <w:r>
              <w:t>Comité technique</w:t>
            </w:r>
          </w:p>
          <w:p w:rsidR="00EB4E9C" w:rsidRPr="00DC3802" w:rsidRDefault="00A706D3" w:rsidP="00027994">
            <w:pPr>
              <w:pStyle w:val="Sessiontcplacedate"/>
              <w:rPr>
                <w:sz w:val="22"/>
              </w:rPr>
            </w:pPr>
            <w:r>
              <w:t>Cinquante</w:t>
            </w:r>
            <w:r w:rsidR="0054194F">
              <w:noBreakHyphen/>
            </w:r>
            <w:r w:rsidR="00027994">
              <w:t>six</w:t>
            </w:r>
            <w:r>
              <w:t>ième s</w:t>
            </w:r>
            <w:r w:rsidR="00EB4E9C" w:rsidRPr="00DA4973">
              <w:t>ession</w:t>
            </w:r>
            <w:r w:rsidR="00EB4E9C" w:rsidRPr="00DA4973">
              <w:br/>
              <w:t>Gen</w:t>
            </w:r>
            <w:r>
              <w:t>è</w:t>
            </w:r>
            <w:r w:rsidR="00EB4E9C" w:rsidRPr="00DA4973">
              <w:t>v</w:t>
            </w:r>
            <w:r>
              <w:t>e</w:t>
            </w:r>
            <w:r w:rsidR="00EB4E9C" w:rsidRPr="00DA4973">
              <w:t xml:space="preserve">, </w:t>
            </w:r>
            <w:r w:rsidR="00897A4D">
              <w:t>2</w:t>
            </w:r>
            <w:r w:rsidR="00027994">
              <w:t>6</w:t>
            </w:r>
            <w:r w:rsidR="00897A4D">
              <w:t xml:space="preserve"> et </w:t>
            </w:r>
            <w:r w:rsidR="001C1F2F">
              <w:t>2</w:t>
            </w:r>
            <w:r w:rsidR="00027994">
              <w:t>7</w:t>
            </w:r>
            <w:r w:rsidR="00897A4D">
              <w:t xml:space="preserve"> octobre</w:t>
            </w:r>
            <w:r>
              <w:t xml:space="preserve"> </w:t>
            </w:r>
            <w:r w:rsidR="00027994">
              <w:t>2020</w:t>
            </w:r>
          </w:p>
        </w:tc>
        <w:tc>
          <w:tcPr>
            <w:tcW w:w="3127" w:type="dxa"/>
          </w:tcPr>
          <w:p w:rsidR="00EB4E9C" w:rsidRPr="00027994" w:rsidRDefault="00027994" w:rsidP="003C7FBE">
            <w:pPr>
              <w:pStyle w:val="Doccode"/>
              <w:rPr>
                <w:lang w:val="fr-FR"/>
              </w:rPr>
            </w:pPr>
            <w:r>
              <w:rPr>
                <w:lang w:val="fr-FR"/>
              </w:rPr>
              <w:t>TC/56</w:t>
            </w:r>
            <w:r w:rsidR="00EB4E9C" w:rsidRPr="00027994">
              <w:rPr>
                <w:lang w:val="fr-FR"/>
              </w:rPr>
              <w:t>/</w:t>
            </w:r>
            <w:r w:rsidR="008C783B">
              <w:rPr>
                <w:lang w:val="fr-FR"/>
              </w:rPr>
              <w:t>INF/7</w:t>
            </w:r>
          </w:p>
          <w:p w:rsidR="00EB4E9C" w:rsidRPr="003C7FBE" w:rsidRDefault="00EB4E9C" w:rsidP="003C7FBE">
            <w:pPr>
              <w:pStyle w:val="Docoriginal"/>
            </w:pPr>
            <w:r w:rsidRPr="00AC2883">
              <w:t>Original</w:t>
            </w:r>
            <w:r w:rsidR="008C783B">
              <w:t xml:space="preserve"> </w:t>
            </w:r>
            <w:r w:rsidRPr="00AC2883">
              <w:t>:</w:t>
            </w:r>
            <w:r w:rsidRPr="000E636A">
              <w:rPr>
                <w:b w:val="0"/>
                <w:spacing w:val="0"/>
              </w:rPr>
              <w:t xml:space="preserve"> </w:t>
            </w:r>
            <w:r w:rsidR="00A706D3">
              <w:rPr>
                <w:b w:val="0"/>
                <w:spacing w:val="0"/>
              </w:rPr>
              <w:t>anglais</w:t>
            </w:r>
          </w:p>
          <w:p w:rsidR="00EB4E9C" w:rsidRPr="007C1D92" w:rsidRDefault="00EB4E9C" w:rsidP="006548B1">
            <w:pPr>
              <w:pStyle w:val="Docoriginal"/>
            </w:pPr>
            <w:r w:rsidRPr="00AC2883">
              <w:t>Date</w:t>
            </w:r>
            <w:r w:rsidR="008C783B">
              <w:t xml:space="preserve"> </w:t>
            </w:r>
            <w:r w:rsidRPr="00AC2883">
              <w:t>:</w:t>
            </w:r>
            <w:r w:rsidR="00897A4D">
              <w:rPr>
                <w:b w:val="0"/>
                <w:spacing w:val="0"/>
              </w:rPr>
              <w:t xml:space="preserve"> </w:t>
            </w:r>
            <w:r w:rsidR="006548B1" w:rsidRPr="006548B1">
              <w:rPr>
                <w:b w:val="0"/>
                <w:spacing w:val="0"/>
              </w:rPr>
              <w:t>12</w:t>
            </w:r>
            <w:r w:rsidR="008C783B" w:rsidRPr="006548B1">
              <w:rPr>
                <w:b w:val="0"/>
                <w:spacing w:val="0"/>
              </w:rPr>
              <w:t xml:space="preserve"> octobre</w:t>
            </w:r>
            <w:r w:rsidR="00897A4D" w:rsidRPr="006548B1">
              <w:rPr>
                <w:b w:val="0"/>
                <w:spacing w:val="0"/>
              </w:rPr>
              <w:t xml:space="preserve"> </w:t>
            </w:r>
            <w:r w:rsidR="00027994" w:rsidRPr="006548B1">
              <w:rPr>
                <w:b w:val="0"/>
                <w:spacing w:val="0"/>
              </w:rPr>
              <w:t>2020</w:t>
            </w:r>
          </w:p>
        </w:tc>
      </w:tr>
    </w:tbl>
    <w:p w:rsidR="005111F8" w:rsidRPr="00220502" w:rsidRDefault="006548B1" w:rsidP="005111F8">
      <w:pPr>
        <w:pStyle w:val="Titleofdoc0"/>
      </w:pPr>
      <w:bookmarkStart w:id="0" w:name="TitleOfDoc"/>
      <w:bookmarkEnd w:id="0"/>
      <w:r>
        <w:t>D</w:t>
      </w:r>
      <w:r w:rsidR="0047755D">
        <w:t>É</w:t>
      </w:r>
      <w:bookmarkStart w:id="1" w:name="_GoBack"/>
      <w:bookmarkEnd w:id="1"/>
      <w:r>
        <w:t>nominations variÉ</w:t>
      </w:r>
      <w:r w:rsidR="005111F8" w:rsidRPr="00220502">
        <w:t>tales</w:t>
      </w:r>
    </w:p>
    <w:p w:rsidR="006A644A" w:rsidRPr="006A644A" w:rsidRDefault="00AE0EF1" w:rsidP="006A644A">
      <w:pPr>
        <w:pStyle w:val="preparedby1"/>
        <w:jc w:val="left"/>
      </w:pPr>
      <w:bookmarkStart w:id="2" w:name="Prepared"/>
      <w:bookmarkEnd w:id="2"/>
      <w:r w:rsidRPr="000C4E25">
        <w:t xml:space="preserve">Document </w:t>
      </w:r>
      <w:r w:rsidR="00A706D3">
        <w:t>établi par le Bureau de l’Union</w:t>
      </w:r>
    </w:p>
    <w:p w:rsidR="00050E16" w:rsidRPr="006A644A" w:rsidRDefault="00A706D3" w:rsidP="006A644A">
      <w:pPr>
        <w:pStyle w:val="Disclaimer"/>
      </w:pPr>
      <w:r w:rsidRPr="00A706D3">
        <w:t>Avertissement : le présent document ne représente pas les principes ou les orientations de l’UPOV</w:t>
      </w:r>
    </w:p>
    <w:p w:rsidR="005111F8" w:rsidRDefault="005111F8" w:rsidP="005111F8">
      <w:pPr>
        <w:pStyle w:val="Heading1"/>
        <w:rPr>
          <w:rFonts w:eastAsia="MS Mincho"/>
          <w:lang w:val="fr-FR"/>
        </w:rPr>
      </w:pPr>
      <w:bookmarkStart w:id="3" w:name="_Toc54258049"/>
      <w:r w:rsidRPr="00F56EC5">
        <w:rPr>
          <w:rFonts w:eastAsia="MS Mincho"/>
          <w:lang w:val="fr-FR"/>
        </w:rPr>
        <w:t>R</w:t>
      </w:r>
      <w:r w:rsidR="006548B1">
        <w:t>É</w:t>
      </w:r>
      <w:r w:rsidRPr="00F56EC5">
        <w:rPr>
          <w:rFonts w:eastAsia="MS Mincho"/>
          <w:lang w:val="fr-FR"/>
        </w:rPr>
        <w:t>sum</w:t>
      </w:r>
      <w:r w:rsidR="006548B1">
        <w:t>É</w:t>
      </w:r>
      <w:bookmarkEnd w:id="3"/>
    </w:p>
    <w:p w:rsidR="005111F8" w:rsidRDefault="005111F8" w:rsidP="005111F8">
      <w:pPr>
        <w:rPr>
          <w:rFonts w:eastAsia="MS Mincho"/>
          <w:sz w:val="18"/>
          <w:lang w:eastAsia="ja-JP"/>
        </w:rPr>
      </w:pPr>
    </w:p>
    <w:p w:rsidR="005111F8" w:rsidRDefault="005111F8" w:rsidP="005111F8">
      <w:pPr>
        <w:rPr>
          <w:rFonts w:eastAsiaTheme="minorEastAsia" w:cs="Arial"/>
          <w:snapToGrid w:val="0"/>
        </w:rPr>
      </w:pPr>
      <w:r w:rsidRPr="00F56EC5">
        <w:rPr>
          <w:rFonts w:eastAsiaTheme="minorEastAsia" w:cs="Arial"/>
          <w:snapToGrid w:val="0"/>
        </w:rPr>
        <w:fldChar w:fldCharType="begin"/>
      </w:r>
      <w:r w:rsidRPr="00F56EC5">
        <w:rPr>
          <w:rFonts w:eastAsiaTheme="minorEastAsia" w:cs="Arial"/>
          <w:snapToGrid w:val="0"/>
        </w:rPr>
        <w:instrText xml:space="preserve"> AUTONUM  </w:instrText>
      </w:r>
      <w:r w:rsidRPr="00F56EC5">
        <w:rPr>
          <w:rFonts w:eastAsiaTheme="minorEastAsia" w:cs="Arial"/>
          <w:snapToGrid w:val="0"/>
        </w:rPr>
        <w:fldChar w:fldCharType="end"/>
      </w:r>
      <w:r w:rsidRPr="00F56EC5">
        <w:rPr>
          <w:rFonts w:eastAsiaTheme="minorEastAsia" w:cs="Arial"/>
          <w:snapToGrid w:val="0"/>
        </w:rPr>
        <w:tab/>
        <w:t xml:space="preserve">Le présent document a pour objet de rendre compte des travaux concernant la révision éventuelle du </w:t>
      </w:r>
      <w:proofErr w:type="gramStart"/>
      <w:r w:rsidRPr="00F56EC5">
        <w:rPr>
          <w:rFonts w:eastAsiaTheme="minorEastAsia" w:cs="Arial"/>
          <w:snapToGrid w:val="0"/>
        </w:rPr>
        <w:t>document</w:t>
      </w:r>
      <w:proofErr w:type="gramEnd"/>
      <w:r w:rsidRPr="00F56EC5">
        <w:rPr>
          <w:rFonts w:eastAsiaTheme="minorEastAsia" w:cs="Arial"/>
          <w:snapToGrid w:val="0"/>
        </w:rPr>
        <w:t xml:space="preserve"> UPOV/INF/12 </w:t>
      </w:r>
      <w:r>
        <w:rPr>
          <w:rFonts w:eastAsiaTheme="minorEastAsia" w:cs="Arial"/>
          <w:snapToGrid w:val="0"/>
        </w:rPr>
        <w:t>“</w:t>
      </w:r>
      <w:r w:rsidRPr="00F56EC5">
        <w:rPr>
          <w:rFonts w:eastAsiaTheme="minorEastAsia" w:cs="Arial"/>
          <w:snapToGrid w:val="0"/>
        </w:rPr>
        <w:t xml:space="preserve">Notes explicatives concernant les dénominations variétales selon la </w:t>
      </w:r>
      <w:r>
        <w:rPr>
          <w:rFonts w:eastAsiaTheme="minorEastAsia" w:cs="Arial"/>
          <w:snapToGrid w:val="0"/>
        </w:rPr>
        <w:t>Convention UPOV”</w:t>
      </w:r>
      <w:r w:rsidRPr="00F56EC5">
        <w:rPr>
          <w:rFonts w:eastAsiaTheme="minorEastAsia" w:cs="Arial"/>
          <w:snapToGrid w:val="0"/>
        </w:rPr>
        <w:t>, la possibilité d</w:t>
      </w:r>
      <w:r>
        <w:rPr>
          <w:rFonts w:eastAsiaTheme="minorEastAsia" w:cs="Arial"/>
          <w:snapToGrid w:val="0"/>
        </w:rPr>
        <w:t>’</w:t>
      </w:r>
      <w:r w:rsidRPr="00F56EC5">
        <w:rPr>
          <w:rFonts w:eastAsiaTheme="minorEastAsia" w:cs="Arial"/>
          <w:snapToGrid w:val="0"/>
        </w:rPr>
        <w:t>élaborer un moteur de recherche de similitudes de l</w:t>
      </w:r>
      <w:r>
        <w:rPr>
          <w:rFonts w:eastAsiaTheme="minorEastAsia" w:cs="Arial"/>
          <w:snapToGrid w:val="0"/>
        </w:rPr>
        <w:t>’</w:t>
      </w:r>
      <w:r w:rsidRPr="00F56EC5">
        <w:rPr>
          <w:rFonts w:eastAsiaTheme="minorEastAsia" w:cs="Arial"/>
          <w:snapToGrid w:val="0"/>
        </w:rPr>
        <w:t>UPOV aux fins de la dénomination variétale, l</w:t>
      </w:r>
      <w:r>
        <w:rPr>
          <w:rFonts w:eastAsiaTheme="minorEastAsia" w:cs="Arial"/>
          <w:snapToGrid w:val="0"/>
        </w:rPr>
        <w:t>’</w:t>
      </w:r>
      <w:r w:rsidRPr="00F56EC5">
        <w:rPr>
          <w:rFonts w:eastAsiaTheme="minorEastAsia" w:cs="Arial"/>
          <w:snapToGrid w:val="0"/>
        </w:rPr>
        <w:t>élargissement du contenu de la base de données PLUTO et les faits nouveaux concernant le Groupe de travail sur les dénominations variétales (WG</w:t>
      </w:r>
      <w:r w:rsidR="0054194F">
        <w:rPr>
          <w:rFonts w:eastAsiaTheme="minorEastAsia" w:cs="Arial"/>
          <w:snapToGrid w:val="0"/>
        </w:rPr>
        <w:noBreakHyphen/>
      </w:r>
      <w:r w:rsidRPr="00F56EC5">
        <w:rPr>
          <w:rFonts w:eastAsiaTheme="minorEastAsia" w:cs="Arial"/>
          <w:snapToGrid w:val="0"/>
        </w:rPr>
        <w:t>DEN).</w:t>
      </w:r>
    </w:p>
    <w:p w:rsidR="005111F8" w:rsidRDefault="005111F8" w:rsidP="005111F8">
      <w:pPr>
        <w:rPr>
          <w:rFonts w:eastAsiaTheme="minorEastAsia" w:cs="Arial"/>
          <w:snapToGrid w:val="0"/>
          <w:sz w:val="18"/>
          <w:lang w:eastAsia="ja-JP"/>
        </w:rPr>
      </w:pPr>
    </w:p>
    <w:p w:rsidR="005111F8" w:rsidRDefault="005111F8" w:rsidP="005111F8">
      <w:pPr>
        <w:keepNext/>
        <w:rPr>
          <w:rFonts w:eastAsiaTheme="minorEastAsia" w:cs="Arial"/>
          <w:snapToGrid w:val="0"/>
        </w:rPr>
      </w:pPr>
      <w:r w:rsidRPr="00F56EC5">
        <w:rPr>
          <w:rFonts w:eastAsiaTheme="minorEastAsia" w:cs="Arial"/>
          <w:snapToGrid w:val="0"/>
        </w:rPr>
        <w:fldChar w:fldCharType="begin"/>
      </w:r>
      <w:r w:rsidRPr="00F56EC5">
        <w:rPr>
          <w:rFonts w:eastAsiaTheme="minorEastAsia" w:cs="Arial"/>
          <w:snapToGrid w:val="0"/>
        </w:rPr>
        <w:instrText xml:space="preserve"> AUTONUM  </w:instrText>
      </w:r>
      <w:r w:rsidRPr="00F56EC5">
        <w:rPr>
          <w:rFonts w:eastAsiaTheme="minorEastAsia" w:cs="Arial"/>
          <w:snapToGrid w:val="0"/>
        </w:rPr>
        <w:fldChar w:fldCharType="end"/>
      </w:r>
      <w:r w:rsidRPr="00F56EC5">
        <w:rPr>
          <w:rFonts w:eastAsiaTheme="minorEastAsia" w:cs="Arial"/>
          <w:snapToGrid w:val="0"/>
        </w:rPr>
        <w:tab/>
        <w:t>Les abréviations suivantes sont utilisées dans le présent document</w:t>
      </w:r>
      <w:r>
        <w:rPr>
          <w:rFonts w:eastAsiaTheme="minorEastAsia" w:cs="Arial"/>
          <w:snapToGrid w:val="0"/>
        </w:rPr>
        <w:t> :</w:t>
      </w:r>
    </w:p>
    <w:p w:rsidR="005111F8" w:rsidRDefault="005111F8" w:rsidP="005111F8">
      <w:pPr>
        <w:keepNext/>
        <w:rPr>
          <w:rFonts w:eastAsiaTheme="minorEastAsia" w:cs="Arial"/>
          <w:snapToGrid w:val="0"/>
        </w:rPr>
      </w:pPr>
    </w:p>
    <w:p w:rsidR="005111F8" w:rsidRDefault="005111F8" w:rsidP="005111F8">
      <w:pPr>
        <w:keepNext/>
        <w:ind w:left="567"/>
        <w:rPr>
          <w:rFonts w:eastAsiaTheme="minorEastAsia"/>
          <w:snapToGrid w:val="0"/>
          <w:lang w:eastAsia="ja-JP"/>
        </w:rPr>
      </w:pPr>
      <w:r w:rsidRPr="00F56EC5">
        <w:rPr>
          <w:rFonts w:eastAsiaTheme="minorEastAsia"/>
          <w:snapToGrid w:val="0"/>
          <w:lang w:eastAsia="ja-JP"/>
        </w:rPr>
        <w:t>CAJ</w:t>
      </w:r>
      <w:r>
        <w:rPr>
          <w:rFonts w:eastAsiaTheme="minorEastAsia"/>
          <w:snapToGrid w:val="0"/>
          <w:lang w:eastAsia="ja-JP"/>
        </w:rPr>
        <w:t> :</w:t>
      </w:r>
      <w:r w:rsidRPr="00F56EC5">
        <w:rPr>
          <w:rFonts w:eastAsiaTheme="minorEastAsia"/>
          <w:snapToGrid w:val="0"/>
          <w:lang w:eastAsia="ja-JP"/>
        </w:rPr>
        <w:tab/>
      </w:r>
      <w:r w:rsidRPr="00F56EC5">
        <w:rPr>
          <w:rFonts w:eastAsiaTheme="minorEastAsia"/>
          <w:snapToGrid w:val="0"/>
          <w:lang w:eastAsia="ja-JP"/>
        </w:rPr>
        <w:tab/>
        <w:t>Comité administratif et juridique</w:t>
      </w:r>
    </w:p>
    <w:p w:rsidR="005111F8" w:rsidRDefault="005111F8" w:rsidP="005111F8">
      <w:pPr>
        <w:keepNext/>
        <w:ind w:left="567"/>
        <w:rPr>
          <w:rFonts w:eastAsiaTheme="minorEastAsia"/>
          <w:snapToGrid w:val="0"/>
          <w:lang w:eastAsia="ja-JP"/>
        </w:rPr>
      </w:pPr>
      <w:r w:rsidRPr="00F56EC5">
        <w:rPr>
          <w:rFonts w:eastAsiaTheme="minorEastAsia"/>
          <w:snapToGrid w:val="0"/>
          <w:lang w:eastAsia="ja-JP"/>
        </w:rPr>
        <w:t>TC</w:t>
      </w:r>
      <w:r>
        <w:rPr>
          <w:rFonts w:eastAsiaTheme="minorEastAsia"/>
          <w:snapToGrid w:val="0"/>
          <w:lang w:eastAsia="ja-JP"/>
        </w:rPr>
        <w:t> :</w:t>
      </w:r>
      <w:r w:rsidRPr="00F56EC5">
        <w:rPr>
          <w:rFonts w:eastAsiaTheme="minorEastAsia"/>
          <w:snapToGrid w:val="0"/>
          <w:lang w:eastAsia="ja-JP"/>
        </w:rPr>
        <w:tab/>
      </w:r>
      <w:r w:rsidRPr="00F56EC5">
        <w:rPr>
          <w:rFonts w:eastAsiaTheme="minorEastAsia"/>
          <w:snapToGrid w:val="0"/>
          <w:lang w:eastAsia="ja-JP"/>
        </w:rPr>
        <w:tab/>
        <w:t>Comité technique</w:t>
      </w:r>
    </w:p>
    <w:p w:rsidR="005111F8" w:rsidRDefault="005111F8" w:rsidP="005111F8">
      <w:pPr>
        <w:keepNext/>
        <w:tabs>
          <w:tab w:val="left" w:pos="567"/>
          <w:tab w:val="left" w:pos="1701"/>
        </w:tabs>
        <w:rPr>
          <w:rFonts w:eastAsia="PMingLiU"/>
          <w:szCs w:val="24"/>
        </w:rPr>
      </w:pPr>
      <w:r w:rsidRPr="00F56EC5">
        <w:rPr>
          <w:rFonts w:eastAsia="PMingLiU"/>
          <w:szCs w:val="24"/>
        </w:rPr>
        <w:tab/>
        <w:t>TWP</w:t>
      </w:r>
      <w:r>
        <w:rPr>
          <w:rFonts w:eastAsia="PMingLiU"/>
          <w:szCs w:val="24"/>
        </w:rPr>
        <w:t> :</w:t>
      </w:r>
      <w:r w:rsidRPr="00F56EC5">
        <w:rPr>
          <w:rFonts w:eastAsia="PMingLiU"/>
          <w:szCs w:val="24"/>
        </w:rPr>
        <w:tab/>
        <w:t>Groupe(s) de travail technique(s)</w:t>
      </w:r>
    </w:p>
    <w:p w:rsidR="005111F8" w:rsidRDefault="005111F8" w:rsidP="005111F8">
      <w:pPr>
        <w:keepNext/>
        <w:ind w:left="567"/>
        <w:rPr>
          <w:rFonts w:eastAsiaTheme="minorEastAsia"/>
          <w:snapToGrid w:val="0"/>
          <w:lang w:eastAsia="ja-JP"/>
        </w:rPr>
      </w:pPr>
      <w:r w:rsidRPr="00F56EC5">
        <w:rPr>
          <w:rFonts w:eastAsiaTheme="minorEastAsia"/>
          <w:snapToGrid w:val="0"/>
          <w:lang w:eastAsia="ja-JP"/>
        </w:rPr>
        <w:t>WG</w:t>
      </w:r>
      <w:r w:rsidR="0054194F">
        <w:rPr>
          <w:rFonts w:eastAsiaTheme="minorEastAsia"/>
          <w:snapToGrid w:val="0"/>
          <w:lang w:eastAsia="ja-JP"/>
        </w:rPr>
        <w:noBreakHyphen/>
      </w:r>
      <w:r w:rsidRPr="00F56EC5">
        <w:rPr>
          <w:rFonts w:eastAsiaTheme="minorEastAsia"/>
          <w:snapToGrid w:val="0"/>
          <w:lang w:eastAsia="ja-JP"/>
        </w:rPr>
        <w:t>DEN</w:t>
      </w:r>
      <w:r>
        <w:rPr>
          <w:rFonts w:eastAsiaTheme="minorEastAsia"/>
          <w:snapToGrid w:val="0"/>
          <w:lang w:eastAsia="ja-JP"/>
        </w:rPr>
        <w:t> :</w:t>
      </w:r>
      <w:r w:rsidRPr="00F56EC5">
        <w:rPr>
          <w:rFonts w:eastAsiaTheme="minorEastAsia"/>
          <w:snapToGrid w:val="0"/>
          <w:lang w:eastAsia="ja-JP"/>
        </w:rPr>
        <w:tab/>
        <w:t>Groupe de travail sur les dénominations variétales</w:t>
      </w:r>
    </w:p>
    <w:p w:rsidR="005111F8" w:rsidRDefault="005111F8" w:rsidP="005111F8">
      <w:pPr>
        <w:jc w:val="left"/>
        <w:rPr>
          <w:rFonts w:eastAsiaTheme="minorEastAsia" w:cs="Arial"/>
          <w:snapToGrid w:val="0"/>
        </w:rPr>
      </w:pPr>
    </w:p>
    <w:p w:rsidR="005111F8" w:rsidRDefault="005111F8" w:rsidP="005111F8">
      <w:pPr>
        <w:keepNext/>
      </w:pPr>
      <w:r w:rsidRPr="00F56EC5">
        <w:fldChar w:fldCharType="begin"/>
      </w:r>
      <w:r w:rsidRPr="00F56EC5">
        <w:instrText xml:space="preserve"> AUTONUM  </w:instrText>
      </w:r>
      <w:r w:rsidRPr="00F56EC5">
        <w:fldChar w:fldCharType="end"/>
      </w:r>
      <w:r w:rsidRPr="00F56EC5">
        <w:tab/>
        <w:t>Le présent document est structuré comme suit</w:t>
      </w:r>
      <w:r>
        <w:t> :</w:t>
      </w:r>
    </w:p>
    <w:sdt>
      <w:sdtPr>
        <w:rPr>
          <w:smallCaps/>
        </w:rPr>
        <w:id w:val="-1800911247"/>
        <w:docPartObj>
          <w:docPartGallery w:val="Table of Contents"/>
          <w:docPartUnique/>
        </w:docPartObj>
      </w:sdtPr>
      <w:sdtEndPr>
        <w:rPr>
          <w:b/>
          <w:bCs/>
        </w:rPr>
      </w:sdtEndPr>
      <w:sdtContent>
        <w:p w:rsidR="005111F8" w:rsidRDefault="005111F8" w:rsidP="005111F8">
          <w:pPr>
            <w:keepNext/>
            <w:rPr>
              <w:rFonts w:cs="Arial"/>
              <w:b/>
            </w:rPr>
          </w:pPr>
        </w:p>
        <w:p w:rsidR="00161224" w:rsidRDefault="005111F8">
          <w:pPr>
            <w:pStyle w:val="TOC1"/>
            <w:rPr>
              <w:rFonts w:asciiTheme="minorHAnsi" w:eastAsiaTheme="minorEastAsia" w:hAnsiTheme="minorHAnsi" w:cstheme="minorBidi"/>
              <w:caps w:val="0"/>
              <w:noProof/>
              <w:sz w:val="22"/>
              <w:szCs w:val="22"/>
              <w:lang w:val="en-US"/>
            </w:rPr>
          </w:pPr>
          <w:r w:rsidRPr="00F56EC5">
            <w:rPr>
              <w:rFonts w:cs="Arial"/>
              <w:sz w:val="20"/>
            </w:rPr>
            <w:fldChar w:fldCharType="begin"/>
          </w:r>
          <w:r w:rsidRPr="00F56EC5">
            <w:rPr>
              <w:rFonts w:cs="Arial"/>
            </w:rPr>
            <w:instrText xml:space="preserve"> TOC \o "1-2" \h \z \u </w:instrText>
          </w:r>
          <w:r w:rsidRPr="00F56EC5">
            <w:rPr>
              <w:rFonts w:cs="Arial"/>
              <w:sz w:val="20"/>
            </w:rPr>
            <w:fldChar w:fldCharType="separate"/>
          </w:r>
          <w:hyperlink w:anchor="_Toc54258049" w:history="1">
            <w:r w:rsidR="00161224" w:rsidRPr="00593682">
              <w:rPr>
                <w:rStyle w:val="Hyperlink"/>
                <w:rFonts w:eastAsia="MS Mincho"/>
                <w:noProof/>
              </w:rPr>
              <w:t>R</w:t>
            </w:r>
            <w:r w:rsidR="00161224" w:rsidRPr="00593682">
              <w:rPr>
                <w:rStyle w:val="Hyperlink"/>
                <w:noProof/>
              </w:rPr>
              <w:t>É</w:t>
            </w:r>
            <w:r w:rsidR="00161224" w:rsidRPr="00593682">
              <w:rPr>
                <w:rStyle w:val="Hyperlink"/>
                <w:rFonts w:eastAsia="MS Mincho"/>
                <w:noProof/>
              </w:rPr>
              <w:t>sum</w:t>
            </w:r>
            <w:r w:rsidR="00161224" w:rsidRPr="00593682">
              <w:rPr>
                <w:rStyle w:val="Hyperlink"/>
                <w:noProof/>
              </w:rPr>
              <w:t>É</w:t>
            </w:r>
            <w:r w:rsidR="00161224">
              <w:rPr>
                <w:noProof/>
                <w:webHidden/>
              </w:rPr>
              <w:tab/>
            </w:r>
            <w:r w:rsidR="00161224">
              <w:rPr>
                <w:noProof/>
                <w:webHidden/>
              </w:rPr>
              <w:fldChar w:fldCharType="begin"/>
            </w:r>
            <w:r w:rsidR="00161224">
              <w:rPr>
                <w:noProof/>
                <w:webHidden/>
              </w:rPr>
              <w:instrText xml:space="preserve"> PAGEREF _Toc54258049 \h </w:instrText>
            </w:r>
            <w:r w:rsidR="00161224">
              <w:rPr>
                <w:noProof/>
                <w:webHidden/>
              </w:rPr>
            </w:r>
            <w:r w:rsidR="00161224">
              <w:rPr>
                <w:noProof/>
                <w:webHidden/>
              </w:rPr>
              <w:fldChar w:fldCharType="separate"/>
            </w:r>
            <w:r w:rsidR="00161224">
              <w:rPr>
                <w:noProof/>
                <w:webHidden/>
              </w:rPr>
              <w:t>1</w:t>
            </w:r>
            <w:r w:rsidR="00161224">
              <w:rPr>
                <w:noProof/>
                <w:webHidden/>
              </w:rPr>
              <w:fldChar w:fldCharType="end"/>
            </w:r>
          </w:hyperlink>
        </w:p>
        <w:p w:rsidR="00161224" w:rsidRDefault="00161224">
          <w:pPr>
            <w:pStyle w:val="TOC1"/>
            <w:rPr>
              <w:rFonts w:asciiTheme="minorHAnsi" w:eastAsiaTheme="minorEastAsia" w:hAnsiTheme="minorHAnsi" w:cstheme="minorBidi"/>
              <w:caps w:val="0"/>
              <w:noProof/>
              <w:sz w:val="22"/>
              <w:szCs w:val="22"/>
              <w:lang w:val="en-US"/>
            </w:rPr>
          </w:pPr>
          <w:hyperlink w:anchor="_Toc54258050" w:history="1">
            <w:r w:rsidRPr="00593682">
              <w:rPr>
                <w:rStyle w:val="Hyperlink"/>
                <w:noProof/>
              </w:rPr>
              <w:t>R</w:t>
            </w:r>
            <w:r w:rsidRPr="00593682">
              <w:rPr>
                <w:rStyle w:val="Hyperlink"/>
                <w:noProof/>
                <w:lang w:val="fr-CH"/>
              </w:rPr>
              <w:t>É</w:t>
            </w:r>
            <w:r w:rsidRPr="00593682">
              <w:rPr>
                <w:rStyle w:val="Hyperlink"/>
                <w:noProof/>
              </w:rPr>
              <w:t xml:space="preserve">vision </w:t>
            </w:r>
            <w:r w:rsidRPr="00593682">
              <w:rPr>
                <w:rStyle w:val="Hyperlink"/>
                <w:noProof/>
                <w:lang w:val="fr-CH"/>
              </w:rPr>
              <w:t>É</w:t>
            </w:r>
            <w:r w:rsidRPr="00593682">
              <w:rPr>
                <w:rStyle w:val="Hyperlink"/>
                <w:noProof/>
              </w:rPr>
              <w:t>ventuelle du document UPOV/INF/12 “notes explicatives concernant les d</w:t>
            </w:r>
            <w:r w:rsidRPr="00593682">
              <w:rPr>
                <w:rStyle w:val="Hyperlink"/>
                <w:noProof/>
                <w:lang w:val="fr-CH"/>
              </w:rPr>
              <w:t>É</w:t>
            </w:r>
            <w:r w:rsidRPr="00593682">
              <w:rPr>
                <w:rStyle w:val="Hyperlink"/>
                <w:noProof/>
              </w:rPr>
              <w:t>nominations vari</w:t>
            </w:r>
            <w:r w:rsidRPr="00593682">
              <w:rPr>
                <w:rStyle w:val="Hyperlink"/>
                <w:noProof/>
                <w:lang w:val="fr-CH"/>
              </w:rPr>
              <w:t>É</w:t>
            </w:r>
            <w:r w:rsidRPr="00593682">
              <w:rPr>
                <w:rStyle w:val="Hyperlink"/>
                <w:noProof/>
              </w:rPr>
              <w:t>tales en vertu de la Convention UPOV”</w:t>
            </w:r>
            <w:r>
              <w:rPr>
                <w:noProof/>
                <w:webHidden/>
              </w:rPr>
              <w:tab/>
            </w:r>
            <w:r>
              <w:rPr>
                <w:noProof/>
                <w:webHidden/>
              </w:rPr>
              <w:fldChar w:fldCharType="begin"/>
            </w:r>
            <w:r>
              <w:rPr>
                <w:noProof/>
                <w:webHidden/>
              </w:rPr>
              <w:instrText xml:space="preserve"> PAGEREF _Toc54258050 \h </w:instrText>
            </w:r>
            <w:r>
              <w:rPr>
                <w:noProof/>
                <w:webHidden/>
              </w:rPr>
            </w:r>
            <w:r>
              <w:rPr>
                <w:noProof/>
                <w:webHidden/>
              </w:rPr>
              <w:fldChar w:fldCharType="separate"/>
            </w:r>
            <w:r>
              <w:rPr>
                <w:noProof/>
                <w:webHidden/>
              </w:rPr>
              <w:t>1</w:t>
            </w:r>
            <w:r>
              <w:rPr>
                <w:noProof/>
                <w:webHidden/>
              </w:rPr>
              <w:fldChar w:fldCharType="end"/>
            </w:r>
          </w:hyperlink>
        </w:p>
        <w:p w:rsidR="00161224" w:rsidRDefault="00161224">
          <w:pPr>
            <w:pStyle w:val="TOC2"/>
            <w:rPr>
              <w:rFonts w:asciiTheme="minorHAnsi" w:eastAsiaTheme="minorEastAsia" w:hAnsiTheme="minorHAnsi" w:cstheme="minorBidi"/>
              <w:noProof/>
              <w:sz w:val="22"/>
              <w:szCs w:val="22"/>
              <w:lang w:val="en-US"/>
            </w:rPr>
          </w:pPr>
          <w:hyperlink w:anchor="_Toc54258051" w:history="1">
            <w:r w:rsidRPr="00593682">
              <w:rPr>
                <w:rStyle w:val="Hyperlink"/>
                <w:noProof/>
              </w:rPr>
              <w:t>Groupe de travail sur les dénominations variétales</w:t>
            </w:r>
            <w:r>
              <w:rPr>
                <w:noProof/>
                <w:webHidden/>
              </w:rPr>
              <w:tab/>
            </w:r>
            <w:r>
              <w:rPr>
                <w:noProof/>
                <w:webHidden/>
              </w:rPr>
              <w:fldChar w:fldCharType="begin"/>
            </w:r>
            <w:r>
              <w:rPr>
                <w:noProof/>
                <w:webHidden/>
              </w:rPr>
              <w:instrText xml:space="preserve"> PAGEREF _Toc54258051 \h </w:instrText>
            </w:r>
            <w:r>
              <w:rPr>
                <w:noProof/>
                <w:webHidden/>
              </w:rPr>
            </w:r>
            <w:r>
              <w:rPr>
                <w:noProof/>
                <w:webHidden/>
              </w:rPr>
              <w:fldChar w:fldCharType="separate"/>
            </w:r>
            <w:r>
              <w:rPr>
                <w:noProof/>
                <w:webHidden/>
              </w:rPr>
              <w:t>1</w:t>
            </w:r>
            <w:r>
              <w:rPr>
                <w:noProof/>
                <w:webHidden/>
              </w:rPr>
              <w:fldChar w:fldCharType="end"/>
            </w:r>
          </w:hyperlink>
        </w:p>
        <w:p w:rsidR="00161224" w:rsidRDefault="00161224">
          <w:pPr>
            <w:pStyle w:val="TOC2"/>
            <w:rPr>
              <w:rFonts w:asciiTheme="minorHAnsi" w:eastAsiaTheme="minorEastAsia" w:hAnsiTheme="minorHAnsi" w:cstheme="minorBidi"/>
              <w:noProof/>
              <w:sz w:val="22"/>
              <w:szCs w:val="22"/>
              <w:lang w:val="en-US"/>
            </w:rPr>
          </w:pPr>
          <w:hyperlink w:anchor="_Toc54258052" w:history="1">
            <w:r w:rsidRPr="00593682">
              <w:rPr>
                <w:rStyle w:val="Hyperlink"/>
                <w:noProof/>
              </w:rPr>
              <w:t>Comité administratif et juridique</w:t>
            </w:r>
            <w:r>
              <w:rPr>
                <w:noProof/>
                <w:webHidden/>
              </w:rPr>
              <w:tab/>
            </w:r>
            <w:r>
              <w:rPr>
                <w:noProof/>
                <w:webHidden/>
              </w:rPr>
              <w:fldChar w:fldCharType="begin"/>
            </w:r>
            <w:r>
              <w:rPr>
                <w:noProof/>
                <w:webHidden/>
              </w:rPr>
              <w:instrText xml:space="preserve"> PAGEREF _Toc54258052 \h </w:instrText>
            </w:r>
            <w:r>
              <w:rPr>
                <w:noProof/>
                <w:webHidden/>
              </w:rPr>
            </w:r>
            <w:r>
              <w:rPr>
                <w:noProof/>
                <w:webHidden/>
              </w:rPr>
              <w:fldChar w:fldCharType="separate"/>
            </w:r>
            <w:r>
              <w:rPr>
                <w:noProof/>
                <w:webHidden/>
              </w:rPr>
              <w:t>2</w:t>
            </w:r>
            <w:r>
              <w:rPr>
                <w:noProof/>
                <w:webHidden/>
              </w:rPr>
              <w:fldChar w:fldCharType="end"/>
            </w:r>
          </w:hyperlink>
        </w:p>
        <w:p w:rsidR="00161224" w:rsidRDefault="00161224">
          <w:pPr>
            <w:pStyle w:val="TOC1"/>
            <w:rPr>
              <w:rFonts w:asciiTheme="minorHAnsi" w:eastAsiaTheme="minorEastAsia" w:hAnsiTheme="minorHAnsi" w:cstheme="minorBidi"/>
              <w:caps w:val="0"/>
              <w:noProof/>
              <w:sz w:val="22"/>
              <w:szCs w:val="22"/>
              <w:lang w:val="en-US"/>
            </w:rPr>
          </w:pPr>
          <w:hyperlink w:anchor="_Toc54258053" w:history="1">
            <w:r w:rsidRPr="00593682">
              <w:rPr>
                <w:rStyle w:val="Hyperlink"/>
                <w:noProof/>
              </w:rPr>
              <w:t>Possibilit</w:t>
            </w:r>
            <w:r w:rsidRPr="00593682">
              <w:rPr>
                <w:rStyle w:val="Hyperlink"/>
                <w:noProof/>
                <w:lang w:val="fr-CH"/>
              </w:rPr>
              <w:t>É</w:t>
            </w:r>
            <w:r w:rsidRPr="00593682">
              <w:rPr>
                <w:rStyle w:val="Hyperlink"/>
                <w:noProof/>
              </w:rPr>
              <w:t xml:space="preserve"> de d</w:t>
            </w:r>
            <w:r w:rsidRPr="00593682">
              <w:rPr>
                <w:rStyle w:val="Hyperlink"/>
                <w:noProof/>
                <w:lang w:val="fr-CH"/>
              </w:rPr>
              <w:t>É</w:t>
            </w:r>
            <w:r w:rsidRPr="00593682">
              <w:rPr>
                <w:rStyle w:val="Hyperlink"/>
                <w:noProof/>
              </w:rPr>
              <w:t>veloppement d’un moteur de recherche de similitudes de l’UPOV aux fins de la d</w:t>
            </w:r>
            <w:r w:rsidRPr="00593682">
              <w:rPr>
                <w:rStyle w:val="Hyperlink"/>
                <w:noProof/>
                <w:lang w:val="fr-CH"/>
              </w:rPr>
              <w:t>É</w:t>
            </w:r>
            <w:r w:rsidRPr="00593682">
              <w:rPr>
                <w:rStyle w:val="Hyperlink"/>
                <w:noProof/>
              </w:rPr>
              <w:t>nomination vari</w:t>
            </w:r>
            <w:r w:rsidRPr="00593682">
              <w:rPr>
                <w:rStyle w:val="Hyperlink"/>
                <w:noProof/>
                <w:lang w:val="fr-CH"/>
              </w:rPr>
              <w:t>É</w:t>
            </w:r>
            <w:r w:rsidRPr="00593682">
              <w:rPr>
                <w:rStyle w:val="Hyperlink"/>
                <w:noProof/>
              </w:rPr>
              <w:t>tale</w:t>
            </w:r>
            <w:r>
              <w:rPr>
                <w:noProof/>
                <w:webHidden/>
              </w:rPr>
              <w:tab/>
            </w:r>
            <w:r>
              <w:rPr>
                <w:noProof/>
                <w:webHidden/>
              </w:rPr>
              <w:fldChar w:fldCharType="begin"/>
            </w:r>
            <w:r>
              <w:rPr>
                <w:noProof/>
                <w:webHidden/>
              </w:rPr>
              <w:instrText xml:space="preserve"> PAGEREF _Toc54258053 \h </w:instrText>
            </w:r>
            <w:r>
              <w:rPr>
                <w:noProof/>
                <w:webHidden/>
              </w:rPr>
            </w:r>
            <w:r>
              <w:rPr>
                <w:noProof/>
                <w:webHidden/>
              </w:rPr>
              <w:fldChar w:fldCharType="separate"/>
            </w:r>
            <w:r>
              <w:rPr>
                <w:noProof/>
                <w:webHidden/>
              </w:rPr>
              <w:t>3</w:t>
            </w:r>
            <w:r>
              <w:rPr>
                <w:noProof/>
                <w:webHidden/>
              </w:rPr>
              <w:fldChar w:fldCharType="end"/>
            </w:r>
          </w:hyperlink>
        </w:p>
        <w:p w:rsidR="00161224" w:rsidRDefault="00161224">
          <w:pPr>
            <w:pStyle w:val="TOC2"/>
            <w:rPr>
              <w:rFonts w:asciiTheme="minorHAnsi" w:eastAsiaTheme="minorEastAsia" w:hAnsiTheme="minorHAnsi" w:cstheme="minorBidi"/>
              <w:noProof/>
              <w:sz w:val="22"/>
              <w:szCs w:val="22"/>
              <w:lang w:val="en-US"/>
            </w:rPr>
          </w:pPr>
          <w:hyperlink w:anchor="_Toc54258054" w:history="1">
            <w:r w:rsidRPr="00593682">
              <w:rPr>
                <w:rStyle w:val="Hyperlink"/>
                <w:noProof/>
              </w:rPr>
              <w:t>Rappel</w:t>
            </w:r>
            <w:r>
              <w:rPr>
                <w:noProof/>
                <w:webHidden/>
              </w:rPr>
              <w:tab/>
            </w:r>
            <w:r>
              <w:rPr>
                <w:noProof/>
                <w:webHidden/>
              </w:rPr>
              <w:fldChar w:fldCharType="begin"/>
            </w:r>
            <w:r>
              <w:rPr>
                <w:noProof/>
                <w:webHidden/>
              </w:rPr>
              <w:instrText xml:space="preserve"> PAGEREF _Toc54258054 \h </w:instrText>
            </w:r>
            <w:r>
              <w:rPr>
                <w:noProof/>
                <w:webHidden/>
              </w:rPr>
            </w:r>
            <w:r>
              <w:rPr>
                <w:noProof/>
                <w:webHidden/>
              </w:rPr>
              <w:fldChar w:fldCharType="separate"/>
            </w:r>
            <w:r>
              <w:rPr>
                <w:noProof/>
                <w:webHidden/>
              </w:rPr>
              <w:t>3</w:t>
            </w:r>
            <w:r>
              <w:rPr>
                <w:noProof/>
                <w:webHidden/>
              </w:rPr>
              <w:fldChar w:fldCharType="end"/>
            </w:r>
          </w:hyperlink>
        </w:p>
        <w:p w:rsidR="00161224" w:rsidRDefault="00161224">
          <w:pPr>
            <w:pStyle w:val="TOC2"/>
            <w:rPr>
              <w:rFonts w:asciiTheme="minorHAnsi" w:eastAsiaTheme="minorEastAsia" w:hAnsiTheme="minorHAnsi" w:cstheme="minorBidi"/>
              <w:noProof/>
              <w:sz w:val="22"/>
              <w:szCs w:val="22"/>
              <w:lang w:val="en-US"/>
            </w:rPr>
          </w:pPr>
          <w:hyperlink w:anchor="_Toc54258055" w:history="1">
            <w:r w:rsidRPr="00593682">
              <w:rPr>
                <w:rStyle w:val="Hyperlink"/>
                <w:noProof/>
              </w:rPr>
              <w:t>Faits nouveaux récents</w:t>
            </w:r>
            <w:r>
              <w:rPr>
                <w:noProof/>
                <w:webHidden/>
              </w:rPr>
              <w:tab/>
            </w:r>
            <w:r>
              <w:rPr>
                <w:noProof/>
                <w:webHidden/>
              </w:rPr>
              <w:fldChar w:fldCharType="begin"/>
            </w:r>
            <w:r>
              <w:rPr>
                <w:noProof/>
                <w:webHidden/>
              </w:rPr>
              <w:instrText xml:space="preserve"> PAGEREF _Toc54258055 \h </w:instrText>
            </w:r>
            <w:r>
              <w:rPr>
                <w:noProof/>
                <w:webHidden/>
              </w:rPr>
            </w:r>
            <w:r>
              <w:rPr>
                <w:noProof/>
                <w:webHidden/>
              </w:rPr>
              <w:fldChar w:fldCharType="separate"/>
            </w:r>
            <w:r>
              <w:rPr>
                <w:noProof/>
                <w:webHidden/>
              </w:rPr>
              <w:t>4</w:t>
            </w:r>
            <w:r>
              <w:rPr>
                <w:noProof/>
                <w:webHidden/>
              </w:rPr>
              <w:fldChar w:fldCharType="end"/>
            </w:r>
          </w:hyperlink>
        </w:p>
        <w:p w:rsidR="00161224" w:rsidRDefault="00161224">
          <w:pPr>
            <w:pStyle w:val="TOC1"/>
            <w:rPr>
              <w:rFonts w:asciiTheme="minorHAnsi" w:eastAsiaTheme="minorEastAsia" w:hAnsiTheme="minorHAnsi" w:cstheme="minorBidi"/>
              <w:caps w:val="0"/>
              <w:noProof/>
              <w:sz w:val="22"/>
              <w:szCs w:val="22"/>
              <w:lang w:val="en-US"/>
            </w:rPr>
          </w:pPr>
          <w:hyperlink w:anchor="_Toc54258056" w:history="1">
            <w:r w:rsidRPr="00593682">
              <w:rPr>
                <w:rStyle w:val="Hyperlink"/>
                <w:noProof/>
                <w:lang w:val="fr-CH"/>
              </w:rPr>
              <w:t>É</w:t>
            </w:r>
            <w:r w:rsidRPr="00593682">
              <w:rPr>
                <w:rStyle w:val="Hyperlink"/>
                <w:noProof/>
              </w:rPr>
              <w:t>largissement du contenu de la base de donn</w:t>
            </w:r>
            <w:r w:rsidRPr="00593682">
              <w:rPr>
                <w:rStyle w:val="Hyperlink"/>
                <w:noProof/>
                <w:lang w:val="fr-CH"/>
              </w:rPr>
              <w:t>É</w:t>
            </w:r>
            <w:r w:rsidRPr="00593682">
              <w:rPr>
                <w:rStyle w:val="Hyperlink"/>
                <w:noProof/>
              </w:rPr>
              <w:t>es PLUTO</w:t>
            </w:r>
            <w:r>
              <w:rPr>
                <w:noProof/>
                <w:webHidden/>
              </w:rPr>
              <w:tab/>
            </w:r>
            <w:r>
              <w:rPr>
                <w:noProof/>
                <w:webHidden/>
              </w:rPr>
              <w:fldChar w:fldCharType="begin"/>
            </w:r>
            <w:r>
              <w:rPr>
                <w:noProof/>
                <w:webHidden/>
              </w:rPr>
              <w:instrText xml:space="preserve"> PAGEREF _Toc54258056 \h </w:instrText>
            </w:r>
            <w:r>
              <w:rPr>
                <w:noProof/>
                <w:webHidden/>
              </w:rPr>
            </w:r>
            <w:r>
              <w:rPr>
                <w:noProof/>
                <w:webHidden/>
              </w:rPr>
              <w:fldChar w:fldCharType="separate"/>
            </w:r>
            <w:r>
              <w:rPr>
                <w:noProof/>
                <w:webHidden/>
              </w:rPr>
              <w:t>5</w:t>
            </w:r>
            <w:r>
              <w:rPr>
                <w:noProof/>
                <w:webHidden/>
              </w:rPr>
              <w:fldChar w:fldCharType="end"/>
            </w:r>
          </w:hyperlink>
        </w:p>
        <w:p w:rsidR="00161224" w:rsidRDefault="00161224">
          <w:pPr>
            <w:pStyle w:val="TOC2"/>
            <w:rPr>
              <w:rFonts w:asciiTheme="minorHAnsi" w:eastAsiaTheme="minorEastAsia" w:hAnsiTheme="minorHAnsi" w:cstheme="minorBidi"/>
              <w:noProof/>
              <w:sz w:val="22"/>
              <w:szCs w:val="22"/>
              <w:lang w:val="en-US"/>
            </w:rPr>
          </w:pPr>
          <w:hyperlink w:anchor="_Toc54258057" w:history="1">
            <w:r w:rsidRPr="00593682">
              <w:rPr>
                <w:rStyle w:val="Hyperlink"/>
                <w:noProof/>
              </w:rPr>
              <w:t>Groupe de travail sur les dénominations variétales en 2019</w:t>
            </w:r>
            <w:r>
              <w:rPr>
                <w:noProof/>
                <w:webHidden/>
              </w:rPr>
              <w:tab/>
            </w:r>
            <w:r>
              <w:rPr>
                <w:noProof/>
                <w:webHidden/>
              </w:rPr>
              <w:fldChar w:fldCharType="begin"/>
            </w:r>
            <w:r>
              <w:rPr>
                <w:noProof/>
                <w:webHidden/>
              </w:rPr>
              <w:instrText xml:space="preserve"> PAGEREF _Toc54258057 \h </w:instrText>
            </w:r>
            <w:r>
              <w:rPr>
                <w:noProof/>
                <w:webHidden/>
              </w:rPr>
            </w:r>
            <w:r>
              <w:rPr>
                <w:noProof/>
                <w:webHidden/>
              </w:rPr>
              <w:fldChar w:fldCharType="separate"/>
            </w:r>
            <w:r>
              <w:rPr>
                <w:noProof/>
                <w:webHidden/>
              </w:rPr>
              <w:t>5</w:t>
            </w:r>
            <w:r>
              <w:rPr>
                <w:noProof/>
                <w:webHidden/>
              </w:rPr>
              <w:fldChar w:fldCharType="end"/>
            </w:r>
          </w:hyperlink>
        </w:p>
        <w:p w:rsidR="00161224" w:rsidRDefault="00161224">
          <w:pPr>
            <w:pStyle w:val="TOC2"/>
            <w:rPr>
              <w:rFonts w:asciiTheme="minorHAnsi" w:eastAsiaTheme="minorEastAsia" w:hAnsiTheme="minorHAnsi" w:cstheme="minorBidi"/>
              <w:noProof/>
              <w:sz w:val="22"/>
              <w:szCs w:val="22"/>
              <w:lang w:val="en-US"/>
            </w:rPr>
          </w:pPr>
          <w:hyperlink w:anchor="_Toc54258058" w:history="1">
            <w:r w:rsidRPr="00593682">
              <w:rPr>
                <w:rStyle w:val="Hyperlink"/>
                <w:noProof/>
              </w:rPr>
              <w:t>Comité administratif et juridique en 2019</w:t>
            </w:r>
            <w:r>
              <w:rPr>
                <w:noProof/>
                <w:webHidden/>
              </w:rPr>
              <w:tab/>
            </w:r>
            <w:r>
              <w:rPr>
                <w:noProof/>
                <w:webHidden/>
              </w:rPr>
              <w:fldChar w:fldCharType="begin"/>
            </w:r>
            <w:r>
              <w:rPr>
                <w:noProof/>
                <w:webHidden/>
              </w:rPr>
              <w:instrText xml:space="preserve"> PAGEREF _Toc54258058 \h </w:instrText>
            </w:r>
            <w:r>
              <w:rPr>
                <w:noProof/>
                <w:webHidden/>
              </w:rPr>
            </w:r>
            <w:r>
              <w:rPr>
                <w:noProof/>
                <w:webHidden/>
              </w:rPr>
              <w:fldChar w:fldCharType="separate"/>
            </w:r>
            <w:r>
              <w:rPr>
                <w:noProof/>
                <w:webHidden/>
              </w:rPr>
              <w:t>5</w:t>
            </w:r>
            <w:r>
              <w:rPr>
                <w:noProof/>
                <w:webHidden/>
              </w:rPr>
              <w:fldChar w:fldCharType="end"/>
            </w:r>
          </w:hyperlink>
        </w:p>
        <w:p w:rsidR="00161224" w:rsidRDefault="00161224">
          <w:pPr>
            <w:pStyle w:val="TOC1"/>
            <w:rPr>
              <w:rFonts w:asciiTheme="minorHAnsi" w:eastAsiaTheme="minorEastAsia" w:hAnsiTheme="minorHAnsi" w:cstheme="minorBidi"/>
              <w:caps w:val="0"/>
              <w:noProof/>
              <w:sz w:val="22"/>
              <w:szCs w:val="22"/>
              <w:lang w:val="en-US"/>
            </w:rPr>
          </w:pPr>
          <w:hyperlink w:anchor="_Toc54258059" w:history="1">
            <w:r w:rsidRPr="00593682">
              <w:rPr>
                <w:rStyle w:val="Hyperlink"/>
                <w:noProof/>
              </w:rPr>
              <w:t>Groupe de travail sur les d</w:t>
            </w:r>
            <w:r w:rsidRPr="00593682">
              <w:rPr>
                <w:rStyle w:val="Hyperlink"/>
                <w:noProof/>
                <w:lang w:val="fr-CH"/>
              </w:rPr>
              <w:t>É</w:t>
            </w:r>
            <w:r w:rsidRPr="00593682">
              <w:rPr>
                <w:rStyle w:val="Hyperlink"/>
                <w:noProof/>
              </w:rPr>
              <w:t>nominations vari</w:t>
            </w:r>
            <w:r w:rsidRPr="00593682">
              <w:rPr>
                <w:rStyle w:val="Hyperlink"/>
                <w:noProof/>
                <w:lang w:val="fr-CH"/>
              </w:rPr>
              <w:t>É</w:t>
            </w:r>
            <w:r w:rsidRPr="00593682">
              <w:rPr>
                <w:rStyle w:val="Hyperlink"/>
                <w:noProof/>
              </w:rPr>
              <w:t>tales</w:t>
            </w:r>
            <w:r>
              <w:rPr>
                <w:noProof/>
                <w:webHidden/>
              </w:rPr>
              <w:tab/>
            </w:r>
            <w:r>
              <w:rPr>
                <w:noProof/>
                <w:webHidden/>
              </w:rPr>
              <w:fldChar w:fldCharType="begin"/>
            </w:r>
            <w:r>
              <w:rPr>
                <w:noProof/>
                <w:webHidden/>
              </w:rPr>
              <w:instrText xml:space="preserve"> PAGEREF _Toc54258059 \h </w:instrText>
            </w:r>
            <w:r>
              <w:rPr>
                <w:noProof/>
                <w:webHidden/>
              </w:rPr>
            </w:r>
            <w:r>
              <w:rPr>
                <w:noProof/>
                <w:webHidden/>
              </w:rPr>
              <w:fldChar w:fldCharType="separate"/>
            </w:r>
            <w:r>
              <w:rPr>
                <w:noProof/>
                <w:webHidden/>
              </w:rPr>
              <w:t>5</w:t>
            </w:r>
            <w:r>
              <w:rPr>
                <w:noProof/>
                <w:webHidden/>
              </w:rPr>
              <w:fldChar w:fldCharType="end"/>
            </w:r>
          </w:hyperlink>
        </w:p>
        <w:p w:rsidR="005111F8" w:rsidRDefault="005111F8" w:rsidP="005111F8">
          <w:pPr>
            <w:tabs>
              <w:tab w:val="right" w:leader="dot" w:pos="9639"/>
            </w:tabs>
            <w:spacing w:after="60"/>
            <w:ind w:left="454" w:right="851" w:hanging="284"/>
            <w:contextualSpacing/>
            <w:jc w:val="left"/>
            <w:rPr>
              <w:b/>
              <w:bCs/>
              <w:smallCaps/>
              <w:sz w:val="18"/>
            </w:rPr>
          </w:pPr>
          <w:r w:rsidRPr="00F56EC5">
            <w:rPr>
              <w:rFonts w:cs="Arial"/>
              <w:caps/>
              <w:sz w:val="18"/>
            </w:rPr>
            <w:fldChar w:fldCharType="end"/>
          </w:r>
        </w:p>
      </w:sdtContent>
    </w:sdt>
    <w:p w:rsidR="005111F8" w:rsidRDefault="005111F8" w:rsidP="005111F8">
      <w:pPr>
        <w:rPr>
          <w:lang w:eastAsia="ja-JP"/>
        </w:rPr>
      </w:pPr>
    </w:p>
    <w:p w:rsidR="005111F8" w:rsidRDefault="005111F8" w:rsidP="005111F8">
      <w:pPr>
        <w:pStyle w:val="Heading1"/>
        <w:rPr>
          <w:rFonts w:eastAsiaTheme="minorEastAsia"/>
          <w:lang w:val="fr-FR"/>
        </w:rPr>
      </w:pPr>
      <w:bookmarkStart w:id="4" w:name="_Toc54258050"/>
      <w:r w:rsidRPr="00F56EC5">
        <w:rPr>
          <w:rFonts w:eastAsiaTheme="minorEastAsia"/>
          <w:lang w:val="fr-FR"/>
        </w:rPr>
        <w:t>R</w:t>
      </w:r>
      <w:r w:rsidR="006548B1" w:rsidRPr="006548B1">
        <w:rPr>
          <w:lang w:val="fr-CH"/>
        </w:rPr>
        <w:t>É</w:t>
      </w:r>
      <w:r w:rsidRPr="00F56EC5">
        <w:rPr>
          <w:rFonts w:eastAsiaTheme="minorEastAsia"/>
          <w:lang w:val="fr-FR"/>
        </w:rPr>
        <w:t xml:space="preserve">vision </w:t>
      </w:r>
      <w:r w:rsidR="006548B1" w:rsidRPr="006548B1">
        <w:rPr>
          <w:lang w:val="fr-CH"/>
        </w:rPr>
        <w:t>É</w:t>
      </w:r>
      <w:r w:rsidRPr="00F56EC5">
        <w:rPr>
          <w:rFonts w:eastAsiaTheme="minorEastAsia"/>
          <w:lang w:val="fr-FR"/>
        </w:rPr>
        <w:t>ventuelle du document UPOV/INF/12 “notes explicatives concernant les d</w:t>
      </w:r>
      <w:r w:rsidR="006548B1" w:rsidRPr="006548B1">
        <w:rPr>
          <w:lang w:val="fr-CH"/>
        </w:rPr>
        <w:t>É</w:t>
      </w:r>
      <w:r w:rsidRPr="00F56EC5">
        <w:rPr>
          <w:rFonts w:eastAsiaTheme="minorEastAsia"/>
          <w:lang w:val="fr-FR"/>
        </w:rPr>
        <w:t>nominations vari</w:t>
      </w:r>
      <w:r w:rsidR="006548B1" w:rsidRPr="006548B1">
        <w:rPr>
          <w:lang w:val="fr-CH"/>
        </w:rPr>
        <w:t>É</w:t>
      </w:r>
      <w:r w:rsidRPr="00F56EC5">
        <w:rPr>
          <w:rFonts w:eastAsiaTheme="minorEastAsia"/>
          <w:lang w:val="fr-FR"/>
        </w:rPr>
        <w:t xml:space="preserve">tales en vertu de la </w:t>
      </w:r>
      <w:r>
        <w:rPr>
          <w:rFonts w:eastAsiaTheme="minorEastAsia"/>
          <w:lang w:val="fr-FR"/>
        </w:rPr>
        <w:t>Convention UPOV</w:t>
      </w:r>
      <w:r w:rsidRPr="00F56EC5">
        <w:rPr>
          <w:rFonts w:eastAsiaTheme="minorEastAsia"/>
          <w:lang w:val="fr-FR"/>
        </w:rPr>
        <w:t>”</w:t>
      </w:r>
      <w:bookmarkEnd w:id="4"/>
    </w:p>
    <w:p w:rsidR="005111F8" w:rsidRDefault="005111F8" w:rsidP="005111F8">
      <w:pPr>
        <w:pStyle w:val="Heading2"/>
        <w:rPr>
          <w:lang w:val="fr-FR"/>
        </w:rPr>
      </w:pPr>
    </w:p>
    <w:p w:rsidR="005111F8" w:rsidRDefault="005111F8" w:rsidP="005111F8">
      <w:r w:rsidRPr="00F56EC5">
        <w:fldChar w:fldCharType="begin"/>
      </w:r>
      <w:r w:rsidRPr="00F56EC5">
        <w:instrText xml:space="preserve"> AUTONUM  </w:instrText>
      </w:r>
      <w:r w:rsidRPr="00F56EC5">
        <w:fldChar w:fldCharType="end"/>
      </w:r>
      <w:r w:rsidRPr="00F56EC5">
        <w:tab/>
        <w:t xml:space="preserve">Les questions devant être examinées par le Comité technique au sujet de la révision du document UPOV/INF/12 </w:t>
      </w:r>
      <w:r>
        <w:t>“</w:t>
      </w:r>
      <w:r w:rsidRPr="00F56EC5">
        <w:t xml:space="preserve">Notes explicatives concernant les dénominations variétales selon la </w:t>
      </w:r>
      <w:r>
        <w:t>Convention UPOV”</w:t>
      </w:r>
      <w:r w:rsidRPr="00F56EC5">
        <w:t xml:space="preserve"> figurent dans le document</w:t>
      </w:r>
      <w:r>
        <w:t xml:space="preserve"> TC</w:t>
      </w:r>
      <w:r w:rsidRPr="00F56EC5">
        <w:t>/56/4</w:t>
      </w:r>
      <w:r>
        <w:t> </w:t>
      </w:r>
      <w:proofErr w:type="spellStart"/>
      <w:r w:rsidRPr="00F56EC5">
        <w:t>Rev</w:t>
      </w:r>
      <w:proofErr w:type="spellEnd"/>
      <w:r w:rsidRPr="00F56EC5">
        <w:t xml:space="preserve">. </w:t>
      </w:r>
      <w:r>
        <w:t>“</w:t>
      </w:r>
      <w:r w:rsidRPr="00F56EC5">
        <w:t>Élaboration de documents d</w:t>
      </w:r>
      <w:r>
        <w:t>’</w:t>
      </w:r>
      <w:r w:rsidRPr="00F56EC5">
        <w:t>orientation et d</w:t>
      </w:r>
      <w:r>
        <w:t>’information – Q</w:t>
      </w:r>
      <w:r w:rsidRPr="00F56EC5">
        <w:t>uestions pour adoption par le Conseil en</w:t>
      </w:r>
      <w:r>
        <w:t> </w:t>
      </w:r>
      <w:r w:rsidRPr="00F56EC5">
        <w:t>2020.</w:t>
      </w:r>
      <w:r>
        <w:t>”</w:t>
      </w:r>
      <w:r w:rsidRPr="00F56EC5">
        <w:t xml:space="preserve">  Les éléments ci</w:t>
      </w:r>
      <w:r w:rsidR="0054194F">
        <w:noBreakHyphen/>
      </w:r>
      <w:r w:rsidRPr="00F56EC5">
        <w:t>après sont communiqués à titre d</w:t>
      </w:r>
      <w:r>
        <w:t>’</w:t>
      </w:r>
      <w:r w:rsidRPr="00F56EC5">
        <w:t>information.</w:t>
      </w:r>
    </w:p>
    <w:p w:rsidR="005111F8" w:rsidRDefault="005111F8" w:rsidP="005111F8"/>
    <w:p w:rsidR="005111F8" w:rsidRDefault="005111F8" w:rsidP="005111F8"/>
    <w:p w:rsidR="005111F8" w:rsidRDefault="005111F8" w:rsidP="005111F8">
      <w:pPr>
        <w:pStyle w:val="Heading2"/>
        <w:rPr>
          <w:rFonts w:eastAsiaTheme="minorEastAsia"/>
          <w:lang w:val="fr-FR"/>
        </w:rPr>
      </w:pPr>
      <w:bookmarkStart w:id="5" w:name="_Toc54258051"/>
      <w:r w:rsidRPr="00F56EC5">
        <w:rPr>
          <w:rFonts w:eastAsiaTheme="minorEastAsia"/>
          <w:lang w:val="fr-FR"/>
        </w:rPr>
        <w:t>Groupe de travail sur les dénominations variétales</w:t>
      </w:r>
      <w:bookmarkEnd w:id="5"/>
    </w:p>
    <w:p w:rsidR="005111F8" w:rsidRDefault="005111F8" w:rsidP="005111F8">
      <w:pPr>
        <w:rPr>
          <w:lang w:eastAsia="ja-JP"/>
        </w:rPr>
      </w:pPr>
    </w:p>
    <w:p w:rsidR="005111F8" w:rsidRDefault="005111F8" w:rsidP="005111F8">
      <w:pPr>
        <w:rPr>
          <w:rFonts w:eastAsiaTheme="minorEastAsia"/>
          <w:spacing w:val="-2"/>
          <w:lang w:eastAsia="ja-JP"/>
        </w:rPr>
      </w:pPr>
      <w:r w:rsidRPr="00F56EC5">
        <w:rPr>
          <w:rFonts w:cs="Arial"/>
          <w:snapToGrid w:val="0"/>
        </w:rPr>
        <w:lastRenderedPageBreak/>
        <w:fldChar w:fldCharType="begin"/>
      </w:r>
      <w:r w:rsidRPr="00F56EC5">
        <w:rPr>
          <w:rFonts w:cs="Arial"/>
          <w:snapToGrid w:val="0"/>
        </w:rPr>
        <w:instrText xml:space="preserve"> AUTONUM  </w:instrText>
      </w:r>
      <w:r w:rsidRPr="00F56EC5">
        <w:rPr>
          <w:rFonts w:cs="Arial"/>
          <w:snapToGrid w:val="0"/>
        </w:rPr>
        <w:fldChar w:fldCharType="end"/>
      </w:r>
      <w:r w:rsidRPr="00F56EC5">
        <w:rPr>
          <w:rFonts w:cs="Arial"/>
          <w:snapToGrid w:val="0"/>
        </w:rPr>
        <w:tab/>
        <w:t>À sa sixième réunion tenue à Genève le 29</w:t>
      </w:r>
      <w:r>
        <w:rPr>
          <w:rFonts w:cs="Arial"/>
          <w:snapToGrid w:val="0"/>
        </w:rPr>
        <w:t> </w:t>
      </w:r>
      <w:r w:rsidRPr="00F56EC5">
        <w:rPr>
          <w:rFonts w:cs="Arial"/>
          <w:snapToGrid w:val="0"/>
        </w:rPr>
        <w:t>octobre</w:t>
      </w:r>
      <w:r>
        <w:rPr>
          <w:rFonts w:cs="Arial"/>
          <w:snapToGrid w:val="0"/>
        </w:rPr>
        <w:t> </w:t>
      </w:r>
      <w:r w:rsidRPr="00F56EC5">
        <w:rPr>
          <w:rFonts w:cs="Arial"/>
          <w:snapToGrid w:val="0"/>
        </w:rPr>
        <w:t>2019, le Groupe de travail sur les dénominations variétales (WG</w:t>
      </w:r>
      <w:r w:rsidR="0054194F">
        <w:rPr>
          <w:rFonts w:cs="Arial"/>
          <w:snapToGrid w:val="0"/>
        </w:rPr>
        <w:noBreakHyphen/>
      </w:r>
      <w:r w:rsidRPr="00F56EC5">
        <w:rPr>
          <w:rFonts w:cs="Arial"/>
          <w:snapToGrid w:val="0"/>
        </w:rPr>
        <w:t xml:space="preserve">DEN) a examiné </w:t>
      </w:r>
      <w:r>
        <w:rPr>
          <w:rFonts w:cs="Arial"/>
          <w:snapToGrid w:val="0"/>
        </w:rPr>
        <w:t>les documents UPOV/WG</w:t>
      </w:r>
      <w:r w:rsidR="0054194F">
        <w:rPr>
          <w:rFonts w:cs="Arial"/>
          <w:snapToGrid w:val="0"/>
        </w:rPr>
        <w:noBreakHyphen/>
      </w:r>
      <w:r>
        <w:rPr>
          <w:rFonts w:cs="Arial"/>
          <w:snapToGrid w:val="0"/>
        </w:rPr>
        <w:t>DEN/6/2 “</w:t>
      </w:r>
      <w:r w:rsidRPr="00F56EC5">
        <w:rPr>
          <w:rFonts w:cs="Arial"/>
          <w:snapToGrid w:val="0"/>
        </w:rPr>
        <w:t xml:space="preserve">Révision du document UPOV/INF/12/5 </w:t>
      </w:r>
      <w:r>
        <w:rPr>
          <w:rFonts w:cs="Arial"/>
          <w:snapToGrid w:val="0"/>
        </w:rPr>
        <w:t>‘</w:t>
      </w:r>
      <w:r w:rsidRPr="00F56EC5">
        <w:rPr>
          <w:rFonts w:cs="Arial"/>
          <w:snapToGrid w:val="0"/>
        </w:rPr>
        <w:t xml:space="preserve">Notes explicatives concernant les dénominations variétales selon la </w:t>
      </w:r>
      <w:r>
        <w:rPr>
          <w:rFonts w:cs="Arial"/>
          <w:snapToGrid w:val="0"/>
        </w:rPr>
        <w:t>Convention UPOV’</w:t>
      </w:r>
      <w:r w:rsidRPr="00F56EC5">
        <w:rPr>
          <w:rFonts w:cs="Arial"/>
          <w:snapToGrid w:val="0"/>
        </w:rPr>
        <w:t xml:space="preserve">" et UPOV/EXN/DEN/1 </w:t>
      </w:r>
      <w:proofErr w:type="spellStart"/>
      <w:r w:rsidRPr="00F56EC5">
        <w:rPr>
          <w:rFonts w:cs="Arial"/>
          <w:snapToGrid w:val="0"/>
        </w:rPr>
        <w:t>Draft</w:t>
      </w:r>
      <w:proofErr w:type="spellEnd"/>
      <w:r w:rsidRPr="00F56EC5">
        <w:rPr>
          <w:rFonts w:cs="Arial"/>
          <w:snapToGrid w:val="0"/>
        </w:rPr>
        <w:t xml:space="preserve"> 2 </w:t>
      </w:r>
      <w:r>
        <w:rPr>
          <w:rFonts w:cs="Arial"/>
          <w:snapToGrid w:val="0"/>
        </w:rPr>
        <w:t>“</w:t>
      </w:r>
      <w:r w:rsidRPr="00F56EC5">
        <w:rPr>
          <w:rFonts w:cs="Arial"/>
          <w:snapToGrid w:val="0"/>
        </w:rPr>
        <w:t xml:space="preserve">Notes explicatives sur les dénominations variétales selon la </w:t>
      </w:r>
      <w:r>
        <w:rPr>
          <w:rFonts w:cs="Arial"/>
          <w:snapToGrid w:val="0"/>
        </w:rPr>
        <w:t>Convention UPOV”</w:t>
      </w:r>
      <w:r w:rsidRPr="00F56EC5">
        <w:rPr>
          <w:rFonts w:cs="Arial"/>
          <w:snapToGrid w:val="0"/>
        </w:rPr>
        <w:t xml:space="preserve"> et a approuvé le texte proposé dans le document UPOV/EXN/DEN/1 </w:t>
      </w:r>
      <w:proofErr w:type="spellStart"/>
      <w:r w:rsidRPr="00F56EC5">
        <w:rPr>
          <w:rFonts w:cs="Arial"/>
          <w:snapToGrid w:val="0"/>
        </w:rPr>
        <w:t>Draft</w:t>
      </w:r>
      <w:proofErr w:type="spellEnd"/>
      <w:r w:rsidRPr="00F56EC5">
        <w:rPr>
          <w:rFonts w:cs="Arial"/>
          <w:snapToGrid w:val="0"/>
        </w:rPr>
        <w:t xml:space="preserve"> 2, sous réserve de ce qui suit</w:t>
      </w:r>
      <w:r>
        <w:rPr>
          <w:rFonts w:cs="Arial"/>
          <w:snapToGrid w:val="0"/>
        </w:rPr>
        <w:t> :</w:t>
      </w:r>
    </w:p>
    <w:p w:rsidR="005111F8" w:rsidRDefault="005111F8" w:rsidP="005111F8">
      <w:pPr>
        <w:rPr>
          <w:rFonts w:eastAsiaTheme="minorEastAsia"/>
          <w:spacing w:val="-2"/>
          <w:lang w:eastAsia="ja-JP"/>
        </w:rPr>
      </w:pPr>
    </w:p>
    <w:p w:rsidR="005111F8" w:rsidRDefault="005111F8" w:rsidP="005111F8">
      <w:pPr>
        <w:ind w:left="1701" w:hanging="1701"/>
        <w:rPr>
          <w:rFonts w:eastAsiaTheme="minorEastAsia"/>
          <w:spacing w:val="-2"/>
          <w:lang w:eastAsia="ja-JP"/>
        </w:rPr>
      </w:pPr>
      <w:r w:rsidRPr="00F56EC5">
        <w:rPr>
          <w:rFonts w:eastAsiaTheme="minorEastAsia"/>
          <w:spacing w:val="-2"/>
          <w:lang w:eastAsia="ja-JP"/>
        </w:rPr>
        <w:t>Section</w:t>
      </w:r>
      <w:r>
        <w:rPr>
          <w:rFonts w:eastAsiaTheme="minorEastAsia"/>
          <w:spacing w:val="-2"/>
          <w:lang w:eastAsia="ja-JP"/>
        </w:rPr>
        <w:t> </w:t>
      </w:r>
      <w:r w:rsidRPr="00F56EC5">
        <w:rPr>
          <w:rFonts w:eastAsiaTheme="minorEastAsia"/>
          <w:spacing w:val="-2"/>
          <w:lang w:eastAsia="ja-JP"/>
        </w:rPr>
        <w:t>2.3.1 d)</w:t>
      </w:r>
      <w:r>
        <w:rPr>
          <w:rFonts w:eastAsiaTheme="minorEastAsia"/>
          <w:spacing w:val="-2"/>
          <w:lang w:eastAsia="ja-JP"/>
        </w:rPr>
        <w:t> :</w:t>
      </w:r>
      <w:r w:rsidRPr="00F56EC5">
        <w:rPr>
          <w:rFonts w:eastAsiaTheme="minorEastAsia"/>
          <w:spacing w:val="-2"/>
          <w:lang w:eastAsia="ja-JP"/>
        </w:rPr>
        <w:t xml:space="preserve"> supprimer l</w:t>
      </w:r>
      <w:r>
        <w:rPr>
          <w:rFonts w:eastAsiaTheme="minorEastAsia"/>
          <w:spacing w:val="-2"/>
          <w:lang w:eastAsia="ja-JP"/>
        </w:rPr>
        <w:t>’</w:t>
      </w:r>
      <w:r w:rsidRPr="00F56EC5">
        <w:rPr>
          <w:rFonts w:eastAsiaTheme="minorEastAsia"/>
          <w:spacing w:val="-2"/>
          <w:lang w:eastAsia="ja-JP"/>
        </w:rPr>
        <w:t>exemple de dénomination appropriée ci</w:t>
      </w:r>
      <w:r w:rsidR="0054194F">
        <w:rPr>
          <w:rFonts w:eastAsiaTheme="minorEastAsia"/>
          <w:spacing w:val="-2"/>
          <w:lang w:eastAsia="ja-JP"/>
        </w:rPr>
        <w:noBreakHyphen/>
      </w:r>
      <w:r w:rsidRPr="00F56EC5">
        <w:rPr>
          <w:rFonts w:eastAsiaTheme="minorEastAsia"/>
          <w:spacing w:val="-2"/>
          <w:lang w:eastAsia="ja-JP"/>
        </w:rPr>
        <w:t>après</w:t>
      </w:r>
      <w:r>
        <w:rPr>
          <w:rFonts w:eastAsiaTheme="minorEastAsia"/>
          <w:spacing w:val="-2"/>
          <w:lang w:eastAsia="ja-JP"/>
        </w:rPr>
        <w:t> :</w:t>
      </w:r>
    </w:p>
    <w:p w:rsidR="005111F8" w:rsidRDefault="005111F8" w:rsidP="005111F8">
      <w:pPr>
        <w:ind w:left="1701" w:hanging="1701"/>
        <w:rPr>
          <w:rFonts w:eastAsiaTheme="minorEastAsia"/>
          <w:spacing w:val="-2"/>
          <w:lang w:eastAsia="ja-JP"/>
        </w:rPr>
      </w:pPr>
    </w:p>
    <w:p w:rsidR="005111F8" w:rsidRPr="00B07BC0" w:rsidRDefault="005111F8" w:rsidP="005111F8">
      <w:pPr>
        <w:ind w:left="1560" w:hanging="1560"/>
        <w:rPr>
          <w:rFonts w:eastAsiaTheme="minorEastAsia"/>
          <w:spacing w:val="-2"/>
          <w:sz w:val="18"/>
          <w:szCs w:val="18"/>
          <w:lang w:eastAsia="ja-JP"/>
        </w:rPr>
      </w:pPr>
      <w:r w:rsidRPr="00B07BC0">
        <w:rPr>
          <w:rFonts w:eastAsiaTheme="minorEastAsia"/>
          <w:spacing w:val="-2"/>
          <w:sz w:val="18"/>
          <w:szCs w:val="18"/>
          <w:lang w:eastAsia="ja-JP"/>
        </w:rPr>
        <w:tab/>
      </w:r>
      <w:r w:rsidRPr="00B07BC0">
        <w:rPr>
          <w:rFonts w:eastAsiaTheme="minorEastAsia"/>
          <w:i/>
          <w:spacing w:val="-2"/>
          <w:sz w:val="18"/>
          <w:szCs w:val="18"/>
          <w:lang w:eastAsia="ja-JP"/>
        </w:rPr>
        <w:t>Prunus</w:t>
      </w:r>
      <w:r w:rsidRPr="00B07BC0">
        <w:rPr>
          <w:rFonts w:eastAsiaTheme="minorEastAsia"/>
          <w:spacing w:val="-2"/>
          <w:sz w:val="18"/>
          <w:szCs w:val="18"/>
          <w:lang w:eastAsia="ja-JP"/>
        </w:rPr>
        <w:t xml:space="preserve"> “</w:t>
      </w:r>
      <w:proofErr w:type="spellStart"/>
      <w:r w:rsidRPr="00B07BC0">
        <w:rPr>
          <w:rFonts w:eastAsiaTheme="minorEastAsia"/>
          <w:spacing w:val="-2"/>
          <w:sz w:val="18"/>
          <w:szCs w:val="18"/>
          <w:lang w:eastAsia="ja-JP"/>
        </w:rPr>
        <w:t>Sato</w:t>
      </w:r>
      <w:r w:rsidR="0054194F">
        <w:rPr>
          <w:rFonts w:eastAsiaTheme="minorEastAsia"/>
          <w:spacing w:val="-2"/>
          <w:sz w:val="18"/>
          <w:szCs w:val="18"/>
          <w:lang w:eastAsia="ja-JP"/>
        </w:rPr>
        <w:noBreakHyphen/>
      </w:r>
      <w:r w:rsidRPr="00B07BC0">
        <w:rPr>
          <w:rFonts w:eastAsiaTheme="minorEastAsia"/>
          <w:spacing w:val="-2"/>
          <w:sz w:val="18"/>
          <w:szCs w:val="18"/>
          <w:lang w:eastAsia="ja-JP"/>
        </w:rPr>
        <w:t>zakura</w:t>
      </w:r>
      <w:proofErr w:type="spellEnd"/>
      <w:r w:rsidRPr="00B07BC0">
        <w:rPr>
          <w:rFonts w:eastAsiaTheme="minorEastAsia"/>
          <w:spacing w:val="-2"/>
          <w:sz w:val="18"/>
          <w:szCs w:val="18"/>
          <w:lang w:eastAsia="ja-JP"/>
        </w:rPr>
        <w:t>” (“</w:t>
      </w:r>
      <w:proofErr w:type="spellStart"/>
      <w:r w:rsidRPr="00B07BC0">
        <w:rPr>
          <w:rFonts w:eastAsiaTheme="minorEastAsia"/>
          <w:spacing w:val="-2"/>
          <w:sz w:val="18"/>
          <w:szCs w:val="18"/>
          <w:lang w:eastAsia="ja-JP"/>
        </w:rPr>
        <w:t>Zakura</w:t>
      </w:r>
      <w:proofErr w:type="spellEnd"/>
      <w:r w:rsidRPr="00B07BC0">
        <w:rPr>
          <w:rFonts w:eastAsiaTheme="minorEastAsia"/>
          <w:spacing w:val="-2"/>
          <w:sz w:val="18"/>
          <w:szCs w:val="18"/>
          <w:lang w:eastAsia="ja-JP"/>
        </w:rPr>
        <w:t>” est le nom japonais désignant les cerisiers en fleur, et non un nom utilisé pour le genre dans son ensemble);</w:t>
      </w:r>
    </w:p>
    <w:p w:rsidR="005111F8" w:rsidRDefault="005111F8" w:rsidP="005111F8">
      <w:pPr>
        <w:rPr>
          <w:rFonts w:eastAsiaTheme="minorEastAsia"/>
          <w:spacing w:val="-2"/>
          <w:lang w:eastAsia="ja-JP"/>
        </w:rPr>
      </w:pPr>
    </w:p>
    <w:p w:rsidR="005111F8" w:rsidRDefault="005111F8" w:rsidP="005111F8">
      <w:pPr>
        <w:ind w:left="1701" w:hanging="1701"/>
        <w:rPr>
          <w:rFonts w:eastAsiaTheme="minorEastAsia"/>
          <w:spacing w:val="-2"/>
          <w:lang w:eastAsia="ja-JP"/>
        </w:rPr>
      </w:pPr>
      <w:r w:rsidRPr="00F56EC5">
        <w:rPr>
          <w:rFonts w:eastAsiaTheme="minorEastAsia"/>
          <w:spacing w:val="-2"/>
          <w:lang w:eastAsia="ja-JP"/>
        </w:rPr>
        <w:t>Section</w:t>
      </w:r>
      <w:r>
        <w:rPr>
          <w:rFonts w:eastAsiaTheme="minorEastAsia"/>
          <w:spacing w:val="-2"/>
          <w:lang w:eastAsia="ja-JP"/>
        </w:rPr>
        <w:t> </w:t>
      </w:r>
      <w:r w:rsidRPr="00F56EC5">
        <w:rPr>
          <w:rFonts w:eastAsiaTheme="minorEastAsia"/>
          <w:spacing w:val="-2"/>
          <w:lang w:eastAsia="ja-JP"/>
        </w:rPr>
        <w:t>2.3.3 a)</w:t>
      </w:r>
      <w:r>
        <w:rPr>
          <w:rFonts w:eastAsiaTheme="minorEastAsia"/>
          <w:spacing w:val="-2"/>
          <w:lang w:eastAsia="ja-JP"/>
        </w:rPr>
        <w:t> :</w:t>
      </w:r>
      <w:r w:rsidRPr="00F56EC5">
        <w:rPr>
          <w:rFonts w:eastAsiaTheme="minorEastAsia"/>
          <w:spacing w:val="-2"/>
          <w:lang w:eastAsia="ja-JP"/>
        </w:rPr>
        <w:t xml:space="preserve"> modifier le texte comme suit</w:t>
      </w:r>
      <w:r>
        <w:rPr>
          <w:rFonts w:eastAsiaTheme="minorEastAsia"/>
          <w:spacing w:val="-2"/>
          <w:lang w:eastAsia="ja-JP"/>
        </w:rPr>
        <w:t> :</w:t>
      </w:r>
    </w:p>
    <w:p w:rsidR="005111F8" w:rsidRDefault="005111F8" w:rsidP="005111F8">
      <w:pPr>
        <w:ind w:left="1701" w:hanging="1701"/>
        <w:rPr>
          <w:rFonts w:eastAsiaTheme="minorEastAsia"/>
          <w:spacing w:val="-2"/>
          <w:lang w:eastAsia="ja-JP"/>
        </w:rPr>
      </w:pPr>
    </w:p>
    <w:p w:rsidR="005111F8" w:rsidRPr="00B07BC0" w:rsidRDefault="005111F8" w:rsidP="005111F8">
      <w:pPr>
        <w:ind w:left="1560" w:hanging="1560"/>
        <w:rPr>
          <w:rFonts w:eastAsiaTheme="minorEastAsia"/>
          <w:spacing w:val="-2"/>
          <w:sz w:val="18"/>
          <w:szCs w:val="18"/>
          <w:lang w:eastAsia="ja-JP"/>
        </w:rPr>
      </w:pPr>
      <w:r w:rsidRPr="00B07BC0">
        <w:rPr>
          <w:rFonts w:eastAsiaTheme="minorEastAsia"/>
          <w:spacing w:val="-2"/>
          <w:sz w:val="18"/>
          <w:szCs w:val="18"/>
          <w:lang w:eastAsia="ja-JP"/>
        </w:rPr>
        <w:tab/>
        <w:t>“Une différence d’une seule lettre ou d’un seul chiffre peut être considérée comme susceptible d’induire en erreur ou de prêter à confusion quant à l’identité de la variété.  Toutefois, dans les cas suivants, cette différence d’une seule lettre ou d’un seul chiffre peut ne pas être considérée comme susceptible d’induire en erreur ou de prêter à confusion : […]";</w:t>
      </w:r>
    </w:p>
    <w:p w:rsidR="005111F8" w:rsidRDefault="005111F8" w:rsidP="005111F8">
      <w:pPr>
        <w:rPr>
          <w:rFonts w:eastAsiaTheme="minorEastAsia"/>
          <w:spacing w:val="-2"/>
          <w:lang w:eastAsia="ja-JP"/>
        </w:rPr>
      </w:pPr>
    </w:p>
    <w:p w:rsidR="005111F8" w:rsidRDefault="005111F8" w:rsidP="005111F8">
      <w:pPr>
        <w:ind w:left="1701" w:hanging="1701"/>
        <w:rPr>
          <w:rFonts w:eastAsiaTheme="minorEastAsia"/>
          <w:spacing w:val="-2"/>
          <w:lang w:eastAsia="ja-JP"/>
        </w:rPr>
      </w:pPr>
      <w:r w:rsidRPr="00F56EC5">
        <w:rPr>
          <w:rFonts w:eastAsiaTheme="minorEastAsia"/>
          <w:spacing w:val="-2"/>
          <w:lang w:eastAsia="ja-JP"/>
        </w:rPr>
        <w:t>Section</w:t>
      </w:r>
      <w:r>
        <w:rPr>
          <w:rFonts w:eastAsiaTheme="minorEastAsia"/>
          <w:spacing w:val="-2"/>
          <w:lang w:eastAsia="ja-JP"/>
        </w:rPr>
        <w:t> </w:t>
      </w:r>
      <w:r w:rsidRPr="00F56EC5">
        <w:rPr>
          <w:rFonts w:eastAsiaTheme="minorEastAsia"/>
          <w:spacing w:val="-2"/>
          <w:lang w:eastAsia="ja-JP"/>
        </w:rPr>
        <w:t>2.3.4 b)</w:t>
      </w:r>
      <w:r>
        <w:rPr>
          <w:rFonts w:eastAsiaTheme="minorEastAsia"/>
          <w:spacing w:val="-2"/>
          <w:lang w:eastAsia="ja-JP"/>
        </w:rPr>
        <w:t> :</w:t>
      </w:r>
      <w:r w:rsidRPr="00F56EC5">
        <w:rPr>
          <w:rFonts w:eastAsiaTheme="minorEastAsia"/>
          <w:spacing w:val="-2"/>
          <w:lang w:eastAsia="ja-JP"/>
        </w:rPr>
        <w:t xml:space="preserve"> modifier le texte comme suit</w:t>
      </w:r>
      <w:r>
        <w:rPr>
          <w:rFonts w:eastAsiaTheme="minorEastAsia"/>
          <w:spacing w:val="-2"/>
          <w:lang w:eastAsia="ja-JP"/>
        </w:rPr>
        <w:t> :</w:t>
      </w:r>
    </w:p>
    <w:p w:rsidR="005111F8" w:rsidRDefault="005111F8" w:rsidP="005111F8">
      <w:pPr>
        <w:ind w:left="1701" w:hanging="1701"/>
        <w:rPr>
          <w:rFonts w:eastAsiaTheme="minorEastAsia"/>
          <w:spacing w:val="-2"/>
          <w:lang w:eastAsia="ja-JP"/>
        </w:rPr>
      </w:pPr>
    </w:p>
    <w:p w:rsidR="005111F8" w:rsidRPr="00B07BC0" w:rsidRDefault="005111F8" w:rsidP="005111F8">
      <w:pPr>
        <w:ind w:left="1560" w:hanging="1560"/>
        <w:rPr>
          <w:rFonts w:eastAsiaTheme="minorEastAsia"/>
          <w:spacing w:val="-2"/>
          <w:sz w:val="18"/>
          <w:szCs w:val="18"/>
          <w:u w:val="single"/>
          <w:lang w:eastAsia="ja-JP"/>
        </w:rPr>
      </w:pPr>
      <w:r w:rsidRPr="00B07BC0">
        <w:rPr>
          <w:rFonts w:eastAsiaTheme="minorEastAsia"/>
          <w:spacing w:val="-2"/>
          <w:sz w:val="18"/>
          <w:szCs w:val="18"/>
          <w:lang w:eastAsia="ja-JP"/>
        </w:rPr>
        <w:tab/>
        <w:t>“Une formulation, configuration ou combinaison de mots peut être liée à un obtenteur avec l’usage ou la pratique.  Cependant, pour qu’une formulation, configuration ou combinaison de mots soit liée à un obtenteur, il conviendrait de l’accompagner d’un nom commun, d’un préfixe ou d’un suffixe.  Dans ce cas, le service peut considérer que l’utilisation de cette formulation, configuration ou combinaison de mots dans des dénominations variétales d’un autre obtenteur risquerait d’induire en erreur ou de prêter à confusion quant à l’identité de l’obtenteur;</w:t>
      </w:r>
    </w:p>
    <w:p w:rsidR="005111F8" w:rsidRDefault="005111F8" w:rsidP="005111F8">
      <w:pPr>
        <w:rPr>
          <w:rFonts w:eastAsiaTheme="minorEastAsia"/>
          <w:spacing w:val="-2"/>
          <w:sz w:val="18"/>
          <w:szCs w:val="18"/>
          <w:u w:val="single"/>
          <w:lang w:eastAsia="ja-JP"/>
        </w:rPr>
      </w:pPr>
    </w:p>
    <w:p w:rsidR="005111F8" w:rsidRDefault="005111F8" w:rsidP="005111F8">
      <w:pPr>
        <w:ind w:left="1560" w:hanging="1560"/>
        <w:rPr>
          <w:rFonts w:eastAsiaTheme="minorEastAsia"/>
          <w:spacing w:val="-2"/>
          <w:sz w:val="18"/>
          <w:szCs w:val="18"/>
          <w:lang w:eastAsia="ja-JP"/>
        </w:rPr>
      </w:pPr>
      <w:r w:rsidRPr="00F56EC5">
        <w:rPr>
          <w:rFonts w:eastAsiaTheme="minorEastAsia"/>
          <w:spacing w:val="-2"/>
          <w:sz w:val="18"/>
          <w:szCs w:val="18"/>
          <w:lang w:eastAsia="ja-JP"/>
        </w:rPr>
        <w:tab/>
        <w:t>“</w:t>
      </w:r>
      <w:r w:rsidRPr="00F56EC5">
        <w:rPr>
          <w:rFonts w:eastAsiaTheme="minorEastAsia"/>
          <w:i/>
          <w:spacing w:val="-2"/>
          <w:sz w:val="18"/>
          <w:szCs w:val="18"/>
          <w:lang w:eastAsia="ja-JP"/>
        </w:rPr>
        <w:t>Exemple de dénomination inappropriée</w:t>
      </w:r>
      <w:r>
        <w:rPr>
          <w:rFonts w:eastAsiaTheme="minorEastAsia"/>
          <w:i/>
          <w:spacing w:val="-2"/>
          <w:sz w:val="18"/>
          <w:szCs w:val="18"/>
          <w:lang w:eastAsia="ja-JP"/>
        </w:rPr>
        <w:t> :</w:t>
      </w:r>
      <w:r w:rsidRPr="00F56EC5">
        <w:rPr>
          <w:rFonts w:eastAsiaTheme="minorEastAsia"/>
          <w:spacing w:val="-2"/>
          <w:sz w:val="18"/>
          <w:szCs w:val="18"/>
          <w:lang w:eastAsia="ja-JP"/>
        </w:rPr>
        <w:t xml:space="preserve"> la dénomination “ABC rouge” proposée par un obtenteur (Obtenteur 2) lorsque les dénominations “ABC velours”, “ABC étoile” et “ABC vert” sont enregistrées par un autre obtenteur (Obtenteur 1).”</w:t>
      </w:r>
    </w:p>
    <w:p w:rsidR="005111F8" w:rsidRDefault="005111F8" w:rsidP="005111F8">
      <w:pPr>
        <w:rPr>
          <w:rFonts w:eastAsiaTheme="minorEastAsia"/>
          <w:spacing w:val="-2"/>
          <w:lang w:eastAsia="ja-JP"/>
        </w:rPr>
      </w:pPr>
    </w:p>
    <w:p w:rsidR="005111F8" w:rsidRDefault="005111F8" w:rsidP="005111F8">
      <w:pPr>
        <w:rPr>
          <w:rFonts w:eastAsiaTheme="minorEastAsia"/>
          <w:spacing w:val="-2"/>
          <w:lang w:eastAsia="ja-JP"/>
        </w:rPr>
      </w:pPr>
      <w:r w:rsidRPr="00F56EC5">
        <w:rPr>
          <w:rFonts w:eastAsiaTheme="minorEastAsia"/>
          <w:spacing w:val="-2"/>
          <w:lang w:eastAsia="ja-JP"/>
        </w:rPr>
        <w:t>Section</w:t>
      </w:r>
      <w:r>
        <w:rPr>
          <w:rFonts w:eastAsiaTheme="minorEastAsia"/>
          <w:spacing w:val="-2"/>
          <w:lang w:eastAsia="ja-JP"/>
        </w:rPr>
        <w:t> </w:t>
      </w:r>
      <w:r w:rsidRPr="00F56EC5">
        <w:rPr>
          <w:rFonts w:eastAsiaTheme="minorEastAsia"/>
          <w:spacing w:val="-2"/>
          <w:lang w:eastAsia="ja-JP"/>
        </w:rPr>
        <w:t>5.3 a)</w:t>
      </w:r>
      <w:r>
        <w:rPr>
          <w:rFonts w:eastAsiaTheme="minorEastAsia"/>
          <w:spacing w:val="-2"/>
          <w:lang w:eastAsia="ja-JP"/>
        </w:rPr>
        <w:t> :</w:t>
      </w:r>
      <w:r w:rsidRPr="00F56EC5">
        <w:rPr>
          <w:rFonts w:eastAsiaTheme="minorEastAsia"/>
          <w:spacing w:val="-2"/>
          <w:lang w:eastAsia="ja-JP"/>
        </w:rPr>
        <w:t xml:space="preserve"> clarifier le libellé suivant</w:t>
      </w:r>
      <w:r>
        <w:rPr>
          <w:rFonts w:eastAsiaTheme="minorEastAsia"/>
          <w:spacing w:val="-2"/>
          <w:lang w:eastAsia="ja-JP"/>
        </w:rPr>
        <w:t> :</w:t>
      </w:r>
    </w:p>
    <w:p w:rsidR="005111F8" w:rsidRDefault="005111F8" w:rsidP="005111F8">
      <w:pPr>
        <w:rPr>
          <w:rFonts w:eastAsiaTheme="minorEastAsia"/>
          <w:spacing w:val="-2"/>
          <w:lang w:eastAsia="ja-JP"/>
        </w:rPr>
      </w:pPr>
    </w:p>
    <w:p w:rsidR="005111F8" w:rsidRDefault="005111F8" w:rsidP="005111F8">
      <w:pPr>
        <w:ind w:left="1560" w:hanging="142"/>
        <w:rPr>
          <w:rFonts w:eastAsiaTheme="minorEastAsia"/>
          <w:spacing w:val="-2"/>
          <w:sz w:val="18"/>
          <w:szCs w:val="18"/>
          <w:lang w:eastAsia="ja-JP"/>
        </w:rPr>
      </w:pPr>
      <w:r w:rsidRPr="00F56EC5">
        <w:rPr>
          <w:rFonts w:eastAsiaTheme="minorEastAsia"/>
          <w:spacing w:val="-2"/>
          <w:sz w:val="18"/>
          <w:szCs w:val="18"/>
          <w:lang w:eastAsia="ja-JP"/>
        </w:rPr>
        <w:tab/>
        <w:t>“elle n</w:t>
      </w:r>
      <w:r>
        <w:rPr>
          <w:rFonts w:eastAsiaTheme="minorEastAsia"/>
          <w:spacing w:val="-2"/>
          <w:sz w:val="18"/>
          <w:szCs w:val="18"/>
          <w:lang w:eastAsia="ja-JP"/>
        </w:rPr>
        <w:t>’</w:t>
      </w:r>
      <w:r w:rsidRPr="00F56EC5">
        <w:rPr>
          <w:rFonts w:eastAsiaTheme="minorEastAsia"/>
          <w:spacing w:val="-2"/>
          <w:sz w:val="18"/>
          <w:szCs w:val="18"/>
          <w:lang w:eastAsia="ja-JP"/>
        </w:rPr>
        <w:t>est pas conforme aux dispositions des paragraphes</w:t>
      </w:r>
      <w:r>
        <w:rPr>
          <w:rFonts w:eastAsiaTheme="minorEastAsia"/>
          <w:spacing w:val="-2"/>
          <w:sz w:val="18"/>
          <w:szCs w:val="18"/>
          <w:lang w:eastAsia="ja-JP"/>
        </w:rPr>
        <w:t> </w:t>
      </w:r>
      <w:r w:rsidRPr="00F56EC5">
        <w:rPr>
          <w:rFonts w:eastAsiaTheme="minorEastAsia"/>
          <w:spacing w:val="-2"/>
          <w:sz w:val="18"/>
          <w:szCs w:val="18"/>
          <w:lang w:eastAsia="ja-JP"/>
        </w:rPr>
        <w:t>2) (par exemple, la dénomination proposée ne diffère pas de la dénomination d</w:t>
      </w:r>
      <w:r>
        <w:rPr>
          <w:rFonts w:eastAsiaTheme="minorEastAsia"/>
          <w:spacing w:val="-2"/>
          <w:sz w:val="18"/>
          <w:szCs w:val="18"/>
          <w:lang w:eastAsia="ja-JP"/>
        </w:rPr>
        <w:t>’</w:t>
      </w:r>
      <w:r w:rsidRPr="00F56EC5">
        <w:rPr>
          <w:rFonts w:eastAsiaTheme="minorEastAsia"/>
          <w:spacing w:val="-2"/>
          <w:sz w:val="18"/>
          <w:szCs w:val="18"/>
          <w:lang w:eastAsia="ja-JP"/>
        </w:rPr>
        <w:t>une variété préexistante de la même espèce végétale ou d</w:t>
      </w:r>
      <w:r>
        <w:rPr>
          <w:rFonts w:eastAsiaTheme="minorEastAsia"/>
          <w:spacing w:val="-2"/>
          <w:sz w:val="18"/>
          <w:szCs w:val="18"/>
          <w:lang w:eastAsia="ja-JP"/>
        </w:rPr>
        <w:t>’</w:t>
      </w:r>
      <w:r w:rsidRPr="00F56EC5">
        <w:rPr>
          <w:rFonts w:eastAsiaTheme="minorEastAsia"/>
          <w:spacing w:val="-2"/>
          <w:sz w:val="18"/>
          <w:szCs w:val="18"/>
          <w:lang w:eastAsia="ja-JP"/>
        </w:rPr>
        <w:t>une espèce voisine sur son territoire) et 4) (par exemple, la dénomination proposée est identique à une marque enregistrée pour un produit identique);”</w:t>
      </w:r>
    </w:p>
    <w:p w:rsidR="005111F8" w:rsidRDefault="005111F8" w:rsidP="005111F8">
      <w:pPr>
        <w:ind w:firstLine="567"/>
        <w:jc w:val="left"/>
        <w:rPr>
          <w:rFonts w:cs="Arial"/>
        </w:rPr>
      </w:pPr>
    </w:p>
    <w:p w:rsidR="005111F8" w:rsidRDefault="005111F8" w:rsidP="005111F8">
      <w:pPr>
        <w:rPr>
          <w:rFonts w:eastAsiaTheme="minorEastAsia"/>
        </w:rPr>
      </w:pPr>
      <w:r w:rsidRPr="000F39F1">
        <w:rPr>
          <w:rFonts w:eastAsiaTheme="minorEastAsia"/>
        </w:rPr>
        <w:fldChar w:fldCharType="begin"/>
      </w:r>
      <w:r w:rsidRPr="000F39F1">
        <w:rPr>
          <w:rFonts w:eastAsiaTheme="minorEastAsia"/>
        </w:rPr>
        <w:instrText xml:space="preserve"> AUTONUM  </w:instrText>
      </w:r>
      <w:r w:rsidRPr="000F39F1">
        <w:rPr>
          <w:rFonts w:eastAsiaTheme="minorEastAsia"/>
        </w:rPr>
        <w:fldChar w:fldCharType="end"/>
      </w:r>
      <w:r w:rsidRPr="000F39F1">
        <w:rPr>
          <w:rFonts w:eastAsiaTheme="minorEastAsia"/>
        </w:rPr>
        <w:tab/>
        <w:t>Le WG</w:t>
      </w:r>
      <w:r w:rsidR="0054194F">
        <w:rPr>
          <w:rFonts w:eastAsiaTheme="minorEastAsia"/>
        </w:rPr>
        <w:noBreakHyphen/>
      </w:r>
      <w:r w:rsidRPr="000F39F1">
        <w:rPr>
          <w:rFonts w:eastAsiaTheme="minorEastAsia"/>
        </w:rPr>
        <w:t>DEN est convenu qu</w:t>
      </w:r>
      <w:r>
        <w:rPr>
          <w:rFonts w:eastAsiaTheme="minorEastAsia"/>
        </w:rPr>
        <w:t>’</w:t>
      </w:r>
      <w:r w:rsidRPr="000F39F1">
        <w:rPr>
          <w:rFonts w:eastAsiaTheme="minorEastAsia"/>
        </w:rPr>
        <w:t>un projet du document UPOV/EXN/DEN/1 devrait être soumis au Comité administratif et juridique (CAJ) sur cette base.</w:t>
      </w:r>
    </w:p>
    <w:p w:rsidR="005111F8" w:rsidRDefault="005111F8" w:rsidP="005111F8">
      <w:pPr>
        <w:rPr>
          <w:lang w:eastAsia="ja-JP"/>
        </w:rPr>
      </w:pPr>
    </w:p>
    <w:p w:rsidR="005111F8" w:rsidRDefault="005111F8" w:rsidP="005111F8">
      <w:pPr>
        <w:rPr>
          <w:lang w:eastAsia="ja-JP"/>
        </w:rPr>
      </w:pPr>
    </w:p>
    <w:p w:rsidR="005111F8" w:rsidRDefault="005111F8" w:rsidP="005111F8">
      <w:pPr>
        <w:pStyle w:val="Heading2"/>
        <w:rPr>
          <w:lang w:val="fr-FR"/>
        </w:rPr>
      </w:pPr>
      <w:bookmarkStart w:id="6" w:name="_Toc54258052"/>
      <w:r w:rsidRPr="00F56EC5">
        <w:rPr>
          <w:lang w:val="fr-FR"/>
        </w:rPr>
        <w:t>Comité administratif et juridique</w:t>
      </w:r>
      <w:bookmarkEnd w:id="6"/>
    </w:p>
    <w:p w:rsidR="005111F8" w:rsidRDefault="005111F8" w:rsidP="005111F8">
      <w:pPr>
        <w:keepNext/>
        <w:rPr>
          <w:lang w:eastAsia="ja-JP"/>
        </w:rPr>
      </w:pPr>
    </w:p>
    <w:p w:rsidR="005111F8" w:rsidRDefault="005111F8" w:rsidP="005111F8">
      <w:pPr>
        <w:keepNext/>
      </w:pPr>
      <w:r w:rsidRPr="00F56EC5">
        <w:rPr>
          <w:rFonts w:eastAsiaTheme="minorEastAsia"/>
          <w:snapToGrid w:val="0"/>
          <w:lang w:eastAsia="ja-JP"/>
        </w:rPr>
        <w:fldChar w:fldCharType="begin"/>
      </w:r>
      <w:r w:rsidRPr="00F56EC5">
        <w:rPr>
          <w:rFonts w:eastAsiaTheme="minorEastAsia"/>
          <w:snapToGrid w:val="0"/>
          <w:lang w:eastAsia="ja-JP"/>
        </w:rPr>
        <w:instrText xml:space="preserve"> AUTONUM  </w:instrText>
      </w:r>
      <w:r w:rsidRPr="00F56EC5">
        <w:rPr>
          <w:rFonts w:eastAsiaTheme="minorEastAsia"/>
          <w:snapToGrid w:val="0"/>
          <w:lang w:eastAsia="ja-JP"/>
        </w:rPr>
        <w:fldChar w:fldCharType="end"/>
      </w:r>
      <w:r w:rsidRPr="00F56EC5">
        <w:rPr>
          <w:rFonts w:eastAsiaTheme="minorEastAsia"/>
          <w:snapToGrid w:val="0"/>
          <w:lang w:eastAsia="ja-JP"/>
        </w:rPr>
        <w:tab/>
        <w:t>À sa soixante</w:t>
      </w:r>
      <w:r w:rsidR="0054194F">
        <w:rPr>
          <w:rFonts w:eastAsiaTheme="minorEastAsia"/>
          <w:snapToGrid w:val="0"/>
          <w:lang w:eastAsia="ja-JP"/>
        </w:rPr>
        <w:noBreakHyphen/>
      </w:r>
      <w:r w:rsidRPr="00F56EC5">
        <w:rPr>
          <w:rFonts w:eastAsiaTheme="minorEastAsia"/>
          <w:snapToGrid w:val="0"/>
          <w:lang w:eastAsia="ja-JP"/>
        </w:rPr>
        <w:t>seiz</w:t>
      </w:r>
      <w:r>
        <w:rPr>
          <w:rFonts w:eastAsiaTheme="minorEastAsia"/>
          <w:snapToGrid w:val="0"/>
          <w:lang w:eastAsia="ja-JP"/>
        </w:rPr>
        <w:t>ième session</w:t>
      </w:r>
      <w:r w:rsidRPr="00F56EC5">
        <w:rPr>
          <w:rFonts w:eastAsiaTheme="minorEastAsia"/>
          <w:snapToGrid w:val="0"/>
          <w:lang w:eastAsia="ja-JP"/>
        </w:rPr>
        <w:t>, le</w:t>
      </w:r>
      <w:r>
        <w:rPr>
          <w:rFonts w:eastAsiaTheme="minorEastAsia"/>
          <w:snapToGrid w:val="0"/>
          <w:lang w:eastAsia="ja-JP"/>
        </w:rPr>
        <w:t> </w:t>
      </w:r>
      <w:r w:rsidRPr="00F56EC5">
        <w:rPr>
          <w:rFonts w:eastAsiaTheme="minorEastAsia"/>
          <w:snapToGrid w:val="0"/>
          <w:lang w:eastAsia="ja-JP"/>
        </w:rPr>
        <w:t xml:space="preserve">CAJ a examiné les documents CAJ/76/6 </w:t>
      </w:r>
      <w:r>
        <w:rPr>
          <w:rFonts w:eastAsiaTheme="minorEastAsia"/>
          <w:snapToGrid w:val="0"/>
          <w:lang w:eastAsia="ja-JP"/>
        </w:rPr>
        <w:t>“</w:t>
      </w:r>
      <w:r w:rsidRPr="00F56EC5">
        <w:rPr>
          <w:rFonts w:eastAsiaTheme="minorEastAsia"/>
          <w:snapToGrid w:val="0"/>
          <w:lang w:eastAsia="ja-JP"/>
        </w:rPr>
        <w:t>Dénominations variétales</w:t>
      </w:r>
      <w:r>
        <w:rPr>
          <w:rFonts w:eastAsiaTheme="minorEastAsia"/>
          <w:snapToGrid w:val="0"/>
          <w:lang w:eastAsia="ja-JP"/>
        </w:rPr>
        <w:t>”</w:t>
      </w:r>
      <w:r w:rsidRPr="00F56EC5">
        <w:rPr>
          <w:rFonts w:eastAsiaTheme="minorEastAsia"/>
          <w:snapToGrid w:val="0"/>
          <w:lang w:eastAsia="ja-JP"/>
        </w:rPr>
        <w:t xml:space="preserve"> et CAJ/76/6</w:t>
      </w:r>
      <w:r>
        <w:rPr>
          <w:rFonts w:eastAsiaTheme="minorEastAsia"/>
          <w:snapToGrid w:val="0"/>
          <w:lang w:eastAsia="ja-JP"/>
        </w:rPr>
        <w:t> </w:t>
      </w:r>
      <w:proofErr w:type="spellStart"/>
      <w:r w:rsidRPr="00F56EC5">
        <w:rPr>
          <w:rFonts w:eastAsiaTheme="minorEastAsia"/>
          <w:snapToGrid w:val="0"/>
          <w:lang w:eastAsia="ja-JP"/>
        </w:rPr>
        <w:t>Add</w:t>
      </w:r>
      <w:proofErr w:type="spellEnd"/>
      <w:r>
        <w:rPr>
          <w:rFonts w:eastAsiaTheme="minorEastAsia"/>
          <w:snapToGrid w:val="0"/>
          <w:lang w:eastAsia="ja-JP"/>
        </w:rPr>
        <w:t xml:space="preserve">.  </w:t>
      </w:r>
      <w:r w:rsidRPr="00F56EC5">
        <w:t>Le</w:t>
      </w:r>
      <w:r>
        <w:t> </w:t>
      </w:r>
      <w:r w:rsidRPr="00F56EC5">
        <w:t xml:space="preserve">CAJ a pris note du fait que le document CAJ/76/6 </w:t>
      </w:r>
      <w:proofErr w:type="spellStart"/>
      <w:r w:rsidRPr="00F56EC5">
        <w:t>Add</w:t>
      </w:r>
      <w:proofErr w:type="spellEnd"/>
      <w:r w:rsidRPr="00F56EC5">
        <w:t xml:space="preserve"> contenait les conclusions de la sixième réunion du WG</w:t>
      </w:r>
      <w:r w:rsidR="0054194F">
        <w:noBreakHyphen/>
      </w:r>
      <w:r w:rsidRPr="00F56EC5">
        <w:t>DEN (voir les paragraphes</w:t>
      </w:r>
      <w:r>
        <w:t> </w:t>
      </w:r>
      <w:r w:rsidRPr="00F56EC5">
        <w:t xml:space="preserve">35 à 39 du document CAJ/76/9 </w:t>
      </w:r>
      <w:r>
        <w:t>“</w:t>
      </w:r>
      <w:r w:rsidRPr="00F56EC5">
        <w:t>Compte rendu</w:t>
      </w:r>
      <w:r>
        <w:t>”</w:t>
      </w:r>
      <w:r w:rsidRPr="00F56EC5">
        <w:t>).</w:t>
      </w:r>
    </w:p>
    <w:p w:rsidR="005111F8" w:rsidRDefault="005111F8" w:rsidP="005111F8">
      <w:pPr>
        <w:rPr>
          <w:kern w:val="28"/>
        </w:rPr>
      </w:pPr>
    </w:p>
    <w:p w:rsidR="005111F8" w:rsidRDefault="005111F8" w:rsidP="005111F8">
      <w:pPr>
        <w:keepNext/>
        <w:keepLines/>
        <w:rPr>
          <w:rFonts w:eastAsiaTheme="minorEastAsia"/>
          <w:spacing w:val="-2"/>
          <w:sz w:val="18"/>
          <w:szCs w:val="18"/>
          <w:lang w:eastAsia="ja-JP"/>
        </w:rPr>
      </w:pPr>
      <w:r w:rsidRPr="00F56EC5">
        <w:rPr>
          <w:kern w:val="28"/>
        </w:rPr>
        <w:fldChar w:fldCharType="begin"/>
      </w:r>
      <w:r w:rsidRPr="00F56EC5">
        <w:rPr>
          <w:kern w:val="28"/>
        </w:rPr>
        <w:instrText xml:space="preserve"> AUTONUM  </w:instrText>
      </w:r>
      <w:r w:rsidRPr="00F56EC5">
        <w:rPr>
          <w:kern w:val="28"/>
        </w:rPr>
        <w:fldChar w:fldCharType="end"/>
      </w:r>
      <w:r w:rsidRPr="00F56EC5">
        <w:rPr>
          <w:kern w:val="28"/>
        </w:rPr>
        <w:tab/>
        <w:t xml:space="preserve">Le CAJ a pris note des révisions du document UPOV/INF/12/5 présentées dans le document UPOV/EXN/DEN/1 </w:t>
      </w:r>
      <w:proofErr w:type="spellStart"/>
      <w:r w:rsidRPr="00F56EC5">
        <w:rPr>
          <w:kern w:val="28"/>
        </w:rPr>
        <w:t>Draft</w:t>
      </w:r>
      <w:proofErr w:type="spellEnd"/>
      <w:r w:rsidRPr="00F56EC5">
        <w:rPr>
          <w:kern w:val="28"/>
        </w:rPr>
        <w:t xml:space="preserve"> 2 compte tenu des modifications proposées par le WG</w:t>
      </w:r>
      <w:r w:rsidR="0054194F">
        <w:rPr>
          <w:kern w:val="28"/>
        </w:rPr>
        <w:noBreakHyphen/>
      </w:r>
      <w:r w:rsidRPr="00F56EC5">
        <w:rPr>
          <w:kern w:val="28"/>
        </w:rPr>
        <w:t>DEN.</w:t>
      </w:r>
    </w:p>
    <w:p w:rsidR="005111F8" w:rsidRDefault="005111F8" w:rsidP="005111F8"/>
    <w:p w:rsidR="005111F8" w:rsidRDefault="005111F8" w:rsidP="005111F8">
      <w:pPr>
        <w:keepNext/>
        <w:rPr>
          <w:rFonts w:eastAsiaTheme="minorEastAsia"/>
          <w:spacing w:val="-2"/>
          <w:lang w:eastAsia="ja-JP"/>
        </w:rPr>
      </w:pPr>
      <w:r w:rsidRPr="00F56EC5">
        <w:rPr>
          <w:kern w:val="28"/>
        </w:rPr>
        <w:fldChar w:fldCharType="begin"/>
      </w:r>
      <w:r w:rsidRPr="00F56EC5">
        <w:rPr>
          <w:kern w:val="28"/>
        </w:rPr>
        <w:instrText xml:space="preserve"> AUTONUM  </w:instrText>
      </w:r>
      <w:r w:rsidRPr="00F56EC5">
        <w:rPr>
          <w:kern w:val="28"/>
        </w:rPr>
        <w:fldChar w:fldCharType="end"/>
      </w:r>
      <w:r w:rsidRPr="00F56EC5">
        <w:rPr>
          <w:kern w:val="28"/>
        </w:rPr>
        <w:tab/>
        <w:t>Le CAJ a noté que le WG</w:t>
      </w:r>
      <w:r w:rsidR="0054194F">
        <w:rPr>
          <w:kern w:val="28"/>
        </w:rPr>
        <w:noBreakHyphen/>
      </w:r>
      <w:r w:rsidRPr="00F56EC5">
        <w:rPr>
          <w:kern w:val="28"/>
        </w:rPr>
        <w:t>DEN avait demandé au Bureau de l</w:t>
      </w:r>
      <w:r>
        <w:rPr>
          <w:kern w:val="28"/>
        </w:rPr>
        <w:t>’</w:t>
      </w:r>
      <w:r w:rsidRPr="00F56EC5">
        <w:rPr>
          <w:kern w:val="28"/>
        </w:rPr>
        <w:t>Union de préciser le libellé suivant</w:t>
      </w:r>
      <w:r>
        <w:rPr>
          <w:kern w:val="28"/>
        </w:rPr>
        <w:t> :</w:t>
      </w:r>
    </w:p>
    <w:p w:rsidR="005111F8" w:rsidRDefault="005111F8" w:rsidP="005111F8">
      <w:pPr>
        <w:keepNext/>
        <w:rPr>
          <w:rFonts w:eastAsiaTheme="minorEastAsia"/>
          <w:spacing w:val="-2"/>
          <w:lang w:eastAsia="ja-JP"/>
        </w:rPr>
      </w:pPr>
    </w:p>
    <w:p w:rsidR="005111F8" w:rsidRDefault="005111F8" w:rsidP="005111F8">
      <w:pPr>
        <w:keepNext/>
        <w:ind w:left="567" w:right="567"/>
        <w:rPr>
          <w:rFonts w:eastAsiaTheme="minorEastAsia"/>
          <w:spacing w:val="-2"/>
          <w:lang w:eastAsia="ja-JP"/>
        </w:rPr>
      </w:pPr>
      <w:r w:rsidRPr="00F56EC5">
        <w:rPr>
          <w:rFonts w:eastAsiaTheme="minorEastAsia"/>
          <w:spacing w:val="-2"/>
          <w:lang w:eastAsia="ja-JP"/>
        </w:rPr>
        <w:t>“Section</w:t>
      </w:r>
      <w:r>
        <w:rPr>
          <w:rFonts w:eastAsiaTheme="minorEastAsia"/>
          <w:spacing w:val="-2"/>
          <w:lang w:eastAsia="ja-JP"/>
        </w:rPr>
        <w:t> </w:t>
      </w:r>
      <w:r w:rsidRPr="00F56EC5">
        <w:rPr>
          <w:rFonts w:eastAsiaTheme="minorEastAsia"/>
          <w:spacing w:val="-2"/>
          <w:lang w:eastAsia="ja-JP"/>
        </w:rPr>
        <w:t>5.3 a)</w:t>
      </w:r>
      <w:r>
        <w:rPr>
          <w:rFonts w:eastAsiaTheme="minorEastAsia"/>
          <w:spacing w:val="-2"/>
          <w:lang w:eastAsia="ja-JP"/>
        </w:rPr>
        <w:t> :</w:t>
      </w:r>
    </w:p>
    <w:p w:rsidR="005111F8" w:rsidRDefault="005111F8" w:rsidP="005111F8">
      <w:pPr>
        <w:ind w:left="567" w:right="567"/>
        <w:rPr>
          <w:rFonts w:eastAsiaTheme="minorEastAsia"/>
          <w:spacing w:val="-2"/>
          <w:sz w:val="18"/>
          <w:szCs w:val="18"/>
          <w:lang w:eastAsia="ja-JP"/>
        </w:rPr>
      </w:pPr>
      <w:r w:rsidRPr="00F56EC5">
        <w:rPr>
          <w:rFonts w:eastAsiaTheme="minorEastAsia"/>
          <w:spacing w:val="-2"/>
          <w:sz w:val="18"/>
          <w:szCs w:val="18"/>
          <w:lang w:eastAsia="ja-JP"/>
        </w:rPr>
        <w:t>“elle n</w:t>
      </w:r>
      <w:r>
        <w:rPr>
          <w:rFonts w:eastAsiaTheme="minorEastAsia"/>
          <w:spacing w:val="-2"/>
          <w:sz w:val="18"/>
          <w:szCs w:val="18"/>
          <w:lang w:eastAsia="ja-JP"/>
        </w:rPr>
        <w:t>’</w:t>
      </w:r>
      <w:r w:rsidRPr="00F56EC5">
        <w:rPr>
          <w:rFonts w:eastAsiaTheme="minorEastAsia"/>
          <w:spacing w:val="-2"/>
          <w:sz w:val="18"/>
          <w:szCs w:val="18"/>
          <w:lang w:eastAsia="ja-JP"/>
        </w:rPr>
        <w:t>est pas conforme aux dispositions des paragraphes</w:t>
      </w:r>
      <w:r>
        <w:rPr>
          <w:rFonts w:eastAsiaTheme="minorEastAsia"/>
          <w:spacing w:val="-2"/>
          <w:sz w:val="18"/>
          <w:szCs w:val="18"/>
          <w:lang w:eastAsia="ja-JP"/>
        </w:rPr>
        <w:t> </w:t>
      </w:r>
      <w:r w:rsidRPr="00F56EC5">
        <w:rPr>
          <w:rFonts w:eastAsiaTheme="minorEastAsia"/>
          <w:spacing w:val="-2"/>
          <w:sz w:val="18"/>
          <w:szCs w:val="18"/>
          <w:lang w:eastAsia="ja-JP"/>
        </w:rPr>
        <w:t>2) (par exemple, la dénomination proposée ne diffère pas de la dénomination d</w:t>
      </w:r>
      <w:r>
        <w:rPr>
          <w:rFonts w:eastAsiaTheme="minorEastAsia"/>
          <w:spacing w:val="-2"/>
          <w:sz w:val="18"/>
          <w:szCs w:val="18"/>
          <w:lang w:eastAsia="ja-JP"/>
        </w:rPr>
        <w:t>’</w:t>
      </w:r>
      <w:r w:rsidRPr="00F56EC5">
        <w:rPr>
          <w:rFonts w:eastAsiaTheme="minorEastAsia"/>
          <w:spacing w:val="-2"/>
          <w:sz w:val="18"/>
          <w:szCs w:val="18"/>
          <w:lang w:eastAsia="ja-JP"/>
        </w:rPr>
        <w:t>une variété préexistante de la même espèce végétale ou d</w:t>
      </w:r>
      <w:r>
        <w:rPr>
          <w:rFonts w:eastAsiaTheme="minorEastAsia"/>
          <w:spacing w:val="-2"/>
          <w:sz w:val="18"/>
          <w:szCs w:val="18"/>
          <w:lang w:eastAsia="ja-JP"/>
        </w:rPr>
        <w:t>’</w:t>
      </w:r>
      <w:r w:rsidRPr="00F56EC5">
        <w:rPr>
          <w:rFonts w:eastAsiaTheme="minorEastAsia"/>
          <w:spacing w:val="-2"/>
          <w:sz w:val="18"/>
          <w:szCs w:val="18"/>
          <w:lang w:eastAsia="ja-JP"/>
        </w:rPr>
        <w:t>une espèce voisine sur son territoire) et 4) (par exemple, la dénomination proposée est identique à une marque enregistrée pour un produit identique);”</w:t>
      </w:r>
    </w:p>
    <w:p w:rsidR="005111F8" w:rsidRDefault="005111F8" w:rsidP="005111F8"/>
    <w:p w:rsidR="005111F8" w:rsidRDefault="005111F8" w:rsidP="005111F8">
      <w:pPr>
        <w:keepLines/>
      </w:pPr>
      <w:r w:rsidRPr="00F56EC5">
        <w:fldChar w:fldCharType="begin"/>
      </w:r>
      <w:r w:rsidRPr="00F56EC5">
        <w:instrText xml:space="preserve"> AUTONUM  </w:instrText>
      </w:r>
      <w:r w:rsidRPr="00F56EC5">
        <w:fldChar w:fldCharType="end"/>
      </w:r>
      <w:r w:rsidRPr="00F56EC5">
        <w:tab/>
        <w:t>Le CAJ a pris note de la demande formulée par la délégation de l</w:t>
      </w:r>
      <w:r>
        <w:t>’</w:t>
      </w:r>
      <w:r w:rsidRPr="00F56EC5">
        <w:t>Union européenne concernant des modifications à apporter à la section</w:t>
      </w:r>
      <w:r>
        <w:t> </w:t>
      </w:r>
      <w:r w:rsidRPr="00F56EC5">
        <w:t>2.3.3.a)1), consistant à remplacer l</w:t>
      </w:r>
      <w:r>
        <w:t>’</w:t>
      </w:r>
      <w:r w:rsidRPr="00F56EC5">
        <w:t>expression “visuelle et phonétique” par “visuelle ou phonétique” et à ajouter un élément supplémentaire pour “concept”.  Le Bureau de l</w:t>
      </w:r>
      <w:r>
        <w:t>’</w:t>
      </w:r>
      <w:r w:rsidRPr="00F56EC5">
        <w:t>Union a indiqué que ces propositions avaient été examinées par le WG</w:t>
      </w:r>
      <w:r w:rsidR="0054194F">
        <w:noBreakHyphen/>
      </w:r>
      <w:r w:rsidRPr="00F56EC5">
        <w:t>DEN et n</w:t>
      </w:r>
      <w:r>
        <w:t>’</w:t>
      </w:r>
      <w:r w:rsidRPr="00F56EC5">
        <w:t>avaient pas été retenues car elles donneraient lieu à des incohérences sans d</w:t>
      </w:r>
      <w:r>
        <w:t>’</w:t>
      </w:r>
      <w:r w:rsidRPr="00F56EC5">
        <w:t>autres modifications.</w:t>
      </w:r>
    </w:p>
    <w:p w:rsidR="005111F8" w:rsidRDefault="005111F8" w:rsidP="005111F8"/>
    <w:p w:rsidR="005111F8" w:rsidRDefault="005111F8" w:rsidP="005111F8">
      <w:pPr>
        <w:rPr>
          <w:rFonts w:eastAsiaTheme="minorEastAsia"/>
          <w:spacing w:val="-4"/>
        </w:rPr>
      </w:pPr>
      <w:r w:rsidRPr="00F56EC5">
        <w:lastRenderedPageBreak/>
        <w:fldChar w:fldCharType="begin"/>
      </w:r>
      <w:r w:rsidRPr="00F56EC5">
        <w:instrText xml:space="preserve"> AUTONUM  </w:instrText>
      </w:r>
      <w:r w:rsidRPr="00F56EC5">
        <w:fldChar w:fldCharType="end"/>
      </w:r>
      <w:r w:rsidRPr="00F56EC5">
        <w:tab/>
        <w:t>Le CAJ est convenu que le Bureau de l</w:t>
      </w:r>
      <w:r>
        <w:t>’</w:t>
      </w:r>
      <w:r w:rsidRPr="00F56EC5">
        <w:t xml:space="preserve">Union devrait inviter les membres et les observateurs à présenter des observations écrites par correspondance sur le document UPOV/EXN/DEN “Notes explicatives concernant les dénominations variétales en vertu de la </w:t>
      </w:r>
      <w:r>
        <w:t>Convention UPOV</w:t>
      </w:r>
      <w:r w:rsidRPr="00F56EC5">
        <w:t>” concernant les questions soulevées aux paragraphes</w:t>
      </w:r>
      <w:r>
        <w:t> </w:t>
      </w:r>
      <w:r w:rsidRPr="00F56EC5">
        <w:t>17 et 18.  Le Bureau de l</w:t>
      </w:r>
      <w:r>
        <w:t>’</w:t>
      </w:r>
      <w:r w:rsidRPr="00F56EC5">
        <w:t xml:space="preserve">Union, partant des observations écrites reçues par correspondance, établirait un projet de document UPOV/EXN/DEN “Notes explicatives concernant les dénominations variétales en vertu de la </w:t>
      </w:r>
      <w:r>
        <w:t>Convention UPOV</w:t>
      </w:r>
      <w:r w:rsidRPr="00F56EC5">
        <w:t>” qu</w:t>
      </w:r>
      <w:r>
        <w:t>’</w:t>
      </w:r>
      <w:r w:rsidRPr="00F56EC5">
        <w:t>il soumettrait au</w:t>
      </w:r>
      <w:r>
        <w:t> </w:t>
      </w:r>
      <w:r w:rsidRPr="00F56EC5">
        <w:t>CAJ pour examen à sa soixante</w:t>
      </w:r>
      <w:r w:rsidR="0054194F">
        <w:noBreakHyphen/>
      </w:r>
      <w:r w:rsidRPr="00F56EC5">
        <w:t>dix</w:t>
      </w:r>
      <w:r w:rsidR="0054194F">
        <w:noBreakHyphen/>
      </w:r>
      <w:r w:rsidRPr="00F56EC5">
        <w:t>sept</w:t>
      </w:r>
      <w:r>
        <w:t>ième session</w:t>
      </w:r>
      <w:r w:rsidRPr="00F56EC5">
        <w:t xml:space="preserve"> le 28</w:t>
      </w:r>
      <w:r>
        <w:t> </w:t>
      </w:r>
      <w:r w:rsidRPr="00F56EC5">
        <w:t>octobre</w:t>
      </w:r>
      <w:r>
        <w:t> </w:t>
      </w:r>
      <w:r w:rsidRPr="00F56EC5">
        <w:t>2020.</w:t>
      </w:r>
    </w:p>
    <w:p w:rsidR="005111F8" w:rsidRDefault="005111F8" w:rsidP="005111F8"/>
    <w:p w:rsidR="005111F8" w:rsidRDefault="005111F8" w:rsidP="005111F8">
      <w:pPr>
        <w:rPr>
          <w:rFonts w:cs="Arial"/>
        </w:rPr>
      </w:pPr>
      <w:r w:rsidRPr="00F56EC5">
        <w:rPr>
          <w:rFonts w:cs="Arial"/>
        </w:rPr>
        <w:fldChar w:fldCharType="begin"/>
      </w:r>
      <w:r w:rsidRPr="00F56EC5">
        <w:rPr>
          <w:rFonts w:cs="Arial"/>
        </w:rPr>
        <w:instrText xml:space="preserve"> AUTONUM  </w:instrText>
      </w:r>
      <w:r w:rsidRPr="00F56EC5">
        <w:rPr>
          <w:rFonts w:cs="Arial"/>
        </w:rPr>
        <w:fldChar w:fldCharType="end"/>
      </w:r>
      <w:r w:rsidRPr="00F56EC5">
        <w:rPr>
          <w:rFonts w:cs="Arial"/>
        </w:rPr>
        <w:tab/>
        <w:t>À sa soixante</w:t>
      </w:r>
      <w:r w:rsidR="0054194F">
        <w:rPr>
          <w:rFonts w:cs="Arial"/>
        </w:rPr>
        <w:noBreakHyphen/>
      </w:r>
      <w:r w:rsidRPr="00F56EC5">
        <w:rPr>
          <w:rFonts w:cs="Arial"/>
        </w:rPr>
        <w:t>dix</w:t>
      </w:r>
      <w:r w:rsidR="0054194F">
        <w:rPr>
          <w:rFonts w:cs="Arial"/>
        </w:rPr>
        <w:noBreakHyphen/>
      </w:r>
      <w:r w:rsidRPr="00F56EC5">
        <w:rPr>
          <w:rFonts w:cs="Arial"/>
        </w:rPr>
        <w:t>sept</w:t>
      </w:r>
      <w:r>
        <w:rPr>
          <w:rFonts w:cs="Arial"/>
        </w:rPr>
        <w:t>ième session</w:t>
      </w:r>
      <w:r w:rsidRPr="00F56EC5">
        <w:rPr>
          <w:rFonts w:cs="Arial"/>
        </w:rPr>
        <w:t xml:space="preserve"> prévue le 28</w:t>
      </w:r>
      <w:r>
        <w:rPr>
          <w:rFonts w:cs="Arial"/>
        </w:rPr>
        <w:t> </w:t>
      </w:r>
      <w:r w:rsidRPr="00F56EC5">
        <w:rPr>
          <w:rFonts w:cs="Arial"/>
        </w:rPr>
        <w:t>octobre</w:t>
      </w:r>
      <w:r>
        <w:rPr>
          <w:rFonts w:cs="Arial"/>
        </w:rPr>
        <w:t> </w:t>
      </w:r>
      <w:r w:rsidRPr="00F56EC5">
        <w:rPr>
          <w:rFonts w:cs="Arial"/>
        </w:rPr>
        <w:t>2020, le</w:t>
      </w:r>
      <w:r>
        <w:rPr>
          <w:rFonts w:cs="Arial"/>
        </w:rPr>
        <w:t> </w:t>
      </w:r>
      <w:r w:rsidRPr="00F56EC5">
        <w:rPr>
          <w:rFonts w:cs="Arial"/>
        </w:rPr>
        <w:t xml:space="preserve">CAJ sera invité à examiner le document UPOV/EXN/DEN/1 </w:t>
      </w:r>
      <w:proofErr w:type="spellStart"/>
      <w:r w:rsidRPr="00F56EC5">
        <w:rPr>
          <w:rFonts w:cs="Arial"/>
        </w:rPr>
        <w:t>Draft</w:t>
      </w:r>
      <w:proofErr w:type="spellEnd"/>
      <w:r w:rsidRPr="00F56EC5">
        <w:rPr>
          <w:rFonts w:cs="Arial"/>
        </w:rPr>
        <w:t xml:space="preserve"> 4.</w:t>
      </w:r>
    </w:p>
    <w:p w:rsidR="005111F8" w:rsidRDefault="005111F8" w:rsidP="005111F8">
      <w:pPr>
        <w:rPr>
          <w:rFonts w:eastAsiaTheme="minorEastAsia"/>
          <w:lang w:eastAsia="ja-JP"/>
        </w:rPr>
      </w:pPr>
    </w:p>
    <w:p w:rsidR="005111F8" w:rsidRDefault="005111F8" w:rsidP="005111F8">
      <w:pPr>
        <w:rPr>
          <w:lang w:eastAsia="ja-JP"/>
        </w:rPr>
      </w:pPr>
    </w:p>
    <w:p w:rsidR="005111F8" w:rsidRDefault="005111F8" w:rsidP="005111F8">
      <w:pPr>
        <w:pStyle w:val="Heading1"/>
        <w:rPr>
          <w:rFonts w:eastAsiaTheme="minorEastAsia"/>
          <w:lang w:val="fr-FR"/>
        </w:rPr>
      </w:pPr>
      <w:bookmarkStart w:id="7" w:name="_Toc54258053"/>
      <w:r w:rsidRPr="00F56EC5">
        <w:rPr>
          <w:rFonts w:eastAsiaTheme="minorEastAsia"/>
          <w:lang w:val="fr-FR"/>
        </w:rPr>
        <w:t>Possibilit</w:t>
      </w:r>
      <w:r w:rsidR="006548B1" w:rsidRPr="006548B1">
        <w:rPr>
          <w:lang w:val="fr-CH"/>
        </w:rPr>
        <w:t>É</w:t>
      </w:r>
      <w:r w:rsidRPr="00F56EC5">
        <w:rPr>
          <w:rFonts w:eastAsiaTheme="minorEastAsia"/>
          <w:lang w:val="fr-FR"/>
        </w:rPr>
        <w:t xml:space="preserve"> de d</w:t>
      </w:r>
      <w:r w:rsidR="006548B1" w:rsidRPr="006548B1">
        <w:rPr>
          <w:lang w:val="fr-CH"/>
        </w:rPr>
        <w:t>É</w:t>
      </w:r>
      <w:r w:rsidRPr="00F56EC5">
        <w:rPr>
          <w:rFonts w:eastAsiaTheme="minorEastAsia"/>
          <w:lang w:val="fr-FR"/>
        </w:rPr>
        <w:t>veloppement d</w:t>
      </w:r>
      <w:r>
        <w:rPr>
          <w:rFonts w:eastAsiaTheme="minorEastAsia"/>
          <w:lang w:val="fr-FR"/>
        </w:rPr>
        <w:t>’</w:t>
      </w:r>
      <w:r w:rsidRPr="00F56EC5">
        <w:rPr>
          <w:rFonts w:eastAsiaTheme="minorEastAsia"/>
          <w:lang w:val="fr-FR"/>
        </w:rPr>
        <w:t xml:space="preserve">un moteur de recherche de similitudes </w:t>
      </w:r>
      <w:r>
        <w:rPr>
          <w:rFonts w:eastAsiaTheme="minorEastAsia"/>
          <w:lang w:val="fr-FR"/>
        </w:rPr>
        <w:t>de</w:t>
      </w:r>
      <w:r w:rsidRPr="00F56EC5">
        <w:rPr>
          <w:rFonts w:eastAsiaTheme="minorEastAsia"/>
          <w:lang w:val="fr-FR"/>
        </w:rPr>
        <w:t xml:space="preserve"> l</w:t>
      </w:r>
      <w:r>
        <w:rPr>
          <w:rFonts w:eastAsiaTheme="minorEastAsia"/>
          <w:lang w:val="fr-FR"/>
        </w:rPr>
        <w:t>’</w:t>
      </w:r>
      <w:r w:rsidRPr="00F56EC5">
        <w:rPr>
          <w:rFonts w:eastAsiaTheme="minorEastAsia"/>
          <w:lang w:val="fr-FR"/>
        </w:rPr>
        <w:t>UPOV aux fins de la d</w:t>
      </w:r>
      <w:r w:rsidR="006548B1" w:rsidRPr="006548B1">
        <w:rPr>
          <w:lang w:val="fr-CH"/>
        </w:rPr>
        <w:t>É</w:t>
      </w:r>
      <w:r w:rsidRPr="00F56EC5">
        <w:rPr>
          <w:rFonts w:eastAsiaTheme="minorEastAsia"/>
          <w:lang w:val="fr-FR"/>
        </w:rPr>
        <w:t>nomination vari</w:t>
      </w:r>
      <w:r w:rsidR="006548B1" w:rsidRPr="006548B1">
        <w:rPr>
          <w:lang w:val="fr-CH"/>
        </w:rPr>
        <w:t>É</w:t>
      </w:r>
      <w:r w:rsidRPr="00F56EC5">
        <w:rPr>
          <w:rFonts w:eastAsiaTheme="minorEastAsia"/>
          <w:lang w:val="fr-FR"/>
        </w:rPr>
        <w:t>tale</w:t>
      </w:r>
      <w:bookmarkEnd w:id="7"/>
    </w:p>
    <w:p w:rsidR="005111F8" w:rsidRDefault="005111F8" w:rsidP="005111F8">
      <w:pPr>
        <w:jc w:val="left"/>
        <w:rPr>
          <w:rFonts w:cs="Arial"/>
          <w:sz w:val="19"/>
          <w:szCs w:val="19"/>
        </w:rPr>
      </w:pPr>
    </w:p>
    <w:p w:rsidR="005111F8" w:rsidRDefault="005111F8" w:rsidP="005111F8">
      <w:pPr>
        <w:pStyle w:val="Heading2"/>
        <w:rPr>
          <w:lang w:val="fr-FR"/>
        </w:rPr>
      </w:pPr>
      <w:bookmarkStart w:id="8" w:name="_Toc54258054"/>
      <w:r w:rsidRPr="00F56EC5">
        <w:rPr>
          <w:lang w:val="fr-FR"/>
        </w:rPr>
        <w:t>Rappel</w:t>
      </w:r>
      <w:bookmarkEnd w:id="8"/>
    </w:p>
    <w:p w:rsidR="005111F8" w:rsidRDefault="005111F8" w:rsidP="005111F8">
      <w:pPr>
        <w:autoSpaceDE w:val="0"/>
        <w:autoSpaceDN w:val="0"/>
        <w:adjustRightInd w:val="0"/>
        <w:jc w:val="left"/>
        <w:rPr>
          <w:rFonts w:cs="Arial"/>
          <w:sz w:val="19"/>
          <w:szCs w:val="19"/>
        </w:rPr>
      </w:pPr>
    </w:p>
    <w:p w:rsidR="005111F8" w:rsidRDefault="005111F8" w:rsidP="005111F8">
      <w:pPr>
        <w:autoSpaceDE w:val="0"/>
        <w:autoSpaceDN w:val="0"/>
        <w:adjustRightInd w:val="0"/>
        <w:rPr>
          <w:rFonts w:cs="Arial"/>
        </w:rPr>
      </w:pPr>
      <w:r w:rsidRPr="00F56EC5">
        <w:rPr>
          <w:rFonts w:cs="Arial"/>
        </w:rPr>
        <w:fldChar w:fldCharType="begin"/>
      </w:r>
      <w:r w:rsidRPr="00F56EC5">
        <w:rPr>
          <w:rFonts w:cs="Arial"/>
        </w:rPr>
        <w:instrText xml:space="preserve"> AUTONUM  </w:instrText>
      </w:r>
      <w:r w:rsidRPr="00F56EC5">
        <w:rPr>
          <w:rFonts w:cs="Arial"/>
        </w:rPr>
        <w:fldChar w:fldCharType="end"/>
      </w:r>
      <w:r w:rsidRPr="00F56EC5">
        <w:rPr>
          <w:rFonts w:cs="Arial"/>
        </w:rPr>
        <w:tab/>
        <w:t>À sa soixante</w:t>
      </w:r>
      <w:r w:rsidR="0054194F">
        <w:rPr>
          <w:rFonts w:cs="Arial"/>
        </w:rPr>
        <w:noBreakHyphen/>
      </w:r>
      <w:r w:rsidRPr="00F56EC5">
        <w:rPr>
          <w:rFonts w:cs="Arial"/>
        </w:rPr>
        <w:t>dix</w:t>
      </w:r>
      <w:r>
        <w:rPr>
          <w:rFonts w:cs="Arial"/>
        </w:rPr>
        <w:t>ième session</w:t>
      </w:r>
      <w:r w:rsidRPr="00F56EC5">
        <w:rPr>
          <w:rFonts w:cs="Arial"/>
        </w:rPr>
        <w:t xml:space="preserve"> tenue à Genève le 13</w:t>
      </w:r>
      <w:r>
        <w:rPr>
          <w:rFonts w:cs="Arial"/>
        </w:rPr>
        <w:t> </w:t>
      </w:r>
      <w:r w:rsidRPr="00F56EC5">
        <w:rPr>
          <w:rFonts w:cs="Arial"/>
        </w:rPr>
        <w:t>octobre</w:t>
      </w:r>
      <w:r>
        <w:rPr>
          <w:rFonts w:cs="Arial"/>
        </w:rPr>
        <w:t> </w:t>
      </w:r>
      <w:r w:rsidRPr="00F56EC5">
        <w:rPr>
          <w:rFonts w:cs="Arial"/>
        </w:rPr>
        <w:t>2014, le</w:t>
      </w:r>
      <w:r>
        <w:rPr>
          <w:rFonts w:cs="Arial"/>
        </w:rPr>
        <w:t> </w:t>
      </w:r>
      <w:r w:rsidRPr="00F56EC5">
        <w:rPr>
          <w:rFonts w:cs="Arial"/>
        </w:rPr>
        <w:t>CAJ a noté que le Groupe de travail sur l</w:t>
      </w:r>
      <w:r>
        <w:rPr>
          <w:rFonts w:cs="Arial"/>
        </w:rPr>
        <w:t>’</w:t>
      </w:r>
      <w:r w:rsidRPr="00F56EC5">
        <w:rPr>
          <w:rFonts w:cs="Arial"/>
        </w:rPr>
        <w:t>élaboration d</w:t>
      </w:r>
      <w:r>
        <w:rPr>
          <w:rFonts w:cs="Arial"/>
        </w:rPr>
        <w:t>’</w:t>
      </w:r>
      <w:r w:rsidRPr="00F56EC5">
        <w:rPr>
          <w:rFonts w:cs="Arial"/>
        </w:rPr>
        <w:t>un moteur de recherche de similitudes de l</w:t>
      </w:r>
      <w:r>
        <w:rPr>
          <w:rFonts w:cs="Arial"/>
        </w:rPr>
        <w:t>’</w:t>
      </w:r>
      <w:r w:rsidRPr="00F56EC5">
        <w:rPr>
          <w:rFonts w:cs="Arial"/>
        </w:rPr>
        <w:t>UPOV aux fins de la dénomination variétale (WG</w:t>
      </w:r>
      <w:r w:rsidR="0054194F">
        <w:rPr>
          <w:rFonts w:cs="Arial"/>
        </w:rPr>
        <w:noBreakHyphen/>
      </w:r>
      <w:r w:rsidRPr="00F56EC5">
        <w:rPr>
          <w:rFonts w:cs="Arial"/>
        </w:rPr>
        <w:t>DST) était convenu que la fonction d</w:t>
      </w:r>
      <w:r>
        <w:rPr>
          <w:rFonts w:cs="Arial"/>
        </w:rPr>
        <w:t>’</w:t>
      </w:r>
      <w:r w:rsidRPr="00F56EC5">
        <w:rPr>
          <w:rFonts w:cs="Arial"/>
        </w:rPr>
        <w:t>un tel outil serait de repérer les dénominations présentant des similitudes avec des dénominations existantes dans la mesure où elles nécessiteraient un examen individuel plus approfondi avant qu</w:t>
      </w:r>
      <w:r>
        <w:rPr>
          <w:rFonts w:cs="Arial"/>
        </w:rPr>
        <w:t>’</w:t>
      </w:r>
      <w:r w:rsidRPr="00F56EC5">
        <w:rPr>
          <w:rFonts w:cs="Arial"/>
        </w:rPr>
        <w:t>il soit décidé si la dénomination est (suffisamment) différente des dénominations existantes (voir le paragraphe</w:t>
      </w:r>
      <w:r>
        <w:rPr>
          <w:rFonts w:cs="Arial"/>
        </w:rPr>
        <w:t> </w:t>
      </w:r>
      <w:r w:rsidRPr="00F56EC5">
        <w:rPr>
          <w:rFonts w:cs="Arial"/>
        </w:rPr>
        <w:t>27 du document CAJ/70/10 “Compte rendu des conclusions”).</w:t>
      </w:r>
    </w:p>
    <w:p w:rsidR="005111F8" w:rsidRDefault="005111F8" w:rsidP="005111F8">
      <w:pPr>
        <w:autoSpaceDE w:val="0"/>
        <w:autoSpaceDN w:val="0"/>
        <w:adjustRightInd w:val="0"/>
        <w:rPr>
          <w:rFonts w:cs="Arial"/>
        </w:rPr>
      </w:pPr>
    </w:p>
    <w:p w:rsidR="005111F8" w:rsidRDefault="005111F8" w:rsidP="005111F8">
      <w:pPr>
        <w:autoSpaceDE w:val="0"/>
        <w:autoSpaceDN w:val="0"/>
        <w:adjustRightInd w:val="0"/>
        <w:rPr>
          <w:rFonts w:cs="Arial"/>
        </w:rPr>
      </w:pPr>
      <w:r w:rsidRPr="00F56EC5">
        <w:rPr>
          <w:rFonts w:cs="Arial"/>
        </w:rPr>
        <w:fldChar w:fldCharType="begin"/>
      </w:r>
      <w:r w:rsidRPr="00F56EC5">
        <w:rPr>
          <w:rFonts w:cs="Arial"/>
        </w:rPr>
        <w:instrText xml:space="preserve"> AUTONUM  </w:instrText>
      </w:r>
      <w:r w:rsidRPr="00F56EC5">
        <w:rPr>
          <w:rFonts w:cs="Arial"/>
        </w:rPr>
        <w:fldChar w:fldCharType="end"/>
      </w:r>
      <w:r w:rsidRPr="00F56EC5">
        <w:rPr>
          <w:rFonts w:cs="Arial"/>
        </w:rPr>
        <w:tab/>
        <w:t>À sa cinquième réunion tenue à Genève le 30</w:t>
      </w:r>
      <w:r>
        <w:rPr>
          <w:rFonts w:cs="Arial"/>
        </w:rPr>
        <w:t> </w:t>
      </w:r>
      <w:r w:rsidRPr="00F56EC5">
        <w:rPr>
          <w:rFonts w:cs="Arial"/>
        </w:rPr>
        <w:t>octobre</w:t>
      </w:r>
      <w:r>
        <w:rPr>
          <w:rFonts w:cs="Arial"/>
        </w:rPr>
        <w:t> </w:t>
      </w:r>
      <w:r w:rsidRPr="00F56EC5">
        <w:rPr>
          <w:rFonts w:cs="Arial"/>
        </w:rPr>
        <w:t>2018, le WG</w:t>
      </w:r>
      <w:r w:rsidR="0054194F">
        <w:rPr>
          <w:rFonts w:cs="Arial"/>
        </w:rPr>
        <w:noBreakHyphen/>
      </w:r>
      <w:r w:rsidRPr="00F56EC5">
        <w:rPr>
          <w:rFonts w:cs="Arial"/>
        </w:rPr>
        <w:t>DEN, est convenu que le Bureau de l</w:t>
      </w:r>
      <w:r>
        <w:rPr>
          <w:rFonts w:cs="Arial"/>
        </w:rPr>
        <w:t>’</w:t>
      </w:r>
      <w:r w:rsidRPr="00F56EC5">
        <w:rPr>
          <w:rFonts w:cs="Arial"/>
        </w:rPr>
        <w:t>Union devait recommencer à rechercher des moyens d</w:t>
      </w:r>
      <w:r>
        <w:rPr>
          <w:rFonts w:cs="Arial"/>
        </w:rPr>
        <w:t>’</w:t>
      </w:r>
      <w:r w:rsidRPr="00F56EC5">
        <w:rPr>
          <w:rFonts w:cs="Arial"/>
        </w:rPr>
        <w:t>améliorer le moteur de recherche de similitudes de l</w:t>
      </w:r>
      <w:r>
        <w:rPr>
          <w:rFonts w:cs="Arial"/>
        </w:rPr>
        <w:t>’</w:t>
      </w:r>
      <w:r w:rsidRPr="00F56EC5">
        <w:rPr>
          <w:rFonts w:cs="Arial"/>
        </w:rPr>
        <w:t>UPOV aux fins de la dénomination variétale en collaboration avec l</w:t>
      </w:r>
      <w:r>
        <w:rPr>
          <w:rFonts w:cs="Arial"/>
        </w:rPr>
        <w:t>’</w:t>
      </w:r>
      <w:r w:rsidRPr="00F56EC5">
        <w:rPr>
          <w:rFonts w:cs="Arial"/>
        </w:rPr>
        <w:t>Office communautaire des variétés végétales de l</w:t>
      </w:r>
      <w:r>
        <w:rPr>
          <w:rFonts w:cs="Arial"/>
        </w:rPr>
        <w:t>’</w:t>
      </w:r>
      <w:r w:rsidRPr="00F56EC5">
        <w:rPr>
          <w:rFonts w:cs="Arial"/>
        </w:rPr>
        <w:t>Union européenne (OCVV) (voir le paragraphe</w:t>
      </w:r>
      <w:r>
        <w:rPr>
          <w:rFonts w:cs="Arial"/>
        </w:rPr>
        <w:t> </w:t>
      </w:r>
      <w:r w:rsidRPr="00F56EC5">
        <w:rPr>
          <w:rFonts w:cs="Arial"/>
        </w:rPr>
        <w:t>28 du document UPOV/WG</w:t>
      </w:r>
      <w:r w:rsidR="0054194F">
        <w:rPr>
          <w:rFonts w:cs="Arial"/>
        </w:rPr>
        <w:noBreakHyphen/>
      </w:r>
      <w:r w:rsidRPr="00F56EC5">
        <w:rPr>
          <w:rFonts w:cs="Arial"/>
        </w:rPr>
        <w:t>DEN/5/3 “Report”).</w:t>
      </w:r>
    </w:p>
    <w:p w:rsidR="005111F8" w:rsidRDefault="005111F8" w:rsidP="005111F8">
      <w:pPr>
        <w:autoSpaceDE w:val="0"/>
        <w:autoSpaceDN w:val="0"/>
        <w:adjustRightInd w:val="0"/>
        <w:rPr>
          <w:rFonts w:cs="Arial"/>
        </w:rPr>
      </w:pPr>
    </w:p>
    <w:p w:rsidR="005111F8" w:rsidRDefault="005111F8" w:rsidP="005111F8">
      <w:pPr>
        <w:autoSpaceDE w:val="0"/>
        <w:autoSpaceDN w:val="0"/>
        <w:adjustRightInd w:val="0"/>
        <w:rPr>
          <w:rFonts w:cs="Arial"/>
        </w:rPr>
      </w:pPr>
      <w:r w:rsidRPr="00F56EC5">
        <w:rPr>
          <w:rFonts w:cs="Arial"/>
        </w:rPr>
        <w:fldChar w:fldCharType="begin"/>
      </w:r>
      <w:r w:rsidRPr="00F56EC5">
        <w:rPr>
          <w:rFonts w:cs="Arial"/>
        </w:rPr>
        <w:instrText xml:space="preserve"> AUTONUM  </w:instrText>
      </w:r>
      <w:r w:rsidRPr="00F56EC5">
        <w:rPr>
          <w:rFonts w:cs="Arial"/>
        </w:rPr>
        <w:fldChar w:fldCharType="end"/>
      </w:r>
      <w:r w:rsidRPr="00F56EC5">
        <w:rPr>
          <w:rFonts w:cs="Arial"/>
        </w:rPr>
        <w:tab/>
        <w:t>L</w:t>
      </w:r>
      <w:r>
        <w:rPr>
          <w:rFonts w:cs="Arial"/>
        </w:rPr>
        <w:t>’</w:t>
      </w:r>
      <w:r w:rsidRPr="00F56EC5">
        <w:rPr>
          <w:rFonts w:cs="Arial"/>
        </w:rPr>
        <w:t>algorithme de l</w:t>
      </w:r>
      <w:r>
        <w:rPr>
          <w:rFonts w:cs="Arial"/>
        </w:rPr>
        <w:t>’</w:t>
      </w:r>
      <w:r w:rsidRPr="00F56EC5">
        <w:rPr>
          <w:rFonts w:cs="Arial"/>
        </w:rPr>
        <w:t>OCVV est un algorithme basé sur des règles qui a donné de bons résultats</w:t>
      </w:r>
      <w:r>
        <w:rPr>
          <w:rFonts w:cs="Arial"/>
        </w:rPr>
        <w:t xml:space="preserve">.  </w:t>
      </w:r>
      <w:r w:rsidRPr="00F56EC5">
        <w:rPr>
          <w:rFonts w:cs="Arial"/>
        </w:rPr>
        <w:t>Néanmoins, l</w:t>
      </w:r>
      <w:r>
        <w:rPr>
          <w:rFonts w:cs="Arial"/>
        </w:rPr>
        <w:t>’</w:t>
      </w:r>
      <w:r w:rsidRPr="00F56EC5">
        <w:rPr>
          <w:rFonts w:cs="Arial"/>
        </w:rPr>
        <w:t>OCVV a signalé au Bureau de l</w:t>
      </w:r>
      <w:r>
        <w:rPr>
          <w:rFonts w:cs="Arial"/>
        </w:rPr>
        <w:t>’</w:t>
      </w:r>
      <w:r w:rsidRPr="00F56EC5">
        <w:rPr>
          <w:rFonts w:cs="Arial"/>
        </w:rPr>
        <w:t>Union la possibilité d</w:t>
      </w:r>
      <w:r>
        <w:rPr>
          <w:rFonts w:cs="Arial"/>
        </w:rPr>
        <w:t>’</w:t>
      </w:r>
      <w:r w:rsidRPr="00F56EC5">
        <w:rPr>
          <w:rFonts w:cs="Arial"/>
        </w:rPr>
        <w:t>améliorer la performance de l</w:t>
      </w:r>
      <w:r>
        <w:rPr>
          <w:rFonts w:cs="Arial"/>
        </w:rPr>
        <w:t>’</w:t>
      </w:r>
      <w:r w:rsidRPr="00F56EC5">
        <w:rPr>
          <w:rFonts w:cs="Arial"/>
        </w:rPr>
        <w:t>algorithme.</w:t>
      </w:r>
    </w:p>
    <w:p w:rsidR="005111F8" w:rsidRDefault="005111F8" w:rsidP="005111F8">
      <w:pPr>
        <w:autoSpaceDE w:val="0"/>
        <w:autoSpaceDN w:val="0"/>
        <w:adjustRightInd w:val="0"/>
        <w:rPr>
          <w:rFonts w:cs="Arial"/>
        </w:rPr>
      </w:pPr>
    </w:p>
    <w:p w:rsidR="005111F8" w:rsidRDefault="005111F8" w:rsidP="005111F8">
      <w:pPr>
        <w:autoSpaceDE w:val="0"/>
        <w:autoSpaceDN w:val="0"/>
        <w:adjustRightInd w:val="0"/>
        <w:rPr>
          <w:rFonts w:cs="Arial"/>
        </w:rPr>
      </w:pPr>
      <w:r w:rsidRPr="00F56EC5">
        <w:rPr>
          <w:rFonts w:cs="Arial"/>
        </w:rPr>
        <w:fldChar w:fldCharType="begin"/>
      </w:r>
      <w:r w:rsidRPr="00F56EC5">
        <w:rPr>
          <w:rFonts w:cs="Arial"/>
        </w:rPr>
        <w:instrText xml:space="preserve"> AUTONUM  </w:instrText>
      </w:r>
      <w:r w:rsidRPr="00F56EC5">
        <w:rPr>
          <w:rFonts w:cs="Arial"/>
        </w:rPr>
        <w:fldChar w:fldCharType="end"/>
      </w:r>
      <w:r w:rsidRPr="00F56EC5">
        <w:rPr>
          <w:rFonts w:cs="Arial"/>
        </w:rPr>
        <w:tab/>
        <w:t>Le Bureau de l</w:t>
      </w:r>
      <w:r>
        <w:rPr>
          <w:rFonts w:cs="Arial"/>
        </w:rPr>
        <w:t>’</w:t>
      </w:r>
      <w:r w:rsidRPr="00F56EC5">
        <w:rPr>
          <w:rFonts w:cs="Arial"/>
        </w:rPr>
        <w:t>Union a consulté les spécialistes de l</w:t>
      </w:r>
      <w:r>
        <w:rPr>
          <w:rFonts w:cs="Arial"/>
        </w:rPr>
        <w:t>’</w:t>
      </w:r>
      <w:r w:rsidRPr="00F56EC5">
        <w:rPr>
          <w:rFonts w:cs="Arial"/>
        </w:rPr>
        <w:t>apprentissage automatique de l</w:t>
      </w:r>
      <w:r>
        <w:rPr>
          <w:rFonts w:cs="Arial"/>
        </w:rPr>
        <w:t>’</w:t>
      </w:r>
      <w:r w:rsidRPr="00F56EC5">
        <w:rPr>
          <w:rFonts w:cs="Arial"/>
        </w:rPr>
        <w:t>OMPI afin d</w:t>
      </w:r>
      <w:r>
        <w:rPr>
          <w:rFonts w:cs="Arial"/>
        </w:rPr>
        <w:t>’</w:t>
      </w:r>
      <w:r w:rsidRPr="00F56EC5">
        <w:rPr>
          <w:rFonts w:cs="Arial"/>
        </w:rPr>
        <w:t>étudier la possibilité de combiner les techniques d</w:t>
      </w:r>
      <w:r>
        <w:rPr>
          <w:rFonts w:cs="Arial"/>
        </w:rPr>
        <w:t>’</w:t>
      </w:r>
      <w:r w:rsidRPr="00F56EC5">
        <w:rPr>
          <w:rFonts w:cs="Arial"/>
        </w:rPr>
        <w:t>apprentissage automatique avec l</w:t>
      </w:r>
      <w:r>
        <w:rPr>
          <w:rFonts w:cs="Arial"/>
        </w:rPr>
        <w:t>’</w:t>
      </w:r>
      <w:r w:rsidRPr="00F56EC5">
        <w:rPr>
          <w:rFonts w:cs="Arial"/>
        </w:rPr>
        <w:t>algorithme de l</w:t>
      </w:r>
      <w:r>
        <w:rPr>
          <w:rFonts w:cs="Arial"/>
        </w:rPr>
        <w:t>’</w:t>
      </w:r>
      <w:r w:rsidRPr="00F56EC5">
        <w:rPr>
          <w:rFonts w:cs="Arial"/>
        </w:rPr>
        <w:t>OCVV pour rendre le moteur de recherche de similitudes de l</w:t>
      </w:r>
      <w:r>
        <w:rPr>
          <w:rFonts w:cs="Arial"/>
        </w:rPr>
        <w:t>’</w:t>
      </w:r>
      <w:r w:rsidRPr="00F56EC5">
        <w:rPr>
          <w:rFonts w:cs="Arial"/>
        </w:rPr>
        <w:t>UPOV aussi efficace que possible.</w:t>
      </w:r>
    </w:p>
    <w:p w:rsidR="005111F8" w:rsidRDefault="005111F8" w:rsidP="005111F8">
      <w:pPr>
        <w:autoSpaceDE w:val="0"/>
        <w:autoSpaceDN w:val="0"/>
        <w:adjustRightInd w:val="0"/>
        <w:jc w:val="left"/>
        <w:rPr>
          <w:rFonts w:cs="Arial"/>
        </w:rPr>
      </w:pPr>
    </w:p>
    <w:p w:rsidR="005111F8" w:rsidRDefault="005111F8" w:rsidP="005111F8">
      <w:pPr>
        <w:autoSpaceDE w:val="0"/>
        <w:autoSpaceDN w:val="0"/>
        <w:adjustRightInd w:val="0"/>
        <w:jc w:val="left"/>
        <w:rPr>
          <w:rFonts w:cs="Arial"/>
        </w:rPr>
      </w:pPr>
      <w:r w:rsidRPr="00F56EC5">
        <w:rPr>
          <w:rFonts w:cs="Arial"/>
        </w:rPr>
        <w:fldChar w:fldCharType="begin"/>
      </w:r>
      <w:r w:rsidRPr="00F56EC5">
        <w:rPr>
          <w:rFonts w:cs="Arial"/>
        </w:rPr>
        <w:instrText xml:space="preserve"> AUTONUM  </w:instrText>
      </w:r>
      <w:r w:rsidRPr="00F56EC5">
        <w:rPr>
          <w:rFonts w:cs="Arial"/>
        </w:rPr>
        <w:fldChar w:fldCharType="end"/>
      </w:r>
      <w:r w:rsidRPr="00F56EC5">
        <w:rPr>
          <w:rFonts w:cs="Arial"/>
        </w:rPr>
        <w:tab/>
        <w:t>L</w:t>
      </w:r>
      <w:r>
        <w:rPr>
          <w:rFonts w:cs="Arial"/>
        </w:rPr>
        <w:t>’</w:t>
      </w:r>
      <w:r w:rsidRPr="00F56EC5">
        <w:rPr>
          <w:rFonts w:cs="Arial"/>
        </w:rPr>
        <w:t>utilisation de techniques d</w:t>
      </w:r>
      <w:r>
        <w:rPr>
          <w:rFonts w:cs="Arial"/>
        </w:rPr>
        <w:t>’</w:t>
      </w:r>
      <w:r w:rsidRPr="00F56EC5">
        <w:rPr>
          <w:rFonts w:cs="Arial"/>
        </w:rPr>
        <w:t>apprentissage automatique nécessite</w:t>
      </w:r>
      <w:r>
        <w:rPr>
          <w:rFonts w:cs="Arial"/>
        </w:rPr>
        <w:t> :</w:t>
      </w:r>
    </w:p>
    <w:p w:rsidR="005111F8" w:rsidRDefault="005111F8" w:rsidP="005111F8">
      <w:pPr>
        <w:autoSpaceDE w:val="0"/>
        <w:autoSpaceDN w:val="0"/>
        <w:adjustRightInd w:val="0"/>
        <w:jc w:val="left"/>
        <w:rPr>
          <w:rFonts w:cs="Arial"/>
        </w:rPr>
      </w:pPr>
    </w:p>
    <w:p w:rsidR="005111F8" w:rsidRDefault="005111F8" w:rsidP="005111F8">
      <w:pPr>
        <w:pStyle w:val="ListParagraph"/>
        <w:numPr>
          <w:ilvl w:val="0"/>
          <w:numId w:val="1"/>
        </w:numPr>
        <w:autoSpaceDE w:val="0"/>
        <w:autoSpaceDN w:val="0"/>
        <w:adjustRightInd w:val="0"/>
        <w:rPr>
          <w:rFonts w:cs="Arial"/>
          <w:lang w:val="fr-FR"/>
        </w:rPr>
      </w:pPr>
      <w:proofErr w:type="gramStart"/>
      <w:r w:rsidRPr="00F56EC5">
        <w:rPr>
          <w:rFonts w:cs="Arial"/>
          <w:lang w:val="fr-FR"/>
        </w:rPr>
        <w:t>de</w:t>
      </w:r>
      <w:proofErr w:type="gramEnd"/>
      <w:r w:rsidRPr="00F56EC5">
        <w:rPr>
          <w:rFonts w:cs="Arial"/>
          <w:lang w:val="fr-FR"/>
        </w:rPr>
        <w:t xml:space="preserve"> disposer de nombreux de cas réels où la dénomination a été refusée</w:t>
      </w:r>
      <w:r>
        <w:rPr>
          <w:rFonts w:cs="Arial"/>
          <w:lang w:val="fr-FR"/>
        </w:rPr>
        <w:t xml:space="preserve">.  </w:t>
      </w:r>
      <w:r w:rsidRPr="00F56EC5">
        <w:rPr>
          <w:rFonts w:cs="Arial"/>
          <w:lang w:val="fr-FR"/>
        </w:rPr>
        <w:t>Les données de la base de données PLUTO peuvent être utilisées, mais ne suffiront pas;</w:t>
      </w:r>
    </w:p>
    <w:p w:rsidR="005111F8" w:rsidRDefault="005111F8" w:rsidP="005111F8">
      <w:pPr>
        <w:pStyle w:val="ListParagraph"/>
        <w:numPr>
          <w:ilvl w:val="0"/>
          <w:numId w:val="1"/>
        </w:numPr>
        <w:autoSpaceDE w:val="0"/>
        <w:autoSpaceDN w:val="0"/>
        <w:adjustRightInd w:val="0"/>
        <w:rPr>
          <w:rFonts w:cs="Arial"/>
          <w:lang w:val="fr-FR"/>
        </w:rPr>
      </w:pPr>
      <w:proofErr w:type="gramStart"/>
      <w:r w:rsidRPr="00F56EC5">
        <w:rPr>
          <w:rFonts w:cs="Arial"/>
          <w:lang w:val="fr-FR"/>
        </w:rPr>
        <w:t>de</w:t>
      </w:r>
      <w:proofErr w:type="gramEnd"/>
      <w:r w:rsidRPr="00F56EC5">
        <w:rPr>
          <w:rFonts w:cs="Arial"/>
          <w:lang w:val="fr-FR"/>
        </w:rPr>
        <w:t xml:space="preserve"> structurer les différents motifs de refus de la dénomination sous forme de cases à cocher;</w:t>
      </w:r>
    </w:p>
    <w:p w:rsidR="005111F8" w:rsidRDefault="005111F8" w:rsidP="005111F8">
      <w:pPr>
        <w:pStyle w:val="ListParagraph"/>
        <w:numPr>
          <w:ilvl w:val="0"/>
          <w:numId w:val="1"/>
        </w:numPr>
        <w:autoSpaceDE w:val="0"/>
        <w:autoSpaceDN w:val="0"/>
        <w:adjustRightInd w:val="0"/>
        <w:rPr>
          <w:rFonts w:cs="Arial"/>
          <w:lang w:val="fr-FR"/>
        </w:rPr>
      </w:pPr>
      <w:proofErr w:type="gramStart"/>
      <w:r w:rsidRPr="00F56EC5">
        <w:rPr>
          <w:rFonts w:cs="Arial"/>
          <w:lang w:val="fr-FR"/>
        </w:rPr>
        <w:t>de</w:t>
      </w:r>
      <w:proofErr w:type="gramEnd"/>
      <w:r w:rsidRPr="00F56EC5">
        <w:rPr>
          <w:rFonts w:cs="Arial"/>
          <w:lang w:val="fr-FR"/>
        </w:rPr>
        <w:t xml:space="preserve"> définir clairement le problème à résoudre.</w:t>
      </w:r>
    </w:p>
    <w:p w:rsidR="005111F8" w:rsidRDefault="005111F8" w:rsidP="005111F8">
      <w:pPr>
        <w:autoSpaceDE w:val="0"/>
        <w:autoSpaceDN w:val="0"/>
        <w:adjustRightInd w:val="0"/>
        <w:jc w:val="left"/>
        <w:rPr>
          <w:rFonts w:cs="Arial"/>
        </w:rPr>
      </w:pPr>
    </w:p>
    <w:p w:rsidR="005111F8" w:rsidRDefault="005111F8" w:rsidP="005111F8">
      <w:pPr>
        <w:keepNext/>
        <w:keepLines/>
        <w:autoSpaceDE w:val="0"/>
        <w:autoSpaceDN w:val="0"/>
        <w:adjustRightInd w:val="0"/>
        <w:rPr>
          <w:rFonts w:cs="Arial"/>
        </w:rPr>
      </w:pPr>
      <w:r w:rsidRPr="00F56EC5">
        <w:rPr>
          <w:rFonts w:cs="Arial"/>
        </w:rPr>
        <w:fldChar w:fldCharType="begin"/>
      </w:r>
      <w:r w:rsidRPr="00F56EC5">
        <w:rPr>
          <w:rFonts w:cs="Arial"/>
        </w:rPr>
        <w:instrText xml:space="preserve"> AUTONUM  </w:instrText>
      </w:r>
      <w:r w:rsidRPr="00F56EC5">
        <w:rPr>
          <w:rFonts w:cs="Arial"/>
        </w:rPr>
        <w:fldChar w:fldCharType="end"/>
      </w:r>
      <w:r w:rsidRPr="00F56EC5">
        <w:rPr>
          <w:rFonts w:cs="Arial"/>
        </w:rPr>
        <w:tab/>
        <w:t>L</w:t>
      </w:r>
      <w:r>
        <w:rPr>
          <w:rFonts w:cs="Arial"/>
        </w:rPr>
        <w:t>’</w:t>
      </w:r>
      <w:r w:rsidRPr="00F56EC5">
        <w:rPr>
          <w:rFonts w:cs="Arial"/>
        </w:rPr>
        <w:t>OCVV a accepté de communiquer des informations sur les refus de dénomination et les motifs de ces refus dans un format structuré pour améliorer le processus d</w:t>
      </w:r>
      <w:r>
        <w:rPr>
          <w:rFonts w:cs="Arial"/>
        </w:rPr>
        <w:t>’</w:t>
      </w:r>
      <w:r w:rsidRPr="00F56EC5">
        <w:rPr>
          <w:rFonts w:cs="Arial"/>
        </w:rPr>
        <w:t>apprentissage automatique.</w:t>
      </w:r>
    </w:p>
    <w:p w:rsidR="005111F8" w:rsidRDefault="005111F8" w:rsidP="005111F8">
      <w:pPr>
        <w:autoSpaceDE w:val="0"/>
        <w:autoSpaceDN w:val="0"/>
        <w:adjustRightInd w:val="0"/>
        <w:rPr>
          <w:rFonts w:cs="Arial"/>
        </w:rPr>
      </w:pPr>
    </w:p>
    <w:p w:rsidR="005111F8" w:rsidRDefault="005111F8" w:rsidP="005111F8">
      <w:pPr>
        <w:pStyle w:val="Default"/>
        <w:jc w:val="both"/>
        <w:rPr>
          <w:color w:val="auto"/>
          <w:sz w:val="20"/>
          <w:szCs w:val="20"/>
          <w:lang w:val="fr-FR"/>
        </w:rPr>
      </w:pPr>
      <w:r w:rsidRPr="00F56EC5">
        <w:rPr>
          <w:color w:val="auto"/>
          <w:sz w:val="20"/>
          <w:szCs w:val="20"/>
          <w:lang w:val="fr-FR"/>
        </w:rPr>
        <w:fldChar w:fldCharType="begin"/>
      </w:r>
      <w:r w:rsidRPr="00F56EC5">
        <w:rPr>
          <w:color w:val="auto"/>
          <w:sz w:val="20"/>
          <w:szCs w:val="20"/>
          <w:lang w:val="fr-FR"/>
        </w:rPr>
        <w:instrText xml:space="preserve"> AUTONUM  </w:instrText>
      </w:r>
      <w:r w:rsidRPr="00F56EC5">
        <w:rPr>
          <w:color w:val="auto"/>
          <w:sz w:val="20"/>
          <w:szCs w:val="20"/>
          <w:lang w:val="fr-FR"/>
        </w:rPr>
        <w:fldChar w:fldCharType="end"/>
      </w:r>
      <w:r w:rsidRPr="00F56EC5">
        <w:rPr>
          <w:color w:val="auto"/>
          <w:sz w:val="20"/>
          <w:szCs w:val="20"/>
          <w:lang w:val="fr-FR"/>
        </w:rPr>
        <w:tab/>
        <w:t>Le WG</w:t>
      </w:r>
      <w:r w:rsidR="0054194F">
        <w:rPr>
          <w:color w:val="auto"/>
          <w:sz w:val="20"/>
          <w:szCs w:val="20"/>
          <w:lang w:val="fr-FR"/>
        </w:rPr>
        <w:noBreakHyphen/>
      </w:r>
      <w:r w:rsidRPr="00F56EC5">
        <w:rPr>
          <w:color w:val="auto"/>
          <w:sz w:val="20"/>
          <w:szCs w:val="20"/>
          <w:lang w:val="fr-FR"/>
        </w:rPr>
        <w:t>DEN a examiné le document UPOV/WG</w:t>
      </w:r>
      <w:r w:rsidR="0054194F">
        <w:rPr>
          <w:color w:val="auto"/>
          <w:sz w:val="20"/>
          <w:szCs w:val="20"/>
          <w:lang w:val="fr-FR"/>
        </w:rPr>
        <w:noBreakHyphen/>
      </w:r>
      <w:r w:rsidRPr="00F56EC5">
        <w:rPr>
          <w:color w:val="auto"/>
          <w:sz w:val="20"/>
          <w:szCs w:val="20"/>
          <w:lang w:val="fr-FR"/>
        </w:rPr>
        <w:t xml:space="preserve">DEN/6/3 “UPOV </w:t>
      </w:r>
      <w:proofErr w:type="spellStart"/>
      <w:r w:rsidRPr="00F56EC5">
        <w:rPr>
          <w:color w:val="auto"/>
          <w:sz w:val="20"/>
          <w:szCs w:val="20"/>
          <w:lang w:val="fr-FR"/>
        </w:rPr>
        <w:t>denomination</w:t>
      </w:r>
      <w:proofErr w:type="spellEnd"/>
      <w:r w:rsidRPr="00F56EC5">
        <w:rPr>
          <w:color w:val="auto"/>
          <w:sz w:val="20"/>
          <w:szCs w:val="20"/>
          <w:lang w:val="fr-FR"/>
        </w:rPr>
        <w:t xml:space="preserve"> </w:t>
      </w:r>
      <w:proofErr w:type="spellStart"/>
      <w:r w:rsidRPr="00F56EC5">
        <w:rPr>
          <w:color w:val="auto"/>
          <w:sz w:val="20"/>
          <w:szCs w:val="20"/>
          <w:lang w:val="fr-FR"/>
        </w:rPr>
        <w:t>similarity</w:t>
      </w:r>
      <w:proofErr w:type="spellEnd"/>
      <w:r w:rsidRPr="00F56EC5">
        <w:rPr>
          <w:color w:val="auto"/>
          <w:sz w:val="20"/>
          <w:szCs w:val="20"/>
          <w:lang w:val="fr-FR"/>
        </w:rPr>
        <w:t xml:space="preserve"> </w:t>
      </w:r>
      <w:proofErr w:type="spellStart"/>
      <w:r w:rsidRPr="00F56EC5">
        <w:rPr>
          <w:color w:val="auto"/>
          <w:sz w:val="20"/>
          <w:szCs w:val="20"/>
          <w:lang w:val="fr-FR"/>
        </w:rPr>
        <w:t>search</w:t>
      </w:r>
      <w:proofErr w:type="spellEnd"/>
      <w:r w:rsidRPr="00F56EC5">
        <w:rPr>
          <w:color w:val="auto"/>
          <w:sz w:val="20"/>
          <w:szCs w:val="20"/>
          <w:lang w:val="fr-FR"/>
        </w:rPr>
        <w:t xml:space="preserve"> </w:t>
      </w:r>
      <w:proofErr w:type="spellStart"/>
      <w:r w:rsidRPr="00F56EC5">
        <w:rPr>
          <w:color w:val="auto"/>
          <w:sz w:val="20"/>
          <w:szCs w:val="20"/>
          <w:lang w:val="fr-FR"/>
        </w:rPr>
        <w:t>tool</w:t>
      </w:r>
      <w:proofErr w:type="spellEnd"/>
      <w:r w:rsidRPr="00F56EC5">
        <w:rPr>
          <w:color w:val="auto"/>
          <w:sz w:val="20"/>
          <w:szCs w:val="20"/>
          <w:lang w:val="fr-FR"/>
        </w:rPr>
        <w:t>” et suivi un exposé sur les faits nouveaux concernant un moteur de recherche de similitudes de l</w:t>
      </w:r>
      <w:r>
        <w:rPr>
          <w:color w:val="auto"/>
          <w:sz w:val="20"/>
          <w:szCs w:val="20"/>
          <w:lang w:val="fr-FR"/>
        </w:rPr>
        <w:t>’</w:t>
      </w:r>
      <w:r w:rsidRPr="00F56EC5">
        <w:rPr>
          <w:color w:val="auto"/>
          <w:sz w:val="20"/>
          <w:szCs w:val="20"/>
          <w:lang w:val="fr-FR"/>
        </w:rPr>
        <w:t>UPOV aux fins de la dénomination variétale présenté par le Bureau de l</w:t>
      </w:r>
      <w:r>
        <w:rPr>
          <w:color w:val="auto"/>
          <w:sz w:val="20"/>
          <w:szCs w:val="20"/>
          <w:lang w:val="fr-FR"/>
        </w:rPr>
        <w:t>’</w:t>
      </w:r>
      <w:r w:rsidRPr="00F56EC5">
        <w:rPr>
          <w:color w:val="auto"/>
          <w:sz w:val="20"/>
          <w:szCs w:val="20"/>
          <w:lang w:val="fr-FR"/>
        </w:rPr>
        <w:t>Union.</w:t>
      </w:r>
    </w:p>
    <w:p w:rsidR="005111F8" w:rsidRDefault="005111F8" w:rsidP="005111F8">
      <w:pPr>
        <w:pStyle w:val="Default"/>
        <w:rPr>
          <w:color w:val="auto"/>
          <w:sz w:val="20"/>
          <w:szCs w:val="20"/>
          <w:lang w:val="fr-FR"/>
        </w:rPr>
      </w:pPr>
    </w:p>
    <w:p w:rsidR="005111F8" w:rsidRDefault="005111F8" w:rsidP="005111F8">
      <w:pPr>
        <w:pStyle w:val="Default"/>
        <w:jc w:val="both"/>
        <w:rPr>
          <w:color w:val="auto"/>
          <w:sz w:val="20"/>
          <w:szCs w:val="20"/>
          <w:lang w:val="fr-FR"/>
        </w:rPr>
      </w:pPr>
      <w:r w:rsidRPr="00F56EC5">
        <w:rPr>
          <w:color w:val="auto"/>
          <w:sz w:val="20"/>
          <w:szCs w:val="20"/>
          <w:lang w:val="fr-FR"/>
        </w:rPr>
        <w:fldChar w:fldCharType="begin"/>
      </w:r>
      <w:r w:rsidRPr="00F56EC5">
        <w:rPr>
          <w:color w:val="auto"/>
          <w:sz w:val="20"/>
          <w:szCs w:val="20"/>
          <w:lang w:val="fr-FR"/>
        </w:rPr>
        <w:instrText xml:space="preserve"> AUTONUM  </w:instrText>
      </w:r>
      <w:r w:rsidRPr="00F56EC5">
        <w:rPr>
          <w:color w:val="auto"/>
          <w:sz w:val="20"/>
          <w:szCs w:val="20"/>
          <w:lang w:val="fr-FR"/>
        </w:rPr>
        <w:fldChar w:fldCharType="end"/>
      </w:r>
      <w:r w:rsidRPr="00F56EC5">
        <w:rPr>
          <w:color w:val="auto"/>
          <w:sz w:val="20"/>
          <w:szCs w:val="20"/>
          <w:lang w:val="fr-FR"/>
        </w:rPr>
        <w:tab/>
        <w:t>Le WG</w:t>
      </w:r>
      <w:r w:rsidR="0054194F">
        <w:rPr>
          <w:color w:val="auto"/>
          <w:sz w:val="20"/>
          <w:szCs w:val="20"/>
          <w:lang w:val="fr-FR"/>
        </w:rPr>
        <w:noBreakHyphen/>
      </w:r>
      <w:r w:rsidRPr="00F56EC5">
        <w:rPr>
          <w:color w:val="auto"/>
          <w:sz w:val="20"/>
          <w:szCs w:val="20"/>
          <w:lang w:val="fr-FR"/>
        </w:rPr>
        <w:t>DEN a pris note des projets d</w:t>
      </w:r>
      <w:r>
        <w:rPr>
          <w:color w:val="auto"/>
          <w:sz w:val="20"/>
          <w:szCs w:val="20"/>
          <w:lang w:val="fr-FR"/>
        </w:rPr>
        <w:t>’</w:t>
      </w:r>
      <w:r w:rsidRPr="00F56EC5">
        <w:rPr>
          <w:color w:val="auto"/>
          <w:sz w:val="20"/>
          <w:szCs w:val="20"/>
          <w:lang w:val="fr-FR"/>
        </w:rPr>
        <w:t>élaboration d</w:t>
      </w:r>
      <w:r>
        <w:rPr>
          <w:color w:val="auto"/>
          <w:sz w:val="20"/>
          <w:szCs w:val="20"/>
          <w:lang w:val="fr-FR"/>
        </w:rPr>
        <w:t>’</w:t>
      </w:r>
      <w:r w:rsidRPr="00F56EC5">
        <w:rPr>
          <w:color w:val="auto"/>
          <w:sz w:val="20"/>
          <w:szCs w:val="20"/>
          <w:lang w:val="fr-FR"/>
        </w:rPr>
        <w:t>un tel outil et est convenu que les faits nouveaux dans ce domaine devraient être signalés au</w:t>
      </w:r>
      <w:r>
        <w:rPr>
          <w:color w:val="auto"/>
          <w:sz w:val="20"/>
          <w:szCs w:val="20"/>
          <w:lang w:val="fr-FR"/>
        </w:rPr>
        <w:t> </w:t>
      </w:r>
      <w:r w:rsidRPr="00F56EC5">
        <w:rPr>
          <w:color w:val="auto"/>
          <w:sz w:val="20"/>
          <w:szCs w:val="20"/>
          <w:lang w:val="fr-FR"/>
        </w:rPr>
        <w:t>CAJ pour examen en même temps que le projet de document UPOV/EXN/DEN en vue de l</w:t>
      </w:r>
      <w:r>
        <w:rPr>
          <w:color w:val="auto"/>
          <w:sz w:val="20"/>
          <w:szCs w:val="20"/>
          <w:lang w:val="fr-FR"/>
        </w:rPr>
        <w:t>’</w:t>
      </w:r>
      <w:r w:rsidRPr="00F56EC5">
        <w:rPr>
          <w:color w:val="auto"/>
          <w:sz w:val="20"/>
          <w:szCs w:val="20"/>
          <w:lang w:val="fr-FR"/>
        </w:rPr>
        <w:t>inclusion éventuelle d</w:t>
      </w:r>
      <w:r>
        <w:rPr>
          <w:color w:val="auto"/>
          <w:sz w:val="20"/>
          <w:szCs w:val="20"/>
          <w:lang w:val="fr-FR"/>
        </w:rPr>
        <w:t>’</w:t>
      </w:r>
      <w:r w:rsidRPr="00F56EC5">
        <w:rPr>
          <w:color w:val="auto"/>
          <w:sz w:val="20"/>
          <w:szCs w:val="20"/>
          <w:lang w:val="fr-FR"/>
        </w:rPr>
        <w:t>une référence à cet outil de recherche (voir les paragraphes</w:t>
      </w:r>
      <w:r>
        <w:rPr>
          <w:color w:val="auto"/>
          <w:sz w:val="20"/>
          <w:szCs w:val="20"/>
          <w:lang w:val="fr-FR"/>
        </w:rPr>
        <w:t> </w:t>
      </w:r>
      <w:r w:rsidRPr="00F56EC5">
        <w:rPr>
          <w:color w:val="auto"/>
          <w:sz w:val="20"/>
          <w:szCs w:val="20"/>
          <w:lang w:val="fr-FR"/>
        </w:rPr>
        <w:t>6 et 7 du document UPOV/WG</w:t>
      </w:r>
      <w:r w:rsidR="0054194F">
        <w:rPr>
          <w:color w:val="auto"/>
          <w:sz w:val="20"/>
          <w:szCs w:val="20"/>
          <w:lang w:val="fr-FR"/>
        </w:rPr>
        <w:noBreakHyphen/>
      </w:r>
      <w:r w:rsidRPr="00F56EC5">
        <w:rPr>
          <w:color w:val="auto"/>
          <w:sz w:val="20"/>
          <w:szCs w:val="20"/>
          <w:lang w:val="fr-FR"/>
        </w:rPr>
        <w:t>DEN/6/5 “Report”).</w:t>
      </w:r>
    </w:p>
    <w:p w:rsidR="005111F8" w:rsidRDefault="005111F8" w:rsidP="005111F8">
      <w:pPr>
        <w:autoSpaceDE w:val="0"/>
        <w:autoSpaceDN w:val="0"/>
        <w:adjustRightInd w:val="0"/>
        <w:rPr>
          <w:rFonts w:cs="Arial"/>
        </w:rPr>
      </w:pPr>
    </w:p>
    <w:p w:rsidR="005111F8" w:rsidRDefault="005111F8" w:rsidP="005111F8">
      <w:pPr>
        <w:pStyle w:val="Default"/>
        <w:jc w:val="both"/>
        <w:rPr>
          <w:color w:val="auto"/>
          <w:sz w:val="20"/>
          <w:szCs w:val="20"/>
          <w:lang w:val="fr-FR"/>
        </w:rPr>
      </w:pPr>
      <w:r w:rsidRPr="00F56EC5">
        <w:rPr>
          <w:color w:val="auto"/>
          <w:sz w:val="20"/>
          <w:szCs w:val="20"/>
          <w:lang w:val="fr-FR"/>
        </w:rPr>
        <w:fldChar w:fldCharType="begin"/>
      </w:r>
      <w:r w:rsidRPr="00F56EC5">
        <w:rPr>
          <w:color w:val="auto"/>
          <w:sz w:val="20"/>
          <w:szCs w:val="20"/>
          <w:lang w:val="fr-FR"/>
        </w:rPr>
        <w:instrText xml:space="preserve"> AUTONUM  </w:instrText>
      </w:r>
      <w:r w:rsidRPr="00F56EC5">
        <w:rPr>
          <w:color w:val="auto"/>
          <w:sz w:val="20"/>
          <w:szCs w:val="20"/>
          <w:lang w:val="fr-FR"/>
        </w:rPr>
        <w:fldChar w:fldCharType="end"/>
      </w:r>
      <w:r w:rsidRPr="00F56EC5">
        <w:rPr>
          <w:color w:val="auto"/>
          <w:sz w:val="20"/>
          <w:szCs w:val="20"/>
          <w:lang w:val="fr-FR"/>
        </w:rPr>
        <w:tab/>
        <w:t>À sa soixante</w:t>
      </w:r>
      <w:r w:rsidR="0054194F">
        <w:rPr>
          <w:color w:val="auto"/>
          <w:sz w:val="20"/>
          <w:szCs w:val="20"/>
          <w:lang w:val="fr-FR"/>
        </w:rPr>
        <w:noBreakHyphen/>
      </w:r>
      <w:r w:rsidRPr="00F56EC5">
        <w:rPr>
          <w:color w:val="auto"/>
          <w:sz w:val="20"/>
          <w:szCs w:val="20"/>
          <w:lang w:val="fr-FR"/>
        </w:rPr>
        <w:t>seiz</w:t>
      </w:r>
      <w:r>
        <w:rPr>
          <w:color w:val="auto"/>
          <w:sz w:val="20"/>
          <w:szCs w:val="20"/>
          <w:lang w:val="fr-FR"/>
        </w:rPr>
        <w:t>ième session</w:t>
      </w:r>
      <w:r w:rsidRPr="00F56EC5">
        <w:rPr>
          <w:color w:val="auto"/>
          <w:sz w:val="20"/>
          <w:szCs w:val="20"/>
          <w:lang w:val="fr-FR"/>
        </w:rPr>
        <w:t xml:space="preserve"> tenue à Genève le 30</w:t>
      </w:r>
      <w:r>
        <w:rPr>
          <w:color w:val="auto"/>
          <w:sz w:val="20"/>
          <w:szCs w:val="20"/>
          <w:lang w:val="fr-FR"/>
        </w:rPr>
        <w:t> </w:t>
      </w:r>
      <w:r w:rsidRPr="00F56EC5">
        <w:rPr>
          <w:color w:val="auto"/>
          <w:sz w:val="20"/>
          <w:szCs w:val="20"/>
          <w:lang w:val="fr-FR"/>
        </w:rPr>
        <w:t>octobre</w:t>
      </w:r>
      <w:r>
        <w:rPr>
          <w:color w:val="auto"/>
          <w:sz w:val="20"/>
          <w:szCs w:val="20"/>
          <w:lang w:val="fr-FR"/>
        </w:rPr>
        <w:t> </w:t>
      </w:r>
      <w:r w:rsidRPr="00F56EC5">
        <w:rPr>
          <w:color w:val="auto"/>
          <w:sz w:val="20"/>
          <w:szCs w:val="20"/>
          <w:lang w:val="fr-FR"/>
        </w:rPr>
        <w:t>2019, le</w:t>
      </w:r>
      <w:r>
        <w:rPr>
          <w:color w:val="auto"/>
          <w:sz w:val="20"/>
          <w:szCs w:val="20"/>
          <w:lang w:val="fr-FR"/>
        </w:rPr>
        <w:t> </w:t>
      </w:r>
      <w:r w:rsidRPr="00F56EC5">
        <w:rPr>
          <w:color w:val="auto"/>
          <w:sz w:val="20"/>
          <w:szCs w:val="20"/>
          <w:lang w:val="fr-FR"/>
        </w:rPr>
        <w:t>CAJ a pris note des faits nouveaux mentionnés dans le document CAJ/76/6</w:t>
      </w:r>
      <w:r>
        <w:rPr>
          <w:color w:val="auto"/>
          <w:sz w:val="20"/>
          <w:szCs w:val="20"/>
          <w:lang w:val="fr-FR"/>
        </w:rPr>
        <w:t> </w:t>
      </w:r>
      <w:proofErr w:type="spellStart"/>
      <w:r w:rsidRPr="00F56EC5">
        <w:rPr>
          <w:color w:val="auto"/>
          <w:sz w:val="20"/>
          <w:szCs w:val="20"/>
          <w:lang w:val="fr-FR"/>
        </w:rPr>
        <w:t>Add</w:t>
      </w:r>
      <w:proofErr w:type="spellEnd"/>
      <w:r w:rsidRPr="00F56EC5">
        <w:rPr>
          <w:color w:val="auto"/>
          <w:sz w:val="20"/>
          <w:szCs w:val="20"/>
          <w:lang w:val="fr-FR"/>
        </w:rPr>
        <w:t xml:space="preserve">. </w:t>
      </w:r>
      <w:proofErr w:type="gramStart"/>
      <w:r w:rsidRPr="00F56EC5">
        <w:rPr>
          <w:color w:val="auto"/>
          <w:sz w:val="20"/>
          <w:szCs w:val="20"/>
          <w:lang w:val="fr-FR"/>
        </w:rPr>
        <w:t>concernant</w:t>
      </w:r>
      <w:proofErr w:type="gramEnd"/>
      <w:r w:rsidRPr="00F56EC5">
        <w:rPr>
          <w:color w:val="auto"/>
          <w:sz w:val="20"/>
          <w:szCs w:val="20"/>
          <w:lang w:val="fr-FR"/>
        </w:rPr>
        <w:t xml:space="preserve"> l</w:t>
      </w:r>
      <w:r>
        <w:rPr>
          <w:color w:val="auto"/>
          <w:sz w:val="20"/>
          <w:szCs w:val="20"/>
          <w:lang w:val="fr-FR"/>
        </w:rPr>
        <w:t>’</w:t>
      </w:r>
      <w:r w:rsidRPr="00F56EC5">
        <w:rPr>
          <w:color w:val="auto"/>
          <w:sz w:val="20"/>
          <w:szCs w:val="20"/>
          <w:lang w:val="fr-FR"/>
        </w:rPr>
        <w:t>élaboration éventuelle d</w:t>
      </w:r>
      <w:r>
        <w:rPr>
          <w:color w:val="auto"/>
          <w:sz w:val="20"/>
          <w:szCs w:val="20"/>
          <w:lang w:val="fr-FR"/>
        </w:rPr>
        <w:t>’</w:t>
      </w:r>
      <w:r w:rsidRPr="00F56EC5">
        <w:rPr>
          <w:color w:val="auto"/>
          <w:sz w:val="20"/>
          <w:szCs w:val="20"/>
          <w:lang w:val="fr-FR"/>
        </w:rPr>
        <w:t>un moteur de recherche de similitudes de l</w:t>
      </w:r>
      <w:r>
        <w:rPr>
          <w:color w:val="auto"/>
          <w:sz w:val="20"/>
          <w:szCs w:val="20"/>
          <w:lang w:val="fr-FR"/>
        </w:rPr>
        <w:t>’</w:t>
      </w:r>
      <w:r w:rsidRPr="00F56EC5">
        <w:rPr>
          <w:color w:val="auto"/>
          <w:sz w:val="20"/>
          <w:szCs w:val="20"/>
          <w:lang w:val="fr-FR"/>
        </w:rPr>
        <w:t>UPOV aux fins de la dénomination variétale (voir le paragraphe</w:t>
      </w:r>
      <w:r>
        <w:rPr>
          <w:color w:val="auto"/>
          <w:sz w:val="20"/>
          <w:szCs w:val="20"/>
          <w:lang w:val="fr-FR"/>
        </w:rPr>
        <w:t> </w:t>
      </w:r>
      <w:r w:rsidRPr="00F56EC5">
        <w:rPr>
          <w:color w:val="auto"/>
          <w:sz w:val="20"/>
          <w:szCs w:val="20"/>
          <w:lang w:val="fr-FR"/>
        </w:rPr>
        <w:t>40 du document CAJ/76/9 “Compte rendu”).</w:t>
      </w:r>
    </w:p>
    <w:p w:rsidR="005111F8" w:rsidRDefault="005111F8" w:rsidP="005111F8">
      <w:pPr>
        <w:jc w:val="left"/>
        <w:rPr>
          <w:rFonts w:eastAsia="MS Mincho" w:cs="Arial"/>
        </w:rPr>
      </w:pPr>
      <w:r>
        <w:br w:type="page"/>
      </w:r>
    </w:p>
    <w:p w:rsidR="005111F8" w:rsidRDefault="005111F8" w:rsidP="005111F8">
      <w:pPr>
        <w:pStyle w:val="Heading2"/>
        <w:rPr>
          <w:lang w:val="fr-FR"/>
        </w:rPr>
      </w:pPr>
      <w:bookmarkStart w:id="9" w:name="_Toc54258055"/>
      <w:r w:rsidRPr="00F56EC5">
        <w:rPr>
          <w:lang w:val="fr-FR"/>
        </w:rPr>
        <w:t>Faits nouveaux récents</w:t>
      </w:r>
      <w:bookmarkEnd w:id="9"/>
    </w:p>
    <w:p w:rsidR="005111F8" w:rsidRPr="00B07BC0" w:rsidRDefault="005111F8" w:rsidP="005111F8"/>
    <w:p w:rsidR="005111F8" w:rsidRDefault="005111F8" w:rsidP="005111F8">
      <w:pPr>
        <w:rPr>
          <w:rFonts w:cs="Arial"/>
        </w:rPr>
      </w:pPr>
      <w:r w:rsidRPr="00F56EC5">
        <w:rPr>
          <w:rFonts w:cs="Arial"/>
        </w:rPr>
        <w:fldChar w:fldCharType="begin"/>
      </w:r>
      <w:r w:rsidRPr="00F56EC5">
        <w:rPr>
          <w:rFonts w:cs="Arial"/>
        </w:rPr>
        <w:instrText xml:space="preserve"> AUTONUM  </w:instrText>
      </w:r>
      <w:r w:rsidRPr="00F56EC5">
        <w:rPr>
          <w:rFonts w:cs="Arial"/>
        </w:rPr>
        <w:fldChar w:fldCharType="end"/>
      </w:r>
      <w:r w:rsidRPr="00F56EC5">
        <w:rPr>
          <w:rFonts w:cs="Arial"/>
        </w:rPr>
        <w:tab/>
        <w:t>Lors d</w:t>
      </w:r>
      <w:r>
        <w:rPr>
          <w:rFonts w:cs="Arial"/>
        </w:rPr>
        <w:t>’</w:t>
      </w:r>
      <w:r w:rsidRPr="00F56EC5">
        <w:rPr>
          <w:rFonts w:cs="Arial"/>
        </w:rPr>
        <w:t>un atelier organisé le 21</w:t>
      </w:r>
      <w:r>
        <w:rPr>
          <w:rFonts w:cs="Arial"/>
        </w:rPr>
        <w:t> </w:t>
      </w:r>
      <w:r w:rsidRPr="00F56EC5">
        <w:rPr>
          <w:rFonts w:cs="Arial"/>
        </w:rPr>
        <w:t>novembre</w:t>
      </w:r>
      <w:r>
        <w:rPr>
          <w:rFonts w:cs="Arial"/>
        </w:rPr>
        <w:t> </w:t>
      </w:r>
      <w:r w:rsidRPr="00F56EC5">
        <w:rPr>
          <w:rFonts w:cs="Arial"/>
        </w:rPr>
        <w:t>2019 avec l</w:t>
      </w:r>
      <w:r>
        <w:rPr>
          <w:rFonts w:cs="Arial"/>
        </w:rPr>
        <w:t>’</w:t>
      </w:r>
      <w:r w:rsidRPr="00F56EC5">
        <w:rPr>
          <w:rFonts w:cs="Arial"/>
        </w:rPr>
        <w:t>OCVV et le Bureau de l</w:t>
      </w:r>
      <w:r>
        <w:rPr>
          <w:rFonts w:cs="Arial"/>
        </w:rPr>
        <w:t>’</w:t>
      </w:r>
      <w:r w:rsidRPr="00F56EC5">
        <w:rPr>
          <w:rFonts w:cs="Arial"/>
        </w:rPr>
        <w:t>Union, il a été conclu que l</w:t>
      </w:r>
      <w:r>
        <w:rPr>
          <w:rFonts w:cs="Arial"/>
        </w:rPr>
        <w:t>’</w:t>
      </w:r>
      <w:r w:rsidRPr="00F56EC5">
        <w:rPr>
          <w:rFonts w:cs="Arial"/>
        </w:rPr>
        <w:t>algorithme de l</w:t>
      </w:r>
      <w:r>
        <w:rPr>
          <w:rFonts w:cs="Arial"/>
        </w:rPr>
        <w:t>’</w:t>
      </w:r>
      <w:r w:rsidRPr="00F56EC5">
        <w:rPr>
          <w:rFonts w:cs="Arial"/>
        </w:rPr>
        <w:t>OCVV fonctionnait bien et que, pour le moment, l</w:t>
      </w:r>
      <w:r>
        <w:rPr>
          <w:rFonts w:cs="Arial"/>
        </w:rPr>
        <w:t>’</w:t>
      </w:r>
      <w:r w:rsidRPr="00F56EC5">
        <w:rPr>
          <w:rFonts w:cs="Arial"/>
        </w:rPr>
        <w:t>utilisation de ressources pour améliorer cet algorithme aux fins de la recherche de similitudes avec les dénominations variétales ne serait pas appropriée</w:t>
      </w:r>
      <w:r>
        <w:rPr>
          <w:rFonts w:cs="Arial"/>
        </w:rPr>
        <w:t xml:space="preserve">.  </w:t>
      </w:r>
      <w:r w:rsidRPr="00F56EC5">
        <w:rPr>
          <w:rFonts w:cs="Arial"/>
        </w:rPr>
        <w:t>Toutefois, il a été convenu qu</w:t>
      </w:r>
      <w:r>
        <w:rPr>
          <w:rFonts w:cs="Arial"/>
        </w:rPr>
        <w:t>’</w:t>
      </w:r>
      <w:r w:rsidRPr="00F56EC5">
        <w:rPr>
          <w:rFonts w:cs="Arial"/>
        </w:rPr>
        <w:t>il serait utile de réfléchir aux possibilités d</w:t>
      </w:r>
      <w:r>
        <w:rPr>
          <w:rFonts w:cs="Arial"/>
        </w:rPr>
        <w:t>’</w:t>
      </w:r>
      <w:r w:rsidRPr="00F56EC5">
        <w:rPr>
          <w:rFonts w:cs="Arial"/>
        </w:rPr>
        <w:t>utiliser l</w:t>
      </w:r>
      <w:r>
        <w:rPr>
          <w:rFonts w:cs="Arial"/>
        </w:rPr>
        <w:t>’</w:t>
      </w:r>
      <w:r w:rsidRPr="00F56EC5">
        <w:rPr>
          <w:rFonts w:cs="Arial"/>
        </w:rPr>
        <w:t>outil de recherche de dénominations variétales pour procéder à des recherches sur d</w:t>
      </w:r>
      <w:r>
        <w:rPr>
          <w:rFonts w:cs="Arial"/>
        </w:rPr>
        <w:t>’</w:t>
      </w:r>
      <w:r w:rsidRPr="00F56EC5">
        <w:rPr>
          <w:rFonts w:cs="Arial"/>
        </w:rPr>
        <w:t>autres aspects que les similitudes, notamment les caractéristiques de la variété.</w:t>
      </w:r>
    </w:p>
    <w:p w:rsidR="005111F8" w:rsidRDefault="005111F8" w:rsidP="005111F8">
      <w:pPr>
        <w:rPr>
          <w:rFonts w:cs="Arial"/>
        </w:rPr>
      </w:pPr>
    </w:p>
    <w:p w:rsidR="005111F8" w:rsidRDefault="005111F8" w:rsidP="005111F8">
      <w:pPr>
        <w:rPr>
          <w:rFonts w:cs="Arial"/>
        </w:rPr>
      </w:pPr>
      <w:r w:rsidRPr="00F56EC5">
        <w:rPr>
          <w:rFonts w:cs="Arial"/>
        </w:rPr>
        <w:fldChar w:fldCharType="begin"/>
      </w:r>
      <w:r w:rsidRPr="00F56EC5">
        <w:rPr>
          <w:rFonts w:cs="Arial"/>
        </w:rPr>
        <w:instrText xml:space="preserve"> AUTONUM  </w:instrText>
      </w:r>
      <w:r w:rsidRPr="00F56EC5">
        <w:rPr>
          <w:rFonts w:cs="Arial"/>
        </w:rPr>
        <w:fldChar w:fldCharType="end"/>
      </w:r>
      <w:r w:rsidRPr="00F56EC5">
        <w:rPr>
          <w:rFonts w:cs="Arial"/>
        </w:rPr>
        <w:tab/>
        <w:t xml:space="preserve">Le document UPOV/INF/12 “Notes explicatives concernant les dénominations variétales en vertu de la </w:t>
      </w:r>
      <w:r>
        <w:rPr>
          <w:rFonts w:cs="Arial"/>
        </w:rPr>
        <w:t>Convention UPOV</w:t>
      </w:r>
      <w:r w:rsidRPr="00F56EC5">
        <w:rPr>
          <w:rFonts w:cs="Arial"/>
        </w:rPr>
        <w:t>” prévoit ce qui suit</w:t>
      </w:r>
      <w:r>
        <w:rPr>
          <w:rFonts w:cs="Arial"/>
        </w:rPr>
        <w:t> :</w:t>
      </w:r>
    </w:p>
    <w:p w:rsidR="005111F8" w:rsidRDefault="005111F8" w:rsidP="005111F8">
      <w:pPr>
        <w:rPr>
          <w:rFonts w:cs="Arial"/>
        </w:rPr>
      </w:pPr>
    </w:p>
    <w:p w:rsidR="005111F8" w:rsidRDefault="005111F8" w:rsidP="005111F8">
      <w:pPr>
        <w:ind w:left="567"/>
        <w:rPr>
          <w:sz w:val="18"/>
          <w:szCs w:val="18"/>
        </w:rPr>
      </w:pPr>
      <w:r w:rsidRPr="00F56EC5">
        <w:rPr>
          <w:sz w:val="18"/>
          <w:szCs w:val="18"/>
        </w:rPr>
        <w:t>“2.3.1 Caractéristiques de la variété</w:t>
      </w:r>
    </w:p>
    <w:p w:rsidR="005111F8" w:rsidRDefault="005111F8" w:rsidP="005111F8">
      <w:pPr>
        <w:ind w:left="567"/>
        <w:rPr>
          <w:sz w:val="18"/>
          <w:szCs w:val="18"/>
        </w:rPr>
      </w:pPr>
    </w:p>
    <w:p w:rsidR="005111F8" w:rsidRDefault="005111F8" w:rsidP="005111F8">
      <w:pPr>
        <w:ind w:left="567"/>
        <w:rPr>
          <w:sz w:val="18"/>
          <w:szCs w:val="18"/>
        </w:rPr>
      </w:pPr>
      <w:r w:rsidRPr="00F56EC5">
        <w:rPr>
          <w:sz w:val="18"/>
          <w:szCs w:val="18"/>
        </w:rPr>
        <w:t>La dénomination ne doit pas</w:t>
      </w:r>
    </w:p>
    <w:p w:rsidR="005111F8" w:rsidRDefault="005111F8" w:rsidP="005111F8">
      <w:pPr>
        <w:ind w:left="567"/>
        <w:rPr>
          <w:sz w:val="18"/>
          <w:szCs w:val="18"/>
        </w:rPr>
      </w:pPr>
    </w:p>
    <w:p w:rsidR="005111F8" w:rsidRDefault="005111F8" w:rsidP="005111F8">
      <w:pPr>
        <w:ind w:left="567" w:firstLine="567"/>
        <w:rPr>
          <w:sz w:val="18"/>
          <w:szCs w:val="18"/>
        </w:rPr>
      </w:pPr>
      <w:r w:rsidRPr="00F56EC5">
        <w:rPr>
          <w:sz w:val="18"/>
          <w:szCs w:val="18"/>
        </w:rPr>
        <w:t>“a)</w:t>
      </w:r>
      <w:r w:rsidRPr="00F56EC5">
        <w:rPr>
          <w:sz w:val="18"/>
          <w:szCs w:val="18"/>
        </w:rPr>
        <w:tab/>
        <w:t>donner l</w:t>
      </w:r>
      <w:r>
        <w:rPr>
          <w:sz w:val="18"/>
          <w:szCs w:val="18"/>
        </w:rPr>
        <w:t>’</w:t>
      </w:r>
      <w:r w:rsidRPr="00F56EC5">
        <w:rPr>
          <w:sz w:val="18"/>
          <w:szCs w:val="18"/>
        </w:rPr>
        <w:t>impression que la variété a certaines caractéristiques lorsque ce n</w:t>
      </w:r>
      <w:r>
        <w:rPr>
          <w:sz w:val="18"/>
          <w:szCs w:val="18"/>
        </w:rPr>
        <w:t>’</w:t>
      </w:r>
      <w:r w:rsidRPr="00F56EC5">
        <w:rPr>
          <w:sz w:val="18"/>
          <w:szCs w:val="18"/>
        </w:rPr>
        <w:t>est pas le cas;</w:t>
      </w:r>
    </w:p>
    <w:p w:rsidR="005111F8" w:rsidRDefault="005111F8" w:rsidP="005111F8">
      <w:pPr>
        <w:ind w:left="567" w:firstLine="567"/>
        <w:rPr>
          <w:sz w:val="18"/>
          <w:szCs w:val="18"/>
        </w:rPr>
      </w:pPr>
    </w:p>
    <w:p w:rsidR="005111F8" w:rsidRDefault="005111F8" w:rsidP="005111F8">
      <w:pPr>
        <w:ind w:left="1134"/>
        <w:rPr>
          <w:sz w:val="18"/>
          <w:szCs w:val="18"/>
        </w:rPr>
      </w:pPr>
      <w:r w:rsidRPr="00F56EC5">
        <w:rPr>
          <w:i/>
          <w:sz w:val="18"/>
          <w:szCs w:val="18"/>
        </w:rPr>
        <w:t>Exemple</w:t>
      </w:r>
      <w:r>
        <w:rPr>
          <w:sz w:val="18"/>
          <w:szCs w:val="18"/>
        </w:rPr>
        <w:t> :</w:t>
      </w:r>
      <w:r w:rsidRPr="00F56EC5">
        <w:rPr>
          <w:sz w:val="18"/>
          <w:szCs w:val="18"/>
        </w:rPr>
        <w:t xml:space="preserve"> la dénomination “nain” pour une variété d</w:t>
      </w:r>
      <w:r>
        <w:rPr>
          <w:sz w:val="18"/>
          <w:szCs w:val="18"/>
        </w:rPr>
        <w:t>’</w:t>
      </w:r>
      <w:r w:rsidRPr="00F56EC5">
        <w:rPr>
          <w:sz w:val="18"/>
          <w:szCs w:val="18"/>
        </w:rPr>
        <w:t>une hauteur normale, lorsque cette caractéristique existe au sein de l</w:t>
      </w:r>
      <w:r>
        <w:rPr>
          <w:sz w:val="18"/>
          <w:szCs w:val="18"/>
        </w:rPr>
        <w:t>’</w:t>
      </w:r>
      <w:r w:rsidRPr="00F56EC5">
        <w:rPr>
          <w:sz w:val="18"/>
          <w:szCs w:val="18"/>
        </w:rPr>
        <w:t>espèce concernée, mais que la variété ne la possède pas.</w:t>
      </w:r>
    </w:p>
    <w:p w:rsidR="005111F8" w:rsidRDefault="005111F8" w:rsidP="005111F8">
      <w:pPr>
        <w:ind w:left="567"/>
        <w:rPr>
          <w:sz w:val="18"/>
          <w:szCs w:val="18"/>
        </w:rPr>
      </w:pPr>
    </w:p>
    <w:p w:rsidR="005111F8" w:rsidRDefault="005111F8" w:rsidP="005111F8">
      <w:pPr>
        <w:ind w:left="567" w:firstLine="567"/>
        <w:rPr>
          <w:sz w:val="18"/>
          <w:szCs w:val="18"/>
        </w:rPr>
      </w:pPr>
      <w:r w:rsidRPr="00F56EC5">
        <w:rPr>
          <w:sz w:val="18"/>
          <w:szCs w:val="18"/>
        </w:rPr>
        <w:t>“b)</w:t>
      </w:r>
      <w:r w:rsidRPr="00F56EC5">
        <w:rPr>
          <w:sz w:val="18"/>
          <w:szCs w:val="18"/>
        </w:rPr>
        <w:tab/>
        <w:t>se référer à des caractéristiques de la variété de telle façon qu</w:t>
      </w:r>
      <w:r>
        <w:rPr>
          <w:sz w:val="18"/>
          <w:szCs w:val="18"/>
        </w:rPr>
        <w:t>’</w:t>
      </w:r>
      <w:r w:rsidRPr="00F56EC5">
        <w:rPr>
          <w:sz w:val="18"/>
          <w:szCs w:val="18"/>
        </w:rPr>
        <w:t>elle donne l</w:t>
      </w:r>
      <w:r>
        <w:rPr>
          <w:sz w:val="18"/>
          <w:szCs w:val="18"/>
        </w:rPr>
        <w:t>’</w:t>
      </w:r>
      <w:r w:rsidRPr="00F56EC5">
        <w:rPr>
          <w:sz w:val="18"/>
          <w:szCs w:val="18"/>
        </w:rPr>
        <w:t>impression que cette variété est la seule à les posséder, alors que d</w:t>
      </w:r>
      <w:r>
        <w:rPr>
          <w:sz w:val="18"/>
          <w:szCs w:val="18"/>
        </w:rPr>
        <w:t>’</w:t>
      </w:r>
      <w:r w:rsidRPr="00F56EC5">
        <w:rPr>
          <w:sz w:val="18"/>
          <w:szCs w:val="18"/>
        </w:rPr>
        <w:t>autres variétés de l</w:t>
      </w:r>
      <w:r>
        <w:rPr>
          <w:sz w:val="18"/>
          <w:szCs w:val="18"/>
        </w:rPr>
        <w:t>’</w:t>
      </w:r>
      <w:r w:rsidRPr="00F56EC5">
        <w:rPr>
          <w:sz w:val="18"/>
          <w:szCs w:val="18"/>
        </w:rPr>
        <w:t xml:space="preserve">espèce considérée les possèdent ou pourraient les </w:t>
      </w:r>
      <w:proofErr w:type="gramStart"/>
      <w:r w:rsidRPr="00F56EC5">
        <w:rPr>
          <w:sz w:val="18"/>
          <w:szCs w:val="18"/>
        </w:rPr>
        <w:t xml:space="preserve">posséder; </w:t>
      </w:r>
      <w:r>
        <w:rPr>
          <w:sz w:val="18"/>
          <w:szCs w:val="18"/>
        </w:rPr>
        <w:t xml:space="preserve"> </w:t>
      </w:r>
      <w:r w:rsidRPr="00F56EC5">
        <w:rPr>
          <w:sz w:val="18"/>
          <w:szCs w:val="18"/>
        </w:rPr>
        <w:t>ce</w:t>
      </w:r>
      <w:proofErr w:type="gramEnd"/>
      <w:r w:rsidRPr="00F56EC5">
        <w:rPr>
          <w:sz w:val="18"/>
          <w:szCs w:val="18"/>
        </w:rPr>
        <w:t xml:space="preserve"> serait le cas par exemple d</w:t>
      </w:r>
      <w:r>
        <w:rPr>
          <w:sz w:val="18"/>
          <w:szCs w:val="18"/>
        </w:rPr>
        <w:t>’</w:t>
      </w:r>
      <w:r w:rsidRPr="00F56EC5">
        <w:rPr>
          <w:sz w:val="18"/>
          <w:szCs w:val="18"/>
        </w:rPr>
        <w:t>une dénomination consistant uniquement en des mots descriptifs décrivant des attributs de la variété que d</w:t>
      </w:r>
      <w:r>
        <w:rPr>
          <w:sz w:val="18"/>
          <w:szCs w:val="18"/>
        </w:rPr>
        <w:t>’</w:t>
      </w:r>
      <w:r w:rsidRPr="00F56EC5">
        <w:rPr>
          <w:sz w:val="18"/>
          <w:szCs w:val="18"/>
        </w:rPr>
        <w:t>autres variétés de l</w:t>
      </w:r>
      <w:r>
        <w:rPr>
          <w:sz w:val="18"/>
          <w:szCs w:val="18"/>
        </w:rPr>
        <w:t>’</w:t>
      </w:r>
      <w:r w:rsidRPr="00F56EC5">
        <w:rPr>
          <w:sz w:val="18"/>
          <w:szCs w:val="18"/>
        </w:rPr>
        <w:t>espèce peuvent également posséder.</w:t>
      </w:r>
    </w:p>
    <w:p w:rsidR="005111F8" w:rsidRDefault="005111F8" w:rsidP="005111F8">
      <w:pPr>
        <w:ind w:left="567" w:firstLine="567"/>
        <w:rPr>
          <w:sz w:val="18"/>
          <w:szCs w:val="18"/>
          <w:u w:val="single"/>
        </w:rPr>
      </w:pPr>
    </w:p>
    <w:p w:rsidR="005111F8" w:rsidRDefault="005111F8" w:rsidP="005111F8">
      <w:pPr>
        <w:ind w:left="567" w:firstLine="567"/>
        <w:jc w:val="left"/>
        <w:rPr>
          <w:sz w:val="18"/>
          <w:szCs w:val="18"/>
        </w:rPr>
      </w:pPr>
      <w:r w:rsidRPr="00F56EC5">
        <w:rPr>
          <w:i/>
          <w:sz w:val="18"/>
          <w:szCs w:val="18"/>
        </w:rPr>
        <w:t>Exemple 1</w:t>
      </w:r>
      <w:r>
        <w:rPr>
          <w:i/>
          <w:sz w:val="18"/>
          <w:szCs w:val="18"/>
        </w:rPr>
        <w:t> :</w:t>
      </w:r>
      <w:r w:rsidRPr="00F56EC5">
        <w:rPr>
          <w:sz w:val="18"/>
          <w:szCs w:val="18"/>
        </w:rPr>
        <w:t xml:space="preserve"> “sucré” pour une variété fruitière;</w:t>
      </w:r>
    </w:p>
    <w:p w:rsidR="005111F8" w:rsidRDefault="005111F8" w:rsidP="005111F8">
      <w:pPr>
        <w:ind w:left="567" w:firstLine="567"/>
        <w:jc w:val="left"/>
        <w:rPr>
          <w:sz w:val="18"/>
          <w:szCs w:val="18"/>
          <w:u w:val="single"/>
        </w:rPr>
      </w:pPr>
    </w:p>
    <w:p w:rsidR="005111F8" w:rsidRDefault="005111F8" w:rsidP="005111F8">
      <w:pPr>
        <w:ind w:left="567" w:firstLine="567"/>
        <w:jc w:val="left"/>
        <w:rPr>
          <w:sz w:val="18"/>
          <w:szCs w:val="18"/>
        </w:rPr>
      </w:pPr>
      <w:r w:rsidRPr="00F56EC5">
        <w:rPr>
          <w:i/>
          <w:sz w:val="18"/>
          <w:szCs w:val="18"/>
        </w:rPr>
        <w:t>Exemple 2</w:t>
      </w:r>
      <w:r>
        <w:rPr>
          <w:i/>
          <w:sz w:val="18"/>
          <w:szCs w:val="18"/>
        </w:rPr>
        <w:t> :</w:t>
      </w:r>
      <w:r w:rsidRPr="00F56EC5">
        <w:rPr>
          <w:sz w:val="18"/>
          <w:szCs w:val="18"/>
        </w:rPr>
        <w:t xml:space="preserve"> “Grande blanche” pour une variété de chrysanthème.</w:t>
      </w:r>
    </w:p>
    <w:p w:rsidR="005111F8" w:rsidRDefault="005111F8" w:rsidP="005111F8">
      <w:pPr>
        <w:ind w:left="567" w:firstLine="567"/>
        <w:jc w:val="left"/>
        <w:rPr>
          <w:sz w:val="18"/>
          <w:szCs w:val="18"/>
        </w:rPr>
      </w:pPr>
    </w:p>
    <w:p w:rsidR="005111F8" w:rsidRDefault="005111F8" w:rsidP="005111F8">
      <w:pPr>
        <w:keepNext/>
        <w:ind w:left="567" w:firstLine="567"/>
        <w:rPr>
          <w:sz w:val="18"/>
          <w:szCs w:val="18"/>
        </w:rPr>
      </w:pPr>
      <w:r w:rsidRPr="00F56EC5">
        <w:rPr>
          <w:sz w:val="18"/>
          <w:szCs w:val="18"/>
        </w:rPr>
        <w:t>“c)</w:t>
      </w:r>
      <w:r w:rsidRPr="00F56EC5">
        <w:rPr>
          <w:sz w:val="18"/>
          <w:szCs w:val="18"/>
        </w:rPr>
        <w:tab/>
        <w:t>donner l</w:t>
      </w:r>
      <w:r>
        <w:rPr>
          <w:sz w:val="18"/>
          <w:szCs w:val="18"/>
        </w:rPr>
        <w:t>’</w:t>
      </w:r>
      <w:r w:rsidRPr="00F56EC5">
        <w:rPr>
          <w:sz w:val="18"/>
          <w:szCs w:val="18"/>
        </w:rPr>
        <w:t>impression que la variété est issue d</w:t>
      </w:r>
      <w:r>
        <w:rPr>
          <w:sz w:val="18"/>
          <w:szCs w:val="18"/>
        </w:rPr>
        <w:t>’</w:t>
      </w:r>
      <w:r w:rsidRPr="00F56EC5">
        <w:rPr>
          <w:sz w:val="18"/>
          <w:szCs w:val="18"/>
        </w:rPr>
        <w:t>une autre variété ou lui est apparentée, lorsque ce n</w:t>
      </w:r>
      <w:r>
        <w:rPr>
          <w:sz w:val="18"/>
          <w:szCs w:val="18"/>
        </w:rPr>
        <w:t>’</w:t>
      </w:r>
      <w:r w:rsidRPr="00F56EC5">
        <w:rPr>
          <w:sz w:val="18"/>
          <w:szCs w:val="18"/>
        </w:rPr>
        <w:t>est pas le cas;</w:t>
      </w:r>
    </w:p>
    <w:p w:rsidR="005111F8" w:rsidRDefault="005111F8" w:rsidP="005111F8">
      <w:pPr>
        <w:keepNext/>
        <w:ind w:left="567" w:firstLine="567"/>
        <w:rPr>
          <w:sz w:val="18"/>
          <w:szCs w:val="18"/>
        </w:rPr>
      </w:pPr>
    </w:p>
    <w:p w:rsidR="005111F8" w:rsidRDefault="005111F8" w:rsidP="005111F8">
      <w:pPr>
        <w:ind w:left="1134"/>
        <w:rPr>
          <w:sz w:val="18"/>
          <w:szCs w:val="18"/>
        </w:rPr>
      </w:pPr>
      <w:r w:rsidRPr="00F56EC5">
        <w:rPr>
          <w:i/>
          <w:sz w:val="18"/>
          <w:szCs w:val="18"/>
        </w:rPr>
        <w:t>Exemple</w:t>
      </w:r>
      <w:r>
        <w:rPr>
          <w:i/>
          <w:sz w:val="18"/>
          <w:szCs w:val="18"/>
        </w:rPr>
        <w:t> :</w:t>
      </w:r>
      <w:r w:rsidRPr="00F56EC5">
        <w:rPr>
          <w:sz w:val="18"/>
          <w:szCs w:val="18"/>
        </w:rPr>
        <w:t xml:space="preserve"> une dénomination analogue à celle d</w:t>
      </w:r>
      <w:r>
        <w:rPr>
          <w:sz w:val="18"/>
          <w:szCs w:val="18"/>
        </w:rPr>
        <w:t>’</w:t>
      </w:r>
      <w:r w:rsidRPr="00F56EC5">
        <w:rPr>
          <w:sz w:val="18"/>
          <w:szCs w:val="18"/>
        </w:rPr>
        <w:t>une autre variété de la même espèce ou qui lui est apparentée, p.</w:t>
      </w:r>
      <w:r>
        <w:rPr>
          <w:sz w:val="18"/>
          <w:szCs w:val="18"/>
        </w:rPr>
        <w:t> </w:t>
      </w:r>
      <w:r w:rsidRPr="00F56EC5">
        <w:rPr>
          <w:sz w:val="18"/>
          <w:szCs w:val="18"/>
        </w:rPr>
        <w:t>ex.</w:t>
      </w:r>
      <w:r>
        <w:rPr>
          <w:sz w:val="18"/>
          <w:szCs w:val="18"/>
        </w:rPr>
        <w:t> </w:t>
      </w:r>
      <w:r w:rsidRPr="00F56EC5">
        <w:rPr>
          <w:sz w:val="18"/>
          <w:szCs w:val="18"/>
        </w:rPr>
        <w:t>“</w:t>
      </w:r>
      <w:proofErr w:type="spellStart"/>
      <w:r w:rsidRPr="00F56EC5">
        <w:rPr>
          <w:sz w:val="18"/>
          <w:szCs w:val="18"/>
        </w:rPr>
        <w:t>Southern</w:t>
      </w:r>
      <w:proofErr w:type="spellEnd"/>
      <w:r w:rsidRPr="00F56EC5">
        <w:rPr>
          <w:sz w:val="18"/>
          <w:szCs w:val="18"/>
        </w:rPr>
        <w:t xml:space="preserve"> cross 1”, “</w:t>
      </w:r>
      <w:proofErr w:type="spellStart"/>
      <w:r w:rsidRPr="00F56EC5">
        <w:rPr>
          <w:sz w:val="18"/>
          <w:szCs w:val="18"/>
        </w:rPr>
        <w:t>Southern</w:t>
      </w:r>
      <w:proofErr w:type="spellEnd"/>
      <w:r w:rsidRPr="00F56EC5">
        <w:rPr>
          <w:sz w:val="18"/>
          <w:szCs w:val="18"/>
        </w:rPr>
        <w:t xml:space="preserve"> cross 2”, etc., qui donne l</w:t>
      </w:r>
      <w:r>
        <w:rPr>
          <w:sz w:val="18"/>
          <w:szCs w:val="18"/>
        </w:rPr>
        <w:t>’</w:t>
      </w:r>
      <w:r w:rsidRPr="00F56EC5">
        <w:rPr>
          <w:sz w:val="18"/>
          <w:szCs w:val="18"/>
        </w:rPr>
        <w:t>impression que ces variétés constituent une série de variétés apparentées présentant les mêmes caractéristiques alors que ce n</w:t>
      </w:r>
      <w:r>
        <w:rPr>
          <w:sz w:val="18"/>
          <w:szCs w:val="18"/>
        </w:rPr>
        <w:t>’</w:t>
      </w:r>
      <w:r w:rsidRPr="00F56EC5">
        <w:rPr>
          <w:sz w:val="18"/>
          <w:szCs w:val="18"/>
        </w:rPr>
        <w:t>est pas le cas.</w:t>
      </w:r>
    </w:p>
    <w:p w:rsidR="005111F8" w:rsidRDefault="005111F8" w:rsidP="005111F8">
      <w:pPr>
        <w:ind w:left="567" w:firstLine="567"/>
        <w:rPr>
          <w:sz w:val="18"/>
          <w:szCs w:val="18"/>
        </w:rPr>
      </w:pPr>
    </w:p>
    <w:p w:rsidR="005111F8" w:rsidRDefault="005111F8" w:rsidP="005111F8">
      <w:pPr>
        <w:ind w:left="567"/>
        <w:rPr>
          <w:sz w:val="18"/>
          <w:szCs w:val="18"/>
        </w:rPr>
      </w:pPr>
      <w:r w:rsidRPr="00F56EC5">
        <w:rPr>
          <w:sz w:val="18"/>
          <w:szCs w:val="18"/>
        </w:rPr>
        <w:t>“2.3.2 Valeur de la variété</w:t>
      </w:r>
    </w:p>
    <w:p w:rsidR="005111F8" w:rsidRDefault="005111F8" w:rsidP="005111F8">
      <w:pPr>
        <w:ind w:left="567"/>
        <w:rPr>
          <w:sz w:val="18"/>
          <w:szCs w:val="18"/>
        </w:rPr>
      </w:pPr>
    </w:p>
    <w:p w:rsidR="005111F8" w:rsidRDefault="005111F8" w:rsidP="005111F8">
      <w:pPr>
        <w:ind w:left="567"/>
        <w:rPr>
          <w:sz w:val="18"/>
          <w:szCs w:val="18"/>
        </w:rPr>
      </w:pPr>
      <w:r w:rsidRPr="00F56EC5">
        <w:rPr>
          <w:sz w:val="18"/>
          <w:szCs w:val="18"/>
        </w:rPr>
        <w:t>La dénomination ne doit pas se composer de comparatifs ou de superlatifs, ni en contenir.</w:t>
      </w:r>
    </w:p>
    <w:p w:rsidR="005111F8" w:rsidRDefault="005111F8" w:rsidP="005111F8">
      <w:pPr>
        <w:ind w:left="567" w:firstLine="567"/>
        <w:rPr>
          <w:sz w:val="18"/>
          <w:szCs w:val="18"/>
        </w:rPr>
      </w:pPr>
    </w:p>
    <w:p w:rsidR="005111F8" w:rsidRDefault="005111F8" w:rsidP="005111F8">
      <w:pPr>
        <w:ind w:left="1134"/>
        <w:rPr>
          <w:sz w:val="18"/>
          <w:szCs w:val="18"/>
        </w:rPr>
      </w:pPr>
      <w:r w:rsidRPr="00F56EC5">
        <w:rPr>
          <w:i/>
          <w:sz w:val="18"/>
          <w:szCs w:val="18"/>
        </w:rPr>
        <w:t>Exemple</w:t>
      </w:r>
      <w:r>
        <w:rPr>
          <w:i/>
          <w:sz w:val="18"/>
          <w:szCs w:val="18"/>
        </w:rPr>
        <w:t> :</w:t>
      </w:r>
      <w:r w:rsidRPr="00F56EC5">
        <w:rPr>
          <w:sz w:val="18"/>
          <w:szCs w:val="18"/>
        </w:rPr>
        <w:t xml:space="preserve"> une dénomination comprenant des termes tels que “meilleur”, “supérieur”, “plus sucré””.</w:t>
      </w:r>
    </w:p>
    <w:p w:rsidR="005111F8" w:rsidRDefault="005111F8" w:rsidP="005111F8">
      <w:pPr>
        <w:rPr>
          <w:rFonts w:cs="Arial"/>
        </w:rPr>
      </w:pPr>
    </w:p>
    <w:p w:rsidR="005111F8" w:rsidRDefault="005111F8" w:rsidP="005111F8">
      <w:pPr>
        <w:rPr>
          <w:rFonts w:cs="Arial"/>
        </w:rPr>
      </w:pPr>
      <w:r w:rsidRPr="00F56EC5">
        <w:rPr>
          <w:rFonts w:cs="Arial"/>
        </w:rPr>
        <w:fldChar w:fldCharType="begin"/>
      </w:r>
      <w:r w:rsidRPr="00F56EC5">
        <w:rPr>
          <w:rFonts w:cs="Arial"/>
        </w:rPr>
        <w:instrText xml:space="preserve"> AUTONUM  </w:instrText>
      </w:r>
      <w:r w:rsidRPr="00F56EC5">
        <w:rPr>
          <w:rFonts w:cs="Arial"/>
        </w:rPr>
        <w:fldChar w:fldCharType="end"/>
      </w:r>
      <w:r w:rsidRPr="00F56EC5">
        <w:rPr>
          <w:rFonts w:cs="Arial"/>
        </w:rPr>
        <w:tab/>
        <w:t>En cas de recherche de dénominations, la dénomination ne doit pas “donner l</w:t>
      </w:r>
      <w:r>
        <w:rPr>
          <w:rFonts w:cs="Arial"/>
        </w:rPr>
        <w:t>’</w:t>
      </w:r>
      <w:r w:rsidRPr="00F56EC5">
        <w:rPr>
          <w:rFonts w:cs="Arial"/>
        </w:rPr>
        <w:t>impression que la variété a certaines caractéristiques lorsque ce n</w:t>
      </w:r>
      <w:r>
        <w:rPr>
          <w:rFonts w:cs="Arial"/>
        </w:rPr>
        <w:t>’</w:t>
      </w:r>
      <w:r w:rsidRPr="00F56EC5">
        <w:rPr>
          <w:rFonts w:cs="Arial"/>
        </w:rPr>
        <w:t>est pas le cas”.  L</w:t>
      </w:r>
      <w:r>
        <w:rPr>
          <w:rFonts w:cs="Arial"/>
        </w:rPr>
        <w:t>’</w:t>
      </w:r>
      <w:r w:rsidRPr="00F56EC5">
        <w:rPr>
          <w:rFonts w:cs="Arial"/>
        </w:rPr>
        <w:t>objet d</w:t>
      </w:r>
      <w:r>
        <w:rPr>
          <w:rFonts w:cs="Arial"/>
        </w:rPr>
        <w:t>’</w:t>
      </w:r>
      <w:r w:rsidRPr="00F56EC5">
        <w:rPr>
          <w:rFonts w:cs="Arial"/>
        </w:rPr>
        <w:t>une fonctionnalité intégrée à l</w:t>
      </w:r>
      <w:r>
        <w:rPr>
          <w:rFonts w:cs="Arial"/>
        </w:rPr>
        <w:t>’</w:t>
      </w:r>
      <w:r w:rsidRPr="00F56EC5">
        <w:rPr>
          <w:rFonts w:cs="Arial"/>
        </w:rPr>
        <w:t>outil de recherche de dénominations variétales ne serait pas de déterminer la pertinence d</w:t>
      </w:r>
      <w:r>
        <w:rPr>
          <w:rFonts w:cs="Arial"/>
        </w:rPr>
        <w:t>’</w:t>
      </w:r>
      <w:r w:rsidRPr="00F56EC5">
        <w:rPr>
          <w:rFonts w:cs="Arial"/>
        </w:rPr>
        <w:t>une dénomination, mais d</w:t>
      </w:r>
      <w:r>
        <w:rPr>
          <w:rFonts w:cs="Arial"/>
        </w:rPr>
        <w:t>’</w:t>
      </w:r>
      <w:r w:rsidRPr="00F56EC5">
        <w:rPr>
          <w:rFonts w:cs="Arial"/>
        </w:rPr>
        <w:t>avertir l</w:t>
      </w:r>
      <w:r>
        <w:rPr>
          <w:rFonts w:cs="Arial"/>
        </w:rPr>
        <w:t>’</w:t>
      </w:r>
      <w:r w:rsidRPr="00F56EC5">
        <w:rPr>
          <w:rFonts w:cs="Arial"/>
        </w:rPr>
        <w:t>examinateur de la présence d</w:t>
      </w:r>
      <w:r>
        <w:rPr>
          <w:rFonts w:cs="Arial"/>
        </w:rPr>
        <w:t>’</w:t>
      </w:r>
      <w:r w:rsidRPr="00F56EC5">
        <w:rPr>
          <w:rFonts w:cs="Arial"/>
        </w:rPr>
        <w:t>une caractéristique dans la dénomination qu</w:t>
      </w:r>
      <w:r>
        <w:rPr>
          <w:rFonts w:cs="Arial"/>
        </w:rPr>
        <w:t>’</w:t>
      </w:r>
      <w:r w:rsidRPr="00F56EC5">
        <w:rPr>
          <w:rFonts w:cs="Arial"/>
        </w:rPr>
        <w:t>il pourrait être nécessaire de prendre en considération.</w:t>
      </w:r>
    </w:p>
    <w:p w:rsidR="005111F8" w:rsidRDefault="005111F8" w:rsidP="005111F8">
      <w:pPr>
        <w:rPr>
          <w:rFonts w:cs="Arial"/>
        </w:rPr>
      </w:pPr>
    </w:p>
    <w:p w:rsidR="005111F8" w:rsidRDefault="005111F8" w:rsidP="005111F8">
      <w:pPr>
        <w:keepLines/>
        <w:rPr>
          <w:rFonts w:cs="Arial"/>
        </w:rPr>
      </w:pPr>
      <w:r w:rsidRPr="00F56EC5">
        <w:rPr>
          <w:rFonts w:cs="Arial"/>
        </w:rPr>
        <w:fldChar w:fldCharType="begin"/>
      </w:r>
      <w:r w:rsidRPr="00F56EC5">
        <w:rPr>
          <w:rFonts w:cs="Arial"/>
        </w:rPr>
        <w:instrText xml:space="preserve"> AUTONUM  </w:instrText>
      </w:r>
      <w:r w:rsidRPr="00F56EC5">
        <w:rPr>
          <w:rFonts w:cs="Arial"/>
        </w:rPr>
        <w:fldChar w:fldCharType="end"/>
      </w:r>
      <w:r w:rsidRPr="00F56EC5">
        <w:rPr>
          <w:rFonts w:cs="Arial"/>
        </w:rPr>
        <w:tab/>
        <w:t>Le modèle de principes directeurs d</w:t>
      </w:r>
      <w:r>
        <w:rPr>
          <w:rFonts w:cs="Arial"/>
        </w:rPr>
        <w:t>’</w:t>
      </w:r>
      <w:r w:rsidRPr="00F56EC5">
        <w:rPr>
          <w:rFonts w:cs="Arial"/>
        </w:rPr>
        <w:t>examen contient une base de données des caractéristiques qui figurent dans les principes directeurs d</w:t>
      </w:r>
      <w:r>
        <w:rPr>
          <w:rFonts w:cs="Arial"/>
        </w:rPr>
        <w:t>’</w:t>
      </w:r>
      <w:r w:rsidRPr="00F56EC5">
        <w:rPr>
          <w:rFonts w:cs="Arial"/>
        </w:rPr>
        <w:t>examen de l</w:t>
      </w:r>
      <w:r>
        <w:rPr>
          <w:rFonts w:cs="Arial"/>
        </w:rPr>
        <w:t>’</w:t>
      </w:r>
      <w:r w:rsidRPr="00F56EC5">
        <w:rPr>
          <w:rFonts w:cs="Arial"/>
        </w:rPr>
        <w:t>UPOV et, pour les membres de l</w:t>
      </w:r>
      <w:r>
        <w:rPr>
          <w:rFonts w:cs="Arial"/>
        </w:rPr>
        <w:t>’</w:t>
      </w:r>
      <w:r w:rsidRPr="00F56EC5">
        <w:rPr>
          <w:rFonts w:cs="Arial"/>
        </w:rPr>
        <w:t>Union qui participent à UPOV PRISMA, des caractéristiques qui figurent dans les principes directeurs d</w:t>
      </w:r>
      <w:r>
        <w:rPr>
          <w:rFonts w:cs="Arial"/>
        </w:rPr>
        <w:t>’</w:t>
      </w:r>
      <w:r w:rsidRPr="00F56EC5">
        <w:rPr>
          <w:rFonts w:cs="Arial"/>
        </w:rPr>
        <w:t>examen propres aux différents services</w:t>
      </w:r>
      <w:r>
        <w:rPr>
          <w:rFonts w:cs="Arial"/>
        </w:rPr>
        <w:t xml:space="preserve">.  </w:t>
      </w:r>
      <w:r w:rsidRPr="00F56EC5">
        <w:rPr>
          <w:rFonts w:cs="Arial"/>
        </w:rPr>
        <w:t>Ces caractéristiques sont disponibles en français, en allemand, en anglais et en espagnol, et les langues de navigation et du formulaire de sortie d</w:t>
      </w:r>
      <w:r>
        <w:rPr>
          <w:rFonts w:cs="Arial"/>
        </w:rPr>
        <w:t>’</w:t>
      </w:r>
      <w:r w:rsidRPr="00F56EC5">
        <w:rPr>
          <w:rFonts w:cs="Arial"/>
        </w:rPr>
        <w:t>UPOV PRISMA (si elles ont été fournies par les membres de l</w:t>
      </w:r>
      <w:r>
        <w:rPr>
          <w:rFonts w:cs="Arial"/>
        </w:rPr>
        <w:t>’</w:t>
      </w:r>
      <w:r w:rsidRPr="00F56EC5">
        <w:rPr>
          <w:rFonts w:cs="Arial"/>
        </w:rPr>
        <w:t>Union qui participent à UPOV PRISMA).  Sur cette base, les caractéristiques figurant dans le modèle de principes directeurs d</w:t>
      </w:r>
      <w:r>
        <w:rPr>
          <w:rFonts w:cs="Arial"/>
        </w:rPr>
        <w:t>’</w:t>
      </w:r>
      <w:r w:rsidRPr="00F56EC5">
        <w:rPr>
          <w:rFonts w:cs="Arial"/>
        </w:rPr>
        <w:t>examen constitueraient un bon point de départ pour la recherche de dénominations contenant des caractéristiques.</w:t>
      </w:r>
    </w:p>
    <w:p w:rsidR="005111F8" w:rsidRDefault="005111F8" w:rsidP="005111F8">
      <w:pPr>
        <w:rPr>
          <w:rFonts w:cs="Arial"/>
        </w:rPr>
      </w:pPr>
    </w:p>
    <w:p w:rsidR="005111F8" w:rsidRDefault="005111F8" w:rsidP="005111F8">
      <w:pPr>
        <w:rPr>
          <w:rFonts w:cs="Arial"/>
        </w:rPr>
      </w:pPr>
      <w:r w:rsidRPr="00F56EC5">
        <w:rPr>
          <w:rFonts w:cs="Arial"/>
        </w:rPr>
        <w:fldChar w:fldCharType="begin"/>
      </w:r>
      <w:r w:rsidRPr="00F56EC5">
        <w:rPr>
          <w:rFonts w:cs="Arial"/>
        </w:rPr>
        <w:instrText xml:space="preserve"> AUTONUM  </w:instrText>
      </w:r>
      <w:r w:rsidRPr="00F56EC5">
        <w:rPr>
          <w:rFonts w:cs="Arial"/>
        </w:rPr>
        <w:fldChar w:fldCharType="end"/>
      </w:r>
      <w:r w:rsidRPr="00F56EC5">
        <w:rPr>
          <w:rFonts w:cs="Arial"/>
        </w:rPr>
        <w:tab/>
        <w:t>Il est rappelé que, à sa soixante</w:t>
      </w:r>
      <w:r w:rsidR="0054194F">
        <w:rPr>
          <w:rFonts w:cs="Arial"/>
        </w:rPr>
        <w:noBreakHyphen/>
      </w:r>
      <w:r w:rsidRPr="00F56EC5">
        <w:rPr>
          <w:rFonts w:cs="Arial"/>
        </w:rPr>
        <w:t>dix</w:t>
      </w:r>
      <w:r w:rsidR="0054194F">
        <w:rPr>
          <w:rFonts w:cs="Arial"/>
        </w:rPr>
        <w:noBreakHyphen/>
      </w:r>
      <w:r w:rsidRPr="00F56EC5">
        <w:rPr>
          <w:rFonts w:cs="Arial"/>
        </w:rPr>
        <w:t>sept</w:t>
      </w:r>
      <w:r>
        <w:rPr>
          <w:rFonts w:cs="Arial"/>
        </w:rPr>
        <w:t>ième session</w:t>
      </w:r>
      <w:r w:rsidRPr="00F56EC5">
        <w:rPr>
          <w:rFonts w:cs="Arial"/>
        </w:rPr>
        <w:t>, le</w:t>
      </w:r>
      <w:r>
        <w:rPr>
          <w:rFonts w:cs="Arial"/>
        </w:rPr>
        <w:t> </w:t>
      </w:r>
      <w:r w:rsidRPr="00F56EC5">
        <w:rPr>
          <w:rFonts w:cs="Arial"/>
        </w:rPr>
        <w:t xml:space="preserve">CAJ sera invité à examiner un projet de document UPOV/EXN/DEN/1 </w:t>
      </w:r>
      <w:r>
        <w:rPr>
          <w:rFonts w:cs="Arial"/>
        </w:rPr>
        <w:t>“</w:t>
      </w:r>
      <w:r w:rsidRPr="00F56EC5">
        <w:rPr>
          <w:rFonts w:cs="Arial"/>
        </w:rPr>
        <w:t xml:space="preserve">Notes explicatives concernant les dénominations variétales selon la </w:t>
      </w:r>
      <w:r>
        <w:rPr>
          <w:rFonts w:cs="Arial"/>
        </w:rPr>
        <w:t>Convention UPOV”</w:t>
      </w:r>
      <w:r w:rsidRPr="00F56EC5">
        <w:rPr>
          <w:rFonts w:cs="Arial"/>
        </w:rPr>
        <w:t>.  Toute activité relative à un outil de recherche permettant de tenir compte des orientations figurant dans le document UPOV/EXN/DEN/1, après adoption de celui</w:t>
      </w:r>
      <w:r w:rsidR="0054194F">
        <w:rPr>
          <w:rFonts w:cs="Arial"/>
        </w:rPr>
        <w:noBreakHyphen/>
      </w:r>
      <w:r w:rsidRPr="00F56EC5">
        <w:rPr>
          <w:rFonts w:cs="Arial"/>
        </w:rPr>
        <w:t>ci.</w:t>
      </w:r>
    </w:p>
    <w:p w:rsidR="005111F8" w:rsidRDefault="005111F8" w:rsidP="005111F8">
      <w:pPr>
        <w:rPr>
          <w:rFonts w:eastAsiaTheme="minorEastAsia"/>
          <w:lang w:eastAsia="ja-JP"/>
        </w:rPr>
      </w:pPr>
    </w:p>
    <w:p w:rsidR="005111F8" w:rsidRDefault="005111F8" w:rsidP="005111F8">
      <w:pPr>
        <w:rPr>
          <w:rFonts w:eastAsiaTheme="minorEastAsia"/>
          <w:lang w:eastAsia="ja-JP"/>
        </w:rPr>
      </w:pPr>
    </w:p>
    <w:p w:rsidR="005111F8" w:rsidRDefault="006548B1" w:rsidP="005111F8">
      <w:pPr>
        <w:pStyle w:val="Heading1"/>
        <w:rPr>
          <w:rFonts w:eastAsiaTheme="minorEastAsia"/>
          <w:lang w:val="fr-FR"/>
        </w:rPr>
      </w:pPr>
      <w:bookmarkStart w:id="10" w:name="_Toc54258056"/>
      <w:r w:rsidRPr="006548B1">
        <w:rPr>
          <w:lang w:val="fr-CH"/>
        </w:rPr>
        <w:t>É</w:t>
      </w:r>
      <w:r w:rsidR="005111F8" w:rsidRPr="00F56EC5">
        <w:rPr>
          <w:rFonts w:eastAsiaTheme="minorEastAsia"/>
          <w:lang w:val="fr-FR"/>
        </w:rPr>
        <w:t>largissement du contenu de la base de donn</w:t>
      </w:r>
      <w:r w:rsidRPr="006548B1">
        <w:rPr>
          <w:lang w:val="fr-CH"/>
        </w:rPr>
        <w:t>É</w:t>
      </w:r>
      <w:r w:rsidR="005111F8" w:rsidRPr="00F56EC5">
        <w:rPr>
          <w:rFonts w:eastAsiaTheme="minorEastAsia"/>
          <w:lang w:val="fr-FR"/>
        </w:rPr>
        <w:t>es PLUTO</w:t>
      </w:r>
      <w:bookmarkEnd w:id="10"/>
    </w:p>
    <w:p w:rsidR="005111F8" w:rsidRDefault="005111F8" w:rsidP="005111F8">
      <w:pPr>
        <w:keepNext/>
        <w:rPr>
          <w:rFonts w:eastAsiaTheme="minorEastAsia"/>
          <w:snapToGrid w:val="0"/>
          <w:lang w:eastAsia="ja-JP"/>
        </w:rPr>
      </w:pPr>
    </w:p>
    <w:p w:rsidR="005111F8" w:rsidRDefault="005111F8" w:rsidP="005111F8">
      <w:pPr>
        <w:pStyle w:val="Heading2"/>
        <w:rPr>
          <w:rFonts w:eastAsiaTheme="minorEastAsia"/>
          <w:lang w:val="fr-FR"/>
        </w:rPr>
      </w:pPr>
      <w:bookmarkStart w:id="11" w:name="_Toc54258057"/>
      <w:r w:rsidRPr="00F56EC5">
        <w:rPr>
          <w:rFonts w:eastAsiaTheme="minorEastAsia"/>
          <w:lang w:val="fr-FR"/>
        </w:rPr>
        <w:t>Groupe de travail sur les dénominations variétales en</w:t>
      </w:r>
      <w:r>
        <w:rPr>
          <w:rFonts w:eastAsiaTheme="minorEastAsia"/>
          <w:lang w:val="fr-FR"/>
        </w:rPr>
        <w:t> </w:t>
      </w:r>
      <w:r w:rsidRPr="00F56EC5">
        <w:rPr>
          <w:rFonts w:eastAsiaTheme="minorEastAsia"/>
          <w:lang w:val="fr-FR"/>
        </w:rPr>
        <w:t>2019</w:t>
      </w:r>
      <w:bookmarkEnd w:id="11"/>
    </w:p>
    <w:p w:rsidR="005111F8" w:rsidRDefault="005111F8" w:rsidP="005111F8">
      <w:pPr>
        <w:keepNext/>
        <w:keepLines/>
        <w:rPr>
          <w:rFonts w:eastAsiaTheme="minorEastAsia"/>
          <w:lang w:eastAsia="ja-JP"/>
        </w:rPr>
      </w:pPr>
    </w:p>
    <w:p w:rsidR="005111F8" w:rsidRDefault="005111F8" w:rsidP="005111F8">
      <w:pPr>
        <w:keepNext/>
        <w:rPr>
          <w:rFonts w:eastAsiaTheme="minorEastAsia"/>
          <w:lang w:eastAsia="ja-JP"/>
        </w:rPr>
      </w:pPr>
      <w:r w:rsidRPr="00F56EC5">
        <w:rPr>
          <w:rFonts w:eastAsiaTheme="minorEastAsia"/>
        </w:rPr>
        <w:fldChar w:fldCharType="begin"/>
      </w:r>
      <w:r w:rsidRPr="00F56EC5">
        <w:rPr>
          <w:rFonts w:eastAsiaTheme="minorEastAsia"/>
        </w:rPr>
        <w:instrText xml:space="preserve"> AUTONUM  </w:instrText>
      </w:r>
      <w:r w:rsidRPr="00F56EC5">
        <w:rPr>
          <w:rFonts w:eastAsiaTheme="minorEastAsia"/>
        </w:rPr>
        <w:fldChar w:fldCharType="end"/>
      </w:r>
      <w:r w:rsidRPr="00F56EC5">
        <w:rPr>
          <w:rFonts w:eastAsiaTheme="minorEastAsia"/>
        </w:rPr>
        <w:tab/>
        <w:t>Les informations générales sur cette question figurent aux paragraphes</w:t>
      </w:r>
      <w:r>
        <w:rPr>
          <w:rFonts w:eastAsiaTheme="minorEastAsia"/>
        </w:rPr>
        <w:t> </w:t>
      </w:r>
      <w:r w:rsidRPr="00F56EC5">
        <w:rPr>
          <w:rFonts w:eastAsiaTheme="minorEastAsia"/>
        </w:rPr>
        <w:t>11 à 17 du document</w:t>
      </w:r>
      <w:r>
        <w:rPr>
          <w:rFonts w:eastAsiaTheme="minorEastAsia"/>
        </w:rPr>
        <w:t xml:space="preserve"> TC</w:t>
      </w:r>
      <w:r w:rsidRPr="00F56EC5">
        <w:rPr>
          <w:rFonts w:eastAsiaTheme="minorEastAsia"/>
        </w:rPr>
        <w:t>/55/INF/7.</w:t>
      </w:r>
    </w:p>
    <w:p w:rsidR="005111F8" w:rsidRDefault="005111F8" w:rsidP="005111F8">
      <w:pPr>
        <w:ind w:left="1701" w:hanging="1134"/>
        <w:jc w:val="left"/>
        <w:rPr>
          <w:rFonts w:eastAsiaTheme="minorEastAsia" w:cs="Arial"/>
          <w:snapToGrid w:val="0"/>
        </w:rPr>
      </w:pPr>
    </w:p>
    <w:p w:rsidR="005111F8" w:rsidRDefault="005111F8" w:rsidP="005111F8">
      <w:r w:rsidRPr="00F56EC5">
        <w:rPr>
          <w:rFonts w:eastAsiaTheme="minorEastAsia"/>
          <w:spacing w:val="-2"/>
        </w:rPr>
        <w:fldChar w:fldCharType="begin"/>
      </w:r>
      <w:r w:rsidRPr="00F56EC5">
        <w:rPr>
          <w:rFonts w:eastAsiaTheme="minorEastAsia"/>
          <w:spacing w:val="-2"/>
        </w:rPr>
        <w:instrText xml:space="preserve"> AUTONUM  </w:instrText>
      </w:r>
      <w:r w:rsidRPr="00F56EC5">
        <w:rPr>
          <w:rFonts w:eastAsiaTheme="minorEastAsia"/>
          <w:spacing w:val="-2"/>
        </w:rPr>
        <w:fldChar w:fldCharType="end"/>
      </w:r>
      <w:r w:rsidRPr="00F56EC5">
        <w:rPr>
          <w:rFonts w:eastAsiaTheme="minorEastAsia"/>
          <w:spacing w:val="-2"/>
        </w:rPr>
        <w:tab/>
      </w:r>
      <w:bookmarkStart w:id="12" w:name="_Toc13678267"/>
      <w:r w:rsidRPr="00F56EC5">
        <w:rPr>
          <w:rFonts w:eastAsiaTheme="minorEastAsia"/>
          <w:spacing w:val="-2"/>
        </w:rPr>
        <w:t>À sa sixième réunion, le WG</w:t>
      </w:r>
      <w:r w:rsidR="0054194F">
        <w:rPr>
          <w:rFonts w:eastAsiaTheme="minorEastAsia"/>
          <w:spacing w:val="-2"/>
        </w:rPr>
        <w:noBreakHyphen/>
      </w:r>
      <w:r w:rsidRPr="00F56EC5">
        <w:rPr>
          <w:rFonts w:eastAsiaTheme="minorEastAsia"/>
          <w:spacing w:val="-2"/>
        </w:rPr>
        <w:t>DEN a suivi un exposé sur l</w:t>
      </w:r>
      <w:r>
        <w:rPr>
          <w:rFonts w:eastAsiaTheme="minorEastAsia"/>
          <w:spacing w:val="-2"/>
        </w:rPr>
        <w:t>’</w:t>
      </w:r>
      <w:r w:rsidRPr="00F56EC5">
        <w:rPr>
          <w:rFonts w:eastAsiaTheme="minorEastAsia"/>
          <w:spacing w:val="-2"/>
        </w:rPr>
        <w:t>introduction éventuelle d</w:t>
      </w:r>
      <w:r>
        <w:rPr>
          <w:rFonts w:eastAsiaTheme="minorEastAsia"/>
          <w:spacing w:val="-2"/>
        </w:rPr>
        <w:t>’</w:t>
      </w:r>
      <w:r w:rsidRPr="00F56EC5">
        <w:rPr>
          <w:rFonts w:eastAsiaTheme="minorEastAsia"/>
          <w:spacing w:val="-2"/>
        </w:rPr>
        <w:t>un identifiant unique pour les notations de variétés dans la base de données PLUTO.</w:t>
      </w:r>
    </w:p>
    <w:p w:rsidR="005111F8" w:rsidRDefault="005111F8" w:rsidP="005111F8">
      <w:pPr>
        <w:ind w:left="1701" w:hanging="1134"/>
        <w:jc w:val="left"/>
        <w:rPr>
          <w:rFonts w:eastAsiaTheme="minorEastAsia" w:cs="Arial"/>
          <w:snapToGrid w:val="0"/>
        </w:rPr>
      </w:pPr>
    </w:p>
    <w:p w:rsidR="005111F8" w:rsidRDefault="005111F8" w:rsidP="005111F8">
      <w:r w:rsidRPr="00F56EC5">
        <w:rPr>
          <w:rFonts w:eastAsiaTheme="minorEastAsia"/>
          <w:spacing w:val="-2"/>
        </w:rPr>
        <w:fldChar w:fldCharType="begin"/>
      </w:r>
      <w:r w:rsidRPr="00F56EC5">
        <w:rPr>
          <w:rFonts w:eastAsiaTheme="minorEastAsia"/>
          <w:spacing w:val="-2"/>
        </w:rPr>
        <w:instrText xml:space="preserve"> AUTONUM  </w:instrText>
      </w:r>
      <w:r w:rsidRPr="00F56EC5">
        <w:rPr>
          <w:rFonts w:eastAsiaTheme="minorEastAsia"/>
          <w:spacing w:val="-2"/>
        </w:rPr>
        <w:fldChar w:fldCharType="end"/>
      </w:r>
      <w:r w:rsidRPr="00F56EC5">
        <w:rPr>
          <w:rFonts w:eastAsiaTheme="minorEastAsia"/>
          <w:spacing w:val="-2"/>
        </w:rPr>
        <w:tab/>
        <w:t>Le WG</w:t>
      </w:r>
      <w:r w:rsidR="0054194F">
        <w:rPr>
          <w:rFonts w:eastAsiaTheme="minorEastAsia"/>
          <w:spacing w:val="-2"/>
        </w:rPr>
        <w:noBreakHyphen/>
      </w:r>
      <w:r w:rsidRPr="00F56EC5">
        <w:rPr>
          <w:rFonts w:eastAsiaTheme="minorEastAsia"/>
          <w:spacing w:val="-2"/>
        </w:rPr>
        <w:t>DEN a pris note des projets d</w:t>
      </w:r>
      <w:r>
        <w:rPr>
          <w:rFonts w:eastAsiaTheme="minorEastAsia"/>
          <w:spacing w:val="-2"/>
        </w:rPr>
        <w:t>’</w:t>
      </w:r>
      <w:r w:rsidRPr="00F56EC5">
        <w:rPr>
          <w:rFonts w:eastAsiaTheme="minorEastAsia"/>
          <w:spacing w:val="-2"/>
        </w:rPr>
        <w:t>introduction d</w:t>
      </w:r>
      <w:r>
        <w:rPr>
          <w:rFonts w:eastAsiaTheme="minorEastAsia"/>
          <w:spacing w:val="-2"/>
        </w:rPr>
        <w:t>’</w:t>
      </w:r>
      <w:r w:rsidRPr="00F56EC5">
        <w:rPr>
          <w:rFonts w:eastAsiaTheme="minorEastAsia"/>
          <w:spacing w:val="-2"/>
        </w:rPr>
        <w:t>un identifiant unique pour les notations de variétés dans la base de données PLUTO.</w:t>
      </w:r>
    </w:p>
    <w:p w:rsidR="005111F8" w:rsidRDefault="005111F8" w:rsidP="005111F8">
      <w:pPr>
        <w:rPr>
          <w:rFonts w:eastAsiaTheme="minorEastAsia"/>
          <w:lang w:eastAsia="ja-JP"/>
        </w:rPr>
      </w:pPr>
    </w:p>
    <w:p w:rsidR="005111F8" w:rsidRDefault="005111F8" w:rsidP="005111F8">
      <w:pPr>
        <w:keepLines/>
      </w:pPr>
      <w:r w:rsidRPr="00F56EC5">
        <w:rPr>
          <w:rFonts w:eastAsiaTheme="minorEastAsia"/>
          <w:spacing w:val="-2"/>
        </w:rPr>
        <w:fldChar w:fldCharType="begin"/>
      </w:r>
      <w:r w:rsidRPr="00F56EC5">
        <w:rPr>
          <w:rFonts w:eastAsiaTheme="minorEastAsia"/>
          <w:spacing w:val="-2"/>
        </w:rPr>
        <w:instrText xml:space="preserve"> AUTONUM  </w:instrText>
      </w:r>
      <w:r w:rsidRPr="00F56EC5">
        <w:rPr>
          <w:rFonts w:eastAsiaTheme="minorEastAsia"/>
          <w:spacing w:val="-2"/>
        </w:rPr>
        <w:fldChar w:fldCharType="end"/>
      </w:r>
      <w:r w:rsidRPr="00F56EC5">
        <w:rPr>
          <w:rFonts w:eastAsiaTheme="minorEastAsia"/>
          <w:spacing w:val="-2"/>
        </w:rPr>
        <w:tab/>
        <w:t>Le WG</w:t>
      </w:r>
      <w:r w:rsidR="0054194F">
        <w:rPr>
          <w:rFonts w:eastAsiaTheme="minorEastAsia"/>
          <w:spacing w:val="-2"/>
        </w:rPr>
        <w:noBreakHyphen/>
      </w:r>
      <w:r w:rsidRPr="00F56EC5">
        <w:rPr>
          <w:rFonts w:eastAsiaTheme="minorEastAsia"/>
          <w:spacing w:val="-2"/>
        </w:rPr>
        <w:t>DEN a examiné les propositions concernant des données supplémentaires à inclure dans la base de données PLUTO et il a approuvé la proposition consistant à ajouter les noms communs dans d</w:t>
      </w:r>
      <w:r>
        <w:rPr>
          <w:rFonts w:eastAsiaTheme="minorEastAsia"/>
          <w:spacing w:val="-2"/>
        </w:rPr>
        <w:t>’</w:t>
      </w:r>
      <w:r w:rsidRPr="00F56EC5">
        <w:rPr>
          <w:rFonts w:eastAsiaTheme="minorEastAsia"/>
          <w:spacing w:val="-2"/>
        </w:rPr>
        <w:t>autres langues dans la base de données PLUTO, pour autant que les ressources disponibles le permettent.</w:t>
      </w:r>
    </w:p>
    <w:p w:rsidR="005111F8" w:rsidRDefault="005111F8" w:rsidP="005111F8">
      <w:pPr>
        <w:keepLines/>
        <w:rPr>
          <w:rFonts w:eastAsiaTheme="minorEastAsia"/>
          <w:lang w:eastAsia="ja-JP"/>
        </w:rPr>
      </w:pPr>
    </w:p>
    <w:p w:rsidR="005111F8" w:rsidRDefault="005111F8" w:rsidP="005111F8">
      <w:pPr>
        <w:keepLines/>
      </w:pPr>
      <w:r w:rsidRPr="00F56EC5">
        <w:rPr>
          <w:rFonts w:eastAsiaTheme="minorEastAsia"/>
          <w:spacing w:val="-2"/>
        </w:rPr>
        <w:fldChar w:fldCharType="begin"/>
      </w:r>
      <w:r w:rsidRPr="00F56EC5">
        <w:rPr>
          <w:rFonts w:eastAsiaTheme="minorEastAsia"/>
          <w:spacing w:val="-2"/>
        </w:rPr>
        <w:instrText xml:space="preserve"> AUTONUM  </w:instrText>
      </w:r>
      <w:r w:rsidRPr="00F56EC5">
        <w:rPr>
          <w:rFonts w:eastAsiaTheme="minorEastAsia"/>
          <w:spacing w:val="-2"/>
        </w:rPr>
        <w:fldChar w:fldCharType="end"/>
      </w:r>
      <w:r w:rsidRPr="00F56EC5">
        <w:rPr>
          <w:rFonts w:eastAsiaTheme="minorEastAsia"/>
          <w:spacing w:val="-2"/>
        </w:rPr>
        <w:tab/>
        <w:t>Le WG</w:t>
      </w:r>
      <w:r w:rsidR="0054194F">
        <w:rPr>
          <w:rFonts w:eastAsiaTheme="minorEastAsia"/>
          <w:spacing w:val="-2"/>
        </w:rPr>
        <w:noBreakHyphen/>
      </w:r>
      <w:r w:rsidRPr="00F56EC5">
        <w:rPr>
          <w:rFonts w:eastAsiaTheme="minorEastAsia"/>
          <w:spacing w:val="-2"/>
        </w:rPr>
        <w:t>DEN a noté que le</w:t>
      </w:r>
      <w:r>
        <w:rPr>
          <w:rFonts w:eastAsiaTheme="minorEastAsia"/>
          <w:spacing w:val="-2"/>
        </w:rPr>
        <w:t> TC</w:t>
      </w:r>
      <w:r w:rsidRPr="00F56EC5">
        <w:rPr>
          <w:rFonts w:eastAsiaTheme="minorEastAsia"/>
          <w:spacing w:val="-2"/>
        </w:rPr>
        <w:t xml:space="preserve"> examinait comment traiter les questions concernant les types de variété aux fins de l</w:t>
      </w:r>
      <w:r>
        <w:rPr>
          <w:rFonts w:eastAsiaTheme="minorEastAsia"/>
          <w:spacing w:val="-2"/>
        </w:rPr>
        <w:t>’</w:t>
      </w:r>
      <w:r w:rsidRPr="00F56EC5">
        <w:rPr>
          <w:rFonts w:eastAsiaTheme="minorEastAsia"/>
          <w:spacing w:val="-2"/>
        </w:rPr>
        <w:t>examen</w:t>
      </w:r>
      <w:r>
        <w:rPr>
          <w:rFonts w:eastAsiaTheme="minorEastAsia"/>
          <w:spacing w:val="-2"/>
        </w:rPr>
        <w:t> </w:t>
      </w:r>
      <w:r w:rsidRPr="00F56EC5">
        <w:rPr>
          <w:rFonts w:eastAsiaTheme="minorEastAsia"/>
          <w:spacing w:val="-2"/>
        </w:rPr>
        <w:t>DHS et il est convenu qu</w:t>
      </w:r>
      <w:r>
        <w:rPr>
          <w:rFonts w:eastAsiaTheme="minorEastAsia"/>
          <w:spacing w:val="-2"/>
        </w:rPr>
        <w:t>’</w:t>
      </w:r>
      <w:r w:rsidRPr="00F56EC5">
        <w:rPr>
          <w:rFonts w:eastAsiaTheme="minorEastAsia"/>
          <w:spacing w:val="-2"/>
        </w:rPr>
        <w:t>il fallait rendre compte au</w:t>
      </w:r>
      <w:r>
        <w:rPr>
          <w:rFonts w:eastAsiaTheme="minorEastAsia"/>
          <w:spacing w:val="-2"/>
        </w:rPr>
        <w:t> </w:t>
      </w:r>
      <w:r w:rsidRPr="00F56EC5">
        <w:rPr>
          <w:rFonts w:eastAsiaTheme="minorEastAsia"/>
          <w:spacing w:val="-2"/>
        </w:rPr>
        <w:t>CAJ des faits nouveaux intervenus au sein du</w:t>
      </w:r>
      <w:r>
        <w:rPr>
          <w:rFonts w:eastAsiaTheme="minorEastAsia"/>
          <w:spacing w:val="-2"/>
        </w:rPr>
        <w:t> TC</w:t>
      </w:r>
      <w:r w:rsidRPr="00F56EC5">
        <w:rPr>
          <w:rFonts w:eastAsiaTheme="minorEastAsia"/>
          <w:spacing w:val="-2"/>
        </w:rPr>
        <w:t>.</w:t>
      </w:r>
    </w:p>
    <w:bookmarkEnd w:id="12"/>
    <w:p w:rsidR="005111F8" w:rsidRDefault="005111F8" w:rsidP="005111F8">
      <w:pPr>
        <w:rPr>
          <w:rFonts w:cs="Arial"/>
          <w:iCs/>
        </w:rPr>
      </w:pPr>
    </w:p>
    <w:p w:rsidR="005111F8" w:rsidRDefault="005111F8" w:rsidP="005111F8">
      <w:pPr>
        <w:rPr>
          <w:rFonts w:cs="Arial"/>
          <w:iCs/>
        </w:rPr>
      </w:pPr>
    </w:p>
    <w:p w:rsidR="005111F8" w:rsidRDefault="005111F8" w:rsidP="005111F8">
      <w:pPr>
        <w:pStyle w:val="Heading2"/>
        <w:rPr>
          <w:lang w:val="fr-FR"/>
        </w:rPr>
      </w:pPr>
      <w:bookmarkStart w:id="13" w:name="_Toc54258058"/>
      <w:r w:rsidRPr="00F56EC5">
        <w:rPr>
          <w:lang w:val="fr-FR"/>
        </w:rPr>
        <w:t xml:space="preserve">Comité administratif et juridique </w:t>
      </w:r>
      <w:r>
        <w:rPr>
          <w:lang w:val="fr-FR"/>
        </w:rPr>
        <w:t>en </w:t>
      </w:r>
      <w:r w:rsidRPr="00F56EC5">
        <w:rPr>
          <w:lang w:val="fr-FR"/>
        </w:rPr>
        <w:t>2019</w:t>
      </w:r>
      <w:bookmarkEnd w:id="13"/>
    </w:p>
    <w:p w:rsidR="005111F8" w:rsidRDefault="005111F8" w:rsidP="005111F8">
      <w:pPr>
        <w:keepNext/>
        <w:jc w:val="left"/>
        <w:rPr>
          <w:rFonts w:eastAsiaTheme="minorEastAsia" w:cs="Arial"/>
          <w:snapToGrid w:val="0"/>
        </w:rPr>
      </w:pPr>
    </w:p>
    <w:p w:rsidR="005111F8" w:rsidRDefault="005111F8" w:rsidP="005111F8">
      <w:r w:rsidRPr="00F56EC5">
        <w:rPr>
          <w:rFonts w:eastAsiaTheme="minorEastAsia"/>
        </w:rPr>
        <w:fldChar w:fldCharType="begin"/>
      </w:r>
      <w:r w:rsidRPr="00F56EC5">
        <w:rPr>
          <w:rFonts w:eastAsiaTheme="minorEastAsia"/>
        </w:rPr>
        <w:instrText xml:space="preserve"> AUTONUM  </w:instrText>
      </w:r>
      <w:r w:rsidRPr="00F56EC5">
        <w:rPr>
          <w:rFonts w:eastAsiaTheme="minorEastAsia"/>
        </w:rPr>
        <w:fldChar w:fldCharType="end"/>
      </w:r>
      <w:r w:rsidRPr="00F56EC5">
        <w:rPr>
          <w:rFonts w:eastAsiaTheme="minorEastAsia"/>
        </w:rPr>
        <w:tab/>
        <w:t>À sa soixante</w:t>
      </w:r>
      <w:r w:rsidR="0054194F">
        <w:rPr>
          <w:rFonts w:eastAsiaTheme="minorEastAsia"/>
        </w:rPr>
        <w:noBreakHyphen/>
      </w:r>
      <w:r w:rsidRPr="00F56EC5">
        <w:rPr>
          <w:rFonts w:eastAsiaTheme="minorEastAsia"/>
        </w:rPr>
        <w:t>seiz</w:t>
      </w:r>
      <w:r>
        <w:rPr>
          <w:rFonts w:eastAsiaTheme="minorEastAsia"/>
        </w:rPr>
        <w:t>ième session</w:t>
      </w:r>
      <w:r w:rsidRPr="00F56EC5">
        <w:rPr>
          <w:rFonts w:eastAsiaTheme="minorEastAsia"/>
        </w:rPr>
        <w:t>, le</w:t>
      </w:r>
      <w:r>
        <w:rPr>
          <w:rFonts w:eastAsiaTheme="minorEastAsia"/>
        </w:rPr>
        <w:t> </w:t>
      </w:r>
      <w:r w:rsidRPr="00F56EC5">
        <w:rPr>
          <w:rFonts w:eastAsiaTheme="minorEastAsia"/>
        </w:rPr>
        <w:t>CAJ a pris note des faits nouveaux dont il était rendu compte dans le document CAJ/76/6</w:t>
      </w:r>
      <w:r>
        <w:rPr>
          <w:rFonts w:eastAsiaTheme="minorEastAsia"/>
        </w:rPr>
        <w:t> </w:t>
      </w:r>
      <w:proofErr w:type="spellStart"/>
      <w:r w:rsidRPr="00F56EC5">
        <w:rPr>
          <w:rFonts w:eastAsiaTheme="minorEastAsia"/>
        </w:rPr>
        <w:t>Add</w:t>
      </w:r>
      <w:proofErr w:type="spellEnd"/>
      <w:r w:rsidRPr="00F56EC5">
        <w:rPr>
          <w:rFonts w:eastAsiaTheme="minorEastAsia"/>
        </w:rPr>
        <w:t xml:space="preserve">. </w:t>
      </w:r>
      <w:proofErr w:type="gramStart"/>
      <w:r w:rsidRPr="00F56EC5">
        <w:rPr>
          <w:rFonts w:eastAsiaTheme="minorEastAsia"/>
        </w:rPr>
        <w:t>concernant</w:t>
      </w:r>
      <w:proofErr w:type="gramEnd"/>
      <w:r w:rsidRPr="00F56EC5">
        <w:rPr>
          <w:rFonts w:eastAsiaTheme="minorEastAsia"/>
        </w:rPr>
        <w:t xml:space="preserve"> l</w:t>
      </w:r>
      <w:r>
        <w:rPr>
          <w:rFonts w:eastAsiaTheme="minorEastAsia"/>
        </w:rPr>
        <w:t>’</w:t>
      </w:r>
      <w:r w:rsidRPr="00F56EC5">
        <w:rPr>
          <w:rFonts w:eastAsiaTheme="minorEastAsia"/>
        </w:rPr>
        <w:t>“élargissement du contenu de la base de données PLUTO” et l</w:t>
      </w:r>
      <w:r>
        <w:rPr>
          <w:rFonts w:eastAsiaTheme="minorEastAsia"/>
        </w:rPr>
        <w:t>’</w:t>
      </w:r>
      <w:r w:rsidRPr="00F56EC5">
        <w:rPr>
          <w:rFonts w:eastAsiaTheme="minorEastAsia"/>
        </w:rPr>
        <w:t>introduction éventuelle d</w:t>
      </w:r>
      <w:r>
        <w:rPr>
          <w:rFonts w:eastAsiaTheme="minorEastAsia"/>
        </w:rPr>
        <w:t>’</w:t>
      </w:r>
      <w:r w:rsidRPr="00F56EC5">
        <w:rPr>
          <w:rFonts w:eastAsiaTheme="minorEastAsia"/>
        </w:rPr>
        <w:t>un identifiant unique pour les notations de variétés dans la base de données PLUTO (voir les paragraphes</w:t>
      </w:r>
      <w:r>
        <w:rPr>
          <w:rFonts w:eastAsiaTheme="minorEastAsia"/>
        </w:rPr>
        <w:t> </w:t>
      </w:r>
      <w:r w:rsidRPr="00F56EC5">
        <w:rPr>
          <w:rFonts w:eastAsiaTheme="minorEastAsia"/>
        </w:rPr>
        <w:t xml:space="preserve">40 à 42 du document CAJ/76/9 </w:t>
      </w:r>
      <w:r>
        <w:rPr>
          <w:rFonts w:eastAsiaTheme="minorEastAsia"/>
        </w:rPr>
        <w:t>“</w:t>
      </w:r>
      <w:r w:rsidRPr="00F56EC5">
        <w:rPr>
          <w:rFonts w:eastAsiaTheme="minorEastAsia"/>
        </w:rPr>
        <w:t>Compte rendu</w:t>
      </w:r>
      <w:r>
        <w:rPr>
          <w:rFonts w:eastAsiaTheme="minorEastAsia"/>
        </w:rPr>
        <w:t>”</w:t>
      </w:r>
      <w:r w:rsidRPr="00F56EC5">
        <w:rPr>
          <w:rFonts w:eastAsiaTheme="minorEastAsia"/>
        </w:rPr>
        <w:t>).</w:t>
      </w:r>
    </w:p>
    <w:p w:rsidR="005111F8" w:rsidRDefault="005111F8" w:rsidP="005111F8">
      <w:pPr>
        <w:rPr>
          <w:rFonts w:cs="Arial"/>
          <w:iCs/>
        </w:rPr>
      </w:pPr>
    </w:p>
    <w:p w:rsidR="005111F8" w:rsidRDefault="005111F8" w:rsidP="005111F8">
      <w:pPr>
        <w:keepLines/>
      </w:pPr>
      <w:r w:rsidRPr="00F56EC5">
        <w:rPr>
          <w:rFonts w:eastAsiaTheme="minorEastAsia"/>
          <w:spacing w:val="-2"/>
        </w:rPr>
        <w:fldChar w:fldCharType="begin"/>
      </w:r>
      <w:r w:rsidRPr="00F56EC5">
        <w:rPr>
          <w:rFonts w:eastAsiaTheme="minorEastAsia"/>
          <w:spacing w:val="-2"/>
        </w:rPr>
        <w:instrText xml:space="preserve"> AUTONUM  </w:instrText>
      </w:r>
      <w:r w:rsidRPr="00F56EC5">
        <w:rPr>
          <w:rFonts w:eastAsiaTheme="minorEastAsia"/>
          <w:spacing w:val="-2"/>
        </w:rPr>
        <w:fldChar w:fldCharType="end"/>
      </w:r>
      <w:r w:rsidRPr="00F56EC5">
        <w:rPr>
          <w:rFonts w:eastAsiaTheme="minorEastAsia"/>
          <w:spacing w:val="-2"/>
        </w:rPr>
        <w:tab/>
        <w:t>S</w:t>
      </w:r>
      <w:r>
        <w:rPr>
          <w:rFonts w:eastAsiaTheme="minorEastAsia"/>
          <w:spacing w:val="-2"/>
        </w:rPr>
        <w:t>’</w:t>
      </w:r>
      <w:r w:rsidRPr="00F56EC5">
        <w:rPr>
          <w:rFonts w:eastAsiaTheme="minorEastAsia"/>
          <w:spacing w:val="-2"/>
        </w:rPr>
        <w:t>agissant de l</w:t>
      </w:r>
      <w:r>
        <w:rPr>
          <w:rFonts w:eastAsiaTheme="minorEastAsia"/>
          <w:spacing w:val="-2"/>
        </w:rPr>
        <w:t>’</w:t>
      </w:r>
      <w:r w:rsidRPr="00F56EC5">
        <w:rPr>
          <w:rFonts w:eastAsiaTheme="minorEastAsia"/>
          <w:spacing w:val="-2"/>
        </w:rPr>
        <w:t>intégration d</w:t>
      </w:r>
      <w:r>
        <w:rPr>
          <w:rFonts w:eastAsiaTheme="minorEastAsia"/>
          <w:spacing w:val="-2"/>
        </w:rPr>
        <w:t>’</w:t>
      </w:r>
      <w:r w:rsidRPr="00F56EC5">
        <w:rPr>
          <w:rFonts w:eastAsiaTheme="minorEastAsia"/>
          <w:spacing w:val="-2"/>
        </w:rPr>
        <w:t>autres variétés (nouvelles données) à la base de données PLUTO, le</w:t>
      </w:r>
      <w:r>
        <w:rPr>
          <w:rFonts w:eastAsiaTheme="minorEastAsia"/>
          <w:spacing w:val="-2"/>
        </w:rPr>
        <w:t> </w:t>
      </w:r>
      <w:r w:rsidRPr="00F56EC5">
        <w:rPr>
          <w:rFonts w:eastAsiaTheme="minorEastAsia"/>
          <w:spacing w:val="-2"/>
        </w:rPr>
        <w:t>CAJ a pris note des propositions de données supplémentaires à intégrer à la base de données PLUTO et approuvé la proposition tendant à ajouter des noms communs dans d</w:t>
      </w:r>
      <w:r>
        <w:rPr>
          <w:rFonts w:eastAsiaTheme="minorEastAsia"/>
          <w:spacing w:val="-2"/>
        </w:rPr>
        <w:t>’</w:t>
      </w:r>
      <w:r w:rsidRPr="00F56EC5">
        <w:rPr>
          <w:rFonts w:eastAsiaTheme="minorEastAsia"/>
          <w:spacing w:val="-2"/>
        </w:rPr>
        <w:t>autres langues dans la base de données PLUTO.</w:t>
      </w:r>
    </w:p>
    <w:p w:rsidR="005111F8" w:rsidRDefault="005111F8" w:rsidP="005111F8">
      <w:pPr>
        <w:keepLines/>
        <w:rPr>
          <w:rFonts w:eastAsiaTheme="minorEastAsia"/>
          <w:lang w:eastAsia="ja-JP"/>
        </w:rPr>
      </w:pPr>
    </w:p>
    <w:p w:rsidR="005111F8" w:rsidRDefault="005111F8" w:rsidP="005111F8">
      <w:pPr>
        <w:keepLines/>
      </w:pPr>
      <w:r w:rsidRPr="00F56EC5">
        <w:rPr>
          <w:rFonts w:eastAsiaTheme="minorEastAsia"/>
          <w:spacing w:val="-2"/>
        </w:rPr>
        <w:fldChar w:fldCharType="begin"/>
      </w:r>
      <w:r w:rsidRPr="00F56EC5">
        <w:rPr>
          <w:rFonts w:eastAsiaTheme="minorEastAsia"/>
          <w:spacing w:val="-2"/>
        </w:rPr>
        <w:instrText xml:space="preserve"> AUTONUM  </w:instrText>
      </w:r>
      <w:r w:rsidRPr="00F56EC5">
        <w:rPr>
          <w:rFonts w:eastAsiaTheme="minorEastAsia"/>
          <w:spacing w:val="-2"/>
        </w:rPr>
        <w:fldChar w:fldCharType="end"/>
      </w:r>
      <w:r w:rsidRPr="00F56EC5">
        <w:rPr>
          <w:rFonts w:eastAsiaTheme="minorEastAsia"/>
          <w:spacing w:val="-2"/>
        </w:rPr>
        <w:tab/>
        <w:t>Le CAJ a noté que le</w:t>
      </w:r>
      <w:r>
        <w:rPr>
          <w:rFonts w:eastAsiaTheme="minorEastAsia"/>
          <w:spacing w:val="-2"/>
        </w:rPr>
        <w:t> TC</w:t>
      </w:r>
      <w:r w:rsidRPr="00F56EC5">
        <w:rPr>
          <w:rFonts w:eastAsiaTheme="minorEastAsia"/>
          <w:spacing w:val="-2"/>
        </w:rPr>
        <w:t xml:space="preserve"> examinait comment gérer les questions concernant les types de variétés aux fins de l</w:t>
      </w:r>
      <w:r>
        <w:rPr>
          <w:rFonts w:eastAsiaTheme="minorEastAsia"/>
          <w:spacing w:val="-2"/>
        </w:rPr>
        <w:t>’</w:t>
      </w:r>
      <w:r w:rsidRPr="00F56EC5">
        <w:rPr>
          <w:rFonts w:eastAsiaTheme="minorEastAsia"/>
          <w:spacing w:val="-2"/>
        </w:rPr>
        <w:t>examen</w:t>
      </w:r>
      <w:r>
        <w:rPr>
          <w:rFonts w:eastAsiaTheme="minorEastAsia"/>
          <w:spacing w:val="-2"/>
        </w:rPr>
        <w:t> </w:t>
      </w:r>
      <w:r w:rsidRPr="00F56EC5">
        <w:rPr>
          <w:rFonts w:eastAsiaTheme="minorEastAsia"/>
          <w:spacing w:val="-2"/>
        </w:rPr>
        <w:t>DHS et est convenu qu</w:t>
      </w:r>
      <w:r>
        <w:rPr>
          <w:rFonts w:eastAsiaTheme="minorEastAsia"/>
          <w:spacing w:val="-2"/>
        </w:rPr>
        <w:t>’</w:t>
      </w:r>
      <w:r w:rsidRPr="00F56EC5">
        <w:rPr>
          <w:rFonts w:eastAsiaTheme="minorEastAsia"/>
          <w:spacing w:val="-2"/>
        </w:rPr>
        <w:t>il devrait être rendu compte au</w:t>
      </w:r>
      <w:r>
        <w:rPr>
          <w:rFonts w:eastAsiaTheme="minorEastAsia"/>
          <w:spacing w:val="-2"/>
        </w:rPr>
        <w:t> </w:t>
      </w:r>
      <w:r w:rsidRPr="00F56EC5">
        <w:rPr>
          <w:rFonts w:eastAsiaTheme="minorEastAsia"/>
          <w:spacing w:val="-2"/>
        </w:rPr>
        <w:t>CAJ des faits nouveaux intervenus au sein du</w:t>
      </w:r>
      <w:r>
        <w:rPr>
          <w:rFonts w:eastAsiaTheme="minorEastAsia"/>
          <w:spacing w:val="-2"/>
        </w:rPr>
        <w:t> TC</w:t>
      </w:r>
      <w:r w:rsidRPr="00F56EC5">
        <w:rPr>
          <w:rFonts w:eastAsiaTheme="minorEastAsia"/>
          <w:spacing w:val="-2"/>
        </w:rPr>
        <w:t>.</w:t>
      </w:r>
    </w:p>
    <w:p w:rsidR="005111F8" w:rsidRDefault="005111F8" w:rsidP="005111F8"/>
    <w:p w:rsidR="005111F8" w:rsidRDefault="005111F8" w:rsidP="005111F8"/>
    <w:p w:rsidR="005111F8" w:rsidRDefault="005111F8" w:rsidP="005111F8">
      <w:pPr>
        <w:pStyle w:val="Heading1"/>
        <w:rPr>
          <w:rFonts w:eastAsiaTheme="minorEastAsia"/>
          <w:lang w:val="fr-FR"/>
        </w:rPr>
      </w:pPr>
      <w:bookmarkStart w:id="14" w:name="_Toc54258059"/>
      <w:r w:rsidRPr="00F56EC5">
        <w:rPr>
          <w:rFonts w:eastAsiaTheme="minorEastAsia"/>
          <w:lang w:val="fr-FR"/>
        </w:rPr>
        <w:t>Groupe de travail sur les d</w:t>
      </w:r>
      <w:r w:rsidR="006548B1" w:rsidRPr="006548B1">
        <w:rPr>
          <w:lang w:val="fr-CH"/>
        </w:rPr>
        <w:t>É</w:t>
      </w:r>
      <w:r w:rsidRPr="00F56EC5">
        <w:rPr>
          <w:rFonts w:eastAsiaTheme="minorEastAsia"/>
          <w:lang w:val="fr-FR"/>
        </w:rPr>
        <w:t>nominations vari</w:t>
      </w:r>
      <w:r w:rsidR="006548B1" w:rsidRPr="00161224">
        <w:rPr>
          <w:lang w:val="fr-CH"/>
        </w:rPr>
        <w:t>É</w:t>
      </w:r>
      <w:r w:rsidRPr="00F56EC5">
        <w:rPr>
          <w:rFonts w:eastAsiaTheme="minorEastAsia"/>
          <w:lang w:val="fr-FR"/>
        </w:rPr>
        <w:t>tales</w:t>
      </w:r>
      <w:bookmarkEnd w:id="14"/>
    </w:p>
    <w:p w:rsidR="005111F8" w:rsidRDefault="005111F8" w:rsidP="005111F8">
      <w:pPr>
        <w:ind w:left="1701" w:hanging="1134"/>
        <w:jc w:val="left"/>
        <w:rPr>
          <w:rFonts w:eastAsiaTheme="minorEastAsia" w:cs="Arial"/>
          <w:snapToGrid w:val="0"/>
        </w:rPr>
      </w:pPr>
    </w:p>
    <w:p w:rsidR="005111F8" w:rsidRDefault="005111F8" w:rsidP="005111F8">
      <w:pPr>
        <w:rPr>
          <w:rFonts w:cs="Arial"/>
          <w:iCs/>
        </w:rPr>
      </w:pPr>
      <w:r w:rsidRPr="00F56EC5">
        <w:rPr>
          <w:rFonts w:cs="Arial"/>
          <w:iCs/>
        </w:rPr>
        <w:fldChar w:fldCharType="begin"/>
      </w:r>
      <w:r w:rsidRPr="00F56EC5">
        <w:rPr>
          <w:rFonts w:cs="Arial"/>
          <w:iCs/>
        </w:rPr>
        <w:instrText xml:space="preserve"> AUTONUM  </w:instrText>
      </w:r>
      <w:r w:rsidRPr="00F56EC5">
        <w:rPr>
          <w:rFonts w:cs="Arial"/>
          <w:iCs/>
        </w:rPr>
        <w:fldChar w:fldCharType="end"/>
      </w:r>
      <w:r w:rsidRPr="00F56EC5">
        <w:rPr>
          <w:rFonts w:cs="Arial"/>
          <w:iCs/>
        </w:rPr>
        <w:tab/>
        <w:t>À sa sixième réunion, le WG</w:t>
      </w:r>
      <w:r w:rsidR="0054194F">
        <w:rPr>
          <w:rFonts w:cs="Arial"/>
          <w:iCs/>
        </w:rPr>
        <w:noBreakHyphen/>
      </w:r>
      <w:r w:rsidRPr="00F56EC5">
        <w:rPr>
          <w:rFonts w:cs="Arial"/>
          <w:iCs/>
        </w:rPr>
        <w:t>DEN est convenu qu</w:t>
      </w:r>
      <w:r>
        <w:rPr>
          <w:rFonts w:cs="Arial"/>
          <w:iCs/>
        </w:rPr>
        <w:t>’</w:t>
      </w:r>
      <w:r w:rsidRPr="00F56EC5">
        <w:rPr>
          <w:rFonts w:cs="Arial"/>
          <w:iCs/>
        </w:rPr>
        <w:t>il avait achevé les activités confiées par le</w:t>
      </w:r>
      <w:r>
        <w:rPr>
          <w:rFonts w:cs="Arial"/>
          <w:iCs/>
        </w:rPr>
        <w:t> </w:t>
      </w:r>
      <w:r w:rsidRPr="00F56EC5">
        <w:rPr>
          <w:rFonts w:cs="Arial"/>
          <w:iCs/>
        </w:rPr>
        <w:t>CAJ et qu</w:t>
      </w:r>
      <w:r>
        <w:rPr>
          <w:rFonts w:cs="Arial"/>
          <w:iCs/>
        </w:rPr>
        <w:t>’</w:t>
      </w:r>
      <w:r w:rsidRPr="00F56EC5">
        <w:rPr>
          <w:rFonts w:cs="Arial"/>
          <w:iCs/>
        </w:rPr>
        <w:t>il ne serait pas nécessaire de tenir une nouvelle réunion.</w:t>
      </w:r>
    </w:p>
    <w:p w:rsidR="005111F8" w:rsidRDefault="005111F8" w:rsidP="005111F8">
      <w:pPr>
        <w:keepNext/>
        <w:rPr>
          <w:rFonts w:eastAsiaTheme="minorEastAsia"/>
          <w:lang w:eastAsia="ja-JP"/>
        </w:rPr>
      </w:pPr>
    </w:p>
    <w:p w:rsidR="005111F8" w:rsidRDefault="005111F8" w:rsidP="005111F8">
      <w:pPr>
        <w:keepNext/>
        <w:rPr>
          <w:rFonts w:eastAsiaTheme="minorEastAsia"/>
          <w:lang w:eastAsia="ja-JP"/>
        </w:rPr>
      </w:pPr>
      <w:r w:rsidRPr="00F56EC5">
        <w:rPr>
          <w:rFonts w:eastAsiaTheme="minorEastAsia"/>
          <w:lang w:eastAsia="ja-JP"/>
        </w:rPr>
        <w:fldChar w:fldCharType="begin"/>
      </w:r>
      <w:r w:rsidRPr="00F56EC5">
        <w:rPr>
          <w:rFonts w:eastAsiaTheme="minorEastAsia"/>
          <w:lang w:eastAsia="ja-JP"/>
        </w:rPr>
        <w:instrText xml:space="preserve"> AUTONUM  </w:instrText>
      </w:r>
      <w:r w:rsidRPr="00F56EC5">
        <w:rPr>
          <w:rFonts w:eastAsiaTheme="minorEastAsia"/>
          <w:lang w:eastAsia="ja-JP"/>
        </w:rPr>
        <w:fldChar w:fldCharType="end"/>
      </w:r>
      <w:r w:rsidRPr="00F56EC5">
        <w:rPr>
          <w:rFonts w:eastAsiaTheme="minorEastAsia"/>
          <w:lang w:eastAsia="ja-JP"/>
        </w:rPr>
        <w:tab/>
        <w:t>À sa soixante</w:t>
      </w:r>
      <w:r w:rsidR="0054194F">
        <w:rPr>
          <w:rFonts w:eastAsiaTheme="minorEastAsia"/>
          <w:lang w:eastAsia="ja-JP"/>
        </w:rPr>
        <w:noBreakHyphen/>
      </w:r>
      <w:r w:rsidRPr="00F56EC5">
        <w:rPr>
          <w:rFonts w:eastAsiaTheme="minorEastAsia"/>
          <w:lang w:eastAsia="ja-JP"/>
        </w:rPr>
        <w:t>seiz</w:t>
      </w:r>
      <w:r>
        <w:rPr>
          <w:rFonts w:eastAsiaTheme="minorEastAsia"/>
          <w:lang w:eastAsia="ja-JP"/>
        </w:rPr>
        <w:t>ième session</w:t>
      </w:r>
      <w:r w:rsidRPr="00F56EC5">
        <w:rPr>
          <w:rFonts w:eastAsiaTheme="minorEastAsia"/>
          <w:lang w:eastAsia="ja-JP"/>
        </w:rPr>
        <w:t>, le</w:t>
      </w:r>
      <w:r>
        <w:rPr>
          <w:rFonts w:eastAsiaTheme="minorEastAsia"/>
          <w:lang w:eastAsia="ja-JP"/>
        </w:rPr>
        <w:t> </w:t>
      </w:r>
      <w:r w:rsidRPr="00F56EC5">
        <w:rPr>
          <w:rFonts w:eastAsiaTheme="minorEastAsia"/>
          <w:lang w:eastAsia="ja-JP"/>
        </w:rPr>
        <w:t>CAJ a noté qu</w:t>
      </w:r>
      <w:r>
        <w:rPr>
          <w:rFonts w:eastAsiaTheme="minorEastAsia"/>
          <w:lang w:eastAsia="ja-JP"/>
        </w:rPr>
        <w:t>’</w:t>
      </w:r>
      <w:r w:rsidRPr="00F56EC5">
        <w:rPr>
          <w:rFonts w:eastAsiaTheme="minorEastAsia"/>
          <w:lang w:eastAsia="ja-JP"/>
        </w:rPr>
        <w:t>il n</w:t>
      </w:r>
      <w:r>
        <w:rPr>
          <w:rFonts w:eastAsiaTheme="minorEastAsia"/>
          <w:lang w:eastAsia="ja-JP"/>
        </w:rPr>
        <w:t>’</w:t>
      </w:r>
      <w:r w:rsidRPr="00F56EC5">
        <w:rPr>
          <w:rFonts w:eastAsiaTheme="minorEastAsia"/>
          <w:lang w:eastAsia="ja-JP"/>
        </w:rPr>
        <w:t>était pas nécessaire de prévoir d</w:t>
      </w:r>
      <w:r>
        <w:rPr>
          <w:rFonts w:eastAsiaTheme="minorEastAsia"/>
          <w:lang w:eastAsia="ja-JP"/>
        </w:rPr>
        <w:t>’</w:t>
      </w:r>
      <w:r w:rsidRPr="00F56EC5">
        <w:rPr>
          <w:rFonts w:eastAsiaTheme="minorEastAsia"/>
          <w:lang w:eastAsia="ja-JP"/>
        </w:rPr>
        <w:t>autres réunions du WG</w:t>
      </w:r>
      <w:r w:rsidR="0054194F">
        <w:rPr>
          <w:rFonts w:eastAsiaTheme="minorEastAsia"/>
          <w:lang w:eastAsia="ja-JP"/>
        </w:rPr>
        <w:noBreakHyphen/>
      </w:r>
      <w:r w:rsidRPr="00F56EC5">
        <w:rPr>
          <w:rFonts w:eastAsiaTheme="minorEastAsia"/>
          <w:lang w:eastAsia="ja-JP"/>
        </w:rPr>
        <w:t>DEN (voir le paragraphe</w:t>
      </w:r>
      <w:r>
        <w:rPr>
          <w:rFonts w:eastAsiaTheme="minorEastAsia"/>
          <w:lang w:eastAsia="ja-JP"/>
        </w:rPr>
        <w:t> </w:t>
      </w:r>
      <w:r w:rsidRPr="00F56EC5">
        <w:rPr>
          <w:rFonts w:eastAsiaTheme="minorEastAsia"/>
          <w:lang w:eastAsia="ja-JP"/>
        </w:rPr>
        <w:t xml:space="preserve">43 du document CAJ/76/9 </w:t>
      </w:r>
      <w:r>
        <w:rPr>
          <w:rFonts w:eastAsiaTheme="minorEastAsia"/>
          <w:lang w:eastAsia="ja-JP"/>
        </w:rPr>
        <w:t>“</w:t>
      </w:r>
      <w:r w:rsidRPr="00F56EC5">
        <w:rPr>
          <w:rFonts w:eastAsiaTheme="minorEastAsia"/>
          <w:lang w:eastAsia="ja-JP"/>
        </w:rPr>
        <w:t>Compte rendu</w:t>
      </w:r>
      <w:r>
        <w:rPr>
          <w:rFonts w:eastAsiaTheme="minorEastAsia"/>
          <w:lang w:eastAsia="ja-JP"/>
        </w:rPr>
        <w:t>”</w:t>
      </w:r>
      <w:r w:rsidRPr="00F56EC5">
        <w:rPr>
          <w:rFonts w:eastAsiaTheme="minorEastAsia"/>
          <w:lang w:eastAsia="ja-JP"/>
        </w:rPr>
        <w:t>).</w:t>
      </w:r>
    </w:p>
    <w:p w:rsidR="005111F8" w:rsidRDefault="005111F8" w:rsidP="005111F8">
      <w:pPr>
        <w:jc w:val="left"/>
      </w:pPr>
    </w:p>
    <w:p w:rsidR="00050E16" w:rsidRDefault="00050E16" w:rsidP="00050E16"/>
    <w:p w:rsidR="005111F8" w:rsidRPr="00C651CE" w:rsidRDefault="005111F8" w:rsidP="00050E16"/>
    <w:p w:rsidR="00050E16" w:rsidRPr="00C5280D" w:rsidRDefault="00050E16" w:rsidP="00D92B13">
      <w:pPr>
        <w:jc w:val="right"/>
      </w:pPr>
      <w:r w:rsidRPr="00C5280D">
        <w:t>[</w:t>
      </w:r>
      <w:r w:rsidR="00A706D3">
        <w:t xml:space="preserve">Fin du </w:t>
      </w:r>
      <w:r w:rsidRPr="00C5280D">
        <w:t>document]</w:t>
      </w:r>
    </w:p>
    <w:sectPr w:rsidR="00050E16" w:rsidRPr="00C5280D" w:rsidSect="0094139D">
      <w:headerReference w:type="even" r:id="rId8"/>
      <w:headerReference w:type="default" r:id="rId9"/>
      <w:headerReference w:type="first" r:id="rId10"/>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1F8" w:rsidRDefault="005111F8" w:rsidP="006655D3">
      <w:r>
        <w:separator/>
      </w:r>
    </w:p>
    <w:p w:rsidR="005111F8" w:rsidRDefault="005111F8" w:rsidP="006655D3"/>
    <w:p w:rsidR="005111F8" w:rsidRDefault="005111F8" w:rsidP="006655D3"/>
  </w:endnote>
  <w:endnote w:type="continuationSeparator" w:id="0">
    <w:p w:rsidR="005111F8" w:rsidRDefault="005111F8" w:rsidP="006655D3">
      <w:r>
        <w:separator/>
      </w:r>
    </w:p>
    <w:p w:rsidR="005111F8" w:rsidRPr="00294751" w:rsidRDefault="005111F8">
      <w:pPr>
        <w:pStyle w:val="Footer"/>
        <w:spacing w:after="60"/>
        <w:rPr>
          <w:sz w:val="18"/>
          <w:lang w:val="fr-FR"/>
        </w:rPr>
      </w:pPr>
      <w:r w:rsidRPr="00294751">
        <w:rPr>
          <w:sz w:val="18"/>
          <w:lang w:val="fr-FR"/>
        </w:rPr>
        <w:t>[Suite de la note de la page précédente]</w:t>
      </w:r>
    </w:p>
    <w:p w:rsidR="005111F8" w:rsidRPr="00294751" w:rsidRDefault="005111F8" w:rsidP="006655D3"/>
    <w:p w:rsidR="005111F8" w:rsidRPr="00294751" w:rsidRDefault="005111F8" w:rsidP="006655D3"/>
  </w:endnote>
  <w:endnote w:type="continuationNotice" w:id="1">
    <w:p w:rsidR="005111F8" w:rsidRPr="00294751" w:rsidRDefault="005111F8" w:rsidP="006655D3">
      <w:r w:rsidRPr="00294751">
        <w:t>[Suite de la note page suivante]</w:t>
      </w:r>
    </w:p>
    <w:p w:rsidR="005111F8" w:rsidRPr="00294751" w:rsidRDefault="005111F8" w:rsidP="006655D3"/>
    <w:p w:rsidR="005111F8" w:rsidRPr="00294751" w:rsidRDefault="005111F8"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1F8" w:rsidRDefault="005111F8" w:rsidP="006655D3">
      <w:r>
        <w:separator/>
      </w:r>
    </w:p>
  </w:footnote>
  <w:footnote w:type="continuationSeparator" w:id="0">
    <w:p w:rsidR="005111F8" w:rsidRDefault="005111F8" w:rsidP="006655D3">
      <w:r>
        <w:separator/>
      </w:r>
    </w:p>
  </w:footnote>
  <w:footnote w:type="continuationNotice" w:id="1">
    <w:p w:rsidR="005111F8" w:rsidRPr="00AB530F" w:rsidRDefault="005111F8"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39D" w:rsidRPr="00C5280D" w:rsidRDefault="0094139D" w:rsidP="0094139D">
    <w:pPr>
      <w:pStyle w:val="Header"/>
      <w:rPr>
        <w:rStyle w:val="PageNumber"/>
        <w:lang w:val="en-US"/>
      </w:rPr>
    </w:pPr>
    <w:r>
      <w:rPr>
        <w:rStyle w:val="PageNumber"/>
        <w:lang w:val="en-US"/>
      </w:rPr>
      <w:t>TC/56/INF/7</w:t>
    </w:r>
  </w:p>
  <w:p w:rsidR="0094139D" w:rsidRPr="00C5280D" w:rsidRDefault="0094139D" w:rsidP="0094139D">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7755D">
      <w:rPr>
        <w:rStyle w:val="PageNumber"/>
        <w:noProof/>
        <w:lang w:val="en-US"/>
      </w:rPr>
      <w:t>2</w:t>
    </w:r>
    <w:r w:rsidRPr="00C5280D">
      <w:rPr>
        <w:rStyle w:val="PageNumber"/>
        <w:lang w:val="en-US"/>
      </w:rPr>
      <w:fldChar w:fldCharType="end"/>
    </w:r>
  </w:p>
  <w:p w:rsidR="0094139D" w:rsidRPr="00C5280D" w:rsidRDefault="0094139D" w:rsidP="0094139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027994" w:rsidP="00EB048E">
    <w:pPr>
      <w:pStyle w:val="Header"/>
      <w:rPr>
        <w:rStyle w:val="PageNumber"/>
        <w:lang w:val="en-US"/>
      </w:rPr>
    </w:pPr>
    <w:r>
      <w:rPr>
        <w:rStyle w:val="PageNumber"/>
        <w:lang w:val="en-US"/>
      </w:rPr>
      <w:t>TC/56</w:t>
    </w:r>
    <w:r w:rsidR="00667404">
      <w:rPr>
        <w:rStyle w:val="PageNumber"/>
        <w:lang w:val="en-US"/>
      </w:rPr>
      <w:t>/</w:t>
    </w:r>
    <w:r w:rsidR="00F6749D">
      <w:rPr>
        <w:rStyle w:val="PageNumber"/>
        <w:lang w:val="en-US"/>
      </w:rPr>
      <w:t>INF/7</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7755D">
      <w:rPr>
        <w:rStyle w:val="PageNumber"/>
        <w:noProof/>
        <w:lang w:val="en-US"/>
      </w:rPr>
      <w:t>5</w:t>
    </w:r>
    <w:r w:rsidRPr="00C5280D">
      <w:rPr>
        <w:rStyle w:val="PageNumber"/>
        <w:lang w:val="en-US"/>
      </w:rPr>
      <w:fldChar w:fldCharType="end"/>
    </w:r>
  </w:p>
  <w:p w:rsidR="00182B99" w:rsidRPr="00C5280D" w:rsidRDefault="00182B99"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39D" w:rsidRDefault="00941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601698"/>
    <w:multiLevelType w:val="hybridMultilevel"/>
    <w:tmpl w:val="B066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1F8"/>
    <w:rsid w:val="00010CF3"/>
    <w:rsid w:val="00011E27"/>
    <w:rsid w:val="000148BC"/>
    <w:rsid w:val="00022D00"/>
    <w:rsid w:val="00024AB8"/>
    <w:rsid w:val="00027994"/>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10C36"/>
    <w:rsid w:val="001131D5"/>
    <w:rsid w:val="00141DB8"/>
    <w:rsid w:val="00161224"/>
    <w:rsid w:val="00172084"/>
    <w:rsid w:val="0017474A"/>
    <w:rsid w:val="001758C6"/>
    <w:rsid w:val="00182B99"/>
    <w:rsid w:val="001C1F2F"/>
    <w:rsid w:val="001F3D68"/>
    <w:rsid w:val="0021332C"/>
    <w:rsid w:val="00213982"/>
    <w:rsid w:val="0024416D"/>
    <w:rsid w:val="00271911"/>
    <w:rsid w:val="002800A0"/>
    <w:rsid w:val="002801B3"/>
    <w:rsid w:val="00281060"/>
    <w:rsid w:val="002940E8"/>
    <w:rsid w:val="00294751"/>
    <w:rsid w:val="002A6E50"/>
    <w:rsid w:val="002B4298"/>
    <w:rsid w:val="002C256A"/>
    <w:rsid w:val="00305A7F"/>
    <w:rsid w:val="003152FE"/>
    <w:rsid w:val="00327436"/>
    <w:rsid w:val="00337C0A"/>
    <w:rsid w:val="00344BD6"/>
    <w:rsid w:val="0035084F"/>
    <w:rsid w:val="0035528D"/>
    <w:rsid w:val="00361821"/>
    <w:rsid w:val="00361E9E"/>
    <w:rsid w:val="003C7FBE"/>
    <w:rsid w:val="003D227C"/>
    <w:rsid w:val="003D2B4D"/>
    <w:rsid w:val="0040557F"/>
    <w:rsid w:val="00444A88"/>
    <w:rsid w:val="00474DA4"/>
    <w:rsid w:val="00476B4D"/>
    <w:rsid w:val="0047755D"/>
    <w:rsid w:val="004805FA"/>
    <w:rsid w:val="004935D2"/>
    <w:rsid w:val="004B1215"/>
    <w:rsid w:val="004D047D"/>
    <w:rsid w:val="004F1E9E"/>
    <w:rsid w:val="004F305A"/>
    <w:rsid w:val="005111F8"/>
    <w:rsid w:val="00512164"/>
    <w:rsid w:val="00520297"/>
    <w:rsid w:val="005338F9"/>
    <w:rsid w:val="0054194F"/>
    <w:rsid w:val="0054281C"/>
    <w:rsid w:val="00544581"/>
    <w:rsid w:val="00545E42"/>
    <w:rsid w:val="0055268D"/>
    <w:rsid w:val="00576BE4"/>
    <w:rsid w:val="005966EF"/>
    <w:rsid w:val="005A400A"/>
    <w:rsid w:val="005F7B92"/>
    <w:rsid w:val="00612379"/>
    <w:rsid w:val="006153B6"/>
    <w:rsid w:val="0061555F"/>
    <w:rsid w:val="00636CA6"/>
    <w:rsid w:val="00641200"/>
    <w:rsid w:val="00645CA8"/>
    <w:rsid w:val="006548B1"/>
    <w:rsid w:val="006655D3"/>
    <w:rsid w:val="00667404"/>
    <w:rsid w:val="00687EB4"/>
    <w:rsid w:val="00695C56"/>
    <w:rsid w:val="006A5CDE"/>
    <w:rsid w:val="006A644A"/>
    <w:rsid w:val="006B17D2"/>
    <w:rsid w:val="006B5204"/>
    <w:rsid w:val="006C224E"/>
    <w:rsid w:val="006D780A"/>
    <w:rsid w:val="0071271E"/>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4C55"/>
    <w:rsid w:val="00867AC1"/>
    <w:rsid w:val="00890DF8"/>
    <w:rsid w:val="00892780"/>
    <w:rsid w:val="00897A4D"/>
    <w:rsid w:val="008A743F"/>
    <w:rsid w:val="008C0970"/>
    <w:rsid w:val="008C783B"/>
    <w:rsid w:val="008D0BC5"/>
    <w:rsid w:val="008D2CF7"/>
    <w:rsid w:val="00900C26"/>
    <w:rsid w:val="0090197F"/>
    <w:rsid w:val="00906DDC"/>
    <w:rsid w:val="00934E09"/>
    <w:rsid w:val="00936253"/>
    <w:rsid w:val="00940D46"/>
    <w:rsid w:val="0094139D"/>
    <w:rsid w:val="00952DD4"/>
    <w:rsid w:val="00965AE7"/>
    <w:rsid w:val="00970FED"/>
    <w:rsid w:val="00992D82"/>
    <w:rsid w:val="00997029"/>
    <w:rsid w:val="009A7339"/>
    <w:rsid w:val="009B440E"/>
    <w:rsid w:val="009D690D"/>
    <w:rsid w:val="009E65B6"/>
    <w:rsid w:val="00A24B37"/>
    <w:rsid w:val="00A24C10"/>
    <w:rsid w:val="00A42AC3"/>
    <w:rsid w:val="00A430CF"/>
    <w:rsid w:val="00A54309"/>
    <w:rsid w:val="00A706D3"/>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127D"/>
    <w:rsid w:val="00BC1FE6"/>
    <w:rsid w:val="00BD6593"/>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C40C2"/>
    <w:rsid w:val="00CF1330"/>
    <w:rsid w:val="00CF7E36"/>
    <w:rsid w:val="00D3708D"/>
    <w:rsid w:val="00D40426"/>
    <w:rsid w:val="00D57C96"/>
    <w:rsid w:val="00D57D18"/>
    <w:rsid w:val="00D91203"/>
    <w:rsid w:val="00D92B1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6749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1E19C29"/>
  <w15:docId w15:val="{B272F33C-F5A9-4916-B903-F7915DF5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D3"/>
    <w:pPr>
      <w:jc w:val="both"/>
    </w:pPr>
    <w:rPr>
      <w:rFonts w:ascii="Arial" w:hAnsi="Arial"/>
      <w:lang w:val="fr-FR"/>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F3D68"/>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F3D68"/>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6548B1"/>
    <w:pPr>
      <w:tabs>
        <w:tab w:val="right" w:leader="dot" w:pos="9639"/>
      </w:tabs>
      <w:ind w:left="568" w:right="851" w:hanging="284"/>
      <w:contextualSpacing/>
      <w:jc w:val="left"/>
    </w:pPr>
    <w:rPr>
      <w:sz w:val="18"/>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6548B1"/>
    <w:pPr>
      <w:tabs>
        <w:tab w:val="right" w:leader="dot" w:pos="9639"/>
      </w:tabs>
      <w:spacing w:before="60"/>
      <w:ind w:right="1418"/>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111F8"/>
    <w:pPr>
      <w:ind w:left="720"/>
      <w:contextualSpacing/>
    </w:pPr>
    <w:rPr>
      <w:lang w:val="en-US"/>
    </w:rPr>
  </w:style>
  <w:style w:type="character" w:customStyle="1" w:styleId="Heading1Char">
    <w:name w:val="Heading 1 Char"/>
    <w:basedOn w:val="DefaultParagraphFont"/>
    <w:link w:val="Heading1"/>
    <w:rsid w:val="005111F8"/>
    <w:rPr>
      <w:rFonts w:ascii="Arial" w:hAnsi="Arial"/>
      <w:caps/>
    </w:rPr>
  </w:style>
  <w:style w:type="paragraph" w:customStyle="1" w:styleId="Default">
    <w:name w:val="Default"/>
    <w:rsid w:val="005111F8"/>
    <w:pPr>
      <w:autoSpaceDE w:val="0"/>
      <w:autoSpaceDN w:val="0"/>
      <w:adjustRightInd w:val="0"/>
    </w:pPr>
    <w:rPr>
      <w:rFonts w:ascii="Arial" w:eastAsia="MS Mincho"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2540</Words>
  <Characters>15181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TC/56</vt:lpstr>
    </vt:vector>
  </TitlesOfParts>
  <Company>UPOV</Company>
  <LinksUpToDate>false</LinksUpToDate>
  <CharactersWithSpaces>17686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dc:title>
  <dc:creator>ALLAMAND Rachel</dc:creator>
  <cp:keywords>FOR OFFICIAL USE ONLY</cp:keywords>
  <cp:lastModifiedBy>MAY Jessica</cp:lastModifiedBy>
  <cp:revision>5</cp:revision>
  <cp:lastPrinted>2016-11-22T15:41:00Z</cp:lastPrinted>
  <dcterms:created xsi:type="dcterms:W3CDTF">2020-10-22T07:18:00Z</dcterms:created>
  <dcterms:modified xsi:type="dcterms:W3CDTF">2020-10-22T09:20:00Z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bef6bd88-0dff-449f-bd8c-0f8a9ed8928a</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